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3.xml" ContentType="application/vnd.openxmlformats-officedocument.themeOverride+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58C540B" w14:textId="4AED42A9" w:rsidR="008B47F1" w:rsidRPr="008B47F1" w:rsidRDefault="008B47F1" w:rsidP="008B47F1">
      <w:pPr>
        <w:jc w:val="center"/>
        <w:rPr>
          <w:b/>
          <w:szCs w:val="24"/>
          <w:lang w:eastAsia="ar-SA"/>
        </w:rPr>
      </w:pPr>
      <w:r>
        <w:rPr>
          <w:noProof/>
          <w:lang w:eastAsia="ru-RU"/>
        </w:rPr>
        <w:drawing>
          <wp:inline distT="0" distB="0" distL="0" distR="0" wp14:anchorId="0B233852" wp14:editId="61345CFB">
            <wp:extent cx="664210" cy="664210"/>
            <wp:effectExtent l="0" t="0" r="2540" b="2540"/>
            <wp:docPr id="2" name="Рисунок 2"/>
            <wp:cNvGraphicFramePr/>
            <a:graphic xmlns:a="http://schemas.openxmlformats.org/drawingml/2006/main">
              <a:graphicData uri="http://schemas.openxmlformats.org/drawingml/2006/picture">
                <pic:pic xmlns:pic="http://schemas.openxmlformats.org/drawingml/2006/picture">
                  <pic:nvPicPr>
                    <pic:cNvPr id="3" name="Рисунок 3"/>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64210" cy="664210"/>
                    </a:xfrm>
                    <a:prstGeom prst="rect">
                      <a:avLst/>
                    </a:prstGeom>
                    <a:noFill/>
                  </pic:spPr>
                </pic:pic>
              </a:graphicData>
            </a:graphic>
          </wp:inline>
        </w:drawing>
      </w:r>
    </w:p>
    <w:p w14:paraId="33810629" w14:textId="77777777" w:rsidR="008B47F1" w:rsidRPr="008B47F1" w:rsidRDefault="008B47F1" w:rsidP="008B47F1">
      <w:pPr>
        <w:jc w:val="center"/>
        <w:rPr>
          <w:b/>
          <w:sz w:val="28"/>
          <w:szCs w:val="28"/>
          <w:lang w:eastAsia="ar-SA"/>
        </w:rPr>
      </w:pPr>
      <w:r w:rsidRPr="008B47F1">
        <w:rPr>
          <w:b/>
          <w:sz w:val="28"/>
          <w:szCs w:val="28"/>
          <w:lang w:eastAsia="ar-SA"/>
        </w:rPr>
        <w:t>МИНИСТЕРСТВО ИМУЩЕСТВЕННЫХ И ЗЕМЕЛЬНЫХ ОТНОШЕНИЙ РЕСПУБЛИКИ САХА (ЯКУТИЯ)</w:t>
      </w:r>
    </w:p>
    <w:p w14:paraId="77D61667" w14:textId="77777777" w:rsidR="008B47F1" w:rsidRPr="008B47F1" w:rsidRDefault="008B47F1" w:rsidP="008B47F1">
      <w:pPr>
        <w:jc w:val="center"/>
        <w:rPr>
          <w:b/>
          <w:sz w:val="28"/>
          <w:szCs w:val="28"/>
          <w:lang w:eastAsia="ar-SA"/>
        </w:rPr>
      </w:pPr>
      <w:r w:rsidRPr="008B47F1">
        <w:rPr>
          <w:b/>
          <w:sz w:val="28"/>
          <w:szCs w:val="28"/>
          <w:lang w:eastAsia="ar-SA"/>
        </w:rPr>
        <w:t>ГОСУДАРСТВЕННОЕ БЮДЖЕТНОЕ УЧРЕЖДЕНИЕ РЕСПУБЛИКИ САХА (ЯКУТИЯ)</w:t>
      </w:r>
    </w:p>
    <w:p w14:paraId="6B266081" w14:textId="77777777" w:rsidR="008B47F1" w:rsidRPr="008B47F1" w:rsidRDefault="008B47F1" w:rsidP="008B47F1">
      <w:pPr>
        <w:jc w:val="center"/>
        <w:rPr>
          <w:b/>
          <w:sz w:val="28"/>
          <w:szCs w:val="28"/>
          <w:lang w:eastAsia="ar-SA"/>
        </w:rPr>
      </w:pPr>
      <w:r w:rsidRPr="008B47F1">
        <w:rPr>
          <w:b/>
          <w:sz w:val="28"/>
          <w:szCs w:val="28"/>
          <w:lang w:eastAsia="ar-SA"/>
        </w:rPr>
        <w:t>«ЦЕНТР ГОСУДАРСТВЕННОЙ КАДАСТРОВОЙ ОЦЕНКИ»</w:t>
      </w:r>
    </w:p>
    <w:p w14:paraId="3A513511" w14:textId="77777777" w:rsidR="008B47F1" w:rsidRPr="008B47F1" w:rsidRDefault="008B47F1" w:rsidP="008B47F1">
      <w:pPr>
        <w:jc w:val="center"/>
        <w:rPr>
          <w:b/>
          <w:sz w:val="28"/>
          <w:szCs w:val="28"/>
          <w:lang w:eastAsia="ar-SA"/>
        </w:rPr>
      </w:pPr>
    </w:p>
    <w:p w14:paraId="586D9EEC" w14:textId="77777777" w:rsidR="008B47F1" w:rsidRPr="008B47F1" w:rsidRDefault="008B47F1" w:rsidP="008B47F1">
      <w:pPr>
        <w:ind w:firstLine="5387"/>
        <w:jc w:val="center"/>
        <w:rPr>
          <w:b/>
          <w:szCs w:val="24"/>
          <w:lang w:eastAsia="ar-SA"/>
        </w:rPr>
      </w:pPr>
    </w:p>
    <w:p w14:paraId="6281F6D2" w14:textId="77777777" w:rsidR="008B47F1" w:rsidRPr="008B47F1" w:rsidRDefault="008B47F1" w:rsidP="008B47F1">
      <w:pPr>
        <w:ind w:firstLine="5387"/>
        <w:jc w:val="center"/>
        <w:rPr>
          <w:b/>
          <w:szCs w:val="24"/>
          <w:lang w:eastAsia="ar-SA"/>
        </w:rPr>
      </w:pPr>
      <w:r w:rsidRPr="008B47F1">
        <w:rPr>
          <w:b/>
          <w:szCs w:val="24"/>
          <w:lang w:eastAsia="ar-SA"/>
        </w:rPr>
        <w:t>УТВЕРЖДАЮ</w:t>
      </w:r>
    </w:p>
    <w:p w14:paraId="2EE6C8C8" w14:textId="77777777" w:rsidR="008B47F1" w:rsidRPr="008B47F1" w:rsidRDefault="008B47F1" w:rsidP="008B47F1">
      <w:pPr>
        <w:ind w:firstLine="5387"/>
        <w:jc w:val="center"/>
        <w:rPr>
          <w:b/>
          <w:szCs w:val="24"/>
          <w:lang w:eastAsia="ar-SA"/>
        </w:rPr>
      </w:pPr>
      <w:r w:rsidRPr="008B47F1">
        <w:rPr>
          <w:b/>
          <w:szCs w:val="24"/>
          <w:lang w:eastAsia="ar-SA"/>
        </w:rPr>
        <w:t>И.о. директора ГБУ РС(Я) «ЦГКО»</w:t>
      </w:r>
    </w:p>
    <w:p w14:paraId="66B17493" w14:textId="77777777" w:rsidR="008B47F1" w:rsidRPr="008B47F1" w:rsidRDefault="008B47F1" w:rsidP="008B47F1">
      <w:pPr>
        <w:ind w:firstLine="5387"/>
        <w:jc w:val="center"/>
        <w:rPr>
          <w:b/>
          <w:szCs w:val="24"/>
          <w:lang w:eastAsia="ar-SA"/>
        </w:rPr>
      </w:pPr>
      <w:r w:rsidRPr="008B47F1">
        <w:rPr>
          <w:b/>
          <w:szCs w:val="24"/>
          <w:lang w:eastAsia="ar-SA"/>
        </w:rPr>
        <w:t>________________О.М. Черемкина</w:t>
      </w:r>
    </w:p>
    <w:p w14:paraId="40D21607" w14:textId="77777777" w:rsidR="008B47F1" w:rsidRPr="008B47F1" w:rsidRDefault="008B47F1" w:rsidP="008B47F1">
      <w:pPr>
        <w:ind w:firstLine="5387"/>
        <w:jc w:val="center"/>
        <w:rPr>
          <w:b/>
          <w:szCs w:val="24"/>
          <w:lang w:eastAsia="ar-SA"/>
        </w:rPr>
      </w:pPr>
      <w:r w:rsidRPr="008B47F1">
        <w:rPr>
          <w:b/>
          <w:szCs w:val="24"/>
          <w:lang w:eastAsia="ar-SA"/>
        </w:rPr>
        <w:t>«_____» _________________2019г.</w:t>
      </w:r>
    </w:p>
    <w:p w14:paraId="56A3D03A" w14:textId="77777777" w:rsidR="008B47F1" w:rsidRPr="008B47F1" w:rsidRDefault="008B47F1" w:rsidP="008B47F1">
      <w:pPr>
        <w:ind w:firstLine="5387"/>
        <w:jc w:val="center"/>
        <w:rPr>
          <w:b/>
          <w:szCs w:val="24"/>
          <w:lang w:eastAsia="ar-SA"/>
        </w:rPr>
      </w:pPr>
    </w:p>
    <w:p w14:paraId="6578180F" w14:textId="77777777" w:rsidR="008B47F1" w:rsidRPr="008B47F1" w:rsidRDefault="008B47F1" w:rsidP="008B47F1">
      <w:pPr>
        <w:jc w:val="center"/>
        <w:rPr>
          <w:b/>
          <w:szCs w:val="24"/>
          <w:lang w:eastAsia="ar-SA"/>
        </w:rPr>
      </w:pPr>
    </w:p>
    <w:p w14:paraId="4B3FF33B" w14:textId="77777777" w:rsidR="008B47F1" w:rsidRPr="008B47F1" w:rsidRDefault="008B47F1" w:rsidP="008B47F1">
      <w:pPr>
        <w:jc w:val="center"/>
        <w:rPr>
          <w:b/>
          <w:szCs w:val="24"/>
          <w:lang w:eastAsia="ar-SA"/>
        </w:rPr>
      </w:pPr>
    </w:p>
    <w:p w14:paraId="77F60E0C" w14:textId="77777777" w:rsidR="008B47F1" w:rsidRPr="008B47F1" w:rsidRDefault="008B47F1" w:rsidP="008B47F1">
      <w:pPr>
        <w:jc w:val="center"/>
        <w:rPr>
          <w:b/>
          <w:szCs w:val="24"/>
          <w:lang w:eastAsia="ar-SA"/>
        </w:rPr>
      </w:pPr>
    </w:p>
    <w:p w14:paraId="3585CC02" w14:textId="78D3E1E5" w:rsidR="008B47F1" w:rsidRPr="008B47F1" w:rsidRDefault="00B652C0" w:rsidP="008B47F1">
      <w:pPr>
        <w:jc w:val="center"/>
        <w:rPr>
          <w:b/>
          <w:sz w:val="28"/>
          <w:szCs w:val="28"/>
          <w:lang w:eastAsia="ar-SA"/>
        </w:rPr>
      </w:pPr>
      <w:r>
        <w:rPr>
          <w:b/>
          <w:sz w:val="28"/>
          <w:szCs w:val="28"/>
          <w:lang w:eastAsia="ar-SA"/>
        </w:rPr>
        <w:t>ОТЧЁТ</w:t>
      </w:r>
      <w:r w:rsidR="008B47F1" w:rsidRPr="008B47F1">
        <w:rPr>
          <w:b/>
          <w:sz w:val="28"/>
          <w:szCs w:val="28"/>
          <w:lang w:eastAsia="ar-SA"/>
        </w:rPr>
        <w:t xml:space="preserve"> № </w:t>
      </w:r>
      <w:r w:rsidR="00D9258D">
        <w:rPr>
          <w:b/>
          <w:sz w:val="28"/>
          <w:szCs w:val="28"/>
          <w:lang w:eastAsia="ar-SA"/>
        </w:rPr>
        <w:t>3</w:t>
      </w:r>
      <w:r w:rsidR="008B47F1" w:rsidRPr="008B47F1">
        <w:rPr>
          <w:b/>
          <w:sz w:val="28"/>
          <w:szCs w:val="28"/>
          <w:lang w:eastAsia="ar-SA"/>
        </w:rPr>
        <w:t>–2019</w:t>
      </w:r>
    </w:p>
    <w:p w14:paraId="6319A8CC" w14:textId="77777777" w:rsidR="005501DF" w:rsidRDefault="008B47F1" w:rsidP="005501DF">
      <w:pPr>
        <w:jc w:val="center"/>
        <w:rPr>
          <w:b/>
          <w:sz w:val="28"/>
          <w:szCs w:val="28"/>
          <w:lang w:eastAsia="ar-SA"/>
        </w:rPr>
      </w:pPr>
      <w:r w:rsidRPr="008B47F1">
        <w:rPr>
          <w:b/>
          <w:sz w:val="28"/>
          <w:szCs w:val="28"/>
          <w:lang w:eastAsia="ar-SA"/>
        </w:rPr>
        <w:t xml:space="preserve">об итогах государственной кадастровой оценки </w:t>
      </w:r>
      <w:r w:rsidR="00D9258D">
        <w:rPr>
          <w:b/>
          <w:sz w:val="28"/>
          <w:szCs w:val="28"/>
          <w:lang w:eastAsia="ar-SA"/>
        </w:rPr>
        <w:t>объектов недвижимости за исключением земельных участков</w:t>
      </w:r>
      <w:r w:rsidR="005501DF">
        <w:rPr>
          <w:b/>
          <w:sz w:val="28"/>
          <w:szCs w:val="28"/>
          <w:lang w:eastAsia="ar-SA"/>
        </w:rPr>
        <w:t xml:space="preserve"> </w:t>
      </w:r>
    </w:p>
    <w:p w14:paraId="5E0C7943" w14:textId="3F05F876" w:rsidR="005501DF" w:rsidRPr="005501DF" w:rsidRDefault="005501DF" w:rsidP="005501DF">
      <w:pPr>
        <w:jc w:val="center"/>
        <w:rPr>
          <w:b/>
          <w:sz w:val="28"/>
          <w:szCs w:val="28"/>
          <w:lang w:eastAsia="ar-SA"/>
        </w:rPr>
      </w:pPr>
      <w:r w:rsidRPr="005501DF">
        <w:rPr>
          <w:b/>
          <w:sz w:val="28"/>
          <w:szCs w:val="28"/>
          <w:lang w:eastAsia="ar-SA"/>
        </w:rPr>
        <w:t>на территории Республики Саха (Якутия)</w:t>
      </w:r>
    </w:p>
    <w:p w14:paraId="06459C9A" w14:textId="77777777" w:rsidR="008B47F1" w:rsidRPr="008B47F1" w:rsidRDefault="008B47F1" w:rsidP="008B47F1">
      <w:pPr>
        <w:jc w:val="center"/>
        <w:rPr>
          <w:b/>
          <w:sz w:val="28"/>
          <w:szCs w:val="28"/>
          <w:lang w:eastAsia="ar-SA"/>
        </w:rPr>
      </w:pPr>
    </w:p>
    <w:p w14:paraId="37957838" w14:textId="77777777" w:rsidR="008B47F1" w:rsidRPr="008B47F1" w:rsidRDefault="008B47F1" w:rsidP="008B47F1">
      <w:pPr>
        <w:jc w:val="center"/>
        <w:rPr>
          <w:b/>
          <w:sz w:val="28"/>
          <w:szCs w:val="28"/>
          <w:lang w:eastAsia="ar-SA"/>
        </w:rPr>
      </w:pPr>
      <w:r w:rsidRPr="008B47F1">
        <w:rPr>
          <w:b/>
          <w:sz w:val="28"/>
          <w:szCs w:val="28"/>
          <w:lang w:eastAsia="ar-SA"/>
        </w:rPr>
        <w:t>по состоянию на 01.01.2019 г.</w:t>
      </w:r>
    </w:p>
    <w:p w14:paraId="7C31BFA0" w14:textId="77777777" w:rsidR="008B47F1" w:rsidRPr="008B47F1" w:rsidRDefault="008B47F1" w:rsidP="008B47F1">
      <w:pPr>
        <w:jc w:val="center"/>
        <w:rPr>
          <w:b/>
          <w:sz w:val="28"/>
          <w:szCs w:val="28"/>
          <w:lang w:eastAsia="ar-SA"/>
        </w:rPr>
      </w:pPr>
    </w:p>
    <w:p w14:paraId="1B9161AD" w14:textId="77777777" w:rsidR="008B47F1" w:rsidRPr="008B47F1" w:rsidRDefault="008B47F1" w:rsidP="008B47F1">
      <w:pPr>
        <w:jc w:val="center"/>
        <w:rPr>
          <w:b/>
          <w:szCs w:val="24"/>
          <w:lang w:eastAsia="ar-SA"/>
        </w:rPr>
      </w:pPr>
    </w:p>
    <w:p w14:paraId="335CE9C3" w14:textId="77777777" w:rsidR="008B47F1" w:rsidRPr="008B47F1" w:rsidRDefault="008B47F1" w:rsidP="008B47F1">
      <w:pPr>
        <w:jc w:val="center"/>
        <w:rPr>
          <w:b/>
          <w:szCs w:val="24"/>
          <w:lang w:eastAsia="ar-SA"/>
        </w:rPr>
      </w:pPr>
    </w:p>
    <w:p w14:paraId="7ABA43E3" w14:textId="77777777" w:rsidR="008B47F1" w:rsidRPr="008B47F1" w:rsidRDefault="008B47F1" w:rsidP="008B47F1">
      <w:pPr>
        <w:jc w:val="center"/>
        <w:rPr>
          <w:b/>
          <w:sz w:val="28"/>
          <w:szCs w:val="28"/>
          <w:lang w:eastAsia="ar-SA"/>
        </w:rPr>
      </w:pPr>
    </w:p>
    <w:p w14:paraId="56CB67E1" w14:textId="77777777" w:rsidR="008B47F1" w:rsidRPr="008B47F1" w:rsidRDefault="008B47F1" w:rsidP="008B47F1">
      <w:pPr>
        <w:jc w:val="center"/>
        <w:rPr>
          <w:b/>
          <w:szCs w:val="24"/>
          <w:lang w:eastAsia="ar-SA"/>
        </w:rPr>
      </w:pPr>
      <w:r w:rsidRPr="008B47F1">
        <w:rPr>
          <w:b/>
          <w:szCs w:val="24"/>
          <w:lang w:eastAsia="ar-SA"/>
        </w:rPr>
        <w:t>Список исполнителей:</w:t>
      </w:r>
    </w:p>
    <w:p w14:paraId="545D0BDD" w14:textId="77777777" w:rsidR="008B47F1" w:rsidRPr="008B47F1" w:rsidRDefault="008B47F1" w:rsidP="008B47F1">
      <w:pPr>
        <w:jc w:val="center"/>
        <w:rPr>
          <w:b/>
          <w:szCs w:val="24"/>
          <w:lang w:eastAsia="ar-SA"/>
        </w:rPr>
      </w:pPr>
    </w:p>
    <w:p w14:paraId="109CF10F" w14:textId="77777777" w:rsidR="008B47F1" w:rsidRPr="008B47F1" w:rsidRDefault="008B47F1" w:rsidP="008B47F1">
      <w:pPr>
        <w:jc w:val="center"/>
        <w:rPr>
          <w:b/>
          <w:szCs w:val="24"/>
          <w:lang w:eastAsia="ar-SA"/>
        </w:rPr>
      </w:pPr>
      <w:r w:rsidRPr="008B47F1">
        <w:rPr>
          <w:b/>
          <w:szCs w:val="24"/>
          <w:lang w:eastAsia="ar-SA"/>
        </w:rPr>
        <w:t>Горохова А.Ф.      __________________ «_____» ________________2019г.</w:t>
      </w:r>
    </w:p>
    <w:p w14:paraId="6FD882C5" w14:textId="77777777" w:rsidR="008B47F1" w:rsidRPr="008B47F1" w:rsidRDefault="008B47F1" w:rsidP="008B47F1">
      <w:pPr>
        <w:jc w:val="center"/>
        <w:rPr>
          <w:b/>
          <w:szCs w:val="24"/>
          <w:lang w:eastAsia="ar-SA"/>
        </w:rPr>
      </w:pPr>
    </w:p>
    <w:p w14:paraId="601DB3DA" w14:textId="33E9FAD9" w:rsidR="008B47F1" w:rsidRPr="008B47F1" w:rsidRDefault="00D9258D" w:rsidP="008B47F1">
      <w:pPr>
        <w:jc w:val="center"/>
        <w:rPr>
          <w:b/>
          <w:szCs w:val="24"/>
          <w:lang w:eastAsia="ar-SA"/>
        </w:rPr>
      </w:pPr>
      <w:r>
        <w:rPr>
          <w:b/>
          <w:szCs w:val="24"/>
          <w:lang w:eastAsia="ar-SA"/>
        </w:rPr>
        <w:t xml:space="preserve">Кюдякова </w:t>
      </w:r>
      <w:r w:rsidR="00030419">
        <w:rPr>
          <w:b/>
          <w:szCs w:val="24"/>
          <w:lang w:eastAsia="ar-SA"/>
        </w:rPr>
        <w:t>А.Ю.</w:t>
      </w:r>
      <w:r w:rsidR="008B47F1" w:rsidRPr="008B47F1">
        <w:rPr>
          <w:b/>
          <w:szCs w:val="24"/>
          <w:lang w:eastAsia="ar-SA"/>
        </w:rPr>
        <w:t xml:space="preserve">  __________________ «_____» ________________2019г.</w:t>
      </w:r>
    </w:p>
    <w:p w14:paraId="6E89AECC" w14:textId="77777777" w:rsidR="008B47F1" w:rsidRPr="008B47F1" w:rsidRDefault="008B47F1" w:rsidP="008B47F1">
      <w:pPr>
        <w:jc w:val="center"/>
        <w:rPr>
          <w:b/>
          <w:szCs w:val="24"/>
          <w:lang w:eastAsia="ar-SA"/>
        </w:rPr>
      </w:pPr>
    </w:p>
    <w:p w14:paraId="3303CAEF" w14:textId="5B5C97A4" w:rsidR="008B47F1" w:rsidRPr="008B47F1" w:rsidRDefault="00030419" w:rsidP="008B47F1">
      <w:pPr>
        <w:jc w:val="center"/>
        <w:rPr>
          <w:b/>
          <w:szCs w:val="24"/>
          <w:lang w:eastAsia="ar-SA"/>
        </w:rPr>
      </w:pPr>
      <w:r>
        <w:rPr>
          <w:b/>
          <w:szCs w:val="24"/>
          <w:lang w:eastAsia="ar-SA"/>
        </w:rPr>
        <w:t>Маршинцев А.В</w:t>
      </w:r>
      <w:r w:rsidR="008B47F1" w:rsidRPr="008B47F1">
        <w:rPr>
          <w:b/>
          <w:szCs w:val="24"/>
          <w:lang w:eastAsia="ar-SA"/>
        </w:rPr>
        <w:t>. __________________ «_____» ________________2019г.</w:t>
      </w:r>
    </w:p>
    <w:p w14:paraId="338D125C" w14:textId="77777777" w:rsidR="008B47F1" w:rsidRPr="008B47F1" w:rsidRDefault="008B47F1" w:rsidP="008B47F1">
      <w:pPr>
        <w:jc w:val="center"/>
        <w:rPr>
          <w:b/>
          <w:szCs w:val="24"/>
          <w:lang w:eastAsia="ar-SA"/>
        </w:rPr>
      </w:pPr>
      <w:r w:rsidRPr="008B47F1">
        <w:rPr>
          <w:b/>
          <w:szCs w:val="24"/>
          <w:lang w:eastAsia="ar-SA"/>
        </w:rPr>
        <w:t xml:space="preserve"> </w:t>
      </w:r>
    </w:p>
    <w:p w14:paraId="67A576EC" w14:textId="781E29C0" w:rsidR="008F30BF" w:rsidRDefault="008F30BF" w:rsidP="00030419">
      <w:pPr>
        <w:jc w:val="center"/>
        <w:rPr>
          <w:b/>
          <w:szCs w:val="24"/>
          <w:lang w:eastAsia="ar-SA"/>
        </w:rPr>
      </w:pPr>
      <w:r>
        <w:rPr>
          <w:b/>
          <w:szCs w:val="24"/>
          <w:lang w:eastAsia="ar-SA"/>
        </w:rPr>
        <w:t>Пермяков В.В.____________________ «_____»</w:t>
      </w:r>
      <w:r w:rsidR="008B2763">
        <w:rPr>
          <w:b/>
          <w:szCs w:val="24"/>
          <w:lang w:eastAsia="ar-SA"/>
        </w:rPr>
        <w:t xml:space="preserve"> </w:t>
      </w:r>
      <w:r>
        <w:rPr>
          <w:b/>
          <w:szCs w:val="24"/>
          <w:lang w:eastAsia="ar-SA"/>
        </w:rPr>
        <w:t>_________________2019</w:t>
      </w:r>
    </w:p>
    <w:p w14:paraId="46061D9A" w14:textId="77777777" w:rsidR="008B47F1" w:rsidRPr="008B47F1" w:rsidRDefault="008B47F1" w:rsidP="008B47F1">
      <w:pPr>
        <w:jc w:val="center"/>
        <w:rPr>
          <w:b/>
          <w:sz w:val="28"/>
          <w:szCs w:val="28"/>
          <w:lang w:eastAsia="ar-SA"/>
        </w:rPr>
      </w:pPr>
    </w:p>
    <w:p w14:paraId="73AA700A" w14:textId="77777777" w:rsidR="008B47F1" w:rsidRPr="008B47F1" w:rsidRDefault="008B47F1" w:rsidP="008B47F1">
      <w:pPr>
        <w:jc w:val="center"/>
        <w:rPr>
          <w:b/>
          <w:sz w:val="28"/>
          <w:szCs w:val="28"/>
          <w:lang w:eastAsia="ar-SA"/>
        </w:rPr>
      </w:pPr>
    </w:p>
    <w:p w14:paraId="6C991A54" w14:textId="77777777" w:rsidR="008B47F1" w:rsidRPr="008B47F1" w:rsidRDefault="008B47F1" w:rsidP="008B47F1">
      <w:pPr>
        <w:jc w:val="center"/>
        <w:rPr>
          <w:b/>
          <w:sz w:val="28"/>
          <w:szCs w:val="28"/>
          <w:lang w:eastAsia="ar-SA"/>
        </w:rPr>
      </w:pPr>
    </w:p>
    <w:p w14:paraId="4893FB88" w14:textId="582CC106" w:rsidR="008B47F1" w:rsidRDefault="008B47F1" w:rsidP="008B47F1">
      <w:pPr>
        <w:jc w:val="center"/>
        <w:rPr>
          <w:b/>
          <w:sz w:val="28"/>
          <w:szCs w:val="28"/>
          <w:lang w:eastAsia="ar-SA"/>
        </w:rPr>
      </w:pPr>
    </w:p>
    <w:p w14:paraId="47F5E09D" w14:textId="7370970D" w:rsidR="008F30BF" w:rsidRDefault="008F30BF" w:rsidP="008B47F1">
      <w:pPr>
        <w:jc w:val="center"/>
        <w:rPr>
          <w:b/>
          <w:sz w:val="28"/>
          <w:szCs w:val="28"/>
          <w:lang w:eastAsia="ar-SA"/>
        </w:rPr>
      </w:pPr>
    </w:p>
    <w:p w14:paraId="0491048C" w14:textId="77777777" w:rsidR="00FF1D40" w:rsidRDefault="00FF1D40" w:rsidP="008B47F1">
      <w:pPr>
        <w:jc w:val="center"/>
        <w:rPr>
          <w:b/>
          <w:sz w:val="28"/>
          <w:szCs w:val="28"/>
          <w:lang w:eastAsia="ar-SA"/>
        </w:rPr>
      </w:pPr>
    </w:p>
    <w:p w14:paraId="0986B86B" w14:textId="0510F204" w:rsidR="008F30BF" w:rsidRDefault="008F30BF" w:rsidP="008B47F1">
      <w:pPr>
        <w:jc w:val="center"/>
        <w:rPr>
          <w:b/>
          <w:sz w:val="28"/>
          <w:szCs w:val="28"/>
          <w:lang w:eastAsia="ar-SA"/>
        </w:rPr>
      </w:pPr>
    </w:p>
    <w:p w14:paraId="65615074" w14:textId="77777777" w:rsidR="008B47F1" w:rsidRPr="008B47F1" w:rsidRDefault="008B47F1" w:rsidP="008B47F1">
      <w:pPr>
        <w:jc w:val="center"/>
        <w:rPr>
          <w:sz w:val="28"/>
          <w:szCs w:val="28"/>
          <w:lang w:eastAsia="ar-SA"/>
        </w:rPr>
      </w:pPr>
    </w:p>
    <w:p w14:paraId="48EA8F8B" w14:textId="5F654381" w:rsidR="008B47F1" w:rsidRPr="008B47F1" w:rsidRDefault="008B47F1" w:rsidP="008B47F1">
      <w:pPr>
        <w:jc w:val="center"/>
        <w:rPr>
          <w:sz w:val="28"/>
          <w:szCs w:val="28"/>
          <w:lang w:eastAsia="ar-SA"/>
        </w:rPr>
      </w:pPr>
      <w:r w:rsidRPr="008B47F1">
        <w:rPr>
          <w:sz w:val="28"/>
          <w:szCs w:val="28"/>
          <w:lang w:eastAsia="ar-SA"/>
        </w:rPr>
        <w:t>Якутск, 2019</w:t>
      </w:r>
    </w:p>
    <w:p w14:paraId="4ADBA70C" w14:textId="77777777" w:rsidR="008B47F1" w:rsidRDefault="008B47F1">
      <w:pPr>
        <w:spacing w:after="160" w:line="259" w:lineRule="auto"/>
        <w:ind w:firstLine="0"/>
        <w:jc w:val="left"/>
        <w:rPr>
          <w:b/>
          <w:szCs w:val="24"/>
          <w:lang w:eastAsia="ar-SA"/>
        </w:rPr>
      </w:pPr>
      <w:r>
        <w:rPr>
          <w:b/>
          <w:szCs w:val="24"/>
          <w:lang w:eastAsia="ar-SA"/>
        </w:rPr>
        <w:br w:type="page"/>
      </w:r>
    </w:p>
    <w:p w14:paraId="510246DC" w14:textId="77777777" w:rsidR="00A3637B" w:rsidRPr="008B47F1" w:rsidRDefault="00A3637B" w:rsidP="008B47F1">
      <w:pPr>
        <w:jc w:val="center"/>
        <w:rPr>
          <w:b/>
          <w:szCs w:val="24"/>
          <w:lang w:eastAsia="ar-SA"/>
        </w:rPr>
      </w:pPr>
    </w:p>
    <w:p w14:paraId="1E6692E6" w14:textId="063F7733" w:rsidR="006629F8" w:rsidRPr="00FF1D40" w:rsidRDefault="006629F8" w:rsidP="002E05A4">
      <w:pPr>
        <w:jc w:val="center"/>
        <w:rPr>
          <w:b/>
          <w:sz w:val="28"/>
          <w:szCs w:val="28"/>
          <w:lang w:eastAsia="ar-SA"/>
        </w:rPr>
      </w:pPr>
      <w:r w:rsidRPr="00FF1D40">
        <w:rPr>
          <w:b/>
          <w:sz w:val="28"/>
          <w:szCs w:val="28"/>
          <w:lang w:eastAsia="ar-SA"/>
        </w:rPr>
        <w:t>Содержание</w:t>
      </w:r>
    </w:p>
    <w:sdt>
      <w:sdtPr>
        <w:rPr>
          <w:rFonts w:ascii="Times New Roman" w:eastAsiaTheme="minorHAnsi" w:hAnsi="Times New Roman" w:cstheme="minorBidi"/>
          <w:color w:val="auto"/>
          <w:sz w:val="24"/>
          <w:szCs w:val="22"/>
          <w:lang w:eastAsia="en-US"/>
        </w:rPr>
        <w:id w:val="1945572615"/>
        <w:docPartObj>
          <w:docPartGallery w:val="Table of Contents"/>
          <w:docPartUnique/>
        </w:docPartObj>
      </w:sdtPr>
      <w:sdtEndPr>
        <w:rPr>
          <w:b/>
          <w:bCs/>
        </w:rPr>
      </w:sdtEndPr>
      <w:sdtContent>
        <w:p w14:paraId="1020DBDB" w14:textId="2C9EA05D" w:rsidR="00877D91" w:rsidRPr="00A90944" w:rsidRDefault="007F55EC" w:rsidP="00A90944">
          <w:pPr>
            <w:pStyle w:val="ac"/>
            <w:numPr>
              <w:ilvl w:val="0"/>
              <w:numId w:val="0"/>
            </w:numPr>
            <w:rPr>
              <w:rFonts w:ascii="Times New Roman" w:eastAsiaTheme="minorEastAsia" w:hAnsi="Times New Roman"/>
              <w:color w:val="auto"/>
              <w:sz w:val="24"/>
              <w:szCs w:val="24"/>
            </w:rPr>
          </w:pPr>
          <w:r w:rsidRPr="00FF1D40">
            <w:rPr>
              <w:noProof/>
              <w:sz w:val="28"/>
              <w:szCs w:val="28"/>
            </w:rPr>
            <w:fldChar w:fldCharType="begin"/>
          </w:r>
          <w:r w:rsidRPr="00FF1D40">
            <w:rPr>
              <w:sz w:val="28"/>
              <w:szCs w:val="28"/>
            </w:rPr>
            <w:instrText xml:space="preserve"> TOC \o "1-3" \h \z \u </w:instrText>
          </w:r>
          <w:r w:rsidRPr="00FF1D40">
            <w:rPr>
              <w:noProof/>
              <w:sz w:val="28"/>
              <w:szCs w:val="28"/>
            </w:rPr>
            <w:fldChar w:fldCharType="separate"/>
          </w:r>
          <w:hyperlink w:anchor="_Toc14819083" w:history="1">
            <w:r w:rsidR="00877D91" w:rsidRPr="00A90944">
              <w:rPr>
                <w:rStyle w:val="ad"/>
                <w:rFonts w:ascii="Times New Roman" w:hAnsi="Times New Roman"/>
                <w:color w:val="auto"/>
                <w:sz w:val="24"/>
                <w:szCs w:val="24"/>
              </w:rPr>
              <w:t>1.1.</w:t>
            </w:r>
            <w:r w:rsidR="00877D91" w:rsidRPr="00A90944">
              <w:rPr>
                <w:rFonts w:ascii="Times New Roman" w:eastAsiaTheme="minorEastAsia" w:hAnsi="Times New Roman"/>
                <w:color w:val="auto"/>
                <w:sz w:val="24"/>
                <w:szCs w:val="24"/>
              </w:rPr>
              <w:tab/>
            </w:r>
            <w:r w:rsidR="00877D91" w:rsidRPr="00A90944">
              <w:rPr>
                <w:rStyle w:val="ad"/>
                <w:rFonts w:ascii="Times New Roman" w:hAnsi="Times New Roman"/>
                <w:color w:val="auto"/>
                <w:sz w:val="24"/>
                <w:szCs w:val="24"/>
              </w:rPr>
              <w:t>ОСНОВНЫЕ ТЕРМИНЫ, ИСПОЛЬЗУЕМЫЕ В ОТЧЕТЕ И ИХ ОПРЕДЕЛЕНИЕ</w:t>
            </w:r>
            <w:r w:rsidR="00877D91" w:rsidRPr="00A90944">
              <w:rPr>
                <w:rFonts w:ascii="Times New Roman" w:hAnsi="Times New Roman"/>
                <w:webHidden/>
                <w:color w:val="auto"/>
                <w:sz w:val="24"/>
                <w:szCs w:val="24"/>
              </w:rPr>
              <w:tab/>
            </w:r>
            <w:r w:rsidR="00877D91" w:rsidRPr="00A90944">
              <w:rPr>
                <w:rFonts w:ascii="Times New Roman" w:hAnsi="Times New Roman"/>
                <w:webHidden/>
                <w:color w:val="auto"/>
                <w:sz w:val="24"/>
                <w:szCs w:val="24"/>
              </w:rPr>
              <w:fldChar w:fldCharType="begin"/>
            </w:r>
            <w:r w:rsidR="00877D91" w:rsidRPr="00A90944">
              <w:rPr>
                <w:rFonts w:ascii="Times New Roman" w:hAnsi="Times New Roman"/>
                <w:webHidden/>
                <w:color w:val="auto"/>
                <w:sz w:val="24"/>
                <w:szCs w:val="24"/>
              </w:rPr>
              <w:instrText xml:space="preserve"> PAGEREF _Toc14819083 \h </w:instrText>
            </w:r>
            <w:r w:rsidR="00877D91" w:rsidRPr="00A90944">
              <w:rPr>
                <w:rFonts w:ascii="Times New Roman" w:hAnsi="Times New Roman"/>
                <w:webHidden/>
                <w:color w:val="auto"/>
                <w:sz w:val="24"/>
                <w:szCs w:val="24"/>
              </w:rPr>
            </w:r>
            <w:r w:rsidR="00877D91" w:rsidRPr="00A90944">
              <w:rPr>
                <w:rFonts w:ascii="Times New Roman" w:hAnsi="Times New Roman"/>
                <w:webHidden/>
                <w:color w:val="auto"/>
                <w:sz w:val="24"/>
                <w:szCs w:val="24"/>
              </w:rPr>
              <w:fldChar w:fldCharType="separate"/>
            </w:r>
            <w:r w:rsidR="00FD2769" w:rsidRPr="00A90944">
              <w:rPr>
                <w:rFonts w:ascii="Times New Roman" w:hAnsi="Times New Roman"/>
                <w:webHidden/>
                <w:color w:val="auto"/>
                <w:sz w:val="24"/>
                <w:szCs w:val="24"/>
              </w:rPr>
              <w:t>4</w:t>
            </w:r>
            <w:r w:rsidR="00877D91" w:rsidRPr="00A90944">
              <w:rPr>
                <w:rFonts w:ascii="Times New Roman" w:hAnsi="Times New Roman"/>
                <w:webHidden/>
                <w:color w:val="auto"/>
                <w:sz w:val="24"/>
                <w:szCs w:val="24"/>
              </w:rPr>
              <w:fldChar w:fldCharType="end"/>
            </w:r>
          </w:hyperlink>
        </w:p>
        <w:p w14:paraId="579F1D53" w14:textId="165224A6" w:rsidR="00877D91" w:rsidRPr="000D7C1E" w:rsidRDefault="00A90944">
          <w:pPr>
            <w:pStyle w:val="31"/>
            <w:tabs>
              <w:tab w:val="left" w:pos="1760"/>
            </w:tabs>
            <w:rPr>
              <w:rFonts w:asciiTheme="minorHAnsi" w:eastAsiaTheme="minorEastAsia" w:hAnsiTheme="minorHAnsi"/>
              <w:sz w:val="22"/>
              <w:lang w:eastAsia="ru-RU"/>
            </w:rPr>
          </w:pPr>
          <w:hyperlink w:anchor="_Toc14819084" w:history="1">
            <w:r w:rsidR="00877D91" w:rsidRPr="000D7C1E">
              <w:rPr>
                <w:rStyle w:val="ad"/>
              </w:rPr>
              <w:t>1.1.1.</w:t>
            </w:r>
            <w:r w:rsidR="00877D91" w:rsidRPr="000D7C1E">
              <w:rPr>
                <w:rFonts w:asciiTheme="minorHAnsi" w:eastAsiaTheme="minorEastAsia" w:hAnsiTheme="minorHAnsi"/>
                <w:sz w:val="22"/>
                <w:lang w:eastAsia="ru-RU"/>
              </w:rPr>
              <w:tab/>
            </w:r>
            <w:r w:rsidR="00877D91" w:rsidRPr="000D7C1E">
              <w:rPr>
                <w:rStyle w:val="ad"/>
              </w:rPr>
              <w:t>Основные термины, используемые в Отчете.</w:t>
            </w:r>
            <w:r w:rsidR="00877D91" w:rsidRPr="000D7C1E">
              <w:rPr>
                <w:webHidden/>
              </w:rPr>
              <w:tab/>
            </w:r>
            <w:r w:rsidR="00877D91" w:rsidRPr="000D7C1E">
              <w:rPr>
                <w:webHidden/>
              </w:rPr>
              <w:fldChar w:fldCharType="begin"/>
            </w:r>
            <w:r w:rsidR="00877D91" w:rsidRPr="000D7C1E">
              <w:rPr>
                <w:webHidden/>
              </w:rPr>
              <w:instrText xml:space="preserve"> PAGEREF _Toc14819084 \h </w:instrText>
            </w:r>
            <w:r w:rsidR="00877D91" w:rsidRPr="000D7C1E">
              <w:rPr>
                <w:webHidden/>
              </w:rPr>
            </w:r>
            <w:r w:rsidR="00877D91" w:rsidRPr="000D7C1E">
              <w:rPr>
                <w:webHidden/>
              </w:rPr>
              <w:fldChar w:fldCharType="separate"/>
            </w:r>
            <w:r w:rsidR="00FD2769">
              <w:rPr>
                <w:webHidden/>
              </w:rPr>
              <w:t>4</w:t>
            </w:r>
            <w:r w:rsidR="00877D91" w:rsidRPr="000D7C1E">
              <w:rPr>
                <w:webHidden/>
              </w:rPr>
              <w:fldChar w:fldCharType="end"/>
            </w:r>
          </w:hyperlink>
        </w:p>
        <w:p w14:paraId="0E34DEE9" w14:textId="154D7775" w:rsidR="00877D91" w:rsidRPr="000D7C1E" w:rsidRDefault="00A90944">
          <w:pPr>
            <w:pStyle w:val="31"/>
            <w:tabs>
              <w:tab w:val="left" w:pos="1760"/>
            </w:tabs>
            <w:rPr>
              <w:rFonts w:asciiTheme="minorHAnsi" w:eastAsiaTheme="minorEastAsia" w:hAnsiTheme="minorHAnsi"/>
              <w:sz w:val="22"/>
              <w:lang w:eastAsia="ru-RU"/>
            </w:rPr>
          </w:pPr>
          <w:hyperlink w:anchor="_Toc14819085" w:history="1">
            <w:r w:rsidR="00877D91" w:rsidRPr="000D7C1E">
              <w:rPr>
                <w:rStyle w:val="ad"/>
              </w:rPr>
              <w:t>1.1.2.</w:t>
            </w:r>
            <w:r w:rsidR="00877D91" w:rsidRPr="000D7C1E">
              <w:rPr>
                <w:rFonts w:asciiTheme="minorHAnsi" w:eastAsiaTheme="minorEastAsia" w:hAnsiTheme="minorHAnsi"/>
                <w:sz w:val="22"/>
                <w:lang w:eastAsia="ru-RU"/>
              </w:rPr>
              <w:tab/>
            </w:r>
            <w:r w:rsidR="00877D91" w:rsidRPr="000D7C1E">
              <w:rPr>
                <w:rStyle w:val="ad"/>
              </w:rPr>
              <w:t>Сокращения, используемые в Отчете</w:t>
            </w:r>
            <w:r w:rsidR="00877D91" w:rsidRPr="000D7C1E">
              <w:rPr>
                <w:webHidden/>
              </w:rPr>
              <w:tab/>
            </w:r>
            <w:r w:rsidR="00877D91" w:rsidRPr="000D7C1E">
              <w:rPr>
                <w:webHidden/>
              </w:rPr>
              <w:fldChar w:fldCharType="begin"/>
            </w:r>
            <w:r w:rsidR="00877D91" w:rsidRPr="000D7C1E">
              <w:rPr>
                <w:webHidden/>
              </w:rPr>
              <w:instrText xml:space="preserve"> PAGEREF _Toc14819085 \h </w:instrText>
            </w:r>
            <w:r w:rsidR="00877D91" w:rsidRPr="000D7C1E">
              <w:rPr>
                <w:webHidden/>
              </w:rPr>
            </w:r>
            <w:r w:rsidR="00877D91" w:rsidRPr="000D7C1E">
              <w:rPr>
                <w:webHidden/>
              </w:rPr>
              <w:fldChar w:fldCharType="separate"/>
            </w:r>
            <w:r w:rsidR="00FD2769">
              <w:rPr>
                <w:webHidden/>
              </w:rPr>
              <w:t>10</w:t>
            </w:r>
            <w:r w:rsidR="00877D91" w:rsidRPr="000D7C1E">
              <w:rPr>
                <w:webHidden/>
              </w:rPr>
              <w:fldChar w:fldCharType="end"/>
            </w:r>
          </w:hyperlink>
        </w:p>
        <w:p w14:paraId="1D583763" w14:textId="269D2159" w:rsidR="00877D91" w:rsidRPr="000D7C1E" w:rsidRDefault="00A90944">
          <w:pPr>
            <w:pStyle w:val="15"/>
            <w:rPr>
              <w:rFonts w:asciiTheme="minorHAnsi" w:eastAsiaTheme="minorEastAsia" w:hAnsiTheme="minorHAnsi" w:cstheme="minorBidi"/>
              <w:sz w:val="22"/>
              <w:szCs w:val="22"/>
              <w:lang w:eastAsia="ru-RU"/>
            </w:rPr>
          </w:pPr>
          <w:hyperlink w:anchor="_Toc14819086" w:history="1">
            <w:r w:rsidR="00877D91" w:rsidRPr="000D7C1E">
              <w:rPr>
                <w:rStyle w:val="ad"/>
              </w:rPr>
              <w:t>2.</w:t>
            </w:r>
            <w:r w:rsidR="00877D91" w:rsidRPr="000D7C1E">
              <w:rPr>
                <w:rFonts w:asciiTheme="minorHAnsi" w:eastAsiaTheme="minorEastAsia" w:hAnsiTheme="minorHAnsi" w:cstheme="minorBidi"/>
                <w:sz w:val="22"/>
                <w:szCs w:val="22"/>
                <w:lang w:eastAsia="ru-RU"/>
              </w:rPr>
              <w:tab/>
            </w:r>
            <w:r w:rsidR="00877D91" w:rsidRPr="000D7C1E">
              <w:rPr>
                <w:rStyle w:val="ad"/>
              </w:rPr>
              <w:t>ВВОДНАЯ ГЛАВА</w:t>
            </w:r>
            <w:r w:rsidR="00877D91" w:rsidRPr="000D7C1E">
              <w:rPr>
                <w:webHidden/>
              </w:rPr>
              <w:tab/>
            </w:r>
            <w:r w:rsidR="00877D91" w:rsidRPr="000D7C1E">
              <w:rPr>
                <w:webHidden/>
              </w:rPr>
              <w:fldChar w:fldCharType="begin"/>
            </w:r>
            <w:r w:rsidR="00877D91" w:rsidRPr="000D7C1E">
              <w:rPr>
                <w:webHidden/>
              </w:rPr>
              <w:instrText xml:space="preserve"> PAGEREF _Toc14819086 \h </w:instrText>
            </w:r>
            <w:r w:rsidR="00877D91" w:rsidRPr="000D7C1E">
              <w:rPr>
                <w:webHidden/>
              </w:rPr>
            </w:r>
            <w:r w:rsidR="00877D91" w:rsidRPr="000D7C1E">
              <w:rPr>
                <w:webHidden/>
              </w:rPr>
              <w:fldChar w:fldCharType="separate"/>
            </w:r>
            <w:r w:rsidR="00FD2769">
              <w:rPr>
                <w:webHidden/>
              </w:rPr>
              <w:t>12</w:t>
            </w:r>
            <w:r w:rsidR="00877D91" w:rsidRPr="000D7C1E">
              <w:rPr>
                <w:webHidden/>
              </w:rPr>
              <w:fldChar w:fldCharType="end"/>
            </w:r>
          </w:hyperlink>
        </w:p>
        <w:p w14:paraId="5C5180EB" w14:textId="4528888C" w:rsidR="00877D91" w:rsidRPr="000D7C1E" w:rsidRDefault="00A90944">
          <w:pPr>
            <w:pStyle w:val="15"/>
            <w:rPr>
              <w:rFonts w:asciiTheme="minorHAnsi" w:eastAsiaTheme="minorEastAsia" w:hAnsiTheme="minorHAnsi" w:cstheme="minorBidi"/>
              <w:sz w:val="22"/>
              <w:szCs w:val="22"/>
              <w:lang w:eastAsia="ru-RU"/>
            </w:rPr>
          </w:pPr>
          <w:hyperlink w:anchor="_Toc14819087" w:history="1">
            <w:r w:rsidR="00877D91" w:rsidRPr="000D7C1E">
              <w:rPr>
                <w:rStyle w:val="ad"/>
              </w:rPr>
              <w:t>2.1.</w:t>
            </w:r>
            <w:r w:rsidR="00877D91" w:rsidRPr="000D7C1E">
              <w:rPr>
                <w:rFonts w:asciiTheme="minorHAnsi" w:eastAsiaTheme="minorEastAsia" w:hAnsiTheme="minorHAnsi" w:cstheme="minorBidi"/>
                <w:sz w:val="22"/>
                <w:szCs w:val="22"/>
                <w:lang w:eastAsia="ru-RU"/>
              </w:rPr>
              <w:tab/>
            </w:r>
            <w:r w:rsidR="00877D91" w:rsidRPr="000D7C1E">
              <w:rPr>
                <w:rStyle w:val="ad"/>
              </w:rPr>
              <w:t>Наименование субъекта Российской Федерации, на территории которого проводилась кадастровая оценка.</w:t>
            </w:r>
            <w:r w:rsidR="00877D91" w:rsidRPr="000D7C1E">
              <w:rPr>
                <w:webHidden/>
              </w:rPr>
              <w:tab/>
            </w:r>
            <w:r w:rsidR="00877D91" w:rsidRPr="000D7C1E">
              <w:rPr>
                <w:webHidden/>
              </w:rPr>
              <w:fldChar w:fldCharType="begin"/>
            </w:r>
            <w:r w:rsidR="00877D91" w:rsidRPr="000D7C1E">
              <w:rPr>
                <w:webHidden/>
              </w:rPr>
              <w:instrText xml:space="preserve"> PAGEREF _Toc14819087 \h </w:instrText>
            </w:r>
            <w:r w:rsidR="00877D91" w:rsidRPr="000D7C1E">
              <w:rPr>
                <w:webHidden/>
              </w:rPr>
            </w:r>
            <w:r w:rsidR="00877D91" w:rsidRPr="000D7C1E">
              <w:rPr>
                <w:webHidden/>
              </w:rPr>
              <w:fldChar w:fldCharType="separate"/>
            </w:r>
            <w:r w:rsidR="00FD2769">
              <w:rPr>
                <w:webHidden/>
              </w:rPr>
              <w:t>12</w:t>
            </w:r>
            <w:r w:rsidR="00877D91" w:rsidRPr="000D7C1E">
              <w:rPr>
                <w:webHidden/>
              </w:rPr>
              <w:fldChar w:fldCharType="end"/>
            </w:r>
          </w:hyperlink>
        </w:p>
        <w:p w14:paraId="3DCB9ACD" w14:textId="2FD091EC" w:rsidR="00877D91" w:rsidRPr="000D7C1E" w:rsidRDefault="00A90944">
          <w:pPr>
            <w:pStyle w:val="15"/>
            <w:rPr>
              <w:rFonts w:asciiTheme="minorHAnsi" w:eastAsiaTheme="minorEastAsia" w:hAnsiTheme="minorHAnsi" w:cstheme="minorBidi"/>
              <w:sz w:val="22"/>
              <w:szCs w:val="22"/>
              <w:lang w:eastAsia="ru-RU"/>
            </w:rPr>
          </w:pPr>
          <w:hyperlink w:anchor="_Toc14819088" w:history="1">
            <w:r w:rsidR="00877D91" w:rsidRPr="000D7C1E">
              <w:rPr>
                <w:rStyle w:val="ad"/>
              </w:rPr>
              <w:t>2.2.</w:t>
            </w:r>
            <w:r w:rsidR="00877D91" w:rsidRPr="000D7C1E">
              <w:rPr>
                <w:rFonts w:asciiTheme="minorHAnsi" w:eastAsiaTheme="minorEastAsia" w:hAnsiTheme="minorHAnsi" w:cstheme="minorBidi"/>
                <w:sz w:val="22"/>
                <w:szCs w:val="22"/>
                <w:lang w:eastAsia="ru-RU"/>
              </w:rPr>
              <w:tab/>
            </w:r>
            <w:r w:rsidR="00877D91" w:rsidRPr="000D7C1E">
              <w:rPr>
                <w:rStyle w:val="ad"/>
              </w:rPr>
              <w:t>Реквизиты решения о проведении государственной кадастровой оценки, виды объектов недвижимости (или) категории земель, в отношении которых принято решение о проведении государственной кадастровой оценки</w:t>
            </w:r>
            <w:r w:rsidR="00877D91" w:rsidRPr="000D7C1E">
              <w:rPr>
                <w:webHidden/>
              </w:rPr>
              <w:tab/>
            </w:r>
            <w:r w:rsidR="00877D91" w:rsidRPr="000D7C1E">
              <w:rPr>
                <w:webHidden/>
              </w:rPr>
              <w:fldChar w:fldCharType="begin"/>
            </w:r>
            <w:r w:rsidR="00877D91" w:rsidRPr="000D7C1E">
              <w:rPr>
                <w:webHidden/>
              </w:rPr>
              <w:instrText xml:space="preserve"> PAGEREF _Toc14819088 \h </w:instrText>
            </w:r>
            <w:r w:rsidR="00877D91" w:rsidRPr="000D7C1E">
              <w:rPr>
                <w:webHidden/>
              </w:rPr>
            </w:r>
            <w:r w:rsidR="00877D91" w:rsidRPr="000D7C1E">
              <w:rPr>
                <w:webHidden/>
              </w:rPr>
              <w:fldChar w:fldCharType="separate"/>
            </w:r>
            <w:r w:rsidR="00FD2769">
              <w:rPr>
                <w:webHidden/>
              </w:rPr>
              <w:t>12</w:t>
            </w:r>
            <w:r w:rsidR="00877D91" w:rsidRPr="000D7C1E">
              <w:rPr>
                <w:webHidden/>
              </w:rPr>
              <w:fldChar w:fldCharType="end"/>
            </w:r>
          </w:hyperlink>
        </w:p>
        <w:p w14:paraId="46FE85BC" w14:textId="554CD35B" w:rsidR="00877D91" w:rsidRPr="000D7C1E" w:rsidRDefault="00A90944">
          <w:pPr>
            <w:pStyle w:val="15"/>
            <w:rPr>
              <w:rFonts w:asciiTheme="minorHAnsi" w:eastAsiaTheme="minorEastAsia" w:hAnsiTheme="minorHAnsi" w:cstheme="minorBidi"/>
              <w:sz w:val="22"/>
              <w:szCs w:val="22"/>
              <w:lang w:eastAsia="ru-RU"/>
            </w:rPr>
          </w:pPr>
          <w:hyperlink w:anchor="_Toc14819089" w:history="1">
            <w:r w:rsidR="00877D91" w:rsidRPr="000D7C1E">
              <w:rPr>
                <w:rStyle w:val="ad"/>
              </w:rPr>
              <w:t>2.3.</w:t>
            </w:r>
            <w:r w:rsidR="00877D91" w:rsidRPr="000D7C1E">
              <w:rPr>
                <w:rFonts w:asciiTheme="minorHAnsi" w:eastAsiaTheme="minorEastAsia" w:hAnsiTheme="minorHAnsi" w:cstheme="minorBidi"/>
                <w:sz w:val="22"/>
                <w:szCs w:val="22"/>
                <w:lang w:eastAsia="ru-RU"/>
              </w:rPr>
              <w:tab/>
            </w:r>
            <w:r w:rsidR="00877D91" w:rsidRPr="000D7C1E">
              <w:rPr>
                <w:rStyle w:val="ad"/>
              </w:rPr>
              <w:t>Реквизиты Отчета</w:t>
            </w:r>
            <w:r w:rsidR="00877D91" w:rsidRPr="000D7C1E">
              <w:rPr>
                <w:webHidden/>
              </w:rPr>
              <w:tab/>
            </w:r>
            <w:r w:rsidR="00877D91" w:rsidRPr="000D7C1E">
              <w:rPr>
                <w:webHidden/>
              </w:rPr>
              <w:fldChar w:fldCharType="begin"/>
            </w:r>
            <w:r w:rsidR="00877D91" w:rsidRPr="000D7C1E">
              <w:rPr>
                <w:webHidden/>
              </w:rPr>
              <w:instrText xml:space="preserve"> PAGEREF _Toc14819089 \h </w:instrText>
            </w:r>
            <w:r w:rsidR="00877D91" w:rsidRPr="000D7C1E">
              <w:rPr>
                <w:webHidden/>
              </w:rPr>
            </w:r>
            <w:r w:rsidR="00877D91" w:rsidRPr="000D7C1E">
              <w:rPr>
                <w:webHidden/>
              </w:rPr>
              <w:fldChar w:fldCharType="separate"/>
            </w:r>
            <w:r w:rsidR="00FD2769">
              <w:rPr>
                <w:webHidden/>
              </w:rPr>
              <w:t>12</w:t>
            </w:r>
            <w:r w:rsidR="00877D91" w:rsidRPr="000D7C1E">
              <w:rPr>
                <w:webHidden/>
              </w:rPr>
              <w:fldChar w:fldCharType="end"/>
            </w:r>
          </w:hyperlink>
        </w:p>
        <w:p w14:paraId="2D5D6047" w14:textId="7F188E31" w:rsidR="00877D91" w:rsidRPr="000D7C1E" w:rsidRDefault="00A90944">
          <w:pPr>
            <w:pStyle w:val="15"/>
            <w:rPr>
              <w:rFonts w:asciiTheme="minorHAnsi" w:eastAsiaTheme="minorEastAsia" w:hAnsiTheme="minorHAnsi" w:cstheme="minorBidi"/>
              <w:sz w:val="22"/>
              <w:szCs w:val="22"/>
              <w:lang w:eastAsia="ru-RU"/>
            </w:rPr>
          </w:pPr>
          <w:hyperlink w:anchor="_Toc14819090" w:history="1">
            <w:r w:rsidR="00877D91" w:rsidRPr="000D7C1E">
              <w:rPr>
                <w:rStyle w:val="ad"/>
              </w:rPr>
              <w:t>2.4.</w:t>
            </w:r>
            <w:r w:rsidR="00877D91" w:rsidRPr="000D7C1E">
              <w:rPr>
                <w:rFonts w:asciiTheme="minorHAnsi" w:eastAsiaTheme="minorEastAsia" w:hAnsiTheme="minorHAnsi" w:cstheme="minorBidi"/>
                <w:sz w:val="22"/>
                <w:szCs w:val="22"/>
                <w:lang w:eastAsia="ru-RU"/>
              </w:rPr>
              <w:tab/>
            </w:r>
            <w:r w:rsidR="00877D91" w:rsidRPr="000D7C1E">
              <w:rPr>
                <w:rStyle w:val="ad"/>
              </w:rPr>
              <w:t>Дата, по состоянию на которую определена кадастровая стоимость объектов недвижимости</w:t>
            </w:r>
            <w:r w:rsidR="00877D91" w:rsidRPr="000D7C1E">
              <w:rPr>
                <w:webHidden/>
              </w:rPr>
              <w:tab/>
            </w:r>
            <w:r w:rsidR="00877D91" w:rsidRPr="000D7C1E">
              <w:rPr>
                <w:webHidden/>
              </w:rPr>
              <w:fldChar w:fldCharType="begin"/>
            </w:r>
            <w:r w:rsidR="00877D91" w:rsidRPr="000D7C1E">
              <w:rPr>
                <w:webHidden/>
              </w:rPr>
              <w:instrText xml:space="preserve"> PAGEREF _Toc14819090 \h </w:instrText>
            </w:r>
            <w:r w:rsidR="00877D91" w:rsidRPr="000D7C1E">
              <w:rPr>
                <w:webHidden/>
              </w:rPr>
            </w:r>
            <w:r w:rsidR="00877D91" w:rsidRPr="000D7C1E">
              <w:rPr>
                <w:webHidden/>
              </w:rPr>
              <w:fldChar w:fldCharType="separate"/>
            </w:r>
            <w:r w:rsidR="00FD2769">
              <w:rPr>
                <w:webHidden/>
              </w:rPr>
              <w:t>12</w:t>
            </w:r>
            <w:r w:rsidR="00877D91" w:rsidRPr="000D7C1E">
              <w:rPr>
                <w:webHidden/>
              </w:rPr>
              <w:fldChar w:fldCharType="end"/>
            </w:r>
          </w:hyperlink>
        </w:p>
        <w:p w14:paraId="72435B9B" w14:textId="51488902" w:rsidR="00877D91" w:rsidRPr="000D7C1E" w:rsidRDefault="00A90944">
          <w:pPr>
            <w:pStyle w:val="15"/>
            <w:rPr>
              <w:rFonts w:asciiTheme="minorHAnsi" w:eastAsiaTheme="minorEastAsia" w:hAnsiTheme="minorHAnsi" w:cstheme="minorBidi"/>
              <w:sz w:val="22"/>
              <w:szCs w:val="22"/>
              <w:lang w:eastAsia="ru-RU"/>
            </w:rPr>
          </w:pPr>
          <w:hyperlink w:anchor="_Toc14819091" w:history="1">
            <w:r w:rsidR="00877D91" w:rsidRPr="000D7C1E">
              <w:rPr>
                <w:rStyle w:val="ad"/>
              </w:rPr>
              <w:t>2.5.</w:t>
            </w:r>
            <w:r w:rsidR="00877D91" w:rsidRPr="000D7C1E">
              <w:rPr>
                <w:rFonts w:asciiTheme="minorHAnsi" w:eastAsiaTheme="minorEastAsia" w:hAnsiTheme="minorHAnsi" w:cstheme="minorBidi"/>
                <w:sz w:val="22"/>
                <w:szCs w:val="22"/>
                <w:lang w:eastAsia="ru-RU"/>
              </w:rPr>
              <w:tab/>
            </w:r>
            <w:r w:rsidR="00877D91" w:rsidRPr="000D7C1E">
              <w:rPr>
                <w:rStyle w:val="ad"/>
              </w:rPr>
              <w:t>Перечень документов, которые использовались при определении кадастровой стоимости объектов недвижимости за исключением земельных участков.</w:t>
            </w:r>
            <w:r w:rsidR="00877D91" w:rsidRPr="000D7C1E">
              <w:rPr>
                <w:webHidden/>
              </w:rPr>
              <w:tab/>
            </w:r>
            <w:r w:rsidR="00877D91" w:rsidRPr="000D7C1E">
              <w:rPr>
                <w:webHidden/>
              </w:rPr>
              <w:fldChar w:fldCharType="begin"/>
            </w:r>
            <w:r w:rsidR="00877D91" w:rsidRPr="000D7C1E">
              <w:rPr>
                <w:webHidden/>
              </w:rPr>
              <w:instrText xml:space="preserve"> PAGEREF _Toc14819091 \h </w:instrText>
            </w:r>
            <w:r w:rsidR="00877D91" w:rsidRPr="000D7C1E">
              <w:rPr>
                <w:webHidden/>
              </w:rPr>
            </w:r>
            <w:r w:rsidR="00877D91" w:rsidRPr="000D7C1E">
              <w:rPr>
                <w:webHidden/>
              </w:rPr>
              <w:fldChar w:fldCharType="separate"/>
            </w:r>
            <w:r w:rsidR="00FD2769">
              <w:rPr>
                <w:webHidden/>
              </w:rPr>
              <w:t>12</w:t>
            </w:r>
            <w:r w:rsidR="00877D91" w:rsidRPr="000D7C1E">
              <w:rPr>
                <w:webHidden/>
              </w:rPr>
              <w:fldChar w:fldCharType="end"/>
            </w:r>
          </w:hyperlink>
        </w:p>
        <w:p w14:paraId="1D1E4505" w14:textId="7B9CC934" w:rsidR="00877D91" w:rsidRPr="000D7C1E" w:rsidRDefault="00A90944">
          <w:pPr>
            <w:pStyle w:val="31"/>
            <w:tabs>
              <w:tab w:val="left" w:pos="1760"/>
            </w:tabs>
            <w:rPr>
              <w:rFonts w:asciiTheme="minorHAnsi" w:eastAsiaTheme="minorEastAsia" w:hAnsiTheme="minorHAnsi"/>
              <w:sz w:val="22"/>
              <w:lang w:eastAsia="ru-RU"/>
            </w:rPr>
          </w:pPr>
          <w:hyperlink w:anchor="_Toc14819092" w:history="1">
            <w:r w:rsidR="00877D91" w:rsidRPr="000D7C1E">
              <w:rPr>
                <w:rStyle w:val="ad"/>
                <w:i/>
              </w:rPr>
              <w:t>2.5.1.</w:t>
            </w:r>
            <w:r w:rsidR="00877D91" w:rsidRPr="000D7C1E">
              <w:rPr>
                <w:rFonts w:asciiTheme="minorHAnsi" w:eastAsiaTheme="minorEastAsia" w:hAnsiTheme="minorHAnsi"/>
                <w:sz w:val="22"/>
                <w:lang w:eastAsia="ru-RU"/>
              </w:rPr>
              <w:tab/>
            </w:r>
            <w:r w:rsidR="00877D91" w:rsidRPr="000D7C1E">
              <w:rPr>
                <w:rStyle w:val="ad"/>
                <w:i/>
              </w:rPr>
              <w:t>Нормативные правовые акты, методические и нормативно-технические документы:</w:t>
            </w:r>
            <w:r w:rsidR="00877D91" w:rsidRPr="000D7C1E">
              <w:rPr>
                <w:webHidden/>
              </w:rPr>
              <w:tab/>
            </w:r>
            <w:r w:rsidR="00877D91" w:rsidRPr="000D7C1E">
              <w:rPr>
                <w:webHidden/>
              </w:rPr>
              <w:fldChar w:fldCharType="begin"/>
            </w:r>
            <w:r w:rsidR="00877D91" w:rsidRPr="000D7C1E">
              <w:rPr>
                <w:webHidden/>
              </w:rPr>
              <w:instrText xml:space="preserve"> PAGEREF _Toc14819092 \h </w:instrText>
            </w:r>
            <w:r w:rsidR="00877D91" w:rsidRPr="000D7C1E">
              <w:rPr>
                <w:webHidden/>
              </w:rPr>
            </w:r>
            <w:r w:rsidR="00877D91" w:rsidRPr="000D7C1E">
              <w:rPr>
                <w:webHidden/>
              </w:rPr>
              <w:fldChar w:fldCharType="separate"/>
            </w:r>
            <w:r w:rsidR="00FD2769">
              <w:rPr>
                <w:webHidden/>
              </w:rPr>
              <w:t>12</w:t>
            </w:r>
            <w:r w:rsidR="00877D91" w:rsidRPr="000D7C1E">
              <w:rPr>
                <w:webHidden/>
              </w:rPr>
              <w:fldChar w:fldCharType="end"/>
            </w:r>
          </w:hyperlink>
        </w:p>
        <w:p w14:paraId="2D4A8019" w14:textId="4B1CD309" w:rsidR="00877D91" w:rsidRPr="000D7C1E" w:rsidRDefault="00A90944">
          <w:pPr>
            <w:pStyle w:val="31"/>
            <w:tabs>
              <w:tab w:val="left" w:pos="1760"/>
            </w:tabs>
            <w:rPr>
              <w:rFonts w:asciiTheme="minorHAnsi" w:eastAsiaTheme="minorEastAsia" w:hAnsiTheme="minorHAnsi"/>
              <w:sz w:val="22"/>
              <w:lang w:eastAsia="ru-RU"/>
            </w:rPr>
          </w:pPr>
          <w:hyperlink w:anchor="_Toc14819093" w:history="1">
            <w:r w:rsidR="00877D91" w:rsidRPr="000D7C1E">
              <w:rPr>
                <w:rStyle w:val="ad"/>
                <w:i/>
              </w:rPr>
              <w:t>2.5.2.</w:t>
            </w:r>
            <w:r w:rsidR="00877D91" w:rsidRPr="000D7C1E">
              <w:rPr>
                <w:rFonts w:asciiTheme="minorHAnsi" w:eastAsiaTheme="minorEastAsia" w:hAnsiTheme="minorHAnsi"/>
                <w:sz w:val="22"/>
                <w:lang w:eastAsia="ru-RU"/>
              </w:rPr>
              <w:tab/>
            </w:r>
            <w:r w:rsidR="00877D91" w:rsidRPr="000D7C1E">
              <w:rPr>
                <w:rStyle w:val="ad"/>
                <w:i/>
              </w:rPr>
              <w:t>Перечень документов, предоставленных уполномоченным органом субъекта Российской Федерации и устанавливающих качественные и количественные характеристики объекта оценки.</w:t>
            </w:r>
            <w:r w:rsidR="00877D91" w:rsidRPr="000D7C1E">
              <w:rPr>
                <w:webHidden/>
              </w:rPr>
              <w:tab/>
            </w:r>
            <w:r w:rsidR="00877D91" w:rsidRPr="000D7C1E">
              <w:rPr>
                <w:webHidden/>
              </w:rPr>
              <w:fldChar w:fldCharType="begin"/>
            </w:r>
            <w:r w:rsidR="00877D91" w:rsidRPr="000D7C1E">
              <w:rPr>
                <w:webHidden/>
              </w:rPr>
              <w:instrText xml:space="preserve"> PAGEREF _Toc14819093 \h </w:instrText>
            </w:r>
            <w:r w:rsidR="00877D91" w:rsidRPr="000D7C1E">
              <w:rPr>
                <w:webHidden/>
              </w:rPr>
            </w:r>
            <w:r w:rsidR="00877D91" w:rsidRPr="000D7C1E">
              <w:rPr>
                <w:webHidden/>
              </w:rPr>
              <w:fldChar w:fldCharType="separate"/>
            </w:r>
            <w:r w:rsidR="00FD2769">
              <w:rPr>
                <w:webHidden/>
              </w:rPr>
              <w:t>15</w:t>
            </w:r>
            <w:r w:rsidR="00877D91" w:rsidRPr="000D7C1E">
              <w:rPr>
                <w:webHidden/>
              </w:rPr>
              <w:fldChar w:fldCharType="end"/>
            </w:r>
          </w:hyperlink>
        </w:p>
        <w:p w14:paraId="1E210A2A" w14:textId="3C89EF6F" w:rsidR="00877D91" w:rsidRPr="000D7C1E" w:rsidRDefault="00A90944">
          <w:pPr>
            <w:pStyle w:val="15"/>
            <w:rPr>
              <w:rFonts w:asciiTheme="minorHAnsi" w:eastAsiaTheme="minorEastAsia" w:hAnsiTheme="minorHAnsi" w:cstheme="minorBidi"/>
              <w:sz w:val="22"/>
              <w:szCs w:val="22"/>
              <w:lang w:eastAsia="ru-RU"/>
            </w:rPr>
          </w:pPr>
          <w:hyperlink w:anchor="_Toc14819094" w:history="1">
            <w:r w:rsidR="00877D91" w:rsidRPr="000D7C1E">
              <w:rPr>
                <w:rStyle w:val="ad"/>
              </w:rPr>
              <w:t>2.6.</w:t>
            </w:r>
            <w:r w:rsidR="00877D91" w:rsidRPr="000D7C1E">
              <w:rPr>
                <w:rFonts w:asciiTheme="minorHAnsi" w:eastAsiaTheme="minorEastAsia" w:hAnsiTheme="minorHAnsi" w:cstheme="minorBidi"/>
                <w:sz w:val="22"/>
                <w:szCs w:val="22"/>
                <w:lang w:eastAsia="ru-RU"/>
              </w:rPr>
              <w:tab/>
            </w:r>
            <w:r w:rsidR="00877D91" w:rsidRPr="000D7C1E">
              <w:rPr>
                <w:rStyle w:val="ad"/>
              </w:rPr>
              <w:t>Схема организации проведения работ по определению кадастровой стоимости и их описание.</w:t>
            </w:r>
            <w:r w:rsidR="00877D91" w:rsidRPr="000D7C1E">
              <w:rPr>
                <w:webHidden/>
              </w:rPr>
              <w:tab/>
            </w:r>
            <w:r w:rsidR="00877D91" w:rsidRPr="000D7C1E">
              <w:rPr>
                <w:webHidden/>
              </w:rPr>
              <w:fldChar w:fldCharType="begin"/>
            </w:r>
            <w:r w:rsidR="00877D91" w:rsidRPr="000D7C1E">
              <w:rPr>
                <w:webHidden/>
              </w:rPr>
              <w:instrText xml:space="preserve"> PAGEREF _Toc14819094 \h </w:instrText>
            </w:r>
            <w:r w:rsidR="00877D91" w:rsidRPr="000D7C1E">
              <w:rPr>
                <w:webHidden/>
              </w:rPr>
            </w:r>
            <w:r w:rsidR="00877D91" w:rsidRPr="000D7C1E">
              <w:rPr>
                <w:webHidden/>
              </w:rPr>
              <w:fldChar w:fldCharType="separate"/>
            </w:r>
            <w:r w:rsidR="00FD2769">
              <w:rPr>
                <w:webHidden/>
              </w:rPr>
              <w:t>15</w:t>
            </w:r>
            <w:r w:rsidR="00877D91" w:rsidRPr="000D7C1E">
              <w:rPr>
                <w:webHidden/>
              </w:rPr>
              <w:fldChar w:fldCharType="end"/>
            </w:r>
          </w:hyperlink>
        </w:p>
        <w:p w14:paraId="748FA0E1" w14:textId="046C6A5F" w:rsidR="00877D91" w:rsidRPr="000D7C1E" w:rsidRDefault="00A90944">
          <w:pPr>
            <w:pStyle w:val="31"/>
            <w:tabs>
              <w:tab w:val="left" w:pos="1760"/>
            </w:tabs>
            <w:rPr>
              <w:rFonts w:asciiTheme="minorHAnsi" w:eastAsiaTheme="minorEastAsia" w:hAnsiTheme="minorHAnsi"/>
              <w:sz w:val="22"/>
              <w:lang w:eastAsia="ru-RU"/>
            </w:rPr>
          </w:pPr>
          <w:hyperlink w:anchor="_Toc14819095" w:history="1">
            <w:r w:rsidR="00877D91" w:rsidRPr="000D7C1E">
              <w:rPr>
                <w:rStyle w:val="ad"/>
                <w:i/>
              </w:rPr>
              <w:t>2.6.1.</w:t>
            </w:r>
            <w:r w:rsidR="00877D91" w:rsidRPr="000D7C1E">
              <w:rPr>
                <w:rFonts w:asciiTheme="minorHAnsi" w:eastAsiaTheme="minorEastAsia" w:hAnsiTheme="minorHAnsi"/>
                <w:sz w:val="22"/>
                <w:lang w:eastAsia="ru-RU"/>
              </w:rPr>
              <w:tab/>
            </w:r>
            <w:r w:rsidR="00877D91" w:rsidRPr="000D7C1E">
              <w:rPr>
                <w:rStyle w:val="ad"/>
                <w:i/>
              </w:rPr>
              <w:t>Перечень внешних источников информации:</w:t>
            </w:r>
            <w:r w:rsidR="00877D91" w:rsidRPr="000D7C1E">
              <w:rPr>
                <w:webHidden/>
              </w:rPr>
              <w:tab/>
            </w:r>
            <w:r w:rsidR="00877D91" w:rsidRPr="000D7C1E">
              <w:rPr>
                <w:webHidden/>
              </w:rPr>
              <w:fldChar w:fldCharType="begin"/>
            </w:r>
            <w:r w:rsidR="00877D91" w:rsidRPr="000D7C1E">
              <w:rPr>
                <w:webHidden/>
              </w:rPr>
              <w:instrText xml:space="preserve"> PAGEREF _Toc14819095 \h </w:instrText>
            </w:r>
            <w:r w:rsidR="00877D91" w:rsidRPr="000D7C1E">
              <w:rPr>
                <w:webHidden/>
              </w:rPr>
            </w:r>
            <w:r w:rsidR="00877D91" w:rsidRPr="000D7C1E">
              <w:rPr>
                <w:webHidden/>
              </w:rPr>
              <w:fldChar w:fldCharType="separate"/>
            </w:r>
            <w:r w:rsidR="00FD2769">
              <w:rPr>
                <w:webHidden/>
              </w:rPr>
              <w:t>17</w:t>
            </w:r>
            <w:r w:rsidR="00877D91" w:rsidRPr="000D7C1E">
              <w:rPr>
                <w:webHidden/>
              </w:rPr>
              <w:fldChar w:fldCharType="end"/>
            </w:r>
          </w:hyperlink>
        </w:p>
        <w:p w14:paraId="451BDDB6" w14:textId="0EF61025" w:rsidR="00877D91" w:rsidRPr="000D7C1E" w:rsidRDefault="00A90944">
          <w:pPr>
            <w:pStyle w:val="15"/>
            <w:rPr>
              <w:rFonts w:asciiTheme="minorHAnsi" w:eastAsiaTheme="minorEastAsia" w:hAnsiTheme="minorHAnsi" w:cstheme="minorBidi"/>
              <w:sz w:val="22"/>
              <w:szCs w:val="22"/>
              <w:lang w:eastAsia="ru-RU"/>
            </w:rPr>
          </w:pPr>
          <w:hyperlink w:anchor="_Toc14819096" w:history="1">
            <w:r w:rsidR="00877D91" w:rsidRPr="000D7C1E">
              <w:rPr>
                <w:rStyle w:val="ad"/>
              </w:rPr>
              <w:t>2.7.</w:t>
            </w:r>
            <w:r w:rsidR="00877D91" w:rsidRPr="000D7C1E">
              <w:rPr>
                <w:rFonts w:asciiTheme="minorHAnsi" w:eastAsiaTheme="minorEastAsia" w:hAnsiTheme="minorHAnsi" w:cstheme="minorBidi"/>
                <w:sz w:val="22"/>
                <w:szCs w:val="22"/>
                <w:lang w:eastAsia="ru-RU"/>
              </w:rPr>
              <w:tab/>
            </w:r>
            <w:r w:rsidR="00877D91" w:rsidRPr="000D7C1E">
              <w:rPr>
                <w:rStyle w:val="ad"/>
              </w:rPr>
              <w:t>Сведения о работниках бюджетного учреждения, непосредственно осуществивших определение кадастровой стоимости, руководителе бюджетного учреждения, работниках бюджетного учреждения, привлекаемых к определению кадастровой стоимости</w:t>
            </w:r>
            <w:r w:rsidR="00877D91" w:rsidRPr="000D7C1E">
              <w:rPr>
                <w:webHidden/>
              </w:rPr>
              <w:tab/>
            </w:r>
            <w:r w:rsidR="00877D91" w:rsidRPr="000D7C1E">
              <w:rPr>
                <w:webHidden/>
              </w:rPr>
              <w:fldChar w:fldCharType="begin"/>
            </w:r>
            <w:r w:rsidR="00877D91" w:rsidRPr="000D7C1E">
              <w:rPr>
                <w:webHidden/>
              </w:rPr>
              <w:instrText xml:space="preserve"> PAGEREF _Toc14819096 \h </w:instrText>
            </w:r>
            <w:r w:rsidR="00877D91" w:rsidRPr="000D7C1E">
              <w:rPr>
                <w:webHidden/>
              </w:rPr>
            </w:r>
            <w:r w:rsidR="00877D91" w:rsidRPr="000D7C1E">
              <w:rPr>
                <w:webHidden/>
              </w:rPr>
              <w:fldChar w:fldCharType="separate"/>
            </w:r>
            <w:r w:rsidR="00FD2769">
              <w:rPr>
                <w:webHidden/>
              </w:rPr>
              <w:t>17</w:t>
            </w:r>
            <w:r w:rsidR="00877D91" w:rsidRPr="000D7C1E">
              <w:rPr>
                <w:webHidden/>
              </w:rPr>
              <w:fldChar w:fldCharType="end"/>
            </w:r>
          </w:hyperlink>
        </w:p>
        <w:p w14:paraId="59156043" w14:textId="7D3853DC" w:rsidR="00877D91" w:rsidRPr="000D7C1E" w:rsidRDefault="00A90944">
          <w:pPr>
            <w:pStyle w:val="15"/>
            <w:rPr>
              <w:rFonts w:asciiTheme="minorHAnsi" w:eastAsiaTheme="minorEastAsia" w:hAnsiTheme="minorHAnsi" w:cstheme="minorBidi"/>
              <w:sz w:val="22"/>
              <w:szCs w:val="22"/>
              <w:lang w:eastAsia="ru-RU"/>
            </w:rPr>
          </w:pPr>
          <w:hyperlink w:anchor="_Toc14819097" w:history="1">
            <w:r w:rsidR="00877D91" w:rsidRPr="000D7C1E">
              <w:rPr>
                <w:rStyle w:val="ad"/>
              </w:rPr>
              <w:t>2.8.</w:t>
            </w:r>
            <w:r w:rsidR="00877D91" w:rsidRPr="000D7C1E">
              <w:rPr>
                <w:rFonts w:asciiTheme="minorHAnsi" w:eastAsiaTheme="minorEastAsia" w:hAnsiTheme="minorHAnsi" w:cstheme="minorBidi"/>
                <w:sz w:val="22"/>
                <w:szCs w:val="22"/>
                <w:lang w:eastAsia="ru-RU"/>
              </w:rPr>
              <w:tab/>
            </w:r>
            <w:r w:rsidR="00877D91" w:rsidRPr="000D7C1E">
              <w:rPr>
                <w:rStyle w:val="ad"/>
              </w:rPr>
              <w:t>Сведения о допущениях, использованных при определении кадастровой стоимости.</w:t>
            </w:r>
            <w:r w:rsidR="00877D91" w:rsidRPr="000D7C1E">
              <w:rPr>
                <w:webHidden/>
              </w:rPr>
              <w:tab/>
            </w:r>
            <w:r w:rsidR="00877D91" w:rsidRPr="000D7C1E">
              <w:rPr>
                <w:webHidden/>
              </w:rPr>
              <w:fldChar w:fldCharType="begin"/>
            </w:r>
            <w:r w:rsidR="00877D91" w:rsidRPr="000D7C1E">
              <w:rPr>
                <w:webHidden/>
              </w:rPr>
              <w:instrText xml:space="preserve"> PAGEREF _Toc14819097 \h </w:instrText>
            </w:r>
            <w:r w:rsidR="00877D91" w:rsidRPr="000D7C1E">
              <w:rPr>
                <w:webHidden/>
              </w:rPr>
            </w:r>
            <w:r w:rsidR="00877D91" w:rsidRPr="000D7C1E">
              <w:rPr>
                <w:webHidden/>
              </w:rPr>
              <w:fldChar w:fldCharType="separate"/>
            </w:r>
            <w:r w:rsidR="00FD2769">
              <w:rPr>
                <w:webHidden/>
              </w:rPr>
              <w:t>19</w:t>
            </w:r>
            <w:r w:rsidR="00877D91" w:rsidRPr="000D7C1E">
              <w:rPr>
                <w:webHidden/>
              </w:rPr>
              <w:fldChar w:fldCharType="end"/>
            </w:r>
          </w:hyperlink>
        </w:p>
        <w:p w14:paraId="241ADFAE" w14:textId="22B5AD8C" w:rsidR="00877D91" w:rsidRPr="000D7C1E" w:rsidRDefault="00A90944">
          <w:pPr>
            <w:pStyle w:val="15"/>
            <w:rPr>
              <w:rFonts w:asciiTheme="minorHAnsi" w:eastAsiaTheme="minorEastAsia" w:hAnsiTheme="minorHAnsi" w:cstheme="minorBidi"/>
              <w:sz w:val="22"/>
              <w:szCs w:val="22"/>
              <w:lang w:eastAsia="ru-RU"/>
            </w:rPr>
          </w:pPr>
          <w:hyperlink w:anchor="_Toc14819098" w:history="1">
            <w:r w:rsidR="00877D91" w:rsidRPr="000D7C1E">
              <w:rPr>
                <w:rStyle w:val="ad"/>
              </w:rPr>
              <w:t>3.</w:t>
            </w:r>
            <w:r w:rsidR="00877D91" w:rsidRPr="000D7C1E">
              <w:rPr>
                <w:rFonts w:asciiTheme="minorHAnsi" w:eastAsiaTheme="minorEastAsia" w:hAnsiTheme="minorHAnsi" w:cstheme="minorBidi"/>
                <w:sz w:val="22"/>
                <w:szCs w:val="22"/>
                <w:lang w:eastAsia="ru-RU"/>
              </w:rPr>
              <w:tab/>
            </w:r>
            <w:r w:rsidR="00877D91" w:rsidRPr="000D7C1E">
              <w:rPr>
                <w:rStyle w:val="ad"/>
              </w:rPr>
              <w:t>РАСЧЕТНАЯ ГЛАВА</w:t>
            </w:r>
            <w:r w:rsidR="00877D91" w:rsidRPr="000D7C1E">
              <w:rPr>
                <w:webHidden/>
              </w:rPr>
              <w:tab/>
            </w:r>
            <w:r w:rsidR="00877D91" w:rsidRPr="000D7C1E">
              <w:rPr>
                <w:webHidden/>
              </w:rPr>
              <w:fldChar w:fldCharType="begin"/>
            </w:r>
            <w:r w:rsidR="00877D91" w:rsidRPr="000D7C1E">
              <w:rPr>
                <w:webHidden/>
              </w:rPr>
              <w:instrText xml:space="preserve"> PAGEREF _Toc14819098 \h </w:instrText>
            </w:r>
            <w:r w:rsidR="00877D91" w:rsidRPr="000D7C1E">
              <w:rPr>
                <w:webHidden/>
              </w:rPr>
            </w:r>
            <w:r w:rsidR="00877D91" w:rsidRPr="000D7C1E">
              <w:rPr>
                <w:webHidden/>
              </w:rPr>
              <w:fldChar w:fldCharType="separate"/>
            </w:r>
            <w:r w:rsidR="00FD2769">
              <w:rPr>
                <w:webHidden/>
              </w:rPr>
              <w:t>27</w:t>
            </w:r>
            <w:r w:rsidR="00877D91" w:rsidRPr="000D7C1E">
              <w:rPr>
                <w:webHidden/>
              </w:rPr>
              <w:fldChar w:fldCharType="end"/>
            </w:r>
          </w:hyperlink>
        </w:p>
        <w:p w14:paraId="3603DAEC" w14:textId="6CE9247F" w:rsidR="00877D91" w:rsidRPr="000D7C1E" w:rsidRDefault="00A90944">
          <w:pPr>
            <w:pStyle w:val="15"/>
            <w:rPr>
              <w:rFonts w:asciiTheme="minorHAnsi" w:eastAsiaTheme="minorEastAsia" w:hAnsiTheme="minorHAnsi" w:cstheme="minorBidi"/>
              <w:sz w:val="22"/>
              <w:szCs w:val="22"/>
              <w:lang w:eastAsia="ru-RU"/>
            </w:rPr>
          </w:pPr>
          <w:hyperlink w:anchor="_Toc14819099" w:history="1">
            <w:r w:rsidR="00877D91" w:rsidRPr="000D7C1E">
              <w:rPr>
                <w:rStyle w:val="ad"/>
              </w:rPr>
              <w:t>3.1.</w:t>
            </w:r>
            <w:r w:rsidR="00877D91" w:rsidRPr="000D7C1E">
              <w:rPr>
                <w:rFonts w:asciiTheme="minorHAnsi" w:eastAsiaTheme="minorEastAsia" w:hAnsiTheme="minorHAnsi" w:cstheme="minorBidi"/>
                <w:sz w:val="22"/>
                <w:szCs w:val="22"/>
                <w:lang w:eastAsia="ru-RU"/>
              </w:rPr>
              <w:tab/>
            </w:r>
            <w:r w:rsidR="00877D91" w:rsidRPr="000D7C1E">
              <w:rPr>
                <w:rStyle w:val="ad"/>
              </w:rPr>
              <w:t>Анализ информации о рынке объектов недвижимости, информация об определении ценообразующих факторов и источниках сведений о них, обоснование моделей оценки кадастровой стоимости.</w:t>
            </w:r>
            <w:r w:rsidR="00877D91" w:rsidRPr="000D7C1E">
              <w:rPr>
                <w:webHidden/>
              </w:rPr>
              <w:tab/>
            </w:r>
            <w:r w:rsidR="00877D91" w:rsidRPr="000D7C1E">
              <w:rPr>
                <w:webHidden/>
              </w:rPr>
              <w:fldChar w:fldCharType="begin"/>
            </w:r>
            <w:r w:rsidR="00877D91" w:rsidRPr="000D7C1E">
              <w:rPr>
                <w:webHidden/>
              </w:rPr>
              <w:instrText xml:space="preserve"> PAGEREF _Toc14819099 \h </w:instrText>
            </w:r>
            <w:r w:rsidR="00877D91" w:rsidRPr="000D7C1E">
              <w:rPr>
                <w:webHidden/>
              </w:rPr>
            </w:r>
            <w:r w:rsidR="00877D91" w:rsidRPr="000D7C1E">
              <w:rPr>
                <w:webHidden/>
              </w:rPr>
              <w:fldChar w:fldCharType="separate"/>
            </w:r>
            <w:r w:rsidR="00FD2769">
              <w:rPr>
                <w:webHidden/>
              </w:rPr>
              <w:t>27</w:t>
            </w:r>
            <w:r w:rsidR="00877D91" w:rsidRPr="000D7C1E">
              <w:rPr>
                <w:webHidden/>
              </w:rPr>
              <w:fldChar w:fldCharType="end"/>
            </w:r>
          </w:hyperlink>
        </w:p>
        <w:p w14:paraId="4CF258DD" w14:textId="310A7B58" w:rsidR="00877D91" w:rsidRPr="000D7C1E" w:rsidRDefault="00A90944">
          <w:pPr>
            <w:pStyle w:val="31"/>
            <w:tabs>
              <w:tab w:val="left" w:pos="1760"/>
            </w:tabs>
            <w:rPr>
              <w:rFonts w:asciiTheme="minorHAnsi" w:eastAsiaTheme="minorEastAsia" w:hAnsiTheme="minorHAnsi"/>
              <w:sz w:val="22"/>
              <w:lang w:eastAsia="ru-RU"/>
            </w:rPr>
          </w:pPr>
          <w:hyperlink w:anchor="_Toc14819100" w:history="1">
            <w:r w:rsidR="00877D91" w:rsidRPr="000D7C1E">
              <w:rPr>
                <w:rStyle w:val="ad"/>
                <w:rFonts w:eastAsia="Calibri" w:cs="Times New Roman"/>
                <w:bCs/>
                <w:iCs/>
                <w:kern w:val="3"/>
                <w:lang w:eastAsia="zh-CN"/>
              </w:rPr>
              <w:t>3.1.1.</w:t>
            </w:r>
            <w:r w:rsidR="00877D91" w:rsidRPr="000D7C1E">
              <w:rPr>
                <w:rFonts w:asciiTheme="minorHAnsi" w:eastAsiaTheme="minorEastAsia" w:hAnsiTheme="minorHAnsi"/>
                <w:sz w:val="22"/>
                <w:lang w:eastAsia="ru-RU"/>
              </w:rPr>
              <w:tab/>
            </w:r>
            <w:r w:rsidR="00877D91" w:rsidRPr="000D7C1E">
              <w:rPr>
                <w:rStyle w:val="ad"/>
                <w:rFonts w:eastAsia="Calibri" w:cs="Times New Roman"/>
                <w:bCs/>
                <w:iCs/>
                <w:kern w:val="3"/>
                <w:lang w:eastAsia="zh-CN"/>
              </w:rPr>
              <w:t>Краткое описание общеэкономического состояния Российской Федерации в 2018 году</w:t>
            </w:r>
            <w:r w:rsidR="00877D91" w:rsidRPr="000D7C1E">
              <w:rPr>
                <w:webHidden/>
              </w:rPr>
              <w:tab/>
            </w:r>
            <w:r w:rsidR="00877D91" w:rsidRPr="000D7C1E">
              <w:rPr>
                <w:webHidden/>
              </w:rPr>
              <w:fldChar w:fldCharType="begin"/>
            </w:r>
            <w:r w:rsidR="00877D91" w:rsidRPr="000D7C1E">
              <w:rPr>
                <w:webHidden/>
              </w:rPr>
              <w:instrText xml:space="preserve"> PAGEREF _Toc14819100 \h </w:instrText>
            </w:r>
            <w:r w:rsidR="00877D91" w:rsidRPr="000D7C1E">
              <w:rPr>
                <w:webHidden/>
              </w:rPr>
            </w:r>
            <w:r w:rsidR="00877D91" w:rsidRPr="000D7C1E">
              <w:rPr>
                <w:webHidden/>
              </w:rPr>
              <w:fldChar w:fldCharType="separate"/>
            </w:r>
            <w:r w:rsidR="00FD2769">
              <w:rPr>
                <w:webHidden/>
              </w:rPr>
              <w:t>28</w:t>
            </w:r>
            <w:r w:rsidR="00877D91" w:rsidRPr="000D7C1E">
              <w:rPr>
                <w:webHidden/>
              </w:rPr>
              <w:fldChar w:fldCharType="end"/>
            </w:r>
          </w:hyperlink>
        </w:p>
        <w:p w14:paraId="0847FAEB" w14:textId="504939AD" w:rsidR="00877D91" w:rsidRPr="000D7C1E" w:rsidRDefault="00A90944">
          <w:pPr>
            <w:pStyle w:val="31"/>
            <w:tabs>
              <w:tab w:val="left" w:pos="1760"/>
            </w:tabs>
            <w:rPr>
              <w:rFonts w:asciiTheme="minorHAnsi" w:eastAsiaTheme="minorEastAsia" w:hAnsiTheme="minorHAnsi"/>
              <w:sz w:val="22"/>
              <w:lang w:eastAsia="ru-RU"/>
            </w:rPr>
          </w:pPr>
          <w:hyperlink w:anchor="_Toc14819101" w:history="1">
            <w:r w:rsidR="00877D91" w:rsidRPr="000D7C1E">
              <w:rPr>
                <w:rStyle w:val="ad"/>
                <w:rFonts w:eastAsia="Calibri" w:cs="Times New Roman"/>
                <w:bCs/>
                <w:iCs/>
                <w:kern w:val="3"/>
                <w:lang w:eastAsia="zh-CN"/>
              </w:rPr>
              <w:t>3.1.2.</w:t>
            </w:r>
            <w:r w:rsidR="00877D91" w:rsidRPr="000D7C1E">
              <w:rPr>
                <w:rFonts w:asciiTheme="minorHAnsi" w:eastAsiaTheme="minorEastAsia" w:hAnsiTheme="minorHAnsi"/>
                <w:sz w:val="22"/>
                <w:lang w:eastAsia="ru-RU"/>
              </w:rPr>
              <w:tab/>
            </w:r>
            <w:r w:rsidR="00877D91" w:rsidRPr="000D7C1E">
              <w:rPr>
                <w:rStyle w:val="ad"/>
                <w:rFonts w:eastAsia="Calibri" w:cs="Times New Roman"/>
                <w:bCs/>
                <w:iCs/>
                <w:kern w:val="3"/>
                <w:lang w:eastAsia="zh-CN"/>
              </w:rPr>
              <w:t>Социально-экономическое положение Республики Саха (Якутия)</w:t>
            </w:r>
            <w:r w:rsidR="00877D91" w:rsidRPr="000D7C1E">
              <w:rPr>
                <w:webHidden/>
              </w:rPr>
              <w:tab/>
            </w:r>
            <w:r w:rsidR="00877D91" w:rsidRPr="000D7C1E">
              <w:rPr>
                <w:webHidden/>
              </w:rPr>
              <w:fldChar w:fldCharType="begin"/>
            </w:r>
            <w:r w:rsidR="00877D91" w:rsidRPr="000D7C1E">
              <w:rPr>
                <w:webHidden/>
              </w:rPr>
              <w:instrText xml:space="preserve"> PAGEREF _Toc14819101 \h </w:instrText>
            </w:r>
            <w:r w:rsidR="00877D91" w:rsidRPr="000D7C1E">
              <w:rPr>
                <w:webHidden/>
              </w:rPr>
            </w:r>
            <w:r w:rsidR="00877D91" w:rsidRPr="000D7C1E">
              <w:rPr>
                <w:webHidden/>
              </w:rPr>
              <w:fldChar w:fldCharType="separate"/>
            </w:r>
            <w:r w:rsidR="00FD2769">
              <w:rPr>
                <w:webHidden/>
              </w:rPr>
              <w:t>50</w:t>
            </w:r>
            <w:r w:rsidR="00877D91" w:rsidRPr="000D7C1E">
              <w:rPr>
                <w:webHidden/>
              </w:rPr>
              <w:fldChar w:fldCharType="end"/>
            </w:r>
          </w:hyperlink>
        </w:p>
        <w:p w14:paraId="4C71BAAC" w14:textId="5C58BC66" w:rsidR="00877D91" w:rsidRPr="000D7C1E" w:rsidRDefault="00A90944">
          <w:pPr>
            <w:pStyle w:val="31"/>
            <w:tabs>
              <w:tab w:val="left" w:pos="1760"/>
            </w:tabs>
            <w:rPr>
              <w:rFonts w:asciiTheme="minorHAnsi" w:eastAsiaTheme="minorEastAsia" w:hAnsiTheme="minorHAnsi"/>
              <w:sz w:val="22"/>
              <w:lang w:eastAsia="ru-RU"/>
            </w:rPr>
          </w:pPr>
          <w:hyperlink w:anchor="_Toc14819102" w:history="1">
            <w:r w:rsidR="00877D91" w:rsidRPr="000D7C1E">
              <w:rPr>
                <w:rStyle w:val="ad"/>
                <w:rFonts w:eastAsia="Calibri" w:cs="Times New Roman"/>
                <w:bCs/>
                <w:iCs/>
                <w:kern w:val="3"/>
                <w:lang w:eastAsia="zh-CN"/>
              </w:rPr>
              <w:t>3.1.3.</w:t>
            </w:r>
            <w:r w:rsidR="00877D91" w:rsidRPr="000D7C1E">
              <w:rPr>
                <w:rFonts w:asciiTheme="minorHAnsi" w:eastAsiaTheme="minorEastAsia" w:hAnsiTheme="minorHAnsi"/>
                <w:sz w:val="22"/>
                <w:lang w:eastAsia="ru-RU"/>
              </w:rPr>
              <w:tab/>
            </w:r>
            <w:r w:rsidR="00877D91" w:rsidRPr="000D7C1E">
              <w:rPr>
                <w:rStyle w:val="ad"/>
                <w:rFonts w:eastAsia="Calibri" w:cs="Times New Roman"/>
                <w:bCs/>
                <w:iCs/>
                <w:kern w:val="3"/>
                <w:lang w:eastAsia="zh-CN"/>
              </w:rPr>
              <w:t>Социально-экономическая ситуация в Республике Саха (Якутия) за январь-декабрь 2018 года.</w:t>
            </w:r>
            <w:r w:rsidR="00877D91" w:rsidRPr="000D7C1E">
              <w:rPr>
                <w:webHidden/>
              </w:rPr>
              <w:tab/>
            </w:r>
            <w:r w:rsidR="00877D91" w:rsidRPr="000D7C1E">
              <w:rPr>
                <w:webHidden/>
              </w:rPr>
              <w:fldChar w:fldCharType="begin"/>
            </w:r>
            <w:r w:rsidR="00877D91" w:rsidRPr="000D7C1E">
              <w:rPr>
                <w:webHidden/>
              </w:rPr>
              <w:instrText xml:space="preserve"> PAGEREF _Toc14819102 \h </w:instrText>
            </w:r>
            <w:r w:rsidR="00877D91" w:rsidRPr="000D7C1E">
              <w:rPr>
                <w:webHidden/>
              </w:rPr>
            </w:r>
            <w:r w:rsidR="00877D91" w:rsidRPr="000D7C1E">
              <w:rPr>
                <w:webHidden/>
              </w:rPr>
              <w:fldChar w:fldCharType="separate"/>
            </w:r>
            <w:r w:rsidR="00FD2769">
              <w:rPr>
                <w:webHidden/>
              </w:rPr>
              <w:t>59</w:t>
            </w:r>
            <w:r w:rsidR="00877D91" w:rsidRPr="000D7C1E">
              <w:rPr>
                <w:webHidden/>
              </w:rPr>
              <w:fldChar w:fldCharType="end"/>
            </w:r>
          </w:hyperlink>
        </w:p>
        <w:p w14:paraId="42134641" w14:textId="6966DECF" w:rsidR="00877D91" w:rsidRPr="000D7C1E" w:rsidRDefault="00A90944">
          <w:pPr>
            <w:pStyle w:val="31"/>
            <w:tabs>
              <w:tab w:val="left" w:pos="1760"/>
            </w:tabs>
            <w:rPr>
              <w:rFonts w:asciiTheme="minorHAnsi" w:eastAsiaTheme="minorEastAsia" w:hAnsiTheme="minorHAnsi"/>
              <w:sz w:val="22"/>
              <w:lang w:eastAsia="ru-RU"/>
            </w:rPr>
          </w:pPr>
          <w:hyperlink w:anchor="_Toc14819103" w:history="1">
            <w:r w:rsidR="00877D91" w:rsidRPr="000D7C1E">
              <w:rPr>
                <w:rStyle w:val="ad"/>
                <w:rFonts w:eastAsia="Calibri" w:cs="Times New Roman"/>
                <w:bCs/>
                <w:iCs/>
                <w:kern w:val="3"/>
                <w:lang w:eastAsia="zh-CN"/>
              </w:rPr>
              <w:t>3.1.4.</w:t>
            </w:r>
            <w:r w:rsidR="00877D91" w:rsidRPr="000D7C1E">
              <w:rPr>
                <w:rFonts w:asciiTheme="minorHAnsi" w:eastAsiaTheme="minorEastAsia" w:hAnsiTheme="minorHAnsi"/>
                <w:sz w:val="22"/>
                <w:lang w:eastAsia="ru-RU"/>
              </w:rPr>
              <w:tab/>
            </w:r>
            <w:r w:rsidR="00877D91" w:rsidRPr="000D7C1E">
              <w:rPr>
                <w:rStyle w:val="ad"/>
                <w:rFonts w:eastAsia="Calibri" w:cs="Times New Roman"/>
                <w:bCs/>
                <w:iCs/>
                <w:kern w:val="3"/>
                <w:lang w:eastAsia="zh-CN"/>
              </w:rPr>
              <w:t>Анализ информации о рынке объектов недвижимости Республики Саха (Якутия)</w:t>
            </w:r>
            <w:r w:rsidR="00877D91" w:rsidRPr="000D7C1E">
              <w:rPr>
                <w:webHidden/>
              </w:rPr>
              <w:tab/>
            </w:r>
            <w:r w:rsidR="00877D91" w:rsidRPr="000D7C1E">
              <w:rPr>
                <w:webHidden/>
              </w:rPr>
              <w:fldChar w:fldCharType="begin"/>
            </w:r>
            <w:r w:rsidR="00877D91" w:rsidRPr="000D7C1E">
              <w:rPr>
                <w:webHidden/>
              </w:rPr>
              <w:instrText xml:space="preserve"> PAGEREF _Toc14819103 \h </w:instrText>
            </w:r>
            <w:r w:rsidR="00877D91" w:rsidRPr="000D7C1E">
              <w:rPr>
                <w:webHidden/>
              </w:rPr>
            </w:r>
            <w:r w:rsidR="00877D91" w:rsidRPr="000D7C1E">
              <w:rPr>
                <w:webHidden/>
              </w:rPr>
              <w:fldChar w:fldCharType="separate"/>
            </w:r>
            <w:r w:rsidR="00FD2769">
              <w:rPr>
                <w:webHidden/>
              </w:rPr>
              <w:t>70</w:t>
            </w:r>
            <w:r w:rsidR="00877D91" w:rsidRPr="000D7C1E">
              <w:rPr>
                <w:webHidden/>
              </w:rPr>
              <w:fldChar w:fldCharType="end"/>
            </w:r>
          </w:hyperlink>
        </w:p>
        <w:p w14:paraId="787B096C" w14:textId="581AE4BF" w:rsidR="00877D91" w:rsidRPr="000D7C1E" w:rsidRDefault="00A90944">
          <w:pPr>
            <w:pStyle w:val="31"/>
            <w:tabs>
              <w:tab w:val="left" w:pos="1760"/>
            </w:tabs>
            <w:rPr>
              <w:rFonts w:asciiTheme="minorHAnsi" w:eastAsiaTheme="minorEastAsia" w:hAnsiTheme="minorHAnsi"/>
              <w:sz w:val="22"/>
              <w:lang w:eastAsia="ru-RU"/>
            </w:rPr>
          </w:pPr>
          <w:hyperlink w:anchor="_Toc14819104" w:history="1">
            <w:r w:rsidR="00877D91" w:rsidRPr="000D7C1E">
              <w:rPr>
                <w:rStyle w:val="ad"/>
                <w:rFonts w:eastAsia="Calibri" w:cs="Times New Roman"/>
                <w:bCs/>
                <w:iCs/>
                <w:kern w:val="3"/>
                <w:lang w:eastAsia="zh-CN"/>
              </w:rPr>
              <w:t>3.1.5.</w:t>
            </w:r>
            <w:r w:rsidR="00877D91" w:rsidRPr="000D7C1E">
              <w:rPr>
                <w:rFonts w:asciiTheme="minorHAnsi" w:eastAsiaTheme="minorEastAsia" w:hAnsiTheme="minorHAnsi"/>
                <w:sz w:val="22"/>
                <w:lang w:eastAsia="ru-RU"/>
              </w:rPr>
              <w:tab/>
            </w:r>
            <w:r w:rsidR="00877D91" w:rsidRPr="000D7C1E">
              <w:rPr>
                <w:rStyle w:val="ad"/>
                <w:rFonts w:eastAsia="Calibri" w:cs="Times New Roman"/>
                <w:bCs/>
                <w:iCs/>
                <w:kern w:val="3"/>
                <w:lang w:eastAsia="zh-CN"/>
              </w:rPr>
              <w:t>Сбор и обработка рыночной информации</w:t>
            </w:r>
            <w:r w:rsidR="00877D91" w:rsidRPr="000D7C1E">
              <w:rPr>
                <w:webHidden/>
              </w:rPr>
              <w:tab/>
            </w:r>
            <w:r w:rsidR="00877D91" w:rsidRPr="000D7C1E">
              <w:rPr>
                <w:webHidden/>
              </w:rPr>
              <w:fldChar w:fldCharType="begin"/>
            </w:r>
            <w:r w:rsidR="00877D91" w:rsidRPr="000D7C1E">
              <w:rPr>
                <w:webHidden/>
              </w:rPr>
              <w:instrText xml:space="preserve"> PAGEREF _Toc14819104 \h </w:instrText>
            </w:r>
            <w:r w:rsidR="00877D91" w:rsidRPr="000D7C1E">
              <w:rPr>
                <w:webHidden/>
              </w:rPr>
            </w:r>
            <w:r w:rsidR="00877D91" w:rsidRPr="000D7C1E">
              <w:rPr>
                <w:webHidden/>
              </w:rPr>
              <w:fldChar w:fldCharType="separate"/>
            </w:r>
            <w:r w:rsidR="00FD2769">
              <w:rPr>
                <w:webHidden/>
              </w:rPr>
              <w:t>74</w:t>
            </w:r>
            <w:r w:rsidR="00877D91" w:rsidRPr="000D7C1E">
              <w:rPr>
                <w:webHidden/>
              </w:rPr>
              <w:fldChar w:fldCharType="end"/>
            </w:r>
          </w:hyperlink>
        </w:p>
        <w:p w14:paraId="23255DF6" w14:textId="43B8C550" w:rsidR="00877D91" w:rsidRPr="000D7C1E" w:rsidRDefault="00A90944">
          <w:pPr>
            <w:pStyle w:val="31"/>
            <w:tabs>
              <w:tab w:val="left" w:pos="1760"/>
            </w:tabs>
            <w:rPr>
              <w:rFonts w:asciiTheme="minorHAnsi" w:eastAsiaTheme="minorEastAsia" w:hAnsiTheme="minorHAnsi"/>
              <w:sz w:val="22"/>
              <w:lang w:eastAsia="ru-RU"/>
            </w:rPr>
          </w:pPr>
          <w:hyperlink w:anchor="_Toc14819105" w:history="1">
            <w:r w:rsidR="00877D91" w:rsidRPr="000D7C1E">
              <w:rPr>
                <w:rStyle w:val="ad"/>
                <w:rFonts w:eastAsia="Calibri" w:cs="Times New Roman"/>
                <w:bCs/>
                <w:iCs/>
                <w:kern w:val="3"/>
                <w:lang w:eastAsia="zh-CN"/>
              </w:rPr>
              <w:t>3.1.6.</w:t>
            </w:r>
            <w:r w:rsidR="00877D91" w:rsidRPr="000D7C1E">
              <w:rPr>
                <w:rFonts w:asciiTheme="minorHAnsi" w:eastAsiaTheme="minorEastAsia" w:hAnsiTheme="minorHAnsi"/>
                <w:sz w:val="22"/>
                <w:lang w:eastAsia="ru-RU"/>
              </w:rPr>
              <w:tab/>
            </w:r>
            <w:r w:rsidR="00877D91" w:rsidRPr="000D7C1E">
              <w:rPr>
                <w:rStyle w:val="ad"/>
                <w:rFonts w:eastAsia="Calibri" w:cs="Times New Roman"/>
                <w:bCs/>
                <w:iCs/>
                <w:kern w:val="3"/>
                <w:lang w:eastAsia="zh-CN"/>
              </w:rPr>
              <w:t>Информация об определении ценообразующих факторов и источниках сведений о них.</w:t>
            </w:r>
            <w:r w:rsidR="00877D91" w:rsidRPr="000D7C1E">
              <w:rPr>
                <w:webHidden/>
              </w:rPr>
              <w:tab/>
            </w:r>
            <w:r w:rsidR="00877D91" w:rsidRPr="000D7C1E">
              <w:rPr>
                <w:webHidden/>
              </w:rPr>
              <w:fldChar w:fldCharType="begin"/>
            </w:r>
            <w:r w:rsidR="00877D91" w:rsidRPr="000D7C1E">
              <w:rPr>
                <w:webHidden/>
              </w:rPr>
              <w:instrText xml:space="preserve"> PAGEREF _Toc14819105 \h </w:instrText>
            </w:r>
            <w:r w:rsidR="00877D91" w:rsidRPr="000D7C1E">
              <w:rPr>
                <w:webHidden/>
              </w:rPr>
            </w:r>
            <w:r w:rsidR="00877D91" w:rsidRPr="000D7C1E">
              <w:rPr>
                <w:webHidden/>
              </w:rPr>
              <w:fldChar w:fldCharType="separate"/>
            </w:r>
            <w:r w:rsidR="00FD2769">
              <w:rPr>
                <w:webHidden/>
              </w:rPr>
              <w:t>80</w:t>
            </w:r>
            <w:r w:rsidR="00877D91" w:rsidRPr="000D7C1E">
              <w:rPr>
                <w:webHidden/>
              </w:rPr>
              <w:fldChar w:fldCharType="end"/>
            </w:r>
          </w:hyperlink>
        </w:p>
        <w:p w14:paraId="6B92653B" w14:textId="3320DEBB" w:rsidR="00877D91" w:rsidRPr="000D7C1E" w:rsidRDefault="00A90944">
          <w:pPr>
            <w:pStyle w:val="31"/>
            <w:tabs>
              <w:tab w:val="left" w:pos="1760"/>
            </w:tabs>
            <w:rPr>
              <w:rFonts w:asciiTheme="minorHAnsi" w:eastAsiaTheme="minorEastAsia" w:hAnsiTheme="minorHAnsi"/>
              <w:sz w:val="22"/>
              <w:lang w:eastAsia="ru-RU"/>
            </w:rPr>
          </w:pPr>
          <w:hyperlink w:anchor="_Toc14819106" w:history="1">
            <w:r w:rsidR="00877D91" w:rsidRPr="000D7C1E">
              <w:rPr>
                <w:rStyle w:val="ad"/>
                <w:rFonts w:eastAsia="Calibri" w:cs="Times New Roman"/>
                <w:bCs/>
                <w:iCs/>
                <w:kern w:val="3"/>
                <w:lang w:eastAsia="zh-CN"/>
              </w:rPr>
              <w:t>3.1.7.</w:t>
            </w:r>
            <w:r w:rsidR="00877D91" w:rsidRPr="000D7C1E">
              <w:rPr>
                <w:rFonts w:asciiTheme="minorHAnsi" w:eastAsiaTheme="minorEastAsia" w:hAnsiTheme="minorHAnsi"/>
                <w:sz w:val="22"/>
                <w:lang w:eastAsia="ru-RU"/>
              </w:rPr>
              <w:tab/>
            </w:r>
            <w:r w:rsidR="00877D91" w:rsidRPr="000D7C1E">
              <w:rPr>
                <w:rStyle w:val="ad"/>
                <w:rFonts w:eastAsia="Calibri" w:cs="Times New Roman"/>
                <w:bCs/>
                <w:iCs/>
                <w:kern w:val="3"/>
                <w:lang w:eastAsia="zh-CN"/>
              </w:rPr>
              <w:t>Обоснование моделей (методов) оценки кадастровой стоимости</w:t>
            </w:r>
            <w:r w:rsidR="00877D91" w:rsidRPr="000D7C1E">
              <w:rPr>
                <w:webHidden/>
              </w:rPr>
              <w:tab/>
            </w:r>
            <w:r w:rsidR="00877D91" w:rsidRPr="000D7C1E">
              <w:rPr>
                <w:webHidden/>
              </w:rPr>
              <w:fldChar w:fldCharType="begin"/>
            </w:r>
            <w:r w:rsidR="00877D91" w:rsidRPr="000D7C1E">
              <w:rPr>
                <w:webHidden/>
              </w:rPr>
              <w:instrText xml:space="preserve"> PAGEREF _Toc14819106 \h </w:instrText>
            </w:r>
            <w:r w:rsidR="00877D91" w:rsidRPr="000D7C1E">
              <w:rPr>
                <w:webHidden/>
              </w:rPr>
            </w:r>
            <w:r w:rsidR="00877D91" w:rsidRPr="000D7C1E">
              <w:rPr>
                <w:webHidden/>
              </w:rPr>
              <w:fldChar w:fldCharType="separate"/>
            </w:r>
            <w:r w:rsidR="00FD2769">
              <w:rPr>
                <w:webHidden/>
              </w:rPr>
              <w:t>89</w:t>
            </w:r>
            <w:r w:rsidR="00877D91" w:rsidRPr="000D7C1E">
              <w:rPr>
                <w:webHidden/>
              </w:rPr>
              <w:fldChar w:fldCharType="end"/>
            </w:r>
          </w:hyperlink>
        </w:p>
        <w:p w14:paraId="6A42717B" w14:textId="1184B4A0" w:rsidR="00877D91" w:rsidRPr="000D7C1E" w:rsidRDefault="00A90944">
          <w:pPr>
            <w:pStyle w:val="15"/>
            <w:rPr>
              <w:rFonts w:asciiTheme="minorHAnsi" w:eastAsiaTheme="minorEastAsia" w:hAnsiTheme="minorHAnsi" w:cstheme="minorBidi"/>
              <w:sz w:val="22"/>
              <w:szCs w:val="22"/>
              <w:lang w:eastAsia="ru-RU"/>
            </w:rPr>
          </w:pPr>
          <w:hyperlink w:anchor="_Toc14819107" w:history="1">
            <w:r w:rsidR="00877D91" w:rsidRPr="000D7C1E">
              <w:rPr>
                <w:rStyle w:val="ad"/>
              </w:rPr>
              <w:t>3.2.</w:t>
            </w:r>
            <w:r w:rsidR="00877D91" w:rsidRPr="000D7C1E">
              <w:rPr>
                <w:rFonts w:asciiTheme="minorHAnsi" w:eastAsiaTheme="minorEastAsia" w:hAnsiTheme="minorHAnsi" w:cstheme="minorBidi"/>
                <w:sz w:val="22"/>
                <w:szCs w:val="22"/>
                <w:lang w:eastAsia="ru-RU"/>
              </w:rPr>
              <w:tab/>
            </w:r>
            <w:r w:rsidR="00877D91" w:rsidRPr="000D7C1E">
              <w:rPr>
                <w:rStyle w:val="ad"/>
              </w:rPr>
              <w:t>Описание и обоснование подходов к выбору типового объекта недвижимости в целях проведения оценочного зонирования</w:t>
            </w:r>
            <w:r w:rsidR="00877D91" w:rsidRPr="000D7C1E">
              <w:rPr>
                <w:webHidden/>
              </w:rPr>
              <w:tab/>
            </w:r>
            <w:r w:rsidR="00877D91" w:rsidRPr="000D7C1E">
              <w:rPr>
                <w:webHidden/>
              </w:rPr>
              <w:fldChar w:fldCharType="begin"/>
            </w:r>
            <w:r w:rsidR="00877D91" w:rsidRPr="000D7C1E">
              <w:rPr>
                <w:webHidden/>
              </w:rPr>
              <w:instrText xml:space="preserve"> PAGEREF _Toc14819107 \h </w:instrText>
            </w:r>
            <w:r w:rsidR="00877D91" w:rsidRPr="000D7C1E">
              <w:rPr>
                <w:webHidden/>
              </w:rPr>
            </w:r>
            <w:r w:rsidR="00877D91" w:rsidRPr="000D7C1E">
              <w:rPr>
                <w:webHidden/>
              </w:rPr>
              <w:fldChar w:fldCharType="separate"/>
            </w:r>
            <w:r w:rsidR="00FD2769">
              <w:rPr>
                <w:webHidden/>
              </w:rPr>
              <w:t>93</w:t>
            </w:r>
            <w:r w:rsidR="00877D91" w:rsidRPr="000D7C1E">
              <w:rPr>
                <w:webHidden/>
              </w:rPr>
              <w:fldChar w:fldCharType="end"/>
            </w:r>
          </w:hyperlink>
        </w:p>
        <w:p w14:paraId="12086F00" w14:textId="72816CDA" w:rsidR="00877D91" w:rsidRPr="000D7C1E" w:rsidRDefault="00A90944">
          <w:pPr>
            <w:pStyle w:val="31"/>
            <w:tabs>
              <w:tab w:val="left" w:pos="1760"/>
            </w:tabs>
            <w:rPr>
              <w:rFonts w:asciiTheme="minorHAnsi" w:eastAsiaTheme="minorEastAsia" w:hAnsiTheme="minorHAnsi"/>
              <w:sz w:val="22"/>
              <w:lang w:eastAsia="ru-RU"/>
            </w:rPr>
          </w:pPr>
          <w:hyperlink w:anchor="_Toc14819108" w:history="1">
            <w:r w:rsidR="00877D91" w:rsidRPr="000D7C1E">
              <w:rPr>
                <w:rStyle w:val="ad"/>
                <w:rFonts w:eastAsia="Times New Roman" w:cs="Times New Roman"/>
                <w:i/>
                <w:lang w:eastAsia="ru-RU"/>
              </w:rPr>
              <w:t>3.2.1.</w:t>
            </w:r>
            <w:r w:rsidR="00877D91" w:rsidRPr="000D7C1E">
              <w:rPr>
                <w:rFonts w:asciiTheme="minorHAnsi" w:eastAsiaTheme="minorEastAsia" w:hAnsiTheme="minorHAnsi"/>
                <w:sz w:val="22"/>
                <w:lang w:eastAsia="ru-RU"/>
              </w:rPr>
              <w:tab/>
            </w:r>
            <w:r w:rsidR="00877D91" w:rsidRPr="000D7C1E">
              <w:rPr>
                <w:rStyle w:val="ad"/>
                <w:rFonts w:eastAsia="Times New Roman" w:cs="Times New Roman"/>
                <w:i/>
                <w:lang w:eastAsia="ru-RU"/>
              </w:rPr>
              <w:t>Описание и обоснование подходов к выбору типового объекта недвижимости.</w:t>
            </w:r>
            <w:r w:rsidR="00877D91" w:rsidRPr="000D7C1E">
              <w:rPr>
                <w:webHidden/>
              </w:rPr>
              <w:tab/>
            </w:r>
            <w:r w:rsidR="00877D91" w:rsidRPr="000D7C1E">
              <w:rPr>
                <w:webHidden/>
              </w:rPr>
              <w:fldChar w:fldCharType="begin"/>
            </w:r>
            <w:r w:rsidR="00877D91" w:rsidRPr="000D7C1E">
              <w:rPr>
                <w:webHidden/>
              </w:rPr>
              <w:instrText xml:space="preserve"> PAGEREF _Toc14819108 \h </w:instrText>
            </w:r>
            <w:r w:rsidR="00877D91" w:rsidRPr="000D7C1E">
              <w:rPr>
                <w:webHidden/>
              </w:rPr>
            </w:r>
            <w:r w:rsidR="00877D91" w:rsidRPr="000D7C1E">
              <w:rPr>
                <w:webHidden/>
              </w:rPr>
              <w:fldChar w:fldCharType="separate"/>
            </w:r>
            <w:r w:rsidR="00FD2769">
              <w:rPr>
                <w:webHidden/>
              </w:rPr>
              <w:t>93</w:t>
            </w:r>
            <w:r w:rsidR="00877D91" w:rsidRPr="000D7C1E">
              <w:rPr>
                <w:webHidden/>
              </w:rPr>
              <w:fldChar w:fldCharType="end"/>
            </w:r>
          </w:hyperlink>
        </w:p>
        <w:p w14:paraId="68971B61" w14:textId="48415EE4" w:rsidR="00877D91" w:rsidRPr="000D7C1E" w:rsidRDefault="00A90944">
          <w:pPr>
            <w:pStyle w:val="31"/>
            <w:tabs>
              <w:tab w:val="left" w:pos="1760"/>
            </w:tabs>
            <w:rPr>
              <w:rFonts w:asciiTheme="minorHAnsi" w:eastAsiaTheme="minorEastAsia" w:hAnsiTheme="minorHAnsi"/>
              <w:sz w:val="22"/>
              <w:lang w:eastAsia="ru-RU"/>
            </w:rPr>
          </w:pPr>
          <w:hyperlink w:anchor="_Toc14819109" w:history="1">
            <w:r w:rsidR="00877D91" w:rsidRPr="000D7C1E">
              <w:rPr>
                <w:rStyle w:val="ad"/>
                <w:rFonts w:eastAsia="Times New Roman" w:cs="Times New Roman"/>
                <w:i/>
                <w:lang w:eastAsia="ru-RU"/>
              </w:rPr>
              <w:t>3.2.2.</w:t>
            </w:r>
            <w:r w:rsidR="00877D91" w:rsidRPr="000D7C1E">
              <w:rPr>
                <w:rFonts w:asciiTheme="minorHAnsi" w:eastAsiaTheme="minorEastAsia" w:hAnsiTheme="minorHAnsi"/>
                <w:sz w:val="22"/>
                <w:lang w:eastAsia="ru-RU"/>
              </w:rPr>
              <w:tab/>
            </w:r>
            <w:r w:rsidR="00877D91" w:rsidRPr="000D7C1E">
              <w:rPr>
                <w:rStyle w:val="ad"/>
                <w:rFonts w:eastAsia="Times New Roman" w:cs="Times New Roman"/>
                <w:i/>
                <w:lang w:eastAsia="ru-RU"/>
              </w:rPr>
              <w:t>Оценочное зонирование г.Якутск</w:t>
            </w:r>
            <w:r w:rsidR="00877D91" w:rsidRPr="000D7C1E">
              <w:rPr>
                <w:webHidden/>
              </w:rPr>
              <w:tab/>
            </w:r>
            <w:r w:rsidR="00877D91" w:rsidRPr="000D7C1E">
              <w:rPr>
                <w:webHidden/>
              </w:rPr>
              <w:fldChar w:fldCharType="begin"/>
            </w:r>
            <w:r w:rsidR="00877D91" w:rsidRPr="000D7C1E">
              <w:rPr>
                <w:webHidden/>
              </w:rPr>
              <w:instrText xml:space="preserve"> PAGEREF _Toc14819109 \h </w:instrText>
            </w:r>
            <w:r w:rsidR="00877D91" w:rsidRPr="000D7C1E">
              <w:rPr>
                <w:webHidden/>
              </w:rPr>
            </w:r>
            <w:r w:rsidR="00877D91" w:rsidRPr="000D7C1E">
              <w:rPr>
                <w:webHidden/>
              </w:rPr>
              <w:fldChar w:fldCharType="separate"/>
            </w:r>
            <w:r w:rsidR="00FD2769">
              <w:rPr>
                <w:webHidden/>
              </w:rPr>
              <w:t>94</w:t>
            </w:r>
            <w:r w:rsidR="00877D91" w:rsidRPr="000D7C1E">
              <w:rPr>
                <w:webHidden/>
              </w:rPr>
              <w:fldChar w:fldCharType="end"/>
            </w:r>
          </w:hyperlink>
        </w:p>
        <w:p w14:paraId="080243EA" w14:textId="159A1326" w:rsidR="00877D91" w:rsidRPr="000D7C1E" w:rsidRDefault="00A90944">
          <w:pPr>
            <w:pStyle w:val="15"/>
            <w:rPr>
              <w:rFonts w:asciiTheme="minorHAnsi" w:eastAsiaTheme="minorEastAsia" w:hAnsiTheme="minorHAnsi" w:cstheme="minorBidi"/>
              <w:sz w:val="22"/>
              <w:szCs w:val="22"/>
              <w:lang w:eastAsia="ru-RU"/>
            </w:rPr>
          </w:pPr>
          <w:hyperlink w:anchor="_Toc14819110" w:history="1">
            <w:r w:rsidR="00877D91" w:rsidRPr="000D7C1E">
              <w:rPr>
                <w:rStyle w:val="ad"/>
              </w:rPr>
              <w:t>3.3.</w:t>
            </w:r>
            <w:r w:rsidR="00877D91" w:rsidRPr="000D7C1E">
              <w:rPr>
                <w:rFonts w:asciiTheme="minorHAnsi" w:eastAsiaTheme="minorEastAsia" w:hAnsiTheme="minorHAnsi" w:cstheme="minorBidi"/>
                <w:sz w:val="22"/>
                <w:szCs w:val="22"/>
                <w:lang w:eastAsia="ru-RU"/>
              </w:rPr>
              <w:tab/>
            </w:r>
            <w:r w:rsidR="00877D91" w:rsidRPr="000D7C1E">
              <w:rPr>
                <w:rStyle w:val="ad"/>
              </w:rPr>
              <w:t>Обоснование подходов к сегментации объектов недвижимости, подлежащих государственной кадастровой оценке, в целях их группировки</w:t>
            </w:r>
            <w:r w:rsidR="00877D91" w:rsidRPr="000D7C1E">
              <w:rPr>
                <w:webHidden/>
              </w:rPr>
              <w:tab/>
            </w:r>
            <w:r w:rsidR="00877D91" w:rsidRPr="000D7C1E">
              <w:rPr>
                <w:webHidden/>
              </w:rPr>
              <w:fldChar w:fldCharType="begin"/>
            </w:r>
            <w:r w:rsidR="00877D91" w:rsidRPr="000D7C1E">
              <w:rPr>
                <w:webHidden/>
              </w:rPr>
              <w:instrText xml:space="preserve"> PAGEREF _Toc14819110 \h </w:instrText>
            </w:r>
            <w:r w:rsidR="00877D91" w:rsidRPr="000D7C1E">
              <w:rPr>
                <w:webHidden/>
              </w:rPr>
            </w:r>
            <w:r w:rsidR="00877D91" w:rsidRPr="000D7C1E">
              <w:rPr>
                <w:webHidden/>
              </w:rPr>
              <w:fldChar w:fldCharType="separate"/>
            </w:r>
            <w:r w:rsidR="00FD2769">
              <w:rPr>
                <w:webHidden/>
              </w:rPr>
              <w:t>102</w:t>
            </w:r>
            <w:r w:rsidR="00877D91" w:rsidRPr="000D7C1E">
              <w:rPr>
                <w:webHidden/>
              </w:rPr>
              <w:fldChar w:fldCharType="end"/>
            </w:r>
          </w:hyperlink>
        </w:p>
        <w:p w14:paraId="59F41C28" w14:textId="115C39F5" w:rsidR="00877D91" w:rsidRPr="000D7C1E" w:rsidRDefault="00A90944">
          <w:pPr>
            <w:pStyle w:val="15"/>
            <w:rPr>
              <w:rFonts w:asciiTheme="minorHAnsi" w:eastAsiaTheme="minorEastAsia" w:hAnsiTheme="minorHAnsi" w:cstheme="minorBidi"/>
              <w:sz w:val="22"/>
              <w:szCs w:val="22"/>
              <w:lang w:eastAsia="ru-RU"/>
            </w:rPr>
          </w:pPr>
          <w:hyperlink w:anchor="_Toc14819111" w:history="1">
            <w:r w:rsidR="00877D91" w:rsidRPr="000D7C1E">
              <w:rPr>
                <w:rStyle w:val="ad"/>
              </w:rPr>
              <w:t>3.4.</w:t>
            </w:r>
            <w:r w:rsidR="00877D91" w:rsidRPr="000D7C1E">
              <w:rPr>
                <w:rFonts w:asciiTheme="minorHAnsi" w:eastAsiaTheme="minorEastAsia" w:hAnsiTheme="minorHAnsi" w:cstheme="minorBidi"/>
                <w:sz w:val="22"/>
                <w:szCs w:val="22"/>
                <w:lang w:eastAsia="ru-RU"/>
              </w:rPr>
              <w:tab/>
            </w:r>
            <w:r w:rsidR="00877D91" w:rsidRPr="000D7C1E">
              <w:rPr>
                <w:rStyle w:val="ad"/>
              </w:rPr>
              <w:t>Обоснование отказа от использования ценообразующих факторов, предусмотренных Методическими указаниями.</w:t>
            </w:r>
            <w:r w:rsidR="00877D91" w:rsidRPr="000D7C1E">
              <w:rPr>
                <w:webHidden/>
              </w:rPr>
              <w:tab/>
            </w:r>
            <w:r w:rsidR="00877D91" w:rsidRPr="000D7C1E">
              <w:rPr>
                <w:webHidden/>
              </w:rPr>
              <w:fldChar w:fldCharType="begin"/>
            </w:r>
            <w:r w:rsidR="00877D91" w:rsidRPr="000D7C1E">
              <w:rPr>
                <w:webHidden/>
              </w:rPr>
              <w:instrText xml:space="preserve"> PAGEREF _Toc14819111 \h </w:instrText>
            </w:r>
            <w:r w:rsidR="00877D91" w:rsidRPr="000D7C1E">
              <w:rPr>
                <w:webHidden/>
              </w:rPr>
            </w:r>
            <w:r w:rsidR="00877D91" w:rsidRPr="000D7C1E">
              <w:rPr>
                <w:webHidden/>
              </w:rPr>
              <w:fldChar w:fldCharType="separate"/>
            </w:r>
            <w:r w:rsidR="00FD2769">
              <w:rPr>
                <w:webHidden/>
              </w:rPr>
              <w:t>142</w:t>
            </w:r>
            <w:r w:rsidR="00877D91" w:rsidRPr="000D7C1E">
              <w:rPr>
                <w:webHidden/>
              </w:rPr>
              <w:fldChar w:fldCharType="end"/>
            </w:r>
          </w:hyperlink>
        </w:p>
        <w:p w14:paraId="04E9148F" w14:textId="114C57D9" w:rsidR="00877D91" w:rsidRPr="000D7C1E" w:rsidRDefault="00A90944">
          <w:pPr>
            <w:pStyle w:val="15"/>
            <w:rPr>
              <w:rFonts w:asciiTheme="minorHAnsi" w:eastAsiaTheme="minorEastAsia" w:hAnsiTheme="minorHAnsi" w:cstheme="minorBidi"/>
              <w:sz w:val="22"/>
              <w:szCs w:val="22"/>
              <w:lang w:eastAsia="ru-RU"/>
            </w:rPr>
          </w:pPr>
          <w:hyperlink w:anchor="_Toc14819112" w:history="1">
            <w:r w:rsidR="00877D91" w:rsidRPr="000D7C1E">
              <w:rPr>
                <w:rStyle w:val="ad"/>
              </w:rPr>
              <w:t>3.5.</w:t>
            </w:r>
            <w:r w:rsidR="00877D91" w:rsidRPr="000D7C1E">
              <w:rPr>
                <w:rFonts w:asciiTheme="minorHAnsi" w:eastAsiaTheme="minorEastAsia" w:hAnsiTheme="minorHAnsi" w:cstheme="minorBidi"/>
                <w:sz w:val="22"/>
                <w:szCs w:val="22"/>
                <w:lang w:eastAsia="ru-RU"/>
              </w:rPr>
              <w:tab/>
            </w:r>
            <w:r w:rsidR="00877D91" w:rsidRPr="000D7C1E">
              <w:rPr>
                <w:rStyle w:val="ad"/>
              </w:rPr>
              <w:t>Обоснование использования ценообразующих факторов, не предусмотренных Методическими указаниями</w:t>
            </w:r>
            <w:r w:rsidR="00877D91" w:rsidRPr="000D7C1E">
              <w:rPr>
                <w:webHidden/>
              </w:rPr>
              <w:tab/>
            </w:r>
            <w:r w:rsidR="00877D91" w:rsidRPr="000D7C1E">
              <w:rPr>
                <w:webHidden/>
              </w:rPr>
              <w:fldChar w:fldCharType="begin"/>
            </w:r>
            <w:r w:rsidR="00877D91" w:rsidRPr="000D7C1E">
              <w:rPr>
                <w:webHidden/>
              </w:rPr>
              <w:instrText xml:space="preserve"> PAGEREF _Toc14819112 \h </w:instrText>
            </w:r>
            <w:r w:rsidR="00877D91" w:rsidRPr="000D7C1E">
              <w:rPr>
                <w:webHidden/>
              </w:rPr>
            </w:r>
            <w:r w:rsidR="00877D91" w:rsidRPr="000D7C1E">
              <w:rPr>
                <w:webHidden/>
              </w:rPr>
              <w:fldChar w:fldCharType="separate"/>
            </w:r>
            <w:r w:rsidR="00FD2769">
              <w:rPr>
                <w:webHidden/>
              </w:rPr>
              <w:t>149</w:t>
            </w:r>
            <w:r w:rsidR="00877D91" w:rsidRPr="000D7C1E">
              <w:rPr>
                <w:webHidden/>
              </w:rPr>
              <w:fldChar w:fldCharType="end"/>
            </w:r>
          </w:hyperlink>
        </w:p>
        <w:p w14:paraId="7CC6663F" w14:textId="0D76D30D" w:rsidR="00877D91" w:rsidRPr="000D7C1E" w:rsidRDefault="00A90944">
          <w:pPr>
            <w:pStyle w:val="15"/>
            <w:rPr>
              <w:rFonts w:asciiTheme="minorHAnsi" w:eastAsiaTheme="minorEastAsia" w:hAnsiTheme="minorHAnsi" w:cstheme="minorBidi"/>
              <w:sz w:val="22"/>
              <w:szCs w:val="22"/>
              <w:lang w:eastAsia="ru-RU"/>
            </w:rPr>
          </w:pPr>
          <w:hyperlink w:anchor="_Toc14819113" w:history="1">
            <w:r w:rsidR="00877D91" w:rsidRPr="000D7C1E">
              <w:rPr>
                <w:rStyle w:val="ad"/>
              </w:rPr>
              <w:t>3.6.</w:t>
            </w:r>
            <w:r w:rsidR="00877D91" w:rsidRPr="000D7C1E">
              <w:rPr>
                <w:rFonts w:asciiTheme="minorHAnsi" w:eastAsiaTheme="minorEastAsia" w:hAnsiTheme="minorHAnsi" w:cstheme="minorBidi"/>
                <w:sz w:val="22"/>
                <w:szCs w:val="22"/>
                <w:lang w:eastAsia="ru-RU"/>
              </w:rPr>
              <w:tab/>
            </w:r>
            <w:r w:rsidR="00877D91" w:rsidRPr="000D7C1E">
              <w:rPr>
                <w:rStyle w:val="ad"/>
              </w:rPr>
              <w:t>Обоснование выбора подходов и методов, использованных для определения кадастровой стоимости объектов недвижимости.</w:t>
            </w:r>
            <w:r w:rsidR="00877D91" w:rsidRPr="000D7C1E">
              <w:rPr>
                <w:webHidden/>
              </w:rPr>
              <w:tab/>
            </w:r>
            <w:r w:rsidR="00877D91" w:rsidRPr="000D7C1E">
              <w:rPr>
                <w:webHidden/>
              </w:rPr>
              <w:fldChar w:fldCharType="begin"/>
            </w:r>
            <w:r w:rsidR="00877D91" w:rsidRPr="000D7C1E">
              <w:rPr>
                <w:webHidden/>
              </w:rPr>
              <w:instrText xml:space="preserve"> PAGEREF _Toc14819113 \h </w:instrText>
            </w:r>
            <w:r w:rsidR="00877D91" w:rsidRPr="000D7C1E">
              <w:rPr>
                <w:webHidden/>
              </w:rPr>
            </w:r>
            <w:r w:rsidR="00877D91" w:rsidRPr="000D7C1E">
              <w:rPr>
                <w:webHidden/>
              </w:rPr>
              <w:fldChar w:fldCharType="separate"/>
            </w:r>
            <w:r w:rsidR="00FD2769">
              <w:rPr>
                <w:webHidden/>
              </w:rPr>
              <w:t>150</w:t>
            </w:r>
            <w:r w:rsidR="00877D91" w:rsidRPr="000D7C1E">
              <w:rPr>
                <w:webHidden/>
              </w:rPr>
              <w:fldChar w:fldCharType="end"/>
            </w:r>
          </w:hyperlink>
        </w:p>
        <w:p w14:paraId="624D76D8" w14:textId="57C6B08C" w:rsidR="00877D91" w:rsidRPr="000D7C1E" w:rsidRDefault="00A90944">
          <w:pPr>
            <w:pStyle w:val="31"/>
            <w:tabs>
              <w:tab w:val="left" w:pos="1760"/>
            </w:tabs>
            <w:rPr>
              <w:rFonts w:asciiTheme="minorHAnsi" w:eastAsiaTheme="minorEastAsia" w:hAnsiTheme="minorHAnsi"/>
              <w:sz w:val="22"/>
              <w:lang w:eastAsia="ru-RU"/>
            </w:rPr>
          </w:pPr>
          <w:hyperlink w:anchor="_Toc14819114" w:history="1">
            <w:r w:rsidR="00877D91" w:rsidRPr="000D7C1E">
              <w:rPr>
                <w:rStyle w:val="ad"/>
                <w:rFonts w:eastAsia="Times New Roman" w:cs="Times New Roman"/>
                <w:lang w:eastAsia="ru-RU"/>
              </w:rPr>
              <w:t>3.6.1.</w:t>
            </w:r>
            <w:r w:rsidR="00877D91" w:rsidRPr="000D7C1E">
              <w:rPr>
                <w:rFonts w:asciiTheme="minorHAnsi" w:eastAsiaTheme="minorEastAsia" w:hAnsiTheme="minorHAnsi"/>
                <w:sz w:val="22"/>
                <w:lang w:eastAsia="ru-RU"/>
              </w:rPr>
              <w:tab/>
            </w:r>
            <w:r w:rsidR="00877D91" w:rsidRPr="000D7C1E">
              <w:rPr>
                <w:rStyle w:val="ad"/>
                <w:rFonts w:eastAsia="Times New Roman" w:cs="Times New Roman"/>
                <w:lang w:eastAsia="ru-RU"/>
              </w:rPr>
              <w:t>Описание подходов к оценке объектов оценки.</w:t>
            </w:r>
            <w:r w:rsidR="00877D91" w:rsidRPr="000D7C1E">
              <w:rPr>
                <w:webHidden/>
              </w:rPr>
              <w:tab/>
            </w:r>
            <w:r w:rsidR="00877D91" w:rsidRPr="000D7C1E">
              <w:rPr>
                <w:webHidden/>
              </w:rPr>
              <w:fldChar w:fldCharType="begin"/>
            </w:r>
            <w:r w:rsidR="00877D91" w:rsidRPr="000D7C1E">
              <w:rPr>
                <w:webHidden/>
              </w:rPr>
              <w:instrText xml:space="preserve"> PAGEREF _Toc14819114 \h </w:instrText>
            </w:r>
            <w:r w:rsidR="00877D91" w:rsidRPr="000D7C1E">
              <w:rPr>
                <w:webHidden/>
              </w:rPr>
            </w:r>
            <w:r w:rsidR="00877D91" w:rsidRPr="000D7C1E">
              <w:rPr>
                <w:webHidden/>
              </w:rPr>
              <w:fldChar w:fldCharType="separate"/>
            </w:r>
            <w:r w:rsidR="00FD2769">
              <w:rPr>
                <w:webHidden/>
              </w:rPr>
              <w:t>150</w:t>
            </w:r>
            <w:r w:rsidR="00877D91" w:rsidRPr="000D7C1E">
              <w:rPr>
                <w:webHidden/>
              </w:rPr>
              <w:fldChar w:fldCharType="end"/>
            </w:r>
          </w:hyperlink>
        </w:p>
        <w:p w14:paraId="50D53554" w14:textId="69E4D5A6" w:rsidR="00877D91" w:rsidRPr="000D7C1E" w:rsidRDefault="00A90944">
          <w:pPr>
            <w:pStyle w:val="31"/>
            <w:tabs>
              <w:tab w:val="left" w:pos="1760"/>
            </w:tabs>
            <w:rPr>
              <w:rFonts w:asciiTheme="minorHAnsi" w:eastAsiaTheme="minorEastAsia" w:hAnsiTheme="minorHAnsi"/>
              <w:sz w:val="22"/>
              <w:lang w:eastAsia="ru-RU"/>
            </w:rPr>
          </w:pPr>
          <w:hyperlink w:anchor="_Toc14819115" w:history="1">
            <w:r w:rsidR="00877D91" w:rsidRPr="000D7C1E">
              <w:rPr>
                <w:rStyle w:val="ad"/>
                <w:rFonts w:eastAsia="Times New Roman" w:cs="Times New Roman"/>
                <w:lang w:eastAsia="ru-RU"/>
              </w:rPr>
              <w:t>3.6.2.</w:t>
            </w:r>
            <w:r w:rsidR="00877D91" w:rsidRPr="000D7C1E">
              <w:rPr>
                <w:rFonts w:asciiTheme="minorHAnsi" w:eastAsiaTheme="minorEastAsia" w:hAnsiTheme="minorHAnsi"/>
                <w:sz w:val="22"/>
                <w:lang w:eastAsia="ru-RU"/>
              </w:rPr>
              <w:tab/>
            </w:r>
            <w:r w:rsidR="00877D91" w:rsidRPr="000D7C1E">
              <w:rPr>
                <w:rStyle w:val="ad"/>
                <w:rFonts w:eastAsia="Times New Roman" w:cs="Times New Roman"/>
                <w:lang w:eastAsia="ru-RU"/>
              </w:rPr>
              <w:t>Применительность подходов к оценке и обоснование выбора методов оценки.</w:t>
            </w:r>
            <w:r w:rsidR="00877D91" w:rsidRPr="000D7C1E">
              <w:rPr>
                <w:webHidden/>
              </w:rPr>
              <w:tab/>
            </w:r>
            <w:r w:rsidR="00877D91" w:rsidRPr="000D7C1E">
              <w:rPr>
                <w:webHidden/>
              </w:rPr>
              <w:fldChar w:fldCharType="begin"/>
            </w:r>
            <w:r w:rsidR="00877D91" w:rsidRPr="000D7C1E">
              <w:rPr>
                <w:webHidden/>
              </w:rPr>
              <w:instrText xml:space="preserve"> PAGEREF _Toc14819115 \h </w:instrText>
            </w:r>
            <w:r w:rsidR="00877D91" w:rsidRPr="000D7C1E">
              <w:rPr>
                <w:webHidden/>
              </w:rPr>
            </w:r>
            <w:r w:rsidR="00877D91" w:rsidRPr="000D7C1E">
              <w:rPr>
                <w:webHidden/>
              </w:rPr>
              <w:fldChar w:fldCharType="separate"/>
            </w:r>
            <w:r w:rsidR="00FD2769">
              <w:rPr>
                <w:webHidden/>
              </w:rPr>
              <w:t>152</w:t>
            </w:r>
            <w:r w:rsidR="00877D91" w:rsidRPr="000D7C1E">
              <w:rPr>
                <w:webHidden/>
              </w:rPr>
              <w:fldChar w:fldCharType="end"/>
            </w:r>
          </w:hyperlink>
        </w:p>
        <w:p w14:paraId="1E6BB0D5" w14:textId="175CB1EB" w:rsidR="00877D91" w:rsidRPr="000D7C1E" w:rsidRDefault="00A90944">
          <w:pPr>
            <w:pStyle w:val="31"/>
            <w:tabs>
              <w:tab w:val="left" w:pos="1845"/>
            </w:tabs>
            <w:rPr>
              <w:rFonts w:asciiTheme="minorHAnsi" w:eastAsiaTheme="minorEastAsia" w:hAnsiTheme="minorHAnsi"/>
              <w:sz w:val="22"/>
              <w:lang w:eastAsia="ru-RU"/>
            </w:rPr>
          </w:pPr>
          <w:hyperlink w:anchor="_Toc14819116" w:history="1">
            <w:r w:rsidR="00877D91" w:rsidRPr="000D7C1E">
              <w:rPr>
                <w:rStyle w:val="ad"/>
                <w:rFonts w:eastAsia="Times New Roman" w:cs="Times New Roman"/>
                <w:i/>
                <w:lang w:eastAsia="ru-RU"/>
              </w:rPr>
              <w:t>3.6.2.1.</w:t>
            </w:r>
            <w:r w:rsidR="00877D91" w:rsidRPr="000D7C1E">
              <w:rPr>
                <w:rFonts w:asciiTheme="minorHAnsi" w:eastAsiaTheme="minorEastAsia" w:hAnsiTheme="minorHAnsi"/>
                <w:sz w:val="22"/>
                <w:lang w:eastAsia="ru-RU"/>
              </w:rPr>
              <w:tab/>
            </w:r>
            <w:r w:rsidR="00877D91" w:rsidRPr="000D7C1E">
              <w:rPr>
                <w:rStyle w:val="ad"/>
                <w:rFonts w:eastAsia="Times New Roman" w:cs="Times New Roman"/>
                <w:i/>
                <w:lang w:eastAsia="ru-RU"/>
              </w:rPr>
              <w:t>Сравнительный подход</w:t>
            </w:r>
            <w:r w:rsidR="00877D91" w:rsidRPr="000D7C1E">
              <w:rPr>
                <w:webHidden/>
              </w:rPr>
              <w:tab/>
            </w:r>
            <w:r w:rsidR="00877D91" w:rsidRPr="000D7C1E">
              <w:rPr>
                <w:webHidden/>
              </w:rPr>
              <w:fldChar w:fldCharType="begin"/>
            </w:r>
            <w:r w:rsidR="00877D91" w:rsidRPr="000D7C1E">
              <w:rPr>
                <w:webHidden/>
              </w:rPr>
              <w:instrText xml:space="preserve"> PAGEREF _Toc14819116 \h </w:instrText>
            </w:r>
            <w:r w:rsidR="00877D91" w:rsidRPr="000D7C1E">
              <w:rPr>
                <w:webHidden/>
              </w:rPr>
            </w:r>
            <w:r w:rsidR="00877D91" w:rsidRPr="000D7C1E">
              <w:rPr>
                <w:webHidden/>
              </w:rPr>
              <w:fldChar w:fldCharType="separate"/>
            </w:r>
            <w:r w:rsidR="00FD2769">
              <w:rPr>
                <w:webHidden/>
              </w:rPr>
              <w:t>156</w:t>
            </w:r>
            <w:r w:rsidR="00877D91" w:rsidRPr="000D7C1E">
              <w:rPr>
                <w:webHidden/>
              </w:rPr>
              <w:fldChar w:fldCharType="end"/>
            </w:r>
          </w:hyperlink>
        </w:p>
        <w:p w14:paraId="246BA2A3" w14:textId="717FA691" w:rsidR="00877D91" w:rsidRPr="000D7C1E" w:rsidRDefault="00A90944">
          <w:pPr>
            <w:pStyle w:val="31"/>
            <w:tabs>
              <w:tab w:val="left" w:pos="1845"/>
            </w:tabs>
            <w:rPr>
              <w:rFonts w:asciiTheme="minorHAnsi" w:eastAsiaTheme="minorEastAsia" w:hAnsiTheme="minorHAnsi"/>
              <w:sz w:val="22"/>
              <w:lang w:eastAsia="ru-RU"/>
            </w:rPr>
          </w:pPr>
          <w:hyperlink w:anchor="_Toc14819117" w:history="1">
            <w:r w:rsidR="00877D91" w:rsidRPr="000D7C1E">
              <w:rPr>
                <w:rStyle w:val="ad"/>
                <w:rFonts w:eastAsia="Times New Roman" w:cs="Times New Roman"/>
                <w:i/>
                <w:lang w:eastAsia="ru-RU"/>
              </w:rPr>
              <w:t>3.6.2.2.</w:t>
            </w:r>
            <w:r w:rsidR="00877D91" w:rsidRPr="000D7C1E">
              <w:rPr>
                <w:rFonts w:asciiTheme="minorHAnsi" w:eastAsiaTheme="minorEastAsia" w:hAnsiTheme="minorHAnsi"/>
                <w:sz w:val="22"/>
                <w:lang w:eastAsia="ru-RU"/>
              </w:rPr>
              <w:tab/>
            </w:r>
            <w:r w:rsidR="00877D91" w:rsidRPr="000D7C1E">
              <w:rPr>
                <w:rStyle w:val="ad"/>
                <w:rFonts w:eastAsia="Times New Roman" w:cs="Times New Roman"/>
                <w:i/>
                <w:lang w:eastAsia="ru-RU"/>
              </w:rPr>
              <w:t>Затратный подход</w:t>
            </w:r>
            <w:r w:rsidR="00877D91" w:rsidRPr="000D7C1E">
              <w:rPr>
                <w:webHidden/>
              </w:rPr>
              <w:tab/>
            </w:r>
            <w:r w:rsidR="00877D91" w:rsidRPr="000D7C1E">
              <w:rPr>
                <w:webHidden/>
              </w:rPr>
              <w:fldChar w:fldCharType="begin"/>
            </w:r>
            <w:r w:rsidR="00877D91" w:rsidRPr="000D7C1E">
              <w:rPr>
                <w:webHidden/>
              </w:rPr>
              <w:instrText xml:space="preserve"> PAGEREF _Toc14819117 \h </w:instrText>
            </w:r>
            <w:r w:rsidR="00877D91" w:rsidRPr="000D7C1E">
              <w:rPr>
                <w:webHidden/>
              </w:rPr>
            </w:r>
            <w:r w:rsidR="00877D91" w:rsidRPr="000D7C1E">
              <w:rPr>
                <w:webHidden/>
              </w:rPr>
              <w:fldChar w:fldCharType="separate"/>
            </w:r>
            <w:r w:rsidR="00FD2769">
              <w:rPr>
                <w:webHidden/>
              </w:rPr>
              <w:t>158</w:t>
            </w:r>
            <w:r w:rsidR="00877D91" w:rsidRPr="000D7C1E">
              <w:rPr>
                <w:webHidden/>
              </w:rPr>
              <w:fldChar w:fldCharType="end"/>
            </w:r>
          </w:hyperlink>
        </w:p>
        <w:p w14:paraId="504B1716" w14:textId="4F4CDE3B" w:rsidR="00877D91" w:rsidRPr="000D7C1E" w:rsidRDefault="00A90944">
          <w:pPr>
            <w:pStyle w:val="31"/>
            <w:tabs>
              <w:tab w:val="left" w:pos="1845"/>
            </w:tabs>
            <w:rPr>
              <w:rFonts w:asciiTheme="minorHAnsi" w:eastAsiaTheme="minorEastAsia" w:hAnsiTheme="minorHAnsi"/>
              <w:sz w:val="22"/>
              <w:lang w:eastAsia="ru-RU"/>
            </w:rPr>
          </w:pPr>
          <w:hyperlink w:anchor="_Toc14819118" w:history="1">
            <w:r w:rsidR="00877D91" w:rsidRPr="000D7C1E">
              <w:rPr>
                <w:rStyle w:val="ad"/>
                <w:rFonts w:eastAsia="Times New Roman" w:cs="Times New Roman"/>
                <w:i/>
                <w:lang w:eastAsia="ru-RU"/>
              </w:rPr>
              <w:t>3.6.2.3.</w:t>
            </w:r>
            <w:r w:rsidR="00877D91" w:rsidRPr="000D7C1E">
              <w:rPr>
                <w:rFonts w:asciiTheme="minorHAnsi" w:eastAsiaTheme="minorEastAsia" w:hAnsiTheme="minorHAnsi"/>
                <w:sz w:val="22"/>
                <w:lang w:eastAsia="ru-RU"/>
              </w:rPr>
              <w:tab/>
            </w:r>
            <w:r w:rsidR="00877D91" w:rsidRPr="000D7C1E">
              <w:rPr>
                <w:rStyle w:val="ad"/>
                <w:rFonts w:eastAsia="Times New Roman" w:cs="Times New Roman"/>
                <w:i/>
                <w:lang w:eastAsia="ru-RU"/>
              </w:rPr>
              <w:t>Доходный подход</w:t>
            </w:r>
            <w:r w:rsidR="00877D91" w:rsidRPr="000D7C1E">
              <w:rPr>
                <w:webHidden/>
              </w:rPr>
              <w:tab/>
            </w:r>
            <w:r w:rsidR="00877D91" w:rsidRPr="000D7C1E">
              <w:rPr>
                <w:webHidden/>
              </w:rPr>
              <w:fldChar w:fldCharType="begin"/>
            </w:r>
            <w:r w:rsidR="00877D91" w:rsidRPr="000D7C1E">
              <w:rPr>
                <w:webHidden/>
              </w:rPr>
              <w:instrText xml:space="preserve"> PAGEREF _Toc14819118 \h </w:instrText>
            </w:r>
            <w:r w:rsidR="00877D91" w:rsidRPr="000D7C1E">
              <w:rPr>
                <w:webHidden/>
              </w:rPr>
            </w:r>
            <w:r w:rsidR="00877D91" w:rsidRPr="000D7C1E">
              <w:rPr>
                <w:webHidden/>
              </w:rPr>
              <w:fldChar w:fldCharType="separate"/>
            </w:r>
            <w:r w:rsidR="00FD2769">
              <w:rPr>
                <w:webHidden/>
              </w:rPr>
              <w:t>158</w:t>
            </w:r>
            <w:r w:rsidR="00877D91" w:rsidRPr="000D7C1E">
              <w:rPr>
                <w:webHidden/>
              </w:rPr>
              <w:fldChar w:fldCharType="end"/>
            </w:r>
          </w:hyperlink>
        </w:p>
        <w:p w14:paraId="6BC198F5" w14:textId="517033BA" w:rsidR="00877D91" w:rsidRPr="000D7C1E" w:rsidRDefault="00A90944">
          <w:pPr>
            <w:pStyle w:val="15"/>
            <w:rPr>
              <w:rFonts w:asciiTheme="minorHAnsi" w:eastAsiaTheme="minorEastAsia" w:hAnsiTheme="minorHAnsi" w:cstheme="minorBidi"/>
              <w:sz w:val="22"/>
              <w:szCs w:val="22"/>
              <w:lang w:eastAsia="ru-RU"/>
            </w:rPr>
          </w:pPr>
          <w:hyperlink w:anchor="_Toc14819119" w:history="1">
            <w:r w:rsidR="00877D91" w:rsidRPr="000D7C1E">
              <w:rPr>
                <w:rStyle w:val="ad"/>
              </w:rPr>
              <w:t>3.7.</w:t>
            </w:r>
            <w:r w:rsidR="00877D91" w:rsidRPr="000D7C1E">
              <w:rPr>
                <w:rFonts w:asciiTheme="minorHAnsi" w:eastAsiaTheme="minorEastAsia" w:hAnsiTheme="minorHAnsi" w:cstheme="minorBidi"/>
                <w:sz w:val="22"/>
                <w:szCs w:val="22"/>
                <w:lang w:eastAsia="ru-RU"/>
              </w:rPr>
              <w:tab/>
            </w:r>
            <w:r w:rsidR="00877D91" w:rsidRPr="000D7C1E">
              <w:rPr>
                <w:rStyle w:val="ad"/>
              </w:rPr>
              <w:t>Описание процесса оценки объектов оценки в части применения подходов к оценке.</w:t>
            </w:r>
            <w:r w:rsidR="00877D91" w:rsidRPr="000D7C1E">
              <w:rPr>
                <w:webHidden/>
              </w:rPr>
              <w:tab/>
            </w:r>
            <w:r w:rsidR="00877D91" w:rsidRPr="000D7C1E">
              <w:rPr>
                <w:webHidden/>
              </w:rPr>
              <w:fldChar w:fldCharType="begin"/>
            </w:r>
            <w:r w:rsidR="00877D91" w:rsidRPr="000D7C1E">
              <w:rPr>
                <w:webHidden/>
              </w:rPr>
              <w:instrText xml:space="preserve"> PAGEREF _Toc14819119 \h </w:instrText>
            </w:r>
            <w:r w:rsidR="00877D91" w:rsidRPr="000D7C1E">
              <w:rPr>
                <w:webHidden/>
              </w:rPr>
            </w:r>
            <w:r w:rsidR="00877D91" w:rsidRPr="000D7C1E">
              <w:rPr>
                <w:webHidden/>
              </w:rPr>
              <w:fldChar w:fldCharType="separate"/>
            </w:r>
            <w:r w:rsidR="00FD2769">
              <w:rPr>
                <w:webHidden/>
              </w:rPr>
              <w:t>164</w:t>
            </w:r>
            <w:r w:rsidR="00877D91" w:rsidRPr="000D7C1E">
              <w:rPr>
                <w:webHidden/>
              </w:rPr>
              <w:fldChar w:fldCharType="end"/>
            </w:r>
          </w:hyperlink>
        </w:p>
        <w:p w14:paraId="7D15D368" w14:textId="5A6FD30B" w:rsidR="00877D91" w:rsidRPr="000D7C1E" w:rsidRDefault="00A90944">
          <w:pPr>
            <w:pStyle w:val="31"/>
            <w:tabs>
              <w:tab w:val="left" w:pos="1760"/>
            </w:tabs>
            <w:rPr>
              <w:rFonts w:asciiTheme="minorHAnsi" w:eastAsiaTheme="minorEastAsia" w:hAnsiTheme="minorHAnsi"/>
              <w:sz w:val="22"/>
              <w:lang w:eastAsia="ru-RU"/>
            </w:rPr>
          </w:pPr>
          <w:hyperlink w:anchor="_Toc14819120" w:history="1">
            <w:r w:rsidR="00877D91" w:rsidRPr="000D7C1E">
              <w:rPr>
                <w:rStyle w:val="ad"/>
                <w:rFonts w:eastAsia="Times New Roman" w:cs="Times New Roman"/>
                <w:lang w:eastAsia="ru-RU"/>
              </w:rPr>
              <w:t>3.7.1.</w:t>
            </w:r>
            <w:r w:rsidR="00877D91" w:rsidRPr="000D7C1E">
              <w:rPr>
                <w:rFonts w:asciiTheme="minorHAnsi" w:eastAsiaTheme="minorEastAsia" w:hAnsiTheme="minorHAnsi"/>
                <w:sz w:val="22"/>
                <w:lang w:eastAsia="ru-RU"/>
              </w:rPr>
              <w:tab/>
            </w:r>
            <w:r w:rsidR="00877D91" w:rsidRPr="000D7C1E">
              <w:rPr>
                <w:rStyle w:val="ad"/>
                <w:rFonts w:eastAsia="Times New Roman" w:cs="Times New Roman"/>
                <w:lang w:eastAsia="ru-RU"/>
              </w:rPr>
              <w:t>Определение кадастровой стоимости методами статистического моделирования</w:t>
            </w:r>
            <w:r w:rsidR="00877D91" w:rsidRPr="000D7C1E">
              <w:rPr>
                <w:webHidden/>
              </w:rPr>
              <w:tab/>
            </w:r>
            <w:r w:rsidR="00877D91" w:rsidRPr="000D7C1E">
              <w:rPr>
                <w:webHidden/>
              </w:rPr>
              <w:fldChar w:fldCharType="begin"/>
            </w:r>
            <w:r w:rsidR="00877D91" w:rsidRPr="000D7C1E">
              <w:rPr>
                <w:webHidden/>
              </w:rPr>
              <w:instrText xml:space="preserve"> PAGEREF _Toc14819120 \h </w:instrText>
            </w:r>
            <w:r w:rsidR="00877D91" w:rsidRPr="000D7C1E">
              <w:rPr>
                <w:webHidden/>
              </w:rPr>
            </w:r>
            <w:r w:rsidR="00877D91" w:rsidRPr="000D7C1E">
              <w:rPr>
                <w:webHidden/>
              </w:rPr>
              <w:fldChar w:fldCharType="separate"/>
            </w:r>
            <w:r w:rsidR="00FD2769">
              <w:rPr>
                <w:webHidden/>
              </w:rPr>
              <w:t>164</w:t>
            </w:r>
            <w:r w:rsidR="00877D91" w:rsidRPr="000D7C1E">
              <w:rPr>
                <w:webHidden/>
              </w:rPr>
              <w:fldChar w:fldCharType="end"/>
            </w:r>
          </w:hyperlink>
        </w:p>
        <w:p w14:paraId="495C25E8" w14:textId="18315FA0" w:rsidR="00877D91" w:rsidRPr="000D7C1E" w:rsidRDefault="00A90944">
          <w:pPr>
            <w:pStyle w:val="31"/>
            <w:tabs>
              <w:tab w:val="left" w:pos="1760"/>
            </w:tabs>
            <w:rPr>
              <w:rFonts w:asciiTheme="minorHAnsi" w:eastAsiaTheme="minorEastAsia" w:hAnsiTheme="minorHAnsi"/>
              <w:sz w:val="22"/>
              <w:lang w:eastAsia="ru-RU"/>
            </w:rPr>
          </w:pPr>
          <w:hyperlink w:anchor="_Toc14819121" w:history="1">
            <w:r w:rsidR="00877D91" w:rsidRPr="000D7C1E">
              <w:rPr>
                <w:rStyle w:val="ad"/>
                <w:rFonts w:eastAsia="Times New Roman" w:cs="Times New Roman"/>
                <w:lang w:eastAsia="ru-RU"/>
              </w:rPr>
              <w:t>3.7.2.</w:t>
            </w:r>
            <w:r w:rsidR="00877D91" w:rsidRPr="000D7C1E">
              <w:rPr>
                <w:rFonts w:asciiTheme="minorHAnsi" w:eastAsiaTheme="minorEastAsia" w:hAnsiTheme="minorHAnsi"/>
                <w:sz w:val="22"/>
                <w:lang w:eastAsia="ru-RU"/>
              </w:rPr>
              <w:tab/>
            </w:r>
            <w:r w:rsidR="00877D91" w:rsidRPr="000D7C1E">
              <w:rPr>
                <w:rStyle w:val="ad"/>
                <w:rFonts w:eastAsia="Times New Roman" w:cs="Times New Roman"/>
                <w:lang w:eastAsia="ru-RU"/>
              </w:rPr>
              <w:t>Определение кадастровой стоимости моделированием на основе УПКС</w:t>
            </w:r>
            <w:r w:rsidR="00877D91" w:rsidRPr="000D7C1E">
              <w:rPr>
                <w:webHidden/>
              </w:rPr>
              <w:tab/>
            </w:r>
            <w:r w:rsidR="00877D91" w:rsidRPr="000D7C1E">
              <w:rPr>
                <w:webHidden/>
              </w:rPr>
              <w:fldChar w:fldCharType="begin"/>
            </w:r>
            <w:r w:rsidR="00877D91" w:rsidRPr="000D7C1E">
              <w:rPr>
                <w:webHidden/>
              </w:rPr>
              <w:instrText xml:space="preserve"> PAGEREF _Toc14819121 \h </w:instrText>
            </w:r>
            <w:r w:rsidR="00877D91" w:rsidRPr="000D7C1E">
              <w:rPr>
                <w:webHidden/>
              </w:rPr>
            </w:r>
            <w:r w:rsidR="00877D91" w:rsidRPr="000D7C1E">
              <w:rPr>
                <w:webHidden/>
              </w:rPr>
              <w:fldChar w:fldCharType="separate"/>
            </w:r>
            <w:r w:rsidR="00FD2769">
              <w:rPr>
                <w:webHidden/>
              </w:rPr>
              <w:t>205</w:t>
            </w:r>
            <w:r w:rsidR="00877D91" w:rsidRPr="000D7C1E">
              <w:rPr>
                <w:webHidden/>
              </w:rPr>
              <w:fldChar w:fldCharType="end"/>
            </w:r>
          </w:hyperlink>
        </w:p>
        <w:p w14:paraId="6F270920" w14:textId="3FABCBD8" w:rsidR="00877D91" w:rsidRPr="000D7C1E" w:rsidRDefault="00A90944">
          <w:pPr>
            <w:pStyle w:val="31"/>
            <w:tabs>
              <w:tab w:val="left" w:pos="1760"/>
            </w:tabs>
            <w:rPr>
              <w:rFonts w:asciiTheme="minorHAnsi" w:eastAsiaTheme="minorEastAsia" w:hAnsiTheme="minorHAnsi"/>
              <w:sz w:val="22"/>
              <w:lang w:eastAsia="ru-RU"/>
            </w:rPr>
          </w:pPr>
          <w:hyperlink w:anchor="_Toc14819122" w:history="1">
            <w:r w:rsidR="00877D91" w:rsidRPr="000D7C1E">
              <w:rPr>
                <w:rStyle w:val="ad"/>
                <w:rFonts w:eastAsia="Times New Roman" w:cs="Times New Roman"/>
                <w:lang w:eastAsia="ru-RU"/>
              </w:rPr>
              <w:t>3.7.3.</w:t>
            </w:r>
            <w:r w:rsidR="00877D91" w:rsidRPr="000D7C1E">
              <w:rPr>
                <w:rFonts w:asciiTheme="minorHAnsi" w:eastAsiaTheme="minorEastAsia" w:hAnsiTheme="minorHAnsi"/>
                <w:sz w:val="22"/>
                <w:lang w:eastAsia="ru-RU"/>
              </w:rPr>
              <w:tab/>
            </w:r>
            <w:r w:rsidR="00877D91" w:rsidRPr="000D7C1E">
              <w:rPr>
                <w:rStyle w:val="ad"/>
                <w:rFonts w:eastAsia="Times New Roman" w:cs="Times New Roman"/>
                <w:lang w:eastAsia="ru-RU"/>
              </w:rPr>
              <w:t>Определение кадастровой стоимости затратным подходом</w:t>
            </w:r>
            <w:r w:rsidR="00877D91" w:rsidRPr="000D7C1E">
              <w:rPr>
                <w:webHidden/>
              </w:rPr>
              <w:tab/>
            </w:r>
            <w:r w:rsidR="00877D91" w:rsidRPr="000D7C1E">
              <w:rPr>
                <w:webHidden/>
              </w:rPr>
              <w:fldChar w:fldCharType="begin"/>
            </w:r>
            <w:r w:rsidR="00877D91" w:rsidRPr="000D7C1E">
              <w:rPr>
                <w:webHidden/>
              </w:rPr>
              <w:instrText xml:space="preserve"> PAGEREF _Toc14819122 \h </w:instrText>
            </w:r>
            <w:r w:rsidR="00877D91" w:rsidRPr="000D7C1E">
              <w:rPr>
                <w:webHidden/>
              </w:rPr>
            </w:r>
            <w:r w:rsidR="00877D91" w:rsidRPr="000D7C1E">
              <w:rPr>
                <w:webHidden/>
              </w:rPr>
              <w:fldChar w:fldCharType="separate"/>
            </w:r>
            <w:r w:rsidR="00FD2769">
              <w:rPr>
                <w:webHidden/>
              </w:rPr>
              <w:t>209</w:t>
            </w:r>
            <w:r w:rsidR="00877D91" w:rsidRPr="000D7C1E">
              <w:rPr>
                <w:webHidden/>
              </w:rPr>
              <w:fldChar w:fldCharType="end"/>
            </w:r>
          </w:hyperlink>
        </w:p>
        <w:p w14:paraId="4795F448" w14:textId="7A43B019" w:rsidR="00877D91" w:rsidRPr="000D7C1E" w:rsidRDefault="00A90944">
          <w:pPr>
            <w:pStyle w:val="15"/>
            <w:rPr>
              <w:rFonts w:asciiTheme="minorHAnsi" w:eastAsiaTheme="minorEastAsia" w:hAnsiTheme="minorHAnsi" w:cstheme="minorBidi"/>
              <w:sz w:val="22"/>
              <w:szCs w:val="22"/>
              <w:lang w:eastAsia="ru-RU"/>
            </w:rPr>
          </w:pPr>
          <w:hyperlink w:anchor="_Toc14819123" w:history="1">
            <w:r w:rsidR="00877D91" w:rsidRPr="000D7C1E">
              <w:rPr>
                <w:rStyle w:val="ad"/>
              </w:rPr>
              <w:t>4.</w:t>
            </w:r>
            <w:r w:rsidR="00877D91" w:rsidRPr="000D7C1E">
              <w:rPr>
                <w:rFonts w:asciiTheme="minorHAnsi" w:eastAsiaTheme="minorEastAsia" w:hAnsiTheme="minorHAnsi" w:cstheme="minorBidi"/>
                <w:sz w:val="22"/>
                <w:szCs w:val="22"/>
                <w:lang w:eastAsia="ru-RU"/>
              </w:rPr>
              <w:tab/>
            </w:r>
            <w:r w:rsidR="00877D91" w:rsidRPr="000D7C1E">
              <w:rPr>
                <w:rStyle w:val="ad"/>
              </w:rPr>
              <w:t>ЗАКЛЮЧИТЕЛЬНАЯ ГЛАВА</w:t>
            </w:r>
            <w:r w:rsidR="00877D91" w:rsidRPr="000D7C1E">
              <w:rPr>
                <w:webHidden/>
              </w:rPr>
              <w:tab/>
            </w:r>
            <w:r w:rsidR="00877D91" w:rsidRPr="000D7C1E">
              <w:rPr>
                <w:webHidden/>
              </w:rPr>
              <w:fldChar w:fldCharType="begin"/>
            </w:r>
            <w:r w:rsidR="00877D91" w:rsidRPr="000D7C1E">
              <w:rPr>
                <w:webHidden/>
              </w:rPr>
              <w:instrText xml:space="preserve"> PAGEREF _Toc14819123 \h </w:instrText>
            </w:r>
            <w:r w:rsidR="00877D91" w:rsidRPr="000D7C1E">
              <w:rPr>
                <w:webHidden/>
              </w:rPr>
            </w:r>
            <w:r w:rsidR="00877D91" w:rsidRPr="000D7C1E">
              <w:rPr>
                <w:webHidden/>
              </w:rPr>
              <w:fldChar w:fldCharType="separate"/>
            </w:r>
            <w:r w:rsidR="00FD2769">
              <w:rPr>
                <w:webHidden/>
              </w:rPr>
              <w:t>251</w:t>
            </w:r>
            <w:r w:rsidR="00877D91" w:rsidRPr="000D7C1E">
              <w:rPr>
                <w:webHidden/>
              </w:rPr>
              <w:fldChar w:fldCharType="end"/>
            </w:r>
          </w:hyperlink>
        </w:p>
        <w:p w14:paraId="5EC9381C" w14:textId="34827682" w:rsidR="00877D91" w:rsidRPr="000D7C1E" w:rsidRDefault="00A90944">
          <w:pPr>
            <w:pStyle w:val="15"/>
            <w:rPr>
              <w:rFonts w:asciiTheme="minorHAnsi" w:eastAsiaTheme="minorEastAsia" w:hAnsiTheme="minorHAnsi" w:cstheme="minorBidi"/>
              <w:sz w:val="22"/>
              <w:szCs w:val="22"/>
              <w:lang w:eastAsia="ru-RU"/>
            </w:rPr>
          </w:pPr>
          <w:hyperlink w:anchor="_Toc14819124" w:history="1">
            <w:r w:rsidR="00877D91" w:rsidRPr="000D7C1E">
              <w:rPr>
                <w:rStyle w:val="ad"/>
              </w:rPr>
              <w:t>4.1.</w:t>
            </w:r>
            <w:r w:rsidR="00877D91" w:rsidRPr="000D7C1E">
              <w:rPr>
                <w:rFonts w:asciiTheme="minorHAnsi" w:eastAsiaTheme="minorEastAsia" w:hAnsiTheme="minorHAnsi" w:cstheme="minorBidi"/>
                <w:sz w:val="22"/>
                <w:szCs w:val="22"/>
                <w:lang w:eastAsia="ru-RU"/>
              </w:rPr>
              <w:tab/>
            </w:r>
            <w:r w:rsidR="00877D91" w:rsidRPr="000D7C1E">
              <w:rPr>
                <w:rStyle w:val="ad"/>
              </w:rPr>
              <w:t>Информация об итогах контроля качества результатов определения кадастровой стоимости</w:t>
            </w:r>
            <w:r w:rsidR="00877D91" w:rsidRPr="000D7C1E">
              <w:rPr>
                <w:webHidden/>
              </w:rPr>
              <w:tab/>
            </w:r>
            <w:r w:rsidR="00877D91" w:rsidRPr="000D7C1E">
              <w:rPr>
                <w:webHidden/>
              </w:rPr>
              <w:fldChar w:fldCharType="begin"/>
            </w:r>
            <w:r w:rsidR="00877D91" w:rsidRPr="000D7C1E">
              <w:rPr>
                <w:webHidden/>
              </w:rPr>
              <w:instrText xml:space="preserve"> PAGEREF _Toc14819124 \h </w:instrText>
            </w:r>
            <w:r w:rsidR="00877D91" w:rsidRPr="000D7C1E">
              <w:rPr>
                <w:webHidden/>
              </w:rPr>
            </w:r>
            <w:r w:rsidR="00877D91" w:rsidRPr="000D7C1E">
              <w:rPr>
                <w:webHidden/>
              </w:rPr>
              <w:fldChar w:fldCharType="separate"/>
            </w:r>
            <w:r w:rsidR="00FD2769">
              <w:rPr>
                <w:webHidden/>
              </w:rPr>
              <w:t>251</w:t>
            </w:r>
            <w:r w:rsidR="00877D91" w:rsidRPr="000D7C1E">
              <w:rPr>
                <w:webHidden/>
              </w:rPr>
              <w:fldChar w:fldCharType="end"/>
            </w:r>
          </w:hyperlink>
        </w:p>
        <w:p w14:paraId="687A6EB9" w14:textId="540DB1FB" w:rsidR="00877D91" w:rsidRPr="000D7C1E" w:rsidRDefault="00A90944">
          <w:pPr>
            <w:pStyle w:val="15"/>
            <w:rPr>
              <w:rFonts w:asciiTheme="minorHAnsi" w:eastAsiaTheme="minorEastAsia" w:hAnsiTheme="minorHAnsi" w:cstheme="minorBidi"/>
              <w:sz w:val="22"/>
              <w:szCs w:val="22"/>
              <w:lang w:eastAsia="ru-RU"/>
            </w:rPr>
          </w:pPr>
          <w:hyperlink w:anchor="_Toc14819125" w:history="1">
            <w:r w:rsidR="00877D91" w:rsidRPr="000D7C1E">
              <w:rPr>
                <w:rStyle w:val="ad"/>
              </w:rPr>
              <w:t>4.2.</w:t>
            </w:r>
            <w:r w:rsidR="00877D91" w:rsidRPr="000D7C1E">
              <w:rPr>
                <w:rFonts w:asciiTheme="minorHAnsi" w:eastAsiaTheme="minorEastAsia" w:hAnsiTheme="minorHAnsi" w:cstheme="minorBidi"/>
                <w:sz w:val="22"/>
                <w:szCs w:val="22"/>
                <w:lang w:eastAsia="ru-RU"/>
              </w:rPr>
              <w:tab/>
            </w:r>
            <w:r w:rsidR="00877D91" w:rsidRPr="000D7C1E">
              <w:rPr>
                <w:rStyle w:val="ad"/>
              </w:rPr>
              <w:t>Сравнительный анализ соотношений минимальных, средних и максимальных удельных показателей кадастровой стоимости (УПКС) с показателями, действующими на дату оценки</w:t>
            </w:r>
            <w:r w:rsidR="00877D91" w:rsidRPr="000D7C1E">
              <w:rPr>
                <w:webHidden/>
              </w:rPr>
              <w:tab/>
            </w:r>
            <w:r w:rsidR="00877D91" w:rsidRPr="000D7C1E">
              <w:rPr>
                <w:webHidden/>
              </w:rPr>
              <w:fldChar w:fldCharType="begin"/>
            </w:r>
            <w:r w:rsidR="00877D91" w:rsidRPr="000D7C1E">
              <w:rPr>
                <w:webHidden/>
              </w:rPr>
              <w:instrText xml:space="preserve"> PAGEREF _Toc14819125 \h </w:instrText>
            </w:r>
            <w:r w:rsidR="00877D91" w:rsidRPr="000D7C1E">
              <w:rPr>
                <w:webHidden/>
              </w:rPr>
            </w:r>
            <w:r w:rsidR="00877D91" w:rsidRPr="000D7C1E">
              <w:rPr>
                <w:webHidden/>
              </w:rPr>
              <w:fldChar w:fldCharType="separate"/>
            </w:r>
            <w:r w:rsidR="00FD2769">
              <w:rPr>
                <w:webHidden/>
              </w:rPr>
              <w:t>252</w:t>
            </w:r>
            <w:r w:rsidR="00877D91" w:rsidRPr="000D7C1E">
              <w:rPr>
                <w:webHidden/>
              </w:rPr>
              <w:fldChar w:fldCharType="end"/>
            </w:r>
          </w:hyperlink>
        </w:p>
        <w:p w14:paraId="3BF6A645" w14:textId="263A2C2B" w:rsidR="00877D91" w:rsidRPr="000D7C1E" w:rsidRDefault="00A90944">
          <w:pPr>
            <w:pStyle w:val="15"/>
            <w:rPr>
              <w:rFonts w:asciiTheme="minorHAnsi" w:eastAsiaTheme="minorEastAsia" w:hAnsiTheme="minorHAnsi" w:cstheme="minorBidi"/>
              <w:sz w:val="22"/>
              <w:szCs w:val="22"/>
              <w:lang w:eastAsia="ru-RU"/>
            </w:rPr>
          </w:pPr>
          <w:hyperlink w:anchor="_Toc14819126" w:history="1">
            <w:r w:rsidR="00877D91" w:rsidRPr="000D7C1E">
              <w:rPr>
                <w:rStyle w:val="ad"/>
              </w:rPr>
              <w:t>5.</w:t>
            </w:r>
            <w:r w:rsidR="00877D91" w:rsidRPr="000D7C1E">
              <w:rPr>
                <w:rFonts w:asciiTheme="minorHAnsi" w:eastAsiaTheme="minorEastAsia" w:hAnsiTheme="minorHAnsi" w:cstheme="minorBidi"/>
                <w:sz w:val="22"/>
                <w:szCs w:val="22"/>
                <w:lang w:eastAsia="ru-RU"/>
              </w:rPr>
              <w:tab/>
            </w:r>
            <w:r w:rsidR="00877D91" w:rsidRPr="000D7C1E">
              <w:rPr>
                <w:rStyle w:val="ad"/>
              </w:rPr>
              <w:t>ПРИЛОЖЕНИЯ (В ЭЛЕКТРОННОМ ВИДЕ)</w:t>
            </w:r>
            <w:r w:rsidR="00877D91" w:rsidRPr="000D7C1E">
              <w:rPr>
                <w:webHidden/>
              </w:rPr>
              <w:tab/>
            </w:r>
            <w:r w:rsidR="00877D91" w:rsidRPr="000D7C1E">
              <w:rPr>
                <w:webHidden/>
              </w:rPr>
              <w:fldChar w:fldCharType="begin"/>
            </w:r>
            <w:r w:rsidR="00877D91" w:rsidRPr="000D7C1E">
              <w:rPr>
                <w:webHidden/>
              </w:rPr>
              <w:instrText xml:space="preserve"> PAGEREF _Toc14819126 \h </w:instrText>
            </w:r>
            <w:r w:rsidR="00877D91" w:rsidRPr="000D7C1E">
              <w:rPr>
                <w:webHidden/>
              </w:rPr>
            </w:r>
            <w:r w:rsidR="00877D91" w:rsidRPr="000D7C1E">
              <w:rPr>
                <w:webHidden/>
              </w:rPr>
              <w:fldChar w:fldCharType="separate"/>
            </w:r>
            <w:r w:rsidR="00FD2769">
              <w:rPr>
                <w:webHidden/>
              </w:rPr>
              <w:t>259</w:t>
            </w:r>
            <w:r w:rsidR="00877D91" w:rsidRPr="000D7C1E">
              <w:rPr>
                <w:webHidden/>
              </w:rPr>
              <w:fldChar w:fldCharType="end"/>
            </w:r>
          </w:hyperlink>
        </w:p>
        <w:p w14:paraId="00557099" w14:textId="16858166" w:rsidR="00877D91" w:rsidRPr="000D7C1E" w:rsidRDefault="00A90944">
          <w:pPr>
            <w:pStyle w:val="21"/>
            <w:rPr>
              <w:rFonts w:asciiTheme="minorHAnsi" w:eastAsiaTheme="minorEastAsia" w:hAnsiTheme="minorHAnsi"/>
              <w:noProof/>
              <w:sz w:val="22"/>
              <w:lang w:eastAsia="ru-RU"/>
            </w:rPr>
          </w:pPr>
          <w:hyperlink w:anchor="_Toc14819127" w:history="1">
            <w:r w:rsidR="00877D91" w:rsidRPr="000D7C1E">
              <w:rPr>
                <w:rStyle w:val="ad"/>
                <w:noProof/>
              </w:rPr>
              <w:t>Приложение 1. Исходные данные</w:t>
            </w:r>
            <w:r w:rsidR="00877D91" w:rsidRPr="000D7C1E">
              <w:rPr>
                <w:noProof/>
                <w:webHidden/>
              </w:rPr>
              <w:tab/>
            </w:r>
            <w:r w:rsidR="00877D91" w:rsidRPr="000D7C1E">
              <w:rPr>
                <w:noProof/>
                <w:webHidden/>
              </w:rPr>
              <w:fldChar w:fldCharType="begin"/>
            </w:r>
            <w:r w:rsidR="00877D91" w:rsidRPr="000D7C1E">
              <w:rPr>
                <w:noProof/>
                <w:webHidden/>
              </w:rPr>
              <w:instrText xml:space="preserve"> PAGEREF _Toc14819127 \h </w:instrText>
            </w:r>
            <w:r w:rsidR="00877D91" w:rsidRPr="000D7C1E">
              <w:rPr>
                <w:noProof/>
                <w:webHidden/>
              </w:rPr>
            </w:r>
            <w:r w:rsidR="00877D91" w:rsidRPr="000D7C1E">
              <w:rPr>
                <w:noProof/>
                <w:webHidden/>
              </w:rPr>
              <w:fldChar w:fldCharType="separate"/>
            </w:r>
            <w:r w:rsidR="00FD2769">
              <w:rPr>
                <w:noProof/>
                <w:webHidden/>
              </w:rPr>
              <w:t>259</w:t>
            </w:r>
            <w:r w:rsidR="00877D91" w:rsidRPr="000D7C1E">
              <w:rPr>
                <w:noProof/>
                <w:webHidden/>
              </w:rPr>
              <w:fldChar w:fldCharType="end"/>
            </w:r>
          </w:hyperlink>
        </w:p>
        <w:p w14:paraId="68CD54A7" w14:textId="1A94DEA4" w:rsidR="00877D91" w:rsidRPr="000D7C1E" w:rsidRDefault="00A90944">
          <w:pPr>
            <w:pStyle w:val="21"/>
            <w:rPr>
              <w:rFonts w:asciiTheme="minorHAnsi" w:eastAsiaTheme="minorEastAsia" w:hAnsiTheme="minorHAnsi"/>
              <w:noProof/>
              <w:sz w:val="22"/>
              <w:lang w:eastAsia="ru-RU"/>
            </w:rPr>
          </w:pPr>
          <w:hyperlink w:anchor="_Toc14819128" w:history="1">
            <w:r w:rsidR="00877D91" w:rsidRPr="000D7C1E">
              <w:rPr>
                <w:rStyle w:val="ad"/>
                <w:noProof/>
              </w:rPr>
              <w:t>Приложение 2. Результаты определения кадастровой стоимости.</w:t>
            </w:r>
            <w:r w:rsidR="00877D91" w:rsidRPr="000D7C1E">
              <w:rPr>
                <w:noProof/>
                <w:webHidden/>
              </w:rPr>
              <w:tab/>
            </w:r>
            <w:r w:rsidR="00877D91" w:rsidRPr="000D7C1E">
              <w:rPr>
                <w:noProof/>
                <w:webHidden/>
              </w:rPr>
              <w:fldChar w:fldCharType="begin"/>
            </w:r>
            <w:r w:rsidR="00877D91" w:rsidRPr="000D7C1E">
              <w:rPr>
                <w:noProof/>
                <w:webHidden/>
              </w:rPr>
              <w:instrText xml:space="preserve"> PAGEREF _Toc14819128 \h </w:instrText>
            </w:r>
            <w:r w:rsidR="00877D91" w:rsidRPr="000D7C1E">
              <w:rPr>
                <w:noProof/>
                <w:webHidden/>
              </w:rPr>
            </w:r>
            <w:r w:rsidR="00877D91" w:rsidRPr="000D7C1E">
              <w:rPr>
                <w:noProof/>
                <w:webHidden/>
              </w:rPr>
              <w:fldChar w:fldCharType="separate"/>
            </w:r>
            <w:r w:rsidR="00FD2769">
              <w:rPr>
                <w:noProof/>
                <w:webHidden/>
              </w:rPr>
              <w:t>259</w:t>
            </w:r>
            <w:r w:rsidR="00877D91" w:rsidRPr="000D7C1E">
              <w:rPr>
                <w:noProof/>
                <w:webHidden/>
              </w:rPr>
              <w:fldChar w:fldCharType="end"/>
            </w:r>
          </w:hyperlink>
        </w:p>
        <w:p w14:paraId="283577EB" w14:textId="4EB08271" w:rsidR="00877D91" w:rsidRDefault="00A90944">
          <w:pPr>
            <w:pStyle w:val="21"/>
            <w:rPr>
              <w:noProof/>
            </w:rPr>
          </w:pPr>
          <w:hyperlink w:anchor="_Toc14819129" w:history="1">
            <w:r w:rsidR="00877D91" w:rsidRPr="000D7C1E">
              <w:rPr>
                <w:rStyle w:val="ad"/>
                <w:noProof/>
              </w:rPr>
              <w:t>Приложение 3. Файлы в формате XML</w:t>
            </w:r>
            <w:r w:rsidR="00877D91" w:rsidRPr="000D7C1E">
              <w:rPr>
                <w:noProof/>
                <w:webHidden/>
              </w:rPr>
              <w:tab/>
            </w:r>
            <w:r w:rsidR="00877D91" w:rsidRPr="000D7C1E">
              <w:rPr>
                <w:noProof/>
                <w:webHidden/>
              </w:rPr>
              <w:fldChar w:fldCharType="begin"/>
            </w:r>
            <w:r w:rsidR="00877D91" w:rsidRPr="000D7C1E">
              <w:rPr>
                <w:noProof/>
                <w:webHidden/>
              </w:rPr>
              <w:instrText xml:space="preserve"> PAGEREF _Toc14819129 \h </w:instrText>
            </w:r>
            <w:r w:rsidR="00877D91" w:rsidRPr="000D7C1E">
              <w:rPr>
                <w:noProof/>
                <w:webHidden/>
              </w:rPr>
            </w:r>
            <w:r w:rsidR="00877D91" w:rsidRPr="000D7C1E">
              <w:rPr>
                <w:noProof/>
                <w:webHidden/>
              </w:rPr>
              <w:fldChar w:fldCharType="separate"/>
            </w:r>
            <w:r w:rsidR="00FD2769">
              <w:rPr>
                <w:noProof/>
                <w:webHidden/>
              </w:rPr>
              <w:t>259</w:t>
            </w:r>
            <w:r w:rsidR="00877D91" w:rsidRPr="000D7C1E">
              <w:rPr>
                <w:noProof/>
                <w:webHidden/>
              </w:rPr>
              <w:fldChar w:fldCharType="end"/>
            </w:r>
          </w:hyperlink>
        </w:p>
        <w:p w14:paraId="64890596" w14:textId="16E6102C" w:rsidR="00A90944" w:rsidRPr="00A90944" w:rsidRDefault="00A90944" w:rsidP="00A90944">
          <w:pPr>
            <w:ind w:firstLine="284"/>
          </w:pPr>
          <w:r>
            <w:t xml:space="preserve">Приложение 4. </w:t>
          </w:r>
          <w:r w:rsidRPr="00C75AC4">
            <w:t>Справка об учтенных и неучтенных замечаниях к промежуточным отчетным документам</w:t>
          </w:r>
          <w:r>
            <w:t xml:space="preserve">                                                                                                              259</w:t>
          </w:r>
        </w:p>
        <w:p w14:paraId="1C333D08" w14:textId="10B1CD62" w:rsidR="007F55EC" w:rsidRDefault="007F55EC">
          <w:r w:rsidRPr="00FF1D40">
            <w:rPr>
              <w:b/>
              <w:bCs/>
              <w:sz w:val="28"/>
              <w:szCs w:val="28"/>
            </w:rPr>
            <w:fldChar w:fldCharType="end"/>
          </w:r>
        </w:p>
      </w:sdtContent>
    </w:sdt>
    <w:p w14:paraId="7E571AC2" w14:textId="77777777" w:rsidR="00C02455" w:rsidRDefault="00C02455">
      <w:pPr>
        <w:spacing w:after="160" w:line="259" w:lineRule="auto"/>
        <w:ind w:firstLine="0"/>
        <w:jc w:val="left"/>
        <w:rPr>
          <w:rFonts w:ascii="Arial" w:eastAsia="Calibri" w:hAnsi="Arial" w:cstheme="majorBidi"/>
          <w:b/>
          <w:sz w:val="28"/>
          <w:szCs w:val="32"/>
          <w:highlight w:val="lightGray"/>
        </w:rPr>
      </w:pPr>
      <w:r>
        <w:rPr>
          <w:rFonts w:eastAsia="Calibri"/>
          <w:highlight w:val="lightGray"/>
        </w:rPr>
        <w:br w:type="page"/>
      </w:r>
    </w:p>
    <w:p w14:paraId="4AE9EDA9" w14:textId="5A06104A" w:rsidR="00E24D80" w:rsidRDefault="007F55EC" w:rsidP="00FD2769">
      <w:pPr>
        <w:pStyle w:val="10"/>
      </w:pPr>
      <w:bookmarkStart w:id="0" w:name="_Toc14819083"/>
      <w:r>
        <w:lastRenderedPageBreak/>
        <w:t>ОСНОВНЫЕ ТЕРМИНЫ, ИСПОЛЬЗУЕМЫЕ В ОТЧЕТЕ И ИХ ОПРЕДЕЛЕНИЕ</w:t>
      </w:r>
      <w:bookmarkEnd w:id="0"/>
    </w:p>
    <w:p w14:paraId="5471015B" w14:textId="77777777" w:rsidR="007F55EC" w:rsidRPr="007F55EC" w:rsidRDefault="007F55EC" w:rsidP="007F55EC">
      <w:pPr>
        <w:ind w:left="284"/>
      </w:pPr>
    </w:p>
    <w:p w14:paraId="785CAB00" w14:textId="65E77B54" w:rsidR="006A4B32" w:rsidRPr="006E5252" w:rsidRDefault="006A4B32" w:rsidP="00FD2769">
      <w:pPr>
        <w:pStyle w:val="3"/>
      </w:pPr>
      <w:bookmarkStart w:id="1" w:name="_Toc14819084"/>
      <w:r w:rsidRPr="006E5252">
        <w:t>Основные термины</w:t>
      </w:r>
      <w:r w:rsidR="00E24D80" w:rsidRPr="006E5252">
        <w:t>,</w:t>
      </w:r>
      <w:r w:rsidRPr="006E5252">
        <w:t xml:space="preserve"> используемые в Отчете.</w:t>
      </w:r>
      <w:bookmarkEnd w:id="1"/>
    </w:p>
    <w:p w14:paraId="2B85F0A2" w14:textId="77777777" w:rsidR="006A4B32" w:rsidRPr="006A4B32" w:rsidRDefault="006A4B32" w:rsidP="006A4B32"/>
    <w:p w14:paraId="3BE87350" w14:textId="2CDAE4E0" w:rsidR="0027487E" w:rsidRPr="00A91DA5" w:rsidRDefault="0027487E" w:rsidP="00552994">
      <w:pPr>
        <w:ind w:left="57" w:right="57" w:firstLine="794"/>
        <w:rPr>
          <w:rFonts w:eastAsia="Times New Roman" w:cs="Times New Roman"/>
          <w:bCs/>
          <w:szCs w:val="24"/>
          <w:lang w:eastAsia="ru-RU"/>
        </w:rPr>
      </w:pPr>
      <w:r w:rsidRPr="00A91DA5">
        <w:rPr>
          <w:rFonts w:eastAsia="Times New Roman" w:cs="Times New Roman"/>
          <w:bCs/>
          <w:szCs w:val="24"/>
          <w:lang w:eastAsia="ru-RU"/>
        </w:rPr>
        <w:t xml:space="preserve">В данном разделе содержатся определения – уточнения, необходимые для установления содержания терминов, используемых в </w:t>
      </w:r>
      <w:r w:rsidR="00481D7D" w:rsidRPr="00A91DA5">
        <w:rPr>
          <w:rFonts w:eastAsia="Times New Roman" w:cs="Times New Roman"/>
          <w:bCs/>
          <w:szCs w:val="24"/>
          <w:lang w:eastAsia="ru-RU"/>
        </w:rPr>
        <w:t>Отчете</w:t>
      </w:r>
      <w:r w:rsidRPr="00A91DA5">
        <w:rPr>
          <w:rFonts w:eastAsia="Times New Roman" w:cs="Times New Roman"/>
          <w:bCs/>
          <w:szCs w:val="24"/>
          <w:lang w:eastAsia="ru-RU"/>
        </w:rPr>
        <w:t>:</w:t>
      </w:r>
    </w:p>
    <w:p w14:paraId="1E9D5A8A" w14:textId="77777777" w:rsidR="00800401" w:rsidRDefault="00800401" w:rsidP="00800401">
      <w:pPr>
        <w:tabs>
          <w:tab w:val="num" w:pos="680"/>
        </w:tabs>
        <w:ind w:left="57" w:right="57" w:firstLine="794"/>
        <w:rPr>
          <w:rFonts w:eastAsia="Times New Roman" w:cs="Times New Roman"/>
          <w:b/>
          <w:bCs/>
          <w:szCs w:val="24"/>
          <w:lang w:eastAsia="ru-RU"/>
        </w:rPr>
      </w:pPr>
    </w:p>
    <w:p w14:paraId="0E8C81F8" w14:textId="77777777" w:rsidR="00095454" w:rsidRPr="00A91DA5" w:rsidRDefault="00095454" w:rsidP="00095454">
      <w:pPr>
        <w:tabs>
          <w:tab w:val="num" w:pos="680"/>
        </w:tabs>
        <w:ind w:left="57" w:right="57" w:firstLine="794"/>
        <w:rPr>
          <w:rFonts w:eastAsia="Times New Roman" w:cs="Times New Roman"/>
          <w:bCs/>
          <w:szCs w:val="24"/>
          <w:lang w:eastAsia="ru-RU"/>
        </w:rPr>
      </w:pPr>
      <w:r w:rsidRPr="00A91DA5">
        <w:rPr>
          <w:rFonts w:eastAsia="Times New Roman" w:cs="Times New Roman"/>
          <w:b/>
          <w:bCs/>
          <w:szCs w:val="24"/>
          <w:lang w:eastAsia="ru-RU"/>
        </w:rPr>
        <w:t>Анализ рынка недвижимости</w:t>
      </w:r>
      <w:r w:rsidRPr="00A91DA5">
        <w:rPr>
          <w:rFonts w:eastAsia="Times New Roman" w:cs="Times New Roman"/>
          <w:bCs/>
          <w:szCs w:val="24"/>
          <w:lang w:eastAsia="ru-RU"/>
        </w:rPr>
        <w:t xml:space="preserve"> – сбор, анализ информации, сведение в систему и анализ числовых показателей, касающихся рынка и продаж недвижимости.</w:t>
      </w:r>
    </w:p>
    <w:p w14:paraId="3F62BB9E" w14:textId="7BA609CC" w:rsidR="00095454" w:rsidRPr="00A91DA5" w:rsidRDefault="00095454" w:rsidP="00095454">
      <w:pPr>
        <w:tabs>
          <w:tab w:val="num" w:pos="680"/>
        </w:tabs>
        <w:ind w:left="57" w:right="57" w:firstLine="794"/>
        <w:rPr>
          <w:rFonts w:eastAsia="Times New Roman" w:cs="Times New Roman"/>
          <w:bCs/>
          <w:szCs w:val="24"/>
          <w:lang w:eastAsia="ru-RU"/>
        </w:rPr>
      </w:pPr>
      <w:r w:rsidRPr="00A91DA5">
        <w:rPr>
          <w:rFonts w:eastAsia="Times New Roman" w:cs="Times New Roman"/>
          <w:b/>
          <w:bCs/>
          <w:szCs w:val="24"/>
          <w:lang w:eastAsia="ru-RU"/>
        </w:rPr>
        <w:t>Вид разрешенного использования</w:t>
      </w:r>
      <w:r w:rsidR="00875CE8">
        <w:rPr>
          <w:rFonts w:eastAsia="Times New Roman" w:cs="Times New Roman"/>
          <w:b/>
          <w:bCs/>
          <w:szCs w:val="24"/>
          <w:lang w:eastAsia="ru-RU"/>
        </w:rPr>
        <w:t xml:space="preserve"> </w:t>
      </w:r>
      <w:r w:rsidRPr="00A91DA5">
        <w:rPr>
          <w:rFonts w:eastAsia="Times New Roman" w:cs="Times New Roman"/>
          <w:bCs/>
          <w:szCs w:val="24"/>
          <w:lang w:eastAsia="ru-RU"/>
        </w:rPr>
        <w:t xml:space="preserve">– установленная в публичном порядке совокупность разрешенных параметров использования </w:t>
      </w:r>
      <w:r w:rsidR="00875CE8">
        <w:rPr>
          <w:rFonts w:eastAsia="Times New Roman" w:cs="Times New Roman"/>
          <w:bCs/>
          <w:szCs w:val="24"/>
          <w:lang w:eastAsia="ru-RU"/>
        </w:rPr>
        <w:t>объекта недвижимости</w:t>
      </w:r>
      <w:r w:rsidR="00B70A72">
        <w:rPr>
          <w:rFonts w:eastAsia="Times New Roman" w:cs="Times New Roman"/>
          <w:bCs/>
          <w:szCs w:val="24"/>
          <w:lang w:eastAsia="ru-RU"/>
        </w:rPr>
        <w:t xml:space="preserve"> </w:t>
      </w:r>
      <w:r w:rsidRPr="00A91DA5">
        <w:rPr>
          <w:rFonts w:eastAsia="Times New Roman" w:cs="Times New Roman"/>
          <w:bCs/>
          <w:szCs w:val="24"/>
          <w:lang w:eastAsia="ru-RU"/>
        </w:rPr>
        <w:t>земельного участка с учетом целевого назначения и установленных обременений.</w:t>
      </w:r>
    </w:p>
    <w:p w14:paraId="226822F4" w14:textId="13C9D0C9" w:rsidR="00800401" w:rsidRPr="00800401" w:rsidRDefault="00800401" w:rsidP="00800401">
      <w:pPr>
        <w:tabs>
          <w:tab w:val="num" w:pos="680"/>
        </w:tabs>
        <w:ind w:left="57" w:right="57" w:firstLine="794"/>
        <w:rPr>
          <w:rFonts w:eastAsia="Times New Roman" w:cs="Times New Roman"/>
          <w:bCs/>
          <w:szCs w:val="24"/>
          <w:lang w:eastAsia="ru-RU"/>
        </w:rPr>
      </w:pPr>
      <w:r w:rsidRPr="00800401">
        <w:rPr>
          <w:rFonts w:eastAsia="Times New Roman" w:cs="Times New Roman"/>
          <w:b/>
          <w:bCs/>
          <w:szCs w:val="24"/>
          <w:lang w:eastAsia="ru-RU"/>
        </w:rPr>
        <w:t>Городской округ (ГО)</w:t>
      </w:r>
      <w:r w:rsidRPr="00800401">
        <w:rPr>
          <w:rFonts w:eastAsia="Times New Roman" w:cs="Times New Roman"/>
          <w:bCs/>
          <w:szCs w:val="24"/>
          <w:lang w:eastAsia="ru-RU"/>
        </w:rPr>
        <w:t xml:space="preserve"> - один или несколько объединенных общей территорией населенных пунктов, не являющихся муниципальными образованиями, в которых местное самоуправление осуществляется населением непосредственно и (или) через выборные и иные органы местного самоуправления, которые могут осуществлять отдельные государственные полномочия, передаваемые органам местного самоуправления федеральными законами и законами субъектов Российской Федерации.</w:t>
      </w:r>
    </w:p>
    <w:p w14:paraId="3513FC49" w14:textId="77777777" w:rsidR="00800401" w:rsidRPr="00800401" w:rsidRDefault="00800401" w:rsidP="00800401">
      <w:pPr>
        <w:tabs>
          <w:tab w:val="num" w:pos="680"/>
        </w:tabs>
        <w:ind w:left="57" w:right="57" w:firstLine="794"/>
        <w:rPr>
          <w:rFonts w:eastAsia="Times New Roman" w:cs="Times New Roman"/>
          <w:bCs/>
          <w:szCs w:val="24"/>
          <w:lang w:eastAsia="ru-RU"/>
        </w:rPr>
      </w:pPr>
      <w:r w:rsidRPr="00800401">
        <w:rPr>
          <w:rFonts w:eastAsia="Times New Roman" w:cs="Times New Roman"/>
          <w:b/>
          <w:bCs/>
          <w:szCs w:val="24"/>
          <w:lang w:eastAsia="ru-RU"/>
        </w:rPr>
        <w:t>Городской населенный пункт (ГНП)</w:t>
      </w:r>
      <w:r w:rsidRPr="00800401">
        <w:rPr>
          <w:rFonts w:eastAsia="Times New Roman" w:cs="Times New Roman"/>
          <w:bCs/>
          <w:szCs w:val="24"/>
          <w:lang w:eastAsia="ru-RU"/>
        </w:rPr>
        <w:t xml:space="preserve"> - административно-территориальная единица, большинство населения которого занято в несельскохозяйственных сферах производственной деятельности. Городские населенные пункты подразделяются на города, поселки городского типа (рабочие, курортные, дачные).</w:t>
      </w:r>
    </w:p>
    <w:p w14:paraId="6C7E9742" w14:textId="77777777" w:rsidR="00095454" w:rsidRPr="00800401" w:rsidRDefault="00095454" w:rsidP="00095454">
      <w:pPr>
        <w:tabs>
          <w:tab w:val="num" w:pos="680"/>
        </w:tabs>
        <w:ind w:left="57" w:right="57" w:firstLine="794"/>
        <w:rPr>
          <w:rFonts w:eastAsia="Times New Roman" w:cs="Times New Roman"/>
          <w:bCs/>
          <w:szCs w:val="24"/>
          <w:lang w:eastAsia="ru-RU"/>
        </w:rPr>
      </w:pPr>
      <w:r w:rsidRPr="00800401">
        <w:rPr>
          <w:rFonts w:eastAsia="Times New Roman" w:cs="Times New Roman"/>
          <w:b/>
          <w:bCs/>
          <w:szCs w:val="24"/>
          <w:lang w:eastAsia="ru-RU"/>
        </w:rPr>
        <w:t xml:space="preserve">Городское поселение </w:t>
      </w:r>
      <w:r w:rsidRPr="00800401">
        <w:rPr>
          <w:rFonts w:eastAsia="Times New Roman" w:cs="Times New Roman"/>
          <w:bCs/>
          <w:szCs w:val="24"/>
          <w:lang w:eastAsia="ru-RU"/>
        </w:rPr>
        <w:t>- город или поселок, в которых местное самоуправление осуществляется населением непосредственно и (или) через выборные и иные органы местного самоуправления.</w:t>
      </w:r>
    </w:p>
    <w:p w14:paraId="468C7563" w14:textId="16EC36E4" w:rsidR="00800401" w:rsidRPr="00800401" w:rsidRDefault="00800401" w:rsidP="00800401">
      <w:pPr>
        <w:tabs>
          <w:tab w:val="num" w:pos="680"/>
        </w:tabs>
        <w:ind w:left="57" w:right="57" w:firstLine="794"/>
        <w:rPr>
          <w:rFonts w:eastAsia="Times New Roman" w:cs="Times New Roman"/>
          <w:bCs/>
          <w:szCs w:val="24"/>
          <w:lang w:eastAsia="ru-RU"/>
        </w:rPr>
      </w:pPr>
      <w:r w:rsidRPr="00800401">
        <w:rPr>
          <w:rFonts w:eastAsia="Times New Roman" w:cs="Times New Roman"/>
          <w:b/>
          <w:bCs/>
          <w:szCs w:val="24"/>
          <w:lang w:eastAsia="ru-RU"/>
        </w:rPr>
        <w:t>Государственная кадастровая оценка (ГКО)</w:t>
      </w:r>
      <w:r w:rsidRPr="00800401">
        <w:rPr>
          <w:rFonts w:eastAsia="Times New Roman" w:cs="Times New Roman"/>
          <w:bCs/>
          <w:szCs w:val="24"/>
          <w:lang w:eastAsia="ru-RU"/>
        </w:rPr>
        <w:t xml:space="preserve"> – совокупность установленных частью 3 статьи 6 Федерального закона от 03.07.2016 г. № 237-ФЗ «О государственной кадастровой оценке» (далее – Федеральный закон №237-ФЗ) процедур, направленных на определение кадастровой стоимости и осуществляемых в порядке, установленном Федеральным законом № 237-ФЗ.</w:t>
      </w:r>
    </w:p>
    <w:p w14:paraId="2272CFF0" w14:textId="77777777" w:rsidR="00875CE8" w:rsidRPr="00A91DA5" w:rsidRDefault="00875CE8" w:rsidP="00875CE8">
      <w:pPr>
        <w:ind w:left="57" w:right="57" w:firstLine="794"/>
        <w:rPr>
          <w:rFonts w:eastAsia="Times New Roman" w:cs="Times New Roman"/>
          <w:szCs w:val="24"/>
          <w:lang w:eastAsia="ru-RU"/>
        </w:rPr>
      </w:pPr>
      <w:r w:rsidRPr="00A91DA5">
        <w:rPr>
          <w:rFonts w:eastAsia="Times New Roman" w:cs="Times New Roman"/>
          <w:b/>
          <w:szCs w:val="24"/>
          <w:lang w:eastAsia="ru-RU"/>
        </w:rPr>
        <w:t xml:space="preserve">Государственная кадастровая оценка </w:t>
      </w:r>
      <w:r>
        <w:rPr>
          <w:rFonts w:eastAsia="Times New Roman" w:cs="Times New Roman"/>
          <w:b/>
          <w:szCs w:val="24"/>
          <w:lang w:eastAsia="ru-RU"/>
        </w:rPr>
        <w:t>объектов недвижимости за исключением земельных участков</w:t>
      </w:r>
      <w:r w:rsidRPr="00A91DA5">
        <w:rPr>
          <w:rFonts w:eastAsia="Times New Roman" w:cs="Times New Roman"/>
          <w:b/>
          <w:szCs w:val="24"/>
          <w:lang w:eastAsia="ru-RU"/>
        </w:rPr>
        <w:t xml:space="preserve"> (ГКО</w:t>
      </w:r>
      <w:r>
        <w:rPr>
          <w:rFonts w:eastAsia="Times New Roman" w:cs="Times New Roman"/>
          <w:b/>
          <w:szCs w:val="24"/>
          <w:lang w:eastAsia="ru-RU"/>
        </w:rPr>
        <w:t xml:space="preserve"> ОН за исключением земельных участков</w:t>
      </w:r>
      <w:r w:rsidRPr="00A91DA5">
        <w:rPr>
          <w:rFonts w:eastAsia="Times New Roman" w:cs="Times New Roman"/>
          <w:b/>
          <w:szCs w:val="24"/>
          <w:lang w:eastAsia="ru-RU"/>
        </w:rPr>
        <w:t>)</w:t>
      </w:r>
      <w:r w:rsidRPr="00A91DA5">
        <w:rPr>
          <w:rFonts w:eastAsia="Times New Roman" w:cs="Times New Roman"/>
          <w:szCs w:val="24"/>
          <w:lang w:eastAsia="ru-RU"/>
        </w:rPr>
        <w:t xml:space="preserve"> – совокупность установленных частью 3 статьи 6 Федерального закона </w:t>
      </w:r>
      <w:r>
        <w:rPr>
          <w:rFonts w:eastAsia="Times New Roman" w:cs="Times New Roman"/>
          <w:szCs w:val="24"/>
          <w:lang w:eastAsia="ru-RU"/>
        </w:rPr>
        <w:t>от 03 июля 2016 года № 237-ФЗ «О государственной кадастровой оценке»</w:t>
      </w:r>
      <w:r w:rsidRPr="00A91DA5">
        <w:rPr>
          <w:rFonts w:eastAsia="Times New Roman" w:cs="Times New Roman"/>
          <w:szCs w:val="24"/>
          <w:lang w:eastAsia="ru-RU"/>
        </w:rPr>
        <w:t xml:space="preserve"> процедур, направленных на определение кадастровой стоимости </w:t>
      </w:r>
      <w:r>
        <w:rPr>
          <w:rFonts w:eastAsia="Times New Roman" w:cs="Times New Roman"/>
          <w:szCs w:val="24"/>
          <w:lang w:eastAsia="ru-RU"/>
        </w:rPr>
        <w:t>объектов недвижимости за исключением земельных участков</w:t>
      </w:r>
      <w:r w:rsidRPr="00A91DA5">
        <w:rPr>
          <w:rFonts w:eastAsia="Times New Roman" w:cs="Times New Roman"/>
          <w:szCs w:val="24"/>
          <w:lang w:eastAsia="ru-RU"/>
        </w:rPr>
        <w:t>.</w:t>
      </w:r>
    </w:p>
    <w:p w14:paraId="0BEC4069" w14:textId="0922079C" w:rsidR="00095454" w:rsidRPr="00611AF9" w:rsidRDefault="00095454" w:rsidP="00095454">
      <w:pPr>
        <w:tabs>
          <w:tab w:val="num" w:pos="680"/>
        </w:tabs>
        <w:ind w:left="57" w:right="57" w:firstLine="794"/>
        <w:rPr>
          <w:rFonts w:eastAsia="Times New Roman" w:cs="Times New Roman"/>
          <w:bCs/>
          <w:szCs w:val="24"/>
          <w:lang w:eastAsia="ru-RU"/>
        </w:rPr>
      </w:pPr>
      <w:r w:rsidRPr="00611AF9">
        <w:rPr>
          <w:rFonts w:eastAsia="Times New Roman" w:cs="Times New Roman"/>
          <w:b/>
          <w:bCs/>
          <w:szCs w:val="24"/>
          <w:lang w:eastAsia="ru-RU"/>
        </w:rPr>
        <w:t>Группировка объектов недвижимости</w:t>
      </w:r>
      <w:r w:rsidRPr="00611AF9">
        <w:rPr>
          <w:rFonts w:eastAsia="Times New Roman" w:cs="Times New Roman"/>
          <w:bCs/>
          <w:szCs w:val="24"/>
          <w:lang w:eastAsia="ru-RU"/>
        </w:rPr>
        <w:t xml:space="preserve"> – процесс разбиения на группы объектов оценки на основании анализа информации о рынке объектов оценки, обоснования модели оценки кадастровой стоимости, состава ценообразующих факторов и сведений о значениях ценообразующих факторов объектов оценки для каждого исследуемого вида объектов оценки.</w:t>
      </w:r>
    </w:p>
    <w:p w14:paraId="5858D84C" w14:textId="36F087CB" w:rsidR="00800401" w:rsidRPr="00611AF9" w:rsidRDefault="00800401" w:rsidP="00800401">
      <w:pPr>
        <w:tabs>
          <w:tab w:val="num" w:pos="680"/>
        </w:tabs>
        <w:ind w:left="57" w:right="57" w:firstLine="794"/>
        <w:rPr>
          <w:rFonts w:eastAsia="Times New Roman" w:cs="Times New Roman"/>
          <w:b/>
          <w:bCs/>
          <w:szCs w:val="24"/>
          <w:lang w:eastAsia="ru-RU"/>
        </w:rPr>
      </w:pPr>
      <w:r w:rsidRPr="00611AF9">
        <w:rPr>
          <w:rFonts w:eastAsia="Times New Roman" w:cs="Times New Roman"/>
          <w:b/>
          <w:bCs/>
          <w:szCs w:val="24"/>
          <w:lang w:eastAsia="ru-RU"/>
        </w:rPr>
        <w:t>Дата определения кадастровой стоимости</w:t>
      </w:r>
      <w:r w:rsidRPr="00611AF9">
        <w:rPr>
          <w:rFonts w:eastAsia="Times New Roman" w:cs="Times New Roman"/>
          <w:bCs/>
          <w:szCs w:val="24"/>
          <w:lang w:eastAsia="ru-RU"/>
        </w:rPr>
        <w:t xml:space="preserve"> – дата, по состоянию на которую осуществляется определение кадастровой стоимости при проведении государственной кадастровой оценки.</w:t>
      </w:r>
    </w:p>
    <w:p w14:paraId="35663ECC" w14:textId="5D33034B" w:rsidR="00875CE8" w:rsidRPr="00611AF9" w:rsidRDefault="00875CE8" w:rsidP="00875CE8">
      <w:pPr>
        <w:tabs>
          <w:tab w:val="num" w:pos="680"/>
        </w:tabs>
        <w:ind w:left="57" w:right="57" w:firstLine="794"/>
        <w:rPr>
          <w:rFonts w:eastAsia="Times New Roman" w:cs="Times New Roman"/>
          <w:szCs w:val="24"/>
          <w:lang w:eastAsia="ru-RU"/>
        </w:rPr>
      </w:pPr>
      <w:r w:rsidRPr="00611AF9">
        <w:rPr>
          <w:rFonts w:eastAsia="Times New Roman" w:cs="Times New Roman"/>
          <w:b/>
          <w:bCs/>
          <w:szCs w:val="24"/>
          <w:lang w:eastAsia="ru-RU"/>
        </w:rPr>
        <w:t>Дисконтирование</w:t>
      </w:r>
      <w:r w:rsidRPr="00611AF9">
        <w:rPr>
          <w:rFonts w:eastAsia="Times New Roman" w:cs="Times New Roman"/>
          <w:bCs/>
          <w:szCs w:val="24"/>
          <w:lang w:eastAsia="ru-RU"/>
        </w:rPr>
        <w:t xml:space="preserve"> – процесс определения текущей стоимости будущего дохода. </w:t>
      </w:r>
    </w:p>
    <w:p w14:paraId="2E83DB9F" w14:textId="77777777" w:rsidR="00875CE8" w:rsidRPr="00611AF9" w:rsidRDefault="00875CE8" w:rsidP="00875CE8">
      <w:pPr>
        <w:tabs>
          <w:tab w:val="num" w:pos="680"/>
        </w:tabs>
        <w:ind w:left="57" w:right="57" w:firstLine="794"/>
        <w:rPr>
          <w:rFonts w:eastAsia="Times New Roman" w:cs="Times New Roman"/>
          <w:bCs/>
          <w:szCs w:val="24"/>
          <w:lang w:eastAsia="ru-RU"/>
        </w:rPr>
      </w:pPr>
      <w:r w:rsidRPr="00611AF9">
        <w:rPr>
          <w:rFonts w:eastAsia="Times New Roman" w:cs="Times New Roman"/>
          <w:b/>
          <w:szCs w:val="24"/>
          <w:lang w:eastAsia="ru-RU"/>
        </w:rPr>
        <w:t>Доходный подход</w:t>
      </w:r>
      <w:r w:rsidRPr="00611AF9">
        <w:rPr>
          <w:rFonts w:eastAsia="Times New Roman" w:cs="Times New Roman"/>
          <w:szCs w:val="24"/>
          <w:lang w:eastAsia="ru-RU"/>
        </w:rPr>
        <w:t xml:space="preserve"> – совокупность методов оценки, основанных на определении ожидаемых доходов от использования объекта оценки</w:t>
      </w:r>
      <w:r w:rsidRPr="00611AF9">
        <w:rPr>
          <w:rFonts w:eastAsia="Times New Roman" w:cs="Times New Roman"/>
          <w:bCs/>
          <w:szCs w:val="24"/>
          <w:lang w:eastAsia="ru-RU"/>
        </w:rPr>
        <w:t>.</w:t>
      </w:r>
    </w:p>
    <w:p w14:paraId="2A63A840" w14:textId="77777777" w:rsidR="00875CE8" w:rsidRPr="00611AF9" w:rsidRDefault="00875CE8" w:rsidP="00875CE8">
      <w:pPr>
        <w:tabs>
          <w:tab w:val="num" w:pos="680"/>
        </w:tabs>
        <w:ind w:left="57" w:right="57" w:firstLine="794"/>
        <w:rPr>
          <w:rFonts w:eastAsia="Times New Roman" w:cs="Times New Roman"/>
          <w:szCs w:val="24"/>
          <w:lang w:eastAsia="ru-RU"/>
        </w:rPr>
      </w:pPr>
      <w:r w:rsidRPr="00611AF9">
        <w:rPr>
          <w:rFonts w:eastAsia="Times New Roman" w:cs="Times New Roman"/>
          <w:b/>
          <w:szCs w:val="24"/>
          <w:lang w:eastAsia="ru-RU"/>
        </w:rPr>
        <w:t>Затратный подход</w:t>
      </w:r>
      <w:r w:rsidRPr="00611AF9">
        <w:rPr>
          <w:rFonts w:eastAsia="Times New Roman" w:cs="Times New Roman"/>
          <w:szCs w:val="24"/>
          <w:lang w:eastAsia="ru-RU"/>
        </w:rPr>
        <w:t xml:space="preserve"> – совокупность методов оценки стоимости объекта оценки, основанных на определении затрат, необходимых для приобретения, воспроизводства либо замещения объекта оценки с учетом износа и устареваний</w:t>
      </w:r>
      <w:r w:rsidRPr="00611AF9">
        <w:rPr>
          <w:rFonts w:eastAsia="Times New Roman" w:cs="Times New Roman"/>
          <w:bCs/>
          <w:szCs w:val="24"/>
          <w:lang w:eastAsia="ru-RU"/>
        </w:rPr>
        <w:t>.</w:t>
      </w:r>
    </w:p>
    <w:p w14:paraId="00F2019C" w14:textId="19705DAC" w:rsidR="00800401" w:rsidRPr="00611AF9" w:rsidRDefault="00800401" w:rsidP="00800401">
      <w:pPr>
        <w:tabs>
          <w:tab w:val="num" w:pos="680"/>
        </w:tabs>
        <w:ind w:left="57" w:right="57" w:firstLine="794"/>
        <w:rPr>
          <w:rFonts w:eastAsia="Times New Roman" w:cs="Times New Roman"/>
          <w:bCs/>
          <w:szCs w:val="24"/>
          <w:lang w:eastAsia="ru-RU"/>
        </w:rPr>
      </w:pPr>
      <w:r w:rsidRPr="00611AF9">
        <w:rPr>
          <w:rFonts w:eastAsia="Times New Roman" w:cs="Times New Roman"/>
          <w:b/>
          <w:bCs/>
          <w:szCs w:val="24"/>
          <w:lang w:eastAsia="ru-RU"/>
        </w:rPr>
        <w:lastRenderedPageBreak/>
        <w:t>Единый государственный реестр недвижимости (ЕГРН</w:t>
      </w:r>
      <w:r w:rsidRPr="00611AF9">
        <w:rPr>
          <w:rFonts w:eastAsia="Times New Roman" w:cs="Times New Roman"/>
          <w:bCs/>
          <w:szCs w:val="24"/>
          <w:lang w:eastAsia="ru-RU"/>
        </w:rPr>
        <w:t>) - свод достоверных систематизированных сведений об учтенном в соответствии с Федеральным законом от 13.07.2015 г. № 218-ФЗ «О государственной регистрации недвижимости» (далее – Федеральный закон №218-ФЗ) недвижимом имуществе, о зарегистрированных правах на такое недвижимое имущество, основаниях их возникновения, правообладателях, а также иных установленных в соответствии с Федеральным законом № 218-ФЗ сведений.</w:t>
      </w:r>
    </w:p>
    <w:p w14:paraId="0DB63855" w14:textId="12459AE7" w:rsidR="00800401" w:rsidRPr="00611AF9" w:rsidRDefault="00800401" w:rsidP="00800401">
      <w:pPr>
        <w:tabs>
          <w:tab w:val="num" w:pos="680"/>
        </w:tabs>
        <w:ind w:left="57" w:right="57" w:firstLine="794"/>
        <w:rPr>
          <w:rFonts w:eastAsia="Times New Roman" w:cs="Times New Roman"/>
          <w:bCs/>
          <w:szCs w:val="24"/>
          <w:lang w:eastAsia="ru-RU"/>
        </w:rPr>
      </w:pPr>
      <w:r w:rsidRPr="00611AF9">
        <w:rPr>
          <w:rFonts w:eastAsia="Times New Roman" w:cs="Times New Roman"/>
          <w:b/>
          <w:bCs/>
          <w:szCs w:val="24"/>
          <w:lang w:eastAsia="ru-RU"/>
        </w:rPr>
        <w:t>Единый недвижимый комплекс (ЕНК)</w:t>
      </w:r>
      <w:r w:rsidRPr="00611AF9">
        <w:rPr>
          <w:rFonts w:eastAsia="Times New Roman" w:cs="Times New Roman"/>
          <w:bCs/>
          <w:szCs w:val="24"/>
          <w:lang w:eastAsia="ru-RU"/>
        </w:rPr>
        <w:t xml:space="preserve"> - совокупность объединенных единым назначением зданий, сооружений и иных вещей, неразрывно связанных физически или технологически, в том числе линейных объектов (железные дороги, линии электропередачи, трубопроводы и другие), либо расположенных на одном земельном участке, если в едином государственном реестре прав на недвижимое имущество зарегистрировано право собственности на совокупность указанных объектов в целом как одну недвижимую вещь.</w:t>
      </w:r>
    </w:p>
    <w:p w14:paraId="36348C6D" w14:textId="12AA0365" w:rsidR="00800401" w:rsidRPr="00611AF9" w:rsidRDefault="00800401" w:rsidP="00800401">
      <w:pPr>
        <w:tabs>
          <w:tab w:val="num" w:pos="680"/>
        </w:tabs>
        <w:ind w:left="57" w:right="57" w:firstLine="794"/>
        <w:rPr>
          <w:rFonts w:eastAsia="Times New Roman" w:cs="Times New Roman"/>
          <w:b/>
          <w:bCs/>
          <w:szCs w:val="24"/>
          <w:lang w:eastAsia="ru-RU"/>
        </w:rPr>
      </w:pPr>
      <w:r w:rsidRPr="00611AF9">
        <w:rPr>
          <w:rFonts w:eastAsia="Times New Roman" w:cs="Times New Roman"/>
          <w:b/>
          <w:bCs/>
          <w:szCs w:val="24"/>
          <w:lang w:eastAsia="ru-RU"/>
        </w:rPr>
        <w:t xml:space="preserve">Здание </w:t>
      </w:r>
      <w:r w:rsidRPr="00611AF9">
        <w:rPr>
          <w:rFonts w:eastAsia="Times New Roman" w:cs="Times New Roman"/>
          <w:bCs/>
          <w:szCs w:val="24"/>
          <w:lang w:eastAsia="ru-RU"/>
        </w:rPr>
        <w:t>– результат строительства, представляющий собой объемную строительную систему, имеющую надземную и (или) подземную части, включающую в себя помещения, сети инженерно-технического обеспечения и системы инженерно-технического обеспечения и предназначенную для проживания и (или) деятельности людей, размещения производства, хранения продукции или содержания животных. Жилое здание - жилой дом постоянного типа, рассчитанный на длительный срок службы. Нежилое здание - предназначенное для использования для производственных, торговых, культурно-просветительных, лечебно-санитарных, коммунально-бытовых, административных и др. (кроме постоянного проживания) целей.</w:t>
      </w:r>
    </w:p>
    <w:p w14:paraId="2B50C90F" w14:textId="748C53A9" w:rsidR="00EF1480" w:rsidRPr="00611AF9" w:rsidRDefault="00EF1480" w:rsidP="00EF1480">
      <w:pPr>
        <w:tabs>
          <w:tab w:val="num" w:pos="680"/>
        </w:tabs>
        <w:ind w:left="57" w:right="57" w:firstLine="794"/>
        <w:rPr>
          <w:rFonts w:eastAsia="Times New Roman" w:cs="Times New Roman"/>
          <w:szCs w:val="24"/>
          <w:lang w:eastAsia="ru-RU"/>
        </w:rPr>
      </w:pPr>
      <w:r w:rsidRPr="00611AF9">
        <w:rPr>
          <w:rFonts w:eastAsia="Times New Roman" w:cs="Times New Roman"/>
          <w:b/>
          <w:bCs/>
          <w:szCs w:val="24"/>
          <w:lang w:eastAsia="ru-RU"/>
        </w:rPr>
        <w:t>Инвестор</w:t>
      </w:r>
      <w:r w:rsidRPr="00611AF9">
        <w:rPr>
          <w:rFonts w:eastAsia="Times New Roman" w:cs="Times New Roman"/>
          <w:bCs/>
          <w:szCs w:val="24"/>
          <w:lang w:eastAsia="ru-RU"/>
        </w:rPr>
        <w:t xml:space="preserve"> – приобретатель (покупатель) права требования на будущие доходы.</w:t>
      </w:r>
      <w:r w:rsidR="002B0A70" w:rsidRPr="00611AF9">
        <w:rPr>
          <w:rFonts w:eastAsia="Times New Roman" w:cs="Times New Roman"/>
          <w:bCs/>
          <w:color w:val="FF0000"/>
          <w:szCs w:val="24"/>
          <w:lang w:eastAsia="ru-RU"/>
        </w:rPr>
        <w:t xml:space="preserve"> </w:t>
      </w:r>
    </w:p>
    <w:p w14:paraId="553E1F56" w14:textId="77777777" w:rsidR="00EF1480" w:rsidRPr="00611AF9" w:rsidRDefault="00EF1480" w:rsidP="00EF1480">
      <w:pPr>
        <w:ind w:left="57" w:firstLine="794"/>
        <w:rPr>
          <w:rFonts w:eastAsia="Times New Roman" w:cs="Times New Roman"/>
          <w:bCs/>
          <w:szCs w:val="24"/>
          <w:lang w:eastAsia="ru-RU"/>
        </w:rPr>
      </w:pPr>
      <w:r w:rsidRPr="00611AF9">
        <w:rPr>
          <w:rFonts w:eastAsia="Times New Roman" w:cs="Times New Roman"/>
          <w:b/>
          <w:bCs/>
          <w:szCs w:val="24"/>
          <w:lang w:eastAsia="ru-RU"/>
        </w:rPr>
        <w:t>Индивидуальная оценка</w:t>
      </w:r>
      <w:r w:rsidRPr="00611AF9">
        <w:rPr>
          <w:rFonts w:eastAsia="Times New Roman" w:cs="Times New Roman"/>
          <w:bCs/>
          <w:szCs w:val="24"/>
          <w:lang w:eastAsia="ru-RU"/>
        </w:rPr>
        <w:t xml:space="preserve"> - процесс определения кадастровой стоимости индивидуально в отношении объекта недвижимости на основе подходов к оценке (сравнительный, и (или) затратный, и (или) доходный подходы к оценке).</w:t>
      </w:r>
    </w:p>
    <w:p w14:paraId="4B450CBE" w14:textId="77777777" w:rsidR="00EF1480" w:rsidRPr="00611AF9" w:rsidRDefault="00EF1480" w:rsidP="00EF1480">
      <w:pPr>
        <w:ind w:left="57" w:firstLine="794"/>
        <w:rPr>
          <w:rFonts w:eastAsia="Times New Roman" w:cs="Times New Roman"/>
          <w:bCs/>
          <w:szCs w:val="24"/>
          <w:lang w:eastAsia="ru-RU"/>
        </w:rPr>
      </w:pPr>
      <w:r w:rsidRPr="00611AF9">
        <w:rPr>
          <w:rFonts w:eastAsia="Times New Roman" w:cs="Times New Roman"/>
          <w:b/>
          <w:bCs/>
          <w:szCs w:val="24"/>
          <w:lang w:eastAsia="ru-RU"/>
        </w:rPr>
        <w:t>Инженерная инфраструктура</w:t>
      </w:r>
      <w:r w:rsidRPr="00611AF9">
        <w:rPr>
          <w:rFonts w:eastAsia="Times New Roman" w:cs="Times New Roman"/>
          <w:bCs/>
          <w:szCs w:val="24"/>
          <w:lang w:eastAsia="ru-RU"/>
        </w:rPr>
        <w:t xml:space="preserve"> - система инженерных сооружений и коммуникаций (как наземных, так и подземных), обеспечивающая поступление и распределение воды, энергии (электрической, тепловой) и других ресурсов и утилизацию продуктов жизнедеятельности. </w:t>
      </w:r>
    </w:p>
    <w:p w14:paraId="3306C172" w14:textId="77777777" w:rsidR="00EF1480" w:rsidRPr="00611AF9" w:rsidRDefault="00EF1480" w:rsidP="00EF1480">
      <w:pPr>
        <w:ind w:left="57" w:firstLine="794"/>
        <w:rPr>
          <w:rFonts w:eastAsia="Times New Roman" w:cs="Times New Roman"/>
          <w:bCs/>
          <w:szCs w:val="24"/>
          <w:lang w:eastAsia="ru-RU"/>
        </w:rPr>
      </w:pPr>
      <w:r w:rsidRPr="00611AF9">
        <w:rPr>
          <w:rFonts w:eastAsia="Times New Roman" w:cs="Times New Roman"/>
          <w:b/>
          <w:bCs/>
          <w:szCs w:val="24"/>
          <w:lang w:eastAsia="ru-RU"/>
        </w:rPr>
        <w:t>Итоговая величина стоимости</w:t>
      </w:r>
      <w:r w:rsidRPr="00611AF9">
        <w:rPr>
          <w:rFonts w:eastAsia="Times New Roman" w:cs="Times New Roman"/>
          <w:bCs/>
          <w:szCs w:val="24"/>
          <w:lang w:eastAsia="ru-RU"/>
        </w:rPr>
        <w:t xml:space="preserve"> – стоимость объекта недвижимости, подлежащего государственной кадастровой оценки, рассчитанная при использовании подходов к оценке и обоснованного согласования (обобщения) результатов, полученных в рамках применения различных подходов к оценке.</w:t>
      </w:r>
    </w:p>
    <w:p w14:paraId="7B07E36A" w14:textId="2FE9AC51" w:rsidR="00800401" w:rsidRPr="00611AF9" w:rsidRDefault="00800401" w:rsidP="00800401">
      <w:pPr>
        <w:tabs>
          <w:tab w:val="num" w:pos="680"/>
        </w:tabs>
        <w:ind w:left="57" w:right="57" w:firstLine="794"/>
        <w:rPr>
          <w:rFonts w:eastAsia="Times New Roman" w:cs="Times New Roman"/>
          <w:bCs/>
          <w:szCs w:val="24"/>
          <w:lang w:eastAsia="ru-RU"/>
        </w:rPr>
      </w:pPr>
      <w:r w:rsidRPr="00611AF9">
        <w:rPr>
          <w:rFonts w:eastAsia="Times New Roman" w:cs="Times New Roman"/>
          <w:b/>
          <w:bCs/>
          <w:szCs w:val="24"/>
          <w:lang w:eastAsia="ru-RU"/>
        </w:rPr>
        <w:t>Кадастровая стоимость (КС)</w:t>
      </w:r>
      <w:r w:rsidRPr="00611AF9">
        <w:rPr>
          <w:rFonts w:eastAsia="Times New Roman" w:cs="Times New Roman"/>
          <w:bCs/>
          <w:szCs w:val="24"/>
          <w:lang w:eastAsia="ru-RU"/>
        </w:rPr>
        <w:t xml:space="preserve"> – стоимость объекта недвижимости, определенная в порядке, предусмотренном Федеральным законом №237-ФЗ, в результате проведения государственной кадастровой оценки в соответствии с методическими указаниями о государственной кадастровой оценке или в соответствии со статьей 16, 20, 21 или 22 Федерального закона № 237-ФЗ. </w:t>
      </w:r>
    </w:p>
    <w:p w14:paraId="7D562F5A" w14:textId="7161D102" w:rsidR="00095454" w:rsidRPr="00611AF9" w:rsidRDefault="00095454" w:rsidP="00095454">
      <w:pPr>
        <w:tabs>
          <w:tab w:val="num" w:pos="680"/>
        </w:tabs>
        <w:ind w:left="57" w:right="57" w:firstLine="794"/>
        <w:rPr>
          <w:rFonts w:eastAsia="Times New Roman" w:cs="Times New Roman"/>
          <w:bCs/>
          <w:szCs w:val="24"/>
          <w:lang w:eastAsia="ru-RU"/>
        </w:rPr>
      </w:pPr>
      <w:r w:rsidRPr="00611AF9">
        <w:rPr>
          <w:rFonts w:eastAsia="Times New Roman" w:cs="Times New Roman"/>
          <w:b/>
          <w:bCs/>
          <w:szCs w:val="24"/>
          <w:lang w:eastAsia="ru-RU"/>
        </w:rPr>
        <w:t>Кадастровые карты</w:t>
      </w:r>
      <w:r w:rsidRPr="00611AF9">
        <w:rPr>
          <w:rFonts w:eastAsia="Times New Roman" w:cs="Times New Roman"/>
          <w:bCs/>
          <w:szCs w:val="24"/>
          <w:lang w:eastAsia="ru-RU"/>
        </w:rPr>
        <w:t xml:space="preserve"> - составленные на картографической основе тематические карты, на которых в графической форме и текстовой форме воспроизводятся сведения, содержащиеся в ЕГРН:</w:t>
      </w:r>
    </w:p>
    <w:p w14:paraId="6E638482" w14:textId="77777777" w:rsidR="00095454" w:rsidRPr="00611AF9" w:rsidRDefault="00095454" w:rsidP="00095454">
      <w:pPr>
        <w:tabs>
          <w:tab w:val="num" w:pos="680"/>
        </w:tabs>
        <w:ind w:left="57" w:right="57" w:firstLine="794"/>
        <w:rPr>
          <w:rFonts w:eastAsia="Times New Roman" w:cs="Times New Roman"/>
          <w:bCs/>
          <w:szCs w:val="24"/>
          <w:lang w:eastAsia="ru-RU"/>
        </w:rPr>
      </w:pPr>
      <w:r w:rsidRPr="00611AF9">
        <w:rPr>
          <w:rFonts w:eastAsia="Times New Roman" w:cs="Times New Roman"/>
          <w:bCs/>
          <w:szCs w:val="24"/>
          <w:lang w:eastAsia="ru-RU"/>
        </w:rPr>
        <w:t>1) публичные кадастровые карты - кадастровые карты, предназначенные для использования неограниченным кругом лиц;</w:t>
      </w:r>
    </w:p>
    <w:p w14:paraId="7ADF4FF5" w14:textId="78762FAD" w:rsidR="00095454" w:rsidRPr="00611AF9" w:rsidRDefault="00095454" w:rsidP="00095454">
      <w:pPr>
        <w:tabs>
          <w:tab w:val="num" w:pos="680"/>
        </w:tabs>
        <w:ind w:left="57" w:right="57" w:firstLine="794"/>
        <w:rPr>
          <w:rFonts w:eastAsia="Times New Roman" w:cs="Times New Roman"/>
          <w:bCs/>
          <w:szCs w:val="24"/>
          <w:lang w:eastAsia="ru-RU"/>
        </w:rPr>
      </w:pPr>
      <w:r w:rsidRPr="00611AF9">
        <w:rPr>
          <w:rFonts w:eastAsia="Times New Roman" w:cs="Times New Roman"/>
          <w:bCs/>
          <w:szCs w:val="24"/>
          <w:lang w:eastAsia="ru-RU"/>
        </w:rPr>
        <w:t>2) дежурные кадастровые карты (ДКК) - кадастровые карты, предназначенные исключительно для использования органом регистрации прав при ведении Единого государственного реестра недвижимости.</w:t>
      </w:r>
    </w:p>
    <w:p w14:paraId="640B5706" w14:textId="77777777" w:rsidR="00095454" w:rsidRPr="00611AF9" w:rsidRDefault="00095454" w:rsidP="00095454">
      <w:pPr>
        <w:tabs>
          <w:tab w:val="num" w:pos="680"/>
        </w:tabs>
        <w:ind w:left="57" w:right="57" w:firstLine="794"/>
        <w:rPr>
          <w:rFonts w:eastAsia="Times New Roman" w:cs="Times New Roman"/>
          <w:bCs/>
          <w:szCs w:val="24"/>
          <w:lang w:eastAsia="ru-RU"/>
        </w:rPr>
      </w:pPr>
      <w:r w:rsidRPr="00611AF9">
        <w:rPr>
          <w:rFonts w:eastAsia="Times New Roman" w:cs="Times New Roman"/>
          <w:b/>
          <w:bCs/>
          <w:szCs w:val="24"/>
          <w:lang w:eastAsia="ru-RU"/>
        </w:rPr>
        <w:t>Квадратный метр (кв. м)</w:t>
      </w:r>
      <w:r w:rsidRPr="00611AF9">
        <w:rPr>
          <w:rFonts w:eastAsia="Times New Roman" w:cs="Times New Roman"/>
          <w:bCs/>
          <w:szCs w:val="24"/>
          <w:lang w:eastAsia="ru-RU"/>
        </w:rPr>
        <w:t xml:space="preserve"> - единица измерения площади.</w:t>
      </w:r>
    </w:p>
    <w:p w14:paraId="30EA65BF" w14:textId="1F15A705" w:rsidR="00095454" w:rsidRPr="00611AF9" w:rsidRDefault="00095454" w:rsidP="00095454">
      <w:pPr>
        <w:tabs>
          <w:tab w:val="num" w:pos="680"/>
        </w:tabs>
        <w:ind w:left="57" w:right="57" w:firstLine="794"/>
        <w:rPr>
          <w:rFonts w:eastAsia="Times New Roman" w:cs="Times New Roman"/>
          <w:bCs/>
          <w:szCs w:val="24"/>
          <w:lang w:eastAsia="ru-RU"/>
        </w:rPr>
      </w:pPr>
      <w:r w:rsidRPr="00611AF9">
        <w:rPr>
          <w:rFonts w:eastAsia="Times New Roman" w:cs="Times New Roman"/>
          <w:b/>
          <w:bCs/>
          <w:szCs w:val="24"/>
          <w:lang w:eastAsia="ru-RU"/>
        </w:rPr>
        <w:t>Классификатор адресов Российской Федерации (КЛАДР)</w:t>
      </w:r>
      <w:r w:rsidRPr="00611AF9">
        <w:rPr>
          <w:rFonts w:eastAsia="Times New Roman" w:cs="Times New Roman"/>
          <w:bCs/>
          <w:szCs w:val="24"/>
          <w:lang w:eastAsia="ru-RU"/>
        </w:rPr>
        <w:t xml:space="preserve"> - ведомственный классификатор федеральной налоговой службы, созданный для распределения территорий между налоговыми инспекциями и автоматизированной рассылки корреспонденции. С </w:t>
      </w:r>
      <w:r w:rsidRPr="00611AF9">
        <w:rPr>
          <w:rFonts w:eastAsia="Times New Roman" w:cs="Times New Roman"/>
          <w:bCs/>
          <w:szCs w:val="24"/>
          <w:lang w:eastAsia="ru-RU"/>
        </w:rPr>
        <w:lastRenderedPageBreak/>
        <w:t>2018 году выгрузка адресных сведений из государственного адресного реестра представляется только в формате ФИАС.</w:t>
      </w:r>
    </w:p>
    <w:p w14:paraId="02F7B521" w14:textId="39F07C8B" w:rsidR="00095454" w:rsidRPr="00611AF9" w:rsidRDefault="00095454" w:rsidP="00095454">
      <w:pPr>
        <w:tabs>
          <w:tab w:val="num" w:pos="680"/>
        </w:tabs>
        <w:ind w:left="57" w:right="57" w:firstLine="794"/>
        <w:rPr>
          <w:rFonts w:eastAsia="Times New Roman" w:cs="Times New Roman"/>
          <w:bCs/>
          <w:szCs w:val="24"/>
          <w:lang w:eastAsia="ru-RU"/>
        </w:rPr>
      </w:pPr>
      <w:r w:rsidRPr="00611AF9">
        <w:rPr>
          <w:rFonts w:eastAsia="Times New Roman" w:cs="Times New Roman"/>
          <w:b/>
          <w:bCs/>
          <w:szCs w:val="24"/>
          <w:lang w:eastAsia="ru-RU"/>
        </w:rPr>
        <w:t>Контрольная выборка</w:t>
      </w:r>
      <w:r w:rsidRPr="00611AF9">
        <w:rPr>
          <w:rFonts w:eastAsia="Times New Roman" w:cs="Times New Roman"/>
          <w:bCs/>
          <w:szCs w:val="24"/>
          <w:lang w:eastAsia="ru-RU"/>
        </w:rPr>
        <w:t xml:space="preserve"> – выборка объектов аналогов, не входящих в состав обучающей выборки, на основе которой проводится проверка качества статистической модели оценки кадастровой стоимости. </w:t>
      </w:r>
    </w:p>
    <w:p w14:paraId="605FB411" w14:textId="77777777" w:rsidR="00EF1480" w:rsidRPr="00611AF9" w:rsidRDefault="00EF1480" w:rsidP="00EF1480">
      <w:pPr>
        <w:tabs>
          <w:tab w:val="num" w:pos="680"/>
        </w:tabs>
        <w:ind w:left="57" w:right="57" w:firstLine="794"/>
        <w:rPr>
          <w:rFonts w:eastAsia="Times New Roman" w:cs="Times New Roman"/>
          <w:szCs w:val="24"/>
          <w:lang w:eastAsia="ru-RU"/>
        </w:rPr>
      </w:pPr>
      <w:r w:rsidRPr="00611AF9">
        <w:rPr>
          <w:rFonts w:eastAsia="Times New Roman" w:cs="Times New Roman"/>
          <w:b/>
          <w:szCs w:val="24"/>
          <w:lang w:eastAsia="ru-RU"/>
        </w:rPr>
        <w:t>Корректировка (поправка)</w:t>
      </w:r>
      <w:r w:rsidRPr="00611AF9">
        <w:rPr>
          <w:rFonts w:eastAsia="Times New Roman" w:cs="Times New Roman"/>
          <w:szCs w:val="24"/>
          <w:lang w:eastAsia="ru-RU"/>
        </w:rPr>
        <w:t xml:space="preserve"> представляет собой операцию (часто – математическую), учитывающую разницу в стоимости между оцениваемым и сравнимым объектами, вызванную влиянием конкретного элемента сравнения. Все корректировки выполняются по принципу «от объекта сравнения к объекту, подлежащему государственной кадастровой оценке».</w:t>
      </w:r>
    </w:p>
    <w:p w14:paraId="5C1EBB97" w14:textId="77777777" w:rsidR="00EF1480" w:rsidRPr="00611AF9" w:rsidRDefault="00EF1480" w:rsidP="00EF1480">
      <w:pPr>
        <w:tabs>
          <w:tab w:val="num" w:pos="680"/>
        </w:tabs>
        <w:ind w:left="57" w:right="57" w:firstLine="794"/>
        <w:rPr>
          <w:rFonts w:eastAsia="Times New Roman" w:cs="Times New Roman"/>
          <w:szCs w:val="24"/>
          <w:lang w:eastAsia="ru-RU"/>
        </w:rPr>
      </w:pPr>
      <w:r w:rsidRPr="00611AF9">
        <w:rPr>
          <w:rFonts w:eastAsia="Times New Roman" w:cs="Times New Roman"/>
          <w:b/>
          <w:bCs/>
          <w:szCs w:val="24"/>
          <w:lang w:eastAsia="ru-RU"/>
        </w:rPr>
        <w:t>Критерий достаточности (коэффициент детерминации) (R2) –</w:t>
      </w:r>
      <w:r w:rsidRPr="00611AF9">
        <w:rPr>
          <w:rFonts w:eastAsia="Times New Roman" w:cs="Times New Roman"/>
          <w:szCs w:val="24"/>
          <w:lang w:eastAsia="ru-RU"/>
        </w:rPr>
        <w:t xml:space="preserve"> достаточность связи между рыночной ценой и (или) рыночной стоимостью объектов недвижимости и ценообразующими факторами на основе уравнения связи между рыночной ценой и (или) рыночной стоимостью объектов недвижимости и ценообразующими факторами. Связь считается достаточной при R2&gt;0,7.</w:t>
      </w:r>
    </w:p>
    <w:p w14:paraId="220F8A24" w14:textId="77777777" w:rsidR="00EF1480" w:rsidRPr="00611AF9" w:rsidRDefault="00EF1480" w:rsidP="00EF1480">
      <w:pPr>
        <w:tabs>
          <w:tab w:val="num" w:pos="680"/>
        </w:tabs>
        <w:ind w:left="57" w:right="57" w:firstLine="794"/>
        <w:rPr>
          <w:rFonts w:eastAsia="Times New Roman" w:cs="Times New Roman"/>
          <w:bCs/>
          <w:szCs w:val="24"/>
          <w:lang w:eastAsia="ru-RU"/>
        </w:rPr>
      </w:pPr>
      <w:r w:rsidRPr="00611AF9">
        <w:rPr>
          <w:rFonts w:eastAsia="Times New Roman" w:cs="Times New Roman"/>
          <w:b/>
          <w:bCs/>
          <w:szCs w:val="24"/>
          <w:lang w:eastAsia="ru-RU"/>
        </w:rPr>
        <w:t>Коэффициент капитализации доходов от земли</w:t>
      </w:r>
      <w:r w:rsidRPr="00611AF9">
        <w:rPr>
          <w:rFonts w:eastAsia="Times New Roman" w:cs="Times New Roman"/>
          <w:bCs/>
          <w:szCs w:val="24"/>
          <w:lang w:eastAsia="ru-RU"/>
        </w:rPr>
        <w:t xml:space="preserve"> - отношение чистого годового дохода от земли к ее стоимости.</w:t>
      </w:r>
    </w:p>
    <w:p w14:paraId="7673E3EE" w14:textId="77777777" w:rsidR="004A2237" w:rsidRPr="00611AF9" w:rsidRDefault="004A2237" w:rsidP="004A2237">
      <w:pPr>
        <w:tabs>
          <w:tab w:val="num" w:pos="680"/>
        </w:tabs>
        <w:ind w:left="57" w:right="57" w:firstLine="794"/>
        <w:rPr>
          <w:rFonts w:eastAsia="Times New Roman" w:cs="Times New Roman"/>
          <w:szCs w:val="24"/>
          <w:lang w:eastAsia="ru-RU"/>
        </w:rPr>
      </w:pPr>
      <w:r w:rsidRPr="00611AF9">
        <w:rPr>
          <w:rFonts w:eastAsia="Times New Roman" w:cs="Times New Roman"/>
          <w:b/>
          <w:bCs/>
          <w:szCs w:val="24"/>
          <w:lang w:eastAsia="ru-RU"/>
        </w:rPr>
        <w:t xml:space="preserve">Массовая оценка </w:t>
      </w:r>
      <w:r w:rsidRPr="00611AF9">
        <w:rPr>
          <w:rFonts w:eastAsia="Times New Roman" w:cs="Times New Roman"/>
          <w:szCs w:val="24"/>
          <w:lang w:eastAsia="ru-RU"/>
        </w:rPr>
        <w:t>– процесс определения стоимости при группировании объектов оценки, имеющих схожие характеристики, в рамках которого используются математические и иные методы моделирования стоимости на основе подходов к оценке.</w:t>
      </w:r>
    </w:p>
    <w:p w14:paraId="56FC2A47" w14:textId="77777777" w:rsidR="004A2237" w:rsidRPr="00611AF9" w:rsidRDefault="004A2237" w:rsidP="004A2237">
      <w:pPr>
        <w:ind w:left="57" w:right="57" w:firstLine="794"/>
        <w:rPr>
          <w:rFonts w:eastAsia="Times New Roman" w:cs="Times New Roman"/>
          <w:bCs/>
          <w:szCs w:val="24"/>
          <w:lang w:eastAsia="ru-RU"/>
        </w:rPr>
      </w:pPr>
      <w:r w:rsidRPr="00611AF9">
        <w:rPr>
          <w:rFonts w:eastAsia="Times New Roman" w:cs="Times New Roman"/>
          <w:bCs/>
          <w:szCs w:val="24"/>
          <w:lang w:eastAsia="ru-RU"/>
        </w:rPr>
        <w:t xml:space="preserve">В массовой оценке одновременно оценивается большая группа объектов, при которой анализируется такое количество ценообразующих факторов, которое присуще достаточно большому количеству однородных объектов-аналогов, и в процессе обработки этой информации широко используются методы статистического анализа с применение программного обеспечения. </w:t>
      </w:r>
    </w:p>
    <w:p w14:paraId="4F329035" w14:textId="07CD43F9" w:rsidR="00800401" w:rsidRPr="00611AF9" w:rsidRDefault="00800401" w:rsidP="00800401">
      <w:pPr>
        <w:tabs>
          <w:tab w:val="num" w:pos="680"/>
        </w:tabs>
        <w:ind w:left="57" w:right="57" w:firstLine="794"/>
        <w:rPr>
          <w:rFonts w:eastAsia="Times New Roman" w:cs="Times New Roman"/>
          <w:bCs/>
          <w:szCs w:val="24"/>
          <w:lang w:eastAsia="ru-RU"/>
        </w:rPr>
      </w:pPr>
      <w:r w:rsidRPr="00611AF9">
        <w:rPr>
          <w:rFonts w:eastAsia="Times New Roman" w:cs="Times New Roman"/>
          <w:b/>
          <w:bCs/>
          <w:szCs w:val="24"/>
          <w:lang w:eastAsia="ru-RU"/>
        </w:rPr>
        <w:t>Машино-место</w:t>
      </w:r>
      <w:r w:rsidRPr="00611AF9">
        <w:rPr>
          <w:rFonts w:eastAsia="Times New Roman" w:cs="Times New Roman"/>
          <w:bCs/>
          <w:szCs w:val="24"/>
          <w:lang w:eastAsia="ru-RU"/>
        </w:rPr>
        <w:t xml:space="preserve"> - предназначенная исключительно для размещения транспортного средства индивидуально-определенная часть здания или сооружения, которая не ограничена либо частично ограничена строительной или иной ограждающей конструкцией и границы которой описаны в установленном законодательством о государственном кадастровом учете порядке.</w:t>
      </w:r>
    </w:p>
    <w:p w14:paraId="1E96110B" w14:textId="77777777" w:rsidR="004A2237" w:rsidRPr="00611AF9" w:rsidRDefault="004A2237" w:rsidP="004A2237">
      <w:pPr>
        <w:tabs>
          <w:tab w:val="num" w:pos="680"/>
        </w:tabs>
        <w:ind w:left="57" w:right="57" w:firstLine="794"/>
        <w:rPr>
          <w:rFonts w:eastAsia="Times New Roman" w:cs="Times New Roman"/>
          <w:szCs w:val="24"/>
          <w:lang w:eastAsia="ru-RU"/>
        </w:rPr>
      </w:pPr>
      <w:r w:rsidRPr="00611AF9">
        <w:rPr>
          <w:rFonts w:eastAsia="Times New Roman" w:cs="Times New Roman"/>
          <w:b/>
          <w:bCs/>
          <w:szCs w:val="24"/>
          <w:lang w:eastAsia="ru-RU"/>
        </w:rPr>
        <w:t>Метод проведения оценки</w:t>
      </w:r>
      <w:r w:rsidRPr="00611AF9">
        <w:rPr>
          <w:rFonts w:eastAsia="Times New Roman" w:cs="Times New Roman"/>
          <w:bCs/>
          <w:szCs w:val="24"/>
          <w:lang w:eastAsia="ru-RU"/>
        </w:rPr>
        <w:t xml:space="preserve"> – последовательность процедур, позволяющая на основе существенной для данного метода информации определить стоимость объекта оценки в рамках одного из подходов к оценке.</w:t>
      </w:r>
    </w:p>
    <w:p w14:paraId="7E18A650" w14:textId="0ED2D513" w:rsidR="004A2237" w:rsidRPr="00611AF9" w:rsidRDefault="004A2237" w:rsidP="004A2237">
      <w:pPr>
        <w:tabs>
          <w:tab w:val="num" w:pos="680"/>
        </w:tabs>
        <w:ind w:left="57" w:right="57" w:firstLine="794"/>
        <w:rPr>
          <w:rFonts w:eastAsia="Times New Roman" w:cs="Times New Roman"/>
          <w:szCs w:val="24"/>
          <w:lang w:eastAsia="ru-RU"/>
        </w:rPr>
      </w:pPr>
      <w:r w:rsidRPr="00611AF9">
        <w:rPr>
          <w:rFonts w:eastAsia="Times New Roman" w:cs="Times New Roman"/>
          <w:b/>
          <w:bCs/>
          <w:szCs w:val="24"/>
          <w:lang w:eastAsia="ru-RU"/>
        </w:rPr>
        <w:t>Метод дисконтированных денежных потоков</w:t>
      </w:r>
      <w:r w:rsidRPr="00611AF9">
        <w:rPr>
          <w:rFonts w:eastAsia="Times New Roman" w:cs="Times New Roman"/>
          <w:bCs/>
          <w:szCs w:val="24"/>
          <w:lang w:eastAsia="ru-RU"/>
        </w:rPr>
        <w:t xml:space="preserve"> - метод капитализации по норме отдачи на капитал, при котором отдельно дисконтируется денежный поток каждого года эксплуатации оцениваемого актива, включая денежный поток от его перепродажи в конце периода владения с использованием индивидуальной (текущей) или конечной нормы отдачи на капитал.</w:t>
      </w:r>
      <w:r w:rsidR="002B0A70" w:rsidRPr="00611AF9">
        <w:rPr>
          <w:rFonts w:eastAsia="Times New Roman" w:cs="Times New Roman"/>
          <w:bCs/>
          <w:color w:val="FF0000"/>
          <w:szCs w:val="24"/>
          <w:lang w:eastAsia="ru-RU"/>
        </w:rPr>
        <w:t xml:space="preserve"> </w:t>
      </w:r>
    </w:p>
    <w:p w14:paraId="12B14AAB" w14:textId="38EBE73A" w:rsidR="004A2237" w:rsidRPr="00611AF9" w:rsidRDefault="004A2237" w:rsidP="004A2237">
      <w:pPr>
        <w:tabs>
          <w:tab w:val="num" w:pos="680"/>
        </w:tabs>
        <w:ind w:left="57" w:right="57" w:firstLine="794"/>
        <w:rPr>
          <w:rFonts w:eastAsia="Times New Roman" w:cs="Times New Roman"/>
          <w:szCs w:val="24"/>
          <w:lang w:eastAsia="ru-RU"/>
        </w:rPr>
      </w:pPr>
      <w:r w:rsidRPr="00611AF9">
        <w:rPr>
          <w:rFonts w:eastAsia="Times New Roman" w:cs="Times New Roman"/>
          <w:b/>
          <w:bCs/>
          <w:szCs w:val="24"/>
          <w:lang w:eastAsia="ru-RU"/>
        </w:rPr>
        <w:t>Метод капитализации по норме отдачи на капитал</w:t>
      </w:r>
      <w:r w:rsidRPr="00611AF9">
        <w:rPr>
          <w:rFonts w:eastAsia="Times New Roman" w:cs="Times New Roman"/>
          <w:bCs/>
          <w:szCs w:val="24"/>
          <w:lang w:eastAsia="ru-RU"/>
        </w:rPr>
        <w:t xml:space="preserve"> – метод оценки стоимости доходного актива, основанный на преобразовании всех денежных потоков как сальдо реальных денег, которые он генерирует в процессе своей экономической жизни, в стоимость путем дисконтирования их на дату оценки с использованием нормы отдачи на капитал, извлекаемой из рынка альтернативных по уровню рисков инвестиций. </w:t>
      </w:r>
    </w:p>
    <w:p w14:paraId="368A427C" w14:textId="572AA301" w:rsidR="004A2237" w:rsidRPr="00611AF9" w:rsidRDefault="004A2237" w:rsidP="004A2237">
      <w:pPr>
        <w:tabs>
          <w:tab w:val="num" w:pos="680"/>
        </w:tabs>
        <w:ind w:left="57" w:right="57" w:firstLine="794"/>
        <w:rPr>
          <w:rFonts w:eastAsia="Times New Roman" w:cs="Times New Roman"/>
          <w:szCs w:val="24"/>
          <w:lang w:eastAsia="ru-RU"/>
        </w:rPr>
      </w:pPr>
      <w:r w:rsidRPr="00611AF9">
        <w:rPr>
          <w:rFonts w:eastAsia="Times New Roman" w:cs="Times New Roman"/>
          <w:b/>
          <w:bCs/>
          <w:szCs w:val="24"/>
          <w:lang w:eastAsia="ru-RU"/>
        </w:rPr>
        <w:t>Метод капитализации по расчетным моделям</w:t>
      </w:r>
      <w:r w:rsidRPr="00611AF9">
        <w:rPr>
          <w:rFonts w:eastAsia="Times New Roman" w:cs="Times New Roman"/>
          <w:bCs/>
          <w:szCs w:val="24"/>
          <w:lang w:eastAsia="ru-RU"/>
        </w:rPr>
        <w:t xml:space="preserve"> - метод капитализации по норме отдачи на капитал, при котором доход первого года преобразуется в стоимость с использованием формализованных расчетных моделей дохода и стоимости, полученных на основе анализа тенденций их изменения в будущем.</w:t>
      </w:r>
      <w:r w:rsidR="002B0A70" w:rsidRPr="00611AF9">
        <w:rPr>
          <w:rFonts w:eastAsia="Times New Roman" w:cs="Times New Roman"/>
          <w:bCs/>
          <w:szCs w:val="24"/>
          <w:lang w:eastAsia="ru-RU"/>
        </w:rPr>
        <w:t xml:space="preserve"> </w:t>
      </w:r>
    </w:p>
    <w:p w14:paraId="71256A02" w14:textId="2CF3B97E" w:rsidR="004A2237" w:rsidRPr="00611AF9" w:rsidRDefault="004A2237" w:rsidP="004A2237">
      <w:pPr>
        <w:tabs>
          <w:tab w:val="num" w:pos="680"/>
        </w:tabs>
        <w:ind w:left="57" w:right="57" w:firstLine="794"/>
        <w:rPr>
          <w:rFonts w:eastAsia="Times New Roman" w:cs="Times New Roman"/>
          <w:bCs/>
          <w:szCs w:val="24"/>
          <w:lang w:eastAsia="ru-RU"/>
        </w:rPr>
      </w:pPr>
      <w:r w:rsidRPr="00611AF9">
        <w:rPr>
          <w:rFonts w:eastAsia="Times New Roman" w:cs="Times New Roman"/>
          <w:b/>
          <w:bCs/>
          <w:szCs w:val="24"/>
          <w:lang w:eastAsia="ru-RU"/>
        </w:rPr>
        <w:t>Метод прямой капитализации</w:t>
      </w:r>
      <w:r w:rsidRPr="00611AF9">
        <w:rPr>
          <w:rFonts w:eastAsia="Times New Roman" w:cs="Times New Roman"/>
          <w:bCs/>
          <w:szCs w:val="24"/>
          <w:lang w:eastAsia="ru-RU"/>
        </w:rPr>
        <w:t xml:space="preserve"> – метод оценки стоимости доходного актива, основанный на прямом преобразовании наиболее типичного дохода в стоимость путем деления его на коэффициент капитализации, полученный на основе анализа рыночных данных о соотношениях дохода к стоимости активов, аналогичных оцениваемому.</w:t>
      </w:r>
      <w:r w:rsidR="002B0A70" w:rsidRPr="00611AF9">
        <w:rPr>
          <w:rFonts w:eastAsia="Times New Roman" w:cs="Times New Roman"/>
          <w:bCs/>
          <w:color w:val="FF0000"/>
          <w:szCs w:val="24"/>
          <w:lang w:eastAsia="ru-RU"/>
        </w:rPr>
        <w:t xml:space="preserve"> </w:t>
      </w:r>
    </w:p>
    <w:p w14:paraId="68CD3906" w14:textId="3D27FFFC" w:rsidR="00322AE9" w:rsidRPr="00611AF9" w:rsidRDefault="00B04BAD" w:rsidP="004A2237">
      <w:pPr>
        <w:tabs>
          <w:tab w:val="num" w:pos="680"/>
        </w:tabs>
        <w:ind w:left="57" w:right="57" w:firstLine="794"/>
        <w:rPr>
          <w:rFonts w:eastAsia="Times New Roman" w:cs="Times New Roman"/>
          <w:b/>
          <w:szCs w:val="24"/>
          <w:lang w:eastAsia="ru-RU"/>
        </w:rPr>
      </w:pPr>
      <w:r w:rsidRPr="00611AF9">
        <w:rPr>
          <w:rFonts w:eastAsia="Times New Roman" w:cs="Times New Roman"/>
          <w:b/>
          <w:szCs w:val="24"/>
          <w:lang w:eastAsia="ru-RU"/>
        </w:rPr>
        <w:t xml:space="preserve">Многоквартирный дом (МКД) - </w:t>
      </w:r>
      <w:r w:rsidRPr="00611AF9">
        <w:rPr>
          <w:rFonts w:eastAsia="Times New Roman" w:cs="Times New Roman"/>
          <w:szCs w:val="24"/>
          <w:lang w:eastAsia="ru-RU"/>
        </w:rPr>
        <w:t>здание, в котором расположены жилые помещения (квартиры), нежилые помещения, места общего пользования, общедомовое имущество.</w:t>
      </w:r>
    </w:p>
    <w:p w14:paraId="4360BC32" w14:textId="06182EEF" w:rsidR="004A2237" w:rsidRPr="00611AF9" w:rsidRDefault="004A2237" w:rsidP="004A2237">
      <w:pPr>
        <w:tabs>
          <w:tab w:val="num" w:pos="680"/>
        </w:tabs>
        <w:ind w:left="57" w:right="57" w:firstLine="794"/>
        <w:rPr>
          <w:rFonts w:eastAsia="Times New Roman" w:cs="Times New Roman"/>
          <w:szCs w:val="24"/>
          <w:lang w:eastAsia="ru-RU"/>
        </w:rPr>
      </w:pPr>
      <w:r w:rsidRPr="00611AF9">
        <w:rPr>
          <w:rFonts w:eastAsia="Times New Roman" w:cs="Times New Roman"/>
          <w:b/>
          <w:szCs w:val="24"/>
          <w:lang w:eastAsia="ru-RU"/>
        </w:rPr>
        <w:t>Модель оценки кадастровой стоимости</w:t>
      </w:r>
      <w:r w:rsidRPr="00611AF9">
        <w:rPr>
          <w:rFonts w:eastAsia="Times New Roman" w:cs="Times New Roman"/>
          <w:szCs w:val="24"/>
          <w:lang w:eastAsia="ru-RU"/>
        </w:rPr>
        <w:t xml:space="preserve"> – математическая формула, отображающая связь между зависимой переменной (кадастровая стоимость) и значениями независимых переменных (ценообразующих факторов объектов недвижимости).</w:t>
      </w:r>
    </w:p>
    <w:p w14:paraId="2B1AC43D" w14:textId="77777777" w:rsidR="00EF1480" w:rsidRPr="00611AF9" w:rsidRDefault="00EF1480" w:rsidP="00EF1480">
      <w:pPr>
        <w:tabs>
          <w:tab w:val="num" w:pos="680"/>
        </w:tabs>
        <w:ind w:left="57" w:right="57" w:firstLine="794"/>
        <w:rPr>
          <w:rFonts w:eastAsia="Times New Roman" w:cs="Times New Roman"/>
          <w:szCs w:val="24"/>
          <w:lang w:eastAsia="ru-RU"/>
        </w:rPr>
      </w:pPr>
      <w:r w:rsidRPr="00611AF9">
        <w:rPr>
          <w:rFonts w:eastAsia="Times New Roman" w:cs="Times New Roman"/>
          <w:b/>
          <w:szCs w:val="24"/>
          <w:lang w:eastAsia="ru-RU"/>
        </w:rPr>
        <w:t>Моделирование</w:t>
      </w:r>
      <w:r w:rsidRPr="00611AF9">
        <w:rPr>
          <w:rFonts w:eastAsia="Times New Roman" w:cs="Times New Roman"/>
          <w:szCs w:val="24"/>
          <w:lang w:eastAsia="ru-RU"/>
        </w:rPr>
        <w:t xml:space="preserve"> – построение статистических моделей расчета кадастровой стоимости объектов недвижимости на основе установления уравнения связи между рыночной ценой и (или) рыночной стоимостью объектов недвижимости и ценообразующими факторами.</w:t>
      </w:r>
    </w:p>
    <w:p w14:paraId="61D31EEA" w14:textId="411CC7EF" w:rsidR="00800401" w:rsidRPr="00611AF9" w:rsidRDefault="00800401" w:rsidP="00800401">
      <w:pPr>
        <w:tabs>
          <w:tab w:val="num" w:pos="680"/>
        </w:tabs>
        <w:ind w:left="57" w:right="57" w:firstLine="794"/>
        <w:rPr>
          <w:rFonts w:eastAsia="Times New Roman" w:cs="Times New Roman"/>
          <w:bCs/>
          <w:szCs w:val="24"/>
          <w:lang w:eastAsia="ru-RU"/>
        </w:rPr>
      </w:pPr>
      <w:r w:rsidRPr="00611AF9">
        <w:rPr>
          <w:rFonts w:eastAsia="Times New Roman" w:cs="Times New Roman"/>
          <w:b/>
          <w:bCs/>
          <w:szCs w:val="24"/>
          <w:lang w:eastAsia="ru-RU"/>
        </w:rPr>
        <w:t>Муниципальное образование (МО)</w:t>
      </w:r>
      <w:r w:rsidRPr="00611AF9">
        <w:rPr>
          <w:rFonts w:eastAsia="Times New Roman" w:cs="Times New Roman"/>
          <w:bCs/>
          <w:szCs w:val="24"/>
          <w:lang w:eastAsia="ru-RU"/>
        </w:rPr>
        <w:t xml:space="preserve"> - городское или сельское поселение, муниципальный район, городской округ либо внутригородская территория города федерального значения.</w:t>
      </w:r>
    </w:p>
    <w:p w14:paraId="7B55D2CB" w14:textId="388E4B05" w:rsidR="00800401" w:rsidRPr="00611AF9" w:rsidRDefault="00800401" w:rsidP="00800401">
      <w:pPr>
        <w:tabs>
          <w:tab w:val="num" w:pos="680"/>
        </w:tabs>
        <w:ind w:left="57" w:right="57" w:firstLine="794"/>
        <w:rPr>
          <w:rFonts w:eastAsia="Times New Roman" w:cs="Times New Roman"/>
          <w:bCs/>
          <w:szCs w:val="24"/>
          <w:lang w:eastAsia="ru-RU"/>
        </w:rPr>
      </w:pPr>
      <w:r w:rsidRPr="00611AF9">
        <w:rPr>
          <w:rFonts w:eastAsia="Times New Roman" w:cs="Times New Roman"/>
          <w:b/>
          <w:bCs/>
          <w:szCs w:val="24"/>
          <w:lang w:eastAsia="ru-RU"/>
        </w:rPr>
        <w:t>Муниципальный район (МР)</w:t>
      </w:r>
      <w:r w:rsidRPr="00611AF9">
        <w:rPr>
          <w:rFonts w:eastAsia="Times New Roman" w:cs="Times New Roman"/>
          <w:bCs/>
          <w:szCs w:val="24"/>
          <w:lang w:eastAsia="ru-RU"/>
        </w:rPr>
        <w:t xml:space="preserve"> - несколько поселений или поселений и ме</w:t>
      </w:r>
      <w:r w:rsidR="00B70A72" w:rsidRPr="00611AF9">
        <w:rPr>
          <w:rFonts w:eastAsia="Times New Roman" w:cs="Times New Roman"/>
          <w:bCs/>
          <w:szCs w:val="24"/>
          <w:lang w:eastAsia="ru-RU"/>
        </w:rPr>
        <w:t>жселенных территорий, объединен</w:t>
      </w:r>
      <w:r w:rsidRPr="00611AF9">
        <w:rPr>
          <w:rFonts w:eastAsia="Times New Roman" w:cs="Times New Roman"/>
          <w:bCs/>
          <w:szCs w:val="24"/>
          <w:lang w:eastAsia="ru-RU"/>
        </w:rPr>
        <w:t>ных общей территорией, в границах которой местное самоуправление осуществляется в целях решения вопросов местного значения межпоселенческого характера населением непосредственно и (или) через выборные и иные органы местного самоуправления, которые могут осуществлять отдельные государствен</w:t>
      </w:r>
      <w:r w:rsidR="00B70A72" w:rsidRPr="00611AF9">
        <w:rPr>
          <w:rFonts w:eastAsia="Times New Roman" w:cs="Times New Roman"/>
          <w:bCs/>
          <w:szCs w:val="24"/>
          <w:lang w:eastAsia="ru-RU"/>
        </w:rPr>
        <w:t>ные полномочия, передаваемые ор</w:t>
      </w:r>
      <w:r w:rsidRPr="00611AF9">
        <w:rPr>
          <w:rFonts w:eastAsia="Times New Roman" w:cs="Times New Roman"/>
          <w:bCs/>
          <w:szCs w:val="24"/>
          <w:lang w:eastAsia="ru-RU"/>
        </w:rPr>
        <w:t>ганам местного самоуправления федеральными законами и законами субъектов Российской Федерации.</w:t>
      </w:r>
    </w:p>
    <w:p w14:paraId="59162F11" w14:textId="77777777" w:rsidR="00EF1480" w:rsidRPr="00611AF9" w:rsidRDefault="00EF1480" w:rsidP="00EF1480">
      <w:pPr>
        <w:tabs>
          <w:tab w:val="num" w:pos="680"/>
        </w:tabs>
        <w:ind w:left="57" w:right="57" w:firstLine="794"/>
        <w:rPr>
          <w:rFonts w:eastAsia="Times New Roman" w:cs="Times New Roman"/>
          <w:szCs w:val="24"/>
          <w:lang w:eastAsia="ru-RU"/>
        </w:rPr>
      </w:pPr>
      <w:r w:rsidRPr="00611AF9">
        <w:rPr>
          <w:rFonts w:eastAsia="Times New Roman" w:cs="Times New Roman"/>
          <w:b/>
          <w:bCs/>
          <w:szCs w:val="24"/>
          <w:lang w:eastAsia="ru-RU"/>
        </w:rPr>
        <w:t>Наиболее эффективное использование</w:t>
      </w:r>
      <w:r w:rsidRPr="00611AF9">
        <w:rPr>
          <w:rFonts w:eastAsia="Times New Roman" w:cs="Times New Roman"/>
          <w:bCs/>
          <w:szCs w:val="24"/>
          <w:lang w:eastAsia="ru-RU"/>
        </w:rPr>
        <w:t xml:space="preserve"> - </w:t>
      </w:r>
      <w:r w:rsidRPr="00611AF9">
        <w:rPr>
          <w:rFonts w:eastAsia="Times New Roman" w:cs="Times New Roman"/>
          <w:szCs w:val="24"/>
          <w:lang w:eastAsia="ru-RU"/>
        </w:rPr>
        <w:t>наиболее вероятное, разумное и разрешенное использование оцениваемого объекта, которое должно удовлетворять следующим критериям, являться физически возможным, юридически допустимым, целесообразным с финансовой точки зрения, и обеспечивать наибольший экономический эффект.</w:t>
      </w:r>
    </w:p>
    <w:p w14:paraId="1B691DC4" w14:textId="77777777" w:rsidR="00EF1480" w:rsidRPr="00611AF9" w:rsidRDefault="00EF1480" w:rsidP="00EF1480">
      <w:pPr>
        <w:tabs>
          <w:tab w:val="num" w:pos="680"/>
        </w:tabs>
        <w:ind w:left="57" w:right="57" w:firstLine="794"/>
        <w:rPr>
          <w:rFonts w:eastAsia="Times New Roman" w:cs="Times New Roman"/>
          <w:bCs/>
          <w:szCs w:val="24"/>
          <w:lang w:eastAsia="ru-RU"/>
        </w:rPr>
      </w:pPr>
      <w:r w:rsidRPr="00611AF9">
        <w:rPr>
          <w:rFonts w:eastAsia="Times New Roman" w:cs="Times New Roman"/>
          <w:b/>
          <w:bCs/>
          <w:szCs w:val="24"/>
          <w:lang w:eastAsia="ru-RU"/>
        </w:rPr>
        <w:t>Населенный пункт (НП)</w:t>
      </w:r>
      <w:r w:rsidRPr="00611AF9">
        <w:rPr>
          <w:rFonts w:eastAsia="Times New Roman" w:cs="Times New Roman"/>
          <w:bCs/>
          <w:szCs w:val="24"/>
          <w:lang w:eastAsia="ru-RU"/>
        </w:rPr>
        <w:t xml:space="preserve"> - часть территории, имеющая сосредоточенную застройку в пределах установленной границы и служащая постоянным местом проживания и жизнедеятельности людей.</w:t>
      </w:r>
    </w:p>
    <w:p w14:paraId="43188860" w14:textId="567F01EC" w:rsidR="00EF1480" w:rsidRPr="00611AF9" w:rsidRDefault="00EF1480" w:rsidP="00EF1480">
      <w:pPr>
        <w:tabs>
          <w:tab w:val="num" w:pos="680"/>
        </w:tabs>
        <w:ind w:left="57" w:right="57" w:firstLine="794"/>
        <w:rPr>
          <w:rFonts w:eastAsia="Times New Roman" w:cs="Times New Roman"/>
          <w:bCs/>
          <w:szCs w:val="24"/>
          <w:lang w:eastAsia="ru-RU"/>
        </w:rPr>
      </w:pPr>
      <w:r w:rsidRPr="00611AF9">
        <w:rPr>
          <w:rFonts w:eastAsia="Times New Roman" w:cs="Times New Roman"/>
          <w:b/>
          <w:bCs/>
          <w:szCs w:val="24"/>
          <w:lang w:eastAsia="ru-RU"/>
        </w:rPr>
        <w:t>Норма капитализации</w:t>
      </w:r>
      <w:r w:rsidRPr="00611AF9">
        <w:rPr>
          <w:rFonts w:eastAsia="Times New Roman" w:cs="Times New Roman"/>
          <w:bCs/>
          <w:szCs w:val="24"/>
          <w:lang w:eastAsia="ru-RU"/>
        </w:rPr>
        <w:t xml:space="preserve"> – отношение чистого операционного дохода к стоимости. </w:t>
      </w:r>
    </w:p>
    <w:p w14:paraId="41C2509A" w14:textId="7697CFB6" w:rsidR="00EF1480" w:rsidRPr="00611AF9" w:rsidRDefault="00EF1480" w:rsidP="00EF1480">
      <w:pPr>
        <w:tabs>
          <w:tab w:val="num" w:pos="680"/>
        </w:tabs>
        <w:ind w:left="57" w:right="57" w:firstLine="794"/>
        <w:rPr>
          <w:rFonts w:eastAsia="Times New Roman" w:cs="Times New Roman"/>
          <w:bCs/>
          <w:szCs w:val="24"/>
          <w:lang w:eastAsia="ru-RU"/>
        </w:rPr>
      </w:pPr>
      <w:r w:rsidRPr="00611AF9">
        <w:rPr>
          <w:rFonts w:eastAsia="Times New Roman" w:cs="Times New Roman"/>
          <w:b/>
          <w:bCs/>
          <w:szCs w:val="24"/>
          <w:lang w:eastAsia="ru-RU"/>
        </w:rPr>
        <w:t xml:space="preserve">Объект государственной кадастровой оценки </w:t>
      </w:r>
      <w:r w:rsidRPr="00611AF9">
        <w:rPr>
          <w:rFonts w:eastAsia="Times New Roman" w:cs="Times New Roman"/>
          <w:bCs/>
          <w:szCs w:val="24"/>
          <w:lang w:eastAsia="ru-RU"/>
        </w:rPr>
        <w:t xml:space="preserve">– </w:t>
      </w:r>
      <w:r w:rsidR="00D35F84" w:rsidRPr="00611AF9">
        <w:rPr>
          <w:rFonts w:eastAsia="Times New Roman" w:cs="Times New Roman"/>
          <w:bCs/>
          <w:szCs w:val="24"/>
          <w:lang w:eastAsia="ru-RU"/>
        </w:rPr>
        <w:t>Объект недвижимости</w:t>
      </w:r>
      <w:r w:rsidRPr="00611AF9">
        <w:rPr>
          <w:rFonts w:eastAsia="Times New Roman" w:cs="Times New Roman"/>
          <w:bCs/>
          <w:szCs w:val="24"/>
          <w:lang w:eastAsia="ru-RU"/>
        </w:rPr>
        <w:t>, включенный в перечень объектов недвижимости, подлежащих государственной кадастровой оценке, сформированный на основании данных Единого государственного реестра недвижимости по состоянию на дату определения кадастровой стоимости.</w:t>
      </w:r>
    </w:p>
    <w:p w14:paraId="37D66EB2" w14:textId="1052D549" w:rsidR="00095454" w:rsidRPr="00611AF9" w:rsidRDefault="00095454" w:rsidP="00095454">
      <w:pPr>
        <w:tabs>
          <w:tab w:val="num" w:pos="680"/>
        </w:tabs>
        <w:ind w:left="57" w:right="57" w:firstLine="794"/>
        <w:rPr>
          <w:rFonts w:eastAsia="Times New Roman" w:cs="Times New Roman"/>
          <w:bCs/>
          <w:szCs w:val="24"/>
          <w:lang w:eastAsia="ru-RU"/>
        </w:rPr>
      </w:pPr>
      <w:r w:rsidRPr="00611AF9">
        <w:rPr>
          <w:rFonts w:eastAsia="Times New Roman" w:cs="Times New Roman"/>
          <w:b/>
          <w:bCs/>
          <w:szCs w:val="24"/>
          <w:lang w:eastAsia="ru-RU"/>
        </w:rPr>
        <w:t>Объект аналог</w:t>
      </w:r>
      <w:r w:rsidRPr="00611AF9">
        <w:rPr>
          <w:rFonts w:eastAsia="Times New Roman" w:cs="Times New Roman"/>
          <w:bCs/>
          <w:szCs w:val="24"/>
          <w:lang w:eastAsia="ru-RU"/>
        </w:rPr>
        <w:t xml:space="preserve"> – это объект недвижимости, сходный по основным экономическим, эксплуатационным, техническим и другим характеристикам с оцениваемым объектом недвижимости, цена которого известна из сделки, состоявшейся при идентичных условиях, либо из цены публичной оферты. </w:t>
      </w:r>
    </w:p>
    <w:p w14:paraId="40F81A35" w14:textId="42214303" w:rsidR="00800401" w:rsidRPr="00611AF9" w:rsidRDefault="00800401" w:rsidP="00800401">
      <w:pPr>
        <w:tabs>
          <w:tab w:val="num" w:pos="680"/>
        </w:tabs>
        <w:ind w:left="57" w:right="57" w:firstLine="794"/>
        <w:rPr>
          <w:rFonts w:eastAsia="Times New Roman" w:cs="Times New Roman"/>
          <w:bCs/>
          <w:szCs w:val="24"/>
          <w:lang w:eastAsia="ru-RU"/>
        </w:rPr>
      </w:pPr>
      <w:r w:rsidRPr="00611AF9">
        <w:rPr>
          <w:rFonts w:eastAsia="Times New Roman" w:cs="Times New Roman"/>
          <w:b/>
          <w:bCs/>
          <w:szCs w:val="24"/>
          <w:lang w:eastAsia="ru-RU"/>
        </w:rPr>
        <w:t>Объект недвижимости (ОН)</w:t>
      </w:r>
      <w:r w:rsidRPr="00611AF9">
        <w:rPr>
          <w:rFonts w:eastAsia="Times New Roman" w:cs="Times New Roman"/>
          <w:bCs/>
          <w:szCs w:val="24"/>
          <w:lang w:eastAsia="ru-RU"/>
        </w:rPr>
        <w:t xml:space="preserve"> – к недвижимым вещам (недвижимое имущество, недвижимость) относятся земельные участки, участки недр и все, что прочно связано с землей, то есть объекты, перемещение которых без несоразмерного ущерба их назначению невозможно, в том числе здания, сооружения, объекты незавершенного строительства. К недвижимым вещам относятся также подлежащие государственной регистрации воздушные и морские суда, суда внутреннего плавания, космические объекты. Законом к недвижимым вещам может быть отнесено и иное имущество.</w:t>
      </w:r>
    </w:p>
    <w:p w14:paraId="09123B86" w14:textId="77777777" w:rsidR="00800401" w:rsidRPr="00611AF9" w:rsidRDefault="00800401" w:rsidP="00800401">
      <w:pPr>
        <w:tabs>
          <w:tab w:val="num" w:pos="680"/>
        </w:tabs>
        <w:ind w:left="57" w:right="57" w:firstLine="794"/>
        <w:rPr>
          <w:rFonts w:eastAsia="Times New Roman" w:cs="Times New Roman"/>
          <w:bCs/>
          <w:szCs w:val="24"/>
          <w:lang w:eastAsia="ru-RU"/>
        </w:rPr>
      </w:pPr>
      <w:r w:rsidRPr="00611AF9">
        <w:rPr>
          <w:rFonts w:eastAsia="Times New Roman" w:cs="Times New Roman"/>
          <w:bCs/>
          <w:szCs w:val="24"/>
          <w:lang w:eastAsia="ru-RU"/>
        </w:rPr>
        <w:t>Вид объекта недвижимости – функциональное назначение (использование) объекта недвижимости.</w:t>
      </w:r>
    </w:p>
    <w:p w14:paraId="1B82361C" w14:textId="77777777" w:rsidR="00800401" w:rsidRPr="00611AF9" w:rsidRDefault="00800401" w:rsidP="00800401">
      <w:pPr>
        <w:tabs>
          <w:tab w:val="num" w:pos="680"/>
        </w:tabs>
        <w:ind w:left="57" w:right="57" w:firstLine="794"/>
        <w:rPr>
          <w:rFonts w:eastAsia="Times New Roman" w:cs="Times New Roman"/>
          <w:bCs/>
          <w:szCs w:val="24"/>
          <w:lang w:eastAsia="ru-RU"/>
        </w:rPr>
      </w:pPr>
      <w:r w:rsidRPr="00611AF9">
        <w:rPr>
          <w:rFonts w:eastAsia="Times New Roman" w:cs="Times New Roman"/>
          <w:b/>
          <w:bCs/>
          <w:szCs w:val="24"/>
          <w:lang w:eastAsia="ru-RU"/>
        </w:rPr>
        <w:t>Объект капитального строительства (ОКС)</w:t>
      </w:r>
      <w:r w:rsidRPr="00611AF9">
        <w:rPr>
          <w:rFonts w:eastAsia="Times New Roman" w:cs="Times New Roman"/>
          <w:bCs/>
          <w:szCs w:val="24"/>
          <w:lang w:eastAsia="ru-RU"/>
        </w:rPr>
        <w:t xml:space="preserve"> - здание, строение, сооружение, объекты, строительство которых не завершено (далее – ОНС), за исключением временных построек, киосков, навесов и других подобных построек.</w:t>
      </w:r>
    </w:p>
    <w:p w14:paraId="55656E6A" w14:textId="447111E4" w:rsidR="00B04BAD" w:rsidRPr="00611AF9" w:rsidRDefault="00B04BAD" w:rsidP="00095454">
      <w:pPr>
        <w:tabs>
          <w:tab w:val="num" w:pos="680"/>
        </w:tabs>
        <w:ind w:left="57" w:right="57" w:firstLine="794"/>
        <w:rPr>
          <w:rFonts w:eastAsia="Times New Roman" w:cs="Times New Roman"/>
          <w:bCs/>
          <w:szCs w:val="24"/>
          <w:lang w:eastAsia="ru-RU"/>
        </w:rPr>
      </w:pPr>
      <w:r w:rsidRPr="00611AF9">
        <w:rPr>
          <w:rFonts w:eastAsia="Times New Roman" w:cs="Times New Roman"/>
          <w:b/>
          <w:bCs/>
          <w:szCs w:val="24"/>
          <w:lang w:eastAsia="ru-RU"/>
        </w:rPr>
        <w:t>Объект</w:t>
      </w:r>
      <w:r w:rsidR="00C90F68" w:rsidRPr="00611AF9">
        <w:rPr>
          <w:rFonts w:eastAsia="Times New Roman" w:cs="Times New Roman"/>
          <w:b/>
          <w:bCs/>
          <w:szCs w:val="24"/>
          <w:lang w:eastAsia="ru-RU"/>
        </w:rPr>
        <w:t xml:space="preserve"> незавершенного строительства (</w:t>
      </w:r>
      <w:r w:rsidRPr="00611AF9">
        <w:rPr>
          <w:rFonts w:eastAsia="Times New Roman" w:cs="Times New Roman"/>
          <w:b/>
          <w:bCs/>
          <w:szCs w:val="24"/>
          <w:lang w:eastAsia="ru-RU"/>
        </w:rPr>
        <w:t xml:space="preserve">ОНС) - </w:t>
      </w:r>
      <w:r w:rsidRPr="00611AF9">
        <w:rPr>
          <w:rFonts w:eastAsia="Times New Roman" w:cs="Times New Roman"/>
          <w:bCs/>
          <w:szCs w:val="24"/>
          <w:lang w:eastAsia="ru-RU"/>
        </w:rPr>
        <w:t>это объект, строительство которого не завершено.</w:t>
      </w:r>
    </w:p>
    <w:p w14:paraId="7F0049A9" w14:textId="5A3F9C8B" w:rsidR="00095454" w:rsidRPr="00611AF9" w:rsidRDefault="00095454" w:rsidP="00095454">
      <w:pPr>
        <w:tabs>
          <w:tab w:val="num" w:pos="680"/>
        </w:tabs>
        <w:ind w:left="57" w:right="57" w:firstLine="794"/>
        <w:rPr>
          <w:rFonts w:eastAsia="Times New Roman" w:cs="Times New Roman"/>
          <w:bCs/>
          <w:szCs w:val="24"/>
          <w:lang w:eastAsia="ru-RU"/>
        </w:rPr>
      </w:pPr>
      <w:r w:rsidRPr="00611AF9">
        <w:rPr>
          <w:rFonts w:eastAsia="Times New Roman" w:cs="Times New Roman"/>
          <w:b/>
          <w:bCs/>
          <w:szCs w:val="24"/>
          <w:lang w:eastAsia="ru-RU"/>
        </w:rPr>
        <w:t>Обучающая выборка</w:t>
      </w:r>
      <w:r w:rsidRPr="00611AF9">
        <w:rPr>
          <w:rFonts w:eastAsia="Times New Roman" w:cs="Times New Roman"/>
          <w:bCs/>
          <w:szCs w:val="24"/>
          <w:lang w:eastAsia="ru-RU"/>
        </w:rPr>
        <w:t xml:space="preserve"> – выборка объектов аналогов, на основе которой проводится калибровка статистической модели оценки кадастровой стоимости. </w:t>
      </w:r>
    </w:p>
    <w:p w14:paraId="5EAB793D" w14:textId="1277A3E1" w:rsidR="00095454" w:rsidRPr="00611AF9" w:rsidRDefault="00095454" w:rsidP="00095454">
      <w:pPr>
        <w:tabs>
          <w:tab w:val="num" w:pos="680"/>
        </w:tabs>
        <w:ind w:left="57" w:right="57" w:firstLine="794"/>
        <w:rPr>
          <w:rFonts w:eastAsia="Times New Roman" w:cs="Times New Roman"/>
          <w:bCs/>
          <w:szCs w:val="24"/>
          <w:lang w:eastAsia="ru-RU"/>
        </w:rPr>
      </w:pPr>
      <w:r w:rsidRPr="00611AF9">
        <w:rPr>
          <w:rFonts w:eastAsia="Times New Roman" w:cs="Times New Roman"/>
          <w:b/>
          <w:bCs/>
          <w:szCs w:val="24"/>
          <w:lang w:eastAsia="ru-RU"/>
        </w:rPr>
        <w:t>Общероссийский классификатор территорий муниципальных образований (ОКТМО)</w:t>
      </w:r>
      <w:r w:rsidRPr="00611AF9">
        <w:rPr>
          <w:rFonts w:eastAsia="Times New Roman" w:cs="Times New Roman"/>
          <w:bCs/>
          <w:szCs w:val="24"/>
          <w:lang w:eastAsia="ru-RU"/>
        </w:rPr>
        <w:t xml:space="preserve"> - предназначен для обеспечения систематизации и однозначной идентификации на всей территории </w:t>
      </w:r>
      <w:r w:rsidR="00B70A72" w:rsidRPr="00611AF9">
        <w:rPr>
          <w:rFonts w:eastAsia="Times New Roman" w:cs="Times New Roman"/>
          <w:bCs/>
          <w:szCs w:val="24"/>
          <w:lang w:eastAsia="ru-RU"/>
        </w:rPr>
        <w:t>Российской Федерации муниципаль</w:t>
      </w:r>
      <w:r w:rsidRPr="00611AF9">
        <w:rPr>
          <w:rFonts w:eastAsia="Times New Roman" w:cs="Times New Roman"/>
          <w:bCs/>
          <w:szCs w:val="24"/>
          <w:lang w:eastAsia="ru-RU"/>
        </w:rPr>
        <w:t>ных образований и населенных пунктов, входящих в их состав, с отражением структуры и уровней территориальной организации местного самоуправления для решения задач сбора, автоматизированной обработки, представления и анализа информации в разрезе муниципальных образований в различных областях экономики, включая статистику, прогнозирование, налогообложение.</w:t>
      </w:r>
    </w:p>
    <w:p w14:paraId="21EDBD29" w14:textId="1E34DC31" w:rsidR="00D35F84" w:rsidRPr="00611AF9" w:rsidRDefault="00D35F84" w:rsidP="00D35F84">
      <w:pPr>
        <w:tabs>
          <w:tab w:val="num" w:pos="680"/>
        </w:tabs>
        <w:ind w:left="57" w:right="57" w:firstLine="794"/>
        <w:rPr>
          <w:rFonts w:eastAsia="Times New Roman" w:cs="Times New Roman"/>
          <w:bCs/>
          <w:szCs w:val="24"/>
          <w:lang w:eastAsia="ru-RU"/>
        </w:rPr>
      </w:pPr>
      <w:r w:rsidRPr="00611AF9">
        <w:rPr>
          <w:rFonts w:eastAsia="Times New Roman" w:cs="Times New Roman"/>
          <w:b/>
          <w:bCs/>
          <w:szCs w:val="24"/>
          <w:lang w:eastAsia="ru-RU"/>
        </w:rPr>
        <w:t>Отчет об итогах государственной кадастровой оценки</w:t>
      </w:r>
      <w:r w:rsidRPr="00611AF9">
        <w:rPr>
          <w:rFonts w:eastAsia="Times New Roman" w:cs="Times New Roman"/>
          <w:bCs/>
          <w:szCs w:val="24"/>
          <w:lang w:eastAsia="ru-RU"/>
        </w:rPr>
        <w:t xml:space="preserve"> - представляет собой документ, составленный в соответствии с Требованиями к Отчёту об итогах государственной кадастровой оценки, утвержденными Приказом Минэкономразвития России от 09.06.2017 № 284, содержащий сведения доказательственного значения, составленный в соответствии с нормативными правовыми актами Российской Федерации, регулирующими отношения, возникающие при проведении государственной кадастровой оценке.</w:t>
      </w:r>
    </w:p>
    <w:p w14:paraId="3E71E78C" w14:textId="241919EA" w:rsidR="00095454" w:rsidRPr="00611AF9" w:rsidRDefault="00095454" w:rsidP="00095454">
      <w:pPr>
        <w:tabs>
          <w:tab w:val="num" w:pos="680"/>
        </w:tabs>
        <w:ind w:left="57" w:right="57" w:firstLine="794"/>
        <w:rPr>
          <w:rFonts w:eastAsia="Times New Roman" w:cs="Times New Roman"/>
          <w:bCs/>
          <w:szCs w:val="24"/>
          <w:lang w:eastAsia="ru-RU"/>
        </w:rPr>
      </w:pPr>
      <w:r w:rsidRPr="00611AF9">
        <w:rPr>
          <w:rFonts w:eastAsia="Times New Roman" w:cs="Times New Roman"/>
          <w:b/>
          <w:bCs/>
          <w:szCs w:val="24"/>
          <w:lang w:eastAsia="ru-RU"/>
        </w:rPr>
        <w:t>Оценка объекта недвижимости</w:t>
      </w:r>
      <w:r w:rsidRPr="00611AF9">
        <w:rPr>
          <w:rFonts w:eastAsia="Times New Roman" w:cs="Times New Roman"/>
          <w:bCs/>
          <w:szCs w:val="24"/>
          <w:lang w:eastAsia="ru-RU"/>
        </w:rPr>
        <w:t xml:space="preserve"> - анализ или расчет стоимости, природы, качества, ценности, полезности, специфических преимуществ определенной недвижимости. </w:t>
      </w:r>
    </w:p>
    <w:p w14:paraId="429B2C9E" w14:textId="31733BB5" w:rsidR="00800401" w:rsidRPr="00611AF9" w:rsidRDefault="00800401" w:rsidP="00800401">
      <w:pPr>
        <w:tabs>
          <w:tab w:val="num" w:pos="680"/>
        </w:tabs>
        <w:ind w:left="57" w:right="57" w:firstLine="794"/>
        <w:rPr>
          <w:rFonts w:eastAsia="Times New Roman" w:cs="Times New Roman"/>
          <w:bCs/>
          <w:szCs w:val="24"/>
          <w:lang w:eastAsia="ru-RU"/>
        </w:rPr>
      </w:pPr>
      <w:r w:rsidRPr="00611AF9">
        <w:rPr>
          <w:rFonts w:eastAsia="Times New Roman" w:cs="Times New Roman"/>
          <w:b/>
          <w:bCs/>
          <w:szCs w:val="24"/>
          <w:lang w:eastAsia="ru-RU"/>
        </w:rPr>
        <w:t xml:space="preserve">Помещение </w:t>
      </w:r>
      <w:r w:rsidRPr="00611AF9">
        <w:rPr>
          <w:rFonts w:eastAsia="Times New Roman" w:cs="Times New Roman"/>
          <w:bCs/>
          <w:szCs w:val="24"/>
          <w:lang w:eastAsia="ru-RU"/>
        </w:rPr>
        <w:t>– часть объема здания, имеющая определенное назначение и ограниченная строительными конструкциями.</w:t>
      </w:r>
    </w:p>
    <w:p w14:paraId="22041DE1" w14:textId="77777777" w:rsidR="004A2237" w:rsidRPr="00611AF9" w:rsidRDefault="004A2237" w:rsidP="004A2237">
      <w:pPr>
        <w:tabs>
          <w:tab w:val="num" w:pos="680"/>
        </w:tabs>
        <w:ind w:left="57" w:right="57" w:firstLine="794"/>
        <w:rPr>
          <w:rFonts w:eastAsia="Times New Roman" w:cs="Times New Roman"/>
          <w:szCs w:val="24"/>
          <w:lang w:eastAsia="ru-RU"/>
        </w:rPr>
      </w:pPr>
      <w:r w:rsidRPr="00611AF9">
        <w:rPr>
          <w:rFonts w:eastAsia="Times New Roman" w:cs="Times New Roman"/>
          <w:b/>
          <w:szCs w:val="24"/>
          <w:lang w:eastAsia="ru-RU"/>
        </w:rPr>
        <w:t>Перечень объектов оценки (Перечень ОО)</w:t>
      </w:r>
      <w:r w:rsidRPr="00611AF9">
        <w:rPr>
          <w:rFonts w:eastAsia="Times New Roman" w:cs="Times New Roman"/>
          <w:bCs/>
          <w:szCs w:val="24"/>
          <w:lang w:eastAsia="ru-RU"/>
        </w:rPr>
        <w:t xml:space="preserve"> – перечень земельных участков, подлежащих государственной кадастровой оценке, сформированный на основе данных Единого государственного реестра недвижимости в порядке, предусмотренном </w:t>
      </w:r>
      <w:r w:rsidRPr="00611AF9">
        <w:rPr>
          <w:rFonts w:eastAsia="Times New Roman" w:cs="Times New Roman"/>
          <w:szCs w:val="24"/>
          <w:lang w:eastAsia="ru-RU"/>
        </w:rPr>
        <w:t>Федеральным законом от 03 июля 2016 года № 237-ФЗ «О государственной кадастровой оценке».</w:t>
      </w:r>
    </w:p>
    <w:p w14:paraId="1EACD39D" w14:textId="77777777" w:rsidR="004A2237" w:rsidRPr="00611AF9" w:rsidRDefault="004A2237" w:rsidP="004A2237">
      <w:pPr>
        <w:tabs>
          <w:tab w:val="num" w:pos="680"/>
        </w:tabs>
        <w:ind w:left="57" w:right="57" w:firstLine="794"/>
        <w:rPr>
          <w:rFonts w:eastAsia="Times New Roman" w:cs="Times New Roman"/>
          <w:szCs w:val="24"/>
          <w:lang w:eastAsia="ru-RU"/>
        </w:rPr>
      </w:pPr>
      <w:r w:rsidRPr="00611AF9">
        <w:rPr>
          <w:rFonts w:eastAsia="Times New Roman" w:cs="Times New Roman"/>
          <w:b/>
          <w:szCs w:val="24"/>
          <w:lang w:eastAsia="ru-RU"/>
        </w:rPr>
        <w:t>Результат оценки</w:t>
      </w:r>
      <w:r w:rsidRPr="00611AF9">
        <w:rPr>
          <w:rFonts w:eastAsia="Times New Roman" w:cs="Times New Roman"/>
          <w:szCs w:val="24"/>
          <w:lang w:eastAsia="ru-RU"/>
        </w:rPr>
        <w:t xml:space="preserve"> - итоговая величина стоимости объекта оценки.</w:t>
      </w:r>
    </w:p>
    <w:p w14:paraId="673EE089" w14:textId="3F0BB36B" w:rsidR="004A2237" w:rsidRPr="00611AF9" w:rsidRDefault="004A2237" w:rsidP="004A2237">
      <w:pPr>
        <w:tabs>
          <w:tab w:val="num" w:pos="680"/>
        </w:tabs>
        <w:ind w:left="57" w:right="57" w:firstLine="794"/>
        <w:rPr>
          <w:rFonts w:eastAsia="Times New Roman" w:cs="Times New Roman"/>
          <w:szCs w:val="24"/>
          <w:lang w:eastAsia="ru-RU"/>
        </w:rPr>
      </w:pPr>
      <w:r w:rsidRPr="00611AF9">
        <w:rPr>
          <w:rFonts w:eastAsia="Times New Roman" w:cs="Times New Roman"/>
          <w:b/>
          <w:szCs w:val="24"/>
          <w:lang w:eastAsia="ru-RU"/>
        </w:rPr>
        <w:t>Риск –</w:t>
      </w:r>
      <w:r w:rsidRPr="00611AF9">
        <w:rPr>
          <w:rFonts w:eastAsia="Times New Roman" w:cs="Times New Roman"/>
          <w:szCs w:val="24"/>
          <w:lang w:eastAsia="ru-RU"/>
        </w:rPr>
        <w:t xml:space="preserve"> неопределенность, связанная с возможностью возникновения в ходе осуществления проекта неблагоприятных ситуаций и последствий. В отличие от неопределенности, понятие «риск» более субъективно – последствия реализации проекта неблагоприятные для одного из участников, могут быть благоприятны для другого.</w:t>
      </w:r>
      <w:r w:rsidR="001166EA" w:rsidRPr="00611AF9">
        <w:rPr>
          <w:rFonts w:eastAsia="Times New Roman" w:cs="Times New Roman"/>
          <w:bCs/>
          <w:color w:val="FF0000"/>
          <w:szCs w:val="24"/>
          <w:lang w:eastAsia="ru-RU"/>
        </w:rPr>
        <w:t xml:space="preserve"> </w:t>
      </w:r>
    </w:p>
    <w:p w14:paraId="085CAF53" w14:textId="77777777" w:rsidR="004A2237" w:rsidRPr="00611AF9" w:rsidRDefault="004A2237" w:rsidP="004A2237">
      <w:pPr>
        <w:tabs>
          <w:tab w:val="num" w:pos="680"/>
        </w:tabs>
        <w:ind w:left="57" w:right="57" w:firstLine="794"/>
        <w:rPr>
          <w:rFonts w:eastAsia="Times New Roman" w:cs="Times New Roman"/>
          <w:bCs/>
          <w:szCs w:val="24"/>
          <w:lang w:eastAsia="ru-RU"/>
        </w:rPr>
      </w:pPr>
      <w:r w:rsidRPr="00611AF9">
        <w:rPr>
          <w:rFonts w:eastAsia="Times New Roman" w:cs="Times New Roman"/>
          <w:b/>
          <w:bCs/>
          <w:szCs w:val="24"/>
          <w:lang w:eastAsia="ru-RU"/>
        </w:rPr>
        <w:t>Рынок недвижимости</w:t>
      </w:r>
      <w:r w:rsidRPr="00611AF9">
        <w:rPr>
          <w:rFonts w:eastAsia="Times New Roman" w:cs="Times New Roman"/>
          <w:bCs/>
          <w:szCs w:val="24"/>
          <w:lang w:eastAsia="ru-RU"/>
        </w:rPr>
        <w:t xml:space="preserve"> – определенная система экономических отношений, посредством которых через динамику сил спроса и предложения осуществляется передача прав на собственность и связанных с ней интересов от продавца к покупателю непосредственно или через институт посредничества, определяются цены и распределяется пространство между различными конкурирующими вариантами использования объектов недвижимости в границах некоторого замкнутого территориального образования.</w:t>
      </w:r>
    </w:p>
    <w:p w14:paraId="66BEB308" w14:textId="77777777" w:rsidR="004A2237" w:rsidRPr="00611AF9" w:rsidRDefault="004A2237" w:rsidP="004A2237">
      <w:pPr>
        <w:tabs>
          <w:tab w:val="num" w:pos="680"/>
        </w:tabs>
        <w:ind w:left="57" w:right="57" w:firstLine="794"/>
        <w:rPr>
          <w:rFonts w:eastAsia="Times New Roman" w:cs="Times New Roman"/>
          <w:szCs w:val="24"/>
          <w:lang w:eastAsia="ru-RU"/>
        </w:rPr>
      </w:pPr>
      <w:r w:rsidRPr="00611AF9">
        <w:rPr>
          <w:rFonts w:eastAsia="Times New Roman" w:cs="Times New Roman"/>
          <w:b/>
          <w:szCs w:val="24"/>
          <w:lang w:eastAsia="ru-RU"/>
        </w:rPr>
        <w:t>Рыночная информация</w:t>
      </w:r>
      <w:r w:rsidRPr="00611AF9">
        <w:rPr>
          <w:rFonts w:eastAsia="Times New Roman" w:cs="Times New Roman"/>
          <w:szCs w:val="24"/>
          <w:lang w:eastAsia="ru-RU"/>
        </w:rPr>
        <w:t xml:space="preserve"> – цены сделок, спроса и предложения по объектам, близким по характеристикам к оцениваемым объектам, и иные показатели, используемые для определения рыночной стоимости объектов недвижимости.</w:t>
      </w:r>
    </w:p>
    <w:p w14:paraId="3CE7165E" w14:textId="77777777" w:rsidR="004A2237" w:rsidRPr="00611AF9" w:rsidRDefault="004A2237" w:rsidP="004A2237">
      <w:pPr>
        <w:keepNext/>
        <w:tabs>
          <w:tab w:val="num" w:pos="680"/>
        </w:tabs>
        <w:ind w:left="57" w:right="57" w:firstLine="794"/>
        <w:rPr>
          <w:rFonts w:eastAsia="Times New Roman" w:cs="Times New Roman"/>
          <w:szCs w:val="24"/>
          <w:lang w:eastAsia="ru-RU"/>
        </w:rPr>
      </w:pPr>
      <w:r w:rsidRPr="00611AF9">
        <w:rPr>
          <w:rFonts w:eastAsia="Times New Roman" w:cs="Times New Roman"/>
          <w:b/>
          <w:bCs/>
          <w:szCs w:val="24"/>
          <w:lang w:eastAsia="ru-RU"/>
        </w:rPr>
        <w:t>Рыночная стоимость</w:t>
      </w:r>
      <w:r w:rsidRPr="00611AF9">
        <w:rPr>
          <w:rFonts w:eastAsia="Times New Roman" w:cs="Times New Roman"/>
          <w:bCs/>
          <w:szCs w:val="24"/>
          <w:lang w:eastAsia="ru-RU"/>
        </w:rPr>
        <w:t xml:space="preserve"> – понимается наиболее вероятная цена, по которой данный объект оценки может быть отчужден на открытом рынке в условиях конкуренции, когда стороны сделки действуют разумно, располагая всей необходимой информацией, а на величине цены сделки не отражаются какие-либо чрезвычайные обстоятельства, то есть когда:</w:t>
      </w:r>
    </w:p>
    <w:p w14:paraId="0851F389" w14:textId="77777777" w:rsidR="004A2237" w:rsidRPr="00611AF9" w:rsidRDefault="004A2237" w:rsidP="004A2237">
      <w:pPr>
        <w:numPr>
          <w:ilvl w:val="1"/>
          <w:numId w:val="0"/>
        </w:numPr>
        <w:ind w:left="57" w:right="57" w:firstLine="794"/>
        <w:rPr>
          <w:rFonts w:eastAsia="Times New Roman" w:cs="Times New Roman"/>
          <w:szCs w:val="24"/>
          <w:lang w:eastAsia="ru-RU"/>
        </w:rPr>
      </w:pPr>
      <w:r w:rsidRPr="00611AF9">
        <w:rPr>
          <w:rFonts w:eastAsia="Times New Roman" w:cs="Times New Roman"/>
          <w:bCs/>
          <w:szCs w:val="24"/>
          <w:lang w:eastAsia="ru-RU"/>
        </w:rPr>
        <w:t>одна из сторон сделки не обязана отчуждать объект оценки, а другая сторона не обязана принимать исполнение;</w:t>
      </w:r>
    </w:p>
    <w:p w14:paraId="4AF88B03" w14:textId="77777777" w:rsidR="004A2237" w:rsidRPr="00611AF9" w:rsidRDefault="004A2237" w:rsidP="004A2237">
      <w:pPr>
        <w:numPr>
          <w:ilvl w:val="1"/>
          <w:numId w:val="0"/>
        </w:numPr>
        <w:ind w:left="57" w:right="57" w:firstLine="794"/>
        <w:rPr>
          <w:rFonts w:eastAsia="Times New Roman" w:cs="Times New Roman"/>
          <w:szCs w:val="24"/>
          <w:lang w:eastAsia="ru-RU"/>
        </w:rPr>
      </w:pPr>
      <w:r w:rsidRPr="00611AF9">
        <w:rPr>
          <w:rFonts w:eastAsia="Times New Roman" w:cs="Times New Roman"/>
          <w:bCs/>
          <w:szCs w:val="24"/>
          <w:lang w:eastAsia="ru-RU"/>
        </w:rPr>
        <w:t>стороны сделки хорошо осведомлены о предмете сделки и действуют в своих интересах;</w:t>
      </w:r>
    </w:p>
    <w:p w14:paraId="3BF9CD6E" w14:textId="77777777" w:rsidR="004A2237" w:rsidRPr="00611AF9" w:rsidRDefault="004A2237" w:rsidP="004A2237">
      <w:pPr>
        <w:numPr>
          <w:ilvl w:val="1"/>
          <w:numId w:val="0"/>
        </w:numPr>
        <w:ind w:left="57" w:right="57" w:firstLine="794"/>
        <w:rPr>
          <w:rFonts w:eastAsia="Times New Roman" w:cs="Times New Roman"/>
          <w:szCs w:val="24"/>
          <w:lang w:eastAsia="ru-RU"/>
        </w:rPr>
      </w:pPr>
      <w:r w:rsidRPr="00611AF9">
        <w:rPr>
          <w:rFonts w:eastAsia="Times New Roman" w:cs="Times New Roman"/>
          <w:bCs/>
          <w:szCs w:val="24"/>
          <w:lang w:eastAsia="ru-RU"/>
        </w:rPr>
        <w:t>объект оценки представлен на открытом рынке посредством публичной оферты, типичной для аналогичных объектов оценки;</w:t>
      </w:r>
    </w:p>
    <w:p w14:paraId="794AB88B" w14:textId="77777777" w:rsidR="004A2237" w:rsidRPr="00611AF9" w:rsidRDefault="004A2237" w:rsidP="004A2237">
      <w:pPr>
        <w:numPr>
          <w:ilvl w:val="1"/>
          <w:numId w:val="0"/>
        </w:numPr>
        <w:ind w:left="57" w:right="57" w:firstLine="794"/>
        <w:rPr>
          <w:rFonts w:eastAsia="Times New Roman" w:cs="Times New Roman"/>
          <w:bCs/>
          <w:szCs w:val="24"/>
          <w:lang w:eastAsia="ru-RU"/>
        </w:rPr>
      </w:pPr>
      <w:r w:rsidRPr="00611AF9">
        <w:rPr>
          <w:rFonts w:eastAsia="Times New Roman" w:cs="Times New Roman"/>
          <w:bCs/>
          <w:szCs w:val="24"/>
          <w:lang w:eastAsia="ru-RU"/>
        </w:rPr>
        <w:t>цена сделки представляет собой разумное вознаграждение за объект оценки, и принуждения к совершению сделки в отношении сторон сделки с чьей-либо стороны не было, а платеж за объект оценки выражен в денежной форме.</w:t>
      </w:r>
    </w:p>
    <w:p w14:paraId="391D9553" w14:textId="77777777" w:rsidR="00095454" w:rsidRPr="00611AF9" w:rsidRDefault="00095454" w:rsidP="00095454">
      <w:pPr>
        <w:tabs>
          <w:tab w:val="num" w:pos="680"/>
        </w:tabs>
        <w:ind w:left="57" w:right="57" w:firstLine="794"/>
        <w:rPr>
          <w:rFonts w:eastAsia="Times New Roman" w:cs="Times New Roman"/>
          <w:bCs/>
          <w:szCs w:val="24"/>
          <w:lang w:eastAsia="ru-RU"/>
        </w:rPr>
      </w:pPr>
      <w:r w:rsidRPr="00611AF9">
        <w:rPr>
          <w:rFonts w:eastAsia="Times New Roman" w:cs="Times New Roman"/>
          <w:b/>
          <w:bCs/>
          <w:szCs w:val="24"/>
          <w:lang w:eastAsia="ru-RU"/>
        </w:rPr>
        <w:t>Сельское поселение</w:t>
      </w:r>
      <w:r w:rsidRPr="00611AF9">
        <w:rPr>
          <w:rFonts w:eastAsia="Times New Roman" w:cs="Times New Roman"/>
          <w:bCs/>
          <w:szCs w:val="24"/>
          <w:lang w:eastAsia="ru-RU"/>
        </w:rPr>
        <w:t xml:space="preserve"> - один или несколько объединенных общей территорией сельских населенных пунктов (поселков, сел, станиц, деревень, хуторов, кишлаков, аулов и других сельских населенных пунктов), в которых местное самоуправление осуществляется населением непосредственно и (или) через выборные и иные органы местного самоуправления.</w:t>
      </w:r>
    </w:p>
    <w:p w14:paraId="3EF66333" w14:textId="0EFF43FE" w:rsidR="00095454" w:rsidRPr="00611AF9" w:rsidRDefault="00095454" w:rsidP="00095454">
      <w:pPr>
        <w:tabs>
          <w:tab w:val="num" w:pos="680"/>
        </w:tabs>
        <w:ind w:left="57" w:right="57" w:firstLine="794"/>
        <w:rPr>
          <w:rFonts w:eastAsia="Times New Roman" w:cs="Times New Roman"/>
          <w:bCs/>
          <w:szCs w:val="24"/>
          <w:lang w:eastAsia="ru-RU"/>
        </w:rPr>
      </w:pPr>
      <w:r w:rsidRPr="00611AF9">
        <w:rPr>
          <w:rFonts w:eastAsia="Times New Roman" w:cs="Times New Roman"/>
          <w:b/>
          <w:bCs/>
          <w:szCs w:val="24"/>
          <w:lang w:eastAsia="ru-RU"/>
        </w:rPr>
        <w:t>Сельский населенный пункт (СНП)</w:t>
      </w:r>
      <w:r w:rsidRPr="00611AF9">
        <w:rPr>
          <w:rFonts w:eastAsia="Times New Roman" w:cs="Times New Roman"/>
          <w:bCs/>
          <w:szCs w:val="24"/>
          <w:lang w:eastAsia="ru-RU"/>
        </w:rPr>
        <w:t xml:space="preserve"> - административно-территориальная единица, большинство населения которой занято в сельскохозяйственной сфере производственной деятельности и (или) является в соответствии с федеральным законодательством сельскохозяйственными товаропроизводителями, и (или) занято добычей (сбором, заготовкой, выловом) биологических ресурсов, лесным хозяйством, промысловой охотой и иными видами сельскохозяйственной деятельности. Видами сельских населенных пунктов являются (независимо от численности населения): села, деревни, поселки, хутора, иные населенные пункты, соответствующие определению сельского населенного пункта.</w:t>
      </w:r>
    </w:p>
    <w:p w14:paraId="560B8722" w14:textId="182B5832" w:rsidR="00800401" w:rsidRPr="00611AF9" w:rsidRDefault="00800401" w:rsidP="00800401">
      <w:pPr>
        <w:tabs>
          <w:tab w:val="num" w:pos="680"/>
        </w:tabs>
        <w:ind w:left="57" w:right="57" w:firstLine="794"/>
        <w:rPr>
          <w:rFonts w:eastAsia="Times New Roman" w:cs="Times New Roman"/>
          <w:bCs/>
          <w:szCs w:val="24"/>
          <w:lang w:eastAsia="ru-RU"/>
        </w:rPr>
      </w:pPr>
      <w:r w:rsidRPr="00611AF9">
        <w:rPr>
          <w:rFonts w:eastAsia="Times New Roman" w:cs="Times New Roman"/>
          <w:b/>
          <w:bCs/>
          <w:szCs w:val="24"/>
          <w:lang w:eastAsia="ru-RU"/>
        </w:rPr>
        <w:t>Сооружение</w:t>
      </w:r>
      <w:r w:rsidRPr="00611AF9">
        <w:rPr>
          <w:rFonts w:eastAsia="Times New Roman" w:cs="Times New Roman"/>
          <w:bCs/>
          <w:szCs w:val="24"/>
          <w:lang w:eastAsia="ru-RU"/>
        </w:rPr>
        <w:t xml:space="preserve"> – результат строительства, представляющий собой объемную, плоскостную или линейную строительную систему, имеющую наземную, надземную и (или) подземную части, состоящую из несущих, а в отдельных случаях и ограждающих строительных конструкций и предназначенную для выполнения производственных процессов различного вида, хранения продукции, временного пребывания людей, перемещения людей и грузов.</w:t>
      </w:r>
    </w:p>
    <w:p w14:paraId="7ED524C4" w14:textId="77777777" w:rsidR="004A2237" w:rsidRPr="00611AF9" w:rsidRDefault="004A2237" w:rsidP="004A2237">
      <w:pPr>
        <w:tabs>
          <w:tab w:val="num" w:pos="680"/>
        </w:tabs>
        <w:ind w:left="57" w:right="57" w:firstLine="794"/>
        <w:rPr>
          <w:rFonts w:eastAsia="Times New Roman" w:cs="Times New Roman"/>
          <w:szCs w:val="24"/>
          <w:lang w:eastAsia="ru-RU"/>
        </w:rPr>
      </w:pPr>
      <w:r w:rsidRPr="00611AF9">
        <w:rPr>
          <w:rFonts w:eastAsia="Times New Roman" w:cs="Times New Roman"/>
          <w:b/>
          <w:bCs/>
          <w:szCs w:val="24"/>
          <w:lang w:eastAsia="ru-RU"/>
        </w:rPr>
        <w:t xml:space="preserve">Сравнительный подход </w:t>
      </w:r>
      <w:r w:rsidRPr="00611AF9">
        <w:rPr>
          <w:rFonts w:eastAsia="Times New Roman" w:cs="Times New Roman"/>
          <w:bCs/>
          <w:szCs w:val="24"/>
          <w:lang w:eastAsia="ru-RU"/>
        </w:rPr>
        <w:t>– совокупность методов оценки, основанных на получении стоимости объекта оценки путем сравнения оцениваемого объекта с объектами-аналогами.</w:t>
      </w:r>
    </w:p>
    <w:p w14:paraId="51F07A73" w14:textId="77777777" w:rsidR="004A2237" w:rsidRPr="00611AF9" w:rsidRDefault="004A2237" w:rsidP="004A2237">
      <w:pPr>
        <w:tabs>
          <w:tab w:val="num" w:pos="680"/>
        </w:tabs>
        <w:ind w:left="57" w:right="57" w:firstLine="794"/>
        <w:rPr>
          <w:rFonts w:eastAsia="Times New Roman" w:cs="Times New Roman"/>
          <w:bCs/>
          <w:szCs w:val="24"/>
          <w:lang w:eastAsia="ru-RU"/>
        </w:rPr>
      </w:pPr>
      <w:r w:rsidRPr="00611AF9">
        <w:rPr>
          <w:rFonts w:eastAsia="Times New Roman" w:cs="Times New Roman"/>
          <w:b/>
          <w:bCs/>
          <w:szCs w:val="24"/>
          <w:lang w:eastAsia="ru-RU"/>
        </w:rPr>
        <w:t>Среднее значение по выборке</w:t>
      </w:r>
      <w:r w:rsidRPr="00611AF9">
        <w:rPr>
          <w:rFonts w:eastAsia="Times New Roman" w:cs="Times New Roman"/>
          <w:bCs/>
          <w:szCs w:val="24"/>
          <w:lang w:eastAsia="ru-RU"/>
        </w:rPr>
        <w:t xml:space="preserve"> – отношение суммы значений (взвешенных значений) стоимостных показателей в выборке на ее объем.</w:t>
      </w:r>
    </w:p>
    <w:p w14:paraId="11966260" w14:textId="3BB1C90B" w:rsidR="004A2237" w:rsidRPr="00611AF9" w:rsidRDefault="004A2237" w:rsidP="004A2237">
      <w:pPr>
        <w:tabs>
          <w:tab w:val="num" w:pos="680"/>
        </w:tabs>
        <w:ind w:left="57" w:right="57" w:firstLine="794"/>
        <w:rPr>
          <w:rFonts w:eastAsia="Times New Roman" w:cs="Times New Roman"/>
          <w:szCs w:val="24"/>
          <w:lang w:eastAsia="ru-RU"/>
        </w:rPr>
      </w:pPr>
      <w:r w:rsidRPr="00611AF9">
        <w:rPr>
          <w:rFonts w:eastAsia="Times New Roman" w:cs="Times New Roman"/>
          <w:b/>
          <w:szCs w:val="24"/>
          <w:lang w:eastAsia="ru-RU"/>
        </w:rPr>
        <w:t>Срок экспозиции объекта недвижимости</w:t>
      </w:r>
      <w:r w:rsidRPr="00611AF9">
        <w:rPr>
          <w:rFonts w:eastAsia="Times New Roman" w:cs="Times New Roman"/>
          <w:szCs w:val="24"/>
          <w:lang w:eastAsia="ru-RU"/>
        </w:rPr>
        <w:t xml:space="preserve"> – период времени, начиная от даты представления на открытый рынок (публичная оферта) объекта недвижимости до даты совершения сделки с ним.</w:t>
      </w:r>
      <w:r w:rsidR="001166EA" w:rsidRPr="00611AF9">
        <w:rPr>
          <w:rFonts w:eastAsia="Times New Roman" w:cs="Times New Roman"/>
          <w:szCs w:val="24"/>
          <w:lang w:eastAsia="ru-RU"/>
        </w:rPr>
        <w:t xml:space="preserve"> </w:t>
      </w:r>
    </w:p>
    <w:p w14:paraId="5148B31F" w14:textId="77777777" w:rsidR="004A2237" w:rsidRPr="00611AF9" w:rsidRDefault="004A2237" w:rsidP="004A2237">
      <w:pPr>
        <w:tabs>
          <w:tab w:val="num" w:pos="680"/>
        </w:tabs>
        <w:ind w:left="57" w:right="57" w:firstLine="794"/>
        <w:rPr>
          <w:rFonts w:eastAsia="Times New Roman" w:cs="Times New Roman"/>
          <w:szCs w:val="24"/>
          <w:lang w:eastAsia="ru-RU"/>
        </w:rPr>
      </w:pPr>
      <w:r w:rsidRPr="00611AF9">
        <w:rPr>
          <w:rFonts w:eastAsia="Times New Roman" w:cs="Times New Roman"/>
          <w:b/>
          <w:bCs/>
          <w:szCs w:val="24"/>
          <w:lang w:eastAsia="ru-RU"/>
        </w:rPr>
        <w:t>Статистическая модель расчета кадастровой стоимости</w:t>
      </w:r>
      <w:r w:rsidRPr="00611AF9">
        <w:rPr>
          <w:rFonts w:eastAsia="Times New Roman" w:cs="Times New Roman"/>
          <w:bCs/>
          <w:szCs w:val="24"/>
          <w:lang w:eastAsia="ru-RU"/>
        </w:rPr>
        <w:t xml:space="preserve"> – модель, отражающая зависимость кадастровой стоимости или удельного показателя кадастровой стоимости от значений факторов кластеризации.</w:t>
      </w:r>
    </w:p>
    <w:p w14:paraId="6D0C9994" w14:textId="6B4F2901" w:rsidR="004A2237" w:rsidRPr="00611AF9" w:rsidRDefault="004A2237" w:rsidP="004A2237">
      <w:pPr>
        <w:tabs>
          <w:tab w:val="num" w:pos="680"/>
        </w:tabs>
        <w:ind w:left="57" w:right="57" w:firstLine="794"/>
        <w:rPr>
          <w:rFonts w:eastAsia="Times New Roman" w:cs="Times New Roman"/>
          <w:szCs w:val="24"/>
          <w:lang w:eastAsia="ru-RU"/>
        </w:rPr>
      </w:pPr>
      <w:r w:rsidRPr="00611AF9">
        <w:rPr>
          <w:rFonts w:eastAsia="Times New Roman" w:cs="Times New Roman"/>
          <w:b/>
          <w:bCs/>
          <w:szCs w:val="24"/>
          <w:lang w:eastAsia="ru-RU"/>
        </w:rPr>
        <w:t>Ставка дисконтирования (математический термин)</w:t>
      </w:r>
      <w:r w:rsidRPr="00611AF9">
        <w:rPr>
          <w:rFonts w:eastAsia="Times New Roman" w:cs="Times New Roman"/>
          <w:bCs/>
          <w:szCs w:val="24"/>
          <w:lang w:eastAsia="ru-RU"/>
        </w:rPr>
        <w:t xml:space="preserve"> – ставка процента, используемая для перевода будущих денежных потоков в текущую стоимость.</w:t>
      </w:r>
      <w:r w:rsidR="001166EA" w:rsidRPr="00611AF9">
        <w:rPr>
          <w:rFonts w:eastAsia="Times New Roman" w:cs="Times New Roman"/>
          <w:bCs/>
          <w:color w:val="FF0000"/>
          <w:szCs w:val="24"/>
          <w:lang w:eastAsia="ru-RU"/>
        </w:rPr>
        <w:t xml:space="preserve"> </w:t>
      </w:r>
    </w:p>
    <w:p w14:paraId="176CC37F" w14:textId="3AC01187" w:rsidR="004A2237" w:rsidRPr="00611AF9" w:rsidRDefault="004A2237" w:rsidP="004A2237">
      <w:pPr>
        <w:tabs>
          <w:tab w:val="num" w:pos="680"/>
        </w:tabs>
        <w:ind w:left="57" w:right="57" w:firstLine="794"/>
        <w:rPr>
          <w:rFonts w:eastAsia="Times New Roman" w:cs="Times New Roman"/>
          <w:szCs w:val="24"/>
          <w:lang w:eastAsia="ru-RU"/>
        </w:rPr>
      </w:pPr>
      <w:r w:rsidRPr="00611AF9">
        <w:rPr>
          <w:rFonts w:eastAsia="Times New Roman" w:cs="Times New Roman"/>
          <w:b/>
          <w:bCs/>
          <w:szCs w:val="24"/>
          <w:lang w:eastAsia="ru-RU"/>
        </w:rPr>
        <w:t>Ставка дисконтирования (экономический термин)</w:t>
      </w:r>
      <w:r w:rsidRPr="00611AF9">
        <w:rPr>
          <w:rFonts w:eastAsia="Times New Roman" w:cs="Times New Roman"/>
          <w:bCs/>
          <w:szCs w:val="24"/>
          <w:lang w:eastAsia="ru-RU"/>
        </w:rPr>
        <w:t xml:space="preserve"> — минимальная норма прибыли, на которую рассчитывает инвестор, вкладывая денежные средства в оц</w:t>
      </w:r>
      <w:r w:rsidR="00C90F68" w:rsidRPr="00611AF9">
        <w:rPr>
          <w:rFonts w:eastAsia="Times New Roman" w:cs="Times New Roman"/>
          <w:bCs/>
          <w:szCs w:val="24"/>
          <w:lang w:eastAsia="ru-RU"/>
        </w:rPr>
        <w:t>ениваемый доходный актив.</w:t>
      </w:r>
      <w:r w:rsidR="001166EA" w:rsidRPr="00611AF9">
        <w:rPr>
          <w:rFonts w:eastAsia="Times New Roman" w:cs="Times New Roman"/>
          <w:bCs/>
          <w:szCs w:val="24"/>
          <w:lang w:eastAsia="ru-RU"/>
        </w:rPr>
        <w:t xml:space="preserve"> </w:t>
      </w:r>
    </w:p>
    <w:p w14:paraId="59258431" w14:textId="16AFBE5E" w:rsidR="00095454" w:rsidRPr="00611AF9" w:rsidRDefault="00095454" w:rsidP="00095454">
      <w:pPr>
        <w:tabs>
          <w:tab w:val="num" w:pos="680"/>
        </w:tabs>
        <w:ind w:left="57" w:right="57" w:firstLine="794"/>
        <w:rPr>
          <w:rFonts w:eastAsia="Times New Roman" w:cs="Times New Roman"/>
          <w:bCs/>
          <w:szCs w:val="24"/>
          <w:lang w:eastAsia="ru-RU"/>
        </w:rPr>
      </w:pPr>
      <w:r w:rsidRPr="00611AF9">
        <w:rPr>
          <w:rFonts w:eastAsia="Times New Roman" w:cs="Times New Roman"/>
          <w:b/>
          <w:bCs/>
          <w:szCs w:val="24"/>
          <w:lang w:eastAsia="ru-RU"/>
        </w:rPr>
        <w:t>Удельный показатель кадастровой стоимости (УПКС)</w:t>
      </w:r>
      <w:r w:rsidRPr="00611AF9">
        <w:rPr>
          <w:rFonts w:eastAsia="Times New Roman" w:cs="Times New Roman"/>
          <w:bCs/>
          <w:szCs w:val="24"/>
          <w:lang w:eastAsia="ru-RU"/>
        </w:rPr>
        <w:t xml:space="preserve"> – кадастровая стоимость в расчете на единицу площади объекта недвижимости (кв. м). </w:t>
      </w:r>
    </w:p>
    <w:p w14:paraId="091B2538" w14:textId="77777777" w:rsidR="004A2237" w:rsidRPr="00611AF9" w:rsidRDefault="004A2237" w:rsidP="004A2237">
      <w:pPr>
        <w:tabs>
          <w:tab w:val="num" w:pos="680"/>
        </w:tabs>
        <w:ind w:left="57" w:right="57" w:firstLine="794"/>
        <w:rPr>
          <w:rFonts w:eastAsia="Times New Roman" w:cs="Times New Roman"/>
          <w:szCs w:val="24"/>
          <w:lang w:eastAsia="ru-RU"/>
        </w:rPr>
      </w:pPr>
      <w:r w:rsidRPr="00611AF9">
        <w:rPr>
          <w:rFonts w:eastAsia="Times New Roman" w:cs="Times New Roman"/>
          <w:b/>
          <w:bCs/>
          <w:szCs w:val="24"/>
          <w:lang w:eastAsia="ru-RU"/>
        </w:rPr>
        <w:t>Цена</w:t>
      </w:r>
      <w:r w:rsidRPr="00611AF9">
        <w:rPr>
          <w:rFonts w:eastAsia="Times New Roman" w:cs="Times New Roman"/>
          <w:bCs/>
          <w:szCs w:val="24"/>
          <w:lang w:eastAsia="ru-RU"/>
        </w:rPr>
        <w:t xml:space="preserve"> – это денежная сумма, запрашиваемая, предлагаемая или уплачиваемая участниками в результате совершенной или предполагаемой сделки.</w:t>
      </w:r>
    </w:p>
    <w:p w14:paraId="716F8140" w14:textId="77777777" w:rsidR="004A2237" w:rsidRPr="00611AF9" w:rsidRDefault="004A2237" w:rsidP="004A2237">
      <w:pPr>
        <w:tabs>
          <w:tab w:val="num" w:pos="680"/>
        </w:tabs>
        <w:ind w:left="57" w:right="57" w:firstLine="794"/>
        <w:rPr>
          <w:rFonts w:eastAsia="Times New Roman" w:cs="Times New Roman"/>
          <w:szCs w:val="24"/>
          <w:lang w:eastAsia="ru-RU"/>
        </w:rPr>
      </w:pPr>
      <w:r w:rsidRPr="00611AF9">
        <w:rPr>
          <w:rFonts w:eastAsia="Times New Roman" w:cs="Times New Roman"/>
          <w:b/>
          <w:bCs/>
          <w:szCs w:val="24"/>
          <w:lang w:eastAsia="ru-RU"/>
        </w:rPr>
        <w:t>Цена предложения</w:t>
      </w:r>
      <w:r w:rsidRPr="00611AF9">
        <w:rPr>
          <w:rFonts w:eastAsia="Times New Roman" w:cs="Times New Roman"/>
          <w:bCs/>
          <w:szCs w:val="24"/>
          <w:lang w:eastAsia="ru-RU"/>
        </w:rPr>
        <w:t xml:space="preserve"> – цена, по которой владельцы предлагают для продажи объекты недвижимости на открытом рынке.</w:t>
      </w:r>
    </w:p>
    <w:p w14:paraId="5DBE5F05" w14:textId="77777777" w:rsidR="004A2237" w:rsidRPr="00611AF9" w:rsidRDefault="004A2237" w:rsidP="004A2237">
      <w:pPr>
        <w:tabs>
          <w:tab w:val="num" w:pos="680"/>
        </w:tabs>
        <w:ind w:left="57" w:right="57" w:firstLine="794"/>
        <w:rPr>
          <w:rFonts w:eastAsia="Times New Roman" w:cs="Times New Roman"/>
          <w:szCs w:val="24"/>
          <w:lang w:eastAsia="ru-RU"/>
        </w:rPr>
      </w:pPr>
      <w:r w:rsidRPr="00611AF9">
        <w:rPr>
          <w:rFonts w:eastAsia="Times New Roman" w:cs="Times New Roman"/>
          <w:b/>
          <w:bCs/>
          <w:szCs w:val="24"/>
          <w:lang w:eastAsia="ru-RU"/>
        </w:rPr>
        <w:t>Цена продажи</w:t>
      </w:r>
      <w:r w:rsidRPr="00611AF9">
        <w:rPr>
          <w:rFonts w:eastAsia="Times New Roman" w:cs="Times New Roman"/>
          <w:bCs/>
          <w:szCs w:val="24"/>
          <w:lang w:eastAsia="ru-RU"/>
        </w:rPr>
        <w:t xml:space="preserve"> – денежная сумма или ее эквивалент, фактически уплаченная при конкретной рыночной сделке.</w:t>
      </w:r>
    </w:p>
    <w:p w14:paraId="6B503CDF" w14:textId="77777777" w:rsidR="004A2237" w:rsidRPr="00A91DA5" w:rsidRDefault="004A2237" w:rsidP="004A2237">
      <w:pPr>
        <w:tabs>
          <w:tab w:val="num" w:pos="680"/>
        </w:tabs>
        <w:ind w:left="57" w:right="57" w:firstLine="794"/>
        <w:rPr>
          <w:rFonts w:eastAsia="Times New Roman" w:cs="Times New Roman"/>
          <w:szCs w:val="24"/>
          <w:lang w:eastAsia="ru-RU"/>
        </w:rPr>
      </w:pPr>
      <w:r w:rsidRPr="00611AF9">
        <w:rPr>
          <w:rFonts w:eastAsia="Times New Roman" w:cs="Times New Roman"/>
          <w:b/>
          <w:bCs/>
          <w:szCs w:val="24"/>
          <w:lang w:eastAsia="ru-RU"/>
        </w:rPr>
        <w:t>Цена спроса</w:t>
      </w:r>
      <w:r w:rsidRPr="00611AF9">
        <w:rPr>
          <w:rFonts w:eastAsia="Times New Roman" w:cs="Times New Roman"/>
          <w:bCs/>
          <w:szCs w:val="24"/>
          <w:lang w:eastAsia="ru-RU"/>
        </w:rPr>
        <w:t xml:space="preserve"> – цена, по которым потенциальные покупатели намереваются приобрести объект недвижимости исходя из своих потребностей и финансовых возможностей.</w:t>
      </w:r>
    </w:p>
    <w:p w14:paraId="003C3319" w14:textId="288729D6" w:rsidR="004A2237" w:rsidRPr="00A91DA5" w:rsidRDefault="004A2237" w:rsidP="004A2237">
      <w:pPr>
        <w:tabs>
          <w:tab w:val="num" w:pos="680"/>
        </w:tabs>
        <w:ind w:left="57" w:right="57" w:firstLine="794"/>
        <w:rPr>
          <w:rFonts w:eastAsia="Times New Roman" w:cs="Times New Roman"/>
          <w:b/>
          <w:bCs/>
          <w:szCs w:val="24"/>
          <w:lang w:eastAsia="ru-RU"/>
        </w:rPr>
      </w:pPr>
      <w:r w:rsidRPr="00A91DA5">
        <w:rPr>
          <w:rFonts w:eastAsia="Times New Roman" w:cs="Times New Roman"/>
          <w:b/>
          <w:bCs/>
          <w:szCs w:val="24"/>
          <w:lang w:eastAsia="ru-RU"/>
        </w:rPr>
        <w:t>Ценообразующие факторы (</w:t>
      </w:r>
      <w:r>
        <w:rPr>
          <w:rFonts w:eastAsia="Times New Roman" w:cs="Times New Roman"/>
          <w:b/>
          <w:bCs/>
          <w:szCs w:val="24"/>
          <w:lang w:eastAsia="ru-RU"/>
        </w:rPr>
        <w:t>ЦФ</w:t>
      </w:r>
      <w:r w:rsidRPr="00A91DA5">
        <w:rPr>
          <w:rFonts w:eastAsia="Times New Roman" w:cs="Times New Roman"/>
          <w:b/>
          <w:bCs/>
          <w:szCs w:val="24"/>
          <w:lang w:eastAsia="ru-RU"/>
        </w:rPr>
        <w:t xml:space="preserve">) – </w:t>
      </w:r>
      <w:r w:rsidRPr="00A91DA5">
        <w:rPr>
          <w:rFonts w:eastAsia="Times New Roman" w:cs="Times New Roman"/>
          <w:bCs/>
          <w:szCs w:val="24"/>
          <w:lang w:eastAsia="ru-RU"/>
        </w:rPr>
        <w:t xml:space="preserve">качественные и количественные характеристики объекта, подлежащего государственной кадастровой оценке, оказывающие существенное влияние на кадастровую стоимость </w:t>
      </w:r>
      <w:r>
        <w:rPr>
          <w:rFonts w:eastAsia="Times New Roman" w:cs="Times New Roman"/>
          <w:bCs/>
          <w:szCs w:val="24"/>
          <w:lang w:eastAsia="ru-RU"/>
        </w:rPr>
        <w:t>объекта недвижимости</w:t>
      </w:r>
      <w:r w:rsidRPr="00A91DA5">
        <w:rPr>
          <w:rFonts w:eastAsia="Times New Roman" w:cs="Times New Roman"/>
          <w:bCs/>
          <w:szCs w:val="24"/>
          <w:lang w:eastAsia="ru-RU"/>
        </w:rPr>
        <w:t>, выраженные в конкретных единицах или в формализованном виде, которые могут быть достоверно определены и объективно измерены.</w:t>
      </w:r>
    </w:p>
    <w:p w14:paraId="7558D7C4" w14:textId="0B44196C" w:rsidR="00800401" w:rsidRPr="00800401" w:rsidRDefault="00800401" w:rsidP="00800401">
      <w:pPr>
        <w:tabs>
          <w:tab w:val="num" w:pos="680"/>
        </w:tabs>
        <w:ind w:left="57" w:right="57" w:firstLine="794"/>
        <w:rPr>
          <w:rFonts w:eastAsia="Times New Roman" w:cs="Times New Roman"/>
          <w:bCs/>
          <w:szCs w:val="24"/>
          <w:lang w:eastAsia="ru-RU"/>
        </w:rPr>
      </w:pPr>
      <w:r w:rsidRPr="00800401">
        <w:rPr>
          <w:rFonts w:eastAsia="Times New Roman" w:cs="Times New Roman"/>
          <w:b/>
          <w:bCs/>
          <w:szCs w:val="24"/>
          <w:lang w:eastAsia="ru-RU"/>
        </w:rPr>
        <w:t>Федеральная информационная адресная система (ФИАС)</w:t>
      </w:r>
      <w:r w:rsidRPr="00800401">
        <w:rPr>
          <w:rFonts w:eastAsia="Times New Roman" w:cs="Times New Roman"/>
          <w:bCs/>
          <w:szCs w:val="24"/>
          <w:lang w:eastAsia="ru-RU"/>
        </w:rPr>
        <w:t xml:space="preserve"> – федеральная государственная информационная система, обеспечивающая формирование, ведение и использование содержащихся в государственном адресном реестре сведений об адресах.</w:t>
      </w:r>
    </w:p>
    <w:p w14:paraId="0B0D18BA" w14:textId="37169B32" w:rsidR="00800401" w:rsidRPr="00800401" w:rsidRDefault="00800401" w:rsidP="00800401">
      <w:pPr>
        <w:tabs>
          <w:tab w:val="num" w:pos="680"/>
        </w:tabs>
        <w:ind w:left="57" w:right="57" w:firstLine="794"/>
        <w:rPr>
          <w:rFonts w:eastAsia="Times New Roman" w:cs="Times New Roman"/>
          <w:bCs/>
          <w:szCs w:val="24"/>
          <w:lang w:eastAsia="ru-RU"/>
        </w:rPr>
      </w:pPr>
      <w:r w:rsidRPr="00095454">
        <w:rPr>
          <w:rFonts w:eastAsia="Times New Roman" w:cs="Times New Roman"/>
          <w:b/>
          <w:bCs/>
          <w:szCs w:val="24"/>
          <w:lang w:eastAsia="ru-RU"/>
        </w:rPr>
        <w:t>XML</w:t>
      </w:r>
      <w:r w:rsidRPr="00800401">
        <w:rPr>
          <w:rFonts w:eastAsia="Times New Roman" w:cs="Times New Roman"/>
          <w:bCs/>
          <w:szCs w:val="24"/>
          <w:lang w:eastAsia="ru-RU"/>
        </w:rPr>
        <w:t xml:space="preserve"> - пригодный для любой операционной системы и любого аппаратного обеспечения, не зависящий от программного и аппаратного обеспечения инструмент передачи информации, формат данных, в котором осуществляется передача сведений из Единого государственного реестра недвижимости.</w:t>
      </w:r>
    </w:p>
    <w:p w14:paraId="567FDDA7" w14:textId="2B0849B2" w:rsidR="009B5770" w:rsidRDefault="009B5770">
      <w:pPr>
        <w:spacing w:after="160" w:line="259" w:lineRule="auto"/>
        <w:ind w:firstLine="0"/>
        <w:jc w:val="left"/>
        <w:rPr>
          <w:rFonts w:eastAsia="Calibri" w:cs="Times New Roman"/>
          <w:b/>
          <w:sz w:val="28"/>
          <w:szCs w:val="32"/>
        </w:rPr>
      </w:pPr>
    </w:p>
    <w:p w14:paraId="2DF8DFC3" w14:textId="7C028110" w:rsidR="006629F8" w:rsidRDefault="006629F8" w:rsidP="00FD2769">
      <w:pPr>
        <w:pStyle w:val="3"/>
      </w:pPr>
      <w:bookmarkStart w:id="2" w:name="_Toc14819085"/>
      <w:r>
        <w:t xml:space="preserve">Сокращения, используемые в </w:t>
      </w:r>
      <w:r w:rsidR="00CB5F36">
        <w:t>Отчете</w:t>
      </w:r>
      <w:bookmarkEnd w:id="2"/>
    </w:p>
    <w:p w14:paraId="7D866470" w14:textId="704C7DCE" w:rsidR="001F0E94" w:rsidRDefault="001F0E94" w:rsidP="005A116A">
      <w:pPr>
        <w:pStyle w:val="ae"/>
        <w:tabs>
          <w:tab w:val="left" w:pos="0"/>
        </w:tabs>
        <w:spacing w:before="240"/>
        <w:ind w:firstLine="709"/>
        <w:rPr>
          <w:rFonts w:ascii="Times New Roman" w:hAnsi="Times New Roman"/>
          <w:sz w:val="24"/>
          <w:szCs w:val="24"/>
        </w:rPr>
      </w:pPr>
      <w:r w:rsidRPr="008606EA">
        <w:rPr>
          <w:rFonts w:ascii="Times New Roman" w:hAnsi="Times New Roman"/>
          <w:b/>
          <w:sz w:val="24"/>
          <w:szCs w:val="24"/>
        </w:rPr>
        <w:t>ВРИ</w:t>
      </w:r>
      <w:r w:rsidRPr="008606EA">
        <w:rPr>
          <w:rFonts w:ascii="Times New Roman" w:hAnsi="Times New Roman"/>
          <w:sz w:val="24"/>
          <w:szCs w:val="24"/>
        </w:rPr>
        <w:t xml:space="preserve"> – </w:t>
      </w:r>
      <w:r w:rsidR="004C581F">
        <w:rPr>
          <w:rFonts w:ascii="Times New Roman" w:hAnsi="Times New Roman"/>
          <w:sz w:val="24"/>
          <w:szCs w:val="24"/>
        </w:rPr>
        <w:t>В</w:t>
      </w:r>
      <w:r w:rsidRPr="008606EA">
        <w:rPr>
          <w:rFonts w:ascii="Times New Roman" w:hAnsi="Times New Roman"/>
          <w:sz w:val="24"/>
          <w:szCs w:val="24"/>
        </w:rPr>
        <w:t>ид разрешенного использования</w:t>
      </w:r>
    </w:p>
    <w:p w14:paraId="27C815B3" w14:textId="77777777" w:rsidR="008C2766" w:rsidRDefault="008C2766" w:rsidP="00B30C57">
      <w:pPr>
        <w:ind w:firstLine="709"/>
      </w:pPr>
      <w:r w:rsidRPr="00A83A04">
        <w:rPr>
          <w:rFonts w:eastAsia="Calibri" w:cs="Times New Roman"/>
          <w:b/>
          <w:szCs w:val="24"/>
        </w:rPr>
        <w:t>ГКО</w:t>
      </w:r>
      <w:r w:rsidRPr="008C2766">
        <w:t xml:space="preserve"> – государственная кадастровая оценка;</w:t>
      </w:r>
    </w:p>
    <w:p w14:paraId="41F534FE" w14:textId="39E409BC" w:rsidR="0017498A" w:rsidRPr="0017498A" w:rsidRDefault="0017498A" w:rsidP="00B30C57">
      <w:pPr>
        <w:ind w:firstLine="709"/>
      </w:pPr>
      <w:r w:rsidRPr="00A83A04">
        <w:rPr>
          <w:rFonts w:eastAsia="Calibri" w:cs="Times New Roman"/>
          <w:b/>
          <w:szCs w:val="24"/>
        </w:rPr>
        <w:t xml:space="preserve">ГБУ </w:t>
      </w:r>
      <w:r w:rsidR="003B682D">
        <w:rPr>
          <w:rFonts w:eastAsia="Calibri" w:cs="Times New Roman"/>
          <w:b/>
          <w:szCs w:val="24"/>
        </w:rPr>
        <w:t>РС(Я) «</w:t>
      </w:r>
      <w:r w:rsidRPr="00A83A04">
        <w:rPr>
          <w:rFonts w:eastAsia="Calibri" w:cs="Times New Roman"/>
          <w:b/>
          <w:szCs w:val="24"/>
        </w:rPr>
        <w:t>ЦГКО</w:t>
      </w:r>
      <w:r w:rsidR="003B682D">
        <w:rPr>
          <w:rFonts w:eastAsia="Calibri" w:cs="Times New Roman"/>
          <w:b/>
          <w:szCs w:val="24"/>
        </w:rPr>
        <w:t>»</w:t>
      </w:r>
      <w:r w:rsidRPr="00A83A04">
        <w:rPr>
          <w:rFonts w:eastAsia="Calibri" w:cs="Times New Roman"/>
          <w:b/>
          <w:szCs w:val="24"/>
        </w:rPr>
        <w:t xml:space="preserve"> -</w:t>
      </w:r>
      <w:r>
        <w:t xml:space="preserve"> </w:t>
      </w:r>
      <w:r w:rsidR="004C581F">
        <w:t>Г</w:t>
      </w:r>
      <w:r w:rsidRPr="0017498A">
        <w:t xml:space="preserve">осударственное бюджетное учреждение </w:t>
      </w:r>
      <w:r w:rsidR="00CE1FFB">
        <w:t xml:space="preserve">Республики Саха (Якутия) </w:t>
      </w:r>
      <w:r w:rsidR="00481D7D">
        <w:t>«</w:t>
      </w:r>
      <w:r w:rsidRPr="0017498A">
        <w:t>Центр государственной кадастровой оценки</w:t>
      </w:r>
      <w:r w:rsidR="00481D7D">
        <w:t>»</w:t>
      </w:r>
      <w:r w:rsidRPr="0017498A">
        <w:t xml:space="preserve"> </w:t>
      </w:r>
    </w:p>
    <w:p w14:paraId="76FEBA41" w14:textId="7CF50FBC" w:rsidR="0017498A" w:rsidRDefault="00CE1FFB" w:rsidP="00B30C57">
      <w:pPr>
        <w:ind w:firstLine="709"/>
      </w:pPr>
      <w:r>
        <w:rPr>
          <w:rFonts w:eastAsia="Calibri" w:cs="Times New Roman"/>
          <w:b/>
          <w:szCs w:val="24"/>
        </w:rPr>
        <w:t>МИЗО</w:t>
      </w:r>
      <w:r w:rsidR="003B682D">
        <w:rPr>
          <w:rFonts w:eastAsia="Calibri" w:cs="Times New Roman"/>
          <w:b/>
          <w:szCs w:val="24"/>
        </w:rPr>
        <w:t xml:space="preserve"> РС(Я)</w:t>
      </w:r>
      <w:r w:rsidR="0017498A" w:rsidRPr="00A83A04">
        <w:rPr>
          <w:rFonts w:eastAsia="Calibri" w:cs="Times New Roman"/>
          <w:b/>
          <w:szCs w:val="24"/>
        </w:rPr>
        <w:t xml:space="preserve"> </w:t>
      </w:r>
      <w:r w:rsidR="0017498A">
        <w:t xml:space="preserve">– </w:t>
      </w:r>
      <w:r w:rsidR="004C581F">
        <w:t>М</w:t>
      </w:r>
      <w:r>
        <w:t>инистерство имущественных и земельных отношений Республики Саха (Якутия)</w:t>
      </w:r>
      <w:r w:rsidR="0017498A">
        <w:t>;</w:t>
      </w:r>
    </w:p>
    <w:p w14:paraId="253C427B" w14:textId="77777777" w:rsidR="001F0E94" w:rsidRDefault="001F0E94" w:rsidP="00B30C57">
      <w:pPr>
        <w:pStyle w:val="ae"/>
        <w:tabs>
          <w:tab w:val="left" w:pos="0"/>
        </w:tabs>
        <w:ind w:firstLine="709"/>
        <w:rPr>
          <w:rFonts w:ascii="Times New Roman" w:hAnsi="Times New Roman"/>
          <w:sz w:val="24"/>
          <w:szCs w:val="24"/>
        </w:rPr>
      </w:pPr>
      <w:r w:rsidRPr="008606EA">
        <w:rPr>
          <w:rFonts w:ascii="Times New Roman" w:hAnsi="Times New Roman"/>
          <w:b/>
          <w:sz w:val="24"/>
          <w:szCs w:val="24"/>
        </w:rPr>
        <w:t>ЗК РФ</w:t>
      </w:r>
      <w:r w:rsidRPr="008606EA">
        <w:rPr>
          <w:rFonts w:ascii="Times New Roman" w:hAnsi="Times New Roman"/>
          <w:sz w:val="24"/>
          <w:szCs w:val="24"/>
        </w:rPr>
        <w:t xml:space="preserve"> – Земельный кодекс Российской Федерации;</w:t>
      </w:r>
    </w:p>
    <w:p w14:paraId="13CF2DB2" w14:textId="75F9EAAD" w:rsidR="008C2766" w:rsidRPr="008C2766" w:rsidRDefault="008C2766" w:rsidP="00B30C57">
      <w:pPr>
        <w:ind w:firstLine="709"/>
      </w:pPr>
      <w:r w:rsidRPr="00A83A04">
        <w:rPr>
          <w:rFonts w:eastAsia="Calibri" w:cs="Times New Roman"/>
          <w:b/>
          <w:szCs w:val="24"/>
        </w:rPr>
        <w:t>ЗУ</w:t>
      </w:r>
      <w:r>
        <w:t xml:space="preserve"> – </w:t>
      </w:r>
      <w:r w:rsidR="004C581F">
        <w:t>З</w:t>
      </w:r>
      <w:r>
        <w:t>емельный участок;</w:t>
      </w:r>
    </w:p>
    <w:p w14:paraId="0E18C44F" w14:textId="43881B1F" w:rsidR="008C2766" w:rsidRDefault="008C2766" w:rsidP="00B30C57">
      <w:pPr>
        <w:ind w:firstLine="709"/>
      </w:pPr>
      <w:r w:rsidRPr="00A83A04">
        <w:rPr>
          <w:rFonts w:eastAsia="Calibri" w:cs="Times New Roman"/>
          <w:b/>
          <w:szCs w:val="24"/>
        </w:rPr>
        <w:t xml:space="preserve">ЕОН </w:t>
      </w:r>
      <w:r w:rsidRPr="008C2766">
        <w:t xml:space="preserve">– </w:t>
      </w:r>
      <w:r w:rsidR="004C581F">
        <w:t>Е</w:t>
      </w:r>
      <w:r w:rsidRPr="008C2766">
        <w:t>диный объект недвижимости;</w:t>
      </w:r>
    </w:p>
    <w:p w14:paraId="672FB87A" w14:textId="2008C491" w:rsidR="00B27831" w:rsidRDefault="00B27831" w:rsidP="00B30C57">
      <w:pPr>
        <w:ind w:firstLine="709"/>
      </w:pPr>
      <w:r w:rsidRPr="00A83A04">
        <w:rPr>
          <w:rFonts w:eastAsia="Calibri" w:cs="Times New Roman"/>
          <w:b/>
          <w:szCs w:val="24"/>
        </w:rPr>
        <w:t xml:space="preserve">ЕГРН </w:t>
      </w:r>
      <w:r>
        <w:t xml:space="preserve">– </w:t>
      </w:r>
      <w:r w:rsidR="004C581F">
        <w:t>Е</w:t>
      </w:r>
      <w:r>
        <w:t xml:space="preserve">диный государственный реестр недвижимости; </w:t>
      </w:r>
    </w:p>
    <w:p w14:paraId="2CC51FDA" w14:textId="68CF935E" w:rsidR="001F0E94" w:rsidRDefault="001F0E94" w:rsidP="00B30C57">
      <w:pPr>
        <w:pStyle w:val="ae"/>
        <w:tabs>
          <w:tab w:val="left" w:pos="0"/>
        </w:tabs>
        <w:ind w:firstLine="709"/>
        <w:rPr>
          <w:rFonts w:ascii="Times New Roman" w:hAnsi="Times New Roman"/>
          <w:sz w:val="24"/>
          <w:szCs w:val="24"/>
        </w:rPr>
      </w:pPr>
      <w:r w:rsidRPr="008606EA">
        <w:rPr>
          <w:rFonts w:ascii="Times New Roman" w:hAnsi="Times New Roman"/>
          <w:b/>
          <w:sz w:val="24"/>
          <w:szCs w:val="24"/>
        </w:rPr>
        <w:t>ИЖС</w:t>
      </w:r>
      <w:r w:rsidRPr="008606EA">
        <w:rPr>
          <w:rFonts w:ascii="Times New Roman" w:hAnsi="Times New Roman"/>
          <w:sz w:val="24"/>
          <w:szCs w:val="24"/>
        </w:rPr>
        <w:t xml:space="preserve"> – </w:t>
      </w:r>
      <w:r w:rsidR="004C581F">
        <w:rPr>
          <w:rFonts w:ascii="Times New Roman" w:hAnsi="Times New Roman"/>
          <w:sz w:val="24"/>
          <w:szCs w:val="24"/>
        </w:rPr>
        <w:t>И</w:t>
      </w:r>
      <w:r w:rsidRPr="008606EA">
        <w:rPr>
          <w:rFonts w:ascii="Times New Roman" w:hAnsi="Times New Roman"/>
          <w:sz w:val="24"/>
          <w:szCs w:val="24"/>
        </w:rPr>
        <w:t xml:space="preserve">ндивидуальное жилищное строительство; </w:t>
      </w:r>
    </w:p>
    <w:p w14:paraId="2163A785" w14:textId="28B8D28F" w:rsidR="008C2766" w:rsidRDefault="008C2766" w:rsidP="00B30C57">
      <w:pPr>
        <w:ind w:firstLine="709"/>
      </w:pPr>
      <w:r w:rsidRPr="00A83A04">
        <w:rPr>
          <w:rFonts w:eastAsia="Calibri" w:cs="Times New Roman"/>
          <w:b/>
          <w:szCs w:val="24"/>
        </w:rPr>
        <w:t xml:space="preserve">КЛАДР </w:t>
      </w:r>
      <w:r w:rsidRPr="008C2766">
        <w:t xml:space="preserve">– </w:t>
      </w:r>
      <w:r w:rsidR="004C581F">
        <w:t>К</w:t>
      </w:r>
      <w:r w:rsidRPr="008C2766">
        <w:t>лассификатор адресов России;</w:t>
      </w:r>
    </w:p>
    <w:p w14:paraId="071E4B13" w14:textId="4C230B04" w:rsidR="001F0E94" w:rsidRDefault="001F0E94" w:rsidP="00B30C57">
      <w:pPr>
        <w:pStyle w:val="ae"/>
        <w:tabs>
          <w:tab w:val="left" w:pos="0"/>
        </w:tabs>
        <w:ind w:firstLine="709"/>
        <w:rPr>
          <w:rFonts w:ascii="Times New Roman" w:hAnsi="Times New Roman"/>
          <w:sz w:val="24"/>
          <w:szCs w:val="24"/>
        </w:rPr>
      </w:pPr>
      <w:r w:rsidRPr="008606EA">
        <w:rPr>
          <w:rFonts w:ascii="Times New Roman" w:hAnsi="Times New Roman"/>
          <w:b/>
          <w:sz w:val="24"/>
          <w:szCs w:val="24"/>
        </w:rPr>
        <w:t>КПT</w:t>
      </w:r>
      <w:r w:rsidRPr="008606EA">
        <w:rPr>
          <w:rFonts w:ascii="Times New Roman" w:hAnsi="Times New Roman"/>
          <w:sz w:val="24"/>
          <w:szCs w:val="24"/>
        </w:rPr>
        <w:t xml:space="preserve"> – </w:t>
      </w:r>
      <w:r w:rsidR="004C581F">
        <w:rPr>
          <w:rFonts w:ascii="Times New Roman" w:hAnsi="Times New Roman"/>
          <w:sz w:val="24"/>
          <w:szCs w:val="24"/>
        </w:rPr>
        <w:t>К</w:t>
      </w:r>
      <w:r w:rsidRPr="008606EA">
        <w:rPr>
          <w:rFonts w:ascii="Times New Roman" w:hAnsi="Times New Roman"/>
          <w:sz w:val="24"/>
          <w:szCs w:val="24"/>
        </w:rPr>
        <w:t>адастровый план территории;</w:t>
      </w:r>
    </w:p>
    <w:p w14:paraId="7E85A0FE" w14:textId="724B12E2" w:rsidR="00552994" w:rsidRDefault="00552994" w:rsidP="00552994">
      <w:pPr>
        <w:pStyle w:val="ae"/>
        <w:tabs>
          <w:tab w:val="left" w:pos="0"/>
        </w:tabs>
        <w:ind w:firstLine="709"/>
        <w:rPr>
          <w:rFonts w:ascii="Times New Roman" w:hAnsi="Times New Roman"/>
          <w:sz w:val="24"/>
          <w:szCs w:val="24"/>
        </w:rPr>
      </w:pPr>
      <w:r w:rsidRPr="00552994">
        <w:rPr>
          <w:rFonts w:ascii="Times New Roman" w:hAnsi="Times New Roman"/>
          <w:b/>
          <w:sz w:val="24"/>
          <w:szCs w:val="24"/>
        </w:rPr>
        <w:t>КК</w:t>
      </w:r>
      <w:r>
        <w:rPr>
          <w:rFonts w:ascii="Times New Roman" w:hAnsi="Times New Roman"/>
          <w:sz w:val="24"/>
          <w:szCs w:val="24"/>
        </w:rPr>
        <w:t xml:space="preserve"> – </w:t>
      </w:r>
      <w:r w:rsidR="004C581F">
        <w:rPr>
          <w:rFonts w:ascii="Times New Roman" w:hAnsi="Times New Roman"/>
          <w:sz w:val="24"/>
          <w:szCs w:val="24"/>
        </w:rPr>
        <w:t>К</w:t>
      </w:r>
      <w:r>
        <w:rPr>
          <w:rFonts w:ascii="Times New Roman" w:hAnsi="Times New Roman"/>
          <w:sz w:val="24"/>
          <w:szCs w:val="24"/>
        </w:rPr>
        <w:t>адастровый квартал;</w:t>
      </w:r>
    </w:p>
    <w:p w14:paraId="5E5BB6F3" w14:textId="4AC57FA3" w:rsidR="00552994" w:rsidRDefault="00552994" w:rsidP="00B30C57">
      <w:pPr>
        <w:pStyle w:val="ae"/>
        <w:tabs>
          <w:tab w:val="left" w:pos="0"/>
        </w:tabs>
        <w:ind w:firstLine="709"/>
        <w:rPr>
          <w:rFonts w:ascii="Times New Roman" w:hAnsi="Times New Roman"/>
          <w:sz w:val="24"/>
          <w:szCs w:val="24"/>
        </w:rPr>
      </w:pPr>
      <w:r w:rsidRPr="00552994">
        <w:rPr>
          <w:rFonts w:ascii="Times New Roman" w:hAnsi="Times New Roman"/>
          <w:b/>
          <w:sz w:val="24"/>
          <w:szCs w:val="24"/>
        </w:rPr>
        <w:t>КН</w:t>
      </w:r>
      <w:r w:rsidR="004C581F">
        <w:rPr>
          <w:rFonts w:ascii="Times New Roman" w:hAnsi="Times New Roman"/>
          <w:sz w:val="24"/>
          <w:szCs w:val="24"/>
        </w:rPr>
        <w:t xml:space="preserve"> – К</w:t>
      </w:r>
      <w:r>
        <w:rPr>
          <w:rFonts w:ascii="Times New Roman" w:hAnsi="Times New Roman"/>
          <w:sz w:val="24"/>
          <w:szCs w:val="24"/>
        </w:rPr>
        <w:t>адастровый номер;</w:t>
      </w:r>
    </w:p>
    <w:p w14:paraId="6EE1535A" w14:textId="43872497" w:rsidR="006E376C" w:rsidRPr="006E376C" w:rsidRDefault="006E376C" w:rsidP="00B30C57">
      <w:pPr>
        <w:pStyle w:val="ae"/>
        <w:tabs>
          <w:tab w:val="left" w:pos="0"/>
        </w:tabs>
        <w:ind w:firstLine="709"/>
        <w:rPr>
          <w:rFonts w:ascii="Times New Roman" w:hAnsi="Times New Roman"/>
          <w:sz w:val="24"/>
          <w:szCs w:val="24"/>
        </w:rPr>
      </w:pPr>
      <w:r w:rsidRPr="00611AF9">
        <w:rPr>
          <w:rFonts w:ascii="Times New Roman" w:hAnsi="Times New Roman"/>
          <w:b/>
          <w:sz w:val="24"/>
          <w:szCs w:val="24"/>
        </w:rPr>
        <w:t xml:space="preserve">КО-ИНВЕСТ – </w:t>
      </w:r>
      <w:r w:rsidR="00A21E6D" w:rsidRPr="00611AF9">
        <w:rPr>
          <w:rFonts w:ascii="Times New Roman" w:hAnsi="Times New Roman"/>
          <w:b/>
          <w:sz w:val="24"/>
          <w:szCs w:val="24"/>
        </w:rPr>
        <w:t>Серия с</w:t>
      </w:r>
      <w:r w:rsidRPr="00611AF9">
        <w:rPr>
          <w:rFonts w:ascii="Times New Roman" w:hAnsi="Times New Roman"/>
          <w:sz w:val="24"/>
          <w:szCs w:val="24"/>
        </w:rPr>
        <w:t>правочник</w:t>
      </w:r>
      <w:r w:rsidR="00A21E6D" w:rsidRPr="00611AF9">
        <w:rPr>
          <w:rFonts w:ascii="Times New Roman" w:hAnsi="Times New Roman"/>
          <w:sz w:val="24"/>
          <w:szCs w:val="24"/>
        </w:rPr>
        <w:t>ов оценщика «Укрупненные показатели стоимости строительства» для условий строительства в Московской области, Россия, - М.: ООО «КО-ИНВЕСТ», 2018 г.</w:t>
      </w:r>
    </w:p>
    <w:p w14:paraId="055299DF" w14:textId="25815D34" w:rsidR="00552994" w:rsidRDefault="00552994" w:rsidP="00B30C57">
      <w:pPr>
        <w:pStyle w:val="ae"/>
        <w:tabs>
          <w:tab w:val="left" w:pos="0"/>
        </w:tabs>
        <w:ind w:firstLine="709"/>
        <w:rPr>
          <w:rFonts w:ascii="Times New Roman" w:hAnsi="Times New Roman"/>
          <w:sz w:val="24"/>
          <w:szCs w:val="24"/>
        </w:rPr>
      </w:pPr>
      <w:r w:rsidRPr="00552994">
        <w:rPr>
          <w:rFonts w:ascii="Times New Roman" w:hAnsi="Times New Roman"/>
          <w:b/>
          <w:sz w:val="24"/>
          <w:szCs w:val="24"/>
        </w:rPr>
        <w:t>КР</w:t>
      </w:r>
      <w:r w:rsidR="004C581F">
        <w:rPr>
          <w:rFonts w:ascii="Times New Roman" w:hAnsi="Times New Roman"/>
          <w:sz w:val="24"/>
          <w:szCs w:val="24"/>
        </w:rPr>
        <w:t xml:space="preserve"> – К</w:t>
      </w:r>
      <w:r>
        <w:rPr>
          <w:rFonts w:ascii="Times New Roman" w:hAnsi="Times New Roman"/>
          <w:sz w:val="24"/>
          <w:szCs w:val="24"/>
        </w:rPr>
        <w:t>адастровый район;</w:t>
      </w:r>
    </w:p>
    <w:p w14:paraId="3032BC65" w14:textId="242E0859" w:rsidR="008C2766" w:rsidRDefault="008C2766" w:rsidP="00B30C57">
      <w:pPr>
        <w:ind w:firstLine="709"/>
      </w:pPr>
      <w:r w:rsidRPr="00A83A04">
        <w:rPr>
          <w:rFonts w:eastAsia="Calibri" w:cs="Times New Roman"/>
          <w:b/>
          <w:szCs w:val="24"/>
        </w:rPr>
        <w:t xml:space="preserve">КС </w:t>
      </w:r>
      <w:r w:rsidRPr="008C2766">
        <w:t xml:space="preserve">– </w:t>
      </w:r>
      <w:r w:rsidR="004C581F">
        <w:t>К</w:t>
      </w:r>
      <w:r w:rsidRPr="008C2766">
        <w:t>адастровая стоимость;</w:t>
      </w:r>
    </w:p>
    <w:p w14:paraId="573A6B06" w14:textId="2EAFC5EE" w:rsidR="00322AE9" w:rsidRPr="00322AE9" w:rsidRDefault="00322AE9" w:rsidP="00B30C57">
      <w:pPr>
        <w:ind w:firstLine="709"/>
        <w:rPr>
          <w:rFonts w:eastAsia="Calibri" w:cs="Times New Roman"/>
          <w:szCs w:val="24"/>
        </w:rPr>
      </w:pPr>
      <w:r>
        <w:rPr>
          <w:rFonts w:eastAsia="Calibri" w:cs="Times New Roman"/>
          <w:b/>
          <w:szCs w:val="24"/>
        </w:rPr>
        <w:t xml:space="preserve">МКД – </w:t>
      </w:r>
      <w:r>
        <w:rPr>
          <w:rFonts w:eastAsia="Calibri" w:cs="Times New Roman"/>
          <w:szCs w:val="24"/>
        </w:rPr>
        <w:t>многоквартирный жилой дом</w:t>
      </w:r>
    </w:p>
    <w:p w14:paraId="29391EE7" w14:textId="751239A5" w:rsidR="008C2766" w:rsidRDefault="008C2766" w:rsidP="00B30C57">
      <w:pPr>
        <w:ind w:firstLine="709"/>
      </w:pPr>
      <w:r w:rsidRPr="00A83A04">
        <w:rPr>
          <w:rFonts w:eastAsia="Calibri" w:cs="Times New Roman"/>
          <w:b/>
          <w:szCs w:val="24"/>
        </w:rPr>
        <w:t xml:space="preserve">МО </w:t>
      </w:r>
      <w:r w:rsidR="004C581F">
        <w:t>– М</w:t>
      </w:r>
      <w:r w:rsidRPr="008C2766">
        <w:t>униципальное образование;</w:t>
      </w:r>
    </w:p>
    <w:p w14:paraId="4119ADF8" w14:textId="5E2E6E2E" w:rsidR="009F7235" w:rsidRDefault="009F7235" w:rsidP="00B30C57">
      <w:pPr>
        <w:ind w:firstLine="709"/>
      </w:pPr>
      <w:r w:rsidRPr="00C90F68">
        <w:rPr>
          <w:b/>
        </w:rPr>
        <w:t>МР</w:t>
      </w:r>
      <w:r>
        <w:t xml:space="preserve"> – Муниципальный район;</w:t>
      </w:r>
    </w:p>
    <w:p w14:paraId="0F6353F2" w14:textId="55BD83B6" w:rsidR="003C0D57" w:rsidRDefault="003C0D57" w:rsidP="00B30C57">
      <w:pPr>
        <w:ind w:firstLine="709"/>
      </w:pPr>
      <w:r w:rsidRPr="00893011">
        <w:rPr>
          <w:b/>
        </w:rPr>
        <w:t>Методически</w:t>
      </w:r>
      <w:r w:rsidR="00893011" w:rsidRPr="00893011">
        <w:rPr>
          <w:b/>
        </w:rPr>
        <w:t xml:space="preserve">е </w:t>
      </w:r>
      <w:r w:rsidRPr="00893011">
        <w:rPr>
          <w:b/>
        </w:rPr>
        <w:t>указания</w:t>
      </w:r>
      <w:r>
        <w:t xml:space="preserve"> - </w:t>
      </w:r>
      <w:r w:rsidRPr="00C41E2C">
        <w:rPr>
          <w:szCs w:val="24"/>
        </w:rPr>
        <w:t>Методически</w:t>
      </w:r>
      <w:r>
        <w:rPr>
          <w:szCs w:val="24"/>
        </w:rPr>
        <w:t>е</w:t>
      </w:r>
      <w:r w:rsidRPr="00C41E2C">
        <w:rPr>
          <w:szCs w:val="24"/>
        </w:rPr>
        <w:t xml:space="preserve"> указани</w:t>
      </w:r>
      <w:r>
        <w:rPr>
          <w:szCs w:val="24"/>
        </w:rPr>
        <w:t>я</w:t>
      </w:r>
      <w:r w:rsidRPr="00C41E2C">
        <w:rPr>
          <w:szCs w:val="24"/>
        </w:rPr>
        <w:t xml:space="preserve"> о государственной кадастровой оценке</w:t>
      </w:r>
      <w:r>
        <w:rPr>
          <w:szCs w:val="24"/>
        </w:rPr>
        <w:t xml:space="preserve">, утвержденные </w:t>
      </w:r>
      <w:r w:rsidRPr="00C41E2C">
        <w:rPr>
          <w:szCs w:val="24"/>
        </w:rPr>
        <w:t>Приказ</w:t>
      </w:r>
      <w:r w:rsidRPr="00877F8F">
        <w:rPr>
          <w:szCs w:val="24"/>
        </w:rPr>
        <w:t>ом</w:t>
      </w:r>
      <w:r w:rsidRPr="00C41E2C">
        <w:rPr>
          <w:szCs w:val="24"/>
        </w:rPr>
        <w:t xml:space="preserve"> Минэкономразвития России от </w:t>
      </w:r>
      <w:r w:rsidR="00B9723F">
        <w:rPr>
          <w:szCs w:val="24"/>
        </w:rPr>
        <w:t xml:space="preserve">12 мая 2017 года № 226 </w:t>
      </w:r>
      <w:r w:rsidR="00481D7D">
        <w:rPr>
          <w:szCs w:val="24"/>
        </w:rPr>
        <w:t>«</w:t>
      </w:r>
      <w:r w:rsidRPr="00C41E2C">
        <w:rPr>
          <w:szCs w:val="24"/>
        </w:rPr>
        <w:t xml:space="preserve">Об утверждении </w:t>
      </w:r>
      <w:bookmarkStart w:id="3" w:name="OLE_LINK37"/>
      <w:r w:rsidRPr="00C41E2C">
        <w:rPr>
          <w:szCs w:val="24"/>
        </w:rPr>
        <w:t>методических указаний о государственной кадастровой оценке</w:t>
      </w:r>
      <w:bookmarkEnd w:id="3"/>
      <w:r w:rsidR="00481D7D">
        <w:rPr>
          <w:szCs w:val="24"/>
        </w:rPr>
        <w:t>»</w:t>
      </w:r>
      <w:r>
        <w:rPr>
          <w:szCs w:val="24"/>
        </w:rPr>
        <w:t>.</w:t>
      </w:r>
    </w:p>
    <w:p w14:paraId="70981E16" w14:textId="4ADDA578" w:rsidR="008C2766" w:rsidRPr="008C2766" w:rsidRDefault="008C2766" w:rsidP="00B30C57">
      <w:pPr>
        <w:ind w:firstLine="709"/>
      </w:pPr>
      <w:r w:rsidRPr="00A83A04">
        <w:rPr>
          <w:rFonts w:eastAsia="Calibri" w:cs="Times New Roman"/>
          <w:b/>
          <w:szCs w:val="24"/>
        </w:rPr>
        <w:t>НП</w:t>
      </w:r>
      <w:r w:rsidR="004C581F">
        <w:t xml:space="preserve"> – Н</w:t>
      </w:r>
      <w:r w:rsidRPr="008C2766">
        <w:t>аселенный пункт;</w:t>
      </w:r>
    </w:p>
    <w:p w14:paraId="16C73485" w14:textId="2F83AB01" w:rsidR="008C2766" w:rsidRPr="008C2766" w:rsidRDefault="008C2766" w:rsidP="00B30C57">
      <w:pPr>
        <w:ind w:firstLine="709"/>
      </w:pPr>
      <w:r w:rsidRPr="00A83A04">
        <w:rPr>
          <w:rFonts w:eastAsia="Calibri" w:cs="Times New Roman"/>
          <w:b/>
          <w:szCs w:val="24"/>
        </w:rPr>
        <w:t>ОА</w:t>
      </w:r>
      <w:r w:rsidR="004C581F">
        <w:t xml:space="preserve"> – О</w:t>
      </w:r>
      <w:r w:rsidRPr="008C2766">
        <w:t>бъект–аналог;</w:t>
      </w:r>
    </w:p>
    <w:p w14:paraId="733695F9" w14:textId="77777777" w:rsidR="008C2766" w:rsidRDefault="008C2766" w:rsidP="00B30C57">
      <w:pPr>
        <w:ind w:firstLine="709"/>
      </w:pPr>
      <w:r w:rsidRPr="00A83A04">
        <w:rPr>
          <w:rFonts w:eastAsia="Calibri" w:cs="Times New Roman"/>
          <w:b/>
          <w:szCs w:val="24"/>
        </w:rPr>
        <w:t>ОКТМО</w:t>
      </w:r>
      <w:r w:rsidRPr="008C2766">
        <w:t xml:space="preserve"> – общероссийский классификатор территорий муниципальных образований;</w:t>
      </w:r>
    </w:p>
    <w:p w14:paraId="56F1AD45" w14:textId="21080BF6" w:rsidR="009F7235" w:rsidRPr="009F7235" w:rsidRDefault="009F7235" w:rsidP="00B30C57">
      <w:pPr>
        <w:pStyle w:val="ae"/>
        <w:tabs>
          <w:tab w:val="left" w:pos="0"/>
        </w:tabs>
        <w:ind w:firstLine="709"/>
        <w:rPr>
          <w:rFonts w:ascii="Times New Roman" w:hAnsi="Times New Roman"/>
          <w:sz w:val="24"/>
          <w:szCs w:val="24"/>
        </w:rPr>
      </w:pPr>
      <w:r>
        <w:rPr>
          <w:rFonts w:ascii="Times New Roman" w:hAnsi="Times New Roman"/>
          <w:b/>
          <w:sz w:val="24"/>
          <w:szCs w:val="24"/>
        </w:rPr>
        <w:t xml:space="preserve">ОКС </w:t>
      </w:r>
      <w:r>
        <w:rPr>
          <w:rFonts w:ascii="Times New Roman" w:hAnsi="Times New Roman"/>
          <w:sz w:val="24"/>
          <w:szCs w:val="24"/>
        </w:rPr>
        <w:t>– Объект капитального строительства</w:t>
      </w:r>
    </w:p>
    <w:p w14:paraId="1024727D" w14:textId="1EFC7A6F" w:rsidR="001F0E94" w:rsidRDefault="001F0E94" w:rsidP="00B30C57">
      <w:pPr>
        <w:pStyle w:val="ae"/>
        <w:tabs>
          <w:tab w:val="left" w:pos="0"/>
        </w:tabs>
        <w:ind w:firstLine="709"/>
        <w:rPr>
          <w:rFonts w:ascii="Times New Roman" w:hAnsi="Times New Roman"/>
          <w:sz w:val="24"/>
          <w:szCs w:val="24"/>
        </w:rPr>
      </w:pPr>
      <w:r w:rsidRPr="008606EA">
        <w:rPr>
          <w:rFonts w:ascii="Times New Roman" w:hAnsi="Times New Roman"/>
          <w:b/>
          <w:sz w:val="24"/>
          <w:szCs w:val="24"/>
        </w:rPr>
        <w:t xml:space="preserve">ОМС </w:t>
      </w:r>
      <w:r w:rsidRPr="008606EA">
        <w:rPr>
          <w:rFonts w:ascii="Times New Roman" w:hAnsi="Times New Roman"/>
          <w:sz w:val="24"/>
          <w:szCs w:val="24"/>
        </w:rPr>
        <w:t>– Органы местного самоуправления;</w:t>
      </w:r>
    </w:p>
    <w:p w14:paraId="6148D0CB" w14:textId="00D23E68" w:rsidR="008C2766" w:rsidRPr="008C2766" w:rsidRDefault="008C2766" w:rsidP="00B30C57">
      <w:pPr>
        <w:ind w:firstLine="709"/>
      </w:pPr>
      <w:r w:rsidRPr="00A83A04">
        <w:rPr>
          <w:rFonts w:eastAsia="Calibri" w:cs="Times New Roman"/>
          <w:b/>
          <w:szCs w:val="24"/>
        </w:rPr>
        <w:t>ОН</w:t>
      </w:r>
      <w:r w:rsidR="004C581F">
        <w:t xml:space="preserve"> – О</w:t>
      </w:r>
      <w:r w:rsidRPr="008C2766">
        <w:t>бъект недвижимости;</w:t>
      </w:r>
    </w:p>
    <w:p w14:paraId="711298F8" w14:textId="70C20755" w:rsidR="00322AE9" w:rsidRPr="00322AE9" w:rsidRDefault="00322AE9" w:rsidP="00B30C57">
      <w:pPr>
        <w:ind w:firstLine="709"/>
        <w:rPr>
          <w:rFonts w:eastAsia="Calibri" w:cs="Times New Roman"/>
          <w:szCs w:val="24"/>
        </w:rPr>
      </w:pPr>
      <w:r>
        <w:rPr>
          <w:rFonts w:eastAsia="Calibri" w:cs="Times New Roman"/>
          <w:b/>
          <w:szCs w:val="24"/>
        </w:rPr>
        <w:t xml:space="preserve">ОНС- </w:t>
      </w:r>
      <w:r>
        <w:rPr>
          <w:rFonts w:eastAsia="Calibri" w:cs="Times New Roman"/>
          <w:szCs w:val="24"/>
        </w:rPr>
        <w:t>Объект незавершенного строительства.</w:t>
      </w:r>
    </w:p>
    <w:p w14:paraId="417EDC1B" w14:textId="12E4DD83" w:rsidR="008C2766" w:rsidRDefault="003C0D57" w:rsidP="00B30C57">
      <w:pPr>
        <w:ind w:firstLine="709"/>
      </w:pPr>
      <w:r w:rsidRPr="00A83A04">
        <w:rPr>
          <w:rFonts w:eastAsia="Calibri" w:cs="Times New Roman"/>
          <w:b/>
          <w:szCs w:val="24"/>
        </w:rPr>
        <w:t xml:space="preserve">ОО </w:t>
      </w:r>
      <w:r>
        <w:t xml:space="preserve">– </w:t>
      </w:r>
      <w:r w:rsidR="004C581F">
        <w:t>О</w:t>
      </w:r>
      <w:r>
        <w:t>бъект недвижимости, в отношении которого определяется кадастровая стоимость (объект оценки)</w:t>
      </w:r>
      <w:r w:rsidR="008C2766" w:rsidRPr="008C2766">
        <w:t>;</w:t>
      </w:r>
    </w:p>
    <w:p w14:paraId="3ACEC1EA" w14:textId="2969E9A4" w:rsidR="008845D5" w:rsidRPr="008C2766" w:rsidRDefault="008845D5" w:rsidP="00B30C57">
      <w:pPr>
        <w:ind w:firstLine="709"/>
      </w:pPr>
      <w:r w:rsidRPr="00A83A04">
        <w:rPr>
          <w:rFonts w:eastAsia="Calibri" w:cs="Times New Roman"/>
          <w:b/>
          <w:szCs w:val="24"/>
        </w:rPr>
        <w:t>Перечень ОО</w:t>
      </w:r>
      <w:r>
        <w:t xml:space="preserve"> – </w:t>
      </w:r>
      <w:r w:rsidR="004C581F">
        <w:t>П</w:t>
      </w:r>
      <w:r>
        <w:t>еречень объектов недвижимости, подлежащих государственной кадастровой оценке;</w:t>
      </w:r>
    </w:p>
    <w:p w14:paraId="28F1FA23" w14:textId="4959A382" w:rsidR="008C2766" w:rsidRDefault="008C2766" w:rsidP="00B30C57">
      <w:pPr>
        <w:ind w:firstLine="709"/>
      </w:pPr>
      <w:r w:rsidRPr="00A83A04">
        <w:rPr>
          <w:rFonts w:eastAsia="Calibri" w:cs="Times New Roman"/>
          <w:b/>
          <w:szCs w:val="24"/>
        </w:rPr>
        <w:t xml:space="preserve">Росреестр </w:t>
      </w:r>
      <w:r w:rsidRPr="008C2766">
        <w:t>– Федеральная служба государственной регистрации, кадастра и картографии;</w:t>
      </w:r>
    </w:p>
    <w:p w14:paraId="677E3305" w14:textId="6ED77483" w:rsidR="00552994" w:rsidRPr="008C2766" w:rsidRDefault="00552994" w:rsidP="00B30C57">
      <w:pPr>
        <w:ind w:firstLine="709"/>
      </w:pPr>
      <w:r w:rsidRPr="00552994">
        <w:rPr>
          <w:b/>
        </w:rPr>
        <w:t xml:space="preserve">Район </w:t>
      </w:r>
      <w:r w:rsidR="004C581F">
        <w:t>– М</w:t>
      </w:r>
      <w:r>
        <w:t>униципальный район, городской округ;</w:t>
      </w:r>
    </w:p>
    <w:p w14:paraId="6615D92B" w14:textId="3A3E0CCA" w:rsidR="008C2766" w:rsidRDefault="008C2766" w:rsidP="00B30C57">
      <w:pPr>
        <w:ind w:firstLine="709"/>
      </w:pPr>
      <w:r w:rsidRPr="00A83A04">
        <w:rPr>
          <w:rFonts w:eastAsia="Calibri" w:cs="Times New Roman"/>
          <w:b/>
          <w:szCs w:val="24"/>
        </w:rPr>
        <w:t>РС –</w:t>
      </w:r>
      <w:r w:rsidR="004C581F">
        <w:t xml:space="preserve"> Р</w:t>
      </w:r>
      <w:r w:rsidRPr="008C2766">
        <w:t>ыночная стоимость;</w:t>
      </w:r>
    </w:p>
    <w:p w14:paraId="4C0A7A81" w14:textId="378B0BBD" w:rsidR="00CE1FFB" w:rsidRPr="008C2766" w:rsidRDefault="00CE1FFB" w:rsidP="00B30C57">
      <w:pPr>
        <w:ind w:firstLine="709"/>
      </w:pPr>
      <w:r w:rsidRPr="00CE1FFB">
        <w:rPr>
          <w:b/>
        </w:rPr>
        <w:t>РС(Я)</w:t>
      </w:r>
      <w:r w:rsidRPr="00CE1FFB">
        <w:t xml:space="preserve"> – Республика Саха (Якутия);</w:t>
      </w:r>
    </w:p>
    <w:p w14:paraId="6F393942" w14:textId="3E5B0F98" w:rsidR="008C2766" w:rsidRDefault="008C2766" w:rsidP="00B30C57">
      <w:pPr>
        <w:ind w:firstLine="709"/>
      </w:pPr>
      <w:r w:rsidRPr="00A83A04">
        <w:rPr>
          <w:rFonts w:eastAsia="Calibri" w:cs="Times New Roman"/>
          <w:b/>
          <w:szCs w:val="24"/>
        </w:rPr>
        <w:t>СРФ –</w:t>
      </w:r>
      <w:r w:rsidRPr="008C2766">
        <w:t xml:space="preserve"> </w:t>
      </w:r>
      <w:r w:rsidR="004C581F">
        <w:t>С</w:t>
      </w:r>
      <w:r w:rsidRPr="008C2766">
        <w:t>убъект Российской Федерации;</w:t>
      </w:r>
    </w:p>
    <w:p w14:paraId="71BB1167" w14:textId="2082B70F" w:rsidR="008C2766" w:rsidRDefault="008C2766" w:rsidP="00B30C57">
      <w:pPr>
        <w:ind w:firstLine="709"/>
      </w:pPr>
      <w:r w:rsidRPr="00A83A04">
        <w:rPr>
          <w:rFonts w:eastAsia="Calibri" w:cs="Times New Roman"/>
          <w:b/>
          <w:szCs w:val="24"/>
        </w:rPr>
        <w:t xml:space="preserve">УПКС </w:t>
      </w:r>
      <w:r w:rsidR="004C581F">
        <w:t>– У</w:t>
      </w:r>
      <w:r w:rsidRPr="008C2766">
        <w:t>дельный показатель кадастровой стоимости;</w:t>
      </w:r>
    </w:p>
    <w:p w14:paraId="3097A0E5" w14:textId="69A134CE" w:rsidR="008C2766" w:rsidRDefault="008C2766" w:rsidP="00B30C57">
      <w:pPr>
        <w:ind w:firstLine="709"/>
      </w:pPr>
      <w:r w:rsidRPr="00A83A04">
        <w:rPr>
          <w:rFonts w:eastAsia="Calibri" w:cs="Times New Roman"/>
          <w:b/>
          <w:szCs w:val="24"/>
        </w:rPr>
        <w:t xml:space="preserve">УПРС </w:t>
      </w:r>
      <w:r w:rsidR="004C581F">
        <w:t>– У</w:t>
      </w:r>
      <w:r>
        <w:t>дельный показатель рыночной стоимости;</w:t>
      </w:r>
    </w:p>
    <w:p w14:paraId="6873B4CD" w14:textId="4750268C" w:rsidR="009F7235" w:rsidRDefault="009F7235" w:rsidP="00B30C57">
      <w:pPr>
        <w:ind w:firstLine="709"/>
      </w:pPr>
      <w:r w:rsidRPr="009F7235">
        <w:rPr>
          <w:b/>
        </w:rPr>
        <w:t>УПСС</w:t>
      </w:r>
      <w:r>
        <w:rPr>
          <w:b/>
        </w:rPr>
        <w:t xml:space="preserve"> – </w:t>
      </w:r>
      <w:r w:rsidRPr="009F7235">
        <w:t>У</w:t>
      </w:r>
      <w:r>
        <w:t>крупненые показатели сметной стоимости;</w:t>
      </w:r>
    </w:p>
    <w:p w14:paraId="4404359A" w14:textId="77777777" w:rsidR="008C2766" w:rsidRDefault="008C2766" w:rsidP="00B30C57">
      <w:pPr>
        <w:ind w:firstLine="709"/>
      </w:pPr>
      <w:r w:rsidRPr="00A83A04">
        <w:rPr>
          <w:rFonts w:eastAsia="Calibri" w:cs="Times New Roman"/>
          <w:b/>
          <w:szCs w:val="24"/>
        </w:rPr>
        <w:t>ФД ГКО</w:t>
      </w:r>
      <w:r w:rsidRPr="008C2766">
        <w:t xml:space="preserve"> – Фонд данных государственной кадастровой оценки</w:t>
      </w:r>
      <w:r w:rsidR="003C0D57">
        <w:t>;</w:t>
      </w:r>
    </w:p>
    <w:p w14:paraId="70892890" w14:textId="73270137" w:rsidR="003C0D57" w:rsidRPr="003C0D57" w:rsidRDefault="003C0D57" w:rsidP="00B30C57">
      <w:pPr>
        <w:ind w:firstLine="709"/>
      </w:pPr>
      <w:bookmarkStart w:id="4" w:name="OLE_LINK225"/>
      <w:bookmarkStart w:id="5" w:name="OLE_LINK226"/>
      <w:bookmarkStart w:id="6" w:name="OLE_LINK227"/>
      <w:r w:rsidRPr="00A83A04">
        <w:rPr>
          <w:rFonts w:eastAsia="Calibri" w:cs="Times New Roman"/>
          <w:b/>
          <w:szCs w:val="24"/>
        </w:rPr>
        <w:t>Федеральный закон о ГКО</w:t>
      </w:r>
      <w:r w:rsidRPr="003C0D57">
        <w:t xml:space="preserve"> </w:t>
      </w:r>
      <w:bookmarkEnd w:id="4"/>
      <w:bookmarkEnd w:id="5"/>
      <w:bookmarkEnd w:id="6"/>
      <w:r w:rsidRPr="003C0D57">
        <w:t>- Федеральны</w:t>
      </w:r>
      <w:r>
        <w:t>й</w:t>
      </w:r>
      <w:r w:rsidRPr="003C0D57">
        <w:t xml:space="preserve"> закон от 03.07.2016 № 237-ФЗ </w:t>
      </w:r>
      <w:r w:rsidR="00481D7D">
        <w:t>«</w:t>
      </w:r>
      <w:r w:rsidRPr="003C0D57">
        <w:t>О</w:t>
      </w:r>
      <w:r w:rsidR="00C90F68">
        <w:t xml:space="preserve"> </w:t>
      </w:r>
      <w:r w:rsidRPr="003C0D57">
        <w:t>государственной кадастровой оценке</w:t>
      </w:r>
      <w:r w:rsidR="00481D7D">
        <w:t>»</w:t>
      </w:r>
      <w:r>
        <w:t>.</w:t>
      </w:r>
    </w:p>
    <w:p w14:paraId="58E6116D" w14:textId="3D1FBFAA" w:rsidR="002E05A4" w:rsidRDefault="008C2766" w:rsidP="009A757A">
      <w:pPr>
        <w:ind w:firstLine="709"/>
      </w:pPr>
      <w:r w:rsidRPr="00A83A04">
        <w:rPr>
          <w:rFonts w:eastAsia="Calibri" w:cs="Times New Roman"/>
          <w:b/>
          <w:szCs w:val="24"/>
        </w:rPr>
        <w:t xml:space="preserve">ЦФ </w:t>
      </w:r>
      <w:r w:rsidR="004C581F">
        <w:t>– Ц</w:t>
      </w:r>
      <w:r w:rsidR="00B30C57">
        <w:t>енообразующий фактор.</w:t>
      </w:r>
      <w:r w:rsidR="002E05A4">
        <w:br w:type="page"/>
      </w:r>
    </w:p>
    <w:p w14:paraId="0D3758D8" w14:textId="05C66649" w:rsidR="006629F8" w:rsidRPr="0027086D" w:rsidRDefault="00802495" w:rsidP="00FD2769">
      <w:pPr>
        <w:pStyle w:val="10"/>
      </w:pPr>
      <w:bookmarkStart w:id="7" w:name="_Toc14819086"/>
      <w:r w:rsidRPr="0027086D">
        <w:t>ВВОДНАЯ ГЛАВА</w:t>
      </w:r>
      <w:bookmarkEnd w:id="7"/>
    </w:p>
    <w:p w14:paraId="1F580C92" w14:textId="77777777" w:rsidR="002E05A4" w:rsidRPr="0027086D" w:rsidRDefault="002E05A4" w:rsidP="007D5A78">
      <w:pPr>
        <w:ind w:firstLine="709"/>
        <w:rPr>
          <w:rFonts w:cs="Times New Roman"/>
        </w:rPr>
      </w:pPr>
    </w:p>
    <w:p w14:paraId="0FE6F610" w14:textId="0B32E5C7" w:rsidR="006629F8" w:rsidRPr="001D07D3" w:rsidRDefault="006629F8" w:rsidP="00FD2769">
      <w:pPr>
        <w:pStyle w:val="10"/>
        <w:numPr>
          <w:ilvl w:val="1"/>
          <w:numId w:val="100"/>
        </w:numPr>
        <w:jc w:val="both"/>
      </w:pPr>
      <w:bookmarkStart w:id="8" w:name="_Toc14819087"/>
      <w:r w:rsidRPr="001D07D3">
        <w:t>Наименование субъекта Российской Федерации, на территории которого проводилась кадастровая оценка.</w:t>
      </w:r>
      <w:bookmarkEnd w:id="8"/>
    </w:p>
    <w:p w14:paraId="2A7A800E" w14:textId="33261216" w:rsidR="002E05A4" w:rsidRDefault="001442CE" w:rsidP="007D5A78">
      <w:pPr>
        <w:ind w:firstLine="709"/>
        <w:rPr>
          <w:rFonts w:cs="Times New Roman"/>
        </w:rPr>
      </w:pPr>
      <w:r>
        <w:rPr>
          <w:rFonts w:cs="Times New Roman"/>
        </w:rPr>
        <w:t xml:space="preserve">Субъект Российской Федерации - </w:t>
      </w:r>
      <w:r w:rsidRPr="0027086D">
        <w:rPr>
          <w:rFonts w:cs="Times New Roman"/>
        </w:rPr>
        <w:t>Республик</w:t>
      </w:r>
      <w:r>
        <w:rPr>
          <w:rFonts w:cs="Times New Roman"/>
        </w:rPr>
        <w:t>а</w:t>
      </w:r>
      <w:r w:rsidRPr="0027086D">
        <w:rPr>
          <w:rFonts w:cs="Times New Roman"/>
        </w:rPr>
        <w:t xml:space="preserve"> Саха (Якутия).</w:t>
      </w:r>
    </w:p>
    <w:p w14:paraId="56909CE0" w14:textId="77777777" w:rsidR="006E5252" w:rsidRDefault="006E5252" w:rsidP="007D5A78">
      <w:pPr>
        <w:ind w:firstLine="709"/>
        <w:rPr>
          <w:rFonts w:cs="Times New Roman"/>
        </w:rPr>
      </w:pPr>
    </w:p>
    <w:p w14:paraId="23A207C5" w14:textId="26C562E4" w:rsidR="006629F8" w:rsidRPr="0027086D" w:rsidRDefault="00CE1FFB" w:rsidP="00FD2769">
      <w:pPr>
        <w:pStyle w:val="10"/>
        <w:numPr>
          <w:ilvl w:val="1"/>
          <w:numId w:val="100"/>
        </w:numPr>
        <w:jc w:val="both"/>
      </w:pPr>
      <w:bookmarkStart w:id="9" w:name="_Toc14819088"/>
      <w:r w:rsidRPr="0027086D">
        <w:t>Реквизиты решения о проведении государственной кадастровой оценки, виды объектов недвижимости (или) категории земель, в отношении которых принято решение о проведении государственной кадастровой оценки</w:t>
      </w:r>
      <w:bookmarkEnd w:id="9"/>
    </w:p>
    <w:p w14:paraId="4D7647DE" w14:textId="77777777" w:rsidR="00CE1FFB" w:rsidRPr="0027086D" w:rsidRDefault="00CE1FFB" w:rsidP="007D5A78">
      <w:pPr>
        <w:ind w:firstLine="709"/>
        <w:rPr>
          <w:rFonts w:cs="Times New Roman"/>
        </w:rPr>
      </w:pPr>
      <w:r w:rsidRPr="0027086D">
        <w:rPr>
          <w:rFonts w:cs="Times New Roman"/>
        </w:rPr>
        <w:t>Согласно ст. 6. Федерального закона от 03.07.2016 № 237-ФЗ «О государственной кадастровой оценке» государственная кадастровая оценка проводится по решению исполнительного органа государственной власти субъекта Российской Федерации (далее – уполномоченный орган субъекта Российской Федерации). Уполномоченный орган субъекта Российской Федерации наделяет полномочиями, связанными с определением кадастровой стоимости, бюджетное учреждение, созданное субъектом Российской Федерации.</w:t>
      </w:r>
    </w:p>
    <w:p w14:paraId="4DAFDDE0" w14:textId="522E02AC" w:rsidR="00CE1FFB" w:rsidRPr="0027086D" w:rsidRDefault="00CE1FFB" w:rsidP="007D5A78">
      <w:pPr>
        <w:ind w:firstLine="709"/>
        <w:rPr>
          <w:rFonts w:cs="Times New Roman"/>
        </w:rPr>
      </w:pPr>
      <w:r w:rsidRPr="0027086D">
        <w:rPr>
          <w:rFonts w:cs="Times New Roman"/>
        </w:rPr>
        <w:t xml:space="preserve">Нормативным основанием выполнения работ по определению кадастровой стоимости </w:t>
      </w:r>
      <w:r w:rsidR="00B61870">
        <w:rPr>
          <w:rFonts w:cs="Times New Roman"/>
        </w:rPr>
        <w:t xml:space="preserve">объектов недвижимости за исключением </w:t>
      </w:r>
      <w:r w:rsidRPr="0027086D">
        <w:rPr>
          <w:rFonts w:cs="Times New Roman"/>
        </w:rPr>
        <w:t>земельных участков, расположенных на территории Республики Саха (Якутия), является:</w:t>
      </w:r>
    </w:p>
    <w:p w14:paraId="6EDFA620" w14:textId="0CCF60F8" w:rsidR="00CE1FFB" w:rsidRPr="0027086D" w:rsidRDefault="00CE1FFB" w:rsidP="00AC09DB">
      <w:pPr>
        <w:ind w:firstLine="709"/>
        <w:rPr>
          <w:rFonts w:cs="Times New Roman"/>
        </w:rPr>
      </w:pPr>
      <w:r w:rsidRPr="0027086D">
        <w:rPr>
          <w:rFonts w:cs="Times New Roman"/>
        </w:rPr>
        <w:t>1.</w:t>
      </w:r>
      <w:r w:rsidRPr="0027086D">
        <w:rPr>
          <w:rFonts w:cs="Times New Roman"/>
        </w:rPr>
        <w:tab/>
        <w:t>Распоряжение Правительств</w:t>
      </w:r>
      <w:r w:rsidR="00AC09DB">
        <w:rPr>
          <w:rFonts w:cs="Times New Roman"/>
        </w:rPr>
        <w:t>а Республики Саха (Якутия) от 10</w:t>
      </w:r>
      <w:r w:rsidRPr="0027086D">
        <w:rPr>
          <w:rFonts w:cs="Times New Roman"/>
        </w:rPr>
        <w:t>.</w:t>
      </w:r>
      <w:r w:rsidR="00AC09DB">
        <w:rPr>
          <w:rFonts w:cs="Times New Roman"/>
        </w:rPr>
        <w:t>04</w:t>
      </w:r>
      <w:r w:rsidRPr="0027086D">
        <w:rPr>
          <w:rFonts w:cs="Times New Roman"/>
        </w:rPr>
        <w:t>.201</w:t>
      </w:r>
      <w:r w:rsidR="00AC09DB">
        <w:rPr>
          <w:rFonts w:cs="Times New Roman"/>
        </w:rPr>
        <w:t>8</w:t>
      </w:r>
      <w:r w:rsidRPr="0027086D">
        <w:rPr>
          <w:rFonts w:cs="Times New Roman"/>
        </w:rPr>
        <w:t xml:space="preserve"> №</w:t>
      </w:r>
      <w:r w:rsidR="00AC09DB">
        <w:rPr>
          <w:rFonts w:cs="Times New Roman"/>
        </w:rPr>
        <w:t>400</w:t>
      </w:r>
      <w:r w:rsidRPr="0027086D">
        <w:rPr>
          <w:rFonts w:cs="Times New Roman"/>
        </w:rPr>
        <w:t xml:space="preserve">-р </w:t>
      </w:r>
      <w:r w:rsidR="00AC09DB" w:rsidRPr="00AC09DB">
        <w:rPr>
          <w:rFonts w:cs="Times New Roman"/>
        </w:rPr>
        <w:t>«О проведении</w:t>
      </w:r>
      <w:r w:rsidR="00AC09DB">
        <w:rPr>
          <w:rFonts w:cs="Times New Roman"/>
        </w:rPr>
        <w:t xml:space="preserve"> </w:t>
      </w:r>
      <w:r w:rsidR="00AC09DB" w:rsidRPr="00AC09DB">
        <w:rPr>
          <w:rFonts w:cs="Times New Roman"/>
        </w:rPr>
        <w:t>государственной кадастровой оценки объектов капитального</w:t>
      </w:r>
      <w:r w:rsidR="00AC09DB">
        <w:rPr>
          <w:rFonts w:cs="Times New Roman"/>
        </w:rPr>
        <w:t xml:space="preserve"> </w:t>
      </w:r>
      <w:r w:rsidR="00AC09DB" w:rsidRPr="00AC09DB">
        <w:rPr>
          <w:rFonts w:cs="Times New Roman"/>
        </w:rPr>
        <w:t>строительства на территории Республики Саха (Якутия)»</w:t>
      </w:r>
      <w:r w:rsidRPr="0027086D">
        <w:rPr>
          <w:rFonts w:cs="Times New Roman"/>
        </w:rPr>
        <w:t>;</w:t>
      </w:r>
    </w:p>
    <w:p w14:paraId="71B37318" w14:textId="78834CE4" w:rsidR="00CE1FFB" w:rsidRDefault="00CE1FFB" w:rsidP="007D5A78">
      <w:pPr>
        <w:ind w:firstLine="709"/>
        <w:rPr>
          <w:rFonts w:cs="Times New Roman"/>
        </w:rPr>
      </w:pPr>
      <w:r w:rsidRPr="0027086D">
        <w:rPr>
          <w:rFonts w:cs="Times New Roman"/>
        </w:rPr>
        <w:t>2.</w:t>
      </w:r>
      <w:r w:rsidRPr="0027086D">
        <w:rPr>
          <w:rFonts w:cs="Times New Roman"/>
        </w:rPr>
        <w:tab/>
        <w:t xml:space="preserve">Распоряжение Правительства Республики Саха (Якутия) от </w:t>
      </w:r>
      <w:r w:rsidR="00AC09DB">
        <w:rPr>
          <w:rFonts w:cs="Times New Roman"/>
        </w:rPr>
        <w:t>18</w:t>
      </w:r>
      <w:r w:rsidRPr="0027086D">
        <w:rPr>
          <w:rFonts w:cs="Times New Roman"/>
        </w:rPr>
        <w:t>.0</w:t>
      </w:r>
      <w:r w:rsidR="00AC09DB">
        <w:rPr>
          <w:rFonts w:cs="Times New Roman"/>
        </w:rPr>
        <w:t>2</w:t>
      </w:r>
      <w:r w:rsidRPr="0027086D">
        <w:rPr>
          <w:rFonts w:cs="Times New Roman"/>
        </w:rPr>
        <w:t>.201</w:t>
      </w:r>
      <w:r w:rsidR="00AC09DB">
        <w:rPr>
          <w:rFonts w:cs="Times New Roman"/>
        </w:rPr>
        <w:t>9</w:t>
      </w:r>
      <w:r w:rsidRPr="0027086D">
        <w:rPr>
          <w:rFonts w:cs="Times New Roman"/>
        </w:rPr>
        <w:t xml:space="preserve"> №</w:t>
      </w:r>
      <w:r w:rsidR="00AC09DB">
        <w:rPr>
          <w:rFonts w:cs="Times New Roman"/>
        </w:rPr>
        <w:t>153</w:t>
      </w:r>
      <w:r w:rsidRPr="0027086D">
        <w:rPr>
          <w:rFonts w:cs="Times New Roman"/>
        </w:rPr>
        <w:t xml:space="preserve">-р «О внесении изменений в распоряжение Правительства Республики Саха (Якутия) от </w:t>
      </w:r>
      <w:r w:rsidR="00AC09DB">
        <w:rPr>
          <w:rFonts w:cs="Times New Roman"/>
        </w:rPr>
        <w:t>10</w:t>
      </w:r>
      <w:r w:rsidR="00AC09DB" w:rsidRPr="0027086D">
        <w:rPr>
          <w:rFonts w:cs="Times New Roman"/>
        </w:rPr>
        <w:t>.</w:t>
      </w:r>
      <w:r w:rsidR="00AC09DB">
        <w:rPr>
          <w:rFonts w:cs="Times New Roman"/>
        </w:rPr>
        <w:t>04</w:t>
      </w:r>
      <w:r w:rsidR="00AC09DB" w:rsidRPr="0027086D">
        <w:rPr>
          <w:rFonts w:cs="Times New Roman"/>
        </w:rPr>
        <w:t>.201</w:t>
      </w:r>
      <w:r w:rsidR="00AC09DB">
        <w:rPr>
          <w:rFonts w:cs="Times New Roman"/>
        </w:rPr>
        <w:t>8</w:t>
      </w:r>
      <w:r w:rsidR="00AC09DB" w:rsidRPr="0027086D">
        <w:rPr>
          <w:rFonts w:cs="Times New Roman"/>
        </w:rPr>
        <w:t xml:space="preserve"> №</w:t>
      </w:r>
      <w:r w:rsidR="00AC09DB">
        <w:rPr>
          <w:rFonts w:cs="Times New Roman"/>
        </w:rPr>
        <w:t>400</w:t>
      </w:r>
      <w:r w:rsidR="00AC09DB" w:rsidRPr="0027086D">
        <w:rPr>
          <w:rFonts w:cs="Times New Roman"/>
        </w:rPr>
        <w:t xml:space="preserve">-р </w:t>
      </w:r>
      <w:r w:rsidR="00AC09DB" w:rsidRPr="00AC09DB">
        <w:rPr>
          <w:rFonts w:cs="Times New Roman"/>
        </w:rPr>
        <w:t>«О проведении</w:t>
      </w:r>
      <w:r w:rsidR="00AC09DB">
        <w:rPr>
          <w:rFonts w:cs="Times New Roman"/>
        </w:rPr>
        <w:t xml:space="preserve"> </w:t>
      </w:r>
      <w:r w:rsidR="00AC09DB" w:rsidRPr="00AC09DB">
        <w:rPr>
          <w:rFonts w:cs="Times New Roman"/>
        </w:rPr>
        <w:t>государственной кадастровой оценки объектов капитального</w:t>
      </w:r>
      <w:r w:rsidR="00AC09DB">
        <w:rPr>
          <w:rFonts w:cs="Times New Roman"/>
        </w:rPr>
        <w:t xml:space="preserve"> </w:t>
      </w:r>
      <w:r w:rsidR="00AC09DB" w:rsidRPr="00AC09DB">
        <w:rPr>
          <w:rFonts w:cs="Times New Roman"/>
        </w:rPr>
        <w:t>строительства на территории Республики Саха (Якутия)»</w:t>
      </w:r>
      <w:r w:rsidRPr="0027086D">
        <w:rPr>
          <w:rFonts w:cs="Times New Roman"/>
        </w:rPr>
        <w:t>.</w:t>
      </w:r>
    </w:p>
    <w:p w14:paraId="6029C3E2" w14:textId="133E077D" w:rsidR="001442CE" w:rsidRPr="0027086D" w:rsidRDefault="001442CE" w:rsidP="007D5A78">
      <w:pPr>
        <w:ind w:firstLine="709"/>
        <w:rPr>
          <w:rFonts w:cs="Times New Roman"/>
        </w:rPr>
      </w:pPr>
      <w:r>
        <w:rPr>
          <w:rFonts w:cs="Times New Roman"/>
        </w:rPr>
        <w:t xml:space="preserve">Сканированные копии документов приведены в Приложении </w:t>
      </w:r>
      <w:r w:rsidR="00A21E6D">
        <w:rPr>
          <w:rFonts w:cs="Times New Roman"/>
        </w:rPr>
        <w:t xml:space="preserve">к </w:t>
      </w:r>
      <w:r w:rsidR="00B652C0">
        <w:rPr>
          <w:rFonts w:cs="Times New Roman"/>
        </w:rPr>
        <w:t xml:space="preserve">Отчету </w:t>
      </w:r>
      <w:r w:rsidR="00A21E6D">
        <w:rPr>
          <w:rFonts w:cs="Times New Roman"/>
        </w:rPr>
        <w:t>№</w:t>
      </w:r>
      <w:r>
        <w:rPr>
          <w:rFonts w:cs="Times New Roman"/>
        </w:rPr>
        <w:t xml:space="preserve">1.1. </w:t>
      </w:r>
    </w:p>
    <w:p w14:paraId="118617D5" w14:textId="5D8CB8DF" w:rsidR="006629F8" w:rsidRPr="0027086D" w:rsidRDefault="006629F8" w:rsidP="00FD2769">
      <w:pPr>
        <w:pStyle w:val="10"/>
        <w:numPr>
          <w:ilvl w:val="1"/>
          <w:numId w:val="100"/>
        </w:numPr>
        <w:jc w:val="both"/>
      </w:pPr>
      <w:bookmarkStart w:id="10" w:name="_Toc14819089"/>
      <w:r w:rsidRPr="0027086D">
        <w:t>Реквизиты Отчета</w:t>
      </w:r>
      <w:bookmarkEnd w:id="10"/>
    </w:p>
    <w:p w14:paraId="2CCBA42C" w14:textId="787F3772" w:rsidR="00CE1FFB" w:rsidRDefault="00CE1FFB" w:rsidP="007D5A78">
      <w:pPr>
        <w:pStyle w:val="ae"/>
        <w:ind w:firstLine="709"/>
        <w:rPr>
          <w:rFonts w:ascii="Times New Roman" w:hAnsi="Times New Roman"/>
          <w:sz w:val="24"/>
          <w:szCs w:val="24"/>
        </w:rPr>
      </w:pPr>
      <w:r w:rsidRPr="0027086D">
        <w:rPr>
          <w:rFonts w:ascii="Times New Roman" w:hAnsi="Times New Roman"/>
          <w:sz w:val="24"/>
          <w:szCs w:val="24"/>
        </w:rPr>
        <w:t>Наименование</w:t>
      </w:r>
      <w:r w:rsidR="001442CE">
        <w:rPr>
          <w:rFonts w:ascii="Times New Roman" w:hAnsi="Times New Roman"/>
          <w:sz w:val="24"/>
          <w:szCs w:val="24"/>
        </w:rPr>
        <w:t>:</w:t>
      </w:r>
      <w:r w:rsidRPr="0027086D">
        <w:rPr>
          <w:rFonts w:ascii="Times New Roman" w:hAnsi="Times New Roman"/>
          <w:sz w:val="24"/>
          <w:szCs w:val="24"/>
        </w:rPr>
        <w:t xml:space="preserve"> </w:t>
      </w:r>
      <w:r w:rsidR="00B652C0">
        <w:rPr>
          <w:rFonts w:ascii="Times New Roman" w:hAnsi="Times New Roman"/>
          <w:sz w:val="24"/>
          <w:szCs w:val="24"/>
        </w:rPr>
        <w:t>Отчет</w:t>
      </w:r>
      <w:r w:rsidRPr="0027086D">
        <w:rPr>
          <w:rFonts w:ascii="Times New Roman" w:hAnsi="Times New Roman"/>
          <w:sz w:val="24"/>
          <w:szCs w:val="24"/>
        </w:rPr>
        <w:t xml:space="preserve"> </w:t>
      </w:r>
      <w:r w:rsidR="00B139F0" w:rsidRPr="0027086D">
        <w:rPr>
          <w:rFonts w:ascii="Times New Roman" w:hAnsi="Times New Roman"/>
          <w:sz w:val="24"/>
          <w:szCs w:val="24"/>
        </w:rPr>
        <w:t>№</w:t>
      </w:r>
      <w:r w:rsidR="00B139F0">
        <w:rPr>
          <w:rFonts w:ascii="Times New Roman" w:hAnsi="Times New Roman"/>
          <w:sz w:val="24"/>
          <w:szCs w:val="24"/>
        </w:rPr>
        <w:t>3</w:t>
      </w:r>
      <w:r w:rsidR="00B139F0" w:rsidRPr="0027086D">
        <w:rPr>
          <w:rFonts w:ascii="Times New Roman" w:hAnsi="Times New Roman"/>
          <w:sz w:val="24"/>
          <w:szCs w:val="24"/>
        </w:rPr>
        <w:t>-2019</w:t>
      </w:r>
      <w:r w:rsidR="00B139F0">
        <w:rPr>
          <w:rFonts w:ascii="Times New Roman" w:hAnsi="Times New Roman"/>
          <w:sz w:val="24"/>
          <w:szCs w:val="24"/>
        </w:rPr>
        <w:t xml:space="preserve"> «О</w:t>
      </w:r>
      <w:r w:rsidR="00AC09DB" w:rsidRPr="00AC09DB">
        <w:rPr>
          <w:rFonts w:ascii="Times New Roman" w:hAnsi="Times New Roman"/>
          <w:sz w:val="24"/>
          <w:szCs w:val="24"/>
        </w:rPr>
        <w:t>б итогах государственной кадастровой оценки объектов недвижимости за исключением земельных участков</w:t>
      </w:r>
      <w:r w:rsidR="001442CE">
        <w:rPr>
          <w:rFonts w:ascii="Times New Roman" w:hAnsi="Times New Roman"/>
          <w:sz w:val="24"/>
          <w:szCs w:val="24"/>
        </w:rPr>
        <w:t xml:space="preserve"> на территории Республики Саха (Якутия)</w:t>
      </w:r>
      <w:r w:rsidR="00B139F0">
        <w:rPr>
          <w:rFonts w:ascii="Times New Roman" w:hAnsi="Times New Roman"/>
          <w:sz w:val="24"/>
          <w:szCs w:val="24"/>
        </w:rPr>
        <w:t>»</w:t>
      </w:r>
      <w:r w:rsidRPr="0027086D">
        <w:rPr>
          <w:rFonts w:ascii="Times New Roman" w:hAnsi="Times New Roman"/>
          <w:sz w:val="24"/>
          <w:szCs w:val="24"/>
        </w:rPr>
        <w:t>.</w:t>
      </w:r>
    </w:p>
    <w:p w14:paraId="4FD3CF26" w14:textId="25A7B7B8" w:rsidR="00E57EF5" w:rsidRPr="0027086D" w:rsidRDefault="00E57EF5" w:rsidP="00E57EF5">
      <w:pPr>
        <w:pStyle w:val="ae"/>
        <w:ind w:firstLine="709"/>
        <w:rPr>
          <w:rFonts w:ascii="Times New Roman" w:hAnsi="Times New Roman"/>
          <w:sz w:val="24"/>
          <w:szCs w:val="24"/>
        </w:rPr>
      </w:pPr>
      <w:r w:rsidRPr="0027086D">
        <w:rPr>
          <w:rFonts w:ascii="Times New Roman" w:hAnsi="Times New Roman"/>
          <w:sz w:val="24"/>
          <w:szCs w:val="24"/>
        </w:rPr>
        <w:t xml:space="preserve">Дата подписания (утверждения) Отчета об оценке: </w:t>
      </w:r>
      <w:r w:rsidR="00B652C0">
        <w:rPr>
          <w:rFonts w:ascii="Times New Roman" w:hAnsi="Times New Roman"/>
          <w:sz w:val="24"/>
          <w:szCs w:val="24"/>
        </w:rPr>
        <w:t>0</w:t>
      </w:r>
      <w:r w:rsidR="00990867">
        <w:rPr>
          <w:rFonts w:ascii="Times New Roman" w:hAnsi="Times New Roman"/>
          <w:sz w:val="24"/>
          <w:szCs w:val="24"/>
        </w:rPr>
        <w:t>7</w:t>
      </w:r>
      <w:r w:rsidR="00B652C0">
        <w:rPr>
          <w:rFonts w:ascii="Times New Roman" w:hAnsi="Times New Roman"/>
          <w:sz w:val="24"/>
          <w:szCs w:val="24"/>
        </w:rPr>
        <w:t>.10</w:t>
      </w:r>
      <w:r w:rsidRPr="00A60196">
        <w:rPr>
          <w:rFonts w:ascii="Times New Roman" w:hAnsi="Times New Roman"/>
          <w:sz w:val="24"/>
          <w:szCs w:val="24"/>
        </w:rPr>
        <w:t>.</w:t>
      </w:r>
      <w:r w:rsidRPr="0027086D">
        <w:rPr>
          <w:rFonts w:ascii="Times New Roman" w:hAnsi="Times New Roman"/>
          <w:sz w:val="24"/>
          <w:szCs w:val="24"/>
        </w:rPr>
        <w:t>2019 г.</w:t>
      </w:r>
    </w:p>
    <w:p w14:paraId="0316C4F9" w14:textId="54F17ED6" w:rsidR="006629F8" w:rsidRPr="0027086D" w:rsidRDefault="006629F8" w:rsidP="00FD2769">
      <w:pPr>
        <w:pStyle w:val="10"/>
        <w:numPr>
          <w:ilvl w:val="1"/>
          <w:numId w:val="100"/>
        </w:numPr>
        <w:jc w:val="both"/>
      </w:pPr>
      <w:bookmarkStart w:id="11" w:name="_Toc14819090"/>
      <w:r w:rsidRPr="0027086D">
        <w:t>Дата, по состоянию на которую определена кадастровая стоимость объектов недвижимости</w:t>
      </w:r>
      <w:bookmarkEnd w:id="11"/>
    </w:p>
    <w:p w14:paraId="462B1F9F" w14:textId="5C734D52" w:rsidR="007F41CF" w:rsidRDefault="00CE1FFB" w:rsidP="007D5A78">
      <w:pPr>
        <w:tabs>
          <w:tab w:val="num" w:pos="851"/>
        </w:tabs>
        <w:ind w:firstLine="709"/>
        <w:rPr>
          <w:rStyle w:val="blk"/>
          <w:rFonts w:cs="Times New Roman"/>
        </w:rPr>
      </w:pPr>
      <w:r w:rsidRPr="0027086D">
        <w:rPr>
          <w:rStyle w:val="blk"/>
          <w:rFonts w:cs="Times New Roman"/>
        </w:rPr>
        <w:t xml:space="preserve">В соответствии с частью 4 статьи 14 Федерального Закона от 03.07.2016 г. №237-ФЗ, датой, по состоянию на которую осуществляется определение кадастровой стоимости при проведении государственной кадастровой оценки, является день, по состоянию на который сформирован Перечень. Перечень объектов оценки был сформирован </w:t>
      </w:r>
      <w:r w:rsidR="007F41CF">
        <w:rPr>
          <w:rStyle w:val="blk"/>
          <w:rFonts w:cs="Times New Roman"/>
        </w:rPr>
        <w:t xml:space="preserve">Росреестром </w:t>
      </w:r>
      <w:r w:rsidRPr="0027086D">
        <w:rPr>
          <w:rStyle w:val="blk"/>
          <w:rFonts w:cs="Times New Roman"/>
        </w:rPr>
        <w:t xml:space="preserve">по состоянию на </w:t>
      </w:r>
      <w:r w:rsidRPr="0018667B">
        <w:rPr>
          <w:rStyle w:val="blk"/>
          <w:rFonts w:cs="Times New Roman"/>
          <w:b/>
        </w:rPr>
        <w:t>01.01.2019 г.</w:t>
      </w:r>
    </w:p>
    <w:p w14:paraId="100293D6" w14:textId="77777777" w:rsidR="001D07D3" w:rsidRPr="00082274" w:rsidRDefault="001D07D3" w:rsidP="00082274"/>
    <w:p w14:paraId="65BA38EF" w14:textId="0B71CE9F" w:rsidR="006629F8" w:rsidRPr="0027086D" w:rsidRDefault="00802495" w:rsidP="00FD2769">
      <w:pPr>
        <w:pStyle w:val="10"/>
        <w:numPr>
          <w:ilvl w:val="1"/>
          <w:numId w:val="100"/>
        </w:numPr>
        <w:jc w:val="both"/>
      </w:pPr>
      <w:bookmarkStart w:id="12" w:name="_Toc14819091"/>
      <w:r w:rsidRPr="0027086D">
        <w:t>Перечень документов, которые использовались при определении кадастровой стоимости объектов недвижимости</w:t>
      </w:r>
      <w:r w:rsidR="00C41E2C" w:rsidRPr="0027086D">
        <w:t xml:space="preserve"> </w:t>
      </w:r>
      <w:r w:rsidR="00771513">
        <w:t>за исключением земельных участков.</w:t>
      </w:r>
      <w:bookmarkEnd w:id="12"/>
    </w:p>
    <w:p w14:paraId="5919745C" w14:textId="7EA4A6A7" w:rsidR="00AA4C25" w:rsidRDefault="00C41E2C" w:rsidP="007D5A78">
      <w:pPr>
        <w:tabs>
          <w:tab w:val="num" w:pos="851"/>
        </w:tabs>
        <w:ind w:firstLine="709"/>
        <w:rPr>
          <w:rStyle w:val="blk"/>
          <w:rFonts w:cs="Times New Roman"/>
        </w:rPr>
      </w:pPr>
      <w:bookmarkStart w:id="13" w:name="OLE_LINK9"/>
      <w:bookmarkStart w:id="14" w:name="OLE_LINK10"/>
      <w:r w:rsidRPr="0027086D">
        <w:rPr>
          <w:rStyle w:val="blk"/>
          <w:rFonts w:cs="Times New Roman"/>
        </w:rPr>
        <w:t xml:space="preserve">При определении кадастровой стоимости </w:t>
      </w:r>
      <w:r w:rsidR="00771513">
        <w:rPr>
          <w:rStyle w:val="blk"/>
          <w:rFonts w:cs="Times New Roman"/>
        </w:rPr>
        <w:t xml:space="preserve">объектов недвижимости за исключением </w:t>
      </w:r>
      <w:r w:rsidRPr="0027086D">
        <w:rPr>
          <w:rStyle w:val="blk"/>
          <w:rFonts w:cs="Times New Roman"/>
        </w:rPr>
        <w:t xml:space="preserve">земельных участков на территории </w:t>
      </w:r>
      <w:r w:rsidR="007F2ADE" w:rsidRPr="0027086D">
        <w:rPr>
          <w:rStyle w:val="blk"/>
          <w:rFonts w:cs="Times New Roman"/>
        </w:rPr>
        <w:t>Республики Саха (Якутия)</w:t>
      </w:r>
      <w:r w:rsidRPr="0027086D">
        <w:rPr>
          <w:rStyle w:val="blk"/>
          <w:rFonts w:cs="Times New Roman"/>
        </w:rPr>
        <w:t xml:space="preserve"> использовались следующие</w:t>
      </w:r>
      <w:r w:rsidR="00AA4C25" w:rsidRPr="0027086D">
        <w:rPr>
          <w:rStyle w:val="blk"/>
          <w:rFonts w:cs="Times New Roman"/>
        </w:rPr>
        <w:t xml:space="preserve"> документы:</w:t>
      </w:r>
    </w:p>
    <w:p w14:paraId="4091BFEB" w14:textId="74A5A4CF" w:rsidR="00C41E2C" w:rsidRPr="00BE670C" w:rsidRDefault="00AA4C25" w:rsidP="00FD2769">
      <w:pPr>
        <w:pStyle w:val="3"/>
        <w:rPr>
          <w:rStyle w:val="blk"/>
          <w:i/>
        </w:rPr>
      </w:pPr>
      <w:bookmarkStart w:id="15" w:name="_Toc14819092"/>
      <w:r w:rsidRPr="00BE670C">
        <w:rPr>
          <w:rStyle w:val="blk"/>
          <w:i/>
        </w:rPr>
        <w:t xml:space="preserve">Нормативные </w:t>
      </w:r>
      <w:r w:rsidR="00C41E2C" w:rsidRPr="00BE670C">
        <w:rPr>
          <w:rStyle w:val="blk"/>
          <w:i/>
        </w:rPr>
        <w:t>правовые акты, методические и нормативно-технические документы:</w:t>
      </w:r>
      <w:bookmarkEnd w:id="15"/>
    </w:p>
    <w:p w14:paraId="468E047E" w14:textId="77777777" w:rsidR="007F2ADE" w:rsidRPr="0027086D" w:rsidRDefault="00B30C57" w:rsidP="007D5A78">
      <w:pPr>
        <w:pStyle w:val="ae"/>
        <w:ind w:firstLine="709"/>
        <w:rPr>
          <w:rFonts w:ascii="Times New Roman" w:hAnsi="Times New Roman"/>
          <w:sz w:val="24"/>
          <w:szCs w:val="24"/>
        </w:rPr>
      </w:pPr>
      <w:r w:rsidRPr="0027086D">
        <w:rPr>
          <w:rFonts w:ascii="Times New Roman" w:hAnsi="Times New Roman"/>
          <w:sz w:val="24"/>
          <w:szCs w:val="24"/>
        </w:rPr>
        <w:t xml:space="preserve"> </w:t>
      </w:r>
      <w:r w:rsidR="007F2ADE" w:rsidRPr="0027086D">
        <w:rPr>
          <w:rFonts w:ascii="Times New Roman" w:hAnsi="Times New Roman"/>
          <w:sz w:val="24"/>
          <w:szCs w:val="24"/>
        </w:rPr>
        <w:t>•</w:t>
      </w:r>
      <w:r w:rsidR="007F2ADE" w:rsidRPr="0027086D">
        <w:rPr>
          <w:rFonts w:ascii="Times New Roman" w:hAnsi="Times New Roman"/>
          <w:sz w:val="24"/>
          <w:szCs w:val="24"/>
        </w:rPr>
        <w:tab/>
        <w:t>Конституция Российской Федерации;</w:t>
      </w:r>
    </w:p>
    <w:p w14:paraId="514F2BCA" w14:textId="77777777" w:rsidR="007F2ADE" w:rsidRPr="0027086D" w:rsidRDefault="007F2ADE" w:rsidP="007D5A78">
      <w:pPr>
        <w:pStyle w:val="ae"/>
        <w:ind w:firstLine="709"/>
        <w:rPr>
          <w:rFonts w:ascii="Times New Roman" w:hAnsi="Times New Roman"/>
          <w:sz w:val="24"/>
          <w:szCs w:val="24"/>
        </w:rPr>
      </w:pPr>
      <w:r w:rsidRPr="0027086D">
        <w:rPr>
          <w:rFonts w:ascii="Times New Roman" w:hAnsi="Times New Roman"/>
          <w:sz w:val="24"/>
          <w:szCs w:val="24"/>
        </w:rPr>
        <w:t>•</w:t>
      </w:r>
      <w:r w:rsidRPr="0027086D">
        <w:rPr>
          <w:rFonts w:ascii="Times New Roman" w:hAnsi="Times New Roman"/>
          <w:sz w:val="24"/>
          <w:szCs w:val="24"/>
        </w:rPr>
        <w:tab/>
        <w:t>Водный кодекс Российской Федерации;</w:t>
      </w:r>
    </w:p>
    <w:p w14:paraId="654FD24D" w14:textId="77777777" w:rsidR="007F2ADE" w:rsidRPr="0027086D" w:rsidRDefault="007F2ADE" w:rsidP="007D5A78">
      <w:pPr>
        <w:pStyle w:val="ae"/>
        <w:ind w:firstLine="709"/>
        <w:rPr>
          <w:rFonts w:ascii="Times New Roman" w:hAnsi="Times New Roman"/>
          <w:sz w:val="24"/>
          <w:szCs w:val="24"/>
        </w:rPr>
      </w:pPr>
      <w:r w:rsidRPr="0027086D">
        <w:rPr>
          <w:rFonts w:ascii="Times New Roman" w:hAnsi="Times New Roman"/>
          <w:sz w:val="24"/>
          <w:szCs w:val="24"/>
        </w:rPr>
        <w:t>•</w:t>
      </w:r>
      <w:r w:rsidRPr="0027086D">
        <w:rPr>
          <w:rFonts w:ascii="Times New Roman" w:hAnsi="Times New Roman"/>
          <w:sz w:val="24"/>
          <w:szCs w:val="24"/>
        </w:rPr>
        <w:tab/>
        <w:t>Градостроительный кодекс Российской Федерации;</w:t>
      </w:r>
    </w:p>
    <w:p w14:paraId="4243BFB8" w14:textId="77777777" w:rsidR="007F2ADE" w:rsidRPr="0027086D" w:rsidRDefault="007F2ADE" w:rsidP="007D5A78">
      <w:pPr>
        <w:pStyle w:val="ae"/>
        <w:ind w:firstLine="709"/>
        <w:rPr>
          <w:rFonts w:ascii="Times New Roman" w:hAnsi="Times New Roman"/>
          <w:sz w:val="24"/>
          <w:szCs w:val="24"/>
        </w:rPr>
      </w:pPr>
      <w:r w:rsidRPr="0027086D">
        <w:rPr>
          <w:rFonts w:ascii="Times New Roman" w:hAnsi="Times New Roman"/>
          <w:sz w:val="24"/>
          <w:szCs w:val="24"/>
        </w:rPr>
        <w:t>•</w:t>
      </w:r>
      <w:r w:rsidRPr="0027086D">
        <w:rPr>
          <w:rFonts w:ascii="Times New Roman" w:hAnsi="Times New Roman"/>
          <w:sz w:val="24"/>
          <w:szCs w:val="24"/>
        </w:rPr>
        <w:tab/>
        <w:t>Гражданский кодекс Российской Федерации;</w:t>
      </w:r>
    </w:p>
    <w:p w14:paraId="3C1ED753" w14:textId="77777777" w:rsidR="007F2ADE" w:rsidRPr="0027086D" w:rsidRDefault="007F2ADE" w:rsidP="007D5A78">
      <w:pPr>
        <w:pStyle w:val="ae"/>
        <w:ind w:firstLine="709"/>
        <w:rPr>
          <w:rFonts w:ascii="Times New Roman" w:hAnsi="Times New Roman"/>
          <w:sz w:val="24"/>
          <w:szCs w:val="24"/>
        </w:rPr>
      </w:pPr>
      <w:r w:rsidRPr="0027086D">
        <w:rPr>
          <w:rFonts w:ascii="Times New Roman" w:hAnsi="Times New Roman"/>
          <w:sz w:val="24"/>
          <w:szCs w:val="24"/>
        </w:rPr>
        <w:t>•</w:t>
      </w:r>
      <w:r w:rsidRPr="0027086D">
        <w:rPr>
          <w:rFonts w:ascii="Times New Roman" w:hAnsi="Times New Roman"/>
          <w:sz w:val="24"/>
          <w:szCs w:val="24"/>
        </w:rPr>
        <w:tab/>
        <w:t>Жилищный кодекс Российской Федерации;</w:t>
      </w:r>
    </w:p>
    <w:p w14:paraId="0637710F" w14:textId="77777777" w:rsidR="007F2ADE" w:rsidRPr="0027086D" w:rsidRDefault="007F2ADE" w:rsidP="007D5A78">
      <w:pPr>
        <w:pStyle w:val="ae"/>
        <w:ind w:firstLine="709"/>
        <w:rPr>
          <w:rFonts w:ascii="Times New Roman" w:hAnsi="Times New Roman"/>
          <w:sz w:val="24"/>
          <w:szCs w:val="24"/>
        </w:rPr>
      </w:pPr>
      <w:r w:rsidRPr="0027086D">
        <w:rPr>
          <w:rFonts w:ascii="Times New Roman" w:hAnsi="Times New Roman"/>
          <w:sz w:val="24"/>
          <w:szCs w:val="24"/>
        </w:rPr>
        <w:t>•</w:t>
      </w:r>
      <w:r w:rsidRPr="0027086D">
        <w:rPr>
          <w:rFonts w:ascii="Times New Roman" w:hAnsi="Times New Roman"/>
          <w:sz w:val="24"/>
          <w:szCs w:val="24"/>
        </w:rPr>
        <w:tab/>
        <w:t>Земельный кодекс Российской Федерации;</w:t>
      </w:r>
    </w:p>
    <w:p w14:paraId="17F90120" w14:textId="77777777" w:rsidR="007F2ADE" w:rsidRPr="0027086D" w:rsidRDefault="007F2ADE" w:rsidP="007D5A78">
      <w:pPr>
        <w:pStyle w:val="ae"/>
        <w:ind w:firstLine="709"/>
        <w:rPr>
          <w:rFonts w:ascii="Times New Roman" w:hAnsi="Times New Roman"/>
          <w:sz w:val="24"/>
          <w:szCs w:val="24"/>
        </w:rPr>
      </w:pPr>
      <w:r w:rsidRPr="0027086D">
        <w:rPr>
          <w:rFonts w:ascii="Times New Roman" w:hAnsi="Times New Roman"/>
          <w:sz w:val="24"/>
          <w:szCs w:val="24"/>
        </w:rPr>
        <w:t>•</w:t>
      </w:r>
      <w:r w:rsidRPr="0027086D">
        <w:rPr>
          <w:rFonts w:ascii="Times New Roman" w:hAnsi="Times New Roman"/>
          <w:sz w:val="24"/>
          <w:szCs w:val="24"/>
        </w:rPr>
        <w:tab/>
        <w:t>Налоговый кодекс Российской Федерации;</w:t>
      </w:r>
    </w:p>
    <w:p w14:paraId="46ACF6B3" w14:textId="77777777" w:rsidR="007F2ADE" w:rsidRPr="0027086D" w:rsidRDefault="007F2ADE" w:rsidP="007D5A78">
      <w:pPr>
        <w:pStyle w:val="ae"/>
        <w:ind w:firstLine="709"/>
        <w:rPr>
          <w:rFonts w:ascii="Times New Roman" w:hAnsi="Times New Roman"/>
          <w:sz w:val="24"/>
          <w:szCs w:val="24"/>
        </w:rPr>
      </w:pPr>
      <w:r w:rsidRPr="0027086D">
        <w:rPr>
          <w:rFonts w:ascii="Times New Roman" w:hAnsi="Times New Roman"/>
          <w:sz w:val="24"/>
          <w:szCs w:val="24"/>
        </w:rPr>
        <w:t>•</w:t>
      </w:r>
      <w:r w:rsidRPr="0027086D">
        <w:rPr>
          <w:rFonts w:ascii="Times New Roman" w:hAnsi="Times New Roman"/>
          <w:sz w:val="24"/>
          <w:szCs w:val="24"/>
        </w:rPr>
        <w:tab/>
        <w:t>Федеральный закон от 03.07.2016 г. № 237-ФЗ «О государственной кадастровой оценке» (далее по тексту – ФЗ № 237-ФЗ);</w:t>
      </w:r>
    </w:p>
    <w:p w14:paraId="74811534" w14:textId="77777777" w:rsidR="007F2ADE" w:rsidRPr="0027086D" w:rsidRDefault="007F2ADE" w:rsidP="007D5A78">
      <w:pPr>
        <w:pStyle w:val="ae"/>
        <w:ind w:firstLine="709"/>
        <w:rPr>
          <w:rFonts w:ascii="Times New Roman" w:hAnsi="Times New Roman"/>
          <w:sz w:val="24"/>
          <w:szCs w:val="24"/>
        </w:rPr>
      </w:pPr>
      <w:r w:rsidRPr="0027086D">
        <w:rPr>
          <w:rFonts w:ascii="Times New Roman" w:hAnsi="Times New Roman"/>
          <w:sz w:val="24"/>
          <w:szCs w:val="24"/>
        </w:rPr>
        <w:t>•</w:t>
      </w:r>
      <w:r w:rsidRPr="0027086D">
        <w:rPr>
          <w:rFonts w:ascii="Times New Roman" w:hAnsi="Times New Roman"/>
          <w:sz w:val="24"/>
          <w:szCs w:val="24"/>
        </w:rPr>
        <w:tab/>
        <w:t>Приказ Министерства экономического развития РФ от 01.09.2014 г. № 540 «Об утверждении классификатора видов разрешенного использования земельных участков»;</w:t>
      </w:r>
    </w:p>
    <w:p w14:paraId="1717667A" w14:textId="77777777" w:rsidR="007F2ADE" w:rsidRPr="0027086D" w:rsidRDefault="007F2ADE" w:rsidP="007D5A78">
      <w:pPr>
        <w:pStyle w:val="ae"/>
        <w:ind w:firstLine="709"/>
        <w:rPr>
          <w:rFonts w:ascii="Times New Roman" w:hAnsi="Times New Roman"/>
          <w:sz w:val="24"/>
          <w:szCs w:val="24"/>
        </w:rPr>
      </w:pPr>
      <w:r w:rsidRPr="0027086D">
        <w:rPr>
          <w:rFonts w:ascii="Times New Roman" w:hAnsi="Times New Roman"/>
          <w:sz w:val="24"/>
          <w:szCs w:val="24"/>
        </w:rPr>
        <w:t>•</w:t>
      </w:r>
      <w:r w:rsidRPr="0027086D">
        <w:rPr>
          <w:rFonts w:ascii="Times New Roman" w:hAnsi="Times New Roman"/>
          <w:sz w:val="24"/>
          <w:szCs w:val="24"/>
        </w:rPr>
        <w:tab/>
        <w:t>Приказ Министерства экономического развития РФ от 27.12.2016 г. № 846 «Об утверждении Порядка рассмотрения декларации о характеристиках объекта недвижимости, в том числе ее формы»;</w:t>
      </w:r>
    </w:p>
    <w:p w14:paraId="77C31016" w14:textId="77777777" w:rsidR="007F2ADE" w:rsidRPr="0027086D" w:rsidRDefault="007F2ADE" w:rsidP="007D5A78">
      <w:pPr>
        <w:pStyle w:val="ae"/>
        <w:ind w:firstLine="709"/>
        <w:rPr>
          <w:rFonts w:ascii="Times New Roman" w:hAnsi="Times New Roman"/>
          <w:sz w:val="24"/>
          <w:szCs w:val="24"/>
        </w:rPr>
      </w:pPr>
      <w:r w:rsidRPr="0027086D">
        <w:rPr>
          <w:rFonts w:ascii="Times New Roman" w:hAnsi="Times New Roman"/>
          <w:sz w:val="24"/>
          <w:szCs w:val="24"/>
        </w:rPr>
        <w:t>•</w:t>
      </w:r>
      <w:r w:rsidRPr="0027086D">
        <w:rPr>
          <w:rFonts w:ascii="Times New Roman" w:hAnsi="Times New Roman"/>
          <w:sz w:val="24"/>
          <w:szCs w:val="24"/>
        </w:rPr>
        <w:tab/>
        <w:t>Приказ Министерства экономического развития РФ от 20.02.2017 г. № 74 «Об утверждении Порядка формирования и предоставления перечня объектов недвижимости, подлежащих государственной кадастровой оценке, в том числе количественные и качественные характеристики объектов недвижимости, подлежащие указанию в перечне объектов недвижимости, подлежащих государственной кадастровой оценке, требования к содержанию запроса о предоставлении перечня объектов недвижимости, подлежащих государственной кадастровой оценке»;</w:t>
      </w:r>
    </w:p>
    <w:p w14:paraId="114D1DEC" w14:textId="39500CC7" w:rsidR="007F2ADE" w:rsidRDefault="007F2ADE" w:rsidP="007D5A78">
      <w:pPr>
        <w:pStyle w:val="ae"/>
        <w:ind w:firstLine="709"/>
        <w:rPr>
          <w:rFonts w:ascii="Times New Roman" w:hAnsi="Times New Roman"/>
          <w:sz w:val="24"/>
          <w:szCs w:val="24"/>
        </w:rPr>
      </w:pPr>
      <w:r w:rsidRPr="0027086D">
        <w:rPr>
          <w:rFonts w:ascii="Times New Roman" w:hAnsi="Times New Roman"/>
          <w:sz w:val="24"/>
          <w:szCs w:val="24"/>
        </w:rPr>
        <w:t>•</w:t>
      </w:r>
      <w:r w:rsidRPr="0027086D">
        <w:rPr>
          <w:rFonts w:ascii="Times New Roman" w:hAnsi="Times New Roman"/>
          <w:sz w:val="24"/>
          <w:szCs w:val="24"/>
        </w:rPr>
        <w:tab/>
        <w:t>Приказ Министерства экономического развития РФ от 12.04.2017 г. № 177 «Об утверждении Перечня областей, в которых работники бюджетного учреждения, созданного субъектом Российской Федерации и наделенного полномочиями, связанными с определением кадастровой стоимости, привлекаемые к определению кадастровой стоимости, должны иметь высшее образование и (или) профессиональную переподготовку, и Порядка подтверждения соответствия требованиям, предъявляемым к работникам бюджетного учреждения, созданного субъектом Российской Федерации и наделенного полномочиями, связанными с определением кадастровой стоимости»;</w:t>
      </w:r>
    </w:p>
    <w:p w14:paraId="4F070AD4" w14:textId="4E50E385" w:rsidR="009B0DAB" w:rsidRPr="0027086D" w:rsidRDefault="009B0DAB" w:rsidP="009B0DAB">
      <w:pPr>
        <w:pStyle w:val="ae"/>
        <w:ind w:firstLine="709"/>
        <w:rPr>
          <w:rFonts w:ascii="Times New Roman" w:hAnsi="Times New Roman"/>
          <w:sz w:val="24"/>
          <w:szCs w:val="24"/>
        </w:rPr>
      </w:pPr>
      <w:r w:rsidRPr="00611AF9">
        <w:rPr>
          <w:rFonts w:ascii="Times New Roman" w:hAnsi="Times New Roman"/>
          <w:sz w:val="24"/>
          <w:szCs w:val="24"/>
        </w:rPr>
        <w:t>•</w:t>
      </w:r>
      <w:r w:rsidRPr="00611AF9">
        <w:rPr>
          <w:rFonts w:ascii="Times New Roman" w:hAnsi="Times New Roman"/>
          <w:sz w:val="24"/>
          <w:szCs w:val="24"/>
        </w:rPr>
        <w:tab/>
        <w:t>Приказ Министерства экономического развития РФ от 12.05.2017 г. № 226 «Об утверждении методических указаний о государственной кадастровой оценке»</w:t>
      </w:r>
    </w:p>
    <w:p w14:paraId="56819903" w14:textId="77777777" w:rsidR="007F2ADE" w:rsidRPr="0027086D" w:rsidRDefault="007F2ADE" w:rsidP="007D5A78">
      <w:pPr>
        <w:pStyle w:val="ae"/>
        <w:ind w:firstLine="709"/>
        <w:rPr>
          <w:rFonts w:ascii="Times New Roman" w:hAnsi="Times New Roman"/>
          <w:sz w:val="24"/>
          <w:szCs w:val="24"/>
        </w:rPr>
      </w:pPr>
      <w:r w:rsidRPr="0027086D">
        <w:rPr>
          <w:rFonts w:ascii="Times New Roman" w:hAnsi="Times New Roman"/>
          <w:sz w:val="24"/>
          <w:szCs w:val="24"/>
        </w:rPr>
        <w:t>•</w:t>
      </w:r>
      <w:r w:rsidRPr="0027086D">
        <w:rPr>
          <w:rFonts w:ascii="Times New Roman" w:hAnsi="Times New Roman"/>
          <w:sz w:val="24"/>
          <w:szCs w:val="24"/>
        </w:rPr>
        <w:tab/>
        <w:t>Приказ Министерства экономического развития РФ от 09.06.2017 г. № 284 «Об утверждении Требований к отчету об итогах государственной кадастровой оценки»;</w:t>
      </w:r>
    </w:p>
    <w:p w14:paraId="44D7DD5C" w14:textId="5D9AE163" w:rsidR="007F2ADE" w:rsidRPr="00771513" w:rsidRDefault="007F2ADE" w:rsidP="007D5A78">
      <w:pPr>
        <w:pStyle w:val="ae"/>
        <w:ind w:firstLine="709"/>
        <w:rPr>
          <w:rFonts w:ascii="Times New Roman" w:hAnsi="Times New Roman"/>
          <w:sz w:val="24"/>
          <w:szCs w:val="24"/>
        </w:rPr>
      </w:pPr>
      <w:r w:rsidRPr="0027086D">
        <w:rPr>
          <w:rFonts w:ascii="Times New Roman" w:hAnsi="Times New Roman"/>
          <w:sz w:val="24"/>
          <w:szCs w:val="24"/>
        </w:rPr>
        <w:t>•</w:t>
      </w:r>
      <w:r w:rsidRPr="0027086D">
        <w:rPr>
          <w:rFonts w:ascii="Times New Roman" w:hAnsi="Times New Roman"/>
          <w:sz w:val="24"/>
          <w:szCs w:val="24"/>
        </w:rPr>
        <w:tab/>
      </w:r>
      <w:r w:rsidR="00771513" w:rsidRPr="00771513">
        <w:rPr>
          <w:rFonts w:ascii="Times New Roman" w:hAnsi="Times New Roman"/>
          <w:sz w:val="24"/>
          <w:szCs w:val="24"/>
        </w:rPr>
        <w:t>Распоряжение Правительства Республики Саха (Якутия) от 10.04.2018 №400-р «О проведении государственной кадастровой оценки объектов капитального строительства на территории Республики Саха (Якутия)»;</w:t>
      </w:r>
    </w:p>
    <w:p w14:paraId="2853E106" w14:textId="5CE2F21F" w:rsidR="007F2ADE" w:rsidRPr="00771513" w:rsidRDefault="007F2ADE" w:rsidP="00771513">
      <w:pPr>
        <w:ind w:firstLine="709"/>
        <w:rPr>
          <w:rFonts w:cs="Times New Roman"/>
        </w:rPr>
      </w:pPr>
      <w:r w:rsidRPr="0027086D">
        <w:rPr>
          <w:szCs w:val="24"/>
        </w:rPr>
        <w:t>•</w:t>
      </w:r>
      <w:r w:rsidRPr="0027086D">
        <w:rPr>
          <w:szCs w:val="24"/>
        </w:rPr>
        <w:tab/>
      </w:r>
      <w:r w:rsidR="00771513" w:rsidRPr="0027086D">
        <w:rPr>
          <w:rFonts w:cs="Times New Roman"/>
        </w:rPr>
        <w:t xml:space="preserve">Распоряжение Правительства Республики Саха (Якутия) от </w:t>
      </w:r>
      <w:r w:rsidR="00771513">
        <w:rPr>
          <w:rFonts w:cs="Times New Roman"/>
        </w:rPr>
        <w:t>18</w:t>
      </w:r>
      <w:r w:rsidR="00771513" w:rsidRPr="0027086D">
        <w:rPr>
          <w:rFonts w:cs="Times New Roman"/>
        </w:rPr>
        <w:t>.0</w:t>
      </w:r>
      <w:r w:rsidR="00771513">
        <w:rPr>
          <w:rFonts w:cs="Times New Roman"/>
        </w:rPr>
        <w:t>2</w:t>
      </w:r>
      <w:r w:rsidR="00771513" w:rsidRPr="0027086D">
        <w:rPr>
          <w:rFonts w:cs="Times New Roman"/>
        </w:rPr>
        <w:t>.201</w:t>
      </w:r>
      <w:r w:rsidR="00771513">
        <w:rPr>
          <w:rFonts w:cs="Times New Roman"/>
        </w:rPr>
        <w:t>9</w:t>
      </w:r>
      <w:r w:rsidR="00771513" w:rsidRPr="0027086D">
        <w:rPr>
          <w:rFonts w:cs="Times New Roman"/>
        </w:rPr>
        <w:t xml:space="preserve"> №</w:t>
      </w:r>
      <w:r w:rsidR="00771513">
        <w:rPr>
          <w:rFonts w:cs="Times New Roman"/>
        </w:rPr>
        <w:t>153</w:t>
      </w:r>
      <w:r w:rsidR="00771513" w:rsidRPr="0027086D">
        <w:rPr>
          <w:rFonts w:cs="Times New Roman"/>
        </w:rPr>
        <w:t xml:space="preserve">-р «О внесении изменений в распоряжение Правительства Республики Саха (Якутия) от </w:t>
      </w:r>
      <w:r w:rsidR="00771513">
        <w:rPr>
          <w:rFonts w:cs="Times New Roman"/>
        </w:rPr>
        <w:t>10</w:t>
      </w:r>
      <w:r w:rsidR="00771513" w:rsidRPr="0027086D">
        <w:rPr>
          <w:rFonts w:cs="Times New Roman"/>
        </w:rPr>
        <w:t>.</w:t>
      </w:r>
      <w:r w:rsidR="00771513">
        <w:rPr>
          <w:rFonts w:cs="Times New Roman"/>
        </w:rPr>
        <w:t>04</w:t>
      </w:r>
      <w:r w:rsidR="00771513" w:rsidRPr="0027086D">
        <w:rPr>
          <w:rFonts w:cs="Times New Roman"/>
        </w:rPr>
        <w:t>.201</w:t>
      </w:r>
      <w:r w:rsidR="00771513">
        <w:rPr>
          <w:rFonts w:cs="Times New Roman"/>
        </w:rPr>
        <w:t>8</w:t>
      </w:r>
      <w:r w:rsidR="00771513" w:rsidRPr="0027086D">
        <w:rPr>
          <w:rFonts w:cs="Times New Roman"/>
        </w:rPr>
        <w:t xml:space="preserve"> №</w:t>
      </w:r>
      <w:r w:rsidR="00771513">
        <w:rPr>
          <w:rFonts w:cs="Times New Roman"/>
        </w:rPr>
        <w:t>400</w:t>
      </w:r>
      <w:r w:rsidR="00771513" w:rsidRPr="0027086D">
        <w:rPr>
          <w:rFonts w:cs="Times New Roman"/>
        </w:rPr>
        <w:t xml:space="preserve">-р </w:t>
      </w:r>
      <w:r w:rsidR="00771513" w:rsidRPr="00AC09DB">
        <w:rPr>
          <w:rFonts w:cs="Times New Roman"/>
        </w:rPr>
        <w:t>«О проведении</w:t>
      </w:r>
      <w:r w:rsidR="00771513">
        <w:rPr>
          <w:rFonts w:cs="Times New Roman"/>
        </w:rPr>
        <w:t xml:space="preserve"> </w:t>
      </w:r>
      <w:r w:rsidR="00771513" w:rsidRPr="00AC09DB">
        <w:rPr>
          <w:rFonts w:cs="Times New Roman"/>
        </w:rPr>
        <w:t>государственной кадастровой оценки объектов капитального</w:t>
      </w:r>
      <w:r w:rsidR="00771513">
        <w:rPr>
          <w:rFonts w:cs="Times New Roman"/>
        </w:rPr>
        <w:t xml:space="preserve"> </w:t>
      </w:r>
      <w:r w:rsidR="00771513" w:rsidRPr="00AC09DB">
        <w:rPr>
          <w:rFonts w:cs="Times New Roman"/>
        </w:rPr>
        <w:t>строительства на территории Республики Саха (Якутия)»</w:t>
      </w:r>
      <w:r w:rsidRPr="0027086D">
        <w:rPr>
          <w:szCs w:val="24"/>
        </w:rPr>
        <w:t>;</w:t>
      </w:r>
    </w:p>
    <w:p w14:paraId="2412443A" w14:textId="5FD8CFB8" w:rsidR="00082518" w:rsidRDefault="00082518" w:rsidP="007D5A78">
      <w:pPr>
        <w:pStyle w:val="ae"/>
        <w:ind w:firstLine="709"/>
        <w:rPr>
          <w:rFonts w:ascii="Times New Roman" w:hAnsi="Times New Roman"/>
          <w:sz w:val="24"/>
          <w:szCs w:val="24"/>
        </w:rPr>
      </w:pPr>
    </w:p>
    <w:p w14:paraId="1BA5AEBF" w14:textId="6734B614" w:rsidR="00697A20" w:rsidRDefault="00697A20" w:rsidP="007D5A78">
      <w:pPr>
        <w:pStyle w:val="ae"/>
        <w:ind w:firstLine="709"/>
        <w:rPr>
          <w:rFonts w:ascii="Times New Roman" w:hAnsi="Times New Roman"/>
          <w:sz w:val="24"/>
          <w:szCs w:val="24"/>
        </w:rPr>
      </w:pPr>
    </w:p>
    <w:p w14:paraId="6C3A1945" w14:textId="31F576CA" w:rsidR="00697A20" w:rsidRDefault="00697A20" w:rsidP="007D5A78">
      <w:pPr>
        <w:pStyle w:val="ae"/>
        <w:ind w:firstLine="709"/>
        <w:rPr>
          <w:rFonts w:ascii="Times New Roman" w:hAnsi="Times New Roman"/>
          <w:sz w:val="24"/>
          <w:szCs w:val="24"/>
        </w:rPr>
      </w:pPr>
    </w:p>
    <w:p w14:paraId="30DAE060" w14:textId="07333D91" w:rsidR="00A24B55" w:rsidRDefault="00A24B55" w:rsidP="007D5A78">
      <w:pPr>
        <w:pStyle w:val="ae"/>
        <w:ind w:firstLine="709"/>
        <w:rPr>
          <w:rFonts w:ascii="Times New Roman" w:hAnsi="Times New Roman"/>
          <w:sz w:val="24"/>
          <w:szCs w:val="24"/>
        </w:rPr>
      </w:pPr>
    </w:p>
    <w:p w14:paraId="53CD90EE" w14:textId="329371B0" w:rsidR="00A24B55" w:rsidRDefault="00A24B55" w:rsidP="007D5A78">
      <w:pPr>
        <w:pStyle w:val="ae"/>
        <w:ind w:firstLine="709"/>
        <w:rPr>
          <w:rFonts w:ascii="Times New Roman" w:hAnsi="Times New Roman"/>
          <w:sz w:val="24"/>
          <w:szCs w:val="24"/>
        </w:rPr>
      </w:pPr>
    </w:p>
    <w:p w14:paraId="5D7D41C1" w14:textId="0AEAA4BD" w:rsidR="00A24B55" w:rsidRDefault="00A24B55" w:rsidP="007D5A78">
      <w:pPr>
        <w:pStyle w:val="ae"/>
        <w:ind w:firstLine="709"/>
        <w:rPr>
          <w:rFonts w:ascii="Times New Roman" w:hAnsi="Times New Roman"/>
          <w:sz w:val="24"/>
          <w:szCs w:val="24"/>
        </w:rPr>
      </w:pPr>
    </w:p>
    <w:p w14:paraId="66BEAA3E" w14:textId="1517B0D2" w:rsidR="00A24B55" w:rsidRDefault="00A24B55" w:rsidP="007D5A78">
      <w:pPr>
        <w:pStyle w:val="ae"/>
        <w:ind w:firstLine="709"/>
        <w:rPr>
          <w:rFonts w:ascii="Times New Roman" w:hAnsi="Times New Roman"/>
          <w:sz w:val="24"/>
          <w:szCs w:val="24"/>
        </w:rPr>
      </w:pPr>
    </w:p>
    <w:p w14:paraId="48E7141F" w14:textId="5FB79F9E" w:rsidR="00A24B55" w:rsidRDefault="00A24B55" w:rsidP="007D5A78">
      <w:pPr>
        <w:pStyle w:val="ae"/>
        <w:ind w:firstLine="709"/>
        <w:rPr>
          <w:rFonts w:ascii="Times New Roman" w:hAnsi="Times New Roman"/>
          <w:sz w:val="24"/>
          <w:szCs w:val="24"/>
        </w:rPr>
      </w:pPr>
    </w:p>
    <w:p w14:paraId="22736BE2" w14:textId="2D5FC4F2" w:rsidR="00A24B55" w:rsidRDefault="00A24B55" w:rsidP="007D5A78">
      <w:pPr>
        <w:pStyle w:val="ae"/>
        <w:ind w:firstLine="709"/>
        <w:rPr>
          <w:rFonts w:ascii="Times New Roman" w:hAnsi="Times New Roman"/>
          <w:sz w:val="24"/>
          <w:szCs w:val="24"/>
        </w:rPr>
      </w:pPr>
    </w:p>
    <w:p w14:paraId="4E1338BA" w14:textId="57F5B01E" w:rsidR="00A24B55" w:rsidRDefault="00A24B55" w:rsidP="007D5A78">
      <w:pPr>
        <w:pStyle w:val="ae"/>
        <w:ind w:firstLine="709"/>
        <w:rPr>
          <w:rFonts w:ascii="Times New Roman" w:hAnsi="Times New Roman"/>
          <w:sz w:val="24"/>
          <w:szCs w:val="24"/>
        </w:rPr>
      </w:pPr>
    </w:p>
    <w:p w14:paraId="077244EB" w14:textId="2A8C26F6" w:rsidR="00A24B55" w:rsidRDefault="00A24B55" w:rsidP="007D5A78">
      <w:pPr>
        <w:pStyle w:val="ae"/>
        <w:ind w:firstLine="709"/>
        <w:rPr>
          <w:rFonts w:ascii="Times New Roman" w:hAnsi="Times New Roman"/>
          <w:sz w:val="24"/>
          <w:szCs w:val="24"/>
        </w:rPr>
      </w:pPr>
    </w:p>
    <w:p w14:paraId="5DBF72B3" w14:textId="77777777" w:rsidR="00A24B55" w:rsidRDefault="00A24B55" w:rsidP="007D5A78">
      <w:pPr>
        <w:pStyle w:val="ae"/>
        <w:ind w:firstLine="709"/>
        <w:rPr>
          <w:rFonts w:ascii="Times New Roman" w:hAnsi="Times New Roman"/>
          <w:sz w:val="24"/>
          <w:szCs w:val="24"/>
        </w:rPr>
      </w:pPr>
    </w:p>
    <w:p w14:paraId="3BA07589" w14:textId="587F3B49" w:rsidR="007F2ADE" w:rsidRPr="0027086D" w:rsidRDefault="007F2ADE" w:rsidP="007D5A78">
      <w:pPr>
        <w:pStyle w:val="ae"/>
        <w:ind w:firstLine="709"/>
        <w:rPr>
          <w:rFonts w:ascii="Times New Roman" w:hAnsi="Times New Roman"/>
          <w:sz w:val="24"/>
          <w:szCs w:val="24"/>
        </w:rPr>
      </w:pPr>
      <w:r w:rsidRPr="0027086D">
        <w:rPr>
          <w:rFonts w:ascii="Times New Roman" w:hAnsi="Times New Roman"/>
          <w:sz w:val="24"/>
          <w:szCs w:val="24"/>
        </w:rPr>
        <w:t>При определении кадастровой стоимости использовались:</w:t>
      </w:r>
    </w:p>
    <w:p w14:paraId="30ECC2B5" w14:textId="3803E73C" w:rsidR="002D429A" w:rsidRPr="00F91283" w:rsidRDefault="007F2ADE" w:rsidP="00D24868">
      <w:pPr>
        <w:pStyle w:val="ae"/>
        <w:numPr>
          <w:ilvl w:val="0"/>
          <w:numId w:val="93"/>
        </w:numPr>
        <w:ind w:left="0" w:firstLine="709"/>
        <w:rPr>
          <w:rFonts w:ascii="Times New Roman" w:hAnsi="Times New Roman"/>
          <w:sz w:val="24"/>
          <w:szCs w:val="24"/>
        </w:rPr>
      </w:pPr>
      <w:r w:rsidRPr="00F91283">
        <w:rPr>
          <w:rFonts w:ascii="Times New Roman" w:hAnsi="Times New Roman"/>
          <w:sz w:val="24"/>
          <w:szCs w:val="24"/>
        </w:rPr>
        <w:t>Справочник</w:t>
      </w:r>
      <w:r w:rsidR="002D429A" w:rsidRPr="00F91283">
        <w:rPr>
          <w:rFonts w:ascii="Times New Roman" w:hAnsi="Times New Roman"/>
          <w:sz w:val="24"/>
          <w:szCs w:val="24"/>
        </w:rPr>
        <w:t xml:space="preserve"> оценщика</w:t>
      </w:r>
      <w:r w:rsidRPr="00F91283">
        <w:rPr>
          <w:rFonts w:ascii="Times New Roman" w:hAnsi="Times New Roman"/>
          <w:sz w:val="24"/>
          <w:szCs w:val="24"/>
        </w:rPr>
        <w:t xml:space="preserve"> </w:t>
      </w:r>
      <w:r w:rsidR="002D429A" w:rsidRPr="00F91283">
        <w:rPr>
          <w:rFonts w:ascii="Times New Roman" w:hAnsi="Times New Roman"/>
          <w:sz w:val="24"/>
          <w:szCs w:val="24"/>
        </w:rPr>
        <w:t xml:space="preserve">«Жилые дома. Укрупненные показатели стоимости строительства. В уровне цен на 01.01.2018г., для условий строительства в Московской области», Россия, Серия «Справочник оценщика», -М.: ООО «КО-ИНВЕСТ», </w:t>
      </w:r>
      <w:r w:rsidR="00771513" w:rsidRPr="00F91283">
        <w:rPr>
          <w:rFonts w:ascii="Times New Roman" w:hAnsi="Times New Roman"/>
          <w:sz w:val="24"/>
          <w:szCs w:val="24"/>
        </w:rPr>
        <w:t xml:space="preserve">2018г. </w:t>
      </w:r>
    </w:p>
    <w:p w14:paraId="24B0C3C7" w14:textId="56B1A279" w:rsidR="002D429A" w:rsidRPr="00F91283" w:rsidRDefault="002D429A" w:rsidP="00D24868">
      <w:pPr>
        <w:pStyle w:val="ae"/>
        <w:numPr>
          <w:ilvl w:val="0"/>
          <w:numId w:val="93"/>
        </w:numPr>
        <w:ind w:left="0" w:firstLine="709"/>
        <w:rPr>
          <w:rFonts w:ascii="Times New Roman" w:hAnsi="Times New Roman"/>
          <w:sz w:val="24"/>
          <w:szCs w:val="24"/>
        </w:rPr>
      </w:pPr>
      <w:r w:rsidRPr="00F91283">
        <w:rPr>
          <w:rFonts w:ascii="Times New Roman" w:hAnsi="Times New Roman"/>
          <w:sz w:val="24"/>
          <w:szCs w:val="24"/>
        </w:rPr>
        <w:t>Справочник оценщика «</w:t>
      </w:r>
      <w:r w:rsidR="00F91283" w:rsidRPr="00F91283">
        <w:rPr>
          <w:rFonts w:ascii="Times New Roman" w:hAnsi="Times New Roman"/>
          <w:sz w:val="24"/>
          <w:szCs w:val="24"/>
        </w:rPr>
        <w:t>Общественные здания</w:t>
      </w:r>
      <w:r w:rsidRPr="00F91283">
        <w:rPr>
          <w:rFonts w:ascii="Times New Roman" w:hAnsi="Times New Roman"/>
          <w:sz w:val="24"/>
          <w:szCs w:val="24"/>
        </w:rPr>
        <w:t xml:space="preserve">. Укрупненные показатели стоимости строительства. В уровне цен на 01.01.2018г., для условий строительства в Московской области», Россия, Серия «Справочник оценщика», -М.: ООО «КО-ИНВЕСТ», 2018г. </w:t>
      </w:r>
    </w:p>
    <w:p w14:paraId="1F17A3DC" w14:textId="5EFD3767" w:rsidR="002D429A" w:rsidRPr="00F91283" w:rsidRDefault="002D429A" w:rsidP="00D24868">
      <w:pPr>
        <w:pStyle w:val="ae"/>
        <w:numPr>
          <w:ilvl w:val="0"/>
          <w:numId w:val="93"/>
        </w:numPr>
        <w:ind w:left="0" w:firstLine="709"/>
        <w:rPr>
          <w:rFonts w:ascii="Times New Roman" w:hAnsi="Times New Roman"/>
          <w:sz w:val="24"/>
          <w:szCs w:val="24"/>
        </w:rPr>
      </w:pPr>
      <w:r w:rsidRPr="00F91283">
        <w:rPr>
          <w:rFonts w:ascii="Times New Roman" w:hAnsi="Times New Roman"/>
          <w:sz w:val="24"/>
          <w:szCs w:val="24"/>
        </w:rPr>
        <w:t>Справочник оценщика «</w:t>
      </w:r>
      <w:r w:rsidR="00F91283" w:rsidRPr="00F91283">
        <w:rPr>
          <w:rFonts w:ascii="Times New Roman" w:hAnsi="Times New Roman"/>
          <w:sz w:val="24"/>
          <w:szCs w:val="24"/>
        </w:rPr>
        <w:t>Промышленные здания</w:t>
      </w:r>
      <w:r w:rsidRPr="00F91283">
        <w:rPr>
          <w:rFonts w:ascii="Times New Roman" w:hAnsi="Times New Roman"/>
          <w:sz w:val="24"/>
          <w:szCs w:val="24"/>
        </w:rPr>
        <w:t xml:space="preserve">. Укрупненные показатели стоимости строительства. В уровне цен на 01.01.2018г., для условий строительства в Московской области», Россия, Серия «Справочник оценщика», -М.: ООО «КО-ИНВЕСТ», 2018г. </w:t>
      </w:r>
    </w:p>
    <w:p w14:paraId="564584FE" w14:textId="054F8817" w:rsidR="002D429A" w:rsidRPr="00F91283" w:rsidRDefault="002D429A" w:rsidP="00D24868">
      <w:pPr>
        <w:pStyle w:val="ae"/>
        <w:numPr>
          <w:ilvl w:val="0"/>
          <w:numId w:val="93"/>
        </w:numPr>
        <w:ind w:left="0" w:firstLine="709"/>
        <w:rPr>
          <w:rFonts w:ascii="Times New Roman" w:hAnsi="Times New Roman"/>
          <w:sz w:val="24"/>
          <w:szCs w:val="24"/>
        </w:rPr>
      </w:pPr>
      <w:r w:rsidRPr="00F91283">
        <w:rPr>
          <w:rFonts w:ascii="Times New Roman" w:hAnsi="Times New Roman"/>
          <w:sz w:val="24"/>
          <w:szCs w:val="24"/>
        </w:rPr>
        <w:t>Справочник оценщика «</w:t>
      </w:r>
      <w:r w:rsidR="00F91283" w:rsidRPr="00F91283">
        <w:rPr>
          <w:rFonts w:ascii="Times New Roman" w:hAnsi="Times New Roman"/>
          <w:sz w:val="24"/>
          <w:szCs w:val="24"/>
        </w:rPr>
        <w:t>Промышленные сооружения</w:t>
      </w:r>
      <w:r w:rsidRPr="00F91283">
        <w:rPr>
          <w:rFonts w:ascii="Times New Roman" w:hAnsi="Times New Roman"/>
          <w:sz w:val="24"/>
          <w:szCs w:val="24"/>
        </w:rPr>
        <w:t xml:space="preserve">. Укрупненные показатели стоимости строительства. В уровне цен на 01.01.2018г., для условий строительства в Московской области», Россия, Серия «Справочник оценщика», -М.: ООО «КО-ИНВЕСТ», 2018г. </w:t>
      </w:r>
    </w:p>
    <w:p w14:paraId="0538F6DD" w14:textId="261197DD" w:rsidR="00F91283" w:rsidRPr="00F91283" w:rsidRDefault="00F91283" w:rsidP="00D24868">
      <w:pPr>
        <w:pStyle w:val="ae"/>
        <w:numPr>
          <w:ilvl w:val="0"/>
          <w:numId w:val="93"/>
        </w:numPr>
        <w:ind w:left="0" w:firstLine="709"/>
        <w:rPr>
          <w:rFonts w:ascii="Times New Roman" w:hAnsi="Times New Roman"/>
          <w:sz w:val="24"/>
          <w:szCs w:val="24"/>
        </w:rPr>
      </w:pPr>
      <w:r w:rsidRPr="00F91283">
        <w:rPr>
          <w:rFonts w:ascii="Times New Roman" w:hAnsi="Times New Roman"/>
          <w:sz w:val="24"/>
          <w:szCs w:val="24"/>
        </w:rPr>
        <w:t xml:space="preserve">Справочник оценщика «Складские здания и сооружения. Укрупненные показатели стоимости строительства. В уровне цен на 01.01.2018г., для условий строительства в Московской области», Россия, Серия «Справочник оценщика», -М.: ООО «КО-ИНВЕСТ», 2018г. </w:t>
      </w:r>
    </w:p>
    <w:p w14:paraId="16CEDE65" w14:textId="4FADD4DD" w:rsidR="00F91283" w:rsidRPr="00F91283" w:rsidRDefault="00F91283" w:rsidP="00D24868">
      <w:pPr>
        <w:pStyle w:val="ae"/>
        <w:numPr>
          <w:ilvl w:val="0"/>
          <w:numId w:val="93"/>
        </w:numPr>
        <w:ind w:left="0" w:firstLine="709"/>
        <w:rPr>
          <w:rFonts w:ascii="Times New Roman" w:hAnsi="Times New Roman"/>
          <w:sz w:val="24"/>
          <w:szCs w:val="24"/>
        </w:rPr>
      </w:pPr>
      <w:r w:rsidRPr="00F91283">
        <w:rPr>
          <w:rFonts w:ascii="Times New Roman" w:hAnsi="Times New Roman"/>
          <w:sz w:val="24"/>
          <w:szCs w:val="24"/>
        </w:rPr>
        <w:t xml:space="preserve">Справочник оценщика «Объекты архитектурного наследия. Укрупненные показатели стоимости строительства. В уровне цен на 01.01.2018г., для условий строительства в Московской области», Россия, Серия «Справочник оценщика», -М.: ООО «КО-ИНВЕСТ», 2018г. </w:t>
      </w:r>
    </w:p>
    <w:p w14:paraId="08333E55" w14:textId="7F62D608" w:rsidR="00F91283" w:rsidRPr="00F91283" w:rsidRDefault="00F91283" w:rsidP="00D24868">
      <w:pPr>
        <w:pStyle w:val="ae"/>
        <w:numPr>
          <w:ilvl w:val="0"/>
          <w:numId w:val="93"/>
        </w:numPr>
        <w:ind w:left="0" w:firstLine="709"/>
        <w:rPr>
          <w:rFonts w:ascii="Times New Roman" w:hAnsi="Times New Roman"/>
          <w:sz w:val="24"/>
          <w:szCs w:val="24"/>
        </w:rPr>
      </w:pPr>
      <w:r w:rsidRPr="00F91283">
        <w:rPr>
          <w:rFonts w:ascii="Times New Roman" w:hAnsi="Times New Roman"/>
          <w:sz w:val="24"/>
          <w:szCs w:val="24"/>
        </w:rPr>
        <w:t>Справочник оценщика «Сооружения городской инфраструктуры. Укрупненные показатели стоимости строительства. В уровне цен на 01.01.201</w:t>
      </w:r>
      <w:r>
        <w:rPr>
          <w:rFonts w:ascii="Times New Roman" w:hAnsi="Times New Roman"/>
          <w:sz w:val="24"/>
          <w:szCs w:val="24"/>
        </w:rPr>
        <w:t>7</w:t>
      </w:r>
      <w:r w:rsidRPr="00F91283">
        <w:rPr>
          <w:rFonts w:ascii="Times New Roman" w:hAnsi="Times New Roman"/>
          <w:sz w:val="24"/>
          <w:szCs w:val="24"/>
        </w:rPr>
        <w:t>г., для условий строительства в Московской области», Россия, Серия «Справочник оценщика», -М.: ООО «КО-ИНВЕСТ», 201</w:t>
      </w:r>
      <w:r>
        <w:rPr>
          <w:rFonts w:ascii="Times New Roman" w:hAnsi="Times New Roman"/>
          <w:sz w:val="24"/>
          <w:szCs w:val="24"/>
        </w:rPr>
        <w:t>7</w:t>
      </w:r>
      <w:r w:rsidRPr="00F91283">
        <w:rPr>
          <w:rFonts w:ascii="Times New Roman" w:hAnsi="Times New Roman"/>
          <w:sz w:val="24"/>
          <w:szCs w:val="24"/>
        </w:rPr>
        <w:t xml:space="preserve">г. </w:t>
      </w:r>
    </w:p>
    <w:p w14:paraId="699C52E5" w14:textId="1250223E" w:rsidR="00F91283" w:rsidRPr="00F91283" w:rsidRDefault="00F91283" w:rsidP="00D24868">
      <w:pPr>
        <w:pStyle w:val="ae"/>
        <w:numPr>
          <w:ilvl w:val="0"/>
          <w:numId w:val="93"/>
        </w:numPr>
        <w:ind w:left="0" w:firstLine="709"/>
        <w:rPr>
          <w:rFonts w:ascii="Times New Roman" w:hAnsi="Times New Roman"/>
          <w:sz w:val="24"/>
          <w:szCs w:val="24"/>
        </w:rPr>
      </w:pPr>
      <w:r w:rsidRPr="00F91283">
        <w:rPr>
          <w:rFonts w:ascii="Times New Roman" w:hAnsi="Times New Roman"/>
          <w:sz w:val="24"/>
          <w:szCs w:val="24"/>
        </w:rPr>
        <w:t xml:space="preserve">Справочник оценщика «Благоустройство территорий. Укрупненные показатели стоимости строительства. В уровне цен на 01.01.2018г., для условий строительства в Московской области», Россия, Серия «Справочник оценщика», -М.: ООО «КО-ИНВЕСТ», 2018г. </w:t>
      </w:r>
    </w:p>
    <w:p w14:paraId="7FCE2D17" w14:textId="6CE7A990" w:rsidR="00F91283" w:rsidRPr="00F91283" w:rsidRDefault="00F91283" w:rsidP="00D24868">
      <w:pPr>
        <w:pStyle w:val="ae"/>
        <w:numPr>
          <w:ilvl w:val="0"/>
          <w:numId w:val="93"/>
        </w:numPr>
        <w:ind w:left="0" w:firstLine="709"/>
        <w:rPr>
          <w:rFonts w:ascii="Times New Roman" w:hAnsi="Times New Roman"/>
          <w:sz w:val="24"/>
          <w:szCs w:val="24"/>
        </w:rPr>
      </w:pPr>
      <w:r w:rsidRPr="00F91283">
        <w:rPr>
          <w:rFonts w:ascii="Times New Roman" w:hAnsi="Times New Roman"/>
          <w:sz w:val="24"/>
          <w:szCs w:val="24"/>
        </w:rPr>
        <w:t xml:space="preserve">Справочник оценщика «Магистральные сети и транспорт. Укрупненные показатели стоимости строительства. В уровне цен на 01.01.2018г., для условий строительства в Московской области», Россия, Серия «Справочник оценщика», -М.: ООО «КО-ИНВЕСТ», 2018г. </w:t>
      </w:r>
    </w:p>
    <w:p w14:paraId="03659284" w14:textId="74F9100F" w:rsidR="00F91283" w:rsidRPr="00F91283" w:rsidRDefault="00F91283" w:rsidP="00D24868">
      <w:pPr>
        <w:pStyle w:val="ae"/>
        <w:numPr>
          <w:ilvl w:val="0"/>
          <w:numId w:val="93"/>
        </w:numPr>
        <w:ind w:left="0" w:firstLine="709"/>
        <w:rPr>
          <w:rFonts w:ascii="Times New Roman" w:hAnsi="Times New Roman"/>
          <w:sz w:val="24"/>
          <w:szCs w:val="24"/>
        </w:rPr>
      </w:pPr>
      <w:r w:rsidRPr="00F91283">
        <w:rPr>
          <w:rFonts w:ascii="Times New Roman" w:hAnsi="Times New Roman"/>
          <w:sz w:val="24"/>
          <w:szCs w:val="24"/>
        </w:rPr>
        <w:t xml:space="preserve">Справочник оценщика «Здания и сооружения агропромышленного комплекса. Укрупненные показатели стоимости строительства. В уровне цен на 01.01.2018г., для условий строительства в Московской области», Россия, Серия «Справочник оценщика», -М.: ООО «КО-ИНВЕСТ», 2018г. </w:t>
      </w:r>
    </w:p>
    <w:p w14:paraId="298F23BC" w14:textId="186750EE" w:rsidR="00F91283" w:rsidRPr="00F91283" w:rsidRDefault="00F91283" w:rsidP="00D24868">
      <w:pPr>
        <w:pStyle w:val="ae"/>
        <w:numPr>
          <w:ilvl w:val="0"/>
          <w:numId w:val="93"/>
        </w:numPr>
        <w:ind w:left="0" w:firstLine="709"/>
        <w:rPr>
          <w:rFonts w:ascii="Times New Roman" w:hAnsi="Times New Roman"/>
          <w:sz w:val="24"/>
          <w:szCs w:val="24"/>
        </w:rPr>
      </w:pPr>
      <w:r>
        <w:rPr>
          <w:rFonts w:ascii="Times New Roman" w:hAnsi="Times New Roman"/>
          <w:sz w:val="24"/>
          <w:szCs w:val="24"/>
        </w:rPr>
        <w:t>Межрегиональный информационно-аналитический бюллетень «</w:t>
      </w:r>
      <w:r w:rsidRPr="00F91283">
        <w:rPr>
          <w:rFonts w:ascii="Times New Roman" w:hAnsi="Times New Roman"/>
          <w:sz w:val="24"/>
          <w:szCs w:val="24"/>
        </w:rPr>
        <w:t>Индексы цен в строительстве</w:t>
      </w:r>
      <w:r>
        <w:rPr>
          <w:rFonts w:ascii="Times New Roman" w:hAnsi="Times New Roman"/>
          <w:sz w:val="24"/>
          <w:szCs w:val="24"/>
        </w:rPr>
        <w:t>. Выпуск №106, январь 2019г.»,</w:t>
      </w:r>
      <w:r w:rsidRPr="00F91283">
        <w:rPr>
          <w:rFonts w:ascii="Times New Roman" w:hAnsi="Times New Roman"/>
          <w:sz w:val="24"/>
          <w:szCs w:val="24"/>
        </w:rPr>
        <w:t xml:space="preserve"> -М.: ООО «КО-ИНВЕСТ», 201</w:t>
      </w:r>
      <w:r>
        <w:rPr>
          <w:rFonts w:ascii="Times New Roman" w:hAnsi="Times New Roman"/>
          <w:sz w:val="24"/>
          <w:szCs w:val="24"/>
        </w:rPr>
        <w:t>9</w:t>
      </w:r>
      <w:r w:rsidRPr="00F91283">
        <w:rPr>
          <w:rFonts w:ascii="Times New Roman" w:hAnsi="Times New Roman"/>
          <w:sz w:val="24"/>
          <w:szCs w:val="24"/>
        </w:rPr>
        <w:t>г.</w:t>
      </w:r>
    </w:p>
    <w:p w14:paraId="0907BB48" w14:textId="651BCB27" w:rsidR="00F91283" w:rsidRDefault="00F91283" w:rsidP="00D24868">
      <w:pPr>
        <w:pStyle w:val="ae"/>
        <w:numPr>
          <w:ilvl w:val="0"/>
          <w:numId w:val="93"/>
        </w:numPr>
        <w:ind w:left="0" w:firstLine="709"/>
        <w:rPr>
          <w:rFonts w:ascii="Times New Roman" w:hAnsi="Times New Roman"/>
          <w:sz w:val="24"/>
          <w:szCs w:val="24"/>
        </w:rPr>
      </w:pPr>
      <w:r>
        <w:rPr>
          <w:rFonts w:ascii="Times New Roman" w:hAnsi="Times New Roman"/>
          <w:sz w:val="24"/>
          <w:szCs w:val="24"/>
        </w:rPr>
        <w:t>Справочник оценщика недвижимости – 2018 «Жилые дома» под ред.</w:t>
      </w:r>
      <w:r w:rsidR="00A24B55">
        <w:rPr>
          <w:rFonts w:ascii="Times New Roman" w:hAnsi="Times New Roman"/>
          <w:sz w:val="24"/>
          <w:szCs w:val="24"/>
        </w:rPr>
        <w:t xml:space="preserve"> </w:t>
      </w:r>
      <w:r>
        <w:rPr>
          <w:rFonts w:ascii="Times New Roman" w:hAnsi="Times New Roman"/>
          <w:sz w:val="24"/>
          <w:szCs w:val="24"/>
        </w:rPr>
        <w:t xml:space="preserve">Лейфера В.А., - Н.Новгород.: ООО «Приволжский центр </w:t>
      </w:r>
      <w:r w:rsidR="004B2968">
        <w:rPr>
          <w:rFonts w:ascii="Times New Roman" w:hAnsi="Times New Roman"/>
          <w:sz w:val="24"/>
          <w:szCs w:val="24"/>
        </w:rPr>
        <w:t>методического и информационного обеспечения оценки», 2018г.;</w:t>
      </w:r>
    </w:p>
    <w:p w14:paraId="607F8B3F" w14:textId="5065A678" w:rsidR="004B2968" w:rsidRPr="00F91283" w:rsidRDefault="004B2968" w:rsidP="00D24868">
      <w:pPr>
        <w:pStyle w:val="ae"/>
        <w:numPr>
          <w:ilvl w:val="0"/>
          <w:numId w:val="93"/>
        </w:numPr>
        <w:ind w:left="0" w:firstLine="709"/>
        <w:rPr>
          <w:rFonts w:ascii="Times New Roman" w:hAnsi="Times New Roman"/>
          <w:sz w:val="24"/>
          <w:szCs w:val="24"/>
        </w:rPr>
      </w:pPr>
      <w:r>
        <w:rPr>
          <w:rFonts w:ascii="Times New Roman" w:hAnsi="Times New Roman"/>
          <w:sz w:val="24"/>
          <w:szCs w:val="24"/>
        </w:rPr>
        <w:t>Справочник оценщика недвижимости – 2018 «Офисно-торговая недвижимость и сходные типы объектов» под ред.</w:t>
      </w:r>
      <w:r w:rsidR="00A24B55">
        <w:rPr>
          <w:rFonts w:ascii="Times New Roman" w:hAnsi="Times New Roman"/>
          <w:sz w:val="24"/>
          <w:szCs w:val="24"/>
        </w:rPr>
        <w:t xml:space="preserve"> </w:t>
      </w:r>
      <w:r>
        <w:rPr>
          <w:rFonts w:ascii="Times New Roman" w:hAnsi="Times New Roman"/>
          <w:sz w:val="24"/>
          <w:szCs w:val="24"/>
        </w:rPr>
        <w:t>Лейфера В.А., - Н.Новгород.: ООО «Приволжский центр методического и информационного обеспечения оценки», 2018г.;</w:t>
      </w:r>
    </w:p>
    <w:p w14:paraId="260B0773" w14:textId="7B40C2EC" w:rsidR="004B2968" w:rsidRPr="00F91283" w:rsidRDefault="004B2968" w:rsidP="00D24868">
      <w:pPr>
        <w:pStyle w:val="ae"/>
        <w:numPr>
          <w:ilvl w:val="0"/>
          <w:numId w:val="93"/>
        </w:numPr>
        <w:ind w:left="0" w:firstLine="709"/>
        <w:rPr>
          <w:rFonts w:ascii="Times New Roman" w:hAnsi="Times New Roman"/>
          <w:sz w:val="24"/>
          <w:szCs w:val="24"/>
        </w:rPr>
      </w:pPr>
      <w:r>
        <w:rPr>
          <w:rFonts w:ascii="Times New Roman" w:hAnsi="Times New Roman"/>
          <w:sz w:val="24"/>
          <w:szCs w:val="24"/>
        </w:rPr>
        <w:t>Справочник оценщика недвижимости – 2018 «Производственно-складская недвижимость и сходные типы объектов» под ред.</w:t>
      </w:r>
      <w:r w:rsidR="00A24B55">
        <w:rPr>
          <w:rFonts w:ascii="Times New Roman" w:hAnsi="Times New Roman"/>
          <w:sz w:val="24"/>
          <w:szCs w:val="24"/>
        </w:rPr>
        <w:t xml:space="preserve"> </w:t>
      </w:r>
      <w:r>
        <w:rPr>
          <w:rFonts w:ascii="Times New Roman" w:hAnsi="Times New Roman"/>
          <w:sz w:val="24"/>
          <w:szCs w:val="24"/>
        </w:rPr>
        <w:t>Лейфера В.А., - Н.Новгород.: ООО «Приволжский центр методического и информационного обеспечения оценки», 2018г.;</w:t>
      </w:r>
    </w:p>
    <w:p w14:paraId="6535FCCE" w14:textId="51EDDFBB" w:rsidR="00771513" w:rsidRPr="00082518" w:rsidRDefault="00771513" w:rsidP="00D24868">
      <w:pPr>
        <w:pStyle w:val="ae"/>
        <w:numPr>
          <w:ilvl w:val="0"/>
          <w:numId w:val="93"/>
        </w:numPr>
        <w:ind w:left="0" w:firstLine="709"/>
        <w:rPr>
          <w:rFonts w:ascii="Times New Roman" w:hAnsi="Times New Roman"/>
          <w:sz w:val="24"/>
          <w:szCs w:val="24"/>
        </w:rPr>
      </w:pPr>
      <w:r w:rsidRPr="00082518">
        <w:rPr>
          <w:rFonts w:ascii="Times New Roman" w:hAnsi="Times New Roman"/>
          <w:sz w:val="24"/>
          <w:szCs w:val="24"/>
        </w:rPr>
        <w:t>Програм</w:t>
      </w:r>
      <w:r w:rsidR="00CD69AF" w:rsidRPr="00082518">
        <w:rPr>
          <w:rFonts w:ascii="Times New Roman" w:hAnsi="Times New Roman"/>
          <w:sz w:val="24"/>
          <w:szCs w:val="24"/>
        </w:rPr>
        <w:t>м</w:t>
      </w:r>
      <w:r w:rsidRPr="00082518">
        <w:rPr>
          <w:rFonts w:ascii="Times New Roman" w:hAnsi="Times New Roman"/>
          <w:sz w:val="24"/>
          <w:szCs w:val="24"/>
        </w:rPr>
        <w:t>ный комплекс «Массовая оценка» г.Москва.</w:t>
      </w:r>
    </w:p>
    <w:p w14:paraId="58AB1CA4" w14:textId="709CC0A1" w:rsidR="00B30C57" w:rsidRPr="00DF26AE" w:rsidRDefault="00B30C57" w:rsidP="00FD2769">
      <w:pPr>
        <w:pStyle w:val="3"/>
        <w:rPr>
          <w:rStyle w:val="blk"/>
          <w:i/>
        </w:rPr>
      </w:pPr>
      <w:bookmarkStart w:id="16" w:name="_Toc14819093"/>
      <w:bookmarkEnd w:id="13"/>
      <w:bookmarkEnd w:id="14"/>
      <w:r w:rsidRPr="00DF26AE">
        <w:rPr>
          <w:rStyle w:val="blk"/>
          <w:i/>
        </w:rPr>
        <w:t xml:space="preserve">Перечень документов, </w:t>
      </w:r>
      <w:r w:rsidR="007F2ADE" w:rsidRPr="00DF26AE">
        <w:rPr>
          <w:rStyle w:val="blk"/>
          <w:i/>
        </w:rPr>
        <w:t>предоставленных уполномоченным органом субъекта Российской Федерации и устанавливающих качественные и количественные характеристики</w:t>
      </w:r>
      <w:r w:rsidR="00726F2A" w:rsidRPr="00DF26AE">
        <w:rPr>
          <w:rStyle w:val="blk"/>
          <w:i/>
        </w:rPr>
        <w:t xml:space="preserve"> </w:t>
      </w:r>
      <w:r w:rsidR="007F2ADE" w:rsidRPr="00DF26AE">
        <w:rPr>
          <w:rStyle w:val="blk"/>
          <w:i/>
        </w:rPr>
        <w:t>объекта оценки</w:t>
      </w:r>
      <w:r w:rsidRPr="00DF26AE">
        <w:rPr>
          <w:rStyle w:val="blk"/>
          <w:i/>
        </w:rPr>
        <w:t>.</w:t>
      </w:r>
      <w:bookmarkEnd w:id="16"/>
    </w:p>
    <w:p w14:paraId="727CA60D" w14:textId="64D22165" w:rsidR="007F2ADE" w:rsidRPr="00082518" w:rsidRDefault="007F2ADE" w:rsidP="007D5A78">
      <w:pPr>
        <w:suppressAutoHyphens/>
        <w:ind w:firstLine="709"/>
        <w:rPr>
          <w:rFonts w:eastAsiaTheme="minorEastAsia" w:cs="Times New Roman"/>
          <w:szCs w:val="24"/>
        </w:rPr>
      </w:pPr>
      <w:r w:rsidRPr="00082518">
        <w:rPr>
          <w:rFonts w:eastAsiaTheme="minorEastAsia" w:cs="Times New Roman"/>
          <w:szCs w:val="24"/>
        </w:rPr>
        <w:t xml:space="preserve">Перечень </w:t>
      </w:r>
      <w:r w:rsidR="00082518" w:rsidRPr="00082518">
        <w:rPr>
          <w:rFonts w:eastAsiaTheme="minorEastAsia" w:cs="Times New Roman"/>
          <w:szCs w:val="24"/>
        </w:rPr>
        <w:t>объектов недвижимости, кроме земельных участков</w:t>
      </w:r>
      <w:r w:rsidRPr="00082518">
        <w:rPr>
          <w:rFonts w:eastAsiaTheme="minorEastAsia" w:cs="Times New Roman"/>
          <w:szCs w:val="24"/>
        </w:rPr>
        <w:t xml:space="preserve">, подлежащих государственной кадастровой оценке, сформирован Управлением Росреестра по Республике Саха (Якутия) по состоянию на 01 января 2019 года. </w:t>
      </w:r>
    </w:p>
    <w:p w14:paraId="32FB2A4D" w14:textId="561372FF" w:rsidR="007F2ADE" w:rsidRPr="00082518" w:rsidRDefault="00082518" w:rsidP="007D5A78">
      <w:pPr>
        <w:suppressAutoHyphens/>
        <w:ind w:firstLine="709"/>
        <w:rPr>
          <w:rFonts w:eastAsiaTheme="minorEastAsia" w:cs="Times New Roman"/>
          <w:szCs w:val="24"/>
        </w:rPr>
      </w:pPr>
      <w:r w:rsidRPr="00082518">
        <w:rPr>
          <w:rFonts w:eastAsiaTheme="minorEastAsia" w:cs="Times New Roman"/>
          <w:szCs w:val="24"/>
        </w:rPr>
        <w:t>ГБУ РС (Я) «ЦГКО»</w:t>
      </w:r>
      <w:r w:rsidR="007F2ADE" w:rsidRPr="00082518">
        <w:rPr>
          <w:rFonts w:eastAsiaTheme="minorEastAsia" w:cs="Times New Roman"/>
          <w:szCs w:val="24"/>
        </w:rPr>
        <w:t xml:space="preserve"> </w:t>
      </w:r>
      <w:r w:rsidRPr="00082518">
        <w:rPr>
          <w:rFonts w:eastAsiaTheme="minorEastAsia" w:cs="Times New Roman"/>
          <w:szCs w:val="24"/>
        </w:rPr>
        <w:t>п</w:t>
      </w:r>
      <w:r w:rsidR="007F2ADE" w:rsidRPr="00082518">
        <w:rPr>
          <w:rFonts w:eastAsiaTheme="minorEastAsia" w:cs="Times New Roman"/>
          <w:szCs w:val="24"/>
        </w:rPr>
        <w:t xml:space="preserve">еречень объектов оценки передан уполномоченным органом субъекта Российской Федерации </w:t>
      </w:r>
      <w:r w:rsidRPr="00082518">
        <w:rPr>
          <w:rFonts w:eastAsiaTheme="minorEastAsia" w:cs="Times New Roman"/>
          <w:szCs w:val="24"/>
        </w:rPr>
        <w:t xml:space="preserve">- </w:t>
      </w:r>
      <w:r w:rsidR="007F2ADE" w:rsidRPr="00082518">
        <w:rPr>
          <w:rFonts w:eastAsiaTheme="minorEastAsia" w:cs="Times New Roman"/>
          <w:szCs w:val="24"/>
        </w:rPr>
        <w:t xml:space="preserve">Министерство имущественных и земельных отношений Республики Саха (Якутия) письмом от </w:t>
      </w:r>
      <w:r w:rsidR="001D5210" w:rsidRPr="00082518">
        <w:rPr>
          <w:rFonts w:eastAsiaTheme="minorEastAsia" w:cs="Times New Roman"/>
          <w:szCs w:val="24"/>
        </w:rPr>
        <w:t xml:space="preserve">28.02.2019 </w:t>
      </w:r>
      <w:r w:rsidR="007F2ADE" w:rsidRPr="00082518">
        <w:rPr>
          <w:rFonts w:eastAsiaTheme="minorEastAsia" w:cs="Times New Roman"/>
          <w:szCs w:val="24"/>
        </w:rPr>
        <w:t xml:space="preserve"> №04/И-012-2008 </w:t>
      </w:r>
      <w:r w:rsidR="001D5210" w:rsidRPr="00082518">
        <w:rPr>
          <w:rFonts w:eastAsiaTheme="minorEastAsia" w:cs="Times New Roman"/>
          <w:szCs w:val="24"/>
        </w:rPr>
        <w:t>о</w:t>
      </w:r>
      <w:r w:rsidR="007F2ADE" w:rsidRPr="00082518">
        <w:rPr>
          <w:rFonts w:eastAsiaTheme="minorEastAsia" w:cs="Times New Roman"/>
          <w:szCs w:val="24"/>
        </w:rPr>
        <w:t xml:space="preserve"> направлении информации</w:t>
      </w:r>
      <w:r w:rsidR="00160EBB" w:rsidRPr="00082518">
        <w:rPr>
          <w:rFonts w:eastAsiaTheme="minorEastAsia" w:cs="Times New Roman"/>
          <w:szCs w:val="24"/>
        </w:rPr>
        <w:t xml:space="preserve"> по распоряжению Правительства РС(Я) от 10.04.2018 №400</w:t>
      </w:r>
      <w:r w:rsidR="001D5210" w:rsidRPr="00082518">
        <w:rPr>
          <w:rFonts w:eastAsiaTheme="minorEastAsia" w:cs="Times New Roman"/>
          <w:szCs w:val="24"/>
        </w:rPr>
        <w:t>-р</w:t>
      </w:r>
      <w:r w:rsidR="00160EBB" w:rsidRPr="00082518">
        <w:rPr>
          <w:rFonts w:eastAsiaTheme="minorEastAsia" w:cs="Times New Roman"/>
          <w:szCs w:val="24"/>
        </w:rPr>
        <w:t xml:space="preserve"> «</w:t>
      </w:r>
      <w:r w:rsidR="00D04A67" w:rsidRPr="00082518">
        <w:rPr>
          <w:rFonts w:eastAsiaTheme="minorEastAsia" w:cs="Times New Roman"/>
          <w:szCs w:val="24"/>
        </w:rPr>
        <w:t>О проведении государственной кадастровой оценки объектов капитального строительства на территории Республики Саха (Якутия)</w:t>
      </w:r>
      <w:r w:rsidR="007F2ADE" w:rsidRPr="00082518">
        <w:rPr>
          <w:rFonts w:eastAsiaTheme="minorEastAsia" w:cs="Times New Roman"/>
          <w:szCs w:val="24"/>
        </w:rPr>
        <w:t>»</w:t>
      </w:r>
      <w:r w:rsidR="00083575" w:rsidRPr="00082518">
        <w:rPr>
          <w:rFonts w:eastAsiaTheme="minorEastAsia" w:cs="Times New Roman"/>
          <w:szCs w:val="24"/>
        </w:rPr>
        <w:t xml:space="preserve"> и </w:t>
      </w:r>
      <w:r w:rsidR="003A1A3E" w:rsidRPr="00082518">
        <w:rPr>
          <w:rFonts w:eastAsiaTheme="minorEastAsia" w:cs="Times New Roman"/>
          <w:szCs w:val="24"/>
        </w:rPr>
        <w:t>письмо</w:t>
      </w:r>
      <w:r w:rsidR="00160EBB" w:rsidRPr="00082518">
        <w:rPr>
          <w:rFonts w:eastAsiaTheme="minorEastAsia" w:cs="Times New Roman"/>
          <w:szCs w:val="24"/>
        </w:rPr>
        <w:t xml:space="preserve">м </w:t>
      </w:r>
      <w:r w:rsidR="001D5210" w:rsidRPr="00082518">
        <w:rPr>
          <w:rFonts w:eastAsiaTheme="minorEastAsia" w:cs="Times New Roman"/>
          <w:szCs w:val="24"/>
        </w:rPr>
        <w:t>20.03.2019 №И-09-2737</w:t>
      </w:r>
      <w:r w:rsidR="003A1A3E" w:rsidRPr="00082518">
        <w:rPr>
          <w:rFonts w:eastAsiaTheme="minorEastAsia" w:cs="Times New Roman"/>
          <w:szCs w:val="24"/>
        </w:rPr>
        <w:t xml:space="preserve"> </w:t>
      </w:r>
      <w:r w:rsidR="001D5210" w:rsidRPr="00082518">
        <w:rPr>
          <w:rFonts w:eastAsiaTheme="minorEastAsia" w:cs="Times New Roman"/>
          <w:szCs w:val="24"/>
        </w:rPr>
        <w:t>о направлении перечня объектов недвижимости подлежащих ГКО по распоряжению Правительства РС(Я) от 18.02.2019 №153-р о внесении изменений в распоряжение Правительства Республики Саха (Якутия) от 10 апреля 2018 №400-р «О проведении государственной кадастровой оценки объектов капитального строительства на территории Республики Саха (Якутия)»</w:t>
      </w:r>
      <w:r w:rsidR="007F2ADE" w:rsidRPr="00082518">
        <w:rPr>
          <w:rFonts w:eastAsiaTheme="minorEastAsia" w:cs="Times New Roman"/>
          <w:szCs w:val="24"/>
        </w:rPr>
        <w:t>.</w:t>
      </w:r>
    </w:p>
    <w:p w14:paraId="56D2711A" w14:textId="77777777" w:rsidR="001D07D3" w:rsidRPr="0027086D" w:rsidRDefault="001D07D3" w:rsidP="007D5A78">
      <w:pPr>
        <w:suppressAutoHyphens/>
        <w:ind w:firstLine="709"/>
        <w:rPr>
          <w:rFonts w:eastAsiaTheme="minorEastAsia" w:cs="Times New Roman"/>
          <w:szCs w:val="24"/>
        </w:rPr>
      </w:pPr>
    </w:p>
    <w:p w14:paraId="01C7893C" w14:textId="39905911" w:rsidR="00B472B6" w:rsidRPr="0027086D" w:rsidRDefault="00B472B6" w:rsidP="00FD2769">
      <w:pPr>
        <w:pStyle w:val="10"/>
        <w:numPr>
          <w:ilvl w:val="1"/>
          <w:numId w:val="100"/>
        </w:numPr>
        <w:jc w:val="both"/>
      </w:pPr>
      <w:bookmarkStart w:id="17" w:name="_Toc14819094"/>
      <w:r w:rsidRPr="0027086D">
        <w:t>Схема организации проведения работ по определению кадастровой стоимости и их описание.</w:t>
      </w:r>
      <w:bookmarkEnd w:id="17"/>
    </w:p>
    <w:p w14:paraId="6AB897FB" w14:textId="3BDE372C" w:rsidR="005A095B" w:rsidRPr="0027086D" w:rsidRDefault="005A095B" w:rsidP="005A095B">
      <w:pPr>
        <w:ind w:firstLine="709"/>
        <w:rPr>
          <w:rFonts w:cs="Times New Roman"/>
        </w:rPr>
      </w:pPr>
      <w:r w:rsidRPr="0027086D">
        <w:rPr>
          <w:rFonts w:cs="Times New Roman"/>
        </w:rPr>
        <w:t xml:space="preserve">Работы по государственной кадастровой оценке объектов недвижимости выполнены ГБУ Республики Саха (Якутия) «Центр государственной кадастровой оценки». </w:t>
      </w:r>
    </w:p>
    <w:p w14:paraId="46AB5B8A" w14:textId="6BEBA03B" w:rsidR="005A095B" w:rsidRPr="0027086D" w:rsidRDefault="005A095B" w:rsidP="005A095B">
      <w:pPr>
        <w:ind w:firstLine="709"/>
        <w:rPr>
          <w:rFonts w:cs="Times New Roman"/>
        </w:rPr>
      </w:pPr>
      <w:r w:rsidRPr="0027086D">
        <w:rPr>
          <w:rFonts w:cs="Times New Roman"/>
        </w:rPr>
        <w:t>Определение кадастровой стоимости объектов оценки осуществляется ГБУ РС(Я) «Центр государственной кадастровой оценки» в соответствии с Методическими указаниями в следующей последовательности:</w:t>
      </w:r>
    </w:p>
    <w:p w14:paraId="36E3916E" w14:textId="77777777" w:rsidR="005A095B" w:rsidRPr="0027086D" w:rsidRDefault="005A095B" w:rsidP="005A095B">
      <w:pPr>
        <w:ind w:firstLine="709"/>
        <w:rPr>
          <w:rFonts w:cs="Times New Roman"/>
        </w:rPr>
      </w:pPr>
      <w:r w:rsidRPr="0027086D">
        <w:rPr>
          <w:rFonts w:cs="Times New Roman"/>
        </w:rPr>
        <w:t>–</w:t>
      </w:r>
      <w:r w:rsidRPr="0027086D">
        <w:rPr>
          <w:rFonts w:cs="Times New Roman"/>
        </w:rPr>
        <w:tab/>
        <w:t>Обработка перечня объектов недвижимости;</w:t>
      </w:r>
    </w:p>
    <w:p w14:paraId="534EE9B3" w14:textId="4C5E29D8" w:rsidR="005A095B" w:rsidRPr="0027086D" w:rsidRDefault="005A095B" w:rsidP="005A095B">
      <w:pPr>
        <w:ind w:firstLine="709"/>
        <w:rPr>
          <w:rFonts w:cs="Times New Roman"/>
        </w:rPr>
      </w:pPr>
      <w:r w:rsidRPr="0027086D">
        <w:rPr>
          <w:rFonts w:cs="Times New Roman"/>
        </w:rPr>
        <w:t>–</w:t>
      </w:r>
      <w:r w:rsidRPr="0027086D">
        <w:rPr>
          <w:rFonts w:cs="Times New Roman"/>
        </w:rPr>
        <w:tab/>
        <w:t>Сбор и анализ рыночной информации, определение перечня факторов, влияющих на стоимость объектов недвижимости</w:t>
      </w:r>
      <w:r w:rsidR="00866284">
        <w:rPr>
          <w:rFonts w:cs="Times New Roman"/>
        </w:rPr>
        <w:t xml:space="preserve">. </w:t>
      </w:r>
      <w:r w:rsidRPr="0027086D">
        <w:rPr>
          <w:rFonts w:cs="Times New Roman"/>
        </w:rPr>
        <w:t xml:space="preserve">Анализ проводился с использованием </w:t>
      </w:r>
      <w:r w:rsidR="00B913C0" w:rsidRPr="0027086D">
        <w:rPr>
          <w:rFonts w:cs="Times New Roman"/>
        </w:rPr>
        <w:t xml:space="preserve">данных Росреестра по сделкам за период </w:t>
      </w:r>
      <w:r w:rsidR="00866284">
        <w:rPr>
          <w:rFonts w:cs="Times New Roman"/>
        </w:rPr>
        <w:t>01.01.</w:t>
      </w:r>
      <w:r w:rsidR="00B913C0" w:rsidRPr="0027086D">
        <w:rPr>
          <w:rFonts w:cs="Times New Roman"/>
        </w:rPr>
        <w:t xml:space="preserve">2016 по </w:t>
      </w:r>
      <w:r w:rsidR="00866284">
        <w:rPr>
          <w:rFonts w:cs="Times New Roman"/>
        </w:rPr>
        <w:t>15.</w:t>
      </w:r>
      <w:r w:rsidR="00B913C0" w:rsidRPr="0027086D">
        <w:rPr>
          <w:rFonts w:cs="Times New Roman"/>
        </w:rPr>
        <w:t xml:space="preserve">08.2018г, </w:t>
      </w:r>
      <w:r w:rsidR="00F4217A">
        <w:rPr>
          <w:rFonts w:cs="Times New Roman"/>
        </w:rPr>
        <w:t>риелтор</w:t>
      </w:r>
      <w:r w:rsidR="00CD69AF">
        <w:rPr>
          <w:rFonts w:cs="Times New Roman"/>
        </w:rPr>
        <w:t>ская</w:t>
      </w:r>
      <w:r w:rsidR="00CD69AF" w:rsidRPr="0027086D">
        <w:rPr>
          <w:rFonts w:cs="Times New Roman"/>
        </w:rPr>
        <w:t xml:space="preserve"> </w:t>
      </w:r>
      <w:r w:rsidRPr="0027086D">
        <w:rPr>
          <w:rFonts w:cs="Times New Roman"/>
        </w:rPr>
        <w:t>баз</w:t>
      </w:r>
      <w:r w:rsidR="00CD69AF">
        <w:rPr>
          <w:rFonts w:cs="Times New Roman"/>
        </w:rPr>
        <w:t>а</w:t>
      </w:r>
      <w:r w:rsidRPr="0027086D">
        <w:rPr>
          <w:rFonts w:cs="Times New Roman"/>
        </w:rPr>
        <w:t xml:space="preserve"> данных ООО «ИТИС» </w:t>
      </w:r>
      <w:r w:rsidR="00B913C0" w:rsidRPr="0027086D">
        <w:rPr>
          <w:rFonts w:cs="Times New Roman"/>
        </w:rPr>
        <w:t xml:space="preserve">для г.Якутск </w:t>
      </w:r>
      <w:r w:rsidRPr="0027086D">
        <w:rPr>
          <w:rFonts w:cs="Times New Roman"/>
        </w:rPr>
        <w:t>об объектах недвижимого имущ</w:t>
      </w:r>
      <w:r w:rsidR="00B913C0" w:rsidRPr="0027086D">
        <w:rPr>
          <w:rFonts w:cs="Times New Roman"/>
        </w:rPr>
        <w:t xml:space="preserve">ества </w:t>
      </w:r>
      <w:r w:rsidR="00866284" w:rsidRPr="0027086D">
        <w:rPr>
          <w:rFonts w:cs="Times New Roman"/>
        </w:rPr>
        <w:t xml:space="preserve">г.Якутск </w:t>
      </w:r>
      <w:r w:rsidR="00866284">
        <w:rPr>
          <w:rFonts w:cs="Times New Roman"/>
        </w:rPr>
        <w:t xml:space="preserve">и </w:t>
      </w:r>
      <w:r w:rsidR="00B913C0" w:rsidRPr="0027086D">
        <w:rPr>
          <w:rFonts w:cs="Times New Roman"/>
        </w:rPr>
        <w:t>пригорода</w:t>
      </w:r>
      <w:r w:rsidR="008903B9" w:rsidRPr="0027086D">
        <w:rPr>
          <w:rFonts w:cs="Times New Roman"/>
        </w:rPr>
        <w:t>, из объявления</w:t>
      </w:r>
      <w:r w:rsidRPr="0027086D">
        <w:rPr>
          <w:rFonts w:cs="Times New Roman"/>
        </w:rPr>
        <w:t xml:space="preserve"> напечатанны</w:t>
      </w:r>
      <w:r w:rsidR="008903B9" w:rsidRPr="0027086D">
        <w:rPr>
          <w:rFonts w:cs="Times New Roman"/>
        </w:rPr>
        <w:t>е</w:t>
      </w:r>
      <w:r w:rsidRPr="0027086D">
        <w:rPr>
          <w:rFonts w:cs="Times New Roman"/>
        </w:rPr>
        <w:t xml:space="preserve"> в </w:t>
      </w:r>
      <w:r w:rsidR="008903B9" w:rsidRPr="0027086D">
        <w:rPr>
          <w:rFonts w:cs="Times New Roman"/>
        </w:rPr>
        <w:t>улусных</w:t>
      </w:r>
      <w:r w:rsidRPr="0027086D">
        <w:rPr>
          <w:rFonts w:cs="Times New Roman"/>
        </w:rPr>
        <w:t xml:space="preserve"> СМИ, справочников Ко-Инвест);</w:t>
      </w:r>
    </w:p>
    <w:p w14:paraId="15684F79" w14:textId="6BC8E463" w:rsidR="005A095B" w:rsidRPr="0027086D" w:rsidRDefault="005A095B" w:rsidP="005A095B">
      <w:pPr>
        <w:ind w:firstLine="709"/>
        <w:rPr>
          <w:rFonts w:cs="Times New Roman"/>
        </w:rPr>
      </w:pPr>
      <w:r w:rsidRPr="0027086D">
        <w:rPr>
          <w:rFonts w:cs="Times New Roman"/>
        </w:rPr>
        <w:t>–</w:t>
      </w:r>
      <w:r w:rsidRPr="0027086D">
        <w:rPr>
          <w:rFonts w:cs="Times New Roman"/>
        </w:rPr>
        <w:tab/>
        <w:t xml:space="preserve">Сбор сведений о ценообразующих факторах реализовывался согласно п.7 ст.12 Федерального закона от 03.07.2016 №237-ФЗ, в результате взаимодействия с Федеральными органами исполнительной власти, органами местного самоуправления и ведомствами </w:t>
      </w:r>
      <w:r w:rsidR="00B913C0" w:rsidRPr="0027086D">
        <w:rPr>
          <w:rFonts w:cs="Times New Roman"/>
        </w:rPr>
        <w:t>Республики Саха (Якутия)</w:t>
      </w:r>
      <w:r w:rsidRPr="0027086D">
        <w:rPr>
          <w:rFonts w:cs="Times New Roman"/>
        </w:rPr>
        <w:t>;</w:t>
      </w:r>
    </w:p>
    <w:p w14:paraId="5DBD8775" w14:textId="575A29EC" w:rsidR="005A095B" w:rsidRPr="0027086D" w:rsidRDefault="005A095B" w:rsidP="005A095B">
      <w:pPr>
        <w:ind w:firstLine="709"/>
        <w:rPr>
          <w:rFonts w:cs="Times New Roman"/>
        </w:rPr>
      </w:pPr>
      <w:r w:rsidRPr="0027086D">
        <w:rPr>
          <w:rFonts w:cs="Times New Roman"/>
        </w:rPr>
        <w:t>–</w:t>
      </w:r>
      <w:r w:rsidRPr="0027086D">
        <w:rPr>
          <w:rFonts w:cs="Times New Roman"/>
        </w:rPr>
        <w:tab/>
      </w:r>
      <w:r w:rsidR="0083078F">
        <w:rPr>
          <w:rFonts w:cs="Times New Roman"/>
        </w:rPr>
        <w:t>В процессе определения кадастровой оценки бюджетным учреждением пр</w:t>
      </w:r>
      <w:r w:rsidR="001F7F9D">
        <w:rPr>
          <w:rFonts w:cs="Times New Roman"/>
        </w:rPr>
        <w:t>оводилась оценочное зонирование по</w:t>
      </w:r>
      <w:r w:rsidR="0083078F">
        <w:rPr>
          <w:rFonts w:cs="Times New Roman"/>
        </w:rPr>
        <w:t xml:space="preserve"> </w:t>
      </w:r>
      <w:r w:rsidR="001F7F9D">
        <w:rPr>
          <w:rFonts w:cs="Times New Roman"/>
        </w:rPr>
        <w:t xml:space="preserve">группе 1 </w:t>
      </w:r>
      <w:r w:rsidR="00002C7A" w:rsidRPr="00002C7A">
        <w:rPr>
          <w:rFonts w:cs="Times New Roman"/>
        </w:rPr>
        <w:t>«Многоквартирные дома (дома средне- и многоэтажной жилой застройки)»</w:t>
      </w:r>
      <w:r w:rsidR="00002C7A">
        <w:rPr>
          <w:rFonts w:cs="Times New Roman"/>
        </w:rPr>
        <w:t xml:space="preserve"> </w:t>
      </w:r>
      <w:r w:rsidR="001F7F9D">
        <w:rPr>
          <w:rFonts w:cs="Times New Roman"/>
        </w:rPr>
        <w:t>в г.Якутск, где достаточно количество рыночной информации</w:t>
      </w:r>
      <w:r w:rsidRPr="0027086D">
        <w:rPr>
          <w:rFonts w:cs="Times New Roman"/>
        </w:rPr>
        <w:t>;</w:t>
      </w:r>
    </w:p>
    <w:p w14:paraId="4B027DAD" w14:textId="77777777" w:rsidR="005A095B" w:rsidRPr="0027086D" w:rsidRDefault="005A095B" w:rsidP="005A095B">
      <w:pPr>
        <w:ind w:firstLine="709"/>
        <w:rPr>
          <w:rFonts w:cs="Times New Roman"/>
        </w:rPr>
      </w:pPr>
      <w:r w:rsidRPr="0027086D">
        <w:rPr>
          <w:rFonts w:cs="Times New Roman"/>
        </w:rPr>
        <w:t>–</w:t>
      </w:r>
      <w:r w:rsidRPr="0027086D">
        <w:rPr>
          <w:rFonts w:cs="Times New Roman"/>
        </w:rPr>
        <w:tab/>
        <w:t>Определение кадастровой стоимости:</w:t>
      </w:r>
    </w:p>
    <w:p w14:paraId="399C3E73" w14:textId="0743BEEC" w:rsidR="005A095B" w:rsidRPr="0027086D" w:rsidRDefault="00FC5515" w:rsidP="00FC5515">
      <w:pPr>
        <w:ind w:left="1985" w:hanging="567"/>
        <w:rPr>
          <w:rFonts w:cs="Times New Roman"/>
        </w:rPr>
      </w:pPr>
      <w:r>
        <w:rPr>
          <w:rFonts w:cs="Times New Roman"/>
        </w:rPr>
        <w:t>•</w:t>
      </w:r>
      <w:r>
        <w:rPr>
          <w:rFonts w:cs="Times New Roman"/>
        </w:rPr>
        <w:tab/>
        <w:t>п</w:t>
      </w:r>
      <w:r w:rsidR="005A095B" w:rsidRPr="0027086D">
        <w:rPr>
          <w:rFonts w:cs="Times New Roman"/>
        </w:rPr>
        <w:t>ри определении кадастровой стоимости проводится группировка объектов недвижимости в соответствии с Методическими указаниями;</w:t>
      </w:r>
    </w:p>
    <w:p w14:paraId="3A148B22" w14:textId="7F137BED" w:rsidR="005A095B" w:rsidRPr="0027086D" w:rsidRDefault="005A095B" w:rsidP="00FC5515">
      <w:pPr>
        <w:ind w:left="1985" w:hanging="567"/>
        <w:rPr>
          <w:rFonts w:cs="Times New Roman"/>
        </w:rPr>
      </w:pPr>
      <w:r w:rsidRPr="0027086D">
        <w:rPr>
          <w:rFonts w:cs="Times New Roman"/>
        </w:rPr>
        <w:t>•</w:t>
      </w:r>
      <w:r w:rsidRPr="0027086D">
        <w:rPr>
          <w:rFonts w:cs="Times New Roman"/>
        </w:rPr>
        <w:tab/>
        <w:t xml:space="preserve">построение моделей </w:t>
      </w:r>
      <w:r w:rsidR="00FC5515">
        <w:rPr>
          <w:rFonts w:cs="Times New Roman"/>
        </w:rPr>
        <w:t>оценки и индивидуальный расчет;</w:t>
      </w:r>
    </w:p>
    <w:p w14:paraId="412A6A86" w14:textId="77777777" w:rsidR="005A095B" w:rsidRPr="0027086D" w:rsidRDefault="005A095B" w:rsidP="00FC5515">
      <w:pPr>
        <w:ind w:left="1985" w:hanging="567"/>
        <w:rPr>
          <w:rFonts w:cs="Times New Roman"/>
        </w:rPr>
      </w:pPr>
      <w:r w:rsidRPr="0027086D">
        <w:rPr>
          <w:rFonts w:cs="Times New Roman"/>
        </w:rPr>
        <w:t>•</w:t>
      </w:r>
      <w:r w:rsidRPr="0027086D">
        <w:rPr>
          <w:rFonts w:cs="Times New Roman"/>
        </w:rPr>
        <w:tab/>
        <w:t>анализ результатов.</w:t>
      </w:r>
    </w:p>
    <w:p w14:paraId="134561FC" w14:textId="4E20DB5A" w:rsidR="005A095B" w:rsidRPr="0027086D" w:rsidRDefault="005A095B" w:rsidP="005A095B">
      <w:pPr>
        <w:ind w:firstLine="709"/>
        <w:rPr>
          <w:rFonts w:cs="Times New Roman"/>
        </w:rPr>
      </w:pPr>
      <w:r w:rsidRPr="0027086D">
        <w:rPr>
          <w:rFonts w:cs="Times New Roman"/>
        </w:rPr>
        <w:t>–</w:t>
      </w:r>
      <w:r w:rsidRPr="0027086D">
        <w:rPr>
          <w:rFonts w:cs="Times New Roman"/>
        </w:rPr>
        <w:tab/>
        <w:t>Контроль качества результатов определения кадастровой стоимости включает проверку исходных данных об объектах недвижимости, организацию их сверки</w:t>
      </w:r>
      <w:r w:rsidR="00002C7A">
        <w:rPr>
          <w:rFonts w:cs="Times New Roman"/>
        </w:rPr>
        <w:t>,</w:t>
      </w:r>
      <w:r w:rsidRPr="0027086D">
        <w:rPr>
          <w:rFonts w:cs="Times New Roman"/>
        </w:rPr>
        <w:t xml:space="preserve"> уточнения, анализ рынка, сбор и верификацию данных о сделках и предложениях;</w:t>
      </w:r>
    </w:p>
    <w:p w14:paraId="67CCC913" w14:textId="77777777" w:rsidR="005A095B" w:rsidRPr="0027086D" w:rsidRDefault="005A095B" w:rsidP="005A095B">
      <w:pPr>
        <w:ind w:firstLine="709"/>
        <w:rPr>
          <w:rFonts w:cs="Times New Roman"/>
        </w:rPr>
      </w:pPr>
      <w:r w:rsidRPr="0027086D">
        <w:rPr>
          <w:rFonts w:cs="Times New Roman"/>
        </w:rPr>
        <w:t>–</w:t>
      </w:r>
      <w:r w:rsidRPr="0027086D">
        <w:rPr>
          <w:rFonts w:cs="Times New Roman"/>
        </w:rPr>
        <w:tab/>
        <w:t>Составление промежуточного отчета об итогах государственной кадастровой оценки;</w:t>
      </w:r>
    </w:p>
    <w:p w14:paraId="364AD783" w14:textId="77777777" w:rsidR="005A095B" w:rsidRPr="0027086D" w:rsidRDefault="005A095B" w:rsidP="005A095B">
      <w:pPr>
        <w:ind w:firstLine="709"/>
        <w:rPr>
          <w:rFonts w:cs="Times New Roman"/>
        </w:rPr>
      </w:pPr>
      <w:r w:rsidRPr="0027086D">
        <w:rPr>
          <w:rFonts w:cs="Times New Roman"/>
        </w:rPr>
        <w:t>–</w:t>
      </w:r>
      <w:r w:rsidRPr="0027086D">
        <w:rPr>
          <w:rFonts w:cs="Times New Roman"/>
        </w:rPr>
        <w:tab/>
        <w:t>Обработка замечаний Росреестра/любых заинтересованных лиц;</w:t>
      </w:r>
    </w:p>
    <w:p w14:paraId="703A8EDC" w14:textId="3D72E7E2" w:rsidR="005A095B" w:rsidRPr="0027086D" w:rsidRDefault="005A095B" w:rsidP="005A095B">
      <w:pPr>
        <w:ind w:firstLine="709"/>
        <w:rPr>
          <w:rFonts w:cs="Times New Roman"/>
        </w:rPr>
      </w:pPr>
      <w:r w:rsidRPr="0027086D">
        <w:rPr>
          <w:rFonts w:cs="Times New Roman"/>
        </w:rPr>
        <w:t>–</w:t>
      </w:r>
      <w:r w:rsidRPr="0027086D">
        <w:rPr>
          <w:rFonts w:cs="Times New Roman"/>
        </w:rPr>
        <w:tab/>
        <w:t>Составление отчета об итогах государственной ка</w:t>
      </w:r>
      <w:r w:rsidR="00FC5515">
        <w:rPr>
          <w:rFonts w:cs="Times New Roman"/>
        </w:rPr>
        <w:t>дастровой оценки.</w:t>
      </w:r>
    </w:p>
    <w:p w14:paraId="360622A2" w14:textId="51DAD58A" w:rsidR="00B6086B" w:rsidRPr="0027086D" w:rsidRDefault="00B6086B">
      <w:pPr>
        <w:spacing w:after="160" w:line="259" w:lineRule="auto"/>
        <w:ind w:firstLine="0"/>
        <w:jc w:val="left"/>
        <w:rPr>
          <w:rFonts w:cs="Times New Roman"/>
        </w:rPr>
        <w:sectPr w:rsidR="00B6086B" w:rsidRPr="0027086D" w:rsidSect="008B47F1">
          <w:headerReference w:type="even" r:id="rId9"/>
          <w:footerReference w:type="even" r:id="rId10"/>
          <w:footerReference w:type="default" r:id="rId11"/>
          <w:footnotePr>
            <w:numStart w:val="5"/>
          </w:footnotePr>
          <w:pgSz w:w="11909" w:h="16840"/>
          <w:pgMar w:top="1134" w:right="851" w:bottom="1134" w:left="1701" w:header="0" w:footer="3" w:gutter="0"/>
          <w:pgNumType w:start="1"/>
          <w:cols w:space="720"/>
          <w:noEndnote/>
          <w:titlePg/>
          <w:docGrid w:linePitch="360"/>
        </w:sectPr>
      </w:pPr>
    </w:p>
    <w:p w14:paraId="3C93075D" w14:textId="73E94D12" w:rsidR="00B6086B" w:rsidRPr="0027086D" w:rsidRDefault="006F19C2" w:rsidP="008903B9">
      <w:pPr>
        <w:spacing w:after="160" w:line="259" w:lineRule="auto"/>
        <w:ind w:firstLine="0"/>
        <w:jc w:val="center"/>
        <w:rPr>
          <w:rFonts w:cs="Times New Roman"/>
        </w:rPr>
      </w:pPr>
      <w:r w:rsidRPr="006F19C2">
        <w:rPr>
          <w:noProof/>
          <w:lang w:eastAsia="ru-RU"/>
        </w:rPr>
        <w:drawing>
          <wp:inline distT="0" distB="0" distL="0" distR="0" wp14:anchorId="69B7C45F" wp14:editId="0C116C5F">
            <wp:extent cx="8871423" cy="5667375"/>
            <wp:effectExtent l="0" t="0" r="635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8875177" cy="5669773"/>
                    </a:xfrm>
                    <a:prstGeom prst="rect">
                      <a:avLst/>
                    </a:prstGeom>
                    <a:noFill/>
                    <a:ln>
                      <a:noFill/>
                    </a:ln>
                  </pic:spPr>
                </pic:pic>
              </a:graphicData>
            </a:graphic>
          </wp:inline>
        </w:drawing>
      </w:r>
      <w:r w:rsidRPr="006F19C2">
        <w:t xml:space="preserve"> </w:t>
      </w:r>
    </w:p>
    <w:p w14:paraId="3B2BA2DF" w14:textId="2080045E" w:rsidR="008903B9" w:rsidRPr="0027086D" w:rsidRDefault="008903B9">
      <w:pPr>
        <w:spacing w:after="160" w:line="259" w:lineRule="auto"/>
        <w:ind w:firstLine="0"/>
        <w:jc w:val="left"/>
        <w:rPr>
          <w:rFonts w:cs="Times New Roman"/>
        </w:rPr>
      </w:pPr>
      <w:r w:rsidRPr="0027086D">
        <w:rPr>
          <w:rFonts w:cs="Times New Roman"/>
          <w:noProof/>
          <w:sz w:val="22"/>
          <w:lang w:eastAsia="ru-RU"/>
        </w:rPr>
        <w:drawing>
          <wp:inline distT="0" distB="0" distL="0" distR="0" wp14:anchorId="6F20D51E" wp14:editId="3511D3A3">
            <wp:extent cx="237490" cy="121920"/>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37490" cy="121920"/>
                    </a:xfrm>
                    <a:prstGeom prst="rect">
                      <a:avLst/>
                    </a:prstGeom>
                    <a:noFill/>
                  </pic:spPr>
                </pic:pic>
              </a:graphicData>
            </a:graphic>
          </wp:inline>
        </w:drawing>
      </w:r>
      <w:r w:rsidRPr="0027086D">
        <w:rPr>
          <w:rFonts w:cs="Times New Roman"/>
          <w:sz w:val="22"/>
        </w:rPr>
        <w:t xml:space="preserve">     - стрелками обозначена передача информации</w:t>
      </w:r>
      <w:r w:rsidRPr="0027086D">
        <w:rPr>
          <w:rFonts w:cs="Times New Roman"/>
        </w:rPr>
        <w:t xml:space="preserve"> </w:t>
      </w:r>
    </w:p>
    <w:p w14:paraId="1E28B0A6" w14:textId="1DAD756F" w:rsidR="008903B9" w:rsidRPr="0027086D" w:rsidRDefault="008903B9" w:rsidP="001E0B9F">
      <w:pPr>
        <w:pStyle w:val="aff3"/>
        <w:jc w:val="center"/>
        <w:sectPr w:rsidR="008903B9" w:rsidRPr="0027086D" w:rsidSect="008903B9">
          <w:footnotePr>
            <w:numStart w:val="5"/>
          </w:footnotePr>
          <w:pgSz w:w="16840" w:h="11909" w:orient="landscape"/>
          <w:pgMar w:top="567" w:right="1134" w:bottom="851" w:left="1134" w:header="0" w:footer="3" w:gutter="0"/>
          <w:cols w:space="720"/>
          <w:noEndnote/>
          <w:docGrid w:linePitch="360"/>
        </w:sectPr>
      </w:pPr>
      <w:r w:rsidRPr="0027086D">
        <w:t>.</w:t>
      </w:r>
      <w:r w:rsidR="001E0B9F" w:rsidRPr="001E0B9F">
        <w:rPr>
          <w:b w:val="0"/>
          <w:i/>
          <w:caps w:val="0"/>
          <w:sz w:val="24"/>
          <w:szCs w:val="24"/>
        </w:rPr>
        <w:t xml:space="preserve">Рисунок </w:t>
      </w:r>
      <w:r w:rsidR="001E0B9F" w:rsidRPr="001E0B9F">
        <w:rPr>
          <w:b w:val="0"/>
          <w:i/>
          <w:caps w:val="0"/>
          <w:sz w:val="24"/>
          <w:szCs w:val="24"/>
        </w:rPr>
        <w:fldChar w:fldCharType="begin"/>
      </w:r>
      <w:r w:rsidR="001E0B9F" w:rsidRPr="001E0B9F">
        <w:rPr>
          <w:b w:val="0"/>
          <w:i/>
          <w:caps w:val="0"/>
          <w:sz w:val="24"/>
          <w:szCs w:val="24"/>
        </w:rPr>
        <w:instrText xml:space="preserve"> SEQ Рисунок \* ARABIC </w:instrText>
      </w:r>
      <w:r w:rsidR="001E0B9F" w:rsidRPr="001E0B9F">
        <w:rPr>
          <w:b w:val="0"/>
          <w:i/>
          <w:caps w:val="0"/>
          <w:sz w:val="24"/>
          <w:szCs w:val="24"/>
        </w:rPr>
        <w:fldChar w:fldCharType="separate"/>
      </w:r>
      <w:r w:rsidR="00FD2769">
        <w:rPr>
          <w:b w:val="0"/>
          <w:i/>
          <w:caps w:val="0"/>
          <w:noProof/>
          <w:sz w:val="24"/>
          <w:szCs w:val="24"/>
        </w:rPr>
        <w:t>1</w:t>
      </w:r>
      <w:r w:rsidR="001E0B9F" w:rsidRPr="001E0B9F">
        <w:rPr>
          <w:b w:val="0"/>
          <w:i/>
          <w:caps w:val="0"/>
          <w:sz w:val="24"/>
          <w:szCs w:val="24"/>
        </w:rPr>
        <w:fldChar w:fldCharType="end"/>
      </w:r>
      <w:r w:rsidRPr="001E0B9F">
        <w:rPr>
          <w:b w:val="0"/>
          <w:i/>
          <w:caps w:val="0"/>
          <w:sz w:val="24"/>
          <w:szCs w:val="24"/>
        </w:rPr>
        <w:t xml:space="preserve"> Схема организации проведения работ по определению государственной кадастровой стоимости</w:t>
      </w:r>
    </w:p>
    <w:p w14:paraId="154F92CB" w14:textId="77777777" w:rsidR="003272F2" w:rsidRPr="00BE670C" w:rsidRDefault="003272F2" w:rsidP="00FD2769">
      <w:pPr>
        <w:pStyle w:val="3"/>
        <w:rPr>
          <w:rStyle w:val="blk"/>
          <w:i/>
        </w:rPr>
      </w:pPr>
      <w:bookmarkStart w:id="18" w:name="_Toc14819095"/>
      <w:r w:rsidRPr="00DF26AE">
        <w:rPr>
          <w:rStyle w:val="blk"/>
          <w:i/>
        </w:rPr>
        <w:t>Перечень внешних источников информации:</w:t>
      </w:r>
      <w:bookmarkEnd w:id="18"/>
    </w:p>
    <w:p w14:paraId="28BF2434" w14:textId="77777777" w:rsidR="003272F2" w:rsidRPr="0027086D" w:rsidRDefault="003272F2" w:rsidP="003272F2">
      <w:pPr>
        <w:tabs>
          <w:tab w:val="num" w:pos="851"/>
        </w:tabs>
        <w:ind w:firstLine="709"/>
        <w:rPr>
          <w:rStyle w:val="blk"/>
          <w:rFonts w:cs="Times New Roman"/>
        </w:rPr>
      </w:pPr>
      <w:r w:rsidRPr="0027086D">
        <w:rPr>
          <w:rStyle w:val="blk"/>
          <w:rFonts w:cs="Times New Roman"/>
        </w:rPr>
        <w:t>В качестве информации от внешних источников использовались:</w:t>
      </w:r>
    </w:p>
    <w:p w14:paraId="47DCAA0B" w14:textId="77777777" w:rsidR="003272F2" w:rsidRPr="00FC5515" w:rsidRDefault="003272F2" w:rsidP="003272F2">
      <w:pPr>
        <w:pStyle w:val="af0"/>
        <w:numPr>
          <w:ilvl w:val="0"/>
          <w:numId w:val="94"/>
        </w:numPr>
        <w:tabs>
          <w:tab w:val="num" w:pos="851"/>
        </w:tabs>
        <w:ind w:left="1560" w:hanging="709"/>
        <w:rPr>
          <w:rStyle w:val="blk"/>
          <w:rFonts w:cs="Times New Roman"/>
        </w:rPr>
      </w:pPr>
      <w:r w:rsidRPr="00FC5515">
        <w:rPr>
          <w:rStyle w:val="blk"/>
          <w:rFonts w:cs="Times New Roman"/>
        </w:rPr>
        <w:t>Информация от республиканских органов исполнительной власти и местного самоуправления;</w:t>
      </w:r>
    </w:p>
    <w:p w14:paraId="777448F3" w14:textId="77777777" w:rsidR="003272F2" w:rsidRPr="00FC5515" w:rsidRDefault="003272F2" w:rsidP="003272F2">
      <w:pPr>
        <w:pStyle w:val="af0"/>
        <w:numPr>
          <w:ilvl w:val="0"/>
          <w:numId w:val="94"/>
        </w:numPr>
        <w:tabs>
          <w:tab w:val="num" w:pos="851"/>
        </w:tabs>
        <w:ind w:left="1560" w:hanging="709"/>
        <w:rPr>
          <w:rStyle w:val="blk"/>
          <w:rFonts w:cs="Times New Roman"/>
        </w:rPr>
      </w:pPr>
      <w:r w:rsidRPr="00FC5515">
        <w:rPr>
          <w:rStyle w:val="blk"/>
          <w:rFonts w:cs="Times New Roman"/>
        </w:rPr>
        <w:t>Портал услуг Федеральной службы государственной регистрации, кадастра и картографии. Электронный сервис «Публичная кадастровая карта» (http://pkk5.rosreestr.ru/);</w:t>
      </w:r>
    </w:p>
    <w:p w14:paraId="431F9421" w14:textId="77777777" w:rsidR="003272F2" w:rsidRPr="00FC5515" w:rsidRDefault="003272F2" w:rsidP="003272F2">
      <w:pPr>
        <w:pStyle w:val="af0"/>
        <w:numPr>
          <w:ilvl w:val="0"/>
          <w:numId w:val="94"/>
        </w:numPr>
        <w:tabs>
          <w:tab w:val="num" w:pos="851"/>
        </w:tabs>
        <w:ind w:left="1560" w:hanging="709"/>
        <w:rPr>
          <w:rStyle w:val="blk"/>
          <w:rFonts w:cs="Times New Roman"/>
        </w:rPr>
      </w:pPr>
      <w:r w:rsidRPr="00FC5515">
        <w:rPr>
          <w:rStyle w:val="blk"/>
          <w:rFonts w:cs="Times New Roman"/>
        </w:rPr>
        <w:t>Официальный сайт Территориального органа Федеральной службы государственной статистики по Республике Саха (Якутия).</w:t>
      </w:r>
    </w:p>
    <w:p w14:paraId="2D828796" w14:textId="77777777" w:rsidR="003272F2" w:rsidRPr="00FC5515" w:rsidRDefault="003272F2" w:rsidP="003272F2">
      <w:pPr>
        <w:pStyle w:val="af0"/>
        <w:numPr>
          <w:ilvl w:val="0"/>
          <w:numId w:val="94"/>
        </w:numPr>
        <w:tabs>
          <w:tab w:val="num" w:pos="851"/>
        </w:tabs>
        <w:ind w:left="1560" w:hanging="709"/>
        <w:rPr>
          <w:rStyle w:val="blk"/>
          <w:rFonts w:cs="Times New Roman"/>
        </w:rPr>
      </w:pPr>
      <w:r w:rsidRPr="00FC5515">
        <w:rPr>
          <w:rStyle w:val="blk"/>
          <w:rFonts w:cs="Times New Roman"/>
        </w:rPr>
        <w:t>(http://sakha.gks.ru/);</w:t>
      </w:r>
    </w:p>
    <w:p w14:paraId="039857EB" w14:textId="77777777" w:rsidR="003272F2" w:rsidRPr="00FC5515" w:rsidRDefault="003272F2" w:rsidP="003272F2">
      <w:pPr>
        <w:pStyle w:val="af0"/>
        <w:numPr>
          <w:ilvl w:val="0"/>
          <w:numId w:val="94"/>
        </w:numPr>
        <w:tabs>
          <w:tab w:val="num" w:pos="851"/>
        </w:tabs>
        <w:ind w:left="1560" w:hanging="709"/>
        <w:rPr>
          <w:rStyle w:val="blk"/>
          <w:rFonts w:cs="Times New Roman"/>
        </w:rPr>
      </w:pPr>
      <w:r w:rsidRPr="00FC5515">
        <w:rPr>
          <w:rStyle w:val="blk"/>
          <w:rFonts w:cs="Times New Roman"/>
        </w:rPr>
        <w:t>Официальный сайт Министерства экономики Республики Саха (Якутия) (https://mineconomic.sakha.gov.ru/);</w:t>
      </w:r>
    </w:p>
    <w:p w14:paraId="06717E5C" w14:textId="77777777" w:rsidR="003272F2" w:rsidRPr="00FC5515" w:rsidRDefault="003272F2" w:rsidP="003272F2">
      <w:pPr>
        <w:pStyle w:val="af0"/>
        <w:numPr>
          <w:ilvl w:val="0"/>
          <w:numId w:val="94"/>
        </w:numPr>
        <w:tabs>
          <w:tab w:val="num" w:pos="851"/>
        </w:tabs>
        <w:ind w:left="1560" w:hanging="709"/>
        <w:rPr>
          <w:rStyle w:val="blk"/>
          <w:rFonts w:cs="Times New Roman"/>
          <w:lang w:val="en-US"/>
        </w:rPr>
      </w:pPr>
      <w:r w:rsidRPr="00FC5515">
        <w:rPr>
          <w:rStyle w:val="blk"/>
          <w:rFonts w:cs="Times New Roman"/>
          <w:lang w:val="en-US"/>
        </w:rPr>
        <w:t>OpenStreetMap (OSM) (http://openstreetmap.ru);</w:t>
      </w:r>
    </w:p>
    <w:p w14:paraId="4B093470" w14:textId="77777777" w:rsidR="003272F2" w:rsidRPr="00FC5515" w:rsidRDefault="003272F2" w:rsidP="003272F2">
      <w:pPr>
        <w:pStyle w:val="af0"/>
        <w:numPr>
          <w:ilvl w:val="0"/>
          <w:numId w:val="94"/>
        </w:numPr>
        <w:tabs>
          <w:tab w:val="num" w:pos="851"/>
        </w:tabs>
        <w:ind w:left="1560" w:hanging="709"/>
        <w:rPr>
          <w:rStyle w:val="blk"/>
          <w:rFonts w:cs="Times New Roman"/>
        </w:rPr>
      </w:pPr>
      <w:r w:rsidRPr="00FC5515">
        <w:rPr>
          <w:rStyle w:val="blk"/>
          <w:rFonts w:cs="Times New Roman"/>
        </w:rPr>
        <w:t>Гугл карты (https://www.google.ru/maps);</w:t>
      </w:r>
    </w:p>
    <w:p w14:paraId="3B2D7C30" w14:textId="77777777" w:rsidR="003272F2" w:rsidRPr="00FC5515" w:rsidRDefault="003272F2" w:rsidP="003272F2">
      <w:pPr>
        <w:pStyle w:val="af0"/>
        <w:numPr>
          <w:ilvl w:val="0"/>
          <w:numId w:val="94"/>
        </w:numPr>
        <w:tabs>
          <w:tab w:val="num" w:pos="851"/>
        </w:tabs>
        <w:ind w:left="1560" w:hanging="709"/>
        <w:rPr>
          <w:rStyle w:val="blk"/>
          <w:rFonts w:cs="Times New Roman"/>
        </w:rPr>
      </w:pPr>
      <w:r w:rsidRPr="00FC5515">
        <w:rPr>
          <w:rStyle w:val="blk"/>
          <w:rFonts w:cs="Times New Roman"/>
        </w:rPr>
        <w:t>Яндекс карты (https://yandex.ru/maps/);</w:t>
      </w:r>
    </w:p>
    <w:p w14:paraId="5B020C8F" w14:textId="61D0DFA7" w:rsidR="003272F2" w:rsidRPr="00FC5515" w:rsidRDefault="003272F2" w:rsidP="003272F2">
      <w:pPr>
        <w:pStyle w:val="af0"/>
        <w:numPr>
          <w:ilvl w:val="0"/>
          <w:numId w:val="94"/>
        </w:numPr>
        <w:tabs>
          <w:tab w:val="num" w:pos="851"/>
        </w:tabs>
        <w:ind w:left="1560" w:hanging="709"/>
        <w:rPr>
          <w:rStyle w:val="blk"/>
          <w:rFonts w:cs="Times New Roman"/>
        </w:rPr>
      </w:pPr>
      <w:r w:rsidRPr="00FC5515">
        <w:rPr>
          <w:rStyle w:val="blk"/>
          <w:rFonts w:cs="Times New Roman"/>
        </w:rPr>
        <w:t>2 ГИС (</w:t>
      </w:r>
      <w:r w:rsidRPr="00CF779D">
        <w:rPr>
          <w:rFonts w:cs="Times New Roman"/>
        </w:rPr>
        <w:t>http://2gis.ru/</w:t>
      </w:r>
      <w:r w:rsidRPr="00FC5515">
        <w:rPr>
          <w:rStyle w:val="blk"/>
          <w:rFonts w:cs="Times New Roman"/>
        </w:rPr>
        <w:t>).</w:t>
      </w:r>
    </w:p>
    <w:p w14:paraId="78A8C2F5" w14:textId="77777777" w:rsidR="003272F2" w:rsidRPr="0027086D" w:rsidRDefault="003272F2" w:rsidP="003272F2">
      <w:pPr>
        <w:tabs>
          <w:tab w:val="num" w:pos="851"/>
        </w:tabs>
        <w:ind w:firstLine="709"/>
        <w:rPr>
          <w:rStyle w:val="blk"/>
          <w:rFonts w:cs="Times New Roman"/>
        </w:rPr>
      </w:pPr>
      <w:r w:rsidRPr="0027086D">
        <w:rPr>
          <w:rStyle w:val="blk"/>
          <w:rFonts w:cs="Times New Roman"/>
        </w:rPr>
        <w:t>Все прочие источники информации, использованные при написании Отчета об определении кадастровой стоимости, приведены далее в тексте Отчета.</w:t>
      </w:r>
    </w:p>
    <w:p w14:paraId="7D4C1840" w14:textId="77777777" w:rsidR="003272F2" w:rsidRPr="0027086D" w:rsidRDefault="003272F2" w:rsidP="003272F2">
      <w:pPr>
        <w:ind w:firstLine="709"/>
        <w:rPr>
          <w:rFonts w:cs="Times New Roman"/>
        </w:rPr>
      </w:pPr>
    </w:p>
    <w:p w14:paraId="7093E918" w14:textId="1A61D889" w:rsidR="006629F8" w:rsidRPr="001D07D3" w:rsidRDefault="006629F8" w:rsidP="00FD2769">
      <w:pPr>
        <w:pStyle w:val="10"/>
        <w:numPr>
          <w:ilvl w:val="1"/>
          <w:numId w:val="100"/>
        </w:numPr>
        <w:jc w:val="both"/>
      </w:pPr>
      <w:bookmarkStart w:id="19" w:name="_Toc14819096"/>
      <w:r w:rsidRPr="001D07D3">
        <w:t>Сведения о работниках бюджетного учреждения, непосредственно осуществивших определение кадастровой стоимости, руководителе бюджетного учреждения, работниках бюджетного учреждения, привлекаемых к определению кадастровой стоимости</w:t>
      </w:r>
      <w:bookmarkEnd w:id="19"/>
    </w:p>
    <w:p w14:paraId="75622A83" w14:textId="77777777" w:rsidR="009F7732" w:rsidRPr="0027086D" w:rsidRDefault="009F7732" w:rsidP="007D5A78">
      <w:pPr>
        <w:ind w:firstLine="709"/>
        <w:rPr>
          <w:rFonts w:cs="Times New Roman"/>
          <w:highlight w:val="yellow"/>
        </w:rPr>
      </w:pPr>
    </w:p>
    <w:p w14:paraId="5205D9E7" w14:textId="4847AEF0" w:rsidR="009F7732" w:rsidRPr="0027086D" w:rsidRDefault="009F7732" w:rsidP="00FD2769">
      <w:pPr>
        <w:pStyle w:val="3"/>
      </w:pPr>
      <w:r w:rsidRPr="0027086D">
        <w:t>Сведения о работниках бюджетного учреждения, непосредственно осуществивших определение кадастровой стоимости</w:t>
      </w:r>
    </w:p>
    <w:p w14:paraId="057BF380" w14:textId="77777777" w:rsidR="003B682D" w:rsidRPr="00726F2A" w:rsidRDefault="003B682D" w:rsidP="003B682D">
      <w:pPr>
        <w:spacing w:before="120" w:after="120"/>
        <w:ind w:firstLine="0"/>
        <w:rPr>
          <w:rFonts w:eastAsia="Times New Roman" w:cs="Times New Roman"/>
          <w:b/>
          <w:bCs/>
          <w:i/>
          <w:sz w:val="20"/>
          <w:szCs w:val="20"/>
          <w:lang w:eastAsia="ru-RU"/>
        </w:rPr>
      </w:pPr>
    </w:p>
    <w:p w14:paraId="7F392513" w14:textId="53015DEB" w:rsidR="00726F2A" w:rsidRPr="00726F2A" w:rsidRDefault="00726F2A" w:rsidP="00763AD2">
      <w:pPr>
        <w:pStyle w:val="afffffff0"/>
        <w:rPr>
          <w:bCs/>
        </w:rPr>
      </w:pPr>
      <w:r w:rsidRPr="00726F2A">
        <w:t xml:space="preserve">Таблица </w:t>
      </w:r>
      <w:r w:rsidR="00A90944">
        <w:fldChar w:fldCharType="begin"/>
      </w:r>
      <w:r w:rsidR="00A90944">
        <w:instrText xml:space="preserve"> SEQ Таблица \* ARABIC </w:instrText>
      </w:r>
      <w:r w:rsidR="00A90944">
        <w:fldChar w:fldCharType="separate"/>
      </w:r>
      <w:r w:rsidR="00FD2769">
        <w:rPr>
          <w:noProof/>
        </w:rPr>
        <w:t>1</w:t>
      </w:r>
      <w:r w:rsidR="00A90944">
        <w:rPr>
          <w:noProof/>
        </w:rPr>
        <w:fldChar w:fldCharType="end"/>
      </w:r>
      <w:r w:rsidRPr="00726F2A">
        <w:t>. Сведения о специалистах ГБУ РС(Я) «Центр госу</w:t>
      </w:r>
      <w:r w:rsidR="00697A20">
        <w:t>дарственной кадастровой оценки»</w:t>
      </w:r>
    </w:p>
    <w:tbl>
      <w:tblPr>
        <w:tblW w:w="9846" w:type="dxa"/>
        <w:jc w:val="center"/>
        <w:tblCellMar>
          <w:left w:w="10" w:type="dxa"/>
          <w:right w:w="10" w:type="dxa"/>
        </w:tblCellMar>
        <w:tblLook w:val="04A0" w:firstRow="1" w:lastRow="0" w:firstColumn="1" w:lastColumn="0" w:noHBand="0" w:noVBand="1"/>
      </w:tblPr>
      <w:tblGrid>
        <w:gridCol w:w="704"/>
        <w:gridCol w:w="1526"/>
        <w:gridCol w:w="1383"/>
        <w:gridCol w:w="2761"/>
        <w:gridCol w:w="1241"/>
        <w:gridCol w:w="2231"/>
      </w:tblGrid>
      <w:tr w:rsidR="001901C4" w:rsidRPr="0027086D" w14:paraId="43E01DAF" w14:textId="77777777" w:rsidTr="00082518">
        <w:trPr>
          <w:trHeight w:val="315"/>
          <w:tblHeader/>
          <w:jc w:val="center"/>
        </w:trPr>
        <w:tc>
          <w:tcPr>
            <w:tcW w:w="704" w:type="dxa"/>
            <w:tcBorders>
              <w:top w:val="single" w:sz="4" w:space="0" w:color="000000"/>
              <w:left w:val="single" w:sz="4" w:space="0" w:color="000000"/>
              <w:bottom w:val="single" w:sz="4" w:space="0" w:color="000000"/>
              <w:right w:val="single" w:sz="4" w:space="0" w:color="000000"/>
            </w:tcBorders>
            <w:shd w:val="clear" w:color="auto" w:fill="BFBFBF"/>
            <w:tcMar>
              <w:top w:w="0" w:type="dxa"/>
              <w:left w:w="108" w:type="dxa"/>
              <w:bottom w:w="0" w:type="dxa"/>
              <w:right w:w="108" w:type="dxa"/>
            </w:tcMar>
            <w:vAlign w:val="center"/>
          </w:tcPr>
          <w:p w14:paraId="7B2EC8FF" w14:textId="006B19BC" w:rsidR="00CD69AF" w:rsidRPr="0027086D" w:rsidRDefault="003B682D" w:rsidP="00CD69AF">
            <w:pPr>
              <w:ind w:firstLine="22"/>
              <w:jc w:val="center"/>
              <w:rPr>
                <w:rFonts w:eastAsia="Times New Roman" w:cs="Times New Roman"/>
                <w:b/>
                <w:sz w:val="20"/>
                <w:szCs w:val="20"/>
                <w:lang w:eastAsia="ru-RU"/>
              </w:rPr>
            </w:pPr>
            <w:r w:rsidRPr="0027086D">
              <w:rPr>
                <w:rFonts w:eastAsia="Times New Roman" w:cs="Times New Roman"/>
                <w:b/>
                <w:sz w:val="20"/>
                <w:szCs w:val="20"/>
                <w:lang w:eastAsia="ru-RU"/>
              </w:rPr>
              <w:t xml:space="preserve">№ </w:t>
            </w:r>
          </w:p>
          <w:p w14:paraId="4CE1CDAE" w14:textId="1A57BD88" w:rsidR="003B682D" w:rsidRPr="0027086D" w:rsidRDefault="00CD69AF" w:rsidP="00CD69AF">
            <w:pPr>
              <w:ind w:right="-56" w:firstLine="22"/>
              <w:jc w:val="center"/>
              <w:rPr>
                <w:rFonts w:eastAsia="Times New Roman" w:cs="Times New Roman"/>
                <w:b/>
                <w:sz w:val="20"/>
                <w:szCs w:val="20"/>
                <w:lang w:eastAsia="ru-RU"/>
              </w:rPr>
            </w:pPr>
            <w:r>
              <w:rPr>
                <w:rFonts w:eastAsia="Times New Roman" w:cs="Times New Roman"/>
                <w:b/>
                <w:sz w:val="20"/>
                <w:szCs w:val="20"/>
                <w:lang w:eastAsia="ru-RU"/>
              </w:rPr>
              <w:t>п</w:t>
            </w:r>
            <w:r w:rsidR="003B682D" w:rsidRPr="0027086D">
              <w:rPr>
                <w:rFonts w:eastAsia="Times New Roman" w:cs="Times New Roman"/>
                <w:b/>
                <w:sz w:val="20"/>
                <w:szCs w:val="20"/>
                <w:lang w:eastAsia="ru-RU"/>
              </w:rPr>
              <w:t>/п</w:t>
            </w:r>
          </w:p>
        </w:tc>
        <w:tc>
          <w:tcPr>
            <w:tcW w:w="1526" w:type="dxa"/>
            <w:tcBorders>
              <w:top w:val="single" w:sz="4" w:space="0" w:color="000000"/>
              <w:left w:val="single" w:sz="4" w:space="0" w:color="000000"/>
              <w:bottom w:val="single" w:sz="4" w:space="0" w:color="000000"/>
              <w:right w:val="single" w:sz="4" w:space="0" w:color="000000"/>
            </w:tcBorders>
            <w:shd w:val="clear" w:color="auto" w:fill="BFBFBF"/>
            <w:tcMar>
              <w:top w:w="0" w:type="dxa"/>
              <w:left w:w="108" w:type="dxa"/>
              <w:bottom w:w="0" w:type="dxa"/>
              <w:right w:w="108" w:type="dxa"/>
            </w:tcMar>
            <w:vAlign w:val="center"/>
          </w:tcPr>
          <w:p w14:paraId="0D9C6D8C" w14:textId="77777777" w:rsidR="003B682D" w:rsidRPr="0027086D" w:rsidRDefault="003B682D" w:rsidP="003B682D">
            <w:pPr>
              <w:ind w:firstLine="0"/>
              <w:jc w:val="center"/>
              <w:rPr>
                <w:rFonts w:eastAsia="Times New Roman" w:cs="Times New Roman"/>
                <w:b/>
                <w:sz w:val="20"/>
                <w:szCs w:val="20"/>
                <w:lang w:eastAsia="ru-RU"/>
              </w:rPr>
            </w:pPr>
            <w:r w:rsidRPr="0027086D">
              <w:rPr>
                <w:rFonts w:eastAsia="Times New Roman" w:cs="Times New Roman"/>
                <w:b/>
                <w:sz w:val="20"/>
                <w:szCs w:val="20"/>
                <w:lang w:eastAsia="ru-RU"/>
              </w:rPr>
              <w:t>Фамилия, имя, отчество</w:t>
            </w:r>
          </w:p>
        </w:tc>
        <w:tc>
          <w:tcPr>
            <w:tcW w:w="1383" w:type="dxa"/>
            <w:tcBorders>
              <w:top w:val="single" w:sz="4" w:space="0" w:color="000000"/>
              <w:left w:val="single" w:sz="4" w:space="0" w:color="000000"/>
              <w:bottom w:val="single" w:sz="4" w:space="0" w:color="000000"/>
              <w:right w:val="single" w:sz="4" w:space="0" w:color="000000"/>
            </w:tcBorders>
            <w:shd w:val="clear" w:color="auto" w:fill="BFBFBF"/>
            <w:tcMar>
              <w:top w:w="0" w:type="dxa"/>
              <w:left w:w="108" w:type="dxa"/>
              <w:bottom w:w="0" w:type="dxa"/>
              <w:right w:w="108" w:type="dxa"/>
            </w:tcMar>
            <w:vAlign w:val="center"/>
          </w:tcPr>
          <w:p w14:paraId="45234576" w14:textId="77777777" w:rsidR="003B682D" w:rsidRPr="0027086D" w:rsidRDefault="003B682D" w:rsidP="003B682D">
            <w:pPr>
              <w:ind w:firstLine="0"/>
              <w:jc w:val="center"/>
              <w:rPr>
                <w:rFonts w:eastAsia="Times New Roman" w:cs="Times New Roman"/>
                <w:b/>
                <w:sz w:val="20"/>
                <w:szCs w:val="20"/>
                <w:lang w:eastAsia="ru-RU"/>
              </w:rPr>
            </w:pPr>
            <w:r w:rsidRPr="0027086D">
              <w:rPr>
                <w:rFonts w:eastAsia="Times New Roman" w:cs="Times New Roman"/>
                <w:b/>
                <w:sz w:val="20"/>
                <w:szCs w:val="20"/>
                <w:lang w:eastAsia="ru-RU"/>
              </w:rPr>
              <w:t>Должность</w:t>
            </w:r>
          </w:p>
        </w:tc>
        <w:tc>
          <w:tcPr>
            <w:tcW w:w="2761" w:type="dxa"/>
            <w:tcBorders>
              <w:top w:val="single" w:sz="4" w:space="0" w:color="000000"/>
              <w:left w:val="single" w:sz="4" w:space="0" w:color="000000"/>
              <w:bottom w:val="single" w:sz="4" w:space="0" w:color="000000"/>
              <w:right w:val="single" w:sz="4" w:space="0" w:color="000000"/>
            </w:tcBorders>
            <w:shd w:val="clear" w:color="auto" w:fill="BFBFBF"/>
            <w:vAlign w:val="center"/>
          </w:tcPr>
          <w:p w14:paraId="752CA325" w14:textId="0A30C7AC" w:rsidR="003B682D" w:rsidRPr="0027086D" w:rsidRDefault="003B682D" w:rsidP="003B682D">
            <w:pPr>
              <w:ind w:firstLine="0"/>
              <w:jc w:val="center"/>
              <w:rPr>
                <w:rFonts w:eastAsia="Times New Roman" w:cs="Times New Roman"/>
                <w:b/>
                <w:sz w:val="20"/>
                <w:szCs w:val="20"/>
                <w:lang w:eastAsia="ru-RU"/>
              </w:rPr>
            </w:pPr>
            <w:r w:rsidRPr="0027086D">
              <w:rPr>
                <w:rFonts w:eastAsia="Times New Roman" w:cs="Times New Roman"/>
                <w:b/>
                <w:sz w:val="20"/>
                <w:szCs w:val="20"/>
                <w:lang w:eastAsia="ru-RU"/>
              </w:rPr>
              <w:t xml:space="preserve">Сведения об образовании и (или) профессиональной переподготовке в </w:t>
            </w:r>
            <w:r w:rsidR="003112E0" w:rsidRPr="0027086D">
              <w:rPr>
                <w:rFonts w:eastAsia="Times New Roman" w:cs="Times New Roman"/>
                <w:b/>
                <w:sz w:val="20"/>
                <w:szCs w:val="20"/>
                <w:lang w:eastAsia="ru-RU"/>
              </w:rPr>
              <w:t>республики</w:t>
            </w:r>
            <w:r w:rsidRPr="0027086D">
              <w:rPr>
                <w:rFonts w:eastAsia="Times New Roman" w:cs="Times New Roman"/>
                <w:b/>
                <w:sz w:val="20"/>
                <w:szCs w:val="20"/>
                <w:lang w:eastAsia="ru-RU"/>
              </w:rPr>
              <w:t xml:space="preserve"> оценочной деятельности</w:t>
            </w:r>
          </w:p>
        </w:tc>
        <w:tc>
          <w:tcPr>
            <w:tcW w:w="1241" w:type="dxa"/>
            <w:tcBorders>
              <w:top w:val="single" w:sz="4" w:space="0" w:color="000000"/>
              <w:left w:val="single" w:sz="4" w:space="0" w:color="000000"/>
              <w:bottom w:val="single" w:sz="4" w:space="0" w:color="000000"/>
              <w:right w:val="single" w:sz="4" w:space="0" w:color="000000"/>
            </w:tcBorders>
            <w:shd w:val="clear" w:color="auto" w:fill="BFBFBF"/>
            <w:vAlign w:val="center"/>
          </w:tcPr>
          <w:p w14:paraId="4C7BB621" w14:textId="77777777" w:rsidR="003B682D" w:rsidRPr="0027086D" w:rsidRDefault="003B682D" w:rsidP="003B682D">
            <w:pPr>
              <w:ind w:firstLine="0"/>
              <w:jc w:val="center"/>
              <w:rPr>
                <w:rFonts w:eastAsia="Times New Roman" w:cs="Times New Roman"/>
                <w:b/>
                <w:sz w:val="20"/>
                <w:szCs w:val="20"/>
                <w:lang w:eastAsia="ru-RU"/>
              </w:rPr>
            </w:pPr>
            <w:r w:rsidRPr="0027086D">
              <w:rPr>
                <w:rFonts w:eastAsia="Times New Roman" w:cs="Times New Roman"/>
                <w:b/>
                <w:sz w:val="20"/>
                <w:szCs w:val="20"/>
                <w:lang w:eastAsia="ru-RU"/>
              </w:rPr>
              <w:t>Стаж работы в оценочной деятельности</w:t>
            </w:r>
          </w:p>
        </w:tc>
        <w:tc>
          <w:tcPr>
            <w:tcW w:w="2231" w:type="dxa"/>
            <w:tcBorders>
              <w:top w:val="single" w:sz="4" w:space="0" w:color="000000"/>
              <w:left w:val="single" w:sz="4" w:space="0" w:color="000000"/>
              <w:bottom w:val="single" w:sz="4" w:space="0" w:color="000000"/>
              <w:right w:val="single" w:sz="4" w:space="0" w:color="000000"/>
            </w:tcBorders>
            <w:shd w:val="clear" w:color="auto" w:fill="BFBFBF"/>
            <w:vAlign w:val="center"/>
          </w:tcPr>
          <w:p w14:paraId="4106FB36" w14:textId="77777777" w:rsidR="003B682D" w:rsidRPr="0027086D" w:rsidRDefault="003B682D" w:rsidP="003B682D">
            <w:pPr>
              <w:ind w:firstLine="0"/>
              <w:jc w:val="center"/>
              <w:rPr>
                <w:rFonts w:eastAsia="Times New Roman" w:cs="Times New Roman"/>
                <w:b/>
                <w:sz w:val="20"/>
                <w:szCs w:val="20"/>
                <w:lang w:eastAsia="ru-RU"/>
              </w:rPr>
            </w:pPr>
            <w:r w:rsidRPr="0027086D">
              <w:rPr>
                <w:rFonts w:eastAsia="Times New Roman" w:cs="Times New Roman"/>
                <w:b/>
                <w:sz w:val="20"/>
                <w:szCs w:val="20"/>
                <w:lang w:eastAsia="ru-RU"/>
              </w:rPr>
              <w:t>Степень участия</w:t>
            </w:r>
          </w:p>
        </w:tc>
      </w:tr>
      <w:tr w:rsidR="001901C4" w:rsidRPr="0027086D" w14:paraId="2B1427C9" w14:textId="77777777" w:rsidTr="00082518">
        <w:trPr>
          <w:jc w:val="center"/>
        </w:trPr>
        <w:tc>
          <w:tcPr>
            <w:tcW w:w="7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7DF9EF7" w14:textId="79E4BE22" w:rsidR="003B682D" w:rsidRPr="0027086D" w:rsidRDefault="00726F2A" w:rsidP="00CD69AF">
            <w:pPr>
              <w:ind w:firstLine="22"/>
              <w:jc w:val="center"/>
              <w:rPr>
                <w:rFonts w:eastAsia="Times New Roman" w:cs="Times New Roman"/>
                <w:sz w:val="20"/>
                <w:szCs w:val="20"/>
                <w:lang w:eastAsia="ru-RU"/>
              </w:rPr>
            </w:pPr>
            <w:r>
              <w:rPr>
                <w:rFonts w:eastAsia="Times New Roman" w:cs="Times New Roman"/>
                <w:sz w:val="20"/>
                <w:szCs w:val="20"/>
                <w:lang w:eastAsia="ru-RU"/>
              </w:rPr>
              <w:t>1</w:t>
            </w:r>
            <w:r w:rsidR="003B682D" w:rsidRPr="0027086D">
              <w:rPr>
                <w:rFonts w:eastAsia="Times New Roman" w:cs="Times New Roman"/>
                <w:sz w:val="20"/>
                <w:szCs w:val="20"/>
                <w:lang w:eastAsia="ru-RU"/>
              </w:rPr>
              <w:t>.</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8E21BC9" w14:textId="2772B04E" w:rsidR="003B682D" w:rsidRPr="0027086D" w:rsidRDefault="00837D7B" w:rsidP="003B682D">
            <w:pPr>
              <w:ind w:firstLine="0"/>
              <w:jc w:val="left"/>
              <w:rPr>
                <w:rFonts w:eastAsia="Times New Roman" w:cs="Times New Roman"/>
                <w:sz w:val="20"/>
                <w:szCs w:val="20"/>
                <w:lang w:eastAsia="ru-RU"/>
              </w:rPr>
            </w:pPr>
            <w:r w:rsidRPr="0027086D">
              <w:rPr>
                <w:rFonts w:eastAsia="Times New Roman" w:cs="Times New Roman"/>
                <w:sz w:val="20"/>
                <w:szCs w:val="20"/>
                <w:lang w:eastAsia="ru-RU"/>
              </w:rPr>
              <w:t>Горохова Анна Федоровна</w:t>
            </w:r>
          </w:p>
        </w:tc>
        <w:tc>
          <w:tcPr>
            <w:tcW w:w="138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550AE63" w14:textId="77777777" w:rsidR="003B682D" w:rsidRPr="0027086D" w:rsidRDefault="003B682D" w:rsidP="003B682D">
            <w:pPr>
              <w:ind w:firstLine="0"/>
              <w:rPr>
                <w:rFonts w:eastAsia="Times New Roman" w:cs="Times New Roman"/>
                <w:sz w:val="20"/>
                <w:szCs w:val="20"/>
                <w:lang w:eastAsia="ru-RU"/>
              </w:rPr>
            </w:pPr>
            <w:r w:rsidRPr="0027086D">
              <w:rPr>
                <w:rFonts w:eastAsia="Times New Roman" w:cs="Times New Roman"/>
                <w:sz w:val="20"/>
                <w:szCs w:val="20"/>
                <w:lang w:eastAsia="ru-RU"/>
              </w:rPr>
              <w:t>Начальник Отдела</w:t>
            </w:r>
          </w:p>
          <w:p w14:paraId="033EC092" w14:textId="77777777" w:rsidR="003B682D" w:rsidRPr="0027086D" w:rsidRDefault="003B682D" w:rsidP="003B682D">
            <w:pPr>
              <w:ind w:firstLine="0"/>
              <w:rPr>
                <w:rFonts w:eastAsia="Times New Roman" w:cs="Times New Roman"/>
                <w:sz w:val="20"/>
                <w:szCs w:val="20"/>
                <w:lang w:eastAsia="ru-RU"/>
              </w:rPr>
            </w:pPr>
            <w:r w:rsidRPr="0027086D">
              <w:rPr>
                <w:rFonts w:eastAsia="Times New Roman" w:cs="Times New Roman"/>
                <w:sz w:val="20"/>
                <w:szCs w:val="20"/>
                <w:lang w:eastAsia="ru-RU"/>
              </w:rPr>
              <w:t>кадастровой оценки</w:t>
            </w:r>
          </w:p>
        </w:tc>
        <w:tc>
          <w:tcPr>
            <w:tcW w:w="2761" w:type="dxa"/>
            <w:tcBorders>
              <w:top w:val="single" w:sz="4" w:space="0" w:color="000000"/>
              <w:left w:val="single" w:sz="4" w:space="0" w:color="000000"/>
              <w:bottom w:val="single" w:sz="4" w:space="0" w:color="000000"/>
              <w:right w:val="single" w:sz="4" w:space="0" w:color="000000"/>
            </w:tcBorders>
          </w:tcPr>
          <w:p w14:paraId="196E41C9" w14:textId="4FC05E1B" w:rsidR="003B682D" w:rsidRPr="0027086D" w:rsidRDefault="003B682D" w:rsidP="005614E1">
            <w:pPr>
              <w:ind w:firstLine="0"/>
              <w:rPr>
                <w:rFonts w:eastAsia="Times New Roman" w:cs="Times New Roman"/>
                <w:sz w:val="20"/>
                <w:szCs w:val="20"/>
                <w:lang w:eastAsia="ru-RU"/>
              </w:rPr>
            </w:pPr>
            <w:r w:rsidRPr="0027086D">
              <w:rPr>
                <w:rFonts w:eastAsia="Times New Roman" w:cs="Times New Roman"/>
                <w:sz w:val="20"/>
                <w:szCs w:val="20"/>
                <w:lang w:eastAsia="ru-RU"/>
              </w:rPr>
              <w:t xml:space="preserve">Диплом о профессиональной переподготовке выдан </w:t>
            </w:r>
            <w:r w:rsidR="00837D7B" w:rsidRPr="0027086D">
              <w:rPr>
                <w:rFonts w:eastAsia="Times New Roman" w:cs="Times New Roman"/>
                <w:sz w:val="20"/>
                <w:szCs w:val="20"/>
                <w:lang w:eastAsia="ru-RU"/>
              </w:rPr>
              <w:t xml:space="preserve">Южный Федеральный университет, по </w:t>
            </w:r>
            <w:r w:rsidRPr="0027086D">
              <w:rPr>
                <w:rFonts w:eastAsia="Times New Roman" w:cs="Times New Roman"/>
                <w:sz w:val="20"/>
                <w:szCs w:val="20"/>
                <w:lang w:eastAsia="ru-RU"/>
              </w:rPr>
              <w:t xml:space="preserve">программе: Оценка стоимости предприятия (бизнеса). Специализация «Оценка стоимости предприятия (бизнеса)» от </w:t>
            </w:r>
            <w:r w:rsidR="00837D7B" w:rsidRPr="0027086D">
              <w:rPr>
                <w:rFonts w:eastAsia="Times New Roman" w:cs="Times New Roman"/>
                <w:sz w:val="20"/>
                <w:szCs w:val="20"/>
                <w:lang w:eastAsia="ru-RU"/>
              </w:rPr>
              <w:t>31</w:t>
            </w:r>
            <w:r w:rsidRPr="0027086D">
              <w:rPr>
                <w:rFonts w:eastAsia="Times New Roman" w:cs="Times New Roman"/>
                <w:sz w:val="20"/>
                <w:szCs w:val="20"/>
                <w:lang w:eastAsia="ru-RU"/>
              </w:rPr>
              <w:t>.0</w:t>
            </w:r>
            <w:r w:rsidR="00837D7B" w:rsidRPr="0027086D">
              <w:rPr>
                <w:rFonts w:eastAsia="Times New Roman" w:cs="Times New Roman"/>
                <w:sz w:val="20"/>
                <w:szCs w:val="20"/>
                <w:lang w:eastAsia="ru-RU"/>
              </w:rPr>
              <w:t>8</w:t>
            </w:r>
            <w:r w:rsidRPr="0027086D">
              <w:rPr>
                <w:rFonts w:eastAsia="Times New Roman" w:cs="Times New Roman"/>
                <w:sz w:val="20"/>
                <w:szCs w:val="20"/>
                <w:lang w:eastAsia="ru-RU"/>
              </w:rPr>
              <w:t>.20</w:t>
            </w:r>
            <w:r w:rsidR="00837D7B" w:rsidRPr="0027086D">
              <w:rPr>
                <w:rFonts w:eastAsia="Times New Roman" w:cs="Times New Roman"/>
                <w:sz w:val="20"/>
                <w:szCs w:val="20"/>
                <w:lang w:eastAsia="ru-RU"/>
              </w:rPr>
              <w:t>13</w:t>
            </w:r>
            <w:r w:rsidRPr="0027086D">
              <w:rPr>
                <w:rFonts w:eastAsia="Times New Roman" w:cs="Times New Roman"/>
                <w:sz w:val="20"/>
                <w:szCs w:val="20"/>
                <w:lang w:eastAsia="ru-RU"/>
              </w:rPr>
              <w:t xml:space="preserve">, </w:t>
            </w:r>
            <w:r w:rsidR="00837D7B" w:rsidRPr="0027086D">
              <w:rPr>
                <w:rFonts w:eastAsia="Times New Roman" w:cs="Times New Roman"/>
                <w:sz w:val="20"/>
                <w:szCs w:val="20"/>
                <w:lang w:eastAsia="ru-RU"/>
              </w:rPr>
              <w:t>рег.№429.01-20/17</w:t>
            </w:r>
            <w:r w:rsidR="005614E1">
              <w:rPr>
                <w:rFonts w:eastAsia="Times New Roman" w:cs="Times New Roman"/>
                <w:sz w:val="20"/>
                <w:szCs w:val="20"/>
                <w:lang w:eastAsia="ru-RU"/>
              </w:rPr>
              <w:t xml:space="preserve"> г.Ростов-на-Дону</w:t>
            </w:r>
          </w:p>
        </w:tc>
        <w:tc>
          <w:tcPr>
            <w:tcW w:w="1241" w:type="dxa"/>
            <w:tcBorders>
              <w:top w:val="single" w:sz="4" w:space="0" w:color="000000"/>
              <w:left w:val="single" w:sz="4" w:space="0" w:color="000000"/>
              <w:bottom w:val="single" w:sz="4" w:space="0" w:color="000000"/>
              <w:right w:val="single" w:sz="4" w:space="0" w:color="000000"/>
            </w:tcBorders>
            <w:vAlign w:val="center"/>
          </w:tcPr>
          <w:p w14:paraId="35DE7DF6" w14:textId="27A6EC22" w:rsidR="003B682D" w:rsidRPr="0027086D" w:rsidRDefault="001D03F4" w:rsidP="003B682D">
            <w:pPr>
              <w:ind w:firstLine="0"/>
              <w:jc w:val="center"/>
              <w:rPr>
                <w:rFonts w:eastAsia="Times New Roman" w:cs="Times New Roman"/>
                <w:sz w:val="20"/>
                <w:szCs w:val="20"/>
                <w:lang w:eastAsia="ru-RU"/>
              </w:rPr>
            </w:pPr>
            <w:r w:rsidRPr="0027086D">
              <w:rPr>
                <w:rFonts w:eastAsia="Times New Roman" w:cs="Times New Roman"/>
                <w:sz w:val="20"/>
                <w:szCs w:val="20"/>
                <w:lang w:eastAsia="ru-RU"/>
              </w:rPr>
              <w:t>6</w:t>
            </w:r>
            <w:r w:rsidR="003B682D" w:rsidRPr="0027086D">
              <w:rPr>
                <w:rFonts w:eastAsia="Times New Roman" w:cs="Times New Roman"/>
                <w:sz w:val="20"/>
                <w:szCs w:val="20"/>
                <w:lang w:eastAsia="ru-RU"/>
              </w:rPr>
              <w:t xml:space="preserve"> лет </w:t>
            </w:r>
          </w:p>
        </w:tc>
        <w:tc>
          <w:tcPr>
            <w:tcW w:w="2231" w:type="dxa"/>
            <w:tcBorders>
              <w:top w:val="single" w:sz="4" w:space="0" w:color="000000"/>
              <w:left w:val="single" w:sz="4" w:space="0" w:color="000000"/>
              <w:bottom w:val="single" w:sz="4" w:space="0" w:color="000000"/>
              <w:right w:val="single" w:sz="4" w:space="0" w:color="000000"/>
            </w:tcBorders>
          </w:tcPr>
          <w:p w14:paraId="33930ADA" w14:textId="07AC697C" w:rsidR="003B682D" w:rsidRPr="0027086D" w:rsidRDefault="003B682D" w:rsidP="002B1728">
            <w:pPr>
              <w:ind w:hanging="17"/>
              <w:rPr>
                <w:rFonts w:eastAsia="Times New Roman" w:cs="Times New Roman"/>
                <w:sz w:val="20"/>
                <w:szCs w:val="20"/>
                <w:lang w:eastAsia="ru-RU"/>
              </w:rPr>
            </w:pPr>
            <w:r w:rsidRPr="0027086D">
              <w:rPr>
                <w:rFonts w:eastAsia="Times New Roman" w:cs="Times New Roman"/>
                <w:sz w:val="20"/>
                <w:szCs w:val="20"/>
                <w:lang w:eastAsia="ru-RU"/>
              </w:rPr>
              <w:t>Участие в разработке технологии кадастровой оценки, постановка задач сотрудникам, контроль качества построенных статистических моделей, общий ко</w:t>
            </w:r>
            <w:r w:rsidR="00A973F3">
              <w:rPr>
                <w:rFonts w:eastAsia="Times New Roman" w:cs="Times New Roman"/>
                <w:sz w:val="20"/>
                <w:szCs w:val="20"/>
                <w:lang w:eastAsia="ru-RU"/>
              </w:rPr>
              <w:t>нтроль сроков и качества работ.</w:t>
            </w:r>
          </w:p>
        </w:tc>
      </w:tr>
      <w:tr w:rsidR="001901C4" w:rsidRPr="0027086D" w14:paraId="7EBFE95F" w14:textId="77777777" w:rsidTr="00082518">
        <w:trPr>
          <w:jc w:val="center"/>
        </w:trPr>
        <w:tc>
          <w:tcPr>
            <w:tcW w:w="7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F4714A6" w14:textId="41E94C53" w:rsidR="003B682D" w:rsidRPr="0027086D" w:rsidRDefault="00726F2A" w:rsidP="00CD69AF">
            <w:pPr>
              <w:ind w:firstLine="22"/>
              <w:jc w:val="center"/>
              <w:rPr>
                <w:rFonts w:eastAsia="Times New Roman" w:cs="Times New Roman"/>
                <w:sz w:val="20"/>
                <w:szCs w:val="20"/>
                <w:lang w:eastAsia="ru-RU"/>
              </w:rPr>
            </w:pPr>
            <w:r>
              <w:rPr>
                <w:rFonts w:eastAsia="Times New Roman" w:cs="Times New Roman"/>
                <w:sz w:val="20"/>
                <w:szCs w:val="20"/>
                <w:lang w:eastAsia="ru-RU"/>
              </w:rPr>
              <w:t>2</w:t>
            </w:r>
            <w:r w:rsidR="003B682D" w:rsidRPr="0027086D">
              <w:rPr>
                <w:rFonts w:eastAsia="Times New Roman" w:cs="Times New Roman"/>
                <w:sz w:val="20"/>
                <w:szCs w:val="20"/>
                <w:lang w:eastAsia="ru-RU"/>
              </w:rPr>
              <w:t>.</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4EFFAD9" w14:textId="242703AC" w:rsidR="003B682D" w:rsidRPr="0027086D" w:rsidRDefault="006F19C2" w:rsidP="00D157E6">
            <w:pPr>
              <w:ind w:firstLine="0"/>
              <w:rPr>
                <w:rFonts w:eastAsia="Times New Roman" w:cs="Times New Roman"/>
                <w:sz w:val="20"/>
                <w:szCs w:val="20"/>
                <w:lang w:eastAsia="ru-RU"/>
              </w:rPr>
            </w:pPr>
            <w:r>
              <w:rPr>
                <w:rFonts w:eastAsia="Times New Roman" w:cs="Times New Roman"/>
                <w:sz w:val="20"/>
                <w:szCs w:val="20"/>
                <w:lang w:eastAsia="ru-RU"/>
              </w:rPr>
              <w:t>Кюдякова Алена Юрьевна</w:t>
            </w:r>
            <w:r w:rsidR="00D157E6" w:rsidRPr="00840C8C">
              <w:rPr>
                <w:rFonts w:eastAsia="Times New Roman" w:cs="Times New Roman"/>
                <w:sz w:val="20"/>
                <w:szCs w:val="20"/>
                <w:lang w:eastAsia="ru-RU"/>
              </w:rPr>
              <w:t xml:space="preserve"> </w:t>
            </w:r>
          </w:p>
        </w:tc>
        <w:tc>
          <w:tcPr>
            <w:tcW w:w="138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57728CE" w14:textId="77777777" w:rsidR="003B682D" w:rsidRPr="0027086D" w:rsidRDefault="003B682D" w:rsidP="003B682D">
            <w:pPr>
              <w:ind w:firstLine="0"/>
              <w:rPr>
                <w:rFonts w:eastAsia="Times New Roman" w:cs="Times New Roman"/>
                <w:sz w:val="20"/>
                <w:szCs w:val="20"/>
                <w:lang w:eastAsia="ru-RU"/>
              </w:rPr>
            </w:pPr>
            <w:r w:rsidRPr="0027086D">
              <w:rPr>
                <w:rFonts w:eastAsia="Times New Roman" w:cs="Times New Roman"/>
                <w:sz w:val="20"/>
                <w:szCs w:val="20"/>
                <w:lang w:eastAsia="ru-RU"/>
              </w:rPr>
              <w:t xml:space="preserve">Кадастровый оценщик отдела кадастровой оценки </w:t>
            </w:r>
          </w:p>
        </w:tc>
        <w:tc>
          <w:tcPr>
            <w:tcW w:w="2761" w:type="dxa"/>
            <w:tcBorders>
              <w:top w:val="single" w:sz="4" w:space="0" w:color="000000"/>
              <w:left w:val="single" w:sz="4" w:space="0" w:color="000000"/>
              <w:bottom w:val="single" w:sz="4" w:space="0" w:color="000000"/>
              <w:right w:val="single" w:sz="4" w:space="0" w:color="000000"/>
            </w:tcBorders>
            <w:shd w:val="clear" w:color="auto" w:fill="auto"/>
          </w:tcPr>
          <w:p w14:paraId="676535BC" w14:textId="170C2EA9" w:rsidR="003B682D" w:rsidRPr="00E24AB3" w:rsidRDefault="00D157E6" w:rsidP="001901C4">
            <w:pPr>
              <w:ind w:firstLine="0"/>
              <w:rPr>
                <w:rFonts w:eastAsia="Times New Roman" w:cs="Times New Roman"/>
                <w:sz w:val="20"/>
                <w:szCs w:val="20"/>
                <w:lang w:eastAsia="ru-RU"/>
              </w:rPr>
            </w:pPr>
            <w:r w:rsidRPr="00E24AB3">
              <w:rPr>
                <w:rFonts w:eastAsia="Times New Roman" w:cs="Times New Roman"/>
                <w:sz w:val="20"/>
                <w:szCs w:val="20"/>
                <w:lang w:eastAsia="ru-RU"/>
              </w:rPr>
              <w:t xml:space="preserve">Диплом о профессиональной переподготовке </w:t>
            </w:r>
            <w:r w:rsidR="00357215" w:rsidRPr="00E24AB3">
              <w:rPr>
                <w:rFonts w:eastAsia="Times New Roman" w:cs="Times New Roman"/>
                <w:sz w:val="20"/>
                <w:szCs w:val="20"/>
                <w:lang w:eastAsia="ru-RU"/>
              </w:rPr>
              <w:t xml:space="preserve">от </w:t>
            </w:r>
            <w:r w:rsidRPr="00E24AB3">
              <w:rPr>
                <w:rFonts w:eastAsia="Times New Roman" w:cs="Times New Roman"/>
                <w:sz w:val="20"/>
                <w:szCs w:val="20"/>
                <w:lang w:eastAsia="ru-RU"/>
              </w:rPr>
              <w:t xml:space="preserve">выдан </w:t>
            </w:r>
            <w:r w:rsidR="00B652C0">
              <w:rPr>
                <w:rFonts w:eastAsia="Times New Roman" w:cs="Times New Roman"/>
                <w:sz w:val="20"/>
                <w:szCs w:val="20"/>
                <w:lang w:eastAsia="ru-RU"/>
              </w:rPr>
              <w:t>НОУ ВПО</w:t>
            </w:r>
            <w:r w:rsidRPr="00E24AB3">
              <w:rPr>
                <w:rFonts w:eastAsia="Times New Roman" w:cs="Times New Roman"/>
                <w:sz w:val="20"/>
                <w:szCs w:val="20"/>
                <w:lang w:eastAsia="ru-RU"/>
              </w:rPr>
              <w:t xml:space="preserve"> «</w:t>
            </w:r>
            <w:r w:rsidR="00726F2A" w:rsidRPr="00E24AB3">
              <w:rPr>
                <w:rFonts w:eastAsia="Times New Roman" w:cs="Times New Roman"/>
                <w:sz w:val="20"/>
                <w:szCs w:val="20"/>
                <w:lang w:eastAsia="ru-RU"/>
              </w:rPr>
              <w:t xml:space="preserve">Московская </w:t>
            </w:r>
            <w:r w:rsidR="00357215" w:rsidRPr="00E24AB3">
              <w:rPr>
                <w:rFonts w:eastAsia="Times New Roman" w:cs="Times New Roman"/>
                <w:sz w:val="20"/>
                <w:szCs w:val="20"/>
                <w:lang w:eastAsia="ru-RU"/>
              </w:rPr>
              <w:t xml:space="preserve">финансово-промышленная академия», по </w:t>
            </w:r>
            <w:r w:rsidRPr="00E24AB3">
              <w:rPr>
                <w:rFonts w:eastAsia="Times New Roman" w:cs="Times New Roman"/>
                <w:sz w:val="20"/>
                <w:szCs w:val="20"/>
                <w:lang w:eastAsia="ru-RU"/>
              </w:rPr>
              <w:t xml:space="preserve">программе: Оценка стоимости предприятия (бизнеса). </w:t>
            </w:r>
            <w:r w:rsidR="00357215" w:rsidRPr="00E24AB3">
              <w:rPr>
                <w:rFonts w:eastAsia="Times New Roman" w:cs="Times New Roman"/>
                <w:sz w:val="20"/>
                <w:szCs w:val="20"/>
                <w:lang w:eastAsia="ru-RU"/>
              </w:rPr>
              <w:t>На ведение профессиональной деятельности в сфере</w:t>
            </w:r>
            <w:r w:rsidRPr="00E24AB3">
              <w:rPr>
                <w:rFonts w:eastAsia="Times New Roman" w:cs="Times New Roman"/>
                <w:sz w:val="20"/>
                <w:szCs w:val="20"/>
                <w:lang w:eastAsia="ru-RU"/>
              </w:rPr>
              <w:t xml:space="preserve"> «Оценка </w:t>
            </w:r>
            <w:r w:rsidR="00357215" w:rsidRPr="00E24AB3">
              <w:rPr>
                <w:rFonts w:eastAsia="Times New Roman" w:cs="Times New Roman"/>
                <w:sz w:val="20"/>
                <w:szCs w:val="20"/>
                <w:lang w:eastAsia="ru-RU"/>
              </w:rPr>
              <w:t>стоимости предприятия (бизнеса)</w:t>
            </w:r>
            <w:r w:rsidRPr="00E24AB3">
              <w:rPr>
                <w:rFonts w:eastAsia="Times New Roman" w:cs="Times New Roman"/>
                <w:sz w:val="20"/>
                <w:szCs w:val="20"/>
                <w:lang w:eastAsia="ru-RU"/>
              </w:rPr>
              <w:t>» от 30.06.20</w:t>
            </w:r>
            <w:r w:rsidR="001901C4">
              <w:rPr>
                <w:rFonts w:eastAsia="Times New Roman" w:cs="Times New Roman"/>
                <w:sz w:val="20"/>
                <w:szCs w:val="20"/>
                <w:lang w:eastAsia="ru-RU"/>
              </w:rPr>
              <w:t>08</w:t>
            </w:r>
            <w:r w:rsidRPr="00E24AB3">
              <w:rPr>
                <w:rFonts w:eastAsia="Times New Roman" w:cs="Times New Roman"/>
                <w:sz w:val="20"/>
                <w:szCs w:val="20"/>
                <w:lang w:eastAsia="ru-RU"/>
              </w:rPr>
              <w:t xml:space="preserve">, </w:t>
            </w:r>
            <w:r w:rsidR="00357215" w:rsidRPr="00E24AB3">
              <w:rPr>
                <w:rFonts w:eastAsia="Times New Roman" w:cs="Times New Roman"/>
                <w:sz w:val="20"/>
                <w:szCs w:val="20"/>
                <w:lang w:eastAsia="ru-RU"/>
              </w:rPr>
              <w:t>ПП 984613 №0470; Москва, 2008г.</w:t>
            </w:r>
          </w:p>
        </w:tc>
        <w:tc>
          <w:tcPr>
            <w:tcW w:w="124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0CB5167" w14:textId="368D2EBE" w:rsidR="003B682D" w:rsidRPr="00E24AB3" w:rsidRDefault="003B682D" w:rsidP="00E24AB3">
            <w:pPr>
              <w:ind w:firstLine="0"/>
              <w:jc w:val="center"/>
              <w:rPr>
                <w:rFonts w:eastAsia="Times New Roman" w:cs="Times New Roman"/>
                <w:sz w:val="20"/>
                <w:szCs w:val="20"/>
                <w:lang w:eastAsia="ru-RU"/>
              </w:rPr>
            </w:pPr>
            <w:r w:rsidRPr="00E24AB3">
              <w:rPr>
                <w:rFonts w:eastAsia="Times New Roman" w:cs="Times New Roman"/>
                <w:sz w:val="20"/>
                <w:szCs w:val="20"/>
                <w:lang w:eastAsia="ru-RU"/>
              </w:rPr>
              <w:t>1</w:t>
            </w:r>
            <w:r w:rsidR="00E24AB3" w:rsidRPr="00E24AB3">
              <w:rPr>
                <w:rFonts w:eastAsia="Times New Roman" w:cs="Times New Roman"/>
                <w:sz w:val="20"/>
                <w:szCs w:val="20"/>
                <w:lang w:eastAsia="ru-RU"/>
              </w:rPr>
              <w:t>1</w:t>
            </w:r>
            <w:r w:rsidRPr="00E24AB3">
              <w:rPr>
                <w:rFonts w:eastAsia="Times New Roman" w:cs="Times New Roman"/>
                <w:sz w:val="20"/>
                <w:szCs w:val="20"/>
                <w:lang w:eastAsia="ru-RU"/>
              </w:rPr>
              <w:t xml:space="preserve"> </w:t>
            </w:r>
            <w:r w:rsidR="00E24AB3" w:rsidRPr="00E24AB3">
              <w:rPr>
                <w:rFonts w:eastAsia="Times New Roman" w:cs="Times New Roman"/>
                <w:sz w:val="20"/>
                <w:szCs w:val="20"/>
                <w:lang w:eastAsia="ru-RU"/>
              </w:rPr>
              <w:t>лет</w:t>
            </w:r>
            <w:r w:rsidRPr="00E24AB3">
              <w:rPr>
                <w:rFonts w:eastAsia="Times New Roman" w:cs="Times New Roman"/>
                <w:sz w:val="20"/>
                <w:szCs w:val="20"/>
                <w:lang w:eastAsia="ru-RU"/>
              </w:rPr>
              <w:t xml:space="preserve"> </w:t>
            </w:r>
          </w:p>
        </w:tc>
        <w:tc>
          <w:tcPr>
            <w:tcW w:w="2231" w:type="dxa"/>
            <w:tcBorders>
              <w:top w:val="single" w:sz="4" w:space="0" w:color="000000"/>
              <w:left w:val="single" w:sz="4" w:space="0" w:color="000000"/>
              <w:bottom w:val="single" w:sz="4" w:space="0" w:color="000000"/>
              <w:right w:val="single" w:sz="4" w:space="0" w:color="000000"/>
            </w:tcBorders>
            <w:shd w:val="clear" w:color="auto" w:fill="auto"/>
          </w:tcPr>
          <w:p w14:paraId="02FEA9AC" w14:textId="128ED704" w:rsidR="00D157E6" w:rsidRPr="002B1728" w:rsidRDefault="00D157E6" w:rsidP="00CC6601">
            <w:pPr>
              <w:ind w:firstLine="0"/>
              <w:rPr>
                <w:rFonts w:eastAsia="Times New Roman" w:cs="Times New Roman"/>
                <w:sz w:val="20"/>
                <w:szCs w:val="20"/>
                <w:lang w:eastAsia="ru-RU"/>
              </w:rPr>
            </w:pPr>
            <w:r w:rsidRPr="00CC6601">
              <w:rPr>
                <w:rFonts w:eastAsia="Times New Roman" w:cs="Times New Roman"/>
                <w:sz w:val="20"/>
                <w:szCs w:val="20"/>
                <w:lang w:eastAsia="ru-RU"/>
              </w:rPr>
              <w:t xml:space="preserve">Определение </w:t>
            </w:r>
            <w:r w:rsidR="008C315E" w:rsidRPr="00CC6601">
              <w:rPr>
                <w:rFonts w:eastAsia="Times New Roman" w:cs="Times New Roman"/>
                <w:sz w:val="20"/>
                <w:szCs w:val="20"/>
                <w:lang w:eastAsia="ru-RU"/>
              </w:rPr>
              <w:t>КЛАДР, группировка</w:t>
            </w:r>
            <w:r w:rsidR="00CC6601">
              <w:rPr>
                <w:rFonts w:eastAsia="Times New Roman" w:cs="Times New Roman"/>
                <w:sz w:val="20"/>
                <w:szCs w:val="20"/>
                <w:lang w:eastAsia="ru-RU"/>
              </w:rPr>
              <w:t>. З</w:t>
            </w:r>
            <w:r w:rsidR="002C12E7" w:rsidRPr="00CC6601">
              <w:rPr>
                <w:rFonts w:eastAsia="Times New Roman" w:cs="Times New Roman"/>
                <w:sz w:val="20"/>
                <w:szCs w:val="20"/>
                <w:lang w:eastAsia="ru-RU"/>
              </w:rPr>
              <w:t xml:space="preserve">агрузка, выгрузка в ПК «Массовая оценка». </w:t>
            </w:r>
            <w:r w:rsidR="00CC6601" w:rsidRPr="00CC6601">
              <w:rPr>
                <w:rFonts w:eastAsia="Times New Roman" w:cs="Times New Roman"/>
                <w:sz w:val="20"/>
                <w:szCs w:val="20"/>
                <w:lang w:eastAsia="ru-RU"/>
              </w:rPr>
              <w:t>Выборка аналогов. О</w:t>
            </w:r>
            <w:r w:rsidRPr="00CC6601">
              <w:rPr>
                <w:rFonts w:eastAsia="Times New Roman" w:cs="Times New Roman"/>
                <w:sz w:val="20"/>
                <w:szCs w:val="20"/>
                <w:lang w:eastAsia="ru-RU"/>
              </w:rPr>
              <w:t>пределение кадастровой стоимости методом статистического моделирования, участие в определении  кадастровой стоимости</w:t>
            </w:r>
            <w:r w:rsidR="00CC6601" w:rsidRPr="00CC6601">
              <w:rPr>
                <w:rFonts w:eastAsia="Times New Roman" w:cs="Times New Roman"/>
                <w:sz w:val="20"/>
                <w:szCs w:val="20"/>
                <w:lang w:eastAsia="ru-RU"/>
              </w:rPr>
              <w:t xml:space="preserve">. </w:t>
            </w:r>
            <w:r w:rsidRPr="00CC6601">
              <w:rPr>
                <w:rFonts w:eastAsia="Times New Roman" w:cs="Times New Roman"/>
                <w:sz w:val="20"/>
                <w:szCs w:val="20"/>
                <w:lang w:eastAsia="ru-RU"/>
              </w:rPr>
              <w:t>подготовка соответствующих текстовых частей отчета и приложений</w:t>
            </w:r>
            <w:r w:rsidR="00CC6601" w:rsidRPr="00CC6601">
              <w:rPr>
                <w:rFonts w:eastAsia="Times New Roman" w:cs="Times New Roman"/>
                <w:sz w:val="20"/>
                <w:szCs w:val="20"/>
                <w:lang w:eastAsia="ru-RU"/>
              </w:rPr>
              <w:t>.</w:t>
            </w:r>
          </w:p>
        </w:tc>
      </w:tr>
      <w:tr w:rsidR="001901C4" w:rsidRPr="0027086D" w14:paraId="6AA0822C" w14:textId="77777777" w:rsidTr="00082518">
        <w:trPr>
          <w:jc w:val="center"/>
        </w:trPr>
        <w:tc>
          <w:tcPr>
            <w:tcW w:w="7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68E311" w14:textId="2B930B85" w:rsidR="001901C4" w:rsidRPr="0027086D" w:rsidRDefault="001901C4" w:rsidP="00CD69AF">
            <w:pPr>
              <w:ind w:firstLine="22"/>
              <w:jc w:val="center"/>
              <w:rPr>
                <w:rFonts w:eastAsia="Times New Roman" w:cs="Times New Roman"/>
                <w:sz w:val="20"/>
                <w:szCs w:val="20"/>
                <w:lang w:eastAsia="ru-RU"/>
              </w:rPr>
            </w:pPr>
            <w:r>
              <w:rPr>
                <w:rFonts w:eastAsia="Times New Roman" w:cs="Times New Roman"/>
                <w:sz w:val="20"/>
                <w:szCs w:val="20"/>
                <w:lang w:eastAsia="ru-RU"/>
              </w:rPr>
              <w:t>3</w:t>
            </w:r>
            <w:r w:rsidRPr="0027086D">
              <w:rPr>
                <w:rFonts w:eastAsia="Times New Roman" w:cs="Times New Roman"/>
                <w:sz w:val="20"/>
                <w:szCs w:val="20"/>
                <w:lang w:eastAsia="ru-RU"/>
              </w:rPr>
              <w:t>.</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9DBCFD5" w14:textId="7CF94285" w:rsidR="001901C4" w:rsidRPr="0027086D" w:rsidRDefault="001901C4" w:rsidP="001901C4">
            <w:pPr>
              <w:ind w:hanging="11"/>
              <w:rPr>
                <w:rFonts w:eastAsia="Times New Roman" w:cs="Times New Roman"/>
                <w:sz w:val="20"/>
                <w:szCs w:val="20"/>
                <w:lang w:eastAsia="ru-RU"/>
              </w:rPr>
            </w:pPr>
            <w:r>
              <w:rPr>
                <w:rFonts w:eastAsia="Times New Roman" w:cs="Times New Roman"/>
                <w:sz w:val="20"/>
                <w:szCs w:val="20"/>
                <w:lang w:eastAsia="ru-RU"/>
              </w:rPr>
              <w:t>Маршинцев Алексей Викторович</w:t>
            </w:r>
          </w:p>
        </w:tc>
        <w:tc>
          <w:tcPr>
            <w:tcW w:w="138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0C0CAE3" w14:textId="77777777" w:rsidR="001901C4" w:rsidRPr="0027086D" w:rsidRDefault="001901C4" w:rsidP="001901C4">
            <w:pPr>
              <w:ind w:firstLine="0"/>
              <w:rPr>
                <w:rFonts w:eastAsia="Times New Roman" w:cs="Times New Roman"/>
                <w:sz w:val="20"/>
                <w:szCs w:val="20"/>
                <w:lang w:eastAsia="ru-RU"/>
              </w:rPr>
            </w:pPr>
            <w:r w:rsidRPr="0027086D">
              <w:rPr>
                <w:rFonts w:eastAsia="Times New Roman" w:cs="Times New Roman"/>
                <w:sz w:val="20"/>
                <w:szCs w:val="20"/>
                <w:lang w:eastAsia="ru-RU"/>
              </w:rPr>
              <w:t xml:space="preserve">Кадастровый оценщик отдела кадастровой оценки </w:t>
            </w:r>
          </w:p>
        </w:tc>
        <w:tc>
          <w:tcPr>
            <w:tcW w:w="2761" w:type="dxa"/>
            <w:tcBorders>
              <w:top w:val="single" w:sz="4" w:space="0" w:color="000000"/>
              <w:left w:val="single" w:sz="4" w:space="0" w:color="000000"/>
              <w:bottom w:val="single" w:sz="4" w:space="0" w:color="000000"/>
              <w:right w:val="single" w:sz="4" w:space="0" w:color="000000"/>
            </w:tcBorders>
            <w:shd w:val="clear" w:color="auto" w:fill="auto"/>
          </w:tcPr>
          <w:p w14:paraId="0F343C43" w14:textId="089620D7" w:rsidR="001901C4" w:rsidRPr="00115A17" w:rsidRDefault="001901C4" w:rsidP="001901C4">
            <w:pPr>
              <w:ind w:firstLine="0"/>
              <w:rPr>
                <w:rFonts w:eastAsia="Times New Roman" w:cs="Times New Roman"/>
                <w:color w:val="FF0000"/>
                <w:sz w:val="20"/>
                <w:szCs w:val="20"/>
                <w:lang w:eastAsia="ru-RU"/>
              </w:rPr>
            </w:pPr>
            <w:r w:rsidRPr="00E24AB3">
              <w:rPr>
                <w:rFonts w:eastAsia="Times New Roman" w:cs="Times New Roman"/>
                <w:sz w:val="20"/>
                <w:szCs w:val="20"/>
                <w:lang w:eastAsia="ru-RU"/>
              </w:rPr>
              <w:t xml:space="preserve">Диплом о профессиональной </w:t>
            </w:r>
            <w:r w:rsidR="00B652C0">
              <w:rPr>
                <w:rFonts w:eastAsia="Times New Roman" w:cs="Times New Roman"/>
                <w:sz w:val="20"/>
                <w:szCs w:val="20"/>
                <w:lang w:eastAsia="ru-RU"/>
              </w:rPr>
              <w:t>переподготовке от выдан НОУ ВПО</w:t>
            </w:r>
            <w:r w:rsidRPr="00E24AB3">
              <w:rPr>
                <w:rFonts w:eastAsia="Times New Roman" w:cs="Times New Roman"/>
                <w:sz w:val="20"/>
                <w:szCs w:val="20"/>
                <w:lang w:eastAsia="ru-RU"/>
              </w:rPr>
              <w:t xml:space="preserve"> «Московская финансово-промышленная академия», по программе: Оценка стоимости предприятия (бизнеса). На ведение профессиональной деятельности в сфере «Оценка стоимости предприятия (бизнеса)» от </w:t>
            </w:r>
            <w:r>
              <w:rPr>
                <w:rFonts w:eastAsia="Times New Roman" w:cs="Times New Roman"/>
                <w:sz w:val="20"/>
                <w:szCs w:val="20"/>
                <w:lang w:eastAsia="ru-RU"/>
              </w:rPr>
              <w:t>16</w:t>
            </w:r>
            <w:r w:rsidRPr="00E24AB3">
              <w:rPr>
                <w:rFonts w:eastAsia="Times New Roman" w:cs="Times New Roman"/>
                <w:sz w:val="20"/>
                <w:szCs w:val="20"/>
                <w:lang w:eastAsia="ru-RU"/>
              </w:rPr>
              <w:t>.06.20</w:t>
            </w:r>
            <w:r>
              <w:rPr>
                <w:rFonts w:eastAsia="Times New Roman" w:cs="Times New Roman"/>
                <w:sz w:val="20"/>
                <w:szCs w:val="20"/>
                <w:lang w:eastAsia="ru-RU"/>
              </w:rPr>
              <w:t>0</w:t>
            </w:r>
            <w:r w:rsidRPr="00E24AB3">
              <w:rPr>
                <w:rFonts w:eastAsia="Times New Roman" w:cs="Times New Roman"/>
                <w:sz w:val="20"/>
                <w:szCs w:val="20"/>
                <w:lang w:eastAsia="ru-RU"/>
              </w:rPr>
              <w:t>7, ПП 98</w:t>
            </w:r>
            <w:r>
              <w:rPr>
                <w:rFonts w:eastAsia="Times New Roman" w:cs="Times New Roman"/>
                <w:sz w:val="20"/>
                <w:szCs w:val="20"/>
                <w:lang w:eastAsia="ru-RU"/>
              </w:rPr>
              <w:t>3894</w:t>
            </w:r>
            <w:r w:rsidRPr="00E24AB3">
              <w:rPr>
                <w:rFonts w:eastAsia="Times New Roman" w:cs="Times New Roman"/>
                <w:sz w:val="20"/>
                <w:szCs w:val="20"/>
                <w:lang w:eastAsia="ru-RU"/>
              </w:rPr>
              <w:t xml:space="preserve"> №0</w:t>
            </w:r>
            <w:r>
              <w:rPr>
                <w:rFonts w:eastAsia="Times New Roman" w:cs="Times New Roman"/>
                <w:sz w:val="20"/>
                <w:szCs w:val="20"/>
                <w:lang w:eastAsia="ru-RU"/>
              </w:rPr>
              <w:t>335</w:t>
            </w:r>
            <w:r w:rsidRPr="00E24AB3">
              <w:rPr>
                <w:rFonts w:eastAsia="Times New Roman" w:cs="Times New Roman"/>
                <w:sz w:val="20"/>
                <w:szCs w:val="20"/>
                <w:lang w:eastAsia="ru-RU"/>
              </w:rPr>
              <w:t>; Москва, 200</w:t>
            </w:r>
            <w:r>
              <w:rPr>
                <w:rFonts w:eastAsia="Times New Roman" w:cs="Times New Roman"/>
                <w:sz w:val="20"/>
                <w:szCs w:val="20"/>
                <w:lang w:eastAsia="ru-RU"/>
              </w:rPr>
              <w:t>7</w:t>
            </w:r>
            <w:r w:rsidRPr="00E24AB3">
              <w:rPr>
                <w:rFonts w:eastAsia="Times New Roman" w:cs="Times New Roman"/>
                <w:sz w:val="20"/>
                <w:szCs w:val="20"/>
                <w:lang w:eastAsia="ru-RU"/>
              </w:rPr>
              <w:t>г.</w:t>
            </w:r>
          </w:p>
        </w:tc>
        <w:tc>
          <w:tcPr>
            <w:tcW w:w="1241" w:type="dxa"/>
            <w:tcBorders>
              <w:top w:val="single" w:sz="4" w:space="0" w:color="000000"/>
              <w:left w:val="single" w:sz="4" w:space="0" w:color="000000"/>
              <w:bottom w:val="single" w:sz="4" w:space="0" w:color="000000"/>
              <w:right w:val="single" w:sz="4" w:space="0" w:color="000000"/>
            </w:tcBorders>
            <w:vAlign w:val="center"/>
          </w:tcPr>
          <w:p w14:paraId="61F888FD" w14:textId="3FBD0C2C" w:rsidR="001901C4" w:rsidRPr="002C12E7" w:rsidRDefault="001901C4" w:rsidP="001901C4">
            <w:pPr>
              <w:ind w:firstLine="0"/>
              <w:jc w:val="center"/>
              <w:rPr>
                <w:rFonts w:eastAsia="Times New Roman" w:cs="Times New Roman"/>
                <w:sz w:val="20"/>
                <w:szCs w:val="20"/>
                <w:lang w:eastAsia="ru-RU"/>
              </w:rPr>
            </w:pPr>
            <w:r w:rsidRPr="002C12E7">
              <w:rPr>
                <w:rFonts w:eastAsia="Times New Roman" w:cs="Times New Roman"/>
                <w:sz w:val="20"/>
                <w:szCs w:val="20"/>
                <w:lang w:eastAsia="ru-RU"/>
              </w:rPr>
              <w:t>12 лет</w:t>
            </w:r>
          </w:p>
        </w:tc>
        <w:tc>
          <w:tcPr>
            <w:tcW w:w="2231" w:type="dxa"/>
            <w:tcBorders>
              <w:top w:val="single" w:sz="4" w:space="0" w:color="000000"/>
              <w:left w:val="single" w:sz="4" w:space="0" w:color="000000"/>
              <w:bottom w:val="single" w:sz="4" w:space="0" w:color="000000"/>
              <w:right w:val="single" w:sz="4" w:space="0" w:color="000000"/>
            </w:tcBorders>
          </w:tcPr>
          <w:p w14:paraId="4496E318" w14:textId="7BB30D32" w:rsidR="00CC6601" w:rsidRDefault="00CC6601" w:rsidP="00DB22B5">
            <w:pPr>
              <w:ind w:firstLine="0"/>
              <w:jc w:val="left"/>
              <w:rPr>
                <w:rFonts w:eastAsia="Times New Roman" w:cs="Times New Roman"/>
                <w:sz w:val="20"/>
                <w:szCs w:val="20"/>
                <w:lang w:eastAsia="ru-RU"/>
              </w:rPr>
            </w:pPr>
            <w:r>
              <w:rPr>
                <w:rFonts w:eastAsia="Times New Roman" w:cs="Times New Roman"/>
                <w:sz w:val="20"/>
                <w:szCs w:val="20"/>
                <w:lang w:eastAsia="ru-RU"/>
              </w:rPr>
              <w:t xml:space="preserve">Работа по </w:t>
            </w:r>
            <w:proofErr w:type="gramStart"/>
            <w:r>
              <w:rPr>
                <w:rFonts w:eastAsia="Times New Roman" w:cs="Times New Roman"/>
                <w:sz w:val="20"/>
                <w:szCs w:val="20"/>
                <w:lang w:eastAsia="ru-RU"/>
              </w:rPr>
              <w:t>выбору  аналогов</w:t>
            </w:r>
            <w:proofErr w:type="gramEnd"/>
            <w:r>
              <w:rPr>
                <w:rFonts w:eastAsia="Times New Roman" w:cs="Times New Roman"/>
                <w:sz w:val="20"/>
                <w:szCs w:val="20"/>
                <w:lang w:eastAsia="ru-RU"/>
              </w:rPr>
              <w:t>, по корректировке на дату, торг.</w:t>
            </w:r>
          </w:p>
          <w:p w14:paraId="16AC4A06" w14:textId="3A7222EF" w:rsidR="001901C4" w:rsidRPr="002C12E7" w:rsidRDefault="001901C4" w:rsidP="00CC6601">
            <w:pPr>
              <w:ind w:firstLine="0"/>
              <w:rPr>
                <w:rFonts w:eastAsia="Times New Roman" w:cs="Times New Roman"/>
                <w:sz w:val="20"/>
                <w:szCs w:val="20"/>
                <w:lang w:eastAsia="ru-RU"/>
              </w:rPr>
            </w:pPr>
            <w:r w:rsidRPr="002C12E7">
              <w:rPr>
                <w:rFonts w:eastAsia="Times New Roman" w:cs="Times New Roman"/>
                <w:sz w:val="20"/>
                <w:szCs w:val="20"/>
                <w:lang w:eastAsia="ru-RU"/>
              </w:rPr>
              <w:t>Группировка и расчет кадастровой стоимости по группам:</w:t>
            </w:r>
            <w:r w:rsidR="00CC6601">
              <w:rPr>
                <w:rFonts w:eastAsia="Times New Roman" w:cs="Times New Roman"/>
                <w:sz w:val="20"/>
                <w:szCs w:val="20"/>
                <w:lang w:eastAsia="ru-RU"/>
              </w:rPr>
              <w:t xml:space="preserve"> </w:t>
            </w:r>
            <w:r w:rsidRPr="002C12E7">
              <w:rPr>
                <w:rFonts w:eastAsia="Times New Roman" w:cs="Times New Roman"/>
                <w:sz w:val="20"/>
                <w:szCs w:val="20"/>
                <w:lang w:eastAsia="ru-RU"/>
              </w:rPr>
              <w:t>10, 7 и 3 с использованием справочников КО-ИНВЕСТ.</w:t>
            </w:r>
          </w:p>
        </w:tc>
      </w:tr>
      <w:tr w:rsidR="001901C4" w:rsidRPr="0027086D" w14:paraId="694A831F" w14:textId="77777777" w:rsidTr="00082518">
        <w:trPr>
          <w:jc w:val="center"/>
        </w:trPr>
        <w:tc>
          <w:tcPr>
            <w:tcW w:w="7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C495DCE" w14:textId="3C168B60" w:rsidR="001901C4" w:rsidRDefault="00DF26AE" w:rsidP="00CD69AF">
            <w:pPr>
              <w:ind w:firstLine="22"/>
              <w:jc w:val="center"/>
              <w:rPr>
                <w:rFonts w:eastAsia="Times New Roman" w:cs="Times New Roman"/>
                <w:sz w:val="20"/>
                <w:szCs w:val="20"/>
                <w:lang w:eastAsia="ru-RU"/>
              </w:rPr>
            </w:pPr>
            <w:r>
              <w:rPr>
                <w:rFonts w:eastAsia="Times New Roman" w:cs="Times New Roman"/>
                <w:sz w:val="20"/>
                <w:szCs w:val="20"/>
                <w:lang w:eastAsia="ru-RU"/>
              </w:rPr>
              <w:t>4</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5A070E4" w14:textId="125D14E3" w:rsidR="001901C4" w:rsidRDefault="001901C4" w:rsidP="001901C4">
            <w:pPr>
              <w:ind w:hanging="11"/>
              <w:rPr>
                <w:rFonts w:eastAsia="Times New Roman" w:cs="Times New Roman"/>
                <w:sz w:val="20"/>
                <w:szCs w:val="20"/>
                <w:lang w:eastAsia="ru-RU"/>
              </w:rPr>
            </w:pPr>
            <w:r>
              <w:rPr>
                <w:rFonts w:eastAsia="Times New Roman" w:cs="Times New Roman"/>
                <w:sz w:val="20"/>
                <w:szCs w:val="20"/>
                <w:lang w:eastAsia="ru-RU"/>
              </w:rPr>
              <w:t>Пермяков Виктор Владимирович</w:t>
            </w:r>
          </w:p>
        </w:tc>
        <w:tc>
          <w:tcPr>
            <w:tcW w:w="138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717B87D" w14:textId="02727423" w:rsidR="001901C4" w:rsidRPr="00E24AB3" w:rsidRDefault="001901C4" w:rsidP="001901C4">
            <w:pPr>
              <w:ind w:firstLine="0"/>
              <w:rPr>
                <w:rFonts w:eastAsia="Times New Roman" w:cs="Times New Roman"/>
                <w:sz w:val="20"/>
                <w:szCs w:val="20"/>
                <w:lang w:eastAsia="ru-RU"/>
              </w:rPr>
            </w:pPr>
            <w:r w:rsidRPr="00E24AB3">
              <w:rPr>
                <w:rFonts w:eastAsia="Times New Roman" w:cs="Times New Roman"/>
                <w:sz w:val="20"/>
                <w:szCs w:val="20"/>
                <w:lang w:eastAsia="ru-RU"/>
              </w:rPr>
              <w:t>Кадастровый оценщик отдела кадастровой оценки</w:t>
            </w:r>
          </w:p>
        </w:tc>
        <w:tc>
          <w:tcPr>
            <w:tcW w:w="2761" w:type="dxa"/>
            <w:tcBorders>
              <w:top w:val="single" w:sz="4" w:space="0" w:color="000000"/>
              <w:left w:val="single" w:sz="4" w:space="0" w:color="000000"/>
              <w:bottom w:val="single" w:sz="4" w:space="0" w:color="000000"/>
              <w:right w:val="single" w:sz="4" w:space="0" w:color="000000"/>
            </w:tcBorders>
          </w:tcPr>
          <w:p w14:paraId="240D6F33" w14:textId="2AFA92E1" w:rsidR="001901C4" w:rsidRPr="006F19C2" w:rsidRDefault="001901C4" w:rsidP="001901C4">
            <w:pPr>
              <w:ind w:firstLine="0"/>
              <w:rPr>
                <w:rFonts w:eastAsia="Times New Roman" w:cs="Times New Roman"/>
                <w:color w:val="FF0000"/>
                <w:sz w:val="20"/>
                <w:szCs w:val="20"/>
                <w:lang w:eastAsia="ru-RU"/>
              </w:rPr>
            </w:pPr>
            <w:r w:rsidRPr="00D157E6">
              <w:rPr>
                <w:rFonts w:eastAsia="Times New Roman" w:cs="Times New Roman"/>
                <w:sz w:val="20"/>
                <w:szCs w:val="20"/>
                <w:lang w:eastAsia="ru-RU"/>
              </w:rPr>
              <w:t>Диплом о профессиональной переподготовке выдан Московской государственной технологической академией. Профессиональная деятельность с сфере (специализация): Оценка стоимости предприятия (бизнеса). от 2004г, ПП № 653064, рег. №383</w:t>
            </w:r>
            <w:r w:rsidR="005614E1">
              <w:rPr>
                <w:rFonts w:eastAsia="Times New Roman" w:cs="Times New Roman"/>
                <w:sz w:val="20"/>
                <w:szCs w:val="20"/>
                <w:lang w:eastAsia="ru-RU"/>
              </w:rPr>
              <w:t xml:space="preserve"> г.Москва.</w:t>
            </w:r>
          </w:p>
        </w:tc>
        <w:tc>
          <w:tcPr>
            <w:tcW w:w="1241" w:type="dxa"/>
            <w:tcBorders>
              <w:top w:val="single" w:sz="4" w:space="0" w:color="000000"/>
              <w:left w:val="single" w:sz="4" w:space="0" w:color="000000"/>
              <w:bottom w:val="single" w:sz="4" w:space="0" w:color="000000"/>
              <w:right w:val="single" w:sz="4" w:space="0" w:color="000000"/>
            </w:tcBorders>
            <w:vAlign w:val="center"/>
          </w:tcPr>
          <w:p w14:paraId="326FBE8F" w14:textId="7262F783" w:rsidR="001901C4" w:rsidRPr="00DF7106" w:rsidRDefault="001901C4" w:rsidP="001901C4">
            <w:pPr>
              <w:ind w:firstLine="0"/>
              <w:jc w:val="center"/>
              <w:rPr>
                <w:rFonts w:eastAsia="Times New Roman" w:cs="Times New Roman"/>
                <w:sz w:val="20"/>
                <w:szCs w:val="20"/>
                <w:lang w:eastAsia="ru-RU"/>
              </w:rPr>
            </w:pPr>
            <w:r w:rsidRPr="0027086D">
              <w:rPr>
                <w:rFonts w:eastAsia="Times New Roman" w:cs="Times New Roman"/>
                <w:sz w:val="20"/>
                <w:szCs w:val="20"/>
                <w:lang w:eastAsia="ru-RU"/>
              </w:rPr>
              <w:t>15 лет</w:t>
            </w:r>
          </w:p>
        </w:tc>
        <w:tc>
          <w:tcPr>
            <w:tcW w:w="2231" w:type="dxa"/>
            <w:tcBorders>
              <w:top w:val="single" w:sz="4" w:space="0" w:color="000000"/>
              <w:left w:val="single" w:sz="4" w:space="0" w:color="000000"/>
              <w:bottom w:val="single" w:sz="4" w:space="0" w:color="000000"/>
              <w:right w:val="single" w:sz="4" w:space="0" w:color="000000"/>
            </w:tcBorders>
          </w:tcPr>
          <w:p w14:paraId="12D4CA67" w14:textId="77777777" w:rsidR="001901C4" w:rsidRDefault="001901C4" w:rsidP="001901C4">
            <w:pPr>
              <w:ind w:firstLine="0"/>
              <w:rPr>
                <w:rFonts w:eastAsia="Times New Roman" w:cs="Times New Roman"/>
                <w:sz w:val="20"/>
                <w:szCs w:val="20"/>
                <w:lang w:eastAsia="ru-RU"/>
              </w:rPr>
            </w:pPr>
            <w:r w:rsidRPr="00E24AB3">
              <w:rPr>
                <w:rFonts w:eastAsia="Times New Roman" w:cs="Times New Roman"/>
                <w:sz w:val="20"/>
                <w:szCs w:val="20"/>
                <w:lang w:eastAsia="ru-RU"/>
              </w:rPr>
              <w:t>Участие в разработке текстовых частей отчета и приложений, составление отчета</w:t>
            </w:r>
            <w:r>
              <w:rPr>
                <w:rFonts w:eastAsia="Times New Roman" w:cs="Times New Roman"/>
                <w:sz w:val="20"/>
                <w:szCs w:val="20"/>
                <w:lang w:eastAsia="ru-RU"/>
              </w:rPr>
              <w:t>, Главы1.1; 1,2.</w:t>
            </w:r>
          </w:p>
          <w:p w14:paraId="03EE5549" w14:textId="4C7AABB2" w:rsidR="001901C4" w:rsidRPr="00DF7106" w:rsidRDefault="001901C4" w:rsidP="00213C8B">
            <w:pPr>
              <w:ind w:firstLine="0"/>
              <w:rPr>
                <w:rFonts w:eastAsia="Times New Roman" w:cs="Times New Roman"/>
                <w:sz w:val="20"/>
                <w:szCs w:val="20"/>
                <w:lang w:eastAsia="ru-RU"/>
              </w:rPr>
            </w:pPr>
            <w:r>
              <w:rPr>
                <w:rFonts w:eastAsia="Times New Roman" w:cs="Times New Roman"/>
                <w:sz w:val="20"/>
                <w:szCs w:val="20"/>
                <w:lang w:eastAsia="ru-RU"/>
              </w:rPr>
              <w:t>Приложения: 1.1. Исходные данные, 1.4.ЦФ;);</w:t>
            </w:r>
          </w:p>
        </w:tc>
      </w:tr>
    </w:tbl>
    <w:p w14:paraId="7743A390" w14:textId="77777777" w:rsidR="00E04825" w:rsidRPr="0027086D" w:rsidRDefault="00E04825" w:rsidP="00E04825">
      <w:pPr>
        <w:pStyle w:val="ae"/>
        <w:rPr>
          <w:rFonts w:ascii="Times New Roman" w:hAnsi="Times New Roman"/>
          <w:b/>
          <w:sz w:val="24"/>
          <w:szCs w:val="24"/>
        </w:rPr>
      </w:pPr>
    </w:p>
    <w:p w14:paraId="47713CAD" w14:textId="169F434B" w:rsidR="009F7732" w:rsidRDefault="009F7732" w:rsidP="00FD2769">
      <w:pPr>
        <w:pStyle w:val="3"/>
      </w:pPr>
      <w:r w:rsidRPr="0027086D">
        <w:t>Сведения о руководителе бюджетного учреждения, работниках бюджетного учреждения, привлекаемых к определению кадастровой стоимости</w:t>
      </w:r>
    </w:p>
    <w:p w14:paraId="76E563D1" w14:textId="77777777" w:rsidR="00DF26AE" w:rsidRPr="0027086D" w:rsidRDefault="00DF26AE" w:rsidP="00DF26AE">
      <w:pPr>
        <w:pStyle w:val="ae"/>
        <w:ind w:left="1224" w:firstLine="0"/>
        <w:rPr>
          <w:rFonts w:ascii="Times New Roman" w:hAnsi="Times New Roman"/>
          <w:b/>
          <w:sz w:val="24"/>
          <w:szCs w:val="24"/>
        </w:rPr>
      </w:pPr>
    </w:p>
    <w:p w14:paraId="5C11460B" w14:textId="535BB988" w:rsidR="00757F88" w:rsidRPr="00FE299E" w:rsidRDefault="005614E1" w:rsidP="00763AD2">
      <w:pPr>
        <w:pStyle w:val="afffffff0"/>
        <w:rPr>
          <w:bCs/>
        </w:rPr>
      </w:pPr>
      <w:r w:rsidRPr="00FE299E">
        <w:t xml:space="preserve">Таблица </w:t>
      </w:r>
      <w:r w:rsidR="00A90944">
        <w:fldChar w:fldCharType="begin"/>
      </w:r>
      <w:r w:rsidR="00A90944">
        <w:instrText xml:space="preserve"> SEQ Таблица \* ARABIC </w:instrText>
      </w:r>
      <w:r w:rsidR="00A90944">
        <w:fldChar w:fldCharType="separate"/>
      </w:r>
      <w:r w:rsidR="00FD2769">
        <w:rPr>
          <w:noProof/>
        </w:rPr>
        <w:t>2</w:t>
      </w:r>
      <w:r w:rsidR="00A90944">
        <w:rPr>
          <w:noProof/>
        </w:rPr>
        <w:fldChar w:fldCharType="end"/>
      </w:r>
      <w:r w:rsidR="00FE299E">
        <w:t>.</w:t>
      </w:r>
      <w:r w:rsidR="00FE299E" w:rsidRPr="00FE299E">
        <w:t xml:space="preserve"> Руководитель ГБУ РС(Я) «Центр госу</w:t>
      </w:r>
      <w:r w:rsidR="00697A20">
        <w:t>дарственной кадастровой оценки»</w:t>
      </w:r>
    </w:p>
    <w:tbl>
      <w:tblPr>
        <w:tblW w:w="9636" w:type="dxa"/>
        <w:jc w:val="center"/>
        <w:tblCellMar>
          <w:left w:w="10" w:type="dxa"/>
          <w:right w:w="10" w:type="dxa"/>
        </w:tblCellMar>
        <w:tblLook w:val="04A0" w:firstRow="1" w:lastRow="0" w:firstColumn="1" w:lastColumn="0" w:noHBand="0" w:noVBand="1"/>
      </w:tblPr>
      <w:tblGrid>
        <w:gridCol w:w="704"/>
        <w:gridCol w:w="4111"/>
        <w:gridCol w:w="4821"/>
      </w:tblGrid>
      <w:tr w:rsidR="00757F88" w:rsidRPr="0027086D" w14:paraId="7E81233B" w14:textId="77777777" w:rsidTr="00757F88">
        <w:trPr>
          <w:trHeight w:val="315"/>
          <w:tblHeader/>
          <w:jc w:val="center"/>
        </w:trPr>
        <w:tc>
          <w:tcPr>
            <w:tcW w:w="704" w:type="dxa"/>
            <w:tcBorders>
              <w:top w:val="single" w:sz="4" w:space="0" w:color="000000"/>
              <w:left w:val="single" w:sz="4" w:space="0" w:color="000000"/>
              <w:bottom w:val="single" w:sz="4" w:space="0" w:color="000000"/>
              <w:right w:val="single" w:sz="4" w:space="0" w:color="000000"/>
            </w:tcBorders>
            <w:shd w:val="clear" w:color="auto" w:fill="BFBFBF"/>
            <w:tcMar>
              <w:top w:w="0" w:type="dxa"/>
              <w:left w:w="108" w:type="dxa"/>
              <w:bottom w:w="0" w:type="dxa"/>
              <w:right w:w="108" w:type="dxa"/>
            </w:tcMar>
            <w:vAlign w:val="center"/>
          </w:tcPr>
          <w:p w14:paraId="1DB8F960" w14:textId="77777777" w:rsidR="00757F88" w:rsidRPr="0027086D" w:rsidRDefault="00757F88" w:rsidP="00CD69AF">
            <w:pPr>
              <w:ind w:firstLine="22"/>
              <w:jc w:val="center"/>
              <w:rPr>
                <w:rFonts w:eastAsia="Times New Roman" w:cs="Times New Roman"/>
                <w:b/>
                <w:sz w:val="20"/>
                <w:szCs w:val="20"/>
                <w:lang w:eastAsia="ru-RU"/>
              </w:rPr>
            </w:pPr>
            <w:r w:rsidRPr="0027086D">
              <w:rPr>
                <w:rFonts w:eastAsia="Times New Roman" w:cs="Times New Roman"/>
                <w:b/>
                <w:sz w:val="20"/>
                <w:szCs w:val="20"/>
                <w:lang w:eastAsia="ru-RU"/>
              </w:rPr>
              <w:t xml:space="preserve">№ </w:t>
            </w:r>
          </w:p>
          <w:p w14:paraId="5C43A87F" w14:textId="77777777" w:rsidR="00757F88" w:rsidRPr="0027086D" w:rsidRDefault="00757F88" w:rsidP="00CD69AF">
            <w:pPr>
              <w:ind w:firstLine="22"/>
              <w:jc w:val="center"/>
              <w:rPr>
                <w:rFonts w:eastAsia="Times New Roman" w:cs="Times New Roman"/>
                <w:b/>
                <w:sz w:val="20"/>
                <w:szCs w:val="20"/>
                <w:lang w:eastAsia="ru-RU"/>
              </w:rPr>
            </w:pPr>
            <w:r w:rsidRPr="0027086D">
              <w:rPr>
                <w:rFonts w:eastAsia="Times New Roman" w:cs="Times New Roman"/>
                <w:b/>
                <w:sz w:val="20"/>
                <w:szCs w:val="20"/>
                <w:lang w:eastAsia="ru-RU"/>
              </w:rPr>
              <w:t>п/п</w:t>
            </w:r>
          </w:p>
        </w:tc>
        <w:tc>
          <w:tcPr>
            <w:tcW w:w="4111" w:type="dxa"/>
            <w:tcBorders>
              <w:top w:val="single" w:sz="4" w:space="0" w:color="000000"/>
              <w:left w:val="single" w:sz="4" w:space="0" w:color="000000"/>
              <w:bottom w:val="single" w:sz="4" w:space="0" w:color="000000"/>
              <w:right w:val="single" w:sz="4" w:space="0" w:color="000000"/>
            </w:tcBorders>
            <w:shd w:val="clear" w:color="auto" w:fill="BFBFBF"/>
            <w:tcMar>
              <w:top w:w="0" w:type="dxa"/>
              <w:left w:w="108" w:type="dxa"/>
              <w:bottom w:w="0" w:type="dxa"/>
              <w:right w:w="108" w:type="dxa"/>
            </w:tcMar>
            <w:vAlign w:val="center"/>
          </w:tcPr>
          <w:p w14:paraId="2AA3FB10" w14:textId="77777777" w:rsidR="00757F88" w:rsidRPr="0027086D" w:rsidRDefault="00757F88" w:rsidP="00757F88">
            <w:pPr>
              <w:ind w:firstLine="709"/>
              <w:jc w:val="center"/>
              <w:rPr>
                <w:rFonts w:eastAsia="Times New Roman" w:cs="Times New Roman"/>
                <w:b/>
                <w:sz w:val="20"/>
                <w:szCs w:val="20"/>
                <w:lang w:eastAsia="ru-RU"/>
              </w:rPr>
            </w:pPr>
            <w:r w:rsidRPr="0027086D">
              <w:rPr>
                <w:rFonts w:eastAsia="Times New Roman" w:cs="Times New Roman"/>
                <w:b/>
                <w:sz w:val="20"/>
                <w:szCs w:val="20"/>
                <w:lang w:eastAsia="ru-RU"/>
              </w:rPr>
              <w:t>Фамилия, имя, отчество</w:t>
            </w:r>
          </w:p>
        </w:tc>
        <w:tc>
          <w:tcPr>
            <w:tcW w:w="4821" w:type="dxa"/>
            <w:tcBorders>
              <w:top w:val="single" w:sz="4" w:space="0" w:color="000000"/>
              <w:left w:val="single" w:sz="4" w:space="0" w:color="000000"/>
              <w:bottom w:val="single" w:sz="4" w:space="0" w:color="000000"/>
              <w:right w:val="single" w:sz="4" w:space="0" w:color="000000"/>
            </w:tcBorders>
            <w:shd w:val="clear" w:color="auto" w:fill="BFBFBF"/>
            <w:tcMar>
              <w:top w:w="0" w:type="dxa"/>
              <w:left w:w="108" w:type="dxa"/>
              <w:bottom w:w="0" w:type="dxa"/>
              <w:right w:w="108" w:type="dxa"/>
            </w:tcMar>
            <w:vAlign w:val="center"/>
          </w:tcPr>
          <w:p w14:paraId="6FE35001" w14:textId="77777777" w:rsidR="00757F88" w:rsidRPr="0027086D" w:rsidRDefault="00757F88" w:rsidP="00757F88">
            <w:pPr>
              <w:ind w:firstLine="709"/>
              <w:jc w:val="center"/>
              <w:rPr>
                <w:rFonts w:eastAsia="Times New Roman" w:cs="Times New Roman"/>
                <w:b/>
                <w:sz w:val="20"/>
                <w:szCs w:val="20"/>
                <w:lang w:eastAsia="ru-RU"/>
              </w:rPr>
            </w:pPr>
            <w:r w:rsidRPr="0027086D">
              <w:rPr>
                <w:rFonts w:eastAsia="Times New Roman" w:cs="Times New Roman"/>
                <w:b/>
                <w:sz w:val="20"/>
                <w:szCs w:val="20"/>
                <w:lang w:eastAsia="ru-RU"/>
              </w:rPr>
              <w:t>Должность</w:t>
            </w:r>
          </w:p>
        </w:tc>
      </w:tr>
      <w:tr w:rsidR="00757F88" w:rsidRPr="0027086D" w14:paraId="5ADFDEF8" w14:textId="77777777" w:rsidTr="00757F88">
        <w:trPr>
          <w:jc w:val="center"/>
        </w:trPr>
        <w:tc>
          <w:tcPr>
            <w:tcW w:w="7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B318BCA" w14:textId="77777777" w:rsidR="00757F88" w:rsidRPr="0027086D" w:rsidRDefault="00757F88" w:rsidP="00CD69AF">
            <w:pPr>
              <w:ind w:firstLine="22"/>
              <w:jc w:val="center"/>
              <w:rPr>
                <w:rFonts w:eastAsia="Times New Roman" w:cs="Times New Roman"/>
                <w:sz w:val="20"/>
                <w:szCs w:val="20"/>
                <w:lang w:eastAsia="ru-RU"/>
              </w:rPr>
            </w:pPr>
            <w:r w:rsidRPr="0027086D">
              <w:rPr>
                <w:rFonts w:eastAsia="Times New Roman" w:cs="Times New Roman"/>
                <w:sz w:val="20"/>
                <w:szCs w:val="20"/>
                <w:lang w:eastAsia="ru-RU"/>
              </w:rPr>
              <w:t>1.</w:t>
            </w:r>
          </w:p>
        </w:tc>
        <w:tc>
          <w:tcPr>
            <w:tcW w:w="411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6CC99DF" w14:textId="04FE0C33" w:rsidR="00757F88" w:rsidRPr="0027086D" w:rsidRDefault="00B652C0" w:rsidP="00757F88">
            <w:pPr>
              <w:ind w:firstLine="709"/>
              <w:rPr>
                <w:rFonts w:eastAsia="Times New Roman" w:cs="Times New Roman"/>
                <w:sz w:val="20"/>
                <w:szCs w:val="20"/>
                <w:lang w:eastAsia="ru-RU"/>
              </w:rPr>
            </w:pPr>
            <w:r>
              <w:rPr>
                <w:rFonts w:eastAsia="Times New Roman" w:cs="Times New Roman"/>
                <w:sz w:val="20"/>
                <w:szCs w:val="20"/>
                <w:lang w:eastAsia="ru-RU"/>
              </w:rPr>
              <w:t>Прокопьева Мария Афанасьевна</w:t>
            </w:r>
          </w:p>
        </w:tc>
        <w:tc>
          <w:tcPr>
            <w:tcW w:w="48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23809E2" w14:textId="77777777" w:rsidR="00757F88" w:rsidRPr="0027086D" w:rsidRDefault="00757F88" w:rsidP="00757F88">
            <w:pPr>
              <w:ind w:firstLine="709"/>
              <w:rPr>
                <w:rFonts w:eastAsia="Times New Roman" w:cs="Times New Roman"/>
                <w:sz w:val="20"/>
                <w:szCs w:val="20"/>
                <w:lang w:eastAsia="ru-RU"/>
              </w:rPr>
            </w:pPr>
            <w:r w:rsidRPr="0027086D">
              <w:rPr>
                <w:rFonts w:eastAsia="Times New Roman" w:cs="Times New Roman"/>
                <w:sz w:val="20"/>
                <w:szCs w:val="20"/>
                <w:lang w:eastAsia="ru-RU"/>
              </w:rPr>
              <w:t>Директор</w:t>
            </w:r>
          </w:p>
        </w:tc>
      </w:tr>
    </w:tbl>
    <w:p w14:paraId="549A71DC" w14:textId="77777777" w:rsidR="00757F88" w:rsidRDefault="00757F88" w:rsidP="003B682D">
      <w:pPr>
        <w:spacing w:before="120" w:after="120"/>
        <w:ind w:firstLine="0"/>
        <w:jc w:val="right"/>
        <w:rPr>
          <w:rFonts w:eastAsia="Times New Roman" w:cs="Times New Roman"/>
          <w:b/>
          <w:bCs/>
          <w:i/>
          <w:sz w:val="20"/>
          <w:szCs w:val="20"/>
          <w:lang w:eastAsia="ru-RU"/>
        </w:rPr>
      </w:pPr>
    </w:p>
    <w:p w14:paraId="57DB297C" w14:textId="75BC9CDD" w:rsidR="00FE299E" w:rsidRPr="00FE299E" w:rsidRDefault="00FE299E" w:rsidP="00763AD2">
      <w:pPr>
        <w:pStyle w:val="afffffff0"/>
        <w:rPr>
          <w:bCs/>
          <w:szCs w:val="20"/>
        </w:rPr>
      </w:pPr>
      <w:r w:rsidRPr="00FE299E">
        <w:t xml:space="preserve">Таблица </w:t>
      </w:r>
      <w:r w:rsidR="00A90944">
        <w:fldChar w:fldCharType="begin"/>
      </w:r>
      <w:r w:rsidR="00A90944">
        <w:instrText xml:space="preserve"> SEQ Таблица \* ARABIC </w:instrText>
      </w:r>
      <w:r w:rsidR="00A90944">
        <w:fldChar w:fldCharType="separate"/>
      </w:r>
      <w:r w:rsidR="00FD2769">
        <w:rPr>
          <w:noProof/>
        </w:rPr>
        <w:t>3</w:t>
      </w:r>
      <w:r w:rsidR="00A90944">
        <w:rPr>
          <w:noProof/>
        </w:rPr>
        <w:fldChar w:fldCharType="end"/>
      </w:r>
      <w:r w:rsidRPr="00FE299E">
        <w:t>. Сведения о специалистах ГБУ РС(Я) «Центр государственной кадастровой оценки»</w:t>
      </w:r>
      <w:r>
        <w:t>.</w:t>
      </w:r>
    </w:p>
    <w:tbl>
      <w:tblPr>
        <w:tblW w:w="9701" w:type="dxa"/>
        <w:jc w:val="center"/>
        <w:tblCellMar>
          <w:left w:w="10" w:type="dxa"/>
          <w:right w:w="10" w:type="dxa"/>
        </w:tblCellMar>
        <w:tblLook w:val="04A0" w:firstRow="1" w:lastRow="0" w:firstColumn="1" w:lastColumn="0" w:noHBand="0" w:noVBand="1"/>
      </w:tblPr>
      <w:tblGrid>
        <w:gridCol w:w="1212"/>
        <w:gridCol w:w="2830"/>
        <w:gridCol w:w="2214"/>
        <w:gridCol w:w="3445"/>
      </w:tblGrid>
      <w:tr w:rsidR="003B682D" w:rsidRPr="0027086D" w14:paraId="3FB546C3" w14:textId="77777777" w:rsidTr="0017254B">
        <w:trPr>
          <w:tblHeader/>
          <w:jc w:val="center"/>
        </w:trPr>
        <w:tc>
          <w:tcPr>
            <w:tcW w:w="1212" w:type="dxa"/>
            <w:tcBorders>
              <w:top w:val="single" w:sz="4" w:space="0" w:color="000000"/>
              <w:left w:val="single" w:sz="4" w:space="0" w:color="000000"/>
              <w:bottom w:val="single" w:sz="4" w:space="0" w:color="000000"/>
              <w:right w:val="single" w:sz="4" w:space="0" w:color="000000"/>
            </w:tcBorders>
            <w:shd w:val="clear" w:color="auto" w:fill="BFBFBF"/>
            <w:tcMar>
              <w:top w:w="0" w:type="dxa"/>
              <w:left w:w="108" w:type="dxa"/>
              <w:bottom w:w="0" w:type="dxa"/>
              <w:right w:w="108" w:type="dxa"/>
            </w:tcMar>
            <w:vAlign w:val="center"/>
          </w:tcPr>
          <w:p w14:paraId="7E5767DE" w14:textId="77777777" w:rsidR="003B682D" w:rsidRPr="0027086D" w:rsidRDefault="003B682D" w:rsidP="00CD69AF">
            <w:pPr>
              <w:ind w:firstLine="0"/>
              <w:jc w:val="center"/>
              <w:rPr>
                <w:rFonts w:eastAsia="Times New Roman" w:cs="Times New Roman"/>
                <w:b/>
                <w:sz w:val="20"/>
                <w:szCs w:val="20"/>
                <w:lang w:eastAsia="ru-RU"/>
              </w:rPr>
            </w:pPr>
            <w:r w:rsidRPr="0027086D">
              <w:rPr>
                <w:rFonts w:eastAsia="Times New Roman" w:cs="Times New Roman"/>
                <w:b/>
                <w:sz w:val="20"/>
                <w:szCs w:val="20"/>
                <w:lang w:eastAsia="ru-RU"/>
              </w:rPr>
              <w:t xml:space="preserve">№ </w:t>
            </w:r>
          </w:p>
          <w:p w14:paraId="7A38AC2D" w14:textId="77777777" w:rsidR="003B682D" w:rsidRPr="0027086D" w:rsidRDefault="003B682D" w:rsidP="00CD69AF">
            <w:pPr>
              <w:ind w:firstLine="0"/>
              <w:jc w:val="center"/>
              <w:rPr>
                <w:rFonts w:eastAsia="Times New Roman" w:cs="Times New Roman"/>
                <w:b/>
                <w:sz w:val="20"/>
                <w:szCs w:val="20"/>
                <w:lang w:eastAsia="ru-RU"/>
              </w:rPr>
            </w:pPr>
            <w:r w:rsidRPr="0027086D">
              <w:rPr>
                <w:rFonts w:eastAsia="Times New Roman" w:cs="Times New Roman"/>
                <w:b/>
                <w:sz w:val="20"/>
                <w:szCs w:val="20"/>
                <w:lang w:eastAsia="ru-RU"/>
              </w:rPr>
              <w:t>п/п</w:t>
            </w:r>
          </w:p>
        </w:tc>
        <w:tc>
          <w:tcPr>
            <w:tcW w:w="2830" w:type="dxa"/>
            <w:tcBorders>
              <w:top w:val="single" w:sz="4" w:space="0" w:color="000000"/>
              <w:left w:val="single" w:sz="4" w:space="0" w:color="000000"/>
              <w:bottom w:val="single" w:sz="4" w:space="0" w:color="000000"/>
              <w:right w:val="single" w:sz="4" w:space="0" w:color="000000"/>
            </w:tcBorders>
            <w:shd w:val="clear" w:color="auto" w:fill="BFBFBF"/>
            <w:tcMar>
              <w:top w:w="0" w:type="dxa"/>
              <w:left w:w="108" w:type="dxa"/>
              <w:bottom w:w="0" w:type="dxa"/>
              <w:right w:w="108" w:type="dxa"/>
            </w:tcMar>
            <w:vAlign w:val="center"/>
          </w:tcPr>
          <w:p w14:paraId="6B32365A" w14:textId="77777777" w:rsidR="003B682D" w:rsidRPr="0027086D" w:rsidRDefault="003B682D" w:rsidP="003B682D">
            <w:pPr>
              <w:ind w:firstLine="709"/>
              <w:jc w:val="center"/>
              <w:rPr>
                <w:rFonts w:eastAsia="Times New Roman" w:cs="Times New Roman"/>
                <w:b/>
                <w:sz w:val="20"/>
                <w:szCs w:val="20"/>
                <w:lang w:eastAsia="ru-RU"/>
              </w:rPr>
            </w:pPr>
            <w:r w:rsidRPr="0027086D">
              <w:rPr>
                <w:rFonts w:eastAsia="Times New Roman" w:cs="Times New Roman"/>
                <w:b/>
                <w:sz w:val="20"/>
                <w:szCs w:val="20"/>
                <w:lang w:eastAsia="ru-RU"/>
              </w:rPr>
              <w:t>Фамилия, имя, отчество</w:t>
            </w:r>
          </w:p>
        </w:tc>
        <w:tc>
          <w:tcPr>
            <w:tcW w:w="2214" w:type="dxa"/>
            <w:tcBorders>
              <w:top w:val="single" w:sz="4" w:space="0" w:color="000000"/>
              <w:left w:val="single" w:sz="4" w:space="0" w:color="000000"/>
              <w:bottom w:val="single" w:sz="4" w:space="0" w:color="000000"/>
              <w:right w:val="single" w:sz="4" w:space="0" w:color="000000"/>
            </w:tcBorders>
            <w:shd w:val="clear" w:color="auto" w:fill="BFBFBF"/>
            <w:tcMar>
              <w:top w:w="0" w:type="dxa"/>
              <w:left w:w="108" w:type="dxa"/>
              <w:bottom w:w="0" w:type="dxa"/>
              <w:right w:w="108" w:type="dxa"/>
            </w:tcMar>
            <w:vAlign w:val="center"/>
          </w:tcPr>
          <w:p w14:paraId="005C0C37" w14:textId="77777777" w:rsidR="003B682D" w:rsidRPr="0027086D" w:rsidRDefault="003B682D" w:rsidP="003B682D">
            <w:pPr>
              <w:ind w:firstLine="709"/>
              <w:jc w:val="center"/>
              <w:rPr>
                <w:rFonts w:eastAsia="Times New Roman" w:cs="Times New Roman"/>
                <w:b/>
                <w:sz w:val="20"/>
                <w:szCs w:val="20"/>
                <w:lang w:eastAsia="ru-RU"/>
              </w:rPr>
            </w:pPr>
            <w:r w:rsidRPr="0027086D">
              <w:rPr>
                <w:rFonts w:eastAsia="Times New Roman" w:cs="Times New Roman"/>
                <w:b/>
                <w:sz w:val="20"/>
                <w:szCs w:val="20"/>
                <w:lang w:eastAsia="ru-RU"/>
              </w:rPr>
              <w:t>Должность</w:t>
            </w:r>
          </w:p>
        </w:tc>
        <w:tc>
          <w:tcPr>
            <w:tcW w:w="3445" w:type="dxa"/>
            <w:tcBorders>
              <w:top w:val="single" w:sz="4" w:space="0" w:color="000000"/>
              <w:left w:val="single" w:sz="4" w:space="0" w:color="000000"/>
              <w:bottom w:val="single" w:sz="4" w:space="0" w:color="000000"/>
              <w:right w:val="single" w:sz="4" w:space="0" w:color="000000"/>
            </w:tcBorders>
            <w:shd w:val="clear" w:color="auto" w:fill="BFBFBF"/>
            <w:vAlign w:val="center"/>
          </w:tcPr>
          <w:p w14:paraId="664D54A6" w14:textId="77777777" w:rsidR="003B682D" w:rsidRPr="0027086D" w:rsidRDefault="003B682D" w:rsidP="003B682D">
            <w:pPr>
              <w:ind w:firstLine="709"/>
              <w:jc w:val="center"/>
              <w:rPr>
                <w:rFonts w:eastAsia="Times New Roman" w:cs="Times New Roman"/>
                <w:b/>
                <w:sz w:val="20"/>
                <w:szCs w:val="20"/>
                <w:lang w:eastAsia="ru-RU"/>
              </w:rPr>
            </w:pPr>
            <w:r w:rsidRPr="0027086D">
              <w:rPr>
                <w:rFonts w:eastAsia="Times New Roman" w:cs="Times New Roman"/>
                <w:b/>
                <w:sz w:val="20"/>
                <w:szCs w:val="20"/>
                <w:lang w:eastAsia="ru-RU"/>
              </w:rPr>
              <w:t>Степень участия</w:t>
            </w:r>
          </w:p>
        </w:tc>
      </w:tr>
      <w:tr w:rsidR="003B682D" w:rsidRPr="0027086D" w14:paraId="12813E59" w14:textId="77777777" w:rsidTr="0017254B">
        <w:trPr>
          <w:jc w:val="center"/>
        </w:trPr>
        <w:tc>
          <w:tcPr>
            <w:tcW w:w="12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86882A1" w14:textId="2AA8DB06" w:rsidR="003B682D" w:rsidRPr="0027086D" w:rsidRDefault="003B682D" w:rsidP="00CD69AF">
            <w:pPr>
              <w:ind w:firstLine="0"/>
              <w:jc w:val="center"/>
              <w:rPr>
                <w:rFonts w:eastAsia="Times New Roman" w:cs="Times New Roman"/>
                <w:sz w:val="20"/>
                <w:szCs w:val="20"/>
                <w:lang w:eastAsia="ru-RU"/>
              </w:rPr>
            </w:pPr>
            <w:r w:rsidRPr="0027086D">
              <w:rPr>
                <w:rFonts w:eastAsia="Times New Roman" w:cs="Times New Roman"/>
                <w:sz w:val="20"/>
                <w:szCs w:val="20"/>
                <w:lang w:eastAsia="ru-RU"/>
              </w:rPr>
              <w:t>1.</w:t>
            </w:r>
          </w:p>
        </w:tc>
        <w:tc>
          <w:tcPr>
            <w:tcW w:w="28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C682185" w14:textId="77777777" w:rsidR="003B682D" w:rsidRPr="0027086D" w:rsidRDefault="003B682D" w:rsidP="003B682D">
            <w:pPr>
              <w:ind w:firstLine="17"/>
              <w:rPr>
                <w:rFonts w:eastAsia="Times New Roman" w:cs="Times New Roman"/>
                <w:sz w:val="20"/>
                <w:szCs w:val="20"/>
                <w:lang w:eastAsia="ru-RU"/>
              </w:rPr>
            </w:pPr>
            <w:r w:rsidRPr="0027086D">
              <w:rPr>
                <w:rFonts w:eastAsia="Times New Roman" w:cs="Times New Roman"/>
                <w:sz w:val="20"/>
                <w:szCs w:val="20"/>
                <w:lang w:eastAsia="ru-RU"/>
              </w:rPr>
              <w:t>Черемкина Ольга Михайловна</w:t>
            </w:r>
          </w:p>
        </w:tc>
        <w:tc>
          <w:tcPr>
            <w:tcW w:w="22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1DACCA6" w14:textId="77777777" w:rsidR="003B682D" w:rsidRPr="0027086D" w:rsidRDefault="003B682D" w:rsidP="003B682D">
            <w:pPr>
              <w:ind w:firstLine="0"/>
              <w:rPr>
                <w:rFonts w:eastAsia="Times New Roman" w:cs="Times New Roman"/>
                <w:sz w:val="20"/>
                <w:szCs w:val="20"/>
                <w:lang w:eastAsia="ru-RU"/>
              </w:rPr>
            </w:pPr>
            <w:r w:rsidRPr="0027086D">
              <w:rPr>
                <w:rFonts w:eastAsia="Times New Roman" w:cs="Times New Roman"/>
                <w:sz w:val="20"/>
                <w:szCs w:val="20"/>
                <w:lang w:eastAsia="ru-RU"/>
              </w:rPr>
              <w:t>Заместитель директора</w:t>
            </w:r>
          </w:p>
        </w:tc>
        <w:tc>
          <w:tcPr>
            <w:tcW w:w="344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1E9D445" w14:textId="0B3A6B7A" w:rsidR="003B682D" w:rsidRPr="0027086D" w:rsidRDefault="003B682D" w:rsidP="003B682D">
            <w:pPr>
              <w:ind w:firstLine="5"/>
              <w:rPr>
                <w:rFonts w:eastAsia="Times New Roman" w:cs="Times New Roman"/>
                <w:sz w:val="20"/>
                <w:szCs w:val="20"/>
                <w:lang w:eastAsia="ru-RU"/>
              </w:rPr>
            </w:pPr>
            <w:r w:rsidRPr="0027086D">
              <w:rPr>
                <w:rFonts w:eastAsia="Times New Roman" w:cs="Times New Roman"/>
                <w:sz w:val="20"/>
                <w:szCs w:val="20"/>
                <w:lang w:eastAsia="ru-RU"/>
              </w:rPr>
              <w:t xml:space="preserve">Участие в разработке технологии кад.оценки, организация работ, разработка шаблонов запросов информации, </w:t>
            </w:r>
            <w:r w:rsidR="00A973F3">
              <w:rPr>
                <w:rFonts w:eastAsia="Times New Roman" w:cs="Times New Roman"/>
                <w:sz w:val="20"/>
                <w:szCs w:val="20"/>
                <w:lang w:eastAsia="ru-RU"/>
              </w:rPr>
              <w:t xml:space="preserve">Анализ результатов оценки, </w:t>
            </w:r>
            <w:r w:rsidRPr="0027086D">
              <w:rPr>
                <w:rFonts w:eastAsia="Times New Roman" w:cs="Times New Roman"/>
                <w:sz w:val="20"/>
                <w:szCs w:val="20"/>
                <w:lang w:eastAsia="ru-RU"/>
              </w:rPr>
              <w:t xml:space="preserve">общий контроль сроков и качества </w:t>
            </w:r>
          </w:p>
        </w:tc>
      </w:tr>
      <w:tr w:rsidR="00611AF9" w:rsidRPr="0027086D" w14:paraId="75398313" w14:textId="77777777" w:rsidTr="0017254B">
        <w:trPr>
          <w:jc w:val="center"/>
        </w:trPr>
        <w:tc>
          <w:tcPr>
            <w:tcW w:w="12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6D3619D" w14:textId="59AAE4A6" w:rsidR="00611AF9" w:rsidRPr="0027086D" w:rsidRDefault="00B652C0" w:rsidP="00611AF9">
            <w:pPr>
              <w:ind w:firstLine="0"/>
              <w:jc w:val="center"/>
              <w:rPr>
                <w:rFonts w:eastAsia="Times New Roman" w:cs="Times New Roman"/>
                <w:sz w:val="20"/>
                <w:szCs w:val="20"/>
                <w:lang w:eastAsia="ru-RU"/>
              </w:rPr>
            </w:pPr>
            <w:r>
              <w:rPr>
                <w:rFonts w:eastAsia="Times New Roman" w:cs="Times New Roman"/>
                <w:sz w:val="20"/>
                <w:szCs w:val="20"/>
                <w:lang w:eastAsia="ru-RU"/>
              </w:rPr>
              <w:t>2</w:t>
            </w:r>
            <w:r w:rsidR="00611AF9" w:rsidRPr="0027086D">
              <w:rPr>
                <w:rFonts w:eastAsia="Times New Roman" w:cs="Times New Roman"/>
                <w:sz w:val="20"/>
                <w:szCs w:val="20"/>
                <w:lang w:eastAsia="ru-RU"/>
              </w:rPr>
              <w:t>.</w:t>
            </w:r>
          </w:p>
        </w:tc>
        <w:tc>
          <w:tcPr>
            <w:tcW w:w="28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6547543" w14:textId="18F53CF0" w:rsidR="00611AF9" w:rsidRPr="0027086D" w:rsidRDefault="00611AF9" w:rsidP="00611AF9">
            <w:pPr>
              <w:ind w:firstLine="0"/>
              <w:rPr>
                <w:rFonts w:eastAsia="Times New Roman" w:cs="Times New Roman"/>
                <w:sz w:val="20"/>
                <w:szCs w:val="20"/>
                <w:lang w:eastAsia="ru-RU"/>
              </w:rPr>
            </w:pPr>
            <w:r w:rsidRPr="0027086D">
              <w:rPr>
                <w:rFonts w:eastAsia="Times New Roman" w:cs="Times New Roman"/>
                <w:sz w:val="20"/>
                <w:szCs w:val="20"/>
                <w:lang w:eastAsia="ru-RU"/>
              </w:rPr>
              <w:t>Замотаев Сергей Михайлович</w:t>
            </w:r>
          </w:p>
        </w:tc>
        <w:tc>
          <w:tcPr>
            <w:tcW w:w="22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1237225" w14:textId="22A55E5E" w:rsidR="00611AF9" w:rsidRPr="0027086D" w:rsidRDefault="00611AF9" w:rsidP="00611AF9">
            <w:pPr>
              <w:ind w:firstLine="9"/>
              <w:rPr>
                <w:rFonts w:eastAsia="Times New Roman" w:cs="Times New Roman"/>
                <w:sz w:val="20"/>
                <w:szCs w:val="20"/>
                <w:lang w:eastAsia="ru-RU"/>
              </w:rPr>
            </w:pPr>
            <w:r w:rsidRPr="0027086D">
              <w:rPr>
                <w:rFonts w:eastAsia="Times New Roman" w:cs="Times New Roman"/>
                <w:sz w:val="20"/>
                <w:szCs w:val="20"/>
                <w:lang w:eastAsia="ru-RU"/>
              </w:rPr>
              <w:t>Главный эксперт отдела кадастровой оценки</w:t>
            </w:r>
          </w:p>
        </w:tc>
        <w:tc>
          <w:tcPr>
            <w:tcW w:w="3445" w:type="dxa"/>
            <w:tcBorders>
              <w:top w:val="single" w:sz="4" w:space="0" w:color="000000"/>
              <w:left w:val="single" w:sz="4" w:space="0" w:color="000000"/>
              <w:bottom w:val="single" w:sz="4" w:space="0" w:color="000000"/>
              <w:right w:val="single" w:sz="4" w:space="0" w:color="000000"/>
            </w:tcBorders>
            <w:vAlign w:val="center"/>
          </w:tcPr>
          <w:p w14:paraId="37DEB103" w14:textId="5B31B071" w:rsidR="00611AF9" w:rsidRPr="0027086D" w:rsidRDefault="00611AF9" w:rsidP="00611AF9">
            <w:pPr>
              <w:ind w:firstLine="0"/>
              <w:rPr>
                <w:rFonts w:eastAsia="Times New Roman" w:cs="Times New Roman"/>
                <w:sz w:val="20"/>
                <w:szCs w:val="20"/>
                <w:lang w:eastAsia="ru-RU"/>
              </w:rPr>
            </w:pPr>
            <w:r>
              <w:rPr>
                <w:rFonts w:eastAsia="Times New Roman" w:cs="Times New Roman"/>
                <w:sz w:val="20"/>
                <w:szCs w:val="20"/>
                <w:lang w:eastAsia="ru-RU"/>
              </w:rPr>
              <w:t>Консультация работников ГБУ по методике расчетов государственной кадастровой оценки и проверка правильности применения подходов. С</w:t>
            </w:r>
            <w:r w:rsidRPr="0027086D">
              <w:rPr>
                <w:rFonts w:eastAsia="Times New Roman" w:cs="Times New Roman"/>
                <w:sz w:val="20"/>
                <w:szCs w:val="20"/>
                <w:lang w:eastAsia="ru-RU"/>
              </w:rPr>
              <w:t>бор</w:t>
            </w:r>
            <w:r>
              <w:rPr>
                <w:rFonts w:eastAsia="Times New Roman" w:cs="Times New Roman"/>
                <w:sz w:val="20"/>
                <w:szCs w:val="20"/>
                <w:lang w:eastAsia="ru-RU"/>
              </w:rPr>
              <w:t xml:space="preserve"> данных и анализ о состояния экономического положения России и Республики Саха (Якутия). </w:t>
            </w:r>
          </w:p>
        </w:tc>
      </w:tr>
      <w:tr w:rsidR="00611AF9" w:rsidRPr="0027086D" w14:paraId="7FF4D813" w14:textId="77777777" w:rsidTr="0017254B">
        <w:trPr>
          <w:jc w:val="center"/>
        </w:trPr>
        <w:tc>
          <w:tcPr>
            <w:tcW w:w="12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A665894" w14:textId="3A2D2243" w:rsidR="00611AF9" w:rsidRPr="0027086D" w:rsidRDefault="00B652C0" w:rsidP="00611AF9">
            <w:pPr>
              <w:ind w:firstLine="0"/>
              <w:jc w:val="center"/>
              <w:rPr>
                <w:rFonts w:eastAsia="Times New Roman" w:cs="Times New Roman"/>
                <w:sz w:val="20"/>
                <w:szCs w:val="20"/>
                <w:lang w:eastAsia="ru-RU"/>
              </w:rPr>
            </w:pPr>
            <w:r>
              <w:rPr>
                <w:rFonts w:eastAsia="Times New Roman" w:cs="Times New Roman"/>
                <w:sz w:val="20"/>
                <w:szCs w:val="20"/>
                <w:lang w:eastAsia="ru-RU"/>
              </w:rPr>
              <w:t>3</w:t>
            </w:r>
            <w:r w:rsidR="00611AF9" w:rsidRPr="0027086D">
              <w:rPr>
                <w:rFonts w:eastAsia="Times New Roman" w:cs="Times New Roman"/>
                <w:sz w:val="20"/>
                <w:szCs w:val="20"/>
                <w:lang w:eastAsia="ru-RU"/>
              </w:rPr>
              <w:t>.</w:t>
            </w:r>
          </w:p>
        </w:tc>
        <w:tc>
          <w:tcPr>
            <w:tcW w:w="28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360F62B" w14:textId="7A02B03B" w:rsidR="00611AF9" w:rsidRPr="0027086D" w:rsidRDefault="00611AF9" w:rsidP="00611AF9">
            <w:pPr>
              <w:ind w:firstLine="0"/>
              <w:rPr>
                <w:rFonts w:eastAsia="Times New Roman" w:cs="Times New Roman"/>
                <w:sz w:val="20"/>
                <w:szCs w:val="20"/>
                <w:lang w:eastAsia="ru-RU"/>
              </w:rPr>
            </w:pPr>
            <w:r w:rsidRPr="0027086D">
              <w:rPr>
                <w:rFonts w:eastAsia="Times New Roman" w:cs="Times New Roman"/>
                <w:sz w:val="20"/>
                <w:szCs w:val="20"/>
                <w:lang w:eastAsia="ru-RU"/>
              </w:rPr>
              <w:t>Петров Павел Юрьевич</w:t>
            </w:r>
          </w:p>
        </w:tc>
        <w:tc>
          <w:tcPr>
            <w:tcW w:w="22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9D07F47" w14:textId="44D74EE5" w:rsidR="00611AF9" w:rsidRPr="0027086D" w:rsidRDefault="00611AF9" w:rsidP="00611AF9">
            <w:pPr>
              <w:ind w:firstLine="9"/>
              <w:rPr>
                <w:rFonts w:eastAsia="Times New Roman" w:cs="Times New Roman"/>
                <w:sz w:val="20"/>
                <w:szCs w:val="20"/>
                <w:lang w:eastAsia="ru-RU"/>
              </w:rPr>
            </w:pPr>
            <w:r w:rsidRPr="0027086D">
              <w:rPr>
                <w:rFonts w:eastAsia="Times New Roman" w:cs="Times New Roman"/>
                <w:sz w:val="20"/>
                <w:szCs w:val="20"/>
                <w:lang w:eastAsia="ru-RU"/>
              </w:rPr>
              <w:t xml:space="preserve">И.о.начальника отдела мониторинга и анализа рынка </w:t>
            </w:r>
          </w:p>
        </w:tc>
        <w:tc>
          <w:tcPr>
            <w:tcW w:w="3445" w:type="dxa"/>
            <w:tcBorders>
              <w:top w:val="single" w:sz="4" w:space="0" w:color="000000"/>
              <w:left w:val="single" w:sz="4" w:space="0" w:color="000000"/>
              <w:bottom w:val="single" w:sz="4" w:space="0" w:color="000000"/>
              <w:right w:val="single" w:sz="4" w:space="0" w:color="000000"/>
            </w:tcBorders>
            <w:vAlign w:val="center"/>
          </w:tcPr>
          <w:p w14:paraId="0EAF8E5A" w14:textId="2F0403C7" w:rsidR="00611AF9" w:rsidRPr="0027086D" w:rsidRDefault="00611AF9" w:rsidP="00611AF9">
            <w:pPr>
              <w:ind w:firstLine="5"/>
              <w:rPr>
                <w:rFonts w:eastAsia="Times New Roman" w:cs="Times New Roman"/>
                <w:sz w:val="20"/>
                <w:szCs w:val="20"/>
                <w:lang w:eastAsia="ru-RU"/>
              </w:rPr>
            </w:pPr>
            <w:r w:rsidRPr="008F182C">
              <w:rPr>
                <w:rFonts w:eastAsia="Times New Roman" w:cs="Times New Roman"/>
                <w:sz w:val="20"/>
                <w:szCs w:val="20"/>
                <w:lang w:eastAsia="ru-RU"/>
              </w:rPr>
              <w:t>Организация сбора сведений, участие в сборе сведений, Уточнение номера группы по ОКС у ОМСУ, сбор рыночной информации.</w:t>
            </w:r>
          </w:p>
        </w:tc>
      </w:tr>
      <w:tr w:rsidR="00611AF9" w:rsidRPr="0027086D" w14:paraId="54AC1AC6" w14:textId="77777777" w:rsidTr="0017254B">
        <w:trPr>
          <w:jc w:val="center"/>
        </w:trPr>
        <w:tc>
          <w:tcPr>
            <w:tcW w:w="12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2E6AF09" w14:textId="131DC32B" w:rsidR="00611AF9" w:rsidRPr="0027086D" w:rsidRDefault="00B652C0" w:rsidP="00611AF9">
            <w:pPr>
              <w:ind w:firstLine="0"/>
              <w:jc w:val="center"/>
              <w:rPr>
                <w:rFonts w:eastAsia="Times New Roman" w:cs="Times New Roman"/>
                <w:sz w:val="20"/>
                <w:szCs w:val="20"/>
                <w:lang w:eastAsia="ru-RU"/>
              </w:rPr>
            </w:pPr>
            <w:r>
              <w:rPr>
                <w:rFonts w:eastAsia="Times New Roman" w:cs="Times New Roman"/>
                <w:sz w:val="20"/>
                <w:szCs w:val="20"/>
                <w:lang w:eastAsia="ru-RU"/>
              </w:rPr>
              <w:t>4</w:t>
            </w:r>
            <w:r w:rsidR="00611AF9" w:rsidRPr="0027086D">
              <w:rPr>
                <w:rFonts w:eastAsia="Times New Roman" w:cs="Times New Roman"/>
                <w:sz w:val="20"/>
                <w:szCs w:val="20"/>
                <w:lang w:eastAsia="ru-RU"/>
              </w:rPr>
              <w:t>.</w:t>
            </w:r>
          </w:p>
        </w:tc>
        <w:tc>
          <w:tcPr>
            <w:tcW w:w="28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6D58E0F" w14:textId="6B66AD4F" w:rsidR="00611AF9" w:rsidRPr="0027086D" w:rsidRDefault="00611AF9" w:rsidP="00611AF9">
            <w:pPr>
              <w:ind w:firstLine="0"/>
              <w:rPr>
                <w:rFonts w:eastAsia="Times New Roman" w:cs="Times New Roman"/>
                <w:sz w:val="20"/>
                <w:szCs w:val="20"/>
                <w:lang w:eastAsia="ru-RU"/>
              </w:rPr>
            </w:pPr>
            <w:r w:rsidRPr="0027086D">
              <w:rPr>
                <w:rFonts w:eastAsia="Times New Roman" w:cs="Times New Roman"/>
                <w:sz w:val="20"/>
                <w:szCs w:val="20"/>
                <w:lang w:eastAsia="ru-RU"/>
              </w:rPr>
              <w:t>Романова Наталья Александровна</w:t>
            </w:r>
          </w:p>
        </w:tc>
        <w:tc>
          <w:tcPr>
            <w:tcW w:w="22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D1390F4" w14:textId="77777777" w:rsidR="00611AF9" w:rsidRDefault="00611AF9" w:rsidP="00611AF9">
            <w:pPr>
              <w:ind w:firstLine="0"/>
              <w:rPr>
                <w:rFonts w:eastAsia="Times New Roman" w:cs="Times New Roman"/>
                <w:sz w:val="20"/>
                <w:szCs w:val="20"/>
                <w:lang w:eastAsia="ru-RU"/>
              </w:rPr>
            </w:pPr>
            <w:r w:rsidRPr="0027086D">
              <w:rPr>
                <w:rFonts w:eastAsia="Times New Roman" w:cs="Times New Roman"/>
                <w:sz w:val="20"/>
                <w:szCs w:val="20"/>
                <w:lang w:eastAsia="ru-RU"/>
              </w:rPr>
              <w:t xml:space="preserve">Ведущий аналитик отдела мониторинга и анализа рынка </w:t>
            </w:r>
          </w:p>
          <w:p w14:paraId="29B7D295" w14:textId="372F478C" w:rsidR="00611AF9" w:rsidRPr="0027086D" w:rsidRDefault="00611AF9" w:rsidP="00611AF9">
            <w:pPr>
              <w:ind w:firstLine="0"/>
              <w:rPr>
                <w:rFonts w:eastAsia="Times New Roman" w:cs="Times New Roman"/>
                <w:sz w:val="20"/>
                <w:szCs w:val="20"/>
                <w:lang w:eastAsia="ru-RU"/>
              </w:rPr>
            </w:pPr>
          </w:p>
        </w:tc>
        <w:tc>
          <w:tcPr>
            <w:tcW w:w="3445" w:type="dxa"/>
            <w:tcBorders>
              <w:top w:val="single" w:sz="4" w:space="0" w:color="000000"/>
              <w:left w:val="single" w:sz="4" w:space="0" w:color="000000"/>
              <w:bottom w:val="single" w:sz="4" w:space="0" w:color="000000"/>
              <w:right w:val="single" w:sz="4" w:space="0" w:color="000000"/>
            </w:tcBorders>
            <w:vAlign w:val="center"/>
          </w:tcPr>
          <w:p w14:paraId="0C1675A6" w14:textId="4BED1F24" w:rsidR="00611AF9" w:rsidRPr="001B3BD8" w:rsidRDefault="00611AF9" w:rsidP="00611AF9">
            <w:pPr>
              <w:ind w:firstLine="0"/>
              <w:rPr>
                <w:rFonts w:eastAsia="Times New Roman" w:cs="Times New Roman"/>
                <w:color w:val="FF0000"/>
                <w:sz w:val="20"/>
                <w:szCs w:val="20"/>
                <w:highlight w:val="yellow"/>
                <w:lang w:eastAsia="ru-RU"/>
              </w:rPr>
            </w:pPr>
            <w:r w:rsidRPr="008F182C">
              <w:rPr>
                <w:rFonts w:eastAsia="Times New Roman" w:cs="Times New Roman"/>
                <w:sz w:val="20"/>
                <w:szCs w:val="20"/>
                <w:lang w:eastAsia="ru-RU"/>
              </w:rPr>
              <w:t xml:space="preserve">Участие в сборе сведений, Уточнение </w:t>
            </w:r>
            <w:r>
              <w:rPr>
                <w:rFonts w:eastAsia="Times New Roman" w:cs="Times New Roman"/>
                <w:sz w:val="20"/>
                <w:szCs w:val="20"/>
                <w:lang w:eastAsia="ru-RU"/>
              </w:rPr>
              <w:t>номера группы</w:t>
            </w:r>
            <w:r w:rsidRPr="008F182C">
              <w:rPr>
                <w:rFonts w:eastAsia="Times New Roman" w:cs="Times New Roman"/>
                <w:sz w:val="20"/>
                <w:szCs w:val="20"/>
                <w:lang w:eastAsia="ru-RU"/>
              </w:rPr>
              <w:t xml:space="preserve"> по ОКС у ОМСУ, сбор рыночной информации, сбор ценообразующих факторов.</w:t>
            </w:r>
          </w:p>
        </w:tc>
      </w:tr>
      <w:tr w:rsidR="00611AF9" w:rsidRPr="0027086D" w14:paraId="27D2FAC1" w14:textId="77777777" w:rsidTr="0017254B">
        <w:trPr>
          <w:jc w:val="center"/>
        </w:trPr>
        <w:tc>
          <w:tcPr>
            <w:tcW w:w="12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98C03FB" w14:textId="2A8A4A96" w:rsidR="00611AF9" w:rsidRPr="0027086D" w:rsidRDefault="00B652C0" w:rsidP="00611AF9">
            <w:pPr>
              <w:ind w:firstLine="0"/>
              <w:jc w:val="center"/>
              <w:rPr>
                <w:rFonts w:eastAsia="Times New Roman" w:cs="Times New Roman"/>
                <w:sz w:val="20"/>
                <w:szCs w:val="20"/>
                <w:lang w:eastAsia="ru-RU"/>
              </w:rPr>
            </w:pPr>
            <w:r>
              <w:rPr>
                <w:rFonts w:eastAsia="Times New Roman" w:cs="Times New Roman"/>
                <w:sz w:val="20"/>
                <w:szCs w:val="20"/>
                <w:lang w:eastAsia="ru-RU"/>
              </w:rPr>
              <w:t>5</w:t>
            </w:r>
            <w:r w:rsidR="00611AF9">
              <w:rPr>
                <w:rFonts w:eastAsia="Times New Roman" w:cs="Times New Roman"/>
                <w:sz w:val="20"/>
                <w:szCs w:val="20"/>
                <w:lang w:eastAsia="ru-RU"/>
              </w:rPr>
              <w:t>.</w:t>
            </w:r>
          </w:p>
        </w:tc>
        <w:tc>
          <w:tcPr>
            <w:tcW w:w="28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B819D29" w14:textId="76AA084C" w:rsidR="00611AF9" w:rsidRPr="0027086D" w:rsidRDefault="00611AF9" w:rsidP="00611AF9">
            <w:pPr>
              <w:ind w:firstLine="0"/>
              <w:rPr>
                <w:rFonts w:eastAsia="Times New Roman" w:cs="Times New Roman"/>
                <w:sz w:val="20"/>
                <w:szCs w:val="20"/>
                <w:lang w:eastAsia="ru-RU"/>
              </w:rPr>
            </w:pPr>
            <w:r w:rsidRPr="0027086D">
              <w:rPr>
                <w:rFonts w:eastAsia="Times New Roman" w:cs="Times New Roman"/>
                <w:sz w:val="20"/>
                <w:szCs w:val="20"/>
                <w:lang w:eastAsia="ru-RU"/>
              </w:rPr>
              <w:t>Попова Людмила Николаевна</w:t>
            </w:r>
          </w:p>
        </w:tc>
        <w:tc>
          <w:tcPr>
            <w:tcW w:w="22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676F3BA" w14:textId="39006BE7" w:rsidR="00611AF9" w:rsidRPr="0027086D" w:rsidRDefault="00611AF9" w:rsidP="00611AF9">
            <w:pPr>
              <w:ind w:firstLine="0"/>
              <w:rPr>
                <w:rFonts w:eastAsia="Times New Roman" w:cs="Times New Roman"/>
                <w:sz w:val="20"/>
                <w:szCs w:val="20"/>
                <w:lang w:eastAsia="ru-RU"/>
              </w:rPr>
            </w:pPr>
            <w:r w:rsidRPr="0027086D">
              <w:rPr>
                <w:rFonts w:eastAsia="Times New Roman" w:cs="Times New Roman"/>
                <w:sz w:val="20"/>
                <w:szCs w:val="20"/>
                <w:lang w:eastAsia="ru-RU"/>
              </w:rPr>
              <w:t xml:space="preserve">Ведущий аналитик отдела мониторинга и анализа рынка </w:t>
            </w:r>
          </w:p>
        </w:tc>
        <w:tc>
          <w:tcPr>
            <w:tcW w:w="3445" w:type="dxa"/>
            <w:tcBorders>
              <w:top w:val="single" w:sz="4" w:space="0" w:color="000000"/>
              <w:left w:val="single" w:sz="4" w:space="0" w:color="000000"/>
              <w:bottom w:val="single" w:sz="4" w:space="0" w:color="000000"/>
              <w:right w:val="single" w:sz="4" w:space="0" w:color="000000"/>
            </w:tcBorders>
            <w:vAlign w:val="center"/>
          </w:tcPr>
          <w:p w14:paraId="4C710B80" w14:textId="6AB035CE" w:rsidR="00611AF9" w:rsidRPr="001B3BD8" w:rsidRDefault="00611AF9" w:rsidP="00611AF9">
            <w:pPr>
              <w:ind w:firstLine="5"/>
              <w:rPr>
                <w:rFonts w:eastAsia="Times New Roman" w:cs="Times New Roman"/>
                <w:sz w:val="20"/>
                <w:szCs w:val="20"/>
                <w:highlight w:val="yellow"/>
                <w:lang w:eastAsia="ru-RU"/>
              </w:rPr>
            </w:pPr>
            <w:r w:rsidRPr="008F182C">
              <w:rPr>
                <w:rFonts w:eastAsia="Times New Roman" w:cs="Times New Roman"/>
                <w:sz w:val="20"/>
                <w:szCs w:val="20"/>
                <w:lang w:eastAsia="ru-RU"/>
              </w:rPr>
              <w:t xml:space="preserve">Участие в сборе сведений, Уточнение </w:t>
            </w:r>
            <w:r>
              <w:rPr>
                <w:rFonts w:eastAsia="Times New Roman" w:cs="Times New Roman"/>
                <w:sz w:val="20"/>
                <w:szCs w:val="20"/>
                <w:lang w:eastAsia="ru-RU"/>
              </w:rPr>
              <w:t>номера группы</w:t>
            </w:r>
            <w:r w:rsidRPr="008F182C">
              <w:rPr>
                <w:rFonts w:eastAsia="Times New Roman" w:cs="Times New Roman"/>
                <w:sz w:val="20"/>
                <w:szCs w:val="20"/>
                <w:lang w:eastAsia="ru-RU"/>
              </w:rPr>
              <w:t xml:space="preserve"> по ОКС у ОМСУ, сбор рыночной информации, сбор ценообразующих факторов.</w:t>
            </w:r>
          </w:p>
        </w:tc>
      </w:tr>
      <w:tr w:rsidR="00611AF9" w:rsidRPr="0027086D" w14:paraId="4623BC57" w14:textId="77777777" w:rsidTr="00611AF9">
        <w:trPr>
          <w:jc w:val="center"/>
        </w:trPr>
        <w:tc>
          <w:tcPr>
            <w:tcW w:w="12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3EA7C01" w14:textId="732A71D5" w:rsidR="00611AF9" w:rsidRPr="0027086D" w:rsidRDefault="00B652C0" w:rsidP="00611AF9">
            <w:pPr>
              <w:ind w:firstLine="0"/>
              <w:jc w:val="center"/>
              <w:rPr>
                <w:rFonts w:eastAsia="Times New Roman" w:cs="Times New Roman"/>
                <w:sz w:val="20"/>
                <w:szCs w:val="20"/>
                <w:lang w:eastAsia="ru-RU"/>
              </w:rPr>
            </w:pPr>
            <w:r>
              <w:rPr>
                <w:rFonts w:eastAsia="Times New Roman" w:cs="Times New Roman"/>
                <w:sz w:val="20"/>
                <w:szCs w:val="20"/>
                <w:lang w:eastAsia="ru-RU"/>
              </w:rPr>
              <w:t>6</w:t>
            </w:r>
            <w:r w:rsidR="00611AF9">
              <w:rPr>
                <w:rFonts w:eastAsia="Times New Roman" w:cs="Times New Roman"/>
                <w:sz w:val="20"/>
                <w:szCs w:val="20"/>
                <w:lang w:eastAsia="ru-RU"/>
              </w:rPr>
              <w:t>.</w:t>
            </w:r>
          </w:p>
        </w:tc>
        <w:tc>
          <w:tcPr>
            <w:tcW w:w="28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5A40D8D" w14:textId="5FA4DE91" w:rsidR="00611AF9" w:rsidRPr="0027086D" w:rsidRDefault="00611AF9" w:rsidP="00611AF9">
            <w:pPr>
              <w:ind w:firstLine="17"/>
              <w:rPr>
                <w:rFonts w:eastAsia="Times New Roman" w:cs="Times New Roman"/>
                <w:sz w:val="20"/>
                <w:szCs w:val="20"/>
                <w:lang w:eastAsia="ru-RU"/>
              </w:rPr>
            </w:pPr>
            <w:r w:rsidRPr="0027086D">
              <w:rPr>
                <w:rFonts w:eastAsia="Times New Roman" w:cs="Times New Roman"/>
                <w:sz w:val="20"/>
                <w:szCs w:val="20"/>
                <w:lang w:eastAsia="ru-RU"/>
              </w:rPr>
              <w:t>Васильев Станислав Дмитриевич</w:t>
            </w:r>
          </w:p>
        </w:tc>
        <w:tc>
          <w:tcPr>
            <w:tcW w:w="22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1A8B63B" w14:textId="0E5F04D5" w:rsidR="00611AF9" w:rsidRPr="0027086D" w:rsidRDefault="00611AF9" w:rsidP="00611AF9">
            <w:pPr>
              <w:ind w:firstLine="0"/>
              <w:rPr>
                <w:rFonts w:eastAsia="Times New Roman" w:cs="Times New Roman"/>
                <w:sz w:val="20"/>
                <w:szCs w:val="20"/>
                <w:lang w:eastAsia="ru-RU"/>
              </w:rPr>
            </w:pPr>
            <w:r w:rsidRPr="0027086D">
              <w:rPr>
                <w:rFonts w:eastAsia="Times New Roman" w:cs="Times New Roman"/>
                <w:sz w:val="20"/>
                <w:szCs w:val="20"/>
                <w:lang w:eastAsia="ru-RU"/>
              </w:rPr>
              <w:t>Ведущий аналитик отдела мониторинга и анализа рынка</w:t>
            </w:r>
          </w:p>
        </w:tc>
        <w:tc>
          <w:tcPr>
            <w:tcW w:w="3445" w:type="dxa"/>
            <w:tcBorders>
              <w:top w:val="single" w:sz="4" w:space="0" w:color="000000"/>
              <w:left w:val="single" w:sz="4" w:space="0" w:color="000000"/>
              <w:bottom w:val="single" w:sz="4" w:space="0" w:color="000000"/>
              <w:right w:val="single" w:sz="4" w:space="0" w:color="000000"/>
            </w:tcBorders>
          </w:tcPr>
          <w:p w14:paraId="7063F7BB" w14:textId="03067D03" w:rsidR="00611AF9" w:rsidRPr="001B3BD8" w:rsidRDefault="00611AF9" w:rsidP="00611AF9">
            <w:pPr>
              <w:ind w:firstLine="5"/>
              <w:rPr>
                <w:rFonts w:eastAsia="Times New Roman" w:cs="Times New Roman"/>
                <w:sz w:val="20"/>
                <w:szCs w:val="20"/>
                <w:highlight w:val="yellow"/>
                <w:lang w:eastAsia="ru-RU"/>
              </w:rPr>
            </w:pPr>
            <w:r w:rsidRPr="00711128">
              <w:rPr>
                <w:rFonts w:eastAsia="Times New Roman" w:cs="Times New Roman"/>
                <w:sz w:val="20"/>
                <w:szCs w:val="20"/>
                <w:lang w:eastAsia="ru-RU"/>
              </w:rPr>
              <w:t>Участие в сборе сведений, Уточнение номера группы по ОКС у ОМСУ, сбор рыночной информации, сбор ценообразующих факторов.</w:t>
            </w:r>
          </w:p>
        </w:tc>
      </w:tr>
      <w:tr w:rsidR="00611AF9" w:rsidRPr="0027086D" w14:paraId="242593C4" w14:textId="77777777" w:rsidTr="00611AF9">
        <w:trPr>
          <w:jc w:val="center"/>
        </w:trPr>
        <w:tc>
          <w:tcPr>
            <w:tcW w:w="12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3FD35BD" w14:textId="2344CB69" w:rsidR="00611AF9" w:rsidRPr="0027086D" w:rsidRDefault="00B652C0" w:rsidP="00611AF9">
            <w:pPr>
              <w:tabs>
                <w:tab w:val="left" w:pos="214"/>
              </w:tabs>
              <w:ind w:firstLine="0"/>
              <w:jc w:val="center"/>
              <w:rPr>
                <w:rFonts w:eastAsia="Times New Roman" w:cs="Times New Roman"/>
                <w:sz w:val="20"/>
                <w:szCs w:val="20"/>
                <w:lang w:eastAsia="ru-RU"/>
              </w:rPr>
            </w:pPr>
            <w:r>
              <w:rPr>
                <w:rFonts w:eastAsia="Times New Roman" w:cs="Times New Roman"/>
                <w:sz w:val="20"/>
                <w:szCs w:val="20"/>
                <w:lang w:eastAsia="ru-RU"/>
              </w:rPr>
              <w:t>7.</w:t>
            </w:r>
          </w:p>
        </w:tc>
        <w:tc>
          <w:tcPr>
            <w:tcW w:w="28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4036F3A" w14:textId="50787924" w:rsidR="00611AF9" w:rsidRPr="0027086D" w:rsidRDefault="00611AF9" w:rsidP="00611AF9">
            <w:pPr>
              <w:ind w:firstLine="17"/>
              <w:rPr>
                <w:rFonts w:eastAsia="Times New Roman" w:cs="Times New Roman"/>
                <w:sz w:val="20"/>
                <w:szCs w:val="20"/>
                <w:lang w:eastAsia="ru-RU"/>
              </w:rPr>
            </w:pPr>
            <w:r w:rsidRPr="0027086D">
              <w:rPr>
                <w:rFonts w:eastAsia="Times New Roman" w:cs="Times New Roman"/>
                <w:sz w:val="20"/>
                <w:szCs w:val="20"/>
                <w:lang w:eastAsia="ru-RU"/>
              </w:rPr>
              <w:t>Дмитриева Анна Семеновна</w:t>
            </w:r>
          </w:p>
        </w:tc>
        <w:tc>
          <w:tcPr>
            <w:tcW w:w="22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2CEB633" w14:textId="0F6BD377" w:rsidR="00611AF9" w:rsidRPr="0027086D" w:rsidRDefault="00611AF9" w:rsidP="00611AF9">
            <w:pPr>
              <w:ind w:firstLine="0"/>
              <w:rPr>
                <w:rFonts w:eastAsia="Times New Roman" w:cs="Times New Roman"/>
                <w:sz w:val="20"/>
                <w:szCs w:val="20"/>
                <w:lang w:eastAsia="ru-RU"/>
              </w:rPr>
            </w:pPr>
            <w:r w:rsidRPr="0027086D">
              <w:rPr>
                <w:rFonts w:eastAsia="Times New Roman" w:cs="Times New Roman"/>
                <w:sz w:val="20"/>
                <w:szCs w:val="20"/>
                <w:lang w:eastAsia="ru-RU"/>
              </w:rPr>
              <w:t>Ведущий аналитик отдела мониторинга и анализа рынка</w:t>
            </w:r>
          </w:p>
        </w:tc>
        <w:tc>
          <w:tcPr>
            <w:tcW w:w="3445" w:type="dxa"/>
            <w:tcBorders>
              <w:top w:val="single" w:sz="4" w:space="0" w:color="000000"/>
              <w:left w:val="single" w:sz="4" w:space="0" w:color="000000"/>
              <w:bottom w:val="single" w:sz="4" w:space="0" w:color="000000"/>
              <w:right w:val="single" w:sz="4" w:space="0" w:color="000000"/>
            </w:tcBorders>
          </w:tcPr>
          <w:p w14:paraId="1F3089DD" w14:textId="224C1401" w:rsidR="00611AF9" w:rsidRPr="001B3BD8" w:rsidRDefault="00611AF9" w:rsidP="00611AF9">
            <w:pPr>
              <w:ind w:firstLine="5"/>
              <w:rPr>
                <w:rFonts w:eastAsia="Times New Roman" w:cs="Times New Roman"/>
                <w:sz w:val="20"/>
                <w:szCs w:val="20"/>
                <w:highlight w:val="yellow"/>
                <w:lang w:eastAsia="ru-RU"/>
              </w:rPr>
            </w:pPr>
            <w:r w:rsidRPr="00711128">
              <w:rPr>
                <w:rFonts w:eastAsia="Times New Roman" w:cs="Times New Roman"/>
                <w:sz w:val="20"/>
                <w:szCs w:val="20"/>
                <w:lang w:eastAsia="ru-RU"/>
              </w:rPr>
              <w:t>Участие в сборе сведений, Уточнение номера группы по ОКС у ОМСУ, сбор рыночной информации, сбор ценообразующих факторов.</w:t>
            </w:r>
          </w:p>
        </w:tc>
      </w:tr>
      <w:tr w:rsidR="00611AF9" w:rsidRPr="0027086D" w14:paraId="1A6F4747" w14:textId="77777777" w:rsidTr="00611AF9">
        <w:trPr>
          <w:jc w:val="center"/>
        </w:trPr>
        <w:tc>
          <w:tcPr>
            <w:tcW w:w="12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0A28DAF" w14:textId="74C96267" w:rsidR="00611AF9" w:rsidRPr="0027086D" w:rsidRDefault="00B652C0" w:rsidP="00611AF9">
            <w:pPr>
              <w:ind w:firstLine="0"/>
              <w:jc w:val="center"/>
              <w:rPr>
                <w:rFonts w:eastAsia="Times New Roman" w:cs="Times New Roman"/>
                <w:sz w:val="20"/>
                <w:szCs w:val="20"/>
                <w:lang w:eastAsia="ru-RU"/>
              </w:rPr>
            </w:pPr>
            <w:r>
              <w:rPr>
                <w:rFonts w:eastAsia="Times New Roman" w:cs="Times New Roman"/>
                <w:sz w:val="20"/>
                <w:szCs w:val="20"/>
                <w:lang w:eastAsia="ru-RU"/>
              </w:rPr>
              <w:t>8.</w:t>
            </w:r>
          </w:p>
        </w:tc>
        <w:tc>
          <w:tcPr>
            <w:tcW w:w="28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722575B" w14:textId="5D8A5BE3" w:rsidR="00611AF9" w:rsidRPr="0027086D" w:rsidRDefault="00611AF9" w:rsidP="00611AF9">
            <w:pPr>
              <w:ind w:firstLine="17"/>
              <w:rPr>
                <w:rFonts w:eastAsia="Times New Roman" w:cs="Times New Roman"/>
                <w:sz w:val="20"/>
                <w:szCs w:val="20"/>
                <w:lang w:eastAsia="ru-RU"/>
              </w:rPr>
            </w:pPr>
            <w:r w:rsidRPr="0027086D">
              <w:rPr>
                <w:rFonts w:eastAsia="Times New Roman" w:cs="Times New Roman"/>
                <w:sz w:val="20"/>
                <w:szCs w:val="20"/>
                <w:lang w:eastAsia="ru-RU"/>
              </w:rPr>
              <w:t>Васильева Прасковья Руслановна</w:t>
            </w:r>
          </w:p>
        </w:tc>
        <w:tc>
          <w:tcPr>
            <w:tcW w:w="22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B7DFD4C" w14:textId="6BBE3CB0" w:rsidR="00611AF9" w:rsidRPr="0027086D" w:rsidRDefault="00611AF9" w:rsidP="00611AF9">
            <w:pPr>
              <w:ind w:firstLine="0"/>
              <w:rPr>
                <w:rFonts w:eastAsia="Times New Roman" w:cs="Times New Roman"/>
                <w:sz w:val="20"/>
                <w:szCs w:val="20"/>
                <w:lang w:eastAsia="ru-RU"/>
              </w:rPr>
            </w:pPr>
            <w:r w:rsidRPr="0027086D">
              <w:rPr>
                <w:rFonts w:eastAsia="Times New Roman" w:cs="Times New Roman"/>
                <w:sz w:val="20"/>
                <w:szCs w:val="20"/>
                <w:lang w:eastAsia="ru-RU"/>
              </w:rPr>
              <w:t>Ведущий аналитик отдела мониторинга и анализа рынка</w:t>
            </w:r>
          </w:p>
        </w:tc>
        <w:tc>
          <w:tcPr>
            <w:tcW w:w="3445" w:type="dxa"/>
            <w:tcBorders>
              <w:top w:val="single" w:sz="4" w:space="0" w:color="000000"/>
              <w:left w:val="single" w:sz="4" w:space="0" w:color="000000"/>
              <w:bottom w:val="single" w:sz="4" w:space="0" w:color="000000"/>
              <w:right w:val="single" w:sz="4" w:space="0" w:color="000000"/>
            </w:tcBorders>
          </w:tcPr>
          <w:p w14:paraId="3B6B3223" w14:textId="1BBFBB7D" w:rsidR="00611AF9" w:rsidRPr="001B3BD8" w:rsidRDefault="00611AF9" w:rsidP="00611AF9">
            <w:pPr>
              <w:ind w:firstLine="5"/>
              <w:rPr>
                <w:rFonts w:eastAsia="Times New Roman" w:cs="Times New Roman"/>
                <w:sz w:val="20"/>
                <w:szCs w:val="20"/>
                <w:highlight w:val="yellow"/>
                <w:lang w:eastAsia="ru-RU"/>
              </w:rPr>
            </w:pPr>
            <w:r w:rsidRPr="00711128">
              <w:rPr>
                <w:rFonts w:eastAsia="Times New Roman" w:cs="Times New Roman"/>
                <w:sz w:val="20"/>
                <w:szCs w:val="20"/>
                <w:lang w:eastAsia="ru-RU"/>
              </w:rPr>
              <w:t>Участие в сборе сведений, Уточнение номера группы по ОКС у ОМСУ, сбор рыночной информации, сбор ценообразующих факторов.</w:t>
            </w:r>
          </w:p>
        </w:tc>
      </w:tr>
      <w:tr w:rsidR="00611AF9" w:rsidRPr="0027086D" w14:paraId="70E976B6" w14:textId="77777777" w:rsidTr="00611AF9">
        <w:trPr>
          <w:jc w:val="center"/>
        </w:trPr>
        <w:tc>
          <w:tcPr>
            <w:tcW w:w="12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CA531D9" w14:textId="57D8C374" w:rsidR="00611AF9" w:rsidRPr="0027086D" w:rsidRDefault="00B652C0" w:rsidP="00611AF9">
            <w:pPr>
              <w:ind w:firstLine="0"/>
              <w:jc w:val="center"/>
              <w:rPr>
                <w:rFonts w:eastAsia="Times New Roman" w:cs="Times New Roman"/>
                <w:sz w:val="20"/>
                <w:szCs w:val="20"/>
                <w:lang w:eastAsia="ru-RU"/>
              </w:rPr>
            </w:pPr>
            <w:r>
              <w:rPr>
                <w:rFonts w:eastAsia="Times New Roman" w:cs="Times New Roman"/>
                <w:sz w:val="20"/>
                <w:szCs w:val="20"/>
                <w:lang w:eastAsia="ru-RU"/>
              </w:rPr>
              <w:t>9.</w:t>
            </w:r>
          </w:p>
        </w:tc>
        <w:tc>
          <w:tcPr>
            <w:tcW w:w="28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8761A36" w14:textId="0049684F" w:rsidR="00611AF9" w:rsidRPr="0027086D" w:rsidRDefault="00611AF9" w:rsidP="00611AF9">
            <w:pPr>
              <w:ind w:firstLine="17"/>
              <w:rPr>
                <w:rFonts w:eastAsia="Times New Roman" w:cs="Times New Roman"/>
                <w:sz w:val="20"/>
                <w:szCs w:val="20"/>
                <w:lang w:eastAsia="ru-RU"/>
              </w:rPr>
            </w:pPr>
            <w:r w:rsidRPr="0027086D">
              <w:rPr>
                <w:rFonts w:eastAsia="Times New Roman" w:cs="Times New Roman"/>
                <w:sz w:val="20"/>
                <w:szCs w:val="20"/>
                <w:lang w:eastAsia="ru-RU"/>
              </w:rPr>
              <w:t>Арсеньева Анжелика Гурьевна</w:t>
            </w:r>
          </w:p>
        </w:tc>
        <w:tc>
          <w:tcPr>
            <w:tcW w:w="22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5D8754A" w14:textId="17AE3F03" w:rsidR="00611AF9" w:rsidRPr="0027086D" w:rsidRDefault="00611AF9" w:rsidP="00611AF9">
            <w:pPr>
              <w:ind w:firstLine="0"/>
              <w:rPr>
                <w:rFonts w:eastAsia="Times New Roman" w:cs="Times New Roman"/>
                <w:sz w:val="20"/>
                <w:szCs w:val="20"/>
                <w:lang w:eastAsia="ru-RU"/>
              </w:rPr>
            </w:pPr>
            <w:r w:rsidRPr="0027086D">
              <w:rPr>
                <w:rFonts w:eastAsia="Times New Roman" w:cs="Times New Roman"/>
                <w:sz w:val="20"/>
                <w:szCs w:val="20"/>
                <w:lang w:eastAsia="ru-RU"/>
              </w:rPr>
              <w:t>Ведущий аналитик отдела мониторинга и анализа рынка</w:t>
            </w:r>
          </w:p>
        </w:tc>
        <w:tc>
          <w:tcPr>
            <w:tcW w:w="3445" w:type="dxa"/>
            <w:tcBorders>
              <w:top w:val="single" w:sz="4" w:space="0" w:color="000000"/>
              <w:left w:val="single" w:sz="4" w:space="0" w:color="000000"/>
              <w:bottom w:val="single" w:sz="4" w:space="0" w:color="000000"/>
              <w:right w:val="single" w:sz="4" w:space="0" w:color="000000"/>
            </w:tcBorders>
          </w:tcPr>
          <w:p w14:paraId="1C187266" w14:textId="205E4BA9" w:rsidR="00611AF9" w:rsidRPr="001B3BD8" w:rsidRDefault="00611AF9" w:rsidP="00611AF9">
            <w:pPr>
              <w:ind w:firstLine="5"/>
              <w:rPr>
                <w:rFonts w:eastAsia="Times New Roman" w:cs="Times New Roman"/>
                <w:sz w:val="20"/>
                <w:szCs w:val="20"/>
                <w:highlight w:val="yellow"/>
                <w:lang w:eastAsia="ru-RU"/>
              </w:rPr>
            </w:pPr>
            <w:r w:rsidRPr="00711128">
              <w:rPr>
                <w:rFonts w:eastAsia="Times New Roman" w:cs="Times New Roman"/>
                <w:sz w:val="20"/>
                <w:szCs w:val="20"/>
                <w:lang w:eastAsia="ru-RU"/>
              </w:rPr>
              <w:t>Участие в сборе сведений, Уточнение номера группы по ОКС у ОМСУ, сбор рыночной информации, сбор ценообразующих факторов.</w:t>
            </w:r>
          </w:p>
        </w:tc>
      </w:tr>
      <w:tr w:rsidR="00611AF9" w:rsidRPr="0027086D" w14:paraId="368E94E9" w14:textId="77777777" w:rsidTr="0017254B">
        <w:trPr>
          <w:jc w:val="center"/>
        </w:trPr>
        <w:tc>
          <w:tcPr>
            <w:tcW w:w="12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0F28959" w14:textId="5C867F78" w:rsidR="00611AF9" w:rsidRPr="0027086D" w:rsidRDefault="00B652C0" w:rsidP="00611AF9">
            <w:pPr>
              <w:ind w:firstLine="0"/>
              <w:jc w:val="center"/>
              <w:rPr>
                <w:rFonts w:eastAsia="Times New Roman" w:cs="Times New Roman"/>
                <w:sz w:val="20"/>
                <w:szCs w:val="20"/>
                <w:lang w:eastAsia="ru-RU"/>
              </w:rPr>
            </w:pPr>
            <w:r>
              <w:rPr>
                <w:rFonts w:eastAsia="Times New Roman" w:cs="Times New Roman"/>
                <w:sz w:val="20"/>
                <w:szCs w:val="20"/>
                <w:lang w:eastAsia="ru-RU"/>
              </w:rPr>
              <w:t>10</w:t>
            </w:r>
            <w:r w:rsidR="00611AF9" w:rsidRPr="0027086D">
              <w:rPr>
                <w:rFonts w:eastAsia="Times New Roman" w:cs="Times New Roman"/>
                <w:sz w:val="20"/>
                <w:szCs w:val="20"/>
                <w:lang w:eastAsia="ru-RU"/>
              </w:rPr>
              <w:t>.</w:t>
            </w:r>
          </w:p>
        </w:tc>
        <w:tc>
          <w:tcPr>
            <w:tcW w:w="28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8C1CF6" w14:textId="1ACB7C5B" w:rsidR="00611AF9" w:rsidRPr="0027086D" w:rsidRDefault="00611AF9" w:rsidP="00611AF9">
            <w:pPr>
              <w:ind w:hanging="43"/>
              <w:rPr>
                <w:rFonts w:eastAsia="Times New Roman" w:cs="Times New Roman"/>
                <w:sz w:val="20"/>
                <w:szCs w:val="20"/>
                <w:lang w:eastAsia="ru-RU"/>
              </w:rPr>
            </w:pPr>
            <w:r w:rsidRPr="0027086D">
              <w:rPr>
                <w:rFonts w:eastAsia="Times New Roman" w:cs="Times New Roman"/>
                <w:sz w:val="20"/>
                <w:szCs w:val="20"/>
                <w:lang w:eastAsia="ru-RU"/>
              </w:rPr>
              <w:t>Максимова Татьяна Николаевна</w:t>
            </w:r>
          </w:p>
        </w:tc>
        <w:tc>
          <w:tcPr>
            <w:tcW w:w="22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13FC622" w14:textId="2830CC21" w:rsidR="00611AF9" w:rsidRPr="0027086D" w:rsidRDefault="00611AF9" w:rsidP="00611AF9">
            <w:pPr>
              <w:ind w:firstLine="0"/>
              <w:rPr>
                <w:rFonts w:eastAsia="Times New Roman" w:cs="Times New Roman"/>
                <w:sz w:val="20"/>
                <w:szCs w:val="20"/>
                <w:lang w:eastAsia="ru-RU"/>
              </w:rPr>
            </w:pPr>
            <w:r w:rsidRPr="0027086D">
              <w:rPr>
                <w:rFonts w:eastAsia="Times New Roman" w:cs="Times New Roman"/>
                <w:sz w:val="20"/>
                <w:szCs w:val="20"/>
                <w:lang w:eastAsia="ru-RU"/>
              </w:rPr>
              <w:t>Начальник отдела геопространственных данных</w:t>
            </w:r>
          </w:p>
        </w:tc>
        <w:tc>
          <w:tcPr>
            <w:tcW w:w="344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6A0EC1B" w14:textId="59DA6DEA" w:rsidR="00611AF9" w:rsidRPr="001B3BD8" w:rsidRDefault="00611AF9" w:rsidP="00611AF9">
            <w:pPr>
              <w:ind w:firstLine="0"/>
              <w:rPr>
                <w:rFonts w:eastAsia="Times New Roman" w:cs="Times New Roman"/>
                <w:sz w:val="20"/>
                <w:szCs w:val="20"/>
                <w:highlight w:val="yellow"/>
                <w:lang w:eastAsia="ru-RU"/>
              </w:rPr>
            </w:pPr>
            <w:r w:rsidRPr="001415FC">
              <w:rPr>
                <w:rFonts w:eastAsia="Times New Roman" w:cs="Times New Roman"/>
                <w:sz w:val="20"/>
                <w:szCs w:val="20"/>
                <w:lang w:eastAsia="ru-RU"/>
              </w:rPr>
              <w:t xml:space="preserve">Картографическое сопровождения </w:t>
            </w:r>
          </w:p>
        </w:tc>
      </w:tr>
      <w:tr w:rsidR="00611AF9" w:rsidRPr="0027086D" w14:paraId="0F091598" w14:textId="77777777" w:rsidTr="0017254B">
        <w:trPr>
          <w:jc w:val="center"/>
        </w:trPr>
        <w:tc>
          <w:tcPr>
            <w:tcW w:w="12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6F384F7" w14:textId="219721D9" w:rsidR="00611AF9" w:rsidRPr="0027086D" w:rsidRDefault="00B652C0" w:rsidP="00611AF9">
            <w:pPr>
              <w:ind w:firstLine="0"/>
              <w:jc w:val="center"/>
              <w:rPr>
                <w:rFonts w:eastAsia="Times New Roman" w:cs="Times New Roman"/>
                <w:sz w:val="20"/>
                <w:szCs w:val="20"/>
                <w:lang w:eastAsia="ru-RU"/>
              </w:rPr>
            </w:pPr>
            <w:r>
              <w:rPr>
                <w:rFonts w:eastAsia="Times New Roman" w:cs="Times New Roman"/>
                <w:sz w:val="20"/>
                <w:szCs w:val="20"/>
                <w:lang w:eastAsia="ru-RU"/>
              </w:rPr>
              <w:t>11</w:t>
            </w:r>
            <w:r w:rsidR="00611AF9" w:rsidRPr="0027086D">
              <w:rPr>
                <w:rFonts w:eastAsia="Times New Roman" w:cs="Times New Roman"/>
                <w:sz w:val="20"/>
                <w:szCs w:val="20"/>
                <w:lang w:eastAsia="ru-RU"/>
              </w:rPr>
              <w:t>.</w:t>
            </w:r>
          </w:p>
        </w:tc>
        <w:tc>
          <w:tcPr>
            <w:tcW w:w="28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740B4CD" w14:textId="3E773D65" w:rsidR="00611AF9" w:rsidRPr="0027086D" w:rsidRDefault="00611AF9" w:rsidP="00611AF9">
            <w:pPr>
              <w:ind w:firstLine="0"/>
              <w:rPr>
                <w:rFonts w:eastAsia="Times New Roman" w:cs="Times New Roman"/>
                <w:sz w:val="20"/>
                <w:szCs w:val="20"/>
                <w:lang w:eastAsia="ru-RU"/>
              </w:rPr>
            </w:pPr>
            <w:r w:rsidRPr="0027086D">
              <w:rPr>
                <w:rFonts w:eastAsia="Times New Roman" w:cs="Times New Roman"/>
                <w:sz w:val="20"/>
                <w:szCs w:val="20"/>
                <w:lang w:eastAsia="ru-RU"/>
              </w:rPr>
              <w:t>Николаева Роза Николаевна</w:t>
            </w:r>
          </w:p>
        </w:tc>
        <w:tc>
          <w:tcPr>
            <w:tcW w:w="22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864D160" w14:textId="3283E245" w:rsidR="00611AF9" w:rsidRPr="0027086D" w:rsidRDefault="00611AF9" w:rsidP="00611AF9">
            <w:pPr>
              <w:ind w:firstLine="0"/>
              <w:rPr>
                <w:rFonts w:eastAsia="Times New Roman" w:cs="Times New Roman"/>
                <w:sz w:val="20"/>
                <w:szCs w:val="20"/>
                <w:lang w:eastAsia="ru-RU"/>
              </w:rPr>
            </w:pPr>
            <w:r w:rsidRPr="0027086D">
              <w:rPr>
                <w:rFonts w:eastAsia="Times New Roman" w:cs="Times New Roman"/>
                <w:sz w:val="20"/>
                <w:szCs w:val="20"/>
                <w:lang w:eastAsia="ru-RU"/>
              </w:rPr>
              <w:t>Картограф</w:t>
            </w:r>
          </w:p>
        </w:tc>
        <w:tc>
          <w:tcPr>
            <w:tcW w:w="3445" w:type="dxa"/>
            <w:tcBorders>
              <w:top w:val="single" w:sz="4" w:space="0" w:color="000000"/>
              <w:left w:val="single" w:sz="4" w:space="0" w:color="000000"/>
              <w:bottom w:val="single" w:sz="4" w:space="0" w:color="000000"/>
              <w:right w:val="single" w:sz="4" w:space="0" w:color="000000"/>
            </w:tcBorders>
            <w:vAlign w:val="center"/>
          </w:tcPr>
          <w:p w14:paraId="3EC10C7E" w14:textId="062B9A19" w:rsidR="00611AF9" w:rsidRPr="001B3BD8" w:rsidRDefault="00611AF9" w:rsidP="00611AF9">
            <w:pPr>
              <w:ind w:firstLine="0"/>
              <w:rPr>
                <w:rFonts w:eastAsia="Times New Roman" w:cs="Times New Roman"/>
                <w:sz w:val="20"/>
                <w:szCs w:val="20"/>
                <w:highlight w:val="yellow"/>
                <w:lang w:eastAsia="ru-RU"/>
              </w:rPr>
            </w:pPr>
            <w:r w:rsidRPr="001415FC">
              <w:rPr>
                <w:rFonts w:eastAsia="Times New Roman" w:cs="Times New Roman"/>
                <w:sz w:val="20"/>
                <w:szCs w:val="20"/>
                <w:lang w:eastAsia="ru-RU"/>
              </w:rPr>
              <w:t xml:space="preserve">Картографическое сопровождения </w:t>
            </w:r>
          </w:p>
        </w:tc>
      </w:tr>
      <w:tr w:rsidR="00611AF9" w:rsidRPr="0027086D" w14:paraId="3D0B0EE1" w14:textId="77777777" w:rsidTr="0017254B">
        <w:trPr>
          <w:jc w:val="center"/>
        </w:trPr>
        <w:tc>
          <w:tcPr>
            <w:tcW w:w="12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A8E1732" w14:textId="1D235D95" w:rsidR="00611AF9" w:rsidRPr="0027086D" w:rsidRDefault="00B652C0" w:rsidP="00611AF9">
            <w:pPr>
              <w:ind w:firstLine="0"/>
              <w:jc w:val="center"/>
              <w:rPr>
                <w:rFonts w:eastAsia="Times New Roman" w:cs="Times New Roman"/>
                <w:sz w:val="20"/>
                <w:szCs w:val="20"/>
                <w:lang w:eastAsia="ru-RU"/>
              </w:rPr>
            </w:pPr>
            <w:r>
              <w:rPr>
                <w:rFonts w:eastAsia="Times New Roman" w:cs="Times New Roman"/>
                <w:sz w:val="20"/>
                <w:szCs w:val="20"/>
                <w:lang w:eastAsia="ru-RU"/>
              </w:rPr>
              <w:t>12</w:t>
            </w:r>
            <w:r w:rsidR="00611AF9" w:rsidRPr="0027086D">
              <w:rPr>
                <w:rFonts w:eastAsia="Times New Roman" w:cs="Times New Roman"/>
                <w:sz w:val="20"/>
                <w:szCs w:val="20"/>
                <w:lang w:eastAsia="ru-RU"/>
              </w:rPr>
              <w:t>.</w:t>
            </w:r>
          </w:p>
        </w:tc>
        <w:tc>
          <w:tcPr>
            <w:tcW w:w="28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81CD518" w14:textId="51F53C9A" w:rsidR="00611AF9" w:rsidRPr="0027086D" w:rsidRDefault="00611AF9" w:rsidP="00611AF9">
            <w:pPr>
              <w:ind w:firstLine="0"/>
              <w:rPr>
                <w:rFonts w:eastAsia="Times New Roman" w:cs="Times New Roman"/>
                <w:sz w:val="20"/>
                <w:szCs w:val="20"/>
                <w:lang w:eastAsia="ru-RU"/>
              </w:rPr>
            </w:pPr>
            <w:r w:rsidRPr="0027086D">
              <w:rPr>
                <w:rFonts w:eastAsia="Times New Roman" w:cs="Times New Roman"/>
                <w:sz w:val="20"/>
                <w:szCs w:val="20"/>
                <w:lang w:eastAsia="ru-RU"/>
              </w:rPr>
              <w:t>Дмитриев Сергей Николаевич</w:t>
            </w:r>
          </w:p>
        </w:tc>
        <w:tc>
          <w:tcPr>
            <w:tcW w:w="22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527E431" w14:textId="767AAE7C" w:rsidR="00611AF9" w:rsidRPr="0027086D" w:rsidRDefault="00611AF9" w:rsidP="00611AF9">
            <w:pPr>
              <w:ind w:firstLine="0"/>
              <w:rPr>
                <w:rFonts w:eastAsia="Times New Roman" w:cs="Times New Roman"/>
                <w:sz w:val="20"/>
                <w:szCs w:val="20"/>
                <w:lang w:eastAsia="ru-RU"/>
              </w:rPr>
            </w:pPr>
            <w:r w:rsidRPr="0027086D">
              <w:rPr>
                <w:rFonts w:eastAsia="Times New Roman" w:cs="Times New Roman"/>
                <w:sz w:val="20"/>
                <w:szCs w:val="20"/>
                <w:lang w:eastAsia="ru-RU"/>
              </w:rPr>
              <w:t>Картограф</w:t>
            </w:r>
          </w:p>
        </w:tc>
        <w:tc>
          <w:tcPr>
            <w:tcW w:w="3445" w:type="dxa"/>
            <w:tcBorders>
              <w:top w:val="single" w:sz="4" w:space="0" w:color="000000"/>
              <w:left w:val="single" w:sz="4" w:space="0" w:color="000000"/>
              <w:bottom w:val="single" w:sz="4" w:space="0" w:color="000000"/>
              <w:right w:val="single" w:sz="4" w:space="0" w:color="000000"/>
            </w:tcBorders>
            <w:vAlign w:val="center"/>
          </w:tcPr>
          <w:p w14:paraId="566A09E9" w14:textId="0C6596D1" w:rsidR="00611AF9" w:rsidRPr="001B3BD8" w:rsidRDefault="00611AF9" w:rsidP="00611AF9">
            <w:pPr>
              <w:ind w:firstLine="0"/>
              <w:rPr>
                <w:rFonts w:eastAsia="Times New Roman" w:cs="Times New Roman"/>
                <w:sz w:val="20"/>
                <w:szCs w:val="20"/>
                <w:highlight w:val="yellow"/>
                <w:lang w:eastAsia="ru-RU"/>
              </w:rPr>
            </w:pPr>
            <w:r w:rsidRPr="001415FC">
              <w:rPr>
                <w:rFonts w:eastAsia="Times New Roman" w:cs="Times New Roman"/>
                <w:sz w:val="20"/>
                <w:szCs w:val="20"/>
                <w:lang w:eastAsia="ru-RU"/>
              </w:rPr>
              <w:t>Картографическое сопровождения</w:t>
            </w:r>
            <w:r w:rsidRPr="001415FC">
              <w:rPr>
                <w:rFonts w:eastAsia="Times New Roman" w:cs="Times New Roman"/>
                <w:sz w:val="28"/>
                <w:szCs w:val="24"/>
                <w:lang w:eastAsia="ru-RU"/>
              </w:rPr>
              <w:t xml:space="preserve"> </w:t>
            </w:r>
          </w:p>
        </w:tc>
      </w:tr>
      <w:tr w:rsidR="00611AF9" w:rsidRPr="0027086D" w14:paraId="66707A91" w14:textId="77777777" w:rsidTr="0017254B">
        <w:trPr>
          <w:jc w:val="center"/>
        </w:trPr>
        <w:tc>
          <w:tcPr>
            <w:tcW w:w="12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C46A268" w14:textId="04168FB8" w:rsidR="00611AF9" w:rsidRPr="0027086D" w:rsidRDefault="00611AF9" w:rsidP="00B652C0">
            <w:pPr>
              <w:ind w:firstLine="0"/>
              <w:jc w:val="center"/>
              <w:rPr>
                <w:rFonts w:eastAsia="Times New Roman" w:cs="Times New Roman"/>
                <w:sz w:val="20"/>
                <w:szCs w:val="20"/>
                <w:lang w:eastAsia="ru-RU"/>
              </w:rPr>
            </w:pPr>
            <w:r>
              <w:rPr>
                <w:rFonts w:eastAsia="Times New Roman" w:cs="Times New Roman"/>
                <w:sz w:val="20"/>
                <w:szCs w:val="20"/>
                <w:lang w:eastAsia="ru-RU"/>
              </w:rPr>
              <w:t>1</w:t>
            </w:r>
            <w:r w:rsidR="00B652C0">
              <w:rPr>
                <w:rFonts w:eastAsia="Times New Roman" w:cs="Times New Roman"/>
                <w:sz w:val="20"/>
                <w:szCs w:val="20"/>
                <w:lang w:eastAsia="ru-RU"/>
              </w:rPr>
              <w:t>3.</w:t>
            </w:r>
          </w:p>
        </w:tc>
        <w:tc>
          <w:tcPr>
            <w:tcW w:w="28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CD1535C" w14:textId="28AC3457" w:rsidR="00611AF9" w:rsidRPr="0027086D" w:rsidRDefault="00611AF9" w:rsidP="00611AF9">
            <w:pPr>
              <w:ind w:firstLine="0"/>
              <w:rPr>
                <w:rFonts w:eastAsia="Times New Roman" w:cs="Times New Roman"/>
                <w:sz w:val="20"/>
                <w:szCs w:val="20"/>
                <w:lang w:eastAsia="ru-RU"/>
              </w:rPr>
            </w:pPr>
            <w:r w:rsidRPr="0027086D">
              <w:rPr>
                <w:rFonts w:eastAsia="Times New Roman" w:cs="Times New Roman"/>
                <w:sz w:val="20"/>
                <w:szCs w:val="20"/>
                <w:lang w:eastAsia="ru-RU"/>
              </w:rPr>
              <w:t>Захаров Егор Егорович</w:t>
            </w:r>
          </w:p>
        </w:tc>
        <w:tc>
          <w:tcPr>
            <w:tcW w:w="22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577D9B2" w14:textId="28155A7E" w:rsidR="00611AF9" w:rsidRPr="0027086D" w:rsidRDefault="00611AF9" w:rsidP="00611AF9">
            <w:pPr>
              <w:ind w:firstLine="0"/>
              <w:rPr>
                <w:rFonts w:eastAsia="Times New Roman" w:cs="Times New Roman"/>
                <w:sz w:val="20"/>
                <w:szCs w:val="20"/>
                <w:lang w:eastAsia="ru-RU"/>
              </w:rPr>
            </w:pPr>
            <w:r w:rsidRPr="0027086D">
              <w:rPr>
                <w:rFonts w:eastAsia="Times New Roman" w:cs="Times New Roman"/>
                <w:sz w:val="20"/>
                <w:szCs w:val="20"/>
                <w:lang w:eastAsia="ru-RU"/>
              </w:rPr>
              <w:t>Начальник информационно-технического отдела</w:t>
            </w:r>
          </w:p>
        </w:tc>
        <w:tc>
          <w:tcPr>
            <w:tcW w:w="3445" w:type="dxa"/>
            <w:tcBorders>
              <w:top w:val="single" w:sz="4" w:space="0" w:color="000000"/>
              <w:left w:val="single" w:sz="4" w:space="0" w:color="000000"/>
              <w:bottom w:val="single" w:sz="4" w:space="0" w:color="000000"/>
              <w:right w:val="single" w:sz="4" w:space="0" w:color="000000"/>
            </w:tcBorders>
            <w:vAlign w:val="center"/>
          </w:tcPr>
          <w:p w14:paraId="0D7AB385" w14:textId="77777777" w:rsidR="00611AF9" w:rsidRPr="0027086D" w:rsidRDefault="00611AF9" w:rsidP="00611AF9">
            <w:pPr>
              <w:ind w:firstLine="0"/>
              <w:rPr>
                <w:rFonts w:eastAsia="Times New Roman" w:cs="Times New Roman"/>
                <w:sz w:val="20"/>
                <w:szCs w:val="20"/>
                <w:lang w:eastAsia="ru-RU"/>
              </w:rPr>
            </w:pPr>
            <w:r w:rsidRPr="0027086D">
              <w:rPr>
                <w:rFonts w:eastAsia="Times New Roman" w:cs="Times New Roman"/>
                <w:sz w:val="20"/>
                <w:szCs w:val="20"/>
                <w:lang w:eastAsia="ru-RU"/>
              </w:rPr>
              <w:t>Информационно-техническое сопровождение – Весь отдел.</w:t>
            </w:r>
          </w:p>
          <w:p w14:paraId="34DEE7D4" w14:textId="3745BBAD" w:rsidR="00611AF9" w:rsidRPr="0027086D" w:rsidRDefault="00611AF9" w:rsidP="00611AF9">
            <w:pPr>
              <w:ind w:firstLine="0"/>
              <w:rPr>
                <w:rFonts w:eastAsia="Times New Roman" w:cs="Times New Roman"/>
                <w:sz w:val="20"/>
                <w:szCs w:val="20"/>
                <w:lang w:eastAsia="ru-RU"/>
              </w:rPr>
            </w:pPr>
            <w:r w:rsidRPr="0027086D">
              <w:rPr>
                <w:rFonts w:eastAsia="Times New Roman" w:cs="Times New Roman"/>
                <w:sz w:val="20"/>
                <w:szCs w:val="20"/>
                <w:lang w:eastAsia="ru-RU"/>
              </w:rPr>
              <w:t xml:space="preserve">Консультации и решение затруднений с ГИС системами (MapInfo, Панорама, QGIS) </w:t>
            </w:r>
          </w:p>
        </w:tc>
      </w:tr>
      <w:tr w:rsidR="00611AF9" w:rsidRPr="0027086D" w14:paraId="6E51C859" w14:textId="77777777" w:rsidTr="0017254B">
        <w:trPr>
          <w:jc w:val="center"/>
        </w:trPr>
        <w:tc>
          <w:tcPr>
            <w:tcW w:w="12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B104F46" w14:textId="7AA9CB53" w:rsidR="00611AF9" w:rsidRPr="0027086D" w:rsidRDefault="00611AF9" w:rsidP="00B652C0">
            <w:pPr>
              <w:ind w:firstLine="0"/>
              <w:jc w:val="center"/>
              <w:rPr>
                <w:rFonts w:eastAsia="Times New Roman" w:cs="Times New Roman"/>
                <w:sz w:val="20"/>
                <w:szCs w:val="20"/>
                <w:lang w:eastAsia="ru-RU"/>
              </w:rPr>
            </w:pPr>
            <w:r>
              <w:rPr>
                <w:rFonts w:eastAsia="Times New Roman" w:cs="Times New Roman"/>
                <w:sz w:val="20"/>
                <w:szCs w:val="20"/>
                <w:lang w:eastAsia="ru-RU"/>
              </w:rPr>
              <w:t>1</w:t>
            </w:r>
            <w:r w:rsidR="00B652C0">
              <w:rPr>
                <w:rFonts w:eastAsia="Times New Roman" w:cs="Times New Roman"/>
                <w:sz w:val="20"/>
                <w:szCs w:val="20"/>
                <w:lang w:eastAsia="ru-RU"/>
              </w:rPr>
              <w:t>4.</w:t>
            </w:r>
          </w:p>
        </w:tc>
        <w:tc>
          <w:tcPr>
            <w:tcW w:w="28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BBE04E0" w14:textId="364A6925" w:rsidR="00611AF9" w:rsidRPr="0027086D" w:rsidRDefault="00611AF9" w:rsidP="00611AF9">
            <w:pPr>
              <w:ind w:firstLine="0"/>
              <w:rPr>
                <w:rFonts w:eastAsia="Times New Roman" w:cs="Times New Roman"/>
                <w:sz w:val="20"/>
                <w:szCs w:val="20"/>
                <w:lang w:eastAsia="ru-RU"/>
              </w:rPr>
            </w:pPr>
            <w:r w:rsidRPr="0027086D">
              <w:rPr>
                <w:rFonts w:eastAsia="Times New Roman" w:cs="Times New Roman"/>
                <w:sz w:val="20"/>
                <w:szCs w:val="20"/>
                <w:lang w:eastAsia="ru-RU"/>
              </w:rPr>
              <w:t>Попов Константин Андреевич</w:t>
            </w:r>
          </w:p>
        </w:tc>
        <w:tc>
          <w:tcPr>
            <w:tcW w:w="22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3CDD40D" w14:textId="1381D4A6" w:rsidR="00611AF9" w:rsidRPr="0027086D" w:rsidRDefault="00611AF9" w:rsidP="00611AF9">
            <w:pPr>
              <w:ind w:firstLine="0"/>
              <w:rPr>
                <w:rFonts w:eastAsia="Times New Roman" w:cs="Times New Roman"/>
                <w:sz w:val="20"/>
                <w:szCs w:val="20"/>
                <w:lang w:eastAsia="ru-RU"/>
              </w:rPr>
            </w:pPr>
            <w:r w:rsidRPr="0027086D">
              <w:rPr>
                <w:rFonts w:eastAsia="Times New Roman" w:cs="Times New Roman"/>
                <w:sz w:val="20"/>
                <w:szCs w:val="20"/>
                <w:lang w:eastAsia="ru-RU"/>
              </w:rPr>
              <w:t>Инженер программист информационно-технического отдела</w:t>
            </w:r>
          </w:p>
        </w:tc>
        <w:tc>
          <w:tcPr>
            <w:tcW w:w="3445" w:type="dxa"/>
            <w:tcBorders>
              <w:top w:val="single" w:sz="4" w:space="0" w:color="000000"/>
              <w:left w:val="single" w:sz="4" w:space="0" w:color="000000"/>
              <w:bottom w:val="single" w:sz="4" w:space="0" w:color="000000"/>
              <w:right w:val="single" w:sz="4" w:space="0" w:color="000000"/>
            </w:tcBorders>
            <w:vAlign w:val="center"/>
          </w:tcPr>
          <w:p w14:paraId="7A4CC5EB" w14:textId="642A6D67" w:rsidR="00611AF9" w:rsidRPr="0027086D" w:rsidRDefault="00611AF9" w:rsidP="00611AF9">
            <w:pPr>
              <w:ind w:firstLine="0"/>
              <w:rPr>
                <w:rFonts w:eastAsia="Times New Roman" w:cs="Times New Roman"/>
                <w:sz w:val="20"/>
                <w:szCs w:val="20"/>
                <w:lang w:eastAsia="ru-RU"/>
              </w:rPr>
            </w:pPr>
            <w:r w:rsidRPr="0027086D">
              <w:rPr>
                <w:rFonts w:eastAsia="Times New Roman" w:cs="Times New Roman"/>
                <w:sz w:val="20"/>
                <w:szCs w:val="20"/>
                <w:lang w:eastAsia="ru-RU"/>
              </w:rPr>
              <w:t>Информационно-техническое сопровождение.</w:t>
            </w:r>
            <w:r w:rsidRPr="0027086D">
              <w:rPr>
                <w:rFonts w:eastAsia="Times New Roman" w:cs="Times New Roman"/>
                <w:sz w:val="28"/>
                <w:szCs w:val="24"/>
                <w:lang w:eastAsia="ru-RU"/>
              </w:rPr>
              <w:t xml:space="preserve"> </w:t>
            </w:r>
            <w:r w:rsidRPr="0027086D">
              <w:rPr>
                <w:rFonts w:eastAsia="Times New Roman" w:cs="Times New Roman"/>
                <w:sz w:val="20"/>
                <w:szCs w:val="20"/>
                <w:lang w:eastAsia="ru-RU"/>
              </w:rPr>
              <w:t>Консультации и решение затруднений с ГИС системами (MapInfo, Панорама, QGIS)</w:t>
            </w:r>
          </w:p>
        </w:tc>
      </w:tr>
      <w:tr w:rsidR="00611AF9" w:rsidRPr="0027086D" w14:paraId="5F622094" w14:textId="77777777" w:rsidTr="0017254B">
        <w:trPr>
          <w:jc w:val="center"/>
        </w:trPr>
        <w:tc>
          <w:tcPr>
            <w:tcW w:w="12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27FE176" w14:textId="1E75A5C3" w:rsidR="00611AF9" w:rsidRPr="0027086D" w:rsidRDefault="00611AF9" w:rsidP="00B652C0">
            <w:pPr>
              <w:ind w:firstLine="0"/>
              <w:jc w:val="center"/>
              <w:rPr>
                <w:rFonts w:eastAsia="Times New Roman" w:cs="Times New Roman"/>
                <w:sz w:val="20"/>
                <w:szCs w:val="20"/>
                <w:lang w:eastAsia="ru-RU"/>
              </w:rPr>
            </w:pPr>
            <w:r>
              <w:rPr>
                <w:rFonts w:eastAsia="Times New Roman" w:cs="Times New Roman"/>
                <w:sz w:val="20"/>
                <w:szCs w:val="20"/>
                <w:lang w:eastAsia="ru-RU"/>
              </w:rPr>
              <w:t>1</w:t>
            </w:r>
            <w:r w:rsidR="00B652C0">
              <w:rPr>
                <w:rFonts w:eastAsia="Times New Roman" w:cs="Times New Roman"/>
                <w:sz w:val="20"/>
                <w:szCs w:val="20"/>
                <w:lang w:eastAsia="ru-RU"/>
              </w:rPr>
              <w:t>5.</w:t>
            </w:r>
          </w:p>
        </w:tc>
        <w:tc>
          <w:tcPr>
            <w:tcW w:w="28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EF951B3" w14:textId="72A847E3" w:rsidR="00611AF9" w:rsidRPr="0027086D" w:rsidRDefault="00611AF9" w:rsidP="00611AF9">
            <w:pPr>
              <w:ind w:firstLine="0"/>
              <w:rPr>
                <w:rFonts w:eastAsia="Times New Roman" w:cs="Times New Roman"/>
                <w:sz w:val="20"/>
                <w:szCs w:val="20"/>
                <w:lang w:eastAsia="ru-RU"/>
              </w:rPr>
            </w:pPr>
            <w:r w:rsidRPr="0027086D">
              <w:rPr>
                <w:rFonts w:eastAsia="Times New Roman" w:cs="Times New Roman"/>
                <w:sz w:val="20"/>
                <w:szCs w:val="20"/>
                <w:lang w:eastAsia="ru-RU"/>
              </w:rPr>
              <w:t>Унаров Владимир Егорович</w:t>
            </w:r>
          </w:p>
        </w:tc>
        <w:tc>
          <w:tcPr>
            <w:tcW w:w="22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DBFEDBD" w14:textId="2EBD0322" w:rsidR="00611AF9" w:rsidRPr="0027086D" w:rsidRDefault="00611AF9" w:rsidP="00611AF9">
            <w:pPr>
              <w:ind w:firstLine="0"/>
              <w:rPr>
                <w:rFonts w:eastAsia="Times New Roman" w:cs="Times New Roman"/>
                <w:sz w:val="20"/>
                <w:szCs w:val="20"/>
                <w:lang w:eastAsia="ru-RU"/>
              </w:rPr>
            </w:pPr>
            <w:r w:rsidRPr="0027086D">
              <w:rPr>
                <w:rFonts w:eastAsia="Times New Roman" w:cs="Times New Roman"/>
                <w:sz w:val="20"/>
                <w:szCs w:val="20"/>
                <w:lang w:eastAsia="ru-RU"/>
              </w:rPr>
              <w:t>Инженер электроник информационно-технического отдела</w:t>
            </w:r>
          </w:p>
        </w:tc>
        <w:tc>
          <w:tcPr>
            <w:tcW w:w="3445" w:type="dxa"/>
            <w:tcBorders>
              <w:top w:val="single" w:sz="4" w:space="0" w:color="000000"/>
              <w:left w:val="single" w:sz="4" w:space="0" w:color="000000"/>
              <w:bottom w:val="single" w:sz="4" w:space="0" w:color="000000"/>
              <w:right w:val="single" w:sz="4" w:space="0" w:color="000000"/>
            </w:tcBorders>
            <w:vAlign w:val="center"/>
          </w:tcPr>
          <w:p w14:paraId="1710177F" w14:textId="1126FC63" w:rsidR="00611AF9" w:rsidRPr="0027086D" w:rsidRDefault="00611AF9" w:rsidP="00611AF9">
            <w:pPr>
              <w:ind w:firstLine="0"/>
              <w:rPr>
                <w:rFonts w:eastAsia="Times New Roman" w:cs="Times New Roman"/>
                <w:sz w:val="20"/>
                <w:szCs w:val="20"/>
                <w:lang w:eastAsia="ru-RU"/>
              </w:rPr>
            </w:pPr>
            <w:r w:rsidRPr="0027086D">
              <w:rPr>
                <w:rFonts w:eastAsia="Times New Roman" w:cs="Times New Roman"/>
                <w:sz w:val="20"/>
                <w:szCs w:val="20"/>
                <w:lang w:eastAsia="ru-RU"/>
              </w:rPr>
              <w:t>Информационно-техническое сопровождение</w:t>
            </w:r>
          </w:p>
        </w:tc>
      </w:tr>
      <w:tr w:rsidR="00611AF9" w:rsidRPr="0027086D" w14:paraId="0C9CF2EA" w14:textId="77777777" w:rsidTr="0017254B">
        <w:trPr>
          <w:jc w:val="center"/>
        </w:trPr>
        <w:tc>
          <w:tcPr>
            <w:tcW w:w="12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288A581" w14:textId="1AD23EA3" w:rsidR="00611AF9" w:rsidRPr="0027086D" w:rsidRDefault="00B652C0" w:rsidP="00611AF9">
            <w:pPr>
              <w:ind w:firstLine="0"/>
              <w:jc w:val="center"/>
              <w:rPr>
                <w:rFonts w:eastAsia="Times New Roman" w:cs="Times New Roman"/>
                <w:sz w:val="20"/>
                <w:szCs w:val="20"/>
                <w:lang w:eastAsia="ru-RU"/>
              </w:rPr>
            </w:pPr>
            <w:r>
              <w:rPr>
                <w:rFonts w:eastAsia="Times New Roman" w:cs="Times New Roman"/>
                <w:sz w:val="20"/>
                <w:szCs w:val="20"/>
                <w:lang w:eastAsia="ru-RU"/>
              </w:rPr>
              <w:t>16.</w:t>
            </w:r>
          </w:p>
        </w:tc>
        <w:tc>
          <w:tcPr>
            <w:tcW w:w="28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F423A9A" w14:textId="4ED17993" w:rsidR="00611AF9" w:rsidRPr="0027086D" w:rsidRDefault="00611AF9" w:rsidP="00611AF9">
            <w:pPr>
              <w:ind w:firstLine="0"/>
              <w:rPr>
                <w:rFonts w:eastAsia="Times New Roman" w:cs="Times New Roman"/>
                <w:sz w:val="20"/>
                <w:szCs w:val="20"/>
                <w:lang w:eastAsia="ru-RU"/>
              </w:rPr>
            </w:pPr>
            <w:r w:rsidRPr="0027086D">
              <w:rPr>
                <w:rFonts w:eastAsia="Times New Roman" w:cs="Times New Roman"/>
                <w:sz w:val="20"/>
                <w:szCs w:val="20"/>
                <w:lang w:eastAsia="ru-RU"/>
              </w:rPr>
              <w:t>Стручков Павел Иванович</w:t>
            </w:r>
          </w:p>
        </w:tc>
        <w:tc>
          <w:tcPr>
            <w:tcW w:w="22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ACEFFA3" w14:textId="7539AB94" w:rsidR="00611AF9" w:rsidRPr="0027086D" w:rsidRDefault="00611AF9" w:rsidP="00611AF9">
            <w:pPr>
              <w:ind w:firstLine="0"/>
              <w:rPr>
                <w:rFonts w:eastAsia="Times New Roman" w:cs="Times New Roman"/>
                <w:sz w:val="20"/>
                <w:szCs w:val="20"/>
                <w:lang w:eastAsia="ru-RU"/>
              </w:rPr>
            </w:pPr>
            <w:r w:rsidRPr="0027086D">
              <w:rPr>
                <w:rFonts w:eastAsia="Times New Roman" w:cs="Times New Roman"/>
                <w:sz w:val="20"/>
                <w:szCs w:val="20"/>
                <w:lang w:eastAsia="ru-RU"/>
              </w:rPr>
              <w:t>Инженер электроник информационно-технического отдела</w:t>
            </w:r>
          </w:p>
        </w:tc>
        <w:tc>
          <w:tcPr>
            <w:tcW w:w="3445" w:type="dxa"/>
            <w:tcBorders>
              <w:top w:val="single" w:sz="4" w:space="0" w:color="000000"/>
              <w:left w:val="single" w:sz="4" w:space="0" w:color="000000"/>
              <w:bottom w:val="single" w:sz="4" w:space="0" w:color="000000"/>
              <w:right w:val="single" w:sz="4" w:space="0" w:color="000000"/>
            </w:tcBorders>
            <w:vAlign w:val="center"/>
          </w:tcPr>
          <w:p w14:paraId="4231D3F3" w14:textId="615041DF" w:rsidR="00611AF9" w:rsidRPr="0027086D" w:rsidRDefault="00611AF9" w:rsidP="00611AF9">
            <w:pPr>
              <w:ind w:firstLine="0"/>
              <w:rPr>
                <w:rFonts w:eastAsia="Times New Roman" w:cs="Times New Roman"/>
                <w:sz w:val="20"/>
                <w:szCs w:val="20"/>
                <w:lang w:eastAsia="ru-RU"/>
              </w:rPr>
            </w:pPr>
            <w:r w:rsidRPr="0027086D">
              <w:rPr>
                <w:rFonts w:eastAsia="Times New Roman" w:cs="Times New Roman"/>
                <w:sz w:val="20"/>
                <w:szCs w:val="20"/>
                <w:lang w:eastAsia="ru-RU"/>
              </w:rPr>
              <w:t>Информационно-техническое сопровождение</w:t>
            </w:r>
          </w:p>
        </w:tc>
      </w:tr>
    </w:tbl>
    <w:p w14:paraId="20B75C24" w14:textId="4F29A3B8" w:rsidR="003B682D" w:rsidRPr="0027086D" w:rsidRDefault="0017254B" w:rsidP="007D5A78">
      <w:pPr>
        <w:pStyle w:val="ae"/>
        <w:ind w:firstLine="709"/>
        <w:rPr>
          <w:rFonts w:ascii="Times New Roman" w:hAnsi="Times New Roman"/>
          <w:sz w:val="24"/>
          <w:szCs w:val="24"/>
        </w:rPr>
      </w:pPr>
      <w:r w:rsidRPr="0027086D">
        <w:rPr>
          <w:rFonts w:ascii="Times New Roman" w:hAnsi="Times New Roman"/>
          <w:sz w:val="24"/>
          <w:szCs w:val="24"/>
        </w:rPr>
        <w:t xml:space="preserve">Сведения о документах, подтверждающих получение профессиональных знаний в оценочной деятельности приведены в Приложении </w:t>
      </w:r>
      <w:r w:rsidR="00E05A6F">
        <w:rPr>
          <w:rFonts w:ascii="Times New Roman" w:hAnsi="Times New Roman"/>
          <w:sz w:val="24"/>
          <w:szCs w:val="24"/>
        </w:rPr>
        <w:t xml:space="preserve">1.1.2 </w:t>
      </w:r>
      <w:r w:rsidRPr="0027086D">
        <w:rPr>
          <w:rFonts w:ascii="Times New Roman" w:hAnsi="Times New Roman"/>
          <w:sz w:val="24"/>
          <w:szCs w:val="24"/>
        </w:rPr>
        <w:t>к Отчету</w:t>
      </w:r>
      <w:r w:rsidR="00052092">
        <w:rPr>
          <w:rFonts w:ascii="Times New Roman" w:hAnsi="Times New Roman"/>
          <w:sz w:val="24"/>
          <w:szCs w:val="24"/>
        </w:rPr>
        <w:t>.</w:t>
      </w:r>
    </w:p>
    <w:p w14:paraId="70739C07" w14:textId="3E3EF363" w:rsidR="0017254B" w:rsidRDefault="0017254B" w:rsidP="007D5A78">
      <w:pPr>
        <w:pStyle w:val="ae"/>
        <w:ind w:firstLine="709"/>
        <w:rPr>
          <w:rFonts w:ascii="Times New Roman" w:hAnsi="Times New Roman"/>
          <w:sz w:val="24"/>
          <w:szCs w:val="24"/>
        </w:rPr>
      </w:pPr>
    </w:p>
    <w:p w14:paraId="100C020C" w14:textId="1ABDBECA" w:rsidR="00B652C0" w:rsidRDefault="00B652C0" w:rsidP="007D5A78">
      <w:pPr>
        <w:pStyle w:val="ae"/>
        <w:ind w:firstLine="709"/>
        <w:rPr>
          <w:rFonts w:ascii="Times New Roman" w:hAnsi="Times New Roman"/>
          <w:sz w:val="24"/>
          <w:szCs w:val="24"/>
        </w:rPr>
      </w:pPr>
    </w:p>
    <w:p w14:paraId="7C4D0DFE" w14:textId="15FF7988" w:rsidR="00B652C0" w:rsidRDefault="00B652C0" w:rsidP="007D5A78">
      <w:pPr>
        <w:pStyle w:val="ae"/>
        <w:ind w:firstLine="709"/>
        <w:rPr>
          <w:rFonts w:ascii="Times New Roman" w:hAnsi="Times New Roman"/>
          <w:sz w:val="24"/>
          <w:szCs w:val="24"/>
        </w:rPr>
      </w:pPr>
    </w:p>
    <w:p w14:paraId="04E60730" w14:textId="729D1C53" w:rsidR="00FD2769" w:rsidRDefault="00FD2769" w:rsidP="007D5A78">
      <w:pPr>
        <w:pStyle w:val="ae"/>
        <w:ind w:firstLine="709"/>
        <w:rPr>
          <w:rFonts w:ascii="Times New Roman" w:hAnsi="Times New Roman"/>
          <w:sz w:val="24"/>
          <w:szCs w:val="24"/>
        </w:rPr>
      </w:pPr>
    </w:p>
    <w:p w14:paraId="105481D5" w14:textId="3F1BE44A" w:rsidR="00FD2769" w:rsidRDefault="00FD2769" w:rsidP="007D5A78">
      <w:pPr>
        <w:pStyle w:val="ae"/>
        <w:ind w:firstLine="709"/>
        <w:rPr>
          <w:rFonts w:ascii="Times New Roman" w:hAnsi="Times New Roman"/>
          <w:sz w:val="24"/>
          <w:szCs w:val="24"/>
        </w:rPr>
      </w:pPr>
    </w:p>
    <w:p w14:paraId="2C11BCA2" w14:textId="77777777" w:rsidR="00FD2769" w:rsidRPr="0027086D" w:rsidRDefault="00FD2769" w:rsidP="007D5A78">
      <w:pPr>
        <w:pStyle w:val="ae"/>
        <w:ind w:firstLine="709"/>
        <w:rPr>
          <w:rFonts w:ascii="Times New Roman" w:hAnsi="Times New Roman"/>
          <w:sz w:val="24"/>
          <w:szCs w:val="24"/>
        </w:rPr>
      </w:pPr>
    </w:p>
    <w:p w14:paraId="59FBF5B5" w14:textId="11EDC79F" w:rsidR="006629F8" w:rsidRPr="00DF26AE" w:rsidRDefault="006629F8" w:rsidP="00FD2769">
      <w:pPr>
        <w:pStyle w:val="10"/>
        <w:numPr>
          <w:ilvl w:val="1"/>
          <w:numId w:val="100"/>
        </w:numPr>
        <w:jc w:val="both"/>
      </w:pPr>
      <w:bookmarkStart w:id="20" w:name="_Toc14819097"/>
      <w:r w:rsidRPr="00DF26AE">
        <w:t>Сведения о допущениях, использованных при определении кадастровой стоимости</w:t>
      </w:r>
      <w:r w:rsidR="001D07D3" w:rsidRPr="00DF26AE">
        <w:t>.</w:t>
      </w:r>
      <w:bookmarkEnd w:id="20"/>
    </w:p>
    <w:p w14:paraId="5942F9AF" w14:textId="5957DE08" w:rsidR="00DD6EF5" w:rsidRPr="00DF26AE" w:rsidRDefault="00DD6EF5" w:rsidP="00FD2769">
      <w:pPr>
        <w:pStyle w:val="3"/>
      </w:pPr>
      <w:bookmarkStart w:id="21" w:name="_Toc527729555"/>
      <w:r w:rsidRPr="00DF26AE">
        <w:t>Общие допущения</w:t>
      </w:r>
      <w:bookmarkEnd w:id="21"/>
    </w:p>
    <w:p w14:paraId="79719E37" w14:textId="77777777" w:rsidR="00DD6EF5" w:rsidRPr="00DD6EF5" w:rsidRDefault="00DD6EF5" w:rsidP="00D24868">
      <w:pPr>
        <w:numPr>
          <w:ilvl w:val="0"/>
          <w:numId w:val="70"/>
        </w:numPr>
        <w:suppressAutoHyphens/>
        <w:adjustRightInd w:val="0"/>
        <w:ind w:left="1418" w:hanging="579"/>
        <w:textAlignment w:val="baseline"/>
        <w:rPr>
          <w:rFonts w:eastAsia="Times New Roman" w:cs="Times New Roman"/>
          <w:spacing w:val="-5"/>
          <w:szCs w:val="24"/>
        </w:rPr>
      </w:pPr>
      <w:r w:rsidRPr="00DD6EF5">
        <w:rPr>
          <w:rFonts w:eastAsia="Times New Roman" w:cs="Times New Roman"/>
          <w:spacing w:val="-5"/>
          <w:szCs w:val="24"/>
        </w:rPr>
        <w:t>Отчёт основан на допущении о соблюдении в отношении Объектов оценки действующих и применимых в конкретной ситуации федеральных, региональных, местных земельных, природоохранных и иных нормативных актов, за исключением специально оговорённых в Отчёте случаев.</w:t>
      </w:r>
    </w:p>
    <w:p w14:paraId="16CF968C" w14:textId="4377B560" w:rsidR="00DD6EF5" w:rsidRPr="00DD6EF5" w:rsidRDefault="00DD6EF5" w:rsidP="00D24868">
      <w:pPr>
        <w:numPr>
          <w:ilvl w:val="0"/>
          <w:numId w:val="70"/>
        </w:numPr>
        <w:suppressAutoHyphens/>
        <w:adjustRightInd w:val="0"/>
        <w:ind w:left="1418" w:hanging="579"/>
        <w:textAlignment w:val="baseline"/>
        <w:rPr>
          <w:rFonts w:eastAsia="Times New Roman" w:cs="Times New Roman"/>
          <w:spacing w:val="-5"/>
          <w:szCs w:val="24"/>
        </w:rPr>
      </w:pPr>
      <w:r w:rsidRPr="00DD6EF5">
        <w:rPr>
          <w:rFonts w:eastAsia="Times New Roman" w:cs="Times New Roman"/>
          <w:spacing w:val="-5"/>
          <w:szCs w:val="24"/>
        </w:rPr>
        <w:t>Отчет выполнен в соответствии с нормативными документами о государственной кадастровой оценке и достоверен лишь в полном объёме и только для указанных в нём целей. ГБУ РС(Я) «ЦГКО» не несет ответственности за использование Отчета в иных целях.</w:t>
      </w:r>
    </w:p>
    <w:p w14:paraId="34CF485C" w14:textId="77777777" w:rsidR="00DD6EF5" w:rsidRPr="00DD6EF5" w:rsidRDefault="00DD6EF5" w:rsidP="00D24868">
      <w:pPr>
        <w:numPr>
          <w:ilvl w:val="0"/>
          <w:numId w:val="70"/>
        </w:numPr>
        <w:suppressAutoHyphens/>
        <w:adjustRightInd w:val="0"/>
        <w:ind w:left="1418" w:hanging="579"/>
        <w:textAlignment w:val="baseline"/>
        <w:rPr>
          <w:rFonts w:eastAsia="Times New Roman" w:cs="Times New Roman"/>
          <w:spacing w:val="-5"/>
          <w:szCs w:val="24"/>
        </w:rPr>
      </w:pPr>
      <w:r w:rsidRPr="00DD6EF5">
        <w:rPr>
          <w:rFonts w:eastAsia="Times New Roman" w:cs="Times New Roman"/>
          <w:spacing w:val="-5"/>
          <w:szCs w:val="24"/>
        </w:rPr>
        <w:t>Использование Отчёта в целом, его фрагментов или цитат (предоставление информации третьим лицам) должно проводиться с соблюдением законодательства РФ в области охраны авторских прав.</w:t>
      </w:r>
    </w:p>
    <w:p w14:paraId="0F17C08D" w14:textId="77777777" w:rsidR="00DD6EF5" w:rsidRPr="00DD6EF5" w:rsidRDefault="00DD6EF5" w:rsidP="00D24868">
      <w:pPr>
        <w:numPr>
          <w:ilvl w:val="0"/>
          <w:numId w:val="70"/>
        </w:numPr>
        <w:suppressAutoHyphens/>
        <w:adjustRightInd w:val="0"/>
        <w:ind w:left="1418" w:hanging="579"/>
        <w:textAlignment w:val="baseline"/>
        <w:rPr>
          <w:rFonts w:eastAsia="Times New Roman" w:cs="Times New Roman"/>
          <w:spacing w:val="-5"/>
          <w:szCs w:val="24"/>
        </w:rPr>
      </w:pPr>
      <w:r w:rsidRPr="00DD6EF5">
        <w:rPr>
          <w:rFonts w:eastAsia="Times New Roman" w:cs="Times New Roman"/>
          <w:spacing w:val="-5"/>
          <w:szCs w:val="24"/>
        </w:rPr>
        <w:t>Содержащиеся в Отчёте об оценке анализ, мнения и заключения принадлежат ГБУ РС(Я) «ЦГКО» и действительны строго в пределах ограничительных условий и допущений, являющихся частью Отчёта об оценке.</w:t>
      </w:r>
    </w:p>
    <w:p w14:paraId="1D428D82" w14:textId="77777777" w:rsidR="00DD6EF5" w:rsidRPr="00DD6EF5" w:rsidRDefault="00DD6EF5" w:rsidP="00D24868">
      <w:pPr>
        <w:numPr>
          <w:ilvl w:val="0"/>
          <w:numId w:val="70"/>
        </w:numPr>
        <w:suppressAutoHyphens/>
        <w:adjustRightInd w:val="0"/>
        <w:ind w:left="1418" w:hanging="579"/>
        <w:textAlignment w:val="baseline"/>
        <w:rPr>
          <w:rFonts w:eastAsia="Times New Roman" w:cs="Times New Roman"/>
          <w:spacing w:val="-5"/>
          <w:szCs w:val="24"/>
        </w:rPr>
      </w:pPr>
      <w:r w:rsidRPr="00DD6EF5">
        <w:rPr>
          <w:rFonts w:eastAsia="Times New Roman" w:cs="Times New Roman"/>
          <w:spacing w:val="-5"/>
          <w:szCs w:val="24"/>
        </w:rPr>
        <w:t>ГБУ РС(Я) «ЦГКО» не принимает на себя ответственность за достоверность качественной и количественной информации, содержащейся в ЕГРН и отраженной в предоставленном Перечне Объектов оценки.</w:t>
      </w:r>
    </w:p>
    <w:p w14:paraId="1D3B751E" w14:textId="77777777" w:rsidR="00DD6EF5" w:rsidRPr="00DD6EF5" w:rsidRDefault="00DD6EF5" w:rsidP="00D24868">
      <w:pPr>
        <w:numPr>
          <w:ilvl w:val="0"/>
          <w:numId w:val="70"/>
        </w:numPr>
        <w:suppressAutoHyphens/>
        <w:adjustRightInd w:val="0"/>
        <w:ind w:left="1418" w:hanging="579"/>
        <w:textAlignment w:val="baseline"/>
        <w:rPr>
          <w:rFonts w:eastAsia="Times New Roman" w:cs="Times New Roman"/>
          <w:spacing w:val="-5"/>
          <w:szCs w:val="24"/>
        </w:rPr>
      </w:pPr>
      <w:r w:rsidRPr="00DD6EF5">
        <w:rPr>
          <w:rFonts w:eastAsia="Times New Roman" w:cs="Times New Roman"/>
          <w:spacing w:val="-5"/>
          <w:szCs w:val="24"/>
        </w:rPr>
        <w:t>ГБУ РС(Я) «ЦГКО» при проведении государственной кадастровой оценки руководствовался информацией, полученной из легитимных источников:</w:t>
      </w:r>
    </w:p>
    <w:p w14:paraId="0D08BEEB" w14:textId="142D0B50" w:rsidR="00DD6EF5" w:rsidRPr="00DD6EF5" w:rsidRDefault="00DD6EF5" w:rsidP="00D24868">
      <w:pPr>
        <w:numPr>
          <w:ilvl w:val="0"/>
          <w:numId w:val="80"/>
        </w:numPr>
        <w:suppressAutoHyphens/>
        <w:adjustRightInd w:val="0"/>
        <w:ind w:left="1985" w:hanging="579"/>
        <w:textAlignment w:val="baseline"/>
        <w:rPr>
          <w:rFonts w:eastAsia="Times New Roman" w:cs="Times New Roman"/>
          <w:spacing w:val="-5"/>
          <w:szCs w:val="24"/>
          <w:lang w:eastAsia="ru-RU"/>
        </w:rPr>
      </w:pPr>
      <w:r w:rsidRPr="00DD6EF5">
        <w:rPr>
          <w:rFonts w:eastAsia="Times New Roman" w:cs="Times New Roman"/>
          <w:spacing w:val="-5"/>
          <w:szCs w:val="24"/>
          <w:lang w:eastAsia="ru-RU"/>
        </w:rPr>
        <w:t>В качестве перечня объектов недвижимости, подлежащих государственной кадастровой оценке, сформированного в соответствии со статьей 13 Федерального закона от 03.07.2016 № 237-ФЗ «О государственной кадастровой оценке», признается Перечень, направленный Министерством имущественных и земельных отношений Республики Саха (Якутия) письмами от 28.02.2019 № 04/И-012-2008, от 20.03.2019 № 04/И-09-2737 в адрес ГБУ РС(Я) «ЦГКО» и Акт №3 от 08.05.2019 «О выявлении неподлежащих государственной кадастровой оценке объектов недвижимости (зданий, сооружений), содержащего перечень кадастровых номеров неподлежащих государственной кадастровой оценке объектов недвижимости, а также информацию о причинах, по которым объект недвижимости не подлежит государственной кадастровой оценке»;</w:t>
      </w:r>
    </w:p>
    <w:p w14:paraId="2390E7A2" w14:textId="77777777" w:rsidR="00DD6EF5" w:rsidRPr="00DD6EF5" w:rsidRDefault="00DD6EF5" w:rsidP="00D24868">
      <w:pPr>
        <w:numPr>
          <w:ilvl w:val="0"/>
          <w:numId w:val="80"/>
        </w:numPr>
        <w:suppressAutoHyphens/>
        <w:adjustRightInd w:val="0"/>
        <w:ind w:left="1985" w:hanging="579"/>
        <w:textAlignment w:val="baseline"/>
        <w:rPr>
          <w:rFonts w:eastAsia="Times New Roman" w:cs="Times New Roman"/>
          <w:spacing w:val="-5"/>
          <w:szCs w:val="24"/>
          <w:lang w:eastAsia="ru-RU"/>
        </w:rPr>
      </w:pPr>
      <w:r w:rsidRPr="00DD6EF5">
        <w:rPr>
          <w:rFonts w:eastAsia="Times New Roman" w:cs="Times New Roman"/>
          <w:spacing w:val="-5"/>
          <w:szCs w:val="24"/>
          <w:lang w:eastAsia="ru-RU"/>
        </w:rPr>
        <w:t>определение кадастровой стоимости Объектов оценки осуществлялось исходя из количественных и качественных характеристик объектов, указанных в Перечне, а также информации, необходимой для проведения оценки Объектов оценки, сбор и анализ которой осуществлял ГБУ РС(Я) «ЦГКО»;</w:t>
      </w:r>
    </w:p>
    <w:p w14:paraId="0912F66A" w14:textId="77777777" w:rsidR="00DD6EF5" w:rsidRPr="00DD6EF5" w:rsidRDefault="00DD6EF5" w:rsidP="00D24868">
      <w:pPr>
        <w:numPr>
          <w:ilvl w:val="0"/>
          <w:numId w:val="80"/>
        </w:numPr>
        <w:suppressAutoHyphens/>
        <w:adjustRightInd w:val="0"/>
        <w:ind w:left="1985" w:hanging="579"/>
        <w:textAlignment w:val="baseline"/>
        <w:rPr>
          <w:rFonts w:eastAsia="Times New Roman" w:cs="Times New Roman"/>
          <w:spacing w:val="-5"/>
          <w:szCs w:val="24"/>
          <w:lang w:eastAsia="ru-RU"/>
        </w:rPr>
      </w:pPr>
      <w:r w:rsidRPr="00DD6EF5">
        <w:rPr>
          <w:rFonts w:eastAsia="Times New Roman" w:cs="Times New Roman"/>
          <w:spacing w:val="-5"/>
          <w:szCs w:val="24"/>
          <w:lang w:eastAsia="ru-RU"/>
        </w:rPr>
        <w:t>вся информация, полученная ГБУ РС(Я) «ЦГКО» от сотрудников Министерством имущественных и земельных отношений Республики Саха (Якутия) и Росреестра в письменном, устном или электронном виде и не вступающая в противоречие с профессиональным опытом ГБУ РС(Я) «ЦГКО», рассматривалась как достоверная;</w:t>
      </w:r>
    </w:p>
    <w:p w14:paraId="3783FBB4" w14:textId="77777777" w:rsidR="00DD6EF5" w:rsidRPr="00DD6EF5" w:rsidRDefault="00DD6EF5" w:rsidP="00D24868">
      <w:pPr>
        <w:numPr>
          <w:ilvl w:val="0"/>
          <w:numId w:val="80"/>
        </w:numPr>
        <w:suppressAutoHyphens/>
        <w:adjustRightInd w:val="0"/>
        <w:ind w:left="1985" w:hanging="579"/>
        <w:textAlignment w:val="baseline"/>
        <w:rPr>
          <w:rFonts w:eastAsia="Times New Roman" w:cs="Times New Roman"/>
          <w:spacing w:val="-5"/>
          <w:szCs w:val="24"/>
          <w:lang w:eastAsia="ru-RU"/>
        </w:rPr>
      </w:pPr>
      <w:r w:rsidRPr="00DD6EF5">
        <w:rPr>
          <w:rFonts w:eastAsia="Times New Roman" w:cs="Times New Roman"/>
          <w:spacing w:val="-5"/>
          <w:szCs w:val="24"/>
          <w:lang w:eastAsia="ru-RU"/>
        </w:rPr>
        <w:t>информация, полученная от организаций и учреждений субъекта Российской Федерации и муниципальных образований, Росреестра и иных источников, содержащих сведения доказательного значения после даты оценки, но отражающая информацию по состоянию на дату оценки в отношении количественных или качественных характеристик Объектов оценки, отражена в Отчёте, считается достаточной и достоверной для целей проведения государственной кадастровой оценки и может использоваться при проведении оценки;</w:t>
      </w:r>
    </w:p>
    <w:p w14:paraId="2AE8C479" w14:textId="77777777" w:rsidR="00DD6EF5" w:rsidRPr="00DD6EF5" w:rsidRDefault="00DD6EF5" w:rsidP="00D24868">
      <w:pPr>
        <w:numPr>
          <w:ilvl w:val="0"/>
          <w:numId w:val="70"/>
        </w:numPr>
        <w:suppressAutoHyphens/>
        <w:adjustRightInd w:val="0"/>
        <w:ind w:left="1418" w:hanging="579"/>
        <w:textAlignment w:val="baseline"/>
        <w:rPr>
          <w:rFonts w:eastAsia="Times New Roman" w:cs="Times New Roman"/>
          <w:spacing w:val="-5"/>
          <w:szCs w:val="24"/>
        </w:rPr>
      </w:pPr>
      <w:r w:rsidRPr="00DD6EF5">
        <w:rPr>
          <w:rFonts w:eastAsia="Times New Roman" w:cs="Times New Roman"/>
          <w:spacing w:val="-5"/>
          <w:szCs w:val="24"/>
        </w:rPr>
        <w:t>ГБУ РС(Я) «ЦГКО» не проводил технических и иных специальных экспертиз (в том числе экологических) и исходил из предположения об отсутствии каких-либо скрытых фактов, влияющих на величину определяемой стоимости Объектов оценки, которые не содержались в составе переданной информации. На ГБУ РС(Я) «ЦГКО» не лежит ответственность по обнаружению таких фактов, как и ответственность в случае их обнаружения.</w:t>
      </w:r>
    </w:p>
    <w:p w14:paraId="3EC62468" w14:textId="77777777" w:rsidR="00DD6EF5" w:rsidRPr="00DD6EF5" w:rsidRDefault="00DD6EF5" w:rsidP="00D24868">
      <w:pPr>
        <w:numPr>
          <w:ilvl w:val="0"/>
          <w:numId w:val="70"/>
        </w:numPr>
        <w:suppressAutoHyphens/>
        <w:adjustRightInd w:val="0"/>
        <w:ind w:left="1418" w:hanging="579"/>
        <w:textAlignment w:val="baseline"/>
        <w:rPr>
          <w:rFonts w:eastAsia="Times New Roman" w:cs="Times New Roman"/>
          <w:spacing w:val="-5"/>
          <w:szCs w:val="24"/>
        </w:rPr>
      </w:pPr>
      <w:r w:rsidRPr="00DD6EF5">
        <w:rPr>
          <w:rFonts w:eastAsia="Times New Roman" w:cs="Times New Roman"/>
          <w:spacing w:val="-5"/>
          <w:szCs w:val="24"/>
        </w:rPr>
        <w:t>ГБУ РС(Я) «ЦГКО» не несёт ответственности за юридическое описание имущественных прав на Объекты оценки. Объекты оценки и имущественные права на них рассматриваются свободными от каких-либо претензий или ограничений, за исключением земельных участков, расположенных в зонах особого режима использования.</w:t>
      </w:r>
    </w:p>
    <w:p w14:paraId="526F8A70" w14:textId="77777777" w:rsidR="00DD6EF5" w:rsidRPr="00DD6EF5" w:rsidRDefault="00DD6EF5" w:rsidP="00D24868">
      <w:pPr>
        <w:numPr>
          <w:ilvl w:val="0"/>
          <w:numId w:val="70"/>
        </w:numPr>
        <w:suppressAutoHyphens/>
        <w:adjustRightInd w:val="0"/>
        <w:ind w:left="1418" w:hanging="579"/>
        <w:textAlignment w:val="baseline"/>
        <w:rPr>
          <w:rFonts w:eastAsia="Times New Roman" w:cs="Times New Roman"/>
          <w:spacing w:val="-5"/>
          <w:szCs w:val="24"/>
        </w:rPr>
      </w:pPr>
      <w:r w:rsidRPr="00DD6EF5">
        <w:rPr>
          <w:rFonts w:eastAsia="Times New Roman" w:cs="Times New Roman"/>
          <w:spacing w:val="-5"/>
          <w:szCs w:val="24"/>
        </w:rPr>
        <w:t>Определение кадастровой стоимости Объектов оценки базируется на предположении о том, что все оцениваемые Объекты принадлежат юридическим или физическим лицам на праве собственности.</w:t>
      </w:r>
    </w:p>
    <w:p w14:paraId="1C1ED0AB" w14:textId="77777777" w:rsidR="00DD6EF5" w:rsidRPr="00DD6EF5" w:rsidRDefault="00DD6EF5" w:rsidP="00D24868">
      <w:pPr>
        <w:numPr>
          <w:ilvl w:val="0"/>
          <w:numId w:val="70"/>
        </w:numPr>
        <w:suppressAutoHyphens/>
        <w:adjustRightInd w:val="0"/>
        <w:ind w:left="1418" w:hanging="579"/>
        <w:textAlignment w:val="baseline"/>
        <w:rPr>
          <w:rFonts w:eastAsia="Times New Roman" w:cs="Times New Roman"/>
          <w:spacing w:val="-5"/>
          <w:szCs w:val="24"/>
        </w:rPr>
      </w:pPr>
      <w:r w:rsidRPr="00DD6EF5">
        <w:rPr>
          <w:rFonts w:eastAsia="Times New Roman" w:cs="Times New Roman"/>
          <w:spacing w:val="-5"/>
          <w:szCs w:val="24"/>
        </w:rPr>
        <w:t>Осмотр объектов оценки при использовании методов массовой оценки не проводится.</w:t>
      </w:r>
    </w:p>
    <w:p w14:paraId="6537EBC3" w14:textId="77777777" w:rsidR="00DD6EF5" w:rsidRPr="00DD6EF5" w:rsidRDefault="00DD6EF5" w:rsidP="00D24868">
      <w:pPr>
        <w:numPr>
          <w:ilvl w:val="0"/>
          <w:numId w:val="70"/>
        </w:numPr>
        <w:suppressAutoHyphens/>
        <w:adjustRightInd w:val="0"/>
        <w:ind w:left="1418" w:hanging="579"/>
        <w:textAlignment w:val="baseline"/>
        <w:rPr>
          <w:rFonts w:eastAsia="Times New Roman" w:cs="Times New Roman"/>
          <w:spacing w:val="-5"/>
          <w:szCs w:val="24"/>
        </w:rPr>
      </w:pPr>
      <w:r w:rsidRPr="00DD6EF5">
        <w:rPr>
          <w:rFonts w:eastAsia="Times New Roman" w:cs="Times New Roman"/>
          <w:spacing w:val="-5"/>
          <w:szCs w:val="24"/>
        </w:rPr>
        <w:t>В рамках работ по государственной кадастровой оценке ГБУ РС(Я) «ЦГКО» не проводился анализ наиболее эффективного использования Объектов оценки, поскольку при массовой оценке объектов недвижимости определить наиболее эффективное использование индивидуально для каждого объекта не представляется возможным. Оценка объектов недвижимости проводится из допущения, что наиболее эффективное использование объектов оценки совпадает с фактическим использованием.</w:t>
      </w:r>
    </w:p>
    <w:p w14:paraId="2D5C8829" w14:textId="77777777" w:rsidR="00DD6EF5" w:rsidRPr="00DD6EF5" w:rsidRDefault="00DD6EF5" w:rsidP="00D24868">
      <w:pPr>
        <w:numPr>
          <w:ilvl w:val="0"/>
          <w:numId w:val="70"/>
        </w:numPr>
        <w:suppressAutoHyphens/>
        <w:adjustRightInd w:val="0"/>
        <w:ind w:left="1418" w:hanging="579"/>
        <w:textAlignment w:val="baseline"/>
        <w:rPr>
          <w:rFonts w:eastAsia="Times New Roman" w:cs="Times New Roman"/>
          <w:spacing w:val="-5"/>
          <w:szCs w:val="24"/>
        </w:rPr>
      </w:pPr>
      <w:r w:rsidRPr="00DD6EF5">
        <w:rPr>
          <w:rFonts w:eastAsia="Times New Roman" w:cs="Times New Roman"/>
          <w:spacing w:val="-5"/>
          <w:szCs w:val="24"/>
        </w:rPr>
        <w:t>Все иллюстративные материалы использованы в Отчёте исключительно в целях облегчения читателю визуального восприятия результатов оценки, поскольку нет обстоятельств, обязывающих ГБУ РС(Я) «ЦГКО» приводить расширенные обзорные материалы (чертежи, планы, фотографии и др.).</w:t>
      </w:r>
    </w:p>
    <w:p w14:paraId="51E04B16" w14:textId="77777777" w:rsidR="00DD6EF5" w:rsidRPr="00DD6EF5" w:rsidRDefault="00DD6EF5" w:rsidP="00D24868">
      <w:pPr>
        <w:numPr>
          <w:ilvl w:val="0"/>
          <w:numId w:val="70"/>
        </w:numPr>
        <w:suppressAutoHyphens/>
        <w:adjustRightInd w:val="0"/>
        <w:ind w:left="1418" w:hanging="579"/>
        <w:textAlignment w:val="baseline"/>
        <w:rPr>
          <w:rFonts w:eastAsia="Times New Roman" w:cs="Times New Roman"/>
          <w:spacing w:val="-5"/>
          <w:szCs w:val="24"/>
        </w:rPr>
      </w:pPr>
      <w:r w:rsidRPr="00DD6EF5">
        <w:rPr>
          <w:rFonts w:eastAsia="Times New Roman" w:cs="Times New Roman"/>
          <w:spacing w:val="-5"/>
          <w:szCs w:val="24"/>
        </w:rPr>
        <w:t>В приведённых в Отчёте таблицах и рисунках ГБУ РС(Я) «ЦГКО», как правило, указывает источник информации. Если источник информации не указан, то источником информации является ГБУ РС(Я) «ЦГКО».</w:t>
      </w:r>
    </w:p>
    <w:p w14:paraId="24AD5BB1" w14:textId="1340465B" w:rsidR="00DD6EF5" w:rsidRDefault="00DD6EF5" w:rsidP="00D24868">
      <w:pPr>
        <w:numPr>
          <w:ilvl w:val="0"/>
          <w:numId w:val="70"/>
        </w:numPr>
        <w:suppressAutoHyphens/>
        <w:adjustRightInd w:val="0"/>
        <w:ind w:left="1418" w:hanging="579"/>
        <w:textAlignment w:val="baseline"/>
        <w:rPr>
          <w:rFonts w:eastAsia="Times New Roman" w:cs="Times New Roman"/>
          <w:spacing w:val="-5"/>
          <w:szCs w:val="24"/>
        </w:rPr>
      </w:pPr>
      <w:r w:rsidRPr="00DD6EF5">
        <w:rPr>
          <w:rFonts w:eastAsia="Times New Roman" w:cs="Times New Roman"/>
          <w:spacing w:val="-5"/>
          <w:szCs w:val="24"/>
        </w:rPr>
        <w:t>Настоящий Отчет подготовлен с использованием программных продуктов Microsoft® Word 2016 и Microsoft® Excel® 2016 программного комплекса ПК МО. С помощью указанных программ были сформированы текстовые файлы с расширением *.docx и табличные файлы с расширением *.xlsx. В соответствии с п. 12 Требований к Отчету текстовые части, таблицы приложений к Отчету сформированы в формате Open Document для офисных приложений в версии, актуальной на дату составления Отчета, в связи с чем, с помощью указанных программных продуктов компании Microsoft® все имеющиеся текстовые и табличные файлы в Отчете были преобразованы в формат Open Document с разрешением для текстовых документов *.odt и табличных документов *.ods. При сохранении исходных файлов в формат Open Document появлялось предупреждение о содержании в исходных файлах возможностей, несовместимых с данным форматом. В Отчете могут быть представлены файлы как в форматах *.odt, *.ods, так и в форматах *.xls и *.</w:t>
      </w:r>
      <w:r w:rsidRPr="00DD6EF5">
        <w:rPr>
          <w:rFonts w:eastAsia="Times New Roman" w:cs="Times New Roman"/>
          <w:spacing w:val="-5"/>
          <w:szCs w:val="24"/>
          <w:lang w:val="en-US"/>
        </w:rPr>
        <w:t>pdf</w:t>
      </w:r>
      <w:r w:rsidRPr="00DD6EF5">
        <w:rPr>
          <w:rFonts w:eastAsia="Times New Roman" w:cs="Times New Roman"/>
          <w:spacing w:val="-5"/>
          <w:szCs w:val="24"/>
        </w:rPr>
        <w:t>. По причине возможности некорректного отображения некоторой информации в формате Open Document приоритетными необходимо считать файлы в формате *</w:t>
      </w:r>
      <w:r w:rsidRPr="00DD6EF5">
        <w:rPr>
          <w:rFonts w:eastAsia="Times New Roman" w:cs="Times New Roman"/>
          <w:spacing w:val="-5"/>
          <w:szCs w:val="24"/>
          <w:lang w:val="en-US"/>
        </w:rPr>
        <w:t>pdf</w:t>
      </w:r>
      <w:r w:rsidRPr="00DD6EF5">
        <w:rPr>
          <w:rFonts w:eastAsia="Times New Roman" w:cs="Times New Roman"/>
          <w:spacing w:val="-5"/>
          <w:szCs w:val="24"/>
        </w:rPr>
        <w:t xml:space="preserve">, *.xls. </w:t>
      </w:r>
    </w:p>
    <w:p w14:paraId="42B14BDE" w14:textId="7612A9A4" w:rsidR="00B652C0" w:rsidRPr="00DD6EF5" w:rsidRDefault="00B652C0" w:rsidP="00DD6EF5">
      <w:pPr>
        <w:suppressAutoHyphens/>
        <w:adjustRightInd w:val="0"/>
        <w:ind w:left="1418" w:firstLine="0"/>
        <w:textAlignment w:val="baseline"/>
        <w:rPr>
          <w:rFonts w:eastAsia="Times New Roman" w:cs="Times New Roman"/>
          <w:spacing w:val="-5"/>
          <w:szCs w:val="24"/>
        </w:rPr>
      </w:pPr>
    </w:p>
    <w:p w14:paraId="29A360D5" w14:textId="14F5BEC5" w:rsidR="00DD6EF5" w:rsidRPr="00DF26AE" w:rsidRDefault="00DD6EF5" w:rsidP="00FD2769">
      <w:pPr>
        <w:pStyle w:val="3"/>
      </w:pPr>
      <w:bookmarkStart w:id="22" w:name="_Ref513049745"/>
      <w:bookmarkStart w:id="23" w:name="_Ref513049756"/>
      <w:bookmarkStart w:id="24" w:name="_Ref515011130"/>
      <w:bookmarkStart w:id="25" w:name="_Toc527729556"/>
      <w:r w:rsidRPr="00DF26AE">
        <w:t>Допущения, касающиеся качественных и количественных характеристик</w:t>
      </w:r>
      <w:bookmarkEnd w:id="22"/>
      <w:bookmarkEnd w:id="23"/>
      <w:r w:rsidRPr="00DF26AE">
        <w:t>, а также геопривязки Объектов оценки</w:t>
      </w:r>
      <w:bookmarkEnd w:id="24"/>
      <w:bookmarkEnd w:id="25"/>
    </w:p>
    <w:p w14:paraId="7BC68273" w14:textId="77777777" w:rsidR="00DD6EF5" w:rsidRPr="00DD6EF5" w:rsidRDefault="00DD6EF5" w:rsidP="00D24868">
      <w:pPr>
        <w:numPr>
          <w:ilvl w:val="0"/>
          <w:numId w:val="67"/>
        </w:numPr>
        <w:suppressAutoHyphens/>
        <w:adjustRightInd w:val="0"/>
        <w:ind w:hanging="579"/>
        <w:textAlignment w:val="baseline"/>
        <w:rPr>
          <w:rFonts w:eastAsia="Times New Roman" w:cs="Times New Roman"/>
          <w:spacing w:val="-5"/>
          <w:szCs w:val="24"/>
        </w:rPr>
      </w:pPr>
      <w:r w:rsidRPr="00DD6EF5">
        <w:rPr>
          <w:rFonts w:eastAsia="Times New Roman" w:cs="Times New Roman"/>
          <w:spacing w:val="-5"/>
          <w:szCs w:val="24"/>
        </w:rPr>
        <w:t>Возможные ошибки и опечатки в качественных и количественных характеристиках в исходном Перечне Объектов оценки не исправлялись по причине отсутствия прав у ГБУ РС(Я) «ЦГКО» на внесение изменений в ЕГРН.</w:t>
      </w:r>
    </w:p>
    <w:p w14:paraId="09876307" w14:textId="76556D72" w:rsidR="00DD6EF5" w:rsidRPr="00DD6EF5" w:rsidRDefault="00DD6EF5" w:rsidP="00D24868">
      <w:pPr>
        <w:numPr>
          <w:ilvl w:val="0"/>
          <w:numId w:val="70"/>
        </w:numPr>
        <w:suppressAutoHyphens/>
        <w:adjustRightInd w:val="0"/>
        <w:ind w:hanging="579"/>
        <w:textAlignment w:val="baseline"/>
        <w:rPr>
          <w:rFonts w:eastAsia="Times New Roman" w:cs="Times New Roman"/>
          <w:spacing w:val="-5"/>
          <w:szCs w:val="24"/>
        </w:rPr>
      </w:pPr>
      <w:r w:rsidRPr="00DD6EF5">
        <w:rPr>
          <w:rFonts w:eastAsia="Times New Roman" w:cs="Times New Roman"/>
          <w:spacing w:val="-5"/>
          <w:szCs w:val="24"/>
        </w:rPr>
        <w:t>В соответствии с п. 8 Приказа МЭР № 74 графическая часть перечня формируется в виде файлов в формате MIF/MID или SHP. Картографические материалы представлены в декартовой системе координат (план-схема) в разрезе кадастровых кварталов. В соответствии с Методическими указаниями, определение кадастровой стоимости земельных участков осуществляется в соответствии с кодами расчета видов использования независимо от категории земель. Таким образом картографические данные должны быть представлены на единой картографической подложке. Объединение в единую карту представленных материалов в виду отсутствия ключей пересчета не представляется возможным. Специалистами ГБУ РС(Я) «Центр государственной кадастровой оценки» проведен анализ графической части Перечня объектов недвижимости, подлежащих государственной кадастровой оценке, по состоянию на 01.01.2019, переданные 06.03.2019 в дополнение к письму Министерства имущественных и земельных отношений РС(Я) от 28.02.2019 № 04/11-012-2008. В результате анализа выявлены несоответствия в сведениях об объектах недвижимости, а также отсутствие части информации в Перечне объектов недвижимости. Так же, в связи с отсутствием корректных графических материалов и несвоевременным предоставлением информации Учреждением была использована Геоаналитическая информационной системе (ГАИС) Министерства имущественных и земельных отношений РС(Я) (Письмо 07.03.2019 № 04/И-012-2314). В связи с этим из графической части Перечня объектов недвижимости указанные материалы не использовались, т.к. в случае расчета ценообразующих факторов будут получены некорректные значения.</w:t>
      </w:r>
    </w:p>
    <w:p w14:paraId="29EEB0BA" w14:textId="19B0101B" w:rsidR="00DD6EF5" w:rsidRPr="00DD6EF5" w:rsidRDefault="00DD6EF5" w:rsidP="00D24868">
      <w:pPr>
        <w:numPr>
          <w:ilvl w:val="0"/>
          <w:numId w:val="70"/>
        </w:numPr>
        <w:suppressAutoHyphens/>
        <w:adjustRightInd w:val="0"/>
        <w:ind w:hanging="579"/>
        <w:textAlignment w:val="baseline"/>
        <w:rPr>
          <w:rFonts w:eastAsia="Times New Roman" w:cs="Times New Roman"/>
          <w:spacing w:val="-5"/>
          <w:szCs w:val="24"/>
        </w:rPr>
      </w:pPr>
      <w:r w:rsidRPr="00DD6EF5">
        <w:rPr>
          <w:rFonts w:eastAsia="Times New Roman" w:cs="Times New Roman"/>
          <w:spacing w:val="-5"/>
          <w:szCs w:val="24"/>
        </w:rPr>
        <w:t>Для идентификации Объектов оценки на территории Республики Саха (Якутия) (геопривязке) использовалась информация, содержащаяся в описании Объектов оценки (адрес, код ОКАТО, код КЛАДР, кадастровый квартал, кадастровый номер объекта недвижимости), а также геоинформационные слои, предоставленные Министерством имущественных и земельных отно</w:t>
      </w:r>
      <w:r w:rsidR="007D5634">
        <w:rPr>
          <w:rFonts w:eastAsia="Times New Roman" w:cs="Times New Roman"/>
          <w:spacing w:val="-5"/>
          <w:szCs w:val="24"/>
        </w:rPr>
        <w:t>шений Республики Саха (Якутия).</w:t>
      </w:r>
    </w:p>
    <w:p w14:paraId="44FE975A" w14:textId="77777777" w:rsidR="00DD6EF5" w:rsidRPr="00DD6EF5" w:rsidRDefault="00DD6EF5" w:rsidP="00D24868">
      <w:pPr>
        <w:numPr>
          <w:ilvl w:val="0"/>
          <w:numId w:val="70"/>
        </w:numPr>
        <w:suppressAutoHyphens/>
        <w:adjustRightInd w:val="0"/>
        <w:ind w:hanging="579"/>
        <w:textAlignment w:val="baseline"/>
        <w:rPr>
          <w:rFonts w:eastAsia="Times New Roman" w:cs="Times New Roman"/>
          <w:spacing w:val="-5"/>
          <w:szCs w:val="24"/>
        </w:rPr>
      </w:pPr>
      <w:r w:rsidRPr="00DD6EF5">
        <w:rPr>
          <w:rFonts w:eastAsia="Times New Roman" w:cs="Times New Roman"/>
          <w:spacing w:val="-5"/>
          <w:szCs w:val="24"/>
        </w:rPr>
        <w:t>Если в Перечне присутствовали объекты с отсутствующими или некорректными адресными характеристиками, что приводило к невозможности геопривязки, то в качестве характеристики местоположения Объектов оценки принималось местоположение кадастрового квартала либо кадастрового района.</w:t>
      </w:r>
    </w:p>
    <w:p w14:paraId="53ED7309" w14:textId="77777777" w:rsidR="00611AF9" w:rsidRPr="00611AF9" w:rsidRDefault="00611AF9" w:rsidP="00611AF9">
      <w:pPr>
        <w:numPr>
          <w:ilvl w:val="0"/>
          <w:numId w:val="70"/>
        </w:numPr>
        <w:suppressAutoHyphens/>
        <w:adjustRightInd w:val="0"/>
        <w:ind w:hanging="579"/>
        <w:textAlignment w:val="baseline"/>
        <w:rPr>
          <w:rFonts w:eastAsia="Times New Roman" w:cs="Times New Roman"/>
          <w:spacing w:val="-5"/>
          <w:szCs w:val="24"/>
        </w:rPr>
      </w:pPr>
      <w:r w:rsidRPr="00611AF9">
        <w:rPr>
          <w:rFonts w:eastAsia="Times New Roman" w:cs="Times New Roman"/>
          <w:spacing w:val="-5"/>
          <w:szCs w:val="24"/>
        </w:rPr>
        <w:t xml:space="preserve">При расчёте значений ценообразующих факторов Объектов оценки ГБУ РС(Я) «ЦГКО» использовало геоинформационные слои, переданные Министерством имущественных и земельных отношений РС(Я) на основании запроса (№214/01-55 от 01.03.2019) картографических материалов, а также данные из открытых источников, в том числе публичные карты. </w:t>
      </w:r>
    </w:p>
    <w:p w14:paraId="26E765AB" w14:textId="77777777" w:rsidR="00DD6EF5" w:rsidRPr="00DD6EF5" w:rsidRDefault="00DD6EF5" w:rsidP="00D24868">
      <w:pPr>
        <w:numPr>
          <w:ilvl w:val="0"/>
          <w:numId w:val="70"/>
        </w:numPr>
        <w:suppressAutoHyphens/>
        <w:adjustRightInd w:val="0"/>
        <w:ind w:hanging="579"/>
        <w:textAlignment w:val="baseline"/>
        <w:rPr>
          <w:rFonts w:eastAsia="Times New Roman" w:cs="Times New Roman"/>
          <w:spacing w:val="-5"/>
          <w:szCs w:val="24"/>
        </w:rPr>
      </w:pPr>
      <w:r w:rsidRPr="00DD6EF5">
        <w:rPr>
          <w:rFonts w:eastAsia="Times New Roman" w:cs="Times New Roman"/>
          <w:spacing w:val="-5"/>
          <w:szCs w:val="24"/>
        </w:rPr>
        <w:t>В Перечне отсутствуют данные о состоянии Объектов оценки. Оценка проводилась исходя из допущения, что все Объекты находятся в нормальном состоянии, т. е. пригодны к использованию. Исключением выступают Объекты, признанные аварийными.</w:t>
      </w:r>
    </w:p>
    <w:p w14:paraId="163411C9" w14:textId="77777777" w:rsidR="00DD6EF5" w:rsidRPr="00DD6EF5" w:rsidRDefault="00DD6EF5" w:rsidP="00D24868">
      <w:pPr>
        <w:numPr>
          <w:ilvl w:val="0"/>
          <w:numId w:val="70"/>
        </w:numPr>
        <w:suppressAutoHyphens/>
        <w:adjustRightInd w:val="0"/>
        <w:ind w:hanging="579"/>
        <w:textAlignment w:val="baseline"/>
        <w:rPr>
          <w:rFonts w:eastAsia="Times New Roman" w:cs="Times New Roman"/>
          <w:spacing w:val="-5"/>
          <w:szCs w:val="24"/>
        </w:rPr>
      </w:pPr>
      <w:r w:rsidRPr="00DD6EF5">
        <w:rPr>
          <w:rFonts w:eastAsia="Times New Roman" w:cs="Times New Roman"/>
          <w:spacing w:val="-5"/>
          <w:szCs w:val="24"/>
        </w:rPr>
        <w:t>При проведении государственной кадастровой оценки ГБУ РС(Я) «ЦГКО» исходил из допущения, что Объекты оценки являются типичными и схожими с объектами-аналогами, представленными на рынке, имеют схожие характеристики, что позволило провести группировку. Иными словами, при определении кадастровой стоимости не учитывались уникальные характеристики каждого конкретного Объекта оценки, если данные характеристики не были предоставлены в Перечне Объектов оценки. Основанием для присвоения номера группы (отнесения объектов оценки в ту или иную группу) служили данные о виде объекта недвижимости, его назначении, наименовании, описательном адресе. Косвенными данными, позволяющими отнести объект к той или иной группе, служили данные о площади объектов, материале ограждающих конструкций, этажности объектов.</w:t>
      </w:r>
    </w:p>
    <w:p w14:paraId="67A0EAC2" w14:textId="092460BF" w:rsidR="00DD6EF5" w:rsidRDefault="00DD6EF5" w:rsidP="00D24868">
      <w:pPr>
        <w:numPr>
          <w:ilvl w:val="0"/>
          <w:numId w:val="70"/>
        </w:numPr>
        <w:suppressAutoHyphens/>
        <w:adjustRightInd w:val="0"/>
        <w:ind w:hanging="579"/>
        <w:textAlignment w:val="baseline"/>
        <w:rPr>
          <w:rFonts w:eastAsia="Times New Roman" w:cs="Times New Roman"/>
          <w:spacing w:val="-5"/>
          <w:szCs w:val="24"/>
        </w:rPr>
      </w:pPr>
      <w:r w:rsidRPr="00DD6EF5">
        <w:rPr>
          <w:rFonts w:eastAsia="Times New Roman" w:cs="Times New Roman"/>
          <w:spacing w:val="-5"/>
          <w:szCs w:val="24"/>
        </w:rPr>
        <w:t>Определение кадастровой стоимости Объектов оценки проводилось исходя из допущения, что состояние Объекта оценки соответствует состоянию объектов-аналогов. Данное допущение исходит из того, что соотношение основной и вспомогательной площади, электроснабжения, водоснабжения, канализации, системы дополнительной безопасности и контроля, дополнительные удобства, наличие лифтов и т.п. является типичным (аналогичным) и характерным как для Объектов оценки, так и для объектов-аналогов.</w:t>
      </w:r>
    </w:p>
    <w:p w14:paraId="53A03137" w14:textId="77777777" w:rsidR="00DD6EF5" w:rsidRPr="00DD6EF5" w:rsidRDefault="00DD6EF5" w:rsidP="00DD6EF5">
      <w:pPr>
        <w:suppressAutoHyphens/>
        <w:adjustRightInd w:val="0"/>
        <w:ind w:left="1287" w:firstLine="0"/>
        <w:textAlignment w:val="baseline"/>
        <w:rPr>
          <w:rFonts w:eastAsia="Times New Roman" w:cs="Times New Roman"/>
          <w:spacing w:val="-5"/>
          <w:szCs w:val="24"/>
        </w:rPr>
      </w:pPr>
    </w:p>
    <w:p w14:paraId="235AFE47" w14:textId="30DB73FA" w:rsidR="00DD6EF5" w:rsidRPr="00DF26AE" w:rsidRDefault="00DD6EF5" w:rsidP="00FD2769">
      <w:pPr>
        <w:pStyle w:val="3"/>
      </w:pPr>
      <w:bookmarkStart w:id="26" w:name="_Toc505790083"/>
      <w:bookmarkStart w:id="27" w:name="_Toc527729557"/>
      <w:r w:rsidRPr="00DF26AE">
        <w:t>Допущения, касающиеся информации об объектах-аналогах</w:t>
      </w:r>
      <w:bookmarkEnd w:id="26"/>
      <w:bookmarkEnd w:id="27"/>
    </w:p>
    <w:p w14:paraId="74D9AF8C" w14:textId="0F6E96B2" w:rsidR="00DD6EF5" w:rsidRPr="001F7F9D" w:rsidRDefault="00DD6EF5" w:rsidP="00D24868">
      <w:pPr>
        <w:pStyle w:val="1-"/>
        <w:numPr>
          <w:ilvl w:val="0"/>
          <w:numId w:val="82"/>
        </w:numPr>
        <w:spacing w:line="240" w:lineRule="auto"/>
        <w:ind w:left="1276" w:hanging="357"/>
      </w:pPr>
      <w:r w:rsidRPr="001F7F9D">
        <w:t xml:space="preserve">При расчёте </w:t>
      </w:r>
      <w:r w:rsidRPr="00611AF9">
        <w:t xml:space="preserve">значений ценообразующих факторов объектов-аналогов </w:t>
      </w:r>
      <w:r w:rsidR="00611AF9" w:rsidRPr="00611AF9">
        <w:t>ГБУ РС(Я) «ЦГКО» использовал геоинформационные слои, переданные Министерством имущественных и земельных отношений РС(Я) на основании запроса (№214/01-55 от 01.03.2019) картографических материалов</w:t>
      </w:r>
      <w:r w:rsidRPr="00611AF9">
        <w:t>, а</w:t>
      </w:r>
      <w:r w:rsidRPr="001F7F9D">
        <w:t xml:space="preserve"> также данные из открытых источников, в том числе публичные карты, а также карты панорамного вида </w:t>
      </w:r>
      <w:r w:rsidRPr="00CF779D">
        <w:t>(</w:t>
      </w:r>
      <w:r w:rsidRPr="00CF779D">
        <w:rPr>
          <w:u w:val="single"/>
        </w:rPr>
        <w:t>https://yandex.ru/maps</w:t>
      </w:r>
      <w:r w:rsidRPr="00CF779D">
        <w:t xml:space="preserve">, https://www.google.ru/maps, </w:t>
      </w:r>
      <w:r w:rsidRPr="00CF779D">
        <w:rPr>
          <w:u w:val="single"/>
        </w:rPr>
        <w:t>https://sakhagis.ru/</w:t>
      </w:r>
      <w:r w:rsidRPr="00CF779D">
        <w:t xml:space="preserve">, </w:t>
      </w:r>
      <w:r w:rsidRPr="00CF779D">
        <w:rPr>
          <w:u w:val="single"/>
        </w:rPr>
        <w:t>https://2gis.ru</w:t>
      </w:r>
      <w:r w:rsidRPr="00CF779D">
        <w:t xml:space="preserve">, </w:t>
      </w:r>
      <w:r w:rsidRPr="00CF779D">
        <w:rPr>
          <w:u w:val="single"/>
        </w:rPr>
        <w:t>https://www.openstreetmap.org</w:t>
      </w:r>
      <w:r w:rsidRPr="00CF779D">
        <w:t xml:space="preserve"> </w:t>
      </w:r>
      <w:r w:rsidRPr="001F7F9D">
        <w:t>и др.).</w:t>
      </w:r>
    </w:p>
    <w:p w14:paraId="5E30922E" w14:textId="3E512BD5" w:rsidR="00DD6EF5" w:rsidRDefault="00DD6EF5" w:rsidP="00D24868">
      <w:pPr>
        <w:numPr>
          <w:ilvl w:val="0"/>
          <w:numId w:val="70"/>
        </w:numPr>
        <w:suppressAutoHyphens/>
        <w:adjustRightInd w:val="0"/>
        <w:ind w:left="1276" w:hanging="357"/>
        <w:textAlignment w:val="baseline"/>
        <w:rPr>
          <w:rFonts w:eastAsia="Times New Roman" w:cs="Times New Roman"/>
          <w:spacing w:val="-5"/>
          <w:szCs w:val="24"/>
        </w:rPr>
      </w:pPr>
      <w:r w:rsidRPr="00DD6EF5">
        <w:rPr>
          <w:rFonts w:eastAsia="Times New Roman" w:cs="Times New Roman"/>
          <w:spacing w:val="-5"/>
          <w:szCs w:val="24"/>
        </w:rPr>
        <w:t>Для описания исходной рыночной информации в разрезе ценообразующих факторов, в случае отсутствия сведений о значениях ценообразующих факторов, для объектов-аналогов производилось наследование характеристик Объектов оценки.</w:t>
      </w:r>
    </w:p>
    <w:p w14:paraId="4B0B5947" w14:textId="77777777" w:rsidR="001F7F9D" w:rsidRPr="00DD6EF5" w:rsidRDefault="001F7F9D" w:rsidP="00575439">
      <w:pPr>
        <w:suppressAutoHyphens/>
        <w:adjustRightInd w:val="0"/>
        <w:ind w:left="1276" w:hanging="357"/>
        <w:textAlignment w:val="baseline"/>
        <w:rPr>
          <w:rFonts w:eastAsia="Times New Roman" w:cs="Times New Roman"/>
          <w:spacing w:val="-5"/>
          <w:szCs w:val="24"/>
        </w:rPr>
      </w:pPr>
    </w:p>
    <w:p w14:paraId="0864E686" w14:textId="2B92C6FE" w:rsidR="00DD6EF5" w:rsidRPr="00DF26AE" w:rsidRDefault="00DD6EF5" w:rsidP="00FD2769">
      <w:pPr>
        <w:pStyle w:val="3"/>
      </w:pPr>
      <w:bookmarkStart w:id="28" w:name="_Toc505790084"/>
      <w:bookmarkStart w:id="29" w:name="_Toc527729558"/>
      <w:r w:rsidRPr="00DF26AE">
        <w:t>Допущения, касающиеся группировки Объектов оценки</w:t>
      </w:r>
      <w:bookmarkEnd w:id="28"/>
      <w:bookmarkEnd w:id="29"/>
    </w:p>
    <w:p w14:paraId="21EC672B" w14:textId="382B37FB" w:rsidR="00DD6EF5" w:rsidRPr="001F7F9D" w:rsidRDefault="00DD6EF5" w:rsidP="00D24868">
      <w:pPr>
        <w:pStyle w:val="1-"/>
        <w:numPr>
          <w:ilvl w:val="0"/>
          <w:numId w:val="83"/>
        </w:numPr>
        <w:spacing w:line="240" w:lineRule="auto"/>
        <w:ind w:left="1134" w:hanging="425"/>
      </w:pPr>
      <w:r w:rsidRPr="001F7F9D">
        <w:t xml:space="preserve">При группировке объектов </w:t>
      </w:r>
      <w:r w:rsidRPr="00611AF9">
        <w:t xml:space="preserve">недвижимости </w:t>
      </w:r>
      <w:r w:rsidR="00611AF9" w:rsidRPr="00611AF9">
        <w:t xml:space="preserve">сотрудники ГБУ РС(Я) «ЦГКО» </w:t>
      </w:r>
      <w:r w:rsidRPr="00611AF9">
        <w:t>руководствова</w:t>
      </w:r>
      <w:r w:rsidR="00611AF9" w:rsidRPr="00611AF9">
        <w:t>лись</w:t>
      </w:r>
      <w:r w:rsidRPr="00611AF9">
        <w:t xml:space="preserve"> комплексной информаци</w:t>
      </w:r>
      <w:r w:rsidRPr="001F7F9D">
        <w:t>ей и в каждом конкретном случае принимал</w:t>
      </w:r>
      <w:r w:rsidR="00611AF9">
        <w:t>и</w:t>
      </w:r>
      <w:r w:rsidRPr="001F7F9D">
        <w:t xml:space="preserve"> решение в зависимости от объёма и характера предоставленной информации. </w:t>
      </w:r>
    </w:p>
    <w:p w14:paraId="053E90DA" w14:textId="77777777" w:rsidR="00DD6EF5" w:rsidRPr="00DD6EF5" w:rsidRDefault="00DD6EF5" w:rsidP="00D24868">
      <w:pPr>
        <w:numPr>
          <w:ilvl w:val="0"/>
          <w:numId w:val="67"/>
        </w:numPr>
        <w:suppressAutoHyphens/>
        <w:adjustRightInd w:val="0"/>
        <w:ind w:left="1134" w:hanging="425"/>
        <w:textAlignment w:val="baseline"/>
        <w:rPr>
          <w:rFonts w:eastAsia="Times New Roman" w:cs="Times New Roman"/>
          <w:spacing w:val="-5"/>
          <w:szCs w:val="24"/>
        </w:rPr>
      </w:pPr>
      <w:r w:rsidRPr="00DD6EF5">
        <w:rPr>
          <w:rFonts w:eastAsia="Times New Roman" w:cs="Times New Roman"/>
          <w:spacing w:val="-5"/>
          <w:szCs w:val="24"/>
        </w:rPr>
        <w:t xml:space="preserve">Разделение помещений на жилые и нежилые производилось в соответствии с кодом назначения Объекта оценки. </w:t>
      </w:r>
    </w:p>
    <w:p w14:paraId="4C479F76" w14:textId="77777777" w:rsidR="00DD6EF5" w:rsidRPr="00DD6EF5" w:rsidRDefault="00DD6EF5" w:rsidP="00D24868">
      <w:pPr>
        <w:numPr>
          <w:ilvl w:val="0"/>
          <w:numId w:val="67"/>
        </w:numPr>
        <w:suppressAutoHyphens/>
        <w:adjustRightInd w:val="0"/>
        <w:ind w:left="1134" w:hanging="425"/>
        <w:textAlignment w:val="baseline"/>
        <w:rPr>
          <w:rFonts w:eastAsia="Times New Roman" w:cs="Times New Roman"/>
          <w:spacing w:val="-5"/>
          <w:szCs w:val="24"/>
        </w:rPr>
      </w:pPr>
      <w:r w:rsidRPr="00DD6EF5">
        <w:rPr>
          <w:rFonts w:eastAsia="Times New Roman" w:cs="Times New Roman"/>
          <w:spacing w:val="-5"/>
          <w:szCs w:val="24"/>
        </w:rPr>
        <w:t>В связи с отсутствием в Перечне Объектов оценки информации о функциональном использовании нежилых помещений, при группировке помещений использовались сведения о функциональном использовании «родительского» объекта (здания, сооружения), а также материалы, предоставленные согласно Государственного контракта на оказание услуг по уточнению характеристик объектов недвижимости, подлежащих государственной кадастровой оценке №ОК-01-2019 от 06.05. 2019</w:t>
      </w:r>
    </w:p>
    <w:p w14:paraId="72BD4868" w14:textId="77777777" w:rsidR="00DD6EF5" w:rsidRPr="00DD6EF5" w:rsidRDefault="00DD6EF5" w:rsidP="00D24868">
      <w:pPr>
        <w:numPr>
          <w:ilvl w:val="0"/>
          <w:numId w:val="67"/>
        </w:numPr>
        <w:suppressAutoHyphens/>
        <w:adjustRightInd w:val="0"/>
        <w:ind w:left="1134" w:hanging="425"/>
        <w:textAlignment w:val="baseline"/>
        <w:rPr>
          <w:rFonts w:eastAsia="Times New Roman" w:cs="Times New Roman"/>
          <w:spacing w:val="-5"/>
          <w:szCs w:val="24"/>
          <w:lang w:eastAsia="ru-RU"/>
        </w:rPr>
      </w:pPr>
      <w:r w:rsidRPr="00DD6EF5">
        <w:rPr>
          <w:rFonts w:eastAsia="Times New Roman" w:cs="Times New Roman"/>
          <w:spacing w:val="-5"/>
          <w:szCs w:val="24"/>
        </w:rPr>
        <w:t>Дополнительная информация, материалы деклараций по Объектам недвижимости, материалы, предоставленные в Комиссию по оспариванию кадастровой стоимости и суд, материалы замечаний к промежуточным отчетным документам.</w:t>
      </w:r>
    </w:p>
    <w:p w14:paraId="2F0CE2CA" w14:textId="77777777" w:rsidR="001F7F9D" w:rsidRDefault="00DD6EF5" w:rsidP="00D24868">
      <w:pPr>
        <w:numPr>
          <w:ilvl w:val="0"/>
          <w:numId w:val="67"/>
        </w:numPr>
        <w:suppressAutoHyphens/>
        <w:adjustRightInd w:val="0"/>
        <w:ind w:left="1134" w:hanging="425"/>
        <w:textAlignment w:val="baseline"/>
        <w:rPr>
          <w:rFonts w:eastAsia="Times New Roman" w:cs="Times New Roman"/>
          <w:spacing w:val="-5"/>
          <w:szCs w:val="24"/>
          <w:lang w:eastAsia="ru-RU"/>
        </w:rPr>
      </w:pPr>
      <w:r w:rsidRPr="001F7F9D">
        <w:rPr>
          <w:rFonts w:eastAsia="Times New Roman" w:cs="Times New Roman"/>
          <w:spacing w:val="-5"/>
          <w:szCs w:val="24"/>
        </w:rPr>
        <w:t>В случае отсутствия в данных, замечаниях к промежуточным отчетным документам, информации о функциональном использовании нежилых помещений в МКД, оно назначалось по следующим правилам:</w:t>
      </w:r>
      <w:r w:rsidR="001F7F9D" w:rsidRPr="001F7F9D">
        <w:rPr>
          <w:rFonts w:eastAsia="Times New Roman" w:cs="Times New Roman"/>
          <w:spacing w:val="-5"/>
          <w:szCs w:val="24"/>
        </w:rPr>
        <w:t xml:space="preserve"> </w:t>
      </w:r>
    </w:p>
    <w:p w14:paraId="3E4A6BF3" w14:textId="6ED28306" w:rsidR="00DD6EF5" w:rsidRPr="001F7F9D" w:rsidRDefault="001F7F9D" w:rsidP="00002C7A">
      <w:pPr>
        <w:suppressAutoHyphens/>
        <w:adjustRightInd w:val="0"/>
        <w:ind w:left="1134" w:hanging="425"/>
        <w:textAlignment w:val="baseline"/>
        <w:rPr>
          <w:rFonts w:eastAsia="Times New Roman" w:cs="Times New Roman"/>
          <w:spacing w:val="-5"/>
          <w:szCs w:val="24"/>
          <w:lang w:eastAsia="ru-RU"/>
        </w:rPr>
      </w:pPr>
      <w:r>
        <w:rPr>
          <w:rFonts w:eastAsia="Times New Roman" w:cs="Times New Roman"/>
          <w:spacing w:val="-5"/>
          <w:szCs w:val="24"/>
        </w:rPr>
        <w:t>-</w:t>
      </w:r>
      <w:r>
        <w:rPr>
          <w:rFonts w:eastAsia="Times New Roman" w:cs="Times New Roman"/>
          <w:spacing w:val="-5"/>
          <w:szCs w:val="24"/>
        </w:rPr>
        <w:tab/>
        <w:t xml:space="preserve"> </w:t>
      </w:r>
      <w:r w:rsidR="00DD6EF5" w:rsidRPr="001F7F9D">
        <w:rPr>
          <w:rFonts w:eastAsia="Times New Roman" w:cs="Times New Roman"/>
          <w:spacing w:val="-5"/>
          <w:szCs w:val="24"/>
          <w:lang w:eastAsia="ru-RU"/>
        </w:rPr>
        <w:t>помещения, располагающиеся на первом этаже, относятся к «Помещениям свободного назначения в МКД». К данному виду относятся помещения, используемые под объекты торговли, общественного питания, сферу обслуживания (в т. ч. банки, парикмахерские, студии, салоны, клубы);</w:t>
      </w:r>
    </w:p>
    <w:p w14:paraId="481C14F4" w14:textId="6ACBE543" w:rsidR="00DD6EF5" w:rsidRPr="00DD6EF5" w:rsidRDefault="00575439" w:rsidP="00002C7A">
      <w:pPr>
        <w:suppressAutoHyphens/>
        <w:adjustRightInd w:val="0"/>
        <w:ind w:left="1134" w:hanging="425"/>
        <w:textAlignment w:val="baseline"/>
        <w:rPr>
          <w:rFonts w:eastAsia="Times New Roman" w:cs="Times New Roman"/>
          <w:spacing w:val="-5"/>
          <w:szCs w:val="24"/>
          <w:lang w:eastAsia="ru-RU"/>
        </w:rPr>
      </w:pPr>
      <w:r>
        <w:rPr>
          <w:rFonts w:eastAsia="Times New Roman" w:cs="Times New Roman"/>
          <w:spacing w:val="-5"/>
          <w:szCs w:val="24"/>
          <w:lang w:eastAsia="ru-RU"/>
        </w:rPr>
        <w:t>-</w:t>
      </w:r>
      <w:r>
        <w:rPr>
          <w:rFonts w:eastAsia="Times New Roman" w:cs="Times New Roman"/>
          <w:spacing w:val="-5"/>
          <w:szCs w:val="24"/>
          <w:lang w:eastAsia="ru-RU"/>
        </w:rPr>
        <w:tab/>
      </w:r>
      <w:r w:rsidR="00DD6EF5" w:rsidRPr="00DD6EF5">
        <w:rPr>
          <w:rFonts w:eastAsia="Times New Roman" w:cs="Times New Roman"/>
          <w:spacing w:val="-5"/>
          <w:szCs w:val="24"/>
          <w:lang w:eastAsia="ru-RU"/>
        </w:rPr>
        <w:t>помещения, располагающиеся выше 1-го этажа, относятся к «Помещениям офисного назначения в МКД». К данному виду относятся помещения, используемые под офисы, медицинские, культурные, образовательные и спортивные учреждения, все государственные учреждения, объекты временного проживания, объекты дошкольного образования, агентства недвижимости, ателье, студии танцев, турагентства;</w:t>
      </w:r>
    </w:p>
    <w:p w14:paraId="785CC002" w14:textId="3D7811C8" w:rsidR="00DD6EF5" w:rsidRPr="00DD6EF5" w:rsidRDefault="00575439" w:rsidP="00002C7A">
      <w:pPr>
        <w:suppressAutoHyphens/>
        <w:adjustRightInd w:val="0"/>
        <w:ind w:left="1134" w:hanging="425"/>
        <w:textAlignment w:val="baseline"/>
        <w:rPr>
          <w:rFonts w:eastAsia="Times New Roman" w:cs="Times New Roman"/>
          <w:spacing w:val="-5"/>
          <w:szCs w:val="24"/>
          <w:lang w:eastAsia="ru-RU"/>
        </w:rPr>
      </w:pPr>
      <w:r>
        <w:rPr>
          <w:rFonts w:eastAsia="Times New Roman" w:cs="Times New Roman"/>
          <w:spacing w:val="-5"/>
          <w:szCs w:val="24"/>
          <w:lang w:eastAsia="ru-RU"/>
        </w:rPr>
        <w:t>-</w:t>
      </w:r>
      <w:r>
        <w:rPr>
          <w:rFonts w:eastAsia="Times New Roman" w:cs="Times New Roman"/>
          <w:spacing w:val="-5"/>
          <w:szCs w:val="24"/>
          <w:lang w:eastAsia="ru-RU"/>
        </w:rPr>
        <w:tab/>
      </w:r>
      <w:r w:rsidR="00DD6EF5" w:rsidRPr="00DD6EF5">
        <w:rPr>
          <w:rFonts w:eastAsia="Times New Roman" w:cs="Times New Roman"/>
          <w:spacing w:val="-5"/>
          <w:szCs w:val="24"/>
          <w:lang w:eastAsia="ru-RU"/>
        </w:rPr>
        <w:t>помещения, располагающиеся в подвалах, относятся к «Помещениям производственно-складского назначения в МКД». К данному виду относятся помещения, используемые под производственные, складские, коммунально-бытовые цели;</w:t>
      </w:r>
    </w:p>
    <w:p w14:paraId="193F1819" w14:textId="616321F0" w:rsidR="00DD6EF5" w:rsidRPr="00DD6EF5" w:rsidRDefault="00575439" w:rsidP="00002C7A">
      <w:pPr>
        <w:suppressAutoHyphens/>
        <w:adjustRightInd w:val="0"/>
        <w:ind w:left="1134" w:hanging="425"/>
        <w:textAlignment w:val="baseline"/>
        <w:rPr>
          <w:rFonts w:eastAsia="Times New Roman" w:cs="Times New Roman"/>
          <w:spacing w:val="-5"/>
          <w:szCs w:val="24"/>
          <w:lang w:eastAsia="ru-RU"/>
        </w:rPr>
      </w:pPr>
      <w:r>
        <w:rPr>
          <w:rFonts w:eastAsia="Times New Roman" w:cs="Times New Roman"/>
          <w:spacing w:val="-5"/>
          <w:szCs w:val="24"/>
          <w:lang w:eastAsia="ru-RU"/>
        </w:rPr>
        <w:t>-</w:t>
      </w:r>
      <w:r>
        <w:rPr>
          <w:rFonts w:eastAsia="Times New Roman" w:cs="Times New Roman"/>
          <w:spacing w:val="-5"/>
          <w:szCs w:val="24"/>
          <w:lang w:eastAsia="ru-RU"/>
        </w:rPr>
        <w:tab/>
      </w:r>
      <w:r w:rsidR="00DD6EF5" w:rsidRPr="00DD6EF5">
        <w:rPr>
          <w:rFonts w:eastAsia="Times New Roman" w:cs="Times New Roman"/>
          <w:spacing w:val="-5"/>
          <w:szCs w:val="24"/>
          <w:lang w:eastAsia="ru-RU"/>
        </w:rPr>
        <w:t>если информация об этаже расположения помещения отсутствовала, функциональное использование назначалось следующим образом:</w:t>
      </w:r>
    </w:p>
    <w:p w14:paraId="248C24DD" w14:textId="6C07435E" w:rsidR="00DD6EF5" w:rsidRPr="00DD6EF5" w:rsidRDefault="00575439" w:rsidP="00002C7A">
      <w:pPr>
        <w:numPr>
          <w:ilvl w:val="2"/>
          <w:numId w:val="0"/>
        </w:numPr>
        <w:suppressAutoHyphens/>
        <w:adjustRightInd w:val="0"/>
        <w:ind w:left="1134" w:hanging="425"/>
        <w:textAlignment w:val="baseline"/>
        <w:rPr>
          <w:rFonts w:eastAsia="Times New Roman" w:cs="Times New Roman"/>
          <w:spacing w:val="-5"/>
          <w:szCs w:val="24"/>
          <w:lang w:eastAsia="ru-RU"/>
        </w:rPr>
      </w:pPr>
      <w:r>
        <w:rPr>
          <w:rFonts w:eastAsia="Times New Roman" w:cs="Times New Roman"/>
          <w:spacing w:val="-5"/>
          <w:szCs w:val="24"/>
          <w:lang w:eastAsia="ru-RU"/>
        </w:rPr>
        <w:t>-</w:t>
      </w:r>
      <w:r>
        <w:rPr>
          <w:rFonts w:eastAsia="Times New Roman" w:cs="Times New Roman"/>
          <w:spacing w:val="-5"/>
          <w:szCs w:val="24"/>
          <w:lang w:eastAsia="ru-RU"/>
        </w:rPr>
        <w:tab/>
      </w:r>
      <w:r w:rsidR="00DD6EF5" w:rsidRPr="00DD6EF5">
        <w:rPr>
          <w:rFonts w:eastAsia="Times New Roman" w:cs="Times New Roman"/>
          <w:spacing w:val="-5"/>
          <w:szCs w:val="24"/>
          <w:lang w:eastAsia="ru-RU"/>
        </w:rPr>
        <w:t>если здание, в котором располагается помещение, имеет этажность «1», то данное помещение относится к виду использования «Помещения свободного назначения в МКД»;</w:t>
      </w:r>
    </w:p>
    <w:p w14:paraId="2F6F0B73" w14:textId="04734F52" w:rsidR="00DD6EF5" w:rsidRPr="00DD6EF5" w:rsidRDefault="00575439" w:rsidP="00002C7A">
      <w:pPr>
        <w:numPr>
          <w:ilvl w:val="2"/>
          <w:numId w:val="0"/>
        </w:numPr>
        <w:suppressAutoHyphens/>
        <w:adjustRightInd w:val="0"/>
        <w:ind w:left="1134" w:hanging="425"/>
        <w:textAlignment w:val="baseline"/>
        <w:rPr>
          <w:rFonts w:eastAsia="Times New Roman" w:cs="Times New Roman"/>
          <w:spacing w:val="-5"/>
          <w:szCs w:val="24"/>
          <w:lang w:eastAsia="ru-RU"/>
        </w:rPr>
      </w:pPr>
      <w:r>
        <w:rPr>
          <w:rFonts w:eastAsia="Times New Roman" w:cs="Times New Roman"/>
          <w:spacing w:val="-5"/>
          <w:szCs w:val="24"/>
          <w:lang w:eastAsia="ru-RU"/>
        </w:rPr>
        <w:t>-</w:t>
      </w:r>
      <w:r>
        <w:rPr>
          <w:rFonts w:eastAsia="Times New Roman" w:cs="Times New Roman"/>
          <w:spacing w:val="-5"/>
          <w:szCs w:val="24"/>
          <w:lang w:eastAsia="ru-RU"/>
        </w:rPr>
        <w:tab/>
      </w:r>
      <w:r w:rsidR="00DD6EF5" w:rsidRPr="00DD6EF5">
        <w:rPr>
          <w:rFonts w:eastAsia="Times New Roman" w:cs="Times New Roman"/>
          <w:spacing w:val="-5"/>
          <w:szCs w:val="24"/>
          <w:lang w:eastAsia="ru-RU"/>
        </w:rPr>
        <w:t>если здание, в котором располагается помещение, имеет этажность «больше 1», то данное помещение относится к виду использования «Помещения офисного назначения в МКД». При этом, для определения кадастровой стоимости корректировка на занимаемый этаж для данных Объектов оценки не проводится.</w:t>
      </w:r>
    </w:p>
    <w:p w14:paraId="52171A76" w14:textId="680B1724" w:rsidR="00DD6EF5" w:rsidRPr="00DD6EF5" w:rsidRDefault="00575439" w:rsidP="00002C7A">
      <w:pPr>
        <w:suppressAutoHyphens/>
        <w:adjustRightInd w:val="0"/>
        <w:ind w:left="1134" w:hanging="425"/>
        <w:textAlignment w:val="baseline"/>
        <w:rPr>
          <w:rFonts w:eastAsia="Times New Roman" w:cs="Times New Roman"/>
          <w:spacing w:val="-5"/>
          <w:szCs w:val="24"/>
          <w:lang w:eastAsia="ru-RU"/>
        </w:rPr>
      </w:pPr>
      <w:r>
        <w:rPr>
          <w:rFonts w:eastAsia="Times New Roman" w:cs="Times New Roman"/>
          <w:spacing w:val="-5"/>
          <w:szCs w:val="24"/>
          <w:lang w:eastAsia="ru-RU"/>
        </w:rPr>
        <w:t>-</w:t>
      </w:r>
      <w:r>
        <w:rPr>
          <w:rFonts w:eastAsia="Times New Roman" w:cs="Times New Roman"/>
          <w:spacing w:val="-5"/>
          <w:szCs w:val="24"/>
          <w:lang w:eastAsia="ru-RU"/>
        </w:rPr>
        <w:tab/>
      </w:r>
      <w:r w:rsidR="00DD6EF5" w:rsidRPr="00DD6EF5">
        <w:rPr>
          <w:rFonts w:eastAsia="Times New Roman" w:cs="Times New Roman"/>
          <w:spacing w:val="-5"/>
          <w:szCs w:val="24"/>
          <w:lang w:eastAsia="ru-RU"/>
        </w:rPr>
        <w:t>помещения, располагающиеся на технических этажах, мансарде, мезонине, мезонине-надстройке, чердаке, относятся к виду использования «Нежилые помещения технического назначения (в т. ч. ЛК) в МКД». К данному виду относятся помещения, используемые под вспомогательные, обслуживающие, технические цели и коммуникации (в т. ч. лестничные клетки);</w:t>
      </w:r>
    </w:p>
    <w:p w14:paraId="5B5EF8FB" w14:textId="0B4657FA" w:rsidR="00DD6EF5" w:rsidRPr="00DD6EF5" w:rsidRDefault="00575439" w:rsidP="00002C7A">
      <w:pPr>
        <w:suppressAutoHyphens/>
        <w:adjustRightInd w:val="0"/>
        <w:ind w:left="1134" w:hanging="425"/>
        <w:textAlignment w:val="baseline"/>
        <w:rPr>
          <w:rFonts w:eastAsia="Times New Roman" w:cs="Times New Roman"/>
          <w:spacing w:val="-5"/>
          <w:szCs w:val="24"/>
          <w:lang w:eastAsia="ru-RU"/>
        </w:rPr>
      </w:pPr>
      <w:r>
        <w:rPr>
          <w:rFonts w:eastAsia="Times New Roman" w:cs="Times New Roman"/>
          <w:spacing w:val="-5"/>
          <w:szCs w:val="24"/>
          <w:lang w:eastAsia="ru-RU"/>
        </w:rPr>
        <w:t>-</w:t>
      </w:r>
      <w:r>
        <w:rPr>
          <w:rFonts w:eastAsia="Times New Roman" w:cs="Times New Roman"/>
          <w:spacing w:val="-5"/>
          <w:szCs w:val="24"/>
          <w:lang w:eastAsia="ru-RU"/>
        </w:rPr>
        <w:tab/>
      </w:r>
      <w:r w:rsidR="00DD6EF5" w:rsidRPr="00DD6EF5">
        <w:rPr>
          <w:rFonts w:eastAsia="Times New Roman" w:cs="Times New Roman"/>
          <w:spacing w:val="-5"/>
          <w:szCs w:val="24"/>
          <w:lang w:eastAsia="ru-RU"/>
        </w:rPr>
        <w:t>нежилые помещения, имеющие площадь менее 10 кв. м и расположенные в многоквартирных домах, относятся к виду использования «Нежилые помещения технического назначения (в т. ч. ЛК) в МКД».</w:t>
      </w:r>
    </w:p>
    <w:p w14:paraId="6582A666" w14:textId="77777777" w:rsidR="00DD6EF5" w:rsidRPr="00DD6EF5" w:rsidRDefault="00DD6EF5" w:rsidP="00D24868">
      <w:pPr>
        <w:numPr>
          <w:ilvl w:val="0"/>
          <w:numId w:val="67"/>
        </w:numPr>
        <w:suppressAutoHyphens/>
        <w:adjustRightInd w:val="0"/>
        <w:ind w:left="1134" w:hanging="425"/>
        <w:textAlignment w:val="baseline"/>
        <w:rPr>
          <w:rFonts w:eastAsia="Times New Roman" w:cs="Times New Roman"/>
          <w:spacing w:val="-5"/>
          <w:szCs w:val="24"/>
        </w:rPr>
      </w:pPr>
      <w:r w:rsidRPr="00DD6EF5">
        <w:rPr>
          <w:rFonts w:eastAsia="Times New Roman" w:cs="Times New Roman"/>
          <w:spacing w:val="-5"/>
          <w:szCs w:val="24"/>
        </w:rPr>
        <w:t>При наличии информации об использовании нежилых помещений для хранения личного автотранспорта, расположенных в многоквартирных домах, такие помещения относятся в группы: «Помещения в многоквартирных домах, используемые под паркинги», «Машино-места в многоквартирных домах».</w:t>
      </w:r>
    </w:p>
    <w:p w14:paraId="60368280" w14:textId="77777777" w:rsidR="00DD6EF5" w:rsidRPr="00DD6EF5" w:rsidRDefault="00DD6EF5" w:rsidP="00D24868">
      <w:pPr>
        <w:numPr>
          <w:ilvl w:val="0"/>
          <w:numId w:val="67"/>
        </w:numPr>
        <w:suppressAutoHyphens/>
        <w:adjustRightInd w:val="0"/>
        <w:ind w:left="1134" w:hanging="425"/>
        <w:textAlignment w:val="baseline"/>
        <w:rPr>
          <w:rFonts w:eastAsia="Times New Roman" w:cs="Times New Roman"/>
          <w:spacing w:val="-5"/>
          <w:szCs w:val="24"/>
          <w:lang w:eastAsia="ru-RU"/>
        </w:rPr>
      </w:pPr>
      <w:r w:rsidRPr="00DD6EF5">
        <w:rPr>
          <w:rFonts w:eastAsia="Times New Roman" w:cs="Times New Roman"/>
          <w:spacing w:val="-5"/>
          <w:szCs w:val="24"/>
          <w:lang w:eastAsia="ru-RU"/>
        </w:rPr>
        <w:t>При группировке объектов ОНС, в случае наличия противоречивых характеристик у Объекта оценки, решение об отнесении Объекта к той или иной группе/подгруппе принималось по совокупности характеристик: проектное назначение объекта, тип и значение основного параметра, адрес.</w:t>
      </w:r>
    </w:p>
    <w:p w14:paraId="26395479" w14:textId="77777777" w:rsidR="00DD6EF5" w:rsidRPr="00DD6EF5" w:rsidRDefault="00DD6EF5" w:rsidP="00D24868">
      <w:pPr>
        <w:numPr>
          <w:ilvl w:val="0"/>
          <w:numId w:val="67"/>
        </w:numPr>
        <w:suppressAutoHyphens/>
        <w:adjustRightInd w:val="0"/>
        <w:ind w:left="1134" w:hanging="425"/>
        <w:textAlignment w:val="baseline"/>
        <w:rPr>
          <w:rFonts w:eastAsia="Times New Roman" w:cs="Times New Roman"/>
          <w:spacing w:val="-5"/>
          <w:szCs w:val="24"/>
          <w:lang w:eastAsia="ru-RU"/>
        </w:rPr>
      </w:pPr>
      <w:r w:rsidRPr="00DD6EF5">
        <w:rPr>
          <w:rFonts w:eastAsia="Times New Roman" w:cs="Times New Roman"/>
          <w:spacing w:val="-5"/>
          <w:szCs w:val="24"/>
          <w:lang w:eastAsia="ru-RU"/>
        </w:rPr>
        <w:t>При группировке объектов ОНС, в случае отсутствия детальной информации, позволяющей однозначно определить группу/подгруппу, к которой относится Объект оценки, использовалась укрупненная классификация, например, для объектов, имеющих проектное назначение «многоквартирный дом», при невозможности определения класса дома (эконом или комфорт) использовался код группы 0100 «Многоквартирные дома».</w:t>
      </w:r>
    </w:p>
    <w:p w14:paraId="006A75FC" w14:textId="77777777" w:rsidR="00DD6EF5" w:rsidRPr="00DD6EF5" w:rsidRDefault="00DD6EF5" w:rsidP="00D24868">
      <w:pPr>
        <w:numPr>
          <w:ilvl w:val="0"/>
          <w:numId w:val="67"/>
        </w:numPr>
        <w:suppressAutoHyphens/>
        <w:adjustRightInd w:val="0"/>
        <w:ind w:left="1134" w:hanging="425"/>
        <w:textAlignment w:val="baseline"/>
        <w:rPr>
          <w:rFonts w:eastAsia="Times New Roman" w:cs="Times New Roman"/>
          <w:spacing w:val="-5"/>
          <w:szCs w:val="24"/>
        </w:rPr>
      </w:pPr>
      <w:r w:rsidRPr="00DD6EF5">
        <w:rPr>
          <w:rFonts w:eastAsia="Times New Roman" w:cs="Times New Roman"/>
          <w:spacing w:val="-5"/>
          <w:szCs w:val="24"/>
          <w:lang w:eastAsia="ru-RU"/>
        </w:rPr>
        <w:t xml:space="preserve">В тех случаях, когда под одним кадастровым номером зарегистрирован объект, в состав которого вошло несколько сооружений, относящихся к различным подгруппам, группировка проводилась с учетом функционального назначения сооружения, имеющего наибольший стоимостной вклад по данным инвентаризации, предоставленным </w:t>
      </w:r>
      <w:bookmarkStart w:id="30" w:name="_Ref418087921"/>
      <w:bookmarkStart w:id="31" w:name="_Toc505790085"/>
      <w:bookmarkStart w:id="32" w:name="_Ref523749497"/>
      <w:bookmarkStart w:id="33" w:name="_Toc527729559"/>
      <w:r w:rsidRPr="00DD6EF5">
        <w:rPr>
          <w:rFonts w:eastAsia="Times New Roman" w:cs="Times New Roman"/>
          <w:spacing w:val="-5"/>
          <w:szCs w:val="24"/>
        </w:rPr>
        <w:t>согласно Государственного контракта на оказание услуг по уточнению характеристик объектов недвижимости, подлежащих государственной кадастровой оценке №ОК-01-2019 от 06.05. 2019.</w:t>
      </w:r>
    </w:p>
    <w:p w14:paraId="0F3CF7BA" w14:textId="77777777" w:rsidR="00DD6EF5" w:rsidRPr="00DD6EF5" w:rsidRDefault="00DD6EF5" w:rsidP="00D24868">
      <w:pPr>
        <w:numPr>
          <w:ilvl w:val="0"/>
          <w:numId w:val="67"/>
        </w:numPr>
        <w:suppressAutoHyphens/>
        <w:adjustRightInd w:val="0"/>
        <w:ind w:left="1134" w:hanging="425"/>
        <w:textAlignment w:val="baseline"/>
        <w:rPr>
          <w:rFonts w:eastAsia="Times New Roman" w:cs="Times New Roman"/>
          <w:spacing w:val="-5"/>
          <w:szCs w:val="24"/>
        </w:rPr>
      </w:pPr>
      <w:r w:rsidRPr="00DD6EF5">
        <w:rPr>
          <w:rFonts w:eastAsia="Times New Roman" w:cs="Times New Roman"/>
          <w:spacing w:val="-5"/>
          <w:szCs w:val="24"/>
        </w:rPr>
        <w:t xml:space="preserve">Допущения, касающиеся определения характеристик и методов (способов) определения кадастровой стоимости </w:t>
      </w:r>
      <w:bookmarkEnd w:id="30"/>
      <w:bookmarkEnd w:id="31"/>
      <w:r w:rsidRPr="00DD6EF5">
        <w:rPr>
          <w:rFonts w:eastAsia="Times New Roman" w:cs="Times New Roman"/>
          <w:spacing w:val="-5"/>
          <w:szCs w:val="24"/>
        </w:rPr>
        <w:t>жилых помещений</w:t>
      </w:r>
      <w:bookmarkEnd w:id="32"/>
      <w:bookmarkEnd w:id="33"/>
    </w:p>
    <w:p w14:paraId="30F8505F" w14:textId="77777777" w:rsidR="00DD6EF5" w:rsidRPr="00DD6EF5" w:rsidRDefault="00DD6EF5" w:rsidP="00D24868">
      <w:pPr>
        <w:numPr>
          <w:ilvl w:val="0"/>
          <w:numId w:val="67"/>
        </w:numPr>
        <w:suppressAutoHyphens/>
        <w:adjustRightInd w:val="0"/>
        <w:ind w:left="1134" w:hanging="425"/>
        <w:textAlignment w:val="baseline"/>
        <w:rPr>
          <w:rFonts w:eastAsia="Times New Roman" w:cs="Times New Roman"/>
          <w:spacing w:val="-5"/>
          <w:szCs w:val="24"/>
        </w:rPr>
      </w:pPr>
      <w:r w:rsidRPr="00DD6EF5">
        <w:rPr>
          <w:rFonts w:eastAsia="Times New Roman" w:cs="Times New Roman"/>
          <w:spacing w:val="-5"/>
          <w:szCs w:val="24"/>
        </w:rPr>
        <w:t>Кадастровая стоимость квартир, располагающихся в многоквартирных жилых домах, определялась в рамках сравнительного подхода методом регрессионного анализа – моделированием рыночной стоимости квартир. При этом моделировалась полная рыночная стоимость, учитывающая местоположение Объектов оценки.</w:t>
      </w:r>
    </w:p>
    <w:p w14:paraId="41301B86" w14:textId="77777777" w:rsidR="00DD6EF5" w:rsidRPr="00DD6EF5" w:rsidRDefault="00DD6EF5" w:rsidP="00D24868">
      <w:pPr>
        <w:numPr>
          <w:ilvl w:val="0"/>
          <w:numId w:val="67"/>
        </w:numPr>
        <w:suppressAutoHyphens/>
        <w:adjustRightInd w:val="0"/>
        <w:ind w:left="1134" w:hanging="425"/>
        <w:textAlignment w:val="baseline"/>
        <w:rPr>
          <w:rFonts w:eastAsia="Times New Roman" w:cs="Times New Roman"/>
          <w:spacing w:val="-5"/>
          <w:szCs w:val="24"/>
        </w:rPr>
      </w:pPr>
      <w:r w:rsidRPr="00DD6EF5">
        <w:rPr>
          <w:rFonts w:eastAsia="Times New Roman" w:cs="Times New Roman"/>
          <w:spacing w:val="-5"/>
          <w:szCs w:val="24"/>
        </w:rPr>
        <w:t>Квартиры, располагающиеся в зданиях нежилого назначения или сооружениях, а также жилые помещения, располагающиеся в «родительских» объектах, (индивидуальные жилые здания), оценивались путем умножения удельного показателя кадастровой стоимости здания, в котором помещение располагается, определенного в рамках затратного подхода (стоимость замещения здания с учетом его физического износа), на площадь помещения.</w:t>
      </w:r>
    </w:p>
    <w:p w14:paraId="6BEB0D76" w14:textId="77777777" w:rsidR="00F6527F" w:rsidRDefault="00DD6EF5" w:rsidP="00F6527F">
      <w:pPr>
        <w:numPr>
          <w:ilvl w:val="0"/>
          <w:numId w:val="67"/>
        </w:numPr>
        <w:suppressAutoHyphens/>
        <w:adjustRightInd w:val="0"/>
        <w:ind w:left="1134" w:hanging="425"/>
        <w:textAlignment w:val="baseline"/>
        <w:rPr>
          <w:rFonts w:eastAsia="Times New Roman" w:cs="Times New Roman"/>
          <w:spacing w:val="-5"/>
          <w:szCs w:val="24"/>
        </w:rPr>
      </w:pPr>
      <w:r w:rsidRPr="00DD6EF5">
        <w:rPr>
          <w:rFonts w:eastAsia="Times New Roman" w:cs="Times New Roman"/>
          <w:spacing w:val="-5"/>
          <w:szCs w:val="24"/>
        </w:rPr>
        <w:t xml:space="preserve">Оценка жилых помещений, располагающихся в общежитиях, домах престарелых, домах ветеранов, интернатах, музеях, школах, университетах, санаториях, пансионатах и т.п. производилась без учета фактора местоположения. Кадастровая стоимость помещения рассчитывалась путем умножения удельного показателя кадастровой стоимости здания, </w:t>
      </w:r>
      <w:r w:rsidRPr="00F6527F">
        <w:rPr>
          <w:rFonts w:eastAsia="Times New Roman" w:cs="Times New Roman"/>
          <w:spacing w:val="-5"/>
          <w:szCs w:val="24"/>
        </w:rPr>
        <w:t>в котором помещение располагается, определенного в рамках затратного подхода (стоимость замещения здания с учетом его физического износа), на площадь помещения.</w:t>
      </w:r>
    </w:p>
    <w:p w14:paraId="71AD961F" w14:textId="174C79D8" w:rsidR="00DD6EF5" w:rsidRPr="00F6527F" w:rsidRDefault="00DD6EF5" w:rsidP="00F6527F">
      <w:pPr>
        <w:numPr>
          <w:ilvl w:val="0"/>
          <w:numId w:val="67"/>
        </w:numPr>
        <w:suppressAutoHyphens/>
        <w:adjustRightInd w:val="0"/>
        <w:ind w:left="1134" w:hanging="425"/>
        <w:textAlignment w:val="baseline"/>
        <w:rPr>
          <w:rFonts w:eastAsia="Times New Roman" w:cs="Times New Roman"/>
          <w:spacing w:val="-5"/>
          <w:szCs w:val="24"/>
        </w:rPr>
      </w:pPr>
      <w:r w:rsidRPr="00F6527F">
        <w:rPr>
          <w:rFonts w:eastAsia="Times New Roman" w:cs="Times New Roman"/>
          <w:spacing w:val="-5"/>
          <w:szCs w:val="24"/>
        </w:rPr>
        <w:t>В Перечне 12 285 жилых помещений имеют площадь меньше 28 кв. м (минимально установленная площадь согласно СП 54.13330.2016)</w:t>
      </w:r>
      <w:r w:rsidRPr="00F6527F">
        <w:rPr>
          <w:rFonts w:eastAsia="Times New Roman" w:cs="Times New Roman"/>
          <w:spacing w:val="-5"/>
          <w:szCs w:val="24"/>
          <w:vertAlign w:val="superscript"/>
        </w:rPr>
        <w:footnoteReference w:id="1"/>
      </w:r>
      <w:r w:rsidRPr="00F6527F">
        <w:rPr>
          <w:rFonts w:eastAsia="Times New Roman" w:cs="Times New Roman"/>
          <w:spacing w:val="-5"/>
          <w:szCs w:val="24"/>
        </w:rPr>
        <w:t>, что составляет 6,2% от общего количества жилых помещений. Так же 8 жилых помещения имеют площадь более 1000 кв. м. Такие значения площади, скорее всего, являются ошибками учета, но по причине отсутствия у ГБУ РС(Я) «ЦГКО» прав на внесение изменений в ЕГРН</w:t>
      </w:r>
      <w:r w:rsidR="00D2662F" w:rsidRPr="00F6527F">
        <w:rPr>
          <w:rFonts w:eastAsia="Times New Roman" w:cs="Times New Roman"/>
          <w:spacing w:val="-5"/>
          <w:szCs w:val="24"/>
        </w:rPr>
        <w:t>.</w:t>
      </w:r>
    </w:p>
    <w:p w14:paraId="4D5CC947" w14:textId="227A71C6" w:rsidR="00DD6EF5" w:rsidRDefault="00DD6EF5" w:rsidP="00D24868">
      <w:pPr>
        <w:numPr>
          <w:ilvl w:val="0"/>
          <w:numId w:val="67"/>
        </w:numPr>
        <w:suppressAutoHyphens/>
        <w:adjustRightInd w:val="0"/>
        <w:ind w:left="1134" w:hanging="425"/>
        <w:textAlignment w:val="baseline"/>
        <w:rPr>
          <w:rFonts w:eastAsia="Times New Roman" w:cs="Times New Roman"/>
          <w:spacing w:val="-5"/>
          <w:szCs w:val="24"/>
        </w:rPr>
      </w:pPr>
      <w:r w:rsidRPr="00DD6EF5">
        <w:rPr>
          <w:rFonts w:eastAsia="Times New Roman" w:cs="Times New Roman"/>
          <w:spacing w:val="-5"/>
          <w:szCs w:val="24"/>
        </w:rPr>
        <w:t xml:space="preserve">При определении значений фактора «Этаж расположения нежилого помещения» градация «подвал» установлена для помещений, у которых поле «этаж расположения» имеет значение «подвал», «техподполье», «подземный этаж» или их комбинации. Помещения, располагающиеся в цокольном этаже, на первом этаже и выше, отнесены к градации «цоколь и выше». Для помещений, у </w:t>
      </w:r>
      <w:r w:rsidRPr="00D2662F">
        <w:rPr>
          <w:rFonts w:eastAsia="Times New Roman" w:cs="Times New Roman"/>
          <w:spacing w:val="-5"/>
          <w:szCs w:val="24"/>
        </w:rPr>
        <w:t xml:space="preserve">которых поле «этаж расположения» имеет значение «подвал, 1 этаж», принималась градация «цоколь и </w:t>
      </w:r>
      <w:r w:rsidR="00D2662F" w:rsidRPr="00D2662F">
        <w:rPr>
          <w:rFonts w:eastAsia="Times New Roman" w:cs="Times New Roman"/>
          <w:spacing w:val="-5"/>
          <w:szCs w:val="24"/>
        </w:rPr>
        <w:t>кр</w:t>
      </w:r>
      <w:r w:rsidRPr="00D2662F">
        <w:rPr>
          <w:rFonts w:eastAsia="Times New Roman" w:cs="Times New Roman"/>
          <w:spacing w:val="-5"/>
          <w:szCs w:val="24"/>
        </w:rPr>
        <w:t>ышей».</w:t>
      </w:r>
      <w:r w:rsidRPr="00DD6EF5">
        <w:rPr>
          <w:rFonts w:eastAsia="Times New Roman" w:cs="Times New Roman"/>
          <w:spacing w:val="-5"/>
          <w:szCs w:val="24"/>
        </w:rPr>
        <w:t xml:space="preserve"> </w:t>
      </w:r>
    </w:p>
    <w:p w14:paraId="778854D9" w14:textId="4F31610A" w:rsidR="007B454F" w:rsidRDefault="007B454F" w:rsidP="00CA3A2E">
      <w:pPr>
        <w:pStyle w:val="1-"/>
        <w:spacing w:line="240" w:lineRule="auto"/>
        <w:ind w:left="1134" w:hanging="436"/>
        <w:rPr>
          <w:lang w:eastAsia="ru-RU"/>
        </w:rPr>
      </w:pPr>
      <w:r w:rsidRPr="007B454F">
        <w:t xml:space="preserve">При отсутствии информации о годе постройки </w:t>
      </w:r>
      <w:r w:rsidR="00C929FD">
        <w:t xml:space="preserve">здания </w:t>
      </w:r>
      <w:r w:rsidRPr="007B454F">
        <w:t>и годе ввода</w:t>
      </w:r>
      <w:r w:rsidR="00C929FD">
        <w:t xml:space="preserve"> </w:t>
      </w:r>
      <w:r w:rsidRPr="007B454F">
        <w:t xml:space="preserve">в эксплуатацию, определение его физического износа производилось </w:t>
      </w:r>
      <w:r w:rsidR="00C929FD">
        <w:t>в размере 30%</w:t>
      </w:r>
      <w:r w:rsidRPr="007B454F">
        <w:rPr>
          <w:lang w:eastAsia="ru-RU"/>
        </w:rPr>
        <w:t>.</w:t>
      </w:r>
    </w:p>
    <w:p w14:paraId="346498A5" w14:textId="514D99BF" w:rsidR="004D5078" w:rsidRPr="00414703" w:rsidRDefault="004D5078" w:rsidP="00CA3A2E">
      <w:pPr>
        <w:pStyle w:val="1-"/>
        <w:spacing w:line="240" w:lineRule="auto"/>
        <w:ind w:left="1134" w:hanging="436"/>
        <w:rPr>
          <w:lang w:eastAsia="ru-RU"/>
        </w:rPr>
      </w:pPr>
      <w:r w:rsidRPr="00414703">
        <w:t xml:space="preserve">Предельная величина износа при эксплуатации объектов недвижимости определена в соответствии с «Методикой определения физического износа гражданских зданий» (Источник — </w:t>
      </w:r>
      <w:hyperlink r:id="rId14" w:history="1">
        <w:r w:rsidRPr="00414703">
          <w:t>http://docs.cntd.ru/document/1200005761).</w:t>
        </w:r>
      </w:hyperlink>
      <w:r w:rsidRPr="00414703">
        <w:t xml:space="preserve"> Согласно данной методики негодное для эксплуатации здания техническое состояние возникает при достижении физического износа значения 81%. Таким образом, при расчете кадастровой стоимости объектам, у которых установлен признак аварийного состояния, присваивается физический износ в размере 81%</w:t>
      </w:r>
    </w:p>
    <w:p w14:paraId="3E7E0C25" w14:textId="21979DFD" w:rsidR="001F7F9D" w:rsidRPr="00CA3A2E" w:rsidRDefault="001F7F9D" w:rsidP="00CA3A2E">
      <w:pPr>
        <w:suppressAutoHyphens/>
        <w:adjustRightInd w:val="0"/>
        <w:ind w:left="1134" w:firstLine="0"/>
        <w:textAlignment w:val="baseline"/>
        <w:rPr>
          <w:rFonts w:eastAsia="Times New Roman" w:cs="Times New Roman"/>
          <w:spacing w:val="-5"/>
          <w:szCs w:val="24"/>
        </w:rPr>
      </w:pPr>
    </w:p>
    <w:p w14:paraId="7BA28015" w14:textId="6CDE3042" w:rsidR="00DD6EF5" w:rsidRPr="00FD2769" w:rsidRDefault="00DD6EF5" w:rsidP="00FD2769">
      <w:pPr>
        <w:pStyle w:val="3"/>
      </w:pPr>
      <w:bookmarkStart w:id="34" w:name="_Ref523749464"/>
      <w:bookmarkStart w:id="35" w:name="_Toc527729561"/>
      <w:r w:rsidRPr="00FD2769">
        <w:t>Допущения, касающиеся определения характеристик и методов (способов) определения кадастровой стоимости зданий</w:t>
      </w:r>
      <w:bookmarkEnd w:id="34"/>
      <w:bookmarkEnd w:id="35"/>
    </w:p>
    <w:p w14:paraId="241896EC" w14:textId="36B0E2AB" w:rsidR="00DD6EF5" w:rsidRPr="00AA34D8" w:rsidRDefault="00DD6EF5" w:rsidP="00D24868">
      <w:pPr>
        <w:pStyle w:val="1-"/>
        <w:numPr>
          <w:ilvl w:val="0"/>
          <w:numId w:val="84"/>
        </w:numPr>
        <w:spacing w:line="240" w:lineRule="auto"/>
        <w:ind w:left="1134" w:hanging="425"/>
      </w:pPr>
      <w:r w:rsidRPr="001F7F9D">
        <w:t xml:space="preserve">При определении класса конструктивной системы учитывались информационные материалы, переданные в ГБУ РС(Я) «ЦГКО» согласно Государственного контракта на оказание услуг по уточнению характеристик объектов недвижимости, подлежащих </w:t>
      </w:r>
      <w:r w:rsidRPr="00AA34D8">
        <w:t>государственной кадастровой оценке №ОК-01-2019 от 06.05.2019г.</w:t>
      </w:r>
    </w:p>
    <w:p w14:paraId="7BF3D491" w14:textId="77777777" w:rsidR="00575439" w:rsidRPr="00AA34D8" w:rsidRDefault="00DD6EF5" w:rsidP="00D24868">
      <w:pPr>
        <w:numPr>
          <w:ilvl w:val="0"/>
          <w:numId w:val="67"/>
        </w:numPr>
        <w:suppressAutoHyphens/>
        <w:adjustRightInd w:val="0"/>
        <w:ind w:left="1134" w:hanging="425"/>
        <w:textAlignment w:val="baseline"/>
        <w:rPr>
          <w:rFonts w:eastAsia="Times New Roman" w:cs="Times New Roman"/>
          <w:spacing w:val="-5"/>
          <w:szCs w:val="24"/>
        </w:rPr>
      </w:pPr>
      <w:r w:rsidRPr="00AA34D8">
        <w:rPr>
          <w:rFonts w:eastAsia="Times New Roman" w:cs="Times New Roman"/>
          <w:spacing w:val="-5"/>
          <w:szCs w:val="24"/>
        </w:rPr>
        <w:t>По группе 0200 при отсутствии материала стен, сотрудниками ГБУ РС(Я) «ЦГКО» присваивался класс конструктивной системы КС-7, а в группе 0100 - КС-3.</w:t>
      </w:r>
    </w:p>
    <w:p w14:paraId="09CBB1E0" w14:textId="398D4744" w:rsidR="00DD6EF5" w:rsidRPr="00AA34D8" w:rsidRDefault="00DD6EF5" w:rsidP="00D24868">
      <w:pPr>
        <w:numPr>
          <w:ilvl w:val="0"/>
          <w:numId w:val="67"/>
        </w:numPr>
        <w:suppressAutoHyphens/>
        <w:adjustRightInd w:val="0"/>
        <w:ind w:left="1134" w:hanging="425"/>
        <w:textAlignment w:val="baseline"/>
        <w:rPr>
          <w:rFonts w:eastAsia="Times New Roman" w:cs="Times New Roman"/>
          <w:spacing w:val="-5"/>
          <w:szCs w:val="24"/>
        </w:rPr>
      </w:pPr>
      <w:r w:rsidRPr="00AA34D8">
        <w:rPr>
          <w:rFonts w:eastAsia="Times New Roman" w:cs="Times New Roman"/>
          <w:spacing w:val="-5"/>
          <w:szCs w:val="24"/>
        </w:rPr>
        <w:t>В случае отсутствия данных о материале стен и невозможности подбора максимально сопоставимого по характеристикам аналога в группах 0300-0900, конструктивная система таких объектов определена как КС-1, обоснованием чего служат что, кирпич (с железобетонными перекрытиями) один из наиболее распространенных материалов, используемых для постройки объектов недвижимости; объекты недвижимости, выполненные из кирпича (с железобетонными перекрытиями) - КС-1, при прочих равных условиях обладают удельной стоимостью строительства выше, нежели объекты, выполненные из древесины в различных ее сочетаниях - КС-7, но ниже чем объекты недвижимости, выполненные из железобетона - КС-3 и КС-4, как следствие, выбор КС-1 позволяет избежать излишнего неоправданного завышения либо занижения стоимости в расчетах.</w:t>
      </w:r>
    </w:p>
    <w:p w14:paraId="66738868" w14:textId="77777777" w:rsidR="00DD6EF5" w:rsidRPr="00DD6EF5" w:rsidRDefault="00DD6EF5" w:rsidP="00D24868">
      <w:pPr>
        <w:numPr>
          <w:ilvl w:val="0"/>
          <w:numId w:val="67"/>
        </w:numPr>
        <w:suppressAutoHyphens/>
        <w:adjustRightInd w:val="0"/>
        <w:ind w:left="1134" w:hanging="425"/>
        <w:textAlignment w:val="baseline"/>
        <w:rPr>
          <w:rFonts w:eastAsia="Times New Roman" w:cs="Times New Roman"/>
          <w:spacing w:val="-5"/>
          <w:szCs w:val="24"/>
        </w:rPr>
      </w:pPr>
      <w:r w:rsidRPr="00DD6EF5">
        <w:rPr>
          <w:rFonts w:eastAsia="Times New Roman" w:cs="Times New Roman"/>
          <w:spacing w:val="-5"/>
          <w:szCs w:val="24"/>
        </w:rPr>
        <w:t>При отсутствии сведений в Перечне об этажности объекта устанавливалось значение минимально возможной этажности – 1 этаж.</w:t>
      </w:r>
    </w:p>
    <w:p w14:paraId="7944FA29" w14:textId="77777777" w:rsidR="00DD6EF5" w:rsidRPr="00DD6EF5" w:rsidRDefault="00DD6EF5" w:rsidP="00D24868">
      <w:pPr>
        <w:numPr>
          <w:ilvl w:val="0"/>
          <w:numId w:val="67"/>
        </w:numPr>
        <w:suppressAutoHyphens/>
        <w:adjustRightInd w:val="0"/>
        <w:ind w:left="1134" w:hanging="425"/>
        <w:textAlignment w:val="baseline"/>
        <w:rPr>
          <w:rFonts w:eastAsia="Times New Roman" w:cs="Times New Roman"/>
          <w:spacing w:val="-5"/>
          <w:szCs w:val="24"/>
        </w:rPr>
      </w:pPr>
      <w:r w:rsidRPr="00DD6EF5">
        <w:rPr>
          <w:rFonts w:eastAsia="Times New Roman" w:cs="Times New Roman"/>
          <w:spacing w:val="-5"/>
          <w:szCs w:val="24"/>
        </w:rPr>
        <w:t xml:space="preserve">К подгруппе 0206 отнесены дачи, флигели, дома охотника-рыбака, бытовки, дома инспектора. </w:t>
      </w:r>
    </w:p>
    <w:p w14:paraId="663DE4D0" w14:textId="77777777" w:rsidR="00DD6EF5" w:rsidRPr="00DD6EF5" w:rsidRDefault="00DD6EF5" w:rsidP="00D24868">
      <w:pPr>
        <w:numPr>
          <w:ilvl w:val="0"/>
          <w:numId w:val="67"/>
        </w:numPr>
        <w:suppressAutoHyphens/>
        <w:adjustRightInd w:val="0"/>
        <w:ind w:left="1134" w:hanging="425"/>
        <w:textAlignment w:val="baseline"/>
        <w:rPr>
          <w:rFonts w:eastAsia="Times New Roman" w:cs="Times New Roman"/>
          <w:spacing w:val="-5"/>
          <w:szCs w:val="24"/>
        </w:rPr>
      </w:pPr>
      <w:r w:rsidRPr="00DD6EF5">
        <w:rPr>
          <w:rFonts w:eastAsia="Times New Roman" w:cs="Times New Roman"/>
          <w:spacing w:val="-5"/>
          <w:szCs w:val="24"/>
        </w:rPr>
        <w:t>Для Объектов оценки, у которых количество подземных этажей больше общего количества этажей, устанавливалось значение подземной этажности - 1 этаж.</w:t>
      </w:r>
    </w:p>
    <w:p w14:paraId="3FACE623" w14:textId="157EFE85" w:rsidR="00FD2769" w:rsidRPr="00FD2769" w:rsidRDefault="00DD6EF5" w:rsidP="00FD2769">
      <w:pPr>
        <w:numPr>
          <w:ilvl w:val="0"/>
          <w:numId w:val="67"/>
        </w:numPr>
        <w:suppressAutoHyphens/>
        <w:adjustRightInd w:val="0"/>
        <w:ind w:left="1134" w:hanging="425"/>
        <w:textAlignment w:val="baseline"/>
        <w:rPr>
          <w:rFonts w:eastAsia="Times New Roman" w:cs="Times New Roman"/>
          <w:spacing w:val="-5"/>
          <w:szCs w:val="24"/>
        </w:rPr>
      </w:pPr>
      <w:r w:rsidRPr="00DD6EF5">
        <w:rPr>
          <w:rFonts w:eastAsia="Times New Roman" w:cs="Times New Roman"/>
          <w:spacing w:val="-5"/>
          <w:szCs w:val="24"/>
        </w:rPr>
        <w:t>При отсутствии информации о наименовании и назначении объектов недвижимости для присвоения кода использовалась информация о в</w:t>
      </w:r>
      <w:r w:rsidR="00283B08">
        <w:rPr>
          <w:rFonts w:eastAsia="Times New Roman" w:cs="Times New Roman"/>
          <w:spacing w:val="-5"/>
          <w:szCs w:val="24"/>
        </w:rPr>
        <w:t xml:space="preserve">иде разрешенного использования </w:t>
      </w:r>
      <w:r w:rsidRPr="00DD6EF5">
        <w:rPr>
          <w:rFonts w:eastAsia="Times New Roman" w:cs="Times New Roman"/>
          <w:spacing w:val="-5"/>
          <w:szCs w:val="24"/>
        </w:rPr>
        <w:t>земельного участка на котором они располагаются.</w:t>
      </w:r>
    </w:p>
    <w:p w14:paraId="5D938FA7" w14:textId="1EEFC5FC" w:rsidR="00DD6EF5" w:rsidRPr="00DF26AE" w:rsidRDefault="00DD6EF5" w:rsidP="00FD2769">
      <w:pPr>
        <w:pStyle w:val="3"/>
      </w:pPr>
      <w:bookmarkStart w:id="36" w:name="_Toc527729562"/>
      <w:bookmarkStart w:id="37" w:name="_Toc505790087"/>
      <w:r w:rsidRPr="00DF26AE">
        <w:t>Допущения, касающиеся определения характеристик и методов (способов) определения кадастровой стоимости сооружений</w:t>
      </w:r>
      <w:bookmarkEnd w:id="36"/>
    </w:p>
    <w:p w14:paraId="59EF758E" w14:textId="2C281EE8" w:rsidR="00002C7A" w:rsidRDefault="00575439" w:rsidP="00002C7A">
      <w:pPr>
        <w:suppressAutoHyphens/>
        <w:adjustRightInd w:val="0"/>
        <w:ind w:left="1134" w:hanging="425"/>
        <w:textAlignment w:val="baseline"/>
        <w:rPr>
          <w:rFonts w:eastAsia="Times New Roman" w:cs="Times New Roman"/>
          <w:spacing w:val="-5"/>
          <w:szCs w:val="24"/>
        </w:rPr>
      </w:pPr>
      <w:r>
        <w:rPr>
          <w:rFonts w:eastAsia="Times New Roman" w:cs="Times New Roman"/>
          <w:spacing w:val="-5"/>
          <w:szCs w:val="24"/>
        </w:rPr>
        <w:t>1.</w:t>
      </w:r>
      <w:r>
        <w:rPr>
          <w:rFonts w:eastAsia="Times New Roman" w:cs="Times New Roman"/>
          <w:spacing w:val="-5"/>
          <w:szCs w:val="24"/>
        </w:rPr>
        <w:tab/>
      </w:r>
      <w:r w:rsidR="00DD6EF5" w:rsidRPr="00DD6EF5">
        <w:rPr>
          <w:rFonts w:eastAsia="Times New Roman" w:cs="Times New Roman"/>
          <w:spacing w:val="-5"/>
          <w:szCs w:val="24"/>
        </w:rPr>
        <w:t>При указании в Перечне для линейных объектов типа и значения основного параметра «площадь застройки» для целей ГКО значение данного параметра принималось как «протяженность».</w:t>
      </w:r>
    </w:p>
    <w:p w14:paraId="5DB784DC" w14:textId="77777777" w:rsidR="00575439" w:rsidRDefault="00002C7A" w:rsidP="00575439">
      <w:pPr>
        <w:suppressAutoHyphens/>
        <w:adjustRightInd w:val="0"/>
        <w:ind w:left="1134" w:hanging="425"/>
        <w:textAlignment w:val="baseline"/>
        <w:rPr>
          <w:rFonts w:eastAsia="Times New Roman" w:cs="Times New Roman"/>
          <w:spacing w:val="-5"/>
          <w:szCs w:val="24"/>
        </w:rPr>
      </w:pPr>
      <w:r>
        <w:rPr>
          <w:rFonts w:eastAsia="Times New Roman" w:cs="Times New Roman"/>
          <w:spacing w:val="-5"/>
          <w:szCs w:val="24"/>
        </w:rPr>
        <w:t>2.</w:t>
      </w:r>
      <w:r>
        <w:rPr>
          <w:rFonts w:eastAsia="Times New Roman" w:cs="Times New Roman"/>
          <w:spacing w:val="-5"/>
          <w:szCs w:val="24"/>
        </w:rPr>
        <w:tab/>
      </w:r>
      <w:proofErr w:type="gramStart"/>
      <w:r w:rsidR="00DD6EF5" w:rsidRPr="00DD6EF5">
        <w:rPr>
          <w:rFonts w:eastAsia="Times New Roman" w:cs="Times New Roman"/>
          <w:spacing w:val="-5"/>
          <w:szCs w:val="24"/>
        </w:rPr>
        <w:t>В</w:t>
      </w:r>
      <w:proofErr w:type="gramEnd"/>
      <w:r w:rsidR="00DD6EF5" w:rsidRPr="00DD6EF5">
        <w:rPr>
          <w:rFonts w:eastAsia="Times New Roman" w:cs="Times New Roman"/>
          <w:spacing w:val="-5"/>
          <w:szCs w:val="24"/>
        </w:rPr>
        <w:t xml:space="preserve"> случае если единицей измерения объекта оценки является показатель, отличный от площади объекта (протяженность, объем и т.п.), УПКС объекта определяется путем деления кадастровой стоимости объекта оценки на </w:t>
      </w:r>
      <w:r>
        <w:rPr>
          <w:rFonts w:eastAsia="Times New Roman" w:cs="Times New Roman"/>
          <w:spacing w:val="-5"/>
          <w:szCs w:val="24"/>
        </w:rPr>
        <w:t>величину единицы его измерения.</w:t>
      </w:r>
    </w:p>
    <w:p w14:paraId="325109CB" w14:textId="77777777" w:rsidR="00283B08" w:rsidRDefault="00283B08" w:rsidP="00283B08">
      <w:pPr>
        <w:suppressAutoHyphens/>
        <w:adjustRightInd w:val="0"/>
        <w:ind w:left="1134" w:hanging="425"/>
        <w:textAlignment w:val="baseline"/>
        <w:rPr>
          <w:rFonts w:eastAsia="Times New Roman" w:cs="Times New Roman"/>
          <w:spacing w:val="-5"/>
          <w:szCs w:val="24"/>
        </w:rPr>
      </w:pPr>
      <w:r>
        <w:rPr>
          <w:rFonts w:eastAsia="Times New Roman" w:cs="Times New Roman"/>
          <w:spacing w:val="-5"/>
          <w:szCs w:val="24"/>
        </w:rPr>
        <w:t>3.</w:t>
      </w:r>
      <w:r>
        <w:rPr>
          <w:rFonts w:eastAsia="Times New Roman" w:cs="Times New Roman"/>
          <w:spacing w:val="-5"/>
          <w:szCs w:val="24"/>
        </w:rPr>
        <w:tab/>
      </w:r>
      <w:r w:rsidR="00DD6EF5" w:rsidRPr="00DD6EF5">
        <w:rPr>
          <w:rFonts w:eastAsia="Times New Roman" w:cs="Times New Roman"/>
          <w:spacing w:val="-5"/>
          <w:szCs w:val="24"/>
        </w:rPr>
        <w:t xml:space="preserve">При подборе объектов-аналогов изделия из дерева в качестве основных несущих конструкций не рассматривались, за исключением некоторых подгрупп. </w:t>
      </w:r>
    </w:p>
    <w:p w14:paraId="7BFA5716" w14:textId="01E2256C" w:rsidR="00FD2769" w:rsidRDefault="00283B08" w:rsidP="00FD2769">
      <w:pPr>
        <w:suppressAutoHyphens/>
        <w:adjustRightInd w:val="0"/>
        <w:ind w:left="1134" w:hanging="425"/>
        <w:textAlignment w:val="baseline"/>
        <w:rPr>
          <w:rFonts w:eastAsia="Times New Roman" w:cs="Times New Roman"/>
          <w:spacing w:val="-5"/>
          <w:szCs w:val="24"/>
        </w:rPr>
      </w:pPr>
      <w:r>
        <w:rPr>
          <w:rFonts w:eastAsia="Times New Roman" w:cs="Times New Roman"/>
          <w:spacing w:val="-5"/>
          <w:szCs w:val="24"/>
        </w:rPr>
        <w:t>4.</w:t>
      </w:r>
      <w:r>
        <w:rPr>
          <w:rFonts w:eastAsia="Times New Roman" w:cs="Times New Roman"/>
          <w:spacing w:val="-5"/>
          <w:szCs w:val="24"/>
        </w:rPr>
        <w:tab/>
      </w:r>
      <w:proofErr w:type="gramStart"/>
      <w:r w:rsidR="00DD6EF5" w:rsidRPr="00DD6EF5">
        <w:rPr>
          <w:rFonts w:eastAsia="Times New Roman" w:cs="Times New Roman"/>
          <w:spacing w:val="-5"/>
          <w:szCs w:val="24"/>
        </w:rPr>
        <w:t>В</w:t>
      </w:r>
      <w:proofErr w:type="gramEnd"/>
      <w:r w:rsidR="00DD6EF5" w:rsidRPr="00DD6EF5">
        <w:rPr>
          <w:rFonts w:eastAsia="Times New Roman" w:cs="Times New Roman"/>
          <w:spacing w:val="-5"/>
          <w:szCs w:val="24"/>
        </w:rPr>
        <w:t xml:space="preserve"> расчетах использовались усредненные удельные показатели стоимости объектов-аналогов, изготовленных с применением наиболее типичных для данной подгруппы материалов конструкций (например, при строительстве сетей водопровода и канализации труб из асбоцемента, чугуна, стали, полиэтилена высокого давления преимущество отдается стальным трубам, как наиболее часто встречаемым).</w:t>
      </w:r>
    </w:p>
    <w:p w14:paraId="12E07180" w14:textId="3FD2310D" w:rsidR="00DD6EF5" w:rsidRPr="00DF26AE" w:rsidRDefault="00DD6EF5" w:rsidP="00FD2769">
      <w:pPr>
        <w:pStyle w:val="3"/>
      </w:pPr>
      <w:bookmarkStart w:id="38" w:name="_Toc527729563"/>
      <w:r w:rsidRPr="00DF26AE">
        <w:t>Допущения, касающиеся определения характеристик и методов (способов) определения кадастровой стоимости ОНС</w:t>
      </w:r>
      <w:bookmarkEnd w:id="38"/>
      <w:r w:rsidR="00575439" w:rsidRPr="00DF26AE">
        <w:t>.</w:t>
      </w:r>
    </w:p>
    <w:p w14:paraId="476F08AD" w14:textId="3C149E84" w:rsidR="00DD6EF5" w:rsidRPr="00BA0CFE" w:rsidRDefault="00DD6EF5" w:rsidP="00D24868">
      <w:pPr>
        <w:pStyle w:val="af0"/>
        <w:numPr>
          <w:ilvl w:val="0"/>
          <w:numId w:val="85"/>
        </w:numPr>
        <w:suppressAutoHyphens/>
        <w:adjustRightInd w:val="0"/>
        <w:textAlignment w:val="baseline"/>
        <w:rPr>
          <w:rFonts w:eastAsia="Times New Roman" w:cs="Times New Roman"/>
          <w:spacing w:val="-5"/>
          <w:szCs w:val="24"/>
        </w:rPr>
      </w:pPr>
      <w:r w:rsidRPr="00BA0CFE">
        <w:rPr>
          <w:rFonts w:eastAsia="Times New Roman" w:cs="Times New Roman"/>
          <w:spacing w:val="-5"/>
          <w:szCs w:val="24"/>
        </w:rPr>
        <w:t>В случае отсутствия в Перечне сведений об основных параметрах объекта оценки использовались дополнительные материалы, переданные ГБУ РС(Я) «ЦГКО». При невозможности установления сведений об основных параметрах после привлечения дополнительных материалов, в качестве основного параметра принимался параметр «кв. м площади» или иной (в зависимости от принадлежности объекта к той или иной группе/подгруппе), за проектируемое значение принималось среднее значение, рассчитанное по группе/подгруппе, используемой для видов объектов «Здание» и «Сооружение».</w:t>
      </w:r>
    </w:p>
    <w:p w14:paraId="09ACB223" w14:textId="77777777" w:rsidR="00DD6EF5" w:rsidRPr="00BA0CFE" w:rsidRDefault="00DD6EF5" w:rsidP="00D24868">
      <w:pPr>
        <w:pStyle w:val="af0"/>
        <w:numPr>
          <w:ilvl w:val="0"/>
          <w:numId w:val="85"/>
        </w:numPr>
        <w:suppressAutoHyphens/>
        <w:adjustRightInd w:val="0"/>
        <w:textAlignment w:val="baseline"/>
        <w:rPr>
          <w:rFonts w:eastAsia="Times New Roman" w:cs="Times New Roman"/>
          <w:spacing w:val="-5"/>
          <w:szCs w:val="24"/>
        </w:rPr>
      </w:pPr>
      <w:r w:rsidRPr="00BA0CFE">
        <w:rPr>
          <w:rFonts w:eastAsia="Times New Roman" w:cs="Times New Roman"/>
          <w:spacing w:val="-5"/>
          <w:szCs w:val="24"/>
        </w:rPr>
        <w:t>В случае, если для нескольких ОНС установлено, что фактически на их месте возведен один объект, то значение основного параметра присваивался ОНС пропорционально тем параметрам, которые указаны в Перечне для возведенного объекта.</w:t>
      </w:r>
    </w:p>
    <w:p w14:paraId="6E532D7D" w14:textId="63D2CB05" w:rsidR="00FD2769" w:rsidRPr="00FD2769" w:rsidRDefault="00DD6EF5" w:rsidP="00FD2769">
      <w:pPr>
        <w:pStyle w:val="af0"/>
        <w:numPr>
          <w:ilvl w:val="0"/>
          <w:numId w:val="85"/>
        </w:numPr>
        <w:suppressAutoHyphens/>
        <w:adjustRightInd w:val="0"/>
        <w:textAlignment w:val="baseline"/>
        <w:rPr>
          <w:rFonts w:eastAsia="Times New Roman" w:cs="Times New Roman"/>
          <w:spacing w:val="-5"/>
          <w:szCs w:val="24"/>
        </w:rPr>
      </w:pPr>
      <w:r w:rsidRPr="00BA0CFE">
        <w:rPr>
          <w:rFonts w:eastAsia="Times New Roman" w:cs="Times New Roman"/>
          <w:spacing w:val="-5"/>
          <w:szCs w:val="24"/>
        </w:rPr>
        <w:t xml:space="preserve">Для объектов незавершенного строительства, по которым на дату оценки отсутствовали данные о степени готовности, использовался средний показатель 50%. У ГБУ РС(Я) «ЦГКО» отсутствуют иные документы, подтверждающие или уточняющие стадии строительства ОНС. Объекты незавершенного строительства оценивались исходя из функционального назначения объекта. Кадастровая стоимость объекта определялась произведением стоимости объекта, будь он завершен строительным производством на процент готовности этого объекта. Степень готовности объекта принимается по фактическим данным (если информации была предоставлена). </w:t>
      </w:r>
    </w:p>
    <w:p w14:paraId="41CC8E5D" w14:textId="4C77DBF0" w:rsidR="00DD6EF5" w:rsidRPr="00DF26AE" w:rsidRDefault="00DD6EF5" w:rsidP="00FD2769">
      <w:pPr>
        <w:pStyle w:val="3"/>
      </w:pPr>
      <w:bookmarkStart w:id="39" w:name="_Toc527729564"/>
      <w:r w:rsidRPr="00DF26AE">
        <w:t>Допущения, касающиеся результатов оценки</w:t>
      </w:r>
      <w:bookmarkEnd w:id="37"/>
      <w:bookmarkEnd w:id="39"/>
    </w:p>
    <w:p w14:paraId="5F7E6F5C" w14:textId="77777777" w:rsidR="00DD6EF5" w:rsidRPr="00DD6EF5" w:rsidRDefault="00DD6EF5" w:rsidP="00D24868">
      <w:pPr>
        <w:numPr>
          <w:ilvl w:val="0"/>
          <w:numId w:val="86"/>
        </w:numPr>
        <w:suppressAutoHyphens/>
        <w:adjustRightInd w:val="0"/>
        <w:textAlignment w:val="baseline"/>
        <w:rPr>
          <w:rFonts w:eastAsia="Times New Roman" w:cs="Times New Roman"/>
          <w:spacing w:val="-5"/>
          <w:szCs w:val="24"/>
        </w:rPr>
      </w:pPr>
      <w:r w:rsidRPr="00DD6EF5">
        <w:rPr>
          <w:rFonts w:eastAsia="Times New Roman" w:cs="Times New Roman"/>
          <w:spacing w:val="-5"/>
          <w:szCs w:val="24"/>
        </w:rPr>
        <w:t>Итоговая величина стоимости представлена в виде конкретного числа с округлением по математическим правилам округления. Все полученные результаты округляются до двух знаков после запятой (т.е. до копеек).</w:t>
      </w:r>
    </w:p>
    <w:p w14:paraId="1902BDBE" w14:textId="77777777" w:rsidR="002277F9" w:rsidRDefault="00DD6EF5" w:rsidP="00D24868">
      <w:pPr>
        <w:numPr>
          <w:ilvl w:val="0"/>
          <w:numId w:val="86"/>
        </w:numPr>
        <w:suppressAutoHyphens/>
        <w:adjustRightInd w:val="0"/>
        <w:textAlignment w:val="baseline"/>
        <w:rPr>
          <w:rFonts w:eastAsia="Times New Roman" w:cs="Times New Roman"/>
          <w:spacing w:val="-5"/>
          <w:szCs w:val="24"/>
        </w:rPr>
      </w:pPr>
      <w:r w:rsidRPr="00DD6EF5">
        <w:rPr>
          <w:rFonts w:eastAsia="Times New Roman" w:cs="Times New Roman"/>
          <w:spacing w:val="-5"/>
          <w:szCs w:val="24"/>
        </w:rPr>
        <w:t>В рамках настоящего Отчёта все полученные результаты не включают НДС.</w:t>
      </w:r>
    </w:p>
    <w:p w14:paraId="74A7247A" w14:textId="6FEDC97C" w:rsidR="002277F9" w:rsidRPr="002277F9" w:rsidRDefault="00DD6EF5" w:rsidP="00D24868">
      <w:pPr>
        <w:numPr>
          <w:ilvl w:val="0"/>
          <w:numId w:val="86"/>
        </w:numPr>
        <w:suppressAutoHyphens/>
        <w:adjustRightInd w:val="0"/>
        <w:textAlignment w:val="baseline"/>
        <w:rPr>
          <w:rFonts w:eastAsia="Times New Roman" w:cs="Times New Roman"/>
          <w:spacing w:val="-5"/>
          <w:szCs w:val="24"/>
        </w:rPr>
      </w:pPr>
      <w:r w:rsidRPr="002277F9">
        <w:rPr>
          <w:rFonts w:eastAsia="Times New Roman" w:cs="Times New Roman"/>
          <w:spacing w:val="-5"/>
          <w:szCs w:val="24"/>
        </w:rPr>
        <w:t xml:space="preserve">Итоговый результат (величина кадастровой стоимости) зависит от точности вычисления значений ценообразующих факторов моделей. Воспроизведение расчётов на калькуляторе может приводить к незначительному отклонению от результата расчётов в Отчёте, что не является ошибкой. </w:t>
      </w:r>
    </w:p>
    <w:p w14:paraId="38A9685B" w14:textId="0F4C13FA" w:rsidR="007D2DF1" w:rsidRPr="002277F9" w:rsidRDefault="00556E6C" w:rsidP="00D24868">
      <w:pPr>
        <w:numPr>
          <w:ilvl w:val="0"/>
          <w:numId w:val="86"/>
        </w:numPr>
        <w:suppressAutoHyphens/>
        <w:adjustRightInd w:val="0"/>
        <w:ind w:firstLine="709"/>
        <w:textAlignment w:val="baseline"/>
      </w:pPr>
      <w:r w:rsidRPr="002277F9">
        <w:br w:type="page"/>
      </w:r>
    </w:p>
    <w:p w14:paraId="62928D7E" w14:textId="63407A8F" w:rsidR="00B472B6" w:rsidRPr="00DF26AE" w:rsidRDefault="00B472B6" w:rsidP="00FD2769">
      <w:pPr>
        <w:pStyle w:val="10"/>
      </w:pPr>
      <w:bookmarkStart w:id="40" w:name="_Toc14819098"/>
      <w:r w:rsidRPr="00DF26AE">
        <w:t>РАСЧЕТНАЯ ГЛАВА</w:t>
      </w:r>
      <w:bookmarkEnd w:id="40"/>
    </w:p>
    <w:p w14:paraId="1AA598E5" w14:textId="245F3637" w:rsidR="0047261E" w:rsidRPr="0027086D" w:rsidRDefault="0047261E" w:rsidP="00FD2769">
      <w:pPr>
        <w:pStyle w:val="10"/>
        <w:numPr>
          <w:ilvl w:val="1"/>
          <w:numId w:val="100"/>
        </w:numPr>
        <w:jc w:val="both"/>
      </w:pPr>
      <w:bookmarkStart w:id="41" w:name="_Toc14819099"/>
      <w:bookmarkStart w:id="42" w:name="_Toc1641537"/>
      <w:bookmarkStart w:id="43" w:name="_Ref318374660"/>
      <w:r w:rsidRPr="0027086D">
        <w:t>Анализ информации о рынке объектов недвижимости, информация об определении ценообразующих факторов и источниках сведений о них, обоснование моделей оценки кадастровой стоимости.</w:t>
      </w:r>
      <w:bookmarkEnd w:id="41"/>
    </w:p>
    <w:p w14:paraId="26B8A37A" w14:textId="6E29B522" w:rsidR="0047261E" w:rsidRPr="0047261E" w:rsidRDefault="0047261E" w:rsidP="00B21DA8">
      <w:pPr>
        <w:autoSpaceDN w:val="0"/>
        <w:ind w:firstLine="709"/>
        <w:textAlignment w:val="baseline"/>
        <w:rPr>
          <w:rFonts w:eastAsia="Calibri" w:cs="Times New Roman"/>
          <w:szCs w:val="24"/>
          <w:lang w:eastAsia="ru-RU"/>
        </w:rPr>
      </w:pPr>
      <w:r w:rsidRPr="0047261E">
        <w:rPr>
          <w:rFonts w:eastAsia="Calibri" w:cs="Times New Roman"/>
          <w:szCs w:val="24"/>
          <w:lang w:eastAsia="ru-RU"/>
        </w:rPr>
        <w:t xml:space="preserve">Недвижимость - неотъемлемая часть процесса производства, как в промышленности, так и в сервисной сфере. В условиях высокой инфляции недвижимость играет роль средства сбережений. В таких условиях у нее появляется еще одна функция, характерная для развивающихся рынков - инвестиционная. Доходность инвестиций в строительство недвижимости выше, чем на многих альтернативных рынках. </w:t>
      </w:r>
    </w:p>
    <w:p w14:paraId="14643C17" w14:textId="77777777" w:rsidR="0047261E" w:rsidRPr="0047261E" w:rsidRDefault="0047261E" w:rsidP="00B21DA8">
      <w:pPr>
        <w:autoSpaceDN w:val="0"/>
        <w:ind w:firstLine="709"/>
        <w:textAlignment w:val="baseline"/>
        <w:rPr>
          <w:rFonts w:eastAsia="Calibri" w:cs="Times New Roman"/>
          <w:szCs w:val="24"/>
          <w:lang w:eastAsia="ru-RU"/>
        </w:rPr>
      </w:pPr>
      <w:r w:rsidRPr="0047261E">
        <w:rPr>
          <w:rFonts w:eastAsia="Calibri" w:cs="Times New Roman"/>
          <w:szCs w:val="24"/>
          <w:lang w:eastAsia="ru-RU"/>
        </w:rPr>
        <w:t xml:space="preserve">Факторы внешней среды, влияющие на развитие рынка коммерческой недвижимости России, можно условно разбить на пять основных групп: </w:t>
      </w:r>
    </w:p>
    <w:p w14:paraId="6461FDBE" w14:textId="77777777" w:rsidR="0047261E" w:rsidRPr="0047261E" w:rsidRDefault="0047261E" w:rsidP="00D24868">
      <w:pPr>
        <w:widowControl w:val="0"/>
        <w:numPr>
          <w:ilvl w:val="0"/>
          <w:numId w:val="63"/>
        </w:numPr>
        <w:suppressAutoHyphens/>
        <w:autoSpaceDN w:val="0"/>
        <w:ind w:firstLine="709"/>
        <w:jc w:val="left"/>
        <w:textAlignment w:val="baseline"/>
        <w:rPr>
          <w:rFonts w:eastAsia="Calibri" w:cs="Times New Roman"/>
          <w:szCs w:val="24"/>
          <w:lang w:eastAsia="ru-RU"/>
        </w:rPr>
      </w:pPr>
      <w:r w:rsidRPr="0047261E">
        <w:rPr>
          <w:rFonts w:eastAsia="Calibri" w:cs="Times New Roman"/>
          <w:szCs w:val="24"/>
          <w:lang w:eastAsia="ru-RU"/>
        </w:rPr>
        <w:t xml:space="preserve">политические; </w:t>
      </w:r>
    </w:p>
    <w:p w14:paraId="1E50557E" w14:textId="77777777" w:rsidR="0047261E" w:rsidRPr="0047261E" w:rsidRDefault="0047261E" w:rsidP="00D24868">
      <w:pPr>
        <w:widowControl w:val="0"/>
        <w:numPr>
          <w:ilvl w:val="0"/>
          <w:numId w:val="63"/>
        </w:numPr>
        <w:suppressAutoHyphens/>
        <w:autoSpaceDN w:val="0"/>
        <w:ind w:firstLine="709"/>
        <w:jc w:val="left"/>
        <w:textAlignment w:val="baseline"/>
        <w:rPr>
          <w:rFonts w:eastAsia="Calibri" w:cs="Times New Roman"/>
          <w:szCs w:val="24"/>
          <w:lang w:eastAsia="ru-RU"/>
        </w:rPr>
      </w:pPr>
      <w:r w:rsidRPr="0047261E">
        <w:rPr>
          <w:rFonts w:eastAsia="Calibri" w:cs="Times New Roman"/>
          <w:szCs w:val="24"/>
          <w:lang w:eastAsia="ru-RU"/>
        </w:rPr>
        <w:t xml:space="preserve">экономические; </w:t>
      </w:r>
    </w:p>
    <w:p w14:paraId="0AEC72BB" w14:textId="77777777" w:rsidR="0047261E" w:rsidRPr="0047261E" w:rsidRDefault="0047261E" w:rsidP="00D24868">
      <w:pPr>
        <w:widowControl w:val="0"/>
        <w:numPr>
          <w:ilvl w:val="0"/>
          <w:numId w:val="63"/>
        </w:numPr>
        <w:suppressAutoHyphens/>
        <w:autoSpaceDN w:val="0"/>
        <w:ind w:firstLine="709"/>
        <w:jc w:val="left"/>
        <w:textAlignment w:val="baseline"/>
        <w:rPr>
          <w:rFonts w:eastAsia="Calibri" w:cs="Times New Roman"/>
          <w:szCs w:val="24"/>
          <w:lang w:eastAsia="ru-RU"/>
        </w:rPr>
      </w:pPr>
      <w:r w:rsidRPr="0047261E">
        <w:rPr>
          <w:rFonts w:eastAsia="Calibri" w:cs="Times New Roman"/>
          <w:szCs w:val="24"/>
          <w:lang w:eastAsia="ru-RU"/>
        </w:rPr>
        <w:t>социально-демографические</w:t>
      </w:r>
    </w:p>
    <w:p w14:paraId="2BFA2D00" w14:textId="77777777" w:rsidR="0047261E" w:rsidRPr="0047261E" w:rsidRDefault="0047261E" w:rsidP="00D24868">
      <w:pPr>
        <w:widowControl w:val="0"/>
        <w:numPr>
          <w:ilvl w:val="0"/>
          <w:numId w:val="63"/>
        </w:numPr>
        <w:suppressAutoHyphens/>
        <w:autoSpaceDN w:val="0"/>
        <w:ind w:firstLine="709"/>
        <w:jc w:val="left"/>
        <w:textAlignment w:val="baseline"/>
        <w:rPr>
          <w:rFonts w:eastAsia="Calibri" w:cs="Times New Roman"/>
          <w:szCs w:val="24"/>
          <w:lang w:eastAsia="ru-RU"/>
        </w:rPr>
      </w:pPr>
      <w:r w:rsidRPr="0047261E">
        <w:rPr>
          <w:rFonts w:eastAsia="Calibri" w:cs="Times New Roman"/>
          <w:szCs w:val="24"/>
          <w:lang w:eastAsia="ru-RU"/>
        </w:rPr>
        <w:t>технологические</w:t>
      </w:r>
    </w:p>
    <w:p w14:paraId="379D3443" w14:textId="77777777" w:rsidR="0047261E" w:rsidRPr="0047261E" w:rsidRDefault="0047261E" w:rsidP="00D24868">
      <w:pPr>
        <w:widowControl w:val="0"/>
        <w:numPr>
          <w:ilvl w:val="0"/>
          <w:numId w:val="63"/>
        </w:numPr>
        <w:suppressAutoHyphens/>
        <w:autoSpaceDN w:val="0"/>
        <w:ind w:firstLine="709"/>
        <w:jc w:val="left"/>
        <w:textAlignment w:val="baseline"/>
        <w:rPr>
          <w:rFonts w:eastAsia="Calibri" w:cs="Times New Roman"/>
          <w:szCs w:val="24"/>
          <w:lang w:eastAsia="ru-RU"/>
        </w:rPr>
      </w:pPr>
      <w:r w:rsidRPr="0047261E">
        <w:rPr>
          <w:rFonts w:eastAsia="Calibri" w:cs="Times New Roman"/>
          <w:szCs w:val="24"/>
          <w:lang w:eastAsia="ru-RU"/>
        </w:rPr>
        <w:t>правовые.</w:t>
      </w:r>
    </w:p>
    <w:p w14:paraId="24EAD152" w14:textId="77777777" w:rsidR="0047261E" w:rsidRPr="0047261E" w:rsidRDefault="0047261E" w:rsidP="00B21DA8">
      <w:pPr>
        <w:autoSpaceDN w:val="0"/>
        <w:ind w:firstLine="709"/>
        <w:textAlignment w:val="baseline"/>
        <w:rPr>
          <w:rFonts w:eastAsia="Calibri" w:cs="Times New Roman"/>
          <w:szCs w:val="24"/>
          <w:lang w:eastAsia="ru-RU"/>
        </w:rPr>
      </w:pPr>
      <w:r w:rsidRPr="0047261E">
        <w:rPr>
          <w:rFonts w:eastAsia="Calibri" w:cs="Times New Roman"/>
          <w:szCs w:val="24"/>
          <w:lang w:eastAsia="ru-RU"/>
        </w:rPr>
        <w:t>В разделе анализа рынка объектов недвижимости представлена информация по всем ценообразующим факторам, использовавшимся при определении стоимости, включая информацию о политических, экономических, социальных и экологических факторах.</w:t>
      </w:r>
    </w:p>
    <w:p w14:paraId="5F6D0E9A" w14:textId="77777777" w:rsidR="0047261E" w:rsidRPr="0047261E" w:rsidRDefault="0047261E" w:rsidP="00B21DA8">
      <w:pPr>
        <w:autoSpaceDN w:val="0"/>
        <w:spacing w:before="60" w:after="60"/>
        <w:ind w:firstLine="709"/>
        <w:jc w:val="center"/>
        <w:textAlignment w:val="baseline"/>
        <w:rPr>
          <w:rFonts w:eastAsia="Calibri" w:cs="Times New Roman"/>
          <w:b/>
          <w:szCs w:val="24"/>
          <w:lang w:eastAsia="ru-RU"/>
        </w:rPr>
      </w:pPr>
      <w:bookmarkStart w:id="44" w:name="_Toc514323380"/>
      <w:bookmarkStart w:id="45" w:name="_Toc515279556"/>
      <w:r w:rsidRPr="0047261E">
        <w:rPr>
          <w:rFonts w:eastAsia="Calibri" w:cs="Times New Roman"/>
          <w:b/>
          <w:szCs w:val="24"/>
          <w:lang w:eastAsia="ru-RU"/>
        </w:rPr>
        <w:t>Политические факторы</w:t>
      </w:r>
      <w:bookmarkEnd w:id="44"/>
      <w:bookmarkEnd w:id="45"/>
    </w:p>
    <w:p w14:paraId="75D625A6" w14:textId="77777777" w:rsidR="0047261E" w:rsidRPr="0047261E" w:rsidRDefault="0047261E" w:rsidP="00B21DA8">
      <w:pPr>
        <w:autoSpaceDN w:val="0"/>
        <w:ind w:firstLine="709"/>
        <w:textAlignment w:val="baseline"/>
        <w:rPr>
          <w:rFonts w:eastAsia="Calibri" w:cs="Times New Roman"/>
          <w:szCs w:val="24"/>
          <w:lang w:eastAsia="ru-RU"/>
        </w:rPr>
      </w:pPr>
      <w:r w:rsidRPr="0047261E">
        <w:rPr>
          <w:rFonts w:eastAsia="Calibri" w:cs="Times New Roman"/>
          <w:szCs w:val="24"/>
          <w:lang w:eastAsia="ru-RU"/>
        </w:rPr>
        <w:t>Под ними стоит понимать реально существующую политическую ситуацию в стране. К политическим факторам относят:</w:t>
      </w:r>
    </w:p>
    <w:p w14:paraId="336F4D3D" w14:textId="77777777" w:rsidR="0047261E" w:rsidRPr="0047261E" w:rsidRDefault="0047261E" w:rsidP="00D24868">
      <w:pPr>
        <w:widowControl w:val="0"/>
        <w:numPr>
          <w:ilvl w:val="1"/>
          <w:numId w:val="64"/>
        </w:numPr>
        <w:tabs>
          <w:tab w:val="left" w:pos="1089"/>
          <w:tab w:val="left" w:pos="1091"/>
        </w:tabs>
        <w:suppressAutoHyphens/>
        <w:autoSpaceDE w:val="0"/>
        <w:autoSpaceDN w:val="0"/>
        <w:ind w:firstLine="709"/>
        <w:jc w:val="left"/>
        <w:textAlignment w:val="baseline"/>
        <w:rPr>
          <w:rFonts w:eastAsia="Times New Roman" w:cs="Times New Roman"/>
          <w:szCs w:val="24"/>
          <w:lang w:eastAsia="ru-RU"/>
        </w:rPr>
      </w:pPr>
      <w:r w:rsidRPr="0047261E">
        <w:rPr>
          <w:rFonts w:eastAsia="Times New Roman" w:cs="Times New Roman"/>
          <w:szCs w:val="24"/>
          <w:lang w:eastAsia="ru-RU"/>
        </w:rPr>
        <w:t>социально-экономическую направленность политики правящей</w:t>
      </w:r>
      <w:r w:rsidRPr="0047261E">
        <w:rPr>
          <w:rFonts w:eastAsia="Times New Roman" w:cs="Times New Roman"/>
          <w:spacing w:val="-8"/>
          <w:szCs w:val="24"/>
          <w:lang w:eastAsia="ru-RU"/>
        </w:rPr>
        <w:t xml:space="preserve"> </w:t>
      </w:r>
      <w:r w:rsidRPr="0047261E">
        <w:rPr>
          <w:rFonts w:eastAsia="Times New Roman" w:cs="Times New Roman"/>
          <w:szCs w:val="24"/>
          <w:lang w:eastAsia="ru-RU"/>
        </w:rPr>
        <w:t>партии;</w:t>
      </w:r>
    </w:p>
    <w:p w14:paraId="4FF2E16B" w14:textId="77777777" w:rsidR="0047261E" w:rsidRPr="0047261E" w:rsidRDefault="0047261E" w:rsidP="00D24868">
      <w:pPr>
        <w:widowControl w:val="0"/>
        <w:numPr>
          <w:ilvl w:val="1"/>
          <w:numId w:val="64"/>
        </w:numPr>
        <w:tabs>
          <w:tab w:val="left" w:pos="1089"/>
          <w:tab w:val="left" w:pos="1091"/>
        </w:tabs>
        <w:suppressAutoHyphens/>
        <w:autoSpaceDE w:val="0"/>
        <w:autoSpaceDN w:val="0"/>
        <w:ind w:firstLine="709"/>
        <w:jc w:val="left"/>
        <w:textAlignment w:val="baseline"/>
        <w:rPr>
          <w:rFonts w:eastAsia="Times New Roman" w:cs="Times New Roman"/>
          <w:szCs w:val="24"/>
          <w:lang w:eastAsia="ru-RU"/>
        </w:rPr>
      </w:pPr>
      <w:r w:rsidRPr="0047261E">
        <w:rPr>
          <w:rFonts w:eastAsia="Times New Roman" w:cs="Times New Roman"/>
          <w:szCs w:val="24"/>
          <w:lang w:eastAsia="ru-RU"/>
        </w:rPr>
        <w:t>политику местных органов власти в отношении рынка недвижимости и рынка</w:t>
      </w:r>
      <w:r w:rsidRPr="0047261E">
        <w:rPr>
          <w:rFonts w:eastAsia="Times New Roman" w:cs="Times New Roman"/>
          <w:spacing w:val="-19"/>
          <w:szCs w:val="24"/>
          <w:lang w:eastAsia="ru-RU"/>
        </w:rPr>
        <w:t xml:space="preserve"> </w:t>
      </w:r>
      <w:r w:rsidRPr="0047261E">
        <w:rPr>
          <w:rFonts w:eastAsia="Times New Roman" w:cs="Times New Roman"/>
          <w:szCs w:val="24"/>
          <w:lang w:eastAsia="ru-RU"/>
        </w:rPr>
        <w:t>земли.</w:t>
      </w:r>
    </w:p>
    <w:p w14:paraId="33BEB1EB" w14:textId="77777777" w:rsidR="0047261E" w:rsidRPr="0047261E" w:rsidRDefault="0047261E" w:rsidP="00B21DA8">
      <w:pPr>
        <w:autoSpaceDN w:val="0"/>
        <w:ind w:firstLine="709"/>
        <w:textAlignment w:val="baseline"/>
        <w:rPr>
          <w:rFonts w:eastAsia="Calibri" w:cs="Times New Roman"/>
          <w:szCs w:val="24"/>
          <w:lang w:eastAsia="ru-RU"/>
        </w:rPr>
      </w:pPr>
      <w:r w:rsidRPr="0047261E">
        <w:rPr>
          <w:rFonts w:eastAsia="Calibri" w:cs="Times New Roman"/>
          <w:szCs w:val="24"/>
          <w:lang w:eastAsia="ru-RU"/>
        </w:rPr>
        <w:t>По мнению Сотрудников ГБУ РС(Я) «ЦГКО», социально-экономическая направленность политики правящей партии и политику местных (региональных) органов власти в отношении рынка недвижимости, можно охарактеризовать как удовлетворительную, так органы власти способствуют развитию рынка недвижимости, становлению его прозрачности и установления справедливого налогообложения от кадастровой стоимости, приближенной к рыночной.</w:t>
      </w:r>
    </w:p>
    <w:p w14:paraId="35BC5B5D" w14:textId="77777777" w:rsidR="0047261E" w:rsidRPr="0047261E" w:rsidRDefault="0047261E" w:rsidP="00B21DA8">
      <w:pPr>
        <w:autoSpaceDN w:val="0"/>
        <w:spacing w:before="60" w:after="60"/>
        <w:ind w:firstLine="709"/>
        <w:jc w:val="center"/>
        <w:textAlignment w:val="baseline"/>
        <w:rPr>
          <w:rFonts w:eastAsia="Calibri" w:cs="Times New Roman"/>
          <w:b/>
          <w:szCs w:val="24"/>
          <w:lang w:eastAsia="ru-RU"/>
        </w:rPr>
      </w:pPr>
      <w:bookmarkStart w:id="46" w:name="_Toc514323381"/>
      <w:bookmarkStart w:id="47" w:name="_Toc515279557"/>
      <w:r w:rsidRPr="0047261E">
        <w:rPr>
          <w:rFonts w:eastAsia="Calibri" w:cs="Times New Roman"/>
          <w:b/>
          <w:szCs w:val="24"/>
          <w:lang w:eastAsia="ru-RU"/>
        </w:rPr>
        <w:t>Социально-экономические факторы</w:t>
      </w:r>
      <w:bookmarkEnd w:id="46"/>
      <w:bookmarkEnd w:id="47"/>
    </w:p>
    <w:p w14:paraId="1609D435" w14:textId="77777777" w:rsidR="0047261E" w:rsidRPr="0047261E" w:rsidRDefault="0047261E" w:rsidP="00B21DA8">
      <w:pPr>
        <w:autoSpaceDN w:val="0"/>
        <w:ind w:firstLine="709"/>
        <w:textAlignment w:val="baseline"/>
        <w:rPr>
          <w:rFonts w:eastAsia="Calibri" w:cs="Times New Roman"/>
          <w:szCs w:val="24"/>
          <w:lang w:eastAsia="ru-RU"/>
        </w:rPr>
      </w:pPr>
      <w:r w:rsidRPr="0047261E">
        <w:rPr>
          <w:rFonts w:eastAsia="Calibri" w:cs="Times New Roman"/>
          <w:szCs w:val="24"/>
          <w:lang w:eastAsia="ru-RU"/>
        </w:rPr>
        <w:t>Экономические факторы включают:</w:t>
      </w:r>
    </w:p>
    <w:p w14:paraId="121EAB6E" w14:textId="77777777" w:rsidR="0047261E" w:rsidRPr="0047261E" w:rsidRDefault="0047261E" w:rsidP="00D24868">
      <w:pPr>
        <w:widowControl w:val="0"/>
        <w:numPr>
          <w:ilvl w:val="2"/>
          <w:numId w:val="64"/>
        </w:numPr>
        <w:tabs>
          <w:tab w:val="left" w:pos="1485"/>
          <w:tab w:val="left" w:pos="1487"/>
        </w:tabs>
        <w:suppressAutoHyphens/>
        <w:autoSpaceDE w:val="0"/>
        <w:autoSpaceDN w:val="0"/>
        <w:ind w:firstLine="709"/>
        <w:jc w:val="left"/>
        <w:textAlignment w:val="baseline"/>
        <w:rPr>
          <w:rFonts w:eastAsia="Times New Roman" w:cs="Times New Roman"/>
          <w:szCs w:val="24"/>
          <w:lang w:eastAsia="ru-RU"/>
        </w:rPr>
      </w:pPr>
      <w:r w:rsidRPr="0047261E">
        <w:rPr>
          <w:rFonts w:eastAsia="Times New Roman" w:cs="Times New Roman"/>
          <w:szCs w:val="24"/>
          <w:lang w:eastAsia="ru-RU"/>
        </w:rPr>
        <w:t>экономический уровень развития</w:t>
      </w:r>
      <w:r w:rsidRPr="0047261E">
        <w:rPr>
          <w:rFonts w:eastAsia="Times New Roman" w:cs="Times New Roman"/>
          <w:spacing w:val="-3"/>
          <w:szCs w:val="24"/>
          <w:lang w:eastAsia="ru-RU"/>
        </w:rPr>
        <w:t xml:space="preserve"> </w:t>
      </w:r>
      <w:r w:rsidRPr="0047261E">
        <w:rPr>
          <w:rFonts w:eastAsia="Times New Roman" w:cs="Times New Roman"/>
          <w:szCs w:val="24"/>
          <w:lang w:eastAsia="ru-RU"/>
        </w:rPr>
        <w:t>страны;</w:t>
      </w:r>
    </w:p>
    <w:p w14:paraId="3DA35AF3" w14:textId="77777777" w:rsidR="0047261E" w:rsidRPr="0047261E" w:rsidRDefault="0047261E" w:rsidP="00D24868">
      <w:pPr>
        <w:widowControl w:val="0"/>
        <w:numPr>
          <w:ilvl w:val="2"/>
          <w:numId w:val="64"/>
        </w:numPr>
        <w:tabs>
          <w:tab w:val="left" w:pos="1485"/>
          <w:tab w:val="left" w:pos="1487"/>
        </w:tabs>
        <w:suppressAutoHyphens/>
        <w:autoSpaceDE w:val="0"/>
        <w:autoSpaceDN w:val="0"/>
        <w:ind w:firstLine="709"/>
        <w:jc w:val="left"/>
        <w:textAlignment w:val="baseline"/>
        <w:rPr>
          <w:rFonts w:eastAsia="Times New Roman" w:cs="Times New Roman"/>
          <w:szCs w:val="24"/>
          <w:lang w:eastAsia="ru-RU"/>
        </w:rPr>
      </w:pPr>
      <w:r w:rsidRPr="0047261E">
        <w:rPr>
          <w:rFonts w:eastAsia="Times New Roman" w:cs="Times New Roman"/>
          <w:szCs w:val="24"/>
          <w:lang w:eastAsia="ru-RU"/>
        </w:rPr>
        <w:t>темпы роста валового национального</w:t>
      </w:r>
      <w:r w:rsidRPr="0047261E">
        <w:rPr>
          <w:rFonts w:eastAsia="Times New Roman" w:cs="Times New Roman"/>
          <w:spacing w:val="-7"/>
          <w:szCs w:val="24"/>
          <w:lang w:eastAsia="ru-RU"/>
        </w:rPr>
        <w:t xml:space="preserve"> </w:t>
      </w:r>
      <w:r w:rsidRPr="0047261E">
        <w:rPr>
          <w:rFonts w:eastAsia="Times New Roman" w:cs="Times New Roman"/>
          <w:szCs w:val="24"/>
          <w:lang w:eastAsia="ru-RU"/>
        </w:rPr>
        <w:t>продукта;</w:t>
      </w:r>
    </w:p>
    <w:p w14:paraId="3EE4FAC3" w14:textId="77777777" w:rsidR="0047261E" w:rsidRPr="0047261E" w:rsidRDefault="0047261E" w:rsidP="00D24868">
      <w:pPr>
        <w:widowControl w:val="0"/>
        <w:numPr>
          <w:ilvl w:val="2"/>
          <w:numId w:val="64"/>
        </w:numPr>
        <w:tabs>
          <w:tab w:val="left" w:pos="1485"/>
          <w:tab w:val="left" w:pos="1487"/>
        </w:tabs>
        <w:suppressAutoHyphens/>
        <w:autoSpaceDE w:val="0"/>
        <w:autoSpaceDN w:val="0"/>
        <w:ind w:firstLine="709"/>
        <w:jc w:val="left"/>
        <w:textAlignment w:val="baseline"/>
        <w:rPr>
          <w:rFonts w:eastAsia="Times New Roman" w:cs="Times New Roman"/>
          <w:szCs w:val="24"/>
          <w:lang w:eastAsia="ru-RU"/>
        </w:rPr>
      </w:pPr>
      <w:r w:rsidRPr="0047261E">
        <w:rPr>
          <w:rFonts w:eastAsia="Times New Roman" w:cs="Times New Roman"/>
          <w:szCs w:val="24"/>
          <w:lang w:eastAsia="ru-RU"/>
        </w:rPr>
        <w:t>кредитно-денежную</w:t>
      </w:r>
      <w:r w:rsidRPr="0047261E">
        <w:rPr>
          <w:rFonts w:eastAsia="Times New Roman" w:cs="Times New Roman"/>
          <w:spacing w:val="-3"/>
          <w:szCs w:val="24"/>
          <w:lang w:eastAsia="ru-RU"/>
        </w:rPr>
        <w:t xml:space="preserve"> </w:t>
      </w:r>
      <w:r w:rsidRPr="0047261E">
        <w:rPr>
          <w:rFonts w:eastAsia="Times New Roman" w:cs="Times New Roman"/>
          <w:szCs w:val="24"/>
          <w:lang w:eastAsia="ru-RU"/>
        </w:rPr>
        <w:t>политику;</w:t>
      </w:r>
    </w:p>
    <w:p w14:paraId="7174E68D" w14:textId="77777777" w:rsidR="0047261E" w:rsidRPr="0047261E" w:rsidRDefault="0047261E" w:rsidP="00D24868">
      <w:pPr>
        <w:widowControl w:val="0"/>
        <w:numPr>
          <w:ilvl w:val="2"/>
          <w:numId w:val="64"/>
        </w:numPr>
        <w:tabs>
          <w:tab w:val="left" w:pos="1485"/>
          <w:tab w:val="left" w:pos="1487"/>
        </w:tabs>
        <w:suppressAutoHyphens/>
        <w:autoSpaceDE w:val="0"/>
        <w:autoSpaceDN w:val="0"/>
        <w:ind w:firstLine="709"/>
        <w:jc w:val="left"/>
        <w:textAlignment w:val="baseline"/>
        <w:rPr>
          <w:rFonts w:eastAsia="Times New Roman" w:cs="Times New Roman"/>
          <w:szCs w:val="24"/>
          <w:lang w:eastAsia="ru-RU"/>
        </w:rPr>
      </w:pPr>
      <w:r w:rsidRPr="0047261E">
        <w:rPr>
          <w:rFonts w:eastAsia="Times New Roman" w:cs="Times New Roman"/>
          <w:szCs w:val="24"/>
          <w:lang w:eastAsia="ru-RU"/>
        </w:rPr>
        <w:t>темпы</w:t>
      </w:r>
      <w:r w:rsidRPr="0047261E">
        <w:rPr>
          <w:rFonts w:eastAsia="Times New Roman" w:cs="Times New Roman"/>
          <w:spacing w:val="-4"/>
          <w:szCs w:val="24"/>
          <w:lang w:eastAsia="ru-RU"/>
        </w:rPr>
        <w:t xml:space="preserve"> </w:t>
      </w:r>
      <w:r w:rsidRPr="0047261E">
        <w:rPr>
          <w:rFonts w:eastAsia="Times New Roman" w:cs="Times New Roman"/>
          <w:szCs w:val="24"/>
          <w:lang w:eastAsia="ru-RU"/>
        </w:rPr>
        <w:t>инфляции;</w:t>
      </w:r>
    </w:p>
    <w:p w14:paraId="2CBD95A7" w14:textId="77777777" w:rsidR="0047261E" w:rsidRPr="0047261E" w:rsidRDefault="0047261E" w:rsidP="00D24868">
      <w:pPr>
        <w:widowControl w:val="0"/>
        <w:numPr>
          <w:ilvl w:val="2"/>
          <w:numId w:val="64"/>
        </w:numPr>
        <w:tabs>
          <w:tab w:val="left" w:pos="1485"/>
          <w:tab w:val="left" w:pos="1487"/>
        </w:tabs>
        <w:suppressAutoHyphens/>
        <w:autoSpaceDE w:val="0"/>
        <w:autoSpaceDN w:val="0"/>
        <w:ind w:firstLine="709"/>
        <w:jc w:val="left"/>
        <w:textAlignment w:val="baseline"/>
        <w:rPr>
          <w:rFonts w:eastAsia="Times New Roman" w:cs="Times New Roman"/>
          <w:szCs w:val="24"/>
          <w:lang w:eastAsia="ru-RU"/>
        </w:rPr>
      </w:pPr>
      <w:r w:rsidRPr="0047261E">
        <w:rPr>
          <w:rFonts w:eastAsia="Times New Roman" w:cs="Times New Roman"/>
          <w:szCs w:val="24"/>
          <w:lang w:eastAsia="ru-RU"/>
        </w:rPr>
        <w:t>колебания деловой активности;</w:t>
      </w:r>
    </w:p>
    <w:p w14:paraId="0022E6D6" w14:textId="77777777" w:rsidR="0047261E" w:rsidRPr="0047261E" w:rsidRDefault="0047261E" w:rsidP="00D24868">
      <w:pPr>
        <w:widowControl w:val="0"/>
        <w:numPr>
          <w:ilvl w:val="2"/>
          <w:numId w:val="64"/>
        </w:numPr>
        <w:tabs>
          <w:tab w:val="left" w:pos="1485"/>
          <w:tab w:val="left" w:pos="1487"/>
        </w:tabs>
        <w:suppressAutoHyphens/>
        <w:autoSpaceDE w:val="0"/>
        <w:autoSpaceDN w:val="0"/>
        <w:ind w:firstLine="709"/>
        <w:jc w:val="left"/>
        <w:textAlignment w:val="baseline"/>
        <w:rPr>
          <w:rFonts w:eastAsia="Times New Roman" w:cs="Times New Roman"/>
          <w:szCs w:val="24"/>
          <w:lang w:eastAsia="ru-RU"/>
        </w:rPr>
      </w:pPr>
      <w:r w:rsidRPr="0047261E">
        <w:rPr>
          <w:rFonts w:eastAsia="Times New Roman" w:cs="Times New Roman"/>
          <w:szCs w:val="24"/>
          <w:lang w:eastAsia="ru-RU"/>
        </w:rPr>
        <w:t>занятость</w:t>
      </w:r>
      <w:r w:rsidRPr="0047261E">
        <w:rPr>
          <w:rFonts w:eastAsia="Times New Roman" w:cs="Times New Roman"/>
          <w:spacing w:val="-4"/>
          <w:szCs w:val="24"/>
          <w:lang w:eastAsia="ru-RU"/>
        </w:rPr>
        <w:t xml:space="preserve"> </w:t>
      </w:r>
      <w:r w:rsidRPr="0047261E">
        <w:rPr>
          <w:rFonts w:eastAsia="Times New Roman" w:cs="Times New Roman"/>
          <w:szCs w:val="24"/>
          <w:lang w:eastAsia="ru-RU"/>
        </w:rPr>
        <w:t>населения;</w:t>
      </w:r>
    </w:p>
    <w:p w14:paraId="55FE57F0" w14:textId="77777777" w:rsidR="0047261E" w:rsidRPr="0047261E" w:rsidRDefault="0047261E" w:rsidP="00D24868">
      <w:pPr>
        <w:widowControl w:val="0"/>
        <w:numPr>
          <w:ilvl w:val="2"/>
          <w:numId w:val="64"/>
        </w:numPr>
        <w:tabs>
          <w:tab w:val="left" w:pos="1485"/>
          <w:tab w:val="left" w:pos="1487"/>
        </w:tabs>
        <w:suppressAutoHyphens/>
        <w:autoSpaceDE w:val="0"/>
        <w:autoSpaceDN w:val="0"/>
        <w:ind w:firstLine="709"/>
        <w:jc w:val="left"/>
        <w:textAlignment w:val="baseline"/>
        <w:rPr>
          <w:rFonts w:eastAsia="Times New Roman" w:cs="Times New Roman"/>
          <w:szCs w:val="24"/>
          <w:lang w:eastAsia="ru-RU"/>
        </w:rPr>
      </w:pPr>
      <w:r w:rsidRPr="0047261E">
        <w:rPr>
          <w:rFonts w:eastAsia="Times New Roman" w:cs="Times New Roman"/>
          <w:szCs w:val="24"/>
          <w:lang w:eastAsia="ru-RU"/>
        </w:rPr>
        <w:t>покупательную способность</w:t>
      </w:r>
      <w:r w:rsidRPr="0047261E">
        <w:rPr>
          <w:rFonts w:eastAsia="Times New Roman" w:cs="Times New Roman"/>
          <w:spacing w:val="-3"/>
          <w:szCs w:val="24"/>
          <w:lang w:eastAsia="ru-RU"/>
        </w:rPr>
        <w:t xml:space="preserve"> </w:t>
      </w:r>
      <w:r w:rsidRPr="0047261E">
        <w:rPr>
          <w:rFonts w:eastAsia="Times New Roman" w:cs="Times New Roman"/>
          <w:szCs w:val="24"/>
          <w:lang w:eastAsia="ru-RU"/>
        </w:rPr>
        <w:t>населения.</w:t>
      </w:r>
    </w:p>
    <w:p w14:paraId="198074DF" w14:textId="77777777" w:rsidR="0047261E" w:rsidRPr="0047261E" w:rsidRDefault="0047261E" w:rsidP="00B21DA8">
      <w:pPr>
        <w:autoSpaceDN w:val="0"/>
        <w:ind w:firstLine="709"/>
        <w:textAlignment w:val="baseline"/>
        <w:rPr>
          <w:rFonts w:eastAsia="Calibri" w:cs="Times New Roman"/>
          <w:szCs w:val="24"/>
          <w:lang w:eastAsia="ru-RU"/>
        </w:rPr>
      </w:pPr>
      <w:r w:rsidRPr="0047261E">
        <w:rPr>
          <w:rFonts w:eastAsia="Calibri" w:cs="Times New Roman"/>
          <w:szCs w:val="24"/>
          <w:lang w:eastAsia="ru-RU"/>
        </w:rPr>
        <w:t>Социальные факторы представлены различными аспектами социально-экономической структуризации населения по различным основаниям, таким как социально-профессиональные, социально-потребительские, по уровню доходов, жилищных условий и т. д.</w:t>
      </w:r>
    </w:p>
    <w:p w14:paraId="70105957" w14:textId="77777777" w:rsidR="0047261E" w:rsidRPr="0047261E" w:rsidRDefault="0047261E" w:rsidP="00B21DA8">
      <w:pPr>
        <w:autoSpaceDN w:val="0"/>
        <w:ind w:firstLine="709"/>
        <w:textAlignment w:val="baseline"/>
        <w:rPr>
          <w:rFonts w:eastAsia="Calibri" w:cs="Times New Roman"/>
          <w:szCs w:val="24"/>
          <w:lang w:eastAsia="ru-RU"/>
        </w:rPr>
      </w:pPr>
      <w:r w:rsidRPr="0047261E">
        <w:rPr>
          <w:rFonts w:eastAsia="Calibri" w:cs="Times New Roman"/>
          <w:szCs w:val="24"/>
          <w:lang w:eastAsia="ru-RU"/>
        </w:rPr>
        <w:t>К данной группе факторов относят и демографические факторы, которые также влияют на состояние регионального рынка недвижимости. К ним относятся:</w:t>
      </w:r>
    </w:p>
    <w:p w14:paraId="3E403FA3" w14:textId="77777777" w:rsidR="0047261E" w:rsidRPr="0047261E" w:rsidRDefault="0047261E" w:rsidP="00D24868">
      <w:pPr>
        <w:widowControl w:val="0"/>
        <w:numPr>
          <w:ilvl w:val="2"/>
          <w:numId w:val="64"/>
        </w:numPr>
        <w:tabs>
          <w:tab w:val="left" w:pos="1485"/>
          <w:tab w:val="left" w:pos="1487"/>
        </w:tabs>
        <w:suppressAutoHyphens/>
        <w:autoSpaceDE w:val="0"/>
        <w:autoSpaceDN w:val="0"/>
        <w:ind w:firstLine="709"/>
        <w:jc w:val="left"/>
        <w:textAlignment w:val="baseline"/>
        <w:rPr>
          <w:rFonts w:eastAsia="Times New Roman" w:cs="Times New Roman"/>
          <w:szCs w:val="24"/>
          <w:lang w:eastAsia="ru-RU"/>
        </w:rPr>
      </w:pPr>
      <w:r w:rsidRPr="0047261E">
        <w:rPr>
          <w:rFonts w:eastAsia="Times New Roman" w:cs="Times New Roman"/>
          <w:szCs w:val="24"/>
          <w:lang w:eastAsia="ru-RU"/>
        </w:rPr>
        <w:t>численность</w:t>
      </w:r>
      <w:r w:rsidRPr="0047261E">
        <w:rPr>
          <w:rFonts w:eastAsia="Times New Roman" w:cs="Times New Roman"/>
          <w:spacing w:val="-2"/>
          <w:szCs w:val="24"/>
          <w:lang w:eastAsia="ru-RU"/>
        </w:rPr>
        <w:t xml:space="preserve"> </w:t>
      </w:r>
      <w:r w:rsidRPr="0047261E">
        <w:rPr>
          <w:rFonts w:eastAsia="Times New Roman" w:cs="Times New Roman"/>
          <w:szCs w:val="24"/>
          <w:lang w:eastAsia="ru-RU"/>
        </w:rPr>
        <w:t>населения;</w:t>
      </w:r>
    </w:p>
    <w:p w14:paraId="41D632BF" w14:textId="77777777" w:rsidR="0047261E" w:rsidRPr="0047261E" w:rsidRDefault="0047261E" w:rsidP="00D24868">
      <w:pPr>
        <w:widowControl w:val="0"/>
        <w:numPr>
          <w:ilvl w:val="2"/>
          <w:numId w:val="64"/>
        </w:numPr>
        <w:tabs>
          <w:tab w:val="left" w:pos="1485"/>
          <w:tab w:val="left" w:pos="1487"/>
        </w:tabs>
        <w:suppressAutoHyphens/>
        <w:autoSpaceDE w:val="0"/>
        <w:autoSpaceDN w:val="0"/>
        <w:ind w:firstLine="709"/>
        <w:jc w:val="left"/>
        <w:textAlignment w:val="baseline"/>
        <w:rPr>
          <w:rFonts w:eastAsia="Times New Roman" w:cs="Times New Roman"/>
          <w:szCs w:val="24"/>
          <w:lang w:eastAsia="ru-RU"/>
        </w:rPr>
      </w:pPr>
      <w:r w:rsidRPr="0047261E">
        <w:rPr>
          <w:rFonts w:eastAsia="Times New Roman" w:cs="Times New Roman"/>
          <w:szCs w:val="24"/>
          <w:lang w:eastAsia="ru-RU"/>
        </w:rPr>
        <w:t>прирост</w:t>
      </w:r>
      <w:r w:rsidRPr="0047261E">
        <w:rPr>
          <w:rFonts w:eastAsia="Times New Roman" w:cs="Times New Roman"/>
          <w:spacing w:val="-1"/>
          <w:szCs w:val="24"/>
          <w:lang w:eastAsia="ru-RU"/>
        </w:rPr>
        <w:t xml:space="preserve"> </w:t>
      </w:r>
      <w:r w:rsidRPr="0047261E">
        <w:rPr>
          <w:rFonts w:eastAsia="Times New Roman" w:cs="Times New Roman"/>
          <w:szCs w:val="24"/>
          <w:lang w:eastAsia="ru-RU"/>
        </w:rPr>
        <w:t>населения;</w:t>
      </w:r>
    </w:p>
    <w:p w14:paraId="51659DC1" w14:textId="77777777" w:rsidR="0047261E" w:rsidRPr="0047261E" w:rsidRDefault="0047261E" w:rsidP="00D24868">
      <w:pPr>
        <w:widowControl w:val="0"/>
        <w:numPr>
          <w:ilvl w:val="2"/>
          <w:numId w:val="64"/>
        </w:numPr>
        <w:tabs>
          <w:tab w:val="left" w:pos="1485"/>
          <w:tab w:val="left" w:pos="1487"/>
        </w:tabs>
        <w:suppressAutoHyphens/>
        <w:autoSpaceDE w:val="0"/>
        <w:autoSpaceDN w:val="0"/>
        <w:ind w:firstLine="709"/>
        <w:jc w:val="left"/>
        <w:textAlignment w:val="baseline"/>
        <w:rPr>
          <w:rFonts w:eastAsia="Times New Roman" w:cs="Times New Roman"/>
          <w:szCs w:val="24"/>
          <w:lang w:eastAsia="ru-RU"/>
        </w:rPr>
      </w:pPr>
      <w:r w:rsidRPr="0047261E">
        <w:rPr>
          <w:rFonts w:eastAsia="Times New Roman" w:cs="Times New Roman"/>
          <w:szCs w:val="24"/>
          <w:lang w:eastAsia="ru-RU"/>
        </w:rPr>
        <w:t>уровни рождаемости и смертности и</w:t>
      </w:r>
      <w:r w:rsidRPr="0047261E">
        <w:rPr>
          <w:rFonts w:eastAsia="Times New Roman" w:cs="Times New Roman"/>
          <w:spacing w:val="-9"/>
          <w:szCs w:val="24"/>
          <w:lang w:eastAsia="ru-RU"/>
        </w:rPr>
        <w:t xml:space="preserve"> </w:t>
      </w:r>
      <w:r w:rsidRPr="0047261E">
        <w:rPr>
          <w:rFonts w:eastAsia="Times New Roman" w:cs="Times New Roman"/>
          <w:szCs w:val="24"/>
          <w:lang w:eastAsia="ru-RU"/>
        </w:rPr>
        <w:t>др.</w:t>
      </w:r>
    </w:p>
    <w:p w14:paraId="17254C33" w14:textId="77777777" w:rsidR="0047261E" w:rsidRDefault="0047261E" w:rsidP="00B21DA8">
      <w:pPr>
        <w:autoSpaceDN w:val="0"/>
        <w:ind w:firstLine="709"/>
        <w:textAlignment w:val="baseline"/>
        <w:rPr>
          <w:rFonts w:eastAsia="Calibri" w:cs="Times New Roman"/>
          <w:szCs w:val="24"/>
          <w:lang w:eastAsia="ru-RU"/>
        </w:rPr>
      </w:pPr>
      <w:r w:rsidRPr="0047261E">
        <w:rPr>
          <w:rFonts w:eastAsia="Calibri" w:cs="Times New Roman"/>
          <w:szCs w:val="24"/>
          <w:lang w:eastAsia="ru-RU"/>
        </w:rPr>
        <w:t>Анализ</w:t>
      </w:r>
      <w:r w:rsidRPr="0047261E">
        <w:rPr>
          <w:rFonts w:eastAsia="Calibri" w:cs="Times New Roman"/>
          <w:spacing w:val="-12"/>
          <w:szCs w:val="24"/>
          <w:lang w:eastAsia="ru-RU"/>
        </w:rPr>
        <w:t xml:space="preserve"> </w:t>
      </w:r>
      <w:r w:rsidRPr="0047261E">
        <w:rPr>
          <w:rFonts w:eastAsia="Calibri" w:cs="Times New Roman"/>
          <w:szCs w:val="24"/>
          <w:lang w:eastAsia="ru-RU"/>
        </w:rPr>
        <w:t>социально-экономические</w:t>
      </w:r>
      <w:r w:rsidRPr="0047261E">
        <w:rPr>
          <w:rFonts w:eastAsia="Calibri" w:cs="Times New Roman"/>
          <w:spacing w:val="-12"/>
          <w:szCs w:val="24"/>
          <w:lang w:eastAsia="ru-RU"/>
        </w:rPr>
        <w:t xml:space="preserve"> </w:t>
      </w:r>
      <w:r w:rsidRPr="0047261E">
        <w:rPr>
          <w:rFonts w:eastAsia="Calibri" w:cs="Times New Roman"/>
          <w:szCs w:val="24"/>
          <w:lang w:eastAsia="ru-RU"/>
        </w:rPr>
        <w:t>факторов</w:t>
      </w:r>
      <w:r w:rsidRPr="0047261E">
        <w:rPr>
          <w:rFonts w:eastAsia="Calibri" w:cs="Times New Roman"/>
          <w:spacing w:val="-11"/>
          <w:szCs w:val="24"/>
          <w:lang w:eastAsia="ru-RU"/>
        </w:rPr>
        <w:t xml:space="preserve"> </w:t>
      </w:r>
      <w:r w:rsidRPr="0047261E">
        <w:rPr>
          <w:rFonts w:eastAsia="Calibri" w:cs="Times New Roman"/>
          <w:szCs w:val="24"/>
          <w:lang w:eastAsia="ru-RU"/>
        </w:rPr>
        <w:t>разделен</w:t>
      </w:r>
      <w:r w:rsidRPr="0047261E">
        <w:rPr>
          <w:rFonts w:eastAsia="Calibri" w:cs="Times New Roman"/>
          <w:spacing w:val="-13"/>
          <w:szCs w:val="24"/>
          <w:lang w:eastAsia="ru-RU"/>
        </w:rPr>
        <w:t xml:space="preserve"> </w:t>
      </w:r>
      <w:r w:rsidRPr="0047261E">
        <w:rPr>
          <w:rFonts w:eastAsia="Calibri" w:cs="Times New Roman"/>
          <w:szCs w:val="24"/>
          <w:lang w:eastAsia="ru-RU"/>
        </w:rPr>
        <w:t>на:</w:t>
      </w:r>
      <w:r w:rsidRPr="0047261E">
        <w:rPr>
          <w:rFonts w:eastAsia="Calibri" w:cs="Times New Roman"/>
          <w:spacing w:val="-14"/>
          <w:szCs w:val="24"/>
          <w:lang w:eastAsia="ru-RU"/>
        </w:rPr>
        <w:t xml:space="preserve"> </w:t>
      </w:r>
      <w:r w:rsidRPr="0047261E">
        <w:rPr>
          <w:rFonts w:eastAsia="Calibri" w:cs="Times New Roman"/>
          <w:szCs w:val="24"/>
          <w:lang w:eastAsia="ru-RU"/>
        </w:rPr>
        <w:t>анализ</w:t>
      </w:r>
      <w:r w:rsidRPr="0047261E">
        <w:rPr>
          <w:rFonts w:eastAsia="Calibri" w:cs="Times New Roman"/>
          <w:spacing w:val="-11"/>
          <w:szCs w:val="24"/>
          <w:lang w:eastAsia="ru-RU"/>
        </w:rPr>
        <w:t xml:space="preserve"> </w:t>
      </w:r>
      <w:r w:rsidRPr="0047261E">
        <w:rPr>
          <w:rFonts w:eastAsia="Calibri" w:cs="Times New Roman"/>
          <w:szCs w:val="24"/>
          <w:lang w:eastAsia="ru-RU"/>
        </w:rPr>
        <w:t>социально-экономического</w:t>
      </w:r>
      <w:r w:rsidRPr="0047261E">
        <w:rPr>
          <w:rFonts w:eastAsia="Calibri" w:cs="Times New Roman"/>
          <w:spacing w:val="-12"/>
          <w:szCs w:val="24"/>
          <w:lang w:eastAsia="ru-RU"/>
        </w:rPr>
        <w:t xml:space="preserve"> </w:t>
      </w:r>
      <w:r w:rsidRPr="0047261E">
        <w:rPr>
          <w:rFonts w:eastAsia="Calibri" w:cs="Times New Roman"/>
          <w:szCs w:val="24"/>
          <w:lang w:eastAsia="ru-RU"/>
        </w:rPr>
        <w:t>развития</w:t>
      </w:r>
      <w:r w:rsidRPr="0047261E">
        <w:rPr>
          <w:rFonts w:eastAsia="Calibri" w:cs="Times New Roman"/>
          <w:spacing w:val="-12"/>
          <w:szCs w:val="24"/>
          <w:lang w:eastAsia="ru-RU"/>
        </w:rPr>
        <w:t xml:space="preserve"> </w:t>
      </w:r>
      <w:r w:rsidRPr="0047261E">
        <w:rPr>
          <w:rFonts w:eastAsia="Calibri" w:cs="Times New Roman"/>
          <w:szCs w:val="24"/>
          <w:lang w:eastAsia="ru-RU"/>
        </w:rPr>
        <w:t>России</w:t>
      </w:r>
      <w:r w:rsidRPr="0047261E">
        <w:rPr>
          <w:rFonts w:eastAsia="Calibri" w:cs="Times New Roman"/>
          <w:spacing w:val="-12"/>
          <w:szCs w:val="24"/>
          <w:lang w:eastAsia="ru-RU"/>
        </w:rPr>
        <w:t xml:space="preserve"> </w:t>
      </w:r>
      <w:r w:rsidRPr="0047261E">
        <w:rPr>
          <w:rFonts w:eastAsia="Calibri" w:cs="Times New Roman"/>
          <w:szCs w:val="24"/>
          <w:lang w:eastAsia="ru-RU"/>
        </w:rPr>
        <w:t>и</w:t>
      </w:r>
      <w:r w:rsidRPr="0047261E">
        <w:rPr>
          <w:rFonts w:eastAsia="Calibri" w:cs="Times New Roman"/>
          <w:spacing w:val="-10"/>
          <w:szCs w:val="24"/>
          <w:lang w:eastAsia="ru-RU"/>
        </w:rPr>
        <w:t xml:space="preserve"> </w:t>
      </w:r>
      <w:r w:rsidRPr="0047261E">
        <w:rPr>
          <w:rFonts w:eastAsia="Calibri" w:cs="Times New Roman"/>
          <w:szCs w:val="24"/>
          <w:lang w:eastAsia="ru-RU"/>
        </w:rPr>
        <w:t>анализ социально-экономического</w:t>
      </w:r>
      <w:r w:rsidRPr="0047261E">
        <w:rPr>
          <w:rFonts w:eastAsia="Calibri" w:cs="Times New Roman"/>
          <w:spacing w:val="-10"/>
          <w:szCs w:val="24"/>
          <w:lang w:eastAsia="ru-RU"/>
        </w:rPr>
        <w:t xml:space="preserve"> </w:t>
      </w:r>
      <w:r w:rsidRPr="0047261E">
        <w:rPr>
          <w:rFonts w:eastAsia="Calibri" w:cs="Times New Roman"/>
          <w:szCs w:val="24"/>
          <w:lang w:eastAsia="ru-RU"/>
        </w:rPr>
        <w:t>развития</w:t>
      </w:r>
      <w:r w:rsidRPr="0047261E">
        <w:rPr>
          <w:rFonts w:eastAsia="Calibri" w:cs="Times New Roman"/>
          <w:spacing w:val="-9"/>
          <w:szCs w:val="24"/>
          <w:lang w:eastAsia="ru-RU"/>
        </w:rPr>
        <w:t xml:space="preserve"> </w:t>
      </w:r>
      <w:r w:rsidRPr="0047261E">
        <w:rPr>
          <w:rFonts w:eastAsia="Calibri" w:cs="Times New Roman"/>
          <w:szCs w:val="24"/>
          <w:lang w:eastAsia="ru-RU"/>
        </w:rPr>
        <w:t>региона</w:t>
      </w:r>
      <w:r w:rsidRPr="0047261E">
        <w:rPr>
          <w:rFonts w:eastAsia="Calibri" w:cs="Times New Roman"/>
          <w:spacing w:val="-10"/>
          <w:szCs w:val="24"/>
          <w:lang w:eastAsia="ru-RU"/>
        </w:rPr>
        <w:t xml:space="preserve"> </w:t>
      </w:r>
      <w:r w:rsidRPr="0047261E">
        <w:rPr>
          <w:rFonts w:eastAsia="Calibri" w:cs="Times New Roman"/>
          <w:szCs w:val="24"/>
          <w:lang w:eastAsia="ru-RU"/>
        </w:rPr>
        <w:t>расположения</w:t>
      </w:r>
      <w:r w:rsidRPr="0047261E">
        <w:rPr>
          <w:rFonts w:eastAsia="Calibri" w:cs="Times New Roman"/>
          <w:spacing w:val="-9"/>
          <w:szCs w:val="24"/>
          <w:lang w:eastAsia="ru-RU"/>
        </w:rPr>
        <w:t xml:space="preserve"> </w:t>
      </w:r>
      <w:r w:rsidRPr="0047261E">
        <w:rPr>
          <w:rFonts w:eastAsia="Calibri" w:cs="Times New Roman"/>
          <w:szCs w:val="24"/>
          <w:lang w:eastAsia="ru-RU"/>
        </w:rPr>
        <w:t>оцениваемого</w:t>
      </w:r>
      <w:r w:rsidRPr="0047261E">
        <w:rPr>
          <w:rFonts w:eastAsia="Calibri" w:cs="Times New Roman"/>
          <w:spacing w:val="-12"/>
          <w:szCs w:val="24"/>
          <w:lang w:eastAsia="ru-RU"/>
        </w:rPr>
        <w:t xml:space="preserve"> </w:t>
      </w:r>
      <w:r w:rsidRPr="0047261E">
        <w:rPr>
          <w:rFonts w:eastAsia="Calibri" w:cs="Times New Roman"/>
          <w:szCs w:val="24"/>
          <w:lang w:eastAsia="ru-RU"/>
        </w:rPr>
        <w:t>объекта,</w:t>
      </w:r>
      <w:r w:rsidRPr="0047261E">
        <w:rPr>
          <w:rFonts w:eastAsia="Calibri" w:cs="Times New Roman"/>
          <w:spacing w:val="-10"/>
          <w:szCs w:val="24"/>
          <w:lang w:eastAsia="ru-RU"/>
        </w:rPr>
        <w:t xml:space="preserve"> </w:t>
      </w:r>
      <w:r w:rsidRPr="0047261E">
        <w:rPr>
          <w:rFonts w:eastAsia="Calibri" w:cs="Times New Roman"/>
          <w:szCs w:val="24"/>
          <w:lang w:eastAsia="ru-RU"/>
        </w:rPr>
        <w:t>и</w:t>
      </w:r>
      <w:r w:rsidRPr="0047261E">
        <w:rPr>
          <w:rFonts w:eastAsia="Calibri" w:cs="Times New Roman"/>
          <w:spacing w:val="-14"/>
          <w:szCs w:val="24"/>
          <w:lang w:eastAsia="ru-RU"/>
        </w:rPr>
        <w:t xml:space="preserve"> </w:t>
      </w:r>
      <w:r w:rsidRPr="0047261E">
        <w:rPr>
          <w:rFonts w:eastAsia="Calibri" w:cs="Times New Roman"/>
          <w:szCs w:val="24"/>
          <w:lang w:eastAsia="ru-RU"/>
        </w:rPr>
        <w:t>приведен</w:t>
      </w:r>
      <w:r w:rsidRPr="0047261E">
        <w:rPr>
          <w:rFonts w:eastAsia="Calibri" w:cs="Times New Roman"/>
          <w:spacing w:val="-9"/>
          <w:szCs w:val="24"/>
          <w:lang w:eastAsia="ru-RU"/>
        </w:rPr>
        <w:t xml:space="preserve"> </w:t>
      </w:r>
      <w:r w:rsidRPr="0047261E">
        <w:rPr>
          <w:rFonts w:eastAsia="Calibri" w:cs="Times New Roman"/>
          <w:szCs w:val="24"/>
          <w:lang w:eastAsia="ru-RU"/>
        </w:rPr>
        <w:t>в данном</w:t>
      </w:r>
      <w:r w:rsidRPr="0047261E">
        <w:rPr>
          <w:rFonts w:eastAsia="Calibri" w:cs="Times New Roman"/>
          <w:spacing w:val="-11"/>
          <w:szCs w:val="24"/>
          <w:lang w:eastAsia="ru-RU"/>
        </w:rPr>
        <w:t xml:space="preserve"> </w:t>
      </w:r>
      <w:r w:rsidRPr="0047261E">
        <w:rPr>
          <w:rFonts w:eastAsia="Calibri" w:cs="Times New Roman"/>
          <w:szCs w:val="24"/>
          <w:lang w:eastAsia="ru-RU"/>
        </w:rPr>
        <w:t>разделе настоящего Отчета</w:t>
      </w:r>
    </w:p>
    <w:p w14:paraId="4261E32F" w14:textId="6C1FB310" w:rsidR="0047261E" w:rsidRPr="0047261E" w:rsidRDefault="0047261E" w:rsidP="00B21DA8">
      <w:pPr>
        <w:autoSpaceDN w:val="0"/>
        <w:ind w:firstLine="709"/>
        <w:textAlignment w:val="baseline"/>
        <w:rPr>
          <w:rFonts w:eastAsia="Calibri" w:cs="Times New Roman"/>
          <w:szCs w:val="24"/>
          <w:lang w:eastAsia="ru-RU"/>
        </w:rPr>
      </w:pPr>
      <w:r w:rsidRPr="0047261E">
        <w:rPr>
          <w:rFonts w:eastAsia="Calibri" w:cs="Times New Roman"/>
          <w:szCs w:val="24"/>
          <w:lang w:eastAsia="ru-RU"/>
        </w:rPr>
        <w:t>.</w:t>
      </w:r>
    </w:p>
    <w:p w14:paraId="24B9DCEF" w14:textId="472D04DE" w:rsidR="0047261E" w:rsidRPr="00DF26AE" w:rsidRDefault="0047261E" w:rsidP="00FD2769">
      <w:pPr>
        <w:pStyle w:val="3"/>
        <w:rPr>
          <w:rFonts w:eastAsia="Calibri"/>
          <w:lang w:eastAsia="zh-CN"/>
        </w:rPr>
      </w:pPr>
      <w:bookmarkStart w:id="48" w:name="_Toc14819100"/>
      <w:r w:rsidRPr="00DF26AE">
        <w:rPr>
          <w:rFonts w:eastAsia="Calibri"/>
          <w:lang w:eastAsia="zh-CN"/>
        </w:rPr>
        <w:t>Краткое описание общеэкономического состояния Российской Федерации</w:t>
      </w:r>
      <w:bookmarkEnd w:id="42"/>
      <w:bookmarkEnd w:id="43"/>
      <w:r w:rsidRPr="00DF26AE">
        <w:rPr>
          <w:rFonts w:eastAsia="Calibri"/>
          <w:lang w:eastAsia="zh-CN"/>
        </w:rPr>
        <w:t xml:space="preserve"> в 2018 году</w:t>
      </w:r>
      <w:bookmarkEnd w:id="48"/>
    </w:p>
    <w:p w14:paraId="095D7D1E" w14:textId="77777777" w:rsidR="0047261E" w:rsidRPr="00BE670C" w:rsidRDefault="0047261E" w:rsidP="00B21DA8">
      <w:pPr>
        <w:keepNext/>
        <w:keepLines/>
        <w:widowControl w:val="0"/>
        <w:suppressAutoHyphens/>
        <w:autoSpaceDN w:val="0"/>
        <w:ind w:firstLine="709"/>
        <w:jc w:val="left"/>
        <w:textAlignment w:val="baseline"/>
        <w:rPr>
          <w:rFonts w:eastAsia="Times New Roman" w:cs="Times New Roman"/>
          <w:i/>
          <w:kern w:val="3"/>
          <w:szCs w:val="24"/>
          <w:lang w:eastAsia="ru-RU" w:bidi="hi-IN"/>
        </w:rPr>
      </w:pPr>
      <w:bookmarkStart w:id="49" w:name="_Toc1641538"/>
    </w:p>
    <w:p w14:paraId="62959587" w14:textId="77777777" w:rsidR="0047261E" w:rsidRPr="0047261E" w:rsidRDefault="0047261E" w:rsidP="00B21DA8">
      <w:pPr>
        <w:widowControl w:val="0"/>
        <w:suppressAutoHyphens/>
        <w:autoSpaceDN w:val="0"/>
        <w:ind w:firstLine="709"/>
        <w:contextualSpacing/>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 xml:space="preserve">По данным Росстата, рост ВВП в 2018 г. ускорился до 2,3 % с 1,6 % годом ранее, </w:t>
      </w:r>
      <w:r w:rsidRPr="0047261E">
        <w:rPr>
          <w:rFonts w:eastAsia="Arial" w:cs="Times New Roman"/>
          <w:kern w:val="3"/>
          <w:szCs w:val="24"/>
          <w:lang w:eastAsia="ru-RU" w:bidi="hi-IN"/>
        </w:rPr>
        <w:t xml:space="preserve">что </w:t>
      </w:r>
      <w:r w:rsidRPr="0047261E">
        <w:rPr>
          <w:rFonts w:eastAsia="Times New Roman" w:cs="Times New Roman"/>
          <w:kern w:val="3"/>
          <w:szCs w:val="24"/>
          <w:lang w:eastAsia="ru-RU" w:bidi="hi-IN"/>
        </w:rPr>
        <w:t xml:space="preserve">превзошло как оценки Минэкономразвития России, осуществленные на основе оперативных данных, так и рыночный консенсус-прогноз. Ускорение темпов роста ВВП во многом обусловлено разовыми факторами и не является устойчивым. В текущем году ожидается замедление экономического роста до 1,3 %. </w:t>
      </w:r>
    </w:p>
    <w:p w14:paraId="1F964DA3" w14:textId="77777777" w:rsidR="0047261E" w:rsidRPr="0047261E" w:rsidRDefault="0047261E" w:rsidP="00B21DA8">
      <w:pPr>
        <w:widowControl w:val="0"/>
        <w:suppressAutoHyphens/>
        <w:autoSpaceDN w:val="0"/>
        <w:ind w:firstLine="709"/>
        <w:contextualSpacing/>
        <w:textAlignment w:val="baseline"/>
        <w:rPr>
          <w:rFonts w:eastAsia="Times New Roman" w:cs="Times New Roman"/>
          <w:kern w:val="3"/>
          <w:szCs w:val="24"/>
          <w:lang w:eastAsia="ru-RU" w:bidi="hi-IN"/>
        </w:rPr>
      </w:pPr>
      <w:r w:rsidRPr="0047261E">
        <w:rPr>
          <w:rFonts w:eastAsia="Times New Roman" w:cs="Times New Roman"/>
          <w:bCs/>
          <w:color w:val="000000"/>
          <w:kern w:val="3"/>
          <w:szCs w:val="24"/>
          <w:shd w:val="clear" w:color="auto" w:fill="FFFFFF"/>
          <w:lang w:eastAsia="ru-RU" w:bidi="ru-RU"/>
        </w:rPr>
        <w:t xml:space="preserve">В отраслевом разрезе </w:t>
      </w:r>
      <w:r w:rsidRPr="0047261E">
        <w:rPr>
          <w:rFonts w:eastAsia="Times New Roman" w:cs="Times New Roman"/>
          <w:kern w:val="3"/>
          <w:szCs w:val="24"/>
          <w:lang w:eastAsia="ru-RU" w:bidi="hi-IN"/>
        </w:rPr>
        <w:t xml:space="preserve">ускорение роста ВВП по сравнению с предыдущим годом было обеспечено такими секторами, как добывающая промышленность, транспортировка и хранение, строительство, деятельность финансовая и страховая. Вклад сельского хозяйства был слабоотрицательным (после положительного вклада годом ранее) на фоне более низкого урожая ряда ключевых культур (в первую очередь зерновых). </w:t>
      </w:r>
    </w:p>
    <w:p w14:paraId="642D27C6" w14:textId="77777777" w:rsidR="0047261E" w:rsidRPr="0047261E" w:rsidRDefault="0047261E" w:rsidP="00B21DA8">
      <w:pPr>
        <w:widowControl w:val="0"/>
        <w:suppressAutoHyphens/>
        <w:autoSpaceDN w:val="0"/>
        <w:ind w:firstLine="709"/>
        <w:contextualSpacing/>
        <w:textAlignment w:val="baseline"/>
        <w:rPr>
          <w:rFonts w:eastAsia="Times New Roman" w:cs="Times New Roman"/>
          <w:kern w:val="3"/>
          <w:szCs w:val="24"/>
          <w:lang w:eastAsia="ru-RU" w:bidi="hi-IN"/>
        </w:rPr>
      </w:pPr>
      <w:r w:rsidRPr="0047261E">
        <w:rPr>
          <w:rFonts w:eastAsia="Times New Roman" w:cs="Times New Roman"/>
          <w:bCs/>
          <w:color w:val="000000"/>
          <w:kern w:val="3"/>
          <w:szCs w:val="24"/>
          <w:shd w:val="clear" w:color="auto" w:fill="FFFFFF"/>
          <w:lang w:eastAsia="ru-RU" w:bidi="ru-RU"/>
        </w:rPr>
        <w:t xml:space="preserve">В разрезе компонентов использования </w:t>
      </w:r>
      <w:r w:rsidRPr="0047261E">
        <w:rPr>
          <w:rFonts w:eastAsia="Times New Roman" w:cs="Times New Roman"/>
          <w:kern w:val="3"/>
          <w:szCs w:val="24"/>
          <w:lang w:eastAsia="ru-RU" w:bidi="hi-IN"/>
        </w:rPr>
        <w:t xml:space="preserve">ускорение роста ВВП в 2018 г. по сравнению с предыдущим годом было связано с внешним сектором - более высоким темпом роста экспорта при значительном замедлении импорта в реальном выражении. При этом компоненты внутреннего спроса продемонстрировали замедление. </w:t>
      </w:r>
    </w:p>
    <w:p w14:paraId="335BD4A9" w14:textId="77777777" w:rsidR="0047261E" w:rsidRPr="0047261E" w:rsidRDefault="0047261E" w:rsidP="00B21DA8">
      <w:pPr>
        <w:widowControl w:val="0"/>
        <w:suppressAutoHyphens/>
        <w:autoSpaceDN w:val="0"/>
        <w:ind w:firstLine="709"/>
        <w:contextualSpacing/>
        <w:textAlignment w:val="baseline"/>
        <w:rPr>
          <w:rFonts w:eastAsia="Times New Roman" w:cs="Times New Roman"/>
          <w:kern w:val="3"/>
          <w:szCs w:val="24"/>
          <w:lang w:eastAsia="ru-RU" w:bidi="hi-IN"/>
        </w:rPr>
      </w:pPr>
      <w:r w:rsidRPr="0047261E">
        <w:rPr>
          <w:rFonts w:eastAsia="Times New Roman" w:cs="Times New Roman"/>
          <w:bCs/>
          <w:color w:val="000000"/>
          <w:kern w:val="3"/>
          <w:szCs w:val="24"/>
          <w:shd w:val="clear" w:color="auto" w:fill="FFFFFF"/>
          <w:lang w:eastAsia="ru-RU" w:bidi="ru-RU"/>
        </w:rPr>
        <w:t xml:space="preserve">Динамика показателей потребительского спроса была разнонаправленной. </w:t>
      </w:r>
      <w:r w:rsidRPr="0047261E">
        <w:rPr>
          <w:rFonts w:eastAsia="Times New Roman" w:cs="Times New Roman"/>
          <w:kern w:val="3"/>
          <w:szCs w:val="24"/>
          <w:lang w:eastAsia="ru-RU" w:bidi="hi-IN"/>
        </w:rPr>
        <w:t xml:space="preserve">Темп роста оборота розничной торговли увеличился до 2,6 % в 2018 г. после 1,3 % годом ранее, в том числе за счет расширения спроса на товары длительного пользования (рост продаж легковых автомобилей составил 12,8 % в 2018 г. после 11,9 % в 2017 году). Другие компоненты потребительского спроса показали замедление темпов роста. В частности, покупки в зарубежных Интернет-магазинах в январе-сентябре 2018 г. увеличились на 6,5 % г/г в долларовом эквиваленте после роста на 83,9 % в 2017 году. В целом расходы домашних хозяйств на конечное потребление выросли на 2,2 % в 2018 г. после 3,2 % годом ранее. </w:t>
      </w:r>
    </w:p>
    <w:p w14:paraId="64FA294A" w14:textId="77777777" w:rsidR="0047261E" w:rsidRPr="0047261E" w:rsidRDefault="0047261E" w:rsidP="00B21DA8">
      <w:pPr>
        <w:widowControl w:val="0"/>
        <w:suppressAutoHyphens/>
        <w:autoSpaceDN w:val="0"/>
        <w:ind w:firstLine="709"/>
        <w:contextualSpacing/>
        <w:textAlignment w:val="baseline"/>
        <w:rPr>
          <w:rFonts w:eastAsia="Times New Roman" w:cs="Times New Roman"/>
          <w:kern w:val="3"/>
          <w:szCs w:val="24"/>
          <w:lang w:eastAsia="ru-RU" w:bidi="hi-IN"/>
        </w:rPr>
      </w:pPr>
      <w:r w:rsidRPr="0047261E">
        <w:rPr>
          <w:rFonts w:eastAsia="Times New Roman" w:cs="Times New Roman"/>
          <w:bCs/>
          <w:color w:val="000000"/>
          <w:kern w:val="3"/>
          <w:szCs w:val="24"/>
          <w:shd w:val="clear" w:color="auto" w:fill="FFFFFF"/>
          <w:lang w:eastAsia="ru-RU" w:bidi="ru-RU"/>
        </w:rPr>
        <w:t xml:space="preserve">Несмотря на высокие темпы роста заработных плат (+6,8 % в 2018 г. в реальном выражении), реальные располагаемые доходы населения снизились на 0,2 % </w:t>
      </w:r>
      <w:r w:rsidRPr="0047261E">
        <w:rPr>
          <w:rFonts w:eastAsia="Times New Roman" w:cs="Times New Roman"/>
          <w:kern w:val="3"/>
          <w:szCs w:val="24"/>
          <w:lang w:eastAsia="ru-RU" w:bidi="hi-IN"/>
        </w:rPr>
        <w:t>(с учетом единовременной выплаты пенсионерам)</w:t>
      </w:r>
      <w:r w:rsidRPr="0047261E">
        <w:rPr>
          <w:rFonts w:eastAsia="Times New Roman" w:cs="Times New Roman"/>
          <w:bCs/>
          <w:color w:val="000000"/>
          <w:kern w:val="3"/>
          <w:szCs w:val="24"/>
          <w:shd w:val="clear" w:color="auto" w:fill="FFFFFF"/>
          <w:lang w:eastAsia="ru-RU" w:bidi="ru-RU"/>
        </w:rPr>
        <w:t xml:space="preserve">. </w:t>
      </w:r>
      <w:r w:rsidRPr="0047261E">
        <w:rPr>
          <w:rFonts w:eastAsia="Times New Roman" w:cs="Times New Roman"/>
          <w:kern w:val="3"/>
          <w:szCs w:val="24"/>
          <w:lang w:eastAsia="ru-RU" w:bidi="hi-IN"/>
        </w:rPr>
        <w:t xml:space="preserve">В то же время динамика показателя для различных доходных групп была неоднородной. Негативные факторы (падение доходов от банковских депозитов, увеличение налогов на недвижимость, рост платежей по ипотечным кредитам) сказались, в первую очередь, на доходах более обеспеченных групп населения. В то же время повышение МРОТ, увеличение выплат семьям с детьми, повышение зарплат в бюджетной сфере серьезно поддержали доходы менее обеспеченных групп населения. </w:t>
      </w:r>
    </w:p>
    <w:p w14:paraId="6C0EEA2D" w14:textId="77777777" w:rsidR="0047261E" w:rsidRPr="0047261E" w:rsidRDefault="0047261E" w:rsidP="00B21DA8">
      <w:pPr>
        <w:widowControl w:val="0"/>
        <w:suppressAutoHyphens/>
        <w:autoSpaceDN w:val="0"/>
        <w:ind w:firstLine="709"/>
        <w:contextualSpacing/>
        <w:textAlignment w:val="baseline"/>
        <w:rPr>
          <w:rFonts w:eastAsia="Times New Roman" w:cs="Times New Roman"/>
          <w:kern w:val="3"/>
          <w:szCs w:val="24"/>
          <w:lang w:eastAsia="ru-RU" w:bidi="hi-IN"/>
        </w:rPr>
      </w:pPr>
      <w:r w:rsidRPr="0047261E">
        <w:rPr>
          <w:rFonts w:eastAsia="Times New Roman" w:cs="Times New Roman"/>
          <w:bCs/>
          <w:color w:val="000000"/>
          <w:kern w:val="3"/>
          <w:szCs w:val="24"/>
          <w:shd w:val="clear" w:color="auto" w:fill="FFFFFF"/>
          <w:lang w:eastAsia="ru-RU" w:bidi="ru-RU"/>
        </w:rPr>
        <w:t xml:space="preserve">Положительное сальдо счета текущих операций в 2018 г. достигло максимального значения за всю историю наблюдений </w:t>
      </w:r>
      <w:r w:rsidRPr="0047261E">
        <w:rPr>
          <w:rFonts w:eastAsia="Times New Roman" w:cs="Times New Roman"/>
          <w:kern w:val="3"/>
          <w:szCs w:val="24"/>
          <w:lang w:eastAsia="ru-RU" w:bidi="hi-IN"/>
        </w:rPr>
        <w:t xml:space="preserve">(114,9 млрд. долл. США). Увеличение экспорта было обеспечено не только благоприятной ценовой конъюнктурой мировых товарных рынков, но и ростом физических объемов экспорта, в том числе и ненефтегазового. Среди компонентов ненефтегазового экспорта рост в реальном выражении наблюдался по продукции металлургии, продовольствию, химическим товарам, продукции деревообработки. Одновременно на фоне ослабления рубля произошло существенное замедление роста импорта. </w:t>
      </w:r>
    </w:p>
    <w:p w14:paraId="133AA893" w14:textId="77777777" w:rsidR="0047261E" w:rsidRPr="0047261E" w:rsidRDefault="0047261E" w:rsidP="0047261E">
      <w:pPr>
        <w:widowControl w:val="0"/>
        <w:suppressAutoHyphens/>
        <w:autoSpaceDN w:val="0"/>
        <w:ind w:firstLine="709"/>
        <w:contextualSpacing/>
        <w:textAlignment w:val="baseline"/>
        <w:rPr>
          <w:rFonts w:eastAsia="Times New Roman" w:cs="Times New Roman"/>
          <w:kern w:val="3"/>
          <w:szCs w:val="24"/>
          <w:lang w:eastAsia="ru-RU" w:bidi="hi-IN"/>
        </w:rPr>
      </w:pPr>
      <w:r w:rsidRPr="0047261E">
        <w:rPr>
          <w:rFonts w:eastAsia="Times New Roman" w:cs="Times New Roman"/>
          <w:bCs/>
          <w:color w:val="000000"/>
          <w:kern w:val="3"/>
          <w:szCs w:val="24"/>
          <w:shd w:val="clear" w:color="auto" w:fill="FFFFFF"/>
          <w:lang w:eastAsia="ru-RU" w:bidi="ru-RU"/>
        </w:rPr>
        <w:t xml:space="preserve">Инфляция в январе 2019 г. составила 1,0 % м/м, оказавшись ниже официального прогноза Минэкономразвития России. </w:t>
      </w:r>
      <w:r w:rsidRPr="0047261E">
        <w:rPr>
          <w:rFonts w:eastAsia="Times New Roman" w:cs="Times New Roman"/>
          <w:kern w:val="3"/>
          <w:szCs w:val="24"/>
          <w:lang w:eastAsia="ru-RU" w:bidi="hi-IN"/>
        </w:rPr>
        <w:t>По сравнению с соответствующим периодом предыдущего года инфляция в январе ускорилась до 5,0 % г/г после 4,3 % г/г в декабре 2018 года. Повышение НДС внесло меньший вклад в рост цен, чем ожидалось ранее. По итогам года при сохранении стабильного курса рубля инфляция опустится ниже 5 %.</w:t>
      </w:r>
    </w:p>
    <w:p w14:paraId="4C61DC5A" w14:textId="77777777" w:rsidR="0047261E" w:rsidRPr="0047261E" w:rsidRDefault="0047261E" w:rsidP="0047261E">
      <w:pPr>
        <w:widowControl w:val="0"/>
        <w:suppressAutoHyphens/>
        <w:autoSpaceDN w:val="0"/>
        <w:ind w:left="709" w:firstLine="0"/>
        <w:jc w:val="left"/>
        <w:textAlignment w:val="baseline"/>
        <w:rPr>
          <w:rFonts w:eastAsia="Times New Roman" w:cs="Times New Roman"/>
          <w:b/>
          <w:kern w:val="3"/>
          <w:szCs w:val="24"/>
          <w:lang w:eastAsia="ru-RU" w:bidi="hi-IN"/>
        </w:rPr>
      </w:pPr>
      <w:r w:rsidRPr="0047261E">
        <w:rPr>
          <w:rFonts w:eastAsia="Times New Roman" w:cs="Times New Roman"/>
          <w:b/>
          <w:kern w:val="3"/>
          <w:szCs w:val="24"/>
          <w:lang w:eastAsia="ru-RU" w:bidi="hi-IN"/>
        </w:rPr>
        <w:t>Производственная активность</w:t>
      </w:r>
    </w:p>
    <w:p w14:paraId="614F5770" w14:textId="77777777" w:rsidR="0047261E" w:rsidRPr="0047261E" w:rsidRDefault="0047261E" w:rsidP="0047261E">
      <w:pPr>
        <w:widowControl w:val="0"/>
        <w:suppressAutoHyphens/>
        <w:autoSpaceDN w:val="0"/>
        <w:ind w:firstLine="709"/>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 xml:space="preserve">По данным Росстата, экономический рост по итогам 2018 г. ускорился до 2,3 % с 1,6 % годом ранее. Темпы роста ВВП превзошли как оценки Минэкономразвития России, осуществленные на основе оперативных данных (см. Картина деловой активности. Январь 2019 года), так и консенсус-прогноз аналитиков (1,7 </w:t>
      </w:r>
      <w:r w:rsidRPr="0047261E">
        <w:rPr>
          <w:rFonts w:eastAsia="Arial" w:cs="Times New Roman"/>
          <w:kern w:val="3"/>
          <w:szCs w:val="24"/>
          <w:lang w:eastAsia="ru-RU" w:bidi="hi-IN"/>
        </w:rPr>
        <w:t>%</w:t>
      </w:r>
      <w:r w:rsidRPr="0047261E">
        <w:rPr>
          <w:rFonts w:eastAsia="Times New Roman" w:cs="Times New Roman"/>
          <w:kern w:val="3"/>
          <w:szCs w:val="24"/>
          <w:lang w:eastAsia="ru-RU" w:bidi="hi-IN"/>
        </w:rPr>
        <w:t xml:space="preserve"> в декабре).</w:t>
      </w:r>
    </w:p>
    <w:p w14:paraId="3BDA4F5C" w14:textId="77777777" w:rsidR="0047261E" w:rsidRPr="0047261E" w:rsidRDefault="0047261E" w:rsidP="0047261E">
      <w:pPr>
        <w:widowControl w:val="0"/>
        <w:suppressAutoHyphens/>
        <w:autoSpaceDN w:val="0"/>
        <w:ind w:firstLine="709"/>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В отраслевом разрезе ключевыми драйверами экономического роста стали промышленность и строительство (вклад в экономический рост 0,6 п.п. и 0,3 п.п. соответственно). Позитивный вклад в динамику ВВП также внесли торговля (0,3 п.п.) и транспортная отрасль (0,2 п.п.), в то время как вклад сельского хозяйства был слабоотрицательным на фоне ухудшения урожая ряда ключевых культур (в первую очередь зерновых) и замедления роста выпуска животноводства.</w:t>
      </w:r>
    </w:p>
    <w:p w14:paraId="412356EF" w14:textId="77777777" w:rsidR="0047261E" w:rsidRPr="0047261E" w:rsidRDefault="0047261E" w:rsidP="0047261E">
      <w:pPr>
        <w:widowControl w:val="0"/>
        <w:suppressAutoHyphens/>
        <w:autoSpaceDN w:val="0"/>
        <w:ind w:firstLine="709"/>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Около 0,8 п.п. роста ВВП было обеспечено сектором услуг. По сравнению с предыдущим годом ускорение роста наблюдалось в финансовой и страховой деятельности, деятельности гостиниц и ресторанов, в то время как рост в сфере операций с недвижимым имуществом замедлился.</w:t>
      </w:r>
    </w:p>
    <w:tbl>
      <w:tblPr>
        <w:tblStyle w:val="3b"/>
        <w:tblW w:w="0" w:type="auto"/>
        <w:tblLook w:val="04A0" w:firstRow="1" w:lastRow="0" w:firstColumn="1" w:lastColumn="0" w:noHBand="0" w:noVBand="1"/>
      </w:tblPr>
      <w:tblGrid>
        <w:gridCol w:w="4769"/>
        <w:gridCol w:w="4997"/>
      </w:tblGrid>
      <w:tr w:rsidR="0047261E" w:rsidRPr="0047261E" w14:paraId="122A14BD" w14:textId="77777777" w:rsidTr="0047261E">
        <w:tc>
          <w:tcPr>
            <w:tcW w:w="4769" w:type="dxa"/>
          </w:tcPr>
          <w:p w14:paraId="03CAF8DA" w14:textId="77777777" w:rsidR="0047261E" w:rsidRPr="0047261E" w:rsidRDefault="0047261E" w:rsidP="0047261E">
            <w:pPr>
              <w:ind w:firstLine="0"/>
              <w:rPr>
                <w:rFonts w:eastAsia="Times New Roman" w:cs="Times New Roman"/>
                <w:lang w:eastAsia="zh-CN"/>
              </w:rPr>
            </w:pPr>
            <w:r w:rsidRPr="0047261E">
              <w:rPr>
                <w:rFonts w:eastAsia="Times New Roman" w:cs="Times New Roman"/>
                <w:noProof/>
                <w:lang w:eastAsia="ru-RU"/>
              </w:rPr>
              <w:drawing>
                <wp:inline distT="0" distB="0" distL="0" distR="0" wp14:anchorId="70DF9323" wp14:editId="4C1CAA90">
                  <wp:extent cx="2767965" cy="3590925"/>
                  <wp:effectExtent l="0" t="0" r="0" b="9525"/>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767965" cy="3590925"/>
                          </a:xfrm>
                          <a:prstGeom prst="rect">
                            <a:avLst/>
                          </a:prstGeom>
                          <a:noFill/>
                        </pic:spPr>
                      </pic:pic>
                    </a:graphicData>
                  </a:graphic>
                </wp:inline>
              </w:drawing>
            </w:r>
          </w:p>
        </w:tc>
        <w:tc>
          <w:tcPr>
            <w:tcW w:w="4997" w:type="dxa"/>
          </w:tcPr>
          <w:p w14:paraId="1CB9777F" w14:textId="77777777" w:rsidR="0047261E" w:rsidRPr="0047261E" w:rsidRDefault="0047261E" w:rsidP="0047261E">
            <w:pPr>
              <w:ind w:firstLine="0"/>
              <w:rPr>
                <w:rFonts w:eastAsia="Times New Roman" w:cs="Times New Roman"/>
                <w:lang w:eastAsia="zh-CN"/>
              </w:rPr>
            </w:pPr>
            <w:r w:rsidRPr="0047261E">
              <w:rPr>
                <w:rFonts w:eastAsia="Times New Roman" w:cs="Times New Roman"/>
                <w:noProof/>
                <w:lang w:eastAsia="ru-RU"/>
              </w:rPr>
              <w:drawing>
                <wp:inline distT="0" distB="0" distL="0" distR="0" wp14:anchorId="02C8321B" wp14:editId="5536D67A">
                  <wp:extent cx="3035935" cy="3621405"/>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035935" cy="3621405"/>
                          </a:xfrm>
                          <a:prstGeom prst="rect">
                            <a:avLst/>
                          </a:prstGeom>
                          <a:noFill/>
                        </pic:spPr>
                      </pic:pic>
                    </a:graphicData>
                  </a:graphic>
                </wp:inline>
              </w:drawing>
            </w:r>
          </w:p>
        </w:tc>
      </w:tr>
      <w:tr w:rsidR="0047261E" w:rsidRPr="0047261E" w14:paraId="46E6A641" w14:textId="77777777" w:rsidTr="0047261E">
        <w:tc>
          <w:tcPr>
            <w:tcW w:w="4769" w:type="dxa"/>
          </w:tcPr>
          <w:p w14:paraId="736A42B7" w14:textId="2633BCEF" w:rsidR="0047261E" w:rsidRPr="0047261E" w:rsidRDefault="0047261E" w:rsidP="0047261E">
            <w:pPr>
              <w:suppressLineNumbers/>
              <w:suppressAutoHyphens/>
              <w:ind w:firstLine="0"/>
              <w:jc w:val="center"/>
              <w:rPr>
                <w:rFonts w:eastAsia="Calibri" w:cs="Times New Roman"/>
                <w:i/>
                <w:iCs/>
                <w:szCs w:val="24"/>
              </w:rPr>
            </w:pPr>
            <w:r w:rsidRPr="0047261E">
              <w:rPr>
                <w:rFonts w:eastAsia="Calibri" w:cs="Times New Roman"/>
                <w:i/>
                <w:iCs/>
                <w:szCs w:val="24"/>
              </w:rPr>
              <w:t xml:space="preserve">Рисунок </w:t>
            </w:r>
            <w:r w:rsidRPr="0047261E">
              <w:rPr>
                <w:rFonts w:eastAsia="Calibri" w:cs="Times New Roman"/>
                <w:i/>
                <w:iCs/>
                <w:szCs w:val="24"/>
              </w:rPr>
              <w:fldChar w:fldCharType="begin"/>
            </w:r>
            <w:r w:rsidRPr="0047261E">
              <w:rPr>
                <w:rFonts w:eastAsia="Calibri" w:cs="Times New Roman"/>
                <w:i/>
                <w:iCs/>
                <w:szCs w:val="24"/>
              </w:rPr>
              <w:instrText xml:space="preserve"> SEQ Рисунок \* ARABIC </w:instrText>
            </w:r>
            <w:r w:rsidRPr="0047261E">
              <w:rPr>
                <w:rFonts w:eastAsia="Calibri" w:cs="Times New Roman"/>
                <w:i/>
                <w:iCs/>
                <w:szCs w:val="24"/>
              </w:rPr>
              <w:fldChar w:fldCharType="separate"/>
            </w:r>
            <w:r w:rsidR="00FD2769">
              <w:rPr>
                <w:rFonts w:eastAsia="Calibri" w:cs="Times New Roman"/>
                <w:i/>
                <w:iCs/>
                <w:noProof/>
                <w:szCs w:val="24"/>
              </w:rPr>
              <w:t>2</w:t>
            </w:r>
            <w:r w:rsidRPr="0047261E">
              <w:rPr>
                <w:rFonts w:eastAsia="Calibri" w:cs="Times New Roman"/>
                <w:i/>
                <w:iCs/>
                <w:szCs w:val="24"/>
              </w:rPr>
              <w:fldChar w:fldCharType="end"/>
            </w:r>
          </w:p>
        </w:tc>
        <w:tc>
          <w:tcPr>
            <w:tcW w:w="4997" w:type="dxa"/>
          </w:tcPr>
          <w:p w14:paraId="4E8E5F30" w14:textId="04933533" w:rsidR="0047261E" w:rsidRPr="0047261E" w:rsidRDefault="0047261E" w:rsidP="0047261E">
            <w:pPr>
              <w:suppressLineNumbers/>
              <w:suppressAutoHyphens/>
              <w:ind w:firstLine="0"/>
              <w:jc w:val="center"/>
              <w:rPr>
                <w:rFonts w:eastAsia="Calibri" w:cs="Times New Roman"/>
                <w:i/>
                <w:iCs/>
                <w:szCs w:val="24"/>
              </w:rPr>
            </w:pPr>
            <w:r w:rsidRPr="0047261E">
              <w:rPr>
                <w:rFonts w:eastAsia="Calibri" w:cs="Times New Roman"/>
                <w:i/>
                <w:iCs/>
                <w:szCs w:val="24"/>
              </w:rPr>
              <w:t xml:space="preserve">Рисунок </w:t>
            </w:r>
            <w:r w:rsidRPr="0047261E">
              <w:rPr>
                <w:rFonts w:eastAsia="Calibri" w:cs="Times New Roman"/>
                <w:i/>
                <w:iCs/>
                <w:szCs w:val="24"/>
              </w:rPr>
              <w:fldChar w:fldCharType="begin"/>
            </w:r>
            <w:r w:rsidRPr="0047261E">
              <w:rPr>
                <w:rFonts w:eastAsia="Calibri" w:cs="Times New Roman"/>
                <w:i/>
                <w:iCs/>
                <w:szCs w:val="24"/>
              </w:rPr>
              <w:instrText xml:space="preserve"> SEQ Рисунок \* ARABIC </w:instrText>
            </w:r>
            <w:r w:rsidRPr="0047261E">
              <w:rPr>
                <w:rFonts w:eastAsia="Calibri" w:cs="Times New Roman"/>
                <w:i/>
                <w:iCs/>
                <w:szCs w:val="24"/>
              </w:rPr>
              <w:fldChar w:fldCharType="separate"/>
            </w:r>
            <w:r w:rsidR="00FD2769">
              <w:rPr>
                <w:rFonts w:eastAsia="Calibri" w:cs="Times New Roman"/>
                <w:i/>
                <w:iCs/>
                <w:noProof/>
                <w:szCs w:val="24"/>
              </w:rPr>
              <w:t>3</w:t>
            </w:r>
            <w:r w:rsidRPr="0047261E">
              <w:rPr>
                <w:rFonts w:eastAsia="Calibri" w:cs="Times New Roman"/>
                <w:i/>
                <w:iCs/>
                <w:szCs w:val="24"/>
              </w:rPr>
              <w:fldChar w:fldCharType="end"/>
            </w:r>
          </w:p>
        </w:tc>
      </w:tr>
    </w:tbl>
    <w:p w14:paraId="1984E215" w14:textId="77777777" w:rsidR="0047261E" w:rsidRPr="0047261E" w:rsidRDefault="0047261E" w:rsidP="0047261E">
      <w:pPr>
        <w:keepNext/>
        <w:keepLines/>
        <w:widowControl w:val="0"/>
        <w:spacing w:before="240"/>
        <w:ind w:firstLine="709"/>
        <w:rPr>
          <w:rFonts w:eastAsia="Arial" w:cs="Times New Roman"/>
          <w:bCs/>
          <w:kern w:val="3"/>
          <w:szCs w:val="24"/>
          <w:lang w:eastAsia="zh-CN" w:bidi="hi-IN"/>
        </w:rPr>
      </w:pPr>
      <w:r w:rsidRPr="0047261E">
        <w:rPr>
          <w:rFonts w:eastAsia="Arial" w:cs="Times New Roman"/>
          <w:bCs/>
          <w:kern w:val="3"/>
          <w:szCs w:val="24"/>
          <w:lang w:eastAsia="zh-CN" w:bidi="hi-IN"/>
        </w:rPr>
        <w:t>Рост промышленного производства в 2018 г. ускорился до 2,9 % (с 2,1 % в 2017 году).</w:t>
      </w:r>
    </w:p>
    <w:p w14:paraId="19E20AA3" w14:textId="77777777" w:rsidR="0047261E" w:rsidRPr="0047261E" w:rsidRDefault="0047261E" w:rsidP="0047261E">
      <w:pPr>
        <w:widowControl w:val="0"/>
        <w:spacing w:before="240"/>
        <w:ind w:firstLine="709"/>
        <w:contextualSpacing/>
        <w:rPr>
          <w:rFonts w:eastAsia="Times New Roman" w:cs="Times New Roman"/>
          <w:kern w:val="3"/>
          <w:szCs w:val="24"/>
          <w:lang w:eastAsia="zh-CN" w:bidi="hi-IN"/>
        </w:rPr>
      </w:pPr>
      <w:r w:rsidRPr="0047261E">
        <w:rPr>
          <w:rFonts w:eastAsia="Times New Roman" w:cs="Times New Roman"/>
          <w:kern w:val="3"/>
          <w:szCs w:val="24"/>
          <w:lang w:eastAsia="zh-CN" w:bidi="hi-IN"/>
        </w:rPr>
        <w:t>Рост выпуска в промышленности в прошлом году происходил достаточно равномерно. Годовые темпы ее роста в течение года оставались в пределах 2-4 % (в 2017 г. диапазон колебаний составил практически 9 п.п.).</w:t>
      </w:r>
    </w:p>
    <w:p w14:paraId="0FBEBBE0" w14:textId="77777777" w:rsidR="0047261E" w:rsidRPr="0047261E" w:rsidRDefault="0047261E" w:rsidP="0047261E">
      <w:pPr>
        <w:widowControl w:val="0"/>
        <w:spacing w:before="240"/>
        <w:ind w:firstLine="709"/>
        <w:contextualSpacing/>
        <w:rPr>
          <w:rFonts w:eastAsia="Times New Roman" w:cs="Times New Roman"/>
          <w:kern w:val="3"/>
          <w:szCs w:val="24"/>
          <w:lang w:eastAsia="zh-CN" w:bidi="hi-IN"/>
        </w:rPr>
      </w:pPr>
      <w:r w:rsidRPr="0047261E">
        <w:rPr>
          <w:rFonts w:eastAsia="Times New Roman" w:cs="Times New Roman"/>
          <w:kern w:val="3"/>
          <w:szCs w:val="24"/>
          <w:lang w:eastAsia="zh-CN" w:bidi="hi-IN"/>
        </w:rPr>
        <w:t xml:space="preserve">По итогам года положительную динамику продемонстрировали все укрупненные отрасли промышленности. Продолжался рост в добыче полезных ископаемых и обрабатывающих отраслях, темпы роста электроэнергетики и водоснабжения вернулись в положительную область после спада в 2017 году. В то же время структура роста промышленного производства в течение года менялась. Если в первой половине года расширение выпуска промышленности опиралось на обрабатывающие отрасли, то во втором полугодии драйвером роста стали добывающие производства.  </w:t>
      </w:r>
    </w:p>
    <w:p w14:paraId="233A3DBE" w14:textId="77777777" w:rsidR="0047261E" w:rsidRPr="0047261E" w:rsidRDefault="0047261E" w:rsidP="0047261E">
      <w:pPr>
        <w:widowControl w:val="0"/>
        <w:spacing w:before="240"/>
        <w:ind w:firstLine="709"/>
        <w:contextualSpacing/>
        <w:rPr>
          <w:rFonts w:eastAsia="Times New Roman" w:cs="Times New Roman"/>
          <w:kern w:val="3"/>
          <w:szCs w:val="24"/>
          <w:lang w:eastAsia="zh-CN" w:bidi="hi-IN"/>
        </w:rPr>
      </w:pPr>
      <w:r w:rsidRPr="0047261E">
        <w:rPr>
          <w:rFonts w:eastAsia="Times New Roman" w:cs="Times New Roman"/>
          <w:kern w:val="3"/>
          <w:szCs w:val="24"/>
          <w:lang w:eastAsia="zh-CN" w:bidi="hi-IN"/>
        </w:rPr>
        <w:t>Добыча полезных ископаемых в 2018 г. выросла на 4,1 % (в 2017 г. - на 2,1 %). При этом во второй половине года наблюдалось существенное улучшение ее динамики (4,9 % г/г и 7,2 % г/г в 3кв18 и 4кв18 соответственно после 1,9 % г/г в январе-июне), обусловленное в первую очередь результатами июньского заседания ОПЕК+, на котором было принято решение об увеличении совокупного предложения нефти странами - участницами соглашения приблизительно на 1 млн. барр. / сутки до конца года. В соответствии с новыми параметрами сделки Россия к декабрю нарастила добычу нефти почти на 0,5 млн. барр. / сутки по сравнению с майским уровнем, до исторического максимума 11,45 млн. барр. / сутки. В целом по итогам года добыча нефти и нефтяного (попутного) газа выросла на 1,7 % после падения на 0,2 % годом ранее. Вместе с тем начиная с января 2019 г. новые договоренности ОПЕК+ об ограничении добычи, достигнутые на декабрьском заседании в Вене, будут оказывать сдерживающее влияние на динамику нефтяной отрасли.</w:t>
      </w:r>
    </w:p>
    <w:p w14:paraId="0C5F72CD" w14:textId="77777777" w:rsidR="0047261E" w:rsidRPr="0047261E" w:rsidRDefault="0047261E" w:rsidP="0047261E">
      <w:pPr>
        <w:widowControl w:val="0"/>
        <w:spacing w:before="240"/>
        <w:ind w:firstLine="709"/>
        <w:contextualSpacing/>
        <w:rPr>
          <w:rFonts w:eastAsia="Times New Roman" w:cs="Times New Roman"/>
          <w:kern w:val="3"/>
          <w:szCs w:val="24"/>
          <w:lang w:eastAsia="zh-CN" w:bidi="hi-IN"/>
        </w:rPr>
      </w:pPr>
      <w:r w:rsidRPr="0047261E">
        <w:rPr>
          <w:rFonts w:eastAsia="Times New Roman" w:cs="Times New Roman"/>
          <w:kern w:val="3"/>
          <w:szCs w:val="24"/>
          <w:lang w:eastAsia="zh-CN" w:bidi="hi-IN"/>
        </w:rPr>
        <w:t>Рост в газовой отрасли в 2018 г. также ускорился - до 16,5 % по сравнению с 7,1 % в 2017 году. Высокие темпы роста добычи газа были обеспечены в первую очередь активным ростом выпуска сжиженного природного газа (на 70,1 % в 2018 г. после 7,6 % в 2017 году). В то же время рост производства естественного природного газа по итогам прошлого года замедлился до 5,3 % с 8,7 % в 2017 году.</w:t>
      </w:r>
    </w:p>
    <w:p w14:paraId="44C3CE9B" w14:textId="77777777" w:rsidR="0047261E" w:rsidRPr="0047261E" w:rsidRDefault="0047261E" w:rsidP="0047261E">
      <w:pPr>
        <w:widowControl w:val="0"/>
        <w:spacing w:before="240"/>
        <w:ind w:firstLine="709"/>
        <w:contextualSpacing/>
        <w:rPr>
          <w:rFonts w:eastAsia="Times New Roman" w:cs="Times New Roman"/>
          <w:kern w:val="3"/>
          <w:szCs w:val="24"/>
          <w:lang w:eastAsia="zh-CN" w:bidi="hi-IN"/>
        </w:rPr>
      </w:pPr>
      <w:r w:rsidRPr="0047261E">
        <w:rPr>
          <w:rFonts w:eastAsia="Times New Roman" w:cs="Times New Roman"/>
          <w:kern w:val="3"/>
          <w:szCs w:val="24"/>
          <w:lang w:eastAsia="zh-CN" w:bidi="hi-IN"/>
        </w:rPr>
        <w:t xml:space="preserve">Позитивные тенденции наблюдались и в добыче ненефтегазовых полезных ископаемых. Добыча угля и металлических руд в 2018 г. продолжала демонстрировать уверенный рост (на 4,2 % и 4,6 </w:t>
      </w:r>
      <w:r w:rsidRPr="0047261E">
        <w:rPr>
          <w:rFonts w:ascii="Arial" w:eastAsia="Arial" w:hAnsi="Arial" w:cs="Arial"/>
          <w:b/>
          <w:bCs/>
          <w:i/>
          <w:iCs/>
          <w:color w:val="000000"/>
          <w:kern w:val="3"/>
          <w:sz w:val="19"/>
          <w:szCs w:val="19"/>
          <w:shd w:val="clear" w:color="auto" w:fill="FFFFFF"/>
          <w:lang w:eastAsia="ru-RU" w:bidi="ru-RU"/>
        </w:rPr>
        <w:t xml:space="preserve">% </w:t>
      </w:r>
      <w:r w:rsidRPr="0047261E">
        <w:rPr>
          <w:rFonts w:eastAsia="Times New Roman" w:cs="Times New Roman"/>
          <w:kern w:val="3"/>
          <w:szCs w:val="24"/>
          <w:lang w:eastAsia="zh-CN" w:bidi="hi-IN"/>
        </w:rPr>
        <w:t>соответственно). Предоставление услуг в области добычи полезных ископаемых второй год подряд росло двузначными темпами.</w:t>
      </w:r>
    </w:p>
    <w:p w14:paraId="26D9E9A0" w14:textId="77777777" w:rsidR="0047261E" w:rsidRPr="0047261E" w:rsidRDefault="0047261E" w:rsidP="0047261E">
      <w:pPr>
        <w:widowControl w:val="0"/>
        <w:spacing w:before="240"/>
        <w:ind w:firstLine="709"/>
        <w:contextualSpacing/>
        <w:rPr>
          <w:rFonts w:eastAsia="Times New Roman" w:cs="Times New Roman"/>
          <w:kern w:val="3"/>
          <w:szCs w:val="24"/>
          <w:lang w:eastAsia="zh-CN" w:bidi="hi-IN"/>
        </w:rPr>
      </w:pPr>
      <w:r w:rsidRPr="0047261E">
        <w:rPr>
          <w:rFonts w:eastAsia="Times New Roman" w:cs="Times New Roman"/>
          <w:kern w:val="3"/>
          <w:szCs w:val="24"/>
          <w:lang w:eastAsia="zh-CN" w:bidi="hi-IN"/>
        </w:rPr>
        <w:t>Динамика обрабатывающей промышленности в 2018 г. сохранилась практически на уровне предыдущего года (2,6 % и 2,5 % соответственно). Как и в 2017 г., ее рост опирался в первую очередь на позитивную динамику основополагающих обрабатывающих производств - химической и пищевой отрасли, деревообработки, производства стройматериалов. Совокупный вклад перечисленных отраслей в темп роста обрабатывающей промышленности в 2018 г. составил 1,9 процентных пункта.</w:t>
      </w:r>
    </w:p>
    <w:tbl>
      <w:tblPr>
        <w:tblStyle w:val="3b"/>
        <w:tblW w:w="0" w:type="auto"/>
        <w:tblLook w:val="04A0" w:firstRow="1" w:lastRow="0" w:firstColumn="1" w:lastColumn="0" w:noHBand="0" w:noVBand="1"/>
      </w:tblPr>
      <w:tblGrid>
        <w:gridCol w:w="4954"/>
        <w:gridCol w:w="4812"/>
      </w:tblGrid>
      <w:tr w:rsidR="0047261E" w:rsidRPr="0047261E" w14:paraId="05984CED" w14:textId="77777777" w:rsidTr="0047261E">
        <w:tc>
          <w:tcPr>
            <w:tcW w:w="4883" w:type="dxa"/>
          </w:tcPr>
          <w:p w14:paraId="10E46663" w14:textId="77777777" w:rsidR="0047261E" w:rsidRPr="0047261E" w:rsidRDefault="0047261E" w:rsidP="0047261E">
            <w:pPr>
              <w:ind w:firstLine="0"/>
              <w:rPr>
                <w:rFonts w:eastAsia="Times New Roman" w:cs="Times New Roman"/>
                <w:lang w:eastAsia="zh-CN"/>
              </w:rPr>
            </w:pPr>
            <w:r w:rsidRPr="0047261E">
              <w:rPr>
                <w:rFonts w:eastAsia="Times New Roman" w:cs="Times New Roman"/>
                <w:noProof/>
                <w:lang w:eastAsia="ru-RU"/>
              </w:rPr>
              <w:drawing>
                <wp:inline distT="0" distB="0" distL="0" distR="0" wp14:anchorId="33CEE7A8" wp14:editId="2399E0A4">
                  <wp:extent cx="3060700" cy="2883535"/>
                  <wp:effectExtent l="0" t="0" r="635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060700" cy="2883535"/>
                          </a:xfrm>
                          <a:prstGeom prst="rect">
                            <a:avLst/>
                          </a:prstGeom>
                          <a:noFill/>
                        </pic:spPr>
                      </pic:pic>
                    </a:graphicData>
                  </a:graphic>
                </wp:inline>
              </w:drawing>
            </w:r>
          </w:p>
        </w:tc>
        <w:tc>
          <w:tcPr>
            <w:tcW w:w="4883" w:type="dxa"/>
          </w:tcPr>
          <w:p w14:paraId="25388D7A" w14:textId="77777777" w:rsidR="0047261E" w:rsidRPr="0047261E" w:rsidRDefault="0047261E" w:rsidP="0047261E">
            <w:pPr>
              <w:ind w:firstLine="0"/>
              <w:rPr>
                <w:rFonts w:eastAsia="Times New Roman" w:cs="Times New Roman"/>
                <w:lang w:eastAsia="zh-CN"/>
              </w:rPr>
            </w:pPr>
            <w:r w:rsidRPr="0047261E">
              <w:rPr>
                <w:rFonts w:eastAsia="Times New Roman" w:cs="Times New Roman"/>
                <w:noProof/>
                <w:lang w:eastAsia="ru-RU"/>
              </w:rPr>
              <w:drawing>
                <wp:inline distT="0" distB="0" distL="0" distR="0" wp14:anchorId="614BA76D" wp14:editId="2E62F51D">
                  <wp:extent cx="2974975" cy="2908300"/>
                  <wp:effectExtent l="0" t="0" r="0" b="635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974975" cy="2908300"/>
                          </a:xfrm>
                          <a:prstGeom prst="rect">
                            <a:avLst/>
                          </a:prstGeom>
                          <a:noFill/>
                        </pic:spPr>
                      </pic:pic>
                    </a:graphicData>
                  </a:graphic>
                </wp:inline>
              </w:drawing>
            </w:r>
          </w:p>
        </w:tc>
      </w:tr>
      <w:tr w:rsidR="0047261E" w:rsidRPr="0047261E" w14:paraId="158684E1" w14:textId="77777777" w:rsidTr="0047261E">
        <w:tc>
          <w:tcPr>
            <w:tcW w:w="4883" w:type="dxa"/>
          </w:tcPr>
          <w:p w14:paraId="3ECBDE24" w14:textId="66E4278C" w:rsidR="0047261E" w:rsidRPr="0047261E" w:rsidRDefault="0047261E" w:rsidP="0047261E">
            <w:pPr>
              <w:suppressLineNumbers/>
              <w:suppressAutoHyphens/>
              <w:ind w:firstLine="22"/>
              <w:jc w:val="center"/>
              <w:rPr>
                <w:rFonts w:eastAsia="Calibri" w:cs="Times New Roman"/>
                <w:i/>
                <w:iCs/>
                <w:szCs w:val="24"/>
              </w:rPr>
            </w:pPr>
            <w:r w:rsidRPr="0047261E">
              <w:rPr>
                <w:rFonts w:eastAsia="Calibri" w:cs="Times New Roman"/>
                <w:i/>
                <w:iCs/>
                <w:szCs w:val="24"/>
              </w:rPr>
              <w:t xml:space="preserve">Рисунок </w:t>
            </w:r>
            <w:r w:rsidRPr="0047261E">
              <w:rPr>
                <w:rFonts w:eastAsia="Calibri" w:cs="Times New Roman"/>
                <w:i/>
                <w:iCs/>
                <w:szCs w:val="24"/>
              </w:rPr>
              <w:fldChar w:fldCharType="begin"/>
            </w:r>
            <w:r w:rsidRPr="0047261E">
              <w:rPr>
                <w:rFonts w:eastAsia="Calibri" w:cs="Times New Roman"/>
                <w:i/>
                <w:iCs/>
                <w:szCs w:val="24"/>
              </w:rPr>
              <w:instrText xml:space="preserve"> SEQ Рисунок \* ARABIC </w:instrText>
            </w:r>
            <w:r w:rsidRPr="0047261E">
              <w:rPr>
                <w:rFonts w:eastAsia="Calibri" w:cs="Times New Roman"/>
                <w:i/>
                <w:iCs/>
                <w:szCs w:val="24"/>
              </w:rPr>
              <w:fldChar w:fldCharType="separate"/>
            </w:r>
            <w:r w:rsidR="00FD2769">
              <w:rPr>
                <w:rFonts w:eastAsia="Calibri" w:cs="Times New Roman"/>
                <w:i/>
                <w:iCs/>
                <w:noProof/>
                <w:szCs w:val="24"/>
              </w:rPr>
              <w:t>4</w:t>
            </w:r>
            <w:r w:rsidRPr="0047261E">
              <w:rPr>
                <w:rFonts w:eastAsia="Calibri" w:cs="Times New Roman"/>
                <w:i/>
                <w:iCs/>
                <w:szCs w:val="24"/>
              </w:rPr>
              <w:fldChar w:fldCharType="end"/>
            </w:r>
          </w:p>
        </w:tc>
        <w:tc>
          <w:tcPr>
            <w:tcW w:w="4883" w:type="dxa"/>
          </w:tcPr>
          <w:p w14:paraId="2E15CDD7" w14:textId="5151BAB9" w:rsidR="0047261E" w:rsidRPr="0047261E" w:rsidRDefault="0047261E" w:rsidP="0047261E">
            <w:pPr>
              <w:suppressLineNumbers/>
              <w:suppressAutoHyphens/>
              <w:ind w:firstLine="22"/>
              <w:jc w:val="center"/>
              <w:rPr>
                <w:rFonts w:eastAsia="Calibri" w:cs="Times New Roman"/>
                <w:i/>
                <w:iCs/>
                <w:szCs w:val="24"/>
              </w:rPr>
            </w:pPr>
            <w:r w:rsidRPr="0047261E">
              <w:rPr>
                <w:rFonts w:eastAsia="Calibri" w:cs="Times New Roman"/>
                <w:i/>
                <w:iCs/>
                <w:szCs w:val="24"/>
              </w:rPr>
              <w:t xml:space="preserve">Рисунок </w:t>
            </w:r>
            <w:r w:rsidRPr="0047261E">
              <w:rPr>
                <w:rFonts w:eastAsia="Calibri" w:cs="Times New Roman"/>
                <w:i/>
                <w:iCs/>
                <w:szCs w:val="24"/>
              </w:rPr>
              <w:fldChar w:fldCharType="begin"/>
            </w:r>
            <w:r w:rsidRPr="0047261E">
              <w:rPr>
                <w:rFonts w:eastAsia="Calibri" w:cs="Times New Roman"/>
                <w:i/>
                <w:iCs/>
                <w:szCs w:val="24"/>
              </w:rPr>
              <w:instrText xml:space="preserve"> SEQ Рисунок \* ARABIC </w:instrText>
            </w:r>
            <w:r w:rsidRPr="0047261E">
              <w:rPr>
                <w:rFonts w:eastAsia="Calibri" w:cs="Times New Roman"/>
                <w:i/>
                <w:iCs/>
                <w:szCs w:val="24"/>
              </w:rPr>
              <w:fldChar w:fldCharType="separate"/>
            </w:r>
            <w:r w:rsidR="00FD2769">
              <w:rPr>
                <w:rFonts w:eastAsia="Calibri" w:cs="Times New Roman"/>
                <w:i/>
                <w:iCs/>
                <w:noProof/>
                <w:szCs w:val="24"/>
              </w:rPr>
              <w:t>5</w:t>
            </w:r>
            <w:r w:rsidRPr="0047261E">
              <w:rPr>
                <w:rFonts w:eastAsia="Calibri" w:cs="Times New Roman"/>
                <w:i/>
                <w:iCs/>
                <w:szCs w:val="24"/>
              </w:rPr>
              <w:fldChar w:fldCharType="end"/>
            </w:r>
          </w:p>
        </w:tc>
      </w:tr>
    </w:tbl>
    <w:p w14:paraId="64A4620F" w14:textId="77777777" w:rsidR="0047261E" w:rsidRPr="0047261E" w:rsidRDefault="0047261E" w:rsidP="0047261E">
      <w:pPr>
        <w:widowControl w:val="0"/>
        <w:ind w:firstLine="709"/>
        <w:rPr>
          <w:rFonts w:eastAsia="Times New Roman" w:cs="Times New Roman"/>
          <w:kern w:val="3"/>
          <w:szCs w:val="24"/>
          <w:lang w:eastAsia="zh-CN" w:bidi="hi-IN"/>
        </w:rPr>
      </w:pPr>
    </w:p>
    <w:p w14:paraId="1152CDBE" w14:textId="77777777" w:rsidR="0047261E" w:rsidRPr="0047261E" w:rsidRDefault="0047261E" w:rsidP="0047261E">
      <w:pPr>
        <w:widowControl w:val="0"/>
        <w:spacing w:before="240" w:line="245" w:lineRule="exact"/>
        <w:ind w:firstLine="709"/>
        <w:rPr>
          <w:rFonts w:eastAsia="Times New Roman" w:cs="Times New Roman"/>
          <w:kern w:val="3"/>
          <w:szCs w:val="24"/>
          <w:lang w:eastAsia="zh-CN" w:bidi="hi-IN"/>
        </w:rPr>
      </w:pPr>
      <w:r w:rsidRPr="0047261E">
        <w:rPr>
          <w:rFonts w:eastAsia="Times New Roman" w:cs="Times New Roman"/>
          <w:kern w:val="3"/>
          <w:szCs w:val="24"/>
          <w:lang w:eastAsia="zh-CN" w:bidi="hi-IN"/>
        </w:rPr>
        <w:t>По итогам прошлого года небольшой рост выпуска также продемонстрировали металлургия (+1,6 %) и машиностроение (+1,2 %). Вместе с тем динамика указанных отраслей, как и в предшествующие годы, характеризовалась повышенной волатильностью: стандартное отклонение годовых темпов их роста составило 7,9 % и 6,8 % соответственно. Во второй половине года в металлургической и машиностроительной отраслях наметилась тенденция к замедлению роста, что внесло основной вклад в торможение обрабатывающей промышленности в целом.</w:t>
      </w:r>
    </w:p>
    <w:p w14:paraId="30ABA1E7" w14:textId="77777777" w:rsidR="0047261E" w:rsidRPr="0047261E" w:rsidRDefault="0047261E" w:rsidP="0047261E">
      <w:pPr>
        <w:widowControl w:val="0"/>
        <w:spacing w:before="240"/>
        <w:ind w:firstLine="709"/>
        <w:rPr>
          <w:rFonts w:eastAsia="Times New Roman" w:cs="Times New Roman"/>
          <w:kern w:val="3"/>
          <w:szCs w:val="24"/>
          <w:lang w:eastAsia="zh-CN" w:bidi="hi-IN"/>
        </w:rPr>
      </w:pPr>
      <w:r w:rsidRPr="0047261E">
        <w:rPr>
          <w:rFonts w:eastAsia="Times New Roman" w:cs="Times New Roman"/>
          <w:kern w:val="3"/>
          <w:szCs w:val="24"/>
          <w:lang w:eastAsia="zh-CN" w:bidi="hi-IN"/>
        </w:rPr>
        <w:t>Замедление обрабатывающей промышленности отражает и динамика медианного темпа ее роста, который позволяет сгладить влияние наиболее волатильных компонент. Во втором полугодии показатель рос темпом 1,9 % г/г по сравнению с 3,0 % г/г в январе-июне, а к декабрю замедлился до 0,2 % г/г (темп роста обрабатывающей промышленности, рассчитанный по формуле средней, в последние два месяца 2018 г. находился на нулевом уровне).</w:t>
      </w:r>
    </w:p>
    <w:p w14:paraId="436EF761" w14:textId="19D6F07D" w:rsidR="0047261E" w:rsidRPr="0047261E" w:rsidRDefault="0047261E" w:rsidP="00763AD2">
      <w:pPr>
        <w:pStyle w:val="afffffff0"/>
      </w:pPr>
      <w:r w:rsidRPr="0047261E">
        <w:t xml:space="preserve">Таблица </w:t>
      </w:r>
      <w:r w:rsidR="00A90944">
        <w:fldChar w:fldCharType="begin"/>
      </w:r>
      <w:r w:rsidR="00A90944">
        <w:instrText xml:space="preserve"> SEQ Таблица \* ARABIC </w:instrText>
      </w:r>
      <w:r w:rsidR="00A90944">
        <w:fldChar w:fldCharType="separate"/>
      </w:r>
      <w:r w:rsidR="00FD2769">
        <w:rPr>
          <w:noProof/>
        </w:rPr>
        <w:t>4</w:t>
      </w:r>
      <w:r w:rsidR="00A90944">
        <w:rPr>
          <w:noProof/>
        </w:rPr>
        <w:fldChar w:fldCharType="end"/>
      </w:r>
      <w:r w:rsidRPr="0047261E">
        <w:t>. Показатели производственной активности</w:t>
      </w:r>
    </w:p>
    <w:tbl>
      <w:tblPr>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2982"/>
        <w:gridCol w:w="873"/>
        <w:gridCol w:w="723"/>
        <w:gridCol w:w="738"/>
        <w:gridCol w:w="738"/>
        <w:gridCol w:w="742"/>
        <w:gridCol w:w="738"/>
        <w:gridCol w:w="738"/>
        <w:gridCol w:w="752"/>
        <w:gridCol w:w="742"/>
      </w:tblGrid>
      <w:tr w:rsidR="0047261E" w:rsidRPr="0047261E" w14:paraId="3BDDA7B3" w14:textId="77777777" w:rsidTr="0047261E">
        <w:trPr>
          <w:trHeight w:val="336"/>
          <w:tblHeader/>
        </w:trPr>
        <w:tc>
          <w:tcPr>
            <w:tcW w:w="1526" w:type="pct"/>
            <w:shd w:val="clear" w:color="auto" w:fill="FFFFFF"/>
            <w:vAlign w:val="bottom"/>
          </w:tcPr>
          <w:p w14:paraId="131523A0" w14:textId="77777777" w:rsidR="0047261E" w:rsidRPr="0047261E" w:rsidRDefault="0047261E" w:rsidP="0047261E">
            <w:pPr>
              <w:widowControl w:val="0"/>
              <w:suppressAutoHyphens/>
              <w:autoSpaceDN w:val="0"/>
              <w:ind w:firstLine="0"/>
              <w:jc w:val="left"/>
              <w:textAlignment w:val="baseline"/>
              <w:rPr>
                <w:rFonts w:eastAsia="Times New Roman" w:cs="Times New Roman"/>
                <w:b/>
                <w:kern w:val="3"/>
                <w:sz w:val="22"/>
                <w:lang w:eastAsia="ru-RU" w:bidi="hi-IN"/>
              </w:rPr>
            </w:pPr>
            <w:r w:rsidRPr="0047261E">
              <w:rPr>
                <w:rFonts w:eastAsia="Times New Roman" w:cs="Times New Roman"/>
                <w:b/>
                <w:kern w:val="3"/>
                <w:sz w:val="22"/>
                <w:lang w:eastAsia="ru-RU" w:bidi="hi-IN"/>
              </w:rPr>
              <w:t>в % к соотв. периоду предыдущего года</w:t>
            </w:r>
          </w:p>
        </w:tc>
        <w:tc>
          <w:tcPr>
            <w:tcW w:w="447" w:type="pct"/>
            <w:shd w:val="clear" w:color="auto" w:fill="FFFFFF"/>
            <w:vAlign w:val="center"/>
          </w:tcPr>
          <w:p w14:paraId="2D046D5E" w14:textId="77777777" w:rsidR="0047261E" w:rsidRPr="0047261E" w:rsidRDefault="0047261E" w:rsidP="0047261E">
            <w:pPr>
              <w:widowControl w:val="0"/>
              <w:suppressAutoHyphens/>
              <w:autoSpaceDN w:val="0"/>
              <w:ind w:firstLine="0"/>
              <w:jc w:val="center"/>
              <w:textAlignment w:val="baseline"/>
              <w:rPr>
                <w:rFonts w:eastAsia="Times New Roman" w:cs="Times New Roman"/>
                <w:b/>
                <w:kern w:val="3"/>
                <w:sz w:val="22"/>
                <w:lang w:eastAsia="ru-RU" w:bidi="hi-IN"/>
              </w:rPr>
            </w:pPr>
            <w:r w:rsidRPr="0047261E">
              <w:rPr>
                <w:rFonts w:eastAsia="Times New Roman" w:cs="Times New Roman"/>
                <w:b/>
                <w:kern w:val="3"/>
                <w:sz w:val="22"/>
                <w:lang w:eastAsia="ru-RU" w:bidi="hi-IN"/>
              </w:rPr>
              <w:t>2018</w:t>
            </w:r>
          </w:p>
        </w:tc>
        <w:tc>
          <w:tcPr>
            <w:tcW w:w="370" w:type="pct"/>
            <w:shd w:val="clear" w:color="auto" w:fill="FFFFFF"/>
            <w:vAlign w:val="center"/>
          </w:tcPr>
          <w:p w14:paraId="1DE48A7D" w14:textId="77777777" w:rsidR="0047261E" w:rsidRPr="0047261E" w:rsidRDefault="0047261E" w:rsidP="0047261E">
            <w:pPr>
              <w:widowControl w:val="0"/>
              <w:suppressAutoHyphens/>
              <w:autoSpaceDN w:val="0"/>
              <w:ind w:firstLine="0"/>
              <w:jc w:val="center"/>
              <w:textAlignment w:val="baseline"/>
              <w:rPr>
                <w:rFonts w:eastAsia="Times New Roman" w:cs="Times New Roman"/>
                <w:b/>
                <w:kern w:val="3"/>
                <w:sz w:val="22"/>
                <w:lang w:eastAsia="ru-RU" w:bidi="hi-IN"/>
              </w:rPr>
            </w:pPr>
            <w:r w:rsidRPr="0047261E">
              <w:rPr>
                <w:rFonts w:eastAsia="Times New Roman" w:cs="Times New Roman"/>
                <w:b/>
                <w:kern w:val="3"/>
                <w:sz w:val="22"/>
                <w:lang w:eastAsia="ru-RU" w:bidi="hi-IN"/>
              </w:rPr>
              <w:t>4кв18</w:t>
            </w:r>
          </w:p>
        </w:tc>
        <w:tc>
          <w:tcPr>
            <w:tcW w:w="378" w:type="pct"/>
            <w:shd w:val="clear" w:color="auto" w:fill="FFFFFF"/>
            <w:vAlign w:val="center"/>
          </w:tcPr>
          <w:p w14:paraId="63A1A0FE" w14:textId="77777777" w:rsidR="0047261E" w:rsidRPr="0047261E" w:rsidRDefault="0047261E" w:rsidP="0047261E">
            <w:pPr>
              <w:widowControl w:val="0"/>
              <w:suppressAutoHyphens/>
              <w:autoSpaceDN w:val="0"/>
              <w:ind w:firstLine="0"/>
              <w:jc w:val="center"/>
              <w:textAlignment w:val="baseline"/>
              <w:rPr>
                <w:rFonts w:eastAsia="Times New Roman" w:cs="Times New Roman"/>
                <w:b/>
                <w:kern w:val="3"/>
                <w:sz w:val="22"/>
                <w:lang w:eastAsia="ru-RU" w:bidi="hi-IN"/>
              </w:rPr>
            </w:pPr>
            <w:r w:rsidRPr="0047261E">
              <w:rPr>
                <w:rFonts w:eastAsia="Times New Roman" w:cs="Times New Roman"/>
                <w:b/>
                <w:kern w:val="3"/>
                <w:sz w:val="22"/>
                <w:lang w:eastAsia="ru-RU" w:bidi="hi-IN"/>
              </w:rPr>
              <w:t>дек.18</w:t>
            </w:r>
          </w:p>
        </w:tc>
        <w:tc>
          <w:tcPr>
            <w:tcW w:w="378" w:type="pct"/>
            <w:shd w:val="clear" w:color="auto" w:fill="FFFFFF"/>
            <w:vAlign w:val="center"/>
          </w:tcPr>
          <w:p w14:paraId="4AAA2A55" w14:textId="77777777" w:rsidR="0047261E" w:rsidRPr="0047261E" w:rsidRDefault="0047261E" w:rsidP="0047261E">
            <w:pPr>
              <w:widowControl w:val="0"/>
              <w:suppressAutoHyphens/>
              <w:autoSpaceDN w:val="0"/>
              <w:ind w:firstLine="0"/>
              <w:jc w:val="center"/>
              <w:textAlignment w:val="baseline"/>
              <w:rPr>
                <w:rFonts w:eastAsia="Times New Roman" w:cs="Times New Roman"/>
                <w:b/>
                <w:kern w:val="3"/>
                <w:sz w:val="22"/>
                <w:lang w:eastAsia="ru-RU" w:bidi="hi-IN"/>
              </w:rPr>
            </w:pPr>
            <w:r w:rsidRPr="0047261E">
              <w:rPr>
                <w:rFonts w:eastAsia="Times New Roman" w:cs="Times New Roman"/>
                <w:b/>
                <w:kern w:val="3"/>
                <w:sz w:val="22"/>
                <w:lang w:eastAsia="ru-RU" w:bidi="hi-IN"/>
              </w:rPr>
              <w:t>ноя.18</w:t>
            </w:r>
          </w:p>
        </w:tc>
        <w:tc>
          <w:tcPr>
            <w:tcW w:w="380" w:type="pct"/>
            <w:shd w:val="clear" w:color="auto" w:fill="FFFFFF"/>
            <w:vAlign w:val="center"/>
          </w:tcPr>
          <w:p w14:paraId="7D26D498" w14:textId="77777777" w:rsidR="0047261E" w:rsidRPr="0047261E" w:rsidRDefault="0047261E" w:rsidP="0047261E">
            <w:pPr>
              <w:widowControl w:val="0"/>
              <w:suppressAutoHyphens/>
              <w:autoSpaceDN w:val="0"/>
              <w:ind w:firstLine="0"/>
              <w:jc w:val="center"/>
              <w:textAlignment w:val="baseline"/>
              <w:rPr>
                <w:rFonts w:eastAsia="Times New Roman" w:cs="Times New Roman"/>
                <w:b/>
                <w:kern w:val="3"/>
                <w:sz w:val="22"/>
                <w:lang w:eastAsia="ru-RU" w:bidi="hi-IN"/>
              </w:rPr>
            </w:pPr>
            <w:r w:rsidRPr="0047261E">
              <w:rPr>
                <w:rFonts w:eastAsia="Times New Roman" w:cs="Times New Roman"/>
                <w:b/>
                <w:kern w:val="3"/>
                <w:sz w:val="22"/>
                <w:lang w:eastAsia="ru-RU" w:bidi="hi-IN"/>
              </w:rPr>
              <w:t>окт.18</w:t>
            </w:r>
          </w:p>
        </w:tc>
        <w:tc>
          <w:tcPr>
            <w:tcW w:w="378" w:type="pct"/>
            <w:shd w:val="clear" w:color="auto" w:fill="FFFFFF"/>
            <w:vAlign w:val="center"/>
          </w:tcPr>
          <w:p w14:paraId="55B6C3A1" w14:textId="77777777" w:rsidR="0047261E" w:rsidRPr="0047261E" w:rsidRDefault="0047261E" w:rsidP="0047261E">
            <w:pPr>
              <w:widowControl w:val="0"/>
              <w:suppressAutoHyphens/>
              <w:autoSpaceDN w:val="0"/>
              <w:ind w:firstLine="0"/>
              <w:jc w:val="center"/>
              <w:textAlignment w:val="baseline"/>
              <w:rPr>
                <w:rFonts w:eastAsia="Times New Roman" w:cs="Times New Roman"/>
                <w:b/>
                <w:kern w:val="3"/>
                <w:sz w:val="22"/>
                <w:lang w:eastAsia="ru-RU" w:bidi="hi-IN"/>
              </w:rPr>
            </w:pPr>
            <w:r w:rsidRPr="0047261E">
              <w:rPr>
                <w:rFonts w:eastAsia="Times New Roman" w:cs="Times New Roman"/>
                <w:b/>
                <w:kern w:val="3"/>
                <w:sz w:val="22"/>
                <w:lang w:eastAsia="ru-RU" w:bidi="hi-IN"/>
              </w:rPr>
              <w:t>3кв18</w:t>
            </w:r>
          </w:p>
        </w:tc>
        <w:tc>
          <w:tcPr>
            <w:tcW w:w="378" w:type="pct"/>
            <w:shd w:val="clear" w:color="auto" w:fill="FFFFFF"/>
            <w:vAlign w:val="center"/>
          </w:tcPr>
          <w:p w14:paraId="5F7BCD6E" w14:textId="77777777" w:rsidR="0047261E" w:rsidRPr="0047261E" w:rsidRDefault="0047261E" w:rsidP="0047261E">
            <w:pPr>
              <w:widowControl w:val="0"/>
              <w:suppressAutoHyphens/>
              <w:autoSpaceDN w:val="0"/>
              <w:ind w:firstLine="0"/>
              <w:jc w:val="center"/>
              <w:textAlignment w:val="baseline"/>
              <w:rPr>
                <w:rFonts w:eastAsia="Times New Roman" w:cs="Times New Roman"/>
                <w:b/>
                <w:kern w:val="3"/>
                <w:sz w:val="22"/>
                <w:lang w:eastAsia="ru-RU" w:bidi="hi-IN"/>
              </w:rPr>
            </w:pPr>
            <w:r w:rsidRPr="0047261E">
              <w:rPr>
                <w:rFonts w:eastAsia="Times New Roman" w:cs="Times New Roman"/>
                <w:b/>
                <w:kern w:val="3"/>
                <w:sz w:val="22"/>
                <w:lang w:eastAsia="ru-RU" w:bidi="hi-IN"/>
              </w:rPr>
              <w:t>2кв18</w:t>
            </w:r>
          </w:p>
        </w:tc>
        <w:tc>
          <w:tcPr>
            <w:tcW w:w="385" w:type="pct"/>
            <w:shd w:val="clear" w:color="auto" w:fill="FFFFFF"/>
            <w:vAlign w:val="center"/>
          </w:tcPr>
          <w:p w14:paraId="2B84DBEA" w14:textId="77777777" w:rsidR="0047261E" w:rsidRPr="0047261E" w:rsidRDefault="0047261E" w:rsidP="0047261E">
            <w:pPr>
              <w:widowControl w:val="0"/>
              <w:suppressAutoHyphens/>
              <w:autoSpaceDN w:val="0"/>
              <w:ind w:firstLine="0"/>
              <w:jc w:val="center"/>
              <w:textAlignment w:val="baseline"/>
              <w:rPr>
                <w:rFonts w:eastAsia="Times New Roman" w:cs="Times New Roman"/>
                <w:b/>
                <w:kern w:val="3"/>
                <w:sz w:val="22"/>
                <w:lang w:eastAsia="ru-RU" w:bidi="hi-IN"/>
              </w:rPr>
            </w:pPr>
            <w:r w:rsidRPr="0047261E">
              <w:rPr>
                <w:rFonts w:eastAsia="Times New Roman" w:cs="Times New Roman"/>
                <w:b/>
                <w:kern w:val="3"/>
                <w:sz w:val="22"/>
                <w:lang w:eastAsia="ru-RU" w:bidi="hi-IN"/>
              </w:rPr>
              <w:t>1кв18</w:t>
            </w:r>
          </w:p>
        </w:tc>
        <w:tc>
          <w:tcPr>
            <w:tcW w:w="380" w:type="pct"/>
            <w:shd w:val="clear" w:color="auto" w:fill="FFFFFF"/>
            <w:vAlign w:val="center"/>
          </w:tcPr>
          <w:p w14:paraId="22F56984" w14:textId="77777777" w:rsidR="0047261E" w:rsidRPr="0047261E" w:rsidRDefault="0047261E" w:rsidP="0047261E">
            <w:pPr>
              <w:widowControl w:val="0"/>
              <w:suppressAutoHyphens/>
              <w:autoSpaceDN w:val="0"/>
              <w:ind w:firstLine="0"/>
              <w:jc w:val="center"/>
              <w:textAlignment w:val="baseline"/>
              <w:rPr>
                <w:rFonts w:eastAsia="Times New Roman" w:cs="Times New Roman"/>
                <w:b/>
                <w:kern w:val="3"/>
                <w:sz w:val="22"/>
                <w:lang w:eastAsia="ru-RU" w:bidi="hi-IN"/>
              </w:rPr>
            </w:pPr>
            <w:r w:rsidRPr="0047261E">
              <w:rPr>
                <w:rFonts w:eastAsia="Times New Roman" w:cs="Times New Roman"/>
                <w:b/>
                <w:kern w:val="3"/>
                <w:sz w:val="22"/>
                <w:lang w:eastAsia="ru-RU" w:bidi="hi-IN"/>
              </w:rPr>
              <w:t>2017</w:t>
            </w:r>
          </w:p>
        </w:tc>
      </w:tr>
      <w:tr w:rsidR="0047261E" w:rsidRPr="0047261E" w14:paraId="39A2DF8B" w14:textId="77777777" w:rsidTr="0047261E">
        <w:trPr>
          <w:trHeight w:val="259"/>
        </w:trPr>
        <w:tc>
          <w:tcPr>
            <w:tcW w:w="1526" w:type="pct"/>
            <w:shd w:val="clear" w:color="auto" w:fill="FFFFFF"/>
            <w:vAlign w:val="center"/>
          </w:tcPr>
          <w:p w14:paraId="41774117"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ВВП</w:t>
            </w:r>
          </w:p>
        </w:tc>
        <w:tc>
          <w:tcPr>
            <w:tcW w:w="447" w:type="pct"/>
            <w:shd w:val="clear" w:color="auto" w:fill="FFFFFF"/>
            <w:vAlign w:val="center"/>
          </w:tcPr>
          <w:p w14:paraId="1708D8A3"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2,3</w:t>
            </w:r>
          </w:p>
        </w:tc>
        <w:tc>
          <w:tcPr>
            <w:tcW w:w="370" w:type="pct"/>
            <w:shd w:val="clear" w:color="auto" w:fill="FFFFFF"/>
            <w:vAlign w:val="center"/>
          </w:tcPr>
          <w:p w14:paraId="496BB16B"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2,5*</w:t>
            </w:r>
          </w:p>
        </w:tc>
        <w:tc>
          <w:tcPr>
            <w:tcW w:w="378" w:type="pct"/>
            <w:shd w:val="clear" w:color="auto" w:fill="FFFFFF"/>
            <w:vAlign w:val="center"/>
          </w:tcPr>
          <w:p w14:paraId="4382254C"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2,2*</w:t>
            </w:r>
          </w:p>
        </w:tc>
        <w:tc>
          <w:tcPr>
            <w:tcW w:w="378" w:type="pct"/>
            <w:shd w:val="clear" w:color="auto" w:fill="FFFFFF"/>
            <w:vAlign w:val="center"/>
          </w:tcPr>
          <w:p w14:paraId="72DD9CC3"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2,0*</w:t>
            </w:r>
          </w:p>
        </w:tc>
        <w:tc>
          <w:tcPr>
            <w:tcW w:w="380" w:type="pct"/>
            <w:shd w:val="clear" w:color="auto" w:fill="FFFFFF"/>
            <w:vAlign w:val="center"/>
          </w:tcPr>
          <w:p w14:paraId="3AD3E1F9"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3,4*</w:t>
            </w:r>
          </w:p>
        </w:tc>
        <w:tc>
          <w:tcPr>
            <w:tcW w:w="378" w:type="pct"/>
            <w:shd w:val="clear" w:color="auto" w:fill="FFFFFF"/>
            <w:vAlign w:val="center"/>
          </w:tcPr>
          <w:p w14:paraId="6D90CE1E"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2,2*</w:t>
            </w:r>
          </w:p>
        </w:tc>
        <w:tc>
          <w:tcPr>
            <w:tcW w:w="378" w:type="pct"/>
            <w:shd w:val="clear" w:color="auto" w:fill="FFFFFF"/>
            <w:vAlign w:val="center"/>
          </w:tcPr>
          <w:p w14:paraId="67404BBC"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2,5*</w:t>
            </w:r>
          </w:p>
        </w:tc>
        <w:tc>
          <w:tcPr>
            <w:tcW w:w="385" w:type="pct"/>
            <w:shd w:val="clear" w:color="auto" w:fill="FFFFFF"/>
            <w:vAlign w:val="center"/>
          </w:tcPr>
          <w:p w14:paraId="28A6486F"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1,8*</w:t>
            </w:r>
          </w:p>
        </w:tc>
        <w:tc>
          <w:tcPr>
            <w:tcW w:w="380" w:type="pct"/>
            <w:shd w:val="clear" w:color="auto" w:fill="FFFFFF"/>
            <w:vAlign w:val="center"/>
          </w:tcPr>
          <w:p w14:paraId="0E359BB3"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1,6</w:t>
            </w:r>
          </w:p>
        </w:tc>
      </w:tr>
      <w:tr w:rsidR="0047261E" w:rsidRPr="0047261E" w14:paraId="09D1D673" w14:textId="77777777" w:rsidTr="0047261E">
        <w:trPr>
          <w:trHeight w:val="254"/>
        </w:trPr>
        <w:tc>
          <w:tcPr>
            <w:tcW w:w="1526" w:type="pct"/>
            <w:shd w:val="clear" w:color="auto" w:fill="FFFFFF"/>
            <w:vAlign w:val="center"/>
          </w:tcPr>
          <w:p w14:paraId="3866B635"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Сельское хозяйство</w:t>
            </w:r>
          </w:p>
        </w:tc>
        <w:tc>
          <w:tcPr>
            <w:tcW w:w="447" w:type="pct"/>
            <w:shd w:val="clear" w:color="auto" w:fill="FFFFFF"/>
            <w:vAlign w:val="center"/>
          </w:tcPr>
          <w:p w14:paraId="5768D982"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-0,6</w:t>
            </w:r>
          </w:p>
        </w:tc>
        <w:tc>
          <w:tcPr>
            <w:tcW w:w="370" w:type="pct"/>
            <w:shd w:val="clear" w:color="auto" w:fill="FFFFFF"/>
            <w:vAlign w:val="center"/>
          </w:tcPr>
          <w:p w14:paraId="6C6D2A4A"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4,1</w:t>
            </w:r>
          </w:p>
        </w:tc>
        <w:tc>
          <w:tcPr>
            <w:tcW w:w="378" w:type="pct"/>
            <w:shd w:val="clear" w:color="auto" w:fill="FFFFFF"/>
            <w:vAlign w:val="center"/>
          </w:tcPr>
          <w:p w14:paraId="32FC3F76"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-0,1</w:t>
            </w:r>
          </w:p>
        </w:tc>
        <w:tc>
          <w:tcPr>
            <w:tcW w:w="378" w:type="pct"/>
            <w:shd w:val="clear" w:color="auto" w:fill="FFFFFF"/>
            <w:vAlign w:val="center"/>
          </w:tcPr>
          <w:p w14:paraId="121B5EF9"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-6,1</w:t>
            </w:r>
          </w:p>
        </w:tc>
        <w:tc>
          <w:tcPr>
            <w:tcW w:w="380" w:type="pct"/>
            <w:shd w:val="clear" w:color="auto" w:fill="FFFFFF"/>
            <w:vAlign w:val="center"/>
          </w:tcPr>
          <w:p w14:paraId="3F172669"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12,1</w:t>
            </w:r>
          </w:p>
        </w:tc>
        <w:tc>
          <w:tcPr>
            <w:tcW w:w="378" w:type="pct"/>
            <w:shd w:val="clear" w:color="auto" w:fill="FFFFFF"/>
            <w:vAlign w:val="center"/>
          </w:tcPr>
          <w:p w14:paraId="76296D92"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-5,1</w:t>
            </w:r>
          </w:p>
        </w:tc>
        <w:tc>
          <w:tcPr>
            <w:tcW w:w="378" w:type="pct"/>
            <w:shd w:val="clear" w:color="auto" w:fill="FFFFFF"/>
            <w:vAlign w:val="center"/>
          </w:tcPr>
          <w:p w14:paraId="2E5D7BAB"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1,8</w:t>
            </w:r>
          </w:p>
        </w:tc>
        <w:tc>
          <w:tcPr>
            <w:tcW w:w="385" w:type="pct"/>
            <w:shd w:val="clear" w:color="auto" w:fill="FFFFFF"/>
            <w:vAlign w:val="center"/>
          </w:tcPr>
          <w:p w14:paraId="535E0BE3"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2,4</w:t>
            </w:r>
          </w:p>
        </w:tc>
        <w:tc>
          <w:tcPr>
            <w:tcW w:w="380" w:type="pct"/>
            <w:shd w:val="clear" w:color="auto" w:fill="FFFFFF"/>
            <w:vAlign w:val="center"/>
          </w:tcPr>
          <w:p w14:paraId="59FAE937"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3,1</w:t>
            </w:r>
          </w:p>
        </w:tc>
      </w:tr>
      <w:tr w:rsidR="0047261E" w:rsidRPr="0047261E" w14:paraId="6605B635" w14:textId="77777777" w:rsidTr="0047261E">
        <w:trPr>
          <w:trHeight w:val="264"/>
        </w:trPr>
        <w:tc>
          <w:tcPr>
            <w:tcW w:w="1526" w:type="pct"/>
            <w:shd w:val="clear" w:color="auto" w:fill="FFFFFF"/>
            <w:vAlign w:val="center"/>
          </w:tcPr>
          <w:p w14:paraId="521CA9BB"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Строительство</w:t>
            </w:r>
          </w:p>
        </w:tc>
        <w:tc>
          <w:tcPr>
            <w:tcW w:w="447" w:type="pct"/>
            <w:shd w:val="clear" w:color="auto" w:fill="FFFFFF"/>
            <w:vAlign w:val="center"/>
          </w:tcPr>
          <w:p w14:paraId="30A84E5D"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5,3</w:t>
            </w:r>
          </w:p>
        </w:tc>
        <w:tc>
          <w:tcPr>
            <w:tcW w:w="370" w:type="pct"/>
            <w:shd w:val="clear" w:color="auto" w:fill="FFFFFF"/>
            <w:vAlign w:val="center"/>
          </w:tcPr>
          <w:p w14:paraId="43D3210C"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4,1</w:t>
            </w:r>
          </w:p>
        </w:tc>
        <w:tc>
          <w:tcPr>
            <w:tcW w:w="378" w:type="pct"/>
            <w:shd w:val="clear" w:color="auto" w:fill="FFFFFF"/>
            <w:vAlign w:val="center"/>
          </w:tcPr>
          <w:p w14:paraId="15A7AC58"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2,6</w:t>
            </w:r>
          </w:p>
        </w:tc>
        <w:tc>
          <w:tcPr>
            <w:tcW w:w="378" w:type="pct"/>
            <w:shd w:val="clear" w:color="auto" w:fill="FFFFFF"/>
            <w:vAlign w:val="center"/>
          </w:tcPr>
          <w:p w14:paraId="5C8B5D6C"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4,3</w:t>
            </w:r>
          </w:p>
        </w:tc>
        <w:tc>
          <w:tcPr>
            <w:tcW w:w="380" w:type="pct"/>
            <w:shd w:val="clear" w:color="auto" w:fill="FFFFFF"/>
            <w:vAlign w:val="center"/>
          </w:tcPr>
          <w:p w14:paraId="698BCD93"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5,7</w:t>
            </w:r>
          </w:p>
        </w:tc>
        <w:tc>
          <w:tcPr>
            <w:tcW w:w="378" w:type="pct"/>
            <w:shd w:val="clear" w:color="auto" w:fill="FFFFFF"/>
            <w:vAlign w:val="center"/>
          </w:tcPr>
          <w:p w14:paraId="335A7C56"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5,6</w:t>
            </w:r>
          </w:p>
        </w:tc>
        <w:tc>
          <w:tcPr>
            <w:tcW w:w="378" w:type="pct"/>
            <w:shd w:val="clear" w:color="auto" w:fill="FFFFFF"/>
            <w:vAlign w:val="center"/>
          </w:tcPr>
          <w:p w14:paraId="3160B35A"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6,9</w:t>
            </w:r>
          </w:p>
        </w:tc>
        <w:tc>
          <w:tcPr>
            <w:tcW w:w="385" w:type="pct"/>
            <w:shd w:val="clear" w:color="auto" w:fill="FFFFFF"/>
            <w:vAlign w:val="center"/>
          </w:tcPr>
          <w:p w14:paraId="65CD61CE"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5,2</w:t>
            </w:r>
          </w:p>
        </w:tc>
        <w:tc>
          <w:tcPr>
            <w:tcW w:w="380" w:type="pct"/>
            <w:shd w:val="clear" w:color="auto" w:fill="FFFFFF"/>
            <w:vAlign w:val="center"/>
          </w:tcPr>
          <w:p w14:paraId="132DFB13"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-1,2</w:t>
            </w:r>
          </w:p>
        </w:tc>
      </w:tr>
      <w:tr w:rsidR="0047261E" w:rsidRPr="0047261E" w14:paraId="13C7B46A" w14:textId="77777777" w:rsidTr="0047261E">
        <w:trPr>
          <w:trHeight w:val="250"/>
        </w:trPr>
        <w:tc>
          <w:tcPr>
            <w:tcW w:w="1526" w:type="pct"/>
            <w:shd w:val="clear" w:color="auto" w:fill="FFFFFF"/>
            <w:vAlign w:val="center"/>
          </w:tcPr>
          <w:p w14:paraId="042BF2D6"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Розничная торговля</w:t>
            </w:r>
          </w:p>
        </w:tc>
        <w:tc>
          <w:tcPr>
            <w:tcW w:w="447" w:type="pct"/>
            <w:shd w:val="clear" w:color="auto" w:fill="FFFFFF"/>
            <w:vAlign w:val="center"/>
          </w:tcPr>
          <w:p w14:paraId="250FBE95"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2,6</w:t>
            </w:r>
          </w:p>
        </w:tc>
        <w:tc>
          <w:tcPr>
            <w:tcW w:w="370" w:type="pct"/>
            <w:shd w:val="clear" w:color="auto" w:fill="FFFFFF"/>
            <w:vAlign w:val="center"/>
          </w:tcPr>
          <w:p w14:paraId="680F0E80"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2,7</w:t>
            </w:r>
          </w:p>
        </w:tc>
        <w:tc>
          <w:tcPr>
            <w:tcW w:w="378" w:type="pct"/>
            <w:shd w:val="clear" w:color="auto" w:fill="FFFFFF"/>
            <w:vAlign w:val="center"/>
          </w:tcPr>
          <w:p w14:paraId="24AC436E"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2,3</w:t>
            </w:r>
          </w:p>
        </w:tc>
        <w:tc>
          <w:tcPr>
            <w:tcW w:w="378" w:type="pct"/>
            <w:shd w:val="clear" w:color="auto" w:fill="FFFFFF"/>
            <w:vAlign w:val="center"/>
          </w:tcPr>
          <w:p w14:paraId="7FA3A142"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3,0</w:t>
            </w:r>
          </w:p>
        </w:tc>
        <w:tc>
          <w:tcPr>
            <w:tcW w:w="380" w:type="pct"/>
            <w:shd w:val="clear" w:color="auto" w:fill="FFFFFF"/>
            <w:vAlign w:val="center"/>
          </w:tcPr>
          <w:p w14:paraId="436E5A10"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2,0</w:t>
            </w:r>
          </w:p>
        </w:tc>
        <w:tc>
          <w:tcPr>
            <w:tcW w:w="378" w:type="pct"/>
            <w:shd w:val="clear" w:color="auto" w:fill="FFFFFF"/>
            <w:vAlign w:val="center"/>
          </w:tcPr>
          <w:p w14:paraId="7B81DFAA"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2,6</w:t>
            </w:r>
          </w:p>
        </w:tc>
        <w:tc>
          <w:tcPr>
            <w:tcW w:w="378" w:type="pct"/>
            <w:shd w:val="clear" w:color="auto" w:fill="FFFFFF"/>
            <w:vAlign w:val="center"/>
          </w:tcPr>
          <w:p w14:paraId="406E8461"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2,9</w:t>
            </w:r>
          </w:p>
        </w:tc>
        <w:tc>
          <w:tcPr>
            <w:tcW w:w="385" w:type="pct"/>
            <w:shd w:val="clear" w:color="auto" w:fill="FFFFFF"/>
            <w:vAlign w:val="center"/>
          </w:tcPr>
          <w:p w14:paraId="6AD94E62"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2,4</w:t>
            </w:r>
          </w:p>
        </w:tc>
        <w:tc>
          <w:tcPr>
            <w:tcW w:w="380" w:type="pct"/>
            <w:shd w:val="clear" w:color="auto" w:fill="FFFFFF"/>
            <w:vAlign w:val="center"/>
          </w:tcPr>
          <w:p w14:paraId="2DA0FAF1"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1,3</w:t>
            </w:r>
          </w:p>
        </w:tc>
      </w:tr>
      <w:tr w:rsidR="0047261E" w:rsidRPr="0047261E" w14:paraId="6354BCC3" w14:textId="77777777" w:rsidTr="0047261E">
        <w:trPr>
          <w:trHeight w:val="264"/>
        </w:trPr>
        <w:tc>
          <w:tcPr>
            <w:tcW w:w="1526" w:type="pct"/>
            <w:shd w:val="clear" w:color="auto" w:fill="FFFFFF"/>
            <w:vAlign w:val="center"/>
          </w:tcPr>
          <w:p w14:paraId="6F60F735"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Грузооборот транспорта</w:t>
            </w:r>
          </w:p>
        </w:tc>
        <w:tc>
          <w:tcPr>
            <w:tcW w:w="447" w:type="pct"/>
            <w:shd w:val="clear" w:color="auto" w:fill="FFFFFF"/>
            <w:vAlign w:val="center"/>
          </w:tcPr>
          <w:p w14:paraId="75F8AF00"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2,9</w:t>
            </w:r>
          </w:p>
        </w:tc>
        <w:tc>
          <w:tcPr>
            <w:tcW w:w="370" w:type="pct"/>
            <w:shd w:val="clear" w:color="auto" w:fill="FFFFFF"/>
            <w:vAlign w:val="center"/>
          </w:tcPr>
          <w:p w14:paraId="605E91DA"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2,6</w:t>
            </w:r>
          </w:p>
        </w:tc>
        <w:tc>
          <w:tcPr>
            <w:tcW w:w="378" w:type="pct"/>
            <w:shd w:val="clear" w:color="auto" w:fill="FFFFFF"/>
            <w:vAlign w:val="center"/>
          </w:tcPr>
          <w:p w14:paraId="270E45F8"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3,2</w:t>
            </w:r>
          </w:p>
        </w:tc>
        <w:tc>
          <w:tcPr>
            <w:tcW w:w="378" w:type="pct"/>
            <w:shd w:val="clear" w:color="auto" w:fill="FFFFFF"/>
            <w:vAlign w:val="center"/>
          </w:tcPr>
          <w:p w14:paraId="699EF28A"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3,0</w:t>
            </w:r>
          </w:p>
        </w:tc>
        <w:tc>
          <w:tcPr>
            <w:tcW w:w="380" w:type="pct"/>
            <w:shd w:val="clear" w:color="auto" w:fill="FFFFFF"/>
            <w:vAlign w:val="center"/>
          </w:tcPr>
          <w:p w14:paraId="11CB81DC"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1,6</w:t>
            </w:r>
          </w:p>
        </w:tc>
        <w:tc>
          <w:tcPr>
            <w:tcW w:w="378" w:type="pct"/>
            <w:shd w:val="clear" w:color="auto" w:fill="FFFFFF"/>
            <w:vAlign w:val="center"/>
          </w:tcPr>
          <w:p w14:paraId="474193B6"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3,0</w:t>
            </w:r>
          </w:p>
        </w:tc>
        <w:tc>
          <w:tcPr>
            <w:tcW w:w="378" w:type="pct"/>
            <w:shd w:val="clear" w:color="auto" w:fill="FFFFFF"/>
            <w:vAlign w:val="center"/>
          </w:tcPr>
          <w:p w14:paraId="39CC8F33"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3,4</w:t>
            </w:r>
          </w:p>
        </w:tc>
        <w:tc>
          <w:tcPr>
            <w:tcW w:w="385" w:type="pct"/>
            <w:shd w:val="clear" w:color="auto" w:fill="FFFFFF"/>
            <w:vAlign w:val="center"/>
          </w:tcPr>
          <w:p w14:paraId="779E6872"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2,5</w:t>
            </w:r>
          </w:p>
        </w:tc>
        <w:tc>
          <w:tcPr>
            <w:tcW w:w="380" w:type="pct"/>
            <w:shd w:val="clear" w:color="auto" w:fill="FFFFFF"/>
            <w:vAlign w:val="center"/>
          </w:tcPr>
          <w:p w14:paraId="1319E437"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5,5</w:t>
            </w:r>
          </w:p>
        </w:tc>
      </w:tr>
      <w:tr w:rsidR="0047261E" w:rsidRPr="0047261E" w14:paraId="2DFFE376" w14:textId="77777777" w:rsidTr="0047261E">
        <w:trPr>
          <w:trHeight w:val="254"/>
        </w:trPr>
        <w:tc>
          <w:tcPr>
            <w:tcW w:w="1526" w:type="pct"/>
            <w:shd w:val="clear" w:color="auto" w:fill="FFFFFF"/>
            <w:vAlign w:val="center"/>
          </w:tcPr>
          <w:p w14:paraId="44DA7A2D"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Промышленное производство</w:t>
            </w:r>
          </w:p>
        </w:tc>
        <w:tc>
          <w:tcPr>
            <w:tcW w:w="447" w:type="pct"/>
            <w:shd w:val="clear" w:color="auto" w:fill="FFFFFF"/>
            <w:vAlign w:val="center"/>
          </w:tcPr>
          <w:p w14:paraId="0C8DFB6C"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2,9</w:t>
            </w:r>
          </w:p>
        </w:tc>
        <w:tc>
          <w:tcPr>
            <w:tcW w:w="370" w:type="pct"/>
            <w:shd w:val="clear" w:color="auto" w:fill="FFFFFF"/>
            <w:vAlign w:val="center"/>
          </w:tcPr>
          <w:p w14:paraId="3DF3275D"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2,7</w:t>
            </w:r>
          </w:p>
        </w:tc>
        <w:tc>
          <w:tcPr>
            <w:tcW w:w="378" w:type="pct"/>
            <w:shd w:val="clear" w:color="auto" w:fill="FFFFFF"/>
            <w:vAlign w:val="center"/>
          </w:tcPr>
          <w:p w14:paraId="3439FF6A"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2,0</w:t>
            </w:r>
          </w:p>
        </w:tc>
        <w:tc>
          <w:tcPr>
            <w:tcW w:w="378" w:type="pct"/>
            <w:shd w:val="clear" w:color="auto" w:fill="FFFFFF"/>
            <w:vAlign w:val="center"/>
          </w:tcPr>
          <w:p w14:paraId="30085D2D"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2,4</w:t>
            </w:r>
          </w:p>
        </w:tc>
        <w:tc>
          <w:tcPr>
            <w:tcW w:w="380" w:type="pct"/>
            <w:shd w:val="clear" w:color="auto" w:fill="FFFFFF"/>
            <w:vAlign w:val="center"/>
          </w:tcPr>
          <w:p w14:paraId="4BEB4EC1"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3,7</w:t>
            </w:r>
          </w:p>
        </w:tc>
        <w:tc>
          <w:tcPr>
            <w:tcW w:w="378" w:type="pct"/>
            <w:shd w:val="clear" w:color="auto" w:fill="FFFFFF"/>
            <w:vAlign w:val="center"/>
          </w:tcPr>
          <w:p w14:paraId="1D391FED"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2,9</w:t>
            </w:r>
          </w:p>
        </w:tc>
        <w:tc>
          <w:tcPr>
            <w:tcW w:w="378" w:type="pct"/>
            <w:shd w:val="clear" w:color="auto" w:fill="FFFFFF"/>
            <w:vAlign w:val="center"/>
          </w:tcPr>
          <w:p w14:paraId="338A8A76"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3,2</w:t>
            </w:r>
          </w:p>
        </w:tc>
        <w:tc>
          <w:tcPr>
            <w:tcW w:w="385" w:type="pct"/>
            <w:shd w:val="clear" w:color="auto" w:fill="FFFFFF"/>
            <w:vAlign w:val="center"/>
          </w:tcPr>
          <w:p w14:paraId="64EE8FA8"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2,8</w:t>
            </w:r>
          </w:p>
        </w:tc>
        <w:tc>
          <w:tcPr>
            <w:tcW w:w="380" w:type="pct"/>
            <w:shd w:val="clear" w:color="auto" w:fill="FFFFFF"/>
            <w:vAlign w:val="center"/>
          </w:tcPr>
          <w:p w14:paraId="2F0A021D"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2,1</w:t>
            </w:r>
          </w:p>
        </w:tc>
      </w:tr>
      <w:tr w:rsidR="0047261E" w:rsidRPr="0047261E" w14:paraId="14FE9079" w14:textId="77777777" w:rsidTr="0047261E">
        <w:trPr>
          <w:trHeight w:val="245"/>
        </w:trPr>
        <w:tc>
          <w:tcPr>
            <w:tcW w:w="1526" w:type="pct"/>
            <w:shd w:val="clear" w:color="auto" w:fill="FFFFFF"/>
            <w:vAlign w:val="bottom"/>
          </w:tcPr>
          <w:p w14:paraId="4CC5DFF0"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Добыча полезных ископаемых</w:t>
            </w:r>
          </w:p>
        </w:tc>
        <w:tc>
          <w:tcPr>
            <w:tcW w:w="447" w:type="pct"/>
            <w:shd w:val="clear" w:color="auto" w:fill="FFFFFF"/>
            <w:vAlign w:val="bottom"/>
          </w:tcPr>
          <w:p w14:paraId="5E2CCB42"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4,1</w:t>
            </w:r>
          </w:p>
        </w:tc>
        <w:tc>
          <w:tcPr>
            <w:tcW w:w="370" w:type="pct"/>
            <w:shd w:val="clear" w:color="auto" w:fill="FFFFFF"/>
            <w:vAlign w:val="bottom"/>
          </w:tcPr>
          <w:p w14:paraId="777E9158"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7,2</w:t>
            </w:r>
          </w:p>
        </w:tc>
        <w:tc>
          <w:tcPr>
            <w:tcW w:w="378" w:type="pct"/>
            <w:shd w:val="clear" w:color="auto" w:fill="FFFFFF"/>
            <w:vAlign w:val="bottom"/>
          </w:tcPr>
          <w:p w14:paraId="4D9ACC29"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6,3</w:t>
            </w:r>
          </w:p>
        </w:tc>
        <w:tc>
          <w:tcPr>
            <w:tcW w:w="378" w:type="pct"/>
            <w:shd w:val="clear" w:color="auto" w:fill="FFFFFF"/>
            <w:vAlign w:val="bottom"/>
          </w:tcPr>
          <w:p w14:paraId="46973003"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7,8</w:t>
            </w:r>
          </w:p>
        </w:tc>
        <w:tc>
          <w:tcPr>
            <w:tcW w:w="380" w:type="pct"/>
            <w:shd w:val="clear" w:color="auto" w:fill="FFFFFF"/>
            <w:vAlign w:val="bottom"/>
          </w:tcPr>
          <w:p w14:paraId="3119CB3E"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7,4</w:t>
            </w:r>
          </w:p>
        </w:tc>
        <w:tc>
          <w:tcPr>
            <w:tcW w:w="378" w:type="pct"/>
            <w:shd w:val="clear" w:color="auto" w:fill="FFFFFF"/>
            <w:vAlign w:val="bottom"/>
          </w:tcPr>
          <w:p w14:paraId="4596CF6E"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4,9</w:t>
            </w:r>
          </w:p>
        </w:tc>
        <w:tc>
          <w:tcPr>
            <w:tcW w:w="378" w:type="pct"/>
            <w:shd w:val="clear" w:color="auto" w:fill="FFFFFF"/>
            <w:vAlign w:val="bottom"/>
          </w:tcPr>
          <w:p w14:paraId="45A09ADC"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2,2</w:t>
            </w:r>
          </w:p>
        </w:tc>
        <w:tc>
          <w:tcPr>
            <w:tcW w:w="385" w:type="pct"/>
            <w:shd w:val="clear" w:color="auto" w:fill="FFFFFF"/>
            <w:vAlign w:val="bottom"/>
          </w:tcPr>
          <w:p w14:paraId="3D61B2FA"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1,5</w:t>
            </w:r>
          </w:p>
        </w:tc>
        <w:tc>
          <w:tcPr>
            <w:tcW w:w="380" w:type="pct"/>
            <w:shd w:val="clear" w:color="auto" w:fill="FFFFFF"/>
            <w:vAlign w:val="bottom"/>
          </w:tcPr>
          <w:p w14:paraId="681BFE7B"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2,1</w:t>
            </w:r>
          </w:p>
        </w:tc>
      </w:tr>
      <w:tr w:rsidR="0047261E" w:rsidRPr="0047261E" w14:paraId="52CB6C44" w14:textId="77777777" w:rsidTr="0047261E">
        <w:trPr>
          <w:trHeight w:val="245"/>
        </w:trPr>
        <w:tc>
          <w:tcPr>
            <w:tcW w:w="1526" w:type="pct"/>
            <w:shd w:val="clear" w:color="auto" w:fill="FFFFFF"/>
            <w:vAlign w:val="bottom"/>
          </w:tcPr>
          <w:p w14:paraId="04F938FE"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добыча угля</w:t>
            </w:r>
          </w:p>
        </w:tc>
        <w:tc>
          <w:tcPr>
            <w:tcW w:w="447" w:type="pct"/>
            <w:shd w:val="clear" w:color="auto" w:fill="FFFFFF"/>
            <w:vAlign w:val="bottom"/>
          </w:tcPr>
          <w:p w14:paraId="680C233D"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4,2</w:t>
            </w:r>
          </w:p>
        </w:tc>
        <w:tc>
          <w:tcPr>
            <w:tcW w:w="370" w:type="pct"/>
            <w:shd w:val="clear" w:color="auto" w:fill="FFFFFF"/>
            <w:vAlign w:val="bottom"/>
          </w:tcPr>
          <w:p w14:paraId="34B0D97E"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7,4</w:t>
            </w:r>
          </w:p>
        </w:tc>
        <w:tc>
          <w:tcPr>
            <w:tcW w:w="378" w:type="pct"/>
            <w:shd w:val="clear" w:color="auto" w:fill="FFFFFF"/>
            <w:vAlign w:val="bottom"/>
          </w:tcPr>
          <w:p w14:paraId="7F9473B0"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8,8</w:t>
            </w:r>
          </w:p>
        </w:tc>
        <w:tc>
          <w:tcPr>
            <w:tcW w:w="378" w:type="pct"/>
            <w:shd w:val="clear" w:color="auto" w:fill="FFFFFF"/>
            <w:vAlign w:val="bottom"/>
          </w:tcPr>
          <w:p w14:paraId="7D271AA0"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8,0</w:t>
            </w:r>
          </w:p>
        </w:tc>
        <w:tc>
          <w:tcPr>
            <w:tcW w:w="380" w:type="pct"/>
            <w:shd w:val="clear" w:color="auto" w:fill="FFFFFF"/>
            <w:vAlign w:val="bottom"/>
          </w:tcPr>
          <w:p w14:paraId="60355759"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5,5</w:t>
            </w:r>
          </w:p>
        </w:tc>
        <w:tc>
          <w:tcPr>
            <w:tcW w:w="378" w:type="pct"/>
            <w:shd w:val="clear" w:color="auto" w:fill="FFFFFF"/>
            <w:vAlign w:val="bottom"/>
          </w:tcPr>
          <w:p w14:paraId="7964C878"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4,6</w:t>
            </w:r>
          </w:p>
        </w:tc>
        <w:tc>
          <w:tcPr>
            <w:tcW w:w="378" w:type="pct"/>
            <w:shd w:val="clear" w:color="auto" w:fill="FFFFFF"/>
            <w:vAlign w:val="bottom"/>
          </w:tcPr>
          <w:p w14:paraId="2A6BAD50"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3,9</w:t>
            </w:r>
          </w:p>
        </w:tc>
        <w:tc>
          <w:tcPr>
            <w:tcW w:w="385" w:type="pct"/>
            <w:shd w:val="clear" w:color="auto" w:fill="FFFFFF"/>
            <w:vAlign w:val="bottom"/>
          </w:tcPr>
          <w:p w14:paraId="7FE4AA81"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0,7</w:t>
            </w:r>
          </w:p>
        </w:tc>
        <w:tc>
          <w:tcPr>
            <w:tcW w:w="380" w:type="pct"/>
            <w:shd w:val="clear" w:color="auto" w:fill="FFFFFF"/>
            <w:vAlign w:val="bottom"/>
          </w:tcPr>
          <w:p w14:paraId="026E0BE8"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3,7</w:t>
            </w:r>
          </w:p>
        </w:tc>
      </w:tr>
      <w:tr w:rsidR="0047261E" w:rsidRPr="0047261E" w14:paraId="0ECFEF14" w14:textId="77777777" w:rsidTr="0047261E">
        <w:trPr>
          <w:trHeight w:val="355"/>
        </w:trPr>
        <w:tc>
          <w:tcPr>
            <w:tcW w:w="1526" w:type="pct"/>
            <w:shd w:val="clear" w:color="auto" w:fill="FFFFFF"/>
          </w:tcPr>
          <w:p w14:paraId="61055441"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добыча сырой нефти и природного газа</w:t>
            </w:r>
          </w:p>
        </w:tc>
        <w:tc>
          <w:tcPr>
            <w:tcW w:w="447" w:type="pct"/>
            <w:shd w:val="clear" w:color="auto" w:fill="FFFFFF"/>
            <w:vAlign w:val="center"/>
          </w:tcPr>
          <w:p w14:paraId="247E3382"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2,8</w:t>
            </w:r>
          </w:p>
        </w:tc>
        <w:tc>
          <w:tcPr>
            <w:tcW w:w="370" w:type="pct"/>
            <w:shd w:val="clear" w:color="auto" w:fill="FFFFFF"/>
            <w:vAlign w:val="center"/>
          </w:tcPr>
          <w:p w14:paraId="188AB94D"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5,7</w:t>
            </w:r>
          </w:p>
        </w:tc>
        <w:tc>
          <w:tcPr>
            <w:tcW w:w="378" w:type="pct"/>
            <w:shd w:val="clear" w:color="auto" w:fill="FFFFFF"/>
            <w:vAlign w:val="center"/>
          </w:tcPr>
          <w:p w14:paraId="1CF385DB"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5,8</w:t>
            </w:r>
          </w:p>
        </w:tc>
        <w:tc>
          <w:tcPr>
            <w:tcW w:w="378" w:type="pct"/>
            <w:shd w:val="clear" w:color="auto" w:fill="FFFFFF"/>
            <w:vAlign w:val="center"/>
          </w:tcPr>
          <w:p w14:paraId="4562F5F4"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5,6</w:t>
            </w:r>
          </w:p>
        </w:tc>
        <w:tc>
          <w:tcPr>
            <w:tcW w:w="380" w:type="pct"/>
            <w:shd w:val="clear" w:color="auto" w:fill="FFFFFF"/>
            <w:vAlign w:val="center"/>
          </w:tcPr>
          <w:p w14:paraId="008271DA"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6,1</w:t>
            </w:r>
          </w:p>
        </w:tc>
        <w:tc>
          <w:tcPr>
            <w:tcW w:w="378" w:type="pct"/>
            <w:shd w:val="clear" w:color="auto" w:fill="FFFFFF"/>
            <w:vAlign w:val="center"/>
          </w:tcPr>
          <w:p w14:paraId="2756745D"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4,2</w:t>
            </w:r>
          </w:p>
        </w:tc>
        <w:tc>
          <w:tcPr>
            <w:tcW w:w="378" w:type="pct"/>
            <w:shd w:val="clear" w:color="auto" w:fill="FFFFFF"/>
            <w:vAlign w:val="center"/>
          </w:tcPr>
          <w:p w14:paraId="3ABAE828"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1,6</w:t>
            </w:r>
          </w:p>
        </w:tc>
        <w:tc>
          <w:tcPr>
            <w:tcW w:w="385" w:type="pct"/>
            <w:shd w:val="clear" w:color="auto" w:fill="FFFFFF"/>
            <w:vAlign w:val="center"/>
          </w:tcPr>
          <w:p w14:paraId="2F6919BE"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-0,4</w:t>
            </w:r>
          </w:p>
        </w:tc>
        <w:tc>
          <w:tcPr>
            <w:tcW w:w="380" w:type="pct"/>
            <w:shd w:val="clear" w:color="auto" w:fill="FFFFFF"/>
            <w:vAlign w:val="center"/>
          </w:tcPr>
          <w:p w14:paraId="6E0D49AA"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0,4</w:t>
            </w:r>
          </w:p>
        </w:tc>
      </w:tr>
      <w:tr w:rsidR="0047261E" w:rsidRPr="0047261E" w14:paraId="0FDD4ABF" w14:textId="77777777" w:rsidTr="0047261E">
        <w:trPr>
          <w:trHeight w:val="240"/>
        </w:trPr>
        <w:tc>
          <w:tcPr>
            <w:tcW w:w="1526" w:type="pct"/>
            <w:shd w:val="clear" w:color="auto" w:fill="FFFFFF"/>
          </w:tcPr>
          <w:p w14:paraId="5A139088"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добыча металлических руд</w:t>
            </w:r>
          </w:p>
        </w:tc>
        <w:tc>
          <w:tcPr>
            <w:tcW w:w="447" w:type="pct"/>
            <w:shd w:val="clear" w:color="auto" w:fill="FFFFFF"/>
          </w:tcPr>
          <w:p w14:paraId="3B9C8913"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4,6</w:t>
            </w:r>
          </w:p>
        </w:tc>
        <w:tc>
          <w:tcPr>
            <w:tcW w:w="370" w:type="pct"/>
            <w:shd w:val="clear" w:color="auto" w:fill="FFFFFF"/>
          </w:tcPr>
          <w:p w14:paraId="7F43654E"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7,3</w:t>
            </w:r>
          </w:p>
        </w:tc>
        <w:tc>
          <w:tcPr>
            <w:tcW w:w="378" w:type="pct"/>
            <w:shd w:val="clear" w:color="auto" w:fill="FFFFFF"/>
          </w:tcPr>
          <w:p w14:paraId="57926582"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7,2</w:t>
            </w:r>
          </w:p>
        </w:tc>
        <w:tc>
          <w:tcPr>
            <w:tcW w:w="378" w:type="pct"/>
            <w:shd w:val="clear" w:color="auto" w:fill="FFFFFF"/>
          </w:tcPr>
          <w:p w14:paraId="264D15F4"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8,4</w:t>
            </w:r>
          </w:p>
        </w:tc>
        <w:tc>
          <w:tcPr>
            <w:tcW w:w="380" w:type="pct"/>
            <w:shd w:val="clear" w:color="auto" w:fill="FFFFFF"/>
          </w:tcPr>
          <w:p w14:paraId="764FF06D"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6,3</w:t>
            </w:r>
          </w:p>
        </w:tc>
        <w:tc>
          <w:tcPr>
            <w:tcW w:w="378" w:type="pct"/>
            <w:shd w:val="clear" w:color="auto" w:fill="FFFFFF"/>
          </w:tcPr>
          <w:p w14:paraId="73C78E0A"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5,4</w:t>
            </w:r>
          </w:p>
        </w:tc>
        <w:tc>
          <w:tcPr>
            <w:tcW w:w="378" w:type="pct"/>
            <w:shd w:val="clear" w:color="auto" w:fill="FFFFFF"/>
            <w:vAlign w:val="center"/>
          </w:tcPr>
          <w:p w14:paraId="49A10CFE"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1,6</w:t>
            </w:r>
          </w:p>
        </w:tc>
        <w:tc>
          <w:tcPr>
            <w:tcW w:w="385" w:type="pct"/>
            <w:shd w:val="clear" w:color="auto" w:fill="FFFFFF"/>
          </w:tcPr>
          <w:p w14:paraId="427C53C0"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3,7</w:t>
            </w:r>
          </w:p>
        </w:tc>
        <w:tc>
          <w:tcPr>
            <w:tcW w:w="380" w:type="pct"/>
            <w:shd w:val="clear" w:color="auto" w:fill="FFFFFF"/>
          </w:tcPr>
          <w:p w14:paraId="36A5C0AC"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3,5</w:t>
            </w:r>
          </w:p>
        </w:tc>
      </w:tr>
      <w:tr w:rsidR="0047261E" w:rsidRPr="0047261E" w14:paraId="6353A6DD" w14:textId="77777777" w:rsidTr="0047261E">
        <w:trPr>
          <w:trHeight w:val="254"/>
        </w:trPr>
        <w:tc>
          <w:tcPr>
            <w:tcW w:w="1526" w:type="pct"/>
            <w:shd w:val="clear" w:color="auto" w:fill="FFFFFF"/>
            <w:vAlign w:val="center"/>
          </w:tcPr>
          <w:p w14:paraId="37894712"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добыча прочих полезных ископаемых</w:t>
            </w:r>
          </w:p>
        </w:tc>
        <w:tc>
          <w:tcPr>
            <w:tcW w:w="447" w:type="pct"/>
            <w:shd w:val="clear" w:color="auto" w:fill="FFFFFF"/>
            <w:vAlign w:val="center"/>
          </w:tcPr>
          <w:p w14:paraId="28785488"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4,0</w:t>
            </w:r>
          </w:p>
        </w:tc>
        <w:tc>
          <w:tcPr>
            <w:tcW w:w="370" w:type="pct"/>
            <w:shd w:val="clear" w:color="auto" w:fill="FFFFFF"/>
            <w:vAlign w:val="center"/>
          </w:tcPr>
          <w:p w14:paraId="2B4FBAD3"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7,3</w:t>
            </w:r>
          </w:p>
        </w:tc>
        <w:tc>
          <w:tcPr>
            <w:tcW w:w="378" w:type="pct"/>
            <w:shd w:val="clear" w:color="auto" w:fill="FFFFFF"/>
            <w:vAlign w:val="center"/>
          </w:tcPr>
          <w:p w14:paraId="2CBF0D31"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4,0</w:t>
            </w:r>
          </w:p>
        </w:tc>
        <w:tc>
          <w:tcPr>
            <w:tcW w:w="378" w:type="pct"/>
            <w:shd w:val="clear" w:color="auto" w:fill="FFFFFF"/>
            <w:vAlign w:val="center"/>
          </w:tcPr>
          <w:p w14:paraId="3869D0CA"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16,9</w:t>
            </w:r>
          </w:p>
        </w:tc>
        <w:tc>
          <w:tcPr>
            <w:tcW w:w="380" w:type="pct"/>
            <w:shd w:val="clear" w:color="auto" w:fill="FFFFFF"/>
            <w:vAlign w:val="center"/>
          </w:tcPr>
          <w:p w14:paraId="4E7BB3DE"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1,0</w:t>
            </w:r>
          </w:p>
        </w:tc>
        <w:tc>
          <w:tcPr>
            <w:tcW w:w="378" w:type="pct"/>
            <w:shd w:val="clear" w:color="auto" w:fill="FFFFFF"/>
            <w:vAlign w:val="center"/>
          </w:tcPr>
          <w:p w14:paraId="7AB0275B"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0,6</w:t>
            </w:r>
          </w:p>
        </w:tc>
        <w:tc>
          <w:tcPr>
            <w:tcW w:w="378" w:type="pct"/>
            <w:shd w:val="clear" w:color="auto" w:fill="FFFFFF"/>
            <w:vAlign w:val="center"/>
          </w:tcPr>
          <w:p w14:paraId="52E2DAD9"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-0,6</w:t>
            </w:r>
          </w:p>
        </w:tc>
        <w:tc>
          <w:tcPr>
            <w:tcW w:w="385" w:type="pct"/>
            <w:shd w:val="clear" w:color="auto" w:fill="FFFFFF"/>
            <w:vAlign w:val="center"/>
          </w:tcPr>
          <w:p w14:paraId="63F29C5C"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10,7</w:t>
            </w:r>
          </w:p>
        </w:tc>
        <w:tc>
          <w:tcPr>
            <w:tcW w:w="380" w:type="pct"/>
            <w:shd w:val="clear" w:color="auto" w:fill="FFFFFF"/>
            <w:vAlign w:val="center"/>
          </w:tcPr>
          <w:p w14:paraId="6D6553FB"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15,6</w:t>
            </w:r>
          </w:p>
        </w:tc>
      </w:tr>
      <w:tr w:rsidR="0047261E" w:rsidRPr="0047261E" w14:paraId="0EEB10AA" w14:textId="77777777" w:rsidTr="0047261E">
        <w:trPr>
          <w:trHeight w:val="264"/>
        </w:trPr>
        <w:tc>
          <w:tcPr>
            <w:tcW w:w="1526" w:type="pct"/>
            <w:shd w:val="clear" w:color="auto" w:fill="FFFFFF"/>
            <w:vAlign w:val="center"/>
          </w:tcPr>
          <w:p w14:paraId="1B354EAB"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Обрабатывающие производства</w:t>
            </w:r>
          </w:p>
        </w:tc>
        <w:tc>
          <w:tcPr>
            <w:tcW w:w="447" w:type="pct"/>
            <w:shd w:val="clear" w:color="auto" w:fill="FFFFFF"/>
            <w:vAlign w:val="center"/>
          </w:tcPr>
          <w:p w14:paraId="6717BC8D"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2,6</w:t>
            </w:r>
          </w:p>
        </w:tc>
        <w:tc>
          <w:tcPr>
            <w:tcW w:w="370" w:type="pct"/>
            <w:shd w:val="clear" w:color="auto" w:fill="FFFFFF"/>
            <w:vAlign w:val="center"/>
          </w:tcPr>
          <w:p w14:paraId="14A9638A"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0,9</w:t>
            </w:r>
          </w:p>
        </w:tc>
        <w:tc>
          <w:tcPr>
            <w:tcW w:w="378" w:type="pct"/>
            <w:shd w:val="clear" w:color="auto" w:fill="FFFFFF"/>
            <w:vAlign w:val="center"/>
          </w:tcPr>
          <w:p w14:paraId="415C5157"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0,0</w:t>
            </w:r>
          </w:p>
        </w:tc>
        <w:tc>
          <w:tcPr>
            <w:tcW w:w="378" w:type="pct"/>
            <w:shd w:val="clear" w:color="auto" w:fill="FFFFFF"/>
            <w:vAlign w:val="center"/>
          </w:tcPr>
          <w:p w14:paraId="0DA956E4"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0,0</w:t>
            </w:r>
          </w:p>
        </w:tc>
        <w:tc>
          <w:tcPr>
            <w:tcW w:w="380" w:type="pct"/>
            <w:shd w:val="clear" w:color="auto" w:fill="FFFFFF"/>
            <w:vAlign w:val="center"/>
          </w:tcPr>
          <w:p w14:paraId="34772BF7"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2,7</w:t>
            </w:r>
          </w:p>
        </w:tc>
        <w:tc>
          <w:tcPr>
            <w:tcW w:w="378" w:type="pct"/>
            <w:shd w:val="clear" w:color="auto" w:fill="FFFFFF"/>
            <w:vAlign w:val="center"/>
          </w:tcPr>
          <w:p w14:paraId="5ADE72FA"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2,2</w:t>
            </w:r>
          </w:p>
        </w:tc>
        <w:tc>
          <w:tcPr>
            <w:tcW w:w="378" w:type="pct"/>
            <w:shd w:val="clear" w:color="auto" w:fill="FFFFFF"/>
            <w:vAlign w:val="center"/>
          </w:tcPr>
          <w:p w14:paraId="22EDCF44"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4,3</w:t>
            </w:r>
          </w:p>
        </w:tc>
        <w:tc>
          <w:tcPr>
            <w:tcW w:w="385" w:type="pct"/>
            <w:shd w:val="clear" w:color="auto" w:fill="FFFFFF"/>
            <w:vAlign w:val="center"/>
          </w:tcPr>
          <w:p w14:paraId="18353381"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3,7</w:t>
            </w:r>
          </w:p>
        </w:tc>
        <w:tc>
          <w:tcPr>
            <w:tcW w:w="380" w:type="pct"/>
            <w:shd w:val="clear" w:color="auto" w:fill="FFFFFF"/>
            <w:vAlign w:val="center"/>
          </w:tcPr>
          <w:p w14:paraId="4C05A07F"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2,5</w:t>
            </w:r>
          </w:p>
        </w:tc>
      </w:tr>
      <w:tr w:rsidR="0047261E" w:rsidRPr="0047261E" w14:paraId="2390C114" w14:textId="77777777" w:rsidTr="0047261E">
        <w:trPr>
          <w:trHeight w:val="250"/>
        </w:trPr>
        <w:tc>
          <w:tcPr>
            <w:tcW w:w="1526" w:type="pct"/>
            <w:shd w:val="clear" w:color="auto" w:fill="FFFFFF"/>
          </w:tcPr>
          <w:p w14:paraId="6AEB0C24"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пищевая промышленность</w:t>
            </w:r>
          </w:p>
        </w:tc>
        <w:tc>
          <w:tcPr>
            <w:tcW w:w="447" w:type="pct"/>
            <w:shd w:val="clear" w:color="auto" w:fill="FFFFFF"/>
          </w:tcPr>
          <w:p w14:paraId="563DBEBB"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4,4</w:t>
            </w:r>
          </w:p>
        </w:tc>
        <w:tc>
          <w:tcPr>
            <w:tcW w:w="370" w:type="pct"/>
            <w:shd w:val="clear" w:color="auto" w:fill="FFFFFF"/>
          </w:tcPr>
          <w:p w14:paraId="19CAFD4E"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4,9</w:t>
            </w:r>
          </w:p>
        </w:tc>
        <w:tc>
          <w:tcPr>
            <w:tcW w:w="378" w:type="pct"/>
            <w:shd w:val="clear" w:color="auto" w:fill="FFFFFF"/>
          </w:tcPr>
          <w:p w14:paraId="1B6445FF"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5,3</w:t>
            </w:r>
          </w:p>
        </w:tc>
        <w:tc>
          <w:tcPr>
            <w:tcW w:w="378" w:type="pct"/>
            <w:shd w:val="clear" w:color="auto" w:fill="FFFFFF"/>
          </w:tcPr>
          <w:p w14:paraId="70DE0500"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5,9</w:t>
            </w:r>
          </w:p>
        </w:tc>
        <w:tc>
          <w:tcPr>
            <w:tcW w:w="380" w:type="pct"/>
            <w:shd w:val="clear" w:color="auto" w:fill="FFFFFF"/>
          </w:tcPr>
          <w:p w14:paraId="1072C824"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3,6</w:t>
            </w:r>
          </w:p>
        </w:tc>
        <w:tc>
          <w:tcPr>
            <w:tcW w:w="378" w:type="pct"/>
            <w:shd w:val="clear" w:color="auto" w:fill="FFFFFF"/>
          </w:tcPr>
          <w:p w14:paraId="1E74B95D"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4,9</w:t>
            </w:r>
          </w:p>
        </w:tc>
        <w:tc>
          <w:tcPr>
            <w:tcW w:w="378" w:type="pct"/>
            <w:shd w:val="clear" w:color="auto" w:fill="FFFFFF"/>
          </w:tcPr>
          <w:p w14:paraId="7EF7E5AB"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6,3</w:t>
            </w:r>
          </w:p>
        </w:tc>
        <w:tc>
          <w:tcPr>
            <w:tcW w:w="385" w:type="pct"/>
            <w:shd w:val="clear" w:color="auto" w:fill="FFFFFF"/>
          </w:tcPr>
          <w:p w14:paraId="0732DCDE"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0,7</w:t>
            </w:r>
          </w:p>
        </w:tc>
        <w:tc>
          <w:tcPr>
            <w:tcW w:w="380" w:type="pct"/>
            <w:shd w:val="clear" w:color="auto" w:fill="FFFFFF"/>
          </w:tcPr>
          <w:p w14:paraId="454FDAFC"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1,5</w:t>
            </w:r>
          </w:p>
        </w:tc>
      </w:tr>
      <w:tr w:rsidR="0047261E" w:rsidRPr="0047261E" w14:paraId="23705359" w14:textId="77777777" w:rsidTr="0047261E">
        <w:trPr>
          <w:trHeight w:val="245"/>
        </w:trPr>
        <w:tc>
          <w:tcPr>
            <w:tcW w:w="1526" w:type="pct"/>
            <w:shd w:val="clear" w:color="auto" w:fill="FFFFFF"/>
            <w:vAlign w:val="bottom"/>
          </w:tcPr>
          <w:p w14:paraId="034BD358"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легкая промышленность</w:t>
            </w:r>
          </w:p>
        </w:tc>
        <w:tc>
          <w:tcPr>
            <w:tcW w:w="447" w:type="pct"/>
            <w:shd w:val="clear" w:color="auto" w:fill="FFFFFF"/>
            <w:vAlign w:val="bottom"/>
          </w:tcPr>
          <w:p w14:paraId="0EF7777E"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2,3</w:t>
            </w:r>
          </w:p>
        </w:tc>
        <w:tc>
          <w:tcPr>
            <w:tcW w:w="370" w:type="pct"/>
            <w:shd w:val="clear" w:color="auto" w:fill="FFFFFF"/>
            <w:vAlign w:val="bottom"/>
          </w:tcPr>
          <w:p w14:paraId="46AFC9CF"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-2,1</w:t>
            </w:r>
          </w:p>
        </w:tc>
        <w:tc>
          <w:tcPr>
            <w:tcW w:w="378" w:type="pct"/>
            <w:shd w:val="clear" w:color="auto" w:fill="FFFFFF"/>
            <w:vAlign w:val="bottom"/>
          </w:tcPr>
          <w:p w14:paraId="60DDDB0C"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0,0</w:t>
            </w:r>
          </w:p>
        </w:tc>
        <w:tc>
          <w:tcPr>
            <w:tcW w:w="378" w:type="pct"/>
            <w:shd w:val="clear" w:color="auto" w:fill="FFFFFF"/>
            <w:vAlign w:val="bottom"/>
          </w:tcPr>
          <w:p w14:paraId="3A2934D3"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-5,6</w:t>
            </w:r>
          </w:p>
        </w:tc>
        <w:tc>
          <w:tcPr>
            <w:tcW w:w="380" w:type="pct"/>
            <w:shd w:val="clear" w:color="auto" w:fill="FFFFFF"/>
            <w:vAlign w:val="bottom"/>
          </w:tcPr>
          <w:p w14:paraId="59DC57D8"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-0,5</w:t>
            </w:r>
          </w:p>
        </w:tc>
        <w:tc>
          <w:tcPr>
            <w:tcW w:w="378" w:type="pct"/>
            <w:shd w:val="clear" w:color="auto" w:fill="FFFFFF"/>
            <w:vAlign w:val="bottom"/>
          </w:tcPr>
          <w:p w14:paraId="7522E776"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3,6</w:t>
            </w:r>
          </w:p>
        </w:tc>
        <w:tc>
          <w:tcPr>
            <w:tcW w:w="378" w:type="pct"/>
            <w:shd w:val="clear" w:color="auto" w:fill="FFFFFF"/>
            <w:vAlign w:val="bottom"/>
          </w:tcPr>
          <w:p w14:paraId="57168C95"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3,5</w:t>
            </w:r>
          </w:p>
        </w:tc>
        <w:tc>
          <w:tcPr>
            <w:tcW w:w="385" w:type="pct"/>
            <w:shd w:val="clear" w:color="auto" w:fill="FFFFFF"/>
            <w:vAlign w:val="bottom"/>
          </w:tcPr>
          <w:p w14:paraId="171C0D91"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4,5</w:t>
            </w:r>
          </w:p>
        </w:tc>
        <w:tc>
          <w:tcPr>
            <w:tcW w:w="380" w:type="pct"/>
            <w:shd w:val="clear" w:color="auto" w:fill="FFFFFF"/>
            <w:vAlign w:val="bottom"/>
          </w:tcPr>
          <w:p w14:paraId="2A413A8F"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5,4</w:t>
            </w:r>
          </w:p>
        </w:tc>
      </w:tr>
      <w:tr w:rsidR="0047261E" w:rsidRPr="0047261E" w14:paraId="2C301E00" w14:textId="77777777" w:rsidTr="0047261E">
        <w:trPr>
          <w:trHeight w:val="264"/>
        </w:trPr>
        <w:tc>
          <w:tcPr>
            <w:tcW w:w="1526" w:type="pct"/>
            <w:shd w:val="clear" w:color="auto" w:fill="FFFFFF"/>
            <w:vAlign w:val="center"/>
          </w:tcPr>
          <w:p w14:paraId="273A372E"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деревообработка</w:t>
            </w:r>
          </w:p>
        </w:tc>
        <w:tc>
          <w:tcPr>
            <w:tcW w:w="447" w:type="pct"/>
            <w:shd w:val="clear" w:color="auto" w:fill="FFFFFF"/>
            <w:vAlign w:val="center"/>
          </w:tcPr>
          <w:p w14:paraId="7F639BE0"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11,7</w:t>
            </w:r>
          </w:p>
        </w:tc>
        <w:tc>
          <w:tcPr>
            <w:tcW w:w="370" w:type="pct"/>
            <w:shd w:val="clear" w:color="auto" w:fill="FFFFFF"/>
            <w:vAlign w:val="center"/>
          </w:tcPr>
          <w:p w14:paraId="2B5FDB1C"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13,3</w:t>
            </w:r>
          </w:p>
        </w:tc>
        <w:tc>
          <w:tcPr>
            <w:tcW w:w="378" w:type="pct"/>
            <w:shd w:val="clear" w:color="auto" w:fill="FFFFFF"/>
            <w:vAlign w:val="center"/>
          </w:tcPr>
          <w:p w14:paraId="17658908"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10,5</w:t>
            </w:r>
          </w:p>
        </w:tc>
        <w:tc>
          <w:tcPr>
            <w:tcW w:w="378" w:type="pct"/>
            <w:shd w:val="clear" w:color="auto" w:fill="FFFFFF"/>
            <w:vAlign w:val="center"/>
          </w:tcPr>
          <w:p w14:paraId="2D46B2CD"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12,8</w:t>
            </w:r>
          </w:p>
        </w:tc>
        <w:tc>
          <w:tcPr>
            <w:tcW w:w="380" w:type="pct"/>
            <w:shd w:val="clear" w:color="auto" w:fill="FFFFFF"/>
            <w:vAlign w:val="center"/>
          </w:tcPr>
          <w:p w14:paraId="0C463379"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16,8</w:t>
            </w:r>
          </w:p>
        </w:tc>
        <w:tc>
          <w:tcPr>
            <w:tcW w:w="378" w:type="pct"/>
            <w:shd w:val="clear" w:color="auto" w:fill="FFFFFF"/>
            <w:vAlign w:val="center"/>
          </w:tcPr>
          <w:p w14:paraId="7C3169FE"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14,6</w:t>
            </w:r>
          </w:p>
        </w:tc>
        <w:tc>
          <w:tcPr>
            <w:tcW w:w="378" w:type="pct"/>
            <w:shd w:val="clear" w:color="auto" w:fill="FFFFFF"/>
            <w:vAlign w:val="center"/>
          </w:tcPr>
          <w:p w14:paraId="0EBC2897"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10,9</w:t>
            </w:r>
          </w:p>
        </w:tc>
        <w:tc>
          <w:tcPr>
            <w:tcW w:w="385" w:type="pct"/>
            <w:shd w:val="clear" w:color="auto" w:fill="FFFFFF"/>
            <w:vAlign w:val="center"/>
          </w:tcPr>
          <w:p w14:paraId="636DF14F"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5,9</w:t>
            </w:r>
          </w:p>
        </w:tc>
        <w:tc>
          <w:tcPr>
            <w:tcW w:w="380" w:type="pct"/>
            <w:shd w:val="clear" w:color="auto" w:fill="FFFFFF"/>
            <w:vAlign w:val="center"/>
          </w:tcPr>
          <w:p w14:paraId="0BCF5658"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3,9</w:t>
            </w:r>
          </w:p>
        </w:tc>
      </w:tr>
      <w:tr w:rsidR="0047261E" w:rsidRPr="0047261E" w14:paraId="1733C1E5" w14:textId="77777777" w:rsidTr="0047261E">
        <w:trPr>
          <w:trHeight w:val="259"/>
        </w:trPr>
        <w:tc>
          <w:tcPr>
            <w:tcW w:w="1526" w:type="pct"/>
            <w:shd w:val="clear" w:color="auto" w:fill="FFFFFF"/>
            <w:vAlign w:val="center"/>
          </w:tcPr>
          <w:p w14:paraId="4CFBAA09"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производство кокса и нефтепродуктов</w:t>
            </w:r>
          </w:p>
        </w:tc>
        <w:tc>
          <w:tcPr>
            <w:tcW w:w="447" w:type="pct"/>
            <w:shd w:val="clear" w:color="auto" w:fill="FFFFFF"/>
            <w:vAlign w:val="center"/>
          </w:tcPr>
          <w:p w14:paraId="6DB6F269"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1,8</w:t>
            </w:r>
          </w:p>
        </w:tc>
        <w:tc>
          <w:tcPr>
            <w:tcW w:w="370" w:type="pct"/>
            <w:shd w:val="clear" w:color="auto" w:fill="FFFFFF"/>
            <w:vAlign w:val="center"/>
          </w:tcPr>
          <w:p w14:paraId="1E7E8980"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0,7</w:t>
            </w:r>
          </w:p>
        </w:tc>
        <w:tc>
          <w:tcPr>
            <w:tcW w:w="378" w:type="pct"/>
            <w:shd w:val="clear" w:color="auto" w:fill="FFFFFF"/>
            <w:vAlign w:val="center"/>
          </w:tcPr>
          <w:p w14:paraId="776DC7F1"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0,2</w:t>
            </w:r>
          </w:p>
        </w:tc>
        <w:tc>
          <w:tcPr>
            <w:tcW w:w="378" w:type="pct"/>
            <w:shd w:val="clear" w:color="auto" w:fill="FFFFFF"/>
            <w:vAlign w:val="center"/>
          </w:tcPr>
          <w:p w14:paraId="499C5D97"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0,3</w:t>
            </w:r>
          </w:p>
        </w:tc>
        <w:tc>
          <w:tcPr>
            <w:tcW w:w="380" w:type="pct"/>
            <w:shd w:val="clear" w:color="auto" w:fill="FFFFFF"/>
            <w:vAlign w:val="center"/>
          </w:tcPr>
          <w:p w14:paraId="0EBF3935"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1,5</w:t>
            </w:r>
          </w:p>
        </w:tc>
        <w:tc>
          <w:tcPr>
            <w:tcW w:w="378" w:type="pct"/>
            <w:shd w:val="clear" w:color="auto" w:fill="FFFFFF"/>
            <w:vAlign w:val="center"/>
          </w:tcPr>
          <w:p w14:paraId="59026771"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1,9</w:t>
            </w:r>
          </w:p>
        </w:tc>
        <w:tc>
          <w:tcPr>
            <w:tcW w:w="378" w:type="pct"/>
            <w:shd w:val="clear" w:color="auto" w:fill="FFFFFF"/>
            <w:vAlign w:val="center"/>
          </w:tcPr>
          <w:p w14:paraId="4C4734F0"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2,6</w:t>
            </w:r>
          </w:p>
        </w:tc>
        <w:tc>
          <w:tcPr>
            <w:tcW w:w="385" w:type="pct"/>
            <w:shd w:val="clear" w:color="auto" w:fill="FFFFFF"/>
            <w:vAlign w:val="center"/>
          </w:tcPr>
          <w:p w14:paraId="62C6C1B0"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2,2</w:t>
            </w:r>
          </w:p>
        </w:tc>
        <w:tc>
          <w:tcPr>
            <w:tcW w:w="380" w:type="pct"/>
            <w:shd w:val="clear" w:color="auto" w:fill="FFFFFF"/>
            <w:vAlign w:val="center"/>
          </w:tcPr>
          <w:p w14:paraId="7E01695B"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1,1</w:t>
            </w:r>
          </w:p>
        </w:tc>
      </w:tr>
      <w:tr w:rsidR="0047261E" w:rsidRPr="0047261E" w14:paraId="5344EE12" w14:textId="77777777" w:rsidTr="0047261E">
        <w:trPr>
          <w:trHeight w:val="235"/>
        </w:trPr>
        <w:tc>
          <w:tcPr>
            <w:tcW w:w="1526" w:type="pct"/>
            <w:shd w:val="clear" w:color="auto" w:fill="FFFFFF"/>
            <w:vAlign w:val="bottom"/>
          </w:tcPr>
          <w:p w14:paraId="37A22F28"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химический комплекс</w:t>
            </w:r>
          </w:p>
        </w:tc>
        <w:tc>
          <w:tcPr>
            <w:tcW w:w="447" w:type="pct"/>
            <w:shd w:val="clear" w:color="auto" w:fill="FFFFFF"/>
            <w:vAlign w:val="bottom"/>
          </w:tcPr>
          <w:p w14:paraId="63F7D783"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3,3</w:t>
            </w:r>
          </w:p>
        </w:tc>
        <w:tc>
          <w:tcPr>
            <w:tcW w:w="370" w:type="pct"/>
            <w:shd w:val="clear" w:color="auto" w:fill="FFFFFF"/>
            <w:vAlign w:val="bottom"/>
          </w:tcPr>
          <w:p w14:paraId="3613AF75"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3,3</w:t>
            </w:r>
          </w:p>
        </w:tc>
        <w:tc>
          <w:tcPr>
            <w:tcW w:w="378" w:type="pct"/>
            <w:shd w:val="clear" w:color="auto" w:fill="FFFFFF"/>
            <w:vAlign w:val="bottom"/>
          </w:tcPr>
          <w:p w14:paraId="2C3EE071"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5,1</w:t>
            </w:r>
          </w:p>
        </w:tc>
        <w:tc>
          <w:tcPr>
            <w:tcW w:w="378" w:type="pct"/>
            <w:shd w:val="clear" w:color="auto" w:fill="FFFFFF"/>
            <w:vAlign w:val="bottom"/>
          </w:tcPr>
          <w:p w14:paraId="033506BA"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2,5</w:t>
            </w:r>
          </w:p>
        </w:tc>
        <w:tc>
          <w:tcPr>
            <w:tcW w:w="380" w:type="pct"/>
            <w:shd w:val="clear" w:color="auto" w:fill="FFFFFF"/>
            <w:vAlign w:val="bottom"/>
          </w:tcPr>
          <w:p w14:paraId="244FBF79"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1,8</w:t>
            </w:r>
          </w:p>
        </w:tc>
        <w:tc>
          <w:tcPr>
            <w:tcW w:w="378" w:type="pct"/>
            <w:shd w:val="clear" w:color="auto" w:fill="FFFFFF"/>
            <w:vAlign w:val="bottom"/>
          </w:tcPr>
          <w:p w14:paraId="22715DC0"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4,1</w:t>
            </w:r>
          </w:p>
        </w:tc>
        <w:tc>
          <w:tcPr>
            <w:tcW w:w="378" w:type="pct"/>
            <w:shd w:val="clear" w:color="auto" w:fill="FFFFFF"/>
            <w:vAlign w:val="bottom"/>
          </w:tcPr>
          <w:p w14:paraId="72266298"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3,2</w:t>
            </w:r>
          </w:p>
        </w:tc>
        <w:tc>
          <w:tcPr>
            <w:tcW w:w="385" w:type="pct"/>
            <w:shd w:val="clear" w:color="auto" w:fill="FFFFFF"/>
            <w:vAlign w:val="bottom"/>
          </w:tcPr>
          <w:p w14:paraId="45A144E0"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4,2</w:t>
            </w:r>
          </w:p>
        </w:tc>
        <w:tc>
          <w:tcPr>
            <w:tcW w:w="380" w:type="pct"/>
            <w:shd w:val="clear" w:color="auto" w:fill="FFFFFF"/>
            <w:vAlign w:val="bottom"/>
          </w:tcPr>
          <w:p w14:paraId="56DC0F54"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5,8</w:t>
            </w:r>
          </w:p>
        </w:tc>
      </w:tr>
      <w:tr w:rsidR="0047261E" w:rsidRPr="0047261E" w14:paraId="0E23ECE0" w14:textId="77777777" w:rsidTr="0047261E">
        <w:trPr>
          <w:trHeight w:val="350"/>
        </w:trPr>
        <w:tc>
          <w:tcPr>
            <w:tcW w:w="1526" w:type="pct"/>
            <w:shd w:val="clear" w:color="auto" w:fill="FFFFFF"/>
            <w:vAlign w:val="bottom"/>
          </w:tcPr>
          <w:p w14:paraId="166DF93D"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производство прочей неметаллической минеральной</w:t>
            </w:r>
          </w:p>
        </w:tc>
        <w:tc>
          <w:tcPr>
            <w:tcW w:w="447" w:type="pct"/>
            <w:shd w:val="clear" w:color="auto" w:fill="FFFFFF"/>
            <w:vAlign w:val="bottom"/>
          </w:tcPr>
          <w:p w14:paraId="13FF64B1"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4,4</w:t>
            </w:r>
          </w:p>
        </w:tc>
        <w:tc>
          <w:tcPr>
            <w:tcW w:w="370" w:type="pct"/>
            <w:shd w:val="clear" w:color="auto" w:fill="FFFFFF"/>
            <w:vAlign w:val="bottom"/>
          </w:tcPr>
          <w:p w14:paraId="47C6915F"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3,3</w:t>
            </w:r>
          </w:p>
        </w:tc>
        <w:tc>
          <w:tcPr>
            <w:tcW w:w="378" w:type="pct"/>
            <w:shd w:val="clear" w:color="auto" w:fill="FFFFFF"/>
            <w:vAlign w:val="bottom"/>
          </w:tcPr>
          <w:p w14:paraId="27C3D6C2"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2,0</w:t>
            </w:r>
          </w:p>
        </w:tc>
        <w:tc>
          <w:tcPr>
            <w:tcW w:w="378" w:type="pct"/>
            <w:shd w:val="clear" w:color="auto" w:fill="FFFFFF"/>
            <w:vAlign w:val="bottom"/>
          </w:tcPr>
          <w:p w14:paraId="1F12A3E0"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2,8</w:t>
            </w:r>
          </w:p>
        </w:tc>
        <w:tc>
          <w:tcPr>
            <w:tcW w:w="380" w:type="pct"/>
            <w:shd w:val="clear" w:color="auto" w:fill="FFFFFF"/>
            <w:vAlign w:val="bottom"/>
          </w:tcPr>
          <w:p w14:paraId="29258239"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5,1</w:t>
            </w:r>
          </w:p>
        </w:tc>
        <w:tc>
          <w:tcPr>
            <w:tcW w:w="378" w:type="pct"/>
            <w:shd w:val="clear" w:color="auto" w:fill="FFFFFF"/>
            <w:vAlign w:val="bottom"/>
          </w:tcPr>
          <w:p w14:paraId="1F0180E0"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11,1</w:t>
            </w:r>
          </w:p>
        </w:tc>
        <w:tc>
          <w:tcPr>
            <w:tcW w:w="378" w:type="pct"/>
            <w:shd w:val="clear" w:color="auto" w:fill="FFFFFF"/>
            <w:vAlign w:val="bottom"/>
          </w:tcPr>
          <w:p w14:paraId="17B9E5BF"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4,9</w:t>
            </w:r>
          </w:p>
        </w:tc>
        <w:tc>
          <w:tcPr>
            <w:tcW w:w="385" w:type="pct"/>
            <w:shd w:val="clear" w:color="auto" w:fill="FFFFFF"/>
            <w:vAlign w:val="bottom"/>
          </w:tcPr>
          <w:p w14:paraId="51AF9818"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-0,8</w:t>
            </w:r>
          </w:p>
        </w:tc>
        <w:tc>
          <w:tcPr>
            <w:tcW w:w="380" w:type="pct"/>
            <w:shd w:val="clear" w:color="auto" w:fill="FFFFFF"/>
            <w:vAlign w:val="bottom"/>
          </w:tcPr>
          <w:p w14:paraId="586AA40A"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11,2</w:t>
            </w:r>
          </w:p>
        </w:tc>
      </w:tr>
      <w:tr w:rsidR="0047261E" w:rsidRPr="0047261E" w14:paraId="5EBEC674" w14:textId="77777777" w:rsidTr="0047261E">
        <w:trPr>
          <w:trHeight w:val="178"/>
        </w:trPr>
        <w:tc>
          <w:tcPr>
            <w:tcW w:w="1526" w:type="pct"/>
            <w:shd w:val="clear" w:color="auto" w:fill="FFFFFF"/>
          </w:tcPr>
          <w:p w14:paraId="13430DAB"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продукции</w:t>
            </w:r>
          </w:p>
        </w:tc>
        <w:tc>
          <w:tcPr>
            <w:tcW w:w="447" w:type="pct"/>
            <w:shd w:val="clear" w:color="auto" w:fill="FFFFFF"/>
          </w:tcPr>
          <w:p w14:paraId="0E7006C1"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p>
        </w:tc>
        <w:tc>
          <w:tcPr>
            <w:tcW w:w="370" w:type="pct"/>
            <w:shd w:val="clear" w:color="auto" w:fill="FFFFFF"/>
          </w:tcPr>
          <w:p w14:paraId="7ABFE557"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p>
        </w:tc>
        <w:tc>
          <w:tcPr>
            <w:tcW w:w="378" w:type="pct"/>
            <w:shd w:val="clear" w:color="auto" w:fill="FFFFFF"/>
          </w:tcPr>
          <w:p w14:paraId="2ECE2288"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p>
        </w:tc>
        <w:tc>
          <w:tcPr>
            <w:tcW w:w="378" w:type="pct"/>
            <w:shd w:val="clear" w:color="auto" w:fill="FFFFFF"/>
          </w:tcPr>
          <w:p w14:paraId="350F92D9"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p>
        </w:tc>
        <w:tc>
          <w:tcPr>
            <w:tcW w:w="380" w:type="pct"/>
            <w:shd w:val="clear" w:color="auto" w:fill="FFFFFF"/>
          </w:tcPr>
          <w:p w14:paraId="318167B3"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p>
        </w:tc>
        <w:tc>
          <w:tcPr>
            <w:tcW w:w="378" w:type="pct"/>
            <w:shd w:val="clear" w:color="auto" w:fill="FFFFFF"/>
          </w:tcPr>
          <w:p w14:paraId="4C7401D6"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p>
        </w:tc>
        <w:tc>
          <w:tcPr>
            <w:tcW w:w="378" w:type="pct"/>
            <w:shd w:val="clear" w:color="auto" w:fill="FFFFFF"/>
          </w:tcPr>
          <w:p w14:paraId="19775758"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p>
        </w:tc>
        <w:tc>
          <w:tcPr>
            <w:tcW w:w="385" w:type="pct"/>
            <w:shd w:val="clear" w:color="auto" w:fill="FFFFFF"/>
          </w:tcPr>
          <w:p w14:paraId="125E9454"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p>
        </w:tc>
        <w:tc>
          <w:tcPr>
            <w:tcW w:w="380" w:type="pct"/>
            <w:shd w:val="clear" w:color="auto" w:fill="FFFFFF"/>
          </w:tcPr>
          <w:p w14:paraId="516D0752"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p>
        </w:tc>
      </w:tr>
      <w:tr w:rsidR="0047261E" w:rsidRPr="0047261E" w14:paraId="70679019" w14:textId="77777777" w:rsidTr="0047261E">
        <w:trPr>
          <w:trHeight w:val="226"/>
        </w:trPr>
        <w:tc>
          <w:tcPr>
            <w:tcW w:w="1526" w:type="pct"/>
            <w:shd w:val="clear" w:color="auto" w:fill="FFFFFF"/>
          </w:tcPr>
          <w:p w14:paraId="57D03F09"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металлургия</w:t>
            </w:r>
          </w:p>
        </w:tc>
        <w:tc>
          <w:tcPr>
            <w:tcW w:w="447" w:type="pct"/>
            <w:shd w:val="clear" w:color="auto" w:fill="FFFFFF"/>
            <w:vAlign w:val="center"/>
          </w:tcPr>
          <w:p w14:paraId="6B0F0F83"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1,6</w:t>
            </w:r>
          </w:p>
        </w:tc>
        <w:tc>
          <w:tcPr>
            <w:tcW w:w="370" w:type="pct"/>
            <w:shd w:val="clear" w:color="auto" w:fill="FFFFFF"/>
          </w:tcPr>
          <w:p w14:paraId="3BD30D3A"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5,6</w:t>
            </w:r>
          </w:p>
        </w:tc>
        <w:tc>
          <w:tcPr>
            <w:tcW w:w="378" w:type="pct"/>
            <w:shd w:val="clear" w:color="auto" w:fill="FFFFFF"/>
          </w:tcPr>
          <w:p w14:paraId="2AAF2EA2"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-4,8</w:t>
            </w:r>
          </w:p>
        </w:tc>
        <w:tc>
          <w:tcPr>
            <w:tcW w:w="378" w:type="pct"/>
            <w:shd w:val="clear" w:color="auto" w:fill="FFFFFF"/>
          </w:tcPr>
          <w:p w14:paraId="1D9CB80C"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6,4</w:t>
            </w:r>
          </w:p>
        </w:tc>
        <w:tc>
          <w:tcPr>
            <w:tcW w:w="380" w:type="pct"/>
            <w:shd w:val="clear" w:color="auto" w:fill="FFFFFF"/>
          </w:tcPr>
          <w:p w14:paraId="204D6ADF"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15,0</w:t>
            </w:r>
          </w:p>
        </w:tc>
        <w:tc>
          <w:tcPr>
            <w:tcW w:w="378" w:type="pct"/>
            <w:shd w:val="clear" w:color="auto" w:fill="FFFFFF"/>
          </w:tcPr>
          <w:p w14:paraId="55099D90"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-2,5</w:t>
            </w:r>
          </w:p>
        </w:tc>
        <w:tc>
          <w:tcPr>
            <w:tcW w:w="378" w:type="pct"/>
            <w:shd w:val="clear" w:color="auto" w:fill="FFFFFF"/>
            <w:vAlign w:val="center"/>
          </w:tcPr>
          <w:p w14:paraId="6CEE9220"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-0,8</w:t>
            </w:r>
          </w:p>
        </w:tc>
        <w:tc>
          <w:tcPr>
            <w:tcW w:w="385" w:type="pct"/>
            <w:shd w:val="clear" w:color="auto" w:fill="FFFFFF"/>
          </w:tcPr>
          <w:p w14:paraId="1768B649"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5,9</w:t>
            </w:r>
          </w:p>
        </w:tc>
        <w:tc>
          <w:tcPr>
            <w:tcW w:w="380" w:type="pct"/>
            <w:shd w:val="clear" w:color="auto" w:fill="FFFFFF"/>
            <w:vAlign w:val="center"/>
          </w:tcPr>
          <w:p w14:paraId="2725CE49"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0,8</w:t>
            </w:r>
          </w:p>
        </w:tc>
      </w:tr>
      <w:tr w:rsidR="0047261E" w:rsidRPr="0047261E" w14:paraId="0959B348" w14:textId="77777777" w:rsidTr="0047261E">
        <w:trPr>
          <w:trHeight w:val="259"/>
        </w:trPr>
        <w:tc>
          <w:tcPr>
            <w:tcW w:w="1526" w:type="pct"/>
            <w:shd w:val="clear" w:color="auto" w:fill="FFFFFF"/>
            <w:vAlign w:val="center"/>
          </w:tcPr>
          <w:p w14:paraId="500FF728"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машиностроение</w:t>
            </w:r>
          </w:p>
        </w:tc>
        <w:tc>
          <w:tcPr>
            <w:tcW w:w="447" w:type="pct"/>
            <w:shd w:val="clear" w:color="auto" w:fill="FFFFFF"/>
            <w:vAlign w:val="center"/>
          </w:tcPr>
          <w:p w14:paraId="0F899EEA"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1,2</w:t>
            </w:r>
          </w:p>
        </w:tc>
        <w:tc>
          <w:tcPr>
            <w:tcW w:w="370" w:type="pct"/>
            <w:shd w:val="clear" w:color="auto" w:fill="FFFFFF"/>
            <w:vAlign w:val="center"/>
          </w:tcPr>
          <w:p w14:paraId="2DA22145"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-4,1</w:t>
            </w:r>
          </w:p>
        </w:tc>
        <w:tc>
          <w:tcPr>
            <w:tcW w:w="378" w:type="pct"/>
            <w:shd w:val="clear" w:color="auto" w:fill="FFFFFF"/>
            <w:vAlign w:val="center"/>
          </w:tcPr>
          <w:p w14:paraId="3FE318A0"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5,9</w:t>
            </w:r>
          </w:p>
        </w:tc>
        <w:tc>
          <w:tcPr>
            <w:tcW w:w="378" w:type="pct"/>
            <w:shd w:val="clear" w:color="auto" w:fill="FFFFFF"/>
            <w:vAlign w:val="center"/>
          </w:tcPr>
          <w:p w14:paraId="063493AF"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-11,2</w:t>
            </w:r>
          </w:p>
        </w:tc>
        <w:tc>
          <w:tcPr>
            <w:tcW w:w="380" w:type="pct"/>
            <w:shd w:val="clear" w:color="auto" w:fill="FFFFFF"/>
            <w:vAlign w:val="center"/>
          </w:tcPr>
          <w:p w14:paraId="2A126715"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-6,8</w:t>
            </w:r>
          </w:p>
        </w:tc>
        <w:tc>
          <w:tcPr>
            <w:tcW w:w="378" w:type="pct"/>
            <w:shd w:val="clear" w:color="auto" w:fill="FFFFFF"/>
            <w:vAlign w:val="center"/>
          </w:tcPr>
          <w:p w14:paraId="1F09678C"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3,7</w:t>
            </w:r>
          </w:p>
        </w:tc>
        <w:tc>
          <w:tcPr>
            <w:tcW w:w="378" w:type="pct"/>
            <w:shd w:val="clear" w:color="auto" w:fill="FFFFFF"/>
            <w:vAlign w:val="center"/>
          </w:tcPr>
          <w:p w14:paraId="46D6344F"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7,6</w:t>
            </w:r>
          </w:p>
        </w:tc>
        <w:tc>
          <w:tcPr>
            <w:tcW w:w="385" w:type="pct"/>
            <w:shd w:val="clear" w:color="auto" w:fill="FFFFFF"/>
            <w:vAlign w:val="center"/>
          </w:tcPr>
          <w:p w14:paraId="22A19B5C"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3,3</w:t>
            </w:r>
          </w:p>
        </w:tc>
        <w:tc>
          <w:tcPr>
            <w:tcW w:w="380" w:type="pct"/>
            <w:shd w:val="clear" w:color="auto" w:fill="FFFFFF"/>
            <w:vAlign w:val="center"/>
          </w:tcPr>
          <w:p w14:paraId="2CD1D80A"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5,6</w:t>
            </w:r>
          </w:p>
        </w:tc>
      </w:tr>
      <w:tr w:rsidR="0047261E" w:rsidRPr="0047261E" w14:paraId="1240C1FC" w14:textId="77777777" w:rsidTr="0047261E">
        <w:trPr>
          <w:trHeight w:val="264"/>
        </w:trPr>
        <w:tc>
          <w:tcPr>
            <w:tcW w:w="1526" w:type="pct"/>
            <w:shd w:val="clear" w:color="auto" w:fill="FFFFFF"/>
            <w:vAlign w:val="center"/>
          </w:tcPr>
          <w:p w14:paraId="513F74BF"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прочие производства</w:t>
            </w:r>
          </w:p>
        </w:tc>
        <w:tc>
          <w:tcPr>
            <w:tcW w:w="447" w:type="pct"/>
            <w:shd w:val="clear" w:color="auto" w:fill="FFFFFF"/>
            <w:vAlign w:val="center"/>
          </w:tcPr>
          <w:p w14:paraId="0A6EA7F2"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1,4</w:t>
            </w:r>
          </w:p>
        </w:tc>
        <w:tc>
          <w:tcPr>
            <w:tcW w:w="370" w:type="pct"/>
            <w:shd w:val="clear" w:color="auto" w:fill="FFFFFF"/>
            <w:vAlign w:val="center"/>
          </w:tcPr>
          <w:p w14:paraId="522D993F"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-3,0</w:t>
            </w:r>
          </w:p>
        </w:tc>
        <w:tc>
          <w:tcPr>
            <w:tcW w:w="378" w:type="pct"/>
            <w:shd w:val="clear" w:color="auto" w:fill="FFFFFF"/>
            <w:vAlign w:val="center"/>
          </w:tcPr>
          <w:p w14:paraId="3A5CF7C7"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-11,8</w:t>
            </w:r>
          </w:p>
        </w:tc>
        <w:tc>
          <w:tcPr>
            <w:tcW w:w="378" w:type="pct"/>
            <w:shd w:val="clear" w:color="auto" w:fill="FFFFFF"/>
            <w:vAlign w:val="center"/>
          </w:tcPr>
          <w:p w14:paraId="1B9A6ABB"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-2,2</w:t>
            </w:r>
          </w:p>
        </w:tc>
        <w:tc>
          <w:tcPr>
            <w:tcW w:w="380" w:type="pct"/>
            <w:shd w:val="clear" w:color="auto" w:fill="FFFFFF"/>
            <w:vAlign w:val="center"/>
          </w:tcPr>
          <w:p w14:paraId="0DFD4ED2"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8,5</w:t>
            </w:r>
          </w:p>
        </w:tc>
        <w:tc>
          <w:tcPr>
            <w:tcW w:w="378" w:type="pct"/>
            <w:shd w:val="clear" w:color="auto" w:fill="FFFFFF"/>
            <w:vAlign w:val="center"/>
          </w:tcPr>
          <w:p w14:paraId="49C57B52"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4,6</w:t>
            </w:r>
          </w:p>
        </w:tc>
        <w:tc>
          <w:tcPr>
            <w:tcW w:w="378" w:type="pct"/>
            <w:shd w:val="clear" w:color="auto" w:fill="FFFFFF"/>
            <w:vAlign w:val="center"/>
          </w:tcPr>
          <w:p w14:paraId="3818D8FF"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3,4</w:t>
            </w:r>
          </w:p>
        </w:tc>
        <w:tc>
          <w:tcPr>
            <w:tcW w:w="385" w:type="pct"/>
            <w:shd w:val="clear" w:color="auto" w:fill="FFFFFF"/>
            <w:vAlign w:val="center"/>
          </w:tcPr>
          <w:p w14:paraId="2C49912B"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5,7</w:t>
            </w:r>
          </w:p>
        </w:tc>
        <w:tc>
          <w:tcPr>
            <w:tcW w:w="380" w:type="pct"/>
            <w:shd w:val="clear" w:color="auto" w:fill="FFFFFF"/>
            <w:vAlign w:val="center"/>
          </w:tcPr>
          <w:p w14:paraId="1D52F2FE"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-2,3</w:t>
            </w:r>
          </w:p>
        </w:tc>
      </w:tr>
      <w:tr w:rsidR="0047261E" w:rsidRPr="0047261E" w14:paraId="2CAD4B22" w14:textId="77777777" w:rsidTr="0047261E">
        <w:trPr>
          <w:trHeight w:val="437"/>
        </w:trPr>
        <w:tc>
          <w:tcPr>
            <w:tcW w:w="1526" w:type="pct"/>
            <w:shd w:val="clear" w:color="auto" w:fill="FFFFFF"/>
            <w:vAlign w:val="center"/>
          </w:tcPr>
          <w:p w14:paraId="595E8D81"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Обеспечение электроэнергией, газом и паром</w:t>
            </w:r>
          </w:p>
        </w:tc>
        <w:tc>
          <w:tcPr>
            <w:tcW w:w="447" w:type="pct"/>
            <w:shd w:val="clear" w:color="auto" w:fill="FFFFFF"/>
            <w:vAlign w:val="center"/>
          </w:tcPr>
          <w:p w14:paraId="1B67671B"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1,6</w:t>
            </w:r>
          </w:p>
        </w:tc>
        <w:tc>
          <w:tcPr>
            <w:tcW w:w="370" w:type="pct"/>
            <w:shd w:val="clear" w:color="auto" w:fill="FFFFFF"/>
            <w:vAlign w:val="center"/>
          </w:tcPr>
          <w:p w14:paraId="68EB3718"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1,2</w:t>
            </w:r>
          </w:p>
        </w:tc>
        <w:tc>
          <w:tcPr>
            <w:tcW w:w="378" w:type="pct"/>
            <w:shd w:val="clear" w:color="auto" w:fill="FFFFFF"/>
            <w:vAlign w:val="center"/>
          </w:tcPr>
          <w:p w14:paraId="22AD8E14"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4,5</w:t>
            </w:r>
          </w:p>
        </w:tc>
        <w:tc>
          <w:tcPr>
            <w:tcW w:w="378" w:type="pct"/>
            <w:shd w:val="clear" w:color="auto" w:fill="FFFFFF"/>
            <w:vAlign w:val="center"/>
          </w:tcPr>
          <w:p w14:paraId="7730607E"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2,4</w:t>
            </w:r>
          </w:p>
        </w:tc>
        <w:tc>
          <w:tcPr>
            <w:tcW w:w="380" w:type="pct"/>
            <w:shd w:val="clear" w:color="auto" w:fill="FFFFFF"/>
            <w:vAlign w:val="center"/>
          </w:tcPr>
          <w:p w14:paraId="15F2A9B4"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-3,2</w:t>
            </w:r>
          </w:p>
        </w:tc>
        <w:tc>
          <w:tcPr>
            <w:tcW w:w="378" w:type="pct"/>
            <w:shd w:val="clear" w:color="auto" w:fill="FFFFFF"/>
            <w:vAlign w:val="center"/>
          </w:tcPr>
          <w:p w14:paraId="19650F79"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0,5</w:t>
            </w:r>
          </w:p>
        </w:tc>
        <w:tc>
          <w:tcPr>
            <w:tcW w:w="378" w:type="pct"/>
            <w:shd w:val="clear" w:color="auto" w:fill="FFFFFF"/>
            <w:vAlign w:val="center"/>
          </w:tcPr>
          <w:p w14:paraId="550F4775"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0,5</w:t>
            </w:r>
          </w:p>
        </w:tc>
        <w:tc>
          <w:tcPr>
            <w:tcW w:w="385" w:type="pct"/>
            <w:shd w:val="clear" w:color="auto" w:fill="FFFFFF"/>
            <w:vAlign w:val="center"/>
          </w:tcPr>
          <w:p w14:paraId="46353DAD"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2,9</w:t>
            </w:r>
          </w:p>
        </w:tc>
        <w:tc>
          <w:tcPr>
            <w:tcW w:w="380" w:type="pct"/>
            <w:shd w:val="clear" w:color="auto" w:fill="FFFFFF"/>
            <w:vAlign w:val="center"/>
          </w:tcPr>
          <w:p w14:paraId="038BFE74"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-0,4</w:t>
            </w:r>
          </w:p>
        </w:tc>
      </w:tr>
      <w:tr w:rsidR="0047261E" w:rsidRPr="0047261E" w14:paraId="560F0976" w14:textId="77777777" w:rsidTr="0047261E">
        <w:trPr>
          <w:trHeight w:val="446"/>
        </w:trPr>
        <w:tc>
          <w:tcPr>
            <w:tcW w:w="1526" w:type="pct"/>
            <w:shd w:val="clear" w:color="auto" w:fill="FFFFFF"/>
            <w:vAlign w:val="center"/>
          </w:tcPr>
          <w:p w14:paraId="0F282A86"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Водоснабжение, водоотведение, утилизация отходов</w:t>
            </w:r>
          </w:p>
        </w:tc>
        <w:tc>
          <w:tcPr>
            <w:tcW w:w="447" w:type="pct"/>
            <w:shd w:val="clear" w:color="auto" w:fill="FFFFFF"/>
            <w:vAlign w:val="center"/>
          </w:tcPr>
          <w:p w14:paraId="12F421FC"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2,0</w:t>
            </w:r>
          </w:p>
        </w:tc>
        <w:tc>
          <w:tcPr>
            <w:tcW w:w="370" w:type="pct"/>
            <w:shd w:val="clear" w:color="auto" w:fill="FFFFFF"/>
            <w:vAlign w:val="center"/>
          </w:tcPr>
          <w:p w14:paraId="3AC88914"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5,2</w:t>
            </w:r>
          </w:p>
        </w:tc>
        <w:tc>
          <w:tcPr>
            <w:tcW w:w="378" w:type="pct"/>
            <w:shd w:val="clear" w:color="auto" w:fill="FFFFFF"/>
            <w:vAlign w:val="center"/>
          </w:tcPr>
          <w:p w14:paraId="3A3F9783"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3,8</w:t>
            </w:r>
          </w:p>
        </w:tc>
        <w:tc>
          <w:tcPr>
            <w:tcW w:w="378" w:type="pct"/>
            <w:shd w:val="clear" w:color="auto" w:fill="FFFFFF"/>
            <w:vAlign w:val="center"/>
          </w:tcPr>
          <w:p w14:paraId="34A44EDD"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7,0</w:t>
            </w:r>
          </w:p>
        </w:tc>
        <w:tc>
          <w:tcPr>
            <w:tcW w:w="380" w:type="pct"/>
            <w:shd w:val="clear" w:color="auto" w:fill="FFFFFF"/>
            <w:vAlign w:val="center"/>
          </w:tcPr>
          <w:p w14:paraId="1E7238B2"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4,8</w:t>
            </w:r>
          </w:p>
        </w:tc>
        <w:tc>
          <w:tcPr>
            <w:tcW w:w="378" w:type="pct"/>
            <w:shd w:val="clear" w:color="auto" w:fill="FFFFFF"/>
            <w:vAlign w:val="center"/>
          </w:tcPr>
          <w:p w14:paraId="1EF5D849"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4,1</w:t>
            </w:r>
          </w:p>
        </w:tc>
        <w:tc>
          <w:tcPr>
            <w:tcW w:w="378" w:type="pct"/>
            <w:shd w:val="clear" w:color="auto" w:fill="FFFFFF"/>
            <w:vAlign w:val="center"/>
          </w:tcPr>
          <w:p w14:paraId="58773745"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-1,9</w:t>
            </w:r>
          </w:p>
        </w:tc>
        <w:tc>
          <w:tcPr>
            <w:tcW w:w="385" w:type="pct"/>
            <w:shd w:val="clear" w:color="auto" w:fill="FFFFFF"/>
            <w:vAlign w:val="center"/>
          </w:tcPr>
          <w:p w14:paraId="7090283B"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-2,3</w:t>
            </w:r>
          </w:p>
        </w:tc>
        <w:tc>
          <w:tcPr>
            <w:tcW w:w="380" w:type="pct"/>
            <w:shd w:val="clear" w:color="auto" w:fill="FFFFFF"/>
            <w:vAlign w:val="center"/>
          </w:tcPr>
          <w:p w14:paraId="65645B4A"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-2,1</w:t>
            </w:r>
          </w:p>
        </w:tc>
      </w:tr>
      <w:tr w:rsidR="0047261E" w:rsidRPr="0047261E" w14:paraId="622FAFEA" w14:textId="77777777" w:rsidTr="0047261E">
        <w:trPr>
          <w:trHeight w:val="370"/>
        </w:trPr>
        <w:tc>
          <w:tcPr>
            <w:tcW w:w="5000" w:type="pct"/>
            <w:gridSpan w:val="10"/>
            <w:shd w:val="clear" w:color="auto" w:fill="FFFFFF"/>
            <w:vAlign w:val="center"/>
          </w:tcPr>
          <w:p w14:paraId="19EADD12"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Источник: Росстат, расчеты Минэкономразвития России</w:t>
            </w:r>
          </w:p>
        </w:tc>
      </w:tr>
      <w:tr w:rsidR="0047261E" w:rsidRPr="0047261E" w14:paraId="74C3E1B3" w14:textId="77777777" w:rsidTr="0047261E">
        <w:trPr>
          <w:trHeight w:val="245"/>
        </w:trPr>
        <w:tc>
          <w:tcPr>
            <w:tcW w:w="5000" w:type="pct"/>
            <w:gridSpan w:val="10"/>
            <w:shd w:val="clear" w:color="auto" w:fill="FFFFFF"/>
            <w:vAlign w:val="bottom"/>
          </w:tcPr>
          <w:p w14:paraId="5A7C7C92"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Оценка Минэкономразвития России.</w:t>
            </w:r>
          </w:p>
        </w:tc>
      </w:tr>
    </w:tbl>
    <w:p w14:paraId="19B6891D" w14:textId="77777777" w:rsidR="0047261E" w:rsidRPr="0047261E" w:rsidRDefault="0047261E" w:rsidP="0047261E">
      <w:pPr>
        <w:widowControl w:val="0"/>
        <w:suppressAutoHyphens/>
        <w:autoSpaceDN w:val="0"/>
        <w:ind w:firstLine="0"/>
        <w:textAlignment w:val="baseline"/>
        <w:rPr>
          <w:rFonts w:eastAsia="Times New Roman" w:cs="Times New Roman"/>
          <w:kern w:val="3"/>
          <w:sz w:val="28"/>
          <w:szCs w:val="24"/>
          <w:lang w:eastAsia="ru-RU" w:bidi="hi-IN"/>
        </w:rPr>
        <w:sectPr w:rsidR="0047261E" w:rsidRPr="0047261E" w:rsidSect="0047261E">
          <w:footnotePr>
            <w:numStart w:val="5"/>
          </w:footnotePr>
          <w:pgSz w:w="11909" w:h="16840"/>
          <w:pgMar w:top="1415" w:right="852" w:bottom="1108" w:left="1281" w:header="0" w:footer="3" w:gutter="0"/>
          <w:cols w:space="720"/>
          <w:noEndnote/>
          <w:docGrid w:linePitch="360"/>
        </w:sectPr>
      </w:pPr>
    </w:p>
    <w:p w14:paraId="0AB6E565" w14:textId="77777777" w:rsidR="0047261E" w:rsidRPr="0047261E" w:rsidRDefault="0047261E" w:rsidP="0047261E">
      <w:pPr>
        <w:keepNext/>
        <w:keepLines/>
        <w:widowControl w:val="0"/>
        <w:suppressAutoHyphens/>
        <w:autoSpaceDN w:val="0"/>
        <w:spacing w:line="240" w:lineRule="exact"/>
        <w:ind w:firstLine="0"/>
        <w:contextualSpacing/>
        <w:jc w:val="left"/>
        <w:textAlignment w:val="baseline"/>
        <w:rPr>
          <w:rFonts w:eastAsia="Times New Roman" w:cs="Times New Roman"/>
          <w:b/>
          <w:kern w:val="3"/>
          <w:szCs w:val="24"/>
          <w:lang w:eastAsia="ru-RU" w:bidi="hi-IN"/>
        </w:rPr>
      </w:pPr>
      <w:r w:rsidRPr="0047261E">
        <w:rPr>
          <w:rFonts w:eastAsia="Times New Roman" w:cs="Times New Roman"/>
          <w:b/>
          <w:kern w:val="3"/>
          <w:szCs w:val="24"/>
          <w:lang w:eastAsia="ru-RU" w:bidi="hi-IN"/>
        </w:rPr>
        <w:t>Внутренний валовой продукт</w:t>
      </w:r>
    </w:p>
    <w:p w14:paraId="258B0E96" w14:textId="77777777" w:rsidR="0047261E" w:rsidRPr="0047261E" w:rsidRDefault="0047261E" w:rsidP="0047261E">
      <w:pPr>
        <w:widowControl w:val="0"/>
        <w:suppressAutoHyphens/>
        <w:autoSpaceDN w:val="0"/>
        <w:ind w:firstLine="709"/>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 xml:space="preserve">В течение 2018 г. наблюдалось перераспределение источников экономического роста от внутреннего спроса к внешнему. Основной вклад в рост ВВП в 2018 г. внес потребительский спрос, который увеличился на 2,2 </w:t>
      </w:r>
      <w:r w:rsidRPr="0047261E">
        <w:rPr>
          <w:rFonts w:eastAsia="Arial" w:cs="Times New Roman"/>
          <w:kern w:val="3"/>
          <w:szCs w:val="24"/>
          <w:lang w:eastAsia="ru-RU" w:bidi="hi-IN"/>
        </w:rPr>
        <w:t>%</w:t>
      </w:r>
      <w:r w:rsidRPr="0047261E">
        <w:rPr>
          <w:rFonts w:eastAsia="Times New Roman" w:cs="Times New Roman"/>
          <w:kern w:val="3"/>
          <w:szCs w:val="24"/>
          <w:lang w:eastAsia="ru-RU" w:bidi="hi-IN"/>
        </w:rPr>
        <w:t xml:space="preserve"> по сравнению с 3,2 % в 2017 году.</w:t>
      </w:r>
    </w:p>
    <w:p w14:paraId="62BB617D" w14:textId="77777777" w:rsidR="0047261E" w:rsidRPr="0047261E" w:rsidRDefault="0047261E" w:rsidP="0047261E">
      <w:pPr>
        <w:widowControl w:val="0"/>
        <w:suppressAutoHyphens/>
        <w:autoSpaceDN w:val="0"/>
        <w:ind w:firstLine="0"/>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 xml:space="preserve">  Оборот розничной торговли в 2018 г. вырос на 2,6 % после 1,3 % годом ранее, в том числе за счет расширения спроса на товары длительного пользования. Автомобильный рынок второй год подряд показал двузначный рост (на 12,8 % в 2018 г. после 11,9 % в 2017 году). Кроме того, рост оборота общественного питания ускорился до 3,6 % в 2018 г. с 3,2 % в 2017 году, что стало отражением в том числе проведенного в России чемпионата мира по футболу. Вместе с тем перечисленные индикаторы потребительского спроса в течение года демонстрировали нисходящую годовую динамику. Так, темпы роста продаж легковых автомобилей в декабре составили 5,6 % г/г, что стало самым низким показателем с начала восстановления автомобильного рынка в 1кв17.</w:t>
      </w:r>
    </w:p>
    <w:p w14:paraId="4997DFD0" w14:textId="77777777" w:rsidR="0047261E" w:rsidRPr="0047261E" w:rsidRDefault="0047261E" w:rsidP="0047261E">
      <w:pPr>
        <w:widowControl w:val="0"/>
        <w:suppressAutoHyphens/>
        <w:autoSpaceDN w:val="0"/>
        <w:ind w:firstLine="0"/>
        <w:textAlignment w:val="baseline"/>
        <w:rPr>
          <w:rFonts w:eastAsia="Times New Roman" w:cs="Times New Roman"/>
          <w:kern w:val="3"/>
          <w:sz w:val="28"/>
          <w:szCs w:val="24"/>
          <w:lang w:eastAsia="ru-RU" w:bidi="hi-IN"/>
        </w:rPr>
      </w:pPr>
    </w:p>
    <w:tbl>
      <w:tblPr>
        <w:tblStyle w:val="3b"/>
        <w:tblW w:w="0" w:type="auto"/>
        <w:tblLook w:val="04A0" w:firstRow="1" w:lastRow="0" w:firstColumn="1" w:lastColumn="0" w:noHBand="0" w:noVBand="1"/>
      </w:tblPr>
      <w:tblGrid>
        <w:gridCol w:w="4877"/>
        <w:gridCol w:w="5203"/>
      </w:tblGrid>
      <w:tr w:rsidR="0047261E" w:rsidRPr="0047261E" w14:paraId="021B0B8E" w14:textId="77777777" w:rsidTr="0047261E">
        <w:tc>
          <w:tcPr>
            <w:tcW w:w="5040" w:type="dxa"/>
          </w:tcPr>
          <w:p w14:paraId="6271FB83" w14:textId="77777777" w:rsidR="0047261E" w:rsidRPr="0047261E" w:rsidRDefault="0047261E" w:rsidP="0047261E">
            <w:pPr>
              <w:suppressAutoHyphens/>
              <w:ind w:firstLine="0"/>
              <w:rPr>
                <w:rFonts w:eastAsia="Times New Roman" w:cs="Times New Roman"/>
                <w:sz w:val="28"/>
                <w:lang w:eastAsia="ru-RU"/>
              </w:rPr>
            </w:pPr>
            <w:r w:rsidRPr="0047261E">
              <w:rPr>
                <w:rFonts w:eastAsia="Times New Roman" w:cs="Times New Roman"/>
                <w:noProof/>
                <w:sz w:val="28"/>
                <w:lang w:eastAsia="ru-RU"/>
              </w:rPr>
              <w:drawing>
                <wp:inline distT="0" distB="0" distL="0" distR="0" wp14:anchorId="25621E52" wp14:editId="4031FFE3">
                  <wp:extent cx="2962275" cy="2276475"/>
                  <wp:effectExtent l="0" t="0" r="0" b="0"/>
                  <wp:docPr id="57" name="Рисунок 57" descr="C:\Users\GOROHO~1\AppData\Local\Temp\FineReader12.00\media\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0" descr="C:\Users\GOROHO~1\AppData\Local\Temp\FineReader12.00\media\image8.jpe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962275" cy="2276475"/>
                          </a:xfrm>
                          <a:prstGeom prst="rect">
                            <a:avLst/>
                          </a:prstGeom>
                          <a:noFill/>
                          <a:ln>
                            <a:noFill/>
                          </a:ln>
                        </pic:spPr>
                      </pic:pic>
                    </a:graphicData>
                  </a:graphic>
                </wp:inline>
              </w:drawing>
            </w:r>
          </w:p>
        </w:tc>
        <w:tc>
          <w:tcPr>
            <w:tcW w:w="5040" w:type="dxa"/>
          </w:tcPr>
          <w:p w14:paraId="49CABF55" w14:textId="77777777" w:rsidR="0047261E" w:rsidRPr="0047261E" w:rsidRDefault="0047261E" w:rsidP="0047261E">
            <w:pPr>
              <w:suppressAutoHyphens/>
              <w:ind w:firstLine="0"/>
              <w:rPr>
                <w:rFonts w:eastAsia="Times New Roman" w:cs="Times New Roman"/>
                <w:sz w:val="28"/>
                <w:lang w:eastAsia="ru-RU"/>
              </w:rPr>
            </w:pPr>
            <w:r w:rsidRPr="0047261E">
              <w:rPr>
                <w:rFonts w:eastAsia="Times New Roman" w:cs="Times New Roman"/>
                <w:noProof/>
                <w:sz w:val="28"/>
                <w:lang w:eastAsia="ru-RU"/>
              </w:rPr>
              <w:drawing>
                <wp:inline distT="0" distB="0" distL="0" distR="0" wp14:anchorId="593287F9" wp14:editId="02973380">
                  <wp:extent cx="3169920" cy="2286000"/>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169920" cy="2286000"/>
                          </a:xfrm>
                          <a:prstGeom prst="rect">
                            <a:avLst/>
                          </a:prstGeom>
                          <a:noFill/>
                        </pic:spPr>
                      </pic:pic>
                    </a:graphicData>
                  </a:graphic>
                </wp:inline>
              </w:drawing>
            </w:r>
          </w:p>
        </w:tc>
      </w:tr>
      <w:tr w:rsidR="0047261E" w:rsidRPr="0047261E" w14:paraId="77668374" w14:textId="77777777" w:rsidTr="0047261E">
        <w:tc>
          <w:tcPr>
            <w:tcW w:w="5040" w:type="dxa"/>
          </w:tcPr>
          <w:p w14:paraId="6296FABC" w14:textId="35EFA04D" w:rsidR="0047261E" w:rsidRPr="0047261E" w:rsidRDefault="0047261E" w:rsidP="0047261E">
            <w:pPr>
              <w:suppressLineNumbers/>
              <w:suppressAutoHyphens/>
              <w:ind w:firstLine="0"/>
              <w:jc w:val="center"/>
              <w:rPr>
                <w:rFonts w:eastAsia="Calibri" w:cs="Times New Roman"/>
                <w:i/>
                <w:iCs/>
                <w:szCs w:val="24"/>
              </w:rPr>
            </w:pPr>
            <w:r w:rsidRPr="0047261E">
              <w:rPr>
                <w:rFonts w:eastAsia="Calibri" w:cs="Times New Roman"/>
                <w:i/>
                <w:iCs/>
                <w:szCs w:val="24"/>
              </w:rPr>
              <w:t xml:space="preserve">Рисунок </w:t>
            </w:r>
            <w:r w:rsidRPr="0047261E">
              <w:rPr>
                <w:rFonts w:eastAsia="Calibri" w:cs="Times New Roman"/>
                <w:i/>
                <w:iCs/>
                <w:szCs w:val="24"/>
              </w:rPr>
              <w:fldChar w:fldCharType="begin"/>
            </w:r>
            <w:r w:rsidRPr="0047261E">
              <w:rPr>
                <w:rFonts w:eastAsia="Calibri" w:cs="Times New Roman"/>
                <w:i/>
                <w:iCs/>
                <w:szCs w:val="24"/>
              </w:rPr>
              <w:instrText xml:space="preserve"> SEQ Рисунок \* ARABIC </w:instrText>
            </w:r>
            <w:r w:rsidRPr="0047261E">
              <w:rPr>
                <w:rFonts w:eastAsia="Calibri" w:cs="Times New Roman"/>
                <w:i/>
                <w:iCs/>
                <w:szCs w:val="24"/>
              </w:rPr>
              <w:fldChar w:fldCharType="separate"/>
            </w:r>
            <w:r w:rsidR="00FD2769">
              <w:rPr>
                <w:rFonts w:eastAsia="Calibri" w:cs="Times New Roman"/>
                <w:i/>
                <w:iCs/>
                <w:noProof/>
                <w:szCs w:val="24"/>
              </w:rPr>
              <w:t>6</w:t>
            </w:r>
            <w:r w:rsidRPr="0047261E">
              <w:rPr>
                <w:rFonts w:eastAsia="Calibri" w:cs="Times New Roman"/>
                <w:i/>
                <w:iCs/>
                <w:szCs w:val="24"/>
              </w:rPr>
              <w:fldChar w:fldCharType="end"/>
            </w:r>
          </w:p>
        </w:tc>
        <w:tc>
          <w:tcPr>
            <w:tcW w:w="5040" w:type="dxa"/>
          </w:tcPr>
          <w:p w14:paraId="551DE852" w14:textId="2B426B08" w:rsidR="0047261E" w:rsidRPr="0047261E" w:rsidRDefault="0047261E" w:rsidP="0047261E">
            <w:pPr>
              <w:suppressLineNumbers/>
              <w:suppressAutoHyphens/>
              <w:ind w:firstLine="0"/>
              <w:jc w:val="center"/>
              <w:rPr>
                <w:rFonts w:eastAsia="Calibri" w:cs="Times New Roman"/>
                <w:i/>
                <w:iCs/>
                <w:szCs w:val="24"/>
              </w:rPr>
            </w:pPr>
            <w:r w:rsidRPr="0047261E">
              <w:rPr>
                <w:rFonts w:eastAsia="Calibri" w:cs="Times New Roman"/>
                <w:i/>
                <w:iCs/>
                <w:szCs w:val="24"/>
              </w:rPr>
              <w:t xml:space="preserve">Рисунок </w:t>
            </w:r>
            <w:r w:rsidRPr="0047261E">
              <w:rPr>
                <w:rFonts w:eastAsia="Calibri" w:cs="Times New Roman"/>
                <w:i/>
                <w:iCs/>
                <w:szCs w:val="24"/>
              </w:rPr>
              <w:fldChar w:fldCharType="begin"/>
            </w:r>
            <w:r w:rsidRPr="0047261E">
              <w:rPr>
                <w:rFonts w:eastAsia="Calibri" w:cs="Times New Roman"/>
                <w:i/>
                <w:iCs/>
                <w:szCs w:val="24"/>
              </w:rPr>
              <w:instrText xml:space="preserve"> SEQ Рисунок \* ARABIC </w:instrText>
            </w:r>
            <w:r w:rsidRPr="0047261E">
              <w:rPr>
                <w:rFonts w:eastAsia="Calibri" w:cs="Times New Roman"/>
                <w:i/>
                <w:iCs/>
                <w:szCs w:val="24"/>
              </w:rPr>
              <w:fldChar w:fldCharType="separate"/>
            </w:r>
            <w:r w:rsidR="00FD2769">
              <w:rPr>
                <w:rFonts w:eastAsia="Calibri" w:cs="Times New Roman"/>
                <w:i/>
                <w:iCs/>
                <w:noProof/>
                <w:szCs w:val="24"/>
              </w:rPr>
              <w:t>7</w:t>
            </w:r>
            <w:r w:rsidRPr="0047261E">
              <w:rPr>
                <w:rFonts w:eastAsia="Calibri" w:cs="Times New Roman"/>
                <w:i/>
                <w:iCs/>
                <w:szCs w:val="24"/>
              </w:rPr>
              <w:fldChar w:fldCharType="end"/>
            </w:r>
          </w:p>
        </w:tc>
      </w:tr>
    </w:tbl>
    <w:p w14:paraId="32CDE809" w14:textId="77777777" w:rsidR="0047261E" w:rsidRPr="0047261E" w:rsidRDefault="0047261E" w:rsidP="0047261E">
      <w:pPr>
        <w:widowControl w:val="0"/>
        <w:suppressAutoHyphens/>
        <w:autoSpaceDN w:val="0"/>
        <w:ind w:firstLine="0"/>
        <w:textAlignment w:val="baseline"/>
        <w:rPr>
          <w:rFonts w:eastAsia="Times New Roman" w:cs="Times New Roman"/>
          <w:kern w:val="3"/>
          <w:szCs w:val="24"/>
          <w:lang w:eastAsia="ru-RU" w:bidi="hi-IN"/>
        </w:rPr>
      </w:pPr>
    </w:p>
    <w:p w14:paraId="204B7484" w14:textId="77777777" w:rsidR="0047261E" w:rsidRPr="0047261E" w:rsidRDefault="0047261E" w:rsidP="0047261E">
      <w:pPr>
        <w:widowControl w:val="0"/>
        <w:spacing w:before="240" w:line="250" w:lineRule="exact"/>
        <w:ind w:firstLine="709"/>
        <w:rPr>
          <w:rFonts w:eastAsia="Times New Roman" w:cs="Times New Roman"/>
          <w:kern w:val="3"/>
          <w:szCs w:val="24"/>
          <w:lang w:eastAsia="zh-CN" w:bidi="hi-IN"/>
        </w:rPr>
      </w:pPr>
      <w:r w:rsidRPr="0047261E">
        <w:rPr>
          <w:rFonts w:eastAsia="Times New Roman" w:cs="Times New Roman"/>
          <w:kern w:val="3"/>
          <w:szCs w:val="24"/>
          <w:lang w:eastAsia="zh-CN" w:bidi="hi-IN"/>
        </w:rPr>
        <w:t>Прочие компоненты потребительского спроса, которые включаются в показатель конечного потребления домашних хозяйств, в 2018 г. продолжили демонстрировать позитивную динамику, однако темпы их роста снизились по сравнению с 2017 годом. По данным Росавиации, рост пассажирских перевозок в 2018 г. замедлился до 10,6 % с 18,6 % годом ранее, главным образом за счет международных направлений. Покупки в зарубежных Интернет-магазинах в январе-сентябре 2018 г. увеличились на 6,5 % в долларовом эквиваленте после роста на 83,9 % в 2017 г. (в рублевом эквиваленте - 17,9% г/г против 63,7% соответственно).</w:t>
      </w:r>
    </w:p>
    <w:tbl>
      <w:tblPr>
        <w:tblStyle w:val="3b"/>
        <w:tblW w:w="0" w:type="auto"/>
        <w:tblLook w:val="04A0" w:firstRow="1" w:lastRow="0" w:firstColumn="1" w:lastColumn="0" w:noHBand="0" w:noVBand="1"/>
      </w:tblPr>
      <w:tblGrid>
        <w:gridCol w:w="10080"/>
      </w:tblGrid>
      <w:tr w:rsidR="0047261E" w:rsidRPr="0047261E" w14:paraId="68AB7B7A" w14:textId="77777777" w:rsidTr="0047261E">
        <w:tc>
          <w:tcPr>
            <w:tcW w:w="10080" w:type="dxa"/>
          </w:tcPr>
          <w:p w14:paraId="09C1BE3A" w14:textId="77777777" w:rsidR="0047261E" w:rsidRPr="0047261E" w:rsidRDefault="0047261E" w:rsidP="0047261E">
            <w:pPr>
              <w:ind w:firstLine="0"/>
              <w:rPr>
                <w:rFonts w:eastAsia="Times New Roman" w:cs="Times New Roman"/>
                <w:lang w:eastAsia="zh-CN"/>
              </w:rPr>
            </w:pPr>
            <w:r w:rsidRPr="0047261E">
              <w:rPr>
                <w:rFonts w:eastAsia="Times New Roman" w:cs="Times New Roman"/>
                <w:noProof/>
                <w:lang w:eastAsia="ru-RU"/>
              </w:rPr>
              <w:drawing>
                <wp:inline distT="0" distB="0" distL="0" distR="0" wp14:anchorId="7D9F7962" wp14:editId="6A00942B">
                  <wp:extent cx="5840730" cy="2353310"/>
                  <wp:effectExtent l="0" t="0" r="7620" b="889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840730" cy="2353310"/>
                          </a:xfrm>
                          <a:prstGeom prst="rect">
                            <a:avLst/>
                          </a:prstGeom>
                          <a:noFill/>
                        </pic:spPr>
                      </pic:pic>
                    </a:graphicData>
                  </a:graphic>
                </wp:inline>
              </w:drawing>
            </w:r>
          </w:p>
        </w:tc>
      </w:tr>
      <w:tr w:rsidR="0047261E" w:rsidRPr="0047261E" w14:paraId="26B20C16" w14:textId="77777777" w:rsidTr="0047261E">
        <w:tc>
          <w:tcPr>
            <w:tcW w:w="10080" w:type="dxa"/>
          </w:tcPr>
          <w:p w14:paraId="15ACF14E" w14:textId="6F2D61C6" w:rsidR="0047261E" w:rsidRPr="0047261E" w:rsidRDefault="0047261E" w:rsidP="0047261E">
            <w:pPr>
              <w:suppressLineNumbers/>
              <w:suppressAutoHyphens/>
              <w:ind w:firstLine="0"/>
              <w:jc w:val="center"/>
              <w:rPr>
                <w:rFonts w:eastAsia="Calibri" w:cs="Times New Roman"/>
                <w:i/>
                <w:iCs/>
                <w:sz w:val="20"/>
                <w:szCs w:val="20"/>
              </w:rPr>
            </w:pPr>
            <w:r w:rsidRPr="0047261E">
              <w:rPr>
                <w:rFonts w:eastAsia="Calibri" w:cs="Times New Roman"/>
                <w:i/>
                <w:iCs/>
                <w:szCs w:val="24"/>
              </w:rPr>
              <w:t xml:space="preserve">Рисунок </w:t>
            </w:r>
            <w:r w:rsidRPr="0047261E">
              <w:rPr>
                <w:rFonts w:eastAsia="Calibri" w:cs="Times New Roman"/>
                <w:i/>
                <w:iCs/>
                <w:szCs w:val="24"/>
              </w:rPr>
              <w:fldChar w:fldCharType="begin"/>
            </w:r>
            <w:r w:rsidRPr="0047261E">
              <w:rPr>
                <w:rFonts w:eastAsia="Calibri" w:cs="Times New Roman"/>
                <w:i/>
                <w:iCs/>
                <w:szCs w:val="24"/>
              </w:rPr>
              <w:instrText xml:space="preserve"> SEQ Рисунок \* ARABIC </w:instrText>
            </w:r>
            <w:r w:rsidRPr="0047261E">
              <w:rPr>
                <w:rFonts w:eastAsia="Calibri" w:cs="Times New Roman"/>
                <w:i/>
                <w:iCs/>
                <w:szCs w:val="24"/>
              </w:rPr>
              <w:fldChar w:fldCharType="separate"/>
            </w:r>
            <w:r w:rsidR="00FD2769">
              <w:rPr>
                <w:rFonts w:eastAsia="Calibri" w:cs="Times New Roman"/>
                <w:i/>
                <w:iCs/>
                <w:noProof/>
                <w:szCs w:val="24"/>
              </w:rPr>
              <w:t>8</w:t>
            </w:r>
            <w:r w:rsidRPr="0047261E">
              <w:rPr>
                <w:rFonts w:eastAsia="Calibri" w:cs="Times New Roman"/>
                <w:i/>
                <w:iCs/>
                <w:szCs w:val="24"/>
              </w:rPr>
              <w:fldChar w:fldCharType="end"/>
            </w:r>
          </w:p>
        </w:tc>
      </w:tr>
    </w:tbl>
    <w:p w14:paraId="17867E2A" w14:textId="77777777" w:rsidR="0047261E" w:rsidRPr="0047261E" w:rsidRDefault="0047261E" w:rsidP="0047261E">
      <w:pPr>
        <w:widowControl w:val="0"/>
        <w:ind w:firstLine="709"/>
        <w:rPr>
          <w:rFonts w:eastAsia="Times New Roman" w:cs="Times New Roman"/>
          <w:kern w:val="3"/>
          <w:szCs w:val="24"/>
          <w:lang w:eastAsia="zh-CN" w:bidi="hi-IN"/>
        </w:rPr>
      </w:pPr>
    </w:p>
    <w:p w14:paraId="07BB7979" w14:textId="77777777" w:rsidR="0047261E" w:rsidRPr="0047261E" w:rsidRDefault="0047261E" w:rsidP="0047261E">
      <w:pPr>
        <w:widowControl w:val="0"/>
        <w:spacing w:line="264" w:lineRule="exact"/>
        <w:ind w:firstLine="709"/>
        <w:contextualSpacing/>
        <w:rPr>
          <w:rFonts w:eastAsia="Arial Narrow" w:cs="Times New Roman"/>
          <w:kern w:val="3"/>
          <w:szCs w:val="24"/>
          <w:lang w:eastAsia="zh-CN" w:bidi="hi-IN"/>
        </w:rPr>
      </w:pPr>
      <w:r w:rsidRPr="0047261E">
        <w:rPr>
          <w:rFonts w:eastAsia="Arial Narrow" w:cs="Times New Roman"/>
          <w:kern w:val="3"/>
          <w:szCs w:val="24"/>
          <w:lang w:eastAsia="zh-CN" w:bidi="hi-IN"/>
        </w:rPr>
        <w:t xml:space="preserve">Рост валового накопления основного капитала замедлился до 2,3 % в 2018 г. (с 5,5 % в 2017 г.) при сохранении инвестиционной активности приблизительно на уровне прошлого года (4,1 % г/г, согласно оперативным данным Росстат за январь-сентябрь 2018 года). По информации Росстата, опубликованной на официальном сайте, это обусловлено тем, что приобретение продуктов интеллектуальной собственности и других активов, не включаемых в состав инвестиций в основной капитал, по предварительной оценке, сократилось. На фоне ослабления рубля темпы роста импорта товаров и услуг снизились до 3,8 % в 2018 г. после 17,4 % годом ранее. При этом экспорт товаров и услуг продолжал уверенно расти (на 6,3 </w:t>
      </w:r>
      <w:r w:rsidRPr="0047261E">
        <w:rPr>
          <w:rFonts w:eastAsia="Arial" w:cs="Times New Roman"/>
          <w:b/>
          <w:bCs/>
          <w:i/>
          <w:iCs/>
          <w:color w:val="000000"/>
          <w:kern w:val="3"/>
          <w:szCs w:val="24"/>
          <w:shd w:val="clear" w:color="auto" w:fill="FFFFFF"/>
          <w:lang w:eastAsia="ru-RU" w:bidi="ru-RU"/>
        </w:rPr>
        <w:t xml:space="preserve">% </w:t>
      </w:r>
      <w:r w:rsidRPr="0047261E">
        <w:rPr>
          <w:rFonts w:eastAsia="Arial Narrow" w:cs="Times New Roman"/>
          <w:kern w:val="3"/>
          <w:szCs w:val="24"/>
          <w:lang w:eastAsia="zh-CN" w:bidi="hi-IN"/>
        </w:rPr>
        <w:t>в реальном выражении после 5,0 % годом ранее). В результате вклад чистого экспорта в темпы роста ВВП в 2018 г., по оценке, составил 0,8 п.п. (по сравнению с -2,3 п.п. годом ранее). Таким образом, чистый экспорт более чем компенсировал замедление внутреннего спроса и стал основным драйвером ускорения роста ВВП в 2018 году.</w:t>
      </w:r>
    </w:p>
    <w:p w14:paraId="3E2FD2D3" w14:textId="77777777" w:rsidR="0047261E" w:rsidRPr="0047261E" w:rsidRDefault="0047261E" w:rsidP="0047261E">
      <w:pPr>
        <w:widowControl w:val="0"/>
        <w:spacing w:line="264" w:lineRule="exact"/>
        <w:ind w:firstLine="709"/>
        <w:contextualSpacing/>
        <w:rPr>
          <w:rFonts w:eastAsia="Arial Narrow" w:cs="Times New Roman"/>
          <w:kern w:val="3"/>
          <w:szCs w:val="24"/>
          <w:lang w:eastAsia="zh-CN" w:bidi="hi-IN"/>
        </w:rPr>
      </w:pPr>
    </w:p>
    <w:p w14:paraId="4BB7C783" w14:textId="3E30AADC" w:rsidR="0047261E" w:rsidRPr="0047261E" w:rsidRDefault="0047261E" w:rsidP="00763AD2">
      <w:pPr>
        <w:pStyle w:val="afffffff0"/>
      </w:pPr>
      <w:r w:rsidRPr="0047261E">
        <w:t xml:space="preserve">Таблица </w:t>
      </w:r>
      <w:r w:rsidR="00A90944">
        <w:fldChar w:fldCharType="begin"/>
      </w:r>
      <w:r w:rsidR="00A90944">
        <w:instrText xml:space="preserve"> SEQ Таблица \* ARABIC </w:instrText>
      </w:r>
      <w:r w:rsidR="00A90944">
        <w:fldChar w:fldCharType="separate"/>
      </w:r>
      <w:r w:rsidR="00FD2769">
        <w:rPr>
          <w:noProof/>
        </w:rPr>
        <w:t>5</w:t>
      </w:r>
      <w:r w:rsidR="00A90944">
        <w:rPr>
          <w:noProof/>
        </w:rPr>
        <w:fldChar w:fldCharType="end"/>
      </w:r>
      <w:r w:rsidRPr="0047261E">
        <w:t>. Показатели потребительской активности</w:t>
      </w:r>
    </w:p>
    <w:tbl>
      <w:tblPr>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3021"/>
        <w:gridCol w:w="456"/>
        <w:gridCol w:w="609"/>
        <w:gridCol w:w="657"/>
        <w:gridCol w:w="710"/>
        <w:gridCol w:w="796"/>
        <w:gridCol w:w="756"/>
        <w:gridCol w:w="760"/>
        <w:gridCol w:w="776"/>
        <w:gridCol w:w="700"/>
        <w:gridCol w:w="839"/>
      </w:tblGrid>
      <w:tr w:rsidR="0047261E" w:rsidRPr="0047261E" w14:paraId="2F544824" w14:textId="77777777" w:rsidTr="0047261E">
        <w:trPr>
          <w:trHeight w:val="336"/>
        </w:trPr>
        <w:tc>
          <w:tcPr>
            <w:tcW w:w="1499" w:type="pct"/>
            <w:shd w:val="clear" w:color="auto" w:fill="FFFFFF"/>
            <w:vAlign w:val="center"/>
          </w:tcPr>
          <w:p w14:paraId="646DC4C7" w14:textId="77777777" w:rsidR="0047261E" w:rsidRPr="0047261E" w:rsidRDefault="0047261E" w:rsidP="0047261E">
            <w:pPr>
              <w:widowControl w:val="0"/>
              <w:suppressAutoHyphens/>
              <w:autoSpaceDN w:val="0"/>
              <w:ind w:firstLine="112"/>
              <w:jc w:val="left"/>
              <w:textAlignment w:val="baseline"/>
              <w:rPr>
                <w:rFonts w:eastAsia="Times New Roman" w:cs="Times New Roman"/>
                <w:kern w:val="3"/>
                <w:sz w:val="22"/>
                <w:lang w:eastAsia="ru-RU" w:bidi="hi-IN"/>
              </w:rPr>
            </w:pPr>
          </w:p>
        </w:tc>
        <w:tc>
          <w:tcPr>
            <w:tcW w:w="226" w:type="pct"/>
            <w:shd w:val="clear" w:color="auto" w:fill="FFFFFF"/>
            <w:vAlign w:val="center"/>
          </w:tcPr>
          <w:p w14:paraId="6222FE7A"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p>
        </w:tc>
        <w:tc>
          <w:tcPr>
            <w:tcW w:w="302" w:type="pct"/>
            <w:shd w:val="clear" w:color="auto" w:fill="FFFFFF"/>
            <w:vAlign w:val="center"/>
          </w:tcPr>
          <w:p w14:paraId="738975A5"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4кв18</w:t>
            </w:r>
          </w:p>
        </w:tc>
        <w:tc>
          <w:tcPr>
            <w:tcW w:w="326" w:type="pct"/>
            <w:shd w:val="clear" w:color="auto" w:fill="FFFFFF"/>
            <w:vAlign w:val="center"/>
          </w:tcPr>
          <w:p w14:paraId="7B732749"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дек.18</w:t>
            </w:r>
          </w:p>
        </w:tc>
        <w:tc>
          <w:tcPr>
            <w:tcW w:w="352" w:type="pct"/>
            <w:shd w:val="clear" w:color="auto" w:fill="FFFFFF"/>
            <w:vAlign w:val="center"/>
          </w:tcPr>
          <w:p w14:paraId="0BB70E8A"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ноя.18</w:t>
            </w:r>
          </w:p>
        </w:tc>
        <w:tc>
          <w:tcPr>
            <w:tcW w:w="395" w:type="pct"/>
            <w:shd w:val="clear" w:color="auto" w:fill="FFFFFF"/>
            <w:vAlign w:val="center"/>
          </w:tcPr>
          <w:p w14:paraId="08B570B8"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окт.18</w:t>
            </w:r>
          </w:p>
        </w:tc>
        <w:tc>
          <w:tcPr>
            <w:tcW w:w="375" w:type="pct"/>
            <w:shd w:val="clear" w:color="auto" w:fill="FFFFFF"/>
            <w:vAlign w:val="center"/>
          </w:tcPr>
          <w:p w14:paraId="33B1F93E"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3кв18</w:t>
            </w:r>
          </w:p>
        </w:tc>
        <w:tc>
          <w:tcPr>
            <w:tcW w:w="377" w:type="pct"/>
            <w:shd w:val="clear" w:color="auto" w:fill="FFFFFF"/>
            <w:vAlign w:val="center"/>
          </w:tcPr>
          <w:p w14:paraId="4DB3946B"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2кв18</w:t>
            </w:r>
          </w:p>
        </w:tc>
        <w:tc>
          <w:tcPr>
            <w:tcW w:w="385" w:type="pct"/>
            <w:shd w:val="clear" w:color="auto" w:fill="FFFFFF"/>
            <w:vAlign w:val="center"/>
          </w:tcPr>
          <w:p w14:paraId="7D519EFD"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1кв18</w:t>
            </w:r>
          </w:p>
        </w:tc>
        <w:tc>
          <w:tcPr>
            <w:tcW w:w="347" w:type="pct"/>
            <w:shd w:val="clear" w:color="auto" w:fill="FFFFFF"/>
            <w:vAlign w:val="center"/>
          </w:tcPr>
          <w:p w14:paraId="3F4D531C"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2017</w:t>
            </w:r>
          </w:p>
        </w:tc>
        <w:tc>
          <w:tcPr>
            <w:tcW w:w="415" w:type="pct"/>
            <w:shd w:val="clear" w:color="auto" w:fill="FFFFFF"/>
            <w:vAlign w:val="center"/>
          </w:tcPr>
          <w:p w14:paraId="147A351D"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2016</w:t>
            </w:r>
          </w:p>
        </w:tc>
      </w:tr>
      <w:tr w:rsidR="0047261E" w:rsidRPr="0047261E" w14:paraId="31007E62" w14:textId="77777777" w:rsidTr="0047261E">
        <w:trPr>
          <w:trHeight w:val="552"/>
        </w:trPr>
        <w:tc>
          <w:tcPr>
            <w:tcW w:w="1499" w:type="pct"/>
            <w:shd w:val="clear" w:color="auto" w:fill="FFFFFF"/>
            <w:vAlign w:val="center"/>
          </w:tcPr>
          <w:p w14:paraId="4F60662B" w14:textId="77777777" w:rsidR="0047261E" w:rsidRPr="0047261E" w:rsidRDefault="0047261E" w:rsidP="0047261E">
            <w:pPr>
              <w:widowControl w:val="0"/>
              <w:suppressAutoHyphens/>
              <w:autoSpaceDN w:val="0"/>
              <w:ind w:firstLine="112"/>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Оборот розничной торговли в % к соотв. периоду предыдущего года</w:t>
            </w:r>
          </w:p>
        </w:tc>
        <w:tc>
          <w:tcPr>
            <w:tcW w:w="226" w:type="pct"/>
            <w:shd w:val="clear" w:color="auto" w:fill="FFFFFF"/>
            <w:vAlign w:val="center"/>
          </w:tcPr>
          <w:p w14:paraId="403C5856"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2,6</w:t>
            </w:r>
          </w:p>
        </w:tc>
        <w:tc>
          <w:tcPr>
            <w:tcW w:w="302" w:type="pct"/>
            <w:shd w:val="clear" w:color="auto" w:fill="FFFFFF"/>
            <w:vAlign w:val="center"/>
          </w:tcPr>
          <w:p w14:paraId="6615B77A"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2,7</w:t>
            </w:r>
          </w:p>
        </w:tc>
        <w:tc>
          <w:tcPr>
            <w:tcW w:w="326" w:type="pct"/>
            <w:shd w:val="clear" w:color="auto" w:fill="FFFFFF"/>
            <w:vAlign w:val="center"/>
          </w:tcPr>
          <w:p w14:paraId="6A2CB429"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2,3</w:t>
            </w:r>
          </w:p>
        </w:tc>
        <w:tc>
          <w:tcPr>
            <w:tcW w:w="352" w:type="pct"/>
            <w:shd w:val="clear" w:color="auto" w:fill="FFFFFF"/>
            <w:vAlign w:val="center"/>
          </w:tcPr>
          <w:p w14:paraId="500877DD"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3,0</w:t>
            </w:r>
          </w:p>
        </w:tc>
        <w:tc>
          <w:tcPr>
            <w:tcW w:w="395" w:type="pct"/>
            <w:shd w:val="clear" w:color="auto" w:fill="FFFFFF"/>
            <w:vAlign w:val="center"/>
          </w:tcPr>
          <w:p w14:paraId="6FEB337F"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2,0</w:t>
            </w:r>
          </w:p>
        </w:tc>
        <w:tc>
          <w:tcPr>
            <w:tcW w:w="375" w:type="pct"/>
            <w:shd w:val="clear" w:color="auto" w:fill="FFFFFF"/>
            <w:vAlign w:val="center"/>
          </w:tcPr>
          <w:p w14:paraId="2D2383A7"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2,6</w:t>
            </w:r>
          </w:p>
        </w:tc>
        <w:tc>
          <w:tcPr>
            <w:tcW w:w="377" w:type="pct"/>
            <w:shd w:val="clear" w:color="auto" w:fill="FFFFFF"/>
            <w:vAlign w:val="center"/>
          </w:tcPr>
          <w:p w14:paraId="467E6287"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2,9</w:t>
            </w:r>
          </w:p>
        </w:tc>
        <w:tc>
          <w:tcPr>
            <w:tcW w:w="385" w:type="pct"/>
            <w:shd w:val="clear" w:color="auto" w:fill="FFFFFF"/>
            <w:vAlign w:val="center"/>
          </w:tcPr>
          <w:p w14:paraId="7996AC1B"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2,4</w:t>
            </w:r>
          </w:p>
        </w:tc>
        <w:tc>
          <w:tcPr>
            <w:tcW w:w="347" w:type="pct"/>
            <w:shd w:val="clear" w:color="auto" w:fill="FFFFFF"/>
            <w:vAlign w:val="center"/>
          </w:tcPr>
          <w:p w14:paraId="24558A8F"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1,3</w:t>
            </w:r>
          </w:p>
        </w:tc>
        <w:tc>
          <w:tcPr>
            <w:tcW w:w="415" w:type="pct"/>
            <w:shd w:val="clear" w:color="auto" w:fill="FFFFFF"/>
            <w:vAlign w:val="center"/>
          </w:tcPr>
          <w:p w14:paraId="00B16872"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-4,6</w:t>
            </w:r>
          </w:p>
        </w:tc>
      </w:tr>
      <w:tr w:rsidR="0047261E" w:rsidRPr="0047261E" w14:paraId="0FA1B99C" w14:textId="77777777" w:rsidTr="0047261E">
        <w:trPr>
          <w:trHeight w:val="269"/>
        </w:trPr>
        <w:tc>
          <w:tcPr>
            <w:tcW w:w="1499" w:type="pct"/>
            <w:shd w:val="clear" w:color="auto" w:fill="FFFFFF"/>
            <w:vAlign w:val="center"/>
          </w:tcPr>
          <w:p w14:paraId="7AFD4C71" w14:textId="77777777" w:rsidR="0047261E" w:rsidRPr="0047261E" w:rsidRDefault="0047261E" w:rsidP="0047261E">
            <w:pPr>
              <w:widowControl w:val="0"/>
              <w:suppressAutoHyphens/>
              <w:autoSpaceDN w:val="0"/>
              <w:ind w:firstLine="112"/>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в % к предыдущему периоду (SA)</w:t>
            </w:r>
          </w:p>
        </w:tc>
        <w:tc>
          <w:tcPr>
            <w:tcW w:w="226" w:type="pct"/>
            <w:shd w:val="clear" w:color="auto" w:fill="FFFFFF"/>
            <w:vAlign w:val="center"/>
          </w:tcPr>
          <w:p w14:paraId="626A8465"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p>
        </w:tc>
        <w:tc>
          <w:tcPr>
            <w:tcW w:w="302" w:type="pct"/>
            <w:shd w:val="clear" w:color="auto" w:fill="FFFFFF"/>
            <w:vAlign w:val="center"/>
          </w:tcPr>
          <w:p w14:paraId="2B660A28"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0,5</w:t>
            </w:r>
          </w:p>
        </w:tc>
        <w:tc>
          <w:tcPr>
            <w:tcW w:w="326" w:type="pct"/>
            <w:shd w:val="clear" w:color="auto" w:fill="FFFFFF"/>
            <w:vAlign w:val="center"/>
          </w:tcPr>
          <w:p w14:paraId="04A076DA"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-0,1</w:t>
            </w:r>
          </w:p>
        </w:tc>
        <w:tc>
          <w:tcPr>
            <w:tcW w:w="352" w:type="pct"/>
            <w:shd w:val="clear" w:color="auto" w:fill="FFFFFF"/>
            <w:vAlign w:val="center"/>
          </w:tcPr>
          <w:p w14:paraId="1AFC4644"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0,5</w:t>
            </w:r>
          </w:p>
        </w:tc>
        <w:tc>
          <w:tcPr>
            <w:tcW w:w="395" w:type="pct"/>
            <w:shd w:val="clear" w:color="auto" w:fill="FFFFFF"/>
            <w:vAlign w:val="center"/>
          </w:tcPr>
          <w:p w14:paraId="5B20539A"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0,1</w:t>
            </w:r>
          </w:p>
        </w:tc>
        <w:tc>
          <w:tcPr>
            <w:tcW w:w="375" w:type="pct"/>
            <w:shd w:val="clear" w:color="auto" w:fill="FFFFFF"/>
            <w:vAlign w:val="center"/>
          </w:tcPr>
          <w:p w14:paraId="02341DEE"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0,5</w:t>
            </w:r>
          </w:p>
        </w:tc>
        <w:tc>
          <w:tcPr>
            <w:tcW w:w="377" w:type="pct"/>
            <w:shd w:val="clear" w:color="auto" w:fill="FFFFFF"/>
            <w:vAlign w:val="center"/>
          </w:tcPr>
          <w:p w14:paraId="246CE4EA"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0,8</w:t>
            </w:r>
          </w:p>
        </w:tc>
        <w:tc>
          <w:tcPr>
            <w:tcW w:w="385" w:type="pct"/>
            <w:shd w:val="clear" w:color="auto" w:fill="FFFFFF"/>
            <w:vAlign w:val="center"/>
          </w:tcPr>
          <w:p w14:paraId="0096BA5C"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0,5</w:t>
            </w:r>
          </w:p>
        </w:tc>
        <w:tc>
          <w:tcPr>
            <w:tcW w:w="347" w:type="pct"/>
            <w:shd w:val="clear" w:color="auto" w:fill="FFFFFF"/>
            <w:vAlign w:val="center"/>
          </w:tcPr>
          <w:p w14:paraId="3177FB45"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p>
        </w:tc>
        <w:tc>
          <w:tcPr>
            <w:tcW w:w="415" w:type="pct"/>
            <w:shd w:val="clear" w:color="auto" w:fill="FFFFFF"/>
            <w:vAlign w:val="center"/>
          </w:tcPr>
          <w:p w14:paraId="62EF411C"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p>
        </w:tc>
      </w:tr>
      <w:tr w:rsidR="0047261E" w:rsidRPr="0047261E" w14:paraId="2C31B7D5" w14:textId="77777777" w:rsidTr="0047261E">
        <w:trPr>
          <w:trHeight w:val="518"/>
        </w:trPr>
        <w:tc>
          <w:tcPr>
            <w:tcW w:w="1499" w:type="pct"/>
            <w:shd w:val="clear" w:color="auto" w:fill="FFFFFF"/>
            <w:vAlign w:val="center"/>
          </w:tcPr>
          <w:p w14:paraId="4A5A5D27" w14:textId="77777777" w:rsidR="0047261E" w:rsidRPr="0047261E" w:rsidRDefault="0047261E" w:rsidP="0047261E">
            <w:pPr>
              <w:widowControl w:val="0"/>
              <w:suppressAutoHyphens/>
              <w:autoSpaceDN w:val="0"/>
              <w:ind w:firstLine="112"/>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Продовольственные товары в % к соотв. периоду предыдущего года</w:t>
            </w:r>
          </w:p>
        </w:tc>
        <w:tc>
          <w:tcPr>
            <w:tcW w:w="226" w:type="pct"/>
            <w:shd w:val="clear" w:color="auto" w:fill="FFFFFF"/>
            <w:vAlign w:val="center"/>
          </w:tcPr>
          <w:p w14:paraId="07B485F3"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1,7</w:t>
            </w:r>
          </w:p>
        </w:tc>
        <w:tc>
          <w:tcPr>
            <w:tcW w:w="302" w:type="pct"/>
            <w:shd w:val="clear" w:color="auto" w:fill="FFFFFF"/>
            <w:vAlign w:val="center"/>
          </w:tcPr>
          <w:p w14:paraId="33837A85"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1,9</w:t>
            </w:r>
          </w:p>
        </w:tc>
        <w:tc>
          <w:tcPr>
            <w:tcW w:w="326" w:type="pct"/>
            <w:shd w:val="clear" w:color="auto" w:fill="FFFFFF"/>
            <w:vAlign w:val="center"/>
          </w:tcPr>
          <w:p w14:paraId="55FFFF7B"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1,8</w:t>
            </w:r>
          </w:p>
        </w:tc>
        <w:tc>
          <w:tcPr>
            <w:tcW w:w="352" w:type="pct"/>
            <w:shd w:val="clear" w:color="auto" w:fill="FFFFFF"/>
            <w:vAlign w:val="center"/>
          </w:tcPr>
          <w:p w14:paraId="58F8F03E"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1,6</w:t>
            </w:r>
          </w:p>
        </w:tc>
        <w:tc>
          <w:tcPr>
            <w:tcW w:w="395" w:type="pct"/>
            <w:shd w:val="clear" w:color="auto" w:fill="FFFFFF"/>
            <w:vAlign w:val="center"/>
          </w:tcPr>
          <w:p w14:paraId="61255D34"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0,4</w:t>
            </w:r>
          </w:p>
        </w:tc>
        <w:tc>
          <w:tcPr>
            <w:tcW w:w="375" w:type="pct"/>
            <w:shd w:val="clear" w:color="auto" w:fill="FFFFFF"/>
            <w:vAlign w:val="center"/>
          </w:tcPr>
          <w:p w14:paraId="71757632"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1,0</w:t>
            </w:r>
          </w:p>
        </w:tc>
        <w:tc>
          <w:tcPr>
            <w:tcW w:w="377" w:type="pct"/>
            <w:shd w:val="clear" w:color="auto" w:fill="FFFFFF"/>
            <w:vAlign w:val="center"/>
          </w:tcPr>
          <w:p w14:paraId="424441FE"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2,6</w:t>
            </w:r>
          </w:p>
        </w:tc>
        <w:tc>
          <w:tcPr>
            <w:tcW w:w="385" w:type="pct"/>
            <w:shd w:val="clear" w:color="auto" w:fill="FFFFFF"/>
            <w:vAlign w:val="center"/>
          </w:tcPr>
          <w:p w14:paraId="4FA4816B"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1,9</w:t>
            </w:r>
          </w:p>
        </w:tc>
        <w:tc>
          <w:tcPr>
            <w:tcW w:w="347" w:type="pct"/>
            <w:shd w:val="clear" w:color="auto" w:fill="FFFFFF"/>
            <w:vAlign w:val="center"/>
          </w:tcPr>
          <w:p w14:paraId="7505BF08"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1,1</w:t>
            </w:r>
          </w:p>
        </w:tc>
        <w:tc>
          <w:tcPr>
            <w:tcW w:w="415" w:type="pct"/>
            <w:shd w:val="clear" w:color="auto" w:fill="FFFFFF"/>
            <w:vAlign w:val="center"/>
          </w:tcPr>
          <w:p w14:paraId="787E9BF3"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-5,0</w:t>
            </w:r>
          </w:p>
        </w:tc>
      </w:tr>
      <w:tr w:rsidR="0047261E" w:rsidRPr="0047261E" w14:paraId="3CD56F2F" w14:textId="77777777" w:rsidTr="0047261E">
        <w:trPr>
          <w:trHeight w:val="269"/>
        </w:trPr>
        <w:tc>
          <w:tcPr>
            <w:tcW w:w="1499" w:type="pct"/>
            <w:shd w:val="clear" w:color="auto" w:fill="FFFFFF"/>
            <w:vAlign w:val="center"/>
          </w:tcPr>
          <w:p w14:paraId="0A663847" w14:textId="77777777" w:rsidR="0047261E" w:rsidRPr="0047261E" w:rsidRDefault="0047261E" w:rsidP="0047261E">
            <w:pPr>
              <w:widowControl w:val="0"/>
              <w:suppressAutoHyphens/>
              <w:autoSpaceDN w:val="0"/>
              <w:ind w:firstLine="112"/>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в % к предыдущему периоду (SA)</w:t>
            </w:r>
          </w:p>
        </w:tc>
        <w:tc>
          <w:tcPr>
            <w:tcW w:w="226" w:type="pct"/>
            <w:shd w:val="clear" w:color="auto" w:fill="FFFFFF"/>
            <w:vAlign w:val="center"/>
          </w:tcPr>
          <w:p w14:paraId="0E89C3BA"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p>
        </w:tc>
        <w:tc>
          <w:tcPr>
            <w:tcW w:w="302" w:type="pct"/>
            <w:shd w:val="clear" w:color="auto" w:fill="FFFFFF"/>
            <w:vAlign w:val="center"/>
          </w:tcPr>
          <w:p w14:paraId="5626786E"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0,5</w:t>
            </w:r>
          </w:p>
        </w:tc>
        <w:tc>
          <w:tcPr>
            <w:tcW w:w="326" w:type="pct"/>
            <w:shd w:val="clear" w:color="auto" w:fill="FFFFFF"/>
            <w:vAlign w:val="center"/>
          </w:tcPr>
          <w:p w14:paraId="1CE70734"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0,2</w:t>
            </w:r>
          </w:p>
        </w:tc>
        <w:tc>
          <w:tcPr>
            <w:tcW w:w="352" w:type="pct"/>
            <w:shd w:val="clear" w:color="auto" w:fill="FFFFFF"/>
            <w:vAlign w:val="center"/>
          </w:tcPr>
          <w:p w14:paraId="660C174D"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0,5</w:t>
            </w:r>
          </w:p>
        </w:tc>
        <w:tc>
          <w:tcPr>
            <w:tcW w:w="395" w:type="pct"/>
            <w:shd w:val="clear" w:color="auto" w:fill="FFFFFF"/>
            <w:vAlign w:val="center"/>
          </w:tcPr>
          <w:p w14:paraId="78E6D4C3"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0,2</w:t>
            </w:r>
          </w:p>
        </w:tc>
        <w:tc>
          <w:tcPr>
            <w:tcW w:w="375" w:type="pct"/>
            <w:shd w:val="clear" w:color="auto" w:fill="FFFFFF"/>
            <w:vAlign w:val="center"/>
          </w:tcPr>
          <w:p w14:paraId="4A7D3D57"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0,0</w:t>
            </w:r>
          </w:p>
        </w:tc>
        <w:tc>
          <w:tcPr>
            <w:tcW w:w="377" w:type="pct"/>
            <w:shd w:val="clear" w:color="auto" w:fill="FFFFFF"/>
            <w:vAlign w:val="center"/>
          </w:tcPr>
          <w:p w14:paraId="41A7203A"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0,7</w:t>
            </w:r>
          </w:p>
        </w:tc>
        <w:tc>
          <w:tcPr>
            <w:tcW w:w="385" w:type="pct"/>
            <w:shd w:val="clear" w:color="auto" w:fill="FFFFFF"/>
            <w:vAlign w:val="center"/>
          </w:tcPr>
          <w:p w14:paraId="438C20F2"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0,0</w:t>
            </w:r>
          </w:p>
        </w:tc>
        <w:tc>
          <w:tcPr>
            <w:tcW w:w="347" w:type="pct"/>
            <w:shd w:val="clear" w:color="auto" w:fill="FFFFFF"/>
            <w:vAlign w:val="center"/>
          </w:tcPr>
          <w:p w14:paraId="71D8AF84"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p>
        </w:tc>
        <w:tc>
          <w:tcPr>
            <w:tcW w:w="415" w:type="pct"/>
            <w:shd w:val="clear" w:color="auto" w:fill="FFFFFF"/>
            <w:vAlign w:val="center"/>
          </w:tcPr>
          <w:p w14:paraId="20D23F5C"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p>
        </w:tc>
      </w:tr>
      <w:tr w:rsidR="0047261E" w:rsidRPr="0047261E" w14:paraId="48430BBA" w14:textId="77777777" w:rsidTr="0047261E">
        <w:trPr>
          <w:trHeight w:val="518"/>
        </w:trPr>
        <w:tc>
          <w:tcPr>
            <w:tcW w:w="1499" w:type="pct"/>
            <w:shd w:val="clear" w:color="auto" w:fill="FFFFFF"/>
            <w:vAlign w:val="center"/>
          </w:tcPr>
          <w:p w14:paraId="631731D8" w14:textId="77777777" w:rsidR="0047261E" w:rsidRPr="0047261E" w:rsidRDefault="0047261E" w:rsidP="0047261E">
            <w:pPr>
              <w:widowControl w:val="0"/>
              <w:suppressAutoHyphens/>
              <w:autoSpaceDN w:val="0"/>
              <w:ind w:firstLine="112"/>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Непродовольственные товары в % к соотв. периоду предыдущего года</w:t>
            </w:r>
          </w:p>
        </w:tc>
        <w:tc>
          <w:tcPr>
            <w:tcW w:w="226" w:type="pct"/>
            <w:shd w:val="clear" w:color="auto" w:fill="FFFFFF"/>
            <w:vAlign w:val="center"/>
          </w:tcPr>
          <w:p w14:paraId="0BE00829"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3,4</w:t>
            </w:r>
          </w:p>
        </w:tc>
        <w:tc>
          <w:tcPr>
            <w:tcW w:w="302" w:type="pct"/>
            <w:shd w:val="clear" w:color="auto" w:fill="FFFFFF"/>
            <w:vAlign w:val="center"/>
          </w:tcPr>
          <w:p w14:paraId="2CA5B475"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3,4</w:t>
            </w:r>
          </w:p>
        </w:tc>
        <w:tc>
          <w:tcPr>
            <w:tcW w:w="326" w:type="pct"/>
            <w:shd w:val="clear" w:color="auto" w:fill="FFFFFF"/>
            <w:vAlign w:val="center"/>
          </w:tcPr>
          <w:p w14:paraId="6C08C2BE"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2,8</w:t>
            </w:r>
          </w:p>
        </w:tc>
        <w:tc>
          <w:tcPr>
            <w:tcW w:w="352" w:type="pct"/>
            <w:shd w:val="clear" w:color="auto" w:fill="FFFFFF"/>
            <w:vAlign w:val="center"/>
          </w:tcPr>
          <w:p w14:paraId="2723F5DA"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4,3</w:t>
            </w:r>
          </w:p>
        </w:tc>
        <w:tc>
          <w:tcPr>
            <w:tcW w:w="395" w:type="pct"/>
            <w:shd w:val="clear" w:color="auto" w:fill="FFFFFF"/>
            <w:vAlign w:val="center"/>
          </w:tcPr>
          <w:p w14:paraId="299B655E"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3,4</w:t>
            </w:r>
          </w:p>
        </w:tc>
        <w:tc>
          <w:tcPr>
            <w:tcW w:w="375" w:type="pct"/>
            <w:shd w:val="clear" w:color="auto" w:fill="FFFFFF"/>
            <w:vAlign w:val="center"/>
          </w:tcPr>
          <w:p w14:paraId="498C9154"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4,1</w:t>
            </w:r>
          </w:p>
        </w:tc>
        <w:tc>
          <w:tcPr>
            <w:tcW w:w="377" w:type="pct"/>
            <w:shd w:val="clear" w:color="auto" w:fill="FFFFFF"/>
            <w:vAlign w:val="center"/>
          </w:tcPr>
          <w:p w14:paraId="30B0169D"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3,3</w:t>
            </w:r>
          </w:p>
        </w:tc>
        <w:tc>
          <w:tcPr>
            <w:tcW w:w="385" w:type="pct"/>
            <w:shd w:val="clear" w:color="auto" w:fill="FFFFFF"/>
            <w:vAlign w:val="center"/>
          </w:tcPr>
          <w:p w14:paraId="6E60495E"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2,8</w:t>
            </w:r>
          </w:p>
        </w:tc>
        <w:tc>
          <w:tcPr>
            <w:tcW w:w="347" w:type="pct"/>
            <w:shd w:val="clear" w:color="auto" w:fill="FFFFFF"/>
            <w:vAlign w:val="center"/>
          </w:tcPr>
          <w:p w14:paraId="7EEB8E29"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1,5</w:t>
            </w:r>
          </w:p>
        </w:tc>
        <w:tc>
          <w:tcPr>
            <w:tcW w:w="415" w:type="pct"/>
            <w:shd w:val="clear" w:color="auto" w:fill="FFFFFF"/>
            <w:vAlign w:val="center"/>
          </w:tcPr>
          <w:p w14:paraId="2DB9B434"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-4,2</w:t>
            </w:r>
          </w:p>
        </w:tc>
      </w:tr>
      <w:tr w:rsidR="0047261E" w:rsidRPr="0047261E" w14:paraId="68324F49" w14:textId="77777777" w:rsidTr="0047261E">
        <w:trPr>
          <w:trHeight w:val="264"/>
        </w:trPr>
        <w:tc>
          <w:tcPr>
            <w:tcW w:w="1499" w:type="pct"/>
            <w:shd w:val="clear" w:color="auto" w:fill="FFFFFF"/>
            <w:vAlign w:val="center"/>
          </w:tcPr>
          <w:p w14:paraId="4F25BA6F" w14:textId="77777777" w:rsidR="0047261E" w:rsidRPr="0047261E" w:rsidRDefault="0047261E" w:rsidP="0047261E">
            <w:pPr>
              <w:widowControl w:val="0"/>
              <w:suppressAutoHyphens/>
              <w:autoSpaceDN w:val="0"/>
              <w:ind w:firstLine="112"/>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в % к предыдущему периоду (SA)</w:t>
            </w:r>
          </w:p>
        </w:tc>
        <w:tc>
          <w:tcPr>
            <w:tcW w:w="226" w:type="pct"/>
            <w:shd w:val="clear" w:color="auto" w:fill="FFFFFF"/>
            <w:vAlign w:val="center"/>
          </w:tcPr>
          <w:p w14:paraId="756E0252"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p>
        </w:tc>
        <w:tc>
          <w:tcPr>
            <w:tcW w:w="302" w:type="pct"/>
            <w:shd w:val="clear" w:color="auto" w:fill="FFFFFF"/>
            <w:vAlign w:val="center"/>
          </w:tcPr>
          <w:p w14:paraId="185C075E"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0,6</w:t>
            </w:r>
          </w:p>
        </w:tc>
        <w:tc>
          <w:tcPr>
            <w:tcW w:w="326" w:type="pct"/>
            <w:shd w:val="clear" w:color="auto" w:fill="FFFFFF"/>
            <w:vAlign w:val="center"/>
          </w:tcPr>
          <w:p w14:paraId="1D935321"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-0,2</w:t>
            </w:r>
          </w:p>
        </w:tc>
        <w:tc>
          <w:tcPr>
            <w:tcW w:w="352" w:type="pct"/>
            <w:shd w:val="clear" w:color="auto" w:fill="FFFFFF"/>
            <w:vAlign w:val="center"/>
          </w:tcPr>
          <w:p w14:paraId="37E8D262"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0,5</w:t>
            </w:r>
          </w:p>
        </w:tc>
        <w:tc>
          <w:tcPr>
            <w:tcW w:w="395" w:type="pct"/>
            <w:shd w:val="clear" w:color="auto" w:fill="FFFFFF"/>
            <w:vAlign w:val="center"/>
          </w:tcPr>
          <w:p w14:paraId="79DBD8AF"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0,0</w:t>
            </w:r>
          </w:p>
        </w:tc>
        <w:tc>
          <w:tcPr>
            <w:tcW w:w="375" w:type="pct"/>
            <w:shd w:val="clear" w:color="auto" w:fill="FFFFFF"/>
            <w:vAlign w:val="center"/>
          </w:tcPr>
          <w:p w14:paraId="02149EAD"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1,0</w:t>
            </w:r>
          </w:p>
        </w:tc>
        <w:tc>
          <w:tcPr>
            <w:tcW w:w="377" w:type="pct"/>
            <w:shd w:val="clear" w:color="auto" w:fill="FFFFFF"/>
            <w:vAlign w:val="center"/>
          </w:tcPr>
          <w:p w14:paraId="6C17F1F1"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0,8</w:t>
            </w:r>
          </w:p>
        </w:tc>
        <w:tc>
          <w:tcPr>
            <w:tcW w:w="385" w:type="pct"/>
            <w:shd w:val="clear" w:color="auto" w:fill="FFFFFF"/>
            <w:vAlign w:val="center"/>
          </w:tcPr>
          <w:p w14:paraId="6DA99300"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1,0</w:t>
            </w:r>
          </w:p>
        </w:tc>
        <w:tc>
          <w:tcPr>
            <w:tcW w:w="347" w:type="pct"/>
            <w:shd w:val="clear" w:color="auto" w:fill="FFFFFF"/>
            <w:vAlign w:val="center"/>
          </w:tcPr>
          <w:p w14:paraId="1D795FDD"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p>
        </w:tc>
        <w:tc>
          <w:tcPr>
            <w:tcW w:w="415" w:type="pct"/>
            <w:shd w:val="clear" w:color="auto" w:fill="FFFFFF"/>
            <w:vAlign w:val="center"/>
          </w:tcPr>
          <w:p w14:paraId="545F544F"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p>
        </w:tc>
      </w:tr>
      <w:tr w:rsidR="0047261E" w:rsidRPr="0047261E" w14:paraId="45B7E33D" w14:textId="77777777" w:rsidTr="0047261E">
        <w:trPr>
          <w:trHeight w:val="523"/>
        </w:trPr>
        <w:tc>
          <w:tcPr>
            <w:tcW w:w="1499" w:type="pct"/>
            <w:shd w:val="clear" w:color="auto" w:fill="FFFFFF"/>
            <w:vAlign w:val="center"/>
          </w:tcPr>
          <w:p w14:paraId="6D1895A2" w14:textId="77777777" w:rsidR="0047261E" w:rsidRPr="0047261E" w:rsidRDefault="0047261E" w:rsidP="0047261E">
            <w:pPr>
              <w:widowControl w:val="0"/>
              <w:suppressAutoHyphens/>
              <w:autoSpaceDN w:val="0"/>
              <w:ind w:firstLine="112"/>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Платные услуги в % к соотв. периоду предыдущего года</w:t>
            </w:r>
          </w:p>
        </w:tc>
        <w:tc>
          <w:tcPr>
            <w:tcW w:w="226" w:type="pct"/>
            <w:shd w:val="clear" w:color="auto" w:fill="FFFFFF"/>
            <w:vAlign w:val="center"/>
          </w:tcPr>
          <w:p w14:paraId="63315A31"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2,5</w:t>
            </w:r>
          </w:p>
        </w:tc>
        <w:tc>
          <w:tcPr>
            <w:tcW w:w="302" w:type="pct"/>
            <w:shd w:val="clear" w:color="auto" w:fill="FFFFFF"/>
            <w:vAlign w:val="center"/>
          </w:tcPr>
          <w:p w14:paraId="775DEAD4"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1,9</w:t>
            </w:r>
          </w:p>
        </w:tc>
        <w:tc>
          <w:tcPr>
            <w:tcW w:w="326" w:type="pct"/>
            <w:shd w:val="clear" w:color="auto" w:fill="FFFFFF"/>
            <w:vAlign w:val="center"/>
          </w:tcPr>
          <w:p w14:paraId="6906CFD5"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1,6</w:t>
            </w:r>
          </w:p>
        </w:tc>
        <w:tc>
          <w:tcPr>
            <w:tcW w:w="352" w:type="pct"/>
            <w:shd w:val="clear" w:color="auto" w:fill="FFFFFF"/>
            <w:vAlign w:val="center"/>
          </w:tcPr>
          <w:p w14:paraId="4560124B"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2,3</w:t>
            </w:r>
          </w:p>
        </w:tc>
        <w:tc>
          <w:tcPr>
            <w:tcW w:w="395" w:type="pct"/>
            <w:shd w:val="clear" w:color="auto" w:fill="FFFFFF"/>
            <w:vAlign w:val="center"/>
          </w:tcPr>
          <w:p w14:paraId="11AAA103"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1,8</w:t>
            </w:r>
          </w:p>
        </w:tc>
        <w:tc>
          <w:tcPr>
            <w:tcW w:w="375" w:type="pct"/>
            <w:shd w:val="clear" w:color="auto" w:fill="FFFFFF"/>
            <w:vAlign w:val="center"/>
          </w:tcPr>
          <w:p w14:paraId="59EFBACB"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2,8</w:t>
            </w:r>
          </w:p>
        </w:tc>
        <w:tc>
          <w:tcPr>
            <w:tcW w:w="377" w:type="pct"/>
            <w:shd w:val="clear" w:color="auto" w:fill="FFFFFF"/>
            <w:vAlign w:val="center"/>
          </w:tcPr>
          <w:p w14:paraId="5CDDDB41"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4,0</w:t>
            </w:r>
          </w:p>
        </w:tc>
        <w:tc>
          <w:tcPr>
            <w:tcW w:w="385" w:type="pct"/>
            <w:shd w:val="clear" w:color="auto" w:fill="FFFFFF"/>
            <w:vAlign w:val="center"/>
          </w:tcPr>
          <w:p w14:paraId="463140D4"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2,0</w:t>
            </w:r>
          </w:p>
        </w:tc>
        <w:tc>
          <w:tcPr>
            <w:tcW w:w="347" w:type="pct"/>
            <w:shd w:val="clear" w:color="auto" w:fill="FFFFFF"/>
            <w:vAlign w:val="center"/>
          </w:tcPr>
          <w:p w14:paraId="6A90D44A"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1,4</w:t>
            </w:r>
          </w:p>
        </w:tc>
        <w:tc>
          <w:tcPr>
            <w:tcW w:w="415" w:type="pct"/>
            <w:shd w:val="clear" w:color="auto" w:fill="FFFFFF"/>
            <w:vAlign w:val="center"/>
          </w:tcPr>
          <w:p w14:paraId="512CFB77"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0,7</w:t>
            </w:r>
          </w:p>
        </w:tc>
      </w:tr>
      <w:tr w:rsidR="0047261E" w:rsidRPr="0047261E" w14:paraId="26C9FA9A" w14:textId="77777777" w:rsidTr="0047261E">
        <w:trPr>
          <w:trHeight w:val="240"/>
        </w:trPr>
        <w:tc>
          <w:tcPr>
            <w:tcW w:w="1499" w:type="pct"/>
            <w:shd w:val="clear" w:color="auto" w:fill="FFFFFF"/>
            <w:vAlign w:val="center"/>
          </w:tcPr>
          <w:p w14:paraId="3A95814A" w14:textId="77777777" w:rsidR="0047261E" w:rsidRPr="0047261E" w:rsidRDefault="0047261E" w:rsidP="0047261E">
            <w:pPr>
              <w:widowControl w:val="0"/>
              <w:suppressAutoHyphens/>
              <w:autoSpaceDN w:val="0"/>
              <w:ind w:firstLine="112"/>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в % к предыдущему периоду (SA)</w:t>
            </w:r>
          </w:p>
        </w:tc>
        <w:tc>
          <w:tcPr>
            <w:tcW w:w="226" w:type="pct"/>
            <w:shd w:val="clear" w:color="auto" w:fill="FFFFFF"/>
            <w:vAlign w:val="center"/>
          </w:tcPr>
          <w:p w14:paraId="148DBD77"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p>
        </w:tc>
        <w:tc>
          <w:tcPr>
            <w:tcW w:w="302" w:type="pct"/>
            <w:shd w:val="clear" w:color="auto" w:fill="FFFFFF"/>
            <w:vAlign w:val="center"/>
          </w:tcPr>
          <w:p w14:paraId="1CAA3FF2"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0,1</w:t>
            </w:r>
          </w:p>
        </w:tc>
        <w:tc>
          <w:tcPr>
            <w:tcW w:w="326" w:type="pct"/>
            <w:shd w:val="clear" w:color="auto" w:fill="FFFFFF"/>
            <w:vAlign w:val="center"/>
          </w:tcPr>
          <w:p w14:paraId="4A63E5DB"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0,0</w:t>
            </w:r>
          </w:p>
        </w:tc>
        <w:tc>
          <w:tcPr>
            <w:tcW w:w="352" w:type="pct"/>
            <w:shd w:val="clear" w:color="auto" w:fill="FFFFFF"/>
            <w:vAlign w:val="center"/>
          </w:tcPr>
          <w:p w14:paraId="7575CC36"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0,7</w:t>
            </w:r>
          </w:p>
        </w:tc>
        <w:tc>
          <w:tcPr>
            <w:tcW w:w="395" w:type="pct"/>
            <w:shd w:val="clear" w:color="auto" w:fill="FFFFFF"/>
            <w:vAlign w:val="center"/>
          </w:tcPr>
          <w:p w14:paraId="432822A9"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-0,4</w:t>
            </w:r>
          </w:p>
        </w:tc>
        <w:tc>
          <w:tcPr>
            <w:tcW w:w="375" w:type="pct"/>
            <w:shd w:val="clear" w:color="auto" w:fill="FFFFFF"/>
            <w:vAlign w:val="center"/>
          </w:tcPr>
          <w:p w14:paraId="75C68EB9"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0,1</w:t>
            </w:r>
          </w:p>
        </w:tc>
        <w:tc>
          <w:tcPr>
            <w:tcW w:w="377" w:type="pct"/>
            <w:shd w:val="clear" w:color="auto" w:fill="FFFFFF"/>
            <w:vAlign w:val="center"/>
          </w:tcPr>
          <w:p w14:paraId="5D5E4D89"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1,0</w:t>
            </w:r>
          </w:p>
        </w:tc>
        <w:tc>
          <w:tcPr>
            <w:tcW w:w="385" w:type="pct"/>
            <w:shd w:val="clear" w:color="auto" w:fill="FFFFFF"/>
            <w:vAlign w:val="center"/>
          </w:tcPr>
          <w:p w14:paraId="05D16434"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0,8</w:t>
            </w:r>
          </w:p>
        </w:tc>
        <w:tc>
          <w:tcPr>
            <w:tcW w:w="347" w:type="pct"/>
            <w:shd w:val="clear" w:color="auto" w:fill="FFFFFF"/>
            <w:vAlign w:val="center"/>
          </w:tcPr>
          <w:p w14:paraId="4CFDD3CA"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p>
        </w:tc>
        <w:tc>
          <w:tcPr>
            <w:tcW w:w="415" w:type="pct"/>
            <w:shd w:val="clear" w:color="auto" w:fill="FFFFFF"/>
            <w:vAlign w:val="center"/>
          </w:tcPr>
          <w:p w14:paraId="40B2CF5D"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p>
        </w:tc>
      </w:tr>
      <w:tr w:rsidR="0047261E" w:rsidRPr="0047261E" w14:paraId="63E0DB73" w14:textId="77777777" w:rsidTr="0047261E">
        <w:trPr>
          <w:trHeight w:val="211"/>
        </w:trPr>
        <w:tc>
          <w:tcPr>
            <w:tcW w:w="5000" w:type="pct"/>
            <w:gridSpan w:val="11"/>
            <w:shd w:val="clear" w:color="auto" w:fill="FFFFFF"/>
            <w:vAlign w:val="center"/>
          </w:tcPr>
          <w:p w14:paraId="2D9FBB4A" w14:textId="77777777" w:rsidR="0047261E" w:rsidRPr="0047261E" w:rsidRDefault="0047261E" w:rsidP="0047261E">
            <w:pPr>
              <w:widowControl w:val="0"/>
              <w:suppressAutoHyphens/>
              <w:autoSpaceDN w:val="0"/>
              <w:ind w:firstLine="709"/>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Источник: Росстат, расчеты Минэкономразвития России.</w:t>
            </w:r>
          </w:p>
        </w:tc>
      </w:tr>
    </w:tbl>
    <w:p w14:paraId="444FB540" w14:textId="77777777" w:rsidR="0047261E" w:rsidRPr="0047261E" w:rsidRDefault="0047261E" w:rsidP="0047261E">
      <w:pPr>
        <w:widowControl w:val="0"/>
        <w:suppressAutoHyphens/>
        <w:autoSpaceDN w:val="0"/>
        <w:ind w:firstLine="0"/>
        <w:textAlignment w:val="baseline"/>
        <w:rPr>
          <w:rFonts w:eastAsia="Times New Roman" w:cs="Times New Roman"/>
          <w:kern w:val="3"/>
          <w:sz w:val="28"/>
          <w:szCs w:val="24"/>
          <w:lang w:eastAsia="ru-RU" w:bidi="hi-IN"/>
        </w:rPr>
      </w:pPr>
    </w:p>
    <w:p w14:paraId="40E9365C" w14:textId="505C164C" w:rsidR="0047261E" w:rsidRPr="0047261E" w:rsidRDefault="0047261E" w:rsidP="00763AD2">
      <w:pPr>
        <w:pStyle w:val="afffffff0"/>
      </w:pPr>
      <w:r w:rsidRPr="0047261E">
        <w:t xml:space="preserve">Таблица </w:t>
      </w:r>
      <w:r w:rsidR="00A90944">
        <w:fldChar w:fldCharType="begin"/>
      </w:r>
      <w:r w:rsidR="00A90944">
        <w:instrText xml:space="preserve"> SEQ Таблица \* ARABIC </w:instrText>
      </w:r>
      <w:r w:rsidR="00A90944">
        <w:fldChar w:fldCharType="separate"/>
      </w:r>
      <w:r w:rsidR="00FD2769">
        <w:rPr>
          <w:noProof/>
        </w:rPr>
        <w:t>6</w:t>
      </w:r>
      <w:r w:rsidR="00A90944">
        <w:rPr>
          <w:noProof/>
        </w:rPr>
        <w:fldChar w:fldCharType="end"/>
      </w:r>
      <w:r w:rsidRPr="0047261E">
        <w:t>. Показатели инвестиционной активности</w:t>
      </w:r>
    </w:p>
    <w:tbl>
      <w:tblPr>
        <w:tblOverlap w:val="never"/>
        <w:tblW w:w="5000" w:type="pct"/>
        <w:tblCellMar>
          <w:left w:w="10" w:type="dxa"/>
          <w:right w:w="10" w:type="dxa"/>
        </w:tblCellMar>
        <w:tblLook w:val="04A0" w:firstRow="1" w:lastRow="0" w:firstColumn="1" w:lastColumn="0" w:noHBand="0" w:noVBand="1"/>
      </w:tblPr>
      <w:tblGrid>
        <w:gridCol w:w="3027"/>
        <w:gridCol w:w="811"/>
        <w:gridCol w:w="790"/>
        <w:gridCol w:w="794"/>
        <w:gridCol w:w="794"/>
        <w:gridCol w:w="790"/>
        <w:gridCol w:w="804"/>
        <w:gridCol w:w="780"/>
        <w:gridCol w:w="790"/>
        <w:gridCol w:w="700"/>
      </w:tblGrid>
      <w:tr w:rsidR="0047261E" w:rsidRPr="0047261E" w14:paraId="4818B0C2" w14:textId="77777777" w:rsidTr="0047261E">
        <w:trPr>
          <w:trHeight w:val="235"/>
          <w:tblHeader/>
        </w:trPr>
        <w:tc>
          <w:tcPr>
            <w:tcW w:w="1501" w:type="pct"/>
            <w:tcBorders>
              <w:top w:val="single" w:sz="4" w:space="0" w:color="auto"/>
              <w:left w:val="single" w:sz="4" w:space="0" w:color="auto"/>
              <w:bottom w:val="single" w:sz="4" w:space="0" w:color="auto"/>
              <w:right w:val="single" w:sz="4" w:space="0" w:color="auto"/>
            </w:tcBorders>
            <w:shd w:val="clear" w:color="auto" w:fill="FFFFFF"/>
          </w:tcPr>
          <w:p w14:paraId="4DD746A8"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p>
        </w:tc>
        <w:tc>
          <w:tcPr>
            <w:tcW w:w="402" w:type="pct"/>
            <w:tcBorders>
              <w:top w:val="single" w:sz="4" w:space="0" w:color="auto"/>
              <w:left w:val="single" w:sz="4" w:space="0" w:color="auto"/>
              <w:bottom w:val="single" w:sz="4" w:space="0" w:color="auto"/>
              <w:right w:val="single" w:sz="4" w:space="0" w:color="auto"/>
            </w:tcBorders>
            <w:shd w:val="clear" w:color="auto" w:fill="FFFFFF"/>
            <w:vAlign w:val="center"/>
          </w:tcPr>
          <w:p w14:paraId="56BE6FB3"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2018</w:t>
            </w:r>
          </w:p>
        </w:tc>
        <w:tc>
          <w:tcPr>
            <w:tcW w:w="392" w:type="pct"/>
            <w:tcBorders>
              <w:top w:val="single" w:sz="4" w:space="0" w:color="auto"/>
              <w:left w:val="single" w:sz="4" w:space="0" w:color="auto"/>
              <w:bottom w:val="single" w:sz="4" w:space="0" w:color="auto"/>
              <w:right w:val="single" w:sz="4" w:space="0" w:color="auto"/>
            </w:tcBorders>
            <w:shd w:val="clear" w:color="auto" w:fill="FFFFFF"/>
            <w:vAlign w:val="center"/>
          </w:tcPr>
          <w:p w14:paraId="62D0099B"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4кв18</w:t>
            </w:r>
          </w:p>
        </w:tc>
        <w:tc>
          <w:tcPr>
            <w:tcW w:w="394" w:type="pct"/>
            <w:tcBorders>
              <w:top w:val="single" w:sz="4" w:space="0" w:color="auto"/>
              <w:left w:val="single" w:sz="4" w:space="0" w:color="auto"/>
              <w:bottom w:val="single" w:sz="4" w:space="0" w:color="auto"/>
              <w:right w:val="single" w:sz="4" w:space="0" w:color="auto"/>
            </w:tcBorders>
            <w:shd w:val="clear" w:color="auto" w:fill="FFFFFF"/>
            <w:vAlign w:val="center"/>
          </w:tcPr>
          <w:p w14:paraId="620D6882"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дек.18</w:t>
            </w:r>
          </w:p>
        </w:tc>
        <w:tc>
          <w:tcPr>
            <w:tcW w:w="394" w:type="pct"/>
            <w:tcBorders>
              <w:top w:val="single" w:sz="4" w:space="0" w:color="auto"/>
              <w:left w:val="single" w:sz="4" w:space="0" w:color="auto"/>
              <w:bottom w:val="single" w:sz="4" w:space="0" w:color="auto"/>
              <w:right w:val="single" w:sz="4" w:space="0" w:color="auto"/>
            </w:tcBorders>
            <w:shd w:val="clear" w:color="auto" w:fill="FFFFFF"/>
            <w:vAlign w:val="center"/>
          </w:tcPr>
          <w:p w14:paraId="376F1DF7"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ноя.18</w:t>
            </w:r>
          </w:p>
        </w:tc>
        <w:tc>
          <w:tcPr>
            <w:tcW w:w="392" w:type="pct"/>
            <w:tcBorders>
              <w:top w:val="single" w:sz="4" w:space="0" w:color="auto"/>
              <w:left w:val="single" w:sz="4" w:space="0" w:color="auto"/>
              <w:bottom w:val="single" w:sz="4" w:space="0" w:color="auto"/>
              <w:right w:val="single" w:sz="4" w:space="0" w:color="auto"/>
            </w:tcBorders>
            <w:shd w:val="clear" w:color="auto" w:fill="FFFFFF"/>
            <w:vAlign w:val="center"/>
          </w:tcPr>
          <w:p w14:paraId="3CDD654C"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окт.18</w:t>
            </w:r>
          </w:p>
        </w:tc>
        <w:tc>
          <w:tcPr>
            <w:tcW w:w="399" w:type="pct"/>
            <w:tcBorders>
              <w:top w:val="single" w:sz="4" w:space="0" w:color="auto"/>
              <w:left w:val="single" w:sz="4" w:space="0" w:color="auto"/>
              <w:bottom w:val="single" w:sz="4" w:space="0" w:color="auto"/>
              <w:right w:val="single" w:sz="4" w:space="0" w:color="auto"/>
            </w:tcBorders>
            <w:shd w:val="clear" w:color="auto" w:fill="FFFFFF"/>
            <w:vAlign w:val="center"/>
          </w:tcPr>
          <w:p w14:paraId="1483E2EA"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3кв18</w:t>
            </w:r>
          </w:p>
        </w:tc>
        <w:tc>
          <w:tcPr>
            <w:tcW w:w="387" w:type="pct"/>
            <w:tcBorders>
              <w:top w:val="single" w:sz="4" w:space="0" w:color="auto"/>
              <w:left w:val="single" w:sz="4" w:space="0" w:color="auto"/>
              <w:bottom w:val="single" w:sz="4" w:space="0" w:color="auto"/>
              <w:right w:val="single" w:sz="4" w:space="0" w:color="auto"/>
            </w:tcBorders>
            <w:shd w:val="clear" w:color="auto" w:fill="FFFFFF"/>
            <w:vAlign w:val="center"/>
          </w:tcPr>
          <w:p w14:paraId="22A4D75E"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2кв18</w:t>
            </w:r>
          </w:p>
        </w:tc>
        <w:tc>
          <w:tcPr>
            <w:tcW w:w="392" w:type="pct"/>
            <w:tcBorders>
              <w:top w:val="single" w:sz="4" w:space="0" w:color="auto"/>
              <w:left w:val="single" w:sz="4" w:space="0" w:color="auto"/>
              <w:bottom w:val="single" w:sz="4" w:space="0" w:color="auto"/>
              <w:right w:val="single" w:sz="4" w:space="0" w:color="auto"/>
            </w:tcBorders>
            <w:shd w:val="clear" w:color="auto" w:fill="FFFFFF"/>
            <w:vAlign w:val="center"/>
          </w:tcPr>
          <w:p w14:paraId="28E6F902"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1кв18</w:t>
            </w:r>
          </w:p>
        </w:tc>
        <w:tc>
          <w:tcPr>
            <w:tcW w:w="347" w:type="pct"/>
            <w:tcBorders>
              <w:top w:val="single" w:sz="4" w:space="0" w:color="auto"/>
              <w:left w:val="single" w:sz="4" w:space="0" w:color="auto"/>
              <w:bottom w:val="single" w:sz="4" w:space="0" w:color="auto"/>
              <w:right w:val="single" w:sz="4" w:space="0" w:color="auto"/>
            </w:tcBorders>
            <w:shd w:val="clear" w:color="auto" w:fill="FFFFFF"/>
            <w:vAlign w:val="center"/>
          </w:tcPr>
          <w:p w14:paraId="3FEB7C9F"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2017</w:t>
            </w:r>
          </w:p>
        </w:tc>
      </w:tr>
      <w:tr w:rsidR="0047261E" w:rsidRPr="0047261E" w14:paraId="688A5EF7" w14:textId="77777777" w:rsidTr="0047261E">
        <w:trPr>
          <w:trHeight w:val="182"/>
        </w:trPr>
        <w:tc>
          <w:tcPr>
            <w:tcW w:w="1501" w:type="pct"/>
            <w:tcBorders>
              <w:top w:val="single" w:sz="4" w:space="0" w:color="auto"/>
              <w:left w:val="single" w:sz="4" w:space="0" w:color="auto"/>
              <w:bottom w:val="single" w:sz="4" w:space="0" w:color="auto"/>
              <w:right w:val="single" w:sz="4" w:space="0" w:color="auto"/>
            </w:tcBorders>
            <w:shd w:val="clear" w:color="auto" w:fill="FFFFFF"/>
          </w:tcPr>
          <w:p w14:paraId="7641E9E0"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Инвестиции в основной капитал</w:t>
            </w:r>
          </w:p>
        </w:tc>
        <w:tc>
          <w:tcPr>
            <w:tcW w:w="402" w:type="pct"/>
            <w:tcBorders>
              <w:top w:val="single" w:sz="4" w:space="0" w:color="auto"/>
              <w:left w:val="single" w:sz="4" w:space="0" w:color="auto"/>
              <w:bottom w:val="single" w:sz="4" w:space="0" w:color="auto"/>
              <w:right w:val="single" w:sz="4" w:space="0" w:color="auto"/>
            </w:tcBorders>
            <w:shd w:val="clear" w:color="auto" w:fill="FFFFFF"/>
            <w:vAlign w:val="center"/>
          </w:tcPr>
          <w:p w14:paraId="59B629B0"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p>
        </w:tc>
        <w:tc>
          <w:tcPr>
            <w:tcW w:w="392" w:type="pct"/>
            <w:tcBorders>
              <w:top w:val="single" w:sz="4" w:space="0" w:color="auto"/>
              <w:left w:val="single" w:sz="4" w:space="0" w:color="auto"/>
              <w:bottom w:val="single" w:sz="4" w:space="0" w:color="auto"/>
              <w:right w:val="single" w:sz="4" w:space="0" w:color="auto"/>
            </w:tcBorders>
            <w:shd w:val="clear" w:color="auto" w:fill="FFFFFF"/>
            <w:vAlign w:val="center"/>
          </w:tcPr>
          <w:p w14:paraId="3C6A33C2"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p>
        </w:tc>
        <w:tc>
          <w:tcPr>
            <w:tcW w:w="394" w:type="pct"/>
            <w:tcBorders>
              <w:top w:val="single" w:sz="4" w:space="0" w:color="auto"/>
              <w:left w:val="single" w:sz="4" w:space="0" w:color="auto"/>
              <w:bottom w:val="single" w:sz="4" w:space="0" w:color="auto"/>
              <w:right w:val="single" w:sz="4" w:space="0" w:color="auto"/>
            </w:tcBorders>
            <w:shd w:val="clear" w:color="auto" w:fill="FFFFFF"/>
            <w:vAlign w:val="center"/>
          </w:tcPr>
          <w:p w14:paraId="515065C1"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p>
        </w:tc>
        <w:tc>
          <w:tcPr>
            <w:tcW w:w="394" w:type="pct"/>
            <w:tcBorders>
              <w:top w:val="single" w:sz="4" w:space="0" w:color="auto"/>
              <w:left w:val="single" w:sz="4" w:space="0" w:color="auto"/>
              <w:bottom w:val="single" w:sz="4" w:space="0" w:color="auto"/>
              <w:right w:val="single" w:sz="4" w:space="0" w:color="auto"/>
            </w:tcBorders>
            <w:shd w:val="clear" w:color="auto" w:fill="FFFFFF"/>
            <w:vAlign w:val="center"/>
          </w:tcPr>
          <w:p w14:paraId="145C7382"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p>
        </w:tc>
        <w:tc>
          <w:tcPr>
            <w:tcW w:w="392" w:type="pct"/>
            <w:tcBorders>
              <w:top w:val="single" w:sz="4" w:space="0" w:color="auto"/>
              <w:left w:val="single" w:sz="4" w:space="0" w:color="auto"/>
              <w:bottom w:val="single" w:sz="4" w:space="0" w:color="auto"/>
              <w:right w:val="single" w:sz="4" w:space="0" w:color="auto"/>
            </w:tcBorders>
            <w:shd w:val="clear" w:color="auto" w:fill="FFFFFF"/>
            <w:vAlign w:val="center"/>
          </w:tcPr>
          <w:p w14:paraId="39C80643"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p>
        </w:tc>
        <w:tc>
          <w:tcPr>
            <w:tcW w:w="399" w:type="pct"/>
            <w:tcBorders>
              <w:top w:val="single" w:sz="4" w:space="0" w:color="auto"/>
              <w:left w:val="single" w:sz="4" w:space="0" w:color="auto"/>
              <w:bottom w:val="single" w:sz="4" w:space="0" w:color="auto"/>
              <w:right w:val="single" w:sz="4" w:space="0" w:color="auto"/>
            </w:tcBorders>
            <w:shd w:val="clear" w:color="auto" w:fill="FFFFFF"/>
            <w:vAlign w:val="center"/>
          </w:tcPr>
          <w:p w14:paraId="49A50F7B"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p>
        </w:tc>
        <w:tc>
          <w:tcPr>
            <w:tcW w:w="387" w:type="pct"/>
            <w:tcBorders>
              <w:top w:val="single" w:sz="4" w:space="0" w:color="auto"/>
              <w:left w:val="single" w:sz="4" w:space="0" w:color="auto"/>
              <w:bottom w:val="single" w:sz="4" w:space="0" w:color="auto"/>
              <w:right w:val="single" w:sz="4" w:space="0" w:color="auto"/>
            </w:tcBorders>
            <w:shd w:val="clear" w:color="auto" w:fill="FFFFFF"/>
            <w:vAlign w:val="center"/>
          </w:tcPr>
          <w:p w14:paraId="5C4FC509"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p>
        </w:tc>
        <w:tc>
          <w:tcPr>
            <w:tcW w:w="392" w:type="pct"/>
            <w:tcBorders>
              <w:top w:val="single" w:sz="4" w:space="0" w:color="auto"/>
              <w:left w:val="single" w:sz="4" w:space="0" w:color="auto"/>
              <w:bottom w:val="single" w:sz="4" w:space="0" w:color="auto"/>
              <w:right w:val="single" w:sz="4" w:space="0" w:color="auto"/>
            </w:tcBorders>
            <w:shd w:val="clear" w:color="auto" w:fill="FFFFFF"/>
            <w:vAlign w:val="center"/>
          </w:tcPr>
          <w:p w14:paraId="7B46E4ED"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p>
        </w:tc>
        <w:tc>
          <w:tcPr>
            <w:tcW w:w="347" w:type="pct"/>
            <w:tcBorders>
              <w:top w:val="single" w:sz="4" w:space="0" w:color="auto"/>
              <w:left w:val="single" w:sz="4" w:space="0" w:color="auto"/>
              <w:bottom w:val="single" w:sz="4" w:space="0" w:color="auto"/>
              <w:right w:val="single" w:sz="4" w:space="0" w:color="auto"/>
            </w:tcBorders>
            <w:shd w:val="clear" w:color="auto" w:fill="FFFFFF"/>
            <w:vAlign w:val="center"/>
          </w:tcPr>
          <w:p w14:paraId="69C93F32"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p>
        </w:tc>
      </w:tr>
      <w:tr w:rsidR="0047261E" w:rsidRPr="0047261E" w14:paraId="4BF745C3" w14:textId="77777777" w:rsidTr="0047261E">
        <w:trPr>
          <w:trHeight w:val="192"/>
        </w:trPr>
        <w:tc>
          <w:tcPr>
            <w:tcW w:w="1501" w:type="pct"/>
            <w:tcBorders>
              <w:top w:val="single" w:sz="4" w:space="0" w:color="auto"/>
              <w:left w:val="single" w:sz="4" w:space="0" w:color="auto"/>
              <w:bottom w:val="single" w:sz="4" w:space="0" w:color="auto"/>
              <w:right w:val="single" w:sz="4" w:space="0" w:color="auto"/>
            </w:tcBorders>
            <w:shd w:val="clear" w:color="auto" w:fill="FFFFFF"/>
          </w:tcPr>
          <w:p w14:paraId="1F6A28F6"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 к соответствующему периоду</w:t>
            </w:r>
          </w:p>
        </w:tc>
        <w:tc>
          <w:tcPr>
            <w:tcW w:w="402" w:type="pct"/>
            <w:tcBorders>
              <w:top w:val="single" w:sz="4" w:space="0" w:color="auto"/>
              <w:left w:val="single" w:sz="4" w:space="0" w:color="auto"/>
              <w:bottom w:val="single" w:sz="4" w:space="0" w:color="auto"/>
              <w:right w:val="single" w:sz="4" w:space="0" w:color="auto"/>
            </w:tcBorders>
            <w:shd w:val="clear" w:color="auto" w:fill="FFFFFF"/>
            <w:vAlign w:val="center"/>
          </w:tcPr>
          <w:p w14:paraId="46B2292D"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p>
        </w:tc>
        <w:tc>
          <w:tcPr>
            <w:tcW w:w="392" w:type="pct"/>
            <w:tcBorders>
              <w:top w:val="single" w:sz="4" w:space="0" w:color="auto"/>
              <w:left w:val="single" w:sz="4" w:space="0" w:color="auto"/>
              <w:bottom w:val="single" w:sz="4" w:space="0" w:color="auto"/>
              <w:right w:val="single" w:sz="4" w:space="0" w:color="auto"/>
            </w:tcBorders>
            <w:shd w:val="clear" w:color="auto" w:fill="FFFFFF"/>
            <w:vAlign w:val="center"/>
          </w:tcPr>
          <w:p w14:paraId="3BE28BF3"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p>
        </w:tc>
        <w:tc>
          <w:tcPr>
            <w:tcW w:w="394" w:type="pct"/>
            <w:tcBorders>
              <w:top w:val="single" w:sz="4" w:space="0" w:color="auto"/>
              <w:left w:val="single" w:sz="4" w:space="0" w:color="auto"/>
              <w:bottom w:val="single" w:sz="4" w:space="0" w:color="auto"/>
              <w:right w:val="single" w:sz="4" w:space="0" w:color="auto"/>
            </w:tcBorders>
            <w:shd w:val="clear" w:color="auto" w:fill="FFFFFF"/>
            <w:vAlign w:val="center"/>
          </w:tcPr>
          <w:p w14:paraId="7D1FB2A1"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p>
        </w:tc>
        <w:tc>
          <w:tcPr>
            <w:tcW w:w="394" w:type="pct"/>
            <w:tcBorders>
              <w:top w:val="single" w:sz="4" w:space="0" w:color="auto"/>
              <w:left w:val="single" w:sz="4" w:space="0" w:color="auto"/>
              <w:bottom w:val="single" w:sz="4" w:space="0" w:color="auto"/>
              <w:right w:val="single" w:sz="4" w:space="0" w:color="auto"/>
            </w:tcBorders>
            <w:shd w:val="clear" w:color="auto" w:fill="FFFFFF"/>
            <w:vAlign w:val="center"/>
          </w:tcPr>
          <w:p w14:paraId="4414C406"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p>
        </w:tc>
        <w:tc>
          <w:tcPr>
            <w:tcW w:w="392" w:type="pct"/>
            <w:tcBorders>
              <w:top w:val="single" w:sz="4" w:space="0" w:color="auto"/>
              <w:left w:val="single" w:sz="4" w:space="0" w:color="auto"/>
              <w:bottom w:val="single" w:sz="4" w:space="0" w:color="auto"/>
              <w:right w:val="single" w:sz="4" w:space="0" w:color="auto"/>
            </w:tcBorders>
            <w:shd w:val="clear" w:color="auto" w:fill="FFFFFF"/>
            <w:vAlign w:val="center"/>
          </w:tcPr>
          <w:p w14:paraId="6BB0E5A1"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p>
        </w:tc>
        <w:tc>
          <w:tcPr>
            <w:tcW w:w="399" w:type="pct"/>
            <w:tcBorders>
              <w:top w:val="single" w:sz="4" w:space="0" w:color="auto"/>
              <w:left w:val="single" w:sz="4" w:space="0" w:color="auto"/>
              <w:bottom w:val="single" w:sz="4" w:space="0" w:color="auto"/>
              <w:right w:val="single" w:sz="4" w:space="0" w:color="auto"/>
            </w:tcBorders>
            <w:shd w:val="clear" w:color="auto" w:fill="FFFFFF"/>
            <w:vAlign w:val="center"/>
          </w:tcPr>
          <w:p w14:paraId="7C664E51"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5,2</w:t>
            </w:r>
          </w:p>
        </w:tc>
        <w:tc>
          <w:tcPr>
            <w:tcW w:w="387" w:type="pct"/>
            <w:tcBorders>
              <w:top w:val="single" w:sz="4" w:space="0" w:color="auto"/>
              <w:left w:val="single" w:sz="4" w:space="0" w:color="auto"/>
              <w:bottom w:val="single" w:sz="4" w:space="0" w:color="auto"/>
              <w:right w:val="single" w:sz="4" w:space="0" w:color="auto"/>
            </w:tcBorders>
            <w:shd w:val="clear" w:color="auto" w:fill="FFFFFF"/>
            <w:vAlign w:val="center"/>
          </w:tcPr>
          <w:p w14:paraId="7BD76AF0"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2,8</w:t>
            </w:r>
          </w:p>
        </w:tc>
        <w:tc>
          <w:tcPr>
            <w:tcW w:w="392" w:type="pct"/>
            <w:tcBorders>
              <w:top w:val="single" w:sz="4" w:space="0" w:color="auto"/>
              <w:left w:val="single" w:sz="4" w:space="0" w:color="auto"/>
              <w:bottom w:val="single" w:sz="4" w:space="0" w:color="auto"/>
              <w:right w:val="single" w:sz="4" w:space="0" w:color="auto"/>
            </w:tcBorders>
            <w:shd w:val="clear" w:color="auto" w:fill="FFFFFF"/>
            <w:vAlign w:val="center"/>
          </w:tcPr>
          <w:p w14:paraId="122E8096"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3,6</w:t>
            </w:r>
          </w:p>
        </w:tc>
        <w:tc>
          <w:tcPr>
            <w:tcW w:w="347" w:type="pct"/>
            <w:tcBorders>
              <w:top w:val="single" w:sz="4" w:space="0" w:color="auto"/>
              <w:left w:val="single" w:sz="4" w:space="0" w:color="auto"/>
              <w:bottom w:val="single" w:sz="4" w:space="0" w:color="auto"/>
              <w:right w:val="single" w:sz="4" w:space="0" w:color="auto"/>
            </w:tcBorders>
            <w:shd w:val="clear" w:color="auto" w:fill="FFFFFF"/>
            <w:vAlign w:val="center"/>
          </w:tcPr>
          <w:p w14:paraId="1D07B6A9"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4,8</w:t>
            </w:r>
          </w:p>
        </w:tc>
      </w:tr>
      <w:tr w:rsidR="0047261E" w:rsidRPr="0047261E" w14:paraId="1CA3F6DD" w14:textId="77777777" w:rsidTr="0047261E">
        <w:trPr>
          <w:trHeight w:val="158"/>
        </w:trPr>
        <w:tc>
          <w:tcPr>
            <w:tcW w:w="1501" w:type="pct"/>
            <w:tcBorders>
              <w:top w:val="single" w:sz="4" w:space="0" w:color="auto"/>
              <w:left w:val="single" w:sz="4" w:space="0" w:color="auto"/>
              <w:bottom w:val="single" w:sz="4" w:space="0" w:color="auto"/>
              <w:right w:val="single" w:sz="4" w:space="0" w:color="auto"/>
            </w:tcBorders>
            <w:shd w:val="clear" w:color="auto" w:fill="FFFFFF"/>
          </w:tcPr>
          <w:p w14:paraId="683C37E8"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предыдущего года</w:t>
            </w:r>
          </w:p>
        </w:tc>
        <w:tc>
          <w:tcPr>
            <w:tcW w:w="402" w:type="pct"/>
            <w:tcBorders>
              <w:top w:val="single" w:sz="4" w:space="0" w:color="auto"/>
              <w:left w:val="single" w:sz="4" w:space="0" w:color="auto"/>
              <w:bottom w:val="single" w:sz="4" w:space="0" w:color="auto"/>
              <w:right w:val="single" w:sz="4" w:space="0" w:color="auto"/>
            </w:tcBorders>
            <w:shd w:val="clear" w:color="auto" w:fill="FFFFFF"/>
            <w:vAlign w:val="center"/>
          </w:tcPr>
          <w:p w14:paraId="6939B8F6"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p>
        </w:tc>
        <w:tc>
          <w:tcPr>
            <w:tcW w:w="392" w:type="pct"/>
            <w:tcBorders>
              <w:top w:val="single" w:sz="4" w:space="0" w:color="auto"/>
              <w:left w:val="single" w:sz="4" w:space="0" w:color="auto"/>
              <w:bottom w:val="single" w:sz="4" w:space="0" w:color="auto"/>
              <w:right w:val="single" w:sz="4" w:space="0" w:color="auto"/>
            </w:tcBorders>
            <w:shd w:val="clear" w:color="auto" w:fill="FFFFFF"/>
            <w:vAlign w:val="center"/>
          </w:tcPr>
          <w:p w14:paraId="6679B4F8"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p>
        </w:tc>
        <w:tc>
          <w:tcPr>
            <w:tcW w:w="394" w:type="pct"/>
            <w:tcBorders>
              <w:top w:val="single" w:sz="4" w:space="0" w:color="auto"/>
              <w:left w:val="single" w:sz="4" w:space="0" w:color="auto"/>
              <w:bottom w:val="single" w:sz="4" w:space="0" w:color="auto"/>
              <w:right w:val="single" w:sz="4" w:space="0" w:color="auto"/>
            </w:tcBorders>
            <w:shd w:val="clear" w:color="auto" w:fill="FFFFFF"/>
            <w:vAlign w:val="center"/>
          </w:tcPr>
          <w:p w14:paraId="662074BE"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p>
        </w:tc>
        <w:tc>
          <w:tcPr>
            <w:tcW w:w="394" w:type="pct"/>
            <w:tcBorders>
              <w:top w:val="single" w:sz="4" w:space="0" w:color="auto"/>
              <w:left w:val="single" w:sz="4" w:space="0" w:color="auto"/>
              <w:bottom w:val="single" w:sz="4" w:space="0" w:color="auto"/>
              <w:right w:val="single" w:sz="4" w:space="0" w:color="auto"/>
            </w:tcBorders>
            <w:shd w:val="clear" w:color="auto" w:fill="FFFFFF"/>
            <w:vAlign w:val="center"/>
          </w:tcPr>
          <w:p w14:paraId="062B9763"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p>
        </w:tc>
        <w:tc>
          <w:tcPr>
            <w:tcW w:w="392" w:type="pct"/>
            <w:tcBorders>
              <w:top w:val="single" w:sz="4" w:space="0" w:color="auto"/>
              <w:left w:val="single" w:sz="4" w:space="0" w:color="auto"/>
              <w:bottom w:val="single" w:sz="4" w:space="0" w:color="auto"/>
              <w:right w:val="single" w:sz="4" w:space="0" w:color="auto"/>
            </w:tcBorders>
            <w:shd w:val="clear" w:color="auto" w:fill="FFFFFF"/>
            <w:vAlign w:val="center"/>
          </w:tcPr>
          <w:p w14:paraId="515B55D4"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p>
        </w:tc>
        <w:tc>
          <w:tcPr>
            <w:tcW w:w="399" w:type="pct"/>
            <w:tcBorders>
              <w:top w:val="single" w:sz="4" w:space="0" w:color="auto"/>
              <w:left w:val="single" w:sz="4" w:space="0" w:color="auto"/>
              <w:bottom w:val="single" w:sz="4" w:space="0" w:color="auto"/>
              <w:right w:val="single" w:sz="4" w:space="0" w:color="auto"/>
            </w:tcBorders>
            <w:shd w:val="clear" w:color="auto" w:fill="FFFFFF"/>
            <w:vAlign w:val="center"/>
          </w:tcPr>
          <w:p w14:paraId="37F88DF1"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p>
        </w:tc>
        <w:tc>
          <w:tcPr>
            <w:tcW w:w="387" w:type="pct"/>
            <w:tcBorders>
              <w:top w:val="single" w:sz="4" w:space="0" w:color="auto"/>
              <w:left w:val="single" w:sz="4" w:space="0" w:color="auto"/>
              <w:bottom w:val="single" w:sz="4" w:space="0" w:color="auto"/>
              <w:right w:val="single" w:sz="4" w:space="0" w:color="auto"/>
            </w:tcBorders>
            <w:shd w:val="clear" w:color="auto" w:fill="FFFFFF"/>
            <w:vAlign w:val="center"/>
          </w:tcPr>
          <w:p w14:paraId="556A2DEB"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p>
        </w:tc>
        <w:tc>
          <w:tcPr>
            <w:tcW w:w="392" w:type="pct"/>
            <w:tcBorders>
              <w:top w:val="single" w:sz="4" w:space="0" w:color="auto"/>
              <w:left w:val="single" w:sz="4" w:space="0" w:color="auto"/>
              <w:bottom w:val="single" w:sz="4" w:space="0" w:color="auto"/>
              <w:right w:val="single" w:sz="4" w:space="0" w:color="auto"/>
            </w:tcBorders>
            <w:shd w:val="clear" w:color="auto" w:fill="FFFFFF"/>
            <w:vAlign w:val="center"/>
          </w:tcPr>
          <w:p w14:paraId="65706244"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p>
        </w:tc>
        <w:tc>
          <w:tcPr>
            <w:tcW w:w="347" w:type="pct"/>
            <w:tcBorders>
              <w:top w:val="single" w:sz="4" w:space="0" w:color="auto"/>
              <w:left w:val="single" w:sz="4" w:space="0" w:color="auto"/>
              <w:bottom w:val="single" w:sz="4" w:space="0" w:color="auto"/>
              <w:right w:val="single" w:sz="4" w:space="0" w:color="auto"/>
            </w:tcBorders>
            <w:shd w:val="clear" w:color="auto" w:fill="FFFFFF"/>
            <w:vAlign w:val="center"/>
          </w:tcPr>
          <w:p w14:paraId="2376B900"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p>
        </w:tc>
      </w:tr>
      <w:tr w:rsidR="0047261E" w:rsidRPr="0047261E" w14:paraId="75E5D7E5" w14:textId="77777777" w:rsidTr="0047261E">
        <w:trPr>
          <w:trHeight w:val="206"/>
        </w:trPr>
        <w:tc>
          <w:tcPr>
            <w:tcW w:w="1501" w:type="pct"/>
            <w:tcBorders>
              <w:top w:val="single" w:sz="4" w:space="0" w:color="auto"/>
              <w:left w:val="single" w:sz="4" w:space="0" w:color="auto"/>
              <w:bottom w:val="single" w:sz="4" w:space="0" w:color="auto"/>
              <w:right w:val="single" w:sz="4" w:space="0" w:color="auto"/>
            </w:tcBorders>
            <w:shd w:val="clear" w:color="auto" w:fill="FFFFFF"/>
            <w:vAlign w:val="center"/>
          </w:tcPr>
          <w:p w14:paraId="59424929"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 к предыдущему периоду (SA)</w:t>
            </w:r>
          </w:p>
        </w:tc>
        <w:tc>
          <w:tcPr>
            <w:tcW w:w="402" w:type="pct"/>
            <w:tcBorders>
              <w:top w:val="single" w:sz="4" w:space="0" w:color="auto"/>
              <w:left w:val="single" w:sz="4" w:space="0" w:color="auto"/>
              <w:bottom w:val="single" w:sz="4" w:space="0" w:color="auto"/>
              <w:right w:val="single" w:sz="4" w:space="0" w:color="auto"/>
            </w:tcBorders>
            <w:shd w:val="clear" w:color="auto" w:fill="FFFFFF"/>
            <w:vAlign w:val="center"/>
          </w:tcPr>
          <w:p w14:paraId="5EFD91AB"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p>
        </w:tc>
        <w:tc>
          <w:tcPr>
            <w:tcW w:w="392" w:type="pct"/>
            <w:tcBorders>
              <w:top w:val="single" w:sz="4" w:space="0" w:color="auto"/>
              <w:left w:val="single" w:sz="4" w:space="0" w:color="auto"/>
              <w:bottom w:val="single" w:sz="4" w:space="0" w:color="auto"/>
              <w:right w:val="single" w:sz="4" w:space="0" w:color="auto"/>
            </w:tcBorders>
            <w:shd w:val="clear" w:color="auto" w:fill="FFFFFF"/>
            <w:vAlign w:val="center"/>
          </w:tcPr>
          <w:p w14:paraId="40CA3CEA"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p>
        </w:tc>
        <w:tc>
          <w:tcPr>
            <w:tcW w:w="394" w:type="pct"/>
            <w:tcBorders>
              <w:top w:val="single" w:sz="4" w:space="0" w:color="auto"/>
              <w:left w:val="single" w:sz="4" w:space="0" w:color="auto"/>
              <w:bottom w:val="single" w:sz="4" w:space="0" w:color="auto"/>
              <w:right w:val="single" w:sz="4" w:space="0" w:color="auto"/>
            </w:tcBorders>
            <w:shd w:val="clear" w:color="auto" w:fill="FFFFFF"/>
            <w:vAlign w:val="center"/>
          </w:tcPr>
          <w:p w14:paraId="298FB726"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p>
        </w:tc>
        <w:tc>
          <w:tcPr>
            <w:tcW w:w="394" w:type="pct"/>
            <w:tcBorders>
              <w:top w:val="single" w:sz="4" w:space="0" w:color="auto"/>
              <w:left w:val="single" w:sz="4" w:space="0" w:color="auto"/>
              <w:bottom w:val="single" w:sz="4" w:space="0" w:color="auto"/>
              <w:right w:val="single" w:sz="4" w:space="0" w:color="auto"/>
            </w:tcBorders>
            <w:shd w:val="clear" w:color="auto" w:fill="FFFFFF"/>
            <w:vAlign w:val="center"/>
          </w:tcPr>
          <w:p w14:paraId="0971F3FD"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p>
        </w:tc>
        <w:tc>
          <w:tcPr>
            <w:tcW w:w="392" w:type="pct"/>
            <w:tcBorders>
              <w:top w:val="single" w:sz="4" w:space="0" w:color="auto"/>
              <w:left w:val="single" w:sz="4" w:space="0" w:color="auto"/>
              <w:bottom w:val="single" w:sz="4" w:space="0" w:color="auto"/>
              <w:right w:val="single" w:sz="4" w:space="0" w:color="auto"/>
            </w:tcBorders>
            <w:shd w:val="clear" w:color="auto" w:fill="FFFFFF"/>
            <w:vAlign w:val="center"/>
          </w:tcPr>
          <w:p w14:paraId="73A9F9D0"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p>
        </w:tc>
        <w:tc>
          <w:tcPr>
            <w:tcW w:w="399" w:type="pct"/>
            <w:tcBorders>
              <w:top w:val="single" w:sz="4" w:space="0" w:color="auto"/>
              <w:left w:val="single" w:sz="4" w:space="0" w:color="auto"/>
              <w:bottom w:val="single" w:sz="4" w:space="0" w:color="auto"/>
              <w:right w:val="single" w:sz="4" w:space="0" w:color="auto"/>
            </w:tcBorders>
            <w:shd w:val="clear" w:color="auto" w:fill="FFFFFF"/>
            <w:vAlign w:val="center"/>
          </w:tcPr>
          <w:p w14:paraId="5AE196A6"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1,5</w:t>
            </w:r>
          </w:p>
        </w:tc>
        <w:tc>
          <w:tcPr>
            <w:tcW w:w="387" w:type="pct"/>
            <w:tcBorders>
              <w:top w:val="single" w:sz="4" w:space="0" w:color="auto"/>
              <w:left w:val="single" w:sz="4" w:space="0" w:color="auto"/>
              <w:bottom w:val="single" w:sz="4" w:space="0" w:color="auto"/>
              <w:right w:val="single" w:sz="4" w:space="0" w:color="auto"/>
            </w:tcBorders>
            <w:shd w:val="clear" w:color="auto" w:fill="FFFFFF"/>
            <w:vAlign w:val="center"/>
          </w:tcPr>
          <w:p w14:paraId="1B5D4256"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1,0</w:t>
            </w:r>
          </w:p>
        </w:tc>
        <w:tc>
          <w:tcPr>
            <w:tcW w:w="392" w:type="pct"/>
            <w:tcBorders>
              <w:top w:val="single" w:sz="4" w:space="0" w:color="auto"/>
              <w:left w:val="single" w:sz="4" w:space="0" w:color="auto"/>
              <w:bottom w:val="single" w:sz="4" w:space="0" w:color="auto"/>
              <w:right w:val="single" w:sz="4" w:space="0" w:color="auto"/>
            </w:tcBorders>
            <w:shd w:val="clear" w:color="auto" w:fill="FFFFFF"/>
            <w:vAlign w:val="center"/>
          </w:tcPr>
          <w:p w14:paraId="63C6A386"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0,8</w:t>
            </w:r>
          </w:p>
        </w:tc>
        <w:tc>
          <w:tcPr>
            <w:tcW w:w="347" w:type="pct"/>
            <w:tcBorders>
              <w:top w:val="single" w:sz="4" w:space="0" w:color="auto"/>
              <w:left w:val="single" w:sz="4" w:space="0" w:color="auto"/>
              <w:bottom w:val="single" w:sz="4" w:space="0" w:color="auto"/>
              <w:right w:val="single" w:sz="4" w:space="0" w:color="auto"/>
            </w:tcBorders>
            <w:shd w:val="clear" w:color="auto" w:fill="FFFFFF"/>
            <w:vAlign w:val="center"/>
          </w:tcPr>
          <w:p w14:paraId="567C340E"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p>
        </w:tc>
      </w:tr>
      <w:tr w:rsidR="0047261E" w:rsidRPr="0047261E" w14:paraId="63644218" w14:textId="77777777" w:rsidTr="0047261E">
        <w:trPr>
          <w:trHeight w:val="202"/>
        </w:trPr>
        <w:tc>
          <w:tcPr>
            <w:tcW w:w="1501" w:type="pct"/>
            <w:tcBorders>
              <w:top w:val="single" w:sz="4" w:space="0" w:color="auto"/>
              <w:left w:val="single" w:sz="4" w:space="0" w:color="auto"/>
              <w:bottom w:val="single" w:sz="4" w:space="0" w:color="auto"/>
              <w:right w:val="single" w:sz="4" w:space="0" w:color="auto"/>
            </w:tcBorders>
            <w:shd w:val="clear" w:color="auto" w:fill="FFFFFF"/>
            <w:vAlign w:val="bottom"/>
          </w:tcPr>
          <w:p w14:paraId="0D987217"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Строительство</w:t>
            </w:r>
          </w:p>
        </w:tc>
        <w:tc>
          <w:tcPr>
            <w:tcW w:w="402" w:type="pct"/>
            <w:tcBorders>
              <w:top w:val="single" w:sz="4" w:space="0" w:color="auto"/>
              <w:left w:val="single" w:sz="4" w:space="0" w:color="auto"/>
              <w:bottom w:val="single" w:sz="4" w:space="0" w:color="auto"/>
              <w:right w:val="single" w:sz="4" w:space="0" w:color="auto"/>
            </w:tcBorders>
            <w:shd w:val="clear" w:color="auto" w:fill="FFFFFF"/>
            <w:vAlign w:val="center"/>
          </w:tcPr>
          <w:p w14:paraId="2C5DA69C"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p>
        </w:tc>
        <w:tc>
          <w:tcPr>
            <w:tcW w:w="392" w:type="pct"/>
            <w:tcBorders>
              <w:top w:val="single" w:sz="4" w:space="0" w:color="auto"/>
              <w:left w:val="single" w:sz="4" w:space="0" w:color="auto"/>
              <w:bottom w:val="single" w:sz="4" w:space="0" w:color="auto"/>
              <w:right w:val="single" w:sz="4" w:space="0" w:color="auto"/>
            </w:tcBorders>
            <w:shd w:val="clear" w:color="auto" w:fill="FFFFFF"/>
            <w:vAlign w:val="center"/>
          </w:tcPr>
          <w:p w14:paraId="1FCD88BD"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p>
        </w:tc>
        <w:tc>
          <w:tcPr>
            <w:tcW w:w="394" w:type="pct"/>
            <w:tcBorders>
              <w:top w:val="single" w:sz="4" w:space="0" w:color="auto"/>
              <w:left w:val="single" w:sz="4" w:space="0" w:color="auto"/>
              <w:bottom w:val="single" w:sz="4" w:space="0" w:color="auto"/>
              <w:right w:val="single" w:sz="4" w:space="0" w:color="auto"/>
            </w:tcBorders>
            <w:shd w:val="clear" w:color="auto" w:fill="FFFFFF"/>
            <w:vAlign w:val="center"/>
          </w:tcPr>
          <w:p w14:paraId="2B037AE0"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p>
        </w:tc>
        <w:tc>
          <w:tcPr>
            <w:tcW w:w="394" w:type="pct"/>
            <w:tcBorders>
              <w:top w:val="single" w:sz="4" w:space="0" w:color="auto"/>
              <w:left w:val="single" w:sz="4" w:space="0" w:color="auto"/>
              <w:bottom w:val="single" w:sz="4" w:space="0" w:color="auto"/>
              <w:right w:val="single" w:sz="4" w:space="0" w:color="auto"/>
            </w:tcBorders>
            <w:shd w:val="clear" w:color="auto" w:fill="FFFFFF"/>
            <w:vAlign w:val="center"/>
          </w:tcPr>
          <w:p w14:paraId="3F8DB067"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p>
        </w:tc>
        <w:tc>
          <w:tcPr>
            <w:tcW w:w="392" w:type="pct"/>
            <w:tcBorders>
              <w:top w:val="single" w:sz="4" w:space="0" w:color="auto"/>
              <w:left w:val="single" w:sz="4" w:space="0" w:color="auto"/>
              <w:bottom w:val="single" w:sz="4" w:space="0" w:color="auto"/>
              <w:right w:val="single" w:sz="4" w:space="0" w:color="auto"/>
            </w:tcBorders>
            <w:shd w:val="clear" w:color="auto" w:fill="FFFFFF"/>
            <w:vAlign w:val="center"/>
          </w:tcPr>
          <w:p w14:paraId="39B52EC5"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p>
        </w:tc>
        <w:tc>
          <w:tcPr>
            <w:tcW w:w="399" w:type="pct"/>
            <w:tcBorders>
              <w:top w:val="single" w:sz="4" w:space="0" w:color="auto"/>
              <w:left w:val="single" w:sz="4" w:space="0" w:color="auto"/>
              <w:bottom w:val="single" w:sz="4" w:space="0" w:color="auto"/>
              <w:right w:val="single" w:sz="4" w:space="0" w:color="auto"/>
            </w:tcBorders>
            <w:shd w:val="clear" w:color="auto" w:fill="FFFFFF"/>
            <w:vAlign w:val="center"/>
          </w:tcPr>
          <w:p w14:paraId="76CFFCC0"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p>
        </w:tc>
        <w:tc>
          <w:tcPr>
            <w:tcW w:w="387" w:type="pct"/>
            <w:tcBorders>
              <w:top w:val="single" w:sz="4" w:space="0" w:color="auto"/>
              <w:left w:val="single" w:sz="4" w:space="0" w:color="auto"/>
              <w:bottom w:val="single" w:sz="4" w:space="0" w:color="auto"/>
              <w:right w:val="single" w:sz="4" w:space="0" w:color="auto"/>
            </w:tcBorders>
            <w:shd w:val="clear" w:color="auto" w:fill="FFFFFF"/>
            <w:vAlign w:val="center"/>
          </w:tcPr>
          <w:p w14:paraId="24205301"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p>
        </w:tc>
        <w:tc>
          <w:tcPr>
            <w:tcW w:w="392" w:type="pct"/>
            <w:tcBorders>
              <w:top w:val="single" w:sz="4" w:space="0" w:color="auto"/>
              <w:left w:val="single" w:sz="4" w:space="0" w:color="auto"/>
              <w:bottom w:val="single" w:sz="4" w:space="0" w:color="auto"/>
              <w:right w:val="single" w:sz="4" w:space="0" w:color="auto"/>
            </w:tcBorders>
            <w:shd w:val="clear" w:color="auto" w:fill="FFFFFF"/>
            <w:vAlign w:val="center"/>
          </w:tcPr>
          <w:p w14:paraId="071D0D95"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p>
        </w:tc>
        <w:tc>
          <w:tcPr>
            <w:tcW w:w="347" w:type="pct"/>
            <w:tcBorders>
              <w:top w:val="single" w:sz="4" w:space="0" w:color="auto"/>
              <w:left w:val="single" w:sz="4" w:space="0" w:color="auto"/>
              <w:bottom w:val="single" w:sz="4" w:space="0" w:color="auto"/>
              <w:right w:val="single" w:sz="4" w:space="0" w:color="auto"/>
            </w:tcBorders>
            <w:shd w:val="clear" w:color="auto" w:fill="FFFFFF"/>
            <w:vAlign w:val="center"/>
          </w:tcPr>
          <w:p w14:paraId="009EB3CC"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p>
        </w:tc>
      </w:tr>
      <w:tr w:rsidR="0047261E" w:rsidRPr="0047261E" w14:paraId="335D635A" w14:textId="77777777" w:rsidTr="0047261E">
        <w:trPr>
          <w:trHeight w:val="182"/>
        </w:trPr>
        <w:tc>
          <w:tcPr>
            <w:tcW w:w="1501" w:type="pct"/>
            <w:tcBorders>
              <w:top w:val="single" w:sz="4" w:space="0" w:color="auto"/>
              <w:left w:val="single" w:sz="4" w:space="0" w:color="auto"/>
              <w:bottom w:val="single" w:sz="4" w:space="0" w:color="auto"/>
              <w:right w:val="single" w:sz="4" w:space="0" w:color="auto"/>
            </w:tcBorders>
            <w:shd w:val="clear" w:color="auto" w:fill="FFFFFF"/>
          </w:tcPr>
          <w:p w14:paraId="18487A46"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 к соответствующему периоду</w:t>
            </w:r>
          </w:p>
        </w:tc>
        <w:tc>
          <w:tcPr>
            <w:tcW w:w="402" w:type="pct"/>
            <w:tcBorders>
              <w:top w:val="single" w:sz="4" w:space="0" w:color="auto"/>
              <w:left w:val="single" w:sz="4" w:space="0" w:color="auto"/>
              <w:bottom w:val="single" w:sz="4" w:space="0" w:color="auto"/>
              <w:right w:val="single" w:sz="4" w:space="0" w:color="auto"/>
            </w:tcBorders>
            <w:shd w:val="clear" w:color="auto" w:fill="FFFFFF"/>
            <w:vAlign w:val="center"/>
          </w:tcPr>
          <w:p w14:paraId="2F878F6B"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5,3</w:t>
            </w:r>
          </w:p>
        </w:tc>
        <w:tc>
          <w:tcPr>
            <w:tcW w:w="392" w:type="pct"/>
            <w:tcBorders>
              <w:top w:val="single" w:sz="4" w:space="0" w:color="auto"/>
              <w:left w:val="single" w:sz="4" w:space="0" w:color="auto"/>
              <w:bottom w:val="single" w:sz="4" w:space="0" w:color="auto"/>
              <w:right w:val="single" w:sz="4" w:space="0" w:color="auto"/>
            </w:tcBorders>
            <w:shd w:val="clear" w:color="auto" w:fill="FFFFFF"/>
            <w:vAlign w:val="center"/>
          </w:tcPr>
          <w:p w14:paraId="7E95DA5A"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4,1</w:t>
            </w:r>
          </w:p>
        </w:tc>
        <w:tc>
          <w:tcPr>
            <w:tcW w:w="394" w:type="pct"/>
            <w:tcBorders>
              <w:top w:val="single" w:sz="4" w:space="0" w:color="auto"/>
              <w:left w:val="single" w:sz="4" w:space="0" w:color="auto"/>
              <w:bottom w:val="single" w:sz="4" w:space="0" w:color="auto"/>
              <w:right w:val="single" w:sz="4" w:space="0" w:color="auto"/>
            </w:tcBorders>
            <w:shd w:val="clear" w:color="auto" w:fill="FFFFFF"/>
            <w:vAlign w:val="center"/>
          </w:tcPr>
          <w:p w14:paraId="55E6B0C5"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2,6</w:t>
            </w:r>
          </w:p>
        </w:tc>
        <w:tc>
          <w:tcPr>
            <w:tcW w:w="394" w:type="pct"/>
            <w:tcBorders>
              <w:top w:val="single" w:sz="4" w:space="0" w:color="auto"/>
              <w:left w:val="single" w:sz="4" w:space="0" w:color="auto"/>
              <w:bottom w:val="single" w:sz="4" w:space="0" w:color="auto"/>
              <w:right w:val="single" w:sz="4" w:space="0" w:color="auto"/>
            </w:tcBorders>
            <w:shd w:val="clear" w:color="auto" w:fill="FFFFFF"/>
            <w:vAlign w:val="center"/>
          </w:tcPr>
          <w:p w14:paraId="0E185BFF"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4,3</w:t>
            </w:r>
          </w:p>
        </w:tc>
        <w:tc>
          <w:tcPr>
            <w:tcW w:w="392" w:type="pct"/>
            <w:tcBorders>
              <w:top w:val="single" w:sz="4" w:space="0" w:color="auto"/>
              <w:left w:val="single" w:sz="4" w:space="0" w:color="auto"/>
              <w:bottom w:val="single" w:sz="4" w:space="0" w:color="auto"/>
              <w:right w:val="single" w:sz="4" w:space="0" w:color="auto"/>
            </w:tcBorders>
            <w:shd w:val="clear" w:color="auto" w:fill="FFFFFF"/>
            <w:vAlign w:val="center"/>
          </w:tcPr>
          <w:p w14:paraId="578E04BA"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5,7</w:t>
            </w:r>
          </w:p>
        </w:tc>
        <w:tc>
          <w:tcPr>
            <w:tcW w:w="399" w:type="pct"/>
            <w:tcBorders>
              <w:top w:val="single" w:sz="4" w:space="0" w:color="auto"/>
              <w:left w:val="single" w:sz="4" w:space="0" w:color="auto"/>
              <w:bottom w:val="single" w:sz="4" w:space="0" w:color="auto"/>
              <w:right w:val="single" w:sz="4" w:space="0" w:color="auto"/>
            </w:tcBorders>
            <w:shd w:val="clear" w:color="auto" w:fill="FFFFFF"/>
            <w:vAlign w:val="center"/>
          </w:tcPr>
          <w:p w14:paraId="7E582B28"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5,6</w:t>
            </w:r>
          </w:p>
        </w:tc>
        <w:tc>
          <w:tcPr>
            <w:tcW w:w="387" w:type="pct"/>
            <w:tcBorders>
              <w:top w:val="single" w:sz="4" w:space="0" w:color="auto"/>
              <w:left w:val="single" w:sz="4" w:space="0" w:color="auto"/>
              <w:bottom w:val="single" w:sz="4" w:space="0" w:color="auto"/>
              <w:right w:val="single" w:sz="4" w:space="0" w:color="auto"/>
            </w:tcBorders>
            <w:shd w:val="clear" w:color="auto" w:fill="FFFFFF"/>
            <w:vAlign w:val="center"/>
          </w:tcPr>
          <w:p w14:paraId="177CAAB3"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6,9</w:t>
            </w:r>
          </w:p>
        </w:tc>
        <w:tc>
          <w:tcPr>
            <w:tcW w:w="392" w:type="pct"/>
            <w:tcBorders>
              <w:top w:val="single" w:sz="4" w:space="0" w:color="auto"/>
              <w:left w:val="single" w:sz="4" w:space="0" w:color="auto"/>
              <w:bottom w:val="single" w:sz="4" w:space="0" w:color="auto"/>
              <w:right w:val="single" w:sz="4" w:space="0" w:color="auto"/>
            </w:tcBorders>
            <w:shd w:val="clear" w:color="auto" w:fill="FFFFFF"/>
            <w:vAlign w:val="center"/>
          </w:tcPr>
          <w:p w14:paraId="24AD5099"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5,2</w:t>
            </w:r>
          </w:p>
        </w:tc>
        <w:tc>
          <w:tcPr>
            <w:tcW w:w="347" w:type="pct"/>
            <w:tcBorders>
              <w:top w:val="single" w:sz="4" w:space="0" w:color="auto"/>
              <w:left w:val="single" w:sz="4" w:space="0" w:color="auto"/>
              <w:bottom w:val="single" w:sz="4" w:space="0" w:color="auto"/>
              <w:right w:val="single" w:sz="4" w:space="0" w:color="auto"/>
            </w:tcBorders>
            <w:shd w:val="clear" w:color="auto" w:fill="FFFFFF"/>
            <w:vAlign w:val="center"/>
          </w:tcPr>
          <w:p w14:paraId="27F9C092"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-1,2</w:t>
            </w:r>
          </w:p>
        </w:tc>
      </w:tr>
      <w:tr w:rsidR="0047261E" w:rsidRPr="0047261E" w14:paraId="5A07DAE8" w14:textId="77777777" w:rsidTr="0047261E">
        <w:trPr>
          <w:trHeight w:val="130"/>
        </w:trPr>
        <w:tc>
          <w:tcPr>
            <w:tcW w:w="1501" w:type="pct"/>
            <w:tcBorders>
              <w:top w:val="single" w:sz="4" w:space="0" w:color="auto"/>
              <w:left w:val="single" w:sz="4" w:space="0" w:color="auto"/>
              <w:bottom w:val="single" w:sz="4" w:space="0" w:color="auto"/>
              <w:right w:val="single" w:sz="4" w:space="0" w:color="auto"/>
            </w:tcBorders>
            <w:shd w:val="clear" w:color="auto" w:fill="FFFFFF"/>
          </w:tcPr>
          <w:p w14:paraId="20B94405"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предыдущего года</w:t>
            </w:r>
          </w:p>
        </w:tc>
        <w:tc>
          <w:tcPr>
            <w:tcW w:w="402" w:type="pct"/>
            <w:tcBorders>
              <w:top w:val="single" w:sz="4" w:space="0" w:color="auto"/>
              <w:left w:val="single" w:sz="4" w:space="0" w:color="auto"/>
              <w:bottom w:val="single" w:sz="4" w:space="0" w:color="auto"/>
              <w:right w:val="single" w:sz="4" w:space="0" w:color="auto"/>
            </w:tcBorders>
            <w:shd w:val="clear" w:color="auto" w:fill="FFFFFF"/>
            <w:vAlign w:val="center"/>
          </w:tcPr>
          <w:p w14:paraId="7E7342DD"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p>
        </w:tc>
        <w:tc>
          <w:tcPr>
            <w:tcW w:w="392" w:type="pct"/>
            <w:tcBorders>
              <w:top w:val="single" w:sz="4" w:space="0" w:color="auto"/>
              <w:left w:val="single" w:sz="4" w:space="0" w:color="auto"/>
              <w:bottom w:val="single" w:sz="4" w:space="0" w:color="auto"/>
              <w:right w:val="single" w:sz="4" w:space="0" w:color="auto"/>
            </w:tcBorders>
            <w:shd w:val="clear" w:color="auto" w:fill="FFFFFF"/>
            <w:vAlign w:val="center"/>
          </w:tcPr>
          <w:p w14:paraId="26D90A54"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p>
        </w:tc>
        <w:tc>
          <w:tcPr>
            <w:tcW w:w="394" w:type="pct"/>
            <w:tcBorders>
              <w:top w:val="single" w:sz="4" w:space="0" w:color="auto"/>
              <w:left w:val="single" w:sz="4" w:space="0" w:color="auto"/>
              <w:bottom w:val="single" w:sz="4" w:space="0" w:color="auto"/>
              <w:right w:val="single" w:sz="4" w:space="0" w:color="auto"/>
            </w:tcBorders>
            <w:shd w:val="clear" w:color="auto" w:fill="FFFFFF"/>
            <w:vAlign w:val="center"/>
          </w:tcPr>
          <w:p w14:paraId="6F6DFDAC"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p>
        </w:tc>
        <w:tc>
          <w:tcPr>
            <w:tcW w:w="394" w:type="pct"/>
            <w:tcBorders>
              <w:top w:val="single" w:sz="4" w:space="0" w:color="auto"/>
              <w:left w:val="single" w:sz="4" w:space="0" w:color="auto"/>
              <w:bottom w:val="single" w:sz="4" w:space="0" w:color="auto"/>
              <w:right w:val="single" w:sz="4" w:space="0" w:color="auto"/>
            </w:tcBorders>
            <w:shd w:val="clear" w:color="auto" w:fill="FFFFFF"/>
            <w:vAlign w:val="center"/>
          </w:tcPr>
          <w:p w14:paraId="69A9A26C"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p>
        </w:tc>
        <w:tc>
          <w:tcPr>
            <w:tcW w:w="392" w:type="pct"/>
            <w:tcBorders>
              <w:top w:val="single" w:sz="4" w:space="0" w:color="auto"/>
              <w:left w:val="single" w:sz="4" w:space="0" w:color="auto"/>
              <w:bottom w:val="single" w:sz="4" w:space="0" w:color="auto"/>
              <w:right w:val="single" w:sz="4" w:space="0" w:color="auto"/>
            </w:tcBorders>
            <w:shd w:val="clear" w:color="auto" w:fill="FFFFFF"/>
            <w:vAlign w:val="center"/>
          </w:tcPr>
          <w:p w14:paraId="2BC8FBA7"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p>
        </w:tc>
        <w:tc>
          <w:tcPr>
            <w:tcW w:w="399" w:type="pct"/>
            <w:tcBorders>
              <w:top w:val="single" w:sz="4" w:space="0" w:color="auto"/>
              <w:left w:val="single" w:sz="4" w:space="0" w:color="auto"/>
              <w:bottom w:val="single" w:sz="4" w:space="0" w:color="auto"/>
              <w:right w:val="single" w:sz="4" w:space="0" w:color="auto"/>
            </w:tcBorders>
            <w:shd w:val="clear" w:color="auto" w:fill="FFFFFF"/>
            <w:vAlign w:val="center"/>
          </w:tcPr>
          <w:p w14:paraId="586AF727"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p>
        </w:tc>
        <w:tc>
          <w:tcPr>
            <w:tcW w:w="387" w:type="pct"/>
            <w:tcBorders>
              <w:top w:val="single" w:sz="4" w:space="0" w:color="auto"/>
              <w:left w:val="single" w:sz="4" w:space="0" w:color="auto"/>
              <w:bottom w:val="single" w:sz="4" w:space="0" w:color="auto"/>
              <w:right w:val="single" w:sz="4" w:space="0" w:color="auto"/>
            </w:tcBorders>
            <w:shd w:val="clear" w:color="auto" w:fill="FFFFFF"/>
            <w:vAlign w:val="center"/>
          </w:tcPr>
          <w:p w14:paraId="1A9889EF"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p>
        </w:tc>
        <w:tc>
          <w:tcPr>
            <w:tcW w:w="392" w:type="pct"/>
            <w:tcBorders>
              <w:top w:val="single" w:sz="4" w:space="0" w:color="auto"/>
              <w:left w:val="single" w:sz="4" w:space="0" w:color="auto"/>
              <w:bottom w:val="single" w:sz="4" w:space="0" w:color="auto"/>
              <w:right w:val="single" w:sz="4" w:space="0" w:color="auto"/>
            </w:tcBorders>
            <w:shd w:val="clear" w:color="auto" w:fill="FFFFFF"/>
            <w:vAlign w:val="center"/>
          </w:tcPr>
          <w:p w14:paraId="68F0457A"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p>
        </w:tc>
        <w:tc>
          <w:tcPr>
            <w:tcW w:w="347" w:type="pct"/>
            <w:tcBorders>
              <w:top w:val="single" w:sz="4" w:space="0" w:color="auto"/>
              <w:left w:val="single" w:sz="4" w:space="0" w:color="auto"/>
              <w:bottom w:val="single" w:sz="4" w:space="0" w:color="auto"/>
              <w:right w:val="single" w:sz="4" w:space="0" w:color="auto"/>
            </w:tcBorders>
            <w:shd w:val="clear" w:color="auto" w:fill="FFFFFF"/>
            <w:vAlign w:val="center"/>
          </w:tcPr>
          <w:p w14:paraId="64A6473D"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p>
        </w:tc>
      </w:tr>
      <w:tr w:rsidR="0047261E" w:rsidRPr="0047261E" w14:paraId="04FA0B7E" w14:textId="77777777" w:rsidTr="0047261E">
        <w:trPr>
          <w:trHeight w:val="168"/>
        </w:trPr>
        <w:tc>
          <w:tcPr>
            <w:tcW w:w="1501" w:type="pct"/>
            <w:tcBorders>
              <w:top w:val="single" w:sz="4" w:space="0" w:color="auto"/>
              <w:left w:val="single" w:sz="4" w:space="0" w:color="auto"/>
              <w:bottom w:val="single" w:sz="4" w:space="0" w:color="auto"/>
              <w:right w:val="single" w:sz="4" w:space="0" w:color="auto"/>
            </w:tcBorders>
            <w:shd w:val="clear" w:color="auto" w:fill="FFFFFF"/>
          </w:tcPr>
          <w:p w14:paraId="7A65D7C2"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 к предыдущему периоду (SA)</w:t>
            </w:r>
          </w:p>
        </w:tc>
        <w:tc>
          <w:tcPr>
            <w:tcW w:w="402" w:type="pct"/>
            <w:tcBorders>
              <w:top w:val="single" w:sz="4" w:space="0" w:color="auto"/>
              <w:left w:val="single" w:sz="4" w:space="0" w:color="auto"/>
              <w:bottom w:val="single" w:sz="4" w:space="0" w:color="auto"/>
              <w:right w:val="single" w:sz="4" w:space="0" w:color="auto"/>
            </w:tcBorders>
            <w:shd w:val="clear" w:color="auto" w:fill="FFFFFF"/>
            <w:vAlign w:val="center"/>
          </w:tcPr>
          <w:p w14:paraId="301339BE"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p>
        </w:tc>
        <w:tc>
          <w:tcPr>
            <w:tcW w:w="392" w:type="pct"/>
            <w:tcBorders>
              <w:top w:val="single" w:sz="4" w:space="0" w:color="auto"/>
              <w:left w:val="single" w:sz="4" w:space="0" w:color="auto"/>
              <w:bottom w:val="single" w:sz="4" w:space="0" w:color="auto"/>
              <w:right w:val="single" w:sz="4" w:space="0" w:color="auto"/>
            </w:tcBorders>
            <w:shd w:val="clear" w:color="auto" w:fill="FFFFFF"/>
            <w:vAlign w:val="center"/>
          </w:tcPr>
          <w:p w14:paraId="6C9B090F"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0,9</w:t>
            </w:r>
          </w:p>
        </w:tc>
        <w:tc>
          <w:tcPr>
            <w:tcW w:w="394" w:type="pct"/>
            <w:tcBorders>
              <w:top w:val="single" w:sz="4" w:space="0" w:color="auto"/>
              <w:left w:val="single" w:sz="4" w:space="0" w:color="auto"/>
              <w:bottom w:val="single" w:sz="4" w:space="0" w:color="auto"/>
              <w:right w:val="single" w:sz="4" w:space="0" w:color="auto"/>
            </w:tcBorders>
            <w:shd w:val="clear" w:color="auto" w:fill="FFFFFF"/>
            <w:vAlign w:val="center"/>
          </w:tcPr>
          <w:p w14:paraId="12B778E4"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0,4</w:t>
            </w:r>
          </w:p>
        </w:tc>
        <w:tc>
          <w:tcPr>
            <w:tcW w:w="394" w:type="pct"/>
            <w:tcBorders>
              <w:top w:val="single" w:sz="4" w:space="0" w:color="auto"/>
              <w:left w:val="single" w:sz="4" w:space="0" w:color="auto"/>
              <w:bottom w:val="single" w:sz="4" w:space="0" w:color="auto"/>
              <w:right w:val="single" w:sz="4" w:space="0" w:color="auto"/>
            </w:tcBorders>
            <w:shd w:val="clear" w:color="auto" w:fill="FFFFFF"/>
            <w:vAlign w:val="center"/>
          </w:tcPr>
          <w:p w14:paraId="23A580CC"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0,6</w:t>
            </w:r>
          </w:p>
        </w:tc>
        <w:tc>
          <w:tcPr>
            <w:tcW w:w="392" w:type="pct"/>
            <w:tcBorders>
              <w:top w:val="single" w:sz="4" w:space="0" w:color="auto"/>
              <w:left w:val="single" w:sz="4" w:space="0" w:color="auto"/>
              <w:bottom w:val="single" w:sz="4" w:space="0" w:color="auto"/>
              <w:right w:val="single" w:sz="4" w:space="0" w:color="auto"/>
            </w:tcBorders>
            <w:shd w:val="clear" w:color="auto" w:fill="FFFFFF"/>
            <w:vAlign w:val="center"/>
          </w:tcPr>
          <w:p w14:paraId="1F4ACDE8"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0,2</w:t>
            </w:r>
          </w:p>
        </w:tc>
        <w:tc>
          <w:tcPr>
            <w:tcW w:w="399" w:type="pct"/>
            <w:tcBorders>
              <w:top w:val="single" w:sz="4" w:space="0" w:color="auto"/>
              <w:left w:val="single" w:sz="4" w:space="0" w:color="auto"/>
              <w:bottom w:val="single" w:sz="4" w:space="0" w:color="auto"/>
              <w:right w:val="single" w:sz="4" w:space="0" w:color="auto"/>
            </w:tcBorders>
            <w:shd w:val="clear" w:color="auto" w:fill="FFFFFF"/>
            <w:vAlign w:val="center"/>
          </w:tcPr>
          <w:p w14:paraId="13C9EED0"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0,9</w:t>
            </w:r>
          </w:p>
        </w:tc>
        <w:tc>
          <w:tcPr>
            <w:tcW w:w="387" w:type="pct"/>
            <w:tcBorders>
              <w:top w:val="single" w:sz="4" w:space="0" w:color="auto"/>
              <w:left w:val="single" w:sz="4" w:space="0" w:color="auto"/>
              <w:bottom w:val="single" w:sz="4" w:space="0" w:color="auto"/>
              <w:right w:val="single" w:sz="4" w:space="0" w:color="auto"/>
            </w:tcBorders>
            <w:shd w:val="clear" w:color="auto" w:fill="FFFFFF"/>
            <w:vAlign w:val="center"/>
          </w:tcPr>
          <w:p w14:paraId="44DB5783"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1,3</w:t>
            </w:r>
          </w:p>
        </w:tc>
        <w:tc>
          <w:tcPr>
            <w:tcW w:w="392" w:type="pct"/>
            <w:tcBorders>
              <w:top w:val="single" w:sz="4" w:space="0" w:color="auto"/>
              <w:left w:val="single" w:sz="4" w:space="0" w:color="auto"/>
              <w:bottom w:val="single" w:sz="4" w:space="0" w:color="auto"/>
              <w:right w:val="single" w:sz="4" w:space="0" w:color="auto"/>
            </w:tcBorders>
            <w:shd w:val="clear" w:color="auto" w:fill="FFFFFF"/>
            <w:vAlign w:val="center"/>
          </w:tcPr>
          <w:p w14:paraId="2DB90E0A"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3,3</w:t>
            </w:r>
          </w:p>
        </w:tc>
        <w:tc>
          <w:tcPr>
            <w:tcW w:w="347" w:type="pct"/>
            <w:tcBorders>
              <w:top w:val="single" w:sz="4" w:space="0" w:color="auto"/>
              <w:left w:val="single" w:sz="4" w:space="0" w:color="auto"/>
              <w:bottom w:val="single" w:sz="4" w:space="0" w:color="auto"/>
              <w:right w:val="single" w:sz="4" w:space="0" w:color="auto"/>
            </w:tcBorders>
            <w:shd w:val="clear" w:color="auto" w:fill="FFFFFF"/>
            <w:vAlign w:val="center"/>
          </w:tcPr>
          <w:p w14:paraId="2F5C5A1E"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p>
        </w:tc>
      </w:tr>
      <w:tr w:rsidR="0047261E" w:rsidRPr="0047261E" w14:paraId="7A16AEBA" w14:textId="77777777" w:rsidTr="0047261E">
        <w:trPr>
          <w:trHeight w:val="192"/>
        </w:trPr>
        <w:tc>
          <w:tcPr>
            <w:tcW w:w="1501" w:type="pct"/>
            <w:tcBorders>
              <w:top w:val="single" w:sz="4" w:space="0" w:color="auto"/>
              <w:left w:val="single" w:sz="4" w:space="0" w:color="auto"/>
              <w:bottom w:val="single" w:sz="4" w:space="0" w:color="auto"/>
              <w:right w:val="single" w:sz="4" w:space="0" w:color="auto"/>
            </w:tcBorders>
            <w:shd w:val="clear" w:color="auto" w:fill="FFFFFF"/>
          </w:tcPr>
          <w:p w14:paraId="0797850B"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Производство инвесттоваров</w:t>
            </w:r>
            <w:r w:rsidRPr="0047261E">
              <w:rPr>
                <w:rFonts w:eastAsia="Times New Roman" w:cs="Times New Roman"/>
                <w:kern w:val="3"/>
                <w:sz w:val="22"/>
                <w:lang w:eastAsia="ru-RU" w:bidi="hi-IN"/>
              </w:rPr>
              <w:footnoteReference w:id="2"/>
            </w:r>
          </w:p>
        </w:tc>
        <w:tc>
          <w:tcPr>
            <w:tcW w:w="402" w:type="pct"/>
            <w:tcBorders>
              <w:top w:val="single" w:sz="4" w:space="0" w:color="auto"/>
              <w:left w:val="single" w:sz="4" w:space="0" w:color="auto"/>
              <w:bottom w:val="single" w:sz="4" w:space="0" w:color="auto"/>
              <w:right w:val="single" w:sz="4" w:space="0" w:color="auto"/>
            </w:tcBorders>
            <w:shd w:val="clear" w:color="auto" w:fill="FFFFFF"/>
            <w:vAlign w:val="center"/>
          </w:tcPr>
          <w:p w14:paraId="5AD7A72C"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p>
        </w:tc>
        <w:tc>
          <w:tcPr>
            <w:tcW w:w="392" w:type="pct"/>
            <w:tcBorders>
              <w:top w:val="single" w:sz="4" w:space="0" w:color="auto"/>
              <w:left w:val="single" w:sz="4" w:space="0" w:color="auto"/>
              <w:bottom w:val="single" w:sz="4" w:space="0" w:color="auto"/>
              <w:right w:val="single" w:sz="4" w:space="0" w:color="auto"/>
            </w:tcBorders>
            <w:shd w:val="clear" w:color="auto" w:fill="FFFFFF"/>
            <w:vAlign w:val="center"/>
          </w:tcPr>
          <w:p w14:paraId="1E353B52"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p>
        </w:tc>
        <w:tc>
          <w:tcPr>
            <w:tcW w:w="394" w:type="pct"/>
            <w:tcBorders>
              <w:top w:val="single" w:sz="4" w:space="0" w:color="auto"/>
              <w:left w:val="single" w:sz="4" w:space="0" w:color="auto"/>
              <w:bottom w:val="single" w:sz="4" w:space="0" w:color="auto"/>
              <w:right w:val="single" w:sz="4" w:space="0" w:color="auto"/>
            </w:tcBorders>
            <w:shd w:val="clear" w:color="auto" w:fill="FFFFFF"/>
            <w:vAlign w:val="center"/>
          </w:tcPr>
          <w:p w14:paraId="7B3187AF"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p>
        </w:tc>
        <w:tc>
          <w:tcPr>
            <w:tcW w:w="394" w:type="pct"/>
            <w:tcBorders>
              <w:top w:val="single" w:sz="4" w:space="0" w:color="auto"/>
              <w:left w:val="single" w:sz="4" w:space="0" w:color="auto"/>
              <w:bottom w:val="single" w:sz="4" w:space="0" w:color="auto"/>
              <w:right w:val="single" w:sz="4" w:space="0" w:color="auto"/>
            </w:tcBorders>
            <w:shd w:val="clear" w:color="auto" w:fill="FFFFFF"/>
            <w:vAlign w:val="center"/>
          </w:tcPr>
          <w:p w14:paraId="362F4F0B"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p>
        </w:tc>
        <w:tc>
          <w:tcPr>
            <w:tcW w:w="392" w:type="pct"/>
            <w:tcBorders>
              <w:top w:val="single" w:sz="4" w:space="0" w:color="auto"/>
              <w:left w:val="single" w:sz="4" w:space="0" w:color="auto"/>
              <w:bottom w:val="single" w:sz="4" w:space="0" w:color="auto"/>
              <w:right w:val="single" w:sz="4" w:space="0" w:color="auto"/>
            </w:tcBorders>
            <w:shd w:val="clear" w:color="auto" w:fill="FFFFFF"/>
            <w:vAlign w:val="center"/>
          </w:tcPr>
          <w:p w14:paraId="4FF8263F"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p>
        </w:tc>
        <w:tc>
          <w:tcPr>
            <w:tcW w:w="399" w:type="pct"/>
            <w:tcBorders>
              <w:top w:val="single" w:sz="4" w:space="0" w:color="auto"/>
              <w:left w:val="single" w:sz="4" w:space="0" w:color="auto"/>
              <w:bottom w:val="single" w:sz="4" w:space="0" w:color="auto"/>
              <w:right w:val="single" w:sz="4" w:space="0" w:color="auto"/>
            </w:tcBorders>
            <w:shd w:val="clear" w:color="auto" w:fill="FFFFFF"/>
            <w:vAlign w:val="center"/>
          </w:tcPr>
          <w:p w14:paraId="7DE02323"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p>
        </w:tc>
        <w:tc>
          <w:tcPr>
            <w:tcW w:w="387" w:type="pct"/>
            <w:tcBorders>
              <w:top w:val="single" w:sz="4" w:space="0" w:color="auto"/>
              <w:left w:val="single" w:sz="4" w:space="0" w:color="auto"/>
              <w:bottom w:val="single" w:sz="4" w:space="0" w:color="auto"/>
              <w:right w:val="single" w:sz="4" w:space="0" w:color="auto"/>
            </w:tcBorders>
            <w:shd w:val="clear" w:color="auto" w:fill="FFFFFF"/>
            <w:vAlign w:val="center"/>
          </w:tcPr>
          <w:p w14:paraId="1AB0F745"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p>
        </w:tc>
        <w:tc>
          <w:tcPr>
            <w:tcW w:w="392" w:type="pct"/>
            <w:tcBorders>
              <w:top w:val="single" w:sz="4" w:space="0" w:color="auto"/>
              <w:left w:val="single" w:sz="4" w:space="0" w:color="auto"/>
              <w:bottom w:val="single" w:sz="4" w:space="0" w:color="auto"/>
              <w:right w:val="single" w:sz="4" w:space="0" w:color="auto"/>
            </w:tcBorders>
            <w:shd w:val="clear" w:color="auto" w:fill="FFFFFF"/>
            <w:vAlign w:val="center"/>
          </w:tcPr>
          <w:p w14:paraId="120AC7CB"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p>
        </w:tc>
        <w:tc>
          <w:tcPr>
            <w:tcW w:w="347" w:type="pct"/>
            <w:tcBorders>
              <w:top w:val="single" w:sz="4" w:space="0" w:color="auto"/>
              <w:left w:val="single" w:sz="4" w:space="0" w:color="auto"/>
              <w:bottom w:val="single" w:sz="4" w:space="0" w:color="auto"/>
              <w:right w:val="single" w:sz="4" w:space="0" w:color="auto"/>
            </w:tcBorders>
            <w:shd w:val="clear" w:color="auto" w:fill="FFFFFF"/>
            <w:vAlign w:val="center"/>
          </w:tcPr>
          <w:p w14:paraId="429F734A"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p>
        </w:tc>
      </w:tr>
      <w:tr w:rsidR="0047261E" w:rsidRPr="0047261E" w14:paraId="280B8F11" w14:textId="77777777" w:rsidTr="0047261E">
        <w:trPr>
          <w:trHeight w:val="202"/>
        </w:trPr>
        <w:tc>
          <w:tcPr>
            <w:tcW w:w="1501" w:type="pct"/>
            <w:tcBorders>
              <w:top w:val="single" w:sz="4" w:space="0" w:color="auto"/>
              <w:left w:val="single" w:sz="4" w:space="0" w:color="auto"/>
              <w:bottom w:val="single" w:sz="4" w:space="0" w:color="auto"/>
              <w:right w:val="single" w:sz="4" w:space="0" w:color="auto"/>
            </w:tcBorders>
            <w:shd w:val="clear" w:color="auto" w:fill="FFFFFF"/>
            <w:vAlign w:val="bottom"/>
          </w:tcPr>
          <w:p w14:paraId="533A1566"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 к соответствующему периоду</w:t>
            </w:r>
          </w:p>
        </w:tc>
        <w:tc>
          <w:tcPr>
            <w:tcW w:w="402" w:type="pct"/>
            <w:tcBorders>
              <w:top w:val="single" w:sz="4" w:space="0" w:color="auto"/>
              <w:left w:val="single" w:sz="4" w:space="0" w:color="auto"/>
              <w:bottom w:val="single" w:sz="4" w:space="0" w:color="auto"/>
              <w:right w:val="single" w:sz="4" w:space="0" w:color="auto"/>
            </w:tcBorders>
            <w:shd w:val="clear" w:color="auto" w:fill="FFFFFF"/>
            <w:vAlign w:val="center"/>
          </w:tcPr>
          <w:p w14:paraId="7653BF65"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8,4</w:t>
            </w:r>
          </w:p>
        </w:tc>
        <w:tc>
          <w:tcPr>
            <w:tcW w:w="392" w:type="pct"/>
            <w:tcBorders>
              <w:top w:val="single" w:sz="4" w:space="0" w:color="auto"/>
              <w:left w:val="single" w:sz="4" w:space="0" w:color="auto"/>
              <w:bottom w:val="single" w:sz="4" w:space="0" w:color="auto"/>
              <w:right w:val="single" w:sz="4" w:space="0" w:color="auto"/>
            </w:tcBorders>
            <w:shd w:val="clear" w:color="auto" w:fill="FFFFFF"/>
            <w:vAlign w:val="center"/>
          </w:tcPr>
          <w:p w14:paraId="05E281A0"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3,9</w:t>
            </w:r>
          </w:p>
        </w:tc>
        <w:tc>
          <w:tcPr>
            <w:tcW w:w="394" w:type="pct"/>
            <w:tcBorders>
              <w:top w:val="single" w:sz="4" w:space="0" w:color="auto"/>
              <w:left w:val="single" w:sz="4" w:space="0" w:color="auto"/>
              <w:bottom w:val="single" w:sz="4" w:space="0" w:color="auto"/>
              <w:right w:val="single" w:sz="4" w:space="0" w:color="auto"/>
            </w:tcBorders>
            <w:shd w:val="clear" w:color="auto" w:fill="FFFFFF"/>
            <w:vAlign w:val="center"/>
          </w:tcPr>
          <w:p w14:paraId="5D939B62"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3,6</w:t>
            </w:r>
          </w:p>
        </w:tc>
        <w:tc>
          <w:tcPr>
            <w:tcW w:w="394" w:type="pct"/>
            <w:tcBorders>
              <w:top w:val="single" w:sz="4" w:space="0" w:color="auto"/>
              <w:left w:val="single" w:sz="4" w:space="0" w:color="auto"/>
              <w:bottom w:val="single" w:sz="4" w:space="0" w:color="auto"/>
              <w:right w:val="single" w:sz="4" w:space="0" w:color="auto"/>
            </w:tcBorders>
            <w:shd w:val="clear" w:color="auto" w:fill="FFFFFF"/>
            <w:vAlign w:val="center"/>
          </w:tcPr>
          <w:p w14:paraId="02BCEAA7"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2,3</w:t>
            </w:r>
          </w:p>
        </w:tc>
        <w:tc>
          <w:tcPr>
            <w:tcW w:w="392" w:type="pct"/>
            <w:tcBorders>
              <w:top w:val="single" w:sz="4" w:space="0" w:color="auto"/>
              <w:left w:val="single" w:sz="4" w:space="0" w:color="auto"/>
              <w:bottom w:val="single" w:sz="4" w:space="0" w:color="auto"/>
              <w:right w:val="single" w:sz="4" w:space="0" w:color="auto"/>
            </w:tcBorders>
            <w:shd w:val="clear" w:color="auto" w:fill="FFFFFF"/>
            <w:vAlign w:val="center"/>
          </w:tcPr>
          <w:p w14:paraId="2482B94C"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5,6</w:t>
            </w:r>
          </w:p>
        </w:tc>
        <w:tc>
          <w:tcPr>
            <w:tcW w:w="399" w:type="pct"/>
            <w:tcBorders>
              <w:top w:val="single" w:sz="4" w:space="0" w:color="auto"/>
              <w:left w:val="single" w:sz="4" w:space="0" w:color="auto"/>
              <w:bottom w:val="single" w:sz="4" w:space="0" w:color="auto"/>
              <w:right w:val="single" w:sz="4" w:space="0" w:color="auto"/>
            </w:tcBorders>
            <w:shd w:val="clear" w:color="auto" w:fill="FFFFFF"/>
            <w:vAlign w:val="center"/>
          </w:tcPr>
          <w:p w14:paraId="460B6E08"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13,7</w:t>
            </w:r>
          </w:p>
        </w:tc>
        <w:tc>
          <w:tcPr>
            <w:tcW w:w="387" w:type="pct"/>
            <w:tcBorders>
              <w:top w:val="single" w:sz="4" w:space="0" w:color="auto"/>
              <w:left w:val="single" w:sz="4" w:space="0" w:color="auto"/>
              <w:bottom w:val="single" w:sz="4" w:space="0" w:color="auto"/>
              <w:right w:val="single" w:sz="4" w:space="0" w:color="auto"/>
            </w:tcBorders>
            <w:shd w:val="clear" w:color="auto" w:fill="FFFFFF"/>
            <w:vAlign w:val="center"/>
          </w:tcPr>
          <w:p w14:paraId="3F88F615"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8,9</w:t>
            </w:r>
          </w:p>
        </w:tc>
        <w:tc>
          <w:tcPr>
            <w:tcW w:w="392" w:type="pct"/>
            <w:tcBorders>
              <w:top w:val="single" w:sz="4" w:space="0" w:color="auto"/>
              <w:left w:val="single" w:sz="4" w:space="0" w:color="auto"/>
              <w:bottom w:val="single" w:sz="4" w:space="0" w:color="auto"/>
              <w:right w:val="single" w:sz="4" w:space="0" w:color="auto"/>
            </w:tcBorders>
            <w:shd w:val="clear" w:color="auto" w:fill="FFFFFF"/>
            <w:vAlign w:val="center"/>
          </w:tcPr>
          <w:p w14:paraId="045560EB"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6,7</w:t>
            </w:r>
          </w:p>
        </w:tc>
        <w:tc>
          <w:tcPr>
            <w:tcW w:w="347" w:type="pct"/>
            <w:tcBorders>
              <w:top w:val="single" w:sz="4" w:space="0" w:color="auto"/>
              <w:left w:val="single" w:sz="4" w:space="0" w:color="auto"/>
              <w:bottom w:val="single" w:sz="4" w:space="0" w:color="auto"/>
              <w:right w:val="single" w:sz="4" w:space="0" w:color="auto"/>
            </w:tcBorders>
            <w:shd w:val="clear" w:color="auto" w:fill="FFFFFF"/>
            <w:vAlign w:val="center"/>
          </w:tcPr>
          <w:p w14:paraId="5A73D051"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13,2</w:t>
            </w:r>
          </w:p>
        </w:tc>
      </w:tr>
      <w:tr w:rsidR="0047261E" w:rsidRPr="0047261E" w14:paraId="787F6108" w14:textId="77777777" w:rsidTr="0047261E">
        <w:trPr>
          <w:trHeight w:val="154"/>
        </w:trPr>
        <w:tc>
          <w:tcPr>
            <w:tcW w:w="1501" w:type="pct"/>
            <w:tcBorders>
              <w:top w:val="single" w:sz="4" w:space="0" w:color="auto"/>
              <w:left w:val="single" w:sz="4" w:space="0" w:color="auto"/>
              <w:bottom w:val="single" w:sz="4" w:space="0" w:color="auto"/>
              <w:right w:val="single" w:sz="4" w:space="0" w:color="auto"/>
            </w:tcBorders>
            <w:shd w:val="clear" w:color="auto" w:fill="FFFFFF"/>
          </w:tcPr>
          <w:p w14:paraId="5E7C3845"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предыдущего года</w:t>
            </w:r>
          </w:p>
        </w:tc>
        <w:tc>
          <w:tcPr>
            <w:tcW w:w="402" w:type="pct"/>
            <w:tcBorders>
              <w:top w:val="single" w:sz="4" w:space="0" w:color="auto"/>
              <w:left w:val="single" w:sz="4" w:space="0" w:color="auto"/>
              <w:bottom w:val="single" w:sz="4" w:space="0" w:color="auto"/>
              <w:right w:val="single" w:sz="4" w:space="0" w:color="auto"/>
            </w:tcBorders>
            <w:shd w:val="clear" w:color="auto" w:fill="FFFFFF"/>
            <w:vAlign w:val="center"/>
          </w:tcPr>
          <w:p w14:paraId="5E8798A4"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p>
        </w:tc>
        <w:tc>
          <w:tcPr>
            <w:tcW w:w="392" w:type="pct"/>
            <w:tcBorders>
              <w:top w:val="single" w:sz="4" w:space="0" w:color="auto"/>
              <w:left w:val="single" w:sz="4" w:space="0" w:color="auto"/>
              <w:bottom w:val="single" w:sz="4" w:space="0" w:color="auto"/>
              <w:right w:val="single" w:sz="4" w:space="0" w:color="auto"/>
            </w:tcBorders>
            <w:shd w:val="clear" w:color="auto" w:fill="FFFFFF"/>
            <w:vAlign w:val="center"/>
          </w:tcPr>
          <w:p w14:paraId="12F7A2CC"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p>
        </w:tc>
        <w:tc>
          <w:tcPr>
            <w:tcW w:w="394" w:type="pct"/>
            <w:tcBorders>
              <w:top w:val="single" w:sz="4" w:space="0" w:color="auto"/>
              <w:left w:val="single" w:sz="4" w:space="0" w:color="auto"/>
              <w:bottom w:val="single" w:sz="4" w:space="0" w:color="auto"/>
              <w:right w:val="single" w:sz="4" w:space="0" w:color="auto"/>
            </w:tcBorders>
            <w:shd w:val="clear" w:color="auto" w:fill="FFFFFF"/>
            <w:vAlign w:val="center"/>
          </w:tcPr>
          <w:p w14:paraId="412D3012"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p>
        </w:tc>
        <w:tc>
          <w:tcPr>
            <w:tcW w:w="394" w:type="pct"/>
            <w:tcBorders>
              <w:top w:val="single" w:sz="4" w:space="0" w:color="auto"/>
              <w:left w:val="single" w:sz="4" w:space="0" w:color="auto"/>
              <w:bottom w:val="single" w:sz="4" w:space="0" w:color="auto"/>
              <w:right w:val="single" w:sz="4" w:space="0" w:color="auto"/>
            </w:tcBorders>
            <w:shd w:val="clear" w:color="auto" w:fill="FFFFFF"/>
            <w:vAlign w:val="center"/>
          </w:tcPr>
          <w:p w14:paraId="7D99F2B5"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p>
        </w:tc>
        <w:tc>
          <w:tcPr>
            <w:tcW w:w="392" w:type="pct"/>
            <w:tcBorders>
              <w:top w:val="single" w:sz="4" w:space="0" w:color="auto"/>
              <w:left w:val="single" w:sz="4" w:space="0" w:color="auto"/>
              <w:bottom w:val="single" w:sz="4" w:space="0" w:color="auto"/>
              <w:right w:val="single" w:sz="4" w:space="0" w:color="auto"/>
            </w:tcBorders>
            <w:shd w:val="clear" w:color="auto" w:fill="FFFFFF"/>
            <w:vAlign w:val="center"/>
          </w:tcPr>
          <w:p w14:paraId="16011799"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p>
        </w:tc>
        <w:tc>
          <w:tcPr>
            <w:tcW w:w="399" w:type="pct"/>
            <w:tcBorders>
              <w:top w:val="single" w:sz="4" w:space="0" w:color="auto"/>
              <w:left w:val="single" w:sz="4" w:space="0" w:color="auto"/>
              <w:bottom w:val="single" w:sz="4" w:space="0" w:color="auto"/>
              <w:right w:val="single" w:sz="4" w:space="0" w:color="auto"/>
            </w:tcBorders>
            <w:shd w:val="clear" w:color="auto" w:fill="FFFFFF"/>
            <w:vAlign w:val="center"/>
          </w:tcPr>
          <w:p w14:paraId="42F2F637"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p>
        </w:tc>
        <w:tc>
          <w:tcPr>
            <w:tcW w:w="387" w:type="pct"/>
            <w:tcBorders>
              <w:top w:val="single" w:sz="4" w:space="0" w:color="auto"/>
              <w:left w:val="single" w:sz="4" w:space="0" w:color="auto"/>
              <w:bottom w:val="single" w:sz="4" w:space="0" w:color="auto"/>
              <w:right w:val="single" w:sz="4" w:space="0" w:color="auto"/>
            </w:tcBorders>
            <w:shd w:val="clear" w:color="auto" w:fill="FFFFFF"/>
            <w:vAlign w:val="center"/>
          </w:tcPr>
          <w:p w14:paraId="7DDC6734"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p>
        </w:tc>
        <w:tc>
          <w:tcPr>
            <w:tcW w:w="392" w:type="pct"/>
            <w:tcBorders>
              <w:top w:val="single" w:sz="4" w:space="0" w:color="auto"/>
              <w:left w:val="single" w:sz="4" w:space="0" w:color="auto"/>
              <w:bottom w:val="single" w:sz="4" w:space="0" w:color="auto"/>
              <w:right w:val="single" w:sz="4" w:space="0" w:color="auto"/>
            </w:tcBorders>
            <w:shd w:val="clear" w:color="auto" w:fill="FFFFFF"/>
            <w:vAlign w:val="center"/>
          </w:tcPr>
          <w:p w14:paraId="0B70442F"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p>
        </w:tc>
        <w:tc>
          <w:tcPr>
            <w:tcW w:w="347" w:type="pct"/>
            <w:tcBorders>
              <w:top w:val="single" w:sz="4" w:space="0" w:color="auto"/>
              <w:left w:val="single" w:sz="4" w:space="0" w:color="auto"/>
              <w:bottom w:val="single" w:sz="4" w:space="0" w:color="auto"/>
              <w:right w:val="single" w:sz="4" w:space="0" w:color="auto"/>
            </w:tcBorders>
            <w:shd w:val="clear" w:color="auto" w:fill="FFFFFF"/>
            <w:vAlign w:val="center"/>
          </w:tcPr>
          <w:p w14:paraId="6CF47026"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p>
        </w:tc>
      </w:tr>
      <w:tr w:rsidR="0047261E" w:rsidRPr="0047261E" w14:paraId="1B10F860" w14:textId="77777777" w:rsidTr="0047261E">
        <w:trPr>
          <w:trHeight w:val="226"/>
        </w:trPr>
        <w:tc>
          <w:tcPr>
            <w:tcW w:w="1501" w:type="pct"/>
            <w:tcBorders>
              <w:top w:val="single" w:sz="4" w:space="0" w:color="auto"/>
              <w:left w:val="single" w:sz="4" w:space="0" w:color="auto"/>
              <w:bottom w:val="single" w:sz="4" w:space="0" w:color="auto"/>
              <w:right w:val="single" w:sz="4" w:space="0" w:color="auto"/>
            </w:tcBorders>
            <w:shd w:val="clear" w:color="auto" w:fill="FFFFFF"/>
          </w:tcPr>
          <w:p w14:paraId="49BA5A3B"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 к предыдущему периоду (SA)</w:t>
            </w:r>
          </w:p>
        </w:tc>
        <w:tc>
          <w:tcPr>
            <w:tcW w:w="402" w:type="pct"/>
            <w:tcBorders>
              <w:top w:val="single" w:sz="4" w:space="0" w:color="auto"/>
              <w:left w:val="single" w:sz="4" w:space="0" w:color="auto"/>
              <w:bottom w:val="single" w:sz="4" w:space="0" w:color="auto"/>
              <w:right w:val="single" w:sz="4" w:space="0" w:color="auto"/>
            </w:tcBorders>
            <w:shd w:val="clear" w:color="auto" w:fill="FFFFFF"/>
            <w:vAlign w:val="center"/>
          </w:tcPr>
          <w:p w14:paraId="0D2459AF"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p>
        </w:tc>
        <w:tc>
          <w:tcPr>
            <w:tcW w:w="392" w:type="pct"/>
            <w:tcBorders>
              <w:top w:val="single" w:sz="4" w:space="0" w:color="auto"/>
              <w:left w:val="single" w:sz="4" w:space="0" w:color="auto"/>
              <w:bottom w:val="single" w:sz="4" w:space="0" w:color="auto"/>
              <w:right w:val="single" w:sz="4" w:space="0" w:color="auto"/>
            </w:tcBorders>
            <w:shd w:val="clear" w:color="auto" w:fill="FFFFFF"/>
            <w:vAlign w:val="center"/>
          </w:tcPr>
          <w:p w14:paraId="469156A8"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0,6</w:t>
            </w:r>
          </w:p>
        </w:tc>
        <w:tc>
          <w:tcPr>
            <w:tcW w:w="394" w:type="pct"/>
            <w:tcBorders>
              <w:top w:val="single" w:sz="4" w:space="0" w:color="auto"/>
              <w:left w:val="single" w:sz="4" w:space="0" w:color="auto"/>
              <w:bottom w:val="single" w:sz="4" w:space="0" w:color="auto"/>
              <w:right w:val="single" w:sz="4" w:space="0" w:color="auto"/>
            </w:tcBorders>
            <w:shd w:val="clear" w:color="auto" w:fill="FFFFFF"/>
            <w:vAlign w:val="center"/>
          </w:tcPr>
          <w:p w14:paraId="50B63AD4"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1,3</w:t>
            </w:r>
          </w:p>
        </w:tc>
        <w:tc>
          <w:tcPr>
            <w:tcW w:w="394" w:type="pct"/>
            <w:tcBorders>
              <w:top w:val="single" w:sz="4" w:space="0" w:color="auto"/>
              <w:left w:val="single" w:sz="4" w:space="0" w:color="auto"/>
              <w:bottom w:val="single" w:sz="4" w:space="0" w:color="auto"/>
              <w:right w:val="single" w:sz="4" w:space="0" w:color="auto"/>
            </w:tcBorders>
            <w:shd w:val="clear" w:color="auto" w:fill="FFFFFF"/>
            <w:vAlign w:val="center"/>
          </w:tcPr>
          <w:p w14:paraId="79FBC203"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1,0</w:t>
            </w:r>
          </w:p>
        </w:tc>
        <w:tc>
          <w:tcPr>
            <w:tcW w:w="392" w:type="pct"/>
            <w:tcBorders>
              <w:top w:val="single" w:sz="4" w:space="0" w:color="auto"/>
              <w:left w:val="single" w:sz="4" w:space="0" w:color="auto"/>
              <w:bottom w:val="single" w:sz="4" w:space="0" w:color="auto"/>
              <w:right w:val="single" w:sz="4" w:space="0" w:color="auto"/>
            </w:tcBorders>
            <w:shd w:val="clear" w:color="auto" w:fill="FFFFFF"/>
            <w:vAlign w:val="center"/>
          </w:tcPr>
          <w:p w14:paraId="4A4ED59D"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-9,4</w:t>
            </w:r>
          </w:p>
        </w:tc>
        <w:tc>
          <w:tcPr>
            <w:tcW w:w="399" w:type="pct"/>
            <w:tcBorders>
              <w:top w:val="single" w:sz="4" w:space="0" w:color="auto"/>
              <w:left w:val="single" w:sz="4" w:space="0" w:color="auto"/>
              <w:bottom w:val="single" w:sz="4" w:space="0" w:color="auto"/>
              <w:right w:val="single" w:sz="4" w:space="0" w:color="auto"/>
            </w:tcBorders>
            <w:shd w:val="clear" w:color="auto" w:fill="FFFFFF"/>
            <w:vAlign w:val="center"/>
          </w:tcPr>
          <w:p w14:paraId="4D65D0DC"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0,9</w:t>
            </w:r>
          </w:p>
        </w:tc>
        <w:tc>
          <w:tcPr>
            <w:tcW w:w="387" w:type="pct"/>
            <w:tcBorders>
              <w:top w:val="single" w:sz="4" w:space="0" w:color="auto"/>
              <w:left w:val="single" w:sz="4" w:space="0" w:color="auto"/>
              <w:bottom w:val="single" w:sz="4" w:space="0" w:color="auto"/>
              <w:right w:val="single" w:sz="4" w:space="0" w:color="auto"/>
            </w:tcBorders>
            <w:shd w:val="clear" w:color="auto" w:fill="FFFFFF"/>
            <w:vAlign w:val="center"/>
          </w:tcPr>
          <w:p w14:paraId="560A662E"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2,0</w:t>
            </w:r>
          </w:p>
        </w:tc>
        <w:tc>
          <w:tcPr>
            <w:tcW w:w="392" w:type="pct"/>
            <w:tcBorders>
              <w:top w:val="single" w:sz="4" w:space="0" w:color="auto"/>
              <w:left w:val="single" w:sz="4" w:space="0" w:color="auto"/>
              <w:bottom w:val="single" w:sz="4" w:space="0" w:color="auto"/>
              <w:right w:val="single" w:sz="4" w:space="0" w:color="auto"/>
            </w:tcBorders>
            <w:shd w:val="clear" w:color="auto" w:fill="FFFFFF"/>
            <w:vAlign w:val="center"/>
          </w:tcPr>
          <w:p w14:paraId="67FEDFE1"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0,9</w:t>
            </w:r>
          </w:p>
        </w:tc>
        <w:tc>
          <w:tcPr>
            <w:tcW w:w="347" w:type="pct"/>
            <w:tcBorders>
              <w:top w:val="single" w:sz="4" w:space="0" w:color="auto"/>
              <w:left w:val="single" w:sz="4" w:space="0" w:color="auto"/>
              <w:bottom w:val="single" w:sz="4" w:space="0" w:color="auto"/>
              <w:right w:val="single" w:sz="4" w:space="0" w:color="auto"/>
            </w:tcBorders>
            <w:shd w:val="clear" w:color="auto" w:fill="FFFFFF"/>
            <w:vAlign w:val="center"/>
          </w:tcPr>
          <w:p w14:paraId="37DFAD87"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p>
        </w:tc>
      </w:tr>
      <w:tr w:rsidR="0047261E" w:rsidRPr="0047261E" w14:paraId="01176045" w14:textId="77777777" w:rsidTr="0047261E">
        <w:trPr>
          <w:trHeight w:val="173"/>
        </w:trPr>
        <w:tc>
          <w:tcPr>
            <w:tcW w:w="1501" w:type="pct"/>
            <w:tcBorders>
              <w:top w:val="single" w:sz="4" w:space="0" w:color="auto"/>
              <w:left w:val="single" w:sz="4" w:space="0" w:color="auto"/>
              <w:bottom w:val="single" w:sz="4" w:space="0" w:color="auto"/>
              <w:right w:val="single" w:sz="4" w:space="0" w:color="auto"/>
            </w:tcBorders>
            <w:shd w:val="clear" w:color="auto" w:fill="FFFFFF"/>
            <w:vAlign w:val="bottom"/>
          </w:tcPr>
          <w:p w14:paraId="751536AA"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Импорт инвесттоваров из дальнего</w:t>
            </w:r>
          </w:p>
        </w:tc>
        <w:tc>
          <w:tcPr>
            <w:tcW w:w="402" w:type="pct"/>
            <w:tcBorders>
              <w:top w:val="single" w:sz="4" w:space="0" w:color="auto"/>
              <w:left w:val="single" w:sz="4" w:space="0" w:color="auto"/>
              <w:bottom w:val="single" w:sz="4" w:space="0" w:color="auto"/>
              <w:right w:val="single" w:sz="4" w:space="0" w:color="auto"/>
            </w:tcBorders>
            <w:shd w:val="clear" w:color="auto" w:fill="FFFFFF"/>
            <w:vAlign w:val="center"/>
          </w:tcPr>
          <w:p w14:paraId="49DF1603"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p>
        </w:tc>
        <w:tc>
          <w:tcPr>
            <w:tcW w:w="392" w:type="pct"/>
            <w:tcBorders>
              <w:top w:val="single" w:sz="4" w:space="0" w:color="auto"/>
              <w:left w:val="single" w:sz="4" w:space="0" w:color="auto"/>
              <w:bottom w:val="single" w:sz="4" w:space="0" w:color="auto"/>
              <w:right w:val="single" w:sz="4" w:space="0" w:color="auto"/>
            </w:tcBorders>
            <w:shd w:val="clear" w:color="auto" w:fill="FFFFFF"/>
            <w:vAlign w:val="center"/>
          </w:tcPr>
          <w:p w14:paraId="0E5C4D7B"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p>
        </w:tc>
        <w:tc>
          <w:tcPr>
            <w:tcW w:w="394" w:type="pct"/>
            <w:tcBorders>
              <w:top w:val="single" w:sz="4" w:space="0" w:color="auto"/>
              <w:left w:val="single" w:sz="4" w:space="0" w:color="auto"/>
              <w:bottom w:val="single" w:sz="4" w:space="0" w:color="auto"/>
              <w:right w:val="single" w:sz="4" w:space="0" w:color="auto"/>
            </w:tcBorders>
            <w:shd w:val="clear" w:color="auto" w:fill="FFFFFF"/>
            <w:vAlign w:val="center"/>
          </w:tcPr>
          <w:p w14:paraId="061519BD"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p>
        </w:tc>
        <w:tc>
          <w:tcPr>
            <w:tcW w:w="394" w:type="pct"/>
            <w:tcBorders>
              <w:top w:val="single" w:sz="4" w:space="0" w:color="auto"/>
              <w:left w:val="single" w:sz="4" w:space="0" w:color="auto"/>
              <w:bottom w:val="single" w:sz="4" w:space="0" w:color="auto"/>
              <w:right w:val="single" w:sz="4" w:space="0" w:color="auto"/>
            </w:tcBorders>
            <w:shd w:val="clear" w:color="auto" w:fill="FFFFFF"/>
            <w:vAlign w:val="center"/>
          </w:tcPr>
          <w:p w14:paraId="72892805"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p>
        </w:tc>
        <w:tc>
          <w:tcPr>
            <w:tcW w:w="392" w:type="pct"/>
            <w:tcBorders>
              <w:top w:val="single" w:sz="4" w:space="0" w:color="auto"/>
              <w:left w:val="single" w:sz="4" w:space="0" w:color="auto"/>
              <w:bottom w:val="single" w:sz="4" w:space="0" w:color="auto"/>
              <w:right w:val="single" w:sz="4" w:space="0" w:color="auto"/>
            </w:tcBorders>
            <w:shd w:val="clear" w:color="auto" w:fill="FFFFFF"/>
            <w:vAlign w:val="center"/>
          </w:tcPr>
          <w:p w14:paraId="12D14925"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p>
        </w:tc>
        <w:tc>
          <w:tcPr>
            <w:tcW w:w="399" w:type="pct"/>
            <w:tcBorders>
              <w:top w:val="single" w:sz="4" w:space="0" w:color="auto"/>
              <w:left w:val="single" w:sz="4" w:space="0" w:color="auto"/>
              <w:bottom w:val="single" w:sz="4" w:space="0" w:color="auto"/>
              <w:right w:val="single" w:sz="4" w:space="0" w:color="auto"/>
            </w:tcBorders>
            <w:shd w:val="clear" w:color="auto" w:fill="FFFFFF"/>
            <w:vAlign w:val="center"/>
          </w:tcPr>
          <w:p w14:paraId="01EFD7B4"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p>
        </w:tc>
        <w:tc>
          <w:tcPr>
            <w:tcW w:w="387" w:type="pct"/>
            <w:tcBorders>
              <w:top w:val="single" w:sz="4" w:space="0" w:color="auto"/>
              <w:left w:val="single" w:sz="4" w:space="0" w:color="auto"/>
              <w:bottom w:val="single" w:sz="4" w:space="0" w:color="auto"/>
              <w:right w:val="single" w:sz="4" w:space="0" w:color="auto"/>
            </w:tcBorders>
            <w:shd w:val="clear" w:color="auto" w:fill="FFFFFF"/>
            <w:vAlign w:val="center"/>
          </w:tcPr>
          <w:p w14:paraId="6932BDE6"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p>
        </w:tc>
        <w:tc>
          <w:tcPr>
            <w:tcW w:w="392" w:type="pct"/>
            <w:tcBorders>
              <w:top w:val="single" w:sz="4" w:space="0" w:color="auto"/>
              <w:left w:val="single" w:sz="4" w:space="0" w:color="auto"/>
              <w:bottom w:val="single" w:sz="4" w:space="0" w:color="auto"/>
              <w:right w:val="single" w:sz="4" w:space="0" w:color="auto"/>
            </w:tcBorders>
            <w:shd w:val="clear" w:color="auto" w:fill="FFFFFF"/>
            <w:vAlign w:val="center"/>
          </w:tcPr>
          <w:p w14:paraId="5AAC1286"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p>
        </w:tc>
        <w:tc>
          <w:tcPr>
            <w:tcW w:w="347" w:type="pct"/>
            <w:tcBorders>
              <w:top w:val="single" w:sz="4" w:space="0" w:color="auto"/>
              <w:left w:val="single" w:sz="4" w:space="0" w:color="auto"/>
              <w:bottom w:val="single" w:sz="4" w:space="0" w:color="auto"/>
              <w:right w:val="single" w:sz="4" w:space="0" w:color="auto"/>
            </w:tcBorders>
            <w:shd w:val="clear" w:color="auto" w:fill="FFFFFF"/>
            <w:vAlign w:val="center"/>
          </w:tcPr>
          <w:p w14:paraId="164F73BA"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p>
        </w:tc>
      </w:tr>
      <w:tr w:rsidR="0047261E" w:rsidRPr="0047261E" w14:paraId="64FDF856" w14:textId="77777777" w:rsidTr="0047261E">
        <w:trPr>
          <w:trHeight w:val="178"/>
        </w:trPr>
        <w:tc>
          <w:tcPr>
            <w:tcW w:w="1501" w:type="pct"/>
            <w:tcBorders>
              <w:top w:val="single" w:sz="4" w:space="0" w:color="auto"/>
              <w:left w:val="single" w:sz="4" w:space="0" w:color="auto"/>
              <w:bottom w:val="single" w:sz="4" w:space="0" w:color="auto"/>
              <w:right w:val="single" w:sz="4" w:space="0" w:color="auto"/>
            </w:tcBorders>
            <w:shd w:val="clear" w:color="auto" w:fill="FFFFFF"/>
          </w:tcPr>
          <w:p w14:paraId="78D4E54B"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зарубежья</w:t>
            </w:r>
          </w:p>
        </w:tc>
        <w:tc>
          <w:tcPr>
            <w:tcW w:w="402" w:type="pct"/>
            <w:tcBorders>
              <w:top w:val="single" w:sz="4" w:space="0" w:color="auto"/>
              <w:left w:val="single" w:sz="4" w:space="0" w:color="auto"/>
              <w:bottom w:val="single" w:sz="4" w:space="0" w:color="auto"/>
              <w:right w:val="single" w:sz="4" w:space="0" w:color="auto"/>
            </w:tcBorders>
            <w:shd w:val="clear" w:color="auto" w:fill="FFFFFF"/>
            <w:vAlign w:val="center"/>
          </w:tcPr>
          <w:p w14:paraId="1A6D7139"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p>
        </w:tc>
        <w:tc>
          <w:tcPr>
            <w:tcW w:w="392" w:type="pct"/>
            <w:tcBorders>
              <w:top w:val="single" w:sz="4" w:space="0" w:color="auto"/>
              <w:left w:val="single" w:sz="4" w:space="0" w:color="auto"/>
              <w:bottom w:val="single" w:sz="4" w:space="0" w:color="auto"/>
              <w:right w:val="single" w:sz="4" w:space="0" w:color="auto"/>
            </w:tcBorders>
            <w:shd w:val="clear" w:color="auto" w:fill="FFFFFF"/>
            <w:vAlign w:val="center"/>
          </w:tcPr>
          <w:p w14:paraId="739D6A33"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p>
        </w:tc>
        <w:tc>
          <w:tcPr>
            <w:tcW w:w="394" w:type="pct"/>
            <w:tcBorders>
              <w:top w:val="single" w:sz="4" w:space="0" w:color="auto"/>
              <w:left w:val="single" w:sz="4" w:space="0" w:color="auto"/>
              <w:bottom w:val="single" w:sz="4" w:space="0" w:color="auto"/>
              <w:right w:val="single" w:sz="4" w:space="0" w:color="auto"/>
            </w:tcBorders>
            <w:shd w:val="clear" w:color="auto" w:fill="FFFFFF"/>
            <w:vAlign w:val="center"/>
          </w:tcPr>
          <w:p w14:paraId="79002634"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p>
        </w:tc>
        <w:tc>
          <w:tcPr>
            <w:tcW w:w="394" w:type="pct"/>
            <w:tcBorders>
              <w:top w:val="single" w:sz="4" w:space="0" w:color="auto"/>
              <w:left w:val="single" w:sz="4" w:space="0" w:color="auto"/>
              <w:bottom w:val="single" w:sz="4" w:space="0" w:color="auto"/>
              <w:right w:val="single" w:sz="4" w:space="0" w:color="auto"/>
            </w:tcBorders>
            <w:shd w:val="clear" w:color="auto" w:fill="FFFFFF"/>
            <w:vAlign w:val="center"/>
          </w:tcPr>
          <w:p w14:paraId="15C68683"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p>
        </w:tc>
        <w:tc>
          <w:tcPr>
            <w:tcW w:w="392" w:type="pct"/>
            <w:tcBorders>
              <w:top w:val="single" w:sz="4" w:space="0" w:color="auto"/>
              <w:left w:val="single" w:sz="4" w:space="0" w:color="auto"/>
              <w:bottom w:val="single" w:sz="4" w:space="0" w:color="auto"/>
              <w:right w:val="single" w:sz="4" w:space="0" w:color="auto"/>
            </w:tcBorders>
            <w:shd w:val="clear" w:color="auto" w:fill="FFFFFF"/>
            <w:vAlign w:val="center"/>
          </w:tcPr>
          <w:p w14:paraId="7C231F89"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p>
        </w:tc>
        <w:tc>
          <w:tcPr>
            <w:tcW w:w="399" w:type="pct"/>
            <w:tcBorders>
              <w:top w:val="single" w:sz="4" w:space="0" w:color="auto"/>
              <w:left w:val="single" w:sz="4" w:space="0" w:color="auto"/>
              <w:bottom w:val="single" w:sz="4" w:space="0" w:color="auto"/>
              <w:right w:val="single" w:sz="4" w:space="0" w:color="auto"/>
            </w:tcBorders>
            <w:shd w:val="clear" w:color="auto" w:fill="FFFFFF"/>
            <w:vAlign w:val="center"/>
          </w:tcPr>
          <w:p w14:paraId="6A7DC3B4"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p>
        </w:tc>
        <w:tc>
          <w:tcPr>
            <w:tcW w:w="387" w:type="pct"/>
            <w:tcBorders>
              <w:top w:val="single" w:sz="4" w:space="0" w:color="auto"/>
              <w:left w:val="single" w:sz="4" w:space="0" w:color="auto"/>
              <w:bottom w:val="single" w:sz="4" w:space="0" w:color="auto"/>
              <w:right w:val="single" w:sz="4" w:space="0" w:color="auto"/>
            </w:tcBorders>
            <w:shd w:val="clear" w:color="auto" w:fill="FFFFFF"/>
            <w:vAlign w:val="center"/>
          </w:tcPr>
          <w:p w14:paraId="75C9B0D2"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p>
        </w:tc>
        <w:tc>
          <w:tcPr>
            <w:tcW w:w="392" w:type="pct"/>
            <w:tcBorders>
              <w:top w:val="single" w:sz="4" w:space="0" w:color="auto"/>
              <w:left w:val="single" w:sz="4" w:space="0" w:color="auto"/>
              <w:bottom w:val="single" w:sz="4" w:space="0" w:color="auto"/>
              <w:right w:val="single" w:sz="4" w:space="0" w:color="auto"/>
            </w:tcBorders>
            <w:shd w:val="clear" w:color="auto" w:fill="FFFFFF"/>
            <w:vAlign w:val="center"/>
          </w:tcPr>
          <w:p w14:paraId="55915FB9"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p>
        </w:tc>
        <w:tc>
          <w:tcPr>
            <w:tcW w:w="347" w:type="pct"/>
            <w:tcBorders>
              <w:top w:val="single" w:sz="4" w:space="0" w:color="auto"/>
              <w:left w:val="single" w:sz="4" w:space="0" w:color="auto"/>
              <w:bottom w:val="single" w:sz="4" w:space="0" w:color="auto"/>
              <w:right w:val="single" w:sz="4" w:space="0" w:color="auto"/>
            </w:tcBorders>
            <w:shd w:val="clear" w:color="auto" w:fill="FFFFFF"/>
            <w:vAlign w:val="center"/>
          </w:tcPr>
          <w:p w14:paraId="45122ABA"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p>
        </w:tc>
      </w:tr>
      <w:tr w:rsidR="0047261E" w:rsidRPr="0047261E" w14:paraId="5AFA2E76" w14:textId="77777777" w:rsidTr="0047261E">
        <w:trPr>
          <w:trHeight w:val="192"/>
        </w:trPr>
        <w:tc>
          <w:tcPr>
            <w:tcW w:w="1501" w:type="pct"/>
            <w:tcBorders>
              <w:top w:val="single" w:sz="4" w:space="0" w:color="auto"/>
              <w:left w:val="single" w:sz="4" w:space="0" w:color="auto"/>
              <w:bottom w:val="single" w:sz="4" w:space="0" w:color="auto"/>
              <w:right w:val="single" w:sz="4" w:space="0" w:color="auto"/>
            </w:tcBorders>
            <w:shd w:val="clear" w:color="auto" w:fill="FFFFFF"/>
          </w:tcPr>
          <w:p w14:paraId="7E2CE21E"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 к соответствующему периоду</w:t>
            </w:r>
          </w:p>
        </w:tc>
        <w:tc>
          <w:tcPr>
            <w:tcW w:w="402" w:type="pct"/>
            <w:tcBorders>
              <w:top w:val="single" w:sz="4" w:space="0" w:color="auto"/>
              <w:left w:val="single" w:sz="4" w:space="0" w:color="auto"/>
              <w:bottom w:val="single" w:sz="4" w:space="0" w:color="auto"/>
              <w:right w:val="single" w:sz="4" w:space="0" w:color="auto"/>
            </w:tcBorders>
            <w:shd w:val="clear" w:color="auto" w:fill="FFFFFF"/>
            <w:vAlign w:val="center"/>
          </w:tcPr>
          <w:p w14:paraId="1AEB81CD"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9,0</w:t>
            </w:r>
          </w:p>
        </w:tc>
        <w:tc>
          <w:tcPr>
            <w:tcW w:w="392" w:type="pct"/>
            <w:tcBorders>
              <w:top w:val="single" w:sz="4" w:space="0" w:color="auto"/>
              <w:left w:val="single" w:sz="4" w:space="0" w:color="auto"/>
              <w:bottom w:val="single" w:sz="4" w:space="0" w:color="auto"/>
              <w:right w:val="single" w:sz="4" w:space="0" w:color="auto"/>
            </w:tcBorders>
            <w:shd w:val="clear" w:color="auto" w:fill="FFFFFF"/>
            <w:vAlign w:val="center"/>
          </w:tcPr>
          <w:p w14:paraId="57DF5456"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-1,6</w:t>
            </w:r>
          </w:p>
        </w:tc>
        <w:tc>
          <w:tcPr>
            <w:tcW w:w="394" w:type="pct"/>
            <w:tcBorders>
              <w:top w:val="single" w:sz="4" w:space="0" w:color="auto"/>
              <w:left w:val="single" w:sz="4" w:space="0" w:color="auto"/>
              <w:bottom w:val="single" w:sz="4" w:space="0" w:color="auto"/>
              <w:right w:val="single" w:sz="4" w:space="0" w:color="auto"/>
            </w:tcBorders>
            <w:shd w:val="clear" w:color="auto" w:fill="FFFFFF"/>
            <w:vAlign w:val="center"/>
          </w:tcPr>
          <w:p w14:paraId="2DB3504B"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-8,3</w:t>
            </w:r>
          </w:p>
        </w:tc>
        <w:tc>
          <w:tcPr>
            <w:tcW w:w="394" w:type="pct"/>
            <w:tcBorders>
              <w:top w:val="single" w:sz="4" w:space="0" w:color="auto"/>
              <w:left w:val="single" w:sz="4" w:space="0" w:color="auto"/>
              <w:bottom w:val="single" w:sz="4" w:space="0" w:color="auto"/>
              <w:right w:val="single" w:sz="4" w:space="0" w:color="auto"/>
            </w:tcBorders>
            <w:shd w:val="clear" w:color="auto" w:fill="FFFFFF"/>
            <w:vAlign w:val="center"/>
          </w:tcPr>
          <w:p w14:paraId="531C1A0C"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0,3</w:t>
            </w:r>
          </w:p>
        </w:tc>
        <w:tc>
          <w:tcPr>
            <w:tcW w:w="392" w:type="pct"/>
            <w:tcBorders>
              <w:top w:val="single" w:sz="4" w:space="0" w:color="auto"/>
              <w:left w:val="single" w:sz="4" w:space="0" w:color="auto"/>
              <w:bottom w:val="single" w:sz="4" w:space="0" w:color="auto"/>
              <w:right w:val="single" w:sz="4" w:space="0" w:color="auto"/>
            </w:tcBorders>
            <w:shd w:val="clear" w:color="auto" w:fill="FFFFFF"/>
            <w:vAlign w:val="center"/>
          </w:tcPr>
          <w:p w14:paraId="78201F2A"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3,9</w:t>
            </w:r>
          </w:p>
        </w:tc>
        <w:tc>
          <w:tcPr>
            <w:tcW w:w="399" w:type="pct"/>
            <w:tcBorders>
              <w:top w:val="single" w:sz="4" w:space="0" w:color="auto"/>
              <w:left w:val="single" w:sz="4" w:space="0" w:color="auto"/>
              <w:bottom w:val="single" w:sz="4" w:space="0" w:color="auto"/>
              <w:right w:val="single" w:sz="4" w:space="0" w:color="auto"/>
            </w:tcBorders>
            <w:shd w:val="clear" w:color="auto" w:fill="FFFFFF"/>
            <w:vAlign w:val="center"/>
          </w:tcPr>
          <w:p w14:paraId="0358822D"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-0,5</w:t>
            </w:r>
          </w:p>
        </w:tc>
        <w:tc>
          <w:tcPr>
            <w:tcW w:w="387" w:type="pct"/>
            <w:tcBorders>
              <w:top w:val="single" w:sz="4" w:space="0" w:color="auto"/>
              <w:left w:val="single" w:sz="4" w:space="0" w:color="auto"/>
              <w:bottom w:val="single" w:sz="4" w:space="0" w:color="auto"/>
              <w:right w:val="single" w:sz="4" w:space="0" w:color="auto"/>
            </w:tcBorders>
            <w:shd w:val="clear" w:color="auto" w:fill="FFFFFF"/>
            <w:vAlign w:val="center"/>
          </w:tcPr>
          <w:p w14:paraId="7586ABD2"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14,7</w:t>
            </w:r>
          </w:p>
        </w:tc>
        <w:tc>
          <w:tcPr>
            <w:tcW w:w="392" w:type="pct"/>
            <w:tcBorders>
              <w:top w:val="single" w:sz="4" w:space="0" w:color="auto"/>
              <w:left w:val="single" w:sz="4" w:space="0" w:color="auto"/>
              <w:bottom w:val="single" w:sz="4" w:space="0" w:color="auto"/>
              <w:right w:val="single" w:sz="4" w:space="0" w:color="auto"/>
            </w:tcBorders>
            <w:shd w:val="clear" w:color="auto" w:fill="FFFFFF"/>
            <w:vAlign w:val="center"/>
          </w:tcPr>
          <w:p w14:paraId="4A7A8F53"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32,3</w:t>
            </w:r>
          </w:p>
        </w:tc>
        <w:tc>
          <w:tcPr>
            <w:tcW w:w="347" w:type="pct"/>
            <w:tcBorders>
              <w:top w:val="single" w:sz="4" w:space="0" w:color="auto"/>
              <w:left w:val="single" w:sz="4" w:space="0" w:color="auto"/>
              <w:bottom w:val="single" w:sz="4" w:space="0" w:color="auto"/>
              <w:right w:val="single" w:sz="4" w:space="0" w:color="auto"/>
            </w:tcBorders>
            <w:shd w:val="clear" w:color="auto" w:fill="FFFFFF"/>
            <w:vAlign w:val="center"/>
          </w:tcPr>
          <w:p w14:paraId="5AD93CB1"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28,5</w:t>
            </w:r>
          </w:p>
        </w:tc>
      </w:tr>
      <w:tr w:rsidR="0047261E" w:rsidRPr="0047261E" w14:paraId="155A5035" w14:textId="77777777" w:rsidTr="0047261E">
        <w:trPr>
          <w:trHeight w:val="120"/>
        </w:trPr>
        <w:tc>
          <w:tcPr>
            <w:tcW w:w="1501" w:type="pct"/>
            <w:tcBorders>
              <w:top w:val="single" w:sz="4" w:space="0" w:color="auto"/>
              <w:left w:val="single" w:sz="4" w:space="0" w:color="auto"/>
              <w:bottom w:val="single" w:sz="4" w:space="0" w:color="auto"/>
              <w:right w:val="single" w:sz="4" w:space="0" w:color="auto"/>
            </w:tcBorders>
            <w:shd w:val="clear" w:color="auto" w:fill="FFFFFF"/>
          </w:tcPr>
          <w:p w14:paraId="4AD54EBE"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предыдущего года</w:t>
            </w:r>
          </w:p>
        </w:tc>
        <w:tc>
          <w:tcPr>
            <w:tcW w:w="402" w:type="pct"/>
            <w:tcBorders>
              <w:top w:val="single" w:sz="4" w:space="0" w:color="auto"/>
              <w:left w:val="single" w:sz="4" w:space="0" w:color="auto"/>
              <w:bottom w:val="single" w:sz="4" w:space="0" w:color="auto"/>
              <w:right w:val="single" w:sz="4" w:space="0" w:color="auto"/>
            </w:tcBorders>
            <w:shd w:val="clear" w:color="auto" w:fill="FFFFFF"/>
            <w:vAlign w:val="center"/>
          </w:tcPr>
          <w:p w14:paraId="743A9BBF"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p>
        </w:tc>
        <w:tc>
          <w:tcPr>
            <w:tcW w:w="392" w:type="pct"/>
            <w:tcBorders>
              <w:top w:val="single" w:sz="4" w:space="0" w:color="auto"/>
              <w:left w:val="single" w:sz="4" w:space="0" w:color="auto"/>
              <w:bottom w:val="single" w:sz="4" w:space="0" w:color="auto"/>
              <w:right w:val="single" w:sz="4" w:space="0" w:color="auto"/>
            </w:tcBorders>
            <w:shd w:val="clear" w:color="auto" w:fill="FFFFFF"/>
            <w:vAlign w:val="center"/>
          </w:tcPr>
          <w:p w14:paraId="0775EE98"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p>
        </w:tc>
        <w:tc>
          <w:tcPr>
            <w:tcW w:w="394" w:type="pct"/>
            <w:tcBorders>
              <w:top w:val="single" w:sz="4" w:space="0" w:color="auto"/>
              <w:left w:val="single" w:sz="4" w:space="0" w:color="auto"/>
              <w:bottom w:val="single" w:sz="4" w:space="0" w:color="auto"/>
              <w:right w:val="single" w:sz="4" w:space="0" w:color="auto"/>
            </w:tcBorders>
            <w:shd w:val="clear" w:color="auto" w:fill="FFFFFF"/>
            <w:vAlign w:val="center"/>
          </w:tcPr>
          <w:p w14:paraId="524EE89A"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p>
        </w:tc>
        <w:tc>
          <w:tcPr>
            <w:tcW w:w="394" w:type="pct"/>
            <w:tcBorders>
              <w:top w:val="single" w:sz="4" w:space="0" w:color="auto"/>
              <w:left w:val="single" w:sz="4" w:space="0" w:color="auto"/>
              <w:bottom w:val="single" w:sz="4" w:space="0" w:color="auto"/>
              <w:right w:val="single" w:sz="4" w:space="0" w:color="auto"/>
            </w:tcBorders>
            <w:shd w:val="clear" w:color="auto" w:fill="FFFFFF"/>
            <w:vAlign w:val="center"/>
          </w:tcPr>
          <w:p w14:paraId="383E3C4E"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p>
        </w:tc>
        <w:tc>
          <w:tcPr>
            <w:tcW w:w="392" w:type="pct"/>
            <w:tcBorders>
              <w:top w:val="single" w:sz="4" w:space="0" w:color="auto"/>
              <w:left w:val="single" w:sz="4" w:space="0" w:color="auto"/>
              <w:bottom w:val="single" w:sz="4" w:space="0" w:color="auto"/>
              <w:right w:val="single" w:sz="4" w:space="0" w:color="auto"/>
            </w:tcBorders>
            <w:shd w:val="clear" w:color="auto" w:fill="FFFFFF"/>
            <w:vAlign w:val="center"/>
          </w:tcPr>
          <w:p w14:paraId="469C4671"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p>
        </w:tc>
        <w:tc>
          <w:tcPr>
            <w:tcW w:w="399" w:type="pct"/>
            <w:tcBorders>
              <w:top w:val="single" w:sz="4" w:space="0" w:color="auto"/>
              <w:left w:val="single" w:sz="4" w:space="0" w:color="auto"/>
              <w:bottom w:val="single" w:sz="4" w:space="0" w:color="auto"/>
              <w:right w:val="single" w:sz="4" w:space="0" w:color="auto"/>
            </w:tcBorders>
            <w:shd w:val="clear" w:color="auto" w:fill="FFFFFF"/>
            <w:vAlign w:val="center"/>
          </w:tcPr>
          <w:p w14:paraId="7447292D"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p>
        </w:tc>
        <w:tc>
          <w:tcPr>
            <w:tcW w:w="387" w:type="pct"/>
            <w:tcBorders>
              <w:top w:val="single" w:sz="4" w:space="0" w:color="auto"/>
              <w:left w:val="single" w:sz="4" w:space="0" w:color="auto"/>
              <w:bottom w:val="single" w:sz="4" w:space="0" w:color="auto"/>
              <w:right w:val="single" w:sz="4" w:space="0" w:color="auto"/>
            </w:tcBorders>
            <w:shd w:val="clear" w:color="auto" w:fill="FFFFFF"/>
            <w:vAlign w:val="center"/>
          </w:tcPr>
          <w:p w14:paraId="6903922A"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p>
        </w:tc>
        <w:tc>
          <w:tcPr>
            <w:tcW w:w="392" w:type="pct"/>
            <w:tcBorders>
              <w:top w:val="single" w:sz="4" w:space="0" w:color="auto"/>
              <w:left w:val="single" w:sz="4" w:space="0" w:color="auto"/>
              <w:bottom w:val="single" w:sz="4" w:space="0" w:color="auto"/>
              <w:right w:val="single" w:sz="4" w:space="0" w:color="auto"/>
            </w:tcBorders>
            <w:shd w:val="clear" w:color="auto" w:fill="FFFFFF"/>
            <w:vAlign w:val="center"/>
          </w:tcPr>
          <w:p w14:paraId="490B47F9"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p>
        </w:tc>
        <w:tc>
          <w:tcPr>
            <w:tcW w:w="347" w:type="pct"/>
            <w:tcBorders>
              <w:top w:val="single" w:sz="4" w:space="0" w:color="auto"/>
              <w:left w:val="single" w:sz="4" w:space="0" w:color="auto"/>
              <w:bottom w:val="single" w:sz="4" w:space="0" w:color="auto"/>
              <w:right w:val="single" w:sz="4" w:space="0" w:color="auto"/>
            </w:tcBorders>
            <w:shd w:val="clear" w:color="auto" w:fill="FFFFFF"/>
            <w:vAlign w:val="center"/>
          </w:tcPr>
          <w:p w14:paraId="50D4F8D1"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p>
        </w:tc>
      </w:tr>
      <w:tr w:rsidR="0047261E" w:rsidRPr="0047261E" w14:paraId="0D5AE581" w14:textId="77777777" w:rsidTr="0047261E">
        <w:trPr>
          <w:trHeight w:val="182"/>
        </w:trPr>
        <w:tc>
          <w:tcPr>
            <w:tcW w:w="1501" w:type="pct"/>
            <w:tcBorders>
              <w:top w:val="single" w:sz="4" w:space="0" w:color="auto"/>
              <w:left w:val="single" w:sz="4" w:space="0" w:color="auto"/>
              <w:bottom w:val="single" w:sz="4" w:space="0" w:color="auto"/>
              <w:right w:val="single" w:sz="4" w:space="0" w:color="auto"/>
            </w:tcBorders>
            <w:shd w:val="clear" w:color="auto" w:fill="FFFFFF"/>
          </w:tcPr>
          <w:p w14:paraId="44C3B268"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 к предыдущему периоду (SA)</w:t>
            </w:r>
          </w:p>
        </w:tc>
        <w:tc>
          <w:tcPr>
            <w:tcW w:w="402" w:type="pct"/>
            <w:tcBorders>
              <w:top w:val="single" w:sz="4" w:space="0" w:color="auto"/>
              <w:left w:val="single" w:sz="4" w:space="0" w:color="auto"/>
              <w:bottom w:val="single" w:sz="4" w:space="0" w:color="auto"/>
              <w:right w:val="single" w:sz="4" w:space="0" w:color="auto"/>
            </w:tcBorders>
            <w:shd w:val="clear" w:color="auto" w:fill="FFFFFF"/>
            <w:vAlign w:val="center"/>
          </w:tcPr>
          <w:p w14:paraId="22A01F9E"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p>
        </w:tc>
        <w:tc>
          <w:tcPr>
            <w:tcW w:w="392" w:type="pct"/>
            <w:tcBorders>
              <w:top w:val="single" w:sz="4" w:space="0" w:color="auto"/>
              <w:left w:val="single" w:sz="4" w:space="0" w:color="auto"/>
              <w:bottom w:val="single" w:sz="4" w:space="0" w:color="auto"/>
              <w:right w:val="single" w:sz="4" w:space="0" w:color="auto"/>
            </w:tcBorders>
            <w:shd w:val="clear" w:color="auto" w:fill="FFFFFF"/>
            <w:vAlign w:val="center"/>
          </w:tcPr>
          <w:p w14:paraId="73E9B016"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-3,8</w:t>
            </w:r>
          </w:p>
        </w:tc>
        <w:tc>
          <w:tcPr>
            <w:tcW w:w="394" w:type="pct"/>
            <w:tcBorders>
              <w:top w:val="single" w:sz="4" w:space="0" w:color="auto"/>
              <w:left w:val="single" w:sz="4" w:space="0" w:color="auto"/>
              <w:bottom w:val="single" w:sz="4" w:space="0" w:color="auto"/>
              <w:right w:val="single" w:sz="4" w:space="0" w:color="auto"/>
            </w:tcBorders>
            <w:shd w:val="clear" w:color="auto" w:fill="FFFFFF"/>
            <w:vAlign w:val="center"/>
          </w:tcPr>
          <w:p w14:paraId="671524F7"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-3,4</w:t>
            </w:r>
          </w:p>
        </w:tc>
        <w:tc>
          <w:tcPr>
            <w:tcW w:w="394" w:type="pct"/>
            <w:tcBorders>
              <w:top w:val="single" w:sz="4" w:space="0" w:color="auto"/>
              <w:left w:val="single" w:sz="4" w:space="0" w:color="auto"/>
              <w:bottom w:val="single" w:sz="4" w:space="0" w:color="auto"/>
              <w:right w:val="single" w:sz="4" w:space="0" w:color="auto"/>
            </w:tcBorders>
            <w:shd w:val="clear" w:color="auto" w:fill="FFFFFF"/>
            <w:vAlign w:val="center"/>
          </w:tcPr>
          <w:p w14:paraId="31380401"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1,7</w:t>
            </w:r>
          </w:p>
        </w:tc>
        <w:tc>
          <w:tcPr>
            <w:tcW w:w="392" w:type="pct"/>
            <w:tcBorders>
              <w:top w:val="single" w:sz="4" w:space="0" w:color="auto"/>
              <w:left w:val="single" w:sz="4" w:space="0" w:color="auto"/>
              <w:bottom w:val="single" w:sz="4" w:space="0" w:color="auto"/>
              <w:right w:val="single" w:sz="4" w:space="0" w:color="auto"/>
            </w:tcBorders>
            <w:shd w:val="clear" w:color="auto" w:fill="FFFFFF"/>
            <w:vAlign w:val="center"/>
          </w:tcPr>
          <w:p w14:paraId="4CFE5FE5"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-2,3</w:t>
            </w:r>
          </w:p>
        </w:tc>
        <w:tc>
          <w:tcPr>
            <w:tcW w:w="399" w:type="pct"/>
            <w:tcBorders>
              <w:top w:val="single" w:sz="4" w:space="0" w:color="auto"/>
              <w:left w:val="single" w:sz="4" w:space="0" w:color="auto"/>
              <w:bottom w:val="single" w:sz="4" w:space="0" w:color="auto"/>
              <w:right w:val="single" w:sz="4" w:space="0" w:color="auto"/>
            </w:tcBorders>
            <w:shd w:val="clear" w:color="auto" w:fill="FFFFFF"/>
            <w:vAlign w:val="center"/>
          </w:tcPr>
          <w:p w14:paraId="55B1C39C"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-4,3</w:t>
            </w:r>
          </w:p>
        </w:tc>
        <w:tc>
          <w:tcPr>
            <w:tcW w:w="387" w:type="pct"/>
            <w:tcBorders>
              <w:top w:val="single" w:sz="4" w:space="0" w:color="auto"/>
              <w:left w:val="single" w:sz="4" w:space="0" w:color="auto"/>
              <w:bottom w:val="single" w:sz="4" w:space="0" w:color="auto"/>
              <w:right w:val="single" w:sz="4" w:space="0" w:color="auto"/>
            </w:tcBorders>
            <w:shd w:val="clear" w:color="auto" w:fill="FFFFFF"/>
            <w:vAlign w:val="center"/>
          </w:tcPr>
          <w:p w14:paraId="1FAA1556"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-0,9</w:t>
            </w:r>
          </w:p>
        </w:tc>
        <w:tc>
          <w:tcPr>
            <w:tcW w:w="392" w:type="pct"/>
            <w:tcBorders>
              <w:top w:val="single" w:sz="4" w:space="0" w:color="auto"/>
              <w:left w:val="single" w:sz="4" w:space="0" w:color="auto"/>
              <w:bottom w:val="single" w:sz="4" w:space="0" w:color="auto"/>
              <w:right w:val="single" w:sz="4" w:space="0" w:color="auto"/>
            </w:tcBorders>
            <w:shd w:val="clear" w:color="auto" w:fill="FFFFFF"/>
            <w:vAlign w:val="center"/>
          </w:tcPr>
          <w:p w14:paraId="5B0139AA"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2,9</w:t>
            </w:r>
          </w:p>
        </w:tc>
        <w:tc>
          <w:tcPr>
            <w:tcW w:w="347" w:type="pct"/>
            <w:tcBorders>
              <w:top w:val="single" w:sz="4" w:space="0" w:color="auto"/>
              <w:left w:val="single" w:sz="4" w:space="0" w:color="auto"/>
              <w:bottom w:val="single" w:sz="4" w:space="0" w:color="auto"/>
              <w:right w:val="single" w:sz="4" w:space="0" w:color="auto"/>
            </w:tcBorders>
            <w:shd w:val="clear" w:color="auto" w:fill="FFFFFF"/>
            <w:vAlign w:val="center"/>
          </w:tcPr>
          <w:p w14:paraId="590E1C27"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p>
        </w:tc>
      </w:tr>
      <w:tr w:rsidR="0047261E" w:rsidRPr="0047261E" w14:paraId="0684992B" w14:textId="77777777" w:rsidTr="0047261E">
        <w:trPr>
          <w:trHeight w:val="187"/>
        </w:trPr>
        <w:tc>
          <w:tcPr>
            <w:tcW w:w="1501" w:type="pct"/>
            <w:tcBorders>
              <w:top w:val="single" w:sz="4" w:space="0" w:color="auto"/>
              <w:left w:val="single" w:sz="4" w:space="0" w:color="auto"/>
              <w:bottom w:val="single" w:sz="4" w:space="0" w:color="auto"/>
              <w:right w:val="single" w:sz="4" w:space="0" w:color="auto"/>
            </w:tcBorders>
            <w:shd w:val="clear" w:color="auto" w:fill="FFFFFF"/>
          </w:tcPr>
          <w:p w14:paraId="73233777"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Импорт инвестиционных товаров</w:t>
            </w:r>
            <w:r w:rsidRPr="0047261E">
              <w:rPr>
                <w:rFonts w:eastAsia="Times New Roman" w:cs="Times New Roman"/>
                <w:kern w:val="3"/>
                <w:sz w:val="22"/>
                <w:lang w:eastAsia="ru-RU" w:bidi="hi-IN"/>
              </w:rPr>
              <w:footnoteReference w:id="3"/>
            </w:r>
          </w:p>
        </w:tc>
        <w:tc>
          <w:tcPr>
            <w:tcW w:w="402" w:type="pct"/>
            <w:tcBorders>
              <w:top w:val="single" w:sz="4" w:space="0" w:color="auto"/>
              <w:left w:val="single" w:sz="4" w:space="0" w:color="auto"/>
              <w:bottom w:val="single" w:sz="4" w:space="0" w:color="auto"/>
              <w:right w:val="single" w:sz="4" w:space="0" w:color="auto"/>
            </w:tcBorders>
            <w:shd w:val="clear" w:color="auto" w:fill="FFFFFF"/>
            <w:vAlign w:val="center"/>
          </w:tcPr>
          <w:p w14:paraId="2913B383"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p>
        </w:tc>
        <w:tc>
          <w:tcPr>
            <w:tcW w:w="392" w:type="pct"/>
            <w:tcBorders>
              <w:top w:val="single" w:sz="4" w:space="0" w:color="auto"/>
              <w:left w:val="single" w:sz="4" w:space="0" w:color="auto"/>
              <w:bottom w:val="single" w:sz="4" w:space="0" w:color="auto"/>
              <w:right w:val="single" w:sz="4" w:space="0" w:color="auto"/>
            </w:tcBorders>
            <w:shd w:val="clear" w:color="auto" w:fill="FFFFFF"/>
            <w:vAlign w:val="center"/>
          </w:tcPr>
          <w:p w14:paraId="73DA75FD"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p>
        </w:tc>
        <w:tc>
          <w:tcPr>
            <w:tcW w:w="394" w:type="pct"/>
            <w:tcBorders>
              <w:top w:val="single" w:sz="4" w:space="0" w:color="auto"/>
              <w:left w:val="single" w:sz="4" w:space="0" w:color="auto"/>
              <w:bottom w:val="single" w:sz="4" w:space="0" w:color="auto"/>
              <w:right w:val="single" w:sz="4" w:space="0" w:color="auto"/>
            </w:tcBorders>
            <w:shd w:val="clear" w:color="auto" w:fill="FFFFFF"/>
            <w:vAlign w:val="center"/>
          </w:tcPr>
          <w:p w14:paraId="1EED5D1A"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p>
        </w:tc>
        <w:tc>
          <w:tcPr>
            <w:tcW w:w="394" w:type="pct"/>
            <w:tcBorders>
              <w:top w:val="single" w:sz="4" w:space="0" w:color="auto"/>
              <w:left w:val="single" w:sz="4" w:space="0" w:color="auto"/>
              <w:bottom w:val="single" w:sz="4" w:space="0" w:color="auto"/>
              <w:right w:val="single" w:sz="4" w:space="0" w:color="auto"/>
            </w:tcBorders>
            <w:shd w:val="clear" w:color="auto" w:fill="FFFFFF"/>
            <w:vAlign w:val="center"/>
          </w:tcPr>
          <w:p w14:paraId="13198165"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p>
        </w:tc>
        <w:tc>
          <w:tcPr>
            <w:tcW w:w="392" w:type="pct"/>
            <w:tcBorders>
              <w:top w:val="single" w:sz="4" w:space="0" w:color="auto"/>
              <w:left w:val="single" w:sz="4" w:space="0" w:color="auto"/>
              <w:bottom w:val="single" w:sz="4" w:space="0" w:color="auto"/>
              <w:right w:val="single" w:sz="4" w:space="0" w:color="auto"/>
            </w:tcBorders>
            <w:shd w:val="clear" w:color="auto" w:fill="FFFFFF"/>
            <w:vAlign w:val="center"/>
          </w:tcPr>
          <w:p w14:paraId="5485B617"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p>
        </w:tc>
        <w:tc>
          <w:tcPr>
            <w:tcW w:w="399" w:type="pct"/>
            <w:tcBorders>
              <w:top w:val="single" w:sz="4" w:space="0" w:color="auto"/>
              <w:left w:val="single" w:sz="4" w:space="0" w:color="auto"/>
              <w:bottom w:val="single" w:sz="4" w:space="0" w:color="auto"/>
              <w:right w:val="single" w:sz="4" w:space="0" w:color="auto"/>
            </w:tcBorders>
            <w:shd w:val="clear" w:color="auto" w:fill="FFFFFF"/>
            <w:vAlign w:val="center"/>
          </w:tcPr>
          <w:p w14:paraId="28A76540"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p>
        </w:tc>
        <w:tc>
          <w:tcPr>
            <w:tcW w:w="387" w:type="pct"/>
            <w:tcBorders>
              <w:top w:val="single" w:sz="4" w:space="0" w:color="auto"/>
              <w:left w:val="single" w:sz="4" w:space="0" w:color="auto"/>
              <w:bottom w:val="single" w:sz="4" w:space="0" w:color="auto"/>
              <w:right w:val="single" w:sz="4" w:space="0" w:color="auto"/>
            </w:tcBorders>
            <w:shd w:val="clear" w:color="auto" w:fill="FFFFFF"/>
            <w:vAlign w:val="center"/>
          </w:tcPr>
          <w:p w14:paraId="38E41A5F"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p>
        </w:tc>
        <w:tc>
          <w:tcPr>
            <w:tcW w:w="392" w:type="pct"/>
            <w:tcBorders>
              <w:top w:val="single" w:sz="4" w:space="0" w:color="auto"/>
              <w:left w:val="single" w:sz="4" w:space="0" w:color="auto"/>
              <w:bottom w:val="single" w:sz="4" w:space="0" w:color="auto"/>
              <w:right w:val="single" w:sz="4" w:space="0" w:color="auto"/>
            </w:tcBorders>
            <w:shd w:val="clear" w:color="auto" w:fill="FFFFFF"/>
            <w:vAlign w:val="center"/>
          </w:tcPr>
          <w:p w14:paraId="21D48B5A"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p>
        </w:tc>
        <w:tc>
          <w:tcPr>
            <w:tcW w:w="347" w:type="pct"/>
            <w:tcBorders>
              <w:top w:val="single" w:sz="4" w:space="0" w:color="auto"/>
              <w:left w:val="single" w:sz="4" w:space="0" w:color="auto"/>
              <w:bottom w:val="single" w:sz="4" w:space="0" w:color="auto"/>
              <w:right w:val="single" w:sz="4" w:space="0" w:color="auto"/>
            </w:tcBorders>
            <w:shd w:val="clear" w:color="auto" w:fill="FFFFFF"/>
            <w:vAlign w:val="center"/>
          </w:tcPr>
          <w:p w14:paraId="71F2B131"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p>
        </w:tc>
      </w:tr>
      <w:tr w:rsidR="0047261E" w:rsidRPr="0047261E" w14:paraId="51978B2F" w14:textId="77777777" w:rsidTr="0047261E">
        <w:trPr>
          <w:trHeight w:val="202"/>
        </w:trPr>
        <w:tc>
          <w:tcPr>
            <w:tcW w:w="1501" w:type="pct"/>
            <w:tcBorders>
              <w:top w:val="single" w:sz="4" w:space="0" w:color="auto"/>
              <w:left w:val="single" w:sz="4" w:space="0" w:color="auto"/>
              <w:bottom w:val="single" w:sz="4" w:space="0" w:color="auto"/>
              <w:right w:val="single" w:sz="4" w:space="0" w:color="auto"/>
            </w:tcBorders>
            <w:shd w:val="clear" w:color="auto" w:fill="FFFFFF"/>
          </w:tcPr>
          <w:p w14:paraId="27F4BD8C"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 к соответствующему периоду</w:t>
            </w:r>
          </w:p>
        </w:tc>
        <w:tc>
          <w:tcPr>
            <w:tcW w:w="402" w:type="pct"/>
            <w:tcBorders>
              <w:top w:val="single" w:sz="4" w:space="0" w:color="auto"/>
              <w:left w:val="single" w:sz="4" w:space="0" w:color="auto"/>
              <w:bottom w:val="single" w:sz="4" w:space="0" w:color="auto"/>
              <w:right w:val="single" w:sz="4" w:space="0" w:color="auto"/>
            </w:tcBorders>
            <w:shd w:val="clear" w:color="auto" w:fill="FFFFFF"/>
            <w:vAlign w:val="center"/>
          </w:tcPr>
          <w:p w14:paraId="73185CCD"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p>
        </w:tc>
        <w:tc>
          <w:tcPr>
            <w:tcW w:w="392" w:type="pct"/>
            <w:tcBorders>
              <w:top w:val="single" w:sz="4" w:space="0" w:color="auto"/>
              <w:left w:val="single" w:sz="4" w:space="0" w:color="auto"/>
              <w:bottom w:val="single" w:sz="4" w:space="0" w:color="auto"/>
              <w:right w:val="single" w:sz="4" w:space="0" w:color="auto"/>
            </w:tcBorders>
            <w:shd w:val="clear" w:color="auto" w:fill="FFFFFF"/>
            <w:vAlign w:val="center"/>
          </w:tcPr>
          <w:p w14:paraId="08AD267A"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p>
        </w:tc>
        <w:tc>
          <w:tcPr>
            <w:tcW w:w="394" w:type="pct"/>
            <w:tcBorders>
              <w:top w:val="single" w:sz="4" w:space="0" w:color="auto"/>
              <w:left w:val="single" w:sz="4" w:space="0" w:color="auto"/>
              <w:bottom w:val="single" w:sz="4" w:space="0" w:color="auto"/>
              <w:right w:val="single" w:sz="4" w:space="0" w:color="auto"/>
            </w:tcBorders>
            <w:shd w:val="clear" w:color="auto" w:fill="FFFFFF"/>
            <w:vAlign w:val="center"/>
          </w:tcPr>
          <w:p w14:paraId="75A9CF7D"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p>
        </w:tc>
        <w:tc>
          <w:tcPr>
            <w:tcW w:w="394" w:type="pct"/>
            <w:tcBorders>
              <w:top w:val="single" w:sz="4" w:space="0" w:color="auto"/>
              <w:left w:val="single" w:sz="4" w:space="0" w:color="auto"/>
              <w:bottom w:val="single" w:sz="4" w:space="0" w:color="auto"/>
              <w:right w:val="single" w:sz="4" w:space="0" w:color="auto"/>
            </w:tcBorders>
            <w:shd w:val="clear" w:color="auto" w:fill="FFFFFF"/>
            <w:vAlign w:val="center"/>
          </w:tcPr>
          <w:p w14:paraId="0E89DEF5"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-11,6</w:t>
            </w:r>
          </w:p>
        </w:tc>
        <w:tc>
          <w:tcPr>
            <w:tcW w:w="392" w:type="pct"/>
            <w:tcBorders>
              <w:top w:val="single" w:sz="4" w:space="0" w:color="auto"/>
              <w:left w:val="single" w:sz="4" w:space="0" w:color="auto"/>
              <w:bottom w:val="single" w:sz="4" w:space="0" w:color="auto"/>
              <w:right w:val="single" w:sz="4" w:space="0" w:color="auto"/>
            </w:tcBorders>
            <w:shd w:val="clear" w:color="auto" w:fill="FFFFFF"/>
            <w:vAlign w:val="center"/>
          </w:tcPr>
          <w:p w14:paraId="5A3B09E2"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-34,6</w:t>
            </w:r>
          </w:p>
        </w:tc>
        <w:tc>
          <w:tcPr>
            <w:tcW w:w="399" w:type="pct"/>
            <w:tcBorders>
              <w:top w:val="single" w:sz="4" w:space="0" w:color="auto"/>
              <w:left w:val="single" w:sz="4" w:space="0" w:color="auto"/>
              <w:bottom w:val="single" w:sz="4" w:space="0" w:color="auto"/>
              <w:right w:val="single" w:sz="4" w:space="0" w:color="auto"/>
            </w:tcBorders>
            <w:shd w:val="clear" w:color="auto" w:fill="FFFFFF"/>
            <w:vAlign w:val="center"/>
          </w:tcPr>
          <w:p w14:paraId="25F71BBD"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-29,8</w:t>
            </w:r>
          </w:p>
        </w:tc>
        <w:tc>
          <w:tcPr>
            <w:tcW w:w="387" w:type="pct"/>
            <w:tcBorders>
              <w:top w:val="single" w:sz="4" w:space="0" w:color="auto"/>
              <w:left w:val="single" w:sz="4" w:space="0" w:color="auto"/>
              <w:bottom w:val="single" w:sz="4" w:space="0" w:color="auto"/>
              <w:right w:val="single" w:sz="4" w:space="0" w:color="auto"/>
            </w:tcBorders>
            <w:shd w:val="clear" w:color="auto" w:fill="FFFFFF"/>
            <w:vAlign w:val="center"/>
          </w:tcPr>
          <w:p w14:paraId="13EFE613"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-0,2</w:t>
            </w:r>
          </w:p>
        </w:tc>
        <w:tc>
          <w:tcPr>
            <w:tcW w:w="392" w:type="pct"/>
            <w:tcBorders>
              <w:top w:val="single" w:sz="4" w:space="0" w:color="auto"/>
              <w:left w:val="single" w:sz="4" w:space="0" w:color="auto"/>
              <w:bottom w:val="single" w:sz="4" w:space="0" w:color="auto"/>
              <w:right w:val="single" w:sz="4" w:space="0" w:color="auto"/>
            </w:tcBorders>
            <w:shd w:val="clear" w:color="auto" w:fill="FFFFFF"/>
            <w:vAlign w:val="center"/>
          </w:tcPr>
          <w:p w14:paraId="755A1428"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29,9</w:t>
            </w:r>
          </w:p>
        </w:tc>
        <w:tc>
          <w:tcPr>
            <w:tcW w:w="347" w:type="pct"/>
            <w:tcBorders>
              <w:top w:val="single" w:sz="4" w:space="0" w:color="auto"/>
              <w:left w:val="single" w:sz="4" w:space="0" w:color="auto"/>
              <w:bottom w:val="single" w:sz="4" w:space="0" w:color="auto"/>
              <w:right w:val="single" w:sz="4" w:space="0" w:color="auto"/>
            </w:tcBorders>
            <w:shd w:val="clear" w:color="auto" w:fill="FFFFFF"/>
            <w:vAlign w:val="center"/>
          </w:tcPr>
          <w:p w14:paraId="1BC437A6"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40,7</w:t>
            </w:r>
          </w:p>
        </w:tc>
      </w:tr>
      <w:tr w:rsidR="0047261E" w:rsidRPr="0047261E" w14:paraId="3600EC36" w14:textId="77777777" w:rsidTr="0047261E">
        <w:trPr>
          <w:trHeight w:val="154"/>
        </w:trPr>
        <w:tc>
          <w:tcPr>
            <w:tcW w:w="1501" w:type="pct"/>
            <w:tcBorders>
              <w:top w:val="single" w:sz="4" w:space="0" w:color="auto"/>
              <w:left w:val="single" w:sz="4" w:space="0" w:color="auto"/>
              <w:bottom w:val="single" w:sz="4" w:space="0" w:color="auto"/>
              <w:right w:val="single" w:sz="4" w:space="0" w:color="auto"/>
            </w:tcBorders>
            <w:shd w:val="clear" w:color="auto" w:fill="FFFFFF"/>
          </w:tcPr>
          <w:p w14:paraId="3DC36689"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предыдущего года</w:t>
            </w:r>
          </w:p>
        </w:tc>
        <w:tc>
          <w:tcPr>
            <w:tcW w:w="402" w:type="pct"/>
            <w:tcBorders>
              <w:top w:val="single" w:sz="4" w:space="0" w:color="auto"/>
              <w:left w:val="single" w:sz="4" w:space="0" w:color="auto"/>
              <w:bottom w:val="single" w:sz="4" w:space="0" w:color="auto"/>
              <w:right w:val="single" w:sz="4" w:space="0" w:color="auto"/>
            </w:tcBorders>
            <w:shd w:val="clear" w:color="auto" w:fill="FFFFFF"/>
            <w:vAlign w:val="center"/>
          </w:tcPr>
          <w:p w14:paraId="0C417528"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p>
        </w:tc>
        <w:tc>
          <w:tcPr>
            <w:tcW w:w="392" w:type="pct"/>
            <w:tcBorders>
              <w:top w:val="single" w:sz="4" w:space="0" w:color="auto"/>
              <w:left w:val="single" w:sz="4" w:space="0" w:color="auto"/>
              <w:bottom w:val="single" w:sz="4" w:space="0" w:color="auto"/>
              <w:right w:val="single" w:sz="4" w:space="0" w:color="auto"/>
            </w:tcBorders>
            <w:shd w:val="clear" w:color="auto" w:fill="FFFFFF"/>
            <w:vAlign w:val="center"/>
          </w:tcPr>
          <w:p w14:paraId="46383BC6"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p>
        </w:tc>
        <w:tc>
          <w:tcPr>
            <w:tcW w:w="394" w:type="pct"/>
            <w:tcBorders>
              <w:top w:val="single" w:sz="4" w:space="0" w:color="auto"/>
              <w:left w:val="single" w:sz="4" w:space="0" w:color="auto"/>
              <w:bottom w:val="single" w:sz="4" w:space="0" w:color="auto"/>
              <w:right w:val="single" w:sz="4" w:space="0" w:color="auto"/>
            </w:tcBorders>
            <w:shd w:val="clear" w:color="auto" w:fill="FFFFFF"/>
            <w:vAlign w:val="center"/>
          </w:tcPr>
          <w:p w14:paraId="7659F644"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p>
        </w:tc>
        <w:tc>
          <w:tcPr>
            <w:tcW w:w="394" w:type="pct"/>
            <w:tcBorders>
              <w:top w:val="single" w:sz="4" w:space="0" w:color="auto"/>
              <w:left w:val="single" w:sz="4" w:space="0" w:color="auto"/>
              <w:bottom w:val="single" w:sz="4" w:space="0" w:color="auto"/>
              <w:right w:val="single" w:sz="4" w:space="0" w:color="auto"/>
            </w:tcBorders>
            <w:shd w:val="clear" w:color="auto" w:fill="FFFFFF"/>
            <w:vAlign w:val="center"/>
          </w:tcPr>
          <w:p w14:paraId="744978A6"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p>
        </w:tc>
        <w:tc>
          <w:tcPr>
            <w:tcW w:w="392" w:type="pct"/>
            <w:tcBorders>
              <w:top w:val="single" w:sz="4" w:space="0" w:color="auto"/>
              <w:left w:val="single" w:sz="4" w:space="0" w:color="auto"/>
              <w:bottom w:val="single" w:sz="4" w:space="0" w:color="auto"/>
              <w:right w:val="single" w:sz="4" w:space="0" w:color="auto"/>
            </w:tcBorders>
            <w:shd w:val="clear" w:color="auto" w:fill="FFFFFF"/>
            <w:vAlign w:val="center"/>
          </w:tcPr>
          <w:p w14:paraId="41A67283"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p>
        </w:tc>
        <w:tc>
          <w:tcPr>
            <w:tcW w:w="399" w:type="pct"/>
            <w:tcBorders>
              <w:top w:val="single" w:sz="4" w:space="0" w:color="auto"/>
              <w:left w:val="single" w:sz="4" w:space="0" w:color="auto"/>
              <w:bottom w:val="single" w:sz="4" w:space="0" w:color="auto"/>
              <w:right w:val="single" w:sz="4" w:space="0" w:color="auto"/>
            </w:tcBorders>
            <w:shd w:val="clear" w:color="auto" w:fill="FFFFFF"/>
            <w:vAlign w:val="center"/>
          </w:tcPr>
          <w:p w14:paraId="2983EF52"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p>
        </w:tc>
        <w:tc>
          <w:tcPr>
            <w:tcW w:w="387" w:type="pct"/>
            <w:tcBorders>
              <w:top w:val="single" w:sz="4" w:space="0" w:color="auto"/>
              <w:left w:val="single" w:sz="4" w:space="0" w:color="auto"/>
              <w:bottom w:val="single" w:sz="4" w:space="0" w:color="auto"/>
              <w:right w:val="single" w:sz="4" w:space="0" w:color="auto"/>
            </w:tcBorders>
            <w:shd w:val="clear" w:color="auto" w:fill="FFFFFF"/>
            <w:vAlign w:val="center"/>
          </w:tcPr>
          <w:p w14:paraId="4580ED90"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p>
        </w:tc>
        <w:tc>
          <w:tcPr>
            <w:tcW w:w="392" w:type="pct"/>
            <w:tcBorders>
              <w:top w:val="single" w:sz="4" w:space="0" w:color="auto"/>
              <w:left w:val="single" w:sz="4" w:space="0" w:color="auto"/>
              <w:bottom w:val="single" w:sz="4" w:space="0" w:color="auto"/>
              <w:right w:val="single" w:sz="4" w:space="0" w:color="auto"/>
            </w:tcBorders>
            <w:shd w:val="clear" w:color="auto" w:fill="FFFFFF"/>
            <w:vAlign w:val="center"/>
          </w:tcPr>
          <w:p w14:paraId="7E267FCE"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p>
        </w:tc>
        <w:tc>
          <w:tcPr>
            <w:tcW w:w="347" w:type="pct"/>
            <w:tcBorders>
              <w:top w:val="single" w:sz="4" w:space="0" w:color="auto"/>
              <w:left w:val="single" w:sz="4" w:space="0" w:color="auto"/>
              <w:bottom w:val="single" w:sz="4" w:space="0" w:color="auto"/>
              <w:right w:val="single" w:sz="4" w:space="0" w:color="auto"/>
            </w:tcBorders>
            <w:shd w:val="clear" w:color="auto" w:fill="FFFFFF"/>
            <w:vAlign w:val="center"/>
          </w:tcPr>
          <w:p w14:paraId="26020184"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p>
        </w:tc>
      </w:tr>
      <w:tr w:rsidR="0047261E" w:rsidRPr="0047261E" w14:paraId="28984412" w14:textId="77777777" w:rsidTr="0047261E">
        <w:trPr>
          <w:trHeight w:val="216"/>
        </w:trPr>
        <w:tc>
          <w:tcPr>
            <w:tcW w:w="1501" w:type="pct"/>
            <w:tcBorders>
              <w:top w:val="single" w:sz="4" w:space="0" w:color="auto"/>
              <w:left w:val="single" w:sz="4" w:space="0" w:color="auto"/>
              <w:bottom w:val="single" w:sz="4" w:space="0" w:color="auto"/>
              <w:right w:val="single" w:sz="4" w:space="0" w:color="auto"/>
            </w:tcBorders>
            <w:shd w:val="clear" w:color="auto" w:fill="FFFFFF"/>
          </w:tcPr>
          <w:p w14:paraId="5C72A37D"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 к предыдущему периоду (SA)</w:t>
            </w:r>
          </w:p>
        </w:tc>
        <w:tc>
          <w:tcPr>
            <w:tcW w:w="402" w:type="pct"/>
            <w:tcBorders>
              <w:top w:val="single" w:sz="4" w:space="0" w:color="auto"/>
              <w:left w:val="single" w:sz="4" w:space="0" w:color="auto"/>
              <w:bottom w:val="single" w:sz="4" w:space="0" w:color="auto"/>
              <w:right w:val="single" w:sz="4" w:space="0" w:color="auto"/>
            </w:tcBorders>
            <w:shd w:val="clear" w:color="auto" w:fill="FFFFFF"/>
            <w:vAlign w:val="center"/>
          </w:tcPr>
          <w:p w14:paraId="34F6E461"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p>
        </w:tc>
        <w:tc>
          <w:tcPr>
            <w:tcW w:w="392" w:type="pct"/>
            <w:tcBorders>
              <w:top w:val="single" w:sz="4" w:space="0" w:color="auto"/>
              <w:left w:val="single" w:sz="4" w:space="0" w:color="auto"/>
              <w:bottom w:val="single" w:sz="4" w:space="0" w:color="auto"/>
              <w:right w:val="single" w:sz="4" w:space="0" w:color="auto"/>
            </w:tcBorders>
            <w:shd w:val="clear" w:color="auto" w:fill="FFFFFF"/>
            <w:vAlign w:val="center"/>
          </w:tcPr>
          <w:p w14:paraId="7EA41B47"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p>
        </w:tc>
        <w:tc>
          <w:tcPr>
            <w:tcW w:w="394" w:type="pct"/>
            <w:tcBorders>
              <w:top w:val="single" w:sz="4" w:space="0" w:color="auto"/>
              <w:left w:val="single" w:sz="4" w:space="0" w:color="auto"/>
              <w:bottom w:val="single" w:sz="4" w:space="0" w:color="auto"/>
              <w:right w:val="single" w:sz="4" w:space="0" w:color="auto"/>
            </w:tcBorders>
            <w:shd w:val="clear" w:color="auto" w:fill="FFFFFF"/>
            <w:vAlign w:val="center"/>
          </w:tcPr>
          <w:p w14:paraId="78B75BEA"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p>
        </w:tc>
        <w:tc>
          <w:tcPr>
            <w:tcW w:w="394" w:type="pct"/>
            <w:tcBorders>
              <w:top w:val="single" w:sz="4" w:space="0" w:color="auto"/>
              <w:left w:val="single" w:sz="4" w:space="0" w:color="auto"/>
              <w:bottom w:val="single" w:sz="4" w:space="0" w:color="auto"/>
              <w:right w:val="single" w:sz="4" w:space="0" w:color="auto"/>
            </w:tcBorders>
            <w:shd w:val="clear" w:color="auto" w:fill="FFFFFF"/>
            <w:vAlign w:val="center"/>
          </w:tcPr>
          <w:p w14:paraId="2D4E1A38"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8,9</w:t>
            </w:r>
          </w:p>
        </w:tc>
        <w:tc>
          <w:tcPr>
            <w:tcW w:w="392" w:type="pct"/>
            <w:tcBorders>
              <w:top w:val="single" w:sz="4" w:space="0" w:color="auto"/>
              <w:left w:val="single" w:sz="4" w:space="0" w:color="auto"/>
              <w:bottom w:val="single" w:sz="4" w:space="0" w:color="auto"/>
              <w:right w:val="single" w:sz="4" w:space="0" w:color="auto"/>
            </w:tcBorders>
            <w:shd w:val="clear" w:color="auto" w:fill="FFFFFF"/>
            <w:vAlign w:val="center"/>
          </w:tcPr>
          <w:p w14:paraId="285093B6"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-6,1</w:t>
            </w:r>
          </w:p>
        </w:tc>
        <w:tc>
          <w:tcPr>
            <w:tcW w:w="399" w:type="pct"/>
            <w:tcBorders>
              <w:top w:val="single" w:sz="4" w:space="0" w:color="auto"/>
              <w:left w:val="single" w:sz="4" w:space="0" w:color="auto"/>
              <w:bottom w:val="single" w:sz="4" w:space="0" w:color="auto"/>
              <w:right w:val="single" w:sz="4" w:space="0" w:color="auto"/>
            </w:tcBorders>
            <w:shd w:val="clear" w:color="auto" w:fill="FFFFFF"/>
            <w:vAlign w:val="center"/>
          </w:tcPr>
          <w:p w14:paraId="363F7DE4"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-16,4</w:t>
            </w:r>
          </w:p>
        </w:tc>
        <w:tc>
          <w:tcPr>
            <w:tcW w:w="387" w:type="pct"/>
            <w:tcBorders>
              <w:top w:val="single" w:sz="4" w:space="0" w:color="auto"/>
              <w:left w:val="single" w:sz="4" w:space="0" w:color="auto"/>
              <w:bottom w:val="single" w:sz="4" w:space="0" w:color="auto"/>
              <w:right w:val="single" w:sz="4" w:space="0" w:color="auto"/>
            </w:tcBorders>
            <w:shd w:val="clear" w:color="auto" w:fill="FFFFFF"/>
            <w:vAlign w:val="center"/>
          </w:tcPr>
          <w:p w14:paraId="3CCD6653"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-11,3</w:t>
            </w:r>
          </w:p>
        </w:tc>
        <w:tc>
          <w:tcPr>
            <w:tcW w:w="392" w:type="pct"/>
            <w:tcBorders>
              <w:top w:val="single" w:sz="4" w:space="0" w:color="auto"/>
              <w:left w:val="single" w:sz="4" w:space="0" w:color="auto"/>
              <w:bottom w:val="single" w:sz="4" w:space="0" w:color="auto"/>
              <w:right w:val="single" w:sz="4" w:space="0" w:color="auto"/>
            </w:tcBorders>
            <w:shd w:val="clear" w:color="auto" w:fill="FFFFFF"/>
            <w:vAlign w:val="center"/>
          </w:tcPr>
          <w:p w14:paraId="2EDB5778"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-9,8</w:t>
            </w:r>
          </w:p>
        </w:tc>
        <w:tc>
          <w:tcPr>
            <w:tcW w:w="347" w:type="pct"/>
            <w:tcBorders>
              <w:top w:val="single" w:sz="4" w:space="0" w:color="auto"/>
              <w:left w:val="single" w:sz="4" w:space="0" w:color="auto"/>
              <w:bottom w:val="single" w:sz="4" w:space="0" w:color="auto"/>
              <w:right w:val="single" w:sz="4" w:space="0" w:color="auto"/>
            </w:tcBorders>
            <w:shd w:val="clear" w:color="auto" w:fill="FFFFFF"/>
            <w:vAlign w:val="center"/>
          </w:tcPr>
          <w:p w14:paraId="2FB75DDA"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p>
        </w:tc>
      </w:tr>
      <w:tr w:rsidR="0047261E" w:rsidRPr="0047261E" w14:paraId="79CFCD94" w14:textId="77777777" w:rsidTr="0047261E">
        <w:trPr>
          <w:trHeight w:val="202"/>
        </w:trPr>
        <w:tc>
          <w:tcPr>
            <w:tcW w:w="1501" w:type="pct"/>
            <w:tcBorders>
              <w:top w:val="single" w:sz="4" w:space="0" w:color="auto"/>
              <w:left w:val="single" w:sz="4" w:space="0" w:color="auto"/>
              <w:bottom w:val="single" w:sz="4" w:space="0" w:color="auto"/>
              <w:right w:val="single" w:sz="4" w:space="0" w:color="auto"/>
            </w:tcBorders>
            <w:shd w:val="clear" w:color="auto" w:fill="FFFFFF"/>
            <w:vAlign w:val="bottom"/>
          </w:tcPr>
          <w:p w14:paraId="74783224"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Грузоперевозки инвест. товаров</w:t>
            </w:r>
            <w:r w:rsidRPr="0047261E">
              <w:rPr>
                <w:rFonts w:eastAsia="Times New Roman" w:cs="Times New Roman"/>
                <w:kern w:val="3"/>
                <w:sz w:val="22"/>
                <w:lang w:eastAsia="ru-RU" w:bidi="hi-IN"/>
              </w:rPr>
              <w:footnoteReference w:id="4"/>
            </w:r>
          </w:p>
        </w:tc>
        <w:tc>
          <w:tcPr>
            <w:tcW w:w="402" w:type="pct"/>
            <w:tcBorders>
              <w:top w:val="single" w:sz="4" w:space="0" w:color="auto"/>
              <w:left w:val="single" w:sz="4" w:space="0" w:color="auto"/>
              <w:bottom w:val="single" w:sz="4" w:space="0" w:color="auto"/>
              <w:right w:val="single" w:sz="4" w:space="0" w:color="auto"/>
            </w:tcBorders>
            <w:shd w:val="clear" w:color="auto" w:fill="FFFFFF"/>
            <w:vAlign w:val="center"/>
          </w:tcPr>
          <w:p w14:paraId="4228737B"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p>
        </w:tc>
        <w:tc>
          <w:tcPr>
            <w:tcW w:w="392" w:type="pct"/>
            <w:tcBorders>
              <w:top w:val="single" w:sz="4" w:space="0" w:color="auto"/>
              <w:left w:val="single" w:sz="4" w:space="0" w:color="auto"/>
              <w:bottom w:val="single" w:sz="4" w:space="0" w:color="auto"/>
              <w:right w:val="single" w:sz="4" w:space="0" w:color="auto"/>
            </w:tcBorders>
            <w:shd w:val="clear" w:color="auto" w:fill="FFFFFF"/>
            <w:vAlign w:val="center"/>
          </w:tcPr>
          <w:p w14:paraId="24E31ECF"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p>
        </w:tc>
        <w:tc>
          <w:tcPr>
            <w:tcW w:w="394" w:type="pct"/>
            <w:tcBorders>
              <w:top w:val="single" w:sz="4" w:space="0" w:color="auto"/>
              <w:left w:val="single" w:sz="4" w:space="0" w:color="auto"/>
              <w:bottom w:val="single" w:sz="4" w:space="0" w:color="auto"/>
              <w:right w:val="single" w:sz="4" w:space="0" w:color="auto"/>
            </w:tcBorders>
            <w:shd w:val="clear" w:color="auto" w:fill="FFFFFF"/>
            <w:vAlign w:val="center"/>
          </w:tcPr>
          <w:p w14:paraId="3821BEF8"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p>
        </w:tc>
        <w:tc>
          <w:tcPr>
            <w:tcW w:w="394" w:type="pct"/>
            <w:tcBorders>
              <w:top w:val="single" w:sz="4" w:space="0" w:color="auto"/>
              <w:left w:val="single" w:sz="4" w:space="0" w:color="auto"/>
              <w:bottom w:val="single" w:sz="4" w:space="0" w:color="auto"/>
              <w:right w:val="single" w:sz="4" w:space="0" w:color="auto"/>
            </w:tcBorders>
            <w:shd w:val="clear" w:color="auto" w:fill="FFFFFF"/>
            <w:vAlign w:val="center"/>
          </w:tcPr>
          <w:p w14:paraId="01A80CC9"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p>
        </w:tc>
        <w:tc>
          <w:tcPr>
            <w:tcW w:w="392" w:type="pct"/>
            <w:tcBorders>
              <w:top w:val="single" w:sz="4" w:space="0" w:color="auto"/>
              <w:left w:val="single" w:sz="4" w:space="0" w:color="auto"/>
              <w:bottom w:val="single" w:sz="4" w:space="0" w:color="auto"/>
              <w:right w:val="single" w:sz="4" w:space="0" w:color="auto"/>
            </w:tcBorders>
            <w:shd w:val="clear" w:color="auto" w:fill="FFFFFF"/>
            <w:vAlign w:val="center"/>
          </w:tcPr>
          <w:p w14:paraId="26FF2295"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p>
        </w:tc>
        <w:tc>
          <w:tcPr>
            <w:tcW w:w="399" w:type="pct"/>
            <w:tcBorders>
              <w:top w:val="single" w:sz="4" w:space="0" w:color="auto"/>
              <w:left w:val="single" w:sz="4" w:space="0" w:color="auto"/>
              <w:bottom w:val="single" w:sz="4" w:space="0" w:color="auto"/>
              <w:right w:val="single" w:sz="4" w:space="0" w:color="auto"/>
            </w:tcBorders>
            <w:shd w:val="clear" w:color="auto" w:fill="FFFFFF"/>
            <w:vAlign w:val="center"/>
          </w:tcPr>
          <w:p w14:paraId="24DE8460"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p>
        </w:tc>
        <w:tc>
          <w:tcPr>
            <w:tcW w:w="387" w:type="pct"/>
            <w:tcBorders>
              <w:top w:val="single" w:sz="4" w:space="0" w:color="auto"/>
              <w:left w:val="single" w:sz="4" w:space="0" w:color="auto"/>
              <w:bottom w:val="single" w:sz="4" w:space="0" w:color="auto"/>
              <w:right w:val="single" w:sz="4" w:space="0" w:color="auto"/>
            </w:tcBorders>
            <w:shd w:val="clear" w:color="auto" w:fill="FFFFFF"/>
            <w:vAlign w:val="center"/>
          </w:tcPr>
          <w:p w14:paraId="0789187A"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p>
        </w:tc>
        <w:tc>
          <w:tcPr>
            <w:tcW w:w="392" w:type="pct"/>
            <w:tcBorders>
              <w:top w:val="single" w:sz="4" w:space="0" w:color="auto"/>
              <w:left w:val="single" w:sz="4" w:space="0" w:color="auto"/>
              <w:bottom w:val="single" w:sz="4" w:space="0" w:color="auto"/>
              <w:right w:val="single" w:sz="4" w:space="0" w:color="auto"/>
            </w:tcBorders>
            <w:shd w:val="clear" w:color="auto" w:fill="FFFFFF"/>
            <w:vAlign w:val="center"/>
          </w:tcPr>
          <w:p w14:paraId="317CC7FE"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p>
        </w:tc>
        <w:tc>
          <w:tcPr>
            <w:tcW w:w="347" w:type="pct"/>
            <w:tcBorders>
              <w:top w:val="single" w:sz="4" w:space="0" w:color="auto"/>
              <w:left w:val="single" w:sz="4" w:space="0" w:color="auto"/>
              <w:bottom w:val="single" w:sz="4" w:space="0" w:color="auto"/>
              <w:right w:val="single" w:sz="4" w:space="0" w:color="auto"/>
            </w:tcBorders>
            <w:shd w:val="clear" w:color="auto" w:fill="FFFFFF"/>
            <w:vAlign w:val="center"/>
          </w:tcPr>
          <w:p w14:paraId="1B1117EE"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p>
        </w:tc>
      </w:tr>
      <w:tr w:rsidR="0047261E" w:rsidRPr="0047261E" w14:paraId="27CE69DC" w14:textId="77777777" w:rsidTr="0047261E">
        <w:trPr>
          <w:trHeight w:val="182"/>
        </w:trPr>
        <w:tc>
          <w:tcPr>
            <w:tcW w:w="1501" w:type="pct"/>
            <w:tcBorders>
              <w:top w:val="single" w:sz="4" w:space="0" w:color="auto"/>
              <w:left w:val="single" w:sz="4" w:space="0" w:color="auto"/>
              <w:bottom w:val="single" w:sz="4" w:space="0" w:color="auto"/>
              <w:right w:val="single" w:sz="4" w:space="0" w:color="auto"/>
            </w:tcBorders>
            <w:shd w:val="clear" w:color="auto" w:fill="FFFFFF"/>
          </w:tcPr>
          <w:p w14:paraId="340E8D3B"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 к соответствующему периоду</w:t>
            </w:r>
          </w:p>
        </w:tc>
        <w:tc>
          <w:tcPr>
            <w:tcW w:w="402" w:type="pct"/>
            <w:tcBorders>
              <w:top w:val="single" w:sz="4" w:space="0" w:color="auto"/>
              <w:left w:val="single" w:sz="4" w:space="0" w:color="auto"/>
              <w:bottom w:val="single" w:sz="4" w:space="0" w:color="auto"/>
              <w:right w:val="single" w:sz="4" w:space="0" w:color="auto"/>
            </w:tcBorders>
            <w:shd w:val="clear" w:color="auto" w:fill="FFFFFF"/>
            <w:vAlign w:val="center"/>
          </w:tcPr>
          <w:p w14:paraId="2D4CE63A"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-6,7</w:t>
            </w:r>
          </w:p>
        </w:tc>
        <w:tc>
          <w:tcPr>
            <w:tcW w:w="392" w:type="pct"/>
            <w:tcBorders>
              <w:top w:val="single" w:sz="4" w:space="0" w:color="auto"/>
              <w:left w:val="single" w:sz="4" w:space="0" w:color="auto"/>
              <w:bottom w:val="single" w:sz="4" w:space="0" w:color="auto"/>
              <w:right w:val="single" w:sz="4" w:space="0" w:color="auto"/>
            </w:tcBorders>
            <w:shd w:val="clear" w:color="auto" w:fill="FFFFFF"/>
            <w:vAlign w:val="center"/>
          </w:tcPr>
          <w:p w14:paraId="7A291815"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-8,3</w:t>
            </w:r>
          </w:p>
        </w:tc>
        <w:tc>
          <w:tcPr>
            <w:tcW w:w="394" w:type="pct"/>
            <w:tcBorders>
              <w:top w:val="single" w:sz="4" w:space="0" w:color="auto"/>
              <w:left w:val="single" w:sz="4" w:space="0" w:color="auto"/>
              <w:bottom w:val="single" w:sz="4" w:space="0" w:color="auto"/>
              <w:right w:val="single" w:sz="4" w:space="0" w:color="auto"/>
            </w:tcBorders>
            <w:shd w:val="clear" w:color="auto" w:fill="FFFFFF"/>
            <w:vAlign w:val="center"/>
          </w:tcPr>
          <w:p w14:paraId="158DD5BE"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-6,6</w:t>
            </w:r>
          </w:p>
        </w:tc>
        <w:tc>
          <w:tcPr>
            <w:tcW w:w="394" w:type="pct"/>
            <w:tcBorders>
              <w:top w:val="single" w:sz="4" w:space="0" w:color="auto"/>
              <w:left w:val="single" w:sz="4" w:space="0" w:color="auto"/>
              <w:bottom w:val="single" w:sz="4" w:space="0" w:color="auto"/>
              <w:right w:val="single" w:sz="4" w:space="0" w:color="auto"/>
            </w:tcBorders>
            <w:shd w:val="clear" w:color="auto" w:fill="FFFFFF"/>
            <w:vAlign w:val="center"/>
          </w:tcPr>
          <w:p w14:paraId="7D4D9417"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-8,2</w:t>
            </w:r>
          </w:p>
        </w:tc>
        <w:tc>
          <w:tcPr>
            <w:tcW w:w="392" w:type="pct"/>
            <w:tcBorders>
              <w:top w:val="single" w:sz="4" w:space="0" w:color="auto"/>
              <w:left w:val="single" w:sz="4" w:space="0" w:color="auto"/>
              <w:bottom w:val="single" w:sz="4" w:space="0" w:color="auto"/>
              <w:right w:val="single" w:sz="4" w:space="0" w:color="auto"/>
            </w:tcBorders>
            <w:shd w:val="clear" w:color="auto" w:fill="FFFFFF"/>
            <w:vAlign w:val="center"/>
          </w:tcPr>
          <w:p w14:paraId="24372DCB"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-9,8</w:t>
            </w:r>
          </w:p>
        </w:tc>
        <w:tc>
          <w:tcPr>
            <w:tcW w:w="399" w:type="pct"/>
            <w:tcBorders>
              <w:top w:val="single" w:sz="4" w:space="0" w:color="auto"/>
              <w:left w:val="single" w:sz="4" w:space="0" w:color="auto"/>
              <w:bottom w:val="single" w:sz="4" w:space="0" w:color="auto"/>
              <w:right w:val="single" w:sz="4" w:space="0" w:color="auto"/>
            </w:tcBorders>
            <w:shd w:val="clear" w:color="auto" w:fill="FFFFFF"/>
            <w:vAlign w:val="center"/>
          </w:tcPr>
          <w:p w14:paraId="73E48CE6"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-11,3</w:t>
            </w:r>
          </w:p>
        </w:tc>
        <w:tc>
          <w:tcPr>
            <w:tcW w:w="387" w:type="pct"/>
            <w:tcBorders>
              <w:top w:val="single" w:sz="4" w:space="0" w:color="auto"/>
              <w:left w:val="single" w:sz="4" w:space="0" w:color="auto"/>
              <w:bottom w:val="single" w:sz="4" w:space="0" w:color="auto"/>
              <w:right w:val="single" w:sz="4" w:space="0" w:color="auto"/>
            </w:tcBorders>
            <w:shd w:val="clear" w:color="auto" w:fill="FFFFFF"/>
            <w:vAlign w:val="center"/>
          </w:tcPr>
          <w:p w14:paraId="21FE50B0"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-7,3</w:t>
            </w:r>
          </w:p>
        </w:tc>
        <w:tc>
          <w:tcPr>
            <w:tcW w:w="392" w:type="pct"/>
            <w:tcBorders>
              <w:top w:val="single" w:sz="4" w:space="0" w:color="auto"/>
              <w:left w:val="single" w:sz="4" w:space="0" w:color="auto"/>
              <w:bottom w:val="single" w:sz="4" w:space="0" w:color="auto"/>
              <w:right w:val="single" w:sz="4" w:space="0" w:color="auto"/>
            </w:tcBorders>
            <w:shd w:val="clear" w:color="auto" w:fill="FFFFFF"/>
            <w:vAlign w:val="center"/>
          </w:tcPr>
          <w:p w14:paraId="346A309A"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2,4</w:t>
            </w:r>
          </w:p>
        </w:tc>
        <w:tc>
          <w:tcPr>
            <w:tcW w:w="347" w:type="pct"/>
            <w:tcBorders>
              <w:top w:val="single" w:sz="4" w:space="0" w:color="auto"/>
              <w:left w:val="single" w:sz="4" w:space="0" w:color="auto"/>
              <w:bottom w:val="single" w:sz="4" w:space="0" w:color="auto"/>
              <w:right w:val="single" w:sz="4" w:space="0" w:color="auto"/>
            </w:tcBorders>
            <w:shd w:val="clear" w:color="auto" w:fill="FFFFFF"/>
            <w:vAlign w:val="center"/>
          </w:tcPr>
          <w:p w14:paraId="68D7546B"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-4,8</w:t>
            </w:r>
          </w:p>
        </w:tc>
      </w:tr>
      <w:tr w:rsidR="0047261E" w:rsidRPr="0047261E" w14:paraId="494BEB43" w14:textId="77777777" w:rsidTr="0047261E">
        <w:trPr>
          <w:trHeight w:val="154"/>
        </w:trPr>
        <w:tc>
          <w:tcPr>
            <w:tcW w:w="1501" w:type="pct"/>
            <w:tcBorders>
              <w:top w:val="single" w:sz="4" w:space="0" w:color="auto"/>
              <w:left w:val="single" w:sz="4" w:space="0" w:color="auto"/>
              <w:bottom w:val="single" w:sz="4" w:space="0" w:color="auto"/>
              <w:right w:val="single" w:sz="4" w:space="0" w:color="auto"/>
            </w:tcBorders>
            <w:shd w:val="clear" w:color="auto" w:fill="FFFFFF"/>
          </w:tcPr>
          <w:p w14:paraId="34BFE05C"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предыдущего года</w:t>
            </w:r>
          </w:p>
        </w:tc>
        <w:tc>
          <w:tcPr>
            <w:tcW w:w="402" w:type="pct"/>
            <w:tcBorders>
              <w:top w:val="single" w:sz="4" w:space="0" w:color="auto"/>
              <w:left w:val="single" w:sz="4" w:space="0" w:color="auto"/>
              <w:bottom w:val="single" w:sz="4" w:space="0" w:color="auto"/>
              <w:right w:val="single" w:sz="4" w:space="0" w:color="auto"/>
            </w:tcBorders>
            <w:shd w:val="clear" w:color="auto" w:fill="FFFFFF"/>
            <w:vAlign w:val="center"/>
          </w:tcPr>
          <w:p w14:paraId="400EEF2E"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p>
        </w:tc>
        <w:tc>
          <w:tcPr>
            <w:tcW w:w="392" w:type="pct"/>
            <w:tcBorders>
              <w:top w:val="single" w:sz="4" w:space="0" w:color="auto"/>
              <w:left w:val="single" w:sz="4" w:space="0" w:color="auto"/>
              <w:bottom w:val="single" w:sz="4" w:space="0" w:color="auto"/>
              <w:right w:val="single" w:sz="4" w:space="0" w:color="auto"/>
            </w:tcBorders>
            <w:shd w:val="clear" w:color="auto" w:fill="FFFFFF"/>
            <w:vAlign w:val="center"/>
          </w:tcPr>
          <w:p w14:paraId="17FA95AC"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p>
        </w:tc>
        <w:tc>
          <w:tcPr>
            <w:tcW w:w="394" w:type="pct"/>
            <w:tcBorders>
              <w:top w:val="single" w:sz="4" w:space="0" w:color="auto"/>
              <w:left w:val="single" w:sz="4" w:space="0" w:color="auto"/>
              <w:bottom w:val="single" w:sz="4" w:space="0" w:color="auto"/>
              <w:right w:val="single" w:sz="4" w:space="0" w:color="auto"/>
            </w:tcBorders>
            <w:shd w:val="clear" w:color="auto" w:fill="FFFFFF"/>
            <w:vAlign w:val="center"/>
          </w:tcPr>
          <w:p w14:paraId="034CB8C9"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p>
        </w:tc>
        <w:tc>
          <w:tcPr>
            <w:tcW w:w="394" w:type="pct"/>
            <w:tcBorders>
              <w:top w:val="single" w:sz="4" w:space="0" w:color="auto"/>
              <w:left w:val="single" w:sz="4" w:space="0" w:color="auto"/>
              <w:bottom w:val="single" w:sz="4" w:space="0" w:color="auto"/>
              <w:right w:val="single" w:sz="4" w:space="0" w:color="auto"/>
            </w:tcBorders>
            <w:shd w:val="clear" w:color="auto" w:fill="FFFFFF"/>
            <w:vAlign w:val="center"/>
          </w:tcPr>
          <w:p w14:paraId="3159AD92"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p>
        </w:tc>
        <w:tc>
          <w:tcPr>
            <w:tcW w:w="392" w:type="pct"/>
            <w:tcBorders>
              <w:top w:val="single" w:sz="4" w:space="0" w:color="auto"/>
              <w:left w:val="single" w:sz="4" w:space="0" w:color="auto"/>
              <w:bottom w:val="single" w:sz="4" w:space="0" w:color="auto"/>
              <w:right w:val="single" w:sz="4" w:space="0" w:color="auto"/>
            </w:tcBorders>
            <w:shd w:val="clear" w:color="auto" w:fill="FFFFFF"/>
            <w:vAlign w:val="center"/>
          </w:tcPr>
          <w:p w14:paraId="58647682"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p>
        </w:tc>
        <w:tc>
          <w:tcPr>
            <w:tcW w:w="399" w:type="pct"/>
            <w:tcBorders>
              <w:top w:val="single" w:sz="4" w:space="0" w:color="auto"/>
              <w:left w:val="single" w:sz="4" w:space="0" w:color="auto"/>
              <w:bottom w:val="single" w:sz="4" w:space="0" w:color="auto"/>
              <w:right w:val="single" w:sz="4" w:space="0" w:color="auto"/>
            </w:tcBorders>
            <w:shd w:val="clear" w:color="auto" w:fill="FFFFFF"/>
            <w:vAlign w:val="center"/>
          </w:tcPr>
          <w:p w14:paraId="21233A1C"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p>
        </w:tc>
        <w:tc>
          <w:tcPr>
            <w:tcW w:w="387" w:type="pct"/>
            <w:tcBorders>
              <w:top w:val="single" w:sz="4" w:space="0" w:color="auto"/>
              <w:left w:val="single" w:sz="4" w:space="0" w:color="auto"/>
              <w:bottom w:val="single" w:sz="4" w:space="0" w:color="auto"/>
              <w:right w:val="single" w:sz="4" w:space="0" w:color="auto"/>
            </w:tcBorders>
            <w:shd w:val="clear" w:color="auto" w:fill="FFFFFF"/>
            <w:vAlign w:val="center"/>
          </w:tcPr>
          <w:p w14:paraId="5F7918B0"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p>
        </w:tc>
        <w:tc>
          <w:tcPr>
            <w:tcW w:w="392" w:type="pct"/>
            <w:tcBorders>
              <w:top w:val="single" w:sz="4" w:space="0" w:color="auto"/>
              <w:left w:val="single" w:sz="4" w:space="0" w:color="auto"/>
              <w:bottom w:val="single" w:sz="4" w:space="0" w:color="auto"/>
              <w:right w:val="single" w:sz="4" w:space="0" w:color="auto"/>
            </w:tcBorders>
            <w:shd w:val="clear" w:color="auto" w:fill="FFFFFF"/>
            <w:vAlign w:val="center"/>
          </w:tcPr>
          <w:p w14:paraId="43B513F2"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p>
        </w:tc>
        <w:tc>
          <w:tcPr>
            <w:tcW w:w="347" w:type="pct"/>
            <w:tcBorders>
              <w:top w:val="single" w:sz="4" w:space="0" w:color="auto"/>
              <w:left w:val="single" w:sz="4" w:space="0" w:color="auto"/>
              <w:bottom w:val="single" w:sz="4" w:space="0" w:color="auto"/>
              <w:right w:val="single" w:sz="4" w:space="0" w:color="auto"/>
            </w:tcBorders>
            <w:shd w:val="clear" w:color="auto" w:fill="FFFFFF"/>
            <w:vAlign w:val="center"/>
          </w:tcPr>
          <w:p w14:paraId="14CAF5FF"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p>
        </w:tc>
      </w:tr>
      <w:tr w:rsidR="0047261E" w:rsidRPr="0047261E" w14:paraId="197B815C" w14:textId="77777777" w:rsidTr="0047261E">
        <w:trPr>
          <w:trHeight w:val="202"/>
        </w:trPr>
        <w:tc>
          <w:tcPr>
            <w:tcW w:w="1501" w:type="pct"/>
            <w:tcBorders>
              <w:top w:val="single" w:sz="4" w:space="0" w:color="auto"/>
              <w:left w:val="single" w:sz="4" w:space="0" w:color="auto"/>
              <w:bottom w:val="single" w:sz="4" w:space="0" w:color="auto"/>
              <w:right w:val="single" w:sz="4" w:space="0" w:color="auto"/>
            </w:tcBorders>
            <w:shd w:val="clear" w:color="auto" w:fill="FFFFFF"/>
            <w:vAlign w:val="bottom"/>
          </w:tcPr>
          <w:p w14:paraId="008D48F4"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 к предыдущему периоду (SA)</w:t>
            </w:r>
          </w:p>
        </w:tc>
        <w:tc>
          <w:tcPr>
            <w:tcW w:w="402" w:type="pct"/>
            <w:tcBorders>
              <w:top w:val="single" w:sz="4" w:space="0" w:color="auto"/>
              <w:left w:val="single" w:sz="4" w:space="0" w:color="auto"/>
              <w:bottom w:val="single" w:sz="4" w:space="0" w:color="auto"/>
              <w:right w:val="single" w:sz="4" w:space="0" w:color="auto"/>
            </w:tcBorders>
            <w:shd w:val="clear" w:color="auto" w:fill="FFFFFF"/>
            <w:vAlign w:val="center"/>
          </w:tcPr>
          <w:p w14:paraId="4734636D"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p>
        </w:tc>
        <w:tc>
          <w:tcPr>
            <w:tcW w:w="392" w:type="pct"/>
            <w:tcBorders>
              <w:top w:val="single" w:sz="4" w:space="0" w:color="auto"/>
              <w:left w:val="single" w:sz="4" w:space="0" w:color="auto"/>
              <w:bottom w:val="single" w:sz="4" w:space="0" w:color="auto"/>
              <w:right w:val="single" w:sz="4" w:space="0" w:color="auto"/>
            </w:tcBorders>
            <w:shd w:val="clear" w:color="auto" w:fill="FFFFFF"/>
            <w:vAlign w:val="center"/>
          </w:tcPr>
          <w:p w14:paraId="3FD71B93"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1,0</w:t>
            </w:r>
          </w:p>
        </w:tc>
        <w:tc>
          <w:tcPr>
            <w:tcW w:w="394" w:type="pct"/>
            <w:tcBorders>
              <w:top w:val="single" w:sz="4" w:space="0" w:color="auto"/>
              <w:left w:val="single" w:sz="4" w:space="0" w:color="auto"/>
              <w:bottom w:val="single" w:sz="4" w:space="0" w:color="auto"/>
              <w:right w:val="single" w:sz="4" w:space="0" w:color="auto"/>
            </w:tcBorders>
            <w:shd w:val="clear" w:color="auto" w:fill="FFFFFF"/>
            <w:vAlign w:val="center"/>
          </w:tcPr>
          <w:p w14:paraId="3A49A694"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0,9</w:t>
            </w:r>
          </w:p>
        </w:tc>
        <w:tc>
          <w:tcPr>
            <w:tcW w:w="394" w:type="pct"/>
            <w:tcBorders>
              <w:top w:val="single" w:sz="4" w:space="0" w:color="auto"/>
              <w:left w:val="single" w:sz="4" w:space="0" w:color="auto"/>
              <w:bottom w:val="single" w:sz="4" w:space="0" w:color="auto"/>
              <w:right w:val="single" w:sz="4" w:space="0" w:color="auto"/>
            </w:tcBorders>
            <w:shd w:val="clear" w:color="auto" w:fill="FFFFFF"/>
            <w:vAlign w:val="center"/>
          </w:tcPr>
          <w:p w14:paraId="36883CE1"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1,6</w:t>
            </w:r>
          </w:p>
        </w:tc>
        <w:tc>
          <w:tcPr>
            <w:tcW w:w="392" w:type="pct"/>
            <w:tcBorders>
              <w:top w:val="single" w:sz="4" w:space="0" w:color="auto"/>
              <w:left w:val="single" w:sz="4" w:space="0" w:color="auto"/>
              <w:bottom w:val="single" w:sz="4" w:space="0" w:color="auto"/>
              <w:right w:val="single" w:sz="4" w:space="0" w:color="auto"/>
            </w:tcBorders>
            <w:shd w:val="clear" w:color="auto" w:fill="FFFFFF"/>
            <w:vAlign w:val="center"/>
          </w:tcPr>
          <w:p w14:paraId="239457A9"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0,6</w:t>
            </w:r>
          </w:p>
        </w:tc>
        <w:tc>
          <w:tcPr>
            <w:tcW w:w="399" w:type="pct"/>
            <w:tcBorders>
              <w:top w:val="single" w:sz="4" w:space="0" w:color="auto"/>
              <w:left w:val="single" w:sz="4" w:space="0" w:color="auto"/>
              <w:bottom w:val="single" w:sz="4" w:space="0" w:color="auto"/>
              <w:right w:val="single" w:sz="4" w:space="0" w:color="auto"/>
            </w:tcBorders>
            <w:shd w:val="clear" w:color="auto" w:fill="FFFFFF"/>
            <w:vAlign w:val="center"/>
          </w:tcPr>
          <w:p w14:paraId="0CF3B2A8"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-5,2</w:t>
            </w:r>
          </w:p>
        </w:tc>
        <w:tc>
          <w:tcPr>
            <w:tcW w:w="387" w:type="pct"/>
            <w:tcBorders>
              <w:top w:val="single" w:sz="4" w:space="0" w:color="auto"/>
              <w:left w:val="single" w:sz="4" w:space="0" w:color="auto"/>
              <w:bottom w:val="single" w:sz="4" w:space="0" w:color="auto"/>
              <w:right w:val="single" w:sz="4" w:space="0" w:color="auto"/>
            </w:tcBorders>
            <w:shd w:val="clear" w:color="auto" w:fill="FFFFFF"/>
            <w:vAlign w:val="center"/>
          </w:tcPr>
          <w:p w14:paraId="7C199CB6"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-7,5</w:t>
            </w:r>
          </w:p>
        </w:tc>
        <w:tc>
          <w:tcPr>
            <w:tcW w:w="392" w:type="pct"/>
            <w:tcBorders>
              <w:top w:val="single" w:sz="4" w:space="0" w:color="auto"/>
              <w:left w:val="single" w:sz="4" w:space="0" w:color="auto"/>
              <w:bottom w:val="single" w:sz="4" w:space="0" w:color="auto"/>
              <w:right w:val="single" w:sz="4" w:space="0" w:color="auto"/>
            </w:tcBorders>
            <w:shd w:val="clear" w:color="auto" w:fill="FFFFFF"/>
            <w:vAlign w:val="center"/>
          </w:tcPr>
          <w:p w14:paraId="7D9DEF78"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-1,9</w:t>
            </w:r>
          </w:p>
        </w:tc>
        <w:tc>
          <w:tcPr>
            <w:tcW w:w="347" w:type="pct"/>
            <w:tcBorders>
              <w:top w:val="single" w:sz="4" w:space="0" w:color="auto"/>
              <w:left w:val="single" w:sz="4" w:space="0" w:color="auto"/>
              <w:bottom w:val="single" w:sz="4" w:space="0" w:color="auto"/>
              <w:right w:val="single" w:sz="4" w:space="0" w:color="auto"/>
            </w:tcBorders>
            <w:shd w:val="clear" w:color="auto" w:fill="FFFFFF"/>
            <w:vAlign w:val="center"/>
          </w:tcPr>
          <w:p w14:paraId="2EF8CA74"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p>
        </w:tc>
      </w:tr>
    </w:tbl>
    <w:p w14:paraId="321E6942" w14:textId="77777777" w:rsidR="0047261E" w:rsidRPr="0047261E" w:rsidRDefault="0047261E" w:rsidP="0047261E">
      <w:pPr>
        <w:keepNext/>
        <w:keepLines/>
        <w:widowControl w:val="0"/>
        <w:suppressAutoHyphens/>
        <w:autoSpaceDN w:val="0"/>
        <w:spacing w:line="240" w:lineRule="exact"/>
        <w:ind w:firstLine="709"/>
        <w:jc w:val="left"/>
        <w:textAlignment w:val="baseline"/>
        <w:rPr>
          <w:rFonts w:eastAsia="Times New Roman" w:cs="Times New Roman"/>
          <w:b/>
          <w:kern w:val="3"/>
          <w:szCs w:val="24"/>
          <w:lang w:eastAsia="ru-RU" w:bidi="hi-IN"/>
        </w:rPr>
      </w:pPr>
      <w:r w:rsidRPr="0047261E">
        <w:rPr>
          <w:rFonts w:eastAsia="Times New Roman" w:cs="Times New Roman"/>
          <w:b/>
          <w:kern w:val="3"/>
          <w:szCs w:val="24"/>
          <w:lang w:eastAsia="ru-RU" w:bidi="hi-IN"/>
        </w:rPr>
        <w:t>Рынок труда</w:t>
      </w:r>
    </w:p>
    <w:p w14:paraId="53B8E3B7" w14:textId="77777777" w:rsidR="0047261E" w:rsidRPr="0047261E" w:rsidRDefault="0047261E" w:rsidP="0047261E">
      <w:pPr>
        <w:keepNext/>
        <w:keepLines/>
        <w:widowControl w:val="0"/>
        <w:spacing w:line="240" w:lineRule="exact"/>
        <w:ind w:firstLine="709"/>
        <w:contextualSpacing/>
        <w:rPr>
          <w:rFonts w:eastAsia="Arial" w:cs="Times New Roman"/>
          <w:bCs/>
          <w:kern w:val="3"/>
          <w:szCs w:val="24"/>
          <w:lang w:eastAsia="zh-CN" w:bidi="hi-IN"/>
        </w:rPr>
      </w:pPr>
      <w:r w:rsidRPr="0047261E">
        <w:rPr>
          <w:rFonts w:eastAsia="Arial" w:cs="Times New Roman"/>
          <w:bCs/>
          <w:kern w:val="3"/>
          <w:szCs w:val="24"/>
          <w:lang w:eastAsia="zh-CN" w:bidi="hi-IN"/>
        </w:rPr>
        <w:t xml:space="preserve">Ситуация на рынке труда в 2018 г. характеризовалась активным ростом заработных плат как в социальном, так и во внебюджетном секторах. </w:t>
      </w:r>
    </w:p>
    <w:p w14:paraId="7704BC0B" w14:textId="1CC32811" w:rsidR="0047261E" w:rsidRPr="0047261E" w:rsidRDefault="008C315E" w:rsidP="0047261E">
      <w:pPr>
        <w:keepNext/>
        <w:keepLines/>
        <w:widowControl w:val="0"/>
        <w:spacing w:line="240" w:lineRule="exact"/>
        <w:ind w:firstLine="709"/>
        <w:contextualSpacing/>
        <w:rPr>
          <w:rFonts w:eastAsia="Arial" w:cs="Times New Roman"/>
          <w:bCs/>
          <w:kern w:val="3"/>
          <w:szCs w:val="24"/>
          <w:lang w:eastAsia="zh-CN" w:bidi="hi-IN"/>
        </w:rPr>
      </w:pPr>
      <w:r w:rsidRPr="0047261E">
        <w:rPr>
          <w:rFonts w:eastAsia="Arial" w:cs="Times New Roman"/>
          <w:bCs/>
          <w:kern w:val="3"/>
          <w:szCs w:val="24"/>
          <w:lang w:eastAsia="zh-CN" w:bidi="hi-IN"/>
        </w:rPr>
        <w:t xml:space="preserve">По предварительной оценке, </w:t>
      </w:r>
      <w:r w:rsidR="0047261E" w:rsidRPr="0047261E">
        <w:rPr>
          <w:rFonts w:eastAsia="Arial" w:cs="Times New Roman"/>
          <w:bCs/>
          <w:kern w:val="3"/>
          <w:szCs w:val="24"/>
          <w:lang w:eastAsia="zh-CN" w:bidi="hi-IN"/>
        </w:rPr>
        <w:t xml:space="preserve">Росстата, в целом за 2018 год рост реальной заработной платы составил 6,8 % (в 2017 г. - 2,9 %). </w:t>
      </w:r>
    </w:p>
    <w:p w14:paraId="0BAEE6AA" w14:textId="77777777" w:rsidR="0047261E" w:rsidRPr="0047261E" w:rsidRDefault="0047261E" w:rsidP="0047261E">
      <w:pPr>
        <w:keepNext/>
        <w:keepLines/>
        <w:widowControl w:val="0"/>
        <w:spacing w:line="240" w:lineRule="exact"/>
        <w:ind w:firstLine="709"/>
        <w:contextualSpacing/>
        <w:rPr>
          <w:rFonts w:eastAsia="Arial" w:cs="Times New Roman"/>
          <w:bCs/>
          <w:kern w:val="3"/>
          <w:szCs w:val="24"/>
          <w:lang w:eastAsia="zh-CN" w:bidi="hi-IN"/>
        </w:rPr>
      </w:pPr>
      <w:r w:rsidRPr="0047261E">
        <w:rPr>
          <w:rFonts w:eastAsia="Arial" w:cs="Times New Roman"/>
          <w:bCs/>
          <w:kern w:val="3"/>
          <w:szCs w:val="24"/>
          <w:lang w:eastAsia="zh-CN" w:bidi="hi-IN"/>
        </w:rPr>
        <w:t>Существенное увеличение темпов роста заработных плат в 2018 г. было связано в первую очередь с достижением соотношений, установленных указами Президента Российской Федерации в части повышения оплаты труда отдельных категорий работников бюджетной сферы. По оценке Минэкономразвития России, темп роста реальных заработных плат в социальном секторе экономики в январе-ноябре составил 16,8 % г/г.</w:t>
      </w:r>
    </w:p>
    <w:tbl>
      <w:tblPr>
        <w:tblStyle w:val="3b"/>
        <w:tblW w:w="0" w:type="auto"/>
        <w:tblLook w:val="04A0" w:firstRow="1" w:lastRow="0" w:firstColumn="1" w:lastColumn="0" w:noHBand="0" w:noVBand="1"/>
      </w:tblPr>
      <w:tblGrid>
        <w:gridCol w:w="5040"/>
        <w:gridCol w:w="5040"/>
      </w:tblGrid>
      <w:tr w:rsidR="0047261E" w:rsidRPr="0047261E" w14:paraId="3436F943" w14:textId="77777777" w:rsidTr="0047261E">
        <w:tc>
          <w:tcPr>
            <w:tcW w:w="5040" w:type="dxa"/>
          </w:tcPr>
          <w:p w14:paraId="4FD3B431" w14:textId="77777777" w:rsidR="0047261E" w:rsidRPr="0047261E" w:rsidRDefault="0047261E" w:rsidP="0047261E">
            <w:pPr>
              <w:ind w:firstLine="0"/>
              <w:rPr>
                <w:rFonts w:eastAsia="Times New Roman" w:cs="Times New Roman"/>
                <w:lang w:eastAsia="zh-CN"/>
              </w:rPr>
            </w:pPr>
            <w:r w:rsidRPr="0047261E">
              <w:rPr>
                <w:rFonts w:eastAsia="Times New Roman" w:cs="Times New Roman"/>
                <w:noProof/>
                <w:lang w:eastAsia="ru-RU"/>
              </w:rPr>
              <w:drawing>
                <wp:inline distT="0" distB="0" distL="0" distR="0" wp14:anchorId="33413839" wp14:editId="6816AD2F">
                  <wp:extent cx="2938780" cy="2554605"/>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938780" cy="2554605"/>
                          </a:xfrm>
                          <a:prstGeom prst="rect">
                            <a:avLst/>
                          </a:prstGeom>
                          <a:noFill/>
                        </pic:spPr>
                      </pic:pic>
                    </a:graphicData>
                  </a:graphic>
                </wp:inline>
              </w:drawing>
            </w:r>
          </w:p>
        </w:tc>
        <w:tc>
          <w:tcPr>
            <w:tcW w:w="5040" w:type="dxa"/>
          </w:tcPr>
          <w:p w14:paraId="07B48AA1" w14:textId="77777777" w:rsidR="0047261E" w:rsidRPr="0047261E" w:rsidRDefault="0047261E" w:rsidP="0047261E">
            <w:pPr>
              <w:ind w:firstLine="0"/>
              <w:rPr>
                <w:rFonts w:eastAsia="Times New Roman" w:cs="Times New Roman"/>
                <w:lang w:eastAsia="zh-CN"/>
              </w:rPr>
            </w:pPr>
            <w:r w:rsidRPr="0047261E">
              <w:rPr>
                <w:rFonts w:eastAsia="Times New Roman" w:cs="Times New Roman"/>
                <w:noProof/>
                <w:lang w:eastAsia="ru-RU"/>
              </w:rPr>
              <w:drawing>
                <wp:inline distT="0" distB="0" distL="0" distR="0" wp14:anchorId="48FED30B" wp14:editId="72F32735">
                  <wp:extent cx="2932430" cy="2505710"/>
                  <wp:effectExtent l="0" t="0" r="1270" b="889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932430" cy="2505710"/>
                          </a:xfrm>
                          <a:prstGeom prst="rect">
                            <a:avLst/>
                          </a:prstGeom>
                          <a:noFill/>
                        </pic:spPr>
                      </pic:pic>
                    </a:graphicData>
                  </a:graphic>
                </wp:inline>
              </w:drawing>
            </w:r>
          </w:p>
        </w:tc>
      </w:tr>
      <w:tr w:rsidR="0047261E" w:rsidRPr="0047261E" w14:paraId="2B1BCA59" w14:textId="77777777" w:rsidTr="0047261E">
        <w:tc>
          <w:tcPr>
            <w:tcW w:w="5040" w:type="dxa"/>
          </w:tcPr>
          <w:p w14:paraId="3C0550B6" w14:textId="0D3AD8FA" w:rsidR="0047261E" w:rsidRPr="0047261E" w:rsidRDefault="0047261E" w:rsidP="0047261E">
            <w:pPr>
              <w:suppressLineNumbers/>
              <w:suppressAutoHyphens/>
              <w:ind w:firstLine="23"/>
              <w:jc w:val="center"/>
              <w:rPr>
                <w:rFonts w:eastAsia="Calibri" w:cs="Times New Roman"/>
                <w:i/>
                <w:iCs/>
                <w:szCs w:val="24"/>
              </w:rPr>
            </w:pPr>
            <w:r w:rsidRPr="0047261E">
              <w:rPr>
                <w:rFonts w:eastAsia="Calibri" w:cs="Times New Roman"/>
                <w:i/>
                <w:iCs/>
                <w:szCs w:val="24"/>
              </w:rPr>
              <w:t xml:space="preserve">Рисунок </w:t>
            </w:r>
            <w:r w:rsidRPr="0047261E">
              <w:rPr>
                <w:rFonts w:eastAsia="Calibri" w:cs="Times New Roman"/>
                <w:i/>
                <w:iCs/>
                <w:szCs w:val="24"/>
              </w:rPr>
              <w:fldChar w:fldCharType="begin"/>
            </w:r>
            <w:r w:rsidRPr="0047261E">
              <w:rPr>
                <w:rFonts w:eastAsia="Calibri" w:cs="Times New Roman"/>
                <w:i/>
                <w:iCs/>
                <w:szCs w:val="24"/>
              </w:rPr>
              <w:instrText xml:space="preserve"> SEQ Рисунок \* ARABIC </w:instrText>
            </w:r>
            <w:r w:rsidRPr="0047261E">
              <w:rPr>
                <w:rFonts w:eastAsia="Calibri" w:cs="Times New Roman"/>
                <w:i/>
                <w:iCs/>
                <w:szCs w:val="24"/>
              </w:rPr>
              <w:fldChar w:fldCharType="separate"/>
            </w:r>
            <w:r w:rsidR="00FD2769">
              <w:rPr>
                <w:rFonts w:eastAsia="Calibri" w:cs="Times New Roman"/>
                <w:i/>
                <w:iCs/>
                <w:noProof/>
                <w:szCs w:val="24"/>
              </w:rPr>
              <w:t>9</w:t>
            </w:r>
            <w:r w:rsidRPr="0047261E">
              <w:rPr>
                <w:rFonts w:eastAsia="Calibri" w:cs="Times New Roman"/>
                <w:i/>
                <w:iCs/>
                <w:szCs w:val="24"/>
              </w:rPr>
              <w:fldChar w:fldCharType="end"/>
            </w:r>
          </w:p>
        </w:tc>
        <w:tc>
          <w:tcPr>
            <w:tcW w:w="5040" w:type="dxa"/>
          </w:tcPr>
          <w:p w14:paraId="32F639FF" w14:textId="323CA1F6" w:rsidR="0047261E" w:rsidRPr="0047261E" w:rsidRDefault="0047261E" w:rsidP="0047261E">
            <w:pPr>
              <w:suppressLineNumbers/>
              <w:suppressAutoHyphens/>
              <w:ind w:firstLine="23"/>
              <w:jc w:val="center"/>
              <w:rPr>
                <w:rFonts w:eastAsia="Calibri" w:cs="Times New Roman"/>
                <w:i/>
                <w:iCs/>
                <w:szCs w:val="24"/>
              </w:rPr>
            </w:pPr>
            <w:r w:rsidRPr="0047261E">
              <w:rPr>
                <w:rFonts w:eastAsia="Calibri" w:cs="Times New Roman"/>
                <w:i/>
                <w:iCs/>
                <w:szCs w:val="24"/>
              </w:rPr>
              <w:t xml:space="preserve">Рисунок </w:t>
            </w:r>
            <w:r w:rsidRPr="0047261E">
              <w:rPr>
                <w:rFonts w:eastAsia="Calibri" w:cs="Times New Roman"/>
                <w:i/>
                <w:iCs/>
                <w:szCs w:val="24"/>
              </w:rPr>
              <w:fldChar w:fldCharType="begin"/>
            </w:r>
            <w:r w:rsidRPr="0047261E">
              <w:rPr>
                <w:rFonts w:eastAsia="Calibri" w:cs="Times New Roman"/>
                <w:i/>
                <w:iCs/>
                <w:szCs w:val="24"/>
              </w:rPr>
              <w:instrText xml:space="preserve"> SEQ Рисунок \* ARABIC </w:instrText>
            </w:r>
            <w:r w:rsidRPr="0047261E">
              <w:rPr>
                <w:rFonts w:eastAsia="Calibri" w:cs="Times New Roman"/>
                <w:i/>
                <w:iCs/>
                <w:szCs w:val="24"/>
              </w:rPr>
              <w:fldChar w:fldCharType="separate"/>
            </w:r>
            <w:r w:rsidR="00FD2769">
              <w:rPr>
                <w:rFonts w:eastAsia="Calibri" w:cs="Times New Roman"/>
                <w:i/>
                <w:iCs/>
                <w:noProof/>
                <w:szCs w:val="24"/>
              </w:rPr>
              <w:t>10</w:t>
            </w:r>
            <w:r w:rsidRPr="0047261E">
              <w:rPr>
                <w:rFonts w:eastAsia="Calibri" w:cs="Times New Roman"/>
                <w:i/>
                <w:iCs/>
                <w:szCs w:val="24"/>
              </w:rPr>
              <w:fldChar w:fldCharType="end"/>
            </w:r>
          </w:p>
        </w:tc>
      </w:tr>
    </w:tbl>
    <w:p w14:paraId="642E8296" w14:textId="77777777" w:rsidR="0047261E" w:rsidRPr="0047261E" w:rsidRDefault="0047261E" w:rsidP="0047261E">
      <w:pPr>
        <w:widowControl w:val="0"/>
        <w:spacing w:before="240" w:line="317" w:lineRule="exact"/>
        <w:ind w:firstLine="709"/>
        <w:contextualSpacing/>
        <w:rPr>
          <w:rFonts w:eastAsia="Times New Roman" w:cs="Times New Roman"/>
          <w:kern w:val="3"/>
          <w:szCs w:val="24"/>
          <w:lang w:eastAsia="zh-CN" w:bidi="hi-IN"/>
        </w:rPr>
      </w:pPr>
      <w:r w:rsidRPr="0047261E">
        <w:rPr>
          <w:rFonts w:eastAsia="Times New Roman" w:cs="Times New Roman"/>
          <w:kern w:val="3"/>
          <w:szCs w:val="24"/>
          <w:lang w:eastAsia="zh-CN" w:bidi="hi-IN"/>
        </w:rPr>
        <w:t>Рост заработных плат в частном секторе, по оценке Минэкономразвития России, составил 6,3 % г/г в реальном выражении в январе-ноябре 2018 года. Дополнительными факторами роста заработных плат как в социальном, так и во внебюджетном секторах в 2018 г. стали индексация оплаты труда других работников бюджетной сферы и повышение минимального размера оплаты труда с 1 января и с 1 мая 2018 года.</w:t>
      </w:r>
    </w:p>
    <w:p w14:paraId="67548E8E" w14:textId="1BDFCE30" w:rsidR="0047261E" w:rsidRPr="0047261E" w:rsidRDefault="0047261E" w:rsidP="0047261E">
      <w:pPr>
        <w:widowControl w:val="0"/>
        <w:spacing w:before="240" w:line="317" w:lineRule="exact"/>
        <w:ind w:firstLine="709"/>
        <w:contextualSpacing/>
        <w:rPr>
          <w:rFonts w:eastAsia="Times New Roman" w:cs="Times New Roman"/>
          <w:kern w:val="3"/>
          <w:szCs w:val="24"/>
          <w:lang w:eastAsia="zh-CN" w:bidi="hi-IN"/>
        </w:rPr>
      </w:pPr>
      <w:r w:rsidRPr="0047261E">
        <w:rPr>
          <w:rFonts w:eastAsia="Times New Roman" w:cs="Times New Roman"/>
          <w:kern w:val="3"/>
          <w:szCs w:val="24"/>
          <w:lang w:eastAsia="zh-CN" w:bidi="hi-IN"/>
        </w:rPr>
        <w:t>В конце года наметилась тенденция к стабилизации роста реальных заработных плат (</w:t>
      </w:r>
      <w:r w:rsidR="008C315E" w:rsidRPr="0047261E">
        <w:rPr>
          <w:rFonts w:eastAsia="Times New Roman" w:cs="Times New Roman"/>
          <w:kern w:val="3"/>
          <w:szCs w:val="24"/>
          <w:lang w:eastAsia="zh-CN" w:bidi="hi-IN"/>
        </w:rPr>
        <w:t>по предварительной оценке,</w:t>
      </w:r>
      <w:r w:rsidRPr="0047261E">
        <w:rPr>
          <w:rFonts w:eastAsia="Times New Roman" w:cs="Times New Roman"/>
          <w:kern w:val="3"/>
          <w:szCs w:val="24"/>
          <w:lang w:eastAsia="zh-CN" w:bidi="hi-IN"/>
        </w:rPr>
        <w:t xml:space="preserve"> Росстата, 2,5 % г/г в декабре). Данное замедление было ожидаемым и было связано с изменением внутригодовой динамики оплаты труда в социальном секторе в 2018 г. из-за особенностей достижения установленных президентскими указами целевых соотношений, а также с ускорением потребительской инфляции во второй половине года.</w:t>
      </w:r>
    </w:p>
    <w:tbl>
      <w:tblPr>
        <w:tblStyle w:val="3b"/>
        <w:tblW w:w="0" w:type="auto"/>
        <w:tblLook w:val="04A0" w:firstRow="1" w:lastRow="0" w:firstColumn="1" w:lastColumn="0" w:noHBand="0" w:noVBand="1"/>
      </w:tblPr>
      <w:tblGrid>
        <w:gridCol w:w="5040"/>
        <w:gridCol w:w="5040"/>
      </w:tblGrid>
      <w:tr w:rsidR="0047261E" w:rsidRPr="0047261E" w14:paraId="3FFA5BDE" w14:textId="77777777" w:rsidTr="0047261E">
        <w:trPr>
          <w:trHeight w:val="5104"/>
        </w:trPr>
        <w:tc>
          <w:tcPr>
            <w:tcW w:w="5040" w:type="dxa"/>
            <w:vAlign w:val="center"/>
          </w:tcPr>
          <w:p w14:paraId="31EDC42A" w14:textId="77777777" w:rsidR="0047261E" w:rsidRPr="0047261E" w:rsidRDefault="0047261E" w:rsidP="0047261E">
            <w:pPr>
              <w:spacing w:before="240" w:line="317" w:lineRule="exact"/>
              <w:ind w:firstLine="0"/>
              <w:rPr>
                <w:rFonts w:eastAsia="Times New Roman" w:cs="Times New Roman"/>
                <w:lang w:eastAsia="zh-CN"/>
              </w:rPr>
            </w:pPr>
            <w:r w:rsidRPr="0047261E">
              <w:rPr>
                <w:rFonts w:eastAsia="Times New Roman" w:cs="Times New Roman"/>
                <w:noProof/>
                <w:lang w:eastAsia="ru-RU"/>
              </w:rPr>
              <w:drawing>
                <wp:inline distT="0" distB="0" distL="0" distR="0" wp14:anchorId="753410C4" wp14:editId="69741A6C">
                  <wp:extent cx="2962910" cy="2707005"/>
                  <wp:effectExtent l="0" t="0" r="889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962910" cy="2707005"/>
                          </a:xfrm>
                          <a:prstGeom prst="rect">
                            <a:avLst/>
                          </a:prstGeom>
                          <a:noFill/>
                        </pic:spPr>
                      </pic:pic>
                    </a:graphicData>
                  </a:graphic>
                </wp:inline>
              </w:drawing>
            </w:r>
            <w:r w:rsidRPr="0047261E">
              <w:rPr>
                <w:rFonts w:eastAsia="Times New Roman" w:cs="Times New Roman"/>
                <w:noProof/>
                <w:lang w:eastAsia="ru-RU"/>
              </w:rPr>
              <w:drawing>
                <wp:anchor distT="0" distB="0" distL="114300" distR="114300" simplePos="0" relativeHeight="251681792" behindDoc="0" locked="0" layoutInCell="1" allowOverlap="1" wp14:anchorId="26269EBE" wp14:editId="32A49C04">
                  <wp:simplePos x="0" y="0"/>
                  <wp:positionH relativeFrom="column">
                    <wp:posOffset>-4445</wp:posOffset>
                  </wp:positionH>
                  <wp:positionV relativeFrom="paragraph">
                    <wp:posOffset>0</wp:posOffset>
                  </wp:positionV>
                  <wp:extent cx="2811600" cy="2678400"/>
                  <wp:effectExtent l="0" t="0" r="8255" b="8255"/>
                  <wp:wrapSquare wrapText="bothSides"/>
                  <wp:docPr id="896" name="Рисунок 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preferRelativeResize="0">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811600" cy="2678400"/>
                          </a:xfrm>
                          <a:prstGeom prst="rect">
                            <a:avLst/>
                          </a:prstGeom>
                          <a:noFill/>
                        </pic:spPr>
                      </pic:pic>
                    </a:graphicData>
                  </a:graphic>
                  <wp14:sizeRelH relativeFrom="margin">
                    <wp14:pctWidth>0</wp14:pctWidth>
                  </wp14:sizeRelH>
                  <wp14:sizeRelV relativeFrom="margin">
                    <wp14:pctHeight>0</wp14:pctHeight>
                  </wp14:sizeRelV>
                </wp:anchor>
              </w:drawing>
            </w:r>
          </w:p>
        </w:tc>
        <w:tc>
          <w:tcPr>
            <w:tcW w:w="5040" w:type="dxa"/>
          </w:tcPr>
          <w:p w14:paraId="098B4C4A" w14:textId="77777777" w:rsidR="0047261E" w:rsidRPr="0047261E" w:rsidRDefault="0047261E" w:rsidP="0047261E">
            <w:pPr>
              <w:spacing w:before="240" w:line="317" w:lineRule="exact"/>
              <w:ind w:firstLine="0"/>
              <w:rPr>
                <w:rFonts w:eastAsia="Times New Roman" w:cs="Times New Roman"/>
                <w:lang w:eastAsia="zh-CN"/>
              </w:rPr>
            </w:pPr>
            <w:r w:rsidRPr="0047261E">
              <w:rPr>
                <w:rFonts w:eastAsia="Times New Roman" w:cs="Times New Roman"/>
                <w:noProof/>
                <w:lang w:eastAsia="ru-RU"/>
              </w:rPr>
              <w:drawing>
                <wp:anchor distT="0" distB="0" distL="114300" distR="114300" simplePos="0" relativeHeight="251682816" behindDoc="0" locked="0" layoutInCell="1" allowOverlap="1" wp14:anchorId="700219BF" wp14:editId="1BA29B7E">
                  <wp:simplePos x="0" y="0"/>
                  <wp:positionH relativeFrom="column">
                    <wp:posOffset>14605</wp:posOffset>
                  </wp:positionH>
                  <wp:positionV relativeFrom="paragraph">
                    <wp:posOffset>104775</wp:posOffset>
                  </wp:positionV>
                  <wp:extent cx="2771775" cy="2532380"/>
                  <wp:effectExtent l="0" t="0" r="9525" b="1270"/>
                  <wp:wrapSquare wrapText="bothSides"/>
                  <wp:docPr id="897" name="Рисунок 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771775" cy="2532380"/>
                          </a:xfrm>
                          <a:prstGeom prst="rect">
                            <a:avLst/>
                          </a:prstGeom>
                          <a:noFill/>
                        </pic:spPr>
                      </pic:pic>
                    </a:graphicData>
                  </a:graphic>
                  <wp14:sizeRelH relativeFrom="page">
                    <wp14:pctWidth>0</wp14:pctWidth>
                  </wp14:sizeRelH>
                  <wp14:sizeRelV relativeFrom="page">
                    <wp14:pctHeight>0</wp14:pctHeight>
                  </wp14:sizeRelV>
                </wp:anchor>
              </w:drawing>
            </w:r>
          </w:p>
        </w:tc>
      </w:tr>
      <w:tr w:rsidR="0047261E" w:rsidRPr="0047261E" w14:paraId="16213F04" w14:textId="77777777" w:rsidTr="0047261E">
        <w:tc>
          <w:tcPr>
            <w:tcW w:w="5040" w:type="dxa"/>
          </w:tcPr>
          <w:p w14:paraId="02A33B34" w14:textId="040BFCEA" w:rsidR="0047261E" w:rsidRPr="0047261E" w:rsidRDefault="0047261E" w:rsidP="0047261E">
            <w:pPr>
              <w:suppressLineNumbers/>
              <w:suppressAutoHyphens/>
              <w:ind w:firstLine="22"/>
              <w:jc w:val="center"/>
              <w:rPr>
                <w:rFonts w:eastAsia="Calibri" w:cs="Times New Roman"/>
                <w:i/>
                <w:iCs/>
                <w:szCs w:val="24"/>
              </w:rPr>
            </w:pPr>
            <w:r w:rsidRPr="0047261E">
              <w:rPr>
                <w:rFonts w:eastAsia="Calibri" w:cs="Times New Roman"/>
                <w:i/>
                <w:iCs/>
                <w:szCs w:val="24"/>
              </w:rPr>
              <w:t xml:space="preserve">Рисунок </w:t>
            </w:r>
            <w:r w:rsidRPr="0047261E">
              <w:rPr>
                <w:rFonts w:eastAsia="Calibri" w:cs="Times New Roman"/>
                <w:i/>
                <w:iCs/>
                <w:szCs w:val="24"/>
              </w:rPr>
              <w:fldChar w:fldCharType="begin"/>
            </w:r>
            <w:r w:rsidRPr="0047261E">
              <w:rPr>
                <w:rFonts w:eastAsia="Calibri" w:cs="Times New Roman"/>
                <w:i/>
                <w:iCs/>
                <w:szCs w:val="24"/>
              </w:rPr>
              <w:instrText xml:space="preserve"> SEQ Рисунок \* ARABIC </w:instrText>
            </w:r>
            <w:r w:rsidRPr="0047261E">
              <w:rPr>
                <w:rFonts w:eastAsia="Calibri" w:cs="Times New Roman"/>
                <w:i/>
                <w:iCs/>
                <w:szCs w:val="24"/>
              </w:rPr>
              <w:fldChar w:fldCharType="separate"/>
            </w:r>
            <w:r w:rsidR="00FD2769">
              <w:rPr>
                <w:rFonts w:eastAsia="Calibri" w:cs="Times New Roman"/>
                <w:i/>
                <w:iCs/>
                <w:noProof/>
                <w:szCs w:val="24"/>
              </w:rPr>
              <w:t>11</w:t>
            </w:r>
            <w:r w:rsidRPr="0047261E">
              <w:rPr>
                <w:rFonts w:eastAsia="Calibri" w:cs="Times New Roman"/>
                <w:i/>
                <w:iCs/>
                <w:szCs w:val="24"/>
              </w:rPr>
              <w:fldChar w:fldCharType="end"/>
            </w:r>
          </w:p>
        </w:tc>
        <w:tc>
          <w:tcPr>
            <w:tcW w:w="5040" w:type="dxa"/>
          </w:tcPr>
          <w:p w14:paraId="4B22EE6A" w14:textId="0F265D11" w:rsidR="0047261E" w:rsidRPr="0047261E" w:rsidRDefault="0047261E" w:rsidP="0047261E">
            <w:pPr>
              <w:suppressLineNumbers/>
              <w:suppressAutoHyphens/>
              <w:ind w:firstLine="22"/>
              <w:jc w:val="center"/>
              <w:rPr>
                <w:rFonts w:eastAsia="Calibri" w:cs="Times New Roman"/>
                <w:i/>
                <w:iCs/>
                <w:szCs w:val="24"/>
              </w:rPr>
            </w:pPr>
            <w:r w:rsidRPr="0047261E">
              <w:rPr>
                <w:rFonts w:eastAsia="Calibri" w:cs="Times New Roman"/>
                <w:i/>
                <w:iCs/>
                <w:szCs w:val="24"/>
              </w:rPr>
              <w:t xml:space="preserve">Рисунок </w:t>
            </w:r>
            <w:r w:rsidRPr="0047261E">
              <w:rPr>
                <w:rFonts w:eastAsia="Calibri" w:cs="Times New Roman"/>
                <w:i/>
                <w:iCs/>
                <w:szCs w:val="24"/>
              </w:rPr>
              <w:fldChar w:fldCharType="begin"/>
            </w:r>
            <w:r w:rsidRPr="0047261E">
              <w:rPr>
                <w:rFonts w:eastAsia="Calibri" w:cs="Times New Roman"/>
                <w:i/>
                <w:iCs/>
                <w:szCs w:val="24"/>
              </w:rPr>
              <w:instrText xml:space="preserve"> SEQ Рисунок \* ARABIC </w:instrText>
            </w:r>
            <w:r w:rsidRPr="0047261E">
              <w:rPr>
                <w:rFonts w:eastAsia="Calibri" w:cs="Times New Roman"/>
                <w:i/>
                <w:iCs/>
                <w:szCs w:val="24"/>
              </w:rPr>
              <w:fldChar w:fldCharType="separate"/>
            </w:r>
            <w:r w:rsidR="00FD2769">
              <w:rPr>
                <w:rFonts w:eastAsia="Calibri" w:cs="Times New Roman"/>
                <w:i/>
                <w:iCs/>
                <w:noProof/>
                <w:szCs w:val="24"/>
              </w:rPr>
              <w:t>12</w:t>
            </w:r>
            <w:r w:rsidRPr="0047261E">
              <w:rPr>
                <w:rFonts w:eastAsia="Calibri" w:cs="Times New Roman"/>
                <w:i/>
                <w:iCs/>
                <w:szCs w:val="24"/>
              </w:rPr>
              <w:fldChar w:fldCharType="end"/>
            </w:r>
          </w:p>
        </w:tc>
      </w:tr>
    </w:tbl>
    <w:p w14:paraId="147B3327" w14:textId="77777777" w:rsidR="0047261E" w:rsidRPr="0047261E" w:rsidRDefault="0047261E" w:rsidP="0047261E">
      <w:pPr>
        <w:widowControl w:val="0"/>
        <w:suppressAutoHyphens/>
        <w:autoSpaceDN w:val="0"/>
        <w:ind w:firstLine="0"/>
        <w:textAlignment w:val="baseline"/>
        <w:rPr>
          <w:rFonts w:eastAsia="Times New Roman" w:cs="Times New Roman"/>
          <w:kern w:val="3"/>
          <w:sz w:val="28"/>
          <w:szCs w:val="24"/>
          <w:lang w:eastAsia="ru-RU" w:bidi="hi-IN"/>
        </w:rPr>
      </w:pPr>
    </w:p>
    <w:p w14:paraId="55662992" w14:textId="77777777" w:rsidR="0047261E" w:rsidRPr="0047261E" w:rsidRDefault="0047261E" w:rsidP="0047261E">
      <w:pPr>
        <w:keepNext/>
        <w:keepLines/>
        <w:widowControl w:val="0"/>
        <w:spacing w:line="200" w:lineRule="exact"/>
        <w:ind w:firstLine="709"/>
        <w:rPr>
          <w:rFonts w:eastAsia="Arial" w:cs="Times New Roman"/>
          <w:bCs/>
          <w:kern w:val="3"/>
          <w:szCs w:val="24"/>
          <w:lang w:eastAsia="zh-CN" w:bidi="hi-IN"/>
        </w:rPr>
      </w:pPr>
      <w:r w:rsidRPr="0047261E">
        <w:rPr>
          <w:rFonts w:eastAsia="Arial" w:cs="Times New Roman"/>
          <w:bCs/>
          <w:kern w:val="3"/>
          <w:szCs w:val="24"/>
          <w:lang w:eastAsia="zh-CN" w:bidi="hi-IN"/>
        </w:rPr>
        <w:t>Уровень безработицы в 2018 г. опустился до исторического минимума 4,8 %.</w:t>
      </w:r>
    </w:p>
    <w:p w14:paraId="4B55AE0A" w14:textId="77777777" w:rsidR="0047261E" w:rsidRPr="0047261E" w:rsidRDefault="0047261E" w:rsidP="0047261E">
      <w:pPr>
        <w:widowControl w:val="0"/>
        <w:spacing w:line="317" w:lineRule="exact"/>
        <w:ind w:firstLine="709"/>
        <w:contextualSpacing/>
        <w:rPr>
          <w:rFonts w:eastAsia="Times New Roman" w:cs="Times New Roman"/>
          <w:kern w:val="3"/>
          <w:szCs w:val="24"/>
          <w:lang w:eastAsia="zh-CN" w:bidi="hi-IN"/>
        </w:rPr>
      </w:pPr>
      <w:r w:rsidRPr="0047261E">
        <w:rPr>
          <w:rFonts w:eastAsia="Times New Roman" w:cs="Times New Roman"/>
          <w:kern w:val="3"/>
          <w:szCs w:val="24"/>
          <w:lang w:eastAsia="zh-CN" w:bidi="hi-IN"/>
        </w:rPr>
        <w:t>В целом за 2018 г. совокупная численность рабочей силы изменилась незначительно, снизившись по сравнению с 2017 годом на 95,3 тыс. человек (-0,1 %). При этом наблюдалось дальнейшее перераспределение рабочей силы между занятыми и безработными. Численность занятого населения увеличилась на 215,7 тыс. человек (+0,3 %) за счет снижения общей численности безработных на 311,0 тыс. человек (-7,8 %).</w:t>
      </w:r>
    </w:p>
    <w:p w14:paraId="310293F8" w14:textId="77777777" w:rsidR="0047261E" w:rsidRPr="0047261E" w:rsidRDefault="0047261E" w:rsidP="0047261E">
      <w:pPr>
        <w:widowControl w:val="0"/>
        <w:spacing w:before="240" w:line="317" w:lineRule="exact"/>
        <w:ind w:firstLine="709"/>
        <w:contextualSpacing/>
        <w:rPr>
          <w:rFonts w:eastAsia="Times New Roman" w:cs="Times New Roman"/>
          <w:kern w:val="3"/>
          <w:szCs w:val="24"/>
          <w:lang w:eastAsia="zh-CN" w:bidi="hi-IN"/>
        </w:rPr>
      </w:pPr>
      <w:r w:rsidRPr="0047261E">
        <w:rPr>
          <w:rFonts w:eastAsia="Times New Roman" w:cs="Times New Roman"/>
          <w:kern w:val="3"/>
          <w:szCs w:val="24"/>
          <w:lang w:eastAsia="zh-CN" w:bidi="hi-IN"/>
        </w:rPr>
        <w:t xml:space="preserve">Об ограничениях на рынке труда свидетельствуют и данные компании </w:t>
      </w:r>
      <w:r w:rsidRPr="0047261E">
        <w:rPr>
          <w:rFonts w:eastAsia="Times New Roman" w:cs="Times New Roman"/>
          <w:kern w:val="3"/>
          <w:szCs w:val="24"/>
          <w:lang w:val="en-US" w:bidi="en-US"/>
        </w:rPr>
        <w:t>HeadHunter</w:t>
      </w:r>
      <w:r w:rsidRPr="0047261E">
        <w:rPr>
          <w:rFonts w:eastAsia="Times New Roman" w:cs="Times New Roman"/>
          <w:kern w:val="3"/>
          <w:szCs w:val="24"/>
          <w:lang w:bidi="en-US"/>
        </w:rPr>
        <w:t xml:space="preserve">. </w:t>
      </w:r>
      <w:r w:rsidRPr="0047261E">
        <w:rPr>
          <w:rFonts w:eastAsia="Times New Roman" w:cs="Times New Roman"/>
          <w:kern w:val="3"/>
          <w:szCs w:val="24"/>
          <w:lang w:eastAsia="zh-CN" w:bidi="hi-IN"/>
        </w:rPr>
        <w:t xml:space="preserve">Публикуемый ею </w:t>
      </w:r>
      <w:r w:rsidRPr="0047261E">
        <w:rPr>
          <w:rFonts w:eastAsia="Times New Roman" w:cs="Times New Roman"/>
          <w:kern w:val="3"/>
          <w:szCs w:val="24"/>
          <w:lang w:val="en-US" w:bidi="en-US"/>
        </w:rPr>
        <w:t>hh</w:t>
      </w:r>
      <w:r w:rsidRPr="0047261E">
        <w:rPr>
          <w:rFonts w:eastAsia="Times New Roman" w:cs="Times New Roman"/>
          <w:kern w:val="3"/>
          <w:szCs w:val="24"/>
          <w:lang w:eastAsia="zh-CN" w:bidi="hi-IN"/>
        </w:rPr>
        <w:t>-индекс, который показывает дефицитность специалистов через отношение количества активных резюме к вакансиям, снизился по сравнению с предыдущим годом на 0,9 п. (до 5,7 пунктов в среднем за 2018 год). На протяжении 2018 г. ограниченное предложение кадров требуемой квалификации наблюдалось среди рабочего персонала, медицины и фармацевтики.</w:t>
      </w:r>
    </w:p>
    <w:tbl>
      <w:tblPr>
        <w:tblStyle w:val="3b"/>
        <w:tblW w:w="0" w:type="auto"/>
        <w:tblLook w:val="04A0" w:firstRow="1" w:lastRow="0" w:firstColumn="1" w:lastColumn="0" w:noHBand="0" w:noVBand="1"/>
      </w:tblPr>
      <w:tblGrid>
        <w:gridCol w:w="5040"/>
        <w:gridCol w:w="5040"/>
      </w:tblGrid>
      <w:tr w:rsidR="0047261E" w:rsidRPr="0047261E" w14:paraId="7DEE5D20" w14:textId="77777777" w:rsidTr="0047261E">
        <w:tc>
          <w:tcPr>
            <w:tcW w:w="5040" w:type="dxa"/>
          </w:tcPr>
          <w:p w14:paraId="4AF35EDE" w14:textId="77777777" w:rsidR="0047261E" w:rsidRPr="0047261E" w:rsidRDefault="0047261E" w:rsidP="0047261E">
            <w:pPr>
              <w:ind w:firstLine="0"/>
              <w:contextualSpacing/>
              <w:jc w:val="center"/>
              <w:rPr>
                <w:rFonts w:eastAsia="Times New Roman" w:cs="Times New Roman"/>
                <w:lang w:eastAsia="zh-CN"/>
              </w:rPr>
            </w:pPr>
            <w:r w:rsidRPr="0047261E">
              <w:rPr>
                <w:rFonts w:eastAsia="Times New Roman" w:cs="Times New Roman"/>
                <w:noProof/>
                <w:lang w:eastAsia="ru-RU"/>
              </w:rPr>
              <w:drawing>
                <wp:inline distT="0" distB="0" distL="0" distR="0" wp14:anchorId="4833E1DA" wp14:editId="096C4110">
                  <wp:extent cx="2815095" cy="3365500"/>
                  <wp:effectExtent l="0" t="0" r="4445" b="6350"/>
                  <wp:docPr id="898" name="Рисунок 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827037" cy="3379776"/>
                          </a:xfrm>
                          <a:prstGeom prst="rect">
                            <a:avLst/>
                          </a:prstGeom>
                          <a:noFill/>
                        </pic:spPr>
                      </pic:pic>
                    </a:graphicData>
                  </a:graphic>
                </wp:inline>
              </w:drawing>
            </w:r>
          </w:p>
        </w:tc>
        <w:tc>
          <w:tcPr>
            <w:tcW w:w="5040" w:type="dxa"/>
          </w:tcPr>
          <w:p w14:paraId="758B5951" w14:textId="77777777" w:rsidR="0047261E" w:rsidRPr="0047261E" w:rsidRDefault="0047261E" w:rsidP="0047261E">
            <w:pPr>
              <w:ind w:firstLine="0"/>
              <w:contextualSpacing/>
              <w:jc w:val="center"/>
              <w:rPr>
                <w:rFonts w:eastAsia="Times New Roman" w:cs="Times New Roman"/>
                <w:lang w:eastAsia="zh-CN"/>
              </w:rPr>
            </w:pPr>
            <w:r w:rsidRPr="0047261E">
              <w:rPr>
                <w:rFonts w:eastAsia="Times New Roman" w:cs="Times New Roman"/>
                <w:noProof/>
                <w:lang w:eastAsia="ru-RU"/>
              </w:rPr>
              <w:drawing>
                <wp:inline distT="0" distB="0" distL="0" distR="0" wp14:anchorId="1908C6A0" wp14:editId="00B8AA5E">
                  <wp:extent cx="2847340" cy="3365500"/>
                  <wp:effectExtent l="0" t="0" r="0" b="6350"/>
                  <wp:docPr id="899" name="Рисунок 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847340" cy="3365500"/>
                          </a:xfrm>
                          <a:prstGeom prst="rect">
                            <a:avLst/>
                          </a:prstGeom>
                          <a:noFill/>
                        </pic:spPr>
                      </pic:pic>
                    </a:graphicData>
                  </a:graphic>
                </wp:inline>
              </w:drawing>
            </w:r>
          </w:p>
        </w:tc>
      </w:tr>
      <w:tr w:rsidR="0047261E" w:rsidRPr="0047261E" w14:paraId="58624433" w14:textId="77777777" w:rsidTr="0047261E">
        <w:tc>
          <w:tcPr>
            <w:tcW w:w="5040" w:type="dxa"/>
          </w:tcPr>
          <w:p w14:paraId="3C7799A0" w14:textId="36DBC1BD" w:rsidR="0047261E" w:rsidRPr="0047261E" w:rsidRDefault="0047261E" w:rsidP="0047261E">
            <w:pPr>
              <w:suppressLineNumbers/>
              <w:suppressAutoHyphens/>
              <w:ind w:firstLine="23"/>
              <w:jc w:val="center"/>
              <w:rPr>
                <w:rFonts w:eastAsia="Calibri" w:cs="Times New Roman"/>
                <w:i/>
                <w:iCs/>
                <w:noProof/>
                <w:szCs w:val="24"/>
                <w:lang w:eastAsia="ru-RU"/>
              </w:rPr>
            </w:pPr>
            <w:r w:rsidRPr="0047261E">
              <w:rPr>
                <w:rFonts w:eastAsia="Calibri" w:cs="Times New Roman"/>
                <w:i/>
                <w:iCs/>
                <w:szCs w:val="24"/>
              </w:rPr>
              <w:t xml:space="preserve">Рисунок </w:t>
            </w:r>
            <w:r w:rsidRPr="0047261E">
              <w:rPr>
                <w:rFonts w:eastAsia="Calibri" w:cs="Times New Roman"/>
                <w:i/>
                <w:iCs/>
                <w:szCs w:val="24"/>
              </w:rPr>
              <w:fldChar w:fldCharType="begin"/>
            </w:r>
            <w:r w:rsidRPr="0047261E">
              <w:rPr>
                <w:rFonts w:eastAsia="Calibri" w:cs="Times New Roman"/>
                <w:i/>
                <w:iCs/>
                <w:szCs w:val="24"/>
              </w:rPr>
              <w:instrText xml:space="preserve"> SEQ Рисунок \* ARABIC </w:instrText>
            </w:r>
            <w:r w:rsidRPr="0047261E">
              <w:rPr>
                <w:rFonts w:eastAsia="Calibri" w:cs="Times New Roman"/>
                <w:i/>
                <w:iCs/>
                <w:szCs w:val="24"/>
              </w:rPr>
              <w:fldChar w:fldCharType="separate"/>
            </w:r>
            <w:r w:rsidR="00FD2769">
              <w:rPr>
                <w:rFonts w:eastAsia="Calibri" w:cs="Times New Roman"/>
                <w:i/>
                <w:iCs/>
                <w:noProof/>
                <w:szCs w:val="24"/>
              </w:rPr>
              <w:t>13</w:t>
            </w:r>
            <w:r w:rsidRPr="0047261E">
              <w:rPr>
                <w:rFonts w:eastAsia="Calibri" w:cs="Times New Roman"/>
                <w:i/>
                <w:iCs/>
                <w:szCs w:val="24"/>
              </w:rPr>
              <w:fldChar w:fldCharType="end"/>
            </w:r>
          </w:p>
        </w:tc>
        <w:tc>
          <w:tcPr>
            <w:tcW w:w="5040" w:type="dxa"/>
          </w:tcPr>
          <w:p w14:paraId="534D527C" w14:textId="02759AE2" w:rsidR="0047261E" w:rsidRPr="0047261E" w:rsidRDefault="0047261E" w:rsidP="0047261E">
            <w:pPr>
              <w:suppressLineNumbers/>
              <w:suppressAutoHyphens/>
              <w:ind w:firstLine="23"/>
              <w:jc w:val="center"/>
              <w:rPr>
                <w:rFonts w:eastAsia="Calibri" w:cs="Times New Roman"/>
                <w:i/>
                <w:iCs/>
                <w:noProof/>
                <w:szCs w:val="24"/>
                <w:lang w:eastAsia="ru-RU"/>
              </w:rPr>
            </w:pPr>
            <w:r w:rsidRPr="0047261E">
              <w:rPr>
                <w:rFonts w:eastAsia="Calibri" w:cs="Times New Roman"/>
                <w:i/>
                <w:iCs/>
                <w:szCs w:val="24"/>
              </w:rPr>
              <w:t xml:space="preserve">Рисунок </w:t>
            </w:r>
            <w:r w:rsidRPr="0047261E">
              <w:rPr>
                <w:rFonts w:eastAsia="Calibri" w:cs="Times New Roman"/>
                <w:i/>
                <w:iCs/>
                <w:szCs w:val="24"/>
              </w:rPr>
              <w:fldChar w:fldCharType="begin"/>
            </w:r>
            <w:r w:rsidRPr="0047261E">
              <w:rPr>
                <w:rFonts w:eastAsia="Calibri" w:cs="Times New Roman"/>
                <w:i/>
                <w:iCs/>
                <w:szCs w:val="24"/>
              </w:rPr>
              <w:instrText xml:space="preserve"> SEQ Рисунок \* ARABIC </w:instrText>
            </w:r>
            <w:r w:rsidRPr="0047261E">
              <w:rPr>
                <w:rFonts w:eastAsia="Calibri" w:cs="Times New Roman"/>
                <w:i/>
                <w:iCs/>
                <w:szCs w:val="24"/>
              </w:rPr>
              <w:fldChar w:fldCharType="separate"/>
            </w:r>
            <w:r w:rsidR="00FD2769">
              <w:rPr>
                <w:rFonts w:eastAsia="Calibri" w:cs="Times New Roman"/>
                <w:i/>
                <w:iCs/>
                <w:noProof/>
                <w:szCs w:val="24"/>
              </w:rPr>
              <w:t>14</w:t>
            </w:r>
            <w:r w:rsidRPr="0047261E">
              <w:rPr>
                <w:rFonts w:eastAsia="Calibri" w:cs="Times New Roman"/>
                <w:i/>
                <w:iCs/>
                <w:szCs w:val="24"/>
              </w:rPr>
              <w:fldChar w:fldCharType="end"/>
            </w:r>
          </w:p>
        </w:tc>
      </w:tr>
    </w:tbl>
    <w:p w14:paraId="4CDF3A9C" w14:textId="77777777" w:rsidR="0047261E" w:rsidRPr="0047261E" w:rsidRDefault="0047261E" w:rsidP="0047261E">
      <w:pPr>
        <w:widowControl w:val="0"/>
        <w:ind w:firstLine="709"/>
        <w:contextualSpacing/>
        <w:rPr>
          <w:rFonts w:eastAsia="Times New Roman" w:cs="Times New Roman"/>
          <w:kern w:val="3"/>
          <w:szCs w:val="24"/>
          <w:lang w:eastAsia="zh-CN" w:bidi="hi-IN"/>
        </w:rPr>
      </w:pPr>
    </w:p>
    <w:p w14:paraId="2AD84399" w14:textId="1BA8033A" w:rsidR="0047261E" w:rsidRPr="0047261E" w:rsidRDefault="0047261E" w:rsidP="00763AD2">
      <w:pPr>
        <w:pStyle w:val="afffffff0"/>
      </w:pPr>
      <w:r w:rsidRPr="0047261E">
        <w:t xml:space="preserve">Таблица </w:t>
      </w:r>
      <w:r w:rsidR="00A90944">
        <w:fldChar w:fldCharType="begin"/>
      </w:r>
      <w:r w:rsidR="00A90944">
        <w:instrText xml:space="preserve"> SEQ Таблица \* ARABIC </w:instrText>
      </w:r>
      <w:r w:rsidR="00A90944">
        <w:fldChar w:fldCharType="separate"/>
      </w:r>
      <w:r w:rsidR="00FD2769">
        <w:rPr>
          <w:noProof/>
        </w:rPr>
        <w:t>7</w:t>
      </w:r>
      <w:r w:rsidR="00A90944">
        <w:rPr>
          <w:noProof/>
        </w:rPr>
        <w:fldChar w:fldCharType="end"/>
      </w:r>
      <w:r w:rsidRPr="0047261E">
        <w:t>. Показатели рынка труда</w:t>
      </w:r>
    </w:p>
    <w:tbl>
      <w:tblPr>
        <w:tblOverlap w:val="never"/>
        <w:tblW w:w="0" w:type="auto"/>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4A0" w:firstRow="1" w:lastRow="0" w:firstColumn="1" w:lastColumn="0" w:noHBand="0" w:noVBand="1"/>
      </w:tblPr>
      <w:tblGrid>
        <w:gridCol w:w="2702"/>
        <w:gridCol w:w="634"/>
        <w:gridCol w:w="672"/>
        <w:gridCol w:w="667"/>
        <w:gridCol w:w="701"/>
        <w:gridCol w:w="773"/>
        <w:gridCol w:w="614"/>
        <w:gridCol w:w="778"/>
        <w:gridCol w:w="720"/>
        <w:gridCol w:w="590"/>
        <w:gridCol w:w="677"/>
      </w:tblGrid>
      <w:tr w:rsidR="0047261E" w:rsidRPr="0047261E" w14:paraId="7A5CF4A7" w14:textId="77777777" w:rsidTr="0047261E">
        <w:trPr>
          <w:trHeight w:val="245"/>
          <w:tblHeader/>
        </w:trPr>
        <w:tc>
          <w:tcPr>
            <w:tcW w:w="2702" w:type="dxa"/>
            <w:shd w:val="clear" w:color="auto" w:fill="FFFFFF"/>
          </w:tcPr>
          <w:p w14:paraId="45A5FEA7"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p>
        </w:tc>
        <w:tc>
          <w:tcPr>
            <w:tcW w:w="634" w:type="dxa"/>
            <w:shd w:val="clear" w:color="auto" w:fill="FFFFFF"/>
            <w:vAlign w:val="bottom"/>
          </w:tcPr>
          <w:p w14:paraId="0C271DBE"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2018</w:t>
            </w:r>
          </w:p>
        </w:tc>
        <w:tc>
          <w:tcPr>
            <w:tcW w:w="672" w:type="dxa"/>
            <w:shd w:val="clear" w:color="auto" w:fill="FFFFFF"/>
            <w:vAlign w:val="bottom"/>
          </w:tcPr>
          <w:p w14:paraId="53ACCA07"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4кв18</w:t>
            </w:r>
          </w:p>
        </w:tc>
        <w:tc>
          <w:tcPr>
            <w:tcW w:w="667" w:type="dxa"/>
            <w:shd w:val="clear" w:color="auto" w:fill="FFFFFF"/>
            <w:vAlign w:val="bottom"/>
          </w:tcPr>
          <w:p w14:paraId="26CF5DBD"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дек.18</w:t>
            </w:r>
          </w:p>
        </w:tc>
        <w:tc>
          <w:tcPr>
            <w:tcW w:w="701" w:type="dxa"/>
            <w:shd w:val="clear" w:color="auto" w:fill="FFFFFF"/>
            <w:vAlign w:val="bottom"/>
          </w:tcPr>
          <w:p w14:paraId="7C4BE46A"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ноя.18</w:t>
            </w:r>
          </w:p>
        </w:tc>
        <w:tc>
          <w:tcPr>
            <w:tcW w:w="773" w:type="dxa"/>
            <w:shd w:val="clear" w:color="auto" w:fill="FFFFFF"/>
            <w:vAlign w:val="bottom"/>
          </w:tcPr>
          <w:p w14:paraId="06869EA9"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окт.18</w:t>
            </w:r>
          </w:p>
        </w:tc>
        <w:tc>
          <w:tcPr>
            <w:tcW w:w="614" w:type="dxa"/>
            <w:shd w:val="clear" w:color="auto" w:fill="FFFFFF"/>
            <w:vAlign w:val="bottom"/>
          </w:tcPr>
          <w:p w14:paraId="75817F73"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3кв18</w:t>
            </w:r>
          </w:p>
        </w:tc>
        <w:tc>
          <w:tcPr>
            <w:tcW w:w="778" w:type="dxa"/>
            <w:shd w:val="clear" w:color="auto" w:fill="FFFFFF"/>
            <w:vAlign w:val="bottom"/>
          </w:tcPr>
          <w:p w14:paraId="0403589D"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2кв18</w:t>
            </w:r>
          </w:p>
        </w:tc>
        <w:tc>
          <w:tcPr>
            <w:tcW w:w="720" w:type="dxa"/>
            <w:shd w:val="clear" w:color="auto" w:fill="FFFFFF"/>
            <w:vAlign w:val="bottom"/>
          </w:tcPr>
          <w:p w14:paraId="0F6B4000"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1кв18</w:t>
            </w:r>
          </w:p>
        </w:tc>
        <w:tc>
          <w:tcPr>
            <w:tcW w:w="590" w:type="dxa"/>
            <w:shd w:val="clear" w:color="auto" w:fill="FFFFFF"/>
            <w:vAlign w:val="bottom"/>
          </w:tcPr>
          <w:p w14:paraId="208305FC"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2017</w:t>
            </w:r>
          </w:p>
        </w:tc>
        <w:tc>
          <w:tcPr>
            <w:tcW w:w="677" w:type="dxa"/>
            <w:shd w:val="clear" w:color="auto" w:fill="FFFFFF"/>
            <w:vAlign w:val="bottom"/>
          </w:tcPr>
          <w:p w14:paraId="5D89610C"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2016</w:t>
            </w:r>
          </w:p>
        </w:tc>
      </w:tr>
      <w:tr w:rsidR="0047261E" w:rsidRPr="0047261E" w14:paraId="5FC96861" w14:textId="77777777" w:rsidTr="0047261E">
        <w:trPr>
          <w:trHeight w:val="610"/>
        </w:trPr>
        <w:tc>
          <w:tcPr>
            <w:tcW w:w="2702" w:type="dxa"/>
            <w:shd w:val="clear" w:color="auto" w:fill="FFFFFF"/>
            <w:vAlign w:val="center"/>
          </w:tcPr>
          <w:p w14:paraId="5B22AF11"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Реальная заработная плата</w:t>
            </w:r>
          </w:p>
          <w:p w14:paraId="5CA2F784"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в % к соотв. периоду предыдущего года</w:t>
            </w:r>
          </w:p>
        </w:tc>
        <w:tc>
          <w:tcPr>
            <w:tcW w:w="634" w:type="dxa"/>
            <w:shd w:val="clear" w:color="auto" w:fill="FFFFFF"/>
            <w:vAlign w:val="center"/>
          </w:tcPr>
          <w:p w14:paraId="72FE62B5"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6,8</w:t>
            </w:r>
          </w:p>
        </w:tc>
        <w:tc>
          <w:tcPr>
            <w:tcW w:w="672" w:type="dxa"/>
            <w:shd w:val="clear" w:color="auto" w:fill="FFFFFF"/>
            <w:vAlign w:val="center"/>
          </w:tcPr>
          <w:p w14:paraId="241DBF34"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3,8</w:t>
            </w:r>
          </w:p>
        </w:tc>
        <w:tc>
          <w:tcPr>
            <w:tcW w:w="667" w:type="dxa"/>
            <w:shd w:val="clear" w:color="auto" w:fill="FFFFFF"/>
            <w:vAlign w:val="center"/>
          </w:tcPr>
          <w:p w14:paraId="243CF4B3"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2,5</w:t>
            </w:r>
          </w:p>
        </w:tc>
        <w:tc>
          <w:tcPr>
            <w:tcW w:w="701" w:type="dxa"/>
            <w:shd w:val="clear" w:color="auto" w:fill="FFFFFF"/>
            <w:vAlign w:val="center"/>
          </w:tcPr>
          <w:p w14:paraId="51844374"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4,2</w:t>
            </w:r>
          </w:p>
        </w:tc>
        <w:tc>
          <w:tcPr>
            <w:tcW w:w="773" w:type="dxa"/>
            <w:shd w:val="clear" w:color="auto" w:fill="FFFFFF"/>
            <w:vAlign w:val="center"/>
          </w:tcPr>
          <w:p w14:paraId="5A1C9D78"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5,2</w:t>
            </w:r>
          </w:p>
        </w:tc>
        <w:tc>
          <w:tcPr>
            <w:tcW w:w="614" w:type="dxa"/>
            <w:shd w:val="clear" w:color="auto" w:fill="FFFFFF"/>
            <w:vAlign w:val="center"/>
          </w:tcPr>
          <w:p w14:paraId="16D1E6C1"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6,3</w:t>
            </w:r>
          </w:p>
        </w:tc>
        <w:tc>
          <w:tcPr>
            <w:tcW w:w="778" w:type="dxa"/>
            <w:shd w:val="clear" w:color="auto" w:fill="FFFFFF"/>
            <w:vAlign w:val="center"/>
          </w:tcPr>
          <w:p w14:paraId="0D8E2BA5"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7,6</w:t>
            </w:r>
          </w:p>
        </w:tc>
        <w:tc>
          <w:tcPr>
            <w:tcW w:w="720" w:type="dxa"/>
            <w:shd w:val="clear" w:color="auto" w:fill="FFFFFF"/>
            <w:vAlign w:val="center"/>
          </w:tcPr>
          <w:p w14:paraId="222D0EE4"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10,2</w:t>
            </w:r>
          </w:p>
        </w:tc>
        <w:tc>
          <w:tcPr>
            <w:tcW w:w="590" w:type="dxa"/>
            <w:shd w:val="clear" w:color="auto" w:fill="FFFFFF"/>
            <w:vAlign w:val="center"/>
          </w:tcPr>
          <w:p w14:paraId="35A11247"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2,9</w:t>
            </w:r>
          </w:p>
        </w:tc>
        <w:tc>
          <w:tcPr>
            <w:tcW w:w="677" w:type="dxa"/>
            <w:shd w:val="clear" w:color="auto" w:fill="FFFFFF"/>
            <w:vAlign w:val="center"/>
          </w:tcPr>
          <w:p w14:paraId="7F46F246"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0,8</w:t>
            </w:r>
          </w:p>
        </w:tc>
      </w:tr>
      <w:tr w:rsidR="0047261E" w:rsidRPr="0047261E" w14:paraId="06CCAB7D" w14:textId="77777777" w:rsidTr="0047261E">
        <w:trPr>
          <w:trHeight w:val="269"/>
        </w:trPr>
        <w:tc>
          <w:tcPr>
            <w:tcW w:w="2702" w:type="dxa"/>
            <w:shd w:val="clear" w:color="auto" w:fill="FFFFFF"/>
            <w:vAlign w:val="bottom"/>
          </w:tcPr>
          <w:p w14:paraId="4CB6424E"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в % к предыдущему периоду (SA)</w:t>
            </w:r>
          </w:p>
        </w:tc>
        <w:tc>
          <w:tcPr>
            <w:tcW w:w="634" w:type="dxa"/>
            <w:shd w:val="clear" w:color="auto" w:fill="FFFFFF"/>
            <w:vAlign w:val="center"/>
          </w:tcPr>
          <w:p w14:paraId="071A87DA"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p>
        </w:tc>
        <w:tc>
          <w:tcPr>
            <w:tcW w:w="672" w:type="dxa"/>
            <w:shd w:val="clear" w:color="auto" w:fill="FFFFFF"/>
            <w:vAlign w:val="center"/>
          </w:tcPr>
          <w:p w14:paraId="1FDA5DAF"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0,3</w:t>
            </w:r>
          </w:p>
        </w:tc>
        <w:tc>
          <w:tcPr>
            <w:tcW w:w="667" w:type="dxa"/>
            <w:shd w:val="clear" w:color="auto" w:fill="FFFFFF"/>
            <w:vAlign w:val="center"/>
          </w:tcPr>
          <w:p w14:paraId="1748D1DA"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-0,6</w:t>
            </w:r>
          </w:p>
        </w:tc>
        <w:tc>
          <w:tcPr>
            <w:tcW w:w="701" w:type="dxa"/>
            <w:shd w:val="clear" w:color="auto" w:fill="FFFFFF"/>
            <w:vAlign w:val="center"/>
          </w:tcPr>
          <w:p w14:paraId="5FA7526A"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0,0</w:t>
            </w:r>
          </w:p>
        </w:tc>
        <w:tc>
          <w:tcPr>
            <w:tcW w:w="773" w:type="dxa"/>
            <w:shd w:val="clear" w:color="auto" w:fill="FFFFFF"/>
            <w:vAlign w:val="center"/>
          </w:tcPr>
          <w:p w14:paraId="31118B85"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0,6</w:t>
            </w:r>
          </w:p>
        </w:tc>
        <w:tc>
          <w:tcPr>
            <w:tcW w:w="614" w:type="dxa"/>
            <w:shd w:val="clear" w:color="auto" w:fill="FFFFFF"/>
            <w:vAlign w:val="center"/>
          </w:tcPr>
          <w:p w14:paraId="09222D16"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0,5</w:t>
            </w:r>
          </w:p>
        </w:tc>
        <w:tc>
          <w:tcPr>
            <w:tcW w:w="778" w:type="dxa"/>
            <w:shd w:val="clear" w:color="auto" w:fill="FFFFFF"/>
            <w:vAlign w:val="center"/>
          </w:tcPr>
          <w:p w14:paraId="7F284834"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0,4</w:t>
            </w:r>
          </w:p>
        </w:tc>
        <w:tc>
          <w:tcPr>
            <w:tcW w:w="720" w:type="dxa"/>
            <w:shd w:val="clear" w:color="auto" w:fill="FFFFFF"/>
            <w:vAlign w:val="center"/>
          </w:tcPr>
          <w:p w14:paraId="47670154"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4,0</w:t>
            </w:r>
          </w:p>
        </w:tc>
        <w:tc>
          <w:tcPr>
            <w:tcW w:w="590" w:type="dxa"/>
            <w:shd w:val="clear" w:color="auto" w:fill="FFFFFF"/>
            <w:vAlign w:val="center"/>
          </w:tcPr>
          <w:p w14:paraId="55AAD8E5"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p>
        </w:tc>
        <w:tc>
          <w:tcPr>
            <w:tcW w:w="677" w:type="dxa"/>
            <w:shd w:val="clear" w:color="auto" w:fill="FFFFFF"/>
            <w:vAlign w:val="center"/>
          </w:tcPr>
          <w:p w14:paraId="164F99D1"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p>
        </w:tc>
      </w:tr>
      <w:tr w:rsidR="0047261E" w:rsidRPr="0047261E" w14:paraId="1604F4C0" w14:textId="77777777" w:rsidTr="0047261E">
        <w:trPr>
          <w:trHeight w:val="658"/>
        </w:trPr>
        <w:tc>
          <w:tcPr>
            <w:tcW w:w="2702" w:type="dxa"/>
            <w:shd w:val="clear" w:color="auto" w:fill="FFFFFF"/>
            <w:vAlign w:val="bottom"/>
          </w:tcPr>
          <w:p w14:paraId="74DB959A"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Номинальная заработная плата</w:t>
            </w:r>
          </w:p>
          <w:p w14:paraId="270721D1"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в % к соотв. периоду предыдущего года</w:t>
            </w:r>
          </w:p>
        </w:tc>
        <w:tc>
          <w:tcPr>
            <w:tcW w:w="634" w:type="dxa"/>
            <w:shd w:val="clear" w:color="auto" w:fill="FFFFFF"/>
            <w:vAlign w:val="center"/>
          </w:tcPr>
          <w:p w14:paraId="57A925EB"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9,9</w:t>
            </w:r>
          </w:p>
        </w:tc>
        <w:tc>
          <w:tcPr>
            <w:tcW w:w="672" w:type="dxa"/>
            <w:shd w:val="clear" w:color="auto" w:fill="FFFFFF"/>
            <w:vAlign w:val="center"/>
          </w:tcPr>
          <w:p w14:paraId="0F207DCB"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7,8</w:t>
            </w:r>
          </w:p>
        </w:tc>
        <w:tc>
          <w:tcPr>
            <w:tcW w:w="667" w:type="dxa"/>
            <w:shd w:val="clear" w:color="auto" w:fill="FFFFFF"/>
            <w:vAlign w:val="center"/>
          </w:tcPr>
          <w:p w14:paraId="6C868AEB"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6,9</w:t>
            </w:r>
          </w:p>
        </w:tc>
        <w:tc>
          <w:tcPr>
            <w:tcW w:w="701" w:type="dxa"/>
            <w:shd w:val="clear" w:color="auto" w:fill="FFFFFF"/>
            <w:vAlign w:val="center"/>
          </w:tcPr>
          <w:p w14:paraId="008C3FBA"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8,2</w:t>
            </w:r>
          </w:p>
        </w:tc>
        <w:tc>
          <w:tcPr>
            <w:tcW w:w="773" w:type="dxa"/>
            <w:shd w:val="clear" w:color="auto" w:fill="FFFFFF"/>
            <w:vAlign w:val="center"/>
          </w:tcPr>
          <w:p w14:paraId="1F757AD8"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8,9</w:t>
            </w:r>
          </w:p>
        </w:tc>
        <w:tc>
          <w:tcPr>
            <w:tcW w:w="614" w:type="dxa"/>
            <w:shd w:val="clear" w:color="auto" w:fill="FFFFFF"/>
            <w:vAlign w:val="center"/>
          </w:tcPr>
          <w:p w14:paraId="78F673C1"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9,5</w:t>
            </w:r>
          </w:p>
        </w:tc>
        <w:tc>
          <w:tcPr>
            <w:tcW w:w="778" w:type="dxa"/>
            <w:shd w:val="clear" w:color="auto" w:fill="FFFFFF"/>
            <w:vAlign w:val="center"/>
          </w:tcPr>
          <w:p w14:paraId="21C39CCD"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10,1</w:t>
            </w:r>
          </w:p>
        </w:tc>
        <w:tc>
          <w:tcPr>
            <w:tcW w:w="720" w:type="dxa"/>
            <w:shd w:val="clear" w:color="auto" w:fill="FFFFFF"/>
            <w:vAlign w:val="center"/>
          </w:tcPr>
          <w:p w14:paraId="68633312"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12,7</w:t>
            </w:r>
          </w:p>
        </w:tc>
        <w:tc>
          <w:tcPr>
            <w:tcW w:w="590" w:type="dxa"/>
            <w:shd w:val="clear" w:color="auto" w:fill="FFFFFF"/>
            <w:vAlign w:val="center"/>
          </w:tcPr>
          <w:p w14:paraId="40AB2822"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6,7</w:t>
            </w:r>
          </w:p>
        </w:tc>
        <w:tc>
          <w:tcPr>
            <w:tcW w:w="677" w:type="dxa"/>
            <w:shd w:val="clear" w:color="auto" w:fill="FFFFFF"/>
            <w:vAlign w:val="center"/>
          </w:tcPr>
          <w:p w14:paraId="012F7E17"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7,9</w:t>
            </w:r>
          </w:p>
        </w:tc>
      </w:tr>
      <w:tr w:rsidR="0047261E" w:rsidRPr="0047261E" w14:paraId="3A1F6082" w14:textId="77777777" w:rsidTr="0047261E">
        <w:trPr>
          <w:trHeight w:val="624"/>
        </w:trPr>
        <w:tc>
          <w:tcPr>
            <w:tcW w:w="2702" w:type="dxa"/>
            <w:shd w:val="clear" w:color="auto" w:fill="FFFFFF"/>
            <w:vAlign w:val="bottom"/>
          </w:tcPr>
          <w:p w14:paraId="572E2CA9"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в % к предыдущему периоду (SA)</w:t>
            </w:r>
          </w:p>
          <w:p w14:paraId="21743C9B"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Реальные располагаемые доходы</w:t>
            </w:r>
          </w:p>
        </w:tc>
        <w:tc>
          <w:tcPr>
            <w:tcW w:w="634" w:type="dxa"/>
            <w:shd w:val="clear" w:color="auto" w:fill="FFFFFF"/>
            <w:vAlign w:val="center"/>
          </w:tcPr>
          <w:p w14:paraId="0345C301"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p>
        </w:tc>
        <w:tc>
          <w:tcPr>
            <w:tcW w:w="672" w:type="dxa"/>
            <w:shd w:val="clear" w:color="auto" w:fill="FFFFFF"/>
            <w:vAlign w:val="center"/>
          </w:tcPr>
          <w:p w14:paraId="2656B5C9"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1,6</w:t>
            </w:r>
          </w:p>
        </w:tc>
        <w:tc>
          <w:tcPr>
            <w:tcW w:w="667" w:type="dxa"/>
            <w:shd w:val="clear" w:color="auto" w:fill="FFFFFF"/>
            <w:vAlign w:val="center"/>
          </w:tcPr>
          <w:p w14:paraId="6788B13E"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0,0</w:t>
            </w:r>
          </w:p>
        </w:tc>
        <w:tc>
          <w:tcPr>
            <w:tcW w:w="701" w:type="dxa"/>
            <w:shd w:val="clear" w:color="auto" w:fill="FFFFFF"/>
            <w:vAlign w:val="center"/>
          </w:tcPr>
          <w:p w14:paraId="02048479"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0,4</w:t>
            </w:r>
          </w:p>
        </w:tc>
        <w:tc>
          <w:tcPr>
            <w:tcW w:w="773" w:type="dxa"/>
            <w:shd w:val="clear" w:color="auto" w:fill="FFFFFF"/>
            <w:vAlign w:val="center"/>
          </w:tcPr>
          <w:p w14:paraId="025ACD7C"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1,0</w:t>
            </w:r>
          </w:p>
        </w:tc>
        <w:tc>
          <w:tcPr>
            <w:tcW w:w="614" w:type="dxa"/>
            <w:shd w:val="clear" w:color="auto" w:fill="FFFFFF"/>
            <w:vAlign w:val="center"/>
          </w:tcPr>
          <w:p w14:paraId="7089B203"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2,0</w:t>
            </w:r>
          </w:p>
        </w:tc>
        <w:tc>
          <w:tcPr>
            <w:tcW w:w="778" w:type="dxa"/>
            <w:shd w:val="clear" w:color="auto" w:fill="FFFFFF"/>
            <w:vAlign w:val="center"/>
          </w:tcPr>
          <w:p w14:paraId="6D7F151E"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1,5</w:t>
            </w:r>
          </w:p>
        </w:tc>
        <w:tc>
          <w:tcPr>
            <w:tcW w:w="720" w:type="dxa"/>
            <w:shd w:val="clear" w:color="auto" w:fill="FFFFFF"/>
            <w:vAlign w:val="center"/>
          </w:tcPr>
          <w:p w14:paraId="3F5A1829"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4,0</w:t>
            </w:r>
          </w:p>
        </w:tc>
        <w:tc>
          <w:tcPr>
            <w:tcW w:w="590" w:type="dxa"/>
            <w:shd w:val="clear" w:color="auto" w:fill="FFFFFF"/>
            <w:vAlign w:val="center"/>
          </w:tcPr>
          <w:p w14:paraId="7E5DA4E6"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p>
        </w:tc>
        <w:tc>
          <w:tcPr>
            <w:tcW w:w="677" w:type="dxa"/>
            <w:shd w:val="clear" w:color="auto" w:fill="FFFFFF"/>
            <w:vAlign w:val="center"/>
          </w:tcPr>
          <w:p w14:paraId="698BFABF"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p>
        </w:tc>
      </w:tr>
      <w:tr w:rsidR="0047261E" w:rsidRPr="0047261E" w14:paraId="66045084" w14:textId="77777777" w:rsidTr="0047261E">
        <w:trPr>
          <w:trHeight w:val="360"/>
        </w:trPr>
        <w:tc>
          <w:tcPr>
            <w:tcW w:w="2702" w:type="dxa"/>
            <w:shd w:val="clear" w:color="auto" w:fill="FFFFFF"/>
          </w:tcPr>
          <w:p w14:paraId="60C61D03"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в % к соотв. периоду предыдущего года</w:t>
            </w:r>
          </w:p>
        </w:tc>
        <w:tc>
          <w:tcPr>
            <w:tcW w:w="634" w:type="dxa"/>
            <w:shd w:val="clear" w:color="auto" w:fill="FFFFFF"/>
            <w:vAlign w:val="center"/>
          </w:tcPr>
          <w:p w14:paraId="2B53E85D"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-0,2/</w:t>
            </w:r>
          </w:p>
          <w:p w14:paraId="4D05FD51"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0,32</w:t>
            </w:r>
          </w:p>
        </w:tc>
        <w:tc>
          <w:tcPr>
            <w:tcW w:w="672" w:type="dxa"/>
            <w:shd w:val="clear" w:color="auto" w:fill="FFFFFF"/>
            <w:vAlign w:val="center"/>
          </w:tcPr>
          <w:p w14:paraId="79D3FBD7"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-0,7</w:t>
            </w:r>
          </w:p>
        </w:tc>
        <w:tc>
          <w:tcPr>
            <w:tcW w:w="667" w:type="dxa"/>
            <w:shd w:val="clear" w:color="auto" w:fill="FFFFFF"/>
            <w:vAlign w:val="center"/>
          </w:tcPr>
          <w:p w14:paraId="54716B21"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0,1</w:t>
            </w:r>
          </w:p>
        </w:tc>
        <w:tc>
          <w:tcPr>
            <w:tcW w:w="701" w:type="dxa"/>
            <w:shd w:val="clear" w:color="auto" w:fill="FFFFFF"/>
            <w:vAlign w:val="center"/>
          </w:tcPr>
          <w:p w14:paraId="1E27ACED"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-3,1</w:t>
            </w:r>
          </w:p>
        </w:tc>
        <w:tc>
          <w:tcPr>
            <w:tcW w:w="773" w:type="dxa"/>
            <w:shd w:val="clear" w:color="auto" w:fill="FFFFFF"/>
            <w:vAlign w:val="center"/>
          </w:tcPr>
          <w:p w14:paraId="7321D510"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0,3</w:t>
            </w:r>
          </w:p>
        </w:tc>
        <w:tc>
          <w:tcPr>
            <w:tcW w:w="614" w:type="dxa"/>
            <w:shd w:val="clear" w:color="auto" w:fill="FFFFFF"/>
            <w:vAlign w:val="center"/>
          </w:tcPr>
          <w:p w14:paraId="73F7C643"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-1,6</w:t>
            </w:r>
          </w:p>
        </w:tc>
        <w:tc>
          <w:tcPr>
            <w:tcW w:w="778" w:type="dxa"/>
            <w:shd w:val="clear" w:color="auto" w:fill="FFFFFF"/>
            <w:vAlign w:val="center"/>
          </w:tcPr>
          <w:p w14:paraId="037DF77F"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1,3</w:t>
            </w:r>
          </w:p>
        </w:tc>
        <w:tc>
          <w:tcPr>
            <w:tcW w:w="720" w:type="dxa"/>
            <w:shd w:val="clear" w:color="auto" w:fill="FFFFFF"/>
            <w:vAlign w:val="center"/>
          </w:tcPr>
          <w:p w14:paraId="128C800E"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0,3/</w:t>
            </w:r>
          </w:p>
          <w:p w14:paraId="3319666A"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2,34</w:t>
            </w:r>
          </w:p>
        </w:tc>
        <w:tc>
          <w:tcPr>
            <w:tcW w:w="590" w:type="dxa"/>
            <w:shd w:val="clear" w:color="auto" w:fill="FFFFFF"/>
            <w:vAlign w:val="center"/>
          </w:tcPr>
          <w:p w14:paraId="707AB55D"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-1,2</w:t>
            </w:r>
          </w:p>
        </w:tc>
        <w:tc>
          <w:tcPr>
            <w:tcW w:w="677" w:type="dxa"/>
            <w:shd w:val="clear" w:color="auto" w:fill="FFFFFF"/>
            <w:vAlign w:val="center"/>
          </w:tcPr>
          <w:p w14:paraId="2E8CAE37"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-5,8</w:t>
            </w:r>
          </w:p>
        </w:tc>
      </w:tr>
      <w:tr w:rsidR="0047261E" w:rsidRPr="0047261E" w14:paraId="254EB2AD" w14:textId="77777777" w:rsidTr="0047261E">
        <w:trPr>
          <w:trHeight w:val="264"/>
        </w:trPr>
        <w:tc>
          <w:tcPr>
            <w:tcW w:w="2702" w:type="dxa"/>
            <w:shd w:val="clear" w:color="auto" w:fill="FFFFFF"/>
            <w:vAlign w:val="center"/>
          </w:tcPr>
          <w:p w14:paraId="4E91BE4E"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в % к предыдущему периоду (SA)</w:t>
            </w:r>
          </w:p>
        </w:tc>
        <w:tc>
          <w:tcPr>
            <w:tcW w:w="634" w:type="dxa"/>
            <w:shd w:val="clear" w:color="auto" w:fill="FFFFFF"/>
            <w:vAlign w:val="center"/>
          </w:tcPr>
          <w:p w14:paraId="483E94D2"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p>
        </w:tc>
        <w:tc>
          <w:tcPr>
            <w:tcW w:w="672" w:type="dxa"/>
            <w:shd w:val="clear" w:color="auto" w:fill="FFFFFF"/>
            <w:vAlign w:val="center"/>
          </w:tcPr>
          <w:p w14:paraId="23E01801"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-0,1</w:t>
            </w:r>
          </w:p>
        </w:tc>
        <w:tc>
          <w:tcPr>
            <w:tcW w:w="667" w:type="dxa"/>
            <w:shd w:val="clear" w:color="auto" w:fill="FFFFFF"/>
            <w:vAlign w:val="center"/>
          </w:tcPr>
          <w:p w14:paraId="67059E6D"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1,9</w:t>
            </w:r>
          </w:p>
        </w:tc>
        <w:tc>
          <w:tcPr>
            <w:tcW w:w="701" w:type="dxa"/>
            <w:shd w:val="clear" w:color="auto" w:fill="FFFFFF"/>
            <w:vAlign w:val="center"/>
          </w:tcPr>
          <w:p w14:paraId="5D9BA10D"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-1,7</w:t>
            </w:r>
          </w:p>
        </w:tc>
        <w:tc>
          <w:tcPr>
            <w:tcW w:w="773" w:type="dxa"/>
            <w:shd w:val="clear" w:color="auto" w:fill="FFFFFF"/>
            <w:vAlign w:val="center"/>
          </w:tcPr>
          <w:p w14:paraId="367E4751"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0,7</w:t>
            </w:r>
          </w:p>
        </w:tc>
        <w:tc>
          <w:tcPr>
            <w:tcW w:w="614" w:type="dxa"/>
            <w:shd w:val="clear" w:color="auto" w:fill="FFFFFF"/>
            <w:vAlign w:val="center"/>
          </w:tcPr>
          <w:p w14:paraId="2582AEDE"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-1,0</w:t>
            </w:r>
          </w:p>
        </w:tc>
        <w:tc>
          <w:tcPr>
            <w:tcW w:w="778" w:type="dxa"/>
            <w:shd w:val="clear" w:color="auto" w:fill="FFFFFF"/>
            <w:vAlign w:val="center"/>
          </w:tcPr>
          <w:p w14:paraId="217B3638"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-0,6</w:t>
            </w:r>
          </w:p>
        </w:tc>
        <w:tc>
          <w:tcPr>
            <w:tcW w:w="720" w:type="dxa"/>
            <w:shd w:val="clear" w:color="auto" w:fill="FFFFFF"/>
            <w:vAlign w:val="center"/>
          </w:tcPr>
          <w:p w14:paraId="0EDBC555"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0,9</w:t>
            </w:r>
          </w:p>
        </w:tc>
        <w:tc>
          <w:tcPr>
            <w:tcW w:w="590" w:type="dxa"/>
            <w:shd w:val="clear" w:color="auto" w:fill="FFFFFF"/>
            <w:vAlign w:val="center"/>
          </w:tcPr>
          <w:p w14:paraId="202E1031"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p>
        </w:tc>
        <w:tc>
          <w:tcPr>
            <w:tcW w:w="677" w:type="dxa"/>
            <w:shd w:val="clear" w:color="auto" w:fill="FFFFFF"/>
            <w:vAlign w:val="center"/>
          </w:tcPr>
          <w:p w14:paraId="222FF820"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p>
        </w:tc>
      </w:tr>
      <w:tr w:rsidR="0047261E" w:rsidRPr="0047261E" w14:paraId="4624A820" w14:textId="77777777" w:rsidTr="0047261E">
        <w:trPr>
          <w:trHeight w:val="442"/>
        </w:trPr>
        <w:tc>
          <w:tcPr>
            <w:tcW w:w="2702" w:type="dxa"/>
            <w:shd w:val="clear" w:color="auto" w:fill="FFFFFF"/>
            <w:vAlign w:val="center"/>
          </w:tcPr>
          <w:p w14:paraId="57296286"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в % к соотв. периоду предыдущего года с искл. валюты, недвижимости</w:t>
            </w:r>
          </w:p>
        </w:tc>
        <w:tc>
          <w:tcPr>
            <w:tcW w:w="634" w:type="dxa"/>
            <w:shd w:val="clear" w:color="auto" w:fill="FFFFFF"/>
            <w:vAlign w:val="center"/>
          </w:tcPr>
          <w:p w14:paraId="69B59A0D"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-0,4</w:t>
            </w:r>
          </w:p>
        </w:tc>
        <w:tc>
          <w:tcPr>
            <w:tcW w:w="672" w:type="dxa"/>
            <w:shd w:val="clear" w:color="auto" w:fill="FFFFFF"/>
            <w:vAlign w:val="center"/>
          </w:tcPr>
          <w:p w14:paraId="76E3C9B9"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-0,5</w:t>
            </w:r>
          </w:p>
        </w:tc>
        <w:tc>
          <w:tcPr>
            <w:tcW w:w="667" w:type="dxa"/>
            <w:shd w:val="clear" w:color="auto" w:fill="FFFFFF"/>
            <w:vAlign w:val="center"/>
          </w:tcPr>
          <w:p w14:paraId="1BBEB8B8"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0,4</w:t>
            </w:r>
          </w:p>
        </w:tc>
        <w:tc>
          <w:tcPr>
            <w:tcW w:w="701" w:type="dxa"/>
            <w:shd w:val="clear" w:color="auto" w:fill="FFFFFF"/>
            <w:vAlign w:val="center"/>
          </w:tcPr>
          <w:p w14:paraId="7EC11DB7"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-3,1</w:t>
            </w:r>
          </w:p>
        </w:tc>
        <w:tc>
          <w:tcPr>
            <w:tcW w:w="773" w:type="dxa"/>
            <w:shd w:val="clear" w:color="auto" w:fill="FFFFFF"/>
            <w:vAlign w:val="center"/>
          </w:tcPr>
          <w:p w14:paraId="519E027F"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0,4</w:t>
            </w:r>
          </w:p>
        </w:tc>
        <w:tc>
          <w:tcPr>
            <w:tcW w:w="614" w:type="dxa"/>
            <w:shd w:val="clear" w:color="auto" w:fill="FFFFFF"/>
            <w:vAlign w:val="center"/>
          </w:tcPr>
          <w:p w14:paraId="35D29648"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-2,0</w:t>
            </w:r>
          </w:p>
        </w:tc>
        <w:tc>
          <w:tcPr>
            <w:tcW w:w="778" w:type="dxa"/>
            <w:shd w:val="clear" w:color="auto" w:fill="FFFFFF"/>
            <w:vAlign w:val="center"/>
          </w:tcPr>
          <w:p w14:paraId="6ADC2152"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0,8</w:t>
            </w:r>
          </w:p>
        </w:tc>
        <w:tc>
          <w:tcPr>
            <w:tcW w:w="720" w:type="dxa"/>
            <w:shd w:val="clear" w:color="auto" w:fill="FFFFFF"/>
            <w:vAlign w:val="center"/>
          </w:tcPr>
          <w:p w14:paraId="19F7267A"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0,0/</w:t>
            </w:r>
          </w:p>
          <w:p w14:paraId="398BC826"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2,11</w:t>
            </w:r>
          </w:p>
        </w:tc>
        <w:tc>
          <w:tcPr>
            <w:tcW w:w="590" w:type="dxa"/>
            <w:shd w:val="clear" w:color="auto" w:fill="FFFFFF"/>
            <w:vAlign w:val="center"/>
          </w:tcPr>
          <w:p w14:paraId="428A2BA0"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-0,5</w:t>
            </w:r>
          </w:p>
        </w:tc>
        <w:tc>
          <w:tcPr>
            <w:tcW w:w="677" w:type="dxa"/>
            <w:shd w:val="clear" w:color="auto" w:fill="FFFFFF"/>
            <w:vAlign w:val="center"/>
          </w:tcPr>
          <w:p w14:paraId="49B88073"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-4,8</w:t>
            </w:r>
          </w:p>
        </w:tc>
      </w:tr>
      <w:tr w:rsidR="0047261E" w:rsidRPr="0047261E" w14:paraId="6C5C9415" w14:textId="77777777" w:rsidTr="0047261E">
        <w:trPr>
          <w:trHeight w:val="701"/>
        </w:trPr>
        <w:tc>
          <w:tcPr>
            <w:tcW w:w="2702" w:type="dxa"/>
            <w:shd w:val="clear" w:color="auto" w:fill="FFFFFF"/>
            <w:vAlign w:val="center"/>
          </w:tcPr>
          <w:p w14:paraId="0752A021"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Численность рабочей силы*</w:t>
            </w:r>
          </w:p>
          <w:p w14:paraId="07D5D6ED"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в % к соотв. периоду предыдущего года</w:t>
            </w:r>
          </w:p>
        </w:tc>
        <w:tc>
          <w:tcPr>
            <w:tcW w:w="634" w:type="dxa"/>
            <w:shd w:val="clear" w:color="auto" w:fill="FFFFFF"/>
            <w:vAlign w:val="center"/>
          </w:tcPr>
          <w:p w14:paraId="31A2F9C5"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-0,1</w:t>
            </w:r>
          </w:p>
        </w:tc>
        <w:tc>
          <w:tcPr>
            <w:tcW w:w="672" w:type="dxa"/>
            <w:shd w:val="clear" w:color="auto" w:fill="FFFFFF"/>
            <w:vAlign w:val="center"/>
          </w:tcPr>
          <w:p w14:paraId="5454D2D5"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-0,3</w:t>
            </w:r>
          </w:p>
        </w:tc>
        <w:tc>
          <w:tcPr>
            <w:tcW w:w="667" w:type="dxa"/>
            <w:shd w:val="clear" w:color="auto" w:fill="FFFFFF"/>
            <w:vAlign w:val="center"/>
          </w:tcPr>
          <w:p w14:paraId="55290E2B"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-0,2</w:t>
            </w:r>
          </w:p>
        </w:tc>
        <w:tc>
          <w:tcPr>
            <w:tcW w:w="701" w:type="dxa"/>
            <w:shd w:val="clear" w:color="auto" w:fill="FFFFFF"/>
            <w:vAlign w:val="center"/>
          </w:tcPr>
          <w:p w14:paraId="23116AD4"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-0,1</w:t>
            </w:r>
          </w:p>
        </w:tc>
        <w:tc>
          <w:tcPr>
            <w:tcW w:w="773" w:type="dxa"/>
            <w:shd w:val="clear" w:color="auto" w:fill="FFFFFF"/>
            <w:vAlign w:val="center"/>
          </w:tcPr>
          <w:p w14:paraId="6E3C0D5F"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-0,6</w:t>
            </w:r>
          </w:p>
        </w:tc>
        <w:tc>
          <w:tcPr>
            <w:tcW w:w="614" w:type="dxa"/>
            <w:shd w:val="clear" w:color="auto" w:fill="FFFFFF"/>
            <w:vAlign w:val="center"/>
          </w:tcPr>
          <w:p w14:paraId="10D9E4DC"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-0,2</w:t>
            </w:r>
          </w:p>
        </w:tc>
        <w:tc>
          <w:tcPr>
            <w:tcW w:w="778" w:type="dxa"/>
            <w:shd w:val="clear" w:color="auto" w:fill="FFFFFF"/>
            <w:vAlign w:val="center"/>
          </w:tcPr>
          <w:p w14:paraId="122D7C67"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0,0</w:t>
            </w:r>
          </w:p>
        </w:tc>
        <w:tc>
          <w:tcPr>
            <w:tcW w:w="720" w:type="dxa"/>
            <w:shd w:val="clear" w:color="auto" w:fill="FFFFFF"/>
            <w:vAlign w:val="center"/>
          </w:tcPr>
          <w:p w14:paraId="760A42E6"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0,0</w:t>
            </w:r>
          </w:p>
        </w:tc>
        <w:tc>
          <w:tcPr>
            <w:tcW w:w="590" w:type="dxa"/>
            <w:shd w:val="clear" w:color="auto" w:fill="FFFFFF"/>
            <w:vAlign w:val="center"/>
          </w:tcPr>
          <w:p w14:paraId="02B55656"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-0,7</w:t>
            </w:r>
          </w:p>
        </w:tc>
        <w:tc>
          <w:tcPr>
            <w:tcW w:w="677" w:type="dxa"/>
            <w:shd w:val="clear" w:color="auto" w:fill="FFFFFF"/>
            <w:vAlign w:val="center"/>
          </w:tcPr>
          <w:p w14:paraId="01BDE090"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0,1</w:t>
            </w:r>
          </w:p>
        </w:tc>
      </w:tr>
      <w:tr w:rsidR="0047261E" w:rsidRPr="0047261E" w14:paraId="75AF2FCC" w14:textId="77777777" w:rsidTr="0047261E">
        <w:trPr>
          <w:trHeight w:val="475"/>
        </w:trPr>
        <w:tc>
          <w:tcPr>
            <w:tcW w:w="2702" w:type="dxa"/>
            <w:shd w:val="clear" w:color="auto" w:fill="FFFFFF"/>
          </w:tcPr>
          <w:p w14:paraId="36A9DB11"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млн. чел. (SA) Численность занятых*</w:t>
            </w:r>
          </w:p>
        </w:tc>
        <w:tc>
          <w:tcPr>
            <w:tcW w:w="634" w:type="dxa"/>
            <w:shd w:val="clear" w:color="auto" w:fill="FFFFFF"/>
            <w:vAlign w:val="center"/>
          </w:tcPr>
          <w:p w14:paraId="2D45EDAC"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p>
        </w:tc>
        <w:tc>
          <w:tcPr>
            <w:tcW w:w="672" w:type="dxa"/>
            <w:shd w:val="clear" w:color="auto" w:fill="FFFFFF"/>
            <w:vAlign w:val="center"/>
          </w:tcPr>
          <w:p w14:paraId="6EBBB8CC"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76,1</w:t>
            </w:r>
          </w:p>
        </w:tc>
        <w:tc>
          <w:tcPr>
            <w:tcW w:w="667" w:type="dxa"/>
            <w:shd w:val="clear" w:color="auto" w:fill="FFFFFF"/>
            <w:vAlign w:val="center"/>
          </w:tcPr>
          <w:p w14:paraId="32AD57BB"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76,2</w:t>
            </w:r>
          </w:p>
        </w:tc>
        <w:tc>
          <w:tcPr>
            <w:tcW w:w="701" w:type="dxa"/>
            <w:shd w:val="clear" w:color="auto" w:fill="FFFFFF"/>
            <w:vAlign w:val="center"/>
          </w:tcPr>
          <w:p w14:paraId="3F0B70E2"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76,2</w:t>
            </w:r>
          </w:p>
        </w:tc>
        <w:tc>
          <w:tcPr>
            <w:tcW w:w="773" w:type="dxa"/>
            <w:shd w:val="clear" w:color="auto" w:fill="FFFFFF"/>
            <w:vAlign w:val="center"/>
          </w:tcPr>
          <w:p w14:paraId="34F660AC"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76,1</w:t>
            </w:r>
          </w:p>
        </w:tc>
        <w:tc>
          <w:tcPr>
            <w:tcW w:w="614" w:type="dxa"/>
            <w:shd w:val="clear" w:color="auto" w:fill="FFFFFF"/>
            <w:vAlign w:val="center"/>
          </w:tcPr>
          <w:p w14:paraId="6AE786C4"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76,2</w:t>
            </w:r>
          </w:p>
        </w:tc>
        <w:tc>
          <w:tcPr>
            <w:tcW w:w="778" w:type="dxa"/>
            <w:shd w:val="clear" w:color="auto" w:fill="FFFFFF"/>
            <w:vAlign w:val="center"/>
          </w:tcPr>
          <w:p w14:paraId="4F29F6B4"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76,2</w:t>
            </w:r>
          </w:p>
        </w:tc>
        <w:tc>
          <w:tcPr>
            <w:tcW w:w="720" w:type="dxa"/>
            <w:shd w:val="clear" w:color="auto" w:fill="FFFFFF"/>
            <w:vAlign w:val="center"/>
          </w:tcPr>
          <w:p w14:paraId="17EA27A4"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76,3</w:t>
            </w:r>
          </w:p>
        </w:tc>
        <w:tc>
          <w:tcPr>
            <w:tcW w:w="590" w:type="dxa"/>
            <w:shd w:val="clear" w:color="auto" w:fill="FFFFFF"/>
            <w:vAlign w:val="center"/>
          </w:tcPr>
          <w:p w14:paraId="0CFF86AA"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p>
        </w:tc>
        <w:tc>
          <w:tcPr>
            <w:tcW w:w="677" w:type="dxa"/>
            <w:shd w:val="clear" w:color="auto" w:fill="FFFFFF"/>
            <w:vAlign w:val="center"/>
          </w:tcPr>
          <w:p w14:paraId="41DDD132"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p>
        </w:tc>
      </w:tr>
      <w:tr w:rsidR="0047261E" w:rsidRPr="0047261E" w14:paraId="1CE3A0D1" w14:textId="77777777" w:rsidTr="0047261E">
        <w:trPr>
          <w:trHeight w:val="408"/>
        </w:trPr>
        <w:tc>
          <w:tcPr>
            <w:tcW w:w="2702" w:type="dxa"/>
            <w:shd w:val="clear" w:color="auto" w:fill="FFFFFF"/>
            <w:vAlign w:val="bottom"/>
          </w:tcPr>
          <w:p w14:paraId="5CC98DA2"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в % к соотв. периоду предыдущего года</w:t>
            </w:r>
          </w:p>
        </w:tc>
        <w:tc>
          <w:tcPr>
            <w:tcW w:w="634" w:type="dxa"/>
            <w:shd w:val="clear" w:color="auto" w:fill="FFFFFF"/>
            <w:vAlign w:val="center"/>
          </w:tcPr>
          <w:p w14:paraId="3B4B68AD"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0,3</w:t>
            </w:r>
          </w:p>
        </w:tc>
        <w:tc>
          <w:tcPr>
            <w:tcW w:w="672" w:type="dxa"/>
            <w:shd w:val="clear" w:color="auto" w:fill="FFFFFF"/>
            <w:vAlign w:val="center"/>
          </w:tcPr>
          <w:p w14:paraId="56FB931B"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-0,1</w:t>
            </w:r>
          </w:p>
        </w:tc>
        <w:tc>
          <w:tcPr>
            <w:tcW w:w="667" w:type="dxa"/>
            <w:shd w:val="clear" w:color="auto" w:fill="FFFFFF"/>
            <w:vAlign w:val="center"/>
          </w:tcPr>
          <w:p w14:paraId="0C475FFC"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0,0</w:t>
            </w:r>
          </w:p>
        </w:tc>
        <w:tc>
          <w:tcPr>
            <w:tcW w:w="701" w:type="dxa"/>
            <w:shd w:val="clear" w:color="auto" w:fill="FFFFFF"/>
            <w:vAlign w:val="center"/>
          </w:tcPr>
          <w:p w14:paraId="2939EC9D"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0,2</w:t>
            </w:r>
          </w:p>
        </w:tc>
        <w:tc>
          <w:tcPr>
            <w:tcW w:w="773" w:type="dxa"/>
            <w:shd w:val="clear" w:color="auto" w:fill="FFFFFF"/>
            <w:vAlign w:val="center"/>
          </w:tcPr>
          <w:p w14:paraId="2E370101"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-0,3</w:t>
            </w:r>
          </w:p>
        </w:tc>
        <w:tc>
          <w:tcPr>
            <w:tcW w:w="614" w:type="dxa"/>
            <w:shd w:val="clear" w:color="auto" w:fill="FFFFFF"/>
            <w:vAlign w:val="center"/>
          </w:tcPr>
          <w:p w14:paraId="0F2E3F29"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0,3</w:t>
            </w:r>
          </w:p>
        </w:tc>
        <w:tc>
          <w:tcPr>
            <w:tcW w:w="778" w:type="dxa"/>
            <w:shd w:val="clear" w:color="auto" w:fill="FFFFFF"/>
            <w:vAlign w:val="center"/>
          </w:tcPr>
          <w:p w14:paraId="7C39B96B"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0,5</w:t>
            </w:r>
          </w:p>
        </w:tc>
        <w:tc>
          <w:tcPr>
            <w:tcW w:w="720" w:type="dxa"/>
            <w:shd w:val="clear" w:color="auto" w:fill="FFFFFF"/>
            <w:vAlign w:val="center"/>
          </w:tcPr>
          <w:p w14:paraId="4D8B408C"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0,5</w:t>
            </w:r>
          </w:p>
        </w:tc>
        <w:tc>
          <w:tcPr>
            <w:tcW w:w="590" w:type="dxa"/>
            <w:shd w:val="clear" w:color="auto" w:fill="FFFFFF"/>
            <w:vAlign w:val="center"/>
          </w:tcPr>
          <w:p w14:paraId="72380C4E"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-0,3</w:t>
            </w:r>
          </w:p>
        </w:tc>
        <w:tc>
          <w:tcPr>
            <w:tcW w:w="677" w:type="dxa"/>
            <w:shd w:val="clear" w:color="auto" w:fill="FFFFFF"/>
            <w:vAlign w:val="center"/>
          </w:tcPr>
          <w:p w14:paraId="6B3CF72E"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0,1</w:t>
            </w:r>
          </w:p>
        </w:tc>
      </w:tr>
      <w:tr w:rsidR="0047261E" w:rsidRPr="0047261E" w14:paraId="5330AE66" w14:textId="77777777" w:rsidTr="0047261E">
        <w:trPr>
          <w:trHeight w:val="480"/>
        </w:trPr>
        <w:tc>
          <w:tcPr>
            <w:tcW w:w="2702" w:type="dxa"/>
            <w:shd w:val="clear" w:color="auto" w:fill="FFFFFF"/>
          </w:tcPr>
          <w:p w14:paraId="639D2433"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млн. чел. (SA)</w:t>
            </w:r>
          </w:p>
          <w:p w14:paraId="1E82B429"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Численность безработных*</w:t>
            </w:r>
          </w:p>
        </w:tc>
        <w:tc>
          <w:tcPr>
            <w:tcW w:w="634" w:type="dxa"/>
            <w:shd w:val="clear" w:color="auto" w:fill="FFFFFF"/>
            <w:vAlign w:val="center"/>
          </w:tcPr>
          <w:p w14:paraId="1746577F"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p>
        </w:tc>
        <w:tc>
          <w:tcPr>
            <w:tcW w:w="672" w:type="dxa"/>
            <w:shd w:val="clear" w:color="auto" w:fill="FFFFFF"/>
            <w:vAlign w:val="center"/>
          </w:tcPr>
          <w:p w14:paraId="00976B5F"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72,5</w:t>
            </w:r>
          </w:p>
        </w:tc>
        <w:tc>
          <w:tcPr>
            <w:tcW w:w="667" w:type="dxa"/>
            <w:shd w:val="clear" w:color="auto" w:fill="FFFFFF"/>
            <w:vAlign w:val="center"/>
          </w:tcPr>
          <w:p w14:paraId="4BFED2E2"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72,5</w:t>
            </w:r>
          </w:p>
        </w:tc>
        <w:tc>
          <w:tcPr>
            <w:tcW w:w="701" w:type="dxa"/>
            <w:shd w:val="clear" w:color="auto" w:fill="FFFFFF"/>
            <w:vAlign w:val="center"/>
          </w:tcPr>
          <w:p w14:paraId="09ED0ADD"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72,6</w:t>
            </w:r>
          </w:p>
        </w:tc>
        <w:tc>
          <w:tcPr>
            <w:tcW w:w="773" w:type="dxa"/>
            <w:shd w:val="clear" w:color="auto" w:fill="FFFFFF"/>
            <w:vAlign w:val="center"/>
          </w:tcPr>
          <w:p w14:paraId="65C6684B"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72,4</w:t>
            </w:r>
          </w:p>
        </w:tc>
        <w:tc>
          <w:tcPr>
            <w:tcW w:w="614" w:type="dxa"/>
            <w:shd w:val="clear" w:color="auto" w:fill="FFFFFF"/>
            <w:vAlign w:val="center"/>
          </w:tcPr>
          <w:p w14:paraId="079C054D"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72,5</w:t>
            </w:r>
          </w:p>
        </w:tc>
        <w:tc>
          <w:tcPr>
            <w:tcW w:w="778" w:type="dxa"/>
            <w:shd w:val="clear" w:color="auto" w:fill="FFFFFF"/>
            <w:vAlign w:val="center"/>
          </w:tcPr>
          <w:p w14:paraId="07841EB6"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72,6</w:t>
            </w:r>
          </w:p>
        </w:tc>
        <w:tc>
          <w:tcPr>
            <w:tcW w:w="720" w:type="dxa"/>
            <w:shd w:val="clear" w:color="auto" w:fill="FFFFFF"/>
            <w:vAlign w:val="center"/>
          </w:tcPr>
          <w:p w14:paraId="729AE762"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72,5</w:t>
            </w:r>
          </w:p>
        </w:tc>
        <w:tc>
          <w:tcPr>
            <w:tcW w:w="590" w:type="dxa"/>
            <w:shd w:val="clear" w:color="auto" w:fill="FFFFFF"/>
            <w:vAlign w:val="center"/>
          </w:tcPr>
          <w:p w14:paraId="3BAB8E71"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p>
        </w:tc>
        <w:tc>
          <w:tcPr>
            <w:tcW w:w="677" w:type="dxa"/>
            <w:shd w:val="clear" w:color="auto" w:fill="FFFFFF"/>
            <w:vAlign w:val="center"/>
          </w:tcPr>
          <w:p w14:paraId="3F8457FF"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p>
        </w:tc>
      </w:tr>
      <w:tr w:rsidR="0047261E" w:rsidRPr="0047261E" w14:paraId="71A7E482" w14:textId="77777777" w:rsidTr="0047261E">
        <w:trPr>
          <w:trHeight w:val="398"/>
        </w:trPr>
        <w:tc>
          <w:tcPr>
            <w:tcW w:w="2702" w:type="dxa"/>
            <w:shd w:val="clear" w:color="auto" w:fill="FFFFFF"/>
          </w:tcPr>
          <w:p w14:paraId="0D9F53F4"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в % к соотв. периоду предыдущего года</w:t>
            </w:r>
          </w:p>
        </w:tc>
        <w:tc>
          <w:tcPr>
            <w:tcW w:w="634" w:type="dxa"/>
            <w:shd w:val="clear" w:color="auto" w:fill="FFFFFF"/>
            <w:vAlign w:val="center"/>
          </w:tcPr>
          <w:p w14:paraId="34646366"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-7,8</w:t>
            </w:r>
          </w:p>
        </w:tc>
        <w:tc>
          <w:tcPr>
            <w:tcW w:w="672" w:type="dxa"/>
            <w:shd w:val="clear" w:color="auto" w:fill="FFFFFF"/>
            <w:vAlign w:val="center"/>
          </w:tcPr>
          <w:p w14:paraId="0A461CE5"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-5,7</w:t>
            </w:r>
          </w:p>
        </w:tc>
        <w:tc>
          <w:tcPr>
            <w:tcW w:w="667" w:type="dxa"/>
            <w:shd w:val="clear" w:color="auto" w:fill="FFFFFF"/>
            <w:vAlign w:val="center"/>
          </w:tcPr>
          <w:p w14:paraId="3ECF32B1"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-4,6</w:t>
            </w:r>
          </w:p>
        </w:tc>
        <w:tc>
          <w:tcPr>
            <w:tcW w:w="701" w:type="dxa"/>
            <w:shd w:val="clear" w:color="auto" w:fill="FFFFFF"/>
            <w:vAlign w:val="center"/>
          </w:tcPr>
          <w:p w14:paraId="2DD87E4D"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-6,0</w:t>
            </w:r>
          </w:p>
        </w:tc>
        <w:tc>
          <w:tcPr>
            <w:tcW w:w="773" w:type="dxa"/>
            <w:shd w:val="clear" w:color="auto" w:fill="FFFFFF"/>
            <w:vAlign w:val="center"/>
          </w:tcPr>
          <w:p w14:paraId="65722D2E"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-6,4</w:t>
            </w:r>
          </w:p>
        </w:tc>
        <w:tc>
          <w:tcPr>
            <w:tcW w:w="614" w:type="dxa"/>
            <w:shd w:val="clear" w:color="auto" w:fill="FFFFFF"/>
            <w:vAlign w:val="center"/>
          </w:tcPr>
          <w:p w14:paraId="683C3C6A"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-8,5</w:t>
            </w:r>
          </w:p>
        </w:tc>
        <w:tc>
          <w:tcPr>
            <w:tcW w:w="778" w:type="dxa"/>
            <w:shd w:val="clear" w:color="auto" w:fill="FFFFFF"/>
            <w:vAlign w:val="center"/>
          </w:tcPr>
          <w:p w14:paraId="69E68E44"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-8,4</w:t>
            </w:r>
          </w:p>
        </w:tc>
        <w:tc>
          <w:tcPr>
            <w:tcW w:w="720" w:type="dxa"/>
            <w:shd w:val="clear" w:color="auto" w:fill="FFFFFF"/>
            <w:vAlign w:val="center"/>
          </w:tcPr>
          <w:p w14:paraId="4CECA5C9"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-8,7</w:t>
            </w:r>
          </w:p>
        </w:tc>
        <w:tc>
          <w:tcPr>
            <w:tcW w:w="590" w:type="dxa"/>
            <w:shd w:val="clear" w:color="auto" w:fill="FFFFFF"/>
            <w:vAlign w:val="center"/>
          </w:tcPr>
          <w:p w14:paraId="2DA0FD1E"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-6,5</w:t>
            </w:r>
          </w:p>
        </w:tc>
        <w:tc>
          <w:tcPr>
            <w:tcW w:w="677" w:type="dxa"/>
            <w:shd w:val="clear" w:color="auto" w:fill="FFFFFF"/>
            <w:vAlign w:val="center"/>
          </w:tcPr>
          <w:p w14:paraId="141B2D5C"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-0,5</w:t>
            </w:r>
          </w:p>
        </w:tc>
      </w:tr>
      <w:tr w:rsidR="0047261E" w:rsidRPr="0047261E" w14:paraId="044D7A73" w14:textId="77777777" w:rsidTr="0047261E">
        <w:trPr>
          <w:trHeight w:val="485"/>
        </w:trPr>
        <w:tc>
          <w:tcPr>
            <w:tcW w:w="2702" w:type="dxa"/>
            <w:shd w:val="clear" w:color="auto" w:fill="FFFFFF"/>
          </w:tcPr>
          <w:p w14:paraId="50F63102"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млн. чел. (SA) Уровень занятости*</w:t>
            </w:r>
          </w:p>
        </w:tc>
        <w:tc>
          <w:tcPr>
            <w:tcW w:w="634" w:type="dxa"/>
            <w:shd w:val="clear" w:color="auto" w:fill="FFFFFF"/>
            <w:vAlign w:val="center"/>
          </w:tcPr>
          <w:p w14:paraId="0FC2F538"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p>
        </w:tc>
        <w:tc>
          <w:tcPr>
            <w:tcW w:w="672" w:type="dxa"/>
            <w:shd w:val="clear" w:color="auto" w:fill="FFFFFF"/>
            <w:vAlign w:val="center"/>
          </w:tcPr>
          <w:p w14:paraId="45461081"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3,6</w:t>
            </w:r>
          </w:p>
        </w:tc>
        <w:tc>
          <w:tcPr>
            <w:tcW w:w="667" w:type="dxa"/>
            <w:shd w:val="clear" w:color="auto" w:fill="FFFFFF"/>
            <w:vAlign w:val="center"/>
          </w:tcPr>
          <w:p w14:paraId="2BF3F051"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3,6</w:t>
            </w:r>
          </w:p>
        </w:tc>
        <w:tc>
          <w:tcPr>
            <w:tcW w:w="701" w:type="dxa"/>
            <w:shd w:val="clear" w:color="auto" w:fill="FFFFFF"/>
            <w:vAlign w:val="center"/>
          </w:tcPr>
          <w:p w14:paraId="485729E5"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3,6</w:t>
            </w:r>
          </w:p>
        </w:tc>
        <w:tc>
          <w:tcPr>
            <w:tcW w:w="773" w:type="dxa"/>
            <w:shd w:val="clear" w:color="auto" w:fill="FFFFFF"/>
            <w:vAlign w:val="center"/>
          </w:tcPr>
          <w:p w14:paraId="52EF0132"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3,6</w:t>
            </w:r>
          </w:p>
        </w:tc>
        <w:tc>
          <w:tcPr>
            <w:tcW w:w="614" w:type="dxa"/>
            <w:shd w:val="clear" w:color="auto" w:fill="FFFFFF"/>
            <w:vAlign w:val="center"/>
          </w:tcPr>
          <w:p w14:paraId="360DAE2F"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3,6</w:t>
            </w:r>
          </w:p>
        </w:tc>
        <w:tc>
          <w:tcPr>
            <w:tcW w:w="778" w:type="dxa"/>
            <w:shd w:val="clear" w:color="auto" w:fill="FFFFFF"/>
            <w:vAlign w:val="center"/>
          </w:tcPr>
          <w:p w14:paraId="45E024CE"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3,7</w:t>
            </w:r>
          </w:p>
        </w:tc>
        <w:tc>
          <w:tcPr>
            <w:tcW w:w="720" w:type="dxa"/>
            <w:shd w:val="clear" w:color="auto" w:fill="FFFFFF"/>
            <w:vAlign w:val="center"/>
          </w:tcPr>
          <w:p w14:paraId="42F0C39C"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3,7</w:t>
            </w:r>
          </w:p>
        </w:tc>
        <w:tc>
          <w:tcPr>
            <w:tcW w:w="590" w:type="dxa"/>
            <w:shd w:val="clear" w:color="auto" w:fill="FFFFFF"/>
            <w:vAlign w:val="center"/>
          </w:tcPr>
          <w:p w14:paraId="298D0A2B"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p>
        </w:tc>
        <w:tc>
          <w:tcPr>
            <w:tcW w:w="677" w:type="dxa"/>
            <w:shd w:val="clear" w:color="auto" w:fill="FFFFFF"/>
            <w:vAlign w:val="center"/>
          </w:tcPr>
          <w:p w14:paraId="22CBECF0"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p>
        </w:tc>
      </w:tr>
      <w:tr w:rsidR="0047261E" w:rsidRPr="0047261E" w14:paraId="681B656B" w14:textId="77777777" w:rsidTr="0047261E">
        <w:trPr>
          <w:trHeight w:val="398"/>
        </w:trPr>
        <w:tc>
          <w:tcPr>
            <w:tcW w:w="2702" w:type="dxa"/>
            <w:shd w:val="clear" w:color="auto" w:fill="FFFFFF"/>
          </w:tcPr>
          <w:p w14:paraId="2B5F374A"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в % к населению в возрасте 15 лет и старше (SA)</w:t>
            </w:r>
          </w:p>
        </w:tc>
        <w:tc>
          <w:tcPr>
            <w:tcW w:w="634" w:type="dxa"/>
            <w:shd w:val="clear" w:color="auto" w:fill="FFFFFF"/>
            <w:vAlign w:val="center"/>
          </w:tcPr>
          <w:p w14:paraId="7ED8DD7B"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p>
        </w:tc>
        <w:tc>
          <w:tcPr>
            <w:tcW w:w="672" w:type="dxa"/>
            <w:shd w:val="clear" w:color="auto" w:fill="FFFFFF"/>
            <w:vAlign w:val="center"/>
          </w:tcPr>
          <w:p w14:paraId="60B5C273"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59,9</w:t>
            </w:r>
          </w:p>
        </w:tc>
        <w:tc>
          <w:tcPr>
            <w:tcW w:w="667" w:type="dxa"/>
            <w:shd w:val="clear" w:color="auto" w:fill="FFFFFF"/>
            <w:vAlign w:val="center"/>
          </w:tcPr>
          <w:p w14:paraId="37F19EE7"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59,9</w:t>
            </w:r>
          </w:p>
        </w:tc>
        <w:tc>
          <w:tcPr>
            <w:tcW w:w="701" w:type="dxa"/>
            <w:shd w:val="clear" w:color="auto" w:fill="FFFFFF"/>
            <w:vAlign w:val="center"/>
          </w:tcPr>
          <w:p w14:paraId="4B69D7B0"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59,9</w:t>
            </w:r>
          </w:p>
        </w:tc>
        <w:tc>
          <w:tcPr>
            <w:tcW w:w="773" w:type="dxa"/>
            <w:shd w:val="clear" w:color="auto" w:fill="FFFFFF"/>
            <w:vAlign w:val="center"/>
          </w:tcPr>
          <w:p w14:paraId="368457A0"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59,8</w:t>
            </w:r>
          </w:p>
        </w:tc>
        <w:tc>
          <w:tcPr>
            <w:tcW w:w="614" w:type="dxa"/>
            <w:shd w:val="clear" w:color="auto" w:fill="FFFFFF"/>
            <w:vAlign w:val="center"/>
          </w:tcPr>
          <w:p w14:paraId="0E22630E"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59,8</w:t>
            </w:r>
          </w:p>
        </w:tc>
        <w:tc>
          <w:tcPr>
            <w:tcW w:w="778" w:type="dxa"/>
            <w:shd w:val="clear" w:color="auto" w:fill="FFFFFF"/>
            <w:vAlign w:val="center"/>
          </w:tcPr>
          <w:p w14:paraId="583EBFF7"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59,8</w:t>
            </w:r>
          </w:p>
        </w:tc>
        <w:tc>
          <w:tcPr>
            <w:tcW w:w="720" w:type="dxa"/>
            <w:shd w:val="clear" w:color="auto" w:fill="FFFFFF"/>
            <w:vAlign w:val="center"/>
          </w:tcPr>
          <w:p w14:paraId="7A574330"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59,7</w:t>
            </w:r>
          </w:p>
        </w:tc>
        <w:tc>
          <w:tcPr>
            <w:tcW w:w="590" w:type="dxa"/>
            <w:shd w:val="clear" w:color="auto" w:fill="FFFFFF"/>
            <w:vAlign w:val="center"/>
          </w:tcPr>
          <w:p w14:paraId="00B98E30"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p>
        </w:tc>
        <w:tc>
          <w:tcPr>
            <w:tcW w:w="677" w:type="dxa"/>
            <w:shd w:val="clear" w:color="auto" w:fill="FFFFFF"/>
            <w:vAlign w:val="center"/>
          </w:tcPr>
          <w:p w14:paraId="699083C1"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p>
        </w:tc>
      </w:tr>
      <w:tr w:rsidR="0047261E" w:rsidRPr="0047261E" w14:paraId="39C28984" w14:textId="77777777" w:rsidTr="0047261E">
        <w:trPr>
          <w:trHeight w:val="442"/>
        </w:trPr>
        <w:tc>
          <w:tcPr>
            <w:tcW w:w="2702" w:type="dxa"/>
            <w:shd w:val="clear" w:color="auto" w:fill="FFFFFF"/>
            <w:vAlign w:val="bottom"/>
          </w:tcPr>
          <w:p w14:paraId="7E0EAB29"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Уровень безработицы**</w:t>
            </w:r>
          </w:p>
          <w:p w14:paraId="13C93650"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в % к рабочей силе /SA</w:t>
            </w:r>
          </w:p>
        </w:tc>
        <w:tc>
          <w:tcPr>
            <w:tcW w:w="634" w:type="dxa"/>
            <w:shd w:val="clear" w:color="auto" w:fill="FFFFFF"/>
            <w:vAlign w:val="center"/>
          </w:tcPr>
          <w:p w14:paraId="29355CA0"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4,8/-</w:t>
            </w:r>
          </w:p>
        </w:tc>
        <w:tc>
          <w:tcPr>
            <w:tcW w:w="672" w:type="dxa"/>
            <w:shd w:val="clear" w:color="auto" w:fill="FFFFFF"/>
            <w:vAlign w:val="center"/>
          </w:tcPr>
          <w:p w14:paraId="7F2F3D7D"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4,8/4,8</w:t>
            </w:r>
          </w:p>
        </w:tc>
        <w:tc>
          <w:tcPr>
            <w:tcW w:w="667" w:type="dxa"/>
            <w:shd w:val="clear" w:color="auto" w:fill="FFFFFF"/>
            <w:vAlign w:val="center"/>
          </w:tcPr>
          <w:p w14:paraId="5256DCAB"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4,8/4,8</w:t>
            </w:r>
          </w:p>
        </w:tc>
        <w:tc>
          <w:tcPr>
            <w:tcW w:w="701" w:type="dxa"/>
            <w:shd w:val="clear" w:color="auto" w:fill="FFFFFF"/>
            <w:vAlign w:val="center"/>
          </w:tcPr>
          <w:p w14:paraId="695C7A7D"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4,8/4,7</w:t>
            </w:r>
          </w:p>
        </w:tc>
        <w:tc>
          <w:tcPr>
            <w:tcW w:w="773" w:type="dxa"/>
            <w:shd w:val="clear" w:color="auto" w:fill="FFFFFF"/>
            <w:vAlign w:val="center"/>
          </w:tcPr>
          <w:p w14:paraId="1BD3FC9B"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4,7/4,8</w:t>
            </w:r>
          </w:p>
        </w:tc>
        <w:tc>
          <w:tcPr>
            <w:tcW w:w="614" w:type="dxa"/>
            <w:shd w:val="clear" w:color="auto" w:fill="FFFFFF"/>
            <w:vAlign w:val="center"/>
          </w:tcPr>
          <w:p w14:paraId="2E8E8F11"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4,6/4,8</w:t>
            </w:r>
          </w:p>
        </w:tc>
        <w:tc>
          <w:tcPr>
            <w:tcW w:w="778" w:type="dxa"/>
            <w:shd w:val="clear" w:color="auto" w:fill="FFFFFF"/>
            <w:vAlign w:val="center"/>
          </w:tcPr>
          <w:p w14:paraId="2E1340F7"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4,8/4,8</w:t>
            </w:r>
          </w:p>
        </w:tc>
        <w:tc>
          <w:tcPr>
            <w:tcW w:w="720" w:type="dxa"/>
            <w:shd w:val="clear" w:color="auto" w:fill="FFFFFF"/>
            <w:vAlign w:val="center"/>
          </w:tcPr>
          <w:p w14:paraId="33B009A4"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5,1/4,9</w:t>
            </w:r>
          </w:p>
        </w:tc>
        <w:tc>
          <w:tcPr>
            <w:tcW w:w="590" w:type="dxa"/>
            <w:shd w:val="clear" w:color="auto" w:fill="FFFFFF"/>
            <w:vAlign w:val="center"/>
          </w:tcPr>
          <w:p w14:paraId="036E9E1E"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5,2/-</w:t>
            </w:r>
          </w:p>
        </w:tc>
        <w:tc>
          <w:tcPr>
            <w:tcW w:w="677" w:type="dxa"/>
            <w:shd w:val="clear" w:color="auto" w:fill="FFFFFF"/>
            <w:vAlign w:val="center"/>
          </w:tcPr>
          <w:p w14:paraId="45B48797"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5,5/-</w:t>
            </w:r>
          </w:p>
        </w:tc>
      </w:tr>
      <w:tr w:rsidR="0047261E" w:rsidRPr="0047261E" w14:paraId="7E19080D" w14:textId="77777777" w:rsidTr="0047261E">
        <w:trPr>
          <w:trHeight w:val="430"/>
        </w:trPr>
        <w:tc>
          <w:tcPr>
            <w:tcW w:w="9528" w:type="dxa"/>
            <w:gridSpan w:val="11"/>
            <w:shd w:val="clear" w:color="auto" w:fill="FFFFFF"/>
            <w:vAlign w:val="bottom"/>
          </w:tcPr>
          <w:p w14:paraId="772268BD" w14:textId="77777777" w:rsidR="0047261E" w:rsidRPr="0047261E" w:rsidRDefault="0047261E" w:rsidP="0047261E">
            <w:pPr>
              <w:widowControl w:val="0"/>
              <w:suppressAutoHyphens/>
              <w:autoSpaceDN w:val="0"/>
              <w:ind w:firstLine="709"/>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 Данные за 2016-2017 гг. представлены по возрастной группе «15-72 года», за 2018 год – по возрастной группе «15 лет и старше».</w:t>
            </w:r>
          </w:p>
        </w:tc>
      </w:tr>
      <w:tr w:rsidR="0047261E" w:rsidRPr="0047261E" w14:paraId="1D38FAEA" w14:textId="77777777" w:rsidTr="0047261E">
        <w:trPr>
          <w:trHeight w:val="480"/>
        </w:trPr>
        <w:tc>
          <w:tcPr>
            <w:tcW w:w="9528" w:type="dxa"/>
            <w:gridSpan w:val="11"/>
            <w:shd w:val="clear" w:color="auto" w:fill="FFFFFF"/>
          </w:tcPr>
          <w:p w14:paraId="2156E26C" w14:textId="77777777" w:rsidR="0047261E" w:rsidRPr="0047261E" w:rsidRDefault="0047261E" w:rsidP="0047261E">
            <w:pPr>
              <w:widowControl w:val="0"/>
              <w:suppressAutoHyphens/>
              <w:autoSpaceDN w:val="0"/>
              <w:ind w:firstLine="709"/>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 Данные за 2016 год представлены по возрастной группе «15-72 года», за 2017-2018 год - по возрастной группе «15 лет и старше».</w:t>
            </w:r>
          </w:p>
        </w:tc>
      </w:tr>
      <w:tr w:rsidR="0047261E" w:rsidRPr="0047261E" w14:paraId="1D556866" w14:textId="77777777" w:rsidTr="0047261E">
        <w:trPr>
          <w:trHeight w:val="197"/>
        </w:trPr>
        <w:tc>
          <w:tcPr>
            <w:tcW w:w="9528" w:type="dxa"/>
            <w:gridSpan w:val="11"/>
            <w:shd w:val="clear" w:color="auto" w:fill="FFFFFF"/>
          </w:tcPr>
          <w:p w14:paraId="2DFEA6E5"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Источник: Росстат, расчеты Минэкономразвития России.</w:t>
            </w:r>
          </w:p>
        </w:tc>
      </w:tr>
    </w:tbl>
    <w:p w14:paraId="7092D649" w14:textId="77777777" w:rsidR="0047261E" w:rsidRPr="0047261E" w:rsidRDefault="0047261E" w:rsidP="0047261E">
      <w:pPr>
        <w:widowControl w:val="0"/>
        <w:tabs>
          <w:tab w:val="left" w:pos="3281"/>
        </w:tabs>
        <w:suppressAutoHyphens/>
        <w:autoSpaceDN w:val="0"/>
        <w:ind w:firstLine="0"/>
        <w:textAlignment w:val="baseline"/>
        <w:rPr>
          <w:rFonts w:eastAsia="Times New Roman" w:cs="Times New Roman"/>
          <w:kern w:val="3"/>
          <w:sz w:val="28"/>
          <w:szCs w:val="24"/>
          <w:lang w:eastAsia="ru-RU" w:bidi="hi-IN"/>
        </w:rPr>
      </w:pPr>
    </w:p>
    <w:p w14:paraId="4C33A86D" w14:textId="77777777" w:rsidR="0047261E" w:rsidRPr="0047261E" w:rsidRDefault="0047261E" w:rsidP="0047261E">
      <w:pPr>
        <w:widowControl w:val="0"/>
        <w:tabs>
          <w:tab w:val="left" w:pos="3281"/>
        </w:tabs>
        <w:suppressAutoHyphens/>
        <w:autoSpaceDN w:val="0"/>
        <w:ind w:firstLine="709"/>
        <w:textAlignment w:val="baseline"/>
        <w:rPr>
          <w:rFonts w:eastAsia="Times New Roman" w:cs="Times New Roman"/>
          <w:bCs/>
          <w:color w:val="000000"/>
          <w:kern w:val="3"/>
          <w:szCs w:val="24"/>
          <w:shd w:val="clear" w:color="auto" w:fill="FFFFFF"/>
          <w:lang w:eastAsia="ru-RU" w:bidi="ru-RU"/>
        </w:rPr>
      </w:pPr>
      <w:r w:rsidRPr="0047261E">
        <w:rPr>
          <w:rFonts w:eastAsia="Times New Roman" w:cs="Times New Roman"/>
          <w:kern w:val="3"/>
          <w:sz w:val="28"/>
          <w:szCs w:val="24"/>
          <w:lang w:eastAsia="ru-RU" w:bidi="hi-IN"/>
        </w:rPr>
        <w:t>И</w:t>
      </w:r>
      <w:r w:rsidRPr="0047261E">
        <w:rPr>
          <w:rFonts w:eastAsia="Times New Roman" w:cs="Times New Roman"/>
          <w:bCs/>
          <w:color w:val="000000"/>
          <w:kern w:val="3"/>
          <w:szCs w:val="24"/>
          <w:shd w:val="clear" w:color="auto" w:fill="FFFFFF"/>
          <w:lang w:eastAsia="ru-RU" w:bidi="ru-RU"/>
        </w:rPr>
        <w:t xml:space="preserve">нфляция в январе 2019 г. составила 1,0 % м/м, оказавшись ниже официального прогноза Минэкономразвития России. </w:t>
      </w:r>
    </w:p>
    <w:p w14:paraId="74D14BD0" w14:textId="77777777" w:rsidR="0047261E" w:rsidRPr="0047261E" w:rsidRDefault="0047261E" w:rsidP="0047261E">
      <w:pPr>
        <w:widowControl w:val="0"/>
        <w:ind w:firstLine="709"/>
        <w:contextualSpacing/>
        <w:rPr>
          <w:rFonts w:eastAsia="Times New Roman" w:cs="Times New Roman"/>
          <w:kern w:val="3"/>
          <w:szCs w:val="24"/>
          <w:lang w:eastAsia="zh-CN" w:bidi="hi-IN"/>
        </w:rPr>
      </w:pPr>
      <w:r w:rsidRPr="0047261E">
        <w:rPr>
          <w:rFonts w:eastAsia="Times New Roman" w:cs="Times New Roman"/>
          <w:kern w:val="3"/>
          <w:szCs w:val="24"/>
          <w:lang w:eastAsia="zh-CN" w:bidi="hi-IN"/>
        </w:rPr>
        <w:t>По сравнению с соответствующим периодом предыдущего года инфляция в январе ускорилась до 5,0 % г/г после 4,3 % г/г в декабре 2018 года. С учетом данных за первые несколько дней февраля, показывающих замедление среднесуточного темпа роста цен, можно сделать вывод о том, что эффект от повышения НДС оказался меньше предварительных оценок.</w:t>
      </w:r>
    </w:p>
    <w:p w14:paraId="1C56722F" w14:textId="77777777" w:rsidR="0047261E" w:rsidRPr="0047261E" w:rsidRDefault="0047261E" w:rsidP="0047261E">
      <w:pPr>
        <w:widowControl w:val="0"/>
        <w:spacing w:before="240"/>
        <w:ind w:firstLine="709"/>
        <w:contextualSpacing/>
        <w:rPr>
          <w:rFonts w:eastAsia="Times New Roman" w:cs="Times New Roman"/>
          <w:kern w:val="3"/>
          <w:szCs w:val="24"/>
          <w:lang w:eastAsia="zh-CN" w:bidi="hi-IN"/>
        </w:rPr>
      </w:pPr>
      <w:r w:rsidRPr="0047261E">
        <w:rPr>
          <w:rFonts w:eastAsia="Times New Roman" w:cs="Times New Roman"/>
          <w:bCs/>
          <w:color w:val="000000"/>
          <w:kern w:val="3"/>
          <w:szCs w:val="24"/>
          <w:shd w:val="clear" w:color="auto" w:fill="FFFFFF"/>
          <w:lang w:eastAsia="ru-RU" w:bidi="ru-RU"/>
        </w:rPr>
        <w:t xml:space="preserve">Значимый вклад (+0,24 п.п.) в инфляцию в январе внесла индексация регулируемых цен и тарифов. </w:t>
      </w:r>
      <w:r w:rsidRPr="0047261E">
        <w:rPr>
          <w:rFonts w:eastAsia="Times New Roman" w:cs="Times New Roman"/>
          <w:kern w:val="3"/>
          <w:szCs w:val="24"/>
          <w:lang w:eastAsia="zh-CN" w:bidi="hi-IN"/>
        </w:rPr>
        <w:t>При этом стоимость коммунальных услуг выросла на 2,6 % м/м, в том числе в результате повышения НДС и изменения порядка оплаты услуги по вывозу твердых коммунальных отходов. В июле динамика тарифов окажет понижательное давление на годовую инфляцию, в силу более низкого уровня индексации по сравнению с прошлым годом.</w:t>
      </w:r>
    </w:p>
    <w:p w14:paraId="3B674639" w14:textId="77777777" w:rsidR="0047261E" w:rsidRPr="0047261E" w:rsidRDefault="0047261E" w:rsidP="0047261E">
      <w:pPr>
        <w:widowControl w:val="0"/>
        <w:spacing w:before="240"/>
        <w:ind w:firstLine="709"/>
        <w:contextualSpacing/>
        <w:rPr>
          <w:rFonts w:eastAsia="Times New Roman" w:cs="Times New Roman"/>
          <w:kern w:val="3"/>
          <w:szCs w:val="24"/>
          <w:lang w:eastAsia="zh-CN" w:bidi="hi-IN"/>
        </w:rPr>
      </w:pPr>
      <w:r w:rsidRPr="0047261E">
        <w:rPr>
          <w:rFonts w:eastAsia="Times New Roman" w:cs="Times New Roman"/>
          <w:bCs/>
          <w:color w:val="000000"/>
          <w:kern w:val="3"/>
          <w:szCs w:val="24"/>
          <w:shd w:val="clear" w:color="auto" w:fill="FFFFFF"/>
          <w:lang w:eastAsia="ru-RU" w:bidi="ru-RU"/>
        </w:rPr>
        <w:t xml:space="preserve">Темп роста цен на непродовольственные товары за исключением подакцизной продукции ускорился </w:t>
      </w:r>
      <w:r w:rsidRPr="0047261E">
        <w:rPr>
          <w:rFonts w:eastAsia="Times New Roman" w:cs="Times New Roman"/>
          <w:kern w:val="3"/>
          <w:szCs w:val="24"/>
          <w:lang w:eastAsia="zh-CN" w:bidi="hi-IN"/>
        </w:rPr>
        <w:t xml:space="preserve">с 0,3 % м/м до 0,6 % м/м (с исключением сезонного фактора - значения аналогичны) при том, что 86% данной группы товаров облагается базовой ставкой НДС. Ускорение темпа роста цен на бензин было более заметным - до 0,8 % м/м </w:t>
      </w:r>
      <w:r w:rsidRPr="0047261E">
        <w:rPr>
          <w:rFonts w:eastAsia="Times New Roman" w:cs="Times New Roman"/>
          <w:kern w:val="3"/>
          <w:szCs w:val="24"/>
          <w:lang w:val="en-US" w:bidi="en-US"/>
        </w:rPr>
        <w:t>SA</w:t>
      </w:r>
      <w:r w:rsidRPr="0047261E">
        <w:rPr>
          <w:rFonts w:eastAsia="Times New Roman" w:cs="Times New Roman"/>
          <w:kern w:val="3"/>
          <w:szCs w:val="24"/>
          <w:lang w:bidi="en-US"/>
        </w:rPr>
        <w:t xml:space="preserve"> </w:t>
      </w:r>
      <w:r w:rsidRPr="0047261E">
        <w:rPr>
          <w:rFonts w:eastAsia="Times New Roman" w:cs="Times New Roman"/>
          <w:kern w:val="3"/>
          <w:szCs w:val="24"/>
          <w:lang w:eastAsia="zh-CN" w:bidi="hi-IN"/>
        </w:rPr>
        <w:t xml:space="preserve">в январе с 0,2 % м/м </w:t>
      </w:r>
      <w:r w:rsidRPr="0047261E">
        <w:rPr>
          <w:rFonts w:eastAsia="Times New Roman" w:cs="Times New Roman"/>
          <w:kern w:val="3"/>
          <w:szCs w:val="24"/>
          <w:lang w:val="en-US" w:bidi="en-US"/>
        </w:rPr>
        <w:t>SA</w:t>
      </w:r>
      <w:r w:rsidRPr="0047261E">
        <w:rPr>
          <w:rFonts w:eastAsia="Times New Roman" w:cs="Times New Roman"/>
          <w:kern w:val="3"/>
          <w:szCs w:val="24"/>
          <w:lang w:bidi="en-US"/>
        </w:rPr>
        <w:t xml:space="preserve"> </w:t>
      </w:r>
      <w:r w:rsidRPr="0047261E">
        <w:rPr>
          <w:rFonts w:eastAsia="Times New Roman" w:cs="Times New Roman"/>
          <w:kern w:val="3"/>
          <w:szCs w:val="24"/>
          <w:lang w:eastAsia="zh-CN" w:bidi="hi-IN"/>
        </w:rPr>
        <w:t xml:space="preserve">в декабре прошлого года (0,8 % м/м в январе после снижения на 0,1 % м/м месяцем ранее). Темп роста цен на табачные изделия остался практически неизменным: 0,8 % м/м </w:t>
      </w:r>
      <w:r w:rsidRPr="0047261E">
        <w:rPr>
          <w:rFonts w:eastAsia="Times New Roman" w:cs="Times New Roman"/>
          <w:kern w:val="3"/>
          <w:szCs w:val="24"/>
          <w:lang w:val="en-US" w:bidi="en-US"/>
        </w:rPr>
        <w:t>SA</w:t>
      </w:r>
      <w:r w:rsidRPr="0047261E">
        <w:rPr>
          <w:rFonts w:eastAsia="Times New Roman" w:cs="Times New Roman"/>
          <w:kern w:val="3"/>
          <w:szCs w:val="24"/>
          <w:lang w:bidi="en-US"/>
        </w:rPr>
        <w:t xml:space="preserve"> </w:t>
      </w:r>
      <w:r w:rsidRPr="0047261E">
        <w:rPr>
          <w:rFonts w:eastAsia="Times New Roman" w:cs="Times New Roman"/>
          <w:kern w:val="3"/>
          <w:szCs w:val="24"/>
          <w:lang w:eastAsia="zh-CN" w:bidi="hi-IN"/>
        </w:rPr>
        <w:t xml:space="preserve">в январе 2019 г. после 0,9 % м/м </w:t>
      </w:r>
      <w:r w:rsidRPr="0047261E">
        <w:rPr>
          <w:rFonts w:eastAsia="Times New Roman" w:cs="Times New Roman"/>
          <w:kern w:val="3"/>
          <w:szCs w:val="24"/>
          <w:lang w:val="en-US" w:bidi="en-US"/>
        </w:rPr>
        <w:t>SA</w:t>
      </w:r>
      <w:r w:rsidRPr="0047261E">
        <w:rPr>
          <w:rFonts w:eastAsia="Times New Roman" w:cs="Times New Roman"/>
          <w:kern w:val="3"/>
          <w:szCs w:val="24"/>
          <w:lang w:bidi="en-US"/>
        </w:rPr>
        <w:t xml:space="preserve"> </w:t>
      </w:r>
      <w:r w:rsidRPr="0047261E">
        <w:rPr>
          <w:rFonts w:eastAsia="Times New Roman" w:cs="Times New Roman"/>
          <w:kern w:val="3"/>
          <w:szCs w:val="24"/>
          <w:lang w:eastAsia="zh-CN" w:bidi="hi-IN"/>
        </w:rPr>
        <w:t>в декабре 2018 г. (0,8 % м/м в январе после 0,7 % м/м месяцем ранее).</w:t>
      </w:r>
    </w:p>
    <w:p w14:paraId="03FDC7AF" w14:textId="77777777" w:rsidR="0047261E" w:rsidRPr="0047261E" w:rsidRDefault="0047261E" w:rsidP="0047261E">
      <w:pPr>
        <w:widowControl w:val="0"/>
        <w:spacing w:before="240"/>
        <w:ind w:firstLine="709"/>
        <w:contextualSpacing/>
        <w:rPr>
          <w:rFonts w:eastAsia="Times New Roman" w:cs="Times New Roman"/>
          <w:kern w:val="3"/>
          <w:szCs w:val="24"/>
          <w:lang w:eastAsia="zh-CN" w:bidi="hi-IN"/>
        </w:rPr>
      </w:pPr>
      <w:r w:rsidRPr="0047261E">
        <w:rPr>
          <w:rFonts w:eastAsia="Times New Roman" w:cs="Times New Roman"/>
          <w:bCs/>
          <w:color w:val="000000"/>
          <w:kern w:val="3"/>
          <w:szCs w:val="24"/>
          <w:shd w:val="clear" w:color="auto" w:fill="FFFFFF"/>
          <w:lang w:eastAsia="ru-RU" w:bidi="ru-RU"/>
        </w:rPr>
        <w:t>Инфляция в сегменте продовольственных товаров</w:t>
      </w:r>
      <w:r w:rsidRPr="0047261E">
        <w:rPr>
          <w:rFonts w:eastAsia="Times New Roman" w:cs="Times New Roman"/>
          <w:kern w:val="3"/>
          <w:szCs w:val="24"/>
          <w:lang w:eastAsia="zh-CN" w:bidi="hi-IN"/>
        </w:rPr>
        <w:t xml:space="preserve">, большинство из которых облагается льготной ставкой НДС, </w:t>
      </w:r>
      <w:r w:rsidRPr="0047261E">
        <w:rPr>
          <w:rFonts w:eastAsia="Times New Roman" w:cs="Times New Roman"/>
          <w:bCs/>
          <w:color w:val="000000"/>
          <w:kern w:val="3"/>
          <w:szCs w:val="24"/>
          <w:shd w:val="clear" w:color="auto" w:fill="FFFFFF"/>
          <w:lang w:eastAsia="ru-RU" w:bidi="ru-RU"/>
        </w:rPr>
        <w:t xml:space="preserve">в январе 2019 года замедлилась до 0,6 % м/м </w:t>
      </w:r>
      <w:r w:rsidRPr="0047261E">
        <w:rPr>
          <w:rFonts w:eastAsia="Times New Roman" w:cs="Times New Roman"/>
          <w:bCs/>
          <w:color w:val="000000"/>
          <w:kern w:val="3"/>
          <w:szCs w:val="24"/>
          <w:shd w:val="clear" w:color="auto" w:fill="FFFFFF"/>
          <w:lang w:val="en-US" w:bidi="en-US"/>
        </w:rPr>
        <w:t>SA</w:t>
      </w:r>
      <w:r w:rsidRPr="0047261E">
        <w:rPr>
          <w:rFonts w:eastAsia="Times New Roman" w:cs="Times New Roman"/>
          <w:bCs/>
          <w:color w:val="000000"/>
          <w:kern w:val="3"/>
          <w:szCs w:val="24"/>
          <w:shd w:val="clear" w:color="auto" w:fill="FFFFFF"/>
          <w:lang w:bidi="en-US"/>
        </w:rPr>
        <w:t xml:space="preserve"> </w:t>
      </w:r>
      <w:r w:rsidRPr="0047261E">
        <w:rPr>
          <w:rFonts w:eastAsia="Times New Roman" w:cs="Times New Roman"/>
          <w:bCs/>
          <w:color w:val="000000"/>
          <w:kern w:val="3"/>
          <w:szCs w:val="24"/>
          <w:shd w:val="clear" w:color="auto" w:fill="FFFFFF"/>
          <w:lang w:eastAsia="ru-RU" w:bidi="ru-RU"/>
        </w:rPr>
        <w:t xml:space="preserve">с 1,0 % м/м </w:t>
      </w:r>
      <w:r w:rsidRPr="0047261E">
        <w:rPr>
          <w:rFonts w:eastAsia="Times New Roman" w:cs="Times New Roman"/>
          <w:bCs/>
          <w:color w:val="000000"/>
          <w:kern w:val="3"/>
          <w:szCs w:val="24"/>
          <w:shd w:val="clear" w:color="auto" w:fill="FFFFFF"/>
          <w:lang w:val="en-US" w:bidi="en-US"/>
        </w:rPr>
        <w:t>SA</w:t>
      </w:r>
      <w:r w:rsidRPr="0047261E">
        <w:rPr>
          <w:rFonts w:eastAsia="Times New Roman" w:cs="Times New Roman"/>
          <w:bCs/>
          <w:color w:val="000000"/>
          <w:kern w:val="3"/>
          <w:szCs w:val="24"/>
          <w:shd w:val="clear" w:color="auto" w:fill="FFFFFF"/>
          <w:lang w:bidi="en-US"/>
        </w:rPr>
        <w:t xml:space="preserve"> </w:t>
      </w:r>
      <w:r w:rsidRPr="0047261E">
        <w:rPr>
          <w:rFonts w:eastAsia="Times New Roman" w:cs="Times New Roman"/>
          <w:bCs/>
          <w:color w:val="000000"/>
          <w:kern w:val="3"/>
          <w:szCs w:val="24"/>
          <w:shd w:val="clear" w:color="auto" w:fill="FFFFFF"/>
          <w:lang w:eastAsia="ru-RU" w:bidi="ru-RU"/>
        </w:rPr>
        <w:t xml:space="preserve">месяцем ранее </w:t>
      </w:r>
      <w:r w:rsidRPr="0047261E">
        <w:rPr>
          <w:rFonts w:eastAsia="Times New Roman" w:cs="Times New Roman"/>
          <w:kern w:val="3"/>
          <w:szCs w:val="24"/>
          <w:lang w:eastAsia="zh-CN" w:bidi="hi-IN"/>
        </w:rPr>
        <w:t>(1,3 % м/м в январе после 1,7 % м/м в декабре). Замедление темпов роста цен наблюдалось как в сегменте плодоовощной продукции, так и в сегменте других продовольственных товаров.</w:t>
      </w:r>
    </w:p>
    <w:p w14:paraId="39E24949" w14:textId="77777777" w:rsidR="0047261E" w:rsidRPr="0047261E" w:rsidRDefault="0047261E" w:rsidP="0047261E">
      <w:pPr>
        <w:widowControl w:val="0"/>
        <w:ind w:firstLine="709"/>
        <w:contextualSpacing/>
        <w:rPr>
          <w:rFonts w:eastAsia="Arial" w:cs="Times New Roman"/>
          <w:bCs/>
          <w:kern w:val="3"/>
          <w:szCs w:val="24"/>
          <w:lang w:eastAsia="zh-CN" w:bidi="hi-IN"/>
        </w:rPr>
      </w:pPr>
      <w:r w:rsidRPr="0047261E">
        <w:rPr>
          <w:rFonts w:eastAsia="Arial" w:cs="Times New Roman"/>
          <w:bCs/>
          <w:kern w:val="3"/>
          <w:szCs w:val="24"/>
          <w:lang w:eastAsia="zh-CN" w:bidi="hi-IN"/>
        </w:rPr>
        <w:t>Монетарная</w:t>
      </w:r>
      <w:r w:rsidRPr="0047261E">
        <w:rPr>
          <w:rFonts w:eastAsia="Arial" w:cs="Times New Roman"/>
          <w:bCs/>
          <w:kern w:val="3"/>
          <w:szCs w:val="24"/>
          <w:vertAlign w:val="superscript"/>
          <w:lang w:eastAsia="zh-CN" w:bidi="hi-IN"/>
        </w:rPr>
        <w:footnoteReference w:id="5"/>
      </w:r>
      <w:r w:rsidRPr="0047261E">
        <w:rPr>
          <w:rFonts w:eastAsia="Arial" w:cs="Times New Roman"/>
          <w:bCs/>
          <w:kern w:val="3"/>
          <w:szCs w:val="24"/>
          <w:lang w:eastAsia="zh-CN" w:bidi="hi-IN"/>
        </w:rPr>
        <w:t xml:space="preserve"> инфляция в январе ускорилась до 0,46 % м/м </w:t>
      </w:r>
      <w:r w:rsidRPr="0047261E">
        <w:rPr>
          <w:rFonts w:eastAsia="Arial" w:cs="Times New Roman"/>
          <w:bCs/>
          <w:kern w:val="3"/>
          <w:szCs w:val="24"/>
          <w:lang w:val="en-US" w:bidi="en-US"/>
        </w:rPr>
        <w:t>SA</w:t>
      </w:r>
      <w:r w:rsidRPr="0047261E">
        <w:rPr>
          <w:rFonts w:eastAsia="Arial" w:cs="Times New Roman"/>
          <w:bCs/>
          <w:kern w:val="3"/>
          <w:szCs w:val="24"/>
          <w:lang w:bidi="en-US"/>
        </w:rPr>
        <w:t xml:space="preserve"> </w:t>
      </w:r>
      <w:r w:rsidRPr="0047261E">
        <w:rPr>
          <w:rFonts w:eastAsia="Arial" w:cs="Times New Roman"/>
          <w:bCs/>
          <w:kern w:val="3"/>
          <w:szCs w:val="24"/>
          <w:lang w:eastAsia="zh-CN" w:bidi="hi-IN"/>
        </w:rPr>
        <w:t xml:space="preserve">с 0,30 % м/м </w:t>
      </w:r>
      <w:r w:rsidRPr="0047261E">
        <w:rPr>
          <w:rFonts w:eastAsia="Arial" w:cs="Times New Roman"/>
          <w:bCs/>
          <w:kern w:val="3"/>
          <w:szCs w:val="24"/>
          <w:lang w:val="en-US" w:bidi="en-US"/>
        </w:rPr>
        <w:t>SA</w:t>
      </w:r>
      <w:r w:rsidRPr="0047261E">
        <w:rPr>
          <w:rFonts w:eastAsia="Arial" w:cs="Times New Roman"/>
          <w:bCs/>
          <w:kern w:val="3"/>
          <w:szCs w:val="24"/>
          <w:lang w:bidi="en-US"/>
        </w:rPr>
        <w:t xml:space="preserve"> </w:t>
      </w:r>
      <w:r w:rsidRPr="0047261E">
        <w:rPr>
          <w:rFonts w:eastAsia="Arial" w:cs="Times New Roman"/>
          <w:bCs/>
          <w:kern w:val="3"/>
          <w:szCs w:val="24"/>
          <w:lang w:eastAsia="zh-CN" w:bidi="hi-IN"/>
        </w:rPr>
        <w:t xml:space="preserve">в декабре. </w:t>
      </w:r>
    </w:p>
    <w:p w14:paraId="39223EA6" w14:textId="77777777" w:rsidR="0047261E" w:rsidRPr="0047261E" w:rsidRDefault="0047261E" w:rsidP="0047261E">
      <w:pPr>
        <w:widowControl w:val="0"/>
        <w:ind w:firstLine="709"/>
        <w:contextualSpacing/>
        <w:rPr>
          <w:rFonts w:eastAsia="Arial" w:cs="Times New Roman"/>
          <w:bCs/>
          <w:kern w:val="3"/>
          <w:szCs w:val="24"/>
          <w:lang w:eastAsia="zh-CN" w:bidi="hi-IN"/>
        </w:rPr>
      </w:pPr>
      <w:r w:rsidRPr="0047261E">
        <w:rPr>
          <w:rFonts w:eastAsia="Arial" w:cs="Times New Roman"/>
          <w:bCs/>
          <w:kern w:val="3"/>
          <w:szCs w:val="24"/>
          <w:lang w:eastAsia="zh-CN" w:bidi="hi-IN"/>
        </w:rPr>
        <w:t xml:space="preserve">Показатель, приведенный к годовым темпам роста, ускорился до 5,71 % м/м </w:t>
      </w:r>
      <w:r w:rsidRPr="0047261E">
        <w:rPr>
          <w:rFonts w:eastAsia="Arial" w:cs="Times New Roman"/>
          <w:bCs/>
          <w:kern w:val="3"/>
          <w:szCs w:val="24"/>
          <w:lang w:val="en-US" w:bidi="en-US"/>
        </w:rPr>
        <w:t>SAAR</w:t>
      </w:r>
      <w:r w:rsidRPr="0047261E">
        <w:rPr>
          <w:rFonts w:eastAsia="Arial" w:cs="Times New Roman"/>
          <w:bCs/>
          <w:kern w:val="3"/>
          <w:szCs w:val="24"/>
          <w:lang w:bidi="en-US"/>
        </w:rPr>
        <w:t xml:space="preserve">. </w:t>
      </w:r>
      <w:r w:rsidRPr="0047261E">
        <w:rPr>
          <w:rFonts w:eastAsia="Arial" w:cs="Times New Roman"/>
          <w:bCs/>
          <w:kern w:val="3"/>
          <w:szCs w:val="24"/>
          <w:lang w:eastAsia="zh-CN" w:bidi="hi-IN"/>
        </w:rPr>
        <w:t>По оценке, такое ускорение является временным.</w:t>
      </w:r>
    </w:p>
    <w:p w14:paraId="71CA4AEE" w14:textId="77777777" w:rsidR="0047261E" w:rsidRPr="0047261E" w:rsidRDefault="0047261E" w:rsidP="0047261E">
      <w:pPr>
        <w:widowControl w:val="0"/>
        <w:ind w:firstLine="709"/>
        <w:contextualSpacing/>
        <w:rPr>
          <w:rFonts w:eastAsia="Arial" w:cs="Times New Roman"/>
          <w:bCs/>
          <w:kern w:val="3"/>
          <w:szCs w:val="24"/>
          <w:lang w:eastAsia="zh-CN" w:bidi="hi-IN"/>
        </w:rPr>
      </w:pPr>
      <w:r w:rsidRPr="0047261E">
        <w:rPr>
          <w:rFonts w:eastAsia="Arial" w:cs="Times New Roman"/>
          <w:color w:val="000000"/>
          <w:kern w:val="3"/>
          <w:szCs w:val="24"/>
          <w:shd w:val="clear" w:color="auto" w:fill="FFFFFF"/>
          <w:lang w:eastAsia="ru-RU" w:bidi="ru-RU"/>
        </w:rPr>
        <w:t>В феврале 2019 г. инфляция, по оценке, составит 0,5-0,6% м/м (5,2-5,4 % г/г)</w:t>
      </w:r>
      <w:r w:rsidRPr="0047261E">
        <w:rPr>
          <w:rFonts w:eastAsia="Arial" w:cs="Times New Roman"/>
          <w:bCs/>
          <w:kern w:val="3"/>
          <w:szCs w:val="24"/>
          <w:lang w:eastAsia="zh-CN" w:bidi="hi-IN"/>
        </w:rPr>
        <w:t>. При этом пиковые значения (5,5-5,7 % г/г) инфляция пройдет в марте-мае текущего года. По итогам года при сохранении стабильного курса рубля инфляция опустится ниже 5 %.</w:t>
      </w:r>
    </w:p>
    <w:p w14:paraId="78A98A7D" w14:textId="77777777" w:rsidR="0047261E" w:rsidRPr="0047261E" w:rsidRDefault="0047261E" w:rsidP="0047261E">
      <w:pPr>
        <w:widowControl w:val="0"/>
        <w:ind w:firstLine="709"/>
        <w:contextualSpacing/>
        <w:rPr>
          <w:rFonts w:eastAsia="Times New Roman" w:cs="Times New Roman"/>
          <w:kern w:val="3"/>
          <w:szCs w:val="24"/>
          <w:lang w:eastAsia="zh-CN" w:bidi="hi-IN"/>
        </w:rPr>
      </w:pPr>
    </w:p>
    <w:p w14:paraId="1B32CB55" w14:textId="77777777" w:rsidR="0047261E" w:rsidRPr="0047261E" w:rsidRDefault="0047261E" w:rsidP="0047261E">
      <w:pPr>
        <w:widowControl w:val="0"/>
        <w:suppressAutoHyphens/>
        <w:autoSpaceDN w:val="0"/>
        <w:ind w:firstLine="709"/>
        <w:textAlignment w:val="baseline"/>
        <w:rPr>
          <w:rFonts w:eastAsia="Times New Roman" w:cs="Times New Roman"/>
          <w:kern w:val="3"/>
          <w:sz w:val="28"/>
          <w:szCs w:val="24"/>
          <w:lang w:eastAsia="ru-RU" w:bidi="hi-IN"/>
        </w:rPr>
      </w:pPr>
    </w:p>
    <w:tbl>
      <w:tblPr>
        <w:tblStyle w:val="3b"/>
        <w:tblW w:w="0" w:type="auto"/>
        <w:tblLook w:val="04A0" w:firstRow="1" w:lastRow="0" w:firstColumn="1" w:lastColumn="0" w:noHBand="0" w:noVBand="1"/>
      </w:tblPr>
      <w:tblGrid>
        <w:gridCol w:w="5040"/>
        <w:gridCol w:w="5040"/>
      </w:tblGrid>
      <w:tr w:rsidR="0047261E" w:rsidRPr="0047261E" w14:paraId="693F3014" w14:textId="77777777" w:rsidTr="0047261E">
        <w:tc>
          <w:tcPr>
            <w:tcW w:w="5040" w:type="dxa"/>
          </w:tcPr>
          <w:p w14:paraId="06AF4157" w14:textId="77777777" w:rsidR="0047261E" w:rsidRPr="0047261E" w:rsidRDefault="0047261E" w:rsidP="0047261E">
            <w:pPr>
              <w:suppressAutoHyphens/>
              <w:ind w:firstLine="0"/>
              <w:jc w:val="center"/>
              <w:rPr>
                <w:rFonts w:eastAsia="Times New Roman" w:cs="Times New Roman"/>
                <w:sz w:val="28"/>
                <w:lang w:eastAsia="ru-RU"/>
              </w:rPr>
            </w:pPr>
            <w:r w:rsidRPr="0047261E">
              <w:rPr>
                <w:rFonts w:eastAsia="Times New Roman" w:cs="Times New Roman"/>
                <w:noProof/>
                <w:sz w:val="28"/>
                <w:lang w:eastAsia="ru-RU"/>
              </w:rPr>
              <w:drawing>
                <wp:inline distT="0" distB="0" distL="0" distR="0" wp14:anchorId="476C7B24" wp14:editId="27BCE740">
                  <wp:extent cx="2926080" cy="2962910"/>
                  <wp:effectExtent l="0" t="0" r="7620" b="8890"/>
                  <wp:docPr id="900" name="Рисунок 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926080" cy="2962910"/>
                          </a:xfrm>
                          <a:prstGeom prst="rect">
                            <a:avLst/>
                          </a:prstGeom>
                          <a:noFill/>
                        </pic:spPr>
                      </pic:pic>
                    </a:graphicData>
                  </a:graphic>
                </wp:inline>
              </w:drawing>
            </w:r>
          </w:p>
        </w:tc>
        <w:tc>
          <w:tcPr>
            <w:tcW w:w="5040" w:type="dxa"/>
          </w:tcPr>
          <w:p w14:paraId="0C6A68B2" w14:textId="77777777" w:rsidR="0047261E" w:rsidRPr="0047261E" w:rsidRDefault="0047261E" w:rsidP="0047261E">
            <w:pPr>
              <w:suppressAutoHyphens/>
              <w:ind w:firstLine="0"/>
              <w:jc w:val="center"/>
              <w:rPr>
                <w:rFonts w:eastAsia="Times New Roman" w:cs="Times New Roman"/>
                <w:sz w:val="28"/>
                <w:lang w:eastAsia="ru-RU"/>
              </w:rPr>
            </w:pPr>
            <w:r w:rsidRPr="0047261E">
              <w:rPr>
                <w:rFonts w:eastAsia="Times New Roman" w:cs="Times New Roman"/>
                <w:noProof/>
                <w:sz w:val="28"/>
                <w:lang w:eastAsia="ru-RU"/>
              </w:rPr>
              <w:drawing>
                <wp:inline distT="0" distB="0" distL="0" distR="0" wp14:anchorId="15005905" wp14:editId="4963D554">
                  <wp:extent cx="2883535" cy="3035935"/>
                  <wp:effectExtent l="0" t="0" r="0" b="0"/>
                  <wp:docPr id="901" name="Рисунок 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883535" cy="3035935"/>
                          </a:xfrm>
                          <a:prstGeom prst="rect">
                            <a:avLst/>
                          </a:prstGeom>
                          <a:noFill/>
                        </pic:spPr>
                      </pic:pic>
                    </a:graphicData>
                  </a:graphic>
                </wp:inline>
              </w:drawing>
            </w:r>
          </w:p>
        </w:tc>
      </w:tr>
      <w:tr w:rsidR="0047261E" w:rsidRPr="0047261E" w14:paraId="5F0A59CC" w14:textId="77777777" w:rsidTr="0047261E">
        <w:tc>
          <w:tcPr>
            <w:tcW w:w="5040" w:type="dxa"/>
          </w:tcPr>
          <w:p w14:paraId="3824710B" w14:textId="57E108A7" w:rsidR="0047261E" w:rsidRPr="0047261E" w:rsidRDefault="0047261E" w:rsidP="0047261E">
            <w:pPr>
              <w:suppressLineNumbers/>
              <w:suppressAutoHyphens/>
              <w:ind w:firstLine="23"/>
              <w:jc w:val="center"/>
              <w:rPr>
                <w:rFonts w:eastAsia="Calibri" w:cs="Times New Roman"/>
                <w:i/>
                <w:iCs/>
                <w:szCs w:val="24"/>
              </w:rPr>
            </w:pPr>
            <w:r w:rsidRPr="0047261E">
              <w:rPr>
                <w:rFonts w:eastAsia="Calibri" w:cs="Times New Roman"/>
                <w:i/>
                <w:iCs/>
                <w:szCs w:val="24"/>
              </w:rPr>
              <w:t xml:space="preserve">Рисунок </w:t>
            </w:r>
            <w:r w:rsidRPr="0047261E">
              <w:rPr>
                <w:rFonts w:eastAsia="Calibri" w:cs="Times New Roman"/>
                <w:i/>
                <w:iCs/>
                <w:szCs w:val="24"/>
              </w:rPr>
              <w:fldChar w:fldCharType="begin"/>
            </w:r>
            <w:r w:rsidRPr="0047261E">
              <w:rPr>
                <w:rFonts w:eastAsia="Calibri" w:cs="Times New Roman"/>
                <w:i/>
                <w:iCs/>
                <w:szCs w:val="24"/>
              </w:rPr>
              <w:instrText xml:space="preserve"> SEQ Рисунок \* ARABIC </w:instrText>
            </w:r>
            <w:r w:rsidRPr="0047261E">
              <w:rPr>
                <w:rFonts w:eastAsia="Calibri" w:cs="Times New Roman"/>
                <w:i/>
                <w:iCs/>
                <w:szCs w:val="24"/>
              </w:rPr>
              <w:fldChar w:fldCharType="separate"/>
            </w:r>
            <w:r w:rsidR="00FD2769">
              <w:rPr>
                <w:rFonts w:eastAsia="Calibri" w:cs="Times New Roman"/>
                <w:i/>
                <w:iCs/>
                <w:noProof/>
                <w:szCs w:val="24"/>
              </w:rPr>
              <w:t>15</w:t>
            </w:r>
            <w:r w:rsidRPr="0047261E">
              <w:rPr>
                <w:rFonts w:eastAsia="Calibri" w:cs="Times New Roman"/>
                <w:i/>
                <w:iCs/>
                <w:szCs w:val="24"/>
              </w:rPr>
              <w:fldChar w:fldCharType="end"/>
            </w:r>
          </w:p>
        </w:tc>
        <w:tc>
          <w:tcPr>
            <w:tcW w:w="5040" w:type="dxa"/>
          </w:tcPr>
          <w:p w14:paraId="69117D8C" w14:textId="6944861A" w:rsidR="0047261E" w:rsidRPr="0047261E" w:rsidRDefault="0047261E" w:rsidP="0047261E">
            <w:pPr>
              <w:suppressLineNumbers/>
              <w:suppressAutoHyphens/>
              <w:ind w:firstLine="23"/>
              <w:jc w:val="center"/>
              <w:rPr>
                <w:rFonts w:eastAsia="Calibri" w:cs="Times New Roman"/>
                <w:i/>
                <w:iCs/>
                <w:szCs w:val="24"/>
              </w:rPr>
            </w:pPr>
            <w:r w:rsidRPr="0047261E">
              <w:rPr>
                <w:rFonts w:eastAsia="Calibri" w:cs="Times New Roman"/>
                <w:i/>
                <w:iCs/>
                <w:szCs w:val="24"/>
              </w:rPr>
              <w:t xml:space="preserve">Рисунок </w:t>
            </w:r>
            <w:r w:rsidRPr="0047261E">
              <w:rPr>
                <w:rFonts w:eastAsia="Calibri" w:cs="Times New Roman"/>
                <w:i/>
                <w:iCs/>
                <w:szCs w:val="24"/>
              </w:rPr>
              <w:fldChar w:fldCharType="begin"/>
            </w:r>
            <w:r w:rsidRPr="0047261E">
              <w:rPr>
                <w:rFonts w:eastAsia="Calibri" w:cs="Times New Roman"/>
                <w:i/>
                <w:iCs/>
                <w:szCs w:val="24"/>
              </w:rPr>
              <w:instrText xml:space="preserve"> SEQ Рисунок \* ARABIC </w:instrText>
            </w:r>
            <w:r w:rsidRPr="0047261E">
              <w:rPr>
                <w:rFonts w:eastAsia="Calibri" w:cs="Times New Roman"/>
                <w:i/>
                <w:iCs/>
                <w:szCs w:val="24"/>
              </w:rPr>
              <w:fldChar w:fldCharType="separate"/>
            </w:r>
            <w:r w:rsidR="00FD2769">
              <w:rPr>
                <w:rFonts w:eastAsia="Calibri" w:cs="Times New Roman"/>
                <w:i/>
                <w:iCs/>
                <w:noProof/>
                <w:szCs w:val="24"/>
              </w:rPr>
              <w:t>16</w:t>
            </w:r>
            <w:r w:rsidRPr="0047261E">
              <w:rPr>
                <w:rFonts w:eastAsia="Calibri" w:cs="Times New Roman"/>
                <w:i/>
                <w:iCs/>
                <w:szCs w:val="24"/>
              </w:rPr>
              <w:fldChar w:fldCharType="end"/>
            </w:r>
          </w:p>
        </w:tc>
      </w:tr>
    </w:tbl>
    <w:p w14:paraId="2B23BD34" w14:textId="77777777" w:rsidR="0047261E" w:rsidRPr="0047261E" w:rsidRDefault="0047261E" w:rsidP="0047261E">
      <w:pPr>
        <w:keepNext/>
        <w:suppressLineNumbers/>
        <w:suppressAutoHyphens/>
        <w:autoSpaceDN w:val="0"/>
        <w:spacing w:before="120" w:after="120"/>
        <w:ind w:firstLine="709"/>
        <w:textAlignment w:val="baseline"/>
        <w:rPr>
          <w:rFonts w:eastAsia="Calibri" w:cs="Times New Roman"/>
          <w:i/>
          <w:iCs/>
          <w:kern w:val="3"/>
          <w:szCs w:val="24"/>
          <w:lang w:eastAsia="zh-CN"/>
        </w:rPr>
      </w:pPr>
    </w:p>
    <w:p w14:paraId="151E426B" w14:textId="484C4DBB" w:rsidR="0047261E" w:rsidRPr="0047261E" w:rsidRDefault="0047261E" w:rsidP="00763AD2">
      <w:pPr>
        <w:pStyle w:val="afffffff0"/>
      </w:pPr>
      <w:r w:rsidRPr="0047261E">
        <w:t xml:space="preserve">Таблица </w:t>
      </w:r>
      <w:r w:rsidR="00A90944">
        <w:fldChar w:fldCharType="begin"/>
      </w:r>
      <w:r w:rsidR="00A90944">
        <w:instrText xml:space="preserve"> SEQ Таблица \* ARABIC </w:instrText>
      </w:r>
      <w:r w:rsidR="00A90944">
        <w:fldChar w:fldCharType="separate"/>
      </w:r>
      <w:r w:rsidR="00FD2769">
        <w:rPr>
          <w:noProof/>
        </w:rPr>
        <w:t>8</w:t>
      </w:r>
      <w:r w:rsidR="00A90944">
        <w:rPr>
          <w:noProof/>
        </w:rPr>
        <w:fldChar w:fldCharType="end"/>
      </w:r>
      <w:r w:rsidRPr="0047261E">
        <w:t>. Индикаторы инфляции</w:t>
      </w:r>
    </w:p>
    <w:tbl>
      <w:tblPr>
        <w:tblOverlap w:val="never"/>
        <w:tblW w:w="0" w:type="auto"/>
        <w:tblInd w:w="5" w:type="dxa"/>
        <w:tblLayout w:type="fixed"/>
        <w:tblCellMar>
          <w:left w:w="10" w:type="dxa"/>
          <w:right w:w="10" w:type="dxa"/>
        </w:tblCellMar>
        <w:tblLook w:val="04A0" w:firstRow="1" w:lastRow="0" w:firstColumn="1" w:lastColumn="0" w:noHBand="0" w:noVBand="1"/>
      </w:tblPr>
      <w:tblGrid>
        <w:gridCol w:w="4373"/>
        <w:gridCol w:w="720"/>
        <w:gridCol w:w="739"/>
        <w:gridCol w:w="706"/>
        <w:gridCol w:w="706"/>
        <w:gridCol w:w="686"/>
        <w:gridCol w:w="696"/>
        <w:gridCol w:w="797"/>
      </w:tblGrid>
      <w:tr w:rsidR="0047261E" w:rsidRPr="0047261E" w14:paraId="1BB4B533" w14:textId="77777777" w:rsidTr="0047261E">
        <w:trPr>
          <w:trHeight w:val="240"/>
        </w:trPr>
        <w:tc>
          <w:tcPr>
            <w:tcW w:w="4373" w:type="dxa"/>
            <w:tcBorders>
              <w:top w:val="single" w:sz="4" w:space="0" w:color="auto"/>
              <w:left w:val="single" w:sz="4" w:space="0" w:color="auto"/>
              <w:bottom w:val="single" w:sz="4" w:space="0" w:color="auto"/>
              <w:right w:val="single" w:sz="4" w:space="0" w:color="auto"/>
            </w:tcBorders>
            <w:shd w:val="clear" w:color="auto" w:fill="FFFFFF"/>
          </w:tcPr>
          <w:p w14:paraId="44E6C422"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p>
        </w:tc>
        <w:tc>
          <w:tcPr>
            <w:tcW w:w="720" w:type="dxa"/>
            <w:tcBorders>
              <w:top w:val="single" w:sz="4" w:space="0" w:color="auto"/>
              <w:left w:val="single" w:sz="4" w:space="0" w:color="auto"/>
              <w:bottom w:val="single" w:sz="4" w:space="0" w:color="auto"/>
              <w:right w:val="single" w:sz="4" w:space="0" w:color="auto"/>
            </w:tcBorders>
            <w:shd w:val="clear" w:color="auto" w:fill="FFFFFF"/>
            <w:vAlign w:val="center"/>
          </w:tcPr>
          <w:p w14:paraId="63FF2E35"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янв.18</w:t>
            </w:r>
          </w:p>
        </w:tc>
        <w:tc>
          <w:tcPr>
            <w:tcW w:w="739" w:type="dxa"/>
            <w:tcBorders>
              <w:top w:val="single" w:sz="4" w:space="0" w:color="auto"/>
              <w:left w:val="single" w:sz="4" w:space="0" w:color="auto"/>
              <w:bottom w:val="single" w:sz="4" w:space="0" w:color="auto"/>
              <w:right w:val="single" w:sz="4" w:space="0" w:color="auto"/>
            </w:tcBorders>
            <w:shd w:val="clear" w:color="auto" w:fill="FFFFFF"/>
            <w:vAlign w:val="center"/>
          </w:tcPr>
          <w:p w14:paraId="4F9C89A2"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дек.18</w:t>
            </w:r>
          </w:p>
        </w:tc>
        <w:tc>
          <w:tcPr>
            <w:tcW w:w="706" w:type="dxa"/>
            <w:tcBorders>
              <w:top w:val="single" w:sz="4" w:space="0" w:color="auto"/>
              <w:left w:val="single" w:sz="4" w:space="0" w:color="auto"/>
              <w:bottom w:val="single" w:sz="4" w:space="0" w:color="auto"/>
              <w:right w:val="single" w:sz="4" w:space="0" w:color="auto"/>
            </w:tcBorders>
            <w:shd w:val="clear" w:color="auto" w:fill="FFFFFF"/>
            <w:vAlign w:val="center"/>
          </w:tcPr>
          <w:p w14:paraId="4358F8A6"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ноя.18</w:t>
            </w:r>
          </w:p>
        </w:tc>
        <w:tc>
          <w:tcPr>
            <w:tcW w:w="706" w:type="dxa"/>
            <w:tcBorders>
              <w:top w:val="single" w:sz="4" w:space="0" w:color="auto"/>
              <w:left w:val="single" w:sz="4" w:space="0" w:color="auto"/>
              <w:bottom w:val="single" w:sz="4" w:space="0" w:color="auto"/>
              <w:right w:val="single" w:sz="4" w:space="0" w:color="auto"/>
            </w:tcBorders>
            <w:shd w:val="clear" w:color="auto" w:fill="FFFFFF"/>
            <w:vAlign w:val="center"/>
          </w:tcPr>
          <w:p w14:paraId="4747C841"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окт.18</w:t>
            </w:r>
          </w:p>
        </w:tc>
        <w:tc>
          <w:tcPr>
            <w:tcW w:w="686" w:type="dxa"/>
            <w:tcBorders>
              <w:top w:val="single" w:sz="4" w:space="0" w:color="auto"/>
              <w:left w:val="single" w:sz="4" w:space="0" w:color="auto"/>
              <w:bottom w:val="single" w:sz="4" w:space="0" w:color="auto"/>
              <w:right w:val="single" w:sz="4" w:space="0" w:color="auto"/>
            </w:tcBorders>
            <w:shd w:val="clear" w:color="auto" w:fill="FFFFFF"/>
            <w:vAlign w:val="center"/>
          </w:tcPr>
          <w:p w14:paraId="27DA3830"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2017</w:t>
            </w:r>
          </w:p>
        </w:tc>
        <w:tc>
          <w:tcPr>
            <w:tcW w:w="696" w:type="dxa"/>
            <w:tcBorders>
              <w:top w:val="single" w:sz="4" w:space="0" w:color="auto"/>
              <w:left w:val="single" w:sz="4" w:space="0" w:color="auto"/>
              <w:bottom w:val="single" w:sz="4" w:space="0" w:color="auto"/>
              <w:right w:val="single" w:sz="4" w:space="0" w:color="auto"/>
            </w:tcBorders>
            <w:shd w:val="clear" w:color="auto" w:fill="FFFFFF"/>
            <w:vAlign w:val="center"/>
          </w:tcPr>
          <w:p w14:paraId="79AA435B"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2016</w:t>
            </w:r>
          </w:p>
        </w:tc>
        <w:tc>
          <w:tcPr>
            <w:tcW w:w="797" w:type="dxa"/>
            <w:tcBorders>
              <w:top w:val="single" w:sz="4" w:space="0" w:color="auto"/>
              <w:left w:val="single" w:sz="4" w:space="0" w:color="auto"/>
              <w:bottom w:val="single" w:sz="4" w:space="0" w:color="auto"/>
              <w:right w:val="single" w:sz="4" w:space="0" w:color="auto"/>
            </w:tcBorders>
            <w:shd w:val="clear" w:color="auto" w:fill="FFFFFF"/>
            <w:vAlign w:val="center"/>
          </w:tcPr>
          <w:p w14:paraId="13E6E390"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2015</w:t>
            </w:r>
          </w:p>
        </w:tc>
      </w:tr>
      <w:tr w:rsidR="0047261E" w:rsidRPr="0047261E" w14:paraId="30CB163B" w14:textId="77777777" w:rsidTr="0047261E">
        <w:trPr>
          <w:trHeight w:val="514"/>
        </w:trPr>
        <w:tc>
          <w:tcPr>
            <w:tcW w:w="4373" w:type="dxa"/>
            <w:tcBorders>
              <w:top w:val="single" w:sz="4" w:space="0" w:color="auto"/>
              <w:left w:val="single" w:sz="4" w:space="0" w:color="auto"/>
              <w:bottom w:val="single" w:sz="4" w:space="0" w:color="auto"/>
              <w:right w:val="single" w:sz="4" w:space="0" w:color="auto"/>
            </w:tcBorders>
            <w:shd w:val="clear" w:color="auto" w:fill="FFFFFF"/>
            <w:vAlign w:val="bottom"/>
          </w:tcPr>
          <w:p w14:paraId="7E982D9B"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Инфляция</w:t>
            </w:r>
          </w:p>
          <w:p w14:paraId="2F1A8979"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в % к соотв. периоду предыдущего года</w:t>
            </w:r>
          </w:p>
        </w:tc>
        <w:tc>
          <w:tcPr>
            <w:tcW w:w="720" w:type="dxa"/>
            <w:tcBorders>
              <w:top w:val="single" w:sz="4" w:space="0" w:color="auto"/>
              <w:left w:val="single" w:sz="4" w:space="0" w:color="auto"/>
              <w:bottom w:val="single" w:sz="4" w:space="0" w:color="auto"/>
              <w:right w:val="single" w:sz="4" w:space="0" w:color="auto"/>
            </w:tcBorders>
            <w:shd w:val="clear" w:color="auto" w:fill="FFFFFF"/>
            <w:vAlign w:val="center"/>
          </w:tcPr>
          <w:p w14:paraId="2818ABAB"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5,0</w:t>
            </w:r>
          </w:p>
        </w:tc>
        <w:tc>
          <w:tcPr>
            <w:tcW w:w="739" w:type="dxa"/>
            <w:tcBorders>
              <w:top w:val="single" w:sz="4" w:space="0" w:color="auto"/>
              <w:left w:val="single" w:sz="4" w:space="0" w:color="auto"/>
              <w:bottom w:val="single" w:sz="4" w:space="0" w:color="auto"/>
              <w:right w:val="single" w:sz="4" w:space="0" w:color="auto"/>
            </w:tcBorders>
            <w:shd w:val="clear" w:color="auto" w:fill="FFFFFF"/>
            <w:vAlign w:val="center"/>
          </w:tcPr>
          <w:p w14:paraId="557E8840"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4,3</w:t>
            </w:r>
          </w:p>
        </w:tc>
        <w:tc>
          <w:tcPr>
            <w:tcW w:w="706" w:type="dxa"/>
            <w:tcBorders>
              <w:top w:val="single" w:sz="4" w:space="0" w:color="auto"/>
              <w:left w:val="single" w:sz="4" w:space="0" w:color="auto"/>
              <w:bottom w:val="single" w:sz="4" w:space="0" w:color="auto"/>
              <w:right w:val="single" w:sz="4" w:space="0" w:color="auto"/>
            </w:tcBorders>
            <w:shd w:val="clear" w:color="auto" w:fill="FFFFFF"/>
            <w:vAlign w:val="center"/>
          </w:tcPr>
          <w:p w14:paraId="723DE3E0"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3,8</w:t>
            </w:r>
          </w:p>
        </w:tc>
        <w:tc>
          <w:tcPr>
            <w:tcW w:w="706" w:type="dxa"/>
            <w:tcBorders>
              <w:top w:val="single" w:sz="4" w:space="0" w:color="auto"/>
              <w:left w:val="single" w:sz="4" w:space="0" w:color="auto"/>
              <w:bottom w:val="single" w:sz="4" w:space="0" w:color="auto"/>
              <w:right w:val="single" w:sz="4" w:space="0" w:color="auto"/>
            </w:tcBorders>
            <w:shd w:val="clear" w:color="auto" w:fill="FFFFFF"/>
            <w:vAlign w:val="center"/>
          </w:tcPr>
          <w:p w14:paraId="4B5C0667"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3,5</w:t>
            </w:r>
          </w:p>
        </w:tc>
        <w:tc>
          <w:tcPr>
            <w:tcW w:w="686" w:type="dxa"/>
            <w:tcBorders>
              <w:top w:val="single" w:sz="4" w:space="0" w:color="auto"/>
              <w:left w:val="single" w:sz="4" w:space="0" w:color="auto"/>
              <w:bottom w:val="single" w:sz="4" w:space="0" w:color="auto"/>
              <w:right w:val="single" w:sz="4" w:space="0" w:color="auto"/>
            </w:tcBorders>
            <w:shd w:val="clear" w:color="auto" w:fill="FFFFFF"/>
            <w:vAlign w:val="center"/>
          </w:tcPr>
          <w:p w14:paraId="246E8B57"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2,5</w:t>
            </w:r>
          </w:p>
        </w:tc>
        <w:tc>
          <w:tcPr>
            <w:tcW w:w="696" w:type="dxa"/>
            <w:tcBorders>
              <w:top w:val="single" w:sz="4" w:space="0" w:color="auto"/>
              <w:left w:val="single" w:sz="4" w:space="0" w:color="auto"/>
              <w:bottom w:val="single" w:sz="4" w:space="0" w:color="auto"/>
              <w:right w:val="single" w:sz="4" w:space="0" w:color="auto"/>
            </w:tcBorders>
            <w:shd w:val="clear" w:color="auto" w:fill="FFFFFF"/>
            <w:vAlign w:val="center"/>
          </w:tcPr>
          <w:p w14:paraId="3FE44DFD"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5,4</w:t>
            </w:r>
          </w:p>
        </w:tc>
        <w:tc>
          <w:tcPr>
            <w:tcW w:w="797" w:type="dxa"/>
            <w:tcBorders>
              <w:top w:val="single" w:sz="4" w:space="0" w:color="auto"/>
              <w:left w:val="single" w:sz="4" w:space="0" w:color="auto"/>
              <w:bottom w:val="single" w:sz="4" w:space="0" w:color="auto"/>
              <w:right w:val="single" w:sz="4" w:space="0" w:color="auto"/>
            </w:tcBorders>
            <w:shd w:val="clear" w:color="auto" w:fill="FFFFFF"/>
            <w:vAlign w:val="center"/>
          </w:tcPr>
          <w:p w14:paraId="3490C465"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12,9</w:t>
            </w:r>
          </w:p>
        </w:tc>
      </w:tr>
      <w:tr w:rsidR="0047261E" w:rsidRPr="0047261E" w14:paraId="35C9EC86" w14:textId="77777777" w:rsidTr="0047261E">
        <w:trPr>
          <w:trHeight w:val="235"/>
        </w:trPr>
        <w:tc>
          <w:tcPr>
            <w:tcW w:w="4373" w:type="dxa"/>
            <w:tcBorders>
              <w:top w:val="single" w:sz="4" w:space="0" w:color="auto"/>
              <w:left w:val="single" w:sz="4" w:space="0" w:color="auto"/>
              <w:bottom w:val="single" w:sz="4" w:space="0" w:color="auto"/>
              <w:right w:val="single" w:sz="4" w:space="0" w:color="auto"/>
            </w:tcBorders>
            <w:shd w:val="clear" w:color="auto" w:fill="FFFFFF"/>
            <w:vAlign w:val="center"/>
          </w:tcPr>
          <w:p w14:paraId="7A20B078"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в % к предыдущему месяцу</w:t>
            </w:r>
          </w:p>
        </w:tc>
        <w:tc>
          <w:tcPr>
            <w:tcW w:w="720" w:type="dxa"/>
            <w:tcBorders>
              <w:top w:val="single" w:sz="4" w:space="0" w:color="auto"/>
              <w:left w:val="single" w:sz="4" w:space="0" w:color="auto"/>
              <w:bottom w:val="single" w:sz="4" w:space="0" w:color="auto"/>
              <w:right w:val="single" w:sz="4" w:space="0" w:color="auto"/>
            </w:tcBorders>
            <w:shd w:val="clear" w:color="auto" w:fill="FFFFFF"/>
            <w:vAlign w:val="center"/>
          </w:tcPr>
          <w:p w14:paraId="531EE008"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1,0</w:t>
            </w:r>
          </w:p>
        </w:tc>
        <w:tc>
          <w:tcPr>
            <w:tcW w:w="739" w:type="dxa"/>
            <w:tcBorders>
              <w:top w:val="single" w:sz="4" w:space="0" w:color="auto"/>
              <w:left w:val="single" w:sz="4" w:space="0" w:color="auto"/>
              <w:bottom w:val="single" w:sz="4" w:space="0" w:color="auto"/>
              <w:right w:val="single" w:sz="4" w:space="0" w:color="auto"/>
            </w:tcBorders>
            <w:shd w:val="clear" w:color="auto" w:fill="FFFFFF"/>
            <w:vAlign w:val="center"/>
          </w:tcPr>
          <w:p w14:paraId="6285773C"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0,8</w:t>
            </w:r>
          </w:p>
        </w:tc>
        <w:tc>
          <w:tcPr>
            <w:tcW w:w="706" w:type="dxa"/>
            <w:tcBorders>
              <w:top w:val="single" w:sz="4" w:space="0" w:color="auto"/>
              <w:left w:val="single" w:sz="4" w:space="0" w:color="auto"/>
              <w:bottom w:val="single" w:sz="4" w:space="0" w:color="auto"/>
              <w:right w:val="single" w:sz="4" w:space="0" w:color="auto"/>
            </w:tcBorders>
            <w:shd w:val="clear" w:color="auto" w:fill="FFFFFF"/>
            <w:vAlign w:val="center"/>
          </w:tcPr>
          <w:p w14:paraId="353C1AF4"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0,5</w:t>
            </w:r>
          </w:p>
        </w:tc>
        <w:tc>
          <w:tcPr>
            <w:tcW w:w="706" w:type="dxa"/>
            <w:tcBorders>
              <w:top w:val="single" w:sz="4" w:space="0" w:color="auto"/>
              <w:left w:val="single" w:sz="4" w:space="0" w:color="auto"/>
              <w:bottom w:val="single" w:sz="4" w:space="0" w:color="auto"/>
              <w:right w:val="single" w:sz="4" w:space="0" w:color="auto"/>
            </w:tcBorders>
            <w:shd w:val="clear" w:color="auto" w:fill="FFFFFF"/>
            <w:vAlign w:val="center"/>
          </w:tcPr>
          <w:p w14:paraId="5DE2DA88"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0,4</w:t>
            </w:r>
          </w:p>
        </w:tc>
        <w:tc>
          <w:tcPr>
            <w:tcW w:w="686" w:type="dxa"/>
            <w:tcBorders>
              <w:top w:val="single" w:sz="4" w:space="0" w:color="auto"/>
              <w:left w:val="single" w:sz="4" w:space="0" w:color="auto"/>
              <w:bottom w:val="single" w:sz="4" w:space="0" w:color="auto"/>
              <w:right w:val="single" w:sz="4" w:space="0" w:color="auto"/>
            </w:tcBorders>
            <w:shd w:val="clear" w:color="auto" w:fill="FFFFFF"/>
            <w:vAlign w:val="center"/>
          </w:tcPr>
          <w:p w14:paraId="62E66FB7"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w:t>
            </w:r>
          </w:p>
        </w:tc>
        <w:tc>
          <w:tcPr>
            <w:tcW w:w="696" w:type="dxa"/>
            <w:tcBorders>
              <w:top w:val="single" w:sz="4" w:space="0" w:color="auto"/>
              <w:left w:val="single" w:sz="4" w:space="0" w:color="auto"/>
              <w:bottom w:val="single" w:sz="4" w:space="0" w:color="auto"/>
              <w:right w:val="single" w:sz="4" w:space="0" w:color="auto"/>
            </w:tcBorders>
            <w:shd w:val="clear" w:color="auto" w:fill="FFFFFF"/>
            <w:vAlign w:val="center"/>
          </w:tcPr>
          <w:p w14:paraId="3D58B74B"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w:t>
            </w:r>
          </w:p>
        </w:tc>
        <w:tc>
          <w:tcPr>
            <w:tcW w:w="797" w:type="dxa"/>
            <w:tcBorders>
              <w:top w:val="single" w:sz="4" w:space="0" w:color="auto"/>
              <w:left w:val="single" w:sz="4" w:space="0" w:color="auto"/>
              <w:bottom w:val="single" w:sz="4" w:space="0" w:color="auto"/>
              <w:right w:val="single" w:sz="4" w:space="0" w:color="auto"/>
            </w:tcBorders>
            <w:shd w:val="clear" w:color="auto" w:fill="FFFFFF"/>
            <w:vAlign w:val="center"/>
          </w:tcPr>
          <w:p w14:paraId="0F7C7CBC"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w:t>
            </w:r>
          </w:p>
        </w:tc>
      </w:tr>
      <w:tr w:rsidR="0047261E" w:rsidRPr="0047261E" w14:paraId="484C011C" w14:textId="77777777" w:rsidTr="0047261E">
        <w:trPr>
          <w:trHeight w:val="461"/>
        </w:trPr>
        <w:tc>
          <w:tcPr>
            <w:tcW w:w="4373" w:type="dxa"/>
            <w:tcBorders>
              <w:top w:val="single" w:sz="4" w:space="0" w:color="auto"/>
              <w:left w:val="single" w:sz="4" w:space="0" w:color="auto"/>
              <w:bottom w:val="single" w:sz="4" w:space="0" w:color="auto"/>
              <w:right w:val="single" w:sz="4" w:space="0" w:color="auto"/>
            </w:tcBorders>
            <w:shd w:val="clear" w:color="auto" w:fill="FFFFFF"/>
            <w:vAlign w:val="center"/>
          </w:tcPr>
          <w:p w14:paraId="1E839B50"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в % к предыдущему месяцу, SA Продовольственные товары</w:t>
            </w:r>
          </w:p>
        </w:tc>
        <w:tc>
          <w:tcPr>
            <w:tcW w:w="720" w:type="dxa"/>
            <w:tcBorders>
              <w:top w:val="single" w:sz="4" w:space="0" w:color="auto"/>
              <w:left w:val="single" w:sz="4" w:space="0" w:color="auto"/>
              <w:bottom w:val="single" w:sz="4" w:space="0" w:color="auto"/>
              <w:right w:val="single" w:sz="4" w:space="0" w:color="auto"/>
            </w:tcBorders>
            <w:shd w:val="clear" w:color="auto" w:fill="FFFFFF"/>
            <w:vAlign w:val="center"/>
          </w:tcPr>
          <w:p w14:paraId="39E9FC3E"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0,8</w:t>
            </w:r>
          </w:p>
        </w:tc>
        <w:tc>
          <w:tcPr>
            <w:tcW w:w="739" w:type="dxa"/>
            <w:tcBorders>
              <w:top w:val="single" w:sz="4" w:space="0" w:color="auto"/>
              <w:left w:val="single" w:sz="4" w:space="0" w:color="auto"/>
              <w:bottom w:val="single" w:sz="4" w:space="0" w:color="auto"/>
              <w:right w:val="single" w:sz="4" w:space="0" w:color="auto"/>
            </w:tcBorders>
            <w:shd w:val="clear" w:color="auto" w:fill="FFFFFF"/>
            <w:vAlign w:val="center"/>
          </w:tcPr>
          <w:p w14:paraId="607EA87E"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0,6</w:t>
            </w:r>
          </w:p>
        </w:tc>
        <w:tc>
          <w:tcPr>
            <w:tcW w:w="706" w:type="dxa"/>
            <w:tcBorders>
              <w:top w:val="single" w:sz="4" w:space="0" w:color="auto"/>
              <w:left w:val="single" w:sz="4" w:space="0" w:color="auto"/>
              <w:bottom w:val="single" w:sz="4" w:space="0" w:color="auto"/>
              <w:right w:val="single" w:sz="4" w:space="0" w:color="auto"/>
            </w:tcBorders>
            <w:shd w:val="clear" w:color="auto" w:fill="FFFFFF"/>
            <w:vAlign w:val="center"/>
          </w:tcPr>
          <w:p w14:paraId="7612DF09"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0,4</w:t>
            </w:r>
          </w:p>
        </w:tc>
        <w:tc>
          <w:tcPr>
            <w:tcW w:w="706" w:type="dxa"/>
            <w:tcBorders>
              <w:top w:val="single" w:sz="4" w:space="0" w:color="auto"/>
              <w:left w:val="single" w:sz="4" w:space="0" w:color="auto"/>
              <w:bottom w:val="single" w:sz="4" w:space="0" w:color="auto"/>
              <w:right w:val="single" w:sz="4" w:space="0" w:color="auto"/>
            </w:tcBorders>
            <w:shd w:val="clear" w:color="auto" w:fill="FFFFFF"/>
            <w:vAlign w:val="center"/>
          </w:tcPr>
          <w:p w14:paraId="4D034060"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0,4</w:t>
            </w:r>
          </w:p>
        </w:tc>
        <w:tc>
          <w:tcPr>
            <w:tcW w:w="686" w:type="dxa"/>
            <w:tcBorders>
              <w:top w:val="single" w:sz="4" w:space="0" w:color="auto"/>
              <w:left w:val="single" w:sz="4" w:space="0" w:color="auto"/>
              <w:bottom w:val="single" w:sz="4" w:space="0" w:color="auto"/>
              <w:right w:val="single" w:sz="4" w:space="0" w:color="auto"/>
            </w:tcBorders>
            <w:shd w:val="clear" w:color="auto" w:fill="FFFFFF"/>
            <w:vAlign w:val="center"/>
          </w:tcPr>
          <w:p w14:paraId="10C97021"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w:t>
            </w:r>
          </w:p>
        </w:tc>
        <w:tc>
          <w:tcPr>
            <w:tcW w:w="696" w:type="dxa"/>
            <w:tcBorders>
              <w:top w:val="single" w:sz="4" w:space="0" w:color="auto"/>
              <w:left w:val="single" w:sz="4" w:space="0" w:color="auto"/>
              <w:bottom w:val="single" w:sz="4" w:space="0" w:color="auto"/>
              <w:right w:val="single" w:sz="4" w:space="0" w:color="auto"/>
            </w:tcBorders>
            <w:shd w:val="clear" w:color="auto" w:fill="FFFFFF"/>
            <w:vAlign w:val="center"/>
          </w:tcPr>
          <w:p w14:paraId="1ADF5FE2"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w:t>
            </w:r>
          </w:p>
        </w:tc>
        <w:tc>
          <w:tcPr>
            <w:tcW w:w="797" w:type="dxa"/>
            <w:tcBorders>
              <w:top w:val="single" w:sz="4" w:space="0" w:color="auto"/>
              <w:left w:val="single" w:sz="4" w:space="0" w:color="auto"/>
              <w:bottom w:val="single" w:sz="4" w:space="0" w:color="auto"/>
              <w:right w:val="single" w:sz="4" w:space="0" w:color="auto"/>
            </w:tcBorders>
            <w:shd w:val="clear" w:color="auto" w:fill="FFFFFF"/>
            <w:vAlign w:val="center"/>
          </w:tcPr>
          <w:p w14:paraId="066E15EE"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w:t>
            </w:r>
          </w:p>
        </w:tc>
      </w:tr>
      <w:tr w:rsidR="0047261E" w:rsidRPr="0047261E" w14:paraId="42CE79A6" w14:textId="77777777" w:rsidTr="0047261E">
        <w:trPr>
          <w:trHeight w:val="235"/>
        </w:trPr>
        <w:tc>
          <w:tcPr>
            <w:tcW w:w="4373" w:type="dxa"/>
            <w:tcBorders>
              <w:top w:val="single" w:sz="4" w:space="0" w:color="auto"/>
              <w:left w:val="single" w:sz="4" w:space="0" w:color="auto"/>
              <w:bottom w:val="single" w:sz="4" w:space="0" w:color="auto"/>
              <w:right w:val="single" w:sz="4" w:space="0" w:color="auto"/>
            </w:tcBorders>
            <w:shd w:val="clear" w:color="auto" w:fill="FFFFFF"/>
          </w:tcPr>
          <w:p w14:paraId="26D36B1C"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в % к соотв. периоду предыдущего года</w:t>
            </w:r>
          </w:p>
        </w:tc>
        <w:tc>
          <w:tcPr>
            <w:tcW w:w="720" w:type="dxa"/>
            <w:tcBorders>
              <w:top w:val="single" w:sz="4" w:space="0" w:color="auto"/>
              <w:left w:val="single" w:sz="4" w:space="0" w:color="auto"/>
              <w:bottom w:val="single" w:sz="4" w:space="0" w:color="auto"/>
              <w:right w:val="single" w:sz="4" w:space="0" w:color="auto"/>
            </w:tcBorders>
            <w:shd w:val="clear" w:color="auto" w:fill="FFFFFF"/>
            <w:vAlign w:val="center"/>
          </w:tcPr>
          <w:p w14:paraId="17C0E625"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5,5</w:t>
            </w:r>
          </w:p>
        </w:tc>
        <w:tc>
          <w:tcPr>
            <w:tcW w:w="739" w:type="dxa"/>
            <w:tcBorders>
              <w:top w:val="single" w:sz="4" w:space="0" w:color="auto"/>
              <w:left w:val="single" w:sz="4" w:space="0" w:color="auto"/>
              <w:bottom w:val="single" w:sz="4" w:space="0" w:color="auto"/>
              <w:right w:val="single" w:sz="4" w:space="0" w:color="auto"/>
            </w:tcBorders>
            <w:shd w:val="clear" w:color="auto" w:fill="FFFFFF"/>
            <w:vAlign w:val="center"/>
          </w:tcPr>
          <w:p w14:paraId="5E49CC2B"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4,7</w:t>
            </w:r>
          </w:p>
        </w:tc>
        <w:tc>
          <w:tcPr>
            <w:tcW w:w="706" w:type="dxa"/>
            <w:tcBorders>
              <w:top w:val="single" w:sz="4" w:space="0" w:color="auto"/>
              <w:left w:val="single" w:sz="4" w:space="0" w:color="auto"/>
              <w:bottom w:val="single" w:sz="4" w:space="0" w:color="auto"/>
              <w:right w:val="single" w:sz="4" w:space="0" w:color="auto"/>
            </w:tcBorders>
            <w:shd w:val="clear" w:color="auto" w:fill="FFFFFF"/>
            <w:vAlign w:val="center"/>
          </w:tcPr>
          <w:p w14:paraId="502A6656"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3,5</w:t>
            </w:r>
          </w:p>
        </w:tc>
        <w:tc>
          <w:tcPr>
            <w:tcW w:w="706" w:type="dxa"/>
            <w:tcBorders>
              <w:top w:val="single" w:sz="4" w:space="0" w:color="auto"/>
              <w:left w:val="single" w:sz="4" w:space="0" w:color="auto"/>
              <w:bottom w:val="single" w:sz="4" w:space="0" w:color="auto"/>
              <w:right w:val="single" w:sz="4" w:space="0" w:color="auto"/>
            </w:tcBorders>
            <w:shd w:val="clear" w:color="auto" w:fill="FFFFFF"/>
            <w:vAlign w:val="center"/>
          </w:tcPr>
          <w:p w14:paraId="05A4CD7C"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2,7</w:t>
            </w:r>
          </w:p>
        </w:tc>
        <w:tc>
          <w:tcPr>
            <w:tcW w:w="686" w:type="dxa"/>
            <w:tcBorders>
              <w:top w:val="single" w:sz="4" w:space="0" w:color="auto"/>
              <w:left w:val="single" w:sz="4" w:space="0" w:color="auto"/>
              <w:bottom w:val="single" w:sz="4" w:space="0" w:color="auto"/>
              <w:right w:val="single" w:sz="4" w:space="0" w:color="auto"/>
            </w:tcBorders>
            <w:shd w:val="clear" w:color="auto" w:fill="FFFFFF"/>
            <w:vAlign w:val="center"/>
          </w:tcPr>
          <w:p w14:paraId="1E6BB22A"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1, 1</w:t>
            </w:r>
          </w:p>
        </w:tc>
        <w:tc>
          <w:tcPr>
            <w:tcW w:w="696" w:type="dxa"/>
            <w:tcBorders>
              <w:top w:val="single" w:sz="4" w:space="0" w:color="auto"/>
              <w:left w:val="single" w:sz="4" w:space="0" w:color="auto"/>
              <w:bottom w:val="single" w:sz="4" w:space="0" w:color="auto"/>
              <w:right w:val="single" w:sz="4" w:space="0" w:color="auto"/>
            </w:tcBorders>
            <w:shd w:val="clear" w:color="auto" w:fill="FFFFFF"/>
            <w:vAlign w:val="center"/>
          </w:tcPr>
          <w:p w14:paraId="249EBDDE"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4,6</w:t>
            </w:r>
          </w:p>
        </w:tc>
        <w:tc>
          <w:tcPr>
            <w:tcW w:w="797" w:type="dxa"/>
            <w:tcBorders>
              <w:top w:val="single" w:sz="4" w:space="0" w:color="auto"/>
              <w:left w:val="single" w:sz="4" w:space="0" w:color="auto"/>
              <w:bottom w:val="single" w:sz="4" w:space="0" w:color="auto"/>
              <w:right w:val="single" w:sz="4" w:space="0" w:color="auto"/>
            </w:tcBorders>
            <w:shd w:val="clear" w:color="auto" w:fill="FFFFFF"/>
            <w:vAlign w:val="center"/>
          </w:tcPr>
          <w:p w14:paraId="78E6A17F"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14,0</w:t>
            </w:r>
          </w:p>
        </w:tc>
      </w:tr>
      <w:tr w:rsidR="0047261E" w:rsidRPr="0047261E" w14:paraId="47423001" w14:textId="77777777" w:rsidTr="0047261E">
        <w:trPr>
          <w:trHeight w:val="235"/>
        </w:trPr>
        <w:tc>
          <w:tcPr>
            <w:tcW w:w="4373" w:type="dxa"/>
            <w:tcBorders>
              <w:top w:val="single" w:sz="4" w:space="0" w:color="auto"/>
              <w:left w:val="single" w:sz="4" w:space="0" w:color="auto"/>
              <w:bottom w:val="single" w:sz="4" w:space="0" w:color="auto"/>
              <w:right w:val="single" w:sz="4" w:space="0" w:color="auto"/>
            </w:tcBorders>
            <w:shd w:val="clear" w:color="auto" w:fill="FFFFFF"/>
            <w:vAlign w:val="center"/>
          </w:tcPr>
          <w:p w14:paraId="061DC088"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в % к предыдущему месяцу</w:t>
            </w:r>
          </w:p>
        </w:tc>
        <w:tc>
          <w:tcPr>
            <w:tcW w:w="720" w:type="dxa"/>
            <w:tcBorders>
              <w:top w:val="single" w:sz="4" w:space="0" w:color="auto"/>
              <w:left w:val="single" w:sz="4" w:space="0" w:color="auto"/>
              <w:bottom w:val="single" w:sz="4" w:space="0" w:color="auto"/>
              <w:right w:val="single" w:sz="4" w:space="0" w:color="auto"/>
            </w:tcBorders>
            <w:shd w:val="clear" w:color="auto" w:fill="FFFFFF"/>
            <w:vAlign w:val="center"/>
          </w:tcPr>
          <w:p w14:paraId="3E6FD21C"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1,3</w:t>
            </w:r>
          </w:p>
        </w:tc>
        <w:tc>
          <w:tcPr>
            <w:tcW w:w="739" w:type="dxa"/>
            <w:tcBorders>
              <w:top w:val="single" w:sz="4" w:space="0" w:color="auto"/>
              <w:left w:val="single" w:sz="4" w:space="0" w:color="auto"/>
              <w:bottom w:val="single" w:sz="4" w:space="0" w:color="auto"/>
              <w:right w:val="single" w:sz="4" w:space="0" w:color="auto"/>
            </w:tcBorders>
            <w:shd w:val="clear" w:color="auto" w:fill="FFFFFF"/>
            <w:vAlign w:val="center"/>
          </w:tcPr>
          <w:p w14:paraId="62DC588F"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1,7</w:t>
            </w:r>
          </w:p>
        </w:tc>
        <w:tc>
          <w:tcPr>
            <w:tcW w:w="706" w:type="dxa"/>
            <w:tcBorders>
              <w:top w:val="single" w:sz="4" w:space="0" w:color="auto"/>
              <w:left w:val="single" w:sz="4" w:space="0" w:color="auto"/>
              <w:bottom w:val="single" w:sz="4" w:space="0" w:color="auto"/>
              <w:right w:val="single" w:sz="4" w:space="0" w:color="auto"/>
            </w:tcBorders>
            <w:shd w:val="clear" w:color="auto" w:fill="FFFFFF"/>
            <w:vAlign w:val="center"/>
          </w:tcPr>
          <w:p w14:paraId="3A3E3E5E"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1,0</w:t>
            </w:r>
          </w:p>
        </w:tc>
        <w:tc>
          <w:tcPr>
            <w:tcW w:w="706" w:type="dxa"/>
            <w:tcBorders>
              <w:top w:val="single" w:sz="4" w:space="0" w:color="auto"/>
              <w:left w:val="single" w:sz="4" w:space="0" w:color="auto"/>
              <w:bottom w:val="single" w:sz="4" w:space="0" w:color="auto"/>
              <w:right w:val="single" w:sz="4" w:space="0" w:color="auto"/>
            </w:tcBorders>
            <w:shd w:val="clear" w:color="auto" w:fill="FFFFFF"/>
            <w:vAlign w:val="center"/>
          </w:tcPr>
          <w:p w14:paraId="00EB5C84"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0,6</w:t>
            </w:r>
          </w:p>
        </w:tc>
        <w:tc>
          <w:tcPr>
            <w:tcW w:w="686" w:type="dxa"/>
            <w:tcBorders>
              <w:top w:val="single" w:sz="4" w:space="0" w:color="auto"/>
              <w:left w:val="single" w:sz="4" w:space="0" w:color="auto"/>
              <w:bottom w:val="single" w:sz="4" w:space="0" w:color="auto"/>
              <w:right w:val="single" w:sz="4" w:space="0" w:color="auto"/>
            </w:tcBorders>
            <w:shd w:val="clear" w:color="auto" w:fill="FFFFFF"/>
            <w:vAlign w:val="center"/>
          </w:tcPr>
          <w:p w14:paraId="6048E88D"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w:t>
            </w:r>
          </w:p>
        </w:tc>
        <w:tc>
          <w:tcPr>
            <w:tcW w:w="696" w:type="dxa"/>
            <w:tcBorders>
              <w:top w:val="single" w:sz="4" w:space="0" w:color="auto"/>
              <w:left w:val="single" w:sz="4" w:space="0" w:color="auto"/>
              <w:bottom w:val="single" w:sz="4" w:space="0" w:color="auto"/>
              <w:right w:val="single" w:sz="4" w:space="0" w:color="auto"/>
            </w:tcBorders>
            <w:shd w:val="clear" w:color="auto" w:fill="FFFFFF"/>
            <w:vAlign w:val="center"/>
          </w:tcPr>
          <w:p w14:paraId="680E56B1"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w:t>
            </w:r>
          </w:p>
        </w:tc>
        <w:tc>
          <w:tcPr>
            <w:tcW w:w="797" w:type="dxa"/>
            <w:tcBorders>
              <w:top w:val="single" w:sz="4" w:space="0" w:color="auto"/>
              <w:left w:val="single" w:sz="4" w:space="0" w:color="auto"/>
              <w:bottom w:val="single" w:sz="4" w:space="0" w:color="auto"/>
              <w:right w:val="single" w:sz="4" w:space="0" w:color="auto"/>
            </w:tcBorders>
            <w:shd w:val="clear" w:color="auto" w:fill="FFFFFF"/>
            <w:vAlign w:val="center"/>
          </w:tcPr>
          <w:p w14:paraId="0920B812"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w:t>
            </w:r>
          </w:p>
        </w:tc>
      </w:tr>
      <w:tr w:rsidR="0047261E" w:rsidRPr="0047261E" w14:paraId="764CE2B5" w14:textId="77777777" w:rsidTr="0047261E">
        <w:trPr>
          <w:trHeight w:val="461"/>
        </w:trPr>
        <w:tc>
          <w:tcPr>
            <w:tcW w:w="4373" w:type="dxa"/>
            <w:tcBorders>
              <w:top w:val="single" w:sz="4" w:space="0" w:color="auto"/>
              <w:left w:val="single" w:sz="4" w:space="0" w:color="auto"/>
              <w:bottom w:val="single" w:sz="4" w:space="0" w:color="auto"/>
              <w:right w:val="single" w:sz="4" w:space="0" w:color="auto"/>
            </w:tcBorders>
            <w:shd w:val="clear" w:color="auto" w:fill="FFFFFF"/>
            <w:vAlign w:val="center"/>
          </w:tcPr>
          <w:p w14:paraId="5138694F"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в % к предыдущему месяцу, SA Непродовольственные товары</w:t>
            </w:r>
          </w:p>
        </w:tc>
        <w:tc>
          <w:tcPr>
            <w:tcW w:w="720" w:type="dxa"/>
            <w:tcBorders>
              <w:top w:val="single" w:sz="4" w:space="0" w:color="auto"/>
              <w:left w:val="single" w:sz="4" w:space="0" w:color="auto"/>
              <w:bottom w:val="single" w:sz="4" w:space="0" w:color="auto"/>
              <w:right w:val="single" w:sz="4" w:space="0" w:color="auto"/>
            </w:tcBorders>
            <w:shd w:val="clear" w:color="auto" w:fill="FFFFFF"/>
            <w:vAlign w:val="center"/>
          </w:tcPr>
          <w:p w14:paraId="7C2CD875"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0,6</w:t>
            </w:r>
          </w:p>
        </w:tc>
        <w:tc>
          <w:tcPr>
            <w:tcW w:w="739" w:type="dxa"/>
            <w:tcBorders>
              <w:top w:val="single" w:sz="4" w:space="0" w:color="auto"/>
              <w:left w:val="single" w:sz="4" w:space="0" w:color="auto"/>
              <w:bottom w:val="single" w:sz="4" w:space="0" w:color="auto"/>
              <w:right w:val="single" w:sz="4" w:space="0" w:color="auto"/>
            </w:tcBorders>
            <w:shd w:val="clear" w:color="auto" w:fill="FFFFFF"/>
            <w:vAlign w:val="center"/>
          </w:tcPr>
          <w:p w14:paraId="5F78FBC2"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1,0</w:t>
            </w:r>
          </w:p>
        </w:tc>
        <w:tc>
          <w:tcPr>
            <w:tcW w:w="706" w:type="dxa"/>
            <w:tcBorders>
              <w:top w:val="single" w:sz="4" w:space="0" w:color="auto"/>
              <w:left w:val="single" w:sz="4" w:space="0" w:color="auto"/>
              <w:bottom w:val="single" w:sz="4" w:space="0" w:color="auto"/>
              <w:right w:val="single" w:sz="4" w:space="0" w:color="auto"/>
            </w:tcBorders>
            <w:shd w:val="clear" w:color="auto" w:fill="FFFFFF"/>
            <w:vAlign w:val="center"/>
          </w:tcPr>
          <w:p w14:paraId="3F5F3A09"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0,6</w:t>
            </w:r>
          </w:p>
        </w:tc>
        <w:tc>
          <w:tcPr>
            <w:tcW w:w="706" w:type="dxa"/>
            <w:tcBorders>
              <w:top w:val="single" w:sz="4" w:space="0" w:color="auto"/>
              <w:left w:val="single" w:sz="4" w:space="0" w:color="auto"/>
              <w:bottom w:val="single" w:sz="4" w:space="0" w:color="auto"/>
              <w:right w:val="single" w:sz="4" w:space="0" w:color="auto"/>
            </w:tcBorders>
            <w:shd w:val="clear" w:color="auto" w:fill="FFFFFF"/>
            <w:vAlign w:val="center"/>
          </w:tcPr>
          <w:p w14:paraId="43424F13"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0,4</w:t>
            </w:r>
          </w:p>
        </w:tc>
        <w:tc>
          <w:tcPr>
            <w:tcW w:w="686" w:type="dxa"/>
            <w:tcBorders>
              <w:top w:val="single" w:sz="4" w:space="0" w:color="auto"/>
              <w:left w:val="single" w:sz="4" w:space="0" w:color="auto"/>
              <w:bottom w:val="single" w:sz="4" w:space="0" w:color="auto"/>
              <w:right w:val="single" w:sz="4" w:space="0" w:color="auto"/>
            </w:tcBorders>
            <w:shd w:val="clear" w:color="auto" w:fill="FFFFFF"/>
            <w:vAlign w:val="center"/>
          </w:tcPr>
          <w:p w14:paraId="61E063A4"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w:t>
            </w:r>
          </w:p>
        </w:tc>
        <w:tc>
          <w:tcPr>
            <w:tcW w:w="696" w:type="dxa"/>
            <w:tcBorders>
              <w:top w:val="single" w:sz="4" w:space="0" w:color="auto"/>
              <w:left w:val="single" w:sz="4" w:space="0" w:color="auto"/>
              <w:bottom w:val="single" w:sz="4" w:space="0" w:color="auto"/>
              <w:right w:val="single" w:sz="4" w:space="0" w:color="auto"/>
            </w:tcBorders>
            <w:shd w:val="clear" w:color="auto" w:fill="FFFFFF"/>
            <w:vAlign w:val="center"/>
          </w:tcPr>
          <w:p w14:paraId="785B7F50"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w:t>
            </w:r>
          </w:p>
        </w:tc>
        <w:tc>
          <w:tcPr>
            <w:tcW w:w="797" w:type="dxa"/>
            <w:tcBorders>
              <w:top w:val="single" w:sz="4" w:space="0" w:color="auto"/>
              <w:left w:val="single" w:sz="4" w:space="0" w:color="auto"/>
              <w:bottom w:val="single" w:sz="4" w:space="0" w:color="auto"/>
              <w:right w:val="single" w:sz="4" w:space="0" w:color="auto"/>
            </w:tcBorders>
            <w:shd w:val="clear" w:color="auto" w:fill="FFFFFF"/>
            <w:vAlign w:val="center"/>
          </w:tcPr>
          <w:p w14:paraId="6930201D"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w:t>
            </w:r>
          </w:p>
        </w:tc>
      </w:tr>
      <w:tr w:rsidR="0047261E" w:rsidRPr="0047261E" w14:paraId="44EAED58" w14:textId="77777777" w:rsidTr="0047261E">
        <w:trPr>
          <w:trHeight w:val="230"/>
        </w:trPr>
        <w:tc>
          <w:tcPr>
            <w:tcW w:w="4373" w:type="dxa"/>
            <w:tcBorders>
              <w:top w:val="single" w:sz="4" w:space="0" w:color="auto"/>
              <w:left w:val="single" w:sz="4" w:space="0" w:color="auto"/>
              <w:bottom w:val="single" w:sz="4" w:space="0" w:color="auto"/>
              <w:right w:val="single" w:sz="4" w:space="0" w:color="auto"/>
            </w:tcBorders>
            <w:shd w:val="clear" w:color="auto" w:fill="FFFFFF"/>
          </w:tcPr>
          <w:p w14:paraId="7EA2225A"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в % к соотв. периоду предыдущего года</w:t>
            </w:r>
          </w:p>
        </w:tc>
        <w:tc>
          <w:tcPr>
            <w:tcW w:w="720" w:type="dxa"/>
            <w:tcBorders>
              <w:top w:val="single" w:sz="4" w:space="0" w:color="auto"/>
              <w:left w:val="single" w:sz="4" w:space="0" w:color="auto"/>
              <w:bottom w:val="single" w:sz="4" w:space="0" w:color="auto"/>
              <w:right w:val="single" w:sz="4" w:space="0" w:color="auto"/>
            </w:tcBorders>
            <w:shd w:val="clear" w:color="auto" w:fill="FFFFFF"/>
            <w:vAlign w:val="center"/>
          </w:tcPr>
          <w:p w14:paraId="2D0CC66A"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4,5</w:t>
            </w:r>
          </w:p>
        </w:tc>
        <w:tc>
          <w:tcPr>
            <w:tcW w:w="739" w:type="dxa"/>
            <w:tcBorders>
              <w:top w:val="single" w:sz="4" w:space="0" w:color="auto"/>
              <w:left w:val="single" w:sz="4" w:space="0" w:color="auto"/>
              <w:bottom w:val="single" w:sz="4" w:space="0" w:color="auto"/>
              <w:right w:val="single" w:sz="4" w:space="0" w:color="auto"/>
            </w:tcBorders>
            <w:shd w:val="clear" w:color="auto" w:fill="FFFFFF"/>
            <w:vAlign w:val="center"/>
          </w:tcPr>
          <w:p w14:paraId="5E24A3C0"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4,1</w:t>
            </w:r>
          </w:p>
        </w:tc>
        <w:tc>
          <w:tcPr>
            <w:tcW w:w="706" w:type="dxa"/>
            <w:tcBorders>
              <w:top w:val="single" w:sz="4" w:space="0" w:color="auto"/>
              <w:left w:val="single" w:sz="4" w:space="0" w:color="auto"/>
              <w:bottom w:val="single" w:sz="4" w:space="0" w:color="auto"/>
              <w:right w:val="single" w:sz="4" w:space="0" w:color="auto"/>
            </w:tcBorders>
            <w:shd w:val="clear" w:color="auto" w:fill="FFFFFF"/>
            <w:vAlign w:val="center"/>
          </w:tcPr>
          <w:p w14:paraId="3EAAF563"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4,2</w:t>
            </w:r>
          </w:p>
        </w:tc>
        <w:tc>
          <w:tcPr>
            <w:tcW w:w="706" w:type="dxa"/>
            <w:tcBorders>
              <w:top w:val="single" w:sz="4" w:space="0" w:color="auto"/>
              <w:left w:val="single" w:sz="4" w:space="0" w:color="auto"/>
              <w:bottom w:val="single" w:sz="4" w:space="0" w:color="auto"/>
              <w:right w:val="single" w:sz="4" w:space="0" w:color="auto"/>
            </w:tcBorders>
            <w:shd w:val="clear" w:color="auto" w:fill="FFFFFF"/>
            <w:vAlign w:val="center"/>
          </w:tcPr>
          <w:p w14:paraId="3F949B60"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4,1</w:t>
            </w:r>
          </w:p>
        </w:tc>
        <w:tc>
          <w:tcPr>
            <w:tcW w:w="686" w:type="dxa"/>
            <w:tcBorders>
              <w:top w:val="single" w:sz="4" w:space="0" w:color="auto"/>
              <w:left w:val="single" w:sz="4" w:space="0" w:color="auto"/>
              <w:bottom w:val="single" w:sz="4" w:space="0" w:color="auto"/>
              <w:right w:val="single" w:sz="4" w:space="0" w:color="auto"/>
            </w:tcBorders>
            <w:shd w:val="clear" w:color="auto" w:fill="FFFFFF"/>
            <w:vAlign w:val="center"/>
          </w:tcPr>
          <w:p w14:paraId="4319857F"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2,8</w:t>
            </w:r>
          </w:p>
        </w:tc>
        <w:tc>
          <w:tcPr>
            <w:tcW w:w="696" w:type="dxa"/>
            <w:tcBorders>
              <w:top w:val="single" w:sz="4" w:space="0" w:color="auto"/>
              <w:left w:val="single" w:sz="4" w:space="0" w:color="auto"/>
              <w:bottom w:val="single" w:sz="4" w:space="0" w:color="auto"/>
              <w:right w:val="single" w:sz="4" w:space="0" w:color="auto"/>
            </w:tcBorders>
            <w:shd w:val="clear" w:color="auto" w:fill="FFFFFF"/>
            <w:vAlign w:val="center"/>
          </w:tcPr>
          <w:p w14:paraId="452327E3"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6,5</w:t>
            </w:r>
          </w:p>
        </w:tc>
        <w:tc>
          <w:tcPr>
            <w:tcW w:w="797" w:type="dxa"/>
            <w:tcBorders>
              <w:top w:val="single" w:sz="4" w:space="0" w:color="auto"/>
              <w:left w:val="single" w:sz="4" w:space="0" w:color="auto"/>
              <w:bottom w:val="single" w:sz="4" w:space="0" w:color="auto"/>
              <w:right w:val="single" w:sz="4" w:space="0" w:color="auto"/>
            </w:tcBorders>
            <w:shd w:val="clear" w:color="auto" w:fill="FFFFFF"/>
            <w:vAlign w:val="center"/>
          </w:tcPr>
          <w:p w14:paraId="70BE05A1"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13,7</w:t>
            </w:r>
          </w:p>
        </w:tc>
      </w:tr>
      <w:tr w:rsidR="0047261E" w:rsidRPr="0047261E" w14:paraId="6A84B110" w14:textId="77777777" w:rsidTr="0047261E">
        <w:trPr>
          <w:trHeight w:val="235"/>
        </w:trPr>
        <w:tc>
          <w:tcPr>
            <w:tcW w:w="4373" w:type="dxa"/>
            <w:tcBorders>
              <w:top w:val="single" w:sz="4" w:space="0" w:color="auto"/>
              <w:left w:val="single" w:sz="4" w:space="0" w:color="auto"/>
              <w:bottom w:val="single" w:sz="4" w:space="0" w:color="auto"/>
              <w:right w:val="single" w:sz="4" w:space="0" w:color="auto"/>
            </w:tcBorders>
            <w:shd w:val="clear" w:color="auto" w:fill="FFFFFF"/>
            <w:vAlign w:val="center"/>
          </w:tcPr>
          <w:p w14:paraId="03A02C8D"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в % к предыдущему месяцу</w:t>
            </w:r>
          </w:p>
        </w:tc>
        <w:tc>
          <w:tcPr>
            <w:tcW w:w="720" w:type="dxa"/>
            <w:tcBorders>
              <w:top w:val="single" w:sz="4" w:space="0" w:color="auto"/>
              <w:left w:val="single" w:sz="4" w:space="0" w:color="auto"/>
              <w:bottom w:val="single" w:sz="4" w:space="0" w:color="auto"/>
              <w:right w:val="single" w:sz="4" w:space="0" w:color="auto"/>
            </w:tcBorders>
            <w:shd w:val="clear" w:color="auto" w:fill="FFFFFF"/>
            <w:vAlign w:val="center"/>
          </w:tcPr>
          <w:p w14:paraId="32D9E00F"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0,6</w:t>
            </w:r>
          </w:p>
        </w:tc>
        <w:tc>
          <w:tcPr>
            <w:tcW w:w="739" w:type="dxa"/>
            <w:tcBorders>
              <w:top w:val="single" w:sz="4" w:space="0" w:color="auto"/>
              <w:left w:val="single" w:sz="4" w:space="0" w:color="auto"/>
              <w:bottom w:val="single" w:sz="4" w:space="0" w:color="auto"/>
              <w:right w:val="single" w:sz="4" w:space="0" w:color="auto"/>
            </w:tcBorders>
            <w:shd w:val="clear" w:color="auto" w:fill="FFFFFF"/>
            <w:vAlign w:val="center"/>
          </w:tcPr>
          <w:p w14:paraId="6B757A2F"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0,2</w:t>
            </w:r>
          </w:p>
        </w:tc>
        <w:tc>
          <w:tcPr>
            <w:tcW w:w="706" w:type="dxa"/>
            <w:tcBorders>
              <w:top w:val="single" w:sz="4" w:space="0" w:color="auto"/>
              <w:left w:val="single" w:sz="4" w:space="0" w:color="auto"/>
              <w:bottom w:val="single" w:sz="4" w:space="0" w:color="auto"/>
              <w:right w:val="single" w:sz="4" w:space="0" w:color="auto"/>
            </w:tcBorders>
            <w:shd w:val="clear" w:color="auto" w:fill="FFFFFF"/>
            <w:vAlign w:val="center"/>
          </w:tcPr>
          <w:p w14:paraId="14DD5C01"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0,4</w:t>
            </w:r>
          </w:p>
        </w:tc>
        <w:tc>
          <w:tcPr>
            <w:tcW w:w="706" w:type="dxa"/>
            <w:tcBorders>
              <w:top w:val="single" w:sz="4" w:space="0" w:color="auto"/>
              <w:left w:val="single" w:sz="4" w:space="0" w:color="auto"/>
              <w:bottom w:val="single" w:sz="4" w:space="0" w:color="auto"/>
              <w:right w:val="single" w:sz="4" w:space="0" w:color="auto"/>
            </w:tcBorders>
            <w:shd w:val="clear" w:color="auto" w:fill="FFFFFF"/>
            <w:vAlign w:val="center"/>
          </w:tcPr>
          <w:p w14:paraId="0B1F60D1"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0,5</w:t>
            </w:r>
          </w:p>
        </w:tc>
        <w:tc>
          <w:tcPr>
            <w:tcW w:w="686" w:type="dxa"/>
            <w:tcBorders>
              <w:top w:val="single" w:sz="4" w:space="0" w:color="auto"/>
              <w:left w:val="single" w:sz="4" w:space="0" w:color="auto"/>
              <w:bottom w:val="single" w:sz="4" w:space="0" w:color="auto"/>
              <w:right w:val="single" w:sz="4" w:space="0" w:color="auto"/>
            </w:tcBorders>
            <w:shd w:val="clear" w:color="auto" w:fill="FFFFFF"/>
            <w:vAlign w:val="center"/>
          </w:tcPr>
          <w:p w14:paraId="4DD1EC38"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w:t>
            </w:r>
          </w:p>
        </w:tc>
        <w:tc>
          <w:tcPr>
            <w:tcW w:w="696" w:type="dxa"/>
            <w:tcBorders>
              <w:top w:val="single" w:sz="4" w:space="0" w:color="auto"/>
              <w:left w:val="single" w:sz="4" w:space="0" w:color="auto"/>
              <w:bottom w:val="single" w:sz="4" w:space="0" w:color="auto"/>
              <w:right w:val="single" w:sz="4" w:space="0" w:color="auto"/>
            </w:tcBorders>
            <w:shd w:val="clear" w:color="auto" w:fill="FFFFFF"/>
            <w:vAlign w:val="center"/>
          </w:tcPr>
          <w:p w14:paraId="09600653"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w:t>
            </w:r>
          </w:p>
        </w:tc>
        <w:tc>
          <w:tcPr>
            <w:tcW w:w="797" w:type="dxa"/>
            <w:tcBorders>
              <w:top w:val="single" w:sz="4" w:space="0" w:color="auto"/>
              <w:left w:val="single" w:sz="4" w:space="0" w:color="auto"/>
              <w:bottom w:val="single" w:sz="4" w:space="0" w:color="auto"/>
              <w:right w:val="single" w:sz="4" w:space="0" w:color="auto"/>
            </w:tcBorders>
            <w:shd w:val="clear" w:color="auto" w:fill="FFFFFF"/>
            <w:vAlign w:val="center"/>
          </w:tcPr>
          <w:p w14:paraId="43DF59CC"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w:t>
            </w:r>
          </w:p>
        </w:tc>
      </w:tr>
      <w:tr w:rsidR="0047261E" w:rsidRPr="0047261E" w14:paraId="68413EB2" w14:textId="77777777" w:rsidTr="0047261E">
        <w:trPr>
          <w:trHeight w:val="466"/>
        </w:trPr>
        <w:tc>
          <w:tcPr>
            <w:tcW w:w="4373" w:type="dxa"/>
            <w:tcBorders>
              <w:top w:val="single" w:sz="4" w:space="0" w:color="auto"/>
              <w:left w:val="single" w:sz="4" w:space="0" w:color="auto"/>
              <w:bottom w:val="single" w:sz="4" w:space="0" w:color="auto"/>
              <w:right w:val="single" w:sz="4" w:space="0" w:color="auto"/>
            </w:tcBorders>
            <w:shd w:val="clear" w:color="auto" w:fill="FFFFFF"/>
            <w:vAlign w:val="center"/>
          </w:tcPr>
          <w:p w14:paraId="7F89975D"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в % к предыдущему месяцу, SA Услуги</w:t>
            </w:r>
          </w:p>
        </w:tc>
        <w:tc>
          <w:tcPr>
            <w:tcW w:w="720" w:type="dxa"/>
            <w:tcBorders>
              <w:top w:val="single" w:sz="4" w:space="0" w:color="auto"/>
              <w:left w:val="single" w:sz="4" w:space="0" w:color="auto"/>
              <w:bottom w:val="single" w:sz="4" w:space="0" w:color="auto"/>
              <w:right w:val="single" w:sz="4" w:space="0" w:color="auto"/>
            </w:tcBorders>
            <w:shd w:val="clear" w:color="auto" w:fill="FFFFFF"/>
            <w:vAlign w:val="center"/>
          </w:tcPr>
          <w:p w14:paraId="5C80C1D8"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0,6</w:t>
            </w:r>
          </w:p>
        </w:tc>
        <w:tc>
          <w:tcPr>
            <w:tcW w:w="739" w:type="dxa"/>
            <w:tcBorders>
              <w:top w:val="single" w:sz="4" w:space="0" w:color="auto"/>
              <w:left w:val="single" w:sz="4" w:space="0" w:color="auto"/>
              <w:bottom w:val="single" w:sz="4" w:space="0" w:color="auto"/>
              <w:right w:val="single" w:sz="4" w:space="0" w:color="auto"/>
            </w:tcBorders>
            <w:shd w:val="clear" w:color="auto" w:fill="FFFFFF"/>
            <w:vAlign w:val="center"/>
          </w:tcPr>
          <w:p w14:paraId="52996D6F"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0,3</w:t>
            </w:r>
          </w:p>
        </w:tc>
        <w:tc>
          <w:tcPr>
            <w:tcW w:w="706" w:type="dxa"/>
            <w:tcBorders>
              <w:top w:val="single" w:sz="4" w:space="0" w:color="auto"/>
              <w:left w:val="single" w:sz="4" w:space="0" w:color="auto"/>
              <w:bottom w:val="single" w:sz="4" w:space="0" w:color="auto"/>
              <w:right w:val="single" w:sz="4" w:space="0" w:color="auto"/>
            </w:tcBorders>
            <w:shd w:val="clear" w:color="auto" w:fill="FFFFFF"/>
            <w:vAlign w:val="center"/>
          </w:tcPr>
          <w:p w14:paraId="63081FBA"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0,3</w:t>
            </w:r>
          </w:p>
        </w:tc>
        <w:tc>
          <w:tcPr>
            <w:tcW w:w="706" w:type="dxa"/>
            <w:tcBorders>
              <w:top w:val="single" w:sz="4" w:space="0" w:color="auto"/>
              <w:left w:val="single" w:sz="4" w:space="0" w:color="auto"/>
              <w:bottom w:val="single" w:sz="4" w:space="0" w:color="auto"/>
              <w:right w:val="single" w:sz="4" w:space="0" w:color="auto"/>
            </w:tcBorders>
            <w:shd w:val="clear" w:color="auto" w:fill="FFFFFF"/>
            <w:vAlign w:val="center"/>
          </w:tcPr>
          <w:p w14:paraId="49B60BB2"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0,3</w:t>
            </w:r>
          </w:p>
        </w:tc>
        <w:tc>
          <w:tcPr>
            <w:tcW w:w="686" w:type="dxa"/>
            <w:tcBorders>
              <w:top w:val="single" w:sz="4" w:space="0" w:color="auto"/>
              <w:left w:val="single" w:sz="4" w:space="0" w:color="auto"/>
              <w:bottom w:val="single" w:sz="4" w:space="0" w:color="auto"/>
              <w:right w:val="single" w:sz="4" w:space="0" w:color="auto"/>
            </w:tcBorders>
            <w:shd w:val="clear" w:color="auto" w:fill="FFFFFF"/>
            <w:vAlign w:val="center"/>
          </w:tcPr>
          <w:p w14:paraId="67EB7F6F"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w:t>
            </w:r>
          </w:p>
        </w:tc>
        <w:tc>
          <w:tcPr>
            <w:tcW w:w="696" w:type="dxa"/>
            <w:tcBorders>
              <w:top w:val="single" w:sz="4" w:space="0" w:color="auto"/>
              <w:left w:val="single" w:sz="4" w:space="0" w:color="auto"/>
              <w:bottom w:val="single" w:sz="4" w:space="0" w:color="auto"/>
              <w:right w:val="single" w:sz="4" w:space="0" w:color="auto"/>
            </w:tcBorders>
            <w:shd w:val="clear" w:color="auto" w:fill="FFFFFF"/>
            <w:vAlign w:val="center"/>
          </w:tcPr>
          <w:p w14:paraId="5084A203"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w:t>
            </w:r>
          </w:p>
        </w:tc>
        <w:tc>
          <w:tcPr>
            <w:tcW w:w="797" w:type="dxa"/>
            <w:tcBorders>
              <w:top w:val="single" w:sz="4" w:space="0" w:color="auto"/>
              <w:left w:val="single" w:sz="4" w:space="0" w:color="auto"/>
              <w:bottom w:val="single" w:sz="4" w:space="0" w:color="auto"/>
              <w:right w:val="single" w:sz="4" w:space="0" w:color="auto"/>
            </w:tcBorders>
            <w:shd w:val="clear" w:color="auto" w:fill="FFFFFF"/>
            <w:vAlign w:val="center"/>
          </w:tcPr>
          <w:p w14:paraId="0B481B05"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w:t>
            </w:r>
          </w:p>
        </w:tc>
      </w:tr>
      <w:tr w:rsidR="0047261E" w:rsidRPr="0047261E" w14:paraId="609AEFFA" w14:textId="77777777" w:rsidTr="0047261E">
        <w:trPr>
          <w:trHeight w:val="235"/>
        </w:trPr>
        <w:tc>
          <w:tcPr>
            <w:tcW w:w="4373" w:type="dxa"/>
            <w:tcBorders>
              <w:top w:val="single" w:sz="4" w:space="0" w:color="auto"/>
              <w:left w:val="single" w:sz="4" w:space="0" w:color="auto"/>
              <w:bottom w:val="single" w:sz="4" w:space="0" w:color="auto"/>
              <w:right w:val="single" w:sz="4" w:space="0" w:color="auto"/>
            </w:tcBorders>
            <w:shd w:val="clear" w:color="auto" w:fill="FFFFFF"/>
          </w:tcPr>
          <w:p w14:paraId="2A0F0F21"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в % к соотв. периоду предыдущего года</w:t>
            </w:r>
          </w:p>
        </w:tc>
        <w:tc>
          <w:tcPr>
            <w:tcW w:w="720" w:type="dxa"/>
            <w:tcBorders>
              <w:top w:val="single" w:sz="4" w:space="0" w:color="auto"/>
              <w:left w:val="single" w:sz="4" w:space="0" w:color="auto"/>
              <w:bottom w:val="single" w:sz="4" w:space="0" w:color="auto"/>
              <w:right w:val="single" w:sz="4" w:space="0" w:color="auto"/>
            </w:tcBorders>
            <w:shd w:val="clear" w:color="auto" w:fill="FFFFFF"/>
            <w:vAlign w:val="center"/>
          </w:tcPr>
          <w:p w14:paraId="1EC41E03"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5,0</w:t>
            </w:r>
          </w:p>
        </w:tc>
        <w:tc>
          <w:tcPr>
            <w:tcW w:w="739" w:type="dxa"/>
            <w:tcBorders>
              <w:top w:val="single" w:sz="4" w:space="0" w:color="auto"/>
              <w:left w:val="single" w:sz="4" w:space="0" w:color="auto"/>
              <w:bottom w:val="single" w:sz="4" w:space="0" w:color="auto"/>
              <w:right w:val="single" w:sz="4" w:space="0" w:color="auto"/>
            </w:tcBorders>
            <w:shd w:val="clear" w:color="auto" w:fill="FFFFFF"/>
            <w:vAlign w:val="center"/>
          </w:tcPr>
          <w:p w14:paraId="64C01555"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3,9</w:t>
            </w:r>
          </w:p>
        </w:tc>
        <w:tc>
          <w:tcPr>
            <w:tcW w:w="706" w:type="dxa"/>
            <w:tcBorders>
              <w:top w:val="single" w:sz="4" w:space="0" w:color="auto"/>
              <w:left w:val="single" w:sz="4" w:space="0" w:color="auto"/>
              <w:bottom w:val="single" w:sz="4" w:space="0" w:color="auto"/>
              <w:right w:val="single" w:sz="4" w:space="0" w:color="auto"/>
            </w:tcBorders>
            <w:shd w:val="clear" w:color="auto" w:fill="FFFFFF"/>
            <w:vAlign w:val="center"/>
          </w:tcPr>
          <w:p w14:paraId="37FF3938"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3,8</w:t>
            </w:r>
          </w:p>
        </w:tc>
        <w:tc>
          <w:tcPr>
            <w:tcW w:w="706" w:type="dxa"/>
            <w:tcBorders>
              <w:top w:val="single" w:sz="4" w:space="0" w:color="auto"/>
              <w:left w:val="single" w:sz="4" w:space="0" w:color="auto"/>
              <w:bottom w:val="single" w:sz="4" w:space="0" w:color="auto"/>
              <w:right w:val="single" w:sz="4" w:space="0" w:color="auto"/>
            </w:tcBorders>
            <w:shd w:val="clear" w:color="auto" w:fill="FFFFFF"/>
            <w:vAlign w:val="center"/>
          </w:tcPr>
          <w:p w14:paraId="5542DCEE"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4,0</w:t>
            </w:r>
          </w:p>
        </w:tc>
        <w:tc>
          <w:tcPr>
            <w:tcW w:w="686" w:type="dxa"/>
            <w:tcBorders>
              <w:top w:val="single" w:sz="4" w:space="0" w:color="auto"/>
              <w:left w:val="single" w:sz="4" w:space="0" w:color="auto"/>
              <w:bottom w:val="single" w:sz="4" w:space="0" w:color="auto"/>
              <w:right w:val="single" w:sz="4" w:space="0" w:color="auto"/>
            </w:tcBorders>
            <w:shd w:val="clear" w:color="auto" w:fill="FFFFFF"/>
            <w:vAlign w:val="center"/>
          </w:tcPr>
          <w:p w14:paraId="01226A29"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4,4</w:t>
            </w:r>
          </w:p>
        </w:tc>
        <w:tc>
          <w:tcPr>
            <w:tcW w:w="696" w:type="dxa"/>
            <w:tcBorders>
              <w:top w:val="single" w:sz="4" w:space="0" w:color="auto"/>
              <w:left w:val="single" w:sz="4" w:space="0" w:color="auto"/>
              <w:bottom w:val="single" w:sz="4" w:space="0" w:color="auto"/>
              <w:right w:val="single" w:sz="4" w:space="0" w:color="auto"/>
            </w:tcBorders>
            <w:shd w:val="clear" w:color="auto" w:fill="FFFFFF"/>
            <w:vAlign w:val="center"/>
          </w:tcPr>
          <w:p w14:paraId="204F5640"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4,9</w:t>
            </w:r>
          </w:p>
        </w:tc>
        <w:tc>
          <w:tcPr>
            <w:tcW w:w="797" w:type="dxa"/>
            <w:tcBorders>
              <w:top w:val="single" w:sz="4" w:space="0" w:color="auto"/>
              <w:left w:val="single" w:sz="4" w:space="0" w:color="auto"/>
              <w:bottom w:val="single" w:sz="4" w:space="0" w:color="auto"/>
              <w:right w:val="single" w:sz="4" w:space="0" w:color="auto"/>
            </w:tcBorders>
            <w:shd w:val="clear" w:color="auto" w:fill="FFFFFF"/>
            <w:vAlign w:val="center"/>
          </w:tcPr>
          <w:p w14:paraId="1EACA74D"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10,2</w:t>
            </w:r>
          </w:p>
        </w:tc>
      </w:tr>
      <w:tr w:rsidR="0047261E" w:rsidRPr="0047261E" w14:paraId="57D58CD9" w14:textId="77777777" w:rsidTr="0047261E">
        <w:trPr>
          <w:trHeight w:val="230"/>
        </w:trPr>
        <w:tc>
          <w:tcPr>
            <w:tcW w:w="4373" w:type="dxa"/>
            <w:tcBorders>
              <w:top w:val="single" w:sz="4" w:space="0" w:color="auto"/>
              <w:left w:val="single" w:sz="4" w:space="0" w:color="auto"/>
              <w:bottom w:val="single" w:sz="4" w:space="0" w:color="auto"/>
              <w:right w:val="single" w:sz="4" w:space="0" w:color="auto"/>
            </w:tcBorders>
            <w:shd w:val="clear" w:color="auto" w:fill="FFFFFF"/>
            <w:vAlign w:val="center"/>
          </w:tcPr>
          <w:p w14:paraId="32F53874"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в % к предыдущему месяцу</w:t>
            </w:r>
          </w:p>
        </w:tc>
        <w:tc>
          <w:tcPr>
            <w:tcW w:w="720" w:type="dxa"/>
            <w:tcBorders>
              <w:top w:val="single" w:sz="4" w:space="0" w:color="auto"/>
              <w:left w:val="single" w:sz="4" w:space="0" w:color="auto"/>
              <w:bottom w:val="single" w:sz="4" w:space="0" w:color="auto"/>
              <w:right w:val="single" w:sz="4" w:space="0" w:color="auto"/>
            </w:tcBorders>
            <w:shd w:val="clear" w:color="auto" w:fill="FFFFFF"/>
            <w:vAlign w:val="center"/>
          </w:tcPr>
          <w:p w14:paraId="04838838"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1,1</w:t>
            </w:r>
          </w:p>
        </w:tc>
        <w:tc>
          <w:tcPr>
            <w:tcW w:w="739" w:type="dxa"/>
            <w:tcBorders>
              <w:top w:val="single" w:sz="4" w:space="0" w:color="auto"/>
              <w:left w:val="single" w:sz="4" w:space="0" w:color="auto"/>
              <w:bottom w:val="single" w:sz="4" w:space="0" w:color="auto"/>
              <w:right w:val="single" w:sz="4" w:space="0" w:color="auto"/>
            </w:tcBorders>
            <w:shd w:val="clear" w:color="auto" w:fill="FFFFFF"/>
            <w:vAlign w:val="center"/>
          </w:tcPr>
          <w:p w14:paraId="450D8A29"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0,4</w:t>
            </w:r>
          </w:p>
        </w:tc>
        <w:tc>
          <w:tcPr>
            <w:tcW w:w="706" w:type="dxa"/>
            <w:tcBorders>
              <w:top w:val="single" w:sz="4" w:space="0" w:color="auto"/>
              <w:left w:val="single" w:sz="4" w:space="0" w:color="auto"/>
              <w:bottom w:val="single" w:sz="4" w:space="0" w:color="auto"/>
              <w:right w:val="single" w:sz="4" w:space="0" w:color="auto"/>
            </w:tcBorders>
            <w:shd w:val="clear" w:color="auto" w:fill="FFFFFF"/>
            <w:vAlign w:val="center"/>
          </w:tcPr>
          <w:p w14:paraId="337A1B1D"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0,0</w:t>
            </w:r>
          </w:p>
        </w:tc>
        <w:tc>
          <w:tcPr>
            <w:tcW w:w="706" w:type="dxa"/>
            <w:tcBorders>
              <w:top w:val="single" w:sz="4" w:space="0" w:color="auto"/>
              <w:left w:val="single" w:sz="4" w:space="0" w:color="auto"/>
              <w:bottom w:val="single" w:sz="4" w:space="0" w:color="auto"/>
              <w:right w:val="single" w:sz="4" w:space="0" w:color="auto"/>
            </w:tcBorders>
            <w:shd w:val="clear" w:color="auto" w:fill="FFFFFF"/>
            <w:vAlign w:val="center"/>
          </w:tcPr>
          <w:p w14:paraId="6E6F07AA"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-0,1</w:t>
            </w:r>
          </w:p>
        </w:tc>
        <w:tc>
          <w:tcPr>
            <w:tcW w:w="686" w:type="dxa"/>
            <w:tcBorders>
              <w:top w:val="single" w:sz="4" w:space="0" w:color="auto"/>
              <w:left w:val="single" w:sz="4" w:space="0" w:color="auto"/>
              <w:bottom w:val="single" w:sz="4" w:space="0" w:color="auto"/>
              <w:right w:val="single" w:sz="4" w:space="0" w:color="auto"/>
            </w:tcBorders>
            <w:shd w:val="clear" w:color="auto" w:fill="FFFFFF"/>
            <w:vAlign w:val="center"/>
          </w:tcPr>
          <w:p w14:paraId="348606AF"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w:t>
            </w:r>
          </w:p>
        </w:tc>
        <w:tc>
          <w:tcPr>
            <w:tcW w:w="696" w:type="dxa"/>
            <w:tcBorders>
              <w:top w:val="single" w:sz="4" w:space="0" w:color="auto"/>
              <w:left w:val="single" w:sz="4" w:space="0" w:color="auto"/>
              <w:bottom w:val="single" w:sz="4" w:space="0" w:color="auto"/>
              <w:right w:val="single" w:sz="4" w:space="0" w:color="auto"/>
            </w:tcBorders>
            <w:shd w:val="clear" w:color="auto" w:fill="FFFFFF"/>
            <w:vAlign w:val="center"/>
          </w:tcPr>
          <w:p w14:paraId="14BB4038"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w:t>
            </w:r>
          </w:p>
        </w:tc>
        <w:tc>
          <w:tcPr>
            <w:tcW w:w="797" w:type="dxa"/>
            <w:tcBorders>
              <w:top w:val="single" w:sz="4" w:space="0" w:color="auto"/>
              <w:left w:val="single" w:sz="4" w:space="0" w:color="auto"/>
              <w:bottom w:val="single" w:sz="4" w:space="0" w:color="auto"/>
              <w:right w:val="single" w:sz="4" w:space="0" w:color="auto"/>
            </w:tcBorders>
            <w:shd w:val="clear" w:color="auto" w:fill="FFFFFF"/>
            <w:vAlign w:val="center"/>
          </w:tcPr>
          <w:p w14:paraId="6E9B533F"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w:t>
            </w:r>
          </w:p>
        </w:tc>
      </w:tr>
      <w:tr w:rsidR="0047261E" w:rsidRPr="0047261E" w14:paraId="32875665" w14:textId="77777777" w:rsidTr="0047261E">
        <w:trPr>
          <w:trHeight w:val="461"/>
        </w:trPr>
        <w:tc>
          <w:tcPr>
            <w:tcW w:w="4373" w:type="dxa"/>
            <w:tcBorders>
              <w:top w:val="single" w:sz="4" w:space="0" w:color="auto"/>
              <w:left w:val="single" w:sz="4" w:space="0" w:color="auto"/>
              <w:bottom w:val="single" w:sz="4" w:space="0" w:color="auto"/>
              <w:right w:val="single" w:sz="4" w:space="0" w:color="auto"/>
            </w:tcBorders>
            <w:shd w:val="clear" w:color="auto" w:fill="FFFFFF"/>
          </w:tcPr>
          <w:p w14:paraId="36894F81"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в % к предыдущему месяцу, SA Базовая инфляция (Росстат)</w:t>
            </w:r>
          </w:p>
        </w:tc>
        <w:tc>
          <w:tcPr>
            <w:tcW w:w="720" w:type="dxa"/>
            <w:tcBorders>
              <w:top w:val="single" w:sz="4" w:space="0" w:color="auto"/>
              <w:left w:val="single" w:sz="4" w:space="0" w:color="auto"/>
              <w:bottom w:val="single" w:sz="4" w:space="0" w:color="auto"/>
              <w:right w:val="single" w:sz="4" w:space="0" w:color="auto"/>
            </w:tcBorders>
            <w:shd w:val="clear" w:color="auto" w:fill="FFFFFF"/>
            <w:vAlign w:val="center"/>
          </w:tcPr>
          <w:p w14:paraId="4CBBC634"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1,3</w:t>
            </w:r>
          </w:p>
        </w:tc>
        <w:tc>
          <w:tcPr>
            <w:tcW w:w="739" w:type="dxa"/>
            <w:tcBorders>
              <w:top w:val="single" w:sz="4" w:space="0" w:color="auto"/>
              <w:left w:val="single" w:sz="4" w:space="0" w:color="auto"/>
              <w:bottom w:val="single" w:sz="4" w:space="0" w:color="auto"/>
              <w:right w:val="single" w:sz="4" w:space="0" w:color="auto"/>
            </w:tcBorders>
            <w:shd w:val="clear" w:color="auto" w:fill="FFFFFF"/>
            <w:vAlign w:val="center"/>
          </w:tcPr>
          <w:p w14:paraId="5AAF9786"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0,3</w:t>
            </w:r>
          </w:p>
        </w:tc>
        <w:tc>
          <w:tcPr>
            <w:tcW w:w="706" w:type="dxa"/>
            <w:tcBorders>
              <w:top w:val="single" w:sz="4" w:space="0" w:color="auto"/>
              <w:left w:val="single" w:sz="4" w:space="0" w:color="auto"/>
              <w:bottom w:val="single" w:sz="4" w:space="0" w:color="auto"/>
              <w:right w:val="single" w:sz="4" w:space="0" w:color="auto"/>
            </w:tcBorders>
            <w:shd w:val="clear" w:color="auto" w:fill="FFFFFF"/>
            <w:vAlign w:val="center"/>
          </w:tcPr>
          <w:p w14:paraId="1D54D955"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0,3</w:t>
            </w:r>
          </w:p>
        </w:tc>
        <w:tc>
          <w:tcPr>
            <w:tcW w:w="706" w:type="dxa"/>
            <w:tcBorders>
              <w:top w:val="single" w:sz="4" w:space="0" w:color="auto"/>
              <w:left w:val="single" w:sz="4" w:space="0" w:color="auto"/>
              <w:bottom w:val="single" w:sz="4" w:space="0" w:color="auto"/>
              <w:right w:val="single" w:sz="4" w:space="0" w:color="auto"/>
            </w:tcBorders>
            <w:shd w:val="clear" w:color="auto" w:fill="FFFFFF"/>
            <w:vAlign w:val="center"/>
          </w:tcPr>
          <w:p w14:paraId="5B2249B3"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0,3</w:t>
            </w:r>
          </w:p>
        </w:tc>
        <w:tc>
          <w:tcPr>
            <w:tcW w:w="686" w:type="dxa"/>
            <w:tcBorders>
              <w:top w:val="single" w:sz="4" w:space="0" w:color="auto"/>
              <w:left w:val="single" w:sz="4" w:space="0" w:color="auto"/>
              <w:bottom w:val="single" w:sz="4" w:space="0" w:color="auto"/>
              <w:right w:val="single" w:sz="4" w:space="0" w:color="auto"/>
            </w:tcBorders>
            <w:shd w:val="clear" w:color="auto" w:fill="FFFFFF"/>
            <w:vAlign w:val="center"/>
          </w:tcPr>
          <w:p w14:paraId="4D723E3B"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w:t>
            </w:r>
          </w:p>
        </w:tc>
        <w:tc>
          <w:tcPr>
            <w:tcW w:w="696" w:type="dxa"/>
            <w:tcBorders>
              <w:top w:val="single" w:sz="4" w:space="0" w:color="auto"/>
              <w:left w:val="single" w:sz="4" w:space="0" w:color="auto"/>
              <w:bottom w:val="single" w:sz="4" w:space="0" w:color="auto"/>
              <w:right w:val="single" w:sz="4" w:space="0" w:color="auto"/>
            </w:tcBorders>
            <w:shd w:val="clear" w:color="auto" w:fill="FFFFFF"/>
            <w:vAlign w:val="center"/>
          </w:tcPr>
          <w:p w14:paraId="32CA2DFC"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w:t>
            </w:r>
          </w:p>
        </w:tc>
        <w:tc>
          <w:tcPr>
            <w:tcW w:w="797" w:type="dxa"/>
            <w:tcBorders>
              <w:top w:val="single" w:sz="4" w:space="0" w:color="auto"/>
              <w:left w:val="single" w:sz="4" w:space="0" w:color="auto"/>
              <w:bottom w:val="single" w:sz="4" w:space="0" w:color="auto"/>
              <w:right w:val="single" w:sz="4" w:space="0" w:color="auto"/>
            </w:tcBorders>
            <w:shd w:val="clear" w:color="auto" w:fill="FFFFFF"/>
            <w:vAlign w:val="center"/>
          </w:tcPr>
          <w:p w14:paraId="1152DA24"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w:t>
            </w:r>
          </w:p>
        </w:tc>
      </w:tr>
      <w:tr w:rsidR="0047261E" w:rsidRPr="0047261E" w14:paraId="0CB43F21" w14:textId="77777777" w:rsidTr="0047261E">
        <w:trPr>
          <w:trHeight w:val="235"/>
        </w:trPr>
        <w:tc>
          <w:tcPr>
            <w:tcW w:w="4373" w:type="dxa"/>
            <w:tcBorders>
              <w:top w:val="single" w:sz="4" w:space="0" w:color="auto"/>
              <w:left w:val="single" w:sz="4" w:space="0" w:color="auto"/>
              <w:bottom w:val="single" w:sz="4" w:space="0" w:color="auto"/>
              <w:right w:val="single" w:sz="4" w:space="0" w:color="auto"/>
            </w:tcBorders>
            <w:shd w:val="clear" w:color="auto" w:fill="FFFFFF"/>
          </w:tcPr>
          <w:p w14:paraId="0D0A26D4"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в % к соотв. периоду предыдущего года</w:t>
            </w:r>
          </w:p>
        </w:tc>
        <w:tc>
          <w:tcPr>
            <w:tcW w:w="720" w:type="dxa"/>
            <w:tcBorders>
              <w:top w:val="single" w:sz="4" w:space="0" w:color="auto"/>
              <w:left w:val="single" w:sz="4" w:space="0" w:color="auto"/>
              <w:bottom w:val="single" w:sz="4" w:space="0" w:color="auto"/>
              <w:right w:val="single" w:sz="4" w:space="0" w:color="auto"/>
            </w:tcBorders>
            <w:shd w:val="clear" w:color="auto" w:fill="FFFFFF"/>
            <w:vAlign w:val="center"/>
          </w:tcPr>
          <w:p w14:paraId="59804717"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4,1</w:t>
            </w:r>
          </w:p>
        </w:tc>
        <w:tc>
          <w:tcPr>
            <w:tcW w:w="739" w:type="dxa"/>
            <w:tcBorders>
              <w:top w:val="single" w:sz="4" w:space="0" w:color="auto"/>
              <w:left w:val="single" w:sz="4" w:space="0" w:color="auto"/>
              <w:bottom w:val="single" w:sz="4" w:space="0" w:color="auto"/>
              <w:right w:val="single" w:sz="4" w:space="0" w:color="auto"/>
            </w:tcBorders>
            <w:shd w:val="clear" w:color="auto" w:fill="FFFFFF"/>
            <w:vAlign w:val="center"/>
          </w:tcPr>
          <w:p w14:paraId="2934206A"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3,7</w:t>
            </w:r>
          </w:p>
        </w:tc>
        <w:tc>
          <w:tcPr>
            <w:tcW w:w="706" w:type="dxa"/>
            <w:tcBorders>
              <w:top w:val="single" w:sz="4" w:space="0" w:color="auto"/>
              <w:left w:val="single" w:sz="4" w:space="0" w:color="auto"/>
              <w:bottom w:val="single" w:sz="4" w:space="0" w:color="auto"/>
              <w:right w:val="single" w:sz="4" w:space="0" w:color="auto"/>
            </w:tcBorders>
            <w:shd w:val="clear" w:color="auto" w:fill="FFFFFF"/>
            <w:vAlign w:val="center"/>
          </w:tcPr>
          <w:p w14:paraId="4FCC3AEE"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3,4</w:t>
            </w:r>
          </w:p>
        </w:tc>
        <w:tc>
          <w:tcPr>
            <w:tcW w:w="706" w:type="dxa"/>
            <w:tcBorders>
              <w:top w:val="single" w:sz="4" w:space="0" w:color="auto"/>
              <w:left w:val="single" w:sz="4" w:space="0" w:color="auto"/>
              <w:bottom w:val="single" w:sz="4" w:space="0" w:color="auto"/>
              <w:right w:val="single" w:sz="4" w:space="0" w:color="auto"/>
            </w:tcBorders>
            <w:shd w:val="clear" w:color="auto" w:fill="FFFFFF"/>
            <w:vAlign w:val="center"/>
          </w:tcPr>
          <w:p w14:paraId="68FD8DAE"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3,1</w:t>
            </w:r>
          </w:p>
        </w:tc>
        <w:tc>
          <w:tcPr>
            <w:tcW w:w="686" w:type="dxa"/>
            <w:tcBorders>
              <w:top w:val="single" w:sz="4" w:space="0" w:color="auto"/>
              <w:left w:val="single" w:sz="4" w:space="0" w:color="auto"/>
              <w:bottom w:val="single" w:sz="4" w:space="0" w:color="auto"/>
              <w:right w:val="single" w:sz="4" w:space="0" w:color="auto"/>
            </w:tcBorders>
            <w:shd w:val="clear" w:color="auto" w:fill="FFFFFF"/>
            <w:vAlign w:val="center"/>
          </w:tcPr>
          <w:p w14:paraId="62314884"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2,1</w:t>
            </w:r>
          </w:p>
        </w:tc>
        <w:tc>
          <w:tcPr>
            <w:tcW w:w="696" w:type="dxa"/>
            <w:tcBorders>
              <w:top w:val="single" w:sz="4" w:space="0" w:color="auto"/>
              <w:left w:val="single" w:sz="4" w:space="0" w:color="auto"/>
              <w:bottom w:val="single" w:sz="4" w:space="0" w:color="auto"/>
              <w:right w:val="single" w:sz="4" w:space="0" w:color="auto"/>
            </w:tcBorders>
            <w:shd w:val="clear" w:color="auto" w:fill="FFFFFF"/>
            <w:vAlign w:val="center"/>
          </w:tcPr>
          <w:p w14:paraId="17B7D6E8"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6,0</w:t>
            </w:r>
          </w:p>
        </w:tc>
        <w:tc>
          <w:tcPr>
            <w:tcW w:w="797" w:type="dxa"/>
            <w:tcBorders>
              <w:top w:val="single" w:sz="4" w:space="0" w:color="auto"/>
              <w:left w:val="single" w:sz="4" w:space="0" w:color="auto"/>
              <w:bottom w:val="single" w:sz="4" w:space="0" w:color="auto"/>
              <w:right w:val="single" w:sz="4" w:space="0" w:color="auto"/>
            </w:tcBorders>
            <w:shd w:val="clear" w:color="auto" w:fill="FFFFFF"/>
            <w:vAlign w:val="center"/>
          </w:tcPr>
          <w:p w14:paraId="02BC4BCA"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13,7</w:t>
            </w:r>
          </w:p>
        </w:tc>
      </w:tr>
      <w:tr w:rsidR="0047261E" w:rsidRPr="0047261E" w14:paraId="585EF6F5" w14:textId="77777777" w:rsidTr="0047261E">
        <w:trPr>
          <w:trHeight w:val="235"/>
        </w:trPr>
        <w:tc>
          <w:tcPr>
            <w:tcW w:w="4373" w:type="dxa"/>
            <w:tcBorders>
              <w:top w:val="single" w:sz="4" w:space="0" w:color="auto"/>
              <w:left w:val="single" w:sz="4" w:space="0" w:color="auto"/>
              <w:bottom w:val="single" w:sz="4" w:space="0" w:color="auto"/>
              <w:right w:val="single" w:sz="4" w:space="0" w:color="auto"/>
            </w:tcBorders>
            <w:shd w:val="clear" w:color="auto" w:fill="FFFFFF"/>
            <w:vAlign w:val="center"/>
          </w:tcPr>
          <w:p w14:paraId="79E6980C"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в % к предыдущему месяцу</w:t>
            </w:r>
          </w:p>
        </w:tc>
        <w:tc>
          <w:tcPr>
            <w:tcW w:w="720" w:type="dxa"/>
            <w:tcBorders>
              <w:top w:val="single" w:sz="4" w:space="0" w:color="auto"/>
              <w:left w:val="single" w:sz="4" w:space="0" w:color="auto"/>
              <w:bottom w:val="single" w:sz="4" w:space="0" w:color="auto"/>
              <w:right w:val="single" w:sz="4" w:space="0" w:color="auto"/>
            </w:tcBorders>
            <w:shd w:val="clear" w:color="auto" w:fill="FFFFFF"/>
            <w:vAlign w:val="center"/>
          </w:tcPr>
          <w:p w14:paraId="1E640B00"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0,6</w:t>
            </w:r>
          </w:p>
        </w:tc>
        <w:tc>
          <w:tcPr>
            <w:tcW w:w="739" w:type="dxa"/>
            <w:tcBorders>
              <w:top w:val="single" w:sz="4" w:space="0" w:color="auto"/>
              <w:left w:val="single" w:sz="4" w:space="0" w:color="auto"/>
              <w:bottom w:val="single" w:sz="4" w:space="0" w:color="auto"/>
              <w:right w:val="single" w:sz="4" w:space="0" w:color="auto"/>
            </w:tcBorders>
            <w:shd w:val="clear" w:color="auto" w:fill="FFFFFF"/>
            <w:vAlign w:val="center"/>
          </w:tcPr>
          <w:p w14:paraId="7F06B2EC"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0,5</w:t>
            </w:r>
          </w:p>
        </w:tc>
        <w:tc>
          <w:tcPr>
            <w:tcW w:w="706" w:type="dxa"/>
            <w:tcBorders>
              <w:top w:val="single" w:sz="4" w:space="0" w:color="auto"/>
              <w:left w:val="single" w:sz="4" w:space="0" w:color="auto"/>
              <w:bottom w:val="single" w:sz="4" w:space="0" w:color="auto"/>
              <w:right w:val="single" w:sz="4" w:space="0" w:color="auto"/>
            </w:tcBorders>
            <w:shd w:val="clear" w:color="auto" w:fill="FFFFFF"/>
            <w:vAlign w:val="center"/>
          </w:tcPr>
          <w:p w14:paraId="3F0B0337"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0,4</w:t>
            </w:r>
          </w:p>
        </w:tc>
        <w:tc>
          <w:tcPr>
            <w:tcW w:w="706" w:type="dxa"/>
            <w:tcBorders>
              <w:top w:val="single" w:sz="4" w:space="0" w:color="auto"/>
              <w:left w:val="single" w:sz="4" w:space="0" w:color="auto"/>
              <w:bottom w:val="single" w:sz="4" w:space="0" w:color="auto"/>
              <w:right w:val="single" w:sz="4" w:space="0" w:color="auto"/>
            </w:tcBorders>
            <w:shd w:val="clear" w:color="auto" w:fill="FFFFFF"/>
            <w:vAlign w:val="center"/>
          </w:tcPr>
          <w:p w14:paraId="24873C02"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0,4</w:t>
            </w:r>
          </w:p>
        </w:tc>
        <w:tc>
          <w:tcPr>
            <w:tcW w:w="686" w:type="dxa"/>
            <w:tcBorders>
              <w:top w:val="single" w:sz="4" w:space="0" w:color="auto"/>
              <w:left w:val="single" w:sz="4" w:space="0" w:color="auto"/>
              <w:bottom w:val="single" w:sz="4" w:space="0" w:color="auto"/>
              <w:right w:val="single" w:sz="4" w:space="0" w:color="auto"/>
            </w:tcBorders>
            <w:shd w:val="clear" w:color="auto" w:fill="FFFFFF"/>
            <w:vAlign w:val="center"/>
          </w:tcPr>
          <w:p w14:paraId="7315E932"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w:t>
            </w:r>
          </w:p>
        </w:tc>
        <w:tc>
          <w:tcPr>
            <w:tcW w:w="696" w:type="dxa"/>
            <w:tcBorders>
              <w:top w:val="single" w:sz="4" w:space="0" w:color="auto"/>
              <w:left w:val="single" w:sz="4" w:space="0" w:color="auto"/>
              <w:bottom w:val="single" w:sz="4" w:space="0" w:color="auto"/>
              <w:right w:val="single" w:sz="4" w:space="0" w:color="auto"/>
            </w:tcBorders>
            <w:shd w:val="clear" w:color="auto" w:fill="FFFFFF"/>
            <w:vAlign w:val="center"/>
          </w:tcPr>
          <w:p w14:paraId="2AA02684"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w:t>
            </w:r>
          </w:p>
        </w:tc>
        <w:tc>
          <w:tcPr>
            <w:tcW w:w="797" w:type="dxa"/>
            <w:tcBorders>
              <w:top w:val="single" w:sz="4" w:space="0" w:color="auto"/>
              <w:left w:val="single" w:sz="4" w:space="0" w:color="auto"/>
              <w:bottom w:val="single" w:sz="4" w:space="0" w:color="auto"/>
              <w:right w:val="single" w:sz="4" w:space="0" w:color="auto"/>
            </w:tcBorders>
            <w:shd w:val="clear" w:color="auto" w:fill="FFFFFF"/>
            <w:vAlign w:val="center"/>
          </w:tcPr>
          <w:p w14:paraId="5CF25976"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w:t>
            </w:r>
          </w:p>
        </w:tc>
      </w:tr>
      <w:tr w:rsidR="0047261E" w:rsidRPr="0047261E" w14:paraId="77F33A44" w14:textId="77777777" w:rsidTr="0047261E">
        <w:trPr>
          <w:trHeight w:val="240"/>
        </w:trPr>
        <w:tc>
          <w:tcPr>
            <w:tcW w:w="4373" w:type="dxa"/>
            <w:tcBorders>
              <w:top w:val="single" w:sz="4" w:space="0" w:color="auto"/>
              <w:left w:val="single" w:sz="4" w:space="0" w:color="auto"/>
              <w:bottom w:val="single" w:sz="4" w:space="0" w:color="auto"/>
              <w:right w:val="single" w:sz="4" w:space="0" w:color="auto"/>
            </w:tcBorders>
            <w:shd w:val="clear" w:color="auto" w:fill="FFFFFF"/>
            <w:vAlign w:val="center"/>
          </w:tcPr>
          <w:p w14:paraId="4E34EED8"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в % к предыдущему месяцу, SA</w:t>
            </w:r>
          </w:p>
        </w:tc>
        <w:tc>
          <w:tcPr>
            <w:tcW w:w="720" w:type="dxa"/>
            <w:tcBorders>
              <w:top w:val="single" w:sz="4" w:space="0" w:color="auto"/>
              <w:left w:val="single" w:sz="4" w:space="0" w:color="auto"/>
              <w:bottom w:val="single" w:sz="4" w:space="0" w:color="auto"/>
              <w:right w:val="single" w:sz="4" w:space="0" w:color="auto"/>
            </w:tcBorders>
            <w:shd w:val="clear" w:color="auto" w:fill="FFFFFF"/>
            <w:vAlign w:val="center"/>
          </w:tcPr>
          <w:p w14:paraId="5FBBA624"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0,4</w:t>
            </w:r>
          </w:p>
        </w:tc>
        <w:tc>
          <w:tcPr>
            <w:tcW w:w="739" w:type="dxa"/>
            <w:tcBorders>
              <w:top w:val="single" w:sz="4" w:space="0" w:color="auto"/>
              <w:left w:val="single" w:sz="4" w:space="0" w:color="auto"/>
              <w:bottom w:val="single" w:sz="4" w:space="0" w:color="auto"/>
              <w:right w:val="single" w:sz="4" w:space="0" w:color="auto"/>
            </w:tcBorders>
            <w:shd w:val="clear" w:color="auto" w:fill="FFFFFF"/>
            <w:vAlign w:val="center"/>
          </w:tcPr>
          <w:p w14:paraId="3CE18C78"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0,4</w:t>
            </w:r>
          </w:p>
        </w:tc>
        <w:tc>
          <w:tcPr>
            <w:tcW w:w="706" w:type="dxa"/>
            <w:tcBorders>
              <w:top w:val="single" w:sz="4" w:space="0" w:color="auto"/>
              <w:left w:val="single" w:sz="4" w:space="0" w:color="auto"/>
              <w:bottom w:val="single" w:sz="4" w:space="0" w:color="auto"/>
              <w:right w:val="single" w:sz="4" w:space="0" w:color="auto"/>
            </w:tcBorders>
            <w:shd w:val="clear" w:color="auto" w:fill="FFFFFF"/>
            <w:vAlign w:val="center"/>
          </w:tcPr>
          <w:p w14:paraId="33D6A5D2"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0,4</w:t>
            </w:r>
          </w:p>
        </w:tc>
        <w:tc>
          <w:tcPr>
            <w:tcW w:w="706" w:type="dxa"/>
            <w:tcBorders>
              <w:top w:val="single" w:sz="4" w:space="0" w:color="auto"/>
              <w:left w:val="single" w:sz="4" w:space="0" w:color="auto"/>
              <w:bottom w:val="single" w:sz="4" w:space="0" w:color="auto"/>
              <w:right w:val="single" w:sz="4" w:space="0" w:color="auto"/>
            </w:tcBorders>
            <w:shd w:val="clear" w:color="auto" w:fill="FFFFFF"/>
            <w:vAlign w:val="center"/>
          </w:tcPr>
          <w:p w14:paraId="4CA4350B"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0,4</w:t>
            </w:r>
          </w:p>
        </w:tc>
        <w:tc>
          <w:tcPr>
            <w:tcW w:w="686" w:type="dxa"/>
            <w:tcBorders>
              <w:top w:val="single" w:sz="4" w:space="0" w:color="auto"/>
              <w:left w:val="single" w:sz="4" w:space="0" w:color="auto"/>
              <w:bottom w:val="single" w:sz="4" w:space="0" w:color="auto"/>
              <w:right w:val="single" w:sz="4" w:space="0" w:color="auto"/>
            </w:tcBorders>
            <w:shd w:val="clear" w:color="auto" w:fill="FFFFFF"/>
            <w:vAlign w:val="center"/>
          </w:tcPr>
          <w:p w14:paraId="5293B2F9"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w:t>
            </w:r>
          </w:p>
        </w:tc>
        <w:tc>
          <w:tcPr>
            <w:tcW w:w="696" w:type="dxa"/>
            <w:tcBorders>
              <w:top w:val="single" w:sz="4" w:space="0" w:color="auto"/>
              <w:left w:val="single" w:sz="4" w:space="0" w:color="auto"/>
              <w:bottom w:val="single" w:sz="4" w:space="0" w:color="auto"/>
              <w:right w:val="single" w:sz="4" w:space="0" w:color="auto"/>
            </w:tcBorders>
            <w:shd w:val="clear" w:color="auto" w:fill="FFFFFF"/>
            <w:vAlign w:val="center"/>
          </w:tcPr>
          <w:p w14:paraId="0745DB58"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w:t>
            </w:r>
          </w:p>
        </w:tc>
        <w:tc>
          <w:tcPr>
            <w:tcW w:w="797" w:type="dxa"/>
            <w:tcBorders>
              <w:top w:val="single" w:sz="4" w:space="0" w:color="auto"/>
              <w:left w:val="single" w:sz="4" w:space="0" w:color="auto"/>
              <w:bottom w:val="single" w:sz="4" w:space="0" w:color="auto"/>
              <w:right w:val="single" w:sz="4" w:space="0" w:color="auto"/>
            </w:tcBorders>
            <w:shd w:val="clear" w:color="auto" w:fill="FFFFFF"/>
            <w:vAlign w:val="center"/>
          </w:tcPr>
          <w:p w14:paraId="1DFC6D21"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w:t>
            </w:r>
          </w:p>
        </w:tc>
      </w:tr>
      <w:tr w:rsidR="0047261E" w:rsidRPr="0047261E" w14:paraId="7267DBBE" w14:textId="77777777" w:rsidTr="0047261E">
        <w:trPr>
          <w:trHeight w:val="394"/>
        </w:trPr>
        <w:tc>
          <w:tcPr>
            <w:tcW w:w="4373" w:type="dxa"/>
            <w:tcBorders>
              <w:top w:val="single" w:sz="4" w:space="0" w:color="auto"/>
              <w:left w:val="single" w:sz="4" w:space="0" w:color="auto"/>
              <w:bottom w:val="single" w:sz="4" w:space="0" w:color="auto"/>
              <w:right w:val="single" w:sz="4" w:space="0" w:color="auto"/>
            </w:tcBorders>
            <w:shd w:val="clear" w:color="auto" w:fill="FFFFFF"/>
          </w:tcPr>
          <w:p w14:paraId="490F3425"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Инфляция, за искл. продовольствия, регулируемых цен и тарифов и подакцизной продукции</w:t>
            </w:r>
          </w:p>
        </w:tc>
        <w:tc>
          <w:tcPr>
            <w:tcW w:w="720" w:type="dxa"/>
            <w:tcBorders>
              <w:top w:val="single" w:sz="4" w:space="0" w:color="auto"/>
              <w:left w:val="single" w:sz="4" w:space="0" w:color="auto"/>
              <w:bottom w:val="single" w:sz="4" w:space="0" w:color="auto"/>
              <w:right w:val="single" w:sz="4" w:space="0" w:color="auto"/>
            </w:tcBorders>
            <w:shd w:val="clear" w:color="auto" w:fill="FFFFFF"/>
            <w:vAlign w:val="center"/>
          </w:tcPr>
          <w:p w14:paraId="67504994"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p>
        </w:tc>
        <w:tc>
          <w:tcPr>
            <w:tcW w:w="739" w:type="dxa"/>
            <w:tcBorders>
              <w:top w:val="single" w:sz="4" w:space="0" w:color="auto"/>
              <w:left w:val="single" w:sz="4" w:space="0" w:color="auto"/>
              <w:bottom w:val="single" w:sz="4" w:space="0" w:color="auto"/>
              <w:right w:val="single" w:sz="4" w:space="0" w:color="auto"/>
            </w:tcBorders>
            <w:shd w:val="clear" w:color="auto" w:fill="FFFFFF"/>
            <w:vAlign w:val="center"/>
          </w:tcPr>
          <w:p w14:paraId="0E23A050"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p>
        </w:tc>
        <w:tc>
          <w:tcPr>
            <w:tcW w:w="706" w:type="dxa"/>
            <w:tcBorders>
              <w:top w:val="single" w:sz="4" w:space="0" w:color="auto"/>
              <w:left w:val="single" w:sz="4" w:space="0" w:color="auto"/>
              <w:bottom w:val="single" w:sz="4" w:space="0" w:color="auto"/>
              <w:right w:val="single" w:sz="4" w:space="0" w:color="auto"/>
            </w:tcBorders>
            <w:shd w:val="clear" w:color="auto" w:fill="FFFFFF"/>
            <w:vAlign w:val="center"/>
          </w:tcPr>
          <w:p w14:paraId="07C9E5F9"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p>
        </w:tc>
        <w:tc>
          <w:tcPr>
            <w:tcW w:w="706" w:type="dxa"/>
            <w:tcBorders>
              <w:top w:val="single" w:sz="4" w:space="0" w:color="auto"/>
              <w:left w:val="single" w:sz="4" w:space="0" w:color="auto"/>
              <w:bottom w:val="single" w:sz="4" w:space="0" w:color="auto"/>
              <w:right w:val="single" w:sz="4" w:space="0" w:color="auto"/>
            </w:tcBorders>
            <w:shd w:val="clear" w:color="auto" w:fill="FFFFFF"/>
            <w:vAlign w:val="center"/>
          </w:tcPr>
          <w:p w14:paraId="67882AD1"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p>
        </w:tc>
        <w:tc>
          <w:tcPr>
            <w:tcW w:w="686" w:type="dxa"/>
            <w:tcBorders>
              <w:top w:val="single" w:sz="4" w:space="0" w:color="auto"/>
              <w:left w:val="single" w:sz="4" w:space="0" w:color="auto"/>
              <w:bottom w:val="single" w:sz="4" w:space="0" w:color="auto"/>
              <w:right w:val="single" w:sz="4" w:space="0" w:color="auto"/>
            </w:tcBorders>
            <w:shd w:val="clear" w:color="auto" w:fill="FFFFFF"/>
            <w:vAlign w:val="center"/>
          </w:tcPr>
          <w:p w14:paraId="6DDF77F4"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p>
        </w:tc>
        <w:tc>
          <w:tcPr>
            <w:tcW w:w="696" w:type="dxa"/>
            <w:tcBorders>
              <w:top w:val="single" w:sz="4" w:space="0" w:color="auto"/>
              <w:left w:val="single" w:sz="4" w:space="0" w:color="auto"/>
              <w:bottom w:val="single" w:sz="4" w:space="0" w:color="auto"/>
              <w:right w:val="single" w:sz="4" w:space="0" w:color="auto"/>
            </w:tcBorders>
            <w:shd w:val="clear" w:color="auto" w:fill="FFFFFF"/>
            <w:vAlign w:val="center"/>
          </w:tcPr>
          <w:p w14:paraId="3109B84A"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p>
        </w:tc>
        <w:tc>
          <w:tcPr>
            <w:tcW w:w="797" w:type="dxa"/>
            <w:tcBorders>
              <w:top w:val="single" w:sz="4" w:space="0" w:color="auto"/>
              <w:left w:val="single" w:sz="4" w:space="0" w:color="auto"/>
              <w:bottom w:val="single" w:sz="4" w:space="0" w:color="auto"/>
              <w:right w:val="single" w:sz="4" w:space="0" w:color="auto"/>
            </w:tcBorders>
            <w:shd w:val="clear" w:color="auto" w:fill="FFFFFF"/>
            <w:vAlign w:val="center"/>
          </w:tcPr>
          <w:p w14:paraId="5CEFB10B"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p>
        </w:tc>
      </w:tr>
      <w:tr w:rsidR="0047261E" w:rsidRPr="0047261E" w14:paraId="71A2A91A" w14:textId="77777777" w:rsidTr="0047261E">
        <w:trPr>
          <w:trHeight w:val="235"/>
        </w:trPr>
        <w:tc>
          <w:tcPr>
            <w:tcW w:w="4373" w:type="dxa"/>
            <w:tcBorders>
              <w:top w:val="single" w:sz="4" w:space="0" w:color="auto"/>
              <w:left w:val="single" w:sz="4" w:space="0" w:color="auto"/>
              <w:bottom w:val="single" w:sz="4" w:space="0" w:color="auto"/>
              <w:right w:val="single" w:sz="4" w:space="0" w:color="auto"/>
            </w:tcBorders>
            <w:shd w:val="clear" w:color="auto" w:fill="FFFFFF"/>
          </w:tcPr>
          <w:p w14:paraId="156605AE"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в % к соотв. периоду предыдущего года</w:t>
            </w:r>
          </w:p>
        </w:tc>
        <w:tc>
          <w:tcPr>
            <w:tcW w:w="720" w:type="dxa"/>
            <w:tcBorders>
              <w:top w:val="single" w:sz="4" w:space="0" w:color="auto"/>
              <w:left w:val="single" w:sz="4" w:space="0" w:color="auto"/>
              <w:bottom w:val="single" w:sz="4" w:space="0" w:color="auto"/>
              <w:right w:val="single" w:sz="4" w:space="0" w:color="auto"/>
            </w:tcBorders>
            <w:shd w:val="clear" w:color="auto" w:fill="FFFFFF"/>
            <w:vAlign w:val="center"/>
          </w:tcPr>
          <w:p w14:paraId="05F4AF38"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3,8</w:t>
            </w:r>
          </w:p>
        </w:tc>
        <w:tc>
          <w:tcPr>
            <w:tcW w:w="739" w:type="dxa"/>
            <w:tcBorders>
              <w:top w:val="single" w:sz="4" w:space="0" w:color="auto"/>
              <w:left w:val="single" w:sz="4" w:space="0" w:color="auto"/>
              <w:bottom w:val="single" w:sz="4" w:space="0" w:color="auto"/>
              <w:right w:val="single" w:sz="4" w:space="0" w:color="auto"/>
            </w:tcBorders>
            <w:shd w:val="clear" w:color="auto" w:fill="FFFFFF"/>
            <w:vAlign w:val="center"/>
          </w:tcPr>
          <w:p w14:paraId="16F2A401"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3,4</w:t>
            </w:r>
          </w:p>
        </w:tc>
        <w:tc>
          <w:tcPr>
            <w:tcW w:w="706" w:type="dxa"/>
            <w:tcBorders>
              <w:top w:val="single" w:sz="4" w:space="0" w:color="auto"/>
              <w:left w:val="single" w:sz="4" w:space="0" w:color="auto"/>
              <w:bottom w:val="single" w:sz="4" w:space="0" w:color="auto"/>
              <w:right w:val="single" w:sz="4" w:space="0" w:color="auto"/>
            </w:tcBorders>
            <w:shd w:val="clear" w:color="auto" w:fill="FFFFFF"/>
            <w:vAlign w:val="center"/>
          </w:tcPr>
          <w:p w14:paraId="758A77BA"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3,4</w:t>
            </w:r>
          </w:p>
        </w:tc>
        <w:tc>
          <w:tcPr>
            <w:tcW w:w="706" w:type="dxa"/>
            <w:tcBorders>
              <w:top w:val="single" w:sz="4" w:space="0" w:color="auto"/>
              <w:left w:val="single" w:sz="4" w:space="0" w:color="auto"/>
              <w:bottom w:val="single" w:sz="4" w:space="0" w:color="auto"/>
              <w:right w:val="single" w:sz="4" w:space="0" w:color="auto"/>
            </w:tcBorders>
            <w:shd w:val="clear" w:color="auto" w:fill="FFFFFF"/>
            <w:vAlign w:val="center"/>
          </w:tcPr>
          <w:p w14:paraId="5C2011B4"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3,4</w:t>
            </w:r>
          </w:p>
        </w:tc>
        <w:tc>
          <w:tcPr>
            <w:tcW w:w="686" w:type="dxa"/>
            <w:tcBorders>
              <w:top w:val="single" w:sz="4" w:space="0" w:color="auto"/>
              <w:left w:val="single" w:sz="4" w:space="0" w:color="auto"/>
              <w:bottom w:val="single" w:sz="4" w:space="0" w:color="auto"/>
              <w:right w:val="single" w:sz="4" w:space="0" w:color="auto"/>
            </w:tcBorders>
            <w:shd w:val="clear" w:color="auto" w:fill="FFFFFF"/>
            <w:vAlign w:val="center"/>
          </w:tcPr>
          <w:p w14:paraId="55541F66"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2,6</w:t>
            </w:r>
          </w:p>
        </w:tc>
        <w:tc>
          <w:tcPr>
            <w:tcW w:w="696" w:type="dxa"/>
            <w:tcBorders>
              <w:top w:val="single" w:sz="4" w:space="0" w:color="auto"/>
              <w:left w:val="single" w:sz="4" w:space="0" w:color="auto"/>
              <w:bottom w:val="single" w:sz="4" w:space="0" w:color="auto"/>
              <w:right w:val="single" w:sz="4" w:space="0" w:color="auto"/>
            </w:tcBorders>
            <w:shd w:val="clear" w:color="auto" w:fill="FFFFFF"/>
            <w:vAlign w:val="center"/>
          </w:tcPr>
          <w:p w14:paraId="1745734F"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5,8</w:t>
            </w:r>
          </w:p>
        </w:tc>
        <w:tc>
          <w:tcPr>
            <w:tcW w:w="797" w:type="dxa"/>
            <w:tcBorders>
              <w:top w:val="single" w:sz="4" w:space="0" w:color="auto"/>
              <w:left w:val="single" w:sz="4" w:space="0" w:color="auto"/>
              <w:bottom w:val="single" w:sz="4" w:space="0" w:color="auto"/>
              <w:right w:val="single" w:sz="4" w:space="0" w:color="auto"/>
            </w:tcBorders>
            <w:shd w:val="clear" w:color="auto" w:fill="FFFFFF"/>
            <w:vAlign w:val="center"/>
          </w:tcPr>
          <w:p w14:paraId="5E655CB6"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12,9</w:t>
            </w:r>
          </w:p>
        </w:tc>
      </w:tr>
      <w:tr w:rsidR="0047261E" w:rsidRPr="0047261E" w14:paraId="7DEA8529" w14:textId="77777777" w:rsidTr="0047261E">
        <w:trPr>
          <w:trHeight w:val="230"/>
        </w:trPr>
        <w:tc>
          <w:tcPr>
            <w:tcW w:w="4373" w:type="dxa"/>
            <w:tcBorders>
              <w:top w:val="single" w:sz="4" w:space="0" w:color="auto"/>
              <w:left w:val="single" w:sz="4" w:space="0" w:color="auto"/>
              <w:bottom w:val="single" w:sz="4" w:space="0" w:color="auto"/>
              <w:right w:val="single" w:sz="4" w:space="0" w:color="auto"/>
            </w:tcBorders>
            <w:shd w:val="clear" w:color="auto" w:fill="FFFFFF"/>
            <w:vAlign w:val="center"/>
          </w:tcPr>
          <w:p w14:paraId="083E355F"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в % к предыдущему месяцу</w:t>
            </w:r>
          </w:p>
        </w:tc>
        <w:tc>
          <w:tcPr>
            <w:tcW w:w="720" w:type="dxa"/>
            <w:tcBorders>
              <w:top w:val="single" w:sz="4" w:space="0" w:color="auto"/>
              <w:left w:val="single" w:sz="4" w:space="0" w:color="auto"/>
              <w:bottom w:val="single" w:sz="4" w:space="0" w:color="auto"/>
              <w:right w:val="single" w:sz="4" w:space="0" w:color="auto"/>
            </w:tcBorders>
            <w:shd w:val="clear" w:color="auto" w:fill="FFFFFF"/>
            <w:vAlign w:val="center"/>
          </w:tcPr>
          <w:p w14:paraId="559238C7"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0,6</w:t>
            </w:r>
          </w:p>
        </w:tc>
        <w:tc>
          <w:tcPr>
            <w:tcW w:w="739" w:type="dxa"/>
            <w:tcBorders>
              <w:top w:val="single" w:sz="4" w:space="0" w:color="auto"/>
              <w:left w:val="single" w:sz="4" w:space="0" w:color="auto"/>
              <w:bottom w:val="single" w:sz="4" w:space="0" w:color="auto"/>
              <w:right w:val="single" w:sz="4" w:space="0" w:color="auto"/>
            </w:tcBorders>
            <w:shd w:val="clear" w:color="auto" w:fill="FFFFFF"/>
            <w:vAlign w:val="center"/>
          </w:tcPr>
          <w:p w14:paraId="65991E21"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0,3</w:t>
            </w:r>
          </w:p>
        </w:tc>
        <w:tc>
          <w:tcPr>
            <w:tcW w:w="706" w:type="dxa"/>
            <w:tcBorders>
              <w:top w:val="single" w:sz="4" w:space="0" w:color="auto"/>
              <w:left w:val="single" w:sz="4" w:space="0" w:color="auto"/>
              <w:bottom w:val="single" w:sz="4" w:space="0" w:color="auto"/>
              <w:right w:val="single" w:sz="4" w:space="0" w:color="auto"/>
            </w:tcBorders>
            <w:shd w:val="clear" w:color="auto" w:fill="FFFFFF"/>
            <w:vAlign w:val="center"/>
          </w:tcPr>
          <w:p w14:paraId="3E25D126"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0,3</w:t>
            </w:r>
          </w:p>
        </w:tc>
        <w:tc>
          <w:tcPr>
            <w:tcW w:w="706" w:type="dxa"/>
            <w:tcBorders>
              <w:top w:val="single" w:sz="4" w:space="0" w:color="auto"/>
              <w:left w:val="single" w:sz="4" w:space="0" w:color="auto"/>
              <w:bottom w:val="single" w:sz="4" w:space="0" w:color="auto"/>
              <w:right w:val="single" w:sz="4" w:space="0" w:color="auto"/>
            </w:tcBorders>
            <w:shd w:val="clear" w:color="auto" w:fill="FFFFFF"/>
            <w:vAlign w:val="center"/>
          </w:tcPr>
          <w:p w14:paraId="4BD56DA1"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0,3</w:t>
            </w:r>
          </w:p>
        </w:tc>
        <w:tc>
          <w:tcPr>
            <w:tcW w:w="686" w:type="dxa"/>
            <w:tcBorders>
              <w:top w:val="single" w:sz="4" w:space="0" w:color="auto"/>
              <w:left w:val="single" w:sz="4" w:space="0" w:color="auto"/>
              <w:bottom w:val="single" w:sz="4" w:space="0" w:color="auto"/>
              <w:right w:val="single" w:sz="4" w:space="0" w:color="auto"/>
            </w:tcBorders>
            <w:shd w:val="clear" w:color="auto" w:fill="FFFFFF"/>
            <w:vAlign w:val="center"/>
          </w:tcPr>
          <w:p w14:paraId="55DB96A0"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w:t>
            </w:r>
          </w:p>
        </w:tc>
        <w:tc>
          <w:tcPr>
            <w:tcW w:w="696" w:type="dxa"/>
            <w:tcBorders>
              <w:top w:val="single" w:sz="4" w:space="0" w:color="auto"/>
              <w:left w:val="single" w:sz="4" w:space="0" w:color="auto"/>
              <w:bottom w:val="single" w:sz="4" w:space="0" w:color="auto"/>
              <w:right w:val="single" w:sz="4" w:space="0" w:color="auto"/>
            </w:tcBorders>
            <w:shd w:val="clear" w:color="auto" w:fill="FFFFFF"/>
            <w:vAlign w:val="center"/>
          </w:tcPr>
          <w:p w14:paraId="642E497F"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w:t>
            </w:r>
          </w:p>
        </w:tc>
        <w:tc>
          <w:tcPr>
            <w:tcW w:w="797" w:type="dxa"/>
            <w:tcBorders>
              <w:top w:val="single" w:sz="4" w:space="0" w:color="auto"/>
              <w:left w:val="single" w:sz="4" w:space="0" w:color="auto"/>
              <w:bottom w:val="single" w:sz="4" w:space="0" w:color="auto"/>
              <w:right w:val="single" w:sz="4" w:space="0" w:color="auto"/>
            </w:tcBorders>
            <w:shd w:val="clear" w:color="auto" w:fill="FFFFFF"/>
            <w:vAlign w:val="center"/>
          </w:tcPr>
          <w:p w14:paraId="5EC67104"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w:t>
            </w:r>
          </w:p>
        </w:tc>
      </w:tr>
      <w:tr w:rsidR="0047261E" w:rsidRPr="0047261E" w14:paraId="2D055F68" w14:textId="77777777" w:rsidTr="0047261E">
        <w:trPr>
          <w:trHeight w:val="202"/>
        </w:trPr>
        <w:tc>
          <w:tcPr>
            <w:tcW w:w="4373" w:type="dxa"/>
            <w:tcBorders>
              <w:top w:val="single" w:sz="4" w:space="0" w:color="auto"/>
              <w:left w:val="single" w:sz="4" w:space="0" w:color="auto"/>
              <w:bottom w:val="single" w:sz="4" w:space="0" w:color="auto"/>
              <w:right w:val="single" w:sz="4" w:space="0" w:color="auto"/>
            </w:tcBorders>
            <w:shd w:val="clear" w:color="auto" w:fill="FFFFFF"/>
            <w:vAlign w:val="bottom"/>
          </w:tcPr>
          <w:p w14:paraId="29036683"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в % к предыдущему месяцу, SA</w:t>
            </w:r>
          </w:p>
        </w:tc>
        <w:tc>
          <w:tcPr>
            <w:tcW w:w="720" w:type="dxa"/>
            <w:tcBorders>
              <w:top w:val="single" w:sz="4" w:space="0" w:color="auto"/>
              <w:left w:val="single" w:sz="4" w:space="0" w:color="auto"/>
              <w:bottom w:val="single" w:sz="4" w:space="0" w:color="auto"/>
              <w:right w:val="single" w:sz="4" w:space="0" w:color="auto"/>
            </w:tcBorders>
            <w:shd w:val="clear" w:color="auto" w:fill="FFFFFF"/>
            <w:vAlign w:val="center"/>
          </w:tcPr>
          <w:p w14:paraId="028089BC"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0,5</w:t>
            </w:r>
          </w:p>
        </w:tc>
        <w:tc>
          <w:tcPr>
            <w:tcW w:w="739" w:type="dxa"/>
            <w:tcBorders>
              <w:top w:val="single" w:sz="4" w:space="0" w:color="auto"/>
              <w:left w:val="single" w:sz="4" w:space="0" w:color="auto"/>
              <w:bottom w:val="single" w:sz="4" w:space="0" w:color="auto"/>
              <w:right w:val="single" w:sz="4" w:space="0" w:color="auto"/>
            </w:tcBorders>
            <w:shd w:val="clear" w:color="auto" w:fill="FFFFFF"/>
            <w:vAlign w:val="center"/>
          </w:tcPr>
          <w:p w14:paraId="1830921E"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0,3</w:t>
            </w:r>
          </w:p>
        </w:tc>
        <w:tc>
          <w:tcPr>
            <w:tcW w:w="706" w:type="dxa"/>
            <w:tcBorders>
              <w:top w:val="single" w:sz="4" w:space="0" w:color="auto"/>
              <w:left w:val="single" w:sz="4" w:space="0" w:color="auto"/>
              <w:bottom w:val="single" w:sz="4" w:space="0" w:color="auto"/>
              <w:right w:val="single" w:sz="4" w:space="0" w:color="auto"/>
            </w:tcBorders>
            <w:shd w:val="clear" w:color="auto" w:fill="FFFFFF"/>
            <w:vAlign w:val="center"/>
          </w:tcPr>
          <w:p w14:paraId="1A6251CF"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0,3</w:t>
            </w:r>
          </w:p>
        </w:tc>
        <w:tc>
          <w:tcPr>
            <w:tcW w:w="706" w:type="dxa"/>
            <w:tcBorders>
              <w:top w:val="single" w:sz="4" w:space="0" w:color="auto"/>
              <w:left w:val="single" w:sz="4" w:space="0" w:color="auto"/>
              <w:bottom w:val="single" w:sz="4" w:space="0" w:color="auto"/>
              <w:right w:val="single" w:sz="4" w:space="0" w:color="auto"/>
            </w:tcBorders>
            <w:shd w:val="clear" w:color="auto" w:fill="FFFFFF"/>
            <w:vAlign w:val="center"/>
          </w:tcPr>
          <w:p w14:paraId="48E93290"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0,3</w:t>
            </w:r>
          </w:p>
        </w:tc>
        <w:tc>
          <w:tcPr>
            <w:tcW w:w="686" w:type="dxa"/>
            <w:tcBorders>
              <w:top w:val="single" w:sz="4" w:space="0" w:color="auto"/>
              <w:left w:val="single" w:sz="4" w:space="0" w:color="auto"/>
              <w:bottom w:val="single" w:sz="4" w:space="0" w:color="auto"/>
              <w:right w:val="single" w:sz="4" w:space="0" w:color="auto"/>
            </w:tcBorders>
            <w:shd w:val="clear" w:color="auto" w:fill="FFFFFF"/>
            <w:vAlign w:val="center"/>
          </w:tcPr>
          <w:p w14:paraId="35459947"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w:t>
            </w:r>
          </w:p>
        </w:tc>
        <w:tc>
          <w:tcPr>
            <w:tcW w:w="696" w:type="dxa"/>
            <w:tcBorders>
              <w:top w:val="single" w:sz="4" w:space="0" w:color="auto"/>
              <w:left w:val="single" w:sz="4" w:space="0" w:color="auto"/>
              <w:bottom w:val="single" w:sz="4" w:space="0" w:color="auto"/>
              <w:right w:val="single" w:sz="4" w:space="0" w:color="auto"/>
            </w:tcBorders>
            <w:shd w:val="clear" w:color="auto" w:fill="FFFFFF"/>
            <w:vAlign w:val="center"/>
          </w:tcPr>
          <w:p w14:paraId="4A15FFE6"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w:t>
            </w:r>
          </w:p>
        </w:tc>
        <w:tc>
          <w:tcPr>
            <w:tcW w:w="797" w:type="dxa"/>
            <w:tcBorders>
              <w:top w:val="single" w:sz="4" w:space="0" w:color="auto"/>
              <w:left w:val="single" w:sz="4" w:space="0" w:color="auto"/>
              <w:bottom w:val="single" w:sz="4" w:space="0" w:color="auto"/>
              <w:right w:val="single" w:sz="4" w:space="0" w:color="auto"/>
            </w:tcBorders>
            <w:shd w:val="clear" w:color="auto" w:fill="FFFFFF"/>
            <w:vAlign w:val="center"/>
          </w:tcPr>
          <w:p w14:paraId="490702DB"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w:t>
            </w:r>
          </w:p>
        </w:tc>
      </w:tr>
    </w:tbl>
    <w:p w14:paraId="4229D613" w14:textId="77777777" w:rsidR="0047261E" w:rsidRPr="0047261E" w:rsidRDefault="0047261E" w:rsidP="0047261E">
      <w:pPr>
        <w:widowControl w:val="0"/>
        <w:suppressAutoHyphens/>
        <w:autoSpaceDN w:val="0"/>
        <w:ind w:firstLine="709"/>
        <w:textAlignment w:val="baseline"/>
        <w:rPr>
          <w:rFonts w:eastAsia="Times New Roman" w:cs="Times New Roman"/>
          <w:kern w:val="3"/>
          <w:sz w:val="28"/>
          <w:szCs w:val="24"/>
          <w:lang w:eastAsia="ru-RU" w:bidi="hi-IN"/>
        </w:rPr>
        <w:sectPr w:rsidR="0047261E" w:rsidRPr="0047261E">
          <w:pgSz w:w="11909" w:h="16840"/>
          <w:pgMar w:top="1415" w:right="635" w:bottom="1066" w:left="1184" w:header="0" w:footer="3" w:gutter="0"/>
          <w:cols w:space="720"/>
          <w:noEndnote/>
          <w:docGrid w:linePitch="360"/>
        </w:sectPr>
      </w:pPr>
    </w:p>
    <w:p w14:paraId="5A0660B5" w14:textId="77777777" w:rsidR="0047261E" w:rsidRPr="0047261E" w:rsidRDefault="0047261E" w:rsidP="0047261E">
      <w:pPr>
        <w:widowControl w:val="0"/>
        <w:suppressAutoHyphens/>
        <w:autoSpaceDN w:val="0"/>
        <w:ind w:firstLine="709"/>
        <w:jc w:val="left"/>
        <w:textAlignment w:val="baseline"/>
        <w:rPr>
          <w:rFonts w:eastAsia="Times New Roman" w:cs="Times New Roman"/>
          <w:b/>
          <w:kern w:val="3"/>
          <w:szCs w:val="24"/>
          <w:lang w:eastAsia="ru-RU" w:bidi="hi-IN"/>
        </w:rPr>
      </w:pPr>
      <w:r w:rsidRPr="0047261E">
        <w:rPr>
          <w:rFonts w:eastAsia="Times New Roman" w:cs="Times New Roman"/>
          <w:b/>
          <w:kern w:val="3"/>
          <w:szCs w:val="24"/>
          <w:lang w:eastAsia="ru-RU" w:bidi="hi-IN"/>
        </w:rPr>
        <w:t>О динамике доходов населения</w:t>
      </w:r>
    </w:p>
    <w:p w14:paraId="41B8D65F" w14:textId="77777777" w:rsidR="0047261E" w:rsidRPr="0047261E" w:rsidRDefault="0047261E" w:rsidP="00E865CB">
      <w:pPr>
        <w:widowControl w:val="0"/>
        <w:spacing w:before="240"/>
        <w:ind w:firstLine="709"/>
        <w:contextualSpacing/>
        <w:rPr>
          <w:rFonts w:eastAsia="Times New Roman" w:cs="Times New Roman"/>
          <w:kern w:val="3"/>
          <w:szCs w:val="24"/>
          <w:lang w:eastAsia="zh-CN" w:bidi="hi-IN"/>
        </w:rPr>
      </w:pPr>
      <w:r w:rsidRPr="0047261E">
        <w:rPr>
          <w:rFonts w:eastAsia="Times New Roman" w:cs="Times New Roman"/>
          <w:kern w:val="3"/>
          <w:szCs w:val="24"/>
          <w:lang w:eastAsia="zh-CN" w:bidi="hi-IN"/>
        </w:rPr>
        <w:t xml:space="preserve">В 2018 году реальные располагаемые доходы населения снизились на 0,2 </w:t>
      </w:r>
      <w:r w:rsidRPr="0047261E">
        <w:rPr>
          <w:rFonts w:ascii="Arial" w:eastAsia="Arial" w:hAnsi="Arial" w:cs="Arial"/>
          <w:bCs/>
          <w:i/>
          <w:iCs/>
          <w:color w:val="000000"/>
          <w:kern w:val="3"/>
          <w:sz w:val="19"/>
          <w:szCs w:val="19"/>
          <w:shd w:val="clear" w:color="auto" w:fill="FFFFFF"/>
          <w:lang w:eastAsia="ru-RU" w:bidi="ru-RU"/>
        </w:rPr>
        <w:t>%</w:t>
      </w:r>
      <w:r w:rsidRPr="0047261E">
        <w:rPr>
          <w:rFonts w:eastAsia="Times New Roman" w:cs="Times New Roman"/>
          <w:kern w:val="3"/>
          <w:szCs w:val="24"/>
          <w:lang w:eastAsia="zh-CN" w:bidi="hi-IN"/>
        </w:rPr>
        <w:t xml:space="preserve"> по сравнению с предшествующим годом. При этом динамика основных компонентов доходов была разнонаправленной.</w:t>
      </w:r>
    </w:p>
    <w:p w14:paraId="6B04D373" w14:textId="77777777" w:rsidR="0047261E" w:rsidRPr="0047261E" w:rsidRDefault="0047261E" w:rsidP="00E865CB">
      <w:pPr>
        <w:widowControl w:val="0"/>
        <w:spacing w:before="240"/>
        <w:ind w:firstLine="709"/>
        <w:contextualSpacing/>
        <w:rPr>
          <w:rFonts w:eastAsia="Times New Roman" w:cs="Times New Roman"/>
          <w:kern w:val="3"/>
          <w:szCs w:val="24"/>
          <w:lang w:eastAsia="zh-CN" w:bidi="hi-IN"/>
        </w:rPr>
      </w:pPr>
      <w:r w:rsidRPr="0047261E">
        <w:rPr>
          <w:rFonts w:eastAsia="Times New Roman" w:cs="Times New Roman"/>
          <w:kern w:val="3"/>
          <w:szCs w:val="24"/>
          <w:lang w:eastAsia="zh-CN" w:bidi="hi-IN"/>
        </w:rPr>
        <w:t>Факторами, предопределившими отрицательную динамику сводного показателя, стали:</w:t>
      </w:r>
    </w:p>
    <w:p w14:paraId="3330D3EC" w14:textId="77777777" w:rsidR="0047261E" w:rsidRPr="0047261E" w:rsidRDefault="0047261E" w:rsidP="00D24868">
      <w:pPr>
        <w:widowControl w:val="0"/>
        <w:numPr>
          <w:ilvl w:val="0"/>
          <w:numId w:val="60"/>
        </w:numPr>
        <w:tabs>
          <w:tab w:val="left" w:pos="984"/>
        </w:tabs>
        <w:suppressAutoHyphens/>
        <w:autoSpaceDN w:val="0"/>
        <w:ind w:firstLine="709"/>
        <w:contextualSpacing/>
        <w:textAlignment w:val="baseline"/>
        <w:rPr>
          <w:rFonts w:eastAsia="Times New Roman" w:cs="Times New Roman"/>
          <w:kern w:val="3"/>
          <w:szCs w:val="24"/>
          <w:lang w:eastAsia="zh-CN" w:bidi="hi-IN"/>
        </w:rPr>
      </w:pPr>
      <w:r w:rsidRPr="0047261E">
        <w:rPr>
          <w:rFonts w:eastAsia="Times New Roman" w:cs="Times New Roman"/>
          <w:bCs/>
          <w:color w:val="000000"/>
          <w:kern w:val="3"/>
          <w:szCs w:val="24"/>
          <w:shd w:val="clear" w:color="auto" w:fill="FFFFFF"/>
          <w:lang w:eastAsia="ru-RU" w:bidi="ru-RU"/>
        </w:rPr>
        <w:t xml:space="preserve">Сокращение доходов от собственности, в том числе от накоплений на депозитах в банковской системе. </w:t>
      </w:r>
      <w:r w:rsidRPr="0047261E">
        <w:rPr>
          <w:rFonts w:eastAsia="Times New Roman" w:cs="Times New Roman"/>
          <w:kern w:val="3"/>
          <w:szCs w:val="24"/>
          <w:lang w:eastAsia="zh-CN" w:bidi="hi-IN"/>
        </w:rPr>
        <w:t>Последнее стало следствием снижения номинальных процентных ставок по вкладам на фоне снижения инфляции. Общий вклад этого фактора достиг минус 0,5 п.п.</w:t>
      </w:r>
    </w:p>
    <w:p w14:paraId="733EC2FF" w14:textId="77777777" w:rsidR="0047261E" w:rsidRPr="0047261E" w:rsidRDefault="0047261E" w:rsidP="00D24868">
      <w:pPr>
        <w:widowControl w:val="0"/>
        <w:numPr>
          <w:ilvl w:val="0"/>
          <w:numId w:val="60"/>
        </w:numPr>
        <w:tabs>
          <w:tab w:val="left" w:pos="984"/>
        </w:tabs>
        <w:suppressAutoHyphens/>
        <w:autoSpaceDN w:val="0"/>
        <w:ind w:firstLine="709"/>
        <w:contextualSpacing/>
        <w:textAlignment w:val="baseline"/>
        <w:rPr>
          <w:rFonts w:eastAsia="Times New Roman" w:cs="Times New Roman"/>
          <w:kern w:val="3"/>
          <w:szCs w:val="24"/>
          <w:lang w:eastAsia="zh-CN" w:bidi="hi-IN"/>
        </w:rPr>
      </w:pPr>
      <w:r w:rsidRPr="0047261E">
        <w:rPr>
          <w:rFonts w:eastAsia="Times New Roman" w:cs="Times New Roman"/>
          <w:bCs/>
          <w:color w:val="000000"/>
          <w:kern w:val="3"/>
          <w:szCs w:val="24"/>
          <w:shd w:val="clear" w:color="auto" w:fill="FFFFFF"/>
          <w:lang w:eastAsia="ru-RU" w:bidi="ru-RU"/>
        </w:rPr>
        <w:t xml:space="preserve">Рост объемов процентных платежей по банковским кредитам. </w:t>
      </w:r>
      <w:r w:rsidRPr="0047261E">
        <w:rPr>
          <w:rFonts w:eastAsia="Times New Roman" w:cs="Times New Roman"/>
          <w:kern w:val="3"/>
          <w:szCs w:val="24"/>
          <w:lang w:eastAsia="zh-CN" w:bidi="hi-IN"/>
        </w:rPr>
        <w:t>Их объем учитывается в статистике располагаемых доходов с отрицательным знаком. Двузначные темпы роста кредитования населения при сохранении процентных ставок по необеспеченным потребительским кредитам на высоком уровне обусловили рост расходов на обслуживание долга на 10,5% к уровню прошлого года. Отрицательный вклад в динамику реальных располагаемых доходов составил минус 0,2 п.п.</w:t>
      </w:r>
    </w:p>
    <w:p w14:paraId="49CBAEAA" w14:textId="77777777" w:rsidR="0047261E" w:rsidRPr="0047261E" w:rsidRDefault="0047261E" w:rsidP="00D24868">
      <w:pPr>
        <w:widowControl w:val="0"/>
        <w:numPr>
          <w:ilvl w:val="0"/>
          <w:numId w:val="60"/>
        </w:numPr>
        <w:tabs>
          <w:tab w:val="left" w:pos="984"/>
        </w:tabs>
        <w:suppressAutoHyphens/>
        <w:autoSpaceDN w:val="0"/>
        <w:ind w:firstLine="709"/>
        <w:contextualSpacing/>
        <w:textAlignment w:val="baseline"/>
        <w:rPr>
          <w:rFonts w:eastAsia="Times New Roman" w:cs="Times New Roman"/>
          <w:kern w:val="3"/>
          <w:szCs w:val="24"/>
          <w:lang w:eastAsia="zh-CN" w:bidi="hi-IN"/>
        </w:rPr>
      </w:pPr>
      <w:r w:rsidRPr="0047261E">
        <w:rPr>
          <w:rFonts w:eastAsia="Times New Roman" w:cs="Times New Roman"/>
          <w:bCs/>
          <w:color w:val="000000"/>
          <w:kern w:val="3"/>
          <w:szCs w:val="24"/>
          <w:shd w:val="clear" w:color="auto" w:fill="FFFFFF"/>
          <w:lang w:eastAsia="ru-RU" w:bidi="ru-RU"/>
        </w:rPr>
        <w:t>Рост прочих обязательных платежей, в том числе налоговых выплат</w:t>
      </w:r>
      <w:r w:rsidRPr="0047261E">
        <w:rPr>
          <w:rFonts w:eastAsia="Times New Roman" w:cs="Times New Roman"/>
          <w:kern w:val="3"/>
          <w:szCs w:val="24"/>
          <w:lang w:eastAsia="zh-CN" w:bidi="hi-IN"/>
        </w:rPr>
        <w:t>. Повышение платежей по налогу на недвижимость, рост поступлений по налогам на доходы (на фоне их обеления) привели к приросту прочих обязательных платежей на 14,8 %. Вклад в общий показатель реальных располагаемых доходов составил минус 1,0 п.п.</w:t>
      </w:r>
    </w:p>
    <w:p w14:paraId="25F89DAE" w14:textId="77777777" w:rsidR="0047261E" w:rsidRPr="0047261E" w:rsidRDefault="0047261E" w:rsidP="00E865CB">
      <w:pPr>
        <w:widowControl w:val="0"/>
        <w:spacing w:before="240"/>
        <w:ind w:firstLine="709"/>
        <w:contextualSpacing/>
        <w:rPr>
          <w:rFonts w:eastAsia="Times New Roman" w:cs="Times New Roman"/>
          <w:kern w:val="3"/>
          <w:szCs w:val="24"/>
          <w:lang w:eastAsia="zh-CN" w:bidi="hi-IN"/>
        </w:rPr>
      </w:pPr>
      <w:r w:rsidRPr="0047261E">
        <w:rPr>
          <w:rFonts w:eastAsia="Times New Roman" w:cs="Times New Roman"/>
          <w:kern w:val="3"/>
          <w:szCs w:val="24"/>
          <w:lang w:eastAsia="zh-CN" w:bidi="hi-IN"/>
        </w:rPr>
        <w:t>Факторами, оказавшими положительное либо нейтральное влияние, стали:</w:t>
      </w:r>
    </w:p>
    <w:p w14:paraId="4DC5E198" w14:textId="77777777" w:rsidR="0047261E" w:rsidRPr="0047261E" w:rsidRDefault="0047261E" w:rsidP="00D24868">
      <w:pPr>
        <w:widowControl w:val="0"/>
        <w:numPr>
          <w:ilvl w:val="0"/>
          <w:numId w:val="60"/>
        </w:numPr>
        <w:suppressAutoHyphens/>
        <w:autoSpaceDN w:val="0"/>
        <w:ind w:firstLine="709"/>
        <w:contextualSpacing/>
        <w:textAlignment w:val="baseline"/>
        <w:rPr>
          <w:rFonts w:eastAsia="Times New Roman" w:cs="Times New Roman"/>
          <w:kern w:val="3"/>
          <w:szCs w:val="24"/>
          <w:lang w:eastAsia="zh-CN" w:bidi="hi-IN"/>
        </w:rPr>
      </w:pPr>
      <w:r w:rsidRPr="0047261E">
        <w:rPr>
          <w:rFonts w:eastAsia="Times New Roman" w:cs="Times New Roman"/>
          <w:bCs/>
          <w:color w:val="000000"/>
          <w:kern w:val="3"/>
          <w:szCs w:val="24"/>
          <w:shd w:val="clear" w:color="auto" w:fill="FFFFFF"/>
          <w:lang w:eastAsia="ru-RU" w:bidi="ru-RU"/>
        </w:rPr>
        <w:t xml:space="preserve"> Рост среднего уровня заработной платы. </w:t>
      </w:r>
      <w:r w:rsidRPr="0047261E">
        <w:rPr>
          <w:rFonts w:eastAsia="Times New Roman" w:cs="Times New Roman"/>
          <w:kern w:val="3"/>
          <w:szCs w:val="24"/>
          <w:lang w:eastAsia="zh-CN" w:bidi="hi-IN"/>
        </w:rPr>
        <w:t>Оплата труда наемных работников увеличилась на 6,7 % в реальном выражении. Наряду с позитивной ситуацией на рынке труда росту заработных плат в реальном выражении способствовали повышение минимального размера оплаты труда, индексация оплаты труда работникам бюджетной сферы (в том числе в результате исполнения майских указов Президента от 2012 года).</w:t>
      </w:r>
    </w:p>
    <w:p w14:paraId="3B6C65B3" w14:textId="77777777" w:rsidR="0047261E" w:rsidRPr="0047261E" w:rsidRDefault="0047261E" w:rsidP="00D24868">
      <w:pPr>
        <w:widowControl w:val="0"/>
        <w:numPr>
          <w:ilvl w:val="0"/>
          <w:numId w:val="60"/>
        </w:numPr>
        <w:tabs>
          <w:tab w:val="left" w:pos="984"/>
        </w:tabs>
        <w:suppressAutoHyphens/>
        <w:autoSpaceDN w:val="0"/>
        <w:ind w:firstLine="709"/>
        <w:contextualSpacing/>
        <w:textAlignment w:val="baseline"/>
        <w:rPr>
          <w:rFonts w:eastAsia="Times New Roman" w:cs="Times New Roman"/>
          <w:kern w:val="3"/>
          <w:szCs w:val="24"/>
          <w:lang w:eastAsia="zh-CN" w:bidi="hi-IN"/>
        </w:rPr>
      </w:pPr>
      <w:r w:rsidRPr="0047261E">
        <w:rPr>
          <w:rFonts w:eastAsia="Times New Roman" w:cs="Times New Roman"/>
          <w:bCs/>
          <w:color w:val="000000"/>
          <w:kern w:val="3"/>
          <w:szCs w:val="24"/>
          <w:shd w:val="clear" w:color="auto" w:fill="FFFFFF"/>
          <w:lang w:eastAsia="ru-RU" w:bidi="ru-RU"/>
        </w:rPr>
        <w:t xml:space="preserve">Близкая к инфляции динамика социальных платежей. </w:t>
      </w:r>
      <w:r w:rsidRPr="0047261E">
        <w:rPr>
          <w:rFonts w:eastAsia="Times New Roman" w:cs="Times New Roman"/>
          <w:kern w:val="3"/>
          <w:szCs w:val="24"/>
          <w:lang w:eastAsia="zh-CN" w:bidi="hi-IN"/>
        </w:rPr>
        <w:t>Пенсии и другие социальные выплаты внесли слабоотрицательный вклад (менее 0,1 п.п.) в динамику реальных располагаемых доходов населения, что было связано с превышением фактически сложившегося среднегодового уровня инфляции в 2018 году (2,9 %) над уровнем инфляции базового года, а также с высокой базой 2017 года, сформировавшейся в результате единовременной выплаты всем пенсионерам в размере 5000 рублей.</w:t>
      </w:r>
    </w:p>
    <w:p w14:paraId="488669EE" w14:textId="77777777" w:rsidR="0047261E" w:rsidRPr="0047261E" w:rsidRDefault="0047261E" w:rsidP="00E865CB">
      <w:pPr>
        <w:widowControl w:val="0"/>
        <w:spacing w:before="240"/>
        <w:ind w:firstLine="709"/>
        <w:contextualSpacing/>
        <w:rPr>
          <w:rFonts w:eastAsia="Times New Roman" w:cs="Times New Roman"/>
          <w:kern w:val="3"/>
          <w:szCs w:val="24"/>
          <w:lang w:eastAsia="zh-CN" w:bidi="hi-IN"/>
        </w:rPr>
      </w:pPr>
      <w:r w:rsidRPr="0047261E">
        <w:rPr>
          <w:rFonts w:eastAsia="Times New Roman" w:cs="Times New Roman"/>
          <w:kern w:val="3"/>
          <w:szCs w:val="24"/>
          <w:lang w:eastAsia="zh-CN" w:bidi="hi-IN"/>
        </w:rPr>
        <w:t>Динамика «прочих доходов» в течение 2018 года оставалась крайне волатильным показателем: ее динамика колебалась от ~ -7 % г/г до плюс ~3% г/г к уровню прошлого года. Показатель рассчитывается балансовым методом и представляет собой разницу между расходами на покупку товаров и услуг (рост на 5,6 % г/г в прошлом году) и динамикой сбережений. Меньший по сравнению с предыдущим годом прирост сбережений обусловил оценку темпа прироста «прочих доходов» на уровне -2,1 % г/г в номинальном выражении.</w:t>
      </w:r>
    </w:p>
    <w:p w14:paraId="679AAA7F" w14:textId="77777777" w:rsidR="0047261E" w:rsidRPr="0047261E" w:rsidRDefault="0047261E" w:rsidP="0047261E">
      <w:pPr>
        <w:widowControl w:val="0"/>
        <w:spacing w:before="240"/>
        <w:ind w:firstLine="709"/>
        <w:contextualSpacing/>
        <w:rPr>
          <w:rFonts w:eastAsia="Times New Roman" w:cs="Times New Roman"/>
          <w:kern w:val="3"/>
          <w:szCs w:val="24"/>
          <w:lang w:eastAsia="zh-CN" w:bidi="hi-IN"/>
        </w:rPr>
      </w:pPr>
      <w:r w:rsidRPr="0047261E">
        <w:rPr>
          <w:rFonts w:eastAsia="Times New Roman" w:cs="Times New Roman"/>
          <w:kern w:val="3"/>
          <w:szCs w:val="24"/>
          <w:lang w:eastAsia="zh-CN" w:bidi="hi-IN"/>
        </w:rPr>
        <w:t>Особенностью изменения уровня доходов населения в прошлом году стала серьезная дифференциация в зависимости от уровня доходов. Негативные факторы (падение доходов от банковских депозитов, увеличение налогов на недвижимость, рост платежей по ипотечным кредитам) сказались, в первую очередь, на доходах более обеспеченных групп населения. В то же время повышение МРОТ, увеличение выплат семьям с детьми, повышение зарплат в бюджетной сфере серьезно поддержали доходы менее обеспеченных групп населения.</w:t>
      </w:r>
    </w:p>
    <w:p w14:paraId="338BBE94" w14:textId="77777777" w:rsidR="0047261E" w:rsidRPr="0047261E" w:rsidRDefault="0047261E" w:rsidP="0047261E">
      <w:pPr>
        <w:widowControl w:val="0"/>
        <w:spacing w:before="240"/>
        <w:ind w:firstLine="709"/>
        <w:contextualSpacing/>
        <w:rPr>
          <w:rFonts w:eastAsia="Times New Roman" w:cs="Times New Roman"/>
          <w:kern w:val="3"/>
          <w:szCs w:val="24"/>
          <w:lang w:eastAsia="zh-CN" w:bidi="hi-IN"/>
        </w:rPr>
        <w:sectPr w:rsidR="0047261E" w:rsidRPr="0047261E" w:rsidSect="0047261E">
          <w:pgSz w:w="11909" w:h="16840"/>
          <w:pgMar w:top="1430" w:right="852" w:bottom="1430" w:left="1440" w:header="0" w:footer="3" w:gutter="0"/>
          <w:cols w:space="720"/>
          <w:noEndnote/>
          <w:docGrid w:linePitch="360"/>
        </w:sectPr>
      </w:pPr>
      <w:r w:rsidRPr="0047261E">
        <w:rPr>
          <w:rFonts w:eastAsia="Times New Roman" w:cs="Times New Roman"/>
          <w:kern w:val="3"/>
          <w:szCs w:val="24"/>
          <w:lang w:eastAsia="zh-CN" w:bidi="hi-IN"/>
        </w:rPr>
        <w:t>Согласно данным Росстата за январь-сентябрь 2018 года, наименьший рост доходов пришелся на последние 4 децильные группы населения, то есть на группы населения с наибольшим среднедушевым доходом, в то время как увеличение доходов у первых двух групп составило 7,0 % г/г и 5,2 % г/г (прирост на 3,9 % г/г и 2,2 % г/г в реальном выражении). В итоге совокупная негативная динамика показателя по итогам года была сформирована группами населения с доходами выше среднего уровня.</w:t>
      </w:r>
    </w:p>
    <w:p w14:paraId="131AF196" w14:textId="7EF3418B" w:rsidR="0047261E" w:rsidRPr="0047261E" w:rsidRDefault="0047261E" w:rsidP="0047261E">
      <w:pPr>
        <w:widowControl w:val="0"/>
        <w:suppressAutoHyphens/>
        <w:autoSpaceDN w:val="0"/>
        <w:ind w:firstLine="0"/>
        <w:textAlignment w:val="baseline"/>
        <w:rPr>
          <w:rFonts w:eastAsia="Times New Roman" w:cs="Times New Roman"/>
          <w:kern w:val="3"/>
          <w:sz w:val="28"/>
          <w:szCs w:val="24"/>
          <w:lang w:eastAsia="ru-RU" w:bidi="hi-IN"/>
        </w:rPr>
      </w:pPr>
    </w:p>
    <w:tbl>
      <w:tblPr>
        <w:tblStyle w:val="3b"/>
        <w:tblW w:w="0" w:type="auto"/>
        <w:tblLook w:val="04A0" w:firstRow="1" w:lastRow="0" w:firstColumn="1" w:lastColumn="0" w:noHBand="0" w:noVBand="1"/>
      </w:tblPr>
      <w:tblGrid>
        <w:gridCol w:w="4875"/>
        <w:gridCol w:w="4764"/>
      </w:tblGrid>
      <w:tr w:rsidR="0047261E" w:rsidRPr="0047261E" w14:paraId="01996BCC" w14:textId="77777777" w:rsidTr="0047261E">
        <w:tc>
          <w:tcPr>
            <w:tcW w:w="4912" w:type="dxa"/>
          </w:tcPr>
          <w:p w14:paraId="0BB2B55A" w14:textId="77777777" w:rsidR="0047261E" w:rsidRPr="0047261E" w:rsidRDefault="0047261E" w:rsidP="0047261E">
            <w:pPr>
              <w:suppressAutoHyphens/>
              <w:ind w:firstLine="0"/>
              <w:jc w:val="center"/>
              <w:rPr>
                <w:rFonts w:eastAsia="Times New Roman" w:cs="Times New Roman"/>
                <w:sz w:val="28"/>
                <w:lang w:eastAsia="ru-RU"/>
              </w:rPr>
            </w:pPr>
            <w:r w:rsidRPr="0047261E">
              <w:rPr>
                <w:rFonts w:eastAsia="Times New Roman" w:cs="Times New Roman"/>
                <w:noProof/>
                <w:sz w:val="28"/>
                <w:lang w:eastAsia="ru-RU"/>
              </w:rPr>
              <w:drawing>
                <wp:inline distT="0" distB="0" distL="0" distR="0" wp14:anchorId="15FBE06B" wp14:editId="7ADD27BC">
                  <wp:extent cx="3048000" cy="4243070"/>
                  <wp:effectExtent l="0" t="0" r="0" b="5080"/>
                  <wp:docPr id="902" name="Рисунок 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048000" cy="4243070"/>
                          </a:xfrm>
                          <a:prstGeom prst="rect">
                            <a:avLst/>
                          </a:prstGeom>
                          <a:noFill/>
                        </pic:spPr>
                      </pic:pic>
                    </a:graphicData>
                  </a:graphic>
                </wp:inline>
              </w:drawing>
            </w:r>
          </w:p>
        </w:tc>
        <w:tc>
          <w:tcPr>
            <w:tcW w:w="4912" w:type="dxa"/>
          </w:tcPr>
          <w:p w14:paraId="61E3F777" w14:textId="77777777" w:rsidR="0047261E" w:rsidRPr="0047261E" w:rsidRDefault="0047261E" w:rsidP="0047261E">
            <w:pPr>
              <w:suppressAutoHyphens/>
              <w:ind w:firstLine="0"/>
              <w:jc w:val="center"/>
              <w:rPr>
                <w:rFonts w:eastAsia="Times New Roman" w:cs="Times New Roman"/>
                <w:sz w:val="28"/>
                <w:lang w:eastAsia="ru-RU"/>
              </w:rPr>
            </w:pPr>
            <w:r w:rsidRPr="0047261E">
              <w:rPr>
                <w:rFonts w:eastAsia="Times New Roman" w:cs="Times New Roman"/>
                <w:noProof/>
                <w:sz w:val="28"/>
                <w:lang w:eastAsia="ru-RU"/>
              </w:rPr>
              <w:drawing>
                <wp:inline distT="0" distB="0" distL="0" distR="0" wp14:anchorId="114A4059" wp14:editId="68936348">
                  <wp:extent cx="2974975" cy="4255135"/>
                  <wp:effectExtent l="0" t="0" r="0" b="0"/>
                  <wp:docPr id="903" name="Рисунок 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974975" cy="4255135"/>
                          </a:xfrm>
                          <a:prstGeom prst="rect">
                            <a:avLst/>
                          </a:prstGeom>
                          <a:noFill/>
                        </pic:spPr>
                      </pic:pic>
                    </a:graphicData>
                  </a:graphic>
                </wp:inline>
              </w:drawing>
            </w:r>
          </w:p>
        </w:tc>
      </w:tr>
      <w:tr w:rsidR="0047261E" w:rsidRPr="0047261E" w14:paraId="49BB9E27" w14:textId="77777777" w:rsidTr="0047261E">
        <w:tc>
          <w:tcPr>
            <w:tcW w:w="4912" w:type="dxa"/>
          </w:tcPr>
          <w:p w14:paraId="75C9233C" w14:textId="58EBF6E0" w:rsidR="0047261E" w:rsidRPr="0047261E" w:rsidRDefault="0047261E" w:rsidP="0047261E">
            <w:pPr>
              <w:suppressLineNumbers/>
              <w:suppressAutoHyphens/>
              <w:ind w:firstLine="0"/>
              <w:jc w:val="center"/>
              <w:rPr>
                <w:rFonts w:eastAsia="Calibri" w:cs="Times New Roman"/>
                <w:i/>
                <w:iCs/>
                <w:szCs w:val="24"/>
              </w:rPr>
            </w:pPr>
            <w:r w:rsidRPr="0047261E">
              <w:rPr>
                <w:rFonts w:eastAsia="Calibri" w:cs="Times New Roman"/>
                <w:i/>
                <w:iCs/>
                <w:szCs w:val="24"/>
              </w:rPr>
              <w:t xml:space="preserve">Рисунок </w:t>
            </w:r>
            <w:r w:rsidRPr="0047261E">
              <w:rPr>
                <w:rFonts w:eastAsia="Calibri" w:cs="Times New Roman"/>
                <w:i/>
                <w:iCs/>
                <w:szCs w:val="24"/>
              </w:rPr>
              <w:fldChar w:fldCharType="begin"/>
            </w:r>
            <w:r w:rsidRPr="0047261E">
              <w:rPr>
                <w:rFonts w:eastAsia="Calibri" w:cs="Times New Roman"/>
                <w:i/>
                <w:iCs/>
                <w:szCs w:val="24"/>
              </w:rPr>
              <w:instrText xml:space="preserve"> SEQ Рисунок \* ARABIC </w:instrText>
            </w:r>
            <w:r w:rsidRPr="0047261E">
              <w:rPr>
                <w:rFonts w:eastAsia="Calibri" w:cs="Times New Roman"/>
                <w:i/>
                <w:iCs/>
                <w:szCs w:val="24"/>
              </w:rPr>
              <w:fldChar w:fldCharType="separate"/>
            </w:r>
            <w:r w:rsidR="00FD2769">
              <w:rPr>
                <w:rFonts w:eastAsia="Calibri" w:cs="Times New Roman"/>
                <w:i/>
                <w:iCs/>
                <w:noProof/>
                <w:szCs w:val="24"/>
              </w:rPr>
              <w:t>17</w:t>
            </w:r>
            <w:r w:rsidRPr="0047261E">
              <w:rPr>
                <w:rFonts w:eastAsia="Calibri" w:cs="Times New Roman"/>
                <w:i/>
                <w:iCs/>
                <w:szCs w:val="24"/>
              </w:rPr>
              <w:fldChar w:fldCharType="end"/>
            </w:r>
          </w:p>
        </w:tc>
        <w:tc>
          <w:tcPr>
            <w:tcW w:w="4912" w:type="dxa"/>
          </w:tcPr>
          <w:p w14:paraId="4059A27E" w14:textId="30FA259F" w:rsidR="0047261E" w:rsidRPr="0047261E" w:rsidRDefault="0047261E" w:rsidP="0047261E">
            <w:pPr>
              <w:suppressLineNumbers/>
              <w:suppressAutoHyphens/>
              <w:ind w:firstLine="0"/>
              <w:jc w:val="center"/>
              <w:rPr>
                <w:rFonts w:eastAsia="Calibri" w:cs="Times New Roman"/>
                <w:i/>
                <w:iCs/>
                <w:szCs w:val="24"/>
              </w:rPr>
            </w:pPr>
            <w:r w:rsidRPr="0047261E">
              <w:rPr>
                <w:rFonts w:eastAsia="Calibri" w:cs="Times New Roman"/>
                <w:i/>
                <w:iCs/>
                <w:szCs w:val="24"/>
              </w:rPr>
              <w:t xml:space="preserve">Рисунок </w:t>
            </w:r>
            <w:r w:rsidRPr="0047261E">
              <w:rPr>
                <w:rFonts w:eastAsia="Calibri" w:cs="Times New Roman"/>
                <w:i/>
                <w:iCs/>
                <w:szCs w:val="24"/>
              </w:rPr>
              <w:fldChar w:fldCharType="begin"/>
            </w:r>
            <w:r w:rsidRPr="0047261E">
              <w:rPr>
                <w:rFonts w:eastAsia="Calibri" w:cs="Times New Roman"/>
                <w:i/>
                <w:iCs/>
                <w:szCs w:val="24"/>
              </w:rPr>
              <w:instrText xml:space="preserve"> SEQ Рисунок \* ARABIC </w:instrText>
            </w:r>
            <w:r w:rsidRPr="0047261E">
              <w:rPr>
                <w:rFonts w:eastAsia="Calibri" w:cs="Times New Roman"/>
                <w:i/>
                <w:iCs/>
                <w:szCs w:val="24"/>
              </w:rPr>
              <w:fldChar w:fldCharType="separate"/>
            </w:r>
            <w:r w:rsidR="00FD2769">
              <w:rPr>
                <w:rFonts w:eastAsia="Calibri" w:cs="Times New Roman"/>
                <w:i/>
                <w:iCs/>
                <w:noProof/>
                <w:szCs w:val="24"/>
              </w:rPr>
              <w:t>18</w:t>
            </w:r>
            <w:r w:rsidRPr="0047261E">
              <w:rPr>
                <w:rFonts w:eastAsia="Calibri" w:cs="Times New Roman"/>
                <w:i/>
                <w:iCs/>
                <w:szCs w:val="24"/>
              </w:rPr>
              <w:fldChar w:fldCharType="end"/>
            </w:r>
          </w:p>
        </w:tc>
      </w:tr>
    </w:tbl>
    <w:p w14:paraId="3DAF2AF7" w14:textId="77777777" w:rsidR="0047261E" w:rsidRPr="0047261E" w:rsidRDefault="0047261E" w:rsidP="0047261E">
      <w:pPr>
        <w:widowControl w:val="0"/>
        <w:suppressAutoHyphens/>
        <w:autoSpaceDN w:val="0"/>
        <w:ind w:firstLine="0"/>
        <w:textAlignment w:val="baseline"/>
        <w:rPr>
          <w:rFonts w:eastAsia="Times New Roman" w:cs="Times New Roman"/>
          <w:kern w:val="3"/>
          <w:sz w:val="28"/>
          <w:szCs w:val="24"/>
          <w:lang w:eastAsia="ru-RU" w:bidi="hi-IN"/>
        </w:rPr>
      </w:pPr>
    </w:p>
    <w:p w14:paraId="041015AF" w14:textId="77777777" w:rsidR="0047261E" w:rsidRPr="0047261E" w:rsidRDefault="0047261E" w:rsidP="0047261E">
      <w:pPr>
        <w:widowControl w:val="0"/>
        <w:suppressAutoHyphens/>
        <w:autoSpaceDN w:val="0"/>
        <w:ind w:firstLine="0"/>
        <w:textAlignment w:val="baseline"/>
        <w:rPr>
          <w:rFonts w:eastAsia="Times New Roman" w:cs="Times New Roman"/>
          <w:kern w:val="3"/>
          <w:sz w:val="28"/>
          <w:szCs w:val="24"/>
          <w:lang w:eastAsia="ru-RU" w:bidi="hi-IN"/>
        </w:rPr>
      </w:pPr>
    </w:p>
    <w:tbl>
      <w:tblPr>
        <w:tblStyle w:val="3b"/>
        <w:tblW w:w="0" w:type="auto"/>
        <w:tblLook w:val="04A0" w:firstRow="1" w:lastRow="0" w:firstColumn="1" w:lastColumn="0" w:noHBand="0" w:noVBand="1"/>
      </w:tblPr>
      <w:tblGrid>
        <w:gridCol w:w="4877"/>
        <w:gridCol w:w="4762"/>
      </w:tblGrid>
      <w:tr w:rsidR="0047261E" w:rsidRPr="0047261E" w14:paraId="2D248EC3" w14:textId="77777777" w:rsidTr="0047261E">
        <w:tc>
          <w:tcPr>
            <w:tcW w:w="4912" w:type="dxa"/>
          </w:tcPr>
          <w:p w14:paraId="781C86C7" w14:textId="77777777" w:rsidR="0047261E" w:rsidRPr="0047261E" w:rsidRDefault="0047261E" w:rsidP="0047261E">
            <w:pPr>
              <w:suppressAutoHyphens/>
              <w:ind w:firstLine="0"/>
              <w:jc w:val="center"/>
              <w:rPr>
                <w:rFonts w:eastAsia="Times New Roman" w:cs="Times New Roman"/>
                <w:szCs w:val="24"/>
                <w:lang w:eastAsia="ru-RU"/>
              </w:rPr>
            </w:pPr>
            <w:r w:rsidRPr="0047261E">
              <w:rPr>
                <w:rFonts w:eastAsia="Times New Roman" w:cs="Times New Roman"/>
                <w:noProof/>
                <w:lang w:eastAsia="ru-RU"/>
              </w:rPr>
              <w:drawing>
                <wp:inline distT="0" distB="0" distL="0" distR="0" wp14:anchorId="7954AFE6" wp14:editId="40ECF63A">
                  <wp:extent cx="3060700" cy="2407920"/>
                  <wp:effectExtent l="0" t="0" r="6350" b="0"/>
                  <wp:docPr id="904" name="Рисунок 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060700" cy="2407920"/>
                          </a:xfrm>
                          <a:prstGeom prst="rect">
                            <a:avLst/>
                          </a:prstGeom>
                          <a:noFill/>
                        </pic:spPr>
                      </pic:pic>
                    </a:graphicData>
                  </a:graphic>
                </wp:inline>
              </w:drawing>
            </w:r>
          </w:p>
        </w:tc>
        <w:tc>
          <w:tcPr>
            <w:tcW w:w="4912" w:type="dxa"/>
          </w:tcPr>
          <w:p w14:paraId="796B86F0" w14:textId="77777777" w:rsidR="0047261E" w:rsidRPr="0047261E" w:rsidRDefault="0047261E" w:rsidP="0047261E">
            <w:pPr>
              <w:suppressAutoHyphens/>
              <w:ind w:firstLine="0"/>
              <w:jc w:val="center"/>
              <w:rPr>
                <w:rFonts w:eastAsia="Times New Roman" w:cs="Times New Roman"/>
                <w:szCs w:val="24"/>
                <w:lang w:eastAsia="ru-RU"/>
              </w:rPr>
            </w:pPr>
            <w:r w:rsidRPr="0047261E">
              <w:rPr>
                <w:rFonts w:eastAsia="Times New Roman" w:cs="Times New Roman"/>
                <w:noProof/>
                <w:lang w:eastAsia="ru-RU"/>
              </w:rPr>
              <w:drawing>
                <wp:inline distT="0" distB="0" distL="0" distR="0" wp14:anchorId="5DAEE9A8" wp14:editId="1A46C307">
                  <wp:extent cx="2981325" cy="2316480"/>
                  <wp:effectExtent l="0" t="0" r="9525" b="7620"/>
                  <wp:docPr id="905" name="Рисунок 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981325" cy="2316480"/>
                          </a:xfrm>
                          <a:prstGeom prst="rect">
                            <a:avLst/>
                          </a:prstGeom>
                          <a:noFill/>
                        </pic:spPr>
                      </pic:pic>
                    </a:graphicData>
                  </a:graphic>
                </wp:inline>
              </w:drawing>
            </w:r>
          </w:p>
        </w:tc>
      </w:tr>
      <w:tr w:rsidR="0047261E" w:rsidRPr="0047261E" w14:paraId="64C66335" w14:textId="77777777" w:rsidTr="0047261E">
        <w:tc>
          <w:tcPr>
            <w:tcW w:w="4912" w:type="dxa"/>
          </w:tcPr>
          <w:p w14:paraId="6E85A621" w14:textId="784AFB42" w:rsidR="0047261E" w:rsidRPr="0047261E" w:rsidRDefault="0047261E" w:rsidP="0047261E">
            <w:pPr>
              <w:suppressLineNumbers/>
              <w:suppressAutoHyphens/>
              <w:ind w:firstLine="0"/>
              <w:jc w:val="center"/>
              <w:rPr>
                <w:rFonts w:eastAsia="Calibri" w:cs="Times New Roman"/>
                <w:i/>
                <w:iCs/>
                <w:szCs w:val="24"/>
              </w:rPr>
            </w:pPr>
            <w:r w:rsidRPr="0047261E">
              <w:rPr>
                <w:rFonts w:eastAsia="Calibri" w:cs="Times New Roman"/>
                <w:i/>
                <w:iCs/>
                <w:szCs w:val="24"/>
              </w:rPr>
              <w:t xml:space="preserve">Рисунок </w:t>
            </w:r>
            <w:r w:rsidRPr="0047261E">
              <w:rPr>
                <w:rFonts w:eastAsia="Calibri" w:cs="Times New Roman"/>
                <w:i/>
                <w:iCs/>
                <w:szCs w:val="24"/>
              </w:rPr>
              <w:fldChar w:fldCharType="begin"/>
            </w:r>
            <w:r w:rsidRPr="0047261E">
              <w:rPr>
                <w:rFonts w:eastAsia="Calibri" w:cs="Times New Roman"/>
                <w:i/>
                <w:iCs/>
                <w:szCs w:val="24"/>
              </w:rPr>
              <w:instrText xml:space="preserve"> SEQ Рисунок \* ARABIC </w:instrText>
            </w:r>
            <w:r w:rsidRPr="0047261E">
              <w:rPr>
                <w:rFonts w:eastAsia="Calibri" w:cs="Times New Roman"/>
                <w:i/>
                <w:iCs/>
                <w:szCs w:val="24"/>
              </w:rPr>
              <w:fldChar w:fldCharType="separate"/>
            </w:r>
            <w:r w:rsidR="00FD2769">
              <w:rPr>
                <w:rFonts w:eastAsia="Calibri" w:cs="Times New Roman"/>
                <w:i/>
                <w:iCs/>
                <w:noProof/>
                <w:szCs w:val="24"/>
              </w:rPr>
              <w:t>19</w:t>
            </w:r>
            <w:r w:rsidRPr="0047261E">
              <w:rPr>
                <w:rFonts w:eastAsia="Calibri" w:cs="Times New Roman"/>
                <w:i/>
                <w:iCs/>
                <w:szCs w:val="24"/>
              </w:rPr>
              <w:fldChar w:fldCharType="end"/>
            </w:r>
          </w:p>
        </w:tc>
        <w:tc>
          <w:tcPr>
            <w:tcW w:w="4912" w:type="dxa"/>
          </w:tcPr>
          <w:p w14:paraId="18433148" w14:textId="4BF67A61" w:rsidR="0047261E" w:rsidRPr="0047261E" w:rsidRDefault="0047261E" w:rsidP="0047261E">
            <w:pPr>
              <w:suppressLineNumbers/>
              <w:suppressAutoHyphens/>
              <w:ind w:firstLine="0"/>
              <w:jc w:val="center"/>
              <w:rPr>
                <w:rFonts w:eastAsia="Calibri" w:cs="Times New Roman"/>
                <w:i/>
                <w:iCs/>
                <w:szCs w:val="24"/>
              </w:rPr>
            </w:pPr>
            <w:r w:rsidRPr="0047261E">
              <w:rPr>
                <w:rFonts w:eastAsia="Calibri" w:cs="Times New Roman"/>
                <w:i/>
                <w:iCs/>
                <w:szCs w:val="24"/>
              </w:rPr>
              <w:t xml:space="preserve">Рисунок </w:t>
            </w:r>
            <w:r w:rsidRPr="0047261E">
              <w:rPr>
                <w:rFonts w:eastAsia="Calibri" w:cs="Times New Roman"/>
                <w:i/>
                <w:iCs/>
                <w:szCs w:val="24"/>
              </w:rPr>
              <w:fldChar w:fldCharType="begin"/>
            </w:r>
            <w:r w:rsidRPr="0047261E">
              <w:rPr>
                <w:rFonts w:eastAsia="Calibri" w:cs="Times New Roman"/>
                <w:i/>
                <w:iCs/>
                <w:szCs w:val="24"/>
              </w:rPr>
              <w:instrText xml:space="preserve"> SEQ Рисунок \* ARABIC </w:instrText>
            </w:r>
            <w:r w:rsidRPr="0047261E">
              <w:rPr>
                <w:rFonts w:eastAsia="Calibri" w:cs="Times New Roman"/>
                <w:i/>
                <w:iCs/>
                <w:szCs w:val="24"/>
              </w:rPr>
              <w:fldChar w:fldCharType="separate"/>
            </w:r>
            <w:r w:rsidR="00FD2769">
              <w:rPr>
                <w:rFonts w:eastAsia="Calibri" w:cs="Times New Roman"/>
                <w:i/>
                <w:iCs/>
                <w:noProof/>
                <w:szCs w:val="24"/>
              </w:rPr>
              <w:t>20</w:t>
            </w:r>
            <w:r w:rsidRPr="0047261E">
              <w:rPr>
                <w:rFonts w:eastAsia="Calibri" w:cs="Times New Roman"/>
                <w:i/>
                <w:iCs/>
                <w:szCs w:val="24"/>
              </w:rPr>
              <w:fldChar w:fldCharType="end"/>
            </w:r>
          </w:p>
        </w:tc>
      </w:tr>
    </w:tbl>
    <w:p w14:paraId="29D8D01B" w14:textId="77777777" w:rsidR="0047261E" w:rsidRPr="0047261E" w:rsidRDefault="0047261E" w:rsidP="0047261E">
      <w:pPr>
        <w:keepNext/>
        <w:keepLines/>
        <w:widowControl w:val="0"/>
        <w:suppressAutoHyphens/>
        <w:autoSpaceDN w:val="0"/>
        <w:ind w:firstLine="709"/>
        <w:contextualSpacing/>
        <w:jc w:val="left"/>
        <w:textAlignment w:val="baseline"/>
        <w:rPr>
          <w:rFonts w:eastAsia="Arial" w:cs="Times New Roman"/>
          <w:b/>
          <w:color w:val="000000"/>
          <w:kern w:val="3"/>
          <w:szCs w:val="24"/>
          <w:lang w:eastAsia="ru-RU" w:bidi="ru-RU"/>
        </w:rPr>
      </w:pPr>
    </w:p>
    <w:p w14:paraId="7DB46C34" w14:textId="77777777" w:rsidR="0047261E" w:rsidRPr="0047261E" w:rsidRDefault="0047261E" w:rsidP="0047261E">
      <w:pPr>
        <w:keepNext/>
        <w:keepLines/>
        <w:widowControl w:val="0"/>
        <w:suppressAutoHyphens/>
        <w:autoSpaceDN w:val="0"/>
        <w:ind w:firstLine="709"/>
        <w:contextualSpacing/>
        <w:jc w:val="left"/>
        <w:textAlignment w:val="baseline"/>
        <w:rPr>
          <w:rFonts w:eastAsia="Arial" w:cs="Times New Roman"/>
          <w:b/>
          <w:color w:val="000000"/>
          <w:kern w:val="3"/>
          <w:szCs w:val="24"/>
          <w:lang w:eastAsia="ru-RU" w:bidi="ru-RU"/>
        </w:rPr>
      </w:pPr>
      <w:r w:rsidRPr="0047261E">
        <w:rPr>
          <w:rFonts w:eastAsia="Arial" w:cs="Times New Roman"/>
          <w:b/>
          <w:color w:val="000000"/>
          <w:kern w:val="3"/>
          <w:szCs w:val="24"/>
          <w:lang w:eastAsia="ru-RU" w:bidi="ru-RU"/>
        </w:rPr>
        <w:t>Платежный баланс</w:t>
      </w:r>
    </w:p>
    <w:p w14:paraId="0DA80346" w14:textId="77777777" w:rsidR="0047261E" w:rsidRPr="0047261E" w:rsidRDefault="0047261E" w:rsidP="0047261E">
      <w:pPr>
        <w:widowControl w:val="0"/>
        <w:ind w:firstLine="709"/>
        <w:contextualSpacing/>
        <w:rPr>
          <w:rFonts w:eastAsia="Times New Roman" w:cs="Times New Roman"/>
          <w:kern w:val="3"/>
          <w:szCs w:val="24"/>
          <w:lang w:eastAsia="zh-CN" w:bidi="hi-IN"/>
        </w:rPr>
      </w:pPr>
      <w:r w:rsidRPr="0047261E">
        <w:rPr>
          <w:rFonts w:eastAsia="Times New Roman" w:cs="Times New Roman"/>
          <w:bCs/>
          <w:color w:val="000000"/>
          <w:kern w:val="3"/>
          <w:szCs w:val="24"/>
          <w:shd w:val="clear" w:color="auto" w:fill="FFFFFF"/>
          <w:lang w:eastAsia="ru-RU" w:bidi="ru-RU"/>
        </w:rPr>
        <w:t>В 2018 году профицит счета текущих операций достиг самого высокого значения за всю историю наблюдений.</w:t>
      </w:r>
      <w:r w:rsidRPr="0047261E">
        <w:rPr>
          <w:rFonts w:eastAsia="Times New Roman" w:cs="Times New Roman"/>
          <w:b/>
          <w:bCs/>
          <w:color w:val="000000"/>
          <w:kern w:val="3"/>
          <w:szCs w:val="24"/>
          <w:shd w:val="clear" w:color="auto" w:fill="FFFFFF"/>
          <w:lang w:eastAsia="ru-RU" w:bidi="ru-RU"/>
        </w:rPr>
        <w:t xml:space="preserve"> </w:t>
      </w:r>
      <w:r w:rsidRPr="0047261E">
        <w:rPr>
          <w:rFonts w:eastAsia="Times New Roman" w:cs="Times New Roman"/>
          <w:kern w:val="3"/>
          <w:szCs w:val="24"/>
          <w:lang w:eastAsia="zh-CN" w:bidi="hi-IN"/>
        </w:rPr>
        <w:t>По итогам года положительное сальдо текущего счета увеличилось до 114,9 млрд. долл. США (по оценке, 6,9 % ВВП) после 33,3 млрд. долл. США в 2017 году (2,1 % ВВП).</w:t>
      </w:r>
    </w:p>
    <w:p w14:paraId="01925BFE" w14:textId="77777777" w:rsidR="0047261E" w:rsidRPr="0047261E" w:rsidRDefault="0047261E" w:rsidP="0047261E">
      <w:pPr>
        <w:widowControl w:val="0"/>
        <w:spacing w:before="240"/>
        <w:ind w:firstLine="709"/>
        <w:contextualSpacing/>
        <w:rPr>
          <w:rFonts w:eastAsia="Times New Roman" w:cs="Times New Roman"/>
          <w:kern w:val="3"/>
          <w:szCs w:val="24"/>
          <w:lang w:eastAsia="zh-CN" w:bidi="hi-IN"/>
        </w:rPr>
      </w:pPr>
      <w:r w:rsidRPr="0047261E">
        <w:rPr>
          <w:rFonts w:eastAsia="Times New Roman" w:cs="Times New Roman"/>
          <w:bCs/>
          <w:color w:val="000000"/>
          <w:kern w:val="3"/>
          <w:szCs w:val="24"/>
          <w:shd w:val="clear" w:color="auto" w:fill="FFFFFF"/>
          <w:lang w:eastAsia="ru-RU" w:bidi="ru-RU"/>
        </w:rPr>
        <w:t xml:space="preserve">Рекордный профицит текущего счета был обеспечен в первую очередь увеличением нефтегазового экспорта (+32,5 %) на фоне благоприятной конъюнктуры мировых рынков энергоносителей. </w:t>
      </w:r>
      <w:r w:rsidRPr="0047261E">
        <w:rPr>
          <w:rFonts w:eastAsia="Times New Roman" w:cs="Times New Roman"/>
          <w:kern w:val="3"/>
          <w:szCs w:val="24"/>
          <w:lang w:eastAsia="zh-CN" w:bidi="hi-IN"/>
        </w:rPr>
        <w:t>Средняя цена на нефть марки «Юралс» в 2018 году составила 70,0 долл. США за баррель по сравнению с 53,0 долл. США за баррель в 2017 году. По данным ФТС России, существенный рост продемонстрировали также среднеконтрактные цены на нефтепродукты и российский газ.</w:t>
      </w:r>
    </w:p>
    <w:p w14:paraId="66DFBE4B" w14:textId="77777777" w:rsidR="0047261E" w:rsidRPr="0047261E" w:rsidRDefault="0047261E" w:rsidP="0047261E">
      <w:pPr>
        <w:widowControl w:val="0"/>
        <w:spacing w:before="240"/>
        <w:ind w:firstLine="709"/>
        <w:contextualSpacing/>
        <w:rPr>
          <w:rFonts w:eastAsia="Times New Roman" w:cs="Times New Roman"/>
          <w:kern w:val="3"/>
          <w:szCs w:val="24"/>
          <w:lang w:eastAsia="zh-CN" w:bidi="hi-IN"/>
        </w:rPr>
      </w:pPr>
      <w:r w:rsidRPr="0047261E">
        <w:rPr>
          <w:rFonts w:eastAsia="Times New Roman" w:cs="Times New Roman"/>
          <w:kern w:val="3"/>
          <w:szCs w:val="24"/>
          <w:lang w:eastAsia="zh-CN" w:bidi="hi-IN"/>
        </w:rPr>
        <w:t>Вклад в увеличение нефтегазового экспорта в 2018 году также внес рост его физических объемов. Экспорт естественного природного газа вырос на 3,7 %, экспорт СПГ - на 50,4 %. Положительные темпы роста наблюдались и по сырой нефти и нефтепродуктам (на 2,9 % и 1,1% соответственно), что стало результатом июньских договоренностей стран ОПЕК+ об увеличении добычи.</w:t>
      </w:r>
    </w:p>
    <w:tbl>
      <w:tblPr>
        <w:tblStyle w:val="3b"/>
        <w:tblW w:w="0" w:type="auto"/>
        <w:tblLook w:val="04A0" w:firstRow="1" w:lastRow="0" w:firstColumn="1" w:lastColumn="0" w:noHBand="0" w:noVBand="1"/>
      </w:tblPr>
      <w:tblGrid>
        <w:gridCol w:w="4846"/>
        <w:gridCol w:w="4793"/>
      </w:tblGrid>
      <w:tr w:rsidR="0047261E" w:rsidRPr="0047261E" w14:paraId="66C89E35" w14:textId="77777777" w:rsidTr="0047261E">
        <w:tc>
          <w:tcPr>
            <w:tcW w:w="4819" w:type="dxa"/>
          </w:tcPr>
          <w:p w14:paraId="309424BB" w14:textId="77777777" w:rsidR="0047261E" w:rsidRPr="0047261E" w:rsidRDefault="0047261E" w:rsidP="0047261E">
            <w:pPr>
              <w:ind w:firstLine="0"/>
              <w:contextualSpacing/>
              <w:jc w:val="center"/>
              <w:rPr>
                <w:rFonts w:eastAsia="Times New Roman" w:cs="Times New Roman"/>
                <w:lang w:eastAsia="zh-CN"/>
              </w:rPr>
            </w:pPr>
            <w:r w:rsidRPr="0047261E">
              <w:rPr>
                <w:rFonts w:eastAsia="Times New Roman" w:cs="Times New Roman"/>
                <w:noProof/>
                <w:lang w:eastAsia="ru-RU"/>
              </w:rPr>
              <w:drawing>
                <wp:inline distT="0" distB="0" distL="0" distR="0" wp14:anchorId="27B493B9" wp14:editId="5593F22D">
                  <wp:extent cx="3005455" cy="2865120"/>
                  <wp:effectExtent l="0" t="0" r="4445" b="0"/>
                  <wp:docPr id="906" name="Рисунок 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005455" cy="2865120"/>
                          </a:xfrm>
                          <a:prstGeom prst="rect">
                            <a:avLst/>
                          </a:prstGeom>
                          <a:noFill/>
                        </pic:spPr>
                      </pic:pic>
                    </a:graphicData>
                  </a:graphic>
                </wp:inline>
              </w:drawing>
            </w:r>
          </w:p>
        </w:tc>
        <w:tc>
          <w:tcPr>
            <w:tcW w:w="4820" w:type="dxa"/>
          </w:tcPr>
          <w:p w14:paraId="3E51E4F0" w14:textId="77777777" w:rsidR="0047261E" w:rsidRPr="0047261E" w:rsidRDefault="0047261E" w:rsidP="0047261E">
            <w:pPr>
              <w:ind w:firstLine="0"/>
              <w:contextualSpacing/>
              <w:jc w:val="center"/>
              <w:rPr>
                <w:rFonts w:eastAsia="Times New Roman" w:cs="Times New Roman"/>
                <w:lang w:eastAsia="zh-CN"/>
              </w:rPr>
            </w:pPr>
            <w:r w:rsidRPr="0047261E">
              <w:rPr>
                <w:rFonts w:eastAsia="Times New Roman" w:cs="Times New Roman"/>
                <w:noProof/>
                <w:lang w:eastAsia="ru-RU"/>
              </w:rPr>
              <w:drawing>
                <wp:inline distT="0" distB="0" distL="0" distR="0" wp14:anchorId="27BE9D9D" wp14:editId="56B14DC6">
                  <wp:extent cx="2974975" cy="2859405"/>
                  <wp:effectExtent l="0" t="0" r="0" b="0"/>
                  <wp:docPr id="907" name="Рисунок 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974975" cy="2859405"/>
                          </a:xfrm>
                          <a:prstGeom prst="rect">
                            <a:avLst/>
                          </a:prstGeom>
                          <a:noFill/>
                        </pic:spPr>
                      </pic:pic>
                    </a:graphicData>
                  </a:graphic>
                </wp:inline>
              </w:drawing>
            </w:r>
          </w:p>
        </w:tc>
      </w:tr>
      <w:tr w:rsidR="0047261E" w:rsidRPr="0047261E" w14:paraId="45AA6A49" w14:textId="77777777" w:rsidTr="0047261E">
        <w:tc>
          <w:tcPr>
            <w:tcW w:w="4819" w:type="dxa"/>
          </w:tcPr>
          <w:p w14:paraId="396A3AFC" w14:textId="2BB9B389" w:rsidR="0047261E" w:rsidRPr="0047261E" w:rsidRDefault="0047261E" w:rsidP="0047261E">
            <w:pPr>
              <w:suppressLineNumbers/>
              <w:suppressAutoHyphens/>
              <w:ind w:firstLine="23"/>
              <w:jc w:val="center"/>
              <w:rPr>
                <w:rFonts w:eastAsia="Calibri" w:cs="Times New Roman"/>
                <w:i/>
                <w:iCs/>
                <w:szCs w:val="24"/>
              </w:rPr>
            </w:pPr>
            <w:r w:rsidRPr="0047261E">
              <w:rPr>
                <w:rFonts w:eastAsia="Calibri" w:cs="Times New Roman"/>
                <w:i/>
                <w:iCs/>
                <w:szCs w:val="24"/>
              </w:rPr>
              <w:t xml:space="preserve">Рисунок </w:t>
            </w:r>
            <w:r w:rsidRPr="0047261E">
              <w:rPr>
                <w:rFonts w:eastAsia="Calibri" w:cs="Times New Roman"/>
                <w:i/>
                <w:iCs/>
                <w:szCs w:val="24"/>
              </w:rPr>
              <w:fldChar w:fldCharType="begin"/>
            </w:r>
            <w:r w:rsidRPr="0047261E">
              <w:rPr>
                <w:rFonts w:eastAsia="Calibri" w:cs="Times New Roman"/>
                <w:i/>
                <w:iCs/>
                <w:szCs w:val="24"/>
              </w:rPr>
              <w:instrText xml:space="preserve"> SEQ Рисунок \* ARABIC </w:instrText>
            </w:r>
            <w:r w:rsidRPr="0047261E">
              <w:rPr>
                <w:rFonts w:eastAsia="Calibri" w:cs="Times New Roman"/>
                <w:i/>
                <w:iCs/>
                <w:szCs w:val="24"/>
              </w:rPr>
              <w:fldChar w:fldCharType="separate"/>
            </w:r>
            <w:r w:rsidR="00FD2769">
              <w:rPr>
                <w:rFonts w:eastAsia="Calibri" w:cs="Times New Roman"/>
                <w:i/>
                <w:iCs/>
                <w:noProof/>
                <w:szCs w:val="24"/>
              </w:rPr>
              <w:t>21</w:t>
            </w:r>
            <w:r w:rsidRPr="0047261E">
              <w:rPr>
                <w:rFonts w:eastAsia="Calibri" w:cs="Times New Roman"/>
                <w:i/>
                <w:iCs/>
                <w:szCs w:val="24"/>
              </w:rPr>
              <w:fldChar w:fldCharType="end"/>
            </w:r>
          </w:p>
        </w:tc>
        <w:tc>
          <w:tcPr>
            <w:tcW w:w="4820" w:type="dxa"/>
          </w:tcPr>
          <w:p w14:paraId="3B65A652" w14:textId="0A9ABFBD" w:rsidR="0047261E" w:rsidRPr="0047261E" w:rsidRDefault="0047261E" w:rsidP="0047261E">
            <w:pPr>
              <w:suppressLineNumbers/>
              <w:suppressAutoHyphens/>
              <w:ind w:firstLine="23"/>
              <w:jc w:val="center"/>
              <w:rPr>
                <w:rFonts w:eastAsia="Calibri" w:cs="Times New Roman"/>
                <w:i/>
                <w:iCs/>
                <w:szCs w:val="24"/>
              </w:rPr>
            </w:pPr>
            <w:r w:rsidRPr="0047261E">
              <w:rPr>
                <w:rFonts w:eastAsia="Calibri" w:cs="Times New Roman"/>
                <w:i/>
                <w:iCs/>
                <w:szCs w:val="24"/>
              </w:rPr>
              <w:t xml:space="preserve">Рисунок </w:t>
            </w:r>
            <w:r w:rsidRPr="0047261E">
              <w:rPr>
                <w:rFonts w:eastAsia="Calibri" w:cs="Times New Roman"/>
                <w:i/>
                <w:iCs/>
                <w:szCs w:val="24"/>
              </w:rPr>
              <w:fldChar w:fldCharType="begin"/>
            </w:r>
            <w:r w:rsidRPr="0047261E">
              <w:rPr>
                <w:rFonts w:eastAsia="Calibri" w:cs="Times New Roman"/>
                <w:i/>
                <w:iCs/>
                <w:szCs w:val="24"/>
              </w:rPr>
              <w:instrText xml:space="preserve"> SEQ Рисунок \* ARABIC </w:instrText>
            </w:r>
            <w:r w:rsidRPr="0047261E">
              <w:rPr>
                <w:rFonts w:eastAsia="Calibri" w:cs="Times New Roman"/>
                <w:i/>
                <w:iCs/>
                <w:szCs w:val="24"/>
              </w:rPr>
              <w:fldChar w:fldCharType="separate"/>
            </w:r>
            <w:r w:rsidR="00FD2769">
              <w:rPr>
                <w:rFonts w:eastAsia="Calibri" w:cs="Times New Roman"/>
                <w:i/>
                <w:iCs/>
                <w:noProof/>
                <w:szCs w:val="24"/>
              </w:rPr>
              <w:t>22</w:t>
            </w:r>
            <w:r w:rsidRPr="0047261E">
              <w:rPr>
                <w:rFonts w:eastAsia="Calibri" w:cs="Times New Roman"/>
                <w:i/>
                <w:iCs/>
                <w:szCs w:val="24"/>
              </w:rPr>
              <w:fldChar w:fldCharType="end"/>
            </w:r>
          </w:p>
        </w:tc>
      </w:tr>
    </w:tbl>
    <w:p w14:paraId="35BC4BD6" w14:textId="77777777" w:rsidR="0047261E" w:rsidRPr="0047261E" w:rsidRDefault="0047261E" w:rsidP="0047261E">
      <w:pPr>
        <w:widowControl w:val="0"/>
        <w:ind w:firstLine="709"/>
        <w:contextualSpacing/>
        <w:rPr>
          <w:rFonts w:eastAsia="Times New Roman" w:cs="Times New Roman"/>
          <w:kern w:val="3"/>
          <w:szCs w:val="24"/>
          <w:lang w:eastAsia="zh-CN" w:bidi="hi-IN"/>
        </w:rPr>
      </w:pPr>
    </w:p>
    <w:p w14:paraId="13B61801" w14:textId="77777777" w:rsidR="0047261E" w:rsidRPr="0047261E" w:rsidRDefault="0047261E" w:rsidP="0047261E">
      <w:pPr>
        <w:widowControl w:val="0"/>
        <w:spacing w:before="240"/>
        <w:ind w:firstLine="709"/>
        <w:contextualSpacing/>
        <w:rPr>
          <w:rFonts w:eastAsia="Times New Roman" w:cs="Times New Roman"/>
          <w:kern w:val="3"/>
          <w:szCs w:val="24"/>
          <w:lang w:eastAsia="zh-CN" w:bidi="hi-IN"/>
        </w:rPr>
      </w:pPr>
      <w:r w:rsidRPr="0047261E">
        <w:rPr>
          <w:rFonts w:eastAsia="Times New Roman" w:cs="Times New Roman"/>
          <w:bCs/>
          <w:color w:val="000000"/>
          <w:kern w:val="3"/>
          <w:szCs w:val="24"/>
          <w:shd w:val="clear" w:color="auto" w:fill="FFFFFF"/>
          <w:lang w:eastAsia="ru-RU" w:bidi="ru-RU"/>
        </w:rPr>
        <w:t xml:space="preserve">Ненефтегазовый экспорт по итогам прошлого года также продемонстрировал уверенный рост (на 13,6 </w:t>
      </w:r>
      <w:r w:rsidRPr="0047261E">
        <w:rPr>
          <w:rFonts w:ascii="Arial" w:eastAsia="Arial" w:hAnsi="Arial" w:cs="Arial"/>
          <w:bCs/>
          <w:i/>
          <w:iCs/>
          <w:color w:val="000000"/>
          <w:kern w:val="3"/>
          <w:sz w:val="19"/>
          <w:szCs w:val="19"/>
          <w:shd w:val="clear" w:color="auto" w:fill="FFFFFF"/>
          <w:lang w:eastAsia="ru-RU" w:bidi="ru-RU"/>
        </w:rPr>
        <w:t>%</w:t>
      </w:r>
      <w:r w:rsidRPr="0047261E">
        <w:rPr>
          <w:rFonts w:eastAsia="Times New Roman" w:cs="Times New Roman"/>
          <w:bCs/>
          <w:color w:val="000000"/>
          <w:kern w:val="3"/>
          <w:szCs w:val="24"/>
          <w:shd w:val="clear" w:color="auto" w:fill="FFFFFF"/>
          <w:lang w:eastAsia="ru-RU" w:bidi="ru-RU"/>
        </w:rPr>
        <w:t xml:space="preserve"> г/г по сравнению с 2017 годом)</w:t>
      </w:r>
      <w:r w:rsidRPr="0047261E">
        <w:rPr>
          <w:rFonts w:eastAsia="Times New Roman" w:cs="Times New Roman"/>
          <w:kern w:val="3"/>
          <w:szCs w:val="24"/>
          <w:lang w:eastAsia="zh-CN" w:bidi="hi-IN"/>
        </w:rPr>
        <w:t>. Из товаров сырьевой группы значительный рост наблюдался по углю (+25,9 % в стоимостном, +10,0 % - в натуральном выражении). В рост несырьевого неэнергетического экспорта наибольший вклад внесла продукция металлургии - как черной, так и цветной (в частности, стоимостной объем экспорта алюминия в 2018 году вырос на 2,7 %). Уверенная положительная динамика в стоимостном выражении наблюдалась и по другим товарным группам - продовольствию, химическим товарам, продукции деревообработки и машиностроения.</w:t>
      </w:r>
    </w:p>
    <w:p w14:paraId="4BC387E0" w14:textId="77777777" w:rsidR="0047261E" w:rsidRPr="0047261E" w:rsidRDefault="0047261E" w:rsidP="0047261E">
      <w:pPr>
        <w:widowControl w:val="0"/>
        <w:spacing w:before="240"/>
        <w:ind w:firstLine="709"/>
        <w:contextualSpacing/>
        <w:rPr>
          <w:rFonts w:eastAsia="Times New Roman" w:cs="Times New Roman"/>
          <w:kern w:val="3"/>
          <w:szCs w:val="24"/>
          <w:lang w:eastAsia="zh-CN" w:bidi="hi-IN"/>
        </w:rPr>
      </w:pPr>
      <w:r w:rsidRPr="0047261E">
        <w:rPr>
          <w:rFonts w:eastAsia="Times New Roman" w:cs="Times New Roman"/>
          <w:kern w:val="3"/>
          <w:szCs w:val="24"/>
          <w:lang w:eastAsia="zh-CN" w:bidi="hi-IN"/>
        </w:rPr>
        <w:t>Вместе с тем во второй половине 2018 г. наметилась тенденция к снижению годовых темпов роста несырьевого неэнергетического экспорта. Она была обусловлена в первую очередь коррекцией цен на металлы на глобальных рынках, а также замедлением роста физических объемов продовольственного экспорта по мере исчерпания эффекта рекордного урожая 2017/2018 сельскохозяйственного года.</w:t>
      </w:r>
    </w:p>
    <w:p w14:paraId="274067FB" w14:textId="77777777" w:rsidR="0047261E" w:rsidRPr="0047261E" w:rsidRDefault="0047261E" w:rsidP="0047261E">
      <w:pPr>
        <w:widowControl w:val="0"/>
        <w:spacing w:line="240" w:lineRule="exact"/>
        <w:ind w:firstLine="709"/>
        <w:rPr>
          <w:rFonts w:eastAsia="Arial" w:cs="Times New Roman"/>
          <w:color w:val="000000"/>
          <w:kern w:val="3"/>
          <w:szCs w:val="24"/>
          <w:shd w:val="clear" w:color="auto" w:fill="FFFFFF"/>
          <w:lang w:eastAsia="ru-RU" w:bidi="ru-RU"/>
        </w:rPr>
      </w:pPr>
      <w:r w:rsidRPr="0047261E">
        <w:rPr>
          <w:rFonts w:eastAsia="Arial" w:cs="Times New Roman"/>
          <w:bCs/>
          <w:kern w:val="3"/>
          <w:szCs w:val="24"/>
          <w:lang w:eastAsia="zh-CN" w:bidi="hi-IN"/>
        </w:rPr>
        <w:t xml:space="preserve">Экспорт услуг в 2018 г. вырос на 13,2 %, что стало отражением проведенного в России чемпионата мира по футболу. </w:t>
      </w:r>
      <w:r w:rsidRPr="0047261E">
        <w:rPr>
          <w:rFonts w:eastAsia="Arial" w:cs="Times New Roman"/>
          <w:color w:val="000000"/>
          <w:kern w:val="3"/>
          <w:szCs w:val="24"/>
          <w:shd w:val="clear" w:color="auto" w:fill="FFFFFF"/>
          <w:lang w:eastAsia="ru-RU" w:bidi="ru-RU"/>
        </w:rPr>
        <w:t>Особенно активный рост экспорта услуг в прошлом году наблюдался по статье «поездки».</w:t>
      </w:r>
    </w:p>
    <w:p w14:paraId="6CE1C639" w14:textId="77777777" w:rsidR="0047261E" w:rsidRPr="0047261E" w:rsidRDefault="0047261E" w:rsidP="0047261E">
      <w:pPr>
        <w:widowControl w:val="0"/>
        <w:spacing w:line="240" w:lineRule="exact"/>
        <w:ind w:firstLine="709"/>
        <w:rPr>
          <w:rFonts w:eastAsia="Arial" w:cs="Times New Roman"/>
          <w:color w:val="000000"/>
          <w:kern w:val="3"/>
          <w:szCs w:val="24"/>
          <w:shd w:val="clear" w:color="auto" w:fill="FFFFFF"/>
          <w:lang w:eastAsia="ru-RU" w:bidi="ru-RU"/>
        </w:rPr>
      </w:pPr>
    </w:p>
    <w:tbl>
      <w:tblPr>
        <w:tblStyle w:val="3b"/>
        <w:tblW w:w="0" w:type="auto"/>
        <w:tblLook w:val="04A0" w:firstRow="1" w:lastRow="0" w:firstColumn="1" w:lastColumn="0" w:noHBand="0" w:noVBand="1"/>
      </w:tblPr>
      <w:tblGrid>
        <w:gridCol w:w="4819"/>
        <w:gridCol w:w="4820"/>
      </w:tblGrid>
      <w:tr w:rsidR="0047261E" w:rsidRPr="0047261E" w14:paraId="3A87FA5D" w14:textId="77777777" w:rsidTr="0047261E">
        <w:tc>
          <w:tcPr>
            <w:tcW w:w="4819" w:type="dxa"/>
          </w:tcPr>
          <w:p w14:paraId="2C7E61D5" w14:textId="77777777" w:rsidR="0047261E" w:rsidRPr="0047261E" w:rsidRDefault="0047261E" w:rsidP="0047261E">
            <w:pPr>
              <w:suppressAutoHyphens/>
              <w:ind w:firstLine="0"/>
              <w:jc w:val="center"/>
              <w:rPr>
                <w:rFonts w:eastAsia="Times New Roman" w:cs="Times New Roman"/>
                <w:sz w:val="28"/>
                <w:lang w:eastAsia="ru-RU"/>
              </w:rPr>
            </w:pPr>
            <w:r w:rsidRPr="0047261E">
              <w:rPr>
                <w:rFonts w:eastAsia="Times New Roman" w:cs="Times New Roman"/>
                <w:noProof/>
                <w:sz w:val="28"/>
                <w:lang w:eastAsia="ru-RU"/>
              </w:rPr>
              <w:drawing>
                <wp:inline distT="0" distB="0" distL="0" distR="0" wp14:anchorId="6B01988B" wp14:editId="3745F0C0">
                  <wp:extent cx="2828925" cy="2475230"/>
                  <wp:effectExtent l="0" t="0" r="9525" b="1270"/>
                  <wp:docPr id="908" name="Рисунок 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828925" cy="2475230"/>
                          </a:xfrm>
                          <a:prstGeom prst="rect">
                            <a:avLst/>
                          </a:prstGeom>
                          <a:noFill/>
                        </pic:spPr>
                      </pic:pic>
                    </a:graphicData>
                  </a:graphic>
                </wp:inline>
              </w:drawing>
            </w:r>
          </w:p>
        </w:tc>
        <w:tc>
          <w:tcPr>
            <w:tcW w:w="4820" w:type="dxa"/>
          </w:tcPr>
          <w:p w14:paraId="077BFC3A" w14:textId="77777777" w:rsidR="0047261E" w:rsidRPr="0047261E" w:rsidRDefault="0047261E" w:rsidP="0047261E">
            <w:pPr>
              <w:suppressAutoHyphens/>
              <w:ind w:firstLine="0"/>
              <w:jc w:val="center"/>
              <w:rPr>
                <w:rFonts w:eastAsia="Times New Roman" w:cs="Times New Roman"/>
                <w:sz w:val="28"/>
                <w:lang w:eastAsia="ru-RU"/>
              </w:rPr>
            </w:pPr>
            <w:r w:rsidRPr="0047261E">
              <w:rPr>
                <w:rFonts w:eastAsia="Times New Roman" w:cs="Times New Roman"/>
                <w:noProof/>
                <w:sz w:val="28"/>
                <w:lang w:eastAsia="ru-RU"/>
              </w:rPr>
              <w:drawing>
                <wp:inline distT="0" distB="0" distL="0" distR="0" wp14:anchorId="1131D117" wp14:editId="3F2F22F1">
                  <wp:extent cx="2883535" cy="2463165"/>
                  <wp:effectExtent l="0" t="0" r="0" b="0"/>
                  <wp:docPr id="909" name="Рисунок 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883535" cy="2463165"/>
                          </a:xfrm>
                          <a:prstGeom prst="rect">
                            <a:avLst/>
                          </a:prstGeom>
                          <a:noFill/>
                        </pic:spPr>
                      </pic:pic>
                    </a:graphicData>
                  </a:graphic>
                </wp:inline>
              </w:drawing>
            </w:r>
          </w:p>
        </w:tc>
      </w:tr>
      <w:tr w:rsidR="0047261E" w:rsidRPr="0047261E" w14:paraId="323358E6" w14:textId="77777777" w:rsidTr="0047261E">
        <w:tc>
          <w:tcPr>
            <w:tcW w:w="4819" w:type="dxa"/>
          </w:tcPr>
          <w:p w14:paraId="0D9C8B98" w14:textId="7604A1D5" w:rsidR="0047261E" w:rsidRPr="0047261E" w:rsidRDefault="0047261E" w:rsidP="0047261E">
            <w:pPr>
              <w:suppressLineNumbers/>
              <w:suppressAutoHyphens/>
              <w:ind w:firstLine="0"/>
              <w:jc w:val="center"/>
              <w:rPr>
                <w:rFonts w:eastAsia="Calibri" w:cs="Times New Roman"/>
                <w:i/>
                <w:iCs/>
                <w:szCs w:val="24"/>
              </w:rPr>
            </w:pPr>
            <w:r w:rsidRPr="0047261E">
              <w:rPr>
                <w:rFonts w:eastAsia="Calibri" w:cs="Times New Roman"/>
                <w:i/>
                <w:iCs/>
                <w:szCs w:val="24"/>
              </w:rPr>
              <w:t xml:space="preserve">Рисунок </w:t>
            </w:r>
            <w:r w:rsidRPr="0047261E">
              <w:rPr>
                <w:rFonts w:eastAsia="Calibri" w:cs="Times New Roman"/>
                <w:i/>
                <w:iCs/>
                <w:szCs w:val="24"/>
              </w:rPr>
              <w:fldChar w:fldCharType="begin"/>
            </w:r>
            <w:r w:rsidRPr="0047261E">
              <w:rPr>
                <w:rFonts w:eastAsia="Calibri" w:cs="Times New Roman"/>
                <w:i/>
                <w:iCs/>
                <w:szCs w:val="24"/>
              </w:rPr>
              <w:instrText xml:space="preserve"> SEQ Рисунок \* ARABIC </w:instrText>
            </w:r>
            <w:r w:rsidRPr="0047261E">
              <w:rPr>
                <w:rFonts w:eastAsia="Calibri" w:cs="Times New Roman"/>
                <w:i/>
                <w:iCs/>
                <w:szCs w:val="24"/>
              </w:rPr>
              <w:fldChar w:fldCharType="separate"/>
            </w:r>
            <w:r w:rsidR="00FD2769">
              <w:rPr>
                <w:rFonts w:eastAsia="Calibri" w:cs="Times New Roman"/>
                <w:i/>
                <w:iCs/>
                <w:noProof/>
                <w:szCs w:val="24"/>
              </w:rPr>
              <w:t>23</w:t>
            </w:r>
            <w:r w:rsidRPr="0047261E">
              <w:rPr>
                <w:rFonts w:eastAsia="Calibri" w:cs="Times New Roman"/>
                <w:i/>
                <w:iCs/>
                <w:szCs w:val="24"/>
              </w:rPr>
              <w:fldChar w:fldCharType="end"/>
            </w:r>
          </w:p>
        </w:tc>
        <w:tc>
          <w:tcPr>
            <w:tcW w:w="4820" w:type="dxa"/>
          </w:tcPr>
          <w:p w14:paraId="49A3F679" w14:textId="3F16DE14" w:rsidR="0047261E" w:rsidRPr="0047261E" w:rsidRDefault="0047261E" w:rsidP="0047261E">
            <w:pPr>
              <w:suppressLineNumbers/>
              <w:suppressAutoHyphens/>
              <w:ind w:firstLine="0"/>
              <w:jc w:val="center"/>
              <w:rPr>
                <w:rFonts w:eastAsia="Calibri" w:cs="Times New Roman"/>
                <w:i/>
                <w:iCs/>
                <w:szCs w:val="24"/>
              </w:rPr>
            </w:pPr>
            <w:r w:rsidRPr="0047261E">
              <w:rPr>
                <w:rFonts w:eastAsia="Calibri" w:cs="Times New Roman"/>
                <w:i/>
                <w:iCs/>
                <w:szCs w:val="24"/>
              </w:rPr>
              <w:t xml:space="preserve">Рисунок </w:t>
            </w:r>
            <w:r w:rsidRPr="0047261E">
              <w:rPr>
                <w:rFonts w:eastAsia="Calibri" w:cs="Times New Roman"/>
                <w:i/>
                <w:iCs/>
                <w:szCs w:val="24"/>
              </w:rPr>
              <w:fldChar w:fldCharType="begin"/>
            </w:r>
            <w:r w:rsidRPr="0047261E">
              <w:rPr>
                <w:rFonts w:eastAsia="Calibri" w:cs="Times New Roman"/>
                <w:i/>
                <w:iCs/>
                <w:szCs w:val="24"/>
              </w:rPr>
              <w:instrText xml:space="preserve"> SEQ Рисунок \* ARABIC </w:instrText>
            </w:r>
            <w:r w:rsidRPr="0047261E">
              <w:rPr>
                <w:rFonts w:eastAsia="Calibri" w:cs="Times New Roman"/>
                <w:i/>
                <w:iCs/>
                <w:szCs w:val="24"/>
              </w:rPr>
              <w:fldChar w:fldCharType="separate"/>
            </w:r>
            <w:r w:rsidR="00FD2769">
              <w:rPr>
                <w:rFonts w:eastAsia="Calibri" w:cs="Times New Roman"/>
                <w:i/>
                <w:iCs/>
                <w:noProof/>
                <w:szCs w:val="24"/>
              </w:rPr>
              <w:t>24</w:t>
            </w:r>
            <w:r w:rsidRPr="0047261E">
              <w:rPr>
                <w:rFonts w:eastAsia="Calibri" w:cs="Times New Roman"/>
                <w:i/>
                <w:iCs/>
                <w:szCs w:val="24"/>
              </w:rPr>
              <w:fldChar w:fldCharType="end"/>
            </w:r>
          </w:p>
        </w:tc>
      </w:tr>
    </w:tbl>
    <w:p w14:paraId="76E63A55" w14:textId="77777777" w:rsidR="0047261E" w:rsidRPr="0047261E" w:rsidRDefault="0047261E" w:rsidP="0047261E">
      <w:pPr>
        <w:widowControl w:val="0"/>
        <w:suppressAutoHyphens/>
        <w:autoSpaceDN w:val="0"/>
        <w:ind w:firstLine="709"/>
        <w:jc w:val="center"/>
        <w:textAlignment w:val="baseline"/>
        <w:rPr>
          <w:rFonts w:eastAsia="Times New Roman" w:cs="Times New Roman"/>
          <w:kern w:val="3"/>
          <w:szCs w:val="24"/>
          <w:lang w:eastAsia="ru-RU" w:bidi="hi-IN"/>
        </w:rPr>
      </w:pPr>
    </w:p>
    <w:p w14:paraId="7958B35B" w14:textId="77777777" w:rsidR="0047261E" w:rsidRPr="0047261E" w:rsidRDefault="0047261E" w:rsidP="0047261E">
      <w:pPr>
        <w:widowControl w:val="0"/>
        <w:ind w:firstLine="709"/>
        <w:rPr>
          <w:rFonts w:eastAsia="Times New Roman" w:cs="Times New Roman"/>
          <w:kern w:val="3"/>
          <w:szCs w:val="24"/>
          <w:lang w:eastAsia="zh-CN" w:bidi="hi-IN"/>
        </w:rPr>
      </w:pPr>
      <w:r w:rsidRPr="0047261E">
        <w:rPr>
          <w:rFonts w:eastAsia="Times New Roman" w:cs="Times New Roman"/>
          <w:bCs/>
          <w:color w:val="000000"/>
          <w:kern w:val="3"/>
          <w:szCs w:val="24"/>
          <w:shd w:val="clear" w:color="auto" w:fill="FFFFFF"/>
          <w:lang w:eastAsia="ru-RU" w:bidi="ru-RU"/>
        </w:rPr>
        <w:t xml:space="preserve">Наряду с динамичным ростом экспорта, вклад в улучшение сальдо текущего счета в 2018 г. внесло существенное замедление роста импорта. </w:t>
      </w:r>
      <w:r w:rsidRPr="0047261E">
        <w:rPr>
          <w:rFonts w:eastAsia="Times New Roman" w:cs="Times New Roman"/>
          <w:kern w:val="3"/>
          <w:szCs w:val="24"/>
          <w:lang w:eastAsia="zh-CN" w:bidi="hi-IN"/>
        </w:rPr>
        <w:t>По итогам года импорт товаров увеличился лишь на 4,6 % (после роста на 24,4 % в 2017 году). При этом в условиях ослабления рубля (на 7,7 % в реальном эффективном выражении в целом за год) в течение года наблюдалось последовательное замедление динамики товарного импорта, так что во второй половине года годовые темпы его роста перешли в отрицательную область впервые со 2кв16. В то время как снижение темпов роста продемонстрировали все компоненты импорта - и потребительский, и промежуточный, и инвестиционный, - ухудшение динамики последнего было наиболее выраженным. Импорт услуг на протяжении года сохранял положительную годовую динамику, однако по итогам года его рост также существенно замедлился (до 7,5 % по сравнению с 19,1 % годом ранее).</w:t>
      </w:r>
    </w:p>
    <w:p w14:paraId="5AE59A3A" w14:textId="77777777" w:rsidR="0047261E" w:rsidRPr="0047261E" w:rsidRDefault="0047261E" w:rsidP="0047261E">
      <w:pPr>
        <w:widowControl w:val="0"/>
        <w:suppressAutoHyphens/>
        <w:autoSpaceDN w:val="0"/>
        <w:ind w:firstLine="142"/>
        <w:jc w:val="left"/>
        <w:textAlignment w:val="baseline"/>
        <w:rPr>
          <w:rFonts w:eastAsia="Times New Roman" w:cs="Times New Roman"/>
          <w:kern w:val="3"/>
          <w:sz w:val="28"/>
          <w:szCs w:val="24"/>
          <w:lang w:eastAsia="ru-RU" w:bidi="hi-IN"/>
        </w:rPr>
      </w:pPr>
      <w:r w:rsidRPr="0047261E">
        <w:rPr>
          <w:rFonts w:eastAsia="Times New Roman" w:cs="Times New Roman"/>
          <w:noProof/>
          <w:kern w:val="3"/>
          <w:sz w:val="28"/>
          <w:szCs w:val="24"/>
          <w:lang w:eastAsia="ru-RU"/>
        </w:rPr>
        <w:t xml:space="preserve"> </w:t>
      </w:r>
    </w:p>
    <w:tbl>
      <w:tblPr>
        <w:tblStyle w:val="3b"/>
        <w:tblW w:w="0" w:type="auto"/>
        <w:tblLook w:val="04A0" w:firstRow="1" w:lastRow="0" w:firstColumn="1" w:lastColumn="0" w:noHBand="0" w:noVBand="1"/>
      </w:tblPr>
      <w:tblGrid>
        <w:gridCol w:w="4819"/>
        <w:gridCol w:w="4820"/>
      </w:tblGrid>
      <w:tr w:rsidR="0047261E" w:rsidRPr="0047261E" w14:paraId="2F624569" w14:textId="77777777" w:rsidTr="0047261E">
        <w:tc>
          <w:tcPr>
            <w:tcW w:w="4819" w:type="dxa"/>
          </w:tcPr>
          <w:p w14:paraId="355A79C3" w14:textId="77777777" w:rsidR="0047261E" w:rsidRPr="0047261E" w:rsidRDefault="0047261E" w:rsidP="0047261E">
            <w:pPr>
              <w:ind w:firstLine="0"/>
              <w:contextualSpacing/>
              <w:jc w:val="center"/>
              <w:rPr>
                <w:rFonts w:eastAsia="Arial" w:cs="Times New Roman"/>
                <w:b/>
                <w:bCs/>
                <w:szCs w:val="24"/>
                <w:lang w:eastAsia="zh-CN"/>
              </w:rPr>
            </w:pPr>
            <w:r w:rsidRPr="0047261E">
              <w:rPr>
                <w:rFonts w:eastAsia="Arial" w:cs="Times New Roman"/>
                <w:b/>
                <w:bCs/>
                <w:noProof/>
                <w:szCs w:val="24"/>
                <w:lang w:eastAsia="ru-RU"/>
              </w:rPr>
              <w:drawing>
                <wp:inline distT="0" distB="0" distL="0" distR="0" wp14:anchorId="0E5C4B40" wp14:editId="05BF859C">
                  <wp:extent cx="2828925" cy="2786380"/>
                  <wp:effectExtent l="0" t="0" r="9525" b="0"/>
                  <wp:docPr id="910" name="Рисунок 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828925" cy="2786380"/>
                          </a:xfrm>
                          <a:prstGeom prst="rect">
                            <a:avLst/>
                          </a:prstGeom>
                          <a:noFill/>
                        </pic:spPr>
                      </pic:pic>
                    </a:graphicData>
                  </a:graphic>
                </wp:inline>
              </w:drawing>
            </w:r>
          </w:p>
        </w:tc>
        <w:tc>
          <w:tcPr>
            <w:tcW w:w="4820" w:type="dxa"/>
          </w:tcPr>
          <w:p w14:paraId="6AFE0DBF" w14:textId="77777777" w:rsidR="0047261E" w:rsidRPr="0047261E" w:rsidRDefault="0047261E" w:rsidP="0047261E">
            <w:pPr>
              <w:ind w:firstLine="0"/>
              <w:contextualSpacing/>
              <w:jc w:val="center"/>
              <w:rPr>
                <w:rFonts w:eastAsia="Arial" w:cs="Times New Roman"/>
                <w:b/>
                <w:bCs/>
                <w:szCs w:val="24"/>
                <w:lang w:eastAsia="zh-CN"/>
              </w:rPr>
            </w:pPr>
            <w:r w:rsidRPr="0047261E">
              <w:rPr>
                <w:rFonts w:eastAsia="Arial" w:cs="Times New Roman"/>
                <w:b/>
                <w:bCs/>
                <w:noProof/>
                <w:szCs w:val="24"/>
                <w:lang w:eastAsia="ru-RU"/>
              </w:rPr>
              <w:drawing>
                <wp:inline distT="0" distB="0" distL="0" distR="0" wp14:anchorId="1F755D5B" wp14:editId="748B41EC">
                  <wp:extent cx="2853055" cy="2786380"/>
                  <wp:effectExtent l="0" t="0" r="4445" b="0"/>
                  <wp:docPr id="913" name="Рисунок 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853055" cy="2786380"/>
                          </a:xfrm>
                          <a:prstGeom prst="rect">
                            <a:avLst/>
                          </a:prstGeom>
                          <a:noFill/>
                        </pic:spPr>
                      </pic:pic>
                    </a:graphicData>
                  </a:graphic>
                </wp:inline>
              </w:drawing>
            </w:r>
          </w:p>
        </w:tc>
      </w:tr>
      <w:tr w:rsidR="0047261E" w:rsidRPr="0047261E" w14:paraId="52BA2488" w14:textId="77777777" w:rsidTr="0047261E">
        <w:tc>
          <w:tcPr>
            <w:tcW w:w="4819" w:type="dxa"/>
          </w:tcPr>
          <w:p w14:paraId="680D8BB5" w14:textId="63624680" w:rsidR="0047261E" w:rsidRPr="0047261E" w:rsidRDefault="0047261E" w:rsidP="0047261E">
            <w:pPr>
              <w:suppressLineNumbers/>
              <w:suppressAutoHyphens/>
              <w:ind w:firstLine="0"/>
              <w:jc w:val="center"/>
              <w:rPr>
                <w:rFonts w:eastAsia="Calibri" w:cs="Times New Roman"/>
                <w:b/>
                <w:i/>
                <w:iCs/>
                <w:szCs w:val="24"/>
              </w:rPr>
            </w:pPr>
            <w:r w:rsidRPr="0047261E">
              <w:rPr>
                <w:rFonts w:eastAsia="Calibri" w:cs="Times New Roman"/>
                <w:i/>
                <w:iCs/>
                <w:szCs w:val="24"/>
              </w:rPr>
              <w:t xml:space="preserve">Рисунок </w:t>
            </w:r>
            <w:r w:rsidRPr="0047261E">
              <w:rPr>
                <w:rFonts w:eastAsia="Calibri" w:cs="Times New Roman"/>
                <w:i/>
                <w:iCs/>
                <w:szCs w:val="24"/>
              </w:rPr>
              <w:fldChar w:fldCharType="begin"/>
            </w:r>
            <w:r w:rsidRPr="0047261E">
              <w:rPr>
                <w:rFonts w:eastAsia="Calibri" w:cs="Times New Roman"/>
                <w:i/>
                <w:iCs/>
                <w:szCs w:val="24"/>
              </w:rPr>
              <w:instrText xml:space="preserve"> SEQ Рисунок \* ARABIC </w:instrText>
            </w:r>
            <w:r w:rsidRPr="0047261E">
              <w:rPr>
                <w:rFonts w:eastAsia="Calibri" w:cs="Times New Roman"/>
                <w:i/>
                <w:iCs/>
                <w:szCs w:val="24"/>
              </w:rPr>
              <w:fldChar w:fldCharType="separate"/>
            </w:r>
            <w:r w:rsidR="00FD2769">
              <w:rPr>
                <w:rFonts w:eastAsia="Calibri" w:cs="Times New Roman"/>
                <w:i/>
                <w:iCs/>
                <w:noProof/>
                <w:szCs w:val="24"/>
              </w:rPr>
              <w:t>25</w:t>
            </w:r>
            <w:r w:rsidRPr="0047261E">
              <w:rPr>
                <w:rFonts w:eastAsia="Calibri" w:cs="Times New Roman"/>
                <w:i/>
                <w:iCs/>
                <w:szCs w:val="24"/>
              </w:rPr>
              <w:fldChar w:fldCharType="end"/>
            </w:r>
          </w:p>
        </w:tc>
        <w:tc>
          <w:tcPr>
            <w:tcW w:w="4820" w:type="dxa"/>
          </w:tcPr>
          <w:p w14:paraId="6AB5924B" w14:textId="1F1830AF" w:rsidR="0047261E" w:rsidRPr="0047261E" w:rsidRDefault="0047261E" w:rsidP="0047261E">
            <w:pPr>
              <w:suppressLineNumbers/>
              <w:suppressAutoHyphens/>
              <w:ind w:firstLine="0"/>
              <w:jc w:val="center"/>
              <w:rPr>
                <w:rFonts w:eastAsia="Calibri" w:cs="Times New Roman"/>
                <w:b/>
                <w:i/>
                <w:iCs/>
                <w:szCs w:val="24"/>
              </w:rPr>
            </w:pPr>
            <w:r w:rsidRPr="0047261E">
              <w:rPr>
                <w:rFonts w:eastAsia="Calibri" w:cs="Times New Roman"/>
                <w:i/>
                <w:iCs/>
                <w:szCs w:val="24"/>
              </w:rPr>
              <w:t xml:space="preserve">Рисунок </w:t>
            </w:r>
            <w:r w:rsidRPr="0047261E">
              <w:rPr>
                <w:rFonts w:eastAsia="Calibri" w:cs="Times New Roman"/>
                <w:i/>
                <w:iCs/>
                <w:szCs w:val="24"/>
              </w:rPr>
              <w:fldChar w:fldCharType="begin"/>
            </w:r>
            <w:r w:rsidRPr="0047261E">
              <w:rPr>
                <w:rFonts w:eastAsia="Calibri" w:cs="Times New Roman"/>
                <w:i/>
                <w:iCs/>
                <w:szCs w:val="24"/>
              </w:rPr>
              <w:instrText xml:space="preserve"> SEQ Рисунок \* ARABIC </w:instrText>
            </w:r>
            <w:r w:rsidRPr="0047261E">
              <w:rPr>
                <w:rFonts w:eastAsia="Calibri" w:cs="Times New Roman"/>
                <w:i/>
                <w:iCs/>
                <w:szCs w:val="24"/>
              </w:rPr>
              <w:fldChar w:fldCharType="separate"/>
            </w:r>
            <w:r w:rsidR="00FD2769">
              <w:rPr>
                <w:rFonts w:eastAsia="Calibri" w:cs="Times New Roman"/>
                <w:i/>
                <w:iCs/>
                <w:noProof/>
                <w:szCs w:val="24"/>
              </w:rPr>
              <w:t>26</w:t>
            </w:r>
            <w:r w:rsidRPr="0047261E">
              <w:rPr>
                <w:rFonts w:eastAsia="Calibri" w:cs="Times New Roman"/>
                <w:i/>
                <w:iCs/>
                <w:szCs w:val="24"/>
              </w:rPr>
              <w:fldChar w:fldCharType="end"/>
            </w:r>
          </w:p>
        </w:tc>
      </w:tr>
    </w:tbl>
    <w:p w14:paraId="4A1854B7" w14:textId="77777777" w:rsidR="0047261E" w:rsidRPr="0047261E" w:rsidRDefault="0047261E" w:rsidP="0047261E">
      <w:pPr>
        <w:widowControl w:val="0"/>
        <w:ind w:firstLine="709"/>
        <w:contextualSpacing/>
        <w:rPr>
          <w:rFonts w:eastAsia="Arial" w:cs="Times New Roman"/>
          <w:b/>
          <w:bCs/>
          <w:kern w:val="3"/>
          <w:szCs w:val="24"/>
          <w:lang w:eastAsia="zh-CN" w:bidi="hi-IN"/>
        </w:rPr>
      </w:pPr>
    </w:p>
    <w:p w14:paraId="2276CC1F" w14:textId="77777777" w:rsidR="0047261E" w:rsidRPr="0047261E" w:rsidRDefault="0047261E" w:rsidP="0047261E">
      <w:pPr>
        <w:widowControl w:val="0"/>
        <w:ind w:firstLine="709"/>
        <w:contextualSpacing/>
        <w:rPr>
          <w:rFonts w:eastAsia="Arial" w:cs="Times New Roman"/>
          <w:color w:val="000000"/>
          <w:kern w:val="3"/>
          <w:szCs w:val="24"/>
          <w:shd w:val="clear" w:color="auto" w:fill="FFFFFF"/>
          <w:lang w:eastAsia="ru-RU" w:bidi="ru-RU"/>
        </w:rPr>
      </w:pPr>
      <w:r w:rsidRPr="0047261E">
        <w:rPr>
          <w:rFonts w:eastAsia="Arial" w:cs="Times New Roman"/>
          <w:bCs/>
          <w:kern w:val="3"/>
          <w:szCs w:val="24"/>
          <w:lang w:eastAsia="zh-CN" w:bidi="hi-IN"/>
        </w:rPr>
        <w:t xml:space="preserve">Отрицательное сальдо финансового счета в 2018 г. расширилось до 76,8 млрд. долл. США (по сравнению с 12,6 млрд. долл. США в 2017 году). </w:t>
      </w:r>
      <w:r w:rsidRPr="0047261E">
        <w:rPr>
          <w:rFonts w:eastAsia="Arial" w:cs="Times New Roman"/>
          <w:color w:val="000000"/>
          <w:kern w:val="3"/>
          <w:szCs w:val="24"/>
          <w:shd w:val="clear" w:color="auto" w:fill="FFFFFF"/>
          <w:lang w:eastAsia="ru-RU" w:bidi="ru-RU"/>
        </w:rPr>
        <w:t>Отток по частному сектору составил 72,1 млрд. долл. США</w:t>
      </w:r>
      <w:r w:rsidRPr="0047261E">
        <w:rPr>
          <w:rFonts w:eastAsia="Arial" w:cs="Times New Roman"/>
          <w:color w:val="000000"/>
          <w:kern w:val="3"/>
          <w:szCs w:val="24"/>
          <w:shd w:val="clear" w:color="auto" w:fill="FFFFFF"/>
          <w:vertAlign w:val="superscript"/>
          <w:lang w:eastAsia="ru-RU" w:bidi="ru-RU"/>
        </w:rPr>
        <w:footnoteReference w:id="6"/>
      </w:r>
      <w:r w:rsidRPr="0047261E">
        <w:rPr>
          <w:rFonts w:eastAsia="Arial" w:cs="Times New Roman"/>
          <w:color w:val="000000"/>
          <w:kern w:val="3"/>
          <w:szCs w:val="24"/>
          <w:shd w:val="clear" w:color="auto" w:fill="FFFFFF"/>
          <w:lang w:eastAsia="ru-RU" w:bidi="ru-RU"/>
        </w:rPr>
        <w:t xml:space="preserve"> (годом ранее - 32,4 млрд. долл. США). Он был в основном обеспечен сокращением внешних обязательств банковского сектора, которое было зафиксировано пятый год подряд, и увеличением финансовых активов «прочих» секторов. </w:t>
      </w:r>
    </w:p>
    <w:p w14:paraId="42817A5B" w14:textId="77777777" w:rsidR="0047261E" w:rsidRPr="0047261E" w:rsidRDefault="0047261E" w:rsidP="0047261E">
      <w:pPr>
        <w:widowControl w:val="0"/>
        <w:ind w:firstLine="709"/>
        <w:contextualSpacing/>
        <w:rPr>
          <w:rFonts w:eastAsia="Arial" w:cs="Times New Roman"/>
          <w:bCs/>
          <w:kern w:val="3"/>
          <w:szCs w:val="24"/>
          <w:lang w:eastAsia="zh-CN" w:bidi="hi-IN"/>
        </w:rPr>
      </w:pPr>
      <w:r w:rsidRPr="0047261E">
        <w:rPr>
          <w:rFonts w:eastAsia="Arial" w:cs="Times New Roman"/>
          <w:bCs/>
          <w:kern w:val="3"/>
          <w:szCs w:val="24"/>
          <w:lang w:eastAsia="zh-CN" w:bidi="hi-IN"/>
        </w:rPr>
        <w:t xml:space="preserve">По государственному сектору в 2018 г. наблюдался отток капитала в размере 6,9 млрд. долл. США (после притока 13,3 млрд. долл. США в 2017 году), который был преимущественно связан с выходом нерезидентов с рынка российского госдолга начиная с апреля. За апрель-декабрь их вложения в ОФЗ снизились на 561 млрд. рублей, при этом наиболее активная фаза оттока пришлась на 2кв18. Доля нерезидентов на рынке ОФЗ на 1 января 2019 г. составила 24,4 % по сравнению с 34,5 % на 1 апреля 2018 года. </w:t>
      </w:r>
    </w:p>
    <w:p w14:paraId="7C3FDEA1" w14:textId="77777777" w:rsidR="0047261E" w:rsidRPr="0047261E" w:rsidRDefault="0047261E" w:rsidP="0047261E">
      <w:pPr>
        <w:widowControl w:val="0"/>
        <w:ind w:firstLine="709"/>
        <w:contextualSpacing/>
        <w:rPr>
          <w:rFonts w:eastAsia="Arial" w:cs="Times New Roman"/>
          <w:bCs/>
          <w:kern w:val="3"/>
          <w:szCs w:val="24"/>
          <w:lang w:eastAsia="zh-CN" w:bidi="hi-IN"/>
        </w:rPr>
      </w:pPr>
      <w:r w:rsidRPr="0047261E">
        <w:rPr>
          <w:rFonts w:eastAsia="Arial" w:cs="Times New Roman"/>
          <w:bCs/>
          <w:kern w:val="3"/>
          <w:szCs w:val="24"/>
          <w:lang w:eastAsia="zh-CN" w:bidi="hi-IN"/>
        </w:rPr>
        <w:t xml:space="preserve">Снижение внешних обязательств как частного, так и государственного сектора привело к сокращению российского внешнего долга до 454 млрд. долл. США на 1 января 2019 г. по сравнению с 518 млрд. долл. США на начало прошлого года. При этом отношение внешнего долга к ВВП на конец 2018 г. (по оценке, 27,4 %) приблизилось к минимальным уровням с начала 2000-х годов. </w:t>
      </w:r>
      <w:r w:rsidRPr="0047261E">
        <w:rPr>
          <w:rFonts w:eastAsia="Arial" w:cs="Times New Roman"/>
          <w:color w:val="000000"/>
          <w:kern w:val="3"/>
          <w:szCs w:val="24"/>
          <w:shd w:val="clear" w:color="auto" w:fill="FFFFFF"/>
          <w:lang w:eastAsia="ru-RU" w:bidi="ru-RU"/>
        </w:rPr>
        <w:t>В условиях превышения профицита текущего счета над отрицательным сальдо финансового счета международные резервы в 2018 г. продолжили рост.</w:t>
      </w:r>
      <w:r w:rsidRPr="0047261E">
        <w:rPr>
          <w:rFonts w:eastAsia="Arial" w:cs="Times New Roman"/>
          <w:b/>
          <w:color w:val="000000"/>
          <w:kern w:val="3"/>
          <w:szCs w:val="24"/>
          <w:shd w:val="clear" w:color="auto" w:fill="FFFFFF"/>
          <w:lang w:eastAsia="ru-RU" w:bidi="ru-RU"/>
        </w:rPr>
        <w:t xml:space="preserve"> </w:t>
      </w:r>
      <w:r w:rsidRPr="0047261E">
        <w:rPr>
          <w:rFonts w:eastAsia="Arial" w:cs="Times New Roman"/>
          <w:bCs/>
          <w:kern w:val="3"/>
          <w:szCs w:val="24"/>
          <w:lang w:eastAsia="zh-CN" w:bidi="hi-IN"/>
        </w:rPr>
        <w:t>Их объем за год увеличился на 38,2 млрд. долл. США (22,6 млрд. долл. США в 2017 года). Основным источником накопления резервов стали операции Банка России по покупке иностранной валюты в рамках бюджетного правила, объем которых за период с начала года по 22 августа, когда было принято решение об их приостановке до конца 2018 года, составил 35,4 млрд. долл. США.</w:t>
      </w:r>
    </w:p>
    <w:p w14:paraId="394CC412" w14:textId="2C8C5078" w:rsidR="0047261E" w:rsidRPr="0047261E" w:rsidRDefault="0047261E" w:rsidP="00763AD2">
      <w:pPr>
        <w:pStyle w:val="afffffff0"/>
      </w:pPr>
      <w:r w:rsidRPr="0047261E">
        <w:t xml:space="preserve">Таблица </w:t>
      </w:r>
      <w:r w:rsidR="00A90944">
        <w:fldChar w:fldCharType="begin"/>
      </w:r>
      <w:r w:rsidR="00A90944">
        <w:instrText xml:space="preserve"> SEQ Таблица \* ARA</w:instrText>
      </w:r>
      <w:r w:rsidR="00A90944">
        <w:instrText xml:space="preserve">BIC </w:instrText>
      </w:r>
      <w:r w:rsidR="00A90944">
        <w:fldChar w:fldCharType="separate"/>
      </w:r>
      <w:r w:rsidR="00FD2769">
        <w:rPr>
          <w:noProof/>
        </w:rPr>
        <w:t>9</w:t>
      </w:r>
      <w:r w:rsidR="00A90944">
        <w:rPr>
          <w:noProof/>
        </w:rPr>
        <w:fldChar w:fldCharType="end"/>
      </w:r>
      <w:r w:rsidRPr="0047261E">
        <w:t>. Показатели платежного баланса</w:t>
      </w:r>
    </w:p>
    <w:tbl>
      <w:tblPr>
        <w:tblOverlap w:val="never"/>
        <w:tblW w:w="0" w:type="auto"/>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4A0" w:firstRow="1" w:lastRow="0" w:firstColumn="1" w:lastColumn="0" w:noHBand="0" w:noVBand="1"/>
      </w:tblPr>
      <w:tblGrid>
        <w:gridCol w:w="4358"/>
        <w:gridCol w:w="571"/>
        <w:gridCol w:w="677"/>
        <w:gridCol w:w="667"/>
        <w:gridCol w:w="662"/>
        <w:gridCol w:w="662"/>
        <w:gridCol w:w="682"/>
        <w:gridCol w:w="667"/>
        <w:gridCol w:w="706"/>
      </w:tblGrid>
      <w:tr w:rsidR="0047261E" w:rsidRPr="0047261E" w14:paraId="61CDA14B" w14:textId="77777777" w:rsidTr="0047261E">
        <w:trPr>
          <w:trHeight w:val="274"/>
        </w:trPr>
        <w:tc>
          <w:tcPr>
            <w:tcW w:w="4358" w:type="dxa"/>
            <w:shd w:val="clear" w:color="auto" w:fill="FFFFFF"/>
          </w:tcPr>
          <w:p w14:paraId="510AAA80"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p>
        </w:tc>
        <w:tc>
          <w:tcPr>
            <w:tcW w:w="571" w:type="dxa"/>
            <w:shd w:val="clear" w:color="auto" w:fill="FFFFFF"/>
            <w:vAlign w:val="bottom"/>
          </w:tcPr>
          <w:p w14:paraId="213BC0AD"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2018</w:t>
            </w:r>
          </w:p>
        </w:tc>
        <w:tc>
          <w:tcPr>
            <w:tcW w:w="677" w:type="dxa"/>
            <w:shd w:val="clear" w:color="auto" w:fill="FFFFFF"/>
            <w:vAlign w:val="bottom"/>
          </w:tcPr>
          <w:p w14:paraId="0C5B6DF7"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4кв18</w:t>
            </w:r>
          </w:p>
        </w:tc>
        <w:tc>
          <w:tcPr>
            <w:tcW w:w="667" w:type="dxa"/>
            <w:shd w:val="clear" w:color="auto" w:fill="FFFFFF"/>
            <w:vAlign w:val="bottom"/>
          </w:tcPr>
          <w:p w14:paraId="2A964A4A"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9м18</w:t>
            </w:r>
          </w:p>
        </w:tc>
        <w:tc>
          <w:tcPr>
            <w:tcW w:w="662" w:type="dxa"/>
            <w:shd w:val="clear" w:color="auto" w:fill="FFFFFF"/>
            <w:vAlign w:val="bottom"/>
          </w:tcPr>
          <w:p w14:paraId="62ACBD24"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6м18</w:t>
            </w:r>
          </w:p>
        </w:tc>
        <w:tc>
          <w:tcPr>
            <w:tcW w:w="662" w:type="dxa"/>
            <w:shd w:val="clear" w:color="auto" w:fill="FFFFFF"/>
            <w:vAlign w:val="bottom"/>
          </w:tcPr>
          <w:p w14:paraId="17E0FA21"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2017</w:t>
            </w:r>
          </w:p>
        </w:tc>
        <w:tc>
          <w:tcPr>
            <w:tcW w:w="682" w:type="dxa"/>
            <w:shd w:val="clear" w:color="auto" w:fill="FFFFFF"/>
            <w:vAlign w:val="bottom"/>
          </w:tcPr>
          <w:p w14:paraId="2CE8749E"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4кв17</w:t>
            </w:r>
          </w:p>
        </w:tc>
        <w:tc>
          <w:tcPr>
            <w:tcW w:w="667" w:type="dxa"/>
            <w:shd w:val="clear" w:color="auto" w:fill="FFFFFF"/>
            <w:vAlign w:val="bottom"/>
          </w:tcPr>
          <w:p w14:paraId="6CCEA6D0"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9м17</w:t>
            </w:r>
          </w:p>
        </w:tc>
        <w:tc>
          <w:tcPr>
            <w:tcW w:w="706" w:type="dxa"/>
            <w:shd w:val="clear" w:color="auto" w:fill="FFFFFF"/>
            <w:vAlign w:val="bottom"/>
          </w:tcPr>
          <w:p w14:paraId="4EE27C76"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6м17</w:t>
            </w:r>
          </w:p>
        </w:tc>
      </w:tr>
      <w:tr w:rsidR="0047261E" w:rsidRPr="0047261E" w14:paraId="16D5800D" w14:textId="77777777" w:rsidTr="0047261E">
        <w:trPr>
          <w:trHeight w:val="322"/>
        </w:trPr>
        <w:tc>
          <w:tcPr>
            <w:tcW w:w="4358" w:type="dxa"/>
            <w:shd w:val="clear" w:color="auto" w:fill="FFFFFF"/>
            <w:vAlign w:val="bottom"/>
          </w:tcPr>
          <w:p w14:paraId="28B19FB3"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Счет текущих операций</w:t>
            </w:r>
          </w:p>
        </w:tc>
        <w:tc>
          <w:tcPr>
            <w:tcW w:w="571" w:type="dxa"/>
            <w:shd w:val="clear" w:color="auto" w:fill="FFFFFF"/>
            <w:vAlign w:val="bottom"/>
          </w:tcPr>
          <w:p w14:paraId="41486D9E"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114,9</w:t>
            </w:r>
          </w:p>
        </w:tc>
        <w:tc>
          <w:tcPr>
            <w:tcW w:w="677" w:type="dxa"/>
            <w:shd w:val="clear" w:color="auto" w:fill="FFFFFF"/>
            <w:vAlign w:val="bottom"/>
          </w:tcPr>
          <w:p w14:paraId="12A22D34"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38,8</w:t>
            </w:r>
          </w:p>
        </w:tc>
        <w:tc>
          <w:tcPr>
            <w:tcW w:w="667" w:type="dxa"/>
            <w:shd w:val="clear" w:color="auto" w:fill="FFFFFF"/>
            <w:vAlign w:val="bottom"/>
          </w:tcPr>
          <w:p w14:paraId="72ACDF75"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76,1</w:t>
            </w:r>
          </w:p>
        </w:tc>
        <w:tc>
          <w:tcPr>
            <w:tcW w:w="662" w:type="dxa"/>
            <w:shd w:val="clear" w:color="auto" w:fill="FFFFFF"/>
            <w:vAlign w:val="bottom"/>
          </w:tcPr>
          <w:p w14:paraId="6D0574DA"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48,4</w:t>
            </w:r>
          </w:p>
        </w:tc>
        <w:tc>
          <w:tcPr>
            <w:tcW w:w="662" w:type="dxa"/>
            <w:shd w:val="clear" w:color="auto" w:fill="FFFFFF"/>
            <w:vAlign w:val="bottom"/>
          </w:tcPr>
          <w:p w14:paraId="0560B806"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33,3</w:t>
            </w:r>
          </w:p>
        </w:tc>
        <w:tc>
          <w:tcPr>
            <w:tcW w:w="682" w:type="dxa"/>
            <w:shd w:val="clear" w:color="auto" w:fill="FFFFFF"/>
            <w:vAlign w:val="bottom"/>
          </w:tcPr>
          <w:p w14:paraId="6A807626"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13,5</w:t>
            </w:r>
          </w:p>
        </w:tc>
        <w:tc>
          <w:tcPr>
            <w:tcW w:w="667" w:type="dxa"/>
            <w:shd w:val="clear" w:color="auto" w:fill="FFFFFF"/>
            <w:vAlign w:val="bottom"/>
          </w:tcPr>
          <w:p w14:paraId="5D4183F1"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19,7</w:t>
            </w:r>
          </w:p>
        </w:tc>
        <w:tc>
          <w:tcPr>
            <w:tcW w:w="706" w:type="dxa"/>
            <w:shd w:val="clear" w:color="auto" w:fill="FFFFFF"/>
            <w:vAlign w:val="bottom"/>
          </w:tcPr>
          <w:p w14:paraId="356FA339"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22,9</w:t>
            </w:r>
          </w:p>
        </w:tc>
      </w:tr>
      <w:tr w:rsidR="0047261E" w:rsidRPr="0047261E" w14:paraId="39696201" w14:textId="77777777" w:rsidTr="0047261E">
        <w:trPr>
          <w:trHeight w:val="307"/>
        </w:trPr>
        <w:tc>
          <w:tcPr>
            <w:tcW w:w="4358" w:type="dxa"/>
            <w:shd w:val="clear" w:color="auto" w:fill="FFFFFF"/>
            <w:vAlign w:val="bottom"/>
          </w:tcPr>
          <w:p w14:paraId="179E2AFF"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Торговый баланс</w:t>
            </w:r>
          </w:p>
        </w:tc>
        <w:tc>
          <w:tcPr>
            <w:tcW w:w="571" w:type="dxa"/>
            <w:shd w:val="clear" w:color="auto" w:fill="FFFFFF"/>
            <w:vAlign w:val="bottom"/>
          </w:tcPr>
          <w:p w14:paraId="29E43BED"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194,4</w:t>
            </w:r>
          </w:p>
        </w:tc>
        <w:tc>
          <w:tcPr>
            <w:tcW w:w="677" w:type="dxa"/>
            <w:shd w:val="clear" w:color="auto" w:fill="FFFFFF"/>
            <w:vAlign w:val="bottom"/>
          </w:tcPr>
          <w:p w14:paraId="33DBAAEC"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57,0</w:t>
            </w:r>
          </w:p>
        </w:tc>
        <w:tc>
          <w:tcPr>
            <w:tcW w:w="667" w:type="dxa"/>
            <w:shd w:val="clear" w:color="auto" w:fill="FFFFFF"/>
            <w:vAlign w:val="bottom"/>
          </w:tcPr>
          <w:p w14:paraId="0D38DF94"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137,4</w:t>
            </w:r>
          </w:p>
        </w:tc>
        <w:tc>
          <w:tcPr>
            <w:tcW w:w="662" w:type="dxa"/>
            <w:shd w:val="clear" w:color="auto" w:fill="FFFFFF"/>
            <w:vAlign w:val="bottom"/>
          </w:tcPr>
          <w:p w14:paraId="59E5DAF3"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89,4</w:t>
            </w:r>
          </w:p>
        </w:tc>
        <w:tc>
          <w:tcPr>
            <w:tcW w:w="662" w:type="dxa"/>
            <w:shd w:val="clear" w:color="auto" w:fill="FFFFFF"/>
            <w:vAlign w:val="bottom"/>
          </w:tcPr>
          <w:p w14:paraId="620D803B"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115,4</w:t>
            </w:r>
          </w:p>
        </w:tc>
        <w:tc>
          <w:tcPr>
            <w:tcW w:w="682" w:type="dxa"/>
            <w:shd w:val="clear" w:color="auto" w:fill="FFFFFF"/>
            <w:vAlign w:val="bottom"/>
          </w:tcPr>
          <w:p w14:paraId="3AFD3D1D"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35,0</w:t>
            </w:r>
          </w:p>
        </w:tc>
        <w:tc>
          <w:tcPr>
            <w:tcW w:w="667" w:type="dxa"/>
            <w:shd w:val="clear" w:color="auto" w:fill="FFFFFF"/>
            <w:vAlign w:val="bottom"/>
          </w:tcPr>
          <w:p w14:paraId="201E47AC"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80,4</w:t>
            </w:r>
          </w:p>
        </w:tc>
        <w:tc>
          <w:tcPr>
            <w:tcW w:w="706" w:type="dxa"/>
            <w:shd w:val="clear" w:color="auto" w:fill="FFFFFF"/>
            <w:vAlign w:val="bottom"/>
          </w:tcPr>
          <w:p w14:paraId="44B0458F"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59,7</w:t>
            </w:r>
          </w:p>
        </w:tc>
      </w:tr>
      <w:tr w:rsidR="0047261E" w:rsidRPr="0047261E" w14:paraId="7329949F" w14:textId="77777777" w:rsidTr="0047261E">
        <w:trPr>
          <w:trHeight w:val="302"/>
        </w:trPr>
        <w:tc>
          <w:tcPr>
            <w:tcW w:w="4358" w:type="dxa"/>
            <w:shd w:val="clear" w:color="auto" w:fill="FFFFFF"/>
            <w:vAlign w:val="bottom"/>
          </w:tcPr>
          <w:p w14:paraId="1AE19F26"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Экспорт товаров</w:t>
            </w:r>
          </w:p>
        </w:tc>
        <w:tc>
          <w:tcPr>
            <w:tcW w:w="571" w:type="dxa"/>
            <w:shd w:val="clear" w:color="auto" w:fill="FFFFFF"/>
            <w:vAlign w:val="bottom"/>
          </w:tcPr>
          <w:p w14:paraId="5CA34607"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443,4</w:t>
            </w:r>
          </w:p>
        </w:tc>
        <w:tc>
          <w:tcPr>
            <w:tcW w:w="677" w:type="dxa"/>
            <w:shd w:val="clear" w:color="auto" w:fill="FFFFFF"/>
            <w:vAlign w:val="bottom"/>
          </w:tcPr>
          <w:p w14:paraId="7EC2507B"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122,5</w:t>
            </w:r>
          </w:p>
        </w:tc>
        <w:tc>
          <w:tcPr>
            <w:tcW w:w="667" w:type="dxa"/>
            <w:shd w:val="clear" w:color="auto" w:fill="FFFFFF"/>
            <w:vAlign w:val="bottom"/>
          </w:tcPr>
          <w:p w14:paraId="7F968BFF"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320,9</w:t>
            </w:r>
          </w:p>
        </w:tc>
        <w:tc>
          <w:tcPr>
            <w:tcW w:w="662" w:type="dxa"/>
            <w:shd w:val="clear" w:color="auto" w:fill="FFFFFF"/>
            <w:vAlign w:val="bottom"/>
          </w:tcPr>
          <w:p w14:paraId="4D85A5A7"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210,2</w:t>
            </w:r>
          </w:p>
        </w:tc>
        <w:tc>
          <w:tcPr>
            <w:tcW w:w="662" w:type="dxa"/>
            <w:shd w:val="clear" w:color="auto" w:fill="FFFFFF"/>
            <w:vAlign w:val="bottom"/>
          </w:tcPr>
          <w:p w14:paraId="1B30E6CA"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353,5</w:t>
            </w:r>
          </w:p>
        </w:tc>
        <w:tc>
          <w:tcPr>
            <w:tcW w:w="682" w:type="dxa"/>
            <w:shd w:val="clear" w:color="auto" w:fill="FFFFFF"/>
            <w:vAlign w:val="bottom"/>
          </w:tcPr>
          <w:p w14:paraId="3E12952C"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102,6</w:t>
            </w:r>
          </w:p>
        </w:tc>
        <w:tc>
          <w:tcPr>
            <w:tcW w:w="667" w:type="dxa"/>
            <w:shd w:val="clear" w:color="auto" w:fill="FFFFFF"/>
            <w:vAlign w:val="bottom"/>
          </w:tcPr>
          <w:p w14:paraId="69F17EE4"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251,0</w:t>
            </w:r>
          </w:p>
        </w:tc>
        <w:tc>
          <w:tcPr>
            <w:tcW w:w="706" w:type="dxa"/>
            <w:shd w:val="clear" w:color="auto" w:fill="FFFFFF"/>
            <w:vAlign w:val="bottom"/>
          </w:tcPr>
          <w:p w14:paraId="709DDCB9"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166,4</w:t>
            </w:r>
          </w:p>
        </w:tc>
      </w:tr>
      <w:tr w:rsidR="0047261E" w:rsidRPr="0047261E" w14:paraId="13ED6205" w14:textId="77777777" w:rsidTr="0047261E">
        <w:trPr>
          <w:trHeight w:val="302"/>
        </w:trPr>
        <w:tc>
          <w:tcPr>
            <w:tcW w:w="4358" w:type="dxa"/>
            <w:shd w:val="clear" w:color="auto" w:fill="FFFFFF"/>
            <w:vAlign w:val="bottom"/>
          </w:tcPr>
          <w:p w14:paraId="1D379BDD"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Импорт товаров</w:t>
            </w:r>
          </w:p>
        </w:tc>
        <w:tc>
          <w:tcPr>
            <w:tcW w:w="571" w:type="dxa"/>
            <w:shd w:val="clear" w:color="auto" w:fill="FFFFFF"/>
            <w:vAlign w:val="bottom"/>
          </w:tcPr>
          <w:p w14:paraId="796329C0"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249,0</w:t>
            </w:r>
          </w:p>
        </w:tc>
        <w:tc>
          <w:tcPr>
            <w:tcW w:w="677" w:type="dxa"/>
            <w:shd w:val="clear" w:color="auto" w:fill="FFFFFF"/>
            <w:vAlign w:val="bottom"/>
          </w:tcPr>
          <w:p w14:paraId="6C459AFD"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65,6</w:t>
            </w:r>
          </w:p>
        </w:tc>
        <w:tc>
          <w:tcPr>
            <w:tcW w:w="667" w:type="dxa"/>
            <w:shd w:val="clear" w:color="auto" w:fill="FFFFFF"/>
            <w:vAlign w:val="bottom"/>
          </w:tcPr>
          <w:p w14:paraId="4557E002"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183,5</w:t>
            </w:r>
          </w:p>
        </w:tc>
        <w:tc>
          <w:tcPr>
            <w:tcW w:w="662" w:type="dxa"/>
            <w:shd w:val="clear" w:color="auto" w:fill="FFFFFF"/>
            <w:vAlign w:val="bottom"/>
          </w:tcPr>
          <w:p w14:paraId="57398F8E"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120,8</w:t>
            </w:r>
          </w:p>
        </w:tc>
        <w:tc>
          <w:tcPr>
            <w:tcW w:w="662" w:type="dxa"/>
            <w:shd w:val="clear" w:color="auto" w:fill="FFFFFF"/>
            <w:vAlign w:val="bottom"/>
          </w:tcPr>
          <w:p w14:paraId="56452AD4"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238,1</w:t>
            </w:r>
          </w:p>
        </w:tc>
        <w:tc>
          <w:tcPr>
            <w:tcW w:w="682" w:type="dxa"/>
            <w:shd w:val="clear" w:color="auto" w:fill="FFFFFF"/>
            <w:vAlign w:val="bottom"/>
          </w:tcPr>
          <w:p w14:paraId="3688E49A"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67,5</w:t>
            </w:r>
          </w:p>
        </w:tc>
        <w:tc>
          <w:tcPr>
            <w:tcW w:w="667" w:type="dxa"/>
            <w:shd w:val="clear" w:color="auto" w:fill="FFFFFF"/>
            <w:vAlign w:val="bottom"/>
          </w:tcPr>
          <w:p w14:paraId="3CB6BCC4"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170,6</w:t>
            </w:r>
          </w:p>
        </w:tc>
        <w:tc>
          <w:tcPr>
            <w:tcW w:w="706" w:type="dxa"/>
            <w:shd w:val="clear" w:color="auto" w:fill="FFFFFF"/>
            <w:vAlign w:val="bottom"/>
          </w:tcPr>
          <w:p w14:paraId="4974765B"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106,8</w:t>
            </w:r>
          </w:p>
        </w:tc>
      </w:tr>
      <w:tr w:rsidR="0047261E" w:rsidRPr="0047261E" w14:paraId="3FF8ACE9" w14:textId="77777777" w:rsidTr="0047261E">
        <w:trPr>
          <w:trHeight w:val="298"/>
        </w:trPr>
        <w:tc>
          <w:tcPr>
            <w:tcW w:w="4358" w:type="dxa"/>
            <w:shd w:val="clear" w:color="auto" w:fill="FFFFFF"/>
            <w:vAlign w:val="bottom"/>
          </w:tcPr>
          <w:p w14:paraId="14D60EF2"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Баланс услуг</w:t>
            </w:r>
          </w:p>
        </w:tc>
        <w:tc>
          <w:tcPr>
            <w:tcW w:w="571" w:type="dxa"/>
            <w:shd w:val="clear" w:color="auto" w:fill="FFFFFF"/>
            <w:vAlign w:val="bottom"/>
          </w:tcPr>
          <w:p w14:paraId="73080512"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-30,2</w:t>
            </w:r>
          </w:p>
        </w:tc>
        <w:tc>
          <w:tcPr>
            <w:tcW w:w="677" w:type="dxa"/>
            <w:shd w:val="clear" w:color="auto" w:fill="FFFFFF"/>
            <w:vAlign w:val="bottom"/>
          </w:tcPr>
          <w:p w14:paraId="15B7755C"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-7,6</w:t>
            </w:r>
          </w:p>
        </w:tc>
        <w:tc>
          <w:tcPr>
            <w:tcW w:w="667" w:type="dxa"/>
            <w:shd w:val="clear" w:color="auto" w:fill="FFFFFF"/>
            <w:vAlign w:val="bottom"/>
          </w:tcPr>
          <w:p w14:paraId="3A1DFA9A"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-22,6</w:t>
            </w:r>
          </w:p>
        </w:tc>
        <w:tc>
          <w:tcPr>
            <w:tcW w:w="662" w:type="dxa"/>
            <w:shd w:val="clear" w:color="auto" w:fill="FFFFFF"/>
            <w:vAlign w:val="bottom"/>
          </w:tcPr>
          <w:p w14:paraId="2B23B7EB"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-14,0</w:t>
            </w:r>
          </w:p>
        </w:tc>
        <w:tc>
          <w:tcPr>
            <w:tcW w:w="662" w:type="dxa"/>
            <w:shd w:val="clear" w:color="auto" w:fill="FFFFFF"/>
            <w:vAlign w:val="bottom"/>
          </w:tcPr>
          <w:p w14:paraId="14538146"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-31,1</w:t>
            </w:r>
          </w:p>
        </w:tc>
        <w:tc>
          <w:tcPr>
            <w:tcW w:w="682" w:type="dxa"/>
            <w:shd w:val="clear" w:color="auto" w:fill="FFFFFF"/>
            <w:vAlign w:val="bottom"/>
          </w:tcPr>
          <w:p w14:paraId="6293182B"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-8,4</w:t>
            </w:r>
          </w:p>
        </w:tc>
        <w:tc>
          <w:tcPr>
            <w:tcW w:w="667" w:type="dxa"/>
            <w:shd w:val="clear" w:color="auto" w:fill="FFFFFF"/>
            <w:vAlign w:val="bottom"/>
          </w:tcPr>
          <w:p w14:paraId="40131D3C"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-22,7</w:t>
            </w:r>
          </w:p>
        </w:tc>
        <w:tc>
          <w:tcPr>
            <w:tcW w:w="706" w:type="dxa"/>
            <w:shd w:val="clear" w:color="auto" w:fill="FFFFFF"/>
            <w:vAlign w:val="bottom"/>
          </w:tcPr>
          <w:p w14:paraId="38556B0D"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-12,8</w:t>
            </w:r>
          </w:p>
        </w:tc>
      </w:tr>
      <w:tr w:rsidR="0047261E" w:rsidRPr="0047261E" w14:paraId="252D34FA" w14:textId="77777777" w:rsidTr="0047261E">
        <w:trPr>
          <w:trHeight w:val="302"/>
        </w:trPr>
        <w:tc>
          <w:tcPr>
            <w:tcW w:w="4358" w:type="dxa"/>
            <w:shd w:val="clear" w:color="auto" w:fill="FFFFFF"/>
            <w:vAlign w:val="bottom"/>
          </w:tcPr>
          <w:p w14:paraId="420E42A8"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Экспорт услуг</w:t>
            </w:r>
          </w:p>
        </w:tc>
        <w:tc>
          <w:tcPr>
            <w:tcW w:w="571" w:type="dxa"/>
            <w:shd w:val="clear" w:color="auto" w:fill="FFFFFF"/>
            <w:vAlign w:val="bottom"/>
          </w:tcPr>
          <w:p w14:paraId="382002F8"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65,3</w:t>
            </w:r>
          </w:p>
        </w:tc>
        <w:tc>
          <w:tcPr>
            <w:tcW w:w="677" w:type="dxa"/>
            <w:shd w:val="clear" w:color="auto" w:fill="FFFFFF"/>
            <w:vAlign w:val="bottom"/>
          </w:tcPr>
          <w:p w14:paraId="3F1EB910"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16,7</w:t>
            </w:r>
          </w:p>
        </w:tc>
        <w:tc>
          <w:tcPr>
            <w:tcW w:w="667" w:type="dxa"/>
            <w:shd w:val="clear" w:color="auto" w:fill="FFFFFF"/>
            <w:vAlign w:val="bottom"/>
          </w:tcPr>
          <w:p w14:paraId="18AE73E8"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48,7</w:t>
            </w:r>
          </w:p>
        </w:tc>
        <w:tc>
          <w:tcPr>
            <w:tcW w:w="662" w:type="dxa"/>
            <w:shd w:val="clear" w:color="auto" w:fill="FFFFFF"/>
            <w:vAlign w:val="bottom"/>
          </w:tcPr>
          <w:p w14:paraId="77A13DA1"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31,1</w:t>
            </w:r>
          </w:p>
        </w:tc>
        <w:tc>
          <w:tcPr>
            <w:tcW w:w="662" w:type="dxa"/>
            <w:shd w:val="clear" w:color="auto" w:fill="FFFFFF"/>
            <w:vAlign w:val="bottom"/>
          </w:tcPr>
          <w:p w14:paraId="7FC64C16"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57,7</w:t>
            </w:r>
          </w:p>
        </w:tc>
        <w:tc>
          <w:tcPr>
            <w:tcW w:w="682" w:type="dxa"/>
            <w:shd w:val="clear" w:color="auto" w:fill="FFFFFF"/>
            <w:vAlign w:val="bottom"/>
          </w:tcPr>
          <w:p w14:paraId="7561D8E8"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15,4</w:t>
            </w:r>
          </w:p>
        </w:tc>
        <w:tc>
          <w:tcPr>
            <w:tcW w:w="667" w:type="dxa"/>
            <w:shd w:val="clear" w:color="auto" w:fill="FFFFFF"/>
            <w:vAlign w:val="bottom"/>
          </w:tcPr>
          <w:p w14:paraId="45CB324B"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42,3</w:t>
            </w:r>
          </w:p>
        </w:tc>
        <w:tc>
          <w:tcPr>
            <w:tcW w:w="706" w:type="dxa"/>
            <w:shd w:val="clear" w:color="auto" w:fill="FFFFFF"/>
            <w:vAlign w:val="bottom"/>
          </w:tcPr>
          <w:p w14:paraId="1F554462"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27,1</w:t>
            </w:r>
          </w:p>
        </w:tc>
      </w:tr>
      <w:tr w:rsidR="0047261E" w:rsidRPr="0047261E" w14:paraId="6800BF97" w14:textId="77777777" w:rsidTr="0047261E">
        <w:trPr>
          <w:trHeight w:val="298"/>
        </w:trPr>
        <w:tc>
          <w:tcPr>
            <w:tcW w:w="4358" w:type="dxa"/>
            <w:shd w:val="clear" w:color="auto" w:fill="FFFFFF"/>
            <w:vAlign w:val="bottom"/>
          </w:tcPr>
          <w:p w14:paraId="52561856"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Импорт услуг</w:t>
            </w:r>
          </w:p>
        </w:tc>
        <w:tc>
          <w:tcPr>
            <w:tcW w:w="571" w:type="dxa"/>
            <w:shd w:val="clear" w:color="auto" w:fill="FFFFFF"/>
            <w:vAlign w:val="bottom"/>
          </w:tcPr>
          <w:p w14:paraId="4BF079F3"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95,5</w:t>
            </w:r>
          </w:p>
        </w:tc>
        <w:tc>
          <w:tcPr>
            <w:tcW w:w="677" w:type="dxa"/>
            <w:shd w:val="clear" w:color="auto" w:fill="FFFFFF"/>
            <w:vAlign w:val="bottom"/>
          </w:tcPr>
          <w:p w14:paraId="63834FE5"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24,3</w:t>
            </w:r>
          </w:p>
        </w:tc>
        <w:tc>
          <w:tcPr>
            <w:tcW w:w="667" w:type="dxa"/>
            <w:shd w:val="clear" w:color="auto" w:fill="FFFFFF"/>
            <w:vAlign w:val="bottom"/>
          </w:tcPr>
          <w:p w14:paraId="3F9CDE41"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71,3</w:t>
            </w:r>
          </w:p>
        </w:tc>
        <w:tc>
          <w:tcPr>
            <w:tcW w:w="662" w:type="dxa"/>
            <w:shd w:val="clear" w:color="auto" w:fill="FFFFFF"/>
            <w:vAlign w:val="bottom"/>
          </w:tcPr>
          <w:p w14:paraId="00074A32"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45,1</w:t>
            </w:r>
          </w:p>
        </w:tc>
        <w:tc>
          <w:tcPr>
            <w:tcW w:w="662" w:type="dxa"/>
            <w:shd w:val="clear" w:color="auto" w:fill="FFFFFF"/>
            <w:vAlign w:val="bottom"/>
          </w:tcPr>
          <w:p w14:paraId="32B606D4"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88,8</w:t>
            </w:r>
          </w:p>
        </w:tc>
        <w:tc>
          <w:tcPr>
            <w:tcW w:w="682" w:type="dxa"/>
            <w:shd w:val="clear" w:color="auto" w:fill="FFFFFF"/>
            <w:vAlign w:val="bottom"/>
          </w:tcPr>
          <w:p w14:paraId="0C30C25F"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23,8</w:t>
            </w:r>
          </w:p>
        </w:tc>
        <w:tc>
          <w:tcPr>
            <w:tcW w:w="667" w:type="dxa"/>
            <w:shd w:val="clear" w:color="auto" w:fill="FFFFFF"/>
            <w:vAlign w:val="bottom"/>
          </w:tcPr>
          <w:p w14:paraId="459D5EF9"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65,0</w:t>
            </w:r>
          </w:p>
        </w:tc>
        <w:tc>
          <w:tcPr>
            <w:tcW w:w="706" w:type="dxa"/>
            <w:shd w:val="clear" w:color="auto" w:fill="FFFFFF"/>
            <w:vAlign w:val="bottom"/>
          </w:tcPr>
          <w:p w14:paraId="41515398"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39,9</w:t>
            </w:r>
          </w:p>
        </w:tc>
      </w:tr>
      <w:tr w:rsidR="0047261E" w:rsidRPr="0047261E" w14:paraId="7230EC51" w14:textId="77777777" w:rsidTr="0047261E">
        <w:trPr>
          <w:trHeight w:val="298"/>
        </w:trPr>
        <w:tc>
          <w:tcPr>
            <w:tcW w:w="4358" w:type="dxa"/>
            <w:shd w:val="clear" w:color="auto" w:fill="FFFFFF"/>
            <w:vAlign w:val="center"/>
          </w:tcPr>
          <w:p w14:paraId="7FC2E7BB"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Баланс оплаты труда</w:t>
            </w:r>
          </w:p>
        </w:tc>
        <w:tc>
          <w:tcPr>
            <w:tcW w:w="571" w:type="dxa"/>
            <w:shd w:val="clear" w:color="auto" w:fill="FFFFFF"/>
            <w:vAlign w:val="center"/>
          </w:tcPr>
          <w:p w14:paraId="7340F601"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-1,8</w:t>
            </w:r>
          </w:p>
        </w:tc>
        <w:tc>
          <w:tcPr>
            <w:tcW w:w="677" w:type="dxa"/>
            <w:shd w:val="clear" w:color="auto" w:fill="FFFFFF"/>
            <w:vAlign w:val="center"/>
          </w:tcPr>
          <w:p w14:paraId="1E2A74FC"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-0,6</w:t>
            </w:r>
          </w:p>
        </w:tc>
        <w:tc>
          <w:tcPr>
            <w:tcW w:w="667" w:type="dxa"/>
            <w:shd w:val="clear" w:color="auto" w:fill="FFFFFF"/>
            <w:vAlign w:val="center"/>
          </w:tcPr>
          <w:p w14:paraId="5DD69B52"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-1,2</w:t>
            </w:r>
          </w:p>
        </w:tc>
        <w:tc>
          <w:tcPr>
            <w:tcW w:w="662" w:type="dxa"/>
            <w:shd w:val="clear" w:color="auto" w:fill="FFFFFF"/>
            <w:vAlign w:val="center"/>
          </w:tcPr>
          <w:p w14:paraId="0D118656"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-0,7</w:t>
            </w:r>
          </w:p>
        </w:tc>
        <w:tc>
          <w:tcPr>
            <w:tcW w:w="662" w:type="dxa"/>
            <w:shd w:val="clear" w:color="auto" w:fill="FFFFFF"/>
            <w:vAlign w:val="center"/>
          </w:tcPr>
          <w:p w14:paraId="745B5A25"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-2,3</w:t>
            </w:r>
          </w:p>
        </w:tc>
        <w:tc>
          <w:tcPr>
            <w:tcW w:w="682" w:type="dxa"/>
            <w:shd w:val="clear" w:color="auto" w:fill="FFFFFF"/>
            <w:vAlign w:val="center"/>
          </w:tcPr>
          <w:p w14:paraId="6F9E3387"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-0,7</w:t>
            </w:r>
          </w:p>
        </w:tc>
        <w:tc>
          <w:tcPr>
            <w:tcW w:w="667" w:type="dxa"/>
            <w:shd w:val="clear" w:color="auto" w:fill="FFFFFF"/>
            <w:vAlign w:val="center"/>
          </w:tcPr>
          <w:p w14:paraId="232BA613"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-1,6</w:t>
            </w:r>
          </w:p>
        </w:tc>
        <w:tc>
          <w:tcPr>
            <w:tcW w:w="706" w:type="dxa"/>
            <w:shd w:val="clear" w:color="auto" w:fill="FFFFFF"/>
            <w:vAlign w:val="center"/>
          </w:tcPr>
          <w:p w14:paraId="5C8EED42"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-1,2</w:t>
            </w:r>
          </w:p>
        </w:tc>
      </w:tr>
      <w:tr w:rsidR="0047261E" w:rsidRPr="0047261E" w14:paraId="0C997820" w14:textId="77777777" w:rsidTr="0047261E">
        <w:trPr>
          <w:trHeight w:val="298"/>
        </w:trPr>
        <w:tc>
          <w:tcPr>
            <w:tcW w:w="4358" w:type="dxa"/>
            <w:shd w:val="clear" w:color="auto" w:fill="FFFFFF"/>
            <w:vAlign w:val="center"/>
          </w:tcPr>
          <w:p w14:paraId="59E6DC7B"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Баланс инвестиционных доходов</w:t>
            </w:r>
          </w:p>
        </w:tc>
        <w:tc>
          <w:tcPr>
            <w:tcW w:w="571" w:type="dxa"/>
            <w:shd w:val="clear" w:color="auto" w:fill="FFFFFF"/>
            <w:vAlign w:val="center"/>
          </w:tcPr>
          <w:p w14:paraId="08A53AAC"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-38,9</w:t>
            </w:r>
          </w:p>
        </w:tc>
        <w:tc>
          <w:tcPr>
            <w:tcW w:w="677" w:type="dxa"/>
            <w:shd w:val="clear" w:color="auto" w:fill="FFFFFF"/>
            <w:vAlign w:val="center"/>
          </w:tcPr>
          <w:p w14:paraId="45C87FBF"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-8,0</w:t>
            </w:r>
          </w:p>
        </w:tc>
        <w:tc>
          <w:tcPr>
            <w:tcW w:w="667" w:type="dxa"/>
            <w:shd w:val="clear" w:color="auto" w:fill="FFFFFF"/>
            <w:vAlign w:val="center"/>
          </w:tcPr>
          <w:p w14:paraId="37D9A31F"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-31,0</w:t>
            </w:r>
          </w:p>
        </w:tc>
        <w:tc>
          <w:tcPr>
            <w:tcW w:w="662" w:type="dxa"/>
            <w:shd w:val="clear" w:color="auto" w:fill="FFFFFF"/>
            <w:vAlign w:val="center"/>
          </w:tcPr>
          <w:p w14:paraId="3353A2D8"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-22,2</w:t>
            </w:r>
          </w:p>
        </w:tc>
        <w:tc>
          <w:tcPr>
            <w:tcW w:w="662" w:type="dxa"/>
            <w:shd w:val="clear" w:color="auto" w:fill="FFFFFF"/>
            <w:vAlign w:val="center"/>
          </w:tcPr>
          <w:p w14:paraId="2A9B165B"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-39,8</w:t>
            </w:r>
          </w:p>
        </w:tc>
        <w:tc>
          <w:tcPr>
            <w:tcW w:w="682" w:type="dxa"/>
            <w:shd w:val="clear" w:color="auto" w:fill="FFFFFF"/>
            <w:vAlign w:val="center"/>
          </w:tcPr>
          <w:p w14:paraId="1AB56B64"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-10,0</w:t>
            </w:r>
          </w:p>
        </w:tc>
        <w:tc>
          <w:tcPr>
            <w:tcW w:w="667" w:type="dxa"/>
            <w:shd w:val="clear" w:color="auto" w:fill="FFFFFF"/>
            <w:vAlign w:val="center"/>
          </w:tcPr>
          <w:p w14:paraId="3CE595FF"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-29,8</w:t>
            </w:r>
          </w:p>
        </w:tc>
        <w:tc>
          <w:tcPr>
            <w:tcW w:w="706" w:type="dxa"/>
            <w:shd w:val="clear" w:color="auto" w:fill="FFFFFF"/>
            <w:vAlign w:val="center"/>
          </w:tcPr>
          <w:p w14:paraId="4EB83A18"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-19,0</w:t>
            </w:r>
          </w:p>
        </w:tc>
      </w:tr>
      <w:tr w:rsidR="0047261E" w:rsidRPr="0047261E" w14:paraId="0E1A5C65" w14:textId="77777777" w:rsidTr="0047261E">
        <w:trPr>
          <w:trHeight w:val="302"/>
        </w:trPr>
        <w:tc>
          <w:tcPr>
            <w:tcW w:w="4358" w:type="dxa"/>
            <w:shd w:val="clear" w:color="auto" w:fill="FFFFFF"/>
            <w:vAlign w:val="center"/>
          </w:tcPr>
          <w:p w14:paraId="76A20916"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Баланс ренты и вторичных доходов</w:t>
            </w:r>
          </w:p>
        </w:tc>
        <w:tc>
          <w:tcPr>
            <w:tcW w:w="571" w:type="dxa"/>
            <w:shd w:val="clear" w:color="auto" w:fill="FFFFFF"/>
            <w:vAlign w:val="center"/>
          </w:tcPr>
          <w:p w14:paraId="41438A4D"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-8,6</w:t>
            </w:r>
          </w:p>
        </w:tc>
        <w:tc>
          <w:tcPr>
            <w:tcW w:w="677" w:type="dxa"/>
            <w:shd w:val="clear" w:color="auto" w:fill="FFFFFF"/>
            <w:vAlign w:val="center"/>
          </w:tcPr>
          <w:p w14:paraId="571D88CF"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-2,0</w:t>
            </w:r>
          </w:p>
        </w:tc>
        <w:tc>
          <w:tcPr>
            <w:tcW w:w="667" w:type="dxa"/>
            <w:shd w:val="clear" w:color="auto" w:fill="FFFFFF"/>
            <w:vAlign w:val="center"/>
          </w:tcPr>
          <w:p w14:paraId="23164910"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-6,6</w:t>
            </w:r>
          </w:p>
        </w:tc>
        <w:tc>
          <w:tcPr>
            <w:tcW w:w="662" w:type="dxa"/>
            <w:shd w:val="clear" w:color="auto" w:fill="FFFFFF"/>
            <w:vAlign w:val="center"/>
          </w:tcPr>
          <w:p w14:paraId="28FDB8D1"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-4,2</w:t>
            </w:r>
          </w:p>
        </w:tc>
        <w:tc>
          <w:tcPr>
            <w:tcW w:w="662" w:type="dxa"/>
            <w:shd w:val="clear" w:color="auto" w:fill="FFFFFF"/>
            <w:vAlign w:val="center"/>
          </w:tcPr>
          <w:p w14:paraId="28A7E0C6"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-8,9</w:t>
            </w:r>
          </w:p>
        </w:tc>
        <w:tc>
          <w:tcPr>
            <w:tcW w:w="682" w:type="dxa"/>
            <w:shd w:val="clear" w:color="auto" w:fill="FFFFFF"/>
            <w:vAlign w:val="center"/>
          </w:tcPr>
          <w:p w14:paraId="4B66E445"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-2,4</w:t>
            </w:r>
          </w:p>
        </w:tc>
        <w:tc>
          <w:tcPr>
            <w:tcW w:w="667" w:type="dxa"/>
            <w:shd w:val="clear" w:color="auto" w:fill="FFFFFF"/>
            <w:vAlign w:val="center"/>
          </w:tcPr>
          <w:p w14:paraId="45500AD3"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-6,5</w:t>
            </w:r>
          </w:p>
        </w:tc>
        <w:tc>
          <w:tcPr>
            <w:tcW w:w="706" w:type="dxa"/>
            <w:shd w:val="clear" w:color="auto" w:fill="FFFFFF"/>
            <w:vAlign w:val="center"/>
          </w:tcPr>
          <w:p w14:paraId="2ABC1FBD"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19,0</w:t>
            </w:r>
          </w:p>
        </w:tc>
      </w:tr>
      <w:tr w:rsidR="0047261E" w:rsidRPr="0047261E" w14:paraId="689361F0" w14:textId="77777777" w:rsidTr="0047261E">
        <w:trPr>
          <w:trHeight w:val="1392"/>
        </w:trPr>
        <w:tc>
          <w:tcPr>
            <w:tcW w:w="4358" w:type="dxa"/>
            <w:shd w:val="clear" w:color="auto" w:fill="FFFFFF"/>
            <w:vAlign w:val="center"/>
          </w:tcPr>
          <w:p w14:paraId="24575427"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Счет операций с капиталом</w:t>
            </w:r>
          </w:p>
          <w:p w14:paraId="45441E41"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Сальдо счета текущих операций и счета</w:t>
            </w:r>
          </w:p>
          <w:p w14:paraId="61498565"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операций с капиталом</w:t>
            </w:r>
          </w:p>
          <w:p w14:paraId="5C8F4F1A"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Сальдо финансового счета, кроме резервных активов</w:t>
            </w:r>
          </w:p>
          <w:p w14:paraId="00DA895E"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Сектор государственного управления и центральный банк</w:t>
            </w:r>
          </w:p>
        </w:tc>
        <w:tc>
          <w:tcPr>
            <w:tcW w:w="571" w:type="dxa"/>
            <w:shd w:val="clear" w:color="auto" w:fill="FFFFFF"/>
            <w:vAlign w:val="center"/>
          </w:tcPr>
          <w:p w14:paraId="5AD4845C"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-0,6</w:t>
            </w:r>
          </w:p>
          <w:p w14:paraId="25E69384"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114,3</w:t>
            </w:r>
          </w:p>
          <w:p w14:paraId="19B608F2"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76,8</w:t>
            </w:r>
          </w:p>
          <w:p w14:paraId="7781E528"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6,9</w:t>
            </w:r>
          </w:p>
        </w:tc>
        <w:tc>
          <w:tcPr>
            <w:tcW w:w="677" w:type="dxa"/>
            <w:shd w:val="clear" w:color="auto" w:fill="FFFFFF"/>
            <w:vAlign w:val="center"/>
          </w:tcPr>
          <w:p w14:paraId="4D41270B"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-0,1</w:t>
            </w:r>
          </w:p>
          <w:p w14:paraId="5783A00B"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38,6</w:t>
            </w:r>
          </w:p>
          <w:p w14:paraId="6F9FB809"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30,5</w:t>
            </w:r>
          </w:p>
          <w:p w14:paraId="5D641CA4"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-0,4</w:t>
            </w:r>
          </w:p>
        </w:tc>
        <w:tc>
          <w:tcPr>
            <w:tcW w:w="667" w:type="dxa"/>
            <w:shd w:val="clear" w:color="auto" w:fill="FFFFFF"/>
            <w:vAlign w:val="center"/>
          </w:tcPr>
          <w:p w14:paraId="64ABA4A8"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-0,4</w:t>
            </w:r>
          </w:p>
          <w:p w14:paraId="27D89C25"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75,7</w:t>
            </w:r>
          </w:p>
          <w:p w14:paraId="3BEB0C7C"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46.4</w:t>
            </w:r>
          </w:p>
          <w:p w14:paraId="434AD11B"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7.4</w:t>
            </w:r>
          </w:p>
        </w:tc>
        <w:tc>
          <w:tcPr>
            <w:tcW w:w="662" w:type="dxa"/>
            <w:shd w:val="clear" w:color="auto" w:fill="FFFFFF"/>
            <w:vAlign w:val="center"/>
          </w:tcPr>
          <w:p w14:paraId="2844CD68"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-0,4</w:t>
            </w:r>
          </w:p>
          <w:p w14:paraId="7288C507"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48.0</w:t>
            </w:r>
          </w:p>
          <w:p w14:paraId="03FB8ADE"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22.0</w:t>
            </w:r>
          </w:p>
          <w:p w14:paraId="640B1AB9"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4,5</w:t>
            </w:r>
          </w:p>
        </w:tc>
        <w:tc>
          <w:tcPr>
            <w:tcW w:w="662" w:type="dxa"/>
            <w:shd w:val="clear" w:color="auto" w:fill="FFFFFF"/>
            <w:vAlign w:val="center"/>
          </w:tcPr>
          <w:p w14:paraId="190D0E44"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-0,2</w:t>
            </w:r>
          </w:p>
          <w:p w14:paraId="24E8FF20"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33,1</w:t>
            </w:r>
          </w:p>
          <w:p w14:paraId="19903FDA"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12,6</w:t>
            </w:r>
          </w:p>
          <w:p w14:paraId="4DEE3DC6"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-13,3</w:t>
            </w:r>
          </w:p>
        </w:tc>
        <w:tc>
          <w:tcPr>
            <w:tcW w:w="682" w:type="dxa"/>
            <w:shd w:val="clear" w:color="auto" w:fill="FFFFFF"/>
            <w:vAlign w:val="center"/>
          </w:tcPr>
          <w:p w14:paraId="47C4BBE2"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0,0</w:t>
            </w:r>
          </w:p>
          <w:p w14:paraId="6168969B"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13,5</w:t>
            </w:r>
          </w:p>
          <w:p w14:paraId="0466996B"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14,3</w:t>
            </w:r>
          </w:p>
          <w:p w14:paraId="6F1860EE"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6,7</w:t>
            </w:r>
          </w:p>
        </w:tc>
        <w:tc>
          <w:tcPr>
            <w:tcW w:w="667" w:type="dxa"/>
            <w:shd w:val="clear" w:color="auto" w:fill="FFFFFF"/>
            <w:vAlign w:val="center"/>
          </w:tcPr>
          <w:p w14:paraId="154B7A1B"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-0,2</w:t>
            </w:r>
          </w:p>
          <w:p w14:paraId="0B982A2A"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19,6</w:t>
            </w:r>
          </w:p>
          <w:p w14:paraId="67964441"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-1,7</w:t>
            </w:r>
          </w:p>
          <w:p w14:paraId="0AC557E5"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-20,0</w:t>
            </w:r>
          </w:p>
        </w:tc>
        <w:tc>
          <w:tcPr>
            <w:tcW w:w="706" w:type="dxa"/>
            <w:shd w:val="clear" w:color="auto" w:fill="FFFFFF"/>
            <w:vAlign w:val="center"/>
          </w:tcPr>
          <w:p w14:paraId="4FC99D58"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-0,1</w:t>
            </w:r>
          </w:p>
          <w:p w14:paraId="04A618CE"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22,8</w:t>
            </w:r>
          </w:p>
          <w:p w14:paraId="73125686"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8,9</w:t>
            </w:r>
          </w:p>
          <w:p w14:paraId="218E3BA8"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-9,7</w:t>
            </w:r>
          </w:p>
        </w:tc>
      </w:tr>
      <w:tr w:rsidR="0047261E" w:rsidRPr="0047261E" w14:paraId="2F1E8198" w14:textId="77777777" w:rsidTr="0047261E">
        <w:trPr>
          <w:trHeight w:val="307"/>
        </w:trPr>
        <w:tc>
          <w:tcPr>
            <w:tcW w:w="4358" w:type="dxa"/>
            <w:shd w:val="clear" w:color="auto" w:fill="FFFFFF"/>
            <w:vAlign w:val="bottom"/>
          </w:tcPr>
          <w:p w14:paraId="79212015"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Частный сектор</w:t>
            </w:r>
          </w:p>
        </w:tc>
        <w:tc>
          <w:tcPr>
            <w:tcW w:w="571" w:type="dxa"/>
            <w:shd w:val="clear" w:color="auto" w:fill="FFFFFF"/>
            <w:vAlign w:val="bottom"/>
          </w:tcPr>
          <w:p w14:paraId="06D8B50D"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69,9</w:t>
            </w:r>
          </w:p>
        </w:tc>
        <w:tc>
          <w:tcPr>
            <w:tcW w:w="677" w:type="dxa"/>
            <w:shd w:val="clear" w:color="auto" w:fill="FFFFFF"/>
            <w:vAlign w:val="bottom"/>
          </w:tcPr>
          <w:p w14:paraId="42A66B18"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30,9</w:t>
            </w:r>
          </w:p>
        </w:tc>
        <w:tc>
          <w:tcPr>
            <w:tcW w:w="667" w:type="dxa"/>
            <w:shd w:val="clear" w:color="auto" w:fill="FFFFFF"/>
            <w:vAlign w:val="bottom"/>
          </w:tcPr>
          <w:p w14:paraId="05675A7A"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39,0</w:t>
            </w:r>
          </w:p>
        </w:tc>
        <w:tc>
          <w:tcPr>
            <w:tcW w:w="662" w:type="dxa"/>
            <w:shd w:val="clear" w:color="auto" w:fill="FFFFFF"/>
            <w:vAlign w:val="bottom"/>
          </w:tcPr>
          <w:p w14:paraId="6906BD3B"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17,5</w:t>
            </w:r>
          </w:p>
        </w:tc>
        <w:tc>
          <w:tcPr>
            <w:tcW w:w="662" w:type="dxa"/>
            <w:shd w:val="clear" w:color="auto" w:fill="FFFFFF"/>
            <w:vAlign w:val="bottom"/>
          </w:tcPr>
          <w:p w14:paraId="42966224"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25,9</w:t>
            </w:r>
          </w:p>
        </w:tc>
        <w:tc>
          <w:tcPr>
            <w:tcW w:w="682" w:type="dxa"/>
            <w:shd w:val="clear" w:color="auto" w:fill="FFFFFF"/>
            <w:vAlign w:val="bottom"/>
          </w:tcPr>
          <w:p w14:paraId="1E3FD386"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7,6</w:t>
            </w:r>
          </w:p>
        </w:tc>
        <w:tc>
          <w:tcPr>
            <w:tcW w:w="667" w:type="dxa"/>
            <w:shd w:val="clear" w:color="auto" w:fill="FFFFFF"/>
            <w:vAlign w:val="bottom"/>
          </w:tcPr>
          <w:p w14:paraId="11A28A5C"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18,3</w:t>
            </w:r>
          </w:p>
        </w:tc>
        <w:tc>
          <w:tcPr>
            <w:tcW w:w="706" w:type="dxa"/>
            <w:shd w:val="clear" w:color="auto" w:fill="FFFFFF"/>
            <w:vAlign w:val="bottom"/>
          </w:tcPr>
          <w:p w14:paraId="23A29443"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18,6</w:t>
            </w:r>
          </w:p>
        </w:tc>
      </w:tr>
      <w:tr w:rsidR="0047261E" w:rsidRPr="0047261E" w14:paraId="25F2A1B2" w14:textId="77777777" w:rsidTr="0047261E">
        <w:trPr>
          <w:trHeight w:val="355"/>
        </w:trPr>
        <w:tc>
          <w:tcPr>
            <w:tcW w:w="4358" w:type="dxa"/>
            <w:shd w:val="clear" w:color="auto" w:fill="FFFFFF"/>
            <w:vAlign w:val="center"/>
          </w:tcPr>
          <w:p w14:paraId="405E60FC"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Чистые ошибки и пропуски</w:t>
            </w:r>
          </w:p>
        </w:tc>
        <w:tc>
          <w:tcPr>
            <w:tcW w:w="571" w:type="dxa"/>
            <w:shd w:val="clear" w:color="auto" w:fill="FFFFFF"/>
            <w:vAlign w:val="center"/>
          </w:tcPr>
          <w:p w14:paraId="7FBB894C"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0,7</w:t>
            </w:r>
          </w:p>
        </w:tc>
        <w:tc>
          <w:tcPr>
            <w:tcW w:w="677" w:type="dxa"/>
            <w:shd w:val="clear" w:color="auto" w:fill="FFFFFF"/>
            <w:vAlign w:val="center"/>
          </w:tcPr>
          <w:p w14:paraId="588F1C13"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-5,6</w:t>
            </w:r>
          </w:p>
        </w:tc>
        <w:tc>
          <w:tcPr>
            <w:tcW w:w="667" w:type="dxa"/>
            <w:shd w:val="clear" w:color="auto" w:fill="FFFFFF"/>
            <w:vAlign w:val="center"/>
          </w:tcPr>
          <w:p w14:paraId="0534DB4C"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6,3</w:t>
            </w:r>
          </w:p>
        </w:tc>
        <w:tc>
          <w:tcPr>
            <w:tcW w:w="662" w:type="dxa"/>
            <w:shd w:val="clear" w:color="auto" w:fill="FFFFFF"/>
            <w:vAlign w:val="center"/>
          </w:tcPr>
          <w:p w14:paraId="57CDB6A5"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4,6</w:t>
            </w:r>
          </w:p>
        </w:tc>
        <w:tc>
          <w:tcPr>
            <w:tcW w:w="662" w:type="dxa"/>
            <w:shd w:val="clear" w:color="auto" w:fill="FFFFFF"/>
            <w:vAlign w:val="center"/>
          </w:tcPr>
          <w:p w14:paraId="09E4AF16"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2,2</w:t>
            </w:r>
          </w:p>
        </w:tc>
        <w:tc>
          <w:tcPr>
            <w:tcW w:w="682" w:type="dxa"/>
            <w:shd w:val="clear" w:color="auto" w:fill="FFFFFF"/>
            <w:vAlign w:val="center"/>
          </w:tcPr>
          <w:p w14:paraId="251D9BFC"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-2,0</w:t>
            </w:r>
          </w:p>
        </w:tc>
        <w:tc>
          <w:tcPr>
            <w:tcW w:w="667" w:type="dxa"/>
            <w:shd w:val="clear" w:color="auto" w:fill="FFFFFF"/>
            <w:vAlign w:val="center"/>
          </w:tcPr>
          <w:p w14:paraId="7BF5E6D6"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4,1</w:t>
            </w:r>
          </w:p>
        </w:tc>
        <w:tc>
          <w:tcPr>
            <w:tcW w:w="706" w:type="dxa"/>
            <w:shd w:val="clear" w:color="auto" w:fill="FFFFFF"/>
            <w:vAlign w:val="center"/>
          </w:tcPr>
          <w:p w14:paraId="23A5AD35"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4,9</w:t>
            </w:r>
          </w:p>
        </w:tc>
      </w:tr>
      <w:tr w:rsidR="0047261E" w:rsidRPr="0047261E" w14:paraId="6EC040A2" w14:textId="77777777" w:rsidTr="0047261E">
        <w:trPr>
          <w:trHeight w:val="355"/>
        </w:trPr>
        <w:tc>
          <w:tcPr>
            <w:tcW w:w="4358" w:type="dxa"/>
            <w:shd w:val="clear" w:color="auto" w:fill="FFFFFF"/>
            <w:vAlign w:val="bottom"/>
          </w:tcPr>
          <w:p w14:paraId="68320287"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Изменение резервных активов*</w:t>
            </w:r>
          </w:p>
        </w:tc>
        <w:tc>
          <w:tcPr>
            <w:tcW w:w="571" w:type="dxa"/>
            <w:shd w:val="clear" w:color="auto" w:fill="FFFFFF"/>
            <w:vAlign w:val="bottom"/>
          </w:tcPr>
          <w:p w14:paraId="6197DF37"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38,2</w:t>
            </w:r>
          </w:p>
        </w:tc>
        <w:tc>
          <w:tcPr>
            <w:tcW w:w="677" w:type="dxa"/>
            <w:shd w:val="clear" w:color="auto" w:fill="FFFFFF"/>
            <w:vAlign w:val="bottom"/>
          </w:tcPr>
          <w:p w14:paraId="1A5B2995"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2,6</w:t>
            </w:r>
          </w:p>
        </w:tc>
        <w:tc>
          <w:tcPr>
            <w:tcW w:w="667" w:type="dxa"/>
            <w:shd w:val="clear" w:color="auto" w:fill="FFFFFF"/>
            <w:vAlign w:val="bottom"/>
          </w:tcPr>
          <w:p w14:paraId="3657027C"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35,6</w:t>
            </w:r>
          </w:p>
        </w:tc>
        <w:tc>
          <w:tcPr>
            <w:tcW w:w="662" w:type="dxa"/>
            <w:shd w:val="clear" w:color="auto" w:fill="FFFFFF"/>
            <w:vAlign w:val="bottom"/>
          </w:tcPr>
          <w:p w14:paraId="43072238"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30,6</w:t>
            </w:r>
          </w:p>
        </w:tc>
        <w:tc>
          <w:tcPr>
            <w:tcW w:w="662" w:type="dxa"/>
            <w:shd w:val="clear" w:color="auto" w:fill="FFFFFF"/>
          </w:tcPr>
          <w:p w14:paraId="03B889A7"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p>
        </w:tc>
        <w:tc>
          <w:tcPr>
            <w:tcW w:w="682" w:type="dxa"/>
            <w:shd w:val="clear" w:color="auto" w:fill="FFFFFF"/>
            <w:vAlign w:val="bottom"/>
          </w:tcPr>
          <w:p w14:paraId="59856DD6"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-2,7</w:t>
            </w:r>
          </w:p>
        </w:tc>
        <w:tc>
          <w:tcPr>
            <w:tcW w:w="667" w:type="dxa"/>
            <w:shd w:val="clear" w:color="auto" w:fill="FFFFFF"/>
            <w:vAlign w:val="bottom"/>
          </w:tcPr>
          <w:p w14:paraId="6ED37DFC"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25,4</w:t>
            </w:r>
          </w:p>
        </w:tc>
        <w:tc>
          <w:tcPr>
            <w:tcW w:w="706" w:type="dxa"/>
            <w:shd w:val="clear" w:color="auto" w:fill="FFFFFF"/>
            <w:vAlign w:val="bottom"/>
          </w:tcPr>
          <w:p w14:paraId="4295252E"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18,9</w:t>
            </w:r>
          </w:p>
        </w:tc>
      </w:tr>
      <w:tr w:rsidR="0047261E" w:rsidRPr="0047261E" w14:paraId="57C6B3AA" w14:textId="77777777" w:rsidTr="0047261E">
        <w:trPr>
          <w:trHeight w:val="437"/>
        </w:trPr>
        <w:tc>
          <w:tcPr>
            <w:tcW w:w="4358" w:type="dxa"/>
            <w:shd w:val="clear" w:color="auto" w:fill="FFFFFF"/>
            <w:vAlign w:val="bottom"/>
          </w:tcPr>
          <w:p w14:paraId="607C6868"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Чистый ввоз/вывоз капитала частным сектором ('+' - вывоз, '-' - ввоз)</w:t>
            </w:r>
          </w:p>
        </w:tc>
        <w:tc>
          <w:tcPr>
            <w:tcW w:w="571" w:type="dxa"/>
            <w:shd w:val="clear" w:color="auto" w:fill="FFFFFF"/>
            <w:vAlign w:val="bottom"/>
          </w:tcPr>
          <w:p w14:paraId="1FBE4ACE"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67,5</w:t>
            </w:r>
          </w:p>
        </w:tc>
        <w:tc>
          <w:tcPr>
            <w:tcW w:w="677" w:type="dxa"/>
            <w:shd w:val="clear" w:color="auto" w:fill="FFFFFF"/>
            <w:vAlign w:val="bottom"/>
          </w:tcPr>
          <w:p w14:paraId="62487F53"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36,5</w:t>
            </w:r>
          </w:p>
        </w:tc>
        <w:tc>
          <w:tcPr>
            <w:tcW w:w="667" w:type="dxa"/>
            <w:shd w:val="clear" w:color="auto" w:fill="FFFFFF"/>
            <w:vAlign w:val="bottom"/>
          </w:tcPr>
          <w:p w14:paraId="12497FBA"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31,1</w:t>
            </w:r>
          </w:p>
        </w:tc>
        <w:tc>
          <w:tcPr>
            <w:tcW w:w="662" w:type="dxa"/>
            <w:shd w:val="clear" w:color="auto" w:fill="FFFFFF"/>
            <w:vAlign w:val="bottom"/>
          </w:tcPr>
          <w:p w14:paraId="28B5BD9E"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11,9</w:t>
            </w:r>
          </w:p>
        </w:tc>
        <w:tc>
          <w:tcPr>
            <w:tcW w:w="662" w:type="dxa"/>
            <w:shd w:val="clear" w:color="auto" w:fill="FFFFFF"/>
            <w:vAlign w:val="bottom"/>
          </w:tcPr>
          <w:p w14:paraId="5F380EF8"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25,2</w:t>
            </w:r>
          </w:p>
        </w:tc>
        <w:tc>
          <w:tcPr>
            <w:tcW w:w="682" w:type="dxa"/>
            <w:shd w:val="clear" w:color="auto" w:fill="FFFFFF"/>
            <w:vAlign w:val="bottom"/>
          </w:tcPr>
          <w:p w14:paraId="04A31F42"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11,5</w:t>
            </w:r>
          </w:p>
        </w:tc>
        <w:tc>
          <w:tcPr>
            <w:tcW w:w="667" w:type="dxa"/>
            <w:shd w:val="clear" w:color="auto" w:fill="FFFFFF"/>
            <w:vAlign w:val="bottom"/>
          </w:tcPr>
          <w:p w14:paraId="00F2CE51"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13,7</w:t>
            </w:r>
          </w:p>
        </w:tc>
        <w:tc>
          <w:tcPr>
            <w:tcW w:w="706" w:type="dxa"/>
            <w:shd w:val="clear" w:color="auto" w:fill="FFFFFF"/>
            <w:vAlign w:val="bottom"/>
          </w:tcPr>
          <w:p w14:paraId="7DE1BAC3"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13,3</w:t>
            </w:r>
          </w:p>
        </w:tc>
      </w:tr>
      <w:tr w:rsidR="0047261E" w:rsidRPr="0047261E" w14:paraId="54F29594" w14:textId="77777777" w:rsidTr="0047261E">
        <w:trPr>
          <w:trHeight w:val="355"/>
        </w:trPr>
        <w:tc>
          <w:tcPr>
            <w:tcW w:w="9652" w:type="dxa"/>
            <w:gridSpan w:val="9"/>
            <w:shd w:val="clear" w:color="auto" w:fill="FFFFFF"/>
            <w:vAlign w:val="bottom"/>
          </w:tcPr>
          <w:p w14:paraId="7CE76AA1"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Источник: Банк России, расчеты Минэкономразвития России. *'+' - рост, - снижение</w:t>
            </w:r>
          </w:p>
        </w:tc>
      </w:tr>
    </w:tbl>
    <w:p w14:paraId="7961289A" w14:textId="77777777" w:rsidR="0047261E" w:rsidRPr="0047261E" w:rsidRDefault="0047261E" w:rsidP="0047261E">
      <w:pPr>
        <w:widowControl w:val="0"/>
        <w:suppressAutoHyphens/>
        <w:autoSpaceDN w:val="0"/>
        <w:ind w:firstLine="709"/>
        <w:textAlignment w:val="baseline"/>
        <w:rPr>
          <w:rFonts w:eastAsia="Times New Roman" w:cs="Times New Roman"/>
          <w:kern w:val="3"/>
          <w:sz w:val="28"/>
          <w:szCs w:val="24"/>
          <w:lang w:eastAsia="ru-RU" w:bidi="hi-IN"/>
        </w:rPr>
        <w:sectPr w:rsidR="0047261E" w:rsidRPr="0047261E" w:rsidSect="0047261E">
          <w:pgSz w:w="11909" w:h="16840"/>
          <w:pgMar w:top="1415" w:right="852" w:bottom="1275" w:left="1408" w:header="0" w:footer="3" w:gutter="0"/>
          <w:cols w:space="720"/>
          <w:noEndnote/>
          <w:docGrid w:linePitch="360"/>
        </w:sectPr>
      </w:pPr>
    </w:p>
    <w:p w14:paraId="1F5F93FC" w14:textId="77777777" w:rsidR="0047261E" w:rsidRPr="0047261E" w:rsidRDefault="0047261E" w:rsidP="0047261E">
      <w:pPr>
        <w:keepNext/>
        <w:keepLines/>
        <w:widowControl w:val="0"/>
        <w:suppressAutoHyphens/>
        <w:autoSpaceDN w:val="0"/>
        <w:spacing w:line="240" w:lineRule="exact"/>
        <w:ind w:firstLine="709"/>
        <w:jc w:val="left"/>
        <w:textAlignment w:val="baseline"/>
        <w:rPr>
          <w:rFonts w:eastAsia="Times New Roman" w:cs="Times New Roman"/>
          <w:b/>
          <w:kern w:val="3"/>
          <w:sz w:val="28"/>
          <w:szCs w:val="24"/>
          <w:lang w:eastAsia="ru-RU" w:bidi="hi-IN"/>
        </w:rPr>
      </w:pPr>
      <w:r w:rsidRPr="0047261E">
        <w:rPr>
          <w:rFonts w:eastAsia="Times New Roman" w:cs="Times New Roman"/>
          <w:b/>
          <w:kern w:val="3"/>
          <w:sz w:val="28"/>
          <w:szCs w:val="24"/>
          <w:lang w:eastAsia="ru-RU" w:bidi="hi-IN"/>
        </w:rPr>
        <w:t>Банковский сектор</w:t>
      </w:r>
    </w:p>
    <w:p w14:paraId="30BCDDB9" w14:textId="77777777" w:rsidR="0047261E" w:rsidRPr="0047261E" w:rsidRDefault="0047261E" w:rsidP="0047261E">
      <w:pPr>
        <w:widowControl w:val="0"/>
        <w:ind w:firstLine="709"/>
        <w:contextualSpacing/>
        <w:rPr>
          <w:rFonts w:eastAsia="Arial" w:cs="Times New Roman"/>
          <w:bCs/>
          <w:kern w:val="3"/>
          <w:szCs w:val="24"/>
          <w:lang w:eastAsia="zh-CN" w:bidi="hi-IN"/>
        </w:rPr>
      </w:pPr>
      <w:r w:rsidRPr="0047261E">
        <w:rPr>
          <w:rFonts w:eastAsia="Arial" w:cs="Times New Roman"/>
          <w:bCs/>
          <w:kern w:val="3"/>
          <w:szCs w:val="24"/>
          <w:lang w:eastAsia="zh-CN" w:bidi="hi-IN"/>
        </w:rPr>
        <w:t xml:space="preserve">Понижательный тренд процентных ставок в 2018 г. развернулся на фоне ухудшения условий на финансовых рынках и ужесточения денежно-кредитной политики Банком России. </w:t>
      </w:r>
    </w:p>
    <w:p w14:paraId="5892DE5E" w14:textId="77777777" w:rsidR="0047261E" w:rsidRPr="0047261E" w:rsidRDefault="0047261E" w:rsidP="0047261E">
      <w:pPr>
        <w:widowControl w:val="0"/>
        <w:ind w:firstLine="709"/>
        <w:contextualSpacing/>
        <w:rPr>
          <w:rFonts w:eastAsia="Arial" w:cs="Times New Roman"/>
          <w:bCs/>
          <w:kern w:val="3"/>
          <w:szCs w:val="24"/>
          <w:lang w:eastAsia="zh-CN" w:bidi="hi-IN"/>
        </w:rPr>
      </w:pPr>
      <w:r w:rsidRPr="0047261E">
        <w:rPr>
          <w:rFonts w:eastAsia="Arial" w:cs="Times New Roman"/>
          <w:bCs/>
          <w:kern w:val="3"/>
          <w:szCs w:val="24"/>
          <w:lang w:eastAsia="zh-CN" w:bidi="hi-IN"/>
        </w:rPr>
        <w:t>В условиях ослабления рубля, роста российской премии за риск и оттока нерезидентов с рынка ОФЗ Банк России в апреле приостановил цикл смягчения денежно-кредитной политики, а с сентября перешел к ее ужесточению. В сентябре и в декабре регулятор поднял ключевую ставку на 25 б.п. (до 7,75 % на конец года). Оба решения совпали с ожиданиями рынка, при этом январский консенсус-прогноз Блумберг указывал, что участники рынка прогнозируют снижение ключевой ставки не раньше 4кв19.</w:t>
      </w:r>
    </w:p>
    <w:p w14:paraId="1569A606" w14:textId="77777777" w:rsidR="0047261E" w:rsidRPr="0047261E" w:rsidRDefault="0047261E" w:rsidP="0047261E">
      <w:pPr>
        <w:widowControl w:val="0"/>
        <w:suppressAutoHyphens/>
        <w:autoSpaceDN w:val="0"/>
        <w:ind w:firstLine="0"/>
        <w:textAlignment w:val="baseline"/>
        <w:rPr>
          <w:rFonts w:eastAsia="Times New Roman" w:cs="Times New Roman"/>
          <w:kern w:val="3"/>
          <w:sz w:val="28"/>
          <w:szCs w:val="24"/>
          <w:lang w:eastAsia="ru-RU" w:bidi="hi-IN"/>
        </w:rPr>
      </w:pPr>
    </w:p>
    <w:tbl>
      <w:tblPr>
        <w:tblStyle w:val="3b"/>
        <w:tblW w:w="0" w:type="auto"/>
        <w:tblLook w:val="04A0" w:firstRow="1" w:lastRow="0" w:firstColumn="1" w:lastColumn="0" w:noHBand="0" w:noVBand="1"/>
      </w:tblPr>
      <w:tblGrid>
        <w:gridCol w:w="4518"/>
        <w:gridCol w:w="4911"/>
      </w:tblGrid>
      <w:tr w:rsidR="0047261E" w:rsidRPr="0047261E" w14:paraId="7BBCDCEE" w14:textId="77777777" w:rsidTr="0047261E">
        <w:tc>
          <w:tcPr>
            <w:tcW w:w="4714" w:type="dxa"/>
          </w:tcPr>
          <w:p w14:paraId="111300E9" w14:textId="77777777" w:rsidR="0047261E" w:rsidRPr="0047261E" w:rsidRDefault="0047261E" w:rsidP="0047261E">
            <w:pPr>
              <w:suppressAutoHyphens/>
              <w:ind w:firstLine="0"/>
              <w:jc w:val="center"/>
              <w:rPr>
                <w:rFonts w:eastAsia="Times New Roman" w:cs="Times New Roman"/>
                <w:sz w:val="28"/>
                <w:lang w:eastAsia="ru-RU"/>
              </w:rPr>
            </w:pPr>
            <w:r w:rsidRPr="0047261E">
              <w:rPr>
                <w:rFonts w:eastAsia="Times New Roman" w:cs="Times New Roman"/>
                <w:noProof/>
                <w:sz w:val="28"/>
                <w:lang w:eastAsia="ru-RU"/>
              </w:rPr>
              <w:drawing>
                <wp:inline distT="0" distB="0" distL="0" distR="0" wp14:anchorId="1D6D0115" wp14:editId="79CF5054">
                  <wp:extent cx="2773680" cy="2895600"/>
                  <wp:effectExtent l="0" t="0" r="7620" b="0"/>
                  <wp:docPr id="914" name="Рисунок 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773680" cy="2895600"/>
                          </a:xfrm>
                          <a:prstGeom prst="rect">
                            <a:avLst/>
                          </a:prstGeom>
                          <a:noFill/>
                        </pic:spPr>
                      </pic:pic>
                    </a:graphicData>
                  </a:graphic>
                </wp:inline>
              </w:drawing>
            </w:r>
          </w:p>
        </w:tc>
        <w:tc>
          <w:tcPr>
            <w:tcW w:w="4715" w:type="dxa"/>
          </w:tcPr>
          <w:p w14:paraId="21169E1F" w14:textId="77777777" w:rsidR="0047261E" w:rsidRPr="0047261E" w:rsidRDefault="0047261E" w:rsidP="0047261E">
            <w:pPr>
              <w:suppressAutoHyphens/>
              <w:ind w:firstLine="0"/>
              <w:jc w:val="center"/>
              <w:rPr>
                <w:rFonts w:eastAsia="Times New Roman" w:cs="Times New Roman"/>
                <w:sz w:val="28"/>
                <w:lang w:eastAsia="ru-RU"/>
              </w:rPr>
            </w:pPr>
            <w:r w:rsidRPr="0047261E">
              <w:rPr>
                <w:rFonts w:eastAsia="Times New Roman" w:cs="Times New Roman"/>
                <w:noProof/>
                <w:sz w:val="28"/>
                <w:lang w:eastAsia="ru-RU"/>
              </w:rPr>
              <w:drawing>
                <wp:inline distT="0" distB="0" distL="0" distR="0" wp14:anchorId="21498E38" wp14:editId="1DE1BCCF">
                  <wp:extent cx="3035935" cy="2895600"/>
                  <wp:effectExtent l="0" t="0" r="0" b="0"/>
                  <wp:docPr id="915" name="Рисунок 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035935" cy="2895600"/>
                          </a:xfrm>
                          <a:prstGeom prst="rect">
                            <a:avLst/>
                          </a:prstGeom>
                          <a:noFill/>
                        </pic:spPr>
                      </pic:pic>
                    </a:graphicData>
                  </a:graphic>
                </wp:inline>
              </w:drawing>
            </w:r>
          </w:p>
        </w:tc>
      </w:tr>
      <w:tr w:rsidR="0047261E" w:rsidRPr="0047261E" w14:paraId="78CCBEE0" w14:textId="77777777" w:rsidTr="0047261E">
        <w:tc>
          <w:tcPr>
            <w:tcW w:w="4714" w:type="dxa"/>
          </w:tcPr>
          <w:p w14:paraId="17749637" w14:textId="0D7F69DE" w:rsidR="0047261E" w:rsidRPr="0047261E" w:rsidRDefault="0047261E" w:rsidP="0047261E">
            <w:pPr>
              <w:suppressLineNumbers/>
              <w:suppressAutoHyphens/>
              <w:ind w:firstLine="23"/>
              <w:jc w:val="center"/>
              <w:rPr>
                <w:rFonts w:eastAsia="Calibri" w:cs="Times New Roman"/>
                <w:i/>
                <w:iCs/>
                <w:szCs w:val="24"/>
              </w:rPr>
            </w:pPr>
            <w:r w:rsidRPr="0047261E">
              <w:rPr>
                <w:rFonts w:eastAsia="Calibri" w:cs="Times New Roman"/>
                <w:i/>
                <w:iCs/>
                <w:szCs w:val="24"/>
              </w:rPr>
              <w:t xml:space="preserve">Рисунок </w:t>
            </w:r>
            <w:r w:rsidRPr="0047261E">
              <w:rPr>
                <w:rFonts w:eastAsia="Calibri" w:cs="Times New Roman"/>
                <w:i/>
                <w:iCs/>
                <w:szCs w:val="24"/>
              </w:rPr>
              <w:fldChar w:fldCharType="begin"/>
            </w:r>
            <w:r w:rsidRPr="0047261E">
              <w:rPr>
                <w:rFonts w:eastAsia="Calibri" w:cs="Times New Roman"/>
                <w:i/>
                <w:iCs/>
                <w:szCs w:val="24"/>
              </w:rPr>
              <w:instrText xml:space="preserve"> SEQ Рисунок \* ARABIC </w:instrText>
            </w:r>
            <w:r w:rsidRPr="0047261E">
              <w:rPr>
                <w:rFonts w:eastAsia="Calibri" w:cs="Times New Roman"/>
                <w:i/>
                <w:iCs/>
                <w:szCs w:val="24"/>
              </w:rPr>
              <w:fldChar w:fldCharType="separate"/>
            </w:r>
            <w:r w:rsidR="00FD2769">
              <w:rPr>
                <w:rFonts w:eastAsia="Calibri" w:cs="Times New Roman"/>
                <w:i/>
                <w:iCs/>
                <w:noProof/>
                <w:szCs w:val="24"/>
              </w:rPr>
              <w:t>27</w:t>
            </w:r>
            <w:r w:rsidRPr="0047261E">
              <w:rPr>
                <w:rFonts w:eastAsia="Calibri" w:cs="Times New Roman"/>
                <w:i/>
                <w:iCs/>
                <w:szCs w:val="24"/>
              </w:rPr>
              <w:fldChar w:fldCharType="end"/>
            </w:r>
          </w:p>
        </w:tc>
        <w:tc>
          <w:tcPr>
            <w:tcW w:w="4715" w:type="dxa"/>
          </w:tcPr>
          <w:p w14:paraId="6EB38A47" w14:textId="706E5081" w:rsidR="0047261E" w:rsidRPr="0047261E" w:rsidRDefault="0047261E" w:rsidP="0047261E">
            <w:pPr>
              <w:suppressLineNumbers/>
              <w:suppressAutoHyphens/>
              <w:ind w:firstLine="23"/>
              <w:jc w:val="center"/>
              <w:rPr>
                <w:rFonts w:eastAsia="Calibri" w:cs="Times New Roman"/>
                <w:i/>
                <w:iCs/>
                <w:szCs w:val="24"/>
              </w:rPr>
            </w:pPr>
            <w:r w:rsidRPr="0047261E">
              <w:rPr>
                <w:rFonts w:eastAsia="Calibri" w:cs="Times New Roman"/>
                <w:i/>
                <w:iCs/>
                <w:szCs w:val="24"/>
              </w:rPr>
              <w:t xml:space="preserve">Рисунок </w:t>
            </w:r>
            <w:r w:rsidRPr="0047261E">
              <w:rPr>
                <w:rFonts w:eastAsia="Calibri" w:cs="Times New Roman"/>
                <w:i/>
                <w:iCs/>
                <w:szCs w:val="24"/>
              </w:rPr>
              <w:fldChar w:fldCharType="begin"/>
            </w:r>
            <w:r w:rsidRPr="0047261E">
              <w:rPr>
                <w:rFonts w:eastAsia="Calibri" w:cs="Times New Roman"/>
                <w:i/>
                <w:iCs/>
                <w:szCs w:val="24"/>
              </w:rPr>
              <w:instrText xml:space="preserve"> SEQ Рисунок \* ARABIC </w:instrText>
            </w:r>
            <w:r w:rsidRPr="0047261E">
              <w:rPr>
                <w:rFonts w:eastAsia="Calibri" w:cs="Times New Roman"/>
                <w:i/>
                <w:iCs/>
                <w:szCs w:val="24"/>
              </w:rPr>
              <w:fldChar w:fldCharType="separate"/>
            </w:r>
            <w:r w:rsidR="00FD2769">
              <w:rPr>
                <w:rFonts w:eastAsia="Calibri" w:cs="Times New Roman"/>
                <w:i/>
                <w:iCs/>
                <w:noProof/>
                <w:szCs w:val="24"/>
              </w:rPr>
              <w:t>28</w:t>
            </w:r>
            <w:r w:rsidRPr="0047261E">
              <w:rPr>
                <w:rFonts w:eastAsia="Calibri" w:cs="Times New Roman"/>
                <w:i/>
                <w:iCs/>
                <w:szCs w:val="24"/>
              </w:rPr>
              <w:fldChar w:fldCharType="end"/>
            </w:r>
          </w:p>
        </w:tc>
      </w:tr>
    </w:tbl>
    <w:p w14:paraId="61C38598" w14:textId="77777777" w:rsidR="0047261E" w:rsidRPr="0047261E" w:rsidRDefault="0047261E" w:rsidP="0047261E">
      <w:pPr>
        <w:widowControl w:val="0"/>
        <w:suppressAutoHyphens/>
        <w:autoSpaceDN w:val="0"/>
        <w:ind w:firstLine="0"/>
        <w:textAlignment w:val="baseline"/>
        <w:rPr>
          <w:rFonts w:eastAsia="Times New Roman" w:cs="Times New Roman"/>
          <w:kern w:val="3"/>
          <w:sz w:val="28"/>
          <w:szCs w:val="24"/>
          <w:lang w:eastAsia="ru-RU" w:bidi="hi-IN"/>
        </w:rPr>
      </w:pPr>
    </w:p>
    <w:p w14:paraId="24E8F98D" w14:textId="77777777" w:rsidR="0047261E" w:rsidRPr="0047261E" w:rsidRDefault="0047261E" w:rsidP="0047261E">
      <w:pPr>
        <w:widowControl w:val="0"/>
        <w:ind w:firstLine="709"/>
        <w:contextualSpacing/>
        <w:rPr>
          <w:rFonts w:eastAsia="Times New Roman" w:cs="Times New Roman"/>
          <w:kern w:val="3"/>
          <w:szCs w:val="24"/>
          <w:lang w:eastAsia="zh-CN" w:bidi="hi-IN"/>
        </w:rPr>
      </w:pPr>
      <w:r w:rsidRPr="0047261E">
        <w:rPr>
          <w:rFonts w:eastAsia="Times New Roman" w:cs="Times New Roman"/>
          <w:kern w:val="3"/>
          <w:szCs w:val="24"/>
          <w:lang w:eastAsia="zh-CN" w:bidi="hi-IN"/>
        </w:rPr>
        <w:t>Банки отреагировали на ситуацию на финансовых рынках и решения Банка России повышением основных кредитных и депозитных ставок. В июле-декабре ставки по розничным депозитам на срок свыше 1 года прибавили 1,1 п.п., по кредитам нефинансовым организациям на аналогичный срок - 0,7 п.п. Ставки по ипотечным кредитам во второй половине года выросли (до 9,7 % в декабре) после двух лет практически непрерывного снижения. В то же время в других сегментах рынка потребительского кредитования повышения ставок не наблюдалось.</w:t>
      </w:r>
    </w:p>
    <w:p w14:paraId="18BA6E31" w14:textId="77777777" w:rsidR="0047261E" w:rsidRPr="0047261E" w:rsidRDefault="0047261E" w:rsidP="0047261E">
      <w:pPr>
        <w:widowControl w:val="0"/>
        <w:suppressAutoHyphens/>
        <w:autoSpaceDN w:val="0"/>
        <w:ind w:firstLine="709"/>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Основным драйвером роста депозитной базы банков в 2018 г. оставались рублевые депозиты.  Тенденции на рынках корпоративных и розничных депозитов в 2018 г. были разнонаправленными. Рост вкладов физических лиц в течение года последовательно замедлялся (до 5,3 % г/г в декабре 2018 г. с 8,7 % г/г в декабре 2017 года). Темп роста корпоративных депозитов, напротив, находился на восходящей траектории и в декабре достиг 10,5 % г/г (по сравнению с 8,4 % г/г в декабре 2017 года). Начиная со второй половины 2018 г. годовой рост корпоративных депозитов устойчиво опережал динамику розничных вкладов, при этом разрыв между двумя показателями продолжает увеличиваться. Рост депозитов как в корпоративном, так и в розничном сегменте обеспечивался главным образом рублевыми депозитами (на 2,3 и 1,7 млрд. рублей соответственно). В конце года в условиях роста неопределенности на мировых финансовых рынках и ослабления рубля временно возросла волатильность валютной структуры вкладов физических лиц. Однако в целом по итогам года депозиты физических лиц в иностранной валюте</w:t>
      </w:r>
      <w:r w:rsidRPr="0047261E">
        <w:rPr>
          <w:rFonts w:eastAsia="Times New Roman" w:cs="Times New Roman"/>
          <w:kern w:val="3"/>
          <w:szCs w:val="24"/>
          <w:lang w:eastAsia="ru-RU" w:bidi="hi-IN"/>
        </w:rPr>
        <w:footnoteReference w:id="7"/>
      </w:r>
      <w:r w:rsidRPr="0047261E">
        <w:rPr>
          <w:rFonts w:eastAsia="Times New Roman" w:cs="Times New Roman"/>
          <w:kern w:val="3"/>
          <w:szCs w:val="24"/>
          <w:lang w:eastAsia="ru-RU" w:bidi="hi-IN"/>
        </w:rPr>
        <w:t xml:space="preserve"> сократились на 315 млрд. рублей, в то время как по юридическим лицам наблюдался умеренный рост показателя (193 млрд. рублей).</w:t>
      </w:r>
    </w:p>
    <w:tbl>
      <w:tblPr>
        <w:tblStyle w:val="3b"/>
        <w:tblW w:w="0" w:type="auto"/>
        <w:tblLook w:val="04A0" w:firstRow="1" w:lastRow="0" w:firstColumn="1" w:lastColumn="0" w:noHBand="0" w:noVBand="1"/>
      </w:tblPr>
      <w:tblGrid>
        <w:gridCol w:w="4822"/>
        <w:gridCol w:w="4607"/>
      </w:tblGrid>
      <w:tr w:rsidR="0047261E" w:rsidRPr="0047261E" w14:paraId="441A16D8" w14:textId="77777777" w:rsidTr="0047261E">
        <w:tc>
          <w:tcPr>
            <w:tcW w:w="4714" w:type="dxa"/>
          </w:tcPr>
          <w:p w14:paraId="43220AB8" w14:textId="77777777" w:rsidR="0047261E" w:rsidRPr="0047261E" w:rsidRDefault="0047261E" w:rsidP="0047261E">
            <w:pPr>
              <w:suppressAutoHyphens/>
              <w:ind w:firstLine="0"/>
              <w:jc w:val="center"/>
              <w:rPr>
                <w:rFonts w:eastAsia="Times New Roman" w:cs="Times New Roman"/>
                <w:lang w:eastAsia="ru-RU"/>
              </w:rPr>
            </w:pPr>
            <w:r w:rsidRPr="0047261E">
              <w:rPr>
                <w:rFonts w:eastAsia="Times New Roman" w:cs="Times New Roman"/>
                <w:noProof/>
                <w:lang w:eastAsia="ru-RU"/>
              </w:rPr>
              <w:drawing>
                <wp:inline distT="0" distB="0" distL="0" distR="0" wp14:anchorId="78150918" wp14:editId="5A0ACAE3">
                  <wp:extent cx="2999740" cy="2755900"/>
                  <wp:effectExtent l="0" t="0" r="0" b="6350"/>
                  <wp:docPr id="916" name="Рисунок 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999740" cy="2755900"/>
                          </a:xfrm>
                          <a:prstGeom prst="rect">
                            <a:avLst/>
                          </a:prstGeom>
                          <a:noFill/>
                        </pic:spPr>
                      </pic:pic>
                    </a:graphicData>
                  </a:graphic>
                </wp:inline>
              </w:drawing>
            </w:r>
          </w:p>
        </w:tc>
        <w:tc>
          <w:tcPr>
            <w:tcW w:w="4715" w:type="dxa"/>
          </w:tcPr>
          <w:p w14:paraId="0C02022C" w14:textId="77777777" w:rsidR="0047261E" w:rsidRPr="0047261E" w:rsidRDefault="0047261E" w:rsidP="0047261E">
            <w:pPr>
              <w:suppressAutoHyphens/>
              <w:ind w:firstLine="0"/>
              <w:jc w:val="center"/>
              <w:rPr>
                <w:rFonts w:eastAsia="Times New Roman" w:cs="Times New Roman"/>
                <w:lang w:eastAsia="ru-RU"/>
              </w:rPr>
            </w:pPr>
            <w:r w:rsidRPr="0047261E">
              <w:rPr>
                <w:rFonts w:eastAsia="Times New Roman" w:cs="Times New Roman"/>
                <w:noProof/>
                <w:lang w:eastAsia="ru-RU"/>
              </w:rPr>
              <w:drawing>
                <wp:inline distT="0" distB="0" distL="0" distR="0" wp14:anchorId="6B165954" wp14:editId="536DD6D0">
                  <wp:extent cx="2859405" cy="2755900"/>
                  <wp:effectExtent l="0" t="0" r="0" b="6350"/>
                  <wp:docPr id="917" name="Рисунок 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859405" cy="2755900"/>
                          </a:xfrm>
                          <a:prstGeom prst="rect">
                            <a:avLst/>
                          </a:prstGeom>
                          <a:noFill/>
                        </pic:spPr>
                      </pic:pic>
                    </a:graphicData>
                  </a:graphic>
                </wp:inline>
              </w:drawing>
            </w:r>
          </w:p>
        </w:tc>
      </w:tr>
      <w:tr w:rsidR="0047261E" w:rsidRPr="0047261E" w14:paraId="045E35F3" w14:textId="77777777" w:rsidTr="0047261E">
        <w:tc>
          <w:tcPr>
            <w:tcW w:w="4714" w:type="dxa"/>
          </w:tcPr>
          <w:p w14:paraId="37EB3389" w14:textId="65EE638A" w:rsidR="0047261E" w:rsidRPr="0047261E" w:rsidRDefault="0047261E" w:rsidP="0047261E">
            <w:pPr>
              <w:suppressLineNumbers/>
              <w:suppressAutoHyphens/>
              <w:ind w:firstLine="0"/>
              <w:jc w:val="center"/>
              <w:rPr>
                <w:rFonts w:eastAsia="Calibri" w:cs="Times New Roman"/>
                <w:i/>
                <w:iCs/>
                <w:szCs w:val="24"/>
              </w:rPr>
            </w:pPr>
            <w:r w:rsidRPr="0047261E">
              <w:rPr>
                <w:rFonts w:eastAsia="Calibri" w:cs="Times New Roman"/>
                <w:i/>
                <w:iCs/>
                <w:szCs w:val="24"/>
              </w:rPr>
              <w:t xml:space="preserve">Рисунок </w:t>
            </w:r>
            <w:r w:rsidRPr="0047261E">
              <w:rPr>
                <w:rFonts w:eastAsia="Calibri" w:cs="Times New Roman"/>
                <w:i/>
                <w:iCs/>
                <w:szCs w:val="24"/>
              </w:rPr>
              <w:fldChar w:fldCharType="begin"/>
            </w:r>
            <w:r w:rsidRPr="0047261E">
              <w:rPr>
                <w:rFonts w:eastAsia="Calibri" w:cs="Times New Roman"/>
                <w:i/>
                <w:iCs/>
                <w:szCs w:val="24"/>
              </w:rPr>
              <w:instrText xml:space="preserve"> SEQ Рисунок \* ARABIC </w:instrText>
            </w:r>
            <w:r w:rsidRPr="0047261E">
              <w:rPr>
                <w:rFonts w:eastAsia="Calibri" w:cs="Times New Roman"/>
                <w:i/>
                <w:iCs/>
                <w:szCs w:val="24"/>
              </w:rPr>
              <w:fldChar w:fldCharType="separate"/>
            </w:r>
            <w:r w:rsidR="00FD2769">
              <w:rPr>
                <w:rFonts w:eastAsia="Calibri" w:cs="Times New Roman"/>
                <w:i/>
                <w:iCs/>
                <w:noProof/>
                <w:szCs w:val="24"/>
              </w:rPr>
              <w:t>29</w:t>
            </w:r>
            <w:r w:rsidRPr="0047261E">
              <w:rPr>
                <w:rFonts w:eastAsia="Calibri" w:cs="Times New Roman"/>
                <w:i/>
                <w:iCs/>
                <w:szCs w:val="24"/>
              </w:rPr>
              <w:fldChar w:fldCharType="end"/>
            </w:r>
          </w:p>
        </w:tc>
        <w:tc>
          <w:tcPr>
            <w:tcW w:w="4715" w:type="dxa"/>
          </w:tcPr>
          <w:p w14:paraId="5524EB28" w14:textId="5EA4EE55" w:rsidR="0047261E" w:rsidRPr="0047261E" w:rsidRDefault="0047261E" w:rsidP="0047261E">
            <w:pPr>
              <w:suppressLineNumbers/>
              <w:suppressAutoHyphens/>
              <w:ind w:firstLine="0"/>
              <w:jc w:val="center"/>
              <w:rPr>
                <w:rFonts w:eastAsia="Calibri" w:cs="Times New Roman"/>
                <w:i/>
                <w:iCs/>
                <w:szCs w:val="24"/>
              </w:rPr>
            </w:pPr>
            <w:r w:rsidRPr="0047261E">
              <w:rPr>
                <w:rFonts w:eastAsia="Calibri" w:cs="Times New Roman"/>
                <w:i/>
                <w:iCs/>
                <w:szCs w:val="24"/>
              </w:rPr>
              <w:t xml:space="preserve">Рисунок </w:t>
            </w:r>
            <w:r w:rsidRPr="0047261E">
              <w:rPr>
                <w:rFonts w:eastAsia="Calibri" w:cs="Times New Roman"/>
                <w:i/>
                <w:iCs/>
                <w:szCs w:val="24"/>
              </w:rPr>
              <w:fldChar w:fldCharType="begin"/>
            </w:r>
            <w:r w:rsidRPr="0047261E">
              <w:rPr>
                <w:rFonts w:eastAsia="Calibri" w:cs="Times New Roman"/>
                <w:i/>
                <w:iCs/>
                <w:szCs w:val="24"/>
              </w:rPr>
              <w:instrText xml:space="preserve"> SEQ Рисунок \* ARABIC </w:instrText>
            </w:r>
            <w:r w:rsidRPr="0047261E">
              <w:rPr>
                <w:rFonts w:eastAsia="Calibri" w:cs="Times New Roman"/>
                <w:i/>
                <w:iCs/>
                <w:szCs w:val="24"/>
              </w:rPr>
              <w:fldChar w:fldCharType="separate"/>
            </w:r>
            <w:r w:rsidR="00FD2769">
              <w:rPr>
                <w:rFonts w:eastAsia="Calibri" w:cs="Times New Roman"/>
                <w:i/>
                <w:iCs/>
                <w:noProof/>
                <w:szCs w:val="24"/>
              </w:rPr>
              <w:t>30</w:t>
            </w:r>
            <w:r w:rsidRPr="0047261E">
              <w:rPr>
                <w:rFonts w:eastAsia="Calibri" w:cs="Times New Roman"/>
                <w:i/>
                <w:iCs/>
                <w:szCs w:val="24"/>
              </w:rPr>
              <w:fldChar w:fldCharType="end"/>
            </w:r>
          </w:p>
        </w:tc>
      </w:tr>
    </w:tbl>
    <w:p w14:paraId="2D486BA4" w14:textId="77777777" w:rsidR="0047261E" w:rsidRPr="0047261E" w:rsidRDefault="0047261E" w:rsidP="0047261E">
      <w:pPr>
        <w:widowControl w:val="0"/>
        <w:suppressAutoHyphens/>
        <w:autoSpaceDN w:val="0"/>
        <w:ind w:firstLine="709"/>
        <w:textAlignment w:val="baseline"/>
        <w:rPr>
          <w:rFonts w:eastAsia="Times New Roman" w:cs="Times New Roman"/>
          <w:kern w:val="3"/>
          <w:szCs w:val="24"/>
          <w:lang w:eastAsia="ru-RU" w:bidi="hi-IN"/>
        </w:rPr>
      </w:pPr>
    </w:p>
    <w:p w14:paraId="4E564D8A" w14:textId="77777777" w:rsidR="0047261E" w:rsidRPr="0047261E" w:rsidRDefault="0047261E" w:rsidP="0047261E">
      <w:pPr>
        <w:keepNext/>
        <w:keepLines/>
        <w:widowControl w:val="0"/>
        <w:spacing w:line="240" w:lineRule="exact"/>
        <w:ind w:firstLine="709"/>
        <w:rPr>
          <w:rFonts w:eastAsia="Arial" w:cs="Times New Roman"/>
          <w:b/>
          <w:bCs/>
          <w:kern w:val="3"/>
          <w:szCs w:val="24"/>
          <w:lang w:eastAsia="zh-CN" w:bidi="hi-IN"/>
        </w:rPr>
      </w:pPr>
      <w:r w:rsidRPr="0047261E">
        <w:rPr>
          <w:rFonts w:eastAsia="Arial" w:cs="Times New Roman"/>
          <w:b/>
          <w:bCs/>
          <w:kern w:val="3"/>
          <w:szCs w:val="24"/>
          <w:lang w:eastAsia="zh-CN" w:bidi="hi-IN"/>
        </w:rPr>
        <w:t>Ускорение роста корпоративного кредитного портфеля в 2018 г. сопровождалось изменением его валютной структуры в пользу рублевых кредитов.</w:t>
      </w:r>
    </w:p>
    <w:p w14:paraId="5FE9949A" w14:textId="77777777" w:rsidR="0047261E" w:rsidRPr="0047261E" w:rsidRDefault="0047261E" w:rsidP="0047261E">
      <w:pPr>
        <w:widowControl w:val="0"/>
        <w:spacing w:before="240"/>
        <w:ind w:firstLine="709"/>
        <w:contextualSpacing/>
        <w:rPr>
          <w:rFonts w:eastAsia="Times New Roman" w:cs="Times New Roman"/>
          <w:kern w:val="3"/>
          <w:szCs w:val="24"/>
          <w:lang w:eastAsia="zh-CN" w:bidi="hi-IN"/>
        </w:rPr>
      </w:pPr>
      <w:r w:rsidRPr="0047261E">
        <w:rPr>
          <w:rFonts w:eastAsia="Times New Roman" w:cs="Times New Roman"/>
          <w:kern w:val="3"/>
          <w:szCs w:val="24"/>
          <w:lang w:eastAsia="zh-CN" w:bidi="hi-IN"/>
        </w:rPr>
        <w:t>Задолженность по кредитам нефинансовым организациям в целом за 2018 г. выросла на 4,7 % (в 2017 г. - на 1,8 %). По сопоставимому кругу банков, как и годом ранее, наблюдался более динамичный рост кредитного портфеля, - 5,8 % после 3,7 % в 2017 году.</w:t>
      </w:r>
    </w:p>
    <w:p w14:paraId="1EF6C03F" w14:textId="77777777" w:rsidR="0047261E" w:rsidRPr="0047261E" w:rsidRDefault="0047261E" w:rsidP="0047261E">
      <w:pPr>
        <w:widowControl w:val="0"/>
        <w:spacing w:before="240"/>
        <w:ind w:firstLine="709"/>
        <w:contextualSpacing/>
        <w:rPr>
          <w:rFonts w:eastAsia="Times New Roman" w:cs="Times New Roman"/>
          <w:kern w:val="3"/>
          <w:szCs w:val="24"/>
          <w:lang w:eastAsia="zh-CN" w:bidi="hi-IN"/>
        </w:rPr>
      </w:pPr>
      <w:r w:rsidRPr="0047261E">
        <w:rPr>
          <w:rFonts w:eastAsia="Times New Roman" w:cs="Times New Roman"/>
          <w:kern w:val="3"/>
          <w:szCs w:val="24"/>
          <w:lang w:eastAsia="zh-CN" w:bidi="hi-IN"/>
        </w:rPr>
        <w:t>В отраслевом разрезе наибольший вклад в динамику корпоративного кредитования вносят обрабатывающая промышленность, торговля, а также транспортная отрасль. Замедление динамики кредитного портфеля в текущем году наблюдается в добыче полезных ископаемых и в сфере операций с недвижимым имуществом.</w:t>
      </w:r>
    </w:p>
    <w:tbl>
      <w:tblPr>
        <w:tblStyle w:val="3b"/>
        <w:tblW w:w="0" w:type="auto"/>
        <w:tblLook w:val="04A0" w:firstRow="1" w:lastRow="0" w:firstColumn="1" w:lastColumn="0" w:noHBand="0" w:noVBand="1"/>
      </w:tblPr>
      <w:tblGrid>
        <w:gridCol w:w="4493"/>
        <w:gridCol w:w="4936"/>
      </w:tblGrid>
      <w:tr w:rsidR="0047261E" w:rsidRPr="0047261E" w14:paraId="1D1733D0" w14:textId="77777777" w:rsidTr="0047261E">
        <w:tc>
          <w:tcPr>
            <w:tcW w:w="4714" w:type="dxa"/>
          </w:tcPr>
          <w:p w14:paraId="7B3A04BA" w14:textId="77777777" w:rsidR="0047261E" w:rsidRPr="0047261E" w:rsidRDefault="0047261E" w:rsidP="0047261E">
            <w:pPr>
              <w:ind w:firstLine="0"/>
              <w:contextualSpacing/>
              <w:rPr>
                <w:rFonts w:eastAsia="Times New Roman" w:cs="Times New Roman"/>
                <w:lang w:eastAsia="zh-CN"/>
              </w:rPr>
            </w:pPr>
            <w:r w:rsidRPr="0047261E">
              <w:rPr>
                <w:rFonts w:eastAsia="Times New Roman" w:cs="Times New Roman"/>
                <w:noProof/>
                <w:lang w:eastAsia="ru-RU"/>
              </w:rPr>
              <w:drawing>
                <wp:inline distT="0" distB="0" distL="0" distR="0" wp14:anchorId="37D6C799" wp14:editId="45B410D9">
                  <wp:extent cx="2761615" cy="3121660"/>
                  <wp:effectExtent l="0" t="0" r="635" b="2540"/>
                  <wp:docPr id="918" name="Рисунок 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761615" cy="3121660"/>
                          </a:xfrm>
                          <a:prstGeom prst="rect">
                            <a:avLst/>
                          </a:prstGeom>
                          <a:noFill/>
                        </pic:spPr>
                      </pic:pic>
                    </a:graphicData>
                  </a:graphic>
                </wp:inline>
              </w:drawing>
            </w:r>
          </w:p>
        </w:tc>
        <w:tc>
          <w:tcPr>
            <w:tcW w:w="4715" w:type="dxa"/>
          </w:tcPr>
          <w:p w14:paraId="7BD45D96" w14:textId="77777777" w:rsidR="0047261E" w:rsidRPr="0047261E" w:rsidRDefault="0047261E" w:rsidP="0047261E">
            <w:pPr>
              <w:ind w:firstLine="0"/>
              <w:contextualSpacing/>
              <w:rPr>
                <w:rFonts w:eastAsia="Times New Roman" w:cs="Times New Roman"/>
                <w:lang w:eastAsia="zh-CN"/>
              </w:rPr>
            </w:pPr>
            <w:r w:rsidRPr="0047261E">
              <w:rPr>
                <w:rFonts w:eastAsia="Times New Roman" w:cs="Times New Roman"/>
                <w:noProof/>
                <w:lang w:eastAsia="ru-RU"/>
              </w:rPr>
              <w:drawing>
                <wp:inline distT="0" distB="0" distL="0" distR="0" wp14:anchorId="27F72DA0" wp14:editId="509E0FF7">
                  <wp:extent cx="3048000" cy="3084830"/>
                  <wp:effectExtent l="0" t="0" r="0" b="1270"/>
                  <wp:docPr id="919" name="Рисунок 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048000" cy="3084830"/>
                          </a:xfrm>
                          <a:prstGeom prst="rect">
                            <a:avLst/>
                          </a:prstGeom>
                          <a:noFill/>
                        </pic:spPr>
                      </pic:pic>
                    </a:graphicData>
                  </a:graphic>
                </wp:inline>
              </w:drawing>
            </w:r>
          </w:p>
        </w:tc>
      </w:tr>
      <w:tr w:rsidR="0047261E" w:rsidRPr="0047261E" w14:paraId="6B4E9CFB" w14:textId="77777777" w:rsidTr="0047261E">
        <w:tc>
          <w:tcPr>
            <w:tcW w:w="4714" w:type="dxa"/>
          </w:tcPr>
          <w:p w14:paraId="1E2B70D5" w14:textId="4FE7157B" w:rsidR="0047261E" w:rsidRPr="0047261E" w:rsidRDefault="0047261E" w:rsidP="0047261E">
            <w:pPr>
              <w:suppressLineNumbers/>
              <w:suppressAutoHyphens/>
              <w:ind w:firstLine="23"/>
              <w:jc w:val="center"/>
              <w:rPr>
                <w:rFonts w:eastAsia="Calibri" w:cs="Times New Roman"/>
                <w:i/>
                <w:iCs/>
                <w:szCs w:val="24"/>
              </w:rPr>
            </w:pPr>
            <w:r w:rsidRPr="0047261E">
              <w:rPr>
                <w:rFonts w:eastAsia="Calibri" w:cs="Times New Roman"/>
                <w:i/>
                <w:iCs/>
                <w:szCs w:val="24"/>
              </w:rPr>
              <w:t xml:space="preserve">Рисунок </w:t>
            </w:r>
            <w:r w:rsidRPr="0047261E">
              <w:rPr>
                <w:rFonts w:eastAsia="Calibri" w:cs="Times New Roman"/>
                <w:i/>
                <w:iCs/>
                <w:szCs w:val="24"/>
              </w:rPr>
              <w:fldChar w:fldCharType="begin"/>
            </w:r>
            <w:r w:rsidRPr="0047261E">
              <w:rPr>
                <w:rFonts w:eastAsia="Calibri" w:cs="Times New Roman"/>
                <w:i/>
                <w:iCs/>
                <w:szCs w:val="24"/>
              </w:rPr>
              <w:instrText xml:space="preserve"> SEQ Рисунок \* ARABIC </w:instrText>
            </w:r>
            <w:r w:rsidRPr="0047261E">
              <w:rPr>
                <w:rFonts w:eastAsia="Calibri" w:cs="Times New Roman"/>
                <w:i/>
                <w:iCs/>
                <w:szCs w:val="24"/>
              </w:rPr>
              <w:fldChar w:fldCharType="separate"/>
            </w:r>
            <w:r w:rsidR="00FD2769">
              <w:rPr>
                <w:rFonts w:eastAsia="Calibri" w:cs="Times New Roman"/>
                <w:i/>
                <w:iCs/>
                <w:noProof/>
                <w:szCs w:val="24"/>
              </w:rPr>
              <w:t>31</w:t>
            </w:r>
            <w:r w:rsidRPr="0047261E">
              <w:rPr>
                <w:rFonts w:eastAsia="Calibri" w:cs="Times New Roman"/>
                <w:i/>
                <w:iCs/>
                <w:szCs w:val="24"/>
              </w:rPr>
              <w:fldChar w:fldCharType="end"/>
            </w:r>
          </w:p>
        </w:tc>
        <w:tc>
          <w:tcPr>
            <w:tcW w:w="4715" w:type="dxa"/>
          </w:tcPr>
          <w:p w14:paraId="03944CB0" w14:textId="050D5355" w:rsidR="0047261E" w:rsidRPr="0047261E" w:rsidRDefault="0047261E" w:rsidP="0047261E">
            <w:pPr>
              <w:suppressLineNumbers/>
              <w:suppressAutoHyphens/>
              <w:ind w:firstLine="23"/>
              <w:jc w:val="center"/>
              <w:rPr>
                <w:rFonts w:eastAsia="Calibri" w:cs="Times New Roman"/>
                <w:i/>
                <w:iCs/>
                <w:szCs w:val="24"/>
              </w:rPr>
            </w:pPr>
            <w:r w:rsidRPr="0047261E">
              <w:rPr>
                <w:rFonts w:eastAsia="Calibri" w:cs="Times New Roman"/>
                <w:i/>
                <w:iCs/>
                <w:szCs w:val="24"/>
              </w:rPr>
              <w:t xml:space="preserve">Рисунок </w:t>
            </w:r>
            <w:r w:rsidRPr="0047261E">
              <w:rPr>
                <w:rFonts w:eastAsia="Calibri" w:cs="Times New Roman"/>
                <w:i/>
                <w:iCs/>
                <w:szCs w:val="24"/>
              </w:rPr>
              <w:fldChar w:fldCharType="begin"/>
            </w:r>
            <w:r w:rsidRPr="0047261E">
              <w:rPr>
                <w:rFonts w:eastAsia="Calibri" w:cs="Times New Roman"/>
                <w:i/>
                <w:iCs/>
                <w:szCs w:val="24"/>
              </w:rPr>
              <w:instrText xml:space="preserve"> SEQ Рисунок \* ARABIC </w:instrText>
            </w:r>
            <w:r w:rsidRPr="0047261E">
              <w:rPr>
                <w:rFonts w:eastAsia="Calibri" w:cs="Times New Roman"/>
                <w:i/>
                <w:iCs/>
                <w:szCs w:val="24"/>
              </w:rPr>
              <w:fldChar w:fldCharType="separate"/>
            </w:r>
            <w:r w:rsidR="00FD2769">
              <w:rPr>
                <w:rFonts w:eastAsia="Calibri" w:cs="Times New Roman"/>
                <w:i/>
                <w:iCs/>
                <w:noProof/>
                <w:szCs w:val="24"/>
              </w:rPr>
              <w:t>32</w:t>
            </w:r>
            <w:r w:rsidRPr="0047261E">
              <w:rPr>
                <w:rFonts w:eastAsia="Calibri" w:cs="Times New Roman"/>
                <w:i/>
                <w:iCs/>
                <w:szCs w:val="24"/>
              </w:rPr>
              <w:fldChar w:fldCharType="end"/>
            </w:r>
          </w:p>
        </w:tc>
      </w:tr>
    </w:tbl>
    <w:p w14:paraId="41E926FE" w14:textId="77777777" w:rsidR="0047261E" w:rsidRPr="0047261E" w:rsidRDefault="0047261E" w:rsidP="0047261E">
      <w:pPr>
        <w:widowControl w:val="0"/>
        <w:ind w:firstLine="709"/>
        <w:contextualSpacing/>
        <w:rPr>
          <w:rFonts w:eastAsia="Times New Roman" w:cs="Times New Roman"/>
          <w:kern w:val="3"/>
          <w:szCs w:val="24"/>
          <w:lang w:eastAsia="zh-CN" w:bidi="hi-IN"/>
        </w:rPr>
      </w:pPr>
    </w:p>
    <w:p w14:paraId="2889C800" w14:textId="77777777" w:rsidR="0047261E" w:rsidRPr="0047261E" w:rsidRDefault="0047261E" w:rsidP="0047261E">
      <w:pPr>
        <w:widowControl w:val="0"/>
        <w:spacing w:before="240"/>
        <w:ind w:firstLine="709"/>
        <w:contextualSpacing/>
        <w:rPr>
          <w:rFonts w:eastAsia="Times New Roman" w:cs="Times New Roman"/>
          <w:kern w:val="3"/>
          <w:szCs w:val="24"/>
          <w:lang w:eastAsia="zh-CN" w:bidi="hi-IN"/>
        </w:rPr>
      </w:pPr>
      <w:r w:rsidRPr="0047261E">
        <w:rPr>
          <w:rFonts w:eastAsia="Times New Roman" w:cs="Times New Roman"/>
          <w:kern w:val="3"/>
          <w:szCs w:val="24"/>
          <w:lang w:eastAsia="zh-CN" w:bidi="hi-IN"/>
        </w:rPr>
        <w:t>Корпоративные кредиты, номинированные в рублях, росли опережающими темпами и по итогам года показали рост на 12,0 % (3,8 % в 2017 году). При этом валютная задолженность демонстрируют отрицательную годовую динамику с апреля 2016 года (с исключением валютной переоценки). В 2018 г. сокращение портфеля кредитов, номинированных в иностранной валюте, ускорилось до -11,7 % по сравнению с -2,4 % в 2017 году.</w:t>
      </w:r>
    </w:p>
    <w:p w14:paraId="48CA66CA" w14:textId="77777777" w:rsidR="0047261E" w:rsidRPr="0047261E" w:rsidRDefault="0047261E" w:rsidP="0047261E">
      <w:pPr>
        <w:widowControl w:val="0"/>
        <w:spacing w:before="240"/>
        <w:ind w:firstLine="709"/>
        <w:contextualSpacing/>
        <w:rPr>
          <w:rFonts w:eastAsia="Times New Roman" w:cs="Times New Roman"/>
          <w:kern w:val="3"/>
          <w:szCs w:val="24"/>
          <w:lang w:eastAsia="zh-CN" w:bidi="hi-IN"/>
        </w:rPr>
      </w:pPr>
      <w:r w:rsidRPr="0047261E">
        <w:rPr>
          <w:rFonts w:eastAsia="Times New Roman" w:cs="Times New Roman"/>
          <w:kern w:val="3"/>
          <w:szCs w:val="24"/>
          <w:lang w:eastAsia="zh-CN" w:bidi="hi-IN"/>
        </w:rPr>
        <w:t>Наиболее активный процесс девалютизации кредитного портфеля наблюдается в таких отраслях, как операции с недвижимым имуществом, транспорт и связь, торговля, где доля кредитов в иностранной валюте исторически находилась на повышенных уровнях. За последние два года существенно снизилась валютная задолженность строительных организаций, однако в конце 2018 г. ее объем вновь начал расти на фоне восстановления динамики кредитования отрасли.</w:t>
      </w:r>
    </w:p>
    <w:p w14:paraId="17D63577" w14:textId="77777777" w:rsidR="0047261E" w:rsidRPr="0047261E" w:rsidRDefault="0047261E" w:rsidP="0047261E">
      <w:pPr>
        <w:widowControl w:val="0"/>
        <w:spacing w:before="240"/>
        <w:ind w:firstLine="709"/>
        <w:contextualSpacing/>
        <w:rPr>
          <w:rFonts w:eastAsia="Times New Roman" w:cs="Times New Roman"/>
          <w:kern w:val="3"/>
          <w:szCs w:val="24"/>
          <w:lang w:eastAsia="zh-CN" w:bidi="hi-IN"/>
        </w:rPr>
      </w:pPr>
      <w:r w:rsidRPr="0047261E">
        <w:rPr>
          <w:rFonts w:eastAsia="Times New Roman" w:cs="Times New Roman"/>
          <w:bCs/>
          <w:color w:val="000000"/>
          <w:kern w:val="3"/>
          <w:szCs w:val="24"/>
          <w:shd w:val="clear" w:color="auto" w:fill="FFFFFF"/>
          <w:lang w:eastAsia="ru-RU" w:bidi="ru-RU"/>
        </w:rPr>
        <w:t>Кредиты населению в 2018 г. продолжали расти опережающими темпами.</w:t>
      </w:r>
      <w:r w:rsidRPr="0047261E">
        <w:rPr>
          <w:rFonts w:eastAsia="Times New Roman" w:cs="Times New Roman"/>
          <w:b/>
          <w:bCs/>
          <w:color w:val="000000"/>
          <w:kern w:val="3"/>
          <w:szCs w:val="24"/>
          <w:shd w:val="clear" w:color="auto" w:fill="FFFFFF"/>
          <w:lang w:eastAsia="ru-RU" w:bidi="ru-RU"/>
        </w:rPr>
        <w:t xml:space="preserve"> </w:t>
      </w:r>
      <w:r w:rsidRPr="0047261E">
        <w:rPr>
          <w:rFonts w:eastAsia="Times New Roman" w:cs="Times New Roman"/>
          <w:kern w:val="3"/>
          <w:szCs w:val="24"/>
          <w:lang w:eastAsia="zh-CN" w:bidi="hi-IN"/>
        </w:rPr>
        <w:t xml:space="preserve">По итогам 2018 г. темпы роста розничного кредитного портфеля выросли до 22,4 % с 12,8 % годом ранее. </w:t>
      </w:r>
    </w:p>
    <w:p w14:paraId="0FCDE728" w14:textId="77777777" w:rsidR="0047261E" w:rsidRPr="0047261E" w:rsidRDefault="0047261E" w:rsidP="0047261E">
      <w:pPr>
        <w:widowControl w:val="0"/>
        <w:spacing w:before="240"/>
        <w:ind w:firstLine="709"/>
        <w:contextualSpacing/>
        <w:rPr>
          <w:rFonts w:eastAsia="Times New Roman" w:cs="Times New Roman"/>
          <w:kern w:val="3"/>
          <w:szCs w:val="24"/>
          <w:lang w:eastAsia="zh-CN" w:bidi="hi-IN"/>
        </w:rPr>
      </w:pPr>
      <w:r w:rsidRPr="0047261E">
        <w:rPr>
          <w:rFonts w:eastAsia="Times New Roman" w:cs="Times New Roman"/>
          <w:kern w:val="3"/>
          <w:szCs w:val="24"/>
          <w:lang w:eastAsia="zh-CN" w:bidi="hi-IN"/>
        </w:rPr>
        <w:t>Рост ипотечного кредитного портфеля в 2018 г. ускорился до 23,1 % с 15,1 % в 2017 году. Выдачи новых ипотечных кредитов на протяжении года продолжали расти высокими темпами (в целом по году - на 62 %), в том числе в результате рефинансирования заемщиками ранее выданных кредитов по более выгодным ставкам. Вместе с тем в конце года динамика показателя начала замедляться на фоне приостановки удешевления ипотечного кредитования.</w:t>
      </w:r>
    </w:p>
    <w:tbl>
      <w:tblPr>
        <w:tblStyle w:val="3b"/>
        <w:tblW w:w="0" w:type="auto"/>
        <w:tblLook w:val="04A0" w:firstRow="1" w:lastRow="0" w:firstColumn="1" w:lastColumn="0" w:noHBand="0" w:noVBand="1"/>
      </w:tblPr>
      <w:tblGrid>
        <w:gridCol w:w="4623"/>
        <w:gridCol w:w="4806"/>
      </w:tblGrid>
      <w:tr w:rsidR="0047261E" w:rsidRPr="0047261E" w14:paraId="371DB3D3" w14:textId="77777777" w:rsidTr="0047261E">
        <w:tc>
          <w:tcPr>
            <w:tcW w:w="4714" w:type="dxa"/>
          </w:tcPr>
          <w:p w14:paraId="6929A399" w14:textId="77777777" w:rsidR="0047261E" w:rsidRPr="0047261E" w:rsidRDefault="0047261E" w:rsidP="0047261E">
            <w:pPr>
              <w:ind w:firstLine="0"/>
              <w:contextualSpacing/>
              <w:jc w:val="center"/>
              <w:rPr>
                <w:rFonts w:eastAsia="Times New Roman" w:cs="Times New Roman"/>
                <w:lang w:eastAsia="zh-CN"/>
              </w:rPr>
            </w:pPr>
            <w:r w:rsidRPr="0047261E">
              <w:rPr>
                <w:rFonts w:eastAsia="Times New Roman" w:cs="Times New Roman"/>
                <w:noProof/>
                <w:lang w:eastAsia="ru-RU"/>
              </w:rPr>
              <w:drawing>
                <wp:inline distT="0" distB="0" distL="0" distR="0" wp14:anchorId="5AD76373" wp14:editId="140F2220">
                  <wp:extent cx="2646045" cy="2590800"/>
                  <wp:effectExtent l="0" t="0" r="1905" b="0"/>
                  <wp:docPr id="920" name="Рисунок 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646045" cy="2590800"/>
                          </a:xfrm>
                          <a:prstGeom prst="rect">
                            <a:avLst/>
                          </a:prstGeom>
                          <a:noFill/>
                        </pic:spPr>
                      </pic:pic>
                    </a:graphicData>
                  </a:graphic>
                </wp:inline>
              </w:drawing>
            </w:r>
          </w:p>
        </w:tc>
        <w:tc>
          <w:tcPr>
            <w:tcW w:w="4715" w:type="dxa"/>
          </w:tcPr>
          <w:p w14:paraId="7D761C04" w14:textId="77777777" w:rsidR="0047261E" w:rsidRPr="0047261E" w:rsidRDefault="0047261E" w:rsidP="0047261E">
            <w:pPr>
              <w:ind w:firstLine="0"/>
              <w:contextualSpacing/>
              <w:jc w:val="center"/>
              <w:rPr>
                <w:rFonts w:eastAsia="Times New Roman" w:cs="Times New Roman"/>
                <w:lang w:eastAsia="zh-CN"/>
              </w:rPr>
            </w:pPr>
            <w:r w:rsidRPr="0047261E">
              <w:rPr>
                <w:rFonts w:eastAsia="Times New Roman" w:cs="Times New Roman"/>
                <w:noProof/>
                <w:lang w:eastAsia="ru-RU"/>
              </w:rPr>
              <w:drawing>
                <wp:inline distT="0" distB="0" distL="0" distR="0" wp14:anchorId="239CD5F5" wp14:editId="52C8D18C">
                  <wp:extent cx="2908300" cy="2603500"/>
                  <wp:effectExtent l="0" t="0" r="6350" b="6350"/>
                  <wp:docPr id="921" name="Рисунок 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908300" cy="2603500"/>
                          </a:xfrm>
                          <a:prstGeom prst="rect">
                            <a:avLst/>
                          </a:prstGeom>
                          <a:noFill/>
                        </pic:spPr>
                      </pic:pic>
                    </a:graphicData>
                  </a:graphic>
                </wp:inline>
              </w:drawing>
            </w:r>
          </w:p>
        </w:tc>
      </w:tr>
      <w:tr w:rsidR="0047261E" w:rsidRPr="0047261E" w14:paraId="52F93183" w14:textId="77777777" w:rsidTr="0047261E">
        <w:tc>
          <w:tcPr>
            <w:tcW w:w="4714" w:type="dxa"/>
          </w:tcPr>
          <w:p w14:paraId="09886E90" w14:textId="31970C79" w:rsidR="0047261E" w:rsidRPr="0047261E" w:rsidRDefault="0047261E" w:rsidP="0047261E">
            <w:pPr>
              <w:suppressLineNumbers/>
              <w:suppressAutoHyphens/>
              <w:ind w:firstLine="23"/>
              <w:jc w:val="center"/>
              <w:rPr>
                <w:rFonts w:eastAsia="Calibri" w:cs="Times New Roman"/>
                <w:i/>
                <w:iCs/>
                <w:szCs w:val="24"/>
              </w:rPr>
            </w:pPr>
            <w:r w:rsidRPr="0047261E">
              <w:rPr>
                <w:rFonts w:eastAsia="Calibri" w:cs="Times New Roman"/>
                <w:i/>
                <w:iCs/>
                <w:szCs w:val="24"/>
              </w:rPr>
              <w:t xml:space="preserve">Рисунок </w:t>
            </w:r>
            <w:r w:rsidRPr="0047261E">
              <w:rPr>
                <w:rFonts w:eastAsia="Calibri" w:cs="Times New Roman"/>
                <w:i/>
                <w:iCs/>
                <w:szCs w:val="24"/>
              </w:rPr>
              <w:fldChar w:fldCharType="begin"/>
            </w:r>
            <w:r w:rsidRPr="0047261E">
              <w:rPr>
                <w:rFonts w:eastAsia="Calibri" w:cs="Times New Roman"/>
                <w:i/>
                <w:iCs/>
                <w:szCs w:val="24"/>
              </w:rPr>
              <w:instrText xml:space="preserve"> SEQ Рисунок \* ARABIC </w:instrText>
            </w:r>
            <w:r w:rsidRPr="0047261E">
              <w:rPr>
                <w:rFonts w:eastAsia="Calibri" w:cs="Times New Roman"/>
                <w:i/>
                <w:iCs/>
                <w:szCs w:val="24"/>
              </w:rPr>
              <w:fldChar w:fldCharType="separate"/>
            </w:r>
            <w:r w:rsidR="00FD2769">
              <w:rPr>
                <w:rFonts w:eastAsia="Calibri" w:cs="Times New Roman"/>
                <w:i/>
                <w:iCs/>
                <w:noProof/>
                <w:szCs w:val="24"/>
              </w:rPr>
              <w:t>33</w:t>
            </w:r>
            <w:r w:rsidRPr="0047261E">
              <w:rPr>
                <w:rFonts w:eastAsia="Calibri" w:cs="Times New Roman"/>
                <w:i/>
                <w:iCs/>
                <w:szCs w:val="24"/>
              </w:rPr>
              <w:fldChar w:fldCharType="end"/>
            </w:r>
          </w:p>
        </w:tc>
        <w:tc>
          <w:tcPr>
            <w:tcW w:w="4715" w:type="dxa"/>
          </w:tcPr>
          <w:p w14:paraId="520633AC" w14:textId="07159D22" w:rsidR="0047261E" w:rsidRPr="0047261E" w:rsidRDefault="0047261E" w:rsidP="0047261E">
            <w:pPr>
              <w:suppressLineNumbers/>
              <w:suppressAutoHyphens/>
              <w:ind w:firstLine="23"/>
              <w:jc w:val="center"/>
              <w:rPr>
                <w:rFonts w:eastAsia="Calibri" w:cs="Times New Roman"/>
                <w:i/>
                <w:iCs/>
                <w:szCs w:val="24"/>
              </w:rPr>
            </w:pPr>
            <w:r w:rsidRPr="0047261E">
              <w:rPr>
                <w:rFonts w:eastAsia="Calibri" w:cs="Times New Roman"/>
                <w:i/>
                <w:iCs/>
                <w:szCs w:val="24"/>
              </w:rPr>
              <w:t xml:space="preserve">Рисунок </w:t>
            </w:r>
            <w:r w:rsidRPr="0047261E">
              <w:rPr>
                <w:rFonts w:eastAsia="Calibri" w:cs="Times New Roman"/>
                <w:i/>
                <w:iCs/>
                <w:szCs w:val="24"/>
              </w:rPr>
              <w:fldChar w:fldCharType="begin"/>
            </w:r>
            <w:r w:rsidRPr="0047261E">
              <w:rPr>
                <w:rFonts w:eastAsia="Calibri" w:cs="Times New Roman"/>
                <w:i/>
                <w:iCs/>
                <w:szCs w:val="24"/>
              </w:rPr>
              <w:instrText xml:space="preserve"> SEQ Рисунок \* ARABIC </w:instrText>
            </w:r>
            <w:r w:rsidRPr="0047261E">
              <w:rPr>
                <w:rFonts w:eastAsia="Calibri" w:cs="Times New Roman"/>
                <w:i/>
                <w:iCs/>
                <w:szCs w:val="24"/>
              </w:rPr>
              <w:fldChar w:fldCharType="separate"/>
            </w:r>
            <w:r w:rsidR="00FD2769">
              <w:rPr>
                <w:rFonts w:eastAsia="Calibri" w:cs="Times New Roman"/>
                <w:i/>
                <w:iCs/>
                <w:noProof/>
                <w:szCs w:val="24"/>
              </w:rPr>
              <w:t>34</w:t>
            </w:r>
            <w:r w:rsidRPr="0047261E">
              <w:rPr>
                <w:rFonts w:eastAsia="Calibri" w:cs="Times New Roman"/>
                <w:i/>
                <w:iCs/>
                <w:szCs w:val="24"/>
              </w:rPr>
              <w:fldChar w:fldCharType="end"/>
            </w:r>
          </w:p>
        </w:tc>
      </w:tr>
    </w:tbl>
    <w:p w14:paraId="3CED5B3D" w14:textId="77777777" w:rsidR="0047261E" w:rsidRPr="0047261E" w:rsidRDefault="0047261E" w:rsidP="0047261E">
      <w:pPr>
        <w:widowControl w:val="0"/>
        <w:ind w:firstLine="709"/>
        <w:contextualSpacing/>
        <w:rPr>
          <w:rFonts w:eastAsia="Times New Roman" w:cs="Times New Roman"/>
          <w:kern w:val="3"/>
          <w:szCs w:val="24"/>
          <w:lang w:eastAsia="zh-CN" w:bidi="hi-IN"/>
        </w:rPr>
      </w:pPr>
    </w:p>
    <w:p w14:paraId="78D1F52B" w14:textId="77777777" w:rsidR="0047261E" w:rsidRPr="0047261E" w:rsidRDefault="0047261E" w:rsidP="0047261E">
      <w:pPr>
        <w:widowControl w:val="0"/>
        <w:spacing w:before="240"/>
        <w:ind w:firstLine="709"/>
        <w:contextualSpacing/>
        <w:rPr>
          <w:rFonts w:eastAsia="Times New Roman" w:cs="Times New Roman"/>
          <w:kern w:val="3"/>
          <w:szCs w:val="24"/>
          <w:lang w:eastAsia="zh-CN" w:bidi="hi-IN"/>
        </w:rPr>
      </w:pPr>
      <w:r w:rsidRPr="0047261E">
        <w:rPr>
          <w:rFonts w:eastAsia="Times New Roman" w:cs="Times New Roman"/>
          <w:kern w:val="3"/>
          <w:szCs w:val="24"/>
          <w:lang w:eastAsia="zh-CN" w:bidi="hi-IN"/>
        </w:rPr>
        <w:t>Рост розничного кредитного портфеля (за исключением ипотеки) в 2018 г. ускорился почти вдвое - до 21,6 % с 11,1 % в 2017 году. В абсолютном выражении рост показателя составил 1,5 трлн. рублей и внес основной вклад в прирост кредитов населению.</w:t>
      </w:r>
    </w:p>
    <w:p w14:paraId="29B773CD" w14:textId="77777777" w:rsidR="0047261E" w:rsidRPr="0047261E" w:rsidRDefault="0047261E" w:rsidP="0047261E">
      <w:pPr>
        <w:widowControl w:val="0"/>
        <w:spacing w:before="240"/>
        <w:ind w:firstLine="709"/>
        <w:contextualSpacing/>
        <w:rPr>
          <w:rFonts w:eastAsia="Times New Roman" w:cs="Times New Roman"/>
          <w:kern w:val="3"/>
          <w:szCs w:val="24"/>
          <w:lang w:eastAsia="zh-CN" w:bidi="hi-IN"/>
        </w:rPr>
      </w:pPr>
      <w:r w:rsidRPr="0047261E">
        <w:rPr>
          <w:rFonts w:eastAsia="Times New Roman" w:cs="Times New Roman"/>
          <w:kern w:val="3"/>
          <w:szCs w:val="24"/>
          <w:lang w:eastAsia="zh-CN" w:bidi="hi-IN"/>
        </w:rPr>
        <w:t>В условиях широких возможностей для рефинансирования ранее выданных кредитов уровень просроченной задолженности физических лиц продолжил снижаться (до 5,1 % на 1 января 2019 г. с уровней около 7 % в начале года) и достиг минимальных с апреля 2014 года уровней. Вместе с тем рост кредитного портфеля существенно превышал рост номинальных заработных плат.</w:t>
      </w:r>
    </w:p>
    <w:p w14:paraId="7DE238A4" w14:textId="77777777" w:rsidR="0047261E" w:rsidRPr="0047261E" w:rsidRDefault="0047261E" w:rsidP="0047261E">
      <w:pPr>
        <w:widowControl w:val="0"/>
        <w:spacing w:before="240"/>
        <w:ind w:firstLine="709"/>
        <w:contextualSpacing/>
        <w:rPr>
          <w:rFonts w:eastAsia="Times New Roman" w:cs="Times New Roman"/>
          <w:kern w:val="3"/>
          <w:szCs w:val="24"/>
          <w:lang w:eastAsia="zh-CN" w:bidi="hi-IN"/>
        </w:rPr>
      </w:pPr>
      <w:r w:rsidRPr="0047261E">
        <w:rPr>
          <w:rFonts w:eastAsia="Times New Roman" w:cs="Times New Roman"/>
          <w:kern w:val="3"/>
          <w:szCs w:val="24"/>
          <w:lang w:eastAsia="zh-CN" w:bidi="hi-IN"/>
        </w:rPr>
        <w:t>Наблюдаемая динамика потребительского кредитования создает риски ухудшения качества кредитного портфеля в будущем. Кроме того, растущие процентные платежи оказывают все более выраженное негативное влияние на динамику реальных располагаемых доходов населения. В целях ограничения рисков в сфере потребительского кредитования Банк России принял решение с 1 апреля 2019 г. повысить на 30 п.п. надбавки к коэффициентам риска по потребительским кредитам с полной стоимостью кредитования от 10 до 30 %. С 1 сентября 2018 г. указанные надбавки уже были повышены на 20-60 процентных пунктов.</w:t>
      </w:r>
    </w:p>
    <w:p w14:paraId="6AA3DC1E" w14:textId="77777777" w:rsidR="0047261E" w:rsidRPr="0047261E" w:rsidRDefault="0047261E" w:rsidP="0047261E">
      <w:pPr>
        <w:widowControl w:val="0"/>
        <w:suppressAutoHyphens/>
        <w:autoSpaceDN w:val="0"/>
        <w:ind w:firstLine="0"/>
        <w:textAlignment w:val="baseline"/>
        <w:rPr>
          <w:rFonts w:eastAsia="Times New Roman" w:cs="Times New Roman"/>
          <w:kern w:val="3"/>
          <w:sz w:val="28"/>
          <w:szCs w:val="24"/>
          <w:lang w:eastAsia="ru-RU" w:bidi="hi-IN"/>
        </w:rPr>
      </w:pPr>
    </w:p>
    <w:tbl>
      <w:tblPr>
        <w:tblStyle w:val="3b"/>
        <w:tblW w:w="0" w:type="auto"/>
        <w:tblLook w:val="04A0" w:firstRow="1" w:lastRow="0" w:firstColumn="1" w:lastColumn="0" w:noHBand="0" w:noVBand="1"/>
      </w:tblPr>
      <w:tblGrid>
        <w:gridCol w:w="4613"/>
        <w:gridCol w:w="4816"/>
      </w:tblGrid>
      <w:tr w:rsidR="0047261E" w:rsidRPr="0047261E" w14:paraId="5CAC6FE8" w14:textId="77777777" w:rsidTr="0047261E">
        <w:tc>
          <w:tcPr>
            <w:tcW w:w="4714" w:type="dxa"/>
          </w:tcPr>
          <w:p w14:paraId="2B406482" w14:textId="77777777" w:rsidR="0047261E" w:rsidRPr="0047261E" w:rsidRDefault="0047261E" w:rsidP="0047261E">
            <w:pPr>
              <w:suppressAutoHyphens/>
              <w:ind w:firstLine="0"/>
              <w:jc w:val="center"/>
              <w:rPr>
                <w:rFonts w:eastAsia="Times New Roman" w:cs="Times New Roman"/>
                <w:szCs w:val="24"/>
                <w:lang w:eastAsia="ru-RU"/>
              </w:rPr>
            </w:pPr>
            <w:r w:rsidRPr="0047261E">
              <w:rPr>
                <w:rFonts w:eastAsia="Times New Roman" w:cs="Times New Roman"/>
                <w:noProof/>
                <w:lang w:eastAsia="ru-RU"/>
              </w:rPr>
              <w:drawing>
                <wp:inline distT="0" distB="0" distL="0" distR="0" wp14:anchorId="7D1BD4E0" wp14:editId="2FC2A098">
                  <wp:extent cx="2840990" cy="2743200"/>
                  <wp:effectExtent l="0" t="0" r="0" b="0"/>
                  <wp:docPr id="922" name="Рисунок 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840990" cy="2743200"/>
                          </a:xfrm>
                          <a:prstGeom prst="rect">
                            <a:avLst/>
                          </a:prstGeom>
                          <a:noFill/>
                        </pic:spPr>
                      </pic:pic>
                    </a:graphicData>
                  </a:graphic>
                </wp:inline>
              </w:drawing>
            </w:r>
          </w:p>
        </w:tc>
        <w:tc>
          <w:tcPr>
            <w:tcW w:w="4715" w:type="dxa"/>
          </w:tcPr>
          <w:p w14:paraId="605CA17F" w14:textId="77777777" w:rsidR="0047261E" w:rsidRPr="0047261E" w:rsidRDefault="0047261E" w:rsidP="0047261E">
            <w:pPr>
              <w:suppressAutoHyphens/>
              <w:ind w:firstLine="0"/>
              <w:jc w:val="center"/>
              <w:rPr>
                <w:rFonts w:eastAsia="Times New Roman" w:cs="Times New Roman"/>
                <w:szCs w:val="24"/>
                <w:lang w:eastAsia="ru-RU"/>
              </w:rPr>
            </w:pPr>
            <w:r w:rsidRPr="0047261E">
              <w:rPr>
                <w:rFonts w:eastAsia="Times New Roman" w:cs="Times New Roman"/>
                <w:noProof/>
                <w:lang w:eastAsia="ru-RU"/>
              </w:rPr>
              <w:drawing>
                <wp:inline distT="0" distB="0" distL="0" distR="0" wp14:anchorId="5897AD93" wp14:editId="4DEACFBF">
                  <wp:extent cx="2962910" cy="2828925"/>
                  <wp:effectExtent l="0" t="0" r="8890" b="9525"/>
                  <wp:docPr id="924" name="Рисунок 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962910" cy="2828925"/>
                          </a:xfrm>
                          <a:prstGeom prst="rect">
                            <a:avLst/>
                          </a:prstGeom>
                          <a:noFill/>
                        </pic:spPr>
                      </pic:pic>
                    </a:graphicData>
                  </a:graphic>
                </wp:inline>
              </w:drawing>
            </w:r>
          </w:p>
        </w:tc>
      </w:tr>
      <w:tr w:rsidR="0047261E" w:rsidRPr="0047261E" w14:paraId="392B344F" w14:textId="77777777" w:rsidTr="0047261E">
        <w:tc>
          <w:tcPr>
            <w:tcW w:w="4714" w:type="dxa"/>
          </w:tcPr>
          <w:p w14:paraId="5E4E1143" w14:textId="25102904" w:rsidR="0047261E" w:rsidRPr="0047261E" w:rsidRDefault="0047261E" w:rsidP="0047261E">
            <w:pPr>
              <w:suppressLineNumbers/>
              <w:suppressAutoHyphens/>
              <w:ind w:firstLine="22"/>
              <w:jc w:val="center"/>
              <w:rPr>
                <w:rFonts w:eastAsia="Calibri" w:cs="Times New Roman"/>
                <w:i/>
                <w:iCs/>
                <w:szCs w:val="24"/>
              </w:rPr>
            </w:pPr>
            <w:r w:rsidRPr="0047261E">
              <w:rPr>
                <w:rFonts w:eastAsia="Calibri" w:cs="Times New Roman"/>
                <w:i/>
                <w:iCs/>
                <w:szCs w:val="24"/>
              </w:rPr>
              <w:t xml:space="preserve">Рисунок </w:t>
            </w:r>
            <w:r w:rsidRPr="0047261E">
              <w:rPr>
                <w:rFonts w:eastAsia="Calibri" w:cs="Times New Roman"/>
                <w:i/>
                <w:iCs/>
                <w:szCs w:val="24"/>
              </w:rPr>
              <w:fldChar w:fldCharType="begin"/>
            </w:r>
            <w:r w:rsidRPr="0047261E">
              <w:rPr>
                <w:rFonts w:eastAsia="Calibri" w:cs="Times New Roman"/>
                <w:i/>
                <w:iCs/>
                <w:szCs w:val="24"/>
              </w:rPr>
              <w:instrText xml:space="preserve"> SEQ Рисунок \* ARABIC </w:instrText>
            </w:r>
            <w:r w:rsidRPr="0047261E">
              <w:rPr>
                <w:rFonts w:eastAsia="Calibri" w:cs="Times New Roman"/>
                <w:i/>
                <w:iCs/>
                <w:szCs w:val="24"/>
              </w:rPr>
              <w:fldChar w:fldCharType="separate"/>
            </w:r>
            <w:r w:rsidR="00FD2769">
              <w:rPr>
                <w:rFonts w:eastAsia="Calibri" w:cs="Times New Roman"/>
                <w:i/>
                <w:iCs/>
                <w:noProof/>
                <w:szCs w:val="24"/>
              </w:rPr>
              <w:t>35</w:t>
            </w:r>
            <w:r w:rsidRPr="0047261E">
              <w:rPr>
                <w:rFonts w:eastAsia="Calibri" w:cs="Times New Roman"/>
                <w:i/>
                <w:iCs/>
                <w:szCs w:val="24"/>
              </w:rPr>
              <w:fldChar w:fldCharType="end"/>
            </w:r>
          </w:p>
        </w:tc>
        <w:tc>
          <w:tcPr>
            <w:tcW w:w="4715" w:type="dxa"/>
          </w:tcPr>
          <w:p w14:paraId="73F92C73" w14:textId="53F39ECC" w:rsidR="0047261E" w:rsidRPr="0047261E" w:rsidRDefault="0047261E" w:rsidP="0047261E">
            <w:pPr>
              <w:suppressLineNumbers/>
              <w:suppressAutoHyphens/>
              <w:ind w:firstLine="22"/>
              <w:jc w:val="center"/>
              <w:rPr>
                <w:rFonts w:eastAsia="Calibri" w:cs="Times New Roman"/>
                <w:i/>
                <w:iCs/>
                <w:szCs w:val="24"/>
              </w:rPr>
            </w:pPr>
            <w:r w:rsidRPr="0047261E">
              <w:rPr>
                <w:rFonts w:eastAsia="Calibri" w:cs="Times New Roman"/>
                <w:i/>
                <w:iCs/>
                <w:szCs w:val="24"/>
              </w:rPr>
              <w:t xml:space="preserve">Рисунок </w:t>
            </w:r>
            <w:r w:rsidRPr="0047261E">
              <w:rPr>
                <w:rFonts w:eastAsia="Calibri" w:cs="Times New Roman"/>
                <w:i/>
                <w:iCs/>
                <w:szCs w:val="24"/>
              </w:rPr>
              <w:fldChar w:fldCharType="begin"/>
            </w:r>
            <w:r w:rsidRPr="0047261E">
              <w:rPr>
                <w:rFonts w:eastAsia="Calibri" w:cs="Times New Roman"/>
                <w:i/>
                <w:iCs/>
                <w:szCs w:val="24"/>
              </w:rPr>
              <w:instrText xml:space="preserve"> SEQ Рисунок \* ARABIC </w:instrText>
            </w:r>
            <w:r w:rsidRPr="0047261E">
              <w:rPr>
                <w:rFonts w:eastAsia="Calibri" w:cs="Times New Roman"/>
                <w:i/>
                <w:iCs/>
                <w:szCs w:val="24"/>
              </w:rPr>
              <w:fldChar w:fldCharType="separate"/>
            </w:r>
            <w:r w:rsidR="00FD2769">
              <w:rPr>
                <w:rFonts w:eastAsia="Calibri" w:cs="Times New Roman"/>
                <w:i/>
                <w:iCs/>
                <w:noProof/>
                <w:szCs w:val="24"/>
              </w:rPr>
              <w:t>36</w:t>
            </w:r>
            <w:r w:rsidRPr="0047261E">
              <w:rPr>
                <w:rFonts w:eastAsia="Calibri" w:cs="Times New Roman"/>
                <w:i/>
                <w:iCs/>
                <w:szCs w:val="24"/>
              </w:rPr>
              <w:fldChar w:fldCharType="end"/>
            </w:r>
          </w:p>
        </w:tc>
      </w:tr>
    </w:tbl>
    <w:p w14:paraId="49829058" w14:textId="77777777" w:rsidR="0047261E" w:rsidRPr="0047261E" w:rsidRDefault="0047261E" w:rsidP="0047261E">
      <w:pPr>
        <w:widowControl w:val="0"/>
        <w:suppressAutoHyphens/>
        <w:autoSpaceDN w:val="0"/>
        <w:ind w:firstLine="0"/>
        <w:textAlignment w:val="baseline"/>
        <w:rPr>
          <w:rFonts w:eastAsia="Times New Roman" w:cs="Times New Roman"/>
          <w:kern w:val="3"/>
          <w:sz w:val="28"/>
          <w:szCs w:val="24"/>
          <w:lang w:eastAsia="ru-RU" w:bidi="hi-IN"/>
        </w:rPr>
      </w:pPr>
    </w:p>
    <w:p w14:paraId="30E84B0C" w14:textId="663DD43D" w:rsidR="0047261E" w:rsidRPr="0047261E" w:rsidRDefault="0047261E" w:rsidP="00763AD2">
      <w:pPr>
        <w:pStyle w:val="afffffff0"/>
      </w:pPr>
      <w:r w:rsidRPr="0047261E">
        <w:t xml:space="preserve">Таблица </w:t>
      </w:r>
      <w:r w:rsidR="00A90944">
        <w:fldChar w:fldCharType="begin"/>
      </w:r>
      <w:r w:rsidR="00A90944">
        <w:instrText xml:space="preserve"> SEQ Таблица \* ARABIC </w:instrText>
      </w:r>
      <w:r w:rsidR="00A90944">
        <w:fldChar w:fldCharType="separate"/>
      </w:r>
      <w:r w:rsidR="00FD2769">
        <w:rPr>
          <w:noProof/>
        </w:rPr>
        <w:t>10</w:t>
      </w:r>
      <w:r w:rsidR="00A90944">
        <w:rPr>
          <w:noProof/>
        </w:rPr>
        <w:fldChar w:fldCharType="end"/>
      </w:r>
      <w:r w:rsidRPr="0047261E">
        <w:t>. Показатели банковского сектора</w:t>
      </w:r>
    </w:p>
    <w:tbl>
      <w:tblPr>
        <w:tblOverlap w:val="never"/>
        <w:tblW w:w="9679" w:type="dxa"/>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4A0" w:firstRow="1" w:lastRow="0" w:firstColumn="1" w:lastColumn="0" w:noHBand="0" w:noVBand="1"/>
      </w:tblPr>
      <w:tblGrid>
        <w:gridCol w:w="3485"/>
        <w:gridCol w:w="672"/>
        <w:gridCol w:w="701"/>
        <w:gridCol w:w="682"/>
        <w:gridCol w:w="701"/>
        <w:gridCol w:w="696"/>
        <w:gridCol w:w="682"/>
        <w:gridCol w:w="701"/>
        <w:gridCol w:w="677"/>
        <w:gridCol w:w="682"/>
      </w:tblGrid>
      <w:tr w:rsidR="0047261E" w:rsidRPr="0047261E" w14:paraId="181E545C" w14:textId="77777777" w:rsidTr="0047261E">
        <w:trPr>
          <w:trHeight w:val="235"/>
        </w:trPr>
        <w:tc>
          <w:tcPr>
            <w:tcW w:w="3485" w:type="dxa"/>
            <w:shd w:val="clear" w:color="auto" w:fill="FFFFFF"/>
          </w:tcPr>
          <w:p w14:paraId="5A93E559"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p>
        </w:tc>
        <w:tc>
          <w:tcPr>
            <w:tcW w:w="672" w:type="dxa"/>
            <w:shd w:val="clear" w:color="auto" w:fill="FFFFFF"/>
            <w:vAlign w:val="bottom"/>
          </w:tcPr>
          <w:p w14:paraId="76D266F0"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дек.18</w:t>
            </w:r>
          </w:p>
        </w:tc>
        <w:tc>
          <w:tcPr>
            <w:tcW w:w="701" w:type="dxa"/>
            <w:shd w:val="clear" w:color="auto" w:fill="FFFFFF"/>
            <w:vAlign w:val="bottom"/>
          </w:tcPr>
          <w:p w14:paraId="00C3FCB4"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ноя.18</w:t>
            </w:r>
          </w:p>
        </w:tc>
        <w:tc>
          <w:tcPr>
            <w:tcW w:w="682" w:type="dxa"/>
            <w:shd w:val="clear" w:color="auto" w:fill="FFFFFF"/>
            <w:vAlign w:val="bottom"/>
          </w:tcPr>
          <w:p w14:paraId="79C22E13"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окт.18</w:t>
            </w:r>
          </w:p>
        </w:tc>
        <w:tc>
          <w:tcPr>
            <w:tcW w:w="701" w:type="dxa"/>
            <w:shd w:val="clear" w:color="auto" w:fill="FFFFFF"/>
            <w:vAlign w:val="bottom"/>
          </w:tcPr>
          <w:p w14:paraId="296E80F2"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сен.18</w:t>
            </w:r>
          </w:p>
        </w:tc>
        <w:tc>
          <w:tcPr>
            <w:tcW w:w="696" w:type="dxa"/>
            <w:shd w:val="clear" w:color="auto" w:fill="FFFFFF"/>
            <w:vAlign w:val="bottom"/>
          </w:tcPr>
          <w:p w14:paraId="0F559477"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авг.18</w:t>
            </w:r>
          </w:p>
        </w:tc>
        <w:tc>
          <w:tcPr>
            <w:tcW w:w="682" w:type="dxa"/>
            <w:shd w:val="clear" w:color="auto" w:fill="FFFFFF"/>
            <w:vAlign w:val="bottom"/>
          </w:tcPr>
          <w:p w14:paraId="612D56D2"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1кв18</w:t>
            </w:r>
          </w:p>
        </w:tc>
        <w:tc>
          <w:tcPr>
            <w:tcW w:w="701" w:type="dxa"/>
            <w:shd w:val="clear" w:color="auto" w:fill="FFFFFF"/>
            <w:vAlign w:val="bottom"/>
          </w:tcPr>
          <w:p w14:paraId="23689BF8"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2кв17</w:t>
            </w:r>
          </w:p>
        </w:tc>
        <w:tc>
          <w:tcPr>
            <w:tcW w:w="677" w:type="dxa"/>
            <w:shd w:val="clear" w:color="auto" w:fill="FFFFFF"/>
            <w:vAlign w:val="bottom"/>
          </w:tcPr>
          <w:p w14:paraId="7F343F39"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1кв17</w:t>
            </w:r>
          </w:p>
        </w:tc>
        <w:tc>
          <w:tcPr>
            <w:tcW w:w="682" w:type="dxa"/>
            <w:shd w:val="clear" w:color="auto" w:fill="FFFFFF"/>
            <w:vAlign w:val="bottom"/>
          </w:tcPr>
          <w:p w14:paraId="126A6E83"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2016</w:t>
            </w:r>
          </w:p>
        </w:tc>
      </w:tr>
      <w:tr w:rsidR="0047261E" w:rsidRPr="0047261E" w14:paraId="49E14326" w14:textId="77777777" w:rsidTr="0047261E">
        <w:trPr>
          <w:trHeight w:val="288"/>
        </w:trPr>
        <w:tc>
          <w:tcPr>
            <w:tcW w:w="3485" w:type="dxa"/>
            <w:shd w:val="clear" w:color="auto" w:fill="FFFFFF"/>
            <w:vAlign w:val="bottom"/>
          </w:tcPr>
          <w:p w14:paraId="5E970CCF"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Ключевая ставка (на конец периода)</w:t>
            </w:r>
          </w:p>
        </w:tc>
        <w:tc>
          <w:tcPr>
            <w:tcW w:w="672" w:type="dxa"/>
            <w:shd w:val="clear" w:color="auto" w:fill="FFFFFF"/>
            <w:vAlign w:val="bottom"/>
          </w:tcPr>
          <w:p w14:paraId="63D354A9"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7,75</w:t>
            </w:r>
          </w:p>
        </w:tc>
        <w:tc>
          <w:tcPr>
            <w:tcW w:w="701" w:type="dxa"/>
            <w:shd w:val="clear" w:color="auto" w:fill="FFFFFF"/>
            <w:vAlign w:val="bottom"/>
          </w:tcPr>
          <w:p w14:paraId="3D63D413"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7,50</w:t>
            </w:r>
          </w:p>
        </w:tc>
        <w:tc>
          <w:tcPr>
            <w:tcW w:w="682" w:type="dxa"/>
            <w:shd w:val="clear" w:color="auto" w:fill="FFFFFF"/>
            <w:vAlign w:val="bottom"/>
          </w:tcPr>
          <w:p w14:paraId="39CBC055"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7,50</w:t>
            </w:r>
          </w:p>
        </w:tc>
        <w:tc>
          <w:tcPr>
            <w:tcW w:w="701" w:type="dxa"/>
            <w:shd w:val="clear" w:color="auto" w:fill="FFFFFF"/>
            <w:vAlign w:val="bottom"/>
          </w:tcPr>
          <w:p w14:paraId="589E5824"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7,50</w:t>
            </w:r>
          </w:p>
        </w:tc>
        <w:tc>
          <w:tcPr>
            <w:tcW w:w="696" w:type="dxa"/>
            <w:shd w:val="clear" w:color="auto" w:fill="FFFFFF"/>
            <w:vAlign w:val="bottom"/>
          </w:tcPr>
          <w:p w14:paraId="4DA8400F"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7,25</w:t>
            </w:r>
          </w:p>
        </w:tc>
        <w:tc>
          <w:tcPr>
            <w:tcW w:w="682" w:type="dxa"/>
            <w:shd w:val="clear" w:color="auto" w:fill="FFFFFF"/>
            <w:vAlign w:val="bottom"/>
          </w:tcPr>
          <w:p w14:paraId="4AAE5744"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7,25</w:t>
            </w:r>
          </w:p>
        </w:tc>
        <w:tc>
          <w:tcPr>
            <w:tcW w:w="701" w:type="dxa"/>
            <w:shd w:val="clear" w:color="auto" w:fill="FFFFFF"/>
            <w:vAlign w:val="bottom"/>
          </w:tcPr>
          <w:p w14:paraId="1D56A10D"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9,00</w:t>
            </w:r>
          </w:p>
        </w:tc>
        <w:tc>
          <w:tcPr>
            <w:tcW w:w="677" w:type="dxa"/>
            <w:shd w:val="clear" w:color="auto" w:fill="FFFFFF"/>
            <w:vAlign w:val="bottom"/>
          </w:tcPr>
          <w:p w14:paraId="1F6D1EEE"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9,75</w:t>
            </w:r>
          </w:p>
        </w:tc>
        <w:tc>
          <w:tcPr>
            <w:tcW w:w="682" w:type="dxa"/>
            <w:shd w:val="clear" w:color="auto" w:fill="FFFFFF"/>
            <w:vAlign w:val="bottom"/>
          </w:tcPr>
          <w:p w14:paraId="38485492"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10,00</w:t>
            </w:r>
          </w:p>
        </w:tc>
      </w:tr>
      <w:tr w:rsidR="0047261E" w:rsidRPr="0047261E" w14:paraId="279CA344" w14:textId="77777777" w:rsidTr="0047261E">
        <w:trPr>
          <w:trHeight w:val="259"/>
        </w:trPr>
        <w:tc>
          <w:tcPr>
            <w:tcW w:w="3485" w:type="dxa"/>
            <w:shd w:val="clear" w:color="auto" w:fill="FFFFFF"/>
            <w:vAlign w:val="bottom"/>
          </w:tcPr>
          <w:p w14:paraId="61D9E809"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Процентные ставки, % годовых</w:t>
            </w:r>
          </w:p>
        </w:tc>
        <w:tc>
          <w:tcPr>
            <w:tcW w:w="672" w:type="dxa"/>
            <w:shd w:val="clear" w:color="auto" w:fill="FFFFFF"/>
          </w:tcPr>
          <w:p w14:paraId="7FA79C4C"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p>
        </w:tc>
        <w:tc>
          <w:tcPr>
            <w:tcW w:w="701" w:type="dxa"/>
            <w:shd w:val="clear" w:color="auto" w:fill="FFFFFF"/>
          </w:tcPr>
          <w:p w14:paraId="5C24198D"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p>
        </w:tc>
        <w:tc>
          <w:tcPr>
            <w:tcW w:w="682" w:type="dxa"/>
            <w:shd w:val="clear" w:color="auto" w:fill="FFFFFF"/>
          </w:tcPr>
          <w:p w14:paraId="6FF51F7F"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p>
        </w:tc>
        <w:tc>
          <w:tcPr>
            <w:tcW w:w="701" w:type="dxa"/>
            <w:shd w:val="clear" w:color="auto" w:fill="FFFFFF"/>
          </w:tcPr>
          <w:p w14:paraId="29C62CD8"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p>
        </w:tc>
        <w:tc>
          <w:tcPr>
            <w:tcW w:w="696" w:type="dxa"/>
            <w:shd w:val="clear" w:color="auto" w:fill="FFFFFF"/>
          </w:tcPr>
          <w:p w14:paraId="32B32EEA"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p>
        </w:tc>
        <w:tc>
          <w:tcPr>
            <w:tcW w:w="682" w:type="dxa"/>
            <w:shd w:val="clear" w:color="auto" w:fill="FFFFFF"/>
          </w:tcPr>
          <w:p w14:paraId="1F1B95AF"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p>
        </w:tc>
        <w:tc>
          <w:tcPr>
            <w:tcW w:w="701" w:type="dxa"/>
            <w:shd w:val="clear" w:color="auto" w:fill="FFFFFF"/>
          </w:tcPr>
          <w:p w14:paraId="004A29C7"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p>
        </w:tc>
        <w:tc>
          <w:tcPr>
            <w:tcW w:w="677" w:type="dxa"/>
            <w:shd w:val="clear" w:color="auto" w:fill="FFFFFF"/>
          </w:tcPr>
          <w:p w14:paraId="38316A8B"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p>
        </w:tc>
        <w:tc>
          <w:tcPr>
            <w:tcW w:w="682" w:type="dxa"/>
            <w:shd w:val="clear" w:color="auto" w:fill="FFFFFF"/>
          </w:tcPr>
          <w:p w14:paraId="5AD139A0"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p>
        </w:tc>
      </w:tr>
      <w:tr w:rsidR="0047261E" w:rsidRPr="0047261E" w14:paraId="0B8A129E" w14:textId="77777777" w:rsidTr="0047261E">
        <w:trPr>
          <w:trHeight w:val="398"/>
        </w:trPr>
        <w:tc>
          <w:tcPr>
            <w:tcW w:w="3485" w:type="dxa"/>
            <w:shd w:val="clear" w:color="auto" w:fill="FFFFFF"/>
            <w:vAlign w:val="bottom"/>
          </w:tcPr>
          <w:p w14:paraId="3F303002"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По рублевым кредитам нефинансовым организациям (свыше 1 года)</w:t>
            </w:r>
          </w:p>
        </w:tc>
        <w:tc>
          <w:tcPr>
            <w:tcW w:w="672" w:type="dxa"/>
            <w:shd w:val="clear" w:color="auto" w:fill="FFFFFF"/>
            <w:vAlign w:val="center"/>
          </w:tcPr>
          <w:p w14:paraId="36AEA16E"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9,2</w:t>
            </w:r>
          </w:p>
        </w:tc>
        <w:tc>
          <w:tcPr>
            <w:tcW w:w="701" w:type="dxa"/>
            <w:shd w:val="clear" w:color="auto" w:fill="FFFFFF"/>
            <w:vAlign w:val="center"/>
          </w:tcPr>
          <w:p w14:paraId="6473D798"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9,5</w:t>
            </w:r>
          </w:p>
        </w:tc>
        <w:tc>
          <w:tcPr>
            <w:tcW w:w="682" w:type="dxa"/>
            <w:shd w:val="clear" w:color="auto" w:fill="FFFFFF"/>
            <w:vAlign w:val="center"/>
          </w:tcPr>
          <w:p w14:paraId="4B22CBDE"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9,2</w:t>
            </w:r>
          </w:p>
        </w:tc>
        <w:tc>
          <w:tcPr>
            <w:tcW w:w="701" w:type="dxa"/>
            <w:shd w:val="clear" w:color="auto" w:fill="FFFFFF"/>
            <w:vAlign w:val="center"/>
          </w:tcPr>
          <w:p w14:paraId="10F3E1D6"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9,2</w:t>
            </w:r>
          </w:p>
        </w:tc>
        <w:tc>
          <w:tcPr>
            <w:tcW w:w="696" w:type="dxa"/>
            <w:shd w:val="clear" w:color="auto" w:fill="FFFFFF"/>
            <w:vAlign w:val="center"/>
          </w:tcPr>
          <w:p w14:paraId="772B8E94"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9,1</w:t>
            </w:r>
          </w:p>
        </w:tc>
        <w:tc>
          <w:tcPr>
            <w:tcW w:w="682" w:type="dxa"/>
            <w:shd w:val="clear" w:color="auto" w:fill="FFFFFF"/>
            <w:vAlign w:val="center"/>
          </w:tcPr>
          <w:p w14:paraId="5D09BAAD"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9,0</w:t>
            </w:r>
          </w:p>
        </w:tc>
        <w:tc>
          <w:tcPr>
            <w:tcW w:w="701" w:type="dxa"/>
            <w:shd w:val="clear" w:color="auto" w:fill="FFFFFF"/>
            <w:vAlign w:val="center"/>
          </w:tcPr>
          <w:p w14:paraId="594B62E0"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10,9</w:t>
            </w:r>
          </w:p>
        </w:tc>
        <w:tc>
          <w:tcPr>
            <w:tcW w:w="677" w:type="dxa"/>
            <w:shd w:val="clear" w:color="auto" w:fill="FFFFFF"/>
            <w:vAlign w:val="center"/>
          </w:tcPr>
          <w:p w14:paraId="3C1D1806"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11,9</w:t>
            </w:r>
          </w:p>
        </w:tc>
        <w:tc>
          <w:tcPr>
            <w:tcW w:w="682" w:type="dxa"/>
            <w:shd w:val="clear" w:color="auto" w:fill="FFFFFF"/>
            <w:vAlign w:val="center"/>
          </w:tcPr>
          <w:p w14:paraId="432F6031"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13,0</w:t>
            </w:r>
          </w:p>
        </w:tc>
      </w:tr>
      <w:tr w:rsidR="0047261E" w:rsidRPr="0047261E" w14:paraId="1BECAD2E" w14:textId="77777777" w:rsidTr="0047261E">
        <w:trPr>
          <w:trHeight w:val="216"/>
        </w:trPr>
        <w:tc>
          <w:tcPr>
            <w:tcW w:w="3485" w:type="dxa"/>
            <w:shd w:val="clear" w:color="auto" w:fill="FFFFFF"/>
          </w:tcPr>
          <w:p w14:paraId="4AF8F092"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По рублевым жилищным кредитам</w:t>
            </w:r>
          </w:p>
        </w:tc>
        <w:tc>
          <w:tcPr>
            <w:tcW w:w="672" w:type="dxa"/>
            <w:shd w:val="clear" w:color="auto" w:fill="FFFFFF"/>
          </w:tcPr>
          <w:p w14:paraId="4B31DB38"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9,7</w:t>
            </w:r>
          </w:p>
        </w:tc>
        <w:tc>
          <w:tcPr>
            <w:tcW w:w="701" w:type="dxa"/>
            <w:shd w:val="clear" w:color="auto" w:fill="FFFFFF"/>
          </w:tcPr>
          <w:p w14:paraId="52B3C670"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9,5</w:t>
            </w:r>
          </w:p>
        </w:tc>
        <w:tc>
          <w:tcPr>
            <w:tcW w:w="682" w:type="dxa"/>
            <w:shd w:val="clear" w:color="auto" w:fill="FFFFFF"/>
          </w:tcPr>
          <w:p w14:paraId="55D0A162"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9,4</w:t>
            </w:r>
          </w:p>
        </w:tc>
        <w:tc>
          <w:tcPr>
            <w:tcW w:w="701" w:type="dxa"/>
            <w:shd w:val="clear" w:color="auto" w:fill="FFFFFF"/>
          </w:tcPr>
          <w:p w14:paraId="3FCC1F9E"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9,4</w:t>
            </w:r>
          </w:p>
        </w:tc>
        <w:tc>
          <w:tcPr>
            <w:tcW w:w="696" w:type="dxa"/>
            <w:shd w:val="clear" w:color="auto" w:fill="FFFFFF"/>
          </w:tcPr>
          <w:p w14:paraId="14E5C346"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9,4</w:t>
            </w:r>
          </w:p>
        </w:tc>
        <w:tc>
          <w:tcPr>
            <w:tcW w:w="682" w:type="dxa"/>
            <w:shd w:val="clear" w:color="auto" w:fill="FFFFFF"/>
          </w:tcPr>
          <w:p w14:paraId="4D8103DC"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9,8</w:t>
            </w:r>
          </w:p>
        </w:tc>
        <w:tc>
          <w:tcPr>
            <w:tcW w:w="701" w:type="dxa"/>
            <w:shd w:val="clear" w:color="auto" w:fill="FFFFFF"/>
          </w:tcPr>
          <w:p w14:paraId="697DE7EF"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11,3</w:t>
            </w:r>
          </w:p>
        </w:tc>
        <w:tc>
          <w:tcPr>
            <w:tcW w:w="677" w:type="dxa"/>
            <w:shd w:val="clear" w:color="auto" w:fill="FFFFFF"/>
            <w:vAlign w:val="bottom"/>
          </w:tcPr>
          <w:p w14:paraId="1E37B3F0"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11,8</w:t>
            </w:r>
          </w:p>
        </w:tc>
        <w:tc>
          <w:tcPr>
            <w:tcW w:w="682" w:type="dxa"/>
            <w:shd w:val="clear" w:color="auto" w:fill="FFFFFF"/>
          </w:tcPr>
          <w:p w14:paraId="59FEB82E"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12,5</w:t>
            </w:r>
          </w:p>
        </w:tc>
      </w:tr>
      <w:tr w:rsidR="0047261E" w:rsidRPr="0047261E" w14:paraId="3E7C81EA" w14:textId="77777777" w:rsidTr="0047261E">
        <w:trPr>
          <w:trHeight w:val="389"/>
        </w:trPr>
        <w:tc>
          <w:tcPr>
            <w:tcW w:w="3485" w:type="dxa"/>
            <w:shd w:val="clear" w:color="auto" w:fill="FFFFFF"/>
          </w:tcPr>
          <w:p w14:paraId="61BC89D6"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По рублевым депозитам физлиц (свыше 1 года)</w:t>
            </w:r>
          </w:p>
        </w:tc>
        <w:tc>
          <w:tcPr>
            <w:tcW w:w="672" w:type="dxa"/>
            <w:shd w:val="clear" w:color="auto" w:fill="FFFFFF"/>
            <w:vAlign w:val="center"/>
          </w:tcPr>
          <w:p w14:paraId="1900C590"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6,8</w:t>
            </w:r>
          </w:p>
        </w:tc>
        <w:tc>
          <w:tcPr>
            <w:tcW w:w="701" w:type="dxa"/>
            <w:shd w:val="clear" w:color="auto" w:fill="FFFFFF"/>
            <w:vAlign w:val="center"/>
          </w:tcPr>
          <w:p w14:paraId="4DA7F197"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6,8</w:t>
            </w:r>
          </w:p>
        </w:tc>
        <w:tc>
          <w:tcPr>
            <w:tcW w:w="682" w:type="dxa"/>
            <w:shd w:val="clear" w:color="auto" w:fill="FFFFFF"/>
            <w:vAlign w:val="center"/>
          </w:tcPr>
          <w:p w14:paraId="3EEC0440"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6,6</w:t>
            </w:r>
          </w:p>
        </w:tc>
        <w:tc>
          <w:tcPr>
            <w:tcW w:w="701" w:type="dxa"/>
            <w:shd w:val="clear" w:color="auto" w:fill="FFFFFF"/>
            <w:vAlign w:val="center"/>
          </w:tcPr>
          <w:p w14:paraId="7F6BCF48"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6,0</w:t>
            </w:r>
          </w:p>
        </w:tc>
        <w:tc>
          <w:tcPr>
            <w:tcW w:w="696" w:type="dxa"/>
            <w:shd w:val="clear" w:color="auto" w:fill="FFFFFF"/>
            <w:vAlign w:val="center"/>
          </w:tcPr>
          <w:p w14:paraId="65FBFAA9"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5,7</w:t>
            </w:r>
          </w:p>
        </w:tc>
        <w:tc>
          <w:tcPr>
            <w:tcW w:w="682" w:type="dxa"/>
            <w:shd w:val="clear" w:color="auto" w:fill="FFFFFF"/>
            <w:vAlign w:val="center"/>
          </w:tcPr>
          <w:p w14:paraId="0ECC08D4"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6,4</w:t>
            </w:r>
          </w:p>
        </w:tc>
        <w:tc>
          <w:tcPr>
            <w:tcW w:w="701" w:type="dxa"/>
            <w:shd w:val="clear" w:color="auto" w:fill="FFFFFF"/>
            <w:vAlign w:val="center"/>
          </w:tcPr>
          <w:p w14:paraId="447B61EA"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6,9</w:t>
            </w:r>
          </w:p>
        </w:tc>
        <w:tc>
          <w:tcPr>
            <w:tcW w:w="677" w:type="dxa"/>
            <w:shd w:val="clear" w:color="auto" w:fill="FFFFFF"/>
            <w:vAlign w:val="center"/>
          </w:tcPr>
          <w:p w14:paraId="4C6830FD"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7,4</w:t>
            </w:r>
          </w:p>
        </w:tc>
        <w:tc>
          <w:tcPr>
            <w:tcW w:w="682" w:type="dxa"/>
            <w:shd w:val="clear" w:color="auto" w:fill="FFFFFF"/>
            <w:vAlign w:val="center"/>
          </w:tcPr>
          <w:p w14:paraId="542C31BA"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8,4</w:t>
            </w:r>
          </w:p>
        </w:tc>
      </w:tr>
      <w:tr w:rsidR="0047261E" w:rsidRPr="0047261E" w14:paraId="04216C7F" w14:textId="77777777" w:rsidTr="0047261E">
        <w:trPr>
          <w:trHeight w:val="226"/>
        </w:trPr>
        <w:tc>
          <w:tcPr>
            <w:tcW w:w="3485" w:type="dxa"/>
            <w:shd w:val="clear" w:color="auto" w:fill="FFFFFF"/>
            <w:vAlign w:val="center"/>
          </w:tcPr>
          <w:p w14:paraId="4990C393"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Кредит экономике, % г/г*</w:t>
            </w:r>
          </w:p>
        </w:tc>
        <w:tc>
          <w:tcPr>
            <w:tcW w:w="672" w:type="dxa"/>
            <w:shd w:val="clear" w:color="auto" w:fill="FFFFFF"/>
            <w:vAlign w:val="center"/>
          </w:tcPr>
          <w:p w14:paraId="51ABC8E0"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9,7</w:t>
            </w:r>
          </w:p>
        </w:tc>
        <w:tc>
          <w:tcPr>
            <w:tcW w:w="701" w:type="dxa"/>
            <w:shd w:val="clear" w:color="auto" w:fill="FFFFFF"/>
            <w:vAlign w:val="center"/>
          </w:tcPr>
          <w:p w14:paraId="4646177C"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10,3</w:t>
            </w:r>
          </w:p>
        </w:tc>
        <w:tc>
          <w:tcPr>
            <w:tcW w:w="682" w:type="dxa"/>
            <w:shd w:val="clear" w:color="auto" w:fill="FFFFFF"/>
            <w:vAlign w:val="center"/>
          </w:tcPr>
          <w:p w14:paraId="09FFCF49"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10,4</w:t>
            </w:r>
          </w:p>
        </w:tc>
        <w:tc>
          <w:tcPr>
            <w:tcW w:w="701" w:type="dxa"/>
            <w:shd w:val="clear" w:color="auto" w:fill="FFFFFF"/>
            <w:vAlign w:val="bottom"/>
          </w:tcPr>
          <w:p w14:paraId="35BFD1D4"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10,0</w:t>
            </w:r>
          </w:p>
        </w:tc>
        <w:tc>
          <w:tcPr>
            <w:tcW w:w="696" w:type="dxa"/>
            <w:shd w:val="clear" w:color="auto" w:fill="FFFFFF"/>
            <w:vAlign w:val="bottom"/>
          </w:tcPr>
          <w:p w14:paraId="1AE16F3C"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8,8</w:t>
            </w:r>
          </w:p>
        </w:tc>
        <w:tc>
          <w:tcPr>
            <w:tcW w:w="682" w:type="dxa"/>
            <w:shd w:val="clear" w:color="auto" w:fill="FFFFFF"/>
            <w:vAlign w:val="bottom"/>
          </w:tcPr>
          <w:p w14:paraId="557513A2"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6,6</w:t>
            </w:r>
          </w:p>
        </w:tc>
        <w:tc>
          <w:tcPr>
            <w:tcW w:w="701" w:type="dxa"/>
            <w:shd w:val="clear" w:color="auto" w:fill="FFFFFF"/>
            <w:vAlign w:val="center"/>
          </w:tcPr>
          <w:p w14:paraId="077F0898"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-0,1</w:t>
            </w:r>
          </w:p>
        </w:tc>
        <w:tc>
          <w:tcPr>
            <w:tcW w:w="677" w:type="dxa"/>
            <w:shd w:val="clear" w:color="auto" w:fill="FFFFFF"/>
            <w:vAlign w:val="center"/>
          </w:tcPr>
          <w:p w14:paraId="2F79616C"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-2,7</w:t>
            </w:r>
          </w:p>
        </w:tc>
        <w:tc>
          <w:tcPr>
            <w:tcW w:w="682" w:type="dxa"/>
            <w:shd w:val="clear" w:color="auto" w:fill="FFFFFF"/>
            <w:vAlign w:val="bottom"/>
          </w:tcPr>
          <w:p w14:paraId="5E9B3A88"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0,0</w:t>
            </w:r>
          </w:p>
        </w:tc>
      </w:tr>
      <w:tr w:rsidR="0047261E" w:rsidRPr="0047261E" w14:paraId="027D29DB" w14:textId="77777777" w:rsidTr="0047261E">
        <w:trPr>
          <w:trHeight w:val="302"/>
        </w:trPr>
        <w:tc>
          <w:tcPr>
            <w:tcW w:w="3485" w:type="dxa"/>
            <w:shd w:val="clear" w:color="auto" w:fill="FFFFFF"/>
            <w:vAlign w:val="center"/>
          </w:tcPr>
          <w:p w14:paraId="114BE5A2"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Жилищные кредиты, % г/г*</w:t>
            </w:r>
          </w:p>
        </w:tc>
        <w:tc>
          <w:tcPr>
            <w:tcW w:w="672" w:type="dxa"/>
            <w:shd w:val="clear" w:color="auto" w:fill="FFFFFF"/>
            <w:vAlign w:val="center"/>
          </w:tcPr>
          <w:p w14:paraId="27B532BF"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23,1</w:t>
            </w:r>
          </w:p>
        </w:tc>
        <w:tc>
          <w:tcPr>
            <w:tcW w:w="701" w:type="dxa"/>
            <w:shd w:val="clear" w:color="auto" w:fill="FFFFFF"/>
            <w:vAlign w:val="center"/>
          </w:tcPr>
          <w:p w14:paraId="6D689A62"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25,1</w:t>
            </w:r>
          </w:p>
        </w:tc>
        <w:tc>
          <w:tcPr>
            <w:tcW w:w="682" w:type="dxa"/>
            <w:shd w:val="clear" w:color="auto" w:fill="FFFFFF"/>
            <w:vAlign w:val="center"/>
          </w:tcPr>
          <w:p w14:paraId="60F78900"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24,9</w:t>
            </w:r>
          </w:p>
        </w:tc>
        <w:tc>
          <w:tcPr>
            <w:tcW w:w="701" w:type="dxa"/>
            <w:shd w:val="clear" w:color="auto" w:fill="FFFFFF"/>
            <w:vAlign w:val="center"/>
          </w:tcPr>
          <w:p w14:paraId="134FB851"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24,5</w:t>
            </w:r>
          </w:p>
        </w:tc>
        <w:tc>
          <w:tcPr>
            <w:tcW w:w="696" w:type="dxa"/>
            <w:shd w:val="clear" w:color="auto" w:fill="FFFFFF"/>
            <w:vAlign w:val="center"/>
          </w:tcPr>
          <w:p w14:paraId="745EC3CE"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24,1</w:t>
            </w:r>
          </w:p>
        </w:tc>
        <w:tc>
          <w:tcPr>
            <w:tcW w:w="682" w:type="dxa"/>
            <w:shd w:val="clear" w:color="auto" w:fill="FFFFFF"/>
            <w:vAlign w:val="center"/>
          </w:tcPr>
          <w:p w14:paraId="728AA181"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17,6</w:t>
            </w:r>
          </w:p>
        </w:tc>
        <w:tc>
          <w:tcPr>
            <w:tcW w:w="701" w:type="dxa"/>
            <w:shd w:val="clear" w:color="auto" w:fill="FFFFFF"/>
            <w:vAlign w:val="center"/>
          </w:tcPr>
          <w:p w14:paraId="4B62D2D1"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11,1</w:t>
            </w:r>
          </w:p>
        </w:tc>
        <w:tc>
          <w:tcPr>
            <w:tcW w:w="677" w:type="dxa"/>
            <w:shd w:val="clear" w:color="auto" w:fill="FFFFFF"/>
            <w:vAlign w:val="center"/>
          </w:tcPr>
          <w:p w14:paraId="293E66A2"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11,1</w:t>
            </w:r>
          </w:p>
        </w:tc>
        <w:tc>
          <w:tcPr>
            <w:tcW w:w="682" w:type="dxa"/>
            <w:shd w:val="clear" w:color="auto" w:fill="FFFFFF"/>
            <w:vAlign w:val="center"/>
          </w:tcPr>
          <w:p w14:paraId="59F40BFF"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12,4</w:t>
            </w:r>
          </w:p>
        </w:tc>
      </w:tr>
      <w:tr w:rsidR="0047261E" w:rsidRPr="0047261E" w14:paraId="1CF1F19E" w14:textId="77777777" w:rsidTr="0047261E">
        <w:trPr>
          <w:trHeight w:val="331"/>
        </w:trPr>
        <w:tc>
          <w:tcPr>
            <w:tcW w:w="3485" w:type="dxa"/>
            <w:shd w:val="clear" w:color="auto" w:fill="FFFFFF"/>
            <w:vAlign w:val="center"/>
          </w:tcPr>
          <w:p w14:paraId="16BB5F79"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Потребительские кредиты, % г/г*</w:t>
            </w:r>
          </w:p>
        </w:tc>
        <w:tc>
          <w:tcPr>
            <w:tcW w:w="672" w:type="dxa"/>
            <w:shd w:val="clear" w:color="auto" w:fill="FFFFFF"/>
            <w:vAlign w:val="center"/>
          </w:tcPr>
          <w:p w14:paraId="2D4A5F2E"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21,6</w:t>
            </w:r>
          </w:p>
        </w:tc>
        <w:tc>
          <w:tcPr>
            <w:tcW w:w="701" w:type="dxa"/>
            <w:shd w:val="clear" w:color="auto" w:fill="FFFFFF"/>
            <w:vAlign w:val="center"/>
          </w:tcPr>
          <w:p w14:paraId="1932375D"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20,8</w:t>
            </w:r>
          </w:p>
        </w:tc>
        <w:tc>
          <w:tcPr>
            <w:tcW w:w="682" w:type="dxa"/>
            <w:shd w:val="clear" w:color="auto" w:fill="FFFFFF"/>
            <w:vAlign w:val="center"/>
          </w:tcPr>
          <w:p w14:paraId="3682A17C"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19,9</w:t>
            </w:r>
          </w:p>
        </w:tc>
        <w:tc>
          <w:tcPr>
            <w:tcW w:w="701" w:type="dxa"/>
            <w:shd w:val="clear" w:color="auto" w:fill="FFFFFF"/>
            <w:vAlign w:val="center"/>
          </w:tcPr>
          <w:p w14:paraId="4C79DC73"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19,2</w:t>
            </w:r>
          </w:p>
        </w:tc>
        <w:tc>
          <w:tcPr>
            <w:tcW w:w="696" w:type="dxa"/>
            <w:shd w:val="clear" w:color="auto" w:fill="FFFFFF"/>
            <w:vAlign w:val="center"/>
          </w:tcPr>
          <w:p w14:paraId="7A0B0FC6"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18,0</w:t>
            </w:r>
          </w:p>
        </w:tc>
        <w:tc>
          <w:tcPr>
            <w:tcW w:w="682" w:type="dxa"/>
            <w:shd w:val="clear" w:color="auto" w:fill="FFFFFF"/>
            <w:vAlign w:val="center"/>
          </w:tcPr>
          <w:p w14:paraId="156923A1"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12,7</w:t>
            </w:r>
          </w:p>
        </w:tc>
        <w:tc>
          <w:tcPr>
            <w:tcW w:w="701" w:type="dxa"/>
            <w:shd w:val="clear" w:color="auto" w:fill="FFFFFF"/>
            <w:vAlign w:val="center"/>
          </w:tcPr>
          <w:p w14:paraId="7D88A556"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1,0</w:t>
            </w:r>
          </w:p>
        </w:tc>
        <w:tc>
          <w:tcPr>
            <w:tcW w:w="677" w:type="dxa"/>
            <w:shd w:val="clear" w:color="auto" w:fill="FFFFFF"/>
            <w:vAlign w:val="center"/>
          </w:tcPr>
          <w:p w14:paraId="7E3BC9E0"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-3,0</w:t>
            </w:r>
          </w:p>
        </w:tc>
        <w:tc>
          <w:tcPr>
            <w:tcW w:w="682" w:type="dxa"/>
            <w:shd w:val="clear" w:color="auto" w:fill="FFFFFF"/>
            <w:vAlign w:val="center"/>
          </w:tcPr>
          <w:p w14:paraId="56BC9D78"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-9,5</w:t>
            </w:r>
          </w:p>
        </w:tc>
      </w:tr>
      <w:tr w:rsidR="0047261E" w:rsidRPr="0047261E" w14:paraId="33110182" w14:textId="77777777" w:rsidTr="0047261E">
        <w:trPr>
          <w:trHeight w:val="278"/>
        </w:trPr>
        <w:tc>
          <w:tcPr>
            <w:tcW w:w="3485" w:type="dxa"/>
            <w:shd w:val="clear" w:color="auto" w:fill="FFFFFF"/>
            <w:vAlign w:val="bottom"/>
          </w:tcPr>
          <w:p w14:paraId="08CEF8E4"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Кредиты организациям, % г/г*</w:t>
            </w:r>
          </w:p>
        </w:tc>
        <w:tc>
          <w:tcPr>
            <w:tcW w:w="672" w:type="dxa"/>
            <w:shd w:val="clear" w:color="auto" w:fill="FFFFFF"/>
            <w:vAlign w:val="bottom"/>
          </w:tcPr>
          <w:p w14:paraId="072F090A"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4,7</w:t>
            </w:r>
          </w:p>
        </w:tc>
        <w:tc>
          <w:tcPr>
            <w:tcW w:w="701" w:type="dxa"/>
            <w:shd w:val="clear" w:color="auto" w:fill="FFFFFF"/>
            <w:vAlign w:val="bottom"/>
          </w:tcPr>
          <w:p w14:paraId="327A7FAD"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5,5</w:t>
            </w:r>
          </w:p>
        </w:tc>
        <w:tc>
          <w:tcPr>
            <w:tcW w:w="682" w:type="dxa"/>
            <w:shd w:val="clear" w:color="auto" w:fill="FFFFFF"/>
            <w:vAlign w:val="bottom"/>
          </w:tcPr>
          <w:p w14:paraId="2080EEC9"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5,9</w:t>
            </w:r>
          </w:p>
        </w:tc>
        <w:tc>
          <w:tcPr>
            <w:tcW w:w="701" w:type="dxa"/>
            <w:shd w:val="clear" w:color="auto" w:fill="FFFFFF"/>
            <w:vAlign w:val="bottom"/>
          </w:tcPr>
          <w:p w14:paraId="0D554DD2"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5,6</w:t>
            </w:r>
          </w:p>
        </w:tc>
        <w:tc>
          <w:tcPr>
            <w:tcW w:w="696" w:type="dxa"/>
            <w:shd w:val="clear" w:color="auto" w:fill="FFFFFF"/>
            <w:vAlign w:val="bottom"/>
          </w:tcPr>
          <w:p w14:paraId="1C9718A1"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4,4</w:t>
            </w:r>
          </w:p>
        </w:tc>
        <w:tc>
          <w:tcPr>
            <w:tcW w:w="682" w:type="dxa"/>
            <w:shd w:val="clear" w:color="auto" w:fill="FFFFFF"/>
            <w:vAlign w:val="bottom"/>
          </w:tcPr>
          <w:p w14:paraId="6B9899D3"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3,6</w:t>
            </w:r>
          </w:p>
        </w:tc>
        <w:tc>
          <w:tcPr>
            <w:tcW w:w="701" w:type="dxa"/>
            <w:shd w:val="clear" w:color="auto" w:fill="FFFFFF"/>
            <w:vAlign w:val="bottom"/>
          </w:tcPr>
          <w:p w14:paraId="58521C7A"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-1,8</w:t>
            </w:r>
          </w:p>
        </w:tc>
        <w:tc>
          <w:tcPr>
            <w:tcW w:w="677" w:type="dxa"/>
            <w:shd w:val="clear" w:color="auto" w:fill="FFFFFF"/>
            <w:vAlign w:val="bottom"/>
          </w:tcPr>
          <w:p w14:paraId="611B52A7"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-4,3</w:t>
            </w:r>
          </w:p>
        </w:tc>
        <w:tc>
          <w:tcPr>
            <w:tcW w:w="682" w:type="dxa"/>
            <w:shd w:val="clear" w:color="auto" w:fill="FFFFFF"/>
            <w:vAlign w:val="bottom"/>
          </w:tcPr>
          <w:p w14:paraId="703EC4CE"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0,7</w:t>
            </w:r>
          </w:p>
        </w:tc>
      </w:tr>
      <w:tr w:rsidR="0047261E" w:rsidRPr="0047261E" w14:paraId="4EB6A7B7" w14:textId="77777777" w:rsidTr="0047261E">
        <w:trPr>
          <w:trHeight w:val="360"/>
        </w:trPr>
        <w:tc>
          <w:tcPr>
            <w:tcW w:w="3485" w:type="dxa"/>
            <w:shd w:val="clear" w:color="auto" w:fill="FFFFFF"/>
          </w:tcPr>
          <w:p w14:paraId="2E7396A5"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Выдачи жилищных рублевых кредитов, % г/г</w:t>
            </w:r>
          </w:p>
        </w:tc>
        <w:tc>
          <w:tcPr>
            <w:tcW w:w="672" w:type="dxa"/>
            <w:shd w:val="clear" w:color="auto" w:fill="FFFFFF"/>
            <w:vAlign w:val="center"/>
          </w:tcPr>
          <w:p w14:paraId="2366F72F"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17,3</w:t>
            </w:r>
          </w:p>
        </w:tc>
        <w:tc>
          <w:tcPr>
            <w:tcW w:w="701" w:type="dxa"/>
            <w:shd w:val="clear" w:color="auto" w:fill="FFFFFF"/>
            <w:vAlign w:val="center"/>
          </w:tcPr>
          <w:p w14:paraId="4025853D"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29,7</w:t>
            </w:r>
          </w:p>
        </w:tc>
        <w:tc>
          <w:tcPr>
            <w:tcW w:w="682" w:type="dxa"/>
            <w:shd w:val="clear" w:color="auto" w:fill="FFFFFF"/>
            <w:vAlign w:val="center"/>
          </w:tcPr>
          <w:p w14:paraId="7A7553B7"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40,3</w:t>
            </w:r>
          </w:p>
        </w:tc>
        <w:tc>
          <w:tcPr>
            <w:tcW w:w="701" w:type="dxa"/>
            <w:shd w:val="clear" w:color="auto" w:fill="FFFFFF"/>
            <w:vAlign w:val="center"/>
          </w:tcPr>
          <w:p w14:paraId="02199C87"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38,4</w:t>
            </w:r>
          </w:p>
        </w:tc>
        <w:tc>
          <w:tcPr>
            <w:tcW w:w="696" w:type="dxa"/>
            <w:shd w:val="clear" w:color="auto" w:fill="FFFFFF"/>
            <w:vAlign w:val="center"/>
          </w:tcPr>
          <w:p w14:paraId="2B96A310"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49,1</w:t>
            </w:r>
          </w:p>
        </w:tc>
        <w:tc>
          <w:tcPr>
            <w:tcW w:w="682" w:type="dxa"/>
            <w:shd w:val="clear" w:color="auto" w:fill="FFFFFF"/>
            <w:vAlign w:val="center"/>
          </w:tcPr>
          <w:p w14:paraId="4CFA633F"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80,9</w:t>
            </w:r>
          </w:p>
        </w:tc>
        <w:tc>
          <w:tcPr>
            <w:tcW w:w="701" w:type="dxa"/>
            <w:shd w:val="clear" w:color="auto" w:fill="FFFFFF"/>
            <w:vAlign w:val="center"/>
          </w:tcPr>
          <w:p w14:paraId="3CBE4ED7"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31,9</w:t>
            </w:r>
          </w:p>
        </w:tc>
        <w:tc>
          <w:tcPr>
            <w:tcW w:w="677" w:type="dxa"/>
            <w:shd w:val="clear" w:color="auto" w:fill="FFFFFF"/>
            <w:vAlign w:val="center"/>
          </w:tcPr>
          <w:p w14:paraId="6BE3579C"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-1,0</w:t>
            </w:r>
          </w:p>
        </w:tc>
        <w:tc>
          <w:tcPr>
            <w:tcW w:w="682" w:type="dxa"/>
            <w:shd w:val="clear" w:color="auto" w:fill="FFFFFF"/>
            <w:vAlign w:val="center"/>
          </w:tcPr>
          <w:p w14:paraId="0BA4DCC8" w14:textId="77777777" w:rsidR="0047261E" w:rsidRPr="0047261E" w:rsidRDefault="0047261E" w:rsidP="0047261E">
            <w:pPr>
              <w:widowControl w:val="0"/>
              <w:suppressAutoHyphens/>
              <w:autoSpaceDN w:val="0"/>
              <w:ind w:firstLine="0"/>
              <w:jc w:val="center"/>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26,7</w:t>
            </w:r>
          </w:p>
        </w:tc>
      </w:tr>
      <w:tr w:rsidR="0047261E" w:rsidRPr="0047261E" w14:paraId="361722D4" w14:textId="77777777" w:rsidTr="0047261E">
        <w:trPr>
          <w:trHeight w:val="197"/>
        </w:trPr>
        <w:tc>
          <w:tcPr>
            <w:tcW w:w="9679" w:type="dxa"/>
            <w:gridSpan w:val="10"/>
            <w:shd w:val="clear" w:color="auto" w:fill="FFFFFF"/>
            <w:vAlign w:val="bottom"/>
          </w:tcPr>
          <w:p w14:paraId="504D071F"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Источник: Банк России, расчеты Минэкономразвития России.</w:t>
            </w:r>
          </w:p>
        </w:tc>
      </w:tr>
      <w:tr w:rsidR="0047261E" w:rsidRPr="0047261E" w14:paraId="028B2D36" w14:textId="77777777" w:rsidTr="0047261E">
        <w:trPr>
          <w:trHeight w:val="178"/>
        </w:trPr>
        <w:tc>
          <w:tcPr>
            <w:tcW w:w="9679" w:type="dxa"/>
            <w:gridSpan w:val="10"/>
            <w:shd w:val="clear" w:color="auto" w:fill="FFFFFF"/>
          </w:tcPr>
          <w:p w14:paraId="309FEE71"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 w:val="22"/>
                <w:lang w:eastAsia="ru-RU" w:bidi="hi-IN"/>
              </w:rPr>
            </w:pPr>
            <w:r w:rsidRPr="0047261E">
              <w:rPr>
                <w:rFonts w:eastAsia="Times New Roman" w:cs="Times New Roman"/>
                <w:kern w:val="3"/>
                <w:sz w:val="22"/>
                <w:lang w:eastAsia="ru-RU" w:bidi="hi-IN"/>
              </w:rPr>
              <w:t>Данные с исключением валютной переоценки.</w:t>
            </w:r>
          </w:p>
        </w:tc>
      </w:tr>
    </w:tbl>
    <w:p w14:paraId="30522106" w14:textId="77777777" w:rsidR="0047261E" w:rsidRPr="0047261E" w:rsidRDefault="0047261E" w:rsidP="0047261E">
      <w:pPr>
        <w:widowControl w:val="0"/>
        <w:suppressAutoHyphens/>
        <w:autoSpaceDN w:val="0"/>
        <w:ind w:firstLine="709"/>
        <w:textAlignment w:val="baseline"/>
        <w:rPr>
          <w:rFonts w:eastAsia="Times New Roman" w:cs="Times New Roman"/>
          <w:kern w:val="3"/>
          <w:sz w:val="28"/>
          <w:szCs w:val="24"/>
          <w:lang w:eastAsia="ru-RU" w:bidi="hi-IN"/>
        </w:rPr>
      </w:pPr>
    </w:p>
    <w:p w14:paraId="59C9A3B2" w14:textId="77777777" w:rsidR="0047261E" w:rsidRPr="0047261E" w:rsidRDefault="0047261E" w:rsidP="0047261E">
      <w:pPr>
        <w:widowControl w:val="0"/>
        <w:suppressAutoHyphens/>
        <w:autoSpaceDN w:val="0"/>
        <w:ind w:firstLine="709"/>
        <w:jc w:val="left"/>
        <w:textAlignment w:val="baseline"/>
        <w:rPr>
          <w:rFonts w:eastAsia="Times New Roman" w:cs="Times New Roman"/>
          <w:b/>
          <w:kern w:val="3"/>
          <w:szCs w:val="24"/>
          <w:lang w:eastAsia="ru-RU" w:bidi="hi-IN"/>
        </w:rPr>
      </w:pPr>
      <w:r w:rsidRPr="0047261E">
        <w:rPr>
          <w:rFonts w:eastAsia="Times New Roman" w:cs="Times New Roman"/>
          <w:b/>
          <w:kern w:val="3"/>
          <w:szCs w:val="24"/>
          <w:lang w:eastAsia="ru-RU" w:bidi="hi-IN"/>
        </w:rPr>
        <w:t>Выводы по разделу.</w:t>
      </w:r>
    </w:p>
    <w:p w14:paraId="2799BD35" w14:textId="77777777" w:rsidR="0047261E" w:rsidRPr="0047261E" w:rsidRDefault="0047261E" w:rsidP="0047261E">
      <w:pPr>
        <w:widowControl w:val="0"/>
        <w:spacing w:line="245" w:lineRule="exact"/>
        <w:ind w:firstLine="709"/>
        <w:rPr>
          <w:rFonts w:eastAsia="Times New Roman" w:cs="Times New Roman"/>
          <w:kern w:val="3"/>
          <w:szCs w:val="24"/>
          <w:lang w:eastAsia="zh-CN" w:bidi="hi-IN"/>
        </w:rPr>
      </w:pPr>
      <w:r w:rsidRPr="0047261E">
        <w:rPr>
          <w:rFonts w:eastAsia="Times New Roman" w:cs="Times New Roman"/>
          <w:kern w:val="3"/>
          <w:szCs w:val="24"/>
          <w:lang w:eastAsia="ru-RU" w:bidi="hi-IN"/>
        </w:rPr>
        <w:t xml:space="preserve">По данным Росстата, рост ВВП в 2018 г. ускорился до 2,3 % с 1,6 % годом ранее, </w:t>
      </w:r>
      <w:r w:rsidRPr="0047261E">
        <w:rPr>
          <w:rFonts w:eastAsia="Arial" w:cs="Times New Roman"/>
          <w:kern w:val="3"/>
          <w:szCs w:val="24"/>
          <w:lang w:eastAsia="ru-RU" w:bidi="hi-IN"/>
        </w:rPr>
        <w:t xml:space="preserve">что </w:t>
      </w:r>
      <w:r w:rsidRPr="0047261E">
        <w:rPr>
          <w:rFonts w:eastAsia="Times New Roman" w:cs="Times New Roman"/>
          <w:kern w:val="3"/>
          <w:szCs w:val="24"/>
          <w:lang w:eastAsia="ru-RU" w:bidi="hi-IN"/>
        </w:rPr>
        <w:t xml:space="preserve">превзошло как оценки Минэкономразвития России, осуществленные на основе оперативных данных, так и рыночный консенсус-прогноз. Ускорение темпов роста ВВП во многом обусловлено разовыми факторами и не является устойчивым. В текущем году ожидается замедление экономического роста до 1,3 %. </w:t>
      </w:r>
      <w:r w:rsidRPr="0047261E">
        <w:rPr>
          <w:rFonts w:eastAsia="Times New Roman" w:cs="Times New Roman"/>
          <w:kern w:val="3"/>
          <w:szCs w:val="24"/>
          <w:lang w:eastAsia="zh-CN" w:bidi="hi-IN"/>
        </w:rPr>
        <w:t xml:space="preserve">Основной вклад в рост ВВП в 2018 г. внес потребительский спрос, который увеличился на 2,2 </w:t>
      </w:r>
      <w:r w:rsidRPr="0047261E">
        <w:rPr>
          <w:rFonts w:eastAsia="Arial" w:cs="Times New Roman"/>
          <w:bCs/>
          <w:i/>
          <w:iCs/>
          <w:color w:val="000000"/>
          <w:kern w:val="3"/>
          <w:szCs w:val="24"/>
          <w:shd w:val="clear" w:color="auto" w:fill="FFFFFF"/>
          <w:lang w:eastAsia="ru-RU" w:bidi="ru-RU"/>
        </w:rPr>
        <w:t>%</w:t>
      </w:r>
      <w:r w:rsidRPr="0047261E">
        <w:rPr>
          <w:rFonts w:eastAsia="Times New Roman" w:cs="Times New Roman"/>
          <w:kern w:val="3"/>
          <w:szCs w:val="24"/>
          <w:lang w:eastAsia="zh-CN" w:bidi="hi-IN"/>
        </w:rPr>
        <w:t xml:space="preserve"> по сравнению с 3,2 % в 2017 году.</w:t>
      </w:r>
    </w:p>
    <w:p w14:paraId="4FFC500D" w14:textId="77777777" w:rsidR="0047261E" w:rsidRPr="0047261E" w:rsidRDefault="0047261E" w:rsidP="0047261E">
      <w:pPr>
        <w:widowControl w:val="0"/>
        <w:ind w:firstLine="709"/>
        <w:rPr>
          <w:rFonts w:eastAsia="Times New Roman" w:cs="Times New Roman"/>
          <w:kern w:val="3"/>
          <w:szCs w:val="24"/>
          <w:lang w:eastAsia="zh-CN" w:bidi="hi-IN"/>
        </w:rPr>
      </w:pPr>
      <w:r w:rsidRPr="0047261E">
        <w:rPr>
          <w:rFonts w:eastAsia="Arial" w:cs="Times New Roman"/>
          <w:bCs/>
          <w:kern w:val="3"/>
          <w:szCs w:val="24"/>
          <w:lang w:eastAsia="zh-CN" w:bidi="hi-IN"/>
        </w:rPr>
        <w:t xml:space="preserve">Рост промышленного производства в 2018 г. ускорился до 2,9 % (с 2,1 % в 2017 году). </w:t>
      </w:r>
      <w:r w:rsidRPr="0047261E">
        <w:rPr>
          <w:rFonts w:eastAsia="Times New Roman" w:cs="Times New Roman"/>
          <w:kern w:val="3"/>
          <w:szCs w:val="24"/>
          <w:lang w:eastAsia="ru-RU" w:bidi="hi-IN"/>
        </w:rPr>
        <w:t xml:space="preserve">В отраслевом разрезе ключевыми драйверами экономического роста стали промышленность и строительство (вклад в экономический рост 0,6 п.п. и 0,3 п.п. соответственно). Позитивный вклад в динамику ВВП также внесли торговля (0,3 п.п.) и транспортная отрасль (0,2 п.п.), в то время как вклад сельского хозяйства был слабоотрицательным на фоне ухудшения урожая ряда ключевых культур (в первую очередь зерновых) и замедления роста выпуска животноводства. </w:t>
      </w:r>
      <w:r w:rsidRPr="0047261E">
        <w:rPr>
          <w:rFonts w:eastAsia="Times New Roman" w:cs="Times New Roman"/>
          <w:kern w:val="3"/>
          <w:szCs w:val="24"/>
          <w:lang w:eastAsia="zh-CN" w:bidi="hi-IN"/>
        </w:rPr>
        <w:t xml:space="preserve">Производство сельскохозяйственной продукции в 2018 г. снизилось на 0,6 </w:t>
      </w:r>
      <w:r w:rsidRPr="0047261E">
        <w:rPr>
          <w:rFonts w:eastAsia="Arial" w:cs="Times New Roman"/>
          <w:bCs/>
          <w:i/>
          <w:iCs/>
          <w:color w:val="000000"/>
          <w:kern w:val="3"/>
          <w:szCs w:val="24"/>
          <w:shd w:val="clear" w:color="auto" w:fill="FFFFFF"/>
          <w:lang w:eastAsia="ru-RU" w:bidi="ru-RU"/>
        </w:rPr>
        <w:t>%</w:t>
      </w:r>
      <w:r w:rsidRPr="0047261E">
        <w:rPr>
          <w:rFonts w:eastAsia="Times New Roman" w:cs="Times New Roman"/>
          <w:kern w:val="3"/>
          <w:szCs w:val="24"/>
          <w:lang w:eastAsia="zh-CN" w:bidi="hi-IN"/>
        </w:rPr>
        <w:t xml:space="preserve"> после двух лет уверенного роста (на 3,1 % в 2017 году, на 4,8 % - в 2016 году). Основную роль в снижении выпуска в сельском хозяйстве в 2018 г. сыграла нормализация урожая зерновых после рекордных показателей.</w:t>
      </w:r>
    </w:p>
    <w:p w14:paraId="1D97EC99" w14:textId="77777777" w:rsidR="0047261E" w:rsidRPr="0047261E" w:rsidRDefault="0047261E" w:rsidP="0047261E">
      <w:pPr>
        <w:widowControl w:val="0"/>
        <w:ind w:firstLine="709"/>
        <w:rPr>
          <w:rFonts w:eastAsia="Times New Roman" w:cs="Times New Roman"/>
          <w:kern w:val="3"/>
          <w:szCs w:val="24"/>
          <w:lang w:eastAsia="zh-CN" w:bidi="hi-IN"/>
        </w:rPr>
      </w:pPr>
      <w:r w:rsidRPr="0047261E">
        <w:rPr>
          <w:rFonts w:eastAsia="Times New Roman" w:cs="Times New Roman"/>
          <w:kern w:val="3"/>
          <w:szCs w:val="24"/>
          <w:lang w:eastAsia="zh-CN" w:bidi="hi-IN"/>
        </w:rPr>
        <w:t>За 2018 год темпы роста объемов по виду деятельности «Строительство» снизился относительно 2017 года на 1,2%</w:t>
      </w:r>
    </w:p>
    <w:p w14:paraId="685C764E" w14:textId="77777777" w:rsidR="0047261E" w:rsidRPr="0047261E" w:rsidRDefault="0047261E" w:rsidP="0047261E">
      <w:pPr>
        <w:widowControl w:val="0"/>
        <w:suppressAutoHyphens/>
        <w:autoSpaceDN w:val="0"/>
        <w:ind w:firstLine="709"/>
        <w:textAlignment w:val="baseline"/>
        <w:rPr>
          <w:rFonts w:eastAsia="Times New Roman" w:cs="Times New Roman"/>
          <w:kern w:val="3"/>
          <w:szCs w:val="24"/>
          <w:lang w:eastAsia="zh-CN" w:bidi="hi-IN"/>
        </w:rPr>
      </w:pPr>
      <w:r w:rsidRPr="0047261E">
        <w:rPr>
          <w:rFonts w:eastAsia="Times New Roman" w:cs="Times New Roman"/>
          <w:kern w:val="3"/>
          <w:szCs w:val="24"/>
          <w:lang w:eastAsia="ru-RU" w:bidi="hi-IN"/>
        </w:rPr>
        <w:tab/>
      </w:r>
      <w:r w:rsidRPr="0047261E">
        <w:rPr>
          <w:rFonts w:eastAsia="Times New Roman" w:cs="Times New Roman"/>
          <w:kern w:val="3"/>
          <w:szCs w:val="24"/>
          <w:lang w:eastAsia="zh-CN" w:bidi="hi-IN"/>
        </w:rPr>
        <w:t>Оборот розничной торговли в 2018 г. вырос на 2,6 %.</w:t>
      </w:r>
    </w:p>
    <w:p w14:paraId="3E338E8A" w14:textId="77777777" w:rsidR="0047261E" w:rsidRPr="0047261E" w:rsidRDefault="0047261E" w:rsidP="0047261E">
      <w:pPr>
        <w:widowControl w:val="0"/>
        <w:suppressAutoHyphens/>
        <w:autoSpaceDN w:val="0"/>
        <w:ind w:firstLine="708"/>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По оценке, Росстата, в целом за 2018 год рост реальной заработной платы составил 6,8 % (в 2017 г. - 2,9 %). При этом реальные располагаемые доходы населения снизились на 0,2 % по сравнению с предшествующим годом.</w:t>
      </w:r>
    </w:p>
    <w:p w14:paraId="5AF015CE" w14:textId="77777777" w:rsidR="0047261E" w:rsidRPr="0047261E" w:rsidRDefault="0047261E" w:rsidP="0047261E">
      <w:pPr>
        <w:widowControl w:val="0"/>
        <w:suppressAutoHyphens/>
        <w:autoSpaceDN w:val="0"/>
        <w:ind w:firstLine="709"/>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ab/>
        <w:t>Рост инвестиций в основной капитал составил 4,8% к 2017 году.</w:t>
      </w:r>
    </w:p>
    <w:p w14:paraId="4781593A" w14:textId="77777777" w:rsidR="0047261E" w:rsidRPr="0047261E" w:rsidRDefault="0047261E" w:rsidP="0047261E">
      <w:pPr>
        <w:widowControl w:val="0"/>
        <w:suppressAutoHyphens/>
        <w:autoSpaceDN w:val="0"/>
        <w:ind w:firstLine="709"/>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ab/>
        <w:t>Инфляция</w:t>
      </w:r>
      <w:r w:rsidRPr="0047261E">
        <w:rPr>
          <w:rFonts w:eastAsia="Times New Roman" w:cs="Times New Roman"/>
          <w:b/>
          <w:kern w:val="3"/>
          <w:szCs w:val="24"/>
          <w:lang w:eastAsia="ru-RU" w:bidi="hi-IN"/>
        </w:rPr>
        <w:t xml:space="preserve"> </w:t>
      </w:r>
      <w:r w:rsidRPr="0047261E">
        <w:rPr>
          <w:rFonts w:eastAsia="Times New Roman" w:cs="Times New Roman"/>
          <w:kern w:val="3"/>
          <w:szCs w:val="24"/>
          <w:lang w:eastAsia="ru-RU" w:bidi="hi-IN"/>
        </w:rPr>
        <w:t>в декабре 2018 года составила 4,3% к соответствующему периоду предыдущего года.</w:t>
      </w:r>
    </w:p>
    <w:p w14:paraId="285E13B9" w14:textId="77E91F62" w:rsidR="0047261E" w:rsidRPr="0047261E" w:rsidRDefault="0047261E" w:rsidP="0047261E">
      <w:pPr>
        <w:widowControl w:val="0"/>
        <w:suppressAutoHyphens/>
        <w:autoSpaceDN w:val="0"/>
        <w:ind w:firstLine="709"/>
        <w:jc w:val="left"/>
        <w:textAlignment w:val="baseline"/>
        <w:rPr>
          <w:rFonts w:eastAsia="Times New Roman" w:cs="Times New Roman"/>
          <w:kern w:val="3"/>
          <w:sz w:val="28"/>
          <w:szCs w:val="24"/>
          <w:lang w:eastAsia="ru-RU" w:bidi="hi-IN"/>
        </w:rPr>
      </w:pPr>
    </w:p>
    <w:p w14:paraId="3C2774BA" w14:textId="77777777" w:rsidR="0047261E" w:rsidRPr="0047261E" w:rsidRDefault="0047261E" w:rsidP="0047261E">
      <w:pPr>
        <w:widowControl w:val="0"/>
        <w:suppressAutoHyphens/>
        <w:autoSpaceDN w:val="0"/>
        <w:ind w:firstLine="709"/>
        <w:jc w:val="left"/>
        <w:textAlignment w:val="baseline"/>
        <w:rPr>
          <w:rFonts w:eastAsia="Times New Roman" w:cs="Times New Roman"/>
          <w:kern w:val="3"/>
          <w:sz w:val="28"/>
          <w:szCs w:val="24"/>
          <w:lang w:eastAsia="ru-RU" w:bidi="hi-IN"/>
        </w:rPr>
        <w:sectPr w:rsidR="0047261E" w:rsidRPr="0047261E" w:rsidSect="0047261E">
          <w:pgSz w:w="11909" w:h="16840"/>
          <w:pgMar w:top="1415" w:right="1136" w:bottom="1031" w:left="1334" w:header="0" w:footer="3" w:gutter="0"/>
          <w:cols w:space="720"/>
          <w:noEndnote/>
          <w:docGrid w:linePitch="360"/>
        </w:sectPr>
      </w:pPr>
    </w:p>
    <w:p w14:paraId="50B5D936" w14:textId="77777777" w:rsidR="0047261E" w:rsidRPr="0047261E" w:rsidRDefault="0047261E" w:rsidP="0047261E">
      <w:pPr>
        <w:widowControl w:val="0"/>
        <w:suppressAutoHyphens/>
        <w:autoSpaceDN w:val="0"/>
        <w:ind w:firstLine="426"/>
        <w:textAlignment w:val="baseline"/>
        <w:rPr>
          <w:rFonts w:ascii="Arial" w:eastAsia="Times New Roman" w:hAnsi="Arial" w:cs="Arial"/>
          <w:kern w:val="3"/>
          <w:sz w:val="20"/>
          <w:szCs w:val="20"/>
          <w:lang w:eastAsia="ru-RU" w:bidi="hi-IN"/>
        </w:rPr>
      </w:pPr>
    </w:p>
    <w:p w14:paraId="6B5ADE0E" w14:textId="40E8E886" w:rsidR="0047261E" w:rsidRDefault="0047261E" w:rsidP="00FD2769">
      <w:pPr>
        <w:pStyle w:val="3"/>
        <w:rPr>
          <w:rFonts w:eastAsia="Calibri"/>
          <w:lang w:eastAsia="zh-CN"/>
        </w:rPr>
      </w:pPr>
      <w:bookmarkStart w:id="50" w:name="_Toc14819101"/>
      <w:r w:rsidRPr="00DF26AE">
        <w:rPr>
          <w:rFonts w:eastAsia="Calibri"/>
          <w:lang w:eastAsia="zh-CN"/>
        </w:rPr>
        <w:t xml:space="preserve">Социально-экономическое положение Республики </w:t>
      </w:r>
      <w:bookmarkEnd w:id="49"/>
      <w:r w:rsidRPr="00DF26AE">
        <w:rPr>
          <w:rFonts w:eastAsia="Calibri"/>
          <w:lang w:eastAsia="zh-CN"/>
        </w:rPr>
        <w:t>Саха (Якутия)</w:t>
      </w:r>
      <w:bookmarkEnd w:id="50"/>
    </w:p>
    <w:p w14:paraId="1805BF71" w14:textId="66592C14" w:rsidR="0047261E" w:rsidRPr="0047261E" w:rsidRDefault="0047261E" w:rsidP="0047261E">
      <w:pPr>
        <w:widowControl w:val="0"/>
        <w:suppressAutoHyphens/>
        <w:autoSpaceDN w:val="0"/>
        <w:ind w:firstLine="709"/>
        <w:textAlignment w:val="baseline"/>
        <w:rPr>
          <w:rFonts w:eastAsia="MS ??" w:cs="Times New Roman"/>
          <w:bCs/>
          <w:iCs/>
          <w:noProof/>
          <w:kern w:val="3"/>
          <w:szCs w:val="24"/>
          <w:lang w:eastAsia="ru-RU" w:bidi="hi-IN"/>
        </w:rPr>
      </w:pPr>
      <w:r w:rsidRPr="0047261E">
        <w:rPr>
          <w:rFonts w:eastAsia="MS ??" w:cs="Times New Roman"/>
          <w:bCs/>
          <w:iCs/>
          <w:noProof/>
          <w:kern w:val="3"/>
          <w:szCs w:val="24"/>
          <w:lang w:eastAsia="ru-RU" w:bidi="hi-IN"/>
        </w:rPr>
        <w:t xml:space="preserve">Республика Саха (Якутия) — </w:t>
      </w:r>
      <w:hyperlink r:id="rId50" w:tooltip="Федеративное устройство России" w:history="1">
        <w:r w:rsidRPr="0047261E">
          <w:rPr>
            <w:rFonts w:eastAsia="MS ??" w:cs="Times New Roman"/>
            <w:bCs/>
            <w:iCs/>
            <w:noProof/>
            <w:kern w:val="3"/>
            <w:szCs w:val="24"/>
            <w:lang w:eastAsia="ru-RU" w:bidi="hi-IN"/>
          </w:rPr>
          <w:t>субъект Российской Федерации</w:t>
        </w:r>
      </w:hyperlink>
      <w:r w:rsidRPr="0047261E">
        <w:rPr>
          <w:rFonts w:eastAsia="MS ??" w:cs="Times New Roman"/>
          <w:bCs/>
          <w:iCs/>
          <w:noProof/>
          <w:kern w:val="3"/>
          <w:szCs w:val="24"/>
          <w:lang w:eastAsia="ru-RU" w:bidi="hi-IN"/>
        </w:rPr>
        <w:t xml:space="preserve">, входит в состав </w:t>
      </w:r>
      <w:hyperlink r:id="rId51" w:tooltip="Дальневосточный федеральный округ Российской Федерации" w:history="1">
        <w:r w:rsidRPr="0047261E">
          <w:rPr>
            <w:rFonts w:eastAsia="MS ??" w:cs="Times New Roman"/>
            <w:bCs/>
            <w:iCs/>
            <w:noProof/>
            <w:kern w:val="3"/>
            <w:szCs w:val="24"/>
            <w:lang w:eastAsia="ru-RU" w:bidi="hi-IN"/>
          </w:rPr>
          <w:t>Дальневосточного федерального округа</w:t>
        </w:r>
      </w:hyperlink>
      <w:r w:rsidRPr="0047261E">
        <w:rPr>
          <w:rFonts w:eastAsia="MS ??" w:cs="Times New Roman"/>
          <w:bCs/>
          <w:iCs/>
          <w:noProof/>
          <w:kern w:val="3"/>
          <w:szCs w:val="24"/>
          <w:lang w:eastAsia="ru-RU" w:bidi="hi-IN"/>
        </w:rPr>
        <w:t>.</w:t>
      </w:r>
      <w:r w:rsidRPr="0047261E">
        <w:rPr>
          <w:rFonts w:eastAsia="MS ??" w:cs="Times New Roman"/>
          <w:bCs/>
          <w:iCs/>
          <w:noProof/>
          <w:kern w:val="3"/>
          <w:szCs w:val="24"/>
          <w:vertAlign w:val="superscript"/>
          <w:lang w:eastAsia="ru-RU" w:bidi="hi-IN"/>
        </w:rPr>
        <w:footnoteReference w:id="8"/>
      </w:r>
    </w:p>
    <w:p w14:paraId="2F8E0B5F" w14:textId="0D731483" w:rsidR="0047261E" w:rsidRPr="0047261E" w:rsidRDefault="0047261E" w:rsidP="0047261E">
      <w:pPr>
        <w:suppressAutoHyphens/>
        <w:autoSpaceDN w:val="0"/>
        <w:ind w:firstLine="567"/>
        <w:textAlignment w:val="baseline"/>
        <w:rPr>
          <w:rFonts w:eastAsia="MS ??" w:cs="Times New Roman"/>
          <w:bCs/>
          <w:iCs/>
          <w:kern w:val="3"/>
          <w:szCs w:val="24"/>
          <w:lang w:eastAsia="ru-RU" w:bidi="hi-IN"/>
        </w:rPr>
      </w:pPr>
    </w:p>
    <w:tbl>
      <w:tblPr>
        <w:tblStyle w:val="3b"/>
        <w:tblW w:w="992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23"/>
      </w:tblGrid>
      <w:tr w:rsidR="0047261E" w:rsidRPr="0047261E" w14:paraId="6298D257" w14:textId="77777777" w:rsidTr="003E7869">
        <w:trPr>
          <w:trHeight w:val="5025"/>
        </w:trPr>
        <w:tc>
          <w:tcPr>
            <w:tcW w:w="9923" w:type="dxa"/>
          </w:tcPr>
          <w:p w14:paraId="775713A0" w14:textId="5EE95F31" w:rsidR="0047261E" w:rsidRPr="0047261E" w:rsidRDefault="005B686C" w:rsidP="003E7869">
            <w:pPr>
              <w:suppressAutoHyphens/>
              <w:ind w:firstLine="0"/>
              <w:jc w:val="right"/>
              <w:rPr>
                <w:rFonts w:eastAsia="MS ??" w:cs="Times New Roman"/>
                <w:bCs/>
                <w:iCs/>
                <w:lang w:eastAsia="ru-RU"/>
              </w:rPr>
            </w:pPr>
            <w:r>
              <w:rPr>
                <w:noProof/>
                <w:lang w:eastAsia="ru-RU"/>
              </w:rPr>
              <w:drawing>
                <wp:inline distT="0" distB="0" distL="0" distR="0" wp14:anchorId="4BCD7D91" wp14:editId="39F5BB62">
                  <wp:extent cx="5733192" cy="3150270"/>
                  <wp:effectExtent l="0" t="0" r="1270" b="0"/>
                  <wp:docPr id="18" name="Рисунок 18" descr="Республика Саха (Якутия) на карт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Республика Саха (Якутия) на карте"/>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742889" cy="3155598"/>
                          </a:xfrm>
                          <a:prstGeom prst="rect">
                            <a:avLst/>
                          </a:prstGeom>
                          <a:noFill/>
                          <a:ln>
                            <a:noFill/>
                          </a:ln>
                        </pic:spPr>
                      </pic:pic>
                    </a:graphicData>
                  </a:graphic>
                </wp:inline>
              </w:drawing>
            </w:r>
          </w:p>
        </w:tc>
      </w:tr>
      <w:tr w:rsidR="0047261E" w:rsidRPr="0047261E" w14:paraId="38E4A191" w14:textId="77777777" w:rsidTr="003E7869">
        <w:trPr>
          <w:trHeight w:val="330"/>
        </w:trPr>
        <w:tc>
          <w:tcPr>
            <w:tcW w:w="9923" w:type="dxa"/>
          </w:tcPr>
          <w:p w14:paraId="1BCA3F21" w14:textId="3D966E42" w:rsidR="0047261E" w:rsidRPr="0047261E" w:rsidRDefault="0047261E" w:rsidP="003E7869">
            <w:pPr>
              <w:suppressLineNumbers/>
              <w:suppressAutoHyphens/>
              <w:ind w:firstLine="22"/>
              <w:jc w:val="center"/>
              <w:rPr>
                <w:rFonts w:eastAsia="MS ??" w:cs="Times New Roman"/>
                <w:bCs/>
                <w:i/>
                <w:szCs w:val="24"/>
              </w:rPr>
            </w:pPr>
            <w:r w:rsidRPr="0047261E">
              <w:rPr>
                <w:rFonts w:eastAsia="Calibri" w:cs="Times New Roman"/>
                <w:i/>
                <w:iCs/>
                <w:szCs w:val="24"/>
              </w:rPr>
              <w:t xml:space="preserve">Рисунок </w:t>
            </w:r>
            <w:r w:rsidRPr="0047261E">
              <w:rPr>
                <w:rFonts w:eastAsia="Calibri" w:cs="Times New Roman"/>
                <w:i/>
                <w:iCs/>
                <w:szCs w:val="24"/>
              </w:rPr>
              <w:fldChar w:fldCharType="begin"/>
            </w:r>
            <w:r w:rsidRPr="0047261E">
              <w:rPr>
                <w:rFonts w:eastAsia="Calibri" w:cs="Times New Roman"/>
                <w:i/>
                <w:iCs/>
                <w:szCs w:val="24"/>
              </w:rPr>
              <w:instrText xml:space="preserve"> SEQ Рисунок \* ARABIC </w:instrText>
            </w:r>
            <w:r w:rsidRPr="0047261E">
              <w:rPr>
                <w:rFonts w:eastAsia="Calibri" w:cs="Times New Roman"/>
                <w:i/>
                <w:iCs/>
                <w:szCs w:val="24"/>
              </w:rPr>
              <w:fldChar w:fldCharType="separate"/>
            </w:r>
            <w:r w:rsidR="00FD2769">
              <w:rPr>
                <w:rFonts w:eastAsia="Calibri" w:cs="Times New Roman"/>
                <w:i/>
                <w:iCs/>
                <w:noProof/>
                <w:szCs w:val="24"/>
              </w:rPr>
              <w:t>37</w:t>
            </w:r>
            <w:r w:rsidRPr="0047261E">
              <w:rPr>
                <w:rFonts w:eastAsia="Calibri" w:cs="Times New Roman"/>
                <w:i/>
                <w:iCs/>
                <w:szCs w:val="24"/>
              </w:rPr>
              <w:fldChar w:fldCharType="end"/>
            </w:r>
          </w:p>
        </w:tc>
      </w:tr>
    </w:tbl>
    <w:p w14:paraId="36170394" w14:textId="77777777" w:rsidR="0047261E" w:rsidRPr="0047261E" w:rsidRDefault="0047261E" w:rsidP="0047261E">
      <w:pPr>
        <w:suppressAutoHyphens/>
        <w:autoSpaceDN w:val="0"/>
        <w:spacing w:before="120"/>
        <w:ind w:firstLine="567"/>
        <w:textAlignment w:val="baseline"/>
        <w:rPr>
          <w:rFonts w:eastAsia="MS ??" w:cs="Times New Roman"/>
          <w:b/>
          <w:bCs/>
          <w:iCs/>
          <w:kern w:val="3"/>
          <w:szCs w:val="24"/>
          <w:lang w:eastAsia="ru-RU" w:bidi="hi-IN"/>
        </w:rPr>
      </w:pPr>
      <w:r w:rsidRPr="0047261E">
        <w:rPr>
          <w:rFonts w:eastAsia="MS ??" w:cs="Times New Roman"/>
          <w:b/>
          <w:bCs/>
          <w:iCs/>
          <w:kern w:val="3"/>
          <w:szCs w:val="24"/>
          <w:lang w:eastAsia="ru-RU" w:bidi="hi-IN"/>
        </w:rPr>
        <w:t>Географическое положение </w:t>
      </w:r>
    </w:p>
    <w:p w14:paraId="2BF11EAE" w14:textId="77777777" w:rsidR="0047261E" w:rsidRPr="0047261E" w:rsidRDefault="0047261E" w:rsidP="0047261E">
      <w:pPr>
        <w:suppressAutoHyphens/>
        <w:autoSpaceDN w:val="0"/>
        <w:ind w:firstLine="567"/>
        <w:textAlignment w:val="baseline"/>
        <w:rPr>
          <w:rFonts w:eastAsia="MS ??" w:cs="Times New Roman"/>
          <w:bCs/>
          <w:iCs/>
          <w:kern w:val="3"/>
          <w:szCs w:val="24"/>
          <w:lang w:eastAsia="ru-RU" w:bidi="hi-IN"/>
        </w:rPr>
      </w:pPr>
      <w:r w:rsidRPr="0047261E">
        <w:rPr>
          <w:rFonts w:eastAsia="MS ??" w:cs="Times New Roman"/>
          <w:bCs/>
          <w:iCs/>
          <w:kern w:val="3"/>
          <w:szCs w:val="24"/>
          <w:lang w:eastAsia="ru-RU" w:bidi="hi-IN"/>
        </w:rPr>
        <w:t xml:space="preserve">Республика Саха (Якутия) расположена в северо-восточной части Евразийского материка, граничит на западе с Красноярским краем, на юго-западе — с Иркутской областью, на юге — с Амурской и Читинской областями, на юго-востоке — с Хабаровским краем, на востоке — с Магаданской областью и Чукотским автономным округом. На севере ее естественные рубежи образуют моря Лаптевых и </w:t>
      </w:r>
      <w:proofErr w:type="gramStart"/>
      <w:r w:rsidRPr="0047261E">
        <w:rPr>
          <w:rFonts w:eastAsia="MS ??" w:cs="Times New Roman"/>
          <w:bCs/>
          <w:iCs/>
          <w:kern w:val="3"/>
          <w:szCs w:val="24"/>
          <w:lang w:eastAsia="ru-RU" w:bidi="hi-IN"/>
        </w:rPr>
        <w:t>Восточно-Сибирское</w:t>
      </w:r>
      <w:proofErr w:type="gramEnd"/>
      <w:r w:rsidRPr="0047261E">
        <w:rPr>
          <w:rFonts w:eastAsia="MS ??" w:cs="Times New Roman"/>
          <w:bCs/>
          <w:iCs/>
          <w:kern w:val="3"/>
          <w:szCs w:val="24"/>
          <w:lang w:eastAsia="ru-RU" w:bidi="hi-IN"/>
        </w:rPr>
        <w:t>. Более 40 % территории Якутии находится за Северным полярным кругом. Общая протяженность морской береговой линии превышает 4,5 тыс. км.</w:t>
      </w:r>
    </w:p>
    <w:p w14:paraId="5C32D1DA" w14:textId="77777777" w:rsidR="0047261E" w:rsidRPr="0047261E" w:rsidRDefault="0047261E" w:rsidP="0047261E">
      <w:pPr>
        <w:widowControl w:val="0"/>
        <w:suppressAutoHyphens/>
        <w:autoSpaceDN w:val="0"/>
        <w:spacing w:before="120"/>
        <w:ind w:firstLine="567"/>
        <w:textAlignment w:val="baseline"/>
        <w:rPr>
          <w:rFonts w:eastAsia="MS ??" w:cs="Times New Roman"/>
          <w:b/>
          <w:bCs/>
          <w:iCs/>
          <w:kern w:val="3"/>
          <w:szCs w:val="24"/>
          <w:lang w:eastAsia="ru-RU" w:bidi="hi-IN"/>
        </w:rPr>
      </w:pPr>
      <w:r w:rsidRPr="0047261E">
        <w:rPr>
          <w:rFonts w:eastAsia="MS ??" w:cs="Times New Roman"/>
          <w:b/>
          <w:bCs/>
          <w:iCs/>
          <w:kern w:val="3"/>
          <w:szCs w:val="24"/>
          <w:lang w:eastAsia="ru-RU" w:bidi="hi-IN"/>
        </w:rPr>
        <w:t>Территория </w:t>
      </w:r>
    </w:p>
    <w:p w14:paraId="24A96D77" w14:textId="77777777" w:rsidR="0047261E" w:rsidRPr="0047261E" w:rsidRDefault="0047261E" w:rsidP="0047261E">
      <w:pPr>
        <w:widowControl w:val="0"/>
        <w:suppressAutoHyphens/>
        <w:autoSpaceDN w:val="0"/>
        <w:ind w:firstLine="567"/>
        <w:textAlignment w:val="baseline"/>
        <w:rPr>
          <w:rFonts w:eastAsia="MS ??" w:cs="Times New Roman"/>
          <w:kern w:val="3"/>
          <w:szCs w:val="24"/>
          <w:lang w:eastAsia="ru-RU" w:bidi="hi-IN"/>
        </w:rPr>
      </w:pPr>
      <w:r w:rsidRPr="0047261E">
        <w:rPr>
          <w:rFonts w:eastAsia="MS ??" w:cs="Times New Roman"/>
          <w:kern w:val="3"/>
          <w:szCs w:val="24"/>
          <w:lang w:eastAsia="ru-RU" w:bidi="hi-IN"/>
        </w:rPr>
        <w:t>Площадь территории составляет 3103,2 тыс. кв.км. (1/6 часть территории России).</w:t>
      </w:r>
    </w:p>
    <w:p w14:paraId="12D93CD5" w14:textId="77777777" w:rsidR="0047261E" w:rsidRPr="0047261E" w:rsidRDefault="0047261E" w:rsidP="0047261E">
      <w:pPr>
        <w:widowControl w:val="0"/>
        <w:suppressAutoHyphens/>
        <w:autoSpaceDN w:val="0"/>
        <w:ind w:firstLine="567"/>
        <w:textAlignment w:val="baseline"/>
        <w:rPr>
          <w:rFonts w:eastAsia="MS ??" w:cs="Times New Roman"/>
          <w:kern w:val="3"/>
          <w:szCs w:val="24"/>
          <w:lang w:eastAsia="ru-RU" w:bidi="hi-IN"/>
        </w:rPr>
      </w:pPr>
      <w:r w:rsidRPr="0047261E">
        <w:rPr>
          <w:rFonts w:eastAsia="MS ??" w:cs="Times New Roman"/>
          <w:kern w:val="3"/>
          <w:szCs w:val="24"/>
          <w:lang w:eastAsia="ru-RU" w:bidi="hi-IN"/>
        </w:rPr>
        <w:t>Административный центр – г. Якутск.</w:t>
      </w:r>
    </w:p>
    <w:p w14:paraId="32FF7F9C" w14:textId="77777777" w:rsidR="0047261E" w:rsidRPr="0047261E" w:rsidRDefault="0047261E" w:rsidP="0047261E">
      <w:pPr>
        <w:widowControl w:val="0"/>
        <w:suppressAutoHyphens/>
        <w:autoSpaceDN w:val="0"/>
        <w:ind w:firstLine="567"/>
        <w:textAlignment w:val="baseline"/>
        <w:rPr>
          <w:rFonts w:eastAsia="MS ??" w:cs="Times New Roman"/>
          <w:kern w:val="3"/>
          <w:szCs w:val="24"/>
          <w:lang w:eastAsia="ru-RU" w:bidi="hi-IN"/>
        </w:rPr>
      </w:pPr>
      <w:r w:rsidRPr="0047261E">
        <w:rPr>
          <w:rFonts w:eastAsia="MS ??" w:cs="Times New Roman"/>
          <w:kern w:val="3"/>
          <w:szCs w:val="24"/>
          <w:lang w:eastAsia="ru-RU" w:bidi="hi-IN"/>
        </w:rPr>
        <w:t xml:space="preserve">Расстояние от Якутска до Москвы – 8468 км. </w:t>
      </w:r>
    </w:p>
    <w:p w14:paraId="0ECF6169" w14:textId="77777777" w:rsidR="0047261E" w:rsidRPr="0047261E" w:rsidRDefault="0047261E" w:rsidP="0047261E">
      <w:pPr>
        <w:widowControl w:val="0"/>
        <w:suppressAutoHyphens/>
        <w:autoSpaceDN w:val="0"/>
        <w:spacing w:before="120"/>
        <w:ind w:firstLine="567"/>
        <w:textAlignment w:val="baseline"/>
        <w:rPr>
          <w:rFonts w:eastAsia="MS ??" w:cs="Times New Roman"/>
          <w:b/>
          <w:bCs/>
          <w:iCs/>
          <w:kern w:val="3"/>
          <w:szCs w:val="24"/>
          <w:lang w:eastAsia="ru-RU" w:bidi="hi-IN"/>
        </w:rPr>
      </w:pPr>
      <w:r w:rsidRPr="0047261E">
        <w:rPr>
          <w:rFonts w:eastAsia="MS ??" w:cs="Times New Roman"/>
          <w:b/>
          <w:bCs/>
          <w:iCs/>
          <w:kern w:val="3"/>
          <w:szCs w:val="24"/>
          <w:lang w:eastAsia="ru-RU" w:bidi="hi-IN"/>
        </w:rPr>
        <w:t>Климат</w:t>
      </w:r>
    </w:p>
    <w:p w14:paraId="44D8B589" w14:textId="77777777" w:rsidR="0047261E" w:rsidRPr="0047261E" w:rsidRDefault="0047261E" w:rsidP="0047261E">
      <w:pPr>
        <w:widowControl w:val="0"/>
        <w:suppressAutoHyphens/>
        <w:autoSpaceDN w:val="0"/>
        <w:ind w:firstLine="709"/>
        <w:textAlignment w:val="baseline"/>
        <w:rPr>
          <w:rFonts w:eastAsia="Times New Roman" w:cs="Times New Roman"/>
          <w:kern w:val="3"/>
          <w:szCs w:val="24"/>
          <w:lang w:eastAsia="ru-RU" w:bidi="hi-IN"/>
        </w:rPr>
      </w:pPr>
      <w:r w:rsidRPr="0047261E">
        <w:rPr>
          <w:rFonts w:eastAsia="MS ??" w:cs="Times New Roman"/>
          <w:kern w:val="3"/>
          <w:szCs w:val="24"/>
          <w:lang w:eastAsia="ru-RU" w:bidi="hi-IN"/>
        </w:rPr>
        <w:t>Почти вся континентальная территория Якутии представляет собой зону сплошной многовековой мерзлоты, которая только на крайнем юго-западе переходит в зону ее прерывистого распространения. Средняя мощность мерзлого слоя достигает 300-400 м, а в бассейне реки Вилюй — 1500 м: это максимальное промерзание горных пород на земном шаре. В горах Восточной Якутии 485 ледников общей площадью 413 кв. км и с запасом пресной воды около 2 тыс. куб. м. Природно-климатические условия Якутии во многих отношениях характеризуются как экстремальные. Прежде всего, Якутия – самый холодный из обжитых регионов планеты. Климат резко континентальный, отличается продолжительным зимним и коротким летним периодами. Максимальная амплитуда средних температур самого холодного месяца — января и самого теплого — июля составляет 70-75°С. По абсолютной величине минимальной температуры (в восточных горных системах — котловинах, впадинах и других понижениях до минус 70°С) и по ее суммарной продолжительности (от 6,5 до 9 месяцев в год) республика не имеет аналогов в Северном полушарии. Сама жизнедеятельность человека и способы ведения хозяйства требуют особых подходов и технологий, исходя из условий каждой природно-климатической зоны. Так, в среднем на территории Якутии продолжительность отопительного сезона составляет 8-9 месяцев в году, в то же время в арктической зоне - она круглогодична.</w:t>
      </w:r>
    </w:p>
    <w:p w14:paraId="48B9320B" w14:textId="77777777" w:rsidR="0047261E" w:rsidRPr="0047261E" w:rsidRDefault="0047261E" w:rsidP="0047261E">
      <w:pPr>
        <w:widowControl w:val="0"/>
        <w:suppressAutoHyphens/>
        <w:autoSpaceDN w:val="0"/>
        <w:spacing w:before="120"/>
        <w:ind w:firstLine="567"/>
        <w:textAlignment w:val="baseline"/>
        <w:rPr>
          <w:rFonts w:eastAsia="MS ??" w:cs="Times New Roman"/>
          <w:b/>
          <w:bCs/>
          <w:i/>
          <w:iCs/>
          <w:kern w:val="3"/>
          <w:szCs w:val="24"/>
          <w:lang w:eastAsia="ru-RU" w:bidi="hi-IN"/>
        </w:rPr>
      </w:pPr>
      <w:r w:rsidRPr="0047261E">
        <w:rPr>
          <w:rFonts w:eastAsia="MS ??" w:cs="Times New Roman"/>
          <w:b/>
          <w:bCs/>
          <w:i/>
          <w:iCs/>
          <w:kern w:val="3"/>
          <w:szCs w:val="24"/>
          <w:lang w:eastAsia="ru-RU" w:bidi="hi-IN"/>
        </w:rPr>
        <w:t>Население </w:t>
      </w:r>
    </w:p>
    <w:p w14:paraId="03C1B1B5" w14:textId="227C4CC0" w:rsidR="0047261E" w:rsidRPr="0047261E" w:rsidRDefault="0047261E" w:rsidP="0047261E">
      <w:pPr>
        <w:widowControl w:val="0"/>
        <w:suppressAutoHyphens/>
        <w:autoSpaceDN w:val="0"/>
        <w:ind w:firstLine="567"/>
        <w:textAlignment w:val="baseline"/>
        <w:rPr>
          <w:rFonts w:eastAsia="MS ??" w:cs="Times New Roman"/>
          <w:kern w:val="3"/>
          <w:szCs w:val="24"/>
          <w:lang w:eastAsia="ru-RU" w:bidi="hi-IN"/>
        </w:rPr>
      </w:pPr>
      <w:r w:rsidRPr="0047261E">
        <w:rPr>
          <w:rFonts w:eastAsia="MS ??" w:cs="Times New Roman"/>
          <w:kern w:val="3"/>
          <w:szCs w:val="24"/>
          <w:lang w:eastAsia="ru-RU" w:bidi="hi-IN"/>
        </w:rPr>
        <w:t>Население Республики Саха (</w:t>
      </w:r>
      <w:hyperlink r:id="rId53" w:tooltip="Якутия" w:history="1">
        <w:r w:rsidRPr="0047261E">
          <w:rPr>
            <w:rFonts w:eastAsia="MS ??" w:cs="Times New Roman"/>
            <w:kern w:val="3"/>
            <w:szCs w:val="24"/>
            <w:lang w:eastAsia="ru-RU" w:bidi="hi-IN"/>
          </w:rPr>
          <w:t>Якутия</w:t>
        </w:r>
      </w:hyperlink>
      <w:r w:rsidRPr="0047261E">
        <w:rPr>
          <w:rFonts w:eastAsia="MS ??" w:cs="Times New Roman"/>
          <w:kern w:val="3"/>
          <w:szCs w:val="24"/>
          <w:lang w:eastAsia="ru-RU" w:bidi="hi-IN"/>
        </w:rPr>
        <w:t xml:space="preserve">) по данным </w:t>
      </w:r>
      <w:hyperlink r:id="rId54" w:tooltip="Госкомстат" w:history="1">
        <w:r w:rsidRPr="0047261E">
          <w:rPr>
            <w:rFonts w:eastAsia="MS ??" w:cs="Times New Roman"/>
            <w:kern w:val="3"/>
            <w:szCs w:val="24"/>
            <w:lang w:eastAsia="ru-RU" w:bidi="hi-IN"/>
          </w:rPr>
          <w:t>Госкомстата</w:t>
        </w:r>
      </w:hyperlink>
      <w:r w:rsidRPr="0047261E">
        <w:rPr>
          <w:rFonts w:eastAsia="MS ??" w:cs="Times New Roman"/>
          <w:kern w:val="3"/>
          <w:szCs w:val="24"/>
          <w:lang w:eastAsia="ru-RU" w:bidi="hi-IN"/>
        </w:rPr>
        <w:t xml:space="preserve"> России на </w:t>
      </w:r>
      <w:hyperlink r:id="rId55" w:tooltip="1 января" w:history="1">
        <w:r w:rsidRPr="0047261E">
          <w:rPr>
            <w:rFonts w:eastAsia="MS ??" w:cs="Times New Roman"/>
            <w:kern w:val="3"/>
            <w:szCs w:val="24"/>
            <w:lang w:eastAsia="ru-RU" w:bidi="hi-IN"/>
          </w:rPr>
          <w:t>1 января</w:t>
        </w:r>
      </w:hyperlink>
      <w:r w:rsidRPr="0047261E">
        <w:rPr>
          <w:rFonts w:eastAsia="MS ??" w:cs="Times New Roman"/>
          <w:kern w:val="3"/>
          <w:szCs w:val="24"/>
          <w:lang w:eastAsia="ru-RU" w:bidi="hi-IN"/>
        </w:rPr>
        <w:t xml:space="preserve"> </w:t>
      </w:r>
      <w:hyperlink r:id="rId56" w:tooltip="2012 год" w:history="1">
        <w:r w:rsidRPr="0047261E">
          <w:rPr>
            <w:rFonts w:eastAsia="MS ??" w:cs="Times New Roman"/>
            <w:kern w:val="3"/>
            <w:szCs w:val="24"/>
            <w:lang w:eastAsia="ru-RU" w:bidi="hi-IN"/>
          </w:rPr>
          <w:t>2019 года</w:t>
        </w:r>
      </w:hyperlink>
      <w:r w:rsidRPr="0047261E">
        <w:rPr>
          <w:rFonts w:eastAsia="MS ??" w:cs="Times New Roman"/>
          <w:kern w:val="3"/>
          <w:szCs w:val="24"/>
          <w:lang w:eastAsia="ru-RU" w:bidi="hi-IN"/>
        </w:rPr>
        <w:t xml:space="preserve"> составляет 955 859 жителей, в том числе </w:t>
      </w:r>
      <w:hyperlink r:id="rId57" w:tooltip="Городское население" w:history="1">
        <w:r w:rsidRPr="0047261E">
          <w:rPr>
            <w:rFonts w:eastAsia="MS ??" w:cs="Times New Roman"/>
            <w:kern w:val="3"/>
            <w:szCs w:val="24"/>
            <w:lang w:eastAsia="ru-RU" w:bidi="hi-IN"/>
          </w:rPr>
          <w:t>городское население</w:t>
        </w:r>
      </w:hyperlink>
      <w:r w:rsidRPr="0047261E">
        <w:rPr>
          <w:rFonts w:eastAsia="MS ??" w:cs="Times New Roman"/>
          <w:kern w:val="3"/>
          <w:szCs w:val="24"/>
          <w:lang w:eastAsia="ru-RU" w:bidi="hi-IN"/>
        </w:rPr>
        <w:t xml:space="preserve"> —  617 086 человек (64,56 %). На центральной территории Якутии проживает около 500 тыс. чел. В основном в </w:t>
      </w:r>
      <w:hyperlink r:id="rId58" w:tooltip="Якутск" w:history="1">
        <w:r w:rsidRPr="0047261E">
          <w:rPr>
            <w:rFonts w:eastAsia="MS ??" w:cs="Times New Roman"/>
            <w:kern w:val="3"/>
            <w:szCs w:val="24"/>
            <w:lang w:eastAsia="ru-RU" w:bidi="hi-IN"/>
          </w:rPr>
          <w:t>Якутске</w:t>
        </w:r>
      </w:hyperlink>
      <w:r w:rsidRPr="0047261E">
        <w:rPr>
          <w:rFonts w:eastAsia="MS ??" w:cs="Times New Roman"/>
          <w:kern w:val="3"/>
          <w:szCs w:val="24"/>
          <w:lang w:eastAsia="ru-RU" w:bidi="hi-IN"/>
        </w:rPr>
        <w:t>, Мегино-Кангаласском, Амгинском, Чурапчинском, Усть-Алданском, Горном, Хангаласском улусах. В республике проживают представители более 120 национальностей, в т.ч. удельный вес якутов в национальном составе населения – 45,5%, русских – 41,2%, украинцев – 3,6%, эвенков – 1,9%, эвенов - 1,2%. Несмотря на обширную площадь, территория Якутии характеризуется слабой заселенностью в течение всего последнего столетия: как в его начале, так и в конце средняя плотность населения здесь в десятки раз ниже, чем в европейских регионах России. Демографическая ситуация характеризуется стабильным ежегодным превышением рождаемости над смертностью. Одной из особенностей Республики Саха (Якутия) является исторически сложившийся большой удельный вес сельского населения в общем числе жителей (37% при среднем в других северных регионах России – 8%). Причем в сельской местности проживает преимущественно коренное население – якуты, русские старожилы и ведущие традиционный образ жизни коренные малочисленные народы Севера. Поэтому в Якутии развиты не только характерные для Севера подотрасли аграрного производства – оленеводство, охотничий и пушной промыслы, рыболовство, но и самые северные в мире земледелие и разведение молочно-мясного крупного рогатого скота. Аграрный сектор в целом имеет значительный удельный вес в формировании ВРП и численности, занятых в республике. На характер расселения заметное воздействие оказывают природно-климатические и экономические факторы. Наибольшей плотностью населения отличаются улусы с относительно благоприятными условиями для ведения сельскохозяйственного производства: Мегино-Кангаласский, Намский, Чурапчинский, Хангаласский и Усть-Алданский, а также города Якутск и Нерюнгри с развитой промышленностью и транспортной схемой (1,2—2,8 чел. на 1 кв. км). Наименьшей плотностью населения выделяются улусы с экстремальными природно-климатическими условиями, неблагоприятными для жизни и хозяйственной деятельности: Оленекский, Аллаиховский, Жиганский, Булунский, Момский, Эвено-Бытантайский, Анабарский, Абыйский и Среднеколымский (0,01—0,08 чел. на 1 кв. км). В остальных улусах республики число жителей на 1 кв. км колеблется от 0,1 до 0,9 человек.</w:t>
      </w:r>
    </w:p>
    <w:p w14:paraId="38CB1AD6" w14:textId="77777777" w:rsidR="0047261E" w:rsidRPr="0047261E" w:rsidRDefault="0047261E" w:rsidP="0047261E">
      <w:pPr>
        <w:widowControl w:val="0"/>
        <w:suppressAutoHyphens/>
        <w:autoSpaceDN w:val="0"/>
        <w:spacing w:before="120"/>
        <w:ind w:firstLine="0"/>
        <w:textAlignment w:val="baseline"/>
        <w:rPr>
          <w:rFonts w:eastAsia="MS ??" w:cs="Times New Roman"/>
          <w:i/>
          <w:iCs/>
          <w:color w:val="3C3C3C"/>
          <w:kern w:val="3"/>
          <w:szCs w:val="24"/>
          <w:lang w:eastAsia="ru-RU" w:bidi="hi-IN"/>
        </w:rPr>
      </w:pPr>
      <w:r w:rsidRPr="0047261E">
        <w:rPr>
          <w:rFonts w:eastAsia="MS ??" w:cs="Times New Roman"/>
          <w:b/>
          <w:bCs/>
          <w:i/>
          <w:iCs/>
          <w:kern w:val="3"/>
          <w:szCs w:val="24"/>
          <w:lang w:eastAsia="ru-RU" w:bidi="hi-IN"/>
        </w:rPr>
        <w:t>Административно-территориальное деление</w:t>
      </w:r>
      <w:r w:rsidRPr="0047261E">
        <w:rPr>
          <w:rFonts w:eastAsia="MS ??" w:cs="Times New Roman"/>
          <w:i/>
          <w:iCs/>
          <w:color w:val="3C3C3C"/>
          <w:kern w:val="3"/>
          <w:szCs w:val="24"/>
          <w:lang w:eastAsia="ru-RU" w:bidi="hi-IN"/>
        </w:rPr>
        <w:t> </w:t>
      </w:r>
    </w:p>
    <w:p w14:paraId="62D1526A" w14:textId="77777777" w:rsidR="0047261E" w:rsidRPr="0047261E" w:rsidRDefault="0047261E" w:rsidP="0047261E">
      <w:pPr>
        <w:widowControl w:val="0"/>
        <w:suppressAutoHyphens/>
        <w:autoSpaceDN w:val="0"/>
        <w:spacing w:before="120"/>
        <w:ind w:firstLine="0"/>
        <w:textAlignment w:val="baseline"/>
        <w:rPr>
          <w:rFonts w:eastAsia="MS ??" w:cs="Times New Roman"/>
          <w:i/>
          <w:iCs/>
          <w:color w:val="3C3C3C"/>
          <w:kern w:val="3"/>
          <w:szCs w:val="24"/>
          <w:lang w:eastAsia="ru-RU" w:bidi="hi-IN"/>
        </w:rPr>
      </w:pPr>
    </w:p>
    <w:p w14:paraId="1353A213" w14:textId="2D30E72C" w:rsidR="0047261E" w:rsidRPr="0047261E" w:rsidRDefault="0047261E" w:rsidP="0047261E">
      <w:pPr>
        <w:widowControl w:val="0"/>
        <w:suppressAutoHyphens/>
        <w:autoSpaceDN w:val="0"/>
        <w:ind w:firstLine="567"/>
        <w:textAlignment w:val="baseline"/>
        <w:rPr>
          <w:rFonts w:eastAsia="MS ??" w:cs="Times New Roman"/>
          <w:kern w:val="3"/>
          <w:szCs w:val="24"/>
          <w:lang w:eastAsia="ru-RU" w:bidi="hi-IN"/>
        </w:rPr>
      </w:pPr>
      <w:r w:rsidRPr="0047261E">
        <w:rPr>
          <w:rFonts w:eastAsia="MS ??" w:cs="Times New Roman"/>
          <w:kern w:val="3"/>
          <w:szCs w:val="24"/>
          <w:lang w:eastAsia="ru-RU" w:bidi="hi-IN"/>
        </w:rPr>
        <w:t>Республика</w:t>
      </w:r>
      <w:r w:rsidR="003E7869">
        <w:rPr>
          <w:rFonts w:eastAsia="MS ??" w:cs="Times New Roman"/>
          <w:kern w:val="3"/>
          <w:szCs w:val="24"/>
          <w:lang w:eastAsia="ru-RU" w:bidi="hi-IN"/>
        </w:rPr>
        <w:t xml:space="preserve"> Саха (Якутия)</w:t>
      </w:r>
      <w:r w:rsidRPr="0047261E">
        <w:rPr>
          <w:rFonts w:eastAsia="MS ??" w:cs="Times New Roman"/>
          <w:kern w:val="3"/>
          <w:szCs w:val="24"/>
          <w:lang w:eastAsia="ru-RU" w:bidi="hi-IN"/>
        </w:rPr>
        <w:t xml:space="preserve"> включает в себя 36 </w:t>
      </w:r>
      <w:hyperlink r:id="rId59" w:tooltip="Муниципальное образование" w:history="1">
        <w:r w:rsidRPr="0047261E">
          <w:rPr>
            <w:rFonts w:eastAsia="MS ??" w:cs="Times New Roman"/>
            <w:kern w:val="3"/>
            <w:szCs w:val="24"/>
            <w:lang w:eastAsia="ru-RU" w:bidi="hi-IN"/>
          </w:rPr>
          <w:t>муниципальных образований</w:t>
        </w:r>
      </w:hyperlink>
      <w:r w:rsidRPr="0047261E">
        <w:rPr>
          <w:rFonts w:eastAsia="MS ??" w:cs="Times New Roman"/>
          <w:kern w:val="3"/>
          <w:szCs w:val="24"/>
          <w:lang w:eastAsia="ru-RU" w:bidi="hi-IN"/>
        </w:rPr>
        <w:t>: 34 </w:t>
      </w:r>
      <w:hyperlink r:id="rId60" w:tooltip="Муниципальный район" w:history="1">
        <w:r w:rsidRPr="0047261E">
          <w:rPr>
            <w:rFonts w:eastAsia="MS ??" w:cs="Times New Roman"/>
            <w:kern w:val="3"/>
            <w:szCs w:val="24"/>
            <w:lang w:eastAsia="ru-RU" w:bidi="hi-IN"/>
          </w:rPr>
          <w:t>муниципальных района</w:t>
        </w:r>
      </w:hyperlink>
      <w:r w:rsidRPr="0047261E">
        <w:rPr>
          <w:rFonts w:eastAsia="MS ??" w:cs="Times New Roman"/>
          <w:kern w:val="3"/>
          <w:szCs w:val="24"/>
          <w:lang w:eastAsia="ru-RU" w:bidi="hi-IN"/>
        </w:rPr>
        <w:t xml:space="preserve"> и 2 </w:t>
      </w:r>
      <w:hyperlink r:id="rId61" w:tooltip="Городской округ" w:history="1">
        <w:r w:rsidRPr="0047261E">
          <w:rPr>
            <w:rFonts w:eastAsia="MS ??" w:cs="Times New Roman"/>
            <w:kern w:val="3"/>
            <w:szCs w:val="24"/>
            <w:lang w:eastAsia="ru-RU" w:bidi="hi-IN"/>
          </w:rPr>
          <w:t>городских округа</w:t>
        </w:r>
      </w:hyperlink>
      <w:r w:rsidRPr="0047261E">
        <w:rPr>
          <w:rFonts w:eastAsia="MS ??" w:cs="Times New Roman"/>
          <w:kern w:val="3"/>
          <w:szCs w:val="24"/>
          <w:lang w:eastAsia="ru-RU" w:bidi="hi-IN"/>
        </w:rPr>
        <w:t>. В состав муниципальных районов в свою очередь входят городские и сельские поселения (</w:t>
      </w:r>
      <w:hyperlink r:id="rId62" w:tooltip="Наслег" w:history="1">
        <w:r w:rsidRPr="0047261E">
          <w:rPr>
            <w:rFonts w:eastAsia="MS ??" w:cs="Times New Roman"/>
            <w:kern w:val="3"/>
            <w:szCs w:val="24"/>
            <w:lang w:eastAsia="ru-RU" w:bidi="hi-IN"/>
          </w:rPr>
          <w:t>наслеги</w:t>
        </w:r>
      </w:hyperlink>
      <w:r w:rsidRPr="0047261E">
        <w:rPr>
          <w:rFonts w:eastAsia="MS ??" w:cs="Times New Roman"/>
          <w:kern w:val="3"/>
          <w:szCs w:val="24"/>
          <w:lang w:eastAsia="ru-RU" w:bidi="hi-IN"/>
        </w:rPr>
        <w:t>), общее число наслегов составляет 365, в том числе 31 национальный.</w:t>
      </w:r>
    </w:p>
    <w:p w14:paraId="0A7D6628" w14:textId="77777777" w:rsidR="0047261E" w:rsidRPr="0047261E" w:rsidRDefault="0047261E" w:rsidP="0047261E">
      <w:pPr>
        <w:widowControl w:val="0"/>
        <w:autoSpaceDE w:val="0"/>
        <w:autoSpaceDN w:val="0"/>
        <w:adjustRightInd w:val="0"/>
        <w:ind w:firstLine="720"/>
        <w:rPr>
          <w:rFonts w:ascii="Times New Roman CYR" w:eastAsiaTheme="minorEastAsia" w:hAnsi="Times New Roman CYR" w:cs="Times New Roman CYR"/>
          <w:szCs w:val="24"/>
          <w:lang w:eastAsia="ru-RU"/>
        </w:rPr>
      </w:pPr>
      <w:r w:rsidRPr="0047261E">
        <w:rPr>
          <w:rFonts w:ascii="Times New Roman CYR" w:eastAsiaTheme="minorEastAsia" w:hAnsi="Times New Roman CYR" w:cs="Times New Roman CYR"/>
          <w:szCs w:val="24"/>
          <w:lang w:eastAsia="ru-RU"/>
        </w:rPr>
        <w:t>Республика Саха (Якутия) является самым крупным по площади регионом Российской Федерации с численностью населения меньше 1 миллиона человек, плотность населения которой одна из самых низких в стране. Административно-территориальное устройство представлено 34 муниципальными районами, 2 городскими округами, 48 городскими поселениями и 361 сельским поселением.</w:t>
      </w:r>
    </w:p>
    <w:p w14:paraId="07C4C94D" w14:textId="77777777" w:rsidR="0047261E" w:rsidRPr="0047261E" w:rsidRDefault="0047261E" w:rsidP="0047261E">
      <w:pPr>
        <w:widowControl w:val="0"/>
        <w:autoSpaceDE w:val="0"/>
        <w:autoSpaceDN w:val="0"/>
        <w:adjustRightInd w:val="0"/>
        <w:ind w:firstLine="720"/>
        <w:rPr>
          <w:rFonts w:ascii="Times New Roman CYR" w:eastAsiaTheme="minorEastAsia" w:hAnsi="Times New Roman CYR" w:cs="Times New Roman CYR"/>
          <w:szCs w:val="24"/>
          <w:lang w:eastAsia="ru-RU"/>
        </w:rPr>
      </w:pPr>
      <w:r w:rsidRPr="0047261E">
        <w:rPr>
          <w:rFonts w:ascii="Times New Roman CYR" w:eastAsiaTheme="minorEastAsia" w:hAnsi="Times New Roman CYR" w:cs="Times New Roman CYR"/>
          <w:szCs w:val="24"/>
          <w:lang w:eastAsia="ru-RU"/>
        </w:rPr>
        <w:t>В пространственном отношении территориальную структуру хозяйства республики образуют районы, объединенные в экономические зоны - центральная, западная, восточная, южная и арктическая, - это крупные территориальные образования, отличающиеся административно-территориальной общностью, стабильностью границ, общностью транспортной и энергетической инфраструктуры, четко выраженной специализацией хозяйства на основе использования благоприятных природных и социально-экономических условий территории, географической близостью, наличием общих экономических, социальных и культурных связей, схожестью природно-климатических условий.</w:t>
      </w:r>
    </w:p>
    <w:p w14:paraId="236B4E5D" w14:textId="77777777" w:rsidR="0047261E" w:rsidRPr="0047261E" w:rsidRDefault="0047261E" w:rsidP="0047261E">
      <w:pPr>
        <w:widowControl w:val="0"/>
        <w:autoSpaceDE w:val="0"/>
        <w:autoSpaceDN w:val="0"/>
        <w:adjustRightInd w:val="0"/>
        <w:ind w:firstLine="720"/>
        <w:rPr>
          <w:rFonts w:ascii="Times New Roman CYR" w:eastAsiaTheme="minorEastAsia" w:hAnsi="Times New Roman CYR" w:cs="Times New Roman CYR"/>
          <w:szCs w:val="24"/>
          <w:lang w:eastAsia="ru-RU"/>
        </w:rPr>
      </w:pPr>
      <w:r w:rsidRPr="0047261E">
        <w:rPr>
          <w:rFonts w:ascii="Times New Roman CYR" w:eastAsiaTheme="minorEastAsia" w:hAnsi="Times New Roman CYR" w:cs="Times New Roman CYR"/>
          <w:szCs w:val="24"/>
          <w:lang w:eastAsia="ru-RU"/>
        </w:rPr>
        <w:t>Формирование крупных пространственных структур обусловлено реализацией долгосрочных инвестиционных проектов межрегионального и проектов межмуниципального сотрудничества.</w:t>
      </w:r>
    </w:p>
    <w:p w14:paraId="66AA12E2" w14:textId="77777777" w:rsidR="0047261E" w:rsidRPr="0047261E" w:rsidRDefault="0047261E" w:rsidP="0047261E">
      <w:pPr>
        <w:widowControl w:val="0"/>
        <w:autoSpaceDE w:val="0"/>
        <w:autoSpaceDN w:val="0"/>
        <w:adjustRightInd w:val="0"/>
        <w:ind w:firstLine="720"/>
        <w:rPr>
          <w:rFonts w:ascii="Times New Roman CYR" w:eastAsiaTheme="minorEastAsia" w:hAnsi="Times New Roman CYR" w:cs="Times New Roman CYR"/>
          <w:szCs w:val="24"/>
          <w:lang w:eastAsia="ru-RU"/>
        </w:rPr>
      </w:pPr>
      <w:r w:rsidRPr="0047261E">
        <w:rPr>
          <w:rFonts w:ascii="Times New Roman CYR" w:eastAsiaTheme="minorEastAsia" w:hAnsi="Times New Roman CYR" w:cs="Times New Roman CYR"/>
          <w:szCs w:val="24"/>
          <w:lang w:eastAsia="ru-RU"/>
        </w:rPr>
        <w:t>Центральная экономическая зона представлена ГО "Город Якутск" и ГО "Поселок Жатай", Амгинским, Горным, Кобяйским, Мегино-Кангаласским, Намским, Таттинским, Усть-Алданским, Хангаласским и Чурапчинским муниципальными районами. Центральная Якутия, где проживает порядка 53,7% населения республики, специализируется на сервисном бизнесе, промышленности строительных материалов, агропромышленном производстве.</w:t>
      </w:r>
    </w:p>
    <w:p w14:paraId="25A364C9" w14:textId="77777777" w:rsidR="0047261E" w:rsidRPr="0047261E" w:rsidRDefault="0047261E" w:rsidP="0047261E">
      <w:pPr>
        <w:widowControl w:val="0"/>
        <w:autoSpaceDE w:val="0"/>
        <w:autoSpaceDN w:val="0"/>
        <w:adjustRightInd w:val="0"/>
        <w:ind w:firstLine="720"/>
        <w:rPr>
          <w:rFonts w:ascii="Times New Roman CYR" w:eastAsiaTheme="minorEastAsia" w:hAnsi="Times New Roman CYR" w:cs="Times New Roman CYR"/>
          <w:szCs w:val="24"/>
          <w:lang w:eastAsia="ru-RU"/>
        </w:rPr>
      </w:pPr>
      <w:r w:rsidRPr="0047261E">
        <w:rPr>
          <w:rFonts w:ascii="Times New Roman CYR" w:eastAsiaTheme="minorEastAsia" w:hAnsi="Times New Roman CYR" w:cs="Times New Roman CYR"/>
          <w:szCs w:val="24"/>
          <w:lang w:eastAsia="ru-RU"/>
        </w:rPr>
        <w:t>Западная экономическая зона с численностью 23,9% населения республики, куда входят Ленский, Мирнинский, Олекминский, Вилюйский, Верхневилюйский, Нюрбинский и Сунтарский муниципальные районы, характеризуется, как центр алмазодобычи, нефтегазодобычи, а также на лесопереработке и агропромышленном производстве.</w:t>
      </w:r>
    </w:p>
    <w:p w14:paraId="085E3017" w14:textId="77777777" w:rsidR="0047261E" w:rsidRPr="0047261E" w:rsidRDefault="0047261E" w:rsidP="0047261E">
      <w:pPr>
        <w:widowControl w:val="0"/>
        <w:autoSpaceDE w:val="0"/>
        <w:autoSpaceDN w:val="0"/>
        <w:adjustRightInd w:val="0"/>
        <w:ind w:firstLine="720"/>
        <w:rPr>
          <w:rFonts w:ascii="Times New Roman CYR" w:eastAsiaTheme="minorEastAsia" w:hAnsi="Times New Roman CYR" w:cs="Times New Roman CYR"/>
          <w:szCs w:val="24"/>
          <w:lang w:eastAsia="ru-RU"/>
        </w:rPr>
      </w:pPr>
      <w:r w:rsidRPr="0047261E">
        <w:rPr>
          <w:rFonts w:ascii="Times New Roman CYR" w:eastAsiaTheme="minorEastAsia" w:hAnsi="Times New Roman CYR" w:cs="Times New Roman CYR"/>
          <w:szCs w:val="24"/>
          <w:lang w:eastAsia="ru-RU"/>
        </w:rPr>
        <w:t>Восточная экономическая зона включает в себя Томпонский, Усть-Майский и Оймяконский муниципальные районы (3,1% населения республики). Конкурентные преимущества заключаются в наличии крупных месторождений полезных ископаемых: Нежданинское месторождение золота, Верхнее-Менкеченское серебро-полиметаллическое месторождение, Агылкинское медно-вольфрамовое месторождение со значительными запасами серебра.</w:t>
      </w:r>
    </w:p>
    <w:p w14:paraId="20679742" w14:textId="77777777" w:rsidR="0047261E" w:rsidRPr="0047261E" w:rsidRDefault="0047261E" w:rsidP="0047261E">
      <w:pPr>
        <w:widowControl w:val="0"/>
        <w:autoSpaceDE w:val="0"/>
        <w:autoSpaceDN w:val="0"/>
        <w:adjustRightInd w:val="0"/>
        <w:ind w:firstLine="720"/>
        <w:rPr>
          <w:rFonts w:ascii="Times New Roman CYR" w:eastAsiaTheme="minorEastAsia" w:hAnsi="Times New Roman CYR" w:cs="Times New Roman CYR"/>
          <w:szCs w:val="24"/>
          <w:lang w:eastAsia="ru-RU"/>
        </w:rPr>
      </w:pPr>
      <w:r w:rsidRPr="0047261E">
        <w:rPr>
          <w:rFonts w:ascii="Times New Roman CYR" w:eastAsiaTheme="minorEastAsia" w:hAnsi="Times New Roman CYR" w:cs="Times New Roman CYR"/>
          <w:szCs w:val="24"/>
          <w:lang w:eastAsia="ru-RU"/>
        </w:rPr>
        <w:t>На территории Южной экономической зоны, включающей Нерюнгринский и Алданский муниципальные районы (более 12% населения республики), активно разрабатываются месторождения золота и угля. Доля промышленности в экономике Южной Якутии достигает 85%. Ключевую роль в экономическом развитии Южной Якутии играет транспортная доступность, обеспечивающая постоянную надежную связь с другими регионами страны и создающая условия для освоения ресурсов макрорайона.</w:t>
      </w:r>
    </w:p>
    <w:p w14:paraId="41227B98" w14:textId="77777777" w:rsidR="0047261E" w:rsidRPr="0047261E" w:rsidRDefault="0047261E" w:rsidP="0047261E">
      <w:pPr>
        <w:widowControl w:val="0"/>
        <w:autoSpaceDE w:val="0"/>
        <w:autoSpaceDN w:val="0"/>
        <w:adjustRightInd w:val="0"/>
        <w:ind w:firstLine="720"/>
        <w:rPr>
          <w:rFonts w:ascii="Times New Roman CYR" w:eastAsiaTheme="minorEastAsia" w:hAnsi="Times New Roman CYR" w:cs="Times New Roman CYR"/>
          <w:szCs w:val="24"/>
          <w:lang w:eastAsia="ru-RU"/>
        </w:rPr>
      </w:pPr>
      <w:r w:rsidRPr="0047261E">
        <w:rPr>
          <w:rFonts w:ascii="Times New Roman CYR" w:eastAsiaTheme="minorEastAsia" w:hAnsi="Times New Roman CYR" w:cs="Times New Roman CYR"/>
          <w:szCs w:val="24"/>
          <w:lang w:eastAsia="ru-RU"/>
        </w:rPr>
        <w:t>Арктическая зона Якутии (Абыйский, Аллаиховский, Анабарский, Булунский, Верхнеколымский, Верхоянский, Жиганский, Момский, Нижнеколымский, Оленекский, Среднеколымский, Усть-Янский, Эвено-Бытантайский муниципальные районы) с населением 7,2% численности республики является частью макрорегиона, специализирующейся на традиционных формах природопользования (оленеводство, охотничий и рыболовный промысел).</w:t>
      </w:r>
    </w:p>
    <w:p w14:paraId="62EC4E08" w14:textId="77777777" w:rsidR="0047261E" w:rsidRPr="0047261E" w:rsidRDefault="0047261E" w:rsidP="0047261E">
      <w:pPr>
        <w:widowControl w:val="0"/>
        <w:suppressAutoHyphens/>
        <w:autoSpaceDN w:val="0"/>
        <w:ind w:firstLine="567"/>
        <w:textAlignment w:val="baseline"/>
        <w:rPr>
          <w:rFonts w:eastAsia="MS ??" w:cs="Times New Roman"/>
          <w:kern w:val="3"/>
          <w:szCs w:val="24"/>
          <w:lang w:eastAsia="ru-RU" w:bidi="hi-IN"/>
        </w:rPr>
      </w:pPr>
    </w:p>
    <w:p w14:paraId="1E7A849D" w14:textId="10656160" w:rsidR="0047261E" w:rsidRPr="0047261E" w:rsidRDefault="0047261E" w:rsidP="0047261E">
      <w:pPr>
        <w:widowControl w:val="0"/>
        <w:suppressAutoHyphens/>
        <w:autoSpaceDN w:val="0"/>
        <w:spacing w:before="100" w:beforeAutospacing="1" w:after="100" w:afterAutospacing="1"/>
        <w:ind w:firstLine="0"/>
        <w:textAlignment w:val="baseline"/>
        <w:rPr>
          <w:rFonts w:eastAsia="MS ??" w:cs="Times New Roman"/>
          <w:kern w:val="3"/>
          <w:szCs w:val="24"/>
          <w:lang w:eastAsia="ru-RU" w:bidi="hi-IN"/>
        </w:rPr>
      </w:pPr>
      <w:r w:rsidRPr="0047261E">
        <w:rPr>
          <w:rFonts w:eastAsia="MS ??" w:cs="Times New Roman"/>
          <w:bCs/>
          <w:iCs/>
          <w:noProof/>
          <w:kern w:val="3"/>
          <w:szCs w:val="24"/>
          <w:lang w:eastAsia="ru-RU"/>
        </w:rPr>
        <w:drawing>
          <wp:anchor distT="0" distB="0" distL="114300" distR="114300" simplePos="0" relativeHeight="251678720" behindDoc="1" locked="0" layoutInCell="1" allowOverlap="1" wp14:anchorId="58EB3901" wp14:editId="52F6C037">
            <wp:simplePos x="0" y="0"/>
            <wp:positionH relativeFrom="column">
              <wp:posOffset>3175</wp:posOffset>
            </wp:positionH>
            <wp:positionV relativeFrom="paragraph">
              <wp:posOffset>111125</wp:posOffset>
            </wp:positionV>
            <wp:extent cx="6090285" cy="5181600"/>
            <wp:effectExtent l="19050" t="0" r="5715" b="0"/>
            <wp:wrapTight wrapText="bothSides">
              <wp:wrapPolygon edited="0">
                <wp:start x="-68" y="0"/>
                <wp:lineTo x="-68" y="21521"/>
                <wp:lineTo x="21620" y="21521"/>
                <wp:lineTo x="21620" y="0"/>
                <wp:lineTo x="-68" y="0"/>
              </wp:wrapPolygon>
            </wp:wrapTight>
            <wp:docPr id="926" name="Рисунок 117" descr="400px-Sakha_Republic_Municipal_Divisions">
              <a:hlinkClick xmlns:a="http://schemas.openxmlformats.org/drawingml/2006/main" r:id="rId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400px-Sakha_Republic_Municipal_Divisions">
                      <a:hlinkClick r:id="rId63"/>
                    </pic:cNvPr>
                    <pic:cNvPicPr>
                      <a:picLocks noChangeAspect="1" noChangeArrowheads="1"/>
                    </pic:cNvPicPr>
                  </pic:nvPicPr>
                  <pic:blipFill>
                    <a:blip r:embed="rId64" cstate="print"/>
                    <a:srcRect/>
                    <a:stretch>
                      <a:fillRect/>
                    </a:stretch>
                  </pic:blipFill>
                  <pic:spPr bwMode="auto">
                    <a:xfrm>
                      <a:off x="0" y="0"/>
                      <a:ext cx="6090285" cy="5181600"/>
                    </a:xfrm>
                    <a:prstGeom prst="rect">
                      <a:avLst/>
                    </a:prstGeom>
                    <a:noFill/>
                  </pic:spPr>
                </pic:pic>
              </a:graphicData>
            </a:graphic>
          </wp:anchor>
        </w:drawing>
      </w:r>
      <w:r w:rsidRPr="0047261E">
        <w:rPr>
          <w:rFonts w:eastAsia="Times New Roman" w:cs="Times New Roman"/>
          <w:kern w:val="3"/>
          <w:szCs w:val="24"/>
          <w:lang w:eastAsia="ru-RU" w:bidi="hi-IN"/>
        </w:rPr>
        <w:t xml:space="preserve">Рисунок </w:t>
      </w:r>
      <w:r w:rsidRPr="0047261E">
        <w:rPr>
          <w:rFonts w:eastAsia="Times New Roman" w:cs="Times New Roman"/>
          <w:kern w:val="3"/>
          <w:szCs w:val="24"/>
          <w:lang w:eastAsia="ru-RU" w:bidi="hi-IN"/>
        </w:rPr>
        <w:fldChar w:fldCharType="begin"/>
      </w:r>
      <w:r w:rsidRPr="0047261E">
        <w:rPr>
          <w:rFonts w:eastAsia="Times New Roman" w:cs="Times New Roman"/>
          <w:kern w:val="3"/>
          <w:szCs w:val="24"/>
          <w:lang w:eastAsia="ru-RU" w:bidi="hi-IN"/>
        </w:rPr>
        <w:instrText xml:space="preserve"> SEQ Рисунок \* ARABIC </w:instrText>
      </w:r>
      <w:r w:rsidRPr="0047261E">
        <w:rPr>
          <w:rFonts w:eastAsia="Times New Roman" w:cs="Times New Roman"/>
          <w:kern w:val="3"/>
          <w:szCs w:val="24"/>
          <w:lang w:eastAsia="ru-RU" w:bidi="hi-IN"/>
        </w:rPr>
        <w:fldChar w:fldCharType="separate"/>
      </w:r>
      <w:r w:rsidR="00FD2769">
        <w:rPr>
          <w:rFonts w:eastAsia="Times New Roman" w:cs="Times New Roman"/>
          <w:noProof/>
          <w:kern w:val="3"/>
          <w:szCs w:val="24"/>
          <w:lang w:eastAsia="ru-RU" w:bidi="hi-IN"/>
        </w:rPr>
        <w:t>38</w:t>
      </w:r>
      <w:r w:rsidRPr="0047261E">
        <w:rPr>
          <w:rFonts w:eastAsia="Times New Roman" w:cs="Times New Roman"/>
          <w:kern w:val="3"/>
          <w:szCs w:val="24"/>
          <w:lang w:eastAsia="ru-RU" w:bidi="hi-IN"/>
        </w:rPr>
        <w:fldChar w:fldCharType="end"/>
      </w:r>
      <w:r w:rsidRPr="0047261E">
        <w:rPr>
          <w:rFonts w:eastAsia="Times New Roman" w:cs="Times New Roman"/>
          <w:kern w:val="3"/>
          <w:szCs w:val="24"/>
          <w:lang w:eastAsia="ru-RU" w:bidi="hi-IN"/>
        </w:rPr>
        <w:t xml:space="preserve"> </w:t>
      </w:r>
      <w:r w:rsidRPr="0047261E">
        <w:rPr>
          <w:rFonts w:eastAsia="MS ??" w:cs="Times New Roman"/>
          <w:kern w:val="3"/>
          <w:szCs w:val="24"/>
          <w:lang w:eastAsia="ru-RU" w:bidi="hi-IN"/>
        </w:rPr>
        <w:t>Карта административного деления Республики Саха (Якутия).</w:t>
      </w:r>
    </w:p>
    <w:p w14:paraId="5D3E509A" w14:textId="77777777" w:rsidR="0047261E" w:rsidRPr="0047261E" w:rsidRDefault="0047261E" w:rsidP="0047261E">
      <w:pPr>
        <w:widowControl w:val="0"/>
        <w:suppressAutoHyphens/>
        <w:autoSpaceDN w:val="0"/>
        <w:ind w:firstLine="709"/>
        <w:textAlignment w:val="baseline"/>
        <w:rPr>
          <w:rFonts w:eastAsia="Times New Roman" w:cs="Times New Roman"/>
          <w:kern w:val="3"/>
          <w:szCs w:val="24"/>
          <w:lang w:eastAsia="ru-RU" w:bidi="hi-IN"/>
        </w:rPr>
      </w:pPr>
      <w:r w:rsidRPr="0047261E">
        <w:rPr>
          <w:rFonts w:eastAsia="MS ??" w:cs="Times New Roman"/>
          <w:kern w:val="3"/>
          <w:szCs w:val="24"/>
          <w:lang w:eastAsia="ru-RU" w:bidi="hi-IN"/>
        </w:rPr>
        <w:t>Красным выделена территория городских округов «Якутск» и «Жатай».</w:t>
      </w:r>
    </w:p>
    <w:p w14:paraId="3AA70E6B" w14:textId="6C0822B2" w:rsidR="0047261E" w:rsidRPr="0047261E" w:rsidRDefault="0047261E" w:rsidP="00763AD2">
      <w:pPr>
        <w:pStyle w:val="afffffff0"/>
        <w:rPr>
          <w:b/>
        </w:rPr>
      </w:pPr>
      <w:r w:rsidRPr="0047261E">
        <w:t xml:space="preserve">Таблица </w:t>
      </w:r>
      <w:r w:rsidR="00A90944">
        <w:fldChar w:fldCharType="begin"/>
      </w:r>
      <w:r w:rsidR="00A90944">
        <w:instrText xml:space="preserve"> SEQ Таблица \* ARABIC </w:instrText>
      </w:r>
      <w:r w:rsidR="00A90944">
        <w:fldChar w:fldCharType="separate"/>
      </w:r>
      <w:r w:rsidR="00FD2769">
        <w:rPr>
          <w:noProof/>
        </w:rPr>
        <w:t>11</w:t>
      </w:r>
      <w:r w:rsidR="00A90944">
        <w:rPr>
          <w:noProof/>
        </w:rPr>
        <w:fldChar w:fldCharType="end"/>
      </w:r>
      <w:r w:rsidRPr="0047261E">
        <w:t>. Список муниципальных образований Республика Саха (Якутия)</w:t>
      </w:r>
    </w:p>
    <w:tbl>
      <w:tblPr>
        <w:tblW w:w="5000" w:type="pct"/>
        <w:tblLook w:val="04A0" w:firstRow="1" w:lastRow="0" w:firstColumn="1" w:lastColumn="0" w:noHBand="0" w:noVBand="1"/>
      </w:tblPr>
      <w:tblGrid>
        <w:gridCol w:w="558"/>
        <w:gridCol w:w="3523"/>
        <w:gridCol w:w="1884"/>
        <w:gridCol w:w="1454"/>
        <w:gridCol w:w="2775"/>
      </w:tblGrid>
      <w:tr w:rsidR="0047261E" w:rsidRPr="0047261E" w14:paraId="55C0C32A" w14:textId="77777777" w:rsidTr="0047261E">
        <w:trPr>
          <w:trHeight w:val="630"/>
          <w:tblHeader/>
        </w:trPr>
        <w:tc>
          <w:tcPr>
            <w:tcW w:w="274" w:type="pct"/>
            <w:tcBorders>
              <w:top w:val="single" w:sz="4" w:space="0" w:color="auto"/>
              <w:left w:val="single" w:sz="4" w:space="0" w:color="auto"/>
              <w:bottom w:val="single" w:sz="4" w:space="0" w:color="auto"/>
              <w:right w:val="single" w:sz="4" w:space="0" w:color="auto"/>
            </w:tcBorders>
            <w:shd w:val="clear" w:color="000000" w:fill="BFBFBF"/>
            <w:vAlign w:val="center"/>
            <w:hideMark/>
          </w:tcPr>
          <w:p w14:paraId="35E0FCFB" w14:textId="77777777" w:rsidR="0047261E" w:rsidRPr="0047261E" w:rsidRDefault="0047261E" w:rsidP="0047261E">
            <w:pPr>
              <w:ind w:firstLine="0"/>
              <w:rPr>
                <w:rFonts w:eastAsia="Times New Roman" w:cs="Times New Roman"/>
                <w:bCs/>
                <w:szCs w:val="24"/>
                <w:lang w:eastAsia="ru-RU"/>
              </w:rPr>
            </w:pPr>
            <w:r w:rsidRPr="0047261E">
              <w:rPr>
                <w:rFonts w:eastAsia="Times New Roman" w:cs="Times New Roman"/>
                <w:bCs/>
                <w:szCs w:val="24"/>
                <w:lang w:eastAsia="ru-RU"/>
              </w:rPr>
              <w:t>№</w:t>
            </w:r>
          </w:p>
        </w:tc>
        <w:tc>
          <w:tcPr>
            <w:tcW w:w="1728" w:type="pct"/>
            <w:tcBorders>
              <w:top w:val="single" w:sz="4" w:space="0" w:color="auto"/>
              <w:left w:val="nil"/>
              <w:bottom w:val="single" w:sz="4" w:space="0" w:color="auto"/>
              <w:right w:val="single" w:sz="4" w:space="0" w:color="auto"/>
            </w:tcBorders>
            <w:shd w:val="clear" w:color="000000" w:fill="BFBFBF"/>
            <w:vAlign w:val="center"/>
            <w:hideMark/>
          </w:tcPr>
          <w:p w14:paraId="1356086C" w14:textId="77777777" w:rsidR="0047261E" w:rsidRPr="0047261E" w:rsidRDefault="0047261E" w:rsidP="0047261E">
            <w:pPr>
              <w:ind w:firstLine="0"/>
              <w:jc w:val="center"/>
              <w:rPr>
                <w:rFonts w:eastAsia="Times New Roman" w:cs="Times New Roman"/>
                <w:bCs/>
                <w:szCs w:val="24"/>
                <w:lang w:eastAsia="ru-RU"/>
              </w:rPr>
            </w:pPr>
            <w:r w:rsidRPr="0047261E">
              <w:rPr>
                <w:rFonts w:eastAsia="Times New Roman" w:cs="Times New Roman"/>
                <w:bCs/>
                <w:szCs w:val="24"/>
                <w:lang w:eastAsia="ru-RU"/>
              </w:rPr>
              <w:t>Улусы и районы</w:t>
            </w:r>
          </w:p>
        </w:tc>
        <w:tc>
          <w:tcPr>
            <w:tcW w:w="924" w:type="pct"/>
            <w:tcBorders>
              <w:top w:val="single" w:sz="4" w:space="0" w:color="auto"/>
              <w:left w:val="nil"/>
              <w:bottom w:val="single" w:sz="4" w:space="0" w:color="auto"/>
              <w:right w:val="single" w:sz="4" w:space="0" w:color="auto"/>
            </w:tcBorders>
            <w:shd w:val="clear" w:color="000000" w:fill="BFBFBF"/>
            <w:vAlign w:val="center"/>
            <w:hideMark/>
          </w:tcPr>
          <w:p w14:paraId="668DC58A" w14:textId="77777777" w:rsidR="0047261E" w:rsidRPr="0047261E" w:rsidRDefault="0047261E" w:rsidP="0047261E">
            <w:pPr>
              <w:ind w:firstLine="0"/>
              <w:jc w:val="center"/>
              <w:rPr>
                <w:rFonts w:eastAsia="Times New Roman" w:cs="Times New Roman"/>
                <w:bCs/>
                <w:szCs w:val="24"/>
                <w:lang w:eastAsia="ru-RU"/>
              </w:rPr>
            </w:pPr>
            <w:r w:rsidRPr="0047261E">
              <w:rPr>
                <w:rFonts w:eastAsia="Times New Roman" w:cs="Times New Roman"/>
                <w:bCs/>
                <w:szCs w:val="24"/>
                <w:lang w:eastAsia="ru-RU"/>
              </w:rPr>
              <w:t>Экономические зоны</w:t>
            </w:r>
          </w:p>
        </w:tc>
        <w:tc>
          <w:tcPr>
            <w:tcW w:w="713" w:type="pct"/>
            <w:tcBorders>
              <w:top w:val="single" w:sz="4" w:space="0" w:color="auto"/>
              <w:left w:val="nil"/>
              <w:bottom w:val="single" w:sz="4" w:space="0" w:color="auto"/>
              <w:right w:val="single" w:sz="4" w:space="0" w:color="auto"/>
            </w:tcBorders>
            <w:shd w:val="clear" w:color="000000" w:fill="BFBFBF"/>
            <w:vAlign w:val="center"/>
            <w:hideMark/>
          </w:tcPr>
          <w:p w14:paraId="67E022B6" w14:textId="77777777" w:rsidR="0047261E" w:rsidRPr="0047261E" w:rsidRDefault="0047261E" w:rsidP="0047261E">
            <w:pPr>
              <w:ind w:firstLine="0"/>
              <w:jc w:val="center"/>
              <w:rPr>
                <w:rFonts w:eastAsia="Times New Roman" w:cs="Times New Roman"/>
                <w:bCs/>
                <w:sz w:val="22"/>
                <w:lang w:eastAsia="ru-RU"/>
              </w:rPr>
            </w:pPr>
            <w:r w:rsidRPr="0047261E">
              <w:rPr>
                <w:rFonts w:eastAsia="Times New Roman" w:cs="Times New Roman"/>
                <w:bCs/>
                <w:sz w:val="22"/>
                <w:lang w:eastAsia="ru-RU"/>
              </w:rPr>
              <w:t>Площадь, кв.м.</w:t>
            </w:r>
          </w:p>
        </w:tc>
        <w:tc>
          <w:tcPr>
            <w:tcW w:w="1361" w:type="pct"/>
            <w:tcBorders>
              <w:top w:val="single" w:sz="4" w:space="0" w:color="auto"/>
              <w:left w:val="nil"/>
              <w:bottom w:val="single" w:sz="4" w:space="0" w:color="auto"/>
              <w:right w:val="single" w:sz="4" w:space="0" w:color="auto"/>
            </w:tcBorders>
            <w:shd w:val="clear" w:color="000000" w:fill="BFBFBF"/>
            <w:vAlign w:val="center"/>
            <w:hideMark/>
          </w:tcPr>
          <w:p w14:paraId="1CA08952" w14:textId="77777777" w:rsidR="0047261E" w:rsidRPr="0047261E" w:rsidRDefault="0047261E" w:rsidP="0047261E">
            <w:pPr>
              <w:ind w:firstLine="0"/>
              <w:jc w:val="center"/>
              <w:rPr>
                <w:rFonts w:eastAsia="Times New Roman" w:cs="Times New Roman"/>
                <w:bCs/>
                <w:szCs w:val="24"/>
                <w:lang w:eastAsia="ru-RU"/>
              </w:rPr>
            </w:pPr>
            <w:r w:rsidRPr="0047261E">
              <w:rPr>
                <w:rFonts w:eastAsia="Times New Roman" w:cs="Times New Roman"/>
                <w:bCs/>
                <w:szCs w:val="24"/>
                <w:lang w:eastAsia="ru-RU"/>
              </w:rPr>
              <w:t>Административный центр</w:t>
            </w:r>
          </w:p>
        </w:tc>
      </w:tr>
      <w:tr w:rsidR="0047261E" w:rsidRPr="0047261E" w14:paraId="0BCA42BE" w14:textId="77777777" w:rsidTr="0047261E">
        <w:trPr>
          <w:trHeight w:val="315"/>
        </w:trPr>
        <w:tc>
          <w:tcPr>
            <w:tcW w:w="274" w:type="pct"/>
            <w:tcBorders>
              <w:top w:val="nil"/>
              <w:left w:val="single" w:sz="4" w:space="0" w:color="auto"/>
              <w:bottom w:val="single" w:sz="4" w:space="0" w:color="auto"/>
              <w:right w:val="single" w:sz="4" w:space="0" w:color="auto"/>
            </w:tcBorders>
            <w:shd w:val="clear" w:color="auto" w:fill="auto"/>
            <w:vAlign w:val="center"/>
            <w:hideMark/>
          </w:tcPr>
          <w:p w14:paraId="5F0BFAD2" w14:textId="77777777" w:rsidR="0047261E" w:rsidRPr="0047261E" w:rsidRDefault="0047261E" w:rsidP="0047261E">
            <w:pPr>
              <w:ind w:firstLine="0"/>
              <w:rPr>
                <w:rFonts w:eastAsia="Times New Roman" w:cs="Times New Roman"/>
                <w:szCs w:val="24"/>
                <w:lang w:eastAsia="ru-RU"/>
              </w:rPr>
            </w:pPr>
            <w:r w:rsidRPr="0047261E">
              <w:rPr>
                <w:rFonts w:eastAsia="Times New Roman" w:cs="Times New Roman"/>
                <w:szCs w:val="24"/>
                <w:lang w:eastAsia="ru-RU"/>
              </w:rPr>
              <w:t>1</w:t>
            </w:r>
          </w:p>
        </w:tc>
        <w:tc>
          <w:tcPr>
            <w:tcW w:w="1728" w:type="pct"/>
            <w:tcBorders>
              <w:top w:val="nil"/>
              <w:left w:val="nil"/>
              <w:bottom w:val="single" w:sz="4" w:space="0" w:color="auto"/>
              <w:right w:val="single" w:sz="4" w:space="0" w:color="auto"/>
            </w:tcBorders>
            <w:shd w:val="clear" w:color="auto" w:fill="auto"/>
            <w:vAlign w:val="center"/>
            <w:hideMark/>
          </w:tcPr>
          <w:p w14:paraId="69A23EF3" w14:textId="77777777" w:rsidR="0047261E" w:rsidRPr="0047261E" w:rsidRDefault="0047261E" w:rsidP="0047261E">
            <w:pPr>
              <w:ind w:firstLine="0"/>
              <w:jc w:val="left"/>
              <w:rPr>
                <w:rFonts w:eastAsia="Times New Roman" w:cs="Times New Roman"/>
                <w:szCs w:val="24"/>
                <w:lang w:eastAsia="ru-RU"/>
              </w:rPr>
            </w:pPr>
            <w:r w:rsidRPr="0047261E">
              <w:rPr>
                <w:rFonts w:eastAsia="Times New Roman" w:cs="Times New Roman"/>
                <w:szCs w:val="24"/>
                <w:lang w:eastAsia="ru-RU"/>
              </w:rPr>
              <w:t>Абыйский улус (район)</w:t>
            </w:r>
          </w:p>
        </w:tc>
        <w:tc>
          <w:tcPr>
            <w:tcW w:w="924" w:type="pct"/>
            <w:tcBorders>
              <w:top w:val="nil"/>
              <w:left w:val="nil"/>
              <w:bottom w:val="single" w:sz="4" w:space="0" w:color="auto"/>
              <w:right w:val="single" w:sz="4" w:space="0" w:color="auto"/>
            </w:tcBorders>
            <w:shd w:val="clear" w:color="auto" w:fill="auto"/>
            <w:vAlign w:val="center"/>
            <w:hideMark/>
          </w:tcPr>
          <w:p w14:paraId="1055E95D" w14:textId="77777777" w:rsidR="0047261E" w:rsidRPr="0047261E" w:rsidRDefault="0047261E" w:rsidP="0047261E">
            <w:pPr>
              <w:ind w:firstLine="0"/>
              <w:jc w:val="left"/>
              <w:rPr>
                <w:rFonts w:eastAsia="Times New Roman" w:cs="Times New Roman"/>
                <w:szCs w:val="24"/>
                <w:lang w:eastAsia="ru-RU"/>
              </w:rPr>
            </w:pPr>
            <w:r w:rsidRPr="0047261E">
              <w:rPr>
                <w:rFonts w:eastAsia="Times New Roman" w:cs="Times New Roman"/>
                <w:szCs w:val="24"/>
                <w:lang w:eastAsia="ru-RU"/>
              </w:rPr>
              <w:t>Арктическая</w:t>
            </w:r>
          </w:p>
        </w:tc>
        <w:tc>
          <w:tcPr>
            <w:tcW w:w="713" w:type="pct"/>
            <w:tcBorders>
              <w:top w:val="nil"/>
              <w:left w:val="nil"/>
              <w:bottom w:val="single" w:sz="4" w:space="0" w:color="auto"/>
              <w:right w:val="single" w:sz="4" w:space="0" w:color="auto"/>
            </w:tcBorders>
            <w:shd w:val="clear" w:color="auto" w:fill="auto"/>
            <w:noWrap/>
            <w:vAlign w:val="center"/>
            <w:hideMark/>
          </w:tcPr>
          <w:p w14:paraId="4AE65CA4" w14:textId="77777777" w:rsidR="0047261E" w:rsidRPr="0047261E" w:rsidRDefault="0047261E" w:rsidP="0047261E">
            <w:pPr>
              <w:ind w:firstLine="0"/>
              <w:jc w:val="center"/>
              <w:rPr>
                <w:rFonts w:ascii="Times New Roman CYR" w:eastAsia="Times New Roman" w:hAnsi="Times New Roman CYR" w:cs="Times New Roman CYR"/>
                <w:szCs w:val="24"/>
                <w:lang w:eastAsia="ru-RU"/>
              </w:rPr>
            </w:pPr>
            <w:r w:rsidRPr="0047261E">
              <w:rPr>
                <w:rFonts w:ascii="Times New Roman CYR" w:eastAsia="Times New Roman" w:hAnsi="Times New Roman CYR" w:cs="Times New Roman CYR"/>
                <w:szCs w:val="24"/>
                <w:lang w:eastAsia="ru-RU"/>
              </w:rPr>
              <w:t>6943451</w:t>
            </w:r>
          </w:p>
        </w:tc>
        <w:tc>
          <w:tcPr>
            <w:tcW w:w="1361" w:type="pct"/>
            <w:tcBorders>
              <w:top w:val="nil"/>
              <w:left w:val="nil"/>
              <w:bottom w:val="single" w:sz="4" w:space="0" w:color="auto"/>
              <w:right w:val="single" w:sz="4" w:space="0" w:color="auto"/>
            </w:tcBorders>
            <w:shd w:val="clear" w:color="auto" w:fill="auto"/>
            <w:vAlign w:val="center"/>
            <w:hideMark/>
          </w:tcPr>
          <w:p w14:paraId="027CE0D7" w14:textId="065F346C" w:rsidR="0047261E" w:rsidRPr="0047261E" w:rsidRDefault="00A90944" w:rsidP="003E7869">
            <w:pPr>
              <w:widowControl w:val="0"/>
              <w:suppressAutoHyphens/>
              <w:autoSpaceDN w:val="0"/>
              <w:ind w:firstLine="0"/>
              <w:textAlignment w:val="baseline"/>
              <w:rPr>
                <w:rFonts w:eastAsia="Times New Roman" w:cs="Times New Roman"/>
                <w:kern w:val="3"/>
                <w:szCs w:val="24"/>
                <w:lang w:eastAsia="ru-RU" w:bidi="hi-IN"/>
              </w:rPr>
            </w:pPr>
            <w:hyperlink r:id="rId65" w:tooltip="Белая Гора (Якутия)" w:history="1">
              <w:r w:rsidR="0047261E" w:rsidRPr="0047261E">
                <w:rPr>
                  <w:rFonts w:eastAsia="Times New Roman" w:cs="Times New Roman"/>
                  <w:kern w:val="3"/>
                  <w:szCs w:val="24"/>
                  <w:lang w:eastAsia="ru-RU" w:bidi="hi-IN"/>
                </w:rPr>
                <w:t>Белая Гора</w:t>
              </w:r>
            </w:hyperlink>
          </w:p>
        </w:tc>
      </w:tr>
      <w:tr w:rsidR="0047261E" w:rsidRPr="0047261E" w14:paraId="15A774EF" w14:textId="77777777" w:rsidTr="0047261E">
        <w:trPr>
          <w:trHeight w:val="315"/>
        </w:trPr>
        <w:tc>
          <w:tcPr>
            <w:tcW w:w="274" w:type="pct"/>
            <w:tcBorders>
              <w:top w:val="nil"/>
              <w:left w:val="single" w:sz="4" w:space="0" w:color="auto"/>
              <w:bottom w:val="single" w:sz="4" w:space="0" w:color="auto"/>
              <w:right w:val="single" w:sz="4" w:space="0" w:color="auto"/>
            </w:tcBorders>
            <w:shd w:val="clear" w:color="auto" w:fill="auto"/>
            <w:vAlign w:val="center"/>
            <w:hideMark/>
          </w:tcPr>
          <w:p w14:paraId="696F3410" w14:textId="77777777" w:rsidR="0047261E" w:rsidRPr="0047261E" w:rsidRDefault="0047261E" w:rsidP="0047261E">
            <w:pPr>
              <w:ind w:firstLine="0"/>
              <w:rPr>
                <w:rFonts w:eastAsia="Times New Roman" w:cs="Times New Roman"/>
                <w:szCs w:val="24"/>
                <w:lang w:eastAsia="ru-RU"/>
              </w:rPr>
            </w:pPr>
            <w:r w:rsidRPr="0047261E">
              <w:rPr>
                <w:rFonts w:eastAsia="Times New Roman" w:cs="Times New Roman"/>
                <w:szCs w:val="24"/>
                <w:lang w:eastAsia="ru-RU"/>
              </w:rPr>
              <w:t>2</w:t>
            </w:r>
          </w:p>
        </w:tc>
        <w:tc>
          <w:tcPr>
            <w:tcW w:w="1728" w:type="pct"/>
            <w:tcBorders>
              <w:top w:val="nil"/>
              <w:left w:val="nil"/>
              <w:bottom w:val="single" w:sz="4" w:space="0" w:color="auto"/>
              <w:right w:val="single" w:sz="4" w:space="0" w:color="auto"/>
            </w:tcBorders>
            <w:shd w:val="clear" w:color="auto" w:fill="auto"/>
            <w:vAlign w:val="center"/>
            <w:hideMark/>
          </w:tcPr>
          <w:p w14:paraId="6A2D2DC1" w14:textId="77777777" w:rsidR="0047261E" w:rsidRPr="0047261E" w:rsidRDefault="0047261E" w:rsidP="0047261E">
            <w:pPr>
              <w:ind w:firstLine="0"/>
              <w:jc w:val="left"/>
              <w:rPr>
                <w:rFonts w:eastAsia="Times New Roman" w:cs="Times New Roman"/>
                <w:szCs w:val="24"/>
                <w:lang w:eastAsia="ru-RU"/>
              </w:rPr>
            </w:pPr>
            <w:r w:rsidRPr="0047261E">
              <w:rPr>
                <w:rFonts w:eastAsia="Times New Roman" w:cs="Times New Roman"/>
                <w:szCs w:val="24"/>
                <w:lang w:eastAsia="ru-RU"/>
              </w:rPr>
              <w:t>Алданский район</w:t>
            </w:r>
          </w:p>
        </w:tc>
        <w:tc>
          <w:tcPr>
            <w:tcW w:w="924" w:type="pct"/>
            <w:tcBorders>
              <w:top w:val="nil"/>
              <w:left w:val="nil"/>
              <w:bottom w:val="single" w:sz="4" w:space="0" w:color="auto"/>
              <w:right w:val="single" w:sz="4" w:space="0" w:color="auto"/>
            </w:tcBorders>
            <w:shd w:val="clear" w:color="auto" w:fill="auto"/>
            <w:vAlign w:val="center"/>
            <w:hideMark/>
          </w:tcPr>
          <w:p w14:paraId="624141DE" w14:textId="77777777" w:rsidR="0047261E" w:rsidRPr="0047261E" w:rsidRDefault="0047261E" w:rsidP="0047261E">
            <w:pPr>
              <w:ind w:firstLine="0"/>
              <w:jc w:val="left"/>
              <w:rPr>
                <w:rFonts w:eastAsia="Times New Roman" w:cs="Times New Roman"/>
                <w:szCs w:val="24"/>
                <w:lang w:eastAsia="ru-RU"/>
              </w:rPr>
            </w:pPr>
            <w:r w:rsidRPr="0047261E">
              <w:rPr>
                <w:rFonts w:eastAsia="Times New Roman" w:cs="Times New Roman"/>
                <w:szCs w:val="24"/>
                <w:lang w:eastAsia="ru-RU"/>
              </w:rPr>
              <w:t>Южная</w:t>
            </w:r>
          </w:p>
        </w:tc>
        <w:tc>
          <w:tcPr>
            <w:tcW w:w="713" w:type="pct"/>
            <w:tcBorders>
              <w:top w:val="nil"/>
              <w:left w:val="nil"/>
              <w:bottom w:val="single" w:sz="4" w:space="0" w:color="auto"/>
              <w:right w:val="single" w:sz="4" w:space="0" w:color="auto"/>
            </w:tcBorders>
            <w:shd w:val="clear" w:color="auto" w:fill="auto"/>
            <w:noWrap/>
            <w:vAlign w:val="center"/>
            <w:hideMark/>
          </w:tcPr>
          <w:p w14:paraId="7C88CC0B" w14:textId="77777777" w:rsidR="0047261E" w:rsidRPr="0047261E" w:rsidRDefault="0047261E" w:rsidP="0047261E">
            <w:pPr>
              <w:ind w:firstLine="0"/>
              <w:jc w:val="center"/>
              <w:rPr>
                <w:rFonts w:ascii="Times New Roman CYR" w:eastAsia="Times New Roman" w:hAnsi="Times New Roman CYR" w:cs="Times New Roman CYR"/>
                <w:szCs w:val="24"/>
                <w:lang w:eastAsia="ru-RU"/>
              </w:rPr>
            </w:pPr>
            <w:r w:rsidRPr="0047261E">
              <w:rPr>
                <w:rFonts w:ascii="Times New Roman CYR" w:eastAsia="Times New Roman" w:hAnsi="Times New Roman CYR" w:cs="Times New Roman CYR"/>
                <w:szCs w:val="24"/>
                <w:lang w:eastAsia="ru-RU"/>
              </w:rPr>
              <w:t>15681978</w:t>
            </w:r>
          </w:p>
        </w:tc>
        <w:tc>
          <w:tcPr>
            <w:tcW w:w="1361" w:type="pct"/>
            <w:tcBorders>
              <w:top w:val="nil"/>
              <w:left w:val="nil"/>
              <w:bottom w:val="single" w:sz="4" w:space="0" w:color="auto"/>
              <w:right w:val="single" w:sz="4" w:space="0" w:color="auto"/>
            </w:tcBorders>
            <w:shd w:val="clear" w:color="auto" w:fill="auto"/>
            <w:vAlign w:val="center"/>
            <w:hideMark/>
          </w:tcPr>
          <w:p w14:paraId="2708BF81" w14:textId="0D6ABF5F" w:rsidR="0047261E" w:rsidRPr="0047261E" w:rsidRDefault="00A90944" w:rsidP="003E7869">
            <w:pPr>
              <w:widowControl w:val="0"/>
              <w:suppressAutoHyphens/>
              <w:autoSpaceDN w:val="0"/>
              <w:ind w:firstLine="0"/>
              <w:textAlignment w:val="baseline"/>
              <w:rPr>
                <w:rFonts w:eastAsia="Times New Roman" w:cs="Times New Roman"/>
                <w:kern w:val="3"/>
                <w:szCs w:val="24"/>
                <w:lang w:eastAsia="ru-RU" w:bidi="hi-IN"/>
              </w:rPr>
            </w:pPr>
            <w:hyperlink r:id="rId66" w:tooltip="Алдан (город)" w:history="1">
              <w:r w:rsidR="0047261E" w:rsidRPr="0047261E">
                <w:rPr>
                  <w:rFonts w:eastAsia="Times New Roman" w:cs="Times New Roman"/>
                  <w:kern w:val="3"/>
                  <w:szCs w:val="24"/>
                  <w:lang w:eastAsia="ru-RU" w:bidi="hi-IN"/>
                </w:rPr>
                <w:t>Алдан</w:t>
              </w:r>
            </w:hyperlink>
          </w:p>
        </w:tc>
      </w:tr>
      <w:tr w:rsidR="0047261E" w:rsidRPr="0047261E" w14:paraId="72F64782" w14:textId="77777777" w:rsidTr="0047261E">
        <w:trPr>
          <w:trHeight w:val="315"/>
        </w:trPr>
        <w:tc>
          <w:tcPr>
            <w:tcW w:w="274" w:type="pct"/>
            <w:tcBorders>
              <w:top w:val="nil"/>
              <w:left w:val="single" w:sz="4" w:space="0" w:color="auto"/>
              <w:bottom w:val="single" w:sz="4" w:space="0" w:color="auto"/>
              <w:right w:val="single" w:sz="4" w:space="0" w:color="auto"/>
            </w:tcBorders>
            <w:shd w:val="clear" w:color="auto" w:fill="auto"/>
            <w:vAlign w:val="center"/>
            <w:hideMark/>
          </w:tcPr>
          <w:p w14:paraId="543DA9B9" w14:textId="77777777" w:rsidR="0047261E" w:rsidRPr="0047261E" w:rsidRDefault="0047261E" w:rsidP="0047261E">
            <w:pPr>
              <w:ind w:firstLine="0"/>
              <w:rPr>
                <w:rFonts w:eastAsia="Times New Roman" w:cs="Times New Roman"/>
                <w:szCs w:val="24"/>
                <w:lang w:eastAsia="ru-RU"/>
              </w:rPr>
            </w:pPr>
            <w:r w:rsidRPr="0047261E">
              <w:rPr>
                <w:rFonts w:eastAsia="Times New Roman" w:cs="Times New Roman"/>
                <w:szCs w:val="24"/>
                <w:lang w:eastAsia="ru-RU"/>
              </w:rPr>
              <w:t>3</w:t>
            </w:r>
          </w:p>
        </w:tc>
        <w:tc>
          <w:tcPr>
            <w:tcW w:w="1728" w:type="pct"/>
            <w:tcBorders>
              <w:top w:val="nil"/>
              <w:left w:val="nil"/>
              <w:bottom w:val="single" w:sz="4" w:space="0" w:color="auto"/>
              <w:right w:val="single" w:sz="4" w:space="0" w:color="auto"/>
            </w:tcBorders>
            <w:shd w:val="clear" w:color="auto" w:fill="auto"/>
            <w:vAlign w:val="center"/>
            <w:hideMark/>
          </w:tcPr>
          <w:p w14:paraId="5CA50130" w14:textId="77777777" w:rsidR="0047261E" w:rsidRPr="0047261E" w:rsidRDefault="0047261E" w:rsidP="0047261E">
            <w:pPr>
              <w:ind w:firstLine="0"/>
              <w:jc w:val="left"/>
              <w:rPr>
                <w:rFonts w:eastAsia="Times New Roman" w:cs="Times New Roman"/>
                <w:szCs w:val="24"/>
                <w:lang w:eastAsia="ru-RU"/>
              </w:rPr>
            </w:pPr>
            <w:r w:rsidRPr="0047261E">
              <w:rPr>
                <w:rFonts w:eastAsia="Times New Roman" w:cs="Times New Roman"/>
                <w:szCs w:val="24"/>
                <w:lang w:eastAsia="ru-RU"/>
              </w:rPr>
              <w:t>Аллаиховский улус (район)</w:t>
            </w:r>
          </w:p>
        </w:tc>
        <w:tc>
          <w:tcPr>
            <w:tcW w:w="924" w:type="pct"/>
            <w:tcBorders>
              <w:top w:val="nil"/>
              <w:left w:val="nil"/>
              <w:bottom w:val="single" w:sz="4" w:space="0" w:color="auto"/>
              <w:right w:val="single" w:sz="4" w:space="0" w:color="auto"/>
            </w:tcBorders>
            <w:shd w:val="clear" w:color="auto" w:fill="auto"/>
            <w:vAlign w:val="center"/>
            <w:hideMark/>
          </w:tcPr>
          <w:p w14:paraId="412B6641" w14:textId="77777777" w:rsidR="0047261E" w:rsidRPr="0047261E" w:rsidRDefault="0047261E" w:rsidP="0047261E">
            <w:pPr>
              <w:ind w:firstLine="0"/>
              <w:jc w:val="left"/>
              <w:rPr>
                <w:rFonts w:eastAsia="Times New Roman" w:cs="Times New Roman"/>
                <w:szCs w:val="24"/>
                <w:lang w:eastAsia="ru-RU"/>
              </w:rPr>
            </w:pPr>
            <w:r w:rsidRPr="0047261E">
              <w:rPr>
                <w:rFonts w:eastAsia="Times New Roman" w:cs="Times New Roman"/>
                <w:szCs w:val="24"/>
                <w:lang w:eastAsia="ru-RU"/>
              </w:rPr>
              <w:t>Арктическая</w:t>
            </w:r>
          </w:p>
        </w:tc>
        <w:tc>
          <w:tcPr>
            <w:tcW w:w="713" w:type="pct"/>
            <w:tcBorders>
              <w:top w:val="nil"/>
              <w:left w:val="nil"/>
              <w:bottom w:val="single" w:sz="4" w:space="0" w:color="auto"/>
              <w:right w:val="single" w:sz="4" w:space="0" w:color="auto"/>
            </w:tcBorders>
            <w:shd w:val="clear" w:color="auto" w:fill="auto"/>
            <w:noWrap/>
            <w:vAlign w:val="center"/>
            <w:hideMark/>
          </w:tcPr>
          <w:p w14:paraId="38FEA0F5" w14:textId="77777777" w:rsidR="0047261E" w:rsidRPr="0047261E" w:rsidRDefault="0047261E" w:rsidP="0047261E">
            <w:pPr>
              <w:ind w:firstLine="0"/>
              <w:jc w:val="center"/>
              <w:rPr>
                <w:rFonts w:ascii="Times New Roman CYR" w:eastAsia="Times New Roman" w:hAnsi="Times New Roman CYR" w:cs="Times New Roman CYR"/>
                <w:szCs w:val="24"/>
                <w:lang w:eastAsia="ru-RU"/>
              </w:rPr>
            </w:pPr>
            <w:r w:rsidRPr="0047261E">
              <w:rPr>
                <w:rFonts w:ascii="Times New Roman CYR" w:eastAsia="Times New Roman" w:hAnsi="Times New Roman CYR" w:cs="Times New Roman CYR"/>
                <w:szCs w:val="24"/>
                <w:lang w:eastAsia="ru-RU"/>
              </w:rPr>
              <w:t>10733819</w:t>
            </w:r>
          </w:p>
        </w:tc>
        <w:tc>
          <w:tcPr>
            <w:tcW w:w="1361" w:type="pct"/>
            <w:tcBorders>
              <w:top w:val="nil"/>
              <w:left w:val="nil"/>
              <w:bottom w:val="single" w:sz="4" w:space="0" w:color="auto"/>
              <w:right w:val="single" w:sz="4" w:space="0" w:color="auto"/>
            </w:tcBorders>
            <w:shd w:val="clear" w:color="auto" w:fill="auto"/>
            <w:vAlign w:val="center"/>
            <w:hideMark/>
          </w:tcPr>
          <w:p w14:paraId="1B71AC93" w14:textId="533C5276" w:rsidR="0047261E" w:rsidRPr="0047261E" w:rsidRDefault="00A90944" w:rsidP="003E7869">
            <w:pPr>
              <w:widowControl w:val="0"/>
              <w:suppressAutoHyphens/>
              <w:autoSpaceDN w:val="0"/>
              <w:ind w:firstLine="0"/>
              <w:textAlignment w:val="baseline"/>
              <w:rPr>
                <w:rFonts w:eastAsia="Times New Roman" w:cs="Times New Roman"/>
                <w:kern w:val="3"/>
                <w:szCs w:val="24"/>
                <w:lang w:eastAsia="ru-RU" w:bidi="hi-IN"/>
              </w:rPr>
            </w:pPr>
            <w:hyperlink r:id="rId67" w:tooltip="Чокурдах" w:history="1">
              <w:r w:rsidR="0047261E" w:rsidRPr="0047261E">
                <w:rPr>
                  <w:rFonts w:eastAsia="Times New Roman" w:cs="Times New Roman"/>
                  <w:kern w:val="3"/>
                  <w:szCs w:val="24"/>
                  <w:lang w:eastAsia="ru-RU" w:bidi="hi-IN"/>
                </w:rPr>
                <w:t>Чокурдах</w:t>
              </w:r>
            </w:hyperlink>
          </w:p>
        </w:tc>
      </w:tr>
      <w:tr w:rsidR="0047261E" w:rsidRPr="0047261E" w14:paraId="00A526B7" w14:textId="77777777" w:rsidTr="0047261E">
        <w:trPr>
          <w:trHeight w:val="315"/>
        </w:trPr>
        <w:tc>
          <w:tcPr>
            <w:tcW w:w="274" w:type="pct"/>
            <w:tcBorders>
              <w:top w:val="nil"/>
              <w:left w:val="single" w:sz="4" w:space="0" w:color="auto"/>
              <w:bottom w:val="single" w:sz="4" w:space="0" w:color="auto"/>
              <w:right w:val="single" w:sz="4" w:space="0" w:color="auto"/>
            </w:tcBorders>
            <w:shd w:val="clear" w:color="auto" w:fill="auto"/>
            <w:vAlign w:val="center"/>
            <w:hideMark/>
          </w:tcPr>
          <w:p w14:paraId="6D224AB3" w14:textId="77777777" w:rsidR="0047261E" w:rsidRPr="0047261E" w:rsidRDefault="0047261E" w:rsidP="0047261E">
            <w:pPr>
              <w:ind w:firstLine="0"/>
              <w:rPr>
                <w:rFonts w:eastAsia="Times New Roman" w:cs="Times New Roman"/>
                <w:szCs w:val="24"/>
                <w:lang w:eastAsia="ru-RU"/>
              </w:rPr>
            </w:pPr>
            <w:r w:rsidRPr="0047261E">
              <w:rPr>
                <w:rFonts w:eastAsia="Times New Roman" w:cs="Times New Roman"/>
                <w:szCs w:val="24"/>
                <w:lang w:eastAsia="ru-RU"/>
              </w:rPr>
              <w:t>4</w:t>
            </w:r>
          </w:p>
        </w:tc>
        <w:tc>
          <w:tcPr>
            <w:tcW w:w="1728" w:type="pct"/>
            <w:tcBorders>
              <w:top w:val="nil"/>
              <w:left w:val="nil"/>
              <w:bottom w:val="single" w:sz="4" w:space="0" w:color="auto"/>
              <w:right w:val="single" w:sz="4" w:space="0" w:color="auto"/>
            </w:tcBorders>
            <w:shd w:val="clear" w:color="auto" w:fill="auto"/>
            <w:vAlign w:val="center"/>
            <w:hideMark/>
          </w:tcPr>
          <w:p w14:paraId="57989443" w14:textId="77777777" w:rsidR="0047261E" w:rsidRPr="0047261E" w:rsidRDefault="0047261E" w:rsidP="0047261E">
            <w:pPr>
              <w:ind w:firstLine="0"/>
              <w:jc w:val="left"/>
              <w:rPr>
                <w:rFonts w:eastAsia="Times New Roman" w:cs="Times New Roman"/>
                <w:szCs w:val="24"/>
                <w:lang w:eastAsia="ru-RU"/>
              </w:rPr>
            </w:pPr>
            <w:r w:rsidRPr="0047261E">
              <w:rPr>
                <w:rFonts w:eastAsia="Times New Roman" w:cs="Times New Roman"/>
                <w:szCs w:val="24"/>
                <w:lang w:eastAsia="ru-RU"/>
              </w:rPr>
              <w:t>Амгинский улус (район)</w:t>
            </w:r>
          </w:p>
        </w:tc>
        <w:tc>
          <w:tcPr>
            <w:tcW w:w="924" w:type="pct"/>
            <w:tcBorders>
              <w:top w:val="nil"/>
              <w:left w:val="nil"/>
              <w:bottom w:val="single" w:sz="4" w:space="0" w:color="auto"/>
              <w:right w:val="single" w:sz="4" w:space="0" w:color="auto"/>
            </w:tcBorders>
            <w:shd w:val="clear" w:color="auto" w:fill="auto"/>
            <w:vAlign w:val="center"/>
            <w:hideMark/>
          </w:tcPr>
          <w:p w14:paraId="137CA316" w14:textId="77777777" w:rsidR="0047261E" w:rsidRPr="0047261E" w:rsidRDefault="0047261E" w:rsidP="0047261E">
            <w:pPr>
              <w:ind w:firstLine="0"/>
              <w:jc w:val="left"/>
              <w:rPr>
                <w:rFonts w:eastAsia="Times New Roman" w:cs="Times New Roman"/>
                <w:szCs w:val="24"/>
                <w:lang w:eastAsia="ru-RU"/>
              </w:rPr>
            </w:pPr>
            <w:r w:rsidRPr="0047261E">
              <w:rPr>
                <w:rFonts w:eastAsia="Times New Roman" w:cs="Times New Roman"/>
                <w:szCs w:val="24"/>
                <w:lang w:eastAsia="ru-RU"/>
              </w:rPr>
              <w:t>Центральная</w:t>
            </w:r>
          </w:p>
        </w:tc>
        <w:tc>
          <w:tcPr>
            <w:tcW w:w="713" w:type="pct"/>
            <w:tcBorders>
              <w:top w:val="nil"/>
              <w:left w:val="nil"/>
              <w:bottom w:val="single" w:sz="4" w:space="0" w:color="auto"/>
              <w:right w:val="single" w:sz="4" w:space="0" w:color="auto"/>
            </w:tcBorders>
            <w:shd w:val="clear" w:color="auto" w:fill="auto"/>
            <w:noWrap/>
            <w:vAlign w:val="center"/>
            <w:hideMark/>
          </w:tcPr>
          <w:p w14:paraId="2F89472E" w14:textId="77777777" w:rsidR="0047261E" w:rsidRPr="0047261E" w:rsidRDefault="0047261E" w:rsidP="0047261E">
            <w:pPr>
              <w:ind w:firstLine="0"/>
              <w:jc w:val="center"/>
              <w:rPr>
                <w:rFonts w:ascii="Times New Roman CYR" w:eastAsia="Times New Roman" w:hAnsi="Times New Roman CYR" w:cs="Times New Roman CYR"/>
                <w:szCs w:val="24"/>
                <w:lang w:eastAsia="ru-RU"/>
              </w:rPr>
            </w:pPr>
            <w:r w:rsidRPr="0047261E">
              <w:rPr>
                <w:rFonts w:ascii="Times New Roman CYR" w:eastAsia="Times New Roman" w:hAnsi="Times New Roman CYR" w:cs="Times New Roman CYR"/>
                <w:szCs w:val="24"/>
                <w:lang w:eastAsia="ru-RU"/>
              </w:rPr>
              <w:t>2942133</w:t>
            </w:r>
          </w:p>
        </w:tc>
        <w:tc>
          <w:tcPr>
            <w:tcW w:w="1361" w:type="pct"/>
            <w:tcBorders>
              <w:top w:val="nil"/>
              <w:left w:val="nil"/>
              <w:bottom w:val="single" w:sz="4" w:space="0" w:color="auto"/>
              <w:right w:val="single" w:sz="4" w:space="0" w:color="auto"/>
            </w:tcBorders>
            <w:shd w:val="clear" w:color="auto" w:fill="auto"/>
            <w:vAlign w:val="center"/>
            <w:hideMark/>
          </w:tcPr>
          <w:p w14:paraId="407C6E6D" w14:textId="4C34667D" w:rsidR="0047261E" w:rsidRPr="0047261E" w:rsidRDefault="00A90944" w:rsidP="003E7869">
            <w:pPr>
              <w:widowControl w:val="0"/>
              <w:suppressAutoHyphens/>
              <w:autoSpaceDN w:val="0"/>
              <w:ind w:firstLine="0"/>
              <w:textAlignment w:val="baseline"/>
              <w:rPr>
                <w:rFonts w:eastAsia="Times New Roman" w:cs="Times New Roman"/>
                <w:kern w:val="3"/>
                <w:szCs w:val="24"/>
                <w:lang w:eastAsia="ru-RU" w:bidi="hi-IN"/>
              </w:rPr>
            </w:pPr>
            <w:hyperlink r:id="rId68" w:tooltip="Амга (село)" w:history="1">
              <w:r w:rsidR="0047261E" w:rsidRPr="0047261E">
                <w:rPr>
                  <w:rFonts w:eastAsia="Times New Roman" w:cs="Times New Roman"/>
                  <w:kern w:val="3"/>
                  <w:szCs w:val="24"/>
                  <w:lang w:eastAsia="ru-RU" w:bidi="hi-IN"/>
                </w:rPr>
                <w:t>Амга</w:t>
              </w:r>
            </w:hyperlink>
          </w:p>
        </w:tc>
      </w:tr>
      <w:tr w:rsidR="0047261E" w:rsidRPr="0047261E" w14:paraId="428B61D5" w14:textId="77777777" w:rsidTr="0047261E">
        <w:trPr>
          <w:trHeight w:val="630"/>
        </w:trPr>
        <w:tc>
          <w:tcPr>
            <w:tcW w:w="274" w:type="pct"/>
            <w:tcBorders>
              <w:top w:val="nil"/>
              <w:left w:val="single" w:sz="4" w:space="0" w:color="auto"/>
              <w:bottom w:val="single" w:sz="4" w:space="0" w:color="auto"/>
              <w:right w:val="single" w:sz="4" w:space="0" w:color="auto"/>
            </w:tcBorders>
            <w:shd w:val="clear" w:color="auto" w:fill="auto"/>
            <w:vAlign w:val="center"/>
            <w:hideMark/>
          </w:tcPr>
          <w:p w14:paraId="5ACAE929" w14:textId="77777777" w:rsidR="0047261E" w:rsidRPr="0047261E" w:rsidRDefault="0047261E" w:rsidP="0047261E">
            <w:pPr>
              <w:ind w:firstLine="0"/>
              <w:rPr>
                <w:rFonts w:eastAsia="Times New Roman" w:cs="Times New Roman"/>
                <w:szCs w:val="24"/>
                <w:lang w:eastAsia="ru-RU"/>
              </w:rPr>
            </w:pPr>
            <w:r w:rsidRPr="0047261E">
              <w:rPr>
                <w:rFonts w:eastAsia="Times New Roman" w:cs="Times New Roman"/>
                <w:szCs w:val="24"/>
                <w:lang w:eastAsia="ru-RU"/>
              </w:rPr>
              <w:t>5</w:t>
            </w:r>
          </w:p>
        </w:tc>
        <w:tc>
          <w:tcPr>
            <w:tcW w:w="1728" w:type="pct"/>
            <w:tcBorders>
              <w:top w:val="nil"/>
              <w:left w:val="nil"/>
              <w:bottom w:val="single" w:sz="4" w:space="0" w:color="auto"/>
              <w:right w:val="single" w:sz="4" w:space="0" w:color="auto"/>
            </w:tcBorders>
            <w:shd w:val="clear" w:color="auto" w:fill="auto"/>
            <w:vAlign w:val="center"/>
            <w:hideMark/>
          </w:tcPr>
          <w:p w14:paraId="355FA9F4" w14:textId="77777777" w:rsidR="0047261E" w:rsidRPr="0047261E" w:rsidRDefault="0047261E" w:rsidP="0047261E">
            <w:pPr>
              <w:ind w:firstLine="0"/>
              <w:jc w:val="left"/>
              <w:rPr>
                <w:rFonts w:eastAsia="Times New Roman" w:cs="Times New Roman"/>
                <w:szCs w:val="24"/>
                <w:lang w:eastAsia="ru-RU"/>
              </w:rPr>
            </w:pPr>
            <w:r w:rsidRPr="0047261E">
              <w:rPr>
                <w:rFonts w:eastAsia="Times New Roman" w:cs="Times New Roman"/>
                <w:szCs w:val="24"/>
                <w:lang w:eastAsia="ru-RU"/>
              </w:rPr>
              <w:t>Анабарский национальный (долгано-эвенкийский) улус(район)</w:t>
            </w:r>
          </w:p>
        </w:tc>
        <w:tc>
          <w:tcPr>
            <w:tcW w:w="924" w:type="pct"/>
            <w:tcBorders>
              <w:top w:val="nil"/>
              <w:left w:val="nil"/>
              <w:bottom w:val="single" w:sz="4" w:space="0" w:color="auto"/>
              <w:right w:val="single" w:sz="4" w:space="0" w:color="auto"/>
            </w:tcBorders>
            <w:shd w:val="clear" w:color="auto" w:fill="auto"/>
            <w:vAlign w:val="center"/>
            <w:hideMark/>
          </w:tcPr>
          <w:p w14:paraId="3207D5B3" w14:textId="77777777" w:rsidR="0047261E" w:rsidRPr="0047261E" w:rsidRDefault="0047261E" w:rsidP="0047261E">
            <w:pPr>
              <w:ind w:firstLine="0"/>
              <w:jc w:val="left"/>
              <w:rPr>
                <w:rFonts w:eastAsia="Times New Roman" w:cs="Times New Roman"/>
                <w:szCs w:val="24"/>
                <w:lang w:eastAsia="ru-RU"/>
              </w:rPr>
            </w:pPr>
            <w:r w:rsidRPr="0047261E">
              <w:rPr>
                <w:rFonts w:eastAsia="Times New Roman" w:cs="Times New Roman"/>
                <w:szCs w:val="24"/>
                <w:lang w:eastAsia="ru-RU"/>
              </w:rPr>
              <w:t>Арктическая</w:t>
            </w:r>
          </w:p>
        </w:tc>
        <w:tc>
          <w:tcPr>
            <w:tcW w:w="713" w:type="pct"/>
            <w:tcBorders>
              <w:top w:val="nil"/>
              <w:left w:val="nil"/>
              <w:bottom w:val="single" w:sz="4" w:space="0" w:color="auto"/>
              <w:right w:val="single" w:sz="4" w:space="0" w:color="auto"/>
            </w:tcBorders>
            <w:shd w:val="clear" w:color="auto" w:fill="auto"/>
            <w:noWrap/>
            <w:vAlign w:val="center"/>
            <w:hideMark/>
          </w:tcPr>
          <w:p w14:paraId="719E089E" w14:textId="77777777" w:rsidR="0047261E" w:rsidRPr="0047261E" w:rsidRDefault="0047261E" w:rsidP="0047261E">
            <w:pPr>
              <w:ind w:firstLine="0"/>
              <w:jc w:val="center"/>
              <w:rPr>
                <w:rFonts w:ascii="Times New Roman CYR" w:eastAsia="Times New Roman" w:hAnsi="Times New Roman CYR" w:cs="Times New Roman CYR"/>
                <w:szCs w:val="24"/>
                <w:lang w:eastAsia="ru-RU"/>
              </w:rPr>
            </w:pPr>
            <w:r w:rsidRPr="0047261E">
              <w:rPr>
                <w:rFonts w:ascii="Times New Roman CYR" w:eastAsia="Times New Roman" w:hAnsi="Times New Roman CYR" w:cs="Times New Roman CYR"/>
                <w:szCs w:val="24"/>
                <w:lang w:eastAsia="ru-RU"/>
              </w:rPr>
              <w:t>5555828</w:t>
            </w:r>
          </w:p>
        </w:tc>
        <w:tc>
          <w:tcPr>
            <w:tcW w:w="1361" w:type="pct"/>
            <w:tcBorders>
              <w:top w:val="nil"/>
              <w:left w:val="nil"/>
              <w:bottom w:val="single" w:sz="4" w:space="0" w:color="auto"/>
              <w:right w:val="single" w:sz="4" w:space="0" w:color="auto"/>
            </w:tcBorders>
            <w:shd w:val="clear" w:color="auto" w:fill="auto"/>
            <w:vAlign w:val="center"/>
            <w:hideMark/>
          </w:tcPr>
          <w:p w14:paraId="56BD985F" w14:textId="114C9949" w:rsidR="0047261E" w:rsidRPr="0047261E" w:rsidRDefault="00A90944" w:rsidP="003E7869">
            <w:pPr>
              <w:widowControl w:val="0"/>
              <w:suppressAutoHyphens/>
              <w:autoSpaceDN w:val="0"/>
              <w:ind w:firstLine="0"/>
              <w:textAlignment w:val="baseline"/>
              <w:rPr>
                <w:rFonts w:eastAsia="Times New Roman" w:cs="Times New Roman"/>
                <w:kern w:val="3"/>
                <w:szCs w:val="24"/>
                <w:lang w:eastAsia="ru-RU" w:bidi="hi-IN"/>
              </w:rPr>
            </w:pPr>
            <w:hyperlink r:id="rId69" w:tooltip="Саскылах" w:history="1">
              <w:r w:rsidR="0047261E" w:rsidRPr="0047261E">
                <w:rPr>
                  <w:rFonts w:eastAsia="Times New Roman" w:cs="Times New Roman"/>
                  <w:kern w:val="3"/>
                  <w:szCs w:val="24"/>
                  <w:lang w:eastAsia="ru-RU" w:bidi="hi-IN"/>
                </w:rPr>
                <w:t>Саскылах</w:t>
              </w:r>
            </w:hyperlink>
          </w:p>
        </w:tc>
      </w:tr>
      <w:tr w:rsidR="0047261E" w:rsidRPr="0047261E" w14:paraId="4C384765" w14:textId="77777777" w:rsidTr="0047261E">
        <w:trPr>
          <w:trHeight w:val="315"/>
        </w:trPr>
        <w:tc>
          <w:tcPr>
            <w:tcW w:w="274" w:type="pct"/>
            <w:tcBorders>
              <w:top w:val="nil"/>
              <w:left w:val="single" w:sz="4" w:space="0" w:color="auto"/>
              <w:bottom w:val="single" w:sz="4" w:space="0" w:color="auto"/>
              <w:right w:val="single" w:sz="4" w:space="0" w:color="auto"/>
            </w:tcBorders>
            <w:shd w:val="clear" w:color="auto" w:fill="auto"/>
            <w:vAlign w:val="center"/>
            <w:hideMark/>
          </w:tcPr>
          <w:p w14:paraId="783502BD" w14:textId="77777777" w:rsidR="0047261E" w:rsidRPr="0047261E" w:rsidRDefault="0047261E" w:rsidP="0047261E">
            <w:pPr>
              <w:ind w:firstLine="0"/>
              <w:rPr>
                <w:rFonts w:eastAsia="Times New Roman" w:cs="Times New Roman"/>
                <w:szCs w:val="24"/>
                <w:lang w:eastAsia="ru-RU"/>
              </w:rPr>
            </w:pPr>
            <w:r w:rsidRPr="0047261E">
              <w:rPr>
                <w:rFonts w:eastAsia="Times New Roman" w:cs="Times New Roman"/>
                <w:szCs w:val="24"/>
                <w:lang w:eastAsia="ru-RU"/>
              </w:rPr>
              <w:t>6</w:t>
            </w:r>
          </w:p>
        </w:tc>
        <w:tc>
          <w:tcPr>
            <w:tcW w:w="1728" w:type="pct"/>
            <w:tcBorders>
              <w:top w:val="nil"/>
              <w:left w:val="nil"/>
              <w:bottom w:val="single" w:sz="4" w:space="0" w:color="auto"/>
              <w:right w:val="single" w:sz="4" w:space="0" w:color="auto"/>
            </w:tcBorders>
            <w:shd w:val="clear" w:color="auto" w:fill="auto"/>
            <w:vAlign w:val="center"/>
            <w:hideMark/>
          </w:tcPr>
          <w:p w14:paraId="24B70F1D" w14:textId="77777777" w:rsidR="0047261E" w:rsidRPr="0047261E" w:rsidRDefault="0047261E" w:rsidP="0047261E">
            <w:pPr>
              <w:ind w:firstLine="0"/>
              <w:jc w:val="left"/>
              <w:rPr>
                <w:rFonts w:eastAsia="Times New Roman" w:cs="Times New Roman"/>
                <w:szCs w:val="24"/>
                <w:lang w:eastAsia="ru-RU"/>
              </w:rPr>
            </w:pPr>
            <w:r w:rsidRPr="0047261E">
              <w:rPr>
                <w:rFonts w:eastAsia="Times New Roman" w:cs="Times New Roman"/>
                <w:szCs w:val="24"/>
                <w:lang w:eastAsia="ru-RU"/>
              </w:rPr>
              <w:t>Булунский улус (район)</w:t>
            </w:r>
          </w:p>
        </w:tc>
        <w:tc>
          <w:tcPr>
            <w:tcW w:w="924" w:type="pct"/>
            <w:tcBorders>
              <w:top w:val="nil"/>
              <w:left w:val="nil"/>
              <w:bottom w:val="single" w:sz="4" w:space="0" w:color="auto"/>
              <w:right w:val="single" w:sz="4" w:space="0" w:color="auto"/>
            </w:tcBorders>
            <w:shd w:val="clear" w:color="auto" w:fill="auto"/>
            <w:vAlign w:val="center"/>
            <w:hideMark/>
          </w:tcPr>
          <w:p w14:paraId="1DCB8828" w14:textId="77777777" w:rsidR="0047261E" w:rsidRPr="0047261E" w:rsidRDefault="0047261E" w:rsidP="0047261E">
            <w:pPr>
              <w:ind w:firstLine="0"/>
              <w:jc w:val="left"/>
              <w:rPr>
                <w:rFonts w:eastAsia="Times New Roman" w:cs="Times New Roman"/>
                <w:szCs w:val="24"/>
                <w:lang w:eastAsia="ru-RU"/>
              </w:rPr>
            </w:pPr>
            <w:r w:rsidRPr="0047261E">
              <w:rPr>
                <w:rFonts w:eastAsia="Times New Roman" w:cs="Times New Roman"/>
                <w:szCs w:val="24"/>
                <w:lang w:eastAsia="ru-RU"/>
              </w:rPr>
              <w:t>Арктическая</w:t>
            </w:r>
          </w:p>
        </w:tc>
        <w:tc>
          <w:tcPr>
            <w:tcW w:w="713" w:type="pct"/>
            <w:tcBorders>
              <w:top w:val="nil"/>
              <w:left w:val="nil"/>
              <w:bottom w:val="single" w:sz="4" w:space="0" w:color="auto"/>
              <w:right w:val="single" w:sz="4" w:space="0" w:color="auto"/>
            </w:tcBorders>
            <w:shd w:val="clear" w:color="auto" w:fill="auto"/>
            <w:noWrap/>
            <w:vAlign w:val="center"/>
            <w:hideMark/>
          </w:tcPr>
          <w:p w14:paraId="243317FC" w14:textId="77777777" w:rsidR="0047261E" w:rsidRPr="0047261E" w:rsidRDefault="0047261E" w:rsidP="0047261E">
            <w:pPr>
              <w:ind w:firstLine="0"/>
              <w:jc w:val="center"/>
              <w:rPr>
                <w:rFonts w:ascii="Times New Roman CYR" w:eastAsia="Times New Roman" w:hAnsi="Times New Roman CYR" w:cs="Times New Roman CYR"/>
                <w:szCs w:val="24"/>
                <w:lang w:eastAsia="ru-RU"/>
              </w:rPr>
            </w:pPr>
            <w:r w:rsidRPr="0047261E">
              <w:rPr>
                <w:rFonts w:ascii="Times New Roman CYR" w:eastAsia="Times New Roman" w:hAnsi="Times New Roman CYR" w:cs="Times New Roman CYR"/>
                <w:szCs w:val="24"/>
                <w:lang w:eastAsia="ru-RU"/>
              </w:rPr>
              <w:t>22358255</w:t>
            </w:r>
          </w:p>
        </w:tc>
        <w:tc>
          <w:tcPr>
            <w:tcW w:w="1361" w:type="pct"/>
            <w:tcBorders>
              <w:top w:val="nil"/>
              <w:left w:val="nil"/>
              <w:bottom w:val="single" w:sz="4" w:space="0" w:color="auto"/>
              <w:right w:val="single" w:sz="4" w:space="0" w:color="auto"/>
            </w:tcBorders>
            <w:shd w:val="clear" w:color="auto" w:fill="auto"/>
            <w:vAlign w:val="center"/>
            <w:hideMark/>
          </w:tcPr>
          <w:p w14:paraId="572BF3E4" w14:textId="42A1511F" w:rsidR="0047261E" w:rsidRPr="0047261E" w:rsidRDefault="00A90944" w:rsidP="003E7869">
            <w:pPr>
              <w:widowControl w:val="0"/>
              <w:suppressAutoHyphens/>
              <w:autoSpaceDN w:val="0"/>
              <w:ind w:firstLine="0"/>
              <w:textAlignment w:val="baseline"/>
              <w:rPr>
                <w:rFonts w:eastAsia="Times New Roman" w:cs="Times New Roman"/>
                <w:kern w:val="3"/>
                <w:szCs w:val="24"/>
                <w:lang w:eastAsia="ru-RU" w:bidi="hi-IN"/>
              </w:rPr>
            </w:pPr>
            <w:hyperlink r:id="rId70" w:tooltip="Тикси" w:history="1">
              <w:r w:rsidR="0047261E" w:rsidRPr="0047261E">
                <w:rPr>
                  <w:rFonts w:eastAsia="Times New Roman" w:cs="Times New Roman"/>
                  <w:kern w:val="3"/>
                  <w:szCs w:val="24"/>
                  <w:lang w:eastAsia="ru-RU" w:bidi="hi-IN"/>
                </w:rPr>
                <w:t>Тикси</w:t>
              </w:r>
            </w:hyperlink>
          </w:p>
        </w:tc>
      </w:tr>
      <w:tr w:rsidR="0047261E" w:rsidRPr="0047261E" w14:paraId="754EDCE6" w14:textId="77777777" w:rsidTr="0047261E">
        <w:trPr>
          <w:trHeight w:val="315"/>
        </w:trPr>
        <w:tc>
          <w:tcPr>
            <w:tcW w:w="274" w:type="pct"/>
            <w:tcBorders>
              <w:top w:val="nil"/>
              <w:left w:val="single" w:sz="4" w:space="0" w:color="auto"/>
              <w:bottom w:val="single" w:sz="4" w:space="0" w:color="auto"/>
              <w:right w:val="single" w:sz="4" w:space="0" w:color="auto"/>
            </w:tcBorders>
            <w:shd w:val="clear" w:color="auto" w:fill="auto"/>
            <w:vAlign w:val="center"/>
            <w:hideMark/>
          </w:tcPr>
          <w:p w14:paraId="2617D82B" w14:textId="77777777" w:rsidR="0047261E" w:rsidRPr="0047261E" w:rsidRDefault="0047261E" w:rsidP="0047261E">
            <w:pPr>
              <w:ind w:firstLine="0"/>
              <w:rPr>
                <w:rFonts w:eastAsia="Times New Roman" w:cs="Times New Roman"/>
                <w:szCs w:val="24"/>
                <w:lang w:eastAsia="ru-RU"/>
              </w:rPr>
            </w:pPr>
            <w:r w:rsidRPr="0047261E">
              <w:rPr>
                <w:rFonts w:eastAsia="Times New Roman" w:cs="Times New Roman"/>
                <w:szCs w:val="24"/>
                <w:lang w:eastAsia="ru-RU"/>
              </w:rPr>
              <w:t>7</w:t>
            </w:r>
          </w:p>
        </w:tc>
        <w:tc>
          <w:tcPr>
            <w:tcW w:w="1728" w:type="pct"/>
            <w:tcBorders>
              <w:top w:val="nil"/>
              <w:left w:val="nil"/>
              <w:bottom w:val="single" w:sz="4" w:space="0" w:color="auto"/>
              <w:right w:val="single" w:sz="4" w:space="0" w:color="auto"/>
            </w:tcBorders>
            <w:shd w:val="clear" w:color="auto" w:fill="auto"/>
            <w:vAlign w:val="center"/>
            <w:hideMark/>
          </w:tcPr>
          <w:p w14:paraId="7BCCA15D" w14:textId="77777777" w:rsidR="0047261E" w:rsidRPr="0047261E" w:rsidRDefault="0047261E" w:rsidP="0047261E">
            <w:pPr>
              <w:ind w:firstLine="0"/>
              <w:jc w:val="left"/>
              <w:rPr>
                <w:rFonts w:eastAsia="Times New Roman" w:cs="Times New Roman"/>
                <w:szCs w:val="24"/>
                <w:lang w:eastAsia="ru-RU"/>
              </w:rPr>
            </w:pPr>
            <w:r w:rsidRPr="0047261E">
              <w:rPr>
                <w:rFonts w:eastAsia="Times New Roman" w:cs="Times New Roman"/>
                <w:szCs w:val="24"/>
                <w:lang w:eastAsia="ru-RU"/>
              </w:rPr>
              <w:t>Верхневилюйский улус (район)</w:t>
            </w:r>
          </w:p>
        </w:tc>
        <w:tc>
          <w:tcPr>
            <w:tcW w:w="924" w:type="pct"/>
            <w:tcBorders>
              <w:top w:val="nil"/>
              <w:left w:val="nil"/>
              <w:bottom w:val="single" w:sz="4" w:space="0" w:color="auto"/>
              <w:right w:val="single" w:sz="4" w:space="0" w:color="auto"/>
            </w:tcBorders>
            <w:shd w:val="clear" w:color="auto" w:fill="auto"/>
            <w:vAlign w:val="center"/>
            <w:hideMark/>
          </w:tcPr>
          <w:p w14:paraId="74577261" w14:textId="77777777" w:rsidR="0047261E" w:rsidRPr="0047261E" w:rsidRDefault="0047261E" w:rsidP="0047261E">
            <w:pPr>
              <w:ind w:firstLine="0"/>
              <w:jc w:val="left"/>
              <w:rPr>
                <w:rFonts w:eastAsia="Times New Roman" w:cs="Times New Roman"/>
                <w:szCs w:val="24"/>
                <w:lang w:eastAsia="ru-RU"/>
              </w:rPr>
            </w:pPr>
            <w:r w:rsidRPr="0047261E">
              <w:rPr>
                <w:rFonts w:eastAsia="Times New Roman" w:cs="Times New Roman"/>
                <w:szCs w:val="24"/>
                <w:lang w:eastAsia="ru-RU"/>
              </w:rPr>
              <w:t>Западная</w:t>
            </w:r>
          </w:p>
        </w:tc>
        <w:tc>
          <w:tcPr>
            <w:tcW w:w="713" w:type="pct"/>
            <w:tcBorders>
              <w:top w:val="nil"/>
              <w:left w:val="nil"/>
              <w:bottom w:val="single" w:sz="4" w:space="0" w:color="auto"/>
              <w:right w:val="single" w:sz="4" w:space="0" w:color="auto"/>
            </w:tcBorders>
            <w:shd w:val="clear" w:color="auto" w:fill="auto"/>
            <w:noWrap/>
            <w:vAlign w:val="center"/>
            <w:hideMark/>
          </w:tcPr>
          <w:p w14:paraId="59CBEE58" w14:textId="77777777" w:rsidR="0047261E" w:rsidRPr="0047261E" w:rsidRDefault="0047261E" w:rsidP="0047261E">
            <w:pPr>
              <w:ind w:firstLine="0"/>
              <w:jc w:val="center"/>
              <w:rPr>
                <w:rFonts w:ascii="Times New Roman CYR" w:eastAsia="Times New Roman" w:hAnsi="Times New Roman CYR" w:cs="Times New Roman CYR"/>
                <w:szCs w:val="24"/>
                <w:lang w:eastAsia="ru-RU"/>
              </w:rPr>
            </w:pPr>
            <w:r w:rsidRPr="0047261E">
              <w:rPr>
                <w:rFonts w:ascii="Times New Roman CYR" w:eastAsia="Times New Roman" w:hAnsi="Times New Roman CYR" w:cs="Times New Roman CYR"/>
                <w:szCs w:val="24"/>
                <w:lang w:eastAsia="ru-RU"/>
              </w:rPr>
              <w:t>4205025</w:t>
            </w:r>
          </w:p>
        </w:tc>
        <w:tc>
          <w:tcPr>
            <w:tcW w:w="1361" w:type="pct"/>
            <w:tcBorders>
              <w:top w:val="nil"/>
              <w:left w:val="nil"/>
              <w:bottom w:val="single" w:sz="4" w:space="0" w:color="auto"/>
              <w:right w:val="single" w:sz="4" w:space="0" w:color="auto"/>
            </w:tcBorders>
            <w:shd w:val="clear" w:color="auto" w:fill="auto"/>
            <w:vAlign w:val="center"/>
            <w:hideMark/>
          </w:tcPr>
          <w:p w14:paraId="7F839097" w14:textId="41B1F6AA" w:rsidR="0047261E" w:rsidRPr="0047261E" w:rsidRDefault="00A90944" w:rsidP="003E7869">
            <w:pPr>
              <w:widowControl w:val="0"/>
              <w:suppressAutoHyphens/>
              <w:autoSpaceDN w:val="0"/>
              <w:ind w:firstLine="0"/>
              <w:textAlignment w:val="baseline"/>
              <w:rPr>
                <w:rFonts w:eastAsia="Times New Roman" w:cs="Times New Roman"/>
                <w:kern w:val="3"/>
                <w:szCs w:val="24"/>
                <w:lang w:eastAsia="ru-RU" w:bidi="hi-IN"/>
              </w:rPr>
            </w:pPr>
            <w:hyperlink r:id="rId71" w:tooltip="Верхневилюйск" w:history="1">
              <w:r w:rsidR="0047261E" w:rsidRPr="0047261E">
                <w:rPr>
                  <w:rFonts w:eastAsia="Times New Roman" w:cs="Times New Roman"/>
                  <w:kern w:val="3"/>
                  <w:szCs w:val="24"/>
                  <w:lang w:eastAsia="ru-RU" w:bidi="hi-IN"/>
                </w:rPr>
                <w:t>Верхневилюйск</w:t>
              </w:r>
            </w:hyperlink>
          </w:p>
        </w:tc>
      </w:tr>
      <w:tr w:rsidR="0047261E" w:rsidRPr="0047261E" w14:paraId="2961F070" w14:textId="77777777" w:rsidTr="0047261E">
        <w:trPr>
          <w:trHeight w:val="315"/>
        </w:trPr>
        <w:tc>
          <w:tcPr>
            <w:tcW w:w="274" w:type="pct"/>
            <w:tcBorders>
              <w:top w:val="nil"/>
              <w:left w:val="single" w:sz="4" w:space="0" w:color="auto"/>
              <w:bottom w:val="single" w:sz="4" w:space="0" w:color="auto"/>
              <w:right w:val="single" w:sz="4" w:space="0" w:color="auto"/>
            </w:tcBorders>
            <w:shd w:val="clear" w:color="auto" w:fill="auto"/>
            <w:vAlign w:val="center"/>
            <w:hideMark/>
          </w:tcPr>
          <w:p w14:paraId="6D7D610F" w14:textId="77777777" w:rsidR="0047261E" w:rsidRPr="0047261E" w:rsidRDefault="0047261E" w:rsidP="0047261E">
            <w:pPr>
              <w:ind w:firstLine="0"/>
              <w:rPr>
                <w:rFonts w:eastAsia="Times New Roman" w:cs="Times New Roman"/>
                <w:szCs w:val="24"/>
                <w:lang w:eastAsia="ru-RU"/>
              </w:rPr>
            </w:pPr>
            <w:r w:rsidRPr="0047261E">
              <w:rPr>
                <w:rFonts w:eastAsia="Times New Roman" w:cs="Times New Roman"/>
                <w:szCs w:val="24"/>
                <w:lang w:eastAsia="ru-RU"/>
              </w:rPr>
              <w:t>8</w:t>
            </w:r>
          </w:p>
        </w:tc>
        <w:tc>
          <w:tcPr>
            <w:tcW w:w="1728" w:type="pct"/>
            <w:tcBorders>
              <w:top w:val="nil"/>
              <w:left w:val="nil"/>
              <w:bottom w:val="single" w:sz="4" w:space="0" w:color="auto"/>
              <w:right w:val="single" w:sz="4" w:space="0" w:color="auto"/>
            </w:tcBorders>
            <w:shd w:val="clear" w:color="auto" w:fill="auto"/>
            <w:vAlign w:val="center"/>
            <w:hideMark/>
          </w:tcPr>
          <w:p w14:paraId="7E015FE0" w14:textId="77777777" w:rsidR="0047261E" w:rsidRPr="0047261E" w:rsidRDefault="0047261E" w:rsidP="0047261E">
            <w:pPr>
              <w:ind w:firstLine="0"/>
              <w:jc w:val="left"/>
              <w:rPr>
                <w:rFonts w:eastAsia="Times New Roman" w:cs="Times New Roman"/>
                <w:szCs w:val="24"/>
                <w:lang w:eastAsia="ru-RU"/>
              </w:rPr>
            </w:pPr>
            <w:r w:rsidRPr="0047261E">
              <w:rPr>
                <w:rFonts w:eastAsia="Times New Roman" w:cs="Times New Roman"/>
                <w:szCs w:val="24"/>
                <w:lang w:eastAsia="ru-RU"/>
              </w:rPr>
              <w:t>Верхнеколымский улус (район)</w:t>
            </w:r>
          </w:p>
        </w:tc>
        <w:tc>
          <w:tcPr>
            <w:tcW w:w="924" w:type="pct"/>
            <w:tcBorders>
              <w:top w:val="nil"/>
              <w:left w:val="nil"/>
              <w:bottom w:val="single" w:sz="4" w:space="0" w:color="auto"/>
              <w:right w:val="single" w:sz="4" w:space="0" w:color="auto"/>
            </w:tcBorders>
            <w:shd w:val="clear" w:color="auto" w:fill="auto"/>
            <w:vAlign w:val="center"/>
            <w:hideMark/>
          </w:tcPr>
          <w:p w14:paraId="15C81614" w14:textId="77777777" w:rsidR="0047261E" w:rsidRPr="0047261E" w:rsidRDefault="0047261E" w:rsidP="0047261E">
            <w:pPr>
              <w:ind w:firstLine="0"/>
              <w:jc w:val="left"/>
              <w:rPr>
                <w:rFonts w:eastAsia="Times New Roman" w:cs="Times New Roman"/>
                <w:szCs w:val="24"/>
                <w:lang w:eastAsia="ru-RU"/>
              </w:rPr>
            </w:pPr>
            <w:r w:rsidRPr="0047261E">
              <w:rPr>
                <w:rFonts w:eastAsia="Times New Roman" w:cs="Times New Roman"/>
                <w:szCs w:val="24"/>
                <w:lang w:eastAsia="ru-RU"/>
              </w:rPr>
              <w:t>Арктическая</w:t>
            </w:r>
          </w:p>
        </w:tc>
        <w:tc>
          <w:tcPr>
            <w:tcW w:w="713" w:type="pct"/>
            <w:tcBorders>
              <w:top w:val="nil"/>
              <w:left w:val="nil"/>
              <w:bottom w:val="single" w:sz="4" w:space="0" w:color="auto"/>
              <w:right w:val="single" w:sz="4" w:space="0" w:color="auto"/>
            </w:tcBorders>
            <w:shd w:val="clear" w:color="auto" w:fill="auto"/>
            <w:noWrap/>
            <w:vAlign w:val="center"/>
            <w:hideMark/>
          </w:tcPr>
          <w:p w14:paraId="3803C0ED" w14:textId="77777777" w:rsidR="0047261E" w:rsidRPr="0047261E" w:rsidRDefault="0047261E" w:rsidP="0047261E">
            <w:pPr>
              <w:ind w:firstLine="0"/>
              <w:jc w:val="center"/>
              <w:rPr>
                <w:rFonts w:ascii="Times New Roman CYR" w:eastAsia="Times New Roman" w:hAnsi="Times New Roman CYR" w:cs="Times New Roman CYR"/>
                <w:szCs w:val="24"/>
                <w:lang w:eastAsia="ru-RU"/>
              </w:rPr>
            </w:pPr>
            <w:r w:rsidRPr="0047261E">
              <w:rPr>
                <w:rFonts w:ascii="Times New Roman CYR" w:eastAsia="Times New Roman" w:hAnsi="Times New Roman CYR" w:cs="Times New Roman CYR"/>
                <w:szCs w:val="24"/>
                <w:lang w:eastAsia="ru-RU"/>
              </w:rPr>
              <w:t>6777417</w:t>
            </w:r>
          </w:p>
        </w:tc>
        <w:tc>
          <w:tcPr>
            <w:tcW w:w="1361" w:type="pct"/>
            <w:tcBorders>
              <w:top w:val="nil"/>
              <w:left w:val="nil"/>
              <w:bottom w:val="single" w:sz="4" w:space="0" w:color="auto"/>
              <w:right w:val="single" w:sz="4" w:space="0" w:color="auto"/>
            </w:tcBorders>
            <w:shd w:val="clear" w:color="auto" w:fill="auto"/>
            <w:vAlign w:val="center"/>
            <w:hideMark/>
          </w:tcPr>
          <w:p w14:paraId="030D1EC4" w14:textId="6350C0E1" w:rsidR="0047261E" w:rsidRPr="0047261E" w:rsidRDefault="00A90944" w:rsidP="003E7869">
            <w:pPr>
              <w:widowControl w:val="0"/>
              <w:suppressAutoHyphens/>
              <w:autoSpaceDN w:val="0"/>
              <w:ind w:firstLine="0"/>
              <w:textAlignment w:val="baseline"/>
              <w:rPr>
                <w:rFonts w:eastAsia="Times New Roman" w:cs="Times New Roman"/>
                <w:kern w:val="3"/>
                <w:szCs w:val="24"/>
                <w:lang w:eastAsia="ru-RU" w:bidi="hi-IN"/>
              </w:rPr>
            </w:pPr>
            <w:hyperlink r:id="rId72" w:tooltip="Зырянка (Якутия)" w:history="1">
              <w:r w:rsidR="0047261E" w:rsidRPr="0047261E">
                <w:rPr>
                  <w:rFonts w:eastAsia="Times New Roman" w:cs="Times New Roman"/>
                  <w:kern w:val="3"/>
                  <w:szCs w:val="24"/>
                  <w:lang w:eastAsia="ru-RU" w:bidi="hi-IN"/>
                </w:rPr>
                <w:t>Зырянка</w:t>
              </w:r>
            </w:hyperlink>
          </w:p>
        </w:tc>
      </w:tr>
      <w:tr w:rsidR="0047261E" w:rsidRPr="0047261E" w14:paraId="3ACF669B" w14:textId="77777777" w:rsidTr="0047261E">
        <w:trPr>
          <w:trHeight w:val="315"/>
        </w:trPr>
        <w:tc>
          <w:tcPr>
            <w:tcW w:w="274" w:type="pct"/>
            <w:tcBorders>
              <w:top w:val="nil"/>
              <w:left w:val="single" w:sz="4" w:space="0" w:color="auto"/>
              <w:bottom w:val="single" w:sz="4" w:space="0" w:color="auto"/>
              <w:right w:val="single" w:sz="4" w:space="0" w:color="auto"/>
            </w:tcBorders>
            <w:shd w:val="clear" w:color="auto" w:fill="auto"/>
            <w:vAlign w:val="center"/>
            <w:hideMark/>
          </w:tcPr>
          <w:p w14:paraId="2D51CB1D" w14:textId="77777777" w:rsidR="0047261E" w:rsidRPr="0047261E" w:rsidRDefault="0047261E" w:rsidP="0047261E">
            <w:pPr>
              <w:ind w:firstLine="0"/>
              <w:rPr>
                <w:rFonts w:eastAsia="Times New Roman" w:cs="Times New Roman"/>
                <w:szCs w:val="24"/>
                <w:lang w:eastAsia="ru-RU"/>
              </w:rPr>
            </w:pPr>
            <w:r w:rsidRPr="0047261E">
              <w:rPr>
                <w:rFonts w:eastAsia="Times New Roman" w:cs="Times New Roman"/>
                <w:szCs w:val="24"/>
                <w:lang w:eastAsia="ru-RU"/>
              </w:rPr>
              <w:t>9</w:t>
            </w:r>
          </w:p>
        </w:tc>
        <w:tc>
          <w:tcPr>
            <w:tcW w:w="1728" w:type="pct"/>
            <w:tcBorders>
              <w:top w:val="nil"/>
              <w:left w:val="nil"/>
              <w:bottom w:val="single" w:sz="4" w:space="0" w:color="auto"/>
              <w:right w:val="single" w:sz="4" w:space="0" w:color="auto"/>
            </w:tcBorders>
            <w:shd w:val="clear" w:color="auto" w:fill="auto"/>
            <w:vAlign w:val="center"/>
            <w:hideMark/>
          </w:tcPr>
          <w:p w14:paraId="35E9DA86" w14:textId="77777777" w:rsidR="0047261E" w:rsidRPr="0047261E" w:rsidRDefault="0047261E" w:rsidP="0047261E">
            <w:pPr>
              <w:ind w:firstLine="0"/>
              <w:jc w:val="left"/>
              <w:rPr>
                <w:rFonts w:eastAsia="Times New Roman" w:cs="Times New Roman"/>
                <w:szCs w:val="24"/>
                <w:lang w:eastAsia="ru-RU"/>
              </w:rPr>
            </w:pPr>
            <w:r w:rsidRPr="0047261E">
              <w:rPr>
                <w:rFonts w:eastAsia="Times New Roman" w:cs="Times New Roman"/>
                <w:szCs w:val="24"/>
                <w:lang w:eastAsia="ru-RU"/>
              </w:rPr>
              <w:t>Верхоянский район</w:t>
            </w:r>
          </w:p>
        </w:tc>
        <w:tc>
          <w:tcPr>
            <w:tcW w:w="924" w:type="pct"/>
            <w:tcBorders>
              <w:top w:val="nil"/>
              <w:left w:val="nil"/>
              <w:bottom w:val="single" w:sz="4" w:space="0" w:color="auto"/>
              <w:right w:val="single" w:sz="4" w:space="0" w:color="auto"/>
            </w:tcBorders>
            <w:shd w:val="clear" w:color="auto" w:fill="auto"/>
            <w:vAlign w:val="center"/>
            <w:hideMark/>
          </w:tcPr>
          <w:p w14:paraId="677108FD" w14:textId="77777777" w:rsidR="0047261E" w:rsidRPr="0047261E" w:rsidRDefault="0047261E" w:rsidP="0047261E">
            <w:pPr>
              <w:ind w:firstLine="0"/>
              <w:jc w:val="left"/>
              <w:rPr>
                <w:rFonts w:eastAsia="Times New Roman" w:cs="Times New Roman"/>
                <w:szCs w:val="24"/>
                <w:lang w:eastAsia="ru-RU"/>
              </w:rPr>
            </w:pPr>
            <w:r w:rsidRPr="0047261E">
              <w:rPr>
                <w:rFonts w:eastAsia="Times New Roman" w:cs="Times New Roman"/>
                <w:szCs w:val="24"/>
                <w:lang w:eastAsia="ru-RU"/>
              </w:rPr>
              <w:t>Арктическая</w:t>
            </w:r>
          </w:p>
        </w:tc>
        <w:tc>
          <w:tcPr>
            <w:tcW w:w="713" w:type="pct"/>
            <w:tcBorders>
              <w:top w:val="nil"/>
              <w:left w:val="nil"/>
              <w:bottom w:val="single" w:sz="4" w:space="0" w:color="auto"/>
              <w:right w:val="single" w:sz="4" w:space="0" w:color="auto"/>
            </w:tcBorders>
            <w:shd w:val="clear" w:color="auto" w:fill="auto"/>
            <w:noWrap/>
            <w:vAlign w:val="center"/>
            <w:hideMark/>
          </w:tcPr>
          <w:p w14:paraId="7672C898" w14:textId="77777777" w:rsidR="0047261E" w:rsidRPr="0047261E" w:rsidRDefault="0047261E" w:rsidP="0047261E">
            <w:pPr>
              <w:ind w:firstLine="0"/>
              <w:jc w:val="center"/>
              <w:rPr>
                <w:rFonts w:ascii="Times New Roman CYR" w:eastAsia="Times New Roman" w:hAnsi="Times New Roman CYR" w:cs="Times New Roman CYR"/>
                <w:szCs w:val="24"/>
                <w:lang w:eastAsia="ru-RU"/>
              </w:rPr>
            </w:pPr>
            <w:r w:rsidRPr="0047261E">
              <w:rPr>
                <w:rFonts w:ascii="Times New Roman CYR" w:eastAsia="Times New Roman" w:hAnsi="Times New Roman CYR" w:cs="Times New Roman CYR"/>
                <w:szCs w:val="24"/>
                <w:lang w:eastAsia="ru-RU"/>
              </w:rPr>
              <w:t>13742806</w:t>
            </w:r>
          </w:p>
        </w:tc>
        <w:tc>
          <w:tcPr>
            <w:tcW w:w="1361" w:type="pct"/>
            <w:tcBorders>
              <w:top w:val="nil"/>
              <w:left w:val="nil"/>
              <w:bottom w:val="single" w:sz="4" w:space="0" w:color="auto"/>
              <w:right w:val="single" w:sz="4" w:space="0" w:color="auto"/>
            </w:tcBorders>
            <w:shd w:val="clear" w:color="auto" w:fill="auto"/>
            <w:vAlign w:val="center"/>
            <w:hideMark/>
          </w:tcPr>
          <w:p w14:paraId="2C8664A2" w14:textId="2C0471DF" w:rsidR="0047261E" w:rsidRPr="0047261E" w:rsidRDefault="00A90944" w:rsidP="003E7869">
            <w:pPr>
              <w:widowControl w:val="0"/>
              <w:suppressAutoHyphens/>
              <w:autoSpaceDN w:val="0"/>
              <w:ind w:firstLine="0"/>
              <w:textAlignment w:val="baseline"/>
              <w:rPr>
                <w:rFonts w:eastAsia="Times New Roman" w:cs="Times New Roman"/>
                <w:kern w:val="3"/>
                <w:szCs w:val="24"/>
                <w:lang w:eastAsia="ru-RU" w:bidi="hi-IN"/>
              </w:rPr>
            </w:pPr>
            <w:hyperlink r:id="rId73" w:tooltip="Батагай" w:history="1">
              <w:r w:rsidR="0047261E" w:rsidRPr="0047261E">
                <w:rPr>
                  <w:rFonts w:eastAsia="Times New Roman" w:cs="Times New Roman"/>
                  <w:kern w:val="3"/>
                  <w:szCs w:val="24"/>
                  <w:lang w:eastAsia="ru-RU" w:bidi="hi-IN"/>
                </w:rPr>
                <w:t>Батагай</w:t>
              </w:r>
            </w:hyperlink>
          </w:p>
        </w:tc>
      </w:tr>
      <w:tr w:rsidR="0047261E" w:rsidRPr="0047261E" w14:paraId="419D207E" w14:textId="77777777" w:rsidTr="0047261E">
        <w:trPr>
          <w:trHeight w:val="315"/>
        </w:trPr>
        <w:tc>
          <w:tcPr>
            <w:tcW w:w="274" w:type="pct"/>
            <w:tcBorders>
              <w:top w:val="nil"/>
              <w:left w:val="single" w:sz="4" w:space="0" w:color="auto"/>
              <w:bottom w:val="single" w:sz="4" w:space="0" w:color="auto"/>
              <w:right w:val="single" w:sz="4" w:space="0" w:color="auto"/>
            </w:tcBorders>
            <w:shd w:val="clear" w:color="auto" w:fill="auto"/>
            <w:vAlign w:val="center"/>
            <w:hideMark/>
          </w:tcPr>
          <w:p w14:paraId="41A01449" w14:textId="77777777" w:rsidR="0047261E" w:rsidRPr="0047261E" w:rsidRDefault="0047261E" w:rsidP="0047261E">
            <w:pPr>
              <w:ind w:firstLine="0"/>
              <w:rPr>
                <w:rFonts w:eastAsia="Times New Roman" w:cs="Times New Roman"/>
                <w:szCs w:val="24"/>
                <w:lang w:eastAsia="ru-RU"/>
              </w:rPr>
            </w:pPr>
            <w:r w:rsidRPr="0047261E">
              <w:rPr>
                <w:rFonts w:eastAsia="Times New Roman" w:cs="Times New Roman"/>
                <w:szCs w:val="24"/>
                <w:lang w:eastAsia="ru-RU"/>
              </w:rPr>
              <w:t>10</w:t>
            </w:r>
          </w:p>
        </w:tc>
        <w:tc>
          <w:tcPr>
            <w:tcW w:w="1728" w:type="pct"/>
            <w:tcBorders>
              <w:top w:val="nil"/>
              <w:left w:val="nil"/>
              <w:bottom w:val="single" w:sz="4" w:space="0" w:color="auto"/>
              <w:right w:val="single" w:sz="4" w:space="0" w:color="auto"/>
            </w:tcBorders>
            <w:shd w:val="clear" w:color="auto" w:fill="auto"/>
            <w:vAlign w:val="center"/>
            <w:hideMark/>
          </w:tcPr>
          <w:p w14:paraId="35371567" w14:textId="77777777" w:rsidR="0047261E" w:rsidRPr="0047261E" w:rsidRDefault="0047261E" w:rsidP="0047261E">
            <w:pPr>
              <w:ind w:firstLine="0"/>
              <w:jc w:val="left"/>
              <w:rPr>
                <w:rFonts w:eastAsia="Times New Roman" w:cs="Times New Roman"/>
                <w:szCs w:val="24"/>
                <w:lang w:eastAsia="ru-RU"/>
              </w:rPr>
            </w:pPr>
            <w:r w:rsidRPr="0047261E">
              <w:rPr>
                <w:rFonts w:eastAsia="Times New Roman" w:cs="Times New Roman"/>
                <w:szCs w:val="24"/>
                <w:lang w:eastAsia="ru-RU"/>
              </w:rPr>
              <w:t>Вилюйский улус (район)</w:t>
            </w:r>
          </w:p>
        </w:tc>
        <w:tc>
          <w:tcPr>
            <w:tcW w:w="924" w:type="pct"/>
            <w:tcBorders>
              <w:top w:val="nil"/>
              <w:left w:val="nil"/>
              <w:bottom w:val="single" w:sz="4" w:space="0" w:color="auto"/>
              <w:right w:val="single" w:sz="4" w:space="0" w:color="auto"/>
            </w:tcBorders>
            <w:shd w:val="clear" w:color="auto" w:fill="auto"/>
            <w:vAlign w:val="center"/>
            <w:hideMark/>
          </w:tcPr>
          <w:p w14:paraId="1D3CE4F1" w14:textId="77777777" w:rsidR="0047261E" w:rsidRPr="0047261E" w:rsidRDefault="0047261E" w:rsidP="0047261E">
            <w:pPr>
              <w:ind w:firstLine="0"/>
              <w:jc w:val="left"/>
              <w:rPr>
                <w:rFonts w:eastAsia="Times New Roman" w:cs="Times New Roman"/>
                <w:szCs w:val="24"/>
                <w:lang w:eastAsia="ru-RU"/>
              </w:rPr>
            </w:pPr>
            <w:r w:rsidRPr="0047261E">
              <w:rPr>
                <w:rFonts w:eastAsia="Times New Roman" w:cs="Times New Roman"/>
                <w:szCs w:val="24"/>
                <w:lang w:eastAsia="ru-RU"/>
              </w:rPr>
              <w:t>Западная</w:t>
            </w:r>
          </w:p>
        </w:tc>
        <w:tc>
          <w:tcPr>
            <w:tcW w:w="713" w:type="pct"/>
            <w:tcBorders>
              <w:top w:val="nil"/>
              <w:left w:val="nil"/>
              <w:bottom w:val="single" w:sz="4" w:space="0" w:color="auto"/>
              <w:right w:val="single" w:sz="4" w:space="0" w:color="auto"/>
            </w:tcBorders>
            <w:shd w:val="clear" w:color="auto" w:fill="auto"/>
            <w:noWrap/>
            <w:vAlign w:val="center"/>
            <w:hideMark/>
          </w:tcPr>
          <w:p w14:paraId="4427A0D5" w14:textId="77777777" w:rsidR="0047261E" w:rsidRPr="0047261E" w:rsidRDefault="0047261E" w:rsidP="0047261E">
            <w:pPr>
              <w:ind w:firstLine="0"/>
              <w:jc w:val="center"/>
              <w:rPr>
                <w:rFonts w:ascii="Times New Roman CYR" w:eastAsia="Times New Roman" w:hAnsi="Times New Roman CYR" w:cs="Times New Roman CYR"/>
                <w:szCs w:val="24"/>
                <w:lang w:eastAsia="ru-RU"/>
              </w:rPr>
            </w:pPr>
            <w:r w:rsidRPr="0047261E">
              <w:rPr>
                <w:rFonts w:ascii="Times New Roman CYR" w:eastAsia="Times New Roman" w:hAnsi="Times New Roman CYR" w:cs="Times New Roman CYR"/>
                <w:szCs w:val="24"/>
                <w:lang w:eastAsia="ru-RU"/>
              </w:rPr>
              <w:t>5519348</w:t>
            </w:r>
          </w:p>
        </w:tc>
        <w:tc>
          <w:tcPr>
            <w:tcW w:w="1361" w:type="pct"/>
            <w:tcBorders>
              <w:top w:val="nil"/>
              <w:left w:val="nil"/>
              <w:bottom w:val="single" w:sz="4" w:space="0" w:color="auto"/>
              <w:right w:val="single" w:sz="4" w:space="0" w:color="auto"/>
            </w:tcBorders>
            <w:shd w:val="clear" w:color="auto" w:fill="auto"/>
            <w:vAlign w:val="center"/>
            <w:hideMark/>
          </w:tcPr>
          <w:p w14:paraId="3F51D675" w14:textId="419154B3" w:rsidR="0047261E" w:rsidRPr="0047261E" w:rsidRDefault="00A90944" w:rsidP="003E7869">
            <w:pPr>
              <w:widowControl w:val="0"/>
              <w:suppressAutoHyphens/>
              <w:autoSpaceDN w:val="0"/>
              <w:ind w:firstLine="0"/>
              <w:textAlignment w:val="baseline"/>
              <w:rPr>
                <w:rFonts w:eastAsia="Times New Roman" w:cs="Times New Roman"/>
                <w:kern w:val="3"/>
                <w:szCs w:val="24"/>
                <w:lang w:eastAsia="ru-RU" w:bidi="hi-IN"/>
              </w:rPr>
            </w:pPr>
            <w:hyperlink r:id="rId74" w:tooltip="Вилюйск" w:history="1">
              <w:r w:rsidR="0047261E" w:rsidRPr="0047261E">
                <w:rPr>
                  <w:rFonts w:eastAsia="Times New Roman" w:cs="Times New Roman"/>
                  <w:kern w:val="3"/>
                  <w:szCs w:val="24"/>
                  <w:lang w:eastAsia="ru-RU" w:bidi="hi-IN"/>
                </w:rPr>
                <w:t>Вилюйск</w:t>
              </w:r>
            </w:hyperlink>
          </w:p>
        </w:tc>
      </w:tr>
      <w:tr w:rsidR="0047261E" w:rsidRPr="0047261E" w14:paraId="22543126" w14:textId="77777777" w:rsidTr="0047261E">
        <w:trPr>
          <w:trHeight w:val="315"/>
        </w:trPr>
        <w:tc>
          <w:tcPr>
            <w:tcW w:w="274" w:type="pct"/>
            <w:tcBorders>
              <w:top w:val="nil"/>
              <w:left w:val="single" w:sz="4" w:space="0" w:color="auto"/>
              <w:bottom w:val="single" w:sz="4" w:space="0" w:color="auto"/>
              <w:right w:val="single" w:sz="4" w:space="0" w:color="auto"/>
            </w:tcBorders>
            <w:shd w:val="clear" w:color="auto" w:fill="auto"/>
            <w:vAlign w:val="center"/>
            <w:hideMark/>
          </w:tcPr>
          <w:p w14:paraId="43F46162" w14:textId="77777777" w:rsidR="0047261E" w:rsidRPr="0047261E" w:rsidRDefault="0047261E" w:rsidP="0047261E">
            <w:pPr>
              <w:ind w:firstLine="0"/>
              <w:rPr>
                <w:rFonts w:eastAsia="Times New Roman" w:cs="Times New Roman"/>
                <w:szCs w:val="24"/>
                <w:lang w:eastAsia="ru-RU"/>
              </w:rPr>
            </w:pPr>
            <w:r w:rsidRPr="0047261E">
              <w:rPr>
                <w:rFonts w:eastAsia="Times New Roman" w:cs="Times New Roman"/>
                <w:szCs w:val="24"/>
                <w:lang w:eastAsia="ru-RU"/>
              </w:rPr>
              <w:t>11</w:t>
            </w:r>
          </w:p>
        </w:tc>
        <w:tc>
          <w:tcPr>
            <w:tcW w:w="1728" w:type="pct"/>
            <w:tcBorders>
              <w:top w:val="nil"/>
              <w:left w:val="nil"/>
              <w:bottom w:val="single" w:sz="4" w:space="0" w:color="auto"/>
              <w:right w:val="single" w:sz="4" w:space="0" w:color="auto"/>
            </w:tcBorders>
            <w:shd w:val="clear" w:color="auto" w:fill="auto"/>
            <w:vAlign w:val="center"/>
            <w:hideMark/>
          </w:tcPr>
          <w:p w14:paraId="1148BDC1" w14:textId="77777777" w:rsidR="0047261E" w:rsidRPr="0047261E" w:rsidRDefault="0047261E" w:rsidP="0047261E">
            <w:pPr>
              <w:ind w:firstLine="0"/>
              <w:jc w:val="left"/>
              <w:rPr>
                <w:rFonts w:eastAsia="Times New Roman" w:cs="Times New Roman"/>
                <w:szCs w:val="24"/>
                <w:lang w:eastAsia="ru-RU"/>
              </w:rPr>
            </w:pPr>
            <w:r w:rsidRPr="0047261E">
              <w:rPr>
                <w:rFonts w:eastAsia="Times New Roman" w:cs="Times New Roman"/>
                <w:szCs w:val="24"/>
                <w:lang w:eastAsia="ru-RU"/>
              </w:rPr>
              <w:t>Горный улус</w:t>
            </w:r>
          </w:p>
        </w:tc>
        <w:tc>
          <w:tcPr>
            <w:tcW w:w="924" w:type="pct"/>
            <w:tcBorders>
              <w:top w:val="nil"/>
              <w:left w:val="nil"/>
              <w:bottom w:val="single" w:sz="4" w:space="0" w:color="auto"/>
              <w:right w:val="single" w:sz="4" w:space="0" w:color="auto"/>
            </w:tcBorders>
            <w:shd w:val="clear" w:color="auto" w:fill="auto"/>
            <w:vAlign w:val="center"/>
            <w:hideMark/>
          </w:tcPr>
          <w:p w14:paraId="2EA43DBA" w14:textId="77777777" w:rsidR="0047261E" w:rsidRPr="0047261E" w:rsidRDefault="0047261E" w:rsidP="0047261E">
            <w:pPr>
              <w:ind w:firstLine="0"/>
              <w:jc w:val="left"/>
              <w:rPr>
                <w:rFonts w:eastAsia="Times New Roman" w:cs="Times New Roman"/>
                <w:szCs w:val="24"/>
                <w:lang w:eastAsia="ru-RU"/>
              </w:rPr>
            </w:pPr>
            <w:r w:rsidRPr="0047261E">
              <w:rPr>
                <w:rFonts w:eastAsia="Times New Roman" w:cs="Times New Roman"/>
                <w:szCs w:val="24"/>
                <w:lang w:eastAsia="ru-RU"/>
              </w:rPr>
              <w:t>Центральная</w:t>
            </w:r>
          </w:p>
        </w:tc>
        <w:tc>
          <w:tcPr>
            <w:tcW w:w="713" w:type="pct"/>
            <w:tcBorders>
              <w:top w:val="nil"/>
              <w:left w:val="nil"/>
              <w:bottom w:val="single" w:sz="4" w:space="0" w:color="auto"/>
              <w:right w:val="single" w:sz="4" w:space="0" w:color="auto"/>
            </w:tcBorders>
            <w:shd w:val="clear" w:color="auto" w:fill="auto"/>
            <w:noWrap/>
            <w:vAlign w:val="center"/>
            <w:hideMark/>
          </w:tcPr>
          <w:p w14:paraId="6DE0CD47" w14:textId="77777777" w:rsidR="0047261E" w:rsidRPr="0047261E" w:rsidRDefault="0047261E" w:rsidP="0047261E">
            <w:pPr>
              <w:ind w:firstLine="0"/>
              <w:jc w:val="center"/>
              <w:rPr>
                <w:rFonts w:ascii="Times New Roman CYR" w:eastAsia="Times New Roman" w:hAnsi="Times New Roman CYR" w:cs="Times New Roman CYR"/>
                <w:szCs w:val="24"/>
                <w:lang w:eastAsia="ru-RU"/>
              </w:rPr>
            </w:pPr>
            <w:r w:rsidRPr="0047261E">
              <w:rPr>
                <w:rFonts w:ascii="Times New Roman CYR" w:eastAsia="Times New Roman" w:hAnsi="Times New Roman CYR" w:cs="Times New Roman CYR"/>
                <w:szCs w:val="24"/>
                <w:lang w:eastAsia="ru-RU"/>
              </w:rPr>
              <w:t>4562432</w:t>
            </w:r>
          </w:p>
        </w:tc>
        <w:tc>
          <w:tcPr>
            <w:tcW w:w="1361" w:type="pct"/>
            <w:tcBorders>
              <w:top w:val="nil"/>
              <w:left w:val="nil"/>
              <w:bottom w:val="single" w:sz="4" w:space="0" w:color="auto"/>
              <w:right w:val="single" w:sz="4" w:space="0" w:color="auto"/>
            </w:tcBorders>
            <w:shd w:val="clear" w:color="auto" w:fill="auto"/>
            <w:vAlign w:val="center"/>
            <w:hideMark/>
          </w:tcPr>
          <w:p w14:paraId="64300C49" w14:textId="7F6B24F3" w:rsidR="0047261E" w:rsidRPr="0047261E" w:rsidRDefault="00A90944" w:rsidP="003E7869">
            <w:pPr>
              <w:widowControl w:val="0"/>
              <w:suppressAutoHyphens/>
              <w:autoSpaceDN w:val="0"/>
              <w:ind w:firstLine="0"/>
              <w:textAlignment w:val="baseline"/>
              <w:rPr>
                <w:rFonts w:eastAsia="Times New Roman" w:cs="Times New Roman"/>
                <w:kern w:val="3"/>
                <w:szCs w:val="24"/>
                <w:lang w:eastAsia="ru-RU" w:bidi="hi-IN"/>
              </w:rPr>
            </w:pPr>
            <w:hyperlink r:id="rId75" w:tooltip="Бердигестях" w:history="1">
              <w:r w:rsidR="0047261E" w:rsidRPr="0047261E">
                <w:rPr>
                  <w:rFonts w:eastAsia="Times New Roman" w:cs="Times New Roman"/>
                  <w:kern w:val="3"/>
                  <w:szCs w:val="24"/>
                  <w:lang w:eastAsia="ru-RU" w:bidi="hi-IN"/>
                </w:rPr>
                <w:t>Бердигестях</w:t>
              </w:r>
            </w:hyperlink>
          </w:p>
        </w:tc>
      </w:tr>
      <w:tr w:rsidR="0047261E" w:rsidRPr="0047261E" w14:paraId="5EAD9D78" w14:textId="77777777" w:rsidTr="0047261E">
        <w:trPr>
          <w:trHeight w:val="630"/>
        </w:trPr>
        <w:tc>
          <w:tcPr>
            <w:tcW w:w="274" w:type="pct"/>
            <w:tcBorders>
              <w:top w:val="nil"/>
              <w:left w:val="single" w:sz="4" w:space="0" w:color="auto"/>
              <w:bottom w:val="single" w:sz="4" w:space="0" w:color="auto"/>
              <w:right w:val="single" w:sz="4" w:space="0" w:color="auto"/>
            </w:tcBorders>
            <w:shd w:val="clear" w:color="auto" w:fill="auto"/>
            <w:vAlign w:val="center"/>
            <w:hideMark/>
          </w:tcPr>
          <w:p w14:paraId="12EE5679" w14:textId="77777777" w:rsidR="0047261E" w:rsidRPr="0047261E" w:rsidRDefault="0047261E" w:rsidP="0047261E">
            <w:pPr>
              <w:ind w:firstLine="0"/>
              <w:rPr>
                <w:rFonts w:eastAsia="Times New Roman" w:cs="Times New Roman"/>
                <w:szCs w:val="24"/>
                <w:lang w:eastAsia="ru-RU"/>
              </w:rPr>
            </w:pPr>
            <w:r w:rsidRPr="0047261E">
              <w:rPr>
                <w:rFonts w:eastAsia="Times New Roman" w:cs="Times New Roman"/>
                <w:szCs w:val="24"/>
                <w:lang w:eastAsia="ru-RU"/>
              </w:rPr>
              <w:t>12</w:t>
            </w:r>
          </w:p>
        </w:tc>
        <w:tc>
          <w:tcPr>
            <w:tcW w:w="1728" w:type="pct"/>
            <w:tcBorders>
              <w:top w:val="nil"/>
              <w:left w:val="nil"/>
              <w:bottom w:val="single" w:sz="4" w:space="0" w:color="auto"/>
              <w:right w:val="single" w:sz="4" w:space="0" w:color="auto"/>
            </w:tcBorders>
            <w:shd w:val="clear" w:color="auto" w:fill="auto"/>
            <w:vAlign w:val="center"/>
            <w:hideMark/>
          </w:tcPr>
          <w:p w14:paraId="5C78275D" w14:textId="77777777" w:rsidR="0047261E" w:rsidRPr="0047261E" w:rsidRDefault="0047261E" w:rsidP="0047261E">
            <w:pPr>
              <w:ind w:firstLine="0"/>
              <w:jc w:val="left"/>
              <w:rPr>
                <w:rFonts w:eastAsia="Times New Roman" w:cs="Times New Roman"/>
                <w:szCs w:val="24"/>
                <w:lang w:eastAsia="ru-RU"/>
              </w:rPr>
            </w:pPr>
            <w:r w:rsidRPr="0047261E">
              <w:rPr>
                <w:rFonts w:eastAsia="Times New Roman" w:cs="Times New Roman"/>
                <w:szCs w:val="24"/>
                <w:lang w:eastAsia="ru-RU"/>
              </w:rPr>
              <w:t>Жиганский национальный эвенкийский район</w:t>
            </w:r>
          </w:p>
        </w:tc>
        <w:tc>
          <w:tcPr>
            <w:tcW w:w="924" w:type="pct"/>
            <w:tcBorders>
              <w:top w:val="nil"/>
              <w:left w:val="nil"/>
              <w:bottom w:val="single" w:sz="4" w:space="0" w:color="auto"/>
              <w:right w:val="single" w:sz="4" w:space="0" w:color="auto"/>
            </w:tcBorders>
            <w:shd w:val="clear" w:color="auto" w:fill="auto"/>
            <w:vAlign w:val="center"/>
            <w:hideMark/>
          </w:tcPr>
          <w:p w14:paraId="088AF899" w14:textId="77777777" w:rsidR="0047261E" w:rsidRPr="0047261E" w:rsidRDefault="0047261E" w:rsidP="0047261E">
            <w:pPr>
              <w:ind w:firstLine="0"/>
              <w:jc w:val="left"/>
              <w:rPr>
                <w:rFonts w:eastAsia="Times New Roman" w:cs="Times New Roman"/>
                <w:szCs w:val="24"/>
                <w:lang w:eastAsia="ru-RU"/>
              </w:rPr>
            </w:pPr>
            <w:r w:rsidRPr="0047261E">
              <w:rPr>
                <w:rFonts w:eastAsia="Times New Roman" w:cs="Times New Roman"/>
                <w:szCs w:val="24"/>
                <w:lang w:eastAsia="ru-RU"/>
              </w:rPr>
              <w:t>Арктическая</w:t>
            </w:r>
          </w:p>
        </w:tc>
        <w:tc>
          <w:tcPr>
            <w:tcW w:w="713" w:type="pct"/>
            <w:tcBorders>
              <w:top w:val="nil"/>
              <w:left w:val="nil"/>
              <w:bottom w:val="single" w:sz="4" w:space="0" w:color="auto"/>
              <w:right w:val="single" w:sz="4" w:space="0" w:color="auto"/>
            </w:tcBorders>
            <w:shd w:val="clear" w:color="auto" w:fill="auto"/>
            <w:noWrap/>
            <w:vAlign w:val="center"/>
            <w:hideMark/>
          </w:tcPr>
          <w:p w14:paraId="566FC8F1" w14:textId="77777777" w:rsidR="0047261E" w:rsidRPr="0047261E" w:rsidRDefault="0047261E" w:rsidP="0047261E">
            <w:pPr>
              <w:ind w:firstLine="0"/>
              <w:jc w:val="center"/>
              <w:rPr>
                <w:rFonts w:ascii="Times New Roman CYR" w:eastAsia="Times New Roman" w:hAnsi="Times New Roman CYR" w:cs="Times New Roman CYR"/>
                <w:szCs w:val="24"/>
                <w:lang w:eastAsia="ru-RU"/>
              </w:rPr>
            </w:pPr>
            <w:r w:rsidRPr="0047261E">
              <w:rPr>
                <w:rFonts w:ascii="Times New Roman CYR" w:eastAsia="Times New Roman" w:hAnsi="Times New Roman CYR" w:cs="Times New Roman CYR"/>
                <w:szCs w:val="24"/>
                <w:lang w:eastAsia="ru-RU"/>
              </w:rPr>
              <w:t>14022221</w:t>
            </w:r>
          </w:p>
        </w:tc>
        <w:tc>
          <w:tcPr>
            <w:tcW w:w="1361" w:type="pct"/>
            <w:tcBorders>
              <w:top w:val="nil"/>
              <w:left w:val="nil"/>
              <w:bottom w:val="single" w:sz="4" w:space="0" w:color="auto"/>
              <w:right w:val="single" w:sz="4" w:space="0" w:color="auto"/>
            </w:tcBorders>
            <w:shd w:val="clear" w:color="auto" w:fill="auto"/>
            <w:vAlign w:val="center"/>
            <w:hideMark/>
          </w:tcPr>
          <w:p w14:paraId="197CAAB5" w14:textId="4C757AE2" w:rsidR="0047261E" w:rsidRPr="0047261E" w:rsidRDefault="00A90944" w:rsidP="003E7869">
            <w:pPr>
              <w:widowControl w:val="0"/>
              <w:suppressAutoHyphens/>
              <w:autoSpaceDN w:val="0"/>
              <w:ind w:firstLine="0"/>
              <w:textAlignment w:val="baseline"/>
              <w:rPr>
                <w:rFonts w:eastAsia="Times New Roman" w:cs="Times New Roman"/>
                <w:kern w:val="3"/>
                <w:szCs w:val="24"/>
                <w:lang w:eastAsia="ru-RU" w:bidi="hi-IN"/>
              </w:rPr>
            </w:pPr>
            <w:hyperlink r:id="rId76" w:tooltip="Жиганск" w:history="1">
              <w:r w:rsidR="0047261E" w:rsidRPr="0047261E">
                <w:rPr>
                  <w:rFonts w:eastAsia="Times New Roman" w:cs="Times New Roman"/>
                  <w:kern w:val="3"/>
                  <w:szCs w:val="24"/>
                  <w:lang w:eastAsia="ru-RU" w:bidi="hi-IN"/>
                </w:rPr>
                <w:t>Жиганск</w:t>
              </w:r>
            </w:hyperlink>
          </w:p>
        </w:tc>
      </w:tr>
      <w:tr w:rsidR="0047261E" w:rsidRPr="0047261E" w14:paraId="629AFBDE" w14:textId="77777777" w:rsidTr="0047261E">
        <w:trPr>
          <w:trHeight w:val="315"/>
        </w:trPr>
        <w:tc>
          <w:tcPr>
            <w:tcW w:w="274" w:type="pct"/>
            <w:tcBorders>
              <w:top w:val="nil"/>
              <w:left w:val="single" w:sz="4" w:space="0" w:color="auto"/>
              <w:bottom w:val="single" w:sz="4" w:space="0" w:color="auto"/>
              <w:right w:val="single" w:sz="4" w:space="0" w:color="auto"/>
            </w:tcBorders>
            <w:shd w:val="clear" w:color="auto" w:fill="auto"/>
            <w:vAlign w:val="center"/>
            <w:hideMark/>
          </w:tcPr>
          <w:p w14:paraId="457EFBE1" w14:textId="77777777" w:rsidR="0047261E" w:rsidRPr="0047261E" w:rsidRDefault="0047261E" w:rsidP="0047261E">
            <w:pPr>
              <w:ind w:firstLine="0"/>
              <w:rPr>
                <w:rFonts w:eastAsia="Times New Roman" w:cs="Times New Roman"/>
                <w:szCs w:val="24"/>
                <w:lang w:eastAsia="ru-RU"/>
              </w:rPr>
            </w:pPr>
            <w:r w:rsidRPr="0047261E">
              <w:rPr>
                <w:rFonts w:eastAsia="Times New Roman" w:cs="Times New Roman"/>
                <w:szCs w:val="24"/>
                <w:lang w:eastAsia="ru-RU"/>
              </w:rPr>
              <w:t>13</w:t>
            </w:r>
          </w:p>
        </w:tc>
        <w:tc>
          <w:tcPr>
            <w:tcW w:w="1728" w:type="pct"/>
            <w:tcBorders>
              <w:top w:val="nil"/>
              <w:left w:val="nil"/>
              <w:bottom w:val="single" w:sz="4" w:space="0" w:color="auto"/>
              <w:right w:val="single" w:sz="4" w:space="0" w:color="auto"/>
            </w:tcBorders>
            <w:shd w:val="clear" w:color="auto" w:fill="auto"/>
            <w:vAlign w:val="center"/>
            <w:hideMark/>
          </w:tcPr>
          <w:p w14:paraId="3391C72C" w14:textId="77777777" w:rsidR="0047261E" w:rsidRPr="0047261E" w:rsidRDefault="0047261E" w:rsidP="0047261E">
            <w:pPr>
              <w:ind w:firstLine="0"/>
              <w:jc w:val="left"/>
              <w:rPr>
                <w:rFonts w:eastAsia="Times New Roman" w:cs="Times New Roman"/>
                <w:szCs w:val="24"/>
                <w:lang w:eastAsia="ru-RU"/>
              </w:rPr>
            </w:pPr>
            <w:r w:rsidRPr="0047261E">
              <w:rPr>
                <w:rFonts w:eastAsia="Times New Roman" w:cs="Times New Roman"/>
                <w:szCs w:val="24"/>
                <w:lang w:eastAsia="ru-RU"/>
              </w:rPr>
              <w:t>Кобяйский улус (район)</w:t>
            </w:r>
          </w:p>
        </w:tc>
        <w:tc>
          <w:tcPr>
            <w:tcW w:w="924" w:type="pct"/>
            <w:tcBorders>
              <w:top w:val="nil"/>
              <w:left w:val="nil"/>
              <w:bottom w:val="single" w:sz="4" w:space="0" w:color="auto"/>
              <w:right w:val="single" w:sz="4" w:space="0" w:color="auto"/>
            </w:tcBorders>
            <w:shd w:val="clear" w:color="auto" w:fill="auto"/>
            <w:vAlign w:val="center"/>
            <w:hideMark/>
          </w:tcPr>
          <w:p w14:paraId="7A92B40E" w14:textId="77777777" w:rsidR="0047261E" w:rsidRPr="0047261E" w:rsidRDefault="0047261E" w:rsidP="0047261E">
            <w:pPr>
              <w:ind w:firstLine="0"/>
              <w:jc w:val="left"/>
              <w:rPr>
                <w:rFonts w:eastAsia="Times New Roman" w:cs="Times New Roman"/>
                <w:szCs w:val="24"/>
                <w:lang w:eastAsia="ru-RU"/>
              </w:rPr>
            </w:pPr>
            <w:r w:rsidRPr="0047261E">
              <w:rPr>
                <w:rFonts w:eastAsia="Times New Roman" w:cs="Times New Roman"/>
                <w:szCs w:val="24"/>
                <w:lang w:eastAsia="ru-RU"/>
              </w:rPr>
              <w:t>Центральная</w:t>
            </w:r>
          </w:p>
        </w:tc>
        <w:tc>
          <w:tcPr>
            <w:tcW w:w="713" w:type="pct"/>
            <w:tcBorders>
              <w:top w:val="nil"/>
              <w:left w:val="nil"/>
              <w:bottom w:val="single" w:sz="4" w:space="0" w:color="auto"/>
              <w:right w:val="single" w:sz="4" w:space="0" w:color="auto"/>
            </w:tcBorders>
            <w:shd w:val="clear" w:color="auto" w:fill="auto"/>
            <w:noWrap/>
            <w:vAlign w:val="center"/>
            <w:hideMark/>
          </w:tcPr>
          <w:p w14:paraId="69126B74" w14:textId="77777777" w:rsidR="0047261E" w:rsidRPr="0047261E" w:rsidRDefault="0047261E" w:rsidP="0047261E">
            <w:pPr>
              <w:ind w:firstLine="0"/>
              <w:jc w:val="center"/>
              <w:rPr>
                <w:rFonts w:ascii="Times New Roman CYR" w:eastAsia="Times New Roman" w:hAnsi="Times New Roman CYR" w:cs="Times New Roman CYR"/>
                <w:szCs w:val="24"/>
                <w:lang w:eastAsia="ru-RU"/>
              </w:rPr>
            </w:pPr>
            <w:r w:rsidRPr="0047261E">
              <w:rPr>
                <w:rFonts w:ascii="Times New Roman CYR" w:eastAsia="Times New Roman" w:hAnsi="Times New Roman CYR" w:cs="Times New Roman CYR"/>
                <w:szCs w:val="24"/>
                <w:lang w:eastAsia="ru-RU"/>
              </w:rPr>
              <w:t>10778929</w:t>
            </w:r>
          </w:p>
        </w:tc>
        <w:tc>
          <w:tcPr>
            <w:tcW w:w="1361" w:type="pct"/>
            <w:tcBorders>
              <w:top w:val="nil"/>
              <w:left w:val="nil"/>
              <w:bottom w:val="single" w:sz="4" w:space="0" w:color="auto"/>
              <w:right w:val="single" w:sz="4" w:space="0" w:color="auto"/>
            </w:tcBorders>
            <w:shd w:val="clear" w:color="auto" w:fill="auto"/>
            <w:vAlign w:val="center"/>
            <w:hideMark/>
          </w:tcPr>
          <w:p w14:paraId="02B1306A" w14:textId="51F80CA3" w:rsidR="0047261E" w:rsidRPr="0047261E" w:rsidRDefault="00A90944" w:rsidP="003E7869">
            <w:pPr>
              <w:widowControl w:val="0"/>
              <w:suppressAutoHyphens/>
              <w:autoSpaceDN w:val="0"/>
              <w:ind w:firstLine="0"/>
              <w:textAlignment w:val="baseline"/>
              <w:rPr>
                <w:rFonts w:eastAsia="Times New Roman" w:cs="Times New Roman"/>
                <w:kern w:val="3"/>
                <w:szCs w:val="24"/>
                <w:lang w:eastAsia="ru-RU" w:bidi="hi-IN"/>
              </w:rPr>
            </w:pPr>
            <w:hyperlink r:id="rId77" w:tooltip="Сангар" w:history="1">
              <w:r w:rsidR="0047261E" w:rsidRPr="0047261E">
                <w:rPr>
                  <w:rFonts w:eastAsia="Times New Roman" w:cs="Times New Roman"/>
                  <w:kern w:val="3"/>
                  <w:szCs w:val="24"/>
                  <w:lang w:eastAsia="ru-RU" w:bidi="hi-IN"/>
                </w:rPr>
                <w:t>Сангар</w:t>
              </w:r>
            </w:hyperlink>
          </w:p>
        </w:tc>
      </w:tr>
      <w:tr w:rsidR="0047261E" w:rsidRPr="0047261E" w14:paraId="2A430961" w14:textId="77777777" w:rsidTr="0047261E">
        <w:trPr>
          <w:trHeight w:val="315"/>
        </w:trPr>
        <w:tc>
          <w:tcPr>
            <w:tcW w:w="274" w:type="pct"/>
            <w:tcBorders>
              <w:top w:val="nil"/>
              <w:left w:val="single" w:sz="4" w:space="0" w:color="auto"/>
              <w:bottom w:val="single" w:sz="4" w:space="0" w:color="auto"/>
              <w:right w:val="single" w:sz="4" w:space="0" w:color="auto"/>
            </w:tcBorders>
            <w:shd w:val="clear" w:color="auto" w:fill="auto"/>
            <w:vAlign w:val="center"/>
            <w:hideMark/>
          </w:tcPr>
          <w:p w14:paraId="6EBD57AD" w14:textId="77777777" w:rsidR="0047261E" w:rsidRPr="0047261E" w:rsidRDefault="0047261E" w:rsidP="0047261E">
            <w:pPr>
              <w:ind w:firstLine="0"/>
              <w:rPr>
                <w:rFonts w:eastAsia="Times New Roman" w:cs="Times New Roman"/>
                <w:szCs w:val="24"/>
                <w:lang w:eastAsia="ru-RU"/>
              </w:rPr>
            </w:pPr>
            <w:r w:rsidRPr="0047261E">
              <w:rPr>
                <w:rFonts w:eastAsia="Times New Roman" w:cs="Times New Roman"/>
                <w:szCs w:val="24"/>
                <w:lang w:eastAsia="ru-RU"/>
              </w:rPr>
              <w:t>14</w:t>
            </w:r>
          </w:p>
        </w:tc>
        <w:tc>
          <w:tcPr>
            <w:tcW w:w="1728" w:type="pct"/>
            <w:tcBorders>
              <w:top w:val="nil"/>
              <w:left w:val="nil"/>
              <w:bottom w:val="single" w:sz="4" w:space="0" w:color="auto"/>
              <w:right w:val="single" w:sz="4" w:space="0" w:color="auto"/>
            </w:tcBorders>
            <w:shd w:val="clear" w:color="auto" w:fill="auto"/>
            <w:vAlign w:val="center"/>
            <w:hideMark/>
          </w:tcPr>
          <w:p w14:paraId="70D98B7E" w14:textId="77777777" w:rsidR="0047261E" w:rsidRPr="0047261E" w:rsidRDefault="0047261E" w:rsidP="0047261E">
            <w:pPr>
              <w:ind w:firstLine="0"/>
              <w:jc w:val="left"/>
              <w:rPr>
                <w:rFonts w:eastAsia="Times New Roman" w:cs="Times New Roman"/>
                <w:szCs w:val="24"/>
                <w:lang w:eastAsia="ru-RU"/>
              </w:rPr>
            </w:pPr>
            <w:r w:rsidRPr="0047261E">
              <w:rPr>
                <w:rFonts w:eastAsia="Times New Roman" w:cs="Times New Roman"/>
                <w:szCs w:val="24"/>
                <w:lang w:eastAsia="ru-RU"/>
              </w:rPr>
              <w:t>Ленский район</w:t>
            </w:r>
          </w:p>
        </w:tc>
        <w:tc>
          <w:tcPr>
            <w:tcW w:w="924" w:type="pct"/>
            <w:tcBorders>
              <w:top w:val="nil"/>
              <w:left w:val="nil"/>
              <w:bottom w:val="single" w:sz="4" w:space="0" w:color="auto"/>
              <w:right w:val="single" w:sz="4" w:space="0" w:color="auto"/>
            </w:tcBorders>
            <w:shd w:val="clear" w:color="auto" w:fill="auto"/>
            <w:vAlign w:val="center"/>
            <w:hideMark/>
          </w:tcPr>
          <w:p w14:paraId="64C96685" w14:textId="77777777" w:rsidR="0047261E" w:rsidRPr="0047261E" w:rsidRDefault="0047261E" w:rsidP="0047261E">
            <w:pPr>
              <w:ind w:firstLine="0"/>
              <w:jc w:val="left"/>
              <w:rPr>
                <w:rFonts w:eastAsia="Times New Roman" w:cs="Times New Roman"/>
                <w:szCs w:val="24"/>
                <w:lang w:eastAsia="ru-RU"/>
              </w:rPr>
            </w:pPr>
            <w:r w:rsidRPr="0047261E">
              <w:rPr>
                <w:rFonts w:eastAsia="Times New Roman" w:cs="Times New Roman"/>
                <w:szCs w:val="24"/>
                <w:lang w:eastAsia="ru-RU"/>
              </w:rPr>
              <w:t>Западная</w:t>
            </w:r>
          </w:p>
        </w:tc>
        <w:tc>
          <w:tcPr>
            <w:tcW w:w="713" w:type="pct"/>
            <w:tcBorders>
              <w:top w:val="nil"/>
              <w:left w:val="nil"/>
              <w:bottom w:val="single" w:sz="4" w:space="0" w:color="auto"/>
              <w:right w:val="single" w:sz="4" w:space="0" w:color="auto"/>
            </w:tcBorders>
            <w:shd w:val="clear" w:color="auto" w:fill="auto"/>
            <w:noWrap/>
            <w:vAlign w:val="center"/>
            <w:hideMark/>
          </w:tcPr>
          <w:p w14:paraId="1D6EDF00" w14:textId="77777777" w:rsidR="0047261E" w:rsidRPr="0047261E" w:rsidRDefault="0047261E" w:rsidP="0047261E">
            <w:pPr>
              <w:ind w:firstLine="0"/>
              <w:jc w:val="center"/>
              <w:rPr>
                <w:rFonts w:ascii="Times New Roman CYR" w:eastAsia="Times New Roman" w:hAnsi="Times New Roman CYR" w:cs="Times New Roman CYR"/>
                <w:szCs w:val="24"/>
                <w:lang w:eastAsia="ru-RU"/>
              </w:rPr>
            </w:pPr>
            <w:r w:rsidRPr="0047261E">
              <w:rPr>
                <w:rFonts w:ascii="Times New Roman CYR" w:eastAsia="Times New Roman" w:hAnsi="Times New Roman CYR" w:cs="Times New Roman CYR"/>
                <w:szCs w:val="24"/>
                <w:lang w:eastAsia="ru-RU"/>
              </w:rPr>
              <w:t>7699916</w:t>
            </w:r>
          </w:p>
        </w:tc>
        <w:tc>
          <w:tcPr>
            <w:tcW w:w="1361" w:type="pct"/>
            <w:tcBorders>
              <w:top w:val="nil"/>
              <w:left w:val="nil"/>
              <w:bottom w:val="single" w:sz="4" w:space="0" w:color="auto"/>
              <w:right w:val="single" w:sz="4" w:space="0" w:color="auto"/>
            </w:tcBorders>
            <w:shd w:val="clear" w:color="auto" w:fill="auto"/>
            <w:vAlign w:val="center"/>
            <w:hideMark/>
          </w:tcPr>
          <w:p w14:paraId="416DBEF1" w14:textId="3409AF91" w:rsidR="0047261E" w:rsidRPr="0047261E" w:rsidRDefault="00A90944" w:rsidP="003E7869">
            <w:pPr>
              <w:widowControl w:val="0"/>
              <w:suppressAutoHyphens/>
              <w:autoSpaceDN w:val="0"/>
              <w:ind w:firstLine="0"/>
              <w:textAlignment w:val="baseline"/>
              <w:rPr>
                <w:rFonts w:eastAsia="Times New Roman" w:cs="Times New Roman"/>
                <w:kern w:val="3"/>
                <w:szCs w:val="24"/>
                <w:lang w:eastAsia="ru-RU" w:bidi="hi-IN"/>
              </w:rPr>
            </w:pPr>
            <w:hyperlink r:id="rId78" w:tooltip="Ленск" w:history="1">
              <w:r w:rsidR="0047261E" w:rsidRPr="0047261E">
                <w:rPr>
                  <w:rFonts w:eastAsia="Times New Roman" w:cs="Times New Roman"/>
                  <w:kern w:val="3"/>
                  <w:szCs w:val="24"/>
                  <w:lang w:eastAsia="ru-RU" w:bidi="hi-IN"/>
                </w:rPr>
                <w:t>Ленск</w:t>
              </w:r>
            </w:hyperlink>
          </w:p>
        </w:tc>
      </w:tr>
      <w:tr w:rsidR="0047261E" w:rsidRPr="0047261E" w14:paraId="7C2B1FDF" w14:textId="77777777" w:rsidTr="0047261E">
        <w:trPr>
          <w:trHeight w:val="315"/>
        </w:trPr>
        <w:tc>
          <w:tcPr>
            <w:tcW w:w="274" w:type="pct"/>
            <w:tcBorders>
              <w:top w:val="nil"/>
              <w:left w:val="single" w:sz="4" w:space="0" w:color="auto"/>
              <w:bottom w:val="single" w:sz="4" w:space="0" w:color="auto"/>
              <w:right w:val="single" w:sz="4" w:space="0" w:color="auto"/>
            </w:tcBorders>
            <w:shd w:val="clear" w:color="auto" w:fill="auto"/>
            <w:vAlign w:val="center"/>
            <w:hideMark/>
          </w:tcPr>
          <w:p w14:paraId="68CBA24E" w14:textId="77777777" w:rsidR="0047261E" w:rsidRPr="0047261E" w:rsidRDefault="0047261E" w:rsidP="0047261E">
            <w:pPr>
              <w:ind w:firstLine="0"/>
              <w:rPr>
                <w:rFonts w:eastAsia="Times New Roman" w:cs="Times New Roman"/>
                <w:szCs w:val="24"/>
                <w:lang w:eastAsia="ru-RU"/>
              </w:rPr>
            </w:pPr>
            <w:r w:rsidRPr="0047261E">
              <w:rPr>
                <w:rFonts w:eastAsia="Times New Roman" w:cs="Times New Roman"/>
                <w:szCs w:val="24"/>
                <w:lang w:eastAsia="ru-RU"/>
              </w:rPr>
              <w:t>15</w:t>
            </w:r>
          </w:p>
        </w:tc>
        <w:tc>
          <w:tcPr>
            <w:tcW w:w="1728" w:type="pct"/>
            <w:tcBorders>
              <w:top w:val="nil"/>
              <w:left w:val="nil"/>
              <w:bottom w:val="single" w:sz="4" w:space="0" w:color="auto"/>
              <w:right w:val="single" w:sz="4" w:space="0" w:color="auto"/>
            </w:tcBorders>
            <w:shd w:val="clear" w:color="auto" w:fill="auto"/>
            <w:vAlign w:val="center"/>
            <w:hideMark/>
          </w:tcPr>
          <w:p w14:paraId="671E82E5" w14:textId="77777777" w:rsidR="0047261E" w:rsidRPr="0047261E" w:rsidRDefault="0047261E" w:rsidP="0047261E">
            <w:pPr>
              <w:ind w:firstLine="0"/>
              <w:jc w:val="left"/>
              <w:rPr>
                <w:rFonts w:eastAsia="Times New Roman" w:cs="Times New Roman"/>
                <w:szCs w:val="24"/>
                <w:lang w:eastAsia="ru-RU"/>
              </w:rPr>
            </w:pPr>
            <w:r w:rsidRPr="0047261E">
              <w:rPr>
                <w:rFonts w:eastAsia="Times New Roman" w:cs="Times New Roman"/>
                <w:szCs w:val="24"/>
                <w:lang w:eastAsia="ru-RU"/>
              </w:rPr>
              <w:t>Мегино-Кангаласский улус</w:t>
            </w:r>
          </w:p>
        </w:tc>
        <w:tc>
          <w:tcPr>
            <w:tcW w:w="924" w:type="pct"/>
            <w:tcBorders>
              <w:top w:val="nil"/>
              <w:left w:val="nil"/>
              <w:bottom w:val="single" w:sz="4" w:space="0" w:color="auto"/>
              <w:right w:val="single" w:sz="4" w:space="0" w:color="auto"/>
            </w:tcBorders>
            <w:shd w:val="clear" w:color="auto" w:fill="auto"/>
            <w:vAlign w:val="center"/>
            <w:hideMark/>
          </w:tcPr>
          <w:p w14:paraId="18906F00" w14:textId="77777777" w:rsidR="0047261E" w:rsidRPr="0047261E" w:rsidRDefault="0047261E" w:rsidP="0047261E">
            <w:pPr>
              <w:ind w:firstLine="0"/>
              <w:jc w:val="left"/>
              <w:rPr>
                <w:rFonts w:eastAsia="Times New Roman" w:cs="Times New Roman"/>
                <w:szCs w:val="24"/>
                <w:lang w:eastAsia="ru-RU"/>
              </w:rPr>
            </w:pPr>
            <w:r w:rsidRPr="0047261E">
              <w:rPr>
                <w:rFonts w:eastAsia="Times New Roman" w:cs="Times New Roman"/>
                <w:szCs w:val="24"/>
                <w:lang w:eastAsia="ru-RU"/>
              </w:rPr>
              <w:t>Центральная</w:t>
            </w:r>
          </w:p>
        </w:tc>
        <w:tc>
          <w:tcPr>
            <w:tcW w:w="713" w:type="pct"/>
            <w:tcBorders>
              <w:top w:val="nil"/>
              <w:left w:val="nil"/>
              <w:bottom w:val="single" w:sz="4" w:space="0" w:color="auto"/>
              <w:right w:val="single" w:sz="4" w:space="0" w:color="auto"/>
            </w:tcBorders>
            <w:shd w:val="clear" w:color="auto" w:fill="auto"/>
            <w:noWrap/>
            <w:vAlign w:val="center"/>
            <w:hideMark/>
          </w:tcPr>
          <w:p w14:paraId="77FF0460" w14:textId="77777777" w:rsidR="0047261E" w:rsidRPr="0047261E" w:rsidRDefault="0047261E" w:rsidP="0047261E">
            <w:pPr>
              <w:ind w:firstLine="0"/>
              <w:jc w:val="center"/>
              <w:rPr>
                <w:rFonts w:ascii="Times New Roman CYR" w:eastAsia="Times New Roman" w:hAnsi="Times New Roman CYR" w:cs="Times New Roman CYR"/>
                <w:szCs w:val="24"/>
                <w:lang w:eastAsia="ru-RU"/>
              </w:rPr>
            </w:pPr>
            <w:r w:rsidRPr="0047261E">
              <w:rPr>
                <w:rFonts w:ascii="Times New Roman CYR" w:eastAsia="Times New Roman" w:hAnsi="Times New Roman CYR" w:cs="Times New Roman CYR"/>
                <w:szCs w:val="24"/>
                <w:lang w:eastAsia="ru-RU"/>
              </w:rPr>
              <w:t>1173305</w:t>
            </w:r>
          </w:p>
        </w:tc>
        <w:tc>
          <w:tcPr>
            <w:tcW w:w="1361" w:type="pct"/>
            <w:tcBorders>
              <w:top w:val="nil"/>
              <w:left w:val="nil"/>
              <w:bottom w:val="single" w:sz="4" w:space="0" w:color="auto"/>
              <w:right w:val="single" w:sz="4" w:space="0" w:color="auto"/>
            </w:tcBorders>
            <w:shd w:val="clear" w:color="auto" w:fill="auto"/>
            <w:vAlign w:val="center"/>
            <w:hideMark/>
          </w:tcPr>
          <w:p w14:paraId="0D57CB9E" w14:textId="72A12C28" w:rsidR="0047261E" w:rsidRPr="0047261E" w:rsidRDefault="00A90944" w:rsidP="003E7869">
            <w:pPr>
              <w:widowControl w:val="0"/>
              <w:suppressAutoHyphens/>
              <w:autoSpaceDN w:val="0"/>
              <w:ind w:firstLine="0"/>
              <w:textAlignment w:val="baseline"/>
              <w:rPr>
                <w:rFonts w:eastAsia="Times New Roman" w:cs="Times New Roman"/>
                <w:kern w:val="3"/>
                <w:szCs w:val="24"/>
                <w:lang w:eastAsia="ru-RU" w:bidi="hi-IN"/>
              </w:rPr>
            </w:pPr>
            <w:hyperlink r:id="rId79" w:tooltip="Нижний Бестях" w:history="1">
              <w:r w:rsidR="0047261E" w:rsidRPr="0047261E">
                <w:rPr>
                  <w:rFonts w:eastAsia="Times New Roman" w:cs="Times New Roman"/>
                  <w:kern w:val="3"/>
                  <w:szCs w:val="24"/>
                  <w:lang w:eastAsia="ru-RU" w:bidi="hi-IN"/>
                </w:rPr>
                <w:t>Нижний Бестях</w:t>
              </w:r>
            </w:hyperlink>
          </w:p>
        </w:tc>
      </w:tr>
      <w:tr w:rsidR="0047261E" w:rsidRPr="0047261E" w14:paraId="7290D3DB" w14:textId="77777777" w:rsidTr="0047261E">
        <w:trPr>
          <w:trHeight w:val="315"/>
        </w:trPr>
        <w:tc>
          <w:tcPr>
            <w:tcW w:w="274" w:type="pct"/>
            <w:tcBorders>
              <w:top w:val="nil"/>
              <w:left w:val="single" w:sz="4" w:space="0" w:color="auto"/>
              <w:bottom w:val="single" w:sz="4" w:space="0" w:color="auto"/>
              <w:right w:val="single" w:sz="4" w:space="0" w:color="auto"/>
            </w:tcBorders>
            <w:shd w:val="clear" w:color="auto" w:fill="auto"/>
            <w:vAlign w:val="center"/>
            <w:hideMark/>
          </w:tcPr>
          <w:p w14:paraId="1D72A60D" w14:textId="77777777" w:rsidR="0047261E" w:rsidRPr="0047261E" w:rsidRDefault="0047261E" w:rsidP="0047261E">
            <w:pPr>
              <w:ind w:firstLine="0"/>
              <w:rPr>
                <w:rFonts w:eastAsia="Times New Roman" w:cs="Times New Roman"/>
                <w:szCs w:val="24"/>
                <w:lang w:eastAsia="ru-RU"/>
              </w:rPr>
            </w:pPr>
            <w:r w:rsidRPr="0047261E">
              <w:rPr>
                <w:rFonts w:eastAsia="Times New Roman" w:cs="Times New Roman"/>
                <w:szCs w:val="24"/>
                <w:lang w:eastAsia="ru-RU"/>
              </w:rPr>
              <w:t>16</w:t>
            </w:r>
          </w:p>
        </w:tc>
        <w:tc>
          <w:tcPr>
            <w:tcW w:w="1728" w:type="pct"/>
            <w:tcBorders>
              <w:top w:val="nil"/>
              <w:left w:val="nil"/>
              <w:bottom w:val="single" w:sz="4" w:space="0" w:color="auto"/>
              <w:right w:val="single" w:sz="4" w:space="0" w:color="auto"/>
            </w:tcBorders>
            <w:shd w:val="clear" w:color="auto" w:fill="auto"/>
            <w:vAlign w:val="center"/>
            <w:hideMark/>
          </w:tcPr>
          <w:p w14:paraId="5258F3E6" w14:textId="77777777" w:rsidR="0047261E" w:rsidRPr="0047261E" w:rsidRDefault="0047261E" w:rsidP="0047261E">
            <w:pPr>
              <w:ind w:firstLine="0"/>
              <w:jc w:val="left"/>
              <w:rPr>
                <w:rFonts w:eastAsia="Times New Roman" w:cs="Times New Roman"/>
                <w:szCs w:val="24"/>
                <w:lang w:eastAsia="ru-RU"/>
              </w:rPr>
            </w:pPr>
            <w:r w:rsidRPr="0047261E">
              <w:rPr>
                <w:rFonts w:eastAsia="Times New Roman" w:cs="Times New Roman"/>
                <w:szCs w:val="24"/>
                <w:lang w:eastAsia="ru-RU"/>
              </w:rPr>
              <w:t>Мирнинский район</w:t>
            </w:r>
          </w:p>
        </w:tc>
        <w:tc>
          <w:tcPr>
            <w:tcW w:w="924" w:type="pct"/>
            <w:tcBorders>
              <w:top w:val="nil"/>
              <w:left w:val="nil"/>
              <w:bottom w:val="single" w:sz="4" w:space="0" w:color="auto"/>
              <w:right w:val="single" w:sz="4" w:space="0" w:color="auto"/>
            </w:tcBorders>
            <w:shd w:val="clear" w:color="auto" w:fill="auto"/>
            <w:vAlign w:val="center"/>
            <w:hideMark/>
          </w:tcPr>
          <w:p w14:paraId="39919AB8" w14:textId="77777777" w:rsidR="0047261E" w:rsidRPr="0047261E" w:rsidRDefault="0047261E" w:rsidP="0047261E">
            <w:pPr>
              <w:ind w:firstLine="0"/>
              <w:jc w:val="left"/>
              <w:rPr>
                <w:rFonts w:eastAsia="Times New Roman" w:cs="Times New Roman"/>
                <w:szCs w:val="24"/>
                <w:lang w:eastAsia="ru-RU"/>
              </w:rPr>
            </w:pPr>
            <w:r w:rsidRPr="0047261E">
              <w:rPr>
                <w:rFonts w:eastAsia="Times New Roman" w:cs="Times New Roman"/>
                <w:szCs w:val="24"/>
                <w:lang w:eastAsia="ru-RU"/>
              </w:rPr>
              <w:t>Западная</w:t>
            </w:r>
          </w:p>
        </w:tc>
        <w:tc>
          <w:tcPr>
            <w:tcW w:w="713" w:type="pct"/>
            <w:tcBorders>
              <w:top w:val="nil"/>
              <w:left w:val="nil"/>
              <w:bottom w:val="single" w:sz="4" w:space="0" w:color="auto"/>
              <w:right w:val="single" w:sz="4" w:space="0" w:color="auto"/>
            </w:tcBorders>
            <w:shd w:val="clear" w:color="auto" w:fill="auto"/>
            <w:noWrap/>
            <w:vAlign w:val="center"/>
            <w:hideMark/>
          </w:tcPr>
          <w:p w14:paraId="21E9485B" w14:textId="77777777" w:rsidR="0047261E" w:rsidRPr="0047261E" w:rsidRDefault="0047261E" w:rsidP="0047261E">
            <w:pPr>
              <w:ind w:firstLine="0"/>
              <w:jc w:val="center"/>
              <w:rPr>
                <w:rFonts w:ascii="Times New Roman CYR" w:eastAsia="Times New Roman" w:hAnsi="Times New Roman CYR" w:cs="Times New Roman CYR"/>
                <w:szCs w:val="24"/>
                <w:lang w:eastAsia="ru-RU"/>
              </w:rPr>
            </w:pPr>
            <w:r w:rsidRPr="0047261E">
              <w:rPr>
                <w:rFonts w:ascii="Times New Roman CYR" w:eastAsia="Times New Roman" w:hAnsi="Times New Roman CYR" w:cs="Times New Roman CYR"/>
                <w:szCs w:val="24"/>
                <w:lang w:eastAsia="ru-RU"/>
              </w:rPr>
              <w:t>16577919</w:t>
            </w:r>
          </w:p>
        </w:tc>
        <w:tc>
          <w:tcPr>
            <w:tcW w:w="1361" w:type="pct"/>
            <w:tcBorders>
              <w:top w:val="nil"/>
              <w:left w:val="nil"/>
              <w:bottom w:val="single" w:sz="4" w:space="0" w:color="auto"/>
              <w:right w:val="single" w:sz="4" w:space="0" w:color="auto"/>
            </w:tcBorders>
            <w:shd w:val="clear" w:color="auto" w:fill="auto"/>
            <w:vAlign w:val="center"/>
            <w:hideMark/>
          </w:tcPr>
          <w:p w14:paraId="0D8997CA" w14:textId="2C27FC9C" w:rsidR="0047261E" w:rsidRPr="0047261E" w:rsidRDefault="00A90944" w:rsidP="003E7869">
            <w:pPr>
              <w:widowControl w:val="0"/>
              <w:suppressAutoHyphens/>
              <w:autoSpaceDN w:val="0"/>
              <w:ind w:firstLine="0"/>
              <w:textAlignment w:val="baseline"/>
              <w:rPr>
                <w:rFonts w:eastAsia="Times New Roman" w:cs="Times New Roman"/>
                <w:kern w:val="3"/>
                <w:szCs w:val="24"/>
                <w:lang w:eastAsia="ru-RU" w:bidi="hi-IN"/>
              </w:rPr>
            </w:pPr>
            <w:hyperlink r:id="rId80" w:tooltip="Мирный (Якутия)" w:history="1">
              <w:r w:rsidR="0047261E" w:rsidRPr="0047261E">
                <w:rPr>
                  <w:rFonts w:eastAsia="Times New Roman" w:cs="Times New Roman"/>
                  <w:kern w:val="3"/>
                  <w:szCs w:val="24"/>
                  <w:lang w:eastAsia="ru-RU" w:bidi="hi-IN"/>
                </w:rPr>
                <w:t>Мирный</w:t>
              </w:r>
            </w:hyperlink>
          </w:p>
        </w:tc>
      </w:tr>
      <w:tr w:rsidR="0047261E" w:rsidRPr="0047261E" w14:paraId="76A82777" w14:textId="77777777" w:rsidTr="0047261E">
        <w:trPr>
          <w:trHeight w:val="315"/>
        </w:trPr>
        <w:tc>
          <w:tcPr>
            <w:tcW w:w="274" w:type="pct"/>
            <w:tcBorders>
              <w:top w:val="nil"/>
              <w:left w:val="single" w:sz="4" w:space="0" w:color="auto"/>
              <w:bottom w:val="single" w:sz="4" w:space="0" w:color="auto"/>
              <w:right w:val="single" w:sz="4" w:space="0" w:color="auto"/>
            </w:tcBorders>
            <w:shd w:val="clear" w:color="auto" w:fill="auto"/>
            <w:vAlign w:val="center"/>
            <w:hideMark/>
          </w:tcPr>
          <w:p w14:paraId="391C7098" w14:textId="77777777" w:rsidR="0047261E" w:rsidRPr="0047261E" w:rsidRDefault="0047261E" w:rsidP="0047261E">
            <w:pPr>
              <w:ind w:firstLine="0"/>
              <w:rPr>
                <w:rFonts w:eastAsia="Times New Roman" w:cs="Times New Roman"/>
                <w:szCs w:val="24"/>
                <w:lang w:eastAsia="ru-RU"/>
              </w:rPr>
            </w:pPr>
            <w:r w:rsidRPr="0047261E">
              <w:rPr>
                <w:rFonts w:eastAsia="Times New Roman" w:cs="Times New Roman"/>
                <w:szCs w:val="24"/>
                <w:lang w:eastAsia="ru-RU"/>
              </w:rPr>
              <w:t>17</w:t>
            </w:r>
          </w:p>
        </w:tc>
        <w:tc>
          <w:tcPr>
            <w:tcW w:w="1728" w:type="pct"/>
            <w:tcBorders>
              <w:top w:val="nil"/>
              <w:left w:val="nil"/>
              <w:bottom w:val="single" w:sz="4" w:space="0" w:color="auto"/>
              <w:right w:val="single" w:sz="4" w:space="0" w:color="auto"/>
            </w:tcBorders>
            <w:shd w:val="clear" w:color="auto" w:fill="auto"/>
            <w:vAlign w:val="center"/>
            <w:hideMark/>
          </w:tcPr>
          <w:p w14:paraId="131850C3" w14:textId="77777777" w:rsidR="0047261E" w:rsidRPr="0047261E" w:rsidRDefault="0047261E" w:rsidP="0047261E">
            <w:pPr>
              <w:ind w:firstLine="0"/>
              <w:jc w:val="left"/>
              <w:rPr>
                <w:rFonts w:eastAsia="Times New Roman" w:cs="Times New Roman"/>
                <w:szCs w:val="24"/>
                <w:lang w:eastAsia="ru-RU"/>
              </w:rPr>
            </w:pPr>
            <w:r w:rsidRPr="0047261E">
              <w:rPr>
                <w:rFonts w:eastAsia="Times New Roman" w:cs="Times New Roman"/>
                <w:szCs w:val="24"/>
                <w:lang w:eastAsia="ru-RU"/>
              </w:rPr>
              <w:t>Момский район</w:t>
            </w:r>
          </w:p>
        </w:tc>
        <w:tc>
          <w:tcPr>
            <w:tcW w:w="924" w:type="pct"/>
            <w:tcBorders>
              <w:top w:val="nil"/>
              <w:left w:val="nil"/>
              <w:bottom w:val="single" w:sz="4" w:space="0" w:color="auto"/>
              <w:right w:val="single" w:sz="4" w:space="0" w:color="auto"/>
            </w:tcBorders>
            <w:shd w:val="clear" w:color="auto" w:fill="auto"/>
            <w:vAlign w:val="center"/>
            <w:hideMark/>
          </w:tcPr>
          <w:p w14:paraId="26DEFEA4" w14:textId="77777777" w:rsidR="0047261E" w:rsidRPr="0047261E" w:rsidRDefault="0047261E" w:rsidP="0047261E">
            <w:pPr>
              <w:ind w:firstLine="0"/>
              <w:jc w:val="left"/>
              <w:rPr>
                <w:rFonts w:eastAsia="Times New Roman" w:cs="Times New Roman"/>
                <w:szCs w:val="24"/>
                <w:lang w:eastAsia="ru-RU"/>
              </w:rPr>
            </w:pPr>
            <w:r w:rsidRPr="0047261E">
              <w:rPr>
                <w:rFonts w:eastAsia="Times New Roman" w:cs="Times New Roman"/>
                <w:szCs w:val="24"/>
                <w:lang w:eastAsia="ru-RU"/>
              </w:rPr>
              <w:t>Арктическая</w:t>
            </w:r>
          </w:p>
        </w:tc>
        <w:tc>
          <w:tcPr>
            <w:tcW w:w="713" w:type="pct"/>
            <w:tcBorders>
              <w:top w:val="nil"/>
              <w:left w:val="nil"/>
              <w:bottom w:val="single" w:sz="4" w:space="0" w:color="auto"/>
              <w:right w:val="single" w:sz="4" w:space="0" w:color="auto"/>
            </w:tcBorders>
            <w:shd w:val="clear" w:color="auto" w:fill="auto"/>
            <w:noWrap/>
            <w:vAlign w:val="center"/>
            <w:hideMark/>
          </w:tcPr>
          <w:p w14:paraId="53DB9D16" w14:textId="77777777" w:rsidR="0047261E" w:rsidRPr="0047261E" w:rsidRDefault="0047261E" w:rsidP="0047261E">
            <w:pPr>
              <w:ind w:firstLine="0"/>
              <w:jc w:val="center"/>
              <w:rPr>
                <w:rFonts w:ascii="Times New Roman CYR" w:eastAsia="Times New Roman" w:hAnsi="Times New Roman CYR" w:cs="Times New Roman CYR"/>
                <w:szCs w:val="24"/>
                <w:lang w:eastAsia="ru-RU"/>
              </w:rPr>
            </w:pPr>
            <w:r w:rsidRPr="0047261E">
              <w:rPr>
                <w:rFonts w:ascii="Times New Roman CYR" w:eastAsia="Times New Roman" w:hAnsi="Times New Roman CYR" w:cs="Times New Roman CYR"/>
                <w:szCs w:val="24"/>
                <w:lang w:eastAsia="ru-RU"/>
              </w:rPr>
              <w:t>10462674</w:t>
            </w:r>
          </w:p>
        </w:tc>
        <w:tc>
          <w:tcPr>
            <w:tcW w:w="1361" w:type="pct"/>
            <w:tcBorders>
              <w:top w:val="nil"/>
              <w:left w:val="nil"/>
              <w:bottom w:val="single" w:sz="4" w:space="0" w:color="auto"/>
              <w:right w:val="single" w:sz="4" w:space="0" w:color="auto"/>
            </w:tcBorders>
            <w:shd w:val="clear" w:color="auto" w:fill="auto"/>
            <w:vAlign w:val="center"/>
            <w:hideMark/>
          </w:tcPr>
          <w:p w14:paraId="2B264815" w14:textId="1512ACBD" w:rsidR="0047261E" w:rsidRPr="0047261E" w:rsidRDefault="00A90944" w:rsidP="003E7869">
            <w:pPr>
              <w:widowControl w:val="0"/>
              <w:suppressAutoHyphens/>
              <w:autoSpaceDN w:val="0"/>
              <w:ind w:firstLine="0"/>
              <w:textAlignment w:val="baseline"/>
              <w:rPr>
                <w:rFonts w:eastAsia="Times New Roman" w:cs="Times New Roman"/>
                <w:kern w:val="3"/>
                <w:szCs w:val="24"/>
                <w:lang w:eastAsia="ru-RU" w:bidi="hi-IN"/>
              </w:rPr>
            </w:pPr>
            <w:hyperlink r:id="rId81" w:tooltip="Хонуу" w:history="1">
              <w:r w:rsidR="0047261E" w:rsidRPr="0047261E">
                <w:rPr>
                  <w:rFonts w:eastAsia="Times New Roman" w:cs="Times New Roman"/>
                  <w:kern w:val="3"/>
                  <w:szCs w:val="24"/>
                  <w:lang w:eastAsia="ru-RU" w:bidi="hi-IN"/>
                </w:rPr>
                <w:t>Хонуу</w:t>
              </w:r>
            </w:hyperlink>
          </w:p>
        </w:tc>
      </w:tr>
      <w:tr w:rsidR="0047261E" w:rsidRPr="0047261E" w14:paraId="6D76E5A2" w14:textId="77777777" w:rsidTr="0047261E">
        <w:trPr>
          <w:trHeight w:val="315"/>
        </w:trPr>
        <w:tc>
          <w:tcPr>
            <w:tcW w:w="274" w:type="pct"/>
            <w:tcBorders>
              <w:top w:val="nil"/>
              <w:left w:val="single" w:sz="4" w:space="0" w:color="auto"/>
              <w:bottom w:val="single" w:sz="4" w:space="0" w:color="auto"/>
              <w:right w:val="single" w:sz="4" w:space="0" w:color="auto"/>
            </w:tcBorders>
            <w:shd w:val="clear" w:color="auto" w:fill="auto"/>
            <w:vAlign w:val="center"/>
            <w:hideMark/>
          </w:tcPr>
          <w:p w14:paraId="2BFEF844" w14:textId="77777777" w:rsidR="0047261E" w:rsidRPr="0047261E" w:rsidRDefault="0047261E" w:rsidP="0047261E">
            <w:pPr>
              <w:ind w:firstLine="0"/>
              <w:rPr>
                <w:rFonts w:eastAsia="Times New Roman" w:cs="Times New Roman"/>
                <w:szCs w:val="24"/>
                <w:lang w:eastAsia="ru-RU"/>
              </w:rPr>
            </w:pPr>
            <w:r w:rsidRPr="0047261E">
              <w:rPr>
                <w:rFonts w:eastAsia="Times New Roman" w:cs="Times New Roman"/>
                <w:szCs w:val="24"/>
                <w:lang w:eastAsia="ru-RU"/>
              </w:rPr>
              <w:t>18</w:t>
            </w:r>
          </w:p>
        </w:tc>
        <w:tc>
          <w:tcPr>
            <w:tcW w:w="1728" w:type="pct"/>
            <w:tcBorders>
              <w:top w:val="nil"/>
              <w:left w:val="nil"/>
              <w:bottom w:val="single" w:sz="4" w:space="0" w:color="auto"/>
              <w:right w:val="single" w:sz="4" w:space="0" w:color="auto"/>
            </w:tcBorders>
            <w:shd w:val="clear" w:color="auto" w:fill="auto"/>
            <w:vAlign w:val="center"/>
            <w:hideMark/>
          </w:tcPr>
          <w:p w14:paraId="6F87223D" w14:textId="77777777" w:rsidR="0047261E" w:rsidRPr="0047261E" w:rsidRDefault="0047261E" w:rsidP="0047261E">
            <w:pPr>
              <w:ind w:firstLine="0"/>
              <w:jc w:val="left"/>
              <w:rPr>
                <w:rFonts w:eastAsia="Times New Roman" w:cs="Times New Roman"/>
                <w:szCs w:val="24"/>
                <w:lang w:eastAsia="ru-RU"/>
              </w:rPr>
            </w:pPr>
            <w:r w:rsidRPr="0047261E">
              <w:rPr>
                <w:rFonts w:eastAsia="Times New Roman" w:cs="Times New Roman"/>
                <w:szCs w:val="24"/>
                <w:lang w:eastAsia="ru-RU"/>
              </w:rPr>
              <w:t>Намский улус</w:t>
            </w:r>
          </w:p>
        </w:tc>
        <w:tc>
          <w:tcPr>
            <w:tcW w:w="924" w:type="pct"/>
            <w:tcBorders>
              <w:top w:val="nil"/>
              <w:left w:val="nil"/>
              <w:bottom w:val="single" w:sz="4" w:space="0" w:color="auto"/>
              <w:right w:val="single" w:sz="4" w:space="0" w:color="auto"/>
            </w:tcBorders>
            <w:shd w:val="clear" w:color="auto" w:fill="auto"/>
            <w:vAlign w:val="center"/>
            <w:hideMark/>
          </w:tcPr>
          <w:p w14:paraId="2E3980B0" w14:textId="77777777" w:rsidR="0047261E" w:rsidRPr="0047261E" w:rsidRDefault="0047261E" w:rsidP="0047261E">
            <w:pPr>
              <w:ind w:firstLine="0"/>
              <w:jc w:val="left"/>
              <w:rPr>
                <w:rFonts w:eastAsia="Times New Roman" w:cs="Times New Roman"/>
                <w:szCs w:val="24"/>
                <w:lang w:eastAsia="ru-RU"/>
              </w:rPr>
            </w:pPr>
            <w:r w:rsidRPr="0047261E">
              <w:rPr>
                <w:rFonts w:eastAsia="Times New Roman" w:cs="Times New Roman"/>
                <w:szCs w:val="24"/>
                <w:lang w:eastAsia="ru-RU"/>
              </w:rPr>
              <w:t>Центральная</w:t>
            </w:r>
          </w:p>
        </w:tc>
        <w:tc>
          <w:tcPr>
            <w:tcW w:w="713" w:type="pct"/>
            <w:tcBorders>
              <w:top w:val="nil"/>
              <w:left w:val="nil"/>
              <w:bottom w:val="single" w:sz="4" w:space="0" w:color="auto"/>
              <w:right w:val="single" w:sz="4" w:space="0" w:color="auto"/>
            </w:tcBorders>
            <w:shd w:val="clear" w:color="auto" w:fill="auto"/>
            <w:noWrap/>
            <w:vAlign w:val="center"/>
            <w:hideMark/>
          </w:tcPr>
          <w:p w14:paraId="6F0AA398" w14:textId="77777777" w:rsidR="0047261E" w:rsidRPr="0047261E" w:rsidRDefault="0047261E" w:rsidP="0047261E">
            <w:pPr>
              <w:ind w:firstLine="0"/>
              <w:jc w:val="center"/>
              <w:rPr>
                <w:rFonts w:ascii="Times New Roman CYR" w:eastAsia="Times New Roman" w:hAnsi="Times New Roman CYR" w:cs="Times New Roman CYR"/>
                <w:szCs w:val="24"/>
                <w:lang w:eastAsia="ru-RU"/>
              </w:rPr>
            </w:pPr>
            <w:r w:rsidRPr="0047261E">
              <w:rPr>
                <w:rFonts w:ascii="Times New Roman CYR" w:eastAsia="Times New Roman" w:hAnsi="Times New Roman CYR" w:cs="Times New Roman CYR"/>
                <w:szCs w:val="24"/>
                <w:lang w:eastAsia="ru-RU"/>
              </w:rPr>
              <w:t>1186980</w:t>
            </w:r>
          </w:p>
        </w:tc>
        <w:tc>
          <w:tcPr>
            <w:tcW w:w="1361" w:type="pct"/>
            <w:tcBorders>
              <w:top w:val="nil"/>
              <w:left w:val="nil"/>
              <w:bottom w:val="single" w:sz="4" w:space="0" w:color="auto"/>
              <w:right w:val="single" w:sz="4" w:space="0" w:color="auto"/>
            </w:tcBorders>
            <w:shd w:val="clear" w:color="auto" w:fill="auto"/>
            <w:vAlign w:val="center"/>
            <w:hideMark/>
          </w:tcPr>
          <w:p w14:paraId="0632FF40" w14:textId="08798DC1" w:rsidR="0047261E" w:rsidRPr="0047261E" w:rsidRDefault="00A90944" w:rsidP="003E7869">
            <w:pPr>
              <w:widowControl w:val="0"/>
              <w:suppressAutoHyphens/>
              <w:autoSpaceDN w:val="0"/>
              <w:ind w:firstLine="0"/>
              <w:textAlignment w:val="baseline"/>
              <w:rPr>
                <w:rFonts w:eastAsia="Times New Roman" w:cs="Times New Roman"/>
                <w:kern w:val="3"/>
                <w:szCs w:val="24"/>
                <w:lang w:eastAsia="ru-RU" w:bidi="hi-IN"/>
              </w:rPr>
            </w:pPr>
            <w:hyperlink r:id="rId82" w:tooltip="Намцы" w:history="1">
              <w:r w:rsidR="0047261E" w:rsidRPr="0047261E">
                <w:rPr>
                  <w:rFonts w:eastAsia="Times New Roman" w:cs="Times New Roman"/>
                  <w:kern w:val="3"/>
                  <w:szCs w:val="24"/>
                  <w:lang w:eastAsia="ru-RU" w:bidi="hi-IN"/>
                </w:rPr>
                <w:t>Намцы</w:t>
              </w:r>
            </w:hyperlink>
          </w:p>
        </w:tc>
      </w:tr>
      <w:tr w:rsidR="0047261E" w:rsidRPr="0047261E" w14:paraId="57B9FD77" w14:textId="77777777" w:rsidTr="0047261E">
        <w:trPr>
          <w:trHeight w:val="315"/>
        </w:trPr>
        <w:tc>
          <w:tcPr>
            <w:tcW w:w="274" w:type="pct"/>
            <w:tcBorders>
              <w:top w:val="nil"/>
              <w:left w:val="single" w:sz="4" w:space="0" w:color="auto"/>
              <w:bottom w:val="single" w:sz="4" w:space="0" w:color="auto"/>
              <w:right w:val="single" w:sz="4" w:space="0" w:color="auto"/>
            </w:tcBorders>
            <w:shd w:val="clear" w:color="auto" w:fill="auto"/>
            <w:vAlign w:val="center"/>
            <w:hideMark/>
          </w:tcPr>
          <w:p w14:paraId="05545837" w14:textId="77777777" w:rsidR="0047261E" w:rsidRPr="0047261E" w:rsidRDefault="0047261E" w:rsidP="0047261E">
            <w:pPr>
              <w:ind w:firstLine="0"/>
              <w:rPr>
                <w:rFonts w:eastAsia="Times New Roman" w:cs="Times New Roman"/>
                <w:szCs w:val="24"/>
                <w:lang w:eastAsia="ru-RU"/>
              </w:rPr>
            </w:pPr>
            <w:r w:rsidRPr="0047261E">
              <w:rPr>
                <w:rFonts w:eastAsia="Times New Roman" w:cs="Times New Roman"/>
                <w:szCs w:val="24"/>
                <w:lang w:eastAsia="ru-RU"/>
              </w:rPr>
              <w:t>19</w:t>
            </w:r>
          </w:p>
        </w:tc>
        <w:tc>
          <w:tcPr>
            <w:tcW w:w="1728" w:type="pct"/>
            <w:tcBorders>
              <w:top w:val="nil"/>
              <w:left w:val="nil"/>
              <w:bottom w:val="single" w:sz="4" w:space="0" w:color="auto"/>
              <w:right w:val="single" w:sz="4" w:space="0" w:color="auto"/>
            </w:tcBorders>
            <w:shd w:val="clear" w:color="auto" w:fill="auto"/>
            <w:vAlign w:val="center"/>
            <w:hideMark/>
          </w:tcPr>
          <w:p w14:paraId="0FC8D9E0" w14:textId="77777777" w:rsidR="0047261E" w:rsidRPr="0047261E" w:rsidRDefault="0047261E" w:rsidP="0047261E">
            <w:pPr>
              <w:ind w:firstLine="0"/>
              <w:jc w:val="left"/>
              <w:rPr>
                <w:rFonts w:eastAsia="Times New Roman" w:cs="Times New Roman"/>
                <w:szCs w:val="24"/>
                <w:lang w:eastAsia="ru-RU"/>
              </w:rPr>
            </w:pPr>
            <w:r w:rsidRPr="0047261E">
              <w:rPr>
                <w:rFonts w:eastAsia="Times New Roman" w:cs="Times New Roman"/>
                <w:szCs w:val="24"/>
                <w:lang w:eastAsia="ru-RU"/>
              </w:rPr>
              <w:t>Нерюнгринский район</w:t>
            </w:r>
          </w:p>
        </w:tc>
        <w:tc>
          <w:tcPr>
            <w:tcW w:w="924" w:type="pct"/>
            <w:tcBorders>
              <w:top w:val="nil"/>
              <w:left w:val="nil"/>
              <w:bottom w:val="single" w:sz="4" w:space="0" w:color="auto"/>
              <w:right w:val="single" w:sz="4" w:space="0" w:color="auto"/>
            </w:tcBorders>
            <w:shd w:val="clear" w:color="auto" w:fill="auto"/>
            <w:vAlign w:val="center"/>
            <w:hideMark/>
          </w:tcPr>
          <w:p w14:paraId="275B1A14" w14:textId="77777777" w:rsidR="0047261E" w:rsidRPr="0047261E" w:rsidRDefault="0047261E" w:rsidP="0047261E">
            <w:pPr>
              <w:ind w:firstLine="0"/>
              <w:jc w:val="left"/>
              <w:rPr>
                <w:rFonts w:eastAsia="Times New Roman" w:cs="Times New Roman"/>
                <w:szCs w:val="24"/>
                <w:lang w:eastAsia="ru-RU"/>
              </w:rPr>
            </w:pPr>
            <w:r w:rsidRPr="0047261E">
              <w:rPr>
                <w:rFonts w:eastAsia="Times New Roman" w:cs="Times New Roman"/>
                <w:szCs w:val="24"/>
                <w:lang w:eastAsia="ru-RU"/>
              </w:rPr>
              <w:t>Южная</w:t>
            </w:r>
          </w:p>
        </w:tc>
        <w:tc>
          <w:tcPr>
            <w:tcW w:w="713" w:type="pct"/>
            <w:tcBorders>
              <w:top w:val="nil"/>
              <w:left w:val="nil"/>
              <w:bottom w:val="single" w:sz="4" w:space="0" w:color="auto"/>
              <w:right w:val="single" w:sz="4" w:space="0" w:color="auto"/>
            </w:tcBorders>
            <w:shd w:val="clear" w:color="auto" w:fill="auto"/>
            <w:noWrap/>
            <w:vAlign w:val="center"/>
            <w:hideMark/>
          </w:tcPr>
          <w:p w14:paraId="6D04317A" w14:textId="77777777" w:rsidR="0047261E" w:rsidRPr="0047261E" w:rsidRDefault="0047261E" w:rsidP="0047261E">
            <w:pPr>
              <w:ind w:firstLine="0"/>
              <w:jc w:val="center"/>
              <w:rPr>
                <w:rFonts w:ascii="Times New Roman CYR" w:eastAsia="Times New Roman" w:hAnsi="Times New Roman CYR" w:cs="Times New Roman CYR"/>
                <w:szCs w:val="24"/>
                <w:lang w:eastAsia="ru-RU"/>
              </w:rPr>
            </w:pPr>
            <w:r w:rsidRPr="0047261E">
              <w:rPr>
                <w:rFonts w:ascii="Times New Roman CYR" w:eastAsia="Times New Roman" w:hAnsi="Times New Roman CYR" w:cs="Times New Roman CYR"/>
                <w:szCs w:val="24"/>
                <w:lang w:eastAsia="ru-RU"/>
              </w:rPr>
              <w:t>9888952</w:t>
            </w:r>
          </w:p>
        </w:tc>
        <w:tc>
          <w:tcPr>
            <w:tcW w:w="1361" w:type="pct"/>
            <w:tcBorders>
              <w:top w:val="nil"/>
              <w:left w:val="nil"/>
              <w:bottom w:val="single" w:sz="4" w:space="0" w:color="auto"/>
              <w:right w:val="single" w:sz="4" w:space="0" w:color="auto"/>
            </w:tcBorders>
            <w:shd w:val="clear" w:color="auto" w:fill="auto"/>
            <w:vAlign w:val="center"/>
            <w:hideMark/>
          </w:tcPr>
          <w:p w14:paraId="54EB08B5" w14:textId="3A3FD658" w:rsidR="0047261E" w:rsidRPr="0047261E" w:rsidRDefault="00A90944" w:rsidP="003E7869">
            <w:pPr>
              <w:widowControl w:val="0"/>
              <w:suppressAutoHyphens/>
              <w:autoSpaceDN w:val="0"/>
              <w:ind w:firstLine="0"/>
              <w:textAlignment w:val="baseline"/>
              <w:rPr>
                <w:rFonts w:eastAsia="Times New Roman" w:cs="Times New Roman"/>
                <w:kern w:val="3"/>
                <w:szCs w:val="24"/>
                <w:lang w:eastAsia="ru-RU" w:bidi="hi-IN"/>
              </w:rPr>
            </w:pPr>
            <w:hyperlink r:id="rId83" w:tooltip="Нерюнгри" w:history="1">
              <w:r w:rsidR="0047261E" w:rsidRPr="0047261E">
                <w:rPr>
                  <w:rFonts w:eastAsia="Times New Roman" w:cs="Times New Roman"/>
                  <w:kern w:val="3"/>
                  <w:szCs w:val="24"/>
                  <w:lang w:eastAsia="ru-RU" w:bidi="hi-IN"/>
                </w:rPr>
                <w:t>Нерюнгри</w:t>
              </w:r>
            </w:hyperlink>
          </w:p>
        </w:tc>
      </w:tr>
      <w:tr w:rsidR="0047261E" w:rsidRPr="0047261E" w14:paraId="7264C98B" w14:textId="77777777" w:rsidTr="0047261E">
        <w:trPr>
          <w:trHeight w:val="315"/>
        </w:trPr>
        <w:tc>
          <w:tcPr>
            <w:tcW w:w="274" w:type="pct"/>
            <w:tcBorders>
              <w:top w:val="nil"/>
              <w:left w:val="single" w:sz="4" w:space="0" w:color="auto"/>
              <w:bottom w:val="single" w:sz="4" w:space="0" w:color="auto"/>
              <w:right w:val="single" w:sz="4" w:space="0" w:color="auto"/>
            </w:tcBorders>
            <w:shd w:val="clear" w:color="auto" w:fill="auto"/>
            <w:vAlign w:val="center"/>
            <w:hideMark/>
          </w:tcPr>
          <w:p w14:paraId="153DA5C9" w14:textId="77777777" w:rsidR="0047261E" w:rsidRPr="0047261E" w:rsidRDefault="0047261E" w:rsidP="0047261E">
            <w:pPr>
              <w:ind w:firstLine="0"/>
              <w:rPr>
                <w:rFonts w:eastAsia="Times New Roman" w:cs="Times New Roman"/>
                <w:szCs w:val="24"/>
                <w:lang w:eastAsia="ru-RU"/>
              </w:rPr>
            </w:pPr>
            <w:r w:rsidRPr="0047261E">
              <w:rPr>
                <w:rFonts w:eastAsia="Times New Roman" w:cs="Times New Roman"/>
                <w:szCs w:val="24"/>
                <w:lang w:eastAsia="ru-RU"/>
              </w:rPr>
              <w:t>20</w:t>
            </w:r>
          </w:p>
        </w:tc>
        <w:tc>
          <w:tcPr>
            <w:tcW w:w="1728" w:type="pct"/>
            <w:tcBorders>
              <w:top w:val="nil"/>
              <w:left w:val="nil"/>
              <w:bottom w:val="single" w:sz="4" w:space="0" w:color="auto"/>
              <w:right w:val="single" w:sz="4" w:space="0" w:color="auto"/>
            </w:tcBorders>
            <w:shd w:val="clear" w:color="auto" w:fill="auto"/>
            <w:vAlign w:val="center"/>
            <w:hideMark/>
          </w:tcPr>
          <w:p w14:paraId="790DC48B" w14:textId="77777777" w:rsidR="0047261E" w:rsidRPr="0047261E" w:rsidRDefault="0047261E" w:rsidP="0047261E">
            <w:pPr>
              <w:ind w:firstLine="0"/>
              <w:jc w:val="left"/>
              <w:rPr>
                <w:rFonts w:eastAsia="Times New Roman" w:cs="Times New Roman"/>
                <w:szCs w:val="24"/>
                <w:lang w:eastAsia="ru-RU"/>
              </w:rPr>
            </w:pPr>
            <w:r w:rsidRPr="0047261E">
              <w:rPr>
                <w:rFonts w:eastAsia="Times New Roman" w:cs="Times New Roman"/>
                <w:szCs w:val="24"/>
                <w:lang w:eastAsia="ru-RU"/>
              </w:rPr>
              <w:t>Нижнеколымский район</w:t>
            </w:r>
          </w:p>
        </w:tc>
        <w:tc>
          <w:tcPr>
            <w:tcW w:w="924" w:type="pct"/>
            <w:tcBorders>
              <w:top w:val="nil"/>
              <w:left w:val="nil"/>
              <w:bottom w:val="single" w:sz="4" w:space="0" w:color="auto"/>
              <w:right w:val="single" w:sz="4" w:space="0" w:color="auto"/>
            </w:tcBorders>
            <w:shd w:val="clear" w:color="auto" w:fill="auto"/>
            <w:vAlign w:val="center"/>
            <w:hideMark/>
          </w:tcPr>
          <w:p w14:paraId="2039EF00" w14:textId="77777777" w:rsidR="0047261E" w:rsidRPr="0047261E" w:rsidRDefault="0047261E" w:rsidP="0047261E">
            <w:pPr>
              <w:ind w:firstLine="0"/>
              <w:jc w:val="left"/>
              <w:rPr>
                <w:rFonts w:eastAsia="Times New Roman" w:cs="Times New Roman"/>
                <w:szCs w:val="24"/>
                <w:lang w:eastAsia="ru-RU"/>
              </w:rPr>
            </w:pPr>
            <w:r w:rsidRPr="0047261E">
              <w:rPr>
                <w:rFonts w:eastAsia="Times New Roman" w:cs="Times New Roman"/>
                <w:szCs w:val="24"/>
                <w:lang w:eastAsia="ru-RU"/>
              </w:rPr>
              <w:t>Арктическая</w:t>
            </w:r>
          </w:p>
        </w:tc>
        <w:tc>
          <w:tcPr>
            <w:tcW w:w="713" w:type="pct"/>
            <w:tcBorders>
              <w:top w:val="nil"/>
              <w:left w:val="nil"/>
              <w:bottom w:val="single" w:sz="4" w:space="0" w:color="auto"/>
              <w:right w:val="single" w:sz="4" w:space="0" w:color="auto"/>
            </w:tcBorders>
            <w:shd w:val="clear" w:color="auto" w:fill="auto"/>
            <w:noWrap/>
            <w:vAlign w:val="center"/>
            <w:hideMark/>
          </w:tcPr>
          <w:p w14:paraId="6992990E" w14:textId="77777777" w:rsidR="0047261E" w:rsidRPr="0047261E" w:rsidRDefault="0047261E" w:rsidP="0047261E">
            <w:pPr>
              <w:ind w:firstLine="0"/>
              <w:jc w:val="center"/>
              <w:rPr>
                <w:rFonts w:ascii="Times New Roman CYR" w:eastAsia="Times New Roman" w:hAnsi="Times New Roman CYR" w:cs="Times New Roman CYR"/>
                <w:szCs w:val="24"/>
                <w:lang w:eastAsia="ru-RU"/>
              </w:rPr>
            </w:pPr>
            <w:r w:rsidRPr="0047261E">
              <w:rPr>
                <w:rFonts w:ascii="Times New Roman CYR" w:eastAsia="Times New Roman" w:hAnsi="Times New Roman CYR" w:cs="Times New Roman CYR"/>
                <w:szCs w:val="24"/>
                <w:lang w:eastAsia="ru-RU"/>
              </w:rPr>
              <w:t>8711754</w:t>
            </w:r>
          </w:p>
        </w:tc>
        <w:tc>
          <w:tcPr>
            <w:tcW w:w="1361" w:type="pct"/>
            <w:tcBorders>
              <w:top w:val="nil"/>
              <w:left w:val="nil"/>
              <w:bottom w:val="single" w:sz="4" w:space="0" w:color="auto"/>
              <w:right w:val="single" w:sz="4" w:space="0" w:color="auto"/>
            </w:tcBorders>
            <w:shd w:val="clear" w:color="auto" w:fill="auto"/>
            <w:vAlign w:val="center"/>
            <w:hideMark/>
          </w:tcPr>
          <w:p w14:paraId="3806A7EC" w14:textId="3E0EAE68" w:rsidR="0047261E" w:rsidRPr="0047261E" w:rsidRDefault="00A90944" w:rsidP="003E7869">
            <w:pPr>
              <w:widowControl w:val="0"/>
              <w:suppressAutoHyphens/>
              <w:autoSpaceDN w:val="0"/>
              <w:ind w:firstLine="0"/>
              <w:textAlignment w:val="baseline"/>
              <w:rPr>
                <w:rFonts w:eastAsia="Times New Roman" w:cs="Times New Roman"/>
                <w:kern w:val="3"/>
                <w:szCs w:val="24"/>
                <w:lang w:eastAsia="ru-RU" w:bidi="hi-IN"/>
              </w:rPr>
            </w:pPr>
            <w:hyperlink r:id="rId84" w:tooltip="Черский (Якутия)" w:history="1">
              <w:r w:rsidR="0047261E" w:rsidRPr="0047261E">
                <w:rPr>
                  <w:rFonts w:eastAsia="Times New Roman" w:cs="Times New Roman"/>
                  <w:kern w:val="3"/>
                  <w:szCs w:val="24"/>
                  <w:lang w:eastAsia="ru-RU" w:bidi="hi-IN"/>
                </w:rPr>
                <w:t>Черский</w:t>
              </w:r>
            </w:hyperlink>
          </w:p>
        </w:tc>
      </w:tr>
      <w:tr w:rsidR="0047261E" w:rsidRPr="0047261E" w14:paraId="1510E504" w14:textId="77777777" w:rsidTr="0047261E">
        <w:trPr>
          <w:trHeight w:val="315"/>
        </w:trPr>
        <w:tc>
          <w:tcPr>
            <w:tcW w:w="274" w:type="pct"/>
            <w:tcBorders>
              <w:top w:val="nil"/>
              <w:left w:val="single" w:sz="4" w:space="0" w:color="auto"/>
              <w:bottom w:val="single" w:sz="4" w:space="0" w:color="auto"/>
              <w:right w:val="single" w:sz="4" w:space="0" w:color="auto"/>
            </w:tcBorders>
            <w:shd w:val="clear" w:color="auto" w:fill="auto"/>
            <w:vAlign w:val="center"/>
            <w:hideMark/>
          </w:tcPr>
          <w:p w14:paraId="1F94DE45" w14:textId="77777777" w:rsidR="0047261E" w:rsidRPr="0047261E" w:rsidRDefault="0047261E" w:rsidP="0047261E">
            <w:pPr>
              <w:ind w:firstLine="0"/>
              <w:rPr>
                <w:rFonts w:eastAsia="Times New Roman" w:cs="Times New Roman"/>
                <w:szCs w:val="24"/>
                <w:lang w:eastAsia="ru-RU"/>
              </w:rPr>
            </w:pPr>
            <w:r w:rsidRPr="0047261E">
              <w:rPr>
                <w:rFonts w:eastAsia="Times New Roman" w:cs="Times New Roman"/>
                <w:szCs w:val="24"/>
                <w:lang w:eastAsia="ru-RU"/>
              </w:rPr>
              <w:t>21</w:t>
            </w:r>
          </w:p>
        </w:tc>
        <w:tc>
          <w:tcPr>
            <w:tcW w:w="1728" w:type="pct"/>
            <w:tcBorders>
              <w:top w:val="nil"/>
              <w:left w:val="nil"/>
              <w:bottom w:val="single" w:sz="4" w:space="0" w:color="auto"/>
              <w:right w:val="single" w:sz="4" w:space="0" w:color="auto"/>
            </w:tcBorders>
            <w:shd w:val="clear" w:color="auto" w:fill="auto"/>
            <w:vAlign w:val="center"/>
            <w:hideMark/>
          </w:tcPr>
          <w:p w14:paraId="2D1FD1D0" w14:textId="77777777" w:rsidR="0047261E" w:rsidRPr="0047261E" w:rsidRDefault="0047261E" w:rsidP="0047261E">
            <w:pPr>
              <w:ind w:firstLine="0"/>
              <w:jc w:val="left"/>
              <w:rPr>
                <w:rFonts w:eastAsia="Times New Roman" w:cs="Times New Roman"/>
                <w:szCs w:val="24"/>
                <w:lang w:eastAsia="ru-RU"/>
              </w:rPr>
            </w:pPr>
            <w:r w:rsidRPr="0047261E">
              <w:rPr>
                <w:rFonts w:eastAsia="Times New Roman" w:cs="Times New Roman"/>
                <w:szCs w:val="24"/>
                <w:lang w:eastAsia="ru-RU"/>
              </w:rPr>
              <w:t>Нюрбинский район</w:t>
            </w:r>
          </w:p>
        </w:tc>
        <w:tc>
          <w:tcPr>
            <w:tcW w:w="924" w:type="pct"/>
            <w:tcBorders>
              <w:top w:val="nil"/>
              <w:left w:val="nil"/>
              <w:bottom w:val="single" w:sz="4" w:space="0" w:color="auto"/>
              <w:right w:val="single" w:sz="4" w:space="0" w:color="auto"/>
            </w:tcBorders>
            <w:shd w:val="clear" w:color="auto" w:fill="auto"/>
            <w:vAlign w:val="center"/>
            <w:hideMark/>
          </w:tcPr>
          <w:p w14:paraId="38C0DCBF" w14:textId="77777777" w:rsidR="0047261E" w:rsidRPr="0047261E" w:rsidRDefault="0047261E" w:rsidP="0047261E">
            <w:pPr>
              <w:ind w:firstLine="0"/>
              <w:jc w:val="left"/>
              <w:rPr>
                <w:rFonts w:eastAsia="Times New Roman" w:cs="Times New Roman"/>
                <w:szCs w:val="24"/>
                <w:lang w:eastAsia="ru-RU"/>
              </w:rPr>
            </w:pPr>
            <w:r w:rsidRPr="0047261E">
              <w:rPr>
                <w:rFonts w:eastAsia="Times New Roman" w:cs="Times New Roman"/>
                <w:szCs w:val="24"/>
                <w:lang w:eastAsia="ru-RU"/>
              </w:rPr>
              <w:t>Западная</w:t>
            </w:r>
          </w:p>
        </w:tc>
        <w:tc>
          <w:tcPr>
            <w:tcW w:w="713" w:type="pct"/>
            <w:tcBorders>
              <w:top w:val="nil"/>
              <w:left w:val="nil"/>
              <w:bottom w:val="single" w:sz="4" w:space="0" w:color="auto"/>
              <w:right w:val="single" w:sz="4" w:space="0" w:color="auto"/>
            </w:tcBorders>
            <w:shd w:val="clear" w:color="auto" w:fill="auto"/>
            <w:noWrap/>
            <w:vAlign w:val="center"/>
            <w:hideMark/>
          </w:tcPr>
          <w:p w14:paraId="59E17077" w14:textId="77777777" w:rsidR="0047261E" w:rsidRPr="0047261E" w:rsidRDefault="0047261E" w:rsidP="0047261E">
            <w:pPr>
              <w:ind w:firstLine="0"/>
              <w:jc w:val="center"/>
              <w:rPr>
                <w:rFonts w:ascii="Times New Roman CYR" w:eastAsia="Times New Roman" w:hAnsi="Times New Roman CYR" w:cs="Times New Roman CYR"/>
                <w:szCs w:val="24"/>
                <w:lang w:eastAsia="ru-RU"/>
              </w:rPr>
            </w:pPr>
            <w:r w:rsidRPr="0047261E">
              <w:rPr>
                <w:rFonts w:ascii="Times New Roman CYR" w:eastAsia="Times New Roman" w:hAnsi="Times New Roman CYR" w:cs="Times New Roman CYR"/>
                <w:szCs w:val="24"/>
                <w:lang w:eastAsia="ru-RU"/>
              </w:rPr>
              <w:t>5243624</w:t>
            </w:r>
          </w:p>
        </w:tc>
        <w:tc>
          <w:tcPr>
            <w:tcW w:w="1361" w:type="pct"/>
            <w:tcBorders>
              <w:top w:val="nil"/>
              <w:left w:val="nil"/>
              <w:bottom w:val="single" w:sz="4" w:space="0" w:color="auto"/>
              <w:right w:val="single" w:sz="4" w:space="0" w:color="auto"/>
            </w:tcBorders>
            <w:shd w:val="clear" w:color="auto" w:fill="auto"/>
            <w:vAlign w:val="center"/>
            <w:hideMark/>
          </w:tcPr>
          <w:p w14:paraId="38A46058" w14:textId="5445ADB6" w:rsidR="0047261E" w:rsidRPr="0047261E" w:rsidRDefault="00A90944" w:rsidP="003E7869">
            <w:pPr>
              <w:widowControl w:val="0"/>
              <w:suppressAutoHyphens/>
              <w:autoSpaceDN w:val="0"/>
              <w:ind w:firstLine="0"/>
              <w:textAlignment w:val="baseline"/>
              <w:rPr>
                <w:rFonts w:eastAsia="Times New Roman" w:cs="Times New Roman"/>
                <w:kern w:val="3"/>
                <w:szCs w:val="24"/>
                <w:lang w:eastAsia="ru-RU" w:bidi="hi-IN"/>
              </w:rPr>
            </w:pPr>
            <w:hyperlink r:id="rId85" w:tooltip="Нюрба" w:history="1">
              <w:r w:rsidR="0047261E" w:rsidRPr="0047261E">
                <w:rPr>
                  <w:rFonts w:eastAsia="Times New Roman" w:cs="Times New Roman"/>
                  <w:kern w:val="3"/>
                  <w:szCs w:val="24"/>
                  <w:lang w:eastAsia="ru-RU" w:bidi="hi-IN"/>
                </w:rPr>
                <w:t>Нюрба</w:t>
              </w:r>
            </w:hyperlink>
          </w:p>
        </w:tc>
      </w:tr>
      <w:tr w:rsidR="0047261E" w:rsidRPr="0047261E" w14:paraId="1FCD0394" w14:textId="77777777" w:rsidTr="0047261E">
        <w:trPr>
          <w:trHeight w:val="315"/>
        </w:trPr>
        <w:tc>
          <w:tcPr>
            <w:tcW w:w="274" w:type="pct"/>
            <w:tcBorders>
              <w:top w:val="nil"/>
              <w:left w:val="single" w:sz="4" w:space="0" w:color="auto"/>
              <w:bottom w:val="single" w:sz="4" w:space="0" w:color="auto"/>
              <w:right w:val="single" w:sz="4" w:space="0" w:color="auto"/>
            </w:tcBorders>
            <w:shd w:val="clear" w:color="auto" w:fill="auto"/>
            <w:vAlign w:val="center"/>
            <w:hideMark/>
          </w:tcPr>
          <w:p w14:paraId="442E8426" w14:textId="77777777" w:rsidR="0047261E" w:rsidRPr="0047261E" w:rsidRDefault="0047261E" w:rsidP="0047261E">
            <w:pPr>
              <w:ind w:firstLine="0"/>
              <w:rPr>
                <w:rFonts w:eastAsia="Times New Roman" w:cs="Times New Roman"/>
                <w:szCs w:val="24"/>
                <w:lang w:eastAsia="ru-RU"/>
              </w:rPr>
            </w:pPr>
            <w:r w:rsidRPr="0047261E">
              <w:rPr>
                <w:rFonts w:eastAsia="Times New Roman" w:cs="Times New Roman"/>
                <w:szCs w:val="24"/>
                <w:lang w:eastAsia="ru-RU"/>
              </w:rPr>
              <w:t>22</w:t>
            </w:r>
          </w:p>
        </w:tc>
        <w:tc>
          <w:tcPr>
            <w:tcW w:w="1728" w:type="pct"/>
            <w:tcBorders>
              <w:top w:val="nil"/>
              <w:left w:val="nil"/>
              <w:bottom w:val="single" w:sz="4" w:space="0" w:color="auto"/>
              <w:right w:val="single" w:sz="4" w:space="0" w:color="auto"/>
            </w:tcBorders>
            <w:shd w:val="clear" w:color="auto" w:fill="auto"/>
            <w:vAlign w:val="center"/>
            <w:hideMark/>
          </w:tcPr>
          <w:p w14:paraId="47907A66" w14:textId="77777777" w:rsidR="0047261E" w:rsidRPr="0047261E" w:rsidRDefault="0047261E" w:rsidP="0047261E">
            <w:pPr>
              <w:ind w:firstLine="0"/>
              <w:jc w:val="left"/>
              <w:rPr>
                <w:rFonts w:eastAsia="Times New Roman" w:cs="Times New Roman"/>
                <w:szCs w:val="24"/>
                <w:lang w:eastAsia="ru-RU"/>
              </w:rPr>
            </w:pPr>
            <w:r w:rsidRPr="0047261E">
              <w:rPr>
                <w:rFonts w:eastAsia="Times New Roman" w:cs="Times New Roman"/>
                <w:szCs w:val="24"/>
                <w:lang w:eastAsia="ru-RU"/>
              </w:rPr>
              <w:t>Оймяконский улус (район)</w:t>
            </w:r>
          </w:p>
        </w:tc>
        <w:tc>
          <w:tcPr>
            <w:tcW w:w="924" w:type="pct"/>
            <w:tcBorders>
              <w:top w:val="nil"/>
              <w:left w:val="nil"/>
              <w:bottom w:val="single" w:sz="4" w:space="0" w:color="auto"/>
              <w:right w:val="single" w:sz="4" w:space="0" w:color="auto"/>
            </w:tcBorders>
            <w:shd w:val="clear" w:color="auto" w:fill="auto"/>
            <w:vAlign w:val="center"/>
            <w:hideMark/>
          </w:tcPr>
          <w:p w14:paraId="0CB477AB" w14:textId="77777777" w:rsidR="0047261E" w:rsidRPr="0047261E" w:rsidRDefault="0047261E" w:rsidP="0047261E">
            <w:pPr>
              <w:ind w:firstLine="0"/>
              <w:jc w:val="left"/>
              <w:rPr>
                <w:rFonts w:eastAsia="Times New Roman" w:cs="Times New Roman"/>
                <w:szCs w:val="24"/>
                <w:lang w:eastAsia="ru-RU"/>
              </w:rPr>
            </w:pPr>
            <w:r w:rsidRPr="0047261E">
              <w:rPr>
                <w:rFonts w:eastAsia="Times New Roman" w:cs="Times New Roman"/>
                <w:szCs w:val="24"/>
                <w:lang w:eastAsia="ru-RU"/>
              </w:rPr>
              <w:t>Восточная</w:t>
            </w:r>
          </w:p>
        </w:tc>
        <w:tc>
          <w:tcPr>
            <w:tcW w:w="713" w:type="pct"/>
            <w:tcBorders>
              <w:top w:val="nil"/>
              <w:left w:val="nil"/>
              <w:bottom w:val="single" w:sz="4" w:space="0" w:color="auto"/>
              <w:right w:val="single" w:sz="4" w:space="0" w:color="auto"/>
            </w:tcBorders>
            <w:shd w:val="clear" w:color="auto" w:fill="auto"/>
            <w:noWrap/>
            <w:vAlign w:val="center"/>
            <w:hideMark/>
          </w:tcPr>
          <w:p w14:paraId="025FA215" w14:textId="77777777" w:rsidR="0047261E" w:rsidRPr="0047261E" w:rsidRDefault="0047261E" w:rsidP="0047261E">
            <w:pPr>
              <w:ind w:firstLine="0"/>
              <w:jc w:val="center"/>
              <w:rPr>
                <w:rFonts w:ascii="Times New Roman CYR" w:eastAsia="Times New Roman" w:hAnsi="Times New Roman CYR" w:cs="Times New Roman CYR"/>
                <w:szCs w:val="24"/>
                <w:lang w:eastAsia="ru-RU"/>
              </w:rPr>
            </w:pPr>
            <w:r w:rsidRPr="0047261E">
              <w:rPr>
                <w:rFonts w:ascii="Times New Roman CYR" w:eastAsia="Times New Roman" w:hAnsi="Times New Roman CYR" w:cs="Times New Roman CYR"/>
                <w:szCs w:val="24"/>
                <w:lang w:eastAsia="ru-RU"/>
              </w:rPr>
              <w:t>9225471</w:t>
            </w:r>
          </w:p>
        </w:tc>
        <w:tc>
          <w:tcPr>
            <w:tcW w:w="1361" w:type="pct"/>
            <w:tcBorders>
              <w:top w:val="nil"/>
              <w:left w:val="nil"/>
              <w:bottom w:val="single" w:sz="4" w:space="0" w:color="auto"/>
              <w:right w:val="single" w:sz="4" w:space="0" w:color="auto"/>
            </w:tcBorders>
            <w:shd w:val="clear" w:color="auto" w:fill="auto"/>
            <w:vAlign w:val="center"/>
            <w:hideMark/>
          </w:tcPr>
          <w:p w14:paraId="29D9B3A1" w14:textId="10260878" w:rsidR="0047261E" w:rsidRPr="0047261E" w:rsidRDefault="00A90944" w:rsidP="003E7869">
            <w:pPr>
              <w:widowControl w:val="0"/>
              <w:suppressAutoHyphens/>
              <w:autoSpaceDN w:val="0"/>
              <w:ind w:firstLine="0"/>
              <w:textAlignment w:val="baseline"/>
              <w:rPr>
                <w:rFonts w:eastAsia="Times New Roman" w:cs="Times New Roman"/>
                <w:kern w:val="3"/>
                <w:szCs w:val="24"/>
                <w:lang w:eastAsia="ru-RU" w:bidi="hi-IN"/>
              </w:rPr>
            </w:pPr>
            <w:hyperlink r:id="rId86" w:tooltip="Усть-Нера" w:history="1">
              <w:r w:rsidR="0047261E" w:rsidRPr="0047261E">
                <w:rPr>
                  <w:rFonts w:eastAsia="Times New Roman" w:cs="Times New Roman"/>
                  <w:kern w:val="3"/>
                  <w:szCs w:val="24"/>
                  <w:lang w:eastAsia="ru-RU" w:bidi="hi-IN"/>
                </w:rPr>
                <w:t>Усть-Нера</w:t>
              </w:r>
            </w:hyperlink>
          </w:p>
        </w:tc>
      </w:tr>
      <w:tr w:rsidR="0047261E" w:rsidRPr="0047261E" w14:paraId="37A12A5D" w14:textId="77777777" w:rsidTr="0047261E">
        <w:trPr>
          <w:trHeight w:val="315"/>
        </w:trPr>
        <w:tc>
          <w:tcPr>
            <w:tcW w:w="274" w:type="pct"/>
            <w:tcBorders>
              <w:top w:val="nil"/>
              <w:left w:val="single" w:sz="4" w:space="0" w:color="auto"/>
              <w:bottom w:val="single" w:sz="4" w:space="0" w:color="auto"/>
              <w:right w:val="single" w:sz="4" w:space="0" w:color="auto"/>
            </w:tcBorders>
            <w:shd w:val="clear" w:color="auto" w:fill="auto"/>
            <w:vAlign w:val="center"/>
            <w:hideMark/>
          </w:tcPr>
          <w:p w14:paraId="170F1850" w14:textId="77777777" w:rsidR="0047261E" w:rsidRPr="0047261E" w:rsidRDefault="0047261E" w:rsidP="0047261E">
            <w:pPr>
              <w:ind w:firstLine="0"/>
              <w:rPr>
                <w:rFonts w:eastAsia="Times New Roman" w:cs="Times New Roman"/>
                <w:szCs w:val="24"/>
                <w:lang w:eastAsia="ru-RU"/>
              </w:rPr>
            </w:pPr>
            <w:r w:rsidRPr="0047261E">
              <w:rPr>
                <w:rFonts w:eastAsia="Times New Roman" w:cs="Times New Roman"/>
                <w:szCs w:val="24"/>
                <w:lang w:eastAsia="ru-RU"/>
              </w:rPr>
              <w:t>23</w:t>
            </w:r>
          </w:p>
        </w:tc>
        <w:tc>
          <w:tcPr>
            <w:tcW w:w="1728" w:type="pct"/>
            <w:tcBorders>
              <w:top w:val="nil"/>
              <w:left w:val="nil"/>
              <w:bottom w:val="single" w:sz="4" w:space="0" w:color="auto"/>
              <w:right w:val="single" w:sz="4" w:space="0" w:color="auto"/>
            </w:tcBorders>
            <w:shd w:val="clear" w:color="auto" w:fill="auto"/>
            <w:vAlign w:val="center"/>
            <w:hideMark/>
          </w:tcPr>
          <w:p w14:paraId="39247CD8" w14:textId="77777777" w:rsidR="0047261E" w:rsidRPr="0047261E" w:rsidRDefault="0047261E" w:rsidP="0047261E">
            <w:pPr>
              <w:ind w:firstLine="0"/>
              <w:jc w:val="left"/>
              <w:rPr>
                <w:rFonts w:eastAsia="Times New Roman" w:cs="Times New Roman"/>
                <w:szCs w:val="24"/>
                <w:lang w:eastAsia="ru-RU"/>
              </w:rPr>
            </w:pPr>
            <w:r w:rsidRPr="0047261E">
              <w:rPr>
                <w:rFonts w:eastAsia="Times New Roman" w:cs="Times New Roman"/>
                <w:szCs w:val="24"/>
                <w:lang w:eastAsia="ru-RU"/>
              </w:rPr>
              <w:t>Олекминский район</w:t>
            </w:r>
          </w:p>
        </w:tc>
        <w:tc>
          <w:tcPr>
            <w:tcW w:w="924" w:type="pct"/>
            <w:tcBorders>
              <w:top w:val="nil"/>
              <w:left w:val="nil"/>
              <w:bottom w:val="single" w:sz="4" w:space="0" w:color="auto"/>
              <w:right w:val="single" w:sz="4" w:space="0" w:color="auto"/>
            </w:tcBorders>
            <w:shd w:val="clear" w:color="auto" w:fill="auto"/>
            <w:vAlign w:val="center"/>
            <w:hideMark/>
          </w:tcPr>
          <w:p w14:paraId="47D644C2" w14:textId="77777777" w:rsidR="0047261E" w:rsidRPr="0047261E" w:rsidRDefault="0047261E" w:rsidP="0047261E">
            <w:pPr>
              <w:ind w:firstLine="0"/>
              <w:jc w:val="left"/>
              <w:rPr>
                <w:rFonts w:eastAsia="Times New Roman" w:cs="Times New Roman"/>
                <w:szCs w:val="24"/>
                <w:lang w:eastAsia="ru-RU"/>
              </w:rPr>
            </w:pPr>
            <w:r w:rsidRPr="0047261E">
              <w:rPr>
                <w:rFonts w:eastAsia="Times New Roman" w:cs="Times New Roman"/>
                <w:szCs w:val="24"/>
                <w:lang w:eastAsia="ru-RU"/>
              </w:rPr>
              <w:t>Западная</w:t>
            </w:r>
          </w:p>
        </w:tc>
        <w:tc>
          <w:tcPr>
            <w:tcW w:w="713" w:type="pct"/>
            <w:tcBorders>
              <w:top w:val="nil"/>
              <w:left w:val="nil"/>
              <w:bottom w:val="single" w:sz="4" w:space="0" w:color="auto"/>
              <w:right w:val="single" w:sz="4" w:space="0" w:color="auto"/>
            </w:tcBorders>
            <w:shd w:val="clear" w:color="auto" w:fill="auto"/>
            <w:noWrap/>
            <w:vAlign w:val="center"/>
            <w:hideMark/>
          </w:tcPr>
          <w:p w14:paraId="02189B99" w14:textId="77777777" w:rsidR="0047261E" w:rsidRPr="0047261E" w:rsidRDefault="0047261E" w:rsidP="0047261E">
            <w:pPr>
              <w:ind w:firstLine="0"/>
              <w:jc w:val="center"/>
              <w:rPr>
                <w:rFonts w:ascii="Times New Roman CYR" w:eastAsia="Times New Roman" w:hAnsi="Times New Roman CYR" w:cs="Times New Roman CYR"/>
                <w:szCs w:val="24"/>
                <w:lang w:eastAsia="ru-RU"/>
              </w:rPr>
            </w:pPr>
            <w:r w:rsidRPr="0047261E">
              <w:rPr>
                <w:rFonts w:ascii="Times New Roman CYR" w:eastAsia="Times New Roman" w:hAnsi="Times New Roman CYR" w:cs="Times New Roman CYR"/>
                <w:szCs w:val="24"/>
                <w:lang w:eastAsia="ru-RU"/>
              </w:rPr>
              <w:t>16079184</w:t>
            </w:r>
          </w:p>
        </w:tc>
        <w:tc>
          <w:tcPr>
            <w:tcW w:w="1361" w:type="pct"/>
            <w:tcBorders>
              <w:top w:val="nil"/>
              <w:left w:val="nil"/>
              <w:bottom w:val="single" w:sz="4" w:space="0" w:color="auto"/>
              <w:right w:val="single" w:sz="4" w:space="0" w:color="auto"/>
            </w:tcBorders>
            <w:shd w:val="clear" w:color="auto" w:fill="auto"/>
            <w:vAlign w:val="center"/>
            <w:hideMark/>
          </w:tcPr>
          <w:p w14:paraId="0515FD40" w14:textId="1E1FA5E8" w:rsidR="0047261E" w:rsidRPr="0047261E" w:rsidRDefault="00A90944" w:rsidP="003E7869">
            <w:pPr>
              <w:widowControl w:val="0"/>
              <w:suppressAutoHyphens/>
              <w:autoSpaceDN w:val="0"/>
              <w:ind w:firstLine="0"/>
              <w:textAlignment w:val="baseline"/>
              <w:rPr>
                <w:rFonts w:eastAsia="Times New Roman" w:cs="Times New Roman"/>
                <w:kern w:val="3"/>
                <w:szCs w:val="24"/>
                <w:lang w:eastAsia="ru-RU" w:bidi="hi-IN"/>
              </w:rPr>
            </w:pPr>
            <w:hyperlink r:id="rId87" w:tooltip="Оленёк (село)" w:history="1">
              <w:r w:rsidR="0047261E" w:rsidRPr="0047261E">
                <w:rPr>
                  <w:rFonts w:eastAsia="Times New Roman" w:cs="Times New Roman"/>
                  <w:kern w:val="3"/>
                  <w:szCs w:val="24"/>
                  <w:lang w:eastAsia="ru-RU" w:bidi="hi-IN"/>
                </w:rPr>
                <w:t>Олекминск</w:t>
              </w:r>
            </w:hyperlink>
          </w:p>
        </w:tc>
      </w:tr>
      <w:tr w:rsidR="0047261E" w:rsidRPr="0047261E" w14:paraId="76BE5908" w14:textId="77777777" w:rsidTr="0047261E">
        <w:trPr>
          <w:trHeight w:val="630"/>
        </w:trPr>
        <w:tc>
          <w:tcPr>
            <w:tcW w:w="274" w:type="pct"/>
            <w:tcBorders>
              <w:top w:val="nil"/>
              <w:left w:val="single" w:sz="4" w:space="0" w:color="auto"/>
              <w:bottom w:val="single" w:sz="4" w:space="0" w:color="auto"/>
              <w:right w:val="single" w:sz="4" w:space="0" w:color="auto"/>
            </w:tcBorders>
            <w:shd w:val="clear" w:color="auto" w:fill="auto"/>
            <w:vAlign w:val="center"/>
            <w:hideMark/>
          </w:tcPr>
          <w:p w14:paraId="3CE2FF67" w14:textId="77777777" w:rsidR="0047261E" w:rsidRPr="0047261E" w:rsidRDefault="0047261E" w:rsidP="0047261E">
            <w:pPr>
              <w:ind w:firstLine="0"/>
              <w:rPr>
                <w:rFonts w:eastAsia="Times New Roman" w:cs="Times New Roman"/>
                <w:szCs w:val="24"/>
                <w:lang w:eastAsia="ru-RU"/>
              </w:rPr>
            </w:pPr>
            <w:r w:rsidRPr="0047261E">
              <w:rPr>
                <w:rFonts w:eastAsia="Times New Roman" w:cs="Times New Roman"/>
                <w:szCs w:val="24"/>
                <w:lang w:eastAsia="ru-RU"/>
              </w:rPr>
              <w:t>24</w:t>
            </w:r>
          </w:p>
        </w:tc>
        <w:tc>
          <w:tcPr>
            <w:tcW w:w="1728" w:type="pct"/>
            <w:tcBorders>
              <w:top w:val="nil"/>
              <w:left w:val="nil"/>
              <w:bottom w:val="single" w:sz="4" w:space="0" w:color="auto"/>
              <w:right w:val="single" w:sz="4" w:space="0" w:color="auto"/>
            </w:tcBorders>
            <w:shd w:val="clear" w:color="auto" w:fill="auto"/>
            <w:vAlign w:val="center"/>
            <w:hideMark/>
          </w:tcPr>
          <w:p w14:paraId="6B6CE3DD" w14:textId="77777777" w:rsidR="0047261E" w:rsidRPr="0047261E" w:rsidRDefault="0047261E" w:rsidP="0047261E">
            <w:pPr>
              <w:ind w:firstLine="0"/>
              <w:jc w:val="left"/>
              <w:rPr>
                <w:rFonts w:eastAsia="Times New Roman" w:cs="Times New Roman"/>
                <w:szCs w:val="24"/>
                <w:lang w:eastAsia="ru-RU"/>
              </w:rPr>
            </w:pPr>
            <w:r w:rsidRPr="0047261E">
              <w:rPr>
                <w:rFonts w:eastAsia="Times New Roman" w:cs="Times New Roman"/>
                <w:szCs w:val="24"/>
                <w:lang w:eastAsia="ru-RU"/>
              </w:rPr>
              <w:t>Оленекский эвенкийский национальный район</w:t>
            </w:r>
          </w:p>
        </w:tc>
        <w:tc>
          <w:tcPr>
            <w:tcW w:w="924" w:type="pct"/>
            <w:tcBorders>
              <w:top w:val="nil"/>
              <w:left w:val="nil"/>
              <w:bottom w:val="single" w:sz="4" w:space="0" w:color="auto"/>
              <w:right w:val="single" w:sz="4" w:space="0" w:color="auto"/>
            </w:tcBorders>
            <w:shd w:val="clear" w:color="auto" w:fill="auto"/>
            <w:vAlign w:val="center"/>
            <w:hideMark/>
          </w:tcPr>
          <w:p w14:paraId="4B6E8022" w14:textId="77777777" w:rsidR="0047261E" w:rsidRPr="0047261E" w:rsidRDefault="0047261E" w:rsidP="0047261E">
            <w:pPr>
              <w:ind w:firstLine="0"/>
              <w:jc w:val="left"/>
              <w:rPr>
                <w:rFonts w:eastAsia="Times New Roman" w:cs="Times New Roman"/>
                <w:szCs w:val="24"/>
                <w:lang w:eastAsia="ru-RU"/>
              </w:rPr>
            </w:pPr>
            <w:r w:rsidRPr="0047261E">
              <w:rPr>
                <w:rFonts w:eastAsia="Times New Roman" w:cs="Times New Roman"/>
                <w:szCs w:val="24"/>
                <w:lang w:eastAsia="ru-RU"/>
              </w:rPr>
              <w:t>Арктическая</w:t>
            </w:r>
          </w:p>
        </w:tc>
        <w:tc>
          <w:tcPr>
            <w:tcW w:w="713" w:type="pct"/>
            <w:tcBorders>
              <w:top w:val="nil"/>
              <w:left w:val="nil"/>
              <w:bottom w:val="single" w:sz="4" w:space="0" w:color="auto"/>
              <w:right w:val="single" w:sz="4" w:space="0" w:color="auto"/>
            </w:tcBorders>
            <w:shd w:val="clear" w:color="auto" w:fill="auto"/>
            <w:noWrap/>
            <w:vAlign w:val="center"/>
            <w:hideMark/>
          </w:tcPr>
          <w:p w14:paraId="69367316" w14:textId="77777777" w:rsidR="0047261E" w:rsidRPr="0047261E" w:rsidRDefault="0047261E" w:rsidP="0047261E">
            <w:pPr>
              <w:ind w:firstLine="0"/>
              <w:jc w:val="center"/>
              <w:rPr>
                <w:rFonts w:ascii="Times New Roman CYR" w:eastAsia="Times New Roman" w:hAnsi="Times New Roman CYR" w:cs="Times New Roman CYR"/>
                <w:szCs w:val="24"/>
                <w:lang w:eastAsia="ru-RU"/>
              </w:rPr>
            </w:pPr>
            <w:r w:rsidRPr="0047261E">
              <w:rPr>
                <w:rFonts w:ascii="Times New Roman CYR" w:eastAsia="Times New Roman" w:hAnsi="Times New Roman CYR" w:cs="Times New Roman CYR"/>
                <w:szCs w:val="24"/>
                <w:lang w:eastAsia="ru-RU"/>
              </w:rPr>
              <w:t>31797606</w:t>
            </w:r>
          </w:p>
        </w:tc>
        <w:tc>
          <w:tcPr>
            <w:tcW w:w="1361" w:type="pct"/>
            <w:tcBorders>
              <w:top w:val="nil"/>
              <w:left w:val="nil"/>
              <w:bottom w:val="single" w:sz="4" w:space="0" w:color="auto"/>
              <w:right w:val="single" w:sz="4" w:space="0" w:color="auto"/>
            </w:tcBorders>
            <w:shd w:val="clear" w:color="auto" w:fill="auto"/>
            <w:vAlign w:val="center"/>
            <w:hideMark/>
          </w:tcPr>
          <w:p w14:paraId="68EA11EB" w14:textId="3F2C859B" w:rsidR="0047261E" w:rsidRPr="0047261E" w:rsidRDefault="00A90944" w:rsidP="003E7869">
            <w:pPr>
              <w:widowControl w:val="0"/>
              <w:suppressAutoHyphens/>
              <w:autoSpaceDN w:val="0"/>
              <w:ind w:firstLine="0"/>
              <w:textAlignment w:val="baseline"/>
              <w:rPr>
                <w:rFonts w:eastAsia="Times New Roman" w:cs="Times New Roman"/>
                <w:kern w:val="3"/>
                <w:szCs w:val="24"/>
                <w:lang w:eastAsia="ru-RU" w:bidi="hi-IN"/>
              </w:rPr>
            </w:pPr>
            <w:hyperlink r:id="rId88" w:tooltip="Олёкминск" w:history="1">
              <w:r w:rsidR="0047261E" w:rsidRPr="0047261E">
                <w:rPr>
                  <w:rFonts w:eastAsia="Times New Roman" w:cs="Times New Roman"/>
                  <w:kern w:val="3"/>
                  <w:szCs w:val="24"/>
                  <w:lang w:eastAsia="ru-RU" w:bidi="hi-IN"/>
                </w:rPr>
                <w:t>Оленек</w:t>
              </w:r>
            </w:hyperlink>
          </w:p>
        </w:tc>
      </w:tr>
      <w:tr w:rsidR="0047261E" w:rsidRPr="0047261E" w14:paraId="53520304" w14:textId="77777777" w:rsidTr="0047261E">
        <w:trPr>
          <w:trHeight w:val="315"/>
        </w:trPr>
        <w:tc>
          <w:tcPr>
            <w:tcW w:w="274" w:type="pct"/>
            <w:tcBorders>
              <w:top w:val="nil"/>
              <w:left w:val="single" w:sz="4" w:space="0" w:color="auto"/>
              <w:bottom w:val="single" w:sz="4" w:space="0" w:color="auto"/>
              <w:right w:val="single" w:sz="4" w:space="0" w:color="auto"/>
            </w:tcBorders>
            <w:shd w:val="clear" w:color="auto" w:fill="auto"/>
            <w:vAlign w:val="center"/>
            <w:hideMark/>
          </w:tcPr>
          <w:p w14:paraId="7F6A80FD" w14:textId="77777777" w:rsidR="0047261E" w:rsidRPr="0047261E" w:rsidRDefault="0047261E" w:rsidP="0047261E">
            <w:pPr>
              <w:ind w:firstLine="0"/>
              <w:rPr>
                <w:rFonts w:eastAsia="Times New Roman" w:cs="Times New Roman"/>
                <w:szCs w:val="24"/>
                <w:lang w:eastAsia="ru-RU"/>
              </w:rPr>
            </w:pPr>
            <w:r w:rsidRPr="0047261E">
              <w:rPr>
                <w:rFonts w:eastAsia="Times New Roman" w:cs="Times New Roman"/>
                <w:szCs w:val="24"/>
                <w:lang w:eastAsia="ru-RU"/>
              </w:rPr>
              <w:t>25</w:t>
            </w:r>
          </w:p>
        </w:tc>
        <w:tc>
          <w:tcPr>
            <w:tcW w:w="1728" w:type="pct"/>
            <w:tcBorders>
              <w:top w:val="nil"/>
              <w:left w:val="nil"/>
              <w:bottom w:val="single" w:sz="4" w:space="0" w:color="auto"/>
              <w:right w:val="single" w:sz="4" w:space="0" w:color="auto"/>
            </w:tcBorders>
            <w:shd w:val="clear" w:color="auto" w:fill="auto"/>
            <w:vAlign w:val="center"/>
            <w:hideMark/>
          </w:tcPr>
          <w:p w14:paraId="33E35821" w14:textId="77777777" w:rsidR="0047261E" w:rsidRPr="0047261E" w:rsidRDefault="0047261E" w:rsidP="0047261E">
            <w:pPr>
              <w:ind w:firstLine="0"/>
              <w:jc w:val="left"/>
              <w:rPr>
                <w:rFonts w:eastAsia="Times New Roman" w:cs="Times New Roman"/>
                <w:szCs w:val="24"/>
                <w:lang w:eastAsia="ru-RU"/>
              </w:rPr>
            </w:pPr>
            <w:r w:rsidRPr="0047261E">
              <w:rPr>
                <w:rFonts w:eastAsia="Times New Roman" w:cs="Times New Roman"/>
                <w:szCs w:val="24"/>
                <w:lang w:eastAsia="ru-RU"/>
              </w:rPr>
              <w:t>Среднеколымский улус (район)</w:t>
            </w:r>
          </w:p>
        </w:tc>
        <w:tc>
          <w:tcPr>
            <w:tcW w:w="924" w:type="pct"/>
            <w:tcBorders>
              <w:top w:val="nil"/>
              <w:left w:val="nil"/>
              <w:bottom w:val="single" w:sz="4" w:space="0" w:color="auto"/>
              <w:right w:val="single" w:sz="4" w:space="0" w:color="auto"/>
            </w:tcBorders>
            <w:shd w:val="clear" w:color="auto" w:fill="auto"/>
            <w:vAlign w:val="center"/>
            <w:hideMark/>
          </w:tcPr>
          <w:p w14:paraId="33B8CB52" w14:textId="77777777" w:rsidR="0047261E" w:rsidRPr="0047261E" w:rsidRDefault="0047261E" w:rsidP="0047261E">
            <w:pPr>
              <w:ind w:firstLine="0"/>
              <w:jc w:val="left"/>
              <w:rPr>
                <w:rFonts w:eastAsia="Times New Roman" w:cs="Times New Roman"/>
                <w:szCs w:val="24"/>
                <w:lang w:eastAsia="ru-RU"/>
              </w:rPr>
            </w:pPr>
            <w:r w:rsidRPr="0047261E">
              <w:rPr>
                <w:rFonts w:eastAsia="Times New Roman" w:cs="Times New Roman"/>
                <w:szCs w:val="24"/>
                <w:lang w:eastAsia="ru-RU"/>
              </w:rPr>
              <w:t>Арктическая</w:t>
            </w:r>
          </w:p>
        </w:tc>
        <w:tc>
          <w:tcPr>
            <w:tcW w:w="713" w:type="pct"/>
            <w:tcBorders>
              <w:top w:val="nil"/>
              <w:left w:val="nil"/>
              <w:bottom w:val="single" w:sz="4" w:space="0" w:color="auto"/>
              <w:right w:val="single" w:sz="4" w:space="0" w:color="auto"/>
            </w:tcBorders>
            <w:shd w:val="clear" w:color="auto" w:fill="auto"/>
            <w:noWrap/>
            <w:vAlign w:val="center"/>
            <w:hideMark/>
          </w:tcPr>
          <w:p w14:paraId="535CE0C1" w14:textId="77777777" w:rsidR="0047261E" w:rsidRPr="0047261E" w:rsidRDefault="0047261E" w:rsidP="0047261E">
            <w:pPr>
              <w:ind w:firstLine="0"/>
              <w:jc w:val="center"/>
              <w:rPr>
                <w:rFonts w:ascii="Times New Roman CYR" w:eastAsia="Times New Roman" w:hAnsi="Times New Roman CYR" w:cs="Times New Roman CYR"/>
                <w:szCs w:val="24"/>
                <w:lang w:eastAsia="ru-RU"/>
              </w:rPr>
            </w:pPr>
            <w:r w:rsidRPr="0047261E">
              <w:rPr>
                <w:rFonts w:ascii="Times New Roman CYR" w:eastAsia="Times New Roman" w:hAnsi="Times New Roman CYR" w:cs="Times New Roman CYR"/>
                <w:szCs w:val="24"/>
                <w:lang w:eastAsia="ru-RU"/>
              </w:rPr>
              <w:t>12516123</w:t>
            </w:r>
          </w:p>
        </w:tc>
        <w:tc>
          <w:tcPr>
            <w:tcW w:w="1361" w:type="pct"/>
            <w:tcBorders>
              <w:top w:val="nil"/>
              <w:left w:val="nil"/>
              <w:bottom w:val="single" w:sz="4" w:space="0" w:color="auto"/>
              <w:right w:val="single" w:sz="4" w:space="0" w:color="auto"/>
            </w:tcBorders>
            <w:shd w:val="clear" w:color="auto" w:fill="auto"/>
            <w:vAlign w:val="center"/>
            <w:hideMark/>
          </w:tcPr>
          <w:p w14:paraId="2D272F65" w14:textId="2A0E5A5C" w:rsidR="0047261E" w:rsidRPr="0047261E" w:rsidRDefault="00A90944" w:rsidP="003E7869">
            <w:pPr>
              <w:widowControl w:val="0"/>
              <w:suppressAutoHyphens/>
              <w:autoSpaceDN w:val="0"/>
              <w:ind w:firstLine="0"/>
              <w:textAlignment w:val="baseline"/>
              <w:rPr>
                <w:rFonts w:eastAsia="Times New Roman" w:cs="Times New Roman"/>
                <w:kern w:val="3"/>
                <w:szCs w:val="24"/>
                <w:lang w:eastAsia="ru-RU" w:bidi="hi-IN"/>
              </w:rPr>
            </w:pPr>
            <w:hyperlink r:id="rId89" w:tooltip="Среднеколымск" w:history="1">
              <w:r w:rsidR="0047261E" w:rsidRPr="0047261E">
                <w:rPr>
                  <w:rFonts w:eastAsia="Times New Roman" w:cs="Times New Roman"/>
                  <w:kern w:val="3"/>
                  <w:szCs w:val="24"/>
                  <w:lang w:eastAsia="ru-RU" w:bidi="hi-IN"/>
                </w:rPr>
                <w:t>Среднеколымск</w:t>
              </w:r>
            </w:hyperlink>
          </w:p>
        </w:tc>
      </w:tr>
      <w:tr w:rsidR="0047261E" w:rsidRPr="0047261E" w14:paraId="2293B2BC" w14:textId="77777777" w:rsidTr="0047261E">
        <w:trPr>
          <w:trHeight w:val="315"/>
        </w:trPr>
        <w:tc>
          <w:tcPr>
            <w:tcW w:w="274" w:type="pct"/>
            <w:tcBorders>
              <w:top w:val="nil"/>
              <w:left w:val="single" w:sz="4" w:space="0" w:color="auto"/>
              <w:bottom w:val="single" w:sz="4" w:space="0" w:color="auto"/>
              <w:right w:val="single" w:sz="4" w:space="0" w:color="auto"/>
            </w:tcBorders>
            <w:shd w:val="clear" w:color="auto" w:fill="auto"/>
            <w:vAlign w:val="center"/>
            <w:hideMark/>
          </w:tcPr>
          <w:p w14:paraId="0C4A9BAE" w14:textId="77777777" w:rsidR="0047261E" w:rsidRPr="0047261E" w:rsidRDefault="0047261E" w:rsidP="0047261E">
            <w:pPr>
              <w:ind w:firstLine="0"/>
              <w:rPr>
                <w:rFonts w:eastAsia="Times New Roman" w:cs="Times New Roman"/>
                <w:szCs w:val="24"/>
                <w:lang w:eastAsia="ru-RU"/>
              </w:rPr>
            </w:pPr>
            <w:r w:rsidRPr="0047261E">
              <w:rPr>
                <w:rFonts w:eastAsia="Times New Roman" w:cs="Times New Roman"/>
                <w:szCs w:val="24"/>
                <w:lang w:eastAsia="ru-RU"/>
              </w:rPr>
              <w:t>26</w:t>
            </w:r>
          </w:p>
        </w:tc>
        <w:tc>
          <w:tcPr>
            <w:tcW w:w="1728" w:type="pct"/>
            <w:tcBorders>
              <w:top w:val="nil"/>
              <w:left w:val="nil"/>
              <w:bottom w:val="single" w:sz="4" w:space="0" w:color="auto"/>
              <w:right w:val="single" w:sz="4" w:space="0" w:color="auto"/>
            </w:tcBorders>
            <w:shd w:val="clear" w:color="auto" w:fill="auto"/>
            <w:vAlign w:val="center"/>
            <w:hideMark/>
          </w:tcPr>
          <w:p w14:paraId="254312EB" w14:textId="77777777" w:rsidR="0047261E" w:rsidRPr="0047261E" w:rsidRDefault="0047261E" w:rsidP="0047261E">
            <w:pPr>
              <w:ind w:firstLine="0"/>
              <w:jc w:val="left"/>
              <w:rPr>
                <w:rFonts w:eastAsia="Times New Roman" w:cs="Times New Roman"/>
                <w:szCs w:val="24"/>
                <w:lang w:eastAsia="ru-RU"/>
              </w:rPr>
            </w:pPr>
            <w:r w:rsidRPr="0047261E">
              <w:rPr>
                <w:rFonts w:eastAsia="Times New Roman" w:cs="Times New Roman"/>
                <w:szCs w:val="24"/>
                <w:lang w:eastAsia="ru-RU"/>
              </w:rPr>
              <w:t>Сунтарский улус (район)</w:t>
            </w:r>
          </w:p>
        </w:tc>
        <w:tc>
          <w:tcPr>
            <w:tcW w:w="924" w:type="pct"/>
            <w:tcBorders>
              <w:top w:val="nil"/>
              <w:left w:val="nil"/>
              <w:bottom w:val="single" w:sz="4" w:space="0" w:color="auto"/>
              <w:right w:val="single" w:sz="4" w:space="0" w:color="auto"/>
            </w:tcBorders>
            <w:shd w:val="clear" w:color="auto" w:fill="auto"/>
            <w:vAlign w:val="center"/>
            <w:hideMark/>
          </w:tcPr>
          <w:p w14:paraId="19397766" w14:textId="77777777" w:rsidR="0047261E" w:rsidRPr="0047261E" w:rsidRDefault="0047261E" w:rsidP="0047261E">
            <w:pPr>
              <w:ind w:firstLine="0"/>
              <w:jc w:val="left"/>
              <w:rPr>
                <w:rFonts w:eastAsia="Times New Roman" w:cs="Times New Roman"/>
                <w:szCs w:val="24"/>
                <w:lang w:eastAsia="ru-RU"/>
              </w:rPr>
            </w:pPr>
            <w:r w:rsidRPr="0047261E">
              <w:rPr>
                <w:rFonts w:eastAsia="Times New Roman" w:cs="Times New Roman"/>
                <w:szCs w:val="24"/>
                <w:lang w:eastAsia="ru-RU"/>
              </w:rPr>
              <w:t>Западная</w:t>
            </w:r>
          </w:p>
        </w:tc>
        <w:tc>
          <w:tcPr>
            <w:tcW w:w="713" w:type="pct"/>
            <w:tcBorders>
              <w:top w:val="nil"/>
              <w:left w:val="nil"/>
              <w:bottom w:val="single" w:sz="4" w:space="0" w:color="auto"/>
              <w:right w:val="single" w:sz="4" w:space="0" w:color="auto"/>
            </w:tcBorders>
            <w:shd w:val="clear" w:color="auto" w:fill="auto"/>
            <w:noWrap/>
            <w:vAlign w:val="center"/>
            <w:hideMark/>
          </w:tcPr>
          <w:p w14:paraId="4CA6361B" w14:textId="77777777" w:rsidR="0047261E" w:rsidRPr="0047261E" w:rsidRDefault="0047261E" w:rsidP="0047261E">
            <w:pPr>
              <w:ind w:firstLine="0"/>
              <w:jc w:val="center"/>
              <w:rPr>
                <w:rFonts w:ascii="Times New Roman CYR" w:eastAsia="Times New Roman" w:hAnsi="Times New Roman CYR" w:cs="Times New Roman CYR"/>
                <w:szCs w:val="24"/>
                <w:lang w:eastAsia="ru-RU"/>
              </w:rPr>
            </w:pPr>
            <w:r w:rsidRPr="0047261E">
              <w:rPr>
                <w:rFonts w:ascii="Times New Roman CYR" w:eastAsia="Times New Roman" w:hAnsi="Times New Roman CYR" w:cs="Times New Roman CYR"/>
                <w:szCs w:val="24"/>
                <w:lang w:eastAsia="ru-RU"/>
              </w:rPr>
              <w:t>5780408</w:t>
            </w:r>
          </w:p>
        </w:tc>
        <w:tc>
          <w:tcPr>
            <w:tcW w:w="1361" w:type="pct"/>
            <w:tcBorders>
              <w:top w:val="nil"/>
              <w:left w:val="nil"/>
              <w:bottom w:val="single" w:sz="4" w:space="0" w:color="auto"/>
              <w:right w:val="single" w:sz="4" w:space="0" w:color="auto"/>
            </w:tcBorders>
            <w:shd w:val="clear" w:color="auto" w:fill="auto"/>
            <w:vAlign w:val="center"/>
            <w:hideMark/>
          </w:tcPr>
          <w:p w14:paraId="1F76908A" w14:textId="03AD471A" w:rsidR="0047261E" w:rsidRPr="0047261E" w:rsidRDefault="00A90944" w:rsidP="003E7869">
            <w:pPr>
              <w:widowControl w:val="0"/>
              <w:suppressAutoHyphens/>
              <w:autoSpaceDN w:val="0"/>
              <w:ind w:firstLine="0"/>
              <w:textAlignment w:val="baseline"/>
              <w:rPr>
                <w:rFonts w:eastAsia="Times New Roman" w:cs="Times New Roman"/>
                <w:kern w:val="3"/>
                <w:szCs w:val="24"/>
                <w:lang w:eastAsia="ru-RU" w:bidi="hi-IN"/>
              </w:rPr>
            </w:pPr>
            <w:hyperlink r:id="rId90" w:tooltip="Сунтар" w:history="1">
              <w:r w:rsidR="0047261E" w:rsidRPr="0047261E">
                <w:rPr>
                  <w:rFonts w:eastAsia="Times New Roman" w:cs="Times New Roman"/>
                  <w:kern w:val="3"/>
                  <w:szCs w:val="24"/>
                  <w:lang w:eastAsia="ru-RU" w:bidi="hi-IN"/>
                </w:rPr>
                <w:t>Сунтар</w:t>
              </w:r>
            </w:hyperlink>
          </w:p>
        </w:tc>
      </w:tr>
      <w:tr w:rsidR="0047261E" w:rsidRPr="0047261E" w14:paraId="58D162CC" w14:textId="77777777" w:rsidTr="0047261E">
        <w:trPr>
          <w:trHeight w:val="315"/>
        </w:trPr>
        <w:tc>
          <w:tcPr>
            <w:tcW w:w="274" w:type="pct"/>
            <w:tcBorders>
              <w:top w:val="nil"/>
              <w:left w:val="single" w:sz="4" w:space="0" w:color="auto"/>
              <w:bottom w:val="single" w:sz="4" w:space="0" w:color="auto"/>
              <w:right w:val="single" w:sz="4" w:space="0" w:color="auto"/>
            </w:tcBorders>
            <w:shd w:val="clear" w:color="auto" w:fill="auto"/>
            <w:vAlign w:val="center"/>
            <w:hideMark/>
          </w:tcPr>
          <w:p w14:paraId="173C9D68" w14:textId="77777777" w:rsidR="0047261E" w:rsidRPr="0047261E" w:rsidRDefault="0047261E" w:rsidP="0047261E">
            <w:pPr>
              <w:ind w:firstLine="0"/>
              <w:rPr>
                <w:rFonts w:eastAsia="Times New Roman" w:cs="Times New Roman"/>
                <w:szCs w:val="24"/>
                <w:lang w:eastAsia="ru-RU"/>
              </w:rPr>
            </w:pPr>
            <w:r w:rsidRPr="0047261E">
              <w:rPr>
                <w:rFonts w:eastAsia="Times New Roman" w:cs="Times New Roman"/>
                <w:szCs w:val="24"/>
                <w:lang w:eastAsia="ru-RU"/>
              </w:rPr>
              <w:t>27</w:t>
            </w:r>
          </w:p>
        </w:tc>
        <w:tc>
          <w:tcPr>
            <w:tcW w:w="1728" w:type="pct"/>
            <w:tcBorders>
              <w:top w:val="nil"/>
              <w:left w:val="nil"/>
              <w:bottom w:val="single" w:sz="4" w:space="0" w:color="auto"/>
              <w:right w:val="single" w:sz="4" w:space="0" w:color="auto"/>
            </w:tcBorders>
            <w:shd w:val="clear" w:color="auto" w:fill="auto"/>
            <w:vAlign w:val="center"/>
            <w:hideMark/>
          </w:tcPr>
          <w:p w14:paraId="0B6F60B9" w14:textId="77777777" w:rsidR="0047261E" w:rsidRPr="0047261E" w:rsidRDefault="0047261E" w:rsidP="0047261E">
            <w:pPr>
              <w:ind w:firstLine="0"/>
              <w:jc w:val="left"/>
              <w:rPr>
                <w:rFonts w:eastAsia="Times New Roman" w:cs="Times New Roman"/>
                <w:szCs w:val="24"/>
                <w:lang w:eastAsia="ru-RU"/>
              </w:rPr>
            </w:pPr>
            <w:r w:rsidRPr="0047261E">
              <w:rPr>
                <w:rFonts w:eastAsia="Times New Roman" w:cs="Times New Roman"/>
                <w:szCs w:val="24"/>
                <w:lang w:eastAsia="ru-RU"/>
              </w:rPr>
              <w:t>Таттинский улус</w:t>
            </w:r>
          </w:p>
        </w:tc>
        <w:tc>
          <w:tcPr>
            <w:tcW w:w="924" w:type="pct"/>
            <w:tcBorders>
              <w:top w:val="nil"/>
              <w:left w:val="nil"/>
              <w:bottom w:val="single" w:sz="4" w:space="0" w:color="auto"/>
              <w:right w:val="single" w:sz="4" w:space="0" w:color="auto"/>
            </w:tcBorders>
            <w:shd w:val="clear" w:color="auto" w:fill="auto"/>
            <w:vAlign w:val="center"/>
            <w:hideMark/>
          </w:tcPr>
          <w:p w14:paraId="4ADE46B0" w14:textId="77777777" w:rsidR="0047261E" w:rsidRPr="0047261E" w:rsidRDefault="0047261E" w:rsidP="0047261E">
            <w:pPr>
              <w:ind w:firstLine="0"/>
              <w:jc w:val="left"/>
              <w:rPr>
                <w:rFonts w:eastAsia="Times New Roman" w:cs="Times New Roman"/>
                <w:szCs w:val="24"/>
                <w:lang w:eastAsia="ru-RU"/>
              </w:rPr>
            </w:pPr>
            <w:r w:rsidRPr="0047261E">
              <w:rPr>
                <w:rFonts w:eastAsia="Times New Roman" w:cs="Times New Roman"/>
                <w:szCs w:val="24"/>
                <w:lang w:eastAsia="ru-RU"/>
              </w:rPr>
              <w:t>Центральная</w:t>
            </w:r>
          </w:p>
        </w:tc>
        <w:tc>
          <w:tcPr>
            <w:tcW w:w="713" w:type="pct"/>
            <w:tcBorders>
              <w:top w:val="nil"/>
              <w:left w:val="nil"/>
              <w:bottom w:val="single" w:sz="4" w:space="0" w:color="auto"/>
              <w:right w:val="single" w:sz="4" w:space="0" w:color="auto"/>
            </w:tcBorders>
            <w:shd w:val="clear" w:color="auto" w:fill="auto"/>
            <w:noWrap/>
            <w:vAlign w:val="center"/>
            <w:hideMark/>
          </w:tcPr>
          <w:p w14:paraId="4C4AB197" w14:textId="77777777" w:rsidR="0047261E" w:rsidRPr="0047261E" w:rsidRDefault="0047261E" w:rsidP="0047261E">
            <w:pPr>
              <w:ind w:firstLine="0"/>
              <w:jc w:val="center"/>
              <w:rPr>
                <w:rFonts w:ascii="Times New Roman CYR" w:eastAsia="Times New Roman" w:hAnsi="Times New Roman CYR" w:cs="Times New Roman CYR"/>
                <w:szCs w:val="24"/>
                <w:lang w:eastAsia="ru-RU"/>
              </w:rPr>
            </w:pPr>
            <w:r w:rsidRPr="0047261E">
              <w:rPr>
                <w:rFonts w:ascii="Times New Roman CYR" w:eastAsia="Times New Roman" w:hAnsi="Times New Roman CYR" w:cs="Times New Roman CYR"/>
                <w:szCs w:val="24"/>
                <w:lang w:eastAsia="ru-RU"/>
              </w:rPr>
              <w:t>1898408</w:t>
            </w:r>
          </w:p>
        </w:tc>
        <w:tc>
          <w:tcPr>
            <w:tcW w:w="1361" w:type="pct"/>
            <w:tcBorders>
              <w:top w:val="nil"/>
              <w:left w:val="nil"/>
              <w:bottom w:val="single" w:sz="4" w:space="0" w:color="auto"/>
              <w:right w:val="single" w:sz="4" w:space="0" w:color="auto"/>
            </w:tcBorders>
            <w:shd w:val="clear" w:color="auto" w:fill="auto"/>
            <w:vAlign w:val="center"/>
            <w:hideMark/>
          </w:tcPr>
          <w:p w14:paraId="688BDE05" w14:textId="298D7575" w:rsidR="0047261E" w:rsidRPr="0047261E" w:rsidRDefault="00A90944" w:rsidP="003E7869">
            <w:pPr>
              <w:widowControl w:val="0"/>
              <w:suppressAutoHyphens/>
              <w:autoSpaceDN w:val="0"/>
              <w:ind w:firstLine="0"/>
              <w:textAlignment w:val="baseline"/>
              <w:rPr>
                <w:rFonts w:eastAsia="Times New Roman" w:cs="Times New Roman"/>
                <w:kern w:val="3"/>
                <w:szCs w:val="24"/>
                <w:lang w:eastAsia="ru-RU" w:bidi="hi-IN"/>
              </w:rPr>
            </w:pPr>
            <w:hyperlink r:id="rId91" w:tooltip="Ытык-Кюёль" w:history="1">
              <w:r w:rsidR="0047261E" w:rsidRPr="0047261E">
                <w:rPr>
                  <w:rFonts w:eastAsia="Times New Roman" w:cs="Times New Roman"/>
                  <w:kern w:val="3"/>
                  <w:szCs w:val="24"/>
                  <w:lang w:eastAsia="ru-RU" w:bidi="hi-IN"/>
                </w:rPr>
                <w:t>Ытык-Кюёль</w:t>
              </w:r>
            </w:hyperlink>
          </w:p>
        </w:tc>
      </w:tr>
      <w:tr w:rsidR="0047261E" w:rsidRPr="0047261E" w14:paraId="51E5283D" w14:textId="77777777" w:rsidTr="0047261E">
        <w:trPr>
          <w:trHeight w:val="315"/>
        </w:trPr>
        <w:tc>
          <w:tcPr>
            <w:tcW w:w="274" w:type="pct"/>
            <w:tcBorders>
              <w:top w:val="nil"/>
              <w:left w:val="single" w:sz="4" w:space="0" w:color="auto"/>
              <w:bottom w:val="single" w:sz="4" w:space="0" w:color="auto"/>
              <w:right w:val="single" w:sz="4" w:space="0" w:color="auto"/>
            </w:tcBorders>
            <w:shd w:val="clear" w:color="auto" w:fill="auto"/>
            <w:vAlign w:val="center"/>
            <w:hideMark/>
          </w:tcPr>
          <w:p w14:paraId="73C8050C" w14:textId="77777777" w:rsidR="0047261E" w:rsidRPr="0047261E" w:rsidRDefault="0047261E" w:rsidP="0047261E">
            <w:pPr>
              <w:ind w:firstLine="0"/>
              <w:rPr>
                <w:rFonts w:eastAsia="Times New Roman" w:cs="Times New Roman"/>
                <w:szCs w:val="24"/>
                <w:lang w:eastAsia="ru-RU"/>
              </w:rPr>
            </w:pPr>
            <w:r w:rsidRPr="0047261E">
              <w:rPr>
                <w:rFonts w:eastAsia="Times New Roman" w:cs="Times New Roman"/>
                <w:szCs w:val="24"/>
                <w:lang w:eastAsia="ru-RU"/>
              </w:rPr>
              <w:t>28</w:t>
            </w:r>
          </w:p>
        </w:tc>
        <w:tc>
          <w:tcPr>
            <w:tcW w:w="1728" w:type="pct"/>
            <w:tcBorders>
              <w:top w:val="nil"/>
              <w:left w:val="nil"/>
              <w:bottom w:val="single" w:sz="4" w:space="0" w:color="auto"/>
              <w:right w:val="single" w:sz="4" w:space="0" w:color="auto"/>
            </w:tcBorders>
            <w:shd w:val="clear" w:color="auto" w:fill="auto"/>
            <w:vAlign w:val="center"/>
            <w:hideMark/>
          </w:tcPr>
          <w:p w14:paraId="5B768E80" w14:textId="77777777" w:rsidR="0047261E" w:rsidRPr="0047261E" w:rsidRDefault="0047261E" w:rsidP="0047261E">
            <w:pPr>
              <w:ind w:firstLine="0"/>
              <w:jc w:val="left"/>
              <w:rPr>
                <w:rFonts w:eastAsia="Times New Roman" w:cs="Times New Roman"/>
                <w:szCs w:val="24"/>
                <w:lang w:eastAsia="ru-RU"/>
              </w:rPr>
            </w:pPr>
            <w:r w:rsidRPr="0047261E">
              <w:rPr>
                <w:rFonts w:eastAsia="Times New Roman" w:cs="Times New Roman"/>
                <w:szCs w:val="24"/>
                <w:lang w:eastAsia="ru-RU"/>
              </w:rPr>
              <w:t>Томпонский район</w:t>
            </w:r>
          </w:p>
        </w:tc>
        <w:tc>
          <w:tcPr>
            <w:tcW w:w="924" w:type="pct"/>
            <w:tcBorders>
              <w:top w:val="nil"/>
              <w:left w:val="nil"/>
              <w:bottom w:val="single" w:sz="4" w:space="0" w:color="auto"/>
              <w:right w:val="single" w:sz="4" w:space="0" w:color="auto"/>
            </w:tcBorders>
            <w:shd w:val="clear" w:color="auto" w:fill="auto"/>
            <w:vAlign w:val="center"/>
            <w:hideMark/>
          </w:tcPr>
          <w:p w14:paraId="6E45A920" w14:textId="77777777" w:rsidR="0047261E" w:rsidRPr="0047261E" w:rsidRDefault="0047261E" w:rsidP="0047261E">
            <w:pPr>
              <w:ind w:firstLine="0"/>
              <w:jc w:val="left"/>
              <w:rPr>
                <w:rFonts w:eastAsia="Times New Roman" w:cs="Times New Roman"/>
                <w:szCs w:val="24"/>
                <w:lang w:eastAsia="ru-RU"/>
              </w:rPr>
            </w:pPr>
            <w:r w:rsidRPr="0047261E">
              <w:rPr>
                <w:rFonts w:eastAsia="Times New Roman" w:cs="Times New Roman"/>
                <w:szCs w:val="24"/>
                <w:lang w:eastAsia="ru-RU"/>
              </w:rPr>
              <w:t>Восточная</w:t>
            </w:r>
          </w:p>
        </w:tc>
        <w:tc>
          <w:tcPr>
            <w:tcW w:w="713" w:type="pct"/>
            <w:tcBorders>
              <w:top w:val="nil"/>
              <w:left w:val="nil"/>
              <w:bottom w:val="single" w:sz="4" w:space="0" w:color="auto"/>
              <w:right w:val="single" w:sz="4" w:space="0" w:color="auto"/>
            </w:tcBorders>
            <w:shd w:val="clear" w:color="auto" w:fill="auto"/>
            <w:noWrap/>
            <w:vAlign w:val="center"/>
            <w:hideMark/>
          </w:tcPr>
          <w:p w14:paraId="01762EA9" w14:textId="77777777" w:rsidR="0047261E" w:rsidRPr="0047261E" w:rsidRDefault="0047261E" w:rsidP="0047261E">
            <w:pPr>
              <w:ind w:firstLine="0"/>
              <w:jc w:val="center"/>
              <w:rPr>
                <w:rFonts w:ascii="Times New Roman CYR" w:eastAsia="Times New Roman" w:hAnsi="Times New Roman CYR" w:cs="Times New Roman CYR"/>
                <w:szCs w:val="24"/>
                <w:lang w:eastAsia="ru-RU"/>
              </w:rPr>
            </w:pPr>
            <w:r w:rsidRPr="0047261E">
              <w:rPr>
                <w:rFonts w:ascii="Times New Roman CYR" w:eastAsia="Times New Roman" w:hAnsi="Times New Roman CYR" w:cs="Times New Roman CYR"/>
                <w:szCs w:val="24"/>
                <w:lang w:eastAsia="ru-RU"/>
              </w:rPr>
              <w:t>13584351</w:t>
            </w:r>
          </w:p>
        </w:tc>
        <w:tc>
          <w:tcPr>
            <w:tcW w:w="1361" w:type="pct"/>
            <w:tcBorders>
              <w:top w:val="nil"/>
              <w:left w:val="nil"/>
              <w:bottom w:val="single" w:sz="4" w:space="0" w:color="auto"/>
              <w:right w:val="single" w:sz="4" w:space="0" w:color="auto"/>
            </w:tcBorders>
            <w:shd w:val="clear" w:color="auto" w:fill="auto"/>
            <w:vAlign w:val="center"/>
            <w:hideMark/>
          </w:tcPr>
          <w:p w14:paraId="2DE8AA97" w14:textId="32DFC825" w:rsidR="0047261E" w:rsidRPr="0047261E" w:rsidRDefault="00A90944" w:rsidP="003E7869">
            <w:pPr>
              <w:widowControl w:val="0"/>
              <w:suppressAutoHyphens/>
              <w:autoSpaceDN w:val="0"/>
              <w:ind w:firstLine="0"/>
              <w:textAlignment w:val="baseline"/>
              <w:rPr>
                <w:rFonts w:eastAsia="Times New Roman" w:cs="Times New Roman"/>
                <w:kern w:val="3"/>
                <w:szCs w:val="24"/>
                <w:lang w:eastAsia="ru-RU" w:bidi="hi-IN"/>
              </w:rPr>
            </w:pPr>
            <w:hyperlink r:id="rId92" w:tooltip="Хандыга (посёлок)" w:history="1">
              <w:r w:rsidR="0047261E" w:rsidRPr="0047261E">
                <w:rPr>
                  <w:rFonts w:eastAsia="Times New Roman" w:cs="Times New Roman"/>
                  <w:kern w:val="3"/>
                  <w:szCs w:val="24"/>
                  <w:lang w:eastAsia="ru-RU" w:bidi="hi-IN"/>
                </w:rPr>
                <w:t>Хандыга</w:t>
              </w:r>
            </w:hyperlink>
          </w:p>
        </w:tc>
      </w:tr>
      <w:tr w:rsidR="0047261E" w:rsidRPr="0047261E" w14:paraId="788140BF" w14:textId="77777777" w:rsidTr="0047261E">
        <w:trPr>
          <w:trHeight w:val="315"/>
        </w:trPr>
        <w:tc>
          <w:tcPr>
            <w:tcW w:w="274" w:type="pct"/>
            <w:tcBorders>
              <w:top w:val="nil"/>
              <w:left w:val="single" w:sz="4" w:space="0" w:color="auto"/>
              <w:bottom w:val="single" w:sz="4" w:space="0" w:color="auto"/>
              <w:right w:val="single" w:sz="4" w:space="0" w:color="auto"/>
            </w:tcBorders>
            <w:shd w:val="clear" w:color="auto" w:fill="auto"/>
            <w:vAlign w:val="center"/>
            <w:hideMark/>
          </w:tcPr>
          <w:p w14:paraId="5F459924" w14:textId="77777777" w:rsidR="0047261E" w:rsidRPr="0047261E" w:rsidRDefault="0047261E" w:rsidP="0047261E">
            <w:pPr>
              <w:ind w:firstLine="0"/>
              <w:rPr>
                <w:rFonts w:eastAsia="Times New Roman" w:cs="Times New Roman"/>
                <w:szCs w:val="24"/>
                <w:lang w:eastAsia="ru-RU"/>
              </w:rPr>
            </w:pPr>
            <w:r w:rsidRPr="0047261E">
              <w:rPr>
                <w:rFonts w:eastAsia="Times New Roman" w:cs="Times New Roman"/>
                <w:szCs w:val="24"/>
                <w:lang w:eastAsia="ru-RU"/>
              </w:rPr>
              <w:t>29</w:t>
            </w:r>
          </w:p>
        </w:tc>
        <w:tc>
          <w:tcPr>
            <w:tcW w:w="1728" w:type="pct"/>
            <w:tcBorders>
              <w:top w:val="nil"/>
              <w:left w:val="nil"/>
              <w:bottom w:val="single" w:sz="4" w:space="0" w:color="auto"/>
              <w:right w:val="single" w:sz="4" w:space="0" w:color="auto"/>
            </w:tcBorders>
            <w:shd w:val="clear" w:color="auto" w:fill="auto"/>
            <w:vAlign w:val="center"/>
            <w:hideMark/>
          </w:tcPr>
          <w:p w14:paraId="0C10EEAC" w14:textId="77777777" w:rsidR="0047261E" w:rsidRPr="0047261E" w:rsidRDefault="0047261E" w:rsidP="0047261E">
            <w:pPr>
              <w:ind w:firstLine="0"/>
              <w:jc w:val="left"/>
              <w:rPr>
                <w:rFonts w:eastAsia="Times New Roman" w:cs="Times New Roman"/>
                <w:szCs w:val="24"/>
                <w:lang w:eastAsia="ru-RU"/>
              </w:rPr>
            </w:pPr>
            <w:r w:rsidRPr="0047261E">
              <w:rPr>
                <w:rFonts w:eastAsia="Times New Roman" w:cs="Times New Roman"/>
                <w:szCs w:val="24"/>
                <w:lang w:eastAsia="ru-RU"/>
              </w:rPr>
              <w:t>Усть-Алданский улус (район)</w:t>
            </w:r>
          </w:p>
        </w:tc>
        <w:tc>
          <w:tcPr>
            <w:tcW w:w="924" w:type="pct"/>
            <w:tcBorders>
              <w:top w:val="nil"/>
              <w:left w:val="nil"/>
              <w:bottom w:val="single" w:sz="4" w:space="0" w:color="auto"/>
              <w:right w:val="single" w:sz="4" w:space="0" w:color="auto"/>
            </w:tcBorders>
            <w:shd w:val="clear" w:color="auto" w:fill="auto"/>
            <w:vAlign w:val="center"/>
            <w:hideMark/>
          </w:tcPr>
          <w:p w14:paraId="00A0E1E1" w14:textId="77777777" w:rsidR="0047261E" w:rsidRPr="0047261E" w:rsidRDefault="0047261E" w:rsidP="0047261E">
            <w:pPr>
              <w:ind w:firstLine="0"/>
              <w:jc w:val="left"/>
              <w:rPr>
                <w:rFonts w:eastAsia="Times New Roman" w:cs="Times New Roman"/>
                <w:szCs w:val="24"/>
                <w:lang w:eastAsia="ru-RU"/>
              </w:rPr>
            </w:pPr>
            <w:r w:rsidRPr="0047261E">
              <w:rPr>
                <w:rFonts w:eastAsia="Times New Roman" w:cs="Times New Roman"/>
                <w:szCs w:val="24"/>
                <w:lang w:eastAsia="ru-RU"/>
              </w:rPr>
              <w:t>Центральная</w:t>
            </w:r>
          </w:p>
        </w:tc>
        <w:tc>
          <w:tcPr>
            <w:tcW w:w="713" w:type="pct"/>
            <w:tcBorders>
              <w:top w:val="nil"/>
              <w:left w:val="nil"/>
              <w:bottom w:val="single" w:sz="4" w:space="0" w:color="auto"/>
              <w:right w:val="single" w:sz="4" w:space="0" w:color="auto"/>
            </w:tcBorders>
            <w:shd w:val="clear" w:color="auto" w:fill="auto"/>
            <w:noWrap/>
            <w:vAlign w:val="center"/>
            <w:hideMark/>
          </w:tcPr>
          <w:p w14:paraId="37061A5A" w14:textId="77777777" w:rsidR="0047261E" w:rsidRPr="0047261E" w:rsidRDefault="0047261E" w:rsidP="0047261E">
            <w:pPr>
              <w:ind w:firstLine="0"/>
              <w:jc w:val="center"/>
              <w:rPr>
                <w:rFonts w:ascii="Times New Roman CYR" w:eastAsia="Times New Roman" w:hAnsi="Times New Roman CYR" w:cs="Times New Roman CYR"/>
                <w:szCs w:val="24"/>
                <w:lang w:eastAsia="ru-RU"/>
              </w:rPr>
            </w:pPr>
            <w:r w:rsidRPr="0047261E">
              <w:rPr>
                <w:rFonts w:ascii="Times New Roman CYR" w:eastAsia="Times New Roman" w:hAnsi="Times New Roman CYR" w:cs="Times New Roman CYR"/>
                <w:szCs w:val="24"/>
                <w:lang w:eastAsia="ru-RU"/>
              </w:rPr>
              <w:t>1827591</w:t>
            </w:r>
          </w:p>
        </w:tc>
        <w:tc>
          <w:tcPr>
            <w:tcW w:w="1361" w:type="pct"/>
            <w:tcBorders>
              <w:top w:val="nil"/>
              <w:left w:val="nil"/>
              <w:bottom w:val="single" w:sz="4" w:space="0" w:color="auto"/>
              <w:right w:val="single" w:sz="4" w:space="0" w:color="auto"/>
            </w:tcBorders>
            <w:shd w:val="clear" w:color="auto" w:fill="auto"/>
            <w:vAlign w:val="center"/>
            <w:hideMark/>
          </w:tcPr>
          <w:p w14:paraId="002DCF95" w14:textId="4E0E0796" w:rsidR="0047261E" w:rsidRPr="0047261E" w:rsidRDefault="00A90944" w:rsidP="003E7869">
            <w:pPr>
              <w:widowControl w:val="0"/>
              <w:suppressAutoHyphens/>
              <w:autoSpaceDN w:val="0"/>
              <w:ind w:firstLine="0"/>
              <w:textAlignment w:val="baseline"/>
              <w:rPr>
                <w:rFonts w:eastAsia="Times New Roman" w:cs="Times New Roman"/>
                <w:kern w:val="3"/>
                <w:szCs w:val="24"/>
                <w:lang w:eastAsia="ru-RU" w:bidi="hi-IN"/>
              </w:rPr>
            </w:pPr>
            <w:hyperlink r:id="rId93" w:tooltip="Борогонцы" w:history="1">
              <w:r w:rsidR="0047261E" w:rsidRPr="0047261E">
                <w:rPr>
                  <w:rFonts w:eastAsia="Times New Roman" w:cs="Times New Roman"/>
                  <w:kern w:val="3"/>
                  <w:szCs w:val="24"/>
                  <w:lang w:eastAsia="ru-RU" w:bidi="hi-IN"/>
                </w:rPr>
                <w:t>Борогонцы</w:t>
              </w:r>
            </w:hyperlink>
          </w:p>
        </w:tc>
      </w:tr>
      <w:tr w:rsidR="0047261E" w:rsidRPr="0047261E" w14:paraId="286A98D4" w14:textId="77777777" w:rsidTr="0047261E">
        <w:trPr>
          <w:trHeight w:val="315"/>
        </w:trPr>
        <w:tc>
          <w:tcPr>
            <w:tcW w:w="274" w:type="pct"/>
            <w:tcBorders>
              <w:top w:val="nil"/>
              <w:left w:val="single" w:sz="4" w:space="0" w:color="auto"/>
              <w:bottom w:val="single" w:sz="4" w:space="0" w:color="auto"/>
              <w:right w:val="single" w:sz="4" w:space="0" w:color="auto"/>
            </w:tcBorders>
            <w:shd w:val="clear" w:color="auto" w:fill="auto"/>
            <w:vAlign w:val="center"/>
            <w:hideMark/>
          </w:tcPr>
          <w:p w14:paraId="119DD361" w14:textId="77777777" w:rsidR="0047261E" w:rsidRPr="0047261E" w:rsidRDefault="0047261E" w:rsidP="0047261E">
            <w:pPr>
              <w:ind w:firstLine="0"/>
              <w:rPr>
                <w:rFonts w:eastAsia="Times New Roman" w:cs="Times New Roman"/>
                <w:szCs w:val="24"/>
                <w:lang w:eastAsia="ru-RU"/>
              </w:rPr>
            </w:pPr>
            <w:r w:rsidRPr="0047261E">
              <w:rPr>
                <w:rFonts w:eastAsia="Times New Roman" w:cs="Times New Roman"/>
                <w:szCs w:val="24"/>
                <w:lang w:eastAsia="ru-RU"/>
              </w:rPr>
              <w:t>30</w:t>
            </w:r>
          </w:p>
        </w:tc>
        <w:tc>
          <w:tcPr>
            <w:tcW w:w="1728" w:type="pct"/>
            <w:tcBorders>
              <w:top w:val="nil"/>
              <w:left w:val="nil"/>
              <w:bottom w:val="single" w:sz="4" w:space="0" w:color="auto"/>
              <w:right w:val="single" w:sz="4" w:space="0" w:color="auto"/>
            </w:tcBorders>
            <w:shd w:val="clear" w:color="auto" w:fill="auto"/>
            <w:vAlign w:val="center"/>
            <w:hideMark/>
          </w:tcPr>
          <w:p w14:paraId="6EC2F8FE" w14:textId="77777777" w:rsidR="0047261E" w:rsidRPr="0047261E" w:rsidRDefault="0047261E" w:rsidP="0047261E">
            <w:pPr>
              <w:ind w:firstLine="0"/>
              <w:jc w:val="left"/>
              <w:rPr>
                <w:rFonts w:eastAsia="Times New Roman" w:cs="Times New Roman"/>
                <w:szCs w:val="24"/>
                <w:lang w:eastAsia="ru-RU"/>
              </w:rPr>
            </w:pPr>
            <w:r w:rsidRPr="0047261E">
              <w:rPr>
                <w:rFonts w:eastAsia="Times New Roman" w:cs="Times New Roman"/>
                <w:szCs w:val="24"/>
                <w:lang w:eastAsia="ru-RU"/>
              </w:rPr>
              <w:t>Усть-Майский улус (район)</w:t>
            </w:r>
          </w:p>
        </w:tc>
        <w:tc>
          <w:tcPr>
            <w:tcW w:w="924" w:type="pct"/>
            <w:tcBorders>
              <w:top w:val="nil"/>
              <w:left w:val="nil"/>
              <w:bottom w:val="single" w:sz="4" w:space="0" w:color="auto"/>
              <w:right w:val="single" w:sz="4" w:space="0" w:color="auto"/>
            </w:tcBorders>
            <w:shd w:val="clear" w:color="auto" w:fill="auto"/>
            <w:vAlign w:val="center"/>
            <w:hideMark/>
          </w:tcPr>
          <w:p w14:paraId="48D7106C" w14:textId="77777777" w:rsidR="0047261E" w:rsidRPr="0047261E" w:rsidRDefault="0047261E" w:rsidP="0047261E">
            <w:pPr>
              <w:ind w:firstLine="0"/>
              <w:jc w:val="left"/>
              <w:rPr>
                <w:rFonts w:eastAsia="Times New Roman" w:cs="Times New Roman"/>
                <w:szCs w:val="24"/>
                <w:lang w:eastAsia="ru-RU"/>
              </w:rPr>
            </w:pPr>
            <w:r w:rsidRPr="0047261E">
              <w:rPr>
                <w:rFonts w:eastAsia="Times New Roman" w:cs="Times New Roman"/>
                <w:szCs w:val="24"/>
                <w:lang w:eastAsia="ru-RU"/>
              </w:rPr>
              <w:t>Восточная</w:t>
            </w:r>
          </w:p>
        </w:tc>
        <w:tc>
          <w:tcPr>
            <w:tcW w:w="713" w:type="pct"/>
            <w:tcBorders>
              <w:top w:val="nil"/>
              <w:left w:val="nil"/>
              <w:bottom w:val="single" w:sz="4" w:space="0" w:color="auto"/>
              <w:right w:val="single" w:sz="4" w:space="0" w:color="auto"/>
            </w:tcBorders>
            <w:shd w:val="clear" w:color="auto" w:fill="auto"/>
            <w:noWrap/>
            <w:vAlign w:val="center"/>
            <w:hideMark/>
          </w:tcPr>
          <w:p w14:paraId="7D9DEBA7" w14:textId="77777777" w:rsidR="0047261E" w:rsidRPr="0047261E" w:rsidRDefault="0047261E" w:rsidP="0047261E">
            <w:pPr>
              <w:ind w:firstLine="0"/>
              <w:jc w:val="center"/>
              <w:rPr>
                <w:rFonts w:ascii="Times New Roman CYR" w:eastAsia="Times New Roman" w:hAnsi="Times New Roman CYR" w:cs="Times New Roman CYR"/>
                <w:szCs w:val="24"/>
                <w:lang w:eastAsia="ru-RU"/>
              </w:rPr>
            </w:pPr>
            <w:r w:rsidRPr="0047261E">
              <w:rPr>
                <w:rFonts w:ascii="Times New Roman CYR" w:eastAsia="Times New Roman" w:hAnsi="Times New Roman CYR" w:cs="Times New Roman CYR"/>
                <w:szCs w:val="24"/>
                <w:lang w:eastAsia="ru-RU"/>
              </w:rPr>
              <w:t>9532547</w:t>
            </w:r>
          </w:p>
        </w:tc>
        <w:tc>
          <w:tcPr>
            <w:tcW w:w="1361" w:type="pct"/>
            <w:tcBorders>
              <w:top w:val="nil"/>
              <w:left w:val="nil"/>
              <w:bottom w:val="single" w:sz="4" w:space="0" w:color="auto"/>
              <w:right w:val="single" w:sz="4" w:space="0" w:color="auto"/>
            </w:tcBorders>
            <w:shd w:val="clear" w:color="auto" w:fill="auto"/>
            <w:vAlign w:val="center"/>
            <w:hideMark/>
          </w:tcPr>
          <w:p w14:paraId="2E665F81" w14:textId="0B45DEA9" w:rsidR="0047261E" w:rsidRPr="0047261E" w:rsidRDefault="00A90944" w:rsidP="003E7869">
            <w:pPr>
              <w:widowControl w:val="0"/>
              <w:suppressAutoHyphens/>
              <w:autoSpaceDN w:val="0"/>
              <w:ind w:firstLine="0"/>
              <w:textAlignment w:val="baseline"/>
              <w:rPr>
                <w:rFonts w:eastAsia="Times New Roman" w:cs="Times New Roman"/>
                <w:kern w:val="3"/>
                <w:szCs w:val="24"/>
                <w:lang w:eastAsia="ru-RU" w:bidi="hi-IN"/>
              </w:rPr>
            </w:pPr>
            <w:hyperlink r:id="rId94" w:tooltip="Усть-Мая" w:history="1">
              <w:r w:rsidR="0047261E" w:rsidRPr="0047261E">
                <w:rPr>
                  <w:rFonts w:eastAsia="Times New Roman" w:cs="Times New Roman"/>
                  <w:kern w:val="3"/>
                  <w:szCs w:val="24"/>
                  <w:lang w:eastAsia="ru-RU" w:bidi="hi-IN"/>
                </w:rPr>
                <w:t>Усть-Мая</w:t>
              </w:r>
            </w:hyperlink>
          </w:p>
        </w:tc>
      </w:tr>
      <w:tr w:rsidR="0047261E" w:rsidRPr="0047261E" w14:paraId="723B6F8B" w14:textId="77777777" w:rsidTr="0047261E">
        <w:trPr>
          <w:trHeight w:val="315"/>
        </w:trPr>
        <w:tc>
          <w:tcPr>
            <w:tcW w:w="274" w:type="pct"/>
            <w:tcBorders>
              <w:top w:val="nil"/>
              <w:left w:val="single" w:sz="4" w:space="0" w:color="auto"/>
              <w:bottom w:val="single" w:sz="4" w:space="0" w:color="auto"/>
              <w:right w:val="single" w:sz="4" w:space="0" w:color="auto"/>
            </w:tcBorders>
            <w:shd w:val="clear" w:color="auto" w:fill="auto"/>
            <w:vAlign w:val="center"/>
            <w:hideMark/>
          </w:tcPr>
          <w:p w14:paraId="1C75C300" w14:textId="77777777" w:rsidR="0047261E" w:rsidRPr="0047261E" w:rsidRDefault="0047261E" w:rsidP="0047261E">
            <w:pPr>
              <w:ind w:firstLine="0"/>
              <w:rPr>
                <w:rFonts w:eastAsia="Times New Roman" w:cs="Times New Roman"/>
                <w:szCs w:val="24"/>
                <w:lang w:eastAsia="ru-RU"/>
              </w:rPr>
            </w:pPr>
            <w:r w:rsidRPr="0047261E">
              <w:rPr>
                <w:rFonts w:eastAsia="Times New Roman" w:cs="Times New Roman"/>
                <w:szCs w:val="24"/>
                <w:lang w:eastAsia="ru-RU"/>
              </w:rPr>
              <w:t>31</w:t>
            </w:r>
          </w:p>
        </w:tc>
        <w:tc>
          <w:tcPr>
            <w:tcW w:w="1728" w:type="pct"/>
            <w:tcBorders>
              <w:top w:val="nil"/>
              <w:left w:val="nil"/>
              <w:bottom w:val="single" w:sz="4" w:space="0" w:color="auto"/>
              <w:right w:val="single" w:sz="4" w:space="0" w:color="auto"/>
            </w:tcBorders>
            <w:shd w:val="clear" w:color="auto" w:fill="auto"/>
            <w:vAlign w:val="center"/>
            <w:hideMark/>
          </w:tcPr>
          <w:p w14:paraId="6CC6A380" w14:textId="77777777" w:rsidR="0047261E" w:rsidRPr="0047261E" w:rsidRDefault="0047261E" w:rsidP="0047261E">
            <w:pPr>
              <w:ind w:firstLine="0"/>
              <w:jc w:val="left"/>
              <w:rPr>
                <w:rFonts w:eastAsia="Times New Roman" w:cs="Times New Roman"/>
                <w:szCs w:val="24"/>
                <w:lang w:eastAsia="ru-RU"/>
              </w:rPr>
            </w:pPr>
            <w:r w:rsidRPr="0047261E">
              <w:rPr>
                <w:rFonts w:eastAsia="Times New Roman" w:cs="Times New Roman"/>
                <w:szCs w:val="24"/>
                <w:lang w:eastAsia="ru-RU"/>
              </w:rPr>
              <w:t>Усть-Янский улус (район)</w:t>
            </w:r>
          </w:p>
        </w:tc>
        <w:tc>
          <w:tcPr>
            <w:tcW w:w="924" w:type="pct"/>
            <w:tcBorders>
              <w:top w:val="nil"/>
              <w:left w:val="nil"/>
              <w:bottom w:val="single" w:sz="4" w:space="0" w:color="auto"/>
              <w:right w:val="single" w:sz="4" w:space="0" w:color="auto"/>
            </w:tcBorders>
            <w:shd w:val="clear" w:color="auto" w:fill="auto"/>
            <w:vAlign w:val="center"/>
            <w:hideMark/>
          </w:tcPr>
          <w:p w14:paraId="1B7B50CD" w14:textId="77777777" w:rsidR="0047261E" w:rsidRPr="0047261E" w:rsidRDefault="0047261E" w:rsidP="0047261E">
            <w:pPr>
              <w:ind w:firstLine="0"/>
              <w:jc w:val="left"/>
              <w:rPr>
                <w:rFonts w:eastAsia="Times New Roman" w:cs="Times New Roman"/>
                <w:szCs w:val="24"/>
                <w:lang w:eastAsia="ru-RU"/>
              </w:rPr>
            </w:pPr>
            <w:r w:rsidRPr="0047261E">
              <w:rPr>
                <w:rFonts w:eastAsia="Times New Roman" w:cs="Times New Roman"/>
                <w:szCs w:val="24"/>
                <w:lang w:eastAsia="ru-RU"/>
              </w:rPr>
              <w:t>Арктическая</w:t>
            </w:r>
          </w:p>
        </w:tc>
        <w:tc>
          <w:tcPr>
            <w:tcW w:w="713" w:type="pct"/>
            <w:tcBorders>
              <w:top w:val="nil"/>
              <w:left w:val="nil"/>
              <w:bottom w:val="single" w:sz="4" w:space="0" w:color="auto"/>
              <w:right w:val="single" w:sz="4" w:space="0" w:color="auto"/>
            </w:tcBorders>
            <w:shd w:val="clear" w:color="auto" w:fill="auto"/>
            <w:noWrap/>
            <w:vAlign w:val="center"/>
            <w:hideMark/>
          </w:tcPr>
          <w:p w14:paraId="64D78024" w14:textId="77777777" w:rsidR="0047261E" w:rsidRPr="0047261E" w:rsidRDefault="0047261E" w:rsidP="0047261E">
            <w:pPr>
              <w:ind w:firstLine="0"/>
              <w:jc w:val="center"/>
              <w:rPr>
                <w:rFonts w:ascii="Times New Roman CYR" w:eastAsia="Times New Roman" w:hAnsi="Times New Roman CYR" w:cs="Times New Roman CYR"/>
                <w:szCs w:val="24"/>
                <w:lang w:eastAsia="ru-RU"/>
              </w:rPr>
            </w:pPr>
            <w:r w:rsidRPr="0047261E">
              <w:rPr>
                <w:rFonts w:ascii="Times New Roman CYR" w:eastAsia="Times New Roman" w:hAnsi="Times New Roman CYR" w:cs="Times New Roman CYR"/>
                <w:szCs w:val="24"/>
                <w:lang w:eastAsia="ru-RU"/>
              </w:rPr>
              <w:t>12027808</w:t>
            </w:r>
          </w:p>
        </w:tc>
        <w:tc>
          <w:tcPr>
            <w:tcW w:w="1361" w:type="pct"/>
            <w:tcBorders>
              <w:top w:val="nil"/>
              <w:left w:val="nil"/>
              <w:bottom w:val="single" w:sz="4" w:space="0" w:color="auto"/>
              <w:right w:val="single" w:sz="4" w:space="0" w:color="auto"/>
            </w:tcBorders>
            <w:shd w:val="clear" w:color="auto" w:fill="auto"/>
            <w:vAlign w:val="center"/>
            <w:hideMark/>
          </w:tcPr>
          <w:p w14:paraId="3A5BE3B5" w14:textId="127BB2B8" w:rsidR="0047261E" w:rsidRPr="0047261E" w:rsidRDefault="00A90944" w:rsidP="003E7869">
            <w:pPr>
              <w:widowControl w:val="0"/>
              <w:suppressAutoHyphens/>
              <w:autoSpaceDN w:val="0"/>
              <w:ind w:firstLine="0"/>
              <w:textAlignment w:val="baseline"/>
              <w:rPr>
                <w:rFonts w:eastAsia="Times New Roman" w:cs="Times New Roman"/>
                <w:kern w:val="3"/>
                <w:szCs w:val="24"/>
                <w:lang w:eastAsia="ru-RU" w:bidi="hi-IN"/>
              </w:rPr>
            </w:pPr>
            <w:hyperlink r:id="rId95" w:tooltip="Депутатский" w:history="1">
              <w:r w:rsidR="0047261E" w:rsidRPr="0047261E">
                <w:rPr>
                  <w:rFonts w:eastAsia="Times New Roman" w:cs="Times New Roman"/>
                  <w:kern w:val="3"/>
                  <w:szCs w:val="24"/>
                  <w:lang w:eastAsia="ru-RU" w:bidi="hi-IN"/>
                </w:rPr>
                <w:t>Депутатский</w:t>
              </w:r>
            </w:hyperlink>
          </w:p>
        </w:tc>
      </w:tr>
      <w:tr w:rsidR="0047261E" w:rsidRPr="0047261E" w14:paraId="063E5522" w14:textId="77777777" w:rsidTr="0047261E">
        <w:trPr>
          <w:trHeight w:val="315"/>
        </w:trPr>
        <w:tc>
          <w:tcPr>
            <w:tcW w:w="274" w:type="pct"/>
            <w:tcBorders>
              <w:top w:val="nil"/>
              <w:left w:val="single" w:sz="4" w:space="0" w:color="auto"/>
              <w:bottom w:val="single" w:sz="4" w:space="0" w:color="auto"/>
              <w:right w:val="single" w:sz="4" w:space="0" w:color="auto"/>
            </w:tcBorders>
            <w:shd w:val="clear" w:color="auto" w:fill="auto"/>
            <w:vAlign w:val="center"/>
            <w:hideMark/>
          </w:tcPr>
          <w:p w14:paraId="6D330AB3" w14:textId="77777777" w:rsidR="0047261E" w:rsidRPr="0047261E" w:rsidRDefault="0047261E" w:rsidP="0047261E">
            <w:pPr>
              <w:ind w:firstLine="0"/>
              <w:rPr>
                <w:rFonts w:eastAsia="Times New Roman" w:cs="Times New Roman"/>
                <w:szCs w:val="24"/>
                <w:lang w:eastAsia="ru-RU"/>
              </w:rPr>
            </w:pPr>
            <w:r w:rsidRPr="0047261E">
              <w:rPr>
                <w:rFonts w:eastAsia="Times New Roman" w:cs="Times New Roman"/>
                <w:szCs w:val="24"/>
                <w:lang w:eastAsia="ru-RU"/>
              </w:rPr>
              <w:t>32</w:t>
            </w:r>
          </w:p>
        </w:tc>
        <w:tc>
          <w:tcPr>
            <w:tcW w:w="1728" w:type="pct"/>
            <w:tcBorders>
              <w:top w:val="nil"/>
              <w:left w:val="nil"/>
              <w:bottom w:val="single" w:sz="4" w:space="0" w:color="auto"/>
              <w:right w:val="single" w:sz="4" w:space="0" w:color="auto"/>
            </w:tcBorders>
            <w:shd w:val="clear" w:color="auto" w:fill="auto"/>
            <w:vAlign w:val="center"/>
            <w:hideMark/>
          </w:tcPr>
          <w:p w14:paraId="5A2E61BF" w14:textId="77777777" w:rsidR="0047261E" w:rsidRPr="0047261E" w:rsidRDefault="0047261E" w:rsidP="0047261E">
            <w:pPr>
              <w:ind w:firstLine="0"/>
              <w:jc w:val="left"/>
              <w:rPr>
                <w:rFonts w:eastAsia="Times New Roman" w:cs="Times New Roman"/>
                <w:szCs w:val="24"/>
                <w:lang w:eastAsia="ru-RU"/>
              </w:rPr>
            </w:pPr>
            <w:r w:rsidRPr="0047261E">
              <w:rPr>
                <w:rFonts w:eastAsia="Times New Roman" w:cs="Times New Roman"/>
                <w:szCs w:val="24"/>
                <w:lang w:eastAsia="ru-RU"/>
              </w:rPr>
              <w:t>Хангаласский улус</w:t>
            </w:r>
          </w:p>
        </w:tc>
        <w:tc>
          <w:tcPr>
            <w:tcW w:w="924" w:type="pct"/>
            <w:tcBorders>
              <w:top w:val="nil"/>
              <w:left w:val="nil"/>
              <w:bottom w:val="single" w:sz="4" w:space="0" w:color="auto"/>
              <w:right w:val="single" w:sz="4" w:space="0" w:color="auto"/>
            </w:tcBorders>
            <w:shd w:val="clear" w:color="auto" w:fill="auto"/>
            <w:vAlign w:val="center"/>
            <w:hideMark/>
          </w:tcPr>
          <w:p w14:paraId="4068CBCE" w14:textId="77777777" w:rsidR="0047261E" w:rsidRPr="0047261E" w:rsidRDefault="0047261E" w:rsidP="0047261E">
            <w:pPr>
              <w:ind w:firstLine="0"/>
              <w:jc w:val="left"/>
              <w:rPr>
                <w:rFonts w:eastAsia="Times New Roman" w:cs="Times New Roman"/>
                <w:szCs w:val="24"/>
                <w:lang w:eastAsia="ru-RU"/>
              </w:rPr>
            </w:pPr>
            <w:r w:rsidRPr="0047261E">
              <w:rPr>
                <w:rFonts w:eastAsia="Times New Roman" w:cs="Times New Roman"/>
                <w:szCs w:val="24"/>
                <w:lang w:eastAsia="ru-RU"/>
              </w:rPr>
              <w:t>Центральная</w:t>
            </w:r>
          </w:p>
        </w:tc>
        <w:tc>
          <w:tcPr>
            <w:tcW w:w="713" w:type="pct"/>
            <w:tcBorders>
              <w:top w:val="nil"/>
              <w:left w:val="nil"/>
              <w:bottom w:val="single" w:sz="4" w:space="0" w:color="auto"/>
              <w:right w:val="single" w:sz="4" w:space="0" w:color="auto"/>
            </w:tcBorders>
            <w:shd w:val="clear" w:color="auto" w:fill="auto"/>
            <w:noWrap/>
            <w:vAlign w:val="center"/>
            <w:hideMark/>
          </w:tcPr>
          <w:p w14:paraId="0F5F7B80" w14:textId="77777777" w:rsidR="0047261E" w:rsidRPr="0047261E" w:rsidRDefault="0047261E" w:rsidP="0047261E">
            <w:pPr>
              <w:ind w:firstLine="0"/>
              <w:jc w:val="center"/>
              <w:rPr>
                <w:rFonts w:ascii="Times New Roman CYR" w:eastAsia="Times New Roman" w:hAnsi="Times New Roman CYR" w:cs="Times New Roman CYR"/>
                <w:szCs w:val="24"/>
                <w:lang w:eastAsia="ru-RU"/>
              </w:rPr>
            </w:pPr>
            <w:r w:rsidRPr="0047261E">
              <w:rPr>
                <w:rFonts w:ascii="Times New Roman CYR" w:eastAsia="Times New Roman" w:hAnsi="Times New Roman CYR" w:cs="Times New Roman CYR"/>
                <w:szCs w:val="24"/>
                <w:lang w:eastAsia="ru-RU"/>
              </w:rPr>
              <w:t>2468046</w:t>
            </w:r>
          </w:p>
        </w:tc>
        <w:tc>
          <w:tcPr>
            <w:tcW w:w="1361" w:type="pct"/>
            <w:tcBorders>
              <w:top w:val="nil"/>
              <w:left w:val="nil"/>
              <w:bottom w:val="single" w:sz="4" w:space="0" w:color="auto"/>
              <w:right w:val="single" w:sz="4" w:space="0" w:color="auto"/>
            </w:tcBorders>
            <w:shd w:val="clear" w:color="auto" w:fill="auto"/>
            <w:vAlign w:val="center"/>
            <w:hideMark/>
          </w:tcPr>
          <w:p w14:paraId="5D1192EC" w14:textId="2E83EE99" w:rsidR="0047261E" w:rsidRPr="0047261E" w:rsidRDefault="00A90944" w:rsidP="003E7869">
            <w:pPr>
              <w:widowControl w:val="0"/>
              <w:suppressAutoHyphens/>
              <w:autoSpaceDN w:val="0"/>
              <w:ind w:firstLine="0"/>
              <w:textAlignment w:val="baseline"/>
              <w:rPr>
                <w:rFonts w:eastAsia="Times New Roman" w:cs="Times New Roman"/>
                <w:kern w:val="3"/>
                <w:szCs w:val="24"/>
                <w:lang w:eastAsia="ru-RU" w:bidi="hi-IN"/>
              </w:rPr>
            </w:pPr>
            <w:hyperlink r:id="rId96" w:tooltip="Покровск (Якутия)" w:history="1">
              <w:r w:rsidR="0047261E" w:rsidRPr="0047261E">
                <w:rPr>
                  <w:rFonts w:eastAsia="Times New Roman" w:cs="Times New Roman"/>
                  <w:kern w:val="3"/>
                  <w:szCs w:val="24"/>
                  <w:lang w:eastAsia="ru-RU" w:bidi="hi-IN"/>
                </w:rPr>
                <w:t>Покровск</w:t>
              </w:r>
            </w:hyperlink>
          </w:p>
        </w:tc>
      </w:tr>
      <w:tr w:rsidR="0047261E" w:rsidRPr="0047261E" w14:paraId="7CFC31CD" w14:textId="77777777" w:rsidTr="0047261E">
        <w:trPr>
          <w:trHeight w:val="315"/>
        </w:trPr>
        <w:tc>
          <w:tcPr>
            <w:tcW w:w="274" w:type="pct"/>
            <w:tcBorders>
              <w:top w:val="nil"/>
              <w:left w:val="single" w:sz="4" w:space="0" w:color="auto"/>
              <w:bottom w:val="single" w:sz="4" w:space="0" w:color="auto"/>
              <w:right w:val="single" w:sz="4" w:space="0" w:color="auto"/>
            </w:tcBorders>
            <w:shd w:val="clear" w:color="auto" w:fill="auto"/>
            <w:vAlign w:val="center"/>
            <w:hideMark/>
          </w:tcPr>
          <w:p w14:paraId="2054B453" w14:textId="77777777" w:rsidR="0047261E" w:rsidRPr="0047261E" w:rsidRDefault="0047261E" w:rsidP="0047261E">
            <w:pPr>
              <w:ind w:firstLine="0"/>
              <w:rPr>
                <w:rFonts w:eastAsia="Times New Roman" w:cs="Times New Roman"/>
                <w:szCs w:val="24"/>
                <w:lang w:eastAsia="ru-RU"/>
              </w:rPr>
            </w:pPr>
            <w:r w:rsidRPr="0047261E">
              <w:rPr>
                <w:rFonts w:eastAsia="Times New Roman" w:cs="Times New Roman"/>
                <w:szCs w:val="24"/>
                <w:lang w:eastAsia="ru-RU"/>
              </w:rPr>
              <w:t>33</w:t>
            </w:r>
          </w:p>
        </w:tc>
        <w:tc>
          <w:tcPr>
            <w:tcW w:w="1728" w:type="pct"/>
            <w:tcBorders>
              <w:top w:val="nil"/>
              <w:left w:val="nil"/>
              <w:bottom w:val="single" w:sz="4" w:space="0" w:color="auto"/>
              <w:right w:val="single" w:sz="4" w:space="0" w:color="auto"/>
            </w:tcBorders>
            <w:shd w:val="clear" w:color="auto" w:fill="auto"/>
            <w:vAlign w:val="center"/>
            <w:hideMark/>
          </w:tcPr>
          <w:p w14:paraId="6C9685C1" w14:textId="77777777" w:rsidR="0047261E" w:rsidRPr="0047261E" w:rsidRDefault="0047261E" w:rsidP="0047261E">
            <w:pPr>
              <w:ind w:firstLine="0"/>
              <w:jc w:val="left"/>
              <w:rPr>
                <w:rFonts w:eastAsia="Times New Roman" w:cs="Times New Roman"/>
                <w:szCs w:val="24"/>
                <w:lang w:eastAsia="ru-RU"/>
              </w:rPr>
            </w:pPr>
            <w:r w:rsidRPr="0047261E">
              <w:rPr>
                <w:rFonts w:eastAsia="Times New Roman" w:cs="Times New Roman"/>
                <w:szCs w:val="24"/>
                <w:lang w:eastAsia="ru-RU"/>
              </w:rPr>
              <w:t>Чурапчинский улус (район)</w:t>
            </w:r>
          </w:p>
        </w:tc>
        <w:tc>
          <w:tcPr>
            <w:tcW w:w="924" w:type="pct"/>
            <w:tcBorders>
              <w:top w:val="nil"/>
              <w:left w:val="nil"/>
              <w:bottom w:val="single" w:sz="4" w:space="0" w:color="auto"/>
              <w:right w:val="single" w:sz="4" w:space="0" w:color="auto"/>
            </w:tcBorders>
            <w:shd w:val="clear" w:color="auto" w:fill="auto"/>
            <w:vAlign w:val="center"/>
            <w:hideMark/>
          </w:tcPr>
          <w:p w14:paraId="65962064" w14:textId="77777777" w:rsidR="0047261E" w:rsidRPr="0047261E" w:rsidRDefault="0047261E" w:rsidP="0047261E">
            <w:pPr>
              <w:ind w:firstLine="0"/>
              <w:jc w:val="left"/>
              <w:rPr>
                <w:rFonts w:eastAsia="Times New Roman" w:cs="Times New Roman"/>
                <w:szCs w:val="24"/>
                <w:lang w:eastAsia="ru-RU"/>
              </w:rPr>
            </w:pPr>
            <w:r w:rsidRPr="0047261E">
              <w:rPr>
                <w:rFonts w:eastAsia="Times New Roman" w:cs="Times New Roman"/>
                <w:szCs w:val="24"/>
                <w:lang w:eastAsia="ru-RU"/>
              </w:rPr>
              <w:t>Центральная</w:t>
            </w:r>
          </w:p>
        </w:tc>
        <w:tc>
          <w:tcPr>
            <w:tcW w:w="713" w:type="pct"/>
            <w:tcBorders>
              <w:top w:val="nil"/>
              <w:left w:val="nil"/>
              <w:bottom w:val="single" w:sz="4" w:space="0" w:color="auto"/>
              <w:right w:val="single" w:sz="4" w:space="0" w:color="auto"/>
            </w:tcBorders>
            <w:shd w:val="clear" w:color="auto" w:fill="auto"/>
            <w:noWrap/>
            <w:vAlign w:val="center"/>
            <w:hideMark/>
          </w:tcPr>
          <w:p w14:paraId="4B659018" w14:textId="77777777" w:rsidR="0047261E" w:rsidRPr="0047261E" w:rsidRDefault="0047261E" w:rsidP="0047261E">
            <w:pPr>
              <w:ind w:firstLine="0"/>
              <w:jc w:val="center"/>
              <w:rPr>
                <w:rFonts w:ascii="Times New Roman CYR" w:eastAsia="Times New Roman" w:hAnsi="Times New Roman CYR" w:cs="Times New Roman CYR"/>
                <w:szCs w:val="24"/>
                <w:lang w:eastAsia="ru-RU"/>
              </w:rPr>
            </w:pPr>
            <w:r w:rsidRPr="0047261E">
              <w:rPr>
                <w:rFonts w:ascii="Times New Roman CYR" w:eastAsia="Times New Roman" w:hAnsi="Times New Roman CYR" w:cs="Times New Roman CYR"/>
                <w:szCs w:val="24"/>
                <w:lang w:eastAsia="ru-RU"/>
              </w:rPr>
              <w:t>1257738</w:t>
            </w:r>
          </w:p>
        </w:tc>
        <w:tc>
          <w:tcPr>
            <w:tcW w:w="1361" w:type="pct"/>
            <w:tcBorders>
              <w:top w:val="nil"/>
              <w:left w:val="nil"/>
              <w:bottom w:val="single" w:sz="4" w:space="0" w:color="auto"/>
              <w:right w:val="single" w:sz="4" w:space="0" w:color="auto"/>
            </w:tcBorders>
            <w:shd w:val="clear" w:color="auto" w:fill="auto"/>
            <w:vAlign w:val="center"/>
            <w:hideMark/>
          </w:tcPr>
          <w:p w14:paraId="1255B48D" w14:textId="16652E70" w:rsidR="0047261E" w:rsidRPr="0047261E" w:rsidRDefault="00A90944" w:rsidP="003E7869">
            <w:pPr>
              <w:widowControl w:val="0"/>
              <w:suppressAutoHyphens/>
              <w:autoSpaceDN w:val="0"/>
              <w:ind w:firstLine="0"/>
              <w:textAlignment w:val="baseline"/>
              <w:rPr>
                <w:rFonts w:eastAsia="Times New Roman" w:cs="Times New Roman"/>
                <w:kern w:val="3"/>
                <w:szCs w:val="24"/>
                <w:lang w:eastAsia="ru-RU" w:bidi="hi-IN"/>
              </w:rPr>
            </w:pPr>
            <w:hyperlink r:id="rId97" w:tooltip="Чурапча" w:history="1">
              <w:r w:rsidR="0047261E" w:rsidRPr="0047261E">
                <w:rPr>
                  <w:rFonts w:eastAsia="Times New Roman" w:cs="Times New Roman"/>
                  <w:kern w:val="3"/>
                  <w:szCs w:val="24"/>
                  <w:lang w:eastAsia="ru-RU" w:bidi="hi-IN"/>
                </w:rPr>
                <w:t>Чурапча</w:t>
              </w:r>
            </w:hyperlink>
          </w:p>
        </w:tc>
      </w:tr>
      <w:tr w:rsidR="0047261E" w:rsidRPr="0047261E" w14:paraId="3C9DF275" w14:textId="77777777" w:rsidTr="0047261E">
        <w:trPr>
          <w:trHeight w:val="630"/>
        </w:trPr>
        <w:tc>
          <w:tcPr>
            <w:tcW w:w="274" w:type="pct"/>
            <w:tcBorders>
              <w:top w:val="nil"/>
              <w:left w:val="single" w:sz="4" w:space="0" w:color="auto"/>
              <w:bottom w:val="single" w:sz="4" w:space="0" w:color="auto"/>
              <w:right w:val="single" w:sz="4" w:space="0" w:color="auto"/>
            </w:tcBorders>
            <w:shd w:val="clear" w:color="auto" w:fill="auto"/>
            <w:vAlign w:val="center"/>
            <w:hideMark/>
          </w:tcPr>
          <w:p w14:paraId="720F8898" w14:textId="77777777" w:rsidR="0047261E" w:rsidRPr="0047261E" w:rsidRDefault="0047261E" w:rsidP="0047261E">
            <w:pPr>
              <w:ind w:firstLine="0"/>
              <w:rPr>
                <w:rFonts w:eastAsia="Times New Roman" w:cs="Times New Roman"/>
                <w:szCs w:val="24"/>
                <w:lang w:eastAsia="ru-RU"/>
              </w:rPr>
            </w:pPr>
            <w:r w:rsidRPr="0047261E">
              <w:rPr>
                <w:rFonts w:eastAsia="Times New Roman" w:cs="Times New Roman"/>
                <w:szCs w:val="24"/>
                <w:lang w:eastAsia="ru-RU"/>
              </w:rPr>
              <w:t>34</w:t>
            </w:r>
          </w:p>
        </w:tc>
        <w:tc>
          <w:tcPr>
            <w:tcW w:w="1728" w:type="pct"/>
            <w:tcBorders>
              <w:top w:val="nil"/>
              <w:left w:val="nil"/>
              <w:bottom w:val="single" w:sz="4" w:space="0" w:color="auto"/>
              <w:right w:val="single" w:sz="4" w:space="0" w:color="auto"/>
            </w:tcBorders>
            <w:shd w:val="clear" w:color="auto" w:fill="auto"/>
            <w:vAlign w:val="center"/>
            <w:hideMark/>
          </w:tcPr>
          <w:p w14:paraId="58F82AA0" w14:textId="77777777" w:rsidR="0047261E" w:rsidRPr="0047261E" w:rsidRDefault="0047261E" w:rsidP="0047261E">
            <w:pPr>
              <w:ind w:firstLine="0"/>
              <w:jc w:val="left"/>
              <w:rPr>
                <w:rFonts w:eastAsia="Times New Roman" w:cs="Times New Roman"/>
                <w:szCs w:val="24"/>
                <w:lang w:eastAsia="ru-RU"/>
              </w:rPr>
            </w:pPr>
            <w:r w:rsidRPr="0047261E">
              <w:rPr>
                <w:rFonts w:eastAsia="Times New Roman" w:cs="Times New Roman"/>
                <w:szCs w:val="24"/>
                <w:lang w:eastAsia="ru-RU"/>
              </w:rPr>
              <w:t>Эвено-Бытантайский национальный улус (район)</w:t>
            </w:r>
          </w:p>
        </w:tc>
        <w:tc>
          <w:tcPr>
            <w:tcW w:w="924" w:type="pct"/>
            <w:tcBorders>
              <w:top w:val="nil"/>
              <w:left w:val="nil"/>
              <w:bottom w:val="single" w:sz="4" w:space="0" w:color="auto"/>
              <w:right w:val="single" w:sz="4" w:space="0" w:color="auto"/>
            </w:tcBorders>
            <w:shd w:val="clear" w:color="auto" w:fill="auto"/>
            <w:vAlign w:val="center"/>
            <w:hideMark/>
          </w:tcPr>
          <w:p w14:paraId="43881C42" w14:textId="77777777" w:rsidR="0047261E" w:rsidRPr="0047261E" w:rsidRDefault="0047261E" w:rsidP="0047261E">
            <w:pPr>
              <w:ind w:firstLine="0"/>
              <w:jc w:val="left"/>
              <w:rPr>
                <w:rFonts w:eastAsia="Times New Roman" w:cs="Times New Roman"/>
                <w:szCs w:val="24"/>
                <w:lang w:eastAsia="ru-RU"/>
              </w:rPr>
            </w:pPr>
            <w:r w:rsidRPr="0047261E">
              <w:rPr>
                <w:rFonts w:eastAsia="Times New Roman" w:cs="Times New Roman"/>
                <w:szCs w:val="24"/>
                <w:lang w:eastAsia="ru-RU"/>
              </w:rPr>
              <w:t>Арктическая</w:t>
            </w:r>
          </w:p>
        </w:tc>
        <w:tc>
          <w:tcPr>
            <w:tcW w:w="713" w:type="pct"/>
            <w:tcBorders>
              <w:top w:val="nil"/>
              <w:left w:val="nil"/>
              <w:bottom w:val="single" w:sz="4" w:space="0" w:color="auto"/>
              <w:right w:val="single" w:sz="4" w:space="0" w:color="auto"/>
            </w:tcBorders>
            <w:shd w:val="clear" w:color="auto" w:fill="auto"/>
            <w:noWrap/>
            <w:vAlign w:val="center"/>
            <w:hideMark/>
          </w:tcPr>
          <w:p w14:paraId="57B0EB8A" w14:textId="77777777" w:rsidR="0047261E" w:rsidRPr="0047261E" w:rsidRDefault="0047261E" w:rsidP="0047261E">
            <w:pPr>
              <w:ind w:firstLine="0"/>
              <w:jc w:val="center"/>
              <w:rPr>
                <w:rFonts w:ascii="Times New Roman CYR" w:eastAsia="Times New Roman" w:hAnsi="Times New Roman CYR" w:cs="Times New Roman CYR"/>
                <w:szCs w:val="24"/>
                <w:lang w:eastAsia="ru-RU"/>
              </w:rPr>
            </w:pPr>
            <w:r w:rsidRPr="0047261E">
              <w:rPr>
                <w:rFonts w:ascii="Times New Roman CYR" w:eastAsia="Times New Roman" w:hAnsi="Times New Roman CYR" w:cs="Times New Roman CYR"/>
                <w:szCs w:val="24"/>
                <w:lang w:eastAsia="ru-RU"/>
              </w:rPr>
              <w:t>5229772</w:t>
            </w:r>
          </w:p>
        </w:tc>
        <w:tc>
          <w:tcPr>
            <w:tcW w:w="1361" w:type="pct"/>
            <w:tcBorders>
              <w:top w:val="nil"/>
              <w:left w:val="nil"/>
              <w:bottom w:val="single" w:sz="4" w:space="0" w:color="auto"/>
              <w:right w:val="single" w:sz="4" w:space="0" w:color="auto"/>
            </w:tcBorders>
            <w:shd w:val="clear" w:color="auto" w:fill="auto"/>
            <w:vAlign w:val="center"/>
            <w:hideMark/>
          </w:tcPr>
          <w:p w14:paraId="3948E5A0" w14:textId="42B343C6" w:rsidR="0047261E" w:rsidRPr="0047261E" w:rsidRDefault="00A90944" w:rsidP="003E7869">
            <w:pPr>
              <w:widowControl w:val="0"/>
              <w:suppressAutoHyphens/>
              <w:autoSpaceDN w:val="0"/>
              <w:ind w:firstLine="0"/>
              <w:textAlignment w:val="baseline"/>
              <w:rPr>
                <w:rFonts w:eastAsia="Times New Roman" w:cs="Times New Roman"/>
                <w:kern w:val="3"/>
                <w:szCs w:val="24"/>
                <w:lang w:eastAsia="ru-RU" w:bidi="hi-IN"/>
              </w:rPr>
            </w:pPr>
            <w:hyperlink r:id="rId98" w:tooltip="Батагай-Алыта" w:history="1">
              <w:r w:rsidR="0047261E" w:rsidRPr="0047261E">
                <w:rPr>
                  <w:rFonts w:eastAsia="Times New Roman" w:cs="Times New Roman"/>
                  <w:kern w:val="3"/>
                  <w:szCs w:val="24"/>
                  <w:lang w:eastAsia="ru-RU" w:bidi="hi-IN"/>
                </w:rPr>
                <w:t>Батагай-Алыта</w:t>
              </w:r>
            </w:hyperlink>
          </w:p>
        </w:tc>
      </w:tr>
      <w:tr w:rsidR="0047261E" w:rsidRPr="0047261E" w14:paraId="2297CE38" w14:textId="77777777" w:rsidTr="0047261E">
        <w:trPr>
          <w:trHeight w:val="315"/>
        </w:trPr>
        <w:tc>
          <w:tcPr>
            <w:tcW w:w="274" w:type="pct"/>
            <w:tcBorders>
              <w:top w:val="nil"/>
              <w:left w:val="single" w:sz="4" w:space="0" w:color="auto"/>
              <w:bottom w:val="single" w:sz="4" w:space="0" w:color="auto"/>
              <w:right w:val="single" w:sz="4" w:space="0" w:color="auto"/>
            </w:tcBorders>
            <w:shd w:val="clear" w:color="auto" w:fill="auto"/>
            <w:vAlign w:val="center"/>
            <w:hideMark/>
          </w:tcPr>
          <w:p w14:paraId="126B4959" w14:textId="77777777" w:rsidR="0047261E" w:rsidRPr="0047261E" w:rsidRDefault="0047261E" w:rsidP="0047261E">
            <w:pPr>
              <w:ind w:firstLine="0"/>
              <w:rPr>
                <w:rFonts w:eastAsia="Times New Roman" w:cs="Times New Roman"/>
                <w:szCs w:val="24"/>
                <w:lang w:eastAsia="ru-RU"/>
              </w:rPr>
            </w:pPr>
            <w:r w:rsidRPr="0047261E">
              <w:rPr>
                <w:rFonts w:eastAsia="Times New Roman" w:cs="Times New Roman"/>
                <w:szCs w:val="24"/>
                <w:lang w:eastAsia="ru-RU"/>
              </w:rPr>
              <w:t> 35</w:t>
            </w:r>
          </w:p>
        </w:tc>
        <w:tc>
          <w:tcPr>
            <w:tcW w:w="1728" w:type="pct"/>
            <w:tcBorders>
              <w:top w:val="nil"/>
              <w:left w:val="nil"/>
              <w:bottom w:val="single" w:sz="4" w:space="0" w:color="auto"/>
              <w:right w:val="single" w:sz="4" w:space="0" w:color="auto"/>
            </w:tcBorders>
            <w:shd w:val="clear" w:color="auto" w:fill="auto"/>
            <w:vAlign w:val="center"/>
            <w:hideMark/>
          </w:tcPr>
          <w:p w14:paraId="38E9A2D0" w14:textId="77777777" w:rsidR="0047261E" w:rsidRPr="0047261E" w:rsidRDefault="0047261E" w:rsidP="0047261E">
            <w:pPr>
              <w:ind w:firstLine="0"/>
              <w:rPr>
                <w:rFonts w:eastAsia="Times New Roman" w:cs="Times New Roman"/>
                <w:szCs w:val="24"/>
                <w:lang w:eastAsia="ru-RU"/>
              </w:rPr>
            </w:pPr>
            <w:r w:rsidRPr="0047261E">
              <w:rPr>
                <w:rFonts w:eastAsia="Times New Roman" w:cs="Times New Roman"/>
                <w:szCs w:val="24"/>
                <w:lang w:eastAsia="ru-RU"/>
              </w:rPr>
              <w:t>Городские округа</w:t>
            </w:r>
          </w:p>
        </w:tc>
        <w:tc>
          <w:tcPr>
            <w:tcW w:w="924" w:type="pct"/>
            <w:tcBorders>
              <w:top w:val="nil"/>
              <w:left w:val="nil"/>
              <w:bottom w:val="single" w:sz="4" w:space="0" w:color="auto"/>
              <w:right w:val="single" w:sz="4" w:space="0" w:color="auto"/>
            </w:tcBorders>
            <w:shd w:val="clear" w:color="auto" w:fill="auto"/>
            <w:vAlign w:val="center"/>
            <w:hideMark/>
          </w:tcPr>
          <w:p w14:paraId="7617EA57" w14:textId="77777777" w:rsidR="0047261E" w:rsidRPr="0047261E" w:rsidRDefault="0047261E" w:rsidP="0047261E">
            <w:pPr>
              <w:ind w:firstLine="0"/>
              <w:rPr>
                <w:rFonts w:eastAsia="Times New Roman" w:cs="Times New Roman"/>
                <w:szCs w:val="24"/>
                <w:lang w:eastAsia="ru-RU"/>
              </w:rPr>
            </w:pPr>
            <w:r w:rsidRPr="0047261E">
              <w:rPr>
                <w:rFonts w:eastAsia="Times New Roman" w:cs="Times New Roman"/>
                <w:szCs w:val="24"/>
                <w:lang w:eastAsia="ru-RU"/>
              </w:rPr>
              <w:t> </w:t>
            </w:r>
          </w:p>
        </w:tc>
        <w:tc>
          <w:tcPr>
            <w:tcW w:w="713" w:type="pct"/>
            <w:tcBorders>
              <w:top w:val="nil"/>
              <w:left w:val="nil"/>
              <w:bottom w:val="single" w:sz="4" w:space="0" w:color="auto"/>
              <w:right w:val="single" w:sz="4" w:space="0" w:color="auto"/>
            </w:tcBorders>
            <w:shd w:val="clear" w:color="auto" w:fill="auto"/>
            <w:noWrap/>
            <w:vAlign w:val="center"/>
            <w:hideMark/>
          </w:tcPr>
          <w:p w14:paraId="0E85F136" w14:textId="77777777" w:rsidR="0047261E" w:rsidRPr="0047261E" w:rsidRDefault="0047261E" w:rsidP="0047261E">
            <w:pPr>
              <w:ind w:firstLine="0"/>
              <w:jc w:val="center"/>
              <w:rPr>
                <w:rFonts w:ascii="Times New Roman CYR" w:eastAsia="Times New Roman" w:hAnsi="Times New Roman CYR" w:cs="Times New Roman CYR"/>
                <w:szCs w:val="24"/>
                <w:lang w:eastAsia="ru-RU"/>
              </w:rPr>
            </w:pPr>
          </w:p>
        </w:tc>
        <w:tc>
          <w:tcPr>
            <w:tcW w:w="1361" w:type="pct"/>
            <w:tcBorders>
              <w:top w:val="nil"/>
              <w:left w:val="nil"/>
              <w:bottom w:val="single" w:sz="4" w:space="0" w:color="auto"/>
              <w:right w:val="single" w:sz="4" w:space="0" w:color="auto"/>
            </w:tcBorders>
            <w:shd w:val="clear" w:color="auto" w:fill="auto"/>
            <w:vAlign w:val="center"/>
            <w:hideMark/>
          </w:tcPr>
          <w:p w14:paraId="438363C8" w14:textId="77777777" w:rsidR="0047261E" w:rsidRPr="0047261E" w:rsidRDefault="0047261E" w:rsidP="003E7869">
            <w:pPr>
              <w:widowControl w:val="0"/>
              <w:suppressAutoHyphens/>
              <w:autoSpaceDN w:val="0"/>
              <w:ind w:firstLine="0"/>
              <w:textAlignment w:val="baseline"/>
              <w:rPr>
                <w:rFonts w:eastAsia="Times New Roman" w:cs="Times New Roman"/>
                <w:kern w:val="3"/>
                <w:szCs w:val="24"/>
                <w:lang w:eastAsia="ru-RU" w:bidi="hi-IN"/>
              </w:rPr>
            </w:pPr>
          </w:p>
        </w:tc>
      </w:tr>
      <w:tr w:rsidR="0047261E" w:rsidRPr="0047261E" w14:paraId="10E8878D" w14:textId="77777777" w:rsidTr="0047261E">
        <w:trPr>
          <w:trHeight w:val="315"/>
        </w:trPr>
        <w:tc>
          <w:tcPr>
            <w:tcW w:w="274" w:type="pct"/>
            <w:tcBorders>
              <w:top w:val="nil"/>
              <w:left w:val="single" w:sz="4" w:space="0" w:color="auto"/>
              <w:bottom w:val="single" w:sz="4" w:space="0" w:color="auto"/>
              <w:right w:val="single" w:sz="4" w:space="0" w:color="auto"/>
            </w:tcBorders>
            <w:shd w:val="clear" w:color="auto" w:fill="auto"/>
            <w:vAlign w:val="center"/>
            <w:hideMark/>
          </w:tcPr>
          <w:p w14:paraId="34CEF6A9" w14:textId="77777777" w:rsidR="0047261E" w:rsidRPr="0047261E" w:rsidRDefault="0047261E" w:rsidP="0047261E">
            <w:pPr>
              <w:ind w:firstLine="0"/>
              <w:rPr>
                <w:rFonts w:eastAsia="Times New Roman" w:cs="Times New Roman"/>
                <w:szCs w:val="24"/>
                <w:lang w:eastAsia="ru-RU"/>
              </w:rPr>
            </w:pPr>
            <w:r w:rsidRPr="0047261E">
              <w:rPr>
                <w:rFonts w:eastAsia="Times New Roman" w:cs="Times New Roman"/>
                <w:szCs w:val="24"/>
                <w:lang w:eastAsia="ru-RU"/>
              </w:rPr>
              <w:t>I</w:t>
            </w:r>
          </w:p>
        </w:tc>
        <w:tc>
          <w:tcPr>
            <w:tcW w:w="1728" w:type="pct"/>
            <w:tcBorders>
              <w:top w:val="nil"/>
              <w:left w:val="nil"/>
              <w:bottom w:val="single" w:sz="4" w:space="0" w:color="auto"/>
              <w:right w:val="single" w:sz="4" w:space="0" w:color="auto"/>
            </w:tcBorders>
            <w:shd w:val="clear" w:color="auto" w:fill="auto"/>
            <w:vAlign w:val="center"/>
            <w:hideMark/>
          </w:tcPr>
          <w:p w14:paraId="02D993B4" w14:textId="77777777" w:rsidR="0047261E" w:rsidRPr="0047261E" w:rsidRDefault="0047261E" w:rsidP="0047261E">
            <w:pPr>
              <w:ind w:firstLine="0"/>
              <w:rPr>
                <w:rFonts w:eastAsia="Times New Roman" w:cs="Times New Roman"/>
                <w:szCs w:val="24"/>
                <w:lang w:eastAsia="ru-RU"/>
              </w:rPr>
            </w:pPr>
            <w:r w:rsidRPr="0047261E">
              <w:rPr>
                <w:rFonts w:eastAsia="Times New Roman" w:cs="Times New Roman"/>
                <w:szCs w:val="24"/>
                <w:lang w:eastAsia="ru-RU"/>
              </w:rPr>
              <w:t xml:space="preserve">Городской округ «Жатай» </w:t>
            </w:r>
          </w:p>
        </w:tc>
        <w:tc>
          <w:tcPr>
            <w:tcW w:w="924" w:type="pct"/>
            <w:tcBorders>
              <w:top w:val="nil"/>
              <w:left w:val="nil"/>
              <w:bottom w:val="single" w:sz="4" w:space="0" w:color="auto"/>
              <w:right w:val="single" w:sz="4" w:space="0" w:color="auto"/>
            </w:tcBorders>
            <w:shd w:val="clear" w:color="auto" w:fill="auto"/>
            <w:vAlign w:val="center"/>
            <w:hideMark/>
          </w:tcPr>
          <w:p w14:paraId="70041FDA" w14:textId="77777777" w:rsidR="0047261E" w:rsidRPr="0047261E" w:rsidRDefault="0047261E" w:rsidP="0047261E">
            <w:pPr>
              <w:ind w:firstLine="0"/>
              <w:rPr>
                <w:rFonts w:eastAsia="Times New Roman" w:cs="Times New Roman"/>
                <w:szCs w:val="24"/>
                <w:lang w:eastAsia="ru-RU"/>
              </w:rPr>
            </w:pPr>
            <w:r w:rsidRPr="0047261E">
              <w:rPr>
                <w:rFonts w:eastAsia="Times New Roman" w:cs="Times New Roman"/>
                <w:szCs w:val="24"/>
                <w:lang w:eastAsia="ru-RU"/>
              </w:rPr>
              <w:t>Центральная</w:t>
            </w:r>
          </w:p>
        </w:tc>
        <w:tc>
          <w:tcPr>
            <w:tcW w:w="713" w:type="pct"/>
            <w:tcBorders>
              <w:top w:val="nil"/>
              <w:left w:val="nil"/>
              <w:bottom w:val="single" w:sz="4" w:space="0" w:color="auto"/>
              <w:right w:val="single" w:sz="4" w:space="0" w:color="auto"/>
            </w:tcBorders>
            <w:shd w:val="clear" w:color="auto" w:fill="auto"/>
            <w:noWrap/>
            <w:vAlign w:val="center"/>
            <w:hideMark/>
          </w:tcPr>
          <w:p w14:paraId="6946E8A1" w14:textId="77777777" w:rsidR="0047261E" w:rsidRPr="0047261E" w:rsidRDefault="0047261E" w:rsidP="0047261E">
            <w:pPr>
              <w:ind w:firstLine="0"/>
              <w:jc w:val="center"/>
              <w:rPr>
                <w:rFonts w:ascii="Times New Roman CYR" w:eastAsia="Times New Roman" w:hAnsi="Times New Roman CYR" w:cs="Times New Roman CYR"/>
                <w:szCs w:val="24"/>
                <w:lang w:eastAsia="ru-RU"/>
              </w:rPr>
            </w:pPr>
            <w:r w:rsidRPr="0047261E">
              <w:rPr>
                <w:rFonts w:ascii="Times New Roman CYR" w:eastAsia="Times New Roman" w:hAnsi="Times New Roman CYR" w:cs="Times New Roman CYR"/>
                <w:szCs w:val="24"/>
                <w:lang w:eastAsia="ru-RU"/>
              </w:rPr>
              <w:t>3104</w:t>
            </w:r>
          </w:p>
        </w:tc>
        <w:tc>
          <w:tcPr>
            <w:tcW w:w="1361" w:type="pct"/>
            <w:tcBorders>
              <w:top w:val="nil"/>
              <w:left w:val="nil"/>
              <w:bottom w:val="single" w:sz="4" w:space="0" w:color="auto"/>
              <w:right w:val="single" w:sz="4" w:space="0" w:color="auto"/>
            </w:tcBorders>
            <w:shd w:val="clear" w:color="auto" w:fill="auto"/>
            <w:vAlign w:val="center"/>
            <w:hideMark/>
          </w:tcPr>
          <w:p w14:paraId="605751C3" w14:textId="77777777" w:rsidR="0047261E" w:rsidRPr="0047261E" w:rsidRDefault="0047261E" w:rsidP="003E7869">
            <w:pPr>
              <w:widowControl w:val="0"/>
              <w:suppressAutoHyphens/>
              <w:autoSpaceDN w:val="0"/>
              <w:ind w:firstLine="0"/>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Жатай</w:t>
            </w:r>
          </w:p>
        </w:tc>
      </w:tr>
      <w:tr w:rsidR="0047261E" w:rsidRPr="0047261E" w14:paraId="332DB075" w14:textId="77777777" w:rsidTr="0047261E">
        <w:trPr>
          <w:trHeight w:val="315"/>
        </w:trPr>
        <w:tc>
          <w:tcPr>
            <w:tcW w:w="274" w:type="pct"/>
            <w:tcBorders>
              <w:top w:val="nil"/>
              <w:left w:val="single" w:sz="4" w:space="0" w:color="auto"/>
              <w:bottom w:val="single" w:sz="4" w:space="0" w:color="auto"/>
              <w:right w:val="single" w:sz="4" w:space="0" w:color="auto"/>
            </w:tcBorders>
            <w:shd w:val="clear" w:color="auto" w:fill="auto"/>
            <w:vAlign w:val="center"/>
            <w:hideMark/>
          </w:tcPr>
          <w:p w14:paraId="43A4DA4E" w14:textId="77777777" w:rsidR="0047261E" w:rsidRPr="0047261E" w:rsidRDefault="0047261E" w:rsidP="0047261E">
            <w:pPr>
              <w:ind w:firstLine="0"/>
              <w:rPr>
                <w:rFonts w:eastAsia="Times New Roman" w:cs="Times New Roman"/>
                <w:szCs w:val="24"/>
                <w:lang w:eastAsia="ru-RU"/>
              </w:rPr>
            </w:pPr>
            <w:r w:rsidRPr="0047261E">
              <w:rPr>
                <w:rFonts w:eastAsia="Times New Roman" w:cs="Times New Roman"/>
                <w:szCs w:val="24"/>
                <w:lang w:eastAsia="ru-RU"/>
              </w:rPr>
              <w:t>II</w:t>
            </w:r>
          </w:p>
        </w:tc>
        <w:tc>
          <w:tcPr>
            <w:tcW w:w="1728" w:type="pct"/>
            <w:tcBorders>
              <w:top w:val="nil"/>
              <w:left w:val="nil"/>
              <w:bottom w:val="single" w:sz="4" w:space="0" w:color="auto"/>
              <w:right w:val="single" w:sz="4" w:space="0" w:color="auto"/>
            </w:tcBorders>
            <w:shd w:val="clear" w:color="auto" w:fill="auto"/>
            <w:vAlign w:val="center"/>
            <w:hideMark/>
          </w:tcPr>
          <w:p w14:paraId="2657B103" w14:textId="77777777" w:rsidR="0047261E" w:rsidRPr="0047261E" w:rsidRDefault="0047261E" w:rsidP="0047261E">
            <w:pPr>
              <w:ind w:firstLine="0"/>
              <w:rPr>
                <w:rFonts w:eastAsia="Times New Roman" w:cs="Times New Roman"/>
                <w:szCs w:val="24"/>
                <w:lang w:eastAsia="ru-RU"/>
              </w:rPr>
            </w:pPr>
            <w:r w:rsidRPr="0047261E">
              <w:rPr>
                <w:rFonts w:eastAsia="Times New Roman" w:cs="Times New Roman"/>
                <w:szCs w:val="24"/>
                <w:lang w:eastAsia="ru-RU"/>
              </w:rPr>
              <w:t xml:space="preserve">Городской округ «Город Якутск» </w:t>
            </w:r>
          </w:p>
        </w:tc>
        <w:tc>
          <w:tcPr>
            <w:tcW w:w="924" w:type="pct"/>
            <w:tcBorders>
              <w:top w:val="nil"/>
              <w:left w:val="nil"/>
              <w:bottom w:val="single" w:sz="4" w:space="0" w:color="auto"/>
              <w:right w:val="single" w:sz="4" w:space="0" w:color="auto"/>
            </w:tcBorders>
            <w:shd w:val="clear" w:color="auto" w:fill="auto"/>
            <w:vAlign w:val="center"/>
            <w:hideMark/>
          </w:tcPr>
          <w:p w14:paraId="0D2E8F4B" w14:textId="77777777" w:rsidR="0047261E" w:rsidRPr="0047261E" w:rsidRDefault="0047261E" w:rsidP="0047261E">
            <w:pPr>
              <w:ind w:firstLine="0"/>
              <w:rPr>
                <w:rFonts w:eastAsia="Times New Roman" w:cs="Times New Roman"/>
                <w:szCs w:val="24"/>
                <w:lang w:eastAsia="ru-RU"/>
              </w:rPr>
            </w:pPr>
            <w:r w:rsidRPr="0047261E">
              <w:rPr>
                <w:rFonts w:eastAsia="Times New Roman" w:cs="Times New Roman"/>
                <w:szCs w:val="24"/>
                <w:lang w:eastAsia="ru-RU"/>
              </w:rPr>
              <w:t>Центральная</w:t>
            </w:r>
          </w:p>
        </w:tc>
        <w:tc>
          <w:tcPr>
            <w:tcW w:w="713" w:type="pct"/>
            <w:tcBorders>
              <w:top w:val="nil"/>
              <w:left w:val="nil"/>
              <w:bottom w:val="single" w:sz="4" w:space="0" w:color="auto"/>
              <w:right w:val="single" w:sz="4" w:space="0" w:color="auto"/>
            </w:tcBorders>
            <w:shd w:val="clear" w:color="auto" w:fill="auto"/>
            <w:noWrap/>
            <w:vAlign w:val="center"/>
            <w:hideMark/>
          </w:tcPr>
          <w:p w14:paraId="4E3BE37F" w14:textId="77777777" w:rsidR="0047261E" w:rsidRPr="0047261E" w:rsidRDefault="0047261E" w:rsidP="0047261E">
            <w:pPr>
              <w:ind w:firstLine="0"/>
              <w:jc w:val="center"/>
              <w:rPr>
                <w:rFonts w:ascii="Times New Roman CYR" w:eastAsia="Times New Roman" w:hAnsi="Times New Roman CYR" w:cs="Times New Roman CYR"/>
                <w:szCs w:val="24"/>
                <w:lang w:eastAsia="ru-RU"/>
              </w:rPr>
            </w:pPr>
            <w:r w:rsidRPr="0047261E">
              <w:rPr>
                <w:rFonts w:ascii="Times New Roman CYR" w:eastAsia="Times New Roman" w:hAnsi="Times New Roman CYR" w:cs="Times New Roman CYR"/>
                <w:szCs w:val="24"/>
                <w:lang w:eastAsia="ru-RU"/>
              </w:rPr>
              <w:t>355334</w:t>
            </w:r>
          </w:p>
        </w:tc>
        <w:tc>
          <w:tcPr>
            <w:tcW w:w="1361" w:type="pct"/>
            <w:tcBorders>
              <w:top w:val="nil"/>
              <w:left w:val="nil"/>
              <w:bottom w:val="single" w:sz="4" w:space="0" w:color="auto"/>
              <w:right w:val="single" w:sz="4" w:space="0" w:color="auto"/>
            </w:tcBorders>
            <w:shd w:val="clear" w:color="auto" w:fill="auto"/>
            <w:vAlign w:val="center"/>
            <w:hideMark/>
          </w:tcPr>
          <w:p w14:paraId="6A936244" w14:textId="77777777" w:rsidR="0047261E" w:rsidRPr="0047261E" w:rsidRDefault="0047261E" w:rsidP="003E7869">
            <w:pPr>
              <w:ind w:firstLine="0"/>
              <w:rPr>
                <w:rFonts w:eastAsia="Times New Roman" w:cs="Times New Roman"/>
                <w:szCs w:val="24"/>
                <w:lang w:eastAsia="ru-RU"/>
              </w:rPr>
            </w:pPr>
            <w:r w:rsidRPr="0047261E">
              <w:rPr>
                <w:rFonts w:eastAsia="Times New Roman" w:cs="Times New Roman"/>
                <w:szCs w:val="24"/>
                <w:lang w:eastAsia="ru-RU"/>
              </w:rPr>
              <w:t>Якутск</w:t>
            </w:r>
          </w:p>
        </w:tc>
      </w:tr>
    </w:tbl>
    <w:p w14:paraId="7AD7459A" w14:textId="77777777" w:rsidR="0047261E" w:rsidRPr="0047261E" w:rsidRDefault="0047261E" w:rsidP="0047261E">
      <w:pPr>
        <w:widowControl w:val="0"/>
        <w:suppressAutoHyphens/>
        <w:autoSpaceDN w:val="0"/>
        <w:ind w:firstLine="709"/>
        <w:jc w:val="left"/>
        <w:textAlignment w:val="baseline"/>
        <w:rPr>
          <w:rFonts w:eastAsia="Times New Roman" w:cs="Times New Roman"/>
          <w:kern w:val="3"/>
          <w:szCs w:val="24"/>
          <w:lang w:val="en-US" w:eastAsia="ru-RU" w:bidi="hi-IN"/>
        </w:rPr>
      </w:pPr>
      <w:r w:rsidRPr="0047261E">
        <w:rPr>
          <w:rFonts w:eastAsia="Times New Roman" w:cs="Times New Roman"/>
          <w:noProof/>
          <w:kern w:val="3"/>
          <w:szCs w:val="24"/>
          <w:lang w:eastAsia="ru-RU"/>
        </w:rPr>
        <w:drawing>
          <wp:inline distT="0" distB="0" distL="0" distR="0" wp14:anchorId="5F38EA8D" wp14:editId="258B04A2">
            <wp:extent cx="5939790" cy="3394075"/>
            <wp:effectExtent l="0" t="0" r="3810" b="0"/>
            <wp:docPr id="927" name="Рисунок 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939790" cy="3394075"/>
                    </a:xfrm>
                    <a:prstGeom prst="rect">
                      <a:avLst/>
                    </a:prstGeom>
                    <a:noFill/>
                    <a:ln>
                      <a:noFill/>
                    </a:ln>
                  </pic:spPr>
                </pic:pic>
              </a:graphicData>
            </a:graphic>
          </wp:inline>
        </w:drawing>
      </w:r>
    </w:p>
    <w:p w14:paraId="2F9621A1" w14:textId="1B583B13" w:rsidR="0047261E" w:rsidRPr="0047261E" w:rsidRDefault="0047261E" w:rsidP="0047261E">
      <w:pPr>
        <w:widowControl w:val="0"/>
        <w:suppressAutoHyphens/>
        <w:autoSpaceDN w:val="0"/>
        <w:ind w:firstLine="709"/>
        <w:jc w:val="right"/>
        <w:textAlignment w:val="baseline"/>
        <w:rPr>
          <w:rFonts w:eastAsia="Times New Roman" w:cs="Times New Roman"/>
          <w:i/>
          <w:kern w:val="3"/>
          <w:szCs w:val="24"/>
          <w:lang w:eastAsia="ru-RU" w:bidi="hi-IN"/>
        </w:rPr>
      </w:pPr>
      <w:r w:rsidRPr="0047261E">
        <w:rPr>
          <w:rFonts w:eastAsia="Times New Roman" w:cs="Times New Roman"/>
          <w:i/>
          <w:kern w:val="3"/>
          <w:szCs w:val="24"/>
          <w:lang w:eastAsia="ru-RU" w:bidi="hi-IN"/>
        </w:rPr>
        <w:t xml:space="preserve">Рисунок </w:t>
      </w:r>
      <w:r w:rsidRPr="0047261E">
        <w:rPr>
          <w:rFonts w:eastAsia="Times New Roman" w:cs="Times New Roman"/>
          <w:i/>
          <w:kern w:val="3"/>
          <w:szCs w:val="24"/>
          <w:lang w:eastAsia="ru-RU" w:bidi="hi-IN"/>
        </w:rPr>
        <w:fldChar w:fldCharType="begin"/>
      </w:r>
      <w:r w:rsidRPr="0047261E">
        <w:rPr>
          <w:rFonts w:eastAsia="Times New Roman" w:cs="Times New Roman"/>
          <w:i/>
          <w:kern w:val="3"/>
          <w:szCs w:val="24"/>
          <w:lang w:eastAsia="ru-RU" w:bidi="hi-IN"/>
        </w:rPr>
        <w:instrText xml:space="preserve"> SEQ Рисунок \* ARABIC </w:instrText>
      </w:r>
      <w:r w:rsidRPr="0047261E">
        <w:rPr>
          <w:rFonts w:eastAsia="Times New Roman" w:cs="Times New Roman"/>
          <w:i/>
          <w:kern w:val="3"/>
          <w:szCs w:val="24"/>
          <w:lang w:eastAsia="ru-RU" w:bidi="hi-IN"/>
        </w:rPr>
        <w:fldChar w:fldCharType="separate"/>
      </w:r>
      <w:r w:rsidR="00FD2769">
        <w:rPr>
          <w:rFonts w:eastAsia="Times New Roman" w:cs="Times New Roman"/>
          <w:i/>
          <w:noProof/>
          <w:kern w:val="3"/>
          <w:szCs w:val="24"/>
          <w:lang w:eastAsia="ru-RU" w:bidi="hi-IN"/>
        </w:rPr>
        <w:t>39</w:t>
      </w:r>
      <w:r w:rsidRPr="0047261E">
        <w:rPr>
          <w:rFonts w:eastAsia="Times New Roman" w:cs="Times New Roman"/>
          <w:i/>
          <w:kern w:val="3"/>
          <w:szCs w:val="24"/>
          <w:lang w:eastAsia="ru-RU" w:bidi="hi-IN"/>
        </w:rPr>
        <w:fldChar w:fldCharType="end"/>
      </w:r>
      <w:r w:rsidRPr="0047261E">
        <w:rPr>
          <w:rFonts w:eastAsia="Times New Roman" w:cs="Times New Roman"/>
          <w:i/>
          <w:kern w:val="3"/>
          <w:szCs w:val="24"/>
          <w:lang w:eastAsia="ru-RU" w:bidi="hi-IN"/>
        </w:rPr>
        <w:t xml:space="preserve"> Карта экономических зон Республики Саха (Якутия)</w:t>
      </w:r>
    </w:p>
    <w:p w14:paraId="2D94DA8E" w14:textId="77777777" w:rsidR="0047261E" w:rsidRPr="0047261E" w:rsidRDefault="0047261E" w:rsidP="0047261E">
      <w:pPr>
        <w:widowControl w:val="0"/>
        <w:suppressAutoHyphens/>
        <w:autoSpaceDN w:val="0"/>
        <w:ind w:firstLine="709"/>
        <w:jc w:val="left"/>
        <w:textAlignment w:val="baseline"/>
        <w:rPr>
          <w:rFonts w:eastAsia="Times New Roman" w:cs="Times New Roman"/>
          <w:color w:val="000000" w:themeColor="text1"/>
          <w:kern w:val="3"/>
          <w:szCs w:val="24"/>
          <w:lang w:eastAsia="ru-RU" w:bidi="hi-IN"/>
        </w:rPr>
      </w:pPr>
      <w:r w:rsidRPr="0047261E">
        <w:rPr>
          <w:rFonts w:eastAsia="Times New Roman" w:cs="Times New Roman"/>
          <w:color w:val="000000" w:themeColor="text1"/>
          <w:kern w:val="3"/>
          <w:szCs w:val="24"/>
          <w:lang w:eastAsia="ru-RU" w:bidi="hi-IN"/>
        </w:rPr>
        <w:t>В таблице приведены сведения о муниципальных районах и городских округах, входящих в соответствующую зону с традиционным видом экономической деятельности характерной для каждой зоны.</w:t>
      </w:r>
    </w:p>
    <w:p w14:paraId="429154D9" w14:textId="77777777" w:rsidR="0047261E" w:rsidRPr="0047261E" w:rsidRDefault="0047261E" w:rsidP="0047261E">
      <w:pPr>
        <w:widowControl w:val="0"/>
        <w:suppressAutoHyphens/>
        <w:autoSpaceDN w:val="0"/>
        <w:ind w:firstLine="709"/>
        <w:jc w:val="left"/>
        <w:textAlignment w:val="baseline"/>
        <w:rPr>
          <w:rFonts w:eastAsia="Times New Roman" w:cs="Times New Roman"/>
          <w:color w:val="000000" w:themeColor="text1"/>
          <w:kern w:val="3"/>
          <w:szCs w:val="24"/>
          <w:lang w:eastAsia="ru-RU" w:bidi="hi-IN"/>
        </w:rPr>
      </w:pPr>
    </w:p>
    <w:p w14:paraId="5C70EBD0" w14:textId="1B66CE8B" w:rsidR="0047261E" w:rsidRPr="0047261E" w:rsidRDefault="0047261E" w:rsidP="00763AD2">
      <w:pPr>
        <w:pStyle w:val="afffffff0"/>
        <w:rPr>
          <w:lang w:bidi="hi-IN"/>
        </w:rPr>
      </w:pPr>
      <w:r w:rsidRPr="0047261E">
        <w:rPr>
          <w:lang w:bidi="hi-IN"/>
        </w:rPr>
        <w:t xml:space="preserve">Таблица </w:t>
      </w:r>
      <w:r w:rsidRPr="0047261E">
        <w:rPr>
          <w:lang w:bidi="hi-IN"/>
        </w:rPr>
        <w:fldChar w:fldCharType="begin"/>
      </w:r>
      <w:r w:rsidRPr="0047261E">
        <w:rPr>
          <w:lang w:bidi="hi-IN"/>
        </w:rPr>
        <w:instrText xml:space="preserve"> SEQ Таблица \* ARABIC </w:instrText>
      </w:r>
      <w:r w:rsidRPr="0047261E">
        <w:rPr>
          <w:lang w:bidi="hi-IN"/>
        </w:rPr>
        <w:fldChar w:fldCharType="separate"/>
      </w:r>
      <w:r w:rsidR="00FD2769">
        <w:rPr>
          <w:noProof/>
          <w:lang w:bidi="hi-IN"/>
        </w:rPr>
        <w:t>12</w:t>
      </w:r>
      <w:r w:rsidRPr="0047261E">
        <w:rPr>
          <w:lang w:bidi="hi-IN"/>
        </w:rPr>
        <w:fldChar w:fldCharType="end"/>
      </w:r>
      <w:r w:rsidRPr="0047261E">
        <w:rPr>
          <w:lang w:bidi="hi-IN"/>
        </w:rPr>
        <w:t xml:space="preserve"> Перечень муниципальных районов и городских округов, входящих в экономические зоны Республики Саха (Якутия).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11"/>
        <w:gridCol w:w="3772"/>
        <w:gridCol w:w="5811"/>
      </w:tblGrid>
      <w:tr w:rsidR="0047261E" w:rsidRPr="0047261E" w14:paraId="77DA1401" w14:textId="77777777" w:rsidTr="0047261E">
        <w:tc>
          <w:tcPr>
            <w:tcW w:w="300" w:type="pct"/>
          </w:tcPr>
          <w:p w14:paraId="73136260"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 п/п</w:t>
            </w:r>
          </w:p>
        </w:tc>
        <w:tc>
          <w:tcPr>
            <w:tcW w:w="1850" w:type="pct"/>
          </w:tcPr>
          <w:p w14:paraId="49B1F895"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Перечень городских округов и муниципальных районов</w:t>
            </w:r>
          </w:p>
        </w:tc>
        <w:tc>
          <w:tcPr>
            <w:tcW w:w="2850" w:type="pct"/>
          </w:tcPr>
          <w:p w14:paraId="4B9A41C6"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Основные виды экономической деятельности</w:t>
            </w:r>
          </w:p>
        </w:tc>
      </w:tr>
      <w:tr w:rsidR="0047261E" w:rsidRPr="0047261E" w14:paraId="6990CE29" w14:textId="77777777" w:rsidTr="0047261E">
        <w:tc>
          <w:tcPr>
            <w:tcW w:w="5000" w:type="pct"/>
            <w:gridSpan w:val="3"/>
          </w:tcPr>
          <w:p w14:paraId="043E6AB8"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 xml:space="preserve">Центральная экономическая зона </w:t>
            </w:r>
          </w:p>
        </w:tc>
      </w:tr>
      <w:tr w:rsidR="0047261E" w:rsidRPr="0047261E" w14:paraId="7865564B" w14:textId="77777777" w:rsidTr="0047261E">
        <w:tc>
          <w:tcPr>
            <w:tcW w:w="300" w:type="pct"/>
          </w:tcPr>
          <w:p w14:paraId="7341F95F"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1</w:t>
            </w:r>
          </w:p>
        </w:tc>
        <w:tc>
          <w:tcPr>
            <w:tcW w:w="1850" w:type="pct"/>
          </w:tcPr>
          <w:p w14:paraId="4508A2BA" w14:textId="0D2BE959" w:rsidR="0047261E" w:rsidRPr="0047261E" w:rsidRDefault="0047261E" w:rsidP="003E7869">
            <w:pPr>
              <w:widowControl w:val="0"/>
              <w:suppressAutoHyphens/>
              <w:autoSpaceDN w:val="0"/>
              <w:ind w:firstLine="0"/>
              <w:jc w:val="left"/>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 xml:space="preserve">ГО «Жатай» </w:t>
            </w:r>
          </w:p>
        </w:tc>
        <w:tc>
          <w:tcPr>
            <w:tcW w:w="2850" w:type="pct"/>
          </w:tcPr>
          <w:p w14:paraId="7757A517" w14:textId="77777777" w:rsidR="0047261E" w:rsidRPr="0047261E" w:rsidRDefault="0047261E" w:rsidP="0047261E">
            <w:pPr>
              <w:widowControl w:val="0"/>
              <w:suppressAutoHyphens/>
              <w:autoSpaceDN w:val="0"/>
              <w:ind w:firstLine="0"/>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Судостроение и судоремонт. Перерабатывающая промышленность</w:t>
            </w:r>
          </w:p>
        </w:tc>
      </w:tr>
      <w:tr w:rsidR="0047261E" w:rsidRPr="0047261E" w14:paraId="3733416E" w14:textId="77777777" w:rsidTr="0047261E">
        <w:tc>
          <w:tcPr>
            <w:tcW w:w="300" w:type="pct"/>
          </w:tcPr>
          <w:p w14:paraId="62AC6DA9"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2</w:t>
            </w:r>
          </w:p>
        </w:tc>
        <w:tc>
          <w:tcPr>
            <w:tcW w:w="1850" w:type="pct"/>
          </w:tcPr>
          <w:p w14:paraId="0BF7D453" w14:textId="51A833B6" w:rsidR="0047261E" w:rsidRPr="0047261E" w:rsidRDefault="0047261E" w:rsidP="003E7869">
            <w:pPr>
              <w:widowControl w:val="0"/>
              <w:suppressAutoHyphens/>
              <w:autoSpaceDN w:val="0"/>
              <w:ind w:firstLine="0"/>
              <w:jc w:val="left"/>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ГО «</w:t>
            </w:r>
            <w:r w:rsidR="003E7869">
              <w:rPr>
                <w:rFonts w:eastAsia="Times New Roman" w:cs="Times New Roman"/>
                <w:kern w:val="3"/>
                <w:szCs w:val="24"/>
                <w:lang w:eastAsia="ru-RU" w:bidi="hi-IN"/>
              </w:rPr>
              <w:t xml:space="preserve">город </w:t>
            </w:r>
            <w:r w:rsidRPr="0047261E">
              <w:rPr>
                <w:rFonts w:eastAsia="Times New Roman" w:cs="Times New Roman"/>
                <w:kern w:val="3"/>
                <w:szCs w:val="24"/>
                <w:lang w:eastAsia="ru-RU" w:bidi="hi-IN"/>
              </w:rPr>
              <w:t xml:space="preserve">Якутск» </w:t>
            </w:r>
          </w:p>
        </w:tc>
        <w:tc>
          <w:tcPr>
            <w:tcW w:w="2850" w:type="pct"/>
          </w:tcPr>
          <w:p w14:paraId="3D992528" w14:textId="77777777" w:rsidR="0047261E" w:rsidRPr="0047261E" w:rsidRDefault="0047261E" w:rsidP="0047261E">
            <w:pPr>
              <w:widowControl w:val="0"/>
              <w:suppressAutoHyphens/>
              <w:autoSpaceDN w:val="0"/>
              <w:ind w:firstLine="0"/>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Перерабатывающая промышленность, производство электроэнергии, предприятия сервиса.</w:t>
            </w:r>
          </w:p>
        </w:tc>
      </w:tr>
      <w:tr w:rsidR="0047261E" w:rsidRPr="0047261E" w14:paraId="587F414B" w14:textId="77777777" w:rsidTr="0047261E">
        <w:tc>
          <w:tcPr>
            <w:tcW w:w="300" w:type="pct"/>
          </w:tcPr>
          <w:p w14:paraId="4461E0E4"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3</w:t>
            </w:r>
          </w:p>
        </w:tc>
        <w:tc>
          <w:tcPr>
            <w:tcW w:w="1850" w:type="pct"/>
          </w:tcPr>
          <w:p w14:paraId="79FD730D" w14:textId="274F59ED" w:rsidR="0047261E" w:rsidRPr="0047261E" w:rsidRDefault="0047261E" w:rsidP="003E7869">
            <w:pPr>
              <w:widowControl w:val="0"/>
              <w:suppressAutoHyphens/>
              <w:autoSpaceDN w:val="0"/>
              <w:ind w:firstLine="0"/>
              <w:jc w:val="left"/>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 xml:space="preserve">МР Амгинским, Горным, Кобяйским, Мегино-Кангаласским, Намским, Таттинским, Усть-Алданским, Хангаласским и Чурапчинским </w:t>
            </w:r>
          </w:p>
        </w:tc>
        <w:tc>
          <w:tcPr>
            <w:tcW w:w="2850" w:type="pct"/>
          </w:tcPr>
          <w:p w14:paraId="0B33ACF7" w14:textId="77777777" w:rsidR="0047261E" w:rsidRPr="0047261E" w:rsidRDefault="0047261E" w:rsidP="0047261E">
            <w:pPr>
              <w:widowControl w:val="0"/>
              <w:suppressAutoHyphens/>
              <w:autoSpaceDN w:val="0"/>
              <w:ind w:firstLine="0"/>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Зона круглогодичного транспортного обеспечения и вторая зона по прожиточному минимуму по республике. Здесь более развито земледелие и животноводство по отношению к другим зонам. Возможно возделывание зерновых – ячменя, овса, озимой ржи, яровой пшеницы, ранних овощных культур, кормовых корне-клубнеплодов, однолетних и многолетних трав. Также развито огородничество и картофелеводство. В зоне можно организовать и специализированные</w:t>
            </w:r>
          </w:p>
        </w:tc>
      </w:tr>
      <w:tr w:rsidR="0047261E" w:rsidRPr="0047261E" w14:paraId="73C2A5EE" w14:textId="77777777" w:rsidTr="0047261E">
        <w:tc>
          <w:tcPr>
            <w:tcW w:w="5000" w:type="pct"/>
            <w:gridSpan w:val="3"/>
          </w:tcPr>
          <w:p w14:paraId="24F8B19D"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Южная экономическая зона</w:t>
            </w:r>
          </w:p>
        </w:tc>
      </w:tr>
      <w:tr w:rsidR="0047261E" w:rsidRPr="0047261E" w14:paraId="63A03575" w14:textId="77777777" w:rsidTr="0047261E">
        <w:tc>
          <w:tcPr>
            <w:tcW w:w="300" w:type="pct"/>
          </w:tcPr>
          <w:p w14:paraId="0D6489C2"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4</w:t>
            </w:r>
          </w:p>
        </w:tc>
        <w:tc>
          <w:tcPr>
            <w:tcW w:w="1850" w:type="pct"/>
          </w:tcPr>
          <w:p w14:paraId="65059956" w14:textId="759FAEEC" w:rsidR="0047261E" w:rsidRPr="0047261E" w:rsidRDefault="0047261E" w:rsidP="003E7869">
            <w:pPr>
              <w:widowControl w:val="0"/>
              <w:suppressAutoHyphens/>
              <w:autoSpaceDN w:val="0"/>
              <w:ind w:firstLine="0"/>
              <w:jc w:val="left"/>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 xml:space="preserve">МР Алданский, Нерюнгринский </w:t>
            </w:r>
          </w:p>
        </w:tc>
        <w:tc>
          <w:tcPr>
            <w:tcW w:w="2850" w:type="pct"/>
          </w:tcPr>
          <w:p w14:paraId="22D86B7C" w14:textId="77777777" w:rsidR="0047261E" w:rsidRPr="0047261E" w:rsidRDefault="0047261E" w:rsidP="0047261E">
            <w:pPr>
              <w:widowControl w:val="0"/>
              <w:suppressAutoHyphens/>
              <w:autoSpaceDN w:val="0"/>
              <w:ind w:firstLine="0"/>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Зона круглогодичного транспортного обеспечения и вторая зона по прожиточному минимуму по республике. Добыча полезных ископаемых. Климат здесь благоприятный для развития животноводства.  Города потребители – Нерюнгри, Алдан, Томмот</w:t>
            </w:r>
          </w:p>
        </w:tc>
      </w:tr>
      <w:tr w:rsidR="0047261E" w:rsidRPr="0047261E" w14:paraId="05E472C1" w14:textId="77777777" w:rsidTr="0047261E">
        <w:tc>
          <w:tcPr>
            <w:tcW w:w="5000" w:type="pct"/>
            <w:gridSpan w:val="3"/>
          </w:tcPr>
          <w:p w14:paraId="142FB94D"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 xml:space="preserve">Западная экономическая зона </w:t>
            </w:r>
          </w:p>
        </w:tc>
      </w:tr>
      <w:tr w:rsidR="0047261E" w:rsidRPr="0047261E" w14:paraId="44456110" w14:textId="77777777" w:rsidTr="0047261E">
        <w:tc>
          <w:tcPr>
            <w:tcW w:w="300" w:type="pct"/>
          </w:tcPr>
          <w:p w14:paraId="2812F6EF"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5</w:t>
            </w:r>
          </w:p>
        </w:tc>
        <w:tc>
          <w:tcPr>
            <w:tcW w:w="1850" w:type="pct"/>
          </w:tcPr>
          <w:p w14:paraId="7A97F7BA" w14:textId="43E6EE60" w:rsidR="0047261E" w:rsidRPr="0047261E" w:rsidRDefault="0047261E" w:rsidP="003E7869">
            <w:pPr>
              <w:widowControl w:val="0"/>
              <w:suppressAutoHyphens/>
              <w:autoSpaceDN w:val="0"/>
              <w:ind w:firstLine="0"/>
              <w:jc w:val="left"/>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МР Мирнинский, Ленский, Олекминский, Сунтарский, Нюрбинский, Верхне</w:t>
            </w:r>
            <w:r w:rsidR="00E05A6F">
              <w:rPr>
                <w:rFonts w:eastAsia="Times New Roman" w:cs="Times New Roman"/>
                <w:kern w:val="3"/>
                <w:szCs w:val="24"/>
                <w:lang w:eastAsia="ru-RU" w:bidi="hi-IN"/>
              </w:rPr>
              <w:t xml:space="preserve">вилюйский, Вилюйский, Кобяйский. </w:t>
            </w:r>
            <w:r w:rsidRPr="0047261E">
              <w:rPr>
                <w:rFonts w:eastAsia="Times New Roman" w:cs="Times New Roman"/>
                <w:kern w:val="3"/>
                <w:szCs w:val="24"/>
                <w:lang w:eastAsia="ru-RU" w:bidi="hi-IN"/>
              </w:rPr>
              <w:t xml:space="preserve">Центрально-якутская низменность. </w:t>
            </w:r>
          </w:p>
        </w:tc>
        <w:tc>
          <w:tcPr>
            <w:tcW w:w="2850" w:type="pct"/>
          </w:tcPr>
          <w:p w14:paraId="330790A9" w14:textId="77777777" w:rsidR="0047261E" w:rsidRPr="0047261E" w:rsidRDefault="0047261E" w:rsidP="0047261E">
            <w:pPr>
              <w:widowControl w:val="0"/>
              <w:suppressAutoHyphens/>
              <w:autoSpaceDN w:val="0"/>
              <w:ind w:firstLine="0"/>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Зона круглогодичного транспортного обеспечения и вторая зона по прожиточному минимуму по республике. В этой зоне, чем в других зонах, более развито скотоводство и коневодство, где они базируются на использовании значительных массивов естественных пастбищ и сенокосов в поймах рек. Природные условия для земледелия позволяют выращивать кроме скороспелых овощных культур картофель, ячмень на зерно, столовые и кормовые корнеплоды, кормовую капусту и некоторые другие кормовые культуры. Добыча полезных ископаемых. Города потребители – Мирный, Нюрба, Вилюйск, Удачный, Ленск.</w:t>
            </w:r>
          </w:p>
        </w:tc>
      </w:tr>
      <w:tr w:rsidR="0047261E" w:rsidRPr="0047261E" w14:paraId="6231A618" w14:textId="77777777" w:rsidTr="0047261E">
        <w:tc>
          <w:tcPr>
            <w:tcW w:w="5000" w:type="pct"/>
            <w:gridSpan w:val="3"/>
          </w:tcPr>
          <w:p w14:paraId="34A96919" w14:textId="0E6EF46D" w:rsidR="0047261E" w:rsidRPr="00E05A6F" w:rsidRDefault="0047261E" w:rsidP="0047261E">
            <w:pPr>
              <w:widowControl w:val="0"/>
              <w:suppressAutoHyphens/>
              <w:autoSpaceDN w:val="0"/>
              <w:ind w:firstLine="0"/>
              <w:jc w:val="left"/>
              <w:textAlignment w:val="baseline"/>
              <w:rPr>
                <w:rFonts w:eastAsia="Times New Roman" w:cs="Times New Roman"/>
                <w:kern w:val="3"/>
                <w:szCs w:val="24"/>
                <w:lang w:eastAsia="ru-RU" w:bidi="hi-IN"/>
              </w:rPr>
            </w:pPr>
            <w:r w:rsidRPr="00E05A6F">
              <w:rPr>
                <w:rFonts w:eastAsia="Times New Roman" w:cs="Times New Roman"/>
                <w:kern w:val="3"/>
                <w:szCs w:val="24"/>
                <w:lang w:eastAsia="ru-RU" w:bidi="hi-IN"/>
              </w:rPr>
              <w:t>Восточная экономическая зона</w:t>
            </w:r>
          </w:p>
        </w:tc>
      </w:tr>
      <w:tr w:rsidR="0047261E" w:rsidRPr="0047261E" w14:paraId="660EC92D" w14:textId="77777777" w:rsidTr="0047261E">
        <w:tc>
          <w:tcPr>
            <w:tcW w:w="300" w:type="pct"/>
          </w:tcPr>
          <w:p w14:paraId="25BDC189"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6</w:t>
            </w:r>
          </w:p>
        </w:tc>
        <w:tc>
          <w:tcPr>
            <w:tcW w:w="1850" w:type="pct"/>
          </w:tcPr>
          <w:p w14:paraId="7BB65DF0" w14:textId="58BC4C64" w:rsidR="0047261E" w:rsidRPr="00E05A6F" w:rsidRDefault="0047261E" w:rsidP="00E05A6F">
            <w:pPr>
              <w:widowControl w:val="0"/>
              <w:suppressAutoHyphens/>
              <w:autoSpaceDN w:val="0"/>
              <w:ind w:firstLine="0"/>
              <w:jc w:val="left"/>
              <w:textAlignment w:val="baseline"/>
              <w:rPr>
                <w:rFonts w:eastAsia="Times New Roman" w:cs="Times New Roman"/>
                <w:kern w:val="3"/>
                <w:szCs w:val="24"/>
                <w:lang w:eastAsia="ru-RU" w:bidi="hi-IN"/>
              </w:rPr>
            </w:pPr>
            <w:r w:rsidRPr="00E05A6F">
              <w:rPr>
                <w:rFonts w:eastAsia="Times New Roman" w:cs="Times New Roman"/>
                <w:kern w:val="3"/>
                <w:szCs w:val="24"/>
                <w:lang w:eastAsia="ru-RU" w:bidi="hi-IN"/>
              </w:rPr>
              <w:t xml:space="preserve">МР Оймяконский, </w:t>
            </w:r>
            <w:r w:rsidR="00E05A6F" w:rsidRPr="00E05A6F">
              <w:rPr>
                <w:rFonts w:eastAsia="Times New Roman" w:cs="Times New Roman"/>
                <w:kern w:val="3"/>
                <w:szCs w:val="24"/>
                <w:lang w:eastAsia="ru-RU" w:bidi="hi-IN"/>
              </w:rPr>
              <w:t>Томпонский, Усть-Майский</w:t>
            </w:r>
          </w:p>
        </w:tc>
        <w:tc>
          <w:tcPr>
            <w:tcW w:w="2850" w:type="pct"/>
          </w:tcPr>
          <w:p w14:paraId="1E3EB0BB" w14:textId="09BE2973" w:rsidR="0047261E" w:rsidRPr="00E05A6F" w:rsidRDefault="0047261E" w:rsidP="00E05A6F">
            <w:pPr>
              <w:widowControl w:val="0"/>
              <w:suppressAutoHyphens/>
              <w:autoSpaceDN w:val="0"/>
              <w:ind w:firstLine="0"/>
              <w:textAlignment w:val="baseline"/>
              <w:rPr>
                <w:rFonts w:eastAsia="Times New Roman" w:cs="Times New Roman"/>
                <w:kern w:val="3"/>
                <w:szCs w:val="24"/>
                <w:lang w:eastAsia="ru-RU" w:bidi="hi-IN"/>
              </w:rPr>
            </w:pPr>
            <w:r w:rsidRPr="00E05A6F">
              <w:rPr>
                <w:rFonts w:eastAsia="Times New Roman" w:cs="Times New Roman"/>
                <w:kern w:val="3"/>
                <w:szCs w:val="24"/>
                <w:lang w:eastAsia="ru-RU" w:bidi="hi-IN"/>
              </w:rPr>
              <w:t>Зона сезонной доставки грузов кроме Томпонского и Усть-Майского районов. Основной особенностью климата этой зоны так же, как и предшествующей зоны, является недостаток тепла. В качестве основных отраслей животноводства выделяются оленеводство, коневодство и скотоводство. Условия для земледелия позволяют выращивать в южной части зоны скороспелые овощные культуры, картофель и другие культуры. В перспективе нужно расширить посевы этих культур для внутренних нужд зоны.</w:t>
            </w:r>
          </w:p>
        </w:tc>
      </w:tr>
      <w:tr w:rsidR="0047261E" w:rsidRPr="0047261E" w14:paraId="616076F4" w14:textId="77777777" w:rsidTr="0047261E">
        <w:tc>
          <w:tcPr>
            <w:tcW w:w="5000" w:type="pct"/>
            <w:gridSpan w:val="3"/>
          </w:tcPr>
          <w:p w14:paraId="6048BBFB" w14:textId="77777777" w:rsidR="0047261E" w:rsidRPr="00E05A6F" w:rsidRDefault="0047261E" w:rsidP="0047261E">
            <w:pPr>
              <w:widowControl w:val="0"/>
              <w:suppressAutoHyphens/>
              <w:autoSpaceDN w:val="0"/>
              <w:ind w:firstLine="0"/>
              <w:jc w:val="left"/>
              <w:textAlignment w:val="baseline"/>
              <w:rPr>
                <w:rFonts w:eastAsia="Times New Roman" w:cs="Times New Roman"/>
                <w:kern w:val="3"/>
                <w:szCs w:val="24"/>
                <w:lang w:eastAsia="ru-RU" w:bidi="hi-IN"/>
              </w:rPr>
            </w:pPr>
            <w:r w:rsidRPr="00E05A6F">
              <w:rPr>
                <w:rFonts w:eastAsia="Times New Roman" w:cs="Times New Roman"/>
                <w:kern w:val="3"/>
                <w:szCs w:val="24"/>
                <w:lang w:eastAsia="ru-RU" w:bidi="hi-IN"/>
              </w:rPr>
              <w:t xml:space="preserve">Арктическая экономическая зона </w:t>
            </w:r>
          </w:p>
        </w:tc>
      </w:tr>
      <w:tr w:rsidR="0047261E" w:rsidRPr="0047261E" w14:paraId="16D224FE" w14:textId="77777777" w:rsidTr="0047261E">
        <w:tc>
          <w:tcPr>
            <w:tcW w:w="300" w:type="pct"/>
          </w:tcPr>
          <w:p w14:paraId="4CC068A0"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7</w:t>
            </w:r>
          </w:p>
        </w:tc>
        <w:tc>
          <w:tcPr>
            <w:tcW w:w="1850" w:type="pct"/>
          </w:tcPr>
          <w:p w14:paraId="0C7A90E1" w14:textId="3CEB715C" w:rsidR="0047261E" w:rsidRPr="00E05A6F" w:rsidRDefault="0047261E" w:rsidP="00E05A6F">
            <w:pPr>
              <w:widowControl w:val="0"/>
              <w:suppressAutoHyphens/>
              <w:autoSpaceDN w:val="0"/>
              <w:ind w:firstLine="0"/>
              <w:jc w:val="left"/>
              <w:textAlignment w:val="baseline"/>
              <w:rPr>
                <w:rFonts w:eastAsia="Times New Roman" w:cs="Times New Roman"/>
                <w:kern w:val="3"/>
                <w:szCs w:val="24"/>
                <w:lang w:eastAsia="ru-RU" w:bidi="hi-IN"/>
              </w:rPr>
            </w:pPr>
            <w:r w:rsidRPr="00E05A6F">
              <w:rPr>
                <w:rFonts w:eastAsia="Times New Roman" w:cs="Times New Roman"/>
                <w:kern w:val="3"/>
                <w:szCs w:val="24"/>
                <w:lang w:eastAsia="ru-RU" w:bidi="hi-IN"/>
              </w:rPr>
              <w:t xml:space="preserve">Анабарский, Аллаиховский, Абыйский, Булунский, Жиганский, Оленекский, Усть-Янский, Нижнеколымский. </w:t>
            </w:r>
            <w:r w:rsidR="00E05A6F" w:rsidRPr="00E05A6F">
              <w:rPr>
                <w:rFonts w:eastAsia="Times New Roman" w:cs="Times New Roman"/>
                <w:kern w:val="3"/>
                <w:szCs w:val="24"/>
                <w:lang w:eastAsia="ru-RU" w:bidi="hi-IN"/>
              </w:rPr>
              <w:t xml:space="preserve">Верхнеколымский, Верхоянский, Момский, Среднеколымский, Эвено-Бытантайский. </w:t>
            </w:r>
          </w:p>
        </w:tc>
        <w:tc>
          <w:tcPr>
            <w:tcW w:w="2850" w:type="pct"/>
          </w:tcPr>
          <w:p w14:paraId="5514B78B" w14:textId="77777777" w:rsidR="0047261E" w:rsidRPr="00E05A6F" w:rsidRDefault="0047261E" w:rsidP="0047261E">
            <w:pPr>
              <w:widowControl w:val="0"/>
              <w:suppressAutoHyphens/>
              <w:autoSpaceDN w:val="0"/>
              <w:ind w:firstLine="0"/>
              <w:textAlignment w:val="baseline"/>
              <w:rPr>
                <w:rFonts w:eastAsia="Times New Roman" w:cs="Times New Roman"/>
                <w:kern w:val="3"/>
                <w:szCs w:val="24"/>
                <w:lang w:eastAsia="ru-RU" w:bidi="hi-IN"/>
              </w:rPr>
            </w:pPr>
            <w:r w:rsidRPr="00E05A6F">
              <w:rPr>
                <w:rFonts w:eastAsia="Times New Roman" w:cs="Times New Roman"/>
                <w:kern w:val="3"/>
                <w:szCs w:val="24"/>
                <w:lang w:eastAsia="ru-RU" w:bidi="hi-IN"/>
              </w:rPr>
              <w:t>Зона сезонной доставки грузов и первая зона по прожиточному минимуму по республике. Особенностью климата является недостаток тепла, наличие длительного периода с незаходящим солнцем летом и отсутствие солнечного освещения зимой. В этой зоне основными отраслями являются оленеводство, охотничий промысел и рыболовство.</w:t>
            </w:r>
          </w:p>
        </w:tc>
      </w:tr>
    </w:tbl>
    <w:p w14:paraId="729181BC" w14:textId="77777777" w:rsidR="0047261E" w:rsidRPr="0047261E" w:rsidRDefault="0047261E" w:rsidP="0047261E">
      <w:pPr>
        <w:widowControl w:val="0"/>
        <w:suppressAutoHyphens/>
        <w:autoSpaceDN w:val="0"/>
        <w:spacing w:before="120"/>
        <w:ind w:firstLine="567"/>
        <w:textAlignment w:val="baseline"/>
        <w:rPr>
          <w:rFonts w:eastAsia="MS ??" w:cs="Times New Roman"/>
          <w:b/>
          <w:bCs/>
          <w:i/>
          <w:iCs/>
          <w:kern w:val="3"/>
          <w:szCs w:val="24"/>
          <w:lang w:eastAsia="ru-RU" w:bidi="hi-IN"/>
        </w:rPr>
      </w:pPr>
      <w:r w:rsidRPr="0047261E">
        <w:rPr>
          <w:rFonts w:eastAsia="MS ??" w:cs="Times New Roman"/>
          <w:b/>
          <w:bCs/>
          <w:i/>
          <w:iCs/>
          <w:kern w:val="3"/>
          <w:szCs w:val="24"/>
          <w:lang w:eastAsia="ru-RU" w:bidi="hi-IN"/>
        </w:rPr>
        <w:t>Транспорт</w:t>
      </w:r>
    </w:p>
    <w:p w14:paraId="532B0E85" w14:textId="2658676A" w:rsidR="0047261E" w:rsidRPr="0047261E" w:rsidRDefault="0047261E" w:rsidP="0047261E">
      <w:pPr>
        <w:widowControl w:val="0"/>
        <w:suppressAutoHyphens/>
        <w:autoSpaceDN w:val="0"/>
        <w:ind w:firstLine="567"/>
        <w:textAlignment w:val="baseline"/>
        <w:rPr>
          <w:rFonts w:eastAsia="MS ??" w:cs="Times New Roman"/>
          <w:kern w:val="3"/>
          <w:szCs w:val="24"/>
          <w:lang w:eastAsia="ru-RU" w:bidi="hi-IN"/>
        </w:rPr>
      </w:pPr>
      <w:r w:rsidRPr="0047261E">
        <w:rPr>
          <w:rFonts w:eastAsia="MS ??" w:cs="Times New Roman"/>
          <w:kern w:val="3"/>
          <w:szCs w:val="24"/>
          <w:lang w:eastAsia="ru-RU" w:bidi="hi-IN"/>
        </w:rPr>
        <w:t xml:space="preserve">Большая часть грузопотока приходится на водный транспорт. В период </w:t>
      </w:r>
      <w:hyperlink r:id="rId100" w:tooltip="Навигация" w:history="1">
        <w:r w:rsidRPr="0047261E">
          <w:rPr>
            <w:rFonts w:eastAsia="MS ??" w:cs="Times New Roman"/>
            <w:kern w:val="3"/>
            <w:szCs w:val="24"/>
            <w:lang w:eastAsia="ru-RU" w:bidi="hi-IN"/>
          </w:rPr>
          <w:t>навигации</w:t>
        </w:r>
      </w:hyperlink>
      <w:r w:rsidRPr="0047261E">
        <w:rPr>
          <w:rFonts w:eastAsia="MS ??" w:cs="Times New Roman"/>
          <w:kern w:val="3"/>
          <w:szCs w:val="24"/>
          <w:lang w:eastAsia="ru-RU" w:bidi="hi-IN"/>
        </w:rPr>
        <w:t xml:space="preserve"> основными транспортными артериями становятся реки (</w:t>
      </w:r>
      <w:hyperlink r:id="rId101" w:tooltip="Лена (река)" w:history="1">
        <w:r w:rsidRPr="0047261E">
          <w:rPr>
            <w:rFonts w:eastAsia="MS ??" w:cs="Times New Roman"/>
            <w:kern w:val="3"/>
            <w:szCs w:val="24"/>
            <w:lang w:eastAsia="ru-RU" w:bidi="hi-IN"/>
          </w:rPr>
          <w:t>Лена</w:t>
        </w:r>
      </w:hyperlink>
      <w:r w:rsidRPr="0047261E">
        <w:rPr>
          <w:rFonts w:eastAsia="MS ??" w:cs="Times New Roman"/>
          <w:kern w:val="3"/>
          <w:szCs w:val="24"/>
          <w:lang w:eastAsia="ru-RU" w:bidi="hi-IN"/>
        </w:rPr>
        <w:t xml:space="preserve">, с притоками </w:t>
      </w:r>
      <w:hyperlink r:id="rId102" w:tooltip="Вилюй" w:history="1">
        <w:r w:rsidRPr="0047261E">
          <w:rPr>
            <w:rFonts w:eastAsia="MS ??" w:cs="Times New Roman"/>
            <w:kern w:val="3"/>
            <w:szCs w:val="24"/>
            <w:lang w:eastAsia="ru-RU" w:bidi="hi-IN"/>
          </w:rPr>
          <w:t>Вилюй</w:t>
        </w:r>
      </w:hyperlink>
      <w:r w:rsidRPr="0047261E">
        <w:rPr>
          <w:rFonts w:eastAsia="MS ??" w:cs="Times New Roman"/>
          <w:kern w:val="3"/>
          <w:szCs w:val="24"/>
          <w:lang w:eastAsia="ru-RU" w:bidi="hi-IN"/>
        </w:rPr>
        <w:t xml:space="preserve"> и </w:t>
      </w:r>
      <w:hyperlink r:id="rId103" w:tooltip="Алдан (река)" w:history="1">
        <w:r w:rsidRPr="0047261E">
          <w:rPr>
            <w:rFonts w:eastAsia="MS ??" w:cs="Times New Roman"/>
            <w:kern w:val="3"/>
            <w:szCs w:val="24"/>
            <w:lang w:eastAsia="ru-RU" w:bidi="hi-IN"/>
          </w:rPr>
          <w:t>Алдан</w:t>
        </w:r>
      </w:hyperlink>
      <w:r w:rsidRPr="0047261E">
        <w:rPr>
          <w:rFonts w:eastAsia="MS ??" w:cs="Times New Roman"/>
          <w:kern w:val="3"/>
          <w:szCs w:val="24"/>
          <w:lang w:eastAsia="ru-RU" w:bidi="hi-IN"/>
        </w:rPr>
        <w:t xml:space="preserve">, </w:t>
      </w:r>
      <w:hyperlink r:id="rId104" w:tooltip="Яна (река)" w:history="1">
        <w:r w:rsidRPr="0047261E">
          <w:rPr>
            <w:rFonts w:eastAsia="MS ??" w:cs="Times New Roman"/>
            <w:kern w:val="3"/>
            <w:szCs w:val="24"/>
            <w:lang w:eastAsia="ru-RU" w:bidi="hi-IN"/>
          </w:rPr>
          <w:t>Яна</w:t>
        </w:r>
      </w:hyperlink>
      <w:r w:rsidRPr="0047261E">
        <w:rPr>
          <w:rFonts w:eastAsia="MS ??" w:cs="Times New Roman"/>
          <w:kern w:val="3"/>
          <w:szCs w:val="24"/>
          <w:lang w:eastAsia="ru-RU" w:bidi="hi-IN"/>
        </w:rPr>
        <w:t xml:space="preserve">, </w:t>
      </w:r>
      <w:hyperlink r:id="rId105" w:tooltip="Индигирка" w:history="1">
        <w:r w:rsidRPr="0047261E">
          <w:rPr>
            <w:rFonts w:eastAsia="MS ??" w:cs="Times New Roman"/>
            <w:kern w:val="3"/>
            <w:szCs w:val="24"/>
            <w:lang w:eastAsia="ru-RU" w:bidi="hi-IN"/>
          </w:rPr>
          <w:t>Индигирка</w:t>
        </w:r>
      </w:hyperlink>
      <w:r w:rsidRPr="0047261E">
        <w:rPr>
          <w:rFonts w:eastAsia="MS ??" w:cs="Times New Roman"/>
          <w:kern w:val="3"/>
          <w:szCs w:val="24"/>
          <w:lang w:eastAsia="ru-RU" w:bidi="hi-IN"/>
        </w:rPr>
        <w:t xml:space="preserve">, </w:t>
      </w:r>
      <w:hyperlink r:id="rId106" w:tooltip="Колыма (река)" w:history="1">
        <w:r w:rsidRPr="0047261E">
          <w:rPr>
            <w:rFonts w:eastAsia="MS ??" w:cs="Times New Roman"/>
            <w:kern w:val="3"/>
            <w:szCs w:val="24"/>
            <w:lang w:eastAsia="ru-RU" w:bidi="hi-IN"/>
          </w:rPr>
          <w:t>Колыма</w:t>
        </w:r>
      </w:hyperlink>
      <w:r w:rsidRPr="0047261E">
        <w:rPr>
          <w:rFonts w:eastAsia="MS ??" w:cs="Times New Roman"/>
          <w:kern w:val="3"/>
          <w:szCs w:val="24"/>
          <w:lang w:eastAsia="ru-RU" w:bidi="hi-IN"/>
        </w:rPr>
        <w:t xml:space="preserve">). В северные районы республики грузы доставляются </w:t>
      </w:r>
      <w:hyperlink r:id="rId107" w:tooltip="Северный морской путь" w:history="1">
        <w:r w:rsidRPr="0047261E">
          <w:rPr>
            <w:rFonts w:eastAsia="MS ??" w:cs="Times New Roman"/>
            <w:kern w:val="3"/>
            <w:szCs w:val="24"/>
            <w:lang w:eastAsia="ru-RU" w:bidi="hi-IN"/>
          </w:rPr>
          <w:t>Северным морским путём</w:t>
        </w:r>
      </w:hyperlink>
      <w:r w:rsidRPr="0047261E">
        <w:rPr>
          <w:rFonts w:eastAsia="MS ??" w:cs="Times New Roman"/>
          <w:kern w:val="3"/>
          <w:szCs w:val="24"/>
          <w:lang w:eastAsia="ru-RU" w:bidi="hi-IN"/>
        </w:rPr>
        <w:t xml:space="preserve">. Развивается автомобильная сеть республики. </w:t>
      </w:r>
      <w:hyperlink r:id="rId108" w:tooltip="25 октября" w:history="1">
        <w:r w:rsidRPr="0047261E">
          <w:rPr>
            <w:rFonts w:eastAsia="MS ??" w:cs="Times New Roman"/>
            <w:kern w:val="3"/>
            <w:szCs w:val="24"/>
            <w:lang w:eastAsia="ru-RU" w:bidi="hi-IN"/>
          </w:rPr>
          <w:t>25 октября</w:t>
        </w:r>
      </w:hyperlink>
      <w:r w:rsidRPr="0047261E">
        <w:rPr>
          <w:rFonts w:eastAsia="MS ??" w:cs="Times New Roman"/>
          <w:kern w:val="3"/>
          <w:szCs w:val="24"/>
          <w:lang w:eastAsia="ru-RU" w:bidi="hi-IN"/>
        </w:rPr>
        <w:t xml:space="preserve"> </w:t>
      </w:r>
      <w:hyperlink r:id="rId109" w:tooltip="2008 год" w:history="1">
        <w:r w:rsidRPr="0047261E">
          <w:rPr>
            <w:rFonts w:eastAsia="MS ??" w:cs="Times New Roman"/>
            <w:kern w:val="3"/>
            <w:szCs w:val="24"/>
            <w:lang w:eastAsia="ru-RU" w:bidi="hi-IN"/>
          </w:rPr>
          <w:t>2008 года</w:t>
        </w:r>
      </w:hyperlink>
      <w:r w:rsidRPr="0047261E">
        <w:rPr>
          <w:rFonts w:eastAsia="MS ??" w:cs="Times New Roman"/>
          <w:kern w:val="3"/>
          <w:szCs w:val="24"/>
          <w:lang w:eastAsia="ru-RU" w:bidi="hi-IN"/>
        </w:rPr>
        <w:t xml:space="preserve"> официально открыта для круглогодичного движения на всём своём протяжении </w:t>
      </w:r>
      <w:hyperlink r:id="rId110" w:tooltip="Колыма (автодорога)" w:history="1">
        <w:r w:rsidRPr="0047261E">
          <w:rPr>
            <w:rFonts w:eastAsia="MS ??" w:cs="Times New Roman"/>
            <w:kern w:val="3"/>
            <w:szCs w:val="24"/>
            <w:lang w:eastAsia="ru-RU" w:bidi="hi-IN"/>
          </w:rPr>
          <w:t>автодорога федерального значения «Колыма»</w:t>
        </w:r>
      </w:hyperlink>
      <w:r w:rsidRPr="0047261E">
        <w:rPr>
          <w:rFonts w:eastAsia="MS ??" w:cs="Times New Roman"/>
          <w:kern w:val="3"/>
          <w:szCs w:val="24"/>
          <w:lang w:eastAsia="ru-RU" w:bidi="hi-IN"/>
        </w:rPr>
        <w:t xml:space="preserve"> (</w:t>
      </w:r>
      <w:hyperlink r:id="rId111" w:tooltip="Якутск" w:history="1">
        <w:r w:rsidRPr="0047261E">
          <w:rPr>
            <w:rFonts w:eastAsia="MS ??" w:cs="Times New Roman"/>
            <w:kern w:val="3"/>
            <w:szCs w:val="24"/>
            <w:lang w:eastAsia="ru-RU" w:bidi="hi-IN"/>
          </w:rPr>
          <w:t>Якутск</w:t>
        </w:r>
      </w:hyperlink>
      <w:r w:rsidRPr="0047261E">
        <w:rPr>
          <w:rFonts w:eastAsia="MS ??" w:cs="Times New Roman"/>
          <w:kern w:val="3"/>
          <w:szCs w:val="24"/>
          <w:lang w:eastAsia="ru-RU" w:bidi="hi-IN"/>
        </w:rPr>
        <w:t xml:space="preserve"> — </w:t>
      </w:r>
      <w:hyperlink r:id="rId112" w:tooltip="Магадан" w:history="1">
        <w:r w:rsidRPr="0047261E">
          <w:rPr>
            <w:rFonts w:eastAsia="MS ??" w:cs="Times New Roman"/>
            <w:kern w:val="3"/>
            <w:szCs w:val="24"/>
            <w:lang w:eastAsia="ru-RU" w:bidi="hi-IN"/>
          </w:rPr>
          <w:t>Магадан</w:t>
        </w:r>
      </w:hyperlink>
      <w:r w:rsidRPr="0047261E">
        <w:rPr>
          <w:rFonts w:eastAsia="MS ??" w:cs="Times New Roman"/>
          <w:kern w:val="3"/>
          <w:szCs w:val="24"/>
          <w:lang w:eastAsia="ru-RU" w:bidi="hi-IN"/>
        </w:rPr>
        <w:t>)</w:t>
      </w:r>
      <w:hyperlink r:id="rId113" w:anchor="cite_note-20" w:history="1">
        <w:r w:rsidRPr="0047261E">
          <w:rPr>
            <w:rFonts w:eastAsia="MS ??" w:cs="Times New Roman"/>
            <w:kern w:val="3"/>
            <w:szCs w:val="24"/>
            <w:lang w:eastAsia="ru-RU" w:bidi="hi-IN"/>
          </w:rPr>
          <w:t>[21]</w:t>
        </w:r>
      </w:hyperlink>
      <w:r w:rsidRPr="0047261E">
        <w:rPr>
          <w:rFonts w:eastAsia="MS ??" w:cs="Times New Roman"/>
          <w:kern w:val="3"/>
          <w:szCs w:val="24"/>
          <w:lang w:eastAsia="ru-RU" w:bidi="hi-IN"/>
        </w:rPr>
        <w:t xml:space="preserve">. В </w:t>
      </w:r>
      <w:hyperlink r:id="rId114" w:tooltip="2007 год" w:history="1">
        <w:r w:rsidRPr="0047261E">
          <w:rPr>
            <w:rFonts w:eastAsia="MS ??" w:cs="Times New Roman"/>
            <w:kern w:val="3"/>
            <w:szCs w:val="24"/>
            <w:lang w:eastAsia="ru-RU" w:bidi="hi-IN"/>
          </w:rPr>
          <w:t>2007 году</w:t>
        </w:r>
      </w:hyperlink>
      <w:r w:rsidRPr="0047261E">
        <w:rPr>
          <w:rFonts w:eastAsia="MS ??" w:cs="Times New Roman"/>
          <w:kern w:val="3"/>
          <w:szCs w:val="24"/>
          <w:lang w:eastAsia="ru-RU" w:bidi="hi-IN"/>
        </w:rPr>
        <w:t xml:space="preserve"> автодорога «</w:t>
      </w:r>
      <w:hyperlink r:id="rId115" w:tooltip="Вилюй (автодорога)" w:history="1">
        <w:r w:rsidRPr="0047261E">
          <w:rPr>
            <w:rFonts w:eastAsia="MS ??" w:cs="Times New Roman"/>
            <w:kern w:val="3"/>
            <w:szCs w:val="24"/>
            <w:lang w:eastAsia="ru-RU" w:bidi="hi-IN"/>
          </w:rPr>
          <w:t>Вилюй</w:t>
        </w:r>
      </w:hyperlink>
      <w:r w:rsidRPr="0047261E">
        <w:rPr>
          <w:rFonts w:eastAsia="MS ??" w:cs="Times New Roman"/>
          <w:kern w:val="3"/>
          <w:szCs w:val="24"/>
          <w:lang w:eastAsia="ru-RU" w:bidi="hi-IN"/>
        </w:rPr>
        <w:t xml:space="preserve">» (Якутск — </w:t>
      </w:r>
      <w:hyperlink r:id="rId116" w:tooltip="Вилюйск" w:history="1">
        <w:r w:rsidRPr="0047261E">
          <w:rPr>
            <w:rFonts w:eastAsia="MS ??" w:cs="Times New Roman"/>
            <w:kern w:val="3"/>
            <w:szCs w:val="24"/>
            <w:lang w:eastAsia="ru-RU" w:bidi="hi-IN"/>
          </w:rPr>
          <w:t>Вилюйск</w:t>
        </w:r>
      </w:hyperlink>
      <w:r w:rsidRPr="0047261E">
        <w:rPr>
          <w:rFonts w:eastAsia="MS ??" w:cs="Times New Roman"/>
          <w:kern w:val="3"/>
          <w:szCs w:val="24"/>
          <w:lang w:eastAsia="ru-RU" w:bidi="hi-IN"/>
        </w:rPr>
        <w:t xml:space="preserve"> — </w:t>
      </w:r>
      <w:hyperlink r:id="rId117" w:tooltip="Мирный (Якутия)" w:history="1">
        <w:r w:rsidRPr="0047261E">
          <w:rPr>
            <w:rFonts w:eastAsia="MS ??" w:cs="Times New Roman"/>
            <w:kern w:val="3"/>
            <w:szCs w:val="24"/>
            <w:lang w:eastAsia="ru-RU" w:bidi="hi-IN"/>
          </w:rPr>
          <w:t>Мирный</w:t>
        </w:r>
      </w:hyperlink>
      <w:r w:rsidRPr="0047261E">
        <w:rPr>
          <w:rFonts w:eastAsia="MS ??" w:cs="Times New Roman"/>
          <w:kern w:val="3"/>
          <w:szCs w:val="24"/>
          <w:lang w:eastAsia="ru-RU" w:bidi="hi-IN"/>
        </w:rPr>
        <w:t xml:space="preserve"> — </w:t>
      </w:r>
      <w:hyperlink r:id="rId118" w:tooltip="Ленск" w:history="1">
        <w:r w:rsidRPr="0047261E">
          <w:rPr>
            <w:rFonts w:eastAsia="MS ??" w:cs="Times New Roman"/>
            <w:kern w:val="3"/>
            <w:szCs w:val="24"/>
            <w:lang w:eastAsia="ru-RU" w:bidi="hi-IN"/>
          </w:rPr>
          <w:t>Ленск</w:t>
        </w:r>
      </w:hyperlink>
      <w:r w:rsidRPr="0047261E">
        <w:rPr>
          <w:rFonts w:eastAsia="MS ??" w:cs="Times New Roman"/>
          <w:kern w:val="3"/>
          <w:szCs w:val="24"/>
          <w:lang w:eastAsia="ru-RU" w:bidi="hi-IN"/>
        </w:rPr>
        <w:t xml:space="preserve"> — </w:t>
      </w:r>
      <w:hyperlink r:id="rId119" w:tooltip="Усть-Кут" w:history="1">
        <w:r w:rsidRPr="0047261E">
          <w:rPr>
            <w:rFonts w:eastAsia="MS ??" w:cs="Times New Roman"/>
            <w:kern w:val="3"/>
            <w:szCs w:val="24"/>
            <w:lang w:eastAsia="ru-RU" w:bidi="hi-IN"/>
          </w:rPr>
          <w:t>Усть-Кут</w:t>
        </w:r>
      </w:hyperlink>
      <w:r w:rsidRPr="0047261E">
        <w:rPr>
          <w:rFonts w:eastAsia="MS ??" w:cs="Times New Roman"/>
          <w:kern w:val="3"/>
          <w:szCs w:val="24"/>
          <w:lang w:eastAsia="ru-RU" w:bidi="hi-IN"/>
        </w:rPr>
        <w:t xml:space="preserve"> — </w:t>
      </w:r>
      <w:hyperlink r:id="rId120" w:tooltip="Тулун" w:history="1">
        <w:r w:rsidRPr="0047261E">
          <w:rPr>
            <w:rFonts w:eastAsia="MS ??" w:cs="Times New Roman"/>
            <w:kern w:val="3"/>
            <w:szCs w:val="24"/>
            <w:lang w:eastAsia="ru-RU" w:bidi="hi-IN"/>
          </w:rPr>
          <w:t>Тулун</w:t>
        </w:r>
      </w:hyperlink>
      <w:r w:rsidRPr="0047261E">
        <w:rPr>
          <w:rFonts w:eastAsia="MS ??" w:cs="Times New Roman"/>
          <w:kern w:val="3"/>
          <w:szCs w:val="24"/>
          <w:lang w:eastAsia="ru-RU" w:bidi="hi-IN"/>
        </w:rPr>
        <w:t xml:space="preserve">) включена в список федеральных дорог. Однако фактически такой дороги не существует: участок Ленск — Усть-Кут является </w:t>
      </w:r>
      <w:hyperlink r:id="rId121" w:tooltip="Зимник" w:history="1">
        <w:r w:rsidRPr="0047261E">
          <w:rPr>
            <w:rFonts w:eastAsia="MS ??" w:cs="Times New Roman"/>
            <w:kern w:val="3"/>
            <w:szCs w:val="24"/>
            <w:lang w:eastAsia="ru-RU" w:bidi="hi-IN"/>
          </w:rPr>
          <w:t>зимником</w:t>
        </w:r>
      </w:hyperlink>
      <w:r w:rsidRPr="0047261E">
        <w:rPr>
          <w:rFonts w:eastAsia="MS ??" w:cs="Times New Roman"/>
          <w:kern w:val="3"/>
          <w:szCs w:val="24"/>
          <w:lang w:eastAsia="ru-RU" w:bidi="hi-IN"/>
        </w:rPr>
        <w:t>, по которому автомобильное сообщение возможно около трёх месяцев в году. В перспективе планируется выход автодороги «</w:t>
      </w:r>
      <w:hyperlink r:id="rId122" w:tooltip="Амга (автомагистраль) (страница отсутствует)" w:history="1">
        <w:r w:rsidRPr="0047261E">
          <w:rPr>
            <w:rFonts w:eastAsia="MS ??" w:cs="Times New Roman"/>
            <w:kern w:val="3"/>
            <w:szCs w:val="24"/>
            <w:lang w:eastAsia="ru-RU" w:bidi="hi-IN"/>
          </w:rPr>
          <w:t>Амга</w:t>
        </w:r>
      </w:hyperlink>
      <w:r w:rsidRPr="0047261E">
        <w:rPr>
          <w:rFonts w:eastAsia="MS ??" w:cs="Times New Roman"/>
          <w:kern w:val="3"/>
          <w:szCs w:val="24"/>
          <w:lang w:eastAsia="ru-RU" w:bidi="hi-IN"/>
        </w:rPr>
        <w:t xml:space="preserve">» (Якутск — </w:t>
      </w:r>
      <w:hyperlink r:id="rId123" w:tooltip="Амга (село)" w:history="1">
        <w:r w:rsidRPr="0047261E">
          <w:rPr>
            <w:rFonts w:eastAsia="MS ??" w:cs="Times New Roman"/>
            <w:kern w:val="3"/>
            <w:szCs w:val="24"/>
            <w:lang w:eastAsia="ru-RU" w:bidi="hi-IN"/>
          </w:rPr>
          <w:t>Амга</w:t>
        </w:r>
      </w:hyperlink>
      <w:r w:rsidRPr="0047261E">
        <w:rPr>
          <w:rFonts w:eastAsia="MS ??" w:cs="Times New Roman"/>
          <w:kern w:val="3"/>
          <w:szCs w:val="24"/>
          <w:lang w:eastAsia="ru-RU" w:bidi="hi-IN"/>
        </w:rPr>
        <w:t xml:space="preserve"> — </w:t>
      </w:r>
      <w:hyperlink r:id="rId124" w:tooltip="Усть-Мая" w:history="1">
        <w:r w:rsidRPr="0047261E">
          <w:rPr>
            <w:rFonts w:eastAsia="MS ??" w:cs="Times New Roman"/>
            <w:kern w:val="3"/>
            <w:szCs w:val="24"/>
            <w:lang w:eastAsia="ru-RU" w:bidi="hi-IN"/>
          </w:rPr>
          <w:t>Усть-Мая</w:t>
        </w:r>
      </w:hyperlink>
      <w:r w:rsidRPr="0047261E">
        <w:rPr>
          <w:rFonts w:eastAsia="MS ??" w:cs="Times New Roman"/>
          <w:kern w:val="3"/>
          <w:szCs w:val="24"/>
          <w:lang w:eastAsia="ru-RU" w:bidi="hi-IN"/>
        </w:rPr>
        <w:t xml:space="preserve">) к порту </w:t>
      </w:r>
      <w:hyperlink r:id="rId125" w:tooltip="Аян (Хабаровский край)" w:history="1">
        <w:r w:rsidRPr="0047261E">
          <w:rPr>
            <w:rFonts w:eastAsia="MS ??" w:cs="Times New Roman"/>
            <w:kern w:val="3"/>
            <w:szCs w:val="24"/>
            <w:lang w:eastAsia="ru-RU" w:bidi="hi-IN"/>
          </w:rPr>
          <w:t>Аян</w:t>
        </w:r>
      </w:hyperlink>
      <w:r w:rsidRPr="0047261E">
        <w:rPr>
          <w:rFonts w:eastAsia="MS ??" w:cs="Times New Roman"/>
          <w:kern w:val="3"/>
          <w:szCs w:val="24"/>
          <w:lang w:eastAsia="ru-RU" w:bidi="hi-IN"/>
        </w:rPr>
        <w:t xml:space="preserve"> в </w:t>
      </w:r>
      <w:hyperlink r:id="rId126" w:tooltip="Хабаровский край" w:history="1">
        <w:r w:rsidRPr="0047261E">
          <w:rPr>
            <w:rFonts w:eastAsia="MS ??" w:cs="Times New Roman"/>
            <w:kern w:val="3"/>
            <w:szCs w:val="24"/>
            <w:lang w:eastAsia="ru-RU" w:bidi="hi-IN"/>
          </w:rPr>
          <w:t>Хабаровском крае</w:t>
        </w:r>
      </w:hyperlink>
      <w:r w:rsidRPr="0047261E">
        <w:rPr>
          <w:rFonts w:eastAsia="MS ??" w:cs="Times New Roman"/>
          <w:kern w:val="3"/>
          <w:szCs w:val="24"/>
          <w:lang w:eastAsia="ru-RU" w:bidi="hi-IN"/>
        </w:rPr>
        <w:t>. Также планирутеся строительство круглогодично действующих трасс «Яна» (</w:t>
      </w:r>
      <w:hyperlink r:id="rId127" w:tooltip="Хандыга (посёлок)" w:history="1">
        <w:r w:rsidRPr="0047261E">
          <w:rPr>
            <w:rFonts w:eastAsia="MS ??" w:cs="Times New Roman"/>
            <w:kern w:val="3"/>
            <w:szCs w:val="24"/>
            <w:lang w:eastAsia="ru-RU" w:bidi="hi-IN"/>
          </w:rPr>
          <w:t>Хандыга</w:t>
        </w:r>
      </w:hyperlink>
      <w:r w:rsidRPr="0047261E">
        <w:rPr>
          <w:rFonts w:eastAsia="MS ??" w:cs="Times New Roman"/>
          <w:kern w:val="3"/>
          <w:szCs w:val="24"/>
          <w:lang w:eastAsia="ru-RU" w:bidi="hi-IN"/>
        </w:rPr>
        <w:t xml:space="preserve"> — </w:t>
      </w:r>
      <w:hyperlink r:id="rId128" w:tooltip="Батагай" w:history="1">
        <w:r w:rsidRPr="0047261E">
          <w:rPr>
            <w:rFonts w:eastAsia="MS ??" w:cs="Times New Roman"/>
            <w:kern w:val="3"/>
            <w:szCs w:val="24"/>
            <w:lang w:eastAsia="ru-RU" w:bidi="hi-IN"/>
          </w:rPr>
          <w:t>Батагай</w:t>
        </w:r>
      </w:hyperlink>
      <w:r w:rsidRPr="0047261E">
        <w:rPr>
          <w:rFonts w:eastAsia="MS ??" w:cs="Times New Roman"/>
          <w:kern w:val="3"/>
          <w:szCs w:val="24"/>
          <w:lang w:eastAsia="ru-RU" w:bidi="hi-IN"/>
        </w:rPr>
        <w:t xml:space="preserve"> — </w:t>
      </w:r>
      <w:hyperlink r:id="rId129" w:tooltip="Усть-Куйга" w:history="1">
        <w:r w:rsidRPr="0047261E">
          <w:rPr>
            <w:rFonts w:eastAsia="MS ??" w:cs="Times New Roman"/>
            <w:kern w:val="3"/>
            <w:szCs w:val="24"/>
            <w:lang w:eastAsia="ru-RU" w:bidi="hi-IN"/>
          </w:rPr>
          <w:t>Усть-Куйга</w:t>
        </w:r>
      </w:hyperlink>
      <w:r w:rsidRPr="0047261E">
        <w:rPr>
          <w:rFonts w:eastAsia="MS ??" w:cs="Times New Roman"/>
          <w:kern w:val="3"/>
          <w:szCs w:val="24"/>
          <w:lang w:eastAsia="ru-RU" w:bidi="hi-IN"/>
        </w:rPr>
        <w:t>) и «</w:t>
      </w:r>
      <w:hyperlink r:id="rId130" w:tooltip="Анабар (автодорога)" w:history="1">
        <w:r w:rsidRPr="0047261E">
          <w:rPr>
            <w:rFonts w:eastAsia="MS ??" w:cs="Times New Roman"/>
            <w:kern w:val="3"/>
            <w:szCs w:val="24"/>
            <w:lang w:eastAsia="ru-RU" w:bidi="hi-IN"/>
          </w:rPr>
          <w:t>Анабар</w:t>
        </w:r>
      </w:hyperlink>
      <w:r w:rsidRPr="0047261E">
        <w:rPr>
          <w:rFonts w:eastAsia="MS ??" w:cs="Times New Roman"/>
          <w:kern w:val="3"/>
          <w:szCs w:val="24"/>
          <w:lang w:eastAsia="ru-RU" w:bidi="hi-IN"/>
        </w:rPr>
        <w:t xml:space="preserve">» (Мирный — </w:t>
      </w:r>
      <w:hyperlink r:id="rId131" w:tooltip="Удачный" w:history="1">
        <w:r w:rsidRPr="0047261E">
          <w:rPr>
            <w:rFonts w:eastAsia="MS ??" w:cs="Times New Roman"/>
            <w:kern w:val="3"/>
            <w:szCs w:val="24"/>
            <w:lang w:eastAsia="ru-RU" w:bidi="hi-IN"/>
          </w:rPr>
          <w:t>Удачный</w:t>
        </w:r>
      </w:hyperlink>
      <w:r w:rsidRPr="0047261E">
        <w:rPr>
          <w:rFonts w:eastAsia="MS ??" w:cs="Times New Roman"/>
          <w:kern w:val="3"/>
          <w:szCs w:val="24"/>
          <w:lang w:eastAsia="ru-RU" w:bidi="hi-IN"/>
        </w:rPr>
        <w:t xml:space="preserve"> — </w:t>
      </w:r>
      <w:hyperlink r:id="rId132" w:tooltip="Оленёк (село)" w:history="1">
        <w:r w:rsidRPr="0047261E">
          <w:rPr>
            <w:rFonts w:eastAsia="MS ??" w:cs="Times New Roman"/>
            <w:kern w:val="3"/>
            <w:szCs w:val="24"/>
            <w:lang w:eastAsia="ru-RU" w:bidi="hi-IN"/>
          </w:rPr>
          <w:t>Оленёк</w:t>
        </w:r>
      </w:hyperlink>
      <w:r w:rsidRPr="0047261E">
        <w:rPr>
          <w:rFonts w:eastAsia="MS ??" w:cs="Times New Roman"/>
          <w:kern w:val="3"/>
          <w:szCs w:val="24"/>
          <w:lang w:eastAsia="ru-RU" w:bidi="hi-IN"/>
        </w:rPr>
        <w:t xml:space="preserve"> — </w:t>
      </w:r>
      <w:hyperlink r:id="rId133" w:tooltip="Юрюнг-Хая" w:history="1">
        <w:r w:rsidRPr="0047261E">
          <w:rPr>
            <w:rFonts w:eastAsia="MS ??" w:cs="Times New Roman"/>
            <w:kern w:val="3"/>
            <w:szCs w:val="24"/>
            <w:lang w:eastAsia="ru-RU" w:bidi="hi-IN"/>
          </w:rPr>
          <w:t>Юрюнг-Хая</w:t>
        </w:r>
      </w:hyperlink>
      <w:r w:rsidRPr="0047261E">
        <w:rPr>
          <w:rFonts w:eastAsia="MS ??" w:cs="Times New Roman"/>
          <w:kern w:val="3"/>
          <w:szCs w:val="24"/>
          <w:lang w:eastAsia="ru-RU" w:bidi="hi-IN"/>
        </w:rPr>
        <w:t>). В то же время автодорога федерального значения «</w:t>
      </w:r>
      <w:hyperlink r:id="rId134" w:tooltip="Лена (автодорога)" w:history="1">
        <w:r w:rsidRPr="0047261E">
          <w:rPr>
            <w:rFonts w:eastAsia="MS ??" w:cs="Times New Roman"/>
            <w:kern w:val="3"/>
            <w:szCs w:val="24"/>
            <w:lang w:eastAsia="ru-RU" w:bidi="hi-IN"/>
          </w:rPr>
          <w:t>Лена</w:t>
        </w:r>
      </w:hyperlink>
      <w:r w:rsidRPr="0047261E">
        <w:rPr>
          <w:rFonts w:eastAsia="MS ??" w:cs="Times New Roman"/>
          <w:kern w:val="3"/>
          <w:szCs w:val="24"/>
          <w:lang w:eastAsia="ru-RU" w:bidi="hi-IN"/>
        </w:rPr>
        <w:t xml:space="preserve">», которая связывает Якутск с общероссийской автомобильной сетью, требует очень серьёзного ремонта. Развит </w:t>
      </w:r>
      <w:hyperlink r:id="rId135" w:tooltip="Воздушный транспорт" w:history="1">
        <w:r w:rsidRPr="0047261E">
          <w:rPr>
            <w:rFonts w:eastAsia="MS ??" w:cs="Times New Roman"/>
            <w:kern w:val="3"/>
            <w:szCs w:val="24"/>
            <w:lang w:eastAsia="ru-RU" w:bidi="hi-IN"/>
          </w:rPr>
          <w:t>воздушный транспорт</w:t>
        </w:r>
      </w:hyperlink>
      <w:r w:rsidRPr="0047261E">
        <w:rPr>
          <w:rFonts w:eastAsia="MS ??" w:cs="Times New Roman"/>
          <w:kern w:val="3"/>
          <w:szCs w:val="24"/>
          <w:lang w:eastAsia="ru-RU" w:bidi="hi-IN"/>
        </w:rPr>
        <w:t xml:space="preserve">. В республике действует 23 </w:t>
      </w:r>
      <w:hyperlink r:id="rId136" w:tooltip="Аэропорт" w:history="1">
        <w:r w:rsidRPr="0047261E">
          <w:rPr>
            <w:rFonts w:eastAsia="MS ??" w:cs="Times New Roman"/>
            <w:kern w:val="3"/>
            <w:szCs w:val="24"/>
            <w:lang w:eastAsia="ru-RU" w:bidi="hi-IN"/>
          </w:rPr>
          <w:t>аэропорта</w:t>
        </w:r>
      </w:hyperlink>
      <w:r w:rsidRPr="0047261E">
        <w:rPr>
          <w:rFonts w:eastAsia="MS ??" w:cs="Times New Roman"/>
          <w:kern w:val="3"/>
          <w:szCs w:val="24"/>
          <w:lang w:eastAsia="ru-RU" w:bidi="hi-IN"/>
        </w:rPr>
        <w:t xml:space="preserve">. Действует участок </w:t>
      </w:r>
      <w:hyperlink r:id="rId137" w:tooltip="Амуро-Якутская железнодорожная магистраль" w:history="1">
        <w:r w:rsidRPr="0047261E">
          <w:rPr>
            <w:rFonts w:eastAsia="MS ??" w:cs="Times New Roman"/>
            <w:kern w:val="3"/>
            <w:szCs w:val="24"/>
            <w:lang w:eastAsia="ru-RU" w:bidi="hi-IN"/>
          </w:rPr>
          <w:t>Амуро-Якутской железнодорожной магистрали</w:t>
        </w:r>
      </w:hyperlink>
      <w:r w:rsidRPr="0047261E">
        <w:rPr>
          <w:rFonts w:eastAsia="MS ??" w:cs="Times New Roman"/>
          <w:kern w:val="3"/>
          <w:szCs w:val="24"/>
          <w:lang w:eastAsia="ru-RU" w:bidi="hi-IN"/>
        </w:rPr>
        <w:t xml:space="preserve"> </w:t>
      </w:r>
      <w:hyperlink r:id="rId138" w:tooltip="Беркакит" w:history="1">
        <w:r w:rsidRPr="0047261E">
          <w:rPr>
            <w:rFonts w:eastAsia="MS ??" w:cs="Times New Roman"/>
            <w:kern w:val="3"/>
            <w:szCs w:val="24"/>
            <w:lang w:eastAsia="ru-RU" w:bidi="hi-IN"/>
          </w:rPr>
          <w:t>Беркакит</w:t>
        </w:r>
      </w:hyperlink>
      <w:r w:rsidRPr="0047261E">
        <w:rPr>
          <w:rFonts w:eastAsia="MS ??" w:cs="Times New Roman"/>
          <w:kern w:val="3"/>
          <w:szCs w:val="24"/>
          <w:lang w:eastAsia="ru-RU" w:bidi="hi-IN"/>
        </w:rPr>
        <w:t xml:space="preserve"> — </w:t>
      </w:r>
      <w:hyperlink r:id="rId139" w:tooltip="Алдан (город)" w:history="1">
        <w:r w:rsidRPr="0047261E">
          <w:rPr>
            <w:rFonts w:eastAsia="MS ??" w:cs="Times New Roman"/>
            <w:kern w:val="3"/>
            <w:szCs w:val="24"/>
            <w:lang w:eastAsia="ru-RU" w:bidi="hi-IN"/>
          </w:rPr>
          <w:t>Алдан</w:t>
        </w:r>
      </w:hyperlink>
      <w:r w:rsidRPr="0047261E">
        <w:rPr>
          <w:rFonts w:eastAsia="MS ??" w:cs="Times New Roman"/>
          <w:kern w:val="3"/>
          <w:szCs w:val="24"/>
          <w:lang w:eastAsia="ru-RU" w:bidi="hi-IN"/>
        </w:rPr>
        <w:t xml:space="preserve"> — </w:t>
      </w:r>
      <w:hyperlink r:id="rId140" w:tooltip="Томмот" w:history="1">
        <w:r w:rsidRPr="0047261E">
          <w:rPr>
            <w:rFonts w:eastAsia="MS ??" w:cs="Times New Roman"/>
            <w:kern w:val="3"/>
            <w:szCs w:val="24"/>
            <w:lang w:eastAsia="ru-RU" w:bidi="hi-IN"/>
          </w:rPr>
          <w:t>Томмот</w:t>
        </w:r>
      </w:hyperlink>
      <w:r w:rsidRPr="0047261E">
        <w:rPr>
          <w:rFonts w:eastAsia="MS ??" w:cs="Times New Roman"/>
          <w:kern w:val="3"/>
          <w:szCs w:val="24"/>
          <w:lang w:eastAsia="ru-RU" w:bidi="hi-IN"/>
        </w:rPr>
        <w:t xml:space="preserve">. Продолжается строительство участка до посёлка </w:t>
      </w:r>
      <w:hyperlink r:id="rId141" w:tooltip="Нижний Бестях" w:history="1">
        <w:r w:rsidRPr="0047261E">
          <w:rPr>
            <w:rFonts w:eastAsia="MS ??" w:cs="Times New Roman"/>
            <w:kern w:val="3"/>
            <w:szCs w:val="24"/>
            <w:lang w:eastAsia="ru-RU" w:bidi="hi-IN"/>
          </w:rPr>
          <w:t>Нижний Бестях</w:t>
        </w:r>
      </w:hyperlink>
      <w:r w:rsidRPr="0047261E">
        <w:rPr>
          <w:rFonts w:eastAsia="MS ??" w:cs="Times New Roman"/>
          <w:kern w:val="3"/>
          <w:szCs w:val="24"/>
          <w:lang w:eastAsia="ru-RU" w:bidi="hi-IN"/>
        </w:rPr>
        <w:t xml:space="preserve"> (официально открыт в сентябре 2011 года, рабочая загрузка еще не начата), рассматривается возможность строительства совмещённого автомобильного железнодорожного моста через Лену с выходом железной дороги на Якутск, а также продолжения строительства железной дороги на Мому — Магадан. В юго-восточной Якутии также близко к завершению строительство тупиковой железнодорожной линии </w:t>
      </w:r>
      <w:hyperlink r:id="rId142" w:tooltip="Улак — Эльга" w:history="1">
        <w:r w:rsidRPr="0047261E">
          <w:rPr>
            <w:rFonts w:eastAsia="MS ??" w:cs="Times New Roman"/>
            <w:kern w:val="3"/>
            <w:szCs w:val="24"/>
            <w:lang w:eastAsia="ru-RU" w:bidi="hi-IN"/>
          </w:rPr>
          <w:t>Улак — Эльга</w:t>
        </w:r>
      </w:hyperlink>
      <w:r w:rsidRPr="0047261E">
        <w:rPr>
          <w:rFonts w:eastAsia="MS ??" w:cs="Times New Roman"/>
          <w:kern w:val="3"/>
          <w:szCs w:val="24"/>
          <w:lang w:eastAsia="ru-RU" w:bidi="hi-IN"/>
        </w:rPr>
        <w:t>, соединяющей БАМ с Эльгинским угольным месторождением.</w:t>
      </w:r>
    </w:p>
    <w:p w14:paraId="35D8DCA8" w14:textId="77777777" w:rsidR="0047261E" w:rsidRPr="0047261E" w:rsidRDefault="0047261E" w:rsidP="0047261E">
      <w:pPr>
        <w:widowControl w:val="0"/>
        <w:suppressAutoHyphens/>
        <w:autoSpaceDN w:val="0"/>
        <w:spacing w:before="120"/>
        <w:ind w:firstLine="567"/>
        <w:textAlignment w:val="baseline"/>
        <w:rPr>
          <w:rFonts w:eastAsia="MS ??" w:cs="Times New Roman"/>
          <w:b/>
          <w:bCs/>
          <w:i/>
          <w:iCs/>
          <w:kern w:val="3"/>
          <w:szCs w:val="24"/>
          <w:lang w:eastAsia="ru-RU" w:bidi="hi-IN"/>
        </w:rPr>
      </w:pPr>
      <w:r w:rsidRPr="0047261E">
        <w:rPr>
          <w:rFonts w:eastAsia="MS ??" w:cs="Times New Roman"/>
          <w:b/>
          <w:bCs/>
          <w:i/>
          <w:iCs/>
          <w:kern w:val="3"/>
          <w:szCs w:val="24"/>
          <w:lang w:eastAsia="ru-RU" w:bidi="hi-IN"/>
        </w:rPr>
        <w:t>Символика Республики Саха (Якутия)</w:t>
      </w:r>
    </w:p>
    <w:p w14:paraId="5B95F8CA" w14:textId="77777777" w:rsidR="0047261E" w:rsidRPr="0047261E" w:rsidRDefault="0047261E" w:rsidP="0047261E">
      <w:pPr>
        <w:widowControl w:val="0"/>
        <w:suppressAutoHyphens/>
        <w:autoSpaceDN w:val="0"/>
        <w:ind w:firstLine="709"/>
        <w:textAlignment w:val="baseline"/>
        <w:rPr>
          <w:rFonts w:eastAsia="MS ??" w:cs="Times New Roman"/>
          <w:kern w:val="3"/>
          <w:szCs w:val="24"/>
          <w:lang w:eastAsia="ru-RU" w:bidi="hi-IN"/>
        </w:rPr>
      </w:pPr>
      <w:r w:rsidRPr="0047261E">
        <w:rPr>
          <w:rFonts w:eastAsia="MS ??" w:cs="Times New Roman"/>
          <w:kern w:val="3"/>
          <w:szCs w:val="24"/>
          <w:lang w:eastAsia="ru-RU" w:bidi="hi-IN"/>
        </w:rPr>
        <w:t xml:space="preserve">Герб Республики Саха (Якутия) </w:t>
      </w:r>
    </w:p>
    <w:p w14:paraId="23763C78" w14:textId="3D70ADC0" w:rsidR="0047261E" w:rsidRPr="0047261E" w:rsidRDefault="0047261E" w:rsidP="0047261E">
      <w:pPr>
        <w:widowControl w:val="0"/>
        <w:suppressAutoHyphens/>
        <w:autoSpaceDN w:val="0"/>
        <w:ind w:firstLine="0"/>
        <w:textAlignment w:val="baseline"/>
        <w:rPr>
          <w:rFonts w:eastAsia="MS ??" w:cs="Times New Roman"/>
          <w:kern w:val="3"/>
          <w:szCs w:val="24"/>
          <w:lang w:eastAsia="ru-RU" w:bidi="hi-IN"/>
        </w:rPr>
      </w:pPr>
      <w:r w:rsidRPr="0047261E">
        <w:rPr>
          <w:rFonts w:eastAsia="MS ??" w:cs="Times New Roman"/>
          <w:noProof/>
          <w:kern w:val="3"/>
          <w:szCs w:val="24"/>
          <w:lang w:eastAsia="ru-RU"/>
        </w:rPr>
        <w:drawing>
          <wp:anchor distT="0" distB="0" distL="114300" distR="114300" simplePos="0" relativeHeight="251679744" behindDoc="1" locked="0" layoutInCell="1" allowOverlap="0" wp14:anchorId="613D736C" wp14:editId="0D81D566">
            <wp:simplePos x="0" y="0"/>
            <wp:positionH relativeFrom="column">
              <wp:posOffset>5715</wp:posOffset>
            </wp:positionH>
            <wp:positionV relativeFrom="paragraph">
              <wp:posOffset>92075</wp:posOffset>
            </wp:positionV>
            <wp:extent cx="929640" cy="937260"/>
            <wp:effectExtent l="19050" t="0" r="3810" b="0"/>
            <wp:wrapTight wrapText="bothSides">
              <wp:wrapPolygon edited="0">
                <wp:start x="7525" y="0"/>
                <wp:lineTo x="4426" y="1317"/>
                <wp:lineTo x="-443" y="5707"/>
                <wp:lineTo x="-443" y="15366"/>
                <wp:lineTo x="5754" y="21073"/>
                <wp:lineTo x="7082" y="21073"/>
                <wp:lineTo x="14607" y="21073"/>
                <wp:lineTo x="15934" y="21073"/>
                <wp:lineTo x="21689" y="15366"/>
                <wp:lineTo x="21689" y="5268"/>
                <wp:lineTo x="16820" y="878"/>
                <wp:lineTo x="14164" y="0"/>
                <wp:lineTo x="7525" y="0"/>
              </wp:wrapPolygon>
            </wp:wrapTight>
            <wp:docPr id="928" name="Рисунок 115" descr="File:Coat of Arms of Sakha (Yakutia).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File:Coat of Arms of Sakha (Yakutia).svg"/>
                    <pic:cNvPicPr>
                      <a:picLocks noChangeAspect="1" noChangeArrowheads="1"/>
                    </pic:cNvPicPr>
                  </pic:nvPicPr>
                  <pic:blipFill>
                    <a:blip r:embed="rId143" cstate="print"/>
                    <a:srcRect/>
                    <a:stretch>
                      <a:fillRect/>
                    </a:stretch>
                  </pic:blipFill>
                  <pic:spPr bwMode="auto">
                    <a:xfrm>
                      <a:off x="0" y="0"/>
                      <a:ext cx="929640" cy="937260"/>
                    </a:xfrm>
                    <a:prstGeom prst="rect">
                      <a:avLst/>
                    </a:prstGeom>
                    <a:noFill/>
                  </pic:spPr>
                </pic:pic>
              </a:graphicData>
            </a:graphic>
          </wp:anchor>
        </w:drawing>
      </w:r>
      <w:r w:rsidRPr="0047261E">
        <w:rPr>
          <w:rFonts w:eastAsia="MS ??" w:cs="Times New Roman"/>
          <w:kern w:val="3"/>
          <w:szCs w:val="24"/>
          <w:lang w:eastAsia="ru-RU" w:bidi="hi-IN"/>
        </w:rPr>
        <w:t xml:space="preserve">Принят Парламентом Республики </w:t>
      </w:r>
      <w:hyperlink r:id="rId144" w:tooltip="26 декабря" w:history="1">
        <w:r w:rsidRPr="0047261E">
          <w:rPr>
            <w:rFonts w:eastAsia="MS ??" w:cs="Times New Roman"/>
            <w:kern w:val="3"/>
            <w:szCs w:val="24"/>
            <w:lang w:eastAsia="ru-RU" w:bidi="hi-IN"/>
          </w:rPr>
          <w:t>26 декабря</w:t>
        </w:r>
      </w:hyperlink>
      <w:r w:rsidRPr="0047261E">
        <w:rPr>
          <w:rFonts w:eastAsia="MS ??" w:cs="Times New Roman"/>
          <w:kern w:val="3"/>
          <w:szCs w:val="24"/>
          <w:lang w:eastAsia="ru-RU" w:bidi="hi-IN"/>
        </w:rPr>
        <w:t xml:space="preserve"> </w:t>
      </w:r>
      <w:hyperlink r:id="rId145" w:tooltip="1992 год" w:history="1">
        <w:r w:rsidRPr="0047261E">
          <w:rPr>
            <w:rFonts w:eastAsia="MS ??" w:cs="Times New Roman"/>
            <w:kern w:val="3"/>
            <w:szCs w:val="24"/>
            <w:lang w:eastAsia="ru-RU" w:bidi="hi-IN"/>
          </w:rPr>
          <w:t>1992 года</w:t>
        </w:r>
      </w:hyperlink>
      <w:r w:rsidRPr="0047261E">
        <w:rPr>
          <w:rFonts w:eastAsia="MS ??" w:cs="Times New Roman"/>
          <w:kern w:val="3"/>
          <w:szCs w:val="24"/>
          <w:lang w:eastAsia="ru-RU" w:bidi="hi-IN"/>
        </w:rPr>
        <w:t xml:space="preserve">. Зарегистрирован за № 182 в </w:t>
      </w:r>
      <w:hyperlink r:id="rId146" w:tooltip="Государственный геральдический регистр Российской Федерации" w:history="1">
        <w:r w:rsidRPr="0047261E">
          <w:rPr>
            <w:rFonts w:eastAsia="MS ??" w:cs="Times New Roman"/>
            <w:kern w:val="3"/>
            <w:szCs w:val="24"/>
            <w:lang w:eastAsia="ru-RU" w:bidi="hi-IN"/>
          </w:rPr>
          <w:t>Государственном геральдическом регистре Российской Федерации</w:t>
        </w:r>
      </w:hyperlink>
      <w:r w:rsidRPr="0047261E">
        <w:rPr>
          <w:rFonts w:eastAsia="MS ??" w:cs="Times New Roman"/>
          <w:kern w:val="3"/>
          <w:szCs w:val="24"/>
          <w:lang w:eastAsia="ru-RU" w:bidi="hi-IN"/>
        </w:rPr>
        <w:t>.</w:t>
      </w:r>
    </w:p>
    <w:p w14:paraId="09FA8E54" w14:textId="7A7AC397" w:rsidR="0047261E" w:rsidRPr="0047261E" w:rsidRDefault="00A90944" w:rsidP="0047261E">
      <w:pPr>
        <w:widowControl w:val="0"/>
        <w:suppressAutoHyphens/>
        <w:autoSpaceDN w:val="0"/>
        <w:ind w:firstLine="0"/>
        <w:textAlignment w:val="baseline"/>
        <w:rPr>
          <w:rFonts w:eastAsia="MS ??" w:cs="Times New Roman"/>
          <w:kern w:val="3"/>
          <w:szCs w:val="24"/>
          <w:lang w:eastAsia="ru-RU" w:bidi="hi-IN"/>
        </w:rPr>
      </w:pPr>
      <w:hyperlink r:id="rId147" w:tooltip="Герб" w:history="1">
        <w:r w:rsidR="0047261E" w:rsidRPr="0047261E">
          <w:rPr>
            <w:rFonts w:eastAsia="MS ??" w:cs="Times New Roman"/>
            <w:kern w:val="3"/>
            <w:szCs w:val="24"/>
            <w:lang w:eastAsia="ru-RU" w:bidi="hi-IN"/>
          </w:rPr>
          <w:t>Герб</w:t>
        </w:r>
      </w:hyperlink>
      <w:r w:rsidR="0047261E" w:rsidRPr="0047261E">
        <w:rPr>
          <w:rFonts w:eastAsia="MS ??" w:cs="Times New Roman"/>
          <w:kern w:val="3"/>
          <w:szCs w:val="24"/>
          <w:lang w:eastAsia="ru-RU" w:bidi="hi-IN"/>
        </w:rPr>
        <w:t xml:space="preserve"> представляет собой </w:t>
      </w:r>
      <w:hyperlink r:id="rId148" w:tooltip="Круг" w:history="1">
        <w:r w:rsidR="0047261E" w:rsidRPr="0047261E">
          <w:rPr>
            <w:rFonts w:eastAsia="MS ??" w:cs="Times New Roman"/>
            <w:kern w:val="3"/>
            <w:szCs w:val="24"/>
            <w:lang w:eastAsia="ru-RU" w:bidi="hi-IN"/>
          </w:rPr>
          <w:t>круг</w:t>
        </w:r>
      </w:hyperlink>
      <w:r w:rsidR="0047261E" w:rsidRPr="0047261E">
        <w:rPr>
          <w:rFonts w:eastAsia="MS ??" w:cs="Times New Roman"/>
          <w:kern w:val="3"/>
          <w:szCs w:val="24"/>
          <w:lang w:eastAsia="ru-RU" w:bidi="hi-IN"/>
        </w:rPr>
        <w:t xml:space="preserve">, в центре которого изображение древнего </w:t>
      </w:r>
      <w:hyperlink r:id="rId149" w:tooltip="Всадник" w:history="1">
        <w:r w:rsidR="0047261E" w:rsidRPr="0047261E">
          <w:rPr>
            <w:rFonts w:eastAsia="MS ??" w:cs="Times New Roman"/>
            <w:kern w:val="3"/>
            <w:szCs w:val="24"/>
            <w:lang w:eastAsia="ru-RU" w:bidi="hi-IN"/>
          </w:rPr>
          <w:t>всадника</w:t>
        </w:r>
      </w:hyperlink>
      <w:r w:rsidR="0047261E" w:rsidRPr="0047261E">
        <w:rPr>
          <w:rFonts w:eastAsia="MS ??" w:cs="Times New Roman"/>
          <w:kern w:val="3"/>
          <w:szCs w:val="24"/>
          <w:lang w:eastAsia="ru-RU" w:bidi="hi-IN"/>
        </w:rPr>
        <w:t xml:space="preserve"> со </w:t>
      </w:r>
      <w:hyperlink r:id="rId150" w:tooltip="Знамя" w:history="1">
        <w:r w:rsidR="0047261E" w:rsidRPr="0047261E">
          <w:rPr>
            <w:rFonts w:eastAsia="MS ??" w:cs="Times New Roman"/>
            <w:kern w:val="3"/>
            <w:szCs w:val="24"/>
            <w:lang w:eastAsia="ru-RU" w:bidi="hi-IN"/>
          </w:rPr>
          <w:t>знаменем</w:t>
        </w:r>
      </w:hyperlink>
      <w:r w:rsidR="0047261E" w:rsidRPr="0047261E">
        <w:rPr>
          <w:rFonts w:eastAsia="MS ??" w:cs="Times New Roman"/>
          <w:kern w:val="3"/>
          <w:szCs w:val="24"/>
          <w:lang w:eastAsia="ru-RU" w:bidi="hi-IN"/>
        </w:rPr>
        <w:t xml:space="preserve"> с наскальных рисунков реки Лены, на фоне солнечного диска-щита, помещённого в обрамление с традиционным национальным орнаментом в виде семи </w:t>
      </w:r>
      <w:hyperlink r:id="rId151" w:tooltip="Ромб" w:history="1">
        <w:r w:rsidR="0047261E" w:rsidRPr="0047261E">
          <w:rPr>
            <w:rFonts w:eastAsia="MS ??" w:cs="Times New Roman"/>
            <w:kern w:val="3"/>
            <w:szCs w:val="24"/>
            <w:lang w:eastAsia="ru-RU" w:bidi="hi-IN"/>
          </w:rPr>
          <w:t>ромбических</w:t>
        </w:r>
      </w:hyperlink>
      <w:r w:rsidR="0047261E" w:rsidRPr="0047261E">
        <w:rPr>
          <w:rFonts w:eastAsia="MS ??" w:cs="Times New Roman"/>
          <w:kern w:val="3"/>
          <w:szCs w:val="24"/>
          <w:lang w:eastAsia="ru-RU" w:bidi="hi-IN"/>
        </w:rPr>
        <w:t xml:space="preserve"> </w:t>
      </w:r>
      <w:hyperlink r:id="rId152" w:tooltip="Кристалл" w:history="1">
        <w:r w:rsidR="0047261E" w:rsidRPr="0047261E">
          <w:rPr>
            <w:rFonts w:eastAsia="MS ??" w:cs="Times New Roman"/>
            <w:kern w:val="3"/>
            <w:szCs w:val="24"/>
            <w:lang w:eastAsia="ru-RU" w:bidi="hi-IN"/>
          </w:rPr>
          <w:t>кристаллообразных</w:t>
        </w:r>
      </w:hyperlink>
      <w:r w:rsidR="0047261E" w:rsidRPr="0047261E">
        <w:rPr>
          <w:rFonts w:eastAsia="MS ??" w:cs="Times New Roman"/>
          <w:kern w:val="3"/>
          <w:szCs w:val="24"/>
          <w:lang w:eastAsia="ru-RU" w:bidi="hi-IN"/>
        </w:rPr>
        <w:t xml:space="preserve"> фигур и надписями «Республика Саха (Якутия)» и «Саха Республиката». В цветном изображении Государственного герба Республики Саха (Якутия) </w:t>
      </w:r>
      <w:hyperlink r:id="rId153" w:tooltip="Солнце" w:history="1">
        <w:r w:rsidR="0047261E" w:rsidRPr="0047261E">
          <w:rPr>
            <w:rFonts w:eastAsia="MS ??" w:cs="Times New Roman"/>
            <w:kern w:val="3"/>
            <w:szCs w:val="24"/>
            <w:lang w:eastAsia="ru-RU" w:bidi="hi-IN"/>
          </w:rPr>
          <w:t>солнце</w:t>
        </w:r>
      </w:hyperlink>
      <w:r w:rsidR="0047261E" w:rsidRPr="0047261E">
        <w:rPr>
          <w:rFonts w:eastAsia="MS ??" w:cs="Times New Roman"/>
          <w:kern w:val="3"/>
          <w:szCs w:val="24"/>
          <w:lang w:eastAsia="ru-RU" w:bidi="hi-IN"/>
        </w:rPr>
        <w:t xml:space="preserve"> — серебристого, всадник — красного, обрамление — синего, орнамент и надписи — белого цвета. Центральный элемент герба — древнее </w:t>
      </w:r>
      <w:hyperlink r:id="rId154" w:tooltip="Наскальная живопись" w:history="1">
        <w:r w:rsidR="0047261E" w:rsidRPr="0047261E">
          <w:rPr>
            <w:rFonts w:eastAsia="MS ??" w:cs="Times New Roman"/>
            <w:kern w:val="3"/>
            <w:szCs w:val="24"/>
            <w:lang w:eastAsia="ru-RU" w:bidi="hi-IN"/>
          </w:rPr>
          <w:t>наскальное изображение</w:t>
        </w:r>
      </w:hyperlink>
      <w:r w:rsidR="0047261E" w:rsidRPr="0047261E">
        <w:rPr>
          <w:rFonts w:eastAsia="MS ??" w:cs="Times New Roman"/>
          <w:kern w:val="3"/>
          <w:szCs w:val="24"/>
          <w:lang w:eastAsia="ru-RU" w:bidi="hi-IN"/>
        </w:rPr>
        <w:t xml:space="preserve">, обнаруженное у деревни Шишкино (район реки </w:t>
      </w:r>
      <w:hyperlink r:id="rId155" w:tooltip="Лена (река)" w:history="1">
        <w:r w:rsidR="0047261E" w:rsidRPr="0047261E">
          <w:rPr>
            <w:rFonts w:eastAsia="MS ??" w:cs="Times New Roman"/>
            <w:kern w:val="3"/>
            <w:szCs w:val="24"/>
            <w:lang w:eastAsia="ru-RU" w:bidi="hi-IN"/>
          </w:rPr>
          <w:t>Лены</w:t>
        </w:r>
      </w:hyperlink>
      <w:r w:rsidR="0047261E" w:rsidRPr="0047261E">
        <w:rPr>
          <w:rFonts w:eastAsia="MS ??" w:cs="Times New Roman"/>
          <w:kern w:val="3"/>
          <w:szCs w:val="24"/>
          <w:lang w:eastAsia="ru-RU" w:bidi="hi-IN"/>
        </w:rPr>
        <w:t xml:space="preserve">, выше г. Верхоленска, не доходя 18 км до села Качуг) в </w:t>
      </w:r>
      <w:hyperlink r:id="rId156" w:tooltip="1745 год" w:history="1">
        <w:r w:rsidR="0047261E" w:rsidRPr="0047261E">
          <w:rPr>
            <w:rFonts w:eastAsia="MS ??" w:cs="Times New Roman"/>
            <w:kern w:val="3"/>
            <w:szCs w:val="24"/>
            <w:lang w:eastAsia="ru-RU" w:bidi="hi-IN"/>
          </w:rPr>
          <w:t>1745 году</w:t>
        </w:r>
      </w:hyperlink>
      <w:r w:rsidR="0047261E" w:rsidRPr="0047261E">
        <w:rPr>
          <w:rFonts w:eastAsia="MS ??" w:cs="Times New Roman"/>
          <w:kern w:val="3"/>
          <w:szCs w:val="24"/>
          <w:lang w:eastAsia="ru-RU" w:bidi="hi-IN"/>
        </w:rPr>
        <w:t xml:space="preserve">. Наскальные рисунки относятся к 6 — 9 вв. нашей эры и являются наследием народа </w:t>
      </w:r>
      <w:hyperlink r:id="rId157" w:tooltip="Курыканы" w:history="1">
        <w:r w:rsidR="0047261E" w:rsidRPr="0047261E">
          <w:rPr>
            <w:rFonts w:eastAsia="MS ??" w:cs="Times New Roman"/>
            <w:kern w:val="3"/>
            <w:szCs w:val="24"/>
            <w:lang w:eastAsia="ru-RU" w:bidi="hi-IN"/>
          </w:rPr>
          <w:t>курыкан</w:t>
        </w:r>
      </w:hyperlink>
      <w:r w:rsidR="0047261E" w:rsidRPr="0047261E">
        <w:rPr>
          <w:rFonts w:eastAsia="MS ??" w:cs="Times New Roman"/>
          <w:kern w:val="3"/>
          <w:szCs w:val="24"/>
          <w:lang w:eastAsia="ru-RU" w:bidi="hi-IN"/>
        </w:rPr>
        <w:t xml:space="preserve">, считающихся предками якутов. Всадник на гербе Республики Саха (Якутия) символизирует объединение людей, народов, живущих в республике. Под знаменем подразумевается единение племени и его могущество, власть и начало государственности. Ромбовидный орнамент, украшающий обрамление, присущ всем северным народам и одновременно напоминает кристаллики ограненного алмаза, также своеобразного символа Республики Саха (Якутия). Кроме того, семь ромбических кристаллов символизируют семь народов, населяющих край: </w:t>
      </w:r>
      <w:hyperlink r:id="rId158" w:tooltip="Якуты" w:history="1">
        <w:r w:rsidR="0047261E" w:rsidRPr="0047261E">
          <w:rPr>
            <w:rFonts w:eastAsia="MS ??" w:cs="Times New Roman"/>
            <w:kern w:val="3"/>
            <w:szCs w:val="24"/>
            <w:lang w:eastAsia="ru-RU" w:bidi="hi-IN"/>
          </w:rPr>
          <w:t>якутов</w:t>
        </w:r>
      </w:hyperlink>
      <w:r w:rsidR="0047261E" w:rsidRPr="0047261E">
        <w:rPr>
          <w:rFonts w:eastAsia="MS ??" w:cs="Times New Roman"/>
          <w:kern w:val="3"/>
          <w:szCs w:val="24"/>
          <w:lang w:eastAsia="ru-RU" w:bidi="hi-IN"/>
        </w:rPr>
        <w:t xml:space="preserve">, </w:t>
      </w:r>
      <w:hyperlink r:id="rId159" w:tooltip="Русские" w:history="1">
        <w:r w:rsidR="0047261E" w:rsidRPr="0047261E">
          <w:rPr>
            <w:rFonts w:eastAsia="MS ??" w:cs="Times New Roman"/>
            <w:kern w:val="3"/>
            <w:szCs w:val="24"/>
            <w:lang w:eastAsia="ru-RU" w:bidi="hi-IN"/>
          </w:rPr>
          <w:t>русских</w:t>
        </w:r>
      </w:hyperlink>
      <w:r w:rsidR="0047261E" w:rsidRPr="0047261E">
        <w:rPr>
          <w:rFonts w:eastAsia="MS ??" w:cs="Times New Roman"/>
          <w:kern w:val="3"/>
          <w:szCs w:val="24"/>
          <w:lang w:eastAsia="ru-RU" w:bidi="hi-IN"/>
        </w:rPr>
        <w:t xml:space="preserve">, </w:t>
      </w:r>
      <w:hyperlink r:id="rId160" w:tooltip="Эвенки" w:history="1">
        <w:r w:rsidR="0047261E" w:rsidRPr="0047261E">
          <w:rPr>
            <w:rFonts w:eastAsia="MS ??" w:cs="Times New Roman"/>
            <w:kern w:val="3"/>
            <w:szCs w:val="24"/>
            <w:lang w:eastAsia="ru-RU" w:bidi="hi-IN"/>
          </w:rPr>
          <w:t>эвенков</w:t>
        </w:r>
      </w:hyperlink>
      <w:r w:rsidR="0047261E" w:rsidRPr="0047261E">
        <w:rPr>
          <w:rFonts w:eastAsia="MS ??" w:cs="Times New Roman"/>
          <w:kern w:val="3"/>
          <w:szCs w:val="24"/>
          <w:lang w:eastAsia="ru-RU" w:bidi="hi-IN"/>
        </w:rPr>
        <w:t xml:space="preserve">, </w:t>
      </w:r>
      <w:hyperlink r:id="rId161" w:tooltip="Эвены" w:history="1">
        <w:r w:rsidR="0047261E" w:rsidRPr="0047261E">
          <w:rPr>
            <w:rFonts w:eastAsia="MS ??" w:cs="Times New Roman"/>
            <w:kern w:val="3"/>
            <w:szCs w:val="24"/>
            <w:lang w:eastAsia="ru-RU" w:bidi="hi-IN"/>
          </w:rPr>
          <w:t>эвенов</w:t>
        </w:r>
      </w:hyperlink>
      <w:r w:rsidR="0047261E" w:rsidRPr="0047261E">
        <w:rPr>
          <w:rFonts w:eastAsia="MS ??" w:cs="Times New Roman"/>
          <w:kern w:val="3"/>
          <w:szCs w:val="24"/>
          <w:lang w:eastAsia="ru-RU" w:bidi="hi-IN"/>
        </w:rPr>
        <w:t xml:space="preserve">, </w:t>
      </w:r>
      <w:hyperlink r:id="rId162" w:tooltip="Чукчи" w:history="1">
        <w:r w:rsidR="0047261E" w:rsidRPr="0047261E">
          <w:rPr>
            <w:rFonts w:eastAsia="MS ??" w:cs="Times New Roman"/>
            <w:kern w:val="3"/>
            <w:szCs w:val="24"/>
            <w:lang w:eastAsia="ru-RU" w:bidi="hi-IN"/>
          </w:rPr>
          <w:t>чукчей</w:t>
        </w:r>
      </w:hyperlink>
      <w:r w:rsidR="0047261E" w:rsidRPr="0047261E">
        <w:rPr>
          <w:rFonts w:eastAsia="MS ??" w:cs="Times New Roman"/>
          <w:kern w:val="3"/>
          <w:szCs w:val="24"/>
          <w:lang w:eastAsia="ru-RU" w:bidi="hi-IN"/>
        </w:rPr>
        <w:t xml:space="preserve">, </w:t>
      </w:r>
      <w:hyperlink r:id="rId163" w:tooltip="Долганы" w:history="1">
        <w:r w:rsidR="0047261E" w:rsidRPr="0047261E">
          <w:rPr>
            <w:rFonts w:eastAsia="MS ??" w:cs="Times New Roman"/>
            <w:kern w:val="3"/>
            <w:szCs w:val="24"/>
            <w:lang w:eastAsia="ru-RU" w:bidi="hi-IN"/>
          </w:rPr>
          <w:t>долганов</w:t>
        </w:r>
      </w:hyperlink>
      <w:r w:rsidR="0047261E" w:rsidRPr="0047261E">
        <w:rPr>
          <w:rFonts w:eastAsia="MS ??" w:cs="Times New Roman"/>
          <w:kern w:val="3"/>
          <w:szCs w:val="24"/>
          <w:lang w:eastAsia="ru-RU" w:bidi="hi-IN"/>
        </w:rPr>
        <w:t xml:space="preserve">, </w:t>
      </w:r>
      <w:hyperlink r:id="rId164" w:tooltip="Юкагиры" w:history="1">
        <w:r w:rsidR="0047261E" w:rsidRPr="0047261E">
          <w:rPr>
            <w:rFonts w:eastAsia="MS ??" w:cs="Times New Roman"/>
            <w:kern w:val="3"/>
            <w:szCs w:val="24"/>
            <w:lang w:eastAsia="ru-RU" w:bidi="hi-IN"/>
          </w:rPr>
          <w:t>юкагиров</w:t>
        </w:r>
      </w:hyperlink>
      <w:r w:rsidR="0047261E" w:rsidRPr="0047261E">
        <w:rPr>
          <w:rFonts w:eastAsia="MS ??" w:cs="Times New Roman"/>
          <w:kern w:val="3"/>
          <w:szCs w:val="24"/>
          <w:lang w:eastAsia="ru-RU" w:bidi="hi-IN"/>
        </w:rPr>
        <w:t xml:space="preserve">. </w:t>
      </w:r>
      <w:hyperlink r:id="rId165" w:tooltip="Синий цвет" w:history="1">
        <w:r w:rsidR="0047261E" w:rsidRPr="0047261E">
          <w:rPr>
            <w:rFonts w:eastAsia="MS ??" w:cs="Times New Roman"/>
            <w:kern w:val="3"/>
            <w:szCs w:val="24"/>
            <w:lang w:eastAsia="ru-RU" w:bidi="hi-IN"/>
          </w:rPr>
          <w:t>Синий цвет</w:t>
        </w:r>
      </w:hyperlink>
      <w:r w:rsidR="0047261E" w:rsidRPr="0047261E">
        <w:rPr>
          <w:rFonts w:eastAsia="MS ??" w:cs="Times New Roman"/>
          <w:kern w:val="3"/>
          <w:szCs w:val="24"/>
          <w:lang w:eastAsia="ru-RU" w:bidi="hi-IN"/>
        </w:rPr>
        <w:t xml:space="preserve"> символизирует </w:t>
      </w:r>
      <w:hyperlink r:id="rId166" w:tooltip="Верность" w:history="1">
        <w:r w:rsidR="0047261E" w:rsidRPr="0047261E">
          <w:rPr>
            <w:rFonts w:eastAsia="MS ??" w:cs="Times New Roman"/>
            <w:kern w:val="3"/>
            <w:szCs w:val="24"/>
            <w:lang w:eastAsia="ru-RU" w:bidi="hi-IN"/>
          </w:rPr>
          <w:t>верность</w:t>
        </w:r>
      </w:hyperlink>
      <w:r w:rsidR="0047261E" w:rsidRPr="0047261E">
        <w:rPr>
          <w:rFonts w:eastAsia="MS ??" w:cs="Times New Roman"/>
          <w:kern w:val="3"/>
          <w:szCs w:val="24"/>
          <w:lang w:eastAsia="ru-RU" w:bidi="hi-IN"/>
        </w:rPr>
        <w:t xml:space="preserve">, </w:t>
      </w:r>
      <w:hyperlink r:id="rId167" w:tooltip="Искренность" w:history="1">
        <w:r w:rsidR="0047261E" w:rsidRPr="0047261E">
          <w:rPr>
            <w:rFonts w:eastAsia="MS ??" w:cs="Times New Roman"/>
            <w:kern w:val="3"/>
            <w:szCs w:val="24"/>
            <w:lang w:eastAsia="ru-RU" w:bidi="hi-IN"/>
          </w:rPr>
          <w:t>искренность</w:t>
        </w:r>
      </w:hyperlink>
      <w:r w:rsidR="0047261E" w:rsidRPr="0047261E">
        <w:rPr>
          <w:rFonts w:eastAsia="MS ??" w:cs="Times New Roman"/>
          <w:kern w:val="3"/>
          <w:szCs w:val="24"/>
          <w:lang w:eastAsia="ru-RU" w:bidi="hi-IN"/>
        </w:rPr>
        <w:t xml:space="preserve"> и </w:t>
      </w:r>
      <w:hyperlink r:id="rId168" w:tooltip="Надёжность" w:history="1">
        <w:r w:rsidR="0047261E" w:rsidRPr="0047261E">
          <w:rPr>
            <w:rFonts w:eastAsia="MS ??" w:cs="Times New Roman"/>
            <w:kern w:val="3"/>
            <w:szCs w:val="24"/>
            <w:lang w:eastAsia="ru-RU" w:bidi="hi-IN"/>
          </w:rPr>
          <w:t>надёжность</w:t>
        </w:r>
      </w:hyperlink>
      <w:r w:rsidR="0047261E" w:rsidRPr="0047261E">
        <w:rPr>
          <w:rFonts w:eastAsia="MS ??" w:cs="Times New Roman"/>
          <w:kern w:val="3"/>
          <w:szCs w:val="24"/>
          <w:lang w:eastAsia="ru-RU" w:bidi="hi-IN"/>
        </w:rPr>
        <w:t xml:space="preserve">, </w:t>
      </w:r>
      <w:hyperlink r:id="rId169" w:tooltip="Белый цвет" w:history="1">
        <w:r w:rsidR="0047261E" w:rsidRPr="0047261E">
          <w:rPr>
            <w:rFonts w:eastAsia="MS ??" w:cs="Times New Roman"/>
            <w:kern w:val="3"/>
            <w:szCs w:val="24"/>
            <w:lang w:eastAsia="ru-RU" w:bidi="hi-IN"/>
          </w:rPr>
          <w:t>белый цвет</w:t>
        </w:r>
      </w:hyperlink>
      <w:r w:rsidR="0047261E" w:rsidRPr="0047261E">
        <w:rPr>
          <w:rFonts w:eastAsia="MS ??" w:cs="Times New Roman"/>
          <w:kern w:val="3"/>
          <w:szCs w:val="24"/>
          <w:lang w:eastAsia="ru-RU" w:bidi="hi-IN"/>
        </w:rPr>
        <w:t xml:space="preserve"> — чистоту, а красной </w:t>
      </w:r>
      <w:hyperlink r:id="rId170" w:tooltip="Охра" w:history="1">
        <w:r w:rsidR="0047261E" w:rsidRPr="0047261E">
          <w:rPr>
            <w:rFonts w:eastAsia="MS ??" w:cs="Times New Roman"/>
            <w:kern w:val="3"/>
            <w:szCs w:val="24"/>
            <w:lang w:eastAsia="ru-RU" w:bidi="hi-IN"/>
          </w:rPr>
          <w:t>охрой</w:t>
        </w:r>
      </w:hyperlink>
      <w:r w:rsidR="0047261E" w:rsidRPr="0047261E">
        <w:rPr>
          <w:rFonts w:eastAsia="MS ??" w:cs="Times New Roman"/>
          <w:kern w:val="3"/>
          <w:szCs w:val="24"/>
          <w:lang w:eastAsia="ru-RU" w:bidi="hi-IN"/>
        </w:rPr>
        <w:t xml:space="preserve"> выполнены наскальные рисунки у Шишкино. Неофициальное название герба среди пришлого населения — «шестиногий конь».</w:t>
      </w:r>
    </w:p>
    <w:p w14:paraId="6C32F1F9" w14:textId="77777777" w:rsidR="0047261E" w:rsidRPr="0047261E" w:rsidRDefault="0047261E" w:rsidP="0047261E">
      <w:pPr>
        <w:widowControl w:val="0"/>
        <w:suppressAutoHyphens/>
        <w:autoSpaceDN w:val="0"/>
        <w:ind w:firstLine="709"/>
        <w:textAlignment w:val="baseline"/>
        <w:rPr>
          <w:rFonts w:eastAsia="MS ??" w:cs="Times New Roman"/>
          <w:kern w:val="3"/>
          <w:szCs w:val="24"/>
          <w:lang w:eastAsia="ru-RU" w:bidi="hi-IN"/>
        </w:rPr>
      </w:pPr>
      <w:r w:rsidRPr="0047261E">
        <w:rPr>
          <w:rFonts w:eastAsia="MS ??" w:cs="Times New Roman"/>
          <w:noProof/>
          <w:kern w:val="3"/>
          <w:szCs w:val="24"/>
          <w:lang w:eastAsia="ru-RU"/>
        </w:rPr>
        <w:drawing>
          <wp:anchor distT="0" distB="0" distL="114300" distR="114300" simplePos="0" relativeHeight="251680768" behindDoc="1" locked="0" layoutInCell="1" allowOverlap="1" wp14:anchorId="48E45164" wp14:editId="7A135107">
            <wp:simplePos x="0" y="0"/>
            <wp:positionH relativeFrom="column">
              <wp:posOffset>6985</wp:posOffset>
            </wp:positionH>
            <wp:positionV relativeFrom="paragraph">
              <wp:posOffset>234315</wp:posOffset>
            </wp:positionV>
            <wp:extent cx="1316990" cy="664210"/>
            <wp:effectExtent l="19050" t="0" r="0" b="0"/>
            <wp:wrapTight wrapText="bothSides">
              <wp:wrapPolygon edited="0">
                <wp:start x="-312" y="0"/>
                <wp:lineTo x="-312" y="21063"/>
                <wp:lineTo x="21558" y="21063"/>
                <wp:lineTo x="21558" y="0"/>
                <wp:lineTo x="-312" y="0"/>
              </wp:wrapPolygon>
            </wp:wrapTight>
            <wp:docPr id="930" name="Рисунок 116" descr="File:Flag of Sakha.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File:Flag of Sakha.svg"/>
                    <pic:cNvPicPr>
                      <a:picLocks noChangeAspect="1" noChangeArrowheads="1"/>
                    </pic:cNvPicPr>
                  </pic:nvPicPr>
                  <pic:blipFill>
                    <a:blip r:embed="rId171" cstate="print"/>
                    <a:srcRect/>
                    <a:stretch>
                      <a:fillRect/>
                    </a:stretch>
                  </pic:blipFill>
                  <pic:spPr bwMode="auto">
                    <a:xfrm>
                      <a:off x="0" y="0"/>
                      <a:ext cx="1316990" cy="664210"/>
                    </a:xfrm>
                    <a:prstGeom prst="rect">
                      <a:avLst/>
                    </a:prstGeom>
                    <a:noFill/>
                  </pic:spPr>
                </pic:pic>
              </a:graphicData>
            </a:graphic>
          </wp:anchor>
        </w:drawing>
      </w:r>
      <w:r w:rsidRPr="0047261E">
        <w:rPr>
          <w:rFonts w:eastAsia="MS ??" w:cs="Times New Roman"/>
          <w:kern w:val="3"/>
          <w:szCs w:val="24"/>
          <w:lang w:eastAsia="ru-RU" w:bidi="hi-IN"/>
        </w:rPr>
        <w:t>Флаг Республики Саха (Якутия)</w:t>
      </w:r>
    </w:p>
    <w:p w14:paraId="7979C5E7" w14:textId="6811B245" w:rsidR="0047261E" w:rsidRPr="0047261E" w:rsidRDefault="0047261E" w:rsidP="0047261E">
      <w:pPr>
        <w:widowControl w:val="0"/>
        <w:suppressAutoHyphens/>
        <w:autoSpaceDN w:val="0"/>
        <w:ind w:firstLine="0"/>
        <w:textAlignment w:val="baseline"/>
        <w:rPr>
          <w:rFonts w:eastAsia="MS ??" w:cs="Times New Roman"/>
          <w:kern w:val="3"/>
          <w:szCs w:val="24"/>
          <w:lang w:eastAsia="ru-RU" w:bidi="hi-IN"/>
        </w:rPr>
      </w:pPr>
      <w:r w:rsidRPr="0047261E">
        <w:rPr>
          <w:rFonts w:eastAsia="MS ??" w:cs="Times New Roman"/>
          <w:kern w:val="3"/>
          <w:szCs w:val="24"/>
          <w:lang w:eastAsia="ru-RU" w:bidi="hi-IN"/>
        </w:rPr>
        <w:t xml:space="preserve">Принят </w:t>
      </w:r>
      <w:hyperlink r:id="rId172" w:tooltip="Государственное Собрание (Ил Тумэн) Республики Саха (Якутия)" w:history="1">
        <w:r w:rsidRPr="0047261E">
          <w:rPr>
            <w:rFonts w:eastAsia="MS ??" w:cs="Times New Roman"/>
            <w:kern w:val="3"/>
            <w:szCs w:val="24"/>
            <w:lang w:eastAsia="ru-RU" w:bidi="hi-IN"/>
          </w:rPr>
          <w:t>Государственным Собранием (Ил Тумэн) Республики Саха (Якутия)</w:t>
        </w:r>
      </w:hyperlink>
      <w:r w:rsidRPr="0047261E">
        <w:rPr>
          <w:rFonts w:eastAsia="MS ??" w:cs="Times New Roman"/>
          <w:kern w:val="3"/>
          <w:szCs w:val="24"/>
          <w:lang w:eastAsia="ru-RU" w:bidi="hi-IN"/>
        </w:rPr>
        <w:t xml:space="preserve"> </w:t>
      </w:r>
      <w:hyperlink r:id="rId173" w:tooltip="14 октября" w:history="1">
        <w:r w:rsidRPr="0047261E">
          <w:rPr>
            <w:rFonts w:eastAsia="MS ??" w:cs="Times New Roman"/>
            <w:kern w:val="3"/>
            <w:szCs w:val="24"/>
            <w:lang w:eastAsia="ru-RU" w:bidi="hi-IN"/>
          </w:rPr>
          <w:t>14 октября</w:t>
        </w:r>
      </w:hyperlink>
      <w:r w:rsidRPr="0047261E">
        <w:rPr>
          <w:rFonts w:eastAsia="MS ??" w:cs="Times New Roman"/>
          <w:kern w:val="3"/>
          <w:szCs w:val="24"/>
          <w:lang w:eastAsia="ru-RU" w:bidi="hi-IN"/>
        </w:rPr>
        <w:t xml:space="preserve"> </w:t>
      </w:r>
      <w:hyperlink r:id="rId174" w:tooltip="1992 год" w:history="1">
        <w:r w:rsidRPr="0047261E">
          <w:rPr>
            <w:rFonts w:eastAsia="MS ??" w:cs="Times New Roman"/>
            <w:kern w:val="3"/>
            <w:szCs w:val="24"/>
            <w:lang w:eastAsia="ru-RU" w:bidi="hi-IN"/>
          </w:rPr>
          <w:t>1992 года</w:t>
        </w:r>
      </w:hyperlink>
      <w:r w:rsidRPr="0047261E">
        <w:rPr>
          <w:rFonts w:eastAsia="MS ??" w:cs="Times New Roman"/>
          <w:kern w:val="3"/>
          <w:szCs w:val="24"/>
          <w:lang w:eastAsia="ru-RU" w:bidi="hi-IN"/>
        </w:rPr>
        <w:t xml:space="preserve">. Зарегистрирован за № 183 в </w:t>
      </w:r>
      <w:hyperlink r:id="rId175" w:tooltip="Государственный геральдический регистр Российской Федерации" w:history="1">
        <w:r w:rsidRPr="0047261E">
          <w:rPr>
            <w:rFonts w:eastAsia="MS ??" w:cs="Times New Roman"/>
            <w:kern w:val="3"/>
            <w:szCs w:val="24"/>
            <w:lang w:eastAsia="ru-RU" w:bidi="hi-IN"/>
          </w:rPr>
          <w:t>Государственном геральдическом регистре Российской Федерации</w:t>
        </w:r>
      </w:hyperlink>
      <w:r w:rsidRPr="0047261E">
        <w:rPr>
          <w:rFonts w:eastAsia="MS ??" w:cs="Times New Roman"/>
          <w:kern w:val="3"/>
          <w:szCs w:val="24"/>
          <w:lang w:eastAsia="ru-RU" w:bidi="hi-IN"/>
        </w:rPr>
        <w:t>.</w:t>
      </w:r>
    </w:p>
    <w:p w14:paraId="4FAA3736" w14:textId="47648375" w:rsidR="0047261E" w:rsidRPr="0047261E" w:rsidRDefault="0047261E" w:rsidP="0047261E">
      <w:pPr>
        <w:widowControl w:val="0"/>
        <w:suppressAutoHyphens/>
        <w:autoSpaceDN w:val="0"/>
        <w:ind w:firstLine="0"/>
        <w:textAlignment w:val="baseline"/>
        <w:rPr>
          <w:rFonts w:eastAsia="MS ??" w:cs="Times New Roman"/>
          <w:kern w:val="3"/>
          <w:szCs w:val="24"/>
          <w:lang w:eastAsia="ru-RU" w:bidi="hi-IN"/>
        </w:rPr>
      </w:pPr>
      <w:r w:rsidRPr="0047261E">
        <w:rPr>
          <w:rFonts w:eastAsia="MS ??" w:cs="Times New Roman"/>
          <w:kern w:val="3"/>
          <w:szCs w:val="24"/>
          <w:lang w:eastAsia="ru-RU" w:bidi="hi-IN"/>
        </w:rPr>
        <w:t xml:space="preserve">Флаг представляет собой прямоугольное полотнище, состоящее из четырёх разновеликих горизонтальных полос соответственно </w:t>
      </w:r>
      <w:hyperlink r:id="rId176" w:tooltip="Голубой цвет" w:history="1">
        <w:r w:rsidRPr="0047261E">
          <w:rPr>
            <w:rFonts w:eastAsia="MS ??" w:cs="Times New Roman"/>
            <w:kern w:val="3"/>
            <w:szCs w:val="24"/>
            <w:lang w:eastAsia="ru-RU" w:bidi="hi-IN"/>
          </w:rPr>
          <w:t>голубого</w:t>
        </w:r>
      </w:hyperlink>
      <w:r w:rsidRPr="0047261E">
        <w:rPr>
          <w:rFonts w:eastAsia="MS ??" w:cs="Times New Roman"/>
          <w:kern w:val="3"/>
          <w:szCs w:val="24"/>
          <w:lang w:eastAsia="ru-RU" w:bidi="hi-IN"/>
        </w:rPr>
        <w:t xml:space="preserve">, </w:t>
      </w:r>
      <w:hyperlink r:id="rId177" w:tooltip="Белый цвет" w:history="1">
        <w:r w:rsidRPr="0047261E">
          <w:rPr>
            <w:rFonts w:eastAsia="MS ??" w:cs="Times New Roman"/>
            <w:kern w:val="3"/>
            <w:szCs w:val="24"/>
            <w:lang w:eastAsia="ru-RU" w:bidi="hi-IN"/>
          </w:rPr>
          <w:t>белого</w:t>
        </w:r>
      </w:hyperlink>
      <w:r w:rsidRPr="0047261E">
        <w:rPr>
          <w:rFonts w:eastAsia="MS ??" w:cs="Times New Roman"/>
          <w:kern w:val="3"/>
          <w:szCs w:val="24"/>
          <w:lang w:eastAsia="ru-RU" w:bidi="hi-IN"/>
        </w:rPr>
        <w:t xml:space="preserve">, </w:t>
      </w:r>
      <w:hyperlink r:id="rId178" w:tooltip="Красный цвет" w:history="1">
        <w:r w:rsidRPr="0047261E">
          <w:rPr>
            <w:rFonts w:eastAsia="MS ??" w:cs="Times New Roman"/>
            <w:kern w:val="3"/>
            <w:szCs w:val="24"/>
            <w:lang w:eastAsia="ru-RU" w:bidi="hi-IN"/>
          </w:rPr>
          <w:t>красного</w:t>
        </w:r>
      </w:hyperlink>
      <w:r w:rsidRPr="0047261E">
        <w:rPr>
          <w:rFonts w:eastAsia="MS ??" w:cs="Times New Roman"/>
          <w:kern w:val="3"/>
          <w:szCs w:val="24"/>
          <w:lang w:eastAsia="ru-RU" w:bidi="hi-IN"/>
        </w:rPr>
        <w:t xml:space="preserve"> и </w:t>
      </w:r>
      <w:hyperlink r:id="rId179" w:tooltip="Зелёный цвет" w:history="1">
        <w:r w:rsidRPr="0047261E">
          <w:rPr>
            <w:rFonts w:eastAsia="MS ??" w:cs="Times New Roman"/>
            <w:kern w:val="3"/>
            <w:szCs w:val="24"/>
            <w:lang w:eastAsia="ru-RU" w:bidi="hi-IN"/>
          </w:rPr>
          <w:t>зелёного цветов</w:t>
        </w:r>
      </w:hyperlink>
      <w:r w:rsidRPr="0047261E">
        <w:rPr>
          <w:rFonts w:eastAsia="MS ??" w:cs="Times New Roman"/>
          <w:kern w:val="3"/>
          <w:szCs w:val="24"/>
          <w:lang w:eastAsia="ru-RU" w:bidi="hi-IN"/>
        </w:rPr>
        <w:t xml:space="preserve">. Соотношение ширины полос к ширине флага: голубой полосы — 3/4 ширины флага, белой полосы — 1/16 ширины флага, красной полосы — 1/16 ширины флага, зелёной полосы — 1/8 ширины флага. На середине голубой полосы расположен </w:t>
      </w:r>
      <w:hyperlink r:id="rId180" w:tooltip="Круг" w:history="1">
        <w:r w:rsidRPr="0047261E">
          <w:rPr>
            <w:rFonts w:eastAsia="MS ??" w:cs="Times New Roman"/>
            <w:kern w:val="3"/>
            <w:szCs w:val="24"/>
            <w:lang w:eastAsia="ru-RU" w:bidi="hi-IN"/>
          </w:rPr>
          <w:t>круг</w:t>
        </w:r>
      </w:hyperlink>
      <w:r w:rsidRPr="0047261E">
        <w:rPr>
          <w:rFonts w:eastAsia="MS ??" w:cs="Times New Roman"/>
          <w:kern w:val="3"/>
          <w:szCs w:val="24"/>
          <w:lang w:eastAsia="ru-RU" w:bidi="hi-IN"/>
        </w:rPr>
        <w:t xml:space="preserve"> белого цвета. </w:t>
      </w:r>
      <w:hyperlink r:id="rId181" w:tooltip="Диаметр" w:history="1">
        <w:r w:rsidRPr="0047261E">
          <w:rPr>
            <w:rFonts w:eastAsia="MS ??" w:cs="Times New Roman"/>
            <w:kern w:val="3"/>
            <w:szCs w:val="24"/>
            <w:lang w:eastAsia="ru-RU" w:bidi="hi-IN"/>
          </w:rPr>
          <w:t>Диаметр</w:t>
        </w:r>
      </w:hyperlink>
      <w:r w:rsidRPr="0047261E">
        <w:rPr>
          <w:rFonts w:eastAsia="MS ??" w:cs="Times New Roman"/>
          <w:kern w:val="3"/>
          <w:szCs w:val="24"/>
          <w:lang w:eastAsia="ru-RU" w:bidi="hi-IN"/>
        </w:rPr>
        <w:t xml:space="preserve"> круга составляет 2/5 ширины флага. Отношение ширины флага к его длине — 1:2».</w:t>
      </w:r>
    </w:p>
    <w:p w14:paraId="5014FC0A" w14:textId="77777777" w:rsidR="0047261E" w:rsidRPr="0047261E" w:rsidRDefault="0047261E" w:rsidP="0047261E">
      <w:pPr>
        <w:widowControl w:val="0"/>
        <w:suppressAutoHyphens/>
        <w:autoSpaceDN w:val="0"/>
        <w:ind w:firstLine="709"/>
        <w:textAlignment w:val="baseline"/>
        <w:rPr>
          <w:rFonts w:eastAsia="MS ??" w:cs="Times New Roman"/>
          <w:kern w:val="3"/>
          <w:szCs w:val="24"/>
          <w:lang w:eastAsia="ru-RU" w:bidi="hi-IN"/>
        </w:rPr>
      </w:pPr>
    </w:p>
    <w:p w14:paraId="5015FB46" w14:textId="77777777" w:rsidR="0047261E" w:rsidRPr="0047261E" w:rsidRDefault="0047261E" w:rsidP="0047261E">
      <w:pPr>
        <w:widowControl w:val="0"/>
        <w:suppressAutoHyphens/>
        <w:autoSpaceDN w:val="0"/>
        <w:ind w:firstLine="567"/>
        <w:textAlignment w:val="baseline"/>
        <w:rPr>
          <w:rFonts w:eastAsia="MS ??" w:cs="Times New Roman"/>
          <w:b/>
          <w:bCs/>
          <w:i/>
          <w:iCs/>
          <w:kern w:val="3"/>
          <w:szCs w:val="24"/>
          <w:lang w:eastAsia="ru-RU" w:bidi="hi-IN"/>
        </w:rPr>
      </w:pPr>
      <w:r w:rsidRPr="0047261E">
        <w:rPr>
          <w:rFonts w:eastAsia="MS ??" w:cs="Times New Roman"/>
          <w:b/>
          <w:bCs/>
          <w:i/>
          <w:iCs/>
          <w:kern w:val="3"/>
          <w:szCs w:val="24"/>
          <w:lang w:eastAsia="ru-RU" w:bidi="hi-IN"/>
        </w:rPr>
        <w:t>Краткая историческая справка </w:t>
      </w:r>
    </w:p>
    <w:p w14:paraId="76559EFE" w14:textId="51711E46" w:rsidR="0047261E" w:rsidRPr="0047261E" w:rsidRDefault="0047261E" w:rsidP="0047261E">
      <w:pPr>
        <w:widowControl w:val="0"/>
        <w:suppressAutoHyphens/>
        <w:autoSpaceDN w:val="0"/>
        <w:ind w:firstLine="709"/>
        <w:textAlignment w:val="baseline"/>
        <w:rPr>
          <w:rFonts w:eastAsia="MS ??" w:cs="Times New Roman"/>
          <w:kern w:val="3"/>
          <w:szCs w:val="24"/>
          <w:lang w:eastAsia="ru-RU" w:bidi="hi-IN"/>
        </w:rPr>
      </w:pPr>
      <w:r w:rsidRPr="0047261E">
        <w:rPr>
          <w:rFonts w:eastAsia="MS ??" w:cs="Times New Roman"/>
          <w:kern w:val="3"/>
          <w:szCs w:val="24"/>
          <w:lang w:eastAsia="ru-RU" w:bidi="hi-IN"/>
        </w:rPr>
        <w:t xml:space="preserve">Археологами установлено, что древний человек заселил Якутию уже в раннем </w:t>
      </w:r>
      <w:hyperlink r:id="rId182" w:tooltip="Палеолит" w:history="1">
        <w:r w:rsidRPr="0047261E">
          <w:rPr>
            <w:rFonts w:eastAsia="MS ??" w:cs="Times New Roman"/>
            <w:kern w:val="3"/>
            <w:szCs w:val="24"/>
            <w:lang w:eastAsia="ru-RU" w:bidi="hi-IN"/>
          </w:rPr>
          <w:t>палеолите</w:t>
        </w:r>
      </w:hyperlink>
      <w:r w:rsidRPr="0047261E">
        <w:rPr>
          <w:rFonts w:eastAsia="MS ??" w:cs="Times New Roman"/>
          <w:kern w:val="3"/>
          <w:szCs w:val="24"/>
          <w:lang w:eastAsia="ru-RU" w:bidi="hi-IN"/>
        </w:rPr>
        <w:t xml:space="preserve">. Тогда же появились первые археологические памятники, датируемые в рамках от 300 тысяч до 3 млн лет назад по максимальным оценкам. По более скромным оценкам возраст этих памятников — десятки тысяч лет. Наиболее известный и хорошо изученный из них, это </w:t>
      </w:r>
      <w:hyperlink r:id="rId183" w:tooltip="Дирингская культура" w:history="1">
        <w:r w:rsidRPr="0047261E">
          <w:rPr>
            <w:rFonts w:eastAsia="MS ??" w:cs="Times New Roman"/>
            <w:kern w:val="3"/>
            <w:szCs w:val="24"/>
            <w:lang w:eastAsia="ru-RU" w:bidi="hi-IN"/>
          </w:rPr>
          <w:t>нижнепалеолитическая стоянка Диринг-Юрях</w:t>
        </w:r>
      </w:hyperlink>
      <w:r w:rsidRPr="0047261E">
        <w:rPr>
          <w:rFonts w:eastAsia="MS ??" w:cs="Times New Roman"/>
          <w:kern w:val="3"/>
          <w:szCs w:val="24"/>
          <w:lang w:eastAsia="ru-RU" w:bidi="hi-IN"/>
        </w:rPr>
        <w:t xml:space="preserve">, которая расположена в среднем течении </w:t>
      </w:r>
      <w:hyperlink r:id="rId184" w:tooltip="Лена (река)" w:history="1">
        <w:r w:rsidRPr="0047261E">
          <w:rPr>
            <w:rFonts w:eastAsia="MS ??" w:cs="Times New Roman"/>
            <w:kern w:val="3"/>
            <w:szCs w:val="24"/>
            <w:lang w:eastAsia="ru-RU" w:bidi="hi-IN"/>
          </w:rPr>
          <w:t>реки Лены</w:t>
        </w:r>
      </w:hyperlink>
      <w:r w:rsidRPr="0047261E">
        <w:rPr>
          <w:rFonts w:eastAsia="MS ??" w:cs="Times New Roman"/>
          <w:kern w:val="3"/>
          <w:szCs w:val="24"/>
          <w:lang w:eastAsia="ru-RU" w:bidi="hi-IN"/>
        </w:rPr>
        <w:t xml:space="preserve">. Начиная с середины I тысячелетия н. э. на территории Якутии появились предки </w:t>
      </w:r>
      <w:hyperlink r:id="rId185" w:tooltip="Эвены" w:history="1">
        <w:r w:rsidRPr="0047261E">
          <w:rPr>
            <w:rFonts w:eastAsia="MS ??" w:cs="Times New Roman"/>
            <w:kern w:val="3"/>
            <w:szCs w:val="24"/>
            <w:lang w:eastAsia="ru-RU" w:bidi="hi-IN"/>
          </w:rPr>
          <w:t>эвенов</w:t>
        </w:r>
      </w:hyperlink>
      <w:r w:rsidRPr="0047261E">
        <w:rPr>
          <w:rFonts w:eastAsia="MS ??" w:cs="Times New Roman"/>
          <w:kern w:val="3"/>
          <w:szCs w:val="24"/>
          <w:lang w:eastAsia="ru-RU" w:bidi="hi-IN"/>
        </w:rPr>
        <w:t xml:space="preserve"> и </w:t>
      </w:r>
      <w:hyperlink r:id="rId186" w:tooltip="Эвенки" w:history="1">
        <w:r w:rsidRPr="0047261E">
          <w:rPr>
            <w:rFonts w:eastAsia="MS ??" w:cs="Times New Roman"/>
            <w:kern w:val="3"/>
            <w:szCs w:val="24"/>
            <w:lang w:eastAsia="ru-RU" w:bidi="hi-IN"/>
          </w:rPr>
          <w:t>эвенков</w:t>
        </w:r>
      </w:hyperlink>
      <w:r w:rsidRPr="0047261E">
        <w:rPr>
          <w:rFonts w:eastAsia="MS ??" w:cs="Times New Roman"/>
          <w:kern w:val="3"/>
          <w:szCs w:val="24"/>
          <w:lang w:eastAsia="ru-RU" w:bidi="hi-IN"/>
        </w:rPr>
        <w:t xml:space="preserve">. К </w:t>
      </w:r>
      <w:hyperlink r:id="rId187" w:tooltip="XIII" w:history="1">
        <w:r w:rsidRPr="0047261E">
          <w:rPr>
            <w:rFonts w:eastAsia="MS ??" w:cs="Times New Roman"/>
            <w:kern w:val="3"/>
            <w:szCs w:val="24"/>
            <w:lang w:eastAsia="ru-RU" w:bidi="hi-IN"/>
          </w:rPr>
          <w:t>XIII</w:t>
        </w:r>
      </w:hyperlink>
      <w:r w:rsidRPr="0047261E">
        <w:rPr>
          <w:rFonts w:eastAsia="MS ??" w:cs="Times New Roman"/>
          <w:kern w:val="3"/>
          <w:szCs w:val="24"/>
          <w:lang w:eastAsia="ru-RU" w:bidi="hi-IN"/>
        </w:rPr>
        <w:t xml:space="preserve"> в. тунгусские племена расселились на Средней Лене, </w:t>
      </w:r>
      <w:hyperlink r:id="rId188" w:tooltip="Вилюй" w:history="1">
        <w:r w:rsidRPr="0047261E">
          <w:rPr>
            <w:rFonts w:eastAsia="MS ??" w:cs="Times New Roman"/>
            <w:kern w:val="3"/>
            <w:szCs w:val="24"/>
            <w:lang w:eastAsia="ru-RU" w:bidi="hi-IN"/>
          </w:rPr>
          <w:t>Вилюе</w:t>
        </w:r>
      </w:hyperlink>
      <w:r w:rsidRPr="0047261E">
        <w:rPr>
          <w:rFonts w:eastAsia="MS ??" w:cs="Times New Roman"/>
          <w:kern w:val="3"/>
          <w:szCs w:val="24"/>
          <w:lang w:eastAsia="ru-RU" w:bidi="hi-IN"/>
        </w:rPr>
        <w:t xml:space="preserve">, </w:t>
      </w:r>
      <w:hyperlink r:id="rId189" w:tooltip="Олёкма" w:history="1">
        <w:r w:rsidRPr="0047261E">
          <w:rPr>
            <w:rFonts w:eastAsia="MS ??" w:cs="Times New Roman"/>
            <w:kern w:val="3"/>
            <w:szCs w:val="24"/>
            <w:lang w:eastAsia="ru-RU" w:bidi="hi-IN"/>
          </w:rPr>
          <w:t>Олёкме</w:t>
        </w:r>
      </w:hyperlink>
      <w:r w:rsidRPr="0047261E">
        <w:rPr>
          <w:rFonts w:eastAsia="MS ??" w:cs="Times New Roman"/>
          <w:kern w:val="3"/>
          <w:szCs w:val="24"/>
          <w:lang w:eastAsia="ru-RU" w:bidi="hi-IN"/>
        </w:rPr>
        <w:t xml:space="preserve">. Приход предков </w:t>
      </w:r>
      <w:hyperlink r:id="rId190" w:tooltip="Якуты" w:history="1">
        <w:r w:rsidRPr="0047261E">
          <w:rPr>
            <w:rFonts w:eastAsia="MS ??" w:cs="Times New Roman"/>
            <w:kern w:val="3"/>
            <w:szCs w:val="24"/>
            <w:lang w:eastAsia="ru-RU" w:bidi="hi-IN"/>
          </w:rPr>
          <w:t>якутов</w:t>
        </w:r>
      </w:hyperlink>
      <w:r w:rsidRPr="0047261E">
        <w:rPr>
          <w:rFonts w:eastAsia="MS ??" w:cs="Times New Roman"/>
          <w:kern w:val="3"/>
          <w:szCs w:val="24"/>
          <w:lang w:eastAsia="ru-RU" w:bidi="hi-IN"/>
        </w:rPr>
        <w:t xml:space="preserve"> в Ленский край заставил их отойти к западу и востоку от Лены. Предполагается, что тюркоязычные племена переселялись на территорию современной Якутии несколькими волнами, последняя из которых приходится на </w:t>
      </w:r>
      <w:hyperlink r:id="rId191" w:tooltip="XIV" w:history="1">
        <w:r w:rsidRPr="0047261E">
          <w:rPr>
            <w:rFonts w:eastAsia="MS ??" w:cs="Times New Roman"/>
            <w:kern w:val="3"/>
            <w:szCs w:val="24"/>
            <w:lang w:eastAsia="ru-RU" w:bidi="hi-IN"/>
          </w:rPr>
          <w:t>XIV</w:t>
        </w:r>
      </w:hyperlink>
      <w:r w:rsidRPr="0047261E">
        <w:rPr>
          <w:rFonts w:eastAsia="MS ??" w:cs="Times New Roman"/>
          <w:kern w:val="3"/>
          <w:szCs w:val="24"/>
          <w:lang w:eastAsia="ru-RU" w:bidi="hi-IN"/>
        </w:rPr>
        <w:t>—</w:t>
      </w:r>
      <w:hyperlink r:id="rId192" w:tooltip="XV век" w:history="1">
        <w:r w:rsidRPr="0047261E">
          <w:rPr>
            <w:rFonts w:eastAsia="MS ??" w:cs="Times New Roman"/>
            <w:kern w:val="3"/>
            <w:szCs w:val="24"/>
            <w:lang w:eastAsia="ru-RU" w:bidi="hi-IN"/>
          </w:rPr>
          <w:t>XV века</w:t>
        </w:r>
      </w:hyperlink>
      <w:r w:rsidRPr="0047261E">
        <w:rPr>
          <w:rFonts w:eastAsia="MS ??" w:cs="Times New Roman"/>
          <w:kern w:val="3"/>
          <w:szCs w:val="24"/>
          <w:lang w:eastAsia="ru-RU" w:bidi="hi-IN"/>
        </w:rPr>
        <w:t xml:space="preserve">. </w:t>
      </w:r>
      <w:hyperlink r:id="rId193" w:tooltip="Якуты" w:history="1">
        <w:r w:rsidRPr="0047261E">
          <w:rPr>
            <w:rFonts w:eastAsia="MS ??" w:cs="Times New Roman"/>
            <w:kern w:val="3"/>
            <w:szCs w:val="24"/>
            <w:lang w:eastAsia="ru-RU" w:bidi="hi-IN"/>
          </w:rPr>
          <w:t>Якуты</w:t>
        </w:r>
      </w:hyperlink>
      <w:r w:rsidRPr="0047261E">
        <w:rPr>
          <w:rFonts w:eastAsia="MS ??" w:cs="Times New Roman"/>
          <w:kern w:val="3"/>
          <w:szCs w:val="24"/>
          <w:lang w:eastAsia="ru-RU" w:bidi="hi-IN"/>
        </w:rPr>
        <w:t xml:space="preserve"> как народность сформировались в бассейне Средней Лены. Здесь произошло окончательное формирование народа на основе смешения пришлых тюркоязычных племен с местными палеоазиатскими родами, а также с пришлыми монголоязычными хоринцами и тунгусами. Распространение </w:t>
      </w:r>
      <w:hyperlink r:id="rId194" w:tooltip="Скотоводство" w:history="1">
        <w:r w:rsidRPr="0047261E">
          <w:rPr>
            <w:rFonts w:eastAsia="MS ??" w:cs="Times New Roman"/>
            <w:kern w:val="3"/>
            <w:szCs w:val="24"/>
            <w:lang w:eastAsia="ru-RU" w:bidi="hi-IN"/>
          </w:rPr>
          <w:t>скотоводства</w:t>
        </w:r>
      </w:hyperlink>
      <w:r w:rsidRPr="0047261E">
        <w:rPr>
          <w:rFonts w:eastAsia="MS ??" w:cs="Times New Roman"/>
          <w:kern w:val="3"/>
          <w:szCs w:val="24"/>
          <w:lang w:eastAsia="ru-RU" w:bidi="hi-IN"/>
        </w:rPr>
        <w:t xml:space="preserve"> внесло значительные изменения в хозяйственную жизнь региона. Предки якутов привнесли в регион ремесленное производство (кузнечное, ювелирное, гончарное и др.), строительство жилищ постоянного типа. Уже к началу </w:t>
      </w:r>
      <w:hyperlink r:id="rId195" w:tooltip="XVII век" w:history="1">
        <w:r w:rsidRPr="0047261E">
          <w:rPr>
            <w:rFonts w:eastAsia="MS ??" w:cs="Times New Roman"/>
            <w:kern w:val="3"/>
            <w:szCs w:val="24"/>
            <w:lang w:eastAsia="ru-RU" w:bidi="hi-IN"/>
          </w:rPr>
          <w:t>XVII века</w:t>
        </w:r>
      </w:hyperlink>
      <w:r w:rsidRPr="0047261E">
        <w:rPr>
          <w:rFonts w:eastAsia="MS ??" w:cs="Times New Roman"/>
          <w:kern w:val="3"/>
          <w:szCs w:val="24"/>
          <w:lang w:eastAsia="ru-RU" w:bidi="hi-IN"/>
        </w:rPr>
        <w:t xml:space="preserve"> якутские роды жили в бассейнах </w:t>
      </w:r>
      <w:hyperlink r:id="rId196" w:tooltip="Индигирка" w:history="1">
        <w:r w:rsidRPr="0047261E">
          <w:rPr>
            <w:rFonts w:eastAsia="MS ??" w:cs="Times New Roman"/>
            <w:kern w:val="3"/>
            <w:szCs w:val="24"/>
            <w:lang w:eastAsia="ru-RU" w:bidi="hi-IN"/>
          </w:rPr>
          <w:t>Индигирки</w:t>
        </w:r>
      </w:hyperlink>
      <w:r w:rsidRPr="0047261E">
        <w:rPr>
          <w:rFonts w:eastAsia="MS ??" w:cs="Times New Roman"/>
          <w:kern w:val="3"/>
          <w:szCs w:val="24"/>
          <w:lang w:eastAsia="ru-RU" w:bidi="hi-IN"/>
        </w:rPr>
        <w:t xml:space="preserve"> и </w:t>
      </w:r>
      <w:hyperlink r:id="rId197" w:tooltip="Яна (река)" w:history="1">
        <w:r w:rsidRPr="0047261E">
          <w:rPr>
            <w:rFonts w:eastAsia="MS ??" w:cs="Times New Roman"/>
            <w:kern w:val="3"/>
            <w:szCs w:val="24"/>
            <w:lang w:eastAsia="ru-RU" w:bidi="hi-IN"/>
          </w:rPr>
          <w:t>Яны</w:t>
        </w:r>
      </w:hyperlink>
      <w:r w:rsidRPr="0047261E">
        <w:rPr>
          <w:rFonts w:eastAsia="MS ??" w:cs="Times New Roman"/>
          <w:kern w:val="3"/>
          <w:szCs w:val="24"/>
          <w:lang w:eastAsia="ru-RU" w:bidi="hi-IN"/>
        </w:rPr>
        <w:t>, продвинув в арктические районы Якутии культуру разведения крупного рогатого скота и табунного коневодства.</w:t>
      </w:r>
    </w:p>
    <w:p w14:paraId="4DC16C0F" w14:textId="19FB559B" w:rsidR="0047261E" w:rsidRPr="0047261E" w:rsidRDefault="0047261E" w:rsidP="0047261E">
      <w:pPr>
        <w:widowControl w:val="0"/>
        <w:suppressAutoHyphens/>
        <w:autoSpaceDN w:val="0"/>
        <w:ind w:firstLine="709"/>
        <w:textAlignment w:val="baseline"/>
        <w:rPr>
          <w:rFonts w:eastAsia="MS ??" w:cs="Times New Roman"/>
          <w:kern w:val="3"/>
          <w:szCs w:val="24"/>
          <w:lang w:eastAsia="ru-RU" w:bidi="hi-IN"/>
        </w:rPr>
      </w:pPr>
      <w:r w:rsidRPr="0047261E">
        <w:rPr>
          <w:rFonts w:eastAsia="MS ??" w:cs="Times New Roman"/>
          <w:kern w:val="3"/>
          <w:szCs w:val="24"/>
          <w:lang w:eastAsia="ru-RU" w:bidi="hi-IN"/>
        </w:rPr>
        <w:t xml:space="preserve">В первой четверти </w:t>
      </w:r>
      <w:hyperlink r:id="rId198" w:tooltip="XVII век" w:history="1">
        <w:r w:rsidRPr="0047261E">
          <w:rPr>
            <w:rFonts w:eastAsia="MS ??" w:cs="Times New Roman"/>
            <w:kern w:val="3"/>
            <w:szCs w:val="24"/>
            <w:lang w:eastAsia="ru-RU" w:bidi="hi-IN"/>
          </w:rPr>
          <w:t>XVII века</w:t>
        </w:r>
      </w:hyperlink>
      <w:r w:rsidRPr="0047261E">
        <w:rPr>
          <w:rFonts w:eastAsia="MS ??" w:cs="Times New Roman"/>
          <w:kern w:val="3"/>
          <w:szCs w:val="24"/>
          <w:lang w:eastAsia="ru-RU" w:bidi="hi-IN"/>
        </w:rPr>
        <w:t xml:space="preserve"> </w:t>
      </w:r>
      <w:hyperlink r:id="rId199" w:tooltip="Казаки" w:history="1">
        <w:r w:rsidRPr="0047261E">
          <w:rPr>
            <w:rFonts w:eastAsia="MS ??" w:cs="Times New Roman"/>
            <w:kern w:val="3"/>
            <w:szCs w:val="24"/>
            <w:lang w:eastAsia="ru-RU" w:bidi="hi-IN"/>
          </w:rPr>
          <w:t>казаки</w:t>
        </w:r>
      </w:hyperlink>
      <w:r w:rsidRPr="0047261E">
        <w:rPr>
          <w:rFonts w:eastAsia="MS ??" w:cs="Times New Roman"/>
          <w:kern w:val="3"/>
          <w:szCs w:val="24"/>
          <w:lang w:eastAsia="ru-RU" w:bidi="hi-IN"/>
        </w:rPr>
        <w:t xml:space="preserve">-землепроходцы достигли берегов реки Лены. Основанные русскими зимовья и остроги: </w:t>
      </w:r>
      <w:hyperlink r:id="rId200" w:tooltip="Якутск" w:history="1">
        <w:r w:rsidRPr="0047261E">
          <w:rPr>
            <w:rFonts w:eastAsia="MS ??" w:cs="Times New Roman"/>
            <w:kern w:val="3"/>
            <w:szCs w:val="24"/>
            <w:lang w:eastAsia="ru-RU" w:bidi="hi-IN"/>
          </w:rPr>
          <w:t>Якутск</w:t>
        </w:r>
      </w:hyperlink>
      <w:r w:rsidRPr="0047261E">
        <w:rPr>
          <w:rFonts w:eastAsia="MS ??" w:cs="Times New Roman"/>
          <w:kern w:val="3"/>
          <w:szCs w:val="24"/>
          <w:lang w:eastAsia="ru-RU" w:bidi="hi-IN"/>
        </w:rPr>
        <w:t xml:space="preserve">, </w:t>
      </w:r>
      <w:hyperlink r:id="rId201" w:tooltip="Жиганск" w:history="1">
        <w:r w:rsidRPr="0047261E">
          <w:rPr>
            <w:rFonts w:eastAsia="MS ??" w:cs="Times New Roman"/>
            <w:kern w:val="3"/>
            <w:szCs w:val="24"/>
            <w:lang w:eastAsia="ru-RU" w:bidi="hi-IN"/>
          </w:rPr>
          <w:t>Жиганск</w:t>
        </w:r>
      </w:hyperlink>
      <w:r w:rsidRPr="0047261E">
        <w:rPr>
          <w:rFonts w:eastAsia="MS ??" w:cs="Times New Roman"/>
          <w:kern w:val="3"/>
          <w:szCs w:val="24"/>
          <w:lang w:eastAsia="ru-RU" w:bidi="hi-IN"/>
        </w:rPr>
        <w:t xml:space="preserve">, </w:t>
      </w:r>
      <w:hyperlink r:id="rId202" w:tooltip="Верхоянск" w:history="1">
        <w:r w:rsidRPr="0047261E">
          <w:rPr>
            <w:rFonts w:eastAsia="MS ??" w:cs="Times New Roman"/>
            <w:kern w:val="3"/>
            <w:szCs w:val="24"/>
            <w:lang w:eastAsia="ru-RU" w:bidi="hi-IN"/>
          </w:rPr>
          <w:t>Верхоянск</w:t>
        </w:r>
      </w:hyperlink>
      <w:r w:rsidRPr="0047261E">
        <w:rPr>
          <w:rFonts w:eastAsia="MS ??" w:cs="Times New Roman"/>
          <w:kern w:val="3"/>
          <w:szCs w:val="24"/>
          <w:lang w:eastAsia="ru-RU" w:bidi="hi-IN"/>
        </w:rPr>
        <w:t xml:space="preserve">, </w:t>
      </w:r>
      <w:hyperlink r:id="rId203" w:tooltip="Зашиверск" w:history="1">
        <w:r w:rsidRPr="0047261E">
          <w:rPr>
            <w:rFonts w:eastAsia="MS ??" w:cs="Times New Roman"/>
            <w:kern w:val="3"/>
            <w:szCs w:val="24"/>
            <w:lang w:eastAsia="ru-RU" w:bidi="hi-IN"/>
          </w:rPr>
          <w:t>Зашиверск</w:t>
        </w:r>
      </w:hyperlink>
      <w:r w:rsidRPr="0047261E">
        <w:rPr>
          <w:rFonts w:eastAsia="MS ??" w:cs="Times New Roman"/>
          <w:kern w:val="3"/>
          <w:szCs w:val="24"/>
          <w:lang w:eastAsia="ru-RU" w:bidi="hi-IN"/>
        </w:rPr>
        <w:t xml:space="preserve">, </w:t>
      </w:r>
      <w:hyperlink r:id="rId204" w:tooltip="Среднеколымск" w:history="1">
        <w:r w:rsidRPr="0047261E">
          <w:rPr>
            <w:rFonts w:eastAsia="MS ??" w:cs="Times New Roman"/>
            <w:kern w:val="3"/>
            <w:szCs w:val="24"/>
            <w:lang w:eastAsia="ru-RU" w:bidi="hi-IN"/>
          </w:rPr>
          <w:t>Среднеколымск</w:t>
        </w:r>
      </w:hyperlink>
      <w:r w:rsidRPr="0047261E">
        <w:rPr>
          <w:rFonts w:eastAsia="MS ??" w:cs="Times New Roman"/>
          <w:kern w:val="3"/>
          <w:szCs w:val="24"/>
          <w:lang w:eastAsia="ru-RU" w:bidi="hi-IN"/>
        </w:rPr>
        <w:t xml:space="preserve"> и др. стали форпостами продвижения русских на северо-восток </w:t>
      </w:r>
      <w:hyperlink r:id="rId205" w:tooltip="Азия" w:history="1">
        <w:r w:rsidRPr="0047261E">
          <w:rPr>
            <w:rFonts w:eastAsia="MS ??" w:cs="Times New Roman"/>
            <w:kern w:val="3"/>
            <w:szCs w:val="24"/>
            <w:lang w:eastAsia="ru-RU" w:bidi="hi-IN"/>
          </w:rPr>
          <w:t>Азии</w:t>
        </w:r>
      </w:hyperlink>
      <w:r w:rsidRPr="0047261E">
        <w:rPr>
          <w:rFonts w:eastAsia="MS ??" w:cs="Times New Roman"/>
          <w:kern w:val="3"/>
          <w:szCs w:val="24"/>
          <w:lang w:eastAsia="ru-RU" w:bidi="hi-IN"/>
        </w:rPr>
        <w:t xml:space="preserve"> и далее на северо-запад </w:t>
      </w:r>
      <w:hyperlink r:id="rId206" w:tooltip="Северная Америка" w:history="1">
        <w:r w:rsidRPr="0047261E">
          <w:rPr>
            <w:rFonts w:eastAsia="MS ??" w:cs="Times New Roman"/>
            <w:kern w:val="3"/>
            <w:szCs w:val="24"/>
            <w:lang w:eastAsia="ru-RU" w:bidi="hi-IN"/>
          </w:rPr>
          <w:t>Америки</w:t>
        </w:r>
      </w:hyperlink>
      <w:r w:rsidRPr="0047261E">
        <w:rPr>
          <w:rFonts w:eastAsia="MS ??" w:cs="Times New Roman"/>
          <w:kern w:val="3"/>
          <w:szCs w:val="24"/>
          <w:lang w:eastAsia="ru-RU" w:bidi="hi-IN"/>
        </w:rPr>
        <w:t xml:space="preserve">. В </w:t>
      </w:r>
      <w:hyperlink r:id="rId207" w:tooltip="1632 год" w:history="1">
        <w:r w:rsidRPr="0047261E">
          <w:rPr>
            <w:rFonts w:eastAsia="MS ??" w:cs="Times New Roman"/>
            <w:kern w:val="3"/>
            <w:szCs w:val="24"/>
            <w:lang w:eastAsia="ru-RU" w:bidi="hi-IN"/>
          </w:rPr>
          <w:t>1632 году</w:t>
        </w:r>
      </w:hyperlink>
      <w:r w:rsidRPr="0047261E">
        <w:rPr>
          <w:rFonts w:eastAsia="MS ??" w:cs="Times New Roman"/>
          <w:kern w:val="3"/>
          <w:szCs w:val="24"/>
          <w:lang w:eastAsia="ru-RU" w:bidi="hi-IN"/>
        </w:rPr>
        <w:t xml:space="preserve"> на правом берегу Лены был заложен Якутский острог, положивший начало будущему городу Якутску. Острог заложил Петр Бекетов. Эта дата считается датой вхождения Якутии в состав Российского государства. В </w:t>
      </w:r>
      <w:hyperlink r:id="rId208" w:tooltip="1638 год" w:history="1">
        <w:r w:rsidRPr="0047261E">
          <w:rPr>
            <w:rFonts w:eastAsia="MS ??" w:cs="Times New Roman"/>
            <w:kern w:val="3"/>
            <w:szCs w:val="24"/>
            <w:lang w:eastAsia="ru-RU" w:bidi="hi-IN"/>
          </w:rPr>
          <w:t>1638 году</w:t>
        </w:r>
      </w:hyperlink>
      <w:r w:rsidRPr="0047261E">
        <w:rPr>
          <w:rFonts w:eastAsia="MS ??" w:cs="Times New Roman"/>
          <w:kern w:val="3"/>
          <w:szCs w:val="24"/>
          <w:lang w:eastAsia="ru-RU" w:bidi="hi-IN"/>
        </w:rPr>
        <w:t xml:space="preserve"> был образован </w:t>
      </w:r>
      <w:hyperlink r:id="rId209" w:tooltip="Якутский уезд" w:history="1">
        <w:r w:rsidRPr="0047261E">
          <w:rPr>
            <w:rFonts w:eastAsia="MS ??" w:cs="Times New Roman"/>
            <w:kern w:val="3"/>
            <w:szCs w:val="24"/>
            <w:lang w:eastAsia="ru-RU" w:bidi="hi-IN"/>
          </w:rPr>
          <w:t>Якутский уезд</w:t>
        </w:r>
      </w:hyperlink>
      <w:r w:rsidRPr="0047261E">
        <w:rPr>
          <w:rFonts w:eastAsia="MS ??" w:cs="Times New Roman"/>
          <w:kern w:val="3"/>
          <w:szCs w:val="24"/>
          <w:lang w:eastAsia="ru-RU" w:bidi="hi-IN"/>
        </w:rPr>
        <w:t>, позднее преобразованный в Якутскую провинцию (</w:t>
      </w:r>
      <w:hyperlink r:id="rId210" w:tooltip="1775 год" w:history="1">
        <w:r w:rsidRPr="0047261E">
          <w:rPr>
            <w:rFonts w:eastAsia="MS ??" w:cs="Times New Roman"/>
            <w:kern w:val="3"/>
            <w:szCs w:val="24"/>
            <w:lang w:eastAsia="ru-RU" w:bidi="hi-IN"/>
          </w:rPr>
          <w:t>1775 год</w:t>
        </w:r>
      </w:hyperlink>
      <w:r w:rsidRPr="0047261E">
        <w:rPr>
          <w:rFonts w:eastAsia="MS ??" w:cs="Times New Roman"/>
          <w:kern w:val="3"/>
          <w:szCs w:val="24"/>
          <w:lang w:eastAsia="ru-RU" w:bidi="hi-IN"/>
        </w:rPr>
        <w:t xml:space="preserve">) и </w:t>
      </w:r>
      <w:hyperlink r:id="rId211" w:tooltip="Якутская область" w:history="1">
        <w:r w:rsidRPr="0047261E">
          <w:rPr>
            <w:rFonts w:eastAsia="MS ??" w:cs="Times New Roman"/>
            <w:kern w:val="3"/>
            <w:szCs w:val="24"/>
            <w:lang w:eastAsia="ru-RU" w:bidi="hi-IN"/>
          </w:rPr>
          <w:t>Якутскую область</w:t>
        </w:r>
      </w:hyperlink>
      <w:r w:rsidRPr="0047261E">
        <w:rPr>
          <w:rFonts w:eastAsia="MS ??" w:cs="Times New Roman"/>
          <w:kern w:val="3"/>
          <w:szCs w:val="24"/>
          <w:lang w:eastAsia="ru-RU" w:bidi="hi-IN"/>
        </w:rPr>
        <w:t xml:space="preserve"> (</w:t>
      </w:r>
      <w:hyperlink r:id="rId212" w:tooltip="1784 год" w:history="1">
        <w:r w:rsidRPr="0047261E">
          <w:rPr>
            <w:rFonts w:eastAsia="MS ??" w:cs="Times New Roman"/>
            <w:kern w:val="3"/>
            <w:szCs w:val="24"/>
            <w:lang w:eastAsia="ru-RU" w:bidi="hi-IN"/>
          </w:rPr>
          <w:t>1784 год</w:t>
        </w:r>
      </w:hyperlink>
      <w:r w:rsidRPr="0047261E">
        <w:rPr>
          <w:rFonts w:eastAsia="MS ??" w:cs="Times New Roman"/>
          <w:kern w:val="3"/>
          <w:szCs w:val="24"/>
          <w:lang w:eastAsia="ru-RU" w:bidi="hi-IN"/>
        </w:rPr>
        <w:t xml:space="preserve">) </w:t>
      </w:r>
      <w:hyperlink r:id="rId213" w:tooltip="Восточно-Сибирское генерал-губернаторство" w:history="1">
        <w:r w:rsidRPr="0047261E">
          <w:rPr>
            <w:rFonts w:eastAsia="MS ??" w:cs="Times New Roman"/>
            <w:kern w:val="3"/>
            <w:szCs w:val="24"/>
            <w:lang w:eastAsia="ru-RU" w:bidi="hi-IN"/>
          </w:rPr>
          <w:t>Восточно-Сибирского генерал-губернаторства</w:t>
        </w:r>
      </w:hyperlink>
      <w:r w:rsidRPr="0047261E">
        <w:rPr>
          <w:rFonts w:eastAsia="MS ??" w:cs="Times New Roman"/>
          <w:kern w:val="3"/>
          <w:szCs w:val="24"/>
          <w:lang w:eastAsia="ru-RU" w:bidi="hi-IN"/>
        </w:rPr>
        <w:t xml:space="preserve">. В </w:t>
      </w:r>
      <w:hyperlink r:id="rId214" w:tooltip="XVIII век" w:history="1">
        <w:r w:rsidRPr="0047261E">
          <w:rPr>
            <w:rFonts w:eastAsia="MS ??" w:cs="Times New Roman"/>
            <w:kern w:val="3"/>
            <w:szCs w:val="24"/>
            <w:lang w:eastAsia="ru-RU" w:bidi="hi-IN"/>
          </w:rPr>
          <w:t>XVIII веке</w:t>
        </w:r>
      </w:hyperlink>
      <w:r w:rsidRPr="0047261E">
        <w:rPr>
          <w:rFonts w:eastAsia="MS ??" w:cs="Times New Roman"/>
          <w:kern w:val="3"/>
          <w:szCs w:val="24"/>
          <w:lang w:eastAsia="ru-RU" w:bidi="hi-IN"/>
        </w:rPr>
        <w:t xml:space="preserve"> произошла массовая </w:t>
      </w:r>
      <w:hyperlink r:id="rId215" w:tooltip="Христианство" w:history="1">
        <w:r w:rsidRPr="0047261E">
          <w:rPr>
            <w:rFonts w:eastAsia="MS ??" w:cs="Times New Roman"/>
            <w:kern w:val="3"/>
            <w:szCs w:val="24"/>
            <w:lang w:eastAsia="ru-RU" w:bidi="hi-IN"/>
          </w:rPr>
          <w:t>христианизация</w:t>
        </w:r>
      </w:hyperlink>
      <w:r w:rsidRPr="0047261E">
        <w:rPr>
          <w:rFonts w:eastAsia="MS ??" w:cs="Times New Roman"/>
          <w:kern w:val="3"/>
          <w:szCs w:val="24"/>
          <w:lang w:eastAsia="ru-RU" w:bidi="hi-IN"/>
        </w:rPr>
        <w:t xml:space="preserve"> коренных жителей края. С деятельностью православного духовенства связаны развитие народного образования и просвещения народов Якутии, появление литературы на национальных языках, углубление процессов межэтнических взаимодействий. Отдельной страницей в истории Якутии является </w:t>
      </w:r>
      <w:hyperlink r:id="rId216" w:tooltip="Ссылка (наказание)" w:history="1">
        <w:r w:rsidRPr="0047261E">
          <w:rPr>
            <w:rFonts w:eastAsia="MS ??" w:cs="Times New Roman"/>
            <w:kern w:val="3"/>
            <w:szCs w:val="24"/>
            <w:lang w:eastAsia="ru-RU" w:bidi="hi-IN"/>
          </w:rPr>
          <w:t>ссылка</w:t>
        </w:r>
      </w:hyperlink>
      <w:r w:rsidRPr="0047261E">
        <w:rPr>
          <w:rFonts w:eastAsia="MS ??" w:cs="Times New Roman"/>
          <w:kern w:val="3"/>
          <w:szCs w:val="24"/>
          <w:lang w:eastAsia="ru-RU" w:bidi="hi-IN"/>
        </w:rPr>
        <w:t xml:space="preserve">. Ссылка началась ещё с </w:t>
      </w:r>
      <w:hyperlink r:id="rId217" w:tooltip="1640-е" w:history="1">
        <w:r w:rsidRPr="0047261E">
          <w:rPr>
            <w:rFonts w:eastAsia="MS ??" w:cs="Times New Roman"/>
            <w:kern w:val="3"/>
            <w:szCs w:val="24"/>
            <w:lang w:eastAsia="ru-RU" w:bidi="hi-IN"/>
          </w:rPr>
          <w:t>1640-х</w:t>
        </w:r>
      </w:hyperlink>
      <w:r w:rsidRPr="0047261E">
        <w:rPr>
          <w:rFonts w:eastAsia="MS ??" w:cs="Times New Roman"/>
          <w:kern w:val="3"/>
          <w:szCs w:val="24"/>
          <w:lang w:eastAsia="ru-RU" w:bidi="hi-IN"/>
        </w:rPr>
        <w:t xml:space="preserve"> годов. Начиная с </w:t>
      </w:r>
      <w:hyperlink r:id="rId218" w:tooltip="XIX век" w:history="1">
        <w:r w:rsidRPr="0047261E">
          <w:rPr>
            <w:rFonts w:eastAsia="MS ??" w:cs="Times New Roman"/>
            <w:kern w:val="3"/>
            <w:szCs w:val="24"/>
            <w:lang w:eastAsia="ru-RU" w:bidi="hi-IN"/>
          </w:rPr>
          <w:t>XIX века</w:t>
        </w:r>
      </w:hyperlink>
      <w:r w:rsidRPr="0047261E">
        <w:rPr>
          <w:rFonts w:eastAsia="MS ??" w:cs="Times New Roman"/>
          <w:kern w:val="3"/>
          <w:szCs w:val="24"/>
          <w:lang w:eastAsia="ru-RU" w:bidi="hi-IN"/>
        </w:rPr>
        <w:t xml:space="preserve"> якутская ссылка по большей части становится политической. В ссылке в Якутии побывали </w:t>
      </w:r>
      <w:hyperlink r:id="rId219" w:tooltip="Декабристы" w:history="1">
        <w:r w:rsidRPr="0047261E">
          <w:rPr>
            <w:rFonts w:eastAsia="MS ??" w:cs="Times New Roman"/>
            <w:kern w:val="3"/>
            <w:szCs w:val="24"/>
            <w:lang w:eastAsia="ru-RU" w:bidi="hi-IN"/>
          </w:rPr>
          <w:t>декабристы</w:t>
        </w:r>
      </w:hyperlink>
      <w:r w:rsidRPr="0047261E">
        <w:rPr>
          <w:rFonts w:eastAsia="MS ??" w:cs="Times New Roman"/>
          <w:kern w:val="3"/>
          <w:szCs w:val="24"/>
          <w:lang w:eastAsia="ru-RU" w:bidi="hi-IN"/>
        </w:rPr>
        <w:t xml:space="preserve">, участники </w:t>
      </w:r>
      <w:hyperlink r:id="rId220" w:tooltip="Польское восстание 1863 года" w:history="1">
        <w:r w:rsidRPr="0047261E">
          <w:rPr>
            <w:rFonts w:eastAsia="MS ??" w:cs="Times New Roman"/>
            <w:kern w:val="3"/>
            <w:szCs w:val="24"/>
            <w:lang w:eastAsia="ru-RU" w:bidi="hi-IN"/>
          </w:rPr>
          <w:t>польского восстания 1863 года</w:t>
        </w:r>
      </w:hyperlink>
      <w:r w:rsidRPr="0047261E">
        <w:rPr>
          <w:rFonts w:eastAsia="MS ??" w:cs="Times New Roman"/>
          <w:kern w:val="3"/>
          <w:szCs w:val="24"/>
          <w:lang w:eastAsia="ru-RU" w:bidi="hi-IN"/>
        </w:rPr>
        <w:t xml:space="preserve">, </w:t>
      </w:r>
      <w:hyperlink r:id="rId221" w:tooltip="Народники" w:history="1">
        <w:r w:rsidRPr="0047261E">
          <w:rPr>
            <w:rFonts w:eastAsia="MS ??" w:cs="Times New Roman"/>
            <w:kern w:val="3"/>
            <w:szCs w:val="24"/>
            <w:lang w:eastAsia="ru-RU" w:bidi="hi-IN"/>
          </w:rPr>
          <w:t>народники</w:t>
        </w:r>
      </w:hyperlink>
      <w:r w:rsidRPr="0047261E">
        <w:rPr>
          <w:rFonts w:eastAsia="MS ??" w:cs="Times New Roman"/>
          <w:kern w:val="3"/>
          <w:szCs w:val="24"/>
          <w:lang w:eastAsia="ru-RU" w:bidi="hi-IN"/>
        </w:rPr>
        <w:t xml:space="preserve">, </w:t>
      </w:r>
      <w:hyperlink r:id="rId222" w:tooltip="Эсеры" w:history="1">
        <w:r w:rsidRPr="0047261E">
          <w:rPr>
            <w:rFonts w:eastAsia="MS ??" w:cs="Times New Roman"/>
            <w:kern w:val="3"/>
            <w:szCs w:val="24"/>
            <w:lang w:eastAsia="ru-RU" w:bidi="hi-IN"/>
          </w:rPr>
          <w:t>эсеры</w:t>
        </w:r>
      </w:hyperlink>
      <w:r w:rsidRPr="0047261E">
        <w:rPr>
          <w:rFonts w:eastAsia="MS ??" w:cs="Times New Roman"/>
          <w:kern w:val="3"/>
          <w:szCs w:val="24"/>
          <w:lang w:eastAsia="ru-RU" w:bidi="hi-IN"/>
        </w:rPr>
        <w:t xml:space="preserve">, </w:t>
      </w:r>
      <w:hyperlink r:id="rId223" w:tooltip="Социал-демократ" w:history="1">
        <w:r w:rsidRPr="0047261E">
          <w:rPr>
            <w:rFonts w:eastAsia="MS ??" w:cs="Times New Roman"/>
            <w:kern w:val="3"/>
            <w:szCs w:val="24"/>
            <w:lang w:eastAsia="ru-RU" w:bidi="hi-IN"/>
          </w:rPr>
          <w:t>социал-демократы</w:t>
        </w:r>
      </w:hyperlink>
      <w:r w:rsidRPr="0047261E">
        <w:rPr>
          <w:rFonts w:eastAsia="MS ??" w:cs="Times New Roman"/>
          <w:kern w:val="3"/>
          <w:szCs w:val="24"/>
          <w:lang w:eastAsia="ru-RU" w:bidi="hi-IN"/>
        </w:rPr>
        <w:t>.</w:t>
      </w:r>
    </w:p>
    <w:p w14:paraId="105B69F9" w14:textId="24DC976E" w:rsidR="0047261E" w:rsidRPr="0047261E" w:rsidRDefault="00A90944" w:rsidP="0047261E">
      <w:pPr>
        <w:widowControl w:val="0"/>
        <w:suppressAutoHyphens/>
        <w:autoSpaceDN w:val="0"/>
        <w:ind w:firstLine="709"/>
        <w:textAlignment w:val="baseline"/>
        <w:rPr>
          <w:rFonts w:eastAsia="MS ??" w:cs="Times New Roman"/>
          <w:kern w:val="3"/>
          <w:szCs w:val="24"/>
          <w:lang w:eastAsia="ru-RU" w:bidi="hi-IN"/>
        </w:rPr>
      </w:pPr>
      <w:hyperlink r:id="rId224" w:tooltip="27 апреля" w:history="1">
        <w:r w:rsidR="0047261E" w:rsidRPr="0047261E">
          <w:rPr>
            <w:rFonts w:eastAsia="MS ??" w:cs="Times New Roman"/>
            <w:kern w:val="3"/>
            <w:szCs w:val="24"/>
            <w:lang w:eastAsia="ru-RU" w:bidi="hi-IN"/>
          </w:rPr>
          <w:t>27 апреля</w:t>
        </w:r>
      </w:hyperlink>
      <w:r w:rsidR="0047261E" w:rsidRPr="0047261E">
        <w:rPr>
          <w:rFonts w:eastAsia="MS ??" w:cs="Times New Roman"/>
          <w:kern w:val="3"/>
          <w:szCs w:val="24"/>
          <w:lang w:eastAsia="ru-RU" w:bidi="hi-IN"/>
        </w:rPr>
        <w:t xml:space="preserve"> </w:t>
      </w:r>
      <w:hyperlink r:id="rId225" w:tooltip="1922 год" w:history="1">
        <w:r w:rsidR="0047261E" w:rsidRPr="0047261E">
          <w:rPr>
            <w:rFonts w:eastAsia="MS ??" w:cs="Times New Roman"/>
            <w:kern w:val="3"/>
            <w:szCs w:val="24"/>
            <w:lang w:eastAsia="ru-RU" w:bidi="hi-IN"/>
          </w:rPr>
          <w:t>1922 года</w:t>
        </w:r>
      </w:hyperlink>
      <w:r w:rsidR="0047261E" w:rsidRPr="0047261E">
        <w:rPr>
          <w:rFonts w:eastAsia="MS ??" w:cs="Times New Roman"/>
          <w:kern w:val="3"/>
          <w:szCs w:val="24"/>
          <w:lang w:eastAsia="ru-RU" w:bidi="hi-IN"/>
        </w:rPr>
        <w:t xml:space="preserve"> была образована </w:t>
      </w:r>
      <w:hyperlink r:id="rId226" w:tooltip="ЯАССР" w:history="1">
        <w:r w:rsidR="0047261E" w:rsidRPr="0047261E">
          <w:rPr>
            <w:rFonts w:eastAsia="MS ??" w:cs="Times New Roman"/>
            <w:kern w:val="3"/>
            <w:szCs w:val="24"/>
            <w:lang w:eastAsia="ru-RU" w:bidi="hi-IN"/>
          </w:rPr>
          <w:t>Якутская Автономная Советская Социалистическая Республика (ЯАССР)</w:t>
        </w:r>
      </w:hyperlink>
      <w:r w:rsidR="0047261E" w:rsidRPr="0047261E">
        <w:rPr>
          <w:rFonts w:eastAsia="MS ??" w:cs="Times New Roman"/>
          <w:kern w:val="3"/>
          <w:szCs w:val="24"/>
          <w:lang w:eastAsia="ru-RU" w:bidi="hi-IN"/>
        </w:rPr>
        <w:t xml:space="preserve"> в составе </w:t>
      </w:r>
      <w:hyperlink r:id="rId227" w:tooltip="РСФСР" w:history="1">
        <w:r w:rsidR="0047261E" w:rsidRPr="0047261E">
          <w:rPr>
            <w:rFonts w:eastAsia="MS ??" w:cs="Times New Roman"/>
            <w:kern w:val="3"/>
            <w:szCs w:val="24"/>
            <w:lang w:eastAsia="ru-RU" w:bidi="hi-IN"/>
          </w:rPr>
          <w:t>РСФСР</w:t>
        </w:r>
      </w:hyperlink>
      <w:r w:rsidR="0047261E" w:rsidRPr="0047261E">
        <w:rPr>
          <w:rFonts w:eastAsia="MS ??" w:cs="Times New Roman"/>
          <w:kern w:val="3"/>
          <w:szCs w:val="24"/>
          <w:lang w:eastAsia="ru-RU" w:bidi="hi-IN"/>
        </w:rPr>
        <w:t xml:space="preserve">. Это политическое решение дало правовую, конституционную основу для формирования государственности в рамках автономной республики. Советский период истории Якутии связан с широкомасштабным промышленным освоением её природных богатств, начало которому положила разработка в </w:t>
      </w:r>
      <w:hyperlink r:id="rId228" w:tooltip="1920-е" w:history="1">
        <w:r w:rsidR="0047261E" w:rsidRPr="0047261E">
          <w:rPr>
            <w:rFonts w:eastAsia="MS ??" w:cs="Times New Roman"/>
            <w:kern w:val="3"/>
            <w:szCs w:val="24"/>
            <w:lang w:eastAsia="ru-RU" w:bidi="hi-IN"/>
          </w:rPr>
          <w:t>1920-е</w:t>
        </w:r>
      </w:hyperlink>
      <w:r w:rsidR="0047261E" w:rsidRPr="0047261E">
        <w:rPr>
          <w:rFonts w:eastAsia="MS ??" w:cs="Times New Roman"/>
          <w:kern w:val="3"/>
          <w:szCs w:val="24"/>
          <w:lang w:eastAsia="ru-RU" w:bidi="hi-IN"/>
        </w:rPr>
        <w:t xml:space="preserve"> годы золотоносных алданских месторождений. В </w:t>
      </w:r>
      <w:hyperlink r:id="rId229" w:tooltip="1930-е" w:history="1">
        <w:r w:rsidR="0047261E" w:rsidRPr="0047261E">
          <w:rPr>
            <w:rFonts w:eastAsia="MS ??" w:cs="Times New Roman"/>
            <w:kern w:val="3"/>
            <w:szCs w:val="24"/>
            <w:lang w:eastAsia="ru-RU" w:bidi="hi-IN"/>
          </w:rPr>
          <w:t>1930-е</w:t>
        </w:r>
      </w:hyperlink>
      <w:r w:rsidR="0047261E" w:rsidRPr="0047261E">
        <w:rPr>
          <w:rFonts w:eastAsia="MS ??" w:cs="Times New Roman"/>
          <w:kern w:val="3"/>
          <w:szCs w:val="24"/>
          <w:lang w:eastAsia="ru-RU" w:bidi="hi-IN"/>
        </w:rPr>
        <w:t xml:space="preserve"> годы началась эксплуатация </w:t>
      </w:r>
      <w:hyperlink r:id="rId230" w:tooltip="Северный морской путь" w:history="1">
        <w:r w:rsidR="0047261E" w:rsidRPr="0047261E">
          <w:rPr>
            <w:rFonts w:eastAsia="MS ??" w:cs="Times New Roman"/>
            <w:kern w:val="3"/>
            <w:szCs w:val="24"/>
            <w:lang w:eastAsia="ru-RU" w:bidi="hi-IN"/>
          </w:rPr>
          <w:t>Северного морского пути</w:t>
        </w:r>
      </w:hyperlink>
      <w:r w:rsidR="0047261E" w:rsidRPr="0047261E">
        <w:rPr>
          <w:rFonts w:eastAsia="MS ??" w:cs="Times New Roman"/>
          <w:kern w:val="3"/>
          <w:szCs w:val="24"/>
          <w:lang w:eastAsia="ru-RU" w:bidi="hi-IN"/>
        </w:rPr>
        <w:t xml:space="preserve">, в устье реки Лена был построен морской порт </w:t>
      </w:r>
      <w:hyperlink r:id="rId231" w:tooltip="Тикси" w:history="1">
        <w:r w:rsidR="0047261E" w:rsidRPr="0047261E">
          <w:rPr>
            <w:rFonts w:eastAsia="MS ??" w:cs="Times New Roman"/>
            <w:kern w:val="3"/>
            <w:szCs w:val="24"/>
            <w:lang w:eastAsia="ru-RU" w:bidi="hi-IN"/>
          </w:rPr>
          <w:t>Тикси</w:t>
        </w:r>
      </w:hyperlink>
      <w:r w:rsidR="0047261E" w:rsidRPr="0047261E">
        <w:rPr>
          <w:rFonts w:eastAsia="MS ??" w:cs="Times New Roman"/>
          <w:kern w:val="3"/>
          <w:szCs w:val="24"/>
          <w:lang w:eastAsia="ru-RU" w:bidi="hi-IN"/>
        </w:rPr>
        <w:t xml:space="preserve">; судоходные и воздушные трассы связали ранее труднодоступные районы республики. В </w:t>
      </w:r>
      <w:hyperlink r:id="rId232" w:tooltip="1950-е" w:history="1">
        <w:r w:rsidR="0047261E" w:rsidRPr="0047261E">
          <w:rPr>
            <w:rFonts w:eastAsia="MS ??" w:cs="Times New Roman"/>
            <w:kern w:val="3"/>
            <w:szCs w:val="24"/>
            <w:lang w:eastAsia="ru-RU" w:bidi="hi-IN"/>
          </w:rPr>
          <w:t>1950-е</w:t>
        </w:r>
      </w:hyperlink>
      <w:r w:rsidR="0047261E" w:rsidRPr="0047261E">
        <w:rPr>
          <w:rFonts w:eastAsia="MS ??" w:cs="Times New Roman"/>
          <w:kern w:val="3"/>
          <w:szCs w:val="24"/>
          <w:lang w:eastAsia="ru-RU" w:bidi="hi-IN"/>
        </w:rPr>
        <w:t xml:space="preserve"> годы с </w:t>
      </w:r>
      <w:hyperlink r:id="rId233" w:anchor=".D0.9F.D0.BE.D0.B8.D1.81.D0.BA.D0.B8_.D0.B0.D0.BB.D0.BC.D0.B0.D0.B7.D0.BE.D0.B2_.D0.B2_.D0.B7.D0.B0.D0.BF.D0.B0.D0.B4.D0.BD.D0.BE.D0.B9_.D0.AF.D0.BA.D1.83.D1.82.D0.B8.D0.B8" w:tooltip="Мирнинский район Якутии" w:history="1">
        <w:r w:rsidR="0047261E" w:rsidRPr="0047261E">
          <w:rPr>
            <w:rFonts w:eastAsia="MS ??" w:cs="Times New Roman"/>
            <w:kern w:val="3"/>
            <w:szCs w:val="24"/>
            <w:lang w:eastAsia="ru-RU" w:bidi="hi-IN"/>
          </w:rPr>
          <w:t>открытием алмазоносных месторождений</w:t>
        </w:r>
      </w:hyperlink>
      <w:r w:rsidR="0047261E" w:rsidRPr="0047261E">
        <w:rPr>
          <w:rFonts w:eastAsia="MS ??" w:cs="Times New Roman"/>
          <w:kern w:val="3"/>
          <w:szCs w:val="24"/>
          <w:lang w:eastAsia="ru-RU" w:bidi="hi-IN"/>
        </w:rPr>
        <w:t xml:space="preserve"> на западе республики была создана мощная алмазодобывающая промышленная инфраструктура.</w:t>
      </w:r>
    </w:p>
    <w:p w14:paraId="1DFD25DD" w14:textId="1381568C" w:rsidR="0047261E" w:rsidRPr="0047261E" w:rsidRDefault="0047261E" w:rsidP="0047261E">
      <w:pPr>
        <w:widowControl w:val="0"/>
        <w:suppressAutoHyphens/>
        <w:autoSpaceDN w:val="0"/>
        <w:ind w:firstLine="709"/>
        <w:textAlignment w:val="baseline"/>
        <w:rPr>
          <w:rFonts w:eastAsia="MS ??" w:cs="Times New Roman"/>
          <w:kern w:val="3"/>
          <w:szCs w:val="24"/>
          <w:lang w:eastAsia="ru-RU" w:bidi="hi-IN"/>
        </w:rPr>
      </w:pPr>
      <w:r w:rsidRPr="0047261E">
        <w:rPr>
          <w:rFonts w:eastAsia="MS ??" w:cs="Times New Roman"/>
          <w:kern w:val="3"/>
          <w:szCs w:val="24"/>
          <w:lang w:eastAsia="ru-RU" w:bidi="hi-IN"/>
        </w:rPr>
        <w:t xml:space="preserve">Новый этап в истории Якутии начался </w:t>
      </w:r>
      <w:hyperlink r:id="rId234" w:tooltip="27 сентября" w:history="1">
        <w:r w:rsidRPr="0047261E">
          <w:rPr>
            <w:rFonts w:eastAsia="MS ??" w:cs="Times New Roman"/>
            <w:kern w:val="3"/>
            <w:szCs w:val="24"/>
            <w:lang w:eastAsia="ru-RU" w:bidi="hi-IN"/>
          </w:rPr>
          <w:t>27 сентября</w:t>
        </w:r>
      </w:hyperlink>
      <w:r w:rsidRPr="0047261E">
        <w:rPr>
          <w:rFonts w:eastAsia="MS ??" w:cs="Times New Roman"/>
          <w:kern w:val="3"/>
          <w:szCs w:val="24"/>
          <w:lang w:eastAsia="ru-RU" w:bidi="hi-IN"/>
        </w:rPr>
        <w:t xml:space="preserve"> </w:t>
      </w:r>
      <w:hyperlink r:id="rId235" w:tooltip="1990 год" w:history="1">
        <w:r w:rsidRPr="0047261E">
          <w:rPr>
            <w:rFonts w:eastAsia="MS ??" w:cs="Times New Roman"/>
            <w:kern w:val="3"/>
            <w:szCs w:val="24"/>
            <w:lang w:eastAsia="ru-RU" w:bidi="hi-IN"/>
          </w:rPr>
          <w:t>1990 года</w:t>
        </w:r>
      </w:hyperlink>
      <w:r w:rsidRPr="0047261E">
        <w:rPr>
          <w:rFonts w:eastAsia="MS ??" w:cs="Times New Roman"/>
          <w:kern w:val="3"/>
          <w:szCs w:val="24"/>
          <w:lang w:eastAsia="ru-RU" w:bidi="hi-IN"/>
        </w:rPr>
        <w:t xml:space="preserve">, когда была провозглашена Декларация о государственном суверенитете. В октябре </w:t>
      </w:r>
      <w:hyperlink r:id="rId236" w:tooltip="1991 год" w:history="1">
        <w:r w:rsidRPr="0047261E">
          <w:rPr>
            <w:rFonts w:eastAsia="MS ??" w:cs="Times New Roman"/>
            <w:kern w:val="3"/>
            <w:szCs w:val="24"/>
            <w:lang w:eastAsia="ru-RU" w:bidi="hi-IN"/>
          </w:rPr>
          <w:t>1991 года</w:t>
        </w:r>
      </w:hyperlink>
      <w:r w:rsidRPr="0047261E">
        <w:rPr>
          <w:rFonts w:eastAsia="MS ??" w:cs="Times New Roman"/>
          <w:kern w:val="3"/>
          <w:szCs w:val="24"/>
          <w:lang w:eastAsia="ru-RU" w:bidi="hi-IN"/>
        </w:rPr>
        <w:t xml:space="preserve"> был учреждён пост президента республики. Первым президентом в декабре </w:t>
      </w:r>
      <w:hyperlink r:id="rId237" w:tooltip="1991 год" w:history="1">
        <w:r w:rsidRPr="0047261E">
          <w:rPr>
            <w:rFonts w:eastAsia="MS ??" w:cs="Times New Roman"/>
            <w:kern w:val="3"/>
            <w:szCs w:val="24"/>
            <w:lang w:eastAsia="ru-RU" w:bidi="hi-IN"/>
          </w:rPr>
          <w:t>1991 года</w:t>
        </w:r>
      </w:hyperlink>
      <w:r w:rsidRPr="0047261E">
        <w:rPr>
          <w:rFonts w:eastAsia="MS ??" w:cs="Times New Roman"/>
          <w:kern w:val="3"/>
          <w:szCs w:val="24"/>
          <w:lang w:eastAsia="ru-RU" w:bidi="hi-IN"/>
        </w:rPr>
        <w:t xml:space="preserve"> стал </w:t>
      </w:r>
      <w:hyperlink r:id="rId238" w:tooltip="Николаев, Михаил Ефимович" w:history="1">
        <w:r w:rsidRPr="0047261E">
          <w:rPr>
            <w:rFonts w:eastAsia="MS ??" w:cs="Times New Roman"/>
            <w:kern w:val="3"/>
            <w:szCs w:val="24"/>
            <w:lang w:eastAsia="ru-RU" w:bidi="hi-IN"/>
          </w:rPr>
          <w:t>Михаил Ефимович Николаев</w:t>
        </w:r>
      </w:hyperlink>
      <w:r w:rsidRPr="0047261E">
        <w:rPr>
          <w:rFonts w:eastAsia="MS ??" w:cs="Times New Roman"/>
          <w:kern w:val="3"/>
          <w:szCs w:val="24"/>
          <w:lang w:eastAsia="ru-RU" w:bidi="hi-IN"/>
        </w:rPr>
        <w:t>. Тогда же было изменено название республики на Республика Саха (Якутия).</w:t>
      </w:r>
    </w:p>
    <w:p w14:paraId="13A24FCD" w14:textId="57C0D985" w:rsidR="0047261E" w:rsidRPr="001D4D31" w:rsidRDefault="0047261E" w:rsidP="00763AD2">
      <w:pPr>
        <w:pStyle w:val="afffffff0"/>
        <w:rPr>
          <w:b/>
          <w:bCs/>
        </w:rPr>
      </w:pPr>
      <w:bookmarkStart w:id="51" w:name="_Toc340417665"/>
      <w:r w:rsidRPr="001D4D31">
        <w:rPr>
          <w:rFonts w:eastAsia="Calibri"/>
        </w:rPr>
        <w:t xml:space="preserve">Таблица </w:t>
      </w:r>
      <w:r w:rsidRPr="001D4D31">
        <w:rPr>
          <w:rFonts w:eastAsia="Calibri"/>
          <w:b/>
        </w:rPr>
        <w:fldChar w:fldCharType="begin"/>
      </w:r>
      <w:r w:rsidRPr="001D4D31">
        <w:rPr>
          <w:rFonts w:eastAsia="Calibri"/>
        </w:rPr>
        <w:instrText xml:space="preserve"> SEQ Таблица \* ARABIC </w:instrText>
      </w:r>
      <w:r w:rsidRPr="001D4D31">
        <w:rPr>
          <w:rFonts w:eastAsia="Calibri"/>
          <w:b/>
        </w:rPr>
        <w:fldChar w:fldCharType="separate"/>
      </w:r>
      <w:r w:rsidR="00FD2769">
        <w:rPr>
          <w:rFonts w:eastAsia="Calibri"/>
          <w:noProof/>
        </w:rPr>
        <w:t>13</w:t>
      </w:r>
      <w:r w:rsidRPr="001D4D31">
        <w:rPr>
          <w:rFonts w:eastAsia="Calibri"/>
          <w:b/>
        </w:rPr>
        <w:fldChar w:fldCharType="end"/>
      </w:r>
      <w:r w:rsidRPr="001D4D31">
        <w:rPr>
          <w:rFonts w:eastAsia="Calibri"/>
        </w:rPr>
        <w:t xml:space="preserve"> </w:t>
      </w:r>
      <w:r w:rsidRPr="001D4D31">
        <w:t>Численность населения муниципальных районов и городских округов Республики Саха (Якутия)</w:t>
      </w:r>
      <w:r w:rsidRPr="001D4D31">
        <w:rPr>
          <w:vertAlign w:val="superscript"/>
        </w:rPr>
        <w:footnoteReference w:id="9"/>
      </w:r>
      <w:bookmarkEnd w:id="51"/>
    </w:p>
    <w:tbl>
      <w:tblPr>
        <w:tblW w:w="5000" w:type="pct"/>
        <w:tblLook w:val="04A0" w:firstRow="1" w:lastRow="0" w:firstColumn="1" w:lastColumn="0" w:noHBand="0" w:noVBand="1"/>
      </w:tblPr>
      <w:tblGrid>
        <w:gridCol w:w="932"/>
        <w:gridCol w:w="5539"/>
        <w:gridCol w:w="1890"/>
        <w:gridCol w:w="1833"/>
      </w:tblGrid>
      <w:tr w:rsidR="0047261E" w:rsidRPr="0047261E" w14:paraId="73DBA719" w14:textId="77777777" w:rsidTr="003E7869">
        <w:trPr>
          <w:trHeight w:val="368"/>
          <w:tblHeader/>
        </w:trPr>
        <w:tc>
          <w:tcPr>
            <w:tcW w:w="457" w:type="pct"/>
            <w:vMerge w:val="restar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4DC2E02" w14:textId="77777777" w:rsidR="0047261E" w:rsidRPr="0047261E" w:rsidRDefault="0047261E" w:rsidP="0047261E">
            <w:pPr>
              <w:widowControl w:val="0"/>
              <w:suppressAutoHyphens/>
              <w:autoSpaceDN w:val="0"/>
              <w:ind w:firstLine="0"/>
              <w:jc w:val="center"/>
              <w:textAlignment w:val="baseline"/>
              <w:rPr>
                <w:rFonts w:eastAsia="Times New Roman" w:cs="Times New Roman"/>
                <w:bCs/>
                <w:color w:val="000000"/>
                <w:kern w:val="3"/>
                <w:szCs w:val="24"/>
                <w:lang w:eastAsia="ru-RU" w:bidi="hi-IN"/>
              </w:rPr>
            </w:pPr>
            <w:r w:rsidRPr="0047261E">
              <w:rPr>
                <w:rFonts w:eastAsia="Times New Roman" w:cs="Times New Roman"/>
                <w:bCs/>
                <w:color w:val="000000"/>
                <w:kern w:val="3"/>
                <w:szCs w:val="24"/>
                <w:lang w:eastAsia="ru-RU" w:bidi="hi-IN"/>
              </w:rPr>
              <w:t>№ п/п</w:t>
            </w:r>
          </w:p>
        </w:tc>
        <w:tc>
          <w:tcPr>
            <w:tcW w:w="2717" w:type="pct"/>
            <w:vMerge w:val="restar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DDDE7F5" w14:textId="77777777" w:rsidR="0047261E" w:rsidRPr="0047261E" w:rsidRDefault="0047261E" w:rsidP="0047261E">
            <w:pPr>
              <w:widowControl w:val="0"/>
              <w:suppressAutoHyphens/>
              <w:autoSpaceDN w:val="0"/>
              <w:ind w:firstLine="0"/>
              <w:jc w:val="center"/>
              <w:textAlignment w:val="baseline"/>
              <w:rPr>
                <w:rFonts w:eastAsia="Times New Roman" w:cs="Times New Roman"/>
                <w:bCs/>
                <w:color w:val="000000"/>
                <w:kern w:val="3"/>
                <w:szCs w:val="24"/>
                <w:lang w:eastAsia="ru-RU" w:bidi="hi-IN"/>
              </w:rPr>
            </w:pPr>
            <w:r w:rsidRPr="0047261E">
              <w:rPr>
                <w:rFonts w:eastAsia="Times New Roman" w:cs="Times New Roman"/>
                <w:bCs/>
                <w:color w:val="000000"/>
                <w:kern w:val="3"/>
                <w:szCs w:val="24"/>
                <w:lang w:eastAsia="ru-RU" w:bidi="hi-IN"/>
              </w:rPr>
              <w:t>Наименование муниципального района (улуса), городского округа</w:t>
            </w:r>
          </w:p>
        </w:tc>
        <w:tc>
          <w:tcPr>
            <w:tcW w:w="1826" w:type="pct"/>
            <w:gridSpan w:val="2"/>
            <w:tcBorders>
              <w:top w:val="single" w:sz="4" w:space="0" w:color="auto"/>
              <w:left w:val="nil"/>
              <w:bottom w:val="single" w:sz="4" w:space="0" w:color="auto"/>
              <w:right w:val="single" w:sz="4" w:space="0" w:color="auto"/>
            </w:tcBorders>
            <w:shd w:val="clear" w:color="auto" w:fill="BFBFBF" w:themeFill="background1" w:themeFillShade="BF"/>
            <w:vAlign w:val="center"/>
            <w:hideMark/>
          </w:tcPr>
          <w:p w14:paraId="651864B0" w14:textId="77777777" w:rsidR="0047261E" w:rsidRPr="0047261E" w:rsidRDefault="0047261E" w:rsidP="0047261E">
            <w:pPr>
              <w:widowControl w:val="0"/>
              <w:suppressAutoHyphens/>
              <w:autoSpaceDN w:val="0"/>
              <w:ind w:firstLine="0"/>
              <w:jc w:val="center"/>
              <w:textAlignment w:val="baseline"/>
              <w:rPr>
                <w:rFonts w:eastAsia="Times New Roman" w:cs="Times New Roman"/>
                <w:bCs/>
                <w:color w:val="000000"/>
                <w:kern w:val="3"/>
                <w:szCs w:val="24"/>
                <w:lang w:eastAsia="ru-RU" w:bidi="hi-IN"/>
              </w:rPr>
            </w:pPr>
            <w:r w:rsidRPr="0047261E">
              <w:rPr>
                <w:rFonts w:eastAsia="Times New Roman" w:cs="Times New Roman"/>
                <w:bCs/>
                <w:color w:val="000000"/>
                <w:kern w:val="3"/>
                <w:szCs w:val="24"/>
                <w:lang w:eastAsia="ru-RU" w:bidi="hi-IN"/>
              </w:rPr>
              <w:t>Численность населения по переписи, чел.</w:t>
            </w:r>
          </w:p>
        </w:tc>
      </w:tr>
      <w:tr w:rsidR="0047261E" w:rsidRPr="0047261E" w14:paraId="5702B09C" w14:textId="77777777" w:rsidTr="003E7869">
        <w:trPr>
          <w:trHeight w:val="315"/>
          <w:tblHeader/>
        </w:trPr>
        <w:tc>
          <w:tcPr>
            <w:tcW w:w="457" w:type="pct"/>
            <w:vMerge/>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CA67141" w14:textId="77777777" w:rsidR="0047261E" w:rsidRPr="0047261E" w:rsidRDefault="0047261E" w:rsidP="0047261E">
            <w:pPr>
              <w:widowControl w:val="0"/>
              <w:suppressAutoHyphens/>
              <w:autoSpaceDN w:val="0"/>
              <w:ind w:firstLine="0"/>
              <w:jc w:val="left"/>
              <w:textAlignment w:val="baseline"/>
              <w:rPr>
                <w:rFonts w:eastAsia="Times New Roman" w:cs="Times New Roman"/>
                <w:bCs/>
                <w:color w:val="000000"/>
                <w:kern w:val="3"/>
                <w:szCs w:val="24"/>
                <w:lang w:eastAsia="ru-RU" w:bidi="hi-IN"/>
              </w:rPr>
            </w:pPr>
          </w:p>
        </w:tc>
        <w:tc>
          <w:tcPr>
            <w:tcW w:w="2717" w:type="pct"/>
            <w:vMerge/>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853982A" w14:textId="77777777" w:rsidR="0047261E" w:rsidRPr="0047261E" w:rsidRDefault="0047261E" w:rsidP="0047261E">
            <w:pPr>
              <w:widowControl w:val="0"/>
              <w:suppressAutoHyphens/>
              <w:autoSpaceDN w:val="0"/>
              <w:ind w:firstLine="0"/>
              <w:jc w:val="left"/>
              <w:textAlignment w:val="baseline"/>
              <w:rPr>
                <w:rFonts w:eastAsia="Times New Roman" w:cs="Times New Roman"/>
                <w:bCs/>
                <w:color w:val="000000"/>
                <w:kern w:val="3"/>
                <w:szCs w:val="24"/>
                <w:lang w:eastAsia="ru-RU" w:bidi="hi-IN"/>
              </w:rPr>
            </w:pPr>
          </w:p>
        </w:tc>
        <w:tc>
          <w:tcPr>
            <w:tcW w:w="927" w:type="pct"/>
            <w:tcBorders>
              <w:top w:val="nil"/>
              <w:left w:val="nil"/>
              <w:bottom w:val="single" w:sz="4" w:space="0" w:color="auto"/>
              <w:right w:val="single" w:sz="4" w:space="0" w:color="auto"/>
            </w:tcBorders>
            <w:shd w:val="clear" w:color="auto" w:fill="BFBFBF" w:themeFill="background1" w:themeFillShade="BF"/>
            <w:vAlign w:val="center"/>
            <w:hideMark/>
          </w:tcPr>
          <w:p w14:paraId="2A015D06" w14:textId="77777777" w:rsidR="0047261E" w:rsidRPr="0047261E" w:rsidRDefault="0047261E" w:rsidP="0047261E">
            <w:pPr>
              <w:widowControl w:val="0"/>
              <w:suppressAutoHyphens/>
              <w:autoSpaceDN w:val="0"/>
              <w:ind w:firstLine="0"/>
              <w:jc w:val="center"/>
              <w:textAlignment w:val="baseline"/>
              <w:rPr>
                <w:rFonts w:eastAsia="Times New Roman" w:cs="Times New Roman"/>
                <w:bCs/>
                <w:kern w:val="3"/>
                <w:szCs w:val="24"/>
                <w:lang w:eastAsia="ru-RU" w:bidi="hi-IN"/>
              </w:rPr>
            </w:pPr>
            <w:r w:rsidRPr="0047261E">
              <w:rPr>
                <w:rFonts w:eastAsia="Times New Roman" w:cs="Times New Roman"/>
                <w:bCs/>
                <w:kern w:val="3"/>
                <w:szCs w:val="24"/>
                <w:lang w:eastAsia="ru-RU" w:bidi="hi-IN"/>
              </w:rPr>
              <w:t>2012 г.</w:t>
            </w:r>
          </w:p>
        </w:tc>
        <w:tc>
          <w:tcPr>
            <w:tcW w:w="900" w:type="pct"/>
            <w:tcBorders>
              <w:top w:val="nil"/>
              <w:left w:val="nil"/>
              <w:bottom w:val="single" w:sz="4" w:space="0" w:color="auto"/>
              <w:right w:val="single" w:sz="4" w:space="0" w:color="auto"/>
            </w:tcBorders>
            <w:shd w:val="clear" w:color="auto" w:fill="BFBFBF" w:themeFill="background1" w:themeFillShade="BF"/>
            <w:vAlign w:val="center"/>
            <w:hideMark/>
          </w:tcPr>
          <w:p w14:paraId="115A79E3" w14:textId="77777777" w:rsidR="0047261E" w:rsidRPr="0047261E" w:rsidRDefault="0047261E" w:rsidP="0047261E">
            <w:pPr>
              <w:widowControl w:val="0"/>
              <w:suppressAutoHyphens/>
              <w:autoSpaceDN w:val="0"/>
              <w:ind w:firstLine="0"/>
              <w:jc w:val="center"/>
              <w:textAlignment w:val="baseline"/>
              <w:rPr>
                <w:rFonts w:eastAsia="Times New Roman" w:cs="Times New Roman"/>
                <w:bCs/>
                <w:kern w:val="3"/>
                <w:szCs w:val="24"/>
                <w:lang w:eastAsia="ru-RU" w:bidi="hi-IN"/>
              </w:rPr>
            </w:pPr>
            <w:r w:rsidRPr="0047261E">
              <w:rPr>
                <w:rFonts w:eastAsia="Times New Roman" w:cs="Times New Roman"/>
                <w:bCs/>
                <w:kern w:val="3"/>
                <w:szCs w:val="24"/>
                <w:lang w:eastAsia="ru-RU" w:bidi="hi-IN"/>
              </w:rPr>
              <w:t>2018 г.</w:t>
            </w:r>
          </w:p>
        </w:tc>
      </w:tr>
      <w:tr w:rsidR="0047261E" w:rsidRPr="0047261E" w14:paraId="7A3ABA67" w14:textId="77777777" w:rsidTr="003E7869">
        <w:trPr>
          <w:trHeight w:val="315"/>
        </w:trPr>
        <w:tc>
          <w:tcPr>
            <w:tcW w:w="457" w:type="pct"/>
            <w:tcBorders>
              <w:top w:val="nil"/>
              <w:left w:val="single" w:sz="4" w:space="0" w:color="auto"/>
              <w:bottom w:val="single" w:sz="4" w:space="0" w:color="auto"/>
              <w:right w:val="single" w:sz="4" w:space="0" w:color="auto"/>
            </w:tcBorders>
            <w:shd w:val="clear" w:color="auto" w:fill="auto"/>
            <w:vAlign w:val="bottom"/>
            <w:hideMark/>
          </w:tcPr>
          <w:p w14:paraId="1D3E44E3" w14:textId="77777777" w:rsidR="0047261E" w:rsidRPr="0047261E" w:rsidRDefault="0047261E" w:rsidP="0047261E">
            <w:pPr>
              <w:widowControl w:val="0"/>
              <w:suppressAutoHyphens/>
              <w:autoSpaceDN w:val="0"/>
              <w:ind w:firstLine="0"/>
              <w:jc w:val="center"/>
              <w:textAlignment w:val="baseline"/>
              <w:rPr>
                <w:rFonts w:eastAsia="Times New Roman" w:cs="Times New Roman"/>
                <w:color w:val="000000"/>
                <w:kern w:val="3"/>
                <w:szCs w:val="24"/>
                <w:lang w:eastAsia="ru-RU" w:bidi="hi-IN"/>
              </w:rPr>
            </w:pPr>
            <w:r w:rsidRPr="0047261E">
              <w:rPr>
                <w:rFonts w:eastAsia="Times New Roman" w:cs="Times New Roman"/>
                <w:color w:val="000000"/>
                <w:kern w:val="3"/>
                <w:szCs w:val="24"/>
                <w:lang w:eastAsia="ru-RU" w:bidi="hi-IN"/>
              </w:rPr>
              <w:t>1</w:t>
            </w:r>
          </w:p>
        </w:tc>
        <w:tc>
          <w:tcPr>
            <w:tcW w:w="2717" w:type="pct"/>
            <w:tcBorders>
              <w:top w:val="nil"/>
              <w:left w:val="nil"/>
              <w:bottom w:val="single" w:sz="4" w:space="0" w:color="auto"/>
              <w:right w:val="single" w:sz="4" w:space="0" w:color="auto"/>
            </w:tcBorders>
            <w:shd w:val="clear" w:color="auto" w:fill="auto"/>
            <w:vAlign w:val="bottom"/>
            <w:hideMark/>
          </w:tcPr>
          <w:p w14:paraId="78E587BC" w14:textId="77777777" w:rsidR="0047261E" w:rsidRPr="0047261E" w:rsidRDefault="0047261E" w:rsidP="0047261E">
            <w:pPr>
              <w:widowControl w:val="0"/>
              <w:autoSpaceDN w:val="0"/>
              <w:ind w:firstLine="0"/>
              <w:jc w:val="left"/>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Городской округ «Город Якутск»</w:t>
            </w:r>
          </w:p>
        </w:tc>
        <w:tc>
          <w:tcPr>
            <w:tcW w:w="927" w:type="pct"/>
            <w:tcBorders>
              <w:top w:val="nil"/>
              <w:left w:val="nil"/>
              <w:bottom w:val="single" w:sz="4" w:space="0" w:color="auto"/>
              <w:right w:val="single" w:sz="4" w:space="0" w:color="auto"/>
            </w:tcBorders>
            <w:shd w:val="clear" w:color="auto" w:fill="auto"/>
            <w:vAlign w:val="center"/>
            <w:hideMark/>
          </w:tcPr>
          <w:p w14:paraId="18953E3F" w14:textId="77777777" w:rsidR="0047261E" w:rsidRPr="0047261E" w:rsidRDefault="0047261E" w:rsidP="003E7869">
            <w:pPr>
              <w:widowControl w:val="0"/>
              <w:autoSpaceDN w:val="0"/>
              <w:ind w:firstLine="0"/>
              <w:jc w:val="center"/>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294 844</w:t>
            </w:r>
          </w:p>
        </w:tc>
        <w:tc>
          <w:tcPr>
            <w:tcW w:w="900" w:type="pct"/>
            <w:tcBorders>
              <w:top w:val="nil"/>
              <w:left w:val="nil"/>
              <w:bottom w:val="single" w:sz="4" w:space="0" w:color="auto"/>
              <w:right w:val="single" w:sz="4" w:space="0" w:color="auto"/>
            </w:tcBorders>
            <w:shd w:val="clear" w:color="auto" w:fill="auto"/>
            <w:vAlign w:val="center"/>
            <w:hideMark/>
          </w:tcPr>
          <w:p w14:paraId="3081AF9C" w14:textId="77777777" w:rsidR="0047261E" w:rsidRPr="0047261E" w:rsidRDefault="0047261E" w:rsidP="003E7869">
            <w:pPr>
              <w:widowControl w:val="0"/>
              <w:suppressAutoHyphens/>
              <w:autoSpaceDN w:val="0"/>
              <w:ind w:firstLine="0"/>
              <w:jc w:val="center"/>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328 493</w:t>
            </w:r>
          </w:p>
        </w:tc>
      </w:tr>
      <w:tr w:rsidR="0047261E" w:rsidRPr="0047261E" w14:paraId="0C321659" w14:textId="77777777" w:rsidTr="003E7869">
        <w:trPr>
          <w:trHeight w:val="315"/>
        </w:trPr>
        <w:tc>
          <w:tcPr>
            <w:tcW w:w="457" w:type="pct"/>
            <w:tcBorders>
              <w:top w:val="nil"/>
              <w:left w:val="single" w:sz="4" w:space="0" w:color="auto"/>
              <w:bottom w:val="single" w:sz="4" w:space="0" w:color="auto"/>
              <w:right w:val="single" w:sz="4" w:space="0" w:color="auto"/>
            </w:tcBorders>
            <w:shd w:val="clear" w:color="auto" w:fill="auto"/>
            <w:vAlign w:val="bottom"/>
            <w:hideMark/>
          </w:tcPr>
          <w:p w14:paraId="3A0DED3E" w14:textId="77777777" w:rsidR="0047261E" w:rsidRPr="0047261E" w:rsidRDefault="0047261E" w:rsidP="0047261E">
            <w:pPr>
              <w:widowControl w:val="0"/>
              <w:suppressAutoHyphens/>
              <w:autoSpaceDN w:val="0"/>
              <w:ind w:firstLine="0"/>
              <w:jc w:val="center"/>
              <w:textAlignment w:val="baseline"/>
              <w:rPr>
                <w:rFonts w:eastAsia="Times New Roman" w:cs="Times New Roman"/>
                <w:color w:val="000000"/>
                <w:kern w:val="3"/>
                <w:szCs w:val="24"/>
                <w:lang w:eastAsia="ru-RU" w:bidi="hi-IN"/>
              </w:rPr>
            </w:pPr>
            <w:r w:rsidRPr="0047261E">
              <w:rPr>
                <w:rFonts w:eastAsia="Times New Roman" w:cs="Times New Roman"/>
                <w:color w:val="000000"/>
                <w:kern w:val="3"/>
                <w:szCs w:val="24"/>
                <w:lang w:eastAsia="ru-RU" w:bidi="hi-IN"/>
              </w:rPr>
              <w:t>2</w:t>
            </w:r>
          </w:p>
        </w:tc>
        <w:tc>
          <w:tcPr>
            <w:tcW w:w="2717" w:type="pct"/>
            <w:tcBorders>
              <w:top w:val="nil"/>
              <w:left w:val="nil"/>
              <w:bottom w:val="single" w:sz="4" w:space="0" w:color="auto"/>
              <w:right w:val="single" w:sz="4" w:space="0" w:color="auto"/>
            </w:tcBorders>
            <w:shd w:val="clear" w:color="auto" w:fill="auto"/>
            <w:vAlign w:val="bottom"/>
            <w:hideMark/>
          </w:tcPr>
          <w:p w14:paraId="435325AF"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Городской округ «Жатай»</w:t>
            </w:r>
          </w:p>
        </w:tc>
        <w:tc>
          <w:tcPr>
            <w:tcW w:w="927" w:type="pct"/>
            <w:tcBorders>
              <w:top w:val="nil"/>
              <w:left w:val="nil"/>
              <w:bottom w:val="single" w:sz="4" w:space="0" w:color="auto"/>
              <w:right w:val="single" w:sz="4" w:space="0" w:color="auto"/>
            </w:tcBorders>
            <w:shd w:val="clear" w:color="auto" w:fill="auto"/>
            <w:vAlign w:val="center"/>
            <w:hideMark/>
          </w:tcPr>
          <w:p w14:paraId="67D99352" w14:textId="77777777" w:rsidR="0047261E" w:rsidRPr="0047261E" w:rsidRDefault="0047261E" w:rsidP="003E7869">
            <w:pPr>
              <w:widowControl w:val="0"/>
              <w:suppressAutoHyphens/>
              <w:autoSpaceDN w:val="0"/>
              <w:ind w:firstLine="0"/>
              <w:jc w:val="center"/>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9 607</w:t>
            </w:r>
          </w:p>
        </w:tc>
        <w:tc>
          <w:tcPr>
            <w:tcW w:w="900" w:type="pct"/>
            <w:tcBorders>
              <w:top w:val="nil"/>
              <w:left w:val="nil"/>
              <w:bottom w:val="single" w:sz="4" w:space="0" w:color="auto"/>
              <w:right w:val="single" w:sz="4" w:space="0" w:color="auto"/>
            </w:tcBorders>
            <w:shd w:val="clear" w:color="auto" w:fill="auto"/>
            <w:vAlign w:val="center"/>
            <w:hideMark/>
          </w:tcPr>
          <w:p w14:paraId="20F5AE72" w14:textId="77777777" w:rsidR="0047261E" w:rsidRPr="0047261E" w:rsidRDefault="0047261E" w:rsidP="003E7869">
            <w:pPr>
              <w:widowControl w:val="0"/>
              <w:suppressAutoHyphens/>
              <w:autoSpaceDN w:val="0"/>
              <w:ind w:firstLine="0"/>
              <w:jc w:val="center"/>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10 089</w:t>
            </w:r>
          </w:p>
        </w:tc>
      </w:tr>
      <w:tr w:rsidR="0047261E" w:rsidRPr="0047261E" w14:paraId="6360FFBA" w14:textId="77777777" w:rsidTr="003E7869">
        <w:trPr>
          <w:trHeight w:val="315"/>
        </w:trPr>
        <w:tc>
          <w:tcPr>
            <w:tcW w:w="457" w:type="pct"/>
            <w:tcBorders>
              <w:top w:val="nil"/>
              <w:left w:val="single" w:sz="4" w:space="0" w:color="auto"/>
              <w:bottom w:val="single" w:sz="4" w:space="0" w:color="auto"/>
              <w:right w:val="single" w:sz="4" w:space="0" w:color="auto"/>
            </w:tcBorders>
            <w:shd w:val="clear" w:color="auto" w:fill="auto"/>
            <w:vAlign w:val="bottom"/>
            <w:hideMark/>
          </w:tcPr>
          <w:p w14:paraId="788FFA05" w14:textId="77777777" w:rsidR="0047261E" w:rsidRPr="0047261E" w:rsidRDefault="0047261E" w:rsidP="0047261E">
            <w:pPr>
              <w:widowControl w:val="0"/>
              <w:suppressAutoHyphens/>
              <w:autoSpaceDN w:val="0"/>
              <w:ind w:firstLine="0"/>
              <w:jc w:val="center"/>
              <w:textAlignment w:val="baseline"/>
              <w:rPr>
                <w:rFonts w:eastAsia="Times New Roman" w:cs="Times New Roman"/>
                <w:color w:val="000000"/>
                <w:kern w:val="3"/>
                <w:szCs w:val="24"/>
                <w:lang w:eastAsia="ru-RU" w:bidi="hi-IN"/>
              </w:rPr>
            </w:pPr>
            <w:r w:rsidRPr="0047261E">
              <w:rPr>
                <w:rFonts w:eastAsia="Times New Roman" w:cs="Times New Roman"/>
                <w:color w:val="000000"/>
                <w:kern w:val="3"/>
                <w:szCs w:val="24"/>
                <w:lang w:eastAsia="ru-RU" w:bidi="hi-IN"/>
              </w:rPr>
              <w:t>3</w:t>
            </w:r>
          </w:p>
        </w:tc>
        <w:tc>
          <w:tcPr>
            <w:tcW w:w="2717" w:type="pct"/>
            <w:tcBorders>
              <w:top w:val="nil"/>
              <w:left w:val="nil"/>
              <w:bottom w:val="single" w:sz="4" w:space="0" w:color="auto"/>
              <w:right w:val="single" w:sz="4" w:space="0" w:color="auto"/>
            </w:tcBorders>
            <w:shd w:val="clear" w:color="auto" w:fill="auto"/>
            <w:vAlign w:val="bottom"/>
            <w:hideMark/>
          </w:tcPr>
          <w:p w14:paraId="467779AB"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Абыйский улус (район)</w:t>
            </w:r>
          </w:p>
        </w:tc>
        <w:tc>
          <w:tcPr>
            <w:tcW w:w="927" w:type="pct"/>
            <w:tcBorders>
              <w:top w:val="nil"/>
              <w:left w:val="nil"/>
              <w:bottom w:val="single" w:sz="4" w:space="0" w:color="auto"/>
              <w:right w:val="single" w:sz="4" w:space="0" w:color="auto"/>
            </w:tcBorders>
            <w:shd w:val="clear" w:color="auto" w:fill="auto"/>
            <w:vAlign w:val="center"/>
            <w:hideMark/>
          </w:tcPr>
          <w:p w14:paraId="708365AB" w14:textId="77777777" w:rsidR="0047261E" w:rsidRPr="0047261E" w:rsidRDefault="0047261E" w:rsidP="003E7869">
            <w:pPr>
              <w:widowControl w:val="0"/>
              <w:suppressAutoHyphens/>
              <w:autoSpaceDN w:val="0"/>
              <w:ind w:firstLine="0"/>
              <w:jc w:val="center"/>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4 353</w:t>
            </w:r>
          </w:p>
        </w:tc>
        <w:tc>
          <w:tcPr>
            <w:tcW w:w="900" w:type="pct"/>
            <w:tcBorders>
              <w:top w:val="nil"/>
              <w:left w:val="nil"/>
              <w:bottom w:val="single" w:sz="4" w:space="0" w:color="auto"/>
              <w:right w:val="single" w:sz="4" w:space="0" w:color="auto"/>
            </w:tcBorders>
            <w:shd w:val="clear" w:color="auto" w:fill="auto"/>
            <w:vAlign w:val="center"/>
            <w:hideMark/>
          </w:tcPr>
          <w:p w14:paraId="7BE03512" w14:textId="77777777" w:rsidR="0047261E" w:rsidRPr="0047261E" w:rsidRDefault="0047261E" w:rsidP="003E7869">
            <w:pPr>
              <w:widowControl w:val="0"/>
              <w:suppressAutoHyphens/>
              <w:autoSpaceDN w:val="0"/>
              <w:ind w:firstLine="0"/>
              <w:jc w:val="center"/>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4 018</w:t>
            </w:r>
          </w:p>
        </w:tc>
      </w:tr>
      <w:tr w:rsidR="0047261E" w:rsidRPr="0047261E" w14:paraId="40CEAC2C" w14:textId="77777777" w:rsidTr="003E7869">
        <w:trPr>
          <w:trHeight w:val="315"/>
        </w:trPr>
        <w:tc>
          <w:tcPr>
            <w:tcW w:w="457" w:type="pct"/>
            <w:tcBorders>
              <w:top w:val="nil"/>
              <w:left w:val="single" w:sz="4" w:space="0" w:color="auto"/>
              <w:bottom w:val="single" w:sz="4" w:space="0" w:color="auto"/>
              <w:right w:val="single" w:sz="4" w:space="0" w:color="auto"/>
            </w:tcBorders>
            <w:shd w:val="clear" w:color="auto" w:fill="auto"/>
            <w:vAlign w:val="bottom"/>
            <w:hideMark/>
          </w:tcPr>
          <w:p w14:paraId="1B3F7D15" w14:textId="77777777" w:rsidR="0047261E" w:rsidRPr="0047261E" w:rsidRDefault="0047261E" w:rsidP="0047261E">
            <w:pPr>
              <w:widowControl w:val="0"/>
              <w:suppressAutoHyphens/>
              <w:autoSpaceDN w:val="0"/>
              <w:ind w:firstLine="0"/>
              <w:jc w:val="center"/>
              <w:textAlignment w:val="baseline"/>
              <w:rPr>
                <w:rFonts w:eastAsia="Times New Roman" w:cs="Times New Roman"/>
                <w:color w:val="000000"/>
                <w:kern w:val="3"/>
                <w:szCs w:val="24"/>
                <w:lang w:eastAsia="ru-RU" w:bidi="hi-IN"/>
              </w:rPr>
            </w:pPr>
            <w:r w:rsidRPr="0047261E">
              <w:rPr>
                <w:rFonts w:eastAsia="Times New Roman" w:cs="Times New Roman"/>
                <w:color w:val="000000"/>
                <w:kern w:val="3"/>
                <w:szCs w:val="24"/>
                <w:lang w:eastAsia="ru-RU" w:bidi="hi-IN"/>
              </w:rPr>
              <w:t>4</w:t>
            </w:r>
          </w:p>
        </w:tc>
        <w:tc>
          <w:tcPr>
            <w:tcW w:w="2717" w:type="pct"/>
            <w:tcBorders>
              <w:top w:val="nil"/>
              <w:left w:val="nil"/>
              <w:bottom w:val="single" w:sz="4" w:space="0" w:color="auto"/>
              <w:right w:val="single" w:sz="4" w:space="0" w:color="auto"/>
            </w:tcBorders>
            <w:shd w:val="clear" w:color="auto" w:fill="auto"/>
            <w:vAlign w:val="bottom"/>
            <w:hideMark/>
          </w:tcPr>
          <w:p w14:paraId="6DAE416E"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Алданский район</w:t>
            </w:r>
          </w:p>
        </w:tc>
        <w:tc>
          <w:tcPr>
            <w:tcW w:w="927" w:type="pct"/>
            <w:tcBorders>
              <w:top w:val="nil"/>
              <w:left w:val="nil"/>
              <w:bottom w:val="single" w:sz="4" w:space="0" w:color="auto"/>
              <w:right w:val="single" w:sz="4" w:space="0" w:color="auto"/>
            </w:tcBorders>
            <w:shd w:val="clear" w:color="auto" w:fill="auto"/>
            <w:vAlign w:val="center"/>
            <w:hideMark/>
          </w:tcPr>
          <w:p w14:paraId="5110F8A5" w14:textId="77777777" w:rsidR="0047261E" w:rsidRPr="0047261E" w:rsidRDefault="0047261E" w:rsidP="003E7869">
            <w:pPr>
              <w:widowControl w:val="0"/>
              <w:suppressAutoHyphens/>
              <w:autoSpaceDN w:val="0"/>
              <w:ind w:firstLine="0"/>
              <w:jc w:val="center"/>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42 658</w:t>
            </w:r>
          </w:p>
        </w:tc>
        <w:tc>
          <w:tcPr>
            <w:tcW w:w="900" w:type="pct"/>
            <w:tcBorders>
              <w:top w:val="nil"/>
              <w:left w:val="nil"/>
              <w:bottom w:val="single" w:sz="4" w:space="0" w:color="auto"/>
              <w:right w:val="single" w:sz="4" w:space="0" w:color="auto"/>
            </w:tcBorders>
            <w:shd w:val="clear" w:color="auto" w:fill="auto"/>
            <w:vAlign w:val="center"/>
            <w:hideMark/>
          </w:tcPr>
          <w:p w14:paraId="131FAA23" w14:textId="77777777" w:rsidR="0047261E" w:rsidRPr="0047261E" w:rsidRDefault="0047261E" w:rsidP="003E7869">
            <w:pPr>
              <w:widowControl w:val="0"/>
              <w:suppressAutoHyphens/>
              <w:autoSpaceDN w:val="0"/>
              <w:ind w:firstLine="0"/>
              <w:jc w:val="center"/>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39 492</w:t>
            </w:r>
          </w:p>
        </w:tc>
      </w:tr>
      <w:tr w:rsidR="0047261E" w:rsidRPr="0047261E" w14:paraId="509CCB61" w14:textId="77777777" w:rsidTr="003E7869">
        <w:trPr>
          <w:trHeight w:val="315"/>
        </w:trPr>
        <w:tc>
          <w:tcPr>
            <w:tcW w:w="457" w:type="pct"/>
            <w:tcBorders>
              <w:top w:val="nil"/>
              <w:left w:val="single" w:sz="4" w:space="0" w:color="auto"/>
              <w:bottom w:val="single" w:sz="4" w:space="0" w:color="auto"/>
              <w:right w:val="single" w:sz="4" w:space="0" w:color="auto"/>
            </w:tcBorders>
            <w:shd w:val="clear" w:color="auto" w:fill="auto"/>
            <w:vAlign w:val="bottom"/>
            <w:hideMark/>
          </w:tcPr>
          <w:p w14:paraId="53AFFB4F" w14:textId="77777777" w:rsidR="0047261E" w:rsidRPr="0047261E" w:rsidRDefault="0047261E" w:rsidP="0047261E">
            <w:pPr>
              <w:widowControl w:val="0"/>
              <w:suppressAutoHyphens/>
              <w:autoSpaceDN w:val="0"/>
              <w:ind w:firstLine="0"/>
              <w:jc w:val="center"/>
              <w:textAlignment w:val="baseline"/>
              <w:rPr>
                <w:rFonts w:eastAsia="Times New Roman" w:cs="Times New Roman"/>
                <w:color w:val="000000"/>
                <w:kern w:val="3"/>
                <w:szCs w:val="24"/>
                <w:lang w:eastAsia="ru-RU" w:bidi="hi-IN"/>
              </w:rPr>
            </w:pPr>
            <w:r w:rsidRPr="0047261E">
              <w:rPr>
                <w:rFonts w:eastAsia="Times New Roman" w:cs="Times New Roman"/>
                <w:color w:val="000000"/>
                <w:kern w:val="3"/>
                <w:szCs w:val="24"/>
                <w:lang w:eastAsia="ru-RU" w:bidi="hi-IN"/>
              </w:rPr>
              <w:t>5</w:t>
            </w:r>
          </w:p>
        </w:tc>
        <w:tc>
          <w:tcPr>
            <w:tcW w:w="2717" w:type="pct"/>
            <w:tcBorders>
              <w:top w:val="nil"/>
              <w:left w:val="nil"/>
              <w:bottom w:val="single" w:sz="4" w:space="0" w:color="auto"/>
              <w:right w:val="single" w:sz="4" w:space="0" w:color="auto"/>
            </w:tcBorders>
            <w:shd w:val="clear" w:color="auto" w:fill="auto"/>
            <w:vAlign w:val="bottom"/>
            <w:hideMark/>
          </w:tcPr>
          <w:p w14:paraId="2148F20C"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Аллаиховский улус (район)</w:t>
            </w:r>
          </w:p>
        </w:tc>
        <w:tc>
          <w:tcPr>
            <w:tcW w:w="927" w:type="pct"/>
            <w:tcBorders>
              <w:top w:val="nil"/>
              <w:left w:val="nil"/>
              <w:bottom w:val="single" w:sz="4" w:space="0" w:color="auto"/>
              <w:right w:val="single" w:sz="4" w:space="0" w:color="auto"/>
            </w:tcBorders>
            <w:shd w:val="clear" w:color="auto" w:fill="auto"/>
            <w:vAlign w:val="center"/>
            <w:hideMark/>
          </w:tcPr>
          <w:p w14:paraId="067A82DD" w14:textId="77777777" w:rsidR="0047261E" w:rsidRPr="0047261E" w:rsidRDefault="0047261E" w:rsidP="003E7869">
            <w:pPr>
              <w:widowControl w:val="0"/>
              <w:suppressAutoHyphens/>
              <w:autoSpaceDN w:val="0"/>
              <w:ind w:firstLine="0"/>
              <w:jc w:val="center"/>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2 935</w:t>
            </w:r>
          </w:p>
        </w:tc>
        <w:tc>
          <w:tcPr>
            <w:tcW w:w="900" w:type="pct"/>
            <w:tcBorders>
              <w:top w:val="nil"/>
              <w:left w:val="nil"/>
              <w:bottom w:val="single" w:sz="4" w:space="0" w:color="auto"/>
              <w:right w:val="single" w:sz="4" w:space="0" w:color="auto"/>
            </w:tcBorders>
            <w:shd w:val="clear" w:color="auto" w:fill="auto"/>
            <w:vAlign w:val="center"/>
            <w:hideMark/>
          </w:tcPr>
          <w:p w14:paraId="24FB1D39" w14:textId="77777777" w:rsidR="0047261E" w:rsidRPr="0047261E" w:rsidRDefault="0047261E" w:rsidP="003E7869">
            <w:pPr>
              <w:widowControl w:val="0"/>
              <w:suppressAutoHyphens/>
              <w:autoSpaceDN w:val="0"/>
              <w:ind w:firstLine="0"/>
              <w:jc w:val="center"/>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2 716</w:t>
            </w:r>
          </w:p>
        </w:tc>
      </w:tr>
      <w:tr w:rsidR="0047261E" w:rsidRPr="0047261E" w14:paraId="4817825A" w14:textId="77777777" w:rsidTr="003E7869">
        <w:trPr>
          <w:trHeight w:val="315"/>
        </w:trPr>
        <w:tc>
          <w:tcPr>
            <w:tcW w:w="457" w:type="pct"/>
            <w:tcBorders>
              <w:top w:val="nil"/>
              <w:left w:val="single" w:sz="4" w:space="0" w:color="auto"/>
              <w:bottom w:val="single" w:sz="4" w:space="0" w:color="auto"/>
              <w:right w:val="single" w:sz="4" w:space="0" w:color="auto"/>
            </w:tcBorders>
            <w:shd w:val="clear" w:color="auto" w:fill="auto"/>
            <w:vAlign w:val="bottom"/>
            <w:hideMark/>
          </w:tcPr>
          <w:p w14:paraId="2A332081" w14:textId="77777777" w:rsidR="0047261E" w:rsidRPr="0047261E" w:rsidRDefault="0047261E" w:rsidP="0047261E">
            <w:pPr>
              <w:widowControl w:val="0"/>
              <w:suppressAutoHyphens/>
              <w:autoSpaceDN w:val="0"/>
              <w:ind w:firstLine="0"/>
              <w:jc w:val="center"/>
              <w:textAlignment w:val="baseline"/>
              <w:rPr>
                <w:rFonts w:eastAsia="Times New Roman" w:cs="Times New Roman"/>
                <w:color w:val="000000"/>
                <w:kern w:val="3"/>
                <w:szCs w:val="24"/>
                <w:lang w:eastAsia="ru-RU" w:bidi="hi-IN"/>
              </w:rPr>
            </w:pPr>
            <w:r w:rsidRPr="0047261E">
              <w:rPr>
                <w:rFonts w:eastAsia="Times New Roman" w:cs="Times New Roman"/>
                <w:color w:val="000000"/>
                <w:kern w:val="3"/>
                <w:szCs w:val="24"/>
                <w:lang w:eastAsia="ru-RU" w:bidi="hi-IN"/>
              </w:rPr>
              <w:t>6</w:t>
            </w:r>
          </w:p>
        </w:tc>
        <w:tc>
          <w:tcPr>
            <w:tcW w:w="2717" w:type="pct"/>
            <w:tcBorders>
              <w:top w:val="nil"/>
              <w:left w:val="nil"/>
              <w:bottom w:val="single" w:sz="4" w:space="0" w:color="auto"/>
              <w:right w:val="single" w:sz="4" w:space="0" w:color="auto"/>
            </w:tcBorders>
            <w:shd w:val="clear" w:color="auto" w:fill="auto"/>
            <w:vAlign w:val="bottom"/>
            <w:hideMark/>
          </w:tcPr>
          <w:p w14:paraId="0672CDA8"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Амгинский улус (район)</w:t>
            </w:r>
          </w:p>
        </w:tc>
        <w:tc>
          <w:tcPr>
            <w:tcW w:w="927" w:type="pct"/>
            <w:tcBorders>
              <w:top w:val="nil"/>
              <w:left w:val="nil"/>
              <w:bottom w:val="single" w:sz="4" w:space="0" w:color="auto"/>
              <w:right w:val="single" w:sz="4" w:space="0" w:color="auto"/>
            </w:tcBorders>
            <w:shd w:val="clear" w:color="auto" w:fill="auto"/>
            <w:vAlign w:val="center"/>
            <w:hideMark/>
          </w:tcPr>
          <w:p w14:paraId="7D4862DF" w14:textId="77777777" w:rsidR="0047261E" w:rsidRPr="0047261E" w:rsidRDefault="0047261E" w:rsidP="003E7869">
            <w:pPr>
              <w:widowControl w:val="0"/>
              <w:suppressAutoHyphens/>
              <w:autoSpaceDN w:val="0"/>
              <w:ind w:firstLine="0"/>
              <w:jc w:val="center"/>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16 971</w:t>
            </w:r>
          </w:p>
        </w:tc>
        <w:tc>
          <w:tcPr>
            <w:tcW w:w="900" w:type="pct"/>
            <w:tcBorders>
              <w:top w:val="nil"/>
              <w:left w:val="nil"/>
              <w:bottom w:val="single" w:sz="4" w:space="0" w:color="auto"/>
              <w:right w:val="single" w:sz="4" w:space="0" w:color="auto"/>
            </w:tcBorders>
            <w:shd w:val="clear" w:color="auto" w:fill="auto"/>
            <w:vAlign w:val="center"/>
            <w:hideMark/>
          </w:tcPr>
          <w:p w14:paraId="5D05F1BB" w14:textId="77777777" w:rsidR="0047261E" w:rsidRPr="0047261E" w:rsidRDefault="0047261E" w:rsidP="003E7869">
            <w:pPr>
              <w:widowControl w:val="0"/>
              <w:suppressAutoHyphens/>
              <w:autoSpaceDN w:val="0"/>
              <w:ind w:firstLine="0"/>
              <w:jc w:val="center"/>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16 722</w:t>
            </w:r>
          </w:p>
        </w:tc>
      </w:tr>
      <w:tr w:rsidR="0047261E" w:rsidRPr="0047261E" w14:paraId="768C555C" w14:textId="77777777" w:rsidTr="003E7869">
        <w:trPr>
          <w:trHeight w:val="315"/>
        </w:trPr>
        <w:tc>
          <w:tcPr>
            <w:tcW w:w="457" w:type="pct"/>
            <w:tcBorders>
              <w:top w:val="nil"/>
              <w:left w:val="single" w:sz="4" w:space="0" w:color="auto"/>
              <w:bottom w:val="single" w:sz="4" w:space="0" w:color="auto"/>
              <w:right w:val="single" w:sz="4" w:space="0" w:color="auto"/>
            </w:tcBorders>
            <w:shd w:val="clear" w:color="auto" w:fill="auto"/>
            <w:vAlign w:val="bottom"/>
            <w:hideMark/>
          </w:tcPr>
          <w:p w14:paraId="48F0945B" w14:textId="77777777" w:rsidR="0047261E" w:rsidRPr="0047261E" w:rsidRDefault="0047261E" w:rsidP="0047261E">
            <w:pPr>
              <w:widowControl w:val="0"/>
              <w:suppressAutoHyphens/>
              <w:autoSpaceDN w:val="0"/>
              <w:ind w:firstLine="0"/>
              <w:jc w:val="center"/>
              <w:textAlignment w:val="baseline"/>
              <w:rPr>
                <w:rFonts w:eastAsia="Times New Roman" w:cs="Times New Roman"/>
                <w:color w:val="000000"/>
                <w:kern w:val="3"/>
                <w:szCs w:val="24"/>
                <w:lang w:eastAsia="ru-RU" w:bidi="hi-IN"/>
              </w:rPr>
            </w:pPr>
            <w:r w:rsidRPr="0047261E">
              <w:rPr>
                <w:rFonts w:eastAsia="Times New Roman" w:cs="Times New Roman"/>
                <w:color w:val="000000"/>
                <w:kern w:val="3"/>
                <w:szCs w:val="24"/>
                <w:lang w:eastAsia="ru-RU" w:bidi="hi-IN"/>
              </w:rPr>
              <w:t>7</w:t>
            </w:r>
          </w:p>
        </w:tc>
        <w:tc>
          <w:tcPr>
            <w:tcW w:w="2717" w:type="pct"/>
            <w:tcBorders>
              <w:top w:val="nil"/>
              <w:left w:val="nil"/>
              <w:bottom w:val="single" w:sz="4" w:space="0" w:color="auto"/>
              <w:right w:val="single" w:sz="4" w:space="0" w:color="auto"/>
            </w:tcBorders>
            <w:shd w:val="clear" w:color="auto" w:fill="auto"/>
            <w:vAlign w:val="bottom"/>
            <w:hideMark/>
          </w:tcPr>
          <w:p w14:paraId="507842D8"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Анабарский национальный (долгано-эвенкийский) улус(район)</w:t>
            </w:r>
          </w:p>
        </w:tc>
        <w:tc>
          <w:tcPr>
            <w:tcW w:w="927" w:type="pct"/>
            <w:tcBorders>
              <w:top w:val="nil"/>
              <w:left w:val="nil"/>
              <w:bottom w:val="single" w:sz="4" w:space="0" w:color="auto"/>
              <w:right w:val="single" w:sz="4" w:space="0" w:color="auto"/>
            </w:tcBorders>
            <w:shd w:val="clear" w:color="auto" w:fill="auto"/>
            <w:vAlign w:val="center"/>
            <w:hideMark/>
          </w:tcPr>
          <w:p w14:paraId="30A945DE" w14:textId="77777777" w:rsidR="0047261E" w:rsidRPr="0047261E" w:rsidRDefault="0047261E" w:rsidP="003E7869">
            <w:pPr>
              <w:widowControl w:val="0"/>
              <w:suppressAutoHyphens/>
              <w:autoSpaceDN w:val="0"/>
              <w:ind w:firstLine="0"/>
              <w:jc w:val="center"/>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3 413</w:t>
            </w:r>
          </w:p>
        </w:tc>
        <w:tc>
          <w:tcPr>
            <w:tcW w:w="900" w:type="pct"/>
            <w:tcBorders>
              <w:top w:val="nil"/>
              <w:left w:val="nil"/>
              <w:bottom w:val="single" w:sz="4" w:space="0" w:color="auto"/>
              <w:right w:val="single" w:sz="4" w:space="0" w:color="auto"/>
            </w:tcBorders>
            <w:shd w:val="clear" w:color="auto" w:fill="auto"/>
            <w:vAlign w:val="center"/>
            <w:hideMark/>
          </w:tcPr>
          <w:p w14:paraId="68EA109D" w14:textId="77777777" w:rsidR="0047261E" w:rsidRPr="0047261E" w:rsidRDefault="0047261E" w:rsidP="003E7869">
            <w:pPr>
              <w:widowControl w:val="0"/>
              <w:suppressAutoHyphens/>
              <w:autoSpaceDN w:val="0"/>
              <w:ind w:firstLine="0"/>
              <w:jc w:val="center"/>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3 567</w:t>
            </w:r>
          </w:p>
        </w:tc>
      </w:tr>
      <w:tr w:rsidR="0047261E" w:rsidRPr="0047261E" w14:paraId="68D88834" w14:textId="77777777" w:rsidTr="003E7869">
        <w:trPr>
          <w:trHeight w:val="315"/>
        </w:trPr>
        <w:tc>
          <w:tcPr>
            <w:tcW w:w="457" w:type="pct"/>
            <w:tcBorders>
              <w:top w:val="nil"/>
              <w:left w:val="single" w:sz="4" w:space="0" w:color="auto"/>
              <w:bottom w:val="single" w:sz="4" w:space="0" w:color="auto"/>
              <w:right w:val="single" w:sz="4" w:space="0" w:color="auto"/>
            </w:tcBorders>
            <w:shd w:val="clear" w:color="auto" w:fill="auto"/>
            <w:vAlign w:val="bottom"/>
            <w:hideMark/>
          </w:tcPr>
          <w:p w14:paraId="00B3B412" w14:textId="77777777" w:rsidR="0047261E" w:rsidRPr="0047261E" w:rsidRDefault="0047261E" w:rsidP="0047261E">
            <w:pPr>
              <w:widowControl w:val="0"/>
              <w:suppressAutoHyphens/>
              <w:autoSpaceDN w:val="0"/>
              <w:ind w:firstLine="0"/>
              <w:jc w:val="center"/>
              <w:textAlignment w:val="baseline"/>
              <w:rPr>
                <w:rFonts w:eastAsia="Times New Roman" w:cs="Times New Roman"/>
                <w:color w:val="000000"/>
                <w:kern w:val="3"/>
                <w:szCs w:val="24"/>
                <w:lang w:eastAsia="ru-RU" w:bidi="hi-IN"/>
              </w:rPr>
            </w:pPr>
            <w:r w:rsidRPr="0047261E">
              <w:rPr>
                <w:rFonts w:eastAsia="Times New Roman" w:cs="Times New Roman"/>
                <w:color w:val="000000"/>
                <w:kern w:val="3"/>
                <w:szCs w:val="24"/>
                <w:lang w:eastAsia="ru-RU" w:bidi="hi-IN"/>
              </w:rPr>
              <w:t>8</w:t>
            </w:r>
          </w:p>
        </w:tc>
        <w:tc>
          <w:tcPr>
            <w:tcW w:w="2717" w:type="pct"/>
            <w:tcBorders>
              <w:top w:val="nil"/>
              <w:left w:val="nil"/>
              <w:bottom w:val="single" w:sz="4" w:space="0" w:color="auto"/>
              <w:right w:val="single" w:sz="4" w:space="0" w:color="auto"/>
            </w:tcBorders>
            <w:shd w:val="clear" w:color="auto" w:fill="auto"/>
            <w:vAlign w:val="bottom"/>
            <w:hideMark/>
          </w:tcPr>
          <w:p w14:paraId="090FBD95"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Булунский улус (район)</w:t>
            </w:r>
          </w:p>
        </w:tc>
        <w:tc>
          <w:tcPr>
            <w:tcW w:w="927" w:type="pct"/>
            <w:tcBorders>
              <w:top w:val="nil"/>
              <w:left w:val="nil"/>
              <w:bottom w:val="single" w:sz="4" w:space="0" w:color="auto"/>
              <w:right w:val="single" w:sz="4" w:space="0" w:color="auto"/>
            </w:tcBorders>
            <w:shd w:val="clear" w:color="auto" w:fill="auto"/>
            <w:vAlign w:val="center"/>
            <w:hideMark/>
          </w:tcPr>
          <w:p w14:paraId="3BE8A298" w14:textId="77777777" w:rsidR="0047261E" w:rsidRPr="0047261E" w:rsidRDefault="0047261E" w:rsidP="003E7869">
            <w:pPr>
              <w:widowControl w:val="0"/>
              <w:suppressAutoHyphens/>
              <w:autoSpaceDN w:val="0"/>
              <w:ind w:firstLine="0"/>
              <w:jc w:val="center"/>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9 419</w:t>
            </w:r>
          </w:p>
        </w:tc>
        <w:tc>
          <w:tcPr>
            <w:tcW w:w="900" w:type="pct"/>
            <w:tcBorders>
              <w:top w:val="nil"/>
              <w:left w:val="nil"/>
              <w:bottom w:val="single" w:sz="4" w:space="0" w:color="auto"/>
              <w:right w:val="single" w:sz="4" w:space="0" w:color="auto"/>
            </w:tcBorders>
            <w:shd w:val="clear" w:color="auto" w:fill="auto"/>
            <w:vAlign w:val="center"/>
            <w:hideMark/>
          </w:tcPr>
          <w:p w14:paraId="66B27FAA" w14:textId="77777777" w:rsidR="0047261E" w:rsidRPr="0047261E" w:rsidRDefault="0047261E" w:rsidP="003E7869">
            <w:pPr>
              <w:widowControl w:val="0"/>
              <w:suppressAutoHyphens/>
              <w:autoSpaceDN w:val="0"/>
              <w:ind w:firstLine="0"/>
              <w:jc w:val="center"/>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8 339</w:t>
            </w:r>
          </w:p>
        </w:tc>
      </w:tr>
      <w:tr w:rsidR="0047261E" w:rsidRPr="0047261E" w14:paraId="4FB787D0" w14:textId="77777777" w:rsidTr="003E7869">
        <w:trPr>
          <w:trHeight w:val="315"/>
        </w:trPr>
        <w:tc>
          <w:tcPr>
            <w:tcW w:w="457" w:type="pct"/>
            <w:tcBorders>
              <w:top w:val="nil"/>
              <w:left w:val="single" w:sz="4" w:space="0" w:color="auto"/>
              <w:bottom w:val="single" w:sz="4" w:space="0" w:color="auto"/>
              <w:right w:val="single" w:sz="4" w:space="0" w:color="auto"/>
            </w:tcBorders>
            <w:shd w:val="clear" w:color="auto" w:fill="auto"/>
            <w:vAlign w:val="bottom"/>
            <w:hideMark/>
          </w:tcPr>
          <w:p w14:paraId="55EE1EDC" w14:textId="77777777" w:rsidR="0047261E" w:rsidRPr="0047261E" w:rsidRDefault="0047261E" w:rsidP="0047261E">
            <w:pPr>
              <w:widowControl w:val="0"/>
              <w:suppressAutoHyphens/>
              <w:autoSpaceDN w:val="0"/>
              <w:ind w:firstLine="0"/>
              <w:jc w:val="center"/>
              <w:textAlignment w:val="baseline"/>
              <w:rPr>
                <w:rFonts w:eastAsia="Times New Roman" w:cs="Times New Roman"/>
                <w:color w:val="000000"/>
                <w:kern w:val="3"/>
                <w:szCs w:val="24"/>
                <w:lang w:eastAsia="ru-RU" w:bidi="hi-IN"/>
              </w:rPr>
            </w:pPr>
            <w:r w:rsidRPr="0047261E">
              <w:rPr>
                <w:rFonts w:eastAsia="Times New Roman" w:cs="Times New Roman"/>
                <w:color w:val="000000"/>
                <w:kern w:val="3"/>
                <w:szCs w:val="24"/>
                <w:lang w:eastAsia="ru-RU" w:bidi="hi-IN"/>
              </w:rPr>
              <w:t>9</w:t>
            </w:r>
          </w:p>
        </w:tc>
        <w:tc>
          <w:tcPr>
            <w:tcW w:w="2717" w:type="pct"/>
            <w:tcBorders>
              <w:top w:val="nil"/>
              <w:left w:val="nil"/>
              <w:bottom w:val="single" w:sz="4" w:space="0" w:color="auto"/>
              <w:right w:val="single" w:sz="4" w:space="0" w:color="auto"/>
            </w:tcBorders>
            <w:shd w:val="clear" w:color="auto" w:fill="auto"/>
            <w:vAlign w:val="bottom"/>
            <w:hideMark/>
          </w:tcPr>
          <w:p w14:paraId="2B22D44F"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Верхневилюйский улус (район)</w:t>
            </w:r>
          </w:p>
        </w:tc>
        <w:tc>
          <w:tcPr>
            <w:tcW w:w="927" w:type="pct"/>
            <w:tcBorders>
              <w:top w:val="nil"/>
              <w:left w:val="nil"/>
              <w:bottom w:val="single" w:sz="4" w:space="0" w:color="auto"/>
              <w:right w:val="single" w:sz="4" w:space="0" w:color="auto"/>
            </w:tcBorders>
            <w:shd w:val="clear" w:color="auto" w:fill="auto"/>
            <w:vAlign w:val="center"/>
            <w:hideMark/>
          </w:tcPr>
          <w:p w14:paraId="7237B43C" w14:textId="77777777" w:rsidR="0047261E" w:rsidRPr="0047261E" w:rsidRDefault="0047261E" w:rsidP="003E7869">
            <w:pPr>
              <w:widowControl w:val="0"/>
              <w:suppressAutoHyphens/>
              <w:autoSpaceDN w:val="0"/>
              <w:ind w:firstLine="0"/>
              <w:jc w:val="center"/>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21 356</w:t>
            </w:r>
          </w:p>
        </w:tc>
        <w:tc>
          <w:tcPr>
            <w:tcW w:w="900" w:type="pct"/>
            <w:tcBorders>
              <w:top w:val="nil"/>
              <w:left w:val="nil"/>
              <w:bottom w:val="single" w:sz="4" w:space="0" w:color="auto"/>
              <w:right w:val="single" w:sz="4" w:space="0" w:color="auto"/>
            </w:tcBorders>
            <w:shd w:val="clear" w:color="auto" w:fill="auto"/>
            <w:vAlign w:val="center"/>
            <w:hideMark/>
          </w:tcPr>
          <w:p w14:paraId="5E0A6452" w14:textId="77777777" w:rsidR="0047261E" w:rsidRPr="0047261E" w:rsidRDefault="0047261E" w:rsidP="003E7869">
            <w:pPr>
              <w:widowControl w:val="0"/>
              <w:suppressAutoHyphens/>
              <w:autoSpaceDN w:val="0"/>
              <w:ind w:firstLine="0"/>
              <w:jc w:val="center"/>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21 002</w:t>
            </w:r>
          </w:p>
        </w:tc>
      </w:tr>
      <w:tr w:rsidR="0047261E" w:rsidRPr="0047261E" w14:paraId="2CC664D9" w14:textId="77777777" w:rsidTr="003E7869">
        <w:trPr>
          <w:trHeight w:val="315"/>
        </w:trPr>
        <w:tc>
          <w:tcPr>
            <w:tcW w:w="457" w:type="pct"/>
            <w:tcBorders>
              <w:top w:val="nil"/>
              <w:left w:val="single" w:sz="4" w:space="0" w:color="auto"/>
              <w:bottom w:val="single" w:sz="4" w:space="0" w:color="auto"/>
              <w:right w:val="single" w:sz="4" w:space="0" w:color="auto"/>
            </w:tcBorders>
            <w:shd w:val="clear" w:color="auto" w:fill="auto"/>
            <w:vAlign w:val="bottom"/>
            <w:hideMark/>
          </w:tcPr>
          <w:p w14:paraId="4EE2113A" w14:textId="77777777" w:rsidR="0047261E" w:rsidRPr="0047261E" w:rsidRDefault="0047261E" w:rsidP="0047261E">
            <w:pPr>
              <w:widowControl w:val="0"/>
              <w:suppressAutoHyphens/>
              <w:autoSpaceDN w:val="0"/>
              <w:ind w:firstLine="0"/>
              <w:jc w:val="center"/>
              <w:textAlignment w:val="baseline"/>
              <w:rPr>
                <w:rFonts w:eastAsia="Times New Roman" w:cs="Times New Roman"/>
                <w:color w:val="000000"/>
                <w:kern w:val="3"/>
                <w:szCs w:val="24"/>
                <w:lang w:eastAsia="ru-RU" w:bidi="hi-IN"/>
              </w:rPr>
            </w:pPr>
            <w:r w:rsidRPr="0047261E">
              <w:rPr>
                <w:rFonts w:eastAsia="Times New Roman" w:cs="Times New Roman"/>
                <w:color w:val="000000"/>
                <w:kern w:val="3"/>
                <w:szCs w:val="24"/>
                <w:lang w:eastAsia="ru-RU" w:bidi="hi-IN"/>
              </w:rPr>
              <w:t>10</w:t>
            </w:r>
          </w:p>
        </w:tc>
        <w:tc>
          <w:tcPr>
            <w:tcW w:w="2717" w:type="pct"/>
            <w:tcBorders>
              <w:top w:val="nil"/>
              <w:left w:val="nil"/>
              <w:bottom w:val="single" w:sz="4" w:space="0" w:color="auto"/>
              <w:right w:val="single" w:sz="4" w:space="0" w:color="auto"/>
            </w:tcBorders>
            <w:shd w:val="clear" w:color="auto" w:fill="auto"/>
            <w:vAlign w:val="bottom"/>
            <w:hideMark/>
          </w:tcPr>
          <w:p w14:paraId="51BBAFAB"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Верхнеколымский улус (район)</w:t>
            </w:r>
          </w:p>
        </w:tc>
        <w:tc>
          <w:tcPr>
            <w:tcW w:w="927" w:type="pct"/>
            <w:tcBorders>
              <w:top w:val="nil"/>
              <w:left w:val="nil"/>
              <w:bottom w:val="single" w:sz="4" w:space="0" w:color="auto"/>
              <w:right w:val="single" w:sz="4" w:space="0" w:color="auto"/>
            </w:tcBorders>
            <w:shd w:val="clear" w:color="auto" w:fill="auto"/>
            <w:vAlign w:val="center"/>
            <w:hideMark/>
          </w:tcPr>
          <w:p w14:paraId="284F058B" w14:textId="77777777" w:rsidR="0047261E" w:rsidRPr="0047261E" w:rsidRDefault="0047261E" w:rsidP="003E7869">
            <w:pPr>
              <w:widowControl w:val="0"/>
              <w:suppressAutoHyphens/>
              <w:autoSpaceDN w:val="0"/>
              <w:ind w:firstLine="0"/>
              <w:jc w:val="center"/>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4 558</w:t>
            </w:r>
          </w:p>
        </w:tc>
        <w:tc>
          <w:tcPr>
            <w:tcW w:w="900" w:type="pct"/>
            <w:tcBorders>
              <w:top w:val="nil"/>
              <w:left w:val="nil"/>
              <w:bottom w:val="single" w:sz="4" w:space="0" w:color="auto"/>
              <w:right w:val="single" w:sz="4" w:space="0" w:color="auto"/>
            </w:tcBorders>
            <w:shd w:val="clear" w:color="auto" w:fill="auto"/>
            <w:vAlign w:val="center"/>
            <w:hideMark/>
          </w:tcPr>
          <w:p w14:paraId="7A9477D7" w14:textId="77777777" w:rsidR="0047261E" w:rsidRPr="0047261E" w:rsidRDefault="0047261E" w:rsidP="003E7869">
            <w:pPr>
              <w:widowControl w:val="0"/>
              <w:suppressAutoHyphens/>
              <w:autoSpaceDN w:val="0"/>
              <w:ind w:firstLine="0"/>
              <w:jc w:val="center"/>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4 123</w:t>
            </w:r>
          </w:p>
        </w:tc>
      </w:tr>
      <w:tr w:rsidR="0047261E" w:rsidRPr="0047261E" w14:paraId="74A0D6CE" w14:textId="77777777" w:rsidTr="003E7869">
        <w:trPr>
          <w:trHeight w:val="315"/>
        </w:trPr>
        <w:tc>
          <w:tcPr>
            <w:tcW w:w="457" w:type="pct"/>
            <w:tcBorders>
              <w:top w:val="nil"/>
              <w:left w:val="single" w:sz="4" w:space="0" w:color="auto"/>
              <w:bottom w:val="single" w:sz="4" w:space="0" w:color="auto"/>
              <w:right w:val="single" w:sz="4" w:space="0" w:color="auto"/>
            </w:tcBorders>
            <w:shd w:val="clear" w:color="auto" w:fill="auto"/>
            <w:vAlign w:val="bottom"/>
            <w:hideMark/>
          </w:tcPr>
          <w:p w14:paraId="5217A87B" w14:textId="77777777" w:rsidR="0047261E" w:rsidRPr="0047261E" w:rsidRDefault="0047261E" w:rsidP="0047261E">
            <w:pPr>
              <w:widowControl w:val="0"/>
              <w:suppressAutoHyphens/>
              <w:autoSpaceDN w:val="0"/>
              <w:ind w:firstLine="0"/>
              <w:jc w:val="center"/>
              <w:textAlignment w:val="baseline"/>
              <w:rPr>
                <w:rFonts w:eastAsia="Times New Roman" w:cs="Times New Roman"/>
                <w:color w:val="000000"/>
                <w:kern w:val="3"/>
                <w:szCs w:val="24"/>
                <w:lang w:eastAsia="ru-RU" w:bidi="hi-IN"/>
              </w:rPr>
            </w:pPr>
            <w:r w:rsidRPr="0047261E">
              <w:rPr>
                <w:rFonts w:eastAsia="Times New Roman" w:cs="Times New Roman"/>
                <w:color w:val="000000"/>
                <w:kern w:val="3"/>
                <w:szCs w:val="24"/>
                <w:lang w:eastAsia="ru-RU" w:bidi="hi-IN"/>
              </w:rPr>
              <w:t>11</w:t>
            </w:r>
          </w:p>
        </w:tc>
        <w:tc>
          <w:tcPr>
            <w:tcW w:w="2717" w:type="pct"/>
            <w:tcBorders>
              <w:top w:val="nil"/>
              <w:left w:val="nil"/>
              <w:bottom w:val="single" w:sz="4" w:space="0" w:color="auto"/>
              <w:right w:val="single" w:sz="4" w:space="0" w:color="auto"/>
            </w:tcBorders>
            <w:shd w:val="clear" w:color="auto" w:fill="auto"/>
            <w:vAlign w:val="bottom"/>
            <w:hideMark/>
          </w:tcPr>
          <w:p w14:paraId="70A753BE"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Верхоянский район</w:t>
            </w:r>
          </w:p>
        </w:tc>
        <w:tc>
          <w:tcPr>
            <w:tcW w:w="927" w:type="pct"/>
            <w:tcBorders>
              <w:top w:val="nil"/>
              <w:left w:val="nil"/>
              <w:bottom w:val="single" w:sz="4" w:space="0" w:color="auto"/>
              <w:right w:val="single" w:sz="4" w:space="0" w:color="auto"/>
            </w:tcBorders>
            <w:shd w:val="clear" w:color="auto" w:fill="auto"/>
            <w:vAlign w:val="center"/>
            <w:hideMark/>
          </w:tcPr>
          <w:p w14:paraId="5E4490CA" w14:textId="77777777" w:rsidR="0047261E" w:rsidRPr="0047261E" w:rsidRDefault="0047261E" w:rsidP="003E7869">
            <w:pPr>
              <w:widowControl w:val="0"/>
              <w:suppressAutoHyphens/>
              <w:autoSpaceDN w:val="0"/>
              <w:ind w:firstLine="0"/>
              <w:jc w:val="center"/>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12 394</w:t>
            </w:r>
          </w:p>
        </w:tc>
        <w:tc>
          <w:tcPr>
            <w:tcW w:w="900" w:type="pct"/>
            <w:tcBorders>
              <w:top w:val="nil"/>
              <w:left w:val="nil"/>
              <w:bottom w:val="single" w:sz="4" w:space="0" w:color="auto"/>
              <w:right w:val="single" w:sz="4" w:space="0" w:color="auto"/>
            </w:tcBorders>
            <w:shd w:val="clear" w:color="auto" w:fill="auto"/>
            <w:vAlign w:val="center"/>
            <w:hideMark/>
          </w:tcPr>
          <w:p w14:paraId="07737D76" w14:textId="77777777" w:rsidR="0047261E" w:rsidRPr="0047261E" w:rsidRDefault="0047261E" w:rsidP="003E7869">
            <w:pPr>
              <w:widowControl w:val="0"/>
              <w:suppressAutoHyphens/>
              <w:autoSpaceDN w:val="0"/>
              <w:ind w:firstLine="0"/>
              <w:jc w:val="center"/>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11 352</w:t>
            </w:r>
          </w:p>
        </w:tc>
      </w:tr>
      <w:tr w:rsidR="0047261E" w:rsidRPr="0047261E" w14:paraId="41CCE22E" w14:textId="77777777" w:rsidTr="003E7869">
        <w:trPr>
          <w:trHeight w:val="315"/>
        </w:trPr>
        <w:tc>
          <w:tcPr>
            <w:tcW w:w="457" w:type="pct"/>
            <w:tcBorders>
              <w:top w:val="nil"/>
              <w:left w:val="single" w:sz="4" w:space="0" w:color="auto"/>
              <w:bottom w:val="single" w:sz="4" w:space="0" w:color="auto"/>
              <w:right w:val="single" w:sz="4" w:space="0" w:color="auto"/>
            </w:tcBorders>
            <w:shd w:val="clear" w:color="auto" w:fill="auto"/>
            <w:vAlign w:val="bottom"/>
            <w:hideMark/>
          </w:tcPr>
          <w:p w14:paraId="595D8CDA" w14:textId="77777777" w:rsidR="0047261E" w:rsidRPr="0047261E" w:rsidRDefault="0047261E" w:rsidP="0047261E">
            <w:pPr>
              <w:widowControl w:val="0"/>
              <w:suppressAutoHyphens/>
              <w:autoSpaceDN w:val="0"/>
              <w:ind w:firstLine="0"/>
              <w:jc w:val="center"/>
              <w:textAlignment w:val="baseline"/>
              <w:rPr>
                <w:rFonts w:eastAsia="Times New Roman" w:cs="Times New Roman"/>
                <w:color w:val="000000"/>
                <w:kern w:val="3"/>
                <w:szCs w:val="24"/>
                <w:lang w:eastAsia="ru-RU" w:bidi="hi-IN"/>
              </w:rPr>
            </w:pPr>
            <w:r w:rsidRPr="0047261E">
              <w:rPr>
                <w:rFonts w:eastAsia="Times New Roman" w:cs="Times New Roman"/>
                <w:color w:val="000000"/>
                <w:kern w:val="3"/>
                <w:szCs w:val="24"/>
                <w:lang w:eastAsia="ru-RU" w:bidi="hi-IN"/>
              </w:rPr>
              <w:t>12</w:t>
            </w:r>
          </w:p>
        </w:tc>
        <w:tc>
          <w:tcPr>
            <w:tcW w:w="2717" w:type="pct"/>
            <w:tcBorders>
              <w:top w:val="nil"/>
              <w:left w:val="nil"/>
              <w:bottom w:val="single" w:sz="4" w:space="0" w:color="auto"/>
              <w:right w:val="single" w:sz="4" w:space="0" w:color="auto"/>
            </w:tcBorders>
            <w:shd w:val="clear" w:color="auto" w:fill="auto"/>
            <w:vAlign w:val="bottom"/>
            <w:hideMark/>
          </w:tcPr>
          <w:p w14:paraId="74F17650"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Вилюйский улус (район)</w:t>
            </w:r>
          </w:p>
        </w:tc>
        <w:tc>
          <w:tcPr>
            <w:tcW w:w="927" w:type="pct"/>
            <w:tcBorders>
              <w:top w:val="nil"/>
              <w:left w:val="nil"/>
              <w:bottom w:val="single" w:sz="4" w:space="0" w:color="auto"/>
              <w:right w:val="single" w:sz="4" w:space="0" w:color="auto"/>
            </w:tcBorders>
            <w:shd w:val="clear" w:color="auto" w:fill="auto"/>
            <w:vAlign w:val="center"/>
            <w:hideMark/>
          </w:tcPr>
          <w:p w14:paraId="6E54C336" w14:textId="77777777" w:rsidR="0047261E" w:rsidRPr="0047261E" w:rsidRDefault="0047261E" w:rsidP="003E7869">
            <w:pPr>
              <w:widowControl w:val="0"/>
              <w:suppressAutoHyphens/>
              <w:autoSpaceDN w:val="0"/>
              <w:ind w:firstLine="0"/>
              <w:jc w:val="center"/>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24 863</w:t>
            </w:r>
          </w:p>
        </w:tc>
        <w:tc>
          <w:tcPr>
            <w:tcW w:w="900" w:type="pct"/>
            <w:tcBorders>
              <w:top w:val="nil"/>
              <w:left w:val="nil"/>
              <w:bottom w:val="single" w:sz="4" w:space="0" w:color="auto"/>
              <w:right w:val="single" w:sz="4" w:space="0" w:color="auto"/>
            </w:tcBorders>
            <w:shd w:val="clear" w:color="auto" w:fill="auto"/>
            <w:vAlign w:val="center"/>
            <w:hideMark/>
          </w:tcPr>
          <w:p w14:paraId="44D1DB0A" w14:textId="77777777" w:rsidR="0047261E" w:rsidRPr="0047261E" w:rsidRDefault="0047261E" w:rsidP="003E7869">
            <w:pPr>
              <w:widowControl w:val="0"/>
              <w:suppressAutoHyphens/>
              <w:autoSpaceDN w:val="0"/>
              <w:ind w:firstLine="0"/>
              <w:jc w:val="center"/>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25 014</w:t>
            </w:r>
          </w:p>
        </w:tc>
      </w:tr>
      <w:tr w:rsidR="0047261E" w:rsidRPr="0047261E" w14:paraId="2ABE7EC7" w14:textId="77777777" w:rsidTr="003E7869">
        <w:trPr>
          <w:trHeight w:val="315"/>
        </w:trPr>
        <w:tc>
          <w:tcPr>
            <w:tcW w:w="457" w:type="pct"/>
            <w:tcBorders>
              <w:top w:val="nil"/>
              <w:left w:val="single" w:sz="4" w:space="0" w:color="auto"/>
              <w:bottom w:val="single" w:sz="4" w:space="0" w:color="auto"/>
              <w:right w:val="single" w:sz="4" w:space="0" w:color="auto"/>
            </w:tcBorders>
            <w:shd w:val="clear" w:color="auto" w:fill="auto"/>
            <w:vAlign w:val="bottom"/>
            <w:hideMark/>
          </w:tcPr>
          <w:p w14:paraId="6C0DC67D" w14:textId="77777777" w:rsidR="0047261E" w:rsidRPr="0047261E" w:rsidRDefault="0047261E" w:rsidP="0047261E">
            <w:pPr>
              <w:widowControl w:val="0"/>
              <w:suppressAutoHyphens/>
              <w:autoSpaceDN w:val="0"/>
              <w:ind w:firstLine="0"/>
              <w:jc w:val="center"/>
              <w:textAlignment w:val="baseline"/>
              <w:rPr>
                <w:rFonts w:eastAsia="Times New Roman" w:cs="Times New Roman"/>
                <w:color w:val="000000"/>
                <w:kern w:val="3"/>
                <w:szCs w:val="24"/>
                <w:lang w:eastAsia="ru-RU" w:bidi="hi-IN"/>
              </w:rPr>
            </w:pPr>
            <w:r w:rsidRPr="0047261E">
              <w:rPr>
                <w:rFonts w:eastAsia="Times New Roman" w:cs="Times New Roman"/>
                <w:color w:val="000000"/>
                <w:kern w:val="3"/>
                <w:szCs w:val="24"/>
                <w:lang w:eastAsia="ru-RU" w:bidi="hi-IN"/>
              </w:rPr>
              <w:t>13</w:t>
            </w:r>
          </w:p>
        </w:tc>
        <w:tc>
          <w:tcPr>
            <w:tcW w:w="2717" w:type="pct"/>
            <w:tcBorders>
              <w:top w:val="nil"/>
              <w:left w:val="nil"/>
              <w:bottom w:val="single" w:sz="4" w:space="0" w:color="auto"/>
              <w:right w:val="single" w:sz="4" w:space="0" w:color="auto"/>
            </w:tcBorders>
            <w:shd w:val="clear" w:color="auto" w:fill="auto"/>
            <w:vAlign w:val="bottom"/>
            <w:hideMark/>
          </w:tcPr>
          <w:p w14:paraId="6784AA0F"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Горный улус</w:t>
            </w:r>
          </w:p>
        </w:tc>
        <w:tc>
          <w:tcPr>
            <w:tcW w:w="927" w:type="pct"/>
            <w:tcBorders>
              <w:top w:val="nil"/>
              <w:left w:val="nil"/>
              <w:bottom w:val="single" w:sz="4" w:space="0" w:color="auto"/>
              <w:right w:val="single" w:sz="4" w:space="0" w:color="auto"/>
            </w:tcBorders>
            <w:shd w:val="clear" w:color="auto" w:fill="auto"/>
            <w:vAlign w:val="center"/>
            <w:hideMark/>
          </w:tcPr>
          <w:p w14:paraId="677CFD01" w14:textId="77777777" w:rsidR="0047261E" w:rsidRPr="0047261E" w:rsidRDefault="0047261E" w:rsidP="003E7869">
            <w:pPr>
              <w:widowControl w:val="0"/>
              <w:suppressAutoHyphens/>
              <w:autoSpaceDN w:val="0"/>
              <w:ind w:firstLine="0"/>
              <w:jc w:val="center"/>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11 670</w:t>
            </w:r>
          </w:p>
        </w:tc>
        <w:tc>
          <w:tcPr>
            <w:tcW w:w="900" w:type="pct"/>
            <w:tcBorders>
              <w:top w:val="nil"/>
              <w:left w:val="nil"/>
              <w:bottom w:val="single" w:sz="4" w:space="0" w:color="auto"/>
              <w:right w:val="single" w:sz="4" w:space="0" w:color="auto"/>
            </w:tcBorders>
            <w:shd w:val="clear" w:color="auto" w:fill="auto"/>
            <w:vAlign w:val="center"/>
            <w:hideMark/>
          </w:tcPr>
          <w:p w14:paraId="4102FD5C" w14:textId="77777777" w:rsidR="0047261E" w:rsidRPr="0047261E" w:rsidRDefault="0047261E" w:rsidP="003E7869">
            <w:pPr>
              <w:widowControl w:val="0"/>
              <w:suppressAutoHyphens/>
              <w:autoSpaceDN w:val="0"/>
              <w:ind w:firstLine="0"/>
              <w:jc w:val="center"/>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11 975</w:t>
            </w:r>
          </w:p>
        </w:tc>
      </w:tr>
      <w:tr w:rsidR="0047261E" w:rsidRPr="0047261E" w14:paraId="4F67F7F2" w14:textId="77777777" w:rsidTr="003E7869">
        <w:trPr>
          <w:trHeight w:val="315"/>
        </w:trPr>
        <w:tc>
          <w:tcPr>
            <w:tcW w:w="457" w:type="pct"/>
            <w:tcBorders>
              <w:top w:val="nil"/>
              <w:left w:val="single" w:sz="4" w:space="0" w:color="auto"/>
              <w:bottom w:val="single" w:sz="4" w:space="0" w:color="auto"/>
              <w:right w:val="single" w:sz="4" w:space="0" w:color="auto"/>
            </w:tcBorders>
            <w:shd w:val="clear" w:color="auto" w:fill="auto"/>
            <w:vAlign w:val="bottom"/>
            <w:hideMark/>
          </w:tcPr>
          <w:p w14:paraId="69124F4A" w14:textId="77777777" w:rsidR="0047261E" w:rsidRPr="0047261E" w:rsidRDefault="0047261E" w:rsidP="0047261E">
            <w:pPr>
              <w:widowControl w:val="0"/>
              <w:suppressAutoHyphens/>
              <w:autoSpaceDN w:val="0"/>
              <w:ind w:firstLine="0"/>
              <w:jc w:val="center"/>
              <w:textAlignment w:val="baseline"/>
              <w:rPr>
                <w:rFonts w:eastAsia="Times New Roman" w:cs="Times New Roman"/>
                <w:color w:val="000000"/>
                <w:kern w:val="3"/>
                <w:szCs w:val="24"/>
                <w:lang w:eastAsia="ru-RU" w:bidi="hi-IN"/>
              </w:rPr>
            </w:pPr>
            <w:r w:rsidRPr="0047261E">
              <w:rPr>
                <w:rFonts w:eastAsia="Times New Roman" w:cs="Times New Roman"/>
                <w:color w:val="000000"/>
                <w:kern w:val="3"/>
                <w:szCs w:val="24"/>
                <w:lang w:eastAsia="ru-RU" w:bidi="hi-IN"/>
              </w:rPr>
              <w:t>14</w:t>
            </w:r>
          </w:p>
        </w:tc>
        <w:tc>
          <w:tcPr>
            <w:tcW w:w="2717" w:type="pct"/>
            <w:tcBorders>
              <w:top w:val="nil"/>
              <w:left w:val="nil"/>
              <w:bottom w:val="single" w:sz="4" w:space="0" w:color="auto"/>
              <w:right w:val="single" w:sz="4" w:space="0" w:color="auto"/>
            </w:tcBorders>
            <w:shd w:val="clear" w:color="auto" w:fill="auto"/>
            <w:vAlign w:val="bottom"/>
            <w:hideMark/>
          </w:tcPr>
          <w:p w14:paraId="7E78B028"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Жиганский национальный эвенкийский район</w:t>
            </w:r>
          </w:p>
        </w:tc>
        <w:tc>
          <w:tcPr>
            <w:tcW w:w="927" w:type="pct"/>
            <w:tcBorders>
              <w:top w:val="nil"/>
              <w:left w:val="nil"/>
              <w:bottom w:val="single" w:sz="4" w:space="0" w:color="auto"/>
              <w:right w:val="single" w:sz="4" w:space="0" w:color="auto"/>
            </w:tcBorders>
            <w:shd w:val="clear" w:color="auto" w:fill="auto"/>
            <w:vAlign w:val="center"/>
            <w:hideMark/>
          </w:tcPr>
          <w:p w14:paraId="770AEC68" w14:textId="77777777" w:rsidR="0047261E" w:rsidRPr="0047261E" w:rsidRDefault="0047261E" w:rsidP="003E7869">
            <w:pPr>
              <w:widowControl w:val="0"/>
              <w:suppressAutoHyphens/>
              <w:autoSpaceDN w:val="0"/>
              <w:ind w:firstLine="0"/>
              <w:jc w:val="center"/>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4 274</w:t>
            </w:r>
          </w:p>
        </w:tc>
        <w:tc>
          <w:tcPr>
            <w:tcW w:w="900" w:type="pct"/>
            <w:tcBorders>
              <w:top w:val="nil"/>
              <w:left w:val="nil"/>
              <w:bottom w:val="single" w:sz="4" w:space="0" w:color="auto"/>
              <w:right w:val="single" w:sz="4" w:space="0" w:color="auto"/>
            </w:tcBorders>
            <w:shd w:val="clear" w:color="auto" w:fill="auto"/>
            <w:vAlign w:val="center"/>
            <w:hideMark/>
          </w:tcPr>
          <w:p w14:paraId="791C57FA" w14:textId="77777777" w:rsidR="0047261E" w:rsidRPr="0047261E" w:rsidRDefault="0047261E" w:rsidP="003E7869">
            <w:pPr>
              <w:widowControl w:val="0"/>
              <w:suppressAutoHyphens/>
              <w:autoSpaceDN w:val="0"/>
              <w:ind w:firstLine="0"/>
              <w:jc w:val="center"/>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4 222</w:t>
            </w:r>
          </w:p>
        </w:tc>
      </w:tr>
      <w:tr w:rsidR="0047261E" w:rsidRPr="0047261E" w14:paraId="2FA2F07D" w14:textId="77777777" w:rsidTr="003E7869">
        <w:trPr>
          <w:trHeight w:val="315"/>
        </w:trPr>
        <w:tc>
          <w:tcPr>
            <w:tcW w:w="457" w:type="pct"/>
            <w:tcBorders>
              <w:top w:val="nil"/>
              <w:left w:val="single" w:sz="4" w:space="0" w:color="auto"/>
              <w:bottom w:val="single" w:sz="4" w:space="0" w:color="auto"/>
              <w:right w:val="single" w:sz="4" w:space="0" w:color="auto"/>
            </w:tcBorders>
            <w:shd w:val="clear" w:color="auto" w:fill="auto"/>
            <w:vAlign w:val="bottom"/>
            <w:hideMark/>
          </w:tcPr>
          <w:p w14:paraId="629FEEEE" w14:textId="77777777" w:rsidR="0047261E" w:rsidRPr="0047261E" w:rsidRDefault="0047261E" w:rsidP="0047261E">
            <w:pPr>
              <w:widowControl w:val="0"/>
              <w:suppressAutoHyphens/>
              <w:autoSpaceDN w:val="0"/>
              <w:ind w:firstLine="0"/>
              <w:jc w:val="center"/>
              <w:textAlignment w:val="baseline"/>
              <w:rPr>
                <w:rFonts w:eastAsia="Times New Roman" w:cs="Times New Roman"/>
                <w:color w:val="000000"/>
                <w:kern w:val="3"/>
                <w:szCs w:val="24"/>
                <w:lang w:eastAsia="ru-RU" w:bidi="hi-IN"/>
              </w:rPr>
            </w:pPr>
            <w:r w:rsidRPr="0047261E">
              <w:rPr>
                <w:rFonts w:eastAsia="Times New Roman" w:cs="Times New Roman"/>
                <w:color w:val="000000"/>
                <w:kern w:val="3"/>
                <w:szCs w:val="24"/>
                <w:lang w:eastAsia="ru-RU" w:bidi="hi-IN"/>
              </w:rPr>
              <w:t>15</w:t>
            </w:r>
          </w:p>
        </w:tc>
        <w:tc>
          <w:tcPr>
            <w:tcW w:w="2717" w:type="pct"/>
            <w:tcBorders>
              <w:top w:val="nil"/>
              <w:left w:val="nil"/>
              <w:bottom w:val="single" w:sz="4" w:space="0" w:color="auto"/>
              <w:right w:val="single" w:sz="4" w:space="0" w:color="auto"/>
            </w:tcBorders>
            <w:shd w:val="clear" w:color="auto" w:fill="auto"/>
            <w:vAlign w:val="bottom"/>
            <w:hideMark/>
          </w:tcPr>
          <w:p w14:paraId="2C9E0F82"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Кобяйский улус (район)</w:t>
            </w:r>
          </w:p>
        </w:tc>
        <w:tc>
          <w:tcPr>
            <w:tcW w:w="927" w:type="pct"/>
            <w:tcBorders>
              <w:top w:val="nil"/>
              <w:left w:val="nil"/>
              <w:bottom w:val="single" w:sz="4" w:space="0" w:color="auto"/>
              <w:right w:val="single" w:sz="4" w:space="0" w:color="auto"/>
            </w:tcBorders>
            <w:shd w:val="clear" w:color="auto" w:fill="auto"/>
            <w:vAlign w:val="center"/>
            <w:hideMark/>
          </w:tcPr>
          <w:p w14:paraId="46C5A90C" w14:textId="77777777" w:rsidR="0047261E" w:rsidRPr="0047261E" w:rsidRDefault="0047261E" w:rsidP="003E7869">
            <w:pPr>
              <w:widowControl w:val="0"/>
              <w:suppressAutoHyphens/>
              <w:autoSpaceDN w:val="0"/>
              <w:ind w:firstLine="0"/>
              <w:jc w:val="center"/>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13 324</w:t>
            </w:r>
          </w:p>
        </w:tc>
        <w:tc>
          <w:tcPr>
            <w:tcW w:w="900" w:type="pct"/>
            <w:tcBorders>
              <w:top w:val="nil"/>
              <w:left w:val="nil"/>
              <w:bottom w:val="single" w:sz="4" w:space="0" w:color="auto"/>
              <w:right w:val="single" w:sz="4" w:space="0" w:color="auto"/>
            </w:tcBorders>
            <w:shd w:val="clear" w:color="auto" w:fill="auto"/>
            <w:vAlign w:val="center"/>
            <w:hideMark/>
          </w:tcPr>
          <w:p w14:paraId="27F2FB64" w14:textId="77777777" w:rsidR="0047261E" w:rsidRPr="0047261E" w:rsidRDefault="0047261E" w:rsidP="003E7869">
            <w:pPr>
              <w:widowControl w:val="0"/>
              <w:suppressAutoHyphens/>
              <w:autoSpaceDN w:val="0"/>
              <w:ind w:firstLine="0"/>
              <w:jc w:val="center"/>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12 429</w:t>
            </w:r>
          </w:p>
        </w:tc>
      </w:tr>
      <w:tr w:rsidR="0047261E" w:rsidRPr="0047261E" w14:paraId="0F0D2FA4" w14:textId="77777777" w:rsidTr="003E7869">
        <w:trPr>
          <w:trHeight w:val="315"/>
        </w:trPr>
        <w:tc>
          <w:tcPr>
            <w:tcW w:w="457" w:type="pct"/>
            <w:tcBorders>
              <w:top w:val="nil"/>
              <w:left w:val="single" w:sz="4" w:space="0" w:color="auto"/>
              <w:bottom w:val="single" w:sz="4" w:space="0" w:color="auto"/>
              <w:right w:val="single" w:sz="4" w:space="0" w:color="auto"/>
            </w:tcBorders>
            <w:shd w:val="clear" w:color="auto" w:fill="auto"/>
            <w:vAlign w:val="bottom"/>
            <w:hideMark/>
          </w:tcPr>
          <w:p w14:paraId="18F0B7FD" w14:textId="77777777" w:rsidR="0047261E" w:rsidRPr="0047261E" w:rsidRDefault="0047261E" w:rsidP="0047261E">
            <w:pPr>
              <w:widowControl w:val="0"/>
              <w:suppressAutoHyphens/>
              <w:autoSpaceDN w:val="0"/>
              <w:ind w:firstLine="0"/>
              <w:jc w:val="center"/>
              <w:textAlignment w:val="baseline"/>
              <w:rPr>
                <w:rFonts w:eastAsia="Times New Roman" w:cs="Times New Roman"/>
                <w:color w:val="000000"/>
                <w:kern w:val="3"/>
                <w:szCs w:val="24"/>
                <w:lang w:eastAsia="ru-RU" w:bidi="hi-IN"/>
              </w:rPr>
            </w:pPr>
            <w:r w:rsidRPr="0047261E">
              <w:rPr>
                <w:rFonts w:eastAsia="Times New Roman" w:cs="Times New Roman"/>
                <w:color w:val="000000"/>
                <w:kern w:val="3"/>
                <w:szCs w:val="24"/>
                <w:lang w:eastAsia="ru-RU" w:bidi="hi-IN"/>
              </w:rPr>
              <w:t>16</w:t>
            </w:r>
          </w:p>
        </w:tc>
        <w:tc>
          <w:tcPr>
            <w:tcW w:w="2717" w:type="pct"/>
            <w:tcBorders>
              <w:top w:val="nil"/>
              <w:left w:val="nil"/>
              <w:bottom w:val="single" w:sz="4" w:space="0" w:color="auto"/>
              <w:right w:val="single" w:sz="4" w:space="0" w:color="auto"/>
            </w:tcBorders>
            <w:shd w:val="clear" w:color="auto" w:fill="auto"/>
            <w:vAlign w:val="bottom"/>
            <w:hideMark/>
          </w:tcPr>
          <w:p w14:paraId="65CF30CF"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Ленский район</w:t>
            </w:r>
          </w:p>
        </w:tc>
        <w:tc>
          <w:tcPr>
            <w:tcW w:w="927" w:type="pct"/>
            <w:tcBorders>
              <w:top w:val="nil"/>
              <w:left w:val="nil"/>
              <w:bottom w:val="single" w:sz="4" w:space="0" w:color="auto"/>
              <w:right w:val="single" w:sz="4" w:space="0" w:color="auto"/>
            </w:tcBorders>
            <w:shd w:val="clear" w:color="auto" w:fill="auto"/>
            <w:vAlign w:val="center"/>
            <w:hideMark/>
          </w:tcPr>
          <w:p w14:paraId="5890757A" w14:textId="77777777" w:rsidR="0047261E" w:rsidRPr="0047261E" w:rsidRDefault="0047261E" w:rsidP="003E7869">
            <w:pPr>
              <w:widowControl w:val="0"/>
              <w:suppressAutoHyphens/>
              <w:autoSpaceDN w:val="0"/>
              <w:ind w:firstLine="0"/>
              <w:jc w:val="center"/>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39 544</w:t>
            </w:r>
          </w:p>
        </w:tc>
        <w:tc>
          <w:tcPr>
            <w:tcW w:w="900" w:type="pct"/>
            <w:tcBorders>
              <w:top w:val="nil"/>
              <w:left w:val="nil"/>
              <w:bottom w:val="single" w:sz="4" w:space="0" w:color="auto"/>
              <w:right w:val="single" w:sz="4" w:space="0" w:color="auto"/>
            </w:tcBorders>
            <w:shd w:val="clear" w:color="auto" w:fill="auto"/>
            <w:vAlign w:val="center"/>
            <w:hideMark/>
          </w:tcPr>
          <w:p w14:paraId="38F7A1F6" w14:textId="77777777" w:rsidR="0047261E" w:rsidRPr="0047261E" w:rsidRDefault="0047261E" w:rsidP="003E7869">
            <w:pPr>
              <w:widowControl w:val="0"/>
              <w:suppressAutoHyphens/>
              <w:autoSpaceDN w:val="0"/>
              <w:ind w:firstLine="0"/>
              <w:jc w:val="center"/>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37 077</w:t>
            </w:r>
          </w:p>
        </w:tc>
      </w:tr>
      <w:tr w:rsidR="0047261E" w:rsidRPr="0047261E" w14:paraId="2F9444C8" w14:textId="77777777" w:rsidTr="003E7869">
        <w:trPr>
          <w:trHeight w:val="315"/>
        </w:trPr>
        <w:tc>
          <w:tcPr>
            <w:tcW w:w="457" w:type="pct"/>
            <w:tcBorders>
              <w:top w:val="nil"/>
              <w:left w:val="single" w:sz="4" w:space="0" w:color="auto"/>
              <w:bottom w:val="single" w:sz="4" w:space="0" w:color="auto"/>
              <w:right w:val="single" w:sz="4" w:space="0" w:color="auto"/>
            </w:tcBorders>
            <w:shd w:val="clear" w:color="auto" w:fill="auto"/>
            <w:vAlign w:val="bottom"/>
            <w:hideMark/>
          </w:tcPr>
          <w:p w14:paraId="07E94ED2" w14:textId="77777777" w:rsidR="0047261E" w:rsidRPr="0047261E" w:rsidRDefault="0047261E" w:rsidP="0047261E">
            <w:pPr>
              <w:widowControl w:val="0"/>
              <w:suppressAutoHyphens/>
              <w:autoSpaceDN w:val="0"/>
              <w:ind w:firstLine="0"/>
              <w:jc w:val="center"/>
              <w:textAlignment w:val="baseline"/>
              <w:rPr>
                <w:rFonts w:eastAsia="Times New Roman" w:cs="Times New Roman"/>
                <w:color w:val="000000"/>
                <w:kern w:val="3"/>
                <w:szCs w:val="24"/>
                <w:lang w:eastAsia="ru-RU" w:bidi="hi-IN"/>
              </w:rPr>
            </w:pPr>
            <w:r w:rsidRPr="0047261E">
              <w:rPr>
                <w:rFonts w:eastAsia="Times New Roman" w:cs="Times New Roman"/>
                <w:color w:val="000000"/>
                <w:kern w:val="3"/>
                <w:szCs w:val="24"/>
                <w:lang w:eastAsia="ru-RU" w:bidi="hi-IN"/>
              </w:rPr>
              <w:t>17</w:t>
            </w:r>
          </w:p>
        </w:tc>
        <w:tc>
          <w:tcPr>
            <w:tcW w:w="2717" w:type="pct"/>
            <w:tcBorders>
              <w:top w:val="nil"/>
              <w:left w:val="nil"/>
              <w:bottom w:val="single" w:sz="4" w:space="0" w:color="auto"/>
              <w:right w:val="single" w:sz="4" w:space="0" w:color="auto"/>
            </w:tcBorders>
            <w:shd w:val="clear" w:color="auto" w:fill="auto"/>
            <w:vAlign w:val="bottom"/>
            <w:hideMark/>
          </w:tcPr>
          <w:p w14:paraId="1C817029"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Мегино-Кангаласский улус</w:t>
            </w:r>
          </w:p>
        </w:tc>
        <w:tc>
          <w:tcPr>
            <w:tcW w:w="927" w:type="pct"/>
            <w:tcBorders>
              <w:top w:val="nil"/>
              <w:left w:val="nil"/>
              <w:bottom w:val="single" w:sz="4" w:space="0" w:color="auto"/>
              <w:right w:val="single" w:sz="4" w:space="0" w:color="auto"/>
            </w:tcBorders>
            <w:shd w:val="clear" w:color="auto" w:fill="auto"/>
            <w:vAlign w:val="center"/>
            <w:hideMark/>
          </w:tcPr>
          <w:p w14:paraId="2CB88C45" w14:textId="77777777" w:rsidR="0047261E" w:rsidRPr="0047261E" w:rsidRDefault="0047261E" w:rsidP="003E7869">
            <w:pPr>
              <w:widowControl w:val="0"/>
              <w:suppressAutoHyphens/>
              <w:autoSpaceDN w:val="0"/>
              <w:ind w:firstLine="0"/>
              <w:jc w:val="center"/>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30 870</w:t>
            </w:r>
          </w:p>
        </w:tc>
        <w:tc>
          <w:tcPr>
            <w:tcW w:w="900" w:type="pct"/>
            <w:tcBorders>
              <w:top w:val="nil"/>
              <w:left w:val="nil"/>
              <w:bottom w:val="single" w:sz="4" w:space="0" w:color="auto"/>
              <w:right w:val="single" w:sz="4" w:space="0" w:color="auto"/>
            </w:tcBorders>
            <w:shd w:val="clear" w:color="auto" w:fill="auto"/>
            <w:vAlign w:val="center"/>
            <w:hideMark/>
          </w:tcPr>
          <w:p w14:paraId="3EE9EF76" w14:textId="77777777" w:rsidR="0047261E" w:rsidRPr="0047261E" w:rsidRDefault="0047261E" w:rsidP="003E7869">
            <w:pPr>
              <w:widowControl w:val="0"/>
              <w:suppressAutoHyphens/>
              <w:autoSpaceDN w:val="0"/>
              <w:ind w:firstLine="0"/>
              <w:jc w:val="center"/>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30 971</w:t>
            </w:r>
          </w:p>
        </w:tc>
      </w:tr>
      <w:tr w:rsidR="0047261E" w:rsidRPr="0047261E" w14:paraId="1CD7CE34" w14:textId="77777777" w:rsidTr="003E7869">
        <w:trPr>
          <w:trHeight w:val="315"/>
        </w:trPr>
        <w:tc>
          <w:tcPr>
            <w:tcW w:w="457" w:type="pct"/>
            <w:tcBorders>
              <w:top w:val="nil"/>
              <w:left w:val="single" w:sz="4" w:space="0" w:color="auto"/>
              <w:bottom w:val="single" w:sz="4" w:space="0" w:color="auto"/>
              <w:right w:val="single" w:sz="4" w:space="0" w:color="auto"/>
            </w:tcBorders>
            <w:shd w:val="clear" w:color="auto" w:fill="auto"/>
            <w:vAlign w:val="bottom"/>
            <w:hideMark/>
          </w:tcPr>
          <w:p w14:paraId="661F67FF" w14:textId="77777777" w:rsidR="0047261E" w:rsidRPr="0047261E" w:rsidRDefault="0047261E" w:rsidP="0047261E">
            <w:pPr>
              <w:widowControl w:val="0"/>
              <w:suppressAutoHyphens/>
              <w:autoSpaceDN w:val="0"/>
              <w:ind w:firstLine="0"/>
              <w:jc w:val="center"/>
              <w:textAlignment w:val="baseline"/>
              <w:rPr>
                <w:rFonts w:eastAsia="Times New Roman" w:cs="Times New Roman"/>
                <w:color w:val="000000"/>
                <w:kern w:val="3"/>
                <w:szCs w:val="24"/>
                <w:lang w:eastAsia="ru-RU" w:bidi="hi-IN"/>
              </w:rPr>
            </w:pPr>
            <w:r w:rsidRPr="0047261E">
              <w:rPr>
                <w:rFonts w:eastAsia="Times New Roman" w:cs="Times New Roman"/>
                <w:color w:val="000000"/>
                <w:kern w:val="3"/>
                <w:szCs w:val="24"/>
                <w:lang w:eastAsia="ru-RU" w:bidi="hi-IN"/>
              </w:rPr>
              <w:t>18</w:t>
            </w:r>
          </w:p>
        </w:tc>
        <w:tc>
          <w:tcPr>
            <w:tcW w:w="2717" w:type="pct"/>
            <w:tcBorders>
              <w:top w:val="nil"/>
              <w:left w:val="nil"/>
              <w:bottom w:val="single" w:sz="4" w:space="0" w:color="auto"/>
              <w:right w:val="single" w:sz="4" w:space="0" w:color="auto"/>
            </w:tcBorders>
            <w:shd w:val="clear" w:color="auto" w:fill="auto"/>
            <w:vAlign w:val="bottom"/>
            <w:hideMark/>
          </w:tcPr>
          <w:p w14:paraId="5DE59C71"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Мирнинский район</w:t>
            </w:r>
          </w:p>
        </w:tc>
        <w:tc>
          <w:tcPr>
            <w:tcW w:w="927" w:type="pct"/>
            <w:tcBorders>
              <w:top w:val="nil"/>
              <w:left w:val="nil"/>
              <w:bottom w:val="single" w:sz="4" w:space="0" w:color="auto"/>
              <w:right w:val="single" w:sz="4" w:space="0" w:color="auto"/>
            </w:tcBorders>
            <w:shd w:val="clear" w:color="auto" w:fill="auto"/>
            <w:vAlign w:val="center"/>
            <w:hideMark/>
          </w:tcPr>
          <w:p w14:paraId="4CAF9017" w14:textId="77777777" w:rsidR="0047261E" w:rsidRPr="0047261E" w:rsidRDefault="0047261E" w:rsidP="003E7869">
            <w:pPr>
              <w:widowControl w:val="0"/>
              <w:suppressAutoHyphens/>
              <w:autoSpaceDN w:val="0"/>
              <w:ind w:firstLine="0"/>
              <w:jc w:val="center"/>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73 197</w:t>
            </w:r>
          </w:p>
        </w:tc>
        <w:tc>
          <w:tcPr>
            <w:tcW w:w="900" w:type="pct"/>
            <w:tcBorders>
              <w:top w:val="nil"/>
              <w:left w:val="nil"/>
              <w:bottom w:val="single" w:sz="4" w:space="0" w:color="auto"/>
              <w:right w:val="single" w:sz="4" w:space="0" w:color="auto"/>
            </w:tcBorders>
            <w:shd w:val="clear" w:color="auto" w:fill="auto"/>
            <w:vAlign w:val="center"/>
            <w:hideMark/>
          </w:tcPr>
          <w:p w14:paraId="0637918F" w14:textId="77777777" w:rsidR="0047261E" w:rsidRPr="0047261E" w:rsidRDefault="0047261E" w:rsidP="003E7869">
            <w:pPr>
              <w:widowControl w:val="0"/>
              <w:suppressAutoHyphens/>
              <w:autoSpaceDN w:val="0"/>
              <w:ind w:firstLine="0"/>
              <w:jc w:val="center"/>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72 171</w:t>
            </w:r>
          </w:p>
        </w:tc>
      </w:tr>
      <w:tr w:rsidR="0047261E" w:rsidRPr="0047261E" w14:paraId="2EA15332" w14:textId="77777777" w:rsidTr="003E7869">
        <w:trPr>
          <w:trHeight w:val="315"/>
        </w:trPr>
        <w:tc>
          <w:tcPr>
            <w:tcW w:w="457" w:type="pct"/>
            <w:tcBorders>
              <w:top w:val="nil"/>
              <w:left w:val="single" w:sz="4" w:space="0" w:color="auto"/>
              <w:bottom w:val="single" w:sz="4" w:space="0" w:color="auto"/>
              <w:right w:val="single" w:sz="4" w:space="0" w:color="auto"/>
            </w:tcBorders>
            <w:shd w:val="clear" w:color="auto" w:fill="auto"/>
            <w:vAlign w:val="bottom"/>
            <w:hideMark/>
          </w:tcPr>
          <w:p w14:paraId="1E0E5DA9" w14:textId="77777777" w:rsidR="0047261E" w:rsidRPr="0047261E" w:rsidRDefault="0047261E" w:rsidP="0047261E">
            <w:pPr>
              <w:widowControl w:val="0"/>
              <w:suppressAutoHyphens/>
              <w:autoSpaceDN w:val="0"/>
              <w:ind w:firstLine="0"/>
              <w:jc w:val="center"/>
              <w:textAlignment w:val="baseline"/>
              <w:rPr>
                <w:rFonts w:eastAsia="Times New Roman" w:cs="Times New Roman"/>
                <w:color w:val="000000"/>
                <w:kern w:val="3"/>
                <w:szCs w:val="24"/>
                <w:lang w:eastAsia="ru-RU" w:bidi="hi-IN"/>
              </w:rPr>
            </w:pPr>
            <w:r w:rsidRPr="0047261E">
              <w:rPr>
                <w:rFonts w:eastAsia="Times New Roman" w:cs="Times New Roman"/>
                <w:color w:val="000000"/>
                <w:kern w:val="3"/>
                <w:szCs w:val="24"/>
                <w:lang w:eastAsia="ru-RU" w:bidi="hi-IN"/>
              </w:rPr>
              <w:t>19</w:t>
            </w:r>
          </w:p>
        </w:tc>
        <w:tc>
          <w:tcPr>
            <w:tcW w:w="2717" w:type="pct"/>
            <w:tcBorders>
              <w:top w:val="nil"/>
              <w:left w:val="nil"/>
              <w:bottom w:val="single" w:sz="4" w:space="0" w:color="auto"/>
              <w:right w:val="single" w:sz="4" w:space="0" w:color="auto"/>
            </w:tcBorders>
            <w:shd w:val="clear" w:color="auto" w:fill="auto"/>
            <w:vAlign w:val="bottom"/>
            <w:hideMark/>
          </w:tcPr>
          <w:p w14:paraId="282BDBC9"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Момский район</w:t>
            </w:r>
          </w:p>
        </w:tc>
        <w:tc>
          <w:tcPr>
            <w:tcW w:w="927" w:type="pct"/>
            <w:tcBorders>
              <w:top w:val="nil"/>
              <w:left w:val="nil"/>
              <w:bottom w:val="single" w:sz="4" w:space="0" w:color="auto"/>
              <w:right w:val="single" w:sz="4" w:space="0" w:color="auto"/>
            </w:tcBorders>
            <w:shd w:val="clear" w:color="auto" w:fill="auto"/>
            <w:vAlign w:val="center"/>
            <w:hideMark/>
          </w:tcPr>
          <w:p w14:paraId="359B7B1F" w14:textId="77777777" w:rsidR="0047261E" w:rsidRPr="0047261E" w:rsidRDefault="0047261E" w:rsidP="003E7869">
            <w:pPr>
              <w:widowControl w:val="0"/>
              <w:suppressAutoHyphens/>
              <w:autoSpaceDN w:val="0"/>
              <w:ind w:firstLine="0"/>
              <w:jc w:val="center"/>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4 391</w:t>
            </w:r>
          </w:p>
        </w:tc>
        <w:tc>
          <w:tcPr>
            <w:tcW w:w="900" w:type="pct"/>
            <w:tcBorders>
              <w:top w:val="nil"/>
              <w:left w:val="nil"/>
              <w:bottom w:val="single" w:sz="4" w:space="0" w:color="auto"/>
              <w:right w:val="single" w:sz="4" w:space="0" w:color="auto"/>
            </w:tcBorders>
            <w:shd w:val="clear" w:color="auto" w:fill="auto"/>
            <w:vAlign w:val="center"/>
            <w:hideMark/>
          </w:tcPr>
          <w:p w14:paraId="28CF2A95" w14:textId="77777777" w:rsidR="0047261E" w:rsidRPr="0047261E" w:rsidRDefault="0047261E" w:rsidP="003E7869">
            <w:pPr>
              <w:widowControl w:val="0"/>
              <w:suppressAutoHyphens/>
              <w:autoSpaceDN w:val="0"/>
              <w:ind w:firstLine="0"/>
              <w:jc w:val="center"/>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4 073</w:t>
            </w:r>
          </w:p>
        </w:tc>
      </w:tr>
      <w:tr w:rsidR="0047261E" w:rsidRPr="0047261E" w14:paraId="7E7CCB6A" w14:textId="77777777" w:rsidTr="003E7869">
        <w:trPr>
          <w:trHeight w:val="315"/>
        </w:trPr>
        <w:tc>
          <w:tcPr>
            <w:tcW w:w="457" w:type="pct"/>
            <w:tcBorders>
              <w:top w:val="nil"/>
              <w:left w:val="single" w:sz="4" w:space="0" w:color="auto"/>
              <w:bottom w:val="single" w:sz="4" w:space="0" w:color="auto"/>
              <w:right w:val="single" w:sz="4" w:space="0" w:color="auto"/>
            </w:tcBorders>
            <w:shd w:val="clear" w:color="auto" w:fill="auto"/>
            <w:vAlign w:val="bottom"/>
            <w:hideMark/>
          </w:tcPr>
          <w:p w14:paraId="7E01806C" w14:textId="77777777" w:rsidR="0047261E" w:rsidRPr="0047261E" w:rsidRDefault="0047261E" w:rsidP="0047261E">
            <w:pPr>
              <w:widowControl w:val="0"/>
              <w:suppressAutoHyphens/>
              <w:autoSpaceDN w:val="0"/>
              <w:ind w:firstLine="0"/>
              <w:jc w:val="center"/>
              <w:textAlignment w:val="baseline"/>
              <w:rPr>
                <w:rFonts w:eastAsia="Times New Roman" w:cs="Times New Roman"/>
                <w:color w:val="000000"/>
                <w:kern w:val="3"/>
                <w:szCs w:val="24"/>
                <w:lang w:eastAsia="ru-RU" w:bidi="hi-IN"/>
              </w:rPr>
            </w:pPr>
            <w:r w:rsidRPr="0047261E">
              <w:rPr>
                <w:rFonts w:eastAsia="Times New Roman" w:cs="Times New Roman"/>
                <w:color w:val="000000"/>
                <w:kern w:val="3"/>
                <w:szCs w:val="24"/>
                <w:lang w:eastAsia="ru-RU" w:bidi="hi-IN"/>
              </w:rPr>
              <w:t>20</w:t>
            </w:r>
          </w:p>
        </w:tc>
        <w:tc>
          <w:tcPr>
            <w:tcW w:w="2717" w:type="pct"/>
            <w:tcBorders>
              <w:top w:val="nil"/>
              <w:left w:val="nil"/>
              <w:bottom w:val="single" w:sz="4" w:space="0" w:color="auto"/>
              <w:right w:val="single" w:sz="4" w:space="0" w:color="auto"/>
            </w:tcBorders>
            <w:shd w:val="clear" w:color="auto" w:fill="auto"/>
            <w:vAlign w:val="bottom"/>
            <w:hideMark/>
          </w:tcPr>
          <w:p w14:paraId="1AA8B895"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Намский улус</w:t>
            </w:r>
          </w:p>
        </w:tc>
        <w:tc>
          <w:tcPr>
            <w:tcW w:w="927" w:type="pct"/>
            <w:tcBorders>
              <w:top w:val="nil"/>
              <w:left w:val="nil"/>
              <w:bottom w:val="single" w:sz="4" w:space="0" w:color="auto"/>
              <w:right w:val="single" w:sz="4" w:space="0" w:color="auto"/>
            </w:tcBorders>
            <w:shd w:val="clear" w:color="auto" w:fill="auto"/>
            <w:vAlign w:val="center"/>
            <w:hideMark/>
          </w:tcPr>
          <w:p w14:paraId="55BDDDA8" w14:textId="77777777" w:rsidR="0047261E" w:rsidRPr="0047261E" w:rsidRDefault="0047261E" w:rsidP="003E7869">
            <w:pPr>
              <w:widowControl w:val="0"/>
              <w:suppressAutoHyphens/>
              <w:autoSpaceDN w:val="0"/>
              <w:ind w:firstLine="0"/>
              <w:jc w:val="center"/>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23 228</w:t>
            </w:r>
          </w:p>
        </w:tc>
        <w:tc>
          <w:tcPr>
            <w:tcW w:w="900" w:type="pct"/>
            <w:tcBorders>
              <w:top w:val="nil"/>
              <w:left w:val="nil"/>
              <w:bottom w:val="single" w:sz="4" w:space="0" w:color="auto"/>
              <w:right w:val="single" w:sz="4" w:space="0" w:color="auto"/>
            </w:tcBorders>
            <w:shd w:val="clear" w:color="auto" w:fill="auto"/>
            <w:vAlign w:val="center"/>
            <w:hideMark/>
          </w:tcPr>
          <w:p w14:paraId="6FED5257" w14:textId="77777777" w:rsidR="0047261E" w:rsidRPr="0047261E" w:rsidRDefault="0047261E" w:rsidP="003E7869">
            <w:pPr>
              <w:widowControl w:val="0"/>
              <w:suppressAutoHyphens/>
              <w:autoSpaceDN w:val="0"/>
              <w:ind w:firstLine="0"/>
              <w:jc w:val="center"/>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24 585</w:t>
            </w:r>
          </w:p>
        </w:tc>
      </w:tr>
      <w:tr w:rsidR="0047261E" w:rsidRPr="0047261E" w14:paraId="0559F1B2" w14:textId="77777777" w:rsidTr="003E7869">
        <w:trPr>
          <w:trHeight w:val="315"/>
        </w:trPr>
        <w:tc>
          <w:tcPr>
            <w:tcW w:w="457" w:type="pct"/>
            <w:tcBorders>
              <w:top w:val="nil"/>
              <w:left w:val="single" w:sz="4" w:space="0" w:color="auto"/>
              <w:bottom w:val="single" w:sz="4" w:space="0" w:color="auto"/>
              <w:right w:val="single" w:sz="4" w:space="0" w:color="auto"/>
            </w:tcBorders>
            <w:shd w:val="clear" w:color="auto" w:fill="auto"/>
            <w:vAlign w:val="bottom"/>
            <w:hideMark/>
          </w:tcPr>
          <w:p w14:paraId="14948C6F" w14:textId="77777777" w:rsidR="0047261E" w:rsidRPr="0047261E" w:rsidRDefault="0047261E" w:rsidP="0047261E">
            <w:pPr>
              <w:widowControl w:val="0"/>
              <w:suppressAutoHyphens/>
              <w:autoSpaceDN w:val="0"/>
              <w:ind w:firstLine="0"/>
              <w:jc w:val="center"/>
              <w:textAlignment w:val="baseline"/>
              <w:rPr>
                <w:rFonts w:eastAsia="Times New Roman" w:cs="Times New Roman"/>
                <w:color w:val="000000"/>
                <w:kern w:val="3"/>
                <w:szCs w:val="24"/>
                <w:lang w:eastAsia="ru-RU" w:bidi="hi-IN"/>
              </w:rPr>
            </w:pPr>
            <w:r w:rsidRPr="0047261E">
              <w:rPr>
                <w:rFonts w:eastAsia="Times New Roman" w:cs="Times New Roman"/>
                <w:color w:val="000000"/>
                <w:kern w:val="3"/>
                <w:szCs w:val="24"/>
                <w:lang w:eastAsia="ru-RU" w:bidi="hi-IN"/>
              </w:rPr>
              <w:t>21</w:t>
            </w:r>
          </w:p>
        </w:tc>
        <w:tc>
          <w:tcPr>
            <w:tcW w:w="2717" w:type="pct"/>
            <w:tcBorders>
              <w:top w:val="nil"/>
              <w:left w:val="nil"/>
              <w:bottom w:val="single" w:sz="4" w:space="0" w:color="auto"/>
              <w:right w:val="single" w:sz="4" w:space="0" w:color="auto"/>
            </w:tcBorders>
            <w:shd w:val="clear" w:color="auto" w:fill="auto"/>
            <w:vAlign w:val="bottom"/>
            <w:hideMark/>
          </w:tcPr>
          <w:p w14:paraId="21DC3998"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Нерюнгринский район</w:t>
            </w:r>
          </w:p>
        </w:tc>
        <w:tc>
          <w:tcPr>
            <w:tcW w:w="927" w:type="pct"/>
            <w:tcBorders>
              <w:top w:val="nil"/>
              <w:left w:val="nil"/>
              <w:bottom w:val="single" w:sz="4" w:space="0" w:color="auto"/>
              <w:right w:val="single" w:sz="4" w:space="0" w:color="auto"/>
            </w:tcBorders>
            <w:shd w:val="clear" w:color="auto" w:fill="auto"/>
            <w:vAlign w:val="center"/>
            <w:hideMark/>
          </w:tcPr>
          <w:p w14:paraId="189A49B3" w14:textId="77777777" w:rsidR="0047261E" w:rsidRPr="0047261E" w:rsidRDefault="0047261E" w:rsidP="003E7869">
            <w:pPr>
              <w:widowControl w:val="0"/>
              <w:suppressAutoHyphens/>
              <w:autoSpaceDN w:val="0"/>
              <w:ind w:firstLine="0"/>
              <w:jc w:val="center"/>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81 199</w:t>
            </w:r>
          </w:p>
        </w:tc>
        <w:tc>
          <w:tcPr>
            <w:tcW w:w="900" w:type="pct"/>
            <w:tcBorders>
              <w:top w:val="nil"/>
              <w:left w:val="nil"/>
              <w:bottom w:val="single" w:sz="4" w:space="0" w:color="auto"/>
              <w:right w:val="single" w:sz="4" w:space="0" w:color="auto"/>
            </w:tcBorders>
            <w:shd w:val="clear" w:color="auto" w:fill="auto"/>
            <w:vAlign w:val="center"/>
            <w:hideMark/>
          </w:tcPr>
          <w:p w14:paraId="720A0475" w14:textId="77777777" w:rsidR="0047261E" w:rsidRPr="0047261E" w:rsidRDefault="0047261E" w:rsidP="003E7869">
            <w:pPr>
              <w:widowControl w:val="0"/>
              <w:suppressAutoHyphens/>
              <w:autoSpaceDN w:val="0"/>
              <w:ind w:firstLine="0"/>
              <w:jc w:val="center"/>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73 987</w:t>
            </w:r>
          </w:p>
        </w:tc>
      </w:tr>
      <w:tr w:rsidR="0047261E" w:rsidRPr="0047261E" w14:paraId="0C8D6954" w14:textId="77777777" w:rsidTr="003E7869">
        <w:trPr>
          <w:trHeight w:val="315"/>
        </w:trPr>
        <w:tc>
          <w:tcPr>
            <w:tcW w:w="457" w:type="pct"/>
            <w:tcBorders>
              <w:top w:val="nil"/>
              <w:left w:val="single" w:sz="4" w:space="0" w:color="auto"/>
              <w:bottom w:val="single" w:sz="4" w:space="0" w:color="auto"/>
              <w:right w:val="single" w:sz="4" w:space="0" w:color="auto"/>
            </w:tcBorders>
            <w:shd w:val="clear" w:color="auto" w:fill="auto"/>
            <w:vAlign w:val="bottom"/>
            <w:hideMark/>
          </w:tcPr>
          <w:p w14:paraId="6699F06F" w14:textId="77777777" w:rsidR="0047261E" w:rsidRPr="0047261E" w:rsidRDefault="0047261E" w:rsidP="0047261E">
            <w:pPr>
              <w:widowControl w:val="0"/>
              <w:suppressAutoHyphens/>
              <w:autoSpaceDN w:val="0"/>
              <w:ind w:firstLine="0"/>
              <w:jc w:val="center"/>
              <w:textAlignment w:val="baseline"/>
              <w:rPr>
                <w:rFonts w:eastAsia="Times New Roman" w:cs="Times New Roman"/>
                <w:color w:val="000000"/>
                <w:kern w:val="3"/>
                <w:szCs w:val="24"/>
                <w:lang w:eastAsia="ru-RU" w:bidi="hi-IN"/>
              </w:rPr>
            </w:pPr>
            <w:r w:rsidRPr="0047261E">
              <w:rPr>
                <w:rFonts w:eastAsia="Times New Roman" w:cs="Times New Roman"/>
                <w:color w:val="000000"/>
                <w:kern w:val="3"/>
                <w:szCs w:val="24"/>
                <w:lang w:eastAsia="ru-RU" w:bidi="hi-IN"/>
              </w:rPr>
              <w:t>22</w:t>
            </w:r>
          </w:p>
        </w:tc>
        <w:tc>
          <w:tcPr>
            <w:tcW w:w="2717" w:type="pct"/>
            <w:tcBorders>
              <w:top w:val="nil"/>
              <w:left w:val="nil"/>
              <w:bottom w:val="single" w:sz="4" w:space="0" w:color="auto"/>
              <w:right w:val="single" w:sz="4" w:space="0" w:color="auto"/>
            </w:tcBorders>
            <w:shd w:val="clear" w:color="auto" w:fill="auto"/>
            <w:vAlign w:val="bottom"/>
            <w:hideMark/>
          </w:tcPr>
          <w:p w14:paraId="3AA9CA0F"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Нижнеколымский район</w:t>
            </w:r>
          </w:p>
        </w:tc>
        <w:tc>
          <w:tcPr>
            <w:tcW w:w="927" w:type="pct"/>
            <w:tcBorders>
              <w:top w:val="nil"/>
              <w:left w:val="nil"/>
              <w:bottom w:val="single" w:sz="4" w:space="0" w:color="auto"/>
              <w:right w:val="single" w:sz="4" w:space="0" w:color="auto"/>
            </w:tcBorders>
            <w:shd w:val="clear" w:color="auto" w:fill="auto"/>
            <w:vAlign w:val="center"/>
            <w:hideMark/>
          </w:tcPr>
          <w:p w14:paraId="1EB98555" w14:textId="77777777" w:rsidR="0047261E" w:rsidRPr="0047261E" w:rsidRDefault="0047261E" w:rsidP="003E7869">
            <w:pPr>
              <w:widowControl w:val="0"/>
              <w:suppressAutoHyphens/>
              <w:autoSpaceDN w:val="0"/>
              <w:ind w:firstLine="0"/>
              <w:jc w:val="center"/>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4 539</w:t>
            </w:r>
          </w:p>
        </w:tc>
        <w:tc>
          <w:tcPr>
            <w:tcW w:w="900" w:type="pct"/>
            <w:tcBorders>
              <w:top w:val="nil"/>
              <w:left w:val="nil"/>
              <w:bottom w:val="single" w:sz="4" w:space="0" w:color="auto"/>
              <w:right w:val="single" w:sz="4" w:space="0" w:color="auto"/>
            </w:tcBorders>
            <w:shd w:val="clear" w:color="auto" w:fill="auto"/>
            <w:vAlign w:val="center"/>
            <w:hideMark/>
          </w:tcPr>
          <w:p w14:paraId="4E3CC639" w14:textId="77777777" w:rsidR="0047261E" w:rsidRPr="0047261E" w:rsidRDefault="0047261E" w:rsidP="003E7869">
            <w:pPr>
              <w:widowControl w:val="0"/>
              <w:suppressAutoHyphens/>
              <w:autoSpaceDN w:val="0"/>
              <w:ind w:firstLine="0"/>
              <w:jc w:val="center"/>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4 290</w:t>
            </w:r>
          </w:p>
        </w:tc>
      </w:tr>
      <w:tr w:rsidR="0047261E" w:rsidRPr="0047261E" w14:paraId="6567A42C" w14:textId="77777777" w:rsidTr="003E7869">
        <w:trPr>
          <w:trHeight w:val="315"/>
        </w:trPr>
        <w:tc>
          <w:tcPr>
            <w:tcW w:w="457" w:type="pct"/>
            <w:tcBorders>
              <w:top w:val="nil"/>
              <w:left w:val="single" w:sz="4" w:space="0" w:color="auto"/>
              <w:bottom w:val="single" w:sz="4" w:space="0" w:color="auto"/>
              <w:right w:val="single" w:sz="4" w:space="0" w:color="auto"/>
            </w:tcBorders>
            <w:shd w:val="clear" w:color="auto" w:fill="auto"/>
            <w:vAlign w:val="bottom"/>
            <w:hideMark/>
          </w:tcPr>
          <w:p w14:paraId="280E6F38" w14:textId="77777777" w:rsidR="0047261E" w:rsidRPr="0047261E" w:rsidRDefault="0047261E" w:rsidP="0047261E">
            <w:pPr>
              <w:widowControl w:val="0"/>
              <w:suppressAutoHyphens/>
              <w:autoSpaceDN w:val="0"/>
              <w:ind w:firstLine="0"/>
              <w:jc w:val="center"/>
              <w:textAlignment w:val="baseline"/>
              <w:rPr>
                <w:rFonts w:eastAsia="Times New Roman" w:cs="Times New Roman"/>
                <w:color w:val="000000"/>
                <w:kern w:val="3"/>
                <w:szCs w:val="24"/>
                <w:lang w:eastAsia="ru-RU" w:bidi="hi-IN"/>
              </w:rPr>
            </w:pPr>
            <w:r w:rsidRPr="0047261E">
              <w:rPr>
                <w:rFonts w:eastAsia="Times New Roman" w:cs="Times New Roman"/>
                <w:color w:val="000000"/>
                <w:kern w:val="3"/>
                <w:szCs w:val="24"/>
                <w:lang w:eastAsia="ru-RU" w:bidi="hi-IN"/>
              </w:rPr>
              <w:t>23</w:t>
            </w:r>
          </w:p>
        </w:tc>
        <w:tc>
          <w:tcPr>
            <w:tcW w:w="2717" w:type="pct"/>
            <w:tcBorders>
              <w:top w:val="nil"/>
              <w:left w:val="nil"/>
              <w:bottom w:val="single" w:sz="4" w:space="0" w:color="auto"/>
              <w:right w:val="single" w:sz="4" w:space="0" w:color="auto"/>
            </w:tcBorders>
            <w:shd w:val="clear" w:color="auto" w:fill="auto"/>
            <w:vAlign w:val="bottom"/>
            <w:hideMark/>
          </w:tcPr>
          <w:p w14:paraId="4CCD778F"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Нюрбинский район</w:t>
            </w:r>
          </w:p>
        </w:tc>
        <w:tc>
          <w:tcPr>
            <w:tcW w:w="927" w:type="pct"/>
            <w:tcBorders>
              <w:top w:val="nil"/>
              <w:left w:val="nil"/>
              <w:bottom w:val="single" w:sz="4" w:space="0" w:color="auto"/>
              <w:right w:val="single" w:sz="4" w:space="0" w:color="auto"/>
            </w:tcBorders>
            <w:shd w:val="clear" w:color="auto" w:fill="auto"/>
            <w:vAlign w:val="center"/>
            <w:hideMark/>
          </w:tcPr>
          <w:p w14:paraId="017075FB" w14:textId="77777777" w:rsidR="0047261E" w:rsidRPr="0047261E" w:rsidRDefault="0047261E" w:rsidP="003E7869">
            <w:pPr>
              <w:widowControl w:val="0"/>
              <w:suppressAutoHyphens/>
              <w:autoSpaceDN w:val="0"/>
              <w:ind w:firstLine="0"/>
              <w:jc w:val="center"/>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24 960</w:t>
            </w:r>
          </w:p>
        </w:tc>
        <w:tc>
          <w:tcPr>
            <w:tcW w:w="900" w:type="pct"/>
            <w:tcBorders>
              <w:top w:val="nil"/>
              <w:left w:val="nil"/>
              <w:bottom w:val="single" w:sz="4" w:space="0" w:color="auto"/>
              <w:right w:val="single" w:sz="4" w:space="0" w:color="auto"/>
            </w:tcBorders>
            <w:shd w:val="clear" w:color="auto" w:fill="auto"/>
            <w:vAlign w:val="center"/>
            <w:hideMark/>
          </w:tcPr>
          <w:p w14:paraId="526AC72B" w14:textId="77777777" w:rsidR="0047261E" w:rsidRPr="0047261E" w:rsidRDefault="0047261E" w:rsidP="003E7869">
            <w:pPr>
              <w:widowControl w:val="0"/>
              <w:suppressAutoHyphens/>
              <w:autoSpaceDN w:val="0"/>
              <w:ind w:firstLine="0"/>
              <w:jc w:val="center"/>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23 960</w:t>
            </w:r>
          </w:p>
        </w:tc>
      </w:tr>
      <w:tr w:rsidR="0047261E" w:rsidRPr="0047261E" w14:paraId="422F7395" w14:textId="77777777" w:rsidTr="003E7869">
        <w:trPr>
          <w:trHeight w:val="315"/>
        </w:trPr>
        <w:tc>
          <w:tcPr>
            <w:tcW w:w="457" w:type="pct"/>
            <w:tcBorders>
              <w:top w:val="nil"/>
              <w:left w:val="single" w:sz="4" w:space="0" w:color="auto"/>
              <w:bottom w:val="single" w:sz="4" w:space="0" w:color="auto"/>
              <w:right w:val="single" w:sz="4" w:space="0" w:color="auto"/>
            </w:tcBorders>
            <w:shd w:val="clear" w:color="auto" w:fill="auto"/>
            <w:vAlign w:val="bottom"/>
            <w:hideMark/>
          </w:tcPr>
          <w:p w14:paraId="54121256" w14:textId="77777777" w:rsidR="0047261E" w:rsidRPr="0047261E" w:rsidRDefault="0047261E" w:rsidP="0047261E">
            <w:pPr>
              <w:widowControl w:val="0"/>
              <w:suppressAutoHyphens/>
              <w:autoSpaceDN w:val="0"/>
              <w:ind w:firstLine="0"/>
              <w:jc w:val="center"/>
              <w:textAlignment w:val="baseline"/>
              <w:rPr>
                <w:rFonts w:eastAsia="Times New Roman" w:cs="Times New Roman"/>
                <w:color w:val="000000"/>
                <w:kern w:val="3"/>
                <w:szCs w:val="24"/>
                <w:lang w:eastAsia="ru-RU" w:bidi="hi-IN"/>
              </w:rPr>
            </w:pPr>
            <w:r w:rsidRPr="0047261E">
              <w:rPr>
                <w:rFonts w:eastAsia="Times New Roman" w:cs="Times New Roman"/>
                <w:color w:val="000000"/>
                <w:kern w:val="3"/>
                <w:szCs w:val="24"/>
                <w:lang w:eastAsia="ru-RU" w:bidi="hi-IN"/>
              </w:rPr>
              <w:t>24</w:t>
            </w:r>
          </w:p>
        </w:tc>
        <w:tc>
          <w:tcPr>
            <w:tcW w:w="2717" w:type="pct"/>
            <w:tcBorders>
              <w:top w:val="nil"/>
              <w:left w:val="nil"/>
              <w:bottom w:val="single" w:sz="4" w:space="0" w:color="auto"/>
              <w:right w:val="single" w:sz="4" w:space="0" w:color="auto"/>
            </w:tcBorders>
            <w:shd w:val="clear" w:color="auto" w:fill="auto"/>
            <w:vAlign w:val="bottom"/>
            <w:hideMark/>
          </w:tcPr>
          <w:p w14:paraId="54564BBA"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Оймяконский улус (район)</w:t>
            </w:r>
          </w:p>
        </w:tc>
        <w:tc>
          <w:tcPr>
            <w:tcW w:w="927" w:type="pct"/>
            <w:tcBorders>
              <w:top w:val="nil"/>
              <w:left w:val="nil"/>
              <w:bottom w:val="single" w:sz="4" w:space="0" w:color="auto"/>
              <w:right w:val="single" w:sz="4" w:space="0" w:color="auto"/>
            </w:tcBorders>
            <w:shd w:val="clear" w:color="auto" w:fill="auto"/>
            <w:vAlign w:val="center"/>
            <w:hideMark/>
          </w:tcPr>
          <w:p w14:paraId="0DA3FA49" w14:textId="77777777" w:rsidR="0047261E" w:rsidRPr="0047261E" w:rsidRDefault="0047261E" w:rsidP="003E7869">
            <w:pPr>
              <w:widowControl w:val="0"/>
              <w:suppressAutoHyphens/>
              <w:autoSpaceDN w:val="0"/>
              <w:ind w:firstLine="0"/>
              <w:jc w:val="center"/>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9 573</w:t>
            </w:r>
          </w:p>
        </w:tc>
        <w:tc>
          <w:tcPr>
            <w:tcW w:w="900" w:type="pct"/>
            <w:tcBorders>
              <w:top w:val="nil"/>
              <w:left w:val="nil"/>
              <w:bottom w:val="single" w:sz="4" w:space="0" w:color="auto"/>
              <w:right w:val="single" w:sz="4" w:space="0" w:color="auto"/>
            </w:tcBorders>
            <w:shd w:val="clear" w:color="auto" w:fill="auto"/>
            <w:vAlign w:val="center"/>
            <w:hideMark/>
          </w:tcPr>
          <w:p w14:paraId="66C58295" w14:textId="77777777" w:rsidR="0047261E" w:rsidRPr="0047261E" w:rsidRDefault="0047261E" w:rsidP="003E7869">
            <w:pPr>
              <w:widowControl w:val="0"/>
              <w:suppressAutoHyphens/>
              <w:autoSpaceDN w:val="0"/>
              <w:ind w:firstLine="0"/>
              <w:jc w:val="center"/>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8 515</w:t>
            </w:r>
          </w:p>
        </w:tc>
      </w:tr>
      <w:tr w:rsidR="0047261E" w:rsidRPr="0047261E" w14:paraId="6C16B80A" w14:textId="77777777" w:rsidTr="003E7869">
        <w:trPr>
          <w:trHeight w:val="315"/>
        </w:trPr>
        <w:tc>
          <w:tcPr>
            <w:tcW w:w="457" w:type="pct"/>
            <w:tcBorders>
              <w:top w:val="nil"/>
              <w:left w:val="single" w:sz="4" w:space="0" w:color="auto"/>
              <w:bottom w:val="single" w:sz="4" w:space="0" w:color="auto"/>
              <w:right w:val="single" w:sz="4" w:space="0" w:color="auto"/>
            </w:tcBorders>
            <w:shd w:val="clear" w:color="auto" w:fill="auto"/>
            <w:vAlign w:val="bottom"/>
            <w:hideMark/>
          </w:tcPr>
          <w:p w14:paraId="3171F2B9" w14:textId="77777777" w:rsidR="0047261E" w:rsidRPr="0047261E" w:rsidRDefault="0047261E" w:rsidP="0047261E">
            <w:pPr>
              <w:widowControl w:val="0"/>
              <w:suppressAutoHyphens/>
              <w:autoSpaceDN w:val="0"/>
              <w:ind w:firstLine="0"/>
              <w:jc w:val="center"/>
              <w:textAlignment w:val="baseline"/>
              <w:rPr>
                <w:rFonts w:eastAsia="Times New Roman" w:cs="Times New Roman"/>
                <w:color w:val="000000"/>
                <w:kern w:val="3"/>
                <w:szCs w:val="24"/>
                <w:lang w:eastAsia="ru-RU" w:bidi="hi-IN"/>
              </w:rPr>
            </w:pPr>
            <w:r w:rsidRPr="0047261E">
              <w:rPr>
                <w:rFonts w:eastAsia="Times New Roman" w:cs="Times New Roman"/>
                <w:color w:val="000000"/>
                <w:kern w:val="3"/>
                <w:szCs w:val="24"/>
                <w:lang w:eastAsia="ru-RU" w:bidi="hi-IN"/>
              </w:rPr>
              <w:t>25</w:t>
            </w:r>
          </w:p>
        </w:tc>
        <w:tc>
          <w:tcPr>
            <w:tcW w:w="2717" w:type="pct"/>
            <w:tcBorders>
              <w:top w:val="nil"/>
              <w:left w:val="nil"/>
              <w:bottom w:val="single" w:sz="4" w:space="0" w:color="auto"/>
              <w:right w:val="single" w:sz="4" w:space="0" w:color="auto"/>
            </w:tcBorders>
            <w:shd w:val="clear" w:color="auto" w:fill="auto"/>
            <w:vAlign w:val="bottom"/>
            <w:hideMark/>
          </w:tcPr>
          <w:p w14:paraId="7B7963A4"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Олекминский район</w:t>
            </w:r>
          </w:p>
        </w:tc>
        <w:tc>
          <w:tcPr>
            <w:tcW w:w="927" w:type="pct"/>
            <w:tcBorders>
              <w:top w:val="nil"/>
              <w:left w:val="nil"/>
              <w:bottom w:val="single" w:sz="4" w:space="0" w:color="auto"/>
              <w:right w:val="single" w:sz="4" w:space="0" w:color="auto"/>
            </w:tcBorders>
            <w:shd w:val="clear" w:color="auto" w:fill="auto"/>
            <w:vAlign w:val="center"/>
            <w:hideMark/>
          </w:tcPr>
          <w:p w14:paraId="7AF092DF" w14:textId="77777777" w:rsidR="0047261E" w:rsidRPr="0047261E" w:rsidRDefault="0047261E" w:rsidP="003E7869">
            <w:pPr>
              <w:widowControl w:val="0"/>
              <w:suppressAutoHyphens/>
              <w:autoSpaceDN w:val="0"/>
              <w:ind w:firstLine="0"/>
              <w:jc w:val="center"/>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26 296</w:t>
            </w:r>
          </w:p>
        </w:tc>
        <w:tc>
          <w:tcPr>
            <w:tcW w:w="900" w:type="pct"/>
            <w:tcBorders>
              <w:top w:val="nil"/>
              <w:left w:val="nil"/>
              <w:bottom w:val="single" w:sz="4" w:space="0" w:color="auto"/>
              <w:right w:val="single" w:sz="4" w:space="0" w:color="auto"/>
            </w:tcBorders>
            <w:shd w:val="clear" w:color="auto" w:fill="auto"/>
            <w:vAlign w:val="center"/>
            <w:hideMark/>
          </w:tcPr>
          <w:p w14:paraId="7A3F5E6F" w14:textId="77777777" w:rsidR="0047261E" w:rsidRPr="0047261E" w:rsidRDefault="0047261E" w:rsidP="003E7869">
            <w:pPr>
              <w:widowControl w:val="0"/>
              <w:suppressAutoHyphens/>
              <w:autoSpaceDN w:val="0"/>
              <w:ind w:firstLine="0"/>
              <w:jc w:val="center"/>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24 893</w:t>
            </w:r>
          </w:p>
        </w:tc>
      </w:tr>
      <w:tr w:rsidR="0047261E" w:rsidRPr="0047261E" w14:paraId="0E8471C2" w14:textId="77777777" w:rsidTr="003E7869">
        <w:trPr>
          <w:trHeight w:val="315"/>
        </w:trPr>
        <w:tc>
          <w:tcPr>
            <w:tcW w:w="457" w:type="pct"/>
            <w:tcBorders>
              <w:top w:val="nil"/>
              <w:left w:val="single" w:sz="4" w:space="0" w:color="auto"/>
              <w:bottom w:val="single" w:sz="4" w:space="0" w:color="auto"/>
              <w:right w:val="single" w:sz="4" w:space="0" w:color="auto"/>
            </w:tcBorders>
            <w:shd w:val="clear" w:color="auto" w:fill="auto"/>
            <w:vAlign w:val="bottom"/>
            <w:hideMark/>
          </w:tcPr>
          <w:p w14:paraId="3E9F513E" w14:textId="77777777" w:rsidR="0047261E" w:rsidRPr="0047261E" w:rsidRDefault="0047261E" w:rsidP="0047261E">
            <w:pPr>
              <w:widowControl w:val="0"/>
              <w:suppressAutoHyphens/>
              <w:autoSpaceDN w:val="0"/>
              <w:ind w:firstLine="0"/>
              <w:jc w:val="center"/>
              <w:textAlignment w:val="baseline"/>
              <w:rPr>
                <w:rFonts w:eastAsia="Times New Roman" w:cs="Times New Roman"/>
                <w:color w:val="000000"/>
                <w:kern w:val="3"/>
                <w:szCs w:val="24"/>
                <w:lang w:eastAsia="ru-RU" w:bidi="hi-IN"/>
              </w:rPr>
            </w:pPr>
            <w:r w:rsidRPr="0047261E">
              <w:rPr>
                <w:rFonts w:eastAsia="Times New Roman" w:cs="Times New Roman"/>
                <w:color w:val="000000"/>
                <w:kern w:val="3"/>
                <w:szCs w:val="24"/>
                <w:lang w:eastAsia="ru-RU" w:bidi="hi-IN"/>
              </w:rPr>
              <w:t>26</w:t>
            </w:r>
          </w:p>
        </w:tc>
        <w:tc>
          <w:tcPr>
            <w:tcW w:w="2717" w:type="pct"/>
            <w:tcBorders>
              <w:top w:val="nil"/>
              <w:left w:val="nil"/>
              <w:bottom w:val="single" w:sz="4" w:space="0" w:color="auto"/>
              <w:right w:val="single" w:sz="4" w:space="0" w:color="auto"/>
            </w:tcBorders>
            <w:shd w:val="clear" w:color="auto" w:fill="auto"/>
            <w:vAlign w:val="bottom"/>
            <w:hideMark/>
          </w:tcPr>
          <w:p w14:paraId="00FC89E0"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Оленекский эвенкийский национальный район</w:t>
            </w:r>
          </w:p>
        </w:tc>
        <w:tc>
          <w:tcPr>
            <w:tcW w:w="927" w:type="pct"/>
            <w:tcBorders>
              <w:top w:val="nil"/>
              <w:left w:val="nil"/>
              <w:bottom w:val="single" w:sz="4" w:space="0" w:color="auto"/>
              <w:right w:val="single" w:sz="4" w:space="0" w:color="auto"/>
            </w:tcBorders>
            <w:shd w:val="clear" w:color="auto" w:fill="auto"/>
            <w:vAlign w:val="center"/>
            <w:hideMark/>
          </w:tcPr>
          <w:p w14:paraId="7341FB63" w14:textId="77777777" w:rsidR="0047261E" w:rsidRPr="0047261E" w:rsidRDefault="0047261E" w:rsidP="003E7869">
            <w:pPr>
              <w:widowControl w:val="0"/>
              <w:suppressAutoHyphens/>
              <w:autoSpaceDN w:val="0"/>
              <w:ind w:firstLine="0"/>
              <w:jc w:val="center"/>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4 085</w:t>
            </w:r>
          </w:p>
        </w:tc>
        <w:tc>
          <w:tcPr>
            <w:tcW w:w="900" w:type="pct"/>
            <w:tcBorders>
              <w:top w:val="nil"/>
              <w:left w:val="nil"/>
              <w:bottom w:val="single" w:sz="4" w:space="0" w:color="auto"/>
              <w:right w:val="single" w:sz="4" w:space="0" w:color="auto"/>
            </w:tcBorders>
            <w:shd w:val="clear" w:color="auto" w:fill="auto"/>
            <w:vAlign w:val="center"/>
            <w:hideMark/>
          </w:tcPr>
          <w:p w14:paraId="4555FAD4" w14:textId="77777777" w:rsidR="0047261E" w:rsidRPr="0047261E" w:rsidRDefault="0047261E" w:rsidP="003E7869">
            <w:pPr>
              <w:widowControl w:val="0"/>
              <w:suppressAutoHyphens/>
              <w:autoSpaceDN w:val="0"/>
              <w:ind w:firstLine="0"/>
              <w:jc w:val="center"/>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4 072</w:t>
            </w:r>
          </w:p>
        </w:tc>
      </w:tr>
      <w:tr w:rsidR="0047261E" w:rsidRPr="0047261E" w14:paraId="457E66A1" w14:textId="77777777" w:rsidTr="003E7869">
        <w:trPr>
          <w:trHeight w:val="315"/>
        </w:trPr>
        <w:tc>
          <w:tcPr>
            <w:tcW w:w="457" w:type="pct"/>
            <w:tcBorders>
              <w:top w:val="nil"/>
              <w:left w:val="single" w:sz="4" w:space="0" w:color="auto"/>
              <w:bottom w:val="single" w:sz="4" w:space="0" w:color="auto"/>
              <w:right w:val="single" w:sz="4" w:space="0" w:color="auto"/>
            </w:tcBorders>
            <w:shd w:val="clear" w:color="auto" w:fill="auto"/>
            <w:vAlign w:val="bottom"/>
            <w:hideMark/>
          </w:tcPr>
          <w:p w14:paraId="0A0CD1AF" w14:textId="77777777" w:rsidR="0047261E" w:rsidRPr="0047261E" w:rsidRDefault="0047261E" w:rsidP="0047261E">
            <w:pPr>
              <w:widowControl w:val="0"/>
              <w:suppressAutoHyphens/>
              <w:autoSpaceDN w:val="0"/>
              <w:ind w:firstLine="0"/>
              <w:jc w:val="center"/>
              <w:textAlignment w:val="baseline"/>
              <w:rPr>
                <w:rFonts w:eastAsia="Times New Roman" w:cs="Times New Roman"/>
                <w:color w:val="000000"/>
                <w:kern w:val="3"/>
                <w:szCs w:val="24"/>
                <w:lang w:eastAsia="ru-RU" w:bidi="hi-IN"/>
              </w:rPr>
            </w:pPr>
            <w:r w:rsidRPr="0047261E">
              <w:rPr>
                <w:rFonts w:eastAsia="Times New Roman" w:cs="Times New Roman"/>
                <w:color w:val="000000"/>
                <w:kern w:val="3"/>
                <w:szCs w:val="24"/>
                <w:lang w:eastAsia="ru-RU" w:bidi="hi-IN"/>
              </w:rPr>
              <w:t>27</w:t>
            </w:r>
          </w:p>
        </w:tc>
        <w:tc>
          <w:tcPr>
            <w:tcW w:w="2717" w:type="pct"/>
            <w:tcBorders>
              <w:top w:val="nil"/>
              <w:left w:val="nil"/>
              <w:bottom w:val="single" w:sz="4" w:space="0" w:color="auto"/>
              <w:right w:val="single" w:sz="4" w:space="0" w:color="auto"/>
            </w:tcBorders>
            <w:shd w:val="clear" w:color="auto" w:fill="auto"/>
            <w:vAlign w:val="bottom"/>
            <w:hideMark/>
          </w:tcPr>
          <w:p w14:paraId="28D4CE83"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Среднеколымский улус (район)</w:t>
            </w:r>
          </w:p>
        </w:tc>
        <w:tc>
          <w:tcPr>
            <w:tcW w:w="927" w:type="pct"/>
            <w:tcBorders>
              <w:top w:val="nil"/>
              <w:left w:val="nil"/>
              <w:bottom w:val="single" w:sz="4" w:space="0" w:color="auto"/>
              <w:right w:val="single" w:sz="4" w:space="0" w:color="auto"/>
            </w:tcBorders>
            <w:shd w:val="clear" w:color="auto" w:fill="auto"/>
            <w:vAlign w:val="center"/>
            <w:hideMark/>
          </w:tcPr>
          <w:p w14:paraId="07034A51" w14:textId="77777777" w:rsidR="0047261E" w:rsidRPr="0047261E" w:rsidRDefault="0047261E" w:rsidP="003E7869">
            <w:pPr>
              <w:widowControl w:val="0"/>
              <w:suppressAutoHyphens/>
              <w:autoSpaceDN w:val="0"/>
              <w:ind w:firstLine="0"/>
              <w:jc w:val="center"/>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7 793</w:t>
            </w:r>
          </w:p>
        </w:tc>
        <w:tc>
          <w:tcPr>
            <w:tcW w:w="900" w:type="pct"/>
            <w:tcBorders>
              <w:top w:val="nil"/>
              <w:left w:val="nil"/>
              <w:bottom w:val="single" w:sz="4" w:space="0" w:color="auto"/>
              <w:right w:val="single" w:sz="4" w:space="0" w:color="auto"/>
            </w:tcBorders>
            <w:shd w:val="clear" w:color="auto" w:fill="auto"/>
            <w:vAlign w:val="center"/>
            <w:hideMark/>
          </w:tcPr>
          <w:p w14:paraId="2446A6EC" w14:textId="77777777" w:rsidR="0047261E" w:rsidRPr="0047261E" w:rsidRDefault="0047261E" w:rsidP="003E7869">
            <w:pPr>
              <w:widowControl w:val="0"/>
              <w:suppressAutoHyphens/>
              <w:autoSpaceDN w:val="0"/>
              <w:ind w:firstLine="0"/>
              <w:jc w:val="center"/>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7 499</w:t>
            </w:r>
          </w:p>
        </w:tc>
      </w:tr>
      <w:tr w:rsidR="0047261E" w:rsidRPr="0047261E" w14:paraId="6D88819A" w14:textId="77777777" w:rsidTr="003E7869">
        <w:trPr>
          <w:trHeight w:val="315"/>
        </w:trPr>
        <w:tc>
          <w:tcPr>
            <w:tcW w:w="457" w:type="pct"/>
            <w:tcBorders>
              <w:top w:val="nil"/>
              <w:left w:val="single" w:sz="4" w:space="0" w:color="auto"/>
              <w:bottom w:val="single" w:sz="4" w:space="0" w:color="auto"/>
              <w:right w:val="single" w:sz="4" w:space="0" w:color="auto"/>
            </w:tcBorders>
            <w:shd w:val="clear" w:color="auto" w:fill="auto"/>
            <w:vAlign w:val="bottom"/>
            <w:hideMark/>
          </w:tcPr>
          <w:p w14:paraId="1D33FF7D" w14:textId="77777777" w:rsidR="0047261E" w:rsidRPr="0047261E" w:rsidRDefault="0047261E" w:rsidP="0047261E">
            <w:pPr>
              <w:widowControl w:val="0"/>
              <w:suppressAutoHyphens/>
              <w:autoSpaceDN w:val="0"/>
              <w:ind w:firstLine="0"/>
              <w:jc w:val="center"/>
              <w:textAlignment w:val="baseline"/>
              <w:rPr>
                <w:rFonts w:eastAsia="Times New Roman" w:cs="Times New Roman"/>
                <w:color w:val="000000"/>
                <w:kern w:val="3"/>
                <w:szCs w:val="24"/>
                <w:lang w:eastAsia="ru-RU" w:bidi="hi-IN"/>
              </w:rPr>
            </w:pPr>
            <w:r w:rsidRPr="0047261E">
              <w:rPr>
                <w:rFonts w:eastAsia="Times New Roman" w:cs="Times New Roman"/>
                <w:color w:val="000000"/>
                <w:kern w:val="3"/>
                <w:szCs w:val="24"/>
                <w:lang w:eastAsia="ru-RU" w:bidi="hi-IN"/>
              </w:rPr>
              <w:t>28</w:t>
            </w:r>
          </w:p>
        </w:tc>
        <w:tc>
          <w:tcPr>
            <w:tcW w:w="2717" w:type="pct"/>
            <w:tcBorders>
              <w:top w:val="nil"/>
              <w:left w:val="nil"/>
              <w:bottom w:val="single" w:sz="4" w:space="0" w:color="auto"/>
              <w:right w:val="single" w:sz="4" w:space="0" w:color="auto"/>
            </w:tcBorders>
            <w:shd w:val="clear" w:color="auto" w:fill="auto"/>
            <w:vAlign w:val="bottom"/>
            <w:hideMark/>
          </w:tcPr>
          <w:p w14:paraId="6EDD1F72"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Сунтарский улус (район)</w:t>
            </w:r>
          </w:p>
        </w:tc>
        <w:tc>
          <w:tcPr>
            <w:tcW w:w="927" w:type="pct"/>
            <w:tcBorders>
              <w:top w:val="nil"/>
              <w:left w:val="nil"/>
              <w:bottom w:val="single" w:sz="4" w:space="0" w:color="auto"/>
              <w:right w:val="single" w:sz="4" w:space="0" w:color="auto"/>
            </w:tcBorders>
            <w:shd w:val="clear" w:color="auto" w:fill="auto"/>
            <w:vAlign w:val="center"/>
            <w:hideMark/>
          </w:tcPr>
          <w:p w14:paraId="340C4BBB" w14:textId="77777777" w:rsidR="0047261E" w:rsidRPr="0047261E" w:rsidRDefault="0047261E" w:rsidP="003E7869">
            <w:pPr>
              <w:widowControl w:val="0"/>
              <w:suppressAutoHyphens/>
              <w:autoSpaceDN w:val="0"/>
              <w:ind w:firstLine="0"/>
              <w:jc w:val="center"/>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24 697</w:t>
            </w:r>
          </w:p>
        </w:tc>
        <w:tc>
          <w:tcPr>
            <w:tcW w:w="900" w:type="pct"/>
            <w:tcBorders>
              <w:top w:val="nil"/>
              <w:left w:val="nil"/>
              <w:bottom w:val="single" w:sz="4" w:space="0" w:color="auto"/>
              <w:right w:val="single" w:sz="4" w:space="0" w:color="auto"/>
            </w:tcBorders>
            <w:shd w:val="clear" w:color="auto" w:fill="auto"/>
            <w:vAlign w:val="center"/>
            <w:hideMark/>
          </w:tcPr>
          <w:p w14:paraId="56C20D63" w14:textId="77777777" w:rsidR="0047261E" w:rsidRPr="0047261E" w:rsidRDefault="0047261E" w:rsidP="003E7869">
            <w:pPr>
              <w:widowControl w:val="0"/>
              <w:suppressAutoHyphens/>
              <w:autoSpaceDN w:val="0"/>
              <w:ind w:firstLine="0"/>
              <w:jc w:val="center"/>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23 609</w:t>
            </w:r>
          </w:p>
        </w:tc>
      </w:tr>
      <w:tr w:rsidR="0047261E" w:rsidRPr="0047261E" w14:paraId="1B2515F4" w14:textId="77777777" w:rsidTr="003E7869">
        <w:trPr>
          <w:trHeight w:val="315"/>
        </w:trPr>
        <w:tc>
          <w:tcPr>
            <w:tcW w:w="457" w:type="pct"/>
            <w:tcBorders>
              <w:top w:val="nil"/>
              <w:left w:val="single" w:sz="4" w:space="0" w:color="auto"/>
              <w:bottom w:val="single" w:sz="4" w:space="0" w:color="auto"/>
              <w:right w:val="single" w:sz="4" w:space="0" w:color="auto"/>
            </w:tcBorders>
            <w:shd w:val="clear" w:color="auto" w:fill="auto"/>
            <w:vAlign w:val="bottom"/>
            <w:hideMark/>
          </w:tcPr>
          <w:p w14:paraId="28E0EDB4" w14:textId="77777777" w:rsidR="0047261E" w:rsidRPr="0047261E" w:rsidRDefault="0047261E" w:rsidP="0047261E">
            <w:pPr>
              <w:widowControl w:val="0"/>
              <w:suppressAutoHyphens/>
              <w:autoSpaceDN w:val="0"/>
              <w:ind w:firstLine="0"/>
              <w:jc w:val="center"/>
              <w:textAlignment w:val="baseline"/>
              <w:rPr>
                <w:rFonts w:eastAsia="Times New Roman" w:cs="Times New Roman"/>
                <w:color w:val="000000"/>
                <w:kern w:val="3"/>
                <w:szCs w:val="24"/>
                <w:lang w:eastAsia="ru-RU" w:bidi="hi-IN"/>
              </w:rPr>
            </w:pPr>
            <w:r w:rsidRPr="0047261E">
              <w:rPr>
                <w:rFonts w:eastAsia="Times New Roman" w:cs="Times New Roman"/>
                <w:color w:val="000000"/>
                <w:kern w:val="3"/>
                <w:szCs w:val="24"/>
                <w:lang w:eastAsia="ru-RU" w:bidi="hi-IN"/>
              </w:rPr>
              <w:t>29</w:t>
            </w:r>
          </w:p>
        </w:tc>
        <w:tc>
          <w:tcPr>
            <w:tcW w:w="2717" w:type="pct"/>
            <w:tcBorders>
              <w:top w:val="nil"/>
              <w:left w:val="nil"/>
              <w:bottom w:val="single" w:sz="4" w:space="0" w:color="auto"/>
              <w:right w:val="single" w:sz="4" w:space="0" w:color="auto"/>
            </w:tcBorders>
            <w:shd w:val="clear" w:color="auto" w:fill="auto"/>
            <w:vAlign w:val="bottom"/>
            <w:hideMark/>
          </w:tcPr>
          <w:p w14:paraId="580BD680"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Таттинский улус</w:t>
            </w:r>
          </w:p>
        </w:tc>
        <w:tc>
          <w:tcPr>
            <w:tcW w:w="927" w:type="pct"/>
            <w:tcBorders>
              <w:top w:val="nil"/>
              <w:left w:val="nil"/>
              <w:bottom w:val="single" w:sz="4" w:space="0" w:color="auto"/>
              <w:right w:val="single" w:sz="4" w:space="0" w:color="auto"/>
            </w:tcBorders>
            <w:shd w:val="clear" w:color="auto" w:fill="auto"/>
            <w:vAlign w:val="center"/>
            <w:hideMark/>
          </w:tcPr>
          <w:p w14:paraId="5930CA9C" w14:textId="77777777" w:rsidR="0047261E" w:rsidRPr="0047261E" w:rsidRDefault="0047261E" w:rsidP="003E7869">
            <w:pPr>
              <w:widowControl w:val="0"/>
              <w:suppressAutoHyphens/>
              <w:autoSpaceDN w:val="0"/>
              <w:ind w:firstLine="0"/>
              <w:jc w:val="center"/>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17 240</w:t>
            </w:r>
          </w:p>
        </w:tc>
        <w:tc>
          <w:tcPr>
            <w:tcW w:w="900" w:type="pct"/>
            <w:tcBorders>
              <w:top w:val="nil"/>
              <w:left w:val="nil"/>
              <w:bottom w:val="single" w:sz="4" w:space="0" w:color="auto"/>
              <w:right w:val="single" w:sz="4" w:space="0" w:color="auto"/>
            </w:tcBorders>
            <w:shd w:val="clear" w:color="auto" w:fill="auto"/>
            <w:vAlign w:val="center"/>
            <w:hideMark/>
          </w:tcPr>
          <w:p w14:paraId="3FD9A1E8" w14:textId="77777777" w:rsidR="0047261E" w:rsidRPr="0047261E" w:rsidRDefault="0047261E" w:rsidP="003E7869">
            <w:pPr>
              <w:widowControl w:val="0"/>
              <w:suppressAutoHyphens/>
              <w:autoSpaceDN w:val="0"/>
              <w:ind w:firstLine="0"/>
              <w:jc w:val="center"/>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16 338</w:t>
            </w:r>
          </w:p>
        </w:tc>
      </w:tr>
      <w:tr w:rsidR="0047261E" w:rsidRPr="0047261E" w14:paraId="0922CC2A" w14:textId="77777777" w:rsidTr="003E7869">
        <w:trPr>
          <w:trHeight w:val="315"/>
        </w:trPr>
        <w:tc>
          <w:tcPr>
            <w:tcW w:w="457" w:type="pct"/>
            <w:tcBorders>
              <w:top w:val="nil"/>
              <w:left w:val="single" w:sz="4" w:space="0" w:color="auto"/>
              <w:bottom w:val="single" w:sz="4" w:space="0" w:color="auto"/>
              <w:right w:val="single" w:sz="4" w:space="0" w:color="auto"/>
            </w:tcBorders>
            <w:shd w:val="clear" w:color="auto" w:fill="auto"/>
            <w:vAlign w:val="bottom"/>
            <w:hideMark/>
          </w:tcPr>
          <w:p w14:paraId="78C7EEDB" w14:textId="77777777" w:rsidR="0047261E" w:rsidRPr="0047261E" w:rsidRDefault="0047261E" w:rsidP="0047261E">
            <w:pPr>
              <w:widowControl w:val="0"/>
              <w:suppressAutoHyphens/>
              <w:autoSpaceDN w:val="0"/>
              <w:ind w:firstLine="0"/>
              <w:jc w:val="center"/>
              <w:textAlignment w:val="baseline"/>
              <w:rPr>
                <w:rFonts w:eastAsia="Times New Roman" w:cs="Times New Roman"/>
                <w:color w:val="000000"/>
                <w:kern w:val="3"/>
                <w:szCs w:val="24"/>
                <w:lang w:eastAsia="ru-RU" w:bidi="hi-IN"/>
              </w:rPr>
            </w:pPr>
            <w:r w:rsidRPr="0047261E">
              <w:rPr>
                <w:rFonts w:eastAsia="Times New Roman" w:cs="Times New Roman"/>
                <w:color w:val="000000"/>
                <w:kern w:val="3"/>
                <w:szCs w:val="24"/>
                <w:lang w:eastAsia="ru-RU" w:bidi="hi-IN"/>
              </w:rPr>
              <w:t>30</w:t>
            </w:r>
          </w:p>
        </w:tc>
        <w:tc>
          <w:tcPr>
            <w:tcW w:w="2717" w:type="pct"/>
            <w:tcBorders>
              <w:top w:val="nil"/>
              <w:left w:val="nil"/>
              <w:bottom w:val="single" w:sz="4" w:space="0" w:color="auto"/>
              <w:right w:val="single" w:sz="4" w:space="0" w:color="auto"/>
            </w:tcBorders>
            <w:shd w:val="clear" w:color="auto" w:fill="auto"/>
            <w:vAlign w:val="bottom"/>
            <w:hideMark/>
          </w:tcPr>
          <w:p w14:paraId="292330C2"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Томпонский район</w:t>
            </w:r>
          </w:p>
        </w:tc>
        <w:tc>
          <w:tcPr>
            <w:tcW w:w="927" w:type="pct"/>
            <w:tcBorders>
              <w:top w:val="nil"/>
              <w:left w:val="nil"/>
              <w:bottom w:val="single" w:sz="4" w:space="0" w:color="auto"/>
              <w:right w:val="single" w:sz="4" w:space="0" w:color="auto"/>
            </w:tcBorders>
            <w:shd w:val="clear" w:color="auto" w:fill="auto"/>
            <w:vAlign w:val="center"/>
            <w:hideMark/>
          </w:tcPr>
          <w:p w14:paraId="46125D37" w14:textId="77777777" w:rsidR="0047261E" w:rsidRPr="0047261E" w:rsidRDefault="0047261E" w:rsidP="003E7869">
            <w:pPr>
              <w:widowControl w:val="0"/>
              <w:suppressAutoHyphens/>
              <w:autoSpaceDN w:val="0"/>
              <w:ind w:firstLine="0"/>
              <w:jc w:val="center"/>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13 909</w:t>
            </w:r>
          </w:p>
        </w:tc>
        <w:tc>
          <w:tcPr>
            <w:tcW w:w="900" w:type="pct"/>
            <w:tcBorders>
              <w:top w:val="nil"/>
              <w:left w:val="nil"/>
              <w:bottom w:val="single" w:sz="4" w:space="0" w:color="auto"/>
              <w:right w:val="single" w:sz="4" w:space="0" w:color="auto"/>
            </w:tcBorders>
            <w:shd w:val="clear" w:color="auto" w:fill="auto"/>
            <w:vAlign w:val="center"/>
            <w:hideMark/>
          </w:tcPr>
          <w:p w14:paraId="498EDF8C" w14:textId="77777777" w:rsidR="0047261E" w:rsidRPr="0047261E" w:rsidRDefault="0047261E" w:rsidP="003E7869">
            <w:pPr>
              <w:widowControl w:val="0"/>
              <w:suppressAutoHyphens/>
              <w:autoSpaceDN w:val="0"/>
              <w:ind w:firstLine="0"/>
              <w:jc w:val="center"/>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12 775</w:t>
            </w:r>
          </w:p>
        </w:tc>
      </w:tr>
      <w:tr w:rsidR="0047261E" w:rsidRPr="0047261E" w14:paraId="6A2ADA33" w14:textId="77777777" w:rsidTr="003E7869">
        <w:trPr>
          <w:trHeight w:val="315"/>
        </w:trPr>
        <w:tc>
          <w:tcPr>
            <w:tcW w:w="457" w:type="pct"/>
            <w:tcBorders>
              <w:top w:val="nil"/>
              <w:left w:val="single" w:sz="4" w:space="0" w:color="auto"/>
              <w:bottom w:val="single" w:sz="4" w:space="0" w:color="auto"/>
              <w:right w:val="single" w:sz="4" w:space="0" w:color="auto"/>
            </w:tcBorders>
            <w:shd w:val="clear" w:color="auto" w:fill="auto"/>
            <w:vAlign w:val="bottom"/>
            <w:hideMark/>
          </w:tcPr>
          <w:p w14:paraId="16FF139E" w14:textId="77777777" w:rsidR="0047261E" w:rsidRPr="0047261E" w:rsidRDefault="0047261E" w:rsidP="0047261E">
            <w:pPr>
              <w:widowControl w:val="0"/>
              <w:suppressAutoHyphens/>
              <w:autoSpaceDN w:val="0"/>
              <w:ind w:firstLine="0"/>
              <w:jc w:val="center"/>
              <w:textAlignment w:val="baseline"/>
              <w:rPr>
                <w:rFonts w:eastAsia="Times New Roman" w:cs="Times New Roman"/>
                <w:color w:val="000000"/>
                <w:kern w:val="3"/>
                <w:szCs w:val="24"/>
                <w:lang w:eastAsia="ru-RU" w:bidi="hi-IN"/>
              </w:rPr>
            </w:pPr>
            <w:r w:rsidRPr="0047261E">
              <w:rPr>
                <w:rFonts w:eastAsia="Times New Roman" w:cs="Times New Roman"/>
                <w:color w:val="000000"/>
                <w:kern w:val="3"/>
                <w:szCs w:val="24"/>
                <w:lang w:eastAsia="ru-RU" w:bidi="hi-IN"/>
              </w:rPr>
              <w:t>31</w:t>
            </w:r>
          </w:p>
        </w:tc>
        <w:tc>
          <w:tcPr>
            <w:tcW w:w="2717" w:type="pct"/>
            <w:tcBorders>
              <w:top w:val="nil"/>
              <w:left w:val="nil"/>
              <w:bottom w:val="single" w:sz="4" w:space="0" w:color="auto"/>
              <w:right w:val="single" w:sz="4" w:space="0" w:color="auto"/>
            </w:tcBorders>
            <w:shd w:val="clear" w:color="auto" w:fill="auto"/>
            <w:vAlign w:val="bottom"/>
            <w:hideMark/>
          </w:tcPr>
          <w:p w14:paraId="52A05C41"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Усть-Алданский улус (район)</w:t>
            </w:r>
          </w:p>
        </w:tc>
        <w:tc>
          <w:tcPr>
            <w:tcW w:w="927" w:type="pct"/>
            <w:tcBorders>
              <w:top w:val="nil"/>
              <w:left w:val="nil"/>
              <w:bottom w:val="single" w:sz="4" w:space="0" w:color="auto"/>
              <w:right w:val="single" w:sz="4" w:space="0" w:color="auto"/>
            </w:tcBorders>
            <w:shd w:val="clear" w:color="auto" w:fill="auto"/>
            <w:vAlign w:val="center"/>
            <w:hideMark/>
          </w:tcPr>
          <w:p w14:paraId="6D000ADE" w14:textId="77777777" w:rsidR="0047261E" w:rsidRPr="0047261E" w:rsidRDefault="0047261E" w:rsidP="003E7869">
            <w:pPr>
              <w:widowControl w:val="0"/>
              <w:suppressAutoHyphens/>
              <w:autoSpaceDN w:val="0"/>
              <w:ind w:firstLine="0"/>
              <w:jc w:val="center"/>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21 554</w:t>
            </w:r>
          </w:p>
        </w:tc>
        <w:tc>
          <w:tcPr>
            <w:tcW w:w="900" w:type="pct"/>
            <w:tcBorders>
              <w:top w:val="nil"/>
              <w:left w:val="nil"/>
              <w:bottom w:val="single" w:sz="4" w:space="0" w:color="auto"/>
              <w:right w:val="single" w:sz="4" w:space="0" w:color="auto"/>
            </w:tcBorders>
            <w:shd w:val="clear" w:color="auto" w:fill="auto"/>
            <w:vAlign w:val="center"/>
            <w:hideMark/>
          </w:tcPr>
          <w:p w14:paraId="35ADDE03" w14:textId="77777777" w:rsidR="0047261E" w:rsidRPr="0047261E" w:rsidRDefault="0047261E" w:rsidP="003E7869">
            <w:pPr>
              <w:widowControl w:val="0"/>
              <w:suppressAutoHyphens/>
              <w:autoSpaceDN w:val="0"/>
              <w:ind w:firstLine="0"/>
              <w:jc w:val="center"/>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20 801</w:t>
            </w:r>
          </w:p>
        </w:tc>
      </w:tr>
      <w:tr w:rsidR="0047261E" w:rsidRPr="0047261E" w14:paraId="69776437" w14:textId="77777777" w:rsidTr="003E7869">
        <w:trPr>
          <w:trHeight w:val="315"/>
        </w:trPr>
        <w:tc>
          <w:tcPr>
            <w:tcW w:w="457" w:type="pct"/>
            <w:tcBorders>
              <w:top w:val="nil"/>
              <w:left w:val="single" w:sz="4" w:space="0" w:color="auto"/>
              <w:bottom w:val="single" w:sz="4" w:space="0" w:color="auto"/>
              <w:right w:val="single" w:sz="4" w:space="0" w:color="auto"/>
            </w:tcBorders>
            <w:shd w:val="clear" w:color="auto" w:fill="auto"/>
            <w:vAlign w:val="bottom"/>
            <w:hideMark/>
          </w:tcPr>
          <w:p w14:paraId="0901D0D0" w14:textId="77777777" w:rsidR="0047261E" w:rsidRPr="0047261E" w:rsidRDefault="0047261E" w:rsidP="0047261E">
            <w:pPr>
              <w:widowControl w:val="0"/>
              <w:suppressAutoHyphens/>
              <w:autoSpaceDN w:val="0"/>
              <w:ind w:firstLine="0"/>
              <w:jc w:val="center"/>
              <w:textAlignment w:val="baseline"/>
              <w:rPr>
                <w:rFonts w:eastAsia="Times New Roman" w:cs="Times New Roman"/>
                <w:color w:val="000000"/>
                <w:kern w:val="3"/>
                <w:szCs w:val="24"/>
                <w:lang w:eastAsia="ru-RU" w:bidi="hi-IN"/>
              </w:rPr>
            </w:pPr>
            <w:r w:rsidRPr="0047261E">
              <w:rPr>
                <w:rFonts w:eastAsia="Times New Roman" w:cs="Times New Roman"/>
                <w:color w:val="000000"/>
                <w:kern w:val="3"/>
                <w:szCs w:val="24"/>
                <w:lang w:eastAsia="ru-RU" w:bidi="hi-IN"/>
              </w:rPr>
              <w:t>32</w:t>
            </w:r>
          </w:p>
        </w:tc>
        <w:tc>
          <w:tcPr>
            <w:tcW w:w="2717" w:type="pct"/>
            <w:tcBorders>
              <w:top w:val="nil"/>
              <w:left w:val="nil"/>
              <w:bottom w:val="single" w:sz="4" w:space="0" w:color="auto"/>
              <w:right w:val="single" w:sz="4" w:space="0" w:color="auto"/>
            </w:tcBorders>
            <w:shd w:val="clear" w:color="auto" w:fill="auto"/>
            <w:vAlign w:val="bottom"/>
            <w:hideMark/>
          </w:tcPr>
          <w:p w14:paraId="25B47FD3"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Усть-Майский улус (район)</w:t>
            </w:r>
          </w:p>
        </w:tc>
        <w:tc>
          <w:tcPr>
            <w:tcW w:w="927" w:type="pct"/>
            <w:tcBorders>
              <w:top w:val="nil"/>
              <w:left w:val="nil"/>
              <w:bottom w:val="single" w:sz="4" w:space="0" w:color="auto"/>
              <w:right w:val="single" w:sz="4" w:space="0" w:color="auto"/>
            </w:tcBorders>
            <w:shd w:val="clear" w:color="auto" w:fill="auto"/>
            <w:vAlign w:val="center"/>
            <w:hideMark/>
          </w:tcPr>
          <w:p w14:paraId="18988757" w14:textId="77777777" w:rsidR="0047261E" w:rsidRPr="0047261E" w:rsidRDefault="0047261E" w:rsidP="003E7869">
            <w:pPr>
              <w:widowControl w:val="0"/>
              <w:suppressAutoHyphens/>
              <w:autoSpaceDN w:val="0"/>
              <w:ind w:firstLine="0"/>
              <w:jc w:val="center"/>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8 232</w:t>
            </w:r>
          </w:p>
        </w:tc>
        <w:tc>
          <w:tcPr>
            <w:tcW w:w="900" w:type="pct"/>
            <w:tcBorders>
              <w:top w:val="nil"/>
              <w:left w:val="nil"/>
              <w:bottom w:val="single" w:sz="4" w:space="0" w:color="auto"/>
              <w:right w:val="single" w:sz="4" w:space="0" w:color="auto"/>
            </w:tcBorders>
            <w:shd w:val="clear" w:color="auto" w:fill="auto"/>
            <w:vAlign w:val="center"/>
            <w:hideMark/>
          </w:tcPr>
          <w:p w14:paraId="2E8CC53C" w14:textId="77777777" w:rsidR="0047261E" w:rsidRPr="0047261E" w:rsidRDefault="0047261E" w:rsidP="003E7869">
            <w:pPr>
              <w:widowControl w:val="0"/>
              <w:suppressAutoHyphens/>
              <w:autoSpaceDN w:val="0"/>
              <w:ind w:firstLine="0"/>
              <w:jc w:val="center"/>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7 466</w:t>
            </w:r>
          </w:p>
        </w:tc>
      </w:tr>
      <w:tr w:rsidR="0047261E" w:rsidRPr="0047261E" w14:paraId="03F81C6E" w14:textId="77777777" w:rsidTr="003E7869">
        <w:trPr>
          <w:trHeight w:val="315"/>
        </w:trPr>
        <w:tc>
          <w:tcPr>
            <w:tcW w:w="457" w:type="pct"/>
            <w:tcBorders>
              <w:top w:val="nil"/>
              <w:left w:val="single" w:sz="4" w:space="0" w:color="auto"/>
              <w:bottom w:val="single" w:sz="4" w:space="0" w:color="auto"/>
              <w:right w:val="single" w:sz="4" w:space="0" w:color="auto"/>
            </w:tcBorders>
            <w:shd w:val="clear" w:color="auto" w:fill="auto"/>
            <w:vAlign w:val="bottom"/>
            <w:hideMark/>
          </w:tcPr>
          <w:p w14:paraId="244C6E85" w14:textId="77777777" w:rsidR="0047261E" w:rsidRPr="0047261E" w:rsidRDefault="0047261E" w:rsidP="0047261E">
            <w:pPr>
              <w:widowControl w:val="0"/>
              <w:suppressAutoHyphens/>
              <w:autoSpaceDN w:val="0"/>
              <w:ind w:firstLine="0"/>
              <w:jc w:val="center"/>
              <w:textAlignment w:val="baseline"/>
              <w:rPr>
                <w:rFonts w:eastAsia="Times New Roman" w:cs="Times New Roman"/>
                <w:color w:val="000000"/>
                <w:kern w:val="3"/>
                <w:szCs w:val="24"/>
                <w:lang w:eastAsia="ru-RU" w:bidi="hi-IN"/>
              </w:rPr>
            </w:pPr>
            <w:r w:rsidRPr="0047261E">
              <w:rPr>
                <w:rFonts w:eastAsia="Times New Roman" w:cs="Times New Roman"/>
                <w:color w:val="000000"/>
                <w:kern w:val="3"/>
                <w:szCs w:val="24"/>
                <w:lang w:eastAsia="ru-RU" w:bidi="hi-IN"/>
              </w:rPr>
              <w:t>33</w:t>
            </w:r>
          </w:p>
        </w:tc>
        <w:tc>
          <w:tcPr>
            <w:tcW w:w="2717" w:type="pct"/>
            <w:tcBorders>
              <w:top w:val="nil"/>
              <w:left w:val="nil"/>
              <w:bottom w:val="single" w:sz="4" w:space="0" w:color="auto"/>
              <w:right w:val="single" w:sz="4" w:space="0" w:color="auto"/>
            </w:tcBorders>
            <w:shd w:val="clear" w:color="auto" w:fill="auto"/>
            <w:vAlign w:val="bottom"/>
            <w:hideMark/>
          </w:tcPr>
          <w:p w14:paraId="2338A44F"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Усть-Янский улус (район)</w:t>
            </w:r>
          </w:p>
        </w:tc>
        <w:tc>
          <w:tcPr>
            <w:tcW w:w="927" w:type="pct"/>
            <w:tcBorders>
              <w:top w:val="nil"/>
              <w:left w:val="nil"/>
              <w:bottom w:val="single" w:sz="4" w:space="0" w:color="auto"/>
              <w:right w:val="single" w:sz="4" w:space="0" w:color="auto"/>
            </w:tcBorders>
            <w:shd w:val="clear" w:color="auto" w:fill="auto"/>
            <w:vAlign w:val="center"/>
            <w:hideMark/>
          </w:tcPr>
          <w:p w14:paraId="4F0422D2" w14:textId="77777777" w:rsidR="0047261E" w:rsidRPr="0047261E" w:rsidRDefault="0047261E" w:rsidP="003E7869">
            <w:pPr>
              <w:widowControl w:val="0"/>
              <w:suppressAutoHyphens/>
              <w:autoSpaceDN w:val="0"/>
              <w:ind w:firstLine="0"/>
              <w:jc w:val="center"/>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7 811</w:t>
            </w:r>
          </w:p>
        </w:tc>
        <w:tc>
          <w:tcPr>
            <w:tcW w:w="900" w:type="pct"/>
            <w:tcBorders>
              <w:top w:val="nil"/>
              <w:left w:val="nil"/>
              <w:bottom w:val="single" w:sz="4" w:space="0" w:color="auto"/>
              <w:right w:val="single" w:sz="4" w:space="0" w:color="auto"/>
            </w:tcBorders>
            <w:shd w:val="clear" w:color="auto" w:fill="auto"/>
            <w:vAlign w:val="center"/>
            <w:hideMark/>
          </w:tcPr>
          <w:p w14:paraId="6CB8AE00" w14:textId="77777777" w:rsidR="0047261E" w:rsidRPr="0047261E" w:rsidRDefault="0047261E" w:rsidP="003E7869">
            <w:pPr>
              <w:widowControl w:val="0"/>
              <w:suppressAutoHyphens/>
              <w:autoSpaceDN w:val="0"/>
              <w:ind w:firstLine="0"/>
              <w:jc w:val="center"/>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7 075</w:t>
            </w:r>
          </w:p>
        </w:tc>
      </w:tr>
      <w:tr w:rsidR="0047261E" w:rsidRPr="0047261E" w14:paraId="1A8622A6" w14:textId="77777777" w:rsidTr="003E7869">
        <w:trPr>
          <w:trHeight w:val="315"/>
        </w:trPr>
        <w:tc>
          <w:tcPr>
            <w:tcW w:w="457" w:type="pct"/>
            <w:tcBorders>
              <w:top w:val="nil"/>
              <w:left w:val="single" w:sz="4" w:space="0" w:color="auto"/>
              <w:bottom w:val="single" w:sz="4" w:space="0" w:color="auto"/>
              <w:right w:val="single" w:sz="4" w:space="0" w:color="auto"/>
            </w:tcBorders>
            <w:shd w:val="clear" w:color="auto" w:fill="auto"/>
            <w:vAlign w:val="bottom"/>
            <w:hideMark/>
          </w:tcPr>
          <w:p w14:paraId="60676720" w14:textId="77777777" w:rsidR="0047261E" w:rsidRPr="0047261E" w:rsidRDefault="0047261E" w:rsidP="0047261E">
            <w:pPr>
              <w:widowControl w:val="0"/>
              <w:suppressAutoHyphens/>
              <w:autoSpaceDN w:val="0"/>
              <w:ind w:firstLine="0"/>
              <w:jc w:val="center"/>
              <w:textAlignment w:val="baseline"/>
              <w:rPr>
                <w:rFonts w:eastAsia="Times New Roman" w:cs="Times New Roman"/>
                <w:color w:val="000000"/>
                <w:kern w:val="3"/>
                <w:szCs w:val="24"/>
                <w:lang w:eastAsia="ru-RU" w:bidi="hi-IN"/>
              </w:rPr>
            </w:pPr>
            <w:r w:rsidRPr="0047261E">
              <w:rPr>
                <w:rFonts w:eastAsia="Times New Roman" w:cs="Times New Roman"/>
                <w:color w:val="000000"/>
                <w:kern w:val="3"/>
                <w:szCs w:val="24"/>
                <w:lang w:eastAsia="ru-RU" w:bidi="hi-IN"/>
              </w:rPr>
              <w:t>34</w:t>
            </w:r>
          </w:p>
        </w:tc>
        <w:tc>
          <w:tcPr>
            <w:tcW w:w="2717" w:type="pct"/>
            <w:tcBorders>
              <w:top w:val="nil"/>
              <w:left w:val="nil"/>
              <w:bottom w:val="single" w:sz="4" w:space="0" w:color="auto"/>
              <w:right w:val="single" w:sz="4" w:space="0" w:color="auto"/>
            </w:tcBorders>
            <w:shd w:val="clear" w:color="auto" w:fill="auto"/>
            <w:vAlign w:val="bottom"/>
            <w:hideMark/>
          </w:tcPr>
          <w:p w14:paraId="79EC152E"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Хангаласский улус</w:t>
            </w:r>
          </w:p>
        </w:tc>
        <w:tc>
          <w:tcPr>
            <w:tcW w:w="927" w:type="pct"/>
            <w:tcBorders>
              <w:top w:val="nil"/>
              <w:left w:val="nil"/>
              <w:bottom w:val="single" w:sz="4" w:space="0" w:color="auto"/>
              <w:right w:val="single" w:sz="4" w:space="0" w:color="auto"/>
            </w:tcBorders>
            <w:shd w:val="clear" w:color="auto" w:fill="auto"/>
            <w:vAlign w:val="center"/>
            <w:hideMark/>
          </w:tcPr>
          <w:p w14:paraId="70F58EC1" w14:textId="77777777" w:rsidR="0047261E" w:rsidRPr="0047261E" w:rsidRDefault="0047261E" w:rsidP="003E7869">
            <w:pPr>
              <w:widowControl w:val="0"/>
              <w:suppressAutoHyphens/>
              <w:autoSpaceDN w:val="0"/>
              <w:ind w:firstLine="0"/>
              <w:jc w:val="center"/>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33 272</w:t>
            </w:r>
          </w:p>
        </w:tc>
        <w:tc>
          <w:tcPr>
            <w:tcW w:w="900" w:type="pct"/>
            <w:tcBorders>
              <w:top w:val="nil"/>
              <w:left w:val="nil"/>
              <w:bottom w:val="single" w:sz="4" w:space="0" w:color="auto"/>
              <w:right w:val="single" w:sz="4" w:space="0" w:color="auto"/>
            </w:tcBorders>
            <w:shd w:val="clear" w:color="auto" w:fill="auto"/>
            <w:vAlign w:val="center"/>
            <w:hideMark/>
          </w:tcPr>
          <w:p w14:paraId="1772647F" w14:textId="77777777" w:rsidR="0047261E" w:rsidRPr="0047261E" w:rsidRDefault="0047261E" w:rsidP="003E7869">
            <w:pPr>
              <w:widowControl w:val="0"/>
              <w:suppressAutoHyphens/>
              <w:autoSpaceDN w:val="0"/>
              <w:ind w:firstLine="0"/>
              <w:jc w:val="center"/>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32 646</w:t>
            </w:r>
          </w:p>
        </w:tc>
      </w:tr>
      <w:tr w:rsidR="0047261E" w:rsidRPr="0047261E" w14:paraId="2E1C1797" w14:textId="77777777" w:rsidTr="003E7869">
        <w:trPr>
          <w:trHeight w:val="315"/>
        </w:trPr>
        <w:tc>
          <w:tcPr>
            <w:tcW w:w="457" w:type="pct"/>
            <w:tcBorders>
              <w:top w:val="nil"/>
              <w:left w:val="single" w:sz="4" w:space="0" w:color="auto"/>
              <w:bottom w:val="single" w:sz="4" w:space="0" w:color="auto"/>
              <w:right w:val="single" w:sz="4" w:space="0" w:color="auto"/>
            </w:tcBorders>
            <w:shd w:val="clear" w:color="auto" w:fill="auto"/>
            <w:vAlign w:val="bottom"/>
            <w:hideMark/>
          </w:tcPr>
          <w:p w14:paraId="26EBEADC" w14:textId="77777777" w:rsidR="0047261E" w:rsidRPr="0047261E" w:rsidRDefault="0047261E" w:rsidP="0047261E">
            <w:pPr>
              <w:widowControl w:val="0"/>
              <w:suppressAutoHyphens/>
              <w:autoSpaceDN w:val="0"/>
              <w:ind w:firstLine="0"/>
              <w:jc w:val="center"/>
              <w:textAlignment w:val="baseline"/>
              <w:rPr>
                <w:rFonts w:eastAsia="Times New Roman" w:cs="Times New Roman"/>
                <w:color w:val="000000"/>
                <w:kern w:val="3"/>
                <w:szCs w:val="24"/>
                <w:lang w:eastAsia="ru-RU" w:bidi="hi-IN"/>
              </w:rPr>
            </w:pPr>
            <w:r w:rsidRPr="0047261E">
              <w:rPr>
                <w:rFonts w:eastAsia="Times New Roman" w:cs="Times New Roman"/>
                <w:color w:val="000000"/>
                <w:kern w:val="3"/>
                <w:szCs w:val="24"/>
                <w:lang w:eastAsia="ru-RU" w:bidi="hi-IN"/>
              </w:rPr>
              <w:t>35</w:t>
            </w:r>
          </w:p>
        </w:tc>
        <w:tc>
          <w:tcPr>
            <w:tcW w:w="2717" w:type="pct"/>
            <w:tcBorders>
              <w:top w:val="nil"/>
              <w:left w:val="nil"/>
              <w:bottom w:val="single" w:sz="4" w:space="0" w:color="auto"/>
              <w:right w:val="single" w:sz="4" w:space="0" w:color="auto"/>
            </w:tcBorders>
            <w:shd w:val="clear" w:color="auto" w:fill="auto"/>
            <w:vAlign w:val="bottom"/>
            <w:hideMark/>
          </w:tcPr>
          <w:p w14:paraId="439DC85F"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Чурапчинский улус (район)</w:t>
            </w:r>
          </w:p>
        </w:tc>
        <w:tc>
          <w:tcPr>
            <w:tcW w:w="927" w:type="pct"/>
            <w:tcBorders>
              <w:top w:val="nil"/>
              <w:left w:val="nil"/>
              <w:bottom w:val="single" w:sz="4" w:space="0" w:color="auto"/>
              <w:right w:val="single" w:sz="4" w:space="0" w:color="auto"/>
            </w:tcBorders>
            <w:shd w:val="clear" w:color="auto" w:fill="auto"/>
            <w:vAlign w:val="center"/>
            <w:hideMark/>
          </w:tcPr>
          <w:p w14:paraId="171CC52C" w14:textId="77777777" w:rsidR="0047261E" w:rsidRPr="0047261E" w:rsidRDefault="0047261E" w:rsidP="003E7869">
            <w:pPr>
              <w:widowControl w:val="0"/>
              <w:suppressAutoHyphens/>
              <w:autoSpaceDN w:val="0"/>
              <w:ind w:firstLine="0"/>
              <w:jc w:val="center"/>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20 508</w:t>
            </w:r>
          </w:p>
        </w:tc>
        <w:tc>
          <w:tcPr>
            <w:tcW w:w="900" w:type="pct"/>
            <w:tcBorders>
              <w:top w:val="nil"/>
              <w:left w:val="nil"/>
              <w:bottom w:val="single" w:sz="4" w:space="0" w:color="auto"/>
              <w:right w:val="single" w:sz="4" w:space="0" w:color="auto"/>
            </w:tcBorders>
            <w:shd w:val="clear" w:color="auto" w:fill="auto"/>
            <w:vAlign w:val="center"/>
            <w:hideMark/>
          </w:tcPr>
          <w:p w14:paraId="45C4E899" w14:textId="77777777" w:rsidR="0047261E" w:rsidRPr="0047261E" w:rsidRDefault="0047261E" w:rsidP="003E7869">
            <w:pPr>
              <w:widowControl w:val="0"/>
              <w:suppressAutoHyphens/>
              <w:autoSpaceDN w:val="0"/>
              <w:ind w:firstLine="0"/>
              <w:jc w:val="center"/>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21 161</w:t>
            </w:r>
          </w:p>
        </w:tc>
      </w:tr>
      <w:tr w:rsidR="0047261E" w:rsidRPr="0047261E" w14:paraId="639C08CA" w14:textId="77777777" w:rsidTr="003E7869">
        <w:trPr>
          <w:trHeight w:val="315"/>
        </w:trPr>
        <w:tc>
          <w:tcPr>
            <w:tcW w:w="457" w:type="pct"/>
            <w:tcBorders>
              <w:top w:val="nil"/>
              <w:left w:val="single" w:sz="4" w:space="0" w:color="auto"/>
              <w:bottom w:val="single" w:sz="4" w:space="0" w:color="auto"/>
              <w:right w:val="single" w:sz="4" w:space="0" w:color="auto"/>
            </w:tcBorders>
            <w:shd w:val="clear" w:color="auto" w:fill="auto"/>
            <w:vAlign w:val="bottom"/>
            <w:hideMark/>
          </w:tcPr>
          <w:p w14:paraId="06C1C5D0" w14:textId="77777777" w:rsidR="0047261E" w:rsidRPr="0047261E" w:rsidRDefault="0047261E" w:rsidP="0047261E">
            <w:pPr>
              <w:widowControl w:val="0"/>
              <w:suppressAutoHyphens/>
              <w:autoSpaceDN w:val="0"/>
              <w:ind w:firstLine="0"/>
              <w:jc w:val="center"/>
              <w:textAlignment w:val="baseline"/>
              <w:rPr>
                <w:rFonts w:eastAsia="Times New Roman" w:cs="Times New Roman"/>
                <w:color w:val="000000"/>
                <w:kern w:val="3"/>
                <w:szCs w:val="24"/>
                <w:lang w:eastAsia="ru-RU" w:bidi="hi-IN"/>
              </w:rPr>
            </w:pPr>
            <w:r w:rsidRPr="0047261E">
              <w:rPr>
                <w:rFonts w:eastAsia="Times New Roman" w:cs="Times New Roman"/>
                <w:color w:val="000000"/>
                <w:kern w:val="3"/>
                <w:szCs w:val="24"/>
                <w:lang w:eastAsia="ru-RU" w:bidi="hi-IN"/>
              </w:rPr>
              <w:t>36</w:t>
            </w:r>
          </w:p>
        </w:tc>
        <w:tc>
          <w:tcPr>
            <w:tcW w:w="2717" w:type="pct"/>
            <w:tcBorders>
              <w:top w:val="nil"/>
              <w:left w:val="nil"/>
              <w:bottom w:val="single" w:sz="4" w:space="0" w:color="auto"/>
              <w:right w:val="single" w:sz="4" w:space="0" w:color="auto"/>
            </w:tcBorders>
            <w:shd w:val="clear" w:color="auto" w:fill="auto"/>
            <w:vAlign w:val="bottom"/>
            <w:hideMark/>
          </w:tcPr>
          <w:p w14:paraId="52CE7AC1"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Эвено-Бытантайский национальный улус (район)</w:t>
            </w:r>
          </w:p>
        </w:tc>
        <w:tc>
          <w:tcPr>
            <w:tcW w:w="927" w:type="pct"/>
            <w:tcBorders>
              <w:top w:val="nil"/>
              <w:left w:val="nil"/>
              <w:bottom w:val="single" w:sz="4" w:space="0" w:color="auto"/>
              <w:right w:val="single" w:sz="4" w:space="0" w:color="auto"/>
            </w:tcBorders>
            <w:shd w:val="clear" w:color="auto" w:fill="auto"/>
            <w:vAlign w:val="center"/>
            <w:hideMark/>
          </w:tcPr>
          <w:p w14:paraId="56480ECF" w14:textId="77777777" w:rsidR="0047261E" w:rsidRPr="0047261E" w:rsidRDefault="0047261E" w:rsidP="003E7869">
            <w:pPr>
              <w:widowControl w:val="0"/>
              <w:suppressAutoHyphens/>
              <w:autoSpaceDN w:val="0"/>
              <w:ind w:firstLine="0"/>
              <w:jc w:val="center"/>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2 816</w:t>
            </w:r>
          </w:p>
        </w:tc>
        <w:tc>
          <w:tcPr>
            <w:tcW w:w="900" w:type="pct"/>
            <w:tcBorders>
              <w:top w:val="nil"/>
              <w:left w:val="nil"/>
              <w:bottom w:val="single" w:sz="4" w:space="0" w:color="auto"/>
              <w:right w:val="single" w:sz="4" w:space="0" w:color="auto"/>
            </w:tcBorders>
            <w:shd w:val="clear" w:color="auto" w:fill="auto"/>
            <w:vAlign w:val="center"/>
            <w:hideMark/>
          </w:tcPr>
          <w:p w14:paraId="256D0D18" w14:textId="77777777" w:rsidR="0047261E" w:rsidRPr="0047261E" w:rsidRDefault="0047261E" w:rsidP="003E7869">
            <w:pPr>
              <w:widowControl w:val="0"/>
              <w:suppressAutoHyphens/>
              <w:autoSpaceDN w:val="0"/>
              <w:ind w:firstLine="0"/>
              <w:jc w:val="center"/>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2 813</w:t>
            </w:r>
          </w:p>
        </w:tc>
      </w:tr>
      <w:tr w:rsidR="003E7869" w:rsidRPr="0047261E" w14:paraId="640C71B1" w14:textId="77777777" w:rsidTr="003E7869">
        <w:trPr>
          <w:trHeight w:val="226"/>
        </w:trPr>
        <w:tc>
          <w:tcPr>
            <w:tcW w:w="457" w:type="pct"/>
            <w:tcBorders>
              <w:top w:val="nil"/>
              <w:left w:val="single" w:sz="4" w:space="0" w:color="auto"/>
              <w:bottom w:val="single" w:sz="4" w:space="0" w:color="auto"/>
              <w:right w:val="single" w:sz="4" w:space="0" w:color="auto"/>
            </w:tcBorders>
            <w:shd w:val="clear" w:color="auto" w:fill="auto"/>
            <w:vAlign w:val="bottom"/>
            <w:hideMark/>
          </w:tcPr>
          <w:p w14:paraId="740A1AA0" w14:textId="77777777" w:rsidR="003E7869" w:rsidRPr="0047261E" w:rsidRDefault="003E7869" w:rsidP="003E7869">
            <w:pPr>
              <w:widowControl w:val="0"/>
              <w:suppressAutoHyphens/>
              <w:autoSpaceDN w:val="0"/>
              <w:ind w:firstLine="0"/>
              <w:jc w:val="center"/>
              <w:textAlignment w:val="baseline"/>
              <w:rPr>
                <w:rFonts w:eastAsia="Times New Roman" w:cs="Times New Roman"/>
                <w:b/>
                <w:bCs/>
                <w:color w:val="000000"/>
                <w:kern w:val="3"/>
                <w:szCs w:val="24"/>
                <w:lang w:eastAsia="ru-RU" w:bidi="hi-IN"/>
              </w:rPr>
            </w:pPr>
            <w:r w:rsidRPr="0047261E">
              <w:rPr>
                <w:rFonts w:eastAsia="Times New Roman" w:cs="Times New Roman"/>
                <w:b/>
                <w:bCs/>
                <w:color w:val="000000"/>
                <w:kern w:val="3"/>
                <w:szCs w:val="24"/>
                <w:lang w:eastAsia="ru-RU" w:bidi="hi-IN"/>
              </w:rPr>
              <w:t> </w:t>
            </w:r>
          </w:p>
        </w:tc>
        <w:tc>
          <w:tcPr>
            <w:tcW w:w="2717" w:type="pct"/>
            <w:tcBorders>
              <w:top w:val="nil"/>
              <w:left w:val="nil"/>
              <w:bottom w:val="single" w:sz="4" w:space="0" w:color="auto"/>
              <w:right w:val="single" w:sz="4" w:space="0" w:color="auto"/>
            </w:tcBorders>
            <w:shd w:val="clear" w:color="auto" w:fill="auto"/>
            <w:vAlign w:val="bottom"/>
            <w:hideMark/>
          </w:tcPr>
          <w:p w14:paraId="42AC65E2" w14:textId="77777777" w:rsidR="003E7869" w:rsidRPr="0047261E" w:rsidRDefault="003E7869" w:rsidP="003E7869">
            <w:pPr>
              <w:widowControl w:val="0"/>
              <w:suppressAutoHyphens/>
              <w:autoSpaceDN w:val="0"/>
              <w:ind w:firstLine="0"/>
              <w:jc w:val="left"/>
              <w:textAlignment w:val="baseline"/>
              <w:rPr>
                <w:rFonts w:eastAsia="Times New Roman" w:cs="Times New Roman"/>
                <w:b/>
                <w:bCs/>
                <w:kern w:val="3"/>
                <w:szCs w:val="24"/>
                <w:lang w:eastAsia="ru-RU" w:bidi="hi-IN"/>
              </w:rPr>
            </w:pPr>
            <w:r w:rsidRPr="0047261E">
              <w:rPr>
                <w:rFonts w:eastAsia="Times New Roman" w:cs="Times New Roman"/>
                <w:b/>
                <w:bCs/>
                <w:kern w:val="3"/>
                <w:szCs w:val="24"/>
                <w:lang w:eastAsia="ru-RU" w:bidi="hi-IN"/>
              </w:rPr>
              <w:t>Республика Саха (Якутия) всего</w:t>
            </w:r>
          </w:p>
        </w:tc>
        <w:tc>
          <w:tcPr>
            <w:tcW w:w="927" w:type="pct"/>
            <w:tcBorders>
              <w:top w:val="nil"/>
              <w:left w:val="nil"/>
              <w:bottom w:val="single" w:sz="4" w:space="0" w:color="auto"/>
              <w:right w:val="single" w:sz="4" w:space="0" w:color="auto"/>
            </w:tcBorders>
            <w:shd w:val="clear" w:color="auto" w:fill="auto"/>
            <w:vAlign w:val="center"/>
            <w:hideMark/>
          </w:tcPr>
          <w:p w14:paraId="6ACD6F62" w14:textId="4F1FF1A2" w:rsidR="003E7869" w:rsidRPr="003E7869" w:rsidRDefault="003E7869" w:rsidP="003E7869">
            <w:pPr>
              <w:pStyle w:val="1-"/>
              <w:widowControl w:val="0"/>
              <w:numPr>
                <w:ilvl w:val="0"/>
                <w:numId w:val="0"/>
              </w:numPr>
              <w:autoSpaceDN w:val="0"/>
              <w:ind w:left="94"/>
              <w:jc w:val="center"/>
              <w:rPr>
                <w:b/>
                <w:bCs/>
                <w:kern w:val="3"/>
                <w:lang w:eastAsia="ru-RU" w:bidi="hi-IN"/>
              </w:rPr>
            </w:pPr>
            <w:r>
              <w:rPr>
                <w:b/>
                <w:bCs/>
                <w:color w:val="000000"/>
              </w:rPr>
              <w:t>956 353</w:t>
            </w:r>
          </w:p>
        </w:tc>
        <w:tc>
          <w:tcPr>
            <w:tcW w:w="900" w:type="pct"/>
            <w:tcBorders>
              <w:top w:val="nil"/>
              <w:left w:val="nil"/>
              <w:bottom w:val="single" w:sz="4" w:space="0" w:color="auto"/>
              <w:right w:val="single" w:sz="4" w:space="0" w:color="auto"/>
            </w:tcBorders>
            <w:shd w:val="clear" w:color="auto" w:fill="auto"/>
            <w:vAlign w:val="center"/>
            <w:hideMark/>
          </w:tcPr>
          <w:p w14:paraId="6636EC19" w14:textId="00CC554D" w:rsidR="003E7869" w:rsidRPr="00DF26AE" w:rsidRDefault="003E7869" w:rsidP="003E7869">
            <w:pPr>
              <w:pStyle w:val="1-"/>
              <w:widowControl w:val="0"/>
              <w:numPr>
                <w:ilvl w:val="0"/>
                <w:numId w:val="0"/>
              </w:numPr>
              <w:autoSpaceDN w:val="0"/>
              <w:ind w:left="94"/>
              <w:jc w:val="center"/>
              <w:rPr>
                <w:b/>
                <w:bCs/>
                <w:kern w:val="3"/>
                <w:lang w:eastAsia="ru-RU" w:bidi="hi-IN"/>
              </w:rPr>
            </w:pPr>
            <w:r>
              <w:rPr>
                <w:b/>
                <w:bCs/>
                <w:color w:val="000000"/>
                <w:kern w:val="3"/>
                <w:lang w:bidi="hi-IN"/>
              </w:rPr>
              <w:t>964 330</w:t>
            </w:r>
          </w:p>
        </w:tc>
      </w:tr>
    </w:tbl>
    <w:p w14:paraId="4C7281BF" w14:textId="77777777" w:rsidR="0047261E" w:rsidRPr="0047261E" w:rsidRDefault="0047261E" w:rsidP="0047261E">
      <w:pPr>
        <w:widowControl w:val="0"/>
        <w:suppressAutoHyphens/>
        <w:autoSpaceDN w:val="0"/>
        <w:ind w:firstLine="709"/>
        <w:jc w:val="left"/>
        <w:textAlignment w:val="baseline"/>
        <w:rPr>
          <w:rFonts w:eastAsia="Times New Roman" w:cs="Times New Roman"/>
          <w:kern w:val="3"/>
          <w:szCs w:val="24"/>
          <w:lang w:eastAsia="ru-RU" w:bidi="hi-IN"/>
        </w:rPr>
      </w:pPr>
    </w:p>
    <w:p w14:paraId="71A71E69" w14:textId="0599A3D9" w:rsidR="003F26E6" w:rsidRDefault="003F26E6" w:rsidP="00FD2769">
      <w:pPr>
        <w:pStyle w:val="3"/>
        <w:rPr>
          <w:rFonts w:eastAsia="Calibri"/>
          <w:lang w:eastAsia="zh-CN"/>
        </w:rPr>
      </w:pPr>
      <w:bookmarkStart w:id="52" w:name="_Toc14819102"/>
      <w:r w:rsidRPr="00DF26AE">
        <w:rPr>
          <w:rFonts w:eastAsia="Calibri"/>
          <w:lang w:eastAsia="zh-CN"/>
        </w:rPr>
        <w:t>Социально-</w:t>
      </w:r>
      <w:r w:rsidRPr="005A6921">
        <w:rPr>
          <w:rFonts w:eastAsia="Calibri"/>
          <w:lang w:eastAsia="zh-CN"/>
        </w:rPr>
        <w:t>экономическая ситуация в Республике Саха (Якутия) за январь-декабрь 2018 года.</w:t>
      </w:r>
      <w:bookmarkEnd w:id="52"/>
      <w:r w:rsidRPr="00DF26AE">
        <w:rPr>
          <w:rFonts w:eastAsia="Calibri"/>
          <w:lang w:eastAsia="zh-CN"/>
        </w:rPr>
        <w:t xml:space="preserve"> </w:t>
      </w:r>
    </w:p>
    <w:p w14:paraId="4429B60D" w14:textId="77777777" w:rsidR="005A6921" w:rsidRDefault="005A6921" w:rsidP="0047261E">
      <w:pPr>
        <w:widowControl w:val="0"/>
        <w:suppressAutoHyphens/>
        <w:autoSpaceDN w:val="0"/>
        <w:ind w:firstLine="709"/>
        <w:textAlignment w:val="baseline"/>
        <w:rPr>
          <w:rFonts w:eastAsia="Times New Roman" w:cs="Times New Roman"/>
          <w:b/>
          <w:kern w:val="3"/>
          <w:szCs w:val="24"/>
          <w:lang w:eastAsia="ru-RU" w:bidi="hi-IN"/>
        </w:rPr>
      </w:pPr>
    </w:p>
    <w:p w14:paraId="6953A510" w14:textId="273C021C" w:rsidR="0047261E" w:rsidRPr="0047261E" w:rsidRDefault="0047261E" w:rsidP="0047261E">
      <w:pPr>
        <w:widowControl w:val="0"/>
        <w:suppressAutoHyphens/>
        <w:autoSpaceDN w:val="0"/>
        <w:ind w:firstLine="709"/>
        <w:textAlignment w:val="baseline"/>
        <w:rPr>
          <w:rFonts w:eastAsia="Times New Roman" w:cs="Times New Roman"/>
          <w:kern w:val="3"/>
          <w:szCs w:val="24"/>
          <w:lang w:eastAsia="ru-RU" w:bidi="hi-IN"/>
        </w:rPr>
      </w:pPr>
      <w:r w:rsidRPr="0047261E">
        <w:rPr>
          <w:rFonts w:eastAsia="Times New Roman" w:cs="Times New Roman"/>
          <w:b/>
          <w:kern w:val="3"/>
          <w:szCs w:val="24"/>
          <w:lang w:eastAsia="ru-RU" w:bidi="hi-IN"/>
        </w:rPr>
        <w:t>Валовой региональный продукт</w:t>
      </w:r>
      <w:r w:rsidRPr="0047261E">
        <w:rPr>
          <w:rFonts w:eastAsia="Times New Roman" w:cs="Times New Roman"/>
          <w:kern w:val="3"/>
          <w:szCs w:val="24"/>
          <w:lang w:eastAsia="ru-RU" w:bidi="hi-IN"/>
        </w:rPr>
        <w:t xml:space="preserve"> РС (Я) за одиннадцать месяцев 2018 года составил 959,4 млрд рублей, что на 3,3% выше уровня соответствующего периода 2017 года</w:t>
      </w:r>
      <w:r w:rsidRPr="0047261E">
        <w:rPr>
          <w:rFonts w:eastAsia="Times New Roman" w:cs="Times New Roman"/>
          <w:kern w:val="3"/>
          <w:szCs w:val="24"/>
          <w:vertAlign w:val="superscript"/>
          <w:lang w:eastAsia="ru-RU" w:bidi="hi-IN"/>
        </w:rPr>
        <w:footnoteReference w:id="10"/>
      </w:r>
      <w:r w:rsidRPr="0047261E">
        <w:rPr>
          <w:rFonts w:eastAsia="Times New Roman" w:cs="Times New Roman"/>
          <w:kern w:val="3"/>
          <w:szCs w:val="24"/>
          <w:lang w:eastAsia="ru-RU" w:bidi="hi-IN"/>
        </w:rPr>
        <w:t>.</w:t>
      </w:r>
    </w:p>
    <w:p w14:paraId="48F03FA3" w14:textId="77777777" w:rsidR="0047261E" w:rsidRPr="0047261E" w:rsidRDefault="0047261E" w:rsidP="0047261E">
      <w:pPr>
        <w:widowControl w:val="0"/>
        <w:suppressAutoHyphens/>
        <w:autoSpaceDN w:val="0"/>
        <w:ind w:firstLine="709"/>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По итогам 2018 года ожидается достижение «триллионного уровня» валового регионального продукта - 1040,6 млрд рублей с индексом физического объема 103,3% к уровню 2017 года. Это обусловлено ростом выпуска товаров, работ (услуг) организаций по видам деятельности «добыча сырой нефти и природного газа» и «добыча прочих полезных ископаемых».</w:t>
      </w:r>
    </w:p>
    <w:p w14:paraId="43C62E7A" w14:textId="77777777" w:rsidR="0047261E" w:rsidRPr="0047261E" w:rsidRDefault="0047261E" w:rsidP="0047261E">
      <w:pPr>
        <w:widowControl w:val="0"/>
        <w:suppressAutoHyphens/>
        <w:autoSpaceDN w:val="0"/>
        <w:ind w:firstLine="709"/>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 xml:space="preserve">В январе-декабре 2018 года </w:t>
      </w:r>
      <w:r w:rsidRPr="0047261E">
        <w:rPr>
          <w:rFonts w:eastAsia="Times New Roman" w:cs="Times New Roman"/>
          <w:b/>
          <w:kern w:val="3"/>
          <w:szCs w:val="24"/>
          <w:lang w:eastAsia="ru-RU" w:bidi="hi-IN"/>
        </w:rPr>
        <w:t>оборот организаций</w:t>
      </w:r>
      <w:r w:rsidRPr="0047261E">
        <w:rPr>
          <w:rFonts w:eastAsia="Times New Roman" w:cs="Times New Roman"/>
          <w:kern w:val="3"/>
          <w:szCs w:val="24"/>
          <w:lang w:eastAsia="ru-RU" w:bidi="hi-IN"/>
        </w:rPr>
        <w:t xml:space="preserve"> всех видов экономической деятельности с учетом субъектов малого предпринимательства составил 1 370 868,1 млн. рублей, или 120,9% к соответствующему периоду предыдущего года в основном за счет увеличения оборота организаций по «добыче полезных ископаемых».</w:t>
      </w:r>
    </w:p>
    <w:p w14:paraId="24F1C521" w14:textId="77777777" w:rsidR="0047261E" w:rsidRPr="0047261E" w:rsidRDefault="0047261E" w:rsidP="0047261E">
      <w:pPr>
        <w:widowControl w:val="0"/>
        <w:suppressAutoHyphens/>
        <w:autoSpaceDN w:val="0"/>
        <w:ind w:firstLine="709"/>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По данным Саха(Якутия) стат, индекс промышленного производства составил 108,2% к январе-декабрю 2017 года, в том числе по видам экономической деятельности:</w:t>
      </w:r>
    </w:p>
    <w:p w14:paraId="6A244F6A" w14:textId="77777777" w:rsidR="0047261E" w:rsidRPr="0047261E" w:rsidRDefault="0047261E" w:rsidP="00D24868">
      <w:pPr>
        <w:widowControl w:val="0"/>
        <w:numPr>
          <w:ilvl w:val="0"/>
          <w:numId w:val="54"/>
        </w:numPr>
        <w:suppressAutoHyphens/>
        <w:autoSpaceDN w:val="0"/>
        <w:ind w:firstLine="709"/>
        <w:jc w:val="left"/>
        <w:textAlignment w:val="baseline"/>
        <w:rPr>
          <w:rFonts w:eastAsia="Times New Roman" w:cs="Times New Roman"/>
          <w:kern w:val="3"/>
          <w:szCs w:val="20"/>
          <w:lang w:eastAsia="zh-CN"/>
        </w:rPr>
      </w:pPr>
      <w:r w:rsidRPr="0047261E">
        <w:rPr>
          <w:rFonts w:eastAsia="Times New Roman" w:cs="Times New Roman"/>
          <w:kern w:val="3"/>
          <w:szCs w:val="20"/>
          <w:lang w:eastAsia="zh-CN"/>
        </w:rPr>
        <w:t>«добыча сырой нефти» - 117,8%,</w:t>
      </w:r>
    </w:p>
    <w:p w14:paraId="0E0779D7" w14:textId="77777777" w:rsidR="0047261E" w:rsidRPr="0047261E" w:rsidRDefault="0047261E" w:rsidP="00D24868">
      <w:pPr>
        <w:widowControl w:val="0"/>
        <w:numPr>
          <w:ilvl w:val="0"/>
          <w:numId w:val="54"/>
        </w:numPr>
        <w:suppressAutoHyphens/>
        <w:autoSpaceDN w:val="0"/>
        <w:ind w:firstLine="709"/>
        <w:jc w:val="left"/>
        <w:textAlignment w:val="baseline"/>
        <w:rPr>
          <w:rFonts w:eastAsia="Times New Roman" w:cs="Times New Roman"/>
          <w:kern w:val="3"/>
          <w:szCs w:val="20"/>
          <w:lang w:eastAsia="zh-CN"/>
        </w:rPr>
      </w:pPr>
      <w:r w:rsidRPr="0047261E">
        <w:rPr>
          <w:rFonts w:eastAsia="Times New Roman" w:cs="Times New Roman"/>
          <w:kern w:val="3"/>
          <w:szCs w:val="20"/>
          <w:lang w:eastAsia="zh-CN"/>
        </w:rPr>
        <w:t>«добыча алмазов» - 95,9%.</w:t>
      </w:r>
    </w:p>
    <w:p w14:paraId="4FD9E8E6" w14:textId="77777777" w:rsidR="0047261E" w:rsidRPr="0047261E" w:rsidRDefault="0047261E" w:rsidP="0047261E">
      <w:pPr>
        <w:widowControl w:val="0"/>
        <w:suppressAutoHyphens/>
        <w:autoSpaceDN w:val="0"/>
        <w:ind w:firstLine="709"/>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Значительный рост объемов производства обеспечен по следующим видам промышленной продукции: уголь каменный и бурый (за счет ООО «Эльгауголь», ООО «УК «Колмар» и АО «ГОК Инаглинский»), нефть сырая (за счет ООО «Таас-Юрях Нефтегазодобыча», и ТОП ОАО «Сургутнефтегаз»), газовый конденсат (за счет ПАО «ЯТЭК»), концентраты серебряные и золотосодержащие (ООО «Нерюнгри-Металлик», ООО «Рудник Таборный», ООО «Рябиновое» и АО «Тарынская золоторудная компания»).</w:t>
      </w:r>
    </w:p>
    <w:p w14:paraId="75C89771" w14:textId="77777777" w:rsidR="0047261E" w:rsidRPr="0047261E" w:rsidRDefault="0047261E" w:rsidP="0047261E">
      <w:pPr>
        <w:widowControl w:val="0"/>
        <w:suppressAutoHyphens/>
        <w:autoSpaceDN w:val="0"/>
        <w:ind w:firstLine="709"/>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В 2018 году был установлен ряд рекордов в добывающей промышленности Якутии: добыча золота впервые в современной истории Якутии пробила отметку в 28 тонн, причем в Алданском районе золотодобыча превысила советские показатели и составила 12,6 тонн, добыча нефти и угля также обновили исторические показатели, достигнув 12 и 17,7 млн тонн соответственно.</w:t>
      </w:r>
    </w:p>
    <w:p w14:paraId="2B66CCBA" w14:textId="77777777" w:rsidR="0047261E" w:rsidRPr="0047261E" w:rsidRDefault="0047261E" w:rsidP="0047261E">
      <w:pPr>
        <w:widowControl w:val="0"/>
        <w:suppressAutoHyphens/>
        <w:autoSpaceDN w:val="0"/>
        <w:ind w:firstLine="709"/>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В то же время снизился объем добычи алмазов на 4,1% (за счет АК «АЛРОСА» (ПАО) и ПАО «Алроса-Нюрба» в соответствии с производственным планом). Показатели АК «АЛРОСА» обусловлены приостановлением эксплуатации трубки «Мир», снижением содержания алмазов в руде на трубке «Юбилейная», сокращением объемов обогащения руды на трубке «Удачная». Также снизились объемы добычи природного газа на 7,3% (за счет ПАО «ЯТЭК»).</w:t>
      </w:r>
    </w:p>
    <w:p w14:paraId="21C8CD05" w14:textId="77777777" w:rsidR="0047261E" w:rsidRPr="0047261E" w:rsidRDefault="0047261E" w:rsidP="0047261E">
      <w:pPr>
        <w:widowControl w:val="0"/>
        <w:suppressAutoHyphens/>
        <w:autoSpaceDN w:val="0"/>
        <w:ind w:firstLine="709"/>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Не удалось переломить спад в обрабатывающей промышленности вследствие снижения производства пищевых продуктов и обработки древесины. Тем не менее, наблюдался рост объемов производства по отдельным видам продукции - рыба переработанная и консервированная, пиво, спецодежда, алмазы природные обработанные, мебель кухонная и офисная, ювелирные изделия.</w:t>
      </w:r>
      <w:bookmarkStart w:id="53" w:name="bookmark4"/>
      <w:r w:rsidRPr="0047261E">
        <w:rPr>
          <w:rFonts w:eastAsia="Times New Roman" w:cs="Times New Roman"/>
          <w:kern w:val="3"/>
          <w:szCs w:val="24"/>
          <w:lang w:eastAsia="ru-RU" w:bidi="hi-IN"/>
        </w:rPr>
        <w:t xml:space="preserve"> </w:t>
      </w:r>
    </w:p>
    <w:bookmarkEnd w:id="53"/>
    <w:p w14:paraId="2F6DFD4D" w14:textId="77777777" w:rsidR="0047261E" w:rsidRPr="0047261E" w:rsidRDefault="0047261E" w:rsidP="0047261E">
      <w:pPr>
        <w:widowControl w:val="0"/>
        <w:suppressAutoHyphens/>
        <w:autoSpaceDN w:val="0"/>
        <w:ind w:firstLine="709"/>
        <w:textAlignment w:val="baseline"/>
        <w:rPr>
          <w:rFonts w:eastAsia="Times New Roman" w:cs="Times New Roman"/>
          <w:kern w:val="3"/>
          <w:szCs w:val="24"/>
          <w:lang w:eastAsia="ru-RU" w:bidi="hi-IN"/>
        </w:rPr>
      </w:pPr>
      <w:r w:rsidRPr="0047261E">
        <w:rPr>
          <w:rFonts w:eastAsia="Times New Roman" w:cs="Times New Roman"/>
          <w:b/>
          <w:kern w:val="3"/>
          <w:szCs w:val="24"/>
          <w:lang w:eastAsia="ru-RU" w:bidi="hi-IN"/>
        </w:rPr>
        <w:t>Сельское хозяйство.</w:t>
      </w:r>
      <w:r w:rsidRPr="0047261E">
        <w:rPr>
          <w:rFonts w:eastAsia="Times New Roman" w:cs="Times New Roman"/>
          <w:kern w:val="3"/>
          <w:szCs w:val="24"/>
          <w:lang w:eastAsia="ru-RU" w:bidi="hi-IN"/>
        </w:rPr>
        <w:t xml:space="preserve"> В январе-декабре 2018 года продукция сельского хозяйства всех сельхозпроизводителей по сравнению с аналогичным периодом 2017 года увеличилась на 4,5% и составила 26,37 млрд рублей (по прогнозу Министерства экономики РС(Я) - 100,7%).</w:t>
      </w:r>
    </w:p>
    <w:p w14:paraId="299B4D90" w14:textId="77777777" w:rsidR="0047261E" w:rsidRPr="0047261E" w:rsidRDefault="0047261E" w:rsidP="0047261E">
      <w:pPr>
        <w:widowControl w:val="0"/>
        <w:suppressAutoHyphens/>
        <w:autoSpaceDN w:val="0"/>
        <w:ind w:firstLine="709"/>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Рост продукции сельского хозяйства обусловлен увеличением объемов производства продукции растениеводства на 14,4% по сравнению с уровнем 2017 года. Вследствие благоприятных погодных условий в текущем году на 57,4% больше получено урожая зерна (к валовому сбору 2017 года), картофеля - на 13%, овощей - на 14,5%.</w:t>
      </w:r>
    </w:p>
    <w:p w14:paraId="45FB57F1" w14:textId="77777777" w:rsidR="0047261E" w:rsidRPr="0047261E" w:rsidRDefault="0047261E" w:rsidP="0047261E">
      <w:pPr>
        <w:widowControl w:val="0"/>
        <w:suppressAutoHyphens/>
        <w:autoSpaceDN w:val="0"/>
        <w:ind w:firstLine="709"/>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Сохраняется тенденция сокращения поголовья основных видов скота: поголовье КРС в хозяйствах всех категорий по сравнению с январем-декабрем 2017 года незначительно уменьшилось (187,5 тыс. голов против 188 тыс.), из него коров - меньше на 3,2% (71,8 тыс.), свиней - меньше на 1,1% (23,1 тыс.), лошадей - меньше на 0,5% (193,3 тыс.), северных оленей - меньше на 3,6% (149,1 тыс.), птиц всех видов - на 2% (853,5 тыс).</w:t>
      </w:r>
    </w:p>
    <w:p w14:paraId="56698F18" w14:textId="77777777" w:rsidR="0047261E" w:rsidRPr="0047261E" w:rsidRDefault="0047261E" w:rsidP="0047261E">
      <w:pPr>
        <w:widowControl w:val="0"/>
        <w:suppressAutoHyphens/>
        <w:autoSpaceDN w:val="0"/>
        <w:ind w:firstLine="709"/>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Сохраняются валовые объемы производства в натуральных показателях с небольшим сокращением: производство скота и птицы на убой в живом весе составило 35,4 тыс. тонн (98,9% уровня 2017 г), валовый надой молока - 165,4 тыс. тонн (99,4%), производство яиц - 121,7 тыс. штук (100,2%).</w:t>
      </w:r>
    </w:p>
    <w:p w14:paraId="2AA35DB1" w14:textId="77777777" w:rsidR="0047261E" w:rsidRPr="0047261E" w:rsidRDefault="0047261E" w:rsidP="0047261E">
      <w:pPr>
        <w:widowControl w:val="0"/>
        <w:suppressAutoHyphens/>
        <w:autoSpaceDN w:val="0"/>
        <w:ind w:firstLine="709"/>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 xml:space="preserve">В 2018 году </w:t>
      </w:r>
      <w:r w:rsidRPr="0047261E">
        <w:rPr>
          <w:rFonts w:eastAsia="Times New Roman" w:cs="Times New Roman"/>
          <w:b/>
          <w:kern w:val="3"/>
          <w:szCs w:val="24"/>
          <w:lang w:eastAsia="ru-RU" w:bidi="hi-IN"/>
        </w:rPr>
        <w:t>инвестиции</w:t>
      </w:r>
      <w:r w:rsidRPr="0047261E">
        <w:rPr>
          <w:rFonts w:eastAsia="Times New Roman" w:cs="Times New Roman"/>
          <w:kern w:val="3"/>
          <w:szCs w:val="24"/>
          <w:lang w:eastAsia="ru-RU" w:bidi="hi-IN"/>
        </w:rPr>
        <w:t xml:space="preserve"> в основной капитал составили 410,7 млрд. рублей и возросли к 2017 году на 1,3% (в сопоставимых ценах).</w:t>
      </w:r>
    </w:p>
    <w:p w14:paraId="584E1E33" w14:textId="77777777" w:rsidR="0047261E" w:rsidRPr="0047261E" w:rsidRDefault="0047261E" w:rsidP="0047261E">
      <w:pPr>
        <w:widowControl w:val="0"/>
        <w:suppressAutoHyphens/>
        <w:autoSpaceDN w:val="0"/>
        <w:ind w:firstLine="709"/>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 xml:space="preserve">Объем работ, выполненных по виду деятельности </w:t>
      </w:r>
      <w:r w:rsidRPr="0047261E">
        <w:rPr>
          <w:rFonts w:eastAsia="Times New Roman" w:cs="Times New Roman"/>
          <w:b/>
          <w:kern w:val="3"/>
          <w:szCs w:val="24"/>
          <w:lang w:eastAsia="ru-RU" w:bidi="hi-IN"/>
        </w:rPr>
        <w:t>«строительство»,</w:t>
      </w:r>
      <w:r w:rsidRPr="0047261E">
        <w:rPr>
          <w:rFonts w:eastAsia="Times New Roman" w:cs="Times New Roman"/>
          <w:kern w:val="3"/>
          <w:szCs w:val="24"/>
          <w:lang w:eastAsia="ru-RU" w:bidi="hi-IN"/>
        </w:rPr>
        <w:t xml:space="preserve"> увеличился на 2,5% к 2017 году и составил 156,9 млрд. рублей3 (за счет организаций, не относящихся к субъектам малого предпринимательства). При этом из общего объема работ 54,5% выполнены территориально обособленными подразделениями инорегиональных юридических лиц. Объемы работ по строительству объекта «Магистральный газопровод «Сила Сибири» занимают 33,7% в общем составе строительных работ.</w:t>
      </w:r>
    </w:p>
    <w:p w14:paraId="47E96EA2" w14:textId="77777777" w:rsidR="0047261E" w:rsidRPr="0047261E" w:rsidRDefault="0047261E" w:rsidP="0047261E">
      <w:pPr>
        <w:widowControl w:val="0"/>
        <w:suppressAutoHyphens/>
        <w:autoSpaceDN w:val="0"/>
        <w:ind w:firstLine="709"/>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За 2018 год введено в действие жилых домов общей площадью 496,9 тыс. кв. метров (78,4% к 2017 году). Снижение было вызвано уменьшением на 27,5% ввода жилых домов, построенных юридическими лицами и ежемесячным отставанием с августа т.г. темпов роста индивидуального жилищного строительства по сравнению с объемами 2017 года.</w:t>
      </w:r>
    </w:p>
    <w:p w14:paraId="61460A1A" w14:textId="77777777" w:rsidR="0047261E" w:rsidRPr="0047261E" w:rsidRDefault="0047261E" w:rsidP="0047261E">
      <w:pPr>
        <w:widowControl w:val="0"/>
        <w:suppressAutoHyphens/>
        <w:autoSpaceDN w:val="0"/>
        <w:ind w:firstLine="709"/>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 xml:space="preserve">Всеми видами </w:t>
      </w:r>
      <w:r w:rsidRPr="0047261E">
        <w:rPr>
          <w:rFonts w:eastAsia="Times New Roman" w:cs="Times New Roman"/>
          <w:b/>
          <w:kern w:val="3"/>
          <w:szCs w:val="24"/>
          <w:lang w:eastAsia="ru-RU" w:bidi="hi-IN"/>
        </w:rPr>
        <w:t>транспорта</w:t>
      </w:r>
      <w:r w:rsidRPr="0047261E">
        <w:rPr>
          <w:rFonts w:eastAsia="Times New Roman" w:cs="Times New Roman"/>
          <w:kern w:val="3"/>
          <w:szCs w:val="24"/>
          <w:lang w:eastAsia="ru-RU" w:bidi="hi-IN"/>
        </w:rPr>
        <w:t xml:space="preserve"> в 2018 году перевезено 25,2 млн. тонн различных грузов, что на 0,9% больше, чем в 2017 года. Рост обеспечен объемами грузоперевозок автомобильным транспортом (103%), по остальным видам транспорта наблюдалось сокращение. Объемы перевозок внутренним водным транспортом сократились на 12,2% за счет сокращения объемов перевозки грузов АО «ЛОРП» на 10% от уровня 2017 года.</w:t>
      </w:r>
    </w:p>
    <w:p w14:paraId="56FE6BB3" w14:textId="77777777" w:rsidR="0047261E" w:rsidRPr="0047261E" w:rsidRDefault="0047261E" w:rsidP="0047261E">
      <w:pPr>
        <w:widowControl w:val="0"/>
        <w:suppressAutoHyphens/>
        <w:autoSpaceDN w:val="0"/>
        <w:ind w:firstLine="709"/>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Грузооборот транспорта составил по итогам года 5246 млн тонно-км., 100,5% к уровню прошлого года, за счет автомобильного транспорта (+6,8%).</w:t>
      </w:r>
    </w:p>
    <w:p w14:paraId="79768D36" w14:textId="77777777" w:rsidR="0047261E" w:rsidRPr="0047261E" w:rsidRDefault="0047261E" w:rsidP="0047261E">
      <w:pPr>
        <w:widowControl w:val="0"/>
        <w:suppressAutoHyphens/>
        <w:autoSpaceDN w:val="0"/>
        <w:ind w:firstLine="709"/>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Услугами пассажирского транспорта всех видов за 2018 года воспользовались 95,5 млн. человек (96,9% к 2017 году). Снижение перевозок наблюдалось на автомобильном и внутреннем водном транспорте. Растет спрос на железнодорожные пассажироперевозки и в воздушном транспорте.</w:t>
      </w:r>
    </w:p>
    <w:p w14:paraId="541452FE" w14:textId="77777777" w:rsidR="0047261E" w:rsidRPr="0047261E" w:rsidRDefault="0047261E" w:rsidP="0047261E">
      <w:pPr>
        <w:widowControl w:val="0"/>
        <w:suppressAutoHyphens/>
        <w:autoSpaceDN w:val="0"/>
        <w:ind w:firstLine="709"/>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Пассажирооборот составил 4455,1 млн. пассажиро-километров, 110,8% к уровню 2018 года, в основном за счет роста на воздушном - 113,2% (доля в общем объеме - 88,3%) и железнодорожном (105%) транспорте.</w:t>
      </w:r>
    </w:p>
    <w:p w14:paraId="2AC0B636" w14:textId="77777777" w:rsidR="0047261E" w:rsidRPr="0047261E" w:rsidRDefault="0047261E" w:rsidP="0047261E">
      <w:pPr>
        <w:widowControl w:val="0"/>
        <w:suppressAutoHyphens/>
        <w:autoSpaceDN w:val="0"/>
        <w:ind w:firstLine="709"/>
        <w:textAlignment w:val="baseline"/>
        <w:rPr>
          <w:rFonts w:eastAsia="Times New Roman" w:cs="Times New Roman"/>
          <w:kern w:val="3"/>
          <w:szCs w:val="24"/>
          <w:lang w:eastAsia="ru-RU" w:bidi="hi-IN"/>
        </w:rPr>
      </w:pPr>
      <w:r w:rsidRPr="0047261E">
        <w:rPr>
          <w:rFonts w:eastAsia="Times New Roman" w:cs="Times New Roman"/>
          <w:b/>
          <w:kern w:val="3"/>
          <w:szCs w:val="24"/>
          <w:lang w:eastAsia="ru-RU" w:bidi="hi-IN"/>
        </w:rPr>
        <w:t>Оборот розничной торговли</w:t>
      </w:r>
      <w:r w:rsidRPr="0047261E">
        <w:rPr>
          <w:rFonts w:eastAsia="Times New Roman" w:cs="Times New Roman"/>
          <w:kern w:val="3"/>
          <w:szCs w:val="24"/>
          <w:lang w:eastAsia="ru-RU" w:bidi="hi-IN"/>
        </w:rPr>
        <w:t>, по оценке Саха (Якутия) стат, составит 228,1 млрд. рублей, что в сопоставимых ценах на 4,9% больше, чем в январе-декабре 2017 года (по прогнозу Министерства экономики РС (Я) - 101%). Оборот розничной торговли в январе-декабре 2018 года преимущественно сформирован оборотом торгующих организаций.</w:t>
      </w:r>
    </w:p>
    <w:p w14:paraId="3E1B0A96" w14:textId="77777777" w:rsidR="0047261E" w:rsidRPr="0047261E" w:rsidRDefault="0047261E" w:rsidP="0047261E">
      <w:pPr>
        <w:widowControl w:val="0"/>
        <w:suppressAutoHyphens/>
        <w:autoSpaceDN w:val="0"/>
        <w:ind w:firstLine="709"/>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Оборот общественного питания (оборот ресторанов, баров, кафе, столовых при предприятиях и учреждениях, а также организаций, осуществляющих поставку продукции общественного питания) составил 18,9 млрд рублей и был выше уровня 2017 года на 9,7% (в сопоставимых ценах).</w:t>
      </w:r>
    </w:p>
    <w:p w14:paraId="2E71F595" w14:textId="77777777" w:rsidR="0047261E" w:rsidRPr="0047261E" w:rsidRDefault="0047261E" w:rsidP="0047261E">
      <w:pPr>
        <w:widowControl w:val="0"/>
        <w:suppressAutoHyphens/>
        <w:autoSpaceDN w:val="0"/>
        <w:ind w:firstLine="709"/>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Населению республики было оказано платных услуг на сумму 88,0 млрд руб. реальный рост на 1,8%.</w:t>
      </w:r>
    </w:p>
    <w:p w14:paraId="64E72DD8" w14:textId="77777777" w:rsidR="0047261E" w:rsidRPr="0047261E" w:rsidRDefault="0047261E" w:rsidP="0047261E">
      <w:pPr>
        <w:widowControl w:val="0"/>
        <w:suppressAutoHyphens/>
        <w:autoSpaceDN w:val="0"/>
        <w:ind w:firstLine="709"/>
        <w:textAlignment w:val="baseline"/>
        <w:rPr>
          <w:rFonts w:eastAsia="Times New Roman" w:cs="Times New Roman"/>
          <w:kern w:val="3"/>
          <w:szCs w:val="24"/>
          <w:lang w:eastAsia="ru-RU" w:bidi="hi-IN"/>
        </w:rPr>
      </w:pPr>
      <w:r w:rsidRPr="0047261E">
        <w:rPr>
          <w:rFonts w:eastAsia="Times New Roman" w:cs="Times New Roman"/>
          <w:b/>
          <w:kern w:val="3"/>
          <w:szCs w:val="24"/>
          <w:lang w:eastAsia="ru-RU" w:bidi="hi-IN"/>
        </w:rPr>
        <w:t>Индекс потребительских цен</w:t>
      </w:r>
      <w:r w:rsidRPr="0047261E">
        <w:rPr>
          <w:rFonts w:eastAsia="Times New Roman" w:cs="Times New Roman"/>
          <w:kern w:val="3"/>
          <w:szCs w:val="24"/>
          <w:lang w:eastAsia="ru-RU" w:bidi="hi-IN"/>
        </w:rPr>
        <w:t xml:space="preserve"> в декабре 2018 года к декабрю 2017 года составил 102,9% (по прогнозу Министерства экономики РС (Я) - 103,5%). В том числе по продовольственным товарам - 101,2%, непродовольственным - 103,3%.</w:t>
      </w:r>
    </w:p>
    <w:p w14:paraId="13D693B5" w14:textId="77777777" w:rsidR="0047261E" w:rsidRPr="0047261E" w:rsidRDefault="0047261E" w:rsidP="0047261E">
      <w:pPr>
        <w:widowControl w:val="0"/>
        <w:suppressAutoHyphens/>
        <w:autoSpaceDN w:val="0"/>
        <w:ind w:firstLine="709"/>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По продовольственным товарам цены с начала года максимально выросли на хлеб и хлебобулочные изделия - на 9%, масло сливочное - на 6,5% и овощи - на 3,1%. Между тем снизились цены на картофель - на 7,4%, крупы и бобовые - на 4,4%, муку - на 3,5%, сахар-песок - на 3,2%, яйца - 2,9%, фрукты - на 1,2%.</w:t>
      </w:r>
    </w:p>
    <w:p w14:paraId="29ED513C" w14:textId="77777777" w:rsidR="0047261E" w:rsidRPr="0047261E" w:rsidRDefault="0047261E" w:rsidP="0047261E">
      <w:pPr>
        <w:widowControl w:val="0"/>
        <w:suppressAutoHyphens/>
        <w:autoSpaceDN w:val="0"/>
        <w:ind w:firstLine="709"/>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Стоимость условного (минимального) набора продуктов питания в расчете на месяц в декабре 2018 года составила 6457,2 рубля и по сравнению с началом года выросла на 2,5%.</w:t>
      </w:r>
    </w:p>
    <w:p w14:paraId="10523368" w14:textId="77777777" w:rsidR="0047261E" w:rsidRPr="0047261E" w:rsidRDefault="0047261E" w:rsidP="0047261E">
      <w:pPr>
        <w:widowControl w:val="0"/>
        <w:suppressAutoHyphens/>
        <w:autoSpaceDN w:val="0"/>
        <w:ind w:firstLine="709"/>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По непродовольственным товарам, как и в целом по России, максимальный рост с начала года зафиксирован по бензину автомобильному - на 8,8% и табачным изделиям - на 7,3%.</w:t>
      </w:r>
    </w:p>
    <w:p w14:paraId="3C8AD0A2" w14:textId="77777777" w:rsidR="0047261E" w:rsidRPr="0047261E" w:rsidRDefault="0047261E" w:rsidP="0047261E">
      <w:pPr>
        <w:widowControl w:val="0"/>
        <w:suppressAutoHyphens/>
        <w:autoSpaceDN w:val="0"/>
        <w:ind w:firstLine="709"/>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По услугам в ноябре наибольший прирост цен и тарифов имеют услуги физкультуры и спорта - 15,4% (к декабрю 2017 года), услуги образования - 12,7%, услуги дошкольного воспитания - 6,6%, жилищно-коммунальные услуги - 4,1% (в том числе коммунальные услуги - 5,6%).</w:t>
      </w:r>
    </w:p>
    <w:p w14:paraId="3472A501" w14:textId="77777777" w:rsidR="0047261E" w:rsidRPr="0047261E" w:rsidRDefault="0047261E" w:rsidP="0047261E">
      <w:pPr>
        <w:widowControl w:val="0"/>
        <w:suppressAutoHyphens/>
        <w:autoSpaceDN w:val="0"/>
        <w:ind w:firstLine="709"/>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 xml:space="preserve">Кассовое </w:t>
      </w:r>
      <w:r w:rsidRPr="0047261E">
        <w:rPr>
          <w:rFonts w:eastAsia="Times New Roman" w:cs="Times New Roman"/>
          <w:b/>
          <w:kern w:val="3"/>
          <w:szCs w:val="24"/>
          <w:lang w:eastAsia="ru-RU" w:bidi="hi-IN"/>
        </w:rPr>
        <w:t>исполнение государственного бюджета</w:t>
      </w:r>
      <w:r w:rsidRPr="0047261E">
        <w:rPr>
          <w:rFonts w:eastAsia="Times New Roman" w:cs="Times New Roman"/>
          <w:kern w:val="3"/>
          <w:szCs w:val="24"/>
          <w:lang w:eastAsia="ru-RU" w:bidi="hi-IN"/>
        </w:rPr>
        <w:t xml:space="preserve"> Республики Саха (Якутия) на 01.01.2019 года составило:</w:t>
      </w:r>
    </w:p>
    <w:p w14:paraId="2D30DC26" w14:textId="77777777" w:rsidR="0047261E" w:rsidRPr="0047261E" w:rsidRDefault="0047261E" w:rsidP="00D24868">
      <w:pPr>
        <w:widowControl w:val="0"/>
        <w:numPr>
          <w:ilvl w:val="0"/>
          <w:numId w:val="52"/>
        </w:numPr>
        <w:suppressAutoHyphens/>
        <w:autoSpaceDN w:val="0"/>
        <w:ind w:firstLine="709"/>
        <w:contextualSpacing/>
        <w:jc w:val="left"/>
        <w:textAlignment w:val="baseline"/>
        <w:rPr>
          <w:rFonts w:eastAsia="Times New Roman" w:cs="Times New Roman"/>
          <w:kern w:val="3"/>
          <w:szCs w:val="24"/>
          <w:lang w:eastAsia="zh-CN"/>
        </w:rPr>
      </w:pPr>
      <w:r w:rsidRPr="0047261E">
        <w:rPr>
          <w:rFonts w:eastAsia="Times New Roman" w:cs="Times New Roman"/>
          <w:kern w:val="3"/>
          <w:szCs w:val="24"/>
          <w:lang w:eastAsia="zh-CN"/>
        </w:rPr>
        <w:t>по доходам - 219129,8 млн. рублей или 105,1% от плана доходов государственного бюджета 2018 года (уточненный бюджет - 208526,5 млн. рублей);</w:t>
      </w:r>
    </w:p>
    <w:p w14:paraId="467A6DE7" w14:textId="77777777" w:rsidR="0047261E" w:rsidRPr="0047261E" w:rsidRDefault="0047261E" w:rsidP="00D24868">
      <w:pPr>
        <w:widowControl w:val="0"/>
        <w:numPr>
          <w:ilvl w:val="0"/>
          <w:numId w:val="52"/>
        </w:numPr>
        <w:suppressAutoHyphens/>
        <w:autoSpaceDN w:val="0"/>
        <w:ind w:firstLine="709"/>
        <w:contextualSpacing/>
        <w:jc w:val="left"/>
        <w:textAlignment w:val="baseline"/>
        <w:rPr>
          <w:rFonts w:eastAsia="Times New Roman" w:cs="Times New Roman"/>
          <w:kern w:val="3"/>
          <w:szCs w:val="24"/>
          <w:lang w:eastAsia="zh-CN"/>
        </w:rPr>
      </w:pPr>
      <w:r w:rsidRPr="0047261E">
        <w:rPr>
          <w:rFonts w:eastAsia="Times New Roman" w:cs="Times New Roman"/>
          <w:kern w:val="3"/>
          <w:szCs w:val="24"/>
          <w:lang w:eastAsia="zh-CN"/>
        </w:rPr>
        <w:t>по расходам - 208912,8 млн. рублей или 99,4% от уточненного бюджета (уточненный бюджет - 210231,5 млн. рублей).</w:t>
      </w:r>
    </w:p>
    <w:p w14:paraId="61D7176D" w14:textId="77777777" w:rsidR="0047261E" w:rsidRPr="0047261E" w:rsidRDefault="0047261E" w:rsidP="0047261E">
      <w:pPr>
        <w:widowControl w:val="0"/>
        <w:suppressAutoHyphens/>
        <w:autoSpaceDN w:val="0"/>
        <w:ind w:firstLine="709"/>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В общей сумме сложился профицит бюджета в размере 10216,9 млн. рублей. (уточненный бюджет - профицит в размере 1705,0 млн. руб.)</w:t>
      </w:r>
    </w:p>
    <w:p w14:paraId="13AA88A4" w14:textId="77777777" w:rsidR="0047261E" w:rsidRPr="0047261E" w:rsidRDefault="0047261E" w:rsidP="0047261E">
      <w:pPr>
        <w:widowControl w:val="0"/>
        <w:suppressAutoHyphens/>
        <w:autoSpaceDN w:val="0"/>
        <w:ind w:firstLine="709"/>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За январь-декабрь 2018 года в доходную часть государственного бюджета Республики Саха (Якутия) поступило собственных доходов в сумме 139169,7 млн. рублей, что составляет 63,5% от доходов государственного бюджета.</w:t>
      </w:r>
    </w:p>
    <w:p w14:paraId="1048BF77" w14:textId="77777777" w:rsidR="0047261E" w:rsidRPr="0047261E" w:rsidRDefault="0047261E" w:rsidP="0047261E">
      <w:pPr>
        <w:widowControl w:val="0"/>
        <w:suppressAutoHyphens/>
        <w:autoSpaceDN w:val="0"/>
        <w:ind w:firstLine="709"/>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В структуре собственных доходов основную долю составили налоговые доходы (80,8%), которые исполнены в сумме 112 465,0 млн. рублей или 107,4% от уточненного бюджета и 128,2% к соответствующему периоду прошлого года. Налоговые доходы сформированы на 46,5% за счет налога прибыль предприятий, на 21,7% - за счет налога на доходы физических лиц, на 14,7% - налог на имущество, и 13,6% - налог на добычу полезных ископаемых.</w:t>
      </w:r>
    </w:p>
    <w:p w14:paraId="51E6016F" w14:textId="77777777" w:rsidR="0047261E" w:rsidRPr="0047261E" w:rsidRDefault="0047261E" w:rsidP="0047261E">
      <w:pPr>
        <w:widowControl w:val="0"/>
        <w:suppressAutoHyphens/>
        <w:autoSpaceDN w:val="0"/>
        <w:ind w:firstLine="709"/>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Поступления неналоговых доходов составили на 1 января 2019 года 26704,7 млн. рублей или 101,9% от уточненного бюджета и 109,6% к соответствующему периоду прошлого года.</w:t>
      </w:r>
    </w:p>
    <w:p w14:paraId="7FD1EAEB" w14:textId="77777777" w:rsidR="0047261E" w:rsidRPr="0047261E" w:rsidRDefault="0047261E" w:rsidP="0047261E">
      <w:pPr>
        <w:widowControl w:val="0"/>
        <w:suppressAutoHyphens/>
        <w:autoSpaceDN w:val="0"/>
        <w:ind w:firstLine="709"/>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В структуре неналоговых доходов наибольшая доля поступлений приходится на доходы в виде прибыли, приходящейся на доли в уставных (складочных) капиталах хозяйственных товариществ и обществ, или дивидендов по акциям, принадлежащим Российской Федерации, субъектам Российской Федерации или муниципальным образованиям (77,2%) и платежи при пользовании природными ресурсами (8,9%).</w:t>
      </w:r>
    </w:p>
    <w:p w14:paraId="332E3348" w14:textId="77777777" w:rsidR="0047261E" w:rsidRPr="0047261E" w:rsidRDefault="0047261E" w:rsidP="0047261E">
      <w:pPr>
        <w:widowControl w:val="0"/>
        <w:suppressAutoHyphens/>
        <w:autoSpaceDN w:val="0"/>
        <w:ind w:firstLine="709"/>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По предварительным данным безвозмездные поступления по всем видам источников составили за 2018 год 79960,1 млн. рублей, с ростом на 2321,9 млн. рублей или 3% к утвержденному плану, в том числе поступления из федерального бюджета обеспечили прирост на 2004,7 млн. рублей.</w:t>
      </w:r>
    </w:p>
    <w:p w14:paraId="0E721904" w14:textId="77777777" w:rsidR="0047261E" w:rsidRPr="0047261E" w:rsidRDefault="0047261E" w:rsidP="0047261E">
      <w:pPr>
        <w:widowControl w:val="0"/>
        <w:suppressAutoHyphens/>
        <w:autoSpaceDN w:val="0"/>
        <w:ind w:firstLine="709"/>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По расходной части государственного бюджета Республики Саха (Якутия) расходы на социально-культурную сферу (образование, культуру, кинематографию, средства массовой информации, здравоохранение, спорт, социальную политику) произведены в сумме 100563,9 млн. рублей, что составило 48,1 % всех расходов государственного бюджета Республики Саха (Якутия).</w:t>
      </w:r>
    </w:p>
    <w:p w14:paraId="4A366959" w14:textId="77777777" w:rsidR="0047261E" w:rsidRPr="0047261E" w:rsidRDefault="0047261E" w:rsidP="0047261E">
      <w:pPr>
        <w:widowControl w:val="0"/>
        <w:suppressAutoHyphens/>
        <w:autoSpaceDN w:val="0"/>
        <w:ind w:firstLine="709"/>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На поддержку ряда отраслей национальной экономики (топливно-энергетический комплекс, воспроизводство минерально-сырьевой базы, сельское хозяйство и рыболовство, водные ресурсы, лесное хозяйство, транспорт, связь и информатика) было направлено в январе-декабре 2018 года 37487,3 млн. рублей или 17,9% в общей сумме расходов.</w:t>
      </w:r>
    </w:p>
    <w:p w14:paraId="24744C55" w14:textId="77777777" w:rsidR="0047261E" w:rsidRPr="0047261E" w:rsidRDefault="0047261E" w:rsidP="0047261E">
      <w:pPr>
        <w:widowControl w:val="0"/>
        <w:suppressAutoHyphens/>
        <w:autoSpaceDN w:val="0"/>
        <w:ind w:firstLine="709"/>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Расходы на правоохранительную деятельность, обеспечение противопожарной безопасности, предупреждение и ликвидацию последствий чрезвычайных ситуаций и стихийных бедствий, национальную оборону занимают 1,7% в структуре расходов. На эти цели расходы государственного бюджета составили 3787,0 млн. рублей.</w:t>
      </w:r>
    </w:p>
    <w:p w14:paraId="1CA119EB" w14:textId="77777777" w:rsidR="0047261E" w:rsidRPr="0047261E" w:rsidRDefault="0047261E" w:rsidP="0047261E">
      <w:pPr>
        <w:widowControl w:val="0"/>
        <w:suppressAutoHyphens/>
        <w:autoSpaceDN w:val="0"/>
        <w:ind w:firstLine="709"/>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Расходы по разделу «Общегосударственные вопросы» произведены в сумме 7178 млн. рублей, что составило 3,44% в структуре расходов.</w:t>
      </w:r>
    </w:p>
    <w:p w14:paraId="6B6C1952" w14:textId="77777777" w:rsidR="0047261E" w:rsidRPr="0047261E" w:rsidRDefault="0047261E" w:rsidP="0047261E">
      <w:pPr>
        <w:widowControl w:val="0"/>
        <w:suppressAutoHyphens/>
        <w:autoSpaceDN w:val="0"/>
        <w:ind w:firstLine="709"/>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Расходы на жилищно-коммунальное хозяйство в общей структуре расходов составили 13,1% или 27448,0 млн. рублей.</w:t>
      </w:r>
    </w:p>
    <w:p w14:paraId="2D144D89" w14:textId="77777777" w:rsidR="0047261E" w:rsidRPr="0047261E" w:rsidRDefault="0047261E" w:rsidP="0047261E">
      <w:pPr>
        <w:widowControl w:val="0"/>
        <w:suppressAutoHyphens/>
        <w:autoSpaceDN w:val="0"/>
        <w:ind w:firstLine="709"/>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На охрану окружающей среды расходы составили 724,5 млн. рублей или 0,35%.</w:t>
      </w:r>
    </w:p>
    <w:p w14:paraId="7EEF4639" w14:textId="77777777" w:rsidR="0047261E" w:rsidRPr="0047261E" w:rsidRDefault="0047261E" w:rsidP="0047261E">
      <w:pPr>
        <w:widowControl w:val="0"/>
        <w:suppressAutoHyphens/>
        <w:autoSpaceDN w:val="0"/>
        <w:ind w:firstLine="709"/>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 xml:space="preserve">В январе-ноябре 2018 года, по оперативным данным, сальдированный </w:t>
      </w:r>
      <w:r w:rsidRPr="0047261E">
        <w:rPr>
          <w:rFonts w:eastAsia="Times New Roman" w:cs="Times New Roman"/>
          <w:b/>
          <w:kern w:val="3"/>
          <w:szCs w:val="24"/>
          <w:lang w:eastAsia="ru-RU" w:bidi="hi-IN"/>
        </w:rPr>
        <w:t xml:space="preserve">финансовый результат </w:t>
      </w:r>
      <w:r w:rsidRPr="0047261E">
        <w:rPr>
          <w:rFonts w:eastAsia="Times New Roman" w:cs="Times New Roman"/>
          <w:kern w:val="3"/>
          <w:szCs w:val="24"/>
          <w:lang w:eastAsia="ru-RU" w:bidi="hi-IN"/>
        </w:rPr>
        <w:t>(прибыль минус убыток) организаций составил +211,1 млрд руб., или 141,2% к январю-ноябрю 2017 года (на 38% больше, чем в аналогичном периоде 2017 года).</w:t>
      </w:r>
    </w:p>
    <w:p w14:paraId="3C660785" w14:textId="77777777" w:rsidR="0047261E" w:rsidRPr="0047261E" w:rsidRDefault="0047261E" w:rsidP="0047261E">
      <w:pPr>
        <w:widowControl w:val="0"/>
        <w:suppressAutoHyphens/>
        <w:autoSpaceDN w:val="0"/>
        <w:ind w:firstLine="709"/>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На формирование положительного сальдированного финансового результата существенное влияние оказали финансовые результаты организаций по добыче прочих полезных ископаемых, добыче сырой нефти и природного газа, обеспечения электроэнергией, газом и паром. Отрицательный сальдированный финансовый результат получили организации по видам экономической деятельности «транспортировка и хранение», «сельское и лесное хозяйство, охота, рыболовство и рыболовство», «деятельность гостиниц и предприятий общественного питания», «обрабатывающие производства».</w:t>
      </w:r>
    </w:p>
    <w:p w14:paraId="313B5B40" w14:textId="77777777" w:rsidR="0047261E" w:rsidRPr="0047261E" w:rsidRDefault="0047261E" w:rsidP="0047261E">
      <w:pPr>
        <w:widowControl w:val="0"/>
        <w:suppressAutoHyphens/>
        <w:autoSpaceDN w:val="0"/>
        <w:ind w:firstLine="709"/>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 xml:space="preserve">По оценке </w:t>
      </w:r>
      <w:proofErr w:type="gramStart"/>
      <w:r w:rsidRPr="0047261E">
        <w:rPr>
          <w:rFonts w:eastAsia="Times New Roman" w:cs="Times New Roman"/>
          <w:kern w:val="3"/>
          <w:szCs w:val="24"/>
          <w:lang w:eastAsia="ru-RU" w:bidi="hi-IN"/>
        </w:rPr>
        <w:t>Саха</w:t>
      </w:r>
      <w:proofErr w:type="gramEnd"/>
      <w:r w:rsidRPr="0047261E">
        <w:rPr>
          <w:rFonts w:eastAsia="Times New Roman" w:cs="Times New Roman"/>
          <w:kern w:val="3"/>
          <w:szCs w:val="24"/>
          <w:lang w:eastAsia="ru-RU" w:bidi="hi-IN"/>
        </w:rPr>
        <w:t xml:space="preserve"> (Якутия) стата, при сохранении наметившейся тенденции роста прибыли АК АЛРОСА (ПАО) и ООО «Таас-Юрях нефтедобыча», ПАО АЛРОСА-Нюрба в 2018 году будет получена сальдированная прибыль организаций в сумме 197 млрд рублей или 179,3% уровня 2017 года (по прогнозу Министерства экономики РС(Я) - 205 млрд рублей или 187,2%).</w:t>
      </w:r>
    </w:p>
    <w:p w14:paraId="4D28693C" w14:textId="77777777" w:rsidR="0047261E" w:rsidRPr="0047261E" w:rsidRDefault="0047261E" w:rsidP="0047261E">
      <w:pPr>
        <w:widowControl w:val="0"/>
        <w:suppressAutoHyphens/>
        <w:autoSpaceDN w:val="0"/>
        <w:ind w:firstLine="709"/>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По данным на ноябрь 2018 года дебиторская задолженность составила 205,2 млрд. рублей (102,1% к соответствующему показателю 2017 года).</w:t>
      </w:r>
    </w:p>
    <w:p w14:paraId="225A0B79" w14:textId="77777777" w:rsidR="0047261E" w:rsidRPr="0047261E" w:rsidRDefault="0047261E" w:rsidP="0047261E">
      <w:pPr>
        <w:widowControl w:val="0"/>
        <w:suppressAutoHyphens/>
        <w:autoSpaceDN w:val="0"/>
        <w:ind w:firstLine="709"/>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Кредиторская задолженность организаций всех видов экономической деятельности за этот период составила 157,9 млрд руб., в том числе просроченная - 13,4 млрд. руб. В структуре просроченной задолженности доля задолженности перед поставщиками и подрядчиками за товары, работы и услуги составила 58,8%, в бюджет - 2,7%, в государственные внебюджетные фонды - 1,8%.</w:t>
      </w:r>
    </w:p>
    <w:p w14:paraId="7376F147" w14:textId="77777777" w:rsidR="0047261E" w:rsidRPr="0047261E" w:rsidRDefault="0047261E" w:rsidP="0047261E">
      <w:pPr>
        <w:widowControl w:val="0"/>
        <w:suppressAutoHyphens/>
        <w:autoSpaceDN w:val="0"/>
        <w:ind w:firstLine="709"/>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Задолженность по полученным кредитам банков и займам организаций составила 460,1 млрд. рублей и увеличилась на 4,9%, из нее просроченные долги - 43,4 млрд. рублей (9,44% всей задолженности).</w:t>
      </w:r>
    </w:p>
    <w:p w14:paraId="35132635" w14:textId="77777777" w:rsidR="0047261E" w:rsidRPr="0047261E" w:rsidRDefault="0047261E" w:rsidP="0047261E">
      <w:pPr>
        <w:widowControl w:val="0"/>
        <w:suppressAutoHyphens/>
        <w:autoSpaceDN w:val="0"/>
        <w:ind w:firstLine="709"/>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 xml:space="preserve">По данным Министерства экономики РС (Я), реальные располагаемые </w:t>
      </w:r>
      <w:r w:rsidRPr="0047261E">
        <w:rPr>
          <w:rFonts w:eastAsia="Times New Roman" w:cs="Times New Roman"/>
          <w:b/>
          <w:kern w:val="3"/>
          <w:szCs w:val="24"/>
          <w:lang w:eastAsia="ru-RU" w:bidi="hi-IN"/>
        </w:rPr>
        <w:t>денежные доходы населения</w:t>
      </w:r>
      <w:r w:rsidRPr="0047261E">
        <w:rPr>
          <w:rFonts w:eastAsia="Times New Roman" w:cs="Times New Roman"/>
          <w:kern w:val="3"/>
          <w:szCs w:val="24"/>
          <w:lang w:eastAsia="ru-RU" w:bidi="hi-IN"/>
        </w:rPr>
        <w:t xml:space="preserve"> сложились с положительным ростом в 0,6% к году и достигли значения 41 тыс. рублей.</w:t>
      </w:r>
    </w:p>
    <w:p w14:paraId="3AAD8B02" w14:textId="77777777" w:rsidR="0047261E" w:rsidRPr="0047261E" w:rsidRDefault="0047261E" w:rsidP="0047261E">
      <w:pPr>
        <w:widowControl w:val="0"/>
        <w:suppressAutoHyphens/>
        <w:autoSpaceDN w:val="0"/>
        <w:ind w:firstLine="709"/>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В январе-ноябре 2018 года номинальные денежные доходы в среднем на душу населения составили 39334,9 рублей, что на 4,8% выше аналогичного показателя 2017 года (без учета единовременной выплаты) и на 4,4% выше с учетом выплаты пенсионерам в январе 2017 года.</w:t>
      </w:r>
    </w:p>
    <w:p w14:paraId="2EBA97B5" w14:textId="77777777" w:rsidR="0047261E" w:rsidRPr="0047261E" w:rsidRDefault="0047261E" w:rsidP="0047261E">
      <w:pPr>
        <w:widowControl w:val="0"/>
        <w:suppressAutoHyphens/>
        <w:autoSpaceDN w:val="0"/>
        <w:ind w:firstLine="709"/>
        <w:textAlignment w:val="baseline"/>
        <w:rPr>
          <w:rFonts w:eastAsia="Times New Roman" w:cs="Times New Roman"/>
          <w:kern w:val="3"/>
          <w:szCs w:val="24"/>
          <w:lang w:eastAsia="ru-RU" w:bidi="hi-IN"/>
        </w:rPr>
      </w:pPr>
      <w:r w:rsidRPr="0047261E">
        <w:rPr>
          <w:rFonts w:eastAsia="Times New Roman" w:cs="Times New Roman"/>
          <w:b/>
          <w:kern w:val="3"/>
          <w:szCs w:val="24"/>
          <w:lang w:eastAsia="ru-RU" w:bidi="hi-IN"/>
        </w:rPr>
        <w:t>Среднемесячная номинальная начисленная заработная плата</w:t>
      </w:r>
      <w:r w:rsidRPr="0047261E">
        <w:rPr>
          <w:rFonts w:eastAsia="Times New Roman" w:cs="Times New Roman"/>
          <w:kern w:val="3"/>
          <w:szCs w:val="24"/>
          <w:lang w:eastAsia="ru-RU" w:bidi="hi-IN"/>
        </w:rPr>
        <w:t xml:space="preserve"> в январе-декабре 2018 года по сравнению с соответствующим периодом 2017 года выросла на 9,5% и составила 64875,0 рублей (по прогнозу Министерства экономики РС (Я) - 67095 рублей с ростом 107,9%). Реальная начисленная заработная плата увеличилась на 6,3%.</w:t>
      </w:r>
    </w:p>
    <w:p w14:paraId="475AB546" w14:textId="77777777" w:rsidR="0047261E" w:rsidRPr="0047261E" w:rsidRDefault="0047261E" w:rsidP="0047261E">
      <w:pPr>
        <w:widowControl w:val="0"/>
        <w:suppressAutoHyphens/>
        <w:autoSpaceDN w:val="0"/>
        <w:ind w:firstLine="709"/>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При росте заработной платы работников и роста пенсий (на 2,7% на 1 октября т.г.) среднедушевые номинальные денежные доходы в 2018 году составят 41612,8 рублей, что на 4,6% превысит уровень 2017 года в номинальном выражении (по прогнозу Министерства экономики РС (Я) - 42068 рублей с приростом 5,8%). При ожидаемом опережении темпа роста располагаемых денежных доходов над темпом роста цен реальные располагаемые денежные доходы возрастут на 0,8% (по прогнозу Министерства экономики РС (Я) - на 1,5%).</w:t>
      </w:r>
    </w:p>
    <w:p w14:paraId="7DE912F2" w14:textId="77777777" w:rsidR="0047261E" w:rsidRPr="0047261E" w:rsidRDefault="0047261E" w:rsidP="0047261E">
      <w:pPr>
        <w:widowControl w:val="0"/>
        <w:suppressAutoHyphens/>
        <w:autoSpaceDN w:val="0"/>
        <w:ind w:firstLine="709"/>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Просроченная задолженность по заработной плате (по кругу видов экономической деятельности, наблюдаемых в соответствии с Федеральным планом статистических работ), по состоянию на 1 января 2019 года составила 10 994 тыс. руб., в том числе по организациям, находящимся в процессе конкурсного производства 5141 тыс. руб. (48,7 % и 39,7% к значению 2017 года соответственно).</w:t>
      </w:r>
    </w:p>
    <w:p w14:paraId="7188C9EB" w14:textId="77777777" w:rsidR="0047261E" w:rsidRPr="0047261E" w:rsidRDefault="0047261E" w:rsidP="0047261E">
      <w:pPr>
        <w:widowControl w:val="0"/>
        <w:suppressAutoHyphens/>
        <w:autoSpaceDN w:val="0"/>
        <w:ind w:firstLine="709"/>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Численность рабочей силы в возрасте 15 лет и старше составила в январе-декабре, по оценке, 500,5 тыс. человек, в том числе занятых - 465,8 тыс. человек и безработных - 34,7 тыс. человек.</w:t>
      </w:r>
    </w:p>
    <w:p w14:paraId="27B72DE4" w14:textId="77777777" w:rsidR="0047261E" w:rsidRPr="0047261E" w:rsidRDefault="0047261E" w:rsidP="0047261E">
      <w:pPr>
        <w:widowControl w:val="0"/>
        <w:suppressAutoHyphens/>
        <w:autoSpaceDN w:val="0"/>
        <w:ind w:firstLine="709"/>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По сравнению с январем-декабрем 2017 года численность рабочей силы увеличилась на 1,7 тыс. человек (+0,3%), при этом число занятых увеличилось на 2,5 тыс. человек (+0,5%), численность безработных сократилась на 0,9 тыс. человек (-2,6%).</w:t>
      </w:r>
    </w:p>
    <w:p w14:paraId="39683E7F" w14:textId="77777777" w:rsidR="0047261E" w:rsidRPr="0047261E" w:rsidRDefault="0047261E" w:rsidP="0047261E">
      <w:pPr>
        <w:widowControl w:val="0"/>
        <w:suppressAutoHyphens/>
        <w:autoSpaceDN w:val="0"/>
        <w:ind w:firstLine="709"/>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Уровень общей безработицы составил 6,9% (январь-декабрь 2017г. - 7,1%).</w:t>
      </w:r>
    </w:p>
    <w:p w14:paraId="6F327097" w14:textId="77777777" w:rsidR="0047261E" w:rsidRPr="0047261E" w:rsidRDefault="0047261E" w:rsidP="0047261E">
      <w:pPr>
        <w:widowControl w:val="0"/>
        <w:suppressAutoHyphens/>
        <w:autoSpaceDN w:val="0"/>
        <w:ind w:firstLine="709"/>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Среднесписочная численность работников организаций с учетом субъектов малого предпринимательства - юридических лиц на 1 ноября 2018 года составила 298957 человек и по сравнению с соответствующим периодом 2017 года увеличилась на 104,7 %.</w:t>
      </w:r>
    </w:p>
    <w:p w14:paraId="7D16449E" w14:textId="77777777" w:rsidR="0047261E" w:rsidRPr="0047261E" w:rsidRDefault="0047261E" w:rsidP="0047261E">
      <w:pPr>
        <w:widowControl w:val="0"/>
        <w:suppressAutoHyphens/>
        <w:autoSpaceDN w:val="0"/>
        <w:ind w:firstLine="709"/>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По данным Государственного комитета Республики Саха (Якутия) по занятости населения, на конец декабря 2018 года численность официально зарегистрированных безработных, на учете в органах службы занятости населения, составила 8384 человек (снижение по сравнению с декабрем 2017 года - на 16,7%).</w:t>
      </w:r>
    </w:p>
    <w:p w14:paraId="5A5353AA" w14:textId="77777777" w:rsidR="0047261E" w:rsidRPr="0047261E" w:rsidRDefault="0047261E" w:rsidP="0047261E">
      <w:pPr>
        <w:widowControl w:val="0"/>
        <w:suppressAutoHyphens/>
        <w:autoSpaceDN w:val="0"/>
        <w:ind w:firstLine="709"/>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По оценке, численность постоянного населения республики на 1 ноября 2018 года составила 967974 человек (городское - 636680, сельское - 331294).</w:t>
      </w:r>
    </w:p>
    <w:p w14:paraId="49BD7ABF" w14:textId="77777777" w:rsidR="0047261E" w:rsidRPr="0047261E" w:rsidRDefault="0047261E" w:rsidP="0047261E">
      <w:pPr>
        <w:widowControl w:val="0"/>
        <w:suppressAutoHyphens/>
        <w:autoSpaceDN w:val="0"/>
        <w:ind w:firstLine="709"/>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С начала 2018 года число жителей республики возросло на 3 664 человек, или на 0,4%. В структуре населения наблюдается рост численности городского на 3823 человек (+0,6%) и сокращение сельского населения на 179 человек (-0,1%), данные тенденции устойчивы в 2010-2018 гг.</w:t>
      </w:r>
    </w:p>
    <w:p w14:paraId="051AD100" w14:textId="77777777" w:rsidR="0047261E" w:rsidRPr="0047261E" w:rsidRDefault="0047261E" w:rsidP="0047261E">
      <w:pPr>
        <w:widowControl w:val="0"/>
        <w:suppressAutoHyphens/>
        <w:autoSpaceDN w:val="0"/>
        <w:ind w:firstLine="709"/>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Показатели естественного движения населения республики на 1 ноября 2018 года в сравнении с аналогичным периодом 2017 года:</w:t>
      </w:r>
    </w:p>
    <w:p w14:paraId="70D097C8" w14:textId="77777777" w:rsidR="0047261E" w:rsidRPr="0047261E" w:rsidRDefault="0047261E" w:rsidP="00D24868">
      <w:pPr>
        <w:widowControl w:val="0"/>
        <w:numPr>
          <w:ilvl w:val="0"/>
          <w:numId w:val="52"/>
        </w:numPr>
        <w:suppressAutoHyphens/>
        <w:autoSpaceDN w:val="0"/>
        <w:ind w:left="1418" w:hanging="709"/>
        <w:textAlignment w:val="baseline"/>
        <w:rPr>
          <w:rFonts w:eastAsia="Times New Roman" w:cs="Times New Roman"/>
          <w:kern w:val="3"/>
          <w:szCs w:val="20"/>
          <w:lang w:eastAsia="zh-CN"/>
        </w:rPr>
      </w:pPr>
      <w:r w:rsidRPr="0047261E">
        <w:rPr>
          <w:rFonts w:eastAsia="Times New Roman" w:cs="Times New Roman"/>
          <w:kern w:val="3"/>
          <w:szCs w:val="20"/>
          <w:lang w:eastAsia="zh-CN"/>
        </w:rPr>
        <w:t>число родившихся - 11260 человек (сокращение на 433 человека, или -3,7%), число умерших - 6540 человек (рост на 4 человека или +0,1%);</w:t>
      </w:r>
    </w:p>
    <w:p w14:paraId="0D5BC8FF" w14:textId="77777777" w:rsidR="0047261E" w:rsidRPr="0047261E" w:rsidRDefault="0047261E" w:rsidP="00D24868">
      <w:pPr>
        <w:widowControl w:val="0"/>
        <w:numPr>
          <w:ilvl w:val="0"/>
          <w:numId w:val="52"/>
        </w:numPr>
        <w:suppressAutoHyphens/>
        <w:autoSpaceDN w:val="0"/>
        <w:ind w:left="1418" w:hanging="709"/>
        <w:textAlignment w:val="baseline"/>
        <w:rPr>
          <w:rFonts w:eastAsia="Times New Roman" w:cs="Times New Roman"/>
          <w:kern w:val="3"/>
          <w:szCs w:val="20"/>
          <w:lang w:eastAsia="zh-CN"/>
        </w:rPr>
      </w:pPr>
      <w:r w:rsidRPr="0047261E">
        <w:rPr>
          <w:rFonts w:eastAsia="Times New Roman" w:cs="Times New Roman"/>
          <w:kern w:val="3"/>
          <w:szCs w:val="20"/>
          <w:lang w:eastAsia="zh-CN"/>
        </w:rPr>
        <w:t>естественный прирост населения - 4720 человек (меньше на 437 человек или на 8,5%); число зарегистрированных браков - 5431 (меньше на 336 или на 5,8%), число разводов - 3350 (больше на 29 или на 0,9%), коэффициент брачности снизился с 7,2 до 6,7 промилле, коэффициент разводимости остался на уровне 2017 года - 4,2 промилле.</w:t>
      </w:r>
    </w:p>
    <w:p w14:paraId="153AA380" w14:textId="77777777" w:rsidR="0047261E" w:rsidRPr="0047261E" w:rsidRDefault="0047261E" w:rsidP="00B21DA8">
      <w:pPr>
        <w:widowControl w:val="0"/>
        <w:suppressAutoHyphens/>
        <w:autoSpaceDN w:val="0"/>
        <w:ind w:left="1418" w:hanging="709"/>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Показатели миграции населения республики в январе-октябре 2018 года в сравнении с аналогичным периодом 2017 года:</w:t>
      </w:r>
    </w:p>
    <w:p w14:paraId="059F1635" w14:textId="77777777" w:rsidR="0047261E" w:rsidRPr="0047261E" w:rsidRDefault="0047261E" w:rsidP="00D24868">
      <w:pPr>
        <w:widowControl w:val="0"/>
        <w:numPr>
          <w:ilvl w:val="0"/>
          <w:numId w:val="53"/>
        </w:numPr>
        <w:suppressAutoHyphens/>
        <w:autoSpaceDN w:val="0"/>
        <w:ind w:left="1418" w:hanging="709"/>
        <w:textAlignment w:val="baseline"/>
        <w:rPr>
          <w:rFonts w:eastAsia="Times New Roman" w:cs="Times New Roman"/>
          <w:kern w:val="3"/>
          <w:szCs w:val="20"/>
          <w:lang w:eastAsia="zh-CN"/>
        </w:rPr>
      </w:pPr>
      <w:r w:rsidRPr="0047261E">
        <w:rPr>
          <w:rFonts w:eastAsia="Times New Roman" w:cs="Times New Roman"/>
          <w:kern w:val="3"/>
          <w:szCs w:val="20"/>
          <w:lang w:eastAsia="zh-CN"/>
        </w:rPr>
        <w:t>прибыло - 39555 человек (больше на 2 185 человек или на 5,8%); в том числе из-за пределов республики - 14674 человека;</w:t>
      </w:r>
    </w:p>
    <w:p w14:paraId="4323A547" w14:textId="77777777" w:rsidR="0047261E" w:rsidRPr="0047261E" w:rsidRDefault="0047261E" w:rsidP="00D24868">
      <w:pPr>
        <w:widowControl w:val="0"/>
        <w:numPr>
          <w:ilvl w:val="0"/>
          <w:numId w:val="53"/>
        </w:numPr>
        <w:suppressAutoHyphens/>
        <w:autoSpaceDN w:val="0"/>
        <w:ind w:left="1418" w:hanging="709"/>
        <w:textAlignment w:val="baseline"/>
        <w:rPr>
          <w:rFonts w:eastAsia="Times New Roman" w:cs="Times New Roman"/>
          <w:kern w:val="3"/>
          <w:szCs w:val="20"/>
          <w:lang w:eastAsia="zh-CN"/>
        </w:rPr>
      </w:pPr>
      <w:r w:rsidRPr="0047261E">
        <w:rPr>
          <w:rFonts w:eastAsia="Times New Roman" w:cs="Times New Roman"/>
          <w:kern w:val="3"/>
          <w:szCs w:val="20"/>
          <w:lang w:eastAsia="zh-CN"/>
        </w:rPr>
        <w:t>выбыло - 41748 человек (больше на 156 человек или на 0,4%), в том числе выехали за пределы республики - 16867 человек.</w:t>
      </w:r>
    </w:p>
    <w:p w14:paraId="49886D35" w14:textId="77777777" w:rsidR="0047261E" w:rsidRPr="0047261E" w:rsidRDefault="0047261E" w:rsidP="00D24868">
      <w:pPr>
        <w:widowControl w:val="0"/>
        <w:numPr>
          <w:ilvl w:val="0"/>
          <w:numId w:val="53"/>
        </w:numPr>
        <w:suppressAutoHyphens/>
        <w:autoSpaceDN w:val="0"/>
        <w:ind w:left="1418" w:hanging="709"/>
        <w:textAlignment w:val="baseline"/>
        <w:rPr>
          <w:rFonts w:eastAsia="Times New Roman" w:cs="Times New Roman"/>
          <w:kern w:val="3"/>
          <w:szCs w:val="20"/>
          <w:lang w:eastAsia="zh-CN"/>
        </w:rPr>
      </w:pPr>
      <w:r w:rsidRPr="0047261E">
        <w:rPr>
          <w:rFonts w:eastAsia="Times New Roman" w:cs="Times New Roman"/>
          <w:kern w:val="3"/>
          <w:szCs w:val="20"/>
          <w:lang w:eastAsia="zh-CN"/>
        </w:rPr>
        <w:t>миграционная убыль населения составила -2193 человек (в январе-ноябре 2017 года миграционная убыль составила -4222 человек).</w:t>
      </w:r>
    </w:p>
    <w:p w14:paraId="11D270FC" w14:textId="77777777" w:rsidR="0047261E" w:rsidRPr="0047261E" w:rsidRDefault="0047261E" w:rsidP="0047261E">
      <w:pPr>
        <w:widowControl w:val="0"/>
        <w:suppressAutoHyphens/>
        <w:autoSpaceDN w:val="0"/>
        <w:ind w:firstLine="709"/>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В структуре населения прибыло городского населения - 28777 чел., в том числе из-за пределов республики - 13748 человек, выбыло - 27178 человек, в том числе за пределы РС (Я) - 15836. Сальдо миграции городского населения на 01.11.2018 года составило 1599 человек (в январе-ноябре 2017 года наблюдалось отрицательное сальдо, -1486 человек).</w:t>
      </w:r>
    </w:p>
    <w:p w14:paraId="51452825" w14:textId="33572E2E" w:rsidR="0047261E" w:rsidRDefault="0047261E" w:rsidP="0047261E">
      <w:pPr>
        <w:widowControl w:val="0"/>
        <w:suppressAutoHyphens/>
        <w:autoSpaceDN w:val="0"/>
        <w:ind w:firstLine="709"/>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Миграция сельского населения характеризовалась следующими показателями: прибыло - 10 778 человек, в том числе из-за пределов республики - 926 человек, выбыло - 14570 человека, в том числе из Якутии - 1031 человек. Миграционный отток составил -3792 человек, в том числе сальдо внешней миграции сельского населения - 105 человек.</w:t>
      </w:r>
    </w:p>
    <w:p w14:paraId="32936D5C" w14:textId="77777777" w:rsidR="001D4D31" w:rsidRPr="0047261E" w:rsidRDefault="001D4D31" w:rsidP="0047261E">
      <w:pPr>
        <w:widowControl w:val="0"/>
        <w:suppressAutoHyphens/>
        <w:autoSpaceDN w:val="0"/>
        <w:ind w:firstLine="709"/>
        <w:textAlignment w:val="baseline"/>
        <w:rPr>
          <w:rFonts w:eastAsia="Times New Roman" w:cs="Times New Roman"/>
          <w:kern w:val="3"/>
          <w:szCs w:val="24"/>
          <w:lang w:eastAsia="ru-RU" w:bidi="hi-IN"/>
        </w:rPr>
      </w:pPr>
    </w:p>
    <w:p w14:paraId="6489D2F1" w14:textId="2E13FCBE" w:rsidR="0047261E" w:rsidRPr="0047261E" w:rsidRDefault="0047261E" w:rsidP="00763AD2">
      <w:pPr>
        <w:pStyle w:val="afffffff0"/>
      </w:pPr>
      <w:r w:rsidRPr="0047261E">
        <w:t xml:space="preserve">Таблица </w:t>
      </w:r>
      <w:r w:rsidR="00A90944">
        <w:fldChar w:fldCharType="begin"/>
      </w:r>
      <w:r w:rsidR="00A90944">
        <w:instrText xml:space="preserve"> SEQ Таблица \* ARABIC </w:instrText>
      </w:r>
      <w:r w:rsidR="00A90944">
        <w:fldChar w:fldCharType="separate"/>
      </w:r>
      <w:r w:rsidR="00FD2769">
        <w:rPr>
          <w:noProof/>
        </w:rPr>
        <w:t>14</w:t>
      </w:r>
      <w:r w:rsidR="00A90944">
        <w:rPr>
          <w:noProof/>
        </w:rPr>
        <w:fldChar w:fldCharType="end"/>
      </w:r>
      <w:r w:rsidRPr="0047261E">
        <w:t xml:space="preserve"> Основные экономические и социальные показатели Республики Саха (Якутия) в январе – декабре 2018 года</w:t>
      </w:r>
    </w:p>
    <w:p w14:paraId="166E61C3" w14:textId="77777777" w:rsidR="0047261E" w:rsidRPr="0047261E" w:rsidRDefault="0047261E" w:rsidP="00B21DA8">
      <w:pPr>
        <w:widowControl w:val="0"/>
        <w:suppressAutoHyphens/>
        <w:autoSpaceDN w:val="0"/>
        <w:ind w:firstLine="0"/>
        <w:jc w:val="center"/>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(Предварительные данные; по оперативной отчетности)</w:t>
      </w:r>
    </w:p>
    <w:tbl>
      <w:tblPr>
        <w:tblOverlap w:val="never"/>
        <w:tblW w:w="5000" w:type="pct"/>
        <w:tblCellMar>
          <w:left w:w="10" w:type="dxa"/>
          <w:right w:w="10" w:type="dxa"/>
        </w:tblCellMar>
        <w:tblLook w:val="04A0" w:firstRow="1" w:lastRow="0" w:firstColumn="1" w:lastColumn="0" w:noHBand="0" w:noVBand="1"/>
      </w:tblPr>
      <w:tblGrid>
        <w:gridCol w:w="3718"/>
        <w:gridCol w:w="1036"/>
        <w:gridCol w:w="1042"/>
        <w:gridCol w:w="1036"/>
        <w:gridCol w:w="1026"/>
        <w:gridCol w:w="917"/>
        <w:gridCol w:w="1419"/>
      </w:tblGrid>
      <w:tr w:rsidR="0047261E" w:rsidRPr="0047261E" w14:paraId="4DB0EDBC" w14:textId="77777777" w:rsidTr="0047261E">
        <w:trPr>
          <w:trHeight w:hRule="exact" w:val="713"/>
          <w:tblHeader/>
        </w:trPr>
        <w:tc>
          <w:tcPr>
            <w:tcW w:w="1824" w:type="pct"/>
            <w:vMerge w:val="restart"/>
            <w:tcBorders>
              <w:top w:val="single" w:sz="4" w:space="0" w:color="auto"/>
              <w:left w:val="single" w:sz="4" w:space="0" w:color="auto"/>
            </w:tcBorders>
            <w:shd w:val="clear" w:color="auto" w:fill="FFFFFF"/>
          </w:tcPr>
          <w:p w14:paraId="23A93322"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Cs w:val="24"/>
                <w:lang w:eastAsia="ru-RU" w:bidi="hi-IN"/>
              </w:rPr>
            </w:pPr>
          </w:p>
        </w:tc>
        <w:tc>
          <w:tcPr>
            <w:tcW w:w="1019" w:type="pct"/>
            <w:gridSpan w:val="2"/>
            <w:tcBorders>
              <w:top w:val="single" w:sz="4" w:space="0" w:color="auto"/>
              <w:left w:val="single" w:sz="4" w:space="0" w:color="auto"/>
            </w:tcBorders>
            <w:shd w:val="clear" w:color="auto" w:fill="FFFFFF"/>
            <w:vAlign w:val="center"/>
          </w:tcPr>
          <w:p w14:paraId="2D1B6928" w14:textId="77777777" w:rsidR="0047261E" w:rsidRPr="0047261E" w:rsidRDefault="0047261E" w:rsidP="0047261E">
            <w:pPr>
              <w:widowControl w:val="0"/>
              <w:suppressAutoHyphens/>
              <w:autoSpaceDN w:val="0"/>
              <w:ind w:firstLine="0"/>
              <w:jc w:val="left"/>
              <w:textAlignment w:val="baseline"/>
              <w:rPr>
                <w:rFonts w:eastAsia="Times New Roman" w:cs="Times New Roman"/>
                <w:b/>
                <w:kern w:val="3"/>
                <w:szCs w:val="24"/>
                <w:lang w:eastAsia="ru-RU" w:bidi="hi-IN"/>
              </w:rPr>
            </w:pPr>
            <w:r w:rsidRPr="0047261E">
              <w:rPr>
                <w:rFonts w:eastAsia="Times New Roman" w:cs="Times New Roman"/>
                <w:b/>
                <w:kern w:val="3"/>
                <w:szCs w:val="24"/>
                <w:lang w:eastAsia="ru-RU" w:bidi="hi-IN"/>
              </w:rPr>
              <w:t>Январь-декабрь</w:t>
            </w:r>
          </w:p>
        </w:tc>
        <w:tc>
          <w:tcPr>
            <w:tcW w:w="508" w:type="pct"/>
            <w:vMerge w:val="restart"/>
            <w:tcBorders>
              <w:top w:val="single" w:sz="4" w:space="0" w:color="auto"/>
              <w:left w:val="single" w:sz="4" w:space="0" w:color="auto"/>
            </w:tcBorders>
            <w:shd w:val="clear" w:color="auto" w:fill="FFFFFF"/>
            <w:vAlign w:val="bottom"/>
          </w:tcPr>
          <w:p w14:paraId="0F9DFA27" w14:textId="77777777" w:rsidR="0047261E" w:rsidRPr="0047261E" w:rsidRDefault="0047261E" w:rsidP="0047261E">
            <w:pPr>
              <w:widowControl w:val="0"/>
              <w:suppressAutoHyphens/>
              <w:autoSpaceDN w:val="0"/>
              <w:ind w:firstLine="0"/>
              <w:jc w:val="left"/>
              <w:textAlignment w:val="baseline"/>
              <w:rPr>
                <w:rFonts w:eastAsia="Times New Roman" w:cs="Times New Roman"/>
                <w:b/>
                <w:kern w:val="3"/>
                <w:szCs w:val="24"/>
                <w:lang w:eastAsia="ru-RU" w:bidi="hi-IN"/>
              </w:rPr>
            </w:pPr>
            <w:r w:rsidRPr="0047261E">
              <w:rPr>
                <w:rFonts w:eastAsia="Times New Roman" w:cs="Times New Roman"/>
                <w:b/>
                <w:kern w:val="3"/>
                <w:szCs w:val="24"/>
                <w:lang w:eastAsia="ru-RU" w:bidi="hi-IN"/>
              </w:rPr>
              <w:t>Январь- декабрь 2018 г. в % к январю- декабрь 2017 г.</w:t>
            </w:r>
          </w:p>
        </w:tc>
        <w:tc>
          <w:tcPr>
            <w:tcW w:w="953" w:type="pct"/>
            <w:gridSpan w:val="2"/>
            <w:tcBorders>
              <w:top w:val="single" w:sz="4" w:space="0" w:color="auto"/>
              <w:left w:val="single" w:sz="4" w:space="0" w:color="auto"/>
            </w:tcBorders>
            <w:shd w:val="clear" w:color="auto" w:fill="FFFFFF"/>
          </w:tcPr>
          <w:p w14:paraId="3A925CBF" w14:textId="77777777" w:rsidR="0047261E" w:rsidRPr="0047261E" w:rsidRDefault="0047261E" w:rsidP="0047261E">
            <w:pPr>
              <w:widowControl w:val="0"/>
              <w:suppressAutoHyphens/>
              <w:autoSpaceDN w:val="0"/>
              <w:ind w:firstLine="0"/>
              <w:jc w:val="left"/>
              <w:textAlignment w:val="baseline"/>
              <w:rPr>
                <w:rFonts w:eastAsia="Times New Roman" w:cs="Times New Roman"/>
                <w:b/>
                <w:kern w:val="3"/>
                <w:szCs w:val="24"/>
                <w:lang w:eastAsia="ru-RU" w:bidi="hi-IN"/>
              </w:rPr>
            </w:pPr>
            <w:r w:rsidRPr="0047261E">
              <w:rPr>
                <w:rFonts w:eastAsia="Times New Roman" w:cs="Times New Roman"/>
                <w:b/>
                <w:kern w:val="3"/>
                <w:szCs w:val="24"/>
                <w:lang w:eastAsia="ru-RU" w:bidi="hi-IN"/>
              </w:rPr>
              <w:t>Декабрь 2018г. в % к</w:t>
            </w:r>
          </w:p>
        </w:tc>
        <w:tc>
          <w:tcPr>
            <w:tcW w:w="696" w:type="pct"/>
            <w:vMerge w:val="restart"/>
            <w:tcBorders>
              <w:top w:val="single" w:sz="4" w:space="0" w:color="auto"/>
              <w:left w:val="single" w:sz="4" w:space="0" w:color="auto"/>
              <w:right w:val="single" w:sz="4" w:space="0" w:color="auto"/>
            </w:tcBorders>
            <w:shd w:val="clear" w:color="auto" w:fill="FFFFFF"/>
            <w:vAlign w:val="center"/>
          </w:tcPr>
          <w:p w14:paraId="1BFCD62B"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Cs w:val="24"/>
                <w:lang w:eastAsia="ru-RU" w:bidi="hi-IN"/>
              </w:rPr>
            </w:pPr>
            <w:r w:rsidRPr="0047261E">
              <w:rPr>
                <w:rFonts w:eastAsia="Times New Roman" w:cs="Times New Roman"/>
                <w:b/>
                <w:kern w:val="3"/>
                <w:szCs w:val="24"/>
                <w:lang w:eastAsia="ru-RU" w:bidi="hi-IN"/>
              </w:rPr>
              <w:t>Справочно: январь- декабрь 2017г. в % к январю- декабрю</w:t>
            </w:r>
            <w:r w:rsidRPr="0047261E">
              <w:rPr>
                <w:rFonts w:eastAsia="Times New Roman" w:cs="Times New Roman"/>
                <w:kern w:val="3"/>
                <w:szCs w:val="24"/>
                <w:lang w:eastAsia="ru-RU" w:bidi="hi-IN"/>
              </w:rPr>
              <w:t xml:space="preserve"> 2016г.</w:t>
            </w:r>
          </w:p>
        </w:tc>
      </w:tr>
      <w:tr w:rsidR="0047261E" w:rsidRPr="0047261E" w14:paraId="2E127B78" w14:textId="77777777" w:rsidTr="0047261E">
        <w:trPr>
          <w:trHeight w:hRule="exact" w:val="917"/>
          <w:tblHeader/>
        </w:trPr>
        <w:tc>
          <w:tcPr>
            <w:tcW w:w="1824" w:type="pct"/>
            <w:vMerge/>
            <w:tcBorders>
              <w:left w:val="single" w:sz="4" w:space="0" w:color="auto"/>
            </w:tcBorders>
            <w:shd w:val="clear" w:color="auto" w:fill="FFFFFF"/>
          </w:tcPr>
          <w:p w14:paraId="179D3564"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Cs w:val="24"/>
                <w:lang w:eastAsia="ru-RU" w:bidi="hi-IN"/>
              </w:rPr>
            </w:pPr>
          </w:p>
        </w:tc>
        <w:tc>
          <w:tcPr>
            <w:tcW w:w="508" w:type="pct"/>
            <w:tcBorders>
              <w:top w:val="single" w:sz="4" w:space="0" w:color="auto"/>
              <w:left w:val="single" w:sz="4" w:space="0" w:color="auto"/>
            </w:tcBorders>
            <w:shd w:val="clear" w:color="auto" w:fill="FFFFFF"/>
            <w:vAlign w:val="center"/>
          </w:tcPr>
          <w:p w14:paraId="05160CFB" w14:textId="77777777" w:rsidR="0047261E" w:rsidRPr="0047261E" w:rsidRDefault="0047261E" w:rsidP="0047261E">
            <w:pPr>
              <w:widowControl w:val="0"/>
              <w:suppressAutoHyphens/>
              <w:autoSpaceDN w:val="0"/>
              <w:ind w:firstLine="0"/>
              <w:jc w:val="left"/>
              <w:textAlignment w:val="baseline"/>
              <w:rPr>
                <w:rFonts w:eastAsia="Times New Roman" w:cs="Times New Roman"/>
                <w:b/>
                <w:kern w:val="3"/>
                <w:szCs w:val="24"/>
                <w:lang w:eastAsia="ru-RU" w:bidi="hi-IN"/>
              </w:rPr>
            </w:pPr>
            <w:r w:rsidRPr="0047261E">
              <w:rPr>
                <w:rFonts w:eastAsia="Times New Roman" w:cs="Times New Roman"/>
                <w:b/>
                <w:kern w:val="3"/>
                <w:szCs w:val="24"/>
                <w:lang w:eastAsia="ru-RU" w:bidi="hi-IN"/>
              </w:rPr>
              <w:t>2018г.</w:t>
            </w:r>
          </w:p>
        </w:tc>
        <w:tc>
          <w:tcPr>
            <w:tcW w:w="510" w:type="pct"/>
            <w:tcBorders>
              <w:top w:val="single" w:sz="4" w:space="0" w:color="auto"/>
              <w:left w:val="single" w:sz="4" w:space="0" w:color="auto"/>
            </w:tcBorders>
            <w:shd w:val="clear" w:color="auto" w:fill="FFFFFF"/>
            <w:vAlign w:val="center"/>
          </w:tcPr>
          <w:p w14:paraId="39FCAFE2" w14:textId="77777777" w:rsidR="0047261E" w:rsidRPr="0047261E" w:rsidRDefault="0047261E" w:rsidP="0047261E">
            <w:pPr>
              <w:widowControl w:val="0"/>
              <w:suppressAutoHyphens/>
              <w:autoSpaceDN w:val="0"/>
              <w:ind w:firstLine="0"/>
              <w:jc w:val="left"/>
              <w:textAlignment w:val="baseline"/>
              <w:rPr>
                <w:rFonts w:eastAsia="Times New Roman" w:cs="Times New Roman"/>
                <w:b/>
                <w:kern w:val="3"/>
                <w:szCs w:val="24"/>
                <w:lang w:eastAsia="ru-RU" w:bidi="hi-IN"/>
              </w:rPr>
            </w:pPr>
            <w:r w:rsidRPr="0047261E">
              <w:rPr>
                <w:rFonts w:eastAsia="Times New Roman" w:cs="Times New Roman"/>
                <w:b/>
                <w:kern w:val="3"/>
                <w:szCs w:val="24"/>
                <w:lang w:eastAsia="ru-RU" w:bidi="hi-IN"/>
              </w:rPr>
              <w:t>2017г.</w:t>
            </w:r>
          </w:p>
        </w:tc>
        <w:tc>
          <w:tcPr>
            <w:tcW w:w="508" w:type="pct"/>
            <w:vMerge/>
            <w:tcBorders>
              <w:left w:val="single" w:sz="4" w:space="0" w:color="auto"/>
            </w:tcBorders>
            <w:shd w:val="clear" w:color="auto" w:fill="FFFFFF"/>
            <w:vAlign w:val="bottom"/>
          </w:tcPr>
          <w:p w14:paraId="2DF43B82" w14:textId="77777777" w:rsidR="0047261E" w:rsidRPr="0047261E" w:rsidRDefault="0047261E" w:rsidP="0047261E">
            <w:pPr>
              <w:widowControl w:val="0"/>
              <w:suppressAutoHyphens/>
              <w:autoSpaceDN w:val="0"/>
              <w:ind w:firstLine="0"/>
              <w:jc w:val="left"/>
              <w:textAlignment w:val="baseline"/>
              <w:rPr>
                <w:rFonts w:eastAsia="Times New Roman" w:cs="Times New Roman"/>
                <w:b/>
                <w:kern w:val="3"/>
                <w:szCs w:val="24"/>
                <w:lang w:eastAsia="ru-RU" w:bidi="hi-IN"/>
              </w:rPr>
            </w:pPr>
          </w:p>
        </w:tc>
        <w:tc>
          <w:tcPr>
            <w:tcW w:w="503" w:type="pct"/>
            <w:tcBorders>
              <w:top w:val="single" w:sz="4" w:space="0" w:color="auto"/>
              <w:left w:val="single" w:sz="4" w:space="0" w:color="auto"/>
            </w:tcBorders>
            <w:shd w:val="clear" w:color="auto" w:fill="FFFFFF"/>
            <w:vAlign w:val="center"/>
          </w:tcPr>
          <w:p w14:paraId="0D9BABDE" w14:textId="77777777" w:rsidR="0047261E" w:rsidRPr="0047261E" w:rsidRDefault="0047261E" w:rsidP="0047261E">
            <w:pPr>
              <w:widowControl w:val="0"/>
              <w:suppressAutoHyphens/>
              <w:autoSpaceDN w:val="0"/>
              <w:ind w:firstLine="0"/>
              <w:jc w:val="left"/>
              <w:textAlignment w:val="baseline"/>
              <w:rPr>
                <w:rFonts w:eastAsia="Times New Roman" w:cs="Times New Roman"/>
                <w:b/>
                <w:kern w:val="3"/>
                <w:szCs w:val="24"/>
                <w:lang w:eastAsia="ru-RU" w:bidi="hi-IN"/>
              </w:rPr>
            </w:pPr>
            <w:r w:rsidRPr="0047261E">
              <w:rPr>
                <w:rFonts w:eastAsia="Times New Roman" w:cs="Times New Roman"/>
                <w:b/>
                <w:kern w:val="3"/>
                <w:szCs w:val="24"/>
                <w:lang w:eastAsia="ru-RU" w:bidi="hi-IN"/>
              </w:rPr>
              <w:t>декабрю</w:t>
            </w:r>
          </w:p>
          <w:p w14:paraId="281D1B9F" w14:textId="77777777" w:rsidR="0047261E" w:rsidRPr="0047261E" w:rsidRDefault="0047261E" w:rsidP="0047261E">
            <w:pPr>
              <w:widowControl w:val="0"/>
              <w:suppressAutoHyphens/>
              <w:autoSpaceDN w:val="0"/>
              <w:ind w:firstLine="0"/>
              <w:jc w:val="left"/>
              <w:textAlignment w:val="baseline"/>
              <w:rPr>
                <w:rFonts w:eastAsia="Times New Roman" w:cs="Times New Roman"/>
                <w:b/>
                <w:kern w:val="3"/>
                <w:szCs w:val="24"/>
                <w:lang w:eastAsia="ru-RU" w:bidi="hi-IN"/>
              </w:rPr>
            </w:pPr>
            <w:r w:rsidRPr="0047261E">
              <w:rPr>
                <w:rFonts w:eastAsia="Times New Roman" w:cs="Times New Roman"/>
                <w:b/>
                <w:kern w:val="3"/>
                <w:szCs w:val="24"/>
                <w:lang w:eastAsia="ru-RU" w:bidi="hi-IN"/>
              </w:rPr>
              <w:t>2017г.</w:t>
            </w:r>
          </w:p>
        </w:tc>
        <w:tc>
          <w:tcPr>
            <w:tcW w:w="450" w:type="pct"/>
            <w:tcBorders>
              <w:top w:val="single" w:sz="4" w:space="0" w:color="auto"/>
              <w:left w:val="single" w:sz="4" w:space="0" w:color="auto"/>
            </w:tcBorders>
            <w:shd w:val="clear" w:color="auto" w:fill="FFFFFF"/>
            <w:vAlign w:val="center"/>
          </w:tcPr>
          <w:p w14:paraId="7FB97089" w14:textId="77777777" w:rsidR="0047261E" w:rsidRPr="0047261E" w:rsidRDefault="0047261E" w:rsidP="0047261E">
            <w:pPr>
              <w:widowControl w:val="0"/>
              <w:suppressAutoHyphens/>
              <w:autoSpaceDN w:val="0"/>
              <w:ind w:firstLine="0"/>
              <w:jc w:val="left"/>
              <w:textAlignment w:val="baseline"/>
              <w:rPr>
                <w:rFonts w:eastAsia="Times New Roman" w:cs="Times New Roman"/>
                <w:b/>
                <w:kern w:val="3"/>
                <w:szCs w:val="24"/>
                <w:lang w:eastAsia="ru-RU" w:bidi="hi-IN"/>
              </w:rPr>
            </w:pPr>
            <w:r w:rsidRPr="0047261E">
              <w:rPr>
                <w:rFonts w:eastAsia="Times New Roman" w:cs="Times New Roman"/>
                <w:b/>
                <w:kern w:val="3"/>
                <w:szCs w:val="24"/>
                <w:lang w:eastAsia="ru-RU" w:bidi="hi-IN"/>
              </w:rPr>
              <w:t>ноябрю 2018 г.</w:t>
            </w:r>
          </w:p>
        </w:tc>
        <w:tc>
          <w:tcPr>
            <w:tcW w:w="696" w:type="pct"/>
            <w:vMerge/>
            <w:tcBorders>
              <w:left w:val="single" w:sz="4" w:space="0" w:color="auto"/>
              <w:right w:val="single" w:sz="4" w:space="0" w:color="auto"/>
            </w:tcBorders>
            <w:shd w:val="clear" w:color="auto" w:fill="FFFFFF"/>
            <w:vAlign w:val="center"/>
          </w:tcPr>
          <w:p w14:paraId="081F2671"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Cs w:val="24"/>
                <w:lang w:eastAsia="ru-RU" w:bidi="hi-IN"/>
              </w:rPr>
            </w:pPr>
          </w:p>
        </w:tc>
      </w:tr>
      <w:tr w:rsidR="0047261E" w:rsidRPr="0047261E" w14:paraId="537F7FCF" w14:textId="77777777" w:rsidTr="0047261E">
        <w:trPr>
          <w:trHeight w:hRule="exact" w:val="269"/>
          <w:tblHeader/>
        </w:trPr>
        <w:tc>
          <w:tcPr>
            <w:tcW w:w="1824" w:type="pct"/>
            <w:tcBorders>
              <w:top w:val="single" w:sz="4" w:space="0" w:color="auto"/>
              <w:left w:val="single" w:sz="4" w:space="0" w:color="auto"/>
            </w:tcBorders>
            <w:shd w:val="clear" w:color="auto" w:fill="FFFFFF"/>
            <w:vAlign w:val="center"/>
          </w:tcPr>
          <w:p w14:paraId="161769D6"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А</w:t>
            </w:r>
          </w:p>
        </w:tc>
        <w:tc>
          <w:tcPr>
            <w:tcW w:w="508" w:type="pct"/>
            <w:tcBorders>
              <w:top w:val="single" w:sz="4" w:space="0" w:color="auto"/>
              <w:left w:val="single" w:sz="4" w:space="0" w:color="auto"/>
            </w:tcBorders>
            <w:shd w:val="clear" w:color="auto" w:fill="FFFFFF"/>
            <w:vAlign w:val="bottom"/>
          </w:tcPr>
          <w:p w14:paraId="1B43F5E9"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1</w:t>
            </w:r>
          </w:p>
        </w:tc>
        <w:tc>
          <w:tcPr>
            <w:tcW w:w="510" w:type="pct"/>
            <w:tcBorders>
              <w:top w:val="single" w:sz="4" w:space="0" w:color="auto"/>
              <w:left w:val="single" w:sz="4" w:space="0" w:color="auto"/>
            </w:tcBorders>
            <w:shd w:val="clear" w:color="auto" w:fill="FFFFFF"/>
            <w:vAlign w:val="bottom"/>
          </w:tcPr>
          <w:p w14:paraId="193DA3D8"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2</w:t>
            </w:r>
          </w:p>
        </w:tc>
        <w:tc>
          <w:tcPr>
            <w:tcW w:w="508" w:type="pct"/>
            <w:tcBorders>
              <w:top w:val="single" w:sz="4" w:space="0" w:color="auto"/>
              <w:left w:val="single" w:sz="4" w:space="0" w:color="auto"/>
            </w:tcBorders>
            <w:shd w:val="clear" w:color="auto" w:fill="FFFFFF"/>
            <w:vAlign w:val="center"/>
          </w:tcPr>
          <w:p w14:paraId="6CC351C9"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3</w:t>
            </w:r>
          </w:p>
        </w:tc>
        <w:tc>
          <w:tcPr>
            <w:tcW w:w="503" w:type="pct"/>
            <w:tcBorders>
              <w:top w:val="single" w:sz="4" w:space="0" w:color="auto"/>
              <w:left w:val="single" w:sz="4" w:space="0" w:color="auto"/>
            </w:tcBorders>
            <w:shd w:val="clear" w:color="auto" w:fill="FFFFFF"/>
            <w:vAlign w:val="center"/>
          </w:tcPr>
          <w:p w14:paraId="1C256E54"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4</w:t>
            </w:r>
          </w:p>
        </w:tc>
        <w:tc>
          <w:tcPr>
            <w:tcW w:w="450" w:type="pct"/>
            <w:tcBorders>
              <w:top w:val="single" w:sz="4" w:space="0" w:color="auto"/>
              <w:left w:val="single" w:sz="4" w:space="0" w:color="auto"/>
            </w:tcBorders>
            <w:shd w:val="clear" w:color="auto" w:fill="FFFFFF"/>
            <w:vAlign w:val="center"/>
          </w:tcPr>
          <w:p w14:paraId="63064BFA"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5</w:t>
            </w:r>
          </w:p>
        </w:tc>
        <w:tc>
          <w:tcPr>
            <w:tcW w:w="696" w:type="pct"/>
            <w:tcBorders>
              <w:top w:val="single" w:sz="4" w:space="0" w:color="auto"/>
              <w:left w:val="single" w:sz="4" w:space="0" w:color="auto"/>
              <w:right w:val="single" w:sz="4" w:space="0" w:color="auto"/>
            </w:tcBorders>
            <w:shd w:val="clear" w:color="auto" w:fill="FFFFFF"/>
            <w:vAlign w:val="bottom"/>
          </w:tcPr>
          <w:p w14:paraId="039DB042"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6</w:t>
            </w:r>
          </w:p>
        </w:tc>
      </w:tr>
      <w:tr w:rsidR="0047261E" w:rsidRPr="0047261E" w14:paraId="63AAA763" w14:textId="77777777" w:rsidTr="0047261E">
        <w:trPr>
          <w:trHeight w:hRule="exact" w:val="921"/>
        </w:trPr>
        <w:tc>
          <w:tcPr>
            <w:tcW w:w="1824" w:type="pct"/>
            <w:tcBorders>
              <w:top w:val="single" w:sz="4" w:space="0" w:color="auto"/>
              <w:left w:val="single" w:sz="4" w:space="0" w:color="auto"/>
            </w:tcBorders>
            <w:shd w:val="clear" w:color="auto" w:fill="FFFFFF"/>
            <w:vAlign w:val="bottom"/>
          </w:tcPr>
          <w:p w14:paraId="5D570C01"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Оборот организаций в действующих ценах, млн. рублей</w:t>
            </w:r>
          </w:p>
        </w:tc>
        <w:tc>
          <w:tcPr>
            <w:tcW w:w="508" w:type="pct"/>
            <w:tcBorders>
              <w:top w:val="single" w:sz="4" w:space="0" w:color="auto"/>
              <w:left w:val="single" w:sz="4" w:space="0" w:color="auto"/>
            </w:tcBorders>
            <w:shd w:val="clear" w:color="auto" w:fill="FFFFFF"/>
            <w:vAlign w:val="center"/>
          </w:tcPr>
          <w:p w14:paraId="6F745A1A"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1 370 868,1</w:t>
            </w:r>
          </w:p>
        </w:tc>
        <w:tc>
          <w:tcPr>
            <w:tcW w:w="510" w:type="pct"/>
            <w:tcBorders>
              <w:top w:val="single" w:sz="4" w:space="0" w:color="auto"/>
              <w:left w:val="single" w:sz="4" w:space="0" w:color="auto"/>
            </w:tcBorders>
            <w:shd w:val="clear" w:color="auto" w:fill="FFFFFF"/>
            <w:vAlign w:val="center"/>
          </w:tcPr>
          <w:p w14:paraId="5DB18C2F"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1 133 636,8</w:t>
            </w:r>
          </w:p>
        </w:tc>
        <w:tc>
          <w:tcPr>
            <w:tcW w:w="508" w:type="pct"/>
            <w:tcBorders>
              <w:top w:val="single" w:sz="4" w:space="0" w:color="auto"/>
              <w:left w:val="single" w:sz="4" w:space="0" w:color="auto"/>
            </w:tcBorders>
            <w:shd w:val="clear" w:color="auto" w:fill="FFFFFF"/>
            <w:vAlign w:val="center"/>
          </w:tcPr>
          <w:p w14:paraId="7F5BC0E9"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120,9</w:t>
            </w:r>
          </w:p>
        </w:tc>
        <w:tc>
          <w:tcPr>
            <w:tcW w:w="503" w:type="pct"/>
            <w:tcBorders>
              <w:top w:val="single" w:sz="4" w:space="0" w:color="auto"/>
              <w:left w:val="single" w:sz="4" w:space="0" w:color="auto"/>
            </w:tcBorders>
            <w:shd w:val="clear" w:color="auto" w:fill="FFFFFF"/>
            <w:vAlign w:val="center"/>
          </w:tcPr>
          <w:p w14:paraId="7E04A2AD"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105,7</w:t>
            </w:r>
          </w:p>
        </w:tc>
        <w:tc>
          <w:tcPr>
            <w:tcW w:w="450" w:type="pct"/>
            <w:tcBorders>
              <w:top w:val="single" w:sz="4" w:space="0" w:color="auto"/>
              <w:left w:val="single" w:sz="4" w:space="0" w:color="auto"/>
            </w:tcBorders>
            <w:shd w:val="clear" w:color="auto" w:fill="FFFFFF"/>
            <w:vAlign w:val="center"/>
          </w:tcPr>
          <w:p w14:paraId="12E1C6C1"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98,7</w:t>
            </w:r>
          </w:p>
        </w:tc>
        <w:tc>
          <w:tcPr>
            <w:tcW w:w="696" w:type="pct"/>
            <w:tcBorders>
              <w:top w:val="single" w:sz="4" w:space="0" w:color="auto"/>
              <w:left w:val="single" w:sz="4" w:space="0" w:color="auto"/>
              <w:right w:val="single" w:sz="4" w:space="0" w:color="auto"/>
            </w:tcBorders>
            <w:shd w:val="clear" w:color="auto" w:fill="FFFFFF"/>
            <w:vAlign w:val="center"/>
          </w:tcPr>
          <w:p w14:paraId="7A928FFC"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103,7</w:t>
            </w:r>
          </w:p>
        </w:tc>
      </w:tr>
      <w:tr w:rsidR="0047261E" w:rsidRPr="0047261E" w14:paraId="03150878" w14:textId="77777777" w:rsidTr="0047261E">
        <w:trPr>
          <w:trHeight w:hRule="exact" w:val="721"/>
        </w:trPr>
        <w:tc>
          <w:tcPr>
            <w:tcW w:w="1824" w:type="pct"/>
            <w:tcBorders>
              <w:top w:val="single" w:sz="4" w:space="0" w:color="auto"/>
              <w:left w:val="single" w:sz="4" w:space="0" w:color="auto"/>
            </w:tcBorders>
            <w:shd w:val="clear" w:color="auto" w:fill="FFFFFF"/>
            <w:vAlign w:val="center"/>
          </w:tcPr>
          <w:p w14:paraId="24E47016"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Индекс промышленного производства</w:t>
            </w:r>
            <w:r w:rsidRPr="0047261E">
              <w:rPr>
                <w:rFonts w:eastAsia="Times New Roman" w:cs="Times New Roman"/>
                <w:kern w:val="3"/>
                <w:szCs w:val="24"/>
                <w:vertAlign w:val="superscript"/>
                <w:lang w:eastAsia="ru-RU" w:bidi="hi-IN"/>
              </w:rPr>
              <w:footnoteReference w:id="11"/>
            </w:r>
          </w:p>
        </w:tc>
        <w:tc>
          <w:tcPr>
            <w:tcW w:w="508" w:type="pct"/>
            <w:tcBorders>
              <w:top w:val="single" w:sz="4" w:space="0" w:color="auto"/>
              <w:left w:val="single" w:sz="4" w:space="0" w:color="auto"/>
            </w:tcBorders>
            <w:shd w:val="clear" w:color="auto" w:fill="FFFFFF"/>
            <w:vAlign w:val="center"/>
          </w:tcPr>
          <w:p w14:paraId="6AACBDC7"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х</w:t>
            </w:r>
          </w:p>
        </w:tc>
        <w:tc>
          <w:tcPr>
            <w:tcW w:w="510" w:type="pct"/>
            <w:tcBorders>
              <w:top w:val="single" w:sz="4" w:space="0" w:color="auto"/>
              <w:left w:val="single" w:sz="4" w:space="0" w:color="auto"/>
            </w:tcBorders>
            <w:shd w:val="clear" w:color="auto" w:fill="FFFFFF"/>
            <w:vAlign w:val="center"/>
          </w:tcPr>
          <w:p w14:paraId="7FF96790"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х</w:t>
            </w:r>
          </w:p>
        </w:tc>
        <w:tc>
          <w:tcPr>
            <w:tcW w:w="508" w:type="pct"/>
            <w:tcBorders>
              <w:top w:val="single" w:sz="4" w:space="0" w:color="auto"/>
              <w:left w:val="single" w:sz="4" w:space="0" w:color="auto"/>
            </w:tcBorders>
            <w:shd w:val="clear" w:color="auto" w:fill="FFFFFF"/>
            <w:vAlign w:val="bottom"/>
          </w:tcPr>
          <w:p w14:paraId="1E06EB36"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108,2</w:t>
            </w:r>
          </w:p>
        </w:tc>
        <w:tc>
          <w:tcPr>
            <w:tcW w:w="503" w:type="pct"/>
            <w:tcBorders>
              <w:top w:val="single" w:sz="4" w:space="0" w:color="auto"/>
              <w:left w:val="single" w:sz="4" w:space="0" w:color="auto"/>
            </w:tcBorders>
            <w:shd w:val="clear" w:color="auto" w:fill="FFFFFF"/>
            <w:vAlign w:val="bottom"/>
          </w:tcPr>
          <w:p w14:paraId="0A7A3FAD"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111,1</w:t>
            </w:r>
          </w:p>
        </w:tc>
        <w:tc>
          <w:tcPr>
            <w:tcW w:w="450" w:type="pct"/>
            <w:tcBorders>
              <w:top w:val="single" w:sz="4" w:space="0" w:color="auto"/>
              <w:left w:val="single" w:sz="4" w:space="0" w:color="auto"/>
            </w:tcBorders>
            <w:shd w:val="clear" w:color="auto" w:fill="FFFFFF"/>
            <w:vAlign w:val="bottom"/>
          </w:tcPr>
          <w:p w14:paraId="0EE98726"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100,6</w:t>
            </w:r>
          </w:p>
        </w:tc>
        <w:tc>
          <w:tcPr>
            <w:tcW w:w="696" w:type="pct"/>
            <w:tcBorders>
              <w:top w:val="single" w:sz="4" w:space="0" w:color="auto"/>
              <w:left w:val="single" w:sz="4" w:space="0" w:color="auto"/>
              <w:right w:val="single" w:sz="4" w:space="0" w:color="auto"/>
            </w:tcBorders>
            <w:shd w:val="clear" w:color="auto" w:fill="FFFFFF"/>
            <w:vAlign w:val="center"/>
          </w:tcPr>
          <w:p w14:paraId="2FF2723B"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101,5</w:t>
            </w:r>
          </w:p>
        </w:tc>
      </w:tr>
      <w:tr w:rsidR="0047261E" w:rsidRPr="0047261E" w14:paraId="1236E879" w14:textId="77777777" w:rsidTr="0047261E">
        <w:trPr>
          <w:trHeight w:hRule="exact" w:val="562"/>
        </w:trPr>
        <w:tc>
          <w:tcPr>
            <w:tcW w:w="1824" w:type="pct"/>
            <w:tcBorders>
              <w:top w:val="single" w:sz="4" w:space="0" w:color="auto"/>
              <w:left w:val="single" w:sz="4" w:space="0" w:color="auto"/>
            </w:tcBorders>
            <w:shd w:val="clear" w:color="auto" w:fill="FFFFFF"/>
            <w:vAlign w:val="bottom"/>
          </w:tcPr>
          <w:p w14:paraId="58F29E90"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из него по видам экономической деятельности:</w:t>
            </w:r>
          </w:p>
        </w:tc>
        <w:tc>
          <w:tcPr>
            <w:tcW w:w="508" w:type="pct"/>
            <w:tcBorders>
              <w:top w:val="single" w:sz="4" w:space="0" w:color="auto"/>
              <w:left w:val="single" w:sz="4" w:space="0" w:color="auto"/>
            </w:tcBorders>
            <w:shd w:val="clear" w:color="auto" w:fill="FFFFFF"/>
          </w:tcPr>
          <w:p w14:paraId="6EB9D247"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Cs w:val="24"/>
                <w:lang w:eastAsia="ru-RU" w:bidi="hi-IN"/>
              </w:rPr>
            </w:pPr>
          </w:p>
        </w:tc>
        <w:tc>
          <w:tcPr>
            <w:tcW w:w="510" w:type="pct"/>
            <w:tcBorders>
              <w:top w:val="single" w:sz="4" w:space="0" w:color="auto"/>
              <w:left w:val="single" w:sz="4" w:space="0" w:color="auto"/>
            </w:tcBorders>
            <w:shd w:val="clear" w:color="auto" w:fill="FFFFFF"/>
          </w:tcPr>
          <w:p w14:paraId="69C4E813"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Cs w:val="24"/>
                <w:lang w:eastAsia="ru-RU" w:bidi="hi-IN"/>
              </w:rPr>
            </w:pPr>
          </w:p>
        </w:tc>
        <w:tc>
          <w:tcPr>
            <w:tcW w:w="508" w:type="pct"/>
            <w:tcBorders>
              <w:top w:val="single" w:sz="4" w:space="0" w:color="auto"/>
              <w:left w:val="single" w:sz="4" w:space="0" w:color="auto"/>
            </w:tcBorders>
            <w:shd w:val="clear" w:color="auto" w:fill="FFFFFF"/>
          </w:tcPr>
          <w:p w14:paraId="42080B87"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Cs w:val="24"/>
                <w:lang w:eastAsia="ru-RU" w:bidi="hi-IN"/>
              </w:rPr>
            </w:pPr>
          </w:p>
        </w:tc>
        <w:tc>
          <w:tcPr>
            <w:tcW w:w="503" w:type="pct"/>
            <w:tcBorders>
              <w:top w:val="single" w:sz="4" w:space="0" w:color="auto"/>
              <w:left w:val="single" w:sz="4" w:space="0" w:color="auto"/>
            </w:tcBorders>
            <w:shd w:val="clear" w:color="auto" w:fill="FFFFFF"/>
          </w:tcPr>
          <w:p w14:paraId="49AEFFBA"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Cs w:val="24"/>
                <w:lang w:eastAsia="ru-RU" w:bidi="hi-IN"/>
              </w:rPr>
            </w:pPr>
          </w:p>
        </w:tc>
        <w:tc>
          <w:tcPr>
            <w:tcW w:w="450" w:type="pct"/>
            <w:tcBorders>
              <w:top w:val="single" w:sz="4" w:space="0" w:color="auto"/>
              <w:left w:val="single" w:sz="4" w:space="0" w:color="auto"/>
            </w:tcBorders>
            <w:shd w:val="clear" w:color="auto" w:fill="FFFFFF"/>
          </w:tcPr>
          <w:p w14:paraId="59955990"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Cs w:val="24"/>
                <w:lang w:eastAsia="ru-RU" w:bidi="hi-IN"/>
              </w:rPr>
            </w:pPr>
          </w:p>
        </w:tc>
        <w:tc>
          <w:tcPr>
            <w:tcW w:w="696" w:type="pct"/>
            <w:tcBorders>
              <w:top w:val="single" w:sz="4" w:space="0" w:color="auto"/>
              <w:left w:val="single" w:sz="4" w:space="0" w:color="auto"/>
              <w:right w:val="single" w:sz="4" w:space="0" w:color="auto"/>
            </w:tcBorders>
            <w:shd w:val="clear" w:color="auto" w:fill="FFFFFF"/>
          </w:tcPr>
          <w:p w14:paraId="5199BEBB"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Cs w:val="24"/>
                <w:lang w:eastAsia="ru-RU" w:bidi="hi-IN"/>
              </w:rPr>
            </w:pPr>
          </w:p>
        </w:tc>
      </w:tr>
      <w:tr w:rsidR="0047261E" w:rsidRPr="0047261E" w14:paraId="7D56A6AB" w14:textId="77777777" w:rsidTr="0047261E">
        <w:trPr>
          <w:trHeight w:hRule="exact" w:val="307"/>
        </w:trPr>
        <w:tc>
          <w:tcPr>
            <w:tcW w:w="1824" w:type="pct"/>
            <w:tcBorders>
              <w:top w:val="single" w:sz="4" w:space="0" w:color="auto"/>
              <w:left w:val="single" w:sz="4" w:space="0" w:color="auto"/>
            </w:tcBorders>
            <w:shd w:val="clear" w:color="auto" w:fill="FFFFFF"/>
            <w:vAlign w:val="bottom"/>
          </w:tcPr>
          <w:p w14:paraId="5F8129F2"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добыча сырой нефти</w:t>
            </w:r>
          </w:p>
        </w:tc>
        <w:tc>
          <w:tcPr>
            <w:tcW w:w="508" w:type="pct"/>
            <w:tcBorders>
              <w:top w:val="single" w:sz="4" w:space="0" w:color="auto"/>
              <w:left w:val="single" w:sz="4" w:space="0" w:color="auto"/>
            </w:tcBorders>
            <w:shd w:val="clear" w:color="auto" w:fill="FFFFFF"/>
            <w:vAlign w:val="bottom"/>
          </w:tcPr>
          <w:p w14:paraId="79330765"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х</w:t>
            </w:r>
          </w:p>
        </w:tc>
        <w:tc>
          <w:tcPr>
            <w:tcW w:w="510" w:type="pct"/>
            <w:tcBorders>
              <w:top w:val="single" w:sz="4" w:space="0" w:color="auto"/>
              <w:left w:val="single" w:sz="4" w:space="0" w:color="auto"/>
            </w:tcBorders>
            <w:shd w:val="clear" w:color="auto" w:fill="FFFFFF"/>
            <w:vAlign w:val="bottom"/>
          </w:tcPr>
          <w:p w14:paraId="35AFAFC5"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х</w:t>
            </w:r>
          </w:p>
        </w:tc>
        <w:tc>
          <w:tcPr>
            <w:tcW w:w="508" w:type="pct"/>
            <w:tcBorders>
              <w:top w:val="single" w:sz="4" w:space="0" w:color="auto"/>
              <w:left w:val="single" w:sz="4" w:space="0" w:color="auto"/>
            </w:tcBorders>
            <w:shd w:val="clear" w:color="auto" w:fill="FFFFFF"/>
            <w:vAlign w:val="bottom"/>
          </w:tcPr>
          <w:p w14:paraId="2FF6D8A2"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117,8</w:t>
            </w:r>
          </w:p>
        </w:tc>
        <w:tc>
          <w:tcPr>
            <w:tcW w:w="503" w:type="pct"/>
            <w:tcBorders>
              <w:top w:val="single" w:sz="4" w:space="0" w:color="auto"/>
              <w:left w:val="single" w:sz="4" w:space="0" w:color="auto"/>
            </w:tcBorders>
            <w:shd w:val="clear" w:color="auto" w:fill="FFFFFF"/>
            <w:vAlign w:val="bottom"/>
          </w:tcPr>
          <w:p w14:paraId="2BE17DF1"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121,7</w:t>
            </w:r>
          </w:p>
        </w:tc>
        <w:tc>
          <w:tcPr>
            <w:tcW w:w="450" w:type="pct"/>
            <w:tcBorders>
              <w:top w:val="single" w:sz="4" w:space="0" w:color="auto"/>
              <w:left w:val="single" w:sz="4" w:space="0" w:color="auto"/>
            </w:tcBorders>
            <w:shd w:val="clear" w:color="auto" w:fill="FFFFFF"/>
            <w:vAlign w:val="bottom"/>
          </w:tcPr>
          <w:p w14:paraId="04A95E25"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104,5</w:t>
            </w:r>
          </w:p>
        </w:tc>
        <w:tc>
          <w:tcPr>
            <w:tcW w:w="696" w:type="pct"/>
            <w:tcBorders>
              <w:top w:val="single" w:sz="4" w:space="0" w:color="auto"/>
              <w:left w:val="single" w:sz="4" w:space="0" w:color="auto"/>
              <w:right w:val="single" w:sz="4" w:space="0" w:color="auto"/>
            </w:tcBorders>
            <w:shd w:val="clear" w:color="auto" w:fill="FFFFFF"/>
            <w:vAlign w:val="bottom"/>
          </w:tcPr>
          <w:p w14:paraId="708D71E1"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101,3</w:t>
            </w:r>
          </w:p>
        </w:tc>
      </w:tr>
      <w:tr w:rsidR="0047261E" w:rsidRPr="0047261E" w14:paraId="6E0895CB" w14:textId="77777777" w:rsidTr="0047261E">
        <w:trPr>
          <w:trHeight w:hRule="exact" w:val="312"/>
        </w:trPr>
        <w:tc>
          <w:tcPr>
            <w:tcW w:w="1824" w:type="pct"/>
            <w:tcBorders>
              <w:top w:val="single" w:sz="4" w:space="0" w:color="auto"/>
              <w:left w:val="single" w:sz="4" w:space="0" w:color="auto"/>
            </w:tcBorders>
            <w:shd w:val="clear" w:color="auto" w:fill="FFFFFF"/>
            <w:vAlign w:val="bottom"/>
          </w:tcPr>
          <w:p w14:paraId="0044D78D"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добыча алмазов</w:t>
            </w:r>
          </w:p>
        </w:tc>
        <w:tc>
          <w:tcPr>
            <w:tcW w:w="508" w:type="pct"/>
            <w:tcBorders>
              <w:top w:val="single" w:sz="4" w:space="0" w:color="auto"/>
              <w:left w:val="single" w:sz="4" w:space="0" w:color="auto"/>
            </w:tcBorders>
            <w:shd w:val="clear" w:color="auto" w:fill="FFFFFF"/>
            <w:vAlign w:val="bottom"/>
          </w:tcPr>
          <w:p w14:paraId="6C0DDF36"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х</w:t>
            </w:r>
          </w:p>
        </w:tc>
        <w:tc>
          <w:tcPr>
            <w:tcW w:w="510" w:type="pct"/>
            <w:tcBorders>
              <w:top w:val="single" w:sz="4" w:space="0" w:color="auto"/>
              <w:left w:val="single" w:sz="4" w:space="0" w:color="auto"/>
            </w:tcBorders>
            <w:shd w:val="clear" w:color="auto" w:fill="FFFFFF"/>
            <w:vAlign w:val="bottom"/>
          </w:tcPr>
          <w:p w14:paraId="6B391426"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х</w:t>
            </w:r>
          </w:p>
        </w:tc>
        <w:tc>
          <w:tcPr>
            <w:tcW w:w="508" w:type="pct"/>
            <w:tcBorders>
              <w:top w:val="single" w:sz="4" w:space="0" w:color="auto"/>
              <w:left w:val="single" w:sz="4" w:space="0" w:color="auto"/>
            </w:tcBorders>
            <w:shd w:val="clear" w:color="auto" w:fill="FFFFFF"/>
            <w:vAlign w:val="bottom"/>
          </w:tcPr>
          <w:p w14:paraId="07C6F5DC"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95,9</w:t>
            </w:r>
          </w:p>
        </w:tc>
        <w:tc>
          <w:tcPr>
            <w:tcW w:w="503" w:type="pct"/>
            <w:tcBorders>
              <w:top w:val="single" w:sz="4" w:space="0" w:color="auto"/>
              <w:left w:val="single" w:sz="4" w:space="0" w:color="auto"/>
            </w:tcBorders>
            <w:shd w:val="clear" w:color="auto" w:fill="FFFFFF"/>
            <w:vAlign w:val="bottom"/>
          </w:tcPr>
          <w:p w14:paraId="76D2BCBB"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108,0</w:t>
            </w:r>
          </w:p>
        </w:tc>
        <w:tc>
          <w:tcPr>
            <w:tcW w:w="450" w:type="pct"/>
            <w:tcBorders>
              <w:top w:val="single" w:sz="4" w:space="0" w:color="auto"/>
              <w:left w:val="single" w:sz="4" w:space="0" w:color="auto"/>
            </w:tcBorders>
            <w:shd w:val="clear" w:color="auto" w:fill="FFFFFF"/>
            <w:vAlign w:val="bottom"/>
          </w:tcPr>
          <w:p w14:paraId="0D9F3A89"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100,7</w:t>
            </w:r>
          </w:p>
        </w:tc>
        <w:tc>
          <w:tcPr>
            <w:tcW w:w="696" w:type="pct"/>
            <w:tcBorders>
              <w:top w:val="single" w:sz="4" w:space="0" w:color="auto"/>
              <w:left w:val="single" w:sz="4" w:space="0" w:color="auto"/>
              <w:right w:val="single" w:sz="4" w:space="0" w:color="auto"/>
            </w:tcBorders>
            <w:shd w:val="clear" w:color="auto" w:fill="FFFFFF"/>
            <w:vAlign w:val="bottom"/>
          </w:tcPr>
          <w:p w14:paraId="30956320"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104,7</w:t>
            </w:r>
          </w:p>
        </w:tc>
      </w:tr>
      <w:tr w:rsidR="0047261E" w:rsidRPr="0047261E" w14:paraId="13312311" w14:textId="77777777" w:rsidTr="0047261E">
        <w:trPr>
          <w:trHeight w:hRule="exact" w:val="307"/>
        </w:trPr>
        <w:tc>
          <w:tcPr>
            <w:tcW w:w="1824" w:type="pct"/>
            <w:tcBorders>
              <w:top w:val="single" w:sz="4" w:space="0" w:color="auto"/>
              <w:left w:val="single" w:sz="4" w:space="0" w:color="auto"/>
            </w:tcBorders>
            <w:shd w:val="clear" w:color="auto" w:fill="FFFFFF"/>
            <w:vAlign w:val="bottom"/>
          </w:tcPr>
          <w:p w14:paraId="5A677E69"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из нее АК «АЛРОСА» (ПАО)</w:t>
            </w:r>
          </w:p>
        </w:tc>
        <w:tc>
          <w:tcPr>
            <w:tcW w:w="508" w:type="pct"/>
            <w:tcBorders>
              <w:top w:val="single" w:sz="4" w:space="0" w:color="auto"/>
              <w:left w:val="single" w:sz="4" w:space="0" w:color="auto"/>
            </w:tcBorders>
            <w:shd w:val="clear" w:color="auto" w:fill="FFFFFF"/>
            <w:vAlign w:val="bottom"/>
          </w:tcPr>
          <w:p w14:paraId="4F69711D"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х</w:t>
            </w:r>
          </w:p>
        </w:tc>
        <w:tc>
          <w:tcPr>
            <w:tcW w:w="510" w:type="pct"/>
            <w:tcBorders>
              <w:top w:val="single" w:sz="4" w:space="0" w:color="auto"/>
              <w:left w:val="single" w:sz="4" w:space="0" w:color="auto"/>
            </w:tcBorders>
            <w:shd w:val="clear" w:color="auto" w:fill="FFFFFF"/>
            <w:vAlign w:val="bottom"/>
          </w:tcPr>
          <w:p w14:paraId="1B253FC0"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х</w:t>
            </w:r>
          </w:p>
        </w:tc>
        <w:tc>
          <w:tcPr>
            <w:tcW w:w="508" w:type="pct"/>
            <w:tcBorders>
              <w:top w:val="single" w:sz="4" w:space="0" w:color="auto"/>
              <w:left w:val="single" w:sz="4" w:space="0" w:color="auto"/>
            </w:tcBorders>
            <w:shd w:val="clear" w:color="auto" w:fill="FFFFFF"/>
            <w:vAlign w:val="bottom"/>
          </w:tcPr>
          <w:p w14:paraId="7F0B76E6"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87,1</w:t>
            </w:r>
          </w:p>
        </w:tc>
        <w:tc>
          <w:tcPr>
            <w:tcW w:w="503" w:type="pct"/>
            <w:tcBorders>
              <w:top w:val="single" w:sz="4" w:space="0" w:color="auto"/>
              <w:left w:val="single" w:sz="4" w:space="0" w:color="auto"/>
            </w:tcBorders>
            <w:shd w:val="clear" w:color="auto" w:fill="FFFFFF"/>
            <w:vAlign w:val="bottom"/>
          </w:tcPr>
          <w:p w14:paraId="75DD40B3"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101,3</w:t>
            </w:r>
          </w:p>
        </w:tc>
        <w:tc>
          <w:tcPr>
            <w:tcW w:w="450" w:type="pct"/>
            <w:tcBorders>
              <w:top w:val="single" w:sz="4" w:space="0" w:color="auto"/>
              <w:left w:val="single" w:sz="4" w:space="0" w:color="auto"/>
            </w:tcBorders>
            <w:shd w:val="clear" w:color="auto" w:fill="FFFFFF"/>
            <w:vAlign w:val="bottom"/>
          </w:tcPr>
          <w:p w14:paraId="440809A4"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130,0</w:t>
            </w:r>
          </w:p>
        </w:tc>
        <w:tc>
          <w:tcPr>
            <w:tcW w:w="696" w:type="pct"/>
            <w:tcBorders>
              <w:top w:val="single" w:sz="4" w:space="0" w:color="auto"/>
              <w:left w:val="single" w:sz="4" w:space="0" w:color="auto"/>
              <w:right w:val="single" w:sz="4" w:space="0" w:color="auto"/>
            </w:tcBorders>
            <w:shd w:val="clear" w:color="auto" w:fill="FFFFFF"/>
            <w:vAlign w:val="bottom"/>
          </w:tcPr>
          <w:p w14:paraId="0366A0BD"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105,9</w:t>
            </w:r>
          </w:p>
        </w:tc>
      </w:tr>
      <w:tr w:rsidR="0047261E" w:rsidRPr="0047261E" w14:paraId="106B7ACE" w14:textId="77777777" w:rsidTr="0047261E">
        <w:trPr>
          <w:trHeight w:hRule="exact" w:val="923"/>
        </w:trPr>
        <w:tc>
          <w:tcPr>
            <w:tcW w:w="1824" w:type="pct"/>
            <w:tcBorders>
              <w:top w:val="single" w:sz="4" w:space="0" w:color="auto"/>
              <w:left w:val="single" w:sz="4" w:space="0" w:color="auto"/>
            </w:tcBorders>
            <w:shd w:val="clear" w:color="auto" w:fill="FFFFFF"/>
            <w:vAlign w:val="bottom"/>
          </w:tcPr>
          <w:p w14:paraId="5F1B03B0"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Индекс промышленного производства: без добычи алмазов</w:t>
            </w:r>
          </w:p>
        </w:tc>
        <w:tc>
          <w:tcPr>
            <w:tcW w:w="508" w:type="pct"/>
            <w:tcBorders>
              <w:top w:val="single" w:sz="4" w:space="0" w:color="auto"/>
              <w:left w:val="single" w:sz="4" w:space="0" w:color="auto"/>
            </w:tcBorders>
            <w:shd w:val="clear" w:color="auto" w:fill="FFFFFF"/>
            <w:vAlign w:val="center"/>
          </w:tcPr>
          <w:p w14:paraId="2A695FD7"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х</w:t>
            </w:r>
          </w:p>
        </w:tc>
        <w:tc>
          <w:tcPr>
            <w:tcW w:w="510" w:type="pct"/>
            <w:tcBorders>
              <w:top w:val="single" w:sz="4" w:space="0" w:color="auto"/>
              <w:left w:val="single" w:sz="4" w:space="0" w:color="auto"/>
            </w:tcBorders>
            <w:shd w:val="clear" w:color="auto" w:fill="FFFFFF"/>
            <w:vAlign w:val="center"/>
          </w:tcPr>
          <w:p w14:paraId="278E79F9"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х</w:t>
            </w:r>
          </w:p>
        </w:tc>
        <w:tc>
          <w:tcPr>
            <w:tcW w:w="508" w:type="pct"/>
            <w:tcBorders>
              <w:top w:val="single" w:sz="4" w:space="0" w:color="auto"/>
              <w:left w:val="single" w:sz="4" w:space="0" w:color="auto"/>
            </w:tcBorders>
            <w:shd w:val="clear" w:color="auto" w:fill="FFFFFF"/>
            <w:vAlign w:val="center"/>
          </w:tcPr>
          <w:p w14:paraId="1FEA0825"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113,9</w:t>
            </w:r>
          </w:p>
        </w:tc>
        <w:tc>
          <w:tcPr>
            <w:tcW w:w="503" w:type="pct"/>
            <w:tcBorders>
              <w:top w:val="single" w:sz="4" w:space="0" w:color="auto"/>
              <w:left w:val="single" w:sz="4" w:space="0" w:color="auto"/>
            </w:tcBorders>
            <w:shd w:val="clear" w:color="auto" w:fill="FFFFFF"/>
            <w:vAlign w:val="center"/>
          </w:tcPr>
          <w:p w14:paraId="7047403E"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113,1</w:t>
            </w:r>
          </w:p>
        </w:tc>
        <w:tc>
          <w:tcPr>
            <w:tcW w:w="450" w:type="pct"/>
            <w:tcBorders>
              <w:top w:val="single" w:sz="4" w:space="0" w:color="auto"/>
              <w:left w:val="single" w:sz="4" w:space="0" w:color="auto"/>
            </w:tcBorders>
            <w:shd w:val="clear" w:color="auto" w:fill="FFFFFF"/>
            <w:vAlign w:val="center"/>
          </w:tcPr>
          <w:p w14:paraId="78786B54"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100,6</w:t>
            </w:r>
          </w:p>
        </w:tc>
        <w:tc>
          <w:tcPr>
            <w:tcW w:w="696" w:type="pct"/>
            <w:tcBorders>
              <w:top w:val="single" w:sz="4" w:space="0" w:color="auto"/>
              <w:left w:val="single" w:sz="4" w:space="0" w:color="auto"/>
              <w:right w:val="single" w:sz="4" w:space="0" w:color="auto"/>
            </w:tcBorders>
            <w:shd w:val="clear" w:color="auto" w:fill="FFFFFF"/>
            <w:vAlign w:val="center"/>
          </w:tcPr>
          <w:p w14:paraId="3EBA696E"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100,3</w:t>
            </w:r>
          </w:p>
        </w:tc>
      </w:tr>
      <w:tr w:rsidR="0047261E" w:rsidRPr="0047261E" w14:paraId="78D1478D" w14:textId="77777777" w:rsidTr="0047261E">
        <w:trPr>
          <w:trHeight w:hRule="exact" w:val="554"/>
        </w:trPr>
        <w:tc>
          <w:tcPr>
            <w:tcW w:w="1824" w:type="pct"/>
            <w:tcBorders>
              <w:top w:val="single" w:sz="4" w:space="0" w:color="auto"/>
              <w:left w:val="single" w:sz="4" w:space="0" w:color="auto"/>
            </w:tcBorders>
            <w:shd w:val="clear" w:color="auto" w:fill="FFFFFF"/>
            <w:vAlign w:val="bottom"/>
          </w:tcPr>
          <w:p w14:paraId="0652DC26"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без добычи сырой нефти и алмазов</w:t>
            </w:r>
          </w:p>
        </w:tc>
        <w:tc>
          <w:tcPr>
            <w:tcW w:w="508" w:type="pct"/>
            <w:tcBorders>
              <w:top w:val="single" w:sz="4" w:space="0" w:color="auto"/>
              <w:left w:val="single" w:sz="4" w:space="0" w:color="auto"/>
            </w:tcBorders>
            <w:shd w:val="clear" w:color="auto" w:fill="FFFFFF"/>
            <w:vAlign w:val="center"/>
          </w:tcPr>
          <w:p w14:paraId="33D450D5"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х</w:t>
            </w:r>
          </w:p>
        </w:tc>
        <w:tc>
          <w:tcPr>
            <w:tcW w:w="510" w:type="pct"/>
            <w:tcBorders>
              <w:top w:val="single" w:sz="4" w:space="0" w:color="auto"/>
              <w:left w:val="single" w:sz="4" w:space="0" w:color="auto"/>
            </w:tcBorders>
            <w:shd w:val="clear" w:color="auto" w:fill="FFFFFF"/>
            <w:vAlign w:val="center"/>
          </w:tcPr>
          <w:p w14:paraId="732DC99A"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х</w:t>
            </w:r>
          </w:p>
        </w:tc>
        <w:tc>
          <w:tcPr>
            <w:tcW w:w="508" w:type="pct"/>
            <w:tcBorders>
              <w:top w:val="single" w:sz="4" w:space="0" w:color="auto"/>
              <w:left w:val="single" w:sz="4" w:space="0" w:color="auto"/>
            </w:tcBorders>
            <w:shd w:val="clear" w:color="auto" w:fill="FFFFFF"/>
            <w:vAlign w:val="center"/>
          </w:tcPr>
          <w:p w14:paraId="3E9C0B10"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108,6</w:t>
            </w:r>
          </w:p>
        </w:tc>
        <w:tc>
          <w:tcPr>
            <w:tcW w:w="503" w:type="pct"/>
            <w:tcBorders>
              <w:top w:val="single" w:sz="4" w:space="0" w:color="auto"/>
              <w:left w:val="single" w:sz="4" w:space="0" w:color="auto"/>
            </w:tcBorders>
            <w:shd w:val="clear" w:color="auto" w:fill="FFFFFF"/>
            <w:vAlign w:val="center"/>
          </w:tcPr>
          <w:p w14:paraId="036130DE"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102,5</w:t>
            </w:r>
          </w:p>
        </w:tc>
        <w:tc>
          <w:tcPr>
            <w:tcW w:w="450" w:type="pct"/>
            <w:tcBorders>
              <w:top w:val="single" w:sz="4" w:space="0" w:color="auto"/>
              <w:left w:val="single" w:sz="4" w:space="0" w:color="auto"/>
            </w:tcBorders>
            <w:shd w:val="clear" w:color="auto" w:fill="FFFFFF"/>
            <w:vAlign w:val="center"/>
          </w:tcPr>
          <w:p w14:paraId="429C7623"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95,3</w:t>
            </w:r>
          </w:p>
        </w:tc>
        <w:tc>
          <w:tcPr>
            <w:tcW w:w="696" w:type="pct"/>
            <w:tcBorders>
              <w:top w:val="single" w:sz="4" w:space="0" w:color="auto"/>
              <w:left w:val="single" w:sz="4" w:space="0" w:color="auto"/>
              <w:right w:val="single" w:sz="4" w:space="0" w:color="auto"/>
            </w:tcBorders>
            <w:shd w:val="clear" w:color="auto" w:fill="FFFFFF"/>
            <w:vAlign w:val="center"/>
          </w:tcPr>
          <w:p w14:paraId="076CED1E"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99,2</w:t>
            </w:r>
          </w:p>
        </w:tc>
      </w:tr>
      <w:tr w:rsidR="0047261E" w:rsidRPr="0047261E" w14:paraId="76372443" w14:textId="77777777" w:rsidTr="0047261E">
        <w:trPr>
          <w:trHeight w:hRule="exact" w:val="859"/>
        </w:trPr>
        <w:tc>
          <w:tcPr>
            <w:tcW w:w="1824" w:type="pct"/>
            <w:tcBorders>
              <w:top w:val="single" w:sz="4" w:space="0" w:color="auto"/>
              <w:left w:val="single" w:sz="4" w:space="0" w:color="auto"/>
            </w:tcBorders>
            <w:shd w:val="clear" w:color="auto" w:fill="FFFFFF"/>
          </w:tcPr>
          <w:p w14:paraId="0FB2DA25"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Cs w:val="24"/>
                <w:vertAlign w:val="superscript"/>
                <w:lang w:eastAsia="ru-RU" w:bidi="hi-IN"/>
              </w:rPr>
            </w:pPr>
            <w:r w:rsidRPr="0047261E">
              <w:rPr>
                <w:rFonts w:eastAsia="Times New Roman" w:cs="Times New Roman"/>
                <w:kern w:val="3"/>
                <w:szCs w:val="24"/>
                <w:lang w:eastAsia="ru-RU" w:bidi="hi-IN"/>
              </w:rPr>
              <w:t>Продукция сельского хозяйства (в хозяйствах всех категорий), млн. рублей</w:t>
            </w:r>
            <w:r w:rsidRPr="0047261E">
              <w:rPr>
                <w:rFonts w:eastAsia="Times New Roman" w:cs="Times New Roman"/>
                <w:kern w:val="3"/>
                <w:sz w:val="28"/>
                <w:szCs w:val="24"/>
                <w:vertAlign w:val="superscript"/>
                <w:lang w:eastAsia="ru-RU" w:bidi="hi-IN"/>
              </w:rPr>
              <w:t>Х)</w:t>
            </w:r>
          </w:p>
        </w:tc>
        <w:tc>
          <w:tcPr>
            <w:tcW w:w="508" w:type="pct"/>
            <w:tcBorders>
              <w:top w:val="single" w:sz="4" w:space="0" w:color="auto"/>
              <w:left w:val="single" w:sz="4" w:space="0" w:color="auto"/>
            </w:tcBorders>
            <w:shd w:val="clear" w:color="auto" w:fill="FFFFFF"/>
            <w:vAlign w:val="center"/>
          </w:tcPr>
          <w:p w14:paraId="5B6782E6"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26 373,1</w:t>
            </w:r>
          </w:p>
        </w:tc>
        <w:tc>
          <w:tcPr>
            <w:tcW w:w="510" w:type="pct"/>
            <w:tcBorders>
              <w:top w:val="single" w:sz="4" w:space="0" w:color="auto"/>
              <w:left w:val="single" w:sz="4" w:space="0" w:color="auto"/>
            </w:tcBorders>
            <w:shd w:val="clear" w:color="auto" w:fill="FFFFFF"/>
            <w:vAlign w:val="center"/>
          </w:tcPr>
          <w:p w14:paraId="2D159A02"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25 288,8</w:t>
            </w:r>
          </w:p>
        </w:tc>
        <w:tc>
          <w:tcPr>
            <w:tcW w:w="508" w:type="pct"/>
            <w:tcBorders>
              <w:top w:val="single" w:sz="4" w:space="0" w:color="auto"/>
              <w:left w:val="single" w:sz="4" w:space="0" w:color="auto"/>
            </w:tcBorders>
            <w:shd w:val="clear" w:color="auto" w:fill="FFFFFF"/>
            <w:vAlign w:val="center"/>
          </w:tcPr>
          <w:p w14:paraId="30C1FA25"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104,5</w:t>
            </w:r>
          </w:p>
        </w:tc>
        <w:tc>
          <w:tcPr>
            <w:tcW w:w="503" w:type="pct"/>
            <w:tcBorders>
              <w:top w:val="single" w:sz="4" w:space="0" w:color="auto"/>
              <w:left w:val="single" w:sz="4" w:space="0" w:color="auto"/>
            </w:tcBorders>
            <w:shd w:val="clear" w:color="auto" w:fill="FFFFFF"/>
            <w:vAlign w:val="center"/>
          </w:tcPr>
          <w:p w14:paraId="1CA638DB"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107,9</w:t>
            </w:r>
          </w:p>
        </w:tc>
        <w:tc>
          <w:tcPr>
            <w:tcW w:w="450" w:type="pct"/>
            <w:tcBorders>
              <w:top w:val="single" w:sz="4" w:space="0" w:color="auto"/>
              <w:left w:val="single" w:sz="4" w:space="0" w:color="auto"/>
            </w:tcBorders>
            <w:shd w:val="clear" w:color="auto" w:fill="FFFFFF"/>
            <w:vAlign w:val="center"/>
          </w:tcPr>
          <w:p w14:paraId="2FDFF41D"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74,7</w:t>
            </w:r>
          </w:p>
        </w:tc>
        <w:tc>
          <w:tcPr>
            <w:tcW w:w="696" w:type="pct"/>
            <w:tcBorders>
              <w:top w:val="single" w:sz="4" w:space="0" w:color="auto"/>
              <w:left w:val="single" w:sz="4" w:space="0" w:color="auto"/>
              <w:right w:val="single" w:sz="4" w:space="0" w:color="auto"/>
            </w:tcBorders>
            <w:shd w:val="clear" w:color="auto" w:fill="FFFFFF"/>
            <w:vAlign w:val="center"/>
          </w:tcPr>
          <w:p w14:paraId="3DA4CC1C"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104,6</w:t>
            </w:r>
          </w:p>
        </w:tc>
      </w:tr>
      <w:tr w:rsidR="0047261E" w:rsidRPr="0047261E" w14:paraId="5463946B" w14:textId="77777777" w:rsidTr="0047261E">
        <w:trPr>
          <w:trHeight w:hRule="exact" w:val="560"/>
        </w:trPr>
        <w:tc>
          <w:tcPr>
            <w:tcW w:w="1824" w:type="pct"/>
            <w:tcBorders>
              <w:top w:val="single" w:sz="4" w:space="0" w:color="auto"/>
              <w:left w:val="single" w:sz="4" w:space="0" w:color="auto"/>
            </w:tcBorders>
            <w:shd w:val="clear" w:color="auto" w:fill="FFFFFF"/>
            <w:vAlign w:val="bottom"/>
          </w:tcPr>
          <w:p w14:paraId="3C77133B"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Оборот розничной торговли, млн. рублей</w:t>
            </w:r>
            <w:r w:rsidRPr="0047261E">
              <w:rPr>
                <w:rFonts w:eastAsia="Times New Roman" w:cs="Times New Roman"/>
                <w:kern w:val="3"/>
                <w:sz w:val="28"/>
                <w:szCs w:val="24"/>
                <w:vertAlign w:val="superscript"/>
                <w:lang w:eastAsia="ru-RU" w:bidi="hi-IN"/>
              </w:rPr>
              <w:t xml:space="preserve"> Х)</w:t>
            </w:r>
          </w:p>
        </w:tc>
        <w:tc>
          <w:tcPr>
            <w:tcW w:w="508" w:type="pct"/>
            <w:tcBorders>
              <w:top w:val="single" w:sz="4" w:space="0" w:color="auto"/>
              <w:left w:val="single" w:sz="4" w:space="0" w:color="auto"/>
            </w:tcBorders>
            <w:shd w:val="clear" w:color="auto" w:fill="FFFFFF"/>
            <w:vAlign w:val="center"/>
          </w:tcPr>
          <w:p w14:paraId="3F297FB2"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228 143,1</w:t>
            </w:r>
          </w:p>
        </w:tc>
        <w:tc>
          <w:tcPr>
            <w:tcW w:w="510" w:type="pct"/>
            <w:tcBorders>
              <w:top w:val="single" w:sz="4" w:space="0" w:color="auto"/>
              <w:left w:val="single" w:sz="4" w:space="0" w:color="auto"/>
            </w:tcBorders>
            <w:shd w:val="clear" w:color="auto" w:fill="FFFFFF"/>
            <w:vAlign w:val="center"/>
          </w:tcPr>
          <w:p w14:paraId="3614B185"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212 662,7</w:t>
            </w:r>
          </w:p>
        </w:tc>
        <w:tc>
          <w:tcPr>
            <w:tcW w:w="508" w:type="pct"/>
            <w:tcBorders>
              <w:top w:val="single" w:sz="4" w:space="0" w:color="auto"/>
              <w:left w:val="single" w:sz="4" w:space="0" w:color="auto"/>
            </w:tcBorders>
            <w:shd w:val="clear" w:color="auto" w:fill="FFFFFF"/>
            <w:vAlign w:val="center"/>
          </w:tcPr>
          <w:p w14:paraId="52EB1DB2"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104,9</w:t>
            </w:r>
          </w:p>
        </w:tc>
        <w:tc>
          <w:tcPr>
            <w:tcW w:w="503" w:type="pct"/>
            <w:tcBorders>
              <w:top w:val="single" w:sz="4" w:space="0" w:color="auto"/>
              <w:left w:val="single" w:sz="4" w:space="0" w:color="auto"/>
            </w:tcBorders>
            <w:shd w:val="clear" w:color="auto" w:fill="FFFFFF"/>
            <w:vAlign w:val="center"/>
          </w:tcPr>
          <w:p w14:paraId="20DF2276"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112,9</w:t>
            </w:r>
          </w:p>
        </w:tc>
        <w:tc>
          <w:tcPr>
            <w:tcW w:w="450" w:type="pct"/>
            <w:tcBorders>
              <w:top w:val="single" w:sz="4" w:space="0" w:color="auto"/>
              <w:left w:val="single" w:sz="4" w:space="0" w:color="auto"/>
            </w:tcBorders>
            <w:shd w:val="clear" w:color="auto" w:fill="FFFFFF"/>
            <w:vAlign w:val="center"/>
          </w:tcPr>
          <w:p w14:paraId="2B39D8D1"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150,1</w:t>
            </w:r>
          </w:p>
        </w:tc>
        <w:tc>
          <w:tcPr>
            <w:tcW w:w="696" w:type="pct"/>
            <w:tcBorders>
              <w:top w:val="single" w:sz="4" w:space="0" w:color="auto"/>
              <w:left w:val="single" w:sz="4" w:space="0" w:color="auto"/>
              <w:right w:val="single" w:sz="4" w:space="0" w:color="auto"/>
            </w:tcBorders>
            <w:shd w:val="clear" w:color="auto" w:fill="FFFFFF"/>
            <w:vAlign w:val="center"/>
          </w:tcPr>
          <w:p w14:paraId="653F9C7F"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100,1</w:t>
            </w:r>
          </w:p>
        </w:tc>
      </w:tr>
      <w:tr w:rsidR="0047261E" w:rsidRPr="0047261E" w14:paraId="3B5FB3EF" w14:textId="77777777" w:rsidTr="00F6527F">
        <w:trPr>
          <w:trHeight w:hRule="exact" w:val="581"/>
        </w:trPr>
        <w:tc>
          <w:tcPr>
            <w:tcW w:w="1824" w:type="pct"/>
            <w:tcBorders>
              <w:top w:val="single" w:sz="4" w:space="0" w:color="auto"/>
              <w:left w:val="single" w:sz="4" w:space="0" w:color="auto"/>
              <w:bottom w:val="single" w:sz="4" w:space="0" w:color="auto"/>
            </w:tcBorders>
            <w:shd w:val="clear" w:color="auto" w:fill="FFFFFF"/>
            <w:vAlign w:val="bottom"/>
          </w:tcPr>
          <w:p w14:paraId="0B41B660"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Оборот общественного питания, млн. рублей</w:t>
            </w:r>
            <w:r w:rsidRPr="0047261E">
              <w:rPr>
                <w:rFonts w:eastAsia="Times New Roman" w:cs="Times New Roman"/>
                <w:kern w:val="3"/>
                <w:sz w:val="28"/>
                <w:szCs w:val="24"/>
                <w:vertAlign w:val="superscript"/>
                <w:lang w:eastAsia="ru-RU" w:bidi="hi-IN"/>
              </w:rPr>
              <w:t xml:space="preserve"> Х)</w:t>
            </w:r>
          </w:p>
        </w:tc>
        <w:tc>
          <w:tcPr>
            <w:tcW w:w="508" w:type="pct"/>
            <w:tcBorders>
              <w:top w:val="single" w:sz="4" w:space="0" w:color="auto"/>
              <w:left w:val="single" w:sz="4" w:space="0" w:color="auto"/>
              <w:bottom w:val="single" w:sz="4" w:space="0" w:color="auto"/>
            </w:tcBorders>
            <w:shd w:val="clear" w:color="auto" w:fill="FFFFFF"/>
            <w:vAlign w:val="center"/>
          </w:tcPr>
          <w:p w14:paraId="72FE2AC2"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18 872,1</w:t>
            </w:r>
          </w:p>
        </w:tc>
        <w:tc>
          <w:tcPr>
            <w:tcW w:w="510" w:type="pct"/>
            <w:tcBorders>
              <w:top w:val="single" w:sz="4" w:space="0" w:color="auto"/>
              <w:left w:val="single" w:sz="4" w:space="0" w:color="auto"/>
              <w:bottom w:val="single" w:sz="4" w:space="0" w:color="auto"/>
            </w:tcBorders>
            <w:shd w:val="clear" w:color="auto" w:fill="FFFFFF"/>
            <w:vAlign w:val="center"/>
          </w:tcPr>
          <w:p w14:paraId="1BBB42EC"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16 792,8</w:t>
            </w:r>
          </w:p>
        </w:tc>
        <w:tc>
          <w:tcPr>
            <w:tcW w:w="508" w:type="pct"/>
            <w:tcBorders>
              <w:top w:val="single" w:sz="4" w:space="0" w:color="auto"/>
              <w:left w:val="single" w:sz="4" w:space="0" w:color="auto"/>
              <w:bottom w:val="single" w:sz="4" w:space="0" w:color="auto"/>
            </w:tcBorders>
            <w:shd w:val="clear" w:color="auto" w:fill="FFFFFF"/>
            <w:vAlign w:val="center"/>
          </w:tcPr>
          <w:p w14:paraId="7A0327AE"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109,7</w:t>
            </w:r>
          </w:p>
        </w:tc>
        <w:tc>
          <w:tcPr>
            <w:tcW w:w="503" w:type="pct"/>
            <w:tcBorders>
              <w:top w:val="single" w:sz="4" w:space="0" w:color="auto"/>
              <w:left w:val="single" w:sz="4" w:space="0" w:color="auto"/>
              <w:bottom w:val="single" w:sz="4" w:space="0" w:color="auto"/>
            </w:tcBorders>
            <w:shd w:val="clear" w:color="auto" w:fill="FFFFFF"/>
            <w:vAlign w:val="center"/>
          </w:tcPr>
          <w:p w14:paraId="66163725"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146,7</w:t>
            </w:r>
          </w:p>
        </w:tc>
        <w:tc>
          <w:tcPr>
            <w:tcW w:w="450" w:type="pct"/>
            <w:tcBorders>
              <w:top w:val="single" w:sz="4" w:space="0" w:color="auto"/>
              <w:left w:val="single" w:sz="4" w:space="0" w:color="auto"/>
              <w:bottom w:val="single" w:sz="4" w:space="0" w:color="auto"/>
            </w:tcBorders>
            <w:shd w:val="clear" w:color="auto" w:fill="FFFFFF"/>
            <w:vAlign w:val="center"/>
          </w:tcPr>
          <w:p w14:paraId="7D4E66DF"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163,7</w:t>
            </w:r>
          </w:p>
        </w:tc>
        <w:tc>
          <w:tcPr>
            <w:tcW w:w="696" w:type="pct"/>
            <w:tcBorders>
              <w:top w:val="single" w:sz="4" w:space="0" w:color="auto"/>
              <w:left w:val="single" w:sz="4" w:space="0" w:color="auto"/>
              <w:bottom w:val="single" w:sz="4" w:space="0" w:color="auto"/>
              <w:right w:val="single" w:sz="4" w:space="0" w:color="auto"/>
            </w:tcBorders>
            <w:shd w:val="clear" w:color="auto" w:fill="FFFFFF"/>
            <w:vAlign w:val="center"/>
          </w:tcPr>
          <w:p w14:paraId="43CD7073"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100,6</w:t>
            </w:r>
          </w:p>
        </w:tc>
      </w:tr>
      <w:tr w:rsidR="0047261E" w:rsidRPr="0047261E" w14:paraId="744D8480" w14:textId="77777777" w:rsidTr="00F6527F">
        <w:trPr>
          <w:trHeight w:hRule="exact" w:val="562"/>
        </w:trPr>
        <w:tc>
          <w:tcPr>
            <w:tcW w:w="1824" w:type="pct"/>
            <w:tcBorders>
              <w:top w:val="single" w:sz="4" w:space="0" w:color="auto"/>
              <w:left w:val="single" w:sz="4" w:space="0" w:color="auto"/>
              <w:bottom w:val="single" w:sz="4" w:space="0" w:color="auto"/>
              <w:right w:val="single" w:sz="4" w:space="0" w:color="auto"/>
            </w:tcBorders>
            <w:shd w:val="clear" w:color="auto" w:fill="FFFFFF"/>
            <w:vAlign w:val="bottom"/>
          </w:tcPr>
          <w:p w14:paraId="6186AE97"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Объем платных услуг населению, млн. рублей</w:t>
            </w:r>
            <w:r w:rsidRPr="0047261E">
              <w:rPr>
                <w:rFonts w:eastAsia="Times New Roman" w:cs="Times New Roman"/>
                <w:kern w:val="3"/>
                <w:sz w:val="28"/>
                <w:szCs w:val="24"/>
                <w:vertAlign w:val="superscript"/>
                <w:lang w:eastAsia="ru-RU" w:bidi="hi-IN"/>
              </w:rPr>
              <w:t xml:space="preserve"> Х)</w:t>
            </w:r>
          </w:p>
        </w:tc>
        <w:tc>
          <w:tcPr>
            <w:tcW w:w="508" w:type="pct"/>
            <w:tcBorders>
              <w:top w:val="single" w:sz="4" w:space="0" w:color="auto"/>
              <w:left w:val="single" w:sz="4" w:space="0" w:color="auto"/>
              <w:bottom w:val="single" w:sz="4" w:space="0" w:color="auto"/>
              <w:right w:val="single" w:sz="4" w:space="0" w:color="auto"/>
            </w:tcBorders>
            <w:shd w:val="clear" w:color="auto" w:fill="FFFFFF"/>
            <w:vAlign w:val="center"/>
          </w:tcPr>
          <w:p w14:paraId="06E4BDBC"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88 000,5</w:t>
            </w:r>
          </w:p>
        </w:tc>
        <w:tc>
          <w:tcPr>
            <w:tcW w:w="510" w:type="pct"/>
            <w:tcBorders>
              <w:top w:val="single" w:sz="4" w:space="0" w:color="auto"/>
              <w:left w:val="single" w:sz="4" w:space="0" w:color="auto"/>
              <w:bottom w:val="single" w:sz="4" w:space="0" w:color="auto"/>
              <w:right w:val="single" w:sz="4" w:space="0" w:color="auto"/>
            </w:tcBorders>
            <w:shd w:val="clear" w:color="auto" w:fill="FFFFFF"/>
            <w:vAlign w:val="center"/>
          </w:tcPr>
          <w:p w14:paraId="104F97D6"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80 544,1</w:t>
            </w:r>
          </w:p>
        </w:tc>
        <w:tc>
          <w:tcPr>
            <w:tcW w:w="508" w:type="pct"/>
            <w:tcBorders>
              <w:top w:val="single" w:sz="4" w:space="0" w:color="auto"/>
              <w:left w:val="single" w:sz="4" w:space="0" w:color="auto"/>
              <w:bottom w:val="single" w:sz="4" w:space="0" w:color="auto"/>
              <w:right w:val="single" w:sz="4" w:space="0" w:color="auto"/>
            </w:tcBorders>
            <w:shd w:val="clear" w:color="auto" w:fill="FFFFFF"/>
            <w:vAlign w:val="center"/>
          </w:tcPr>
          <w:p w14:paraId="5880AB9B"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101,8</w:t>
            </w:r>
          </w:p>
        </w:tc>
        <w:tc>
          <w:tcPr>
            <w:tcW w:w="503" w:type="pct"/>
            <w:tcBorders>
              <w:top w:val="single" w:sz="4" w:space="0" w:color="auto"/>
              <w:left w:val="single" w:sz="4" w:space="0" w:color="auto"/>
              <w:bottom w:val="single" w:sz="4" w:space="0" w:color="auto"/>
              <w:right w:val="single" w:sz="4" w:space="0" w:color="auto"/>
            </w:tcBorders>
            <w:shd w:val="clear" w:color="auto" w:fill="FFFFFF"/>
            <w:vAlign w:val="center"/>
          </w:tcPr>
          <w:p w14:paraId="5B44425B"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113,4</w:t>
            </w:r>
          </w:p>
        </w:tc>
        <w:tc>
          <w:tcPr>
            <w:tcW w:w="450" w:type="pct"/>
            <w:tcBorders>
              <w:top w:val="single" w:sz="4" w:space="0" w:color="auto"/>
              <w:left w:val="single" w:sz="4" w:space="0" w:color="auto"/>
              <w:bottom w:val="single" w:sz="4" w:space="0" w:color="auto"/>
              <w:right w:val="single" w:sz="4" w:space="0" w:color="auto"/>
            </w:tcBorders>
            <w:shd w:val="clear" w:color="auto" w:fill="FFFFFF"/>
            <w:vAlign w:val="center"/>
          </w:tcPr>
          <w:p w14:paraId="64B29039"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105,9</w:t>
            </w:r>
          </w:p>
        </w:tc>
        <w:tc>
          <w:tcPr>
            <w:tcW w:w="696" w:type="pct"/>
            <w:tcBorders>
              <w:top w:val="single" w:sz="4" w:space="0" w:color="auto"/>
              <w:left w:val="single" w:sz="4" w:space="0" w:color="auto"/>
              <w:bottom w:val="single" w:sz="4" w:space="0" w:color="auto"/>
              <w:right w:val="single" w:sz="4" w:space="0" w:color="auto"/>
            </w:tcBorders>
            <w:shd w:val="clear" w:color="auto" w:fill="FFFFFF"/>
            <w:vAlign w:val="center"/>
          </w:tcPr>
          <w:p w14:paraId="3153BB84"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97,8</w:t>
            </w:r>
          </w:p>
        </w:tc>
      </w:tr>
      <w:tr w:rsidR="0047261E" w:rsidRPr="0047261E" w14:paraId="3CCA1FA7" w14:textId="77777777" w:rsidTr="00F6527F">
        <w:trPr>
          <w:trHeight w:hRule="exact" w:val="556"/>
        </w:trPr>
        <w:tc>
          <w:tcPr>
            <w:tcW w:w="1824" w:type="pct"/>
            <w:tcBorders>
              <w:top w:val="single" w:sz="4" w:space="0" w:color="auto"/>
              <w:left w:val="single" w:sz="4" w:space="0" w:color="auto"/>
            </w:tcBorders>
            <w:shd w:val="clear" w:color="auto" w:fill="FFFFFF"/>
          </w:tcPr>
          <w:p w14:paraId="5CE122A0"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Внешнеторговый оборот, млн. долл США</w:t>
            </w:r>
            <w:r w:rsidRPr="0047261E">
              <w:rPr>
                <w:rFonts w:eastAsia="Times New Roman" w:cs="Times New Roman"/>
                <w:kern w:val="3"/>
                <w:szCs w:val="24"/>
                <w:vertAlign w:val="superscript"/>
                <w:lang w:eastAsia="ru-RU" w:bidi="hi-IN"/>
              </w:rPr>
              <w:footnoteReference w:id="12"/>
            </w:r>
          </w:p>
        </w:tc>
        <w:tc>
          <w:tcPr>
            <w:tcW w:w="508" w:type="pct"/>
            <w:tcBorders>
              <w:top w:val="single" w:sz="4" w:space="0" w:color="auto"/>
              <w:left w:val="single" w:sz="4" w:space="0" w:color="auto"/>
            </w:tcBorders>
            <w:shd w:val="clear" w:color="auto" w:fill="FFFFFF"/>
            <w:vAlign w:val="center"/>
          </w:tcPr>
          <w:p w14:paraId="43FA4557"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3 869,1</w:t>
            </w:r>
          </w:p>
        </w:tc>
        <w:tc>
          <w:tcPr>
            <w:tcW w:w="510" w:type="pct"/>
            <w:tcBorders>
              <w:top w:val="single" w:sz="4" w:space="0" w:color="auto"/>
              <w:left w:val="single" w:sz="4" w:space="0" w:color="auto"/>
            </w:tcBorders>
            <w:shd w:val="clear" w:color="auto" w:fill="FFFFFF"/>
            <w:vAlign w:val="center"/>
          </w:tcPr>
          <w:p w14:paraId="7343060D"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3 833,3</w:t>
            </w:r>
          </w:p>
        </w:tc>
        <w:tc>
          <w:tcPr>
            <w:tcW w:w="508" w:type="pct"/>
            <w:tcBorders>
              <w:top w:val="single" w:sz="4" w:space="0" w:color="auto"/>
              <w:left w:val="single" w:sz="4" w:space="0" w:color="auto"/>
            </w:tcBorders>
            <w:shd w:val="clear" w:color="auto" w:fill="FFFFFF"/>
            <w:vAlign w:val="center"/>
          </w:tcPr>
          <w:p w14:paraId="6D4C0CB1"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100,9</w:t>
            </w:r>
          </w:p>
        </w:tc>
        <w:tc>
          <w:tcPr>
            <w:tcW w:w="503" w:type="pct"/>
            <w:tcBorders>
              <w:top w:val="single" w:sz="4" w:space="0" w:color="auto"/>
              <w:left w:val="single" w:sz="4" w:space="0" w:color="auto"/>
            </w:tcBorders>
            <w:shd w:val="clear" w:color="auto" w:fill="FFFFFF"/>
          </w:tcPr>
          <w:p w14:paraId="198FD8C4"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Cs w:val="24"/>
                <w:lang w:eastAsia="ru-RU" w:bidi="hi-IN"/>
              </w:rPr>
            </w:pPr>
          </w:p>
        </w:tc>
        <w:tc>
          <w:tcPr>
            <w:tcW w:w="450" w:type="pct"/>
            <w:tcBorders>
              <w:top w:val="single" w:sz="4" w:space="0" w:color="auto"/>
              <w:left w:val="single" w:sz="4" w:space="0" w:color="auto"/>
            </w:tcBorders>
            <w:shd w:val="clear" w:color="auto" w:fill="FFFFFF"/>
          </w:tcPr>
          <w:p w14:paraId="3E7B916C"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Cs w:val="24"/>
                <w:lang w:eastAsia="ru-RU" w:bidi="hi-IN"/>
              </w:rPr>
            </w:pPr>
          </w:p>
        </w:tc>
        <w:tc>
          <w:tcPr>
            <w:tcW w:w="696" w:type="pct"/>
            <w:tcBorders>
              <w:top w:val="single" w:sz="4" w:space="0" w:color="auto"/>
              <w:left w:val="single" w:sz="4" w:space="0" w:color="auto"/>
              <w:right w:val="single" w:sz="4" w:space="0" w:color="auto"/>
            </w:tcBorders>
            <w:shd w:val="clear" w:color="auto" w:fill="FFFFFF"/>
            <w:vAlign w:val="center"/>
          </w:tcPr>
          <w:p w14:paraId="2586BB3F"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107,5</w:t>
            </w:r>
          </w:p>
        </w:tc>
      </w:tr>
      <w:tr w:rsidR="0047261E" w:rsidRPr="0047261E" w14:paraId="434FA0C2" w14:textId="77777777" w:rsidTr="0047261E">
        <w:trPr>
          <w:trHeight w:hRule="exact" w:val="336"/>
        </w:trPr>
        <w:tc>
          <w:tcPr>
            <w:tcW w:w="1824" w:type="pct"/>
            <w:tcBorders>
              <w:top w:val="single" w:sz="4" w:space="0" w:color="auto"/>
              <w:left w:val="single" w:sz="4" w:space="0" w:color="auto"/>
            </w:tcBorders>
            <w:shd w:val="clear" w:color="auto" w:fill="FFFFFF"/>
            <w:vAlign w:val="bottom"/>
          </w:tcPr>
          <w:p w14:paraId="312D1340"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экспорт товаров</w:t>
            </w:r>
          </w:p>
        </w:tc>
        <w:tc>
          <w:tcPr>
            <w:tcW w:w="508" w:type="pct"/>
            <w:tcBorders>
              <w:top w:val="single" w:sz="4" w:space="0" w:color="auto"/>
              <w:left w:val="single" w:sz="4" w:space="0" w:color="auto"/>
            </w:tcBorders>
            <w:shd w:val="clear" w:color="auto" w:fill="FFFFFF"/>
            <w:vAlign w:val="bottom"/>
          </w:tcPr>
          <w:p w14:paraId="29483FF7"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3 675,1</w:t>
            </w:r>
          </w:p>
        </w:tc>
        <w:tc>
          <w:tcPr>
            <w:tcW w:w="510" w:type="pct"/>
            <w:tcBorders>
              <w:top w:val="single" w:sz="4" w:space="0" w:color="auto"/>
              <w:left w:val="single" w:sz="4" w:space="0" w:color="auto"/>
            </w:tcBorders>
            <w:shd w:val="clear" w:color="auto" w:fill="FFFFFF"/>
            <w:vAlign w:val="bottom"/>
          </w:tcPr>
          <w:p w14:paraId="53CAA5AB"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3 760,1</w:t>
            </w:r>
          </w:p>
        </w:tc>
        <w:tc>
          <w:tcPr>
            <w:tcW w:w="508" w:type="pct"/>
            <w:tcBorders>
              <w:top w:val="single" w:sz="4" w:space="0" w:color="auto"/>
              <w:left w:val="single" w:sz="4" w:space="0" w:color="auto"/>
            </w:tcBorders>
            <w:shd w:val="clear" w:color="auto" w:fill="FFFFFF"/>
            <w:vAlign w:val="bottom"/>
          </w:tcPr>
          <w:p w14:paraId="20428124"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97,8</w:t>
            </w:r>
          </w:p>
        </w:tc>
        <w:tc>
          <w:tcPr>
            <w:tcW w:w="503" w:type="pct"/>
            <w:tcBorders>
              <w:top w:val="single" w:sz="4" w:space="0" w:color="auto"/>
              <w:left w:val="single" w:sz="4" w:space="0" w:color="auto"/>
            </w:tcBorders>
            <w:shd w:val="clear" w:color="auto" w:fill="FFFFFF"/>
          </w:tcPr>
          <w:p w14:paraId="32610AC2"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Cs w:val="24"/>
                <w:lang w:eastAsia="ru-RU" w:bidi="hi-IN"/>
              </w:rPr>
            </w:pPr>
          </w:p>
        </w:tc>
        <w:tc>
          <w:tcPr>
            <w:tcW w:w="450" w:type="pct"/>
            <w:tcBorders>
              <w:top w:val="single" w:sz="4" w:space="0" w:color="auto"/>
              <w:left w:val="single" w:sz="4" w:space="0" w:color="auto"/>
            </w:tcBorders>
            <w:shd w:val="clear" w:color="auto" w:fill="FFFFFF"/>
          </w:tcPr>
          <w:p w14:paraId="4FE695A8"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Cs w:val="24"/>
                <w:lang w:eastAsia="ru-RU" w:bidi="hi-IN"/>
              </w:rPr>
            </w:pPr>
          </w:p>
        </w:tc>
        <w:tc>
          <w:tcPr>
            <w:tcW w:w="696" w:type="pct"/>
            <w:tcBorders>
              <w:top w:val="single" w:sz="4" w:space="0" w:color="auto"/>
              <w:left w:val="single" w:sz="4" w:space="0" w:color="auto"/>
              <w:right w:val="single" w:sz="4" w:space="0" w:color="auto"/>
            </w:tcBorders>
            <w:shd w:val="clear" w:color="auto" w:fill="FFFFFF"/>
            <w:vAlign w:val="bottom"/>
          </w:tcPr>
          <w:p w14:paraId="5C083E6C"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107,5</w:t>
            </w:r>
          </w:p>
        </w:tc>
      </w:tr>
      <w:tr w:rsidR="0047261E" w:rsidRPr="0047261E" w14:paraId="640D7F88" w14:textId="77777777" w:rsidTr="0047261E">
        <w:trPr>
          <w:trHeight w:hRule="exact" w:val="341"/>
        </w:trPr>
        <w:tc>
          <w:tcPr>
            <w:tcW w:w="1824" w:type="pct"/>
            <w:tcBorders>
              <w:top w:val="single" w:sz="4" w:space="0" w:color="auto"/>
              <w:left w:val="single" w:sz="4" w:space="0" w:color="auto"/>
            </w:tcBorders>
            <w:shd w:val="clear" w:color="auto" w:fill="FFFFFF"/>
            <w:vAlign w:val="bottom"/>
          </w:tcPr>
          <w:p w14:paraId="60D6FF0D"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импорт товаров</w:t>
            </w:r>
          </w:p>
        </w:tc>
        <w:tc>
          <w:tcPr>
            <w:tcW w:w="508" w:type="pct"/>
            <w:tcBorders>
              <w:top w:val="single" w:sz="4" w:space="0" w:color="auto"/>
              <w:left w:val="single" w:sz="4" w:space="0" w:color="auto"/>
            </w:tcBorders>
            <w:shd w:val="clear" w:color="auto" w:fill="FFFFFF"/>
            <w:vAlign w:val="bottom"/>
          </w:tcPr>
          <w:p w14:paraId="330387FD"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193,4</w:t>
            </w:r>
          </w:p>
        </w:tc>
        <w:tc>
          <w:tcPr>
            <w:tcW w:w="510" w:type="pct"/>
            <w:tcBorders>
              <w:top w:val="single" w:sz="4" w:space="0" w:color="auto"/>
              <w:left w:val="single" w:sz="4" w:space="0" w:color="auto"/>
            </w:tcBorders>
            <w:shd w:val="clear" w:color="auto" w:fill="FFFFFF"/>
            <w:vAlign w:val="bottom"/>
          </w:tcPr>
          <w:p w14:paraId="2984CED3"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73,2</w:t>
            </w:r>
          </w:p>
        </w:tc>
        <w:tc>
          <w:tcPr>
            <w:tcW w:w="508" w:type="pct"/>
            <w:tcBorders>
              <w:top w:val="single" w:sz="4" w:space="0" w:color="auto"/>
              <w:left w:val="single" w:sz="4" w:space="0" w:color="auto"/>
            </w:tcBorders>
            <w:shd w:val="clear" w:color="auto" w:fill="FFFFFF"/>
            <w:vAlign w:val="bottom"/>
          </w:tcPr>
          <w:p w14:paraId="66FF4D4A"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2,6р.</w:t>
            </w:r>
          </w:p>
        </w:tc>
        <w:tc>
          <w:tcPr>
            <w:tcW w:w="503" w:type="pct"/>
            <w:tcBorders>
              <w:top w:val="single" w:sz="4" w:space="0" w:color="auto"/>
              <w:left w:val="single" w:sz="4" w:space="0" w:color="auto"/>
            </w:tcBorders>
            <w:shd w:val="clear" w:color="auto" w:fill="FFFFFF"/>
          </w:tcPr>
          <w:p w14:paraId="6B450B83"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Cs w:val="24"/>
                <w:lang w:eastAsia="ru-RU" w:bidi="hi-IN"/>
              </w:rPr>
            </w:pPr>
          </w:p>
        </w:tc>
        <w:tc>
          <w:tcPr>
            <w:tcW w:w="450" w:type="pct"/>
            <w:tcBorders>
              <w:top w:val="single" w:sz="4" w:space="0" w:color="auto"/>
              <w:left w:val="single" w:sz="4" w:space="0" w:color="auto"/>
            </w:tcBorders>
            <w:shd w:val="clear" w:color="auto" w:fill="FFFFFF"/>
          </w:tcPr>
          <w:p w14:paraId="52D7958D"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Cs w:val="24"/>
                <w:lang w:eastAsia="ru-RU" w:bidi="hi-IN"/>
              </w:rPr>
            </w:pPr>
          </w:p>
        </w:tc>
        <w:tc>
          <w:tcPr>
            <w:tcW w:w="696" w:type="pct"/>
            <w:tcBorders>
              <w:top w:val="single" w:sz="4" w:space="0" w:color="auto"/>
              <w:left w:val="single" w:sz="4" w:space="0" w:color="auto"/>
              <w:right w:val="single" w:sz="4" w:space="0" w:color="auto"/>
            </w:tcBorders>
            <w:shd w:val="clear" w:color="auto" w:fill="FFFFFF"/>
            <w:vAlign w:val="bottom"/>
          </w:tcPr>
          <w:p w14:paraId="339130E5"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110,5</w:t>
            </w:r>
          </w:p>
        </w:tc>
      </w:tr>
      <w:tr w:rsidR="0047261E" w:rsidRPr="0047261E" w14:paraId="4518644D" w14:textId="77777777" w:rsidTr="0047261E">
        <w:trPr>
          <w:trHeight w:hRule="exact" w:val="602"/>
        </w:trPr>
        <w:tc>
          <w:tcPr>
            <w:tcW w:w="1824" w:type="pct"/>
            <w:tcBorders>
              <w:top w:val="single" w:sz="4" w:space="0" w:color="auto"/>
              <w:left w:val="single" w:sz="4" w:space="0" w:color="auto"/>
            </w:tcBorders>
            <w:shd w:val="clear" w:color="auto" w:fill="FFFFFF"/>
            <w:vAlign w:val="bottom"/>
          </w:tcPr>
          <w:p w14:paraId="74E2630A"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 xml:space="preserve">Инвестиции в основной капитал, млн. рублей </w:t>
            </w:r>
            <w:r w:rsidRPr="0047261E">
              <w:rPr>
                <w:rFonts w:eastAsia="Times New Roman" w:cs="Times New Roman"/>
                <w:kern w:val="3"/>
                <w:sz w:val="28"/>
                <w:szCs w:val="24"/>
                <w:vertAlign w:val="superscript"/>
                <w:lang w:eastAsia="ru-RU" w:bidi="hi-IN"/>
              </w:rPr>
              <w:t>Х)</w:t>
            </w:r>
            <w:r w:rsidRPr="0047261E">
              <w:rPr>
                <w:rFonts w:eastAsia="Times New Roman" w:cs="Times New Roman"/>
                <w:kern w:val="3"/>
                <w:sz w:val="28"/>
                <w:szCs w:val="24"/>
                <w:vertAlign w:val="superscript"/>
                <w:lang w:eastAsia="ru-RU" w:bidi="hi-IN"/>
              </w:rPr>
              <w:footnoteReference w:id="13"/>
            </w:r>
          </w:p>
        </w:tc>
        <w:tc>
          <w:tcPr>
            <w:tcW w:w="508" w:type="pct"/>
            <w:tcBorders>
              <w:top w:val="single" w:sz="4" w:space="0" w:color="auto"/>
              <w:left w:val="single" w:sz="4" w:space="0" w:color="auto"/>
            </w:tcBorders>
            <w:shd w:val="clear" w:color="auto" w:fill="FFFFFF"/>
            <w:vAlign w:val="center"/>
          </w:tcPr>
          <w:p w14:paraId="2BFE6049"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410 677,9</w:t>
            </w:r>
          </w:p>
        </w:tc>
        <w:tc>
          <w:tcPr>
            <w:tcW w:w="510" w:type="pct"/>
            <w:tcBorders>
              <w:top w:val="single" w:sz="4" w:space="0" w:color="auto"/>
              <w:left w:val="single" w:sz="4" w:space="0" w:color="auto"/>
            </w:tcBorders>
            <w:shd w:val="clear" w:color="auto" w:fill="FFFFFF"/>
            <w:vAlign w:val="center"/>
          </w:tcPr>
          <w:p w14:paraId="58C0887D"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3 8 6 7 90,0</w:t>
            </w:r>
            <w:r w:rsidRPr="0047261E">
              <w:rPr>
                <w:rFonts w:eastAsia="Times New Roman" w:cs="Times New Roman"/>
                <w:kern w:val="3"/>
                <w:szCs w:val="24"/>
                <w:vertAlign w:val="superscript"/>
                <w:lang w:eastAsia="ru-RU" w:bidi="hi-IN"/>
              </w:rPr>
              <w:footnoteReference w:id="14"/>
            </w:r>
          </w:p>
        </w:tc>
        <w:tc>
          <w:tcPr>
            <w:tcW w:w="508" w:type="pct"/>
            <w:tcBorders>
              <w:top w:val="single" w:sz="4" w:space="0" w:color="auto"/>
              <w:left w:val="single" w:sz="4" w:space="0" w:color="auto"/>
            </w:tcBorders>
            <w:shd w:val="clear" w:color="auto" w:fill="FFFFFF"/>
            <w:vAlign w:val="center"/>
          </w:tcPr>
          <w:p w14:paraId="6D41178C"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104,1</w:t>
            </w:r>
          </w:p>
        </w:tc>
        <w:tc>
          <w:tcPr>
            <w:tcW w:w="503" w:type="pct"/>
            <w:tcBorders>
              <w:top w:val="single" w:sz="4" w:space="0" w:color="auto"/>
              <w:left w:val="single" w:sz="4" w:space="0" w:color="auto"/>
            </w:tcBorders>
            <w:shd w:val="clear" w:color="auto" w:fill="FFFFFF"/>
            <w:vAlign w:val="center"/>
          </w:tcPr>
          <w:p w14:paraId="75314487"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97,1</w:t>
            </w:r>
          </w:p>
        </w:tc>
        <w:tc>
          <w:tcPr>
            <w:tcW w:w="450" w:type="pct"/>
            <w:tcBorders>
              <w:top w:val="single" w:sz="4" w:space="0" w:color="auto"/>
              <w:left w:val="single" w:sz="4" w:space="0" w:color="auto"/>
            </w:tcBorders>
            <w:shd w:val="clear" w:color="auto" w:fill="FFFFFF"/>
            <w:vAlign w:val="center"/>
          </w:tcPr>
          <w:p w14:paraId="7E1ED3D1"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2,5р.</w:t>
            </w:r>
          </w:p>
        </w:tc>
        <w:tc>
          <w:tcPr>
            <w:tcW w:w="696" w:type="pct"/>
            <w:tcBorders>
              <w:top w:val="single" w:sz="4" w:space="0" w:color="auto"/>
              <w:left w:val="single" w:sz="4" w:space="0" w:color="auto"/>
              <w:right w:val="single" w:sz="4" w:space="0" w:color="auto"/>
            </w:tcBorders>
            <w:shd w:val="clear" w:color="auto" w:fill="FFFFFF"/>
            <w:vAlign w:val="center"/>
          </w:tcPr>
          <w:p w14:paraId="7FB104F7"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136,0</w:t>
            </w:r>
          </w:p>
        </w:tc>
      </w:tr>
      <w:tr w:rsidR="0047261E" w:rsidRPr="0047261E" w14:paraId="69E3E2A5" w14:textId="77777777" w:rsidTr="0047261E">
        <w:trPr>
          <w:trHeight w:hRule="exact" w:val="568"/>
        </w:trPr>
        <w:tc>
          <w:tcPr>
            <w:tcW w:w="1824" w:type="pct"/>
            <w:tcBorders>
              <w:top w:val="single" w:sz="4" w:space="0" w:color="auto"/>
              <w:left w:val="single" w:sz="4" w:space="0" w:color="auto"/>
            </w:tcBorders>
            <w:shd w:val="clear" w:color="auto" w:fill="FFFFFF"/>
            <w:vAlign w:val="bottom"/>
          </w:tcPr>
          <w:p w14:paraId="53CCBF74"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Индекс потребительских цен на товары и услуги</w:t>
            </w:r>
          </w:p>
        </w:tc>
        <w:tc>
          <w:tcPr>
            <w:tcW w:w="508" w:type="pct"/>
            <w:tcBorders>
              <w:top w:val="single" w:sz="4" w:space="0" w:color="auto"/>
              <w:left w:val="single" w:sz="4" w:space="0" w:color="auto"/>
            </w:tcBorders>
            <w:shd w:val="clear" w:color="auto" w:fill="FFFFFF"/>
            <w:vAlign w:val="center"/>
          </w:tcPr>
          <w:p w14:paraId="70D9AB0A"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х</w:t>
            </w:r>
          </w:p>
        </w:tc>
        <w:tc>
          <w:tcPr>
            <w:tcW w:w="510" w:type="pct"/>
            <w:tcBorders>
              <w:top w:val="single" w:sz="4" w:space="0" w:color="auto"/>
              <w:left w:val="single" w:sz="4" w:space="0" w:color="auto"/>
            </w:tcBorders>
            <w:shd w:val="clear" w:color="auto" w:fill="FFFFFF"/>
            <w:vAlign w:val="center"/>
          </w:tcPr>
          <w:p w14:paraId="6983A008"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х</w:t>
            </w:r>
          </w:p>
        </w:tc>
        <w:tc>
          <w:tcPr>
            <w:tcW w:w="508" w:type="pct"/>
            <w:tcBorders>
              <w:top w:val="single" w:sz="4" w:space="0" w:color="auto"/>
              <w:left w:val="single" w:sz="4" w:space="0" w:color="auto"/>
            </w:tcBorders>
            <w:shd w:val="clear" w:color="auto" w:fill="FFFFFF"/>
            <w:vAlign w:val="center"/>
          </w:tcPr>
          <w:p w14:paraId="799F476B"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102,9</w:t>
            </w:r>
          </w:p>
        </w:tc>
        <w:tc>
          <w:tcPr>
            <w:tcW w:w="503" w:type="pct"/>
            <w:tcBorders>
              <w:top w:val="single" w:sz="4" w:space="0" w:color="auto"/>
              <w:left w:val="single" w:sz="4" w:space="0" w:color="auto"/>
            </w:tcBorders>
            <w:shd w:val="clear" w:color="auto" w:fill="FFFFFF"/>
            <w:vAlign w:val="center"/>
          </w:tcPr>
          <w:p w14:paraId="6E83BF04"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102,7</w:t>
            </w:r>
          </w:p>
        </w:tc>
        <w:tc>
          <w:tcPr>
            <w:tcW w:w="450" w:type="pct"/>
            <w:tcBorders>
              <w:top w:val="single" w:sz="4" w:space="0" w:color="auto"/>
              <w:left w:val="single" w:sz="4" w:space="0" w:color="auto"/>
            </w:tcBorders>
            <w:shd w:val="clear" w:color="auto" w:fill="FFFFFF"/>
            <w:vAlign w:val="center"/>
          </w:tcPr>
          <w:p w14:paraId="4F43F310"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100,6</w:t>
            </w:r>
          </w:p>
        </w:tc>
        <w:tc>
          <w:tcPr>
            <w:tcW w:w="696" w:type="pct"/>
            <w:tcBorders>
              <w:top w:val="single" w:sz="4" w:space="0" w:color="auto"/>
              <w:left w:val="single" w:sz="4" w:space="0" w:color="auto"/>
              <w:right w:val="single" w:sz="4" w:space="0" w:color="auto"/>
            </w:tcBorders>
            <w:shd w:val="clear" w:color="auto" w:fill="FFFFFF"/>
            <w:vAlign w:val="center"/>
          </w:tcPr>
          <w:p w14:paraId="7CD09B54"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105,1</w:t>
            </w:r>
          </w:p>
        </w:tc>
      </w:tr>
      <w:tr w:rsidR="0047261E" w:rsidRPr="0047261E" w14:paraId="24680948" w14:textId="77777777" w:rsidTr="0047261E">
        <w:trPr>
          <w:trHeight w:hRule="exact" w:val="562"/>
        </w:trPr>
        <w:tc>
          <w:tcPr>
            <w:tcW w:w="1824" w:type="pct"/>
            <w:tcBorders>
              <w:top w:val="single" w:sz="4" w:space="0" w:color="auto"/>
              <w:left w:val="single" w:sz="4" w:space="0" w:color="auto"/>
            </w:tcBorders>
            <w:shd w:val="clear" w:color="auto" w:fill="FFFFFF"/>
            <w:vAlign w:val="bottom"/>
          </w:tcPr>
          <w:p w14:paraId="667ABAF7"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Реальные располагаемые денежные доходы населения</w:t>
            </w:r>
          </w:p>
        </w:tc>
        <w:tc>
          <w:tcPr>
            <w:tcW w:w="508" w:type="pct"/>
            <w:tcBorders>
              <w:top w:val="single" w:sz="4" w:space="0" w:color="auto"/>
              <w:left w:val="single" w:sz="4" w:space="0" w:color="auto"/>
            </w:tcBorders>
            <w:shd w:val="clear" w:color="auto" w:fill="FFFFFF"/>
            <w:vAlign w:val="center"/>
          </w:tcPr>
          <w:p w14:paraId="0D638C92"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х</w:t>
            </w:r>
          </w:p>
        </w:tc>
        <w:tc>
          <w:tcPr>
            <w:tcW w:w="510" w:type="pct"/>
            <w:tcBorders>
              <w:top w:val="single" w:sz="4" w:space="0" w:color="auto"/>
              <w:left w:val="single" w:sz="4" w:space="0" w:color="auto"/>
            </w:tcBorders>
            <w:shd w:val="clear" w:color="auto" w:fill="FFFFFF"/>
            <w:vAlign w:val="center"/>
          </w:tcPr>
          <w:p w14:paraId="3F1473AA"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х</w:t>
            </w:r>
          </w:p>
        </w:tc>
        <w:tc>
          <w:tcPr>
            <w:tcW w:w="508" w:type="pct"/>
            <w:tcBorders>
              <w:top w:val="single" w:sz="4" w:space="0" w:color="auto"/>
              <w:left w:val="single" w:sz="4" w:space="0" w:color="auto"/>
            </w:tcBorders>
            <w:shd w:val="clear" w:color="auto" w:fill="FFFFFF"/>
            <w:vAlign w:val="center"/>
          </w:tcPr>
          <w:p w14:paraId="0EA60432"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105,6</w:t>
            </w:r>
          </w:p>
        </w:tc>
        <w:tc>
          <w:tcPr>
            <w:tcW w:w="503" w:type="pct"/>
            <w:tcBorders>
              <w:top w:val="single" w:sz="4" w:space="0" w:color="auto"/>
              <w:left w:val="single" w:sz="4" w:space="0" w:color="auto"/>
            </w:tcBorders>
            <w:shd w:val="clear" w:color="auto" w:fill="FFFFFF"/>
            <w:vAlign w:val="center"/>
          </w:tcPr>
          <w:p w14:paraId="11FBB7ED"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106,5</w:t>
            </w:r>
          </w:p>
        </w:tc>
        <w:tc>
          <w:tcPr>
            <w:tcW w:w="450" w:type="pct"/>
            <w:tcBorders>
              <w:top w:val="single" w:sz="4" w:space="0" w:color="auto"/>
              <w:left w:val="single" w:sz="4" w:space="0" w:color="auto"/>
            </w:tcBorders>
            <w:shd w:val="clear" w:color="auto" w:fill="FFFFFF"/>
            <w:vAlign w:val="center"/>
          </w:tcPr>
          <w:p w14:paraId="00CBB6B3"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95,1</w:t>
            </w:r>
          </w:p>
        </w:tc>
        <w:tc>
          <w:tcPr>
            <w:tcW w:w="696" w:type="pct"/>
            <w:tcBorders>
              <w:top w:val="single" w:sz="4" w:space="0" w:color="auto"/>
              <w:left w:val="single" w:sz="4" w:space="0" w:color="auto"/>
              <w:right w:val="single" w:sz="4" w:space="0" w:color="auto"/>
            </w:tcBorders>
            <w:shd w:val="clear" w:color="auto" w:fill="FFFFFF"/>
            <w:vAlign w:val="center"/>
          </w:tcPr>
          <w:p w14:paraId="222C9BF7"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97,4</w:t>
            </w:r>
          </w:p>
        </w:tc>
      </w:tr>
      <w:tr w:rsidR="0047261E" w:rsidRPr="0047261E" w14:paraId="30B71F95" w14:textId="77777777" w:rsidTr="0047261E">
        <w:trPr>
          <w:trHeight w:hRule="exact" w:val="868"/>
        </w:trPr>
        <w:tc>
          <w:tcPr>
            <w:tcW w:w="1824" w:type="pct"/>
            <w:tcBorders>
              <w:top w:val="single" w:sz="4" w:space="0" w:color="auto"/>
              <w:left w:val="single" w:sz="4" w:space="0" w:color="auto"/>
            </w:tcBorders>
            <w:shd w:val="clear" w:color="auto" w:fill="FFFFFF"/>
            <w:vAlign w:val="bottom"/>
          </w:tcPr>
          <w:p w14:paraId="4638D720"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Среднемесячная начисленная заработная плата (с учетом малых предприятий)</w:t>
            </w:r>
            <w:r w:rsidRPr="0047261E">
              <w:rPr>
                <w:rFonts w:eastAsia="Times New Roman" w:cs="Times New Roman"/>
                <w:kern w:val="3"/>
                <w:szCs w:val="24"/>
                <w:vertAlign w:val="superscript"/>
                <w:lang w:eastAsia="ru-RU" w:bidi="hi-IN"/>
              </w:rPr>
              <w:footnoteReference w:id="15"/>
            </w:r>
          </w:p>
        </w:tc>
        <w:tc>
          <w:tcPr>
            <w:tcW w:w="508" w:type="pct"/>
            <w:tcBorders>
              <w:top w:val="single" w:sz="4" w:space="0" w:color="auto"/>
              <w:left w:val="single" w:sz="4" w:space="0" w:color="auto"/>
            </w:tcBorders>
            <w:shd w:val="clear" w:color="auto" w:fill="FFFFFF"/>
          </w:tcPr>
          <w:p w14:paraId="0DA1BF28"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Cs w:val="24"/>
                <w:lang w:eastAsia="ru-RU" w:bidi="hi-IN"/>
              </w:rPr>
            </w:pPr>
          </w:p>
        </w:tc>
        <w:tc>
          <w:tcPr>
            <w:tcW w:w="510" w:type="pct"/>
            <w:tcBorders>
              <w:top w:val="single" w:sz="4" w:space="0" w:color="auto"/>
              <w:left w:val="single" w:sz="4" w:space="0" w:color="auto"/>
            </w:tcBorders>
            <w:shd w:val="clear" w:color="auto" w:fill="FFFFFF"/>
          </w:tcPr>
          <w:p w14:paraId="112F1922"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Cs w:val="24"/>
                <w:lang w:eastAsia="ru-RU" w:bidi="hi-IN"/>
              </w:rPr>
            </w:pPr>
          </w:p>
        </w:tc>
        <w:tc>
          <w:tcPr>
            <w:tcW w:w="508" w:type="pct"/>
            <w:tcBorders>
              <w:top w:val="single" w:sz="4" w:space="0" w:color="auto"/>
              <w:left w:val="single" w:sz="4" w:space="0" w:color="auto"/>
            </w:tcBorders>
            <w:shd w:val="clear" w:color="auto" w:fill="FFFFFF"/>
          </w:tcPr>
          <w:p w14:paraId="56E3D849"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Cs w:val="24"/>
                <w:lang w:eastAsia="ru-RU" w:bidi="hi-IN"/>
              </w:rPr>
            </w:pPr>
          </w:p>
        </w:tc>
        <w:tc>
          <w:tcPr>
            <w:tcW w:w="503" w:type="pct"/>
            <w:tcBorders>
              <w:top w:val="single" w:sz="4" w:space="0" w:color="auto"/>
              <w:left w:val="single" w:sz="4" w:space="0" w:color="auto"/>
            </w:tcBorders>
            <w:shd w:val="clear" w:color="auto" w:fill="FFFFFF"/>
          </w:tcPr>
          <w:p w14:paraId="7DED456D"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Cs w:val="24"/>
                <w:lang w:eastAsia="ru-RU" w:bidi="hi-IN"/>
              </w:rPr>
            </w:pPr>
          </w:p>
        </w:tc>
        <w:tc>
          <w:tcPr>
            <w:tcW w:w="450" w:type="pct"/>
            <w:tcBorders>
              <w:top w:val="single" w:sz="4" w:space="0" w:color="auto"/>
              <w:left w:val="single" w:sz="4" w:space="0" w:color="auto"/>
            </w:tcBorders>
            <w:shd w:val="clear" w:color="auto" w:fill="FFFFFF"/>
          </w:tcPr>
          <w:p w14:paraId="128D6FCB"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Cs w:val="24"/>
                <w:lang w:eastAsia="ru-RU" w:bidi="hi-IN"/>
              </w:rPr>
            </w:pPr>
          </w:p>
        </w:tc>
        <w:tc>
          <w:tcPr>
            <w:tcW w:w="696" w:type="pct"/>
            <w:tcBorders>
              <w:top w:val="single" w:sz="4" w:space="0" w:color="auto"/>
              <w:left w:val="single" w:sz="4" w:space="0" w:color="auto"/>
              <w:right w:val="single" w:sz="4" w:space="0" w:color="auto"/>
            </w:tcBorders>
            <w:shd w:val="clear" w:color="auto" w:fill="FFFFFF"/>
          </w:tcPr>
          <w:p w14:paraId="570688B3"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Cs w:val="24"/>
                <w:lang w:eastAsia="ru-RU" w:bidi="hi-IN"/>
              </w:rPr>
            </w:pPr>
          </w:p>
        </w:tc>
      </w:tr>
      <w:tr w:rsidR="0047261E" w:rsidRPr="0047261E" w14:paraId="49DC9121" w14:textId="77777777" w:rsidTr="0047261E">
        <w:trPr>
          <w:trHeight w:hRule="exact" w:val="264"/>
        </w:trPr>
        <w:tc>
          <w:tcPr>
            <w:tcW w:w="1824" w:type="pct"/>
            <w:tcBorders>
              <w:top w:val="single" w:sz="4" w:space="0" w:color="auto"/>
              <w:left w:val="single" w:sz="4" w:space="0" w:color="auto"/>
            </w:tcBorders>
            <w:shd w:val="clear" w:color="auto" w:fill="FFFFFF"/>
            <w:vAlign w:val="bottom"/>
          </w:tcPr>
          <w:p w14:paraId="7C4367D3"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номинальная, рублей</w:t>
            </w:r>
          </w:p>
        </w:tc>
        <w:tc>
          <w:tcPr>
            <w:tcW w:w="508" w:type="pct"/>
            <w:tcBorders>
              <w:top w:val="single" w:sz="4" w:space="0" w:color="auto"/>
              <w:left w:val="single" w:sz="4" w:space="0" w:color="auto"/>
            </w:tcBorders>
            <w:shd w:val="clear" w:color="auto" w:fill="FFFFFF"/>
            <w:vAlign w:val="bottom"/>
          </w:tcPr>
          <w:p w14:paraId="40F2FB8B"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64 875,0</w:t>
            </w:r>
          </w:p>
        </w:tc>
        <w:tc>
          <w:tcPr>
            <w:tcW w:w="510" w:type="pct"/>
            <w:tcBorders>
              <w:top w:val="single" w:sz="4" w:space="0" w:color="auto"/>
              <w:left w:val="single" w:sz="4" w:space="0" w:color="auto"/>
            </w:tcBorders>
            <w:shd w:val="clear" w:color="auto" w:fill="FFFFFF"/>
            <w:vAlign w:val="bottom"/>
          </w:tcPr>
          <w:p w14:paraId="44A8E0EF"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59 093,8</w:t>
            </w:r>
          </w:p>
        </w:tc>
        <w:tc>
          <w:tcPr>
            <w:tcW w:w="508" w:type="pct"/>
            <w:tcBorders>
              <w:top w:val="single" w:sz="4" w:space="0" w:color="auto"/>
              <w:left w:val="single" w:sz="4" w:space="0" w:color="auto"/>
            </w:tcBorders>
            <w:shd w:val="clear" w:color="auto" w:fill="FFFFFF"/>
            <w:vAlign w:val="bottom"/>
          </w:tcPr>
          <w:p w14:paraId="1DC9F7B5"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109,5</w:t>
            </w:r>
          </w:p>
        </w:tc>
        <w:tc>
          <w:tcPr>
            <w:tcW w:w="503" w:type="pct"/>
            <w:tcBorders>
              <w:top w:val="single" w:sz="4" w:space="0" w:color="auto"/>
              <w:left w:val="single" w:sz="4" w:space="0" w:color="auto"/>
            </w:tcBorders>
            <w:shd w:val="clear" w:color="auto" w:fill="FFFFFF"/>
            <w:vAlign w:val="bottom"/>
          </w:tcPr>
          <w:p w14:paraId="6830AE26"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107,5</w:t>
            </w:r>
          </w:p>
        </w:tc>
        <w:tc>
          <w:tcPr>
            <w:tcW w:w="450" w:type="pct"/>
            <w:tcBorders>
              <w:top w:val="single" w:sz="4" w:space="0" w:color="auto"/>
              <w:left w:val="single" w:sz="4" w:space="0" w:color="auto"/>
            </w:tcBorders>
            <w:shd w:val="clear" w:color="auto" w:fill="FFFFFF"/>
            <w:vAlign w:val="bottom"/>
          </w:tcPr>
          <w:p w14:paraId="2E95C804"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101,1</w:t>
            </w:r>
          </w:p>
        </w:tc>
        <w:tc>
          <w:tcPr>
            <w:tcW w:w="696" w:type="pct"/>
            <w:tcBorders>
              <w:top w:val="single" w:sz="4" w:space="0" w:color="auto"/>
              <w:left w:val="single" w:sz="4" w:space="0" w:color="auto"/>
              <w:right w:val="single" w:sz="4" w:space="0" w:color="auto"/>
            </w:tcBorders>
            <w:shd w:val="clear" w:color="auto" w:fill="FFFFFF"/>
            <w:vAlign w:val="bottom"/>
          </w:tcPr>
          <w:p w14:paraId="4326FD9F"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106,0</w:t>
            </w:r>
          </w:p>
        </w:tc>
      </w:tr>
      <w:tr w:rsidR="0047261E" w:rsidRPr="0047261E" w14:paraId="0FE3E41D" w14:textId="77777777" w:rsidTr="0047261E">
        <w:trPr>
          <w:trHeight w:hRule="exact" w:val="259"/>
        </w:trPr>
        <w:tc>
          <w:tcPr>
            <w:tcW w:w="1824" w:type="pct"/>
            <w:tcBorders>
              <w:top w:val="single" w:sz="4" w:space="0" w:color="auto"/>
              <w:left w:val="single" w:sz="4" w:space="0" w:color="auto"/>
            </w:tcBorders>
            <w:shd w:val="clear" w:color="auto" w:fill="FFFFFF"/>
            <w:vAlign w:val="bottom"/>
          </w:tcPr>
          <w:p w14:paraId="2DB88D0F"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реальная</w:t>
            </w:r>
          </w:p>
        </w:tc>
        <w:tc>
          <w:tcPr>
            <w:tcW w:w="508" w:type="pct"/>
            <w:tcBorders>
              <w:top w:val="single" w:sz="4" w:space="0" w:color="auto"/>
              <w:left w:val="single" w:sz="4" w:space="0" w:color="auto"/>
            </w:tcBorders>
            <w:shd w:val="clear" w:color="auto" w:fill="FFFFFF"/>
          </w:tcPr>
          <w:p w14:paraId="1C084BC6"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Cs w:val="24"/>
                <w:lang w:eastAsia="ru-RU" w:bidi="hi-IN"/>
              </w:rPr>
            </w:pPr>
          </w:p>
        </w:tc>
        <w:tc>
          <w:tcPr>
            <w:tcW w:w="510" w:type="pct"/>
            <w:tcBorders>
              <w:top w:val="single" w:sz="4" w:space="0" w:color="auto"/>
              <w:left w:val="single" w:sz="4" w:space="0" w:color="auto"/>
            </w:tcBorders>
            <w:shd w:val="clear" w:color="auto" w:fill="FFFFFF"/>
          </w:tcPr>
          <w:p w14:paraId="054F9DCF"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Cs w:val="24"/>
                <w:lang w:eastAsia="ru-RU" w:bidi="hi-IN"/>
              </w:rPr>
            </w:pPr>
          </w:p>
        </w:tc>
        <w:tc>
          <w:tcPr>
            <w:tcW w:w="508" w:type="pct"/>
            <w:tcBorders>
              <w:top w:val="single" w:sz="4" w:space="0" w:color="auto"/>
              <w:left w:val="single" w:sz="4" w:space="0" w:color="auto"/>
            </w:tcBorders>
            <w:shd w:val="clear" w:color="auto" w:fill="FFFFFF"/>
            <w:vAlign w:val="bottom"/>
          </w:tcPr>
          <w:p w14:paraId="5A65CE7D"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106,3</w:t>
            </w:r>
          </w:p>
        </w:tc>
        <w:tc>
          <w:tcPr>
            <w:tcW w:w="503" w:type="pct"/>
            <w:tcBorders>
              <w:top w:val="single" w:sz="4" w:space="0" w:color="auto"/>
              <w:left w:val="single" w:sz="4" w:space="0" w:color="auto"/>
            </w:tcBorders>
            <w:shd w:val="clear" w:color="auto" w:fill="FFFFFF"/>
            <w:vAlign w:val="bottom"/>
          </w:tcPr>
          <w:p w14:paraId="0EAF6568"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105,1</w:t>
            </w:r>
          </w:p>
        </w:tc>
        <w:tc>
          <w:tcPr>
            <w:tcW w:w="450" w:type="pct"/>
            <w:tcBorders>
              <w:top w:val="single" w:sz="4" w:space="0" w:color="auto"/>
              <w:left w:val="single" w:sz="4" w:space="0" w:color="auto"/>
            </w:tcBorders>
            <w:shd w:val="clear" w:color="auto" w:fill="FFFFFF"/>
            <w:vAlign w:val="bottom"/>
          </w:tcPr>
          <w:p w14:paraId="79D21202"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100,8</w:t>
            </w:r>
          </w:p>
        </w:tc>
        <w:tc>
          <w:tcPr>
            <w:tcW w:w="696" w:type="pct"/>
            <w:tcBorders>
              <w:top w:val="single" w:sz="4" w:space="0" w:color="auto"/>
              <w:left w:val="single" w:sz="4" w:space="0" w:color="auto"/>
              <w:right w:val="single" w:sz="4" w:space="0" w:color="auto"/>
            </w:tcBorders>
            <w:shd w:val="clear" w:color="auto" w:fill="FFFFFF"/>
            <w:vAlign w:val="bottom"/>
          </w:tcPr>
          <w:p w14:paraId="0B09BEA8"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100,8</w:t>
            </w:r>
          </w:p>
        </w:tc>
      </w:tr>
      <w:tr w:rsidR="0047261E" w:rsidRPr="0047261E" w14:paraId="0C71B2A8" w14:textId="77777777" w:rsidTr="0047261E">
        <w:trPr>
          <w:trHeight w:hRule="exact" w:val="620"/>
        </w:trPr>
        <w:tc>
          <w:tcPr>
            <w:tcW w:w="1824" w:type="pct"/>
            <w:tcBorders>
              <w:top w:val="single" w:sz="4" w:space="0" w:color="auto"/>
              <w:left w:val="single" w:sz="4" w:space="0" w:color="auto"/>
            </w:tcBorders>
            <w:shd w:val="clear" w:color="auto" w:fill="FFFFFF"/>
            <w:vAlign w:val="bottom"/>
          </w:tcPr>
          <w:p w14:paraId="34B2DF0A"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Численность пенсионеров, человек</w:t>
            </w:r>
            <w:r w:rsidRPr="0047261E">
              <w:rPr>
                <w:rFonts w:eastAsia="Times New Roman" w:cs="Times New Roman"/>
                <w:kern w:val="3"/>
                <w:szCs w:val="24"/>
                <w:vertAlign w:val="superscript"/>
                <w:lang w:eastAsia="ru-RU" w:bidi="hi-IN"/>
              </w:rPr>
              <w:footnoteReference w:id="16"/>
            </w:r>
          </w:p>
        </w:tc>
        <w:tc>
          <w:tcPr>
            <w:tcW w:w="508" w:type="pct"/>
            <w:tcBorders>
              <w:top w:val="single" w:sz="4" w:space="0" w:color="auto"/>
              <w:left w:val="single" w:sz="4" w:space="0" w:color="auto"/>
            </w:tcBorders>
            <w:shd w:val="clear" w:color="auto" w:fill="FFFFFF"/>
            <w:vAlign w:val="bottom"/>
          </w:tcPr>
          <w:p w14:paraId="4D234671"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275 540</w:t>
            </w:r>
          </w:p>
        </w:tc>
        <w:tc>
          <w:tcPr>
            <w:tcW w:w="510" w:type="pct"/>
            <w:tcBorders>
              <w:top w:val="single" w:sz="4" w:space="0" w:color="auto"/>
              <w:left w:val="single" w:sz="4" w:space="0" w:color="auto"/>
            </w:tcBorders>
            <w:shd w:val="clear" w:color="auto" w:fill="FFFFFF"/>
            <w:vAlign w:val="bottom"/>
          </w:tcPr>
          <w:p w14:paraId="5D5245A6"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272 549</w:t>
            </w:r>
          </w:p>
        </w:tc>
        <w:tc>
          <w:tcPr>
            <w:tcW w:w="508" w:type="pct"/>
            <w:tcBorders>
              <w:top w:val="single" w:sz="4" w:space="0" w:color="auto"/>
              <w:left w:val="single" w:sz="4" w:space="0" w:color="auto"/>
            </w:tcBorders>
            <w:shd w:val="clear" w:color="auto" w:fill="FFFFFF"/>
            <w:vAlign w:val="bottom"/>
          </w:tcPr>
          <w:p w14:paraId="3846E106"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101,1</w:t>
            </w:r>
          </w:p>
        </w:tc>
        <w:tc>
          <w:tcPr>
            <w:tcW w:w="503" w:type="pct"/>
            <w:tcBorders>
              <w:top w:val="single" w:sz="4" w:space="0" w:color="auto"/>
              <w:left w:val="single" w:sz="4" w:space="0" w:color="auto"/>
            </w:tcBorders>
            <w:shd w:val="clear" w:color="auto" w:fill="FFFFFF"/>
          </w:tcPr>
          <w:p w14:paraId="1233765A"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Cs w:val="24"/>
                <w:lang w:eastAsia="ru-RU" w:bidi="hi-IN"/>
              </w:rPr>
            </w:pPr>
          </w:p>
        </w:tc>
        <w:tc>
          <w:tcPr>
            <w:tcW w:w="450" w:type="pct"/>
            <w:tcBorders>
              <w:top w:val="single" w:sz="4" w:space="0" w:color="auto"/>
              <w:left w:val="single" w:sz="4" w:space="0" w:color="auto"/>
            </w:tcBorders>
            <w:shd w:val="clear" w:color="auto" w:fill="FFFFFF"/>
          </w:tcPr>
          <w:p w14:paraId="5B5025FF"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Cs w:val="24"/>
                <w:lang w:eastAsia="ru-RU" w:bidi="hi-IN"/>
              </w:rPr>
            </w:pPr>
          </w:p>
        </w:tc>
        <w:tc>
          <w:tcPr>
            <w:tcW w:w="696" w:type="pct"/>
            <w:tcBorders>
              <w:top w:val="single" w:sz="4" w:space="0" w:color="auto"/>
              <w:left w:val="single" w:sz="4" w:space="0" w:color="auto"/>
              <w:right w:val="single" w:sz="4" w:space="0" w:color="auto"/>
            </w:tcBorders>
            <w:shd w:val="clear" w:color="auto" w:fill="FFFFFF"/>
            <w:vAlign w:val="bottom"/>
          </w:tcPr>
          <w:p w14:paraId="2CCE9688"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100,9</w:t>
            </w:r>
          </w:p>
        </w:tc>
      </w:tr>
      <w:tr w:rsidR="0047261E" w:rsidRPr="0047261E" w14:paraId="0A82540C" w14:textId="77777777" w:rsidTr="0047261E">
        <w:trPr>
          <w:trHeight w:hRule="exact" w:val="571"/>
        </w:trPr>
        <w:tc>
          <w:tcPr>
            <w:tcW w:w="1824" w:type="pct"/>
            <w:tcBorders>
              <w:top w:val="single" w:sz="4" w:space="0" w:color="auto"/>
              <w:left w:val="single" w:sz="4" w:space="0" w:color="auto"/>
            </w:tcBorders>
            <w:shd w:val="clear" w:color="auto" w:fill="FFFFFF"/>
            <w:vAlign w:val="bottom"/>
          </w:tcPr>
          <w:p w14:paraId="00DF82F2"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Средний размер назначенных пенсий, рублей</w:t>
            </w:r>
            <w:r w:rsidRPr="0047261E">
              <w:rPr>
                <w:rFonts w:eastAsia="Times New Roman" w:cs="Times New Roman"/>
                <w:kern w:val="3"/>
                <w:szCs w:val="24"/>
                <w:vertAlign w:val="superscript"/>
                <w:lang w:eastAsia="ru-RU" w:bidi="hi-IN"/>
              </w:rPr>
              <w:footnoteReference w:id="17"/>
            </w:r>
          </w:p>
        </w:tc>
        <w:tc>
          <w:tcPr>
            <w:tcW w:w="508" w:type="pct"/>
            <w:tcBorders>
              <w:top w:val="single" w:sz="4" w:space="0" w:color="auto"/>
              <w:left w:val="single" w:sz="4" w:space="0" w:color="auto"/>
            </w:tcBorders>
            <w:shd w:val="clear" w:color="auto" w:fill="FFFFFF"/>
            <w:vAlign w:val="center"/>
          </w:tcPr>
          <w:p w14:paraId="19AF1BF7"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18 090,6</w:t>
            </w:r>
          </w:p>
        </w:tc>
        <w:tc>
          <w:tcPr>
            <w:tcW w:w="510" w:type="pct"/>
            <w:tcBorders>
              <w:top w:val="single" w:sz="4" w:space="0" w:color="auto"/>
              <w:left w:val="single" w:sz="4" w:space="0" w:color="auto"/>
            </w:tcBorders>
            <w:shd w:val="clear" w:color="auto" w:fill="FFFFFF"/>
            <w:vAlign w:val="center"/>
          </w:tcPr>
          <w:p w14:paraId="6DD07FFC"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17 617,3</w:t>
            </w:r>
          </w:p>
        </w:tc>
        <w:tc>
          <w:tcPr>
            <w:tcW w:w="508" w:type="pct"/>
            <w:tcBorders>
              <w:top w:val="single" w:sz="4" w:space="0" w:color="auto"/>
              <w:left w:val="single" w:sz="4" w:space="0" w:color="auto"/>
            </w:tcBorders>
            <w:shd w:val="clear" w:color="auto" w:fill="FFFFFF"/>
            <w:vAlign w:val="center"/>
          </w:tcPr>
          <w:p w14:paraId="72CAE729"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102,7</w:t>
            </w:r>
          </w:p>
        </w:tc>
        <w:tc>
          <w:tcPr>
            <w:tcW w:w="503" w:type="pct"/>
            <w:tcBorders>
              <w:top w:val="single" w:sz="4" w:space="0" w:color="auto"/>
              <w:left w:val="single" w:sz="4" w:space="0" w:color="auto"/>
            </w:tcBorders>
            <w:shd w:val="clear" w:color="auto" w:fill="FFFFFF"/>
          </w:tcPr>
          <w:p w14:paraId="6D12F4D2"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Cs w:val="24"/>
                <w:lang w:eastAsia="ru-RU" w:bidi="hi-IN"/>
              </w:rPr>
            </w:pPr>
          </w:p>
        </w:tc>
        <w:tc>
          <w:tcPr>
            <w:tcW w:w="450" w:type="pct"/>
            <w:tcBorders>
              <w:top w:val="single" w:sz="4" w:space="0" w:color="auto"/>
              <w:left w:val="single" w:sz="4" w:space="0" w:color="auto"/>
            </w:tcBorders>
            <w:shd w:val="clear" w:color="auto" w:fill="FFFFFF"/>
          </w:tcPr>
          <w:p w14:paraId="0B470FE8"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Cs w:val="24"/>
                <w:lang w:eastAsia="ru-RU" w:bidi="hi-IN"/>
              </w:rPr>
            </w:pPr>
          </w:p>
        </w:tc>
        <w:tc>
          <w:tcPr>
            <w:tcW w:w="696" w:type="pct"/>
            <w:tcBorders>
              <w:top w:val="single" w:sz="4" w:space="0" w:color="auto"/>
              <w:left w:val="single" w:sz="4" w:space="0" w:color="auto"/>
              <w:right w:val="single" w:sz="4" w:space="0" w:color="auto"/>
            </w:tcBorders>
            <w:shd w:val="clear" w:color="auto" w:fill="FFFFFF"/>
            <w:vAlign w:val="center"/>
          </w:tcPr>
          <w:p w14:paraId="4039F53F"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103,4</w:t>
            </w:r>
          </w:p>
        </w:tc>
      </w:tr>
      <w:tr w:rsidR="0047261E" w:rsidRPr="0047261E" w14:paraId="63D2F808" w14:textId="77777777" w:rsidTr="0047261E">
        <w:trPr>
          <w:trHeight w:hRule="exact" w:val="565"/>
        </w:trPr>
        <w:tc>
          <w:tcPr>
            <w:tcW w:w="1824" w:type="pct"/>
            <w:tcBorders>
              <w:top w:val="single" w:sz="4" w:space="0" w:color="auto"/>
              <w:left w:val="single" w:sz="4" w:space="0" w:color="auto"/>
            </w:tcBorders>
            <w:shd w:val="clear" w:color="auto" w:fill="FFFFFF"/>
            <w:vAlign w:val="bottom"/>
          </w:tcPr>
          <w:p w14:paraId="44DF01E3"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Реальный размер назначенных пенсий</w:t>
            </w:r>
          </w:p>
        </w:tc>
        <w:tc>
          <w:tcPr>
            <w:tcW w:w="508" w:type="pct"/>
            <w:tcBorders>
              <w:top w:val="single" w:sz="4" w:space="0" w:color="auto"/>
              <w:left w:val="single" w:sz="4" w:space="0" w:color="auto"/>
            </w:tcBorders>
            <w:shd w:val="clear" w:color="auto" w:fill="FFFFFF"/>
          </w:tcPr>
          <w:p w14:paraId="3A583DC7"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Cs w:val="24"/>
                <w:lang w:eastAsia="ru-RU" w:bidi="hi-IN"/>
              </w:rPr>
            </w:pPr>
          </w:p>
        </w:tc>
        <w:tc>
          <w:tcPr>
            <w:tcW w:w="510" w:type="pct"/>
            <w:tcBorders>
              <w:top w:val="single" w:sz="4" w:space="0" w:color="auto"/>
              <w:left w:val="single" w:sz="4" w:space="0" w:color="auto"/>
            </w:tcBorders>
            <w:shd w:val="clear" w:color="auto" w:fill="FFFFFF"/>
          </w:tcPr>
          <w:p w14:paraId="6646CCBD"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Cs w:val="24"/>
                <w:lang w:eastAsia="ru-RU" w:bidi="hi-IN"/>
              </w:rPr>
            </w:pPr>
          </w:p>
        </w:tc>
        <w:tc>
          <w:tcPr>
            <w:tcW w:w="508" w:type="pct"/>
            <w:tcBorders>
              <w:top w:val="single" w:sz="4" w:space="0" w:color="auto"/>
              <w:left w:val="single" w:sz="4" w:space="0" w:color="auto"/>
            </w:tcBorders>
            <w:shd w:val="clear" w:color="auto" w:fill="FFFFFF"/>
            <w:vAlign w:val="bottom"/>
          </w:tcPr>
          <w:p w14:paraId="45295982"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100,1</w:t>
            </w:r>
          </w:p>
        </w:tc>
        <w:tc>
          <w:tcPr>
            <w:tcW w:w="503" w:type="pct"/>
            <w:tcBorders>
              <w:top w:val="single" w:sz="4" w:space="0" w:color="auto"/>
              <w:left w:val="single" w:sz="4" w:space="0" w:color="auto"/>
            </w:tcBorders>
            <w:shd w:val="clear" w:color="auto" w:fill="FFFFFF"/>
          </w:tcPr>
          <w:p w14:paraId="5E5BAAD0"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Cs w:val="24"/>
                <w:lang w:eastAsia="ru-RU" w:bidi="hi-IN"/>
              </w:rPr>
            </w:pPr>
          </w:p>
        </w:tc>
        <w:tc>
          <w:tcPr>
            <w:tcW w:w="450" w:type="pct"/>
            <w:tcBorders>
              <w:top w:val="single" w:sz="4" w:space="0" w:color="auto"/>
              <w:left w:val="single" w:sz="4" w:space="0" w:color="auto"/>
            </w:tcBorders>
            <w:shd w:val="clear" w:color="auto" w:fill="FFFFFF"/>
          </w:tcPr>
          <w:p w14:paraId="7DB4DE8D"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Cs w:val="24"/>
                <w:lang w:eastAsia="ru-RU" w:bidi="hi-IN"/>
              </w:rPr>
            </w:pPr>
          </w:p>
        </w:tc>
        <w:tc>
          <w:tcPr>
            <w:tcW w:w="696" w:type="pct"/>
            <w:tcBorders>
              <w:top w:val="single" w:sz="4" w:space="0" w:color="auto"/>
              <w:left w:val="single" w:sz="4" w:space="0" w:color="auto"/>
              <w:right w:val="single" w:sz="4" w:space="0" w:color="auto"/>
            </w:tcBorders>
            <w:shd w:val="clear" w:color="auto" w:fill="FFFFFF"/>
            <w:vAlign w:val="bottom"/>
          </w:tcPr>
          <w:p w14:paraId="1ECAC421"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98,7</w:t>
            </w:r>
          </w:p>
        </w:tc>
      </w:tr>
      <w:tr w:rsidR="0047261E" w:rsidRPr="0047261E" w14:paraId="748F2DC6" w14:textId="77777777" w:rsidTr="0047261E">
        <w:trPr>
          <w:trHeight w:hRule="exact" w:val="843"/>
        </w:trPr>
        <w:tc>
          <w:tcPr>
            <w:tcW w:w="1824" w:type="pct"/>
            <w:tcBorders>
              <w:top w:val="single" w:sz="4" w:space="0" w:color="auto"/>
              <w:left w:val="single" w:sz="4" w:space="0" w:color="auto"/>
            </w:tcBorders>
            <w:shd w:val="clear" w:color="auto" w:fill="FFFFFF"/>
            <w:vAlign w:val="bottom"/>
          </w:tcPr>
          <w:p w14:paraId="2F824724"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Общая численность безработных в возрасте 15 лет и старше, тыс. человек</w:t>
            </w:r>
            <w:r w:rsidRPr="0047261E">
              <w:rPr>
                <w:rFonts w:eastAsia="Times New Roman" w:cs="Times New Roman"/>
                <w:kern w:val="3"/>
                <w:szCs w:val="24"/>
                <w:vertAlign w:val="superscript"/>
                <w:lang w:eastAsia="ru-RU" w:bidi="hi-IN"/>
              </w:rPr>
              <w:footnoteReference w:id="18"/>
            </w:r>
          </w:p>
        </w:tc>
        <w:tc>
          <w:tcPr>
            <w:tcW w:w="508" w:type="pct"/>
            <w:tcBorders>
              <w:top w:val="single" w:sz="4" w:space="0" w:color="auto"/>
              <w:left w:val="single" w:sz="4" w:space="0" w:color="auto"/>
            </w:tcBorders>
            <w:shd w:val="clear" w:color="auto" w:fill="FFFFFF"/>
            <w:vAlign w:val="center"/>
          </w:tcPr>
          <w:p w14:paraId="33EFE9B3"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34,7</w:t>
            </w:r>
          </w:p>
        </w:tc>
        <w:tc>
          <w:tcPr>
            <w:tcW w:w="510" w:type="pct"/>
            <w:tcBorders>
              <w:top w:val="single" w:sz="4" w:space="0" w:color="auto"/>
              <w:left w:val="single" w:sz="4" w:space="0" w:color="auto"/>
            </w:tcBorders>
            <w:shd w:val="clear" w:color="auto" w:fill="FFFFFF"/>
            <w:vAlign w:val="center"/>
          </w:tcPr>
          <w:p w14:paraId="15E545A8"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35,6</w:t>
            </w:r>
          </w:p>
        </w:tc>
        <w:tc>
          <w:tcPr>
            <w:tcW w:w="508" w:type="pct"/>
            <w:tcBorders>
              <w:top w:val="single" w:sz="4" w:space="0" w:color="auto"/>
              <w:left w:val="single" w:sz="4" w:space="0" w:color="auto"/>
            </w:tcBorders>
            <w:shd w:val="clear" w:color="auto" w:fill="FFFFFF"/>
            <w:vAlign w:val="center"/>
          </w:tcPr>
          <w:p w14:paraId="17ADF867"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97,4</w:t>
            </w:r>
          </w:p>
        </w:tc>
        <w:tc>
          <w:tcPr>
            <w:tcW w:w="503" w:type="pct"/>
            <w:tcBorders>
              <w:top w:val="single" w:sz="4" w:space="0" w:color="auto"/>
              <w:left w:val="single" w:sz="4" w:space="0" w:color="auto"/>
            </w:tcBorders>
            <w:shd w:val="clear" w:color="auto" w:fill="FFFFFF"/>
            <w:vAlign w:val="center"/>
          </w:tcPr>
          <w:p w14:paraId="081F4E01"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96,6</w:t>
            </w:r>
          </w:p>
        </w:tc>
        <w:tc>
          <w:tcPr>
            <w:tcW w:w="450" w:type="pct"/>
            <w:tcBorders>
              <w:top w:val="single" w:sz="4" w:space="0" w:color="auto"/>
              <w:left w:val="single" w:sz="4" w:space="0" w:color="auto"/>
            </w:tcBorders>
            <w:shd w:val="clear" w:color="auto" w:fill="FFFFFF"/>
            <w:vAlign w:val="center"/>
          </w:tcPr>
          <w:p w14:paraId="340033E3"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102,6</w:t>
            </w:r>
          </w:p>
        </w:tc>
        <w:tc>
          <w:tcPr>
            <w:tcW w:w="696" w:type="pct"/>
            <w:tcBorders>
              <w:top w:val="single" w:sz="4" w:space="0" w:color="auto"/>
              <w:left w:val="single" w:sz="4" w:space="0" w:color="auto"/>
              <w:right w:val="single" w:sz="4" w:space="0" w:color="auto"/>
            </w:tcBorders>
            <w:shd w:val="clear" w:color="auto" w:fill="FFFFFF"/>
            <w:vAlign w:val="center"/>
          </w:tcPr>
          <w:p w14:paraId="06D355CC"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101,38)</w:t>
            </w:r>
          </w:p>
        </w:tc>
      </w:tr>
      <w:tr w:rsidR="0047261E" w:rsidRPr="0047261E" w14:paraId="31C645A9" w14:textId="77777777" w:rsidTr="0047261E">
        <w:trPr>
          <w:trHeight w:hRule="exact" w:val="892"/>
        </w:trPr>
        <w:tc>
          <w:tcPr>
            <w:tcW w:w="1824" w:type="pct"/>
            <w:tcBorders>
              <w:top w:val="single" w:sz="4" w:space="0" w:color="auto"/>
              <w:left w:val="single" w:sz="4" w:space="0" w:color="auto"/>
              <w:bottom w:val="single" w:sz="4" w:space="0" w:color="auto"/>
            </w:tcBorders>
            <w:shd w:val="clear" w:color="auto" w:fill="FFFFFF"/>
            <w:vAlign w:val="bottom"/>
          </w:tcPr>
          <w:p w14:paraId="33DC0DC0"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Численность официально зарегистрированных безработных (на конец месяца), человек</w:t>
            </w:r>
            <w:r w:rsidRPr="0047261E">
              <w:rPr>
                <w:rFonts w:eastAsia="Times New Roman" w:cs="Times New Roman"/>
                <w:kern w:val="3"/>
                <w:szCs w:val="24"/>
                <w:vertAlign w:val="superscript"/>
                <w:lang w:eastAsia="ru-RU" w:bidi="hi-IN"/>
              </w:rPr>
              <w:footnoteReference w:id="19"/>
            </w:r>
          </w:p>
        </w:tc>
        <w:tc>
          <w:tcPr>
            <w:tcW w:w="508" w:type="pct"/>
            <w:tcBorders>
              <w:top w:val="single" w:sz="4" w:space="0" w:color="auto"/>
              <w:left w:val="single" w:sz="4" w:space="0" w:color="auto"/>
              <w:bottom w:val="single" w:sz="4" w:space="0" w:color="auto"/>
            </w:tcBorders>
            <w:shd w:val="clear" w:color="auto" w:fill="FFFFFF"/>
            <w:vAlign w:val="center"/>
          </w:tcPr>
          <w:p w14:paraId="1C084C4E"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8 384</w:t>
            </w:r>
          </w:p>
        </w:tc>
        <w:tc>
          <w:tcPr>
            <w:tcW w:w="510" w:type="pct"/>
            <w:tcBorders>
              <w:top w:val="single" w:sz="4" w:space="0" w:color="auto"/>
              <w:left w:val="single" w:sz="4" w:space="0" w:color="auto"/>
              <w:bottom w:val="single" w:sz="4" w:space="0" w:color="auto"/>
            </w:tcBorders>
            <w:shd w:val="clear" w:color="auto" w:fill="FFFFFF"/>
            <w:vAlign w:val="center"/>
          </w:tcPr>
          <w:p w14:paraId="0563FFBE"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10,063</w:t>
            </w:r>
          </w:p>
        </w:tc>
        <w:tc>
          <w:tcPr>
            <w:tcW w:w="508" w:type="pct"/>
            <w:tcBorders>
              <w:top w:val="single" w:sz="4" w:space="0" w:color="auto"/>
              <w:left w:val="single" w:sz="4" w:space="0" w:color="auto"/>
              <w:bottom w:val="single" w:sz="4" w:space="0" w:color="auto"/>
            </w:tcBorders>
            <w:shd w:val="clear" w:color="auto" w:fill="FFFFFF"/>
          </w:tcPr>
          <w:p w14:paraId="6856C05D"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Cs w:val="24"/>
                <w:lang w:eastAsia="ru-RU" w:bidi="hi-IN"/>
              </w:rPr>
            </w:pPr>
          </w:p>
        </w:tc>
        <w:tc>
          <w:tcPr>
            <w:tcW w:w="503" w:type="pct"/>
            <w:tcBorders>
              <w:top w:val="single" w:sz="4" w:space="0" w:color="auto"/>
              <w:left w:val="single" w:sz="4" w:space="0" w:color="auto"/>
              <w:bottom w:val="single" w:sz="4" w:space="0" w:color="auto"/>
            </w:tcBorders>
            <w:shd w:val="clear" w:color="auto" w:fill="FFFFFF"/>
            <w:vAlign w:val="center"/>
          </w:tcPr>
          <w:p w14:paraId="631E8D4B"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83,3</w:t>
            </w:r>
          </w:p>
        </w:tc>
        <w:tc>
          <w:tcPr>
            <w:tcW w:w="450" w:type="pct"/>
            <w:tcBorders>
              <w:top w:val="single" w:sz="4" w:space="0" w:color="auto"/>
              <w:left w:val="single" w:sz="4" w:space="0" w:color="auto"/>
              <w:bottom w:val="single" w:sz="4" w:space="0" w:color="auto"/>
            </w:tcBorders>
            <w:shd w:val="clear" w:color="auto" w:fill="FFFFFF"/>
            <w:vAlign w:val="center"/>
          </w:tcPr>
          <w:p w14:paraId="261F6A76"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104,3</w:t>
            </w:r>
          </w:p>
        </w:tc>
        <w:tc>
          <w:tcPr>
            <w:tcW w:w="696" w:type="pct"/>
            <w:tcBorders>
              <w:top w:val="single" w:sz="4" w:space="0" w:color="auto"/>
              <w:left w:val="single" w:sz="4" w:space="0" w:color="auto"/>
              <w:bottom w:val="single" w:sz="4" w:space="0" w:color="auto"/>
              <w:right w:val="single" w:sz="4" w:space="0" w:color="auto"/>
            </w:tcBorders>
            <w:shd w:val="clear" w:color="auto" w:fill="FFFFFF"/>
            <w:vAlign w:val="center"/>
          </w:tcPr>
          <w:p w14:paraId="1E440025" w14:textId="77777777" w:rsidR="0047261E" w:rsidRPr="0047261E" w:rsidRDefault="0047261E" w:rsidP="0047261E">
            <w:pPr>
              <w:widowControl w:val="0"/>
              <w:suppressAutoHyphens/>
              <w:autoSpaceDN w:val="0"/>
              <w:ind w:firstLine="0"/>
              <w:jc w:val="left"/>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t>84,8</w:t>
            </w:r>
          </w:p>
        </w:tc>
      </w:tr>
    </w:tbl>
    <w:p w14:paraId="1E6B4368" w14:textId="77777777" w:rsidR="0047261E" w:rsidRPr="0047261E" w:rsidRDefault="0047261E" w:rsidP="0047261E">
      <w:pPr>
        <w:widowControl w:val="0"/>
        <w:spacing w:line="317" w:lineRule="exact"/>
        <w:ind w:left="280" w:right="420" w:firstLine="580"/>
        <w:rPr>
          <w:rFonts w:eastAsia="Times New Roman" w:cs="Times New Roman"/>
          <w:color w:val="000000"/>
          <w:kern w:val="3"/>
          <w:szCs w:val="24"/>
          <w:lang w:eastAsia="ru-RU" w:bidi="ru-RU"/>
        </w:rPr>
      </w:pPr>
    </w:p>
    <w:p w14:paraId="1405AC8C" w14:textId="77777777" w:rsidR="0047261E" w:rsidRPr="0047261E" w:rsidRDefault="0047261E" w:rsidP="0047261E">
      <w:pPr>
        <w:widowControl w:val="0"/>
        <w:spacing w:line="317" w:lineRule="exact"/>
        <w:ind w:right="-1" w:firstLine="709"/>
        <w:rPr>
          <w:rFonts w:eastAsia="Times New Roman" w:cs="Times New Roman"/>
          <w:kern w:val="3"/>
          <w:szCs w:val="24"/>
          <w:lang w:eastAsia="zh-CN" w:bidi="hi-IN"/>
        </w:rPr>
      </w:pPr>
      <w:r w:rsidRPr="0047261E">
        <w:rPr>
          <w:rFonts w:eastAsia="Times New Roman" w:cs="Times New Roman"/>
          <w:color w:val="000000"/>
          <w:kern w:val="3"/>
          <w:szCs w:val="24"/>
          <w:lang w:eastAsia="ru-RU" w:bidi="ru-RU"/>
        </w:rPr>
        <w:t xml:space="preserve">Объем </w:t>
      </w:r>
      <w:r w:rsidRPr="0047261E">
        <w:rPr>
          <w:rFonts w:eastAsia="Times New Roman" w:cs="Times New Roman"/>
          <w:i/>
          <w:iCs/>
          <w:color w:val="000000"/>
          <w:kern w:val="3"/>
          <w:szCs w:val="24"/>
          <w:shd w:val="clear" w:color="auto" w:fill="FFFFFF"/>
          <w:lang w:eastAsia="ru-RU" w:bidi="ru-RU"/>
        </w:rPr>
        <w:t>отгруженных товаров собственного производства,</w:t>
      </w:r>
      <w:r w:rsidRPr="0047261E">
        <w:rPr>
          <w:rFonts w:eastAsia="Times New Roman" w:cs="Times New Roman"/>
          <w:color w:val="000000"/>
          <w:kern w:val="3"/>
          <w:szCs w:val="24"/>
          <w:lang w:eastAsia="ru-RU" w:bidi="ru-RU"/>
        </w:rPr>
        <w:t xml:space="preserve"> выполненных работ и услуг собственными силами крупных, средних организаций и субъектов малого малых предприятий-юридических лиц за январь-декабрь 2018 года составил 1228,9 млрд руб. (+21,6% к 2017 году). Значительно превышен темп роста данного показателя относительно среднереспубликанского значения в Булунском, Кобяйском, Ленском, Мирнинском, Олекминском, Томпонском, Усть-Янском районах. Наибольшее падение - в Анабарском и Оленекском районах (за счет планового снижения объемов производственной деятельности АО «Алмазы Анабара»).</w:t>
      </w:r>
    </w:p>
    <w:p w14:paraId="38B94071" w14:textId="77777777" w:rsidR="0047261E" w:rsidRPr="0047261E" w:rsidRDefault="0047261E" w:rsidP="0047261E">
      <w:pPr>
        <w:widowControl w:val="0"/>
        <w:suppressAutoHyphens/>
        <w:autoSpaceDN w:val="0"/>
        <w:ind w:right="-1" w:firstLine="0"/>
        <w:jc w:val="left"/>
        <w:textAlignment w:val="baseline"/>
        <w:rPr>
          <w:rFonts w:eastAsia="Times New Roman" w:cs="Times New Roman"/>
          <w:kern w:val="3"/>
          <w:szCs w:val="24"/>
          <w:lang w:eastAsia="ru-RU" w:bidi="hi-IN"/>
        </w:rPr>
      </w:pPr>
      <w:r w:rsidRPr="0047261E">
        <w:rPr>
          <w:rFonts w:eastAsia="Times New Roman" w:cs="Times New Roman"/>
          <w:kern w:val="3"/>
          <w:szCs w:val="24"/>
          <w:lang w:eastAsia="ru-RU" w:bidi="hi-IN"/>
        </w:rPr>
        <w:fldChar w:fldCharType="begin" w:fldLock="1"/>
      </w:r>
      <w:r w:rsidRPr="0047261E">
        <w:rPr>
          <w:rFonts w:eastAsia="Times New Roman" w:cs="Times New Roman"/>
          <w:kern w:val="3"/>
          <w:szCs w:val="24"/>
          <w:lang w:eastAsia="ru-RU" w:bidi="hi-IN"/>
        </w:rPr>
        <w:instrText xml:space="preserve"> INCLUDEPICTURE  "C:\\Users\\GOROHO~1\\AppData\\Local\\Temp\\FineReader12.00\\media\\image1.jpeg" \* MERGEFORMATINET </w:instrText>
      </w:r>
      <w:r w:rsidRPr="0047261E">
        <w:rPr>
          <w:rFonts w:eastAsia="Times New Roman" w:cs="Times New Roman"/>
          <w:kern w:val="3"/>
          <w:szCs w:val="24"/>
          <w:lang w:eastAsia="ru-RU" w:bidi="hi-IN"/>
        </w:rPr>
        <w:fldChar w:fldCharType="separate"/>
      </w:r>
      <w:r w:rsidRPr="0047261E">
        <w:rPr>
          <w:rFonts w:eastAsia="Times New Roman" w:cs="Times New Roman"/>
          <w:kern w:val="3"/>
          <w:szCs w:val="24"/>
          <w:lang w:eastAsia="ru-RU" w:bidi="hi-IN"/>
        </w:rPr>
        <w:fldChar w:fldCharType="begin"/>
      </w:r>
      <w:r w:rsidRPr="0047261E">
        <w:rPr>
          <w:rFonts w:eastAsia="Times New Roman" w:cs="Times New Roman"/>
          <w:kern w:val="3"/>
          <w:szCs w:val="24"/>
          <w:lang w:eastAsia="ru-RU" w:bidi="hi-IN"/>
        </w:rPr>
        <w:instrText xml:space="preserve"> INCLUDEPICTURE  "Z:\\GOROHO~1\\AppData\\Local\\Temp\\FineReader12.00\\media\\image1.jpeg" \* MERGEFORMATINET </w:instrText>
      </w:r>
      <w:r w:rsidRPr="0047261E">
        <w:rPr>
          <w:rFonts w:eastAsia="Times New Roman" w:cs="Times New Roman"/>
          <w:kern w:val="3"/>
          <w:szCs w:val="24"/>
          <w:lang w:eastAsia="ru-RU" w:bidi="hi-IN"/>
        </w:rPr>
        <w:fldChar w:fldCharType="separate"/>
      </w:r>
      <w:r w:rsidRPr="0047261E">
        <w:rPr>
          <w:rFonts w:eastAsia="Times New Roman" w:cs="Times New Roman"/>
          <w:kern w:val="3"/>
          <w:szCs w:val="24"/>
          <w:lang w:eastAsia="ru-RU" w:bidi="hi-IN"/>
        </w:rPr>
        <w:fldChar w:fldCharType="begin"/>
      </w:r>
      <w:r w:rsidRPr="0047261E">
        <w:rPr>
          <w:rFonts w:eastAsia="Times New Roman" w:cs="Times New Roman"/>
          <w:kern w:val="3"/>
          <w:szCs w:val="24"/>
          <w:lang w:eastAsia="ru-RU" w:bidi="hi-IN"/>
        </w:rPr>
        <w:instrText xml:space="preserve"> INCLUDEPICTURE  "\\\\192.168.10.102\\гбу\\GOROHO~1\\AppData\\Local\\Temp\\FineReader12.00\\media\\image1.jpeg" \* MERGEFORMATINET </w:instrText>
      </w:r>
      <w:r w:rsidRPr="0047261E">
        <w:rPr>
          <w:rFonts w:eastAsia="Times New Roman" w:cs="Times New Roman"/>
          <w:kern w:val="3"/>
          <w:szCs w:val="24"/>
          <w:lang w:eastAsia="ru-RU" w:bidi="hi-IN"/>
        </w:rPr>
        <w:fldChar w:fldCharType="separate"/>
      </w:r>
      <w:r w:rsidRPr="0047261E">
        <w:rPr>
          <w:rFonts w:eastAsia="Times New Roman" w:cs="Times New Roman"/>
          <w:kern w:val="3"/>
          <w:szCs w:val="24"/>
          <w:lang w:eastAsia="ru-RU" w:bidi="hi-IN"/>
        </w:rPr>
        <w:fldChar w:fldCharType="begin"/>
      </w:r>
      <w:r w:rsidRPr="0047261E">
        <w:rPr>
          <w:rFonts w:eastAsia="Times New Roman" w:cs="Times New Roman"/>
          <w:kern w:val="3"/>
          <w:szCs w:val="24"/>
          <w:lang w:eastAsia="ru-RU" w:bidi="hi-IN"/>
        </w:rPr>
        <w:instrText xml:space="preserve"> INCLUDEPICTURE  "\\\\192.168.10.102\\гбу\\GOROHO~1\\AppData\\Local\\Temp\\FineReader12.00\\media\\image1.jpeg" \* MERGEFORMATINET </w:instrText>
      </w:r>
      <w:r w:rsidRPr="0047261E">
        <w:rPr>
          <w:rFonts w:eastAsia="Times New Roman" w:cs="Times New Roman"/>
          <w:kern w:val="3"/>
          <w:szCs w:val="24"/>
          <w:lang w:eastAsia="ru-RU" w:bidi="hi-IN"/>
        </w:rPr>
        <w:fldChar w:fldCharType="separate"/>
      </w:r>
      <w:r w:rsidRPr="0047261E">
        <w:rPr>
          <w:rFonts w:eastAsia="Times New Roman" w:cs="Times New Roman"/>
          <w:kern w:val="3"/>
          <w:szCs w:val="24"/>
          <w:lang w:eastAsia="ru-RU" w:bidi="hi-IN"/>
        </w:rPr>
        <w:fldChar w:fldCharType="begin"/>
      </w:r>
      <w:r w:rsidRPr="0047261E">
        <w:rPr>
          <w:rFonts w:eastAsia="Times New Roman" w:cs="Times New Roman"/>
          <w:kern w:val="3"/>
          <w:szCs w:val="24"/>
          <w:lang w:eastAsia="ru-RU" w:bidi="hi-IN"/>
        </w:rPr>
        <w:instrText xml:space="preserve"> INCLUDEPICTURE  "Z:\\GOROHO~1\\AppData\\Local\\Temp\\FineReader12.00\\media\\image1.jpeg" \* MERGEFORMATINET </w:instrText>
      </w:r>
      <w:r w:rsidRPr="0047261E">
        <w:rPr>
          <w:rFonts w:eastAsia="Times New Roman" w:cs="Times New Roman"/>
          <w:kern w:val="3"/>
          <w:szCs w:val="24"/>
          <w:lang w:eastAsia="ru-RU" w:bidi="hi-IN"/>
        </w:rPr>
        <w:fldChar w:fldCharType="separate"/>
      </w:r>
      <w:r w:rsidRPr="0047261E">
        <w:rPr>
          <w:rFonts w:eastAsia="Times New Roman" w:cs="Times New Roman"/>
          <w:kern w:val="3"/>
          <w:szCs w:val="24"/>
          <w:lang w:eastAsia="ru-RU" w:bidi="hi-IN"/>
        </w:rPr>
        <w:fldChar w:fldCharType="begin"/>
      </w:r>
      <w:r w:rsidRPr="0047261E">
        <w:rPr>
          <w:rFonts w:eastAsia="Times New Roman" w:cs="Times New Roman"/>
          <w:kern w:val="3"/>
          <w:szCs w:val="24"/>
          <w:lang w:eastAsia="ru-RU" w:bidi="hi-IN"/>
        </w:rPr>
        <w:instrText xml:space="preserve"> INCLUDEPICTURE  "Z:\\GOROHO~1\\AppData\\Local\\Temp\\FineReader12.00\\media\\image1.jpeg" \* MERGEFORMATINET </w:instrText>
      </w:r>
      <w:r w:rsidRPr="0047261E">
        <w:rPr>
          <w:rFonts w:eastAsia="Times New Roman" w:cs="Times New Roman"/>
          <w:kern w:val="3"/>
          <w:szCs w:val="24"/>
          <w:lang w:eastAsia="ru-RU" w:bidi="hi-IN"/>
        </w:rPr>
        <w:fldChar w:fldCharType="separate"/>
      </w:r>
      <w:r w:rsidRPr="0047261E">
        <w:rPr>
          <w:rFonts w:eastAsia="Times New Roman" w:cs="Times New Roman"/>
          <w:kern w:val="3"/>
          <w:szCs w:val="24"/>
          <w:lang w:eastAsia="ru-RU" w:bidi="hi-IN"/>
        </w:rPr>
        <w:fldChar w:fldCharType="begin"/>
      </w:r>
      <w:r w:rsidRPr="0047261E">
        <w:rPr>
          <w:rFonts w:eastAsia="Times New Roman" w:cs="Times New Roman"/>
          <w:kern w:val="3"/>
          <w:szCs w:val="24"/>
          <w:lang w:eastAsia="ru-RU" w:bidi="hi-IN"/>
        </w:rPr>
        <w:instrText xml:space="preserve"> INCLUDEPICTURE  "Z:\\GOROHO~1\\AppData\\Local\\Temp\\FineReader12.00\\media\\image1.jpeg" \* MERGEFORMATINET </w:instrText>
      </w:r>
      <w:r w:rsidRPr="0047261E">
        <w:rPr>
          <w:rFonts w:eastAsia="Times New Roman" w:cs="Times New Roman"/>
          <w:kern w:val="3"/>
          <w:szCs w:val="24"/>
          <w:lang w:eastAsia="ru-RU" w:bidi="hi-IN"/>
        </w:rPr>
        <w:fldChar w:fldCharType="separate"/>
      </w:r>
      <w:r w:rsidRPr="0047261E">
        <w:rPr>
          <w:rFonts w:eastAsia="Times New Roman" w:cs="Times New Roman"/>
          <w:kern w:val="3"/>
          <w:szCs w:val="24"/>
          <w:lang w:eastAsia="ru-RU" w:bidi="hi-IN"/>
        </w:rPr>
        <w:fldChar w:fldCharType="begin"/>
      </w:r>
      <w:r w:rsidRPr="0047261E">
        <w:rPr>
          <w:rFonts w:eastAsia="Times New Roman" w:cs="Times New Roman"/>
          <w:kern w:val="3"/>
          <w:szCs w:val="24"/>
          <w:lang w:eastAsia="ru-RU" w:bidi="hi-IN"/>
        </w:rPr>
        <w:instrText xml:space="preserve"> INCLUDEPICTURE  "Z:\\GOROHO~1\\AppData\\Local\\Temp\\FineReader12.00\\media\\image1.jpeg" \* MERGEFORMATINET </w:instrText>
      </w:r>
      <w:r w:rsidRPr="0047261E">
        <w:rPr>
          <w:rFonts w:eastAsia="Times New Roman" w:cs="Times New Roman"/>
          <w:kern w:val="3"/>
          <w:szCs w:val="24"/>
          <w:lang w:eastAsia="ru-RU" w:bidi="hi-IN"/>
        </w:rPr>
        <w:fldChar w:fldCharType="separate"/>
      </w:r>
      <w:r w:rsidRPr="0047261E">
        <w:rPr>
          <w:rFonts w:eastAsia="Times New Roman" w:cs="Times New Roman"/>
          <w:kern w:val="3"/>
          <w:szCs w:val="24"/>
          <w:lang w:eastAsia="ru-RU" w:bidi="hi-IN"/>
        </w:rPr>
        <w:fldChar w:fldCharType="begin"/>
      </w:r>
      <w:r w:rsidRPr="0047261E">
        <w:rPr>
          <w:rFonts w:eastAsia="Times New Roman" w:cs="Times New Roman"/>
          <w:kern w:val="3"/>
          <w:szCs w:val="24"/>
          <w:lang w:eastAsia="ru-RU" w:bidi="hi-IN"/>
        </w:rPr>
        <w:instrText xml:space="preserve"> INCLUDEPICTURE  "Z:\\GOROHO~1\\AppData\\Local\\Temp\\FineReader12.00\\media\\image1.jpeg" \* MERGEFORMATINET </w:instrText>
      </w:r>
      <w:r w:rsidRPr="0047261E">
        <w:rPr>
          <w:rFonts w:eastAsia="Times New Roman" w:cs="Times New Roman"/>
          <w:kern w:val="3"/>
          <w:szCs w:val="24"/>
          <w:lang w:eastAsia="ru-RU" w:bidi="hi-IN"/>
        </w:rPr>
        <w:fldChar w:fldCharType="separate"/>
      </w:r>
      <w:r w:rsidRPr="0047261E">
        <w:rPr>
          <w:rFonts w:eastAsia="Times New Roman" w:cs="Times New Roman"/>
          <w:kern w:val="3"/>
          <w:szCs w:val="24"/>
          <w:lang w:eastAsia="ru-RU" w:bidi="hi-IN"/>
        </w:rPr>
        <w:fldChar w:fldCharType="begin"/>
      </w:r>
      <w:r w:rsidRPr="0047261E">
        <w:rPr>
          <w:rFonts w:eastAsia="Times New Roman" w:cs="Times New Roman"/>
          <w:kern w:val="3"/>
          <w:szCs w:val="24"/>
          <w:lang w:eastAsia="ru-RU" w:bidi="hi-IN"/>
        </w:rPr>
        <w:instrText xml:space="preserve"> INCLUDEPICTURE  "Z:\\GOROHO~1\\AppData\\Local\\Temp\\FineReader12.00\\media\\image1.jpeg" \* MERGEFORMATINET </w:instrText>
      </w:r>
      <w:r w:rsidRPr="0047261E">
        <w:rPr>
          <w:rFonts w:eastAsia="Times New Roman" w:cs="Times New Roman"/>
          <w:kern w:val="3"/>
          <w:szCs w:val="24"/>
          <w:lang w:eastAsia="ru-RU" w:bidi="hi-IN"/>
        </w:rPr>
        <w:fldChar w:fldCharType="separate"/>
      </w:r>
      <w:r w:rsidRPr="0047261E">
        <w:rPr>
          <w:rFonts w:eastAsia="Times New Roman" w:cs="Times New Roman"/>
          <w:kern w:val="3"/>
          <w:szCs w:val="24"/>
          <w:lang w:eastAsia="ru-RU" w:bidi="hi-IN"/>
        </w:rPr>
        <w:fldChar w:fldCharType="begin"/>
      </w:r>
      <w:r w:rsidRPr="0047261E">
        <w:rPr>
          <w:rFonts w:eastAsia="Times New Roman" w:cs="Times New Roman"/>
          <w:kern w:val="3"/>
          <w:szCs w:val="24"/>
          <w:lang w:eastAsia="ru-RU" w:bidi="hi-IN"/>
        </w:rPr>
        <w:instrText xml:space="preserve"> INCLUDEPICTURE  "Z:\\GOROHO~1\\AppData\\Local\\Temp\\FineReader12.00\\media\\image1.jpeg" \* MERGEFORMATINET </w:instrText>
      </w:r>
      <w:r w:rsidRPr="0047261E">
        <w:rPr>
          <w:rFonts w:eastAsia="Times New Roman" w:cs="Times New Roman"/>
          <w:kern w:val="3"/>
          <w:szCs w:val="24"/>
          <w:lang w:eastAsia="ru-RU" w:bidi="hi-IN"/>
        </w:rPr>
        <w:fldChar w:fldCharType="separate"/>
      </w:r>
      <w:r w:rsidRPr="0047261E">
        <w:rPr>
          <w:rFonts w:eastAsia="Times New Roman" w:cs="Times New Roman"/>
          <w:kern w:val="3"/>
          <w:szCs w:val="24"/>
          <w:lang w:eastAsia="ru-RU" w:bidi="hi-IN"/>
        </w:rPr>
        <w:fldChar w:fldCharType="begin"/>
      </w:r>
      <w:r w:rsidRPr="0047261E">
        <w:rPr>
          <w:rFonts w:eastAsia="Times New Roman" w:cs="Times New Roman"/>
          <w:kern w:val="3"/>
          <w:szCs w:val="24"/>
          <w:lang w:eastAsia="ru-RU" w:bidi="hi-IN"/>
        </w:rPr>
        <w:instrText xml:space="preserve"> INCLUDEPICTURE  "Z:\\GOROHO~1\\AppData\\Local\\Temp\\FineReader12.00\\media\\image1.jpeg" \* MERGEFORMATINET </w:instrText>
      </w:r>
      <w:r w:rsidRPr="0047261E">
        <w:rPr>
          <w:rFonts w:eastAsia="Times New Roman" w:cs="Times New Roman"/>
          <w:kern w:val="3"/>
          <w:szCs w:val="24"/>
          <w:lang w:eastAsia="ru-RU" w:bidi="hi-IN"/>
        </w:rPr>
        <w:fldChar w:fldCharType="separate"/>
      </w:r>
      <w:r w:rsidRPr="0047261E">
        <w:rPr>
          <w:rFonts w:eastAsia="Times New Roman" w:cs="Times New Roman"/>
          <w:kern w:val="3"/>
          <w:szCs w:val="24"/>
          <w:lang w:eastAsia="ru-RU" w:bidi="hi-IN"/>
        </w:rPr>
        <w:fldChar w:fldCharType="begin"/>
      </w:r>
      <w:r w:rsidRPr="0047261E">
        <w:rPr>
          <w:rFonts w:eastAsia="Times New Roman" w:cs="Times New Roman"/>
          <w:kern w:val="3"/>
          <w:szCs w:val="24"/>
          <w:lang w:eastAsia="ru-RU" w:bidi="hi-IN"/>
        </w:rPr>
        <w:instrText xml:space="preserve"> INCLUDEPICTURE  "Z:\\GOROHO~1\\AppData\\Local\\Temp\\FineReader12.00\\media\\image1.jpeg" \* MERGEFORMATINET </w:instrText>
      </w:r>
      <w:r w:rsidRPr="0047261E">
        <w:rPr>
          <w:rFonts w:eastAsia="Times New Roman" w:cs="Times New Roman"/>
          <w:kern w:val="3"/>
          <w:szCs w:val="24"/>
          <w:lang w:eastAsia="ru-RU" w:bidi="hi-IN"/>
        </w:rPr>
        <w:fldChar w:fldCharType="separate"/>
      </w:r>
      <w:r w:rsidRPr="0047261E">
        <w:rPr>
          <w:rFonts w:eastAsia="Times New Roman" w:cs="Times New Roman"/>
          <w:kern w:val="3"/>
          <w:szCs w:val="24"/>
          <w:lang w:eastAsia="ru-RU" w:bidi="hi-IN"/>
        </w:rPr>
        <w:fldChar w:fldCharType="begin"/>
      </w:r>
      <w:r w:rsidRPr="0047261E">
        <w:rPr>
          <w:rFonts w:eastAsia="Times New Roman" w:cs="Times New Roman"/>
          <w:kern w:val="3"/>
          <w:szCs w:val="24"/>
          <w:lang w:eastAsia="ru-RU" w:bidi="hi-IN"/>
        </w:rPr>
        <w:instrText xml:space="preserve"> INCLUDEPICTURE  "Z:\\GOROHO~1\\AppData\\Local\\Temp\\FineReader12.00\\media\\image1.jpeg" \* MERGEFORMATINET </w:instrText>
      </w:r>
      <w:r w:rsidRPr="0047261E">
        <w:rPr>
          <w:rFonts w:eastAsia="Times New Roman" w:cs="Times New Roman"/>
          <w:kern w:val="3"/>
          <w:szCs w:val="24"/>
          <w:lang w:eastAsia="ru-RU" w:bidi="hi-IN"/>
        </w:rPr>
        <w:fldChar w:fldCharType="separate"/>
      </w:r>
      <w:r w:rsidRPr="0047261E">
        <w:rPr>
          <w:rFonts w:eastAsia="Times New Roman" w:cs="Times New Roman"/>
          <w:kern w:val="3"/>
          <w:szCs w:val="24"/>
          <w:lang w:eastAsia="ru-RU" w:bidi="hi-IN"/>
        </w:rPr>
        <w:fldChar w:fldCharType="begin"/>
      </w:r>
      <w:r w:rsidRPr="0047261E">
        <w:rPr>
          <w:rFonts w:eastAsia="Times New Roman" w:cs="Times New Roman"/>
          <w:kern w:val="3"/>
          <w:szCs w:val="24"/>
          <w:lang w:eastAsia="ru-RU" w:bidi="hi-IN"/>
        </w:rPr>
        <w:instrText xml:space="preserve"> INCLUDEPICTURE  "\\\\192.168.10.102\\гбу\\GOROHO~1\\AppData\\Local\\Temp\\FineReader12.00\\media\\image1.jpeg" \* MERGEFORMATINET </w:instrText>
      </w:r>
      <w:r w:rsidRPr="0047261E">
        <w:rPr>
          <w:rFonts w:eastAsia="Times New Roman" w:cs="Times New Roman"/>
          <w:kern w:val="3"/>
          <w:szCs w:val="24"/>
          <w:lang w:eastAsia="ru-RU" w:bidi="hi-IN"/>
        </w:rPr>
        <w:fldChar w:fldCharType="separate"/>
      </w:r>
      <w:r w:rsidRPr="0047261E">
        <w:rPr>
          <w:rFonts w:eastAsia="Times New Roman" w:cs="Times New Roman"/>
          <w:kern w:val="3"/>
          <w:szCs w:val="24"/>
          <w:lang w:eastAsia="ru-RU" w:bidi="hi-IN"/>
        </w:rPr>
        <w:fldChar w:fldCharType="begin"/>
      </w:r>
      <w:r w:rsidRPr="0047261E">
        <w:rPr>
          <w:rFonts w:eastAsia="Times New Roman" w:cs="Times New Roman"/>
          <w:kern w:val="3"/>
          <w:szCs w:val="24"/>
          <w:lang w:eastAsia="ru-RU" w:bidi="hi-IN"/>
        </w:rPr>
        <w:instrText xml:space="preserve"> INCLUDEPICTURE  "Z:\\GOROHO~1\\AppData\\Local\\Temp\\FineReader12.00\\media\\image1.jpeg" \* MERGEFORMATINET </w:instrText>
      </w:r>
      <w:r w:rsidRPr="0047261E">
        <w:rPr>
          <w:rFonts w:eastAsia="Times New Roman" w:cs="Times New Roman"/>
          <w:kern w:val="3"/>
          <w:szCs w:val="24"/>
          <w:lang w:eastAsia="ru-RU" w:bidi="hi-IN"/>
        </w:rPr>
        <w:fldChar w:fldCharType="separate"/>
      </w:r>
      <w:r w:rsidRPr="0047261E">
        <w:rPr>
          <w:rFonts w:eastAsia="Times New Roman" w:cs="Times New Roman"/>
          <w:kern w:val="3"/>
          <w:szCs w:val="24"/>
          <w:lang w:eastAsia="ru-RU" w:bidi="hi-IN"/>
        </w:rPr>
        <w:fldChar w:fldCharType="begin"/>
      </w:r>
      <w:r w:rsidRPr="0047261E">
        <w:rPr>
          <w:rFonts w:eastAsia="Times New Roman" w:cs="Times New Roman"/>
          <w:kern w:val="3"/>
          <w:szCs w:val="24"/>
          <w:lang w:eastAsia="ru-RU" w:bidi="hi-IN"/>
        </w:rPr>
        <w:instrText xml:space="preserve"> INCLUDEPICTURE  "Z:\\GOROHO~1\\AppData\\Local\\Temp\\FineReader12.00\\media\\image1.jpeg" \* MERGEFORMATINET </w:instrText>
      </w:r>
      <w:r w:rsidRPr="0047261E">
        <w:rPr>
          <w:rFonts w:eastAsia="Times New Roman" w:cs="Times New Roman"/>
          <w:kern w:val="3"/>
          <w:szCs w:val="24"/>
          <w:lang w:eastAsia="ru-RU" w:bidi="hi-IN"/>
        </w:rPr>
        <w:fldChar w:fldCharType="separate"/>
      </w:r>
      <w:r w:rsidRPr="0047261E">
        <w:rPr>
          <w:rFonts w:eastAsia="Times New Roman" w:cs="Times New Roman"/>
          <w:kern w:val="3"/>
          <w:szCs w:val="24"/>
          <w:lang w:eastAsia="ru-RU" w:bidi="hi-IN"/>
        </w:rPr>
        <w:fldChar w:fldCharType="begin"/>
      </w:r>
      <w:r w:rsidRPr="0047261E">
        <w:rPr>
          <w:rFonts w:eastAsia="Times New Roman" w:cs="Times New Roman"/>
          <w:kern w:val="3"/>
          <w:szCs w:val="24"/>
          <w:lang w:eastAsia="ru-RU" w:bidi="hi-IN"/>
        </w:rPr>
        <w:instrText xml:space="preserve"> INCLUDEPICTURE  "Z:\\GOROHO~1\\AppData\\Local\\Temp\\FineReader12.00\\media\\image1.jpeg" \* MERGEFORMATINET </w:instrText>
      </w:r>
      <w:r w:rsidRPr="0047261E">
        <w:rPr>
          <w:rFonts w:eastAsia="Times New Roman" w:cs="Times New Roman"/>
          <w:kern w:val="3"/>
          <w:szCs w:val="24"/>
          <w:lang w:eastAsia="ru-RU" w:bidi="hi-IN"/>
        </w:rPr>
        <w:fldChar w:fldCharType="separate"/>
      </w:r>
      <w:r w:rsidRPr="0047261E">
        <w:rPr>
          <w:rFonts w:eastAsia="Times New Roman" w:cs="Times New Roman"/>
          <w:kern w:val="3"/>
          <w:szCs w:val="24"/>
          <w:lang w:eastAsia="ru-RU" w:bidi="hi-IN"/>
        </w:rPr>
        <w:fldChar w:fldCharType="begin"/>
      </w:r>
      <w:r w:rsidRPr="0047261E">
        <w:rPr>
          <w:rFonts w:eastAsia="Times New Roman" w:cs="Times New Roman"/>
          <w:kern w:val="3"/>
          <w:szCs w:val="24"/>
          <w:lang w:eastAsia="ru-RU" w:bidi="hi-IN"/>
        </w:rPr>
        <w:instrText xml:space="preserve"> INCLUDEPICTURE  "\\\\192.168.10.102\\гбу\\GOROHO~1\\AppData\\Local\\Temp\\FineReader12.00\\media\\image1.jpeg" \* MERGEFORMATINET </w:instrText>
      </w:r>
      <w:r w:rsidRPr="0047261E">
        <w:rPr>
          <w:rFonts w:eastAsia="Times New Roman" w:cs="Times New Roman"/>
          <w:kern w:val="3"/>
          <w:szCs w:val="24"/>
          <w:lang w:eastAsia="ru-RU" w:bidi="hi-IN"/>
        </w:rPr>
        <w:fldChar w:fldCharType="separate"/>
      </w:r>
      <w:r w:rsidRPr="0047261E">
        <w:rPr>
          <w:rFonts w:eastAsia="Times New Roman" w:cs="Times New Roman"/>
          <w:kern w:val="3"/>
          <w:szCs w:val="24"/>
          <w:lang w:eastAsia="ru-RU" w:bidi="hi-IN"/>
        </w:rPr>
        <w:fldChar w:fldCharType="begin"/>
      </w:r>
      <w:r w:rsidRPr="0047261E">
        <w:rPr>
          <w:rFonts w:eastAsia="Times New Roman" w:cs="Times New Roman"/>
          <w:kern w:val="3"/>
          <w:szCs w:val="24"/>
          <w:lang w:eastAsia="ru-RU" w:bidi="hi-IN"/>
        </w:rPr>
        <w:instrText xml:space="preserve"> INCLUDEPICTURE  "Z:\\GOROHO~1\\AppData\\Local\\Temp\\FineReader12.00\\media\\image1.jpeg" \* MERGEFORMATINET </w:instrText>
      </w:r>
      <w:r w:rsidRPr="0047261E">
        <w:rPr>
          <w:rFonts w:eastAsia="Times New Roman" w:cs="Times New Roman"/>
          <w:kern w:val="3"/>
          <w:szCs w:val="24"/>
          <w:lang w:eastAsia="ru-RU" w:bidi="hi-IN"/>
        </w:rPr>
        <w:fldChar w:fldCharType="separate"/>
      </w:r>
      <w:r w:rsidRPr="0047261E">
        <w:rPr>
          <w:rFonts w:eastAsia="Times New Roman" w:cs="Times New Roman"/>
          <w:kern w:val="3"/>
          <w:szCs w:val="24"/>
          <w:lang w:eastAsia="ru-RU" w:bidi="hi-IN"/>
        </w:rPr>
        <w:fldChar w:fldCharType="begin"/>
      </w:r>
      <w:r w:rsidRPr="0047261E">
        <w:rPr>
          <w:rFonts w:eastAsia="Times New Roman" w:cs="Times New Roman"/>
          <w:kern w:val="3"/>
          <w:szCs w:val="24"/>
          <w:lang w:eastAsia="ru-RU" w:bidi="hi-IN"/>
        </w:rPr>
        <w:instrText xml:space="preserve"> INCLUDEPICTURE  "Z:\\GOROHO~1\\AppData\\Local\\Temp\\FineReader12.00\\media\\image1.jpeg" \* MERGEFORMATINET </w:instrText>
      </w:r>
      <w:r w:rsidRPr="0047261E">
        <w:rPr>
          <w:rFonts w:eastAsia="Times New Roman" w:cs="Times New Roman"/>
          <w:kern w:val="3"/>
          <w:szCs w:val="24"/>
          <w:lang w:eastAsia="ru-RU" w:bidi="hi-IN"/>
        </w:rPr>
        <w:fldChar w:fldCharType="separate"/>
      </w:r>
      <w:r w:rsidRPr="0047261E">
        <w:rPr>
          <w:rFonts w:eastAsia="Times New Roman" w:cs="Times New Roman"/>
          <w:kern w:val="3"/>
          <w:szCs w:val="24"/>
          <w:lang w:eastAsia="ru-RU" w:bidi="hi-IN"/>
        </w:rPr>
        <w:fldChar w:fldCharType="begin"/>
      </w:r>
      <w:r w:rsidRPr="0047261E">
        <w:rPr>
          <w:rFonts w:eastAsia="Times New Roman" w:cs="Times New Roman"/>
          <w:kern w:val="3"/>
          <w:szCs w:val="24"/>
          <w:lang w:eastAsia="ru-RU" w:bidi="hi-IN"/>
        </w:rPr>
        <w:instrText xml:space="preserve"> INCLUDEPICTURE  "\\\\192.168.10.102\\гбу\\GOROHO~1\\AppData\\Local\\Temp\\FineReader12.00\\media\\image1.jpeg" \* MERGEFORMATINET </w:instrText>
      </w:r>
      <w:r w:rsidRPr="0047261E">
        <w:rPr>
          <w:rFonts w:eastAsia="Times New Roman" w:cs="Times New Roman"/>
          <w:kern w:val="3"/>
          <w:szCs w:val="24"/>
          <w:lang w:eastAsia="ru-RU" w:bidi="hi-IN"/>
        </w:rPr>
        <w:fldChar w:fldCharType="separate"/>
      </w:r>
      <w:r w:rsidRPr="0047261E">
        <w:rPr>
          <w:rFonts w:eastAsia="Times New Roman" w:cs="Times New Roman"/>
          <w:kern w:val="3"/>
          <w:szCs w:val="24"/>
          <w:lang w:eastAsia="ru-RU" w:bidi="hi-IN"/>
        </w:rPr>
        <w:fldChar w:fldCharType="begin"/>
      </w:r>
      <w:r w:rsidRPr="0047261E">
        <w:rPr>
          <w:rFonts w:eastAsia="Times New Roman" w:cs="Times New Roman"/>
          <w:kern w:val="3"/>
          <w:szCs w:val="24"/>
          <w:lang w:eastAsia="ru-RU" w:bidi="hi-IN"/>
        </w:rPr>
        <w:instrText xml:space="preserve"> INCLUDEPICTURE  "Z:\\GOROHO~1\\AppData\\Local\\Temp\\FineReader12.00\\media\\image1.jpeg" \* MERGEFORMATINET </w:instrText>
      </w:r>
      <w:r w:rsidRPr="0047261E">
        <w:rPr>
          <w:rFonts w:eastAsia="Times New Roman" w:cs="Times New Roman"/>
          <w:kern w:val="3"/>
          <w:szCs w:val="24"/>
          <w:lang w:eastAsia="ru-RU" w:bidi="hi-IN"/>
        </w:rPr>
        <w:fldChar w:fldCharType="separate"/>
      </w:r>
      <w:r w:rsidRPr="0047261E">
        <w:rPr>
          <w:rFonts w:eastAsia="Times New Roman" w:cs="Times New Roman"/>
          <w:kern w:val="3"/>
          <w:szCs w:val="24"/>
          <w:lang w:eastAsia="ru-RU" w:bidi="hi-IN"/>
        </w:rPr>
        <w:fldChar w:fldCharType="begin"/>
      </w:r>
      <w:r w:rsidRPr="0047261E">
        <w:rPr>
          <w:rFonts w:eastAsia="Times New Roman" w:cs="Times New Roman"/>
          <w:kern w:val="3"/>
          <w:szCs w:val="24"/>
          <w:lang w:eastAsia="ru-RU" w:bidi="hi-IN"/>
        </w:rPr>
        <w:instrText xml:space="preserve"> INCLUDEPICTURE  "Z:\\GOROHO~1\\AppData\\Local\\Temp\\FineReader12.00\\media\\image1.jpeg" \* MERGEFORMATINET </w:instrText>
      </w:r>
      <w:r w:rsidRPr="0047261E">
        <w:rPr>
          <w:rFonts w:eastAsia="Times New Roman" w:cs="Times New Roman"/>
          <w:kern w:val="3"/>
          <w:szCs w:val="24"/>
          <w:lang w:eastAsia="ru-RU" w:bidi="hi-IN"/>
        </w:rPr>
        <w:fldChar w:fldCharType="separate"/>
      </w:r>
      <w:r w:rsidRPr="0047261E">
        <w:rPr>
          <w:rFonts w:eastAsia="Times New Roman" w:cs="Times New Roman"/>
          <w:kern w:val="3"/>
          <w:szCs w:val="24"/>
          <w:lang w:eastAsia="ru-RU" w:bidi="hi-IN"/>
        </w:rPr>
        <w:fldChar w:fldCharType="begin"/>
      </w:r>
      <w:r w:rsidRPr="0047261E">
        <w:rPr>
          <w:rFonts w:eastAsia="Times New Roman" w:cs="Times New Roman"/>
          <w:kern w:val="3"/>
          <w:szCs w:val="24"/>
          <w:lang w:eastAsia="ru-RU" w:bidi="hi-IN"/>
        </w:rPr>
        <w:instrText xml:space="preserve"> INCLUDEPICTURE  "\\\\192.168.10.102\\гбу\\GOROHO~1\\AppData\\Local\\Temp\\FineReader12.00\\media\\image1.jpeg" \* MERGEFORMATINET </w:instrText>
      </w:r>
      <w:r w:rsidRPr="0047261E">
        <w:rPr>
          <w:rFonts w:eastAsia="Times New Roman" w:cs="Times New Roman"/>
          <w:kern w:val="3"/>
          <w:szCs w:val="24"/>
          <w:lang w:eastAsia="ru-RU" w:bidi="hi-IN"/>
        </w:rPr>
        <w:fldChar w:fldCharType="separate"/>
      </w:r>
      <w:r w:rsidRPr="0047261E">
        <w:rPr>
          <w:rFonts w:eastAsia="Times New Roman" w:cs="Times New Roman"/>
          <w:kern w:val="3"/>
          <w:szCs w:val="24"/>
          <w:lang w:eastAsia="ru-RU" w:bidi="hi-IN"/>
        </w:rPr>
        <w:fldChar w:fldCharType="begin"/>
      </w:r>
      <w:r w:rsidRPr="0047261E">
        <w:rPr>
          <w:rFonts w:eastAsia="Times New Roman" w:cs="Times New Roman"/>
          <w:kern w:val="3"/>
          <w:szCs w:val="24"/>
          <w:lang w:eastAsia="ru-RU" w:bidi="hi-IN"/>
        </w:rPr>
        <w:instrText xml:space="preserve"> INCLUDEPICTURE  "Z:\\GOROHO~1\\AppData\\Local\\Temp\\FineReader12.00\\media\\image1.jpeg" \* MERGEFORMATINET </w:instrText>
      </w:r>
      <w:r w:rsidRPr="0047261E">
        <w:rPr>
          <w:rFonts w:eastAsia="Times New Roman" w:cs="Times New Roman"/>
          <w:kern w:val="3"/>
          <w:szCs w:val="24"/>
          <w:lang w:eastAsia="ru-RU" w:bidi="hi-IN"/>
        </w:rPr>
        <w:fldChar w:fldCharType="separate"/>
      </w:r>
      <w:r w:rsidRPr="0047261E">
        <w:rPr>
          <w:rFonts w:eastAsia="Times New Roman" w:cs="Times New Roman"/>
          <w:kern w:val="3"/>
          <w:szCs w:val="24"/>
          <w:lang w:eastAsia="ru-RU" w:bidi="hi-IN"/>
        </w:rPr>
        <w:fldChar w:fldCharType="begin"/>
      </w:r>
      <w:r w:rsidRPr="0047261E">
        <w:rPr>
          <w:rFonts w:eastAsia="Times New Roman" w:cs="Times New Roman"/>
          <w:kern w:val="3"/>
          <w:szCs w:val="24"/>
          <w:lang w:eastAsia="ru-RU" w:bidi="hi-IN"/>
        </w:rPr>
        <w:instrText xml:space="preserve"> INCLUDEPICTURE  "\\\\192.168.10.102\\гбу\\GOROHO~1\\AppData\\Local\\Temp\\FineReader12.00\\media\\image1.jpeg" \* MERGEFORMATINET </w:instrText>
      </w:r>
      <w:r w:rsidRPr="0047261E">
        <w:rPr>
          <w:rFonts w:eastAsia="Times New Roman" w:cs="Times New Roman"/>
          <w:kern w:val="3"/>
          <w:szCs w:val="24"/>
          <w:lang w:eastAsia="ru-RU" w:bidi="hi-IN"/>
        </w:rPr>
        <w:fldChar w:fldCharType="separate"/>
      </w:r>
      <w:r w:rsidRPr="0047261E">
        <w:rPr>
          <w:rFonts w:eastAsia="Times New Roman" w:cs="Times New Roman"/>
          <w:kern w:val="3"/>
          <w:szCs w:val="24"/>
          <w:lang w:eastAsia="ru-RU" w:bidi="hi-IN"/>
        </w:rPr>
        <w:fldChar w:fldCharType="begin"/>
      </w:r>
      <w:r w:rsidRPr="0047261E">
        <w:rPr>
          <w:rFonts w:eastAsia="Times New Roman" w:cs="Times New Roman"/>
          <w:kern w:val="3"/>
          <w:szCs w:val="24"/>
          <w:lang w:eastAsia="ru-RU" w:bidi="hi-IN"/>
        </w:rPr>
        <w:instrText xml:space="preserve"> INCLUDEPICTURE  "Z:\\GOROHO~1\\AppData\\Local\\Temp\\FineReader12.00\\media\\image1.jpeg" \* MERGEFORMATINET </w:instrText>
      </w:r>
      <w:r w:rsidRPr="0047261E">
        <w:rPr>
          <w:rFonts w:eastAsia="Times New Roman" w:cs="Times New Roman"/>
          <w:kern w:val="3"/>
          <w:szCs w:val="24"/>
          <w:lang w:eastAsia="ru-RU" w:bidi="hi-IN"/>
        </w:rPr>
        <w:fldChar w:fldCharType="separate"/>
      </w:r>
      <w:r w:rsidRPr="0047261E">
        <w:rPr>
          <w:rFonts w:eastAsia="Times New Roman" w:cs="Times New Roman"/>
          <w:kern w:val="3"/>
          <w:szCs w:val="24"/>
          <w:lang w:eastAsia="ru-RU" w:bidi="hi-IN"/>
        </w:rPr>
        <w:fldChar w:fldCharType="begin"/>
      </w:r>
      <w:r w:rsidRPr="0047261E">
        <w:rPr>
          <w:rFonts w:eastAsia="Times New Roman" w:cs="Times New Roman"/>
          <w:kern w:val="3"/>
          <w:szCs w:val="24"/>
          <w:lang w:eastAsia="ru-RU" w:bidi="hi-IN"/>
        </w:rPr>
        <w:instrText xml:space="preserve"> INCLUDEPICTURE  "Z:\\GOROHO~1\\AppData\\Local\\Temp\\FineReader12.00\\media\\image1.jpeg" \* MERGEFORMATINET </w:instrText>
      </w:r>
      <w:r w:rsidRPr="0047261E">
        <w:rPr>
          <w:rFonts w:eastAsia="Times New Roman" w:cs="Times New Roman"/>
          <w:kern w:val="3"/>
          <w:szCs w:val="24"/>
          <w:lang w:eastAsia="ru-RU" w:bidi="hi-IN"/>
        </w:rPr>
        <w:fldChar w:fldCharType="separate"/>
      </w:r>
      <w:r w:rsidRPr="0047261E">
        <w:rPr>
          <w:rFonts w:eastAsia="Times New Roman" w:cs="Times New Roman"/>
          <w:kern w:val="3"/>
          <w:szCs w:val="24"/>
          <w:lang w:eastAsia="ru-RU" w:bidi="hi-IN"/>
        </w:rPr>
        <w:fldChar w:fldCharType="begin"/>
      </w:r>
      <w:r w:rsidRPr="0047261E">
        <w:rPr>
          <w:rFonts w:eastAsia="Times New Roman" w:cs="Times New Roman"/>
          <w:kern w:val="3"/>
          <w:szCs w:val="24"/>
          <w:lang w:eastAsia="ru-RU" w:bidi="hi-IN"/>
        </w:rPr>
        <w:instrText xml:space="preserve"> INCLUDEPICTURE  "Z:\\GOROHO~1\\AppData\\Local\\Temp\\FineReader12.00\\media\\image1.jpeg" \* MERGEFORMATINET </w:instrText>
      </w:r>
      <w:r w:rsidRPr="0047261E">
        <w:rPr>
          <w:rFonts w:eastAsia="Times New Roman" w:cs="Times New Roman"/>
          <w:kern w:val="3"/>
          <w:szCs w:val="24"/>
          <w:lang w:eastAsia="ru-RU" w:bidi="hi-IN"/>
        </w:rPr>
        <w:fldChar w:fldCharType="separate"/>
      </w:r>
      <w:r w:rsidRPr="0047261E">
        <w:rPr>
          <w:rFonts w:eastAsia="Times New Roman" w:cs="Times New Roman"/>
          <w:kern w:val="3"/>
          <w:szCs w:val="24"/>
          <w:lang w:eastAsia="ru-RU" w:bidi="hi-IN"/>
        </w:rPr>
        <w:fldChar w:fldCharType="begin"/>
      </w:r>
      <w:r w:rsidRPr="0047261E">
        <w:rPr>
          <w:rFonts w:eastAsia="Times New Roman" w:cs="Times New Roman"/>
          <w:kern w:val="3"/>
          <w:szCs w:val="24"/>
          <w:lang w:eastAsia="ru-RU" w:bidi="hi-IN"/>
        </w:rPr>
        <w:instrText xml:space="preserve"> INCLUDEPICTURE  "Z:\\GOROHO~1\\AppData\\Local\\Temp\\FineReader12.00\\media\\image1.jpeg" \* MERGEFORMATINET </w:instrText>
      </w:r>
      <w:r w:rsidRPr="0047261E">
        <w:rPr>
          <w:rFonts w:eastAsia="Times New Roman" w:cs="Times New Roman"/>
          <w:kern w:val="3"/>
          <w:szCs w:val="24"/>
          <w:lang w:eastAsia="ru-RU" w:bidi="hi-IN"/>
        </w:rPr>
        <w:fldChar w:fldCharType="separate"/>
      </w:r>
      <w:r w:rsidRPr="0047261E">
        <w:rPr>
          <w:rFonts w:eastAsia="Times New Roman" w:cs="Times New Roman"/>
          <w:kern w:val="3"/>
          <w:szCs w:val="24"/>
          <w:lang w:eastAsia="ru-RU" w:bidi="hi-IN"/>
        </w:rPr>
        <w:fldChar w:fldCharType="begin"/>
      </w:r>
      <w:r w:rsidRPr="0047261E">
        <w:rPr>
          <w:rFonts w:eastAsia="Times New Roman" w:cs="Times New Roman"/>
          <w:kern w:val="3"/>
          <w:szCs w:val="24"/>
          <w:lang w:eastAsia="ru-RU" w:bidi="hi-IN"/>
        </w:rPr>
        <w:instrText xml:space="preserve"> INCLUDEPICTURE  "Z:\\GOROHO~1\\AppData\\Local\\Temp\\FineReader12.00\\media\\image1.jpeg" \* MERGEFORMATINET </w:instrText>
      </w:r>
      <w:r w:rsidRPr="0047261E">
        <w:rPr>
          <w:rFonts w:eastAsia="Times New Roman" w:cs="Times New Roman"/>
          <w:kern w:val="3"/>
          <w:szCs w:val="24"/>
          <w:lang w:eastAsia="ru-RU" w:bidi="hi-IN"/>
        </w:rPr>
        <w:fldChar w:fldCharType="separate"/>
      </w:r>
      <w:r w:rsidRPr="0047261E">
        <w:rPr>
          <w:rFonts w:eastAsia="Times New Roman" w:cs="Times New Roman"/>
          <w:kern w:val="3"/>
          <w:szCs w:val="24"/>
          <w:lang w:eastAsia="ru-RU" w:bidi="hi-IN"/>
        </w:rPr>
        <w:fldChar w:fldCharType="begin"/>
      </w:r>
      <w:r w:rsidRPr="0047261E">
        <w:rPr>
          <w:rFonts w:eastAsia="Times New Roman" w:cs="Times New Roman"/>
          <w:kern w:val="3"/>
          <w:szCs w:val="24"/>
          <w:lang w:eastAsia="ru-RU" w:bidi="hi-IN"/>
        </w:rPr>
        <w:instrText xml:space="preserve"> INCLUDEPICTURE  "Z:\\GOROHO~1\\AppData\\Local\\Temp\\FineReader12.00\\media\\image1.jpeg" \* MERGEFORMATINET </w:instrText>
      </w:r>
      <w:r w:rsidRPr="0047261E">
        <w:rPr>
          <w:rFonts w:eastAsia="Times New Roman" w:cs="Times New Roman"/>
          <w:kern w:val="3"/>
          <w:szCs w:val="24"/>
          <w:lang w:eastAsia="ru-RU" w:bidi="hi-IN"/>
        </w:rPr>
        <w:fldChar w:fldCharType="separate"/>
      </w:r>
      <w:r w:rsidRPr="0047261E">
        <w:rPr>
          <w:rFonts w:eastAsia="Times New Roman" w:cs="Times New Roman"/>
          <w:kern w:val="3"/>
          <w:szCs w:val="24"/>
          <w:lang w:eastAsia="ru-RU" w:bidi="hi-IN"/>
        </w:rPr>
        <w:fldChar w:fldCharType="begin"/>
      </w:r>
      <w:r w:rsidRPr="0047261E">
        <w:rPr>
          <w:rFonts w:eastAsia="Times New Roman" w:cs="Times New Roman"/>
          <w:kern w:val="3"/>
          <w:szCs w:val="24"/>
          <w:lang w:eastAsia="ru-RU" w:bidi="hi-IN"/>
        </w:rPr>
        <w:instrText xml:space="preserve"> INCLUDEPICTURE  "Z:\\GOROHO~1\\AppData\\Local\\Temp\\FineReader12.00\\media\\image1.jpeg" \* MERGEFORMATINET </w:instrText>
      </w:r>
      <w:r w:rsidRPr="0047261E">
        <w:rPr>
          <w:rFonts w:eastAsia="Times New Roman" w:cs="Times New Roman"/>
          <w:kern w:val="3"/>
          <w:szCs w:val="24"/>
          <w:lang w:eastAsia="ru-RU" w:bidi="hi-IN"/>
        </w:rPr>
        <w:fldChar w:fldCharType="separate"/>
      </w:r>
      <w:r w:rsidR="00DB6446">
        <w:rPr>
          <w:rFonts w:eastAsia="Times New Roman" w:cs="Times New Roman"/>
          <w:kern w:val="3"/>
          <w:szCs w:val="24"/>
          <w:lang w:eastAsia="ru-RU" w:bidi="hi-IN"/>
        </w:rPr>
        <w:fldChar w:fldCharType="begin"/>
      </w:r>
      <w:r w:rsidR="00DB6446">
        <w:rPr>
          <w:rFonts w:eastAsia="Times New Roman" w:cs="Times New Roman"/>
          <w:kern w:val="3"/>
          <w:szCs w:val="24"/>
          <w:lang w:eastAsia="ru-RU" w:bidi="hi-IN"/>
        </w:rPr>
        <w:instrText xml:space="preserve"> INCLUDEPICTURE  "Z:\\GOROHO~1\\AppData\\Local\\Temp\\FineReader12.00\\media\\image1.jpeg" \* MERGEFORMATINET </w:instrText>
      </w:r>
      <w:r w:rsidR="00DB6446">
        <w:rPr>
          <w:rFonts w:eastAsia="Times New Roman" w:cs="Times New Roman"/>
          <w:kern w:val="3"/>
          <w:szCs w:val="24"/>
          <w:lang w:eastAsia="ru-RU" w:bidi="hi-IN"/>
        </w:rPr>
        <w:fldChar w:fldCharType="separate"/>
      </w:r>
      <w:r w:rsidR="00E74680">
        <w:rPr>
          <w:rFonts w:eastAsia="Times New Roman" w:cs="Times New Roman"/>
          <w:kern w:val="3"/>
          <w:szCs w:val="24"/>
          <w:lang w:eastAsia="ru-RU" w:bidi="hi-IN"/>
        </w:rPr>
        <w:fldChar w:fldCharType="begin"/>
      </w:r>
      <w:r w:rsidR="00E74680">
        <w:rPr>
          <w:rFonts w:eastAsia="Times New Roman" w:cs="Times New Roman"/>
          <w:kern w:val="3"/>
          <w:szCs w:val="24"/>
          <w:lang w:eastAsia="ru-RU" w:bidi="hi-IN"/>
        </w:rPr>
        <w:instrText xml:space="preserve"> INCLUDEPICTURE  "Z:\\GOROHO~1\\AppData\\Local\\Temp\\FineReader12.00\\media\\image1.jpeg" \* MERGEFORMATINET </w:instrText>
      </w:r>
      <w:r w:rsidR="00E74680">
        <w:rPr>
          <w:rFonts w:eastAsia="Times New Roman" w:cs="Times New Roman"/>
          <w:kern w:val="3"/>
          <w:szCs w:val="24"/>
          <w:lang w:eastAsia="ru-RU" w:bidi="hi-IN"/>
        </w:rPr>
        <w:fldChar w:fldCharType="separate"/>
      </w:r>
      <w:r w:rsidR="00A84264">
        <w:rPr>
          <w:rFonts w:eastAsia="Times New Roman" w:cs="Times New Roman"/>
          <w:kern w:val="3"/>
          <w:szCs w:val="24"/>
          <w:lang w:eastAsia="ru-RU" w:bidi="hi-IN"/>
        </w:rPr>
        <w:fldChar w:fldCharType="begin"/>
      </w:r>
      <w:r w:rsidR="00A84264">
        <w:rPr>
          <w:rFonts w:eastAsia="Times New Roman" w:cs="Times New Roman"/>
          <w:kern w:val="3"/>
          <w:szCs w:val="24"/>
          <w:lang w:eastAsia="ru-RU" w:bidi="hi-IN"/>
        </w:rPr>
        <w:instrText xml:space="preserve"> INCLUDEPICTURE  "Z:\\GOROHO~1\\AppData\\Local\\Temp\\FineReader12.00\\media\\image1.jpeg" \* MERGEFORMATINET </w:instrText>
      </w:r>
      <w:r w:rsidR="00A84264">
        <w:rPr>
          <w:rFonts w:eastAsia="Times New Roman" w:cs="Times New Roman"/>
          <w:kern w:val="3"/>
          <w:szCs w:val="24"/>
          <w:lang w:eastAsia="ru-RU" w:bidi="hi-IN"/>
        </w:rPr>
        <w:fldChar w:fldCharType="separate"/>
      </w:r>
      <w:r w:rsidR="0031368E">
        <w:rPr>
          <w:rFonts w:eastAsia="Times New Roman" w:cs="Times New Roman"/>
          <w:kern w:val="3"/>
          <w:szCs w:val="24"/>
          <w:lang w:eastAsia="ru-RU" w:bidi="hi-IN"/>
        </w:rPr>
        <w:fldChar w:fldCharType="begin"/>
      </w:r>
      <w:r w:rsidR="0031368E">
        <w:rPr>
          <w:rFonts w:eastAsia="Times New Roman" w:cs="Times New Roman"/>
          <w:kern w:val="3"/>
          <w:szCs w:val="24"/>
          <w:lang w:eastAsia="ru-RU" w:bidi="hi-IN"/>
        </w:rPr>
        <w:instrText xml:space="preserve"> INCLUDEPICTURE  "Z:\\GOROHO~1\\AppData\\Local\\Temp\\FineReader12.00\\media\\image1.jpeg" \* MERGEFORMATINET </w:instrText>
      </w:r>
      <w:r w:rsidR="0031368E">
        <w:rPr>
          <w:rFonts w:eastAsia="Times New Roman" w:cs="Times New Roman"/>
          <w:kern w:val="3"/>
          <w:szCs w:val="24"/>
          <w:lang w:eastAsia="ru-RU" w:bidi="hi-IN"/>
        </w:rPr>
        <w:fldChar w:fldCharType="separate"/>
      </w:r>
      <w:r w:rsidR="0018667B">
        <w:rPr>
          <w:rFonts w:eastAsia="Times New Roman" w:cs="Times New Roman"/>
          <w:kern w:val="3"/>
          <w:szCs w:val="24"/>
          <w:lang w:eastAsia="ru-RU" w:bidi="hi-IN"/>
        </w:rPr>
        <w:fldChar w:fldCharType="begin"/>
      </w:r>
      <w:r w:rsidR="0018667B">
        <w:rPr>
          <w:rFonts w:eastAsia="Times New Roman" w:cs="Times New Roman"/>
          <w:kern w:val="3"/>
          <w:szCs w:val="24"/>
          <w:lang w:eastAsia="ru-RU" w:bidi="hi-IN"/>
        </w:rPr>
        <w:instrText xml:space="preserve"> INCLUDEPICTURE  "Z:\\GOROHO~1\\AppData\\Local\\Temp\\FineReader12.00\\media\\image1.jpeg" \* MERGEFORMATINET </w:instrText>
      </w:r>
      <w:r w:rsidR="0018667B">
        <w:rPr>
          <w:rFonts w:eastAsia="Times New Roman" w:cs="Times New Roman"/>
          <w:kern w:val="3"/>
          <w:szCs w:val="24"/>
          <w:lang w:eastAsia="ru-RU" w:bidi="hi-IN"/>
        </w:rPr>
        <w:fldChar w:fldCharType="separate"/>
      </w:r>
      <w:r w:rsidR="008F30BF">
        <w:rPr>
          <w:rFonts w:eastAsia="Times New Roman" w:cs="Times New Roman"/>
          <w:kern w:val="3"/>
          <w:szCs w:val="24"/>
          <w:lang w:eastAsia="ru-RU" w:bidi="hi-IN"/>
        </w:rPr>
        <w:fldChar w:fldCharType="begin"/>
      </w:r>
      <w:r w:rsidR="008F30BF">
        <w:rPr>
          <w:rFonts w:eastAsia="Times New Roman" w:cs="Times New Roman"/>
          <w:kern w:val="3"/>
          <w:szCs w:val="24"/>
          <w:lang w:eastAsia="ru-RU" w:bidi="hi-IN"/>
        </w:rPr>
        <w:instrText xml:space="preserve"> INCLUDEPICTURE  "Z:\\GOROHO~1\\AppData\\Local\\Temp\\FineReader12.00\\media\\image1.jpeg" \* MERGEFORMATINET </w:instrText>
      </w:r>
      <w:r w:rsidR="008F30BF">
        <w:rPr>
          <w:rFonts w:eastAsia="Times New Roman" w:cs="Times New Roman"/>
          <w:kern w:val="3"/>
          <w:szCs w:val="24"/>
          <w:lang w:eastAsia="ru-RU" w:bidi="hi-IN"/>
        </w:rPr>
        <w:fldChar w:fldCharType="separate"/>
      </w:r>
      <w:r w:rsidR="00727235">
        <w:rPr>
          <w:rFonts w:eastAsia="Times New Roman" w:cs="Times New Roman"/>
          <w:kern w:val="3"/>
          <w:szCs w:val="24"/>
          <w:lang w:eastAsia="ru-RU" w:bidi="hi-IN"/>
        </w:rPr>
        <w:fldChar w:fldCharType="begin"/>
      </w:r>
      <w:r w:rsidR="00727235">
        <w:rPr>
          <w:rFonts w:eastAsia="Times New Roman" w:cs="Times New Roman"/>
          <w:kern w:val="3"/>
          <w:szCs w:val="24"/>
          <w:lang w:eastAsia="ru-RU" w:bidi="hi-IN"/>
        </w:rPr>
        <w:instrText xml:space="preserve"> INCLUDEPICTURE  "Z:\\GOROHO~1\\AppData\\Local\\Temp\\FineReader12.00\\media\\image1.jpeg" \* MERGEFORMATINET </w:instrText>
      </w:r>
      <w:r w:rsidR="00727235">
        <w:rPr>
          <w:rFonts w:eastAsia="Times New Roman" w:cs="Times New Roman"/>
          <w:kern w:val="3"/>
          <w:szCs w:val="24"/>
          <w:lang w:eastAsia="ru-RU" w:bidi="hi-IN"/>
        </w:rPr>
        <w:fldChar w:fldCharType="separate"/>
      </w:r>
      <w:r w:rsidR="002277F9">
        <w:rPr>
          <w:rFonts w:eastAsia="Times New Roman" w:cs="Times New Roman"/>
          <w:kern w:val="3"/>
          <w:szCs w:val="24"/>
          <w:lang w:eastAsia="ru-RU" w:bidi="hi-IN"/>
        </w:rPr>
        <w:fldChar w:fldCharType="begin"/>
      </w:r>
      <w:r w:rsidR="002277F9">
        <w:rPr>
          <w:rFonts w:eastAsia="Times New Roman" w:cs="Times New Roman"/>
          <w:kern w:val="3"/>
          <w:szCs w:val="24"/>
          <w:lang w:eastAsia="ru-RU" w:bidi="hi-IN"/>
        </w:rPr>
        <w:instrText xml:space="preserve"> INCLUDEPICTURE  "\\\\192.168.10.102\\гбу\\GOROHO~1\\AppData\\Local\\Temp\\FineReader12.00\\media\\image1.jpeg" \* MERGEFORMATINET </w:instrText>
      </w:r>
      <w:r w:rsidR="002277F9">
        <w:rPr>
          <w:rFonts w:eastAsia="Times New Roman" w:cs="Times New Roman"/>
          <w:kern w:val="3"/>
          <w:szCs w:val="24"/>
          <w:lang w:eastAsia="ru-RU" w:bidi="hi-IN"/>
        </w:rPr>
        <w:fldChar w:fldCharType="separate"/>
      </w:r>
      <w:r w:rsidR="00041D42">
        <w:rPr>
          <w:rFonts w:eastAsia="Times New Roman" w:cs="Times New Roman"/>
          <w:kern w:val="3"/>
          <w:szCs w:val="24"/>
          <w:lang w:eastAsia="ru-RU" w:bidi="hi-IN"/>
        </w:rPr>
        <w:fldChar w:fldCharType="begin"/>
      </w:r>
      <w:r w:rsidR="00041D42">
        <w:rPr>
          <w:rFonts w:eastAsia="Times New Roman" w:cs="Times New Roman"/>
          <w:kern w:val="3"/>
          <w:szCs w:val="24"/>
          <w:lang w:eastAsia="ru-RU" w:bidi="hi-IN"/>
        </w:rPr>
        <w:instrText xml:space="preserve"> INCLUDEPICTURE  "Z:\\GOROHO~1\\AppData\\Local\\Temp\\FineReader12.00\\media\\image1.jpeg" \* MERGEFORMATINET </w:instrText>
      </w:r>
      <w:r w:rsidR="00041D42">
        <w:rPr>
          <w:rFonts w:eastAsia="Times New Roman" w:cs="Times New Roman"/>
          <w:kern w:val="3"/>
          <w:szCs w:val="24"/>
          <w:lang w:eastAsia="ru-RU" w:bidi="hi-IN"/>
        </w:rPr>
        <w:fldChar w:fldCharType="separate"/>
      </w:r>
      <w:r w:rsidR="00D36CC5">
        <w:rPr>
          <w:rFonts w:eastAsia="Times New Roman" w:cs="Times New Roman"/>
          <w:kern w:val="3"/>
          <w:szCs w:val="24"/>
          <w:lang w:eastAsia="ru-RU" w:bidi="hi-IN"/>
        </w:rPr>
        <w:fldChar w:fldCharType="begin"/>
      </w:r>
      <w:r w:rsidR="00D36CC5">
        <w:rPr>
          <w:rFonts w:eastAsia="Times New Roman" w:cs="Times New Roman"/>
          <w:kern w:val="3"/>
          <w:szCs w:val="24"/>
          <w:lang w:eastAsia="ru-RU" w:bidi="hi-IN"/>
        </w:rPr>
        <w:instrText xml:space="preserve"> INCLUDEPICTURE  "Z:\\GOROHO~1\\AppData\\Local\\Temp\\FineReader12.00\\media\\image1.jpeg" \* MERGEFORMATINET </w:instrText>
      </w:r>
      <w:r w:rsidR="00D36CC5">
        <w:rPr>
          <w:rFonts w:eastAsia="Times New Roman" w:cs="Times New Roman"/>
          <w:kern w:val="3"/>
          <w:szCs w:val="24"/>
          <w:lang w:eastAsia="ru-RU" w:bidi="hi-IN"/>
        </w:rPr>
        <w:fldChar w:fldCharType="separate"/>
      </w:r>
      <w:r w:rsidR="009D5DEE">
        <w:rPr>
          <w:rFonts w:eastAsia="Times New Roman" w:cs="Times New Roman"/>
          <w:kern w:val="3"/>
          <w:szCs w:val="24"/>
          <w:lang w:eastAsia="ru-RU" w:bidi="hi-IN"/>
        </w:rPr>
        <w:fldChar w:fldCharType="begin"/>
      </w:r>
      <w:r w:rsidR="009D5DEE">
        <w:rPr>
          <w:rFonts w:eastAsia="Times New Roman" w:cs="Times New Roman"/>
          <w:kern w:val="3"/>
          <w:szCs w:val="24"/>
          <w:lang w:eastAsia="ru-RU" w:bidi="hi-IN"/>
        </w:rPr>
        <w:instrText xml:space="preserve"> INCLUDEPICTURE  "Z:\\..\\GOROHO~1\\AppData\\Local\\Temp\\FineReader12.00\\media\\image1.jpeg" \* MERGEFORMATINET </w:instrText>
      </w:r>
      <w:r w:rsidR="009D5DEE">
        <w:rPr>
          <w:rFonts w:eastAsia="Times New Roman" w:cs="Times New Roman"/>
          <w:kern w:val="3"/>
          <w:szCs w:val="24"/>
          <w:lang w:eastAsia="ru-RU" w:bidi="hi-IN"/>
        </w:rPr>
        <w:fldChar w:fldCharType="separate"/>
      </w:r>
      <w:r w:rsidR="001166EA">
        <w:rPr>
          <w:rFonts w:eastAsia="Times New Roman" w:cs="Times New Roman"/>
          <w:kern w:val="3"/>
          <w:szCs w:val="24"/>
          <w:lang w:eastAsia="ru-RU" w:bidi="hi-IN"/>
        </w:rPr>
        <w:fldChar w:fldCharType="begin"/>
      </w:r>
      <w:r w:rsidR="001166EA">
        <w:rPr>
          <w:rFonts w:eastAsia="Times New Roman" w:cs="Times New Roman"/>
          <w:kern w:val="3"/>
          <w:szCs w:val="24"/>
          <w:lang w:eastAsia="ru-RU" w:bidi="hi-IN"/>
        </w:rPr>
        <w:instrText xml:space="preserve"> INCLUDEPICTURE  "\\\\192.168.10.102\\GOROHO~1\\AppData\\Local\\Temp\\FineReader12.00\\media\\image1.jpeg" \* MERGEFORMATINET </w:instrText>
      </w:r>
      <w:r w:rsidR="001166EA">
        <w:rPr>
          <w:rFonts w:eastAsia="Times New Roman" w:cs="Times New Roman"/>
          <w:kern w:val="3"/>
          <w:szCs w:val="24"/>
          <w:lang w:eastAsia="ru-RU" w:bidi="hi-IN"/>
        </w:rPr>
        <w:fldChar w:fldCharType="separate"/>
      </w:r>
      <w:r w:rsidR="00A21E6D">
        <w:rPr>
          <w:rFonts w:eastAsia="Times New Roman" w:cs="Times New Roman"/>
          <w:kern w:val="3"/>
          <w:szCs w:val="24"/>
          <w:lang w:eastAsia="ru-RU" w:bidi="hi-IN"/>
        </w:rPr>
        <w:fldChar w:fldCharType="begin"/>
      </w:r>
      <w:r w:rsidR="00A21E6D">
        <w:rPr>
          <w:rFonts w:eastAsia="Times New Roman" w:cs="Times New Roman"/>
          <w:kern w:val="3"/>
          <w:szCs w:val="24"/>
          <w:lang w:eastAsia="ru-RU" w:bidi="hi-IN"/>
        </w:rPr>
        <w:instrText xml:space="preserve"> INCLUDEPICTURE  "\\\\192.168.10.102\\GOROHO~1\\AppData\\Local\\Temp\\FineReader12.00\\media\\image1.jpeg" \* MERGEFORMATINET </w:instrText>
      </w:r>
      <w:r w:rsidR="00A21E6D">
        <w:rPr>
          <w:rFonts w:eastAsia="Times New Roman" w:cs="Times New Roman"/>
          <w:kern w:val="3"/>
          <w:szCs w:val="24"/>
          <w:lang w:eastAsia="ru-RU" w:bidi="hi-IN"/>
        </w:rPr>
        <w:fldChar w:fldCharType="separate"/>
      </w:r>
      <w:r w:rsidR="008E6468">
        <w:rPr>
          <w:rFonts w:eastAsia="Times New Roman" w:cs="Times New Roman"/>
          <w:kern w:val="3"/>
          <w:szCs w:val="24"/>
          <w:lang w:eastAsia="ru-RU" w:bidi="hi-IN"/>
        </w:rPr>
        <w:fldChar w:fldCharType="begin"/>
      </w:r>
      <w:r w:rsidR="008E6468">
        <w:rPr>
          <w:rFonts w:eastAsia="Times New Roman" w:cs="Times New Roman"/>
          <w:kern w:val="3"/>
          <w:szCs w:val="24"/>
          <w:lang w:eastAsia="ru-RU" w:bidi="hi-IN"/>
        </w:rPr>
        <w:instrText xml:space="preserve"> INCLUDEPICTURE  "\\\\192.168.10.102\\GOROHO~1\\AppData\\Local\\Temp\\FineReader12.00\\media\\image1.jpeg" \* MERGEFORMATINET </w:instrText>
      </w:r>
      <w:r w:rsidR="008E6468">
        <w:rPr>
          <w:rFonts w:eastAsia="Times New Roman" w:cs="Times New Roman"/>
          <w:kern w:val="3"/>
          <w:szCs w:val="24"/>
          <w:lang w:eastAsia="ru-RU" w:bidi="hi-IN"/>
        </w:rPr>
        <w:fldChar w:fldCharType="separate"/>
      </w:r>
      <w:r w:rsidR="005A116A">
        <w:rPr>
          <w:rFonts w:eastAsia="Times New Roman" w:cs="Times New Roman"/>
          <w:kern w:val="3"/>
          <w:szCs w:val="24"/>
          <w:lang w:eastAsia="ru-RU" w:bidi="hi-IN"/>
        </w:rPr>
        <w:fldChar w:fldCharType="begin"/>
      </w:r>
      <w:r w:rsidR="005A116A">
        <w:rPr>
          <w:rFonts w:eastAsia="Times New Roman" w:cs="Times New Roman"/>
          <w:kern w:val="3"/>
          <w:szCs w:val="24"/>
          <w:lang w:eastAsia="ru-RU" w:bidi="hi-IN"/>
        </w:rPr>
        <w:instrText xml:space="preserve"> INCLUDEPICTURE  "\\\\192.168.10.102\\GOROHO~1\\AppData\\Local\\Temp\\FineReader12.00\\media\\image1.jpeg" \* MERGEFORMATINET </w:instrText>
      </w:r>
      <w:r w:rsidR="005A116A">
        <w:rPr>
          <w:rFonts w:eastAsia="Times New Roman" w:cs="Times New Roman"/>
          <w:kern w:val="3"/>
          <w:szCs w:val="24"/>
          <w:lang w:eastAsia="ru-RU" w:bidi="hi-IN"/>
        </w:rPr>
        <w:fldChar w:fldCharType="separate"/>
      </w:r>
      <w:r w:rsidR="006B461D">
        <w:rPr>
          <w:rFonts w:eastAsia="Times New Roman" w:cs="Times New Roman"/>
          <w:kern w:val="3"/>
          <w:szCs w:val="24"/>
          <w:lang w:eastAsia="ru-RU" w:bidi="hi-IN"/>
        </w:rPr>
        <w:fldChar w:fldCharType="begin"/>
      </w:r>
      <w:r w:rsidR="006B461D">
        <w:rPr>
          <w:rFonts w:eastAsia="Times New Roman" w:cs="Times New Roman"/>
          <w:kern w:val="3"/>
          <w:szCs w:val="24"/>
          <w:lang w:eastAsia="ru-RU" w:bidi="hi-IN"/>
        </w:rPr>
        <w:instrText xml:space="preserve"> INCLUDEPICTURE  "\\\\192.168.10.102\\GOROHO~1\\AppData\\Local\\Temp\\FineReader12.00\\media\\image1.jpeg" \* MERGEFORMATINET </w:instrText>
      </w:r>
      <w:r w:rsidR="006B461D">
        <w:rPr>
          <w:rFonts w:eastAsia="Times New Roman" w:cs="Times New Roman"/>
          <w:kern w:val="3"/>
          <w:szCs w:val="24"/>
          <w:lang w:eastAsia="ru-RU" w:bidi="hi-IN"/>
        </w:rPr>
        <w:fldChar w:fldCharType="separate"/>
      </w:r>
      <w:r w:rsidR="008305D6">
        <w:rPr>
          <w:rFonts w:eastAsia="Times New Roman" w:cs="Times New Roman"/>
          <w:kern w:val="3"/>
          <w:szCs w:val="24"/>
          <w:lang w:eastAsia="ru-RU" w:bidi="hi-IN"/>
        </w:rPr>
        <w:fldChar w:fldCharType="begin"/>
      </w:r>
      <w:r w:rsidR="008305D6">
        <w:rPr>
          <w:rFonts w:eastAsia="Times New Roman" w:cs="Times New Roman"/>
          <w:kern w:val="3"/>
          <w:szCs w:val="24"/>
          <w:lang w:eastAsia="ru-RU" w:bidi="hi-IN"/>
        </w:rPr>
        <w:instrText xml:space="preserve"> INCLUDEPICTURE  "\\\\192.168.10.102\\GOROHO~1\\AppData\\Local\\Temp\\FineReader12.00\\media\\image1.jpeg" \* MERGEFORMATINET </w:instrText>
      </w:r>
      <w:r w:rsidR="008305D6">
        <w:rPr>
          <w:rFonts w:eastAsia="Times New Roman" w:cs="Times New Roman"/>
          <w:kern w:val="3"/>
          <w:szCs w:val="24"/>
          <w:lang w:eastAsia="ru-RU" w:bidi="hi-IN"/>
        </w:rPr>
        <w:fldChar w:fldCharType="separate"/>
      </w:r>
      <w:r w:rsidR="00B35A21">
        <w:rPr>
          <w:rFonts w:eastAsia="Times New Roman" w:cs="Times New Roman"/>
          <w:kern w:val="3"/>
          <w:szCs w:val="24"/>
          <w:lang w:eastAsia="ru-RU" w:bidi="hi-IN"/>
        </w:rPr>
        <w:fldChar w:fldCharType="begin"/>
      </w:r>
      <w:r w:rsidR="00B35A21">
        <w:rPr>
          <w:rFonts w:eastAsia="Times New Roman" w:cs="Times New Roman"/>
          <w:kern w:val="3"/>
          <w:szCs w:val="24"/>
          <w:lang w:eastAsia="ru-RU" w:bidi="hi-IN"/>
        </w:rPr>
        <w:instrText xml:space="preserve"> INCLUDEPICTURE  "\\\\192.168.10.102\\GOROHO~1\\AppData\\Local\\Temp\\FineReader12.00\\media\\image1.jpeg" \* MERGEFORMATINET </w:instrText>
      </w:r>
      <w:r w:rsidR="00B35A21">
        <w:rPr>
          <w:rFonts w:eastAsia="Times New Roman" w:cs="Times New Roman"/>
          <w:kern w:val="3"/>
          <w:szCs w:val="24"/>
          <w:lang w:eastAsia="ru-RU" w:bidi="hi-IN"/>
        </w:rPr>
        <w:fldChar w:fldCharType="separate"/>
      </w:r>
      <w:r w:rsidR="00642F73">
        <w:rPr>
          <w:rFonts w:eastAsia="Times New Roman" w:cs="Times New Roman"/>
          <w:kern w:val="3"/>
          <w:szCs w:val="24"/>
          <w:lang w:eastAsia="ru-RU" w:bidi="hi-IN"/>
        </w:rPr>
        <w:fldChar w:fldCharType="begin"/>
      </w:r>
      <w:r w:rsidR="00642F73">
        <w:rPr>
          <w:rFonts w:eastAsia="Times New Roman" w:cs="Times New Roman"/>
          <w:kern w:val="3"/>
          <w:szCs w:val="24"/>
          <w:lang w:eastAsia="ru-RU" w:bidi="hi-IN"/>
        </w:rPr>
        <w:instrText xml:space="preserve"> INCLUDEPICTURE  "\\\\192.168.10.102\\GOROHO~1\\AppData\\Local\\Temp\\FineReader12.00\\media\\image1.jpeg" \* MERGEFORMATINET </w:instrText>
      </w:r>
      <w:r w:rsidR="00642F73">
        <w:rPr>
          <w:rFonts w:eastAsia="Times New Roman" w:cs="Times New Roman"/>
          <w:kern w:val="3"/>
          <w:szCs w:val="24"/>
          <w:lang w:eastAsia="ru-RU" w:bidi="hi-IN"/>
        </w:rPr>
        <w:fldChar w:fldCharType="separate"/>
      </w:r>
      <w:r w:rsidR="00B773AA">
        <w:rPr>
          <w:rFonts w:eastAsia="Times New Roman" w:cs="Times New Roman"/>
          <w:kern w:val="3"/>
          <w:szCs w:val="24"/>
          <w:lang w:eastAsia="ru-RU" w:bidi="hi-IN"/>
        </w:rPr>
        <w:fldChar w:fldCharType="begin"/>
      </w:r>
      <w:r w:rsidR="00B773AA">
        <w:rPr>
          <w:rFonts w:eastAsia="Times New Roman" w:cs="Times New Roman"/>
          <w:kern w:val="3"/>
          <w:szCs w:val="24"/>
          <w:lang w:eastAsia="ru-RU" w:bidi="hi-IN"/>
        </w:rPr>
        <w:instrText xml:space="preserve"> INCLUDEPICTURE  "\\\\192.168.10.102\\GOROHO~1\\AppData\\Local\\Temp\\FineReader12.00\\media\\image1.jpeg" \* MERGEFORMATINET </w:instrText>
      </w:r>
      <w:r w:rsidR="00B773AA">
        <w:rPr>
          <w:rFonts w:eastAsia="Times New Roman" w:cs="Times New Roman"/>
          <w:kern w:val="3"/>
          <w:szCs w:val="24"/>
          <w:lang w:eastAsia="ru-RU" w:bidi="hi-IN"/>
        </w:rPr>
        <w:fldChar w:fldCharType="separate"/>
      </w:r>
      <w:r w:rsidR="003272F2">
        <w:rPr>
          <w:rFonts w:eastAsia="Times New Roman" w:cs="Times New Roman"/>
          <w:kern w:val="3"/>
          <w:szCs w:val="24"/>
          <w:lang w:eastAsia="ru-RU" w:bidi="hi-IN"/>
        </w:rPr>
        <w:fldChar w:fldCharType="begin"/>
      </w:r>
      <w:r w:rsidR="003272F2">
        <w:rPr>
          <w:rFonts w:eastAsia="Times New Roman" w:cs="Times New Roman"/>
          <w:kern w:val="3"/>
          <w:szCs w:val="24"/>
          <w:lang w:eastAsia="ru-RU" w:bidi="hi-IN"/>
        </w:rPr>
        <w:instrText xml:space="preserve"> INCLUDEPICTURE  "\\\\192.168.10.102\\GOROHO~1\\AppData\\Local\\Temp\\FineReader12.00\\media\\image1.jpeg" \* MERGEFORMATINET </w:instrText>
      </w:r>
      <w:r w:rsidR="003272F2">
        <w:rPr>
          <w:rFonts w:eastAsia="Times New Roman" w:cs="Times New Roman"/>
          <w:kern w:val="3"/>
          <w:szCs w:val="24"/>
          <w:lang w:eastAsia="ru-RU" w:bidi="hi-IN"/>
        </w:rPr>
        <w:fldChar w:fldCharType="separate"/>
      </w:r>
      <w:r w:rsidR="005A6921">
        <w:rPr>
          <w:rFonts w:eastAsia="Times New Roman" w:cs="Times New Roman"/>
          <w:kern w:val="3"/>
          <w:szCs w:val="24"/>
          <w:lang w:eastAsia="ru-RU" w:bidi="hi-IN"/>
        </w:rPr>
        <w:fldChar w:fldCharType="begin"/>
      </w:r>
      <w:r w:rsidR="005A6921">
        <w:rPr>
          <w:rFonts w:eastAsia="Times New Roman" w:cs="Times New Roman"/>
          <w:kern w:val="3"/>
          <w:szCs w:val="24"/>
          <w:lang w:eastAsia="ru-RU" w:bidi="hi-IN"/>
        </w:rPr>
        <w:instrText xml:space="preserve"> INCLUDEPICTURE  "\\\\192.168.10.102\\GOROHO~1\\AppData\\Local\\Temp\\FineReader12.00\\media\\image1.jpeg" \* MERGEFORMATINET </w:instrText>
      </w:r>
      <w:r w:rsidR="005A6921">
        <w:rPr>
          <w:rFonts w:eastAsia="Times New Roman" w:cs="Times New Roman"/>
          <w:kern w:val="3"/>
          <w:szCs w:val="24"/>
          <w:lang w:eastAsia="ru-RU" w:bidi="hi-IN"/>
        </w:rPr>
        <w:fldChar w:fldCharType="separate"/>
      </w:r>
      <w:r w:rsidR="00341082">
        <w:rPr>
          <w:rFonts w:eastAsia="Times New Roman" w:cs="Times New Roman"/>
          <w:kern w:val="3"/>
          <w:szCs w:val="24"/>
          <w:lang w:eastAsia="ru-RU" w:bidi="hi-IN"/>
        </w:rPr>
        <w:fldChar w:fldCharType="begin"/>
      </w:r>
      <w:r w:rsidR="00341082">
        <w:rPr>
          <w:rFonts w:eastAsia="Times New Roman" w:cs="Times New Roman"/>
          <w:kern w:val="3"/>
          <w:szCs w:val="24"/>
          <w:lang w:eastAsia="ru-RU" w:bidi="hi-IN"/>
        </w:rPr>
        <w:instrText xml:space="preserve"> INCLUDEPICTURE  "\\\\192.168.10.102\\GOROHO~1\\AppData\\Local\\Temp\\FineReader12.00\\media\\image1.jpeg" \* MERGEFORMATINET </w:instrText>
      </w:r>
      <w:r w:rsidR="00341082">
        <w:rPr>
          <w:rFonts w:eastAsia="Times New Roman" w:cs="Times New Roman"/>
          <w:kern w:val="3"/>
          <w:szCs w:val="24"/>
          <w:lang w:eastAsia="ru-RU" w:bidi="hi-IN"/>
        </w:rPr>
        <w:fldChar w:fldCharType="separate"/>
      </w:r>
      <w:r w:rsidR="00AF0B51">
        <w:rPr>
          <w:rFonts w:eastAsia="Times New Roman" w:cs="Times New Roman"/>
          <w:kern w:val="3"/>
          <w:szCs w:val="24"/>
          <w:lang w:eastAsia="ru-RU" w:bidi="hi-IN"/>
        </w:rPr>
        <w:fldChar w:fldCharType="begin"/>
      </w:r>
      <w:r w:rsidR="00AF0B51">
        <w:rPr>
          <w:rFonts w:eastAsia="Times New Roman" w:cs="Times New Roman"/>
          <w:kern w:val="3"/>
          <w:szCs w:val="24"/>
          <w:lang w:eastAsia="ru-RU" w:bidi="hi-IN"/>
        </w:rPr>
        <w:instrText xml:space="preserve"> INCLUDEPICTURE  "\\\\192.168.10.102\\GOROHO~1\\AppData\\Local\\Temp\\FineReader12.00\\media\\image1.jpeg" \* MERGEFORMATINET </w:instrText>
      </w:r>
      <w:r w:rsidR="00AF0B51">
        <w:rPr>
          <w:rFonts w:eastAsia="Times New Roman" w:cs="Times New Roman"/>
          <w:kern w:val="3"/>
          <w:szCs w:val="24"/>
          <w:lang w:eastAsia="ru-RU" w:bidi="hi-IN"/>
        </w:rPr>
        <w:fldChar w:fldCharType="separate"/>
      </w:r>
      <w:r w:rsidR="00132FB0">
        <w:rPr>
          <w:rFonts w:eastAsia="Times New Roman" w:cs="Times New Roman"/>
          <w:kern w:val="3"/>
          <w:szCs w:val="24"/>
          <w:lang w:eastAsia="ru-RU" w:bidi="hi-IN"/>
        </w:rPr>
        <w:fldChar w:fldCharType="begin"/>
      </w:r>
      <w:r w:rsidR="00132FB0">
        <w:rPr>
          <w:rFonts w:eastAsia="Times New Roman" w:cs="Times New Roman"/>
          <w:kern w:val="3"/>
          <w:szCs w:val="24"/>
          <w:lang w:eastAsia="ru-RU" w:bidi="hi-IN"/>
        </w:rPr>
        <w:instrText xml:space="preserve"> INCLUDEPICTURE  "\\\\192.168.10.102\\GOROHO~1\\AppData\\Local\\Temp\\FineReader12.00\\media\\image1.jpeg" \* MERGEFORMATINET </w:instrText>
      </w:r>
      <w:r w:rsidR="00132FB0">
        <w:rPr>
          <w:rFonts w:eastAsia="Times New Roman" w:cs="Times New Roman"/>
          <w:kern w:val="3"/>
          <w:szCs w:val="24"/>
          <w:lang w:eastAsia="ru-RU" w:bidi="hi-IN"/>
        </w:rPr>
        <w:fldChar w:fldCharType="separate"/>
      </w:r>
      <w:r w:rsidR="00DA6018">
        <w:rPr>
          <w:rFonts w:eastAsia="Times New Roman" w:cs="Times New Roman"/>
          <w:kern w:val="3"/>
          <w:szCs w:val="24"/>
          <w:lang w:eastAsia="ru-RU" w:bidi="hi-IN"/>
        </w:rPr>
        <w:fldChar w:fldCharType="begin"/>
      </w:r>
      <w:r w:rsidR="00DA6018">
        <w:rPr>
          <w:rFonts w:eastAsia="Times New Roman" w:cs="Times New Roman"/>
          <w:kern w:val="3"/>
          <w:szCs w:val="24"/>
          <w:lang w:eastAsia="ru-RU" w:bidi="hi-IN"/>
        </w:rPr>
        <w:instrText xml:space="preserve"> INCLUDEPICTURE  "\\\\192.168.10.102\\GOROHO~1\\AppData\\Local\\Temp\\FineReader12.00\\media\\image1.jpeg" \* MERGEFORMATINET </w:instrText>
      </w:r>
      <w:r w:rsidR="00DA6018">
        <w:rPr>
          <w:rFonts w:eastAsia="Times New Roman" w:cs="Times New Roman"/>
          <w:kern w:val="3"/>
          <w:szCs w:val="24"/>
          <w:lang w:eastAsia="ru-RU" w:bidi="hi-IN"/>
        </w:rPr>
        <w:fldChar w:fldCharType="separate"/>
      </w:r>
      <w:r w:rsidR="003124BA">
        <w:rPr>
          <w:rFonts w:eastAsia="Times New Roman" w:cs="Times New Roman"/>
          <w:kern w:val="3"/>
          <w:szCs w:val="24"/>
          <w:lang w:eastAsia="ru-RU" w:bidi="hi-IN"/>
        </w:rPr>
        <w:fldChar w:fldCharType="begin"/>
      </w:r>
      <w:r w:rsidR="003124BA">
        <w:rPr>
          <w:rFonts w:eastAsia="Times New Roman" w:cs="Times New Roman"/>
          <w:kern w:val="3"/>
          <w:szCs w:val="24"/>
          <w:lang w:eastAsia="ru-RU" w:bidi="hi-IN"/>
        </w:rPr>
        <w:instrText xml:space="preserve"> INCLUDEPICTURE  "\\\\192.168.10.102\\GOROHO~1\\AppData\\Local\\Temp\\FineReader12.00\\media\\image1.jpeg" \* MERGEFORMATINET </w:instrText>
      </w:r>
      <w:r w:rsidR="003124BA">
        <w:rPr>
          <w:rFonts w:eastAsia="Times New Roman" w:cs="Times New Roman"/>
          <w:kern w:val="3"/>
          <w:szCs w:val="24"/>
          <w:lang w:eastAsia="ru-RU" w:bidi="hi-IN"/>
        </w:rPr>
        <w:fldChar w:fldCharType="separate"/>
      </w:r>
      <w:r w:rsidR="00593154">
        <w:rPr>
          <w:rFonts w:eastAsia="Times New Roman" w:cs="Times New Roman"/>
          <w:kern w:val="3"/>
          <w:szCs w:val="24"/>
          <w:lang w:eastAsia="ru-RU" w:bidi="hi-IN"/>
        </w:rPr>
        <w:fldChar w:fldCharType="begin"/>
      </w:r>
      <w:r w:rsidR="00593154">
        <w:rPr>
          <w:rFonts w:eastAsia="Times New Roman" w:cs="Times New Roman"/>
          <w:kern w:val="3"/>
          <w:szCs w:val="24"/>
          <w:lang w:eastAsia="ru-RU" w:bidi="hi-IN"/>
        </w:rPr>
        <w:instrText xml:space="preserve"> INCLUDEPICTURE  "\\\\192.168.10.102\\GOROHO~1\\AppData\\Local\\Temp\\FineReader12.00\\media\\image1.jpeg" \* MERGEFORMATINET </w:instrText>
      </w:r>
      <w:r w:rsidR="00593154">
        <w:rPr>
          <w:rFonts w:eastAsia="Times New Roman" w:cs="Times New Roman"/>
          <w:kern w:val="3"/>
          <w:szCs w:val="24"/>
          <w:lang w:eastAsia="ru-RU" w:bidi="hi-IN"/>
        </w:rPr>
        <w:fldChar w:fldCharType="separate"/>
      </w:r>
      <w:r w:rsidR="00631CA6">
        <w:rPr>
          <w:rFonts w:eastAsia="Times New Roman" w:cs="Times New Roman"/>
          <w:kern w:val="3"/>
          <w:szCs w:val="24"/>
          <w:lang w:eastAsia="ru-RU" w:bidi="hi-IN"/>
        </w:rPr>
        <w:fldChar w:fldCharType="begin"/>
      </w:r>
      <w:r w:rsidR="00631CA6">
        <w:rPr>
          <w:rFonts w:eastAsia="Times New Roman" w:cs="Times New Roman"/>
          <w:kern w:val="3"/>
          <w:szCs w:val="24"/>
          <w:lang w:eastAsia="ru-RU" w:bidi="hi-IN"/>
        </w:rPr>
        <w:instrText xml:space="preserve"> INCLUDEPICTURE  "\\\\192.168.10.102\\GOROHO~1\\AppData\\Local\\Temp\\FineReader12.00\\media\\image1.jpeg" \* MERGEFORMATINET </w:instrText>
      </w:r>
      <w:r w:rsidR="00631CA6">
        <w:rPr>
          <w:rFonts w:eastAsia="Times New Roman" w:cs="Times New Roman"/>
          <w:kern w:val="3"/>
          <w:szCs w:val="24"/>
          <w:lang w:eastAsia="ru-RU" w:bidi="hi-IN"/>
        </w:rPr>
        <w:fldChar w:fldCharType="separate"/>
      </w:r>
      <w:r w:rsidR="00F77A0E">
        <w:rPr>
          <w:rFonts w:eastAsia="Times New Roman" w:cs="Times New Roman"/>
          <w:kern w:val="3"/>
          <w:szCs w:val="24"/>
          <w:lang w:eastAsia="ru-RU" w:bidi="hi-IN"/>
        </w:rPr>
        <w:fldChar w:fldCharType="begin"/>
      </w:r>
      <w:r w:rsidR="00F77A0E">
        <w:rPr>
          <w:rFonts w:eastAsia="Times New Roman" w:cs="Times New Roman"/>
          <w:kern w:val="3"/>
          <w:szCs w:val="24"/>
          <w:lang w:eastAsia="ru-RU" w:bidi="hi-IN"/>
        </w:rPr>
        <w:instrText xml:space="preserve"> INCLUDEPICTURE  "\\\\192.168.10.102\\GOROHO~1\\AppData\\Local\\Temp\\FineReader12.00\\media\\image1.jpeg" \* MERGEFORMATINET </w:instrText>
      </w:r>
      <w:r w:rsidR="00F77A0E">
        <w:rPr>
          <w:rFonts w:eastAsia="Times New Roman" w:cs="Times New Roman"/>
          <w:kern w:val="3"/>
          <w:szCs w:val="24"/>
          <w:lang w:eastAsia="ru-RU" w:bidi="hi-IN"/>
        </w:rPr>
        <w:fldChar w:fldCharType="separate"/>
      </w:r>
      <w:r w:rsidR="00FC70C9">
        <w:rPr>
          <w:rFonts w:eastAsia="Times New Roman" w:cs="Times New Roman"/>
          <w:kern w:val="3"/>
          <w:szCs w:val="24"/>
          <w:lang w:eastAsia="ru-RU" w:bidi="hi-IN"/>
        </w:rPr>
        <w:fldChar w:fldCharType="begin"/>
      </w:r>
      <w:r w:rsidR="00FC70C9">
        <w:rPr>
          <w:rFonts w:eastAsia="Times New Roman" w:cs="Times New Roman"/>
          <w:kern w:val="3"/>
          <w:szCs w:val="24"/>
          <w:lang w:eastAsia="ru-RU" w:bidi="hi-IN"/>
        </w:rPr>
        <w:instrText xml:space="preserve"> INCLUDEPICTURE  "\\\\192.168.10.102\\GOROHO~1\\AppData\\Local\\Temp\\FineReader12.00\\media\\image1.jpeg" \* MERGEFORMATINET </w:instrText>
      </w:r>
      <w:r w:rsidR="00FC70C9">
        <w:rPr>
          <w:rFonts w:eastAsia="Times New Roman" w:cs="Times New Roman"/>
          <w:kern w:val="3"/>
          <w:szCs w:val="24"/>
          <w:lang w:eastAsia="ru-RU" w:bidi="hi-IN"/>
        </w:rPr>
        <w:fldChar w:fldCharType="separate"/>
      </w:r>
      <w:r w:rsidR="004534D0">
        <w:rPr>
          <w:rFonts w:eastAsia="Times New Roman" w:cs="Times New Roman"/>
          <w:kern w:val="3"/>
          <w:szCs w:val="24"/>
          <w:lang w:eastAsia="ru-RU" w:bidi="hi-IN"/>
        </w:rPr>
        <w:fldChar w:fldCharType="begin"/>
      </w:r>
      <w:r w:rsidR="004534D0">
        <w:rPr>
          <w:rFonts w:eastAsia="Times New Roman" w:cs="Times New Roman"/>
          <w:kern w:val="3"/>
          <w:szCs w:val="24"/>
          <w:lang w:eastAsia="ru-RU" w:bidi="hi-IN"/>
        </w:rPr>
        <w:instrText xml:space="preserve"> INCLUDEPICTURE  "\\\\192.168.10.102\\GOROHO~1\\AppData\\Local\\Temp\\FineReader12.00\\media\\image1.jpeg" \* MERGEFORMATINET </w:instrText>
      </w:r>
      <w:r w:rsidR="004534D0">
        <w:rPr>
          <w:rFonts w:eastAsia="Times New Roman" w:cs="Times New Roman"/>
          <w:kern w:val="3"/>
          <w:szCs w:val="24"/>
          <w:lang w:eastAsia="ru-RU" w:bidi="hi-IN"/>
        </w:rPr>
        <w:fldChar w:fldCharType="separate"/>
      </w:r>
      <w:r w:rsidR="009B50D1">
        <w:rPr>
          <w:rFonts w:eastAsia="Times New Roman" w:cs="Times New Roman"/>
          <w:kern w:val="3"/>
          <w:szCs w:val="24"/>
          <w:lang w:eastAsia="ru-RU" w:bidi="hi-IN"/>
        </w:rPr>
        <w:fldChar w:fldCharType="begin"/>
      </w:r>
      <w:r w:rsidR="009B50D1">
        <w:rPr>
          <w:rFonts w:eastAsia="Times New Roman" w:cs="Times New Roman"/>
          <w:kern w:val="3"/>
          <w:szCs w:val="24"/>
          <w:lang w:eastAsia="ru-RU" w:bidi="hi-IN"/>
        </w:rPr>
        <w:instrText xml:space="preserve"> INCLUDEPICTURE  "\\\\192.168.10.102\\GOROHO~1\\AppData\\Local\\Temp\\FineReader12.00\\media\\image1.jpeg" \* MERGEFORMATINET </w:instrText>
      </w:r>
      <w:r w:rsidR="009B50D1">
        <w:rPr>
          <w:rFonts w:eastAsia="Times New Roman" w:cs="Times New Roman"/>
          <w:kern w:val="3"/>
          <w:szCs w:val="24"/>
          <w:lang w:eastAsia="ru-RU" w:bidi="hi-IN"/>
        </w:rPr>
        <w:fldChar w:fldCharType="separate"/>
      </w:r>
      <w:r w:rsidR="00DD0565">
        <w:rPr>
          <w:rFonts w:eastAsia="Times New Roman" w:cs="Times New Roman"/>
          <w:kern w:val="3"/>
          <w:szCs w:val="24"/>
          <w:lang w:eastAsia="ru-RU" w:bidi="hi-IN"/>
        </w:rPr>
        <w:fldChar w:fldCharType="begin"/>
      </w:r>
      <w:r w:rsidR="00DD0565">
        <w:rPr>
          <w:rFonts w:eastAsia="Times New Roman" w:cs="Times New Roman"/>
          <w:kern w:val="3"/>
          <w:szCs w:val="24"/>
          <w:lang w:eastAsia="ru-RU" w:bidi="hi-IN"/>
        </w:rPr>
        <w:instrText xml:space="preserve"> INCLUDEPICTURE  "\\\\192.168.10.102\\GOROHO~1\\AppData\\Local\\Temp\\FineReader12.00\\media\\image1.jpeg" \* MERGEFORMATINET </w:instrText>
      </w:r>
      <w:r w:rsidR="00DD0565">
        <w:rPr>
          <w:rFonts w:eastAsia="Times New Roman" w:cs="Times New Roman"/>
          <w:kern w:val="3"/>
          <w:szCs w:val="24"/>
          <w:lang w:eastAsia="ru-RU" w:bidi="hi-IN"/>
        </w:rPr>
        <w:fldChar w:fldCharType="separate"/>
      </w:r>
      <w:r w:rsidR="005A45E0">
        <w:rPr>
          <w:rFonts w:eastAsia="Times New Roman" w:cs="Times New Roman"/>
          <w:kern w:val="3"/>
          <w:szCs w:val="24"/>
          <w:lang w:eastAsia="ru-RU" w:bidi="hi-IN"/>
        </w:rPr>
        <w:fldChar w:fldCharType="begin"/>
      </w:r>
      <w:r w:rsidR="005A45E0">
        <w:rPr>
          <w:rFonts w:eastAsia="Times New Roman" w:cs="Times New Roman"/>
          <w:kern w:val="3"/>
          <w:szCs w:val="24"/>
          <w:lang w:eastAsia="ru-RU" w:bidi="hi-IN"/>
        </w:rPr>
        <w:instrText xml:space="preserve"> INCLUDEPICTURE  "\\\\192.168.10.102\\GOROHO~1\\AppData\\Local\\Temp\\FineReader12.00\\media\\image1.jpeg" \* MERGEFORMATINET </w:instrText>
      </w:r>
      <w:r w:rsidR="005A45E0">
        <w:rPr>
          <w:rFonts w:eastAsia="Times New Roman" w:cs="Times New Roman"/>
          <w:kern w:val="3"/>
          <w:szCs w:val="24"/>
          <w:lang w:eastAsia="ru-RU" w:bidi="hi-IN"/>
        </w:rPr>
        <w:fldChar w:fldCharType="separate"/>
      </w:r>
      <w:r w:rsidR="003F185E">
        <w:rPr>
          <w:rFonts w:eastAsia="Times New Roman" w:cs="Times New Roman"/>
          <w:kern w:val="3"/>
          <w:szCs w:val="24"/>
          <w:lang w:eastAsia="ru-RU" w:bidi="hi-IN"/>
        </w:rPr>
        <w:fldChar w:fldCharType="begin"/>
      </w:r>
      <w:r w:rsidR="003F185E">
        <w:rPr>
          <w:rFonts w:eastAsia="Times New Roman" w:cs="Times New Roman"/>
          <w:kern w:val="3"/>
          <w:szCs w:val="24"/>
          <w:lang w:eastAsia="ru-RU" w:bidi="hi-IN"/>
        </w:rPr>
        <w:instrText xml:space="preserve"> INCLUDEPICTURE  "\\\\192.168.10.102\\GOROHO~1\\AppData\\Local\\Temp\\FineReader12.00\\media\\image1.jpeg" \* MERGEFORMATINET </w:instrText>
      </w:r>
      <w:r w:rsidR="003F185E">
        <w:rPr>
          <w:rFonts w:eastAsia="Times New Roman" w:cs="Times New Roman"/>
          <w:kern w:val="3"/>
          <w:szCs w:val="24"/>
          <w:lang w:eastAsia="ru-RU" w:bidi="hi-IN"/>
        </w:rPr>
        <w:fldChar w:fldCharType="separate"/>
      </w:r>
      <w:r w:rsidR="00FC09B0">
        <w:rPr>
          <w:rFonts w:eastAsia="Times New Roman" w:cs="Times New Roman"/>
          <w:kern w:val="3"/>
          <w:szCs w:val="24"/>
          <w:lang w:eastAsia="ru-RU" w:bidi="hi-IN"/>
        </w:rPr>
        <w:fldChar w:fldCharType="begin"/>
      </w:r>
      <w:r w:rsidR="00FC09B0">
        <w:rPr>
          <w:rFonts w:eastAsia="Times New Roman" w:cs="Times New Roman"/>
          <w:kern w:val="3"/>
          <w:szCs w:val="24"/>
          <w:lang w:eastAsia="ru-RU" w:bidi="hi-IN"/>
        </w:rPr>
        <w:instrText xml:space="preserve"> INCLUDEPICTURE  "\\\\192.168.10.102\\GOROHO~1\\AppData\\Local\\Temp\\FineReader12.00\\media\\image1.jpeg" \* MERGEFORMATINET </w:instrText>
      </w:r>
      <w:r w:rsidR="00FC09B0">
        <w:rPr>
          <w:rFonts w:eastAsia="Times New Roman" w:cs="Times New Roman"/>
          <w:kern w:val="3"/>
          <w:szCs w:val="24"/>
          <w:lang w:eastAsia="ru-RU" w:bidi="hi-IN"/>
        </w:rPr>
        <w:fldChar w:fldCharType="separate"/>
      </w:r>
      <w:r w:rsidR="00373B80">
        <w:rPr>
          <w:rFonts w:eastAsia="Times New Roman" w:cs="Times New Roman"/>
          <w:kern w:val="3"/>
          <w:szCs w:val="24"/>
          <w:lang w:eastAsia="ru-RU" w:bidi="hi-IN"/>
        </w:rPr>
        <w:fldChar w:fldCharType="begin"/>
      </w:r>
      <w:r w:rsidR="00373B80">
        <w:rPr>
          <w:rFonts w:eastAsia="Times New Roman" w:cs="Times New Roman"/>
          <w:kern w:val="3"/>
          <w:szCs w:val="24"/>
          <w:lang w:eastAsia="ru-RU" w:bidi="hi-IN"/>
        </w:rPr>
        <w:instrText xml:space="preserve"> INCLUDEPICTURE  "\\\\192.168.10.102\\GOROHO~1\\AppData\\Local\\Temp\\FineReader12.00\\media\\image1.jpeg" \* MERGEFORMATINET </w:instrText>
      </w:r>
      <w:r w:rsidR="00373B80">
        <w:rPr>
          <w:rFonts w:eastAsia="Times New Roman" w:cs="Times New Roman"/>
          <w:kern w:val="3"/>
          <w:szCs w:val="24"/>
          <w:lang w:eastAsia="ru-RU" w:bidi="hi-IN"/>
        </w:rPr>
        <w:fldChar w:fldCharType="separate"/>
      </w:r>
      <w:r w:rsidR="00B652C0">
        <w:rPr>
          <w:rFonts w:eastAsia="Times New Roman" w:cs="Times New Roman"/>
          <w:kern w:val="3"/>
          <w:szCs w:val="24"/>
          <w:lang w:eastAsia="ru-RU" w:bidi="hi-IN"/>
        </w:rPr>
        <w:fldChar w:fldCharType="begin"/>
      </w:r>
      <w:r w:rsidR="00B652C0">
        <w:rPr>
          <w:rFonts w:eastAsia="Times New Roman" w:cs="Times New Roman"/>
          <w:kern w:val="3"/>
          <w:szCs w:val="24"/>
          <w:lang w:eastAsia="ru-RU" w:bidi="hi-IN"/>
        </w:rPr>
        <w:instrText xml:space="preserve"> INCLUDEPICTURE  "\\\\192.168.10.102\\GOROHO~1\\AppData\\Local\\Temp\\FineReader12.00\\media\\image1.jpeg" \* MERGEFORMATINET </w:instrText>
      </w:r>
      <w:r w:rsidR="00B652C0">
        <w:rPr>
          <w:rFonts w:eastAsia="Times New Roman" w:cs="Times New Roman"/>
          <w:kern w:val="3"/>
          <w:szCs w:val="24"/>
          <w:lang w:eastAsia="ru-RU" w:bidi="hi-IN"/>
        </w:rPr>
        <w:fldChar w:fldCharType="separate"/>
      </w:r>
      <w:r w:rsidR="008C315E">
        <w:rPr>
          <w:rFonts w:eastAsia="Times New Roman" w:cs="Times New Roman"/>
          <w:kern w:val="3"/>
          <w:szCs w:val="24"/>
          <w:lang w:eastAsia="ru-RU" w:bidi="hi-IN"/>
        </w:rPr>
        <w:fldChar w:fldCharType="begin"/>
      </w:r>
      <w:r w:rsidR="008C315E">
        <w:rPr>
          <w:rFonts w:eastAsia="Times New Roman" w:cs="Times New Roman"/>
          <w:kern w:val="3"/>
          <w:szCs w:val="24"/>
          <w:lang w:eastAsia="ru-RU" w:bidi="hi-IN"/>
        </w:rPr>
        <w:instrText xml:space="preserve"> INCLUDEPICTURE  "\\\\192.168.10.102\\GOROHO~1\\AppData\\Local\\Temp\\FineReader12.00\\media\\image1.jpeg" \* MERGEFORMATINET </w:instrText>
      </w:r>
      <w:r w:rsidR="008C315E">
        <w:rPr>
          <w:rFonts w:eastAsia="Times New Roman" w:cs="Times New Roman"/>
          <w:kern w:val="3"/>
          <w:szCs w:val="24"/>
          <w:lang w:eastAsia="ru-RU" w:bidi="hi-IN"/>
        </w:rPr>
        <w:fldChar w:fldCharType="separate"/>
      </w:r>
      <w:r w:rsidR="00990867">
        <w:rPr>
          <w:rFonts w:eastAsia="Times New Roman" w:cs="Times New Roman"/>
          <w:kern w:val="3"/>
          <w:szCs w:val="24"/>
          <w:lang w:eastAsia="ru-RU" w:bidi="hi-IN"/>
        </w:rPr>
        <w:fldChar w:fldCharType="begin"/>
      </w:r>
      <w:r w:rsidR="00990867">
        <w:rPr>
          <w:rFonts w:eastAsia="Times New Roman" w:cs="Times New Roman"/>
          <w:kern w:val="3"/>
          <w:szCs w:val="24"/>
          <w:lang w:eastAsia="ru-RU" w:bidi="hi-IN"/>
        </w:rPr>
        <w:instrText xml:space="preserve"> INCLUDEPICTURE  "\\\\192.168.10.102\\GOROHO~1\\AppData\\Local\\Temp\\FineReader12.00\\media\\image1.jpeg" \* MERGEFORMATINET </w:instrText>
      </w:r>
      <w:r w:rsidR="00990867">
        <w:rPr>
          <w:rFonts w:eastAsia="Times New Roman" w:cs="Times New Roman"/>
          <w:kern w:val="3"/>
          <w:szCs w:val="24"/>
          <w:lang w:eastAsia="ru-RU" w:bidi="hi-IN"/>
        </w:rPr>
        <w:fldChar w:fldCharType="separate"/>
      </w:r>
      <w:r w:rsidR="00442C56">
        <w:rPr>
          <w:rFonts w:eastAsia="Times New Roman" w:cs="Times New Roman"/>
          <w:kern w:val="3"/>
          <w:szCs w:val="24"/>
          <w:lang w:eastAsia="ru-RU" w:bidi="hi-IN"/>
        </w:rPr>
        <w:fldChar w:fldCharType="begin"/>
      </w:r>
      <w:r w:rsidR="00442C56">
        <w:rPr>
          <w:rFonts w:eastAsia="Times New Roman" w:cs="Times New Roman"/>
          <w:kern w:val="3"/>
          <w:szCs w:val="24"/>
          <w:lang w:eastAsia="ru-RU" w:bidi="hi-IN"/>
        </w:rPr>
        <w:instrText xml:space="preserve"> INCLUDEPICTURE  "\\\\192.168.10.102\\GOROHO~1\\AppData\\Local\\Temp\\FineReader12.00\\media\\image1.jpeg" \* MERGEFORMATINET </w:instrText>
      </w:r>
      <w:r w:rsidR="00442C56">
        <w:rPr>
          <w:rFonts w:eastAsia="Times New Roman" w:cs="Times New Roman"/>
          <w:kern w:val="3"/>
          <w:szCs w:val="24"/>
          <w:lang w:eastAsia="ru-RU" w:bidi="hi-IN"/>
        </w:rPr>
        <w:fldChar w:fldCharType="separate"/>
      </w:r>
      <w:r w:rsidR="00784CD7">
        <w:rPr>
          <w:rFonts w:eastAsia="Times New Roman" w:cs="Times New Roman"/>
          <w:kern w:val="3"/>
          <w:szCs w:val="24"/>
          <w:lang w:eastAsia="ru-RU" w:bidi="hi-IN"/>
        </w:rPr>
        <w:fldChar w:fldCharType="begin"/>
      </w:r>
      <w:r w:rsidR="00784CD7">
        <w:rPr>
          <w:rFonts w:eastAsia="Times New Roman" w:cs="Times New Roman"/>
          <w:kern w:val="3"/>
          <w:szCs w:val="24"/>
          <w:lang w:eastAsia="ru-RU" w:bidi="hi-IN"/>
        </w:rPr>
        <w:instrText xml:space="preserve"> INCLUDEPICTURE  "\\\\192.168.10.102\\GOROHO~1\\AppData\\Local\\Temp\\FineReader12.00\\media\\image1.jpeg" \* MERGEFORMATINET </w:instrText>
      </w:r>
      <w:r w:rsidR="00784CD7">
        <w:rPr>
          <w:rFonts w:eastAsia="Times New Roman" w:cs="Times New Roman"/>
          <w:kern w:val="3"/>
          <w:szCs w:val="24"/>
          <w:lang w:eastAsia="ru-RU" w:bidi="hi-IN"/>
        </w:rPr>
        <w:fldChar w:fldCharType="separate"/>
      </w:r>
      <w:r w:rsidR="00AA34D8">
        <w:rPr>
          <w:rFonts w:eastAsia="Times New Roman" w:cs="Times New Roman"/>
          <w:kern w:val="3"/>
          <w:szCs w:val="24"/>
          <w:lang w:eastAsia="ru-RU" w:bidi="hi-IN"/>
        </w:rPr>
        <w:fldChar w:fldCharType="begin"/>
      </w:r>
      <w:r w:rsidR="00AA34D8">
        <w:rPr>
          <w:rFonts w:eastAsia="Times New Roman" w:cs="Times New Roman"/>
          <w:kern w:val="3"/>
          <w:szCs w:val="24"/>
          <w:lang w:eastAsia="ru-RU" w:bidi="hi-IN"/>
        </w:rPr>
        <w:instrText xml:space="preserve"> INCLUDEPICTURE  "\\\\192.168.10.102\\GOROHO~1\\AppData\\Local\\Temp\\FineReader12.00\\media\\image1.jpeg" \* MERGEFORMATINET </w:instrText>
      </w:r>
      <w:r w:rsidR="00AA34D8">
        <w:rPr>
          <w:rFonts w:eastAsia="Times New Roman" w:cs="Times New Roman"/>
          <w:kern w:val="3"/>
          <w:szCs w:val="24"/>
          <w:lang w:eastAsia="ru-RU" w:bidi="hi-IN"/>
        </w:rPr>
        <w:fldChar w:fldCharType="separate"/>
      </w:r>
      <w:r w:rsidR="00F154AB">
        <w:rPr>
          <w:rFonts w:eastAsia="Times New Roman" w:cs="Times New Roman"/>
          <w:kern w:val="3"/>
          <w:szCs w:val="24"/>
          <w:lang w:eastAsia="ru-RU" w:bidi="hi-IN"/>
        </w:rPr>
        <w:fldChar w:fldCharType="begin"/>
      </w:r>
      <w:r w:rsidR="00F154AB">
        <w:rPr>
          <w:rFonts w:eastAsia="Times New Roman" w:cs="Times New Roman"/>
          <w:kern w:val="3"/>
          <w:szCs w:val="24"/>
          <w:lang w:eastAsia="ru-RU" w:bidi="hi-IN"/>
        </w:rPr>
        <w:instrText xml:space="preserve"> INCLUDEPICTURE  "\\\\192.168.10.102\\GOROHO~1\\AppData\\Local\\Temp\\FineReader12.00\\media\\image1.jpeg" \* MERGEFORMATINET </w:instrText>
      </w:r>
      <w:r w:rsidR="00F154AB">
        <w:rPr>
          <w:rFonts w:eastAsia="Times New Roman" w:cs="Times New Roman"/>
          <w:kern w:val="3"/>
          <w:szCs w:val="24"/>
          <w:lang w:eastAsia="ru-RU" w:bidi="hi-IN"/>
        </w:rPr>
        <w:fldChar w:fldCharType="separate"/>
      </w:r>
      <w:r w:rsidR="009407A0">
        <w:rPr>
          <w:rFonts w:eastAsia="Times New Roman" w:cs="Times New Roman"/>
          <w:kern w:val="3"/>
          <w:szCs w:val="24"/>
          <w:lang w:eastAsia="ru-RU" w:bidi="hi-IN"/>
        </w:rPr>
        <w:fldChar w:fldCharType="begin"/>
      </w:r>
      <w:r w:rsidR="009407A0">
        <w:rPr>
          <w:rFonts w:eastAsia="Times New Roman" w:cs="Times New Roman"/>
          <w:kern w:val="3"/>
          <w:szCs w:val="24"/>
          <w:lang w:eastAsia="ru-RU" w:bidi="hi-IN"/>
        </w:rPr>
        <w:instrText xml:space="preserve"> INCLUDEPICTURE  "\\\\192.168.10.102\\GOROHO~1\\AppData\\Local\\Temp\\FineReader12.00\\media\\image1.jpeg" \* MERGEFORMATINET </w:instrText>
      </w:r>
      <w:r w:rsidR="009407A0">
        <w:rPr>
          <w:rFonts w:eastAsia="Times New Roman" w:cs="Times New Roman"/>
          <w:kern w:val="3"/>
          <w:szCs w:val="24"/>
          <w:lang w:eastAsia="ru-RU" w:bidi="hi-IN"/>
        </w:rPr>
        <w:fldChar w:fldCharType="separate"/>
      </w:r>
      <w:r w:rsidR="001E4B2F">
        <w:rPr>
          <w:rFonts w:eastAsia="Times New Roman" w:cs="Times New Roman"/>
          <w:kern w:val="3"/>
          <w:szCs w:val="24"/>
          <w:lang w:eastAsia="ru-RU" w:bidi="hi-IN"/>
        </w:rPr>
        <w:fldChar w:fldCharType="begin"/>
      </w:r>
      <w:r w:rsidR="001E4B2F">
        <w:rPr>
          <w:rFonts w:eastAsia="Times New Roman" w:cs="Times New Roman"/>
          <w:kern w:val="3"/>
          <w:szCs w:val="24"/>
          <w:lang w:eastAsia="ru-RU" w:bidi="hi-IN"/>
        </w:rPr>
        <w:instrText xml:space="preserve"> INCLUDEPICTURE  "\\\\192.168.10.102\\GOROHO~1\\AppData\\Local\\Temp\\FineReader12.00\\media\\image1.jpeg" \* MERGEFORMATINET </w:instrText>
      </w:r>
      <w:r w:rsidR="001E4B2F">
        <w:rPr>
          <w:rFonts w:eastAsia="Times New Roman" w:cs="Times New Roman"/>
          <w:kern w:val="3"/>
          <w:szCs w:val="24"/>
          <w:lang w:eastAsia="ru-RU" w:bidi="hi-IN"/>
        </w:rPr>
        <w:fldChar w:fldCharType="separate"/>
      </w:r>
      <w:r w:rsidR="004D5078">
        <w:rPr>
          <w:rFonts w:eastAsia="Times New Roman" w:cs="Times New Roman"/>
          <w:kern w:val="3"/>
          <w:szCs w:val="24"/>
          <w:lang w:eastAsia="ru-RU" w:bidi="hi-IN"/>
        </w:rPr>
        <w:fldChar w:fldCharType="begin"/>
      </w:r>
      <w:r w:rsidR="004D5078">
        <w:rPr>
          <w:rFonts w:eastAsia="Times New Roman" w:cs="Times New Roman"/>
          <w:kern w:val="3"/>
          <w:szCs w:val="24"/>
          <w:lang w:eastAsia="ru-RU" w:bidi="hi-IN"/>
        </w:rPr>
        <w:instrText xml:space="preserve"> INCLUDEPICTURE  "\\\\192.168.10.102\\GOROHO~1\\AppData\\Local\\Temp\\FineReader12.00\\media\\image1.jpeg" \* MERGEFORMATINET </w:instrText>
      </w:r>
      <w:r w:rsidR="004D5078">
        <w:rPr>
          <w:rFonts w:eastAsia="Times New Roman" w:cs="Times New Roman"/>
          <w:kern w:val="3"/>
          <w:szCs w:val="24"/>
          <w:lang w:eastAsia="ru-RU" w:bidi="hi-IN"/>
        </w:rPr>
        <w:fldChar w:fldCharType="separate"/>
      </w:r>
      <w:r w:rsidR="00651948">
        <w:rPr>
          <w:rFonts w:eastAsia="Times New Roman" w:cs="Times New Roman"/>
          <w:kern w:val="3"/>
          <w:szCs w:val="24"/>
          <w:lang w:eastAsia="ru-RU" w:bidi="hi-IN"/>
        </w:rPr>
        <w:fldChar w:fldCharType="begin"/>
      </w:r>
      <w:r w:rsidR="00651948">
        <w:rPr>
          <w:rFonts w:eastAsia="Times New Roman" w:cs="Times New Roman"/>
          <w:kern w:val="3"/>
          <w:szCs w:val="24"/>
          <w:lang w:eastAsia="ru-RU" w:bidi="hi-IN"/>
        </w:rPr>
        <w:instrText xml:space="preserve"> INCLUDEPICTURE  "\\\\192.168.10.102\\GOROHO~1\\AppData\\Local\\Temp\\FineReader12.00\\media\\image1.jpeg" \* MERGEFORMATINET </w:instrText>
      </w:r>
      <w:r w:rsidR="00651948">
        <w:rPr>
          <w:rFonts w:eastAsia="Times New Roman" w:cs="Times New Roman"/>
          <w:kern w:val="3"/>
          <w:szCs w:val="24"/>
          <w:lang w:eastAsia="ru-RU" w:bidi="hi-IN"/>
        </w:rPr>
        <w:fldChar w:fldCharType="separate"/>
      </w:r>
      <w:r w:rsidR="00C61036">
        <w:rPr>
          <w:rFonts w:eastAsia="Times New Roman" w:cs="Times New Roman"/>
          <w:kern w:val="3"/>
          <w:szCs w:val="24"/>
          <w:lang w:eastAsia="ru-RU" w:bidi="hi-IN"/>
        </w:rPr>
        <w:fldChar w:fldCharType="begin"/>
      </w:r>
      <w:r w:rsidR="00C61036">
        <w:rPr>
          <w:rFonts w:eastAsia="Times New Roman" w:cs="Times New Roman"/>
          <w:kern w:val="3"/>
          <w:szCs w:val="24"/>
          <w:lang w:eastAsia="ru-RU" w:bidi="hi-IN"/>
        </w:rPr>
        <w:instrText xml:space="preserve"> INCLUDEPICTURE  "\\\\192.168.10.102\\GOROHO~1\\AppData\\Local\\Temp\\FineReader12.00\\media\\image1.jpeg" \* MERGEFORMATINET </w:instrText>
      </w:r>
      <w:r w:rsidR="00C61036">
        <w:rPr>
          <w:rFonts w:eastAsia="Times New Roman" w:cs="Times New Roman"/>
          <w:kern w:val="3"/>
          <w:szCs w:val="24"/>
          <w:lang w:eastAsia="ru-RU" w:bidi="hi-IN"/>
        </w:rPr>
        <w:fldChar w:fldCharType="separate"/>
      </w:r>
      <w:r w:rsidR="00AA2A17">
        <w:rPr>
          <w:rFonts w:eastAsia="Times New Roman" w:cs="Times New Roman"/>
          <w:kern w:val="3"/>
          <w:szCs w:val="24"/>
          <w:lang w:eastAsia="ru-RU" w:bidi="hi-IN"/>
        </w:rPr>
        <w:fldChar w:fldCharType="begin"/>
      </w:r>
      <w:r w:rsidR="00AA2A17">
        <w:rPr>
          <w:rFonts w:eastAsia="Times New Roman" w:cs="Times New Roman"/>
          <w:kern w:val="3"/>
          <w:szCs w:val="24"/>
          <w:lang w:eastAsia="ru-RU" w:bidi="hi-IN"/>
        </w:rPr>
        <w:instrText xml:space="preserve"> INCLUDEPICTURE  "\\\\192.168.10.102\\GOROHO~1\\AppData\\Local\\Temp\\FineReader12.00\\media\\image1.jpeg" \* MERGEFORMATINET </w:instrText>
      </w:r>
      <w:r w:rsidR="00AA2A17">
        <w:rPr>
          <w:rFonts w:eastAsia="Times New Roman" w:cs="Times New Roman"/>
          <w:kern w:val="3"/>
          <w:szCs w:val="24"/>
          <w:lang w:eastAsia="ru-RU" w:bidi="hi-IN"/>
        </w:rPr>
        <w:fldChar w:fldCharType="separate"/>
      </w:r>
      <w:r w:rsidR="00D802EC">
        <w:rPr>
          <w:rFonts w:eastAsia="Times New Roman" w:cs="Times New Roman"/>
          <w:kern w:val="3"/>
          <w:szCs w:val="24"/>
          <w:lang w:eastAsia="ru-RU" w:bidi="hi-IN"/>
        </w:rPr>
        <w:fldChar w:fldCharType="begin"/>
      </w:r>
      <w:r w:rsidR="00D802EC">
        <w:rPr>
          <w:rFonts w:eastAsia="Times New Roman" w:cs="Times New Roman"/>
          <w:kern w:val="3"/>
          <w:szCs w:val="24"/>
          <w:lang w:eastAsia="ru-RU" w:bidi="hi-IN"/>
        </w:rPr>
        <w:instrText xml:space="preserve"> INCLUDEPICTURE  "\\\\192.168.10.102\\GOROHO~1\\AppData\\Local\\Temp\\FineReader12.00\\media\\image1.jpeg" \* MERGEFORMATINET </w:instrText>
      </w:r>
      <w:r w:rsidR="00D802EC">
        <w:rPr>
          <w:rFonts w:eastAsia="Times New Roman" w:cs="Times New Roman"/>
          <w:kern w:val="3"/>
          <w:szCs w:val="24"/>
          <w:lang w:eastAsia="ru-RU" w:bidi="hi-IN"/>
        </w:rPr>
        <w:fldChar w:fldCharType="separate"/>
      </w:r>
      <w:r w:rsidR="00414703">
        <w:rPr>
          <w:rFonts w:eastAsia="Times New Roman" w:cs="Times New Roman"/>
          <w:kern w:val="3"/>
          <w:szCs w:val="24"/>
          <w:lang w:eastAsia="ru-RU" w:bidi="hi-IN"/>
        </w:rPr>
        <w:fldChar w:fldCharType="begin"/>
      </w:r>
      <w:r w:rsidR="00414703">
        <w:rPr>
          <w:rFonts w:eastAsia="Times New Roman" w:cs="Times New Roman"/>
          <w:kern w:val="3"/>
          <w:szCs w:val="24"/>
          <w:lang w:eastAsia="ru-RU" w:bidi="hi-IN"/>
        </w:rPr>
        <w:instrText xml:space="preserve"> INCLUDEPICTURE  "\\\\192.168.10.102\\GOROHO~1\\AppData\\Local\\Temp\\FineReader12.00\\media\\image1.jpeg" \* MERGEFORMATINET </w:instrText>
      </w:r>
      <w:r w:rsidR="00414703">
        <w:rPr>
          <w:rFonts w:eastAsia="Times New Roman" w:cs="Times New Roman"/>
          <w:kern w:val="3"/>
          <w:szCs w:val="24"/>
          <w:lang w:eastAsia="ru-RU" w:bidi="hi-IN"/>
        </w:rPr>
        <w:fldChar w:fldCharType="separate"/>
      </w:r>
      <w:r w:rsidR="00594CD1">
        <w:rPr>
          <w:rFonts w:eastAsia="Times New Roman" w:cs="Times New Roman"/>
          <w:kern w:val="3"/>
          <w:szCs w:val="24"/>
          <w:lang w:eastAsia="ru-RU" w:bidi="hi-IN"/>
        </w:rPr>
        <w:fldChar w:fldCharType="begin"/>
      </w:r>
      <w:r w:rsidR="00594CD1">
        <w:rPr>
          <w:rFonts w:eastAsia="Times New Roman" w:cs="Times New Roman"/>
          <w:kern w:val="3"/>
          <w:szCs w:val="24"/>
          <w:lang w:eastAsia="ru-RU" w:bidi="hi-IN"/>
        </w:rPr>
        <w:instrText xml:space="preserve"> INCLUDEPICTURE  "\\\\192.168.10.102\\GOROHO~1\\AppData\\Local\\Temp\\FineReader12.00\\media\\image1.jpeg" \* MERGEFORMATINET </w:instrText>
      </w:r>
      <w:r w:rsidR="00594CD1">
        <w:rPr>
          <w:rFonts w:eastAsia="Times New Roman" w:cs="Times New Roman"/>
          <w:kern w:val="3"/>
          <w:szCs w:val="24"/>
          <w:lang w:eastAsia="ru-RU" w:bidi="hi-IN"/>
        </w:rPr>
        <w:fldChar w:fldCharType="separate"/>
      </w:r>
      <w:r w:rsidR="00CF779D">
        <w:rPr>
          <w:rFonts w:eastAsia="Times New Roman" w:cs="Times New Roman"/>
          <w:kern w:val="3"/>
          <w:szCs w:val="24"/>
          <w:lang w:eastAsia="ru-RU" w:bidi="hi-IN"/>
        </w:rPr>
        <w:fldChar w:fldCharType="begin"/>
      </w:r>
      <w:r w:rsidR="00CF779D">
        <w:rPr>
          <w:rFonts w:eastAsia="Times New Roman" w:cs="Times New Roman"/>
          <w:kern w:val="3"/>
          <w:szCs w:val="24"/>
          <w:lang w:eastAsia="ru-RU" w:bidi="hi-IN"/>
        </w:rPr>
        <w:instrText xml:space="preserve"> INCLUDEPICTURE  "\\\\192.168.10.102\\GOROHO~1\\AppData\\Local\\Temp\\FineReader12.00\\media\\image1.jpeg" \* MERGEFORMATINET </w:instrText>
      </w:r>
      <w:r w:rsidR="00CF779D">
        <w:rPr>
          <w:rFonts w:eastAsia="Times New Roman" w:cs="Times New Roman"/>
          <w:kern w:val="3"/>
          <w:szCs w:val="24"/>
          <w:lang w:eastAsia="ru-RU" w:bidi="hi-IN"/>
        </w:rPr>
        <w:fldChar w:fldCharType="separate"/>
      </w:r>
      <w:r w:rsidR="008B2763">
        <w:rPr>
          <w:rFonts w:eastAsia="Times New Roman" w:cs="Times New Roman"/>
          <w:kern w:val="3"/>
          <w:szCs w:val="24"/>
          <w:lang w:eastAsia="ru-RU" w:bidi="hi-IN"/>
        </w:rPr>
        <w:fldChar w:fldCharType="begin"/>
      </w:r>
      <w:r w:rsidR="008B2763">
        <w:rPr>
          <w:rFonts w:eastAsia="Times New Roman" w:cs="Times New Roman"/>
          <w:kern w:val="3"/>
          <w:szCs w:val="24"/>
          <w:lang w:eastAsia="ru-RU" w:bidi="hi-IN"/>
        </w:rPr>
        <w:instrText xml:space="preserve"> INCLUDEPICTURE  "\\\\192.168.10.102\\GOROHO~1\\AppData\\Local\\Temp\\FineReader12.00\\media\\image1.jpeg" \* MERGEFORMATINET </w:instrText>
      </w:r>
      <w:r w:rsidR="008B2763">
        <w:rPr>
          <w:rFonts w:eastAsia="Times New Roman" w:cs="Times New Roman"/>
          <w:kern w:val="3"/>
          <w:szCs w:val="24"/>
          <w:lang w:eastAsia="ru-RU" w:bidi="hi-IN"/>
        </w:rPr>
        <w:fldChar w:fldCharType="separate"/>
      </w:r>
      <w:r w:rsidR="00A90944">
        <w:rPr>
          <w:rFonts w:eastAsia="Times New Roman" w:cs="Times New Roman"/>
          <w:kern w:val="3"/>
          <w:szCs w:val="24"/>
          <w:lang w:eastAsia="ru-RU" w:bidi="hi-IN"/>
        </w:rPr>
        <w:fldChar w:fldCharType="begin"/>
      </w:r>
      <w:r w:rsidR="00A90944">
        <w:rPr>
          <w:rFonts w:eastAsia="Times New Roman" w:cs="Times New Roman"/>
          <w:kern w:val="3"/>
          <w:szCs w:val="24"/>
          <w:lang w:eastAsia="ru-RU" w:bidi="hi-IN"/>
        </w:rPr>
        <w:instrText xml:space="preserve"> </w:instrText>
      </w:r>
      <w:r w:rsidR="00A90944">
        <w:rPr>
          <w:rFonts w:eastAsia="Times New Roman" w:cs="Times New Roman"/>
          <w:kern w:val="3"/>
          <w:szCs w:val="24"/>
          <w:lang w:eastAsia="ru-RU" w:bidi="hi-IN"/>
        </w:rPr>
        <w:instrText>INC</w:instrText>
      </w:r>
      <w:r w:rsidR="00A90944">
        <w:rPr>
          <w:rFonts w:eastAsia="Times New Roman" w:cs="Times New Roman"/>
          <w:kern w:val="3"/>
          <w:szCs w:val="24"/>
          <w:lang w:eastAsia="ru-RU" w:bidi="hi-IN"/>
        </w:rPr>
        <w:instrText>LUDEPICTURE  "\\\\192.168.10.102\\GOROHO~1\\AppData\\Local\\Temp\\FineReader12.00\\media\\image1.jpeg" \* MERGEFORMATINET</w:instrText>
      </w:r>
      <w:r w:rsidR="00A90944">
        <w:rPr>
          <w:rFonts w:eastAsia="Times New Roman" w:cs="Times New Roman"/>
          <w:kern w:val="3"/>
          <w:szCs w:val="24"/>
          <w:lang w:eastAsia="ru-RU" w:bidi="hi-IN"/>
        </w:rPr>
        <w:instrText xml:space="preserve"> </w:instrText>
      </w:r>
      <w:r w:rsidR="00A90944">
        <w:rPr>
          <w:rFonts w:eastAsia="Times New Roman" w:cs="Times New Roman"/>
          <w:kern w:val="3"/>
          <w:szCs w:val="24"/>
          <w:lang w:eastAsia="ru-RU" w:bidi="hi-IN"/>
        </w:rPr>
        <w:fldChar w:fldCharType="separate"/>
      </w:r>
      <w:r w:rsidR="00A90944">
        <w:rPr>
          <w:rFonts w:eastAsia="Times New Roman" w:cs="Times New Roman"/>
          <w:kern w:val="3"/>
          <w:szCs w:val="24"/>
          <w:lang w:eastAsia="ru-RU" w:bidi="hi-IN"/>
        </w:rPr>
        <w:pict w14:anchorId="1EE5CB4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71.7pt;height:204.85pt;mso-wrap-distance-left:0;mso-wrap-distance-top:0;mso-wrap-distance-right:0;mso-wrap-distance-bottom:0;mso-position-horizontal:absolute;mso-position-horizontal-relative:page;mso-position-vertical:absolute;mso-position-vertical-relative:page" o:allowincell="f" o:allowoverlap="f">
            <v:imagedata r:id="rId239" r:href="rId240"/>
          </v:shape>
        </w:pict>
      </w:r>
      <w:r w:rsidR="00A90944">
        <w:rPr>
          <w:rFonts w:eastAsia="Times New Roman" w:cs="Times New Roman"/>
          <w:kern w:val="3"/>
          <w:szCs w:val="24"/>
          <w:lang w:eastAsia="ru-RU" w:bidi="hi-IN"/>
        </w:rPr>
        <w:fldChar w:fldCharType="end"/>
      </w:r>
      <w:r w:rsidR="008B2763">
        <w:rPr>
          <w:rFonts w:eastAsia="Times New Roman" w:cs="Times New Roman"/>
          <w:kern w:val="3"/>
          <w:szCs w:val="24"/>
          <w:lang w:eastAsia="ru-RU" w:bidi="hi-IN"/>
        </w:rPr>
        <w:fldChar w:fldCharType="end"/>
      </w:r>
      <w:r w:rsidR="00CF779D">
        <w:rPr>
          <w:rFonts w:eastAsia="Times New Roman" w:cs="Times New Roman"/>
          <w:kern w:val="3"/>
          <w:szCs w:val="24"/>
          <w:lang w:eastAsia="ru-RU" w:bidi="hi-IN"/>
        </w:rPr>
        <w:fldChar w:fldCharType="end"/>
      </w:r>
      <w:r w:rsidR="00594CD1">
        <w:rPr>
          <w:rFonts w:eastAsia="Times New Roman" w:cs="Times New Roman"/>
          <w:kern w:val="3"/>
          <w:szCs w:val="24"/>
          <w:lang w:eastAsia="ru-RU" w:bidi="hi-IN"/>
        </w:rPr>
        <w:fldChar w:fldCharType="end"/>
      </w:r>
      <w:r w:rsidR="00414703">
        <w:rPr>
          <w:rFonts w:eastAsia="Times New Roman" w:cs="Times New Roman"/>
          <w:kern w:val="3"/>
          <w:szCs w:val="24"/>
          <w:lang w:eastAsia="ru-RU" w:bidi="hi-IN"/>
        </w:rPr>
        <w:fldChar w:fldCharType="end"/>
      </w:r>
      <w:r w:rsidR="00D802EC">
        <w:rPr>
          <w:rFonts w:eastAsia="Times New Roman" w:cs="Times New Roman"/>
          <w:kern w:val="3"/>
          <w:szCs w:val="24"/>
          <w:lang w:eastAsia="ru-RU" w:bidi="hi-IN"/>
        </w:rPr>
        <w:fldChar w:fldCharType="end"/>
      </w:r>
      <w:r w:rsidR="00AA2A17">
        <w:rPr>
          <w:rFonts w:eastAsia="Times New Roman" w:cs="Times New Roman"/>
          <w:kern w:val="3"/>
          <w:szCs w:val="24"/>
          <w:lang w:eastAsia="ru-RU" w:bidi="hi-IN"/>
        </w:rPr>
        <w:fldChar w:fldCharType="end"/>
      </w:r>
      <w:r w:rsidR="00C61036">
        <w:rPr>
          <w:rFonts w:eastAsia="Times New Roman" w:cs="Times New Roman"/>
          <w:kern w:val="3"/>
          <w:szCs w:val="24"/>
          <w:lang w:eastAsia="ru-RU" w:bidi="hi-IN"/>
        </w:rPr>
        <w:fldChar w:fldCharType="end"/>
      </w:r>
      <w:r w:rsidR="00651948">
        <w:rPr>
          <w:rFonts w:eastAsia="Times New Roman" w:cs="Times New Roman"/>
          <w:kern w:val="3"/>
          <w:szCs w:val="24"/>
          <w:lang w:eastAsia="ru-RU" w:bidi="hi-IN"/>
        </w:rPr>
        <w:fldChar w:fldCharType="end"/>
      </w:r>
      <w:r w:rsidR="004D5078">
        <w:rPr>
          <w:rFonts w:eastAsia="Times New Roman" w:cs="Times New Roman"/>
          <w:kern w:val="3"/>
          <w:szCs w:val="24"/>
          <w:lang w:eastAsia="ru-RU" w:bidi="hi-IN"/>
        </w:rPr>
        <w:fldChar w:fldCharType="end"/>
      </w:r>
      <w:r w:rsidR="001E4B2F">
        <w:rPr>
          <w:rFonts w:eastAsia="Times New Roman" w:cs="Times New Roman"/>
          <w:kern w:val="3"/>
          <w:szCs w:val="24"/>
          <w:lang w:eastAsia="ru-RU" w:bidi="hi-IN"/>
        </w:rPr>
        <w:fldChar w:fldCharType="end"/>
      </w:r>
      <w:r w:rsidR="009407A0">
        <w:rPr>
          <w:rFonts w:eastAsia="Times New Roman" w:cs="Times New Roman"/>
          <w:kern w:val="3"/>
          <w:szCs w:val="24"/>
          <w:lang w:eastAsia="ru-RU" w:bidi="hi-IN"/>
        </w:rPr>
        <w:fldChar w:fldCharType="end"/>
      </w:r>
      <w:r w:rsidR="00F154AB">
        <w:rPr>
          <w:rFonts w:eastAsia="Times New Roman" w:cs="Times New Roman"/>
          <w:kern w:val="3"/>
          <w:szCs w:val="24"/>
          <w:lang w:eastAsia="ru-RU" w:bidi="hi-IN"/>
        </w:rPr>
        <w:fldChar w:fldCharType="end"/>
      </w:r>
      <w:r w:rsidR="00AA34D8">
        <w:rPr>
          <w:rFonts w:eastAsia="Times New Roman" w:cs="Times New Roman"/>
          <w:kern w:val="3"/>
          <w:szCs w:val="24"/>
          <w:lang w:eastAsia="ru-RU" w:bidi="hi-IN"/>
        </w:rPr>
        <w:fldChar w:fldCharType="end"/>
      </w:r>
      <w:r w:rsidR="00784CD7">
        <w:rPr>
          <w:rFonts w:eastAsia="Times New Roman" w:cs="Times New Roman"/>
          <w:kern w:val="3"/>
          <w:szCs w:val="24"/>
          <w:lang w:eastAsia="ru-RU" w:bidi="hi-IN"/>
        </w:rPr>
        <w:fldChar w:fldCharType="end"/>
      </w:r>
      <w:r w:rsidR="00442C56">
        <w:rPr>
          <w:rFonts w:eastAsia="Times New Roman" w:cs="Times New Roman"/>
          <w:kern w:val="3"/>
          <w:szCs w:val="24"/>
          <w:lang w:eastAsia="ru-RU" w:bidi="hi-IN"/>
        </w:rPr>
        <w:fldChar w:fldCharType="end"/>
      </w:r>
      <w:r w:rsidR="00990867">
        <w:rPr>
          <w:rFonts w:eastAsia="Times New Roman" w:cs="Times New Roman"/>
          <w:kern w:val="3"/>
          <w:szCs w:val="24"/>
          <w:lang w:eastAsia="ru-RU" w:bidi="hi-IN"/>
        </w:rPr>
        <w:fldChar w:fldCharType="end"/>
      </w:r>
      <w:r w:rsidR="008C315E">
        <w:rPr>
          <w:rFonts w:eastAsia="Times New Roman" w:cs="Times New Roman"/>
          <w:kern w:val="3"/>
          <w:szCs w:val="24"/>
          <w:lang w:eastAsia="ru-RU" w:bidi="hi-IN"/>
        </w:rPr>
        <w:fldChar w:fldCharType="end"/>
      </w:r>
      <w:r w:rsidR="00B652C0">
        <w:rPr>
          <w:rFonts w:eastAsia="Times New Roman" w:cs="Times New Roman"/>
          <w:kern w:val="3"/>
          <w:szCs w:val="24"/>
          <w:lang w:eastAsia="ru-RU" w:bidi="hi-IN"/>
        </w:rPr>
        <w:fldChar w:fldCharType="end"/>
      </w:r>
      <w:r w:rsidR="00373B80">
        <w:rPr>
          <w:rFonts w:eastAsia="Times New Roman" w:cs="Times New Roman"/>
          <w:kern w:val="3"/>
          <w:szCs w:val="24"/>
          <w:lang w:eastAsia="ru-RU" w:bidi="hi-IN"/>
        </w:rPr>
        <w:fldChar w:fldCharType="end"/>
      </w:r>
      <w:r w:rsidR="00FC09B0">
        <w:rPr>
          <w:rFonts w:eastAsia="Times New Roman" w:cs="Times New Roman"/>
          <w:kern w:val="3"/>
          <w:szCs w:val="24"/>
          <w:lang w:eastAsia="ru-RU" w:bidi="hi-IN"/>
        </w:rPr>
        <w:fldChar w:fldCharType="end"/>
      </w:r>
      <w:r w:rsidR="003F185E">
        <w:rPr>
          <w:rFonts w:eastAsia="Times New Roman" w:cs="Times New Roman"/>
          <w:kern w:val="3"/>
          <w:szCs w:val="24"/>
          <w:lang w:eastAsia="ru-RU" w:bidi="hi-IN"/>
        </w:rPr>
        <w:fldChar w:fldCharType="end"/>
      </w:r>
      <w:r w:rsidR="005A45E0">
        <w:rPr>
          <w:rFonts w:eastAsia="Times New Roman" w:cs="Times New Roman"/>
          <w:kern w:val="3"/>
          <w:szCs w:val="24"/>
          <w:lang w:eastAsia="ru-RU" w:bidi="hi-IN"/>
        </w:rPr>
        <w:fldChar w:fldCharType="end"/>
      </w:r>
      <w:r w:rsidR="00DD0565">
        <w:rPr>
          <w:rFonts w:eastAsia="Times New Roman" w:cs="Times New Roman"/>
          <w:kern w:val="3"/>
          <w:szCs w:val="24"/>
          <w:lang w:eastAsia="ru-RU" w:bidi="hi-IN"/>
        </w:rPr>
        <w:fldChar w:fldCharType="end"/>
      </w:r>
      <w:r w:rsidR="009B50D1">
        <w:rPr>
          <w:rFonts w:eastAsia="Times New Roman" w:cs="Times New Roman"/>
          <w:kern w:val="3"/>
          <w:szCs w:val="24"/>
          <w:lang w:eastAsia="ru-RU" w:bidi="hi-IN"/>
        </w:rPr>
        <w:fldChar w:fldCharType="end"/>
      </w:r>
      <w:r w:rsidR="004534D0">
        <w:rPr>
          <w:rFonts w:eastAsia="Times New Roman" w:cs="Times New Roman"/>
          <w:kern w:val="3"/>
          <w:szCs w:val="24"/>
          <w:lang w:eastAsia="ru-RU" w:bidi="hi-IN"/>
        </w:rPr>
        <w:fldChar w:fldCharType="end"/>
      </w:r>
      <w:r w:rsidR="00FC70C9">
        <w:rPr>
          <w:rFonts w:eastAsia="Times New Roman" w:cs="Times New Roman"/>
          <w:kern w:val="3"/>
          <w:szCs w:val="24"/>
          <w:lang w:eastAsia="ru-RU" w:bidi="hi-IN"/>
        </w:rPr>
        <w:fldChar w:fldCharType="end"/>
      </w:r>
      <w:r w:rsidR="00F77A0E">
        <w:rPr>
          <w:rFonts w:eastAsia="Times New Roman" w:cs="Times New Roman"/>
          <w:kern w:val="3"/>
          <w:szCs w:val="24"/>
          <w:lang w:eastAsia="ru-RU" w:bidi="hi-IN"/>
        </w:rPr>
        <w:fldChar w:fldCharType="end"/>
      </w:r>
      <w:r w:rsidR="00631CA6">
        <w:rPr>
          <w:rFonts w:eastAsia="Times New Roman" w:cs="Times New Roman"/>
          <w:kern w:val="3"/>
          <w:szCs w:val="24"/>
          <w:lang w:eastAsia="ru-RU" w:bidi="hi-IN"/>
        </w:rPr>
        <w:fldChar w:fldCharType="end"/>
      </w:r>
      <w:r w:rsidR="00593154">
        <w:rPr>
          <w:rFonts w:eastAsia="Times New Roman" w:cs="Times New Roman"/>
          <w:kern w:val="3"/>
          <w:szCs w:val="24"/>
          <w:lang w:eastAsia="ru-RU" w:bidi="hi-IN"/>
        </w:rPr>
        <w:fldChar w:fldCharType="end"/>
      </w:r>
      <w:r w:rsidR="003124BA">
        <w:rPr>
          <w:rFonts w:eastAsia="Times New Roman" w:cs="Times New Roman"/>
          <w:kern w:val="3"/>
          <w:szCs w:val="24"/>
          <w:lang w:eastAsia="ru-RU" w:bidi="hi-IN"/>
        </w:rPr>
        <w:fldChar w:fldCharType="end"/>
      </w:r>
      <w:r w:rsidR="00DA6018">
        <w:rPr>
          <w:rFonts w:eastAsia="Times New Roman" w:cs="Times New Roman"/>
          <w:kern w:val="3"/>
          <w:szCs w:val="24"/>
          <w:lang w:eastAsia="ru-RU" w:bidi="hi-IN"/>
        </w:rPr>
        <w:fldChar w:fldCharType="end"/>
      </w:r>
      <w:r w:rsidR="00132FB0">
        <w:rPr>
          <w:rFonts w:eastAsia="Times New Roman" w:cs="Times New Roman"/>
          <w:kern w:val="3"/>
          <w:szCs w:val="24"/>
          <w:lang w:eastAsia="ru-RU" w:bidi="hi-IN"/>
        </w:rPr>
        <w:fldChar w:fldCharType="end"/>
      </w:r>
      <w:r w:rsidR="00AF0B51">
        <w:rPr>
          <w:rFonts w:eastAsia="Times New Roman" w:cs="Times New Roman"/>
          <w:kern w:val="3"/>
          <w:szCs w:val="24"/>
          <w:lang w:eastAsia="ru-RU" w:bidi="hi-IN"/>
        </w:rPr>
        <w:fldChar w:fldCharType="end"/>
      </w:r>
      <w:r w:rsidR="00341082">
        <w:rPr>
          <w:rFonts w:eastAsia="Times New Roman" w:cs="Times New Roman"/>
          <w:kern w:val="3"/>
          <w:szCs w:val="24"/>
          <w:lang w:eastAsia="ru-RU" w:bidi="hi-IN"/>
        </w:rPr>
        <w:fldChar w:fldCharType="end"/>
      </w:r>
      <w:r w:rsidR="005A6921">
        <w:rPr>
          <w:rFonts w:eastAsia="Times New Roman" w:cs="Times New Roman"/>
          <w:kern w:val="3"/>
          <w:szCs w:val="24"/>
          <w:lang w:eastAsia="ru-RU" w:bidi="hi-IN"/>
        </w:rPr>
        <w:fldChar w:fldCharType="end"/>
      </w:r>
      <w:r w:rsidR="003272F2">
        <w:rPr>
          <w:rFonts w:eastAsia="Times New Roman" w:cs="Times New Roman"/>
          <w:kern w:val="3"/>
          <w:szCs w:val="24"/>
          <w:lang w:eastAsia="ru-RU" w:bidi="hi-IN"/>
        </w:rPr>
        <w:fldChar w:fldCharType="end"/>
      </w:r>
      <w:r w:rsidR="00B773AA">
        <w:rPr>
          <w:rFonts w:eastAsia="Times New Roman" w:cs="Times New Roman"/>
          <w:kern w:val="3"/>
          <w:szCs w:val="24"/>
          <w:lang w:eastAsia="ru-RU" w:bidi="hi-IN"/>
        </w:rPr>
        <w:fldChar w:fldCharType="end"/>
      </w:r>
      <w:r w:rsidR="00642F73">
        <w:rPr>
          <w:rFonts w:eastAsia="Times New Roman" w:cs="Times New Roman"/>
          <w:kern w:val="3"/>
          <w:szCs w:val="24"/>
          <w:lang w:eastAsia="ru-RU" w:bidi="hi-IN"/>
        </w:rPr>
        <w:fldChar w:fldCharType="end"/>
      </w:r>
      <w:r w:rsidR="00B35A21">
        <w:rPr>
          <w:rFonts w:eastAsia="Times New Roman" w:cs="Times New Roman"/>
          <w:kern w:val="3"/>
          <w:szCs w:val="24"/>
          <w:lang w:eastAsia="ru-RU" w:bidi="hi-IN"/>
        </w:rPr>
        <w:fldChar w:fldCharType="end"/>
      </w:r>
      <w:r w:rsidR="008305D6">
        <w:rPr>
          <w:rFonts w:eastAsia="Times New Roman" w:cs="Times New Roman"/>
          <w:kern w:val="3"/>
          <w:szCs w:val="24"/>
          <w:lang w:eastAsia="ru-RU" w:bidi="hi-IN"/>
        </w:rPr>
        <w:fldChar w:fldCharType="end"/>
      </w:r>
      <w:r w:rsidR="006B461D">
        <w:rPr>
          <w:rFonts w:eastAsia="Times New Roman" w:cs="Times New Roman"/>
          <w:kern w:val="3"/>
          <w:szCs w:val="24"/>
          <w:lang w:eastAsia="ru-RU" w:bidi="hi-IN"/>
        </w:rPr>
        <w:fldChar w:fldCharType="end"/>
      </w:r>
      <w:r w:rsidR="005A116A">
        <w:rPr>
          <w:rFonts w:eastAsia="Times New Roman" w:cs="Times New Roman"/>
          <w:kern w:val="3"/>
          <w:szCs w:val="24"/>
          <w:lang w:eastAsia="ru-RU" w:bidi="hi-IN"/>
        </w:rPr>
        <w:fldChar w:fldCharType="end"/>
      </w:r>
      <w:r w:rsidR="008E6468">
        <w:rPr>
          <w:rFonts w:eastAsia="Times New Roman" w:cs="Times New Roman"/>
          <w:kern w:val="3"/>
          <w:szCs w:val="24"/>
          <w:lang w:eastAsia="ru-RU" w:bidi="hi-IN"/>
        </w:rPr>
        <w:fldChar w:fldCharType="end"/>
      </w:r>
      <w:r w:rsidR="00A21E6D">
        <w:rPr>
          <w:rFonts w:eastAsia="Times New Roman" w:cs="Times New Roman"/>
          <w:kern w:val="3"/>
          <w:szCs w:val="24"/>
          <w:lang w:eastAsia="ru-RU" w:bidi="hi-IN"/>
        </w:rPr>
        <w:fldChar w:fldCharType="end"/>
      </w:r>
      <w:r w:rsidR="001166EA">
        <w:rPr>
          <w:rFonts w:eastAsia="Times New Roman" w:cs="Times New Roman"/>
          <w:kern w:val="3"/>
          <w:szCs w:val="24"/>
          <w:lang w:eastAsia="ru-RU" w:bidi="hi-IN"/>
        </w:rPr>
        <w:fldChar w:fldCharType="end"/>
      </w:r>
      <w:r w:rsidR="009D5DEE">
        <w:rPr>
          <w:rFonts w:eastAsia="Times New Roman" w:cs="Times New Roman"/>
          <w:kern w:val="3"/>
          <w:szCs w:val="24"/>
          <w:lang w:eastAsia="ru-RU" w:bidi="hi-IN"/>
        </w:rPr>
        <w:fldChar w:fldCharType="end"/>
      </w:r>
      <w:r w:rsidR="00D36CC5">
        <w:rPr>
          <w:rFonts w:eastAsia="Times New Roman" w:cs="Times New Roman"/>
          <w:kern w:val="3"/>
          <w:szCs w:val="24"/>
          <w:lang w:eastAsia="ru-RU" w:bidi="hi-IN"/>
        </w:rPr>
        <w:fldChar w:fldCharType="end"/>
      </w:r>
      <w:r w:rsidR="00041D42">
        <w:rPr>
          <w:rFonts w:eastAsia="Times New Roman" w:cs="Times New Roman"/>
          <w:kern w:val="3"/>
          <w:szCs w:val="24"/>
          <w:lang w:eastAsia="ru-RU" w:bidi="hi-IN"/>
        </w:rPr>
        <w:fldChar w:fldCharType="end"/>
      </w:r>
      <w:r w:rsidR="002277F9">
        <w:rPr>
          <w:rFonts w:eastAsia="Times New Roman" w:cs="Times New Roman"/>
          <w:kern w:val="3"/>
          <w:szCs w:val="24"/>
          <w:lang w:eastAsia="ru-RU" w:bidi="hi-IN"/>
        </w:rPr>
        <w:fldChar w:fldCharType="end"/>
      </w:r>
      <w:r w:rsidR="00727235">
        <w:rPr>
          <w:rFonts w:eastAsia="Times New Roman" w:cs="Times New Roman"/>
          <w:kern w:val="3"/>
          <w:szCs w:val="24"/>
          <w:lang w:eastAsia="ru-RU" w:bidi="hi-IN"/>
        </w:rPr>
        <w:fldChar w:fldCharType="end"/>
      </w:r>
      <w:r w:rsidR="008F30BF">
        <w:rPr>
          <w:rFonts w:eastAsia="Times New Roman" w:cs="Times New Roman"/>
          <w:kern w:val="3"/>
          <w:szCs w:val="24"/>
          <w:lang w:eastAsia="ru-RU" w:bidi="hi-IN"/>
        </w:rPr>
        <w:fldChar w:fldCharType="end"/>
      </w:r>
      <w:r w:rsidR="0018667B">
        <w:rPr>
          <w:rFonts w:eastAsia="Times New Roman" w:cs="Times New Roman"/>
          <w:kern w:val="3"/>
          <w:szCs w:val="24"/>
          <w:lang w:eastAsia="ru-RU" w:bidi="hi-IN"/>
        </w:rPr>
        <w:fldChar w:fldCharType="end"/>
      </w:r>
      <w:r w:rsidR="0031368E">
        <w:rPr>
          <w:rFonts w:eastAsia="Times New Roman" w:cs="Times New Roman"/>
          <w:kern w:val="3"/>
          <w:szCs w:val="24"/>
          <w:lang w:eastAsia="ru-RU" w:bidi="hi-IN"/>
        </w:rPr>
        <w:fldChar w:fldCharType="end"/>
      </w:r>
      <w:r w:rsidR="00A84264">
        <w:rPr>
          <w:rFonts w:eastAsia="Times New Roman" w:cs="Times New Roman"/>
          <w:kern w:val="3"/>
          <w:szCs w:val="24"/>
          <w:lang w:eastAsia="ru-RU" w:bidi="hi-IN"/>
        </w:rPr>
        <w:fldChar w:fldCharType="end"/>
      </w:r>
      <w:r w:rsidR="00E74680">
        <w:rPr>
          <w:rFonts w:eastAsia="Times New Roman" w:cs="Times New Roman"/>
          <w:kern w:val="3"/>
          <w:szCs w:val="24"/>
          <w:lang w:eastAsia="ru-RU" w:bidi="hi-IN"/>
        </w:rPr>
        <w:fldChar w:fldCharType="end"/>
      </w:r>
      <w:r w:rsidR="00DB6446">
        <w:rPr>
          <w:rFonts w:eastAsia="Times New Roman" w:cs="Times New Roman"/>
          <w:kern w:val="3"/>
          <w:szCs w:val="24"/>
          <w:lang w:eastAsia="ru-RU" w:bidi="hi-IN"/>
        </w:rPr>
        <w:fldChar w:fldCharType="end"/>
      </w:r>
      <w:r w:rsidRPr="0047261E">
        <w:rPr>
          <w:rFonts w:eastAsia="Times New Roman" w:cs="Times New Roman"/>
          <w:kern w:val="3"/>
          <w:szCs w:val="24"/>
          <w:lang w:eastAsia="ru-RU" w:bidi="hi-IN"/>
        </w:rPr>
        <w:fldChar w:fldCharType="end"/>
      </w:r>
      <w:r w:rsidRPr="0047261E">
        <w:rPr>
          <w:rFonts w:eastAsia="Times New Roman" w:cs="Times New Roman"/>
          <w:kern w:val="3"/>
          <w:szCs w:val="24"/>
          <w:lang w:eastAsia="ru-RU" w:bidi="hi-IN"/>
        </w:rPr>
        <w:fldChar w:fldCharType="end"/>
      </w:r>
      <w:r w:rsidRPr="0047261E">
        <w:rPr>
          <w:rFonts w:eastAsia="Times New Roman" w:cs="Times New Roman"/>
          <w:kern w:val="3"/>
          <w:szCs w:val="24"/>
          <w:lang w:eastAsia="ru-RU" w:bidi="hi-IN"/>
        </w:rPr>
        <w:fldChar w:fldCharType="end"/>
      </w:r>
      <w:r w:rsidRPr="0047261E">
        <w:rPr>
          <w:rFonts w:eastAsia="Times New Roman" w:cs="Times New Roman"/>
          <w:kern w:val="3"/>
          <w:szCs w:val="24"/>
          <w:lang w:eastAsia="ru-RU" w:bidi="hi-IN"/>
        </w:rPr>
        <w:fldChar w:fldCharType="end"/>
      </w:r>
      <w:r w:rsidRPr="0047261E">
        <w:rPr>
          <w:rFonts w:eastAsia="Times New Roman" w:cs="Times New Roman"/>
          <w:kern w:val="3"/>
          <w:szCs w:val="24"/>
          <w:lang w:eastAsia="ru-RU" w:bidi="hi-IN"/>
        </w:rPr>
        <w:fldChar w:fldCharType="end"/>
      </w:r>
      <w:r w:rsidRPr="0047261E">
        <w:rPr>
          <w:rFonts w:eastAsia="Times New Roman" w:cs="Times New Roman"/>
          <w:kern w:val="3"/>
          <w:szCs w:val="24"/>
          <w:lang w:eastAsia="ru-RU" w:bidi="hi-IN"/>
        </w:rPr>
        <w:fldChar w:fldCharType="end"/>
      </w:r>
      <w:r w:rsidRPr="0047261E">
        <w:rPr>
          <w:rFonts w:eastAsia="Times New Roman" w:cs="Times New Roman"/>
          <w:kern w:val="3"/>
          <w:szCs w:val="24"/>
          <w:lang w:eastAsia="ru-RU" w:bidi="hi-IN"/>
        </w:rPr>
        <w:fldChar w:fldCharType="end"/>
      </w:r>
      <w:r w:rsidRPr="0047261E">
        <w:rPr>
          <w:rFonts w:eastAsia="Times New Roman" w:cs="Times New Roman"/>
          <w:kern w:val="3"/>
          <w:szCs w:val="24"/>
          <w:lang w:eastAsia="ru-RU" w:bidi="hi-IN"/>
        </w:rPr>
        <w:fldChar w:fldCharType="end"/>
      </w:r>
      <w:r w:rsidRPr="0047261E">
        <w:rPr>
          <w:rFonts w:eastAsia="Times New Roman" w:cs="Times New Roman"/>
          <w:kern w:val="3"/>
          <w:szCs w:val="24"/>
          <w:lang w:eastAsia="ru-RU" w:bidi="hi-IN"/>
        </w:rPr>
        <w:fldChar w:fldCharType="end"/>
      </w:r>
      <w:r w:rsidRPr="0047261E">
        <w:rPr>
          <w:rFonts w:eastAsia="Times New Roman" w:cs="Times New Roman"/>
          <w:kern w:val="3"/>
          <w:szCs w:val="24"/>
          <w:lang w:eastAsia="ru-RU" w:bidi="hi-IN"/>
        </w:rPr>
        <w:fldChar w:fldCharType="end"/>
      </w:r>
      <w:r w:rsidRPr="0047261E">
        <w:rPr>
          <w:rFonts w:eastAsia="Times New Roman" w:cs="Times New Roman"/>
          <w:kern w:val="3"/>
          <w:szCs w:val="24"/>
          <w:lang w:eastAsia="ru-RU" w:bidi="hi-IN"/>
        </w:rPr>
        <w:fldChar w:fldCharType="end"/>
      </w:r>
      <w:r w:rsidRPr="0047261E">
        <w:rPr>
          <w:rFonts w:eastAsia="Times New Roman" w:cs="Times New Roman"/>
          <w:kern w:val="3"/>
          <w:szCs w:val="24"/>
          <w:lang w:eastAsia="ru-RU" w:bidi="hi-IN"/>
        </w:rPr>
        <w:fldChar w:fldCharType="end"/>
      </w:r>
      <w:r w:rsidRPr="0047261E">
        <w:rPr>
          <w:rFonts w:eastAsia="Times New Roman" w:cs="Times New Roman"/>
          <w:kern w:val="3"/>
          <w:szCs w:val="24"/>
          <w:lang w:eastAsia="ru-RU" w:bidi="hi-IN"/>
        </w:rPr>
        <w:fldChar w:fldCharType="end"/>
      </w:r>
      <w:r w:rsidRPr="0047261E">
        <w:rPr>
          <w:rFonts w:eastAsia="Times New Roman" w:cs="Times New Roman"/>
          <w:kern w:val="3"/>
          <w:szCs w:val="24"/>
          <w:lang w:eastAsia="ru-RU" w:bidi="hi-IN"/>
        </w:rPr>
        <w:fldChar w:fldCharType="end"/>
      </w:r>
      <w:r w:rsidRPr="0047261E">
        <w:rPr>
          <w:rFonts w:eastAsia="Times New Roman" w:cs="Times New Roman"/>
          <w:kern w:val="3"/>
          <w:szCs w:val="24"/>
          <w:lang w:eastAsia="ru-RU" w:bidi="hi-IN"/>
        </w:rPr>
        <w:fldChar w:fldCharType="end"/>
      </w:r>
      <w:r w:rsidRPr="0047261E">
        <w:rPr>
          <w:rFonts w:eastAsia="Times New Roman" w:cs="Times New Roman"/>
          <w:kern w:val="3"/>
          <w:szCs w:val="24"/>
          <w:lang w:eastAsia="ru-RU" w:bidi="hi-IN"/>
        </w:rPr>
        <w:fldChar w:fldCharType="end"/>
      </w:r>
      <w:r w:rsidRPr="0047261E">
        <w:rPr>
          <w:rFonts w:eastAsia="Times New Roman" w:cs="Times New Roman"/>
          <w:kern w:val="3"/>
          <w:szCs w:val="24"/>
          <w:lang w:eastAsia="ru-RU" w:bidi="hi-IN"/>
        </w:rPr>
        <w:fldChar w:fldCharType="end"/>
      </w:r>
      <w:r w:rsidRPr="0047261E">
        <w:rPr>
          <w:rFonts w:eastAsia="Times New Roman" w:cs="Times New Roman"/>
          <w:kern w:val="3"/>
          <w:szCs w:val="24"/>
          <w:lang w:eastAsia="ru-RU" w:bidi="hi-IN"/>
        </w:rPr>
        <w:fldChar w:fldCharType="end"/>
      </w:r>
      <w:r w:rsidRPr="0047261E">
        <w:rPr>
          <w:rFonts w:eastAsia="Times New Roman" w:cs="Times New Roman"/>
          <w:kern w:val="3"/>
          <w:szCs w:val="24"/>
          <w:lang w:eastAsia="ru-RU" w:bidi="hi-IN"/>
        </w:rPr>
        <w:fldChar w:fldCharType="end"/>
      </w:r>
      <w:r w:rsidRPr="0047261E">
        <w:rPr>
          <w:rFonts w:eastAsia="Times New Roman" w:cs="Times New Roman"/>
          <w:kern w:val="3"/>
          <w:szCs w:val="24"/>
          <w:lang w:eastAsia="ru-RU" w:bidi="hi-IN"/>
        </w:rPr>
        <w:fldChar w:fldCharType="end"/>
      </w:r>
      <w:r w:rsidRPr="0047261E">
        <w:rPr>
          <w:rFonts w:eastAsia="Times New Roman" w:cs="Times New Roman"/>
          <w:kern w:val="3"/>
          <w:szCs w:val="24"/>
          <w:lang w:eastAsia="ru-RU" w:bidi="hi-IN"/>
        </w:rPr>
        <w:fldChar w:fldCharType="end"/>
      </w:r>
      <w:r w:rsidRPr="0047261E">
        <w:rPr>
          <w:rFonts w:eastAsia="Times New Roman" w:cs="Times New Roman"/>
          <w:kern w:val="3"/>
          <w:szCs w:val="24"/>
          <w:lang w:eastAsia="ru-RU" w:bidi="hi-IN"/>
        </w:rPr>
        <w:fldChar w:fldCharType="end"/>
      </w:r>
      <w:r w:rsidRPr="0047261E">
        <w:rPr>
          <w:rFonts w:eastAsia="Times New Roman" w:cs="Times New Roman"/>
          <w:kern w:val="3"/>
          <w:szCs w:val="24"/>
          <w:lang w:eastAsia="ru-RU" w:bidi="hi-IN"/>
        </w:rPr>
        <w:fldChar w:fldCharType="end"/>
      </w:r>
      <w:r w:rsidRPr="0047261E">
        <w:rPr>
          <w:rFonts w:eastAsia="Times New Roman" w:cs="Times New Roman"/>
          <w:kern w:val="3"/>
          <w:szCs w:val="24"/>
          <w:lang w:eastAsia="ru-RU" w:bidi="hi-IN"/>
        </w:rPr>
        <w:fldChar w:fldCharType="end"/>
      </w:r>
      <w:r w:rsidRPr="0047261E">
        <w:rPr>
          <w:rFonts w:eastAsia="Times New Roman" w:cs="Times New Roman"/>
          <w:kern w:val="3"/>
          <w:szCs w:val="24"/>
          <w:lang w:eastAsia="ru-RU" w:bidi="hi-IN"/>
        </w:rPr>
        <w:fldChar w:fldCharType="end"/>
      </w:r>
      <w:r w:rsidRPr="0047261E">
        <w:rPr>
          <w:rFonts w:eastAsia="Times New Roman" w:cs="Times New Roman"/>
          <w:kern w:val="3"/>
          <w:szCs w:val="24"/>
          <w:lang w:eastAsia="ru-RU" w:bidi="hi-IN"/>
        </w:rPr>
        <w:fldChar w:fldCharType="end"/>
      </w:r>
      <w:r w:rsidRPr="0047261E">
        <w:rPr>
          <w:rFonts w:eastAsia="Times New Roman" w:cs="Times New Roman"/>
          <w:kern w:val="3"/>
          <w:szCs w:val="24"/>
          <w:lang w:eastAsia="ru-RU" w:bidi="hi-IN"/>
        </w:rPr>
        <w:fldChar w:fldCharType="end"/>
      </w:r>
      <w:r w:rsidRPr="0047261E">
        <w:rPr>
          <w:rFonts w:eastAsia="Times New Roman" w:cs="Times New Roman"/>
          <w:kern w:val="3"/>
          <w:szCs w:val="24"/>
          <w:lang w:eastAsia="ru-RU" w:bidi="hi-IN"/>
        </w:rPr>
        <w:fldChar w:fldCharType="end"/>
      </w:r>
      <w:r w:rsidRPr="0047261E">
        <w:rPr>
          <w:rFonts w:eastAsia="Times New Roman" w:cs="Times New Roman"/>
          <w:kern w:val="3"/>
          <w:szCs w:val="24"/>
          <w:lang w:eastAsia="ru-RU" w:bidi="hi-IN"/>
        </w:rPr>
        <w:fldChar w:fldCharType="end"/>
      </w:r>
      <w:r w:rsidRPr="0047261E">
        <w:rPr>
          <w:rFonts w:eastAsia="Times New Roman" w:cs="Times New Roman"/>
          <w:kern w:val="3"/>
          <w:szCs w:val="24"/>
          <w:lang w:eastAsia="ru-RU" w:bidi="hi-IN"/>
        </w:rPr>
        <w:fldChar w:fldCharType="end"/>
      </w:r>
      <w:r w:rsidRPr="0047261E">
        <w:rPr>
          <w:rFonts w:eastAsia="Times New Roman" w:cs="Times New Roman"/>
          <w:kern w:val="3"/>
          <w:szCs w:val="24"/>
          <w:lang w:eastAsia="ru-RU" w:bidi="hi-IN"/>
        </w:rPr>
        <w:fldChar w:fldCharType="end"/>
      </w:r>
      <w:r w:rsidRPr="0047261E">
        <w:rPr>
          <w:rFonts w:eastAsia="Times New Roman" w:cs="Times New Roman"/>
          <w:kern w:val="3"/>
          <w:szCs w:val="24"/>
          <w:lang w:eastAsia="ru-RU" w:bidi="hi-IN"/>
        </w:rPr>
        <w:fldChar w:fldCharType="end"/>
      </w:r>
      <w:r w:rsidRPr="0047261E">
        <w:rPr>
          <w:rFonts w:eastAsia="Times New Roman" w:cs="Times New Roman"/>
          <w:kern w:val="3"/>
          <w:szCs w:val="24"/>
          <w:lang w:eastAsia="ru-RU" w:bidi="hi-IN"/>
        </w:rPr>
        <w:fldChar w:fldCharType="end"/>
      </w:r>
      <w:r w:rsidRPr="0047261E">
        <w:rPr>
          <w:rFonts w:eastAsia="Times New Roman" w:cs="Times New Roman"/>
          <w:kern w:val="3"/>
          <w:szCs w:val="24"/>
          <w:lang w:eastAsia="ru-RU" w:bidi="hi-IN"/>
        </w:rPr>
        <w:fldChar w:fldCharType="end"/>
      </w:r>
    </w:p>
    <w:p w14:paraId="35E9F0C4" w14:textId="53780459" w:rsidR="0047261E" w:rsidRPr="0047261E" w:rsidRDefault="0047261E" w:rsidP="0047261E">
      <w:pPr>
        <w:suppressLineNumbers/>
        <w:suppressAutoHyphens/>
        <w:autoSpaceDN w:val="0"/>
        <w:ind w:firstLine="0"/>
        <w:textAlignment w:val="baseline"/>
        <w:rPr>
          <w:rFonts w:eastAsia="Calibri" w:cs="Times New Roman"/>
          <w:i/>
          <w:iCs/>
          <w:color w:val="000000"/>
          <w:kern w:val="3"/>
          <w:szCs w:val="24"/>
          <w:lang w:eastAsia="ru-RU" w:bidi="ru-RU"/>
        </w:rPr>
      </w:pPr>
      <w:r w:rsidRPr="0047261E">
        <w:rPr>
          <w:rFonts w:eastAsia="Calibri" w:cs="Times New Roman"/>
          <w:i/>
          <w:iCs/>
          <w:kern w:val="3"/>
          <w:szCs w:val="24"/>
          <w:lang w:eastAsia="zh-CN"/>
        </w:rPr>
        <w:t xml:space="preserve">Рисунок </w:t>
      </w:r>
      <w:r w:rsidRPr="0047261E">
        <w:rPr>
          <w:rFonts w:eastAsia="Calibri" w:cs="Times New Roman"/>
          <w:i/>
          <w:iCs/>
          <w:kern w:val="3"/>
          <w:szCs w:val="24"/>
          <w:lang w:eastAsia="zh-CN"/>
        </w:rPr>
        <w:fldChar w:fldCharType="begin"/>
      </w:r>
      <w:r w:rsidRPr="0047261E">
        <w:rPr>
          <w:rFonts w:eastAsia="Calibri" w:cs="Times New Roman"/>
          <w:i/>
          <w:iCs/>
          <w:kern w:val="3"/>
          <w:szCs w:val="24"/>
          <w:lang w:eastAsia="zh-CN"/>
        </w:rPr>
        <w:instrText xml:space="preserve"> SEQ Рисунок \* ARABIC </w:instrText>
      </w:r>
      <w:r w:rsidRPr="0047261E">
        <w:rPr>
          <w:rFonts w:eastAsia="Calibri" w:cs="Times New Roman"/>
          <w:i/>
          <w:iCs/>
          <w:kern w:val="3"/>
          <w:szCs w:val="24"/>
          <w:lang w:eastAsia="zh-CN"/>
        </w:rPr>
        <w:fldChar w:fldCharType="separate"/>
      </w:r>
      <w:r w:rsidR="00FD2769">
        <w:rPr>
          <w:rFonts w:eastAsia="Calibri" w:cs="Times New Roman"/>
          <w:i/>
          <w:iCs/>
          <w:noProof/>
          <w:kern w:val="3"/>
          <w:szCs w:val="24"/>
          <w:lang w:eastAsia="zh-CN"/>
        </w:rPr>
        <w:t>40</w:t>
      </w:r>
      <w:r w:rsidRPr="0047261E">
        <w:rPr>
          <w:rFonts w:eastAsia="Calibri" w:cs="Times New Roman"/>
          <w:i/>
          <w:iCs/>
          <w:kern w:val="3"/>
          <w:szCs w:val="24"/>
          <w:lang w:eastAsia="zh-CN"/>
        </w:rPr>
        <w:fldChar w:fldCharType="end"/>
      </w:r>
      <w:r w:rsidRPr="0047261E">
        <w:rPr>
          <w:rFonts w:eastAsia="Calibri" w:cs="Times New Roman"/>
          <w:i/>
          <w:iCs/>
          <w:kern w:val="3"/>
          <w:szCs w:val="24"/>
          <w:lang w:eastAsia="zh-CN"/>
        </w:rPr>
        <w:t>. Динамика объема отгрузки товаров организациями в муниципальных образованиях Республики Саха (Якутия) в 2018 году, к январю-декабрю 2017 года (%)</w:t>
      </w:r>
    </w:p>
    <w:p w14:paraId="6AC64E24" w14:textId="77777777" w:rsidR="0047261E" w:rsidRPr="0047261E" w:rsidRDefault="0047261E" w:rsidP="0047261E">
      <w:pPr>
        <w:widowControl w:val="0"/>
        <w:spacing w:line="264" w:lineRule="exact"/>
        <w:ind w:right="-1" w:firstLine="709"/>
        <w:jc w:val="left"/>
        <w:rPr>
          <w:rFonts w:eastAsia="Arial Narrow" w:cs="Times New Roman"/>
          <w:kern w:val="3"/>
          <w:szCs w:val="24"/>
          <w:lang w:eastAsia="zh-CN" w:bidi="hi-IN"/>
        </w:rPr>
      </w:pPr>
    </w:p>
    <w:p w14:paraId="54B0AB18" w14:textId="77777777" w:rsidR="0047261E" w:rsidRPr="0047261E" w:rsidRDefault="0047261E" w:rsidP="0047261E">
      <w:pPr>
        <w:widowControl w:val="0"/>
        <w:spacing w:line="317" w:lineRule="exact"/>
        <w:ind w:right="-1" w:firstLine="709"/>
        <w:rPr>
          <w:rFonts w:eastAsia="Times New Roman" w:cs="Times New Roman"/>
          <w:kern w:val="3"/>
          <w:szCs w:val="24"/>
          <w:lang w:eastAsia="zh-CN" w:bidi="hi-IN"/>
        </w:rPr>
      </w:pPr>
      <w:r w:rsidRPr="0047261E">
        <w:rPr>
          <w:rFonts w:eastAsia="Times New Roman" w:cs="Times New Roman"/>
          <w:color w:val="000000"/>
          <w:kern w:val="3"/>
          <w:szCs w:val="24"/>
          <w:lang w:eastAsia="ru-RU" w:bidi="ru-RU"/>
        </w:rPr>
        <w:t xml:space="preserve">Объем </w:t>
      </w:r>
      <w:r w:rsidRPr="0047261E">
        <w:rPr>
          <w:rFonts w:eastAsia="Times New Roman" w:cs="Times New Roman"/>
          <w:i/>
          <w:iCs/>
          <w:color w:val="000000"/>
          <w:kern w:val="3"/>
          <w:szCs w:val="24"/>
          <w:shd w:val="clear" w:color="auto" w:fill="FFFFFF"/>
          <w:lang w:eastAsia="ru-RU" w:bidi="ru-RU"/>
        </w:rPr>
        <w:t>отгруженных товаров собственного производства</w:t>
      </w:r>
      <w:r w:rsidRPr="0047261E">
        <w:rPr>
          <w:rFonts w:eastAsia="Times New Roman" w:cs="Times New Roman"/>
          <w:color w:val="000000"/>
          <w:kern w:val="3"/>
          <w:szCs w:val="24"/>
          <w:lang w:eastAsia="ru-RU" w:bidi="ru-RU"/>
        </w:rPr>
        <w:t xml:space="preserve"> по отрасли «</w:t>
      </w:r>
      <w:r w:rsidRPr="0047261E">
        <w:rPr>
          <w:rFonts w:eastAsia="Times New Roman" w:cs="Times New Roman"/>
          <w:b/>
          <w:bCs/>
          <w:color w:val="000000"/>
          <w:kern w:val="3"/>
          <w:szCs w:val="24"/>
          <w:shd w:val="clear" w:color="auto" w:fill="FFFFFF"/>
          <w:lang w:eastAsia="ru-RU" w:bidi="ru-RU"/>
        </w:rPr>
        <w:t>сельское, лесное хозяйство, охота, рыболовство и рыбоводство</w:t>
      </w:r>
      <w:r w:rsidRPr="0047261E">
        <w:rPr>
          <w:rFonts w:eastAsia="Times New Roman" w:cs="Times New Roman"/>
          <w:color w:val="000000"/>
          <w:kern w:val="3"/>
          <w:szCs w:val="24"/>
          <w:lang w:eastAsia="ru-RU" w:bidi="ru-RU"/>
        </w:rPr>
        <w:t>» в действующих ценах составил в 2018 году 3429,6 млн. руб. (+5,9% к уровню 2017 года), в том числе субъектами малого предпринимательства - 1830,0 млн. руб. В разрезе муниципальных районов и городских округов значительный рост показателя по сравнению с 2017 годом зафиксирован в Анабарском (в 3,8р.), Булунском (2,2р.), Вилюйской (141%), Намском (1,7р.), Нижнеколымском (121%), Усть-Янском (в 3,3р.), ГО «Якутск» (104%).</w:t>
      </w:r>
    </w:p>
    <w:p w14:paraId="18A0A6D7" w14:textId="77777777" w:rsidR="0047261E" w:rsidRPr="0047261E" w:rsidRDefault="0047261E" w:rsidP="0047261E">
      <w:pPr>
        <w:widowControl w:val="0"/>
        <w:spacing w:line="317" w:lineRule="exact"/>
        <w:ind w:right="-1" w:firstLine="709"/>
        <w:rPr>
          <w:rFonts w:eastAsia="Times New Roman" w:cs="Times New Roman"/>
          <w:kern w:val="3"/>
          <w:szCs w:val="24"/>
          <w:lang w:eastAsia="zh-CN" w:bidi="hi-IN"/>
        </w:rPr>
      </w:pPr>
      <w:r w:rsidRPr="0047261E">
        <w:rPr>
          <w:rFonts w:eastAsia="Times New Roman" w:cs="Times New Roman"/>
          <w:color w:val="000000"/>
          <w:kern w:val="3"/>
          <w:szCs w:val="24"/>
          <w:lang w:eastAsia="ru-RU" w:bidi="ru-RU"/>
        </w:rPr>
        <w:t xml:space="preserve">По отрасли </w:t>
      </w:r>
      <w:r w:rsidRPr="0047261E">
        <w:rPr>
          <w:rFonts w:eastAsia="Times New Roman" w:cs="Times New Roman"/>
          <w:b/>
          <w:bCs/>
          <w:color w:val="000000"/>
          <w:kern w:val="3"/>
          <w:szCs w:val="24"/>
          <w:shd w:val="clear" w:color="auto" w:fill="FFFFFF"/>
          <w:lang w:eastAsia="ru-RU" w:bidi="ru-RU"/>
        </w:rPr>
        <w:t xml:space="preserve">«обрабатывающие производства» </w:t>
      </w:r>
      <w:r w:rsidRPr="0047261E">
        <w:rPr>
          <w:rFonts w:eastAsia="Times New Roman" w:cs="Times New Roman"/>
          <w:color w:val="000000"/>
          <w:kern w:val="3"/>
          <w:szCs w:val="24"/>
          <w:lang w:eastAsia="ru-RU" w:bidi="ru-RU"/>
        </w:rPr>
        <w:t>объем отгруженных товаров собственного производства составил 33792,8 млн. руб. (+2,3% к уровню 2017 г.), в том числе субъектами малого предпринимательства - 24864,1 млн. руб. (+1,9% или 73% всего объема). Среди муниципальных районов наибольший вклад в объемы - 15059,3 млн. руб. или 44,6% обеспечивается ГО «г. Якутск», а также Вилюйским, Хангаласским и Горным районами.</w:t>
      </w:r>
    </w:p>
    <w:p w14:paraId="662D47E4" w14:textId="77777777" w:rsidR="0047261E" w:rsidRPr="0047261E" w:rsidRDefault="0047261E" w:rsidP="0047261E">
      <w:pPr>
        <w:widowControl w:val="0"/>
        <w:spacing w:line="317" w:lineRule="exact"/>
        <w:ind w:right="-1" w:firstLine="709"/>
        <w:rPr>
          <w:rFonts w:eastAsia="Times New Roman" w:cs="Times New Roman"/>
          <w:kern w:val="3"/>
          <w:szCs w:val="24"/>
          <w:lang w:eastAsia="zh-CN" w:bidi="hi-IN"/>
        </w:rPr>
      </w:pPr>
      <w:r w:rsidRPr="0047261E">
        <w:rPr>
          <w:rFonts w:eastAsia="Times New Roman" w:cs="Times New Roman"/>
          <w:i/>
          <w:iCs/>
          <w:color w:val="000000"/>
          <w:kern w:val="3"/>
          <w:szCs w:val="24"/>
          <w:shd w:val="clear" w:color="auto" w:fill="FFFFFF"/>
          <w:lang w:eastAsia="ru-RU" w:bidi="ru-RU"/>
        </w:rPr>
        <w:t>Финансовый результат</w:t>
      </w:r>
      <w:r w:rsidRPr="0047261E">
        <w:rPr>
          <w:rFonts w:eastAsia="Times New Roman" w:cs="Times New Roman"/>
          <w:color w:val="000000"/>
          <w:kern w:val="3"/>
          <w:szCs w:val="24"/>
          <w:lang w:eastAsia="ru-RU" w:bidi="ru-RU"/>
        </w:rPr>
        <w:t xml:space="preserve"> (сальдо прибыли и убытков) организаций без учета субъектов малого предпринимательства за январь-ноябрь 2018 года в целом по республике сложился положительный и составил 211,3 млрд. руб. (142,5% к уровню 2017 года). Среди 34 муниципальных районов и 2 городских округов, согласно данным</w:t>
      </w:r>
      <w:r w:rsidRPr="0047261E">
        <w:rPr>
          <w:rFonts w:eastAsia="Times New Roman" w:cs="Times New Roman"/>
          <w:kern w:val="3"/>
          <w:szCs w:val="24"/>
          <w:lang w:eastAsia="zh-CN" w:bidi="hi-IN"/>
        </w:rPr>
        <w:t xml:space="preserve"> </w:t>
      </w:r>
      <w:r w:rsidRPr="0047261E">
        <w:rPr>
          <w:rFonts w:eastAsia="Times New Roman" w:cs="Times New Roman"/>
          <w:color w:val="000000"/>
          <w:kern w:val="3"/>
          <w:szCs w:val="24"/>
          <w:lang w:eastAsia="ru-RU" w:bidi="ru-RU"/>
        </w:rPr>
        <w:t>статистики, в 5 районах - Верхневилюйском, Мегино-Кангаласском, Олекминском, Усть- Янском, Хангаласском получены убытки. Организации промышленных районов демонстрируют наиболее высокие показатели прибыли - Мирнинский (97,5 млрд руб., рост 131,4% к соответствующему периоду 2017 года); Ленский (57 млрд руб., в 6 раз); Нюрбинский (18,6 млрд руб., 127,5%).</w:t>
      </w:r>
    </w:p>
    <w:p w14:paraId="722BE219" w14:textId="77777777" w:rsidR="0047261E" w:rsidRPr="0047261E" w:rsidRDefault="0047261E" w:rsidP="0047261E">
      <w:pPr>
        <w:widowControl w:val="0"/>
        <w:spacing w:line="317" w:lineRule="exact"/>
        <w:ind w:right="-1" w:firstLine="709"/>
        <w:rPr>
          <w:rFonts w:eastAsia="Times New Roman" w:cs="Times New Roman"/>
          <w:kern w:val="3"/>
          <w:szCs w:val="24"/>
          <w:lang w:eastAsia="zh-CN" w:bidi="hi-IN"/>
        </w:rPr>
      </w:pPr>
      <w:r w:rsidRPr="0047261E">
        <w:rPr>
          <w:rFonts w:eastAsia="Times New Roman" w:cs="Times New Roman"/>
          <w:color w:val="000000"/>
          <w:kern w:val="3"/>
          <w:szCs w:val="24"/>
          <w:lang w:eastAsia="ru-RU" w:bidi="ru-RU"/>
        </w:rPr>
        <w:t>Объем работ, выполненных по отрасли «</w:t>
      </w:r>
      <w:r w:rsidRPr="0047261E">
        <w:rPr>
          <w:rFonts w:eastAsia="Times New Roman" w:cs="Times New Roman"/>
          <w:i/>
          <w:iCs/>
          <w:color w:val="000000"/>
          <w:kern w:val="3"/>
          <w:szCs w:val="24"/>
          <w:shd w:val="clear" w:color="auto" w:fill="FFFFFF"/>
          <w:lang w:eastAsia="ru-RU" w:bidi="ru-RU"/>
        </w:rPr>
        <w:t>Строительство</w:t>
      </w:r>
      <w:r w:rsidRPr="0047261E">
        <w:rPr>
          <w:rFonts w:eastAsia="Times New Roman" w:cs="Times New Roman"/>
          <w:color w:val="000000"/>
          <w:kern w:val="3"/>
          <w:szCs w:val="24"/>
          <w:lang w:eastAsia="ru-RU" w:bidi="ru-RU"/>
        </w:rPr>
        <w:t>», составил по предварительным данным 159705,5 млн. руб. с ростом 4,5% в сопоставимых ценах к уровню 2017 года. 34,2% объемов строительных выполнено в Ленском, 17,8% - в Нерюнгринском районе, 15,4% всего строительства выполнено в РГЗ «Якутск». Значительный рост объемов выполненных работ наблюдался в арктических улусах - Булунском (2,3р.), Верхоянском (7,7р.), Усть-Янском (2,8р.), Эвено-Бытантайском (в 8р.), а также в Ленском, Нерюнгринском, Оймяконском районах и других; значительное снижение объемов выполненных строительных работ зафиксирован в Амгинском, Горном, Жиганском, Кобяйском, Момском, Нюрбинском, Сунтарском районах.</w:t>
      </w:r>
    </w:p>
    <w:p w14:paraId="188DC4FB" w14:textId="77777777" w:rsidR="0047261E" w:rsidRPr="0047261E" w:rsidRDefault="0047261E" w:rsidP="0047261E">
      <w:pPr>
        <w:widowControl w:val="0"/>
        <w:spacing w:line="317" w:lineRule="exact"/>
        <w:ind w:right="-1" w:firstLine="709"/>
        <w:rPr>
          <w:rFonts w:eastAsia="Times New Roman" w:cs="Times New Roman"/>
          <w:kern w:val="3"/>
          <w:szCs w:val="24"/>
          <w:lang w:eastAsia="zh-CN" w:bidi="hi-IN"/>
        </w:rPr>
      </w:pPr>
      <w:r w:rsidRPr="0047261E">
        <w:rPr>
          <w:rFonts w:eastAsia="Times New Roman" w:cs="Times New Roman"/>
          <w:color w:val="000000"/>
          <w:kern w:val="3"/>
          <w:szCs w:val="24"/>
          <w:lang w:eastAsia="ru-RU" w:bidi="ru-RU"/>
        </w:rPr>
        <w:t xml:space="preserve">В январе-декабре 2018 года сократилось </w:t>
      </w:r>
      <w:r w:rsidRPr="0047261E">
        <w:rPr>
          <w:rFonts w:eastAsia="Times New Roman" w:cs="Times New Roman"/>
          <w:i/>
          <w:iCs/>
          <w:color w:val="000000"/>
          <w:kern w:val="3"/>
          <w:szCs w:val="24"/>
          <w:shd w:val="clear" w:color="auto" w:fill="FFFFFF"/>
          <w:lang w:eastAsia="ru-RU" w:bidi="ru-RU"/>
        </w:rPr>
        <w:t>производство основных видов продукции животноводства</w:t>
      </w:r>
      <w:r w:rsidRPr="0047261E">
        <w:rPr>
          <w:rFonts w:eastAsia="Times New Roman" w:cs="Times New Roman"/>
          <w:color w:val="000000"/>
          <w:kern w:val="3"/>
          <w:szCs w:val="24"/>
          <w:lang w:eastAsia="ru-RU" w:bidi="ru-RU"/>
        </w:rPr>
        <w:t xml:space="preserve"> в хозяйствах всех категорий в натуральных показателях, в том числе:</w:t>
      </w:r>
    </w:p>
    <w:p w14:paraId="11CA9A3E" w14:textId="77777777" w:rsidR="0047261E" w:rsidRPr="0047261E" w:rsidRDefault="0047261E" w:rsidP="00D24868">
      <w:pPr>
        <w:widowControl w:val="0"/>
        <w:numPr>
          <w:ilvl w:val="0"/>
          <w:numId w:val="55"/>
        </w:numPr>
        <w:tabs>
          <w:tab w:val="left" w:pos="1143"/>
        </w:tabs>
        <w:suppressAutoHyphens/>
        <w:autoSpaceDN w:val="0"/>
        <w:spacing w:line="317" w:lineRule="exact"/>
        <w:ind w:right="-1" w:firstLine="709"/>
        <w:jc w:val="left"/>
        <w:textAlignment w:val="baseline"/>
        <w:rPr>
          <w:rFonts w:eastAsia="Times New Roman" w:cs="Times New Roman"/>
          <w:kern w:val="3"/>
          <w:szCs w:val="24"/>
          <w:lang w:eastAsia="zh-CN" w:bidi="hi-IN"/>
        </w:rPr>
      </w:pPr>
      <w:r w:rsidRPr="0047261E">
        <w:rPr>
          <w:rFonts w:eastAsia="Times New Roman" w:cs="Times New Roman"/>
          <w:color w:val="000000"/>
          <w:kern w:val="3"/>
          <w:szCs w:val="24"/>
          <w:lang w:eastAsia="ru-RU" w:bidi="ru-RU"/>
        </w:rPr>
        <w:t>производство мяса (скота и птицы в живом весе) - 35,6 тыс тонн (99,5% уровня 2017 года);</w:t>
      </w:r>
    </w:p>
    <w:p w14:paraId="248BF3D3" w14:textId="77777777" w:rsidR="0047261E" w:rsidRPr="0047261E" w:rsidRDefault="0047261E" w:rsidP="00D24868">
      <w:pPr>
        <w:widowControl w:val="0"/>
        <w:numPr>
          <w:ilvl w:val="0"/>
          <w:numId w:val="55"/>
        </w:numPr>
        <w:tabs>
          <w:tab w:val="left" w:pos="1143"/>
        </w:tabs>
        <w:suppressAutoHyphens/>
        <w:autoSpaceDN w:val="0"/>
        <w:spacing w:after="48" w:line="240" w:lineRule="exact"/>
        <w:ind w:right="-1" w:firstLine="709"/>
        <w:jc w:val="left"/>
        <w:textAlignment w:val="baseline"/>
        <w:rPr>
          <w:rFonts w:eastAsia="Times New Roman" w:cs="Times New Roman"/>
          <w:kern w:val="3"/>
          <w:szCs w:val="24"/>
          <w:lang w:eastAsia="zh-CN" w:bidi="hi-IN"/>
        </w:rPr>
      </w:pPr>
      <w:r w:rsidRPr="0047261E">
        <w:rPr>
          <w:rFonts w:eastAsia="Times New Roman" w:cs="Times New Roman"/>
          <w:color w:val="000000"/>
          <w:kern w:val="3"/>
          <w:szCs w:val="24"/>
          <w:lang w:eastAsia="ru-RU" w:bidi="ru-RU"/>
        </w:rPr>
        <w:t>валовый надой молока - 165,7 тыс. тонн (99,7%);</w:t>
      </w:r>
    </w:p>
    <w:p w14:paraId="28159B14" w14:textId="77777777" w:rsidR="0047261E" w:rsidRPr="0047261E" w:rsidRDefault="0047261E" w:rsidP="00D24868">
      <w:pPr>
        <w:widowControl w:val="0"/>
        <w:numPr>
          <w:ilvl w:val="0"/>
          <w:numId w:val="55"/>
        </w:numPr>
        <w:tabs>
          <w:tab w:val="left" w:pos="1143"/>
        </w:tabs>
        <w:suppressAutoHyphens/>
        <w:autoSpaceDN w:val="0"/>
        <w:spacing w:line="240" w:lineRule="exact"/>
        <w:ind w:right="-1" w:firstLine="709"/>
        <w:jc w:val="left"/>
        <w:textAlignment w:val="baseline"/>
        <w:rPr>
          <w:rFonts w:eastAsia="Times New Roman" w:cs="Times New Roman"/>
          <w:kern w:val="3"/>
          <w:szCs w:val="24"/>
          <w:lang w:eastAsia="zh-CN" w:bidi="hi-IN"/>
        </w:rPr>
      </w:pPr>
      <w:r w:rsidRPr="0047261E">
        <w:rPr>
          <w:rFonts w:eastAsia="Times New Roman" w:cs="Times New Roman"/>
          <w:color w:val="000000"/>
          <w:kern w:val="3"/>
          <w:szCs w:val="24"/>
          <w:lang w:eastAsia="ru-RU" w:bidi="ru-RU"/>
        </w:rPr>
        <w:t>производство яиц - 119,4 тыс. штук (98,3%).</w:t>
      </w:r>
    </w:p>
    <w:p w14:paraId="5FEB154C" w14:textId="77777777" w:rsidR="0047261E" w:rsidRPr="0047261E" w:rsidRDefault="0047261E" w:rsidP="0047261E">
      <w:pPr>
        <w:widowControl w:val="0"/>
        <w:suppressAutoHyphens/>
        <w:autoSpaceDN w:val="0"/>
        <w:ind w:right="-1" w:firstLine="0"/>
        <w:jc w:val="left"/>
        <w:textAlignment w:val="baseline"/>
        <w:rPr>
          <w:rFonts w:eastAsia="Times New Roman" w:cs="Times New Roman"/>
          <w:kern w:val="3"/>
          <w:szCs w:val="24"/>
          <w:lang w:eastAsia="ru-RU" w:bidi="hi-IN"/>
        </w:rPr>
      </w:pPr>
      <w:r w:rsidRPr="0047261E">
        <w:rPr>
          <w:rFonts w:eastAsia="Times New Roman" w:cs="Times New Roman"/>
          <w:noProof/>
          <w:kern w:val="3"/>
          <w:szCs w:val="24"/>
          <w:lang w:eastAsia="ru-RU"/>
        </w:rPr>
        <w:drawing>
          <wp:inline distT="0" distB="0" distL="0" distR="0" wp14:anchorId="5218625E" wp14:editId="0C828E7D">
            <wp:extent cx="6597427" cy="2583712"/>
            <wp:effectExtent l="0" t="0" r="0" b="7620"/>
            <wp:docPr id="932" name="Рисунок 932" descr="C:\Users\GOROHO~1\AppData\Local\Temp\FineReader12.00\media\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GOROHO~1\AppData\Local\Temp\FineReader12.00\media\image2.jpeg"/>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6618393" cy="2591923"/>
                    </a:xfrm>
                    <a:prstGeom prst="rect">
                      <a:avLst/>
                    </a:prstGeom>
                    <a:noFill/>
                    <a:ln>
                      <a:noFill/>
                    </a:ln>
                  </pic:spPr>
                </pic:pic>
              </a:graphicData>
            </a:graphic>
          </wp:inline>
        </w:drawing>
      </w:r>
    </w:p>
    <w:p w14:paraId="589CE5F1" w14:textId="000A2F4E" w:rsidR="0047261E" w:rsidRPr="0047261E" w:rsidRDefault="0047261E" w:rsidP="0047261E">
      <w:pPr>
        <w:suppressLineNumbers/>
        <w:suppressAutoHyphens/>
        <w:autoSpaceDN w:val="0"/>
        <w:ind w:firstLine="709"/>
        <w:jc w:val="center"/>
        <w:textAlignment w:val="baseline"/>
        <w:rPr>
          <w:rFonts w:eastAsia="Calibri" w:cs="Times New Roman"/>
          <w:i/>
          <w:iCs/>
          <w:kern w:val="3"/>
          <w:szCs w:val="24"/>
          <w:lang w:eastAsia="zh-CN"/>
        </w:rPr>
      </w:pPr>
      <w:r w:rsidRPr="0047261E">
        <w:rPr>
          <w:rFonts w:eastAsia="Calibri" w:cs="Times New Roman"/>
          <w:i/>
          <w:iCs/>
          <w:kern w:val="3"/>
          <w:szCs w:val="24"/>
          <w:lang w:eastAsia="zh-CN"/>
        </w:rPr>
        <w:t xml:space="preserve">Рисунок </w:t>
      </w:r>
      <w:r w:rsidRPr="0047261E">
        <w:rPr>
          <w:rFonts w:eastAsia="Calibri" w:cs="Times New Roman"/>
          <w:i/>
          <w:iCs/>
          <w:kern w:val="3"/>
          <w:szCs w:val="24"/>
          <w:lang w:eastAsia="zh-CN"/>
        </w:rPr>
        <w:fldChar w:fldCharType="begin"/>
      </w:r>
      <w:r w:rsidRPr="0047261E">
        <w:rPr>
          <w:rFonts w:eastAsia="Calibri" w:cs="Times New Roman"/>
          <w:i/>
          <w:iCs/>
          <w:kern w:val="3"/>
          <w:szCs w:val="24"/>
          <w:lang w:eastAsia="zh-CN"/>
        </w:rPr>
        <w:instrText xml:space="preserve"> SEQ Рисунок \* ARABIC </w:instrText>
      </w:r>
      <w:r w:rsidRPr="0047261E">
        <w:rPr>
          <w:rFonts w:eastAsia="Calibri" w:cs="Times New Roman"/>
          <w:i/>
          <w:iCs/>
          <w:kern w:val="3"/>
          <w:szCs w:val="24"/>
          <w:lang w:eastAsia="zh-CN"/>
        </w:rPr>
        <w:fldChar w:fldCharType="separate"/>
      </w:r>
      <w:r w:rsidR="00FD2769">
        <w:rPr>
          <w:rFonts w:eastAsia="Calibri" w:cs="Times New Roman"/>
          <w:i/>
          <w:iCs/>
          <w:noProof/>
          <w:kern w:val="3"/>
          <w:szCs w:val="24"/>
          <w:lang w:eastAsia="zh-CN"/>
        </w:rPr>
        <w:t>41</w:t>
      </w:r>
      <w:r w:rsidRPr="0047261E">
        <w:rPr>
          <w:rFonts w:eastAsia="Calibri" w:cs="Times New Roman"/>
          <w:i/>
          <w:iCs/>
          <w:kern w:val="3"/>
          <w:szCs w:val="24"/>
          <w:lang w:eastAsia="zh-CN"/>
        </w:rPr>
        <w:fldChar w:fldCharType="end"/>
      </w:r>
      <w:r w:rsidRPr="0047261E">
        <w:rPr>
          <w:rFonts w:eastAsia="Calibri" w:cs="Times New Roman"/>
          <w:i/>
          <w:iCs/>
          <w:kern w:val="3"/>
          <w:szCs w:val="24"/>
          <w:lang w:eastAsia="zh-CN"/>
        </w:rPr>
        <w:t>.  Производство мяса (скота и птицы в живом весе) по районам Республики Саха (Якутия) в 2018 году, тонн</w:t>
      </w:r>
    </w:p>
    <w:p w14:paraId="162E2685" w14:textId="77777777" w:rsidR="0047261E" w:rsidRPr="0047261E" w:rsidRDefault="0047261E" w:rsidP="0047261E">
      <w:pPr>
        <w:suppressLineNumbers/>
        <w:suppressAutoHyphens/>
        <w:autoSpaceDN w:val="0"/>
        <w:spacing w:before="120" w:after="120"/>
        <w:ind w:firstLine="0"/>
        <w:jc w:val="center"/>
        <w:textAlignment w:val="baseline"/>
        <w:rPr>
          <w:rFonts w:eastAsia="Calibri" w:cs="Times New Roman"/>
          <w:i/>
          <w:iCs/>
          <w:kern w:val="3"/>
          <w:szCs w:val="20"/>
          <w:lang w:eastAsia="zh-CN"/>
        </w:rPr>
      </w:pPr>
      <w:r w:rsidRPr="0047261E">
        <w:rPr>
          <w:rFonts w:eastAsia="Calibri" w:cs="Times New Roman"/>
          <w:i/>
          <w:iCs/>
          <w:noProof/>
          <w:kern w:val="3"/>
          <w:szCs w:val="20"/>
          <w:lang w:eastAsia="ru-RU"/>
        </w:rPr>
        <w:drawing>
          <wp:inline distT="0" distB="0" distL="0" distR="0" wp14:anchorId="07A0F8D4" wp14:editId="45767EF5">
            <wp:extent cx="6529258" cy="2732568"/>
            <wp:effectExtent l="0" t="0" r="5080" b="0"/>
            <wp:docPr id="934" name="Рисунок 934" descr="C:\Users\GOROHO~1\AppData\Local\Temp\FineReader12.00\media\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GOROHO~1\AppData\Local\Temp\FineReader12.00\media\image3.jpeg"/>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6540310" cy="2737193"/>
                    </a:xfrm>
                    <a:prstGeom prst="rect">
                      <a:avLst/>
                    </a:prstGeom>
                    <a:noFill/>
                    <a:ln>
                      <a:noFill/>
                    </a:ln>
                  </pic:spPr>
                </pic:pic>
              </a:graphicData>
            </a:graphic>
          </wp:inline>
        </w:drawing>
      </w:r>
    </w:p>
    <w:p w14:paraId="0388793D" w14:textId="304ABAEB" w:rsidR="0047261E" w:rsidRPr="0047261E" w:rsidRDefault="0047261E" w:rsidP="0047261E">
      <w:pPr>
        <w:suppressLineNumbers/>
        <w:suppressAutoHyphens/>
        <w:autoSpaceDN w:val="0"/>
        <w:ind w:firstLine="709"/>
        <w:jc w:val="center"/>
        <w:textAlignment w:val="baseline"/>
        <w:rPr>
          <w:rFonts w:eastAsia="Calibri" w:cs="Times New Roman"/>
          <w:i/>
          <w:iCs/>
          <w:color w:val="000000"/>
          <w:kern w:val="3"/>
          <w:szCs w:val="24"/>
          <w:lang w:eastAsia="ru-RU" w:bidi="ru-RU"/>
        </w:rPr>
      </w:pPr>
      <w:r w:rsidRPr="0047261E">
        <w:rPr>
          <w:rFonts w:eastAsia="Calibri" w:cs="Times New Roman"/>
          <w:i/>
          <w:iCs/>
          <w:kern w:val="3"/>
          <w:szCs w:val="24"/>
          <w:lang w:eastAsia="zh-CN"/>
        </w:rPr>
        <w:t xml:space="preserve">Рисунок </w:t>
      </w:r>
      <w:r w:rsidRPr="0047261E">
        <w:rPr>
          <w:rFonts w:eastAsia="Calibri" w:cs="Times New Roman"/>
          <w:i/>
          <w:iCs/>
          <w:kern w:val="3"/>
          <w:szCs w:val="24"/>
          <w:lang w:eastAsia="zh-CN"/>
        </w:rPr>
        <w:fldChar w:fldCharType="begin"/>
      </w:r>
      <w:r w:rsidRPr="0047261E">
        <w:rPr>
          <w:rFonts w:eastAsia="Calibri" w:cs="Times New Roman"/>
          <w:i/>
          <w:iCs/>
          <w:kern w:val="3"/>
          <w:szCs w:val="24"/>
          <w:lang w:eastAsia="zh-CN"/>
        </w:rPr>
        <w:instrText xml:space="preserve"> SEQ Рисунок \* ARABIC </w:instrText>
      </w:r>
      <w:r w:rsidRPr="0047261E">
        <w:rPr>
          <w:rFonts w:eastAsia="Calibri" w:cs="Times New Roman"/>
          <w:i/>
          <w:iCs/>
          <w:kern w:val="3"/>
          <w:szCs w:val="24"/>
          <w:lang w:eastAsia="zh-CN"/>
        </w:rPr>
        <w:fldChar w:fldCharType="separate"/>
      </w:r>
      <w:r w:rsidR="00FD2769">
        <w:rPr>
          <w:rFonts w:eastAsia="Calibri" w:cs="Times New Roman"/>
          <w:i/>
          <w:iCs/>
          <w:noProof/>
          <w:kern w:val="3"/>
          <w:szCs w:val="24"/>
          <w:lang w:eastAsia="zh-CN"/>
        </w:rPr>
        <w:t>42</w:t>
      </w:r>
      <w:r w:rsidRPr="0047261E">
        <w:rPr>
          <w:rFonts w:eastAsia="Calibri" w:cs="Times New Roman"/>
          <w:i/>
          <w:iCs/>
          <w:kern w:val="3"/>
          <w:szCs w:val="24"/>
          <w:lang w:eastAsia="zh-CN"/>
        </w:rPr>
        <w:fldChar w:fldCharType="end"/>
      </w:r>
      <w:r w:rsidRPr="0047261E">
        <w:rPr>
          <w:rFonts w:eastAsia="Calibri" w:cs="Times New Roman"/>
          <w:i/>
          <w:iCs/>
          <w:kern w:val="3"/>
          <w:szCs w:val="24"/>
          <w:lang w:eastAsia="zh-CN"/>
        </w:rPr>
        <w:t>. Валовый надой молока по районам Республики Саха (Якутия) в 2018 году, тонн</w:t>
      </w:r>
    </w:p>
    <w:p w14:paraId="259FC020" w14:textId="70FD7844" w:rsidR="0047261E" w:rsidRPr="0047261E" w:rsidRDefault="00CB2D9D" w:rsidP="0047261E">
      <w:pPr>
        <w:widowControl w:val="0"/>
        <w:spacing w:line="317" w:lineRule="exact"/>
        <w:ind w:right="-1" w:firstLine="709"/>
        <w:rPr>
          <w:rFonts w:eastAsia="Times New Roman" w:cs="Times New Roman"/>
          <w:kern w:val="3"/>
          <w:szCs w:val="24"/>
          <w:lang w:eastAsia="zh-CN" w:bidi="hi-IN"/>
        </w:rPr>
      </w:pPr>
      <w:r>
        <w:rPr>
          <w:rFonts w:eastAsia="Times New Roman" w:cs="Times New Roman"/>
          <w:color w:val="000000"/>
          <w:kern w:val="3"/>
          <w:szCs w:val="24"/>
          <w:lang w:eastAsia="ru-RU" w:bidi="ru-RU"/>
        </w:rPr>
        <w:t>На 01.01. 2019 г. п</w:t>
      </w:r>
      <w:r w:rsidR="0047261E" w:rsidRPr="0047261E">
        <w:rPr>
          <w:rFonts w:eastAsia="Times New Roman" w:cs="Times New Roman"/>
          <w:color w:val="000000"/>
          <w:kern w:val="3"/>
          <w:szCs w:val="24"/>
          <w:lang w:eastAsia="ru-RU" w:bidi="ru-RU"/>
        </w:rPr>
        <w:t>о сравнению на 01.01.2018 года в республике:</w:t>
      </w:r>
    </w:p>
    <w:p w14:paraId="7C9A507B" w14:textId="77777777" w:rsidR="0047261E" w:rsidRPr="0047261E" w:rsidRDefault="0047261E" w:rsidP="0047261E">
      <w:pPr>
        <w:widowControl w:val="0"/>
        <w:spacing w:line="317" w:lineRule="exact"/>
        <w:ind w:right="-1" w:firstLine="709"/>
        <w:rPr>
          <w:rFonts w:eastAsia="Times New Roman" w:cs="Times New Roman"/>
          <w:kern w:val="3"/>
          <w:szCs w:val="24"/>
          <w:lang w:eastAsia="zh-CN" w:bidi="hi-IN"/>
        </w:rPr>
      </w:pPr>
      <w:r w:rsidRPr="0047261E">
        <w:rPr>
          <w:rFonts w:eastAsia="Times New Roman" w:cs="Times New Roman"/>
          <w:color w:val="000000"/>
          <w:kern w:val="3"/>
          <w:szCs w:val="24"/>
          <w:lang w:eastAsia="ru-RU" w:bidi="ru-RU"/>
        </w:rPr>
        <w:t xml:space="preserve">Сократилось на 2,5% поголовье </w:t>
      </w:r>
      <w:r w:rsidRPr="0047261E">
        <w:rPr>
          <w:rFonts w:eastAsia="Times New Roman" w:cs="Times New Roman"/>
          <w:i/>
          <w:iCs/>
          <w:color w:val="000000"/>
          <w:kern w:val="3"/>
          <w:szCs w:val="24"/>
          <w:shd w:val="clear" w:color="auto" w:fill="FFFFFF"/>
          <w:lang w:eastAsia="ru-RU" w:bidi="ru-RU"/>
        </w:rPr>
        <w:t>крупного рогатого скота</w:t>
      </w:r>
      <w:r w:rsidRPr="0047261E">
        <w:rPr>
          <w:rFonts w:eastAsia="Times New Roman" w:cs="Times New Roman"/>
          <w:color w:val="000000"/>
          <w:kern w:val="3"/>
          <w:szCs w:val="24"/>
          <w:lang w:eastAsia="ru-RU" w:bidi="ru-RU"/>
        </w:rPr>
        <w:t xml:space="preserve"> (183,3 тыс. ед.), за счет его сокращения в 22 районах (улусах) Республики Саха (Якутия), в том числе в районах с сельскохозяйственной животноводческой специализацией - Вилюйской группе - Верхневилюйском, Вилюйском, Нюрбинском, Сунтарском, и Центральной группе - Намском, Хангаласском. В Заречной группе улусов - Амгинском, Таттинском, Усть- Алданском, Чурапчинском - поголовье сохранено, незначительно увеличено, за исключением Мегино-Кангаласского района (-2,7%).</w:t>
      </w:r>
    </w:p>
    <w:p w14:paraId="470E7C1D" w14:textId="77777777" w:rsidR="0047261E" w:rsidRPr="0047261E" w:rsidRDefault="0047261E" w:rsidP="0047261E">
      <w:pPr>
        <w:widowControl w:val="0"/>
        <w:spacing w:line="317" w:lineRule="exact"/>
        <w:ind w:right="-1" w:firstLine="709"/>
        <w:rPr>
          <w:rFonts w:eastAsia="Times New Roman" w:cs="Times New Roman"/>
          <w:kern w:val="3"/>
          <w:szCs w:val="24"/>
          <w:lang w:eastAsia="zh-CN" w:bidi="hi-IN"/>
        </w:rPr>
      </w:pPr>
      <w:r w:rsidRPr="0047261E">
        <w:rPr>
          <w:rFonts w:eastAsia="Times New Roman" w:cs="Times New Roman"/>
          <w:color w:val="000000"/>
          <w:kern w:val="3"/>
          <w:szCs w:val="24"/>
          <w:lang w:eastAsia="ru-RU" w:bidi="ru-RU"/>
        </w:rPr>
        <w:t xml:space="preserve">Поголовье </w:t>
      </w:r>
      <w:r w:rsidRPr="0047261E">
        <w:rPr>
          <w:rFonts w:eastAsia="Times New Roman" w:cs="Times New Roman"/>
          <w:i/>
          <w:iCs/>
          <w:color w:val="000000"/>
          <w:kern w:val="3"/>
          <w:szCs w:val="24"/>
          <w:shd w:val="clear" w:color="auto" w:fill="FFFFFF"/>
          <w:lang w:eastAsia="ru-RU" w:bidi="ru-RU"/>
        </w:rPr>
        <w:t>лошадей</w:t>
      </w:r>
      <w:r w:rsidRPr="0047261E">
        <w:rPr>
          <w:rFonts w:eastAsia="Times New Roman" w:cs="Times New Roman"/>
          <w:color w:val="000000"/>
          <w:kern w:val="3"/>
          <w:szCs w:val="24"/>
          <w:lang w:eastAsia="ru-RU" w:bidi="ru-RU"/>
        </w:rPr>
        <w:t xml:space="preserve"> сократилось на 3% и составило 178,6 тыс. голов. Сокращение наблюдалось в 23 районах и ГРЗ «Якутск», в том числе по сельскохозяйственным районам:</w:t>
      </w:r>
    </w:p>
    <w:p w14:paraId="11BC4113" w14:textId="77777777" w:rsidR="0047261E" w:rsidRPr="0047261E" w:rsidRDefault="0047261E" w:rsidP="00D24868">
      <w:pPr>
        <w:widowControl w:val="0"/>
        <w:numPr>
          <w:ilvl w:val="0"/>
          <w:numId w:val="55"/>
        </w:numPr>
        <w:tabs>
          <w:tab w:val="left" w:pos="1142"/>
        </w:tabs>
        <w:suppressAutoHyphens/>
        <w:autoSpaceDN w:val="0"/>
        <w:spacing w:line="317" w:lineRule="exact"/>
        <w:ind w:right="-1" w:firstLine="709"/>
        <w:jc w:val="left"/>
        <w:textAlignment w:val="baseline"/>
        <w:rPr>
          <w:rFonts w:eastAsia="Times New Roman" w:cs="Times New Roman"/>
          <w:kern w:val="3"/>
          <w:szCs w:val="24"/>
          <w:lang w:eastAsia="zh-CN" w:bidi="hi-IN"/>
        </w:rPr>
      </w:pPr>
      <w:r w:rsidRPr="0047261E">
        <w:rPr>
          <w:rFonts w:eastAsia="Times New Roman" w:cs="Times New Roman"/>
          <w:color w:val="000000"/>
          <w:kern w:val="3"/>
          <w:szCs w:val="24"/>
          <w:lang w:eastAsia="ru-RU" w:bidi="ru-RU"/>
        </w:rPr>
        <w:t>Центральной группы - Горный (4840 голов или -15%), Кобяйский (3177 голов или -8,4%), Хангаласский (13134 голов или -4%), Намский (11957 голов или -2,6%);</w:t>
      </w:r>
    </w:p>
    <w:p w14:paraId="7E1935E3" w14:textId="77777777" w:rsidR="0047261E" w:rsidRPr="0047261E" w:rsidRDefault="0047261E" w:rsidP="00D24868">
      <w:pPr>
        <w:widowControl w:val="0"/>
        <w:numPr>
          <w:ilvl w:val="0"/>
          <w:numId w:val="55"/>
        </w:numPr>
        <w:tabs>
          <w:tab w:val="left" w:pos="1142"/>
        </w:tabs>
        <w:suppressAutoHyphens/>
        <w:autoSpaceDN w:val="0"/>
        <w:spacing w:line="317" w:lineRule="exact"/>
        <w:ind w:right="-1" w:firstLine="709"/>
        <w:jc w:val="left"/>
        <w:textAlignment w:val="baseline"/>
        <w:rPr>
          <w:rFonts w:eastAsia="Times New Roman" w:cs="Times New Roman"/>
          <w:kern w:val="3"/>
          <w:szCs w:val="24"/>
          <w:lang w:eastAsia="zh-CN" w:bidi="hi-IN"/>
        </w:rPr>
      </w:pPr>
      <w:r w:rsidRPr="0047261E">
        <w:rPr>
          <w:rFonts w:eastAsia="Times New Roman" w:cs="Times New Roman"/>
          <w:color w:val="000000"/>
          <w:kern w:val="3"/>
          <w:szCs w:val="24"/>
          <w:lang w:eastAsia="ru-RU" w:bidi="ru-RU"/>
        </w:rPr>
        <w:t>Заречной группы - Мегино-Канлагасский (15990 голов или -2,8%), Амгинский (12603 голов или -1,3%), Таттинский (14410 голов или -2,6%), Чурапчинский (16139 голов или -5,1%), Усть-Алданский (13263 голов или -8%).</w:t>
      </w:r>
    </w:p>
    <w:p w14:paraId="28354A51" w14:textId="77777777" w:rsidR="0047261E" w:rsidRPr="0047261E" w:rsidRDefault="0047261E" w:rsidP="0047261E">
      <w:pPr>
        <w:widowControl w:val="0"/>
        <w:spacing w:line="317" w:lineRule="exact"/>
        <w:ind w:right="-1" w:firstLine="709"/>
        <w:rPr>
          <w:rFonts w:eastAsia="Times New Roman" w:cs="Times New Roman"/>
          <w:kern w:val="3"/>
          <w:szCs w:val="24"/>
          <w:lang w:eastAsia="zh-CN" w:bidi="hi-IN"/>
        </w:rPr>
      </w:pPr>
      <w:r w:rsidRPr="0047261E">
        <w:rPr>
          <w:rFonts w:eastAsia="Times New Roman" w:cs="Times New Roman"/>
          <w:color w:val="000000"/>
          <w:kern w:val="3"/>
          <w:szCs w:val="24"/>
          <w:lang w:eastAsia="ru-RU" w:bidi="ru-RU"/>
        </w:rPr>
        <w:t>В Вилюйской группе снижение поголовья лошадей зафиксировано в Верхневилюйском (7879 голов, -1,9%). Сохранение и рост поголовья - в Вилюйском (7483 голов, +0,5%) и Нюрбинском (11426 голов, +0,3%) и Сунтарском (11959 голов, или 99,9% к 01.01.2018 г).</w:t>
      </w:r>
    </w:p>
    <w:p w14:paraId="1F70BADA" w14:textId="77777777" w:rsidR="0047261E" w:rsidRPr="0047261E" w:rsidRDefault="0047261E" w:rsidP="0047261E">
      <w:pPr>
        <w:widowControl w:val="0"/>
        <w:ind w:firstLine="709"/>
        <w:rPr>
          <w:rFonts w:eastAsia="Times New Roman" w:cs="Times New Roman"/>
          <w:kern w:val="3"/>
          <w:szCs w:val="24"/>
          <w:lang w:eastAsia="zh-CN" w:bidi="hi-IN"/>
        </w:rPr>
      </w:pPr>
      <w:r w:rsidRPr="0047261E">
        <w:rPr>
          <w:rFonts w:eastAsia="Times New Roman" w:cs="Times New Roman"/>
          <w:color w:val="000000"/>
          <w:kern w:val="3"/>
          <w:szCs w:val="24"/>
          <w:lang w:eastAsia="ru-RU" w:bidi="ru-RU"/>
        </w:rPr>
        <w:t xml:space="preserve">Поголовье </w:t>
      </w:r>
      <w:r w:rsidRPr="0047261E">
        <w:rPr>
          <w:rFonts w:eastAsia="Times New Roman" w:cs="Times New Roman"/>
          <w:i/>
          <w:iCs/>
          <w:color w:val="000000"/>
          <w:kern w:val="3"/>
          <w:szCs w:val="24"/>
          <w:shd w:val="clear" w:color="auto" w:fill="FFFFFF"/>
          <w:lang w:eastAsia="ru-RU" w:bidi="ru-RU"/>
        </w:rPr>
        <w:t>оленей</w:t>
      </w:r>
      <w:r w:rsidRPr="0047261E">
        <w:rPr>
          <w:rFonts w:eastAsia="Times New Roman" w:cs="Times New Roman"/>
          <w:color w:val="000000"/>
          <w:kern w:val="3"/>
          <w:szCs w:val="24"/>
          <w:lang w:eastAsia="ru-RU" w:bidi="ru-RU"/>
        </w:rPr>
        <w:t xml:space="preserve"> составило 146391 голов (-5,3%). Рост поголовья отмечен по арктическим улусам - в Анабарском и Оленекском; Булунском и Жиганском; Верхоянском, Усть-Янском районах; Абыйском и Момском. Значительное сокращение поголовья домашних оленей отмечено во всех районах колымского бассейна, а также Томпонском и Оймяконском улусах республики.</w:t>
      </w:r>
    </w:p>
    <w:p w14:paraId="42BD043A" w14:textId="4486E598" w:rsidR="0047261E" w:rsidRDefault="0047261E" w:rsidP="0047261E">
      <w:pPr>
        <w:widowControl w:val="0"/>
        <w:ind w:firstLine="709"/>
        <w:rPr>
          <w:rFonts w:eastAsia="Times New Roman" w:cs="Times New Roman"/>
          <w:color w:val="000000"/>
          <w:kern w:val="3"/>
          <w:szCs w:val="24"/>
          <w:lang w:eastAsia="ru-RU" w:bidi="ru-RU"/>
        </w:rPr>
      </w:pPr>
      <w:r w:rsidRPr="0047261E">
        <w:rPr>
          <w:rFonts w:eastAsia="Times New Roman" w:cs="Times New Roman"/>
          <w:i/>
          <w:iCs/>
          <w:color w:val="000000"/>
          <w:kern w:val="3"/>
          <w:szCs w:val="24"/>
          <w:shd w:val="clear" w:color="auto" w:fill="FFFFFF"/>
          <w:lang w:eastAsia="ru-RU" w:bidi="ru-RU"/>
        </w:rPr>
        <w:t>Средняя заработная плата</w:t>
      </w:r>
      <w:r w:rsidRPr="0047261E">
        <w:rPr>
          <w:rFonts w:eastAsia="Times New Roman" w:cs="Times New Roman"/>
          <w:color w:val="000000"/>
          <w:kern w:val="3"/>
          <w:szCs w:val="24"/>
          <w:lang w:eastAsia="ru-RU" w:bidi="ru-RU"/>
        </w:rPr>
        <w:t xml:space="preserve"> в расчёте на одного работник в январе-ноябре 2018 года по республике составила 64875 руб. (109,5% по структуре текущего периода), а без учета субъектов малого предпринимательства она составила - 70011,4 руб.</w:t>
      </w:r>
    </w:p>
    <w:p w14:paraId="68580666" w14:textId="77777777" w:rsidR="0047261E" w:rsidRPr="0047261E" w:rsidRDefault="0047261E" w:rsidP="0047261E">
      <w:pPr>
        <w:widowControl w:val="0"/>
        <w:suppressAutoHyphens/>
        <w:autoSpaceDN w:val="0"/>
        <w:ind w:right="-1" w:firstLine="0"/>
        <w:jc w:val="left"/>
        <w:textAlignment w:val="baseline"/>
        <w:rPr>
          <w:rFonts w:eastAsia="Times New Roman" w:cs="Times New Roman"/>
          <w:kern w:val="3"/>
          <w:szCs w:val="24"/>
          <w:lang w:eastAsia="ru-RU" w:bidi="hi-IN"/>
        </w:rPr>
      </w:pPr>
      <w:r w:rsidRPr="0047261E">
        <w:rPr>
          <w:rFonts w:eastAsia="Times New Roman" w:cs="Times New Roman"/>
          <w:noProof/>
          <w:kern w:val="3"/>
          <w:szCs w:val="24"/>
          <w:lang w:eastAsia="ru-RU"/>
        </w:rPr>
        <w:drawing>
          <wp:inline distT="0" distB="0" distL="0" distR="0" wp14:anchorId="6DF161B4" wp14:editId="603E3B63">
            <wp:extent cx="6411433" cy="3205717"/>
            <wp:effectExtent l="0" t="0" r="8890" b="0"/>
            <wp:docPr id="935" name="Рисунок 935" descr="C:\Users\GOROHO~1\AppData\Local\Temp\FineReader12.00\media\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OROHO~1\AppData\Local\Temp\FineReader12.00\media\image4.jpeg"/>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6415781" cy="3207891"/>
                    </a:xfrm>
                    <a:prstGeom prst="rect">
                      <a:avLst/>
                    </a:prstGeom>
                    <a:noFill/>
                    <a:ln>
                      <a:noFill/>
                    </a:ln>
                  </pic:spPr>
                </pic:pic>
              </a:graphicData>
            </a:graphic>
          </wp:inline>
        </w:drawing>
      </w:r>
    </w:p>
    <w:p w14:paraId="13FA7563" w14:textId="219F6FF9" w:rsidR="0047261E" w:rsidRPr="0047261E" w:rsidRDefault="0047261E" w:rsidP="0047261E">
      <w:pPr>
        <w:suppressLineNumbers/>
        <w:suppressAutoHyphens/>
        <w:autoSpaceDN w:val="0"/>
        <w:ind w:firstLine="709"/>
        <w:jc w:val="center"/>
        <w:textAlignment w:val="baseline"/>
        <w:rPr>
          <w:rFonts w:eastAsia="Calibri" w:cs="Times New Roman"/>
          <w:i/>
          <w:iCs/>
          <w:kern w:val="3"/>
          <w:szCs w:val="24"/>
          <w:lang w:eastAsia="zh-CN"/>
        </w:rPr>
      </w:pPr>
      <w:r w:rsidRPr="0047261E">
        <w:rPr>
          <w:rFonts w:eastAsia="Calibri" w:cs="Times New Roman"/>
          <w:i/>
          <w:iCs/>
          <w:kern w:val="3"/>
          <w:szCs w:val="24"/>
          <w:lang w:eastAsia="zh-CN"/>
        </w:rPr>
        <w:t xml:space="preserve">Рисунок </w:t>
      </w:r>
      <w:r w:rsidRPr="0047261E">
        <w:rPr>
          <w:rFonts w:eastAsia="Calibri" w:cs="Times New Roman"/>
          <w:i/>
          <w:iCs/>
          <w:kern w:val="3"/>
          <w:szCs w:val="24"/>
          <w:lang w:eastAsia="zh-CN"/>
        </w:rPr>
        <w:fldChar w:fldCharType="begin"/>
      </w:r>
      <w:r w:rsidRPr="0047261E">
        <w:rPr>
          <w:rFonts w:eastAsia="Calibri" w:cs="Times New Roman"/>
          <w:i/>
          <w:iCs/>
          <w:kern w:val="3"/>
          <w:szCs w:val="24"/>
          <w:lang w:eastAsia="zh-CN"/>
        </w:rPr>
        <w:instrText xml:space="preserve"> SEQ Рисунок \* ARABIC </w:instrText>
      </w:r>
      <w:r w:rsidRPr="0047261E">
        <w:rPr>
          <w:rFonts w:eastAsia="Calibri" w:cs="Times New Roman"/>
          <w:i/>
          <w:iCs/>
          <w:kern w:val="3"/>
          <w:szCs w:val="24"/>
          <w:lang w:eastAsia="zh-CN"/>
        </w:rPr>
        <w:fldChar w:fldCharType="separate"/>
      </w:r>
      <w:r w:rsidR="00FD2769">
        <w:rPr>
          <w:rFonts w:eastAsia="Calibri" w:cs="Times New Roman"/>
          <w:i/>
          <w:iCs/>
          <w:noProof/>
          <w:kern w:val="3"/>
          <w:szCs w:val="24"/>
          <w:lang w:eastAsia="zh-CN"/>
        </w:rPr>
        <w:t>43</w:t>
      </w:r>
      <w:r w:rsidRPr="0047261E">
        <w:rPr>
          <w:rFonts w:eastAsia="Calibri" w:cs="Times New Roman"/>
          <w:i/>
          <w:iCs/>
          <w:kern w:val="3"/>
          <w:szCs w:val="24"/>
          <w:lang w:eastAsia="zh-CN"/>
        </w:rPr>
        <w:fldChar w:fldCharType="end"/>
      </w:r>
      <w:r w:rsidRPr="0047261E">
        <w:rPr>
          <w:rFonts w:eastAsia="Calibri" w:cs="Times New Roman"/>
          <w:i/>
          <w:iCs/>
          <w:kern w:val="3"/>
          <w:szCs w:val="24"/>
          <w:lang w:eastAsia="zh-CN"/>
        </w:rPr>
        <w:t>. Заработная плата по районам</w:t>
      </w:r>
    </w:p>
    <w:p w14:paraId="0A7613E3" w14:textId="77777777" w:rsidR="0047261E" w:rsidRPr="0047261E" w:rsidRDefault="0047261E" w:rsidP="0047261E">
      <w:pPr>
        <w:widowControl w:val="0"/>
        <w:spacing w:line="317" w:lineRule="exact"/>
        <w:ind w:right="-1" w:firstLine="709"/>
        <w:rPr>
          <w:rFonts w:eastAsia="Times New Roman" w:cs="Times New Roman"/>
          <w:kern w:val="3"/>
          <w:szCs w:val="24"/>
          <w:lang w:eastAsia="zh-CN" w:bidi="hi-IN"/>
        </w:rPr>
      </w:pPr>
      <w:r w:rsidRPr="0047261E">
        <w:rPr>
          <w:rFonts w:eastAsia="Times New Roman" w:cs="Times New Roman"/>
          <w:i/>
          <w:iCs/>
          <w:color w:val="000000"/>
          <w:kern w:val="3"/>
          <w:szCs w:val="24"/>
          <w:shd w:val="clear" w:color="auto" w:fill="FFFFFF"/>
          <w:lang w:eastAsia="ru-RU" w:bidi="ru-RU"/>
        </w:rPr>
        <w:t>Демографическая ситуация</w:t>
      </w:r>
      <w:r w:rsidRPr="0047261E">
        <w:rPr>
          <w:rFonts w:eastAsia="Times New Roman" w:cs="Times New Roman"/>
          <w:color w:val="000000"/>
          <w:kern w:val="3"/>
          <w:szCs w:val="24"/>
          <w:lang w:eastAsia="ru-RU" w:bidi="ru-RU"/>
        </w:rPr>
        <w:t xml:space="preserve"> в Республике Саха (Якутия) в 2018 году остается стабильной. По оценке, численность постоянного населения республики на 1 ноября 2018 года составила 967974 человек (городское - 636680 или 65,77%, сельское - 331294 или 34,23%). С начала 2018 года число жителей республики возросло на 3 664 человек, или на 0,4%. В структуре населения наблюдается рост численности городского на 3823 человек (+0,6%) и сокращение сельского населения на 179 человек (-0,1%), данные тенденции устойчивы в 2010-2018 гг.</w:t>
      </w:r>
    </w:p>
    <w:p w14:paraId="6EE5926D" w14:textId="77777777" w:rsidR="0047261E" w:rsidRPr="0047261E" w:rsidRDefault="0047261E" w:rsidP="0047261E">
      <w:pPr>
        <w:widowControl w:val="0"/>
        <w:spacing w:line="317" w:lineRule="exact"/>
        <w:ind w:right="-1" w:firstLine="709"/>
        <w:rPr>
          <w:rFonts w:eastAsia="Times New Roman" w:cs="Times New Roman"/>
          <w:kern w:val="3"/>
          <w:szCs w:val="24"/>
          <w:lang w:eastAsia="zh-CN" w:bidi="hi-IN"/>
        </w:rPr>
      </w:pPr>
      <w:r w:rsidRPr="0047261E">
        <w:rPr>
          <w:rFonts w:eastAsia="Times New Roman" w:cs="Times New Roman"/>
          <w:color w:val="000000"/>
          <w:kern w:val="3"/>
          <w:szCs w:val="24"/>
          <w:lang w:eastAsia="ru-RU" w:bidi="ru-RU"/>
        </w:rPr>
        <w:t>Прирост численности населения зафиксирован, кроме г. Якутск, в 10 районах и ГО Жатай, снижение численности - в 24 муниципальных районах, в том числе наиболее значительное снижение- в промышленных Алданском, Нерюнгринском, Ленском районах.</w:t>
      </w:r>
    </w:p>
    <w:p w14:paraId="782F4AD1" w14:textId="77777777" w:rsidR="0047261E" w:rsidRPr="0047261E" w:rsidRDefault="0047261E" w:rsidP="0047261E">
      <w:pPr>
        <w:widowControl w:val="0"/>
        <w:suppressAutoHyphens/>
        <w:autoSpaceDN w:val="0"/>
        <w:ind w:right="-1" w:firstLine="0"/>
        <w:jc w:val="left"/>
        <w:textAlignment w:val="baseline"/>
        <w:rPr>
          <w:rFonts w:eastAsia="Times New Roman" w:cs="Times New Roman"/>
          <w:kern w:val="3"/>
          <w:szCs w:val="24"/>
          <w:lang w:eastAsia="ru-RU" w:bidi="hi-IN"/>
        </w:rPr>
      </w:pPr>
      <w:r w:rsidRPr="0047261E">
        <w:rPr>
          <w:rFonts w:eastAsia="Times New Roman" w:cs="Times New Roman"/>
          <w:noProof/>
          <w:kern w:val="3"/>
          <w:szCs w:val="24"/>
          <w:lang w:eastAsia="ru-RU"/>
        </w:rPr>
        <w:drawing>
          <wp:inline distT="0" distB="0" distL="0" distR="0" wp14:anchorId="4E792EB0" wp14:editId="1A00FB18">
            <wp:extent cx="6399922" cy="3274828"/>
            <wp:effectExtent l="0" t="0" r="1270" b="1905"/>
            <wp:docPr id="936" name="Рисунок 936" descr="C:\Users\GOROHO~1\AppData\Local\Temp\FineReader12.00\media\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GOROHO~1\AppData\Local\Temp\FineReader12.00\media\image5.jpeg"/>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6411287" cy="3280643"/>
                    </a:xfrm>
                    <a:prstGeom prst="rect">
                      <a:avLst/>
                    </a:prstGeom>
                    <a:noFill/>
                    <a:ln>
                      <a:noFill/>
                    </a:ln>
                  </pic:spPr>
                </pic:pic>
              </a:graphicData>
            </a:graphic>
          </wp:inline>
        </w:drawing>
      </w:r>
    </w:p>
    <w:p w14:paraId="4956316E" w14:textId="4636C489" w:rsidR="0047261E" w:rsidRPr="0047261E" w:rsidRDefault="0047261E" w:rsidP="0047261E">
      <w:pPr>
        <w:suppressLineNumbers/>
        <w:suppressAutoHyphens/>
        <w:autoSpaceDN w:val="0"/>
        <w:ind w:firstLine="709"/>
        <w:jc w:val="center"/>
        <w:textAlignment w:val="baseline"/>
        <w:rPr>
          <w:rFonts w:eastAsia="Calibri" w:cs="Times New Roman"/>
          <w:i/>
          <w:iCs/>
          <w:kern w:val="3"/>
          <w:szCs w:val="24"/>
          <w:lang w:eastAsia="zh-CN"/>
        </w:rPr>
      </w:pPr>
      <w:r w:rsidRPr="0047261E">
        <w:rPr>
          <w:rFonts w:eastAsia="Calibri" w:cs="Times New Roman"/>
          <w:i/>
          <w:iCs/>
          <w:kern w:val="3"/>
          <w:szCs w:val="24"/>
          <w:lang w:eastAsia="zh-CN"/>
        </w:rPr>
        <w:t xml:space="preserve">Рисунок </w:t>
      </w:r>
      <w:r w:rsidRPr="0047261E">
        <w:rPr>
          <w:rFonts w:eastAsia="Calibri" w:cs="Times New Roman"/>
          <w:i/>
          <w:iCs/>
          <w:kern w:val="3"/>
          <w:szCs w:val="24"/>
          <w:lang w:eastAsia="zh-CN"/>
        </w:rPr>
        <w:fldChar w:fldCharType="begin"/>
      </w:r>
      <w:r w:rsidRPr="0047261E">
        <w:rPr>
          <w:rFonts w:eastAsia="Calibri" w:cs="Times New Roman"/>
          <w:i/>
          <w:iCs/>
          <w:kern w:val="3"/>
          <w:szCs w:val="24"/>
          <w:lang w:eastAsia="zh-CN"/>
        </w:rPr>
        <w:instrText xml:space="preserve"> SEQ Рисунок \* ARABIC </w:instrText>
      </w:r>
      <w:r w:rsidRPr="0047261E">
        <w:rPr>
          <w:rFonts w:eastAsia="Calibri" w:cs="Times New Roman"/>
          <w:i/>
          <w:iCs/>
          <w:kern w:val="3"/>
          <w:szCs w:val="24"/>
          <w:lang w:eastAsia="zh-CN"/>
        </w:rPr>
        <w:fldChar w:fldCharType="separate"/>
      </w:r>
      <w:r w:rsidR="00FD2769">
        <w:rPr>
          <w:rFonts w:eastAsia="Calibri" w:cs="Times New Roman"/>
          <w:i/>
          <w:iCs/>
          <w:noProof/>
          <w:kern w:val="3"/>
          <w:szCs w:val="24"/>
          <w:lang w:eastAsia="zh-CN"/>
        </w:rPr>
        <w:t>44</w:t>
      </w:r>
      <w:r w:rsidRPr="0047261E">
        <w:rPr>
          <w:rFonts w:eastAsia="Calibri" w:cs="Times New Roman"/>
          <w:i/>
          <w:iCs/>
          <w:kern w:val="3"/>
          <w:szCs w:val="24"/>
          <w:lang w:eastAsia="zh-CN"/>
        </w:rPr>
        <w:fldChar w:fldCharType="end"/>
      </w:r>
      <w:r w:rsidRPr="0047261E">
        <w:rPr>
          <w:rFonts w:eastAsia="Calibri" w:cs="Times New Roman"/>
          <w:i/>
          <w:iCs/>
          <w:kern w:val="3"/>
          <w:szCs w:val="24"/>
          <w:lang w:eastAsia="zh-CN"/>
        </w:rPr>
        <w:t>. Численность по районам.</w:t>
      </w:r>
    </w:p>
    <w:p w14:paraId="0AB32C65" w14:textId="77777777" w:rsidR="0047261E" w:rsidRPr="0047261E" w:rsidRDefault="0047261E" w:rsidP="0047261E">
      <w:pPr>
        <w:widowControl w:val="0"/>
        <w:spacing w:line="317" w:lineRule="exact"/>
        <w:ind w:right="-1" w:firstLine="709"/>
        <w:rPr>
          <w:rFonts w:eastAsia="Times New Roman" w:cs="Times New Roman"/>
          <w:kern w:val="3"/>
          <w:szCs w:val="24"/>
          <w:lang w:eastAsia="zh-CN" w:bidi="hi-IN"/>
        </w:rPr>
      </w:pPr>
      <w:r w:rsidRPr="0047261E">
        <w:rPr>
          <w:rFonts w:eastAsia="Times New Roman" w:cs="Times New Roman"/>
          <w:color w:val="000000"/>
          <w:kern w:val="3"/>
          <w:szCs w:val="24"/>
          <w:lang w:eastAsia="ru-RU" w:bidi="ru-RU"/>
        </w:rPr>
        <w:t xml:space="preserve">Среди районов и городских округов республики по состоянию за январь-сентябрь 2018 года сохраняется положительный </w:t>
      </w:r>
      <w:r w:rsidRPr="0047261E">
        <w:rPr>
          <w:rFonts w:eastAsia="Times New Roman" w:cs="Times New Roman"/>
          <w:i/>
          <w:iCs/>
          <w:color w:val="000000"/>
          <w:kern w:val="3"/>
          <w:szCs w:val="24"/>
          <w:shd w:val="clear" w:color="auto" w:fill="FFFFFF"/>
          <w:lang w:eastAsia="ru-RU" w:bidi="ru-RU"/>
        </w:rPr>
        <w:t>естественный прирост</w:t>
      </w:r>
      <w:r w:rsidRPr="0047261E">
        <w:rPr>
          <w:rFonts w:eastAsia="Times New Roman" w:cs="Times New Roman"/>
          <w:color w:val="000000"/>
          <w:kern w:val="3"/>
          <w:szCs w:val="24"/>
          <w:lang w:eastAsia="ru-RU" w:bidi="ru-RU"/>
        </w:rPr>
        <w:t>; естественная убыль отмечена в 5 районах - Алданском (-89), Ленском (-6), Верхнеколымском (-17), Оймяконском (-18), Усть-Майском (-14) и ГО Жатай (-23).</w:t>
      </w:r>
    </w:p>
    <w:p w14:paraId="16BAD398" w14:textId="77777777" w:rsidR="0047261E" w:rsidRPr="0047261E" w:rsidRDefault="0047261E" w:rsidP="0047261E">
      <w:pPr>
        <w:widowControl w:val="0"/>
        <w:spacing w:line="317" w:lineRule="exact"/>
        <w:ind w:right="-1" w:firstLine="709"/>
        <w:rPr>
          <w:rFonts w:eastAsia="Times New Roman" w:cs="Times New Roman"/>
          <w:kern w:val="3"/>
          <w:szCs w:val="24"/>
          <w:lang w:eastAsia="zh-CN" w:bidi="hi-IN"/>
        </w:rPr>
      </w:pPr>
      <w:r w:rsidRPr="0047261E">
        <w:rPr>
          <w:rFonts w:eastAsia="Times New Roman" w:cs="Times New Roman"/>
          <w:color w:val="000000"/>
          <w:kern w:val="3"/>
          <w:szCs w:val="24"/>
          <w:lang w:eastAsia="ru-RU" w:bidi="ru-RU"/>
        </w:rPr>
        <w:t xml:space="preserve">Общие итоги </w:t>
      </w:r>
      <w:r w:rsidRPr="0047261E">
        <w:rPr>
          <w:rFonts w:eastAsia="Times New Roman" w:cs="Times New Roman"/>
          <w:i/>
          <w:iCs/>
          <w:color w:val="000000"/>
          <w:kern w:val="3"/>
          <w:szCs w:val="24"/>
          <w:shd w:val="clear" w:color="auto" w:fill="FFFFFF"/>
          <w:lang w:eastAsia="ru-RU" w:bidi="ru-RU"/>
        </w:rPr>
        <w:t>миграции</w:t>
      </w:r>
      <w:r w:rsidRPr="0047261E">
        <w:rPr>
          <w:rFonts w:eastAsia="Times New Roman" w:cs="Times New Roman"/>
          <w:color w:val="000000"/>
          <w:kern w:val="3"/>
          <w:szCs w:val="24"/>
          <w:lang w:eastAsia="ru-RU" w:bidi="ru-RU"/>
        </w:rPr>
        <w:t xml:space="preserve"> населения в республике за январь-ноябрь характеризуются следующими показателями - прибыло 39555 человек, выбыло - 41748 чел., сальдо миграции - -2193 человека. Миграционный отток населения снизился в сравнении с аналогичными предыдущими периодами (в 2016 и 2017 гг. составлял соответственно - 3774 и -4222 человек). Положительное сальдо миграции традиционно фиксируется в ГРЗ Якутск (прибыло 4201 чел., в том числе из районов республики - 3838 </w:t>
      </w:r>
      <w:proofErr w:type="gramStart"/>
      <w:r w:rsidRPr="0047261E">
        <w:rPr>
          <w:rFonts w:eastAsia="Times New Roman" w:cs="Times New Roman"/>
          <w:color w:val="000000"/>
          <w:kern w:val="3"/>
          <w:szCs w:val="24"/>
          <w:lang w:eastAsia="ru-RU" w:bidi="ru-RU"/>
        </w:rPr>
        <w:t>чел</w:t>
      </w:r>
      <w:proofErr w:type="gramEnd"/>
      <w:r w:rsidRPr="0047261E">
        <w:rPr>
          <w:rFonts w:eastAsia="Times New Roman" w:cs="Times New Roman"/>
          <w:color w:val="000000"/>
          <w:kern w:val="3"/>
          <w:szCs w:val="24"/>
          <w:lang w:eastAsia="ru-RU" w:bidi="ru-RU"/>
        </w:rPr>
        <w:t>, из-за пределов Якутии - 363 человека), а также с Хангаласском, Оленекском и Усть-Майском районах.</w:t>
      </w:r>
    </w:p>
    <w:p w14:paraId="18542AD7" w14:textId="77777777" w:rsidR="0047261E" w:rsidRPr="0047261E" w:rsidRDefault="0047261E" w:rsidP="0047261E">
      <w:pPr>
        <w:widowControl w:val="0"/>
        <w:suppressAutoHyphens/>
        <w:autoSpaceDN w:val="0"/>
        <w:ind w:right="-1" w:firstLine="0"/>
        <w:jc w:val="left"/>
        <w:textAlignment w:val="baseline"/>
        <w:rPr>
          <w:rFonts w:eastAsia="Times New Roman" w:cs="Times New Roman"/>
          <w:kern w:val="3"/>
          <w:szCs w:val="24"/>
          <w:lang w:eastAsia="ru-RU" w:bidi="hi-IN"/>
        </w:rPr>
      </w:pPr>
      <w:r w:rsidRPr="0047261E">
        <w:rPr>
          <w:rFonts w:eastAsia="Times New Roman" w:cs="Times New Roman"/>
          <w:noProof/>
          <w:kern w:val="3"/>
          <w:szCs w:val="24"/>
          <w:lang w:eastAsia="ru-RU"/>
        </w:rPr>
        <w:drawing>
          <wp:inline distT="0" distB="0" distL="0" distR="0" wp14:anchorId="32AD8370" wp14:editId="4598309C">
            <wp:extent cx="6504724" cy="2732568"/>
            <wp:effectExtent l="0" t="0" r="0" b="0"/>
            <wp:docPr id="937" name="Рисунок 937" descr="C:\Users\GOROHO~1\AppData\Local\Temp\FineReader12.00\media\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GOROHO~1\AppData\Local\Temp\FineReader12.00\media\image6.jpeg"/>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6522961" cy="2740229"/>
                    </a:xfrm>
                    <a:prstGeom prst="rect">
                      <a:avLst/>
                    </a:prstGeom>
                    <a:noFill/>
                    <a:ln>
                      <a:noFill/>
                    </a:ln>
                  </pic:spPr>
                </pic:pic>
              </a:graphicData>
            </a:graphic>
          </wp:inline>
        </w:drawing>
      </w:r>
    </w:p>
    <w:p w14:paraId="6FFC2B8E" w14:textId="068291BC" w:rsidR="0047261E" w:rsidRPr="0047261E" w:rsidRDefault="0047261E" w:rsidP="0047261E">
      <w:pPr>
        <w:suppressLineNumbers/>
        <w:suppressAutoHyphens/>
        <w:autoSpaceDN w:val="0"/>
        <w:spacing w:before="120" w:after="120"/>
        <w:ind w:firstLine="0"/>
        <w:jc w:val="center"/>
        <w:textAlignment w:val="baseline"/>
        <w:rPr>
          <w:rFonts w:eastAsia="Calibri" w:cs="Times New Roman"/>
          <w:i/>
          <w:iCs/>
          <w:kern w:val="3"/>
          <w:szCs w:val="24"/>
          <w:lang w:eastAsia="zh-CN"/>
        </w:rPr>
      </w:pPr>
      <w:r w:rsidRPr="0047261E">
        <w:rPr>
          <w:rFonts w:eastAsia="Calibri" w:cs="Times New Roman"/>
          <w:i/>
          <w:iCs/>
          <w:kern w:val="3"/>
          <w:szCs w:val="24"/>
          <w:lang w:eastAsia="zh-CN"/>
        </w:rPr>
        <w:t xml:space="preserve">Рисунок </w:t>
      </w:r>
      <w:r w:rsidRPr="0047261E">
        <w:rPr>
          <w:rFonts w:eastAsia="Calibri" w:cs="Times New Roman"/>
          <w:i/>
          <w:iCs/>
          <w:kern w:val="3"/>
          <w:szCs w:val="24"/>
          <w:lang w:eastAsia="zh-CN"/>
        </w:rPr>
        <w:fldChar w:fldCharType="begin"/>
      </w:r>
      <w:r w:rsidRPr="0047261E">
        <w:rPr>
          <w:rFonts w:eastAsia="Calibri" w:cs="Times New Roman"/>
          <w:i/>
          <w:iCs/>
          <w:kern w:val="3"/>
          <w:szCs w:val="24"/>
          <w:lang w:eastAsia="zh-CN"/>
        </w:rPr>
        <w:instrText xml:space="preserve"> SEQ Рисунок \* ARABIC </w:instrText>
      </w:r>
      <w:r w:rsidRPr="0047261E">
        <w:rPr>
          <w:rFonts w:eastAsia="Calibri" w:cs="Times New Roman"/>
          <w:i/>
          <w:iCs/>
          <w:kern w:val="3"/>
          <w:szCs w:val="24"/>
          <w:lang w:eastAsia="zh-CN"/>
        </w:rPr>
        <w:fldChar w:fldCharType="separate"/>
      </w:r>
      <w:r w:rsidR="00FD2769">
        <w:rPr>
          <w:rFonts w:eastAsia="Calibri" w:cs="Times New Roman"/>
          <w:i/>
          <w:iCs/>
          <w:noProof/>
          <w:kern w:val="3"/>
          <w:szCs w:val="24"/>
          <w:lang w:eastAsia="zh-CN"/>
        </w:rPr>
        <w:t>45</w:t>
      </w:r>
      <w:r w:rsidRPr="0047261E">
        <w:rPr>
          <w:rFonts w:eastAsia="Calibri" w:cs="Times New Roman"/>
          <w:i/>
          <w:iCs/>
          <w:kern w:val="3"/>
          <w:szCs w:val="24"/>
          <w:lang w:eastAsia="zh-CN"/>
        </w:rPr>
        <w:fldChar w:fldCharType="end"/>
      </w:r>
      <w:r w:rsidRPr="0047261E">
        <w:rPr>
          <w:rFonts w:eastAsia="Calibri" w:cs="Times New Roman"/>
          <w:i/>
          <w:iCs/>
          <w:kern w:val="3"/>
          <w:szCs w:val="24"/>
          <w:lang w:eastAsia="zh-CN"/>
        </w:rPr>
        <w:t>. Миграция населения в Республике Саха (Якутия) в 2018году.</w:t>
      </w:r>
    </w:p>
    <w:p w14:paraId="381FE24B" w14:textId="77777777" w:rsidR="0047261E" w:rsidRPr="0047261E" w:rsidRDefault="0047261E" w:rsidP="0047261E">
      <w:pPr>
        <w:suppressLineNumbers/>
        <w:suppressAutoHyphens/>
        <w:autoSpaceDN w:val="0"/>
        <w:spacing w:before="120" w:after="120"/>
        <w:ind w:firstLine="0"/>
        <w:jc w:val="center"/>
        <w:textAlignment w:val="baseline"/>
        <w:rPr>
          <w:rFonts w:eastAsia="Calibri" w:cs="Times New Roman"/>
          <w:i/>
          <w:iCs/>
          <w:kern w:val="3"/>
          <w:szCs w:val="24"/>
          <w:lang w:eastAsia="zh-CN"/>
        </w:rPr>
        <w:sectPr w:rsidR="0047261E" w:rsidRPr="0047261E" w:rsidSect="0047261E">
          <w:pgSz w:w="11906" w:h="16838"/>
          <w:pgMar w:top="1134" w:right="851" w:bottom="1134" w:left="851" w:header="709" w:footer="709" w:gutter="0"/>
          <w:cols w:space="708"/>
          <w:docGrid w:linePitch="360"/>
        </w:sectPr>
      </w:pPr>
    </w:p>
    <w:p w14:paraId="34E5558A" w14:textId="01199112" w:rsidR="003F26E6" w:rsidRDefault="003F26E6" w:rsidP="00FD2769">
      <w:pPr>
        <w:pStyle w:val="3"/>
        <w:rPr>
          <w:rFonts w:eastAsia="Calibri"/>
          <w:lang w:eastAsia="zh-CN"/>
        </w:rPr>
      </w:pPr>
      <w:bookmarkStart w:id="54" w:name="_Toc14819103"/>
      <w:bookmarkStart w:id="55" w:name="_Toc517677369"/>
      <w:r w:rsidRPr="005A6921">
        <w:rPr>
          <w:rFonts w:eastAsia="Calibri"/>
          <w:lang w:eastAsia="zh-CN"/>
        </w:rPr>
        <w:t>Анализ информации о рынке объектов недвижимости Республики Саха (Якутия)</w:t>
      </w:r>
      <w:bookmarkEnd w:id="54"/>
    </w:p>
    <w:bookmarkEnd w:id="55"/>
    <w:p w14:paraId="26CB2BB2" w14:textId="77777777" w:rsidR="003F26E6" w:rsidRDefault="003F26E6" w:rsidP="00F4217A">
      <w:pPr>
        <w:rPr>
          <w:lang w:eastAsia="ru-RU" w:bidi="hi-IN"/>
        </w:rPr>
      </w:pPr>
    </w:p>
    <w:p w14:paraId="7011DD69" w14:textId="22CCD319" w:rsidR="00F4217A" w:rsidRPr="00F4217A" w:rsidRDefault="00F4217A" w:rsidP="00F4217A">
      <w:pPr>
        <w:rPr>
          <w:lang w:eastAsia="ru-RU" w:bidi="hi-IN"/>
        </w:rPr>
      </w:pPr>
      <w:r w:rsidRPr="00F4217A">
        <w:rPr>
          <w:lang w:eastAsia="ru-RU" w:bidi="hi-IN"/>
        </w:rPr>
        <w:t>Анализ рынка недвижимости производился без учета скидок на торг и на долю земельного участка.</w:t>
      </w:r>
    </w:p>
    <w:p w14:paraId="7867FEC0" w14:textId="77777777" w:rsidR="00F4217A" w:rsidRPr="00F4217A" w:rsidRDefault="00F4217A" w:rsidP="00F4217A">
      <w:pPr>
        <w:rPr>
          <w:lang w:eastAsia="ru-RU" w:bidi="hi-IN"/>
        </w:rPr>
      </w:pPr>
      <w:r w:rsidRPr="00F4217A">
        <w:rPr>
          <w:lang w:eastAsia="ru-RU" w:bidi="hi-IN"/>
        </w:rPr>
        <w:t>Обзор и анализ рынка для целей формирования моделей оценки кадастровой стоимости объектов капитального строительства проводился по каждой группе объектов недвижимости.</w:t>
      </w:r>
    </w:p>
    <w:p w14:paraId="48A50476" w14:textId="1A1915EE" w:rsidR="00F4217A" w:rsidRPr="00F4217A" w:rsidRDefault="00F4217A" w:rsidP="00F4217A">
      <w:pPr>
        <w:rPr>
          <w:lang w:eastAsia="ru-RU" w:bidi="hi-IN"/>
        </w:rPr>
      </w:pPr>
      <w:r w:rsidRPr="00F4217A">
        <w:rPr>
          <w:lang w:eastAsia="ru-RU" w:bidi="hi-IN"/>
        </w:rPr>
        <w:t>В результате анализа выявлены также районы как с наиболее акт</w:t>
      </w:r>
      <w:r w:rsidR="00341082">
        <w:rPr>
          <w:lang w:eastAsia="ru-RU" w:bidi="hi-IN"/>
        </w:rPr>
        <w:t>ивным, так и с наименее активным</w:t>
      </w:r>
      <w:r w:rsidRPr="00F4217A">
        <w:rPr>
          <w:lang w:eastAsia="ru-RU" w:bidi="hi-IN"/>
        </w:rPr>
        <w:t xml:space="preserve"> рынком недвижимости Республики Саха (Якутия).</w:t>
      </w:r>
    </w:p>
    <w:p w14:paraId="02615703" w14:textId="77777777" w:rsidR="00F4217A" w:rsidRPr="00F4217A" w:rsidRDefault="00F4217A" w:rsidP="00F4217A">
      <w:pPr>
        <w:rPr>
          <w:lang w:eastAsia="ru-RU" w:bidi="hi-IN"/>
        </w:rPr>
      </w:pPr>
      <w:bookmarkStart w:id="56" w:name="OLE_LINK125"/>
      <w:bookmarkStart w:id="57" w:name="OLE_LINK126"/>
    </w:p>
    <w:bookmarkEnd w:id="56"/>
    <w:bookmarkEnd w:id="57"/>
    <w:p w14:paraId="746AEA17" w14:textId="68432286" w:rsidR="00F4217A" w:rsidRPr="001D4D31" w:rsidRDefault="00F4217A" w:rsidP="00763AD2">
      <w:pPr>
        <w:pStyle w:val="afffffff0"/>
      </w:pPr>
      <w:r w:rsidRPr="001D4D31">
        <w:t xml:space="preserve">Таблица </w:t>
      </w:r>
      <w:r w:rsidR="00A90944">
        <w:fldChar w:fldCharType="begin"/>
      </w:r>
      <w:r w:rsidR="00A90944">
        <w:instrText xml:space="preserve"> SEQ Таблица \* ARABIC </w:instrText>
      </w:r>
      <w:r w:rsidR="00A90944">
        <w:fldChar w:fldCharType="separate"/>
      </w:r>
      <w:r w:rsidR="00FD2769">
        <w:rPr>
          <w:noProof/>
        </w:rPr>
        <w:t>15</w:t>
      </w:r>
      <w:r w:rsidR="00A90944">
        <w:rPr>
          <w:noProof/>
        </w:rPr>
        <w:fldChar w:fldCharType="end"/>
      </w:r>
      <w:r w:rsidRPr="001D4D31">
        <w:t xml:space="preserve"> Общая характеристика объема рынка земельных участков Республики Саха (Якутия) в 2014-2018 гг.</w:t>
      </w:r>
    </w:p>
    <w:tbl>
      <w:tblPr>
        <w:tblW w:w="9445" w:type="dxa"/>
        <w:tblInd w:w="-5" w:type="dxa"/>
        <w:tblLook w:val="04A0" w:firstRow="1" w:lastRow="0" w:firstColumn="1" w:lastColumn="0" w:noHBand="0" w:noVBand="1"/>
      </w:tblPr>
      <w:tblGrid>
        <w:gridCol w:w="2268"/>
        <w:gridCol w:w="2245"/>
        <w:gridCol w:w="988"/>
        <w:gridCol w:w="986"/>
        <w:gridCol w:w="986"/>
        <w:gridCol w:w="986"/>
        <w:gridCol w:w="986"/>
      </w:tblGrid>
      <w:tr w:rsidR="00322AE9" w:rsidRPr="00C32097" w14:paraId="4120F859" w14:textId="77777777" w:rsidTr="00041D42">
        <w:trPr>
          <w:trHeight w:val="600"/>
          <w:tblHeader/>
        </w:trPr>
        <w:tc>
          <w:tcPr>
            <w:tcW w:w="226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784D4A1" w14:textId="77777777" w:rsidR="007834FD" w:rsidRPr="00C32097" w:rsidRDefault="007834FD" w:rsidP="00C32097">
            <w:pPr>
              <w:ind w:firstLine="0"/>
              <w:jc w:val="center"/>
              <w:rPr>
                <w:rFonts w:eastAsia="Times New Roman" w:cs="Times New Roman"/>
                <w:b/>
                <w:color w:val="000000"/>
                <w:sz w:val="22"/>
                <w:lang w:eastAsia="ru-RU"/>
              </w:rPr>
            </w:pPr>
            <w:r w:rsidRPr="00C32097">
              <w:rPr>
                <w:rFonts w:eastAsia="Times New Roman" w:cs="Times New Roman"/>
                <w:b/>
                <w:color w:val="000000"/>
                <w:sz w:val="22"/>
                <w:lang w:eastAsia="ru-RU" w:bidi="hi-IN"/>
              </w:rPr>
              <w:t>Показатель</w:t>
            </w:r>
          </w:p>
        </w:tc>
        <w:tc>
          <w:tcPr>
            <w:tcW w:w="2245" w:type="dxa"/>
            <w:tcBorders>
              <w:top w:val="single" w:sz="4" w:space="0" w:color="auto"/>
              <w:left w:val="nil"/>
              <w:bottom w:val="single" w:sz="4" w:space="0" w:color="auto"/>
              <w:right w:val="single" w:sz="4" w:space="0" w:color="auto"/>
            </w:tcBorders>
            <w:shd w:val="clear" w:color="auto" w:fill="auto"/>
            <w:vAlign w:val="center"/>
            <w:hideMark/>
          </w:tcPr>
          <w:p w14:paraId="3DDE1435" w14:textId="77777777" w:rsidR="007834FD" w:rsidRPr="00C32097" w:rsidRDefault="007834FD" w:rsidP="00C32097">
            <w:pPr>
              <w:ind w:firstLine="0"/>
              <w:jc w:val="center"/>
              <w:rPr>
                <w:rFonts w:eastAsia="Times New Roman" w:cs="Times New Roman"/>
                <w:b/>
                <w:color w:val="000000"/>
                <w:sz w:val="22"/>
                <w:lang w:eastAsia="ru-RU"/>
              </w:rPr>
            </w:pPr>
            <w:r w:rsidRPr="00C32097">
              <w:rPr>
                <w:rFonts w:eastAsia="Times New Roman" w:cs="Times New Roman"/>
                <w:b/>
                <w:color w:val="000000"/>
                <w:sz w:val="22"/>
                <w:lang w:eastAsia="ru-RU" w:bidi="hi-IN"/>
              </w:rPr>
              <w:t>Источник данных</w:t>
            </w:r>
          </w:p>
        </w:tc>
        <w:tc>
          <w:tcPr>
            <w:tcW w:w="988" w:type="dxa"/>
            <w:tcBorders>
              <w:top w:val="single" w:sz="4" w:space="0" w:color="auto"/>
              <w:left w:val="nil"/>
              <w:bottom w:val="single" w:sz="4" w:space="0" w:color="auto"/>
              <w:right w:val="single" w:sz="4" w:space="0" w:color="auto"/>
            </w:tcBorders>
            <w:shd w:val="clear" w:color="auto" w:fill="auto"/>
            <w:vAlign w:val="center"/>
            <w:hideMark/>
          </w:tcPr>
          <w:p w14:paraId="0BBA0881" w14:textId="77777777" w:rsidR="007834FD" w:rsidRPr="00C32097" w:rsidRDefault="007834FD" w:rsidP="00C32097">
            <w:pPr>
              <w:ind w:firstLine="0"/>
              <w:jc w:val="center"/>
              <w:rPr>
                <w:rFonts w:eastAsia="Times New Roman" w:cs="Times New Roman"/>
                <w:b/>
                <w:color w:val="000000"/>
                <w:sz w:val="22"/>
                <w:lang w:eastAsia="ru-RU"/>
              </w:rPr>
            </w:pPr>
            <w:r w:rsidRPr="00C32097">
              <w:rPr>
                <w:rFonts w:eastAsia="Times New Roman" w:cs="Times New Roman"/>
                <w:b/>
                <w:color w:val="000000"/>
                <w:sz w:val="22"/>
                <w:lang w:eastAsia="ru-RU" w:bidi="hi-IN"/>
              </w:rPr>
              <w:t>2014 год</w:t>
            </w:r>
          </w:p>
        </w:tc>
        <w:tc>
          <w:tcPr>
            <w:tcW w:w="986" w:type="dxa"/>
            <w:tcBorders>
              <w:top w:val="single" w:sz="4" w:space="0" w:color="auto"/>
              <w:left w:val="nil"/>
              <w:bottom w:val="single" w:sz="4" w:space="0" w:color="auto"/>
              <w:right w:val="single" w:sz="4" w:space="0" w:color="auto"/>
            </w:tcBorders>
            <w:shd w:val="clear" w:color="auto" w:fill="auto"/>
            <w:vAlign w:val="center"/>
            <w:hideMark/>
          </w:tcPr>
          <w:p w14:paraId="7AE4E8C5" w14:textId="77777777" w:rsidR="007834FD" w:rsidRPr="00C32097" w:rsidRDefault="007834FD" w:rsidP="00C32097">
            <w:pPr>
              <w:ind w:firstLine="0"/>
              <w:jc w:val="center"/>
              <w:rPr>
                <w:rFonts w:eastAsia="Times New Roman" w:cs="Times New Roman"/>
                <w:b/>
                <w:color w:val="000000"/>
                <w:sz w:val="22"/>
                <w:lang w:eastAsia="ru-RU"/>
              </w:rPr>
            </w:pPr>
            <w:r w:rsidRPr="00C32097">
              <w:rPr>
                <w:rFonts w:eastAsia="Times New Roman" w:cs="Times New Roman"/>
                <w:b/>
                <w:color w:val="000000"/>
                <w:sz w:val="22"/>
                <w:lang w:eastAsia="ru-RU" w:bidi="hi-IN"/>
              </w:rPr>
              <w:t>2015 год</w:t>
            </w:r>
          </w:p>
        </w:tc>
        <w:tc>
          <w:tcPr>
            <w:tcW w:w="986" w:type="dxa"/>
            <w:tcBorders>
              <w:top w:val="single" w:sz="4" w:space="0" w:color="auto"/>
              <w:left w:val="nil"/>
              <w:bottom w:val="single" w:sz="4" w:space="0" w:color="auto"/>
              <w:right w:val="single" w:sz="4" w:space="0" w:color="auto"/>
            </w:tcBorders>
            <w:shd w:val="clear" w:color="auto" w:fill="auto"/>
            <w:vAlign w:val="center"/>
            <w:hideMark/>
          </w:tcPr>
          <w:p w14:paraId="3AC2B857" w14:textId="77777777" w:rsidR="007834FD" w:rsidRPr="00C32097" w:rsidRDefault="007834FD" w:rsidP="00C32097">
            <w:pPr>
              <w:ind w:firstLine="0"/>
              <w:jc w:val="center"/>
              <w:rPr>
                <w:rFonts w:eastAsia="Times New Roman" w:cs="Times New Roman"/>
                <w:b/>
                <w:color w:val="000000"/>
                <w:sz w:val="22"/>
                <w:lang w:eastAsia="ru-RU"/>
              </w:rPr>
            </w:pPr>
            <w:r w:rsidRPr="00C32097">
              <w:rPr>
                <w:rFonts w:eastAsia="Times New Roman" w:cs="Times New Roman"/>
                <w:b/>
                <w:color w:val="000000"/>
                <w:sz w:val="22"/>
                <w:lang w:eastAsia="ru-RU" w:bidi="hi-IN"/>
              </w:rPr>
              <w:t>2016 год</w:t>
            </w:r>
          </w:p>
        </w:tc>
        <w:tc>
          <w:tcPr>
            <w:tcW w:w="986" w:type="dxa"/>
            <w:tcBorders>
              <w:top w:val="single" w:sz="4" w:space="0" w:color="auto"/>
              <w:left w:val="nil"/>
              <w:bottom w:val="single" w:sz="4" w:space="0" w:color="auto"/>
              <w:right w:val="single" w:sz="4" w:space="0" w:color="auto"/>
            </w:tcBorders>
            <w:shd w:val="clear" w:color="auto" w:fill="auto"/>
            <w:vAlign w:val="center"/>
            <w:hideMark/>
          </w:tcPr>
          <w:p w14:paraId="5B26B54D" w14:textId="77777777" w:rsidR="007834FD" w:rsidRPr="00C32097" w:rsidRDefault="007834FD" w:rsidP="00C32097">
            <w:pPr>
              <w:ind w:firstLine="0"/>
              <w:jc w:val="center"/>
              <w:rPr>
                <w:rFonts w:eastAsia="Times New Roman" w:cs="Times New Roman"/>
                <w:b/>
                <w:color w:val="000000"/>
                <w:sz w:val="22"/>
                <w:lang w:eastAsia="ru-RU"/>
              </w:rPr>
            </w:pPr>
            <w:r w:rsidRPr="00C32097">
              <w:rPr>
                <w:rFonts w:eastAsia="Times New Roman" w:cs="Times New Roman"/>
                <w:b/>
                <w:color w:val="000000"/>
                <w:sz w:val="22"/>
                <w:lang w:eastAsia="ru-RU" w:bidi="hi-IN"/>
              </w:rPr>
              <w:t>2017 год</w:t>
            </w:r>
          </w:p>
        </w:tc>
        <w:tc>
          <w:tcPr>
            <w:tcW w:w="986" w:type="dxa"/>
            <w:tcBorders>
              <w:top w:val="single" w:sz="4" w:space="0" w:color="auto"/>
              <w:left w:val="nil"/>
              <w:bottom w:val="single" w:sz="4" w:space="0" w:color="auto"/>
              <w:right w:val="single" w:sz="4" w:space="0" w:color="auto"/>
            </w:tcBorders>
            <w:shd w:val="clear" w:color="auto" w:fill="auto"/>
            <w:vAlign w:val="center"/>
            <w:hideMark/>
          </w:tcPr>
          <w:p w14:paraId="770620B0" w14:textId="77777777" w:rsidR="007834FD" w:rsidRPr="00C32097" w:rsidRDefault="007834FD" w:rsidP="00C32097">
            <w:pPr>
              <w:ind w:firstLine="0"/>
              <w:jc w:val="center"/>
              <w:rPr>
                <w:rFonts w:eastAsia="Times New Roman" w:cs="Times New Roman"/>
                <w:b/>
                <w:color w:val="000000"/>
                <w:sz w:val="22"/>
                <w:lang w:eastAsia="ru-RU"/>
              </w:rPr>
            </w:pPr>
            <w:r w:rsidRPr="00C32097">
              <w:rPr>
                <w:rFonts w:eastAsia="Times New Roman" w:cs="Times New Roman"/>
                <w:b/>
                <w:color w:val="000000"/>
                <w:sz w:val="22"/>
                <w:lang w:eastAsia="ru-RU" w:bidi="hi-IN"/>
              </w:rPr>
              <w:t>2018 год</w:t>
            </w:r>
          </w:p>
        </w:tc>
      </w:tr>
      <w:tr w:rsidR="00322AE9" w:rsidRPr="007834FD" w14:paraId="09C08D04" w14:textId="77777777" w:rsidTr="00041D42">
        <w:trPr>
          <w:trHeight w:val="1200"/>
        </w:trPr>
        <w:tc>
          <w:tcPr>
            <w:tcW w:w="2268" w:type="dxa"/>
            <w:tcBorders>
              <w:top w:val="nil"/>
              <w:left w:val="single" w:sz="4" w:space="0" w:color="auto"/>
              <w:bottom w:val="single" w:sz="4" w:space="0" w:color="auto"/>
              <w:right w:val="single" w:sz="4" w:space="0" w:color="auto"/>
            </w:tcBorders>
            <w:shd w:val="clear" w:color="auto" w:fill="auto"/>
            <w:vAlign w:val="center"/>
            <w:hideMark/>
          </w:tcPr>
          <w:p w14:paraId="28E44447" w14:textId="77777777" w:rsidR="007834FD" w:rsidRPr="007834FD" w:rsidRDefault="007834FD" w:rsidP="007834FD">
            <w:pPr>
              <w:ind w:firstLine="0"/>
              <w:jc w:val="left"/>
              <w:rPr>
                <w:rFonts w:eastAsia="Times New Roman" w:cs="Times New Roman"/>
                <w:color w:val="000000"/>
                <w:sz w:val="22"/>
                <w:lang w:eastAsia="ru-RU"/>
              </w:rPr>
            </w:pPr>
            <w:r w:rsidRPr="007834FD">
              <w:rPr>
                <w:rFonts w:eastAsia="Times New Roman" w:cs="Times New Roman"/>
                <w:color w:val="000000"/>
                <w:sz w:val="22"/>
                <w:lang w:eastAsia="ru-RU" w:bidi="hi-IN"/>
              </w:rPr>
              <w:t>Количество сделок с землей, совершенных в отчетном году (единица, значение показателя за год)</w:t>
            </w:r>
          </w:p>
        </w:tc>
        <w:tc>
          <w:tcPr>
            <w:tcW w:w="2245" w:type="dxa"/>
            <w:tcBorders>
              <w:top w:val="nil"/>
              <w:left w:val="nil"/>
              <w:bottom w:val="single" w:sz="4" w:space="0" w:color="auto"/>
              <w:right w:val="single" w:sz="4" w:space="0" w:color="auto"/>
            </w:tcBorders>
            <w:shd w:val="clear" w:color="auto" w:fill="auto"/>
            <w:vAlign w:val="center"/>
            <w:hideMark/>
          </w:tcPr>
          <w:p w14:paraId="581C1861" w14:textId="77777777" w:rsidR="007834FD" w:rsidRPr="007834FD" w:rsidRDefault="007834FD" w:rsidP="007834FD">
            <w:pPr>
              <w:ind w:firstLine="0"/>
              <w:jc w:val="left"/>
              <w:rPr>
                <w:rFonts w:eastAsia="Times New Roman" w:cs="Times New Roman"/>
                <w:color w:val="000000"/>
                <w:sz w:val="22"/>
                <w:lang w:val="en-US" w:eastAsia="ru-RU"/>
              </w:rPr>
            </w:pPr>
            <w:r w:rsidRPr="007834FD">
              <w:rPr>
                <w:rFonts w:eastAsia="Times New Roman" w:cs="Times New Roman"/>
                <w:color w:val="000000"/>
                <w:sz w:val="22"/>
                <w:lang w:val="en-US" w:eastAsia="ru-RU" w:bidi="hi-IN"/>
              </w:rPr>
              <w:t>https://www.fedstat.ru /indicator/38103</w:t>
            </w:r>
          </w:p>
        </w:tc>
        <w:tc>
          <w:tcPr>
            <w:tcW w:w="988" w:type="dxa"/>
            <w:tcBorders>
              <w:top w:val="nil"/>
              <w:left w:val="nil"/>
              <w:bottom w:val="single" w:sz="4" w:space="0" w:color="auto"/>
              <w:right w:val="single" w:sz="4" w:space="0" w:color="auto"/>
            </w:tcBorders>
            <w:shd w:val="clear" w:color="auto" w:fill="auto"/>
            <w:vAlign w:val="center"/>
            <w:hideMark/>
          </w:tcPr>
          <w:p w14:paraId="48E0311B" w14:textId="77777777" w:rsidR="007834FD" w:rsidRPr="007834FD" w:rsidRDefault="007834FD" w:rsidP="007834FD">
            <w:pPr>
              <w:ind w:firstLine="0"/>
              <w:jc w:val="right"/>
              <w:rPr>
                <w:rFonts w:eastAsia="Times New Roman" w:cs="Times New Roman"/>
                <w:color w:val="000000"/>
                <w:sz w:val="22"/>
                <w:lang w:eastAsia="ru-RU"/>
              </w:rPr>
            </w:pPr>
            <w:r w:rsidRPr="007834FD">
              <w:rPr>
                <w:rFonts w:eastAsia="Times New Roman" w:cs="Times New Roman"/>
                <w:color w:val="000000"/>
                <w:sz w:val="22"/>
                <w:lang w:eastAsia="ru-RU" w:bidi="hi-IN"/>
              </w:rPr>
              <w:t>20899</w:t>
            </w:r>
          </w:p>
        </w:tc>
        <w:tc>
          <w:tcPr>
            <w:tcW w:w="986" w:type="dxa"/>
            <w:tcBorders>
              <w:top w:val="nil"/>
              <w:left w:val="nil"/>
              <w:bottom w:val="single" w:sz="4" w:space="0" w:color="auto"/>
              <w:right w:val="single" w:sz="4" w:space="0" w:color="auto"/>
            </w:tcBorders>
            <w:shd w:val="clear" w:color="auto" w:fill="auto"/>
            <w:vAlign w:val="center"/>
            <w:hideMark/>
          </w:tcPr>
          <w:p w14:paraId="5BC8B9EA" w14:textId="77777777" w:rsidR="007834FD" w:rsidRPr="007834FD" w:rsidRDefault="007834FD" w:rsidP="007834FD">
            <w:pPr>
              <w:ind w:firstLine="0"/>
              <w:jc w:val="right"/>
              <w:rPr>
                <w:rFonts w:eastAsia="Times New Roman" w:cs="Times New Roman"/>
                <w:color w:val="000000"/>
                <w:sz w:val="22"/>
                <w:lang w:eastAsia="ru-RU"/>
              </w:rPr>
            </w:pPr>
            <w:r w:rsidRPr="007834FD">
              <w:rPr>
                <w:rFonts w:eastAsia="Times New Roman" w:cs="Times New Roman"/>
                <w:color w:val="000000"/>
                <w:sz w:val="22"/>
                <w:lang w:eastAsia="ru-RU" w:bidi="hi-IN"/>
              </w:rPr>
              <w:t>22119</w:t>
            </w:r>
          </w:p>
        </w:tc>
        <w:tc>
          <w:tcPr>
            <w:tcW w:w="986" w:type="dxa"/>
            <w:tcBorders>
              <w:top w:val="nil"/>
              <w:left w:val="nil"/>
              <w:bottom w:val="single" w:sz="4" w:space="0" w:color="auto"/>
              <w:right w:val="single" w:sz="4" w:space="0" w:color="auto"/>
            </w:tcBorders>
            <w:shd w:val="clear" w:color="auto" w:fill="auto"/>
            <w:vAlign w:val="center"/>
            <w:hideMark/>
          </w:tcPr>
          <w:p w14:paraId="3E912F6F" w14:textId="77777777" w:rsidR="007834FD" w:rsidRPr="007834FD" w:rsidRDefault="007834FD" w:rsidP="007834FD">
            <w:pPr>
              <w:ind w:firstLine="0"/>
              <w:jc w:val="right"/>
              <w:rPr>
                <w:rFonts w:eastAsia="Times New Roman" w:cs="Times New Roman"/>
                <w:color w:val="000000"/>
                <w:sz w:val="22"/>
                <w:lang w:eastAsia="ru-RU"/>
              </w:rPr>
            </w:pPr>
            <w:r w:rsidRPr="007834FD">
              <w:rPr>
                <w:rFonts w:eastAsia="Times New Roman" w:cs="Times New Roman"/>
                <w:color w:val="000000"/>
                <w:sz w:val="22"/>
                <w:lang w:eastAsia="ru-RU" w:bidi="hi-IN"/>
              </w:rPr>
              <w:t>49747</w:t>
            </w:r>
          </w:p>
        </w:tc>
        <w:tc>
          <w:tcPr>
            <w:tcW w:w="986" w:type="dxa"/>
            <w:tcBorders>
              <w:top w:val="nil"/>
              <w:left w:val="nil"/>
              <w:bottom w:val="single" w:sz="4" w:space="0" w:color="auto"/>
              <w:right w:val="single" w:sz="4" w:space="0" w:color="auto"/>
            </w:tcBorders>
            <w:shd w:val="clear" w:color="auto" w:fill="auto"/>
            <w:vAlign w:val="center"/>
            <w:hideMark/>
          </w:tcPr>
          <w:p w14:paraId="62D57E9A" w14:textId="77777777" w:rsidR="007834FD" w:rsidRPr="007834FD" w:rsidRDefault="007834FD" w:rsidP="007834FD">
            <w:pPr>
              <w:ind w:firstLine="0"/>
              <w:jc w:val="right"/>
              <w:rPr>
                <w:rFonts w:eastAsia="Times New Roman" w:cs="Times New Roman"/>
                <w:color w:val="000000"/>
                <w:sz w:val="22"/>
                <w:lang w:eastAsia="ru-RU"/>
              </w:rPr>
            </w:pPr>
            <w:r w:rsidRPr="007834FD">
              <w:rPr>
                <w:rFonts w:eastAsia="Times New Roman" w:cs="Times New Roman"/>
                <w:color w:val="000000"/>
                <w:sz w:val="22"/>
                <w:lang w:eastAsia="ru-RU" w:bidi="hi-IN"/>
              </w:rPr>
              <w:t>29309</w:t>
            </w:r>
          </w:p>
        </w:tc>
        <w:tc>
          <w:tcPr>
            <w:tcW w:w="986" w:type="dxa"/>
            <w:tcBorders>
              <w:top w:val="nil"/>
              <w:left w:val="nil"/>
              <w:bottom w:val="single" w:sz="4" w:space="0" w:color="auto"/>
              <w:right w:val="single" w:sz="4" w:space="0" w:color="auto"/>
            </w:tcBorders>
            <w:shd w:val="clear" w:color="auto" w:fill="auto"/>
            <w:vAlign w:val="center"/>
            <w:hideMark/>
          </w:tcPr>
          <w:p w14:paraId="3366CC83" w14:textId="77777777" w:rsidR="007834FD" w:rsidRPr="007834FD" w:rsidRDefault="007834FD" w:rsidP="007834FD">
            <w:pPr>
              <w:ind w:firstLine="0"/>
              <w:jc w:val="right"/>
              <w:rPr>
                <w:rFonts w:eastAsia="Times New Roman" w:cs="Times New Roman"/>
                <w:color w:val="000000"/>
                <w:sz w:val="22"/>
                <w:lang w:eastAsia="ru-RU"/>
              </w:rPr>
            </w:pPr>
            <w:r w:rsidRPr="007834FD">
              <w:rPr>
                <w:rFonts w:eastAsia="Times New Roman" w:cs="Times New Roman"/>
                <w:color w:val="000000"/>
                <w:sz w:val="22"/>
                <w:lang w:eastAsia="ru-RU" w:bidi="hi-IN"/>
              </w:rPr>
              <w:t>21702</w:t>
            </w:r>
          </w:p>
        </w:tc>
      </w:tr>
      <w:tr w:rsidR="00322AE9" w:rsidRPr="007834FD" w14:paraId="535CE213" w14:textId="77777777" w:rsidTr="00041D42">
        <w:trPr>
          <w:trHeight w:val="900"/>
        </w:trPr>
        <w:tc>
          <w:tcPr>
            <w:tcW w:w="2268" w:type="dxa"/>
            <w:tcBorders>
              <w:top w:val="nil"/>
              <w:left w:val="single" w:sz="4" w:space="0" w:color="auto"/>
              <w:bottom w:val="single" w:sz="4" w:space="0" w:color="auto"/>
              <w:right w:val="single" w:sz="4" w:space="0" w:color="auto"/>
            </w:tcBorders>
            <w:shd w:val="clear" w:color="auto" w:fill="auto"/>
            <w:vAlign w:val="center"/>
            <w:hideMark/>
          </w:tcPr>
          <w:p w14:paraId="3AEE9A9C" w14:textId="77777777" w:rsidR="007834FD" w:rsidRPr="007834FD" w:rsidRDefault="007834FD" w:rsidP="007834FD">
            <w:pPr>
              <w:ind w:firstLine="0"/>
              <w:jc w:val="left"/>
              <w:rPr>
                <w:rFonts w:eastAsia="Times New Roman" w:cs="Times New Roman"/>
                <w:color w:val="000000"/>
                <w:sz w:val="22"/>
                <w:lang w:eastAsia="ru-RU"/>
              </w:rPr>
            </w:pPr>
            <w:r w:rsidRPr="007834FD">
              <w:rPr>
                <w:rFonts w:eastAsia="Times New Roman" w:cs="Times New Roman"/>
                <w:color w:val="000000"/>
                <w:sz w:val="22"/>
                <w:lang w:eastAsia="ru-RU" w:bidi="hi-IN"/>
              </w:rPr>
              <w:t>Площадь сделок с землей, совершенных в отчетном году (гектар, значение показателя за год)</w:t>
            </w:r>
          </w:p>
        </w:tc>
        <w:tc>
          <w:tcPr>
            <w:tcW w:w="2245" w:type="dxa"/>
            <w:tcBorders>
              <w:top w:val="nil"/>
              <w:left w:val="nil"/>
              <w:bottom w:val="single" w:sz="4" w:space="0" w:color="auto"/>
              <w:right w:val="single" w:sz="4" w:space="0" w:color="auto"/>
            </w:tcBorders>
            <w:shd w:val="clear" w:color="auto" w:fill="auto"/>
            <w:vAlign w:val="center"/>
            <w:hideMark/>
          </w:tcPr>
          <w:p w14:paraId="6EAE2970" w14:textId="77777777" w:rsidR="007834FD" w:rsidRPr="007834FD" w:rsidRDefault="007834FD" w:rsidP="007834FD">
            <w:pPr>
              <w:ind w:firstLine="0"/>
              <w:jc w:val="left"/>
              <w:rPr>
                <w:rFonts w:eastAsia="Times New Roman" w:cs="Times New Roman"/>
                <w:color w:val="000000"/>
                <w:sz w:val="22"/>
                <w:lang w:val="en-US" w:eastAsia="ru-RU"/>
              </w:rPr>
            </w:pPr>
            <w:r w:rsidRPr="007834FD">
              <w:rPr>
                <w:rFonts w:eastAsia="Times New Roman" w:cs="Times New Roman"/>
                <w:color w:val="000000"/>
                <w:sz w:val="22"/>
                <w:lang w:val="en-US" w:eastAsia="ru-RU" w:bidi="hi-IN"/>
              </w:rPr>
              <w:t>https://www.fedstat.ru/ indicator/38102</w:t>
            </w:r>
          </w:p>
        </w:tc>
        <w:tc>
          <w:tcPr>
            <w:tcW w:w="988" w:type="dxa"/>
            <w:tcBorders>
              <w:top w:val="nil"/>
              <w:left w:val="nil"/>
              <w:bottom w:val="single" w:sz="4" w:space="0" w:color="auto"/>
              <w:right w:val="single" w:sz="4" w:space="0" w:color="auto"/>
            </w:tcBorders>
            <w:shd w:val="clear" w:color="auto" w:fill="auto"/>
            <w:vAlign w:val="center"/>
            <w:hideMark/>
          </w:tcPr>
          <w:p w14:paraId="2A789491" w14:textId="0C523EBD" w:rsidR="007834FD" w:rsidRPr="007834FD" w:rsidRDefault="007834FD" w:rsidP="007834FD">
            <w:pPr>
              <w:ind w:firstLine="0"/>
              <w:jc w:val="right"/>
              <w:rPr>
                <w:rFonts w:eastAsia="Times New Roman" w:cs="Times New Roman"/>
                <w:color w:val="000000"/>
                <w:sz w:val="22"/>
                <w:lang w:eastAsia="ru-RU"/>
              </w:rPr>
            </w:pPr>
            <w:r w:rsidRPr="007834FD">
              <w:rPr>
                <w:rFonts w:eastAsia="Times New Roman" w:cs="Times New Roman"/>
                <w:color w:val="000000"/>
                <w:sz w:val="22"/>
                <w:lang w:eastAsia="ru-RU" w:bidi="hi-IN"/>
              </w:rPr>
              <w:t>104534</w:t>
            </w:r>
          </w:p>
        </w:tc>
        <w:tc>
          <w:tcPr>
            <w:tcW w:w="986" w:type="dxa"/>
            <w:tcBorders>
              <w:top w:val="nil"/>
              <w:left w:val="nil"/>
              <w:bottom w:val="single" w:sz="4" w:space="0" w:color="auto"/>
              <w:right w:val="single" w:sz="4" w:space="0" w:color="auto"/>
            </w:tcBorders>
            <w:shd w:val="clear" w:color="auto" w:fill="auto"/>
            <w:vAlign w:val="center"/>
            <w:hideMark/>
          </w:tcPr>
          <w:p w14:paraId="6EE84149" w14:textId="133D3527" w:rsidR="007834FD" w:rsidRPr="007834FD" w:rsidRDefault="007834FD" w:rsidP="007834FD">
            <w:pPr>
              <w:ind w:firstLine="0"/>
              <w:jc w:val="right"/>
              <w:rPr>
                <w:rFonts w:eastAsia="Times New Roman" w:cs="Times New Roman"/>
                <w:color w:val="000000"/>
                <w:sz w:val="22"/>
                <w:lang w:eastAsia="ru-RU"/>
              </w:rPr>
            </w:pPr>
            <w:r w:rsidRPr="007834FD">
              <w:rPr>
                <w:rFonts w:eastAsia="Times New Roman" w:cs="Times New Roman"/>
                <w:color w:val="000000"/>
                <w:sz w:val="22"/>
                <w:lang w:eastAsia="ru-RU" w:bidi="hi-IN"/>
              </w:rPr>
              <w:t>4402236</w:t>
            </w:r>
          </w:p>
        </w:tc>
        <w:tc>
          <w:tcPr>
            <w:tcW w:w="986" w:type="dxa"/>
            <w:tcBorders>
              <w:top w:val="nil"/>
              <w:left w:val="nil"/>
              <w:bottom w:val="single" w:sz="4" w:space="0" w:color="auto"/>
              <w:right w:val="single" w:sz="4" w:space="0" w:color="auto"/>
            </w:tcBorders>
            <w:shd w:val="clear" w:color="auto" w:fill="auto"/>
            <w:vAlign w:val="center"/>
            <w:hideMark/>
          </w:tcPr>
          <w:p w14:paraId="5F1D79B7" w14:textId="402236A4" w:rsidR="007834FD" w:rsidRPr="007834FD" w:rsidRDefault="007834FD" w:rsidP="007834FD">
            <w:pPr>
              <w:ind w:firstLine="0"/>
              <w:jc w:val="right"/>
              <w:rPr>
                <w:rFonts w:eastAsia="Times New Roman" w:cs="Times New Roman"/>
                <w:color w:val="000000"/>
                <w:sz w:val="22"/>
                <w:lang w:eastAsia="ru-RU"/>
              </w:rPr>
            </w:pPr>
            <w:r w:rsidRPr="007834FD">
              <w:rPr>
                <w:rFonts w:eastAsia="Times New Roman" w:cs="Times New Roman"/>
                <w:color w:val="000000"/>
                <w:sz w:val="22"/>
                <w:lang w:eastAsia="ru-RU" w:bidi="hi-IN"/>
              </w:rPr>
              <w:t>6714361</w:t>
            </w:r>
          </w:p>
        </w:tc>
        <w:tc>
          <w:tcPr>
            <w:tcW w:w="986" w:type="dxa"/>
            <w:tcBorders>
              <w:top w:val="nil"/>
              <w:left w:val="nil"/>
              <w:bottom w:val="single" w:sz="4" w:space="0" w:color="auto"/>
              <w:right w:val="single" w:sz="4" w:space="0" w:color="auto"/>
            </w:tcBorders>
            <w:shd w:val="clear" w:color="auto" w:fill="auto"/>
            <w:vAlign w:val="center"/>
            <w:hideMark/>
          </w:tcPr>
          <w:p w14:paraId="08D3466A" w14:textId="7E7DD95C" w:rsidR="007834FD" w:rsidRPr="007834FD" w:rsidRDefault="007834FD" w:rsidP="007834FD">
            <w:pPr>
              <w:ind w:firstLine="0"/>
              <w:jc w:val="right"/>
              <w:rPr>
                <w:rFonts w:eastAsia="Times New Roman" w:cs="Times New Roman"/>
                <w:color w:val="000000"/>
                <w:sz w:val="22"/>
                <w:lang w:eastAsia="ru-RU"/>
              </w:rPr>
            </w:pPr>
            <w:r w:rsidRPr="007834FD">
              <w:rPr>
                <w:rFonts w:eastAsia="Times New Roman" w:cs="Times New Roman"/>
                <w:color w:val="000000"/>
                <w:sz w:val="22"/>
                <w:lang w:eastAsia="ru-RU" w:bidi="hi-IN"/>
              </w:rPr>
              <w:t>685694</w:t>
            </w:r>
          </w:p>
        </w:tc>
        <w:tc>
          <w:tcPr>
            <w:tcW w:w="986" w:type="dxa"/>
            <w:tcBorders>
              <w:top w:val="nil"/>
              <w:left w:val="nil"/>
              <w:bottom w:val="single" w:sz="4" w:space="0" w:color="auto"/>
              <w:right w:val="single" w:sz="4" w:space="0" w:color="auto"/>
            </w:tcBorders>
            <w:shd w:val="clear" w:color="auto" w:fill="auto"/>
            <w:vAlign w:val="center"/>
            <w:hideMark/>
          </w:tcPr>
          <w:p w14:paraId="2C40F752" w14:textId="6936BD94" w:rsidR="007834FD" w:rsidRPr="007834FD" w:rsidRDefault="007834FD" w:rsidP="007834FD">
            <w:pPr>
              <w:ind w:firstLine="0"/>
              <w:jc w:val="right"/>
              <w:rPr>
                <w:rFonts w:eastAsia="Times New Roman" w:cs="Times New Roman"/>
                <w:color w:val="000000"/>
                <w:sz w:val="22"/>
                <w:lang w:eastAsia="ru-RU"/>
              </w:rPr>
            </w:pPr>
            <w:r w:rsidRPr="007834FD">
              <w:rPr>
                <w:rFonts w:eastAsia="Times New Roman" w:cs="Times New Roman"/>
                <w:color w:val="000000"/>
                <w:sz w:val="22"/>
                <w:lang w:eastAsia="ru-RU" w:bidi="hi-IN"/>
              </w:rPr>
              <w:t>225708</w:t>
            </w:r>
          </w:p>
        </w:tc>
      </w:tr>
      <w:tr w:rsidR="00322AE9" w:rsidRPr="007834FD" w14:paraId="7CF7CA3F" w14:textId="77777777" w:rsidTr="00041D42">
        <w:trPr>
          <w:trHeight w:val="300"/>
        </w:trPr>
        <w:tc>
          <w:tcPr>
            <w:tcW w:w="2268" w:type="dxa"/>
            <w:tcBorders>
              <w:top w:val="nil"/>
              <w:left w:val="single" w:sz="4" w:space="0" w:color="auto"/>
              <w:bottom w:val="single" w:sz="4" w:space="0" w:color="auto"/>
              <w:right w:val="single" w:sz="4" w:space="0" w:color="auto"/>
            </w:tcBorders>
            <w:shd w:val="clear" w:color="auto" w:fill="auto"/>
            <w:vAlign w:val="center"/>
            <w:hideMark/>
          </w:tcPr>
          <w:p w14:paraId="2D59D236" w14:textId="77777777" w:rsidR="007834FD" w:rsidRPr="007834FD" w:rsidRDefault="007834FD" w:rsidP="007834FD">
            <w:pPr>
              <w:ind w:firstLine="0"/>
              <w:jc w:val="left"/>
              <w:rPr>
                <w:rFonts w:eastAsia="Times New Roman" w:cs="Times New Roman"/>
                <w:color w:val="000000"/>
                <w:sz w:val="22"/>
                <w:lang w:eastAsia="ru-RU"/>
              </w:rPr>
            </w:pPr>
            <w:r w:rsidRPr="007834FD">
              <w:rPr>
                <w:rFonts w:eastAsia="Times New Roman" w:cs="Times New Roman"/>
                <w:color w:val="000000"/>
                <w:sz w:val="22"/>
                <w:lang w:eastAsia="ru-RU" w:bidi="hi-IN"/>
              </w:rPr>
              <w:t>Средняя площадь на 1 сделку, га</w:t>
            </w:r>
          </w:p>
        </w:tc>
        <w:tc>
          <w:tcPr>
            <w:tcW w:w="2245" w:type="dxa"/>
            <w:tcBorders>
              <w:top w:val="nil"/>
              <w:left w:val="nil"/>
              <w:bottom w:val="single" w:sz="4" w:space="0" w:color="auto"/>
              <w:right w:val="single" w:sz="4" w:space="0" w:color="auto"/>
            </w:tcBorders>
            <w:shd w:val="clear" w:color="auto" w:fill="auto"/>
            <w:vAlign w:val="center"/>
            <w:hideMark/>
          </w:tcPr>
          <w:p w14:paraId="69E23D41" w14:textId="77777777" w:rsidR="007834FD" w:rsidRPr="007834FD" w:rsidRDefault="007834FD" w:rsidP="007834FD">
            <w:pPr>
              <w:ind w:firstLine="0"/>
              <w:jc w:val="left"/>
              <w:rPr>
                <w:rFonts w:eastAsia="Times New Roman" w:cs="Times New Roman"/>
                <w:color w:val="000000"/>
                <w:sz w:val="22"/>
                <w:lang w:eastAsia="ru-RU"/>
              </w:rPr>
            </w:pPr>
            <w:r w:rsidRPr="007834FD">
              <w:rPr>
                <w:rFonts w:eastAsia="Times New Roman" w:cs="Times New Roman"/>
                <w:color w:val="000000"/>
                <w:sz w:val="22"/>
                <w:lang w:eastAsia="ru-RU" w:bidi="hi-IN"/>
              </w:rPr>
              <w:t>расчет</w:t>
            </w:r>
          </w:p>
        </w:tc>
        <w:tc>
          <w:tcPr>
            <w:tcW w:w="988" w:type="dxa"/>
            <w:tcBorders>
              <w:top w:val="nil"/>
              <w:left w:val="nil"/>
              <w:bottom w:val="single" w:sz="4" w:space="0" w:color="auto"/>
              <w:right w:val="single" w:sz="4" w:space="0" w:color="auto"/>
            </w:tcBorders>
            <w:shd w:val="clear" w:color="auto" w:fill="auto"/>
            <w:vAlign w:val="center"/>
            <w:hideMark/>
          </w:tcPr>
          <w:p w14:paraId="2754C613" w14:textId="77777777" w:rsidR="007834FD" w:rsidRPr="007834FD" w:rsidRDefault="007834FD" w:rsidP="007834FD">
            <w:pPr>
              <w:ind w:firstLine="0"/>
              <w:jc w:val="right"/>
              <w:rPr>
                <w:rFonts w:eastAsia="Times New Roman" w:cs="Times New Roman"/>
                <w:color w:val="000000"/>
                <w:sz w:val="22"/>
                <w:lang w:eastAsia="ru-RU"/>
              </w:rPr>
            </w:pPr>
            <w:r w:rsidRPr="007834FD">
              <w:rPr>
                <w:rFonts w:eastAsia="Times New Roman" w:cs="Times New Roman"/>
                <w:color w:val="000000"/>
                <w:sz w:val="22"/>
                <w:lang w:eastAsia="ru-RU" w:bidi="hi-IN"/>
              </w:rPr>
              <w:t>5</w:t>
            </w:r>
          </w:p>
        </w:tc>
        <w:tc>
          <w:tcPr>
            <w:tcW w:w="986" w:type="dxa"/>
            <w:tcBorders>
              <w:top w:val="nil"/>
              <w:left w:val="nil"/>
              <w:bottom w:val="single" w:sz="4" w:space="0" w:color="auto"/>
              <w:right w:val="single" w:sz="4" w:space="0" w:color="auto"/>
            </w:tcBorders>
            <w:shd w:val="clear" w:color="auto" w:fill="auto"/>
            <w:vAlign w:val="center"/>
            <w:hideMark/>
          </w:tcPr>
          <w:p w14:paraId="7A3F8A1C" w14:textId="77777777" w:rsidR="007834FD" w:rsidRPr="007834FD" w:rsidRDefault="007834FD" w:rsidP="007834FD">
            <w:pPr>
              <w:ind w:firstLine="0"/>
              <w:jc w:val="right"/>
              <w:rPr>
                <w:rFonts w:eastAsia="Times New Roman" w:cs="Times New Roman"/>
                <w:color w:val="000000"/>
                <w:sz w:val="22"/>
                <w:lang w:eastAsia="ru-RU"/>
              </w:rPr>
            </w:pPr>
            <w:r w:rsidRPr="007834FD">
              <w:rPr>
                <w:rFonts w:eastAsia="Times New Roman" w:cs="Times New Roman"/>
                <w:color w:val="000000"/>
                <w:sz w:val="22"/>
                <w:lang w:eastAsia="ru-RU" w:bidi="hi-IN"/>
              </w:rPr>
              <w:t>199</w:t>
            </w:r>
          </w:p>
        </w:tc>
        <w:tc>
          <w:tcPr>
            <w:tcW w:w="986" w:type="dxa"/>
            <w:tcBorders>
              <w:top w:val="nil"/>
              <w:left w:val="nil"/>
              <w:bottom w:val="single" w:sz="4" w:space="0" w:color="auto"/>
              <w:right w:val="single" w:sz="4" w:space="0" w:color="auto"/>
            </w:tcBorders>
            <w:shd w:val="clear" w:color="auto" w:fill="auto"/>
            <w:vAlign w:val="center"/>
            <w:hideMark/>
          </w:tcPr>
          <w:p w14:paraId="72A251C0" w14:textId="77777777" w:rsidR="007834FD" w:rsidRPr="007834FD" w:rsidRDefault="007834FD" w:rsidP="007834FD">
            <w:pPr>
              <w:ind w:firstLine="0"/>
              <w:jc w:val="right"/>
              <w:rPr>
                <w:rFonts w:eastAsia="Times New Roman" w:cs="Times New Roman"/>
                <w:color w:val="000000"/>
                <w:sz w:val="22"/>
                <w:lang w:eastAsia="ru-RU"/>
              </w:rPr>
            </w:pPr>
            <w:r w:rsidRPr="007834FD">
              <w:rPr>
                <w:rFonts w:eastAsia="Times New Roman" w:cs="Times New Roman"/>
                <w:color w:val="000000"/>
                <w:sz w:val="22"/>
                <w:lang w:eastAsia="ru-RU" w:bidi="hi-IN"/>
              </w:rPr>
              <w:t>135</w:t>
            </w:r>
          </w:p>
        </w:tc>
        <w:tc>
          <w:tcPr>
            <w:tcW w:w="986" w:type="dxa"/>
            <w:tcBorders>
              <w:top w:val="nil"/>
              <w:left w:val="nil"/>
              <w:bottom w:val="single" w:sz="4" w:space="0" w:color="auto"/>
              <w:right w:val="single" w:sz="4" w:space="0" w:color="auto"/>
            </w:tcBorders>
            <w:shd w:val="clear" w:color="auto" w:fill="auto"/>
            <w:vAlign w:val="center"/>
            <w:hideMark/>
          </w:tcPr>
          <w:p w14:paraId="58271D12" w14:textId="77777777" w:rsidR="007834FD" w:rsidRPr="007834FD" w:rsidRDefault="007834FD" w:rsidP="007834FD">
            <w:pPr>
              <w:ind w:firstLine="0"/>
              <w:jc w:val="right"/>
              <w:rPr>
                <w:rFonts w:eastAsia="Times New Roman" w:cs="Times New Roman"/>
                <w:color w:val="000000"/>
                <w:sz w:val="22"/>
                <w:lang w:eastAsia="ru-RU"/>
              </w:rPr>
            </w:pPr>
            <w:r w:rsidRPr="007834FD">
              <w:rPr>
                <w:rFonts w:eastAsia="Times New Roman" w:cs="Times New Roman"/>
                <w:color w:val="000000"/>
                <w:sz w:val="22"/>
                <w:lang w:eastAsia="ru-RU" w:bidi="hi-IN"/>
              </w:rPr>
              <w:t>23</w:t>
            </w:r>
          </w:p>
        </w:tc>
        <w:tc>
          <w:tcPr>
            <w:tcW w:w="986" w:type="dxa"/>
            <w:tcBorders>
              <w:top w:val="nil"/>
              <w:left w:val="nil"/>
              <w:bottom w:val="single" w:sz="4" w:space="0" w:color="auto"/>
              <w:right w:val="single" w:sz="4" w:space="0" w:color="auto"/>
            </w:tcBorders>
            <w:shd w:val="clear" w:color="auto" w:fill="auto"/>
            <w:vAlign w:val="center"/>
            <w:hideMark/>
          </w:tcPr>
          <w:p w14:paraId="6F933226" w14:textId="77777777" w:rsidR="007834FD" w:rsidRPr="007834FD" w:rsidRDefault="007834FD" w:rsidP="007834FD">
            <w:pPr>
              <w:ind w:firstLine="0"/>
              <w:jc w:val="right"/>
              <w:rPr>
                <w:rFonts w:eastAsia="Times New Roman" w:cs="Times New Roman"/>
                <w:color w:val="000000"/>
                <w:sz w:val="22"/>
                <w:lang w:eastAsia="ru-RU"/>
              </w:rPr>
            </w:pPr>
            <w:r w:rsidRPr="007834FD">
              <w:rPr>
                <w:rFonts w:eastAsia="Times New Roman" w:cs="Times New Roman"/>
                <w:color w:val="000000"/>
                <w:sz w:val="22"/>
                <w:lang w:eastAsia="ru-RU" w:bidi="hi-IN"/>
              </w:rPr>
              <w:t>10</w:t>
            </w:r>
          </w:p>
        </w:tc>
      </w:tr>
      <w:tr w:rsidR="00322AE9" w:rsidRPr="007834FD" w14:paraId="65732D98" w14:textId="77777777" w:rsidTr="00041D42">
        <w:trPr>
          <w:trHeight w:val="1500"/>
        </w:trPr>
        <w:tc>
          <w:tcPr>
            <w:tcW w:w="2268" w:type="dxa"/>
            <w:tcBorders>
              <w:top w:val="nil"/>
              <w:left w:val="single" w:sz="4" w:space="0" w:color="auto"/>
              <w:bottom w:val="single" w:sz="4" w:space="0" w:color="auto"/>
              <w:right w:val="single" w:sz="4" w:space="0" w:color="auto"/>
            </w:tcBorders>
            <w:shd w:val="clear" w:color="auto" w:fill="auto"/>
            <w:vAlign w:val="center"/>
            <w:hideMark/>
          </w:tcPr>
          <w:p w14:paraId="4916C933" w14:textId="77777777" w:rsidR="007834FD" w:rsidRPr="007834FD" w:rsidRDefault="007834FD" w:rsidP="007834FD">
            <w:pPr>
              <w:ind w:firstLine="0"/>
              <w:jc w:val="left"/>
              <w:rPr>
                <w:rFonts w:eastAsia="Times New Roman" w:cs="Times New Roman"/>
                <w:color w:val="000000"/>
                <w:sz w:val="22"/>
                <w:lang w:eastAsia="ru-RU"/>
              </w:rPr>
            </w:pPr>
            <w:r w:rsidRPr="007834FD">
              <w:rPr>
                <w:rFonts w:eastAsia="Times New Roman" w:cs="Times New Roman"/>
                <w:color w:val="000000"/>
                <w:sz w:val="22"/>
                <w:lang w:eastAsia="ru-RU" w:bidi="hi-IN"/>
              </w:rPr>
              <w:t>Количество сделок продажи земельных участков органами государственной власти и местного самоуправления (единица, значение показателя за год)</w:t>
            </w:r>
          </w:p>
        </w:tc>
        <w:tc>
          <w:tcPr>
            <w:tcW w:w="2245" w:type="dxa"/>
            <w:tcBorders>
              <w:top w:val="nil"/>
              <w:left w:val="nil"/>
              <w:bottom w:val="single" w:sz="4" w:space="0" w:color="auto"/>
              <w:right w:val="single" w:sz="4" w:space="0" w:color="auto"/>
            </w:tcBorders>
            <w:shd w:val="clear" w:color="auto" w:fill="auto"/>
            <w:vAlign w:val="center"/>
            <w:hideMark/>
          </w:tcPr>
          <w:p w14:paraId="0A317C2D" w14:textId="77777777" w:rsidR="007834FD" w:rsidRPr="007834FD" w:rsidRDefault="007834FD" w:rsidP="007834FD">
            <w:pPr>
              <w:ind w:firstLine="0"/>
              <w:jc w:val="left"/>
              <w:rPr>
                <w:rFonts w:eastAsia="Times New Roman" w:cs="Times New Roman"/>
                <w:color w:val="000000"/>
                <w:sz w:val="22"/>
                <w:lang w:val="en-US" w:eastAsia="ru-RU"/>
              </w:rPr>
            </w:pPr>
            <w:r w:rsidRPr="007834FD">
              <w:rPr>
                <w:rFonts w:eastAsia="Times New Roman" w:cs="Times New Roman"/>
                <w:color w:val="000000"/>
                <w:sz w:val="22"/>
                <w:lang w:val="en-US" w:eastAsia="ru-RU" w:bidi="hi-IN"/>
              </w:rPr>
              <w:t>https://www.fedstat.ru/ indicator/38101</w:t>
            </w:r>
          </w:p>
        </w:tc>
        <w:tc>
          <w:tcPr>
            <w:tcW w:w="988" w:type="dxa"/>
            <w:tcBorders>
              <w:top w:val="nil"/>
              <w:left w:val="nil"/>
              <w:bottom w:val="single" w:sz="4" w:space="0" w:color="auto"/>
              <w:right w:val="single" w:sz="4" w:space="0" w:color="auto"/>
            </w:tcBorders>
            <w:shd w:val="clear" w:color="auto" w:fill="auto"/>
            <w:vAlign w:val="center"/>
            <w:hideMark/>
          </w:tcPr>
          <w:p w14:paraId="27758B3D" w14:textId="77777777" w:rsidR="007834FD" w:rsidRPr="007834FD" w:rsidRDefault="007834FD" w:rsidP="007834FD">
            <w:pPr>
              <w:ind w:firstLine="0"/>
              <w:jc w:val="right"/>
              <w:rPr>
                <w:rFonts w:eastAsia="Times New Roman" w:cs="Times New Roman"/>
                <w:color w:val="000000"/>
                <w:sz w:val="22"/>
                <w:lang w:eastAsia="ru-RU"/>
              </w:rPr>
            </w:pPr>
            <w:r w:rsidRPr="007834FD">
              <w:rPr>
                <w:rFonts w:eastAsia="Times New Roman" w:cs="Times New Roman"/>
                <w:color w:val="000000"/>
                <w:sz w:val="22"/>
                <w:lang w:eastAsia="ru-RU" w:bidi="hi-IN"/>
              </w:rPr>
              <w:t>4398</w:t>
            </w:r>
          </w:p>
        </w:tc>
        <w:tc>
          <w:tcPr>
            <w:tcW w:w="986" w:type="dxa"/>
            <w:tcBorders>
              <w:top w:val="nil"/>
              <w:left w:val="nil"/>
              <w:bottom w:val="single" w:sz="4" w:space="0" w:color="auto"/>
              <w:right w:val="single" w:sz="4" w:space="0" w:color="auto"/>
            </w:tcBorders>
            <w:shd w:val="clear" w:color="auto" w:fill="auto"/>
            <w:vAlign w:val="center"/>
            <w:hideMark/>
          </w:tcPr>
          <w:p w14:paraId="636B622C" w14:textId="77777777" w:rsidR="007834FD" w:rsidRPr="007834FD" w:rsidRDefault="007834FD" w:rsidP="007834FD">
            <w:pPr>
              <w:ind w:firstLine="0"/>
              <w:jc w:val="right"/>
              <w:rPr>
                <w:rFonts w:eastAsia="Times New Roman" w:cs="Times New Roman"/>
                <w:color w:val="000000"/>
                <w:sz w:val="22"/>
                <w:lang w:eastAsia="ru-RU"/>
              </w:rPr>
            </w:pPr>
            <w:r w:rsidRPr="007834FD">
              <w:rPr>
                <w:rFonts w:eastAsia="Times New Roman" w:cs="Times New Roman"/>
                <w:color w:val="000000"/>
                <w:sz w:val="22"/>
                <w:lang w:eastAsia="ru-RU" w:bidi="hi-IN"/>
              </w:rPr>
              <w:t>3425</w:t>
            </w:r>
          </w:p>
        </w:tc>
        <w:tc>
          <w:tcPr>
            <w:tcW w:w="986" w:type="dxa"/>
            <w:tcBorders>
              <w:top w:val="nil"/>
              <w:left w:val="nil"/>
              <w:bottom w:val="single" w:sz="4" w:space="0" w:color="auto"/>
              <w:right w:val="single" w:sz="4" w:space="0" w:color="auto"/>
            </w:tcBorders>
            <w:shd w:val="clear" w:color="auto" w:fill="auto"/>
            <w:vAlign w:val="center"/>
            <w:hideMark/>
          </w:tcPr>
          <w:p w14:paraId="29A228F9" w14:textId="77777777" w:rsidR="007834FD" w:rsidRPr="007834FD" w:rsidRDefault="007834FD" w:rsidP="007834FD">
            <w:pPr>
              <w:ind w:firstLine="0"/>
              <w:jc w:val="right"/>
              <w:rPr>
                <w:rFonts w:eastAsia="Times New Roman" w:cs="Times New Roman"/>
                <w:color w:val="000000"/>
                <w:sz w:val="22"/>
                <w:lang w:eastAsia="ru-RU"/>
              </w:rPr>
            </w:pPr>
            <w:r w:rsidRPr="007834FD">
              <w:rPr>
                <w:rFonts w:eastAsia="Times New Roman" w:cs="Times New Roman"/>
                <w:color w:val="000000"/>
                <w:sz w:val="22"/>
                <w:lang w:eastAsia="ru-RU" w:bidi="hi-IN"/>
              </w:rPr>
              <w:t>4008</w:t>
            </w:r>
          </w:p>
        </w:tc>
        <w:tc>
          <w:tcPr>
            <w:tcW w:w="986" w:type="dxa"/>
            <w:tcBorders>
              <w:top w:val="nil"/>
              <w:left w:val="nil"/>
              <w:bottom w:val="single" w:sz="4" w:space="0" w:color="auto"/>
              <w:right w:val="single" w:sz="4" w:space="0" w:color="auto"/>
            </w:tcBorders>
            <w:shd w:val="clear" w:color="auto" w:fill="auto"/>
            <w:vAlign w:val="center"/>
            <w:hideMark/>
          </w:tcPr>
          <w:p w14:paraId="4D0A9D04" w14:textId="77777777" w:rsidR="007834FD" w:rsidRPr="007834FD" w:rsidRDefault="007834FD" w:rsidP="007834FD">
            <w:pPr>
              <w:ind w:firstLine="0"/>
              <w:jc w:val="right"/>
              <w:rPr>
                <w:rFonts w:eastAsia="Times New Roman" w:cs="Times New Roman"/>
                <w:color w:val="000000"/>
                <w:sz w:val="22"/>
                <w:lang w:eastAsia="ru-RU"/>
              </w:rPr>
            </w:pPr>
            <w:r w:rsidRPr="007834FD">
              <w:rPr>
                <w:rFonts w:eastAsia="Times New Roman" w:cs="Times New Roman"/>
                <w:color w:val="000000"/>
                <w:sz w:val="22"/>
                <w:lang w:eastAsia="ru-RU" w:bidi="hi-IN"/>
              </w:rPr>
              <w:t>3549</w:t>
            </w:r>
          </w:p>
        </w:tc>
        <w:tc>
          <w:tcPr>
            <w:tcW w:w="986" w:type="dxa"/>
            <w:tcBorders>
              <w:top w:val="nil"/>
              <w:left w:val="nil"/>
              <w:bottom w:val="single" w:sz="4" w:space="0" w:color="auto"/>
              <w:right w:val="single" w:sz="4" w:space="0" w:color="auto"/>
            </w:tcBorders>
            <w:shd w:val="clear" w:color="auto" w:fill="auto"/>
            <w:vAlign w:val="center"/>
            <w:hideMark/>
          </w:tcPr>
          <w:p w14:paraId="2B368403" w14:textId="77777777" w:rsidR="007834FD" w:rsidRPr="007834FD" w:rsidRDefault="007834FD" w:rsidP="007834FD">
            <w:pPr>
              <w:ind w:firstLine="0"/>
              <w:jc w:val="right"/>
              <w:rPr>
                <w:rFonts w:eastAsia="Times New Roman" w:cs="Times New Roman"/>
                <w:color w:val="000000"/>
                <w:sz w:val="22"/>
                <w:lang w:eastAsia="ru-RU"/>
              </w:rPr>
            </w:pPr>
            <w:r w:rsidRPr="007834FD">
              <w:rPr>
                <w:rFonts w:eastAsia="Times New Roman" w:cs="Times New Roman"/>
                <w:color w:val="000000"/>
                <w:sz w:val="22"/>
                <w:lang w:eastAsia="ru-RU" w:bidi="hi-IN"/>
              </w:rPr>
              <w:t>2763</w:t>
            </w:r>
          </w:p>
        </w:tc>
      </w:tr>
      <w:tr w:rsidR="00322AE9" w:rsidRPr="007834FD" w14:paraId="516DD243" w14:textId="77777777" w:rsidTr="00041D42">
        <w:trPr>
          <w:trHeight w:val="1275"/>
        </w:trPr>
        <w:tc>
          <w:tcPr>
            <w:tcW w:w="2268" w:type="dxa"/>
            <w:tcBorders>
              <w:top w:val="nil"/>
              <w:left w:val="single" w:sz="4" w:space="0" w:color="auto"/>
              <w:bottom w:val="single" w:sz="4" w:space="0" w:color="auto"/>
              <w:right w:val="single" w:sz="4" w:space="0" w:color="auto"/>
            </w:tcBorders>
            <w:shd w:val="clear" w:color="auto" w:fill="auto"/>
            <w:vAlign w:val="center"/>
            <w:hideMark/>
          </w:tcPr>
          <w:p w14:paraId="0EA91D81" w14:textId="77777777" w:rsidR="007834FD" w:rsidRPr="007834FD" w:rsidRDefault="007834FD" w:rsidP="007834FD">
            <w:pPr>
              <w:ind w:firstLine="0"/>
              <w:jc w:val="left"/>
              <w:rPr>
                <w:rFonts w:eastAsia="Times New Roman" w:cs="Times New Roman"/>
                <w:color w:val="000000"/>
                <w:sz w:val="22"/>
                <w:lang w:eastAsia="ru-RU"/>
              </w:rPr>
            </w:pPr>
            <w:r w:rsidRPr="007834FD">
              <w:rPr>
                <w:rFonts w:eastAsia="Times New Roman" w:cs="Times New Roman"/>
                <w:color w:val="000000"/>
                <w:sz w:val="22"/>
                <w:lang w:eastAsia="ru-RU" w:bidi="hi-IN"/>
              </w:rPr>
              <w:t>Площадь сделок продажи земельных участков органами государственной власти и местного самоуправления (гектар, значение показателя за год)</w:t>
            </w:r>
          </w:p>
        </w:tc>
        <w:tc>
          <w:tcPr>
            <w:tcW w:w="2245" w:type="dxa"/>
            <w:tcBorders>
              <w:top w:val="nil"/>
              <w:left w:val="nil"/>
              <w:bottom w:val="single" w:sz="4" w:space="0" w:color="auto"/>
              <w:right w:val="single" w:sz="4" w:space="0" w:color="auto"/>
            </w:tcBorders>
            <w:shd w:val="clear" w:color="auto" w:fill="auto"/>
            <w:vAlign w:val="center"/>
            <w:hideMark/>
          </w:tcPr>
          <w:p w14:paraId="08DD85F4" w14:textId="2F6E4837" w:rsidR="007834FD" w:rsidRPr="007834FD" w:rsidRDefault="000F2601" w:rsidP="007834FD">
            <w:pPr>
              <w:ind w:firstLine="0"/>
              <w:jc w:val="left"/>
              <w:rPr>
                <w:rFonts w:eastAsia="Times New Roman" w:cs="Times New Roman"/>
                <w:color w:val="000000"/>
                <w:sz w:val="22"/>
                <w:lang w:val="en-US" w:eastAsia="ru-RU"/>
              </w:rPr>
            </w:pPr>
            <w:r w:rsidRPr="0092068D">
              <w:rPr>
                <w:sz w:val="20"/>
                <w:szCs w:val="20"/>
                <w:lang w:val="en-US"/>
              </w:rPr>
              <w:t>https://www.fedstat.ru /indicator/38100</w:t>
            </w:r>
          </w:p>
        </w:tc>
        <w:tc>
          <w:tcPr>
            <w:tcW w:w="988" w:type="dxa"/>
            <w:tcBorders>
              <w:top w:val="nil"/>
              <w:left w:val="nil"/>
              <w:bottom w:val="single" w:sz="4" w:space="0" w:color="auto"/>
              <w:right w:val="single" w:sz="4" w:space="0" w:color="auto"/>
            </w:tcBorders>
            <w:shd w:val="clear" w:color="auto" w:fill="auto"/>
            <w:vAlign w:val="center"/>
            <w:hideMark/>
          </w:tcPr>
          <w:p w14:paraId="35689BF0" w14:textId="77777777" w:rsidR="007834FD" w:rsidRPr="007834FD" w:rsidRDefault="007834FD" w:rsidP="007834FD">
            <w:pPr>
              <w:ind w:firstLine="0"/>
              <w:jc w:val="right"/>
              <w:rPr>
                <w:rFonts w:eastAsia="Times New Roman" w:cs="Times New Roman"/>
                <w:color w:val="000000"/>
                <w:sz w:val="22"/>
                <w:lang w:eastAsia="ru-RU"/>
              </w:rPr>
            </w:pPr>
            <w:r w:rsidRPr="007834FD">
              <w:rPr>
                <w:rFonts w:eastAsia="Times New Roman" w:cs="Times New Roman"/>
                <w:color w:val="000000"/>
                <w:sz w:val="22"/>
                <w:lang w:eastAsia="ru-RU" w:bidi="hi-IN"/>
              </w:rPr>
              <w:t>4 901</w:t>
            </w:r>
          </w:p>
        </w:tc>
        <w:tc>
          <w:tcPr>
            <w:tcW w:w="986" w:type="dxa"/>
            <w:tcBorders>
              <w:top w:val="nil"/>
              <w:left w:val="nil"/>
              <w:bottom w:val="single" w:sz="4" w:space="0" w:color="auto"/>
              <w:right w:val="single" w:sz="4" w:space="0" w:color="auto"/>
            </w:tcBorders>
            <w:shd w:val="clear" w:color="auto" w:fill="auto"/>
            <w:vAlign w:val="center"/>
            <w:hideMark/>
          </w:tcPr>
          <w:p w14:paraId="093305CE" w14:textId="77777777" w:rsidR="007834FD" w:rsidRPr="007834FD" w:rsidRDefault="007834FD" w:rsidP="007834FD">
            <w:pPr>
              <w:ind w:firstLine="0"/>
              <w:jc w:val="right"/>
              <w:rPr>
                <w:rFonts w:eastAsia="Times New Roman" w:cs="Times New Roman"/>
                <w:color w:val="000000"/>
                <w:sz w:val="22"/>
                <w:lang w:eastAsia="ru-RU"/>
              </w:rPr>
            </w:pPr>
            <w:r w:rsidRPr="007834FD">
              <w:rPr>
                <w:rFonts w:eastAsia="Times New Roman" w:cs="Times New Roman"/>
                <w:color w:val="000000"/>
                <w:sz w:val="22"/>
                <w:lang w:eastAsia="ru-RU" w:bidi="hi-IN"/>
              </w:rPr>
              <w:t>2 086</w:t>
            </w:r>
          </w:p>
        </w:tc>
        <w:tc>
          <w:tcPr>
            <w:tcW w:w="986" w:type="dxa"/>
            <w:tcBorders>
              <w:top w:val="nil"/>
              <w:left w:val="nil"/>
              <w:bottom w:val="single" w:sz="4" w:space="0" w:color="auto"/>
              <w:right w:val="single" w:sz="4" w:space="0" w:color="auto"/>
            </w:tcBorders>
            <w:shd w:val="clear" w:color="auto" w:fill="auto"/>
            <w:vAlign w:val="center"/>
            <w:hideMark/>
          </w:tcPr>
          <w:p w14:paraId="05726B7C" w14:textId="77777777" w:rsidR="007834FD" w:rsidRPr="007834FD" w:rsidRDefault="007834FD" w:rsidP="007834FD">
            <w:pPr>
              <w:ind w:firstLine="0"/>
              <w:jc w:val="right"/>
              <w:rPr>
                <w:rFonts w:eastAsia="Times New Roman" w:cs="Times New Roman"/>
                <w:color w:val="000000"/>
                <w:sz w:val="22"/>
                <w:lang w:eastAsia="ru-RU"/>
              </w:rPr>
            </w:pPr>
            <w:r w:rsidRPr="007834FD">
              <w:rPr>
                <w:rFonts w:eastAsia="Times New Roman" w:cs="Times New Roman"/>
                <w:color w:val="000000"/>
                <w:sz w:val="22"/>
                <w:lang w:eastAsia="ru-RU" w:bidi="hi-IN"/>
              </w:rPr>
              <w:t>13 499</w:t>
            </w:r>
          </w:p>
        </w:tc>
        <w:tc>
          <w:tcPr>
            <w:tcW w:w="986" w:type="dxa"/>
            <w:tcBorders>
              <w:top w:val="nil"/>
              <w:left w:val="nil"/>
              <w:bottom w:val="single" w:sz="4" w:space="0" w:color="auto"/>
              <w:right w:val="single" w:sz="4" w:space="0" w:color="auto"/>
            </w:tcBorders>
            <w:shd w:val="clear" w:color="auto" w:fill="auto"/>
            <w:vAlign w:val="center"/>
            <w:hideMark/>
          </w:tcPr>
          <w:p w14:paraId="119217A4" w14:textId="77777777" w:rsidR="007834FD" w:rsidRPr="007834FD" w:rsidRDefault="007834FD" w:rsidP="007834FD">
            <w:pPr>
              <w:ind w:firstLine="0"/>
              <w:jc w:val="right"/>
              <w:rPr>
                <w:rFonts w:eastAsia="Times New Roman" w:cs="Times New Roman"/>
                <w:color w:val="000000"/>
                <w:sz w:val="22"/>
                <w:lang w:eastAsia="ru-RU"/>
              </w:rPr>
            </w:pPr>
            <w:r w:rsidRPr="007834FD">
              <w:rPr>
                <w:rFonts w:eastAsia="Times New Roman" w:cs="Times New Roman"/>
                <w:color w:val="000000"/>
                <w:sz w:val="22"/>
                <w:lang w:eastAsia="ru-RU" w:bidi="hi-IN"/>
              </w:rPr>
              <w:t>4 157</w:t>
            </w:r>
          </w:p>
        </w:tc>
        <w:tc>
          <w:tcPr>
            <w:tcW w:w="986" w:type="dxa"/>
            <w:tcBorders>
              <w:top w:val="nil"/>
              <w:left w:val="nil"/>
              <w:bottom w:val="single" w:sz="4" w:space="0" w:color="auto"/>
              <w:right w:val="single" w:sz="4" w:space="0" w:color="auto"/>
            </w:tcBorders>
            <w:shd w:val="clear" w:color="auto" w:fill="auto"/>
            <w:vAlign w:val="center"/>
            <w:hideMark/>
          </w:tcPr>
          <w:p w14:paraId="2CA1ACC5" w14:textId="77777777" w:rsidR="007834FD" w:rsidRPr="007834FD" w:rsidRDefault="007834FD" w:rsidP="007834FD">
            <w:pPr>
              <w:ind w:firstLine="0"/>
              <w:jc w:val="right"/>
              <w:rPr>
                <w:rFonts w:eastAsia="Times New Roman" w:cs="Times New Roman"/>
                <w:color w:val="000000"/>
                <w:sz w:val="22"/>
                <w:lang w:eastAsia="ru-RU"/>
              </w:rPr>
            </w:pPr>
            <w:r w:rsidRPr="007834FD">
              <w:rPr>
                <w:rFonts w:eastAsia="Times New Roman" w:cs="Times New Roman"/>
                <w:color w:val="000000"/>
                <w:sz w:val="22"/>
                <w:lang w:eastAsia="ru-RU" w:bidi="hi-IN"/>
              </w:rPr>
              <w:t>3 861</w:t>
            </w:r>
          </w:p>
        </w:tc>
      </w:tr>
      <w:tr w:rsidR="00322AE9" w:rsidRPr="007834FD" w14:paraId="608A4066" w14:textId="77777777" w:rsidTr="00041D42">
        <w:trPr>
          <w:trHeight w:val="1200"/>
        </w:trPr>
        <w:tc>
          <w:tcPr>
            <w:tcW w:w="2268" w:type="dxa"/>
            <w:tcBorders>
              <w:top w:val="nil"/>
              <w:left w:val="single" w:sz="4" w:space="0" w:color="auto"/>
              <w:bottom w:val="single" w:sz="4" w:space="0" w:color="auto"/>
              <w:right w:val="single" w:sz="4" w:space="0" w:color="auto"/>
            </w:tcBorders>
            <w:shd w:val="clear" w:color="auto" w:fill="auto"/>
            <w:vAlign w:val="center"/>
            <w:hideMark/>
          </w:tcPr>
          <w:p w14:paraId="7D28463A" w14:textId="77777777" w:rsidR="007834FD" w:rsidRPr="007834FD" w:rsidRDefault="007834FD" w:rsidP="007834FD">
            <w:pPr>
              <w:ind w:firstLine="0"/>
              <w:jc w:val="left"/>
              <w:rPr>
                <w:rFonts w:eastAsia="Times New Roman" w:cs="Times New Roman"/>
                <w:color w:val="000000"/>
                <w:sz w:val="22"/>
                <w:lang w:eastAsia="ru-RU"/>
              </w:rPr>
            </w:pPr>
            <w:r w:rsidRPr="007834FD">
              <w:rPr>
                <w:rFonts w:eastAsia="Times New Roman" w:cs="Times New Roman"/>
                <w:color w:val="000000"/>
                <w:sz w:val="22"/>
                <w:lang w:eastAsia="ru-RU" w:bidi="hi-IN"/>
              </w:rPr>
              <w:t>Средняя площадь на 1 сделку продажи земельных участков органами государственной власти и местного самоуправления, га</w:t>
            </w:r>
          </w:p>
        </w:tc>
        <w:tc>
          <w:tcPr>
            <w:tcW w:w="2245" w:type="dxa"/>
            <w:tcBorders>
              <w:top w:val="nil"/>
              <w:left w:val="nil"/>
              <w:bottom w:val="single" w:sz="4" w:space="0" w:color="auto"/>
              <w:right w:val="single" w:sz="4" w:space="0" w:color="auto"/>
            </w:tcBorders>
            <w:shd w:val="clear" w:color="auto" w:fill="auto"/>
            <w:vAlign w:val="center"/>
            <w:hideMark/>
          </w:tcPr>
          <w:p w14:paraId="0D1B22DF" w14:textId="77777777" w:rsidR="007834FD" w:rsidRPr="007834FD" w:rsidRDefault="007834FD" w:rsidP="007834FD">
            <w:pPr>
              <w:ind w:firstLine="0"/>
              <w:jc w:val="left"/>
              <w:rPr>
                <w:rFonts w:eastAsia="Times New Roman" w:cs="Times New Roman"/>
                <w:color w:val="000000"/>
                <w:sz w:val="22"/>
                <w:lang w:eastAsia="ru-RU"/>
              </w:rPr>
            </w:pPr>
            <w:r w:rsidRPr="007834FD">
              <w:rPr>
                <w:rFonts w:eastAsia="Times New Roman" w:cs="Times New Roman"/>
                <w:color w:val="000000"/>
                <w:sz w:val="22"/>
                <w:lang w:eastAsia="ru-RU" w:bidi="hi-IN"/>
              </w:rPr>
              <w:t>расчет</w:t>
            </w:r>
          </w:p>
        </w:tc>
        <w:tc>
          <w:tcPr>
            <w:tcW w:w="988" w:type="dxa"/>
            <w:tcBorders>
              <w:top w:val="nil"/>
              <w:left w:val="nil"/>
              <w:bottom w:val="single" w:sz="4" w:space="0" w:color="auto"/>
              <w:right w:val="single" w:sz="4" w:space="0" w:color="auto"/>
            </w:tcBorders>
            <w:shd w:val="clear" w:color="auto" w:fill="auto"/>
            <w:vAlign w:val="center"/>
            <w:hideMark/>
          </w:tcPr>
          <w:p w14:paraId="65158BF8" w14:textId="77777777" w:rsidR="007834FD" w:rsidRPr="007834FD" w:rsidRDefault="007834FD" w:rsidP="007834FD">
            <w:pPr>
              <w:ind w:firstLine="0"/>
              <w:jc w:val="right"/>
              <w:rPr>
                <w:rFonts w:eastAsia="Times New Roman" w:cs="Times New Roman"/>
                <w:color w:val="000000"/>
                <w:sz w:val="22"/>
                <w:lang w:eastAsia="ru-RU"/>
              </w:rPr>
            </w:pPr>
            <w:r w:rsidRPr="007834FD">
              <w:rPr>
                <w:rFonts w:eastAsia="Times New Roman" w:cs="Times New Roman"/>
                <w:color w:val="000000"/>
                <w:sz w:val="22"/>
                <w:lang w:eastAsia="ru-RU" w:bidi="hi-IN"/>
              </w:rPr>
              <w:t>1,1</w:t>
            </w:r>
          </w:p>
        </w:tc>
        <w:tc>
          <w:tcPr>
            <w:tcW w:w="986" w:type="dxa"/>
            <w:tcBorders>
              <w:top w:val="nil"/>
              <w:left w:val="nil"/>
              <w:bottom w:val="single" w:sz="4" w:space="0" w:color="auto"/>
              <w:right w:val="single" w:sz="4" w:space="0" w:color="auto"/>
            </w:tcBorders>
            <w:shd w:val="clear" w:color="auto" w:fill="auto"/>
            <w:vAlign w:val="center"/>
            <w:hideMark/>
          </w:tcPr>
          <w:p w14:paraId="06A78376" w14:textId="77777777" w:rsidR="007834FD" w:rsidRPr="007834FD" w:rsidRDefault="007834FD" w:rsidP="007834FD">
            <w:pPr>
              <w:ind w:firstLine="0"/>
              <w:jc w:val="right"/>
              <w:rPr>
                <w:rFonts w:eastAsia="Times New Roman" w:cs="Times New Roman"/>
                <w:color w:val="000000"/>
                <w:sz w:val="22"/>
                <w:lang w:eastAsia="ru-RU"/>
              </w:rPr>
            </w:pPr>
            <w:r w:rsidRPr="007834FD">
              <w:rPr>
                <w:rFonts w:eastAsia="Times New Roman" w:cs="Times New Roman"/>
                <w:color w:val="000000"/>
                <w:sz w:val="22"/>
                <w:lang w:eastAsia="ru-RU" w:bidi="hi-IN"/>
              </w:rPr>
              <w:t>0,6</w:t>
            </w:r>
          </w:p>
        </w:tc>
        <w:tc>
          <w:tcPr>
            <w:tcW w:w="986" w:type="dxa"/>
            <w:tcBorders>
              <w:top w:val="nil"/>
              <w:left w:val="nil"/>
              <w:bottom w:val="single" w:sz="4" w:space="0" w:color="auto"/>
              <w:right w:val="single" w:sz="4" w:space="0" w:color="auto"/>
            </w:tcBorders>
            <w:shd w:val="clear" w:color="auto" w:fill="auto"/>
            <w:vAlign w:val="center"/>
            <w:hideMark/>
          </w:tcPr>
          <w:p w14:paraId="636AFB97" w14:textId="77777777" w:rsidR="007834FD" w:rsidRPr="007834FD" w:rsidRDefault="007834FD" w:rsidP="007834FD">
            <w:pPr>
              <w:ind w:firstLine="0"/>
              <w:jc w:val="right"/>
              <w:rPr>
                <w:rFonts w:eastAsia="Times New Roman" w:cs="Times New Roman"/>
                <w:color w:val="000000"/>
                <w:sz w:val="22"/>
                <w:lang w:eastAsia="ru-RU"/>
              </w:rPr>
            </w:pPr>
            <w:r w:rsidRPr="007834FD">
              <w:rPr>
                <w:rFonts w:eastAsia="Times New Roman" w:cs="Times New Roman"/>
                <w:color w:val="000000"/>
                <w:sz w:val="22"/>
                <w:lang w:eastAsia="ru-RU" w:bidi="hi-IN"/>
              </w:rPr>
              <w:t>3,4</w:t>
            </w:r>
          </w:p>
        </w:tc>
        <w:tc>
          <w:tcPr>
            <w:tcW w:w="986" w:type="dxa"/>
            <w:tcBorders>
              <w:top w:val="nil"/>
              <w:left w:val="nil"/>
              <w:bottom w:val="single" w:sz="4" w:space="0" w:color="auto"/>
              <w:right w:val="single" w:sz="4" w:space="0" w:color="auto"/>
            </w:tcBorders>
            <w:shd w:val="clear" w:color="auto" w:fill="auto"/>
            <w:vAlign w:val="center"/>
            <w:hideMark/>
          </w:tcPr>
          <w:p w14:paraId="1A42B2C3" w14:textId="77777777" w:rsidR="007834FD" w:rsidRPr="007834FD" w:rsidRDefault="007834FD" w:rsidP="007834FD">
            <w:pPr>
              <w:ind w:firstLine="0"/>
              <w:jc w:val="right"/>
              <w:rPr>
                <w:rFonts w:eastAsia="Times New Roman" w:cs="Times New Roman"/>
                <w:color w:val="000000"/>
                <w:sz w:val="22"/>
                <w:lang w:eastAsia="ru-RU"/>
              </w:rPr>
            </w:pPr>
            <w:r w:rsidRPr="007834FD">
              <w:rPr>
                <w:rFonts w:eastAsia="Times New Roman" w:cs="Times New Roman"/>
                <w:color w:val="000000"/>
                <w:sz w:val="22"/>
                <w:lang w:eastAsia="ru-RU" w:bidi="hi-IN"/>
              </w:rPr>
              <w:t>1,2</w:t>
            </w:r>
          </w:p>
        </w:tc>
        <w:tc>
          <w:tcPr>
            <w:tcW w:w="986" w:type="dxa"/>
            <w:tcBorders>
              <w:top w:val="nil"/>
              <w:left w:val="nil"/>
              <w:bottom w:val="single" w:sz="4" w:space="0" w:color="auto"/>
              <w:right w:val="single" w:sz="4" w:space="0" w:color="auto"/>
            </w:tcBorders>
            <w:shd w:val="clear" w:color="auto" w:fill="auto"/>
            <w:vAlign w:val="center"/>
            <w:hideMark/>
          </w:tcPr>
          <w:p w14:paraId="0BD0B3B1" w14:textId="77777777" w:rsidR="007834FD" w:rsidRPr="007834FD" w:rsidRDefault="007834FD" w:rsidP="007834FD">
            <w:pPr>
              <w:ind w:firstLine="0"/>
              <w:jc w:val="right"/>
              <w:rPr>
                <w:rFonts w:eastAsia="Times New Roman" w:cs="Times New Roman"/>
                <w:color w:val="000000"/>
                <w:sz w:val="22"/>
                <w:lang w:eastAsia="ru-RU"/>
              </w:rPr>
            </w:pPr>
            <w:r w:rsidRPr="007834FD">
              <w:rPr>
                <w:rFonts w:eastAsia="Times New Roman" w:cs="Times New Roman"/>
                <w:color w:val="000000"/>
                <w:sz w:val="22"/>
                <w:lang w:eastAsia="ru-RU" w:bidi="hi-IN"/>
              </w:rPr>
              <w:t>1,4</w:t>
            </w:r>
          </w:p>
        </w:tc>
      </w:tr>
      <w:tr w:rsidR="00322AE9" w:rsidRPr="007834FD" w14:paraId="7003EC96" w14:textId="77777777" w:rsidTr="00041D42">
        <w:trPr>
          <w:trHeight w:val="1200"/>
        </w:trPr>
        <w:tc>
          <w:tcPr>
            <w:tcW w:w="2268" w:type="dxa"/>
            <w:tcBorders>
              <w:top w:val="nil"/>
              <w:left w:val="single" w:sz="4" w:space="0" w:color="auto"/>
              <w:bottom w:val="single" w:sz="4" w:space="0" w:color="auto"/>
              <w:right w:val="single" w:sz="4" w:space="0" w:color="auto"/>
            </w:tcBorders>
            <w:shd w:val="clear" w:color="auto" w:fill="auto"/>
            <w:vAlign w:val="center"/>
            <w:hideMark/>
          </w:tcPr>
          <w:p w14:paraId="32D5849D" w14:textId="77777777" w:rsidR="007834FD" w:rsidRPr="007834FD" w:rsidRDefault="007834FD" w:rsidP="007834FD">
            <w:pPr>
              <w:ind w:firstLine="0"/>
              <w:jc w:val="left"/>
              <w:rPr>
                <w:rFonts w:eastAsia="Times New Roman" w:cs="Times New Roman"/>
                <w:color w:val="000000"/>
                <w:sz w:val="22"/>
                <w:lang w:eastAsia="ru-RU"/>
              </w:rPr>
            </w:pPr>
            <w:r w:rsidRPr="007834FD">
              <w:rPr>
                <w:rFonts w:eastAsia="Times New Roman" w:cs="Times New Roman"/>
                <w:color w:val="000000"/>
                <w:sz w:val="22"/>
                <w:lang w:eastAsia="ru-RU" w:bidi="hi-IN"/>
              </w:rPr>
              <w:t>Количество сделок продажи земельных участков гражданами и юридическими лицами (единица, значение показателя за год)</w:t>
            </w:r>
          </w:p>
        </w:tc>
        <w:tc>
          <w:tcPr>
            <w:tcW w:w="2245" w:type="dxa"/>
            <w:tcBorders>
              <w:top w:val="nil"/>
              <w:left w:val="nil"/>
              <w:bottom w:val="single" w:sz="4" w:space="0" w:color="auto"/>
              <w:right w:val="single" w:sz="4" w:space="0" w:color="auto"/>
            </w:tcBorders>
            <w:shd w:val="clear" w:color="auto" w:fill="auto"/>
            <w:vAlign w:val="center"/>
            <w:hideMark/>
          </w:tcPr>
          <w:p w14:paraId="444D42AB" w14:textId="77777777" w:rsidR="007834FD" w:rsidRPr="007834FD" w:rsidRDefault="007834FD" w:rsidP="007834FD">
            <w:pPr>
              <w:ind w:firstLine="0"/>
              <w:jc w:val="left"/>
              <w:rPr>
                <w:rFonts w:eastAsia="Times New Roman" w:cs="Times New Roman"/>
                <w:color w:val="000000"/>
                <w:sz w:val="22"/>
                <w:lang w:val="en-US" w:eastAsia="ru-RU"/>
              </w:rPr>
            </w:pPr>
            <w:r w:rsidRPr="007834FD">
              <w:rPr>
                <w:rFonts w:eastAsia="Times New Roman" w:cs="Times New Roman"/>
                <w:color w:val="000000"/>
                <w:sz w:val="22"/>
                <w:lang w:val="en-US" w:eastAsia="ru-RU" w:bidi="hi-IN"/>
              </w:rPr>
              <w:t>https://www.fedstat.ru/ indicator/38099</w:t>
            </w:r>
          </w:p>
        </w:tc>
        <w:tc>
          <w:tcPr>
            <w:tcW w:w="988" w:type="dxa"/>
            <w:tcBorders>
              <w:top w:val="nil"/>
              <w:left w:val="nil"/>
              <w:bottom w:val="single" w:sz="4" w:space="0" w:color="auto"/>
              <w:right w:val="single" w:sz="4" w:space="0" w:color="auto"/>
            </w:tcBorders>
            <w:shd w:val="clear" w:color="auto" w:fill="auto"/>
            <w:vAlign w:val="center"/>
            <w:hideMark/>
          </w:tcPr>
          <w:p w14:paraId="63036679" w14:textId="77777777" w:rsidR="007834FD" w:rsidRPr="007834FD" w:rsidRDefault="007834FD" w:rsidP="007834FD">
            <w:pPr>
              <w:ind w:firstLine="0"/>
              <w:jc w:val="right"/>
              <w:rPr>
                <w:rFonts w:eastAsia="Times New Roman" w:cs="Times New Roman"/>
                <w:color w:val="000000"/>
                <w:sz w:val="22"/>
                <w:lang w:eastAsia="ru-RU"/>
              </w:rPr>
            </w:pPr>
            <w:r w:rsidRPr="007834FD">
              <w:rPr>
                <w:rFonts w:eastAsia="Times New Roman" w:cs="Times New Roman"/>
                <w:color w:val="000000"/>
                <w:sz w:val="22"/>
                <w:lang w:eastAsia="ru-RU" w:bidi="hi-IN"/>
              </w:rPr>
              <w:t>3106</w:t>
            </w:r>
          </w:p>
        </w:tc>
        <w:tc>
          <w:tcPr>
            <w:tcW w:w="986" w:type="dxa"/>
            <w:tcBorders>
              <w:top w:val="nil"/>
              <w:left w:val="nil"/>
              <w:bottom w:val="single" w:sz="4" w:space="0" w:color="auto"/>
              <w:right w:val="single" w:sz="4" w:space="0" w:color="auto"/>
            </w:tcBorders>
            <w:shd w:val="clear" w:color="auto" w:fill="auto"/>
            <w:vAlign w:val="center"/>
            <w:hideMark/>
          </w:tcPr>
          <w:p w14:paraId="147F0D52" w14:textId="77777777" w:rsidR="007834FD" w:rsidRPr="007834FD" w:rsidRDefault="007834FD" w:rsidP="007834FD">
            <w:pPr>
              <w:ind w:firstLine="0"/>
              <w:jc w:val="right"/>
              <w:rPr>
                <w:rFonts w:eastAsia="Times New Roman" w:cs="Times New Roman"/>
                <w:color w:val="000000"/>
                <w:sz w:val="22"/>
                <w:lang w:eastAsia="ru-RU"/>
              </w:rPr>
            </w:pPr>
            <w:r w:rsidRPr="007834FD">
              <w:rPr>
                <w:rFonts w:eastAsia="Times New Roman" w:cs="Times New Roman"/>
                <w:color w:val="000000"/>
                <w:sz w:val="22"/>
                <w:lang w:eastAsia="ru-RU" w:bidi="hi-IN"/>
              </w:rPr>
              <w:t>9025</w:t>
            </w:r>
          </w:p>
        </w:tc>
        <w:tc>
          <w:tcPr>
            <w:tcW w:w="986" w:type="dxa"/>
            <w:tcBorders>
              <w:top w:val="nil"/>
              <w:left w:val="nil"/>
              <w:bottom w:val="single" w:sz="4" w:space="0" w:color="auto"/>
              <w:right w:val="single" w:sz="4" w:space="0" w:color="auto"/>
            </w:tcBorders>
            <w:shd w:val="clear" w:color="auto" w:fill="auto"/>
            <w:vAlign w:val="center"/>
            <w:hideMark/>
          </w:tcPr>
          <w:p w14:paraId="692EC2B3" w14:textId="77777777" w:rsidR="007834FD" w:rsidRPr="007834FD" w:rsidRDefault="007834FD" w:rsidP="007834FD">
            <w:pPr>
              <w:ind w:firstLine="0"/>
              <w:jc w:val="right"/>
              <w:rPr>
                <w:rFonts w:eastAsia="Times New Roman" w:cs="Times New Roman"/>
                <w:color w:val="000000"/>
                <w:sz w:val="22"/>
                <w:lang w:eastAsia="ru-RU"/>
              </w:rPr>
            </w:pPr>
            <w:r w:rsidRPr="007834FD">
              <w:rPr>
                <w:rFonts w:eastAsia="Times New Roman" w:cs="Times New Roman"/>
                <w:color w:val="000000"/>
                <w:sz w:val="22"/>
                <w:lang w:eastAsia="ru-RU" w:bidi="hi-IN"/>
              </w:rPr>
              <w:t>10173</w:t>
            </w:r>
          </w:p>
        </w:tc>
        <w:tc>
          <w:tcPr>
            <w:tcW w:w="986" w:type="dxa"/>
            <w:tcBorders>
              <w:top w:val="nil"/>
              <w:left w:val="nil"/>
              <w:bottom w:val="single" w:sz="4" w:space="0" w:color="auto"/>
              <w:right w:val="single" w:sz="4" w:space="0" w:color="auto"/>
            </w:tcBorders>
            <w:shd w:val="clear" w:color="auto" w:fill="auto"/>
            <w:vAlign w:val="center"/>
            <w:hideMark/>
          </w:tcPr>
          <w:p w14:paraId="41F04AE8" w14:textId="77777777" w:rsidR="007834FD" w:rsidRPr="007834FD" w:rsidRDefault="007834FD" w:rsidP="007834FD">
            <w:pPr>
              <w:ind w:firstLine="0"/>
              <w:jc w:val="right"/>
              <w:rPr>
                <w:rFonts w:eastAsia="Times New Roman" w:cs="Times New Roman"/>
                <w:color w:val="000000"/>
                <w:sz w:val="22"/>
                <w:lang w:eastAsia="ru-RU"/>
              </w:rPr>
            </w:pPr>
            <w:r w:rsidRPr="007834FD">
              <w:rPr>
                <w:rFonts w:eastAsia="Times New Roman" w:cs="Times New Roman"/>
                <w:color w:val="000000"/>
                <w:sz w:val="22"/>
                <w:lang w:eastAsia="ru-RU" w:bidi="hi-IN"/>
              </w:rPr>
              <w:t>11362</w:t>
            </w:r>
          </w:p>
        </w:tc>
        <w:tc>
          <w:tcPr>
            <w:tcW w:w="986" w:type="dxa"/>
            <w:tcBorders>
              <w:top w:val="nil"/>
              <w:left w:val="nil"/>
              <w:bottom w:val="single" w:sz="4" w:space="0" w:color="auto"/>
              <w:right w:val="single" w:sz="4" w:space="0" w:color="auto"/>
            </w:tcBorders>
            <w:shd w:val="clear" w:color="auto" w:fill="auto"/>
            <w:vAlign w:val="center"/>
            <w:hideMark/>
          </w:tcPr>
          <w:p w14:paraId="3A76861D" w14:textId="77777777" w:rsidR="007834FD" w:rsidRPr="007834FD" w:rsidRDefault="007834FD" w:rsidP="007834FD">
            <w:pPr>
              <w:ind w:firstLine="0"/>
              <w:jc w:val="right"/>
              <w:rPr>
                <w:rFonts w:eastAsia="Times New Roman" w:cs="Times New Roman"/>
                <w:color w:val="000000"/>
                <w:sz w:val="22"/>
                <w:lang w:eastAsia="ru-RU"/>
              </w:rPr>
            </w:pPr>
            <w:r w:rsidRPr="007834FD">
              <w:rPr>
                <w:rFonts w:eastAsia="Times New Roman" w:cs="Times New Roman"/>
                <w:color w:val="000000"/>
                <w:sz w:val="22"/>
                <w:lang w:eastAsia="ru-RU" w:bidi="hi-IN"/>
              </w:rPr>
              <w:t>7783</w:t>
            </w:r>
          </w:p>
        </w:tc>
      </w:tr>
      <w:tr w:rsidR="00322AE9" w:rsidRPr="007834FD" w14:paraId="4566F200" w14:textId="77777777" w:rsidTr="00041D42">
        <w:trPr>
          <w:trHeight w:val="1200"/>
        </w:trPr>
        <w:tc>
          <w:tcPr>
            <w:tcW w:w="2268" w:type="dxa"/>
            <w:tcBorders>
              <w:top w:val="nil"/>
              <w:left w:val="single" w:sz="4" w:space="0" w:color="auto"/>
              <w:bottom w:val="single" w:sz="4" w:space="0" w:color="auto"/>
              <w:right w:val="single" w:sz="4" w:space="0" w:color="auto"/>
            </w:tcBorders>
            <w:shd w:val="clear" w:color="auto" w:fill="auto"/>
            <w:vAlign w:val="center"/>
            <w:hideMark/>
          </w:tcPr>
          <w:p w14:paraId="61981F77" w14:textId="77777777" w:rsidR="007834FD" w:rsidRPr="007834FD" w:rsidRDefault="007834FD" w:rsidP="007834FD">
            <w:pPr>
              <w:ind w:firstLine="0"/>
              <w:jc w:val="left"/>
              <w:rPr>
                <w:rFonts w:eastAsia="Times New Roman" w:cs="Times New Roman"/>
                <w:color w:val="000000"/>
                <w:sz w:val="22"/>
                <w:lang w:eastAsia="ru-RU"/>
              </w:rPr>
            </w:pPr>
            <w:r w:rsidRPr="007834FD">
              <w:rPr>
                <w:rFonts w:eastAsia="Times New Roman" w:cs="Times New Roman"/>
                <w:color w:val="000000"/>
                <w:sz w:val="22"/>
                <w:lang w:eastAsia="ru-RU" w:bidi="hi-IN"/>
              </w:rPr>
              <w:t>Площадь сделок продажи земельных участков гражданами и юридическими лицами (гектар, значение показателя за год)</w:t>
            </w:r>
          </w:p>
        </w:tc>
        <w:tc>
          <w:tcPr>
            <w:tcW w:w="2245" w:type="dxa"/>
            <w:tcBorders>
              <w:top w:val="nil"/>
              <w:left w:val="nil"/>
              <w:bottom w:val="single" w:sz="4" w:space="0" w:color="auto"/>
              <w:right w:val="single" w:sz="4" w:space="0" w:color="auto"/>
            </w:tcBorders>
            <w:shd w:val="clear" w:color="auto" w:fill="auto"/>
            <w:vAlign w:val="center"/>
            <w:hideMark/>
          </w:tcPr>
          <w:p w14:paraId="23FC0481" w14:textId="77777777" w:rsidR="007834FD" w:rsidRPr="007834FD" w:rsidRDefault="007834FD" w:rsidP="007834FD">
            <w:pPr>
              <w:ind w:firstLine="0"/>
              <w:jc w:val="left"/>
              <w:rPr>
                <w:rFonts w:eastAsia="Times New Roman" w:cs="Times New Roman"/>
                <w:color w:val="000000"/>
                <w:sz w:val="22"/>
                <w:lang w:val="en-US" w:eastAsia="ru-RU"/>
              </w:rPr>
            </w:pPr>
            <w:r w:rsidRPr="007834FD">
              <w:rPr>
                <w:rFonts w:eastAsia="Times New Roman" w:cs="Times New Roman"/>
                <w:color w:val="000000"/>
                <w:sz w:val="22"/>
                <w:lang w:val="en-US" w:eastAsia="ru-RU" w:bidi="hi-IN"/>
              </w:rPr>
              <w:t>https://www.fedstat.ru/ indicator/38098</w:t>
            </w:r>
          </w:p>
        </w:tc>
        <w:tc>
          <w:tcPr>
            <w:tcW w:w="988" w:type="dxa"/>
            <w:tcBorders>
              <w:top w:val="nil"/>
              <w:left w:val="nil"/>
              <w:bottom w:val="single" w:sz="4" w:space="0" w:color="auto"/>
              <w:right w:val="single" w:sz="4" w:space="0" w:color="auto"/>
            </w:tcBorders>
            <w:shd w:val="clear" w:color="auto" w:fill="auto"/>
            <w:vAlign w:val="center"/>
            <w:hideMark/>
          </w:tcPr>
          <w:p w14:paraId="16458E66" w14:textId="77777777" w:rsidR="007834FD" w:rsidRPr="007834FD" w:rsidRDefault="007834FD" w:rsidP="007834FD">
            <w:pPr>
              <w:ind w:firstLine="0"/>
              <w:jc w:val="right"/>
              <w:rPr>
                <w:rFonts w:eastAsia="Times New Roman" w:cs="Times New Roman"/>
                <w:color w:val="000000"/>
                <w:sz w:val="22"/>
                <w:lang w:eastAsia="ru-RU"/>
              </w:rPr>
            </w:pPr>
            <w:r w:rsidRPr="007834FD">
              <w:rPr>
                <w:rFonts w:eastAsia="Times New Roman" w:cs="Times New Roman"/>
                <w:color w:val="000000"/>
                <w:sz w:val="22"/>
                <w:lang w:eastAsia="ru-RU" w:bidi="hi-IN"/>
              </w:rPr>
              <w:t>870,4</w:t>
            </w:r>
          </w:p>
        </w:tc>
        <w:tc>
          <w:tcPr>
            <w:tcW w:w="986" w:type="dxa"/>
            <w:tcBorders>
              <w:top w:val="nil"/>
              <w:left w:val="nil"/>
              <w:bottom w:val="single" w:sz="4" w:space="0" w:color="auto"/>
              <w:right w:val="single" w:sz="4" w:space="0" w:color="auto"/>
            </w:tcBorders>
            <w:shd w:val="clear" w:color="auto" w:fill="auto"/>
            <w:vAlign w:val="center"/>
            <w:hideMark/>
          </w:tcPr>
          <w:p w14:paraId="0574A81D" w14:textId="77777777" w:rsidR="007834FD" w:rsidRPr="007834FD" w:rsidRDefault="007834FD" w:rsidP="007834FD">
            <w:pPr>
              <w:ind w:firstLine="0"/>
              <w:jc w:val="right"/>
              <w:rPr>
                <w:rFonts w:eastAsia="Times New Roman" w:cs="Times New Roman"/>
                <w:color w:val="000000"/>
                <w:sz w:val="22"/>
                <w:lang w:eastAsia="ru-RU"/>
              </w:rPr>
            </w:pPr>
            <w:r w:rsidRPr="007834FD">
              <w:rPr>
                <w:rFonts w:eastAsia="Times New Roman" w:cs="Times New Roman"/>
                <w:color w:val="000000"/>
                <w:sz w:val="22"/>
                <w:lang w:eastAsia="ru-RU" w:bidi="hi-IN"/>
              </w:rPr>
              <w:t>1309,4</w:t>
            </w:r>
          </w:p>
        </w:tc>
        <w:tc>
          <w:tcPr>
            <w:tcW w:w="986" w:type="dxa"/>
            <w:tcBorders>
              <w:top w:val="nil"/>
              <w:left w:val="nil"/>
              <w:bottom w:val="single" w:sz="4" w:space="0" w:color="auto"/>
              <w:right w:val="single" w:sz="4" w:space="0" w:color="auto"/>
            </w:tcBorders>
            <w:shd w:val="clear" w:color="auto" w:fill="auto"/>
            <w:vAlign w:val="center"/>
            <w:hideMark/>
          </w:tcPr>
          <w:p w14:paraId="676217D5" w14:textId="77777777" w:rsidR="007834FD" w:rsidRPr="007834FD" w:rsidRDefault="007834FD" w:rsidP="007834FD">
            <w:pPr>
              <w:ind w:firstLine="0"/>
              <w:jc w:val="right"/>
              <w:rPr>
                <w:rFonts w:eastAsia="Times New Roman" w:cs="Times New Roman"/>
                <w:color w:val="000000"/>
                <w:sz w:val="22"/>
                <w:lang w:eastAsia="ru-RU"/>
              </w:rPr>
            </w:pPr>
            <w:r w:rsidRPr="007834FD">
              <w:rPr>
                <w:rFonts w:eastAsia="Times New Roman" w:cs="Times New Roman"/>
                <w:color w:val="000000"/>
                <w:sz w:val="22"/>
                <w:lang w:eastAsia="ru-RU" w:bidi="hi-IN"/>
              </w:rPr>
              <w:t>1652,8</w:t>
            </w:r>
          </w:p>
        </w:tc>
        <w:tc>
          <w:tcPr>
            <w:tcW w:w="986" w:type="dxa"/>
            <w:tcBorders>
              <w:top w:val="nil"/>
              <w:left w:val="nil"/>
              <w:bottom w:val="single" w:sz="4" w:space="0" w:color="auto"/>
              <w:right w:val="single" w:sz="4" w:space="0" w:color="auto"/>
            </w:tcBorders>
            <w:shd w:val="clear" w:color="auto" w:fill="auto"/>
            <w:vAlign w:val="center"/>
            <w:hideMark/>
          </w:tcPr>
          <w:p w14:paraId="3939222B" w14:textId="77777777" w:rsidR="007834FD" w:rsidRPr="007834FD" w:rsidRDefault="007834FD" w:rsidP="007834FD">
            <w:pPr>
              <w:ind w:firstLine="0"/>
              <w:jc w:val="right"/>
              <w:rPr>
                <w:rFonts w:eastAsia="Times New Roman" w:cs="Times New Roman"/>
                <w:color w:val="000000"/>
                <w:sz w:val="22"/>
                <w:lang w:eastAsia="ru-RU"/>
              </w:rPr>
            </w:pPr>
            <w:r w:rsidRPr="007834FD">
              <w:rPr>
                <w:rFonts w:eastAsia="Times New Roman" w:cs="Times New Roman"/>
                <w:color w:val="000000"/>
                <w:sz w:val="22"/>
                <w:lang w:eastAsia="ru-RU" w:bidi="hi-IN"/>
              </w:rPr>
              <w:t>1253,3</w:t>
            </w:r>
          </w:p>
        </w:tc>
        <w:tc>
          <w:tcPr>
            <w:tcW w:w="986" w:type="dxa"/>
            <w:tcBorders>
              <w:top w:val="nil"/>
              <w:left w:val="nil"/>
              <w:bottom w:val="single" w:sz="4" w:space="0" w:color="auto"/>
              <w:right w:val="single" w:sz="4" w:space="0" w:color="auto"/>
            </w:tcBorders>
            <w:shd w:val="clear" w:color="auto" w:fill="auto"/>
            <w:vAlign w:val="center"/>
            <w:hideMark/>
          </w:tcPr>
          <w:p w14:paraId="5FE092A7" w14:textId="77777777" w:rsidR="007834FD" w:rsidRPr="007834FD" w:rsidRDefault="007834FD" w:rsidP="007834FD">
            <w:pPr>
              <w:ind w:firstLine="0"/>
              <w:jc w:val="right"/>
              <w:rPr>
                <w:rFonts w:eastAsia="Times New Roman" w:cs="Times New Roman"/>
                <w:color w:val="000000"/>
                <w:sz w:val="22"/>
                <w:lang w:eastAsia="ru-RU"/>
              </w:rPr>
            </w:pPr>
            <w:r w:rsidRPr="007834FD">
              <w:rPr>
                <w:rFonts w:eastAsia="Times New Roman" w:cs="Times New Roman"/>
                <w:color w:val="000000"/>
                <w:sz w:val="22"/>
                <w:lang w:eastAsia="ru-RU" w:bidi="hi-IN"/>
              </w:rPr>
              <w:t>838,0</w:t>
            </w:r>
          </w:p>
        </w:tc>
      </w:tr>
      <w:tr w:rsidR="00322AE9" w:rsidRPr="007834FD" w14:paraId="331DB3F7" w14:textId="77777777" w:rsidTr="00041D42">
        <w:trPr>
          <w:trHeight w:val="1200"/>
        </w:trPr>
        <w:tc>
          <w:tcPr>
            <w:tcW w:w="2268" w:type="dxa"/>
            <w:tcBorders>
              <w:top w:val="nil"/>
              <w:left w:val="single" w:sz="4" w:space="0" w:color="auto"/>
              <w:bottom w:val="single" w:sz="4" w:space="0" w:color="auto"/>
              <w:right w:val="single" w:sz="4" w:space="0" w:color="auto"/>
            </w:tcBorders>
            <w:shd w:val="clear" w:color="auto" w:fill="auto"/>
            <w:vAlign w:val="center"/>
            <w:hideMark/>
          </w:tcPr>
          <w:p w14:paraId="195EC1F8" w14:textId="77777777" w:rsidR="007834FD" w:rsidRPr="007834FD" w:rsidRDefault="007834FD" w:rsidP="007834FD">
            <w:pPr>
              <w:ind w:firstLine="0"/>
              <w:jc w:val="left"/>
              <w:rPr>
                <w:rFonts w:eastAsia="Times New Roman" w:cs="Times New Roman"/>
                <w:color w:val="000000"/>
                <w:sz w:val="22"/>
                <w:lang w:eastAsia="ru-RU"/>
              </w:rPr>
            </w:pPr>
            <w:r w:rsidRPr="007834FD">
              <w:rPr>
                <w:rFonts w:eastAsia="Times New Roman" w:cs="Times New Roman"/>
                <w:color w:val="000000"/>
                <w:sz w:val="22"/>
                <w:lang w:eastAsia="ru-RU" w:bidi="hi-IN"/>
              </w:rPr>
              <w:t>Средняя площадь на 1 сделку продажи земельных участков гражданами и юридическими лицами, га</w:t>
            </w:r>
          </w:p>
        </w:tc>
        <w:tc>
          <w:tcPr>
            <w:tcW w:w="2245" w:type="dxa"/>
            <w:tcBorders>
              <w:top w:val="nil"/>
              <w:left w:val="nil"/>
              <w:bottom w:val="single" w:sz="4" w:space="0" w:color="auto"/>
              <w:right w:val="single" w:sz="4" w:space="0" w:color="auto"/>
            </w:tcBorders>
            <w:shd w:val="clear" w:color="auto" w:fill="auto"/>
            <w:vAlign w:val="center"/>
            <w:hideMark/>
          </w:tcPr>
          <w:p w14:paraId="63440402" w14:textId="77777777" w:rsidR="007834FD" w:rsidRPr="007834FD" w:rsidRDefault="007834FD" w:rsidP="007834FD">
            <w:pPr>
              <w:ind w:firstLine="0"/>
              <w:jc w:val="left"/>
              <w:rPr>
                <w:rFonts w:eastAsia="Times New Roman" w:cs="Times New Roman"/>
                <w:color w:val="000000"/>
                <w:sz w:val="22"/>
                <w:lang w:eastAsia="ru-RU"/>
              </w:rPr>
            </w:pPr>
            <w:r w:rsidRPr="007834FD">
              <w:rPr>
                <w:rFonts w:eastAsia="Times New Roman" w:cs="Times New Roman"/>
                <w:color w:val="000000"/>
                <w:sz w:val="22"/>
                <w:lang w:eastAsia="ru-RU" w:bidi="hi-IN"/>
              </w:rPr>
              <w:t>расчет</w:t>
            </w:r>
          </w:p>
        </w:tc>
        <w:tc>
          <w:tcPr>
            <w:tcW w:w="988" w:type="dxa"/>
            <w:tcBorders>
              <w:top w:val="nil"/>
              <w:left w:val="nil"/>
              <w:bottom w:val="single" w:sz="4" w:space="0" w:color="auto"/>
              <w:right w:val="single" w:sz="4" w:space="0" w:color="auto"/>
            </w:tcBorders>
            <w:shd w:val="clear" w:color="auto" w:fill="auto"/>
            <w:vAlign w:val="center"/>
            <w:hideMark/>
          </w:tcPr>
          <w:p w14:paraId="435AB46A" w14:textId="77777777" w:rsidR="007834FD" w:rsidRPr="007834FD" w:rsidRDefault="007834FD" w:rsidP="007834FD">
            <w:pPr>
              <w:ind w:firstLine="0"/>
              <w:jc w:val="right"/>
              <w:rPr>
                <w:rFonts w:eastAsia="Times New Roman" w:cs="Times New Roman"/>
                <w:color w:val="000000"/>
                <w:sz w:val="22"/>
                <w:lang w:eastAsia="ru-RU"/>
              </w:rPr>
            </w:pPr>
            <w:r w:rsidRPr="007834FD">
              <w:rPr>
                <w:rFonts w:eastAsia="Times New Roman" w:cs="Times New Roman"/>
                <w:color w:val="000000"/>
                <w:sz w:val="22"/>
                <w:lang w:eastAsia="ru-RU" w:bidi="hi-IN"/>
              </w:rPr>
              <w:t>0,28</w:t>
            </w:r>
          </w:p>
        </w:tc>
        <w:tc>
          <w:tcPr>
            <w:tcW w:w="986" w:type="dxa"/>
            <w:tcBorders>
              <w:top w:val="nil"/>
              <w:left w:val="nil"/>
              <w:bottom w:val="single" w:sz="4" w:space="0" w:color="auto"/>
              <w:right w:val="single" w:sz="4" w:space="0" w:color="auto"/>
            </w:tcBorders>
            <w:shd w:val="clear" w:color="auto" w:fill="auto"/>
            <w:vAlign w:val="center"/>
            <w:hideMark/>
          </w:tcPr>
          <w:p w14:paraId="09C831BC" w14:textId="77777777" w:rsidR="007834FD" w:rsidRPr="007834FD" w:rsidRDefault="007834FD" w:rsidP="007834FD">
            <w:pPr>
              <w:ind w:firstLine="0"/>
              <w:jc w:val="right"/>
              <w:rPr>
                <w:rFonts w:eastAsia="Times New Roman" w:cs="Times New Roman"/>
                <w:color w:val="000000"/>
                <w:sz w:val="22"/>
                <w:lang w:eastAsia="ru-RU"/>
              </w:rPr>
            </w:pPr>
            <w:r w:rsidRPr="007834FD">
              <w:rPr>
                <w:rFonts w:eastAsia="Times New Roman" w:cs="Times New Roman"/>
                <w:color w:val="000000"/>
                <w:sz w:val="22"/>
                <w:lang w:eastAsia="ru-RU" w:bidi="hi-IN"/>
              </w:rPr>
              <w:t>0,15</w:t>
            </w:r>
          </w:p>
        </w:tc>
        <w:tc>
          <w:tcPr>
            <w:tcW w:w="986" w:type="dxa"/>
            <w:tcBorders>
              <w:top w:val="nil"/>
              <w:left w:val="nil"/>
              <w:bottom w:val="single" w:sz="4" w:space="0" w:color="auto"/>
              <w:right w:val="single" w:sz="4" w:space="0" w:color="auto"/>
            </w:tcBorders>
            <w:shd w:val="clear" w:color="auto" w:fill="auto"/>
            <w:vAlign w:val="center"/>
            <w:hideMark/>
          </w:tcPr>
          <w:p w14:paraId="6028AA00" w14:textId="77777777" w:rsidR="007834FD" w:rsidRPr="007834FD" w:rsidRDefault="007834FD" w:rsidP="007834FD">
            <w:pPr>
              <w:ind w:firstLine="0"/>
              <w:jc w:val="right"/>
              <w:rPr>
                <w:rFonts w:eastAsia="Times New Roman" w:cs="Times New Roman"/>
                <w:color w:val="000000"/>
                <w:sz w:val="22"/>
                <w:lang w:eastAsia="ru-RU"/>
              </w:rPr>
            </w:pPr>
            <w:r w:rsidRPr="007834FD">
              <w:rPr>
                <w:rFonts w:eastAsia="Times New Roman" w:cs="Times New Roman"/>
                <w:color w:val="000000"/>
                <w:sz w:val="22"/>
                <w:lang w:eastAsia="ru-RU" w:bidi="hi-IN"/>
              </w:rPr>
              <w:t>0,16</w:t>
            </w:r>
          </w:p>
        </w:tc>
        <w:tc>
          <w:tcPr>
            <w:tcW w:w="986" w:type="dxa"/>
            <w:tcBorders>
              <w:top w:val="nil"/>
              <w:left w:val="nil"/>
              <w:bottom w:val="single" w:sz="4" w:space="0" w:color="auto"/>
              <w:right w:val="single" w:sz="4" w:space="0" w:color="auto"/>
            </w:tcBorders>
            <w:shd w:val="clear" w:color="auto" w:fill="auto"/>
            <w:vAlign w:val="center"/>
            <w:hideMark/>
          </w:tcPr>
          <w:p w14:paraId="130E9E64" w14:textId="77777777" w:rsidR="007834FD" w:rsidRPr="007834FD" w:rsidRDefault="007834FD" w:rsidP="007834FD">
            <w:pPr>
              <w:ind w:firstLine="0"/>
              <w:jc w:val="right"/>
              <w:rPr>
                <w:rFonts w:eastAsia="Times New Roman" w:cs="Times New Roman"/>
                <w:color w:val="000000"/>
                <w:sz w:val="22"/>
                <w:lang w:eastAsia="ru-RU"/>
              </w:rPr>
            </w:pPr>
            <w:r w:rsidRPr="007834FD">
              <w:rPr>
                <w:rFonts w:eastAsia="Times New Roman" w:cs="Times New Roman"/>
                <w:color w:val="000000"/>
                <w:sz w:val="22"/>
                <w:lang w:eastAsia="ru-RU" w:bidi="hi-IN"/>
              </w:rPr>
              <w:t>0,11</w:t>
            </w:r>
          </w:p>
        </w:tc>
        <w:tc>
          <w:tcPr>
            <w:tcW w:w="986" w:type="dxa"/>
            <w:tcBorders>
              <w:top w:val="nil"/>
              <w:left w:val="nil"/>
              <w:bottom w:val="single" w:sz="4" w:space="0" w:color="auto"/>
              <w:right w:val="single" w:sz="4" w:space="0" w:color="auto"/>
            </w:tcBorders>
            <w:shd w:val="clear" w:color="auto" w:fill="auto"/>
            <w:vAlign w:val="center"/>
            <w:hideMark/>
          </w:tcPr>
          <w:p w14:paraId="32DF1462" w14:textId="77777777" w:rsidR="007834FD" w:rsidRPr="007834FD" w:rsidRDefault="007834FD" w:rsidP="007834FD">
            <w:pPr>
              <w:ind w:firstLine="0"/>
              <w:jc w:val="right"/>
              <w:rPr>
                <w:rFonts w:eastAsia="Times New Roman" w:cs="Times New Roman"/>
                <w:color w:val="000000"/>
                <w:sz w:val="22"/>
                <w:lang w:eastAsia="ru-RU"/>
              </w:rPr>
            </w:pPr>
            <w:r w:rsidRPr="007834FD">
              <w:rPr>
                <w:rFonts w:eastAsia="Times New Roman" w:cs="Times New Roman"/>
                <w:color w:val="000000"/>
                <w:sz w:val="22"/>
                <w:lang w:eastAsia="ru-RU" w:bidi="hi-IN"/>
              </w:rPr>
              <w:t>0,11</w:t>
            </w:r>
          </w:p>
        </w:tc>
      </w:tr>
      <w:tr w:rsidR="00322AE9" w:rsidRPr="007834FD" w14:paraId="79081D3A" w14:textId="77777777" w:rsidTr="00041D42">
        <w:trPr>
          <w:trHeight w:val="1500"/>
        </w:trPr>
        <w:tc>
          <w:tcPr>
            <w:tcW w:w="2268" w:type="dxa"/>
            <w:tcBorders>
              <w:top w:val="nil"/>
              <w:left w:val="single" w:sz="4" w:space="0" w:color="auto"/>
              <w:bottom w:val="single" w:sz="4" w:space="0" w:color="auto"/>
              <w:right w:val="single" w:sz="4" w:space="0" w:color="auto"/>
            </w:tcBorders>
            <w:shd w:val="clear" w:color="auto" w:fill="auto"/>
            <w:vAlign w:val="center"/>
            <w:hideMark/>
          </w:tcPr>
          <w:p w14:paraId="158DE5B2" w14:textId="77777777" w:rsidR="007834FD" w:rsidRPr="007834FD" w:rsidRDefault="007834FD" w:rsidP="007834FD">
            <w:pPr>
              <w:ind w:firstLine="0"/>
              <w:jc w:val="left"/>
              <w:rPr>
                <w:rFonts w:eastAsia="Times New Roman" w:cs="Times New Roman"/>
                <w:color w:val="000000"/>
                <w:sz w:val="22"/>
                <w:lang w:eastAsia="ru-RU"/>
              </w:rPr>
            </w:pPr>
            <w:r w:rsidRPr="007834FD">
              <w:rPr>
                <w:rFonts w:eastAsia="Times New Roman" w:cs="Times New Roman"/>
                <w:color w:val="000000"/>
                <w:sz w:val="22"/>
                <w:lang w:eastAsia="ru-RU" w:bidi="hi-IN"/>
              </w:rPr>
              <w:t>Количество сделок аренды государственных и муниципальных земель с учетом всех форм арендной платы (единица, значение показателя за год)</w:t>
            </w:r>
          </w:p>
        </w:tc>
        <w:tc>
          <w:tcPr>
            <w:tcW w:w="2245" w:type="dxa"/>
            <w:tcBorders>
              <w:top w:val="nil"/>
              <w:left w:val="nil"/>
              <w:bottom w:val="single" w:sz="4" w:space="0" w:color="auto"/>
              <w:right w:val="single" w:sz="4" w:space="0" w:color="auto"/>
            </w:tcBorders>
            <w:shd w:val="clear" w:color="auto" w:fill="auto"/>
            <w:vAlign w:val="center"/>
            <w:hideMark/>
          </w:tcPr>
          <w:p w14:paraId="7FB1A4C4" w14:textId="77777777" w:rsidR="007834FD" w:rsidRPr="007834FD" w:rsidRDefault="007834FD" w:rsidP="007834FD">
            <w:pPr>
              <w:ind w:firstLine="0"/>
              <w:jc w:val="left"/>
              <w:rPr>
                <w:rFonts w:eastAsia="Times New Roman" w:cs="Times New Roman"/>
                <w:color w:val="000000"/>
                <w:sz w:val="22"/>
                <w:lang w:val="en-US" w:eastAsia="ru-RU"/>
              </w:rPr>
            </w:pPr>
            <w:r w:rsidRPr="007834FD">
              <w:rPr>
                <w:rFonts w:eastAsia="Times New Roman" w:cs="Times New Roman"/>
                <w:color w:val="000000"/>
                <w:sz w:val="22"/>
                <w:lang w:eastAsia="ru-RU" w:bidi="hi-IN"/>
              </w:rPr>
              <w:t xml:space="preserve"> </w:t>
            </w:r>
            <w:r w:rsidRPr="007834FD">
              <w:rPr>
                <w:rFonts w:eastAsia="Times New Roman" w:cs="Times New Roman"/>
                <w:color w:val="000000"/>
                <w:sz w:val="22"/>
                <w:lang w:val="en-US" w:eastAsia="ru-RU" w:bidi="hi-IN"/>
              </w:rPr>
              <w:t>https://www.fedstat.ru/ indicator/38097</w:t>
            </w:r>
          </w:p>
        </w:tc>
        <w:tc>
          <w:tcPr>
            <w:tcW w:w="988" w:type="dxa"/>
            <w:tcBorders>
              <w:top w:val="nil"/>
              <w:left w:val="nil"/>
              <w:bottom w:val="single" w:sz="4" w:space="0" w:color="auto"/>
              <w:right w:val="single" w:sz="4" w:space="0" w:color="auto"/>
            </w:tcBorders>
            <w:shd w:val="clear" w:color="auto" w:fill="auto"/>
            <w:vAlign w:val="center"/>
            <w:hideMark/>
          </w:tcPr>
          <w:p w14:paraId="5D0B01DD" w14:textId="77777777" w:rsidR="007834FD" w:rsidRPr="007834FD" w:rsidRDefault="007834FD" w:rsidP="007834FD">
            <w:pPr>
              <w:ind w:firstLine="0"/>
              <w:jc w:val="right"/>
              <w:rPr>
                <w:rFonts w:eastAsia="Times New Roman" w:cs="Times New Roman"/>
                <w:color w:val="000000"/>
                <w:sz w:val="22"/>
                <w:lang w:eastAsia="ru-RU"/>
              </w:rPr>
            </w:pPr>
            <w:r w:rsidRPr="007834FD">
              <w:rPr>
                <w:rFonts w:eastAsia="Times New Roman" w:cs="Times New Roman"/>
                <w:color w:val="000000"/>
                <w:sz w:val="22"/>
                <w:lang w:eastAsia="ru-RU" w:bidi="hi-IN"/>
              </w:rPr>
              <w:t>43234</w:t>
            </w:r>
          </w:p>
        </w:tc>
        <w:tc>
          <w:tcPr>
            <w:tcW w:w="986" w:type="dxa"/>
            <w:tcBorders>
              <w:top w:val="nil"/>
              <w:left w:val="nil"/>
              <w:bottom w:val="single" w:sz="4" w:space="0" w:color="auto"/>
              <w:right w:val="single" w:sz="4" w:space="0" w:color="auto"/>
            </w:tcBorders>
            <w:shd w:val="clear" w:color="auto" w:fill="auto"/>
            <w:vAlign w:val="center"/>
            <w:hideMark/>
          </w:tcPr>
          <w:p w14:paraId="0A53757F" w14:textId="77777777" w:rsidR="007834FD" w:rsidRPr="007834FD" w:rsidRDefault="007834FD" w:rsidP="007834FD">
            <w:pPr>
              <w:ind w:firstLine="0"/>
              <w:jc w:val="right"/>
              <w:rPr>
                <w:rFonts w:eastAsia="Times New Roman" w:cs="Times New Roman"/>
                <w:color w:val="000000"/>
                <w:sz w:val="22"/>
                <w:lang w:eastAsia="ru-RU"/>
              </w:rPr>
            </w:pPr>
            <w:r w:rsidRPr="007834FD">
              <w:rPr>
                <w:rFonts w:eastAsia="Times New Roman" w:cs="Times New Roman"/>
                <w:color w:val="000000"/>
                <w:sz w:val="22"/>
                <w:lang w:eastAsia="ru-RU" w:bidi="hi-IN"/>
              </w:rPr>
              <w:t>34167</w:t>
            </w:r>
          </w:p>
        </w:tc>
        <w:tc>
          <w:tcPr>
            <w:tcW w:w="986" w:type="dxa"/>
            <w:tcBorders>
              <w:top w:val="nil"/>
              <w:left w:val="nil"/>
              <w:bottom w:val="single" w:sz="4" w:space="0" w:color="auto"/>
              <w:right w:val="single" w:sz="4" w:space="0" w:color="auto"/>
            </w:tcBorders>
            <w:shd w:val="clear" w:color="auto" w:fill="auto"/>
            <w:vAlign w:val="center"/>
            <w:hideMark/>
          </w:tcPr>
          <w:p w14:paraId="3ECF466E" w14:textId="77777777" w:rsidR="007834FD" w:rsidRPr="007834FD" w:rsidRDefault="007834FD" w:rsidP="007834FD">
            <w:pPr>
              <w:ind w:firstLine="0"/>
              <w:jc w:val="right"/>
              <w:rPr>
                <w:rFonts w:eastAsia="Times New Roman" w:cs="Times New Roman"/>
                <w:color w:val="000000"/>
                <w:sz w:val="22"/>
                <w:lang w:eastAsia="ru-RU"/>
              </w:rPr>
            </w:pPr>
            <w:r w:rsidRPr="007834FD">
              <w:rPr>
                <w:rFonts w:eastAsia="Times New Roman" w:cs="Times New Roman"/>
                <w:color w:val="000000"/>
                <w:sz w:val="22"/>
                <w:lang w:eastAsia="ru-RU" w:bidi="hi-IN"/>
              </w:rPr>
              <w:t>39539</w:t>
            </w:r>
          </w:p>
        </w:tc>
        <w:tc>
          <w:tcPr>
            <w:tcW w:w="986" w:type="dxa"/>
            <w:tcBorders>
              <w:top w:val="nil"/>
              <w:left w:val="nil"/>
              <w:bottom w:val="single" w:sz="4" w:space="0" w:color="auto"/>
              <w:right w:val="single" w:sz="4" w:space="0" w:color="auto"/>
            </w:tcBorders>
            <w:shd w:val="clear" w:color="auto" w:fill="auto"/>
            <w:vAlign w:val="center"/>
            <w:hideMark/>
          </w:tcPr>
          <w:p w14:paraId="30CDB3C4" w14:textId="77777777" w:rsidR="007834FD" w:rsidRPr="007834FD" w:rsidRDefault="007834FD" w:rsidP="007834FD">
            <w:pPr>
              <w:ind w:firstLine="0"/>
              <w:jc w:val="right"/>
              <w:rPr>
                <w:rFonts w:eastAsia="Times New Roman" w:cs="Times New Roman"/>
                <w:color w:val="000000"/>
                <w:sz w:val="22"/>
                <w:lang w:eastAsia="ru-RU"/>
              </w:rPr>
            </w:pPr>
            <w:r w:rsidRPr="007834FD">
              <w:rPr>
                <w:rFonts w:eastAsia="Times New Roman" w:cs="Times New Roman"/>
                <w:color w:val="000000"/>
                <w:sz w:val="22"/>
                <w:lang w:eastAsia="ru-RU" w:bidi="hi-IN"/>
              </w:rPr>
              <w:t>44455</w:t>
            </w:r>
          </w:p>
        </w:tc>
        <w:tc>
          <w:tcPr>
            <w:tcW w:w="986" w:type="dxa"/>
            <w:tcBorders>
              <w:top w:val="nil"/>
              <w:left w:val="nil"/>
              <w:bottom w:val="single" w:sz="4" w:space="0" w:color="auto"/>
              <w:right w:val="single" w:sz="4" w:space="0" w:color="auto"/>
            </w:tcBorders>
            <w:shd w:val="clear" w:color="auto" w:fill="auto"/>
            <w:vAlign w:val="center"/>
            <w:hideMark/>
          </w:tcPr>
          <w:p w14:paraId="5E763CD2" w14:textId="77777777" w:rsidR="007834FD" w:rsidRPr="007834FD" w:rsidRDefault="007834FD" w:rsidP="007834FD">
            <w:pPr>
              <w:ind w:firstLine="0"/>
              <w:jc w:val="right"/>
              <w:rPr>
                <w:rFonts w:eastAsia="Times New Roman" w:cs="Times New Roman"/>
                <w:color w:val="000000"/>
                <w:sz w:val="22"/>
                <w:lang w:eastAsia="ru-RU"/>
              </w:rPr>
            </w:pPr>
            <w:r w:rsidRPr="007834FD">
              <w:rPr>
                <w:rFonts w:eastAsia="Times New Roman" w:cs="Times New Roman"/>
                <w:color w:val="000000"/>
                <w:sz w:val="22"/>
                <w:lang w:eastAsia="ru-RU" w:bidi="hi-IN"/>
              </w:rPr>
              <w:t>45940</w:t>
            </w:r>
          </w:p>
        </w:tc>
      </w:tr>
      <w:tr w:rsidR="00322AE9" w:rsidRPr="007834FD" w14:paraId="2FD949EA" w14:textId="77777777" w:rsidTr="00041D42">
        <w:trPr>
          <w:trHeight w:val="1500"/>
        </w:trPr>
        <w:tc>
          <w:tcPr>
            <w:tcW w:w="2268" w:type="dxa"/>
            <w:tcBorders>
              <w:top w:val="nil"/>
              <w:left w:val="single" w:sz="4" w:space="0" w:color="auto"/>
              <w:bottom w:val="single" w:sz="4" w:space="0" w:color="auto"/>
              <w:right w:val="single" w:sz="4" w:space="0" w:color="auto"/>
            </w:tcBorders>
            <w:shd w:val="clear" w:color="auto" w:fill="auto"/>
            <w:vAlign w:val="center"/>
            <w:hideMark/>
          </w:tcPr>
          <w:p w14:paraId="47562B36" w14:textId="77777777" w:rsidR="007834FD" w:rsidRPr="007834FD" w:rsidRDefault="007834FD" w:rsidP="007834FD">
            <w:pPr>
              <w:ind w:firstLine="0"/>
              <w:jc w:val="left"/>
              <w:rPr>
                <w:rFonts w:eastAsia="Times New Roman" w:cs="Times New Roman"/>
                <w:color w:val="000000"/>
                <w:sz w:val="22"/>
                <w:lang w:eastAsia="ru-RU"/>
              </w:rPr>
            </w:pPr>
            <w:r w:rsidRPr="007834FD">
              <w:rPr>
                <w:rFonts w:eastAsia="Times New Roman" w:cs="Times New Roman"/>
                <w:color w:val="000000"/>
                <w:sz w:val="22"/>
                <w:lang w:eastAsia="ru-RU" w:bidi="hi-IN"/>
              </w:rPr>
              <w:t>Площадь сделок аренды государственных и муниципальных земель с учетом всех форм арендной платы (гектар, значение показателя за год)</w:t>
            </w:r>
          </w:p>
        </w:tc>
        <w:tc>
          <w:tcPr>
            <w:tcW w:w="2245" w:type="dxa"/>
            <w:tcBorders>
              <w:top w:val="nil"/>
              <w:left w:val="nil"/>
              <w:bottom w:val="single" w:sz="4" w:space="0" w:color="auto"/>
              <w:right w:val="single" w:sz="4" w:space="0" w:color="auto"/>
            </w:tcBorders>
            <w:shd w:val="clear" w:color="auto" w:fill="auto"/>
            <w:vAlign w:val="center"/>
            <w:hideMark/>
          </w:tcPr>
          <w:p w14:paraId="4FC49B3F" w14:textId="77777777" w:rsidR="007834FD" w:rsidRPr="007834FD" w:rsidRDefault="007834FD" w:rsidP="007834FD">
            <w:pPr>
              <w:ind w:firstLine="0"/>
              <w:jc w:val="left"/>
              <w:rPr>
                <w:rFonts w:eastAsia="Times New Roman" w:cs="Times New Roman"/>
                <w:color w:val="000000"/>
                <w:sz w:val="22"/>
                <w:lang w:val="en-US" w:eastAsia="ru-RU"/>
              </w:rPr>
            </w:pPr>
            <w:r w:rsidRPr="007834FD">
              <w:rPr>
                <w:rFonts w:eastAsia="Times New Roman" w:cs="Times New Roman"/>
                <w:color w:val="000000"/>
                <w:sz w:val="22"/>
                <w:lang w:eastAsia="ru-RU" w:bidi="hi-IN"/>
              </w:rPr>
              <w:t xml:space="preserve"> </w:t>
            </w:r>
            <w:r w:rsidRPr="007834FD">
              <w:rPr>
                <w:rFonts w:eastAsia="Times New Roman" w:cs="Times New Roman"/>
                <w:color w:val="000000"/>
                <w:sz w:val="22"/>
                <w:lang w:val="en-US" w:eastAsia="ru-RU" w:bidi="hi-IN"/>
              </w:rPr>
              <w:t>https://www.fedstat.ru/ indicator/38096</w:t>
            </w:r>
          </w:p>
        </w:tc>
        <w:tc>
          <w:tcPr>
            <w:tcW w:w="988" w:type="dxa"/>
            <w:tcBorders>
              <w:top w:val="nil"/>
              <w:left w:val="nil"/>
              <w:bottom w:val="single" w:sz="4" w:space="0" w:color="auto"/>
              <w:right w:val="single" w:sz="4" w:space="0" w:color="auto"/>
            </w:tcBorders>
            <w:shd w:val="clear" w:color="auto" w:fill="auto"/>
            <w:vAlign w:val="center"/>
            <w:hideMark/>
          </w:tcPr>
          <w:p w14:paraId="4484978E" w14:textId="3D72D139" w:rsidR="007834FD" w:rsidRPr="007834FD" w:rsidRDefault="007834FD" w:rsidP="007834FD">
            <w:pPr>
              <w:ind w:firstLine="0"/>
              <w:jc w:val="right"/>
              <w:rPr>
                <w:rFonts w:eastAsia="Times New Roman" w:cs="Times New Roman"/>
                <w:color w:val="000000"/>
                <w:sz w:val="22"/>
                <w:lang w:eastAsia="ru-RU"/>
              </w:rPr>
            </w:pPr>
            <w:r w:rsidRPr="007834FD">
              <w:rPr>
                <w:rFonts w:eastAsia="Times New Roman" w:cs="Times New Roman"/>
                <w:color w:val="000000"/>
                <w:sz w:val="22"/>
                <w:lang w:eastAsia="ru-RU" w:bidi="hi-IN"/>
              </w:rPr>
              <w:t>1637287</w:t>
            </w:r>
          </w:p>
        </w:tc>
        <w:tc>
          <w:tcPr>
            <w:tcW w:w="986" w:type="dxa"/>
            <w:tcBorders>
              <w:top w:val="nil"/>
              <w:left w:val="nil"/>
              <w:bottom w:val="single" w:sz="4" w:space="0" w:color="auto"/>
              <w:right w:val="single" w:sz="4" w:space="0" w:color="auto"/>
            </w:tcBorders>
            <w:shd w:val="clear" w:color="auto" w:fill="auto"/>
            <w:vAlign w:val="center"/>
            <w:hideMark/>
          </w:tcPr>
          <w:p w14:paraId="2DB6E9FE" w14:textId="42BD84B7" w:rsidR="007834FD" w:rsidRPr="007834FD" w:rsidRDefault="007834FD" w:rsidP="007834FD">
            <w:pPr>
              <w:ind w:firstLine="0"/>
              <w:jc w:val="right"/>
              <w:rPr>
                <w:rFonts w:eastAsia="Times New Roman" w:cs="Times New Roman"/>
                <w:color w:val="000000"/>
                <w:sz w:val="22"/>
                <w:lang w:eastAsia="ru-RU"/>
              </w:rPr>
            </w:pPr>
            <w:r w:rsidRPr="007834FD">
              <w:rPr>
                <w:rFonts w:eastAsia="Times New Roman" w:cs="Times New Roman"/>
                <w:color w:val="000000"/>
                <w:sz w:val="22"/>
                <w:lang w:eastAsia="ru-RU" w:bidi="hi-IN"/>
              </w:rPr>
              <w:t>6009529</w:t>
            </w:r>
          </w:p>
        </w:tc>
        <w:tc>
          <w:tcPr>
            <w:tcW w:w="986" w:type="dxa"/>
            <w:tcBorders>
              <w:top w:val="nil"/>
              <w:left w:val="nil"/>
              <w:bottom w:val="single" w:sz="4" w:space="0" w:color="auto"/>
              <w:right w:val="single" w:sz="4" w:space="0" w:color="auto"/>
            </w:tcBorders>
            <w:shd w:val="clear" w:color="auto" w:fill="auto"/>
            <w:vAlign w:val="center"/>
            <w:hideMark/>
          </w:tcPr>
          <w:p w14:paraId="5D3B9315" w14:textId="4082059A" w:rsidR="007834FD" w:rsidRPr="007834FD" w:rsidRDefault="007834FD" w:rsidP="007834FD">
            <w:pPr>
              <w:ind w:firstLine="0"/>
              <w:jc w:val="right"/>
              <w:rPr>
                <w:rFonts w:eastAsia="Times New Roman" w:cs="Times New Roman"/>
                <w:color w:val="000000"/>
                <w:sz w:val="22"/>
                <w:lang w:eastAsia="ru-RU"/>
              </w:rPr>
            </w:pPr>
            <w:r w:rsidRPr="007834FD">
              <w:rPr>
                <w:rFonts w:eastAsia="Times New Roman" w:cs="Times New Roman"/>
                <w:color w:val="000000"/>
                <w:sz w:val="22"/>
                <w:lang w:eastAsia="ru-RU" w:bidi="hi-IN"/>
              </w:rPr>
              <w:t>6057164</w:t>
            </w:r>
          </w:p>
        </w:tc>
        <w:tc>
          <w:tcPr>
            <w:tcW w:w="986" w:type="dxa"/>
            <w:tcBorders>
              <w:top w:val="nil"/>
              <w:left w:val="nil"/>
              <w:bottom w:val="single" w:sz="4" w:space="0" w:color="auto"/>
              <w:right w:val="single" w:sz="4" w:space="0" w:color="auto"/>
            </w:tcBorders>
            <w:shd w:val="clear" w:color="auto" w:fill="auto"/>
            <w:vAlign w:val="center"/>
            <w:hideMark/>
          </w:tcPr>
          <w:p w14:paraId="5186765A" w14:textId="02DF98CD" w:rsidR="007834FD" w:rsidRPr="007834FD" w:rsidRDefault="007834FD" w:rsidP="007834FD">
            <w:pPr>
              <w:ind w:firstLine="0"/>
              <w:jc w:val="right"/>
              <w:rPr>
                <w:rFonts w:eastAsia="Times New Roman" w:cs="Times New Roman"/>
                <w:color w:val="000000"/>
                <w:sz w:val="22"/>
                <w:lang w:eastAsia="ru-RU"/>
              </w:rPr>
            </w:pPr>
            <w:r w:rsidRPr="007834FD">
              <w:rPr>
                <w:rFonts w:eastAsia="Times New Roman" w:cs="Times New Roman"/>
                <w:color w:val="000000"/>
                <w:sz w:val="22"/>
                <w:lang w:eastAsia="ru-RU" w:bidi="hi-IN"/>
              </w:rPr>
              <w:t>6481495</w:t>
            </w:r>
          </w:p>
        </w:tc>
        <w:tc>
          <w:tcPr>
            <w:tcW w:w="986" w:type="dxa"/>
            <w:tcBorders>
              <w:top w:val="nil"/>
              <w:left w:val="nil"/>
              <w:bottom w:val="single" w:sz="4" w:space="0" w:color="auto"/>
              <w:right w:val="single" w:sz="4" w:space="0" w:color="auto"/>
            </w:tcBorders>
            <w:shd w:val="clear" w:color="auto" w:fill="auto"/>
            <w:vAlign w:val="center"/>
            <w:hideMark/>
          </w:tcPr>
          <w:p w14:paraId="2E773FDA" w14:textId="7F5DDF90" w:rsidR="007834FD" w:rsidRPr="007834FD" w:rsidRDefault="007834FD" w:rsidP="007834FD">
            <w:pPr>
              <w:ind w:firstLine="0"/>
              <w:jc w:val="right"/>
              <w:rPr>
                <w:rFonts w:eastAsia="Times New Roman" w:cs="Times New Roman"/>
                <w:color w:val="000000"/>
                <w:sz w:val="22"/>
                <w:lang w:eastAsia="ru-RU"/>
              </w:rPr>
            </w:pPr>
            <w:r w:rsidRPr="007834FD">
              <w:rPr>
                <w:rFonts w:eastAsia="Times New Roman" w:cs="Times New Roman"/>
                <w:color w:val="000000"/>
                <w:sz w:val="22"/>
                <w:lang w:eastAsia="ru-RU" w:bidi="hi-IN"/>
              </w:rPr>
              <w:t>6617079</w:t>
            </w:r>
          </w:p>
        </w:tc>
      </w:tr>
      <w:tr w:rsidR="00322AE9" w:rsidRPr="007834FD" w14:paraId="75CCEF81" w14:textId="77777777" w:rsidTr="00041D42">
        <w:trPr>
          <w:trHeight w:val="1200"/>
        </w:trPr>
        <w:tc>
          <w:tcPr>
            <w:tcW w:w="2268" w:type="dxa"/>
            <w:tcBorders>
              <w:top w:val="nil"/>
              <w:left w:val="single" w:sz="4" w:space="0" w:color="auto"/>
              <w:bottom w:val="single" w:sz="4" w:space="0" w:color="auto"/>
              <w:right w:val="single" w:sz="4" w:space="0" w:color="auto"/>
            </w:tcBorders>
            <w:shd w:val="clear" w:color="auto" w:fill="auto"/>
            <w:vAlign w:val="center"/>
            <w:hideMark/>
          </w:tcPr>
          <w:p w14:paraId="3DF566EE" w14:textId="77777777" w:rsidR="007834FD" w:rsidRPr="007834FD" w:rsidRDefault="007834FD" w:rsidP="007834FD">
            <w:pPr>
              <w:ind w:firstLine="0"/>
              <w:jc w:val="left"/>
              <w:rPr>
                <w:rFonts w:eastAsia="Times New Roman" w:cs="Times New Roman"/>
                <w:color w:val="000000"/>
                <w:sz w:val="22"/>
                <w:lang w:eastAsia="ru-RU"/>
              </w:rPr>
            </w:pPr>
            <w:r w:rsidRPr="007834FD">
              <w:rPr>
                <w:rFonts w:eastAsia="Times New Roman" w:cs="Times New Roman"/>
                <w:color w:val="000000"/>
                <w:sz w:val="22"/>
                <w:lang w:eastAsia="ru-RU" w:bidi="hi-IN"/>
              </w:rPr>
              <w:t>Средняя площадь на 1 сделку аренды государственных и муниципальных земель с учетом всех форм арендной платы, га</w:t>
            </w:r>
          </w:p>
        </w:tc>
        <w:tc>
          <w:tcPr>
            <w:tcW w:w="2245" w:type="dxa"/>
            <w:tcBorders>
              <w:top w:val="nil"/>
              <w:left w:val="nil"/>
              <w:bottom w:val="single" w:sz="4" w:space="0" w:color="auto"/>
              <w:right w:val="single" w:sz="4" w:space="0" w:color="auto"/>
            </w:tcBorders>
            <w:shd w:val="clear" w:color="auto" w:fill="auto"/>
            <w:vAlign w:val="center"/>
            <w:hideMark/>
          </w:tcPr>
          <w:p w14:paraId="0A7A98E6" w14:textId="77777777" w:rsidR="007834FD" w:rsidRPr="007834FD" w:rsidRDefault="007834FD" w:rsidP="007834FD">
            <w:pPr>
              <w:ind w:firstLine="0"/>
              <w:jc w:val="left"/>
              <w:rPr>
                <w:rFonts w:eastAsia="Times New Roman" w:cs="Times New Roman"/>
                <w:color w:val="000000"/>
                <w:sz w:val="22"/>
                <w:lang w:eastAsia="ru-RU"/>
              </w:rPr>
            </w:pPr>
            <w:r w:rsidRPr="007834FD">
              <w:rPr>
                <w:rFonts w:eastAsia="Times New Roman" w:cs="Times New Roman"/>
                <w:color w:val="000000"/>
                <w:sz w:val="22"/>
                <w:lang w:eastAsia="ru-RU" w:bidi="hi-IN"/>
              </w:rPr>
              <w:t>расчет</w:t>
            </w:r>
          </w:p>
        </w:tc>
        <w:tc>
          <w:tcPr>
            <w:tcW w:w="988" w:type="dxa"/>
            <w:tcBorders>
              <w:top w:val="nil"/>
              <w:left w:val="nil"/>
              <w:bottom w:val="single" w:sz="4" w:space="0" w:color="auto"/>
              <w:right w:val="single" w:sz="4" w:space="0" w:color="auto"/>
            </w:tcBorders>
            <w:shd w:val="clear" w:color="auto" w:fill="auto"/>
            <w:vAlign w:val="center"/>
            <w:hideMark/>
          </w:tcPr>
          <w:p w14:paraId="1C485A44" w14:textId="77777777" w:rsidR="007834FD" w:rsidRPr="007834FD" w:rsidRDefault="007834FD" w:rsidP="007834FD">
            <w:pPr>
              <w:ind w:firstLine="0"/>
              <w:jc w:val="right"/>
              <w:rPr>
                <w:rFonts w:eastAsia="Times New Roman" w:cs="Times New Roman"/>
                <w:color w:val="000000"/>
                <w:sz w:val="22"/>
                <w:lang w:eastAsia="ru-RU"/>
              </w:rPr>
            </w:pPr>
            <w:r w:rsidRPr="007834FD">
              <w:rPr>
                <w:rFonts w:eastAsia="Times New Roman" w:cs="Times New Roman"/>
                <w:color w:val="000000"/>
                <w:sz w:val="22"/>
                <w:lang w:eastAsia="ru-RU" w:bidi="hi-IN"/>
              </w:rPr>
              <w:t>37,9</w:t>
            </w:r>
          </w:p>
        </w:tc>
        <w:tc>
          <w:tcPr>
            <w:tcW w:w="986" w:type="dxa"/>
            <w:tcBorders>
              <w:top w:val="nil"/>
              <w:left w:val="nil"/>
              <w:bottom w:val="single" w:sz="4" w:space="0" w:color="auto"/>
              <w:right w:val="single" w:sz="4" w:space="0" w:color="auto"/>
            </w:tcBorders>
            <w:shd w:val="clear" w:color="auto" w:fill="auto"/>
            <w:vAlign w:val="center"/>
            <w:hideMark/>
          </w:tcPr>
          <w:p w14:paraId="1EBBAAB6" w14:textId="77777777" w:rsidR="007834FD" w:rsidRPr="007834FD" w:rsidRDefault="007834FD" w:rsidP="007834FD">
            <w:pPr>
              <w:ind w:firstLine="0"/>
              <w:jc w:val="right"/>
              <w:rPr>
                <w:rFonts w:eastAsia="Times New Roman" w:cs="Times New Roman"/>
                <w:color w:val="000000"/>
                <w:sz w:val="22"/>
                <w:lang w:eastAsia="ru-RU"/>
              </w:rPr>
            </w:pPr>
            <w:r w:rsidRPr="007834FD">
              <w:rPr>
                <w:rFonts w:eastAsia="Times New Roman" w:cs="Times New Roman"/>
                <w:color w:val="000000"/>
                <w:sz w:val="22"/>
                <w:lang w:eastAsia="ru-RU" w:bidi="hi-IN"/>
              </w:rPr>
              <w:t>175,9</w:t>
            </w:r>
          </w:p>
        </w:tc>
        <w:tc>
          <w:tcPr>
            <w:tcW w:w="986" w:type="dxa"/>
            <w:tcBorders>
              <w:top w:val="nil"/>
              <w:left w:val="nil"/>
              <w:bottom w:val="single" w:sz="4" w:space="0" w:color="auto"/>
              <w:right w:val="single" w:sz="4" w:space="0" w:color="auto"/>
            </w:tcBorders>
            <w:shd w:val="clear" w:color="auto" w:fill="auto"/>
            <w:vAlign w:val="center"/>
            <w:hideMark/>
          </w:tcPr>
          <w:p w14:paraId="2090D0F3" w14:textId="77777777" w:rsidR="007834FD" w:rsidRPr="007834FD" w:rsidRDefault="007834FD" w:rsidP="007834FD">
            <w:pPr>
              <w:ind w:firstLine="0"/>
              <w:jc w:val="right"/>
              <w:rPr>
                <w:rFonts w:eastAsia="Times New Roman" w:cs="Times New Roman"/>
                <w:color w:val="000000"/>
                <w:sz w:val="22"/>
                <w:lang w:eastAsia="ru-RU"/>
              </w:rPr>
            </w:pPr>
            <w:r w:rsidRPr="007834FD">
              <w:rPr>
                <w:rFonts w:eastAsia="Times New Roman" w:cs="Times New Roman"/>
                <w:color w:val="000000"/>
                <w:sz w:val="22"/>
                <w:lang w:eastAsia="ru-RU" w:bidi="hi-IN"/>
              </w:rPr>
              <w:t>153,2</w:t>
            </w:r>
          </w:p>
        </w:tc>
        <w:tc>
          <w:tcPr>
            <w:tcW w:w="986" w:type="dxa"/>
            <w:tcBorders>
              <w:top w:val="nil"/>
              <w:left w:val="nil"/>
              <w:bottom w:val="single" w:sz="4" w:space="0" w:color="auto"/>
              <w:right w:val="single" w:sz="4" w:space="0" w:color="auto"/>
            </w:tcBorders>
            <w:shd w:val="clear" w:color="auto" w:fill="auto"/>
            <w:vAlign w:val="center"/>
            <w:hideMark/>
          </w:tcPr>
          <w:p w14:paraId="6EACC308" w14:textId="77777777" w:rsidR="007834FD" w:rsidRPr="007834FD" w:rsidRDefault="007834FD" w:rsidP="007834FD">
            <w:pPr>
              <w:ind w:firstLine="0"/>
              <w:jc w:val="right"/>
              <w:rPr>
                <w:rFonts w:eastAsia="Times New Roman" w:cs="Times New Roman"/>
                <w:color w:val="000000"/>
                <w:sz w:val="22"/>
                <w:lang w:eastAsia="ru-RU"/>
              </w:rPr>
            </w:pPr>
            <w:r w:rsidRPr="007834FD">
              <w:rPr>
                <w:rFonts w:eastAsia="Times New Roman" w:cs="Times New Roman"/>
                <w:color w:val="000000"/>
                <w:sz w:val="22"/>
                <w:lang w:eastAsia="ru-RU" w:bidi="hi-IN"/>
              </w:rPr>
              <w:t>145,8</w:t>
            </w:r>
          </w:p>
        </w:tc>
        <w:tc>
          <w:tcPr>
            <w:tcW w:w="986" w:type="dxa"/>
            <w:tcBorders>
              <w:top w:val="nil"/>
              <w:left w:val="nil"/>
              <w:bottom w:val="single" w:sz="4" w:space="0" w:color="auto"/>
              <w:right w:val="single" w:sz="4" w:space="0" w:color="auto"/>
            </w:tcBorders>
            <w:shd w:val="clear" w:color="auto" w:fill="auto"/>
            <w:vAlign w:val="center"/>
            <w:hideMark/>
          </w:tcPr>
          <w:p w14:paraId="74C2F20E" w14:textId="77777777" w:rsidR="007834FD" w:rsidRPr="007834FD" w:rsidRDefault="007834FD" w:rsidP="007834FD">
            <w:pPr>
              <w:ind w:firstLine="0"/>
              <w:jc w:val="right"/>
              <w:rPr>
                <w:rFonts w:eastAsia="Times New Roman" w:cs="Times New Roman"/>
                <w:color w:val="000000"/>
                <w:sz w:val="22"/>
                <w:lang w:eastAsia="ru-RU"/>
              </w:rPr>
            </w:pPr>
            <w:r w:rsidRPr="007834FD">
              <w:rPr>
                <w:rFonts w:eastAsia="Times New Roman" w:cs="Times New Roman"/>
                <w:color w:val="000000"/>
                <w:sz w:val="22"/>
                <w:lang w:eastAsia="ru-RU" w:bidi="hi-IN"/>
              </w:rPr>
              <w:t>144</w:t>
            </w:r>
          </w:p>
        </w:tc>
      </w:tr>
    </w:tbl>
    <w:p w14:paraId="7EB03CCA" w14:textId="77777777" w:rsidR="007834FD" w:rsidRPr="00F4217A" w:rsidRDefault="007834FD" w:rsidP="00F4217A">
      <w:pPr>
        <w:rPr>
          <w:lang w:eastAsia="zh-CN"/>
        </w:rPr>
      </w:pPr>
    </w:p>
    <w:p w14:paraId="71C08E5C" w14:textId="77777777" w:rsidR="00F4217A" w:rsidRPr="00F4217A" w:rsidRDefault="00F4217A" w:rsidP="00F4217A">
      <w:pPr>
        <w:rPr>
          <w:lang w:eastAsia="ru-RU" w:bidi="hi-IN"/>
        </w:rPr>
      </w:pPr>
      <w:r w:rsidRPr="00F4217A">
        <w:rPr>
          <w:lang w:eastAsia="ru-RU" w:bidi="hi-IN"/>
        </w:rPr>
        <w:t>Рост площади по сделкам аренды в основном связан не с передачей в аренду дополнительных земель, а с заключением дополнительных соглашений к действующим договорам аренды государственных земель в связи с изменением порядка внесения арендной платы.</w:t>
      </w:r>
    </w:p>
    <w:p w14:paraId="51692150" w14:textId="77777777" w:rsidR="00F4217A" w:rsidRPr="00F4217A" w:rsidRDefault="00F4217A" w:rsidP="00F4217A">
      <w:pPr>
        <w:rPr>
          <w:lang w:eastAsia="ru-RU" w:bidi="hi-IN"/>
        </w:rPr>
      </w:pPr>
      <w:r w:rsidRPr="00F4217A">
        <w:rPr>
          <w:lang w:eastAsia="ru-RU" w:bidi="hi-IN"/>
        </w:rPr>
        <w:t>Собранная рыночная информация представлена в отношении сделок, наибольшее количество которых с земельными участками наблюдается в муниципальных районах, входящих в состав Республики Саха (Якутия) агломерации: ГО «Город Якутск». На следующем рисунке приведен график распределения количества сделок, зафиксированных в системе «Мониторинг рынка недвижимости» за 2016-2018 гг.</w:t>
      </w:r>
    </w:p>
    <w:p w14:paraId="492FD45A" w14:textId="77777777" w:rsidR="00F4217A" w:rsidRPr="00F4217A" w:rsidRDefault="00F4217A" w:rsidP="00F4217A">
      <w:pPr>
        <w:rPr>
          <w:lang w:eastAsia="ru-RU" w:bidi="hi-IN"/>
        </w:rPr>
      </w:pPr>
    </w:p>
    <w:p w14:paraId="4AF255D0" w14:textId="77777777" w:rsidR="00F4217A" w:rsidRPr="00F4217A" w:rsidRDefault="00F4217A" w:rsidP="00F4217A">
      <w:pPr>
        <w:rPr>
          <w:lang w:eastAsia="ru-RU" w:bidi="hi-IN"/>
        </w:rPr>
      </w:pPr>
      <w:r w:rsidRPr="00F4217A">
        <w:rPr>
          <w:noProof/>
          <w:lang w:eastAsia="ru-RU"/>
        </w:rPr>
        <w:drawing>
          <wp:inline distT="0" distB="0" distL="0" distR="0" wp14:anchorId="58432EE4" wp14:editId="58983CEF">
            <wp:extent cx="5614035" cy="2733675"/>
            <wp:effectExtent l="0" t="0" r="5715" b="9525"/>
            <wp:docPr id="948" name="Диаграмма 948"/>
            <wp:cNvGraphicFramePr/>
            <a:graphic xmlns:a="http://schemas.openxmlformats.org/drawingml/2006/main">
              <a:graphicData uri="http://schemas.openxmlformats.org/drawingml/2006/chart">
                <c:chart xmlns:c="http://schemas.openxmlformats.org/drawingml/2006/chart" xmlns:r="http://schemas.openxmlformats.org/officeDocument/2006/relationships" r:id="rId246"/>
              </a:graphicData>
            </a:graphic>
          </wp:inline>
        </w:drawing>
      </w:r>
    </w:p>
    <w:p w14:paraId="4DD2F397" w14:textId="65489DFA" w:rsidR="00F4217A" w:rsidRPr="001D4D31" w:rsidRDefault="00F4217A" w:rsidP="001D4D31">
      <w:pPr>
        <w:jc w:val="center"/>
        <w:rPr>
          <w:i/>
          <w:lang w:eastAsia="ru-RU" w:bidi="hi-IN"/>
        </w:rPr>
      </w:pPr>
      <w:r w:rsidRPr="001D4D31">
        <w:rPr>
          <w:i/>
          <w:lang w:eastAsia="ru-RU" w:bidi="hi-IN"/>
        </w:rPr>
        <w:t xml:space="preserve">Рисунок </w:t>
      </w:r>
      <w:r w:rsidRPr="001D4D31">
        <w:rPr>
          <w:i/>
          <w:lang w:eastAsia="ru-RU" w:bidi="hi-IN"/>
        </w:rPr>
        <w:fldChar w:fldCharType="begin"/>
      </w:r>
      <w:r w:rsidRPr="001D4D31">
        <w:rPr>
          <w:i/>
          <w:lang w:eastAsia="ru-RU" w:bidi="hi-IN"/>
        </w:rPr>
        <w:instrText xml:space="preserve"> SEQ Рисунок \* ARABIC </w:instrText>
      </w:r>
      <w:r w:rsidRPr="001D4D31">
        <w:rPr>
          <w:i/>
          <w:lang w:eastAsia="ru-RU" w:bidi="hi-IN"/>
        </w:rPr>
        <w:fldChar w:fldCharType="separate"/>
      </w:r>
      <w:r w:rsidR="00FD2769">
        <w:rPr>
          <w:i/>
          <w:noProof/>
          <w:lang w:eastAsia="ru-RU" w:bidi="hi-IN"/>
        </w:rPr>
        <w:t>46</w:t>
      </w:r>
      <w:r w:rsidRPr="001D4D31">
        <w:rPr>
          <w:i/>
          <w:lang w:eastAsia="ru-RU" w:bidi="hi-IN"/>
        </w:rPr>
        <w:fldChar w:fldCharType="end"/>
      </w:r>
      <w:r w:rsidRPr="001D4D31">
        <w:rPr>
          <w:i/>
          <w:lang w:eastAsia="ru-RU" w:bidi="hi-IN"/>
        </w:rPr>
        <w:t>.</w:t>
      </w:r>
    </w:p>
    <w:p w14:paraId="30D7B854" w14:textId="77777777" w:rsidR="00F4217A" w:rsidRPr="00F4217A" w:rsidRDefault="00F4217A" w:rsidP="00F4217A">
      <w:pPr>
        <w:rPr>
          <w:lang w:eastAsia="ru-RU" w:bidi="hi-IN"/>
        </w:rPr>
      </w:pPr>
    </w:p>
    <w:p w14:paraId="5EC74B80" w14:textId="77777777" w:rsidR="00F4217A" w:rsidRPr="00F4217A" w:rsidRDefault="00F4217A" w:rsidP="00F4217A">
      <w:pPr>
        <w:rPr>
          <w:lang w:eastAsia="ru-RU" w:bidi="hi-IN"/>
        </w:rPr>
      </w:pPr>
      <w:r w:rsidRPr="00F4217A">
        <w:rPr>
          <w:lang w:eastAsia="ru-RU" w:bidi="hi-IN"/>
        </w:rPr>
        <w:t xml:space="preserve">Детальный анализ сегмента рынка земельных участков, предназначенных </w:t>
      </w:r>
      <w:bookmarkStart w:id="58" w:name="OLE_LINK191"/>
      <w:bookmarkStart w:id="59" w:name="OLE_LINK192"/>
      <w:r w:rsidRPr="00F4217A">
        <w:rPr>
          <w:lang w:eastAsia="ru-RU" w:bidi="hi-IN"/>
        </w:rPr>
        <w:t xml:space="preserve">для ведения гражданами садоводства, огородничества, дачного хозяйства, </w:t>
      </w:r>
      <w:bookmarkEnd w:id="58"/>
      <w:bookmarkEnd w:id="59"/>
      <w:r w:rsidRPr="00F4217A">
        <w:rPr>
          <w:lang w:eastAsia="ru-RU" w:bidi="hi-IN"/>
        </w:rPr>
        <w:t>(далее – участки СОД) осуществлялся на основе собранной рыночной информации о ценах предложений и ценах сделок объектов соответствующего назначения, представленной в Приложении к Отчету (1.5.1 РИ).</w:t>
      </w:r>
    </w:p>
    <w:p w14:paraId="1EA8574D" w14:textId="77777777" w:rsidR="00F4217A" w:rsidRPr="00F4217A" w:rsidRDefault="00F4217A" w:rsidP="00F4217A">
      <w:pPr>
        <w:rPr>
          <w:lang w:eastAsia="ru-RU" w:bidi="hi-IN"/>
        </w:rPr>
      </w:pPr>
      <w:r w:rsidRPr="00F4217A">
        <w:rPr>
          <w:lang w:eastAsia="ru-RU" w:bidi="hi-IN"/>
        </w:rPr>
        <w:t>Собранная рыночная информация представлена:</w:t>
      </w:r>
    </w:p>
    <w:p w14:paraId="3B29EABB" w14:textId="4117BC3C" w:rsidR="00F4217A" w:rsidRPr="00F4217A" w:rsidRDefault="00F4217A" w:rsidP="00F4217A">
      <w:pPr>
        <w:rPr>
          <w:lang w:eastAsia="ru-RU" w:bidi="hi-IN"/>
        </w:rPr>
      </w:pPr>
      <w:bookmarkStart w:id="60" w:name="OLE_LINK42"/>
      <w:r w:rsidRPr="00F4217A">
        <w:rPr>
          <w:lang w:eastAsia="ru-RU" w:bidi="hi-IN"/>
        </w:rPr>
        <w:t xml:space="preserve"> - ценами предложений купли-продажи, полученными из сделок, зарегистрированных в Росреестре с 01.01.2016 по 15.08.2018 гг и из </w:t>
      </w:r>
      <w:r>
        <w:rPr>
          <w:lang w:eastAsia="ru-RU" w:bidi="hi-IN"/>
        </w:rPr>
        <w:t>риелтор</w:t>
      </w:r>
      <w:r w:rsidRPr="00F4217A">
        <w:rPr>
          <w:lang w:eastAsia="ru-RU" w:bidi="hi-IN"/>
        </w:rPr>
        <w:t>ской базы данных ООО «ИТИС-групп», из открытых источников СМИ (из районных газет) база данных ОМиАР).</w:t>
      </w:r>
    </w:p>
    <w:p w14:paraId="521EE5E5" w14:textId="77777777" w:rsidR="00F4217A" w:rsidRPr="00F4217A" w:rsidRDefault="00F4217A" w:rsidP="00F4217A">
      <w:pPr>
        <w:rPr>
          <w:lang w:eastAsia="ru-RU" w:bidi="ru-RU"/>
        </w:rPr>
      </w:pPr>
      <w:r w:rsidRPr="00F4217A">
        <w:rPr>
          <w:lang w:eastAsia="ru-RU" w:bidi="ru-RU"/>
        </w:rPr>
        <w:t>В процессе исследования информации при последующей обработке значительная часть данных была исключена, поскольку отбирались лишь наиболее информативные объявления, чтобы уменьшить влияние «шумов» на параметры модели. Дело в том, что земельные участки в значительно меньшем объеме на рынке чем, например, квартиры. Это связано, прежде всего, с более низкой ликвидностью и закрытостью рынка. Информативность объявлений мала; о большинстве характеристик объектов можно узнать только из дополнительного общения с продавцом, что затрудняло сложность обработки рыночных данных, кроме того, некоторые специфические, уникальные характеристики объектов остаются скрытыми. Обращаем внимание на то, что на всех сайтах недвижимости непрерывно меняется база объявлений: появляются новые объявления, обновляются старые, удаляются проданные объекты. Следует отметить также, что данные содержат много ошибок. После предварительной чистки данных, в процессе которой удалялись все сомнительные данные, общее количество данных заметно уменьшилось. Далее в расчетах, приведена информация о количестве данных, которые были использованы во время анализа после исключения всех малоинформативных или нестандартных объявлений.</w:t>
      </w:r>
    </w:p>
    <w:p w14:paraId="30AF90A4" w14:textId="1BEA5F63" w:rsidR="00F4217A" w:rsidRPr="00F4217A" w:rsidRDefault="00F4217A" w:rsidP="00F4217A">
      <w:pPr>
        <w:rPr>
          <w:lang w:eastAsia="ru-RU" w:bidi="ru-RU"/>
        </w:rPr>
      </w:pPr>
      <w:r w:rsidRPr="00F4217A">
        <w:rPr>
          <w:lang w:eastAsia="ru-RU" w:bidi="ru-RU"/>
        </w:rPr>
        <w:t>В ходе исследования полученной информации, был проанализирован рынок г. Якутска. Он характеризуется относительно небольшим разбросом цен на подобные объекты недвижимости, присутствием на рынке достаточного количества продавцов и покупателей, конкуренцией и достаточно большим объемом совершаемых сделок, по отношению к другим муниципальным образованиям Республики. Рынок включает ликвидные объекты, характеризующиеся большим спросом, прежде всего, объекты жилой, офисной и торговой недвижимости, объекты производственной и складской недвижимости, земельные участки в зонах отдыха и другие объекты, пользующиеся большим спросом.</w:t>
      </w:r>
    </w:p>
    <w:p w14:paraId="5A4CC12A" w14:textId="77777777" w:rsidR="00F4217A" w:rsidRPr="00F4217A" w:rsidRDefault="00F4217A" w:rsidP="00F4217A">
      <w:pPr>
        <w:rPr>
          <w:lang w:eastAsia="ru-RU" w:bidi="hi-IN"/>
        </w:rPr>
      </w:pPr>
      <w:r w:rsidRPr="00F4217A">
        <w:rPr>
          <w:lang w:eastAsia="ru-RU" w:bidi="ru-RU"/>
        </w:rPr>
        <w:t xml:space="preserve">Рынок недвижимости Республики значительно в целом уступает по отношению к г. Якутску по активности. Характеризуется большим разбросом цен на подобные объекты недвижимости, ограниченным количеством продавцов и редкими сделками. </w:t>
      </w:r>
    </w:p>
    <w:bookmarkEnd w:id="60"/>
    <w:p w14:paraId="4D9B3D13" w14:textId="3843AD33" w:rsidR="00F4217A" w:rsidRPr="00F4217A" w:rsidRDefault="00F4217A" w:rsidP="00F4217A">
      <w:pPr>
        <w:rPr>
          <w:lang w:eastAsia="ru-RU" w:bidi="hi-IN"/>
        </w:rPr>
      </w:pPr>
      <w:r w:rsidRPr="00F4217A">
        <w:rPr>
          <w:lang w:eastAsia="ru-RU" w:bidi="hi-IN"/>
        </w:rPr>
        <w:t>На стоимость объектов недвижимости могут оказывать влияние различные факторы. Основными факторами, влияющими на стоимость объектов недвижимости, являются факторы местоположения, окружения, социально-экономического развития и инфраструктуры. Сочетание указанных факторов определяет рыночную стоимость любого объекта недвижимости.</w:t>
      </w:r>
    </w:p>
    <w:p w14:paraId="5782F36B" w14:textId="77777777" w:rsidR="00F4217A" w:rsidRPr="00F4217A" w:rsidRDefault="00F4217A" w:rsidP="00F4217A">
      <w:pPr>
        <w:rPr>
          <w:lang w:eastAsia="ru-RU" w:bidi="hi-IN"/>
        </w:rPr>
      </w:pPr>
      <w:r w:rsidRPr="00F4217A">
        <w:rPr>
          <w:lang w:eastAsia="ru-RU" w:bidi="hi-IN"/>
        </w:rPr>
        <w:t>В исследуемом сегменте, рынок г. Якутска характеризуется значительным многообразием, и существенную часть рынка занимают земельные участки для дачного строительства и малоэтажной застройки под индивидуальное жилищное строительство.</w:t>
      </w:r>
    </w:p>
    <w:p w14:paraId="55C130D4" w14:textId="77777777" w:rsidR="00F4217A" w:rsidRPr="00F4217A" w:rsidRDefault="00F4217A" w:rsidP="00F4217A">
      <w:pPr>
        <w:rPr>
          <w:lang w:eastAsia="ru-RU" w:bidi="hi-IN"/>
        </w:rPr>
      </w:pPr>
      <w:r w:rsidRPr="00F4217A">
        <w:rPr>
          <w:lang w:eastAsia="ru-RU" w:bidi="hi-IN"/>
        </w:rPr>
        <w:t>Значительная доля предложений приходится на мкр. Марха, Намский тракт, Покровское шоссе, Сергеляхское и Хатынг-Юряхское шоссе.</w:t>
      </w:r>
    </w:p>
    <w:p w14:paraId="1AC6A602" w14:textId="77777777" w:rsidR="00F4217A" w:rsidRPr="00F4217A" w:rsidRDefault="00F4217A" w:rsidP="00F4217A">
      <w:pPr>
        <w:rPr>
          <w:lang w:eastAsia="ru-RU" w:bidi="hi-IN"/>
        </w:rPr>
      </w:pPr>
      <w:r w:rsidRPr="00F4217A">
        <w:rPr>
          <w:lang w:eastAsia="ru-RU" w:bidi="hi-IN"/>
        </w:rPr>
        <w:t>Сотрудники ГБУ РС(Я) «ЦГКО» в ходе исследования рынка выявили наличие дефицита ликвидного предложения – современных качественных объектов с хорошим местоположением, наличием удобных подъездных путей, современным инженерным оборудованием и т.д. Предложение производственно-складской недвижимости характеризуется в основном переделанными старыми производственными зданиями и ангарами, площадью до 10 тыс. кв. м., сосредоточенными в столице республики – городе Якутске.</w:t>
      </w:r>
    </w:p>
    <w:p w14:paraId="51DB553F" w14:textId="77777777" w:rsidR="00F4217A" w:rsidRPr="00F4217A" w:rsidRDefault="00F4217A" w:rsidP="00F4217A">
      <w:pPr>
        <w:rPr>
          <w:lang w:eastAsia="ru-RU" w:bidi="hi-IN"/>
        </w:rPr>
      </w:pPr>
      <w:r w:rsidRPr="00F4217A">
        <w:rPr>
          <w:lang w:eastAsia="ru-RU" w:bidi="hi-IN"/>
        </w:rPr>
        <w:t>По данным мониторинга рынка недвижимости наибольший объем предложения производственно-складской недвижимости сосредоточен в городе Якутске. На его долю приходится 51 процент общего объема предложения в республике.</w:t>
      </w:r>
    </w:p>
    <w:p w14:paraId="66622667" w14:textId="77777777" w:rsidR="00F4217A" w:rsidRPr="00F4217A" w:rsidRDefault="00F4217A" w:rsidP="00F4217A">
      <w:pPr>
        <w:rPr>
          <w:lang w:eastAsia="ru-RU" w:bidi="hi-IN"/>
        </w:rPr>
      </w:pPr>
      <w:r w:rsidRPr="00F4217A">
        <w:rPr>
          <w:lang w:eastAsia="ru-RU" w:bidi="hi-IN"/>
        </w:rPr>
        <w:t>Рынок региона представлен ограниченными предложениями к продаже объектов, расположенных в основном в Мирнинском, Нерюнгринском, Ленском муниципальных районах.</w:t>
      </w:r>
    </w:p>
    <w:p w14:paraId="5E68396C" w14:textId="77777777" w:rsidR="00F4217A" w:rsidRPr="00F4217A" w:rsidRDefault="00F4217A" w:rsidP="00F4217A">
      <w:pPr>
        <w:rPr>
          <w:lang w:eastAsia="ru-RU" w:bidi="hi-IN"/>
        </w:rPr>
      </w:pPr>
    </w:p>
    <w:p w14:paraId="5F6FD5AD" w14:textId="77777777" w:rsidR="00F4217A" w:rsidRPr="00F4217A" w:rsidRDefault="00F4217A" w:rsidP="00F4217A">
      <w:pPr>
        <w:rPr>
          <w:lang w:eastAsia="ru-RU" w:bidi="hi-IN"/>
        </w:rPr>
      </w:pPr>
      <w:r w:rsidRPr="00F4217A">
        <w:rPr>
          <w:noProof/>
          <w:lang w:eastAsia="ru-RU"/>
        </w:rPr>
        <w:drawing>
          <wp:inline distT="0" distB="0" distL="0" distR="0" wp14:anchorId="0EC21617" wp14:editId="3F033CB6">
            <wp:extent cx="5691116" cy="2715904"/>
            <wp:effectExtent l="0" t="0" r="5080" b="8255"/>
            <wp:docPr id="953" name="Диаграмма 953"/>
            <wp:cNvGraphicFramePr/>
            <a:graphic xmlns:a="http://schemas.openxmlformats.org/drawingml/2006/main">
              <a:graphicData uri="http://schemas.openxmlformats.org/drawingml/2006/chart">
                <c:chart xmlns:c="http://schemas.openxmlformats.org/drawingml/2006/chart" xmlns:r="http://schemas.openxmlformats.org/officeDocument/2006/relationships" r:id="rId247"/>
              </a:graphicData>
            </a:graphic>
          </wp:inline>
        </w:drawing>
      </w:r>
    </w:p>
    <w:p w14:paraId="6123341F" w14:textId="77777777" w:rsidR="00F4217A" w:rsidRPr="00F4217A" w:rsidRDefault="00F4217A" w:rsidP="00F4217A">
      <w:pPr>
        <w:rPr>
          <w:lang w:eastAsia="ru-RU" w:bidi="hi-IN"/>
        </w:rPr>
      </w:pPr>
      <w:r w:rsidRPr="00F4217A">
        <w:rPr>
          <w:lang w:eastAsia="ru-RU" w:bidi="hi-IN"/>
        </w:rPr>
        <w:t>По итогам мониторинга рынка в 2018 году предложение на рынке производственно-складской недвижимости региона превалирует на территории ГО Якутск. Это в первую очередь обусловлено тем, что данный городской округ сформирован вокруг столицы субъекта – города Якутск, который является крупнейшим по численности населения городом на северо-востоке России, третьим городом Дальневосточного федерального округа по численности населения.</w:t>
      </w:r>
    </w:p>
    <w:p w14:paraId="1E9378C2" w14:textId="77777777" w:rsidR="00F4217A" w:rsidRPr="00F4217A" w:rsidRDefault="00F4217A" w:rsidP="00F4217A">
      <w:pPr>
        <w:rPr>
          <w:lang w:eastAsia="ru-RU" w:bidi="hi-IN"/>
        </w:rPr>
      </w:pPr>
      <w:r w:rsidRPr="00F4217A">
        <w:rPr>
          <w:lang w:eastAsia="ru-RU" w:bidi="hi-IN"/>
        </w:rPr>
        <w:t>По количеству предложений в городе Якутске лидируют Автодорожный и Промышленный округа. Это связано с тем, что через эти территории города проходят основные транспортные магистрали, а также, с близостью больших транспортных узлов.</w:t>
      </w:r>
    </w:p>
    <w:p w14:paraId="1A8C68BF" w14:textId="77777777" w:rsidR="00F4217A" w:rsidRPr="00F4217A" w:rsidRDefault="00F4217A" w:rsidP="00F4217A">
      <w:pPr>
        <w:rPr>
          <w:lang w:eastAsia="ru-RU" w:bidi="hi-IN"/>
        </w:rPr>
      </w:pPr>
    </w:p>
    <w:p w14:paraId="179B18B1" w14:textId="4E03EEDA" w:rsidR="00F4217A" w:rsidRPr="00F4217A" w:rsidRDefault="00F4217A" w:rsidP="00F4217A">
      <w:pPr>
        <w:rPr>
          <w:lang w:eastAsia="ru-RU" w:bidi="hi-IN"/>
        </w:rPr>
      </w:pPr>
      <w:r w:rsidRPr="00F4217A">
        <w:rPr>
          <w:lang w:eastAsia="ru-RU" w:bidi="hi-IN"/>
        </w:rPr>
        <w:t xml:space="preserve">Рисунок </w:t>
      </w:r>
      <w:r w:rsidRPr="00F4217A">
        <w:rPr>
          <w:lang w:eastAsia="ru-RU" w:bidi="hi-IN"/>
        </w:rPr>
        <w:fldChar w:fldCharType="begin"/>
      </w:r>
      <w:r w:rsidRPr="00F4217A">
        <w:rPr>
          <w:lang w:eastAsia="ru-RU" w:bidi="hi-IN"/>
        </w:rPr>
        <w:instrText xml:space="preserve"> SEQ Рисунок \* ARABIC </w:instrText>
      </w:r>
      <w:r w:rsidRPr="00F4217A">
        <w:rPr>
          <w:lang w:eastAsia="ru-RU" w:bidi="hi-IN"/>
        </w:rPr>
        <w:fldChar w:fldCharType="separate"/>
      </w:r>
      <w:r w:rsidR="00FD2769">
        <w:rPr>
          <w:noProof/>
          <w:lang w:eastAsia="ru-RU" w:bidi="hi-IN"/>
        </w:rPr>
        <w:t>47</w:t>
      </w:r>
      <w:r w:rsidRPr="00F4217A">
        <w:rPr>
          <w:lang w:eastAsia="ru-RU" w:bidi="hi-IN"/>
        </w:rPr>
        <w:fldChar w:fldCharType="end"/>
      </w:r>
      <w:r w:rsidRPr="00F4217A">
        <w:rPr>
          <w:lang w:eastAsia="ru-RU" w:bidi="hi-IN"/>
        </w:rPr>
        <w:t>. Структура предложения по округам г. Якутск</w:t>
      </w:r>
    </w:p>
    <w:p w14:paraId="340F05B5" w14:textId="77777777" w:rsidR="00F4217A" w:rsidRPr="00F4217A" w:rsidRDefault="00F4217A" w:rsidP="00F4217A">
      <w:pPr>
        <w:rPr>
          <w:lang w:eastAsia="ru-RU" w:bidi="hi-IN"/>
        </w:rPr>
      </w:pPr>
      <w:r w:rsidRPr="00F4217A">
        <w:rPr>
          <w:noProof/>
          <w:lang w:eastAsia="ru-RU"/>
        </w:rPr>
        <w:drawing>
          <wp:inline distT="0" distB="0" distL="0" distR="0" wp14:anchorId="77A0552C" wp14:editId="7A96B54E">
            <wp:extent cx="5636526" cy="3179929"/>
            <wp:effectExtent l="0" t="0" r="2540" b="1905"/>
            <wp:docPr id="955" name="Диаграмма 955"/>
            <wp:cNvGraphicFramePr/>
            <a:graphic xmlns:a="http://schemas.openxmlformats.org/drawingml/2006/main">
              <a:graphicData uri="http://schemas.openxmlformats.org/drawingml/2006/chart">
                <c:chart xmlns:c="http://schemas.openxmlformats.org/drawingml/2006/chart" xmlns:r="http://schemas.openxmlformats.org/officeDocument/2006/relationships" r:id="rId248"/>
              </a:graphicData>
            </a:graphic>
          </wp:inline>
        </w:drawing>
      </w:r>
    </w:p>
    <w:p w14:paraId="3F5ACE91" w14:textId="77777777" w:rsidR="00F4217A" w:rsidRPr="00F4217A" w:rsidRDefault="00F4217A" w:rsidP="00F4217A">
      <w:pPr>
        <w:rPr>
          <w:lang w:eastAsia="ru-RU" w:bidi="hi-IN"/>
        </w:rPr>
      </w:pPr>
    </w:p>
    <w:p w14:paraId="19B3540A" w14:textId="36176711" w:rsidR="00F4217A" w:rsidRDefault="00F4217A" w:rsidP="00F4217A">
      <w:pPr>
        <w:rPr>
          <w:lang w:eastAsia="ru-RU" w:bidi="hi-IN"/>
        </w:rPr>
      </w:pPr>
      <w:r w:rsidRPr="00F4217A">
        <w:rPr>
          <w:lang w:eastAsia="ru-RU" w:bidi="hi-IN"/>
        </w:rPr>
        <w:t>Наряду с дефицитом ликвидного предложения производственно-складской недвижимости эксперты рынка также отмечают и отсутствие спроса на нее. Обращений от компаний и физических лиц в агентства недвижимости с целью подбора производственно-складской недвижимости, как для ее приобретения, так и для взятия в аренду, зафиксировано крайне мало.</w:t>
      </w:r>
    </w:p>
    <w:p w14:paraId="3AD9D68F" w14:textId="63DEAA99" w:rsidR="003F26E6" w:rsidRDefault="003F26E6" w:rsidP="00F4217A">
      <w:pPr>
        <w:rPr>
          <w:lang w:eastAsia="ru-RU" w:bidi="hi-IN"/>
        </w:rPr>
      </w:pPr>
    </w:p>
    <w:p w14:paraId="742F44FA" w14:textId="5A55A7A0" w:rsidR="005A6921" w:rsidRDefault="005A6921" w:rsidP="00FD2769">
      <w:pPr>
        <w:pStyle w:val="3"/>
        <w:rPr>
          <w:rFonts w:eastAsia="Calibri"/>
          <w:lang w:eastAsia="zh-CN"/>
        </w:rPr>
      </w:pPr>
      <w:bookmarkStart w:id="61" w:name="_Toc14819104"/>
      <w:r>
        <w:rPr>
          <w:rFonts w:eastAsia="Calibri"/>
          <w:lang w:eastAsia="zh-CN"/>
        </w:rPr>
        <w:t>Сбор и обработка рыночной информации</w:t>
      </w:r>
      <w:bookmarkEnd w:id="61"/>
    </w:p>
    <w:p w14:paraId="7043A1EC" w14:textId="77777777" w:rsidR="005A6921" w:rsidRDefault="005A6921" w:rsidP="00F4217A">
      <w:pPr>
        <w:rPr>
          <w:lang w:eastAsia="ru-RU" w:bidi="hi-IN"/>
        </w:rPr>
      </w:pPr>
    </w:p>
    <w:p w14:paraId="3421F3AE" w14:textId="77777777" w:rsidR="005A6921" w:rsidRDefault="005A6921" w:rsidP="005A6921">
      <w:pPr>
        <w:ind w:firstLine="709"/>
        <w:rPr>
          <w:szCs w:val="28"/>
        </w:rPr>
      </w:pPr>
      <w:r>
        <w:rPr>
          <w:szCs w:val="24"/>
        </w:rPr>
        <w:t>Одним из начальных этапов работ по проведению кадастровой оценки является сбор рыночной информации.</w:t>
      </w:r>
    </w:p>
    <w:p w14:paraId="158E1DB9" w14:textId="77777777" w:rsidR="005A6921" w:rsidRDefault="005A6921" w:rsidP="005A6921">
      <w:pPr>
        <w:ind w:firstLine="709"/>
        <w:rPr>
          <w:szCs w:val="28"/>
        </w:rPr>
      </w:pPr>
      <w:r>
        <w:rPr>
          <w:szCs w:val="28"/>
        </w:rPr>
        <w:t xml:space="preserve">Перечень основных источников информации, используемых для целей мониторинга и анализа рынков недвижимости, формируется исходя из обеспеченности информацией о рынке недвижимости. </w:t>
      </w:r>
    </w:p>
    <w:p w14:paraId="08170EF0" w14:textId="77777777" w:rsidR="005A6921" w:rsidRDefault="005A6921" w:rsidP="005A6921">
      <w:pPr>
        <w:ind w:firstLine="567"/>
        <w:rPr>
          <w:color w:val="FF0000"/>
          <w:szCs w:val="24"/>
        </w:rPr>
      </w:pPr>
      <w:r>
        <w:rPr>
          <w:szCs w:val="24"/>
        </w:rPr>
        <w:t xml:space="preserve">Сбор рыночной информации, осуществлялся по </w:t>
      </w:r>
      <w:r>
        <w:rPr>
          <w:rFonts w:eastAsia="TimesNewRoman"/>
          <w:szCs w:val="24"/>
        </w:rPr>
        <w:t xml:space="preserve">зданиям, помещениям, </w:t>
      </w:r>
      <w:r>
        <w:rPr>
          <w:szCs w:val="24"/>
        </w:rPr>
        <w:t>расположенным на территории Республики Саха (Якутия).</w:t>
      </w:r>
      <w:r>
        <w:rPr>
          <w:color w:val="FF0000"/>
          <w:szCs w:val="24"/>
        </w:rPr>
        <w:t xml:space="preserve">  </w:t>
      </w:r>
    </w:p>
    <w:p w14:paraId="77A4C0A9" w14:textId="77777777" w:rsidR="005A6921" w:rsidRDefault="005A6921" w:rsidP="005A6921">
      <w:pPr>
        <w:ind w:firstLine="540"/>
        <w:rPr>
          <w:rFonts w:eastAsia="MS Mincho"/>
          <w:szCs w:val="24"/>
        </w:rPr>
      </w:pPr>
      <w:r>
        <w:rPr>
          <w:rFonts w:eastAsia="MS Mincho"/>
          <w:szCs w:val="24"/>
        </w:rPr>
        <w:t>В качестве рыночной ценовой информации были использованы:</w:t>
      </w:r>
    </w:p>
    <w:p w14:paraId="06800B6F" w14:textId="77777777" w:rsidR="005A6921" w:rsidRDefault="005A6921" w:rsidP="005A6921">
      <w:pPr>
        <w:ind w:firstLine="709"/>
        <w:jc w:val="left"/>
        <w:rPr>
          <w:rFonts w:eastAsia="MS Mincho"/>
          <w:szCs w:val="24"/>
        </w:rPr>
      </w:pPr>
      <w:r>
        <w:rPr>
          <w:rFonts w:eastAsia="MS Mincho"/>
          <w:szCs w:val="24"/>
        </w:rPr>
        <w:t>- цены сделок (купля-продажа);</w:t>
      </w:r>
    </w:p>
    <w:p w14:paraId="7943547F" w14:textId="77777777" w:rsidR="005A6921" w:rsidRDefault="005A6921" w:rsidP="005A6921">
      <w:pPr>
        <w:ind w:firstLine="709"/>
        <w:jc w:val="left"/>
        <w:rPr>
          <w:rFonts w:eastAsia="MS Mincho"/>
          <w:szCs w:val="24"/>
        </w:rPr>
      </w:pPr>
      <w:r>
        <w:rPr>
          <w:rFonts w:eastAsia="MS Mincho"/>
          <w:szCs w:val="24"/>
        </w:rPr>
        <w:t xml:space="preserve">- цены предложения (купля-продажа). </w:t>
      </w:r>
    </w:p>
    <w:p w14:paraId="270D8EAA" w14:textId="77777777" w:rsidR="005A6921" w:rsidRDefault="005A6921" w:rsidP="005A6921">
      <w:pPr>
        <w:ind w:firstLine="567"/>
        <w:rPr>
          <w:szCs w:val="24"/>
        </w:rPr>
      </w:pPr>
      <w:r>
        <w:rPr>
          <w:szCs w:val="24"/>
        </w:rPr>
        <w:t>При сборе рыночной информации из источников в обязательном порядке учитывалось наличие следующих данных:</w:t>
      </w:r>
    </w:p>
    <w:p w14:paraId="4E26D36B" w14:textId="77777777" w:rsidR="005A6921" w:rsidRDefault="005A6921" w:rsidP="005A6921">
      <w:pPr>
        <w:ind w:firstLine="567"/>
        <w:jc w:val="left"/>
        <w:rPr>
          <w:szCs w:val="24"/>
        </w:rPr>
      </w:pPr>
      <w:r>
        <w:rPr>
          <w:szCs w:val="24"/>
        </w:rPr>
        <w:t xml:space="preserve">1.  </w:t>
      </w:r>
      <w:r>
        <w:rPr>
          <w:rFonts w:eastAsia="TimesNewRoman"/>
          <w:szCs w:val="24"/>
        </w:rPr>
        <w:t>Тип объекта недвижимости (здание, помещение, единый недвижимый комплекс)</w:t>
      </w:r>
      <w:r>
        <w:rPr>
          <w:szCs w:val="24"/>
        </w:rPr>
        <w:t>;</w:t>
      </w:r>
    </w:p>
    <w:p w14:paraId="42898A89" w14:textId="77777777" w:rsidR="005A6921" w:rsidRDefault="005A6921" w:rsidP="005A6921">
      <w:pPr>
        <w:ind w:firstLine="567"/>
        <w:jc w:val="left"/>
        <w:rPr>
          <w:szCs w:val="24"/>
        </w:rPr>
      </w:pPr>
      <w:r>
        <w:rPr>
          <w:szCs w:val="24"/>
        </w:rPr>
        <w:t xml:space="preserve">2.  </w:t>
      </w:r>
      <w:r>
        <w:rPr>
          <w:rFonts w:eastAsia="TimesNewRoman"/>
          <w:szCs w:val="24"/>
        </w:rPr>
        <w:t>Тип рыночной информации (сделка, предложение)</w:t>
      </w:r>
      <w:r>
        <w:rPr>
          <w:szCs w:val="24"/>
        </w:rPr>
        <w:t>;</w:t>
      </w:r>
    </w:p>
    <w:p w14:paraId="31947B5E" w14:textId="77777777" w:rsidR="005A6921" w:rsidRDefault="005A6921" w:rsidP="005A6921">
      <w:pPr>
        <w:ind w:firstLine="567"/>
        <w:jc w:val="left"/>
        <w:rPr>
          <w:szCs w:val="24"/>
        </w:rPr>
      </w:pPr>
      <w:r>
        <w:rPr>
          <w:szCs w:val="24"/>
        </w:rPr>
        <w:t xml:space="preserve">3.  </w:t>
      </w:r>
      <w:r>
        <w:rPr>
          <w:rFonts w:eastAsia="TimesNewRoman"/>
          <w:szCs w:val="24"/>
        </w:rPr>
        <w:t>Дата сделки/объявления</w:t>
      </w:r>
      <w:r>
        <w:rPr>
          <w:szCs w:val="24"/>
        </w:rPr>
        <w:t>;</w:t>
      </w:r>
    </w:p>
    <w:p w14:paraId="284D9792" w14:textId="77777777" w:rsidR="005A6921" w:rsidRDefault="005A6921" w:rsidP="005A6921">
      <w:pPr>
        <w:ind w:firstLine="567"/>
        <w:jc w:val="left"/>
        <w:rPr>
          <w:szCs w:val="24"/>
        </w:rPr>
      </w:pPr>
      <w:r>
        <w:rPr>
          <w:szCs w:val="24"/>
        </w:rPr>
        <w:t xml:space="preserve">4.  </w:t>
      </w:r>
      <w:r>
        <w:rPr>
          <w:rFonts w:eastAsia="TimesNewRoman"/>
          <w:szCs w:val="24"/>
        </w:rPr>
        <w:t>Текст объявления (для предложений)</w:t>
      </w:r>
      <w:r>
        <w:rPr>
          <w:szCs w:val="24"/>
        </w:rPr>
        <w:t>;</w:t>
      </w:r>
    </w:p>
    <w:p w14:paraId="43BC8E63" w14:textId="77777777" w:rsidR="005A6921" w:rsidRDefault="005A6921" w:rsidP="005A6921">
      <w:pPr>
        <w:ind w:firstLine="567"/>
        <w:jc w:val="left"/>
        <w:rPr>
          <w:szCs w:val="24"/>
        </w:rPr>
      </w:pPr>
      <w:r>
        <w:rPr>
          <w:szCs w:val="24"/>
        </w:rPr>
        <w:t xml:space="preserve">5.  </w:t>
      </w:r>
      <w:r>
        <w:rPr>
          <w:rFonts w:eastAsia="TimesNewRoman"/>
          <w:szCs w:val="24"/>
        </w:rPr>
        <w:t>Наименование и номер источника</w:t>
      </w:r>
      <w:r>
        <w:rPr>
          <w:szCs w:val="24"/>
        </w:rPr>
        <w:t>;</w:t>
      </w:r>
    </w:p>
    <w:p w14:paraId="33AF3758" w14:textId="77777777" w:rsidR="005A6921" w:rsidRDefault="005A6921" w:rsidP="005A6921">
      <w:pPr>
        <w:ind w:firstLine="567"/>
        <w:jc w:val="left"/>
        <w:rPr>
          <w:szCs w:val="24"/>
        </w:rPr>
      </w:pPr>
      <w:r>
        <w:rPr>
          <w:szCs w:val="24"/>
        </w:rPr>
        <w:t xml:space="preserve">6.  </w:t>
      </w:r>
      <w:r>
        <w:rPr>
          <w:rFonts w:eastAsia="TimesNewRoman"/>
          <w:szCs w:val="24"/>
        </w:rPr>
        <w:t>Общая площадь</w:t>
      </w:r>
      <w:r>
        <w:rPr>
          <w:szCs w:val="24"/>
        </w:rPr>
        <w:t>;</w:t>
      </w:r>
    </w:p>
    <w:p w14:paraId="63EAFA77" w14:textId="77777777" w:rsidR="005A6921" w:rsidRDefault="005A6921" w:rsidP="005A6921">
      <w:pPr>
        <w:ind w:firstLine="567"/>
        <w:jc w:val="left"/>
        <w:rPr>
          <w:szCs w:val="24"/>
        </w:rPr>
      </w:pPr>
      <w:r>
        <w:rPr>
          <w:szCs w:val="24"/>
        </w:rPr>
        <w:t xml:space="preserve">7.  </w:t>
      </w:r>
      <w:r>
        <w:rPr>
          <w:rFonts w:eastAsia="TimesNewRoman"/>
          <w:szCs w:val="24"/>
        </w:rPr>
        <w:t>Полная цена</w:t>
      </w:r>
      <w:r>
        <w:rPr>
          <w:szCs w:val="24"/>
        </w:rPr>
        <w:t xml:space="preserve">. </w:t>
      </w:r>
    </w:p>
    <w:p w14:paraId="48979CB8" w14:textId="77777777" w:rsidR="005A6921" w:rsidRDefault="005A6921" w:rsidP="005A6921">
      <w:pPr>
        <w:autoSpaceDE w:val="0"/>
        <w:autoSpaceDN w:val="0"/>
        <w:adjustRightInd w:val="0"/>
        <w:ind w:firstLine="567"/>
        <w:rPr>
          <w:rFonts w:eastAsia="TimesNewRoman"/>
          <w:szCs w:val="24"/>
        </w:rPr>
      </w:pPr>
      <w:r>
        <w:rPr>
          <w:rFonts w:eastAsia="TimesNewRoman"/>
          <w:szCs w:val="24"/>
        </w:rPr>
        <w:t>Дополнительно для каждого объекта уточнялись следующие характеристики:</w:t>
      </w:r>
    </w:p>
    <w:p w14:paraId="7B64117D" w14:textId="77777777" w:rsidR="005A6921" w:rsidRDefault="005A6921" w:rsidP="005A6921">
      <w:pPr>
        <w:autoSpaceDE w:val="0"/>
        <w:autoSpaceDN w:val="0"/>
        <w:adjustRightInd w:val="0"/>
        <w:ind w:firstLine="567"/>
        <w:rPr>
          <w:szCs w:val="24"/>
        </w:rPr>
      </w:pPr>
      <w:r>
        <w:rPr>
          <w:rFonts w:eastAsia="TimesNewRoman"/>
          <w:szCs w:val="24"/>
        </w:rPr>
        <w:t>1.  Местоположение</w:t>
      </w:r>
      <w:r>
        <w:rPr>
          <w:szCs w:val="24"/>
        </w:rPr>
        <w:t>;</w:t>
      </w:r>
    </w:p>
    <w:p w14:paraId="48FFCFA9" w14:textId="77777777" w:rsidR="005A6921" w:rsidRDefault="005A6921" w:rsidP="005A6921">
      <w:pPr>
        <w:ind w:firstLine="567"/>
        <w:jc w:val="left"/>
        <w:rPr>
          <w:szCs w:val="24"/>
        </w:rPr>
      </w:pPr>
      <w:r>
        <w:rPr>
          <w:szCs w:val="24"/>
        </w:rPr>
        <w:t xml:space="preserve">2.  </w:t>
      </w:r>
      <w:r>
        <w:rPr>
          <w:rFonts w:eastAsia="TimesNewRoman"/>
          <w:szCs w:val="24"/>
        </w:rPr>
        <w:t>Муниципальный район</w:t>
      </w:r>
      <w:r>
        <w:rPr>
          <w:szCs w:val="24"/>
        </w:rPr>
        <w:t xml:space="preserve">, </w:t>
      </w:r>
      <w:r>
        <w:rPr>
          <w:rFonts w:eastAsia="TimesNewRoman"/>
          <w:szCs w:val="24"/>
        </w:rPr>
        <w:t>населенный пункт</w:t>
      </w:r>
      <w:r>
        <w:rPr>
          <w:szCs w:val="24"/>
        </w:rPr>
        <w:t>;</w:t>
      </w:r>
    </w:p>
    <w:p w14:paraId="18CE6BED" w14:textId="77777777" w:rsidR="005A6921" w:rsidRDefault="005A6921" w:rsidP="005A6921">
      <w:pPr>
        <w:ind w:firstLine="567"/>
        <w:jc w:val="left"/>
        <w:rPr>
          <w:szCs w:val="24"/>
        </w:rPr>
      </w:pPr>
      <w:r>
        <w:rPr>
          <w:szCs w:val="24"/>
        </w:rPr>
        <w:t xml:space="preserve">4.  </w:t>
      </w:r>
      <w:r>
        <w:rPr>
          <w:rFonts w:eastAsia="TimesNewRoman"/>
          <w:szCs w:val="24"/>
        </w:rPr>
        <w:t>Улица</w:t>
      </w:r>
      <w:r>
        <w:rPr>
          <w:szCs w:val="24"/>
        </w:rPr>
        <w:t>;</w:t>
      </w:r>
    </w:p>
    <w:p w14:paraId="420F1B4B" w14:textId="77777777" w:rsidR="005A6921" w:rsidRDefault="005A6921" w:rsidP="005A6921">
      <w:pPr>
        <w:ind w:firstLine="567"/>
        <w:jc w:val="left"/>
        <w:rPr>
          <w:szCs w:val="24"/>
        </w:rPr>
      </w:pPr>
      <w:r>
        <w:rPr>
          <w:szCs w:val="24"/>
        </w:rPr>
        <w:t>5.  Номер дома;</w:t>
      </w:r>
    </w:p>
    <w:p w14:paraId="5896EEED" w14:textId="77777777" w:rsidR="005A6921" w:rsidRDefault="005A6921" w:rsidP="005A6921">
      <w:pPr>
        <w:ind w:firstLine="567"/>
        <w:jc w:val="left"/>
        <w:rPr>
          <w:szCs w:val="24"/>
        </w:rPr>
      </w:pPr>
      <w:r>
        <w:rPr>
          <w:szCs w:val="24"/>
        </w:rPr>
        <w:t>6.  Год постройки;</w:t>
      </w:r>
    </w:p>
    <w:p w14:paraId="3158DC68" w14:textId="77777777" w:rsidR="005A6921" w:rsidRDefault="005A6921" w:rsidP="005A6921">
      <w:pPr>
        <w:ind w:firstLine="567"/>
        <w:jc w:val="left"/>
        <w:rPr>
          <w:szCs w:val="24"/>
        </w:rPr>
      </w:pPr>
      <w:r>
        <w:rPr>
          <w:szCs w:val="24"/>
        </w:rPr>
        <w:t>7.  Материал стен.</w:t>
      </w:r>
    </w:p>
    <w:p w14:paraId="390C413F" w14:textId="77777777" w:rsidR="005A6921" w:rsidRDefault="005A6921" w:rsidP="005A6921">
      <w:pPr>
        <w:autoSpaceDE w:val="0"/>
        <w:autoSpaceDN w:val="0"/>
        <w:adjustRightInd w:val="0"/>
        <w:ind w:firstLine="567"/>
        <w:rPr>
          <w:szCs w:val="24"/>
        </w:rPr>
      </w:pPr>
      <w:r>
        <w:rPr>
          <w:rFonts w:eastAsia="TimesNewRoman"/>
          <w:szCs w:val="24"/>
        </w:rPr>
        <w:t xml:space="preserve">Основным источником рыночной информации по ценам сделок с объектами недвижимости является Управление Росреестра по </w:t>
      </w:r>
      <w:r>
        <w:rPr>
          <w:szCs w:val="24"/>
        </w:rPr>
        <w:t>Республике Саха (Якутия).</w:t>
      </w:r>
    </w:p>
    <w:p w14:paraId="262FE1F5" w14:textId="77777777" w:rsidR="005A6921" w:rsidRDefault="005A6921" w:rsidP="005A6921">
      <w:pPr>
        <w:ind w:firstLine="709"/>
        <w:rPr>
          <w:szCs w:val="28"/>
        </w:rPr>
      </w:pPr>
      <w:r>
        <w:rPr>
          <w:rFonts w:eastAsia="MS Mincho"/>
          <w:szCs w:val="24"/>
        </w:rPr>
        <w:t xml:space="preserve">В качестве источников информации о ценах предложений использовались интернет-сайты для размещения объявлений о товарах и услугах от частных лиц и компаний, а также данные </w:t>
      </w:r>
      <w:r>
        <w:rPr>
          <w:szCs w:val="28"/>
        </w:rPr>
        <w:t>специализированных аналитических, риэлтерских организаций, которые в своей деятельности оперируют рыночной информацией, представляемой правообладателями объектов недвижимости для совершения сделок с объектами недвижимости. Поэтому сведения данных организаций являются достоверными.</w:t>
      </w:r>
    </w:p>
    <w:p w14:paraId="15FC4634" w14:textId="77777777" w:rsidR="005A6921" w:rsidRDefault="005A6921" w:rsidP="005A6921">
      <w:pPr>
        <w:ind w:firstLine="709"/>
        <w:rPr>
          <w:szCs w:val="28"/>
        </w:rPr>
      </w:pPr>
      <w:r>
        <w:rPr>
          <w:szCs w:val="24"/>
        </w:rPr>
        <w:t>При проведении настоящих работ основным источником рыночной информации являлась база объявлений о продаже недвижимости ООО «ИТИС-Групп» ИНН 7017422324 г.Томск. ИТИС-Групп – это компания, ведущая закрытую базу данных от собственников недвижимости, которая ежедневно пополняется новыми объектами</w:t>
      </w:r>
      <w:r>
        <w:t>.</w:t>
      </w:r>
      <w:r>
        <w:rPr>
          <w:rFonts w:asciiTheme="minorHAnsi" w:hAnsiTheme="minorHAnsi"/>
          <w:color w:val="333333"/>
          <w:sz w:val="21"/>
          <w:szCs w:val="21"/>
          <w:shd w:val="clear" w:color="auto" w:fill="FFFFFF"/>
        </w:rPr>
        <w:t xml:space="preserve"> </w:t>
      </w:r>
      <w:r>
        <w:rPr>
          <w:szCs w:val="24"/>
        </w:rPr>
        <w:t>Преимущества данного источника по сравнению с другими, большим количеством информации по рынку г.Якутска, относительно малом количестве ошибок, достаточно широком наборе указанных характеристик и своевременном обновлении перечня объявлений и приведенной в них информации.</w:t>
      </w:r>
    </w:p>
    <w:p w14:paraId="0A1DF656" w14:textId="77777777" w:rsidR="005A6921" w:rsidRDefault="005A6921" w:rsidP="005A6921">
      <w:pPr>
        <w:ind w:firstLine="709"/>
        <w:rPr>
          <w:szCs w:val="24"/>
        </w:rPr>
      </w:pPr>
      <w:r>
        <w:rPr>
          <w:szCs w:val="28"/>
        </w:rPr>
        <w:t>После приведения рыночной информации к единому формату, проводился статистический анализ всей собранной рыночной информации по следующим критериям:</w:t>
      </w:r>
    </w:p>
    <w:p w14:paraId="3A7FF29F" w14:textId="77777777" w:rsidR="005A6921" w:rsidRDefault="005A6921" w:rsidP="00C106B5">
      <w:pPr>
        <w:numPr>
          <w:ilvl w:val="0"/>
          <w:numId w:val="107"/>
        </w:numPr>
        <w:suppressAutoHyphens/>
        <w:autoSpaceDN w:val="0"/>
        <w:textAlignment w:val="baseline"/>
        <w:rPr>
          <w:szCs w:val="24"/>
          <w:lang w:eastAsia="ru-RU"/>
        </w:rPr>
      </w:pPr>
      <w:r>
        <w:rPr>
          <w:szCs w:val="24"/>
          <w:lang w:eastAsia="ru-RU"/>
        </w:rPr>
        <w:t>проверка на выявление дублирующейся информации, представленной в разных источниках (проводился анализ объектов по местоположению, общей площади и полной цене, для помещений по номеру этажа, на котором расположено помещение, и этажности);</w:t>
      </w:r>
    </w:p>
    <w:p w14:paraId="598B8C23" w14:textId="77777777" w:rsidR="005A6921" w:rsidRDefault="005A6921" w:rsidP="00C106B5">
      <w:pPr>
        <w:numPr>
          <w:ilvl w:val="0"/>
          <w:numId w:val="107"/>
        </w:numPr>
        <w:suppressAutoHyphens/>
        <w:autoSpaceDN w:val="0"/>
        <w:textAlignment w:val="baseline"/>
        <w:rPr>
          <w:szCs w:val="24"/>
          <w:lang w:eastAsia="ru-RU"/>
        </w:rPr>
      </w:pPr>
      <w:r>
        <w:rPr>
          <w:szCs w:val="24"/>
          <w:lang w:eastAsia="ru-RU"/>
        </w:rPr>
        <w:t>полнота собранной рыночной информации (проверялось наличие достаточного количества собранной информации по всем городским населенным пунктам и муниципальным районам для сельских населенных пунктов), а также проверялась наполняемость физических характеристик;</w:t>
      </w:r>
    </w:p>
    <w:p w14:paraId="598BF467" w14:textId="77777777" w:rsidR="005A6921" w:rsidRDefault="005A6921" w:rsidP="00C106B5">
      <w:pPr>
        <w:numPr>
          <w:ilvl w:val="0"/>
          <w:numId w:val="107"/>
        </w:numPr>
        <w:suppressAutoHyphens/>
        <w:autoSpaceDN w:val="0"/>
        <w:textAlignment w:val="baseline"/>
        <w:rPr>
          <w:szCs w:val="24"/>
          <w:lang w:eastAsia="ru-RU"/>
        </w:rPr>
      </w:pPr>
      <w:r>
        <w:rPr>
          <w:szCs w:val="24"/>
          <w:lang w:eastAsia="ru-RU"/>
        </w:rPr>
        <w:t>проверка на непротиворечивость данных об объекте (отсутствие различных адресных характеристик, одинаковая размерность физических характеристик, правильность соотношений между ценообразующими факторами, так же сопоставление этажа, на котором расположен объект, и этажности);</w:t>
      </w:r>
    </w:p>
    <w:p w14:paraId="692BFD84" w14:textId="77777777" w:rsidR="005A6921" w:rsidRDefault="005A6921" w:rsidP="00C106B5">
      <w:pPr>
        <w:numPr>
          <w:ilvl w:val="0"/>
          <w:numId w:val="107"/>
        </w:numPr>
        <w:suppressAutoHyphens/>
        <w:autoSpaceDN w:val="0"/>
        <w:textAlignment w:val="baseline"/>
        <w:rPr>
          <w:szCs w:val="24"/>
          <w:lang w:eastAsia="ru-RU"/>
        </w:rPr>
      </w:pPr>
      <w:r>
        <w:rPr>
          <w:szCs w:val="24"/>
          <w:lang w:eastAsia="ru-RU"/>
        </w:rPr>
        <w:t>проверка даты объявления на актуальность (дата предложения продажи или сделки не должна быть позднее даты оценки или быть слишком устаревшей).</w:t>
      </w:r>
    </w:p>
    <w:p w14:paraId="00D4CDE2" w14:textId="77777777" w:rsidR="005A6921" w:rsidRDefault="005A6921" w:rsidP="005A6921">
      <w:pPr>
        <w:ind w:firstLine="709"/>
        <w:rPr>
          <w:szCs w:val="24"/>
        </w:rPr>
      </w:pPr>
      <w:r>
        <w:rPr>
          <w:szCs w:val="24"/>
        </w:rPr>
        <w:t xml:space="preserve">Анализ сформированной формы с объектами-аналогами показал, что у части объектов-аналогов отсутствуют характеристики, такие как этажность здания, материал стен, год постройки здания. Для таких объектов-аналогов проводилось наследование вышеуказанных характеристик на основании данных по объектам оценки, если имелся кадастровый номер объекта-аналога. </w:t>
      </w:r>
    </w:p>
    <w:p w14:paraId="1F6951F8" w14:textId="24FA0C0A" w:rsidR="005A6921" w:rsidRDefault="005A6921" w:rsidP="005A6921">
      <w:pPr>
        <w:ind w:firstLine="709"/>
        <w:rPr>
          <w:rFonts w:eastAsia="Times New Roman" w:cs="Times New Roman"/>
          <w:szCs w:val="24"/>
        </w:rPr>
      </w:pPr>
      <w:r>
        <w:rPr>
          <w:rFonts w:eastAsia="Times New Roman" w:cs="Times New Roman"/>
          <w:szCs w:val="24"/>
          <w:lang w:val="x-none"/>
        </w:rPr>
        <w:t>Собранная исходная рыночная информация представлена</w:t>
      </w:r>
      <w:r>
        <w:rPr>
          <w:rFonts w:eastAsia="Times New Roman" w:cs="Times New Roman"/>
          <w:szCs w:val="24"/>
        </w:rPr>
        <w:t xml:space="preserve"> в электронном виде</w:t>
      </w:r>
      <w:r>
        <w:rPr>
          <w:rFonts w:eastAsia="Times New Roman" w:cs="Times New Roman"/>
          <w:szCs w:val="24"/>
          <w:lang w:val="x-none"/>
        </w:rPr>
        <w:t xml:space="preserve"> в Приложении </w:t>
      </w:r>
      <w:r>
        <w:rPr>
          <w:rFonts w:eastAsia="Times New Roman" w:cs="Times New Roman"/>
          <w:szCs w:val="24"/>
        </w:rPr>
        <w:t xml:space="preserve">1.5.1 </w:t>
      </w:r>
      <w:r w:rsidR="008F5144">
        <w:rPr>
          <w:rFonts w:eastAsia="Times New Roman" w:cs="Times New Roman"/>
          <w:szCs w:val="24"/>
        </w:rPr>
        <w:t>Отчета</w:t>
      </w:r>
      <w:r>
        <w:rPr>
          <w:rFonts w:eastAsia="Times New Roman" w:cs="Times New Roman"/>
          <w:szCs w:val="24"/>
          <w:lang w:val="x-none"/>
        </w:rPr>
        <w:t xml:space="preserve">.  </w:t>
      </w:r>
    </w:p>
    <w:p w14:paraId="267A69E4" w14:textId="0953CA8E" w:rsidR="005A6921" w:rsidRDefault="005A6921" w:rsidP="005A6921">
      <w:pPr>
        <w:pStyle w:val="af0"/>
        <w:shd w:val="clear" w:color="auto" w:fill="FFFFFF"/>
        <w:ind w:left="0" w:firstLine="567"/>
        <w:rPr>
          <w:rFonts w:eastAsia="Times New Roman" w:cs="Times New Roman"/>
          <w:szCs w:val="24"/>
        </w:rPr>
      </w:pPr>
      <w:r>
        <w:t xml:space="preserve">В соответствии с п. 4.1.4 Методических указаний вся собранная рыночная информация должна быть структурирована единообразно. При проведении анализа рынка недвижимости в отношении объектов недвижимости, по которым анализируются рыночные цены, возможно проведение кодировки, которая складывается из их характеристик объекта с </w:t>
      </w:r>
      <w:r w:rsidR="00132FB0">
        <w:t>обязательным указанием</w:t>
      </w:r>
      <w:r>
        <w:t>:</w:t>
      </w:r>
    </w:p>
    <w:p w14:paraId="413D1EA7" w14:textId="77777777" w:rsidR="005A6921" w:rsidRDefault="005A6921" w:rsidP="005A6921">
      <w:pPr>
        <w:pStyle w:val="af0"/>
        <w:spacing w:before="120" w:after="120"/>
        <w:ind w:left="0" w:firstLine="567"/>
      </w:pPr>
      <w:r>
        <w:t>- сегмента объектов недвижимости, к которому относится объект недвижимости;</w:t>
      </w:r>
    </w:p>
    <w:p w14:paraId="60CDC9CD" w14:textId="77777777" w:rsidR="005A6921" w:rsidRDefault="005A6921" w:rsidP="005A6921">
      <w:pPr>
        <w:pStyle w:val="af0"/>
        <w:spacing w:before="120" w:after="120"/>
        <w:ind w:left="0" w:firstLine="567"/>
      </w:pPr>
      <w:r>
        <w:t>- вида использования объекта недвижимости (определяется в соответствии с Приложением № 1 к Методическим указаниям);</w:t>
      </w:r>
    </w:p>
    <w:p w14:paraId="51C3B535" w14:textId="77777777" w:rsidR="005A6921" w:rsidRDefault="005A6921" w:rsidP="005A6921">
      <w:pPr>
        <w:pStyle w:val="af0"/>
        <w:spacing w:before="120" w:after="120"/>
        <w:ind w:left="0" w:firstLine="567"/>
      </w:pPr>
      <w:r>
        <w:t>- группы (подгруппы) ОКС согласно Приложению № 2 к Методическим указаниям;</w:t>
      </w:r>
    </w:p>
    <w:p w14:paraId="5C0B9622" w14:textId="77777777" w:rsidR="005A6921" w:rsidRDefault="005A6921" w:rsidP="005A6921">
      <w:pPr>
        <w:pStyle w:val="af0"/>
        <w:spacing w:before="120" w:after="120"/>
        <w:ind w:left="0" w:firstLine="567"/>
      </w:pPr>
      <w:r>
        <w:t>- кода субъекта Российской Федерации, в котором расположен объект недвижимости;</w:t>
      </w:r>
    </w:p>
    <w:p w14:paraId="438B7510" w14:textId="77777777" w:rsidR="005A6921" w:rsidRDefault="005A6921" w:rsidP="005A6921">
      <w:pPr>
        <w:pStyle w:val="af0"/>
        <w:spacing w:before="120" w:after="120"/>
        <w:ind w:left="0" w:firstLine="567"/>
      </w:pPr>
      <w:r>
        <w:t>- кода муниципального образования, в котором расположен объект недвижимости;</w:t>
      </w:r>
    </w:p>
    <w:p w14:paraId="5816B111" w14:textId="77777777" w:rsidR="005A6921" w:rsidRDefault="005A6921" w:rsidP="005A6921">
      <w:pPr>
        <w:pStyle w:val="af0"/>
        <w:spacing w:before="120" w:after="120"/>
        <w:ind w:left="0" w:firstLine="567"/>
      </w:pPr>
      <w:r>
        <w:t>- даты подачи объявления и (или) совершения сделки (ДД.ММ.ГГГГ);</w:t>
      </w:r>
    </w:p>
    <w:p w14:paraId="7993B33D" w14:textId="77777777" w:rsidR="005A6921" w:rsidRDefault="005A6921" w:rsidP="005A6921">
      <w:pPr>
        <w:pStyle w:val="af0"/>
        <w:ind w:left="0" w:firstLine="567"/>
      </w:pPr>
      <w:r>
        <w:t xml:space="preserve">- порядкового номера объекта недвижимости. </w:t>
      </w:r>
    </w:p>
    <w:p w14:paraId="07DA74EE" w14:textId="77777777" w:rsidR="005A6921" w:rsidRDefault="005A6921" w:rsidP="005A6921">
      <w:pPr>
        <w:ind w:firstLine="709"/>
        <w:rPr>
          <w:rFonts w:eastAsia="Times New Roman"/>
          <w:szCs w:val="24"/>
          <w:lang w:eastAsia="ru-RU"/>
        </w:rPr>
      </w:pPr>
      <w:r>
        <w:rPr>
          <w:rFonts w:eastAsia="Times New Roman"/>
          <w:szCs w:val="24"/>
          <w:lang w:eastAsia="ru-RU"/>
        </w:rPr>
        <w:t>В результате проведения работ по сбору рыночной информации по группе 1 «Многоквартирные дома (дома средне- и многоэтажной жилой застройки)» собрано 4132 объекта-аналога по г. Якутску и 190 объекта-аналога по прочим ГНП. По группе 2 (подгруппа 0205 Малоэтажная многоквартирная жилая застройка) собрано 853 объекта-аналога по г. Якутску, по группе 3 (подгруппа 0303) собрано 815 объекта-аналога по г. Якутску.</w:t>
      </w:r>
    </w:p>
    <w:p w14:paraId="44C54CC3" w14:textId="322A077A" w:rsidR="005A6921" w:rsidRDefault="005A6921" w:rsidP="005A6921">
      <w:pPr>
        <w:ind w:firstLine="709"/>
        <w:rPr>
          <w:rFonts w:eastAsia="Times New Roman" w:cs="Times New Roman"/>
          <w:szCs w:val="24"/>
        </w:rPr>
      </w:pPr>
      <w:r>
        <w:rPr>
          <w:rFonts w:eastAsia="Times New Roman" w:cs="Times New Roman"/>
          <w:szCs w:val="24"/>
        </w:rPr>
        <w:t>Обработанная</w:t>
      </w:r>
      <w:r>
        <w:rPr>
          <w:rFonts w:eastAsia="Times New Roman" w:cs="Times New Roman"/>
          <w:szCs w:val="24"/>
          <w:lang w:val="x-none"/>
        </w:rPr>
        <w:t xml:space="preserve"> рыночная информация </w:t>
      </w:r>
      <w:r>
        <w:rPr>
          <w:rFonts w:eastAsia="Times New Roman" w:cs="Times New Roman"/>
          <w:szCs w:val="24"/>
        </w:rPr>
        <w:t xml:space="preserve">по объектам-аналогам </w:t>
      </w:r>
      <w:r>
        <w:rPr>
          <w:rFonts w:eastAsia="Times New Roman" w:cs="Times New Roman"/>
          <w:szCs w:val="24"/>
          <w:lang w:val="x-none"/>
        </w:rPr>
        <w:t>представлена</w:t>
      </w:r>
      <w:r>
        <w:rPr>
          <w:rFonts w:eastAsia="Times New Roman" w:cs="Times New Roman"/>
          <w:szCs w:val="24"/>
        </w:rPr>
        <w:t xml:space="preserve"> </w:t>
      </w:r>
      <w:r>
        <w:rPr>
          <w:rFonts w:eastAsia="Times New Roman" w:cs="Times New Roman"/>
          <w:szCs w:val="24"/>
          <w:lang w:val="x-none"/>
        </w:rPr>
        <w:t xml:space="preserve">в Приложении </w:t>
      </w:r>
      <w:r>
        <w:rPr>
          <w:rFonts w:eastAsia="Times New Roman" w:cs="Times New Roman"/>
          <w:szCs w:val="24"/>
        </w:rPr>
        <w:t xml:space="preserve">1.5.3 </w:t>
      </w:r>
      <w:r w:rsidR="008F5144">
        <w:rPr>
          <w:rFonts w:eastAsia="Times New Roman" w:cs="Times New Roman"/>
          <w:szCs w:val="24"/>
        </w:rPr>
        <w:t>Отчета</w:t>
      </w:r>
      <w:r>
        <w:rPr>
          <w:rFonts w:eastAsia="Times New Roman" w:cs="Times New Roman"/>
          <w:szCs w:val="24"/>
          <w:lang w:val="x-none"/>
        </w:rPr>
        <w:t xml:space="preserve">.  </w:t>
      </w:r>
    </w:p>
    <w:p w14:paraId="601EAB28" w14:textId="77777777" w:rsidR="005A6921" w:rsidRDefault="005A6921" w:rsidP="005A6921">
      <w:pPr>
        <w:ind w:firstLine="709"/>
        <w:rPr>
          <w:szCs w:val="28"/>
        </w:rPr>
      </w:pPr>
      <w:r>
        <w:rPr>
          <w:szCs w:val="24"/>
        </w:rPr>
        <w:t>В целях проведения анализа рынка информация приведена к сопоставимому виду путем внесения в цены объектов-аналогов корректировок.</w:t>
      </w:r>
    </w:p>
    <w:p w14:paraId="521735C3" w14:textId="77777777" w:rsidR="005A6921" w:rsidRDefault="005A6921" w:rsidP="005A6921">
      <w:pPr>
        <w:ind w:firstLine="708"/>
        <w:rPr>
          <w:b/>
          <w:szCs w:val="24"/>
        </w:rPr>
      </w:pPr>
    </w:p>
    <w:p w14:paraId="6FC6B8A1" w14:textId="7EDBD214" w:rsidR="005A6921" w:rsidRDefault="005A6921" w:rsidP="005A6921">
      <w:pPr>
        <w:ind w:firstLine="708"/>
        <w:rPr>
          <w:b/>
          <w:szCs w:val="24"/>
        </w:rPr>
      </w:pPr>
      <w:r>
        <w:rPr>
          <w:b/>
          <w:szCs w:val="24"/>
        </w:rPr>
        <w:t>Определение скидки на торг</w:t>
      </w:r>
    </w:p>
    <w:p w14:paraId="35A5DB78" w14:textId="77777777" w:rsidR="005A6921" w:rsidRDefault="005A6921" w:rsidP="005A6921">
      <w:pPr>
        <w:ind w:firstLine="709"/>
        <w:rPr>
          <w:rFonts w:cs="Times New Roman"/>
          <w:szCs w:val="24"/>
        </w:rPr>
      </w:pPr>
      <w:r>
        <w:rPr>
          <w:rFonts w:cs="Times New Roman"/>
          <w:szCs w:val="24"/>
        </w:rPr>
        <w:t xml:space="preserve">В соответствии с Приложением №12 Методических указаний границы диапазона скидки на торг для квартир с активным рынком составляют от 2-6%, среднее значение составляет 4%, для неактивного рынка диапазон составляет 4-14%, среднее значение составляет 8%. </w:t>
      </w:r>
    </w:p>
    <w:p w14:paraId="36E1627C" w14:textId="77777777" w:rsidR="005A6921" w:rsidRDefault="005A6921" w:rsidP="005A6921">
      <w:pPr>
        <w:rPr>
          <w:color w:val="000000"/>
          <w:lang w:bidi="ru-RU"/>
        </w:rPr>
      </w:pPr>
      <w:r>
        <w:rPr>
          <w:color w:val="000000"/>
        </w:rPr>
        <w:t xml:space="preserve">Город Якутск - </w:t>
      </w:r>
      <w:r>
        <w:rPr>
          <w:color w:val="000000"/>
          <w:lang w:bidi="ru-RU"/>
        </w:rPr>
        <w:t>столица Республики Саха (Якутия), являющийся крупным административным центром республиканского и федерального значения, где сосредоточен значительный промышленный, культурный и научный потенциал Якутии, обеспечивающий высокий уровень таких показателей как, уровень социально-экономического развития, плотность населения, миграционные процессы, состояние инфраструктуры и т.д., что соответственно оказывает влияние на уровень доходов населения, которые формируют спрос на объекты недвижимости аналогичные оцениваемым.</w:t>
      </w:r>
    </w:p>
    <w:p w14:paraId="7F8C0B5B" w14:textId="77777777" w:rsidR="005A6921" w:rsidRDefault="005A6921" w:rsidP="005A6921">
      <w:pPr>
        <w:rPr>
          <w:color w:val="000000"/>
          <w:lang w:bidi="ru-RU"/>
        </w:rPr>
      </w:pPr>
      <w:r>
        <w:rPr>
          <w:color w:val="000000"/>
          <w:lang w:bidi="ru-RU"/>
        </w:rPr>
        <w:t>Рынок недвижимости в районах Республики значительно в целом уступает по отношению к г. Якутску по активности. Характеризуется большим разбросом цен на подобные объекты недвижимости, ограниченным количеством продавцов и редкими сделками.</w:t>
      </w:r>
    </w:p>
    <w:p w14:paraId="3A9C99DF" w14:textId="77777777" w:rsidR="005A6921" w:rsidRDefault="005A6921" w:rsidP="005A6921">
      <w:pPr>
        <w:ind w:firstLine="709"/>
        <w:rPr>
          <w:rFonts w:cs="Times New Roman"/>
          <w:szCs w:val="24"/>
        </w:rPr>
      </w:pPr>
      <w:r>
        <w:rPr>
          <w:rFonts w:cs="Times New Roman"/>
          <w:szCs w:val="24"/>
        </w:rPr>
        <w:t xml:space="preserve">Таким образом, </w:t>
      </w:r>
      <w:r>
        <w:t>для целей настоящей кадастровой оценки,</w:t>
      </w:r>
      <w:r>
        <w:rPr>
          <w:rFonts w:cs="Times New Roman"/>
          <w:szCs w:val="24"/>
        </w:rPr>
        <w:t xml:space="preserve"> корректировка на торг для жилых помещений принята равной 4% для квартир, расположенных в г.Якутске и 8% для прочих ГНП.</w:t>
      </w:r>
    </w:p>
    <w:p w14:paraId="24C7C493" w14:textId="10328A90" w:rsidR="005A6921" w:rsidRDefault="005A6921" w:rsidP="005A6921">
      <w:pPr>
        <w:suppressAutoHyphens/>
        <w:adjustRightInd w:val="0"/>
        <w:ind w:firstLine="709"/>
        <w:textAlignment w:val="baseline"/>
        <w:rPr>
          <w:rFonts w:eastAsia="Times New Roman" w:cs="Times New Roman"/>
          <w:spacing w:val="-5"/>
          <w:szCs w:val="24"/>
        </w:rPr>
      </w:pPr>
      <w:r>
        <w:rPr>
          <w:rFonts w:eastAsia="Times New Roman" w:cs="Times New Roman"/>
          <w:spacing w:val="-5"/>
          <w:szCs w:val="24"/>
        </w:rPr>
        <w:t>Для индивидуальных гаражей корректировка на торг принята на основании справочника оценщика недвижимости под редакцией Л. А. Лейфера «Производственно-складская недвижимость и сходные типы объектов», Нижний Новгород, 2018.</w:t>
      </w:r>
    </w:p>
    <w:p w14:paraId="32D83C56" w14:textId="56C4A1CA" w:rsidR="005A6921" w:rsidRDefault="005A6921" w:rsidP="005A6921">
      <w:pPr>
        <w:rPr>
          <w:lang w:eastAsia="ru-RU" w:bidi="hi-IN"/>
        </w:rPr>
      </w:pPr>
    </w:p>
    <w:p w14:paraId="507FA3B7" w14:textId="35B6A517" w:rsidR="008B2763" w:rsidRDefault="008B2763" w:rsidP="005A6921">
      <w:pPr>
        <w:rPr>
          <w:lang w:eastAsia="ru-RU" w:bidi="hi-IN"/>
        </w:rPr>
      </w:pPr>
    </w:p>
    <w:p w14:paraId="3AE82974" w14:textId="4D71DBDD" w:rsidR="008B2763" w:rsidRDefault="008B2763" w:rsidP="005A6921">
      <w:pPr>
        <w:rPr>
          <w:lang w:eastAsia="ru-RU" w:bidi="hi-IN"/>
        </w:rPr>
      </w:pPr>
    </w:p>
    <w:p w14:paraId="240C8601" w14:textId="582E6673" w:rsidR="008B2763" w:rsidRDefault="008B2763" w:rsidP="005A6921">
      <w:pPr>
        <w:rPr>
          <w:lang w:eastAsia="ru-RU" w:bidi="hi-IN"/>
        </w:rPr>
      </w:pPr>
    </w:p>
    <w:p w14:paraId="071D3394" w14:textId="07EA8741" w:rsidR="008B2763" w:rsidRDefault="008B2763" w:rsidP="005A6921">
      <w:pPr>
        <w:rPr>
          <w:lang w:eastAsia="ru-RU" w:bidi="hi-IN"/>
        </w:rPr>
      </w:pPr>
    </w:p>
    <w:p w14:paraId="4B537558" w14:textId="7B785513" w:rsidR="008B2763" w:rsidRDefault="008B2763" w:rsidP="005A6921">
      <w:pPr>
        <w:rPr>
          <w:lang w:eastAsia="ru-RU" w:bidi="hi-IN"/>
        </w:rPr>
      </w:pPr>
    </w:p>
    <w:p w14:paraId="5264A9EB" w14:textId="7718EB0C" w:rsidR="008B2763" w:rsidRDefault="008B2763" w:rsidP="005A6921">
      <w:pPr>
        <w:rPr>
          <w:lang w:eastAsia="ru-RU" w:bidi="hi-IN"/>
        </w:rPr>
      </w:pPr>
    </w:p>
    <w:p w14:paraId="11FE3049" w14:textId="3BFA8584" w:rsidR="008B2763" w:rsidRDefault="008B2763" w:rsidP="005A6921">
      <w:pPr>
        <w:rPr>
          <w:lang w:eastAsia="ru-RU" w:bidi="hi-IN"/>
        </w:rPr>
      </w:pPr>
    </w:p>
    <w:p w14:paraId="14E0E4DC" w14:textId="20F5077C" w:rsidR="008B2763" w:rsidRDefault="008B2763" w:rsidP="005A6921">
      <w:pPr>
        <w:rPr>
          <w:lang w:eastAsia="ru-RU" w:bidi="hi-IN"/>
        </w:rPr>
      </w:pPr>
    </w:p>
    <w:p w14:paraId="732CE6C7" w14:textId="5A75C673" w:rsidR="008B2763" w:rsidRDefault="008B2763" w:rsidP="005A6921">
      <w:pPr>
        <w:rPr>
          <w:lang w:eastAsia="ru-RU" w:bidi="hi-IN"/>
        </w:rPr>
      </w:pPr>
    </w:p>
    <w:p w14:paraId="734B0B2E" w14:textId="5DB9274F" w:rsidR="008B2763" w:rsidRDefault="008B2763" w:rsidP="005A6921">
      <w:pPr>
        <w:rPr>
          <w:lang w:eastAsia="ru-RU" w:bidi="hi-IN"/>
        </w:rPr>
      </w:pPr>
    </w:p>
    <w:p w14:paraId="2325E73B" w14:textId="491FDD54" w:rsidR="008B2763" w:rsidRDefault="008B2763" w:rsidP="005A6921">
      <w:pPr>
        <w:rPr>
          <w:lang w:eastAsia="ru-RU" w:bidi="hi-IN"/>
        </w:rPr>
      </w:pPr>
    </w:p>
    <w:p w14:paraId="667AC351" w14:textId="12BBFFAE" w:rsidR="008B2763" w:rsidRDefault="008B2763" w:rsidP="005A6921">
      <w:pPr>
        <w:rPr>
          <w:lang w:eastAsia="ru-RU" w:bidi="hi-IN"/>
        </w:rPr>
      </w:pPr>
    </w:p>
    <w:p w14:paraId="514C7DD7" w14:textId="192B2345" w:rsidR="008B2763" w:rsidRDefault="008B2763" w:rsidP="005A6921">
      <w:pPr>
        <w:rPr>
          <w:lang w:eastAsia="ru-RU" w:bidi="hi-IN"/>
        </w:rPr>
      </w:pPr>
    </w:p>
    <w:p w14:paraId="26F4D5B3" w14:textId="77777777" w:rsidR="008B2763" w:rsidRDefault="008B2763" w:rsidP="005A6921">
      <w:pPr>
        <w:rPr>
          <w:lang w:eastAsia="ru-RU" w:bidi="hi-IN"/>
        </w:rPr>
      </w:pPr>
    </w:p>
    <w:p w14:paraId="30BB659E" w14:textId="62E62931" w:rsidR="005A6921" w:rsidRPr="005A6921" w:rsidRDefault="005A6921" w:rsidP="005A6921">
      <w:pPr>
        <w:rPr>
          <w:lang w:eastAsia="ru-RU" w:bidi="hi-IN"/>
        </w:rPr>
      </w:pPr>
      <w:r w:rsidRPr="00F4217A">
        <w:rPr>
          <w:lang w:eastAsia="ru-RU" w:bidi="hi-IN"/>
        </w:rPr>
        <w:t xml:space="preserve">Рисунок </w:t>
      </w:r>
      <w:r w:rsidRPr="00F4217A">
        <w:rPr>
          <w:lang w:eastAsia="ru-RU" w:bidi="hi-IN"/>
        </w:rPr>
        <w:fldChar w:fldCharType="begin"/>
      </w:r>
      <w:r w:rsidRPr="00F4217A">
        <w:rPr>
          <w:lang w:eastAsia="ru-RU" w:bidi="hi-IN"/>
        </w:rPr>
        <w:instrText xml:space="preserve"> SEQ Рисунок \* ARABIC </w:instrText>
      </w:r>
      <w:r w:rsidRPr="00F4217A">
        <w:rPr>
          <w:lang w:eastAsia="ru-RU" w:bidi="hi-IN"/>
        </w:rPr>
        <w:fldChar w:fldCharType="separate"/>
      </w:r>
      <w:r w:rsidR="00FD2769">
        <w:rPr>
          <w:noProof/>
          <w:lang w:eastAsia="ru-RU" w:bidi="hi-IN"/>
        </w:rPr>
        <w:t>48</w:t>
      </w:r>
      <w:r w:rsidRPr="00F4217A">
        <w:rPr>
          <w:lang w:eastAsia="ru-RU" w:bidi="hi-IN"/>
        </w:rPr>
        <w:fldChar w:fldCharType="end"/>
      </w:r>
      <w:r w:rsidRPr="00F4217A">
        <w:rPr>
          <w:lang w:eastAsia="ru-RU" w:bidi="hi-IN"/>
        </w:rPr>
        <w:t xml:space="preserve">. </w:t>
      </w:r>
      <w:r w:rsidRPr="005A6921">
        <w:rPr>
          <w:rFonts w:eastAsia="Times New Roman" w:cs="Times New Roman"/>
          <w:szCs w:val="24"/>
          <w:lang w:eastAsia="ru-RU"/>
        </w:rPr>
        <w:t>Границы расширенного интервала значений скидки на торг.</w:t>
      </w:r>
    </w:p>
    <w:p w14:paraId="7DFA8163" w14:textId="77777777" w:rsidR="005A6921" w:rsidRPr="005A6921" w:rsidRDefault="005A6921" w:rsidP="005A6921">
      <w:pPr>
        <w:suppressAutoHyphens/>
        <w:adjustRightInd w:val="0"/>
        <w:ind w:firstLine="709"/>
        <w:textAlignment w:val="baseline"/>
        <w:rPr>
          <w:rFonts w:eastAsia="Times New Roman" w:cs="Times New Roman"/>
          <w:spacing w:val="-5"/>
          <w:szCs w:val="24"/>
        </w:rPr>
      </w:pPr>
    </w:p>
    <w:p w14:paraId="1ECCF699" w14:textId="67594E17" w:rsidR="005A6921" w:rsidRDefault="005A6921" w:rsidP="005A6921">
      <w:pPr>
        <w:suppressAutoHyphens/>
        <w:adjustRightInd w:val="0"/>
        <w:ind w:firstLine="0"/>
        <w:jc w:val="center"/>
        <w:textAlignment w:val="baseline"/>
        <w:rPr>
          <w:rFonts w:eastAsia="Times New Roman" w:cs="Times New Roman"/>
          <w:b/>
          <w:spacing w:val="-5"/>
          <w:szCs w:val="24"/>
        </w:rPr>
      </w:pPr>
      <w:r>
        <w:rPr>
          <w:noProof/>
          <w:lang w:eastAsia="ru-RU"/>
        </w:rPr>
        <w:drawing>
          <wp:inline distT="0" distB="0" distL="0" distR="0" wp14:anchorId="6AA896BB" wp14:editId="1F64D652">
            <wp:extent cx="5382677" cy="3957851"/>
            <wp:effectExtent l="0" t="0" r="8890" b="508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249">
                      <a:extLst>
                        <a:ext uri="{28A0092B-C50C-407E-A947-70E740481C1C}">
                          <a14:useLocalDpi xmlns:a14="http://schemas.microsoft.com/office/drawing/2010/main" val="0"/>
                        </a:ext>
                      </a:extLst>
                    </a:blip>
                    <a:srcRect l="35435" t="29076" r="33620" b="30444"/>
                    <a:stretch>
                      <a:fillRect/>
                    </a:stretch>
                  </pic:blipFill>
                  <pic:spPr bwMode="auto">
                    <a:xfrm>
                      <a:off x="0" y="0"/>
                      <a:ext cx="5396261" cy="3967839"/>
                    </a:xfrm>
                    <a:prstGeom prst="rect">
                      <a:avLst/>
                    </a:prstGeom>
                    <a:noFill/>
                    <a:ln>
                      <a:noFill/>
                    </a:ln>
                  </pic:spPr>
                </pic:pic>
              </a:graphicData>
            </a:graphic>
          </wp:inline>
        </w:drawing>
      </w:r>
    </w:p>
    <w:p w14:paraId="4E4BD346" w14:textId="77777777" w:rsidR="005A6921" w:rsidRDefault="005A6921" w:rsidP="005A6921">
      <w:pPr>
        <w:suppressAutoHyphens/>
        <w:adjustRightInd w:val="0"/>
        <w:ind w:firstLine="0"/>
        <w:textAlignment w:val="baseline"/>
        <w:rPr>
          <w:rFonts w:eastAsia="Times New Roman" w:cs="Times New Roman"/>
          <w:b/>
          <w:spacing w:val="-5"/>
          <w:szCs w:val="24"/>
        </w:rPr>
      </w:pPr>
    </w:p>
    <w:p w14:paraId="4DF4F2E1" w14:textId="77777777" w:rsidR="005A6921" w:rsidRDefault="005A6921" w:rsidP="005A6921">
      <w:pPr>
        <w:ind w:firstLine="708"/>
        <w:rPr>
          <w:b/>
          <w:szCs w:val="24"/>
        </w:rPr>
      </w:pPr>
      <w:r>
        <w:rPr>
          <w:b/>
          <w:szCs w:val="24"/>
        </w:rPr>
        <w:t xml:space="preserve">Приведение рыночной информации к дате оценки. </w:t>
      </w:r>
    </w:p>
    <w:p w14:paraId="49168265" w14:textId="77777777" w:rsidR="005A6921" w:rsidRDefault="005A6921" w:rsidP="005A6921">
      <w:pPr>
        <w:ind w:firstLine="709"/>
        <w:rPr>
          <w:rFonts w:cs="Times New Roman"/>
          <w:szCs w:val="24"/>
          <w:lang w:val="x-none"/>
        </w:rPr>
      </w:pPr>
      <w:r>
        <w:rPr>
          <w:rFonts w:cs="Times New Roman"/>
          <w:szCs w:val="24"/>
          <w:lang w:val="x-none"/>
        </w:rPr>
        <w:t>В связи с тем, что в процессе сбора рыночной информации выявлены цены сделок, цены предложений на объекты недвижимости за период 01.01.201</w:t>
      </w:r>
      <w:r>
        <w:rPr>
          <w:rFonts w:cs="Times New Roman"/>
          <w:szCs w:val="24"/>
        </w:rPr>
        <w:t>6</w:t>
      </w:r>
      <w:r>
        <w:rPr>
          <w:rFonts w:cs="Times New Roman"/>
          <w:szCs w:val="24"/>
          <w:lang w:val="x-none"/>
        </w:rPr>
        <w:t xml:space="preserve"> по 31.12.2018  гг., а также учитывая разный тип рыночной информации, необходимо привести рыночную информацию к сопоставимому виду. Для целей настоящей оценки, работниками бюджетного учреждения, осуществляющими определение кадастровой стоимости, определены корректировки учитывающие изменения величины цены сделки, цены предложения по объектам недвижимости в течение определенного периода, а также учитывающей тип рыночной информации (сделка, цена предложения). </w:t>
      </w:r>
    </w:p>
    <w:p w14:paraId="7F9542AA" w14:textId="77777777" w:rsidR="005A6921" w:rsidRDefault="005A6921" w:rsidP="005A6921">
      <w:pPr>
        <w:ind w:firstLine="709"/>
        <w:rPr>
          <w:rFonts w:cs="Times New Roman"/>
          <w:szCs w:val="24"/>
          <w:lang w:val="x-none"/>
        </w:rPr>
      </w:pPr>
      <w:r>
        <w:rPr>
          <w:rFonts w:cs="Times New Roman"/>
          <w:szCs w:val="24"/>
          <w:lang w:val="x-none"/>
        </w:rPr>
        <w:t>На основе информации о тенденциях изменения уровня рыночных цен для целей настоящей оценки за период с 01.01.201</w:t>
      </w:r>
      <w:r>
        <w:rPr>
          <w:rFonts w:cs="Times New Roman"/>
          <w:szCs w:val="24"/>
        </w:rPr>
        <w:t>6</w:t>
      </w:r>
      <w:r>
        <w:rPr>
          <w:rFonts w:cs="Times New Roman"/>
          <w:szCs w:val="24"/>
          <w:lang w:val="x-none"/>
        </w:rPr>
        <w:t xml:space="preserve"> по 31.12.2018 гг., определены </w:t>
      </w:r>
      <w:r>
        <w:rPr>
          <w:rFonts w:cs="Times New Roman"/>
          <w:szCs w:val="24"/>
        </w:rPr>
        <w:t>поправки на дату оценки по сегменту «жилые помещения - квартиры» и «нежилые помещения – гаражи»</w:t>
      </w:r>
      <w:r>
        <w:rPr>
          <w:rFonts w:cs="Times New Roman"/>
          <w:szCs w:val="24"/>
          <w:lang w:val="x-none"/>
        </w:rPr>
        <w:t xml:space="preserve">. </w:t>
      </w:r>
    </w:p>
    <w:p w14:paraId="1C2B7C21" w14:textId="77777777" w:rsidR="005A6921" w:rsidRDefault="005A6921" w:rsidP="005A6921">
      <w:pPr>
        <w:ind w:firstLine="709"/>
        <w:rPr>
          <w:rFonts w:cs="Times New Roman"/>
          <w:szCs w:val="24"/>
          <w:lang w:val="x-none"/>
        </w:rPr>
      </w:pPr>
      <w:r>
        <w:rPr>
          <w:rFonts w:cs="Times New Roman"/>
          <w:szCs w:val="24"/>
          <w:lang w:val="x-none"/>
        </w:rPr>
        <w:t>Для определения поправки на дату</w:t>
      </w:r>
      <w:r>
        <w:rPr>
          <w:rFonts w:cs="Times New Roman"/>
          <w:szCs w:val="24"/>
        </w:rPr>
        <w:t xml:space="preserve"> продажи</w:t>
      </w:r>
      <w:r>
        <w:rPr>
          <w:rFonts w:cs="Times New Roman"/>
          <w:szCs w:val="24"/>
          <w:lang w:val="x-none"/>
        </w:rPr>
        <w:t xml:space="preserve"> для многоквартирной жилой застройки использовались индексы цен</w:t>
      </w:r>
      <w:r>
        <w:rPr>
          <w:rFonts w:cs="Times New Roman"/>
          <w:szCs w:val="24"/>
        </w:rPr>
        <w:t xml:space="preserve"> первичном и вторичном рынках жилья</w:t>
      </w:r>
      <w:r>
        <w:rPr>
          <w:rFonts w:cs="Times New Roman"/>
          <w:szCs w:val="24"/>
          <w:lang w:val="x-none"/>
        </w:rPr>
        <w:t xml:space="preserve"> жилой недвижимости г.</w:t>
      </w:r>
      <w:r>
        <w:rPr>
          <w:rFonts w:cs="Times New Roman"/>
          <w:szCs w:val="24"/>
        </w:rPr>
        <w:t>Якутска.</w:t>
      </w:r>
      <w:r>
        <w:rPr>
          <w:rFonts w:cs="Times New Roman"/>
          <w:szCs w:val="24"/>
          <w:lang w:val="x-none"/>
        </w:rPr>
        <w:t xml:space="preserve"> Рынок жилой недвижимости является эластичным и наиболее развитым сегментом рынка недвижимости, отражающим основные тенденции изменения уровня рыночных цен в соответствии с конъюнктурой рынка.</w:t>
      </w:r>
    </w:p>
    <w:p w14:paraId="4B45C7F1" w14:textId="540EC4C7" w:rsidR="005A6921" w:rsidRDefault="005A6921" w:rsidP="005A6921">
      <w:pPr>
        <w:ind w:firstLine="709"/>
        <w:rPr>
          <w:rFonts w:cs="Times New Roman"/>
          <w:szCs w:val="24"/>
          <w:lang w:val="x-none"/>
        </w:rPr>
      </w:pPr>
      <w:r>
        <w:rPr>
          <w:rFonts w:cs="Times New Roman"/>
          <w:szCs w:val="24"/>
          <w:lang w:val="x-none"/>
        </w:rPr>
        <w:t xml:space="preserve">Для приведения стоимости объектов аналогов на дату </w:t>
      </w:r>
      <w:r>
        <w:rPr>
          <w:rFonts w:cs="Times New Roman"/>
          <w:szCs w:val="24"/>
        </w:rPr>
        <w:t xml:space="preserve">оценки </w:t>
      </w:r>
      <w:r>
        <w:rPr>
          <w:rFonts w:cs="Times New Roman"/>
          <w:szCs w:val="24"/>
          <w:lang w:val="x-none"/>
        </w:rPr>
        <w:t>01.01.2019 г. была рассмотрена динамика изменения стоимости по сегменту рынка жилой недвижимости в</w:t>
      </w:r>
      <w:r>
        <w:rPr>
          <w:rFonts w:cs="Times New Roman"/>
          <w:szCs w:val="24"/>
        </w:rPr>
        <w:t xml:space="preserve"> г.Якутске.</w:t>
      </w:r>
      <w:r>
        <w:rPr>
          <w:rFonts w:cs="Times New Roman"/>
          <w:szCs w:val="24"/>
          <w:lang w:val="x-none"/>
        </w:rPr>
        <w:t xml:space="preserve"> Анализ выполнен на основании данных</w:t>
      </w:r>
      <w:r>
        <w:rPr>
          <w:rFonts w:cs="Times New Roman"/>
          <w:szCs w:val="24"/>
        </w:rPr>
        <w:t xml:space="preserve"> Территориального органа Федеральной службы государственной статистики по РС (Я) по индексам цен на первичном и вторичном рынке жилья</w:t>
      </w:r>
      <w:r>
        <w:rPr>
          <w:rStyle w:val="afd"/>
          <w:rFonts w:cs="Times New Roman"/>
          <w:szCs w:val="24"/>
        </w:rPr>
        <w:footnoteReference w:id="20"/>
      </w:r>
      <w:r>
        <w:rPr>
          <w:rFonts w:cs="Times New Roman"/>
          <w:szCs w:val="24"/>
        </w:rPr>
        <w:t xml:space="preserve">. </w:t>
      </w:r>
      <w:r>
        <w:rPr>
          <w:rFonts w:cs="Times New Roman"/>
          <w:szCs w:val="24"/>
          <w:lang w:val="x-none"/>
        </w:rPr>
        <w:t>Сегмент рынка многоквартирной жилой застройки является наиболее развитым и может классифицироваться по определенным критериям</w:t>
      </w:r>
      <w:r>
        <w:rPr>
          <w:rFonts w:cs="Times New Roman"/>
          <w:szCs w:val="24"/>
        </w:rPr>
        <w:t xml:space="preserve">. </w:t>
      </w:r>
      <w:r>
        <w:rPr>
          <w:rFonts w:cs="Times New Roman"/>
          <w:szCs w:val="24"/>
          <w:lang w:val="x-none"/>
        </w:rPr>
        <w:t>Расчет приведен в нижеследующей таблице.</w:t>
      </w:r>
    </w:p>
    <w:p w14:paraId="559FF7BC" w14:textId="77777777" w:rsidR="005A6921" w:rsidRDefault="005A6921" w:rsidP="005A6921">
      <w:pPr>
        <w:ind w:firstLine="709"/>
        <w:rPr>
          <w:rFonts w:cs="Times New Roman"/>
          <w:szCs w:val="24"/>
        </w:rPr>
      </w:pPr>
    </w:p>
    <w:p w14:paraId="00701B69" w14:textId="1345927C" w:rsidR="005A6921" w:rsidRPr="001D4D31" w:rsidRDefault="005A6921" w:rsidP="005A6921">
      <w:pPr>
        <w:pStyle w:val="afffffff0"/>
      </w:pPr>
      <w:r w:rsidRPr="001D4D31">
        <w:t xml:space="preserve">Таблица </w:t>
      </w:r>
      <w:r w:rsidR="00A90944">
        <w:fldChar w:fldCharType="begin"/>
      </w:r>
      <w:r w:rsidR="00A90944">
        <w:instrText xml:space="preserve"> SEQ Таблица \* ARABIC</w:instrText>
      </w:r>
      <w:r w:rsidR="00A90944">
        <w:instrText xml:space="preserve"> </w:instrText>
      </w:r>
      <w:r w:rsidR="00A90944">
        <w:fldChar w:fldCharType="separate"/>
      </w:r>
      <w:r w:rsidR="00FD2769">
        <w:rPr>
          <w:noProof/>
        </w:rPr>
        <w:t>16</w:t>
      </w:r>
      <w:r w:rsidR="00A90944">
        <w:rPr>
          <w:noProof/>
        </w:rPr>
        <w:fldChar w:fldCharType="end"/>
      </w:r>
      <w:r w:rsidRPr="001D4D31">
        <w:t xml:space="preserve"> </w:t>
      </w:r>
      <w:r>
        <w:t>Расчет поправок на дату для жилой недвижимости</w:t>
      </w:r>
      <w:r w:rsidRPr="001D4D31">
        <w:t>.</w:t>
      </w:r>
    </w:p>
    <w:tbl>
      <w:tblPr>
        <w:tblStyle w:val="af2"/>
        <w:tblW w:w="5000" w:type="pct"/>
        <w:jc w:val="center"/>
        <w:tblLook w:val="04A0" w:firstRow="1" w:lastRow="0" w:firstColumn="1" w:lastColumn="0" w:noHBand="0" w:noVBand="1"/>
      </w:tblPr>
      <w:tblGrid>
        <w:gridCol w:w="1772"/>
        <w:gridCol w:w="2015"/>
        <w:gridCol w:w="2480"/>
        <w:gridCol w:w="3078"/>
      </w:tblGrid>
      <w:tr w:rsidR="005A6921" w14:paraId="379363DC" w14:textId="77777777" w:rsidTr="008F5144">
        <w:trPr>
          <w:trHeight w:val="20"/>
          <w:tblHeader/>
          <w:jc w:val="center"/>
        </w:trPr>
        <w:tc>
          <w:tcPr>
            <w:tcW w:w="948"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hideMark/>
          </w:tcPr>
          <w:p w14:paraId="77B1A7C0" w14:textId="77777777" w:rsidR="005A6921" w:rsidRPr="008B2763" w:rsidRDefault="005A6921" w:rsidP="008F5144">
            <w:pPr>
              <w:ind w:firstLine="22"/>
              <w:jc w:val="center"/>
              <w:rPr>
                <w:rFonts w:cs="Times New Roman"/>
                <w:b/>
                <w:sz w:val="22"/>
              </w:rPr>
            </w:pPr>
            <w:r w:rsidRPr="008B2763">
              <w:rPr>
                <w:rFonts w:cs="Times New Roman"/>
                <w:b/>
                <w:sz w:val="22"/>
              </w:rPr>
              <w:t>Год</w:t>
            </w:r>
          </w:p>
        </w:tc>
        <w:tc>
          <w:tcPr>
            <w:tcW w:w="1078"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hideMark/>
          </w:tcPr>
          <w:p w14:paraId="757D748C" w14:textId="77777777" w:rsidR="005A6921" w:rsidRPr="008B2763" w:rsidRDefault="005A6921" w:rsidP="008F5144">
            <w:pPr>
              <w:ind w:firstLine="22"/>
              <w:jc w:val="center"/>
              <w:rPr>
                <w:rFonts w:cs="Times New Roman"/>
                <w:b/>
                <w:sz w:val="22"/>
              </w:rPr>
            </w:pPr>
            <w:r w:rsidRPr="008B2763">
              <w:rPr>
                <w:rFonts w:cs="Times New Roman"/>
                <w:b/>
                <w:sz w:val="22"/>
              </w:rPr>
              <w:t>Квартал</w:t>
            </w:r>
          </w:p>
        </w:tc>
        <w:tc>
          <w:tcPr>
            <w:tcW w:w="1327"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hideMark/>
          </w:tcPr>
          <w:p w14:paraId="68ED0C2D" w14:textId="77777777" w:rsidR="005A6921" w:rsidRPr="008B2763" w:rsidRDefault="005A6921" w:rsidP="008F5144">
            <w:pPr>
              <w:ind w:firstLine="22"/>
              <w:jc w:val="center"/>
              <w:rPr>
                <w:rFonts w:cs="Times New Roman"/>
                <w:b/>
                <w:sz w:val="22"/>
              </w:rPr>
            </w:pPr>
            <w:r w:rsidRPr="008B2763">
              <w:rPr>
                <w:rFonts w:cs="Times New Roman"/>
                <w:b/>
                <w:sz w:val="22"/>
              </w:rPr>
              <w:t>%</w:t>
            </w:r>
          </w:p>
        </w:tc>
        <w:tc>
          <w:tcPr>
            <w:tcW w:w="1647"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hideMark/>
          </w:tcPr>
          <w:p w14:paraId="68F91B26" w14:textId="77777777" w:rsidR="005A6921" w:rsidRPr="008B2763" w:rsidRDefault="005A6921" w:rsidP="008F5144">
            <w:pPr>
              <w:ind w:firstLine="22"/>
              <w:jc w:val="center"/>
              <w:rPr>
                <w:rFonts w:cs="Times New Roman"/>
                <w:b/>
                <w:sz w:val="22"/>
              </w:rPr>
            </w:pPr>
            <w:r w:rsidRPr="008B2763">
              <w:rPr>
                <w:rFonts w:cs="Times New Roman"/>
                <w:b/>
                <w:sz w:val="22"/>
              </w:rPr>
              <w:t>Поправка на дату</w:t>
            </w:r>
          </w:p>
        </w:tc>
      </w:tr>
      <w:tr w:rsidR="005A6921" w14:paraId="51A03140" w14:textId="77777777" w:rsidTr="008F5144">
        <w:trPr>
          <w:trHeight w:val="20"/>
          <w:jc w:val="center"/>
        </w:trPr>
        <w:tc>
          <w:tcPr>
            <w:tcW w:w="948" w:type="pct"/>
            <w:tcBorders>
              <w:top w:val="single" w:sz="4" w:space="0" w:color="auto"/>
              <w:left w:val="single" w:sz="4" w:space="0" w:color="auto"/>
              <w:bottom w:val="single" w:sz="4" w:space="0" w:color="auto"/>
              <w:right w:val="single" w:sz="4" w:space="0" w:color="auto"/>
            </w:tcBorders>
            <w:noWrap/>
            <w:hideMark/>
          </w:tcPr>
          <w:p w14:paraId="2C6ACDB5" w14:textId="77777777" w:rsidR="005A6921" w:rsidRPr="008B2763" w:rsidRDefault="005A6921" w:rsidP="008F5144">
            <w:pPr>
              <w:ind w:firstLine="0"/>
              <w:rPr>
                <w:rFonts w:cs="Times New Roman"/>
                <w:sz w:val="22"/>
              </w:rPr>
            </w:pPr>
            <w:r w:rsidRPr="008B2763">
              <w:rPr>
                <w:rFonts w:cs="Times New Roman"/>
                <w:sz w:val="22"/>
              </w:rPr>
              <w:t>2016</w:t>
            </w:r>
          </w:p>
        </w:tc>
        <w:tc>
          <w:tcPr>
            <w:tcW w:w="1078" w:type="pct"/>
            <w:tcBorders>
              <w:top w:val="single" w:sz="4" w:space="0" w:color="auto"/>
              <w:left w:val="single" w:sz="4" w:space="0" w:color="auto"/>
              <w:bottom w:val="single" w:sz="4" w:space="0" w:color="auto"/>
              <w:right w:val="single" w:sz="4" w:space="0" w:color="auto"/>
            </w:tcBorders>
            <w:noWrap/>
            <w:hideMark/>
          </w:tcPr>
          <w:p w14:paraId="186269FB" w14:textId="77777777" w:rsidR="005A6921" w:rsidRPr="008B2763" w:rsidRDefault="005A6921" w:rsidP="008F5144">
            <w:pPr>
              <w:ind w:firstLine="0"/>
              <w:jc w:val="center"/>
              <w:rPr>
                <w:rFonts w:cs="Times New Roman"/>
                <w:sz w:val="22"/>
              </w:rPr>
            </w:pPr>
            <w:r w:rsidRPr="008B2763">
              <w:rPr>
                <w:rFonts w:cs="Times New Roman"/>
                <w:sz w:val="22"/>
              </w:rPr>
              <w:t>1 квартал</w:t>
            </w:r>
          </w:p>
        </w:tc>
        <w:tc>
          <w:tcPr>
            <w:tcW w:w="1327" w:type="pct"/>
            <w:tcBorders>
              <w:top w:val="single" w:sz="4" w:space="0" w:color="auto"/>
              <w:left w:val="single" w:sz="4" w:space="0" w:color="auto"/>
              <w:bottom w:val="single" w:sz="4" w:space="0" w:color="auto"/>
              <w:right w:val="single" w:sz="4" w:space="0" w:color="auto"/>
            </w:tcBorders>
            <w:noWrap/>
            <w:hideMark/>
          </w:tcPr>
          <w:p w14:paraId="128871C4" w14:textId="77777777" w:rsidR="005A6921" w:rsidRPr="008B2763" w:rsidRDefault="005A6921" w:rsidP="008F5144">
            <w:pPr>
              <w:ind w:firstLine="0"/>
              <w:rPr>
                <w:rFonts w:cs="Times New Roman"/>
                <w:sz w:val="22"/>
              </w:rPr>
            </w:pPr>
            <w:r w:rsidRPr="008B2763">
              <w:rPr>
                <w:rFonts w:cs="Times New Roman"/>
                <w:sz w:val="22"/>
              </w:rPr>
              <w:t>105,51%</w:t>
            </w:r>
          </w:p>
        </w:tc>
        <w:tc>
          <w:tcPr>
            <w:tcW w:w="1647" w:type="pct"/>
            <w:tcBorders>
              <w:top w:val="single" w:sz="4" w:space="0" w:color="auto"/>
              <w:left w:val="single" w:sz="4" w:space="0" w:color="auto"/>
              <w:bottom w:val="single" w:sz="4" w:space="0" w:color="auto"/>
              <w:right w:val="single" w:sz="4" w:space="0" w:color="auto"/>
            </w:tcBorders>
            <w:noWrap/>
            <w:hideMark/>
          </w:tcPr>
          <w:p w14:paraId="17812CCB" w14:textId="77777777" w:rsidR="005A6921" w:rsidRPr="008B2763" w:rsidRDefault="005A6921" w:rsidP="008F5144">
            <w:pPr>
              <w:ind w:firstLine="0"/>
              <w:rPr>
                <w:rFonts w:cs="Times New Roman"/>
                <w:sz w:val="22"/>
              </w:rPr>
            </w:pPr>
            <w:r w:rsidRPr="008B2763">
              <w:rPr>
                <w:rFonts w:cs="Times New Roman"/>
                <w:sz w:val="22"/>
              </w:rPr>
              <w:t>1,0551</w:t>
            </w:r>
          </w:p>
        </w:tc>
      </w:tr>
      <w:tr w:rsidR="005A6921" w14:paraId="21C1DB45" w14:textId="77777777" w:rsidTr="008F5144">
        <w:trPr>
          <w:trHeight w:val="20"/>
          <w:jc w:val="center"/>
        </w:trPr>
        <w:tc>
          <w:tcPr>
            <w:tcW w:w="948" w:type="pct"/>
            <w:tcBorders>
              <w:top w:val="single" w:sz="4" w:space="0" w:color="auto"/>
              <w:left w:val="single" w:sz="4" w:space="0" w:color="auto"/>
              <w:bottom w:val="single" w:sz="4" w:space="0" w:color="auto"/>
              <w:right w:val="single" w:sz="4" w:space="0" w:color="auto"/>
            </w:tcBorders>
            <w:noWrap/>
            <w:hideMark/>
          </w:tcPr>
          <w:p w14:paraId="098E455C" w14:textId="77777777" w:rsidR="005A6921" w:rsidRPr="008B2763" w:rsidRDefault="005A6921" w:rsidP="008F5144">
            <w:pPr>
              <w:rPr>
                <w:rFonts w:cs="Times New Roman"/>
                <w:sz w:val="22"/>
              </w:rPr>
            </w:pPr>
          </w:p>
        </w:tc>
        <w:tc>
          <w:tcPr>
            <w:tcW w:w="1078" w:type="pct"/>
            <w:tcBorders>
              <w:top w:val="single" w:sz="4" w:space="0" w:color="auto"/>
              <w:left w:val="single" w:sz="4" w:space="0" w:color="auto"/>
              <w:bottom w:val="single" w:sz="4" w:space="0" w:color="auto"/>
              <w:right w:val="single" w:sz="4" w:space="0" w:color="auto"/>
            </w:tcBorders>
            <w:noWrap/>
            <w:hideMark/>
          </w:tcPr>
          <w:p w14:paraId="32079D7C" w14:textId="77777777" w:rsidR="005A6921" w:rsidRPr="008B2763" w:rsidRDefault="005A6921" w:rsidP="008F5144">
            <w:pPr>
              <w:ind w:firstLine="0"/>
              <w:jc w:val="center"/>
              <w:rPr>
                <w:rFonts w:cs="Times New Roman"/>
                <w:sz w:val="22"/>
              </w:rPr>
            </w:pPr>
            <w:r w:rsidRPr="008B2763">
              <w:rPr>
                <w:rFonts w:cs="Times New Roman"/>
                <w:sz w:val="22"/>
              </w:rPr>
              <w:t>2 квартал</w:t>
            </w:r>
          </w:p>
        </w:tc>
        <w:tc>
          <w:tcPr>
            <w:tcW w:w="1327" w:type="pct"/>
            <w:tcBorders>
              <w:top w:val="single" w:sz="4" w:space="0" w:color="auto"/>
              <w:left w:val="single" w:sz="4" w:space="0" w:color="auto"/>
              <w:bottom w:val="single" w:sz="4" w:space="0" w:color="auto"/>
              <w:right w:val="single" w:sz="4" w:space="0" w:color="auto"/>
            </w:tcBorders>
            <w:noWrap/>
            <w:hideMark/>
          </w:tcPr>
          <w:p w14:paraId="69316753" w14:textId="77777777" w:rsidR="005A6921" w:rsidRPr="008B2763" w:rsidRDefault="005A6921" w:rsidP="008F5144">
            <w:pPr>
              <w:ind w:firstLine="0"/>
              <w:rPr>
                <w:rFonts w:cs="Times New Roman"/>
                <w:sz w:val="22"/>
              </w:rPr>
            </w:pPr>
            <w:r w:rsidRPr="008B2763">
              <w:rPr>
                <w:rFonts w:cs="Times New Roman"/>
                <w:sz w:val="22"/>
              </w:rPr>
              <w:t>101,48%</w:t>
            </w:r>
          </w:p>
        </w:tc>
        <w:tc>
          <w:tcPr>
            <w:tcW w:w="1647" w:type="pct"/>
            <w:tcBorders>
              <w:top w:val="single" w:sz="4" w:space="0" w:color="auto"/>
              <w:left w:val="single" w:sz="4" w:space="0" w:color="auto"/>
              <w:bottom w:val="single" w:sz="4" w:space="0" w:color="auto"/>
              <w:right w:val="single" w:sz="4" w:space="0" w:color="auto"/>
            </w:tcBorders>
            <w:noWrap/>
            <w:hideMark/>
          </w:tcPr>
          <w:p w14:paraId="2755CDB8" w14:textId="77777777" w:rsidR="005A6921" w:rsidRPr="008B2763" w:rsidRDefault="005A6921" w:rsidP="008F5144">
            <w:pPr>
              <w:ind w:firstLine="0"/>
              <w:rPr>
                <w:rFonts w:cs="Times New Roman"/>
                <w:sz w:val="22"/>
              </w:rPr>
            </w:pPr>
            <w:r w:rsidRPr="008B2763">
              <w:rPr>
                <w:rFonts w:cs="Times New Roman"/>
                <w:sz w:val="22"/>
              </w:rPr>
              <w:t>1,0148</w:t>
            </w:r>
          </w:p>
        </w:tc>
      </w:tr>
      <w:tr w:rsidR="005A6921" w14:paraId="3EF5C805" w14:textId="77777777" w:rsidTr="008F5144">
        <w:trPr>
          <w:trHeight w:val="20"/>
          <w:jc w:val="center"/>
        </w:trPr>
        <w:tc>
          <w:tcPr>
            <w:tcW w:w="948" w:type="pct"/>
            <w:tcBorders>
              <w:top w:val="single" w:sz="4" w:space="0" w:color="auto"/>
              <w:left w:val="single" w:sz="4" w:space="0" w:color="auto"/>
              <w:bottom w:val="single" w:sz="4" w:space="0" w:color="auto"/>
              <w:right w:val="single" w:sz="4" w:space="0" w:color="auto"/>
            </w:tcBorders>
            <w:noWrap/>
            <w:hideMark/>
          </w:tcPr>
          <w:p w14:paraId="2505AE39" w14:textId="77777777" w:rsidR="005A6921" w:rsidRPr="008B2763" w:rsidRDefault="005A6921" w:rsidP="008F5144">
            <w:pPr>
              <w:rPr>
                <w:rFonts w:cs="Times New Roman"/>
                <w:sz w:val="22"/>
              </w:rPr>
            </w:pPr>
          </w:p>
        </w:tc>
        <w:tc>
          <w:tcPr>
            <w:tcW w:w="1078" w:type="pct"/>
            <w:tcBorders>
              <w:top w:val="single" w:sz="4" w:space="0" w:color="auto"/>
              <w:left w:val="single" w:sz="4" w:space="0" w:color="auto"/>
              <w:bottom w:val="single" w:sz="4" w:space="0" w:color="auto"/>
              <w:right w:val="single" w:sz="4" w:space="0" w:color="auto"/>
            </w:tcBorders>
            <w:noWrap/>
            <w:hideMark/>
          </w:tcPr>
          <w:p w14:paraId="65F99779" w14:textId="77777777" w:rsidR="005A6921" w:rsidRPr="008B2763" w:rsidRDefault="005A6921" w:rsidP="008F5144">
            <w:pPr>
              <w:ind w:firstLine="0"/>
              <w:jc w:val="center"/>
              <w:rPr>
                <w:rFonts w:cs="Times New Roman"/>
                <w:sz w:val="22"/>
              </w:rPr>
            </w:pPr>
            <w:r w:rsidRPr="008B2763">
              <w:rPr>
                <w:rFonts w:cs="Times New Roman"/>
                <w:sz w:val="22"/>
              </w:rPr>
              <w:t>3 квартал</w:t>
            </w:r>
          </w:p>
        </w:tc>
        <w:tc>
          <w:tcPr>
            <w:tcW w:w="1327" w:type="pct"/>
            <w:tcBorders>
              <w:top w:val="single" w:sz="4" w:space="0" w:color="auto"/>
              <w:left w:val="single" w:sz="4" w:space="0" w:color="auto"/>
              <w:bottom w:val="single" w:sz="4" w:space="0" w:color="auto"/>
              <w:right w:val="single" w:sz="4" w:space="0" w:color="auto"/>
            </w:tcBorders>
            <w:noWrap/>
            <w:hideMark/>
          </w:tcPr>
          <w:p w14:paraId="3334E3D6" w14:textId="77777777" w:rsidR="005A6921" w:rsidRPr="008B2763" w:rsidRDefault="005A6921" w:rsidP="008F5144">
            <w:pPr>
              <w:ind w:firstLine="0"/>
              <w:rPr>
                <w:rFonts w:cs="Times New Roman"/>
                <w:sz w:val="22"/>
              </w:rPr>
            </w:pPr>
            <w:r w:rsidRPr="008B2763">
              <w:rPr>
                <w:rFonts w:cs="Times New Roman"/>
                <w:sz w:val="22"/>
              </w:rPr>
              <w:t>107,78%</w:t>
            </w:r>
          </w:p>
        </w:tc>
        <w:tc>
          <w:tcPr>
            <w:tcW w:w="1647" w:type="pct"/>
            <w:tcBorders>
              <w:top w:val="single" w:sz="4" w:space="0" w:color="auto"/>
              <w:left w:val="single" w:sz="4" w:space="0" w:color="auto"/>
              <w:bottom w:val="single" w:sz="4" w:space="0" w:color="auto"/>
              <w:right w:val="single" w:sz="4" w:space="0" w:color="auto"/>
            </w:tcBorders>
            <w:noWrap/>
            <w:hideMark/>
          </w:tcPr>
          <w:p w14:paraId="0F154B48" w14:textId="77777777" w:rsidR="005A6921" w:rsidRPr="008B2763" w:rsidRDefault="005A6921" w:rsidP="008F5144">
            <w:pPr>
              <w:ind w:firstLine="0"/>
              <w:rPr>
                <w:rFonts w:cs="Times New Roman"/>
                <w:sz w:val="22"/>
              </w:rPr>
            </w:pPr>
            <w:r w:rsidRPr="008B2763">
              <w:rPr>
                <w:rFonts w:cs="Times New Roman"/>
                <w:sz w:val="22"/>
              </w:rPr>
              <w:t>1,0778</w:t>
            </w:r>
          </w:p>
        </w:tc>
      </w:tr>
      <w:tr w:rsidR="005A6921" w14:paraId="607CB2A6" w14:textId="77777777" w:rsidTr="008F5144">
        <w:trPr>
          <w:trHeight w:val="20"/>
          <w:jc w:val="center"/>
        </w:trPr>
        <w:tc>
          <w:tcPr>
            <w:tcW w:w="948" w:type="pct"/>
            <w:tcBorders>
              <w:top w:val="single" w:sz="4" w:space="0" w:color="auto"/>
              <w:left w:val="single" w:sz="4" w:space="0" w:color="auto"/>
              <w:bottom w:val="single" w:sz="4" w:space="0" w:color="auto"/>
              <w:right w:val="single" w:sz="4" w:space="0" w:color="auto"/>
            </w:tcBorders>
            <w:noWrap/>
            <w:hideMark/>
          </w:tcPr>
          <w:p w14:paraId="760750DD" w14:textId="77777777" w:rsidR="005A6921" w:rsidRPr="008B2763" w:rsidRDefault="005A6921" w:rsidP="008F5144">
            <w:pPr>
              <w:rPr>
                <w:rFonts w:cs="Times New Roman"/>
                <w:sz w:val="22"/>
              </w:rPr>
            </w:pPr>
          </w:p>
        </w:tc>
        <w:tc>
          <w:tcPr>
            <w:tcW w:w="1078" w:type="pct"/>
            <w:tcBorders>
              <w:top w:val="single" w:sz="4" w:space="0" w:color="auto"/>
              <w:left w:val="single" w:sz="4" w:space="0" w:color="auto"/>
              <w:bottom w:val="single" w:sz="4" w:space="0" w:color="auto"/>
              <w:right w:val="single" w:sz="4" w:space="0" w:color="auto"/>
            </w:tcBorders>
            <w:noWrap/>
            <w:hideMark/>
          </w:tcPr>
          <w:p w14:paraId="11B62174" w14:textId="77777777" w:rsidR="005A6921" w:rsidRPr="008B2763" w:rsidRDefault="005A6921" w:rsidP="008F5144">
            <w:pPr>
              <w:ind w:firstLine="0"/>
              <w:jc w:val="center"/>
              <w:rPr>
                <w:rFonts w:cs="Times New Roman"/>
                <w:sz w:val="22"/>
              </w:rPr>
            </w:pPr>
            <w:r w:rsidRPr="008B2763">
              <w:rPr>
                <w:rFonts w:cs="Times New Roman"/>
                <w:sz w:val="22"/>
              </w:rPr>
              <w:t>4 квартал</w:t>
            </w:r>
          </w:p>
        </w:tc>
        <w:tc>
          <w:tcPr>
            <w:tcW w:w="1327" w:type="pct"/>
            <w:tcBorders>
              <w:top w:val="single" w:sz="4" w:space="0" w:color="auto"/>
              <w:left w:val="single" w:sz="4" w:space="0" w:color="auto"/>
              <w:bottom w:val="single" w:sz="4" w:space="0" w:color="auto"/>
              <w:right w:val="single" w:sz="4" w:space="0" w:color="auto"/>
            </w:tcBorders>
            <w:noWrap/>
            <w:hideMark/>
          </w:tcPr>
          <w:p w14:paraId="132E19AA" w14:textId="77777777" w:rsidR="005A6921" w:rsidRPr="008B2763" w:rsidRDefault="005A6921" w:rsidP="008F5144">
            <w:pPr>
              <w:ind w:firstLine="0"/>
              <w:rPr>
                <w:rFonts w:cs="Times New Roman"/>
                <w:sz w:val="22"/>
              </w:rPr>
            </w:pPr>
            <w:r w:rsidRPr="008B2763">
              <w:rPr>
                <w:rFonts w:cs="Times New Roman"/>
                <w:sz w:val="22"/>
              </w:rPr>
              <w:t>102,82%</w:t>
            </w:r>
          </w:p>
        </w:tc>
        <w:tc>
          <w:tcPr>
            <w:tcW w:w="1647" w:type="pct"/>
            <w:tcBorders>
              <w:top w:val="single" w:sz="4" w:space="0" w:color="auto"/>
              <w:left w:val="single" w:sz="4" w:space="0" w:color="auto"/>
              <w:bottom w:val="single" w:sz="4" w:space="0" w:color="auto"/>
              <w:right w:val="single" w:sz="4" w:space="0" w:color="auto"/>
            </w:tcBorders>
            <w:noWrap/>
            <w:hideMark/>
          </w:tcPr>
          <w:p w14:paraId="6A9B3CE9" w14:textId="77777777" w:rsidR="005A6921" w:rsidRPr="008B2763" w:rsidRDefault="005A6921" w:rsidP="008F5144">
            <w:pPr>
              <w:ind w:firstLine="0"/>
              <w:rPr>
                <w:rFonts w:cs="Times New Roman"/>
                <w:sz w:val="22"/>
              </w:rPr>
            </w:pPr>
            <w:r w:rsidRPr="008B2763">
              <w:rPr>
                <w:rFonts w:cs="Times New Roman"/>
                <w:sz w:val="22"/>
              </w:rPr>
              <w:t>1,0282</w:t>
            </w:r>
          </w:p>
        </w:tc>
      </w:tr>
      <w:tr w:rsidR="005A6921" w14:paraId="5137F523" w14:textId="77777777" w:rsidTr="008F5144">
        <w:trPr>
          <w:trHeight w:val="20"/>
          <w:jc w:val="center"/>
        </w:trPr>
        <w:tc>
          <w:tcPr>
            <w:tcW w:w="948" w:type="pct"/>
            <w:tcBorders>
              <w:top w:val="single" w:sz="4" w:space="0" w:color="auto"/>
              <w:left w:val="single" w:sz="4" w:space="0" w:color="auto"/>
              <w:bottom w:val="single" w:sz="4" w:space="0" w:color="auto"/>
              <w:right w:val="single" w:sz="4" w:space="0" w:color="auto"/>
            </w:tcBorders>
            <w:noWrap/>
            <w:hideMark/>
          </w:tcPr>
          <w:p w14:paraId="2ADE7BBF" w14:textId="77777777" w:rsidR="005A6921" w:rsidRPr="008B2763" w:rsidRDefault="005A6921" w:rsidP="008F5144">
            <w:pPr>
              <w:ind w:firstLine="0"/>
              <w:rPr>
                <w:rFonts w:cs="Times New Roman"/>
                <w:sz w:val="22"/>
              </w:rPr>
            </w:pPr>
            <w:r w:rsidRPr="008B2763">
              <w:rPr>
                <w:rFonts w:cs="Times New Roman"/>
                <w:sz w:val="22"/>
              </w:rPr>
              <w:t>2017</w:t>
            </w:r>
          </w:p>
        </w:tc>
        <w:tc>
          <w:tcPr>
            <w:tcW w:w="1078" w:type="pct"/>
            <w:tcBorders>
              <w:top w:val="single" w:sz="4" w:space="0" w:color="auto"/>
              <w:left w:val="single" w:sz="4" w:space="0" w:color="auto"/>
              <w:bottom w:val="single" w:sz="4" w:space="0" w:color="auto"/>
              <w:right w:val="single" w:sz="4" w:space="0" w:color="auto"/>
            </w:tcBorders>
            <w:noWrap/>
            <w:hideMark/>
          </w:tcPr>
          <w:p w14:paraId="343E2860" w14:textId="77777777" w:rsidR="005A6921" w:rsidRPr="008B2763" w:rsidRDefault="005A6921" w:rsidP="008F5144">
            <w:pPr>
              <w:ind w:firstLine="0"/>
              <w:jc w:val="center"/>
              <w:rPr>
                <w:rFonts w:cs="Times New Roman"/>
                <w:sz w:val="22"/>
              </w:rPr>
            </w:pPr>
            <w:r w:rsidRPr="008B2763">
              <w:rPr>
                <w:rFonts w:cs="Times New Roman"/>
                <w:sz w:val="22"/>
              </w:rPr>
              <w:t>1 квартал</w:t>
            </w:r>
          </w:p>
        </w:tc>
        <w:tc>
          <w:tcPr>
            <w:tcW w:w="1327" w:type="pct"/>
            <w:tcBorders>
              <w:top w:val="single" w:sz="4" w:space="0" w:color="auto"/>
              <w:left w:val="single" w:sz="4" w:space="0" w:color="auto"/>
              <w:bottom w:val="single" w:sz="4" w:space="0" w:color="auto"/>
              <w:right w:val="single" w:sz="4" w:space="0" w:color="auto"/>
            </w:tcBorders>
            <w:noWrap/>
            <w:hideMark/>
          </w:tcPr>
          <w:p w14:paraId="4F9FCA7C" w14:textId="77777777" w:rsidR="005A6921" w:rsidRPr="008B2763" w:rsidRDefault="005A6921" w:rsidP="008F5144">
            <w:pPr>
              <w:ind w:firstLine="0"/>
              <w:rPr>
                <w:rFonts w:cs="Times New Roman"/>
                <w:sz w:val="22"/>
              </w:rPr>
            </w:pPr>
            <w:r w:rsidRPr="008B2763">
              <w:rPr>
                <w:rFonts w:cs="Times New Roman"/>
                <w:sz w:val="22"/>
              </w:rPr>
              <w:t>108,66%</w:t>
            </w:r>
          </w:p>
        </w:tc>
        <w:tc>
          <w:tcPr>
            <w:tcW w:w="1647" w:type="pct"/>
            <w:tcBorders>
              <w:top w:val="single" w:sz="4" w:space="0" w:color="auto"/>
              <w:left w:val="single" w:sz="4" w:space="0" w:color="auto"/>
              <w:bottom w:val="single" w:sz="4" w:space="0" w:color="auto"/>
              <w:right w:val="single" w:sz="4" w:space="0" w:color="auto"/>
            </w:tcBorders>
            <w:noWrap/>
            <w:hideMark/>
          </w:tcPr>
          <w:p w14:paraId="4027C832" w14:textId="77777777" w:rsidR="005A6921" w:rsidRPr="008B2763" w:rsidRDefault="005A6921" w:rsidP="008F5144">
            <w:pPr>
              <w:ind w:firstLine="0"/>
              <w:rPr>
                <w:rFonts w:cs="Times New Roman"/>
                <w:sz w:val="22"/>
              </w:rPr>
            </w:pPr>
            <w:r w:rsidRPr="008B2763">
              <w:rPr>
                <w:rFonts w:cs="Times New Roman"/>
                <w:sz w:val="22"/>
              </w:rPr>
              <w:t>1,0866</w:t>
            </w:r>
          </w:p>
        </w:tc>
      </w:tr>
      <w:tr w:rsidR="005A6921" w14:paraId="6DF6E37F" w14:textId="77777777" w:rsidTr="008F5144">
        <w:trPr>
          <w:trHeight w:val="20"/>
          <w:jc w:val="center"/>
        </w:trPr>
        <w:tc>
          <w:tcPr>
            <w:tcW w:w="948" w:type="pct"/>
            <w:tcBorders>
              <w:top w:val="single" w:sz="4" w:space="0" w:color="auto"/>
              <w:left w:val="single" w:sz="4" w:space="0" w:color="auto"/>
              <w:bottom w:val="single" w:sz="4" w:space="0" w:color="auto"/>
              <w:right w:val="single" w:sz="4" w:space="0" w:color="auto"/>
            </w:tcBorders>
            <w:noWrap/>
            <w:hideMark/>
          </w:tcPr>
          <w:p w14:paraId="6AC42AC9" w14:textId="77777777" w:rsidR="005A6921" w:rsidRPr="008B2763" w:rsidRDefault="005A6921" w:rsidP="008F5144">
            <w:pPr>
              <w:rPr>
                <w:rFonts w:cs="Times New Roman"/>
                <w:sz w:val="22"/>
              </w:rPr>
            </w:pPr>
          </w:p>
        </w:tc>
        <w:tc>
          <w:tcPr>
            <w:tcW w:w="1078" w:type="pct"/>
            <w:tcBorders>
              <w:top w:val="single" w:sz="4" w:space="0" w:color="auto"/>
              <w:left w:val="single" w:sz="4" w:space="0" w:color="auto"/>
              <w:bottom w:val="single" w:sz="4" w:space="0" w:color="auto"/>
              <w:right w:val="single" w:sz="4" w:space="0" w:color="auto"/>
            </w:tcBorders>
            <w:noWrap/>
            <w:hideMark/>
          </w:tcPr>
          <w:p w14:paraId="02AA5084" w14:textId="77777777" w:rsidR="005A6921" w:rsidRPr="008B2763" w:rsidRDefault="005A6921" w:rsidP="008F5144">
            <w:pPr>
              <w:ind w:firstLine="0"/>
              <w:jc w:val="center"/>
              <w:rPr>
                <w:rFonts w:cs="Times New Roman"/>
                <w:sz w:val="22"/>
              </w:rPr>
            </w:pPr>
            <w:r w:rsidRPr="008B2763">
              <w:rPr>
                <w:rFonts w:cs="Times New Roman"/>
                <w:sz w:val="22"/>
              </w:rPr>
              <w:t>2 квартал</w:t>
            </w:r>
          </w:p>
        </w:tc>
        <w:tc>
          <w:tcPr>
            <w:tcW w:w="1327" w:type="pct"/>
            <w:tcBorders>
              <w:top w:val="single" w:sz="4" w:space="0" w:color="auto"/>
              <w:left w:val="single" w:sz="4" w:space="0" w:color="auto"/>
              <w:bottom w:val="single" w:sz="4" w:space="0" w:color="auto"/>
              <w:right w:val="single" w:sz="4" w:space="0" w:color="auto"/>
            </w:tcBorders>
            <w:noWrap/>
            <w:hideMark/>
          </w:tcPr>
          <w:p w14:paraId="5ADF9638" w14:textId="77777777" w:rsidR="005A6921" w:rsidRPr="008B2763" w:rsidRDefault="005A6921" w:rsidP="008F5144">
            <w:pPr>
              <w:ind w:firstLine="0"/>
              <w:rPr>
                <w:rFonts w:cs="Times New Roman"/>
                <w:sz w:val="22"/>
              </w:rPr>
            </w:pPr>
            <w:r w:rsidRPr="008B2763">
              <w:rPr>
                <w:rFonts w:cs="Times New Roman"/>
                <w:sz w:val="22"/>
              </w:rPr>
              <w:t>107,05%</w:t>
            </w:r>
          </w:p>
        </w:tc>
        <w:tc>
          <w:tcPr>
            <w:tcW w:w="1647" w:type="pct"/>
            <w:tcBorders>
              <w:top w:val="single" w:sz="4" w:space="0" w:color="auto"/>
              <w:left w:val="single" w:sz="4" w:space="0" w:color="auto"/>
              <w:bottom w:val="single" w:sz="4" w:space="0" w:color="auto"/>
              <w:right w:val="single" w:sz="4" w:space="0" w:color="auto"/>
            </w:tcBorders>
            <w:noWrap/>
            <w:hideMark/>
          </w:tcPr>
          <w:p w14:paraId="4E92BA03" w14:textId="77777777" w:rsidR="005A6921" w:rsidRPr="008B2763" w:rsidRDefault="005A6921" w:rsidP="008F5144">
            <w:pPr>
              <w:ind w:firstLine="0"/>
              <w:rPr>
                <w:rFonts w:cs="Times New Roman"/>
                <w:sz w:val="22"/>
              </w:rPr>
            </w:pPr>
            <w:r w:rsidRPr="008B2763">
              <w:rPr>
                <w:rFonts w:cs="Times New Roman"/>
                <w:sz w:val="22"/>
              </w:rPr>
              <w:t>1,0705</w:t>
            </w:r>
          </w:p>
        </w:tc>
      </w:tr>
      <w:tr w:rsidR="005A6921" w14:paraId="2E0D60D6" w14:textId="77777777" w:rsidTr="008F5144">
        <w:trPr>
          <w:trHeight w:val="20"/>
          <w:jc w:val="center"/>
        </w:trPr>
        <w:tc>
          <w:tcPr>
            <w:tcW w:w="948" w:type="pct"/>
            <w:tcBorders>
              <w:top w:val="single" w:sz="4" w:space="0" w:color="auto"/>
              <w:left w:val="single" w:sz="4" w:space="0" w:color="auto"/>
              <w:bottom w:val="single" w:sz="4" w:space="0" w:color="auto"/>
              <w:right w:val="single" w:sz="4" w:space="0" w:color="auto"/>
            </w:tcBorders>
            <w:noWrap/>
            <w:hideMark/>
          </w:tcPr>
          <w:p w14:paraId="33827A3F" w14:textId="77777777" w:rsidR="005A6921" w:rsidRPr="008B2763" w:rsidRDefault="005A6921" w:rsidP="008F5144">
            <w:pPr>
              <w:rPr>
                <w:rFonts w:cs="Times New Roman"/>
                <w:sz w:val="22"/>
              </w:rPr>
            </w:pPr>
          </w:p>
        </w:tc>
        <w:tc>
          <w:tcPr>
            <w:tcW w:w="1078" w:type="pct"/>
            <w:tcBorders>
              <w:top w:val="single" w:sz="4" w:space="0" w:color="auto"/>
              <w:left w:val="single" w:sz="4" w:space="0" w:color="auto"/>
              <w:bottom w:val="single" w:sz="4" w:space="0" w:color="auto"/>
              <w:right w:val="single" w:sz="4" w:space="0" w:color="auto"/>
            </w:tcBorders>
            <w:noWrap/>
            <w:hideMark/>
          </w:tcPr>
          <w:p w14:paraId="2F988726" w14:textId="77777777" w:rsidR="005A6921" w:rsidRPr="008B2763" w:rsidRDefault="005A6921" w:rsidP="008F5144">
            <w:pPr>
              <w:ind w:firstLine="0"/>
              <w:jc w:val="center"/>
              <w:rPr>
                <w:rFonts w:cs="Times New Roman"/>
                <w:sz w:val="22"/>
              </w:rPr>
            </w:pPr>
            <w:r w:rsidRPr="008B2763">
              <w:rPr>
                <w:rFonts w:cs="Times New Roman"/>
                <w:sz w:val="22"/>
              </w:rPr>
              <w:t>3 квартал</w:t>
            </w:r>
          </w:p>
        </w:tc>
        <w:tc>
          <w:tcPr>
            <w:tcW w:w="1327" w:type="pct"/>
            <w:tcBorders>
              <w:top w:val="single" w:sz="4" w:space="0" w:color="auto"/>
              <w:left w:val="single" w:sz="4" w:space="0" w:color="auto"/>
              <w:bottom w:val="single" w:sz="4" w:space="0" w:color="auto"/>
              <w:right w:val="single" w:sz="4" w:space="0" w:color="auto"/>
            </w:tcBorders>
            <w:noWrap/>
            <w:hideMark/>
          </w:tcPr>
          <w:p w14:paraId="0985827E" w14:textId="77777777" w:rsidR="005A6921" w:rsidRPr="008B2763" w:rsidRDefault="005A6921" w:rsidP="008F5144">
            <w:pPr>
              <w:ind w:firstLine="0"/>
              <w:rPr>
                <w:rFonts w:cs="Times New Roman"/>
                <w:sz w:val="22"/>
              </w:rPr>
            </w:pPr>
            <w:r w:rsidRPr="008B2763">
              <w:rPr>
                <w:rFonts w:cs="Times New Roman"/>
                <w:sz w:val="22"/>
              </w:rPr>
              <w:t>103,53%</w:t>
            </w:r>
          </w:p>
        </w:tc>
        <w:tc>
          <w:tcPr>
            <w:tcW w:w="1647" w:type="pct"/>
            <w:tcBorders>
              <w:top w:val="single" w:sz="4" w:space="0" w:color="auto"/>
              <w:left w:val="single" w:sz="4" w:space="0" w:color="auto"/>
              <w:bottom w:val="single" w:sz="4" w:space="0" w:color="auto"/>
              <w:right w:val="single" w:sz="4" w:space="0" w:color="auto"/>
            </w:tcBorders>
            <w:noWrap/>
            <w:hideMark/>
          </w:tcPr>
          <w:p w14:paraId="61EBCC66" w14:textId="77777777" w:rsidR="005A6921" w:rsidRPr="008B2763" w:rsidRDefault="005A6921" w:rsidP="008F5144">
            <w:pPr>
              <w:ind w:firstLine="0"/>
              <w:rPr>
                <w:rFonts w:cs="Times New Roman"/>
                <w:sz w:val="22"/>
              </w:rPr>
            </w:pPr>
            <w:r w:rsidRPr="008B2763">
              <w:rPr>
                <w:rFonts w:cs="Times New Roman"/>
                <w:sz w:val="22"/>
              </w:rPr>
              <w:t>1,0353</w:t>
            </w:r>
          </w:p>
        </w:tc>
      </w:tr>
      <w:tr w:rsidR="005A6921" w14:paraId="3B69BFA0" w14:textId="77777777" w:rsidTr="008F5144">
        <w:trPr>
          <w:trHeight w:val="20"/>
          <w:jc w:val="center"/>
        </w:trPr>
        <w:tc>
          <w:tcPr>
            <w:tcW w:w="948" w:type="pct"/>
            <w:tcBorders>
              <w:top w:val="single" w:sz="4" w:space="0" w:color="auto"/>
              <w:left w:val="single" w:sz="4" w:space="0" w:color="auto"/>
              <w:bottom w:val="single" w:sz="4" w:space="0" w:color="auto"/>
              <w:right w:val="single" w:sz="4" w:space="0" w:color="auto"/>
            </w:tcBorders>
            <w:noWrap/>
            <w:hideMark/>
          </w:tcPr>
          <w:p w14:paraId="5248CE47" w14:textId="77777777" w:rsidR="005A6921" w:rsidRPr="008B2763" w:rsidRDefault="005A6921" w:rsidP="008F5144">
            <w:pPr>
              <w:rPr>
                <w:rFonts w:cs="Times New Roman"/>
                <w:sz w:val="22"/>
              </w:rPr>
            </w:pPr>
          </w:p>
        </w:tc>
        <w:tc>
          <w:tcPr>
            <w:tcW w:w="1078" w:type="pct"/>
            <w:tcBorders>
              <w:top w:val="single" w:sz="4" w:space="0" w:color="auto"/>
              <w:left w:val="single" w:sz="4" w:space="0" w:color="auto"/>
              <w:bottom w:val="single" w:sz="4" w:space="0" w:color="auto"/>
              <w:right w:val="single" w:sz="4" w:space="0" w:color="auto"/>
            </w:tcBorders>
            <w:noWrap/>
            <w:hideMark/>
          </w:tcPr>
          <w:p w14:paraId="4E1E6025" w14:textId="77777777" w:rsidR="005A6921" w:rsidRPr="008B2763" w:rsidRDefault="005A6921" w:rsidP="008F5144">
            <w:pPr>
              <w:ind w:firstLine="0"/>
              <w:jc w:val="center"/>
              <w:rPr>
                <w:rFonts w:cs="Times New Roman"/>
                <w:sz w:val="22"/>
              </w:rPr>
            </w:pPr>
            <w:r w:rsidRPr="008B2763">
              <w:rPr>
                <w:rFonts w:cs="Times New Roman"/>
                <w:sz w:val="22"/>
              </w:rPr>
              <w:t>4 квартал</w:t>
            </w:r>
          </w:p>
        </w:tc>
        <w:tc>
          <w:tcPr>
            <w:tcW w:w="1327" w:type="pct"/>
            <w:tcBorders>
              <w:top w:val="single" w:sz="4" w:space="0" w:color="auto"/>
              <w:left w:val="single" w:sz="4" w:space="0" w:color="auto"/>
              <w:bottom w:val="single" w:sz="4" w:space="0" w:color="auto"/>
              <w:right w:val="single" w:sz="4" w:space="0" w:color="auto"/>
            </w:tcBorders>
            <w:noWrap/>
            <w:hideMark/>
          </w:tcPr>
          <w:p w14:paraId="7E5B49EC" w14:textId="77777777" w:rsidR="005A6921" w:rsidRPr="008B2763" w:rsidRDefault="005A6921" w:rsidP="008F5144">
            <w:pPr>
              <w:ind w:firstLine="0"/>
              <w:rPr>
                <w:rFonts w:cs="Times New Roman"/>
                <w:sz w:val="22"/>
              </w:rPr>
            </w:pPr>
            <w:r w:rsidRPr="008B2763">
              <w:rPr>
                <w:rFonts w:cs="Times New Roman"/>
                <w:sz w:val="22"/>
              </w:rPr>
              <w:t>101,80%</w:t>
            </w:r>
          </w:p>
        </w:tc>
        <w:tc>
          <w:tcPr>
            <w:tcW w:w="1647" w:type="pct"/>
            <w:tcBorders>
              <w:top w:val="single" w:sz="4" w:space="0" w:color="auto"/>
              <w:left w:val="single" w:sz="4" w:space="0" w:color="auto"/>
              <w:bottom w:val="single" w:sz="4" w:space="0" w:color="auto"/>
              <w:right w:val="single" w:sz="4" w:space="0" w:color="auto"/>
            </w:tcBorders>
            <w:noWrap/>
            <w:hideMark/>
          </w:tcPr>
          <w:p w14:paraId="0F2FE4D0" w14:textId="77777777" w:rsidR="005A6921" w:rsidRPr="008B2763" w:rsidRDefault="005A6921" w:rsidP="008F5144">
            <w:pPr>
              <w:ind w:firstLine="0"/>
              <w:rPr>
                <w:rFonts w:cs="Times New Roman"/>
                <w:sz w:val="22"/>
              </w:rPr>
            </w:pPr>
            <w:r w:rsidRPr="008B2763">
              <w:rPr>
                <w:rFonts w:cs="Times New Roman"/>
                <w:sz w:val="22"/>
              </w:rPr>
              <w:t>1,0180</w:t>
            </w:r>
          </w:p>
        </w:tc>
      </w:tr>
      <w:tr w:rsidR="005A6921" w14:paraId="3B99F58C" w14:textId="77777777" w:rsidTr="008F5144">
        <w:trPr>
          <w:trHeight w:val="20"/>
          <w:jc w:val="center"/>
        </w:trPr>
        <w:tc>
          <w:tcPr>
            <w:tcW w:w="948" w:type="pct"/>
            <w:tcBorders>
              <w:top w:val="single" w:sz="4" w:space="0" w:color="auto"/>
              <w:left w:val="single" w:sz="4" w:space="0" w:color="auto"/>
              <w:bottom w:val="single" w:sz="4" w:space="0" w:color="auto"/>
              <w:right w:val="single" w:sz="4" w:space="0" w:color="auto"/>
            </w:tcBorders>
            <w:noWrap/>
            <w:hideMark/>
          </w:tcPr>
          <w:p w14:paraId="62E94293" w14:textId="77777777" w:rsidR="005A6921" w:rsidRPr="008B2763" w:rsidRDefault="005A6921" w:rsidP="008F5144">
            <w:pPr>
              <w:ind w:firstLine="0"/>
              <w:rPr>
                <w:rFonts w:cs="Times New Roman"/>
                <w:sz w:val="22"/>
              </w:rPr>
            </w:pPr>
            <w:r w:rsidRPr="008B2763">
              <w:rPr>
                <w:rFonts w:cs="Times New Roman"/>
                <w:sz w:val="22"/>
              </w:rPr>
              <w:t>2018</w:t>
            </w:r>
          </w:p>
        </w:tc>
        <w:tc>
          <w:tcPr>
            <w:tcW w:w="1078" w:type="pct"/>
            <w:tcBorders>
              <w:top w:val="single" w:sz="4" w:space="0" w:color="auto"/>
              <w:left w:val="single" w:sz="4" w:space="0" w:color="auto"/>
              <w:bottom w:val="single" w:sz="4" w:space="0" w:color="auto"/>
              <w:right w:val="single" w:sz="4" w:space="0" w:color="auto"/>
            </w:tcBorders>
            <w:noWrap/>
            <w:hideMark/>
          </w:tcPr>
          <w:p w14:paraId="29ABFF5C" w14:textId="77777777" w:rsidR="005A6921" w:rsidRPr="008B2763" w:rsidRDefault="005A6921" w:rsidP="008F5144">
            <w:pPr>
              <w:ind w:firstLine="0"/>
              <w:jc w:val="center"/>
              <w:rPr>
                <w:rFonts w:cs="Times New Roman"/>
                <w:sz w:val="22"/>
              </w:rPr>
            </w:pPr>
            <w:r w:rsidRPr="008B2763">
              <w:rPr>
                <w:rFonts w:cs="Times New Roman"/>
                <w:sz w:val="22"/>
              </w:rPr>
              <w:t>1 квартал</w:t>
            </w:r>
          </w:p>
        </w:tc>
        <w:tc>
          <w:tcPr>
            <w:tcW w:w="1327" w:type="pct"/>
            <w:tcBorders>
              <w:top w:val="single" w:sz="4" w:space="0" w:color="auto"/>
              <w:left w:val="single" w:sz="4" w:space="0" w:color="auto"/>
              <w:bottom w:val="single" w:sz="4" w:space="0" w:color="auto"/>
              <w:right w:val="single" w:sz="4" w:space="0" w:color="auto"/>
            </w:tcBorders>
            <w:noWrap/>
            <w:hideMark/>
          </w:tcPr>
          <w:p w14:paraId="46702CDC" w14:textId="77777777" w:rsidR="005A6921" w:rsidRPr="008B2763" w:rsidRDefault="005A6921" w:rsidP="008F5144">
            <w:pPr>
              <w:ind w:firstLine="0"/>
              <w:rPr>
                <w:rFonts w:cs="Times New Roman"/>
                <w:sz w:val="22"/>
              </w:rPr>
            </w:pPr>
            <w:r w:rsidRPr="008B2763">
              <w:rPr>
                <w:rFonts w:cs="Times New Roman"/>
                <w:sz w:val="22"/>
              </w:rPr>
              <w:t>108,66%</w:t>
            </w:r>
          </w:p>
        </w:tc>
        <w:tc>
          <w:tcPr>
            <w:tcW w:w="1647" w:type="pct"/>
            <w:tcBorders>
              <w:top w:val="single" w:sz="4" w:space="0" w:color="auto"/>
              <w:left w:val="single" w:sz="4" w:space="0" w:color="auto"/>
              <w:bottom w:val="single" w:sz="4" w:space="0" w:color="auto"/>
              <w:right w:val="single" w:sz="4" w:space="0" w:color="auto"/>
            </w:tcBorders>
            <w:noWrap/>
            <w:hideMark/>
          </w:tcPr>
          <w:p w14:paraId="5875D5DA" w14:textId="77777777" w:rsidR="005A6921" w:rsidRPr="008B2763" w:rsidRDefault="005A6921" w:rsidP="008F5144">
            <w:pPr>
              <w:ind w:firstLine="0"/>
              <w:rPr>
                <w:rFonts w:cs="Times New Roman"/>
                <w:sz w:val="22"/>
              </w:rPr>
            </w:pPr>
            <w:r w:rsidRPr="008B2763">
              <w:rPr>
                <w:rFonts w:cs="Times New Roman"/>
                <w:sz w:val="22"/>
              </w:rPr>
              <w:t>1,0866</w:t>
            </w:r>
          </w:p>
        </w:tc>
      </w:tr>
      <w:tr w:rsidR="005A6921" w14:paraId="3D92A11F" w14:textId="77777777" w:rsidTr="008F5144">
        <w:trPr>
          <w:trHeight w:val="20"/>
          <w:jc w:val="center"/>
        </w:trPr>
        <w:tc>
          <w:tcPr>
            <w:tcW w:w="948" w:type="pct"/>
            <w:tcBorders>
              <w:top w:val="single" w:sz="4" w:space="0" w:color="auto"/>
              <w:left w:val="single" w:sz="4" w:space="0" w:color="auto"/>
              <w:bottom w:val="single" w:sz="4" w:space="0" w:color="auto"/>
              <w:right w:val="single" w:sz="4" w:space="0" w:color="auto"/>
            </w:tcBorders>
            <w:noWrap/>
            <w:hideMark/>
          </w:tcPr>
          <w:p w14:paraId="1C6DBE2C" w14:textId="77777777" w:rsidR="005A6921" w:rsidRPr="008B2763" w:rsidRDefault="005A6921" w:rsidP="008F5144">
            <w:pPr>
              <w:rPr>
                <w:rFonts w:cs="Times New Roman"/>
                <w:sz w:val="22"/>
              </w:rPr>
            </w:pPr>
          </w:p>
        </w:tc>
        <w:tc>
          <w:tcPr>
            <w:tcW w:w="1078" w:type="pct"/>
            <w:tcBorders>
              <w:top w:val="single" w:sz="4" w:space="0" w:color="auto"/>
              <w:left w:val="single" w:sz="4" w:space="0" w:color="auto"/>
              <w:bottom w:val="single" w:sz="4" w:space="0" w:color="auto"/>
              <w:right w:val="single" w:sz="4" w:space="0" w:color="auto"/>
            </w:tcBorders>
            <w:noWrap/>
            <w:hideMark/>
          </w:tcPr>
          <w:p w14:paraId="39256E4F" w14:textId="77777777" w:rsidR="005A6921" w:rsidRPr="008B2763" w:rsidRDefault="005A6921" w:rsidP="008F5144">
            <w:pPr>
              <w:ind w:firstLine="0"/>
              <w:jc w:val="center"/>
              <w:rPr>
                <w:rFonts w:cs="Times New Roman"/>
                <w:sz w:val="22"/>
              </w:rPr>
            </w:pPr>
            <w:r w:rsidRPr="008B2763">
              <w:rPr>
                <w:rFonts w:cs="Times New Roman"/>
                <w:sz w:val="22"/>
              </w:rPr>
              <w:t>2 квартал</w:t>
            </w:r>
          </w:p>
        </w:tc>
        <w:tc>
          <w:tcPr>
            <w:tcW w:w="1327" w:type="pct"/>
            <w:tcBorders>
              <w:top w:val="single" w:sz="4" w:space="0" w:color="auto"/>
              <w:left w:val="single" w:sz="4" w:space="0" w:color="auto"/>
              <w:bottom w:val="single" w:sz="4" w:space="0" w:color="auto"/>
              <w:right w:val="single" w:sz="4" w:space="0" w:color="auto"/>
            </w:tcBorders>
            <w:noWrap/>
            <w:hideMark/>
          </w:tcPr>
          <w:p w14:paraId="6C059BBF" w14:textId="77777777" w:rsidR="005A6921" w:rsidRPr="008B2763" w:rsidRDefault="005A6921" w:rsidP="008F5144">
            <w:pPr>
              <w:ind w:firstLine="0"/>
              <w:rPr>
                <w:rFonts w:cs="Times New Roman"/>
                <w:sz w:val="22"/>
              </w:rPr>
            </w:pPr>
            <w:r w:rsidRPr="008B2763">
              <w:rPr>
                <w:rFonts w:cs="Times New Roman"/>
                <w:sz w:val="22"/>
              </w:rPr>
              <w:t>107,05%</w:t>
            </w:r>
          </w:p>
        </w:tc>
        <w:tc>
          <w:tcPr>
            <w:tcW w:w="1647" w:type="pct"/>
            <w:tcBorders>
              <w:top w:val="single" w:sz="4" w:space="0" w:color="auto"/>
              <w:left w:val="single" w:sz="4" w:space="0" w:color="auto"/>
              <w:bottom w:val="single" w:sz="4" w:space="0" w:color="auto"/>
              <w:right w:val="single" w:sz="4" w:space="0" w:color="auto"/>
            </w:tcBorders>
            <w:noWrap/>
            <w:hideMark/>
          </w:tcPr>
          <w:p w14:paraId="2E34E06E" w14:textId="77777777" w:rsidR="005A6921" w:rsidRPr="008B2763" w:rsidRDefault="005A6921" w:rsidP="008F5144">
            <w:pPr>
              <w:ind w:firstLine="0"/>
              <w:rPr>
                <w:rFonts w:cs="Times New Roman"/>
                <w:sz w:val="22"/>
              </w:rPr>
            </w:pPr>
            <w:r w:rsidRPr="008B2763">
              <w:rPr>
                <w:rFonts w:cs="Times New Roman"/>
                <w:sz w:val="22"/>
              </w:rPr>
              <w:t>1,0705</w:t>
            </w:r>
          </w:p>
        </w:tc>
      </w:tr>
      <w:tr w:rsidR="005A6921" w14:paraId="2BC6AD9D" w14:textId="77777777" w:rsidTr="008F5144">
        <w:trPr>
          <w:trHeight w:val="20"/>
          <w:jc w:val="center"/>
        </w:trPr>
        <w:tc>
          <w:tcPr>
            <w:tcW w:w="948" w:type="pct"/>
            <w:tcBorders>
              <w:top w:val="single" w:sz="4" w:space="0" w:color="auto"/>
              <w:left w:val="single" w:sz="4" w:space="0" w:color="auto"/>
              <w:bottom w:val="single" w:sz="4" w:space="0" w:color="auto"/>
              <w:right w:val="single" w:sz="4" w:space="0" w:color="auto"/>
            </w:tcBorders>
            <w:noWrap/>
            <w:hideMark/>
          </w:tcPr>
          <w:p w14:paraId="3D3BEED7" w14:textId="77777777" w:rsidR="005A6921" w:rsidRPr="008B2763" w:rsidRDefault="005A6921" w:rsidP="008F5144">
            <w:pPr>
              <w:rPr>
                <w:rFonts w:cs="Times New Roman"/>
                <w:sz w:val="22"/>
              </w:rPr>
            </w:pPr>
          </w:p>
        </w:tc>
        <w:tc>
          <w:tcPr>
            <w:tcW w:w="1078" w:type="pct"/>
            <w:tcBorders>
              <w:top w:val="single" w:sz="4" w:space="0" w:color="auto"/>
              <w:left w:val="single" w:sz="4" w:space="0" w:color="auto"/>
              <w:bottom w:val="single" w:sz="4" w:space="0" w:color="auto"/>
              <w:right w:val="single" w:sz="4" w:space="0" w:color="auto"/>
            </w:tcBorders>
            <w:noWrap/>
            <w:hideMark/>
          </w:tcPr>
          <w:p w14:paraId="3F467A02" w14:textId="77777777" w:rsidR="005A6921" w:rsidRPr="008B2763" w:rsidRDefault="005A6921" w:rsidP="008F5144">
            <w:pPr>
              <w:ind w:firstLine="0"/>
              <w:jc w:val="center"/>
              <w:rPr>
                <w:rFonts w:cs="Times New Roman"/>
                <w:sz w:val="22"/>
              </w:rPr>
            </w:pPr>
            <w:r w:rsidRPr="008B2763">
              <w:rPr>
                <w:rFonts w:cs="Times New Roman"/>
                <w:sz w:val="22"/>
              </w:rPr>
              <w:t>3 квартал</w:t>
            </w:r>
          </w:p>
        </w:tc>
        <w:tc>
          <w:tcPr>
            <w:tcW w:w="1327" w:type="pct"/>
            <w:tcBorders>
              <w:top w:val="single" w:sz="4" w:space="0" w:color="auto"/>
              <w:left w:val="single" w:sz="4" w:space="0" w:color="auto"/>
              <w:bottom w:val="single" w:sz="4" w:space="0" w:color="auto"/>
              <w:right w:val="single" w:sz="4" w:space="0" w:color="auto"/>
            </w:tcBorders>
            <w:noWrap/>
            <w:hideMark/>
          </w:tcPr>
          <w:p w14:paraId="0DC378A5" w14:textId="77777777" w:rsidR="005A6921" w:rsidRPr="008B2763" w:rsidRDefault="005A6921" w:rsidP="008F5144">
            <w:pPr>
              <w:ind w:firstLine="0"/>
              <w:rPr>
                <w:rFonts w:cs="Times New Roman"/>
                <w:sz w:val="22"/>
              </w:rPr>
            </w:pPr>
            <w:r w:rsidRPr="008B2763">
              <w:rPr>
                <w:rFonts w:cs="Times New Roman"/>
                <w:sz w:val="22"/>
              </w:rPr>
              <w:t>103,53%</w:t>
            </w:r>
          </w:p>
        </w:tc>
        <w:tc>
          <w:tcPr>
            <w:tcW w:w="1647" w:type="pct"/>
            <w:tcBorders>
              <w:top w:val="single" w:sz="4" w:space="0" w:color="auto"/>
              <w:left w:val="single" w:sz="4" w:space="0" w:color="auto"/>
              <w:bottom w:val="single" w:sz="4" w:space="0" w:color="auto"/>
              <w:right w:val="single" w:sz="4" w:space="0" w:color="auto"/>
            </w:tcBorders>
            <w:noWrap/>
            <w:hideMark/>
          </w:tcPr>
          <w:p w14:paraId="1EF80438" w14:textId="77777777" w:rsidR="005A6921" w:rsidRPr="008B2763" w:rsidRDefault="005A6921" w:rsidP="008F5144">
            <w:pPr>
              <w:ind w:firstLine="0"/>
              <w:rPr>
                <w:rFonts w:cs="Times New Roman"/>
                <w:sz w:val="22"/>
              </w:rPr>
            </w:pPr>
            <w:r w:rsidRPr="008B2763">
              <w:rPr>
                <w:rFonts w:cs="Times New Roman"/>
                <w:sz w:val="22"/>
              </w:rPr>
              <w:t>1,0353</w:t>
            </w:r>
          </w:p>
        </w:tc>
      </w:tr>
      <w:tr w:rsidR="005A6921" w14:paraId="19C05D19" w14:textId="77777777" w:rsidTr="008F5144">
        <w:trPr>
          <w:trHeight w:val="20"/>
          <w:jc w:val="center"/>
        </w:trPr>
        <w:tc>
          <w:tcPr>
            <w:tcW w:w="948" w:type="pct"/>
            <w:tcBorders>
              <w:top w:val="single" w:sz="4" w:space="0" w:color="auto"/>
              <w:left w:val="single" w:sz="4" w:space="0" w:color="auto"/>
              <w:bottom w:val="single" w:sz="4" w:space="0" w:color="auto"/>
              <w:right w:val="single" w:sz="4" w:space="0" w:color="auto"/>
            </w:tcBorders>
            <w:noWrap/>
            <w:hideMark/>
          </w:tcPr>
          <w:p w14:paraId="7FFF2EA2" w14:textId="77777777" w:rsidR="005A6921" w:rsidRPr="008B2763" w:rsidRDefault="005A6921" w:rsidP="008F5144">
            <w:pPr>
              <w:rPr>
                <w:rFonts w:cs="Times New Roman"/>
                <w:sz w:val="22"/>
              </w:rPr>
            </w:pPr>
          </w:p>
        </w:tc>
        <w:tc>
          <w:tcPr>
            <w:tcW w:w="1078" w:type="pct"/>
            <w:tcBorders>
              <w:top w:val="single" w:sz="4" w:space="0" w:color="auto"/>
              <w:left w:val="single" w:sz="4" w:space="0" w:color="auto"/>
              <w:bottom w:val="single" w:sz="4" w:space="0" w:color="auto"/>
              <w:right w:val="single" w:sz="4" w:space="0" w:color="auto"/>
            </w:tcBorders>
            <w:noWrap/>
            <w:hideMark/>
          </w:tcPr>
          <w:p w14:paraId="7BACEB71" w14:textId="77777777" w:rsidR="005A6921" w:rsidRPr="008B2763" w:rsidRDefault="005A6921" w:rsidP="008F5144">
            <w:pPr>
              <w:ind w:firstLine="0"/>
              <w:jc w:val="center"/>
              <w:rPr>
                <w:rFonts w:cs="Times New Roman"/>
                <w:sz w:val="22"/>
              </w:rPr>
            </w:pPr>
            <w:r w:rsidRPr="008B2763">
              <w:rPr>
                <w:rFonts w:cs="Times New Roman"/>
                <w:sz w:val="22"/>
              </w:rPr>
              <w:t>4 квартал</w:t>
            </w:r>
          </w:p>
        </w:tc>
        <w:tc>
          <w:tcPr>
            <w:tcW w:w="1327" w:type="pct"/>
            <w:tcBorders>
              <w:top w:val="single" w:sz="4" w:space="0" w:color="auto"/>
              <w:left w:val="single" w:sz="4" w:space="0" w:color="auto"/>
              <w:bottom w:val="single" w:sz="4" w:space="0" w:color="auto"/>
              <w:right w:val="single" w:sz="4" w:space="0" w:color="auto"/>
            </w:tcBorders>
            <w:noWrap/>
            <w:hideMark/>
          </w:tcPr>
          <w:p w14:paraId="33D15227" w14:textId="77777777" w:rsidR="005A6921" w:rsidRPr="008B2763" w:rsidRDefault="005A6921" w:rsidP="008F5144">
            <w:pPr>
              <w:ind w:firstLine="0"/>
              <w:rPr>
                <w:rFonts w:cs="Times New Roman"/>
                <w:sz w:val="22"/>
              </w:rPr>
            </w:pPr>
            <w:r w:rsidRPr="008B2763">
              <w:rPr>
                <w:rFonts w:cs="Times New Roman"/>
                <w:sz w:val="22"/>
              </w:rPr>
              <w:t>100,00%</w:t>
            </w:r>
          </w:p>
        </w:tc>
        <w:tc>
          <w:tcPr>
            <w:tcW w:w="1647" w:type="pct"/>
            <w:tcBorders>
              <w:top w:val="single" w:sz="4" w:space="0" w:color="auto"/>
              <w:left w:val="single" w:sz="4" w:space="0" w:color="auto"/>
              <w:bottom w:val="single" w:sz="4" w:space="0" w:color="auto"/>
              <w:right w:val="single" w:sz="4" w:space="0" w:color="auto"/>
            </w:tcBorders>
            <w:noWrap/>
            <w:hideMark/>
          </w:tcPr>
          <w:p w14:paraId="00495EA4" w14:textId="77777777" w:rsidR="005A6921" w:rsidRPr="008B2763" w:rsidRDefault="005A6921" w:rsidP="008F5144">
            <w:pPr>
              <w:ind w:firstLine="0"/>
              <w:rPr>
                <w:rFonts w:cs="Times New Roman"/>
                <w:sz w:val="22"/>
              </w:rPr>
            </w:pPr>
            <w:r w:rsidRPr="008B2763">
              <w:rPr>
                <w:rFonts w:cs="Times New Roman"/>
                <w:sz w:val="22"/>
              </w:rPr>
              <w:t>1,0000</w:t>
            </w:r>
          </w:p>
        </w:tc>
      </w:tr>
    </w:tbl>
    <w:p w14:paraId="03C03F4F" w14:textId="77777777" w:rsidR="005A6921" w:rsidRDefault="005A6921" w:rsidP="005A6921">
      <w:pPr>
        <w:ind w:firstLine="709"/>
        <w:rPr>
          <w:rFonts w:cs="Times New Roman"/>
          <w:szCs w:val="24"/>
        </w:rPr>
      </w:pPr>
    </w:p>
    <w:p w14:paraId="01497687" w14:textId="77777777" w:rsidR="005A6921" w:rsidRDefault="005A6921" w:rsidP="005A6921">
      <w:pPr>
        <w:ind w:firstLine="709"/>
        <w:rPr>
          <w:rFonts w:cs="Times New Roman"/>
          <w:szCs w:val="24"/>
          <w:lang w:val="x-none"/>
        </w:rPr>
      </w:pPr>
      <w:r>
        <w:rPr>
          <w:rFonts w:cs="Times New Roman"/>
          <w:szCs w:val="24"/>
        </w:rPr>
        <w:t>Исходные данные и расчетная таблица поправки на дату оценки приведены в Приложении 1.5.2</w:t>
      </w:r>
      <w:r>
        <w:rPr>
          <w:rFonts w:eastAsia="Times New Roman" w:cs="Times New Roman"/>
          <w:sz w:val="20"/>
          <w:szCs w:val="20"/>
          <w:lang w:eastAsia="ru-RU"/>
        </w:rPr>
        <w:t>.</w:t>
      </w:r>
    </w:p>
    <w:p w14:paraId="7A54C0E2" w14:textId="77777777" w:rsidR="005A6921" w:rsidRDefault="005A6921" w:rsidP="005A6921">
      <w:pPr>
        <w:ind w:firstLine="709"/>
        <w:rPr>
          <w:rFonts w:cs="Times New Roman"/>
          <w:szCs w:val="24"/>
          <w:lang w:val="x-none"/>
        </w:rPr>
      </w:pPr>
    </w:p>
    <w:p w14:paraId="20789812" w14:textId="559A0101" w:rsidR="005A6921" w:rsidRDefault="005A6921" w:rsidP="005A6921">
      <w:pPr>
        <w:ind w:firstLine="709"/>
      </w:pPr>
      <w:r>
        <w:rPr>
          <w:rFonts w:cs="Times New Roman"/>
          <w:szCs w:val="24"/>
          <w:lang w:val="x-none"/>
        </w:rPr>
        <w:t>Для определения поправки на дату</w:t>
      </w:r>
      <w:r>
        <w:rPr>
          <w:rFonts w:cs="Times New Roman"/>
          <w:szCs w:val="24"/>
        </w:rPr>
        <w:t xml:space="preserve"> продажи</w:t>
      </w:r>
      <w:r>
        <w:rPr>
          <w:rFonts w:cs="Times New Roman"/>
          <w:szCs w:val="24"/>
          <w:lang w:val="x-none"/>
        </w:rPr>
        <w:t xml:space="preserve"> для </w:t>
      </w:r>
      <w:r>
        <w:rPr>
          <w:rFonts w:cs="Times New Roman"/>
          <w:szCs w:val="24"/>
        </w:rPr>
        <w:t>нежилых помещений - гаражей</w:t>
      </w:r>
      <w:r>
        <w:rPr>
          <w:rFonts w:ascii="TimesNewRomanPSMT" w:eastAsia="TimesNewRomanPSMT" w:hint="eastAsia"/>
          <w:color w:val="242021"/>
        </w:rPr>
        <w:t xml:space="preserve"> </w:t>
      </w:r>
      <w:r>
        <w:rPr>
          <w:rFonts w:cs="Times New Roman"/>
          <w:szCs w:val="24"/>
          <w:lang w:val="x-none"/>
        </w:rPr>
        <w:t>использовался индекс</w:t>
      </w:r>
      <w:r>
        <w:t xml:space="preserve"> среднемесячного темпа инфляции по статистическим данным, приведенным на сайте Уровень инфляции в Российской Федерации: </w:t>
      </w:r>
      <w:r w:rsidRPr="00CF779D">
        <w:rPr>
          <w:lang w:val="en-US"/>
        </w:rPr>
        <w:t>http</w:t>
      </w:r>
      <w:r w:rsidRPr="00CF779D">
        <w:t>://уровень-инфляции.рф/таблица_инфляции.</w:t>
      </w:r>
      <w:r w:rsidRPr="00CF779D">
        <w:rPr>
          <w:lang w:val="en-US"/>
        </w:rPr>
        <w:t>aspx</w:t>
      </w:r>
      <w:r>
        <w:t xml:space="preserve"> и реализуется формулой:</w:t>
      </w:r>
    </w:p>
    <w:p w14:paraId="4D6EA668" w14:textId="77777777" w:rsidR="005A6921" w:rsidRDefault="005A6921" w:rsidP="005A6921">
      <w:pPr>
        <w:pStyle w:val="ae"/>
        <w:spacing w:after="100" w:afterAutospacing="1"/>
        <w:jc w:val="center"/>
      </w:pPr>
      <w:r>
        <w:rPr>
          <w:rFonts w:ascii="Times New Roman" w:eastAsia="Times New Roman" w:hAnsi="Times New Roman"/>
          <w:position w:val="-12"/>
          <w:sz w:val="24"/>
          <w:szCs w:val="24"/>
        </w:rPr>
        <w:object w:dxaOrig="3045" w:dyaOrig="360" w14:anchorId="60AB7A52">
          <v:shape id="_x0000_i1026" type="#_x0000_t75" style="width:152.7pt;height:17.4pt" o:ole="">
            <v:imagedata r:id="rId250" o:title=""/>
          </v:shape>
          <o:OLEObject Type="Embed" ProgID="Equation.3" ShapeID="_x0000_i1026" DrawAspect="Content" ObjectID="_1632071390" r:id="rId251"/>
        </w:object>
      </w:r>
    </w:p>
    <w:p w14:paraId="28F2C2A4" w14:textId="77777777" w:rsidR="005A6921" w:rsidRPr="008C315E" w:rsidRDefault="005A6921" w:rsidP="005A6921">
      <w:pPr>
        <w:pStyle w:val="ae"/>
        <w:ind w:firstLine="0"/>
        <w:rPr>
          <w:rFonts w:ascii="Times New Roman" w:hAnsi="Times New Roman"/>
          <w:sz w:val="24"/>
          <w:szCs w:val="24"/>
        </w:rPr>
      </w:pPr>
      <w:r w:rsidRPr="008C315E">
        <w:rPr>
          <w:rFonts w:ascii="Times New Roman" w:hAnsi="Times New Roman"/>
          <w:sz w:val="24"/>
          <w:szCs w:val="24"/>
        </w:rPr>
        <w:t xml:space="preserve">Где </w:t>
      </w:r>
      <w:proofErr w:type="gramStart"/>
      <w:r w:rsidRPr="008C315E">
        <w:rPr>
          <w:rFonts w:ascii="Times New Roman" w:hAnsi="Times New Roman"/>
          <w:sz w:val="24"/>
          <w:szCs w:val="24"/>
        </w:rPr>
        <w:t>К</w:t>
      </w:r>
      <w:proofErr w:type="gramEnd"/>
      <w:r w:rsidRPr="008C315E">
        <w:rPr>
          <w:rFonts w:ascii="Times New Roman" w:hAnsi="Times New Roman"/>
          <w:sz w:val="24"/>
          <w:szCs w:val="24"/>
        </w:rPr>
        <w:t xml:space="preserve"> – величина корректировки, отражающая изменение цены от даты предложения до даты оценки (помесячно),</w:t>
      </w:r>
    </w:p>
    <w:p w14:paraId="0421E5C6" w14:textId="77777777" w:rsidR="005A6921" w:rsidRPr="008C315E" w:rsidRDefault="005A6921" w:rsidP="005A6921">
      <w:pPr>
        <w:pStyle w:val="ae"/>
        <w:rPr>
          <w:rFonts w:ascii="Times New Roman" w:hAnsi="Times New Roman"/>
          <w:sz w:val="24"/>
          <w:szCs w:val="24"/>
        </w:rPr>
      </w:pPr>
      <w:r w:rsidRPr="008C315E">
        <w:rPr>
          <w:rFonts w:ascii="Times New Roman" w:hAnsi="Times New Roman"/>
          <w:sz w:val="24"/>
          <w:szCs w:val="24"/>
        </w:rPr>
        <w:t>к</w:t>
      </w:r>
      <w:proofErr w:type="gramStart"/>
      <w:r w:rsidRPr="008C315E">
        <w:rPr>
          <w:rFonts w:ascii="Times New Roman" w:hAnsi="Times New Roman"/>
          <w:sz w:val="24"/>
          <w:szCs w:val="24"/>
          <w:vertAlign w:val="subscript"/>
        </w:rPr>
        <w:t>1</w:t>
      </w:r>
      <w:r w:rsidRPr="008C315E">
        <w:rPr>
          <w:rFonts w:ascii="Times New Roman" w:hAnsi="Times New Roman"/>
          <w:sz w:val="24"/>
          <w:szCs w:val="24"/>
        </w:rPr>
        <w:t>,к</w:t>
      </w:r>
      <w:proofErr w:type="gramEnd"/>
      <w:r w:rsidRPr="008C315E">
        <w:rPr>
          <w:rFonts w:ascii="Times New Roman" w:hAnsi="Times New Roman"/>
          <w:sz w:val="24"/>
          <w:szCs w:val="24"/>
          <w:vertAlign w:val="subscript"/>
        </w:rPr>
        <w:t>2</w:t>
      </w:r>
      <w:r w:rsidRPr="008C315E">
        <w:rPr>
          <w:rFonts w:ascii="Times New Roman" w:hAnsi="Times New Roman"/>
          <w:sz w:val="24"/>
          <w:szCs w:val="24"/>
        </w:rPr>
        <w:t>,к</w:t>
      </w:r>
      <w:r w:rsidRPr="008C315E">
        <w:rPr>
          <w:rFonts w:ascii="Times New Roman" w:hAnsi="Times New Roman"/>
          <w:sz w:val="24"/>
          <w:szCs w:val="24"/>
          <w:vertAlign w:val="subscript"/>
        </w:rPr>
        <w:t>3</w:t>
      </w:r>
      <w:r w:rsidRPr="008C315E">
        <w:rPr>
          <w:rFonts w:ascii="Times New Roman" w:hAnsi="Times New Roman"/>
          <w:sz w:val="24"/>
          <w:szCs w:val="24"/>
        </w:rPr>
        <w:t>,- индекс среднемесячного темпа инфляции (начиная с месяца предложения аналога),</w:t>
      </w:r>
    </w:p>
    <w:p w14:paraId="3B45E64F" w14:textId="11D3BEA8" w:rsidR="005A6921" w:rsidRPr="008C315E" w:rsidRDefault="005A6921" w:rsidP="008F5144">
      <w:pPr>
        <w:pStyle w:val="ae"/>
        <w:spacing w:after="100" w:afterAutospacing="1"/>
        <w:rPr>
          <w:rFonts w:ascii="Times New Roman" w:hAnsi="Times New Roman"/>
          <w:sz w:val="24"/>
          <w:szCs w:val="24"/>
        </w:rPr>
      </w:pPr>
      <w:r w:rsidRPr="008C315E">
        <w:rPr>
          <w:rFonts w:ascii="Times New Roman" w:hAnsi="Times New Roman"/>
          <w:sz w:val="24"/>
          <w:szCs w:val="24"/>
        </w:rPr>
        <w:t>к</w:t>
      </w:r>
      <w:r w:rsidRPr="008C315E">
        <w:rPr>
          <w:rFonts w:ascii="Times New Roman" w:hAnsi="Times New Roman"/>
          <w:sz w:val="24"/>
          <w:szCs w:val="24"/>
          <w:vertAlign w:val="subscript"/>
          <w:lang w:val="en-US"/>
        </w:rPr>
        <w:t>n</w:t>
      </w:r>
      <w:r w:rsidRPr="008C315E">
        <w:rPr>
          <w:rFonts w:ascii="Times New Roman" w:hAnsi="Times New Roman"/>
          <w:sz w:val="24"/>
          <w:szCs w:val="24"/>
        </w:rPr>
        <w:t>- индекс среднемесячного темпа инфляции за месяц даты оцен</w:t>
      </w:r>
      <w:r w:rsidR="008F5144" w:rsidRPr="008C315E">
        <w:rPr>
          <w:rFonts w:ascii="Times New Roman" w:hAnsi="Times New Roman"/>
          <w:sz w:val="24"/>
          <w:szCs w:val="24"/>
        </w:rPr>
        <w:t>ки.</w:t>
      </w:r>
    </w:p>
    <w:p w14:paraId="6215254A" w14:textId="0195FF14" w:rsidR="005A6921" w:rsidRDefault="005A6921" w:rsidP="008B2763">
      <w:pPr>
        <w:ind w:firstLine="0"/>
        <w:rPr>
          <w:rFonts w:cs="Times New Roman"/>
          <w:szCs w:val="24"/>
        </w:rPr>
      </w:pPr>
      <w:r>
        <w:rPr>
          <w:rFonts w:ascii="Calibri" w:eastAsia="Calibri" w:hAnsi="Calibri" w:cs="Times New Roman"/>
          <w:noProof/>
          <w:sz w:val="22"/>
          <w:lang w:eastAsia="ru-RU"/>
        </w:rPr>
        <w:drawing>
          <wp:inline distT="0" distB="0" distL="0" distR="0" wp14:anchorId="2D807554" wp14:editId="748CFD35">
            <wp:extent cx="5778364" cy="4012442"/>
            <wp:effectExtent l="0" t="0" r="0" b="762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5784776" cy="4016895"/>
                    </a:xfrm>
                    <a:prstGeom prst="rect">
                      <a:avLst/>
                    </a:prstGeom>
                    <a:noFill/>
                    <a:ln>
                      <a:noFill/>
                    </a:ln>
                  </pic:spPr>
                </pic:pic>
              </a:graphicData>
            </a:graphic>
          </wp:inline>
        </w:drawing>
      </w:r>
    </w:p>
    <w:p w14:paraId="66B0EFC0" w14:textId="3FFE4E73" w:rsidR="005A6921" w:rsidRDefault="005A6921" w:rsidP="005A6921">
      <w:pPr>
        <w:spacing w:before="120" w:after="120"/>
        <w:ind w:firstLine="0"/>
        <w:jc w:val="center"/>
        <w:rPr>
          <w:rFonts w:eastAsia="Times New Roman" w:cs="Times New Roman"/>
          <w:i/>
          <w:szCs w:val="24"/>
          <w:lang w:eastAsia="ru-RU"/>
        </w:rPr>
      </w:pPr>
      <w:r>
        <w:rPr>
          <w:rFonts w:eastAsia="Times New Roman" w:cs="Times New Roman"/>
          <w:i/>
          <w:szCs w:val="24"/>
          <w:lang w:eastAsia="ru-RU"/>
        </w:rPr>
        <w:t xml:space="preserve">Рисунок </w:t>
      </w:r>
      <w:r>
        <w:rPr>
          <w:rFonts w:eastAsia="Times New Roman" w:cs="Times New Roman"/>
          <w:i/>
          <w:szCs w:val="24"/>
          <w:lang w:eastAsia="ru-RU"/>
        </w:rPr>
        <w:fldChar w:fldCharType="begin"/>
      </w:r>
      <w:r>
        <w:rPr>
          <w:rFonts w:eastAsia="Times New Roman" w:cs="Times New Roman"/>
          <w:i/>
          <w:szCs w:val="24"/>
          <w:lang w:eastAsia="ru-RU"/>
        </w:rPr>
        <w:instrText xml:space="preserve"> SEQ Рисунок \* ARABIC </w:instrText>
      </w:r>
      <w:r>
        <w:rPr>
          <w:rFonts w:eastAsia="Times New Roman" w:cs="Times New Roman"/>
          <w:i/>
          <w:szCs w:val="24"/>
          <w:lang w:eastAsia="ru-RU"/>
        </w:rPr>
        <w:fldChar w:fldCharType="separate"/>
      </w:r>
      <w:r w:rsidR="00FD2769">
        <w:rPr>
          <w:rFonts w:eastAsia="Times New Roman" w:cs="Times New Roman"/>
          <w:i/>
          <w:noProof/>
          <w:szCs w:val="24"/>
          <w:lang w:eastAsia="ru-RU"/>
        </w:rPr>
        <w:t>49</w:t>
      </w:r>
      <w:r>
        <w:rPr>
          <w:rFonts w:eastAsia="Times New Roman" w:cs="Times New Roman"/>
          <w:i/>
          <w:szCs w:val="24"/>
          <w:lang w:eastAsia="ru-RU"/>
        </w:rPr>
        <w:fldChar w:fldCharType="end"/>
      </w:r>
      <w:r>
        <w:rPr>
          <w:rFonts w:eastAsia="Times New Roman" w:cs="Times New Roman"/>
          <w:i/>
          <w:szCs w:val="24"/>
          <w:lang w:eastAsia="ru-RU"/>
        </w:rPr>
        <w:t xml:space="preserve"> Таблица Инфляции.</w:t>
      </w:r>
      <w:r>
        <w:rPr>
          <w:rFonts w:eastAsia="Times New Roman" w:cs="Times New Roman"/>
          <w:i/>
          <w:szCs w:val="24"/>
          <w:vertAlign w:val="superscript"/>
          <w:lang w:eastAsia="ru-RU"/>
        </w:rPr>
        <w:footnoteReference w:id="21"/>
      </w:r>
    </w:p>
    <w:p w14:paraId="3D2BC7F0" w14:textId="77777777" w:rsidR="005A6921" w:rsidRDefault="005A6921" w:rsidP="005A6921">
      <w:pPr>
        <w:ind w:firstLine="709"/>
        <w:jc w:val="right"/>
        <w:rPr>
          <w:rFonts w:cs="Times New Roman"/>
          <w:szCs w:val="24"/>
        </w:rPr>
      </w:pPr>
    </w:p>
    <w:p w14:paraId="00A618DF" w14:textId="7A956FBF" w:rsidR="005A6921" w:rsidRDefault="005A6921" w:rsidP="006C45D3">
      <w:pPr>
        <w:pStyle w:val="afffffff0"/>
      </w:pPr>
      <w:r w:rsidRPr="001D4D31">
        <w:t xml:space="preserve">Таблица </w:t>
      </w:r>
      <w:r w:rsidR="00A90944">
        <w:fldChar w:fldCharType="begin"/>
      </w:r>
      <w:r w:rsidR="00A90944">
        <w:instrText xml:space="preserve"> SEQ Таблица \* ARABIC </w:instrText>
      </w:r>
      <w:r w:rsidR="00A90944">
        <w:fldChar w:fldCharType="separate"/>
      </w:r>
      <w:r w:rsidR="00FD2769">
        <w:rPr>
          <w:noProof/>
        </w:rPr>
        <w:t>17</w:t>
      </w:r>
      <w:r w:rsidR="00A90944">
        <w:rPr>
          <w:noProof/>
        </w:rPr>
        <w:fldChar w:fldCharType="end"/>
      </w:r>
      <w:r w:rsidRPr="001D4D31">
        <w:t xml:space="preserve"> </w:t>
      </w:r>
      <w:r>
        <w:t>Расчет поправок на дату для нежилой недвижимости</w:t>
      </w:r>
      <w:r w:rsidR="006C45D3">
        <w:t>.</w:t>
      </w:r>
    </w:p>
    <w:tbl>
      <w:tblPr>
        <w:tblW w:w="5000" w:type="pct"/>
        <w:tblLook w:val="04A0" w:firstRow="1" w:lastRow="0" w:firstColumn="1" w:lastColumn="0" w:noHBand="0" w:noVBand="1"/>
      </w:tblPr>
      <w:tblGrid>
        <w:gridCol w:w="1600"/>
        <w:gridCol w:w="2401"/>
        <w:gridCol w:w="2168"/>
        <w:gridCol w:w="3166"/>
      </w:tblGrid>
      <w:tr w:rsidR="008F5144" w:rsidRPr="008F5144" w14:paraId="7E835C26" w14:textId="77777777" w:rsidTr="006C45D3">
        <w:trPr>
          <w:trHeight w:val="315"/>
          <w:tblHeader/>
        </w:trPr>
        <w:tc>
          <w:tcPr>
            <w:tcW w:w="857" w:type="pct"/>
            <w:tcBorders>
              <w:top w:val="single" w:sz="8" w:space="0" w:color="auto"/>
              <w:left w:val="single" w:sz="8" w:space="0" w:color="auto"/>
              <w:bottom w:val="single" w:sz="8" w:space="0" w:color="auto"/>
              <w:right w:val="single" w:sz="8" w:space="0" w:color="auto"/>
            </w:tcBorders>
            <w:shd w:val="clear" w:color="000000" w:fill="F2F2F2"/>
            <w:vAlign w:val="center"/>
            <w:hideMark/>
          </w:tcPr>
          <w:p w14:paraId="613E2C60" w14:textId="77777777" w:rsidR="008F5144" w:rsidRPr="008F5144" w:rsidRDefault="008F5144" w:rsidP="008F5144">
            <w:pPr>
              <w:ind w:firstLine="0"/>
              <w:jc w:val="center"/>
              <w:rPr>
                <w:rFonts w:eastAsia="Times New Roman" w:cs="Times New Roman"/>
                <w:b/>
                <w:bCs/>
                <w:color w:val="000000"/>
                <w:sz w:val="20"/>
                <w:szCs w:val="20"/>
                <w:lang w:eastAsia="ru-RU"/>
              </w:rPr>
            </w:pPr>
            <w:r w:rsidRPr="008F5144">
              <w:rPr>
                <w:rFonts w:eastAsia="Times New Roman" w:cs="Times New Roman"/>
                <w:b/>
                <w:bCs/>
                <w:color w:val="000000"/>
                <w:sz w:val="20"/>
                <w:szCs w:val="20"/>
                <w:lang w:eastAsia="ru-RU"/>
              </w:rPr>
              <w:t>Год</w:t>
            </w:r>
          </w:p>
        </w:tc>
        <w:tc>
          <w:tcPr>
            <w:tcW w:w="1286" w:type="pct"/>
            <w:tcBorders>
              <w:top w:val="single" w:sz="8" w:space="0" w:color="auto"/>
              <w:left w:val="nil"/>
              <w:bottom w:val="single" w:sz="8" w:space="0" w:color="auto"/>
              <w:right w:val="single" w:sz="8" w:space="0" w:color="auto"/>
            </w:tcBorders>
            <w:shd w:val="clear" w:color="000000" w:fill="F2F2F2"/>
            <w:noWrap/>
            <w:vAlign w:val="center"/>
            <w:hideMark/>
          </w:tcPr>
          <w:p w14:paraId="29393D83" w14:textId="77777777" w:rsidR="008F5144" w:rsidRPr="008F5144" w:rsidRDefault="008F5144" w:rsidP="008F5144">
            <w:pPr>
              <w:ind w:firstLine="0"/>
              <w:jc w:val="center"/>
              <w:rPr>
                <w:rFonts w:eastAsia="Times New Roman" w:cs="Times New Roman"/>
                <w:b/>
                <w:bCs/>
                <w:color w:val="000000"/>
                <w:sz w:val="20"/>
                <w:szCs w:val="20"/>
                <w:lang w:eastAsia="ru-RU"/>
              </w:rPr>
            </w:pPr>
            <w:r w:rsidRPr="008F5144">
              <w:rPr>
                <w:rFonts w:eastAsia="Times New Roman" w:cs="Times New Roman"/>
                <w:b/>
                <w:bCs/>
                <w:color w:val="000000"/>
                <w:sz w:val="20"/>
                <w:szCs w:val="20"/>
                <w:lang w:eastAsia="ru-RU"/>
              </w:rPr>
              <w:t>Месяц</w:t>
            </w:r>
          </w:p>
        </w:tc>
        <w:tc>
          <w:tcPr>
            <w:tcW w:w="1161" w:type="pct"/>
            <w:tcBorders>
              <w:top w:val="single" w:sz="8" w:space="0" w:color="auto"/>
              <w:left w:val="nil"/>
              <w:bottom w:val="single" w:sz="8" w:space="0" w:color="auto"/>
              <w:right w:val="single" w:sz="8" w:space="0" w:color="auto"/>
            </w:tcBorders>
            <w:shd w:val="clear" w:color="000000" w:fill="F2F2F2"/>
            <w:noWrap/>
            <w:vAlign w:val="center"/>
            <w:hideMark/>
          </w:tcPr>
          <w:p w14:paraId="13F98DE1" w14:textId="77777777" w:rsidR="008F5144" w:rsidRPr="008F5144" w:rsidRDefault="008F5144" w:rsidP="008F5144">
            <w:pPr>
              <w:ind w:firstLine="0"/>
              <w:jc w:val="center"/>
              <w:rPr>
                <w:rFonts w:eastAsia="Times New Roman" w:cs="Times New Roman"/>
                <w:b/>
                <w:bCs/>
                <w:color w:val="000000"/>
                <w:sz w:val="20"/>
                <w:szCs w:val="20"/>
                <w:lang w:eastAsia="ru-RU"/>
              </w:rPr>
            </w:pPr>
            <w:r w:rsidRPr="008F5144">
              <w:rPr>
                <w:rFonts w:eastAsia="Times New Roman" w:cs="Times New Roman"/>
                <w:b/>
                <w:bCs/>
                <w:color w:val="000000"/>
                <w:sz w:val="20"/>
                <w:szCs w:val="20"/>
                <w:lang w:eastAsia="ru-RU"/>
              </w:rPr>
              <w:t>Дата</w:t>
            </w:r>
          </w:p>
        </w:tc>
        <w:tc>
          <w:tcPr>
            <w:tcW w:w="1696" w:type="pct"/>
            <w:tcBorders>
              <w:top w:val="single" w:sz="8" w:space="0" w:color="auto"/>
              <w:left w:val="nil"/>
              <w:bottom w:val="single" w:sz="8" w:space="0" w:color="auto"/>
              <w:right w:val="single" w:sz="8" w:space="0" w:color="auto"/>
            </w:tcBorders>
            <w:shd w:val="clear" w:color="000000" w:fill="F2F2F2"/>
            <w:noWrap/>
            <w:vAlign w:val="center"/>
            <w:hideMark/>
          </w:tcPr>
          <w:p w14:paraId="67C4A88F" w14:textId="77777777" w:rsidR="008F5144" w:rsidRPr="008F5144" w:rsidRDefault="008F5144" w:rsidP="008F5144">
            <w:pPr>
              <w:ind w:firstLine="0"/>
              <w:jc w:val="center"/>
              <w:rPr>
                <w:rFonts w:eastAsia="Times New Roman" w:cs="Times New Roman"/>
                <w:b/>
                <w:bCs/>
                <w:color w:val="000000"/>
                <w:sz w:val="20"/>
                <w:szCs w:val="20"/>
                <w:lang w:eastAsia="ru-RU"/>
              </w:rPr>
            </w:pPr>
            <w:r w:rsidRPr="008F5144">
              <w:rPr>
                <w:rFonts w:eastAsia="Times New Roman" w:cs="Times New Roman"/>
                <w:b/>
                <w:bCs/>
                <w:color w:val="000000"/>
                <w:sz w:val="20"/>
                <w:szCs w:val="20"/>
                <w:lang w:eastAsia="ru-RU"/>
              </w:rPr>
              <w:t>Поправка на дату</w:t>
            </w:r>
          </w:p>
        </w:tc>
      </w:tr>
      <w:tr w:rsidR="008F5144" w:rsidRPr="008F5144" w14:paraId="1E069AC8" w14:textId="77777777" w:rsidTr="006C45D3">
        <w:trPr>
          <w:trHeight w:val="315"/>
        </w:trPr>
        <w:tc>
          <w:tcPr>
            <w:tcW w:w="857" w:type="pct"/>
            <w:tcBorders>
              <w:top w:val="nil"/>
              <w:left w:val="single" w:sz="8" w:space="0" w:color="auto"/>
              <w:bottom w:val="single" w:sz="8" w:space="0" w:color="auto"/>
              <w:right w:val="single" w:sz="8" w:space="0" w:color="auto"/>
            </w:tcBorders>
            <w:shd w:val="clear" w:color="auto" w:fill="auto"/>
            <w:vAlign w:val="center"/>
            <w:hideMark/>
          </w:tcPr>
          <w:p w14:paraId="107314B8" w14:textId="77777777" w:rsidR="008F5144" w:rsidRPr="008F5144" w:rsidRDefault="008F5144" w:rsidP="008F5144">
            <w:pPr>
              <w:ind w:firstLine="0"/>
              <w:jc w:val="center"/>
              <w:rPr>
                <w:rFonts w:eastAsia="Times New Roman" w:cs="Times New Roman"/>
                <w:color w:val="000000"/>
                <w:sz w:val="20"/>
                <w:szCs w:val="20"/>
                <w:lang w:eastAsia="ru-RU"/>
              </w:rPr>
            </w:pPr>
            <w:r w:rsidRPr="008F5144">
              <w:rPr>
                <w:rFonts w:eastAsia="Times New Roman" w:cs="Times New Roman"/>
                <w:color w:val="000000"/>
                <w:sz w:val="20"/>
                <w:szCs w:val="20"/>
                <w:lang w:eastAsia="ru-RU"/>
              </w:rPr>
              <w:t>2018</w:t>
            </w:r>
          </w:p>
        </w:tc>
        <w:tc>
          <w:tcPr>
            <w:tcW w:w="1286" w:type="pct"/>
            <w:tcBorders>
              <w:top w:val="nil"/>
              <w:left w:val="nil"/>
              <w:bottom w:val="single" w:sz="8" w:space="0" w:color="auto"/>
              <w:right w:val="single" w:sz="8" w:space="0" w:color="auto"/>
            </w:tcBorders>
            <w:shd w:val="clear" w:color="auto" w:fill="auto"/>
            <w:noWrap/>
            <w:vAlign w:val="center"/>
            <w:hideMark/>
          </w:tcPr>
          <w:p w14:paraId="29EE9483" w14:textId="77777777" w:rsidR="008F5144" w:rsidRPr="008F5144" w:rsidRDefault="008F5144" w:rsidP="008F5144">
            <w:pPr>
              <w:ind w:firstLine="0"/>
              <w:jc w:val="center"/>
              <w:rPr>
                <w:rFonts w:eastAsia="Times New Roman" w:cs="Times New Roman"/>
                <w:color w:val="000000"/>
                <w:sz w:val="20"/>
                <w:szCs w:val="20"/>
                <w:lang w:eastAsia="ru-RU"/>
              </w:rPr>
            </w:pPr>
            <w:r w:rsidRPr="008F5144">
              <w:rPr>
                <w:rFonts w:eastAsia="Times New Roman" w:cs="Times New Roman"/>
                <w:color w:val="000000"/>
                <w:sz w:val="20"/>
                <w:szCs w:val="20"/>
                <w:lang w:eastAsia="ru-RU"/>
              </w:rPr>
              <w:t>Декабрь 2018</w:t>
            </w:r>
          </w:p>
        </w:tc>
        <w:tc>
          <w:tcPr>
            <w:tcW w:w="1161" w:type="pct"/>
            <w:tcBorders>
              <w:top w:val="nil"/>
              <w:left w:val="nil"/>
              <w:bottom w:val="single" w:sz="8" w:space="0" w:color="auto"/>
              <w:right w:val="single" w:sz="8" w:space="0" w:color="auto"/>
            </w:tcBorders>
            <w:shd w:val="clear" w:color="auto" w:fill="auto"/>
            <w:noWrap/>
            <w:vAlign w:val="center"/>
            <w:hideMark/>
          </w:tcPr>
          <w:p w14:paraId="40C42BDF" w14:textId="405A0989" w:rsidR="008F5144" w:rsidRPr="008F5144" w:rsidRDefault="008F5144" w:rsidP="008F5144">
            <w:pPr>
              <w:ind w:firstLine="0"/>
              <w:jc w:val="center"/>
              <w:rPr>
                <w:rFonts w:eastAsia="Times New Roman" w:cs="Times New Roman"/>
                <w:color w:val="000000"/>
                <w:sz w:val="20"/>
                <w:szCs w:val="20"/>
                <w:lang w:eastAsia="ru-RU"/>
              </w:rPr>
            </w:pPr>
            <w:r w:rsidRPr="008F5144">
              <w:rPr>
                <w:rFonts w:eastAsia="Times New Roman" w:cs="Times New Roman"/>
                <w:color w:val="000000"/>
                <w:sz w:val="20"/>
                <w:szCs w:val="20"/>
                <w:lang w:eastAsia="ru-RU"/>
              </w:rPr>
              <w:t>12.2018</w:t>
            </w:r>
          </w:p>
        </w:tc>
        <w:tc>
          <w:tcPr>
            <w:tcW w:w="1696" w:type="pct"/>
            <w:tcBorders>
              <w:top w:val="nil"/>
              <w:left w:val="nil"/>
              <w:bottom w:val="single" w:sz="8" w:space="0" w:color="auto"/>
              <w:right w:val="single" w:sz="8" w:space="0" w:color="auto"/>
            </w:tcBorders>
            <w:shd w:val="clear" w:color="auto" w:fill="auto"/>
            <w:noWrap/>
            <w:vAlign w:val="center"/>
            <w:hideMark/>
          </w:tcPr>
          <w:p w14:paraId="40D3F263" w14:textId="77777777" w:rsidR="008F5144" w:rsidRPr="008F5144" w:rsidRDefault="008F5144" w:rsidP="008F5144">
            <w:pPr>
              <w:ind w:firstLine="0"/>
              <w:jc w:val="center"/>
              <w:rPr>
                <w:rFonts w:eastAsia="Times New Roman" w:cs="Times New Roman"/>
                <w:color w:val="000000"/>
                <w:sz w:val="20"/>
                <w:szCs w:val="20"/>
                <w:lang w:eastAsia="ru-RU"/>
              </w:rPr>
            </w:pPr>
            <w:r w:rsidRPr="008F5144">
              <w:rPr>
                <w:rFonts w:eastAsia="Times New Roman" w:cs="Times New Roman"/>
                <w:color w:val="000000"/>
                <w:sz w:val="20"/>
                <w:szCs w:val="20"/>
                <w:lang w:eastAsia="ru-RU"/>
              </w:rPr>
              <w:t>1,008</w:t>
            </w:r>
          </w:p>
        </w:tc>
      </w:tr>
      <w:tr w:rsidR="008F5144" w:rsidRPr="008F5144" w14:paraId="642DDA47" w14:textId="77777777" w:rsidTr="006C45D3">
        <w:trPr>
          <w:trHeight w:val="315"/>
        </w:trPr>
        <w:tc>
          <w:tcPr>
            <w:tcW w:w="857" w:type="pct"/>
            <w:tcBorders>
              <w:top w:val="nil"/>
              <w:left w:val="single" w:sz="8" w:space="0" w:color="auto"/>
              <w:bottom w:val="single" w:sz="8" w:space="0" w:color="auto"/>
              <w:right w:val="single" w:sz="8" w:space="0" w:color="auto"/>
            </w:tcBorders>
            <w:shd w:val="clear" w:color="auto" w:fill="auto"/>
            <w:vAlign w:val="center"/>
            <w:hideMark/>
          </w:tcPr>
          <w:p w14:paraId="7E6CA3D3" w14:textId="77777777" w:rsidR="008F5144" w:rsidRPr="008F5144" w:rsidRDefault="008F5144" w:rsidP="008F5144">
            <w:pPr>
              <w:ind w:firstLine="0"/>
              <w:jc w:val="center"/>
              <w:rPr>
                <w:rFonts w:eastAsia="Times New Roman" w:cs="Times New Roman"/>
                <w:color w:val="000000"/>
                <w:sz w:val="20"/>
                <w:szCs w:val="20"/>
                <w:lang w:eastAsia="ru-RU"/>
              </w:rPr>
            </w:pPr>
            <w:r w:rsidRPr="008F5144">
              <w:rPr>
                <w:rFonts w:eastAsia="Times New Roman" w:cs="Times New Roman"/>
                <w:color w:val="000000"/>
                <w:sz w:val="20"/>
                <w:szCs w:val="20"/>
                <w:lang w:eastAsia="ru-RU"/>
              </w:rPr>
              <w:t> </w:t>
            </w:r>
          </w:p>
        </w:tc>
        <w:tc>
          <w:tcPr>
            <w:tcW w:w="1286" w:type="pct"/>
            <w:tcBorders>
              <w:top w:val="nil"/>
              <w:left w:val="nil"/>
              <w:bottom w:val="single" w:sz="8" w:space="0" w:color="auto"/>
              <w:right w:val="single" w:sz="8" w:space="0" w:color="auto"/>
            </w:tcBorders>
            <w:shd w:val="clear" w:color="auto" w:fill="auto"/>
            <w:noWrap/>
            <w:vAlign w:val="center"/>
            <w:hideMark/>
          </w:tcPr>
          <w:p w14:paraId="28D5C632" w14:textId="77777777" w:rsidR="008F5144" w:rsidRPr="008F5144" w:rsidRDefault="008F5144" w:rsidP="008F5144">
            <w:pPr>
              <w:ind w:firstLine="0"/>
              <w:jc w:val="center"/>
              <w:rPr>
                <w:rFonts w:eastAsia="Times New Roman" w:cs="Times New Roman"/>
                <w:color w:val="000000"/>
                <w:sz w:val="20"/>
                <w:szCs w:val="20"/>
                <w:lang w:eastAsia="ru-RU"/>
              </w:rPr>
            </w:pPr>
            <w:r w:rsidRPr="008F5144">
              <w:rPr>
                <w:rFonts w:eastAsia="Times New Roman" w:cs="Times New Roman"/>
                <w:color w:val="000000"/>
                <w:sz w:val="20"/>
                <w:szCs w:val="20"/>
                <w:lang w:eastAsia="ru-RU"/>
              </w:rPr>
              <w:t>Ноябрь 2018</w:t>
            </w:r>
          </w:p>
        </w:tc>
        <w:tc>
          <w:tcPr>
            <w:tcW w:w="1161" w:type="pct"/>
            <w:tcBorders>
              <w:top w:val="nil"/>
              <w:left w:val="nil"/>
              <w:bottom w:val="single" w:sz="8" w:space="0" w:color="auto"/>
              <w:right w:val="single" w:sz="8" w:space="0" w:color="auto"/>
            </w:tcBorders>
            <w:shd w:val="clear" w:color="auto" w:fill="auto"/>
            <w:noWrap/>
            <w:vAlign w:val="center"/>
            <w:hideMark/>
          </w:tcPr>
          <w:p w14:paraId="2C213F69" w14:textId="0EA97911" w:rsidR="008F5144" w:rsidRPr="008F5144" w:rsidRDefault="008F5144" w:rsidP="008F5144">
            <w:pPr>
              <w:ind w:firstLine="0"/>
              <w:jc w:val="center"/>
              <w:rPr>
                <w:rFonts w:eastAsia="Times New Roman" w:cs="Times New Roman"/>
                <w:color w:val="000000"/>
                <w:sz w:val="20"/>
                <w:szCs w:val="20"/>
                <w:lang w:eastAsia="ru-RU"/>
              </w:rPr>
            </w:pPr>
            <w:r w:rsidRPr="008F5144">
              <w:rPr>
                <w:rFonts w:eastAsia="Times New Roman" w:cs="Times New Roman"/>
                <w:color w:val="000000"/>
                <w:sz w:val="20"/>
                <w:szCs w:val="20"/>
                <w:lang w:eastAsia="ru-RU"/>
              </w:rPr>
              <w:t>11.2018</w:t>
            </w:r>
          </w:p>
        </w:tc>
        <w:tc>
          <w:tcPr>
            <w:tcW w:w="1696" w:type="pct"/>
            <w:tcBorders>
              <w:top w:val="nil"/>
              <w:left w:val="nil"/>
              <w:bottom w:val="single" w:sz="8" w:space="0" w:color="auto"/>
              <w:right w:val="single" w:sz="8" w:space="0" w:color="auto"/>
            </w:tcBorders>
            <w:shd w:val="clear" w:color="auto" w:fill="auto"/>
            <w:noWrap/>
            <w:vAlign w:val="center"/>
            <w:hideMark/>
          </w:tcPr>
          <w:p w14:paraId="128A716B" w14:textId="77777777" w:rsidR="008F5144" w:rsidRPr="008F5144" w:rsidRDefault="008F5144" w:rsidP="008F5144">
            <w:pPr>
              <w:ind w:firstLine="0"/>
              <w:jc w:val="center"/>
              <w:rPr>
                <w:rFonts w:eastAsia="Times New Roman" w:cs="Times New Roman"/>
                <w:color w:val="000000"/>
                <w:sz w:val="20"/>
                <w:szCs w:val="20"/>
                <w:lang w:eastAsia="ru-RU"/>
              </w:rPr>
            </w:pPr>
            <w:r w:rsidRPr="008F5144">
              <w:rPr>
                <w:rFonts w:eastAsia="Times New Roman" w:cs="Times New Roman"/>
                <w:color w:val="000000"/>
                <w:sz w:val="20"/>
                <w:szCs w:val="20"/>
                <w:lang w:eastAsia="ru-RU"/>
              </w:rPr>
              <w:t>1,013</w:t>
            </w:r>
          </w:p>
        </w:tc>
      </w:tr>
      <w:tr w:rsidR="008F5144" w:rsidRPr="008F5144" w14:paraId="1961C942" w14:textId="77777777" w:rsidTr="006C45D3">
        <w:trPr>
          <w:trHeight w:val="315"/>
        </w:trPr>
        <w:tc>
          <w:tcPr>
            <w:tcW w:w="857" w:type="pct"/>
            <w:tcBorders>
              <w:top w:val="nil"/>
              <w:left w:val="single" w:sz="8" w:space="0" w:color="auto"/>
              <w:bottom w:val="single" w:sz="8" w:space="0" w:color="auto"/>
              <w:right w:val="single" w:sz="8" w:space="0" w:color="auto"/>
            </w:tcBorders>
            <w:shd w:val="clear" w:color="auto" w:fill="auto"/>
            <w:vAlign w:val="center"/>
            <w:hideMark/>
          </w:tcPr>
          <w:p w14:paraId="4E1BCFC7" w14:textId="77777777" w:rsidR="008F5144" w:rsidRPr="008F5144" w:rsidRDefault="008F5144" w:rsidP="008F5144">
            <w:pPr>
              <w:ind w:firstLine="0"/>
              <w:jc w:val="center"/>
              <w:rPr>
                <w:rFonts w:eastAsia="Times New Roman" w:cs="Times New Roman"/>
                <w:color w:val="000000"/>
                <w:sz w:val="20"/>
                <w:szCs w:val="20"/>
                <w:lang w:eastAsia="ru-RU"/>
              </w:rPr>
            </w:pPr>
            <w:r w:rsidRPr="008F5144">
              <w:rPr>
                <w:rFonts w:eastAsia="Times New Roman" w:cs="Times New Roman"/>
                <w:color w:val="000000"/>
                <w:sz w:val="20"/>
                <w:szCs w:val="20"/>
                <w:lang w:eastAsia="ru-RU"/>
              </w:rPr>
              <w:t> </w:t>
            </w:r>
          </w:p>
        </w:tc>
        <w:tc>
          <w:tcPr>
            <w:tcW w:w="1286" w:type="pct"/>
            <w:tcBorders>
              <w:top w:val="nil"/>
              <w:left w:val="nil"/>
              <w:bottom w:val="single" w:sz="8" w:space="0" w:color="auto"/>
              <w:right w:val="single" w:sz="8" w:space="0" w:color="auto"/>
            </w:tcBorders>
            <w:shd w:val="clear" w:color="auto" w:fill="auto"/>
            <w:noWrap/>
            <w:vAlign w:val="center"/>
            <w:hideMark/>
          </w:tcPr>
          <w:p w14:paraId="1BFED40C" w14:textId="77777777" w:rsidR="008F5144" w:rsidRPr="008F5144" w:rsidRDefault="008F5144" w:rsidP="008F5144">
            <w:pPr>
              <w:ind w:firstLine="0"/>
              <w:jc w:val="center"/>
              <w:rPr>
                <w:rFonts w:eastAsia="Times New Roman" w:cs="Times New Roman"/>
                <w:color w:val="000000"/>
                <w:sz w:val="20"/>
                <w:szCs w:val="20"/>
                <w:lang w:eastAsia="ru-RU"/>
              </w:rPr>
            </w:pPr>
            <w:r w:rsidRPr="008F5144">
              <w:rPr>
                <w:rFonts w:eastAsia="Times New Roman" w:cs="Times New Roman"/>
                <w:color w:val="000000"/>
                <w:sz w:val="20"/>
                <w:szCs w:val="20"/>
                <w:lang w:eastAsia="ru-RU"/>
              </w:rPr>
              <w:t>Октябрь 2018</w:t>
            </w:r>
          </w:p>
        </w:tc>
        <w:tc>
          <w:tcPr>
            <w:tcW w:w="1161" w:type="pct"/>
            <w:tcBorders>
              <w:top w:val="nil"/>
              <w:left w:val="nil"/>
              <w:bottom w:val="single" w:sz="8" w:space="0" w:color="auto"/>
              <w:right w:val="single" w:sz="8" w:space="0" w:color="auto"/>
            </w:tcBorders>
            <w:shd w:val="clear" w:color="auto" w:fill="auto"/>
            <w:noWrap/>
            <w:vAlign w:val="center"/>
            <w:hideMark/>
          </w:tcPr>
          <w:p w14:paraId="1A19802B" w14:textId="7B169D19" w:rsidR="008F5144" w:rsidRPr="008F5144" w:rsidRDefault="008F5144" w:rsidP="008F5144">
            <w:pPr>
              <w:ind w:firstLine="0"/>
              <w:jc w:val="center"/>
              <w:rPr>
                <w:rFonts w:eastAsia="Times New Roman" w:cs="Times New Roman"/>
                <w:color w:val="000000"/>
                <w:sz w:val="20"/>
                <w:szCs w:val="20"/>
                <w:lang w:eastAsia="ru-RU"/>
              </w:rPr>
            </w:pPr>
            <w:r w:rsidRPr="008F5144">
              <w:rPr>
                <w:rFonts w:eastAsia="Times New Roman" w:cs="Times New Roman"/>
                <w:color w:val="000000"/>
                <w:sz w:val="20"/>
                <w:szCs w:val="20"/>
                <w:lang w:eastAsia="ru-RU"/>
              </w:rPr>
              <w:t>10.2018</w:t>
            </w:r>
          </w:p>
        </w:tc>
        <w:tc>
          <w:tcPr>
            <w:tcW w:w="1696" w:type="pct"/>
            <w:tcBorders>
              <w:top w:val="nil"/>
              <w:left w:val="nil"/>
              <w:bottom w:val="single" w:sz="8" w:space="0" w:color="auto"/>
              <w:right w:val="single" w:sz="8" w:space="0" w:color="auto"/>
            </w:tcBorders>
            <w:shd w:val="clear" w:color="auto" w:fill="auto"/>
            <w:noWrap/>
            <w:vAlign w:val="center"/>
            <w:hideMark/>
          </w:tcPr>
          <w:p w14:paraId="5F56A0C0" w14:textId="77777777" w:rsidR="008F5144" w:rsidRPr="008F5144" w:rsidRDefault="008F5144" w:rsidP="008F5144">
            <w:pPr>
              <w:ind w:firstLine="0"/>
              <w:jc w:val="center"/>
              <w:rPr>
                <w:rFonts w:eastAsia="Times New Roman" w:cs="Times New Roman"/>
                <w:color w:val="000000"/>
                <w:sz w:val="20"/>
                <w:szCs w:val="20"/>
                <w:lang w:eastAsia="ru-RU"/>
              </w:rPr>
            </w:pPr>
            <w:r w:rsidRPr="008F5144">
              <w:rPr>
                <w:rFonts w:eastAsia="Times New Roman" w:cs="Times New Roman"/>
                <w:color w:val="000000"/>
                <w:sz w:val="20"/>
                <w:szCs w:val="20"/>
                <w:lang w:eastAsia="ru-RU"/>
              </w:rPr>
              <w:t>1,017</w:t>
            </w:r>
          </w:p>
        </w:tc>
      </w:tr>
      <w:tr w:rsidR="008F5144" w:rsidRPr="008F5144" w14:paraId="30B6EEBB" w14:textId="77777777" w:rsidTr="006C45D3">
        <w:trPr>
          <w:trHeight w:val="315"/>
        </w:trPr>
        <w:tc>
          <w:tcPr>
            <w:tcW w:w="857" w:type="pct"/>
            <w:tcBorders>
              <w:top w:val="nil"/>
              <w:left w:val="single" w:sz="8" w:space="0" w:color="auto"/>
              <w:bottom w:val="single" w:sz="8" w:space="0" w:color="auto"/>
              <w:right w:val="single" w:sz="8" w:space="0" w:color="auto"/>
            </w:tcBorders>
            <w:shd w:val="clear" w:color="auto" w:fill="auto"/>
            <w:vAlign w:val="center"/>
            <w:hideMark/>
          </w:tcPr>
          <w:p w14:paraId="5772A4D8" w14:textId="77777777" w:rsidR="008F5144" w:rsidRPr="008F5144" w:rsidRDefault="008F5144" w:rsidP="008F5144">
            <w:pPr>
              <w:ind w:firstLine="0"/>
              <w:jc w:val="center"/>
              <w:rPr>
                <w:rFonts w:eastAsia="Times New Roman" w:cs="Times New Roman"/>
                <w:color w:val="000000"/>
                <w:sz w:val="20"/>
                <w:szCs w:val="20"/>
                <w:lang w:eastAsia="ru-RU"/>
              </w:rPr>
            </w:pPr>
            <w:r w:rsidRPr="008F5144">
              <w:rPr>
                <w:rFonts w:eastAsia="Times New Roman" w:cs="Times New Roman"/>
                <w:color w:val="000000"/>
                <w:sz w:val="20"/>
                <w:szCs w:val="20"/>
                <w:lang w:eastAsia="ru-RU"/>
              </w:rPr>
              <w:t> </w:t>
            </w:r>
          </w:p>
        </w:tc>
        <w:tc>
          <w:tcPr>
            <w:tcW w:w="1286" w:type="pct"/>
            <w:tcBorders>
              <w:top w:val="nil"/>
              <w:left w:val="nil"/>
              <w:bottom w:val="single" w:sz="8" w:space="0" w:color="auto"/>
              <w:right w:val="single" w:sz="8" w:space="0" w:color="auto"/>
            </w:tcBorders>
            <w:shd w:val="clear" w:color="auto" w:fill="auto"/>
            <w:noWrap/>
            <w:vAlign w:val="center"/>
            <w:hideMark/>
          </w:tcPr>
          <w:p w14:paraId="642AD153" w14:textId="77777777" w:rsidR="008F5144" w:rsidRPr="008F5144" w:rsidRDefault="008F5144" w:rsidP="008F5144">
            <w:pPr>
              <w:ind w:firstLine="0"/>
              <w:jc w:val="center"/>
              <w:rPr>
                <w:rFonts w:eastAsia="Times New Roman" w:cs="Times New Roman"/>
                <w:color w:val="000000"/>
                <w:sz w:val="20"/>
                <w:szCs w:val="20"/>
                <w:lang w:eastAsia="ru-RU"/>
              </w:rPr>
            </w:pPr>
            <w:r w:rsidRPr="008F5144">
              <w:rPr>
                <w:rFonts w:eastAsia="Times New Roman" w:cs="Times New Roman"/>
                <w:color w:val="000000"/>
                <w:sz w:val="20"/>
                <w:szCs w:val="20"/>
                <w:lang w:eastAsia="ru-RU"/>
              </w:rPr>
              <w:t>Сентябрь 2018</w:t>
            </w:r>
          </w:p>
        </w:tc>
        <w:tc>
          <w:tcPr>
            <w:tcW w:w="1161" w:type="pct"/>
            <w:tcBorders>
              <w:top w:val="nil"/>
              <w:left w:val="nil"/>
              <w:bottom w:val="single" w:sz="8" w:space="0" w:color="auto"/>
              <w:right w:val="single" w:sz="8" w:space="0" w:color="auto"/>
            </w:tcBorders>
            <w:shd w:val="clear" w:color="auto" w:fill="auto"/>
            <w:noWrap/>
            <w:vAlign w:val="center"/>
            <w:hideMark/>
          </w:tcPr>
          <w:p w14:paraId="59AD5BB4" w14:textId="696A26EB" w:rsidR="008F5144" w:rsidRPr="008F5144" w:rsidRDefault="008F5144" w:rsidP="008F5144">
            <w:pPr>
              <w:ind w:firstLine="0"/>
              <w:jc w:val="center"/>
              <w:rPr>
                <w:rFonts w:eastAsia="Times New Roman" w:cs="Times New Roman"/>
                <w:color w:val="000000"/>
                <w:sz w:val="20"/>
                <w:szCs w:val="20"/>
                <w:lang w:eastAsia="ru-RU"/>
              </w:rPr>
            </w:pPr>
            <w:r w:rsidRPr="008F5144">
              <w:rPr>
                <w:rFonts w:eastAsia="Times New Roman" w:cs="Times New Roman"/>
                <w:color w:val="000000"/>
                <w:sz w:val="20"/>
                <w:szCs w:val="20"/>
                <w:lang w:eastAsia="ru-RU"/>
              </w:rPr>
              <w:t>09.2018</w:t>
            </w:r>
          </w:p>
        </w:tc>
        <w:tc>
          <w:tcPr>
            <w:tcW w:w="1696" w:type="pct"/>
            <w:tcBorders>
              <w:top w:val="nil"/>
              <w:left w:val="nil"/>
              <w:bottom w:val="single" w:sz="8" w:space="0" w:color="auto"/>
              <w:right w:val="single" w:sz="8" w:space="0" w:color="auto"/>
            </w:tcBorders>
            <w:shd w:val="clear" w:color="auto" w:fill="auto"/>
            <w:noWrap/>
            <w:vAlign w:val="center"/>
            <w:hideMark/>
          </w:tcPr>
          <w:p w14:paraId="6AA40093" w14:textId="77777777" w:rsidR="008F5144" w:rsidRPr="008F5144" w:rsidRDefault="008F5144" w:rsidP="008F5144">
            <w:pPr>
              <w:ind w:firstLine="0"/>
              <w:jc w:val="center"/>
              <w:rPr>
                <w:rFonts w:eastAsia="Times New Roman" w:cs="Times New Roman"/>
                <w:color w:val="000000"/>
                <w:sz w:val="20"/>
                <w:szCs w:val="20"/>
                <w:lang w:eastAsia="ru-RU"/>
              </w:rPr>
            </w:pPr>
            <w:r w:rsidRPr="008F5144">
              <w:rPr>
                <w:rFonts w:eastAsia="Times New Roman" w:cs="Times New Roman"/>
                <w:color w:val="000000"/>
                <w:sz w:val="20"/>
                <w:szCs w:val="20"/>
                <w:lang w:eastAsia="ru-RU"/>
              </w:rPr>
              <w:t>1,019</w:t>
            </w:r>
          </w:p>
        </w:tc>
      </w:tr>
      <w:tr w:rsidR="008F5144" w:rsidRPr="008F5144" w14:paraId="70657873" w14:textId="77777777" w:rsidTr="006C45D3">
        <w:trPr>
          <w:trHeight w:val="315"/>
        </w:trPr>
        <w:tc>
          <w:tcPr>
            <w:tcW w:w="857" w:type="pct"/>
            <w:tcBorders>
              <w:top w:val="nil"/>
              <w:left w:val="single" w:sz="8" w:space="0" w:color="auto"/>
              <w:bottom w:val="single" w:sz="8" w:space="0" w:color="auto"/>
              <w:right w:val="single" w:sz="8" w:space="0" w:color="auto"/>
            </w:tcBorders>
            <w:shd w:val="clear" w:color="auto" w:fill="auto"/>
            <w:vAlign w:val="center"/>
            <w:hideMark/>
          </w:tcPr>
          <w:p w14:paraId="74F141EA" w14:textId="77777777" w:rsidR="008F5144" w:rsidRPr="008F5144" w:rsidRDefault="008F5144" w:rsidP="008F5144">
            <w:pPr>
              <w:ind w:firstLine="0"/>
              <w:jc w:val="center"/>
              <w:rPr>
                <w:rFonts w:eastAsia="Times New Roman" w:cs="Times New Roman"/>
                <w:color w:val="000000"/>
                <w:sz w:val="20"/>
                <w:szCs w:val="20"/>
                <w:lang w:eastAsia="ru-RU"/>
              </w:rPr>
            </w:pPr>
            <w:r w:rsidRPr="008F5144">
              <w:rPr>
                <w:rFonts w:eastAsia="Times New Roman" w:cs="Times New Roman"/>
                <w:color w:val="000000"/>
                <w:sz w:val="20"/>
                <w:szCs w:val="20"/>
                <w:lang w:eastAsia="ru-RU"/>
              </w:rPr>
              <w:t> </w:t>
            </w:r>
          </w:p>
        </w:tc>
        <w:tc>
          <w:tcPr>
            <w:tcW w:w="1286" w:type="pct"/>
            <w:tcBorders>
              <w:top w:val="nil"/>
              <w:left w:val="nil"/>
              <w:bottom w:val="single" w:sz="8" w:space="0" w:color="auto"/>
              <w:right w:val="single" w:sz="8" w:space="0" w:color="auto"/>
            </w:tcBorders>
            <w:shd w:val="clear" w:color="auto" w:fill="auto"/>
            <w:noWrap/>
            <w:vAlign w:val="center"/>
            <w:hideMark/>
          </w:tcPr>
          <w:p w14:paraId="667AA0DF" w14:textId="77777777" w:rsidR="008F5144" w:rsidRPr="008F5144" w:rsidRDefault="008F5144" w:rsidP="008F5144">
            <w:pPr>
              <w:ind w:firstLine="0"/>
              <w:jc w:val="center"/>
              <w:rPr>
                <w:rFonts w:eastAsia="Times New Roman" w:cs="Times New Roman"/>
                <w:color w:val="000000"/>
                <w:sz w:val="20"/>
                <w:szCs w:val="20"/>
                <w:lang w:eastAsia="ru-RU"/>
              </w:rPr>
            </w:pPr>
            <w:r w:rsidRPr="008F5144">
              <w:rPr>
                <w:rFonts w:eastAsia="Times New Roman" w:cs="Times New Roman"/>
                <w:color w:val="000000"/>
                <w:sz w:val="20"/>
                <w:szCs w:val="20"/>
                <w:lang w:eastAsia="ru-RU"/>
              </w:rPr>
              <w:t>Август 2018</w:t>
            </w:r>
          </w:p>
        </w:tc>
        <w:tc>
          <w:tcPr>
            <w:tcW w:w="1161" w:type="pct"/>
            <w:tcBorders>
              <w:top w:val="nil"/>
              <w:left w:val="nil"/>
              <w:bottom w:val="single" w:sz="8" w:space="0" w:color="auto"/>
              <w:right w:val="single" w:sz="8" w:space="0" w:color="auto"/>
            </w:tcBorders>
            <w:shd w:val="clear" w:color="auto" w:fill="auto"/>
            <w:noWrap/>
            <w:vAlign w:val="center"/>
            <w:hideMark/>
          </w:tcPr>
          <w:p w14:paraId="097A7663" w14:textId="6BC24458" w:rsidR="008F5144" w:rsidRPr="008F5144" w:rsidRDefault="008F5144" w:rsidP="008F5144">
            <w:pPr>
              <w:ind w:firstLine="0"/>
              <w:jc w:val="center"/>
              <w:rPr>
                <w:rFonts w:eastAsia="Times New Roman" w:cs="Times New Roman"/>
                <w:color w:val="000000"/>
                <w:sz w:val="20"/>
                <w:szCs w:val="20"/>
                <w:lang w:eastAsia="ru-RU"/>
              </w:rPr>
            </w:pPr>
            <w:r w:rsidRPr="008F5144">
              <w:rPr>
                <w:rFonts w:eastAsia="Times New Roman" w:cs="Times New Roman"/>
                <w:color w:val="000000"/>
                <w:sz w:val="20"/>
                <w:szCs w:val="20"/>
                <w:lang w:eastAsia="ru-RU"/>
              </w:rPr>
              <w:t>08.2018</w:t>
            </w:r>
          </w:p>
        </w:tc>
        <w:tc>
          <w:tcPr>
            <w:tcW w:w="1696" w:type="pct"/>
            <w:tcBorders>
              <w:top w:val="nil"/>
              <w:left w:val="nil"/>
              <w:bottom w:val="single" w:sz="8" w:space="0" w:color="auto"/>
              <w:right w:val="single" w:sz="8" w:space="0" w:color="auto"/>
            </w:tcBorders>
            <w:shd w:val="clear" w:color="auto" w:fill="auto"/>
            <w:noWrap/>
            <w:vAlign w:val="center"/>
            <w:hideMark/>
          </w:tcPr>
          <w:p w14:paraId="3A1C729B" w14:textId="77777777" w:rsidR="008F5144" w:rsidRPr="008F5144" w:rsidRDefault="008F5144" w:rsidP="008F5144">
            <w:pPr>
              <w:ind w:firstLine="0"/>
              <w:jc w:val="center"/>
              <w:rPr>
                <w:rFonts w:eastAsia="Times New Roman" w:cs="Times New Roman"/>
                <w:color w:val="000000"/>
                <w:sz w:val="20"/>
                <w:szCs w:val="20"/>
                <w:lang w:eastAsia="ru-RU"/>
              </w:rPr>
            </w:pPr>
            <w:r w:rsidRPr="008F5144">
              <w:rPr>
                <w:rFonts w:eastAsia="Times New Roman" w:cs="Times New Roman"/>
                <w:color w:val="000000"/>
                <w:sz w:val="20"/>
                <w:szCs w:val="20"/>
                <w:lang w:eastAsia="ru-RU"/>
              </w:rPr>
              <w:t>1,019</w:t>
            </w:r>
          </w:p>
        </w:tc>
      </w:tr>
      <w:tr w:rsidR="008F5144" w:rsidRPr="008F5144" w14:paraId="4E4CD397" w14:textId="77777777" w:rsidTr="006C45D3">
        <w:trPr>
          <w:trHeight w:val="315"/>
        </w:trPr>
        <w:tc>
          <w:tcPr>
            <w:tcW w:w="857" w:type="pct"/>
            <w:tcBorders>
              <w:top w:val="nil"/>
              <w:left w:val="single" w:sz="8" w:space="0" w:color="auto"/>
              <w:bottom w:val="single" w:sz="8" w:space="0" w:color="auto"/>
              <w:right w:val="single" w:sz="8" w:space="0" w:color="auto"/>
            </w:tcBorders>
            <w:shd w:val="clear" w:color="auto" w:fill="auto"/>
            <w:vAlign w:val="center"/>
            <w:hideMark/>
          </w:tcPr>
          <w:p w14:paraId="7FCAD34D" w14:textId="77777777" w:rsidR="008F5144" w:rsidRPr="008F5144" w:rsidRDefault="008F5144" w:rsidP="008F5144">
            <w:pPr>
              <w:ind w:firstLine="0"/>
              <w:jc w:val="center"/>
              <w:rPr>
                <w:rFonts w:eastAsia="Times New Roman" w:cs="Times New Roman"/>
                <w:color w:val="000000"/>
                <w:sz w:val="20"/>
                <w:szCs w:val="20"/>
                <w:lang w:eastAsia="ru-RU"/>
              </w:rPr>
            </w:pPr>
            <w:r w:rsidRPr="008F5144">
              <w:rPr>
                <w:rFonts w:eastAsia="Times New Roman" w:cs="Times New Roman"/>
                <w:color w:val="000000"/>
                <w:sz w:val="20"/>
                <w:szCs w:val="20"/>
                <w:lang w:eastAsia="ru-RU"/>
              </w:rPr>
              <w:t> </w:t>
            </w:r>
          </w:p>
        </w:tc>
        <w:tc>
          <w:tcPr>
            <w:tcW w:w="1286" w:type="pct"/>
            <w:tcBorders>
              <w:top w:val="nil"/>
              <w:left w:val="nil"/>
              <w:bottom w:val="single" w:sz="8" w:space="0" w:color="auto"/>
              <w:right w:val="single" w:sz="8" w:space="0" w:color="auto"/>
            </w:tcBorders>
            <w:shd w:val="clear" w:color="auto" w:fill="auto"/>
            <w:noWrap/>
            <w:vAlign w:val="center"/>
            <w:hideMark/>
          </w:tcPr>
          <w:p w14:paraId="2319372C" w14:textId="77777777" w:rsidR="008F5144" w:rsidRPr="008F5144" w:rsidRDefault="008F5144" w:rsidP="008F5144">
            <w:pPr>
              <w:ind w:firstLine="0"/>
              <w:jc w:val="center"/>
              <w:rPr>
                <w:rFonts w:eastAsia="Times New Roman" w:cs="Times New Roman"/>
                <w:color w:val="000000"/>
                <w:sz w:val="20"/>
                <w:szCs w:val="20"/>
                <w:lang w:eastAsia="ru-RU"/>
              </w:rPr>
            </w:pPr>
            <w:r w:rsidRPr="008F5144">
              <w:rPr>
                <w:rFonts w:eastAsia="Times New Roman" w:cs="Times New Roman"/>
                <w:color w:val="000000"/>
                <w:sz w:val="20"/>
                <w:szCs w:val="20"/>
                <w:lang w:eastAsia="ru-RU"/>
              </w:rPr>
              <w:t>Июль 2018</w:t>
            </w:r>
          </w:p>
        </w:tc>
        <w:tc>
          <w:tcPr>
            <w:tcW w:w="1161" w:type="pct"/>
            <w:tcBorders>
              <w:top w:val="nil"/>
              <w:left w:val="nil"/>
              <w:bottom w:val="single" w:sz="8" w:space="0" w:color="auto"/>
              <w:right w:val="single" w:sz="8" w:space="0" w:color="auto"/>
            </w:tcBorders>
            <w:shd w:val="clear" w:color="auto" w:fill="auto"/>
            <w:noWrap/>
            <w:vAlign w:val="center"/>
            <w:hideMark/>
          </w:tcPr>
          <w:p w14:paraId="196652C0" w14:textId="1FE0BA27" w:rsidR="008F5144" w:rsidRPr="008F5144" w:rsidRDefault="008F5144" w:rsidP="008F5144">
            <w:pPr>
              <w:ind w:firstLine="0"/>
              <w:jc w:val="center"/>
              <w:rPr>
                <w:rFonts w:eastAsia="Times New Roman" w:cs="Times New Roman"/>
                <w:color w:val="000000"/>
                <w:sz w:val="20"/>
                <w:szCs w:val="20"/>
                <w:lang w:eastAsia="ru-RU"/>
              </w:rPr>
            </w:pPr>
            <w:r w:rsidRPr="008F5144">
              <w:rPr>
                <w:rFonts w:eastAsia="Times New Roman" w:cs="Times New Roman"/>
                <w:color w:val="000000"/>
                <w:sz w:val="20"/>
                <w:szCs w:val="20"/>
                <w:lang w:eastAsia="ru-RU"/>
              </w:rPr>
              <w:t>07.2018</w:t>
            </w:r>
          </w:p>
        </w:tc>
        <w:tc>
          <w:tcPr>
            <w:tcW w:w="1696" w:type="pct"/>
            <w:tcBorders>
              <w:top w:val="nil"/>
              <w:left w:val="nil"/>
              <w:bottom w:val="single" w:sz="8" w:space="0" w:color="auto"/>
              <w:right w:val="single" w:sz="8" w:space="0" w:color="auto"/>
            </w:tcBorders>
            <w:shd w:val="clear" w:color="auto" w:fill="auto"/>
            <w:noWrap/>
            <w:vAlign w:val="center"/>
            <w:hideMark/>
          </w:tcPr>
          <w:p w14:paraId="05815955" w14:textId="77777777" w:rsidR="008F5144" w:rsidRPr="008F5144" w:rsidRDefault="008F5144" w:rsidP="008F5144">
            <w:pPr>
              <w:ind w:firstLine="0"/>
              <w:jc w:val="center"/>
              <w:rPr>
                <w:rFonts w:eastAsia="Times New Roman" w:cs="Times New Roman"/>
                <w:color w:val="000000"/>
                <w:sz w:val="20"/>
                <w:szCs w:val="20"/>
                <w:lang w:eastAsia="ru-RU"/>
              </w:rPr>
            </w:pPr>
            <w:r w:rsidRPr="008F5144">
              <w:rPr>
                <w:rFonts w:eastAsia="Times New Roman" w:cs="Times New Roman"/>
                <w:color w:val="000000"/>
                <w:sz w:val="20"/>
                <w:szCs w:val="20"/>
                <w:lang w:eastAsia="ru-RU"/>
              </w:rPr>
              <w:t>1,022</w:t>
            </w:r>
          </w:p>
        </w:tc>
      </w:tr>
      <w:tr w:rsidR="008F5144" w:rsidRPr="008F5144" w14:paraId="2463905E" w14:textId="77777777" w:rsidTr="006C45D3">
        <w:trPr>
          <w:trHeight w:val="315"/>
        </w:trPr>
        <w:tc>
          <w:tcPr>
            <w:tcW w:w="857" w:type="pct"/>
            <w:tcBorders>
              <w:top w:val="nil"/>
              <w:left w:val="single" w:sz="8" w:space="0" w:color="auto"/>
              <w:bottom w:val="single" w:sz="8" w:space="0" w:color="auto"/>
              <w:right w:val="single" w:sz="8" w:space="0" w:color="auto"/>
            </w:tcBorders>
            <w:shd w:val="clear" w:color="auto" w:fill="auto"/>
            <w:vAlign w:val="center"/>
            <w:hideMark/>
          </w:tcPr>
          <w:p w14:paraId="745E2D28" w14:textId="77777777" w:rsidR="008F5144" w:rsidRPr="008F5144" w:rsidRDefault="008F5144" w:rsidP="008F5144">
            <w:pPr>
              <w:ind w:firstLine="0"/>
              <w:jc w:val="center"/>
              <w:rPr>
                <w:rFonts w:eastAsia="Times New Roman" w:cs="Times New Roman"/>
                <w:color w:val="000000"/>
                <w:sz w:val="20"/>
                <w:szCs w:val="20"/>
                <w:lang w:eastAsia="ru-RU"/>
              </w:rPr>
            </w:pPr>
            <w:r w:rsidRPr="008F5144">
              <w:rPr>
                <w:rFonts w:eastAsia="Times New Roman" w:cs="Times New Roman"/>
                <w:color w:val="000000"/>
                <w:sz w:val="20"/>
                <w:szCs w:val="20"/>
                <w:lang w:eastAsia="ru-RU"/>
              </w:rPr>
              <w:t> </w:t>
            </w:r>
          </w:p>
        </w:tc>
        <w:tc>
          <w:tcPr>
            <w:tcW w:w="1286" w:type="pct"/>
            <w:tcBorders>
              <w:top w:val="nil"/>
              <w:left w:val="nil"/>
              <w:bottom w:val="single" w:sz="8" w:space="0" w:color="auto"/>
              <w:right w:val="single" w:sz="8" w:space="0" w:color="auto"/>
            </w:tcBorders>
            <w:shd w:val="clear" w:color="auto" w:fill="auto"/>
            <w:noWrap/>
            <w:vAlign w:val="center"/>
            <w:hideMark/>
          </w:tcPr>
          <w:p w14:paraId="5BF7478C" w14:textId="77777777" w:rsidR="008F5144" w:rsidRPr="008F5144" w:rsidRDefault="008F5144" w:rsidP="008F5144">
            <w:pPr>
              <w:ind w:firstLine="0"/>
              <w:jc w:val="center"/>
              <w:rPr>
                <w:rFonts w:eastAsia="Times New Roman" w:cs="Times New Roman"/>
                <w:color w:val="000000"/>
                <w:sz w:val="20"/>
                <w:szCs w:val="20"/>
                <w:lang w:eastAsia="ru-RU"/>
              </w:rPr>
            </w:pPr>
            <w:r w:rsidRPr="008F5144">
              <w:rPr>
                <w:rFonts w:eastAsia="Times New Roman" w:cs="Times New Roman"/>
                <w:color w:val="000000"/>
                <w:sz w:val="20"/>
                <w:szCs w:val="20"/>
                <w:lang w:eastAsia="ru-RU"/>
              </w:rPr>
              <w:t>Июнь 2018</w:t>
            </w:r>
          </w:p>
        </w:tc>
        <w:tc>
          <w:tcPr>
            <w:tcW w:w="1161" w:type="pct"/>
            <w:tcBorders>
              <w:top w:val="nil"/>
              <w:left w:val="nil"/>
              <w:bottom w:val="single" w:sz="8" w:space="0" w:color="auto"/>
              <w:right w:val="single" w:sz="8" w:space="0" w:color="auto"/>
            </w:tcBorders>
            <w:shd w:val="clear" w:color="auto" w:fill="auto"/>
            <w:noWrap/>
            <w:vAlign w:val="center"/>
            <w:hideMark/>
          </w:tcPr>
          <w:p w14:paraId="3880B4FB" w14:textId="6B5B3B31" w:rsidR="008F5144" w:rsidRPr="008F5144" w:rsidRDefault="008F5144" w:rsidP="008F5144">
            <w:pPr>
              <w:ind w:firstLine="0"/>
              <w:jc w:val="center"/>
              <w:rPr>
                <w:rFonts w:eastAsia="Times New Roman" w:cs="Times New Roman"/>
                <w:color w:val="000000"/>
                <w:sz w:val="20"/>
                <w:szCs w:val="20"/>
                <w:lang w:eastAsia="ru-RU"/>
              </w:rPr>
            </w:pPr>
            <w:r w:rsidRPr="008F5144">
              <w:rPr>
                <w:rFonts w:eastAsia="Times New Roman" w:cs="Times New Roman"/>
                <w:color w:val="000000"/>
                <w:sz w:val="20"/>
                <w:szCs w:val="20"/>
                <w:lang w:eastAsia="ru-RU"/>
              </w:rPr>
              <w:t>06.2018</w:t>
            </w:r>
          </w:p>
        </w:tc>
        <w:tc>
          <w:tcPr>
            <w:tcW w:w="1696" w:type="pct"/>
            <w:tcBorders>
              <w:top w:val="nil"/>
              <w:left w:val="nil"/>
              <w:bottom w:val="single" w:sz="8" w:space="0" w:color="auto"/>
              <w:right w:val="single" w:sz="8" w:space="0" w:color="auto"/>
            </w:tcBorders>
            <w:shd w:val="clear" w:color="auto" w:fill="auto"/>
            <w:noWrap/>
            <w:vAlign w:val="center"/>
            <w:hideMark/>
          </w:tcPr>
          <w:p w14:paraId="3CABC2F9" w14:textId="77777777" w:rsidR="008F5144" w:rsidRPr="008F5144" w:rsidRDefault="008F5144" w:rsidP="008F5144">
            <w:pPr>
              <w:ind w:firstLine="0"/>
              <w:jc w:val="center"/>
              <w:rPr>
                <w:rFonts w:eastAsia="Times New Roman" w:cs="Times New Roman"/>
                <w:color w:val="000000"/>
                <w:sz w:val="20"/>
                <w:szCs w:val="20"/>
                <w:lang w:eastAsia="ru-RU"/>
              </w:rPr>
            </w:pPr>
            <w:r w:rsidRPr="008F5144">
              <w:rPr>
                <w:rFonts w:eastAsia="Times New Roman" w:cs="Times New Roman"/>
                <w:color w:val="000000"/>
                <w:sz w:val="20"/>
                <w:szCs w:val="20"/>
                <w:lang w:eastAsia="ru-RU"/>
              </w:rPr>
              <w:t>1,027</w:t>
            </w:r>
          </w:p>
        </w:tc>
      </w:tr>
      <w:tr w:rsidR="008F5144" w:rsidRPr="008F5144" w14:paraId="77AF1A10" w14:textId="77777777" w:rsidTr="006C45D3">
        <w:trPr>
          <w:trHeight w:val="315"/>
        </w:trPr>
        <w:tc>
          <w:tcPr>
            <w:tcW w:w="857" w:type="pct"/>
            <w:tcBorders>
              <w:top w:val="nil"/>
              <w:left w:val="single" w:sz="8" w:space="0" w:color="auto"/>
              <w:bottom w:val="single" w:sz="8" w:space="0" w:color="auto"/>
              <w:right w:val="single" w:sz="8" w:space="0" w:color="auto"/>
            </w:tcBorders>
            <w:shd w:val="clear" w:color="auto" w:fill="auto"/>
            <w:vAlign w:val="center"/>
            <w:hideMark/>
          </w:tcPr>
          <w:p w14:paraId="1AA62BAF" w14:textId="77777777" w:rsidR="008F5144" w:rsidRPr="008F5144" w:rsidRDefault="008F5144" w:rsidP="008F5144">
            <w:pPr>
              <w:ind w:firstLine="0"/>
              <w:jc w:val="center"/>
              <w:rPr>
                <w:rFonts w:eastAsia="Times New Roman" w:cs="Times New Roman"/>
                <w:color w:val="000000"/>
                <w:sz w:val="20"/>
                <w:szCs w:val="20"/>
                <w:lang w:eastAsia="ru-RU"/>
              </w:rPr>
            </w:pPr>
            <w:r w:rsidRPr="008F5144">
              <w:rPr>
                <w:rFonts w:eastAsia="Times New Roman" w:cs="Times New Roman"/>
                <w:color w:val="000000"/>
                <w:sz w:val="20"/>
                <w:szCs w:val="20"/>
                <w:lang w:eastAsia="ru-RU"/>
              </w:rPr>
              <w:t> </w:t>
            </w:r>
          </w:p>
        </w:tc>
        <w:tc>
          <w:tcPr>
            <w:tcW w:w="1286" w:type="pct"/>
            <w:tcBorders>
              <w:top w:val="nil"/>
              <w:left w:val="nil"/>
              <w:bottom w:val="single" w:sz="8" w:space="0" w:color="auto"/>
              <w:right w:val="single" w:sz="8" w:space="0" w:color="auto"/>
            </w:tcBorders>
            <w:shd w:val="clear" w:color="auto" w:fill="auto"/>
            <w:noWrap/>
            <w:vAlign w:val="center"/>
            <w:hideMark/>
          </w:tcPr>
          <w:p w14:paraId="73E6A1A0" w14:textId="77777777" w:rsidR="008F5144" w:rsidRPr="008F5144" w:rsidRDefault="008F5144" w:rsidP="008F5144">
            <w:pPr>
              <w:ind w:firstLine="0"/>
              <w:jc w:val="center"/>
              <w:rPr>
                <w:rFonts w:eastAsia="Times New Roman" w:cs="Times New Roman"/>
                <w:color w:val="000000"/>
                <w:sz w:val="20"/>
                <w:szCs w:val="20"/>
                <w:lang w:eastAsia="ru-RU"/>
              </w:rPr>
            </w:pPr>
            <w:r w:rsidRPr="008F5144">
              <w:rPr>
                <w:rFonts w:eastAsia="Times New Roman" w:cs="Times New Roman"/>
                <w:color w:val="000000"/>
                <w:sz w:val="20"/>
                <w:szCs w:val="20"/>
                <w:lang w:eastAsia="ru-RU"/>
              </w:rPr>
              <w:t>Май 2018</w:t>
            </w:r>
          </w:p>
        </w:tc>
        <w:tc>
          <w:tcPr>
            <w:tcW w:w="1161" w:type="pct"/>
            <w:tcBorders>
              <w:top w:val="nil"/>
              <w:left w:val="nil"/>
              <w:bottom w:val="single" w:sz="8" w:space="0" w:color="auto"/>
              <w:right w:val="single" w:sz="8" w:space="0" w:color="auto"/>
            </w:tcBorders>
            <w:shd w:val="clear" w:color="auto" w:fill="auto"/>
            <w:noWrap/>
            <w:vAlign w:val="center"/>
            <w:hideMark/>
          </w:tcPr>
          <w:p w14:paraId="71D37B25" w14:textId="3C45AE9F" w:rsidR="008F5144" w:rsidRPr="008F5144" w:rsidRDefault="008F5144" w:rsidP="008F5144">
            <w:pPr>
              <w:ind w:firstLine="0"/>
              <w:jc w:val="center"/>
              <w:rPr>
                <w:rFonts w:eastAsia="Times New Roman" w:cs="Times New Roman"/>
                <w:color w:val="000000"/>
                <w:sz w:val="20"/>
                <w:szCs w:val="20"/>
                <w:lang w:eastAsia="ru-RU"/>
              </w:rPr>
            </w:pPr>
            <w:r w:rsidRPr="008F5144">
              <w:rPr>
                <w:rFonts w:eastAsia="Times New Roman" w:cs="Times New Roman"/>
                <w:color w:val="000000"/>
                <w:sz w:val="20"/>
                <w:szCs w:val="20"/>
                <w:lang w:eastAsia="ru-RU"/>
              </w:rPr>
              <w:t>05.2018</w:t>
            </w:r>
          </w:p>
        </w:tc>
        <w:tc>
          <w:tcPr>
            <w:tcW w:w="1696" w:type="pct"/>
            <w:tcBorders>
              <w:top w:val="nil"/>
              <w:left w:val="nil"/>
              <w:bottom w:val="single" w:sz="8" w:space="0" w:color="auto"/>
              <w:right w:val="single" w:sz="8" w:space="0" w:color="auto"/>
            </w:tcBorders>
            <w:shd w:val="clear" w:color="auto" w:fill="auto"/>
            <w:noWrap/>
            <w:vAlign w:val="center"/>
            <w:hideMark/>
          </w:tcPr>
          <w:p w14:paraId="59283CBE" w14:textId="77777777" w:rsidR="008F5144" w:rsidRPr="008F5144" w:rsidRDefault="008F5144" w:rsidP="008F5144">
            <w:pPr>
              <w:ind w:firstLine="0"/>
              <w:jc w:val="center"/>
              <w:rPr>
                <w:rFonts w:eastAsia="Times New Roman" w:cs="Times New Roman"/>
                <w:color w:val="000000"/>
                <w:sz w:val="20"/>
                <w:szCs w:val="20"/>
                <w:lang w:eastAsia="ru-RU"/>
              </w:rPr>
            </w:pPr>
            <w:r w:rsidRPr="008F5144">
              <w:rPr>
                <w:rFonts w:eastAsia="Times New Roman" w:cs="Times New Roman"/>
                <w:color w:val="000000"/>
                <w:sz w:val="20"/>
                <w:szCs w:val="20"/>
                <w:lang w:eastAsia="ru-RU"/>
              </w:rPr>
              <w:t>1,031</w:t>
            </w:r>
          </w:p>
        </w:tc>
      </w:tr>
      <w:tr w:rsidR="008F5144" w:rsidRPr="008F5144" w14:paraId="4963BA12" w14:textId="77777777" w:rsidTr="006C45D3">
        <w:trPr>
          <w:trHeight w:val="315"/>
        </w:trPr>
        <w:tc>
          <w:tcPr>
            <w:tcW w:w="857" w:type="pct"/>
            <w:tcBorders>
              <w:top w:val="nil"/>
              <w:left w:val="single" w:sz="8" w:space="0" w:color="auto"/>
              <w:bottom w:val="single" w:sz="8" w:space="0" w:color="auto"/>
              <w:right w:val="single" w:sz="8" w:space="0" w:color="auto"/>
            </w:tcBorders>
            <w:shd w:val="clear" w:color="auto" w:fill="auto"/>
            <w:vAlign w:val="center"/>
            <w:hideMark/>
          </w:tcPr>
          <w:p w14:paraId="1387DE3D" w14:textId="77777777" w:rsidR="008F5144" w:rsidRPr="008F5144" w:rsidRDefault="008F5144" w:rsidP="008F5144">
            <w:pPr>
              <w:ind w:firstLine="0"/>
              <w:jc w:val="center"/>
              <w:rPr>
                <w:rFonts w:eastAsia="Times New Roman" w:cs="Times New Roman"/>
                <w:color w:val="000000"/>
                <w:sz w:val="20"/>
                <w:szCs w:val="20"/>
                <w:lang w:eastAsia="ru-RU"/>
              </w:rPr>
            </w:pPr>
            <w:r w:rsidRPr="008F5144">
              <w:rPr>
                <w:rFonts w:eastAsia="Times New Roman" w:cs="Times New Roman"/>
                <w:color w:val="000000"/>
                <w:sz w:val="20"/>
                <w:szCs w:val="20"/>
                <w:lang w:eastAsia="ru-RU"/>
              </w:rPr>
              <w:t> </w:t>
            </w:r>
          </w:p>
        </w:tc>
        <w:tc>
          <w:tcPr>
            <w:tcW w:w="1286" w:type="pct"/>
            <w:tcBorders>
              <w:top w:val="nil"/>
              <w:left w:val="nil"/>
              <w:bottom w:val="single" w:sz="8" w:space="0" w:color="auto"/>
              <w:right w:val="single" w:sz="8" w:space="0" w:color="auto"/>
            </w:tcBorders>
            <w:shd w:val="clear" w:color="auto" w:fill="auto"/>
            <w:noWrap/>
            <w:vAlign w:val="center"/>
            <w:hideMark/>
          </w:tcPr>
          <w:p w14:paraId="5E65788A" w14:textId="77777777" w:rsidR="008F5144" w:rsidRPr="008F5144" w:rsidRDefault="008F5144" w:rsidP="008F5144">
            <w:pPr>
              <w:ind w:firstLine="0"/>
              <w:jc w:val="center"/>
              <w:rPr>
                <w:rFonts w:eastAsia="Times New Roman" w:cs="Times New Roman"/>
                <w:color w:val="000000"/>
                <w:sz w:val="20"/>
                <w:szCs w:val="20"/>
                <w:lang w:eastAsia="ru-RU"/>
              </w:rPr>
            </w:pPr>
            <w:r w:rsidRPr="008F5144">
              <w:rPr>
                <w:rFonts w:eastAsia="Times New Roman" w:cs="Times New Roman"/>
                <w:color w:val="000000"/>
                <w:sz w:val="20"/>
                <w:szCs w:val="20"/>
                <w:lang w:eastAsia="ru-RU"/>
              </w:rPr>
              <w:t>Апрель 2018</w:t>
            </w:r>
          </w:p>
        </w:tc>
        <w:tc>
          <w:tcPr>
            <w:tcW w:w="1161" w:type="pct"/>
            <w:tcBorders>
              <w:top w:val="nil"/>
              <w:left w:val="nil"/>
              <w:bottom w:val="single" w:sz="8" w:space="0" w:color="auto"/>
              <w:right w:val="single" w:sz="8" w:space="0" w:color="auto"/>
            </w:tcBorders>
            <w:shd w:val="clear" w:color="auto" w:fill="auto"/>
            <w:noWrap/>
            <w:vAlign w:val="center"/>
            <w:hideMark/>
          </w:tcPr>
          <w:p w14:paraId="75CE30AE" w14:textId="0447079C" w:rsidR="008F5144" w:rsidRPr="008F5144" w:rsidRDefault="008F5144" w:rsidP="008F5144">
            <w:pPr>
              <w:ind w:firstLine="0"/>
              <w:jc w:val="center"/>
              <w:rPr>
                <w:rFonts w:eastAsia="Times New Roman" w:cs="Times New Roman"/>
                <w:color w:val="000000"/>
                <w:sz w:val="20"/>
                <w:szCs w:val="20"/>
                <w:lang w:eastAsia="ru-RU"/>
              </w:rPr>
            </w:pPr>
            <w:r w:rsidRPr="008F5144">
              <w:rPr>
                <w:rFonts w:eastAsia="Times New Roman" w:cs="Times New Roman"/>
                <w:color w:val="000000"/>
                <w:sz w:val="20"/>
                <w:szCs w:val="20"/>
                <w:lang w:eastAsia="ru-RU"/>
              </w:rPr>
              <w:t>04.2018</w:t>
            </w:r>
          </w:p>
        </w:tc>
        <w:tc>
          <w:tcPr>
            <w:tcW w:w="1696" w:type="pct"/>
            <w:tcBorders>
              <w:top w:val="nil"/>
              <w:left w:val="nil"/>
              <w:bottom w:val="single" w:sz="8" w:space="0" w:color="auto"/>
              <w:right w:val="single" w:sz="8" w:space="0" w:color="auto"/>
            </w:tcBorders>
            <w:shd w:val="clear" w:color="auto" w:fill="auto"/>
            <w:noWrap/>
            <w:vAlign w:val="center"/>
            <w:hideMark/>
          </w:tcPr>
          <w:p w14:paraId="022E684B" w14:textId="77777777" w:rsidR="008F5144" w:rsidRPr="008F5144" w:rsidRDefault="008F5144" w:rsidP="008F5144">
            <w:pPr>
              <w:ind w:firstLine="0"/>
              <w:jc w:val="center"/>
              <w:rPr>
                <w:rFonts w:eastAsia="Times New Roman" w:cs="Times New Roman"/>
                <w:color w:val="000000"/>
                <w:sz w:val="20"/>
                <w:szCs w:val="20"/>
                <w:lang w:eastAsia="ru-RU"/>
              </w:rPr>
            </w:pPr>
            <w:r w:rsidRPr="008F5144">
              <w:rPr>
                <w:rFonts w:eastAsia="Times New Roman" w:cs="Times New Roman"/>
                <w:color w:val="000000"/>
                <w:sz w:val="20"/>
                <w:szCs w:val="20"/>
                <w:lang w:eastAsia="ru-RU"/>
              </w:rPr>
              <w:t>1,036</w:t>
            </w:r>
          </w:p>
        </w:tc>
      </w:tr>
      <w:tr w:rsidR="008F5144" w:rsidRPr="008F5144" w14:paraId="1CC8B6D8" w14:textId="77777777" w:rsidTr="006C45D3">
        <w:trPr>
          <w:trHeight w:val="315"/>
        </w:trPr>
        <w:tc>
          <w:tcPr>
            <w:tcW w:w="857" w:type="pct"/>
            <w:tcBorders>
              <w:top w:val="nil"/>
              <w:left w:val="single" w:sz="8" w:space="0" w:color="auto"/>
              <w:bottom w:val="single" w:sz="8" w:space="0" w:color="auto"/>
              <w:right w:val="single" w:sz="8" w:space="0" w:color="auto"/>
            </w:tcBorders>
            <w:shd w:val="clear" w:color="auto" w:fill="auto"/>
            <w:vAlign w:val="center"/>
            <w:hideMark/>
          </w:tcPr>
          <w:p w14:paraId="11E6208E" w14:textId="77777777" w:rsidR="008F5144" w:rsidRPr="008F5144" w:rsidRDefault="008F5144" w:rsidP="008F5144">
            <w:pPr>
              <w:ind w:firstLine="0"/>
              <w:jc w:val="center"/>
              <w:rPr>
                <w:rFonts w:eastAsia="Times New Roman" w:cs="Times New Roman"/>
                <w:color w:val="000000"/>
                <w:sz w:val="20"/>
                <w:szCs w:val="20"/>
                <w:lang w:eastAsia="ru-RU"/>
              </w:rPr>
            </w:pPr>
            <w:r w:rsidRPr="008F5144">
              <w:rPr>
                <w:rFonts w:eastAsia="Times New Roman" w:cs="Times New Roman"/>
                <w:color w:val="000000"/>
                <w:sz w:val="20"/>
                <w:szCs w:val="20"/>
                <w:lang w:eastAsia="ru-RU"/>
              </w:rPr>
              <w:t> </w:t>
            </w:r>
          </w:p>
        </w:tc>
        <w:tc>
          <w:tcPr>
            <w:tcW w:w="1286" w:type="pct"/>
            <w:tcBorders>
              <w:top w:val="nil"/>
              <w:left w:val="nil"/>
              <w:bottom w:val="single" w:sz="8" w:space="0" w:color="auto"/>
              <w:right w:val="single" w:sz="8" w:space="0" w:color="auto"/>
            </w:tcBorders>
            <w:shd w:val="clear" w:color="auto" w:fill="auto"/>
            <w:noWrap/>
            <w:vAlign w:val="center"/>
            <w:hideMark/>
          </w:tcPr>
          <w:p w14:paraId="447BB42A" w14:textId="77777777" w:rsidR="008F5144" w:rsidRPr="008F5144" w:rsidRDefault="008F5144" w:rsidP="008F5144">
            <w:pPr>
              <w:ind w:firstLine="0"/>
              <w:jc w:val="center"/>
              <w:rPr>
                <w:rFonts w:eastAsia="Times New Roman" w:cs="Times New Roman"/>
                <w:color w:val="000000"/>
                <w:sz w:val="20"/>
                <w:szCs w:val="20"/>
                <w:lang w:eastAsia="ru-RU"/>
              </w:rPr>
            </w:pPr>
            <w:r w:rsidRPr="008F5144">
              <w:rPr>
                <w:rFonts w:eastAsia="Times New Roman" w:cs="Times New Roman"/>
                <w:color w:val="000000"/>
                <w:sz w:val="20"/>
                <w:szCs w:val="20"/>
                <w:lang w:eastAsia="ru-RU"/>
              </w:rPr>
              <w:t>Март 2018</w:t>
            </w:r>
          </w:p>
        </w:tc>
        <w:tc>
          <w:tcPr>
            <w:tcW w:w="1161" w:type="pct"/>
            <w:tcBorders>
              <w:top w:val="nil"/>
              <w:left w:val="nil"/>
              <w:bottom w:val="single" w:sz="8" w:space="0" w:color="auto"/>
              <w:right w:val="single" w:sz="8" w:space="0" w:color="auto"/>
            </w:tcBorders>
            <w:shd w:val="clear" w:color="auto" w:fill="auto"/>
            <w:noWrap/>
            <w:vAlign w:val="center"/>
            <w:hideMark/>
          </w:tcPr>
          <w:p w14:paraId="58BB7B29" w14:textId="78088480" w:rsidR="008F5144" w:rsidRPr="008F5144" w:rsidRDefault="008F5144" w:rsidP="008F5144">
            <w:pPr>
              <w:ind w:firstLine="0"/>
              <w:jc w:val="center"/>
              <w:rPr>
                <w:rFonts w:eastAsia="Times New Roman" w:cs="Times New Roman"/>
                <w:color w:val="000000"/>
                <w:sz w:val="20"/>
                <w:szCs w:val="20"/>
                <w:lang w:eastAsia="ru-RU"/>
              </w:rPr>
            </w:pPr>
            <w:r w:rsidRPr="008F5144">
              <w:rPr>
                <w:rFonts w:eastAsia="Times New Roman" w:cs="Times New Roman"/>
                <w:color w:val="000000"/>
                <w:sz w:val="20"/>
                <w:szCs w:val="20"/>
                <w:lang w:eastAsia="ru-RU"/>
              </w:rPr>
              <w:t>03.2018</w:t>
            </w:r>
          </w:p>
        </w:tc>
        <w:tc>
          <w:tcPr>
            <w:tcW w:w="1696" w:type="pct"/>
            <w:tcBorders>
              <w:top w:val="nil"/>
              <w:left w:val="nil"/>
              <w:bottom w:val="single" w:sz="8" w:space="0" w:color="auto"/>
              <w:right w:val="single" w:sz="8" w:space="0" w:color="auto"/>
            </w:tcBorders>
            <w:shd w:val="clear" w:color="auto" w:fill="auto"/>
            <w:noWrap/>
            <w:vAlign w:val="center"/>
            <w:hideMark/>
          </w:tcPr>
          <w:p w14:paraId="2B70ADCF" w14:textId="77777777" w:rsidR="008F5144" w:rsidRPr="008F5144" w:rsidRDefault="008F5144" w:rsidP="008F5144">
            <w:pPr>
              <w:ind w:firstLine="0"/>
              <w:jc w:val="center"/>
              <w:rPr>
                <w:rFonts w:eastAsia="Times New Roman" w:cs="Times New Roman"/>
                <w:color w:val="000000"/>
                <w:sz w:val="20"/>
                <w:szCs w:val="20"/>
                <w:lang w:eastAsia="ru-RU"/>
              </w:rPr>
            </w:pPr>
            <w:r w:rsidRPr="008F5144">
              <w:rPr>
                <w:rFonts w:eastAsia="Times New Roman" w:cs="Times New Roman"/>
                <w:color w:val="000000"/>
                <w:sz w:val="20"/>
                <w:szCs w:val="20"/>
                <w:lang w:eastAsia="ru-RU"/>
              </w:rPr>
              <w:t>1,039</w:t>
            </w:r>
          </w:p>
        </w:tc>
      </w:tr>
      <w:tr w:rsidR="008F5144" w:rsidRPr="008F5144" w14:paraId="04BD7FC3" w14:textId="77777777" w:rsidTr="006C45D3">
        <w:trPr>
          <w:trHeight w:val="315"/>
        </w:trPr>
        <w:tc>
          <w:tcPr>
            <w:tcW w:w="857" w:type="pct"/>
            <w:tcBorders>
              <w:top w:val="nil"/>
              <w:left w:val="single" w:sz="8" w:space="0" w:color="auto"/>
              <w:bottom w:val="single" w:sz="8" w:space="0" w:color="auto"/>
              <w:right w:val="single" w:sz="8" w:space="0" w:color="auto"/>
            </w:tcBorders>
            <w:shd w:val="clear" w:color="auto" w:fill="auto"/>
            <w:vAlign w:val="center"/>
            <w:hideMark/>
          </w:tcPr>
          <w:p w14:paraId="5B1B2B5F" w14:textId="77777777" w:rsidR="008F5144" w:rsidRPr="008F5144" w:rsidRDefault="008F5144" w:rsidP="008F5144">
            <w:pPr>
              <w:ind w:firstLine="0"/>
              <w:jc w:val="center"/>
              <w:rPr>
                <w:rFonts w:eastAsia="Times New Roman" w:cs="Times New Roman"/>
                <w:color w:val="000000"/>
                <w:sz w:val="20"/>
                <w:szCs w:val="20"/>
                <w:lang w:eastAsia="ru-RU"/>
              </w:rPr>
            </w:pPr>
            <w:r w:rsidRPr="008F5144">
              <w:rPr>
                <w:rFonts w:eastAsia="Times New Roman" w:cs="Times New Roman"/>
                <w:color w:val="000000"/>
                <w:sz w:val="20"/>
                <w:szCs w:val="20"/>
                <w:lang w:eastAsia="ru-RU"/>
              </w:rPr>
              <w:t> </w:t>
            </w:r>
          </w:p>
        </w:tc>
        <w:tc>
          <w:tcPr>
            <w:tcW w:w="1286" w:type="pct"/>
            <w:tcBorders>
              <w:top w:val="nil"/>
              <w:left w:val="nil"/>
              <w:bottom w:val="single" w:sz="8" w:space="0" w:color="auto"/>
              <w:right w:val="single" w:sz="8" w:space="0" w:color="auto"/>
            </w:tcBorders>
            <w:shd w:val="clear" w:color="auto" w:fill="auto"/>
            <w:noWrap/>
            <w:vAlign w:val="center"/>
            <w:hideMark/>
          </w:tcPr>
          <w:p w14:paraId="3C5BD07A" w14:textId="77777777" w:rsidR="008F5144" w:rsidRPr="008F5144" w:rsidRDefault="008F5144" w:rsidP="008F5144">
            <w:pPr>
              <w:ind w:firstLine="0"/>
              <w:jc w:val="center"/>
              <w:rPr>
                <w:rFonts w:eastAsia="Times New Roman" w:cs="Times New Roman"/>
                <w:color w:val="000000"/>
                <w:sz w:val="20"/>
                <w:szCs w:val="20"/>
                <w:lang w:eastAsia="ru-RU"/>
              </w:rPr>
            </w:pPr>
            <w:r w:rsidRPr="008F5144">
              <w:rPr>
                <w:rFonts w:eastAsia="Times New Roman" w:cs="Times New Roman"/>
                <w:color w:val="000000"/>
                <w:sz w:val="20"/>
                <w:szCs w:val="20"/>
                <w:lang w:eastAsia="ru-RU"/>
              </w:rPr>
              <w:t>Февраль 2018</w:t>
            </w:r>
          </w:p>
        </w:tc>
        <w:tc>
          <w:tcPr>
            <w:tcW w:w="1161" w:type="pct"/>
            <w:tcBorders>
              <w:top w:val="nil"/>
              <w:left w:val="nil"/>
              <w:bottom w:val="single" w:sz="8" w:space="0" w:color="auto"/>
              <w:right w:val="single" w:sz="8" w:space="0" w:color="auto"/>
            </w:tcBorders>
            <w:shd w:val="clear" w:color="auto" w:fill="auto"/>
            <w:noWrap/>
            <w:vAlign w:val="center"/>
            <w:hideMark/>
          </w:tcPr>
          <w:p w14:paraId="2959A08E" w14:textId="2349B70A" w:rsidR="008F5144" w:rsidRPr="008F5144" w:rsidRDefault="008F5144" w:rsidP="008F5144">
            <w:pPr>
              <w:ind w:firstLine="0"/>
              <w:jc w:val="center"/>
              <w:rPr>
                <w:rFonts w:eastAsia="Times New Roman" w:cs="Times New Roman"/>
                <w:color w:val="000000"/>
                <w:sz w:val="20"/>
                <w:szCs w:val="20"/>
                <w:lang w:eastAsia="ru-RU"/>
              </w:rPr>
            </w:pPr>
            <w:r w:rsidRPr="008F5144">
              <w:rPr>
                <w:rFonts w:eastAsia="Times New Roman" w:cs="Times New Roman"/>
                <w:color w:val="000000"/>
                <w:sz w:val="20"/>
                <w:szCs w:val="20"/>
                <w:lang w:eastAsia="ru-RU"/>
              </w:rPr>
              <w:t>02.2018</w:t>
            </w:r>
          </w:p>
        </w:tc>
        <w:tc>
          <w:tcPr>
            <w:tcW w:w="1696" w:type="pct"/>
            <w:tcBorders>
              <w:top w:val="nil"/>
              <w:left w:val="nil"/>
              <w:bottom w:val="single" w:sz="8" w:space="0" w:color="auto"/>
              <w:right w:val="single" w:sz="8" w:space="0" w:color="auto"/>
            </w:tcBorders>
            <w:shd w:val="clear" w:color="auto" w:fill="auto"/>
            <w:noWrap/>
            <w:vAlign w:val="center"/>
            <w:hideMark/>
          </w:tcPr>
          <w:p w14:paraId="6E711EF5" w14:textId="77777777" w:rsidR="008F5144" w:rsidRPr="008F5144" w:rsidRDefault="008F5144" w:rsidP="008F5144">
            <w:pPr>
              <w:ind w:firstLine="0"/>
              <w:jc w:val="center"/>
              <w:rPr>
                <w:rFonts w:eastAsia="Times New Roman" w:cs="Times New Roman"/>
                <w:color w:val="000000"/>
                <w:sz w:val="20"/>
                <w:szCs w:val="20"/>
                <w:lang w:eastAsia="ru-RU"/>
              </w:rPr>
            </w:pPr>
            <w:r w:rsidRPr="008F5144">
              <w:rPr>
                <w:rFonts w:eastAsia="Times New Roman" w:cs="Times New Roman"/>
                <w:color w:val="000000"/>
                <w:sz w:val="20"/>
                <w:szCs w:val="20"/>
                <w:lang w:eastAsia="ru-RU"/>
              </w:rPr>
              <w:t>1,041</w:t>
            </w:r>
          </w:p>
        </w:tc>
      </w:tr>
      <w:tr w:rsidR="008F5144" w:rsidRPr="008F5144" w14:paraId="14313783" w14:textId="77777777" w:rsidTr="006C45D3">
        <w:trPr>
          <w:trHeight w:val="315"/>
        </w:trPr>
        <w:tc>
          <w:tcPr>
            <w:tcW w:w="857" w:type="pct"/>
            <w:tcBorders>
              <w:top w:val="nil"/>
              <w:left w:val="single" w:sz="8" w:space="0" w:color="auto"/>
              <w:bottom w:val="single" w:sz="8" w:space="0" w:color="auto"/>
              <w:right w:val="single" w:sz="8" w:space="0" w:color="auto"/>
            </w:tcBorders>
            <w:shd w:val="clear" w:color="auto" w:fill="auto"/>
            <w:vAlign w:val="center"/>
            <w:hideMark/>
          </w:tcPr>
          <w:p w14:paraId="74DB1EE6" w14:textId="77777777" w:rsidR="008F5144" w:rsidRPr="008F5144" w:rsidRDefault="008F5144" w:rsidP="008F5144">
            <w:pPr>
              <w:ind w:firstLine="0"/>
              <w:jc w:val="center"/>
              <w:rPr>
                <w:rFonts w:eastAsia="Times New Roman" w:cs="Times New Roman"/>
                <w:color w:val="000000"/>
                <w:sz w:val="20"/>
                <w:szCs w:val="20"/>
                <w:lang w:eastAsia="ru-RU"/>
              </w:rPr>
            </w:pPr>
            <w:r w:rsidRPr="008F5144">
              <w:rPr>
                <w:rFonts w:eastAsia="Times New Roman" w:cs="Times New Roman"/>
                <w:color w:val="000000"/>
                <w:sz w:val="20"/>
                <w:szCs w:val="20"/>
                <w:lang w:eastAsia="ru-RU"/>
              </w:rPr>
              <w:t> </w:t>
            </w:r>
          </w:p>
        </w:tc>
        <w:tc>
          <w:tcPr>
            <w:tcW w:w="1286" w:type="pct"/>
            <w:tcBorders>
              <w:top w:val="nil"/>
              <w:left w:val="nil"/>
              <w:bottom w:val="single" w:sz="8" w:space="0" w:color="auto"/>
              <w:right w:val="single" w:sz="8" w:space="0" w:color="auto"/>
            </w:tcBorders>
            <w:shd w:val="clear" w:color="auto" w:fill="auto"/>
            <w:noWrap/>
            <w:vAlign w:val="center"/>
            <w:hideMark/>
          </w:tcPr>
          <w:p w14:paraId="153D4D33" w14:textId="77777777" w:rsidR="008F5144" w:rsidRPr="008F5144" w:rsidRDefault="008F5144" w:rsidP="008F5144">
            <w:pPr>
              <w:ind w:firstLine="0"/>
              <w:jc w:val="center"/>
              <w:rPr>
                <w:rFonts w:eastAsia="Times New Roman" w:cs="Times New Roman"/>
                <w:color w:val="000000"/>
                <w:sz w:val="20"/>
                <w:szCs w:val="20"/>
                <w:lang w:eastAsia="ru-RU"/>
              </w:rPr>
            </w:pPr>
            <w:r w:rsidRPr="008F5144">
              <w:rPr>
                <w:rFonts w:eastAsia="Times New Roman" w:cs="Times New Roman"/>
                <w:color w:val="000000"/>
                <w:sz w:val="20"/>
                <w:szCs w:val="20"/>
                <w:lang w:eastAsia="ru-RU"/>
              </w:rPr>
              <w:t>Январь 2018</w:t>
            </w:r>
          </w:p>
        </w:tc>
        <w:tc>
          <w:tcPr>
            <w:tcW w:w="1161" w:type="pct"/>
            <w:tcBorders>
              <w:top w:val="nil"/>
              <w:left w:val="nil"/>
              <w:bottom w:val="single" w:sz="8" w:space="0" w:color="auto"/>
              <w:right w:val="single" w:sz="8" w:space="0" w:color="auto"/>
            </w:tcBorders>
            <w:shd w:val="clear" w:color="auto" w:fill="auto"/>
            <w:noWrap/>
            <w:vAlign w:val="center"/>
            <w:hideMark/>
          </w:tcPr>
          <w:p w14:paraId="6BC769E0" w14:textId="03E82EF4" w:rsidR="008F5144" w:rsidRPr="008F5144" w:rsidRDefault="006C45D3" w:rsidP="008F5144">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01.</w:t>
            </w:r>
            <w:r w:rsidR="008F5144" w:rsidRPr="008F5144">
              <w:rPr>
                <w:rFonts w:eastAsia="Times New Roman" w:cs="Times New Roman"/>
                <w:color w:val="000000"/>
                <w:sz w:val="20"/>
                <w:szCs w:val="20"/>
                <w:lang w:eastAsia="ru-RU"/>
              </w:rPr>
              <w:t>2018</w:t>
            </w:r>
          </w:p>
        </w:tc>
        <w:tc>
          <w:tcPr>
            <w:tcW w:w="1696" w:type="pct"/>
            <w:tcBorders>
              <w:top w:val="nil"/>
              <w:left w:val="nil"/>
              <w:bottom w:val="single" w:sz="8" w:space="0" w:color="auto"/>
              <w:right w:val="single" w:sz="8" w:space="0" w:color="auto"/>
            </w:tcBorders>
            <w:shd w:val="clear" w:color="auto" w:fill="auto"/>
            <w:noWrap/>
            <w:vAlign w:val="center"/>
            <w:hideMark/>
          </w:tcPr>
          <w:p w14:paraId="5C35BA19" w14:textId="77777777" w:rsidR="008F5144" w:rsidRPr="008F5144" w:rsidRDefault="008F5144" w:rsidP="008F5144">
            <w:pPr>
              <w:ind w:firstLine="0"/>
              <w:jc w:val="center"/>
              <w:rPr>
                <w:rFonts w:eastAsia="Times New Roman" w:cs="Times New Roman"/>
                <w:color w:val="000000"/>
                <w:sz w:val="20"/>
                <w:szCs w:val="20"/>
                <w:lang w:eastAsia="ru-RU"/>
              </w:rPr>
            </w:pPr>
            <w:r w:rsidRPr="008F5144">
              <w:rPr>
                <w:rFonts w:eastAsia="Times New Roman" w:cs="Times New Roman"/>
                <w:color w:val="000000"/>
                <w:sz w:val="20"/>
                <w:szCs w:val="20"/>
                <w:lang w:eastAsia="ru-RU"/>
              </w:rPr>
              <w:t>1,044</w:t>
            </w:r>
          </w:p>
        </w:tc>
      </w:tr>
      <w:tr w:rsidR="008F5144" w:rsidRPr="008F5144" w14:paraId="45E9E9C5" w14:textId="77777777" w:rsidTr="006C45D3">
        <w:trPr>
          <w:trHeight w:val="315"/>
        </w:trPr>
        <w:tc>
          <w:tcPr>
            <w:tcW w:w="857" w:type="pct"/>
            <w:tcBorders>
              <w:top w:val="nil"/>
              <w:left w:val="single" w:sz="8" w:space="0" w:color="auto"/>
              <w:bottom w:val="single" w:sz="8" w:space="0" w:color="auto"/>
              <w:right w:val="single" w:sz="8" w:space="0" w:color="auto"/>
            </w:tcBorders>
            <w:shd w:val="clear" w:color="auto" w:fill="auto"/>
            <w:vAlign w:val="center"/>
            <w:hideMark/>
          </w:tcPr>
          <w:p w14:paraId="3F2B5BAE" w14:textId="77777777" w:rsidR="008F5144" w:rsidRPr="008F5144" w:rsidRDefault="008F5144" w:rsidP="008F5144">
            <w:pPr>
              <w:ind w:firstLine="0"/>
              <w:jc w:val="center"/>
              <w:rPr>
                <w:rFonts w:eastAsia="Times New Roman" w:cs="Times New Roman"/>
                <w:color w:val="000000"/>
                <w:sz w:val="20"/>
                <w:szCs w:val="20"/>
                <w:lang w:eastAsia="ru-RU"/>
              </w:rPr>
            </w:pPr>
            <w:r w:rsidRPr="008F5144">
              <w:rPr>
                <w:rFonts w:eastAsia="Times New Roman" w:cs="Times New Roman"/>
                <w:color w:val="000000"/>
                <w:sz w:val="20"/>
                <w:szCs w:val="20"/>
                <w:lang w:eastAsia="ru-RU"/>
              </w:rPr>
              <w:t>2017</w:t>
            </w:r>
          </w:p>
        </w:tc>
        <w:tc>
          <w:tcPr>
            <w:tcW w:w="1286" w:type="pct"/>
            <w:tcBorders>
              <w:top w:val="nil"/>
              <w:left w:val="nil"/>
              <w:bottom w:val="single" w:sz="8" w:space="0" w:color="auto"/>
              <w:right w:val="single" w:sz="8" w:space="0" w:color="auto"/>
            </w:tcBorders>
            <w:shd w:val="clear" w:color="auto" w:fill="auto"/>
            <w:noWrap/>
            <w:vAlign w:val="center"/>
            <w:hideMark/>
          </w:tcPr>
          <w:p w14:paraId="7D68F9CC" w14:textId="77777777" w:rsidR="008F5144" w:rsidRPr="008F5144" w:rsidRDefault="008F5144" w:rsidP="008F5144">
            <w:pPr>
              <w:ind w:firstLine="0"/>
              <w:jc w:val="center"/>
              <w:rPr>
                <w:rFonts w:eastAsia="Times New Roman" w:cs="Times New Roman"/>
                <w:color w:val="000000"/>
                <w:sz w:val="20"/>
                <w:szCs w:val="20"/>
                <w:lang w:eastAsia="ru-RU"/>
              </w:rPr>
            </w:pPr>
            <w:r w:rsidRPr="008F5144">
              <w:rPr>
                <w:rFonts w:eastAsia="Times New Roman" w:cs="Times New Roman"/>
                <w:color w:val="000000"/>
                <w:sz w:val="20"/>
                <w:szCs w:val="20"/>
                <w:lang w:eastAsia="ru-RU"/>
              </w:rPr>
              <w:t>Декабрь 2017</w:t>
            </w:r>
          </w:p>
        </w:tc>
        <w:tc>
          <w:tcPr>
            <w:tcW w:w="1161" w:type="pct"/>
            <w:tcBorders>
              <w:top w:val="nil"/>
              <w:left w:val="nil"/>
              <w:bottom w:val="single" w:sz="8" w:space="0" w:color="auto"/>
              <w:right w:val="single" w:sz="8" w:space="0" w:color="auto"/>
            </w:tcBorders>
            <w:shd w:val="clear" w:color="auto" w:fill="auto"/>
            <w:noWrap/>
            <w:vAlign w:val="center"/>
            <w:hideMark/>
          </w:tcPr>
          <w:p w14:paraId="3F441446" w14:textId="7472F14F" w:rsidR="008F5144" w:rsidRPr="008F5144" w:rsidRDefault="008F5144" w:rsidP="008F5144">
            <w:pPr>
              <w:ind w:firstLine="0"/>
              <w:jc w:val="center"/>
              <w:rPr>
                <w:rFonts w:eastAsia="Times New Roman" w:cs="Times New Roman"/>
                <w:color w:val="000000"/>
                <w:sz w:val="20"/>
                <w:szCs w:val="20"/>
                <w:lang w:eastAsia="ru-RU"/>
              </w:rPr>
            </w:pPr>
            <w:r w:rsidRPr="008F5144">
              <w:rPr>
                <w:rFonts w:eastAsia="Times New Roman" w:cs="Times New Roman"/>
                <w:color w:val="000000"/>
                <w:sz w:val="20"/>
                <w:szCs w:val="20"/>
                <w:lang w:eastAsia="ru-RU"/>
              </w:rPr>
              <w:t>12.2017</w:t>
            </w:r>
          </w:p>
        </w:tc>
        <w:tc>
          <w:tcPr>
            <w:tcW w:w="1696" w:type="pct"/>
            <w:tcBorders>
              <w:top w:val="nil"/>
              <w:left w:val="nil"/>
              <w:bottom w:val="single" w:sz="8" w:space="0" w:color="auto"/>
              <w:right w:val="single" w:sz="8" w:space="0" w:color="auto"/>
            </w:tcBorders>
            <w:shd w:val="clear" w:color="auto" w:fill="auto"/>
            <w:noWrap/>
            <w:vAlign w:val="center"/>
            <w:hideMark/>
          </w:tcPr>
          <w:p w14:paraId="31CAA35D" w14:textId="77777777" w:rsidR="008F5144" w:rsidRPr="008F5144" w:rsidRDefault="008F5144" w:rsidP="008F5144">
            <w:pPr>
              <w:ind w:firstLine="0"/>
              <w:jc w:val="center"/>
              <w:rPr>
                <w:rFonts w:eastAsia="Times New Roman" w:cs="Times New Roman"/>
                <w:color w:val="000000"/>
                <w:sz w:val="20"/>
                <w:szCs w:val="20"/>
                <w:lang w:eastAsia="ru-RU"/>
              </w:rPr>
            </w:pPr>
            <w:r w:rsidRPr="008F5144">
              <w:rPr>
                <w:rFonts w:eastAsia="Times New Roman" w:cs="Times New Roman"/>
                <w:color w:val="000000"/>
                <w:sz w:val="20"/>
                <w:szCs w:val="20"/>
                <w:lang w:eastAsia="ru-RU"/>
              </w:rPr>
              <w:t>1,047</w:t>
            </w:r>
          </w:p>
        </w:tc>
      </w:tr>
      <w:tr w:rsidR="008F5144" w:rsidRPr="008F5144" w14:paraId="3A5E52AA" w14:textId="77777777" w:rsidTr="006C45D3">
        <w:trPr>
          <w:trHeight w:val="315"/>
        </w:trPr>
        <w:tc>
          <w:tcPr>
            <w:tcW w:w="857" w:type="pct"/>
            <w:tcBorders>
              <w:top w:val="nil"/>
              <w:left w:val="single" w:sz="8" w:space="0" w:color="auto"/>
              <w:bottom w:val="single" w:sz="8" w:space="0" w:color="auto"/>
              <w:right w:val="single" w:sz="8" w:space="0" w:color="auto"/>
            </w:tcBorders>
            <w:shd w:val="clear" w:color="auto" w:fill="auto"/>
            <w:vAlign w:val="center"/>
            <w:hideMark/>
          </w:tcPr>
          <w:p w14:paraId="39BA133E" w14:textId="77777777" w:rsidR="008F5144" w:rsidRPr="008F5144" w:rsidRDefault="008F5144" w:rsidP="008F5144">
            <w:pPr>
              <w:ind w:firstLine="0"/>
              <w:jc w:val="center"/>
              <w:rPr>
                <w:rFonts w:eastAsia="Times New Roman" w:cs="Times New Roman"/>
                <w:color w:val="000000"/>
                <w:sz w:val="20"/>
                <w:szCs w:val="20"/>
                <w:lang w:eastAsia="ru-RU"/>
              </w:rPr>
            </w:pPr>
            <w:r w:rsidRPr="008F5144">
              <w:rPr>
                <w:rFonts w:eastAsia="Times New Roman" w:cs="Times New Roman"/>
                <w:color w:val="000000"/>
                <w:sz w:val="20"/>
                <w:szCs w:val="20"/>
                <w:lang w:eastAsia="ru-RU"/>
              </w:rPr>
              <w:t> </w:t>
            </w:r>
          </w:p>
        </w:tc>
        <w:tc>
          <w:tcPr>
            <w:tcW w:w="1286" w:type="pct"/>
            <w:tcBorders>
              <w:top w:val="nil"/>
              <w:left w:val="nil"/>
              <w:bottom w:val="single" w:sz="8" w:space="0" w:color="auto"/>
              <w:right w:val="single" w:sz="8" w:space="0" w:color="auto"/>
            </w:tcBorders>
            <w:shd w:val="clear" w:color="auto" w:fill="auto"/>
            <w:noWrap/>
            <w:vAlign w:val="center"/>
            <w:hideMark/>
          </w:tcPr>
          <w:p w14:paraId="328101D9" w14:textId="77777777" w:rsidR="008F5144" w:rsidRPr="008F5144" w:rsidRDefault="008F5144" w:rsidP="008F5144">
            <w:pPr>
              <w:ind w:firstLine="0"/>
              <w:jc w:val="center"/>
              <w:rPr>
                <w:rFonts w:eastAsia="Times New Roman" w:cs="Times New Roman"/>
                <w:color w:val="000000"/>
                <w:sz w:val="20"/>
                <w:szCs w:val="20"/>
                <w:lang w:eastAsia="ru-RU"/>
              </w:rPr>
            </w:pPr>
            <w:r w:rsidRPr="008F5144">
              <w:rPr>
                <w:rFonts w:eastAsia="Times New Roman" w:cs="Times New Roman"/>
                <w:color w:val="000000"/>
                <w:sz w:val="20"/>
                <w:szCs w:val="20"/>
                <w:lang w:eastAsia="ru-RU"/>
              </w:rPr>
              <w:t>Ноябрь 2017</w:t>
            </w:r>
          </w:p>
        </w:tc>
        <w:tc>
          <w:tcPr>
            <w:tcW w:w="1161" w:type="pct"/>
            <w:tcBorders>
              <w:top w:val="nil"/>
              <w:left w:val="nil"/>
              <w:bottom w:val="single" w:sz="8" w:space="0" w:color="auto"/>
              <w:right w:val="single" w:sz="8" w:space="0" w:color="auto"/>
            </w:tcBorders>
            <w:shd w:val="clear" w:color="auto" w:fill="auto"/>
            <w:noWrap/>
            <w:vAlign w:val="center"/>
            <w:hideMark/>
          </w:tcPr>
          <w:p w14:paraId="1A30B0E2" w14:textId="41EC5A1E" w:rsidR="008F5144" w:rsidRPr="008F5144" w:rsidRDefault="008F5144" w:rsidP="008F5144">
            <w:pPr>
              <w:ind w:firstLine="0"/>
              <w:jc w:val="center"/>
              <w:rPr>
                <w:rFonts w:eastAsia="Times New Roman" w:cs="Times New Roman"/>
                <w:color w:val="000000"/>
                <w:sz w:val="20"/>
                <w:szCs w:val="20"/>
                <w:lang w:eastAsia="ru-RU"/>
              </w:rPr>
            </w:pPr>
            <w:r w:rsidRPr="008F5144">
              <w:rPr>
                <w:rFonts w:eastAsia="Times New Roman" w:cs="Times New Roman"/>
                <w:color w:val="000000"/>
                <w:sz w:val="20"/>
                <w:szCs w:val="20"/>
                <w:lang w:eastAsia="ru-RU"/>
              </w:rPr>
              <w:t>11.2017</w:t>
            </w:r>
          </w:p>
        </w:tc>
        <w:tc>
          <w:tcPr>
            <w:tcW w:w="1696" w:type="pct"/>
            <w:tcBorders>
              <w:top w:val="nil"/>
              <w:left w:val="nil"/>
              <w:bottom w:val="single" w:sz="8" w:space="0" w:color="auto"/>
              <w:right w:val="single" w:sz="8" w:space="0" w:color="auto"/>
            </w:tcBorders>
            <w:shd w:val="clear" w:color="auto" w:fill="auto"/>
            <w:noWrap/>
            <w:vAlign w:val="center"/>
            <w:hideMark/>
          </w:tcPr>
          <w:p w14:paraId="58FE99C7" w14:textId="77777777" w:rsidR="008F5144" w:rsidRPr="008F5144" w:rsidRDefault="008F5144" w:rsidP="008F5144">
            <w:pPr>
              <w:ind w:firstLine="0"/>
              <w:jc w:val="center"/>
              <w:rPr>
                <w:rFonts w:eastAsia="Times New Roman" w:cs="Times New Roman"/>
                <w:color w:val="000000"/>
                <w:sz w:val="20"/>
                <w:szCs w:val="20"/>
                <w:lang w:eastAsia="ru-RU"/>
              </w:rPr>
            </w:pPr>
            <w:r w:rsidRPr="008F5144">
              <w:rPr>
                <w:rFonts w:eastAsia="Times New Roman" w:cs="Times New Roman"/>
                <w:color w:val="000000"/>
                <w:sz w:val="20"/>
                <w:szCs w:val="20"/>
                <w:lang w:eastAsia="ru-RU"/>
              </w:rPr>
              <w:t>1,05</w:t>
            </w:r>
          </w:p>
        </w:tc>
      </w:tr>
      <w:tr w:rsidR="008F5144" w:rsidRPr="008F5144" w14:paraId="33086197" w14:textId="77777777" w:rsidTr="006C45D3">
        <w:trPr>
          <w:trHeight w:val="315"/>
        </w:trPr>
        <w:tc>
          <w:tcPr>
            <w:tcW w:w="857" w:type="pct"/>
            <w:tcBorders>
              <w:top w:val="nil"/>
              <w:left w:val="single" w:sz="8" w:space="0" w:color="auto"/>
              <w:bottom w:val="single" w:sz="8" w:space="0" w:color="auto"/>
              <w:right w:val="single" w:sz="8" w:space="0" w:color="auto"/>
            </w:tcBorders>
            <w:shd w:val="clear" w:color="auto" w:fill="auto"/>
            <w:vAlign w:val="center"/>
            <w:hideMark/>
          </w:tcPr>
          <w:p w14:paraId="4F9628C3" w14:textId="77777777" w:rsidR="008F5144" w:rsidRPr="008F5144" w:rsidRDefault="008F5144" w:rsidP="008F5144">
            <w:pPr>
              <w:ind w:firstLine="0"/>
              <w:jc w:val="center"/>
              <w:rPr>
                <w:rFonts w:eastAsia="Times New Roman" w:cs="Times New Roman"/>
                <w:color w:val="000000"/>
                <w:sz w:val="20"/>
                <w:szCs w:val="20"/>
                <w:lang w:eastAsia="ru-RU"/>
              </w:rPr>
            </w:pPr>
            <w:r w:rsidRPr="008F5144">
              <w:rPr>
                <w:rFonts w:eastAsia="Times New Roman" w:cs="Times New Roman"/>
                <w:color w:val="000000"/>
                <w:sz w:val="20"/>
                <w:szCs w:val="20"/>
                <w:lang w:eastAsia="ru-RU"/>
              </w:rPr>
              <w:t> </w:t>
            </w:r>
          </w:p>
        </w:tc>
        <w:tc>
          <w:tcPr>
            <w:tcW w:w="1286" w:type="pct"/>
            <w:tcBorders>
              <w:top w:val="nil"/>
              <w:left w:val="nil"/>
              <w:bottom w:val="single" w:sz="8" w:space="0" w:color="auto"/>
              <w:right w:val="single" w:sz="8" w:space="0" w:color="auto"/>
            </w:tcBorders>
            <w:shd w:val="clear" w:color="auto" w:fill="auto"/>
            <w:noWrap/>
            <w:vAlign w:val="center"/>
            <w:hideMark/>
          </w:tcPr>
          <w:p w14:paraId="4EA694FC" w14:textId="77777777" w:rsidR="008F5144" w:rsidRPr="008F5144" w:rsidRDefault="008F5144" w:rsidP="008F5144">
            <w:pPr>
              <w:ind w:firstLine="0"/>
              <w:jc w:val="center"/>
              <w:rPr>
                <w:rFonts w:eastAsia="Times New Roman" w:cs="Times New Roman"/>
                <w:color w:val="000000"/>
                <w:sz w:val="20"/>
                <w:szCs w:val="20"/>
                <w:lang w:eastAsia="ru-RU"/>
              </w:rPr>
            </w:pPr>
            <w:r w:rsidRPr="008F5144">
              <w:rPr>
                <w:rFonts w:eastAsia="Times New Roman" w:cs="Times New Roman"/>
                <w:color w:val="000000"/>
                <w:sz w:val="20"/>
                <w:szCs w:val="20"/>
                <w:lang w:eastAsia="ru-RU"/>
              </w:rPr>
              <w:t>Октябрь 2017</w:t>
            </w:r>
          </w:p>
        </w:tc>
        <w:tc>
          <w:tcPr>
            <w:tcW w:w="1161" w:type="pct"/>
            <w:tcBorders>
              <w:top w:val="nil"/>
              <w:left w:val="nil"/>
              <w:bottom w:val="single" w:sz="8" w:space="0" w:color="auto"/>
              <w:right w:val="single" w:sz="8" w:space="0" w:color="auto"/>
            </w:tcBorders>
            <w:shd w:val="clear" w:color="auto" w:fill="auto"/>
            <w:noWrap/>
            <w:vAlign w:val="center"/>
            <w:hideMark/>
          </w:tcPr>
          <w:p w14:paraId="67AE60B6" w14:textId="46A870F0" w:rsidR="008F5144" w:rsidRPr="008F5144" w:rsidRDefault="008F5144" w:rsidP="008F5144">
            <w:pPr>
              <w:ind w:firstLine="0"/>
              <w:jc w:val="center"/>
              <w:rPr>
                <w:rFonts w:eastAsia="Times New Roman" w:cs="Times New Roman"/>
                <w:color w:val="000000"/>
                <w:sz w:val="20"/>
                <w:szCs w:val="20"/>
                <w:lang w:eastAsia="ru-RU"/>
              </w:rPr>
            </w:pPr>
            <w:r w:rsidRPr="008F5144">
              <w:rPr>
                <w:rFonts w:eastAsia="Times New Roman" w:cs="Times New Roman"/>
                <w:color w:val="000000"/>
                <w:sz w:val="20"/>
                <w:szCs w:val="20"/>
                <w:lang w:eastAsia="ru-RU"/>
              </w:rPr>
              <w:t>10.2017</w:t>
            </w:r>
          </w:p>
        </w:tc>
        <w:tc>
          <w:tcPr>
            <w:tcW w:w="1696" w:type="pct"/>
            <w:tcBorders>
              <w:top w:val="nil"/>
              <w:left w:val="nil"/>
              <w:bottom w:val="single" w:sz="8" w:space="0" w:color="auto"/>
              <w:right w:val="single" w:sz="8" w:space="0" w:color="auto"/>
            </w:tcBorders>
            <w:shd w:val="clear" w:color="auto" w:fill="auto"/>
            <w:noWrap/>
            <w:vAlign w:val="center"/>
            <w:hideMark/>
          </w:tcPr>
          <w:p w14:paraId="27C105CD" w14:textId="77777777" w:rsidR="008F5144" w:rsidRPr="008F5144" w:rsidRDefault="008F5144" w:rsidP="008F5144">
            <w:pPr>
              <w:ind w:firstLine="0"/>
              <w:jc w:val="center"/>
              <w:rPr>
                <w:rFonts w:eastAsia="Times New Roman" w:cs="Times New Roman"/>
                <w:color w:val="000000"/>
                <w:sz w:val="20"/>
                <w:szCs w:val="20"/>
                <w:lang w:eastAsia="ru-RU"/>
              </w:rPr>
            </w:pPr>
            <w:r w:rsidRPr="008F5144">
              <w:rPr>
                <w:rFonts w:eastAsia="Times New Roman" w:cs="Times New Roman"/>
                <w:color w:val="000000"/>
                <w:sz w:val="20"/>
                <w:szCs w:val="20"/>
                <w:lang w:eastAsia="ru-RU"/>
              </w:rPr>
              <w:t>1,052</w:t>
            </w:r>
          </w:p>
        </w:tc>
      </w:tr>
      <w:tr w:rsidR="008F5144" w:rsidRPr="008F5144" w14:paraId="143EA339" w14:textId="77777777" w:rsidTr="006C45D3">
        <w:trPr>
          <w:trHeight w:val="315"/>
        </w:trPr>
        <w:tc>
          <w:tcPr>
            <w:tcW w:w="857" w:type="pct"/>
            <w:tcBorders>
              <w:top w:val="nil"/>
              <w:left w:val="single" w:sz="8" w:space="0" w:color="auto"/>
              <w:bottom w:val="single" w:sz="8" w:space="0" w:color="auto"/>
              <w:right w:val="single" w:sz="8" w:space="0" w:color="auto"/>
            </w:tcBorders>
            <w:shd w:val="clear" w:color="auto" w:fill="auto"/>
            <w:vAlign w:val="center"/>
            <w:hideMark/>
          </w:tcPr>
          <w:p w14:paraId="6394A8B5" w14:textId="77777777" w:rsidR="008F5144" w:rsidRPr="008F5144" w:rsidRDefault="008F5144" w:rsidP="008F5144">
            <w:pPr>
              <w:ind w:firstLine="0"/>
              <w:jc w:val="center"/>
              <w:rPr>
                <w:rFonts w:eastAsia="Times New Roman" w:cs="Times New Roman"/>
                <w:color w:val="000000"/>
                <w:sz w:val="20"/>
                <w:szCs w:val="20"/>
                <w:lang w:eastAsia="ru-RU"/>
              </w:rPr>
            </w:pPr>
            <w:r w:rsidRPr="008F5144">
              <w:rPr>
                <w:rFonts w:eastAsia="Times New Roman" w:cs="Times New Roman"/>
                <w:color w:val="000000"/>
                <w:sz w:val="20"/>
                <w:szCs w:val="20"/>
                <w:lang w:eastAsia="ru-RU"/>
              </w:rPr>
              <w:t> </w:t>
            </w:r>
          </w:p>
        </w:tc>
        <w:tc>
          <w:tcPr>
            <w:tcW w:w="1286" w:type="pct"/>
            <w:tcBorders>
              <w:top w:val="nil"/>
              <w:left w:val="nil"/>
              <w:bottom w:val="single" w:sz="8" w:space="0" w:color="auto"/>
              <w:right w:val="single" w:sz="8" w:space="0" w:color="auto"/>
            </w:tcBorders>
            <w:shd w:val="clear" w:color="auto" w:fill="auto"/>
            <w:noWrap/>
            <w:vAlign w:val="center"/>
            <w:hideMark/>
          </w:tcPr>
          <w:p w14:paraId="59191333" w14:textId="77777777" w:rsidR="008F5144" w:rsidRPr="008F5144" w:rsidRDefault="008F5144" w:rsidP="008F5144">
            <w:pPr>
              <w:ind w:firstLine="0"/>
              <w:jc w:val="center"/>
              <w:rPr>
                <w:rFonts w:eastAsia="Times New Roman" w:cs="Times New Roman"/>
                <w:color w:val="000000"/>
                <w:sz w:val="20"/>
                <w:szCs w:val="20"/>
                <w:lang w:eastAsia="ru-RU"/>
              </w:rPr>
            </w:pPr>
            <w:r w:rsidRPr="008F5144">
              <w:rPr>
                <w:rFonts w:eastAsia="Times New Roman" w:cs="Times New Roman"/>
                <w:color w:val="000000"/>
                <w:sz w:val="20"/>
                <w:szCs w:val="20"/>
                <w:lang w:eastAsia="ru-RU"/>
              </w:rPr>
              <w:t>Сентябрь 2017</w:t>
            </w:r>
          </w:p>
        </w:tc>
        <w:tc>
          <w:tcPr>
            <w:tcW w:w="1161" w:type="pct"/>
            <w:tcBorders>
              <w:top w:val="nil"/>
              <w:left w:val="nil"/>
              <w:bottom w:val="single" w:sz="8" w:space="0" w:color="auto"/>
              <w:right w:val="single" w:sz="8" w:space="0" w:color="auto"/>
            </w:tcBorders>
            <w:shd w:val="clear" w:color="auto" w:fill="auto"/>
            <w:noWrap/>
            <w:vAlign w:val="center"/>
            <w:hideMark/>
          </w:tcPr>
          <w:p w14:paraId="32027780" w14:textId="48C1D9F3" w:rsidR="008F5144" w:rsidRPr="008F5144" w:rsidRDefault="008F5144" w:rsidP="008F5144">
            <w:pPr>
              <w:ind w:firstLine="0"/>
              <w:jc w:val="center"/>
              <w:rPr>
                <w:rFonts w:eastAsia="Times New Roman" w:cs="Times New Roman"/>
                <w:color w:val="000000"/>
                <w:sz w:val="20"/>
                <w:szCs w:val="20"/>
                <w:lang w:eastAsia="ru-RU"/>
              </w:rPr>
            </w:pPr>
            <w:r w:rsidRPr="008F5144">
              <w:rPr>
                <w:rFonts w:eastAsia="Times New Roman" w:cs="Times New Roman"/>
                <w:color w:val="000000"/>
                <w:sz w:val="20"/>
                <w:szCs w:val="20"/>
                <w:lang w:eastAsia="ru-RU"/>
              </w:rPr>
              <w:t>09.2017</w:t>
            </w:r>
          </w:p>
        </w:tc>
        <w:tc>
          <w:tcPr>
            <w:tcW w:w="1696" w:type="pct"/>
            <w:tcBorders>
              <w:top w:val="nil"/>
              <w:left w:val="nil"/>
              <w:bottom w:val="single" w:sz="8" w:space="0" w:color="auto"/>
              <w:right w:val="single" w:sz="8" w:space="0" w:color="auto"/>
            </w:tcBorders>
            <w:shd w:val="clear" w:color="auto" w:fill="auto"/>
            <w:noWrap/>
            <w:vAlign w:val="center"/>
            <w:hideMark/>
          </w:tcPr>
          <w:p w14:paraId="23AF3987" w14:textId="77777777" w:rsidR="008F5144" w:rsidRPr="008F5144" w:rsidRDefault="008F5144" w:rsidP="008F5144">
            <w:pPr>
              <w:ind w:firstLine="0"/>
              <w:jc w:val="center"/>
              <w:rPr>
                <w:rFonts w:eastAsia="Times New Roman" w:cs="Times New Roman"/>
                <w:color w:val="000000"/>
                <w:sz w:val="20"/>
                <w:szCs w:val="20"/>
                <w:lang w:eastAsia="ru-RU"/>
              </w:rPr>
            </w:pPr>
            <w:r w:rsidRPr="008F5144">
              <w:rPr>
                <w:rFonts w:eastAsia="Times New Roman" w:cs="Times New Roman"/>
                <w:color w:val="000000"/>
                <w:sz w:val="20"/>
                <w:szCs w:val="20"/>
                <w:lang w:eastAsia="ru-RU"/>
              </w:rPr>
              <w:t>1,05</w:t>
            </w:r>
          </w:p>
        </w:tc>
      </w:tr>
      <w:tr w:rsidR="008F5144" w:rsidRPr="008F5144" w14:paraId="633BF782" w14:textId="77777777" w:rsidTr="006C45D3">
        <w:trPr>
          <w:trHeight w:val="315"/>
        </w:trPr>
        <w:tc>
          <w:tcPr>
            <w:tcW w:w="857" w:type="pct"/>
            <w:tcBorders>
              <w:top w:val="nil"/>
              <w:left w:val="single" w:sz="8" w:space="0" w:color="auto"/>
              <w:bottom w:val="single" w:sz="8" w:space="0" w:color="auto"/>
              <w:right w:val="single" w:sz="8" w:space="0" w:color="auto"/>
            </w:tcBorders>
            <w:shd w:val="clear" w:color="auto" w:fill="auto"/>
            <w:vAlign w:val="center"/>
            <w:hideMark/>
          </w:tcPr>
          <w:p w14:paraId="42087781" w14:textId="77777777" w:rsidR="008F5144" w:rsidRPr="008F5144" w:rsidRDefault="008F5144" w:rsidP="008F5144">
            <w:pPr>
              <w:ind w:firstLine="0"/>
              <w:jc w:val="center"/>
              <w:rPr>
                <w:rFonts w:eastAsia="Times New Roman" w:cs="Times New Roman"/>
                <w:color w:val="000000"/>
                <w:sz w:val="20"/>
                <w:szCs w:val="20"/>
                <w:lang w:eastAsia="ru-RU"/>
              </w:rPr>
            </w:pPr>
            <w:r w:rsidRPr="008F5144">
              <w:rPr>
                <w:rFonts w:eastAsia="Times New Roman" w:cs="Times New Roman"/>
                <w:color w:val="000000"/>
                <w:sz w:val="20"/>
                <w:szCs w:val="20"/>
                <w:lang w:eastAsia="ru-RU"/>
              </w:rPr>
              <w:t> </w:t>
            </w:r>
          </w:p>
        </w:tc>
        <w:tc>
          <w:tcPr>
            <w:tcW w:w="1286" w:type="pct"/>
            <w:tcBorders>
              <w:top w:val="nil"/>
              <w:left w:val="nil"/>
              <w:bottom w:val="single" w:sz="8" w:space="0" w:color="auto"/>
              <w:right w:val="single" w:sz="8" w:space="0" w:color="auto"/>
            </w:tcBorders>
            <w:shd w:val="clear" w:color="auto" w:fill="auto"/>
            <w:noWrap/>
            <w:vAlign w:val="center"/>
            <w:hideMark/>
          </w:tcPr>
          <w:p w14:paraId="59DD79BC" w14:textId="77777777" w:rsidR="008F5144" w:rsidRPr="008F5144" w:rsidRDefault="008F5144" w:rsidP="008F5144">
            <w:pPr>
              <w:ind w:firstLine="0"/>
              <w:jc w:val="center"/>
              <w:rPr>
                <w:rFonts w:eastAsia="Times New Roman" w:cs="Times New Roman"/>
                <w:color w:val="000000"/>
                <w:sz w:val="20"/>
                <w:szCs w:val="20"/>
                <w:lang w:eastAsia="ru-RU"/>
              </w:rPr>
            </w:pPr>
            <w:r w:rsidRPr="008F5144">
              <w:rPr>
                <w:rFonts w:eastAsia="Times New Roman" w:cs="Times New Roman"/>
                <w:color w:val="000000"/>
                <w:sz w:val="20"/>
                <w:szCs w:val="20"/>
                <w:lang w:eastAsia="ru-RU"/>
              </w:rPr>
              <w:t>Август 2017</w:t>
            </w:r>
          </w:p>
        </w:tc>
        <w:tc>
          <w:tcPr>
            <w:tcW w:w="1161" w:type="pct"/>
            <w:tcBorders>
              <w:top w:val="nil"/>
              <w:left w:val="nil"/>
              <w:bottom w:val="single" w:sz="8" w:space="0" w:color="auto"/>
              <w:right w:val="single" w:sz="8" w:space="0" w:color="auto"/>
            </w:tcBorders>
            <w:shd w:val="clear" w:color="auto" w:fill="auto"/>
            <w:noWrap/>
            <w:vAlign w:val="center"/>
            <w:hideMark/>
          </w:tcPr>
          <w:p w14:paraId="20941464" w14:textId="7A03F472" w:rsidR="008F5144" w:rsidRPr="008F5144" w:rsidRDefault="008F5144" w:rsidP="008F5144">
            <w:pPr>
              <w:ind w:firstLine="0"/>
              <w:jc w:val="center"/>
              <w:rPr>
                <w:rFonts w:eastAsia="Times New Roman" w:cs="Times New Roman"/>
                <w:color w:val="000000"/>
                <w:sz w:val="20"/>
                <w:szCs w:val="20"/>
                <w:lang w:eastAsia="ru-RU"/>
              </w:rPr>
            </w:pPr>
            <w:r w:rsidRPr="008F5144">
              <w:rPr>
                <w:rFonts w:eastAsia="Times New Roman" w:cs="Times New Roman"/>
                <w:color w:val="000000"/>
                <w:sz w:val="20"/>
                <w:szCs w:val="20"/>
                <w:lang w:eastAsia="ru-RU"/>
              </w:rPr>
              <w:t>08.2017</w:t>
            </w:r>
          </w:p>
        </w:tc>
        <w:tc>
          <w:tcPr>
            <w:tcW w:w="1696" w:type="pct"/>
            <w:tcBorders>
              <w:top w:val="nil"/>
              <w:left w:val="nil"/>
              <w:bottom w:val="single" w:sz="8" w:space="0" w:color="auto"/>
              <w:right w:val="single" w:sz="8" w:space="0" w:color="auto"/>
            </w:tcBorders>
            <w:shd w:val="clear" w:color="auto" w:fill="auto"/>
            <w:noWrap/>
            <w:vAlign w:val="center"/>
            <w:hideMark/>
          </w:tcPr>
          <w:p w14:paraId="6BDEF3CD" w14:textId="77777777" w:rsidR="008F5144" w:rsidRPr="008F5144" w:rsidRDefault="008F5144" w:rsidP="008F5144">
            <w:pPr>
              <w:ind w:firstLine="0"/>
              <w:jc w:val="center"/>
              <w:rPr>
                <w:rFonts w:eastAsia="Times New Roman" w:cs="Times New Roman"/>
                <w:color w:val="000000"/>
                <w:sz w:val="20"/>
                <w:szCs w:val="20"/>
                <w:lang w:eastAsia="ru-RU"/>
              </w:rPr>
            </w:pPr>
            <w:r w:rsidRPr="008F5144">
              <w:rPr>
                <w:rFonts w:eastAsia="Times New Roman" w:cs="Times New Roman"/>
                <w:color w:val="000000"/>
                <w:sz w:val="20"/>
                <w:szCs w:val="20"/>
                <w:lang w:eastAsia="ru-RU"/>
              </w:rPr>
              <w:t>1,045</w:t>
            </w:r>
          </w:p>
        </w:tc>
      </w:tr>
      <w:tr w:rsidR="008F5144" w:rsidRPr="008F5144" w14:paraId="39F7E61A" w14:textId="77777777" w:rsidTr="006C45D3">
        <w:trPr>
          <w:trHeight w:val="315"/>
        </w:trPr>
        <w:tc>
          <w:tcPr>
            <w:tcW w:w="857" w:type="pct"/>
            <w:tcBorders>
              <w:top w:val="nil"/>
              <w:left w:val="single" w:sz="8" w:space="0" w:color="auto"/>
              <w:bottom w:val="single" w:sz="8" w:space="0" w:color="auto"/>
              <w:right w:val="single" w:sz="8" w:space="0" w:color="auto"/>
            </w:tcBorders>
            <w:shd w:val="clear" w:color="auto" w:fill="auto"/>
            <w:vAlign w:val="center"/>
            <w:hideMark/>
          </w:tcPr>
          <w:p w14:paraId="0E930FC5" w14:textId="77777777" w:rsidR="008F5144" w:rsidRPr="008F5144" w:rsidRDefault="008F5144" w:rsidP="008F5144">
            <w:pPr>
              <w:ind w:firstLine="0"/>
              <w:jc w:val="center"/>
              <w:rPr>
                <w:rFonts w:eastAsia="Times New Roman" w:cs="Times New Roman"/>
                <w:color w:val="000000"/>
                <w:sz w:val="20"/>
                <w:szCs w:val="20"/>
                <w:lang w:eastAsia="ru-RU"/>
              </w:rPr>
            </w:pPr>
            <w:r w:rsidRPr="008F5144">
              <w:rPr>
                <w:rFonts w:eastAsia="Times New Roman" w:cs="Times New Roman"/>
                <w:color w:val="000000"/>
                <w:sz w:val="20"/>
                <w:szCs w:val="20"/>
                <w:lang w:eastAsia="ru-RU"/>
              </w:rPr>
              <w:t> </w:t>
            </w:r>
          </w:p>
        </w:tc>
        <w:tc>
          <w:tcPr>
            <w:tcW w:w="1286" w:type="pct"/>
            <w:tcBorders>
              <w:top w:val="nil"/>
              <w:left w:val="nil"/>
              <w:bottom w:val="single" w:sz="8" w:space="0" w:color="auto"/>
              <w:right w:val="single" w:sz="8" w:space="0" w:color="auto"/>
            </w:tcBorders>
            <w:shd w:val="clear" w:color="auto" w:fill="auto"/>
            <w:noWrap/>
            <w:vAlign w:val="center"/>
            <w:hideMark/>
          </w:tcPr>
          <w:p w14:paraId="3AD0AE5E" w14:textId="77777777" w:rsidR="008F5144" w:rsidRPr="008F5144" w:rsidRDefault="008F5144" w:rsidP="008F5144">
            <w:pPr>
              <w:ind w:firstLine="0"/>
              <w:jc w:val="center"/>
              <w:rPr>
                <w:rFonts w:eastAsia="Times New Roman" w:cs="Times New Roman"/>
                <w:color w:val="000000"/>
                <w:sz w:val="20"/>
                <w:szCs w:val="20"/>
                <w:lang w:eastAsia="ru-RU"/>
              </w:rPr>
            </w:pPr>
            <w:r w:rsidRPr="008F5144">
              <w:rPr>
                <w:rFonts w:eastAsia="Times New Roman" w:cs="Times New Roman"/>
                <w:color w:val="000000"/>
                <w:sz w:val="20"/>
                <w:szCs w:val="20"/>
                <w:lang w:eastAsia="ru-RU"/>
              </w:rPr>
              <w:t>Июль 2017</w:t>
            </w:r>
          </w:p>
        </w:tc>
        <w:tc>
          <w:tcPr>
            <w:tcW w:w="1161" w:type="pct"/>
            <w:tcBorders>
              <w:top w:val="nil"/>
              <w:left w:val="nil"/>
              <w:bottom w:val="single" w:sz="8" w:space="0" w:color="auto"/>
              <w:right w:val="single" w:sz="8" w:space="0" w:color="auto"/>
            </w:tcBorders>
            <w:shd w:val="clear" w:color="auto" w:fill="auto"/>
            <w:noWrap/>
            <w:vAlign w:val="center"/>
            <w:hideMark/>
          </w:tcPr>
          <w:p w14:paraId="72BE0FA8" w14:textId="3433B71C" w:rsidR="008F5144" w:rsidRPr="008F5144" w:rsidRDefault="008F5144" w:rsidP="008F5144">
            <w:pPr>
              <w:ind w:firstLine="0"/>
              <w:jc w:val="center"/>
              <w:rPr>
                <w:rFonts w:eastAsia="Times New Roman" w:cs="Times New Roman"/>
                <w:color w:val="000000"/>
                <w:sz w:val="20"/>
                <w:szCs w:val="20"/>
                <w:lang w:eastAsia="ru-RU"/>
              </w:rPr>
            </w:pPr>
            <w:r w:rsidRPr="008F5144">
              <w:rPr>
                <w:rFonts w:eastAsia="Times New Roman" w:cs="Times New Roman"/>
                <w:color w:val="000000"/>
                <w:sz w:val="20"/>
                <w:szCs w:val="20"/>
                <w:lang w:eastAsia="ru-RU"/>
              </w:rPr>
              <w:t>07.2017</w:t>
            </w:r>
          </w:p>
        </w:tc>
        <w:tc>
          <w:tcPr>
            <w:tcW w:w="1696" w:type="pct"/>
            <w:tcBorders>
              <w:top w:val="nil"/>
              <w:left w:val="nil"/>
              <w:bottom w:val="single" w:sz="8" w:space="0" w:color="auto"/>
              <w:right w:val="single" w:sz="8" w:space="0" w:color="auto"/>
            </w:tcBorders>
            <w:shd w:val="clear" w:color="auto" w:fill="auto"/>
            <w:noWrap/>
            <w:vAlign w:val="center"/>
            <w:hideMark/>
          </w:tcPr>
          <w:p w14:paraId="006B9320" w14:textId="77777777" w:rsidR="008F5144" w:rsidRPr="008F5144" w:rsidRDefault="008F5144" w:rsidP="008F5144">
            <w:pPr>
              <w:ind w:firstLine="0"/>
              <w:jc w:val="center"/>
              <w:rPr>
                <w:rFonts w:eastAsia="Times New Roman" w:cs="Times New Roman"/>
                <w:color w:val="000000"/>
                <w:sz w:val="20"/>
                <w:szCs w:val="20"/>
                <w:lang w:eastAsia="ru-RU"/>
              </w:rPr>
            </w:pPr>
            <w:r w:rsidRPr="008F5144">
              <w:rPr>
                <w:rFonts w:eastAsia="Times New Roman" w:cs="Times New Roman"/>
                <w:color w:val="000000"/>
                <w:sz w:val="20"/>
                <w:szCs w:val="20"/>
                <w:lang w:eastAsia="ru-RU"/>
              </w:rPr>
              <w:t>1,045</w:t>
            </w:r>
          </w:p>
        </w:tc>
      </w:tr>
      <w:tr w:rsidR="008F5144" w:rsidRPr="008F5144" w14:paraId="69ABD5E1" w14:textId="77777777" w:rsidTr="006C45D3">
        <w:trPr>
          <w:trHeight w:val="315"/>
        </w:trPr>
        <w:tc>
          <w:tcPr>
            <w:tcW w:w="857" w:type="pct"/>
            <w:tcBorders>
              <w:top w:val="nil"/>
              <w:left w:val="single" w:sz="8" w:space="0" w:color="auto"/>
              <w:bottom w:val="single" w:sz="8" w:space="0" w:color="auto"/>
              <w:right w:val="single" w:sz="8" w:space="0" w:color="auto"/>
            </w:tcBorders>
            <w:shd w:val="clear" w:color="auto" w:fill="auto"/>
            <w:vAlign w:val="center"/>
            <w:hideMark/>
          </w:tcPr>
          <w:p w14:paraId="7643451E" w14:textId="77777777" w:rsidR="008F5144" w:rsidRPr="008F5144" w:rsidRDefault="008F5144" w:rsidP="008F5144">
            <w:pPr>
              <w:ind w:firstLine="0"/>
              <w:jc w:val="center"/>
              <w:rPr>
                <w:rFonts w:eastAsia="Times New Roman" w:cs="Times New Roman"/>
                <w:color w:val="000000"/>
                <w:sz w:val="20"/>
                <w:szCs w:val="20"/>
                <w:lang w:eastAsia="ru-RU"/>
              </w:rPr>
            </w:pPr>
            <w:r w:rsidRPr="008F5144">
              <w:rPr>
                <w:rFonts w:eastAsia="Times New Roman" w:cs="Times New Roman"/>
                <w:color w:val="000000"/>
                <w:sz w:val="20"/>
                <w:szCs w:val="20"/>
                <w:lang w:eastAsia="ru-RU"/>
              </w:rPr>
              <w:t> </w:t>
            </w:r>
          </w:p>
        </w:tc>
        <w:tc>
          <w:tcPr>
            <w:tcW w:w="1286" w:type="pct"/>
            <w:tcBorders>
              <w:top w:val="nil"/>
              <w:left w:val="nil"/>
              <w:bottom w:val="single" w:sz="8" w:space="0" w:color="auto"/>
              <w:right w:val="single" w:sz="8" w:space="0" w:color="auto"/>
            </w:tcBorders>
            <w:shd w:val="clear" w:color="auto" w:fill="auto"/>
            <w:noWrap/>
            <w:vAlign w:val="center"/>
            <w:hideMark/>
          </w:tcPr>
          <w:p w14:paraId="0DBF74C1" w14:textId="77777777" w:rsidR="008F5144" w:rsidRPr="008F5144" w:rsidRDefault="008F5144" w:rsidP="008F5144">
            <w:pPr>
              <w:ind w:firstLine="0"/>
              <w:jc w:val="center"/>
              <w:rPr>
                <w:rFonts w:eastAsia="Times New Roman" w:cs="Times New Roman"/>
                <w:color w:val="000000"/>
                <w:sz w:val="20"/>
                <w:szCs w:val="20"/>
                <w:lang w:eastAsia="ru-RU"/>
              </w:rPr>
            </w:pPr>
            <w:r w:rsidRPr="008F5144">
              <w:rPr>
                <w:rFonts w:eastAsia="Times New Roman" w:cs="Times New Roman"/>
                <w:color w:val="000000"/>
                <w:sz w:val="20"/>
                <w:szCs w:val="20"/>
                <w:lang w:eastAsia="ru-RU"/>
              </w:rPr>
              <w:t>Июнь 2017</w:t>
            </w:r>
          </w:p>
        </w:tc>
        <w:tc>
          <w:tcPr>
            <w:tcW w:w="1161" w:type="pct"/>
            <w:tcBorders>
              <w:top w:val="nil"/>
              <w:left w:val="nil"/>
              <w:bottom w:val="single" w:sz="8" w:space="0" w:color="auto"/>
              <w:right w:val="single" w:sz="8" w:space="0" w:color="auto"/>
            </w:tcBorders>
            <w:shd w:val="clear" w:color="auto" w:fill="auto"/>
            <w:noWrap/>
            <w:vAlign w:val="center"/>
            <w:hideMark/>
          </w:tcPr>
          <w:p w14:paraId="04EED67A" w14:textId="11A66B68" w:rsidR="008F5144" w:rsidRPr="008F5144" w:rsidRDefault="008F5144" w:rsidP="008F5144">
            <w:pPr>
              <w:ind w:firstLine="0"/>
              <w:jc w:val="center"/>
              <w:rPr>
                <w:rFonts w:eastAsia="Times New Roman" w:cs="Times New Roman"/>
                <w:color w:val="000000"/>
                <w:sz w:val="20"/>
                <w:szCs w:val="20"/>
                <w:lang w:eastAsia="ru-RU"/>
              </w:rPr>
            </w:pPr>
            <w:r w:rsidRPr="008F5144">
              <w:rPr>
                <w:rFonts w:eastAsia="Times New Roman" w:cs="Times New Roman"/>
                <w:color w:val="000000"/>
                <w:sz w:val="20"/>
                <w:szCs w:val="20"/>
                <w:lang w:eastAsia="ru-RU"/>
              </w:rPr>
              <w:t>06.2017</w:t>
            </w:r>
          </w:p>
        </w:tc>
        <w:tc>
          <w:tcPr>
            <w:tcW w:w="1696" w:type="pct"/>
            <w:tcBorders>
              <w:top w:val="nil"/>
              <w:left w:val="nil"/>
              <w:bottom w:val="single" w:sz="8" w:space="0" w:color="auto"/>
              <w:right w:val="single" w:sz="8" w:space="0" w:color="auto"/>
            </w:tcBorders>
            <w:shd w:val="clear" w:color="auto" w:fill="auto"/>
            <w:noWrap/>
            <w:vAlign w:val="center"/>
            <w:hideMark/>
          </w:tcPr>
          <w:p w14:paraId="59A6A8F0" w14:textId="77777777" w:rsidR="008F5144" w:rsidRPr="008F5144" w:rsidRDefault="008F5144" w:rsidP="008F5144">
            <w:pPr>
              <w:ind w:firstLine="0"/>
              <w:jc w:val="center"/>
              <w:rPr>
                <w:rFonts w:eastAsia="Times New Roman" w:cs="Times New Roman"/>
                <w:color w:val="000000"/>
                <w:sz w:val="20"/>
                <w:szCs w:val="20"/>
                <w:lang w:eastAsia="ru-RU"/>
              </w:rPr>
            </w:pPr>
            <w:r w:rsidRPr="008F5144">
              <w:rPr>
                <w:rFonts w:eastAsia="Times New Roman" w:cs="Times New Roman"/>
                <w:color w:val="000000"/>
                <w:sz w:val="20"/>
                <w:szCs w:val="20"/>
                <w:lang w:eastAsia="ru-RU"/>
              </w:rPr>
              <w:t>1,052</w:t>
            </w:r>
          </w:p>
        </w:tc>
      </w:tr>
      <w:tr w:rsidR="008F5144" w:rsidRPr="008F5144" w14:paraId="4FF7F195" w14:textId="77777777" w:rsidTr="006C45D3">
        <w:trPr>
          <w:trHeight w:val="315"/>
        </w:trPr>
        <w:tc>
          <w:tcPr>
            <w:tcW w:w="857" w:type="pct"/>
            <w:tcBorders>
              <w:top w:val="nil"/>
              <w:left w:val="single" w:sz="8" w:space="0" w:color="auto"/>
              <w:bottom w:val="single" w:sz="8" w:space="0" w:color="auto"/>
              <w:right w:val="single" w:sz="8" w:space="0" w:color="auto"/>
            </w:tcBorders>
            <w:shd w:val="clear" w:color="auto" w:fill="auto"/>
            <w:vAlign w:val="center"/>
            <w:hideMark/>
          </w:tcPr>
          <w:p w14:paraId="0038F8A7" w14:textId="77777777" w:rsidR="008F5144" w:rsidRPr="008F5144" w:rsidRDefault="008F5144" w:rsidP="008F5144">
            <w:pPr>
              <w:ind w:firstLine="0"/>
              <w:jc w:val="center"/>
              <w:rPr>
                <w:rFonts w:eastAsia="Times New Roman" w:cs="Times New Roman"/>
                <w:color w:val="000000"/>
                <w:sz w:val="20"/>
                <w:szCs w:val="20"/>
                <w:lang w:eastAsia="ru-RU"/>
              </w:rPr>
            </w:pPr>
            <w:r w:rsidRPr="008F5144">
              <w:rPr>
                <w:rFonts w:eastAsia="Times New Roman" w:cs="Times New Roman"/>
                <w:color w:val="000000"/>
                <w:sz w:val="20"/>
                <w:szCs w:val="20"/>
                <w:lang w:eastAsia="ru-RU"/>
              </w:rPr>
              <w:t> </w:t>
            </w:r>
          </w:p>
        </w:tc>
        <w:tc>
          <w:tcPr>
            <w:tcW w:w="1286" w:type="pct"/>
            <w:tcBorders>
              <w:top w:val="nil"/>
              <w:left w:val="nil"/>
              <w:bottom w:val="single" w:sz="8" w:space="0" w:color="auto"/>
              <w:right w:val="single" w:sz="8" w:space="0" w:color="auto"/>
            </w:tcBorders>
            <w:shd w:val="clear" w:color="auto" w:fill="auto"/>
            <w:noWrap/>
            <w:vAlign w:val="center"/>
            <w:hideMark/>
          </w:tcPr>
          <w:p w14:paraId="24A7BEF7" w14:textId="77777777" w:rsidR="008F5144" w:rsidRPr="008F5144" w:rsidRDefault="008F5144" w:rsidP="008F5144">
            <w:pPr>
              <w:ind w:firstLine="0"/>
              <w:jc w:val="center"/>
              <w:rPr>
                <w:rFonts w:eastAsia="Times New Roman" w:cs="Times New Roman"/>
                <w:color w:val="000000"/>
                <w:sz w:val="20"/>
                <w:szCs w:val="20"/>
                <w:lang w:eastAsia="ru-RU"/>
              </w:rPr>
            </w:pPr>
            <w:r w:rsidRPr="008F5144">
              <w:rPr>
                <w:rFonts w:eastAsia="Times New Roman" w:cs="Times New Roman"/>
                <w:color w:val="000000"/>
                <w:sz w:val="20"/>
                <w:szCs w:val="20"/>
                <w:lang w:eastAsia="ru-RU"/>
              </w:rPr>
              <w:t>Май 2017</w:t>
            </w:r>
          </w:p>
        </w:tc>
        <w:tc>
          <w:tcPr>
            <w:tcW w:w="1161" w:type="pct"/>
            <w:tcBorders>
              <w:top w:val="nil"/>
              <w:left w:val="nil"/>
              <w:bottom w:val="single" w:sz="8" w:space="0" w:color="auto"/>
              <w:right w:val="single" w:sz="8" w:space="0" w:color="auto"/>
            </w:tcBorders>
            <w:shd w:val="clear" w:color="auto" w:fill="auto"/>
            <w:noWrap/>
            <w:vAlign w:val="center"/>
            <w:hideMark/>
          </w:tcPr>
          <w:p w14:paraId="5255C839" w14:textId="6D392E39" w:rsidR="008F5144" w:rsidRPr="008F5144" w:rsidRDefault="008F5144" w:rsidP="008F5144">
            <w:pPr>
              <w:ind w:firstLine="0"/>
              <w:jc w:val="center"/>
              <w:rPr>
                <w:rFonts w:eastAsia="Times New Roman" w:cs="Times New Roman"/>
                <w:color w:val="000000"/>
                <w:sz w:val="20"/>
                <w:szCs w:val="20"/>
                <w:lang w:eastAsia="ru-RU"/>
              </w:rPr>
            </w:pPr>
            <w:r w:rsidRPr="008F5144">
              <w:rPr>
                <w:rFonts w:eastAsia="Times New Roman" w:cs="Times New Roman"/>
                <w:color w:val="000000"/>
                <w:sz w:val="20"/>
                <w:szCs w:val="20"/>
                <w:lang w:eastAsia="ru-RU"/>
              </w:rPr>
              <w:t>05.2017</w:t>
            </w:r>
          </w:p>
        </w:tc>
        <w:tc>
          <w:tcPr>
            <w:tcW w:w="1696" w:type="pct"/>
            <w:tcBorders>
              <w:top w:val="nil"/>
              <w:left w:val="nil"/>
              <w:bottom w:val="single" w:sz="8" w:space="0" w:color="auto"/>
              <w:right w:val="single" w:sz="8" w:space="0" w:color="auto"/>
            </w:tcBorders>
            <w:shd w:val="clear" w:color="auto" w:fill="auto"/>
            <w:noWrap/>
            <w:vAlign w:val="center"/>
            <w:hideMark/>
          </w:tcPr>
          <w:p w14:paraId="3FEF074D" w14:textId="77777777" w:rsidR="008F5144" w:rsidRPr="008F5144" w:rsidRDefault="008F5144" w:rsidP="008F5144">
            <w:pPr>
              <w:ind w:firstLine="0"/>
              <w:jc w:val="center"/>
              <w:rPr>
                <w:rFonts w:eastAsia="Times New Roman" w:cs="Times New Roman"/>
                <w:color w:val="000000"/>
                <w:sz w:val="20"/>
                <w:szCs w:val="20"/>
                <w:lang w:eastAsia="ru-RU"/>
              </w:rPr>
            </w:pPr>
            <w:r w:rsidRPr="008F5144">
              <w:rPr>
                <w:rFonts w:eastAsia="Times New Roman" w:cs="Times New Roman"/>
                <w:color w:val="000000"/>
                <w:sz w:val="20"/>
                <w:szCs w:val="20"/>
                <w:lang w:eastAsia="ru-RU"/>
              </w:rPr>
              <w:t>1,056</w:t>
            </w:r>
          </w:p>
        </w:tc>
      </w:tr>
      <w:tr w:rsidR="008F5144" w:rsidRPr="008F5144" w14:paraId="6DF94AE2" w14:textId="77777777" w:rsidTr="006C45D3">
        <w:trPr>
          <w:trHeight w:val="315"/>
        </w:trPr>
        <w:tc>
          <w:tcPr>
            <w:tcW w:w="857" w:type="pct"/>
            <w:tcBorders>
              <w:top w:val="nil"/>
              <w:left w:val="single" w:sz="8" w:space="0" w:color="auto"/>
              <w:bottom w:val="single" w:sz="8" w:space="0" w:color="auto"/>
              <w:right w:val="single" w:sz="8" w:space="0" w:color="auto"/>
            </w:tcBorders>
            <w:shd w:val="clear" w:color="auto" w:fill="auto"/>
            <w:vAlign w:val="center"/>
            <w:hideMark/>
          </w:tcPr>
          <w:p w14:paraId="75FBCE72" w14:textId="77777777" w:rsidR="008F5144" w:rsidRPr="008F5144" w:rsidRDefault="008F5144" w:rsidP="008F5144">
            <w:pPr>
              <w:ind w:firstLine="0"/>
              <w:jc w:val="center"/>
              <w:rPr>
                <w:rFonts w:eastAsia="Times New Roman" w:cs="Times New Roman"/>
                <w:color w:val="000000"/>
                <w:sz w:val="20"/>
                <w:szCs w:val="20"/>
                <w:lang w:eastAsia="ru-RU"/>
              </w:rPr>
            </w:pPr>
            <w:r w:rsidRPr="008F5144">
              <w:rPr>
                <w:rFonts w:eastAsia="Times New Roman" w:cs="Times New Roman"/>
                <w:color w:val="000000"/>
                <w:sz w:val="20"/>
                <w:szCs w:val="20"/>
                <w:lang w:eastAsia="ru-RU"/>
              </w:rPr>
              <w:t> </w:t>
            </w:r>
          </w:p>
        </w:tc>
        <w:tc>
          <w:tcPr>
            <w:tcW w:w="1286" w:type="pct"/>
            <w:tcBorders>
              <w:top w:val="nil"/>
              <w:left w:val="nil"/>
              <w:bottom w:val="single" w:sz="8" w:space="0" w:color="auto"/>
              <w:right w:val="single" w:sz="8" w:space="0" w:color="auto"/>
            </w:tcBorders>
            <w:shd w:val="clear" w:color="auto" w:fill="auto"/>
            <w:noWrap/>
            <w:vAlign w:val="center"/>
            <w:hideMark/>
          </w:tcPr>
          <w:p w14:paraId="582BEC24" w14:textId="77777777" w:rsidR="008F5144" w:rsidRPr="008F5144" w:rsidRDefault="008F5144" w:rsidP="008F5144">
            <w:pPr>
              <w:ind w:firstLine="0"/>
              <w:jc w:val="center"/>
              <w:rPr>
                <w:rFonts w:eastAsia="Times New Roman" w:cs="Times New Roman"/>
                <w:color w:val="000000"/>
                <w:sz w:val="20"/>
                <w:szCs w:val="20"/>
                <w:lang w:eastAsia="ru-RU"/>
              </w:rPr>
            </w:pPr>
            <w:r w:rsidRPr="008F5144">
              <w:rPr>
                <w:rFonts w:eastAsia="Times New Roman" w:cs="Times New Roman"/>
                <w:color w:val="000000"/>
                <w:sz w:val="20"/>
                <w:szCs w:val="20"/>
                <w:lang w:eastAsia="ru-RU"/>
              </w:rPr>
              <w:t>Апрель 2017</w:t>
            </w:r>
          </w:p>
        </w:tc>
        <w:tc>
          <w:tcPr>
            <w:tcW w:w="1161" w:type="pct"/>
            <w:tcBorders>
              <w:top w:val="nil"/>
              <w:left w:val="nil"/>
              <w:bottom w:val="single" w:sz="8" w:space="0" w:color="auto"/>
              <w:right w:val="single" w:sz="8" w:space="0" w:color="auto"/>
            </w:tcBorders>
            <w:shd w:val="clear" w:color="auto" w:fill="auto"/>
            <w:noWrap/>
            <w:vAlign w:val="center"/>
            <w:hideMark/>
          </w:tcPr>
          <w:p w14:paraId="280EFD51" w14:textId="75DD7EEA" w:rsidR="008F5144" w:rsidRPr="008F5144" w:rsidRDefault="008F5144" w:rsidP="008F5144">
            <w:pPr>
              <w:ind w:firstLine="0"/>
              <w:jc w:val="center"/>
              <w:rPr>
                <w:rFonts w:eastAsia="Times New Roman" w:cs="Times New Roman"/>
                <w:color w:val="000000"/>
                <w:sz w:val="20"/>
                <w:szCs w:val="20"/>
                <w:lang w:eastAsia="ru-RU"/>
              </w:rPr>
            </w:pPr>
            <w:r w:rsidRPr="008F5144">
              <w:rPr>
                <w:rFonts w:eastAsia="Times New Roman" w:cs="Times New Roman"/>
                <w:color w:val="000000"/>
                <w:sz w:val="20"/>
                <w:szCs w:val="20"/>
                <w:lang w:eastAsia="ru-RU"/>
              </w:rPr>
              <w:t>04.2017</w:t>
            </w:r>
          </w:p>
        </w:tc>
        <w:tc>
          <w:tcPr>
            <w:tcW w:w="1696" w:type="pct"/>
            <w:tcBorders>
              <w:top w:val="nil"/>
              <w:left w:val="nil"/>
              <w:bottom w:val="single" w:sz="8" w:space="0" w:color="auto"/>
              <w:right w:val="single" w:sz="8" w:space="0" w:color="auto"/>
            </w:tcBorders>
            <w:shd w:val="clear" w:color="auto" w:fill="auto"/>
            <w:noWrap/>
            <w:vAlign w:val="center"/>
            <w:hideMark/>
          </w:tcPr>
          <w:p w14:paraId="6218D6E7" w14:textId="77777777" w:rsidR="008F5144" w:rsidRPr="008F5144" w:rsidRDefault="008F5144" w:rsidP="008F5144">
            <w:pPr>
              <w:ind w:firstLine="0"/>
              <w:jc w:val="center"/>
              <w:rPr>
                <w:rFonts w:eastAsia="Times New Roman" w:cs="Times New Roman"/>
                <w:color w:val="000000"/>
                <w:sz w:val="20"/>
                <w:szCs w:val="20"/>
                <w:lang w:eastAsia="ru-RU"/>
              </w:rPr>
            </w:pPr>
            <w:r w:rsidRPr="008F5144">
              <w:rPr>
                <w:rFonts w:eastAsia="Times New Roman" w:cs="Times New Roman"/>
                <w:color w:val="000000"/>
                <w:sz w:val="20"/>
                <w:szCs w:val="20"/>
                <w:lang w:eastAsia="ru-RU"/>
              </w:rPr>
              <w:t>1,059</w:t>
            </w:r>
          </w:p>
        </w:tc>
      </w:tr>
      <w:tr w:rsidR="008F5144" w:rsidRPr="008F5144" w14:paraId="3D0EE539" w14:textId="77777777" w:rsidTr="006C45D3">
        <w:trPr>
          <w:trHeight w:val="315"/>
        </w:trPr>
        <w:tc>
          <w:tcPr>
            <w:tcW w:w="857" w:type="pct"/>
            <w:tcBorders>
              <w:top w:val="nil"/>
              <w:left w:val="single" w:sz="8" w:space="0" w:color="auto"/>
              <w:bottom w:val="single" w:sz="8" w:space="0" w:color="auto"/>
              <w:right w:val="single" w:sz="8" w:space="0" w:color="auto"/>
            </w:tcBorders>
            <w:shd w:val="clear" w:color="auto" w:fill="auto"/>
            <w:vAlign w:val="center"/>
            <w:hideMark/>
          </w:tcPr>
          <w:p w14:paraId="0FBAC0AF" w14:textId="77777777" w:rsidR="008F5144" w:rsidRPr="008F5144" w:rsidRDefault="008F5144" w:rsidP="008F5144">
            <w:pPr>
              <w:ind w:firstLine="0"/>
              <w:jc w:val="center"/>
              <w:rPr>
                <w:rFonts w:eastAsia="Times New Roman" w:cs="Times New Roman"/>
                <w:color w:val="000000"/>
                <w:sz w:val="20"/>
                <w:szCs w:val="20"/>
                <w:lang w:eastAsia="ru-RU"/>
              </w:rPr>
            </w:pPr>
            <w:r w:rsidRPr="008F5144">
              <w:rPr>
                <w:rFonts w:eastAsia="Times New Roman" w:cs="Times New Roman"/>
                <w:color w:val="000000"/>
                <w:sz w:val="20"/>
                <w:szCs w:val="20"/>
                <w:lang w:eastAsia="ru-RU"/>
              </w:rPr>
              <w:t> </w:t>
            </w:r>
          </w:p>
        </w:tc>
        <w:tc>
          <w:tcPr>
            <w:tcW w:w="1286" w:type="pct"/>
            <w:tcBorders>
              <w:top w:val="nil"/>
              <w:left w:val="nil"/>
              <w:bottom w:val="single" w:sz="8" w:space="0" w:color="auto"/>
              <w:right w:val="single" w:sz="8" w:space="0" w:color="auto"/>
            </w:tcBorders>
            <w:shd w:val="clear" w:color="auto" w:fill="auto"/>
            <w:noWrap/>
            <w:vAlign w:val="center"/>
            <w:hideMark/>
          </w:tcPr>
          <w:p w14:paraId="0A7EA15D" w14:textId="77777777" w:rsidR="008F5144" w:rsidRPr="008F5144" w:rsidRDefault="008F5144" w:rsidP="008F5144">
            <w:pPr>
              <w:ind w:firstLine="0"/>
              <w:jc w:val="center"/>
              <w:rPr>
                <w:rFonts w:eastAsia="Times New Roman" w:cs="Times New Roman"/>
                <w:color w:val="000000"/>
                <w:sz w:val="20"/>
                <w:szCs w:val="20"/>
                <w:lang w:eastAsia="ru-RU"/>
              </w:rPr>
            </w:pPr>
            <w:r w:rsidRPr="008F5144">
              <w:rPr>
                <w:rFonts w:eastAsia="Times New Roman" w:cs="Times New Roman"/>
                <w:color w:val="000000"/>
                <w:sz w:val="20"/>
                <w:szCs w:val="20"/>
                <w:lang w:eastAsia="ru-RU"/>
              </w:rPr>
              <w:t>Март 2017</w:t>
            </w:r>
          </w:p>
        </w:tc>
        <w:tc>
          <w:tcPr>
            <w:tcW w:w="1161" w:type="pct"/>
            <w:tcBorders>
              <w:top w:val="nil"/>
              <w:left w:val="nil"/>
              <w:bottom w:val="single" w:sz="8" w:space="0" w:color="auto"/>
              <w:right w:val="single" w:sz="8" w:space="0" w:color="auto"/>
            </w:tcBorders>
            <w:shd w:val="clear" w:color="auto" w:fill="auto"/>
            <w:noWrap/>
            <w:vAlign w:val="center"/>
            <w:hideMark/>
          </w:tcPr>
          <w:p w14:paraId="37013192" w14:textId="5CE86C12" w:rsidR="008F5144" w:rsidRPr="008F5144" w:rsidRDefault="008F5144" w:rsidP="008F5144">
            <w:pPr>
              <w:ind w:firstLine="0"/>
              <w:jc w:val="center"/>
              <w:rPr>
                <w:rFonts w:eastAsia="Times New Roman" w:cs="Times New Roman"/>
                <w:color w:val="000000"/>
                <w:sz w:val="20"/>
                <w:szCs w:val="20"/>
                <w:lang w:eastAsia="ru-RU"/>
              </w:rPr>
            </w:pPr>
            <w:r w:rsidRPr="008F5144">
              <w:rPr>
                <w:rFonts w:eastAsia="Times New Roman" w:cs="Times New Roman"/>
                <w:color w:val="000000"/>
                <w:sz w:val="20"/>
                <w:szCs w:val="20"/>
                <w:lang w:eastAsia="ru-RU"/>
              </w:rPr>
              <w:t>03.2017</w:t>
            </w:r>
          </w:p>
        </w:tc>
        <w:tc>
          <w:tcPr>
            <w:tcW w:w="1696" w:type="pct"/>
            <w:tcBorders>
              <w:top w:val="nil"/>
              <w:left w:val="nil"/>
              <w:bottom w:val="single" w:sz="8" w:space="0" w:color="auto"/>
              <w:right w:val="single" w:sz="8" w:space="0" w:color="auto"/>
            </w:tcBorders>
            <w:shd w:val="clear" w:color="auto" w:fill="auto"/>
            <w:noWrap/>
            <w:vAlign w:val="center"/>
            <w:hideMark/>
          </w:tcPr>
          <w:p w14:paraId="43D77E23" w14:textId="77777777" w:rsidR="008F5144" w:rsidRPr="008F5144" w:rsidRDefault="008F5144" w:rsidP="008F5144">
            <w:pPr>
              <w:ind w:firstLine="0"/>
              <w:jc w:val="center"/>
              <w:rPr>
                <w:rFonts w:eastAsia="Times New Roman" w:cs="Times New Roman"/>
                <w:color w:val="000000"/>
                <w:sz w:val="20"/>
                <w:szCs w:val="20"/>
                <w:lang w:eastAsia="ru-RU"/>
              </w:rPr>
            </w:pPr>
            <w:r w:rsidRPr="008F5144">
              <w:rPr>
                <w:rFonts w:eastAsia="Times New Roman" w:cs="Times New Roman"/>
                <w:color w:val="000000"/>
                <w:sz w:val="20"/>
                <w:szCs w:val="20"/>
                <w:lang w:eastAsia="ru-RU"/>
              </w:rPr>
              <w:t>1,06</w:t>
            </w:r>
          </w:p>
        </w:tc>
      </w:tr>
      <w:tr w:rsidR="008F5144" w:rsidRPr="008F5144" w14:paraId="2A2E5CEC" w14:textId="77777777" w:rsidTr="006C45D3">
        <w:trPr>
          <w:trHeight w:val="315"/>
        </w:trPr>
        <w:tc>
          <w:tcPr>
            <w:tcW w:w="857" w:type="pct"/>
            <w:tcBorders>
              <w:top w:val="nil"/>
              <w:left w:val="single" w:sz="8" w:space="0" w:color="auto"/>
              <w:bottom w:val="single" w:sz="8" w:space="0" w:color="auto"/>
              <w:right w:val="single" w:sz="8" w:space="0" w:color="auto"/>
            </w:tcBorders>
            <w:shd w:val="clear" w:color="auto" w:fill="auto"/>
            <w:vAlign w:val="center"/>
            <w:hideMark/>
          </w:tcPr>
          <w:p w14:paraId="7F7C93BF" w14:textId="77777777" w:rsidR="008F5144" w:rsidRPr="008F5144" w:rsidRDefault="008F5144" w:rsidP="008F5144">
            <w:pPr>
              <w:ind w:firstLine="0"/>
              <w:jc w:val="center"/>
              <w:rPr>
                <w:rFonts w:eastAsia="Times New Roman" w:cs="Times New Roman"/>
                <w:color w:val="000000"/>
                <w:sz w:val="20"/>
                <w:szCs w:val="20"/>
                <w:lang w:eastAsia="ru-RU"/>
              </w:rPr>
            </w:pPr>
            <w:r w:rsidRPr="008F5144">
              <w:rPr>
                <w:rFonts w:eastAsia="Times New Roman" w:cs="Times New Roman"/>
                <w:color w:val="000000"/>
                <w:sz w:val="20"/>
                <w:szCs w:val="20"/>
                <w:lang w:eastAsia="ru-RU"/>
              </w:rPr>
              <w:t> </w:t>
            </w:r>
          </w:p>
        </w:tc>
        <w:tc>
          <w:tcPr>
            <w:tcW w:w="1286" w:type="pct"/>
            <w:tcBorders>
              <w:top w:val="nil"/>
              <w:left w:val="nil"/>
              <w:bottom w:val="single" w:sz="8" w:space="0" w:color="auto"/>
              <w:right w:val="single" w:sz="8" w:space="0" w:color="auto"/>
            </w:tcBorders>
            <w:shd w:val="clear" w:color="auto" w:fill="auto"/>
            <w:noWrap/>
            <w:vAlign w:val="center"/>
            <w:hideMark/>
          </w:tcPr>
          <w:p w14:paraId="693CF0A2" w14:textId="77777777" w:rsidR="008F5144" w:rsidRPr="008F5144" w:rsidRDefault="008F5144" w:rsidP="008F5144">
            <w:pPr>
              <w:ind w:firstLine="0"/>
              <w:jc w:val="center"/>
              <w:rPr>
                <w:rFonts w:eastAsia="Times New Roman" w:cs="Times New Roman"/>
                <w:color w:val="000000"/>
                <w:sz w:val="20"/>
                <w:szCs w:val="20"/>
                <w:lang w:eastAsia="ru-RU"/>
              </w:rPr>
            </w:pPr>
            <w:r w:rsidRPr="008F5144">
              <w:rPr>
                <w:rFonts w:eastAsia="Times New Roman" w:cs="Times New Roman"/>
                <w:color w:val="000000"/>
                <w:sz w:val="20"/>
                <w:szCs w:val="20"/>
                <w:lang w:eastAsia="ru-RU"/>
              </w:rPr>
              <w:t>Февраль 2017</w:t>
            </w:r>
          </w:p>
        </w:tc>
        <w:tc>
          <w:tcPr>
            <w:tcW w:w="1161" w:type="pct"/>
            <w:tcBorders>
              <w:top w:val="nil"/>
              <w:left w:val="nil"/>
              <w:bottom w:val="single" w:sz="8" w:space="0" w:color="auto"/>
              <w:right w:val="single" w:sz="8" w:space="0" w:color="auto"/>
            </w:tcBorders>
            <w:shd w:val="clear" w:color="auto" w:fill="auto"/>
            <w:noWrap/>
            <w:vAlign w:val="center"/>
            <w:hideMark/>
          </w:tcPr>
          <w:p w14:paraId="61E86691" w14:textId="2AE52261" w:rsidR="008F5144" w:rsidRPr="008F5144" w:rsidRDefault="008F5144" w:rsidP="008F5144">
            <w:pPr>
              <w:ind w:firstLine="0"/>
              <w:jc w:val="center"/>
              <w:rPr>
                <w:rFonts w:eastAsia="Times New Roman" w:cs="Times New Roman"/>
                <w:color w:val="000000"/>
                <w:sz w:val="20"/>
                <w:szCs w:val="20"/>
                <w:lang w:eastAsia="ru-RU"/>
              </w:rPr>
            </w:pPr>
            <w:r w:rsidRPr="008F5144">
              <w:rPr>
                <w:rFonts w:eastAsia="Times New Roman" w:cs="Times New Roman"/>
                <w:color w:val="000000"/>
                <w:sz w:val="20"/>
                <w:szCs w:val="20"/>
                <w:lang w:eastAsia="ru-RU"/>
              </w:rPr>
              <w:t>02.2017</w:t>
            </w:r>
          </w:p>
        </w:tc>
        <w:tc>
          <w:tcPr>
            <w:tcW w:w="1696" w:type="pct"/>
            <w:tcBorders>
              <w:top w:val="nil"/>
              <w:left w:val="nil"/>
              <w:bottom w:val="single" w:sz="8" w:space="0" w:color="auto"/>
              <w:right w:val="single" w:sz="8" w:space="0" w:color="auto"/>
            </w:tcBorders>
            <w:shd w:val="clear" w:color="auto" w:fill="auto"/>
            <w:noWrap/>
            <w:vAlign w:val="center"/>
            <w:hideMark/>
          </w:tcPr>
          <w:p w14:paraId="2BB3C236" w14:textId="77777777" w:rsidR="008F5144" w:rsidRPr="008F5144" w:rsidRDefault="008F5144" w:rsidP="008F5144">
            <w:pPr>
              <w:ind w:firstLine="0"/>
              <w:jc w:val="center"/>
              <w:rPr>
                <w:rFonts w:eastAsia="Times New Roman" w:cs="Times New Roman"/>
                <w:color w:val="000000"/>
                <w:sz w:val="20"/>
                <w:szCs w:val="20"/>
                <w:lang w:eastAsia="ru-RU"/>
              </w:rPr>
            </w:pPr>
            <w:r w:rsidRPr="008F5144">
              <w:rPr>
                <w:rFonts w:eastAsia="Times New Roman" w:cs="Times New Roman"/>
                <w:color w:val="000000"/>
                <w:sz w:val="20"/>
                <w:szCs w:val="20"/>
                <w:lang w:eastAsia="ru-RU"/>
              </w:rPr>
              <w:t>1,063</w:t>
            </w:r>
          </w:p>
        </w:tc>
      </w:tr>
      <w:tr w:rsidR="008F5144" w:rsidRPr="008F5144" w14:paraId="6246A88B" w14:textId="77777777" w:rsidTr="006C45D3">
        <w:trPr>
          <w:trHeight w:val="315"/>
        </w:trPr>
        <w:tc>
          <w:tcPr>
            <w:tcW w:w="857" w:type="pct"/>
            <w:tcBorders>
              <w:top w:val="nil"/>
              <w:left w:val="single" w:sz="8" w:space="0" w:color="auto"/>
              <w:bottom w:val="single" w:sz="8" w:space="0" w:color="auto"/>
              <w:right w:val="single" w:sz="8" w:space="0" w:color="auto"/>
            </w:tcBorders>
            <w:shd w:val="clear" w:color="auto" w:fill="auto"/>
            <w:vAlign w:val="center"/>
            <w:hideMark/>
          </w:tcPr>
          <w:p w14:paraId="4FAF9244" w14:textId="77777777" w:rsidR="008F5144" w:rsidRPr="008F5144" w:rsidRDefault="008F5144" w:rsidP="008F5144">
            <w:pPr>
              <w:ind w:firstLine="0"/>
              <w:jc w:val="center"/>
              <w:rPr>
                <w:rFonts w:eastAsia="Times New Roman" w:cs="Times New Roman"/>
                <w:color w:val="000000"/>
                <w:sz w:val="20"/>
                <w:szCs w:val="20"/>
                <w:lang w:eastAsia="ru-RU"/>
              </w:rPr>
            </w:pPr>
            <w:r w:rsidRPr="008F5144">
              <w:rPr>
                <w:rFonts w:eastAsia="Times New Roman" w:cs="Times New Roman"/>
                <w:color w:val="000000"/>
                <w:sz w:val="20"/>
                <w:szCs w:val="20"/>
                <w:lang w:eastAsia="ru-RU"/>
              </w:rPr>
              <w:t> </w:t>
            </w:r>
          </w:p>
        </w:tc>
        <w:tc>
          <w:tcPr>
            <w:tcW w:w="1286" w:type="pct"/>
            <w:tcBorders>
              <w:top w:val="nil"/>
              <w:left w:val="nil"/>
              <w:bottom w:val="single" w:sz="8" w:space="0" w:color="auto"/>
              <w:right w:val="single" w:sz="8" w:space="0" w:color="auto"/>
            </w:tcBorders>
            <w:shd w:val="clear" w:color="auto" w:fill="auto"/>
            <w:noWrap/>
            <w:vAlign w:val="center"/>
            <w:hideMark/>
          </w:tcPr>
          <w:p w14:paraId="1D8B0DF3" w14:textId="77777777" w:rsidR="008F5144" w:rsidRPr="008F5144" w:rsidRDefault="008F5144" w:rsidP="008F5144">
            <w:pPr>
              <w:ind w:firstLine="0"/>
              <w:jc w:val="center"/>
              <w:rPr>
                <w:rFonts w:eastAsia="Times New Roman" w:cs="Times New Roman"/>
                <w:color w:val="000000"/>
                <w:sz w:val="20"/>
                <w:szCs w:val="20"/>
                <w:lang w:eastAsia="ru-RU"/>
              </w:rPr>
            </w:pPr>
            <w:r w:rsidRPr="008F5144">
              <w:rPr>
                <w:rFonts w:eastAsia="Times New Roman" w:cs="Times New Roman"/>
                <w:color w:val="000000"/>
                <w:sz w:val="20"/>
                <w:szCs w:val="20"/>
                <w:lang w:eastAsia="ru-RU"/>
              </w:rPr>
              <w:t>Январь 2017</w:t>
            </w:r>
          </w:p>
        </w:tc>
        <w:tc>
          <w:tcPr>
            <w:tcW w:w="1161" w:type="pct"/>
            <w:tcBorders>
              <w:top w:val="nil"/>
              <w:left w:val="nil"/>
              <w:bottom w:val="single" w:sz="8" w:space="0" w:color="auto"/>
              <w:right w:val="single" w:sz="8" w:space="0" w:color="auto"/>
            </w:tcBorders>
            <w:shd w:val="clear" w:color="auto" w:fill="auto"/>
            <w:noWrap/>
            <w:vAlign w:val="center"/>
            <w:hideMark/>
          </w:tcPr>
          <w:p w14:paraId="7AA2F58C" w14:textId="1083C6D4" w:rsidR="008F5144" w:rsidRPr="008F5144" w:rsidRDefault="008F5144" w:rsidP="008F5144">
            <w:pPr>
              <w:ind w:firstLine="0"/>
              <w:jc w:val="center"/>
              <w:rPr>
                <w:rFonts w:eastAsia="Times New Roman" w:cs="Times New Roman"/>
                <w:color w:val="000000"/>
                <w:sz w:val="20"/>
                <w:szCs w:val="20"/>
                <w:lang w:eastAsia="ru-RU"/>
              </w:rPr>
            </w:pPr>
            <w:r w:rsidRPr="008F5144">
              <w:rPr>
                <w:rFonts w:eastAsia="Times New Roman" w:cs="Times New Roman"/>
                <w:color w:val="000000"/>
                <w:sz w:val="20"/>
                <w:szCs w:val="20"/>
                <w:lang w:eastAsia="ru-RU"/>
              </w:rPr>
              <w:t>01.2017</w:t>
            </w:r>
          </w:p>
        </w:tc>
        <w:tc>
          <w:tcPr>
            <w:tcW w:w="1696" w:type="pct"/>
            <w:tcBorders>
              <w:top w:val="nil"/>
              <w:left w:val="nil"/>
              <w:bottom w:val="single" w:sz="8" w:space="0" w:color="auto"/>
              <w:right w:val="single" w:sz="8" w:space="0" w:color="auto"/>
            </w:tcBorders>
            <w:shd w:val="clear" w:color="auto" w:fill="auto"/>
            <w:noWrap/>
            <w:vAlign w:val="center"/>
            <w:hideMark/>
          </w:tcPr>
          <w:p w14:paraId="58B2E6A2" w14:textId="77777777" w:rsidR="008F5144" w:rsidRPr="008F5144" w:rsidRDefault="008F5144" w:rsidP="008F5144">
            <w:pPr>
              <w:ind w:firstLine="0"/>
              <w:jc w:val="center"/>
              <w:rPr>
                <w:rFonts w:eastAsia="Times New Roman" w:cs="Times New Roman"/>
                <w:color w:val="000000"/>
                <w:sz w:val="20"/>
                <w:szCs w:val="20"/>
                <w:lang w:eastAsia="ru-RU"/>
              </w:rPr>
            </w:pPr>
            <w:r w:rsidRPr="008F5144">
              <w:rPr>
                <w:rFonts w:eastAsia="Times New Roman" w:cs="Times New Roman"/>
                <w:color w:val="000000"/>
                <w:sz w:val="20"/>
                <w:szCs w:val="20"/>
                <w:lang w:eastAsia="ru-RU"/>
              </w:rPr>
              <w:t>1,069</w:t>
            </w:r>
          </w:p>
        </w:tc>
      </w:tr>
      <w:tr w:rsidR="008F5144" w:rsidRPr="008F5144" w14:paraId="3DA23C8A" w14:textId="77777777" w:rsidTr="006C45D3">
        <w:trPr>
          <w:trHeight w:val="315"/>
        </w:trPr>
        <w:tc>
          <w:tcPr>
            <w:tcW w:w="857" w:type="pct"/>
            <w:tcBorders>
              <w:top w:val="nil"/>
              <w:left w:val="single" w:sz="8" w:space="0" w:color="auto"/>
              <w:bottom w:val="single" w:sz="8" w:space="0" w:color="auto"/>
              <w:right w:val="single" w:sz="8" w:space="0" w:color="auto"/>
            </w:tcBorders>
            <w:shd w:val="clear" w:color="auto" w:fill="auto"/>
            <w:vAlign w:val="center"/>
            <w:hideMark/>
          </w:tcPr>
          <w:p w14:paraId="4BBCD894" w14:textId="77777777" w:rsidR="008F5144" w:rsidRPr="008F5144" w:rsidRDefault="008F5144" w:rsidP="008F5144">
            <w:pPr>
              <w:ind w:firstLine="0"/>
              <w:jc w:val="center"/>
              <w:rPr>
                <w:rFonts w:eastAsia="Times New Roman" w:cs="Times New Roman"/>
                <w:color w:val="000000"/>
                <w:sz w:val="20"/>
                <w:szCs w:val="20"/>
                <w:lang w:eastAsia="ru-RU"/>
              </w:rPr>
            </w:pPr>
            <w:r w:rsidRPr="008F5144">
              <w:rPr>
                <w:rFonts w:eastAsia="Times New Roman" w:cs="Times New Roman"/>
                <w:color w:val="000000"/>
                <w:sz w:val="20"/>
                <w:szCs w:val="20"/>
                <w:lang w:eastAsia="ru-RU"/>
              </w:rPr>
              <w:t>2016</w:t>
            </w:r>
          </w:p>
        </w:tc>
        <w:tc>
          <w:tcPr>
            <w:tcW w:w="1286" w:type="pct"/>
            <w:tcBorders>
              <w:top w:val="nil"/>
              <w:left w:val="nil"/>
              <w:bottom w:val="single" w:sz="8" w:space="0" w:color="auto"/>
              <w:right w:val="single" w:sz="8" w:space="0" w:color="auto"/>
            </w:tcBorders>
            <w:shd w:val="clear" w:color="auto" w:fill="auto"/>
            <w:noWrap/>
            <w:vAlign w:val="center"/>
            <w:hideMark/>
          </w:tcPr>
          <w:p w14:paraId="26CD77D0" w14:textId="77777777" w:rsidR="008F5144" w:rsidRPr="008F5144" w:rsidRDefault="008F5144" w:rsidP="008F5144">
            <w:pPr>
              <w:ind w:firstLine="0"/>
              <w:jc w:val="center"/>
              <w:rPr>
                <w:rFonts w:eastAsia="Times New Roman" w:cs="Times New Roman"/>
                <w:color w:val="000000"/>
                <w:sz w:val="20"/>
                <w:szCs w:val="20"/>
                <w:lang w:eastAsia="ru-RU"/>
              </w:rPr>
            </w:pPr>
            <w:r w:rsidRPr="008F5144">
              <w:rPr>
                <w:rFonts w:eastAsia="Times New Roman" w:cs="Times New Roman"/>
                <w:color w:val="000000"/>
                <w:sz w:val="20"/>
                <w:szCs w:val="20"/>
                <w:lang w:eastAsia="ru-RU"/>
              </w:rPr>
              <w:t>Декабрь 2016</w:t>
            </w:r>
          </w:p>
        </w:tc>
        <w:tc>
          <w:tcPr>
            <w:tcW w:w="1161" w:type="pct"/>
            <w:tcBorders>
              <w:top w:val="nil"/>
              <w:left w:val="nil"/>
              <w:bottom w:val="single" w:sz="8" w:space="0" w:color="auto"/>
              <w:right w:val="single" w:sz="8" w:space="0" w:color="auto"/>
            </w:tcBorders>
            <w:shd w:val="clear" w:color="auto" w:fill="auto"/>
            <w:noWrap/>
            <w:vAlign w:val="center"/>
            <w:hideMark/>
          </w:tcPr>
          <w:p w14:paraId="337A3C6E" w14:textId="58EFFF68" w:rsidR="008F5144" w:rsidRPr="008F5144" w:rsidRDefault="008F5144" w:rsidP="008F5144">
            <w:pPr>
              <w:ind w:firstLine="0"/>
              <w:jc w:val="center"/>
              <w:rPr>
                <w:rFonts w:eastAsia="Times New Roman" w:cs="Times New Roman"/>
                <w:color w:val="000000"/>
                <w:sz w:val="20"/>
                <w:szCs w:val="20"/>
                <w:lang w:eastAsia="ru-RU"/>
              </w:rPr>
            </w:pPr>
            <w:r w:rsidRPr="008F5144">
              <w:rPr>
                <w:rFonts w:eastAsia="Times New Roman" w:cs="Times New Roman"/>
                <w:color w:val="000000"/>
                <w:sz w:val="20"/>
                <w:szCs w:val="20"/>
                <w:lang w:eastAsia="ru-RU"/>
              </w:rPr>
              <w:t>12.2016</w:t>
            </w:r>
          </w:p>
        </w:tc>
        <w:tc>
          <w:tcPr>
            <w:tcW w:w="1696" w:type="pct"/>
            <w:tcBorders>
              <w:top w:val="nil"/>
              <w:left w:val="nil"/>
              <w:bottom w:val="single" w:sz="8" w:space="0" w:color="auto"/>
              <w:right w:val="single" w:sz="8" w:space="0" w:color="auto"/>
            </w:tcBorders>
            <w:shd w:val="clear" w:color="auto" w:fill="auto"/>
            <w:noWrap/>
            <w:vAlign w:val="center"/>
            <w:hideMark/>
          </w:tcPr>
          <w:p w14:paraId="736D27F1" w14:textId="77777777" w:rsidR="008F5144" w:rsidRPr="008F5144" w:rsidRDefault="008F5144" w:rsidP="008F5144">
            <w:pPr>
              <w:ind w:firstLine="0"/>
              <w:jc w:val="center"/>
              <w:rPr>
                <w:rFonts w:eastAsia="Times New Roman" w:cs="Times New Roman"/>
                <w:color w:val="000000"/>
                <w:sz w:val="20"/>
                <w:szCs w:val="20"/>
                <w:lang w:eastAsia="ru-RU"/>
              </w:rPr>
            </w:pPr>
            <w:r w:rsidRPr="008F5144">
              <w:rPr>
                <w:rFonts w:eastAsia="Times New Roman" w:cs="Times New Roman"/>
                <w:color w:val="000000"/>
                <w:sz w:val="20"/>
                <w:szCs w:val="20"/>
                <w:lang w:eastAsia="ru-RU"/>
              </w:rPr>
              <w:t>1,074</w:t>
            </w:r>
          </w:p>
        </w:tc>
      </w:tr>
      <w:tr w:rsidR="008F5144" w:rsidRPr="008F5144" w14:paraId="751871ED" w14:textId="77777777" w:rsidTr="006C45D3">
        <w:trPr>
          <w:trHeight w:val="315"/>
        </w:trPr>
        <w:tc>
          <w:tcPr>
            <w:tcW w:w="857" w:type="pct"/>
            <w:tcBorders>
              <w:top w:val="nil"/>
              <w:left w:val="single" w:sz="8" w:space="0" w:color="auto"/>
              <w:bottom w:val="single" w:sz="8" w:space="0" w:color="auto"/>
              <w:right w:val="single" w:sz="8" w:space="0" w:color="auto"/>
            </w:tcBorders>
            <w:shd w:val="clear" w:color="auto" w:fill="auto"/>
            <w:vAlign w:val="center"/>
            <w:hideMark/>
          </w:tcPr>
          <w:p w14:paraId="13F95ADE" w14:textId="77777777" w:rsidR="008F5144" w:rsidRPr="008F5144" w:rsidRDefault="008F5144" w:rsidP="008F5144">
            <w:pPr>
              <w:ind w:firstLine="0"/>
              <w:jc w:val="center"/>
              <w:rPr>
                <w:rFonts w:eastAsia="Times New Roman" w:cs="Times New Roman"/>
                <w:color w:val="000000"/>
                <w:sz w:val="20"/>
                <w:szCs w:val="20"/>
                <w:lang w:eastAsia="ru-RU"/>
              </w:rPr>
            </w:pPr>
            <w:r w:rsidRPr="008F5144">
              <w:rPr>
                <w:rFonts w:eastAsia="Times New Roman" w:cs="Times New Roman"/>
                <w:color w:val="000000"/>
                <w:sz w:val="20"/>
                <w:szCs w:val="20"/>
                <w:lang w:eastAsia="ru-RU"/>
              </w:rPr>
              <w:t> </w:t>
            </w:r>
          </w:p>
        </w:tc>
        <w:tc>
          <w:tcPr>
            <w:tcW w:w="1286" w:type="pct"/>
            <w:tcBorders>
              <w:top w:val="nil"/>
              <w:left w:val="nil"/>
              <w:bottom w:val="single" w:sz="8" w:space="0" w:color="auto"/>
              <w:right w:val="single" w:sz="8" w:space="0" w:color="auto"/>
            </w:tcBorders>
            <w:shd w:val="clear" w:color="auto" w:fill="auto"/>
            <w:noWrap/>
            <w:vAlign w:val="center"/>
            <w:hideMark/>
          </w:tcPr>
          <w:p w14:paraId="601FBD3B" w14:textId="77777777" w:rsidR="008F5144" w:rsidRPr="008F5144" w:rsidRDefault="008F5144" w:rsidP="008F5144">
            <w:pPr>
              <w:ind w:firstLine="0"/>
              <w:jc w:val="center"/>
              <w:rPr>
                <w:rFonts w:eastAsia="Times New Roman" w:cs="Times New Roman"/>
                <w:color w:val="000000"/>
                <w:sz w:val="20"/>
                <w:szCs w:val="20"/>
                <w:lang w:eastAsia="ru-RU"/>
              </w:rPr>
            </w:pPr>
            <w:r w:rsidRPr="008F5144">
              <w:rPr>
                <w:rFonts w:eastAsia="Times New Roman" w:cs="Times New Roman"/>
                <w:color w:val="000000"/>
                <w:sz w:val="20"/>
                <w:szCs w:val="20"/>
                <w:lang w:eastAsia="ru-RU"/>
              </w:rPr>
              <w:t>Ноябрь 2016</w:t>
            </w:r>
          </w:p>
        </w:tc>
        <w:tc>
          <w:tcPr>
            <w:tcW w:w="1161" w:type="pct"/>
            <w:tcBorders>
              <w:top w:val="nil"/>
              <w:left w:val="nil"/>
              <w:bottom w:val="single" w:sz="8" w:space="0" w:color="auto"/>
              <w:right w:val="single" w:sz="8" w:space="0" w:color="auto"/>
            </w:tcBorders>
            <w:shd w:val="clear" w:color="auto" w:fill="auto"/>
            <w:noWrap/>
            <w:vAlign w:val="center"/>
            <w:hideMark/>
          </w:tcPr>
          <w:p w14:paraId="3CAB5E52" w14:textId="76A17F07" w:rsidR="008F5144" w:rsidRPr="008F5144" w:rsidRDefault="008F5144" w:rsidP="008F5144">
            <w:pPr>
              <w:ind w:firstLine="0"/>
              <w:jc w:val="center"/>
              <w:rPr>
                <w:rFonts w:eastAsia="Times New Roman" w:cs="Times New Roman"/>
                <w:color w:val="000000"/>
                <w:sz w:val="20"/>
                <w:szCs w:val="20"/>
                <w:lang w:eastAsia="ru-RU"/>
              </w:rPr>
            </w:pPr>
            <w:r w:rsidRPr="008F5144">
              <w:rPr>
                <w:rFonts w:eastAsia="Times New Roman" w:cs="Times New Roman"/>
                <w:color w:val="000000"/>
                <w:sz w:val="20"/>
                <w:szCs w:val="20"/>
                <w:lang w:eastAsia="ru-RU"/>
              </w:rPr>
              <w:t>11.2016</w:t>
            </w:r>
          </w:p>
        </w:tc>
        <w:tc>
          <w:tcPr>
            <w:tcW w:w="1696" w:type="pct"/>
            <w:tcBorders>
              <w:top w:val="nil"/>
              <w:left w:val="nil"/>
              <w:bottom w:val="single" w:sz="8" w:space="0" w:color="auto"/>
              <w:right w:val="single" w:sz="8" w:space="0" w:color="auto"/>
            </w:tcBorders>
            <w:shd w:val="clear" w:color="auto" w:fill="auto"/>
            <w:noWrap/>
            <w:vAlign w:val="center"/>
            <w:hideMark/>
          </w:tcPr>
          <w:p w14:paraId="154E3A1F" w14:textId="77777777" w:rsidR="008F5144" w:rsidRPr="008F5144" w:rsidRDefault="008F5144" w:rsidP="008F5144">
            <w:pPr>
              <w:ind w:firstLine="0"/>
              <w:jc w:val="center"/>
              <w:rPr>
                <w:rFonts w:eastAsia="Times New Roman" w:cs="Times New Roman"/>
                <w:color w:val="000000"/>
                <w:sz w:val="20"/>
                <w:szCs w:val="20"/>
                <w:lang w:eastAsia="ru-RU"/>
              </w:rPr>
            </w:pPr>
            <w:r w:rsidRPr="008F5144">
              <w:rPr>
                <w:rFonts w:eastAsia="Times New Roman" w:cs="Times New Roman"/>
                <w:color w:val="000000"/>
                <w:sz w:val="20"/>
                <w:szCs w:val="20"/>
                <w:lang w:eastAsia="ru-RU"/>
              </w:rPr>
              <w:t>1,078</w:t>
            </w:r>
          </w:p>
        </w:tc>
      </w:tr>
      <w:tr w:rsidR="008F5144" w:rsidRPr="008F5144" w14:paraId="69C70924" w14:textId="77777777" w:rsidTr="006C45D3">
        <w:trPr>
          <w:trHeight w:val="315"/>
        </w:trPr>
        <w:tc>
          <w:tcPr>
            <w:tcW w:w="857" w:type="pct"/>
            <w:tcBorders>
              <w:top w:val="nil"/>
              <w:left w:val="single" w:sz="8" w:space="0" w:color="auto"/>
              <w:bottom w:val="single" w:sz="8" w:space="0" w:color="auto"/>
              <w:right w:val="single" w:sz="8" w:space="0" w:color="auto"/>
            </w:tcBorders>
            <w:shd w:val="clear" w:color="auto" w:fill="auto"/>
            <w:vAlign w:val="center"/>
            <w:hideMark/>
          </w:tcPr>
          <w:p w14:paraId="45D799EB" w14:textId="77777777" w:rsidR="008F5144" w:rsidRPr="008F5144" w:rsidRDefault="008F5144" w:rsidP="008F5144">
            <w:pPr>
              <w:ind w:firstLine="0"/>
              <w:jc w:val="center"/>
              <w:rPr>
                <w:rFonts w:eastAsia="Times New Roman" w:cs="Times New Roman"/>
                <w:color w:val="000000"/>
                <w:sz w:val="20"/>
                <w:szCs w:val="20"/>
                <w:lang w:eastAsia="ru-RU"/>
              </w:rPr>
            </w:pPr>
            <w:r w:rsidRPr="008F5144">
              <w:rPr>
                <w:rFonts w:eastAsia="Times New Roman" w:cs="Times New Roman"/>
                <w:color w:val="000000"/>
                <w:sz w:val="20"/>
                <w:szCs w:val="20"/>
                <w:lang w:eastAsia="ru-RU"/>
              </w:rPr>
              <w:t> </w:t>
            </w:r>
          </w:p>
        </w:tc>
        <w:tc>
          <w:tcPr>
            <w:tcW w:w="1286" w:type="pct"/>
            <w:tcBorders>
              <w:top w:val="nil"/>
              <w:left w:val="nil"/>
              <w:bottom w:val="single" w:sz="8" w:space="0" w:color="auto"/>
              <w:right w:val="single" w:sz="8" w:space="0" w:color="auto"/>
            </w:tcBorders>
            <w:shd w:val="clear" w:color="auto" w:fill="auto"/>
            <w:noWrap/>
            <w:vAlign w:val="center"/>
            <w:hideMark/>
          </w:tcPr>
          <w:p w14:paraId="7B3899EB" w14:textId="77777777" w:rsidR="008F5144" w:rsidRPr="008F5144" w:rsidRDefault="008F5144" w:rsidP="008F5144">
            <w:pPr>
              <w:ind w:firstLine="0"/>
              <w:jc w:val="center"/>
              <w:rPr>
                <w:rFonts w:eastAsia="Times New Roman" w:cs="Times New Roman"/>
                <w:color w:val="000000"/>
                <w:sz w:val="20"/>
                <w:szCs w:val="20"/>
                <w:lang w:eastAsia="ru-RU"/>
              </w:rPr>
            </w:pPr>
            <w:r w:rsidRPr="008F5144">
              <w:rPr>
                <w:rFonts w:eastAsia="Times New Roman" w:cs="Times New Roman"/>
                <w:color w:val="000000"/>
                <w:sz w:val="20"/>
                <w:szCs w:val="20"/>
                <w:lang w:eastAsia="ru-RU"/>
              </w:rPr>
              <w:t>Октябрь 2016</w:t>
            </w:r>
          </w:p>
        </w:tc>
        <w:tc>
          <w:tcPr>
            <w:tcW w:w="1161" w:type="pct"/>
            <w:tcBorders>
              <w:top w:val="nil"/>
              <w:left w:val="nil"/>
              <w:bottom w:val="single" w:sz="8" w:space="0" w:color="auto"/>
              <w:right w:val="single" w:sz="8" w:space="0" w:color="auto"/>
            </w:tcBorders>
            <w:shd w:val="clear" w:color="auto" w:fill="auto"/>
            <w:noWrap/>
            <w:vAlign w:val="center"/>
            <w:hideMark/>
          </w:tcPr>
          <w:p w14:paraId="4575CC80" w14:textId="567A7849" w:rsidR="008F5144" w:rsidRPr="008F5144" w:rsidRDefault="008F5144" w:rsidP="008F5144">
            <w:pPr>
              <w:ind w:firstLine="0"/>
              <w:jc w:val="center"/>
              <w:rPr>
                <w:rFonts w:eastAsia="Times New Roman" w:cs="Times New Roman"/>
                <w:color w:val="000000"/>
                <w:sz w:val="20"/>
                <w:szCs w:val="20"/>
                <w:lang w:eastAsia="ru-RU"/>
              </w:rPr>
            </w:pPr>
            <w:r w:rsidRPr="008F5144">
              <w:rPr>
                <w:rFonts w:eastAsia="Times New Roman" w:cs="Times New Roman"/>
                <w:color w:val="000000"/>
                <w:sz w:val="20"/>
                <w:szCs w:val="20"/>
                <w:lang w:eastAsia="ru-RU"/>
              </w:rPr>
              <w:t>10.2016</w:t>
            </w:r>
          </w:p>
        </w:tc>
        <w:tc>
          <w:tcPr>
            <w:tcW w:w="1696" w:type="pct"/>
            <w:tcBorders>
              <w:top w:val="nil"/>
              <w:left w:val="nil"/>
              <w:bottom w:val="single" w:sz="8" w:space="0" w:color="auto"/>
              <w:right w:val="single" w:sz="8" w:space="0" w:color="auto"/>
            </w:tcBorders>
            <w:shd w:val="clear" w:color="auto" w:fill="auto"/>
            <w:noWrap/>
            <w:vAlign w:val="center"/>
            <w:hideMark/>
          </w:tcPr>
          <w:p w14:paraId="5333155A" w14:textId="77777777" w:rsidR="008F5144" w:rsidRPr="008F5144" w:rsidRDefault="008F5144" w:rsidP="008F5144">
            <w:pPr>
              <w:ind w:firstLine="0"/>
              <w:jc w:val="center"/>
              <w:rPr>
                <w:rFonts w:eastAsia="Times New Roman" w:cs="Times New Roman"/>
                <w:color w:val="000000"/>
                <w:sz w:val="20"/>
                <w:szCs w:val="20"/>
                <w:lang w:eastAsia="ru-RU"/>
              </w:rPr>
            </w:pPr>
            <w:r w:rsidRPr="008F5144">
              <w:rPr>
                <w:rFonts w:eastAsia="Times New Roman" w:cs="Times New Roman"/>
                <w:color w:val="000000"/>
                <w:sz w:val="20"/>
                <w:szCs w:val="20"/>
                <w:lang w:eastAsia="ru-RU"/>
              </w:rPr>
              <w:t>1,083</w:t>
            </w:r>
          </w:p>
        </w:tc>
      </w:tr>
      <w:tr w:rsidR="008F5144" w:rsidRPr="008F5144" w14:paraId="665525D9" w14:textId="77777777" w:rsidTr="006C45D3">
        <w:trPr>
          <w:trHeight w:val="315"/>
        </w:trPr>
        <w:tc>
          <w:tcPr>
            <w:tcW w:w="857" w:type="pct"/>
            <w:tcBorders>
              <w:top w:val="nil"/>
              <w:left w:val="single" w:sz="8" w:space="0" w:color="auto"/>
              <w:bottom w:val="single" w:sz="8" w:space="0" w:color="auto"/>
              <w:right w:val="single" w:sz="8" w:space="0" w:color="auto"/>
            </w:tcBorders>
            <w:shd w:val="clear" w:color="auto" w:fill="auto"/>
            <w:vAlign w:val="center"/>
            <w:hideMark/>
          </w:tcPr>
          <w:p w14:paraId="13B6960E" w14:textId="77777777" w:rsidR="008F5144" w:rsidRPr="008F5144" w:rsidRDefault="008F5144" w:rsidP="008F5144">
            <w:pPr>
              <w:ind w:firstLine="0"/>
              <w:jc w:val="center"/>
              <w:rPr>
                <w:rFonts w:eastAsia="Times New Roman" w:cs="Times New Roman"/>
                <w:color w:val="000000"/>
                <w:sz w:val="20"/>
                <w:szCs w:val="20"/>
                <w:lang w:eastAsia="ru-RU"/>
              </w:rPr>
            </w:pPr>
            <w:r w:rsidRPr="008F5144">
              <w:rPr>
                <w:rFonts w:eastAsia="Times New Roman" w:cs="Times New Roman"/>
                <w:color w:val="000000"/>
                <w:sz w:val="20"/>
                <w:szCs w:val="20"/>
                <w:lang w:eastAsia="ru-RU"/>
              </w:rPr>
              <w:t> </w:t>
            </w:r>
          </w:p>
        </w:tc>
        <w:tc>
          <w:tcPr>
            <w:tcW w:w="1286" w:type="pct"/>
            <w:tcBorders>
              <w:top w:val="nil"/>
              <w:left w:val="nil"/>
              <w:bottom w:val="single" w:sz="8" w:space="0" w:color="auto"/>
              <w:right w:val="single" w:sz="8" w:space="0" w:color="auto"/>
            </w:tcBorders>
            <w:shd w:val="clear" w:color="auto" w:fill="auto"/>
            <w:noWrap/>
            <w:vAlign w:val="center"/>
            <w:hideMark/>
          </w:tcPr>
          <w:p w14:paraId="5EA740BF" w14:textId="77777777" w:rsidR="008F5144" w:rsidRPr="008F5144" w:rsidRDefault="008F5144" w:rsidP="008F5144">
            <w:pPr>
              <w:ind w:firstLine="0"/>
              <w:jc w:val="center"/>
              <w:rPr>
                <w:rFonts w:eastAsia="Times New Roman" w:cs="Times New Roman"/>
                <w:color w:val="000000"/>
                <w:sz w:val="20"/>
                <w:szCs w:val="20"/>
                <w:lang w:eastAsia="ru-RU"/>
              </w:rPr>
            </w:pPr>
            <w:r w:rsidRPr="008F5144">
              <w:rPr>
                <w:rFonts w:eastAsia="Times New Roman" w:cs="Times New Roman"/>
                <w:color w:val="000000"/>
                <w:sz w:val="20"/>
                <w:szCs w:val="20"/>
                <w:lang w:eastAsia="ru-RU"/>
              </w:rPr>
              <w:t>Сентябрь 2016</w:t>
            </w:r>
          </w:p>
        </w:tc>
        <w:tc>
          <w:tcPr>
            <w:tcW w:w="1161" w:type="pct"/>
            <w:tcBorders>
              <w:top w:val="nil"/>
              <w:left w:val="nil"/>
              <w:bottom w:val="single" w:sz="8" w:space="0" w:color="auto"/>
              <w:right w:val="single" w:sz="8" w:space="0" w:color="auto"/>
            </w:tcBorders>
            <w:shd w:val="clear" w:color="auto" w:fill="auto"/>
            <w:noWrap/>
            <w:vAlign w:val="center"/>
            <w:hideMark/>
          </w:tcPr>
          <w:p w14:paraId="516BB8ED" w14:textId="3100AF45" w:rsidR="008F5144" w:rsidRPr="008F5144" w:rsidRDefault="008F5144" w:rsidP="008F5144">
            <w:pPr>
              <w:ind w:firstLine="0"/>
              <w:jc w:val="center"/>
              <w:rPr>
                <w:rFonts w:eastAsia="Times New Roman" w:cs="Times New Roman"/>
                <w:color w:val="000000"/>
                <w:sz w:val="20"/>
                <w:szCs w:val="20"/>
                <w:lang w:eastAsia="ru-RU"/>
              </w:rPr>
            </w:pPr>
            <w:r w:rsidRPr="008F5144">
              <w:rPr>
                <w:rFonts w:eastAsia="Times New Roman" w:cs="Times New Roman"/>
                <w:color w:val="000000"/>
                <w:sz w:val="20"/>
                <w:szCs w:val="20"/>
                <w:lang w:eastAsia="ru-RU"/>
              </w:rPr>
              <w:t>09.2016</w:t>
            </w:r>
          </w:p>
        </w:tc>
        <w:tc>
          <w:tcPr>
            <w:tcW w:w="1696" w:type="pct"/>
            <w:tcBorders>
              <w:top w:val="nil"/>
              <w:left w:val="nil"/>
              <w:bottom w:val="single" w:sz="8" w:space="0" w:color="auto"/>
              <w:right w:val="single" w:sz="8" w:space="0" w:color="auto"/>
            </w:tcBorders>
            <w:shd w:val="clear" w:color="auto" w:fill="auto"/>
            <w:noWrap/>
            <w:vAlign w:val="center"/>
            <w:hideMark/>
          </w:tcPr>
          <w:p w14:paraId="2CA23843" w14:textId="77777777" w:rsidR="008F5144" w:rsidRPr="008F5144" w:rsidRDefault="008F5144" w:rsidP="008F5144">
            <w:pPr>
              <w:ind w:firstLine="0"/>
              <w:jc w:val="center"/>
              <w:rPr>
                <w:rFonts w:eastAsia="Times New Roman" w:cs="Times New Roman"/>
                <w:color w:val="000000"/>
                <w:sz w:val="20"/>
                <w:szCs w:val="20"/>
                <w:lang w:eastAsia="ru-RU"/>
              </w:rPr>
            </w:pPr>
            <w:r w:rsidRPr="008F5144">
              <w:rPr>
                <w:rFonts w:eastAsia="Times New Roman" w:cs="Times New Roman"/>
                <w:color w:val="000000"/>
                <w:sz w:val="20"/>
                <w:szCs w:val="20"/>
                <w:lang w:eastAsia="ru-RU"/>
              </w:rPr>
              <w:t>1,085</w:t>
            </w:r>
          </w:p>
        </w:tc>
      </w:tr>
      <w:tr w:rsidR="008F5144" w:rsidRPr="008F5144" w14:paraId="6EF6FB5C" w14:textId="77777777" w:rsidTr="006C45D3">
        <w:trPr>
          <w:trHeight w:val="315"/>
        </w:trPr>
        <w:tc>
          <w:tcPr>
            <w:tcW w:w="857" w:type="pct"/>
            <w:tcBorders>
              <w:top w:val="nil"/>
              <w:left w:val="single" w:sz="8" w:space="0" w:color="auto"/>
              <w:bottom w:val="single" w:sz="8" w:space="0" w:color="auto"/>
              <w:right w:val="single" w:sz="8" w:space="0" w:color="auto"/>
            </w:tcBorders>
            <w:shd w:val="clear" w:color="auto" w:fill="auto"/>
            <w:vAlign w:val="center"/>
            <w:hideMark/>
          </w:tcPr>
          <w:p w14:paraId="6B99E8EB" w14:textId="77777777" w:rsidR="008F5144" w:rsidRPr="008F5144" w:rsidRDefault="008F5144" w:rsidP="008F5144">
            <w:pPr>
              <w:ind w:firstLine="0"/>
              <w:jc w:val="center"/>
              <w:rPr>
                <w:rFonts w:eastAsia="Times New Roman" w:cs="Times New Roman"/>
                <w:color w:val="000000"/>
                <w:sz w:val="20"/>
                <w:szCs w:val="20"/>
                <w:lang w:eastAsia="ru-RU"/>
              </w:rPr>
            </w:pPr>
            <w:r w:rsidRPr="008F5144">
              <w:rPr>
                <w:rFonts w:eastAsia="Times New Roman" w:cs="Times New Roman"/>
                <w:color w:val="000000"/>
                <w:sz w:val="20"/>
                <w:szCs w:val="20"/>
                <w:lang w:eastAsia="ru-RU"/>
              </w:rPr>
              <w:t> </w:t>
            </w:r>
          </w:p>
        </w:tc>
        <w:tc>
          <w:tcPr>
            <w:tcW w:w="1286" w:type="pct"/>
            <w:tcBorders>
              <w:top w:val="nil"/>
              <w:left w:val="nil"/>
              <w:bottom w:val="single" w:sz="8" w:space="0" w:color="auto"/>
              <w:right w:val="single" w:sz="8" w:space="0" w:color="auto"/>
            </w:tcBorders>
            <w:shd w:val="clear" w:color="auto" w:fill="auto"/>
            <w:noWrap/>
            <w:vAlign w:val="center"/>
            <w:hideMark/>
          </w:tcPr>
          <w:p w14:paraId="0A897F94" w14:textId="77777777" w:rsidR="008F5144" w:rsidRPr="008F5144" w:rsidRDefault="008F5144" w:rsidP="008F5144">
            <w:pPr>
              <w:ind w:firstLine="0"/>
              <w:jc w:val="center"/>
              <w:rPr>
                <w:rFonts w:eastAsia="Times New Roman" w:cs="Times New Roman"/>
                <w:color w:val="000000"/>
                <w:sz w:val="20"/>
                <w:szCs w:val="20"/>
                <w:lang w:eastAsia="ru-RU"/>
              </w:rPr>
            </w:pPr>
            <w:r w:rsidRPr="008F5144">
              <w:rPr>
                <w:rFonts w:eastAsia="Times New Roman" w:cs="Times New Roman"/>
                <w:color w:val="000000"/>
                <w:sz w:val="20"/>
                <w:szCs w:val="20"/>
                <w:lang w:eastAsia="ru-RU"/>
              </w:rPr>
              <w:t>Август 2016</w:t>
            </w:r>
          </w:p>
        </w:tc>
        <w:tc>
          <w:tcPr>
            <w:tcW w:w="1161" w:type="pct"/>
            <w:tcBorders>
              <w:top w:val="nil"/>
              <w:left w:val="nil"/>
              <w:bottom w:val="single" w:sz="8" w:space="0" w:color="auto"/>
              <w:right w:val="single" w:sz="8" w:space="0" w:color="auto"/>
            </w:tcBorders>
            <w:shd w:val="clear" w:color="auto" w:fill="auto"/>
            <w:noWrap/>
            <w:vAlign w:val="center"/>
            <w:hideMark/>
          </w:tcPr>
          <w:p w14:paraId="57EFFC26" w14:textId="53F98093" w:rsidR="008F5144" w:rsidRPr="008F5144" w:rsidRDefault="008F5144" w:rsidP="008F5144">
            <w:pPr>
              <w:ind w:firstLine="0"/>
              <w:jc w:val="center"/>
              <w:rPr>
                <w:rFonts w:eastAsia="Times New Roman" w:cs="Times New Roman"/>
                <w:color w:val="000000"/>
                <w:sz w:val="20"/>
                <w:szCs w:val="20"/>
                <w:lang w:eastAsia="ru-RU"/>
              </w:rPr>
            </w:pPr>
            <w:r w:rsidRPr="008F5144">
              <w:rPr>
                <w:rFonts w:eastAsia="Times New Roman" w:cs="Times New Roman"/>
                <w:color w:val="000000"/>
                <w:sz w:val="20"/>
                <w:szCs w:val="20"/>
                <w:lang w:eastAsia="ru-RU"/>
              </w:rPr>
              <w:t>08.2016</w:t>
            </w:r>
          </w:p>
        </w:tc>
        <w:tc>
          <w:tcPr>
            <w:tcW w:w="1696" w:type="pct"/>
            <w:tcBorders>
              <w:top w:val="nil"/>
              <w:left w:val="nil"/>
              <w:bottom w:val="single" w:sz="8" w:space="0" w:color="auto"/>
              <w:right w:val="single" w:sz="8" w:space="0" w:color="auto"/>
            </w:tcBorders>
            <w:shd w:val="clear" w:color="auto" w:fill="auto"/>
            <w:noWrap/>
            <w:vAlign w:val="center"/>
            <w:hideMark/>
          </w:tcPr>
          <w:p w14:paraId="2CA91E2A" w14:textId="77777777" w:rsidR="008F5144" w:rsidRPr="008F5144" w:rsidRDefault="008F5144" w:rsidP="008F5144">
            <w:pPr>
              <w:ind w:firstLine="0"/>
              <w:jc w:val="center"/>
              <w:rPr>
                <w:rFonts w:eastAsia="Times New Roman" w:cs="Times New Roman"/>
                <w:color w:val="000000"/>
                <w:sz w:val="20"/>
                <w:szCs w:val="20"/>
                <w:lang w:eastAsia="ru-RU"/>
              </w:rPr>
            </w:pPr>
            <w:r w:rsidRPr="008F5144">
              <w:rPr>
                <w:rFonts w:eastAsia="Times New Roman" w:cs="Times New Roman"/>
                <w:color w:val="000000"/>
                <w:sz w:val="20"/>
                <w:szCs w:val="20"/>
                <w:lang w:eastAsia="ru-RU"/>
              </w:rPr>
              <w:t>1,085</w:t>
            </w:r>
          </w:p>
        </w:tc>
      </w:tr>
      <w:tr w:rsidR="008F5144" w:rsidRPr="008F5144" w14:paraId="0452B4CD" w14:textId="77777777" w:rsidTr="006C45D3">
        <w:trPr>
          <w:trHeight w:val="315"/>
        </w:trPr>
        <w:tc>
          <w:tcPr>
            <w:tcW w:w="857" w:type="pct"/>
            <w:tcBorders>
              <w:top w:val="nil"/>
              <w:left w:val="single" w:sz="8" w:space="0" w:color="auto"/>
              <w:bottom w:val="single" w:sz="8" w:space="0" w:color="auto"/>
              <w:right w:val="single" w:sz="8" w:space="0" w:color="auto"/>
            </w:tcBorders>
            <w:shd w:val="clear" w:color="auto" w:fill="auto"/>
            <w:vAlign w:val="center"/>
            <w:hideMark/>
          </w:tcPr>
          <w:p w14:paraId="1415EAEA" w14:textId="77777777" w:rsidR="008F5144" w:rsidRPr="008F5144" w:rsidRDefault="008F5144" w:rsidP="008F5144">
            <w:pPr>
              <w:ind w:firstLine="0"/>
              <w:jc w:val="center"/>
              <w:rPr>
                <w:rFonts w:eastAsia="Times New Roman" w:cs="Times New Roman"/>
                <w:color w:val="000000"/>
                <w:sz w:val="20"/>
                <w:szCs w:val="20"/>
                <w:lang w:eastAsia="ru-RU"/>
              </w:rPr>
            </w:pPr>
            <w:r w:rsidRPr="008F5144">
              <w:rPr>
                <w:rFonts w:eastAsia="Times New Roman" w:cs="Times New Roman"/>
                <w:color w:val="000000"/>
                <w:sz w:val="20"/>
                <w:szCs w:val="20"/>
                <w:lang w:eastAsia="ru-RU"/>
              </w:rPr>
              <w:t> </w:t>
            </w:r>
          </w:p>
        </w:tc>
        <w:tc>
          <w:tcPr>
            <w:tcW w:w="1286" w:type="pct"/>
            <w:tcBorders>
              <w:top w:val="nil"/>
              <w:left w:val="nil"/>
              <w:bottom w:val="single" w:sz="8" w:space="0" w:color="auto"/>
              <w:right w:val="single" w:sz="8" w:space="0" w:color="auto"/>
            </w:tcBorders>
            <w:shd w:val="clear" w:color="auto" w:fill="auto"/>
            <w:noWrap/>
            <w:vAlign w:val="center"/>
            <w:hideMark/>
          </w:tcPr>
          <w:p w14:paraId="27E1DB77" w14:textId="77777777" w:rsidR="008F5144" w:rsidRPr="008F5144" w:rsidRDefault="008F5144" w:rsidP="008F5144">
            <w:pPr>
              <w:ind w:firstLine="0"/>
              <w:jc w:val="center"/>
              <w:rPr>
                <w:rFonts w:eastAsia="Times New Roman" w:cs="Times New Roman"/>
                <w:color w:val="000000"/>
                <w:sz w:val="20"/>
                <w:szCs w:val="20"/>
                <w:lang w:eastAsia="ru-RU"/>
              </w:rPr>
            </w:pPr>
            <w:r w:rsidRPr="008F5144">
              <w:rPr>
                <w:rFonts w:eastAsia="Times New Roman" w:cs="Times New Roman"/>
                <w:color w:val="000000"/>
                <w:sz w:val="20"/>
                <w:szCs w:val="20"/>
                <w:lang w:eastAsia="ru-RU"/>
              </w:rPr>
              <w:t>Июль 2016</w:t>
            </w:r>
          </w:p>
        </w:tc>
        <w:tc>
          <w:tcPr>
            <w:tcW w:w="1161" w:type="pct"/>
            <w:tcBorders>
              <w:top w:val="nil"/>
              <w:left w:val="nil"/>
              <w:bottom w:val="single" w:sz="8" w:space="0" w:color="auto"/>
              <w:right w:val="single" w:sz="8" w:space="0" w:color="auto"/>
            </w:tcBorders>
            <w:shd w:val="clear" w:color="auto" w:fill="auto"/>
            <w:noWrap/>
            <w:vAlign w:val="center"/>
            <w:hideMark/>
          </w:tcPr>
          <w:p w14:paraId="1EAD3083" w14:textId="56C2C143" w:rsidR="008F5144" w:rsidRPr="008F5144" w:rsidRDefault="008F5144" w:rsidP="008F5144">
            <w:pPr>
              <w:ind w:firstLine="0"/>
              <w:jc w:val="center"/>
              <w:rPr>
                <w:rFonts w:eastAsia="Times New Roman" w:cs="Times New Roman"/>
                <w:color w:val="000000"/>
                <w:sz w:val="20"/>
                <w:szCs w:val="20"/>
                <w:lang w:eastAsia="ru-RU"/>
              </w:rPr>
            </w:pPr>
            <w:r w:rsidRPr="008F5144">
              <w:rPr>
                <w:rFonts w:eastAsia="Times New Roman" w:cs="Times New Roman"/>
                <w:color w:val="000000"/>
                <w:sz w:val="20"/>
                <w:szCs w:val="20"/>
                <w:lang w:eastAsia="ru-RU"/>
              </w:rPr>
              <w:t>07.2016</w:t>
            </w:r>
          </w:p>
        </w:tc>
        <w:tc>
          <w:tcPr>
            <w:tcW w:w="1696" w:type="pct"/>
            <w:tcBorders>
              <w:top w:val="nil"/>
              <w:left w:val="nil"/>
              <w:bottom w:val="single" w:sz="8" w:space="0" w:color="auto"/>
              <w:right w:val="single" w:sz="8" w:space="0" w:color="auto"/>
            </w:tcBorders>
            <w:shd w:val="clear" w:color="auto" w:fill="auto"/>
            <w:noWrap/>
            <w:vAlign w:val="center"/>
            <w:hideMark/>
          </w:tcPr>
          <w:p w14:paraId="752AC19E" w14:textId="77777777" w:rsidR="008F5144" w:rsidRPr="008F5144" w:rsidRDefault="008F5144" w:rsidP="008F5144">
            <w:pPr>
              <w:ind w:firstLine="0"/>
              <w:jc w:val="center"/>
              <w:rPr>
                <w:rFonts w:eastAsia="Times New Roman" w:cs="Times New Roman"/>
                <w:color w:val="000000"/>
                <w:sz w:val="20"/>
                <w:szCs w:val="20"/>
                <w:lang w:eastAsia="ru-RU"/>
              </w:rPr>
            </w:pPr>
            <w:r w:rsidRPr="008F5144">
              <w:rPr>
                <w:rFonts w:eastAsia="Times New Roman" w:cs="Times New Roman"/>
                <w:color w:val="000000"/>
                <w:sz w:val="20"/>
                <w:szCs w:val="20"/>
                <w:lang w:eastAsia="ru-RU"/>
              </w:rPr>
              <w:t>1,091</w:t>
            </w:r>
          </w:p>
        </w:tc>
      </w:tr>
      <w:tr w:rsidR="008F5144" w:rsidRPr="008F5144" w14:paraId="09C56396" w14:textId="77777777" w:rsidTr="006C45D3">
        <w:trPr>
          <w:trHeight w:val="315"/>
        </w:trPr>
        <w:tc>
          <w:tcPr>
            <w:tcW w:w="857" w:type="pct"/>
            <w:tcBorders>
              <w:top w:val="nil"/>
              <w:left w:val="single" w:sz="8" w:space="0" w:color="auto"/>
              <w:bottom w:val="single" w:sz="8" w:space="0" w:color="auto"/>
              <w:right w:val="single" w:sz="8" w:space="0" w:color="auto"/>
            </w:tcBorders>
            <w:shd w:val="clear" w:color="auto" w:fill="auto"/>
            <w:vAlign w:val="center"/>
            <w:hideMark/>
          </w:tcPr>
          <w:p w14:paraId="73EECD40" w14:textId="77777777" w:rsidR="008F5144" w:rsidRPr="008F5144" w:rsidRDefault="008F5144" w:rsidP="008F5144">
            <w:pPr>
              <w:ind w:firstLine="0"/>
              <w:jc w:val="center"/>
              <w:rPr>
                <w:rFonts w:eastAsia="Times New Roman" w:cs="Times New Roman"/>
                <w:color w:val="000000"/>
                <w:sz w:val="20"/>
                <w:szCs w:val="20"/>
                <w:lang w:eastAsia="ru-RU"/>
              </w:rPr>
            </w:pPr>
            <w:r w:rsidRPr="008F5144">
              <w:rPr>
                <w:rFonts w:eastAsia="Times New Roman" w:cs="Times New Roman"/>
                <w:color w:val="000000"/>
                <w:sz w:val="20"/>
                <w:szCs w:val="20"/>
                <w:lang w:eastAsia="ru-RU"/>
              </w:rPr>
              <w:t> </w:t>
            </w:r>
          </w:p>
        </w:tc>
        <w:tc>
          <w:tcPr>
            <w:tcW w:w="1286" w:type="pct"/>
            <w:tcBorders>
              <w:top w:val="nil"/>
              <w:left w:val="nil"/>
              <w:bottom w:val="single" w:sz="8" w:space="0" w:color="auto"/>
              <w:right w:val="single" w:sz="8" w:space="0" w:color="auto"/>
            </w:tcBorders>
            <w:shd w:val="clear" w:color="auto" w:fill="auto"/>
            <w:noWrap/>
            <w:vAlign w:val="center"/>
            <w:hideMark/>
          </w:tcPr>
          <w:p w14:paraId="2B44F39B" w14:textId="77777777" w:rsidR="008F5144" w:rsidRPr="008F5144" w:rsidRDefault="008F5144" w:rsidP="008F5144">
            <w:pPr>
              <w:ind w:firstLine="0"/>
              <w:jc w:val="center"/>
              <w:rPr>
                <w:rFonts w:eastAsia="Times New Roman" w:cs="Times New Roman"/>
                <w:color w:val="000000"/>
                <w:sz w:val="20"/>
                <w:szCs w:val="20"/>
                <w:lang w:eastAsia="ru-RU"/>
              </w:rPr>
            </w:pPr>
            <w:r w:rsidRPr="008F5144">
              <w:rPr>
                <w:rFonts w:eastAsia="Times New Roman" w:cs="Times New Roman"/>
                <w:color w:val="000000"/>
                <w:sz w:val="20"/>
                <w:szCs w:val="20"/>
                <w:lang w:eastAsia="ru-RU"/>
              </w:rPr>
              <w:t>Июнь 2016</w:t>
            </w:r>
          </w:p>
        </w:tc>
        <w:tc>
          <w:tcPr>
            <w:tcW w:w="1161" w:type="pct"/>
            <w:tcBorders>
              <w:top w:val="nil"/>
              <w:left w:val="nil"/>
              <w:bottom w:val="single" w:sz="8" w:space="0" w:color="auto"/>
              <w:right w:val="single" w:sz="8" w:space="0" w:color="auto"/>
            </w:tcBorders>
            <w:shd w:val="clear" w:color="auto" w:fill="auto"/>
            <w:noWrap/>
            <w:vAlign w:val="center"/>
            <w:hideMark/>
          </w:tcPr>
          <w:p w14:paraId="0F4255C2" w14:textId="08878726" w:rsidR="008F5144" w:rsidRPr="008F5144" w:rsidRDefault="008F5144" w:rsidP="008F5144">
            <w:pPr>
              <w:ind w:firstLine="0"/>
              <w:jc w:val="center"/>
              <w:rPr>
                <w:rFonts w:eastAsia="Times New Roman" w:cs="Times New Roman"/>
                <w:color w:val="000000"/>
                <w:sz w:val="20"/>
                <w:szCs w:val="20"/>
                <w:lang w:eastAsia="ru-RU"/>
              </w:rPr>
            </w:pPr>
            <w:r w:rsidRPr="008F5144">
              <w:rPr>
                <w:rFonts w:eastAsia="Times New Roman" w:cs="Times New Roman"/>
                <w:color w:val="000000"/>
                <w:sz w:val="20"/>
                <w:szCs w:val="20"/>
                <w:lang w:eastAsia="ru-RU"/>
              </w:rPr>
              <w:t>06.2016</w:t>
            </w:r>
          </w:p>
        </w:tc>
        <w:tc>
          <w:tcPr>
            <w:tcW w:w="1696" w:type="pct"/>
            <w:tcBorders>
              <w:top w:val="nil"/>
              <w:left w:val="nil"/>
              <w:bottom w:val="single" w:sz="8" w:space="0" w:color="auto"/>
              <w:right w:val="single" w:sz="8" w:space="0" w:color="auto"/>
            </w:tcBorders>
            <w:shd w:val="clear" w:color="auto" w:fill="auto"/>
            <w:noWrap/>
            <w:vAlign w:val="center"/>
            <w:hideMark/>
          </w:tcPr>
          <w:p w14:paraId="7EE09BC9" w14:textId="77777777" w:rsidR="008F5144" w:rsidRPr="008F5144" w:rsidRDefault="008F5144" w:rsidP="008F5144">
            <w:pPr>
              <w:ind w:firstLine="0"/>
              <w:jc w:val="center"/>
              <w:rPr>
                <w:rFonts w:eastAsia="Times New Roman" w:cs="Times New Roman"/>
                <w:color w:val="000000"/>
                <w:sz w:val="20"/>
                <w:szCs w:val="20"/>
                <w:lang w:eastAsia="ru-RU"/>
              </w:rPr>
            </w:pPr>
            <w:r w:rsidRPr="008F5144">
              <w:rPr>
                <w:rFonts w:eastAsia="Times New Roman" w:cs="Times New Roman"/>
                <w:color w:val="000000"/>
                <w:sz w:val="20"/>
                <w:szCs w:val="20"/>
                <w:lang w:eastAsia="ru-RU"/>
              </w:rPr>
              <w:t>1,095</w:t>
            </w:r>
          </w:p>
        </w:tc>
      </w:tr>
      <w:tr w:rsidR="008F5144" w:rsidRPr="008F5144" w14:paraId="27BD764D" w14:textId="77777777" w:rsidTr="006C45D3">
        <w:trPr>
          <w:trHeight w:val="315"/>
        </w:trPr>
        <w:tc>
          <w:tcPr>
            <w:tcW w:w="857" w:type="pct"/>
            <w:tcBorders>
              <w:top w:val="nil"/>
              <w:left w:val="single" w:sz="8" w:space="0" w:color="auto"/>
              <w:bottom w:val="single" w:sz="8" w:space="0" w:color="auto"/>
              <w:right w:val="single" w:sz="8" w:space="0" w:color="auto"/>
            </w:tcBorders>
            <w:shd w:val="clear" w:color="auto" w:fill="auto"/>
            <w:vAlign w:val="center"/>
            <w:hideMark/>
          </w:tcPr>
          <w:p w14:paraId="748A24D1" w14:textId="77777777" w:rsidR="008F5144" w:rsidRPr="008F5144" w:rsidRDefault="008F5144" w:rsidP="008F5144">
            <w:pPr>
              <w:ind w:firstLine="0"/>
              <w:jc w:val="center"/>
              <w:rPr>
                <w:rFonts w:eastAsia="Times New Roman" w:cs="Times New Roman"/>
                <w:color w:val="000000"/>
                <w:sz w:val="20"/>
                <w:szCs w:val="20"/>
                <w:lang w:eastAsia="ru-RU"/>
              </w:rPr>
            </w:pPr>
            <w:r w:rsidRPr="008F5144">
              <w:rPr>
                <w:rFonts w:eastAsia="Times New Roman" w:cs="Times New Roman"/>
                <w:color w:val="000000"/>
                <w:sz w:val="20"/>
                <w:szCs w:val="20"/>
                <w:lang w:eastAsia="ru-RU"/>
              </w:rPr>
              <w:t> </w:t>
            </w:r>
          </w:p>
        </w:tc>
        <w:tc>
          <w:tcPr>
            <w:tcW w:w="1286" w:type="pct"/>
            <w:tcBorders>
              <w:top w:val="nil"/>
              <w:left w:val="nil"/>
              <w:bottom w:val="single" w:sz="8" w:space="0" w:color="auto"/>
              <w:right w:val="single" w:sz="8" w:space="0" w:color="auto"/>
            </w:tcBorders>
            <w:shd w:val="clear" w:color="auto" w:fill="auto"/>
            <w:noWrap/>
            <w:vAlign w:val="center"/>
            <w:hideMark/>
          </w:tcPr>
          <w:p w14:paraId="72B35005" w14:textId="77777777" w:rsidR="008F5144" w:rsidRPr="008F5144" w:rsidRDefault="008F5144" w:rsidP="008F5144">
            <w:pPr>
              <w:ind w:firstLine="0"/>
              <w:jc w:val="center"/>
              <w:rPr>
                <w:rFonts w:eastAsia="Times New Roman" w:cs="Times New Roman"/>
                <w:color w:val="000000"/>
                <w:sz w:val="20"/>
                <w:szCs w:val="20"/>
                <w:lang w:eastAsia="ru-RU"/>
              </w:rPr>
            </w:pPr>
            <w:r w:rsidRPr="008F5144">
              <w:rPr>
                <w:rFonts w:eastAsia="Times New Roman" w:cs="Times New Roman"/>
                <w:color w:val="000000"/>
                <w:sz w:val="20"/>
                <w:szCs w:val="20"/>
                <w:lang w:eastAsia="ru-RU"/>
              </w:rPr>
              <w:t>Май 2016</w:t>
            </w:r>
          </w:p>
        </w:tc>
        <w:tc>
          <w:tcPr>
            <w:tcW w:w="1161" w:type="pct"/>
            <w:tcBorders>
              <w:top w:val="nil"/>
              <w:left w:val="nil"/>
              <w:bottom w:val="single" w:sz="8" w:space="0" w:color="auto"/>
              <w:right w:val="single" w:sz="8" w:space="0" w:color="auto"/>
            </w:tcBorders>
            <w:shd w:val="clear" w:color="auto" w:fill="auto"/>
            <w:noWrap/>
            <w:vAlign w:val="center"/>
            <w:hideMark/>
          </w:tcPr>
          <w:p w14:paraId="6411D7CF" w14:textId="5AB8B3E6" w:rsidR="008F5144" w:rsidRPr="008F5144" w:rsidRDefault="008F5144" w:rsidP="008F5144">
            <w:pPr>
              <w:ind w:firstLine="0"/>
              <w:jc w:val="center"/>
              <w:rPr>
                <w:rFonts w:eastAsia="Times New Roman" w:cs="Times New Roman"/>
                <w:color w:val="000000"/>
                <w:sz w:val="20"/>
                <w:szCs w:val="20"/>
                <w:lang w:eastAsia="ru-RU"/>
              </w:rPr>
            </w:pPr>
            <w:r w:rsidRPr="008F5144">
              <w:rPr>
                <w:rFonts w:eastAsia="Times New Roman" w:cs="Times New Roman"/>
                <w:color w:val="000000"/>
                <w:sz w:val="20"/>
                <w:szCs w:val="20"/>
                <w:lang w:eastAsia="ru-RU"/>
              </w:rPr>
              <w:t>05.2016</w:t>
            </w:r>
          </w:p>
        </w:tc>
        <w:tc>
          <w:tcPr>
            <w:tcW w:w="1696" w:type="pct"/>
            <w:tcBorders>
              <w:top w:val="nil"/>
              <w:left w:val="nil"/>
              <w:bottom w:val="single" w:sz="8" w:space="0" w:color="auto"/>
              <w:right w:val="single" w:sz="8" w:space="0" w:color="auto"/>
            </w:tcBorders>
            <w:shd w:val="clear" w:color="auto" w:fill="auto"/>
            <w:noWrap/>
            <w:vAlign w:val="center"/>
            <w:hideMark/>
          </w:tcPr>
          <w:p w14:paraId="1B91141E" w14:textId="77777777" w:rsidR="008F5144" w:rsidRPr="008F5144" w:rsidRDefault="008F5144" w:rsidP="008F5144">
            <w:pPr>
              <w:ind w:firstLine="0"/>
              <w:jc w:val="center"/>
              <w:rPr>
                <w:rFonts w:eastAsia="Times New Roman" w:cs="Times New Roman"/>
                <w:color w:val="000000"/>
                <w:sz w:val="20"/>
                <w:szCs w:val="20"/>
                <w:lang w:eastAsia="ru-RU"/>
              </w:rPr>
            </w:pPr>
            <w:r w:rsidRPr="008F5144">
              <w:rPr>
                <w:rFonts w:eastAsia="Times New Roman" w:cs="Times New Roman"/>
                <w:color w:val="000000"/>
                <w:sz w:val="20"/>
                <w:szCs w:val="20"/>
                <w:lang w:eastAsia="ru-RU"/>
              </w:rPr>
              <w:t>1,099</w:t>
            </w:r>
          </w:p>
        </w:tc>
      </w:tr>
      <w:tr w:rsidR="008F5144" w:rsidRPr="008F5144" w14:paraId="578AC8F9" w14:textId="77777777" w:rsidTr="006C45D3">
        <w:trPr>
          <w:trHeight w:val="315"/>
        </w:trPr>
        <w:tc>
          <w:tcPr>
            <w:tcW w:w="857" w:type="pct"/>
            <w:tcBorders>
              <w:top w:val="nil"/>
              <w:left w:val="single" w:sz="8" w:space="0" w:color="auto"/>
              <w:bottom w:val="single" w:sz="8" w:space="0" w:color="auto"/>
              <w:right w:val="single" w:sz="8" w:space="0" w:color="auto"/>
            </w:tcBorders>
            <w:shd w:val="clear" w:color="auto" w:fill="auto"/>
            <w:vAlign w:val="center"/>
            <w:hideMark/>
          </w:tcPr>
          <w:p w14:paraId="2A7032AE" w14:textId="77777777" w:rsidR="008F5144" w:rsidRPr="008F5144" w:rsidRDefault="008F5144" w:rsidP="008F5144">
            <w:pPr>
              <w:ind w:firstLine="0"/>
              <w:jc w:val="center"/>
              <w:rPr>
                <w:rFonts w:eastAsia="Times New Roman" w:cs="Times New Roman"/>
                <w:color w:val="000000"/>
                <w:sz w:val="20"/>
                <w:szCs w:val="20"/>
                <w:lang w:eastAsia="ru-RU"/>
              </w:rPr>
            </w:pPr>
            <w:r w:rsidRPr="008F5144">
              <w:rPr>
                <w:rFonts w:eastAsia="Times New Roman" w:cs="Times New Roman"/>
                <w:color w:val="000000"/>
                <w:sz w:val="20"/>
                <w:szCs w:val="20"/>
                <w:lang w:eastAsia="ru-RU"/>
              </w:rPr>
              <w:t> </w:t>
            </w:r>
          </w:p>
        </w:tc>
        <w:tc>
          <w:tcPr>
            <w:tcW w:w="1286" w:type="pct"/>
            <w:tcBorders>
              <w:top w:val="nil"/>
              <w:left w:val="nil"/>
              <w:bottom w:val="single" w:sz="8" w:space="0" w:color="auto"/>
              <w:right w:val="single" w:sz="8" w:space="0" w:color="auto"/>
            </w:tcBorders>
            <w:shd w:val="clear" w:color="auto" w:fill="auto"/>
            <w:noWrap/>
            <w:vAlign w:val="center"/>
            <w:hideMark/>
          </w:tcPr>
          <w:p w14:paraId="2D54F45C" w14:textId="77777777" w:rsidR="008F5144" w:rsidRPr="008F5144" w:rsidRDefault="008F5144" w:rsidP="008F5144">
            <w:pPr>
              <w:ind w:firstLine="0"/>
              <w:jc w:val="center"/>
              <w:rPr>
                <w:rFonts w:eastAsia="Times New Roman" w:cs="Times New Roman"/>
                <w:color w:val="000000"/>
                <w:sz w:val="20"/>
                <w:szCs w:val="20"/>
                <w:lang w:eastAsia="ru-RU"/>
              </w:rPr>
            </w:pPr>
            <w:r w:rsidRPr="008F5144">
              <w:rPr>
                <w:rFonts w:eastAsia="Times New Roman" w:cs="Times New Roman"/>
                <w:color w:val="000000"/>
                <w:sz w:val="20"/>
                <w:szCs w:val="20"/>
                <w:lang w:eastAsia="ru-RU"/>
              </w:rPr>
              <w:t>Апрель 2016</w:t>
            </w:r>
          </w:p>
        </w:tc>
        <w:tc>
          <w:tcPr>
            <w:tcW w:w="1161" w:type="pct"/>
            <w:tcBorders>
              <w:top w:val="nil"/>
              <w:left w:val="nil"/>
              <w:bottom w:val="single" w:sz="8" w:space="0" w:color="auto"/>
              <w:right w:val="single" w:sz="8" w:space="0" w:color="auto"/>
            </w:tcBorders>
            <w:shd w:val="clear" w:color="auto" w:fill="auto"/>
            <w:noWrap/>
            <w:vAlign w:val="center"/>
            <w:hideMark/>
          </w:tcPr>
          <w:p w14:paraId="2F2F3B46" w14:textId="100D5083" w:rsidR="008F5144" w:rsidRPr="008F5144" w:rsidRDefault="008F5144" w:rsidP="008F5144">
            <w:pPr>
              <w:ind w:firstLine="0"/>
              <w:jc w:val="center"/>
              <w:rPr>
                <w:rFonts w:eastAsia="Times New Roman" w:cs="Times New Roman"/>
                <w:color w:val="000000"/>
                <w:sz w:val="20"/>
                <w:szCs w:val="20"/>
                <w:lang w:eastAsia="ru-RU"/>
              </w:rPr>
            </w:pPr>
            <w:r w:rsidRPr="008F5144">
              <w:rPr>
                <w:rFonts w:eastAsia="Times New Roman" w:cs="Times New Roman"/>
                <w:color w:val="000000"/>
                <w:sz w:val="20"/>
                <w:szCs w:val="20"/>
                <w:lang w:eastAsia="ru-RU"/>
              </w:rPr>
              <w:t>04.2016</w:t>
            </w:r>
          </w:p>
        </w:tc>
        <w:tc>
          <w:tcPr>
            <w:tcW w:w="1696" w:type="pct"/>
            <w:tcBorders>
              <w:top w:val="nil"/>
              <w:left w:val="nil"/>
              <w:bottom w:val="single" w:sz="8" w:space="0" w:color="auto"/>
              <w:right w:val="single" w:sz="8" w:space="0" w:color="auto"/>
            </w:tcBorders>
            <w:shd w:val="clear" w:color="auto" w:fill="auto"/>
            <w:noWrap/>
            <w:vAlign w:val="center"/>
            <w:hideMark/>
          </w:tcPr>
          <w:p w14:paraId="4201BBB4" w14:textId="77777777" w:rsidR="008F5144" w:rsidRPr="008F5144" w:rsidRDefault="008F5144" w:rsidP="008F5144">
            <w:pPr>
              <w:ind w:firstLine="0"/>
              <w:jc w:val="center"/>
              <w:rPr>
                <w:rFonts w:eastAsia="Times New Roman" w:cs="Times New Roman"/>
                <w:color w:val="000000"/>
                <w:sz w:val="20"/>
                <w:szCs w:val="20"/>
                <w:lang w:eastAsia="ru-RU"/>
              </w:rPr>
            </w:pPr>
            <w:r w:rsidRPr="008F5144">
              <w:rPr>
                <w:rFonts w:eastAsia="Times New Roman" w:cs="Times New Roman"/>
                <w:color w:val="000000"/>
                <w:sz w:val="20"/>
                <w:szCs w:val="20"/>
                <w:lang w:eastAsia="ru-RU"/>
              </w:rPr>
              <w:t>1,104</w:t>
            </w:r>
          </w:p>
        </w:tc>
      </w:tr>
      <w:tr w:rsidR="008F5144" w:rsidRPr="008F5144" w14:paraId="45F51781" w14:textId="77777777" w:rsidTr="006C45D3">
        <w:trPr>
          <w:trHeight w:val="315"/>
        </w:trPr>
        <w:tc>
          <w:tcPr>
            <w:tcW w:w="857" w:type="pct"/>
            <w:tcBorders>
              <w:top w:val="nil"/>
              <w:left w:val="single" w:sz="8" w:space="0" w:color="auto"/>
              <w:bottom w:val="single" w:sz="8" w:space="0" w:color="auto"/>
              <w:right w:val="single" w:sz="8" w:space="0" w:color="auto"/>
            </w:tcBorders>
            <w:shd w:val="clear" w:color="auto" w:fill="auto"/>
            <w:vAlign w:val="center"/>
            <w:hideMark/>
          </w:tcPr>
          <w:p w14:paraId="024CD778" w14:textId="77777777" w:rsidR="008F5144" w:rsidRPr="008F5144" w:rsidRDefault="008F5144" w:rsidP="008F5144">
            <w:pPr>
              <w:ind w:firstLine="0"/>
              <w:jc w:val="center"/>
              <w:rPr>
                <w:rFonts w:eastAsia="Times New Roman" w:cs="Times New Roman"/>
                <w:color w:val="000000"/>
                <w:sz w:val="20"/>
                <w:szCs w:val="20"/>
                <w:lang w:eastAsia="ru-RU"/>
              </w:rPr>
            </w:pPr>
            <w:r w:rsidRPr="008F5144">
              <w:rPr>
                <w:rFonts w:eastAsia="Times New Roman" w:cs="Times New Roman"/>
                <w:color w:val="000000"/>
                <w:sz w:val="20"/>
                <w:szCs w:val="20"/>
                <w:lang w:eastAsia="ru-RU"/>
              </w:rPr>
              <w:t> </w:t>
            </w:r>
          </w:p>
        </w:tc>
        <w:tc>
          <w:tcPr>
            <w:tcW w:w="1286" w:type="pct"/>
            <w:tcBorders>
              <w:top w:val="nil"/>
              <w:left w:val="nil"/>
              <w:bottom w:val="single" w:sz="8" w:space="0" w:color="auto"/>
              <w:right w:val="single" w:sz="8" w:space="0" w:color="auto"/>
            </w:tcBorders>
            <w:shd w:val="clear" w:color="auto" w:fill="auto"/>
            <w:noWrap/>
            <w:vAlign w:val="center"/>
            <w:hideMark/>
          </w:tcPr>
          <w:p w14:paraId="58F2D65B" w14:textId="77777777" w:rsidR="008F5144" w:rsidRPr="008F5144" w:rsidRDefault="008F5144" w:rsidP="008F5144">
            <w:pPr>
              <w:ind w:firstLine="0"/>
              <w:jc w:val="center"/>
              <w:rPr>
                <w:rFonts w:eastAsia="Times New Roman" w:cs="Times New Roman"/>
                <w:color w:val="000000"/>
                <w:sz w:val="20"/>
                <w:szCs w:val="20"/>
                <w:lang w:eastAsia="ru-RU"/>
              </w:rPr>
            </w:pPr>
            <w:r w:rsidRPr="008F5144">
              <w:rPr>
                <w:rFonts w:eastAsia="Times New Roman" w:cs="Times New Roman"/>
                <w:color w:val="000000"/>
                <w:sz w:val="20"/>
                <w:szCs w:val="20"/>
                <w:lang w:eastAsia="ru-RU"/>
              </w:rPr>
              <w:t>Март 2016</w:t>
            </w:r>
          </w:p>
        </w:tc>
        <w:tc>
          <w:tcPr>
            <w:tcW w:w="1161" w:type="pct"/>
            <w:tcBorders>
              <w:top w:val="nil"/>
              <w:left w:val="nil"/>
              <w:bottom w:val="single" w:sz="8" w:space="0" w:color="auto"/>
              <w:right w:val="single" w:sz="8" w:space="0" w:color="auto"/>
            </w:tcBorders>
            <w:shd w:val="clear" w:color="auto" w:fill="auto"/>
            <w:noWrap/>
            <w:vAlign w:val="center"/>
            <w:hideMark/>
          </w:tcPr>
          <w:p w14:paraId="77165100" w14:textId="3CD9FB03" w:rsidR="008F5144" w:rsidRPr="008F5144" w:rsidRDefault="008F5144" w:rsidP="008F5144">
            <w:pPr>
              <w:ind w:firstLine="0"/>
              <w:jc w:val="center"/>
              <w:rPr>
                <w:rFonts w:eastAsia="Times New Roman" w:cs="Times New Roman"/>
                <w:color w:val="000000"/>
                <w:sz w:val="20"/>
                <w:szCs w:val="20"/>
                <w:lang w:eastAsia="ru-RU"/>
              </w:rPr>
            </w:pPr>
            <w:r w:rsidRPr="008F5144">
              <w:rPr>
                <w:rFonts w:eastAsia="Times New Roman" w:cs="Times New Roman"/>
                <w:color w:val="000000"/>
                <w:sz w:val="20"/>
                <w:szCs w:val="20"/>
                <w:lang w:eastAsia="ru-RU"/>
              </w:rPr>
              <w:t>03.2016</w:t>
            </w:r>
          </w:p>
        </w:tc>
        <w:tc>
          <w:tcPr>
            <w:tcW w:w="1696" w:type="pct"/>
            <w:tcBorders>
              <w:top w:val="nil"/>
              <w:left w:val="nil"/>
              <w:bottom w:val="single" w:sz="8" w:space="0" w:color="auto"/>
              <w:right w:val="single" w:sz="8" w:space="0" w:color="auto"/>
            </w:tcBorders>
            <w:shd w:val="clear" w:color="auto" w:fill="auto"/>
            <w:noWrap/>
            <w:vAlign w:val="center"/>
            <w:hideMark/>
          </w:tcPr>
          <w:p w14:paraId="2E2E6C14" w14:textId="77777777" w:rsidR="008F5144" w:rsidRPr="008F5144" w:rsidRDefault="008F5144" w:rsidP="008F5144">
            <w:pPr>
              <w:ind w:firstLine="0"/>
              <w:jc w:val="center"/>
              <w:rPr>
                <w:rFonts w:eastAsia="Times New Roman" w:cs="Times New Roman"/>
                <w:color w:val="000000"/>
                <w:sz w:val="20"/>
                <w:szCs w:val="20"/>
                <w:lang w:eastAsia="ru-RU"/>
              </w:rPr>
            </w:pPr>
            <w:r w:rsidRPr="008F5144">
              <w:rPr>
                <w:rFonts w:eastAsia="Times New Roman" w:cs="Times New Roman"/>
                <w:color w:val="000000"/>
                <w:sz w:val="20"/>
                <w:szCs w:val="20"/>
                <w:lang w:eastAsia="ru-RU"/>
              </w:rPr>
              <w:t>1,109</w:t>
            </w:r>
          </w:p>
        </w:tc>
      </w:tr>
      <w:tr w:rsidR="008F5144" w:rsidRPr="008F5144" w14:paraId="5CE2B001" w14:textId="77777777" w:rsidTr="006C45D3">
        <w:trPr>
          <w:trHeight w:val="315"/>
        </w:trPr>
        <w:tc>
          <w:tcPr>
            <w:tcW w:w="857" w:type="pct"/>
            <w:tcBorders>
              <w:top w:val="nil"/>
              <w:left w:val="single" w:sz="8" w:space="0" w:color="auto"/>
              <w:bottom w:val="single" w:sz="8" w:space="0" w:color="auto"/>
              <w:right w:val="single" w:sz="8" w:space="0" w:color="auto"/>
            </w:tcBorders>
            <w:shd w:val="clear" w:color="auto" w:fill="auto"/>
            <w:vAlign w:val="center"/>
            <w:hideMark/>
          </w:tcPr>
          <w:p w14:paraId="66937A57" w14:textId="77777777" w:rsidR="008F5144" w:rsidRPr="008F5144" w:rsidRDefault="008F5144" w:rsidP="008F5144">
            <w:pPr>
              <w:ind w:firstLine="0"/>
              <w:jc w:val="center"/>
              <w:rPr>
                <w:rFonts w:eastAsia="Times New Roman" w:cs="Times New Roman"/>
                <w:color w:val="000000"/>
                <w:sz w:val="20"/>
                <w:szCs w:val="20"/>
                <w:lang w:eastAsia="ru-RU"/>
              </w:rPr>
            </w:pPr>
            <w:r w:rsidRPr="008F5144">
              <w:rPr>
                <w:rFonts w:eastAsia="Times New Roman" w:cs="Times New Roman"/>
                <w:color w:val="000000"/>
                <w:sz w:val="20"/>
                <w:szCs w:val="20"/>
                <w:lang w:eastAsia="ru-RU"/>
              </w:rPr>
              <w:t> </w:t>
            </w:r>
          </w:p>
        </w:tc>
        <w:tc>
          <w:tcPr>
            <w:tcW w:w="1286" w:type="pct"/>
            <w:tcBorders>
              <w:top w:val="nil"/>
              <w:left w:val="nil"/>
              <w:bottom w:val="single" w:sz="8" w:space="0" w:color="auto"/>
              <w:right w:val="single" w:sz="8" w:space="0" w:color="auto"/>
            </w:tcBorders>
            <w:shd w:val="clear" w:color="auto" w:fill="auto"/>
            <w:noWrap/>
            <w:vAlign w:val="center"/>
            <w:hideMark/>
          </w:tcPr>
          <w:p w14:paraId="42C94A93" w14:textId="77777777" w:rsidR="008F5144" w:rsidRPr="008F5144" w:rsidRDefault="008F5144" w:rsidP="008F5144">
            <w:pPr>
              <w:ind w:firstLine="0"/>
              <w:jc w:val="center"/>
              <w:rPr>
                <w:rFonts w:eastAsia="Times New Roman" w:cs="Times New Roman"/>
                <w:color w:val="000000"/>
                <w:sz w:val="20"/>
                <w:szCs w:val="20"/>
                <w:lang w:eastAsia="ru-RU"/>
              </w:rPr>
            </w:pPr>
            <w:r w:rsidRPr="008F5144">
              <w:rPr>
                <w:rFonts w:eastAsia="Times New Roman" w:cs="Times New Roman"/>
                <w:color w:val="000000"/>
                <w:sz w:val="20"/>
                <w:szCs w:val="20"/>
                <w:lang w:eastAsia="ru-RU"/>
              </w:rPr>
              <w:t>Февраль 2016</w:t>
            </w:r>
          </w:p>
        </w:tc>
        <w:tc>
          <w:tcPr>
            <w:tcW w:w="1161" w:type="pct"/>
            <w:tcBorders>
              <w:top w:val="nil"/>
              <w:left w:val="nil"/>
              <w:bottom w:val="single" w:sz="8" w:space="0" w:color="auto"/>
              <w:right w:val="single" w:sz="8" w:space="0" w:color="auto"/>
            </w:tcBorders>
            <w:shd w:val="clear" w:color="auto" w:fill="auto"/>
            <w:noWrap/>
            <w:vAlign w:val="center"/>
            <w:hideMark/>
          </w:tcPr>
          <w:p w14:paraId="3F3EC39E" w14:textId="140BFD2F" w:rsidR="008F5144" w:rsidRPr="008F5144" w:rsidRDefault="008F5144" w:rsidP="008F5144">
            <w:pPr>
              <w:ind w:firstLine="0"/>
              <w:jc w:val="center"/>
              <w:rPr>
                <w:rFonts w:eastAsia="Times New Roman" w:cs="Times New Roman"/>
                <w:color w:val="000000"/>
                <w:sz w:val="20"/>
                <w:szCs w:val="20"/>
                <w:lang w:eastAsia="ru-RU"/>
              </w:rPr>
            </w:pPr>
            <w:r w:rsidRPr="008F5144">
              <w:rPr>
                <w:rFonts w:eastAsia="Times New Roman" w:cs="Times New Roman"/>
                <w:color w:val="000000"/>
                <w:sz w:val="20"/>
                <w:szCs w:val="20"/>
                <w:lang w:eastAsia="ru-RU"/>
              </w:rPr>
              <w:t>02.2016</w:t>
            </w:r>
          </w:p>
        </w:tc>
        <w:tc>
          <w:tcPr>
            <w:tcW w:w="1696" w:type="pct"/>
            <w:tcBorders>
              <w:top w:val="nil"/>
              <w:left w:val="nil"/>
              <w:bottom w:val="single" w:sz="8" w:space="0" w:color="auto"/>
              <w:right w:val="single" w:sz="8" w:space="0" w:color="auto"/>
            </w:tcBorders>
            <w:shd w:val="clear" w:color="auto" w:fill="auto"/>
            <w:noWrap/>
            <w:vAlign w:val="center"/>
            <w:hideMark/>
          </w:tcPr>
          <w:p w14:paraId="65E3528C" w14:textId="77777777" w:rsidR="008F5144" w:rsidRPr="008F5144" w:rsidRDefault="008F5144" w:rsidP="008F5144">
            <w:pPr>
              <w:ind w:firstLine="0"/>
              <w:jc w:val="center"/>
              <w:rPr>
                <w:rFonts w:eastAsia="Times New Roman" w:cs="Times New Roman"/>
                <w:color w:val="000000"/>
                <w:sz w:val="20"/>
                <w:szCs w:val="20"/>
                <w:lang w:eastAsia="ru-RU"/>
              </w:rPr>
            </w:pPr>
            <w:r w:rsidRPr="008F5144">
              <w:rPr>
                <w:rFonts w:eastAsia="Times New Roman" w:cs="Times New Roman"/>
                <w:color w:val="000000"/>
                <w:sz w:val="20"/>
                <w:szCs w:val="20"/>
                <w:lang w:eastAsia="ru-RU"/>
              </w:rPr>
              <w:t>1,116</w:t>
            </w:r>
          </w:p>
        </w:tc>
      </w:tr>
      <w:tr w:rsidR="008F5144" w:rsidRPr="008F5144" w14:paraId="6CA793FA" w14:textId="77777777" w:rsidTr="006C45D3">
        <w:trPr>
          <w:trHeight w:val="315"/>
        </w:trPr>
        <w:tc>
          <w:tcPr>
            <w:tcW w:w="857" w:type="pct"/>
            <w:tcBorders>
              <w:top w:val="nil"/>
              <w:left w:val="single" w:sz="8" w:space="0" w:color="auto"/>
              <w:bottom w:val="single" w:sz="8" w:space="0" w:color="auto"/>
              <w:right w:val="single" w:sz="8" w:space="0" w:color="auto"/>
            </w:tcBorders>
            <w:shd w:val="clear" w:color="auto" w:fill="auto"/>
            <w:vAlign w:val="center"/>
            <w:hideMark/>
          </w:tcPr>
          <w:p w14:paraId="7F870CD2" w14:textId="77777777" w:rsidR="008F5144" w:rsidRPr="008F5144" w:rsidRDefault="008F5144" w:rsidP="008F5144">
            <w:pPr>
              <w:ind w:firstLine="0"/>
              <w:jc w:val="center"/>
              <w:rPr>
                <w:rFonts w:eastAsia="Times New Roman" w:cs="Times New Roman"/>
                <w:color w:val="000000"/>
                <w:sz w:val="20"/>
                <w:szCs w:val="20"/>
                <w:lang w:eastAsia="ru-RU"/>
              </w:rPr>
            </w:pPr>
            <w:r w:rsidRPr="008F5144">
              <w:rPr>
                <w:rFonts w:eastAsia="Times New Roman" w:cs="Times New Roman"/>
                <w:color w:val="000000"/>
                <w:sz w:val="20"/>
                <w:szCs w:val="20"/>
                <w:lang w:eastAsia="ru-RU"/>
              </w:rPr>
              <w:t> </w:t>
            </w:r>
          </w:p>
        </w:tc>
        <w:tc>
          <w:tcPr>
            <w:tcW w:w="1286" w:type="pct"/>
            <w:tcBorders>
              <w:top w:val="nil"/>
              <w:left w:val="nil"/>
              <w:bottom w:val="single" w:sz="8" w:space="0" w:color="auto"/>
              <w:right w:val="single" w:sz="8" w:space="0" w:color="auto"/>
            </w:tcBorders>
            <w:shd w:val="clear" w:color="auto" w:fill="auto"/>
            <w:noWrap/>
            <w:vAlign w:val="center"/>
            <w:hideMark/>
          </w:tcPr>
          <w:p w14:paraId="7B03DB28" w14:textId="77777777" w:rsidR="008F5144" w:rsidRPr="008F5144" w:rsidRDefault="008F5144" w:rsidP="008F5144">
            <w:pPr>
              <w:ind w:firstLine="0"/>
              <w:jc w:val="center"/>
              <w:rPr>
                <w:rFonts w:eastAsia="Times New Roman" w:cs="Times New Roman"/>
                <w:color w:val="000000"/>
                <w:sz w:val="20"/>
                <w:szCs w:val="20"/>
                <w:lang w:eastAsia="ru-RU"/>
              </w:rPr>
            </w:pPr>
            <w:r w:rsidRPr="008F5144">
              <w:rPr>
                <w:rFonts w:eastAsia="Times New Roman" w:cs="Times New Roman"/>
                <w:color w:val="000000"/>
                <w:sz w:val="20"/>
                <w:szCs w:val="20"/>
                <w:lang w:eastAsia="ru-RU"/>
              </w:rPr>
              <w:t>Январь 2016</w:t>
            </w:r>
          </w:p>
        </w:tc>
        <w:tc>
          <w:tcPr>
            <w:tcW w:w="1161" w:type="pct"/>
            <w:tcBorders>
              <w:top w:val="nil"/>
              <w:left w:val="nil"/>
              <w:bottom w:val="single" w:sz="8" w:space="0" w:color="auto"/>
              <w:right w:val="single" w:sz="8" w:space="0" w:color="auto"/>
            </w:tcBorders>
            <w:shd w:val="clear" w:color="auto" w:fill="auto"/>
            <w:noWrap/>
            <w:vAlign w:val="center"/>
            <w:hideMark/>
          </w:tcPr>
          <w:p w14:paraId="5DFB8BEF" w14:textId="0D11DAC1" w:rsidR="008F5144" w:rsidRPr="008F5144" w:rsidRDefault="008F5144" w:rsidP="008F5144">
            <w:pPr>
              <w:ind w:firstLine="0"/>
              <w:jc w:val="center"/>
              <w:rPr>
                <w:rFonts w:eastAsia="Times New Roman" w:cs="Times New Roman"/>
                <w:color w:val="000000"/>
                <w:sz w:val="20"/>
                <w:szCs w:val="20"/>
                <w:lang w:eastAsia="ru-RU"/>
              </w:rPr>
            </w:pPr>
            <w:r w:rsidRPr="008F5144">
              <w:rPr>
                <w:rFonts w:eastAsia="Times New Roman" w:cs="Times New Roman"/>
                <w:color w:val="000000"/>
                <w:sz w:val="20"/>
                <w:szCs w:val="20"/>
                <w:lang w:eastAsia="ru-RU"/>
              </w:rPr>
              <w:t>01.2016</w:t>
            </w:r>
          </w:p>
        </w:tc>
        <w:tc>
          <w:tcPr>
            <w:tcW w:w="1696" w:type="pct"/>
            <w:tcBorders>
              <w:top w:val="nil"/>
              <w:left w:val="nil"/>
              <w:bottom w:val="single" w:sz="8" w:space="0" w:color="auto"/>
              <w:right w:val="single" w:sz="8" w:space="0" w:color="auto"/>
            </w:tcBorders>
            <w:shd w:val="clear" w:color="auto" w:fill="auto"/>
            <w:noWrap/>
            <w:vAlign w:val="center"/>
            <w:hideMark/>
          </w:tcPr>
          <w:p w14:paraId="16343A26" w14:textId="77777777" w:rsidR="008F5144" w:rsidRPr="008F5144" w:rsidRDefault="008F5144" w:rsidP="008F5144">
            <w:pPr>
              <w:ind w:firstLine="0"/>
              <w:jc w:val="center"/>
              <w:rPr>
                <w:rFonts w:eastAsia="Times New Roman" w:cs="Times New Roman"/>
                <w:color w:val="000000"/>
                <w:sz w:val="20"/>
                <w:szCs w:val="20"/>
                <w:lang w:eastAsia="ru-RU"/>
              </w:rPr>
            </w:pPr>
            <w:r w:rsidRPr="008F5144">
              <w:rPr>
                <w:rFonts w:eastAsia="Times New Roman" w:cs="Times New Roman"/>
                <w:color w:val="000000"/>
                <w:sz w:val="20"/>
                <w:szCs w:val="20"/>
                <w:lang w:eastAsia="ru-RU"/>
              </w:rPr>
              <w:t>1,127</w:t>
            </w:r>
          </w:p>
        </w:tc>
      </w:tr>
    </w:tbl>
    <w:p w14:paraId="7B5E8789" w14:textId="1F5BB557" w:rsidR="008F5144" w:rsidRDefault="008F5144" w:rsidP="006C45D3">
      <w:pPr>
        <w:ind w:firstLine="0"/>
        <w:rPr>
          <w:rFonts w:cs="Times New Roman"/>
          <w:szCs w:val="24"/>
        </w:rPr>
      </w:pPr>
    </w:p>
    <w:p w14:paraId="7F14D56F" w14:textId="77777777" w:rsidR="005A6921" w:rsidRDefault="005A6921" w:rsidP="005A6921">
      <w:pPr>
        <w:ind w:firstLine="709"/>
        <w:rPr>
          <w:rFonts w:cs="Times New Roman"/>
          <w:szCs w:val="24"/>
          <w:lang w:val="x-none"/>
        </w:rPr>
      </w:pPr>
      <w:r>
        <w:rPr>
          <w:rFonts w:cs="Times New Roman"/>
          <w:szCs w:val="24"/>
        </w:rPr>
        <w:t>Исходные данные и расчетная таблица поправки на дату оценки приведены в Приложении 1.5.2</w:t>
      </w:r>
      <w:r>
        <w:rPr>
          <w:rFonts w:eastAsia="Times New Roman" w:cs="Times New Roman"/>
          <w:sz w:val="20"/>
          <w:szCs w:val="20"/>
          <w:lang w:eastAsia="ru-RU"/>
        </w:rPr>
        <w:t>.</w:t>
      </w:r>
    </w:p>
    <w:p w14:paraId="5D4D0CE4" w14:textId="77777777" w:rsidR="005A6921" w:rsidRDefault="005A6921" w:rsidP="005A6921">
      <w:pPr>
        <w:ind w:firstLine="709"/>
        <w:rPr>
          <w:rFonts w:cs="Times New Roman"/>
          <w:b/>
          <w:szCs w:val="24"/>
        </w:rPr>
      </w:pPr>
    </w:p>
    <w:p w14:paraId="6FF47F16" w14:textId="77777777" w:rsidR="005A6921" w:rsidRDefault="005A6921" w:rsidP="005A6921">
      <w:pPr>
        <w:ind w:firstLine="708"/>
        <w:rPr>
          <w:b/>
          <w:szCs w:val="24"/>
        </w:rPr>
      </w:pPr>
      <w:r>
        <w:rPr>
          <w:b/>
          <w:szCs w:val="24"/>
        </w:rPr>
        <w:t>Определение доли земельного участка в стоимости единого объекта недвижимости</w:t>
      </w:r>
    </w:p>
    <w:p w14:paraId="11BC5D4A" w14:textId="77777777" w:rsidR="005A6921" w:rsidRDefault="005A6921" w:rsidP="005A6921">
      <w:pPr>
        <w:ind w:firstLine="720"/>
        <w:rPr>
          <w:lang w:eastAsia="ru-RU"/>
        </w:rPr>
      </w:pPr>
      <w:r>
        <w:rPr>
          <w:lang w:eastAsia="ru-RU"/>
        </w:rPr>
        <w:t>В связи с тем, что оценке подлежат объекты недвижимости (здания, помещения, сооружения, объекты незавершенного строительства) без учета земельного участка, а на рынке объектов недвижимости предлагаются объекты с учетом земельного участка, необходимо внести корректировку на долю земельного участка в стоимости объекта капитального строительства.</w:t>
      </w:r>
    </w:p>
    <w:p w14:paraId="0253A1C0" w14:textId="77777777" w:rsidR="005A6921" w:rsidRDefault="005A6921" w:rsidP="005A6921">
      <w:pPr>
        <w:ind w:firstLine="720"/>
      </w:pPr>
      <w:r>
        <w:t>В соответствии с Приложение N 7 к Методическим указаниям, ориентировочная доля стоимости земельных участков в стоимости единого объекта недвижимости для многоквартирного жилого дома составляет 10%-25%, для объектов хранения индивидуального транспорта 15-30%.</w:t>
      </w:r>
    </w:p>
    <w:p w14:paraId="5D70E943" w14:textId="77777777" w:rsidR="005A6921" w:rsidRDefault="005A6921" w:rsidP="005A6921">
      <w:pPr>
        <w:ind w:firstLine="720"/>
      </w:pPr>
      <w:r>
        <w:t xml:space="preserve">Таким образом, для целей настоящей кадастровой оценки, доля земельного участка для расчета жилых помещений принята на уровне 10%, для индивидуальных гаражей на уровне 22,5% (среднее значение диапазона). </w:t>
      </w:r>
    </w:p>
    <w:p w14:paraId="05D64B92" w14:textId="77777777" w:rsidR="00B84916" w:rsidRDefault="00B84916" w:rsidP="00F4217A">
      <w:pPr>
        <w:rPr>
          <w:lang w:eastAsia="ru-RU" w:bidi="hi-IN"/>
        </w:rPr>
      </w:pPr>
    </w:p>
    <w:p w14:paraId="00831C37" w14:textId="134ADD8D" w:rsidR="006A5638" w:rsidRPr="005A6921" w:rsidRDefault="003F26E6" w:rsidP="00FD2769">
      <w:pPr>
        <w:pStyle w:val="3"/>
        <w:rPr>
          <w:rFonts w:eastAsia="Calibri"/>
          <w:lang w:eastAsia="zh-CN"/>
        </w:rPr>
      </w:pPr>
      <w:bookmarkStart w:id="62" w:name="_Toc14819105"/>
      <w:r w:rsidRPr="005A6921">
        <w:rPr>
          <w:rFonts w:eastAsia="Calibri"/>
          <w:lang w:eastAsia="zh-CN"/>
        </w:rPr>
        <w:t>Информация об определении ценообразующих факторов и источниках сведений о них.</w:t>
      </w:r>
      <w:bookmarkEnd w:id="62"/>
      <w:r w:rsidRPr="005A6921">
        <w:rPr>
          <w:rFonts w:eastAsia="Calibri"/>
          <w:lang w:eastAsia="zh-CN"/>
        </w:rPr>
        <w:t xml:space="preserve"> </w:t>
      </w:r>
      <w:bookmarkStart w:id="63" w:name="_2.1.5._Информация_об"/>
      <w:bookmarkEnd w:id="63"/>
    </w:p>
    <w:p w14:paraId="2513C01E" w14:textId="77777777" w:rsidR="006A5638" w:rsidRPr="0027086D" w:rsidRDefault="006A5638" w:rsidP="006A5638">
      <w:pPr>
        <w:rPr>
          <w:rFonts w:cs="Times New Roman"/>
          <w:szCs w:val="24"/>
          <w:shd w:val="clear" w:color="auto" w:fill="FFFFFF"/>
        </w:rPr>
      </w:pPr>
    </w:p>
    <w:p w14:paraId="75DFE654" w14:textId="447CF7CE" w:rsidR="00EE31B9" w:rsidRDefault="00FE1990" w:rsidP="00FE1990">
      <w:pPr>
        <w:adjustRightInd w:val="0"/>
        <w:spacing w:line="276" w:lineRule="auto"/>
        <w:ind w:firstLine="720"/>
        <w:rPr>
          <w:rFonts w:eastAsia="Times New Roman" w:cs="Times New Roman"/>
          <w:szCs w:val="24"/>
          <w:lang w:eastAsia="ru-RU"/>
        </w:rPr>
      </w:pPr>
      <w:r w:rsidRPr="00FE1990">
        <w:rPr>
          <w:rFonts w:eastAsia="Times New Roman" w:cs="Times New Roman"/>
          <w:szCs w:val="24"/>
          <w:lang w:eastAsia="ru-RU"/>
        </w:rPr>
        <w:t xml:space="preserve">В соответствии </w:t>
      </w:r>
      <w:r w:rsidR="00DC396D">
        <w:rPr>
          <w:rFonts w:eastAsia="Times New Roman" w:cs="Times New Roman"/>
          <w:szCs w:val="24"/>
          <w:lang w:eastAsia="ru-RU"/>
        </w:rPr>
        <w:t xml:space="preserve">с пунктом 5.1 </w:t>
      </w:r>
      <w:r w:rsidRPr="00FE1990">
        <w:rPr>
          <w:rFonts w:eastAsia="Times New Roman" w:cs="Times New Roman"/>
          <w:szCs w:val="24"/>
          <w:lang w:eastAsia="ru-RU"/>
        </w:rPr>
        <w:t>Методически</w:t>
      </w:r>
      <w:r w:rsidR="002D68A2">
        <w:rPr>
          <w:rFonts w:eastAsia="Times New Roman" w:cs="Times New Roman"/>
          <w:szCs w:val="24"/>
          <w:lang w:eastAsia="ru-RU"/>
        </w:rPr>
        <w:t>х</w:t>
      </w:r>
      <w:r w:rsidRPr="00FE1990">
        <w:rPr>
          <w:rFonts w:eastAsia="Times New Roman" w:cs="Times New Roman"/>
          <w:szCs w:val="24"/>
          <w:lang w:eastAsia="ru-RU"/>
        </w:rPr>
        <w:t xml:space="preserve"> указани</w:t>
      </w:r>
      <w:r w:rsidR="002D68A2">
        <w:rPr>
          <w:rFonts w:eastAsia="Times New Roman" w:cs="Times New Roman"/>
          <w:szCs w:val="24"/>
          <w:lang w:eastAsia="ru-RU"/>
        </w:rPr>
        <w:t>й</w:t>
      </w:r>
      <w:r w:rsidRPr="00FE1990">
        <w:rPr>
          <w:rFonts w:eastAsia="Times New Roman" w:cs="Times New Roman"/>
          <w:szCs w:val="24"/>
          <w:lang w:eastAsia="ru-RU"/>
        </w:rPr>
        <w:t>,</w:t>
      </w:r>
      <w:r w:rsidR="00EE31B9">
        <w:rPr>
          <w:rFonts w:eastAsia="Times New Roman" w:cs="Times New Roman"/>
          <w:szCs w:val="24"/>
          <w:lang w:eastAsia="ru-RU"/>
        </w:rPr>
        <w:t xml:space="preserve"> определен Примерный перечень ценообразующих факторов. </w:t>
      </w:r>
    </w:p>
    <w:p w14:paraId="3A8CCF09" w14:textId="46FDCAE9" w:rsidR="00FE1990" w:rsidRDefault="00FE1990" w:rsidP="00EE31B9">
      <w:pPr>
        <w:adjustRightInd w:val="0"/>
        <w:spacing w:line="276" w:lineRule="auto"/>
        <w:ind w:firstLine="720"/>
        <w:rPr>
          <w:rFonts w:eastAsia="Times New Roman" w:cs="Times New Roman"/>
          <w:szCs w:val="24"/>
          <w:lang w:eastAsia="ru-RU"/>
        </w:rPr>
      </w:pPr>
      <w:r w:rsidRPr="00FE1990">
        <w:rPr>
          <w:rFonts w:eastAsia="Times New Roman" w:cs="Times New Roman"/>
          <w:szCs w:val="24"/>
          <w:lang w:eastAsia="ru-RU"/>
        </w:rPr>
        <w:t xml:space="preserve"> Сведения о ценообразующих факторах и необходимые материалы предоставлены </w:t>
      </w:r>
      <w:r w:rsidR="004006CE">
        <w:rPr>
          <w:rFonts w:eastAsia="Times New Roman" w:cs="Times New Roman"/>
          <w:szCs w:val="24"/>
          <w:lang w:eastAsia="ru-RU"/>
        </w:rPr>
        <w:t>органами местного самоуправления,</w:t>
      </w:r>
      <w:r w:rsidRPr="00FE1990">
        <w:rPr>
          <w:rFonts w:eastAsia="Times New Roman" w:cs="Times New Roman"/>
          <w:szCs w:val="24"/>
          <w:lang w:eastAsia="ru-RU"/>
        </w:rPr>
        <w:t xml:space="preserve"> Территориальным органом Федеральной службы государственной статистики по Республике Саха (Якутия)</w:t>
      </w:r>
      <w:r w:rsidR="004006CE">
        <w:rPr>
          <w:rFonts w:eastAsia="Times New Roman" w:cs="Times New Roman"/>
          <w:szCs w:val="24"/>
          <w:lang w:eastAsia="ru-RU"/>
        </w:rPr>
        <w:t>.</w:t>
      </w:r>
    </w:p>
    <w:p w14:paraId="115E3612" w14:textId="77777777" w:rsidR="00C106B5" w:rsidRDefault="00C106B5" w:rsidP="00EE31B9">
      <w:pPr>
        <w:adjustRightInd w:val="0"/>
        <w:spacing w:line="276" w:lineRule="auto"/>
        <w:ind w:firstLine="720"/>
        <w:rPr>
          <w:rFonts w:eastAsia="Times New Roman" w:cs="Times New Roman"/>
          <w:szCs w:val="24"/>
          <w:lang w:eastAsia="ru-RU"/>
        </w:rPr>
      </w:pPr>
    </w:p>
    <w:p w14:paraId="77F5B6AC" w14:textId="57CF7FB6" w:rsidR="00DC5B80" w:rsidRPr="00DC5B80" w:rsidRDefault="00DC5B80" w:rsidP="00763AD2">
      <w:pPr>
        <w:pStyle w:val="afffffff0"/>
      </w:pPr>
      <w:r w:rsidRPr="00DC5B80">
        <w:t xml:space="preserve">Таблица </w:t>
      </w:r>
      <w:r w:rsidR="00A90944">
        <w:fldChar w:fldCharType="begin"/>
      </w:r>
      <w:r w:rsidR="00A90944">
        <w:instrText xml:space="preserve"> SEQ Таблица \* ARABIC </w:instrText>
      </w:r>
      <w:r w:rsidR="00A90944">
        <w:fldChar w:fldCharType="separate"/>
      </w:r>
      <w:r w:rsidR="00FD2769">
        <w:rPr>
          <w:noProof/>
        </w:rPr>
        <w:t>18</w:t>
      </w:r>
      <w:r w:rsidR="00A90944">
        <w:rPr>
          <w:noProof/>
        </w:rPr>
        <w:fldChar w:fldCharType="end"/>
      </w:r>
      <w:r w:rsidRPr="00DC5B80">
        <w:t>. Перечень ценообразующих факторов для ГНП</w:t>
      </w:r>
    </w:p>
    <w:tbl>
      <w:tblPr>
        <w:tblW w:w="9768" w:type="dxa"/>
        <w:jc w:val="center"/>
        <w:tblLook w:val="04A0" w:firstRow="1" w:lastRow="0" w:firstColumn="1" w:lastColumn="0" w:noHBand="0" w:noVBand="1"/>
      </w:tblPr>
      <w:tblGrid>
        <w:gridCol w:w="522"/>
        <w:gridCol w:w="3159"/>
        <w:gridCol w:w="3211"/>
        <w:gridCol w:w="2876"/>
      </w:tblGrid>
      <w:tr w:rsidR="00DC5B80" w:rsidRPr="009E18B2" w14:paraId="1DAAC97D" w14:textId="77777777" w:rsidTr="006C45D3">
        <w:trPr>
          <w:trHeight w:val="20"/>
          <w:tblHeader/>
          <w:jc w:val="center"/>
        </w:trPr>
        <w:tc>
          <w:tcPr>
            <w:tcW w:w="52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9B22BA2" w14:textId="77777777" w:rsidR="00DC5B80" w:rsidRPr="009E18B2" w:rsidRDefault="00DC5B80" w:rsidP="00DC5B80">
            <w:pPr>
              <w:ind w:firstLine="0"/>
              <w:jc w:val="center"/>
              <w:rPr>
                <w:rFonts w:eastAsia="Times New Roman" w:cs="Times New Roman"/>
                <w:b/>
                <w:i/>
                <w:color w:val="000000"/>
                <w:sz w:val="22"/>
                <w:lang w:eastAsia="ru-RU"/>
              </w:rPr>
            </w:pPr>
            <w:r w:rsidRPr="009E18B2">
              <w:rPr>
                <w:rFonts w:eastAsia="Times New Roman" w:cs="Times New Roman"/>
                <w:b/>
                <w:i/>
                <w:color w:val="000000"/>
                <w:sz w:val="22"/>
                <w:lang w:eastAsia="ru-RU"/>
              </w:rPr>
              <w:t>№ п/п</w:t>
            </w:r>
          </w:p>
        </w:tc>
        <w:tc>
          <w:tcPr>
            <w:tcW w:w="3159" w:type="dxa"/>
            <w:tcBorders>
              <w:top w:val="single" w:sz="4" w:space="0" w:color="auto"/>
              <w:left w:val="nil"/>
              <w:bottom w:val="single" w:sz="4" w:space="0" w:color="auto"/>
              <w:right w:val="single" w:sz="4" w:space="0" w:color="auto"/>
            </w:tcBorders>
            <w:shd w:val="clear" w:color="auto" w:fill="auto"/>
            <w:vAlign w:val="center"/>
            <w:hideMark/>
          </w:tcPr>
          <w:p w14:paraId="4340EBD3" w14:textId="77777777" w:rsidR="00DC5B80" w:rsidRPr="009E18B2" w:rsidRDefault="00DC5B80" w:rsidP="00DC5B80">
            <w:pPr>
              <w:ind w:firstLine="0"/>
              <w:jc w:val="center"/>
              <w:rPr>
                <w:rFonts w:eastAsia="Times New Roman" w:cs="Times New Roman"/>
                <w:b/>
                <w:i/>
                <w:color w:val="000000"/>
                <w:sz w:val="22"/>
                <w:lang w:eastAsia="ru-RU"/>
              </w:rPr>
            </w:pPr>
            <w:r w:rsidRPr="009E18B2">
              <w:rPr>
                <w:rFonts w:eastAsia="Times New Roman" w:cs="Times New Roman"/>
                <w:b/>
                <w:i/>
                <w:color w:val="000000"/>
                <w:sz w:val="22"/>
                <w:lang w:eastAsia="ru-RU"/>
              </w:rPr>
              <w:t>Наименование фактора стоимости</w:t>
            </w:r>
          </w:p>
        </w:tc>
        <w:tc>
          <w:tcPr>
            <w:tcW w:w="3211" w:type="dxa"/>
            <w:tcBorders>
              <w:top w:val="single" w:sz="4" w:space="0" w:color="auto"/>
              <w:left w:val="nil"/>
              <w:bottom w:val="single" w:sz="4" w:space="0" w:color="auto"/>
              <w:right w:val="single" w:sz="4" w:space="0" w:color="auto"/>
            </w:tcBorders>
            <w:shd w:val="clear" w:color="auto" w:fill="auto"/>
            <w:vAlign w:val="center"/>
            <w:hideMark/>
          </w:tcPr>
          <w:p w14:paraId="2CA3CECD" w14:textId="77777777" w:rsidR="00DC5B80" w:rsidRPr="009E18B2" w:rsidRDefault="00DC5B80" w:rsidP="00DC5B80">
            <w:pPr>
              <w:ind w:firstLine="0"/>
              <w:jc w:val="center"/>
              <w:rPr>
                <w:rFonts w:eastAsia="Times New Roman" w:cs="Times New Roman"/>
                <w:b/>
                <w:i/>
                <w:color w:val="000000"/>
                <w:sz w:val="22"/>
                <w:lang w:eastAsia="ru-RU"/>
              </w:rPr>
            </w:pPr>
            <w:r w:rsidRPr="009E18B2">
              <w:rPr>
                <w:rFonts w:eastAsia="Times New Roman" w:cs="Times New Roman"/>
                <w:b/>
                <w:i/>
                <w:color w:val="000000"/>
                <w:sz w:val="22"/>
                <w:lang w:eastAsia="ru-RU"/>
              </w:rPr>
              <w:t>Вид (графический/семантический)</w:t>
            </w:r>
          </w:p>
        </w:tc>
        <w:tc>
          <w:tcPr>
            <w:tcW w:w="2876" w:type="dxa"/>
            <w:tcBorders>
              <w:top w:val="single" w:sz="4" w:space="0" w:color="auto"/>
              <w:left w:val="nil"/>
              <w:bottom w:val="single" w:sz="4" w:space="0" w:color="auto"/>
              <w:right w:val="single" w:sz="4" w:space="0" w:color="auto"/>
            </w:tcBorders>
            <w:shd w:val="clear" w:color="auto" w:fill="auto"/>
            <w:vAlign w:val="center"/>
            <w:hideMark/>
          </w:tcPr>
          <w:p w14:paraId="23415D73" w14:textId="77777777" w:rsidR="00DC5B80" w:rsidRPr="009E18B2" w:rsidRDefault="00DC5B80" w:rsidP="00DC5B80">
            <w:pPr>
              <w:ind w:firstLine="0"/>
              <w:jc w:val="center"/>
              <w:rPr>
                <w:rFonts w:eastAsia="Times New Roman" w:cs="Times New Roman"/>
                <w:b/>
                <w:i/>
                <w:color w:val="000000"/>
                <w:sz w:val="22"/>
                <w:lang w:eastAsia="ru-RU"/>
              </w:rPr>
            </w:pPr>
            <w:r w:rsidRPr="009E18B2">
              <w:rPr>
                <w:rFonts w:eastAsia="Times New Roman" w:cs="Times New Roman"/>
                <w:b/>
                <w:i/>
                <w:color w:val="000000"/>
                <w:sz w:val="22"/>
                <w:lang w:eastAsia="ru-RU"/>
              </w:rPr>
              <w:t>Единицы измерения</w:t>
            </w:r>
          </w:p>
        </w:tc>
      </w:tr>
      <w:tr w:rsidR="00DC5B80" w:rsidRPr="00DC5B80" w14:paraId="7CCC2166" w14:textId="77777777" w:rsidTr="006C45D3">
        <w:trPr>
          <w:trHeight w:val="20"/>
          <w:jc w:val="center"/>
        </w:trPr>
        <w:tc>
          <w:tcPr>
            <w:tcW w:w="522" w:type="dxa"/>
            <w:tcBorders>
              <w:top w:val="nil"/>
              <w:left w:val="single" w:sz="4" w:space="0" w:color="auto"/>
              <w:bottom w:val="single" w:sz="4" w:space="0" w:color="auto"/>
              <w:right w:val="single" w:sz="4" w:space="0" w:color="auto"/>
            </w:tcBorders>
            <w:shd w:val="clear" w:color="auto" w:fill="auto"/>
            <w:vAlign w:val="center"/>
            <w:hideMark/>
          </w:tcPr>
          <w:p w14:paraId="3C00898A" w14:textId="77777777" w:rsidR="00DC5B80" w:rsidRPr="00DC5B80" w:rsidRDefault="00DC5B80" w:rsidP="00DC5B80">
            <w:pPr>
              <w:ind w:firstLine="0"/>
              <w:jc w:val="center"/>
              <w:rPr>
                <w:rFonts w:eastAsia="Times New Roman" w:cs="Times New Roman"/>
                <w:color w:val="000000"/>
                <w:sz w:val="22"/>
                <w:lang w:eastAsia="ru-RU"/>
              </w:rPr>
            </w:pPr>
            <w:r w:rsidRPr="00DC5B80">
              <w:rPr>
                <w:rFonts w:eastAsia="Times New Roman" w:cs="Times New Roman"/>
                <w:color w:val="000000"/>
                <w:sz w:val="22"/>
                <w:lang w:eastAsia="ru-RU"/>
              </w:rPr>
              <w:t>1</w:t>
            </w:r>
          </w:p>
        </w:tc>
        <w:tc>
          <w:tcPr>
            <w:tcW w:w="3159" w:type="dxa"/>
            <w:tcBorders>
              <w:top w:val="nil"/>
              <w:left w:val="nil"/>
              <w:bottom w:val="single" w:sz="4" w:space="0" w:color="auto"/>
              <w:right w:val="single" w:sz="4" w:space="0" w:color="auto"/>
            </w:tcBorders>
            <w:shd w:val="clear" w:color="auto" w:fill="auto"/>
            <w:vAlign w:val="center"/>
            <w:hideMark/>
          </w:tcPr>
          <w:p w14:paraId="7BA957C2" w14:textId="77777777" w:rsidR="00DC5B80" w:rsidRPr="00DC5B80" w:rsidRDefault="00DC5B80" w:rsidP="00DC5B80">
            <w:pPr>
              <w:ind w:firstLine="0"/>
              <w:jc w:val="center"/>
              <w:rPr>
                <w:rFonts w:eastAsia="Times New Roman" w:cs="Times New Roman"/>
                <w:color w:val="000000"/>
                <w:sz w:val="22"/>
                <w:lang w:eastAsia="ru-RU"/>
              </w:rPr>
            </w:pPr>
            <w:r w:rsidRPr="00DC5B80">
              <w:rPr>
                <w:rFonts w:eastAsia="Times New Roman" w:cs="Times New Roman"/>
                <w:color w:val="000000"/>
                <w:sz w:val="22"/>
                <w:lang w:eastAsia="ru-RU"/>
              </w:rPr>
              <w:t>2</w:t>
            </w:r>
          </w:p>
        </w:tc>
        <w:tc>
          <w:tcPr>
            <w:tcW w:w="3211" w:type="dxa"/>
            <w:tcBorders>
              <w:top w:val="nil"/>
              <w:left w:val="nil"/>
              <w:bottom w:val="single" w:sz="4" w:space="0" w:color="auto"/>
              <w:right w:val="single" w:sz="4" w:space="0" w:color="auto"/>
            </w:tcBorders>
            <w:shd w:val="clear" w:color="auto" w:fill="auto"/>
            <w:vAlign w:val="center"/>
            <w:hideMark/>
          </w:tcPr>
          <w:p w14:paraId="2A98AB82" w14:textId="77777777" w:rsidR="00DC5B80" w:rsidRPr="00DC5B80" w:rsidRDefault="00DC5B80" w:rsidP="00DC5B80">
            <w:pPr>
              <w:ind w:firstLine="0"/>
              <w:jc w:val="center"/>
              <w:rPr>
                <w:rFonts w:eastAsia="Times New Roman" w:cs="Times New Roman"/>
                <w:color w:val="000000"/>
                <w:sz w:val="22"/>
                <w:lang w:eastAsia="ru-RU"/>
              </w:rPr>
            </w:pPr>
            <w:r w:rsidRPr="00DC5B80">
              <w:rPr>
                <w:rFonts w:eastAsia="Times New Roman" w:cs="Times New Roman"/>
                <w:color w:val="000000"/>
                <w:sz w:val="22"/>
                <w:lang w:eastAsia="ru-RU"/>
              </w:rPr>
              <w:t>3</w:t>
            </w:r>
          </w:p>
        </w:tc>
        <w:tc>
          <w:tcPr>
            <w:tcW w:w="2876" w:type="dxa"/>
            <w:tcBorders>
              <w:top w:val="nil"/>
              <w:left w:val="nil"/>
              <w:bottom w:val="single" w:sz="4" w:space="0" w:color="auto"/>
              <w:right w:val="single" w:sz="4" w:space="0" w:color="auto"/>
            </w:tcBorders>
            <w:shd w:val="clear" w:color="auto" w:fill="auto"/>
            <w:vAlign w:val="center"/>
            <w:hideMark/>
          </w:tcPr>
          <w:p w14:paraId="3DF861C9" w14:textId="77777777" w:rsidR="00DC5B80" w:rsidRPr="00DC5B80" w:rsidRDefault="00DC5B80" w:rsidP="00DC5B80">
            <w:pPr>
              <w:ind w:firstLine="0"/>
              <w:jc w:val="center"/>
              <w:rPr>
                <w:rFonts w:eastAsia="Times New Roman" w:cs="Times New Roman"/>
                <w:color w:val="000000"/>
                <w:sz w:val="22"/>
                <w:lang w:eastAsia="ru-RU"/>
              </w:rPr>
            </w:pPr>
            <w:r w:rsidRPr="00DC5B80">
              <w:rPr>
                <w:rFonts w:eastAsia="Times New Roman" w:cs="Times New Roman"/>
                <w:color w:val="000000"/>
                <w:sz w:val="22"/>
                <w:lang w:eastAsia="ru-RU"/>
              </w:rPr>
              <w:t>4</w:t>
            </w:r>
          </w:p>
        </w:tc>
      </w:tr>
      <w:tr w:rsidR="00DC5B80" w:rsidRPr="00DC5B80" w14:paraId="23BE586D" w14:textId="77777777" w:rsidTr="006C45D3">
        <w:trPr>
          <w:trHeight w:val="20"/>
          <w:jc w:val="center"/>
        </w:trPr>
        <w:tc>
          <w:tcPr>
            <w:tcW w:w="522" w:type="dxa"/>
            <w:tcBorders>
              <w:top w:val="nil"/>
              <w:left w:val="single" w:sz="4" w:space="0" w:color="auto"/>
              <w:bottom w:val="single" w:sz="4" w:space="0" w:color="auto"/>
              <w:right w:val="single" w:sz="4" w:space="0" w:color="auto"/>
            </w:tcBorders>
            <w:shd w:val="clear" w:color="auto" w:fill="auto"/>
            <w:vAlign w:val="center"/>
            <w:hideMark/>
          </w:tcPr>
          <w:p w14:paraId="3E2A4DE6" w14:textId="77777777" w:rsidR="00DC5B80" w:rsidRPr="00DC5B80" w:rsidRDefault="00DC5B80" w:rsidP="00DC5B80">
            <w:pPr>
              <w:ind w:firstLine="0"/>
              <w:jc w:val="center"/>
              <w:rPr>
                <w:rFonts w:eastAsia="Times New Roman" w:cs="Times New Roman"/>
                <w:color w:val="000000"/>
                <w:sz w:val="22"/>
                <w:lang w:eastAsia="ru-RU"/>
              </w:rPr>
            </w:pPr>
            <w:r w:rsidRPr="00DC5B80">
              <w:rPr>
                <w:rFonts w:eastAsia="Times New Roman" w:cs="Times New Roman"/>
                <w:color w:val="000000"/>
                <w:sz w:val="22"/>
                <w:lang w:eastAsia="ru-RU"/>
              </w:rPr>
              <w:t>1</w:t>
            </w:r>
          </w:p>
        </w:tc>
        <w:tc>
          <w:tcPr>
            <w:tcW w:w="3159" w:type="dxa"/>
            <w:tcBorders>
              <w:top w:val="nil"/>
              <w:left w:val="nil"/>
              <w:bottom w:val="single" w:sz="4" w:space="0" w:color="auto"/>
              <w:right w:val="single" w:sz="4" w:space="0" w:color="auto"/>
            </w:tcBorders>
            <w:shd w:val="clear" w:color="auto" w:fill="auto"/>
            <w:vAlign w:val="center"/>
            <w:hideMark/>
          </w:tcPr>
          <w:p w14:paraId="77FB5687" w14:textId="77777777" w:rsidR="00DC5B80" w:rsidRPr="00DC5B80" w:rsidRDefault="00DC5B80" w:rsidP="00DC5B80">
            <w:pPr>
              <w:ind w:firstLine="0"/>
              <w:jc w:val="left"/>
              <w:rPr>
                <w:rFonts w:eastAsia="Times New Roman" w:cs="Times New Roman"/>
                <w:color w:val="000000"/>
                <w:sz w:val="22"/>
                <w:lang w:eastAsia="ru-RU"/>
              </w:rPr>
            </w:pPr>
            <w:r w:rsidRPr="00DC5B80">
              <w:rPr>
                <w:rFonts w:eastAsia="Times New Roman" w:cs="Times New Roman"/>
                <w:color w:val="000000"/>
                <w:sz w:val="22"/>
                <w:lang w:eastAsia="ru-RU"/>
              </w:rPr>
              <w:t>Районы города (территориальное деление города)</w:t>
            </w:r>
          </w:p>
        </w:tc>
        <w:tc>
          <w:tcPr>
            <w:tcW w:w="3211" w:type="dxa"/>
            <w:tcBorders>
              <w:top w:val="nil"/>
              <w:left w:val="nil"/>
              <w:bottom w:val="single" w:sz="4" w:space="0" w:color="auto"/>
              <w:right w:val="single" w:sz="4" w:space="0" w:color="auto"/>
            </w:tcBorders>
            <w:shd w:val="clear" w:color="auto" w:fill="auto"/>
            <w:vAlign w:val="center"/>
            <w:hideMark/>
          </w:tcPr>
          <w:p w14:paraId="0033816B" w14:textId="77777777" w:rsidR="00DC5B80" w:rsidRPr="00DC5B80" w:rsidRDefault="00DC5B80" w:rsidP="00DC5B80">
            <w:pPr>
              <w:ind w:firstLine="0"/>
              <w:jc w:val="left"/>
              <w:rPr>
                <w:rFonts w:eastAsia="Times New Roman" w:cs="Times New Roman"/>
                <w:color w:val="000000"/>
                <w:sz w:val="22"/>
                <w:lang w:eastAsia="ru-RU"/>
              </w:rPr>
            </w:pPr>
            <w:r w:rsidRPr="00DC5B80">
              <w:rPr>
                <w:rFonts w:eastAsia="Times New Roman" w:cs="Times New Roman"/>
                <w:color w:val="000000"/>
                <w:sz w:val="22"/>
                <w:lang w:eastAsia="ru-RU"/>
              </w:rPr>
              <w:t>Графический</w:t>
            </w:r>
          </w:p>
        </w:tc>
        <w:tc>
          <w:tcPr>
            <w:tcW w:w="2876" w:type="dxa"/>
            <w:tcBorders>
              <w:top w:val="nil"/>
              <w:left w:val="nil"/>
              <w:bottom w:val="single" w:sz="4" w:space="0" w:color="auto"/>
              <w:right w:val="single" w:sz="4" w:space="0" w:color="auto"/>
            </w:tcBorders>
            <w:shd w:val="clear" w:color="auto" w:fill="auto"/>
            <w:vAlign w:val="center"/>
            <w:hideMark/>
          </w:tcPr>
          <w:p w14:paraId="52F88976" w14:textId="77777777" w:rsidR="00DC5B80" w:rsidRPr="00DC5B80" w:rsidRDefault="00DC5B80" w:rsidP="00DC5B80">
            <w:pPr>
              <w:ind w:firstLine="0"/>
              <w:jc w:val="left"/>
              <w:rPr>
                <w:rFonts w:eastAsia="Times New Roman" w:cs="Times New Roman"/>
                <w:color w:val="000000"/>
                <w:sz w:val="22"/>
                <w:lang w:eastAsia="ru-RU"/>
              </w:rPr>
            </w:pPr>
            <w:r w:rsidRPr="00DC5B80">
              <w:rPr>
                <w:rFonts w:eastAsia="Times New Roman" w:cs="Times New Roman"/>
                <w:color w:val="000000"/>
                <w:sz w:val="22"/>
                <w:lang w:eastAsia="ru-RU"/>
              </w:rPr>
              <w:t>м</w:t>
            </w:r>
          </w:p>
        </w:tc>
      </w:tr>
      <w:tr w:rsidR="00DC5B80" w:rsidRPr="00DC5B80" w14:paraId="6561B80A" w14:textId="77777777" w:rsidTr="006C45D3">
        <w:trPr>
          <w:trHeight w:val="20"/>
          <w:jc w:val="center"/>
        </w:trPr>
        <w:tc>
          <w:tcPr>
            <w:tcW w:w="522" w:type="dxa"/>
            <w:tcBorders>
              <w:top w:val="nil"/>
              <w:left w:val="single" w:sz="4" w:space="0" w:color="auto"/>
              <w:bottom w:val="single" w:sz="4" w:space="0" w:color="auto"/>
              <w:right w:val="single" w:sz="4" w:space="0" w:color="auto"/>
            </w:tcBorders>
            <w:shd w:val="clear" w:color="auto" w:fill="auto"/>
            <w:vAlign w:val="center"/>
            <w:hideMark/>
          </w:tcPr>
          <w:p w14:paraId="58530651" w14:textId="77777777" w:rsidR="00DC5B80" w:rsidRPr="00DC5B80" w:rsidRDefault="00DC5B80" w:rsidP="00DC5B80">
            <w:pPr>
              <w:ind w:firstLine="0"/>
              <w:jc w:val="center"/>
              <w:rPr>
                <w:rFonts w:eastAsia="Times New Roman" w:cs="Times New Roman"/>
                <w:color w:val="000000"/>
                <w:sz w:val="22"/>
                <w:lang w:eastAsia="ru-RU"/>
              </w:rPr>
            </w:pPr>
            <w:r w:rsidRPr="00DC5B80">
              <w:rPr>
                <w:rFonts w:eastAsia="Times New Roman" w:cs="Times New Roman"/>
                <w:color w:val="000000"/>
                <w:sz w:val="22"/>
                <w:lang w:eastAsia="ru-RU"/>
              </w:rPr>
              <w:t>2</w:t>
            </w:r>
          </w:p>
        </w:tc>
        <w:tc>
          <w:tcPr>
            <w:tcW w:w="3159" w:type="dxa"/>
            <w:tcBorders>
              <w:top w:val="nil"/>
              <w:left w:val="nil"/>
              <w:bottom w:val="single" w:sz="4" w:space="0" w:color="auto"/>
              <w:right w:val="single" w:sz="4" w:space="0" w:color="auto"/>
            </w:tcBorders>
            <w:shd w:val="clear" w:color="auto" w:fill="auto"/>
            <w:vAlign w:val="center"/>
            <w:hideMark/>
          </w:tcPr>
          <w:p w14:paraId="04263E86" w14:textId="77777777" w:rsidR="00DC5B80" w:rsidRPr="00DC5B80" w:rsidRDefault="00DC5B80" w:rsidP="00DC5B80">
            <w:pPr>
              <w:ind w:firstLine="0"/>
              <w:jc w:val="left"/>
              <w:rPr>
                <w:rFonts w:eastAsia="Times New Roman" w:cs="Times New Roman"/>
                <w:color w:val="000000"/>
                <w:sz w:val="22"/>
                <w:lang w:eastAsia="ru-RU"/>
              </w:rPr>
            </w:pPr>
            <w:r w:rsidRPr="00DC5B80">
              <w:rPr>
                <w:rFonts w:eastAsia="Times New Roman" w:cs="Times New Roman"/>
                <w:color w:val="000000"/>
                <w:sz w:val="22"/>
                <w:lang w:eastAsia="ru-RU"/>
              </w:rPr>
              <w:t>Наименование муниципального района, городского округа</w:t>
            </w:r>
          </w:p>
        </w:tc>
        <w:tc>
          <w:tcPr>
            <w:tcW w:w="3211" w:type="dxa"/>
            <w:tcBorders>
              <w:top w:val="nil"/>
              <w:left w:val="nil"/>
              <w:bottom w:val="single" w:sz="4" w:space="0" w:color="auto"/>
              <w:right w:val="single" w:sz="4" w:space="0" w:color="auto"/>
            </w:tcBorders>
            <w:shd w:val="clear" w:color="auto" w:fill="auto"/>
            <w:vAlign w:val="center"/>
            <w:hideMark/>
          </w:tcPr>
          <w:p w14:paraId="4A396023" w14:textId="77777777" w:rsidR="00DC5B80" w:rsidRPr="00DC5B80" w:rsidRDefault="00DC5B80" w:rsidP="00DC5B80">
            <w:pPr>
              <w:ind w:firstLine="0"/>
              <w:jc w:val="left"/>
              <w:rPr>
                <w:rFonts w:eastAsia="Times New Roman" w:cs="Times New Roman"/>
                <w:color w:val="000000"/>
                <w:sz w:val="22"/>
                <w:lang w:eastAsia="ru-RU"/>
              </w:rPr>
            </w:pPr>
            <w:r w:rsidRPr="00DC5B80">
              <w:rPr>
                <w:rFonts w:eastAsia="Times New Roman" w:cs="Times New Roman"/>
                <w:color w:val="000000"/>
                <w:sz w:val="22"/>
                <w:lang w:eastAsia="ru-RU"/>
              </w:rPr>
              <w:t>Семантический</w:t>
            </w:r>
          </w:p>
        </w:tc>
        <w:tc>
          <w:tcPr>
            <w:tcW w:w="2876" w:type="dxa"/>
            <w:tcBorders>
              <w:top w:val="nil"/>
              <w:left w:val="nil"/>
              <w:bottom w:val="single" w:sz="4" w:space="0" w:color="auto"/>
              <w:right w:val="single" w:sz="4" w:space="0" w:color="auto"/>
            </w:tcBorders>
            <w:shd w:val="clear" w:color="auto" w:fill="auto"/>
            <w:vAlign w:val="center"/>
            <w:hideMark/>
          </w:tcPr>
          <w:p w14:paraId="162A072B" w14:textId="1E7794CB" w:rsidR="00DC5B80" w:rsidRPr="00DC5B80" w:rsidRDefault="00DC5B80" w:rsidP="00DC5B80">
            <w:pPr>
              <w:ind w:firstLine="0"/>
              <w:jc w:val="left"/>
              <w:rPr>
                <w:rFonts w:eastAsia="Times New Roman" w:cs="Times New Roman"/>
                <w:color w:val="000000"/>
                <w:sz w:val="22"/>
                <w:lang w:eastAsia="ru-RU"/>
              </w:rPr>
            </w:pPr>
            <w:r w:rsidRPr="00DC5B80">
              <w:rPr>
                <w:rFonts w:eastAsia="Times New Roman" w:cs="Times New Roman"/>
                <w:color w:val="000000"/>
                <w:sz w:val="22"/>
                <w:lang w:eastAsia="ru-RU"/>
              </w:rPr>
              <w:t>Название</w:t>
            </w:r>
            <w:r>
              <w:rPr>
                <w:rFonts w:eastAsia="Times New Roman" w:cs="Times New Roman"/>
                <w:color w:val="000000"/>
                <w:sz w:val="22"/>
                <w:lang w:eastAsia="ru-RU"/>
              </w:rPr>
              <w:t xml:space="preserve"> </w:t>
            </w:r>
            <w:r w:rsidRPr="00DC5B80">
              <w:rPr>
                <w:rFonts w:eastAsia="Times New Roman" w:cs="Times New Roman"/>
                <w:color w:val="000000"/>
                <w:sz w:val="22"/>
                <w:lang w:eastAsia="ru-RU"/>
              </w:rPr>
              <w:t>МР или ГО</w:t>
            </w:r>
          </w:p>
        </w:tc>
      </w:tr>
      <w:tr w:rsidR="00DC5B80" w:rsidRPr="00DC5B80" w14:paraId="200C8768" w14:textId="77777777" w:rsidTr="006C45D3">
        <w:trPr>
          <w:trHeight w:val="20"/>
          <w:jc w:val="center"/>
        </w:trPr>
        <w:tc>
          <w:tcPr>
            <w:tcW w:w="522" w:type="dxa"/>
            <w:tcBorders>
              <w:top w:val="nil"/>
              <w:left w:val="single" w:sz="4" w:space="0" w:color="auto"/>
              <w:bottom w:val="single" w:sz="4" w:space="0" w:color="auto"/>
              <w:right w:val="single" w:sz="4" w:space="0" w:color="auto"/>
            </w:tcBorders>
            <w:shd w:val="clear" w:color="auto" w:fill="auto"/>
            <w:vAlign w:val="center"/>
            <w:hideMark/>
          </w:tcPr>
          <w:p w14:paraId="54526B43" w14:textId="77777777" w:rsidR="00DC5B80" w:rsidRPr="00DC5B80" w:rsidRDefault="00DC5B80" w:rsidP="00DC5B80">
            <w:pPr>
              <w:ind w:firstLine="0"/>
              <w:jc w:val="center"/>
              <w:rPr>
                <w:rFonts w:eastAsia="Times New Roman" w:cs="Times New Roman"/>
                <w:color w:val="000000"/>
                <w:sz w:val="22"/>
                <w:lang w:eastAsia="ru-RU"/>
              </w:rPr>
            </w:pPr>
            <w:r w:rsidRPr="00DC5B80">
              <w:rPr>
                <w:rFonts w:eastAsia="Times New Roman" w:cs="Times New Roman"/>
                <w:color w:val="000000"/>
                <w:sz w:val="22"/>
                <w:lang w:eastAsia="ru-RU"/>
              </w:rPr>
              <w:t>3</w:t>
            </w:r>
          </w:p>
        </w:tc>
        <w:tc>
          <w:tcPr>
            <w:tcW w:w="3159" w:type="dxa"/>
            <w:tcBorders>
              <w:top w:val="nil"/>
              <w:left w:val="nil"/>
              <w:bottom w:val="single" w:sz="4" w:space="0" w:color="auto"/>
              <w:right w:val="single" w:sz="4" w:space="0" w:color="auto"/>
            </w:tcBorders>
            <w:shd w:val="clear" w:color="auto" w:fill="auto"/>
            <w:vAlign w:val="center"/>
            <w:hideMark/>
          </w:tcPr>
          <w:p w14:paraId="78E9C7AC" w14:textId="77777777" w:rsidR="00DC5B80" w:rsidRPr="00DC5B80" w:rsidRDefault="00DC5B80" w:rsidP="00DC5B80">
            <w:pPr>
              <w:ind w:firstLine="0"/>
              <w:jc w:val="left"/>
              <w:rPr>
                <w:rFonts w:eastAsia="Times New Roman" w:cs="Times New Roman"/>
                <w:color w:val="000000"/>
                <w:sz w:val="22"/>
                <w:lang w:eastAsia="ru-RU"/>
              </w:rPr>
            </w:pPr>
            <w:r w:rsidRPr="00DC5B80">
              <w:rPr>
                <w:rFonts w:eastAsia="Times New Roman" w:cs="Times New Roman"/>
                <w:color w:val="000000"/>
                <w:sz w:val="22"/>
                <w:lang w:eastAsia="ru-RU"/>
              </w:rPr>
              <w:t>Населенный пункт</w:t>
            </w:r>
          </w:p>
        </w:tc>
        <w:tc>
          <w:tcPr>
            <w:tcW w:w="3211" w:type="dxa"/>
            <w:tcBorders>
              <w:top w:val="nil"/>
              <w:left w:val="nil"/>
              <w:bottom w:val="single" w:sz="4" w:space="0" w:color="auto"/>
              <w:right w:val="single" w:sz="4" w:space="0" w:color="auto"/>
            </w:tcBorders>
            <w:shd w:val="clear" w:color="auto" w:fill="auto"/>
            <w:vAlign w:val="center"/>
            <w:hideMark/>
          </w:tcPr>
          <w:p w14:paraId="3B9E05A0" w14:textId="77777777" w:rsidR="00DC5B80" w:rsidRPr="00DC5B80" w:rsidRDefault="00DC5B80" w:rsidP="00DC5B80">
            <w:pPr>
              <w:ind w:firstLine="0"/>
              <w:jc w:val="left"/>
              <w:rPr>
                <w:rFonts w:eastAsia="Times New Roman" w:cs="Times New Roman"/>
                <w:color w:val="000000"/>
                <w:sz w:val="22"/>
                <w:lang w:eastAsia="ru-RU"/>
              </w:rPr>
            </w:pPr>
            <w:r w:rsidRPr="00DC5B80">
              <w:rPr>
                <w:rFonts w:eastAsia="Times New Roman" w:cs="Times New Roman"/>
                <w:color w:val="000000"/>
                <w:sz w:val="22"/>
                <w:lang w:eastAsia="ru-RU"/>
              </w:rPr>
              <w:t>Семантический</w:t>
            </w:r>
          </w:p>
        </w:tc>
        <w:tc>
          <w:tcPr>
            <w:tcW w:w="2876" w:type="dxa"/>
            <w:tcBorders>
              <w:top w:val="nil"/>
              <w:left w:val="nil"/>
              <w:bottom w:val="single" w:sz="4" w:space="0" w:color="auto"/>
              <w:right w:val="single" w:sz="4" w:space="0" w:color="auto"/>
            </w:tcBorders>
            <w:shd w:val="clear" w:color="auto" w:fill="auto"/>
            <w:vAlign w:val="center"/>
            <w:hideMark/>
          </w:tcPr>
          <w:p w14:paraId="384A9395" w14:textId="77777777" w:rsidR="00DC5B80" w:rsidRPr="00DC5B80" w:rsidRDefault="00DC5B80" w:rsidP="00DC5B80">
            <w:pPr>
              <w:ind w:firstLine="0"/>
              <w:jc w:val="left"/>
              <w:rPr>
                <w:rFonts w:eastAsia="Times New Roman" w:cs="Times New Roman"/>
                <w:color w:val="000000"/>
                <w:sz w:val="22"/>
                <w:lang w:eastAsia="ru-RU"/>
              </w:rPr>
            </w:pPr>
            <w:r w:rsidRPr="00DC5B80">
              <w:rPr>
                <w:rFonts w:eastAsia="Times New Roman" w:cs="Times New Roman"/>
                <w:color w:val="000000"/>
                <w:sz w:val="22"/>
                <w:lang w:eastAsia="ru-RU"/>
              </w:rPr>
              <w:t>название НП</w:t>
            </w:r>
          </w:p>
        </w:tc>
      </w:tr>
      <w:tr w:rsidR="00DC5B80" w:rsidRPr="00DC5B80" w14:paraId="4EAAB088" w14:textId="77777777" w:rsidTr="006C45D3">
        <w:trPr>
          <w:trHeight w:val="20"/>
          <w:jc w:val="center"/>
        </w:trPr>
        <w:tc>
          <w:tcPr>
            <w:tcW w:w="522" w:type="dxa"/>
            <w:tcBorders>
              <w:top w:val="nil"/>
              <w:left w:val="single" w:sz="4" w:space="0" w:color="auto"/>
              <w:bottom w:val="single" w:sz="4" w:space="0" w:color="auto"/>
              <w:right w:val="single" w:sz="4" w:space="0" w:color="auto"/>
            </w:tcBorders>
            <w:shd w:val="clear" w:color="auto" w:fill="auto"/>
            <w:vAlign w:val="center"/>
            <w:hideMark/>
          </w:tcPr>
          <w:p w14:paraId="1BB3772D" w14:textId="77777777" w:rsidR="00DC5B80" w:rsidRPr="00DC5B80" w:rsidRDefault="00DC5B80" w:rsidP="00DC5B80">
            <w:pPr>
              <w:ind w:firstLine="0"/>
              <w:jc w:val="center"/>
              <w:rPr>
                <w:rFonts w:eastAsia="Times New Roman" w:cs="Times New Roman"/>
                <w:color w:val="000000"/>
                <w:sz w:val="22"/>
                <w:lang w:eastAsia="ru-RU"/>
              </w:rPr>
            </w:pPr>
            <w:r w:rsidRPr="00DC5B80">
              <w:rPr>
                <w:rFonts w:eastAsia="Times New Roman" w:cs="Times New Roman"/>
                <w:color w:val="000000"/>
                <w:sz w:val="22"/>
                <w:lang w:eastAsia="ru-RU"/>
              </w:rPr>
              <w:t>4</w:t>
            </w:r>
          </w:p>
        </w:tc>
        <w:tc>
          <w:tcPr>
            <w:tcW w:w="3159" w:type="dxa"/>
            <w:tcBorders>
              <w:top w:val="nil"/>
              <w:left w:val="nil"/>
              <w:bottom w:val="single" w:sz="4" w:space="0" w:color="auto"/>
              <w:right w:val="single" w:sz="4" w:space="0" w:color="auto"/>
            </w:tcBorders>
            <w:shd w:val="clear" w:color="auto" w:fill="auto"/>
            <w:vAlign w:val="center"/>
            <w:hideMark/>
          </w:tcPr>
          <w:p w14:paraId="4EEFBD62" w14:textId="77777777" w:rsidR="00DC5B80" w:rsidRPr="00DC5B80" w:rsidRDefault="00DC5B80" w:rsidP="00DC5B80">
            <w:pPr>
              <w:ind w:firstLine="0"/>
              <w:jc w:val="left"/>
              <w:rPr>
                <w:rFonts w:eastAsia="Times New Roman" w:cs="Times New Roman"/>
                <w:color w:val="000000"/>
                <w:sz w:val="22"/>
                <w:lang w:eastAsia="ru-RU"/>
              </w:rPr>
            </w:pPr>
            <w:r w:rsidRPr="00DC5B80">
              <w:rPr>
                <w:rFonts w:eastAsia="Times New Roman" w:cs="Times New Roman"/>
                <w:color w:val="000000"/>
                <w:sz w:val="22"/>
                <w:lang w:eastAsia="ru-RU"/>
              </w:rPr>
              <w:t>Расстояние от населенного пункта до столицы субъекта РФ</w:t>
            </w:r>
          </w:p>
        </w:tc>
        <w:tc>
          <w:tcPr>
            <w:tcW w:w="3211" w:type="dxa"/>
            <w:tcBorders>
              <w:top w:val="nil"/>
              <w:left w:val="nil"/>
              <w:bottom w:val="single" w:sz="4" w:space="0" w:color="auto"/>
              <w:right w:val="single" w:sz="4" w:space="0" w:color="auto"/>
            </w:tcBorders>
            <w:shd w:val="clear" w:color="auto" w:fill="auto"/>
            <w:vAlign w:val="center"/>
            <w:hideMark/>
          </w:tcPr>
          <w:p w14:paraId="5E412FBE" w14:textId="77777777" w:rsidR="00DC5B80" w:rsidRPr="00DC5B80" w:rsidRDefault="00DC5B80" w:rsidP="00DC5B80">
            <w:pPr>
              <w:ind w:firstLine="0"/>
              <w:jc w:val="left"/>
              <w:rPr>
                <w:rFonts w:eastAsia="Times New Roman" w:cs="Times New Roman"/>
                <w:color w:val="000000"/>
                <w:sz w:val="22"/>
                <w:lang w:eastAsia="ru-RU"/>
              </w:rPr>
            </w:pPr>
            <w:r w:rsidRPr="00DC5B80">
              <w:rPr>
                <w:rFonts w:eastAsia="Times New Roman" w:cs="Times New Roman"/>
                <w:color w:val="000000"/>
                <w:sz w:val="22"/>
                <w:lang w:eastAsia="ru-RU"/>
              </w:rPr>
              <w:t>Семантический</w:t>
            </w:r>
          </w:p>
        </w:tc>
        <w:tc>
          <w:tcPr>
            <w:tcW w:w="2876" w:type="dxa"/>
            <w:tcBorders>
              <w:top w:val="nil"/>
              <w:left w:val="nil"/>
              <w:bottom w:val="single" w:sz="4" w:space="0" w:color="auto"/>
              <w:right w:val="single" w:sz="4" w:space="0" w:color="auto"/>
            </w:tcBorders>
            <w:shd w:val="clear" w:color="auto" w:fill="auto"/>
            <w:vAlign w:val="center"/>
            <w:hideMark/>
          </w:tcPr>
          <w:p w14:paraId="05D16F62" w14:textId="77777777" w:rsidR="00DC5B80" w:rsidRPr="00DC5B80" w:rsidRDefault="00DC5B80" w:rsidP="00DC5B80">
            <w:pPr>
              <w:ind w:firstLine="0"/>
              <w:jc w:val="left"/>
              <w:rPr>
                <w:rFonts w:eastAsia="Times New Roman" w:cs="Times New Roman"/>
                <w:color w:val="000000"/>
                <w:sz w:val="22"/>
                <w:lang w:eastAsia="ru-RU"/>
              </w:rPr>
            </w:pPr>
            <w:r w:rsidRPr="00DC5B80">
              <w:rPr>
                <w:rFonts w:eastAsia="Times New Roman" w:cs="Times New Roman"/>
                <w:color w:val="000000"/>
                <w:sz w:val="22"/>
                <w:lang w:eastAsia="ru-RU"/>
              </w:rPr>
              <w:t>км.</w:t>
            </w:r>
          </w:p>
        </w:tc>
      </w:tr>
      <w:tr w:rsidR="00DC5B80" w:rsidRPr="00DC5B80" w14:paraId="772B9E2F" w14:textId="77777777" w:rsidTr="006C45D3">
        <w:trPr>
          <w:trHeight w:val="20"/>
          <w:jc w:val="center"/>
        </w:trPr>
        <w:tc>
          <w:tcPr>
            <w:tcW w:w="522" w:type="dxa"/>
            <w:tcBorders>
              <w:top w:val="nil"/>
              <w:left w:val="single" w:sz="4" w:space="0" w:color="auto"/>
              <w:bottom w:val="single" w:sz="4" w:space="0" w:color="auto"/>
              <w:right w:val="single" w:sz="4" w:space="0" w:color="auto"/>
            </w:tcBorders>
            <w:shd w:val="clear" w:color="auto" w:fill="auto"/>
            <w:vAlign w:val="center"/>
            <w:hideMark/>
          </w:tcPr>
          <w:p w14:paraId="05433883" w14:textId="77777777" w:rsidR="00DC5B80" w:rsidRPr="00DC5B80" w:rsidRDefault="00DC5B80" w:rsidP="00DC5B80">
            <w:pPr>
              <w:ind w:firstLine="0"/>
              <w:jc w:val="center"/>
              <w:rPr>
                <w:rFonts w:eastAsia="Times New Roman" w:cs="Times New Roman"/>
                <w:color w:val="000000"/>
                <w:sz w:val="22"/>
                <w:lang w:eastAsia="ru-RU"/>
              </w:rPr>
            </w:pPr>
            <w:r w:rsidRPr="00DC5B80">
              <w:rPr>
                <w:rFonts w:eastAsia="Times New Roman" w:cs="Times New Roman"/>
                <w:color w:val="000000"/>
                <w:sz w:val="22"/>
                <w:lang w:eastAsia="ru-RU"/>
              </w:rPr>
              <w:t>5</w:t>
            </w:r>
          </w:p>
        </w:tc>
        <w:tc>
          <w:tcPr>
            <w:tcW w:w="3159" w:type="dxa"/>
            <w:tcBorders>
              <w:top w:val="nil"/>
              <w:left w:val="nil"/>
              <w:bottom w:val="single" w:sz="4" w:space="0" w:color="auto"/>
              <w:right w:val="single" w:sz="4" w:space="0" w:color="auto"/>
            </w:tcBorders>
            <w:shd w:val="clear" w:color="auto" w:fill="auto"/>
            <w:vAlign w:val="center"/>
            <w:hideMark/>
          </w:tcPr>
          <w:p w14:paraId="7EDBAAAA" w14:textId="77777777" w:rsidR="00DC5B80" w:rsidRPr="00DC5B80" w:rsidRDefault="00DC5B80" w:rsidP="00DC5B80">
            <w:pPr>
              <w:ind w:firstLine="0"/>
              <w:jc w:val="left"/>
              <w:rPr>
                <w:rFonts w:eastAsia="Times New Roman" w:cs="Times New Roman"/>
                <w:color w:val="000000"/>
                <w:sz w:val="22"/>
                <w:lang w:eastAsia="ru-RU"/>
              </w:rPr>
            </w:pPr>
            <w:r w:rsidRPr="00DC5B80">
              <w:rPr>
                <w:rFonts w:eastAsia="Times New Roman" w:cs="Times New Roman"/>
                <w:color w:val="000000"/>
                <w:sz w:val="22"/>
                <w:lang w:eastAsia="ru-RU"/>
              </w:rPr>
              <w:t>Расстояние от населенного пункта до центра муниципального района, городского округа</w:t>
            </w:r>
          </w:p>
        </w:tc>
        <w:tc>
          <w:tcPr>
            <w:tcW w:w="3211" w:type="dxa"/>
            <w:tcBorders>
              <w:top w:val="nil"/>
              <w:left w:val="nil"/>
              <w:bottom w:val="single" w:sz="4" w:space="0" w:color="auto"/>
              <w:right w:val="single" w:sz="4" w:space="0" w:color="auto"/>
            </w:tcBorders>
            <w:shd w:val="clear" w:color="auto" w:fill="auto"/>
            <w:vAlign w:val="center"/>
            <w:hideMark/>
          </w:tcPr>
          <w:p w14:paraId="4C2F3AFC" w14:textId="77777777" w:rsidR="00DC5B80" w:rsidRPr="00DC5B80" w:rsidRDefault="00DC5B80" w:rsidP="00DC5B80">
            <w:pPr>
              <w:ind w:firstLine="0"/>
              <w:jc w:val="left"/>
              <w:rPr>
                <w:rFonts w:eastAsia="Times New Roman" w:cs="Times New Roman"/>
                <w:color w:val="000000"/>
                <w:sz w:val="22"/>
                <w:lang w:eastAsia="ru-RU"/>
              </w:rPr>
            </w:pPr>
            <w:r w:rsidRPr="00DC5B80">
              <w:rPr>
                <w:rFonts w:eastAsia="Times New Roman" w:cs="Times New Roman"/>
                <w:color w:val="000000"/>
                <w:sz w:val="22"/>
                <w:lang w:eastAsia="ru-RU"/>
              </w:rPr>
              <w:t>Семантический</w:t>
            </w:r>
          </w:p>
        </w:tc>
        <w:tc>
          <w:tcPr>
            <w:tcW w:w="2876" w:type="dxa"/>
            <w:tcBorders>
              <w:top w:val="nil"/>
              <w:left w:val="nil"/>
              <w:bottom w:val="single" w:sz="4" w:space="0" w:color="auto"/>
              <w:right w:val="single" w:sz="4" w:space="0" w:color="auto"/>
            </w:tcBorders>
            <w:shd w:val="clear" w:color="auto" w:fill="auto"/>
            <w:vAlign w:val="center"/>
            <w:hideMark/>
          </w:tcPr>
          <w:p w14:paraId="4AF6BFDF" w14:textId="77777777" w:rsidR="00DC5B80" w:rsidRPr="00DC5B80" w:rsidRDefault="00DC5B80" w:rsidP="00DC5B80">
            <w:pPr>
              <w:ind w:firstLine="0"/>
              <w:jc w:val="left"/>
              <w:rPr>
                <w:rFonts w:eastAsia="Times New Roman" w:cs="Times New Roman"/>
                <w:color w:val="000000"/>
                <w:sz w:val="22"/>
                <w:lang w:eastAsia="ru-RU"/>
              </w:rPr>
            </w:pPr>
            <w:r w:rsidRPr="00DC5B80">
              <w:rPr>
                <w:rFonts w:eastAsia="Times New Roman" w:cs="Times New Roman"/>
                <w:color w:val="000000"/>
                <w:sz w:val="22"/>
                <w:lang w:eastAsia="ru-RU"/>
              </w:rPr>
              <w:t>км.</w:t>
            </w:r>
          </w:p>
        </w:tc>
      </w:tr>
      <w:tr w:rsidR="00DC5B80" w:rsidRPr="00DC5B80" w14:paraId="37FB0B19" w14:textId="77777777" w:rsidTr="006C45D3">
        <w:trPr>
          <w:trHeight w:val="20"/>
          <w:jc w:val="center"/>
        </w:trPr>
        <w:tc>
          <w:tcPr>
            <w:tcW w:w="522" w:type="dxa"/>
            <w:tcBorders>
              <w:top w:val="nil"/>
              <w:left w:val="single" w:sz="4" w:space="0" w:color="auto"/>
              <w:bottom w:val="single" w:sz="4" w:space="0" w:color="auto"/>
              <w:right w:val="single" w:sz="4" w:space="0" w:color="auto"/>
            </w:tcBorders>
            <w:shd w:val="clear" w:color="auto" w:fill="auto"/>
            <w:vAlign w:val="center"/>
            <w:hideMark/>
          </w:tcPr>
          <w:p w14:paraId="5F60588C" w14:textId="77777777" w:rsidR="00DC5B80" w:rsidRPr="00DC5B80" w:rsidRDefault="00DC5B80" w:rsidP="00DC5B80">
            <w:pPr>
              <w:ind w:firstLine="0"/>
              <w:jc w:val="center"/>
              <w:rPr>
                <w:rFonts w:eastAsia="Times New Roman" w:cs="Times New Roman"/>
                <w:color w:val="000000"/>
                <w:sz w:val="22"/>
                <w:lang w:eastAsia="ru-RU"/>
              </w:rPr>
            </w:pPr>
            <w:r w:rsidRPr="00DC5B80">
              <w:rPr>
                <w:rFonts w:eastAsia="Times New Roman" w:cs="Times New Roman"/>
                <w:color w:val="000000"/>
                <w:sz w:val="22"/>
                <w:lang w:eastAsia="ru-RU"/>
              </w:rPr>
              <w:t>6</w:t>
            </w:r>
          </w:p>
        </w:tc>
        <w:tc>
          <w:tcPr>
            <w:tcW w:w="3159" w:type="dxa"/>
            <w:tcBorders>
              <w:top w:val="nil"/>
              <w:left w:val="nil"/>
              <w:bottom w:val="single" w:sz="4" w:space="0" w:color="auto"/>
              <w:right w:val="single" w:sz="4" w:space="0" w:color="auto"/>
            </w:tcBorders>
            <w:shd w:val="clear" w:color="auto" w:fill="auto"/>
            <w:vAlign w:val="center"/>
            <w:hideMark/>
          </w:tcPr>
          <w:p w14:paraId="0E31ED38" w14:textId="77777777" w:rsidR="00DC5B80" w:rsidRPr="00DC5B80" w:rsidRDefault="00DC5B80" w:rsidP="00DC5B80">
            <w:pPr>
              <w:ind w:firstLine="0"/>
              <w:jc w:val="left"/>
              <w:rPr>
                <w:rFonts w:eastAsia="Times New Roman" w:cs="Times New Roman"/>
                <w:color w:val="000000"/>
                <w:sz w:val="22"/>
                <w:lang w:eastAsia="ru-RU"/>
              </w:rPr>
            </w:pPr>
            <w:r w:rsidRPr="00DC5B80">
              <w:rPr>
                <w:rFonts w:eastAsia="Times New Roman" w:cs="Times New Roman"/>
                <w:color w:val="000000"/>
                <w:sz w:val="22"/>
                <w:lang w:eastAsia="ru-RU"/>
              </w:rPr>
              <w:t>Расстояние от объекта до административного центра населенного пункта</w:t>
            </w:r>
          </w:p>
        </w:tc>
        <w:tc>
          <w:tcPr>
            <w:tcW w:w="3211" w:type="dxa"/>
            <w:tcBorders>
              <w:top w:val="nil"/>
              <w:left w:val="nil"/>
              <w:bottom w:val="single" w:sz="4" w:space="0" w:color="auto"/>
              <w:right w:val="single" w:sz="4" w:space="0" w:color="auto"/>
            </w:tcBorders>
            <w:shd w:val="clear" w:color="auto" w:fill="auto"/>
            <w:vAlign w:val="center"/>
            <w:hideMark/>
          </w:tcPr>
          <w:p w14:paraId="2C664893" w14:textId="77777777" w:rsidR="00DC5B80" w:rsidRPr="00DC5B80" w:rsidRDefault="00DC5B80" w:rsidP="00DC5B80">
            <w:pPr>
              <w:ind w:firstLine="0"/>
              <w:jc w:val="left"/>
              <w:rPr>
                <w:rFonts w:eastAsia="Times New Roman" w:cs="Times New Roman"/>
                <w:color w:val="000000"/>
                <w:sz w:val="22"/>
                <w:lang w:eastAsia="ru-RU"/>
              </w:rPr>
            </w:pPr>
            <w:r w:rsidRPr="00DC5B80">
              <w:rPr>
                <w:rFonts w:eastAsia="Times New Roman" w:cs="Times New Roman"/>
                <w:color w:val="000000"/>
                <w:sz w:val="22"/>
                <w:lang w:eastAsia="ru-RU"/>
              </w:rPr>
              <w:t>Графический</w:t>
            </w:r>
          </w:p>
        </w:tc>
        <w:tc>
          <w:tcPr>
            <w:tcW w:w="2876" w:type="dxa"/>
            <w:tcBorders>
              <w:top w:val="nil"/>
              <w:left w:val="nil"/>
              <w:bottom w:val="single" w:sz="4" w:space="0" w:color="auto"/>
              <w:right w:val="single" w:sz="4" w:space="0" w:color="auto"/>
            </w:tcBorders>
            <w:shd w:val="clear" w:color="auto" w:fill="auto"/>
            <w:vAlign w:val="center"/>
            <w:hideMark/>
          </w:tcPr>
          <w:p w14:paraId="6AFAF0F6" w14:textId="77777777" w:rsidR="00DC5B80" w:rsidRPr="00DC5B80" w:rsidRDefault="00DC5B80" w:rsidP="00DC5B80">
            <w:pPr>
              <w:ind w:firstLine="0"/>
              <w:jc w:val="left"/>
              <w:rPr>
                <w:rFonts w:eastAsia="Times New Roman" w:cs="Times New Roman"/>
                <w:color w:val="000000"/>
                <w:sz w:val="22"/>
                <w:lang w:eastAsia="ru-RU"/>
              </w:rPr>
            </w:pPr>
            <w:r w:rsidRPr="00DC5B80">
              <w:rPr>
                <w:rFonts w:eastAsia="Times New Roman" w:cs="Times New Roman"/>
                <w:color w:val="000000"/>
                <w:sz w:val="22"/>
                <w:lang w:eastAsia="ru-RU"/>
              </w:rPr>
              <w:t> </w:t>
            </w:r>
          </w:p>
        </w:tc>
      </w:tr>
      <w:tr w:rsidR="00DC5B80" w:rsidRPr="00DC5B80" w14:paraId="120DCBFF" w14:textId="77777777" w:rsidTr="006C45D3">
        <w:trPr>
          <w:trHeight w:val="20"/>
          <w:jc w:val="center"/>
        </w:trPr>
        <w:tc>
          <w:tcPr>
            <w:tcW w:w="522" w:type="dxa"/>
            <w:tcBorders>
              <w:top w:val="nil"/>
              <w:left w:val="single" w:sz="4" w:space="0" w:color="auto"/>
              <w:bottom w:val="single" w:sz="4" w:space="0" w:color="auto"/>
              <w:right w:val="single" w:sz="4" w:space="0" w:color="auto"/>
            </w:tcBorders>
            <w:shd w:val="clear" w:color="auto" w:fill="auto"/>
            <w:vAlign w:val="center"/>
            <w:hideMark/>
          </w:tcPr>
          <w:p w14:paraId="34E59021" w14:textId="77777777" w:rsidR="00DC5B80" w:rsidRPr="00DC5B80" w:rsidRDefault="00DC5B80" w:rsidP="00DC5B80">
            <w:pPr>
              <w:ind w:firstLine="0"/>
              <w:jc w:val="center"/>
              <w:rPr>
                <w:rFonts w:eastAsia="Times New Roman" w:cs="Times New Roman"/>
                <w:color w:val="000000"/>
                <w:sz w:val="22"/>
                <w:lang w:eastAsia="ru-RU"/>
              </w:rPr>
            </w:pPr>
            <w:r w:rsidRPr="00DC5B80">
              <w:rPr>
                <w:rFonts w:eastAsia="Times New Roman" w:cs="Times New Roman"/>
                <w:color w:val="000000"/>
                <w:sz w:val="22"/>
                <w:lang w:eastAsia="ru-RU"/>
              </w:rPr>
              <w:t>7</w:t>
            </w:r>
          </w:p>
        </w:tc>
        <w:tc>
          <w:tcPr>
            <w:tcW w:w="3159" w:type="dxa"/>
            <w:tcBorders>
              <w:top w:val="nil"/>
              <w:left w:val="nil"/>
              <w:bottom w:val="single" w:sz="4" w:space="0" w:color="auto"/>
              <w:right w:val="single" w:sz="4" w:space="0" w:color="auto"/>
            </w:tcBorders>
            <w:shd w:val="clear" w:color="auto" w:fill="auto"/>
            <w:vAlign w:val="center"/>
            <w:hideMark/>
          </w:tcPr>
          <w:p w14:paraId="65D717DB" w14:textId="77777777" w:rsidR="00DC5B80" w:rsidRPr="00DC5B80" w:rsidRDefault="00DC5B80" w:rsidP="00DC5B80">
            <w:pPr>
              <w:ind w:firstLine="0"/>
              <w:jc w:val="left"/>
              <w:rPr>
                <w:rFonts w:eastAsia="Times New Roman" w:cs="Times New Roman"/>
                <w:color w:val="000000"/>
                <w:sz w:val="22"/>
                <w:lang w:eastAsia="ru-RU"/>
              </w:rPr>
            </w:pPr>
            <w:r w:rsidRPr="00DC5B80">
              <w:rPr>
                <w:rFonts w:eastAsia="Times New Roman" w:cs="Times New Roman"/>
                <w:color w:val="000000"/>
                <w:sz w:val="22"/>
                <w:lang w:eastAsia="ru-RU"/>
              </w:rPr>
              <w:t>Близость к водным объектам</w:t>
            </w:r>
          </w:p>
        </w:tc>
        <w:tc>
          <w:tcPr>
            <w:tcW w:w="3211" w:type="dxa"/>
            <w:tcBorders>
              <w:top w:val="nil"/>
              <w:left w:val="nil"/>
              <w:bottom w:val="single" w:sz="4" w:space="0" w:color="auto"/>
              <w:right w:val="single" w:sz="4" w:space="0" w:color="auto"/>
            </w:tcBorders>
            <w:shd w:val="clear" w:color="auto" w:fill="auto"/>
            <w:vAlign w:val="center"/>
            <w:hideMark/>
          </w:tcPr>
          <w:p w14:paraId="07BB0C8C" w14:textId="77777777" w:rsidR="00DC5B80" w:rsidRPr="00DC5B80" w:rsidRDefault="00DC5B80" w:rsidP="00DC5B80">
            <w:pPr>
              <w:ind w:firstLine="0"/>
              <w:jc w:val="left"/>
              <w:rPr>
                <w:rFonts w:eastAsia="Times New Roman" w:cs="Times New Roman"/>
                <w:color w:val="000000"/>
                <w:sz w:val="22"/>
                <w:lang w:eastAsia="ru-RU"/>
              </w:rPr>
            </w:pPr>
            <w:r w:rsidRPr="00DC5B80">
              <w:rPr>
                <w:rFonts w:eastAsia="Times New Roman" w:cs="Times New Roman"/>
                <w:color w:val="000000"/>
                <w:sz w:val="22"/>
                <w:lang w:eastAsia="ru-RU"/>
              </w:rPr>
              <w:t>Графический/ Семантический</w:t>
            </w:r>
          </w:p>
        </w:tc>
        <w:tc>
          <w:tcPr>
            <w:tcW w:w="2876" w:type="dxa"/>
            <w:tcBorders>
              <w:top w:val="nil"/>
              <w:left w:val="nil"/>
              <w:bottom w:val="single" w:sz="4" w:space="0" w:color="auto"/>
              <w:right w:val="single" w:sz="4" w:space="0" w:color="auto"/>
            </w:tcBorders>
            <w:shd w:val="clear" w:color="auto" w:fill="auto"/>
            <w:vAlign w:val="center"/>
            <w:hideMark/>
          </w:tcPr>
          <w:p w14:paraId="2DDCFE20" w14:textId="77777777" w:rsidR="00DC5B80" w:rsidRPr="00DC5B80" w:rsidRDefault="00DC5B80" w:rsidP="00DC5B80">
            <w:pPr>
              <w:ind w:firstLine="0"/>
              <w:jc w:val="left"/>
              <w:rPr>
                <w:rFonts w:eastAsia="Times New Roman" w:cs="Times New Roman"/>
                <w:color w:val="000000"/>
                <w:sz w:val="22"/>
                <w:lang w:eastAsia="ru-RU"/>
              </w:rPr>
            </w:pPr>
            <w:r w:rsidRPr="00DC5B80">
              <w:rPr>
                <w:rFonts w:eastAsia="Times New Roman" w:cs="Times New Roman"/>
                <w:color w:val="000000"/>
                <w:sz w:val="22"/>
                <w:lang w:eastAsia="ru-RU"/>
              </w:rPr>
              <w:t>км.</w:t>
            </w:r>
          </w:p>
        </w:tc>
      </w:tr>
      <w:tr w:rsidR="00DC5B80" w:rsidRPr="00DC5B80" w14:paraId="47469178" w14:textId="77777777" w:rsidTr="006C45D3">
        <w:trPr>
          <w:trHeight w:val="20"/>
          <w:jc w:val="center"/>
        </w:trPr>
        <w:tc>
          <w:tcPr>
            <w:tcW w:w="522" w:type="dxa"/>
            <w:tcBorders>
              <w:top w:val="nil"/>
              <w:left w:val="single" w:sz="4" w:space="0" w:color="auto"/>
              <w:bottom w:val="single" w:sz="4" w:space="0" w:color="auto"/>
              <w:right w:val="single" w:sz="4" w:space="0" w:color="auto"/>
            </w:tcBorders>
            <w:shd w:val="clear" w:color="auto" w:fill="auto"/>
            <w:vAlign w:val="center"/>
            <w:hideMark/>
          </w:tcPr>
          <w:p w14:paraId="3657BC38" w14:textId="77777777" w:rsidR="00DC5B80" w:rsidRPr="00DC5B80" w:rsidRDefault="00DC5B80" w:rsidP="00DC5B80">
            <w:pPr>
              <w:ind w:firstLine="0"/>
              <w:jc w:val="center"/>
              <w:rPr>
                <w:rFonts w:eastAsia="Times New Roman" w:cs="Times New Roman"/>
                <w:color w:val="000000"/>
                <w:sz w:val="22"/>
                <w:lang w:eastAsia="ru-RU"/>
              </w:rPr>
            </w:pPr>
            <w:r w:rsidRPr="00DC5B80">
              <w:rPr>
                <w:rFonts w:eastAsia="Times New Roman" w:cs="Times New Roman"/>
                <w:color w:val="000000"/>
                <w:sz w:val="22"/>
                <w:lang w:eastAsia="ru-RU"/>
              </w:rPr>
              <w:t>8</w:t>
            </w:r>
          </w:p>
        </w:tc>
        <w:tc>
          <w:tcPr>
            <w:tcW w:w="3159" w:type="dxa"/>
            <w:tcBorders>
              <w:top w:val="nil"/>
              <w:left w:val="nil"/>
              <w:bottom w:val="single" w:sz="4" w:space="0" w:color="auto"/>
              <w:right w:val="single" w:sz="4" w:space="0" w:color="auto"/>
            </w:tcBorders>
            <w:shd w:val="clear" w:color="auto" w:fill="auto"/>
            <w:vAlign w:val="center"/>
            <w:hideMark/>
          </w:tcPr>
          <w:p w14:paraId="5EDC8E3A" w14:textId="77777777" w:rsidR="00DC5B80" w:rsidRPr="00DC5B80" w:rsidRDefault="00DC5B80" w:rsidP="00DC5B80">
            <w:pPr>
              <w:ind w:firstLine="0"/>
              <w:jc w:val="left"/>
              <w:rPr>
                <w:rFonts w:eastAsia="Times New Roman" w:cs="Times New Roman"/>
                <w:color w:val="000000"/>
                <w:sz w:val="22"/>
                <w:lang w:eastAsia="ru-RU"/>
              </w:rPr>
            </w:pPr>
            <w:r w:rsidRPr="00DC5B80">
              <w:rPr>
                <w:rFonts w:eastAsia="Times New Roman" w:cs="Times New Roman"/>
                <w:color w:val="000000"/>
                <w:sz w:val="22"/>
                <w:lang w:eastAsia="ru-RU"/>
              </w:rPr>
              <w:t>Расстояние до ближайшей из основных дорог города</w:t>
            </w:r>
          </w:p>
        </w:tc>
        <w:tc>
          <w:tcPr>
            <w:tcW w:w="3211" w:type="dxa"/>
            <w:tcBorders>
              <w:top w:val="nil"/>
              <w:left w:val="nil"/>
              <w:bottom w:val="single" w:sz="4" w:space="0" w:color="auto"/>
              <w:right w:val="single" w:sz="4" w:space="0" w:color="auto"/>
            </w:tcBorders>
            <w:shd w:val="clear" w:color="auto" w:fill="auto"/>
            <w:vAlign w:val="center"/>
            <w:hideMark/>
          </w:tcPr>
          <w:p w14:paraId="4E4937C3" w14:textId="77777777" w:rsidR="00DC5B80" w:rsidRPr="00DC5B80" w:rsidRDefault="00DC5B80" w:rsidP="00DC5B80">
            <w:pPr>
              <w:ind w:firstLine="0"/>
              <w:jc w:val="left"/>
              <w:rPr>
                <w:rFonts w:eastAsia="Times New Roman" w:cs="Times New Roman"/>
                <w:color w:val="000000"/>
                <w:sz w:val="22"/>
                <w:lang w:eastAsia="ru-RU"/>
              </w:rPr>
            </w:pPr>
            <w:r w:rsidRPr="00DC5B80">
              <w:rPr>
                <w:rFonts w:eastAsia="Times New Roman" w:cs="Times New Roman"/>
                <w:color w:val="000000"/>
                <w:sz w:val="22"/>
                <w:lang w:eastAsia="ru-RU"/>
              </w:rPr>
              <w:t>Графический</w:t>
            </w:r>
          </w:p>
        </w:tc>
        <w:tc>
          <w:tcPr>
            <w:tcW w:w="2876" w:type="dxa"/>
            <w:tcBorders>
              <w:top w:val="nil"/>
              <w:left w:val="nil"/>
              <w:bottom w:val="single" w:sz="4" w:space="0" w:color="auto"/>
              <w:right w:val="single" w:sz="4" w:space="0" w:color="auto"/>
            </w:tcBorders>
            <w:shd w:val="clear" w:color="auto" w:fill="auto"/>
            <w:vAlign w:val="center"/>
            <w:hideMark/>
          </w:tcPr>
          <w:p w14:paraId="69ED14DF" w14:textId="77777777" w:rsidR="00DC5B80" w:rsidRPr="00DC5B80" w:rsidRDefault="00DC5B80" w:rsidP="00DC5B80">
            <w:pPr>
              <w:ind w:firstLine="0"/>
              <w:jc w:val="left"/>
              <w:rPr>
                <w:rFonts w:eastAsia="Times New Roman" w:cs="Times New Roman"/>
                <w:color w:val="000000"/>
                <w:sz w:val="22"/>
                <w:lang w:eastAsia="ru-RU"/>
              </w:rPr>
            </w:pPr>
            <w:r w:rsidRPr="00DC5B80">
              <w:rPr>
                <w:rFonts w:eastAsia="Times New Roman" w:cs="Times New Roman"/>
                <w:color w:val="000000"/>
                <w:sz w:val="22"/>
                <w:lang w:eastAsia="ru-RU"/>
              </w:rPr>
              <w:t>м</w:t>
            </w:r>
          </w:p>
        </w:tc>
      </w:tr>
      <w:tr w:rsidR="00DC5B80" w:rsidRPr="00DC5B80" w14:paraId="0A44CD12" w14:textId="77777777" w:rsidTr="006C45D3">
        <w:trPr>
          <w:trHeight w:val="20"/>
          <w:jc w:val="center"/>
        </w:trPr>
        <w:tc>
          <w:tcPr>
            <w:tcW w:w="522" w:type="dxa"/>
            <w:tcBorders>
              <w:top w:val="nil"/>
              <w:left w:val="single" w:sz="4" w:space="0" w:color="auto"/>
              <w:bottom w:val="single" w:sz="4" w:space="0" w:color="auto"/>
              <w:right w:val="single" w:sz="4" w:space="0" w:color="auto"/>
            </w:tcBorders>
            <w:shd w:val="clear" w:color="auto" w:fill="auto"/>
            <w:vAlign w:val="center"/>
            <w:hideMark/>
          </w:tcPr>
          <w:p w14:paraId="794775FE" w14:textId="77777777" w:rsidR="00DC5B80" w:rsidRPr="00DC5B80" w:rsidRDefault="00DC5B80" w:rsidP="00DC5B80">
            <w:pPr>
              <w:ind w:firstLine="0"/>
              <w:jc w:val="center"/>
              <w:rPr>
                <w:rFonts w:eastAsia="Times New Roman" w:cs="Times New Roman"/>
                <w:color w:val="000000"/>
                <w:sz w:val="22"/>
                <w:lang w:eastAsia="ru-RU"/>
              </w:rPr>
            </w:pPr>
            <w:r w:rsidRPr="00DC5B80">
              <w:rPr>
                <w:rFonts w:eastAsia="Times New Roman" w:cs="Times New Roman"/>
                <w:color w:val="000000"/>
                <w:sz w:val="22"/>
                <w:lang w:eastAsia="ru-RU"/>
              </w:rPr>
              <w:t>9</w:t>
            </w:r>
          </w:p>
        </w:tc>
        <w:tc>
          <w:tcPr>
            <w:tcW w:w="3159" w:type="dxa"/>
            <w:tcBorders>
              <w:top w:val="nil"/>
              <w:left w:val="nil"/>
              <w:bottom w:val="single" w:sz="4" w:space="0" w:color="auto"/>
              <w:right w:val="single" w:sz="4" w:space="0" w:color="auto"/>
            </w:tcBorders>
            <w:shd w:val="clear" w:color="auto" w:fill="auto"/>
            <w:vAlign w:val="center"/>
            <w:hideMark/>
          </w:tcPr>
          <w:p w14:paraId="45868377" w14:textId="77777777" w:rsidR="00DC5B80" w:rsidRPr="00DC5B80" w:rsidRDefault="00DC5B80" w:rsidP="00DC5B80">
            <w:pPr>
              <w:ind w:firstLine="0"/>
              <w:jc w:val="left"/>
              <w:rPr>
                <w:rFonts w:eastAsia="Times New Roman" w:cs="Times New Roman"/>
                <w:color w:val="000000"/>
                <w:sz w:val="22"/>
                <w:lang w:eastAsia="ru-RU"/>
              </w:rPr>
            </w:pPr>
            <w:r w:rsidRPr="00DC5B80">
              <w:rPr>
                <w:rFonts w:eastAsia="Times New Roman" w:cs="Times New Roman"/>
                <w:color w:val="000000"/>
                <w:sz w:val="22"/>
                <w:lang w:eastAsia="ru-RU"/>
              </w:rPr>
              <w:t>Центральное электроснабжение</w:t>
            </w:r>
          </w:p>
        </w:tc>
        <w:tc>
          <w:tcPr>
            <w:tcW w:w="3211" w:type="dxa"/>
            <w:tcBorders>
              <w:top w:val="nil"/>
              <w:left w:val="nil"/>
              <w:bottom w:val="single" w:sz="4" w:space="0" w:color="auto"/>
              <w:right w:val="single" w:sz="4" w:space="0" w:color="auto"/>
            </w:tcBorders>
            <w:shd w:val="clear" w:color="auto" w:fill="auto"/>
            <w:vAlign w:val="center"/>
            <w:hideMark/>
          </w:tcPr>
          <w:p w14:paraId="546E3F2D" w14:textId="77777777" w:rsidR="00DC5B80" w:rsidRPr="00DC5B80" w:rsidRDefault="00DC5B80" w:rsidP="00DC5B80">
            <w:pPr>
              <w:ind w:firstLine="0"/>
              <w:jc w:val="left"/>
              <w:rPr>
                <w:rFonts w:eastAsia="Times New Roman" w:cs="Times New Roman"/>
                <w:color w:val="000000"/>
                <w:sz w:val="22"/>
                <w:lang w:eastAsia="ru-RU"/>
              </w:rPr>
            </w:pPr>
            <w:r w:rsidRPr="00DC5B80">
              <w:rPr>
                <w:rFonts w:eastAsia="Times New Roman" w:cs="Times New Roman"/>
                <w:color w:val="000000"/>
                <w:sz w:val="22"/>
                <w:lang w:eastAsia="ru-RU"/>
              </w:rPr>
              <w:t>Графический</w:t>
            </w:r>
          </w:p>
        </w:tc>
        <w:tc>
          <w:tcPr>
            <w:tcW w:w="2876" w:type="dxa"/>
            <w:tcBorders>
              <w:top w:val="nil"/>
              <w:left w:val="nil"/>
              <w:bottom w:val="single" w:sz="4" w:space="0" w:color="auto"/>
              <w:right w:val="single" w:sz="4" w:space="0" w:color="auto"/>
            </w:tcBorders>
            <w:shd w:val="clear" w:color="auto" w:fill="auto"/>
            <w:vAlign w:val="center"/>
            <w:hideMark/>
          </w:tcPr>
          <w:p w14:paraId="247A7E1C" w14:textId="77777777" w:rsidR="00DC5B80" w:rsidRPr="00DC5B80" w:rsidRDefault="00DC5B80" w:rsidP="00DC5B80">
            <w:pPr>
              <w:ind w:firstLine="0"/>
              <w:jc w:val="left"/>
              <w:rPr>
                <w:rFonts w:eastAsia="Times New Roman" w:cs="Times New Roman"/>
                <w:color w:val="000000"/>
                <w:sz w:val="22"/>
                <w:lang w:eastAsia="ru-RU"/>
              </w:rPr>
            </w:pPr>
            <w:r w:rsidRPr="00DC5B80">
              <w:rPr>
                <w:rFonts w:eastAsia="Times New Roman" w:cs="Times New Roman"/>
                <w:color w:val="000000"/>
                <w:sz w:val="22"/>
                <w:lang w:eastAsia="ru-RU"/>
              </w:rPr>
              <w:t>да/нет</w:t>
            </w:r>
          </w:p>
        </w:tc>
      </w:tr>
      <w:tr w:rsidR="00DC5B80" w:rsidRPr="00DC5B80" w14:paraId="3FF955F5" w14:textId="77777777" w:rsidTr="006C45D3">
        <w:trPr>
          <w:trHeight w:val="20"/>
          <w:jc w:val="center"/>
        </w:trPr>
        <w:tc>
          <w:tcPr>
            <w:tcW w:w="522" w:type="dxa"/>
            <w:tcBorders>
              <w:top w:val="nil"/>
              <w:left w:val="single" w:sz="4" w:space="0" w:color="auto"/>
              <w:bottom w:val="single" w:sz="4" w:space="0" w:color="auto"/>
              <w:right w:val="single" w:sz="4" w:space="0" w:color="auto"/>
            </w:tcBorders>
            <w:shd w:val="clear" w:color="auto" w:fill="auto"/>
            <w:vAlign w:val="center"/>
            <w:hideMark/>
          </w:tcPr>
          <w:p w14:paraId="0C7BD74D" w14:textId="77777777" w:rsidR="00DC5B80" w:rsidRPr="00DC5B80" w:rsidRDefault="00DC5B80" w:rsidP="00DC5B80">
            <w:pPr>
              <w:ind w:firstLine="0"/>
              <w:jc w:val="center"/>
              <w:rPr>
                <w:rFonts w:eastAsia="Times New Roman" w:cs="Times New Roman"/>
                <w:color w:val="000000"/>
                <w:sz w:val="22"/>
                <w:lang w:eastAsia="ru-RU"/>
              </w:rPr>
            </w:pPr>
            <w:r w:rsidRPr="00DC5B80">
              <w:rPr>
                <w:rFonts w:eastAsia="Times New Roman" w:cs="Times New Roman"/>
                <w:color w:val="000000"/>
                <w:sz w:val="22"/>
                <w:lang w:eastAsia="ru-RU"/>
              </w:rPr>
              <w:t>10</w:t>
            </w:r>
          </w:p>
        </w:tc>
        <w:tc>
          <w:tcPr>
            <w:tcW w:w="3159" w:type="dxa"/>
            <w:tcBorders>
              <w:top w:val="nil"/>
              <w:left w:val="nil"/>
              <w:bottom w:val="single" w:sz="4" w:space="0" w:color="auto"/>
              <w:right w:val="single" w:sz="4" w:space="0" w:color="auto"/>
            </w:tcBorders>
            <w:shd w:val="clear" w:color="auto" w:fill="auto"/>
            <w:vAlign w:val="center"/>
            <w:hideMark/>
          </w:tcPr>
          <w:p w14:paraId="05FF5B73" w14:textId="77777777" w:rsidR="00DC5B80" w:rsidRPr="00DC5B80" w:rsidRDefault="00DC5B80" w:rsidP="00DC5B80">
            <w:pPr>
              <w:ind w:firstLine="0"/>
              <w:jc w:val="left"/>
              <w:rPr>
                <w:rFonts w:eastAsia="Times New Roman" w:cs="Times New Roman"/>
                <w:color w:val="000000"/>
                <w:sz w:val="22"/>
                <w:lang w:eastAsia="ru-RU"/>
              </w:rPr>
            </w:pPr>
            <w:r w:rsidRPr="00DC5B80">
              <w:rPr>
                <w:rFonts w:eastAsia="Times New Roman" w:cs="Times New Roman"/>
                <w:color w:val="000000"/>
                <w:sz w:val="22"/>
                <w:lang w:eastAsia="ru-RU"/>
              </w:rPr>
              <w:t>Центральное водоснабжение</w:t>
            </w:r>
          </w:p>
        </w:tc>
        <w:tc>
          <w:tcPr>
            <w:tcW w:w="3211" w:type="dxa"/>
            <w:tcBorders>
              <w:top w:val="nil"/>
              <w:left w:val="nil"/>
              <w:bottom w:val="single" w:sz="4" w:space="0" w:color="auto"/>
              <w:right w:val="single" w:sz="4" w:space="0" w:color="auto"/>
            </w:tcBorders>
            <w:shd w:val="clear" w:color="auto" w:fill="auto"/>
            <w:vAlign w:val="center"/>
            <w:hideMark/>
          </w:tcPr>
          <w:p w14:paraId="30640047" w14:textId="77777777" w:rsidR="00DC5B80" w:rsidRPr="00DC5B80" w:rsidRDefault="00DC5B80" w:rsidP="00DC5B80">
            <w:pPr>
              <w:ind w:firstLine="0"/>
              <w:jc w:val="left"/>
              <w:rPr>
                <w:rFonts w:eastAsia="Times New Roman" w:cs="Times New Roman"/>
                <w:color w:val="000000"/>
                <w:sz w:val="22"/>
                <w:lang w:eastAsia="ru-RU"/>
              </w:rPr>
            </w:pPr>
            <w:r w:rsidRPr="00DC5B80">
              <w:rPr>
                <w:rFonts w:eastAsia="Times New Roman" w:cs="Times New Roman"/>
                <w:color w:val="000000"/>
                <w:sz w:val="22"/>
                <w:lang w:eastAsia="ru-RU"/>
              </w:rPr>
              <w:t>Графический</w:t>
            </w:r>
          </w:p>
        </w:tc>
        <w:tc>
          <w:tcPr>
            <w:tcW w:w="2876" w:type="dxa"/>
            <w:tcBorders>
              <w:top w:val="nil"/>
              <w:left w:val="nil"/>
              <w:bottom w:val="single" w:sz="4" w:space="0" w:color="auto"/>
              <w:right w:val="single" w:sz="4" w:space="0" w:color="auto"/>
            </w:tcBorders>
            <w:shd w:val="clear" w:color="auto" w:fill="auto"/>
            <w:vAlign w:val="center"/>
            <w:hideMark/>
          </w:tcPr>
          <w:p w14:paraId="076B71CC" w14:textId="77777777" w:rsidR="00DC5B80" w:rsidRPr="00DC5B80" w:rsidRDefault="00DC5B80" w:rsidP="00DC5B80">
            <w:pPr>
              <w:ind w:firstLine="0"/>
              <w:jc w:val="left"/>
              <w:rPr>
                <w:rFonts w:eastAsia="Times New Roman" w:cs="Times New Roman"/>
                <w:color w:val="000000"/>
                <w:sz w:val="22"/>
                <w:lang w:eastAsia="ru-RU"/>
              </w:rPr>
            </w:pPr>
            <w:r w:rsidRPr="00DC5B80">
              <w:rPr>
                <w:rFonts w:eastAsia="Times New Roman" w:cs="Times New Roman"/>
                <w:color w:val="000000"/>
                <w:sz w:val="22"/>
                <w:lang w:eastAsia="ru-RU"/>
              </w:rPr>
              <w:t>да/нет</w:t>
            </w:r>
          </w:p>
        </w:tc>
      </w:tr>
      <w:tr w:rsidR="00DC5B80" w:rsidRPr="00DC5B80" w14:paraId="21C154AA" w14:textId="77777777" w:rsidTr="006C45D3">
        <w:trPr>
          <w:trHeight w:val="20"/>
          <w:jc w:val="center"/>
        </w:trPr>
        <w:tc>
          <w:tcPr>
            <w:tcW w:w="522" w:type="dxa"/>
            <w:tcBorders>
              <w:top w:val="nil"/>
              <w:left w:val="single" w:sz="4" w:space="0" w:color="auto"/>
              <w:bottom w:val="single" w:sz="4" w:space="0" w:color="auto"/>
              <w:right w:val="single" w:sz="4" w:space="0" w:color="auto"/>
            </w:tcBorders>
            <w:shd w:val="clear" w:color="auto" w:fill="auto"/>
            <w:vAlign w:val="center"/>
            <w:hideMark/>
          </w:tcPr>
          <w:p w14:paraId="5B637058" w14:textId="77777777" w:rsidR="00DC5B80" w:rsidRPr="00DC5B80" w:rsidRDefault="00DC5B80" w:rsidP="00DC5B80">
            <w:pPr>
              <w:ind w:firstLine="0"/>
              <w:jc w:val="center"/>
              <w:rPr>
                <w:rFonts w:eastAsia="Times New Roman" w:cs="Times New Roman"/>
                <w:color w:val="000000"/>
                <w:sz w:val="22"/>
                <w:lang w:eastAsia="ru-RU"/>
              </w:rPr>
            </w:pPr>
            <w:r w:rsidRPr="00DC5B80">
              <w:rPr>
                <w:rFonts w:eastAsia="Times New Roman" w:cs="Times New Roman"/>
                <w:color w:val="000000"/>
                <w:sz w:val="22"/>
                <w:lang w:eastAsia="ru-RU"/>
              </w:rPr>
              <w:t>11</w:t>
            </w:r>
          </w:p>
        </w:tc>
        <w:tc>
          <w:tcPr>
            <w:tcW w:w="3159" w:type="dxa"/>
            <w:tcBorders>
              <w:top w:val="nil"/>
              <w:left w:val="nil"/>
              <w:bottom w:val="single" w:sz="4" w:space="0" w:color="auto"/>
              <w:right w:val="single" w:sz="4" w:space="0" w:color="auto"/>
            </w:tcBorders>
            <w:shd w:val="clear" w:color="auto" w:fill="auto"/>
            <w:vAlign w:val="center"/>
            <w:hideMark/>
          </w:tcPr>
          <w:p w14:paraId="10D9BFBB" w14:textId="77777777" w:rsidR="00DC5B80" w:rsidRPr="00DC5B80" w:rsidRDefault="00DC5B80" w:rsidP="00DC5B80">
            <w:pPr>
              <w:ind w:firstLine="0"/>
              <w:jc w:val="left"/>
              <w:rPr>
                <w:rFonts w:eastAsia="Times New Roman" w:cs="Times New Roman"/>
                <w:color w:val="000000"/>
                <w:sz w:val="22"/>
                <w:lang w:eastAsia="ru-RU"/>
              </w:rPr>
            </w:pPr>
            <w:r w:rsidRPr="00DC5B80">
              <w:rPr>
                <w:rFonts w:eastAsia="Times New Roman" w:cs="Times New Roman"/>
                <w:color w:val="000000"/>
                <w:sz w:val="22"/>
                <w:lang w:eastAsia="ru-RU"/>
              </w:rPr>
              <w:t>Центральная канализация</w:t>
            </w:r>
          </w:p>
        </w:tc>
        <w:tc>
          <w:tcPr>
            <w:tcW w:w="3211" w:type="dxa"/>
            <w:tcBorders>
              <w:top w:val="nil"/>
              <w:left w:val="nil"/>
              <w:bottom w:val="single" w:sz="4" w:space="0" w:color="auto"/>
              <w:right w:val="single" w:sz="4" w:space="0" w:color="auto"/>
            </w:tcBorders>
            <w:shd w:val="clear" w:color="auto" w:fill="auto"/>
            <w:vAlign w:val="center"/>
            <w:hideMark/>
          </w:tcPr>
          <w:p w14:paraId="0C9D21A8" w14:textId="77777777" w:rsidR="00DC5B80" w:rsidRPr="00DC5B80" w:rsidRDefault="00DC5B80" w:rsidP="00DC5B80">
            <w:pPr>
              <w:ind w:firstLine="0"/>
              <w:jc w:val="left"/>
              <w:rPr>
                <w:rFonts w:eastAsia="Times New Roman" w:cs="Times New Roman"/>
                <w:color w:val="000000"/>
                <w:sz w:val="22"/>
                <w:lang w:eastAsia="ru-RU"/>
              </w:rPr>
            </w:pPr>
            <w:r w:rsidRPr="00DC5B80">
              <w:rPr>
                <w:rFonts w:eastAsia="Times New Roman" w:cs="Times New Roman"/>
                <w:color w:val="000000"/>
                <w:sz w:val="22"/>
                <w:lang w:eastAsia="ru-RU"/>
              </w:rPr>
              <w:t>Графический</w:t>
            </w:r>
          </w:p>
        </w:tc>
        <w:tc>
          <w:tcPr>
            <w:tcW w:w="2876" w:type="dxa"/>
            <w:tcBorders>
              <w:top w:val="nil"/>
              <w:left w:val="nil"/>
              <w:bottom w:val="single" w:sz="4" w:space="0" w:color="auto"/>
              <w:right w:val="single" w:sz="4" w:space="0" w:color="auto"/>
            </w:tcBorders>
            <w:shd w:val="clear" w:color="auto" w:fill="auto"/>
            <w:vAlign w:val="center"/>
            <w:hideMark/>
          </w:tcPr>
          <w:p w14:paraId="0320F0C5" w14:textId="77777777" w:rsidR="00DC5B80" w:rsidRPr="00DC5B80" w:rsidRDefault="00DC5B80" w:rsidP="00DC5B80">
            <w:pPr>
              <w:ind w:firstLine="0"/>
              <w:jc w:val="left"/>
              <w:rPr>
                <w:rFonts w:eastAsia="Times New Roman" w:cs="Times New Roman"/>
                <w:color w:val="000000"/>
                <w:sz w:val="22"/>
                <w:lang w:eastAsia="ru-RU"/>
              </w:rPr>
            </w:pPr>
            <w:r w:rsidRPr="00DC5B80">
              <w:rPr>
                <w:rFonts w:eastAsia="Times New Roman" w:cs="Times New Roman"/>
                <w:color w:val="000000"/>
                <w:sz w:val="22"/>
                <w:lang w:eastAsia="ru-RU"/>
              </w:rPr>
              <w:t>да/нет</w:t>
            </w:r>
          </w:p>
        </w:tc>
      </w:tr>
      <w:tr w:rsidR="00DC5B80" w:rsidRPr="00DC5B80" w14:paraId="5EE55FE2" w14:textId="77777777" w:rsidTr="006C45D3">
        <w:trPr>
          <w:trHeight w:val="20"/>
          <w:jc w:val="center"/>
        </w:trPr>
        <w:tc>
          <w:tcPr>
            <w:tcW w:w="522" w:type="dxa"/>
            <w:tcBorders>
              <w:top w:val="nil"/>
              <w:left w:val="single" w:sz="4" w:space="0" w:color="auto"/>
              <w:bottom w:val="single" w:sz="4" w:space="0" w:color="auto"/>
              <w:right w:val="single" w:sz="4" w:space="0" w:color="auto"/>
            </w:tcBorders>
            <w:shd w:val="clear" w:color="auto" w:fill="auto"/>
            <w:vAlign w:val="center"/>
            <w:hideMark/>
          </w:tcPr>
          <w:p w14:paraId="10D9BFDA" w14:textId="77777777" w:rsidR="00DC5B80" w:rsidRPr="00DC5B80" w:rsidRDefault="00DC5B80" w:rsidP="00DC5B80">
            <w:pPr>
              <w:ind w:firstLine="0"/>
              <w:jc w:val="center"/>
              <w:rPr>
                <w:rFonts w:eastAsia="Times New Roman" w:cs="Times New Roman"/>
                <w:color w:val="000000"/>
                <w:sz w:val="22"/>
                <w:lang w:eastAsia="ru-RU"/>
              </w:rPr>
            </w:pPr>
            <w:r w:rsidRPr="00DC5B80">
              <w:rPr>
                <w:rFonts w:eastAsia="Times New Roman" w:cs="Times New Roman"/>
                <w:color w:val="000000"/>
                <w:sz w:val="22"/>
                <w:lang w:eastAsia="ru-RU"/>
              </w:rPr>
              <w:t>12</w:t>
            </w:r>
          </w:p>
        </w:tc>
        <w:tc>
          <w:tcPr>
            <w:tcW w:w="3159" w:type="dxa"/>
            <w:tcBorders>
              <w:top w:val="nil"/>
              <w:left w:val="nil"/>
              <w:bottom w:val="single" w:sz="4" w:space="0" w:color="auto"/>
              <w:right w:val="single" w:sz="4" w:space="0" w:color="auto"/>
            </w:tcBorders>
            <w:shd w:val="clear" w:color="auto" w:fill="auto"/>
            <w:vAlign w:val="center"/>
            <w:hideMark/>
          </w:tcPr>
          <w:p w14:paraId="0CA1BA42" w14:textId="77777777" w:rsidR="00DC5B80" w:rsidRPr="00DC5B80" w:rsidRDefault="00DC5B80" w:rsidP="00DC5B80">
            <w:pPr>
              <w:ind w:firstLine="0"/>
              <w:jc w:val="left"/>
              <w:rPr>
                <w:rFonts w:eastAsia="Times New Roman" w:cs="Times New Roman"/>
                <w:color w:val="000000"/>
                <w:sz w:val="22"/>
                <w:lang w:eastAsia="ru-RU"/>
              </w:rPr>
            </w:pPr>
            <w:r w:rsidRPr="00DC5B80">
              <w:rPr>
                <w:rFonts w:eastAsia="Times New Roman" w:cs="Times New Roman"/>
                <w:color w:val="000000"/>
                <w:sz w:val="22"/>
                <w:lang w:eastAsia="ru-RU"/>
              </w:rPr>
              <w:t>Центральное теплоснабжение</w:t>
            </w:r>
          </w:p>
        </w:tc>
        <w:tc>
          <w:tcPr>
            <w:tcW w:w="3211" w:type="dxa"/>
            <w:tcBorders>
              <w:top w:val="nil"/>
              <w:left w:val="nil"/>
              <w:bottom w:val="single" w:sz="4" w:space="0" w:color="auto"/>
              <w:right w:val="single" w:sz="4" w:space="0" w:color="auto"/>
            </w:tcBorders>
            <w:shd w:val="clear" w:color="auto" w:fill="auto"/>
            <w:vAlign w:val="center"/>
            <w:hideMark/>
          </w:tcPr>
          <w:p w14:paraId="337321F6" w14:textId="77777777" w:rsidR="00DC5B80" w:rsidRPr="00DC5B80" w:rsidRDefault="00DC5B80" w:rsidP="00DC5B80">
            <w:pPr>
              <w:ind w:firstLine="0"/>
              <w:jc w:val="left"/>
              <w:rPr>
                <w:rFonts w:eastAsia="Times New Roman" w:cs="Times New Roman"/>
                <w:color w:val="000000"/>
                <w:sz w:val="22"/>
                <w:lang w:eastAsia="ru-RU"/>
              </w:rPr>
            </w:pPr>
            <w:r w:rsidRPr="00DC5B80">
              <w:rPr>
                <w:rFonts w:eastAsia="Times New Roman" w:cs="Times New Roman"/>
                <w:color w:val="000000"/>
                <w:sz w:val="22"/>
                <w:lang w:eastAsia="ru-RU"/>
              </w:rPr>
              <w:t>Графический</w:t>
            </w:r>
          </w:p>
        </w:tc>
        <w:tc>
          <w:tcPr>
            <w:tcW w:w="2876" w:type="dxa"/>
            <w:tcBorders>
              <w:top w:val="nil"/>
              <w:left w:val="nil"/>
              <w:bottom w:val="single" w:sz="4" w:space="0" w:color="auto"/>
              <w:right w:val="single" w:sz="4" w:space="0" w:color="auto"/>
            </w:tcBorders>
            <w:shd w:val="clear" w:color="auto" w:fill="auto"/>
            <w:vAlign w:val="center"/>
            <w:hideMark/>
          </w:tcPr>
          <w:p w14:paraId="62EAA5BE" w14:textId="77777777" w:rsidR="00DC5B80" w:rsidRPr="00DC5B80" w:rsidRDefault="00DC5B80" w:rsidP="00DC5B80">
            <w:pPr>
              <w:ind w:firstLine="0"/>
              <w:jc w:val="left"/>
              <w:rPr>
                <w:rFonts w:eastAsia="Times New Roman" w:cs="Times New Roman"/>
                <w:color w:val="000000"/>
                <w:sz w:val="22"/>
                <w:lang w:eastAsia="ru-RU"/>
              </w:rPr>
            </w:pPr>
            <w:r w:rsidRPr="00DC5B80">
              <w:rPr>
                <w:rFonts w:eastAsia="Times New Roman" w:cs="Times New Roman"/>
                <w:color w:val="000000"/>
                <w:sz w:val="22"/>
                <w:lang w:eastAsia="ru-RU"/>
              </w:rPr>
              <w:t>да/нет</w:t>
            </w:r>
          </w:p>
        </w:tc>
      </w:tr>
      <w:tr w:rsidR="00DC5B80" w:rsidRPr="00DC5B80" w14:paraId="180DD39D" w14:textId="77777777" w:rsidTr="006C45D3">
        <w:trPr>
          <w:trHeight w:val="20"/>
          <w:jc w:val="center"/>
        </w:trPr>
        <w:tc>
          <w:tcPr>
            <w:tcW w:w="522" w:type="dxa"/>
            <w:tcBorders>
              <w:top w:val="nil"/>
              <w:left w:val="single" w:sz="4" w:space="0" w:color="auto"/>
              <w:bottom w:val="single" w:sz="4" w:space="0" w:color="auto"/>
              <w:right w:val="single" w:sz="4" w:space="0" w:color="auto"/>
            </w:tcBorders>
            <w:shd w:val="clear" w:color="auto" w:fill="auto"/>
            <w:vAlign w:val="center"/>
            <w:hideMark/>
          </w:tcPr>
          <w:p w14:paraId="209C5697" w14:textId="77777777" w:rsidR="00DC5B80" w:rsidRPr="00DC5B80" w:rsidRDefault="00DC5B80" w:rsidP="00DC5B80">
            <w:pPr>
              <w:ind w:firstLine="0"/>
              <w:jc w:val="center"/>
              <w:rPr>
                <w:rFonts w:eastAsia="Times New Roman" w:cs="Times New Roman"/>
                <w:color w:val="000000"/>
                <w:sz w:val="22"/>
                <w:lang w:eastAsia="ru-RU"/>
              </w:rPr>
            </w:pPr>
            <w:r w:rsidRPr="00DC5B80">
              <w:rPr>
                <w:rFonts w:eastAsia="Times New Roman" w:cs="Times New Roman"/>
                <w:color w:val="000000"/>
                <w:sz w:val="22"/>
                <w:lang w:eastAsia="ru-RU"/>
              </w:rPr>
              <w:t>13</w:t>
            </w:r>
          </w:p>
        </w:tc>
        <w:tc>
          <w:tcPr>
            <w:tcW w:w="3159" w:type="dxa"/>
            <w:tcBorders>
              <w:top w:val="nil"/>
              <w:left w:val="nil"/>
              <w:bottom w:val="single" w:sz="4" w:space="0" w:color="auto"/>
              <w:right w:val="single" w:sz="4" w:space="0" w:color="auto"/>
            </w:tcBorders>
            <w:shd w:val="clear" w:color="auto" w:fill="auto"/>
            <w:vAlign w:val="center"/>
            <w:hideMark/>
          </w:tcPr>
          <w:p w14:paraId="28B2B181" w14:textId="77777777" w:rsidR="00DC5B80" w:rsidRPr="00DC5B80" w:rsidRDefault="00DC5B80" w:rsidP="00DC5B80">
            <w:pPr>
              <w:ind w:firstLine="0"/>
              <w:jc w:val="left"/>
              <w:rPr>
                <w:rFonts w:eastAsia="Times New Roman" w:cs="Times New Roman"/>
                <w:color w:val="000000"/>
                <w:sz w:val="22"/>
                <w:lang w:eastAsia="ru-RU"/>
              </w:rPr>
            </w:pPr>
            <w:r w:rsidRPr="00DC5B80">
              <w:rPr>
                <w:rFonts w:eastAsia="Times New Roman" w:cs="Times New Roman"/>
                <w:color w:val="000000"/>
                <w:sz w:val="22"/>
                <w:lang w:eastAsia="ru-RU"/>
              </w:rPr>
              <w:t>Центральное газоснабжение</w:t>
            </w:r>
          </w:p>
        </w:tc>
        <w:tc>
          <w:tcPr>
            <w:tcW w:w="3211" w:type="dxa"/>
            <w:tcBorders>
              <w:top w:val="nil"/>
              <w:left w:val="nil"/>
              <w:bottom w:val="single" w:sz="4" w:space="0" w:color="auto"/>
              <w:right w:val="single" w:sz="4" w:space="0" w:color="auto"/>
            </w:tcBorders>
            <w:shd w:val="clear" w:color="auto" w:fill="auto"/>
            <w:vAlign w:val="center"/>
            <w:hideMark/>
          </w:tcPr>
          <w:p w14:paraId="6A5062C0" w14:textId="77777777" w:rsidR="00DC5B80" w:rsidRPr="00DC5B80" w:rsidRDefault="00DC5B80" w:rsidP="00DC5B80">
            <w:pPr>
              <w:ind w:firstLine="0"/>
              <w:jc w:val="left"/>
              <w:rPr>
                <w:rFonts w:eastAsia="Times New Roman" w:cs="Times New Roman"/>
                <w:color w:val="000000"/>
                <w:sz w:val="22"/>
                <w:lang w:eastAsia="ru-RU"/>
              </w:rPr>
            </w:pPr>
            <w:r w:rsidRPr="00DC5B80">
              <w:rPr>
                <w:rFonts w:eastAsia="Times New Roman" w:cs="Times New Roman"/>
                <w:color w:val="000000"/>
                <w:sz w:val="22"/>
                <w:lang w:eastAsia="ru-RU"/>
              </w:rPr>
              <w:t>Графический</w:t>
            </w:r>
          </w:p>
        </w:tc>
        <w:tc>
          <w:tcPr>
            <w:tcW w:w="2876" w:type="dxa"/>
            <w:tcBorders>
              <w:top w:val="nil"/>
              <w:left w:val="nil"/>
              <w:bottom w:val="single" w:sz="4" w:space="0" w:color="auto"/>
              <w:right w:val="single" w:sz="4" w:space="0" w:color="auto"/>
            </w:tcBorders>
            <w:shd w:val="clear" w:color="auto" w:fill="auto"/>
            <w:vAlign w:val="center"/>
            <w:hideMark/>
          </w:tcPr>
          <w:p w14:paraId="28E94521" w14:textId="77777777" w:rsidR="00DC5B80" w:rsidRPr="00DC5B80" w:rsidRDefault="00DC5B80" w:rsidP="00DC5B80">
            <w:pPr>
              <w:ind w:firstLine="0"/>
              <w:jc w:val="left"/>
              <w:rPr>
                <w:rFonts w:eastAsia="Times New Roman" w:cs="Times New Roman"/>
                <w:color w:val="000000"/>
                <w:sz w:val="22"/>
                <w:lang w:eastAsia="ru-RU"/>
              </w:rPr>
            </w:pPr>
            <w:r w:rsidRPr="00DC5B80">
              <w:rPr>
                <w:rFonts w:eastAsia="Times New Roman" w:cs="Times New Roman"/>
                <w:color w:val="000000"/>
                <w:sz w:val="22"/>
                <w:lang w:eastAsia="ru-RU"/>
              </w:rPr>
              <w:t>да/нет</w:t>
            </w:r>
          </w:p>
        </w:tc>
      </w:tr>
      <w:tr w:rsidR="00DC5B80" w:rsidRPr="00DC5B80" w14:paraId="7352EFC7" w14:textId="77777777" w:rsidTr="006C45D3">
        <w:trPr>
          <w:trHeight w:val="20"/>
          <w:jc w:val="center"/>
        </w:trPr>
        <w:tc>
          <w:tcPr>
            <w:tcW w:w="522" w:type="dxa"/>
            <w:tcBorders>
              <w:top w:val="nil"/>
              <w:left w:val="single" w:sz="4" w:space="0" w:color="auto"/>
              <w:bottom w:val="single" w:sz="4" w:space="0" w:color="auto"/>
              <w:right w:val="single" w:sz="4" w:space="0" w:color="auto"/>
            </w:tcBorders>
            <w:shd w:val="clear" w:color="auto" w:fill="auto"/>
            <w:vAlign w:val="center"/>
            <w:hideMark/>
          </w:tcPr>
          <w:p w14:paraId="657BF298" w14:textId="77777777" w:rsidR="00DC5B80" w:rsidRPr="00DC5B80" w:rsidRDefault="00DC5B80" w:rsidP="00DC5B80">
            <w:pPr>
              <w:ind w:firstLine="0"/>
              <w:jc w:val="center"/>
              <w:rPr>
                <w:rFonts w:eastAsia="Times New Roman" w:cs="Times New Roman"/>
                <w:color w:val="000000"/>
                <w:sz w:val="22"/>
                <w:lang w:eastAsia="ru-RU"/>
              </w:rPr>
            </w:pPr>
            <w:r w:rsidRPr="00DC5B80">
              <w:rPr>
                <w:rFonts w:eastAsia="Times New Roman" w:cs="Times New Roman"/>
                <w:color w:val="000000"/>
                <w:sz w:val="22"/>
                <w:lang w:eastAsia="ru-RU"/>
              </w:rPr>
              <w:t>14</w:t>
            </w:r>
          </w:p>
        </w:tc>
        <w:tc>
          <w:tcPr>
            <w:tcW w:w="3159" w:type="dxa"/>
            <w:tcBorders>
              <w:top w:val="nil"/>
              <w:left w:val="nil"/>
              <w:bottom w:val="single" w:sz="4" w:space="0" w:color="auto"/>
              <w:right w:val="single" w:sz="4" w:space="0" w:color="auto"/>
            </w:tcBorders>
            <w:shd w:val="clear" w:color="auto" w:fill="auto"/>
            <w:vAlign w:val="center"/>
            <w:hideMark/>
          </w:tcPr>
          <w:p w14:paraId="5F1692C6" w14:textId="77777777" w:rsidR="00DC5B80" w:rsidRPr="00DC5B80" w:rsidRDefault="00DC5B80" w:rsidP="00DC5B80">
            <w:pPr>
              <w:ind w:firstLine="0"/>
              <w:jc w:val="left"/>
              <w:rPr>
                <w:rFonts w:eastAsia="Times New Roman" w:cs="Times New Roman"/>
                <w:color w:val="000000"/>
                <w:sz w:val="22"/>
                <w:lang w:eastAsia="ru-RU"/>
              </w:rPr>
            </w:pPr>
            <w:r w:rsidRPr="00DC5B80">
              <w:rPr>
                <w:rFonts w:eastAsia="Times New Roman" w:cs="Times New Roman"/>
                <w:color w:val="000000"/>
                <w:sz w:val="22"/>
                <w:lang w:eastAsia="ru-RU"/>
              </w:rPr>
              <w:t>Численность населения в населенном пункте</w:t>
            </w:r>
          </w:p>
        </w:tc>
        <w:tc>
          <w:tcPr>
            <w:tcW w:w="3211" w:type="dxa"/>
            <w:tcBorders>
              <w:top w:val="nil"/>
              <w:left w:val="nil"/>
              <w:bottom w:val="single" w:sz="4" w:space="0" w:color="auto"/>
              <w:right w:val="single" w:sz="4" w:space="0" w:color="auto"/>
            </w:tcBorders>
            <w:shd w:val="clear" w:color="auto" w:fill="auto"/>
            <w:vAlign w:val="center"/>
            <w:hideMark/>
          </w:tcPr>
          <w:p w14:paraId="0009A2CE" w14:textId="77777777" w:rsidR="00DC5B80" w:rsidRPr="00DC5B80" w:rsidRDefault="00DC5B80" w:rsidP="00DC5B80">
            <w:pPr>
              <w:ind w:firstLine="0"/>
              <w:jc w:val="left"/>
              <w:rPr>
                <w:rFonts w:eastAsia="Times New Roman" w:cs="Times New Roman"/>
                <w:color w:val="000000"/>
                <w:sz w:val="22"/>
                <w:lang w:eastAsia="ru-RU"/>
              </w:rPr>
            </w:pPr>
            <w:r w:rsidRPr="00DC5B80">
              <w:rPr>
                <w:rFonts w:eastAsia="Times New Roman" w:cs="Times New Roman"/>
                <w:color w:val="000000"/>
                <w:sz w:val="22"/>
                <w:lang w:eastAsia="ru-RU"/>
              </w:rPr>
              <w:t>Семантический</w:t>
            </w:r>
          </w:p>
        </w:tc>
        <w:tc>
          <w:tcPr>
            <w:tcW w:w="2876" w:type="dxa"/>
            <w:tcBorders>
              <w:top w:val="nil"/>
              <w:left w:val="nil"/>
              <w:bottom w:val="single" w:sz="4" w:space="0" w:color="auto"/>
              <w:right w:val="single" w:sz="4" w:space="0" w:color="auto"/>
            </w:tcBorders>
            <w:shd w:val="clear" w:color="auto" w:fill="auto"/>
            <w:vAlign w:val="center"/>
            <w:hideMark/>
          </w:tcPr>
          <w:p w14:paraId="0CB76965" w14:textId="77777777" w:rsidR="00DC5B80" w:rsidRPr="00DC5B80" w:rsidRDefault="00DC5B80" w:rsidP="00DC5B80">
            <w:pPr>
              <w:ind w:firstLine="0"/>
              <w:jc w:val="left"/>
              <w:rPr>
                <w:rFonts w:eastAsia="Times New Roman" w:cs="Times New Roman"/>
                <w:color w:val="000000"/>
                <w:sz w:val="22"/>
                <w:lang w:eastAsia="ru-RU"/>
              </w:rPr>
            </w:pPr>
            <w:r w:rsidRPr="00DC5B80">
              <w:rPr>
                <w:rFonts w:eastAsia="Times New Roman" w:cs="Times New Roman"/>
                <w:color w:val="000000"/>
                <w:sz w:val="22"/>
                <w:lang w:eastAsia="ru-RU"/>
              </w:rPr>
              <w:t>чел.</w:t>
            </w:r>
          </w:p>
        </w:tc>
      </w:tr>
      <w:tr w:rsidR="00DC5B80" w:rsidRPr="00DC5B80" w14:paraId="119EE544" w14:textId="77777777" w:rsidTr="006C45D3">
        <w:trPr>
          <w:trHeight w:val="20"/>
          <w:jc w:val="center"/>
        </w:trPr>
        <w:tc>
          <w:tcPr>
            <w:tcW w:w="522" w:type="dxa"/>
            <w:tcBorders>
              <w:top w:val="nil"/>
              <w:left w:val="single" w:sz="4" w:space="0" w:color="auto"/>
              <w:bottom w:val="single" w:sz="4" w:space="0" w:color="auto"/>
              <w:right w:val="single" w:sz="4" w:space="0" w:color="auto"/>
            </w:tcBorders>
            <w:shd w:val="clear" w:color="auto" w:fill="auto"/>
            <w:vAlign w:val="center"/>
            <w:hideMark/>
          </w:tcPr>
          <w:p w14:paraId="4FC5939B" w14:textId="77777777" w:rsidR="00DC5B80" w:rsidRPr="00DC5B80" w:rsidRDefault="00DC5B80" w:rsidP="00DC5B80">
            <w:pPr>
              <w:ind w:firstLine="0"/>
              <w:jc w:val="center"/>
              <w:rPr>
                <w:rFonts w:eastAsia="Times New Roman" w:cs="Times New Roman"/>
                <w:color w:val="000000"/>
                <w:sz w:val="22"/>
                <w:lang w:eastAsia="ru-RU"/>
              </w:rPr>
            </w:pPr>
            <w:r w:rsidRPr="00DC5B80">
              <w:rPr>
                <w:rFonts w:eastAsia="Times New Roman" w:cs="Times New Roman"/>
                <w:color w:val="000000"/>
                <w:sz w:val="22"/>
                <w:lang w:eastAsia="ru-RU"/>
              </w:rPr>
              <w:t>15</w:t>
            </w:r>
          </w:p>
        </w:tc>
        <w:tc>
          <w:tcPr>
            <w:tcW w:w="3159" w:type="dxa"/>
            <w:tcBorders>
              <w:top w:val="nil"/>
              <w:left w:val="nil"/>
              <w:bottom w:val="single" w:sz="4" w:space="0" w:color="auto"/>
              <w:right w:val="single" w:sz="4" w:space="0" w:color="auto"/>
            </w:tcBorders>
            <w:shd w:val="clear" w:color="auto" w:fill="auto"/>
            <w:vAlign w:val="center"/>
            <w:hideMark/>
          </w:tcPr>
          <w:p w14:paraId="69BC81BD" w14:textId="77777777" w:rsidR="00DC5B80" w:rsidRPr="00DC5B80" w:rsidRDefault="00DC5B80" w:rsidP="00DC5B80">
            <w:pPr>
              <w:ind w:firstLine="0"/>
              <w:jc w:val="left"/>
              <w:rPr>
                <w:rFonts w:eastAsia="Times New Roman" w:cs="Times New Roman"/>
                <w:color w:val="000000"/>
                <w:sz w:val="22"/>
                <w:lang w:eastAsia="ru-RU"/>
              </w:rPr>
            </w:pPr>
            <w:r w:rsidRPr="00DC5B80">
              <w:rPr>
                <w:rFonts w:eastAsia="Times New Roman" w:cs="Times New Roman"/>
                <w:color w:val="000000"/>
                <w:sz w:val="22"/>
                <w:lang w:eastAsia="ru-RU"/>
              </w:rPr>
              <w:t>Численность населения в муниципальном районе, городском округе</w:t>
            </w:r>
          </w:p>
        </w:tc>
        <w:tc>
          <w:tcPr>
            <w:tcW w:w="3211" w:type="dxa"/>
            <w:tcBorders>
              <w:top w:val="nil"/>
              <w:left w:val="nil"/>
              <w:bottom w:val="single" w:sz="4" w:space="0" w:color="auto"/>
              <w:right w:val="single" w:sz="4" w:space="0" w:color="auto"/>
            </w:tcBorders>
            <w:shd w:val="clear" w:color="auto" w:fill="auto"/>
            <w:vAlign w:val="center"/>
            <w:hideMark/>
          </w:tcPr>
          <w:p w14:paraId="7FCA2718" w14:textId="77777777" w:rsidR="00DC5B80" w:rsidRPr="00DC5B80" w:rsidRDefault="00DC5B80" w:rsidP="00DC5B80">
            <w:pPr>
              <w:ind w:firstLine="0"/>
              <w:jc w:val="left"/>
              <w:rPr>
                <w:rFonts w:eastAsia="Times New Roman" w:cs="Times New Roman"/>
                <w:color w:val="000000"/>
                <w:sz w:val="22"/>
                <w:lang w:eastAsia="ru-RU"/>
              </w:rPr>
            </w:pPr>
            <w:r w:rsidRPr="00DC5B80">
              <w:rPr>
                <w:rFonts w:eastAsia="Times New Roman" w:cs="Times New Roman"/>
                <w:color w:val="000000"/>
                <w:sz w:val="22"/>
                <w:lang w:eastAsia="ru-RU"/>
              </w:rPr>
              <w:t>Семантический</w:t>
            </w:r>
          </w:p>
        </w:tc>
        <w:tc>
          <w:tcPr>
            <w:tcW w:w="2876" w:type="dxa"/>
            <w:tcBorders>
              <w:top w:val="nil"/>
              <w:left w:val="nil"/>
              <w:bottom w:val="single" w:sz="4" w:space="0" w:color="auto"/>
              <w:right w:val="single" w:sz="4" w:space="0" w:color="auto"/>
            </w:tcBorders>
            <w:shd w:val="clear" w:color="auto" w:fill="auto"/>
            <w:vAlign w:val="center"/>
            <w:hideMark/>
          </w:tcPr>
          <w:p w14:paraId="094AB217" w14:textId="77777777" w:rsidR="00DC5B80" w:rsidRPr="00DC5B80" w:rsidRDefault="00DC5B80" w:rsidP="00DC5B80">
            <w:pPr>
              <w:ind w:firstLine="0"/>
              <w:jc w:val="left"/>
              <w:rPr>
                <w:rFonts w:eastAsia="Times New Roman" w:cs="Times New Roman"/>
                <w:color w:val="000000"/>
                <w:sz w:val="22"/>
                <w:lang w:eastAsia="ru-RU"/>
              </w:rPr>
            </w:pPr>
            <w:r w:rsidRPr="00DC5B80">
              <w:rPr>
                <w:rFonts w:eastAsia="Times New Roman" w:cs="Times New Roman"/>
                <w:color w:val="000000"/>
                <w:sz w:val="22"/>
                <w:lang w:eastAsia="ru-RU"/>
              </w:rPr>
              <w:t>чел.</w:t>
            </w:r>
          </w:p>
        </w:tc>
      </w:tr>
      <w:tr w:rsidR="00DC5B80" w:rsidRPr="00DC5B80" w14:paraId="08078871" w14:textId="77777777" w:rsidTr="006C45D3">
        <w:trPr>
          <w:trHeight w:val="20"/>
          <w:jc w:val="center"/>
        </w:trPr>
        <w:tc>
          <w:tcPr>
            <w:tcW w:w="522" w:type="dxa"/>
            <w:tcBorders>
              <w:top w:val="nil"/>
              <w:left w:val="single" w:sz="4" w:space="0" w:color="auto"/>
              <w:bottom w:val="single" w:sz="4" w:space="0" w:color="auto"/>
              <w:right w:val="single" w:sz="4" w:space="0" w:color="auto"/>
            </w:tcBorders>
            <w:shd w:val="clear" w:color="auto" w:fill="auto"/>
            <w:vAlign w:val="center"/>
            <w:hideMark/>
          </w:tcPr>
          <w:p w14:paraId="17CE0B11" w14:textId="77777777" w:rsidR="00DC5B80" w:rsidRPr="00DC5B80" w:rsidRDefault="00DC5B80" w:rsidP="00DC5B80">
            <w:pPr>
              <w:ind w:firstLine="0"/>
              <w:jc w:val="center"/>
              <w:rPr>
                <w:rFonts w:eastAsia="Times New Roman" w:cs="Times New Roman"/>
                <w:color w:val="000000"/>
                <w:sz w:val="22"/>
                <w:lang w:eastAsia="ru-RU"/>
              </w:rPr>
            </w:pPr>
            <w:r w:rsidRPr="00DC5B80">
              <w:rPr>
                <w:rFonts w:eastAsia="Times New Roman" w:cs="Times New Roman"/>
                <w:color w:val="000000"/>
                <w:sz w:val="22"/>
                <w:lang w:eastAsia="ru-RU"/>
              </w:rPr>
              <w:t>16</w:t>
            </w:r>
          </w:p>
        </w:tc>
        <w:tc>
          <w:tcPr>
            <w:tcW w:w="3159" w:type="dxa"/>
            <w:tcBorders>
              <w:top w:val="nil"/>
              <w:left w:val="nil"/>
              <w:bottom w:val="single" w:sz="4" w:space="0" w:color="auto"/>
              <w:right w:val="single" w:sz="4" w:space="0" w:color="auto"/>
            </w:tcBorders>
            <w:shd w:val="clear" w:color="auto" w:fill="auto"/>
            <w:vAlign w:val="center"/>
            <w:hideMark/>
          </w:tcPr>
          <w:p w14:paraId="568B48D7" w14:textId="77777777" w:rsidR="00DC5B80" w:rsidRPr="00DC5B80" w:rsidRDefault="00DC5B80" w:rsidP="00DC5B80">
            <w:pPr>
              <w:ind w:firstLine="0"/>
              <w:jc w:val="left"/>
              <w:rPr>
                <w:rFonts w:eastAsia="Times New Roman" w:cs="Times New Roman"/>
                <w:color w:val="000000"/>
                <w:sz w:val="22"/>
                <w:lang w:eastAsia="ru-RU"/>
              </w:rPr>
            </w:pPr>
            <w:r w:rsidRPr="00DC5B80">
              <w:rPr>
                <w:rFonts w:eastAsia="Times New Roman" w:cs="Times New Roman"/>
                <w:color w:val="000000"/>
                <w:sz w:val="22"/>
                <w:lang w:eastAsia="ru-RU"/>
              </w:rPr>
              <w:t>Среднемесячная заработная плата в муниципальном районе, городском округе</w:t>
            </w:r>
          </w:p>
        </w:tc>
        <w:tc>
          <w:tcPr>
            <w:tcW w:w="3211" w:type="dxa"/>
            <w:tcBorders>
              <w:top w:val="nil"/>
              <w:left w:val="nil"/>
              <w:bottom w:val="single" w:sz="4" w:space="0" w:color="auto"/>
              <w:right w:val="single" w:sz="4" w:space="0" w:color="auto"/>
            </w:tcBorders>
            <w:shd w:val="clear" w:color="auto" w:fill="auto"/>
            <w:vAlign w:val="center"/>
            <w:hideMark/>
          </w:tcPr>
          <w:p w14:paraId="38764CC1" w14:textId="77777777" w:rsidR="00DC5B80" w:rsidRPr="00DC5B80" w:rsidRDefault="00DC5B80" w:rsidP="00DC5B80">
            <w:pPr>
              <w:ind w:firstLine="0"/>
              <w:jc w:val="left"/>
              <w:rPr>
                <w:rFonts w:eastAsia="Times New Roman" w:cs="Times New Roman"/>
                <w:color w:val="000000"/>
                <w:sz w:val="22"/>
                <w:lang w:eastAsia="ru-RU"/>
              </w:rPr>
            </w:pPr>
            <w:r w:rsidRPr="00DC5B80">
              <w:rPr>
                <w:rFonts w:eastAsia="Times New Roman" w:cs="Times New Roman"/>
                <w:color w:val="000000"/>
                <w:sz w:val="22"/>
                <w:lang w:eastAsia="ru-RU"/>
              </w:rPr>
              <w:t>Семантический</w:t>
            </w:r>
          </w:p>
        </w:tc>
        <w:tc>
          <w:tcPr>
            <w:tcW w:w="2876" w:type="dxa"/>
            <w:tcBorders>
              <w:top w:val="nil"/>
              <w:left w:val="nil"/>
              <w:bottom w:val="single" w:sz="4" w:space="0" w:color="auto"/>
              <w:right w:val="single" w:sz="4" w:space="0" w:color="auto"/>
            </w:tcBorders>
            <w:shd w:val="clear" w:color="auto" w:fill="auto"/>
            <w:vAlign w:val="center"/>
            <w:hideMark/>
          </w:tcPr>
          <w:p w14:paraId="2D6B4A20" w14:textId="77777777" w:rsidR="00DC5B80" w:rsidRPr="00DC5B80" w:rsidRDefault="00DC5B80" w:rsidP="00DC5B80">
            <w:pPr>
              <w:ind w:firstLine="0"/>
              <w:jc w:val="left"/>
              <w:rPr>
                <w:rFonts w:eastAsia="Times New Roman" w:cs="Times New Roman"/>
                <w:color w:val="000000"/>
                <w:sz w:val="22"/>
                <w:lang w:eastAsia="ru-RU"/>
              </w:rPr>
            </w:pPr>
            <w:r w:rsidRPr="00DC5B80">
              <w:rPr>
                <w:rFonts w:eastAsia="Times New Roman" w:cs="Times New Roman"/>
                <w:color w:val="000000"/>
                <w:sz w:val="22"/>
                <w:lang w:eastAsia="ru-RU"/>
              </w:rPr>
              <w:t>руб.</w:t>
            </w:r>
          </w:p>
        </w:tc>
      </w:tr>
      <w:tr w:rsidR="00DC5B80" w:rsidRPr="00DC5B80" w14:paraId="4AE327F5" w14:textId="77777777" w:rsidTr="006C45D3">
        <w:trPr>
          <w:trHeight w:val="20"/>
          <w:jc w:val="center"/>
        </w:trPr>
        <w:tc>
          <w:tcPr>
            <w:tcW w:w="522" w:type="dxa"/>
            <w:tcBorders>
              <w:top w:val="nil"/>
              <w:left w:val="single" w:sz="4" w:space="0" w:color="auto"/>
              <w:bottom w:val="single" w:sz="4" w:space="0" w:color="auto"/>
              <w:right w:val="single" w:sz="4" w:space="0" w:color="auto"/>
            </w:tcBorders>
            <w:shd w:val="clear" w:color="auto" w:fill="auto"/>
            <w:vAlign w:val="center"/>
            <w:hideMark/>
          </w:tcPr>
          <w:p w14:paraId="240A1039" w14:textId="77777777" w:rsidR="00DC5B80" w:rsidRPr="00DC5B80" w:rsidRDefault="00DC5B80" w:rsidP="00DC5B80">
            <w:pPr>
              <w:ind w:firstLine="0"/>
              <w:jc w:val="center"/>
              <w:rPr>
                <w:rFonts w:eastAsia="Times New Roman" w:cs="Times New Roman"/>
                <w:color w:val="000000"/>
                <w:sz w:val="22"/>
                <w:lang w:eastAsia="ru-RU"/>
              </w:rPr>
            </w:pPr>
            <w:r w:rsidRPr="00DC5B80">
              <w:rPr>
                <w:rFonts w:eastAsia="Times New Roman" w:cs="Times New Roman"/>
                <w:color w:val="000000"/>
                <w:sz w:val="22"/>
                <w:lang w:eastAsia="ru-RU"/>
              </w:rPr>
              <w:t>17</w:t>
            </w:r>
          </w:p>
        </w:tc>
        <w:tc>
          <w:tcPr>
            <w:tcW w:w="3159" w:type="dxa"/>
            <w:tcBorders>
              <w:top w:val="nil"/>
              <w:left w:val="nil"/>
              <w:bottom w:val="single" w:sz="4" w:space="0" w:color="auto"/>
              <w:right w:val="single" w:sz="4" w:space="0" w:color="auto"/>
            </w:tcBorders>
            <w:shd w:val="clear" w:color="auto" w:fill="auto"/>
            <w:vAlign w:val="center"/>
            <w:hideMark/>
          </w:tcPr>
          <w:p w14:paraId="311D24E3" w14:textId="77777777" w:rsidR="00DC5B80" w:rsidRPr="00DC5B80" w:rsidRDefault="00DC5B80" w:rsidP="00DC5B80">
            <w:pPr>
              <w:ind w:firstLine="0"/>
              <w:jc w:val="left"/>
              <w:rPr>
                <w:rFonts w:eastAsia="Times New Roman" w:cs="Times New Roman"/>
                <w:color w:val="000000"/>
                <w:sz w:val="22"/>
                <w:lang w:eastAsia="ru-RU"/>
              </w:rPr>
            </w:pPr>
            <w:r w:rsidRPr="00DC5B80">
              <w:rPr>
                <w:rFonts w:eastAsia="Times New Roman" w:cs="Times New Roman"/>
                <w:color w:val="000000"/>
                <w:sz w:val="22"/>
                <w:lang w:eastAsia="ru-RU"/>
              </w:rPr>
              <w:t>Расстояние от объекта до историко-культурного центра населенного пункта</w:t>
            </w:r>
          </w:p>
        </w:tc>
        <w:tc>
          <w:tcPr>
            <w:tcW w:w="3211" w:type="dxa"/>
            <w:tcBorders>
              <w:top w:val="nil"/>
              <w:left w:val="nil"/>
              <w:bottom w:val="single" w:sz="4" w:space="0" w:color="auto"/>
              <w:right w:val="single" w:sz="4" w:space="0" w:color="auto"/>
            </w:tcBorders>
            <w:shd w:val="clear" w:color="auto" w:fill="auto"/>
            <w:vAlign w:val="center"/>
            <w:hideMark/>
          </w:tcPr>
          <w:p w14:paraId="461CEB8F" w14:textId="77777777" w:rsidR="00DC5B80" w:rsidRPr="00DC5B80" w:rsidRDefault="00DC5B80" w:rsidP="00DC5B80">
            <w:pPr>
              <w:ind w:firstLine="0"/>
              <w:jc w:val="left"/>
              <w:rPr>
                <w:rFonts w:eastAsia="Times New Roman" w:cs="Times New Roman"/>
                <w:color w:val="000000"/>
                <w:sz w:val="22"/>
                <w:lang w:eastAsia="ru-RU"/>
              </w:rPr>
            </w:pPr>
            <w:r w:rsidRPr="00DC5B80">
              <w:rPr>
                <w:rFonts w:eastAsia="Times New Roman" w:cs="Times New Roman"/>
                <w:color w:val="000000"/>
                <w:sz w:val="22"/>
                <w:lang w:eastAsia="ru-RU"/>
              </w:rPr>
              <w:t>Графический</w:t>
            </w:r>
          </w:p>
        </w:tc>
        <w:tc>
          <w:tcPr>
            <w:tcW w:w="2876" w:type="dxa"/>
            <w:tcBorders>
              <w:top w:val="nil"/>
              <w:left w:val="nil"/>
              <w:bottom w:val="single" w:sz="4" w:space="0" w:color="auto"/>
              <w:right w:val="single" w:sz="4" w:space="0" w:color="auto"/>
            </w:tcBorders>
            <w:shd w:val="clear" w:color="auto" w:fill="auto"/>
            <w:vAlign w:val="center"/>
            <w:hideMark/>
          </w:tcPr>
          <w:p w14:paraId="5E85B7A5" w14:textId="77777777" w:rsidR="00DC5B80" w:rsidRPr="00DC5B80" w:rsidRDefault="00DC5B80" w:rsidP="00DC5B80">
            <w:pPr>
              <w:ind w:firstLine="0"/>
              <w:jc w:val="left"/>
              <w:rPr>
                <w:rFonts w:eastAsia="Times New Roman" w:cs="Times New Roman"/>
                <w:color w:val="000000"/>
                <w:sz w:val="22"/>
                <w:lang w:eastAsia="ru-RU"/>
              </w:rPr>
            </w:pPr>
            <w:r w:rsidRPr="00DC5B80">
              <w:rPr>
                <w:rFonts w:eastAsia="Times New Roman" w:cs="Times New Roman"/>
                <w:color w:val="000000"/>
                <w:sz w:val="22"/>
                <w:lang w:eastAsia="ru-RU"/>
              </w:rPr>
              <w:t>м</w:t>
            </w:r>
          </w:p>
        </w:tc>
      </w:tr>
      <w:tr w:rsidR="00DC5B80" w:rsidRPr="00DC5B80" w14:paraId="4A9354BA" w14:textId="77777777" w:rsidTr="006C45D3">
        <w:trPr>
          <w:trHeight w:val="20"/>
          <w:jc w:val="center"/>
        </w:trPr>
        <w:tc>
          <w:tcPr>
            <w:tcW w:w="522" w:type="dxa"/>
            <w:tcBorders>
              <w:top w:val="nil"/>
              <w:left w:val="single" w:sz="4" w:space="0" w:color="auto"/>
              <w:bottom w:val="single" w:sz="4" w:space="0" w:color="auto"/>
              <w:right w:val="single" w:sz="4" w:space="0" w:color="auto"/>
            </w:tcBorders>
            <w:shd w:val="clear" w:color="auto" w:fill="auto"/>
            <w:vAlign w:val="center"/>
            <w:hideMark/>
          </w:tcPr>
          <w:p w14:paraId="0780B4E1" w14:textId="77777777" w:rsidR="00DC5B80" w:rsidRPr="00DC5B80" w:rsidRDefault="00DC5B80" w:rsidP="00DC5B80">
            <w:pPr>
              <w:ind w:firstLine="0"/>
              <w:jc w:val="center"/>
              <w:rPr>
                <w:rFonts w:eastAsia="Times New Roman" w:cs="Times New Roman"/>
                <w:color w:val="000000"/>
                <w:sz w:val="22"/>
                <w:lang w:eastAsia="ru-RU"/>
              </w:rPr>
            </w:pPr>
            <w:r w:rsidRPr="00DC5B80">
              <w:rPr>
                <w:rFonts w:eastAsia="Times New Roman" w:cs="Times New Roman"/>
                <w:color w:val="000000"/>
                <w:sz w:val="22"/>
                <w:lang w:eastAsia="ru-RU"/>
              </w:rPr>
              <w:t>18</w:t>
            </w:r>
          </w:p>
        </w:tc>
        <w:tc>
          <w:tcPr>
            <w:tcW w:w="3159" w:type="dxa"/>
            <w:tcBorders>
              <w:top w:val="nil"/>
              <w:left w:val="nil"/>
              <w:bottom w:val="single" w:sz="4" w:space="0" w:color="auto"/>
              <w:right w:val="single" w:sz="4" w:space="0" w:color="auto"/>
            </w:tcBorders>
            <w:shd w:val="clear" w:color="auto" w:fill="auto"/>
            <w:vAlign w:val="center"/>
            <w:hideMark/>
          </w:tcPr>
          <w:p w14:paraId="6FA7CB2A" w14:textId="77777777" w:rsidR="00DC5B80" w:rsidRPr="00DC5B80" w:rsidRDefault="00DC5B80" w:rsidP="00DC5B80">
            <w:pPr>
              <w:ind w:firstLine="0"/>
              <w:jc w:val="left"/>
              <w:rPr>
                <w:rFonts w:eastAsia="Times New Roman" w:cs="Times New Roman"/>
                <w:color w:val="000000"/>
                <w:sz w:val="22"/>
                <w:lang w:eastAsia="ru-RU"/>
              </w:rPr>
            </w:pPr>
            <w:r w:rsidRPr="00DC5B80">
              <w:rPr>
                <w:rFonts w:eastAsia="Times New Roman" w:cs="Times New Roman"/>
                <w:color w:val="000000"/>
                <w:sz w:val="22"/>
                <w:lang w:eastAsia="ru-RU"/>
              </w:rPr>
              <w:t>Расстояние объекта до общественно-делового центра населенного пункта</w:t>
            </w:r>
          </w:p>
        </w:tc>
        <w:tc>
          <w:tcPr>
            <w:tcW w:w="3211" w:type="dxa"/>
            <w:tcBorders>
              <w:top w:val="nil"/>
              <w:left w:val="nil"/>
              <w:bottom w:val="single" w:sz="4" w:space="0" w:color="auto"/>
              <w:right w:val="single" w:sz="4" w:space="0" w:color="auto"/>
            </w:tcBorders>
            <w:shd w:val="clear" w:color="auto" w:fill="auto"/>
            <w:vAlign w:val="center"/>
            <w:hideMark/>
          </w:tcPr>
          <w:p w14:paraId="132A09A4" w14:textId="77777777" w:rsidR="00DC5B80" w:rsidRPr="00DC5B80" w:rsidRDefault="00DC5B80" w:rsidP="00DC5B80">
            <w:pPr>
              <w:ind w:firstLine="0"/>
              <w:jc w:val="left"/>
              <w:rPr>
                <w:rFonts w:eastAsia="Times New Roman" w:cs="Times New Roman"/>
                <w:color w:val="000000"/>
                <w:sz w:val="22"/>
                <w:lang w:eastAsia="ru-RU"/>
              </w:rPr>
            </w:pPr>
            <w:r w:rsidRPr="00DC5B80">
              <w:rPr>
                <w:rFonts w:eastAsia="Times New Roman" w:cs="Times New Roman"/>
                <w:color w:val="000000"/>
                <w:sz w:val="22"/>
                <w:lang w:eastAsia="ru-RU"/>
              </w:rPr>
              <w:t>Графический</w:t>
            </w:r>
          </w:p>
        </w:tc>
        <w:tc>
          <w:tcPr>
            <w:tcW w:w="2876" w:type="dxa"/>
            <w:tcBorders>
              <w:top w:val="nil"/>
              <w:left w:val="nil"/>
              <w:bottom w:val="single" w:sz="4" w:space="0" w:color="auto"/>
              <w:right w:val="single" w:sz="4" w:space="0" w:color="auto"/>
            </w:tcBorders>
            <w:shd w:val="clear" w:color="auto" w:fill="auto"/>
            <w:vAlign w:val="center"/>
            <w:hideMark/>
          </w:tcPr>
          <w:p w14:paraId="4EC083F6" w14:textId="77777777" w:rsidR="00DC5B80" w:rsidRPr="00DC5B80" w:rsidRDefault="00DC5B80" w:rsidP="00DC5B80">
            <w:pPr>
              <w:ind w:firstLine="0"/>
              <w:jc w:val="left"/>
              <w:rPr>
                <w:rFonts w:eastAsia="Times New Roman" w:cs="Times New Roman"/>
                <w:color w:val="000000"/>
                <w:sz w:val="22"/>
                <w:lang w:eastAsia="ru-RU"/>
              </w:rPr>
            </w:pPr>
            <w:r w:rsidRPr="00DC5B80">
              <w:rPr>
                <w:rFonts w:eastAsia="Times New Roman" w:cs="Times New Roman"/>
                <w:color w:val="000000"/>
                <w:sz w:val="22"/>
                <w:lang w:eastAsia="ru-RU"/>
              </w:rPr>
              <w:t>м</w:t>
            </w:r>
          </w:p>
        </w:tc>
      </w:tr>
      <w:tr w:rsidR="00DC5B80" w:rsidRPr="00DC5B80" w14:paraId="4CF11078" w14:textId="77777777" w:rsidTr="006C45D3">
        <w:trPr>
          <w:trHeight w:val="20"/>
          <w:jc w:val="center"/>
        </w:trPr>
        <w:tc>
          <w:tcPr>
            <w:tcW w:w="522" w:type="dxa"/>
            <w:tcBorders>
              <w:top w:val="nil"/>
              <w:left w:val="single" w:sz="4" w:space="0" w:color="auto"/>
              <w:bottom w:val="single" w:sz="4" w:space="0" w:color="auto"/>
              <w:right w:val="single" w:sz="4" w:space="0" w:color="auto"/>
            </w:tcBorders>
            <w:shd w:val="clear" w:color="auto" w:fill="auto"/>
            <w:vAlign w:val="center"/>
            <w:hideMark/>
          </w:tcPr>
          <w:p w14:paraId="11262DAD" w14:textId="77777777" w:rsidR="00DC5B80" w:rsidRPr="00DC5B80" w:rsidRDefault="00DC5B80" w:rsidP="00DC5B80">
            <w:pPr>
              <w:ind w:firstLine="0"/>
              <w:jc w:val="center"/>
              <w:rPr>
                <w:rFonts w:eastAsia="Times New Roman" w:cs="Times New Roman"/>
                <w:color w:val="000000"/>
                <w:sz w:val="22"/>
                <w:lang w:eastAsia="ru-RU"/>
              </w:rPr>
            </w:pPr>
            <w:r w:rsidRPr="00DC5B80">
              <w:rPr>
                <w:rFonts w:eastAsia="Times New Roman" w:cs="Times New Roman"/>
                <w:color w:val="000000"/>
                <w:sz w:val="22"/>
                <w:lang w:eastAsia="ru-RU"/>
              </w:rPr>
              <w:t>19</w:t>
            </w:r>
          </w:p>
        </w:tc>
        <w:tc>
          <w:tcPr>
            <w:tcW w:w="3159" w:type="dxa"/>
            <w:tcBorders>
              <w:top w:val="nil"/>
              <w:left w:val="nil"/>
              <w:bottom w:val="single" w:sz="4" w:space="0" w:color="auto"/>
              <w:right w:val="single" w:sz="4" w:space="0" w:color="auto"/>
            </w:tcBorders>
            <w:shd w:val="clear" w:color="auto" w:fill="auto"/>
            <w:vAlign w:val="center"/>
            <w:hideMark/>
          </w:tcPr>
          <w:p w14:paraId="00B311FB" w14:textId="77777777" w:rsidR="00DC5B80" w:rsidRPr="00DC5B80" w:rsidRDefault="00DC5B80" w:rsidP="00DC5B80">
            <w:pPr>
              <w:ind w:firstLine="0"/>
              <w:jc w:val="left"/>
              <w:rPr>
                <w:rFonts w:eastAsia="Times New Roman" w:cs="Times New Roman"/>
                <w:color w:val="000000"/>
                <w:sz w:val="22"/>
                <w:lang w:eastAsia="ru-RU"/>
              </w:rPr>
            </w:pPr>
            <w:r w:rsidRPr="00DC5B80">
              <w:rPr>
                <w:rFonts w:eastAsia="Times New Roman" w:cs="Times New Roman"/>
                <w:color w:val="000000"/>
                <w:sz w:val="22"/>
                <w:lang w:eastAsia="ru-RU"/>
              </w:rPr>
              <w:t>Расстояние до остановок общественного транспорта (в т.ч. автовокзалы, автостанции, автобусные остановки и т.п.)</w:t>
            </w:r>
          </w:p>
        </w:tc>
        <w:tc>
          <w:tcPr>
            <w:tcW w:w="3211" w:type="dxa"/>
            <w:tcBorders>
              <w:top w:val="nil"/>
              <w:left w:val="nil"/>
              <w:bottom w:val="single" w:sz="4" w:space="0" w:color="auto"/>
              <w:right w:val="single" w:sz="4" w:space="0" w:color="auto"/>
            </w:tcBorders>
            <w:shd w:val="clear" w:color="auto" w:fill="auto"/>
            <w:vAlign w:val="center"/>
            <w:hideMark/>
          </w:tcPr>
          <w:p w14:paraId="70C56C46" w14:textId="77777777" w:rsidR="00DC5B80" w:rsidRPr="00DC5B80" w:rsidRDefault="00DC5B80" w:rsidP="00DC5B80">
            <w:pPr>
              <w:ind w:firstLine="0"/>
              <w:jc w:val="left"/>
              <w:rPr>
                <w:rFonts w:eastAsia="Times New Roman" w:cs="Times New Roman"/>
                <w:color w:val="000000"/>
                <w:sz w:val="22"/>
                <w:lang w:eastAsia="ru-RU"/>
              </w:rPr>
            </w:pPr>
            <w:r w:rsidRPr="00DC5B80">
              <w:rPr>
                <w:rFonts w:eastAsia="Times New Roman" w:cs="Times New Roman"/>
                <w:color w:val="000000"/>
                <w:sz w:val="22"/>
                <w:lang w:eastAsia="ru-RU"/>
              </w:rPr>
              <w:t>Графический</w:t>
            </w:r>
          </w:p>
        </w:tc>
        <w:tc>
          <w:tcPr>
            <w:tcW w:w="2876" w:type="dxa"/>
            <w:tcBorders>
              <w:top w:val="nil"/>
              <w:left w:val="nil"/>
              <w:bottom w:val="single" w:sz="4" w:space="0" w:color="auto"/>
              <w:right w:val="single" w:sz="4" w:space="0" w:color="auto"/>
            </w:tcBorders>
            <w:shd w:val="clear" w:color="auto" w:fill="auto"/>
            <w:vAlign w:val="center"/>
            <w:hideMark/>
          </w:tcPr>
          <w:p w14:paraId="60D7AC12" w14:textId="77777777" w:rsidR="00DC5B80" w:rsidRPr="00DC5B80" w:rsidRDefault="00DC5B80" w:rsidP="00DC5B80">
            <w:pPr>
              <w:ind w:firstLine="0"/>
              <w:jc w:val="left"/>
              <w:rPr>
                <w:rFonts w:eastAsia="Times New Roman" w:cs="Times New Roman"/>
                <w:color w:val="000000"/>
                <w:sz w:val="22"/>
                <w:lang w:eastAsia="ru-RU"/>
              </w:rPr>
            </w:pPr>
            <w:r w:rsidRPr="00DC5B80">
              <w:rPr>
                <w:rFonts w:eastAsia="Times New Roman" w:cs="Times New Roman"/>
                <w:color w:val="000000"/>
                <w:sz w:val="22"/>
                <w:lang w:eastAsia="ru-RU"/>
              </w:rPr>
              <w:t>м</w:t>
            </w:r>
          </w:p>
        </w:tc>
      </w:tr>
      <w:tr w:rsidR="00DC5B80" w:rsidRPr="00DC5B80" w14:paraId="78BA2CC6" w14:textId="77777777" w:rsidTr="006C45D3">
        <w:trPr>
          <w:trHeight w:val="20"/>
          <w:jc w:val="center"/>
        </w:trPr>
        <w:tc>
          <w:tcPr>
            <w:tcW w:w="522" w:type="dxa"/>
            <w:tcBorders>
              <w:top w:val="nil"/>
              <w:left w:val="single" w:sz="4" w:space="0" w:color="auto"/>
              <w:bottom w:val="single" w:sz="4" w:space="0" w:color="auto"/>
              <w:right w:val="single" w:sz="4" w:space="0" w:color="auto"/>
            </w:tcBorders>
            <w:shd w:val="clear" w:color="auto" w:fill="auto"/>
            <w:vAlign w:val="center"/>
            <w:hideMark/>
          </w:tcPr>
          <w:p w14:paraId="5711B4F1" w14:textId="77777777" w:rsidR="00DC5B80" w:rsidRPr="00DC5B80" w:rsidRDefault="00DC5B80" w:rsidP="00DC5B80">
            <w:pPr>
              <w:ind w:firstLine="0"/>
              <w:jc w:val="center"/>
              <w:rPr>
                <w:rFonts w:eastAsia="Times New Roman" w:cs="Times New Roman"/>
                <w:color w:val="000000"/>
                <w:sz w:val="22"/>
                <w:lang w:eastAsia="ru-RU"/>
              </w:rPr>
            </w:pPr>
            <w:r w:rsidRPr="00DC5B80">
              <w:rPr>
                <w:rFonts w:eastAsia="Times New Roman" w:cs="Times New Roman"/>
                <w:color w:val="000000"/>
                <w:sz w:val="22"/>
                <w:lang w:eastAsia="ru-RU"/>
              </w:rPr>
              <w:t>20</w:t>
            </w:r>
          </w:p>
        </w:tc>
        <w:tc>
          <w:tcPr>
            <w:tcW w:w="3159" w:type="dxa"/>
            <w:tcBorders>
              <w:top w:val="nil"/>
              <w:left w:val="nil"/>
              <w:bottom w:val="single" w:sz="4" w:space="0" w:color="auto"/>
              <w:right w:val="single" w:sz="4" w:space="0" w:color="auto"/>
            </w:tcBorders>
            <w:shd w:val="clear" w:color="auto" w:fill="auto"/>
            <w:vAlign w:val="center"/>
            <w:hideMark/>
          </w:tcPr>
          <w:p w14:paraId="5D576A39" w14:textId="77777777" w:rsidR="00DC5B80" w:rsidRPr="00DC5B80" w:rsidRDefault="00DC5B80" w:rsidP="00DC5B80">
            <w:pPr>
              <w:ind w:firstLine="0"/>
              <w:jc w:val="left"/>
              <w:rPr>
                <w:rFonts w:eastAsia="Times New Roman" w:cs="Times New Roman"/>
                <w:color w:val="000000"/>
                <w:sz w:val="22"/>
                <w:lang w:eastAsia="ru-RU"/>
              </w:rPr>
            </w:pPr>
            <w:r w:rsidRPr="00DC5B80">
              <w:rPr>
                <w:rFonts w:eastAsia="Times New Roman" w:cs="Times New Roman"/>
                <w:color w:val="000000"/>
                <w:sz w:val="22"/>
                <w:lang w:eastAsia="ru-RU"/>
              </w:rPr>
              <w:t>Расстояние от объекта до локального(-ых) центра(-ов), положительно влияющего(-их) на стоимость объектов недвижимости</w:t>
            </w:r>
          </w:p>
        </w:tc>
        <w:tc>
          <w:tcPr>
            <w:tcW w:w="3211" w:type="dxa"/>
            <w:tcBorders>
              <w:top w:val="nil"/>
              <w:left w:val="nil"/>
              <w:bottom w:val="single" w:sz="4" w:space="0" w:color="auto"/>
              <w:right w:val="single" w:sz="4" w:space="0" w:color="auto"/>
            </w:tcBorders>
            <w:shd w:val="clear" w:color="auto" w:fill="auto"/>
            <w:vAlign w:val="center"/>
            <w:hideMark/>
          </w:tcPr>
          <w:p w14:paraId="7D930364" w14:textId="77777777" w:rsidR="00DC5B80" w:rsidRPr="00DC5B80" w:rsidRDefault="00DC5B80" w:rsidP="00DC5B80">
            <w:pPr>
              <w:ind w:firstLine="0"/>
              <w:jc w:val="left"/>
              <w:rPr>
                <w:rFonts w:eastAsia="Times New Roman" w:cs="Times New Roman"/>
                <w:color w:val="000000"/>
                <w:sz w:val="22"/>
                <w:lang w:eastAsia="ru-RU"/>
              </w:rPr>
            </w:pPr>
            <w:r w:rsidRPr="00DC5B80">
              <w:rPr>
                <w:rFonts w:eastAsia="Times New Roman" w:cs="Times New Roman"/>
                <w:color w:val="000000"/>
                <w:sz w:val="22"/>
                <w:lang w:eastAsia="ru-RU"/>
              </w:rPr>
              <w:t>Графический</w:t>
            </w:r>
          </w:p>
        </w:tc>
        <w:tc>
          <w:tcPr>
            <w:tcW w:w="2876" w:type="dxa"/>
            <w:tcBorders>
              <w:top w:val="nil"/>
              <w:left w:val="nil"/>
              <w:bottom w:val="single" w:sz="4" w:space="0" w:color="auto"/>
              <w:right w:val="single" w:sz="4" w:space="0" w:color="auto"/>
            </w:tcBorders>
            <w:shd w:val="clear" w:color="auto" w:fill="auto"/>
            <w:vAlign w:val="center"/>
            <w:hideMark/>
          </w:tcPr>
          <w:p w14:paraId="0BF608BF" w14:textId="77777777" w:rsidR="00DC5B80" w:rsidRPr="00DC5B80" w:rsidRDefault="00DC5B80" w:rsidP="00DC5B80">
            <w:pPr>
              <w:ind w:firstLine="0"/>
              <w:jc w:val="left"/>
              <w:rPr>
                <w:rFonts w:eastAsia="Times New Roman" w:cs="Times New Roman"/>
                <w:color w:val="000000"/>
                <w:sz w:val="22"/>
                <w:lang w:eastAsia="ru-RU"/>
              </w:rPr>
            </w:pPr>
            <w:r w:rsidRPr="00DC5B80">
              <w:rPr>
                <w:rFonts w:eastAsia="Times New Roman" w:cs="Times New Roman"/>
                <w:color w:val="000000"/>
                <w:sz w:val="22"/>
                <w:lang w:eastAsia="ru-RU"/>
              </w:rPr>
              <w:t>м</w:t>
            </w:r>
          </w:p>
        </w:tc>
      </w:tr>
      <w:tr w:rsidR="00DC5B80" w:rsidRPr="00DC5B80" w14:paraId="5FB43D98" w14:textId="77777777" w:rsidTr="006C45D3">
        <w:trPr>
          <w:trHeight w:val="20"/>
          <w:jc w:val="center"/>
        </w:trPr>
        <w:tc>
          <w:tcPr>
            <w:tcW w:w="522" w:type="dxa"/>
            <w:tcBorders>
              <w:top w:val="nil"/>
              <w:left w:val="single" w:sz="4" w:space="0" w:color="auto"/>
              <w:bottom w:val="single" w:sz="4" w:space="0" w:color="auto"/>
              <w:right w:val="single" w:sz="4" w:space="0" w:color="auto"/>
            </w:tcBorders>
            <w:shd w:val="clear" w:color="auto" w:fill="auto"/>
            <w:vAlign w:val="center"/>
            <w:hideMark/>
          </w:tcPr>
          <w:p w14:paraId="19549A46" w14:textId="77777777" w:rsidR="00DC5B80" w:rsidRPr="00DC5B80" w:rsidRDefault="00DC5B80" w:rsidP="00DC5B80">
            <w:pPr>
              <w:ind w:firstLine="0"/>
              <w:jc w:val="center"/>
              <w:rPr>
                <w:rFonts w:eastAsia="Times New Roman" w:cs="Times New Roman"/>
                <w:color w:val="000000"/>
                <w:sz w:val="22"/>
                <w:lang w:eastAsia="ru-RU"/>
              </w:rPr>
            </w:pPr>
            <w:r w:rsidRPr="00DC5B80">
              <w:rPr>
                <w:rFonts w:eastAsia="Times New Roman" w:cs="Times New Roman"/>
                <w:color w:val="000000"/>
                <w:sz w:val="22"/>
                <w:lang w:eastAsia="ru-RU"/>
              </w:rPr>
              <w:t>21</w:t>
            </w:r>
          </w:p>
        </w:tc>
        <w:tc>
          <w:tcPr>
            <w:tcW w:w="3159" w:type="dxa"/>
            <w:tcBorders>
              <w:top w:val="nil"/>
              <w:left w:val="nil"/>
              <w:bottom w:val="single" w:sz="4" w:space="0" w:color="auto"/>
              <w:right w:val="single" w:sz="4" w:space="0" w:color="auto"/>
            </w:tcBorders>
            <w:shd w:val="clear" w:color="auto" w:fill="auto"/>
            <w:vAlign w:val="center"/>
            <w:hideMark/>
          </w:tcPr>
          <w:p w14:paraId="5DAF2A19" w14:textId="77777777" w:rsidR="00DC5B80" w:rsidRPr="00DC5B80" w:rsidRDefault="00DC5B80" w:rsidP="00DC5B80">
            <w:pPr>
              <w:ind w:firstLine="0"/>
              <w:jc w:val="left"/>
              <w:rPr>
                <w:rFonts w:eastAsia="Times New Roman" w:cs="Times New Roman"/>
                <w:color w:val="000000"/>
                <w:sz w:val="22"/>
                <w:lang w:eastAsia="ru-RU"/>
              </w:rPr>
            </w:pPr>
            <w:r w:rsidRPr="00DC5B80">
              <w:rPr>
                <w:rFonts w:eastAsia="Times New Roman" w:cs="Times New Roman"/>
                <w:color w:val="000000"/>
                <w:sz w:val="22"/>
                <w:lang w:eastAsia="ru-RU"/>
              </w:rPr>
              <w:t>Расстояние от объекта до локального(-ых) центра(-ов), отрицательно влияющего(-их) на стоимость объектов недвижимости</w:t>
            </w:r>
          </w:p>
        </w:tc>
        <w:tc>
          <w:tcPr>
            <w:tcW w:w="3211" w:type="dxa"/>
            <w:tcBorders>
              <w:top w:val="nil"/>
              <w:left w:val="nil"/>
              <w:bottom w:val="single" w:sz="4" w:space="0" w:color="auto"/>
              <w:right w:val="single" w:sz="4" w:space="0" w:color="auto"/>
            </w:tcBorders>
            <w:shd w:val="clear" w:color="auto" w:fill="auto"/>
            <w:vAlign w:val="center"/>
            <w:hideMark/>
          </w:tcPr>
          <w:p w14:paraId="23EEE38A" w14:textId="77777777" w:rsidR="00DC5B80" w:rsidRPr="00DC5B80" w:rsidRDefault="00DC5B80" w:rsidP="00DC5B80">
            <w:pPr>
              <w:ind w:firstLine="0"/>
              <w:jc w:val="left"/>
              <w:rPr>
                <w:rFonts w:eastAsia="Times New Roman" w:cs="Times New Roman"/>
                <w:color w:val="000000"/>
                <w:sz w:val="22"/>
                <w:lang w:eastAsia="ru-RU"/>
              </w:rPr>
            </w:pPr>
            <w:r w:rsidRPr="00DC5B80">
              <w:rPr>
                <w:rFonts w:eastAsia="Times New Roman" w:cs="Times New Roman"/>
                <w:color w:val="000000"/>
                <w:sz w:val="22"/>
                <w:lang w:eastAsia="ru-RU"/>
              </w:rPr>
              <w:t>Графический</w:t>
            </w:r>
          </w:p>
        </w:tc>
        <w:tc>
          <w:tcPr>
            <w:tcW w:w="2876" w:type="dxa"/>
            <w:tcBorders>
              <w:top w:val="nil"/>
              <w:left w:val="nil"/>
              <w:bottom w:val="single" w:sz="4" w:space="0" w:color="auto"/>
              <w:right w:val="single" w:sz="4" w:space="0" w:color="auto"/>
            </w:tcBorders>
            <w:shd w:val="clear" w:color="auto" w:fill="auto"/>
            <w:vAlign w:val="center"/>
            <w:hideMark/>
          </w:tcPr>
          <w:p w14:paraId="1E9BF289" w14:textId="77777777" w:rsidR="00DC5B80" w:rsidRPr="00DC5B80" w:rsidRDefault="00DC5B80" w:rsidP="00DC5B80">
            <w:pPr>
              <w:ind w:firstLine="0"/>
              <w:jc w:val="left"/>
              <w:rPr>
                <w:rFonts w:eastAsia="Times New Roman" w:cs="Times New Roman"/>
                <w:color w:val="000000"/>
                <w:sz w:val="22"/>
                <w:lang w:eastAsia="ru-RU"/>
              </w:rPr>
            </w:pPr>
            <w:r w:rsidRPr="00DC5B80">
              <w:rPr>
                <w:rFonts w:eastAsia="Times New Roman" w:cs="Times New Roman"/>
                <w:color w:val="000000"/>
                <w:sz w:val="22"/>
                <w:lang w:eastAsia="ru-RU"/>
              </w:rPr>
              <w:t>м</w:t>
            </w:r>
          </w:p>
        </w:tc>
      </w:tr>
      <w:tr w:rsidR="00DC5B80" w:rsidRPr="00DC5B80" w14:paraId="7C2484CA" w14:textId="77777777" w:rsidTr="006C45D3">
        <w:trPr>
          <w:trHeight w:val="20"/>
          <w:jc w:val="center"/>
        </w:trPr>
        <w:tc>
          <w:tcPr>
            <w:tcW w:w="522" w:type="dxa"/>
            <w:tcBorders>
              <w:top w:val="nil"/>
              <w:left w:val="single" w:sz="4" w:space="0" w:color="auto"/>
              <w:bottom w:val="single" w:sz="4" w:space="0" w:color="auto"/>
              <w:right w:val="single" w:sz="4" w:space="0" w:color="auto"/>
            </w:tcBorders>
            <w:shd w:val="clear" w:color="auto" w:fill="auto"/>
            <w:vAlign w:val="center"/>
            <w:hideMark/>
          </w:tcPr>
          <w:p w14:paraId="20ABE988" w14:textId="77777777" w:rsidR="00DC5B80" w:rsidRPr="00DC5B80" w:rsidRDefault="00DC5B80" w:rsidP="00DC5B80">
            <w:pPr>
              <w:ind w:firstLine="0"/>
              <w:jc w:val="center"/>
              <w:rPr>
                <w:rFonts w:eastAsia="Times New Roman" w:cs="Times New Roman"/>
                <w:color w:val="000000"/>
                <w:sz w:val="22"/>
                <w:lang w:eastAsia="ru-RU"/>
              </w:rPr>
            </w:pPr>
            <w:r w:rsidRPr="00DC5B80">
              <w:rPr>
                <w:rFonts w:eastAsia="Times New Roman" w:cs="Times New Roman"/>
                <w:color w:val="000000"/>
                <w:sz w:val="22"/>
                <w:lang w:eastAsia="ru-RU"/>
              </w:rPr>
              <w:t>22</w:t>
            </w:r>
          </w:p>
        </w:tc>
        <w:tc>
          <w:tcPr>
            <w:tcW w:w="3159" w:type="dxa"/>
            <w:tcBorders>
              <w:top w:val="nil"/>
              <w:left w:val="nil"/>
              <w:bottom w:val="single" w:sz="4" w:space="0" w:color="auto"/>
              <w:right w:val="single" w:sz="4" w:space="0" w:color="auto"/>
            </w:tcBorders>
            <w:shd w:val="clear" w:color="auto" w:fill="auto"/>
            <w:vAlign w:val="center"/>
            <w:hideMark/>
          </w:tcPr>
          <w:p w14:paraId="7E2ABCCD" w14:textId="77777777" w:rsidR="00DC5B80" w:rsidRPr="00DC5B80" w:rsidRDefault="00DC5B80" w:rsidP="00DC5B80">
            <w:pPr>
              <w:ind w:firstLine="0"/>
              <w:jc w:val="left"/>
              <w:rPr>
                <w:rFonts w:eastAsia="Times New Roman" w:cs="Times New Roman"/>
                <w:color w:val="000000"/>
                <w:sz w:val="22"/>
                <w:lang w:eastAsia="ru-RU"/>
              </w:rPr>
            </w:pPr>
            <w:r w:rsidRPr="00DC5B80">
              <w:rPr>
                <w:rFonts w:eastAsia="Times New Roman" w:cs="Times New Roman"/>
                <w:color w:val="000000"/>
                <w:sz w:val="22"/>
                <w:lang w:eastAsia="ru-RU"/>
              </w:rPr>
              <w:t>Год постройки</w:t>
            </w:r>
          </w:p>
        </w:tc>
        <w:tc>
          <w:tcPr>
            <w:tcW w:w="3211" w:type="dxa"/>
            <w:tcBorders>
              <w:top w:val="nil"/>
              <w:left w:val="nil"/>
              <w:bottom w:val="single" w:sz="4" w:space="0" w:color="auto"/>
              <w:right w:val="single" w:sz="4" w:space="0" w:color="auto"/>
            </w:tcBorders>
            <w:shd w:val="clear" w:color="auto" w:fill="auto"/>
            <w:vAlign w:val="center"/>
            <w:hideMark/>
          </w:tcPr>
          <w:p w14:paraId="4899FFBB" w14:textId="77777777" w:rsidR="00DC5B80" w:rsidRPr="00DC5B80" w:rsidRDefault="00DC5B80" w:rsidP="00DC5B80">
            <w:pPr>
              <w:ind w:firstLine="0"/>
              <w:jc w:val="left"/>
              <w:rPr>
                <w:rFonts w:eastAsia="Times New Roman" w:cs="Times New Roman"/>
                <w:color w:val="000000"/>
                <w:sz w:val="22"/>
                <w:lang w:eastAsia="ru-RU"/>
              </w:rPr>
            </w:pPr>
            <w:r w:rsidRPr="00DC5B80">
              <w:rPr>
                <w:rFonts w:eastAsia="Times New Roman" w:cs="Times New Roman"/>
                <w:color w:val="000000"/>
                <w:sz w:val="22"/>
                <w:lang w:eastAsia="ru-RU"/>
              </w:rPr>
              <w:t>Семантический</w:t>
            </w:r>
          </w:p>
        </w:tc>
        <w:tc>
          <w:tcPr>
            <w:tcW w:w="2876" w:type="dxa"/>
            <w:tcBorders>
              <w:top w:val="nil"/>
              <w:left w:val="nil"/>
              <w:bottom w:val="single" w:sz="4" w:space="0" w:color="auto"/>
              <w:right w:val="single" w:sz="4" w:space="0" w:color="auto"/>
            </w:tcBorders>
            <w:shd w:val="clear" w:color="auto" w:fill="auto"/>
            <w:vAlign w:val="center"/>
            <w:hideMark/>
          </w:tcPr>
          <w:p w14:paraId="56F47B21" w14:textId="77777777" w:rsidR="00DC5B80" w:rsidRPr="00DC5B80" w:rsidRDefault="00DC5B80" w:rsidP="00DC5B80">
            <w:pPr>
              <w:ind w:firstLine="0"/>
              <w:jc w:val="left"/>
              <w:rPr>
                <w:rFonts w:eastAsia="Times New Roman" w:cs="Times New Roman"/>
                <w:color w:val="000000"/>
                <w:sz w:val="22"/>
                <w:lang w:eastAsia="ru-RU"/>
              </w:rPr>
            </w:pPr>
            <w:r w:rsidRPr="00DC5B80">
              <w:rPr>
                <w:rFonts w:eastAsia="Times New Roman" w:cs="Times New Roman"/>
                <w:color w:val="000000"/>
                <w:sz w:val="22"/>
                <w:lang w:eastAsia="ru-RU"/>
              </w:rPr>
              <w:t>год</w:t>
            </w:r>
          </w:p>
        </w:tc>
      </w:tr>
      <w:tr w:rsidR="00DC5B80" w:rsidRPr="00DC5B80" w14:paraId="05DA6E09" w14:textId="77777777" w:rsidTr="006C45D3">
        <w:trPr>
          <w:trHeight w:val="20"/>
          <w:jc w:val="center"/>
        </w:trPr>
        <w:tc>
          <w:tcPr>
            <w:tcW w:w="522" w:type="dxa"/>
            <w:tcBorders>
              <w:top w:val="nil"/>
              <w:left w:val="single" w:sz="4" w:space="0" w:color="auto"/>
              <w:bottom w:val="single" w:sz="4" w:space="0" w:color="auto"/>
              <w:right w:val="single" w:sz="4" w:space="0" w:color="auto"/>
            </w:tcBorders>
            <w:shd w:val="clear" w:color="auto" w:fill="auto"/>
            <w:vAlign w:val="center"/>
            <w:hideMark/>
          </w:tcPr>
          <w:p w14:paraId="2007377D" w14:textId="77777777" w:rsidR="00DC5B80" w:rsidRPr="00DC5B80" w:rsidRDefault="00DC5B80" w:rsidP="00DC5B80">
            <w:pPr>
              <w:ind w:firstLine="0"/>
              <w:jc w:val="center"/>
              <w:rPr>
                <w:rFonts w:eastAsia="Times New Roman" w:cs="Times New Roman"/>
                <w:color w:val="000000"/>
                <w:sz w:val="22"/>
                <w:lang w:eastAsia="ru-RU"/>
              </w:rPr>
            </w:pPr>
            <w:r w:rsidRPr="00DC5B80">
              <w:rPr>
                <w:rFonts w:eastAsia="Times New Roman" w:cs="Times New Roman"/>
                <w:color w:val="000000"/>
                <w:sz w:val="22"/>
                <w:lang w:eastAsia="ru-RU"/>
              </w:rPr>
              <w:t>23</w:t>
            </w:r>
          </w:p>
        </w:tc>
        <w:tc>
          <w:tcPr>
            <w:tcW w:w="3159" w:type="dxa"/>
            <w:tcBorders>
              <w:top w:val="nil"/>
              <w:left w:val="nil"/>
              <w:bottom w:val="single" w:sz="4" w:space="0" w:color="auto"/>
              <w:right w:val="single" w:sz="4" w:space="0" w:color="auto"/>
            </w:tcBorders>
            <w:shd w:val="clear" w:color="auto" w:fill="auto"/>
            <w:vAlign w:val="center"/>
            <w:hideMark/>
          </w:tcPr>
          <w:p w14:paraId="4FE884DC" w14:textId="77777777" w:rsidR="00DC5B80" w:rsidRPr="00DC5B80" w:rsidRDefault="00DC5B80" w:rsidP="00DC5B80">
            <w:pPr>
              <w:ind w:firstLine="0"/>
              <w:jc w:val="left"/>
              <w:rPr>
                <w:rFonts w:eastAsia="Times New Roman" w:cs="Times New Roman"/>
                <w:color w:val="000000"/>
                <w:sz w:val="22"/>
                <w:lang w:eastAsia="ru-RU"/>
              </w:rPr>
            </w:pPr>
            <w:r w:rsidRPr="00DC5B80">
              <w:rPr>
                <w:rFonts w:eastAsia="Times New Roman" w:cs="Times New Roman"/>
                <w:color w:val="000000"/>
                <w:sz w:val="22"/>
                <w:lang w:eastAsia="ru-RU"/>
              </w:rPr>
              <w:t>Площадь</w:t>
            </w:r>
          </w:p>
        </w:tc>
        <w:tc>
          <w:tcPr>
            <w:tcW w:w="3211" w:type="dxa"/>
            <w:tcBorders>
              <w:top w:val="nil"/>
              <w:left w:val="nil"/>
              <w:bottom w:val="single" w:sz="4" w:space="0" w:color="auto"/>
              <w:right w:val="single" w:sz="4" w:space="0" w:color="auto"/>
            </w:tcBorders>
            <w:shd w:val="clear" w:color="auto" w:fill="auto"/>
            <w:vAlign w:val="center"/>
            <w:hideMark/>
          </w:tcPr>
          <w:p w14:paraId="263DCC95" w14:textId="77777777" w:rsidR="00DC5B80" w:rsidRPr="00DC5B80" w:rsidRDefault="00DC5B80" w:rsidP="00DC5B80">
            <w:pPr>
              <w:ind w:firstLine="0"/>
              <w:jc w:val="left"/>
              <w:rPr>
                <w:rFonts w:eastAsia="Times New Roman" w:cs="Times New Roman"/>
                <w:color w:val="000000"/>
                <w:sz w:val="22"/>
                <w:lang w:eastAsia="ru-RU"/>
              </w:rPr>
            </w:pPr>
            <w:r w:rsidRPr="00DC5B80">
              <w:rPr>
                <w:rFonts w:eastAsia="Times New Roman" w:cs="Times New Roman"/>
                <w:color w:val="000000"/>
                <w:sz w:val="22"/>
                <w:lang w:eastAsia="ru-RU"/>
              </w:rPr>
              <w:t>Семантический</w:t>
            </w:r>
          </w:p>
        </w:tc>
        <w:tc>
          <w:tcPr>
            <w:tcW w:w="2876" w:type="dxa"/>
            <w:tcBorders>
              <w:top w:val="nil"/>
              <w:left w:val="nil"/>
              <w:bottom w:val="single" w:sz="4" w:space="0" w:color="auto"/>
              <w:right w:val="single" w:sz="4" w:space="0" w:color="auto"/>
            </w:tcBorders>
            <w:shd w:val="clear" w:color="auto" w:fill="auto"/>
            <w:vAlign w:val="center"/>
            <w:hideMark/>
          </w:tcPr>
          <w:p w14:paraId="2BDE2FBF" w14:textId="77777777" w:rsidR="00DC5B80" w:rsidRPr="00DC5B80" w:rsidRDefault="00DC5B80" w:rsidP="00DC5B80">
            <w:pPr>
              <w:ind w:firstLine="0"/>
              <w:jc w:val="left"/>
              <w:rPr>
                <w:rFonts w:eastAsia="Times New Roman" w:cs="Times New Roman"/>
                <w:color w:val="000000"/>
                <w:sz w:val="22"/>
                <w:lang w:eastAsia="ru-RU"/>
              </w:rPr>
            </w:pPr>
            <w:r w:rsidRPr="00DC5B80">
              <w:rPr>
                <w:rFonts w:eastAsia="Times New Roman" w:cs="Times New Roman"/>
                <w:color w:val="000000"/>
                <w:sz w:val="22"/>
                <w:lang w:eastAsia="ru-RU"/>
              </w:rPr>
              <w:t>кв.м</w:t>
            </w:r>
          </w:p>
        </w:tc>
      </w:tr>
      <w:tr w:rsidR="00DC5B80" w:rsidRPr="00DC5B80" w14:paraId="581DEB46" w14:textId="77777777" w:rsidTr="006C45D3">
        <w:trPr>
          <w:trHeight w:val="20"/>
          <w:jc w:val="center"/>
        </w:trPr>
        <w:tc>
          <w:tcPr>
            <w:tcW w:w="522" w:type="dxa"/>
            <w:tcBorders>
              <w:top w:val="nil"/>
              <w:left w:val="single" w:sz="4" w:space="0" w:color="auto"/>
              <w:bottom w:val="single" w:sz="4" w:space="0" w:color="auto"/>
              <w:right w:val="single" w:sz="4" w:space="0" w:color="auto"/>
            </w:tcBorders>
            <w:shd w:val="clear" w:color="auto" w:fill="auto"/>
            <w:vAlign w:val="center"/>
            <w:hideMark/>
          </w:tcPr>
          <w:p w14:paraId="27BBF2DD" w14:textId="77777777" w:rsidR="00DC5B80" w:rsidRPr="00DC5B80" w:rsidRDefault="00DC5B80" w:rsidP="00DC5B80">
            <w:pPr>
              <w:ind w:firstLine="0"/>
              <w:jc w:val="center"/>
              <w:rPr>
                <w:rFonts w:eastAsia="Times New Roman" w:cs="Times New Roman"/>
                <w:color w:val="000000"/>
                <w:sz w:val="22"/>
                <w:lang w:eastAsia="ru-RU"/>
              </w:rPr>
            </w:pPr>
            <w:r w:rsidRPr="00DC5B80">
              <w:rPr>
                <w:rFonts w:eastAsia="Times New Roman" w:cs="Times New Roman"/>
                <w:color w:val="000000"/>
                <w:sz w:val="22"/>
                <w:lang w:eastAsia="ru-RU"/>
              </w:rPr>
              <w:t>24</w:t>
            </w:r>
          </w:p>
        </w:tc>
        <w:tc>
          <w:tcPr>
            <w:tcW w:w="3159" w:type="dxa"/>
            <w:tcBorders>
              <w:top w:val="nil"/>
              <w:left w:val="nil"/>
              <w:bottom w:val="single" w:sz="4" w:space="0" w:color="auto"/>
              <w:right w:val="single" w:sz="4" w:space="0" w:color="auto"/>
            </w:tcBorders>
            <w:shd w:val="clear" w:color="auto" w:fill="auto"/>
            <w:vAlign w:val="center"/>
            <w:hideMark/>
          </w:tcPr>
          <w:p w14:paraId="7060C679" w14:textId="77777777" w:rsidR="00DC5B80" w:rsidRPr="00DC5B80" w:rsidRDefault="00DC5B80" w:rsidP="00DC5B80">
            <w:pPr>
              <w:ind w:firstLine="0"/>
              <w:jc w:val="left"/>
              <w:rPr>
                <w:rFonts w:eastAsia="Times New Roman" w:cs="Times New Roman"/>
                <w:color w:val="000000"/>
                <w:sz w:val="22"/>
                <w:lang w:eastAsia="ru-RU"/>
              </w:rPr>
            </w:pPr>
            <w:r w:rsidRPr="00DC5B80">
              <w:rPr>
                <w:rFonts w:eastAsia="Times New Roman" w:cs="Times New Roman"/>
                <w:color w:val="000000"/>
                <w:sz w:val="22"/>
                <w:lang w:eastAsia="ru-RU"/>
              </w:rPr>
              <w:t>Этаж (первый, последний, остальные)</w:t>
            </w:r>
          </w:p>
        </w:tc>
        <w:tc>
          <w:tcPr>
            <w:tcW w:w="3211" w:type="dxa"/>
            <w:tcBorders>
              <w:top w:val="nil"/>
              <w:left w:val="nil"/>
              <w:bottom w:val="single" w:sz="4" w:space="0" w:color="auto"/>
              <w:right w:val="single" w:sz="4" w:space="0" w:color="auto"/>
            </w:tcBorders>
            <w:shd w:val="clear" w:color="auto" w:fill="auto"/>
            <w:vAlign w:val="center"/>
            <w:hideMark/>
          </w:tcPr>
          <w:p w14:paraId="4BAB0705" w14:textId="77777777" w:rsidR="00DC5B80" w:rsidRPr="00DC5B80" w:rsidRDefault="00DC5B80" w:rsidP="00DC5B80">
            <w:pPr>
              <w:ind w:firstLine="0"/>
              <w:jc w:val="left"/>
              <w:rPr>
                <w:rFonts w:eastAsia="Times New Roman" w:cs="Times New Roman"/>
                <w:color w:val="000000"/>
                <w:sz w:val="22"/>
                <w:lang w:eastAsia="ru-RU"/>
              </w:rPr>
            </w:pPr>
            <w:r w:rsidRPr="00DC5B80">
              <w:rPr>
                <w:rFonts w:eastAsia="Times New Roman" w:cs="Times New Roman"/>
                <w:color w:val="000000"/>
                <w:sz w:val="22"/>
                <w:lang w:eastAsia="ru-RU"/>
              </w:rPr>
              <w:t>Семантический</w:t>
            </w:r>
          </w:p>
        </w:tc>
        <w:tc>
          <w:tcPr>
            <w:tcW w:w="2876" w:type="dxa"/>
            <w:tcBorders>
              <w:top w:val="nil"/>
              <w:left w:val="nil"/>
              <w:bottom w:val="single" w:sz="4" w:space="0" w:color="auto"/>
              <w:right w:val="single" w:sz="4" w:space="0" w:color="auto"/>
            </w:tcBorders>
            <w:shd w:val="clear" w:color="auto" w:fill="auto"/>
            <w:vAlign w:val="center"/>
            <w:hideMark/>
          </w:tcPr>
          <w:p w14:paraId="7B39166A" w14:textId="251E2B65" w:rsidR="00DC5B80" w:rsidRPr="00DC5B80" w:rsidRDefault="00DC5B80" w:rsidP="00DC5B80">
            <w:pPr>
              <w:ind w:firstLine="0"/>
              <w:jc w:val="left"/>
              <w:rPr>
                <w:rFonts w:eastAsia="Times New Roman" w:cs="Times New Roman"/>
                <w:color w:val="000000"/>
                <w:sz w:val="22"/>
                <w:lang w:eastAsia="ru-RU"/>
              </w:rPr>
            </w:pPr>
            <w:r w:rsidRPr="00DC5B80">
              <w:rPr>
                <w:rFonts w:eastAsia="Times New Roman" w:cs="Times New Roman"/>
                <w:color w:val="000000"/>
                <w:sz w:val="22"/>
                <w:lang w:eastAsia="ru-RU"/>
              </w:rPr>
              <w:t>первый/</w:t>
            </w:r>
            <w:r w:rsidR="007A34C9" w:rsidRPr="00DC5B80">
              <w:rPr>
                <w:rFonts w:eastAsia="Times New Roman" w:cs="Times New Roman"/>
                <w:color w:val="000000"/>
                <w:sz w:val="22"/>
                <w:lang w:eastAsia="ru-RU"/>
              </w:rPr>
              <w:t xml:space="preserve"> последний/ остальные</w:t>
            </w:r>
          </w:p>
        </w:tc>
      </w:tr>
      <w:tr w:rsidR="00DC5B80" w:rsidRPr="00DC5B80" w14:paraId="492D4A62" w14:textId="77777777" w:rsidTr="006C45D3">
        <w:trPr>
          <w:trHeight w:val="20"/>
          <w:jc w:val="center"/>
        </w:trPr>
        <w:tc>
          <w:tcPr>
            <w:tcW w:w="522" w:type="dxa"/>
            <w:tcBorders>
              <w:top w:val="nil"/>
              <w:left w:val="single" w:sz="4" w:space="0" w:color="auto"/>
              <w:bottom w:val="single" w:sz="4" w:space="0" w:color="auto"/>
              <w:right w:val="single" w:sz="4" w:space="0" w:color="auto"/>
            </w:tcBorders>
            <w:shd w:val="clear" w:color="auto" w:fill="auto"/>
            <w:vAlign w:val="center"/>
            <w:hideMark/>
          </w:tcPr>
          <w:p w14:paraId="7E037963" w14:textId="77777777" w:rsidR="00DC5B80" w:rsidRPr="00DC5B80" w:rsidRDefault="00DC5B80" w:rsidP="00DC5B80">
            <w:pPr>
              <w:ind w:firstLine="0"/>
              <w:jc w:val="center"/>
              <w:rPr>
                <w:rFonts w:eastAsia="Times New Roman" w:cs="Times New Roman"/>
                <w:color w:val="000000"/>
                <w:sz w:val="22"/>
                <w:lang w:eastAsia="ru-RU"/>
              </w:rPr>
            </w:pPr>
            <w:r w:rsidRPr="00DC5B80">
              <w:rPr>
                <w:rFonts w:eastAsia="Times New Roman" w:cs="Times New Roman"/>
                <w:color w:val="000000"/>
                <w:sz w:val="22"/>
                <w:lang w:eastAsia="ru-RU"/>
              </w:rPr>
              <w:t>25</w:t>
            </w:r>
          </w:p>
        </w:tc>
        <w:tc>
          <w:tcPr>
            <w:tcW w:w="3159" w:type="dxa"/>
            <w:tcBorders>
              <w:top w:val="nil"/>
              <w:left w:val="nil"/>
              <w:bottom w:val="single" w:sz="4" w:space="0" w:color="auto"/>
              <w:right w:val="single" w:sz="4" w:space="0" w:color="auto"/>
            </w:tcBorders>
            <w:shd w:val="clear" w:color="auto" w:fill="auto"/>
            <w:vAlign w:val="center"/>
            <w:hideMark/>
          </w:tcPr>
          <w:p w14:paraId="6654C71E" w14:textId="77777777" w:rsidR="00DC5B80" w:rsidRPr="00DC5B80" w:rsidRDefault="00DC5B80" w:rsidP="00DC5B80">
            <w:pPr>
              <w:ind w:firstLine="0"/>
              <w:jc w:val="left"/>
              <w:rPr>
                <w:rFonts w:eastAsia="Times New Roman" w:cs="Times New Roman"/>
                <w:color w:val="000000"/>
                <w:sz w:val="22"/>
                <w:lang w:eastAsia="ru-RU"/>
              </w:rPr>
            </w:pPr>
            <w:r w:rsidRPr="00DC5B80">
              <w:rPr>
                <w:rFonts w:eastAsia="Times New Roman" w:cs="Times New Roman"/>
                <w:color w:val="000000"/>
                <w:sz w:val="22"/>
                <w:lang w:eastAsia="ru-RU"/>
              </w:rPr>
              <w:t>Материал стен</w:t>
            </w:r>
          </w:p>
        </w:tc>
        <w:tc>
          <w:tcPr>
            <w:tcW w:w="3211" w:type="dxa"/>
            <w:tcBorders>
              <w:top w:val="nil"/>
              <w:left w:val="nil"/>
              <w:bottom w:val="single" w:sz="4" w:space="0" w:color="auto"/>
              <w:right w:val="single" w:sz="4" w:space="0" w:color="auto"/>
            </w:tcBorders>
            <w:shd w:val="clear" w:color="auto" w:fill="auto"/>
            <w:vAlign w:val="center"/>
            <w:hideMark/>
          </w:tcPr>
          <w:p w14:paraId="5D67C95A" w14:textId="77777777" w:rsidR="00DC5B80" w:rsidRPr="00DC5B80" w:rsidRDefault="00DC5B80" w:rsidP="00DC5B80">
            <w:pPr>
              <w:ind w:firstLine="0"/>
              <w:jc w:val="left"/>
              <w:rPr>
                <w:rFonts w:eastAsia="Times New Roman" w:cs="Times New Roman"/>
                <w:color w:val="000000"/>
                <w:sz w:val="22"/>
                <w:lang w:eastAsia="ru-RU"/>
              </w:rPr>
            </w:pPr>
            <w:r w:rsidRPr="00DC5B80">
              <w:rPr>
                <w:rFonts w:eastAsia="Times New Roman" w:cs="Times New Roman"/>
                <w:color w:val="000000"/>
                <w:sz w:val="22"/>
                <w:lang w:eastAsia="ru-RU"/>
              </w:rPr>
              <w:t>Семантический</w:t>
            </w:r>
          </w:p>
        </w:tc>
        <w:tc>
          <w:tcPr>
            <w:tcW w:w="2876" w:type="dxa"/>
            <w:tcBorders>
              <w:top w:val="nil"/>
              <w:left w:val="nil"/>
              <w:bottom w:val="single" w:sz="4" w:space="0" w:color="auto"/>
              <w:right w:val="single" w:sz="4" w:space="0" w:color="auto"/>
            </w:tcBorders>
            <w:shd w:val="clear" w:color="auto" w:fill="auto"/>
            <w:vAlign w:val="center"/>
            <w:hideMark/>
          </w:tcPr>
          <w:p w14:paraId="71A45A68" w14:textId="77777777" w:rsidR="00DC5B80" w:rsidRPr="00DC5B80" w:rsidRDefault="00DC5B80" w:rsidP="00DC5B80">
            <w:pPr>
              <w:ind w:firstLine="0"/>
              <w:jc w:val="left"/>
              <w:rPr>
                <w:rFonts w:eastAsia="Times New Roman" w:cs="Times New Roman"/>
                <w:color w:val="000000"/>
                <w:sz w:val="22"/>
                <w:lang w:eastAsia="ru-RU"/>
              </w:rPr>
            </w:pPr>
            <w:r w:rsidRPr="00DC5B80">
              <w:rPr>
                <w:rFonts w:eastAsia="Times New Roman" w:cs="Times New Roman"/>
                <w:color w:val="000000"/>
                <w:sz w:val="22"/>
                <w:lang w:eastAsia="ru-RU"/>
              </w:rPr>
              <w:t>название материала стен</w:t>
            </w:r>
          </w:p>
        </w:tc>
      </w:tr>
      <w:tr w:rsidR="00DC5B80" w:rsidRPr="00DC5B80" w14:paraId="59D5DDAD" w14:textId="77777777" w:rsidTr="006C45D3">
        <w:trPr>
          <w:trHeight w:val="20"/>
          <w:jc w:val="center"/>
        </w:trPr>
        <w:tc>
          <w:tcPr>
            <w:tcW w:w="522" w:type="dxa"/>
            <w:tcBorders>
              <w:top w:val="nil"/>
              <w:left w:val="single" w:sz="4" w:space="0" w:color="auto"/>
              <w:bottom w:val="single" w:sz="4" w:space="0" w:color="auto"/>
              <w:right w:val="single" w:sz="4" w:space="0" w:color="auto"/>
            </w:tcBorders>
            <w:shd w:val="clear" w:color="auto" w:fill="auto"/>
            <w:vAlign w:val="center"/>
            <w:hideMark/>
          </w:tcPr>
          <w:p w14:paraId="698B5C27" w14:textId="77777777" w:rsidR="00DC5B80" w:rsidRPr="00DC5B80" w:rsidRDefault="00DC5B80" w:rsidP="00DC5B80">
            <w:pPr>
              <w:ind w:firstLine="0"/>
              <w:jc w:val="center"/>
              <w:rPr>
                <w:rFonts w:eastAsia="Times New Roman" w:cs="Times New Roman"/>
                <w:color w:val="000000"/>
                <w:sz w:val="22"/>
                <w:lang w:eastAsia="ru-RU"/>
              </w:rPr>
            </w:pPr>
            <w:r w:rsidRPr="00DC5B80">
              <w:rPr>
                <w:rFonts w:eastAsia="Times New Roman" w:cs="Times New Roman"/>
                <w:color w:val="000000"/>
                <w:sz w:val="22"/>
                <w:lang w:eastAsia="ru-RU"/>
              </w:rPr>
              <w:t>26</w:t>
            </w:r>
          </w:p>
        </w:tc>
        <w:tc>
          <w:tcPr>
            <w:tcW w:w="3159" w:type="dxa"/>
            <w:tcBorders>
              <w:top w:val="nil"/>
              <w:left w:val="nil"/>
              <w:bottom w:val="single" w:sz="4" w:space="0" w:color="auto"/>
              <w:right w:val="single" w:sz="4" w:space="0" w:color="auto"/>
            </w:tcBorders>
            <w:shd w:val="clear" w:color="auto" w:fill="auto"/>
            <w:vAlign w:val="center"/>
            <w:hideMark/>
          </w:tcPr>
          <w:p w14:paraId="225B3A1B" w14:textId="77777777" w:rsidR="00DC5B80" w:rsidRPr="00DC5B80" w:rsidRDefault="00DC5B80" w:rsidP="00DC5B80">
            <w:pPr>
              <w:ind w:firstLine="0"/>
              <w:jc w:val="left"/>
              <w:rPr>
                <w:rFonts w:eastAsia="Times New Roman" w:cs="Times New Roman"/>
                <w:color w:val="000000"/>
                <w:sz w:val="22"/>
                <w:lang w:eastAsia="ru-RU"/>
              </w:rPr>
            </w:pPr>
            <w:r w:rsidRPr="00DC5B80">
              <w:rPr>
                <w:rFonts w:eastAsia="Times New Roman" w:cs="Times New Roman"/>
                <w:color w:val="000000"/>
                <w:sz w:val="22"/>
                <w:lang w:eastAsia="ru-RU"/>
              </w:rPr>
              <w:t>Статус населенного пункта</w:t>
            </w:r>
          </w:p>
        </w:tc>
        <w:tc>
          <w:tcPr>
            <w:tcW w:w="3211" w:type="dxa"/>
            <w:tcBorders>
              <w:top w:val="nil"/>
              <w:left w:val="nil"/>
              <w:bottom w:val="single" w:sz="4" w:space="0" w:color="auto"/>
              <w:right w:val="single" w:sz="4" w:space="0" w:color="auto"/>
            </w:tcBorders>
            <w:shd w:val="clear" w:color="auto" w:fill="auto"/>
            <w:vAlign w:val="center"/>
            <w:hideMark/>
          </w:tcPr>
          <w:p w14:paraId="20D0F3E7" w14:textId="77777777" w:rsidR="00DC5B80" w:rsidRPr="00DC5B80" w:rsidRDefault="00DC5B80" w:rsidP="00DC5B80">
            <w:pPr>
              <w:ind w:firstLine="0"/>
              <w:jc w:val="left"/>
              <w:rPr>
                <w:rFonts w:eastAsia="Times New Roman" w:cs="Times New Roman"/>
                <w:color w:val="000000"/>
                <w:sz w:val="22"/>
                <w:lang w:eastAsia="ru-RU"/>
              </w:rPr>
            </w:pPr>
            <w:r w:rsidRPr="00DC5B80">
              <w:rPr>
                <w:rFonts w:eastAsia="Times New Roman" w:cs="Times New Roman"/>
                <w:color w:val="000000"/>
                <w:sz w:val="22"/>
                <w:lang w:eastAsia="ru-RU"/>
              </w:rPr>
              <w:t>Семантический</w:t>
            </w:r>
          </w:p>
        </w:tc>
        <w:tc>
          <w:tcPr>
            <w:tcW w:w="2876" w:type="dxa"/>
            <w:tcBorders>
              <w:top w:val="nil"/>
              <w:left w:val="nil"/>
              <w:bottom w:val="single" w:sz="4" w:space="0" w:color="auto"/>
              <w:right w:val="single" w:sz="4" w:space="0" w:color="auto"/>
            </w:tcBorders>
            <w:shd w:val="clear" w:color="auto" w:fill="auto"/>
            <w:vAlign w:val="center"/>
            <w:hideMark/>
          </w:tcPr>
          <w:p w14:paraId="0B29B372" w14:textId="77777777" w:rsidR="00DC5B80" w:rsidRPr="00DC5B80" w:rsidRDefault="00DC5B80" w:rsidP="00DC5B80">
            <w:pPr>
              <w:ind w:firstLine="0"/>
              <w:jc w:val="left"/>
              <w:rPr>
                <w:rFonts w:eastAsia="Times New Roman" w:cs="Times New Roman"/>
                <w:color w:val="000000"/>
                <w:sz w:val="22"/>
                <w:lang w:eastAsia="ru-RU"/>
              </w:rPr>
            </w:pPr>
            <w:r w:rsidRPr="00DC5B80">
              <w:rPr>
                <w:rFonts w:eastAsia="Times New Roman" w:cs="Times New Roman"/>
                <w:color w:val="000000"/>
                <w:sz w:val="22"/>
                <w:lang w:eastAsia="ru-RU"/>
              </w:rPr>
              <w:t>СНП/ГНП/Местоположение с точностью до НП установить невозможно/Нулевые квартала</w:t>
            </w:r>
          </w:p>
        </w:tc>
      </w:tr>
      <w:tr w:rsidR="00DC5B80" w:rsidRPr="00DC5B80" w14:paraId="35B75BC2" w14:textId="77777777" w:rsidTr="006C45D3">
        <w:trPr>
          <w:trHeight w:val="20"/>
          <w:jc w:val="center"/>
        </w:trPr>
        <w:tc>
          <w:tcPr>
            <w:tcW w:w="522" w:type="dxa"/>
            <w:tcBorders>
              <w:top w:val="nil"/>
              <w:left w:val="single" w:sz="4" w:space="0" w:color="auto"/>
              <w:bottom w:val="single" w:sz="4" w:space="0" w:color="auto"/>
              <w:right w:val="single" w:sz="4" w:space="0" w:color="auto"/>
            </w:tcBorders>
            <w:shd w:val="clear" w:color="auto" w:fill="auto"/>
            <w:vAlign w:val="center"/>
            <w:hideMark/>
          </w:tcPr>
          <w:p w14:paraId="7CA617B3" w14:textId="77777777" w:rsidR="00DC5B80" w:rsidRPr="00DC5B80" w:rsidRDefault="00DC5B80" w:rsidP="00DC5B80">
            <w:pPr>
              <w:ind w:firstLine="0"/>
              <w:jc w:val="center"/>
              <w:rPr>
                <w:rFonts w:eastAsia="Times New Roman" w:cs="Times New Roman"/>
                <w:color w:val="000000"/>
                <w:sz w:val="22"/>
                <w:lang w:eastAsia="ru-RU"/>
              </w:rPr>
            </w:pPr>
            <w:r w:rsidRPr="00DC5B80">
              <w:rPr>
                <w:rFonts w:eastAsia="Times New Roman" w:cs="Times New Roman"/>
                <w:color w:val="000000"/>
                <w:sz w:val="22"/>
                <w:lang w:eastAsia="ru-RU"/>
              </w:rPr>
              <w:t>27</w:t>
            </w:r>
          </w:p>
        </w:tc>
        <w:tc>
          <w:tcPr>
            <w:tcW w:w="3159" w:type="dxa"/>
            <w:tcBorders>
              <w:top w:val="nil"/>
              <w:left w:val="nil"/>
              <w:bottom w:val="single" w:sz="4" w:space="0" w:color="auto"/>
              <w:right w:val="single" w:sz="4" w:space="0" w:color="auto"/>
            </w:tcBorders>
            <w:shd w:val="clear" w:color="auto" w:fill="auto"/>
            <w:vAlign w:val="center"/>
            <w:hideMark/>
          </w:tcPr>
          <w:p w14:paraId="0AE836C6" w14:textId="77777777" w:rsidR="00DC5B80" w:rsidRPr="00DC5B80" w:rsidRDefault="00DC5B80" w:rsidP="00DC5B80">
            <w:pPr>
              <w:ind w:firstLine="0"/>
              <w:jc w:val="left"/>
              <w:rPr>
                <w:rFonts w:eastAsia="Times New Roman" w:cs="Times New Roman"/>
                <w:color w:val="000000"/>
                <w:sz w:val="22"/>
                <w:lang w:eastAsia="ru-RU"/>
              </w:rPr>
            </w:pPr>
            <w:r w:rsidRPr="00DC5B80">
              <w:rPr>
                <w:rFonts w:eastAsia="Times New Roman" w:cs="Times New Roman"/>
                <w:color w:val="000000"/>
                <w:sz w:val="22"/>
                <w:lang w:eastAsia="ru-RU"/>
              </w:rPr>
              <w:t>Количество дней до даты оценки</w:t>
            </w:r>
          </w:p>
        </w:tc>
        <w:tc>
          <w:tcPr>
            <w:tcW w:w="3211" w:type="dxa"/>
            <w:tcBorders>
              <w:top w:val="nil"/>
              <w:left w:val="nil"/>
              <w:bottom w:val="single" w:sz="4" w:space="0" w:color="auto"/>
              <w:right w:val="single" w:sz="4" w:space="0" w:color="auto"/>
            </w:tcBorders>
            <w:shd w:val="clear" w:color="auto" w:fill="auto"/>
            <w:vAlign w:val="center"/>
            <w:hideMark/>
          </w:tcPr>
          <w:p w14:paraId="098A1071" w14:textId="77777777" w:rsidR="00DC5B80" w:rsidRPr="00DC5B80" w:rsidRDefault="00DC5B80" w:rsidP="00DC5B80">
            <w:pPr>
              <w:ind w:firstLine="0"/>
              <w:jc w:val="left"/>
              <w:rPr>
                <w:rFonts w:eastAsia="Times New Roman" w:cs="Times New Roman"/>
                <w:color w:val="000000"/>
                <w:sz w:val="22"/>
                <w:lang w:eastAsia="ru-RU"/>
              </w:rPr>
            </w:pPr>
            <w:r w:rsidRPr="00DC5B80">
              <w:rPr>
                <w:rFonts w:eastAsia="Times New Roman" w:cs="Times New Roman"/>
                <w:color w:val="000000"/>
                <w:sz w:val="22"/>
                <w:lang w:eastAsia="ru-RU"/>
              </w:rPr>
              <w:t>Семантический</w:t>
            </w:r>
          </w:p>
        </w:tc>
        <w:tc>
          <w:tcPr>
            <w:tcW w:w="2876" w:type="dxa"/>
            <w:tcBorders>
              <w:top w:val="nil"/>
              <w:left w:val="nil"/>
              <w:bottom w:val="single" w:sz="4" w:space="0" w:color="auto"/>
              <w:right w:val="single" w:sz="4" w:space="0" w:color="auto"/>
            </w:tcBorders>
            <w:shd w:val="clear" w:color="auto" w:fill="auto"/>
            <w:vAlign w:val="center"/>
            <w:hideMark/>
          </w:tcPr>
          <w:p w14:paraId="10A56F9C" w14:textId="77777777" w:rsidR="00DC5B80" w:rsidRPr="00DC5B80" w:rsidRDefault="00DC5B80" w:rsidP="00DC5B80">
            <w:pPr>
              <w:ind w:firstLine="0"/>
              <w:jc w:val="left"/>
              <w:rPr>
                <w:rFonts w:eastAsia="Times New Roman" w:cs="Times New Roman"/>
                <w:color w:val="000000"/>
                <w:sz w:val="22"/>
                <w:lang w:eastAsia="ru-RU"/>
              </w:rPr>
            </w:pPr>
            <w:r w:rsidRPr="00DC5B80">
              <w:rPr>
                <w:rFonts w:eastAsia="Times New Roman" w:cs="Times New Roman"/>
                <w:color w:val="000000"/>
                <w:sz w:val="22"/>
                <w:lang w:eastAsia="ru-RU"/>
              </w:rPr>
              <w:t>дни</w:t>
            </w:r>
          </w:p>
        </w:tc>
      </w:tr>
      <w:tr w:rsidR="00DC5B80" w:rsidRPr="00DC5B80" w14:paraId="0D02A169" w14:textId="77777777" w:rsidTr="006C45D3">
        <w:trPr>
          <w:trHeight w:val="20"/>
          <w:jc w:val="center"/>
        </w:trPr>
        <w:tc>
          <w:tcPr>
            <w:tcW w:w="522" w:type="dxa"/>
            <w:tcBorders>
              <w:top w:val="nil"/>
              <w:left w:val="single" w:sz="4" w:space="0" w:color="auto"/>
              <w:bottom w:val="single" w:sz="4" w:space="0" w:color="auto"/>
              <w:right w:val="single" w:sz="4" w:space="0" w:color="auto"/>
            </w:tcBorders>
            <w:shd w:val="clear" w:color="auto" w:fill="auto"/>
            <w:vAlign w:val="center"/>
            <w:hideMark/>
          </w:tcPr>
          <w:p w14:paraId="56480222" w14:textId="77777777" w:rsidR="00DC5B80" w:rsidRPr="00DC5B80" w:rsidRDefault="00DC5B80" w:rsidP="00DC5B80">
            <w:pPr>
              <w:ind w:firstLine="0"/>
              <w:jc w:val="center"/>
              <w:rPr>
                <w:rFonts w:eastAsia="Times New Roman" w:cs="Times New Roman"/>
                <w:color w:val="000000"/>
                <w:sz w:val="22"/>
                <w:lang w:eastAsia="ru-RU"/>
              </w:rPr>
            </w:pPr>
            <w:r w:rsidRPr="00DC5B80">
              <w:rPr>
                <w:rFonts w:eastAsia="Times New Roman" w:cs="Times New Roman"/>
                <w:color w:val="000000"/>
                <w:sz w:val="22"/>
                <w:lang w:eastAsia="ru-RU"/>
              </w:rPr>
              <w:t>28</w:t>
            </w:r>
          </w:p>
        </w:tc>
        <w:tc>
          <w:tcPr>
            <w:tcW w:w="3159" w:type="dxa"/>
            <w:tcBorders>
              <w:top w:val="nil"/>
              <w:left w:val="nil"/>
              <w:bottom w:val="single" w:sz="4" w:space="0" w:color="auto"/>
              <w:right w:val="single" w:sz="4" w:space="0" w:color="auto"/>
            </w:tcBorders>
            <w:shd w:val="clear" w:color="auto" w:fill="auto"/>
            <w:vAlign w:val="center"/>
            <w:hideMark/>
          </w:tcPr>
          <w:p w14:paraId="2386B855" w14:textId="77777777" w:rsidR="00DC5B80" w:rsidRPr="00DC5B80" w:rsidRDefault="00DC5B80" w:rsidP="00DC5B80">
            <w:pPr>
              <w:ind w:firstLine="0"/>
              <w:jc w:val="left"/>
              <w:rPr>
                <w:rFonts w:eastAsia="Times New Roman" w:cs="Times New Roman"/>
                <w:color w:val="000000"/>
                <w:sz w:val="22"/>
                <w:lang w:eastAsia="ru-RU"/>
              </w:rPr>
            </w:pPr>
            <w:r w:rsidRPr="00DC5B80">
              <w:rPr>
                <w:rFonts w:eastAsia="Times New Roman" w:cs="Times New Roman"/>
                <w:color w:val="000000"/>
                <w:sz w:val="22"/>
                <w:lang w:eastAsia="ru-RU"/>
              </w:rPr>
              <w:t>Состояние объекта недвижимости</w:t>
            </w:r>
          </w:p>
        </w:tc>
        <w:tc>
          <w:tcPr>
            <w:tcW w:w="3211" w:type="dxa"/>
            <w:tcBorders>
              <w:top w:val="nil"/>
              <w:left w:val="nil"/>
              <w:bottom w:val="single" w:sz="4" w:space="0" w:color="auto"/>
              <w:right w:val="single" w:sz="4" w:space="0" w:color="auto"/>
            </w:tcBorders>
            <w:shd w:val="clear" w:color="auto" w:fill="auto"/>
            <w:vAlign w:val="center"/>
            <w:hideMark/>
          </w:tcPr>
          <w:p w14:paraId="025A5087" w14:textId="77777777" w:rsidR="00DC5B80" w:rsidRPr="00DC5B80" w:rsidRDefault="00DC5B80" w:rsidP="00DC5B80">
            <w:pPr>
              <w:ind w:firstLine="0"/>
              <w:jc w:val="left"/>
              <w:rPr>
                <w:rFonts w:eastAsia="Times New Roman" w:cs="Times New Roman"/>
                <w:color w:val="000000"/>
                <w:sz w:val="22"/>
                <w:lang w:eastAsia="ru-RU"/>
              </w:rPr>
            </w:pPr>
            <w:r w:rsidRPr="00DC5B80">
              <w:rPr>
                <w:rFonts w:eastAsia="Times New Roman" w:cs="Times New Roman"/>
                <w:color w:val="000000"/>
                <w:sz w:val="22"/>
                <w:lang w:eastAsia="ru-RU"/>
              </w:rPr>
              <w:t>Семантический</w:t>
            </w:r>
          </w:p>
        </w:tc>
        <w:tc>
          <w:tcPr>
            <w:tcW w:w="2876" w:type="dxa"/>
            <w:tcBorders>
              <w:top w:val="nil"/>
              <w:left w:val="nil"/>
              <w:bottom w:val="single" w:sz="4" w:space="0" w:color="auto"/>
              <w:right w:val="single" w:sz="4" w:space="0" w:color="auto"/>
            </w:tcBorders>
            <w:shd w:val="clear" w:color="auto" w:fill="auto"/>
            <w:vAlign w:val="center"/>
            <w:hideMark/>
          </w:tcPr>
          <w:p w14:paraId="5DCFEEA2" w14:textId="77777777" w:rsidR="00DC5B80" w:rsidRPr="00DC5B80" w:rsidRDefault="00DC5B80" w:rsidP="00DC5B80">
            <w:pPr>
              <w:ind w:firstLine="0"/>
              <w:jc w:val="left"/>
              <w:rPr>
                <w:rFonts w:eastAsia="Times New Roman" w:cs="Times New Roman"/>
                <w:color w:val="000000"/>
                <w:sz w:val="22"/>
                <w:lang w:eastAsia="ru-RU"/>
              </w:rPr>
            </w:pPr>
            <w:r w:rsidRPr="00DC5B80">
              <w:rPr>
                <w:rFonts w:eastAsia="Times New Roman" w:cs="Times New Roman"/>
                <w:color w:val="000000"/>
                <w:sz w:val="22"/>
                <w:lang w:eastAsia="ru-RU"/>
              </w:rPr>
              <w:t>удовлетворительное/ветхое (аварийное)</w:t>
            </w:r>
          </w:p>
        </w:tc>
      </w:tr>
      <w:tr w:rsidR="00DC5B80" w:rsidRPr="00DC5B80" w14:paraId="10C0D884" w14:textId="77777777" w:rsidTr="006C45D3">
        <w:trPr>
          <w:trHeight w:val="20"/>
          <w:jc w:val="center"/>
        </w:trPr>
        <w:tc>
          <w:tcPr>
            <w:tcW w:w="522" w:type="dxa"/>
            <w:tcBorders>
              <w:top w:val="nil"/>
              <w:left w:val="single" w:sz="4" w:space="0" w:color="auto"/>
              <w:bottom w:val="single" w:sz="4" w:space="0" w:color="auto"/>
              <w:right w:val="single" w:sz="4" w:space="0" w:color="auto"/>
            </w:tcBorders>
            <w:shd w:val="clear" w:color="auto" w:fill="auto"/>
            <w:vAlign w:val="center"/>
            <w:hideMark/>
          </w:tcPr>
          <w:p w14:paraId="38F6FA7C" w14:textId="77777777" w:rsidR="00DC5B80" w:rsidRPr="00DC5B80" w:rsidRDefault="00DC5B80" w:rsidP="00DC5B80">
            <w:pPr>
              <w:ind w:firstLine="0"/>
              <w:jc w:val="center"/>
              <w:rPr>
                <w:rFonts w:eastAsia="Times New Roman" w:cs="Times New Roman"/>
                <w:color w:val="000000"/>
                <w:sz w:val="22"/>
                <w:lang w:eastAsia="ru-RU"/>
              </w:rPr>
            </w:pPr>
            <w:r w:rsidRPr="00DC5B80">
              <w:rPr>
                <w:rFonts w:eastAsia="Times New Roman" w:cs="Times New Roman"/>
                <w:color w:val="000000"/>
                <w:sz w:val="22"/>
                <w:lang w:eastAsia="ru-RU"/>
              </w:rPr>
              <w:t>29</w:t>
            </w:r>
          </w:p>
        </w:tc>
        <w:tc>
          <w:tcPr>
            <w:tcW w:w="3159" w:type="dxa"/>
            <w:tcBorders>
              <w:top w:val="nil"/>
              <w:left w:val="nil"/>
              <w:bottom w:val="single" w:sz="4" w:space="0" w:color="auto"/>
              <w:right w:val="single" w:sz="4" w:space="0" w:color="auto"/>
            </w:tcBorders>
            <w:shd w:val="clear" w:color="auto" w:fill="auto"/>
            <w:vAlign w:val="center"/>
            <w:hideMark/>
          </w:tcPr>
          <w:p w14:paraId="75F42981" w14:textId="77777777" w:rsidR="00DC5B80" w:rsidRPr="00DC5B80" w:rsidRDefault="00DC5B80" w:rsidP="00DC5B80">
            <w:pPr>
              <w:ind w:firstLine="0"/>
              <w:jc w:val="left"/>
              <w:rPr>
                <w:rFonts w:eastAsia="Times New Roman" w:cs="Times New Roman"/>
                <w:color w:val="000000"/>
                <w:sz w:val="22"/>
                <w:lang w:eastAsia="ru-RU"/>
              </w:rPr>
            </w:pPr>
            <w:r w:rsidRPr="00DC5B80">
              <w:rPr>
                <w:rFonts w:eastAsia="Times New Roman" w:cs="Times New Roman"/>
                <w:color w:val="000000"/>
                <w:sz w:val="22"/>
                <w:lang w:eastAsia="ru-RU"/>
              </w:rPr>
              <w:t>Наличие сервитута, установленного законом или иным нормативным правовым актом субъекта Российской Федерации, нормативным правовым актом органа местного самоуправления</w:t>
            </w:r>
          </w:p>
        </w:tc>
        <w:tc>
          <w:tcPr>
            <w:tcW w:w="3211" w:type="dxa"/>
            <w:tcBorders>
              <w:top w:val="nil"/>
              <w:left w:val="nil"/>
              <w:bottom w:val="single" w:sz="4" w:space="0" w:color="auto"/>
              <w:right w:val="single" w:sz="4" w:space="0" w:color="auto"/>
            </w:tcBorders>
            <w:shd w:val="clear" w:color="auto" w:fill="auto"/>
            <w:vAlign w:val="center"/>
            <w:hideMark/>
          </w:tcPr>
          <w:p w14:paraId="32E93E7D" w14:textId="77777777" w:rsidR="00DC5B80" w:rsidRPr="00DC5B80" w:rsidRDefault="00DC5B80" w:rsidP="00DC5B80">
            <w:pPr>
              <w:ind w:firstLine="0"/>
              <w:jc w:val="left"/>
              <w:rPr>
                <w:rFonts w:eastAsia="Times New Roman" w:cs="Times New Roman"/>
                <w:color w:val="000000"/>
                <w:sz w:val="22"/>
                <w:lang w:eastAsia="ru-RU"/>
              </w:rPr>
            </w:pPr>
            <w:r w:rsidRPr="00DC5B80">
              <w:rPr>
                <w:rFonts w:eastAsia="Times New Roman" w:cs="Times New Roman"/>
                <w:color w:val="000000"/>
                <w:sz w:val="22"/>
                <w:lang w:eastAsia="ru-RU"/>
              </w:rPr>
              <w:t>Семантический</w:t>
            </w:r>
          </w:p>
        </w:tc>
        <w:tc>
          <w:tcPr>
            <w:tcW w:w="2876" w:type="dxa"/>
            <w:tcBorders>
              <w:top w:val="nil"/>
              <w:left w:val="nil"/>
              <w:bottom w:val="single" w:sz="4" w:space="0" w:color="auto"/>
              <w:right w:val="single" w:sz="4" w:space="0" w:color="auto"/>
            </w:tcBorders>
            <w:shd w:val="clear" w:color="auto" w:fill="auto"/>
            <w:vAlign w:val="center"/>
            <w:hideMark/>
          </w:tcPr>
          <w:p w14:paraId="390F085E" w14:textId="77777777" w:rsidR="00DC5B80" w:rsidRPr="00DC5B80" w:rsidRDefault="00DC5B80" w:rsidP="00DC5B80">
            <w:pPr>
              <w:ind w:firstLine="0"/>
              <w:jc w:val="left"/>
              <w:rPr>
                <w:rFonts w:eastAsia="Times New Roman" w:cs="Times New Roman"/>
                <w:color w:val="000000"/>
                <w:sz w:val="22"/>
                <w:lang w:eastAsia="ru-RU"/>
              </w:rPr>
            </w:pPr>
            <w:r w:rsidRPr="00DC5B80">
              <w:rPr>
                <w:rFonts w:eastAsia="Times New Roman" w:cs="Times New Roman"/>
                <w:color w:val="000000"/>
                <w:sz w:val="22"/>
                <w:lang w:eastAsia="ru-RU"/>
              </w:rPr>
              <w:t>да/отсутствует</w:t>
            </w:r>
          </w:p>
        </w:tc>
      </w:tr>
      <w:tr w:rsidR="00DC5B80" w:rsidRPr="00DC5B80" w14:paraId="04466A72" w14:textId="77777777" w:rsidTr="006C45D3">
        <w:trPr>
          <w:trHeight w:val="20"/>
          <w:jc w:val="center"/>
        </w:trPr>
        <w:tc>
          <w:tcPr>
            <w:tcW w:w="522" w:type="dxa"/>
            <w:tcBorders>
              <w:top w:val="nil"/>
              <w:left w:val="single" w:sz="4" w:space="0" w:color="auto"/>
              <w:bottom w:val="single" w:sz="4" w:space="0" w:color="auto"/>
              <w:right w:val="single" w:sz="4" w:space="0" w:color="auto"/>
            </w:tcBorders>
            <w:shd w:val="clear" w:color="auto" w:fill="auto"/>
            <w:vAlign w:val="center"/>
            <w:hideMark/>
          </w:tcPr>
          <w:p w14:paraId="513EF5AD" w14:textId="77777777" w:rsidR="00DC5B80" w:rsidRPr="00DC5B80" w:rsidRDefault="00DC5B80" w:rsidP="00DC5B80">
            <w:pPr>
              <w:ind w:firstLine="0"/>
              <w:jc w:val="center"/>
              <w:rPr>
                <w:rFonts w:eastAsia="Times New Roman" w:cs="Times New Roman"/>
                <w:color w:val="000000"/>
                <w:sz w:val="22"/>
                <w:lang w:eastAsia="ru-RU"/>
              </w:rPr>
            </w:pPr>
            <w:r w:rsidRPr="00DC5B80">
              <w:rPr>
                <w:rFonts w:eastAsia="Times New Roman" w:cs="Times New Roman"/>
                <w:color w:val="000000"/>
                <w:sz w:val="22"/>
                <w:lang w:eastAsia="ru-RU"/>
              </w:rPr>
              <w:t>30</w:t>
            </w:r>
          </w:p>
        </w:tc>
        <w:tc>
          <w:tcPr>
            <w:tcW w:w="3159" w:type="dxa"/>
            <w:tcBorders>
              <w:top w:val="nil"/>
              <w:left w:val="nil"/>
              <w:bottom w:val="single" w:sz="4" w:space="0" w:color="auto"/>
              <w:right w:val="single" w:sz="4" w:space="0" w:color="auto"/>
            </w:tcBorders>
            <w:shd w:val="clear" w:color="auto" w:fill="auto"/>
            <w:vAlign w:val="center"/>
            <w:hideMark/>
          </w:tcPr>
          <w:p w14:paraId="7763D0C0" w14:textId="77777777" w:rsidR="00DC5B80" w:rsidRPr="00DC5B80" w:rsidRDefault="00DC5B80" w:rsidP="00DC5B80">
            <w:pPr>
              <w:ind w:firstLine="0"/>
              <w:jc w:val="left"/>
              <w:rPr>
                <w:rFonts w:eastAsia="Times New Roman" w:cs="Times New Roman"/>
                <w:color w:val="000000"/>
                <w:sz w:val="22"/>
                <w:lang w:eastAsia="ru-RU"/>
              </w:rPr>
            </w:pPr>
            <w:r w:rsidRPr="00DC5B80">
              <w:rPr>
                <w:rFonts w:eastAsia="Times New Roman" w:cs="Times New Roman"/>
                <w:color w:val="000000"/>
                <w:sz w:val="22"/>
                <w:lang w:eastAsia="ru-RU"/>
              </w:rPr>
              <w:t>Содержание сервитута, установленного законом или иным нормативным правовым актом субъекта Российской Федерации, нормативным правовым актом органа местного самоуправления</w:t>
            </w:r>
          </w:p>
        </w:tc>
        <w:tc>
          <w:tcPr>
            <w:tcW w:w="3211" w:type="dxa"/>
            <w:tcBorders>
              <w:top w:val="nil"/>
              <w:left w:val="nil"/>
              <w:bottom w:val="single" w:sz="4" w:space="0" w:color="auto"/>
              <w:right w:val="single" w:sz="4" w:space="0" w:color="auto"/>
            </w:tcBorders>
            <w:shd w:val="clear" w:color="auto" w:fill="auto"/>
            <w:vAlign w:val="center"/>
            <w:hideMark/>
          </w:tcPr>
          <w:p w14:paraId="4B4C4CF6" w14:textId="77777777" w:rsidR="00DC5B80" w:rsidRPr="00DC5B80" w:rsidRDefault="00DC5B80" w:rsidP="00DC5B80">
            <w:pPr>
              <w:ind w:firstLine="0"/>
              <w:jc w:val="left"/>
              <w:rPr>
                <w:rFonts w:eastAsia="Times New Roman" w:cs="Times New Roman"/>
                <w:color w:val="000000"/>
                <w:sz w:val="22"/>
                <w:lang w:eastAsia="ru-RU"/>
              </w:rPr>
            </w:pPr>
            <w:r w:rsidRPr="00DC5B80">
              <w:rPr>
                <w:rFonts w:eastAsia="Times New Roman" w:cs="Times New Roman"/>
                <w:color w:val="000000"/>
                <w:sz w:val="22"/>
                <w:lang w:eastAsia="ru-RU"/>
              </w:rPr>
              <w:t>Семантический</w:t>
            </w:r>
          </w:p>
        </w:tc>
        <w:tc>
          <w:tcPr>
            <w:tcW w:w="2876" w:type="dxa"/>
            <w:tcBorders>
              <w:top w:val="nil"/>
              <w:left w:val="nil"/>
              <w:bottom w:val="single" w:sz="4" w:space="0" w:color="auto"/>
              <w:right w:val="single" w:sz="4" w:space="0" w:color="auto"/>
            </w:tcBorders>
            <w:shd w:val="clear" w:color="auto" w:fill="auto"/>
            <w:vAlign w:val="center"/>
            <w:hideMark/>
          </w:tcPr>
          <w:p w14:paraId="493152E8" w14:textId="77777777" w:rsidR="00DC5B80" w:rsidRPr="00DC5B80" w:rsidRDefault="00DC5B80" w:rsidP="00DC5B80">
            <w:pPr>
              <w:ind w:firstLine="0"/>
              <w:jc w:val="left"/>
              <w:rPr>
                <w:rFonts w:eastAsia="Times New Roman" w:cs="Times New Roman"/>
                <w:color w:val="000000"/>
                <w:sz w:val="22"/>
                <w:lang w:eastAsia="ru-RU"/>
              </w:rPr>
            </w:pPr>
            <w:r w:rsidRPr="00DC5B80">
              <w:rPr>
                <w:rFonts w:eastAsia="Times New Roman" w:cs="Times New Roman"/>
                <w:color w:val="000000"/>
                <w:sz w:val="22"/>
                <w:lang w:eastAsia="ru-RU"/>
              </w:rPr>
              <w:t>в соответствии с ответом органа местного самоуправления или субъекта Российской Федерации</w:t>
            </w:r>
          </w:p>
        </w:tc>
      </w:tr>
    </w:tbl>
    <w:p w14:paraId="46EF516E" w14:textId="2A35BAAD" w:rsidR="00FE1990" w:rsidRDefault="00FE1990" w:rsidP="00FE1990">
      <w:pPr>
        <w:tabs>
          <w:tab w:val="left" w:pos="1134"/>
        </w:tabs>
        <w:adjustRightInd w:val="0"/>
        <w:ind w:firstLine="720"/>
        <w:rPr>
          <w:rFonts w:eastAsia="Times New Roman" w:cs="Times New Roman"/>
          <w:szCs w:val="24"/>
          <w:lang w:eastAsia="ru-RU"/>
        </w:rPr>
      </w:pPr>
    </w:p>
    <w:p w14:paraId="57BC56DB" w14:textId="4668FCF3" w:rsidR="00877D91" w:rsidRPr="00DC5B80" w:rsidRDefault="00877D91" w:rsidP="00877D91">
      <w:pPr>
        <w:pStyle w:val="afffffff0"/>
      </w:pPr>
      <w:r w:rsidRPr="00DC5B80">
        <w:t xml:space="preserve">Таблица </w:t>
      </w:r>
      <w:r w:rsidR="00A90944">
        <w:fldChar w:fldCharType="begin"/>
      </w:r>
      <w:r w:rsidR="00A90944">
        <w:instrText xml:space="preserve"> SEQ Таблица \* ARABIC </w:instrText>
      </w:r>
      <w:r w:rsidR="00A90944">
        <w:fldChar w:fldCharType="separate"/>
      </w:r>
      <w:r w:rsidR="00FD2769">
        <w:rPr>
          <w:noProof/>
        </w:rPr>
        <w:t>19</w:t>
      </w:r>
      <w:r w:rsidR="00A90944">
        <w:rPr>
          <w:noProof/>
        </w:rPr>
        <w:fldChar w:fldCharType="end"/>
      </w:r>
      <w:r w:rsidRPr="00DC5B80">
        <w:t xml:space="preserve">. Перечень ценообразующих факторов для </w:t>
      </w:r>
      <w:r>
        <w:t>С</w:t>
      </w:r>
      <w:r w:rsidRPr="00DC5B80">
        <w:t>НП</w:t>
      </w:r>
    </w:p>
    <w:tbl>
      <w:tblPr>
        <w:tblW w:w="5000" w:type="pct"/>
        <w:tblLook w:val="04A0" w:firstRow="1" w:lastRow="0" w:firstColumn="1" w:lastColumn="0" w:noHBand="0" w:noVBand="1"/>
      </w:tblPr>
      <w:tblGrid>
        <w:gridCol w:w="522"/>
        <w:gridCol w:w="2736"/>
        <w:gridCol w:w="3211"/>
        <w:gridCol w:w="2876"/>
      </w:tblGrid>
      <w:tr w:rsidR="00DC5B80" w:rsidRPr="009E18B2" w14:paraId="2A11AC65" w14:textId="77777777" w:rsidTr="006C45D3">
        <w:trPr>
          <w:trHeight w:val="20"/>
          <w:tblHeader/>
        </w:trPr>
        <w:tc>
          <w:tcPr>
            <w:tcW w:w="27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D163504" w14:textId="77777777" w:rsidR="00DC5B80" w:rsidRPr="009E18B2" w:rsidRDefault="00DC5B80" w:rsidP="009E18B2">
            <w:pPr>
              <w:ind w:firstLine="0"/>
              <w:jc w:val="center"/>
              <w:rPr>
                <w:rFonts w:eastAsia="Times New Roman" w:cs="Times New Roman"/>
                <w:b/>
                <w:i/>
                <w:color w:val="000000"/>
                <w:sz w:val="22"/>
                <w:lang w:eastAsia="ru-RU"/>
              </w:rPr>
            </w:pPr>
            <w:r w:rsidRPr="009E18B2">
              <w:rPr>
                <w:rFonts w:eastAsia="Times New Roman" w:cs="Times New Roman"/>
                <w:b/>
                <w:i/>
                <w:color w:val="000000"/>
                <w:sz w:val="22"/>
                <w:lang w:eastAsia="ru-RU"/>
              </w:rPr>
              <w:t>№ п/п</w:t>
            </w:r>
          </w:p>
        </w:tc>
        <w:tc>
          <w:tcPr>
            <w:tcW w:w="1466" w:type="pct"/>
            <w:tcBorders>
              <w:top w:val="single" w:sz="4" w:space="0" w:color="auto"/>
              <w:left w:val="nil"/>
              <w:bottom w:val="single" w:sz="4" w:space="0" w:color="auto"/>
              <w:right w:val="single" w:sz="4" w:space="0" w:color="auto"/>
            </w:tcBorders>
            <w:shd w:val="clear" w:color="auto" w:fill="auto"/>
            <w:vAlign w:val="center"/>
            <w:hideMark/>
          </w:tcPr>
          <w:p w14:paraId="07FCDB42" w14:textId="77777777" w:rsidR="00DC5B80" w:rsidRPr="009E18B2" w:rsidRDefault="00DC5B80" w:rsidP="009E18B2">
            <w:pPr>
              <w:ind w:firstLine="0"/>
              <w:jc w:val="center"/>
              <w:rPr>
                <w:rFonts w:eastAsia="Times New Roman" w:cs="Times New Roman"/>
                <w:b/>
                <w:i/>
                <w:color w:val="000000"/>
                <w:sz w:val="22"/>
                <w:lang w:eastAsia="ru-RU"/>
              </w:rPr>
            </w:pPr>
            <w:r w:rsidRPr="009E18B2">
              <w:rPr>
                <w:rFonts w:eastAsia="Times New Roman" w:cs="Times New Roman"/>
                <w:b/>
                <w:i/>
                <w:color w:val="000000"/>
                <w:sz w:val="22"/>
                <w:lang w:eastAsia="ru-RU"/>
              </w:rPr>
              <w:t>Наименования факторов стоимости</w:t>
            </w:r>
          </w:p>
        </w:tc>
        <w:tc>
          <w:tcPr>
            <w:tcW w:w="1717" w:type="pct"/>
            <w:tcBorders>
              <w:top w:val="single" w:sz="4" w:space="0" w:color="auto"/>
              <w:left w:val="nil"/>
              <w:bottom w:val="single" w:sz="4" w:space="0" w:color="auto"/>
              <w:right w:val="single" w:sz="4" w:space="0" w:color="auto"/>
            </w:tcBorders>
            <w:shd w:val="clear" w:color="auto" w:fill="auto"/>
            <w:vAlign w:val="center"/>
            <w:hideMark/>
          </w:tcPr>
          <w:p w14:paraId="0A742FBF" w14:textId="77777777" w:rsidR="00DC5B80" w:rsidRPr="009E18B2" w:rsidRDefault="00DC5B80" w:rsidP="009E18B2">
            <w:pPr>
              <w:ind w:firstLine="0"/>
              <w:jc w:val="center"/>
              <w:rPr>
                <w:rFonts w:eastAsia="Times New Roman" w:cs="Times New Roman"/>
                <w:b/>
                <w:i/>
                <w:color w:val="000000"/>
                <w:sz w:val="22"/>
                <w:lang w:eastAsia="ru-RU"/>
              </w:rPr>
            </w:pPr>
            <w:r w:rsidRPr="009E18B2">
              <w:rPr>
                <w:rFonts w:eastAsia="Times New Roman" w:cs="Times New Roman"/>
                <w:b/>
                <w:i/>
                <w:color w:val="000000"/>
                <w:sz w:val="22"/>
                <w:lang w:eastAsia="ru-RU"/>
              </w:rPr>
              <w:t>Вид (графический/семантический)</w:t>
            </w:r>
          </w:p>
        </w:tc>
        <w:tc>
          <w:tcPr>
            <w:tcW w:w="1538" w:type="pct"/>
            <w:tcBorders>
              <w:top w:val="single" w:sz="4" w:space="0" w:color="auto"/>
              <w:left w:val="nil"/>
              <w:bottom w:val="single" w:sz="4" w:space="0" w:color="auto"/>
              <w:right w:val="single" w:sz="4" w:space="0" w:color="auto"/>
            </w:tcBorders>
            <w:shd w:val="clear" w:color="auto" w:fill="auto"/>
            <w:vAlign w:val="center"/>
            <w:hideMark/>
          </w:tcPr>
          <w:p w14:paraId="265871C7" w14:textId="77777777" w:rsidR="00DC5B80" w:rsidRPr="009E18B2" w:rsidRDefault="00DC5B80" w:rsidP="009E18B2">
            <w:pPr>
              <w:ind w:firstLine="0"/>
              <w:jc w:val="center"/>
              <w:rPr>
                <w:rFonts w:eastAsia="Times New Roman" w:cs="Times New Roman"/>
                <w:b/>
                <w:i/>
                <w:color w:val="000000"/>
                <w:sz w:val="22"/>
                <w:lang w:eastAsia="ru-RU"/>
              </w:rPr>
            </w:pPr>
            <w:r w:rsidRPr="009E18B2">
              <w:rPr>
                <w:rFonts w:eastAsia="Times New Roman" w:cs="Times New Roman"/>
                <w:b/>
                <w:i/>
                <w:color w:val="000000"/>
                <w:sz w:val="22"/>
                <w:lang w:eastAsia="ru-RU"/>
              </w:rPr>
              <w:t>Единицы измерения</w:t>
            </w:r>
          </w:p>
        </w:tc>
      </w:tr>
      <w:tr w:rsidR="00DC5B80" w:rsidRPr="00DC5B80" w14:paraId="3A5F2DD4" w14:textId="77777777" w:rsidTr="006C45D3">
        <w:trPr>
          <w:trHeight w:val="20"/>
        </w:trPr>
        <w:tc>
          <w:tcPr>
            <w:tcW w:w="279" w:type="pct"/>
            <w:tcBorders>
              <w:top w:val="nil"/>
              <w:left w:val="single" w:sz="4" w:space="0" w:color="auto"/>
              <w:bottom w:val="single" w:sz="4" w:space="0" w:color="auto"/>
              <w:right w:val="single" w:sz="4" w:space="0" w:color="auto"/>
            </w:tcBorders>
            <w:shd w:val="clear" w:color="auto" w:fill="auto"/>
            <w:vAlign w:val="center"/>
            <w:hideMark/>
          </w:tcPr>
          <w:p w14:paraId="030F7503" w14:textId="77777777" w:rsidR="00DC5B80" w:rsidRPr="00DC5B80" w:rsidRDefault="00DC5B80" w:rsidP="00DC5B80">
            <w:pPr>
              <w:ind w:firstLine="0"/>
              <w:jc w:val="center"/>
              <w:rPr>
                <w:rFonts w:eastAsia="Times New Roman" w:cs="Times New Roman"/>
                <w:color w:val="000000"/>
                <w:sz w:val="22"/>
                <w:lang w:eastAsia="ru-RU"/>
              </w:rPr>
            </w:pPr>
            <w:r w:rsidRPr="00DC5B80">
              <w:rPr>
                <w:rFonts w:eastAsia="Times New Roman" w:cs="Times New Roman"/>
                <w:color w:val="000000"/>
                <w:sz w:val="22"/>
                <w:lang w:eastAsia="ru-RU"/>
              </w:rPr>
              <w:t>1</w:t>
            </w:r>
          </w:p>
        </w:tc>
        <w:tc>
          <w:tcPr>
            <w:tcW w:w="1466" w:type="pct"/>
            <w:tcBorders>
              <w:top w:val="nil"/>
              <w:left w:val="nil"/>
              <w:bottom w:val="single" w:sz="4" w:space="0" w:color="auto"/>
              <w:right w:val="single" w:sz="4" w:space="0" w:color="auto"/>
            </w:tcBorders>
            <w:shd w:val="clear" w:color="auto" w:fill="auto"/>
            <w:vAlign w:val="center"/>
            <w:hideMark/>
          </w:tcPr>
          <w:p w14:paraId="0308B129" w14:textId="77777777" w:rsidR="00DC5B80" w:rsidRPr="00DC5B80" w:rsidRDefault="00DC5B80" w:rsidP="00DC5B80">
            <w:pPr>
              <w:ind w:firstLine="0"/>
              <w:jc w:val="center"/>
              <w:rPr>
                <w:rFonts w:eastAsia="Times New Roman" w:cs="Times New Roman"/>
                <w:color w:val="000000"/>
                <w:sz w:val="22"/>
                <w:lang w:eastAsia="ru-RU"/>
              </w:rPr>
            </w:pPr>
            <w:r w:rsidRPr="00DC5B80">
              <w:rPr>
                <w:rFonts w:eastAsia="Times New Roman" w:cs="Times New Roman"/>
                <w:color w:val="000000"/>
                <w:sz w:val="22"/>
                <w:lang w:eastAsia="ru-RU"/>
              </w:rPr>
              <w:t>2</w:t>
            </w:r>
          </w:p>
        </w:tc>
        <w:tc>
          <w:tcPr>
            <w:tcW w:w="1717" w:type="pct"/>
            <w:tcBorders>
              <w:top w:val="nil"/>
              <w:left w:val="nil"/>
              <w:bottom w:val="single" w:sz="4" w:space="0" w:color="auto"/>
              <w:right w:val="single" w:sz="4" w:space="0" w:color="auto"/>
            </w:tcBorders>
            <w:shd w:val="clear" w:color="auto" w:fill="auto"/>
            <w:vAlign w:val="center"/>
            <w:hideMark/>
          </w:tcPr>
          <w:p w14:paraId="7F8126CB" w14:textId="77777777" w:rsidR="00DC5B80" w:rsidRPr="00DC5B80" w:rsidRDefault="00DC5B80" w:rsidP="009E18B2">
            <w:pPr>
              <w:ind w:firstLine="0"/>
              <w:jc w:val="center"/>
              <w:rPr>
                <w:rFonts w:eastAsia="Times New Roman" w:cs="Times New Roman"/>
                <w:color w:val="000000"/>
                <w:sz w:val="22"/>
                <w:lang w:eastAsia="ru-RU"/>
              </w:rPr>
            </w:pPr>
            <w:r w:rsidRPr="00DC5B80">
              <w:rPr>
                <w:rFonts w:eastAsia="Times New Roman" w:cs="Times New Roman"/>
                <w:color w:val="000000"/>
                <w:sz w:val="22"/>
                <w:lang w:eastAsia="ru-RU"/>
              </w:rPr>
              <w:t>3</w:t>
            </w:r>
          </w:p>
        </w:tc>
        <w:tc>
          <w:tcPr>
            <w:tcW w:w="1538" w:type="pct"/>
            <w:tcBorders>
              <w:top w:val="nil"/>
              <w:left w:val="nil"/>
              <w:bottom w:val="single" w:sz="4" w:space="0" w:color="auto"/>
              <w:right w:val="single" w:sz="4" w:space="0" w:color="auto"/>
            </w:tcBorders>
            <w:shd w:val="clear" w:color="auto" w:fill="auto"/>
            <w:vAlign w:val="center"/>
            <w:hideMark/>
          </w:tcPr>
          <w:p w14:paraId="18BA33BA" w14:textId="77777777" w:rsidR="00DC5B80" w:rsidRPr="00DC5B80" w:rsidRDefault="00DC5B80" w:rsidP="009E18B2">
            <w:pPr>
              <w:ind w:firstLine="0"/>
              <w:jc w:val="center"/>
              <w:rPr>
                <w:rFonts w:eastAsia="Times New Roman" w:cs="Times New Roman"/>
                <w:color w:val="000000"/>
                <w:sz w:val="22"/>
                <w:lang w:eastAsia="ru-RU"/>
              </w:rPr>
            </w:pPr>
            <w:r w:rsidRPr="00DC5B80">
              <w:rPr>
                <w:rFonts w:eastAsia="Times New Roman" w:cs="Times New Roman"/>
                <w:color w:val="000000"/>
                <w:sz w:val="22"/>
                <w:lang w:eastAsia="ru-RU"/>
              </w:rPr>
              <w:t>4</w:t>
            </w:r>
          </w:p>
        </w:tc>
      </w:tr>
      <w:tr w:rsidR="00DC5B80" w:rsidRPr="00DC5B80" w14:paraId="166B4B4F" w14:textId="77777777" w:rsidTr="006C45D3">
        <w:trPr>
          <w:trHeight w:val="20"/>
        </w:trPr>
        <w:tc>
          <w:tcPr>
            <w:tcW w:w="279" w:type="pct"/>
            <w:tcBorders>
              <w:top w:val="nil"/>
              <w:left w:val="single" w:sz="4" w:space="0" w:color="auto"/>
              <w:bottom w:val="single" w:sz="4" w:space="0" w:color="auto"/>
              <w:right w:val="single" w:sz="4" w:space="0" w:color="auto"/>
            </w:tcBorders>
            <w:shd w:val="clear" w:color="auto" w:fill="auto"/>
            <w:vAlign w:val="center"/>
            <w:hideMark/>
          </w:tcPr>
          <w:p w14:paraId="706DEDE3" w14:textId="77777777" w:rsidR="00DC5B80" w:rsidRPr="00DC5B80" w:rsidRDefault="00DC5B80" w:rsidP="00DC5B80">
            <w:pPr>
              <w:ind w:firstLine="0"/>
              <w:jc w:val="center"/>
              <w:rPr>
                <w:rFonts w:eastAsia="Times New Roman" w:cs="Times New Roman"/>
                <w:color w:val="000000"/>
                <w:sz w:val="22"/>
                <w:lang w:eastAsia="ru-RU"/>
              </w:rPr>
            </w:pPr>
            <w:r w:rsidRPr="00DC5B80">
              <w:rPr>
                <w:rFonts w:eastAsia="Times New Roman" w:cs="Times New Roman"/>
                <w:color w:val="000000"/>
                <w:sz w:val="22"/>
                <w:lang w:eastAsia="ru-RU"/>
              </w:rPr>
              <w:t>1</w:t>
            </w:r>
          </w:p>
        </w:tc>
        <w:tc>
          <w:tcPr>
            <w:tcW w:w="1466" w:type="pct"/>
            <w:tcBorders>
              <w:top w:val="nil"/>
              <w:left w:val="nil"/>
              <w:bottom w:val="single" w:sz="4" w:space="0" w:color="auto"/>
              <w:right w:val="single" w:sz="4" w:space="0" w:color="auto"/>
            </w:tcBorders>
            <w:shd w:val="clear" w:color="auto" w:fill="auto"/>
            <w:vAlign w:val="center"/>
            <w:hideMark/>
          </w:tcPr>
          <w:p w14:paraId="444C0F6E" w14:textId="77777777" w:rsidR="00DC5B80" w:rsidRPr="00DC5B80" w:rsidRDefault="00DC5B80" w:rsidP="00DC5B80">
            <w:pPr>
              <w:ind w:firstLine="0"/>
              <w:jc w:val="left"/>
              <w:rPr>
                <w:rFonts w:eastAsia="Times New Roman" w:cs="Times New Roman"/>
                <w:color w:val="000000"/>
                <w:sz w:val="22"/>
                <w:lang w:eastAsia="ru-RU"/>
              </w:rPr>
            </w:pPr>
            <w:r w:rsidRPr="00DC5B80">
              <w:rPr>
                <w:rFonts w:eastAsia="Times New Roman" w:cs="Times New Roman"/>
                <w:color w:val="000000"/>
                <w:sz w:val="22"/>
                <w:lang w:eastAsia="ru-RU"/>
              </w:rPr>
              <w:t>Наименование муниципального района, городского  округа</w:t>
            </w:r>
          </w:p>
        </w:tc>
        <w:tc>
          <w:tcPr>
            <w:tcW w:w="1717" w:type="pct"/>
            <w:tcBorders>
              <w:top w:val="nil"/>
              <w:left w:val="nil"/>
              <w:bottom w:val="single" w:sz="4" w:space="0" w:color="auto"/>
              <w:right w:val="single" w:sz="4" w:space="0" w:color="auto"/>
            </w:tcBorders>
            <w:shd w:val="clear" w:color="auto" w:fill="auto"/>
            <w:vAlign w:val="center"/>
            <w:hideMark/>
          </w:tcPr>
          <w:p w14:paraId="34F8D371" w14:textId="77777777" w:rsidR="00DC5B80" w:rsidRPr="00DC5B80" w:rsidRDefault="00DC5B80" w:rsidP="009E18B2">
            <w:pPr>
              <w:ind w:firstLine="0"/>
              <w:jc w:val="center"/>
              <w:rPr>
                <w:rFonts w:eastAsia="Times New Roman" w:cs="Times New Roman"/>
                <w:color w:val="000000"/>
                <w:sz w:val="22"/>
                <w:lang w:eastAsia="ru-RU"/>
              </w:rPr>
            </w:pPr>
            <w:r w:rsidRPr="00DC5B80">
              <w:rPr>
                <w:rFonts w:eastAsia="Times New Roman" w:cs="Times New Roman"/>
                <w:color w:val="000000"/>
                <w:sz w:val="22"/>
                <w:lang w:eastAsia="ru-RU"/>
              </w:rPr>
              <w:t>Семантический</w:t>
            </w:r>
          </w:p>
        </w:tc>
        <w:tc>
          <w:tcPr>
            <w:tcW w:w="1538" w:type="pct"/>
            <w:tcBorders>
              <w:top w:val="nil"/>
              <w:left w:val="nil"/>
              <w:bottom w:val="single" w:sz="4" w:space="0" w:color="auto"/>
              <w:right w:val="single" w:sz="4" w:space="0" w:color="auto"/>
            </w:tcBorders>
            <w:shd w:val="clear" w:color="auto" w:fill="auto"/>
            <w:vAlign w:val="center"/>
            <w:hideMark/>
          </w:tcPr>
          <w:p w14:paraId="48D45FC8" w14:textId="50903CE5" w:rsidR="00DC5B80" w:rsidRPr="00DC5B80" w:rsidRDefault="007A34C9" w:rsidP="006C45D3">
            <w:pPr>
              <w:ind w:firstLine="0"/>
              <w:rPr>
                <w:rFonts w:eastAsia="Times New Roman" w:cs="Times New Roman"/>
                <w:color w:val="000000"/>
                <w:sz w:val="22"/>
                <w:lang w:eastAsia="ru-RU"/>
              </w:rPr>
            </w:pPr>
            <w:r w:rsidRPr="00DC5B80">
              <w:rPr>
                <w:rFonts w:eastAsia="Times New Roman" w:cs="Times New Roman"/>
                <w:color w:val="000000"/>
                <w:sz w:val="22"/>
                <w:lang w:eastAsia="ru-RU"/>
              </w:rPr>
              <w:t>Н</w:t>
            </w:r>
            <w:r w:rsidR="00DC5B80" w:rsidRPr="00DC5B80">
              <w:rPr>
                <w:rFonts w:eastAsia="Times New Roman" w:cs="Times New Roman"/>
                <w:color w:val="000000"/>
                <w:sz w:val="22"/>
                <w:lang w:eastAsia="ru-RU"/>
              </w:rPr>
              <w:t>азвание</w:t>
            </w:r>
            <w:r>
              <w:rPr>
                <w:rFonts w:eastAsia="Times New Roman" w:cs="Times New Roman"/>
                <w:color w:val="000000"/>
                <w:sz w:val="22"/>
                <w:lang w:eastAsia="ru-RU"/>
              </w:rPr>
              <w:t xml:space="preserve"> </w:t>
            </w:r>
            <w:r w:rsidRPr="00DC5B80">
              <w:rPr>
                <w:rFonts w:eastAsia="Times New Roman" w:cs="Times New Roman"/>
                <w:color w:val="000000"/>
                <w:sz w:val="22"/>
                <w:lang w:eastAsia="ru-RU"/>
              </w:rPr>
              <w:t>МР или ГО</w:t>
            </w:r>
          </w:p>
        </w:tc>
      </w:tr>
      <w:tr w:rsidR="00DC5B80" w:rsidRPr="00DC5B80" w14:paraId="37334ED4" w14:textId="77777777" w:rsidTr="006C45D3">
        <w:trPr>
          <w:trHeight w:val="20"/>
        </w:trPr>
        <w:tc>
          <w:tcPr>
            <w:tcW w:w="279" w:type="pct"/>
            <w:tcBorders>
              <w:top w:val="nil"/>
              <w:left w:val="single" w:sz="4" w:space="0" w:color="auto"/>
              <w:bottom w:val="single" w:sz="4" w:space="0" w:color="auto"/>
              <w:right w:val="single" w:sz="4" w:space="0" w:color="auto"/>
            </w:tcBorders>
            <w:shd w:val="clear" w:color="auto" w:fill="auto"/>
            <w:vAlign w:val="center"/>
            <w:hideMark/>
          </w:tcPr>
          <w:p w14:paraId="4DBA7CCB" w14:textId="77777777" w:rsidR="00DC5B80" w:rsidRPr="00DC5B80" w:rsidRDefault="00DC5B80" w:rsidP="00DC5B80">
            <w:pPr>
              <w:ind w:firstLine="0"/>
              <w:jc w:val="center"/>
              <w:rPr>
                <w:rFonts w:eastAsia="Times New Roman" w:cs="Times New Roman"/>
                <w:color w:val="000000"/>
                <w:sz w:val="22"/>
                <w:lang w:eastAsia="ru-RU"/>
              </w:rPr>
            </w:pPr>
            <w:r w:rsidRPr="00DC5B80">
              <w:rPr>
                <w:rFonts w:eastAsia="Times New Roman" w:cs="Times New Roman"/>
                <w:color w:val="000000"/>
                <w:sz w:val="22"/>
                <w:lang w:eastAsia="ru-RU"/>
              </w:rPr>
              <w:t>2</w:t>
            </w:r>
          </w:p>
        </w:tc>
        <w:tc>
          <w:tcPr>
            <w:tcW w:w="1466" w:type="pct"/>
            <w:tcBorders>
              <w:top w:val="nil"/>
              <w:left w:val="nil"/>
              <w:bottom w:val="single" w:sz="4" w:space="0" w:color="auto"/>
              <w:right w:val="single" w:sz="4" w:space="0" w:color="auto"/>
            </w:tcBorders>
            <w:shd w:val="clear" w:color="auto" w:fill="auto"/>
            <w:vAlign w:val="center"/>
            <w:hideMark/>
          </w:tcPr>
          <w:p w14:paraId="06524407" w14:textId="77777777" w:rsidR="00DC5B80" w:rsidRPr="00DC5B80" w:rsidRDefault="00DC5B80" w:rsidP="00DC5B80">
            <w:pPr>
              <w:ind w:firstLine="0"/>
              <w:jc w:val="left"/>
              <w:rPr>
                <w:rFonts w:eastAsia="Times New Roman" w:cs="Times New Roman"/>
                <w:color w:val="000000"/>
                <w:sz w:val="22"/>
                <w:lang w:eastAsia="ru-RU"/>
              </w:rPr>
            </w:pPr>
            <w:r w:rsidRPr="00DC5B80">
              <w:rPr>
                <w:rFonts w:eastAsia="Times New Roman" w:cs="Times New Roman"/>
                <w:color w:val="000000"/>
                <w:sz w:val="22"/>
                <w:lang w:eastAsia="ru-RU"/>
              </w:rPr>
              <w:t>Населенный пункт</w:t>
            </w:r>
          </w:p>
        </w:tc>
        <w:tc>
          <w:tcPr>
            <w:tcW w:w="1717" w:type="pct"/>
            <w:tcBorders>
              <w:top w:val="nil"/>
              <w:left w:val="nil"/>
              <w:bottom w:val="single" w:sz="4" w:space="0" w:color="auto"/>
              <w:right w:val="single" w:sz="4" w:space="0" w:color="auto"/>
            </w:tcBorders>
            <w:shd w:val="clear" w:color="auto" w:fill="auto"/>
            <w:vAlign w:val="center"/>
            <w:hideMark/>
          </w:tcPr>
          <w:p w14:paraId="1D087093" w14:textId="77777777" w:rsidR="00DC5B80" w:rsidRPr="00DC5B80" w:rsidRDefault="00DC5B80" w:rsidP="009E18B2">
            <w:pPr>
              <w:ind w:firstLine="0"/>
              <w:jc w:val="center"/>
              <w:rPr>
                <w:rFonts w:eastAsia="Times New Roman" w:cs="Times New Roman"/>
                <w:color w:val="000000"/>
                <w:sz w:val="22"/>
                <w:lang w:eastAsia="ru-RU"/>
              </w:rPr>
            </w:pPr>
            <w:r w:rsidRPr="00DC5B80">
              <w:rPr>
                <w:rFonts w:eastAsia="Times New Roman" w:cs="Times New Roman"/>
                <w:color w:val="000000"/>
                <w:sz w:val="22"/>
                <w:lang w:eastAsia="ru-RU"/>
              </w:rPr>
              <w:t>Семантический</w:t>
            </w:r>
          </w:p>
        </w:tc>
        <w:tc>
          <w:tcPr>
            <w:tcW w:w="1538" w:type="pct"/>
            <w:tcBorders>
              <w:top w:val="nil"/>
              <w:left w:val="nil"/>
              <w:bottom w:val="single" w:sz="4" w:space="0" w:color="auto"/>
              <w:right w:val="single" w:sz="4" w:space="0" w:color="auto"/>
            </w:tcBorders>
            <w:shd w:val="clear" w:color="auto" w:fill="auto"/>
            <w:vAlign w:val="center"/>
            <w:hideMark/>
          </w:tcPr>
          <w:p w14:paraId="67D37B6F" w14:textId="77777777" w:rsidR="00DC5B80" w:rsidRPr="00DC5B80" w:rsidRDefault="00DC5B80" w:rsidP="006C45D3">
            <w:pPr>
              <w:ind w:firstLine="0"/>
              <w:rPr>
                <w:rFonts w:eastAsia="Times New Roman" w:cs="Times New Roman"/>
                <w:color w:val="000000"/>
                <w:sz w:val="22"/>
                <w:lang w:eastAsia="ru-RU"/>
              </w:rPr>
            </w:pPr>
            <w:r w:rsidRPr="00DC5B80">
              <w:rPr>
                <w:rFonts w:eastAsia="Times New Roman" w:cs="Times New Roman"/>
                <w:color w:val="000000"/>
                <w:sz w:val="22"/>
                <w:lang w:eastAsia="ru-RU"/>
              </w:rPr>
              <w:t>название НП</w:t>
            </w:r>
          </w:p>
        </w:tc>
      </w:tr>
      <w:tr w:rsidR="00DC5B80" w:rsidRPr="00DC5B80" w14:paraId="2A1E2A5B" w14:textId="77777777" w:rsidTr="006C45D3">
        <w:trPr>
          <w:trHeight w:val="20"/>
        </w:trPr>
        <w:tc>
          <w:tcPr>
            <w:tcW w:w="279" w:type="pct"/>
            <w:tcBorders>
              <w:top w:val="nil"/>
              <w:left w:val="single" w:sz="4" w:space="0" w:color="auto"/>
              <w:bottom w:val="single" w:sz="4" w:space="0" w:color="auto"/>
              <w:right w:val="single" w:sz="4" w:space="0" w:color="auto"/>
            </w:tcBorders>
            <w:shd w:val="clear" w:color="auto" w:fill="auto"/>
            <w:vAlign w:val="center"/>
            <w:hideMark/>
          </w:tcPr>
          <w:p w14:paraId="4663FE5F" w14:textId="77777777" w:rsidR="00DC5B80" w:rsidRPr="00DC5B80" w:rsidRDefault="00DC5B80" w:rsidP="00DC5B80">
            <w:pPr>
              <w:ind w:firstLine="0"/>
              <w:jc w:val="center"/>
              <w:rPr>
                <w:rFonts w:eastAsia="Times New Roman" w:cs="Times New Roman"/>
                <w:color w:val="000000"/>
                <w:sz w:val="22"/>
                <w:lang w:eastAsia="ru-RU"/>
              </w:rPr>
            </w:pPr>
            <w:r w:rsidRPr="00DC5B80">
              <w:rPr>
                <w:rFonts w:eastAsia="Times New Roman" w:cs="Times New Roman"/>
                <w:color w:val="000000"/>
                <w:sz w:val="22"/>
                <w:lang w:eastAsia="ru-RU"/>
              </w:rPr>
              <w:t>3</w:t>
            </w:r>
          </w:p>
        </w:tc>
        <w:tc>
          <w:tcPr>
            <w:tcW w:w="1466" w:type="pct"/>
            <w:tcBorders>
              <w:top w:val="nil"/>
              <w:left w:val="nil"/>
              <w:bottom w:val="single" w:sz="4" w:space="0" w:color="auto"/>
              <w:right w:val="single" w:sz="4" w:space="0" w:color="auto"/>
            </w:tcBorders>
            <w:shd w:val="clear" w:color="auto" w:fill="auto"/>
            <w:vAlign w:val="center"/>
            <w:hideMark/>
          </w:tcPr>
          <w:p w14:paraId="052256CF" w14:textId="77777777" w:rsidR="00DC5B80" w:rsidRPr="00DC5B80" w:rsidRDefault="00DC5B80" w:rsidP="00DC5B80">
            <w:pPr>
              <w:ind w:firstLine="0"/>
              <w:jc w:val="left"/>
              <w:rPr>
                <w:rFonts w:eastAsia="Times New Roman" w:cs="Times New Roman"/>
                <w:color w:val="000000"/>
                <w:sz w:val="22"/>
                <w:lang w:eastAsia="ru-RU"/>
              </w:rPr>
            </w:pPr>
            <w:r w:rsidRPr="00DC5B80">
              <w:rPr>
                <w:rFonts w:eastAsia="Times New Roman" w:cs="Times New Roman"/>
                <w:color w:val="000000"/>
                <w:sz w:val="22"/>
                <w:lang w:eastAsia="ru-RU"/>
              </w:rPr>
              <w:t>Расстояние от населенного пункта до столицы субъекта РФ</w:t>
            </w:r>
          </w:p>
        </w:tc>
        <w:tc>
          <w:tcPr>
            <w:tcW w:w="1717" w:type="pct"/>
            <w:tcBorders>
              <w:top w:val="nil"/>
              <w:left w:val="nil"/>
              <w:bottom w:val="single" w:sz="4" w:space="0" w:color="auto"/>
              <w:right w:val="single" w:sz="4" w:space="0" w:color="auto"/>
            </w:tcBorders>
            <w:shd w:val="clear" w:color="auto" w:fill="auto"/>
            <w:vAlign w:val="center"/>
            <w:hideMark/>
          </w:tcPr>
          <w:p w14:paraId="116903F1" w14:textId="77777777" w:rsidR="00DC5B80" w:rsidRPr="00DC5B80" w:rsidRDefault="00DC5B80" w:rsidP="009E18B2">
            <w:pPr>
              <w:ind w:firstLine="0"/>
              <w:jc w:val="center"/>
              <w:rPr>
                <w:rFonts w:eastAsia="Times New Roman" w:cs="Times New Roman"/>
                <w:color w:val="000000"/>
                <w:sz w:val="22"/>
                <w:lang w:eastAsia="ru-RU"/>
              </w:rPr>
            </w:pPr>
            <w:r w:rsidRPr="00DC5B80">
              <w:rPr>
                <w:rFonts w:eastAsia="Times New Roman" w:cs="Times New Roman"/>
                <w:color w:val="000000"/>
                <w:sz w:val="22"/>
                <w:lang w:eastAsia="ru-RU"/>
              </w:rPr>
              <w:t>Семантический</w:t>
            </w:r>
          </w:p>
        </w:tc>
        <w:tc>
          <w:tcPr>
            <w:tcW w:w="1538" w:type="pct"/>
            <w:tcBorders>
              <w:top w:val="nil"/>
              <w:left w:val="nil"/>
              <w:bottom w:val="single" w:sz="4" w:space="0" w:color="auto"/>
              <w:right w:val="single" w:sz="4" w:space="0" w:color="auto"/>
            </w:tcBorders>
            <w:shd w:val="clear" w:color="auto" w:fill="auto"/>
            <w:vAlign w:val="center"/>
            <w:hideMark/>
          </w:tcPr>
          <w:p w14:paraId="04C8E5A2" w14:textId="77777777" w:rsidR="00DC5B80" w:rsidRPr="00DC5B80" w:rsidRDefault="00DC5B80" w:rsidP="006C45D3">
            <w:pPr>
              <w:ind w:firstLine="0"/>
              <w:rPr>
                <w:rFonts w:eastAsia="Times New Roman" w:cs="Times New Roman"/>
                <w:color w:val="000000"/>
                <w:sz w:val="22"/>
                <w:lang w:eastAsia="ru-RU"/>
              </w:rPr>
            </w:pPr>
            <w:r w:rsidRPr="00DC5B80">
              <w:rPr>
                <w:rFonts w:eastAsia="Times New Roman" w:cs="Times New Roman"/>
                <w:color w:val="000000"/>
                <w:sz w:val="22"/>
                <w:lang w:eastAsia="ru-RU"/>
              </w:rPr>
              <w:t>км.</w:t>
            </w:r>
          </w:p>
        </w:tc>
      </w:tr>
      <w:tr w:rsidR="00DC5B80" w:rsidRPr="00DC5B80" w14:paraId="1D025BFD" w14:textId="77777777" w:rsidTr="006C45D3">
        <w:trPr>
          <w:trHeight w:val="20"/>
        </w:trPr>
        <w:tc>
          <w:tcPr>
            <w:tcW w:w="279" w:type="pct"/>
            <w:tcBorders>
              <w:top w:val="nil"/>
              <w:left w:val="single" w:sz="4" w:space="0" w:color="auto"/>
              <w:bottom w:val="single" w:sz="4" w:space="0" w:color="auto"/>
              <w:right w:val="single" w:sz="4" w:space="0" w:color="auto"/>
            </w:tcBorders>
            <w:shd w:val="clear" w:color="auto" w:fill="auto"/>
            <w:vAlign w:val="center"/>
            <w:hideMark/>
          </w:tcPr>
          <w:p w14:paraId="624BA8DE" w14:textId="77777777" w:rsidR="00DC5B80" w:rsidRPr="00DC5B80" w:rsidRDefault="00DC5B80" w:rsidP="00DC5B80">
            <w:pPr>
              <w:ind w:firstLine="0"/>
              <w:jc w:val="center"/>
              <w:rPr>
                <w:rFonts w:eastAsia="Times New Roman" w:cs="Times New Roman"/>
                <w:color w:val="000000"/>
                <w:sz w:val="22"/>
                <w:lang w:eastAsia="ru-RU"/>
              </w:rPr>
            </w:pPr>
            <w:r w:rsidRPr="00DC5B80">
              <w:rPr>
                <w:rFonts w:eastAsia="Times New Roman" w:cs="Times New Roman"/>
                <w:color w:val="000000"/>
                <w:sz w:val="22"/>
                <w:lang w:eastAsia="ru-RU"/>
              </w:rPr>
              <w:t>4</w:t>
            </w:r>
          </w:p>
        </w:tc>
        <w:tc>
          <w:tcPr>
            <w:tcW w:w="1466" w:type="pct"/>
            <w:tcBorders>
              <w:top w:val="nil"/>
              <w:left w:val="nil"/>
              <w:bottom w:val="single" w:sz="4" w:space="0" w:color="auto"/>
              <w:right w:val="single" w:sz="4" w:space="0" w:color="auto"/>
            </w:tcBorders>
            <w:shd w:val="clear" w:color="auto" w:fill="auto"/>
            <w:vAlign w:val="center"/>
            <w:hideMark/>
          </w:tcPr>
          <w:p w14:paraId="0B9A3540" w14:textId="77777777" w:rsidR="00DC5B80" w:rsidRPr="00DC5B80" w:rsidRDefault="00DC5B80" w:rsidP="00DC5B80">
            <w:pPr>
              <w:ind w:firstLine="0"/>
              <w:jc w:val="left"/>
              <w:rPr>
                <w:rFonts w:eastAsia="Times New Roman" w:cs="Times New Roman"/>
                <w:color w:val="000000"/>
                <w:sz w:val="22"/>
                <w:lang w:eastAsia="ru-RU"/>
              </w:rPr>
            </w:pPr>
            <w:r w:rsidRPr="00DC5B80">
              <w:rPr>
                <w:rFonts w:eastAsia="Times New Roman" w:cs="Times New Roman"/>
                <w:color w:val="000000"/>
                <w:sz w:val="22"/>
                <w:lang w:eastAsia="ru-RU"/>
              </w:rPr>
              <w:t>Расстояние от населенного пункта до центра муниципального района, городского округа</w:t>
            </w:r>
          </w:p>
        </w:tc>
        <w:tc>
          <w:tcPr>
            <w:tcW w:w="1717" w:type="pct"/>
            <w:tcBorders>
              <w:top w:val="nil"/>
              <w:left w:val="nil"/>
              <w:bottom w:val="single" w:sz="4" w:space="0" w:color="auto"/>
              <w:right w:val="single" w:sz="4" w:space="0" w:color="auto"/>
            </w:tcBorders>
            <w:shd w:val="clear" w:color="auto" w:fill="auto"/>
            <w:vAlign w:val="center"/>
            <w:hideMark/>
          </w:tcPr>
          <w:p w14:paraId="35F9A19B" w14:textId="77777777" w:rsidR="00DC5B80" w:rsidRPr="00DC5B80" w:rsidRDefault="00DC5B80" w:rsidP="009E18B2">
            <w:pPr>
              <w:ind w:firstLine="0"/>
              <w:jc w:val="center"/>
              <w:rPr>
                <w:rFonts w:eastAsia="Times New Roman" w:cs="Times New Roman"/>
                <w:color w:val="000000"/>
                <w:sz w:val="22"/>
                <w:lang w:eastAsia="ru-RU"/>
              </w:rPr>
            </w:pPr>
            <w:r w:rsidRPr="00DC5B80">
              <w:rPr>
                <w:rFonts w:eastAsia="Times New Roman" w:cs="Times New Roman"/>
                <w:color w:val="000000"/>
                <w:sz w:val="22"/>
                <w:lang w:eastAsia="ru-RU"/>
              </w:rPr>
              <w:t>Семантический</w:t>
            </w:r>
          </w:p>
        </w:tc>
        <w:tc>
          <w:tcPr>
            <w:tcW w:w="1538" w:type="pct"/>
            <w:tcBorders>
              <w:top w:val="nil"/>
              <w:left w:val="nil"/>
              <w:bottom w:val="single" w:sz="4" w:space="0" w:color="auto"/>
              <w:right w:val="single" w:sz="4" w:space="0" w:color="auto"/>
            </w:tcBorders>
            <w:shd w:val="clear" w:color="auto" w:fill="auto"/>
            <w:vAlign w:val="center"/>
            <w:hideMark/>
          </w:tcPr>
          <w:p w14:paraId="44B98A7B" w14:textId="77777777" w:rsidR="00DC5B80" w:rsidRPr="00DC5B80" w:rsidRDefault="00DC5B80" w:rsidP="006C45D3">
            <w:pPr>
              <w:ind w:firstLine="0"/>
              <w:rPr>
                <w:rFonts w:eastAsia="Times New Roman" w:cs="Times New Roman"/>
                <w:color w:val="000000"/>
                <w:sz w:val="22"/>
                <w:lang w:eastAsia="ru-RU"/>
              </w:rPr>
            </w:pPr>
            <w:r w:rsidRPr="00DC5B80">
              <w:rPr>
                <w:rFonts w:eastAsia="Times New Roman" w:cs="Times New Roman"/>
                <w:color w:val="000000"/>
                <w:sz w:val="22"/>
                <w:lang w:eastAsia="ru-RU"/>
              </w:rPr>
              <w:t>км.</w:t>
            </w:r>
          </w:p>
        </w:tc>
      </w:tr>
      <w:tr w:rsidR="00DC5B80" w:rsidRPr="00DC5B80" w14:paraId="7CB190F8" w14:textId="77777777" w:rsidTr="006C45D3">
        <w:trPr>
          <w:trHeight w:val="20"/>
        </w:trPr>
        <w:tc>
          <w:tcPr>
            <w:tcW w:w="279" w:type="pct"/>
            <w:tcBorders>
              <w:top w:val="nil"/>
              <w:left w:val="single" w:sz="4" w:space="0" w:color="auto"/>
              <w:bottom w:val="single" w:sz="4" w:space="0" w:color="auto"/>
              <w:right w:val="single" w:sz="4" w:space="0" w:color="auto"/>
            </w:tcBorders>
            <w:shd w:val="clear" w:color="auto" w:fill="auto"/>
            <w:vAlign w:val="center"/>
            <w:hideMark/>
          </w:tcPr>
          <w:p w14:paraId="7E8FC170" w14:textId="77777777" w:rsidR="00DC5B80" w:rsidRPr="00DC5B80" w:rsidRDefault="00DC5B80" w:rsidP="00DC5B80">
            <w:pPr>
              <w:ind w:firstLine="0"/>
              <w:jc w:val="center"/>
              <w:rPr>
                <w:rFonts w:eastAsia="Times New Roman" w:cs="Times New Roman"/>
                <w:color w:val="000000"/>
                <w:sz w:val="22"/>
                <w:lang w:eastAsia="ru-RU"/>
              </w:rPr>
            </w:pPr>
            <w:r w:rsidRPr="00DC5B80">
              <w:rPr>
                <w:rFonts w:eastAsia="Times New Roman" w:cs="Times New Roman"/>
                <w:color w:val="000000"/>
                <w:sz w:val="22"/>
                <w:lang w:eastAsia="ru-RU"/>
              </w:rPr>
              <w:t>5</w:t>
            </w:r>
          </w:p>
        </w:tc>
        <w:tc>
          <w:tcPr>
            <w:tcW w:w="1466" w:type="pct"/>
            <w:tcBorders>
              <w:top w:val="nil"/>
              <w:left w:val="nil"/>
              <w:bottom w:val="single" w:sz="4" w:space="0" w:color="auto"/>
              <w:right w:val="single" w:sz="4" w:space="0" w:color="auto"/>
            </w:tcBorders>
            <w:shd w:val="clear" w:color="auto" w:fill="auto"/>
            <w:vAlign w:val="center"/>
            <w:hideMark/>
          </w:tcPr>
          <w:p w14:paraId="6BFCDF4B" w14:textId="77777777" w:rsidR="00DC5B80" w:rsidRPr="00DC5B80" w:rsidRDefault="00DC5B80" w:rsidP="00DC5B80">
            <w:pPr>
              <w:ind w:firstLine="0"/>
              <w:jc w:val="left"/>
              <w:rPr>
                <w:rFonts w:eastAsia="Times New Roman" w:cs="Times New Roman"/>
                <w:color w:val="000000"/>
                <w:sz w:val="22"/>
                <w:lang w:eastAsia="ru-RU"/>
              </w:rPr>
            </w:pPr>
            <w:r w:rsidRPr="00DC5B80">
              <w:rPr>
                <w:rFonts w:eastAsia="Times New Roman" w:cs="Times New Roman"/>
                <w:color w:val="000000"/>
                <w:sz w:val="22"/>
                <w:lang w:eastAsia="ru-RU"/>
              </w:rPr>
              <w:t>Наличие в населенном пункте или вблизи (до 1 км) остановок общественного транспорта (в т.ч. автовокзалы, автостанции, автобусные остановки и т.п.)</w:t>
            </w:r>
          </w:p>
        </w:tc>
        <w:tc>
          <w:tcPr>
            <w:tcW w:w="1717" w:type="pct"/>
            <w:tcBorders>
              <w:top w:val="nil"/>
              <w:left w:val="nil"/>
              <w:bottom w:val="single" w:sz="4" w:space="0" w:color="auto"/>
              <w:right w:val="single" w:sz="4" w:space="0" w:color="auto"/>
            </w:tcBorders>
            <w:shd w:val="clear" w:color="auto" w:fill="auto"/>
            <w:vAlign w:val="center"/>
            <w:hideMark/>
          </w:tcPr>
          <w:p w14:paraId="5F0F38F4" w14:textId="77777777" w:rsidR="00DC5B80" w:rsidRPr="00DC5B80" w:rsidRDefault="00DC5B80" w:rsidP="009E18B2">
            <w:pPr>
              <w:ind w:firstLine="0"/>
              <w:jc w:val="center"/>
              <w:rPr>
                <w:rFonts w:eastAsia="Times New Roman" w:cs="Times New Roman"/>
                <w:color w:val="000000"/>
                <w:sz w:val="22"/>
                <w:lang w:eastAsia="ru-RU"/>
              </w:rPr>
            </w:pPr>
            <w:r w:rsidRPr="00DC5B80">
              <w:rPr>
                <w:rFonts w:eastAsia="Times New Roman" w:cs="Times New Roman"/>
                <w:color w:val="000000"/>
                <w:sz w:val="22"/>
                <w:lang w:eastAsia="ru-RU"/>
              </w:rPr>
              <w:t>Семантический</w:t>
            </w:r>
          </w:p>
        </w:tc>
        <w:tc>
          <w:tcPr>
            <w:tcW w:w="1538" w:type="pct"/>
            <w:tcBorders>
              <w:top w:val="nil"/>
              <w:left w:val="nil"/>
              <w:bottom w:val="single" w:sz="4" w:space="0" w:color="auto"/>
              <w:right w:val="single" w:sz="4" w:space="0" w:color="auto"/>
            </w:tcBorders>
            <w:shd w:val="clear" w:color="auto" w:fill="auto"/>
            <w:vAlign w:val="center"/>
            <w:hideMark/>
          </w:tcPr>
          <w:p w14:paraId="6608DA74" w14:textId="77777777" w:rsidR="00DC5B80" w:rsidRPr="00DC5B80" w:rsidRDefault="00DC5B80" w:rsidP="006C45D3">
            <w:pPr>
              <w:ind w:firstLine="0"/>
              <w:rPr>
                <w:rFonts w:eastAsia="Times New Roman" w:cs="Times New Roman"/>
                <w:color w:val="000000"/>
                <w:sz w:val="22"/>
                <w:lang w:eastAsia="ru-RU"/>
              </w:rPr>
            </w:pPr>
            <w:r w:rsidRPr="00DC5B80">
              <w:rPr>
                <w:rFonts w:eastAsia="Times New Roman" w:cs="Times New Roman"/>
                <w:color w:val="000000"/>
                <w:sz w:val="22"/>
                <w:lang w:eastAsia="ru-RU"/>
              </w:rPr>
              <w:t>да/нет</w:t>
            </w:r>
          </w:p>
        </w:tc>
      </w:tr>
      <w:tr w:rsidR="00DC5B80" w:rsidRPr="00DC5B80" w14:paraId="2BD577E3" w14:textId="77777777" w:rsidTr="006C45D3">
        <w:trPr>
          <w:trHeight w:val="20"/>
        </w:trPr>
        <w:tc>
          <w:tcPr>
            <w:tcW w:w="279" w:type="pct"/>
            <w:tcBorders>
              <w:top w:val="nil"/>
              <w:left w:val="single" w:sz="4" w:space="0" w:color="auto"/>
              <w:bottom w:val="single" w:sz="4" w:space="0" w:color="auto"/>
              <w:right w:val="single" w:sz="4" w:space="0" w:color="auto"/>
            </w:tcBorders>
            <w:shd w:val="clear" w:color="auto" w:fill="auto"/>
            <w:vAlign w:val="center"/>
            <w:hideMark/>
          </w:tcPr>
          <w:p w14:paraId="43136B76" w14:textId="77777777" w:rsidR="00DC5B80" w:rsidRPr="00DC5B80" w:rsidRDefault="00DC5B80" w:rsidP="00DC5B80">
            <w:pPr>
              <w:ind w:firstLine="0"/>
              <w:jc w:val="center"/>
              <w:rPr>
                <w:rFonts w:eastAsia="Times New Roman" w:cs="Times New Roman"/>
                <w:color w:val="000000"/>
                <w:sz w:val="22"/>
                <w:lang w:eastAsia="ru-RU"/>
              </w:rPr>
            </w:pPr>
            <w:r w:rsidRPr="00DC5B80">
              <w:rPr>
                <w:rFonts w:eastAsia="Times New Roman" w:cs="Times New Roman"/>
                <w:color w:val="000000"/>
                <w:sz w:val="22"/>
                <w:lang w:eastAsia="ru-RU"/>
              </w:rPr>
              <w:t>6</w:t>
            </w:r>
          </w:p>
        </w:tc>
        <w:tc>
          <w:tcPr>
            <w:tcW w:w="1466" w:type="pct"/>
            <w:tcBorders>
              <w:top w:val="nil"/>
              <w:left w:val="nil"/>
              <w:bottom w:val="single" w:sz="4" w:space="0" w:color="auto"/>
              <w:right w:val="single" w:sz="4" w:space="0" w:color="auto"/>
            </w:tcBorders>
            <w:shd w:val="clear" w:color="auto" w:fill="auto"/>
            <w:vAlign w:val="center"/>
            <w:hideMark/>
          </w:tcPr>
          <w:p w14:paraId="5B0E60F6" w14:textId="77777777" w:rsidR="00DC5B80" w:rsidRPr="00DC5B80" w:rsidRDefault="00DC5B80" w:rsidP="00DC5B80">
            <w:pPr>
              <w:ind w:firstLine="0"/>
              <w:jc w:val="left"/>
              <w:rPr>
                <w:rFonts w:eastAsia="Times New Roman" w:cs="Times New Roman"/>
                <w:color w:val="000000"/>
                <w:sz w:val="22"/>
                <w:lang w:eastAsia="ru-RU"/>
              </w:rPr>
            </w:pPr>
            <w:r w:rsidRPr="00DC5B80">
              <w:rPr>
                <w:rFonts w:eastAsia="Times New Roman" w:cs="Times New Roman"/>
                <w:color w:val="000000"/>
                <w:sz w:val="22"/>
                <w:lang w:eastAsia="ru-RU"/>
              </w:rPr>
              <w:t>Наличие в населенном пункте магазина</w:t>
            </w:r>
          </w:p>
        </w:tc>
        <w:tc>
          <w:tcPr>
            <w:tcW w:w="1717" w:type="pct"/>
            <w:tcBorders>
              <w:top w:val="nil"/>
              <w:left w:val="nil"/>
              <w:bottom w:val="single" w:sz="4" w:space="0" w:color="auto"/>
              <w:right w:val="single" w:sz="4" w:space="0" w:color="auto"/>
            </w:tcBorders>
            <w:shd w:val="clear" w:color="auto" w:fill="auto"/>
            <w:vAlign w:val="center"/>
            <w:hideMark/>
          </w:tcPr>
          <w:p w14:paraId="51AAA810" w14:textId="77777777" w:rsidR="00DC5B80" w:rsidRPr="00DC5B80" w:rsidRDefault="00DC5B80" w:rsidP="009E18B2">
            <w:pPr>
              <w:ind w:firstLine="0"/>
              <w:jc w:val="center"/>
              <w:rPr>
                <w:rFonts w:eastAsia="Times New Roman" w:cs="Times New Roman"/>
                <w:color w:val="000000"/>
                <w:sz w:val="22"/>
                <w:lang w:eastAsia="ru-RU"/>
              </w:rPr>
            </w:pPr>
            <w:r w:rsidRPr="00DC5B80">
              <w:rPr>
                <w:rFonts w:eastAsia="Times New Roman" w:cs="Times New Roman"/>
                <w:color w:val="000000"/>
                <w:sz w:val="22"/>
                <w:lang w:eastAsia="ru-RU"/>
              </w:rPr>
              <w:t>Семантический</w:t>
            </w:r>
          </w:p>
        </w:tc>
        <w:tc>
          <w:tcPr>
            <w:tcW w:w="1538" w:type="pct"/>
            <w:tcBorders>
              <w:top w:val="nil"/>
              <w:left w:val="nil"/>
              <w:bottom w:val="single" w:sz="4" w:space="0" w:color="auto"/>
              <w:right w:val="single" w:sz="4" w:space="0" w:color="auto"/>
            </w:tcBorders>
            <w:shd w:val="clear" w:color="auto" w:fill="auto"/>
            <w:vAlign w:val="center"/>
            <w:hideMark/>
          </w:tcPr>
          <w:p w14:paraId="1AFE60D4" w14:textId="77777777" w:rsidR="00DC5B80" w:rsidRPr="00DC5B80" w:rsidRDefault="00DC5B80" w:rsidP="006C45D3">
            <w:pPr>
              <w:ind w:firstLine="0"/>
              <w:rPr>
                <w:rFonts w:eastAsia="Times New Roman" w:cs="Times New Roman"/>
                <w:color w:val="000000"/>
                <w:sz w:val="22"/>
                <w:lang w:eastAsia="ru-RU"/>
              </w:rPr>
            </w:pPr>
            <w:r w:rsidRPr="00DC5B80">
              <w:rPr>
                <w:rFonts w:eastAsia="Times New Roman" w:cs="Times New Roman"/>
                <w:color w:val="000000"/>
                <w:sz w:val="22"/>
                <w:lang w:eastAsia="ru-RU"/>
              </w:rPr>
              <w:t>да/нет</w:t>
            </w:r>
          </w:p>
        </w:tc>
      </w:tr>
      <w:tr w:rsidR="00DC5B80" w:rsidRPr="00DC5B80" w14:paraId="41DEEB74" w14:textId="77777777" w:rsidTr="006C45D3">
        <w:trPr>
          <w:trHeight w:val="20"/>
        </w:trPr>
        <w:tc>
          <w:tcPr>
            <w:tcW w:w="279" w:type="pct"/>
            <w:tcBorders>
              <w:top w:val="nil"/>
              <w:left w:val="single" w:sz="4" w:space="0" w:color="auto"/>
              <w:bottom w:val="single" w:sz="4" w:space="0" w:color="auto"/>
              <w:right w:val="single" w:sz="4" w:space="0" w:color="auto"/>
            </w:tcBorders>
            <w:shd w:val="clear" w:color="auto" w:fill="auto"/>
            <w:vAlign w:val="center"/>
            <w:hideMark/>
          </w:tcPr>
          <w:p w14:paraId="37651542" w14:textId="77777777" w:rsidR="00DC5B80" w:rsidRPr="00DC5B80" w:rsidRDefault="00DC5B80" w:rsidP="00DC5B80">
            <w:pPr>
              <w:ind w:firstLine="0"/>
              <w:jc w:val="center"/>
              <w:rPr>
                <w:rFonts w:eastAsia="Times New Roman" w:cs="Times New Roman"/>
                <w:color w:val="000000"/>
                <w:sz w:val="22"/>
                <w:lang w:eastAsia="ru-RU"/>
              </w:rPr>
            </w:pPr>
            <w:r w:rsidRPr="00DC5B80">
              <w:rPr>
                <w:rFonts w:eastAsia="Times New Roman" w:cs="Times New Roman"/>
                <w:color w:val="000000"/>
                <w:sz w:val="22"/>
                <w:lang w:eastAsia="ru-RU"/>
              </w:rPr>
              <w:t>7</w:t>
            </w:r>
          </w:p>
        </w:tc>
        <w:tc>
          <w:tcPr>
            <w:tcW w:w="1466" w:type="pct"/>
            <w:tcBorders>
              <w:top w:val="nil"/>
              <w:left w:val="nil"/>
              <w:bottom w:val="single" w:sz="4" w:space="0" w:color="auto"/>
              <w:right w:val="single" w:sz="4" w:space="0" w:color="auto"/>
            </w:tcBorders>
            <w:shd w:val="clear" w:color="auto" w:fill="auto"/>
            <w:vAlign w:val="center"/>
            <w:hideMark/>
          </w:tcPr>
          <w:p w14:paraId="3BED5DFE" w14:textId="77777777" w:rsidR="00DC5B80" w:rsidRPr="00DC5B80" w:rsidRDefault="00DC5B80" w:rsidP="00DC5B80">
            <w:pPr>
              <w:ind w:firstLine="0"/>
              <w:jc w:val="left"/>
              <w:rPr>
                <w:rFonts w:eastAsia="Times New Roman" w:cs="Times New Roman"/>
                <w:color w:val="000000"/>
                <w:sz w:val="22"/>
                <w:lang w:eastAsia="ru-RU"/>
              </w:rPr>
            </w:pPr>
            <w:r w:rsidRPr="00DC5B80">
              <w:rPr>
                <w:rFonts w:eastAsia="Times New Roman" w:cs="Times New Roman"/>
                <w:color w:val="000000"/>
                <w:sz w:val="22"/>
                <w:lang w:eastAsia="ru-RU"/>
              </w:rPr>
              <w:t>Наличие в населенном пункте общеобразовательной школы</w:t>
            </w:r>
          </w:p>
        </w:tc>
        <w:tc>
          <w:tcPr>
            <w:tcW w:w="1717" w:type="pct"/>
            <w:tcBorders>
              <w:top w:val="nil"/>
              <w:left w:val="nil"/>
              <w:bottom w:val="single" w:sz="4" w:space="0" w:color="auto"/>
              <w:right w:val="single" w:sz="4" w:space="0" w:color="auto"/>
            </w:tcBorders>
            <w:shd w:val="clear" w:color="auto" w:fill="auto"/>
            <w:vAlign w:val="center"/>
            <w:hideMark/>
          </w:tcPr>
          <w:p w14:paraId="1C3BAB06" w14:textId="77777777" w:rsidR="00DC5B80" w:rsidRPr="00DC5B80" w:rsidRDefault="00DC5B80" w:rsidP="009E18B2">
            <w:pPr>
              <w:ind w:firstLine="0"/>
              <w:jc w:val="center"/>
              <w:rPr>
                <w:rFonts w:eastAsia="Times New Roman" w:cs="Times New Roman"/>
                <w:color w:val="000000"/>
                <w:sz w:val="22"/>
                <w:lang w:eastAsia="ru-RU"/>
              </w:rPr>
            </w:pPr>
            <w:r w:rsidRPr="00DC5B80">
              <w:rPr>
                <w:rFonts w:eastAsia="Times New Roman" w:cs="Times New Roman"/>
                <w:color w:val="000000"/>
                <w:sz w:val="22"/>
                <w:lang w:eastAsia="ru-RU"/>
              </w:rPr>
              <w:t>Семантический</w:t>
            </w:r>
          </w:p>
        </w:tc>
        <w:tc>
          <w:tcPr>
            <w:tcW w:w="1538" w:type="pct"/>
            <w:tcBorders>
              <w:top w:val="nil"/>
              <w:left w:val="nil"/>
              <w:bottom w:val="single" w:sz="4" w:space="0" w:color="auto"/>
              <w:right w:val="single" w:sz="4" w:space="0" w:color="auto"/>
            </w:tcBorders>
            <w:shd w:val="clear" w:color="auto" w:fill="auto"/>
            <w:vAlign w:val="center"/>
            <w:hideMark/>
          </w:tcPr>
          <w:p w14:paraId="381CBF2D" w14:textId="77777777" w:rsidR="00DC5B80" w:rsidRPr="00DC5B80" w:rsidRDefault="00DC5B80" w:rsidP="006C45D3">
            <w:pPr>
              <w:ind w:firstLine="0"/>
              <w:rPr>
                <w:rFonts w:eastAsia="Times New Roman" w:cs="Times New Roman"/>
                <w:color w:val="000000"/>
                <w:sz w:val="22"/>
                <w:lang w:eastAsia="ru-RU"/>
              </w:rPr>
            </w:pPr>
            <w:r w:rsidRPr="00DC5B80">
              <w:rPr>
                <w:rFonts w:eastAsia="Times New Roman" w:cs="Times New Roman"/>
                <w:color w:val="000000"/>
                <w:sz w:val="22"/>
                <w:lang w:eastAsia="ru-RU"/>
              </w:rPr>
              <w:t>да/нет</w:t>
            </w:r>
          </w:p>
        </w:tc>
      </w:tr>
      <w:tr w:rsidR="00DC5B80" w:rsidRPr="00DC5B80" w14:paraId="1FFEDE18" w14:textId="77777777" w:rsidTr="006C45D3">
        <w:trPr>
          <w:trHeight w:val="20"/>
        </w:trPr>
        <w:tc>
          <w:tcPr>
            <w:tcW w:w="279" w:type="pct"/>
            <w:tcBorders>
              <w:top w:val="nil"/>
              <w:left w:val="single" w:sz="4" w:space="0" w:color="auto"/>
              <w:bottom w:val="single" w:sz="4" w:space="0" w:color="auto"/>
              <w:right w:val="single" w:sz="4" w:space="0" w:color="auto"/>
            </w:tcBorders>
            <w:shd w:val="clear" w:color="auto" w:fill="auto"/>
            <w:vAlign w:val="center"/>
            <w:hideMark/>
          </w:tcPr>
          <w:p w14:paraId="1FFB8D45" w14:textId="77777777" w:rsidR="00DC5B80" w:rsidRPr="00DC5B80" w:rsidRDefault="00DC5B80" w:rsidP="00DC5B80">
            <w:pPr>
              <w:ind w:firstLine="0"/>
              <w:jc w:val="center"/>
              <w:rPr>
                <w:rFonts w:eastAsia="Times New Roman" w:cs="Times New Roman"/>
                <w:color w:val="000000"/>
                <w:sz w:val="22"/>
                <w:lang w:eastAsia="ru-RU"/>
              </w:rPr>
            </w:pPr>
            <w:r w:rsidRPr="00DC5B80">
              <w:rPr>
                <w:rFonts w:eastAsia="Times New Roman" w:cs="Times New Roman"/>
                <w:color w:val="000000"/>
                <w:sz w:val="22"/>
                <w:lang w:eastAsia="ru-RU"/>
              </w:rPr>
              <w:t>8</w:t>
            </w:r>
          </w:p>
        </w:tc>
        <w:tc>
          <w:tcPr>
            <w:tcW w:w="1466" w:type="pct"/>
            <w:tcBorders>
              <w:top w:val="nil"/>
              <w:left w:val="nil"/>
              <w:bottom w:val="single" w:sz="4" w:space="0" w:color="auto"/>
              <w:right w:val="single" w:sz="4" w:space="0" w:color="auto"/>
            </w:tcBorders>
            <w:shd w:val="clear" w:color="auto" w:fill="auto"/>
            <w:vAlign w:val="center"/>
            <w:hideMark/>
          </w:tcPr>
          <w:p w14:paraId="10675886" w14:textId="77777777" w:rsidR="00DC5B80" w:rsidRPr="00DC5B80" w:rsidRDefault="00DC5B80" w:rsidP="00DC5B80">
            <w:pPr>
              <w:ind w:firstLine="0"/>
              <w:jc w:val="left"/>
              <w:rPr>
                <w:rFonts w:eastAsia="Times New Roman" w:cs="Times New Roman"/>
                <w:color w:val="000000"/>
                <w:sz w:val="22"/>
                <w:lang w:eastAsia="ru-RU"/>
              </w:rPr>
            </w:pPr>
            <w:r w:rsidRPr="00DC5B80">
              <w:rPr>
                <w:rFonts w:eastAsia="Times New Roman" w:cs="Times New Roman"/>
                <w:color w:val="000000"/>
                <w:sz w:val="22"/>
                <w:lang w:eastAsia="ru-RU"/>
              </w:rPr>
              <w:t>Наличие в населенном пункте центрального электроснабжения</w:t>
            </w:r>
          </w:p>
        </w:tc>
        <w:tc>
          <w:tcPr>
            <w:tcW w:w="1717" w:type="pct"/>
            <w:tcBorders>
              <w:top w:val="nil"/>
              <w:left w:val="nil"/>
              <w:bottom w:val="single" w:sz="4" w:space="0" w:color="auto"/>
              <w:right w:val="single" w:sz="4" w:space="0" w:color="auto"/>
            </w:tcBorders>
            <w:shd w:val="clear" w:color="auto" w:fill="auto"/>
            <w:vAlign w:val="center"/>
            <w:hideMark/>
          </w:tcPr>
          <w:p w14:paraId="67BBD8F4" w14:textId="77777777" w:rsidR="00DC5B80" w:rsidRPr="00DC5B80" w:rsidRDefault="00DC5B80" w:rsidP="009E18B2">
            <w:pPr>
              <w:ind w:firstLine="0"/>
              <w:jc w:val="center"/>
              <w:rPr>
                <w:rFonts w:eastAsia="Times New Roman" w:cs="Times New Roman"/>
                <w:color w:val="000000"/>
                <w:sz w:val="22"/>
                <w:lang w:eastAsia="ru-RU"/>
              </w:rPr>
            </w:pPr>
            <w:r w:rsidRPr="00DC5B80">
              <w:rPr>
                <w:rFonts w:eastAsia="Times New Roman" w:cs="Times New Roman"/>
                <w:color w:val="000000"/>
                <w:sz w:val="22"/>
                <w:lang w:eastAsia="ru-RU"/>
              </w:rPr>
              <w:t>Семантический</w:t>
            </w:r>
          </w:p>
        </w:tc>
        <w:tc>
          <w:tcPr>
            <w:tcW w:w="1538" w:type="pct"/>
            <w:tcBorders>
              <w:top w:val="nil"/>
              <w:left w:val="nil"/>
              <w:bottom w:val="single" w:sz="4" w:space="0" w:color="auto"/>
              <w:right w:val="single" w:sz="4" w:space="0" w:color="auto"/>
            </w:tcBorders>
            <w:shd w:val="clear" w:color="auto" w:fill="auto"/>
            <w:vAlign w:val="center"/>
            <w:hideMark/>
          </w:tcPr>
          <w:p w14:paraId="2C7F0566" w14:textId="77777777" w:rsidR="00DC5B80" w:rsidRPr="00DC5B80" w:rsidRDefault="00DC5B80" w:rsidP="006C45D3">
            <w:pPr>
              <w:ind w:firstLine="0"/>
              <w:rPr>
                <w:rFonts w:eastAsia="Times New Roman" w:cs="Times New Roman"/>
                <w:color w:val="000000"/>
                <w:sz w:val="22"/>
                <w:lang w:eastAsia="ru-RU"/>
              </w:rPr>
            </w:pPr>
            <w:r w:rsidRPr="00DC5B80">
              <w:rPr>
                <w:rFonts w:eastAsia="Times New Roman" w:cs="Times New Roman"/>
                <w:color w:val="000000"/>
                <w:sz w:val="22"/>
                <w:lang w:eastAsia="ru-RU"/>
              </w:rPr>
              <w:t>да/нет</w:t>
            </w:r>
          </w:p>
        </w:tc>
      </w:tr>
      <w:tr w:rsidR="00DC5B80" w:rsidRPr="00DC5B80" w14:paraId="55E7DE3C" w14:textId="77777777" w:rsidTr="006C45D3">
        <w:trPr>
          <w:trHeight w:val="20"/>
        </w:trPr>
        <w:tc>
          <w:tcPr>
            <w:tcW w:w="279" w:type="pct"/>
            <w:tcBorders>
              <w:top w:val="nil"/>
              <w:left w:val="single" w:sz="4" w:space="0" w:color="auto"/>
              <w:bottom w:val="single" w:sz="4" w:space="0" w:color="auto"/>
              <w:right w:val="single" w:sz="4" w:space="0" w:color="auto"/>
            </w:tcBorders>
            <w:shd w:val="clear" w:color="auto" w:fill="auto"/>
            <w:vAlign w:val="center"/>
            <w:hideMark/>
          </w:tcPr>
          <w:p w14:paraId="0F9AEF80" w14:textId="77777777" w:rsidR="00DC5B80" w:rsidRPr="00DC5B80" w:rsidRDefault="00DC5B80" w:rsidP="00DC5B80">
            <w:pPr>
              <w:ind w:firstLine="0"/>
              <w:jc w:val="center"/>
              <w:rPr>
                <w:rFonts w:eastAsia="Times New Roman" w:cs="Times New Roman"/>
                <w:color w:val="000000"/>
                <w:sz w:val="22"/>
                <w:lang w:eastAsia="ru-RU"/>
              </w:rPr>
            </w:pPr>
            <w:r w:rsidRPr="00DC5B80">
              <w:rPr>
                <w:rFonts w:eastAsia="Times New Roman" w:cs="Times New Roman"/>
                <w:color w:val="000000"/>
                <w:sz w:val="22"/>
                <w:lang w:eastAsia="ru-RU"/>
              </w:rPr>
              <w:t>9</w:t>
            </w:r>
          </w:p>
        </w:tc>
        <w:tc>
          <w:tcPr>
            <w:tcW w:w="1466" w:type="pct"/>
            <w:tcBorders>
              <w:top w:val="nil"/>
              <w:left w:val="nil"/>
              <w:bottom w:val="single" w:sz="4" w:space="0" w:color="auto"/>
              <w:right w:val="single" w:sz="4" w:space="0" w:color="auto"/>
            </w:tcBorders>
            <w:shd w:val="clear" w:color="auto" w:fill="auto"/>
            <w:vAlign w:val="center"/>
            <w:hideMark/>
          </w:tcPr>
          <w:p w14:paraId="45E2BE7E" w14:textId="77777777" w:rsidR="00DC5B80" w:rsidRPr="00DC5B80" w:rsidRDefault="00DC5B80" w:rsidP="00DC5B80">
            <w:pPr>
              <w:ind w:firstLine="0"/>
              <w:jc w:val="left"/>
              <w:rPr>
                <w:rFonts w:eastAsia="Times New Roman" w:cs="Times New Roman"/>
                <w:color w:val="000000"/>
                <w:sz w:val="22"/>
                <w:lang w:eastAsia="ru-RU"/>
              </w:rPr>
            </w:pPr>
            <w:r w:rsidRPr="00DC5B80">
              <w:rPr>
                <w:rFonts w:eastAsia="Times New Roman" w:cs="Times New Roman"/>
                <w:color w:val="000000"/>
                <w:sz w:val="22"/>
                <w:lang w:eastAsia="ru-RU"/>
              </w:rPr>
              <w:t>Наличие в населенном пункте центрального водоснабжения</w:t>
            </w:r>
          </w:p>
        </w:tc>
        <w:tc>
          <w:tcPr>
            <w:tcW w:w="1717" w:type="pct"/>
            <w:tcBorders>
              <w:top w:val="nil"/>
              <w:left w:val="nil"/>
              <w:bottom w:val="single" w:sz="4" w:space="0" w:color="auto"/>
              <w:right w:val="single" w:sz="4" w:space="0" w:color="auto"/>
            </w:tcBorders>
            <w:shd w:val="clear" w:color="auto" w:fill="auto"/>
            <w:vAlign w:val="center"/>
            <w:hideMark/>
          </w:tcPr>
          <w:p w14:paraId="26B2BC12" w14:textId="77777777" w:rsidR="00DC5B80" w:rsidRPr="00DC5B80" w:rsidRDefault="00DC5B80" w:rsidP="009E18B2">
            <w:pPr>
              <w:ind w:firstLine="0"/>
              <w:jc w:val="center"/>
              <w:rPr>
                <w:rFonts w:eastAsia="Times New Roman" w:cs="Times New Roman"/>
                <w:color w:val="000000"/>
                <w:sz w:val="22"/>
                <w:lang w:eastAsia="ru-RU"/>
              </w:rPr>
            </w:pPr>
            <w:r w:rsidRPr="00DC5B80">
              <w:rPr>
                <w:rFonts w:eastAsia="Times New Roman" w:cs="Times New Roman"/>
                <w:color w:val="000000"/>
                <w:sz w:val="22"/>
                <w:lang w:eastAsia="ru-RU"/>
              </w:rPr>
              <w:t>Семантический</w:t>
            </w:r>
          </w:p>
        </w:tc>
        <w:tc>
          <w:tcPr>
            <w:tcW w:w="1538" w:type="pct"/>
            <w:tcBorders>
              <w:top w:val="nil"/>
              <w:left w:val="nil"/>
              <w:bottom w:val="single" w:sz="4" w:space="0" w:color="auto"/>
              <w:right w:val="single" w:sz="4" w:space="0" w:color="auto"/>
            </w:tcBorders>
            <w:shd w:val="clear" w:color="auto" w:fill="auto"/>
            <w:vAlign w:val="center"/>
            <w:hideMark/>
          </w:tcPr>
          <w:p w14:paraId="31E5BF47" w14:textId="77777777" w:rsidR="00DC5B80" w:rsidRPr="00DC5B80" w:rsidRDefault="00DC5B80" w:rsidP="006C45D3">
            <w:pPr>
              <w:ind w:firstLine="0"/>
              <w:rPr>
                <w:rFonts w:eastAsia="Times New Roman" w:cs="Times New Roman"/>
                <w:color w:val="000000"/>
                <w:sz w:val="22"/>
                <w:lang w:eastAsia="ru-RU"/>
              </w:rPr>
            </w:pPr>
            <w:r w:rsidRPr="00DC5B80">
              <w:rPr>
                <w:rFonts w:eastAsia="Times New Roman" w:cs="Times New Roman"/>
                <w:color w:val="000000"/>
                <w:sz w:val="22"/>
                <w:lang w:eastAsia="ru-RU"/>
              </w:rPr>
              <w:t>да/нет</w:t>
            </w:r>
          </w:p>
        </w:tc>
      </w:tr>
      <w:tr w:rsidR="00DC5B80" w:rsidRPr="00DC5B80" w14:paraId="7151860C" w14:textId="77777777" w:rsidTr="006C45D3">
        <w:trPr>
          <w:trHeight w:val="20"/>
        </w:trPr>
        <w:tc>
          <w:tcPr>
            <w:tcW w:w="279" w:type="pct"/>
            <w:tcBorders>
              <w:top w:val="nil"/>
              <w:left w:val="single" w:sz="4" w:space="0" w:color="auto"/>
              <w:bottom w:val="single" w:sz="4" w:space="0" w:color="auto"/>
              <w:right w:val="single" w:sz="4" w:space="0" w:color="auto"/>
            </w:tcBorders>
            <w:shd w:val="clear" w:color="auto" w:fill="auto"/>
            <w:vAlign w:val="center"/>
            <w:hideMark/>
          </w:tcPr>
          <w:p w14:paraId="3B457CAA" w14:textId="77777777" w:rsidR="00DC5B80" w:rsidRPr="00DC5B80" w:rsidRDefault="00DC5B80" w:rsidP="00DC5B80">
            <w:pPr>
              <w:ind w:firstLine="0"/>
              <w:jc w:val="center"/>
              <w:rPr>
                <w:rFonts w:eastAsia="Times New Roman" w:cs="Times New Roman"/>
                <w:color w:val="000000"/>
                <w:sz w:val="22"/>
                <w:lang w:eastAsia="ru-RU"/>
              </w:rPr>
            </w:pPr>
            <w:r w:rsidRPr="00DC5B80">
              <w:rPr>
                <w:rFonts w:eastAsia="Times New Roman" w:cs="Times New Roman"/>
                <w:color w:val="000000"/>
                <w:sz w:val="22"/>
                <w:lang w:eastAsia="ru-RU"/>
              </w:rPr>
              <w:t>10</w:t>
            </w:r>
          </w:p>
        </w:tc>
        <w:tc>
          <w:tcPr>
            <w:tcW w:w="1466" w:type="pct"/>
            <w:tcBorders>
              <w:top w:val="nil"/>
              <w:left w:val="nil"/>
              <w:bottom w:val="single" w:sz="4" w:space="0" w:color="auto"/>
              <w:right w:val="single" w:sz="4" w:space="0" w:color="auto"/>
            </w:tcBorders>
            <w:shd w:val="clear" w:color="auto" w:fill="auto"/>
            <w:vAlign w:val="center"/>
            <w:hideMark/>
          </w:tcPr>
          <w:p w14:paraId="73CC4991" w14:textId="77777777" w:rsidR="00DC5B80" w:rsidRPr="00DC5B80" w:rsidRDefault="00DC5B80" w:rsidP="00DC5B80">
            <w:pPr>
              <w:ind w:firstLine="0"/>
              <w:jc w:val="left"/>
              <w:rPr>
                <w:rFonts w:eastAsia="Times New Roman" w:cs="Times New Roman"/>
                <w:color w:val="000000"/>
                <w:sz w:val="22"/>
                <w:lang w:eastAsia="ru-RU"/>
              </w:rPr>
            </w:pPr>
            <w:r w:rsidRPr="00DC5B80">
              <w:rPr>
                <w:rFonts w:eastAsia="Times New Roman" w:cs="Times New Roman"/>
                <w:color w:val="000000"/>
                <w:sz w:val="22"/>
                <w:lang w:eastAsia="ru-RU"/>
              </w:rPr>
              <w:t>Наличие в населенном пункте центральной канализации</w:t>
            </w:r>
          </w:p>
        </w:tc>
        <w:tc>
          <w:tcPr>
            <w:tcW w:w="1717" w:type="pct"/>
            <w:tcBorders>
              <w:top w:val="nil"/>
              <w:left w:val="nil"/>
              <w:bottom w:val="single" w:sz="4" w:space="0" w:color="auto"/>
              <w:right w:val="single" w:sz="4" w:space="0" w:color="auto"/>
            </w:tcBorders>
            <w:shd w:val="clear" w:color="auto" w:fill="auto"/>
            <w:vAlign w:val="center"/>
            <w:hideMark/>
          </w:tcPr>
          <w:p w14:paraId="7F2F2846" w14:textId="77777777" w:rsidR="00DC5B80" w:rsidRPr="00DC5B80" w:rsidRDefault="00DC5B80" w:rsidP="009E18B2">
            <w:pPr>
              <w:ind w:firstLine="0"/>
              <w:jc w:val="center"/>
              <w:rPr>
                <w:rFonts w:eastAsia="Times New Roman" w:cs="Times New Roman"/>
                <w:color w:val="000000"/>
                <w:sz w:val="22"/>
                <w:lang w:eastAsia="ru-RU"/>
              </w:rPr>
            </w:pPr>
            <w:r w:rsidRPr="00DC5B80">
              <w:rPr>
                <w:rFonts w:eastAsia="Times New Roman" w:cs="Times New Roman"/>
                <w:color w:val="000000"/>
                <w:sz w:val="22"/>
                <w:lang w:eastAsia="ru-RU"/>
              </w:rPr>
              <w:t>Семантический</w:t>
            </w:r>
          </w:p>
        </w:tc>
        <w:tc>
          <w:tcPr>
            <w:tcW w:w="1538" w:type="pct"/>
            <w:tcBorders>
              <w:top w:val="nil"/>
              <w:left w:val="nil"/>
              <w:bottom w:val="single" w:sz="4" w:space="0" w:color="auto"/>
              <w:right w:val="single" w:sz="4" w:space="0" w:color="auto"/>
            </w:tcBorders>
            <w:shd w:val="clear" w:color="auto" w:fill="auto"/>
            <w:vAlign w:val="center"/>
            <w:hideMark/>
          </w:tcPr>
          <w:p w14:paraId="4F28F526" w14:textId="77777777" w:rsidR="00DC5B80" w:rsidRPr="00DC5B80" w:rsidRDefault="00DC5B80" w:rsidP="006C45D3">
            <w:pPr>
              <w:ind w:firstLine="0"/>
              <w:rPr>
                <w:rFonts w:eastAsia="Times New Roman" w:cs="Times New Roman"/>
                <w:color w:val="000000"/>
                <w:sz w:val="22"/>
                <w:lang w:eastAsia="ru-RU"/>
              </w:rPr>
            </w:pPr>
            <w:r w:rsidRPr="00DC5B80">
              <w:rPr>
                <w:rFonts w:eastAsia="Times New Roman" w:cs="Times New Roman"/>
                <w:color w:val="000000"/>
                <w:sz w:val="22"/>
                <w:lang w:eastAsia="ru-RU"/>
              </w:rPr>
              <w:t>да/нет</w:t>
            </w:r>
          </w:p>
        </w:tc>
      </w:tr>
      <w:tr w:rsidR="00DC5B80" w:rsidRPr="00DC5B80" w14:paraId="49BBF666" w14:textId="77777777" w:rsidTr="006C45D3">
        <w:trPr>
          <w:trHeight w:val="20"/>
        </w:trPr>
        <w:tc>
          <w:tcPr>
            <w:tcW w:w="279" w:type="pct"/>
            <w:tcBorders>
              <w:top w:val="nil"/>
              <w:left w:val="single" w:sz="4" w:space="0" w:color="auto"/>
              <w:bottom w:val="single" w:sz="4" w:space="0" w:color="auto"/>
              <w:right w:val="single" w:sz="4" w:space="0" w:color="auto"/>
            </w:tcBorders>
            <w:shd w:val="clear" w:color="auto" w:fill="auto"/>
            <w:vAlign w:val="center"/>
            <w:hideMark/>
          </w:tcPr>
          <w:p w14:paraId="5F9072FE" w14:textId="77777777" w:rsidR="00DC5B80" w:rsidRPr="00DC5B80" w:rsidRDefault="00DC5B80" w:rsidP="00DC5B80">
            <w:pPr>
              <w:ind w:firstLine="0"/>
              <w:jc w:val="center"/>
              <w:rPr>
                <w:rFonts w:eastAsia="Times New Roman" w:cs="Times New Roman"/>
                <w:color w:val="000000"/>
                <w:sz w:val="22"/>
                <w:lang w:eastAsia="ru-RU"/>
              </w:rPr>
            </w:pPr>
            <w:r w:rsidRPr="00DC5B80">
              <w:rPr>
                <w:rFonts w:eastAsia="Times New Roman" w:cs="Times New Roman"/>
                <w:color w:val="000000"/>
                <w:sz w:val="22"/>
                <w:lang w:eastAsia="ru-RU"/>
              </w:rPr>
              <w:t>11</w:t>
            </w:r>
          </w:p>
        </w:tc>
        <w:tc>
          <w:tcPr>
            <w:tcW w:w="1466" w:type="pct"/>
            <w:tcBorders>
              <w:top w:val="nil"/>
              <w:left w:val="nil"/>
              <w:bottom w:val="single" w:sz="4" w:space="0" w:color="auto"/>
              <w:right w:val="single" w:sz="4" w:space="0" w:color="auto"/>
            </w:tcBorders>
            <w:shd w:val="clear" w:color="auto" w:fill="auto"/>
            <w:vAlign w:val="center"/>
            <w:hideMark/>
          </w:tcPr>
          <w:p w14:paraId="43986532" w14:textId="77777777" w:rsidR="00DC5B80" w:rsidRPr="00DC5B80" w:rsidRDefault="00DC5B80" w:rsidP="00DC5B80">
            <w:pPr>
              <w:ind w:firstLine="0"/>
              <w:jc w:val="left"/>
              <w:rPr>
                <w:rFonts w:eastAsia="Times New Roman" w:cs="Times New Roman"/>
                <w:color w:val="000000"/>
                <w:sz w:val="22"/>
                <w:lang w:eastAsia="ru-RU"/>
              </w:rPr>
            </w:pPr>
            <w:r w:rsidRPr="00DC5B80">
              <w:rPr>
                <w:rFonts w:eastAsia="Times New Roman" w:cs="Times New Roman"/>
                <w:color w:val="000000"/>
                <w:sz w:val="22"/>
                <w:lang w:eastAsia="ru-RU"/>
              </w:rPr>
              <w:t>Наличие в населенном пункте центрального теплоснабжения</w:t>
            </w:r>
          </w:p>
        </w:tc>
        <w:tc>
          <w:tcPr>
            <w:tcW w:w="1717" w:type="pct"/>
            <w:tcBorders>
              <w:top w:val="nil"/>
              <w:left w:val="nil"/>
              <w:bottom w:val="single" w:sz="4" w:space="0" w:color="auto"/>
              <w:right w:val="single" w:sz="4" w:space="0" w:color="auto"/>
            </w:tcBorders>
            <w:shd w:val="clear" w:color="auto" w:fill="auto"/>
            <w:vAlign w:val="center"/>
            <w:hideMark/>
          </w:tcPr>
          <w:p w14:paraId="486F10B8" w14:textId="77777777" w:rsidR="00DC5B80" w:rsidRPr="00DC5B80" w:rsidRDefault="00DC5B80" w:rsidP="009E18B2">
            <w:pPr>
              <w:ind w:firstLine="0"/>
              <w:jc w:val="center"/>
              <w:rPr>
                <w:rFonts w:eastAsia="Times New Roman" w:cs="Times New Roman"/>
                <w:color w:val="000000"/>
                <w:sz w:val="22"/>
                <w:lang w:eastAsia="ru-RU"/>
              </w:rPr>
            </w:pPr>
            <w:r w:rsidRPr="00DC5B80">
              <w:rPr>
                <w:rFonts w:eastAsia="Times New Roman" w:cs="Times New Roman"/>
                <w:color w:val="000000"/>
                <w:sz w:val="22"/>
                <w:lang w:eastAsia="ru-RU"/>
              </w:rPr>
              <w:t>Семантический</w:t>
            </w:r>
          </w:p>
        </w:tc>
        <w:tc>
          <w:tcPr>
            <w:tcW w:w="1538" w:type="pct"/>
            <w:tcBorders>
              <w:top w:val="nil"/>
              <w:left w:val="nil"/>
              <w:bottom w:val="single" w:sz="4" w:space="0" w:color="auto"/>
              <w:right w:val="single" w:sz="4" w:space="0" w:color="auto"/>
            </w:tcBorders>
            <w:shd w:val="clear" w:color="auto" w:fill="auto"/>
            <w:vAlign w:val="center"/>
            <w:hideMark/>
          </w:tcPr>
          <w:p w14:paraId="67E14FB6" w14:textId="77777777" w:rsidR="00DC5B80" w:rsidRPr="00DC5B80" w:rsidRDefault="00DC5B80" w:rsidP="006C45D3">
            <w:pPr>
              <w:ind w:firstLine="0"/>
              <w:rPr>
                <w:rFonts w:eastAsia="Times New Roman" w:cs="Times New Roman"/>
                <w:color w:val="000000"/>
                <w:sz w:val="22"/>
                <w:lang w:eastAsia="ru-RU"/>
              </w:rPr>
            </w:pPr>
            <w:r w:rsidRPr="00DC5B80">
              <w:rPr>
                <w:rFonts w:eastAsia="Times New Roman" w:cs="Times New Roman"/>
                <w:color w:val="000000"/>
                <w:sz w:val="22"/>
                <w:lang w:eastAsia="ru-RU"/>
              </w:rPr>
              <w:t>да/нет</w:t>
            </w:r>
          </w:p>
        </w:tc>
      </w:tr>
      <w:tr w:rsidR="00DC5B80" w:rsidRPr="00DC5B80" w14:paraId="6BA1CC91" w14:textId="77777777" w:rsidTr="006C45D3">
        <w:trPr>
          <w:trHeight w:val="20"/>
        </w:trPr>
        <w:tc>
          <w:tcPr>
            <w:tcW w:w="279" w:type="pct"/>
            <w:tcBorders>
              <w:top w:val="nil"/>
              <w:left w:val="single" w:sz="4" w:space="0" w:color="auto"/>
              <w:bottom w:val="single" w:sz="4" w:space="0" w:color="auto"/>
              <w:right w:val="single" w:sz="4" w:space="0" w:color="auto"/>
            </w:tcBorders>
            <w:shd w:val="clear" w:color="auto" w:fill="auto"/>
            <w:vAlign w:val="center"/>
            <w:hideMark/>
          </w:tcPr>
          <w:p w14:paraId="4AE87581" w14:textId="77777777" w:rsidR="00DC5B80" w:rsidRPr="00DC5B80" w:rsidRDefault="00DC5B80" w:rsidP="00DC5B80">
            <w:pPr>
              <w:ind w:firstLine="0"/>
              <w:jc w:val="center"/>
              <w:rPr>
                <w:rFonts w:eastAsia="Times New Roman" w:cs="Times New Roman"/>
                <w:color w:val="000000"/>
                <w:sz w:val="22"/>
                <w:lang w:eastAsia="ru-RU"/>
              </w:rPr>
            </w:pPr>
            <w:r w:rsidRPr="00DC5B80">
              <w:rPr>
                <w:rFonts w:eastAsia="Times New Roman" w:cs="Times New Roman"/>
                <w:color w:val="000000"/>
                <w:sz w:val="22"/>
                <w:lang w:eastAsia="ru-RU"/>
              </w:rPr>
              <w:t>12</w:t>
            </w:r>
          </w:p>
        </w:tc>
        <w:tc>
          <w:tcPr>
            <w:tcW w:w="1466" w:type="pct"/>
            <w:tcBorders>
              <w:top w:val="nil"/>
              <w:left w:val="nil"/>
              <w:bottom w:val="single" w:sz="4" w:space="0" w:color="auto"/>
              <w:right w:val="single" w:sz="4" w:space="0" w:color="auto"/>
            </w:tcBorders>
            <w:shd w:val="clear" w:color="auto" w:fill="auto"/>
            <w:vAlign w:val="center"/>
            <w:hideMark/>
          </w:tcPr>
          <w:p w14:paraId="52F0B685" w14:textId="77777777" w:rsidR="00DC5B80" w:rsidRPr="00DC5B80" w:rsidRDefault="00DC5B80" w:rsidP="00DC5B80">
            <w:pPr>
              <w:ind w:firstLine="0"/>
              <w:jc w:val="left"/>
              <w:rPr>
                <w:rFonts w:eastAsia="Times New Roman" w:cs="Times New Roman"/>
                <w:color w:val="000000"/>
                <w:sz w:val="22"/>
                <w:lang w:eastAsia="ru-RU"/>
              </w:rPr>
            </w:pPr>
            <w:r w:rsidRPr="00DC5B80">
              <w:rPr>
                <w:rFonts w:eastAsia="Times New Roman" w:cs="Times New Roman"/>
                <w:color w:val="000000"/>
                <w:sz w:val="22"/>
                <w:lang w:eastAsia="ru-RU"/>
              </w:rPr>
              <w:t>Наличие в населенном пункте центрального газоснабжения</w:t>
            </w:r>
          </w:p>
        </w:tc>
        <w:tc>
          <w:tcPr>
            <w:tcW w:w="1717" w:type="pct"/>
            <w:tcBorders>
              <w:top w:val="nil"/>
              <w:left w:val="nil"/>
              <w:bottom w:val="single" w:sz="4" w:space="0" w:color="auto"/>
              <w:right w:val="single" w:sz="4" w:space="0" w:color="auto"/>
            </w:tcBorders>
            <w:shd w:val="clear" w:color="auto" w:fill="auto"/>
            <w:vAlign w:val="center"/>
            <w:hideMark/>
          </w:tcPr>
          <w:p w14:paraId="7796F24A" w14:textId="77777777" w:rsidR="00DC5B80" w:rsidRPr="00DC5B80" w:rsidRDefault="00DC5B80" w:rsidP="009E18B2">
            <w:pPr>
              <w:ind w:firstLine="0"/>
              <w:jc w:val="center"/>
              <w:rPr>
                <w:rFonts w:eastAsia="Times New Roman" w:cs="Times New Roman"/>
                <w:color w:val="000000"/>
                <w:sz w:val="22"/>
                <w:lang w:eastAsia="ru-RU"/>
              </w:rPr>
            </w:pPr>
            <w:r w:rsidRPr="00DC5B80">
              <w:rPr>
                <w:rFonts w:eastAsia="Times New Roman" w:cs="Times New Roman"/>
                <w:color w:val="000000"/>
                <w:sz w:val="22"/>
                <w:lang w:eastAsia="ru-RU"/>
              </w:rPr>
              <w:t>Семантический</w:t>
            </w:r>
          </w:p>
        </w:tc>
        <w:tc>
          <w:tcPr>
            <w:tcW w:w="1538" w:type="pct"/>
            <w:tcBorders>
              <w:top w:val="nil"/>
              <w:left w:val="nil"/>
              <w:bottom w:val="single" w:sz="4" w:space="0" w:color="auto"/>
              <w:right w:val="single" w:sz="4" w:space="0" w:color="auto"/>
            </w:tcBorders>
            <w:shd w:val="clear" w:color="auto" w:fill="auto"/>
            <w:vAlign w:val="center"/>
            <w:hideMark/>
          </w:tcPr>
          <w:p w14:paraId="74DA0940" w14:textId="77777777" w:rsidR="00DC5B80" w:rsidRPr="00DC5B80" w:rsidRDefault="00DC5B80" w:rsidP="006C45D3">
            <w:pPr>
              <w:ind w:firstLine="0"/>
              <w:rPr>
                <w:rFonts w:eastAsia="Times New Roman" w:cs="Times New Roman"/>
                <w:color w:val="000000"/>
                <w:sz w:val="22"/>
                <w:lang w:eastAsia="ru-RU"/>
              </w:rPr>
            </w:pPr>
            <w:r w:rsidRPr="00DC5B80">
              <w:rPr>
                <w:rFonts w:eastAsia="Times New Roman" w:cs="Times New Roman"/>
                <w:color w:val="000000"/>
                <w:sz w:val="22"/>
                <w:lang w:eastAsia="ru-RU"/>
              </w:rPr>
              <w:t>да/нет</w:t>
            </w:r>
          </w:p>
        </w:tc>
      </w:tr>
      <w:tr w:rsidR="00DC5B80" w:rsidRPr="00DC5B80" w14:paraId="402FFBCD" w14:textId="77777777" w:rsidTr="006C45D3">
        <w:trPr>
          <w:trHeight w:val="20"/>
        </w:trPr>
        <w:tc>
          <w:tcPr>
            <w:tcW w:w="279" w:type="pct"/>
            <w:tcBorders>
              <w:top w:val="nil"/>
              <w:left w:val="single" w:sz="4" w:space="0" w:color="auto"/>
              <w:bottom w:val="single" w:sz="4" w:space="0" w:color="auto"/>
              <w:right w:val="single" w:sz="4" w:space="0" w:color="auto"/>
            </w:tcBorders>
            <w:shd w:val="clear" w:color="auto" w:fill="auto"/>
            <w:vAlign w:val="center"/>
            <w:hideMark/>
          </w:tcPr>
          <w:p w14:paraId="3931BB4E" w14:textId="77777777" w:rsidR="00DC5B80" w:rsidRPr="00DC5B80" w:rsidRDefault="00DC5B80" w:rsidP="00DC5B80">
            <w:pPr>
              <w:ind w:firstLine="0"/>
              <w:jc w:val="center"/>
              <w:rPr>
                <w:rFonts w:eastAsia="Times New Roman" w:cs="Times New Roman"/>
                <w:color w:val="000000"/>
                <w:sz w:val="22"/>
                <w:lang w:eastAsia="ru-RU"/>
              </w:rPr>
            </w:pPr>
            <w:r w:rsidRPr="00DC5B80">
              <w:rPr>
                <w:rFonts w:eastAsia="Times New Roman" w:cs="Times New Roman"/>
                <w:color w:val="000000"/>
                <w:sz w:val="22"/>
                <w:lang w:eastAsia="ru-RU"/>
              </w:rPr>
              <w:t>13</w:t>
            </w:r>
          </w:p>
        </w:tc>
        <w:tc>
          <w:tcPr>
            <w:tcW w:w="1466" w:type="pct"/>
            <w:tcBorders>
              <w:top w:val="nil"/>
              <w:left w:val="nil"/>
              <w:bottom w:val="single" w:sz="4" w:space="0" w:color="auto"/>
              <w:right w:val="single" w:sz="4" w:space="0" w:color="auto"/>
            </w:tcBorders>
            <w:shd w:val="clear" w:color="auto" w:fill="auto"/>
            <w:vAlign w:val="center"/>
            <w:hideMark/>
          </w:tcPr>
          <w:p w14:paraId="43EB7714" w14:textId="77777777" w:rsidR="00DC5B80" w:rsidRPr="00DC5B80" w:rsidRDefault="00DC5B80" w:rsidP="00DC5B80">
            <w:pPr>
              <w:ind w:firstLine="0"/>
              <w:jc w:val="left"/>
              <w:rPr>
                <w:rFonts w:eastAsia="Times New Roman" w:cs="Times New Roman"/>
                <w:color w:val="000000"/>
                <w:sz w:val="22"/>
                <w:lang w:eastAsia="ru-RU"/>
              </w:rPr>
            </w:pPr>
            <w:r w:rsidRPr="00DC5B80">
              <w:rPr>
                <w:rFonts w:eastAsia="Times New Roman" w:cs="Times New Roman"/>
                <w:color w:val="000000"/>
                <w:sz w:val="22"/>
                <w:lang w:eastAsia="ru-RU"/>
              </w:rPr>
              <w:t>Численность населения в населенном пункте</w:t>
            </w:r>
          </w:p>
        </w:tc>
        <w:tc>
          <w:tcPr>
            <w:tcW w:w="1717" w:type="pct"/>
            <w:tcBorders>
              <w:top w:val="nil"/>
              <w:left w:val="nil"/>
              <w:bottom w:val="single" w:sz="4" w:space="0" w:color="auto"/>
              <w:right w:val="single" w:sz="4" w:space="0" w:color="auto"/>
            </w:tcBorders>
            <w:shd w:val="clear" w:color="auto" w:fill="auto"/>
            <w:vAlign w:val="center"/>
            <w:hideMark/>
          </w:tcPr>
          <w:p w14:paraId="3B4408A4" w14:textId="77777777" w:rsidR="00DC5B80" w:rsidRPr="00DC5B80" w:rsidRDefault="00DC5B80" w:rsidP="009E18B2">
            <w:pPr>
              <w:ind w:firstLine="0"/>
              <w:jc w:val="center"/>
              <w:rPr>
                <w:rFonts w:eastAsia="Times New Roman" w:cs="Times New Roman"/>
                <w:color w:val="000000"/>
                <w:sz w:val="22"/>
                <w:lang w:eastAsia="ru-RU"/>
              </w:rPr>
            </w:pPr>
            <w:r w:rsidRPr="00DC5B80">
              <w:rPr>
                <w:rFonts w:eastAsia="Times New Roman" w:cs="Times New Roman"/>
                <w:color w:val="000000"/>
                <w:sz w:val="22"/>
                <w:lang w:eastAsia="ru-RU"/>
              </w:rPr>
              <w:t>Семантический</w:t>
            </w:r>
          </w:p>
        </w:tc>
        <w:tc>
          <w:tcPr>
            <w:tcW w:w="1538" w:type="pct"/>
            <w:tcBorders>
              <w:top w:val="nil"/>
              <w:left w:val="nil"/>
              <w:bottom w:val="single" w:sz="4" w:space="0" w:color="auto"/>
              <w:right w:val="single" w:sz="4" w:space="0" w:color="auto"/>
            </w:tcBorders>
            <w:shd w:val="clear" w:color="auto" w:fill="auto"/>
            <w:vAlign w:val="center"/>
            <w:hideMark/>
          </w:tcPr>
          <w:p w14:paraId="3C0C5545" w14:textId="77777777" w:rsidR="00DC5B80" w:rsidRPr="00DC5B80" w:rsidRDefault="00DC5B80" w:rsidP="006C45D3">
            <w:pPr>
              <w:ind w:firstLine="0"/>
              <w:rPr>
                <w:rFonts w:eastAsia="Times New Roman" w:cs="Times New Roman"/>
                <w:color w:val="000000"/>
                <w:sz w:val="22"/>
                <w:lang w:eastAsia="ru-RU"/>
              </w:rPr>
            </w:pPr>
            <w:r w:rsidRPr="00DC5B80">
              <w:rPr>
                <w:rFonts w:eastAsia="Times New Roman" w:cs="Times New Roman"/>
                <w:color w:val="000000"/>
                <w:sz w:val="22"/>
                <w:lang w:eastAsia="ru-RU"/>
              </w:rPr>
              <w:t>чел.</w:t>
            </w:r>
          </w:p>
        </w:tc>
      </w:tr>
      <w:tr w:rsidR="00DC5B80" w:rsidRPr="00DC5B80" w14:paraId="3CDBCF63" w14:textId="77777777" w:rsidTr="006C45D3">
        <w:trPr>
          <w:trHeight w:val="20"/>
        </w:trPr>
        <w:tc>
          <w:tcPr>
            <w:tcW w:w="279" w:type="pct"/>
            <w:tcBorders>
              <w:top w:val="nil"/>
              <w:left w:val="single" w:sz="4" w:space="0" w:color="auto"/>
              <w:bottom w:val="single" w:sz="4" w:space="0" w:color="auto"/>
              <w:right w:val="single" w:sz="4" w:space="0" w:color="auto"/>
            </w:tcBorders>
            <w:shd w:val="clear" w:color="auto" w:fill="auto"/>
            <w:vAlign w:val="center"/>
            <w:hideMark/>
          </w:tcPr>
          <w:p w14:paraId="0BDBC91C" w14:textId="77777777" w:rsidR="00DC5B80" w:rsidRPr="00DC5B80" w:rsidRDefault="00DC5B80" w:rsidP="00DC5B80">
            <w:pPr>
              <w:ind w:firstLine="0"/>
              <w:jc w:val="center"/>
              <w:rPr>
                <w:rFonts w:eastAsia="Times New Roman" w:cs="Times New Roman"/>
                <w:color w:val="000000"/>
                <w:sz w:val="22"/>
                <w:lang w:eastAsia="ru-RU"/>
              </w:rPr>
            </w:pPr>
            <w:r w:rsidRPr="00DC5B80">
              <w:rPr>
                <w:rFonts w:eastAsia="Times New Roman" w:cs="Times New Roman"/>
                <w:color w:val="000000"/>
                <w:sz w:val="22"/>
                <w:lang w:eastAsia="ru-RU"/>
              </w:rPr>
              <w:t>14</w:t>
            </w:r>
          </w:p>
        </w:tc>
        <w:tc>
          <w:tcPr>
            <w:tcW w:w="1466" w:type="pct"/>
            <w:tcBorders>
              <w:top w:val="nil"/>
              <w:left w:val="nil"/>
              <w:bottom w:val="single" w:sz="4" w:space="0" w:color="auto"/>
              <w:right w:val="single" w:sz="4" w:space="0" w:color="auto"/>
            </w:tcBorders>
            <w:shd w:val="clear" w:color="auto" w:fill="auto"/>
            <w:vAlign w:val="center"/>
            <w:hideMark/>
          </w:tcPr>
          <w:p w14:paraId="09BEDE4A" w14:textId="77777777" w:rsidR="00DC5B80" w:rsidRPr="00DC5B80" w:rsidRDefault="00DC5B80" w:rsidP="00DC5B80">
            <w:pPr>
              <w:ind w:firstLine="0"/>
              <w:jc w:val="left"/>
              <w:rPr>
                <w:rFonts w:eastAsia="Times New Roman" w:cs="Times New Roman"/>
                <w:color w:val="000000"/>
                <w:sz w:val="22"/>
                <w:lang w:eastAsia="ru-RU"/>
              </w:rPr>
            </w:pPr>
            <w:r w:rsidRPr="00DC5B80">
              <w:rPr>
                <w:rFonts w:eastAsia="Times New Roman" w:cs="Times New Roman"/>
                <w:color w:val="000000"/>
                <w:sz w:val="22"/>
                <w:lang w:eastAsia="ru-RU"/>
              </w:rPr>
              <w:t>Численность населения в муниципальном районе, городском округе</w:t>
            </w:r>
          </w:p>
        </w:tc>
        <w:tc>
          <w:tcPr>
            <w:tcW w:w="1717" w:type="pct"/>
            <w:tcBorders>
              <w:top w:val="nil"/>
              <w:left w:val="nil"/>
              <w:bottom w:val="single" w:sz="4" w:space="0" w:color="auto"/>
              <w:right w:val="single" w:sz="4" w:space="0" w:color="auto"/>
            </w:tcBorders>
            <w:shd w:val="clear" w:color="auto" w:fill="auto"/>
            <w:vAlign w:val="center"/>
            <w:hideMark/>
          </w:tcPr>
          <w:p w14:paraId="7A626950" w14:textId="77777777" w:rsidR="00DC5B80" w:rsidRPr="00DC5B80" w:rsidRDefault="00DC5B80" w:rsidP="009E18B2">
            <w:pPr>
              <w:ind w:firstLine="0"/>
              <w:jc w:val="center"/>
              <w:rPr>
                <w:rFonts w:eastAsia="Times New Roman" w:cs="Times New Roman"/>
                <w:color w:val="000000"/>
                <w:sz w:val="22"/>
                <w:lang w:eastAsia="ru-RU"/>
              </w:rPr>
            </w:pPr>
            <w:r w:rsidRPr="00DC5B80">
              <w:rPr>
                <w:rFonts w:eastAsia="Times New Roman" w:cs="Times New Roman"/>
                <w:color w:val="000000"/>
                <w:sz w:val="22"/>
                <w:lang w:eastAsia="ru-RU"/>
              </w:rPr>
              <w:t>Семантический</w:t>
            </w:r>
          </w:p>
        </w:tc>
        <w:tc>
          <w:tcPr>
            <w:tcW w:w="1538" w:type="pct"/>
            <w:tcBorders>
              <w:top w:val="nil"/>
              <w:left w:val="nil"/>
              <w:bottom w:val="single" w:sz="4" w:space="0" w:color="auto"/>
              <w:right w:val="single" w:sz="4" w:space="0" w:color="auto"/>
            </w:tcBorders>
            <w:shd w:val="clear" w:color="auto" w:fill="auto"/>
            <w:vAlign w:val="center"/>
            <w:hideMark/>
          </w:tcPr>
          <w:p w14:paraId="2C6F1740" w14:textId="77777777" w:rsidR="00DC5B80" w:rsidRPr="00DC5B80" w:rsidRDefault="00DC5B80" w:rsidP="006C45D3">
            <w:pPr>
              <w:ind w:firstLine="0"/>
              <w:rPr>
                <w:rFonts w:eastAsia="Times New Roman" w:cs="Times New Roman"/>
                <w:color w:val="000000"/>
                <w:sz w:val="22"/>
                <w:lang w:eastAsia="ru-RU"/>
              </w:rPr>
            </w:pPr>
            <w:r w:rsidRPr="00DC5B80">
              <w:rPr>
                <w:rFonts w:eastAsia="Times New Roman" w:cs="Times New Roman"/>
                <w:color w:val="000000"/>
                <w:sz w:val="22"/>
                <w:lang w:eastAsia="ru-RU"/>
              </w:rPr>
              <w:t>чел.</w:t>
            </w:r>
          </w:p>
        </w:tc>
      </w:tr>
      <w:tr w:rsidR="00DC5B80" w:rsidRPr="00DC5B80" w14:paraId="1EEE4A2F" w14:textId="77777777" w:rsidTr="006C45D3">
        <w:trPr>
          <w:trHeight w:val="20"/>
        </w:trPr>
        <w:tc>
          <w:tcPr>
            <w:tcW w:w="279" w:type="pct"/>
            <w:tcBorders>
              <w:top w:val="nil"/>
              <w:left w:val="single" w:sz="4" w:space="0" w:color="auto"/>
              <w:bottom w:val="single" w:sz="4" w:space="0" w:color="auto"/>
              <w:right w:val="single" w:sz="4" w:space="0" w:color="auto"/>
            </w:tcBorders>
            <w:shd w:val="clear" w:color="auto" w:fill="auto"/>
            <w:vAlign w:val="center"/>
            <w:hideMark/>
          </w:tcPr>
          <w:p w14:paraId="57AFDA56" w14:textId="77777777" w:rsidR="00DC5B80" w:rsidRPr="00DC5B80" w:rsidRDefault="00DC5B80" w:rsidP="00DC5B80">
            <w:pPr>
              <w:ind w:firstLine="0"/>
              <w:jc w:val="center"/>
              <w:rPr>
                <w:rFonts w:eastAsia="Times New Roman" w:cs="Times New Roman"/>
                <w:color w:val="000000"/>
                <w:sz w:val="22"/>
                <w:lang w:eastAsia="ru-RU"/>
              </w:rPr>
            </w:pPr>
            <w:r w:rsidRPr="00DC5B80">
              <w:rPr>
                <w:rFonts w:eastAsia="Times New Roman" w:cs="Times New Roman"/>
                <w:color w:val="000000"/>
                <w:sz w:val="22"/>
                <w:lang w:eastAsia="ru-RU"/>
              </w:rPr>
              <w:t>15</w:t>
            </w:r>
          </w:p>
        </w:tc>
        <w:tc>
          <w:tcPr>
            <w:tcW w:w="1466" w:type="pct"/>
            <w:tcBorders>
              <w:top w:val="nil"/>
              <w:left w:val="nil"/>
              <w:bottom w:val="single" w:sz="4" w:space="0" w:color="auto"/>
              <w:right w:val="single" w:sz="4" w:space="0" w:color="auto"/>
            </w:tcBorders>
            <w:shd w:val="clear" w:color="auto" w:fill="auto"/>
            <w:vAlign w:val="center"/>
            <w:hideMark/>
          </w:tcPr>
          <w:p w14:paraId="1057F920" w14:textId="77777777" w:rsidR="00DC5B80" w:rsidRPr="00DC5B80" w:rsidRDefault="00DC5B80" w:rsidP="00DC5B80">
            <w:pPr>
              <w:ind w:firstLine="0"/>
              <w:jc w:val="left"/>
              <w:rPr>
                <w:rFonts w:eastAsia="Times New Roman" w:cs="Times New Roman"/>
                <w:color w:val="000000"/>
                <w:sz w:val="22"/>
                <w:lang w:eastAsia="ru-RU"/>
              </w:rPr>
            </w:pPr>
            <w:r w:rsidRPr="00DC5B80">
              <w:rPr>
                <w:rFonts w:eastAsia="Times New Roman" w:cs="Times New Roman"/>
                <w:color w:val="000000"/>
                <w:sz w:val="22"/>
                <w:lang w:eastAsia="ru-RU"/>
              </w:rPr>
              <w:t>Среднемесячная заработная плата в муниципальном районе, городском округе</w:t>
            </w:r>
          </w:p>
        </w:tc>
        <w:tc>
          <w:tcPr>
            <w:tcW w:w="1717" w:type="pct"/>
            <w:tcBorders>
              <w:top w:val="nil"/>
              <w:left w:val="nil"/>
              <w:bottom w:val="single" w:sz="4" w:space="0" w:color="auto"/>
              <w:right w:val="single" w:sz="4" w:space="0" w:color="auto"/>
            </w:tcBorders>
            <w:shd w:val="clear" w:color="auto" w:fill="auto"/>
            <w:vAlign w:val="center"/>
            <w:hideMark/>
          </w:tcPr>
          <w:p w14:paraId="19FCF8F9" w14:textId="77777777" w:rsidR="00DC5B80" w:rsidRPr="00DC5B80" w:rsidRDefault="00DC5B80" w:rsidP="009E18B2">
            <w:pPr>
              <w:ind w:firstLine="0"/>
              <w:jc w:val="center"/>
              <w:rPr>
                <w:rFonts w:eastAsia="Times New Roman" w:cs="Times New Roman"/>
                <w:color w:val="000000"/>
                <w:sz w:val="22"/>
                <w:lang w:eastAsia="ru-RU"/>
              </w:rPr>
            </w:pPr>
            <w:r w:rsidRPr="00DC5B80">
              <w:rPr>
                <w:rFonts w:eastAsia="Times New Roman" w:cs="Times New Roman"/>
                <w:color w:val="000000"/>
                <w:sz w:val="22"/>
                <w:lang w:eastAsia="ru-RU"/>
              </w:rPr>
              <w:t>Семантический</w:t>
            </w:r>
          </w:p>
        </w:tc>
        <w:tc>
          <w:tcPr>
            <w:tcW w:w="1538" w:type="pct"/>
            <w:tcBorders>
              <w:top w:val="nil"/>
              <w:left w:val="nil"/>
              <w:bottom w:val="single" w:sz="4" w:space="0" w:color="auto"/>
              <w:right w:val="single" w:sz="4" w:space="0" w:color="auto"/>
            </w:tcBorders>
            <w:shd w:val="clear" w:color="auto" w:fill="auto"/>
            <w:vAlign w:val="center"/>
            <w:hideMark/>
          </w:tcPr>
          <w:p w14:paraId="18E832B7" w14:textId="77777777" w:rsidR="00DC5B80" w:rsidRPr="00DC5B80" w:rsidRDefault="00DC5B80" w:rsidP="006C45D3">
            <w:pPr>
              <w:ind w:firstLine="0"/>
              <w:rPr>
                <w:rFonts w:eastAsia="Times New Roman" w:cs="Times New Roman"/>
                <w:color w:val="000000"/>
                <w:sz w:val="22"/>
                <w:lang w:eastAsia="ru-RU"/>
              </w:rPr>
            </w:pPr>
            <w:r w:rsidRPr="00DC5B80">
              <w:rPr>
                <w:rFonts w:eastAsia="Times New Roman" w:cs="Times New Roman"/>
                <w:color w:val="000000"/>
                <w:sz w:val="22"/>
                <w:lang w:eastAsia="ru-RU"/>
              </w:rPr>
              <w:t>руб.</w:t>
            </w:r>
          </w:p>
        </w:tc>
      </w:tr>
      <w:tr w:rsidR="00DC5B80" w:rsidRPr="00DC5B80" w14:paraId="50FF218A" w14:textId="77777777" w:rsidTr="006C45D3">
        <w:trPr>
          <w:trHeight w:val="20"/>
        </w:trPr>
        <w:tc>
          <w:tcPr>
            <w:tcW w:w="279" w:type="pct"/>
            <w:tcBorders>
              <w:top w:val="nil"/>
              <w:left w:val="single" w:sz="4" w:space="0" w:color="auto"/>
              <w:bottom w:val="single" w:sz="4" w:space="0" w:color="auto"/>
              <w:right w:val="single" w:sz="4" w:space="0" w:color="auto"/>
            </w:tcBorders>
            <w:shd w:val="clear" w:color="auto" w:fill="auto"/>
            <w:vAlign w:val="center"/>
            <w:hideMark/>
          </w:tcPr>
          <w:p w14:paraId="36A0AD4A" w14:textId="77777777" w:rsidR="00DC5B80" w:rsidRPr="00DC5B80" w:rsidRDefault="00DC5B80" w:rsidP="00DC5B80">
            <w:pPr>
              <w:ind w:firstLine="0"/>
              <w:jc w:val="center"/>
              <w:rPr>
                <w:rFonts w:eastAsia="Times New Roman" w:cs="Times New Roman"/>
                <w:color w:val="000000"/>
                <w:sz w:val="22"/>
                <w:lang w:eastAsia="ru-RU"/>
              </w:rPr>
            </w:pPr>
            <w:r w:rsidRPr="00DC5B80">
              <w:rPr>
                <w:rFonts w:eastAsia="Times New Roman" w:cs="Times New Roman"/>
                <w:color w:val="000000"/>
                <w:sz w:val="22"/>
                <w:lang w:eastAsia="ru-RU"/>
              </w:rPr>
              <w:t>16</w:t>
            </w:r>
          </w:p>
        </w:tc>
        <w:tc>
          <w:tcPr>
            <w:tcW w:w="1466" w:type="pct"/>
            <w:tcBorders>
              <w:top w:val="nil"/>
              <w:left w:val="nil"/>
              <w:bottom w:val="single" w:sz="4" w:space="0" w:color="auto"/>
              <w:right w:val="single" w:sz="4" w:space="0" w:color="auto"/>
            </w:tcBorders>
            <w:shd w:val="clear" w:color="auto" w:fill="auto"/>
            <w:vAlign w:val="center"/>
            <w:hideMark/>
          </w:tcPr>
          <w:p w14:paraId="4D24BCE9" w14:textId="77777777" w:rsidR="00DC5B80" w:rsidRPr="00DC5B80" w:rsidRDefault="00DC5B80" w:rsidP="00DC5B80">
            <w:pPr>
              <w:ind w:firstLine="0"/>
              <w:jc w:val="left"/>
              <w:rPr>
                <w:rFonts w:eastAsia="Times New Roman" w:cs="Times New Roman"/>
                <w:color w:val="000000"/>
                <w:sz w:val="22"/>
                <w:lang w:eastAsia="ru-RU"/>
              </w:rPr>
            </w:pPr>
            <w:r w:rsidRPr="00DC5B80">
              <w:rPr>
                <w:rFonts w:eastAsia="Times New Roman" w:cs="Times New Roman"/>
                <w:color w:val="000000"/>
                <w:sz w:val="22"/>
                <w:lang w:eastAsia="ru-RU"/>
              </w:rPr>
              <w:t>Наличие в населенном пункте или вблизи (до 1 км) водного объекта</w:t>
            </w:r>
          </w:p>
        </w:tc>
        <w:tc>
          <w:tcPr>
            <w:tcW w:w="1717" w:type="pct"/>
            <w:tcBorders>
              <w:top w:val="nil"/>
              <w:left w:val="nil"/>
              <w:bottom w:val="single" w:sz="4" w:space="0" w:color="auto"/>
              <w:right w:val="single" w:sz="4" w:space="0" w:color="auto"/>
            </w:tcBorders>
            <w:shd w:val="clear" w:color="auto" w:fill="auto"/>
            <w:vAlign w:val="center"/>
            <w:hideMark/>
          </w:tcPr>
          <w:p w14:paraId="157005FF" w14:textId="77777777" w:rsidR="00DC5B80" w:rsidRPr="00DC5B80" w:rsidRDefault="00DC5B80" w:rsidP="009E18B2">
            <w:pPr>
              <w:ind w:firstLine="0"/>
              <w:jc w:val="center"/>
              <w:rPr>
                <w:rFonts w:eastAsia="Times New Roman" w:cs="Times New Roman"/>
                <w:color w:val="000000"/>
                <w:sz w:val="22"/>
                <w:lang w:eastAsia="ru-RU"/>
              </w:rPr>
            </w:pPr>
            <w:r w:rsidRPr="00DC5B80">
              <w:rPr>
                <w:rFonts w:eastAsia="Times New Roman" w:cs="Times New Roman"/>
                <w:color w:val="000000"/>
                <w:sz w:val="22"/>
                <w:lang w:eastAsia="ru-RU"/>
              </w:rPr>
              <w:t>Семантический</w:t>
            </w:r>
          </w:p>
        </w:tc>
        <w:tc>
          <w:tcPr>
            <w:tcW w:w="1538" w:type="pct"/>
            <w:tcBorders>
              <w:top w:val="nil"/>
              <w:left w:val="nil"/>
              <w:bottom w:val="single" w:sz="4" w:space="0" w:color="auto"/>
              <w:right w:val="single" w:sz="4" w:space="0" w:color="auto"/>
            </w:tcBorders>
            <w:shd w:val="clear" w:color="auto" w:fill="auto"/>
            <w:vAlign w:val="center"/>
            <w:hideMark/>
          </w:tcPr>
          <w:p w14:paraId="05A2C8D4" w14:textId="77777777" w:rsidR="00DC5B80" w:rsidRPr="00DC5B80" w:rsidRDefault="00DC5B80" w:rsidP="006C45D3">
            <w:pPr>
              <w:ind w:firstLine="0"/>
              <w:rPr>
                <w:rFonts w:eastAsia="Times New Roman" w:cs="Times New Roman"/>
                <w:color w:val="000000"/>
                <w:sz w:val="22"/>
                <w:lang w:eastAsia="ru-RU"/>
              </w:rPr>
            </w:pPr>
            <w:r w:rsidRPr="00DC5B80">
              <w:rPr>
                <w:rFonts w:eastAsia="Times New Roman" w:cs="Times New Roman"/>
                <w:color w:val="000000"/>
                <w:sz w:val="22"/>
                <w:lang w:eastAsia="ru-RU"/>
              </w:rPr>
              <w:t>да/нет</w:t>
            </w:r>
          </w:p>
        </w:tc>
      </w:tr>
      <w:tr w:rsidR="00DC5B80" w:rsidRPr="00DC5B80" w14:paraId="3EA53A58" w14:textId="77777777" w:rsidTr="006C45D3">
        <w:trPr>
          <w:trHeight w:val="20"/>
        </w:trPr>
        <w:tc>
          <w:tcPr>
            <w:tcW w:w="279" w:type="pct"/>
            <w:tcBorders>
              <w:top w:val="nil"/>
              <w:left w:val="single" w:sz="4" w:space="0" w:color="auto"/>
              <w:bottom w:val="single" w:sz="4" w:space="0" w:color="auto"/>
              <w:right w:val="single" w:sz="4" w:space="0" w:color="auto"/>
            </w:tcBorders>
            <w:shd w:val="clear" w:color="auto" w:fill="auto"/>
            <w:vAlign w:val="center"/>
            <w:hideMark/>
          </w:tcPr>
          <w:p w14:paraId="66B691A2" w14:textId="77777777" w:rsidR="00DC5B80" w:rsidRPr="00DC5B80" w:rsidRDefault="00DC5B80" w:rsidP="00DC5B80">
            <w:pPr>
              <w:ind w:firstLine="0"/>
              <w:jc w:val="center"/>
              <w:rPr>
                <w:rFonts w:eastAsia="Times New Roman" w:cs="Times New Roman"/>
                <w:color w:val="000000"/>
                <w:sz w:val="22"/>
                <w:lang w:eastAsia="ru-RU"/>
              </w:rPr>
            </w:pPr>
            <w:r w:rsidRPr="00DC5B80">
              <w:rPr>
                <w:rFonts w:eastAsia="Times New Roman" w:cs="Times New Roman"/>
                <w:color w:val="000000"/>
                <w:sz w:val="22"/>
                <w:lang w:eastAsia="ru-RU"/>
              </w:rPr>
              <w:t>17</w:t>
            </w:r>
          </w:p>
        </w:tc>
        <w:tc>
          <w:tcPr>
            <w:tcW w:w="1466" w:type="pct"/>
            <w:tcBorders>
              <w:top w:val="nil"/>
              <w:left w:val="nil"/>
              <w:bottom w:val="single" w:sz="4" w:space="0" w:color="auto"/>
              <w:right w:val="single" w:sz="4" w:space="0" w:color="auto"/>
            </w:tcBorders>
            <w:shd w:val="clear" w:color="auto" w:fill="auto"/>
            <w:vAlign w:val="center"/>
            <w:hideMark/>
          </w:tcPr>
          <w:p w14:paraId="04FDE047" w14:textId="77777777" w:rsidR="00DC5B80" w:rsidRPr="00DC5B80" w:rsidRDefault="00DC5B80" w:rsidP="00DC5B80">
            <w:pPr>
              <w:ind w:firstLine="0"/>
              <w:jc w:val="left"/>
              <w:rPr>
                <w:rFonts w:eastAsia="Times New Roman" w:cs="Times New Roman"/>
                <w:color w:val="000000"/>
                <w:sz w:val="22"/>
                <w:lang w:eastAsia="ru-RU"/>
              </w:rPr>
            </w:pPr>
            <w:r w:rsidRPr="00DC5B80">
              <w:rPr>
                <w:rFonts w:eastAsia="Times New Roman" w:cs="Times New Roman"/>
                <w:color w:val="000000"/>
                <w:sz w:val="22"/>
                <w:lang w:eastAsia="ru-RU"/>
              </w:rPr>
              <w:t>Наличие в сельском населенном пункте дороги с твердым покрытием</w:t>
            </w:r>
          </w:p>
        </w:tc>
        <w:tc>
          <w:tcPr>
            <w:tcW w:w="1717" w:type="pct"/>
            <w:tcBorders>
              <w:top w:val="nil"/>
              <w:left w:val="nil"/>
              <w:bottom w:val="single" w:sz="4" w:space="0" w:color="auto"/>
              <w:right w:val="single" w:sz="4" w:space="0" w:color="auto"/>
            </w:tcBorders>
            <w:shd w:val="clear" w:color="auto" w:fill="auto"/>
            <w:vAlign w:val="center"/>
            <w:hideMark/>
          </w:tcPr>
          <w:p w14:paraId="1A91B0E7" w14:textId="77777777" w:rsidR="00DC5B80" w:rsidRPr="00DC5B80" w:rsidRDefault="00DC5B80" w:rsidP="009E18B2">
            <w:pPr>
              <w:ind w:firstLine="0"/>
              <w:jc w:val="center"/>
              <w:rPr>
                <w:rFonts w:eastAsia="Times New Roman" w:cs="Times New Roman"/>
                <w:color w:val="000000"/>
                <w:sz w:val="22"/>
                <w:lang w:eastAsia="ru-RU"/>
              </w:rPr>
            </w:pPr>
            <w:r w:rsidRPr="00DC5B80">
              <w:rPr>
                <w:rFonts w:eastAsia="Times New Roman" w:cs="Times New Roman"/>
                <w:color w:val="000000"/>
                <w:sz w:val="22"/>
                <w:lang w:eastAsia="ru-RU"/>
              </w:rPr>
              <w:t>Семантический</w:t>
            </w:r>
          </w:p>
        </w:tc>
        <w:tc>
          <w:tcPr>
            <w:tcW w:w="1538" w:type="pct"/>
            <w:tcBorders>
              <w:top w:val="nil"/>
              <w:left w:val="nil"/>
              <w:bottom w:val="single" w:sz="4" w:space="0" w:color="auto"/>
              <w:right w:val="single" w:sz="4" w:space="0" w:color="auto"/>
            </w:tcBorders>
            <w:shd w:val="clear" w:color="auto" w:fill="auto"/>
            <w:vAlign w:val="center"/>
            <w:hideMark/>
          </w:tcPr>
          <w:p w14:paraId="623C4EBB" w14:textId="77777777" w:rsidR="00DC5B80" w:rsidRPr="00DC5B80" w:rsidRDefault="00DC5B80" w:rsidP="006C45D3">
            <w:pPr>
              <w:ind w:firstLine="0"/>
              <w:rPr>
                <w:rFonts w:eastAsia="Times New Roman" w:cs="Times New Roman"/>
                <w:color w:val="000000"/>
                <w:sz w:val="22"/>
                <w:lang w:eastAsia="ru-RU"/>
              </w:rPr>
            </w:pPr>
            <w:r w:rsidRPr="00DC5B80">
              <w:rPr>
                <w:rFonts w:eastAsia="Times New Roman" w:cs="Times New Roman"/>
                <w:color w:val="000000"/>
                <w:sz w:val="22"/>
                <w:lang w:eastAsia="ru-RU"/>
              </w:rPr>
              <w:t>да/нет</w:t>
            </w:r>
          </w:p>
        </w:tc>
      </w:tr>
      <w:tr w:rsidR="00DC5B80" w:rsidRPr="00DC5B80" w14:paraId="42BE169A" w14:textId="77777777" w:rsidTr="006C45D3">
        <w:trPr>
          <w:trHeight w:val="20"/>
        </w:trPr>
        <w:tc>
          <w:tcPr>
            <w:tcW w:w="279" w:type="pct"/>
            <w:tcBorders>
              <w:top w:val="nil"/>
              <w:left w:val="single" w:sz="4" w:space="0" w:color="auto"/>
              <w:bottom w:val="single" w:sz="4" w:space="0" w:color="auto"/>
              <w:right w:val="single" w:sz="4" w:space="0" w:color="auto"/>
            </w:tcBorders>
            <w:shd w:val="clear" w:color="auto" w:fill="auto"/>
            <w:vAlign w:val="center"/>
            <w:hideMark/>
          </w:tcPr>
          <w:p w14:paraId="63BC16B6" w14:textId="77777777" w:rsidR="00DC5B80" w:rsidRPr="00DC5B80" w:rsidRDefault="00DC5B80" w:rsidP="00DC5B80">
            <w:pPr>
              <w:ind w:firstLine="0"/>
              <w:jc w:val="center"/>
              <w:rPr>
                <w:rFonts w:eastAsia="Times New Roman" w:cs="Times New Roman"/>
                <w:color w:val="000000"/>
                <w:sz w:val="22"/>
                <w:lang w:eastAsia="ru-RU"/>
              </w:rPr>
            </w:pPr>
            <w:r w:rsidRPr="00DC5B80">
              <w:rPr>
                <w:rFonts w:eastAsia="Times New Roman" w:cs="Times New Roman"/>
                <w:color w:val="000000"/>
                <w:sz w:val="22"/>
                <w:lang w:eastAsia="ru-RU"/>
              </w:rPr>
              <w:t>18</w:t>
            </w:r>
          </w:p>
        </w:tc>
        <w:tc>
          <w:tcPr>
            <w:tcW w:w="1466" w:type="pct"/>
            <w:tcBorders>
              <w:top w:val="nil"/>
              <w:left w:val="nil"/>
              <w:bottom w:val="single" w:sz="4" w:space="0" w:color="auto"/>
              <w:right w:val="single" w:sz="4" w:space="0" w:color="auto"/>
            </w:tcBorders>
            <w:shd w:val="clear" w:color="auto" w:fill="auto"/>
            <w:vAlign w:val="center"/>
            <w:hideMark/>
          </w:tcPr>
          <w:p w14:paraId="41C02EAA" w14:textId="77777777" w:rsidR="00DC5B80" w:rsidRPr="00DC5B80" w:rsidRDefault="00DC5B80" w:rsidP="00DC5B80">
            <w:pPr>
              <w:ind w:firstLine="0"/>
              <w:jc w:val="left"/>
              <w:rPr>
                <w:rFonts w:eastAsia="Times New Roman" w:cs="Times New Roman"/>
                <w:color w:val="000000"/>
                <w:sz w:val="22"/>
                <w:lang w:eastAsia="ru-RU"/>
              </w:rPr>
            </w:pPr>
            <w:r w:rsidRPr="00DC5B80">
              <w:rPr>
                <w:rFonts w:eastAsia="Times New Roman" w:cs="Times New Roman"/>
                <w:color w:val="000000"/>
                <w:sz w:val="22"/>
                <w:lang w:eastAsia="ru-RU"/>
              </w:rPr>
              <w:t>Год постройки</w:t>
            </w:r>
          </w:p>
        </w:tc>
        <w:tc>
          <w:tcPr>
            <w:tcW w:w="1717" w:type="pct"/>
            <w:tcBorders>
              <w:top w:val="nil"/>
              <w:left w:val="nil"/>
              <w:bottom w:val="single" w:sz="4" w:space="0" w:color="auto"/>
              <w:right w:val="single" w:sz="4" w:space="0" w:color="auto"/>
            </w:tcBorders>
            <w:shd w:val="clear" w:color="auto" w:fill="auto"/>
            <w:vAlign w:val="center"/>
            <w:hideMark/>
          </w:tcPr>
          <w:p w14:paraId="04CB14D7" w14:textId="77777777" w:rsidR="00DC5B80" w:rsidRPr="00DC5B80" w:rsidRDefault="00DC5B80" w:rsidP="009E18B2">
            <w:pPr>
              <w:ind w:firstLine="0"/>
              <w:jc w:val="center"/>
              <w:rPr>
                <w:rFonts w:eastAsia="Times New Roman" w:cs="Times New Roman"/>
                <w:color w:val="000000"/>
                <w:sz w:val="22"/>
                <w:lang w:eastAsia="ru-RU"/>
              </w:rPr>
            </w:pPr>
            <w:r w:rsidRPr="00DC5B80">
              <w:rPr>
                <w:rFonts w:eastAsia="Times New Roman" w:cs="Times New Roman"/>
                <w:color w:val="000000"/>
                <w:sz w:val="22"/>
                <w:lang w:eastAsia="ru-RU"/>
              </w:rPr>
              <w:t>Семантический</w:t>
            </w:r>
          </w:p>
        </w:tc>
        <w:tc>
          <w:tcPr>
            <w:tcW w:w="1538" w:type="pct"/>
            <w:tcBorders>
              <w:top w:val="nil"/>
              <w:left w:val="nil"/>
              <w:bottom w:val="single" w:sz="4" w:space="0" w:color="auto"/>
              <w:right w:val="single" w:sz="4" w:space="0" w:color="auto"/>
            </w:tcBorders>
            <w:shd w:val="clear" w:color="auto" w:fill="auto"/>
            <w:vAlign w:val="center"/>
            <w:hideMark/>
          </w:tcPr>
          <w:p w14:paraId="7DEB30DA" w14:textId="77777777" w:rsidR="00DC5B80" w:rsidRPr="00DC5B80" w:rsidRDefault="00DC5B80" w:rsidP="006C45D3">
            <w:pPr>
              <w:ind w:firstLine="0"/>
              <w:rPr>
                <w:rFonts w:eastAsia="Times New Roman" w:cs="Times New Roman"/>
                <w:color w:val="000000"/>
                <w:sz w:val="22"/>
                <w:lang w:eastAsia="ru-RU"/>
              </w:rPr>
            </w:pPr>
            <w:r w:rsidRPr="00DC5B80">
              <w:rPr>
                <w:rFonts w:eastAsia="Times New Roman" w:cs="Times New Roman"/>
                <w:color w:val="000000"/>
                <w:sz w:val="22"/>
                <w:lang w:eastAsia="ru-RU"/>
              </w:rPr>
              <w:t>год</w:t>
            </w:r>
          </w:p>
        </w:tc>
      </w:tr>
      <w:tr w:rsidR="00DC5B80" w:rsidRPr="00DC5B80" w14:paraId="35E137AA" w14:textId="77777777" w:rsidTr="006C45D3">
        <w:trPr>
          <w:trHeight w:val="20"/>
        </w:trPr>
        <w:tc>
          <w:tcPr>
            <w:tcW w:w="279" w:type="pct"/>
            <w:tcBorders>
              <w:top w:val="nil"/>
              <w:left w:val="single" w:sz="4" w:space="0" w:color="auto"/>
              <w:bottom w:val="single" w:sz="4" w:space="0" w:color="auto"/>
              <w:right w:val="single" w:sz="4" w:space="0" w:color="auto"/>
            </w:tcBorders>
            <w:shd w:val="clear" w:color="auto" w:fill="auto"/>
            <w:vAlign w:val="center"/>
            <w:hideMark/>
          </w:tcPr>
          <w:p w14:paraId="1175F215" w14:textId="77777777" w:rsidR="00DC5B80" w:rsidRPr="00DC5B80" w:rsidRDefault="00DC5B80" w:rsidP="00DC5B80">
            <w:pPr>
              <w:ind w:firstLine="0"/>
              <w:jc w:val="center"/>
              <w:rPr>
                <w:rFonts w:eastAsia="Times New Roman" w:cs="Times New Roman"/>
                <w:color w:val="000000"/>
                <w:sz w:val="22"/>
                <w:lang w:eastAsia="ru-RU"/>
              </w:rPr>
            </w:pPr>
            <w:r w:rsidRPr="00DC5B80">
              <w:rPr>
                <w:rFonts w:eastAsia="Times New Roman" w:cs="Times New Roman"/>
                <w:color w:val="000000"/>
                <w:sz w:val="22"/>
                <w:lang w:eastAsia="ru-RU"/>
              </w:rPr>
              <w:t>19</w:t>
            </w:r>
          </w:p>
        </w:tc>
        <w:tc>
          <w:tcPr>
            <w:tcW w:w="1466" w:type="pct"/>
            <w:tcBorders>
              <w:top w:val="nil"/>
              <w:left w:val="nil"/>
              <w:bottom w:val="single" w:sz="4" w:space="0" w:color="auto"/>
              <w:right w:val="single" w:sz="4" w:space="0" w:color="auto"/>
            </w:tcBorders>
            <w:shd w:val="clear" w:color="auto" w:fill="auto"/>
            <w:vAlign w:val="center"/>
            <w:hideMark/>
          </w:tcPr>
          <w:p w14:paraId="74D4C4D3" w14:textId="77777777" w:rsidR="00DC5B80" w:rsidRPr="00DC5B80" w:rsidRDefault="00DC5B80" w:rsidP="00DC5B80">
            <w:pPr>
              <w:ind w:firstLine="0"/>
              <w:jc w:val="left"/>
              <w:rPr>
                <w:rFonts w:eastAsia="Times New Roman" w:cs="Times New Roman"/>
                <w:color w:val="000000"/>
                <w:sz w:val="22"/>
                <w:lang w:eastAsia="ru-RU"/>
              </w:rPr>
            </w:pPr>
            <w:r w:rsidRPr="00DC5B80">
              <w:rPr>
                <w:rFonts w:eastAsia="Times New Roman" w:cs="Times New Roman"/>
                <w:color w:val="000000"/>
                <w:sz w:val="22"/>
                <w:lang w:eastAsia="ru-RU"/>
              </w:rPr>
              <w:t>Площадь</w:t>
            </w:r>
          </w:p>
        </w:tc>
        <w:tc>
          <w:tcPr>
            <w:tcW w:w="1717" w:type="pct"/>
            <w:tcBorders>
              <w:top w:val="nil"/>
              <w:left w:val="nil"/>
              <w:bottom w:val="single" w:sz="4" w:space="0" w:color="auto"/>
              <w:right w:val="single" w:sz="4" w:space="0" w:color="auto"/>
            </w:tcBorders>
            <w:shd w:val="clear" w:color="auto" w:fill="auto"/>
            <w:vAlign w:val="center"/>
            <w:hideMark/>
          </w:tcPr>
          <w:p w14:paraId="218FD182" w14:textId="77777777" w:rsidR="00DC5B80" w:rsidRPr="00DC5B80" w:rsidRDefault="00DC5B80" w:rsidP="009E18B2">
            <w:pPr>
              <w:ind w:firstLine="0"/>
              <w:jc w:val="center"/>
              <w:rPr>
                <w:rFonts w:eastAsia="Times New Roman" w:cs="Times New Roman"/>
                <w:color w:val="000000"/>
                <w:sz w:val="22"/>
                <w:lang w:eastAsia="ru-RU"/>
              </w:rPr>
            </w:pPr>
            <w:r w:rsidRPr="00DC5B80">
              <w:rPr>
                <w:rFonts w:eastAsia="Times New Roman" w:cs="Times New Roman"/>
                <w:color w:val="000000"/>
                <w:sz w:val="22"/>
                <w:lang w:eastAsia="ru-RU"/>
              </w:rPr>
              <w:t>Семантический</w:t>
            </w:r>
          </w:p>
        </w:tc>
        <w:tc>
          <w:tcPr>
            <w:tcW w:w="1538" w:type="pct"/>
            <w:tcBorders>
              <w:top w:val="nil"/>
              <w:left w:val="nil"/>
              <w:bottom w:val="single" w:sz="4" w:space="0" w:color="auto"/>
              <w:right w:val="single" w:sz="4" w:space="0" w:color="auto"/>
            </w:tcBorders>
            <w:shd w:val="clear" w:color="auto" w:fill="auto"/>
            <w:vAlign w:val="center"/>
            <w:hideMark/>
          </w:tcPr>
          <w:p w14:paraId="25652FA3" w14:textId="77777777" w:rsidR="00DC5B80" w:rsidRPr="00DC5B80" w:rsidRDefault="00DC5B80" w:rsidP="006C45D3">
            <w:pPr>
              <w:ind w:firstLine="0"/>
              <w:rPr>
                <w:rFonts w:eastAsia="Times New Roman" w:cs="Times New Roman"/>
                <w:color w:val="000000"/>
                <w:sz w:val="22"/>
                <w:lang w:eastAsia="ru-RU"/>
              </w:rPr>
            </w:pPr>
            <w:r w:rsidRPr="00DC5B80">
              <w:rPr>
                <w:rFonts w:eastAsia="Times New Roman" w:cs="Times New Roman"/>
                <w:color w:val="000000"/>
                <w:sz w:val="22"/>
                <w:lang w:eastAsia="ru-RU"/>
              </w:rPr>
              <w:t>кв.м</w:t>
            </w:r>
          </w:p>
        </w:tc>
      </w:tr>
      <w:tr w:rsidR="00DC5B80" w:rsidRPr="00DC5B80" w14:paraId="3148A5E9" w14:textId="77777777" w:rsidTr="006C45D3">
        <w:trPr>
          <w:trHeight w:val="20"/>
        </w:trPr>
        <w:tc>
          <w:tcPr>
            <w:tcW w:w="279" w:type="pct"/>
            <w:tcBorders>
              <w:top w:val="nil"/>
              <w:left w:val="single" w:sz="4" w:space="0" w:color="auto"/>
              <w:bottom w:val="single" w:sz="4" w:space="0" w:color="auto"/>
              <w:right w:val="single" w:sz="4" w:space="0" w:color="auto"/>
            </w:tcBorders>
            <w:shd w:val="clear" w:color="auto" w:fill="auto"/>
            <w:vAlign w:val="center"/>
            <w:hideMark/>
          </w:tcPr>
          <w:p w14:paraId="1C21381F" w14:textId="77777777" w:rsidR="00DC5B80" w:rsidRPr="00DC5B80" w:rsidRDefault="00DC5B80" w:rsidP="00DC5B80">
            <w:pPr>
              <w:ind w:firstLine="0"/>
              <w:jc w:val="center"/>
              <w:rPr>
                <w:rFonts w:eastAsia="Times New Roman" w:cs="Times New Roman"/>
                <w:color w:val="000000"/>
                <w:sz w:val="22"/>
                <w:lang w:eastAsia="ru-RU"/>
              </w:rPr>
            </w:pPr>
            <w:r w:rsidRPr="00DC5B80">
              <w:rPr>
                <w:rFonts w:eastAsia="Times New Roman" w:cs="Times New Roman"/>
                <w:color w:val="000000"/>
                <w:sz w:val="22"/>
                <w:lang w:eastAsia="ru-RU"/>
              </w:rPr>
              <w:t>20</w:t>
            </w:r>
          </w:p>
        </w:tc>
        <w:tc>
          <w:tcPr>
            <w:tcW w:w="1466" w:type="pct"/>
            <w:tcBorders>
              <w:top w:val="nil"/>
              <w:left w:val="nil"/>
              <w:bottom w:val="single" w:sz="4" w:space="0" w:color="auto"/>
              <w:right w:val="single" w:sz="4" w:space="0" w:color="auto"/>
            </w:tcBorders>
            <w:shd w:val="clear" w:color="auto" w:fill="auto"/>
            <w:vAlign w:val="center"/>
            <w:hideMark/>
          </w:tcPr>
          <w:p w14:paraId="4172BC0D" w14:textId="77777777" w:rsidR="00DC5B80" w:rsidRPr="00DC5B80" w:rsidRDefault="00DC5B80" w:rsidP="00DC5B80">
            <w:pPr>
              <w:ind w:firstLine="0"/>
              <w:jc w:val="left"/>
              <w:rPr>
                <w:rFonts w:eastAsia="Times New Roman" w:cs="Times New Roman"/>
                <w:color w:val="000000"/>
                <w:sz w:val="22"/>
                <w:lang w:eastAsia="ru-RU"/>
              </w:rPr>
            </w:pPr>
            <w:r w:rsidRPr="00DC5B80">
              <w:rPr>
                <w:rFonts w:eastAsia="Times New Roman" w:cs="Times New Roman"/>
                <w:color w:val="000000"/>
                <w:sz w:val="22"/>
                <w:lang w:eastAsia="ru-RU"/>
              </w:rPr>
              <w:t>Материал стен</w:t>
            </w:r>
          </w:p>
        </w:tc>
        <w:tc>
          <w:tcPr>
            <w:tcW w:w="1717" w:type="pct"/>
            <w:tcBorders>
              <w:top w:val="nil"/>
              <w:left w:val="nil"/>
              <w:bottom w:val="single" w:sz="4" w:space="0" w:color="auto"/>
              <w:right w:val="single" w:sz="4" w:space="0" w:color="auto"/>
            </w:tcBorders>
            <w:shd w:val="clear" w:color="auto" w:fill="auto"/>
            <w:vAlign w:val="center"/>
            <w:hideMark/>
          </w:tcPr>
          <w:p w14:paraId="69A520CD" w14:textId="77777777" w:rsidR="00DC5B80" w:rsidRPr="00DC5B80" w:rsidRDefault="00DC5B80" w:rsidP="009E18B2">
            <w:pPr>
              <w:ind w:firstLine="0"/>
              <w:jc w:val="center"/>
              <w:rPr>
                <w:rFonts w:eastAsia="Times New Roman" w:cs="Times New Roman"/>
                <w:color w:val="000000"/>
                <w:sz w:val="22"/>
                <w:lang w:eastAsia="ru-RU"/>
              </w:rPr>
            </w:pPr>
            <w:r w:rsidRPr="00DC5B80">
              <w:rPr>
                <w:rFonts w:eastAsia="Times New Roman" w:cs="Times New Roman"/>
                <w:color w:val="000000"/>
                <w:sz w:val="22"/>
                <w:lang w:eastAsia="ru-RU"/>
              </w:rPr>
              <w:t>Семантический</w:t>
            </w:r>
          </w:p>
        </w:tc>
        <w:tc>
          <w:tcPr>
            <w:tcW w:w="1538" w:type="pct"/>
            <w:tcBorders>
              <w:top w:val="nil"/>
              <w:left w:val="nil"/>
              <w:bottom w:val="single" w:sz="4" w:space="0" w:color="auto"/>
              <w:right w:val="single" w:sz="4" w:space="0" w:color="auto"/>
            </w:tcBorders>
            <w:shd w:val="clear" w:color="auto" w:fill="auto"/>
            <w:vAlign w:val="center"/>
            <w:hideMark/>
          </w:tcPr>
          <w:p w14:paraId="7EE84FC1" w14:textId="77777777" w:rsidR="00DC5B80" w:rsidRPr="00DC5B80" w:rsidRDefault="00DC5B80" w:rsidP="006C45D3">
            <w:pPr>
              <w:ind w:firstLine="0"/>
              <w:rPr>
                <w:rFonts w:eastAsia="Times New Roman" w:cs="Times New Roman"/>
                <w:color w:val="000000"/>
                <w:sz w:val="22"/>
                <w:lang w:eastAsia="ru-RU"/>
              </w:rPr>
            </w:pPr>
            <w:r w:rsidRPr="00DC5B80">
              <w:rPr>
                <w:rFonts w:eastAsia="Times New Roman" w:cs="Times New Roman"/>
                <w:color w:val="000000"/>
                <w:sz w:val="22"/>
                <w:lang w:eastAsia="ru-RU"/>
              </w:rPr>
              <w:t>название материала стен</w:t>
            </w:r>
          </w:p>
        </w:tc>
      </w:tr>
      <w:tr w:rsidR="00DC5B80" w:rsidRPr="00DC5B80" w14:paraId="166CD485" w14:textId="77777777" w:rsidTr="006C45D3">
        <w:trPr>
          <w:trHeight w:val="20"/>
        </w:trPr>
        <w:tc>
          <w:tcPr>
            <w:tcW w:w="279" w:type="pct"/>
            <w:tcBorders>
              <w:top w:val="nil"/>
              <w:left w:val="single" w:sz="4" w:space="0" w:color="auto"/>
              <w:bottom w:val="single" w:sz="4" w:space="0" w:color="auto"/>
              <w:right w:val="single" w:sz="4" w:space="0" w:color="auto"/>
            </w:tcBorders>
            <w:shd w:val="clear" w:color="auto" w:fill="auto"/>
            <w:vAlign w:val="center"/>
            <w:hideMark/>
          </w:tcPr>
          <w:p w14:paraId="4B11ACCB" w14:textId="77777777" w:rsidR="00DC5B80" w:rsidRPr="00DC5B80" w:rsidRDefault="00DC5B80" w:rsidP="00DC5B80">
            <w:pPr>
              <w:ind w:firstLine="0"/>
              <w:jc w:val="center"/>
              <w:rPr>
                <w:rFonts w:eastAsia="Times New Roman" w:cs="Times New Roman"/>
                <w:color w:val="000000"/>
                <w:sz w:val="22"/>
                <w:lang w:eastAsia="ru-RU"/>
              </w:rPr>
            </w:pPr>
            <w:r w:rsidRPr="00DC5B80">
              <w:rPr>
                <w:rFonts w:eastAsia="Times New Roman" w:cs="Times New Roman"/>
                <w:color w:val="000000"/>
                <w:sz w:val="22"/>
                <w:lang w:eastAsia="ru-RU"/>
              </w:rPr>
              <w:t>21</w:t>
            </w:r>
          </w:p>
        </w:tc>
        <w:tc>
          <w:tcPr>
            <w:tcW w:w="1466" w:type="pct"/>
            <w:tcBorders>
              <w:top w:val="nil"/>
              <w:left w:val="nil"/>
              <w:bottom w:val="single" w:sz="4" w:space="0" w:color="auto"/>
              <w:right w:val="single" w:sz="4" w:space="0" w:color="auto"/>
            </w:tcBorders>
            <w:shd w:val="clear" w:color="auto" w:fill="auto"/>
            <w:vAlign w:val="center"/>
            <w:hideMark/>
          </w:tcPr>
          <w:p w14:paraId="001EB6BA" w14:textId="77777777" w:rsidR="00DC5B80" w:rsidRPr="00DC5B80" w:rsidRDefault="00DC5B80" w:rsidP="00DC5B80">
            <w:pPr>
              <w:ind w:firstLine="0"/>
              <w:jc w:val="left"/>
              <w:rPr>
                <w:rFonts w:eastAsia="Times New Roman" w:cs="Times New Roman"/>
                <w:color w:val="000000"/>
                <w:sz w:val="22"/>
                <w:lang w:eastAsia="ru-RU"/>
              </w:rPr>
            </w:pPr>
            <w:r w:rsidRPr="00DC5B80">
              <w:rPr>
                <w:rFonts w:eastAsia="Times New Roman" w:cs="Times New Roman"/>
                <w:color w:val="000000"/>
                <w:sz w:val="22"/>
                <w:lang w:eastAsia="ru-RU"/>
              </w:rPr>
              <w:t>Статус населенного пункта</w:t>
            </w:r>
          </w:p>
        </w:tc>
        <w:tc>
          <w:tcPr>
            <w:tcW w:w="1717" w:type="pct"/>
            <w:tcBorders>
              <w:top w:val="nil"/>
              <w:left w:val="nil"/>
              <w:bottom w:val="single" w:sz="4" w:space="0" w:color="auto"/>
              <w:right w:val="single" w:sz="4" w:space="0" w:color="auto"/>
            </w:tcBorders>
            <w:shd w:val="clear" w:color="auto" w:fill="auto"/>
            <w:vAlign w:val="center"/>
            <w:hideMark/>
          </w:tcPr>
          <w:p w14:paraId="35549BEB" w14:textId="77777777" w:rsidR="00DC5B80" w:rsidRPr="00DC5B80" w:rsidRDefault="00DC5B80" w:rsidP="009E18B2">
            <w:pPr>
              <w:ind w:firstLine="0"/>
              <w:jc w:val="center"/>
              <w:rPr>
                <w:rFonts w:eastAsia="Times New Roman" w:cs="Times New Roman"/>
                <w:color w:val="000000"/>
                <w:sz w:val="22"/>
                <w:lang w:eastAsia="ru-RU"/>
              </w:rPr>
            </w:pPr>
            <w:r w:rsidRPr="00DC5B80">
              <w:rPr>
                <w:rFonts w:eastAsia="Times New Roman" w:cs="Times New Roman"/>
                <w:color w:val="000000"/>
                <w:sz w:val="22"/>
                <w:lang w:eastAsia="ru-RU"/>
              </w:rPr>
              <w:t>Семантический</w:t>
            </w:r>
          </w:p>
        </w:tc>
        <w:tc>
          <w:tcPr>
            <w:tcW w:w="1538" w:type="pct"/>
            <w:tcBorders>
              <w:top w:val="nil"/>
              <w:left w:val="nil"/>
              <w:bottom w:val="single" w:sz="4" w:space="0" w:color="auto"/>
              <w:right w:val="single" w:sz="4" w:space="0" w:color="auto"/>
            </w:tcBorders>
            <w:shd w:val="clear" w:color="auto" w:fill="auto"/>
            <w:vAlign w:val="center"/>
            <w:hideMark/>
          </w:tcPr>
          <w:p w14:paraId="09EE4F82" w14:textId="77777777" w:rsidR="00DC5B80" w:rsidRPr="00DC5B80" w:rsidRDefault="00DC5B80" w:rsidP="006C45D3">
            <w:pPr>
              <w:ind w:firstLine="0"/>
              <w:rPr>
                <w:rFonts w:eastAsia="Times New Roman" w:cs="Times New Roman"/>
                <w:color w:val="000000"/>
                <w:sz w:val="22"/>
                <w:lang w:eastAsia="ru-RU"/>
              </w:rPr>
            </w:pPr>
            <w:r w:rsidRPr="00DC5B80">
              <w:rPr>
                <w:rFonts w:eastAsia="Times New Roman" w:cs="Times New Roman"/>
                <w:color w:val="000000"/>
                <w:sz w:val="22"/>
                <w:lang w:eastAsia="ru-RU"/>
              </w:rPr>
              <w:t>СНП/ГНП/Местоположение с точностью до НП установить невозможно/Нулевые квартала</w:t>
            </w:r>
          </w:p>
        </w:tc>
      </w:tr>
      <w:tr w:rsidR="00DC5B80" w:rsidRPr="00DC5B80" w14:paraId="6BF3191C" w14:textId="77777777" w:rsidTr="006C45D3">
        <w:trPr>
          <w:trHeight w:val="20"/>
        </w:trPr>
        <w:tc>
          <w:tcPr>
            <w:tcW w:w="279" w:type="pct"/>
            <w:tcBorders>
              <w:top w:val="nil"/>
              <w:left w:val="single" w:sz="4" w:space="0" w:color="auto"/>
              <w:bottom w:val="single" w:sz="4" w:space="0" w:color="auto"/>
              <w:right w:val="single" w:sz="4" w:space="0" w:color="auto"/>
            </w:tcBorders>
            <w:shd w:val="clear" w:color="auto" w:fill="auto"/>
            <w:vAlign w:val="center"/>
            <w:hideMark/>
          </w:tcPr>
          <w:p w14:paraId="68219ED2" w14:textId="77777777" w:rsidR="00DC5B80" w:rsidRPr="00DC5B80" w:rsidRDefault="00DC5B80" w:rsidP="00DC5B80">
            <w:pPr>
              <w:ind w:firstLine="0"/>
              <w:jc w:val="center"/>
              <w:rPr>
                <w:rFonts w:eastAsia="Times New Roman" w:cs="Times New Roman"/>
                <w:color w:val="000000"/>
                <w:sz w:val="22"/>
                <w:lang w:eastAsia="ru-RU"/>
              </w:rPr>
            </w:pPr>
            <w:r w:rsidRPr="00DC5B80">
              <w:rPr>
                <w:rFonts w:eastAsia="Times New Roman" w:cs="Times New Roman"/>
                <w:color w:val="000000"/>
                <w:sz w:val="22"/>
                <w:lang w:eastAsia="ru-RU"/>
              </w:rPr>
              <w:t>22</w:t>
            </w:r>
          </w:p>
        </w:tc>
        <w:tc>
          <w:tcPr>
            <w:tcW w:w="1466" w:type="pct"/>
            <w:tcBorders>
              <w:top w:val="nil"/>
              <w:left w:val="nil"/>
              <w:bottom w:val="single" w:sz="4" w:space="0" w:color="auto"/>
              <w:right w:val="single" w:sz="4" w:space="0" w:color="auto"/>
            </w:tcBorders>
            <w:shd w:val="clear" w:color="auto" w:fill="auto"/>
            <w:vAlign w:val="center"/>
            <w:hideMark/>
          </w:tcPr>
          <w:p w14:paraId="6CD6DA71" w14:textId="77777777" w:rsidR="00DC5B80" w:rsidRPr="00DC5B80" w:rsidRDefault="00DC5B80" w:rsidP="00DC5B80">
            <w:pPr>
              <w:ind w:firstLine="0"/>
              <w:jc w:val="left"/>
              <w:rPr>
                <w:rFonts w:eastAsia="Times New Roman" w:cs="Times New Roman"/>
                <w:color w:val="000000"/>
                <w:sz w:val="22"/>
                <w:lang w:eastAsia="ru-RU"/>
              </w:rPr>
            </w:pPr>
            <w:r w:rsidRPr="00DC5B80">
              <w:rPr>
                <w:rFonts w:eastAsia="Times New Roman" w:cs="Times New Roman"/>
                <w:color w:val="000000"/>
                <w:sz w:val="22"/>
                <w:lang w:eastAsia="ru-RU"/>
              </w:rPr>
              <w:t>Количество дней до даты оценки</w:t>
            </w:r>
          </w:p>
        </w:tc>
        <w:tc>
          <w:tcPr>
            <w:tcW w:w="1717" w:type="pct"/>
            <w:tcBorders>
              <w:top w:val="nil"/>
              <w:left w:val="nil"/>
              <w:bottom w:val="single" w:sz="4" w:space="0" w:color="auto"/>
              <w:right w:val="single" w:sz="4" w:space="0" w:color="auto"/>
            </w:tcBorders>
            <w:shd w:val="clear" w:color="auto" w:fill="auto"/>
            <w:vAlign w:val="center"/>
            <w:hideMark/>
          </w:tcPr>
          <w:p w14:paraId="0987206F" w14:textId="77777777" w:rsidR="00DC5B80" w:rsidRPr="00DC5B80" w:rsidRDefault="00DC5B80" w:rsidP="009E18B2">
            <w:pPr>
              <w:ind w:firstLine="0"/>
              <w:jc w:val="center"/>
              <w:rPr>
                <w:rFonts w:eastAsia="Times New Roman" w:cs="Times New Roman"/>
                <w:color w:val="000000"/>
                <w:sz w:val="22"/>
                <w:lang w:eastAsia="ru-RU"/>
              </w:rPr>
            </w:pPr>
            <w:r w:rsidRPr="00DC5B80">
              <w:rPr>
                <w:rFonts w:eastAsia="Times New Roman" w:cs="Times New Roman"/>
                <w:color w:val="000000"/>
                <w:sz w:val="22"/>
                <w:lang w:eastAsia="ru-RU"/>
              </w:rPr>
              <w:t>Семантический</w:t>
            </w:r>
          </w:p>
        </w:tc>
        <w:tc>
          <w:tcPr>
            <w:tcW w:w="1538" w:type="pct"/>
            <w:tcBorders>
              <w:top w:val="nil"/>
              <w:left w:val="nil"/>
              <w:bottom w:val="single" w:sz="4" w:space="0" w:color="auto"/>
              <w:right w:val="single" w:sz="4" w:space="0" w:color="auto"/>
            </w:tcBorders>
            <w:shd w:val="clear" w:color="auto" w:fill="auto"/>
            <w:vAlign w:val="center"/>
            <w:hideMark/>
          </w:tcPr>
          <w:p w14:paraId="1FF3EDB6" w14:textId="77777777" w:rsidR="00DC5B80" w:rsidRPr="00DC5B80" w:rsidRDefault="00DC5B80" w:rsidP="006C45D3">
            <w:pPr>
              <w:ind w:firstLine="0"/>
              <w:rPr>
                <w:rFonts w:eastAsia="Times New Roman" w:cs="Times New Roman"/>
                <w:color w:val="000000"/>
                <w:sz w:val="22"/>
                <w:lang w:eastAsia="ru-RU"/>
              </w:rPr>
            </w:pPr>
            <w:r w:rsidRPr="00DC5B80">
              <w:rPr>
                <w:rFonts w:eastAsia="Times New Roman" w:cs="Times New Roman"/>
                <w:color w:val="000000"/>
                <w:sz w:val="22"/>
                <w:lang w:eastAsia="ru-RU"/>
              </w:rPr>
              <w:t>дни</w:t>
            </w:r>
          </w:p>
        </w:tc>
      </w:tr>
      <w:tr w:rsidR="00DC5B80" w:rsidRPr="00DC5B80" w14:paraId="2868D8CA" w14:textId="77777777" w:rsidTr="006C45D3">
        <w:trPr>
          <w:trHeight w:val="20"/>
        </w:trPr>
        <w:tc>
          <w:tcPr>
            <w:tcW w:w="279" w:type="pct"/>
            <w:tcBorders>
              <w:top w:val="nil"/>
              <w:left w:val="single" w:sz="4" w:space="0" w:color="auto"/>
              <w:bottom w:val="single" w:sz="4" w:space="0" w:color="auto"/>
              <w:right w:val="single" w:sz="4" w:space="0" w:color="auto"/>
            </w:tcBorders>
            <w:shd w:val="clear" w:color="auto" w:fill="auto"/>
            <w:vAlign w:val="center"/>
            <w:hideMark/>
          </w:tcPr>
          <w:p w14:paraId="681737A3" w14:textId="77777777" w:rsidR="00DC5B80" w:rsidRPr="00DC5B80" w:rsidRDefault="00DC5B80" w:rsidP="00DC5B80">
            <w:pPr>
              <w:ind w:firstLine="0"/>
              <w:jc w:val="center"/>
              <w:rPr>
                <w:rFonts w:eastAsia="Times New Roman" w:cs="Times New Roman"/>
                <w:color w:val="000000"/>
                <w:sz w:val="22"/>
                <w:lang w:eastAsia="ru-RU"/>
              </w:rPr>
            </w:pPr>
            <w:r w:rsidRPr="00DC5B80">
              <w:rPr>
                <w:rFonts w:eastAsia="Times New Roman" w:cs="Times New Roman"/>
                <w:color w:val="000000"/>
                <w:sz w:val="22"/>
                <w:lang w:eastAsia="ru-RU"/>
              </w:rPr>
              <w:t>23</w:t>
            </w:r>
          </w:p>
        </w:tc>
        <w:tc>
          <w:tcPr>
            <w:tcW w:w="1466" w:type="pct"/>
            <w:tcBorders>
              <w:top w:val="nil"/>
              <w:left w:val="nil"/>
              <w:bottom w:val="single" w:sz="4" w:space="0" w:color="auto"/>
              <w:right w:val="single" w:sz="4" w:space="0" w:color="auto"/>
            </w:tcBorders>
            <w:shd w:val="clear" w:color="auto" w:fill="auto"/>
            <w:vAlign w:val="center"/>
            <w:hideMark/>
          </w:tcPr>
          <w:p w14:paraId="5DBE5AC7" w14:textId="77777777" w:rsidR="00DC5B80" w:rsidRPr="00DC5B80" w:rsidRDefault="00DC5B80" w:rsidP="00DC5B80">
            <w:pPr>
              <w:ind w:firstLine="0"/>
              <w:jc w:val="left"/>
              <w:rPr>
                <w:rFonts w:eastAsia="Times New Roman" w:cs="Times New Roman"/>
                <w:color w:val="000000"/>
                <w:sz w:val="22"/>
                <w:lang w:eastAsia="ru-RU"/>
              </w:rPr>
            </w:pPr>
            <w:r w:rsidRPr="00DC5B80">
              <w:rPr>
                <w:rFonts w:eastAsia="Times New Roman" w:cs="Times New Roman"/>
                <w:color w:val="000000"/>
                <w:sz w:val="22"/>
                <w:lang w:eastAsia="ru-RU"/>
              </w:rPr>
              <w:t>Состояние объекта недвижимости</w:t>
            </w:r>
          </w:p>
        </w:tc>
        <w:tc>
          <w:tcPr>
            <w:tcW w:w="1717" w:type="pct"/>
            <w:tcBorders>
              <w:top w:val="nil"/>
              <w:left w:val="nil"/>
              <w:bottom w:val="single" w:sz="4" w:space="0" w:color="auto"/>
              <w:right w:val="single" w:sz="4" w:space="0" w:color="auto"/>
            </w:tcBorders>
            <w:shd w:val="clear" w:color="auto" w:fill="auto"/>
            <w:vAlign w:val="center"/>
            <w:hideMark/>
          </w:tcPr>
          <w:p w14:paraId="6AAD7A14" w14:textId="77777777" w:rsidR="00DC5B80" w:rsidRPr="00DC5B80" w:rsidRDefault="00DC5B80" w:rsidP="009E18B2">
            <w:pPr>
              <w:ind w:firstLine="0"/>
              <w:jc w:val="center"/>
              <w:rPr>
                <w:rFonts w:eastAsia="Times New Roman" w:cs="Times New Roman"/>
                <w:color w:val="000000"/>
                <w:sz w:val="22"/>
                <w:lang w:eastAsia="ru-RU"/>
              </w:rPr>
            </w:pPr>
            <w:r w:rsidRPr="00DC5B80">
              <w:rPr>
                <w:rFonts w:eastAsia="Times New Roman" w:cs="Times New Roman"/>
                <w:color w:val="000000"/>
                <w:sz w:val="22"/>
                <w:lang w:eastAsia="ru-RU"/>
              </w:rPr>
              <w:t>Семантический</w:t>
            </w:r>
          </w:p>
        </w:tc>
        <w:tc>
          <w:tcPr>
            <w:tcW w:w="1538" w:type="pct"/>
            <w:tcBorders>
              <w:top w:val="nil"/>
              <w:left w:val="nil"/>
              <w:bottom w:val="single" w:sz="4" w:space="0" w:color="auto"/>
              <w:right w:val="single" w:sz="4" w:space="0" w:color="auto"/>
            </w:tcBorders>
            <w:shd w:val="clear" w:color="auto" w:fill="auto"/>
            <w:vAlign w:val="center"/>
            <w:hideMark/>
          </w:tcPr>
          <w:p w14:paraId="1C313FCA" w14:textId="77777777" w:rsidR="00DC5B80" w:rsidRPr="00DC5B80" w:rsidRDefault="00DC5B80" w:rsidP="006C45D3">
            <w:pPr>
              <w:ind w:firstLine="0"/>
              <w:rPr>
                <w:rFonts w:eastAsia="Times New Roman" w:cs="Times New Roman"/>
                <w:color w:val="000000"/>
                <w:sz w:val="22"/>
                <w:lang w:eastAsia="ru-RU"/>
              </w:rPr>
            </w:pPr>
            <w:r w:rsidRPr="00DC5B80">
              <w:rPr>
                <w:rFonts w:eastAsia="Times New Roman" w:cs="Times New Roman"/>
                <w:color w:val="000000"/>
                <w:sz w:val="22"/>
                <w:lang w:eastAsia="ru-RU"/>
              </w:rPr>
              <w:t>удовлетворительное/ветхое (аварийное)</w:t>
            </w:r>
          </w:p>
        </w:tc>
      </w:tr>
      <w:tr w:rsidR="00DC5B80" w:rsidRPr="00DC5B80" w14:paraId="7B0C5882" w14:textId="77777777" w:rsidTr="006C45D3">
        <w:trPr>
          <w:trHeight w:val="20"/>
        </w:trPr>
        <w:tc>
          <w:tcPr>
            <w:tcW w:w="279" w:type="pct"/>
            <w:tcBorders>
              <w:top w:val="nil"/>
              <w:left w:val="single" w:sz="4" w:space="0" w:color="auto"/>
              <w:bottom w:val="single" w:sz="4" w:space="0" w:color="auto"/>
              <w:right w:val="single" w:sz="4" w:space="0" w:color="auto"/>
            </w:tcBorders>
            <w:shd w:val="clear" w:color="auto" w:fill="auto"/>
            <w:vAlign w:val="center"/>
            <w:hideMark/>
          </w:tcPr>
          <w:p w14:paraId="59517DE5" w14:textId="77777777" w:rsidR="00DC5B80" w:rsidRPr="00DC5B80" w:rsidRDefault="00DC5B80" w:rsidP="00DC5B80">
            <w:pPr>
              <w:ind w:firstLine="0"/>
              <w:jc w:val="center"/>
              <w:rPr>
                <w:rFonts w:eastAsia="Times New Roman" w:cs="Times New Roman"/>
                <w:color w:val="000000"/>
                <w:sz w:val="22"/>
                <w:lang w:eastAsia="ru-RU"/>
              </w:rPr>
            </w:pPr>
            <w:r w:rsidRPr="00DC5B80">
              <w:rPr>
                <w:rFonts w:eastAsia="Times New Roman" w:cs="Times New Roman"/>
                <w:color w:val="000000"/>
                <w:sz w:val="22"/>
                <w:lang w:eastAsia="ru-RU"/>
              </w:rPr>
              <w:t>24</w:t>
            </w:r>
          </w:p>
        </w:tc>
        <w:tc>
          <w:tcPr>
            <w:tcW w:w="1466" w:type="pct"/>
            <w:tcBorders>
              <w:top w:val="nil"/>
              <w:left w:val="nil"/>
              <w:bottom w:val="single" w:sz="4" w:space="0" w:color="auto"/>
              <w:right w:val="single" w:sz="4" w:space="0" w:color="auto"/>
            </w:tcBorders>
            <w:shd w:val="clear" w:color="auto" w:fill="auto"/>
            <w:vAlign w:val="center"/>
            <w:hideMark/>
          </w:tcPr>
          <w:p w14:paraId="2657A318" w14:textId="77777777" w:rsidR="00DC5B80" w:rsidRPr="00DC5B80" w:rsidRDefault="00DC5B80" w:rsidP="00DC5B80">
            <w:pPr>
              <w:ind w:firstLine="0"/>
              <w:jc w:val="left"/>
              <w:rPr>
                <w:rFonts w:eastAsia="Times New Roman" w:cs="Times New Roman"/>
                <w:color w:val="000000"/>
                <w:sz w:val="22"/>
                <w:lang w:eastAsia="ru-RU"/>
              </w:rPr>
            </w:pPr>
            <w:r w:rsidRPr="00DC5B80">
              <w:rPr>
                <w:rFonts w:eastAsia="Times New Roman" w:cs="Times New Roman"/>
                <w:color w:val="000000"/>
                <w:sz w:val="22"/>
                <w:lang w:eastAsia="ru-RU"/>
              </w:rPr>
              <w:t>Наличие сервитута, установленного законом или иным нормативным правовым актом субъекта Российской Федерации, нормативным правовым актом органа местного самоуправления</w:t>
            </w:r>
          </w:p>
        </w:tc>
        <w:tc>
          <w:tcPr>
            <w:tcW w:w="1717" w:type="pct"/>
            <w:tcBorders>
              <w:top w:val="nil"/>
              <w:left w:val="nil"/>
              <w:bottom w:val="single" w:sz="4" w:space="0" w:color="auto"/>
              <w:right w:val="single" w:sz="4" w:space="0" w:color="auto"/>
            </w:tcBorders>
            <w:shd w:val="clear" w:color="auto" w:fill="auto"/>
            <w:vAlign w:val="center"/>
            <w:hideMark/>
          </w:tcPr>
          <w:p w14:paraId="0B188E96" w14:textId="77777777" w:rsidR="00DC5B80" w:rsidRPr="00DC5B80" w:rsidRDefault="00DC5B80" w:rsidP="009E18B2">
            <w:pPr>
              <w:ind w:firstLine="0"/>
              <w:jc w:val="center"/>
              <w:rPr>
                <w:rFonts w:eastAsia="Times New Roman" w:cs="Times New Roman"/>
                <w:color w:val="000000"/>
                <w:sz w:val="22"/>
                <w:lang w:eastAsia="ru-RU"/>
              </w:rPr>
            </w:pPr>
            <w:r w:rsidRPr="00DC5B80">
              <w:rPr>
                <w:rFonts w:eastAsia="Times New Roman" w:cs="Times New Roman"/>
                <w:color w:val="000000"/>
                <w:sz w:val="22"/>
                <w:lang w:eastAsia="ru-RU"/>
              </w:rPr>
              <w:t>Семантический</w:t>
            </w:r>
          </w:p>
        </w:tc>
        <w:tc>
          <w:tcPr>
            <w:tcW w:w="1538" w:type="pct"/>
            <w:tcBorders>
              <w:top w:val="nil"/>
              <w:left w:val="nil"/>
              <w:bottom w:val="single" w:sz="4" w:space="0" w:color="auto"/>
              <w:right w:val="single" w:sz="4" w:space="0" w:color="auto"/>
            </w:tcBorders>
            <w:shd w:val="clear" w:color="auto" w:fill="auto"/>
            <w:vAlign w:val="center"/>
            <w:hideMark/>
          </w:tcPr>
          <w:p w14:paraId="4822D32E" w14:textId="77777777" w:rsidR="00DC5B80" w:rsidRPr="00DC5B80" w:rsidRDefault="00DC5B80" w:rsidP="006C45D3">
            <w:pPr>
              <w:ind w:firstLine="0"/>
              <w:rPr>
                <w:rFonts w:eastAsia="Times New Roman" w:cs="Times New Roman"/>
                <w:color w:val="000000"/>
                <w:sz w:val="22"/>
                <w:lang w:eastAsia="ru-RU"/>
              </w:rPr>
            </w:pPr>
            <w:r w:rsidRPr="00DC5B80">
              <w:rPr>
                <w:rFonts w:eastAsia="Times New Roman" w:cs="Times New Roman"/>
                <w:color w:val="000000"/>
                <w:sz w:val="22"/>
                <w:lang w:eastAsia="ru-RU"/>
              </w:rPr>
              <w:t>да/отсутствует</w:t>
            </w:r>
          </w:p>
        </w:tc>
      </w:tr>
      <w:tr w:rsidR="00DC5B80" w:rsidRPr="00DC5B80" w14:paraId="7FBE0AE4" w14:textId="77777777" w:rsidTr="006C45D3">
        <w:trPr>
          <w:trHeight w:val="20"/>
        </w:trPr>
        <w:tc>
          <w:tcPr>
            <w:tcW w:w="279" w:type="pct"/>
            <w:tcBorders>
              <w:top w:val="nil"/>
              <w:left w:val="single" w:sz="4" w:space="0" w:color="auto"/>
              <w:bottom w:val="single" w:sz="4" w:space="0" w:color="auto"/>
              <w:right w:val="single" w:sz="4" w:space="0" w:color="auto"/>
            </w:tcBorders>
            <w:shd w:val="clear" w:color="auto" w:fill="auto"/>
            <w:vAlign w:val="center"/>
            <w:hideMark/>
          </w:tcPr>
          <w:p w14:paraId="23AC7A66" w14:textId="77777777" w:rsidR="00DC5B80" w:rsidRPr="00DC5B80" w:rsidRDefault="00DC5B80" w:rsidP="00DC5B80">
            <w:pPr>
              <w:ind w:firstLine="0"/>
              <w:jc w:val="center"/>
              <w:rPr>
                <w:rFonts w:eastAsia="Times New Roman" w:cs="Times New Roman"/>
                <w:color w:val="000000"/>
                <w:sz w:val="22"/>
                <w:lang w:eastAsia="ru-RU"/>
              </w:rPr>
            </w:pPr>
            <w:r w:rsidRPr="00DC5B80">
              <w:rPr>
                <w:rFonts w:eastAsia="Times New Roman" w:cs="Times New Roman"/>
                <w:color w:val="000000"/>
                <w:sz w:val="22"/>
                <w:lang w:eastAsia="ru-RU"/>
              </w:rPr>
              <w:t>25</w:t>
            </w:r>
          </w:p>
        </w:tc>
        <w:tc>
          <w:tcPr>
            <w:tcW w:w="1466" w:type="pct"/>
            <w:tcBorders>
              <w:top w:val="nil"/>
              <w:left w:val="nil"/>
              <w:bottom w:val="single" w:sz="4" w:space="0" w:color="auto"/>
              <w:right w:val="single" w:sz="4" w:space="0" w:color="auto"/>
            </w:tcBorders>
            <w:shd w:val="clear" w:color="auto" w:fill="auto"/>
            <w:vAlign w:val="center"/>
            <w:hideMark/>
          </w:tcPr>
          <w:p w14:paraId="2AE0689B" w14:textId="77777777" w:rsidR="00DC5B80" w:rsidRPr="00DC5B80" w:rsidRDefault="00DC5B80" w:rsidP="00DC5B80">
            <w:pPr>
              <w:ind w:firstLine="0"/>
              <w:jc w:val="left"/>
              <w:rPr>
                <w:rFonts w:eastAsia="Times New Roman" w:cs="Times New Roman"/>
                <w:color w:val="000000"/>
                <w:sz w:val="22"/>
                <w:lang w:eastAsia="ru-RU"/>
              </w:rPr>
            </w:pPr>
            <w:r w:rsidRPr="00DC5B80">
              <w:rPr>
                <w:rFonts w:eastAsia="Times New Roman" w:cs="Times New Roman"/>
                <w:color w:val="000000"/>
                <w:sz w:val="22"/>
                <w:lang w:eastAsia="ru-RU"/>
              </w:rPr>
              <w:t>Содержание сервитута, установленного законом или иным нормативным правовым актом субъекта Российской Федерации, нормативным правовым актом органа местного самоуправления</w:t>
            </w:r>
          </w:p>
        </w:tc>
        <w:tc>
          <w:tcPr>
            <w:tcW w:w="1717" w:type="pct"/>
            <w:tcBorders>
              <w:top w:val="nil"/>
              <w:left w:val="nil"/>
              <w:bottom w:val="single" w:sz="4" w:space="0" w:color="auto"/>
              <w:right w:val="single" w:sz="4" w:space="0" w:color="auto"/>
            </w:tcBorders>
            <w:shd w:val="clear" w:color="auto" w:fill="auto"/>
            <w:vAlign w:val="center"/>
            <w:hideMark/>
          </w:tcPr>
          <w:p w14:paraId="7E19DC12" w14:textId="77777777" w:rsidR="00DC5B80" w:rsidRPr="00DC5B80" w:rsidRDefault="00DC5B80" w:rsidP="009E18B2">
            <w:pPr>
              <w:ind w:firstLine="0"/>
              <w:jc w:val="center"/>
              <w:rPr>
                <w:rFonts w:eastAsia="Times New Roman" w:cs="Times New Roman"/>
                <w:color w:val="000000"/>
                <w:sz w:val="22"/>
                <w:lang w:eastAsia="ru-RU"/>
              </w:rPr>
            </w:pPr>
            <w:r w:rsidRPr="00DC5B80">
              <w:rPr>
                <w:rFonts w:eastAsia="Times New Roman" w:cs="Times New Roman"/>
                <w:color w:val="000000"/>
                <w:sz w:val="22"/>
                <w:lang w:eastAsia="ru-RU"/>
              </w:rPr>
              <w:t>Семантический</w:t>
            </w:r>
          </w:p>
        </w:tc>
        <w:tc>
          <w:tcPr>
            <w:tcW w:w="1538" w:type="pct"/>
            <w:tcBorders>
              <w:top w:val="nil"/>
              <w:left w:val="nil"/>
              <w:bottom w:val="single" w:sz="4" w:space="0" w:color="auto"/>
              <w:right w:val="single" w:sz="4" w:space="0" w:color="auto"/>
            </w:tcBorders>
            <w:shd w:val="clear" w:color="auto" w:fill="auto"/>
            <w:vAlign w:val="center"/>
            <w:hideMark/>
          </w:tcPr>
          <w:p w14:paraId="411C8F9B" w14:textId="77777777" w:rsidR="00DC5B80" w:rsidRPr="00DC5B80" w:rsidRDefault="00DC5B80" w:rsidP="006C45D3">
            <w:pPr>
              <w:ind w:firstLine="0"/>
              <w:rPr>
                <w:rFonts w:eastAsia="Times New Roman" w:cs="Times New Roman"/>
                <w:color w:val="000000"/>
                <w:sz w:val="22"/>
                <w:lang w:eastAsia="ru-RU"/>
              </w:rPr>
            </w:pPr>
            <w:r w:rsidRPr="00DC5B80">
              <w:rPr>
                <w:rFonts w:eastAsia="Times New Roman" w:cs="Times New Roman"/>
                <w:color w:val="000000"/>
                <w:sz w:val="22"/>
                <w:lang w:eastAsia="ru-RU"/>
              </w:rPr>
              <w:t>в соответствии с ответом органа местного самоуправления или субъекта Российской Федерации</w:t>
            </w:r>
          </w:p>
        </w:tc>
      </w:tr>
    </w:tbl>
    <w:p w14:paraId="50BD4EFE" w14:textId="5AE26FE6" w:rsidR="00DC5B80" w:rsidRDefault="00DC5B80" w:rsidP="00FE1990">
      <w:pPr>
        <w:tabs>
          <w:tab w:val="left" w:pos="1134"/>
        </w:tabs>
        <w:adjustRightInd w:val="0"/>
        <w:ind w:firstLine="720"/>
        <w:rPr>
          <w:rFonts w:eastAsia="Times New Roman" w:cs="Times New Roman"/>
          <w:szCs w:val="24"/>
          <w:lang w:eastAsia="ru-RU"/>
        </w:rPr>
      </w:pPr>
    </w:p>
    <w:p w14:paraId="3942482D" w14:textId="054043A8" w:rsidR="007D6CF0" w:rsidRPr="007D6CF0" w:rsidRDefault="007D6CF0" w:rsidP="00874C1F">
      <w:pPr>
        <w:ind w:firstLine="709"/>
        <w:rPr>
          <w:rFonts w:cs="Times New Roman"/>
          <w:b/>
          <w:szCs w:val="24"/>
        </w:rPr>
      </w:pPr>
      <w:r>
        <w:rPr>
          <w:rFonts w:cs="Times New Roman"/>
          <w:b/>
          <w:szCs w:val="24"/>
        </w:rPr>
        <w:t>Сбор ценообразующих факторов.</w:t>
      </w:r>
    </w:p>
    <w:p w14:paraId="3E4216EF" w14:textId="47523EDC" w:rsidR="00874C1F" w:rsidRDefault="00874C1F" w:rsidP="00874C1F">
      <w:pPr>
        <w:ind w:firstLine="709"/>
        <w:rPr>
          <w:rFonts w:cs="Times New Roman"/>
          <w:szCs w:val="24"/>
        </w:rPr>
      </w:pPr>
      <w:r>
        <w:rPr>
          <w:rFonts w:cs="Times New Roman"/>
          <w:szCs w:val="24"/>
        </w:rPr>
        <w:t>После определения перечня ценообразующих факторов проводится сбор информации и определение их значений.</w:t>
      </w:r>
    </w:p>
    <w:p w14:paraId="0876AFF9" w14:textId="7390123A" w:rsidR="00874C1F" w:rsidRDefault="00874C1F" w:rsidP="00874C1F">
      <w:pPr>
        <w:ind w:firstLine="709"/>
        <w:rPr>
          <w:rFonts w:cs="Times New Roman"/>
          <w:szCs w:val="24"/>
          <w:lang w:eastAsia="ru-RU"/>
        </w:rPr>
      </w:pPr>
      <w:r>
        <w:rPr>
          <w:rFonts w:cs="Times New Roman"/>
          <w:szCs w:val="24"/>
        </w:rPr>
        <w:t>Сбор значений ценообразующих факторов осуществляется из источников информации, содержащих сведения доказательственного значения в границах оцениваемых территорий. При этом ц</w:t>
      </w:r>
      <w:r>
        <w:rPr>
          <w:rFonts w:cs="Times New Roman"/>
          <w:szCs w:val="24"/>
          <w:lang w:eastAsia="ru-RU"/>
        </w:rPr>
        <w:t>енообразующие факторы должны быть представлены в унифицированном виде, например, расстояния указываются в километрах, площадь - в квадратных метрах, материал стен - согласно классам конструктивных систем, приведенным для целей кадастровой оценки в Приложении 4 Методических указаний.</w:t>
      </w:r>
    </w:p>
    <w:p w14:paraId="4C4996DB" w14:textId="77777777" w:rsidR="00874C1F" w:rsidRDefault="00874C1F" w:rsidP="00874C1F">
      <w:pPr>
        <w:ind w:firstLine="709"/>
        <w:rPr>
          <w:rFonts w:cs="Times New Roman"/>
          <w:szCs w:val="24"/>
          <w:lang w:eastAsia="ru-RU"/>
        </w:rPr>
      </w:pPr>
      <w:r>
        <w:rPr>
          <w:rFonts w:cs="Times New Roman"/>
          <w:szCs w:val="24"/>
          <w:lang w:eastAsia="ru-RU"/>
        </w:rPr>
        <w:t>Источниками информации о значениях ценообразующих факторов могут служить в том числе:</w:t>
      </w:r>
    </w:p>
    <w:p w14:paraId="3E2D40A0" w14:textId="6E0F57E6" w:rsidR="00874C1F" w:rsidRDefault="006C45D3" w:rsidP="00874C1F">
      <w:pPr>
        <w:ind w:firstLine="709"/>
        <w:rPr>
          <w:rFonts w:cs="Times New Roman"/>
          <w:szCs w:val="24"/>
          <w:lang w:eastAsia="ru-RU"/>
        </w:rPr>
      </w:pPr>
      <w:r>
        <w:rPr>
          <w:rFonts w:cs="Times New Roman"/>
          <w:szCs w:val="24"/>
          <w:lang w:eastAsia="ru-RU"/>
        </w:rPr>
        <w:t xml:space="preserve">- </w:t>
      </w:r>
      <w:r w:rsidR="00874C1F">
        <w:rPr>
          <w:rFonts w:cs="Times New Roman"/>
          <w:szCs w:val="24"/>
          <w:lang w:eastAsia="ru-RU"/>
        </w:rPr>
        <w:t>данные, имеющиеся в распоряжении организаций, подведомственных органам исполнительной власти субъекта Российской Федерации или органам муниципальных образований;</w:t>
      </w:r>
    </w:p>
    <w:p w14:paraId="691517A2" w14:textId="0F44A1A2" w:rsidR="00874C1F" w:rsidRDefault="006C45D3" w:rsidP="00874C1F">
      <w:pPr>
        <w:ind w:firstLine="709"/>
        <w:rPr>
          <w:rFonts w:cs="Times New Roman"/>
          <w:szCs w:val="24"/>
          <w:lang w:eastAsia="ru-RU"/>
        </w:rPr>
      </w:pPr>
      <w:r>
        <w:rPr>
          <w:rFonts w:cs="Times New Roman"/>
          <w:szCs w:val="24"/>
          <w:lang w:eastAsia="ru-RU"/>
        </w:rPr>
        <w:t xml:space="preserve">- </w:t>
      </w:r>
      <w:r w:rsidR="00874C1F">
        <w:rPr>
          <w:rFonts w:cs="Times New Roman"/>
          <w:szCs w:val="24"/>
          <w:lang w:eastAsia="ru-RU"/>
        </w:rPr>
        <w:t>данные Росреестра, в том числе из фонда данных государственной кадастровой оценки, автоматизированной информационной системы «Мониторинг рынка недвижимости», дежурных кадастровых карт государственного фонда данных, сформированного в результате проведения землеустройства;</w:t>
      </w:r>
    </w:p>
    <w:p w14:paraId="69389610" w14:textId="528262CD" w:rsidR="00874C1F" w:rsidRDefault="006C45D3" w:rsidP="00874C1F">
      <w:pPr>
        <w:ind w:firstLine="709"/>
        <w:rPr>
          <w:rFonts w:cs="Times New Roman"/>
          <w:szCs w:val="24"/>
          <w:lang w:eastAsia="ru-RU"/>
        </w:rPr>
      </w:pPr>
      <w:r>
        <w:rPr>
          <w:rFonts w:cs="Times New Roman"/>
          <w:szCs w:val="24"/>
          <w:lang w:eastAsia="ru-RU"/>
        </w:rPr>
        <w:t xml:space="preserve">- </w:t>
      </w:r>
      <w:r w:rsidR="00874C1F">
        <w:rPr>
          <w:rFonts w:cs="Times New Roman"/>
          <w:szCs w:val="24"/>
          <w:lang w:eastAsia="ru-RU"/>
        </w:rPr>
        <w:t>адресные цифровые планы и цифровые тематические карты;</w:t>
      </w:r>
    </w:p>
    <w:p w14:paraId="3AE1D973" w14:textId="2AD46272" w:rsidR="00874C1F" w:rsidRDefault="006C45D3" w:rsidP="00874C1F">
      <w:pPr>
        <w:ind w:firstLine="709"/>
        <w:rPr>
          <w:rFonts w:cs="Times New Roman"/>
          <w:szCs w:val="24"/>
          <w:lang w:eastAsia="ru-RU"/>
        </w:rPr>
      </w:pPr>
      <w:r>
        <w:rPr>
          <w:rFonts w:cs="Times New Roman"/>
          <w:szCs w:val="24"/>
          <w:lang w:eastAsia="ru-RU"/>
        </w:rPr>
        <w:t xml:space="preserve">- </w:t>
      </w:r>
      <w:r w:rsidR="00874C1F">
        <w:rPr>
          <w:rFonts w:cs="Times New Roman"/>
          <w:szCs w:val="24"/>
          <w:lang w:eastAsia="ru-RU"/>
        </w:rPr>
        <w:t>архивы органов и организаций технической инвентаризации;</w:t>
      </w:r>
    </w:p>
    <w:p w14:paraId="055FF15D" w14:textId="13A85B63" w:rsidR="00874C1F" w:rsidRDefault="006C45D3" w:rsidP="00874C1F">
      <w:pPr>
        <w:ind w:firstLine="709"/>
        <w:rPr>
          <w:rFonts w:cs="Times New Roman"/>
          <w:szCs w:val="24"/>
          <w:lang w:eastAsia="ru-RU"/>
        </w:rPr>
      </w:pPr>
      <w:r>
        <w:rPr>
          <w:rFonts w:cs="Times New Roman"/>
          <w:szCs w:val="24"/>
          <w:lang w:eastAsia="ru-RU"/>
        </w:rPr>
        <w:t xml:space="preserve">- </w:t>
      </w:r>
      <w:r w:rsidR="00874C1F">
        <w:rPr>
          <w:rFonts w:cs="Times New Roman"/>
          <w:szCs w:val="24"/>
          <w:lang w:eastAsia="ru-RU"/>
        </w:rPr>
        <w:t>иные источники информации, представленные в информационных системах, примерный перечень которых приведен в Приложении 5 к Методическим указаниям.</w:t>
      </w:r>
    </w:p>
    <w:p w14:paraId="4CBB356E" w14:textId="77777777" w:rsidR="00874C1F" w:rsidRDefault="00874C1F" w:rsidP="00874C1F">
      <w:pPr>
        <w:ind w:firstLine="709"/>
        <w:rPr>
          <w:rFonts w:cs="Times New Roman"/>
          <w:szCs w:val="24"/>
        </w:rPr>
      </w:pPr>
      <w:r>
        <w:rPr>
          <w:rFonts w:cs="Times New Roman"/>
          <w:szCs w:val="24"/>
        </w:rPr>
        <w:t xml:space="preserve">В соответствии с Методическими указаниями при кадастровой оценке необходимо учитывать максимально полные сведения: о местоположении, физических, технических и эксплуатационных характеристиках, степени благоустройства объектов оценки, ограничениях в их использовании, иных характеристиках, необходимых для определения кадастровой стоимости. </w:t>
      </w:r>
    </w:p>
    <w:p w14:paraId="44FDA317" w14:textId="77777777" w:rsidR="00874C1F" w:rsidRDefault="00874C1F" w:rsidP="00874C1F">
      <w:pPr>
        <w:ind w:firstLine="709"/>
        <w:rPr>
          <w:rFonts w:cs="Times New Roman"/>
          <w:szCs w:val="24"/>
        </w:rPr>
      </w:pPr>
      <w:r>
        <w:rPr>
          <w:rFonts w:cs="Times New Roman"/>
          <w:szCs w:val="24"/>
        </w:rPr>
        <w:t xml:space="preserve">В целях возможности учета сведений об объектах оценки </w:t>
      </w:r>
      <w:r>
        <w:rPr>
          <w:rFonts w:cs="Times New Roman"/>
          <w:szCs w:val="24"/>
          <w:lang w:eastAsia="ru-RU"/>
        </w:rPr>
        <w:t>ГБУ РС(Я) «Центр государственной кадастровой оценки»</w:t>
      </w:r>
      <w:r>
        <w:rPr>
          <w:rFonts w:cs="Times New Roman"/>
          <w:szCs w:val="24"/>
        </w:rPr>
        <w:t xml:space="preserve"> были направлены соответствующие запросы.</w:t>
      </w:r>
    </w:p>
    <w:p w14:paraId="516672EF" w14:textId="61D086C1" w:rsidR="00874C1F" w:rsidRDefault="00874C1F" w:rsidP="00874C1F">
      <w:pPr>
        <w:ind w:firstLine="709"/>
        <w:rPr>
          <w:rFonts w:cs="Times New Roman"/>
          <w:szCs w:val="24"/>
          <w:lang w:eastAsia="ru-RU"/>
        </w:rPr>
      </w:pPr>
      <w:r>
        <w:rPr>
          <w:rFonts w:cs="Times New Roman"/>
          <w:szCs w:val="24"/>
          <w:lang w:eastAsia="ru-RU"/>
        </w:rPr>
        <w:t>Главам муниципальных районов направлены письма по ценообразующим факторам</w:t>
      </w:r>
      <w:r w:rsidR="007467ED">
        <w:rPr>
          <w:rFonts w:cs="Times New Roman"/>
          <w:szCs w:val="24"/>
          <w:lang w:eastAsia="ru-RU"/>
        </w:rPr>
        <w:t xml:space="preserve">, по </w:t>
      </w:r>
      <w:r>
        <w:rPr>
          <w:rFonts w:cs="Times New Roman"/>
          <w:szCs w:val="24"/>
          <w:lang w:eastAsia="ru-RU"/>
        </w:rPr>
        <w:t>СНП №14-01-55 от 22.01.2019 «об уточнении сведений по ценообразующим факторам» и каждому МО ГНП. Запросы представлены по адресу:</w:t>
      </w:r>
      <w:r>
        <w:rPr>
          <w:szCs w:val="24"/>
        </w:rPr>
        <w:t xml:space="preserve"> </w:t>
      </w:r>
      <w:r>
        <w:rPr>
          <w:rFonts w:cs="Times New Roman"/>
          <w:szCs w:val="24"/>
          <w:lang w:eastAsia="ru-RU"/>
        </w:rPr>
        <w:t>...\</w:t>
      </w:r>
      <w:r w:rsidR="007D6CF0">
        <w:rPr>
          <w:rFonts w:cs="Times New Roman"/>
          <w:szCs w:val="24"/>
          <w:lang w:eastAsia="ru-RU"/>
        </w:rPr>
        <w:t>Отчет</w:t>
      </w:r>
      <w:r>
        <w:rPr>
          <w:rFonts w:cs="Times New Roman"/>
          <w:szCs w:val="24"/>
          <w:lang w:eastAsia="ru-RU"/>
        </w:rPr>
        <w:t xml:space="preserve"> ОКС\1.</w:t>
      </w:r>
      <w:r w:rsidR="00042D69">
        <w:rPr>
          <w:rFonts w:cs="Times New Roman"/>
          <w:szCs w:val="24"/>
          <w:lang w:eastAsia="ru-RU"/>
        </w:rPr>
        <w:t>4</w:t>
      </w:r>
      <w:r>
        <w:rPr>
          <w:rFonts w:cs="Times New Roman"/>
          <w:szCs w:val="24"/>
          <w:lang w:eastAsia="ru-RU"/>
        </w:rPr>
        <w:t xml:space="preserve"> Исходн</w:t>
      </w:r>
      <w:r w:rsidR="00042D69">
        <w:rPr>
          <w:rFonts w:cs="Times New Roman"/>
          <w:szCs w:val="24"/>
          <w:lang w:eastAsia="ru-RU"/>
        </w:rPr>
        <w:t>ые данные для определения ЦФ\1.4.1 Запросы\1.4.1</w:t>
      </w:r>
      <w:r>
        <w:rPr>
          <w:rFonts w:cs="Times New Roman"/>
          <w:szCs w:val="24"/>
          <w:lang w:eastAsia="ru-RU"/>
        </w:rPr>
        <w:t xml:space="preserve">.1 Администрации МО\ </w:t>
      </w:r>
    </w:p>
    <w:p w14:paraId="625422E6" w14:textId="3CE494C6" w:rsidR="00874C1F" w:rsidRDefault="00874C1F" w:rsidP="00874C1F">
      <w:pPr>
        <w:ind w:firstLine="709"/>
        <w:rPr>
          <w:rFonts w:cs="Times New Roman"/>
          <w:szCs w:val="24"/>
          <w:lang w:eastAsia="ru-RU"/>
        </w:rPr>
      </w:pPr>
      <w:r>
        <w:rPr>
          <w:rFonts w:cs="Times New Roman"/>
          <w:szCs w:val="24"/>
          <w:lang w:eastAsia="ru-RU"/>
        </w:rPr>
        <w:t>Ответы органов МСУ по согласованию ценообразующих факторов находятся в Приложении ...\</w:t>
      </w:r>
      <w:r w:rsidR="007D6CF0">
        <w:rPr>
          <w:rFonts w:cs="Times New Roman"/>
          <w:szCs w:val="24"/>
          <w:lang w:eastAsia="ru-RU"/>
        </w:rPr>
        <w:t xml:space="preserve">Отчет </w:t>
      </w:r>
      <w:r>
        <w:rPr>
          <w:rFonts w:cs="Times New Roman"/>
          <w:szCs w:val="24"/>
          <w:lang w:eastAsia="ru-RU"/>
        </w:rPr>
        <w:t>ОКС\1.</w:t>
      </w:r>
      <w:r w:rsidR="00042D69">
        <w:rPr>
          <w:rFonts w:cs="Times New Roman"/>
          <w:szCs w:val="24"/>
          <w:lang w:eastAsia="ru-RU"/>
        </w:rPr>
        <w:t>4</w:t>
      </w:r>
      <w:r>
        <w:rPr>
          <w:rFonts w:cs="Times New Roman"/>
          <w:szCs w:val="24"/>
          <w:lang w:eastAsia="ru-RU"/>
        </w:rPr>
        <w:t xml:space="preserve"> Исходные данные для определения ЦФ\1.</w:t>
      </w:r>
      <w:r w:rsidR="00042D69">
        <w:rPr>
          <w:rFonts w:cs="Times New Roman"/>
          <w:szCs w:val="24"/>
          <w:lang w:eastAsia="ru-RU"/>
        </w:rPr>
        <w:t>4</w:t>
      </w:r>
      <w:r>
        <w:rPr>
          <w:rFonts w:cs="Times New Roman"/>
          <w:szCs w:val="24"/>
          <w:lang w:eastAsia="ru-RU"/>
        </w:rPr>
        <w:t>.</w:t>
      </w:r>
      <w:r w:rsidR="00042D69">
        <w:rPr>
          <w:rFonts w:cs="Times New Roman"/>
          <w:szCs w:val="24"/>
          <w:lang w:eastAsia="ru-RU"/>
        </w:rPr>
        <w:t>2 Ответы\1.4</w:t>
      </w:r>
      <w:r>
        <w:rPr>
          <w:rFonts w:cs="Times New Roman"/>
          <w:szCs w:val="24"/>
          <w:lang w:eastAsia="ru-RU"/>
        </w:rPr>
        <w:t>.2.1 Администрации МО\1.6.2.1.2 ЦФ СНП. По ГНП запросы отправлены каждому МО отдельно, полученные ответы находятся в Приложении по адресу: ...\</w:t>
      </w:r>
      <w:r w:rsidR="007D6CF0">
        <w:rPr>
          <w:rFonts w:cs="Times New Roman"/>
          <w:szCs w:val="24"/>
          <w:lang w:eastAsia="ru-RU"/>
        </w:rPr>
        <w:t>Отчет</w:t>
      </w:r>
      <w:r w:rsidR="007467ED">
        <w:rPr>
          <w:rFonts w:cs="Times New Roman"/>
          <w:szCs w:val="24"/>
          <w:lang w:eastAsia="ru-RU"/>
        </w:rPr>
        <w:t xml:space="preserve"> </w:t>
      </w:r>
      <w:r>
        <w:rPr>
          <w:rFonts w:cs="Times New Roman"/>
          <w:szCs w:val="24"/>
          <w:lang w:eastAsia="ru-RU"/>
        </w:rPr>
        <w:t>ОКС\1.</w:t>
      </w:r>
      <w:r w:rsidR="00042D69">
        <w:rPr>
          <w:rFonts w:cs="Times New Roman"/>
          <w:szCs w:val="24"/>
          <w:lang w:eastAsia="ru-RU"/>
        </w:rPr>
        <w:t>4</w:t>
      </w:r>
      <w:r>
        <w:rPr>
          <w:rFonts w:cs="Times New Roman"/>
          <w:szCs w:val="24"/>
          <w:lang w:eastAsia="ru-RU"/>
        </w:rPr>
        <w:t xml:space="preserve"> Исходны</w:t>
      </w:r>
      <w:r w:rsidR="00042D69">
        <w:rPr>
          <w:rFonts w:cs="Times New Roman"/>
          <w:szCs w:val="24"/>
          <w:lang w:eastAsia="ru-RU"/>
        </w:rPr>
        <w:t>е данные для определения ЦФ\1.4.2 Ответы\1.4.2.1 Администрации МО\1.4</w:t>
      </w:r>
      <w:r>
        <w:rPr>
          <w:rFonts w:cs="Times New Roman"/>
          <w:szCs w:val="24"/>
          <w:lang w:eastAsia="ru-RU"/>
        </w:rPr>
        <w:t xml:space="preserve">.2.1.1 ЦФ ГНП </w:t>
      </w:r>
    </w:p>
    <w:p w14:paraId="50CBB6DB" w14:textId="77777777" w:rsidR="00874C1F" w:rsidRDefault="00874C1F" w:rsidP="00874C1F">
      <w:pPr>
        <w:ind w:firstLine="709"/>
        <w:rPr>
          <w:rFonts w:cs="Times New Roman"/>
          <w:szCs w:val="24"/>
          <w:lang w:eastAsia="ru-RU"/>
        </w:rPr>
      </w:pPr>
      <w:r>
        <w:rPr>
          <w:rFonts w:cs="Times New Roman"/>
          <w:szCs w:val="24"/>
          <w:lang w:eastAsia="ru-RU"/>
        </w:rPr>
        <w:t>Для наиболее полного учета сведений о рынке объектов недвижимости, в том числе о состоянии рынка объектов недвижимости, а также о ценах сделок (предложений) с объектами недвижимости, включая информацию о факторах, влияющих на цены и объем сделок (предложений) ГБУ РС(Я) «Центр государственной кадастровой оценки» собраны информации из местных (районных) СМИ.</w:t>
      </w:r>
    </w:p>
    <w:p w14:paraId="3232DF94" w14:textId="525E7493" w:rsidR="00874C1F" w:rsidRDefault="006C45D3" w:rsidP="00874C1F">
      <w:pPr>
        <w:ind w:firstLine="709"/>
        <w:rPr>
          <w:rFonts w:cs="Times New Roman"/>
          <w:szCs w:val="24"/>
          <w:lang w:eastAsia="ru-RU"/>
        </w:rPr>
      </w:pPr>
      <w:r>
        <w:rPr>
          <w:rFonts w:cs="Times New Roman"/>
          <w:szCs w:val="24"/>
          <w:lang w:eastAsia="ru-RU"/>
        </w:rPr>
        <w:t>П</w:t>
      </w:r>
      <w:r w:rsidR="00874C1F">
        <w:rPr>
          <w:rFonts w:cs="Times New Roman"/>
          <w:szCs w:val="24"/>
          <w:lang w:eastAsia="ru-RU"/>
        </w:rPr>
        <w:t>о запросу ГБУ от 09.01.2019 г. № 01/01-55</w:t>
      </w:r>
      <w:r w:rsidR="00DA6018">
        <w:rPr>
          <w:rFonts w:cs="Times New Roman"/>
          <w:szCs w:val="24"/>
          <w:lang w:eastAsia="ru-RU"/>
        </w:rPr>
        <w:t xml:space="preserve"> </w:t>
      </w:r>
      <w:r w:rsidR="00874C1F">
        <w:rPr>
          <w:rFonts w:cs="Times New Roman"/>
          <w:szCs w:val="24"/>
          <w:lang w:eastAsia="ru-RU"/>
        </w:rPr>
        <w:t>Управление Росреестра по Республике Саха (Якутия) предоставила информацию по сделкам №18-12.1/00254-19 от 17.01.2019 г. Период зарегистрированных сделок с 01.01.2016 г по 15.08.2018г., всего предоставлено сделок - 77901, в т.ч. по объектам недвижимости за исключением земельных участков в количестве – 57352. (Жилой дом- 8481; Квартира – 41088; Комната – 1334; Нежилое здание – 3487; Нежилое помещение -2643; Сооружение – 319)</w:t>
      </w:r>
    </w:p>
    <w:p w14:paraId="64B7F972" w14:textId="2D4CDBB5" w:rsidR="00874C1F" w:rsidRDefault="00874C1F" w:rsidP="00874C1F">
      <w:pPr>
        <w:ind w:firstLine="709"/>
        <w:rPr>
          <w:rFonts w:cs="Times New Roman"/>
          <w:szCs w:val="24"/>
          <w:lang w:eastAsia="ru-RU"/>
        </w:rPr>
      </w:pPr>
      <w:r>
        <w:rPr>
          <w:rFonts w:cs="Times New Roman"/>
          <w:szCs w:val="24"/>
          <w:lang w:eastAsia="ru-RU"/>
        </w:rPr>
        <w:t>В рамках к проведению государственной кадастровой оценки ГБУ РС(Я) «Центр государственной кадастровой оценки» и ООО «ИТИС-Групп» подписали договор №35 от 22.04.2019г. по предоставлении доступа к базе данных (</w:t>
      </w:r>
      <w:r w:rsidR="00F4217A">
        <w:rPr>
          <w:rFonts w:cs="Times New Roman"/>
          <w:szCs w:val="24"/>
          <w:lang w:eastAsia="ru-RU"/>
        </w:rPr>
        <w:t>риелтор</w:t>
      </w:r>
      <w:r>
        <w:rPr>
          <w:rFonts w:cs="Times New Roman"/>
          <w:szCs w:val="24"/>
          <w:lang w:eastAsia="ru-RU"/>
        </w:rPr>
        <w:t xml:space="preserve">ская база данных по г.Якутск и прилегающих территорий) ООО «ИТИС-Групп» - лидер по сбору информации по предложениям г.Якутск и прилегающих территорий. Из </w:t>
      </w:r>
      <w:r w:rsidR="00F4217A">
        <w:rPr>
          <w:rFonts w:cs="Times New Roman"/>
          <w:szCs w:val="24"/>
          <w:lang w:eastAsia="ru-RU"/>
        </w:rPr>
        <w:t>риелтор</w:t>
      </w:r>
      <w:r>
        <w:rPr>
          <w:rFonts w:cs="Times New Roman"/>
          <w:szCs w:val="24"/>
          <w:lang w:eastAsia="ru-RU"/>
        </w:rPr>
        <w:t xml:space="preserve">ской базы данных </w:t>
      </w:r>
      <w:r w:rsidR="00DA6018">
        <w:rPr>
          <w:rFonts w:cs="Times New Roman"/>
          <w:szCs w:val="24"/>
          <w:lang w:eastAsia="ru-RU"/>
        </w:rPr>
        <w:t>н</w:t>
      </w:r>
      <w:r>
        <w:rPr>
          <w:rFonts w:cs="Times New Roman"/>
          <w:szCs w:val="24"/>
          <w:lang w:eastAsia="ru-RU"/>
        </w:rPr>
        <w:t>а 01.01.2019г. предоставлены сведения по предложениям 6552 объектам, в т.ч. по объектам недвижимости за исключением земельных участков – 5624 объекта (Квартиры- 4588; Жилые дома – 733; Нежилые помещения -303).</w:t>
      </w:r>
    </w:p>
    <w:p w14:paraId="15D1969D" w14:textId="5D27DFC3" w:rsidR="00874C1F" w:rsidRDefault="00874C1F" w:rsidP="00874C1F">
      <w:pPr>
        <w:ind w:firstLine="709"/>
        <w:rPr>
          <w:rFonts w:cs="Times New Roman"/>
          <w:szCs w:val="24"/>
          <w:lang w:eastAsia="ru-RU"/>
        </w:rPr>
      </w:pPr>
      <w:r>
        <w:rPr>
          <w:rFonts w:cs="Times New Roman"/>
          <w:szCs w:val="24"/>
          <w:lang w:eastAsia="ru-RU"/>
        </w:rPr>
        <w:t xml:space="preserve">На запрос ГБУ РС(Я) №212/01-55 от 28.02.2019г. Комиссия по рассмотрению </w:t>
      </w:r>
      <w:r w:rsidR="007F77FC">
        <w:rPr>
          <w:rFonts w:cs="Times New Roman"/>
          <w:szCs w:val="24"/>
          <w:lang w:eastAsia="ru-RU"/>
        </w:rPr>
        <w:t xml:space="preserve">споров о результатах определения </w:t>
      </w:r>
      <w:r>
        <w:rPr>
          <w:rFonts w:cs="Times New Roman"/>
          <w:szCs w:val="24"/>
          <w:lang w:eastAsia="ru-RU"/>
        </w:rPr>
        <w:t>кадастровой стоимости при Управлении Росреестра по РС(Я) предоставила информацию по рассмотренным делам с 2012 по 2018г</w:t>
      </w:r>
      <w:r w:rsidR="006C45D3">
        <w:rPr>
          <w:rFonts w:cs="Times New Roman"/>
          <w:szCs w:val="24"/>
          <w:lang w:eastAsia="ru-RU"/>
        </w:rPr>
        <w:t>г</w:t>
      </w:r>
      <w:r>
        <w:rPr>
          <w:rFonts w:cs="Times New Roman"/>
          <w:szCs w:val="24"/>
          <w:lang w:eastAsia="ru-RU"/>
        </w:rPr>
        <w:t xml:space="preserve">.  22 объекта оценки, в т.ч.14 зданий и 8 помещений. </w:t>
      </w:r>
    </w:p>
    <w:p w14:paraId="248BCA32" w14:textId="51C4D54A" w:rsidR="00874C1F" w:rsidRDefault="00874C1F" w:rsidP="00874C1F">
      <w:pPr>
        <w:ind w:firstLine="709"/>
        <w:rPr>
          <w:rFonts w:cs="Times New Roman"/>
          <w:szCs w:val="24"/>
          <w:lang w:eastAsia="ru-RU"/>
        </w:rPr>
      </w:pPr>
      <w:r>
        <w:rPr>
          <w:rFonts w:cs="Times New Roman"/>
          <w:szCs w:val="24"/>
          <w:lang w:eastAsia="ru-RU"/>
        </w:rPr>
        <w:t>По итогам рассмотрения Комиссии по рассмотрению</w:t>
      </w:r>
      <w:r w:rsidR="007F77FC">
        <w:rPr>
          <w:rFonts w:cs="Times New Roman"/>
          <w:szCs w:val="24"/>
          <w:lang w:eastAsia="ru-RU"/>
        </w:rPr>
        <w:t xml:space="preserve"> </w:t>
      </w:r>
      <w:r w:rsidR="006C45D3">
        <w:rPr>
          <w:rFonts w:cs="Times New Roman"/>
          <w:szCs w:val="24"/>
          <w:lang w:eastAsia="ru-RU"/>
        </w:rPr>
        <w:t>споров о результатах определения</w:t>
      </w:r>
      <w:r>
        <w:rPr>
          <w:rFonts w:cs="Times New Roman"/>
          <w:szCs w:val="24"/>
          <w:lang w:eastAsia="ru-RU"/>
        </w:rPr>
        <w:t xml:space="preserve"> кадастровой стоимости при Управлении Росреестра по РС(Я) принято решение: на уменьшение </w:t>
      </w:r>
      <w:r w:rsidR="006C45D3">
        <w:rPr>
          <w:rFonts w:cs="Times New Roman"/>
          <w:szCs w:val="24"/>
          <w:lang w:eastAsia="ru-RU"/>
        </w:rPr>
        <w:t xml:space="preserve">кадастровой </w:t>
      </w:r>
      <w:r>
        <w:rPr>
          <w:rFonts w:cs="Times New Roman"/>
          <w:szCs w:val="24"/>
          <w:lang w:eastAsia="ru-RU"/>
        </w:rPr>
        <w:t xml:space="preserve">стоимости </w:t>
      </w:r>
      <w:r w:rsidR="006C45D3">
        <w:rPr>
          <w:rFonts w:cs="Times New Roman"/>
          <w:szCs w:val="24"/>
          <w:lang w:eastAsia="ru-RU"/>
        </w:rPr>
        <w:t>по</w:t>
      </w:r>
      <w:r>
        <w:rPr>
          <w:rFonts w:cs="Times New Roman"/>
          <w:szCs w:val="24"/>
          <w:lang w:eastAsia="ru-RU"/>
        </w:rPr>
        <w:t xml:space="preserve"> зданиям -11 объектов, 1- на увеличение и 2 стоимости остались без изменения, по помещениям – 8 объектов на уменьшение кадастровой стоимости.</w:t>
      </w:r>
      <w:r w:rsidR="006C45D3">
        <w:rPr>
          <w:rFonts w:cs="Times New Roman"/>
          <w:szCs w:val="24"/>
          <w:lang w:eastAsia="ru-RU"/>
        </w:rPr>
        <w:t xml:space="preserve"> </w:t>
      </w:r>
    </w:p>
    <w:p w14:paraId="1220FD14" w14:textId="5D2ABD8D" w:rsidR="00874C1F" w:rsidRDefault="00874C1F" w:rsidP="00874C1F">
      <w:pPr>
        <w:ind w:firstLine="709"/>
        <w:rPr>
          <w:rFonts w:cs="Times New Roman"/>
          <w:szCs w:val="24"/>
          <w:lang w:eastAsia="ru-RU"/>
        </w:rPr>
      </w:pPr>
      <w:r>
        <w:rPr>
          <w:rFonts w:cs="Times New Roman"/>
          <w:szCs w:val="24"/>
          <w:lang w:eastAsia="ru-RU"/>
        </w:rPr>
        <w:t>По ответам Верховного суда №3-г-898/19 от 25.04.2019 и Арбитражного суда №ОСПИ-18/271 от 26.04.2019</w:t>
      </w:r>
      <w:r w:rsidR="007F77FC">
        <w:rPr>
          <w:rFonts w:cs="Times New Roman"/>
          <w:szCs w:val="24"/>
          <w:lang w:eastAsia="ru-RU"/>
        </w:rPr>
        <w:t xml:space="preserve"> отсутствуют</w:t>
      </w:r>
      <w:r>
        <w:rPr>
          <w:rFonts w:cs="Times New Roman"/>
          <w:szCs w:val="24"/>
          <w:lang w:eastAsia="ru-RU"/>
        </w:rPr>
        <w:t xml:space="preserve"> дела по искам о пересмотре итогов кадастровой стоимости объектов недвижимости за исключением земельных участков. </w:t>
      </w:r>
    </w:p>
    <w:p w14:paraId="1E0B48DB" w14:textId="39DA6B4E" w:rsidR="00874C1F" w:rsidRDefault="00874C1F" w:rsidP="00874C1F">
      <w:pPr>
        <w:ind w:firstLine="709"/>
        <w:rPr>
          <w:rFonts w:cs="Times New Roman"/>
          <w:szCs w:val="24"/>
          <w:lang w:eastAsia="ru-RU"/>
        </w:rPr>
      </w:pPr>
      <w:r>
        <w:rPr>
          <w:rFonts w:cs="Times New Roman"/>
          <w:szCs w:val="24"/>
          <w:lang w:eastAsia="ru-RU"/>
        </w:rPr>
        <w:t>Сводная информация о направленных письмах представлена в таблице ниже.</w:t>
      </w:r>
    </w:p>
    <w:p w14:paraId="0B5357B8" w14:textId="77777777" w:rsidR="00CF3422" w:rsidRDefault="00CF3422" w:rsidP="00874C1F">
      <w:pPr>
        <w:ind w:firstLine="709"/>
        <w:rPr>
          <w:rFonts w:cs="Times New Roman"/>
          <w:szCs w:val="24"/>
          <w:lang w:eastAsia="ru-RU"/>
        </w:rPr>
      </w:pPr>
    </w:p>
    <w:p w14:paraId="31F6CB58" w14:textId="0A43C36F" w:rsidR="00874C1F" w:rsidRDefault="00CF3422" w:rsidP="00763AD2">
      <w:pPr>
        <w:pStyle w:val="afffffff0"/>
      </w:pPr>
      <w:r>
        <w:t xml:space="preserve">Таблица </w:t>
      </w:r>
      <w:r w:rsidR="00A90944">
        <w:fldChar w:fldCharType="begin"/>
      </w:r>
      <w:r w:rsidR="00A90944">
        <w:instrText xml:space="preserve"> SEQ Таблица \* ARABIC </w:instrText>
      </w:r>
      <w:r w:rsidR="00A90944">
        <w:fldChar w:fldCharType="separate"/>
      </w:r>
      <w:r w:rsidR="00FD2769">
        <w:rPr>
          <w:noProof/>
        </w:rPr>
        <w:t>20</w:t>
      </w:r>
      <w:r w:rsidR="00A90944">
        <w:rPr>
          <w:noProof/>
        </w:rPr>
        <w:fldChar w:fldCharType="end"/>
      </w:r>
      <w:r w:rsidR="00874C1F">
        <w:t xml:space="preserve"> Письма о предоставлении информации</w:t>
      </w:r>
    </w:p>
    <w:tbl>
      <w:tblPr>
        <w:tblW w:w="9352" w:type="dxa"/>
        <w:tblLayout w:type="fixed"/>
        <w:tblLook w:val="0480" w:firstRow="0" w:lastRow="0" w:firstColumn="1" w:lastColumn="0" w:noHBand="0" w:noVBand="1"/>
      </w:tblPr>
      <w:tblGrid>
        <w:gridCol w:w="562"/>
        <w:gridCol w:w="1380"/>
        <w:gridCol w:w="2367"/>
        <w:gridCol w:w="2065"/>
        <w:gridCol w:w="1276"/>
        <w:gridCol w:w="1702"/>
      </w:tblGrid>
      <w:tr w:rsidR="00874C1F" w:rsidRPr="00E07359" w14:paraId="5F0675DA" w14:textId="77777777" w:rsidTr="005376A2">
        <w:trPr>
          <w:trHeight w:val="20"/>
          <w:tblHeader/>
        </w:trPr>
        <w:tc>
          <w:tcPr>
            <w:tcW w:w="56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3E3BFA1" w14:textId="3887F17D" w:rsidR="00874C1F" w:rsidRPr="00E07359" w:rsidRDefault="00874C1F" w:rsidP="001D4D31">
            <w:pPr>
              <w:jc w:val="center"/>
              <w:rPr>
                <w:rFonts w:cs="Times New Roman"/>
                <w:b/>
                <w:i/>
                <w:sz w:val="20"/>
                <w:szCs w:val="20"/>
                <w:lang w:eastAsia="ru-RU"/>
              </w:rPr>
            </w:pPr>
            <w:r w:rsidRPr="00E07359">
              <w:rPr>
                <w:rFonts w:cs="Times New Roman"/>
                <w:b/>
                <w:i/>
                <w:sz w:val="20"/>
                <w:szCs w:val="20"/>
                <w:lang w:eastAsia="ru-RU"/>
              </w:rPr>
              <w:t xml:space="preserve"> п/п</w:t>
            </w:r>
          </w:p>
        </w:tc>
        <w:tc>
          <w:tcPr>
            <w:tcW w:w="1380" w:type="dxa"/>
            <w:tcBorders>
              <w:top w:val="single" w:sz="4" w:space="0" w:color="auto"/>
              <w:left w:val="nil"/>
              <w:bottom w:val="single" w:sz="4" w:space="0" w:color="auto"/>
              <w:right w:val="single" w:sz="4" w:space="0" w:color="auto"/>
            </w:tcBorders>
            <w:shd w:val="clear" w:color="auto" w:fill="BFBFBF" w:themeFill="background1" w:themeFillShade="BF"/>
            <w:vAlign w:val="center"/>
            <w:hideMark/>
          </w:tcPr>
          <w:p w14:paraId="333B5EB7" w14:textId="77777777" w:rsidR="00874C1F" w:rsidRPr="00E07359" w:rsidRDefault="00874C1F" w:rsidP="001D4D31">
            <w:pPr>
              <w:ind w:firstLine="0"/>
              <w:jc w:val="center"/>
              <w:rPr>
                <w:rFonts w:cs="Times New Roman"/>
                <w:b/>
                <w:i/>
                <w:sz w:val="20"/>
                <w:szCs w:val="20"/>
                <w:lang w:eastAsia="ru-RU"/>
              </w:rPr>
            </w:pPr>
            <w:r w:rsidRPr="00E07359">
              <w:rPr>
                <w:rFonts w:cs="Times New Roman"/>
                <w:b/>
                <w:i/>
                <w:sz w:val="20"/>
                <w:szCs w:val="20"/>
                <w:lang w:eastAsia="ru-RU"/>
              </w:rPr>
              <w:t>Реквизиты запроса информации</w:t>
            </w:r>
          </w:p>
        </w:tc>
        <w:tc>
          <w:tcPr>
            <w:tcW w:w="2367" w:type="dxa"/>
            <w:tcBorders>
              <w:top w:val="single" w:sz="4" w:space="0" w:color="auto"/>
              <w:left w:val="nil"/>
              <w:bottom w:val="single" w:sz="4" w:space="0" w:color="auto"/>
              <w:right w:val="single" w:sz="4" w:space="0" w:color="auto"/>
            </w:tcBorders>
            <w:shd w:val="clear" w:color="auto" w:fill="BFBFBF" w:themeFill="background1" w:themeFillShade="BF"/>
            <w:vAlign w:val="center"/>
            <w:hideMark/>
          </w:tcPr>
          <w:p w14:paraId="07AD5EC3" w14:textId="77777777" w:rsidR="00874C1F" w:rsidRPr="00E07359" w:rsidRDefault="00874C1F" w:rsidP="001D4D31">
            <w:pPr>
              <w:ind w:hanging="9"/>
              <w:jc w:val="center"/>
              <w:rPr>
                <w:rFonts w:cs="Times New Roman"/>
                <w:b/>
                <w:i/>
                <w:sz w:val="20"/>
                <w:szCs w:val="20"/>
                <w:lang w:eastAsia="ru-RU"/>
              </w:rPr>
            </w:pPr>
            <w:r w:rsidRPr="00E07359">
              <w:rPr>
                <w:rFonts w:cs="Times New Roman"/>
                <w:b/>
                <w:i/>
                <w:sz w:val="20"/>
                <w:szCs w:val="20"/>
                <w:lang w:eastAsia="ru-RU"/>
              </w:rPr>
              <w:t>Краткое наименование запрашиваемых сведений</w:t>
            </w:r>
          </w:p>
        </w:tc>
        <w:tc>
          <w:tcPr>
            <w:tcW w:w="2065" w:type="dxa"/>
            <w:tcBorders>
              <w:top w:val="single" w:sz="4" w:space="0" w:color="auto"/>
              <w:left w:val="nil"/>
              <w:bottom w:val="single" w:sz="4" w:space="0" w:color="auto"/>
              <w:right w:val="single" w:sz="4" w:space="0" w:color="auto"/>
            </w:tcBorders>
            <w:shd w:val="clear" w:color="auto" w:fill="BFBFBF" w:themeFill="background1" w:themeFillShade="BF"/>
            <w:vAlign w:val="center"/>
            <w:hideMark/>
          </w:tcPr>
          <w:p w14:paraId="21190EDF" w14:textId="77777777" w:rsidR="00874C1F" w:rsidRPr="00E07359" w:rsidRDefault="00874C1F" w:rsidP="001D4D31">
            <w:pPr>
              <w:ind w:firstLine="0"/>
              <w:jc w:val="center"/>
              <w:rPr>
                <w:rFonts w:cs="Times New Roman"/>
                <w:b/>
                <w:i/>
                <w:sz w:val="20"/>
                <w:szCs w:val="20"/>
                <w:lang w:eastAsia="ru-RU"/>
              </w:rPr>
            </w:pPr>
            <w:r w:rsidRPr="00E07359">
              <w:rPr>
                <w:rFonts w:cs="Times New Roman"/>
                <w:b/>
                <w:i/>
                <w:sz w:val="20"/>
                <w:szCs w:val="20"/>
                <w:lang w:eastAsia="ru-RU"/>
              </w:rPr>
              <w:t>Источник информации</w:t>
            </w:r>
          </w:p>
        </w:tc>
        <w:tc>
          <w:tcPr>
            <w:tcW w:w="1276" w:type="dxa"/>
            <w:tcBorders>
              <w:top w:val="single" w:sz="4" w:space="0" w:color="auto"/>
              <w:left w:val="nil"/>
              <w:bottom w:val="single" w:sz="4" w:space="0" w:color="auto"/>
              <w:right w:val="single" w:sz="4" w:space="0" w:color="auto"/>
            </w:tcBorders>
            <w:shd w:val="clear" w:color="auto" w:fill="BFBFBF" w:themeFill="background1" w:themeFillShade="BF"/>
            <w:vAlign w:val="center"/>
            <w:hideMark/>
          </w:tcPr>
          <w:p w14:paraId="595C450C" w14:textId="77777777" w:rsidR="00874C1F" w:rsidRPr="00E07359" w:rsidRDefault="00874C1F" w:rsidP="001D4D31">
            <w:pPr>
              <w:ind w:firstLine="0"/>
              <w:jc w:val="center"/>
              <w:rPr>
                <w:rFonts w:cs="Times New Roman"/>
                <w:b/>
                <w:i/>
                <w:sz w:val="20"/>
                <w:szCs w:val="20"/>
                <w:lang w:eastAsia="ru-RU"/>
              </w:rPr>
            </w:pPr>
            <w:r w:rsidRPr="00E07359">
              <w:rPr>
                <w:rFonts w:cs="Times New Roman"/>
                <w:b/>
                <w:i/>
                <w:sz w:val="20"/>
                <w:szCs w:val="20"/>
                <w:lang w:eastAsia="ru-RU"/>
              </w:rPr>
              <w:t>Статус</w:t>
            </w:r>
          </w:p>
        </w:tc>
        <w:tc>
          <w:tcPr>
            <w:tcW w:w="1702" w:type="dxa"/>
            <w:tcBorders>
              <w:top w:val="single" w:sz="4" w:space="0" w:color="auto"/>
              <w:left w:val="nil"/>
              <w:bottom w:val="single" w:sz="4" w:space="0" w:color="auto"/>
              <w:right w:val="single" w:sz="4" w:space="0" w:color="auto"/>
            </w:tcBorders>
            <w:shd w:val="clear" w:color="auto" w:fill="BFBFBF" w:themeFill="background1" w:themeFillShade="BF"/>
            <w:vAlign w:val="center"/>
            <w:hideMark/>
          </w:tcPr>
          <w:p w14:paraId="43D1B480" w14:textId="77777777" w:rsidR="00874C1F" w:rsidRPr="00E07359" w:rsidRDefault="00874C1F" w:rsidP="001D4D31">
            <w:pPr>
              <w:ind w:firstLine="0"/>
              <w:jc w:val="center"/>
              <w:rPr>
                <w:rFonts w:cs="Times New Roman"/>
                <w:b/>
                <w:i/>
                <w:sz w:val="20"/>
                <w:szCs w:val="20"/>
                <w:lang w:eastAsia="ru-RU"/>
              </w:rPr>
            </w:pPr>
            <w:r w:rsidRPr="00E07359">
              <w:rPr>
                <w:rFonts w:cs="Times New Roman"/>
                <w:b/>
                <w:i/>
                <w:sz w:val="20"/>
                <w:szCs w:val="20"/>
                <w:lang w:eastAsia="ru-RU"/>
              </w:rPr>
              <w:t>Реквизиты документа о предоставлении информации</w:t>
            </w:r>
          </w:p>
        </w:tc>
      </w:tr>
      <w:tr w:rsidR="00874C1F" w:rsidRPr="00E07359" w14:paraId="7B7EC2B8" w14:textId="77777777" w:rsidTr="005376A2">
        <w:trPr>
          <w:trHeight w:val="20"/>
        </w:trPr>
        <w:tc>
          <w:tcPr>
            <w:tcW w:w="562" w:type="dxa"/>
            <w:tcBorders>
              <w:top w:val="nil"/>
              <w:left w:val="single" w:sz="4" w:space="0" w:color="auto"/>
              <w:bottom w:val="single" w:sz="4" w:space="0" w:color="auto"/>
              <w:right w:val="single" w:sz="4" w:space="0" w:color="auto"/>
            </w:tcBorders>
            <w:shd w:val="clear" w:color="auto" w:fill="FFFFFF"/>
            <w:vAlign w:val="center"/>
            <w:hideMark/>
          </w:tcPr>
          <w:p w14:paraId="15E426DB" w14:textId="7C74B026" w:rsidR="00874C1F" w:rsidRPr="00E07359" w:rsidRDefault="00974955">
            <w:pPr>
              <w:rPr>
                <w:rFonts w:cs="Times New Roman"/>
                <w:sz w:val="20"/>
                <w:szCs w:val="20"/>
                <w:lang w:eastAsia="ru-RU"/>
              </w:rPr>
            </w:pPr>
            <w:r w:rsidRPr="00E07359">
              <w:rPr>
                <w:rFonts w:cs="Times New Roman"/>
                <w:sz w:val="20"/>
                <w:szCs w:val="20"/>
                <w:lang w:eastAsia="ru-RU"/>
              </w:rPr>
              <w:t>1</w:t>
            </w:r>
            <w:r w:rsidR="00874C1F" w:rsidRPr="00E07359">
              <w:rPr>
                <w:rFonts w:cs="Times New Roman"/>
                <w:sz w:val="20"/>
                <w:szCs w:val="20"/>
                <w:lang w:eastAsia="ru-RU"/>
              </w:rPr>
              <w:t>1</w:t>
            </w:r>
          </w:p>
        </w:tc>
        <w:tc>
          <w:tcPr>
            <w:tcW w:w="1380" w:type="dxa"/>
            <w:tcBorders>
              <w:top w:val="nil"/>
              <w:left w:val="nil"/>
              <w:bottom w:val="single" w:sz="4" w:space="0" w:color="auto"/>
              <w:right w:val="single" w:sz="4" w:space="0" w:color="auto"/>
            </w:tcBorders>
            <w:shd w:val="clear" w:color="auto" w:fill="FFFFFF"/>
            <w:vAlign w:val="center"/>
            <w:hideMark/>
          </w:tcPr>
          <w:p w14:paraId="6CB3604B" w14:textId="77777777" w:rsidR="00874C1F" w:rsidRPr="00E07359" w:rsidRDefault="00874C1F" w:rsidP="00974955">
            <w:pPr>
              <w:ind w:firstLine="0"/>
              <w:rPr>
                <w:rFonts w:cs="Times New Roman"/>
                <w:sz w:val="20"/>
                <w:szCs w:val="20"/>
                <w:lang w:eastAsia="ru-RU"/>
              </w:rPr>
            </w:pPr>
            <w:r w:rsidRPr="00E07359">
              <w:rPr>
                <w:rFonts w:cs="Times New Roman"/>
                <w:sz w:val="20"/>
                <w:szCs w:val="20"/>
                <w:lang w:eastAsia="ru-RU"/>
              </w:rPr>
              <w:t>№14-01-55 от 22.01.2019</w:t>
            </w:r>
          </w:p>
        </w:tc>
        <w:tc>
          <w:tcPr>
            <w:tcW w:w="2367" w:type="dxa"/>
            <w:tcBorders>
              <w:top w:val="nil"/>
              <w:left w:val="nil"/>
              <w:bottom w:val="single" w:sz="4" w:space="0" w:color="auto"/>
              <w:right w:val="single" w:sz="4" w:space="0" w:color="auto"/>
            </w:tcBorders>
            <w:shd w:val="clear" w:color="auto" w:fill="FFFFFF"/>
            <w:vAlign w:val="center"/>
            <w:hideMark/>
          </w:tcPr>
          <w:p w14:paraId="38821B0D" w14:textId="77777777" w:rsidR="00874C1F" w:rsidRPr="00E07359" w:rsidRDefault="00874C1F" w:rsidP="00974955">
            <w:pPr>
              <w:ind w:firstLine="0"/>
              <w:rPr>
                <w:rFonts w:cs="Times New Roman"/>
                <w:sz w:val="20"/>
                <w:szCs w:val="20"/>
                <w:lang w:eastAsia="ru-RU"/>
              </w:rPr>
            </w:pPr>
            <w:r w:rsidRPr="00E07359">
              <w:rPr>
                <w:rFonts w:cs="Times New Roman"/>
                <w:sz w:val="20"/>
                <w:szCs w:val="20"/>
                <w:lang w:eastAsia="ru-RU"/>
              </w:rPr>
              <w:t>Согласование ценовых факторов по СНП</w:t>
            </w:r>
          </w:p>
        </w:tc>
        <w:tc>
          <w:tcPr>
            <w:tcW w:w="2065" w:type="dxa"/>
            <w:tcBorders>
              <w:top w:val="nil"/>
              <w:left w:val="nil"/>
              <w:bottom w:val="single" w:sz="4" w:space="0" w:color="auto"/>
              <w:right w:val="single" w:sz="4" w:space="0" w:color="auto"/>
            </w:tcBorders>
            <w:shd w:val="clear" w:color="auto" w:fill="FFFFFF"/>
            <w:vAlign w:val="center"/>
            <w:hideMark/>
          </w:tcPr>
          <w:p w14:paraId="72549AA9" w14:textId="77777777" w:rsidR="00874C1F" w:rsidRPr="00E07359" w:rsidRDefault="00874C1F" w:rsidP="00974955">
            <w:pPr>
              <w:ind w:firstLine="0"/>
              <w:rPr>
                <w:rFonts w:cs="Times New Roman"/>
                <w:sz w:val="20"/>
                <w:szCs w:val="20"/>
                <w:lang w:eastAsia="ru-RU"/>
              </w:rPr>
            </w:pPr>
            <w:r w:rsidRPr="00E07359">
              <w:rPr>
                <w:rFonts w:cs="Times New Roman"/>
                <w:sz w:val="20"/>
                <w:szCs w:val="20"/>
                <w:lang w:eastAsia="ru-RU"/>
              </w:rPr>
              <w:t>Администрации МО и ГО</w:t>
            </w:r>
          </w:p>
        </w:tc>
        <w:tc>
          <w:tcPr>
            <w:tcW w:w="1276" w:type="dxa"/>
            <w:tcBorders>
              <w:top w:val="nil"/>
              <w:left w:val="nil"/>
              <w:bottom w:val="single" w:sz="4" w:space="0" w:color="auto"/>
              <w:right w:val="single" w:sz="4" w:space="0" w:color="auto"/>
            </w:tcBorders>
            <w:shd w:val="clear" w:color="auto" w:fill="FFFFFF"/>
            <w:vAlign w:val="center"/>
            <w:hideMark/>
          </w:tcPr>
          <w:p w14:paraId="32BE368A" w14:textId="77777777" w:rsidR="00874C1F" w:rsidRPr="00E07359" w:rsidRDefault="00874C1F" w:rsidP="00974955">
            <w:pPr>
              <w:ind w:firstLine="0"/>
              <w:rPr>
                <w:rFonts w:cs="Times New Roman"/>
                <w:sz w:val="20"/>
                <w:szCs w:val="20"/>
                <w:lang w:eastAsia="ru-RU"/>
              </w:rPr>
            </w:pPr>
            <w:r w:rsidRPr="00E07359">
              <w:rPr>
                <w:rFonts w:cs="Times New Roman"/>
                <w:sz w:val="20"/>
                <w:szCs w:val="20"/>
                <w:lang w:eastAsia="ru-RU"/>
              </w:rPr>
              <w:t xml:space="preserve">ответы поступили </w:t>
            </w:r>
          </w:p>
        </w:tc>
        <w:tc>
          <w:tcPr>
            <w:tcW w:w="1702" w:type="dxa"/>
            <w:tcBorders>
              <w:top w:val="nil"/>
              <w:left w:val="nil"/>
              <w:bottom w:val="single" w:sz="4" w:space="0" w:color="auto"/>
              <w:right w:val="single" w:sz="4" w:space="0" w:color="auto"/>
            </w:tcBorders>
            <w:shd w:val="clear" w:color="auto" w:fill="FFFFFF"/>
            <w:vAlign w:val="center"/>
            <w:hideMark/>
          </w:tcPr>
          <w:p w14:paraId="463F0A66" w14:textId="062798F5" w:rsidR="00874C1F" w:rsidRPr="00E07359" w:rsidRDefault="00874C1F">
            <w:pPr>
              <w:rPr>
                <w:rFonts w:cs="Times New Roman"/>
                <w:sz w:val="20"/>
                <w:szCs w:val="20"/>
                <w:lang w:eastAsia="ru-RU"/>
              </w:rPr>
            </w:pPr>
            <w:r w:rsidRPr="00E07359">
              <w:rPr>
                <w:rFonts w:cs="Times New Roman"/>
                <w:sz w:val="20"/>
                <w:szCs w:val="20"/>
                <w:lang w:eastAsia="ru-RU"/>
              </w:rPr>
              <w:t xml:space="preserve">...\ГКО ОКС\1.6 Исходные данные для определения </w:t>
            </w:r>
            <w:r w:rsidR="00974955" w:rsidRPr="00E07359">
              <w:rPr>
                <w:rFonts w:cs="Times New Roman"/>
                <w:sz w:val="20"/>
                <w:szCs w:val="20"/>
                <w:lang w:eastAsia="ru-RU"/>
              </w:rPr>
              <w:t>2</w:t>
            </w:r>
            <w:r w:rsidRPr="00E07359">
              <w:rPr>
                <w:rFonts w:cs="Times New Roman"/>
                <w:sz w:val="20"/>
                <w:szCs w:val="20"/>
                <w:lang w:eastAsia="ru-RU"/>
              </w:rPr>
              <w:t>ЦФ\1.6.2 Ответы\1.6.2.1 Администрации МО\1.6.2.1.2 ЦФ СНП.</w:t>
            </w:r>
          </w:p>
        </w:tc>
      </w:tr>
      <w:tr w:rsidR="00874C1F" w:rsidRPr="00E07359" w14:paraId="6F7F1537" w14:textId="77777777" w:rsidTr="005376A2">
        <w:trPr>
          <w:trHeight w:val="20"/>
        </w:trPr>
        <w:tc>
          <w:tcPr>
            <w:tcW w:w="562" w:type="dxa"/>
            <w:tcBorders>
              <w:top w:val="nil"/>
              <w:left w:val="single" w:sz="4" w:space="0" w:color="auto"/>
              <w:bottom w:val="single" w:sz="4" w:space="0" w:color="auto"/>
              <w:right w:val="single" w:sz="4" w:space="0" w:color="auto"/>
            </w:tcBorders>
            <w:shd w:val="clear" w:color="auto" w:fill="FFFFFF"/>
            <w:vAlign w:val="center"/>
            <w:hideMark/>
          </w:tcPr>
          <w:p w14:paraId="4900FA9D" w14:textId="470D5E2B" w:rsidR="00874C1F" w:rsidRPr="00E07359" w:rsidRDefault="00974955">
            <w:pPr>
              <w:rPr>
                <w:rFonts w:cs="Times New Roman"/>
                <w:sz w:val="20"/>
                <w:szCs w:val="20"/>
                <w:lang w:eastAsia="ru-RU"/>
              </w:rPr>
            </w:pPr>
            <w:r w:rsidRPr="00E07359">
              <w:rPr>
                <w:rFonts w:cs="Times New Roman"/>
                <w:sz w:val="20"/>
                <w:szCs w:val="20"/>
                <w:lang w:eastAsia="ru-RU"/>
              </w:rPr>
              <w:t>2</w:t>
            </w:r>
            <w:r w:rsidR="00874C1F" w:rsidRPr="00E07359">
              <w:rPr>
                <w:rFonts w:cs="Times New Roman"/>
                <w:sz w:val="20"/>
                <w:szCs w:val="20"/>
                <w:lang w:eastAsia="ru-RU"/>
              </w:rPr>
              <w:t>2</w:t>
            </w:r>
          </w:p>
        </w:tc>
        <w:tc>
          <w:tcPr>
            <w:tcW w:w="1380" w:type="dxa"/>
            <w:tcBorders>
              <w:top w:val="nil"/>
              <w:left w:val="nil"/>
              <w:bottom w:val="single" w:sz="4" w:space="0" w:color="auto"/>
              <w:right w:val="single" w:sz="4" w:space="0" w:color="auto"/>
            </w:tcBorders>
            <w:shd w:val="clear" w:color="auto" w:fill="FFFFFF"/>
            <w:vAlign w:val="center"/>
            <w:hideMark/>
          </w:tcPr>
          <w:p w14:paraId="459B36EC" w14:textId="77777777" w:rsidR="00874C1F" w:rsidRPr="00E07359" w:rsidRDefault="00874C1F" w:rsidP="00974955">
            <w:pPr>
              <w:ind w:firstLine="0"/>
              <w:rPr>
                <w:rFonts w:cs="Times New Roman"/>
                <w:sz w:val="20"/>
                <w:szCs w:val="20"/>
                <w:lang w:eastAsia="ru-RU"/>
              </w:rPr>
            </w:pPr>
            <w:r w:rsidRPr="00E07359">
              <w:rPr>
                <w:rFonts w:cs="Times New Roman"/>
                <w:sz w:val="20"/>
                <w:szCs w:val="20"/>
                <w:lang w:eastAsia="ru-RU"/>
              </w:rPr>
              <w:t>...\ГКО ОКС\1.6 Исходные данные для определения ЦФ\1.6.1 Запросы\1.6.2.1 Администрации МО\1.6.1.1.1 ЦФ ГНП</w:t>
            </w:r>
          </w:p>
        </w:tc>
        <w:tc>
          <w:tcPr>
            <w:tcW w:w="2367" w:type="dxa"/>
            <w:tcBorders>
              <w:top w:val="nil"/>
              <w:left w:val="nil"/>
              <w:bottom w:val="single" w:sz="4" w:space="0" w:color="auto"/>
              <w:right w:val="single" w:sz="4" w:space="0" w:color="auto"/>
            </w:tcBorders>
            <w:shd w:val="clear" w:color="auto" w:fill="FFFFFF"/>
            <w:vAlign w:val="center"/>
            <w:hideMark/>
          </w:tcPr>
          <w:p w14:paraId="6E96C610" w14:textId="77777777" w:rsidR="00874C1F" w:rsidRPr="00E07359" w:rsidRDefault="00874C1F" w:rsidP="00974955">
            <w:pPr>
              <w:ind w:firstLine="0"/>
              <w:rPr>
                <w:rFonts w:cs="Times New Roman"/>
                <w:sz w:val="20"/>
                <w:szCs w:val="20"/>
                <w:lang w:eastAsia="ru-RU"/>
              </w:rPr>
            </w:pPr>
            <w:r w:rsidRPr="00E07359">
              <w:rPr>
                <w:rFonts w:cs="Times New Roman"/>
                <w:sz w:val="20"/>
                <w:szCs w:val="20"/>
                <w:lang w:eastAsia="ru-RU"/>
              </w:rPr>
              <w:t>Согласование ценовых факторов по ГНП</w:t>
            </w:r>
          </w:p>
        </w:tc>
        <w:tc>
          <w:tcPr>
            <w:tcW w:w="2065" w:type="dxa"/>
            <w:tcBorders>
              <w:top w:val="nil"/>
              <w:left w:val="nil"/>
              <w:bottom w:val="single" w:sz="4" w:space="0" w:color="auto"/>
              <w:right w:val="single" w:sz="4" w:space="0" w:color="auto"/>
            </w:tcBorders>
            <w:shd w:val="clear" w:color="auto" w:fill="FFFFFF"/>
            <w:vAlign w:val="center"/>
            <w:hideMark/>
          </w:tcPr>
          <w:p w14:paraId="293934D9" w14:textId="77777777" w:rsidR="00874C1F" w:rsidRPr="00E07359" w:rsidRDefault="00874C1F" w:rsidP="00974955">
            <w:pPr>
              <w:ind w:firstLine="0"/>
              <w:rPr>
                <w:rFonts w:cs="Times New Roman"/>
                <w:sz w:val="20"/>
                <w:szCs w:val="20"/>
                <w:lang w:eastAsia="ru-RU"/>
              </w:rPr>
            </w:pPr>
            <w:r w:rsidRPr="00E07359">
              <w:rPr>
                <w:rFonts w:cs="Times New Roman"/>
                <w:sz w:val="20"/>
                <w:szCs w:val="20"/>
                <w:lang w:eastAsia="ru-RU"/>
              </w:rPr>
              <w:t>Администрации ГО</w:t>
            </w:r>
          </w:p>
        </w:tc>
        <w:tc>
          <w:tcPr>
            <w:tcW w:w="1276" w:type="dxa"/>
            <w:tcBorders>
              <w:top w:val="nil"/>
              <w:left w:val="nil"/>
              <w:bottom w:val="single" w:sz="4" w:space="0" w:color="auto"/>
              <w:right w:val="single" w:sz="4" w:space="0" w:color="auto"/>
            </w:tcBorders>
            <w:shd w:val="clear" w:color="auto" w:fill="FFFFFF"/>
            <w:vAlign w:val="center"/>
            <w:hideMark/>
          </w:tcPr>
          <w:p w14:paraId="12AD2501" w14:textId="77777777" w:rsidR="00874C1F" w:rsidRPr="00E07359" w:rsidRDefault="00874C1F" w:rsidP="00974955">
            <w:pPr>
              <w:ind w:firstLine="0"/>
              <w:rPr>
                <w:rFonts w:cs="Times New Roman"/>
                <w:sz w:val="20"/>
                <w:szCs w:val="20"/>
                <w:lang w:eastAsia="ru-RU"/>
              </w:rPr>
            </w:pPr>
            <w:r w:rsidRPr="00E07359">
              <w:rPr>
                <w:rFonts w:cs="Times New Roman"/>
                <w:sz w:val="20"/>
                <w:szCs w:val="20"/>
                <w:lang w:eastAsia="ru-RU"/>
              </w:rPr>
              <w:t>ответы поступили</w:t>
            </w:r>
          </w:p>
        </w:tc>
        <w:tc>
          <w:tcPr>
            <w:tcW w:w="1702" w:type="dxa"/>
            <w:tcBorders>
              <w:top w:val="nil"/>
              <w:left w:val="nil"/>
              <w:bottom w:val="single" w:sz="4" w:space="0" w:color="auto"/>
              <w:right w:val="single" w:sz="4" w:space="0" w:color="auto"/>
            </w:tcBorders>
            <w:shd w:val="clear" w:color="auto" w:fill="FFFFFF"/>
            <w:vAlign w:val="center"/>
            <w:hideMark/>
          </w:tcPr>
          <w:p w14:paraId="1771455F" w14:textId="77777777" w:rsidR="00874C1F" w:rsidRPr="00E07359" w:rsidRDefault="00874C1F">
            <w:pPr>
              <w:rPr>
                <w:rFonts w:cs="Times New Roman"/>
                <w:sz w:val="20"/>
                <w:szCs w:val="20"/>
                <w:lang w:eastAsia="ru-RU"/>
              </w:rPr>
            </w:pPr>
            <w:r w:rsidRPr="00E07359">
              <w:rPr>
                <w:rFonts w:cs="Times New Roman"/>
                <w:sz w:val="20"/>
                <w:szCs w:val="20"/>
                <w:lang w:eastAsia="ru-RU"/>
              </w:rPr>
              <w:t>-...\ГКО ОКС\1.6 Исходные данные для определения ЦФ\1.6.2 Ответы\1.6.2.1 Администрации МО\1.6.2.1.1 ЦФ ГНП</w:t>
            </w:r>
          </w:p>
        </w:tc>
      </w:tr>
      <w:tr w:rsidR="00874C1F" w:rsidRPr="00E07359" w14:paraId="65528DC4" w14:textId="77777777" w:rsidTr="005376A2">
        <w:trPr>
          <w:trHeight w:val="20"/>
        </w:trPr>
        <w:tc>
          <w:tcPr>
            <w:tcW w:w="562" w:type="dxa"/>
            <w:tcBorders>
              <w:top w:val="nil"/>
              <w:left w:val="single" w:sz="4" w:space="0" w:color="auto"/>
              <w:bottom w:val="single" w:sz="4" w:space="0" w:color="auto"/>
              <w:right w:val="single" w:sz="4" w:space="0" w:color="auto"/>
            </w:tcBorders>
            <w:shd w:val="clear" w:color="auto" w:fill="FFFFFF"/>
            <w:vAlign w:val="center"/>
            <w:hideMark/>
          </w:tcPr>
          <w:p w14:paraId="795DD8A9" w14:textId="77F2D117" w:rsidR="00874C1F" w:rsidRPr="00E07359" w:rsidRDefault="00974955">
            <w:pPr>
              <w:rPr>
                <w:rFonts w:cs="Times New Roman"/>
                <w:sz w:val="20"/>
                <w:szCs w:val="20"/>
                <w:lang w:eastAsia="ru-RU"/>
              </w:rPr>
            </w:pPr>
            <w:r w:rsidRPr="00E07359">
              <w:rPr>
                <w:rFonts w:cs="Times New Roman"/>
                <w:sz w:val="20"/>
                <w:szCs w:val="20"/>
                <w:lang w:eastAsia="ru-RU"/>
              </w:rPr>
              <w:t>2</w:t>
            </w:r>
            <w:r w:rsidR="00874C1F" w:rsidRPr="00E07359">
              <w:rPr>
                <w:rFonts w:cs="Times New Roman"/>
                <w:sz w:val="20"/>
                <w:szCs w:val="20"/>
                <w:lang w:eastAsia="ru-RU"/>
              </w:rPr>
              <w:t>3</w:t>
            </w:r>
          </w:p>
        </w:tc>
        <w:tc>
          <w:tcPr>
            <w:tcW w:w="1380" w:type="dxa"/>
            <w:tcBorders>
              <w:top w:val="nil"/>
              <w:left w:val="nil"/>
              <w:bottom w:val="single" w:sz="4" w:space="0" w:color="auto"/>
              <w:right w:val="single" w:sz="4" w:space="0" w:color="auto"/>
            </w:tcBorders>
            <w:shd w:val="clear" w:color="auto" w:fill="FFFFFF"/>
            <w:vAlign w:val="center"/>
            <w:hideMark/>
          </w:tcPr>
          <w:p w14:paraId="204DCB00" w14:textId="77777777" w:rsidR="00874C1F" w:rsidRPr="00E07359" w:rsidRDefault="00874C1F" w:rsidP="00974955">
            <w:pPr>
              <w:ind w:firstLine="0"/>
              <w:rPr>
                <w:rFonts w:cs="Times New Roman"/>
                <w:sz w:val="20"/>
                <w:szCs w:val="20"/>
                <w:lang w:eastAsia="ru-RU"/>
              </w:rPr>
            </w:pPr>
            <w:r w:rsidRPr="00E07359">
              <w:rPr>
                <w:rFonts w:cs="Times New Roman"/>
                <w:sz w:val="20"/>
                <w:szCs w:val="20"/>
                <w:lang w:eastAsia="ru-RU"/>
              </w:rPr>
              <w:t>от 09.01.2019 № 1/01-55</w:t>
            </w:r>
          </w:p>
        </w:tc>
        <w:tc>
          <w:tcPr>
            <w:tcW w:w="2367" w:type="dxa"/>
            <w:tcBorders>
              <w:top w:val="nil"/>
              <w:left w:val="nil"/>
              <w:bottom w:val="single" w:sz="4" w:space="0" w:color="auto"/>
              <w:right w:val="single" w:sz="4" w:space="0" w:color="auto"/>
            </w:tcBorders>
            <w:shd w:val="clear" w:color="auto" w:fill="FFFFFF"/>
            <w:vAlign w:val="center"/>
            <w:hideMark/>
          </w:tcPr>
          <w:p w14:paraId="63717F5D" w14:textId="77777777" w:rsidR="00874C1F" w:rsidRPr="00E07359" w:rsidRDefault="00874C1F" w:rsidP="00974955">
            <w:pPr>
              <w:ind w:firstLine="0"/>
              <w:rPr>
                <w:rFonts w:cs="Times New Roman"/>
                <w:sz w:val="20"/>
                <w:szCs w:val="20"/>
                <w:lang w:eastAsia="ru-RU"/>
              </w:rPr>
            </w:pPr>
            <w:r w:rsidRPr="00E07359">
              <w:rPr>
                <w:rFonts w:cs="Times New Roman"/>
                <w:sz w:val="20"/>
                <w:szCs w:val="20"/>
                <w:lang w:eastAsia="ru-RU"/>
              </w:rPr>
              <w:t>Рыночная информация (Информация о сделках с 01.01.2016-15.08.2018г.</w:t>
            </w:r>
          </w:p>
        </w:tc>
        <w:tc>
          <w:tcPr>
            <w:tcW w:w="2065" w:type="dxa"/>
            <w:tcBorders>
              <w:top w:val="nil"/>
              <w:left w:val="nil"/>
              <w:bottom w:val="single" w:sz="4" w:space="0" w:color="auto"/>
              <w:right w:val="single" w:sz="4" w:space="0" w:color="auto"/>
            </w:tcBorders>
            <w:shd w:val="clear" w:color="auto" w:fill="FFFFFF"/>
            <w:vAlign w:val="center"/>
            <w:hideMark/>
          </w:tcPr>
          <w:p w14:paraId="142FEDC0" w14:textId="77777777" w:rsidR="00874C1F" w:rsidRPr="00E07359" w:rsidRDefault="00874C1F" w:rsidP="00974955">
            <w:pPr>
              <w:ind w:firstLine="0"/>
              <w:rPr>
                <w:rFonts w:cs="Times New Roman"/>
                <w:sz w:val="20"/>
                <w:szCs w:val="20"/>
                <w:lang w:eastAsia="ru-RU"/>
              </w:rPr>
            </w:pPr>
            <w:r w:rsidRPr="00E07359">
              <w:rPr>
                <w:rFonts w:cs="Times New Roman"/>
                <w:sz w:val="20"/>
                <w:szCs w:val="20"/>
                <w:lang w:eastAsia="ru-RU"/>
              </w:rPr>
              <w:t xml:space="preserve">Управление Росреестра по Республике Саха (Якутия) </w:t>
            </w:r>
          </w:p>
        </w:tc>
        <w:tc>
          <w:tcPr>
            <w:tcW w:w="1276" w:type="dxa"/>
            <w:tcBorders>
              <w:top w:val="nil"/>
              <w:left w:val="nil"/>
              <w:bottom w:val="single" w:sz="4" w:space="0" w:color="auto"/>
              <w:right w:val="single" w:sz="4" w:space="0" w:color="auto"/>
            </w:tcBorders>
            <w:shd w:val="clear" w:color="auto" w:fill="FFFFFF"/>
            <w:vAlign w:val="center"/>
            <w:hideMark/>
          </w:tcPr>
          <w:p w14:paraId="0DC0A5DC" w14:textId="77777777" w:rsidR="00874C1F" w:rsidRPr="00E07359" w:rsidRDefault="00874C1F" w:rsidP="00974955">
            <w:pPr>
              <w:ind w:firstLine="0"/>
              <w:rPr>
                <w:rFonts w:cs="Times New Roman"/>
                <w:sz w:val="20"/>
                <w:szCs w:val="20"/>
                <w:lang w:eastAsia="ru-RU"/>
              </w:rPr>
            </w:pPr>
            <w:r w:rsidRPr="00E07359">
              <w:rPr>
                <w:rFonts w:cs="Times New Roman"/>
                <w:sz w:val="20"/>
                <w:szCs w:val="20"/>
                <w:lang w:eastAsia="ru-RU"/>
              </w:rPr>
              <w:t>ответ поступил; (77901 объект)</w:t>
            </w:r>
          </w:p>
        </w:tc>
        <w:tc>
          <w:tcPr>
            <w:tcW w:w="1702" w:type="dxa"/>
            <w:tcBorders>
              <w:top w:val="nil"/>
              <w:left w:val="nil"/>
              <w:bottom w:val="single" w:sz="4" w:space="0" w:color="auto"/>
              <w:right w:val="single" w:sz="4" w:space="0" w:color="auto"/>
            </w:tcBorders>
            <w:shd w:val="clear" w:color="auto" w:fill="FFFFFF"/>
            <w:vAlign w:val="center"/>
            <w:hideMark/>
          </w:tcPr>
          <w:p w14:paraId="32A7AADC" w14:textId="77777777" w:rsidR="00874C1F" w:rsidRPr="00E07359" w:rsidRDefault="00874C1F">
            <w:pPr>
              <w:rPr>
                <w:rFonts w:cs="Times New Roman"/>
                <w:sz w:val="20"/>
                <w:szCs w:val="20"/>
                <w:lang w:eastAsia="ru-RU"/>
              </w:rPr>
            </w:pPr>
            <w:r w:rsidRPr="00E07359">
              <w:rPr>
                <w:rFonts w:cs="Times New Roman"/>
                <w:sz w:val="20"/>
                <w:szCs w:val="20"/>
                <w:lang w:eastAsia="ru-RU"/>
              </w:rPr>
              <w:t>№18-12.1/00254-19 от 17.01.2019</w:t>
            </w:r>
          </w:p>
        </w:tc>
      </w:tr>
      <w:tr w:rsidR="00874C1F" w:rsidRPr="00E07359" w14:paraId="4CE96F8E" w14:textId="77777777" w:rsidTr="005376A2">
        <w:trPr>
          <w:trHeight w:val="20"/>
        </w:trPr>
        <w:tc>
          <w:tcPr>
            <w:tcW w:w="562" w:type="dxa"/>
            <w:tcBorders>
              <w:top w:val="nil"/>
              <w:left w:val="single" w:sz="4" w:space="0" w:color="auto"/>
              <w:bottom w:val="single" w:sz="4" w:space="0" w:color="auto"/>
              <w:right w:val="single" w:sz="4" w:space="0" w:color="auto"/>
            </w:tcBorders>
            <w:shd w:val="clear" w:color="auto" w:fill="FFFFFF"/>
            <w:vAlign w:val="center"/>
            <w:hideMark/>
          </w:tcPr>
          <w:p w14:paraId="2B157BDC" w14:textId="12E32BAE" w:rsidR="00874C1F" w:rsidRPr="00E07359" w:rsidRDefault="00974955">
            <w:pPr>
              <w:rPr>
                <w:rFonts w:cs="Times New Roman"/>
                <w:sz w:val="20"/>
                <w:szCs w:val="20"/>
                <w:lang w:eastAsia="ru-RU"/>
              </w:rPr>
            </w:pPr>
            <w:r w:rsidRPr="00E07359">
              <w:rPr>
                <w:rFonts w:cs="Times New Roman"/>
                <w:sz w:val="20"/>
                <w:szCs w:val="20"/>
                <w:lang w:eastAsia="ru-RU"/>
              </w:rPr>
              <w:t>4</w:t>
            </w:r>
            <w:r w:rsidR="00874C1F" w:rsidRPr="00E07359">
              <w:rPr>
                <w:rFonts w:cs="Times New Roman"/>
                <w:sz w:val="20"/>
                <w:szCs w:val="20"/>
                <w:lang w:eastAsia="ru-RU"/>
              </w:rPr>
              <w:t>4</w:t>
            </w:r>
          </w:p>
        </w:tc>
        <w:tc>
          <w:tcPr>
            <w:tcW w:w="1380" w:type="dxa"/>
            <w:tcBorders>
              <w:top w:val="nil"/>
              <w:left w:val="nil"/>
              <w:bottom w:val="single" w:sz="4" w:space="0" w:color="auto"/>
              <w:right w:val="single" w:sz="4" w:space="0" w:color="auto"/>
            </w:tcBorders>
            <w:shd w:val="clear" w:color="auto" w:fill="FFFFFF"/>
            <w:vAlign w:val="center"/>
            <w:hideMark/>
          </w:tcPr>
          <w:p w14:paraId="723D70B9" w14:textId="77777777" w:rsidR="00874C1F" w:rsidRPr="00E07359" w:rsidRDefault="00874C1F" w:rsidP="00974955">
            <w:pPr>
              <w:ind w:firstLine="0"/>
              <w:rPr>
                <w:rFonts w:cs="Times New Roman"/>
                <w:sz w:val="20"/>
                <w:szCs w:val="20"/>
                <w:lang w:eastAsia="ru-RU"/>
              </w:rPr>
            </w:pPr>
            <w:r w:rsidRPr="00E07359">
              <w:rPr>
                <w:rFonts w:cs="Times New Roman"/>
                <w:sz w:val="20"/>
                <w:szCs w:val="20"/>
                <w:lang w:eastAsia="ru-RU"/>
              </w:rPr>
              <w:t>Договор №35 от  22.04.2019г.</w:t>
            </w:r>
          </w:p>
        </w:tc>
        <w:tc>
          <w:tcPr>
            <w:tcW w:w="2367" w:type="dxa"/>
            <w:tcBorders>
              <w:top w:val="nil"/>
              <w:left w:val="nil"/>
              <w:bottom w:val="single" w:sz="4" w:space="0" w:color="auto"/>
              <w:right w:val="single" w:sz="4" w:space="0" w:color="auto"/>
            </w:tcBorders>
            <w:shd w:val="clear" w:color="auto" w:fill="FFFFFF"/>
            <w:vAlign w:val="center"/>
            <w:hideMark/>
          </w:tcPr>
          <w:p w14:paraId="3A1A6630" w14:textId="77777777" w:rsidR="00874C1F" w:rsidRPr="00E07359" w:rsidRDefault="00874C1F" w:rsidP="00974955">
            <w:pPr>
              <w:ind w:firstLine="0"/>
              <w:rPr>
                <w:rFonts w:cs="Times New Roman"/>
                <w:sz w:val="20"/>
                <w:szCs w:val="20"/>
                <w:lang w:eastAsia="ru-RU"/>
              </w:rPr>
            </w:pPr>
            <w:r w:rsidRPr="00E07359">
              <w:rPr>
                <w:rFonts w:cs="Times New Roman"/>
                <w:sz w:val="20"/>
                <w:szCs w:val="20"/>
                <w:lang w:eastAsia="ru-RU"/>
              </w:rPr>
              <w:t>Рыночная информация</w:t>
            </w:r>
          </w:p>
        </w:tc>
        <w:tc>
          <w:tcPr>
            <w:tcW w:w="2065" w:type="dxa"/>
            <w:tcBorders>
              <w:top w:val="nil"/>
              <w:left w:val="nil"/>
              <w:bottom w:val="single" w:sz="4" w:space="0" w:color="auto"/>
              <w:right w:val="single" w:sz="4" w:space="0" w:color="auto"/>
            </w:tcBorders>
            <w:shd w:val="clear" w:color="auto" w:fill="FFFFFF"/>
            <w:vAlign w:val="center"/>
            <w:hideMark/>
          </w:tcPr>
          <w:p w14:paraId="21CF1861" w14:textId="77777777" w:rsidR="00874C1F" w:rsidRPr="00E07359" w:rsidRDefault="00874C1F" w:rsidP="00974955">
            <w:pPr>
              <w:ind w:firstLine="0"/>
              <w:rPr>
                <w:rFonts w:cs="Times New Roman"/>
                <w:sz w:val="20"/>
                <w:szCs w:val="20"/>
                <w:lang w:eastAsia="ru-RU"/>
              </w:rPr>
            </w:pPr>
            <w:r w:rsidRPr="00E07359">
              <w:rPr>
                <w:rFonts w:cs="Times New Roman"/>
                <w:sz w:val="20"/>
                <w:szCs w:val="20"/>
                <w:lang w:eastAsia="ru-RU"/>
              </w:rPr>
              <w:t xml:space="preserve">ООО «ИТИС-групп» </w:t>
            </w:r>
          </w:p>
        </w:tc>
        <w:tc>
          <w:tcPr>
            <w:tcW w:w="1276" w:type="dxa"/>
            <w:tcBorders>
              <w:top w:val="nil"/>
              <w:left w:val="nil"/>
              <w:bottom w:val="single" w:sz="4" w:space="0" w:color="auto"/>
              <w:right w:val="single" w:sz="4" w:space="0" w:color="auto"/>
            </w:tcBorders>
            <w:shd w:val="clear" w:color="auto" w:fill="FFFFFF"/>
            <w:vAlign w:val="center"/>
            <w:hideMark/>
          </w:tcPr>
          <w:p w14:paraId="20E70C05" w14:textId="77777777" w:rsidR="00874C1F" w:rsidRPr="00E07359" w:rsidRDefault="00874C1F" w:rsidP="00974955">
            <w:pPr>
              <w:ind w:firstLine="0"/>
              <w:rPr>
                <w:rFonts w:cs="Times New Roman"/>
                <w:sz w:val="20"/>
                <w:szCs w:val="20"/>
                <w:lang w:eastAsia="ru-RU"/>
              </w:rPr>
            </w:pPr>
            <w:r w:rsidRPr="00E07359">
              <w:rPr>
                <w:rFonts w:cs="Times New Roman"/>
                <w:sz w:val="20"/>
                <w:szCs w:val="20"/>
                <w:lang w:eastAsia="ru-RU"/>
              </w:rPr>
              <w:t>Предоставлен доступ к БД (6552 объекта)</w:t>
            </w:r>
          </w:p>
        </w:tc>
        <w:tc>
          <w:tcPr>
            <w:tcW w:w="1702" w:type="dxa"/>
            <w:tcBorders>
              <w:top w:val="nil"/>
              <w:left w:val="nil"/>
              <w:bottom w:val="single" w:sz="4" w:space="0" w:color="auto"/>
              <w:right w:val="single" w:sz="4" w:space="0" w:color="auto"/>
            </w:tcBorders>
            <w:shd w:val="clear" w:color="auto" w:fill="FFFFFF"/>
            <w:vAlign w:val="center"/>
            <w:hideMark/>
          </w:tcPr>
          <w:p w14:paraId="5AC4D9EE" w14:textId="77777777" w:rsidR="00874C1F" w:rsidRPr="00E07359" w:rsidRDefault="00874C1F">
            <w:pPr>
              <w:rPr>
                <w:rFonts w:cs="Times New Roman"/>
                <w:sz w:val="20"/>
                <w:szCs w:val="20"/>
                <w:lang w:eastAsia="ru-RU"/>
              </w:rPr>
            </w:pPr>
          </w:p>
        </w:tc>
      </w:tr>
      <w:tr w:rsidR="00874C1F" w:rsidRPr="00E07359" w14:paraId="3C52E1E2" w14:textId="77777777" w:rsidTr="005376A2">
        <w:trPr>
          <w:trHeight w:val="20"/>
        </w:trPr>
        <w:tc>
          <w:tcPr>
            <w:tcW w:w="562" w:type="dxa"/>
            <w:tcBorders>
              <w:top w:val="nil"/>
              <w:left w:val="single" w:sz="4" w:space="0" w:color="auto"/>
              <w:bottom w:val="single" w:sz="4" w:space="0" w:color="auto"/>
              <w:right w:val="single" w:sz="4" w:space="0" w:color="auto"/>
            </w:tcBorders>
            <w:shd w:val="clear" w:color="auto" w:fill="FFFFFF"/>
            <w:vAlign w:val="center"/>
            <w:hideMark/>
          </w:tcPr>
          <w:p w14:paraId="32696A3C" w14:textId="15C2DFC1" w:rsidR="00874C1F" w:rsidRPr="00E07359" w:rsidRDefault="00974955">
            <w:pPr>
              <w:rPr>
                <w:rFonts w:cs="Times New Roman"/>
                <w:sz w:val="20"/>
                <w:szCs w:val="20"/>
                <w:lang w:eastAsia="ru-RU"/>
              </w:rPr>
            </w:pPr>
            <w:r w:rsidRPr="00E07359">
              <w:rPr>
                <w:rFonts w:cs="Times New Roman"/>
                <w:sz w:val="20"/>
                <w:szCs w:val="20"/>
                <w:lang w:eastAsia="ru-RU"/>
              </w:rPr>
              <w:t>5</w:t>
            </w:r>
            <w:r w:rsidR="00874C1F" w:rsidRPr="00E07359">
              <w:rPr>
                <w:rFonts w:cs="Times New Roman"/>
                <w:sz w:val="20"/>
                <w:szCs w:val="20"/>
                <w:lang w:eastAsia="ru-RU"/>
              </w:rPr>
              <w:t>5</w:t>
            </w:r>
          </w:p>
        </w:tc>
        <w:tc>
          <w:tcPr>
            <w:tcW w:w="1380" w:type="dxa"/>
            <w:tcBorders>
              <w:top w:val="nil"/>
              <w:left w:val="nil"/>
              <w:bottom w:val="single" w:sz="4" w:space="0" w:color="auto"/>
              <w:right w:val="single" w:sz="4" w:space="0" w:color="auto"/>
            </w:tcBorders>
            <w:shd w:val="clear" w:color="auto" w:fill="FFFFFF"/>
            <w:vAlign w:val="center"/>
            <w:hideMark/>
          </w:tcPr>
          <w:p w14:paraId="111D5CDC" w14:textId="77777777" w:rsidR="00874C1F" w:rsidRPr="00E07359" w:rsidRDefault="00874C1F" w:rsidP="00974955">
            <w:pPr>
              <w:ind w:firstLine="0"/>
              <w:rPr>
                <w:rFonts w:cs="Times New Roman"/>
                <w:sz w:val="20"/>
                <w:szCs w:val="20"/>
                <w:lang w:eastAsia="ru-RU"/>
              </w:rPr>
            </w:pPr>
            <w:r w:rsidRPr="00E07359">
              <w:rPr>
                <w:rFonts w:cs="Times New Roman"/>
                <w:sz w:val="20"/>
                <w:szCs w:val="20"/>
                <w:lang w:eastAsia="ru-RU"/>
              </w:rPr>
              <w:t>от 15.09.2017 № Исх3-05/53</w:t>
            </w:r>
          </w:p>
        </w:tc>
        <w:tc>
          <w:tcPr>
            <w:tcW w:w="2367" w:type="dxa"/>
            <w:tcBorders>
              <w:top w:val="nil"/>
              <w:left w:val="nil"/>
              <w:bottom w:val="single" w:sz="4" w:space="0" w:color="auto"/>
              <w:right w:val="single" w:sz="4" w:space="0" w:color="auto"/>
            </w:tcBorders>
            <w:shd w:val="clear" w:color="auto" w:fill="FFFFFF"/>
            <w:vAlign w:val="center"/>
            <w:hideMark/>
          </w:tcPr>
          <w:p w14:paraId="2E802E54" w14:textId="77777777" w:rsidR="00874C1F" w:rsidRPr="00E07359" w:rsidRDefault="00874C1F" w:rsidP="00974955">
            <w:pPr>
              <w:ind w:firstLine="0"/>
              <w:rPr>
                <w:rFonts w:cs="Times New Roman"/>
                <w:sz w:val="20"/>
                <w:szCs w:val="20"/>
                <w:lang w:eastAsia="ru-RU"/>
              </w:rPr>
            </w:pPr>
            <w:r w:rsidRPr="00E07359">
              <w:rPr>
                <w:rFonts w:cs="Times New Roman"/>
                <w:sz w:val="20"/>
                <w:szCs w:val="20"/>
                <w:lang w:eastAsia="ru-RU"/>
              </w:rPr>
              <w:t>Результаты оспаривания кадастровой стоимости</w:t>
            </w:r>
          </w:p>
        </w:tc>
        <w:tc>
          <w:tcPr>
            <w:tcW w:w="2065" w:type="dxa"/>
            <w:tcBorders>
              <w:top w:val="nil"/>
              <w:left w:val="nil"/>
              <w:bottom w:val="single" w:sz="4" w:space="0" w:color="auto"/>
              <w:right w:val="single" w:sz="4" w:space="0" w:color="auto"/>
            </w:tcBorders>
            <w:shd w:val="clear" w:color="auto" w:fill="FFFFFF"/>
            <w:vAlign w:val="center"/>
            <w:hideMark/>
          </w:tcPr>
          <w:p w14:paraId="067E0E28" w14:textId="77777777" w:rsidR="00874C1F" w:rsidRPr="00E07359" w:rsidRDefault="00874C1F" w:rsidP="00974955">
            <w:pPr>
              <w:ind w:firstLine="0"/>
              <w:rPr>
                <w:rFonts w:cs="Times New Roman"/>
                <w:sz w:val="20"/>
                <w:szCs w:val="20"/>
                <w:lang w:eastAsia="ru-RU"/>
              </w:rPr>
            </w:pPr>
            <w:r w:rsidRPr="00E07359">
              <w:rPr>
                <w:rFonts w:cs="Times New Roman"/>
                <w:sz w:val="20"/>
                <w:szCs w:val="20"/>
                <w:lang w:eastAsia="ru-RU"/>
              </w:rPr>
              <w:t xml:space="preserve">Комиссия по рассмотрению споров о результатах определение кадастровой стоимости при Управление Росреестра по РС(Я), </w:t>
            </w:r>
          </w:p>
        </w:tc>
        <w:tc>
          <w:tcPr>
            <w:tcW w:w="1276" w:type="dxa"/>
            <w:tcBorders>
              <w:top w:val="nil"/>
              <w:left w:val="nil"/>
              <w:bottom w:val="single" w:sz="4" w:space="0" w:color="auto"/>
              <w:right w:val="single" w:sz="4" w:space="0" w:color="auto"/>
            </w:tcBorders>
            <w:shd w:val="clear" w:color="auto" w:fill="FFFFFF"/>
            <w:vAlign w:val="center"/>
            <w:hideMark/>
          </w:tcPr>
          <w:p w14:paraId="2CF1CC81" w14:textId="77777777" w:rsidR="00874C1F" w:rsidRPr="00E07359" w:rsidRDefault="00874C1F" w:rsidP="00974955">
            <w:pPr>
              <w:ind w:firstLine="0"/>
              <w:rPr>
                <w:rFonts w:cs="Times New Roman"/>
                <w:sz w:val="20"/>
                <w:szCs w:val="20"/>
                <w:lang w:eastAsia="ru-RU"/>
              </w:rPr>
            </w:pPr>
            <w:r w:rsidRPr="00E07359">
              <w:rPr>
                <w:rFonts w:cs="Times New Roman"/>
                <w:sz w:val="20"/>
                <w:szCs w:val="20"/>
                <w:lang w:eastAsia="ru-RU"/>
              </w:rPr>
              <w:t>получено</w:t>
            </w:r>
          </w:p>
        </w:tc>
        <w:tc>
          <w:tcPr>
            <w:tcW w:w="1702" w:type="dxa"/>
            <w:tcBorders>
              <w:top w:val="nil"/>
              <w:left w:val="nil"/>
              <w:bottom w:val="single" w:sz="4" w:space="0" w:color="auto"/>
              <w:right w:val="single" w:sz="4" w:space="0" w:color="auto"/>
            </w:tcBorders>
            <w:shd w:val="clear" w:color="auto" w:fill="FFFFFF"/>
            <w:vAlign w:val="center"/>
            <w:hideMark/>
          </w:tcPr>
          <w:p w14:paraId="533F3EA3" w14:textId="77777777" w:rsidR="00874C1F" w:rsidRPr="00E07359" w:rsidRDefault="00874C1F">
            <w:pPr>
              <w:rPr>
                <w:rFonts w:cs="Times New Roman"/>
                <w:sz w:val="20"/>
                <w:szCs w:val="20"/>
                <w:lang w:eastAsia="ru-RU"/>
              </w:rPr>
            </w:pPr>
            <w:r w:rsidRPr="00E07359">
              <w:rPr>
                <w:rFonts w:cs="Times New Roman"/>
                <w:sz w:val="20"/>
                <w:szCs w:val="20"/>
                <w:lang w:eastAsia="ru-RU"/>
              </w:rPr>
              <w:t>от 16.10.2017 №50-10а-10-5702/17</w:t>
            </w:r>
          </w:p>
        </w:tc>
      </w:tr>
      <w:tr w:rsidR="00874C1F" w:rsidRPr="00E07359" w14:paraId="104E8412" w14:textId="77777777" w:rsidTr="005376A2">
        <w:trPr>
          <w:trHeight w:val="20"/>
        </w:trPr>
        <w:tc>
          <w:tcPr>
            <w:tcW w:w="562" w:type="dxa"/>
            <w:tcBorders>
              <w:top w:val="nil"/>
              <w:left w:val="single" w:sz="4" w:space="0" w:color="auto"/>
              <w:bottom w:val="single" w:sz="4" w:space="0" w:color="auto"/>
              <w:right w:val="single" w:sz="4" w:space="0" w:color="auto"/>
            </w:tcBorders>
            <w:shd w:val="clear" w:color="auto" w:fill="FFFFFF"/>
            <w:vAlign w:val="center"/>
            <w:hideMark/>
          </w:tcPr>
          <w:p w14:paraId="52B07FCE" w14:textId="00EEB305" w:rsidR="00874C1F" w:rsidRPr="00E07359" w:rsidRDefault="00974955">
            <w:pPr>
              <w:rPr>
                <w:rFonts w:cs="Times New Roman"/>
                <w:sz w:val="20"/>
                <w:szCs w:val="20"/>
                <w:lang w:eastAsia="ru-RU"/>
              </w:rPr>
            </w:pPr>
            <w:r w:rsidRPr="00E07359">
              <w:rPr>
                <w:rFonts w:cs="Times New Roman"/>
                <w:sz w:val="20"/>
                <w:szCs w:val="20"/>
                <w:lang w:eastAsia="ru-RU"/>
              </w:rPr>
              <w:t>6</w:t>
            </w:r>
            <w:r w:rsidR="00874C1F" w:rsidRPr="00E07359">
              <w:rPr>
                <w:rFonts w:cs="Times New Roman"/>
                <w:sz w:val="20"/>
                <w:szCs w:val="20"/>
                <w:lang w:eastAsia="ru-RU"/>
              </w:rPr>
              <w:t>6</w:t>
            </w:r>
          </w:p>
        </w:tc>
        <w:tc>
          <w:tcPr>
            <w:tcW w:w="1380" w:type="dxa"/>
            <w:tcBorders>
              <w:top w:val="nil"/>
              <w:left w:val="nil"/>
              <w:bottom w:val="single" w:sz="4" w:space="0" w:color="auto"/>
              <w:right w:val="single" w:sz="4" w:space="0" w:color="auto"/>
            </w:tcBorders>
            <w:shd w:val="clear" w:color="auto" w:fill="FFFFFF"/>
            <w:vAlign w:val="center"/>
            <w:hideMark/>
          </w:tcPr>
          <w:p w14:paraId="5823E078" w14:textId="3A8E4C8A" w:rsidR="00874C1F" w:rsidRPr="00E07359" w:rsidRDefault="00874C1F" w:rsidP="00974955">
            <w:pPr>
              <w:ind w:firstLine="0"/>
              <w:rPr>
                <w:rFonts w:cs="Times New Roman"/>
                <w:sz w:val="20"/>
                <w:szCs w:val="20"/>
                <w:lang w:eastAsia="ru-RU"/>
              </w:rPr>
            </w:pPr>
            <w:r w:rsidRPr="00E07359">
              <w:rPr>
                <w:rFonts w:cs="Times New Roman"/>
                <w:sz w:val="20"/>
                <w:szCs w:val="20"/>
                <w:lang w:eastAsia="ru-RU"/>
              </w:rPr>
              <w:t>№</w:t>
            </w:r>
            <w:r w:rsidR="00974955" w:rsidRPr="00E07359">
              <w:rPr>
                <w:rFonts w:cs="Times New Roman"/>
                <w:sz w:val="20"/>
                <w:szCs w:val="20"/>
                <w:lang w:eastAsia="ru-RU"/>
              </w:rPr>
              <w:t>305/01-55 от 1</w:t>
            </w:r>
            <w:r w:rsidRPr="00E07359">
              <w:rPr>
                <w:rFonts w:cs="Times New Roman"/>
                <w:sz w:val="20"/>
                <w:szCs w:val="20"/>
                <w:lang w:eastAsia="ru-RU"/>
              </w:rPr>
              <w:t>5.04.2019</w:t>
            </w:r>
          </w:p>
        </w:tc>
        <w:tc>
          <w:tcPr>
            <w:tcW w:w="2367" w:type="dxa"/>
            <w:tcBorders>
              <w:top w:val="nil"/>
              <w:left w:val="nil"/>
              <w:bottom w:val="single" w:sz="4" w:space="0" w:color="auto"/>
              <w:right w:val="single" w:sz="4" w:space="0" w:color="auto"/>
            </w:tcBorders>
            <w:shd w:val="clear" w:color="auto" w:fill="FFFFFF"/>
            <w:vAlign w:val="center"/>
            <w:hideMark/>
          </w:tcPr>
          <w:p w14:paraId="7367453D" w14:textId="77777777" w:rsidR="00874C1F" w:rsidRPr="00E07359" w:rsidRDefault="00874C1F" w:rsidP="00974955">
            <w:pPr>
              <w:ind w:firstLine="0"/>
              <w:rPr>
                <w:rFonts w:cs="Times New Roman"/>
                <w:sz w:val="20"/>
                <w:szCs w:val="20"/>
                <w:lang w:eastAsia="ru-RU"/>
              </w:rPr>
            </w:pPr>
            <w:r w:rsidRPr="00E07359">
              <w:rPr>
                <w:rFonts w:cs="Times New Roman"/>
                <w:sz w:val="20"/>
                <w:szCs w:val="20"/>
                <w:lang w:eastAsia="ru-RU"/>
              </w:rPr>
              <w:t>Результаты оспаривания кадастровой стоимости</w:t>
            </w:r>
          </w:p>
        </w:tc>
        <w:tc>
          <w:tcPr>
            <w:tcW w:w="2065" w:type="dxa"/>
            <w:tcBorders>
              <w:top w:val="nil"/>
              <w:left w:val="nil"/>
              <w:bottom w:val="single" w:sz="4" w:space="0" w:color="auto"/>
              <w:right w:val="single" w:sz="4" w:space="0" w:color="auto"/>
            </w:tcBorders>
            <w:shd w:val="clear" w:color="auto" w:fill="FFFFFF"/>
            <w:vAlign w:val="center"/>
            <w:hideMark/>
          </w:tcPr>
          <w:p w14:paraId="5BD839B5" w14:textId="77777777" w:rsidR="00874C1F" w:rsidRPr="00E07359" w:rsidRDefault="00874C1F" w:rsidP="00974955">
            <w:pPr>
              <w:ind w:firstLine="0"/>
              <w:rPr>
                <w:rFonts w:cs="Times New Roman"/>
                <w:sz w:val="20"/>
                <w:szCs w:val="20"/>
                <w:lang w:eastAsia="ru-RU"/>
              </w:rPr>
            </w:pPr>
            <w:r w:rsidRPr="00E07359">
              <w:rPr>
                <w:rFonts w:cs="Times New Roman"/>
                <w:sz w:val="20"/>
                <w:szCs w:val="20"/>
                <w:lang w:eastAsia="ru-RU"/>
              </w:rPr>
              <w:t>Верховный суд РС(Я)</w:t>
            </w:r>
          </w:p>
        </w:tc>
        <w:tc>
          <w:tcPr>
            <w:tcW w:w="1276" w:type="dxa"/>
            <w:tcBorders>
              <w:top w:val="nil"/>
              <w:left w:val="nil"/>
              <w:bottom w:val="single" w:sz="4" w:space="0" w:color="auto"/>
              <w:right w:val="single" w:sz="4" w:space="0" w:color="auto"/>
            </w:tcBorders>
            <w:shd w:val="clear" w:color="auto" w:fill="FFFFFF"/>
            <w:vAlign w:val="center"/>
            <w:hideMark/>
          </w:tcPr>
          <w:p w14:paraId="112ABB09" w14:textId="77777777" w:rsidR="00874C1F" w:rsidRPr="00E07359" w:rsidRDefault="00874C1F" w:rsidP="00974955">
            <w:pPr>
              <w:ind w:firstLine="0"/>
              <w:rPr>
                <w:rFonts w:cs="Times New Roman"/>
                <w:sz w:val="20"/>
                <w:szCs w:val="20"/>
                <w:lang w:eastAsia="ru-RU"/>
              </w:rPr>
            </w:pPr>
            <w:r w:rsidRPr="00E07359">
              <w:rPr>
                <w:rFonts w:cs="Times New Roman"/>
                <w:sz w:val="20"/>
                <w:szCs w:val="20"/>
                <w:lang w:eastAsia="ru-RU"/>
              </w:rPr>
              <w:t xml:space="preserve">Получено, нет рассмотренных дел по ОН за исключением ЗУ </w:t>
            </w:r>
          </w:p>
        </w:tc>
        <w:tc>
          <w:tcPr>
            <w:tcW w:w="1702" w:type="dxa"/>
            <w:tcBorders>
              <w:top w:val="nil"/>
              <w:left w:val="nil"/>
              <w:bottom w:val="single" w:sz="4" w:space="0" w:color="auto"/>
              <w:right w:val="single" w:sz="4" w:space="0" w:color="auto"/>
            </w:tcBorders>
            <w:shd w:val="clear" w:color="auto" w:fill="FFFFFF"/>
            <w:vAlign w:val="center"/>
            <w:hideMark/>
          </w:tcPr>
          <w:p w14:paraId="2F55F96D" w14:textId="69FCD7D1" w:rsidR="00874C1F" w:rsidRPr="00E07359" w:rsidRDefault="00874C1F" w:rsidP="00213C8B">
            <w:pPr>
              <w:rPr>
                <w:rFonts w:cs="Times New Roman"/>
                <w:sz w:val="20"/>
                <w:szCs w:val="20"/>
                <w:lang w:eastAsia="ru-RU"/>
              </w:rPr>
            </w:pPr>
            <w:r w:rsidRPr="00E07359">
              <w:rPr>
                <w:rFonts w:cs="Times New Roman"/>
                <w:sz w:val="20"/>
                <w:szCs w:val="20"/>
                <w:lang w:eastAsia="ru-RU"/>
              </w:rPr>
              <w:t xml:space="preserve">письмо от Управления Росреестра по МО </w:t>
            </w:r>
          </w:p>
        </w:tc>
      </w:tr>
      <w:tr w:rsidR="00874C1F" w:rsidRPr="00E07359" w14:paraId="72AE6BCF" w14:textId="77777777" w:rsidTr="005376A2">
        <w:trPr>
          <w:trHeight w:val="20"/>
        </w:trPr>
        <w:tc>
          <w:tcPr>
            <w:tcW w:w="562" w:type="dxa"/>
            <w:tcBorders>
              <w:top w:val="nil"/>
              <w:left w:val="single" w:sz="4" w:space="0" w:color="auto"/>
              <w:bottom w:val="single" w:sz="4" w:space="0" w:color="auto"/>
              <w:right w:val="single" w:sz="4" w:space="0" w:color="auto"/>
            </w:tcBorders>
            <w:shd w:val="clear" w:color="auto" w:fill="FFFFFF"/>
            <w:vAlign w:val="center"/>
            <w:hideMark/>
          </w:tcPr>
          <w:p w14:paraId="2F2D663B" w14:textId="4BFB8273" w:rsidR="00874C1F" w:rsidRPr="00E07359" w:rsidRDefault="00974955">
            <w:pPr>
              <w:rPr>
                <w:rFonts w:cs="Times New Roman"/>
                <w:sz w:val="20"/>
                <w:szCs w:val="20"/>
                <w:lang w:eastAsia="ru-RU"/>
              </w:rPr>
            </w:pPr>
            <w:r w:rsidRPr="00E07359">
              <w:rPr>
                <w:rFonts w:cs="Times New Roman"/>
                <w:sz w:val="20"/>
                <w:szCs w:val="20"/>
                <w:lang w:eastAsia="ru-RU"/>
              </w:rPr>
              <w:t>7</w:t>
            </w:r>
            <w:r w:rsidR="00874C1F" w:rsidRPr="00E07359">
              <w:rPr>
                <w:rFonts w:cs="Times New Roman"/>
                <w:sz w:val="20"/>
                <w:szCs w:val="20"/>
                <w:lang w:eastAsia="ru-RU"/>
              </w:rPr>
              <w:t>7</w:t>
            </w:r>
          </w:p>
        </w:tc>
        <w:tc>
          <w:tcPr>
            <w:tcW w:w="1380" w:type="dxa"/>
            <w:tcBorders>
              <w:top w:val="nil"/>
              <w:left w:val="nil"/>
              <w:bottom w:val="single" w:sz="4" w:space="0" w:color="auto"/>
              <w:right w:val="single" w:sz="4" w:space="0" w:color="auto"/>
            </w:tcBorders>
            <w:shd w:val="clear" w:color="auto" w:fill="FFFFFF"/>
            <w:vAlign w:val="center"/>
            <w:hideMark/>
          </w:tcPr>
          <w:p w14:paraId="7BB7A80B" w14:textId="77777777" w:rsidR="00874C1F" w:rsidRPr="00E07359" w:rsidRDefault="00874C1F">
            <w:pPr>
              <w:rPr>
                <w:rFonts w:cs="Times New Roman"/>
                <w:sz w:val="20"/>
                <w:szCs w:val="20"/>
                <w:lang w:eastAsia="ru-RU"/>
              </w:rPr>
            </w:pPr>
            <w:r w:rsidRPr="00E07359">
              <w:rPr>
                <w:rFonts w:cs="Times New Roman"/>
                <w:sz w:val="20"/>
                <w:szCs w:val="20"/>
                <w:lang w:eastAsia="ru-RU"/>
              </w:rPr>
              <w:t>ОСПИ-18/271 от 26.04.2019</w:t>
            </w:r>
          </w:p>
        </w:tc>
        <w:tc>
          <w:tcPr>
            <w:tcW w:w="2367" w:type="dxa"/>
            <w:tcBorders>
              <w:top w:val="nil"/>
              <w:left w:val="nil"/>
              <w:bottom w:val="single" w:sz="4" w:space="0" w:color="auto"/>
              <w:right w:val="single" w:sz="4" w:space="0" w:color="auto"/>
            </w:tcBorders>
            <w:shd w:val="clear" w:color="auto" w:fill="FFFFFF"/>
            <w:vAlign w:val="center"/>
            <w:hideMark/>
          </w:tcPr>
          <w:p w14:paraId="4FB69A31" w14:textId="77777777" w:rsidR="00874C1F" w:rsidRPr="00E07359" w:rsidRDefault="00874C1F" w:rsidP="00974955">
            <w:pPr>
              <w:ind w:firstLine="0"/>
              <w:rPr>
                <w:rFonts w:cs="Times New Roman"/>
                <w:sz w:val="20"/>
                <w:szCs w:val="20"/>
                <w:lang w:eastAsia="ru-RU"/>
              </w:rPr>
            </w:pPr>
            <w:r w:rsidRPr="00E07359">
              <w:rPr>
                <w:rFonts w:cs="Times New Roman"/>
                <w:sz w:val="20"/>
                <w:szCs w:val="20"/>
                <w:lang w:eastAsia="ru-RU"/>
              </w:rPr>
              <w:t>Результаты оспаривания кадастровой стоимости</w:t>
            </w:r>
          </w:p>
        </w:tc>
        <w:tc>
          <w:tcPr>
            <w:tcW w:w="2065" w:type="dxa"/>
            <w:tcBorders>
              <w:top w:val="nil"/>
              <w:left w:val="nil"/>
              <w:bottom w:val="single" w:sz="4" w:space="0" w:color="auto"/>
              <w:right w:val="single" w:sz="4" w:space="0" w:color="auto"/>
            </w:tcBorders>
            <w:shd w:val="clear" w:color="auto" w:fill="FFFFFF"/>
            <w:vAlign w:val="center"/>
            <w:hideMark/>
          </w:tcPr>
          <w:p w14:paraId="2B462EBB" w14:textId="77777777" w:rsidR="00874C1F" w:rsidRPr="00E07359" w:rsidRDefault="00874C1F" w:rsidP="001D4D31">
            <w:pPr>
              <w:ind w:firstLine="0"/>
              <w:rPr>
                <w:rFonts w:cs="Times New Roman"/>
                <w:sz w:val="20"/>
                <w:szCs w:val="20"/>
                <w:lang w:eastAsia="ru-RU"/>
              </w:rPr>
            </w:pPr>
            <w:r w:rsidRPr="00E07359">
              <w:rPr>
                <w:rFonts w:cs="Times New Roman"/>
                <w:sz w:val="20"/>
                <w:szCs w:val="20"/>
                <w:lang w:eastAsia="ru-RU"/>
              </w:rPr>
              <w:t>Арбитражный суд РС(Я</w:t>
            </w:r>
          </w:p>
        </w:tc>
        <w:tc>
          <w:tcPr>
            <w:tcW w:w="1276" w:type="dxa"/>
            <w:tcBorders>
              <w:top w:val="nil"/>
              <w:left w:val="nil"/>
              <w:bottom w:val="single" w:sz="4" w:space="0" w:color="auto"/>
              <w:right w:val="single" w:sz="4" w:space="0" w:color="auto"/>
            </w:tcBorders>
            <w:shd w:val="clear" w:color="auto" w:fill="FFFFFF"/>
            <w:vAlign w:val="center"/>
            <w:hideMark/>
          </w:tcPr>
          <w:p w14:paraId="3E7B891C" w14:textId="77777777" w:rsidR="00874C1F" w:rsidRPr="00E07359" w:rsidRDefault="00874C1F" w:rsidP="00974955">
            <w:pPr>
              <w:ind w:firstLine="0"/>
              <w:rPr>
                <w:rFonts w:cs="Times New Roman"/>
                <w:sz w:val="20"/>
                <w:szCs w:val="20"/>
                <w:lang w:eastAsia="ru-RU"/>
              </w:rPr>
            </w:pPr>
            <w:r w:rsidRPr="00E07359">
              <w:rPr>
                <w:rFonts w:cs="Times New Roman"/>
                <w:sz w:val="20"/>
                <w:szCs w:val="20"/>
                <w:lang w:eastAsia="ru-RU"/>
              </w:rPr>
              <w:t xml:space="preserve">Получено, нет рассмотренных дел по ОН за исключением ЗУ </w:t>
            </w:r>
          </w:p>
        </w:tc>
        <w:tc>
          <w:tcPr>
            <w:tcW w:w="1702" w:type="dxa"/>
            <w:tcBorders>
              <w:top w:val="nil"/>
              <w:left w:val="nil"/>
              <w:bottom w:val="single" w:sz="4" w:space="0" w:color="auto"/>
              <w:right w:val="single" w:sz="4" w:space="0" w:color="auto"/>
            </w:tcBorders>
            <w:shd w:val="clear" w:color="auto" w:fill="FFFFFF"/>
            <w:vAlign w:val="center"/>
            <w:hideMark/>
          </w:tcPr>
          <w:p w14:paraId="2447D476" w14:textId="77777777" w:rsidR="00874C1F" w:rsidRPr="00E07359" w:rsidRDefault="00874C1F">
            <w:pPr>
              <w:rPr>
                <w:rFonts w:cs="Times New Roman"/>
                <w:sz w:val="20"/>
                <w:szCs w:val="20"/>
                <w:lang w:eastAsia="ru-RU"/>
              </w:rPr>
            </w:pPr>
            <w:r w:rsidRPr="00E07359">
              <w:rPr>
                <w:rFonts w:cs="Times New Roman"/>
                <w:sz w:val="20"/>
                <w:szCs w:val="20"/>
                <w:lang w:eastAsia="ru-RU"/>
              </w:rPr>
              <w:t>соглашение, письмо от 07.08.2017 б/н</w:t>
            </w:r>
          </w:p>
        </w:tc>
      </w:tr>
      <w:tr w:rsidR="00874C1F" w:rsidRPr="00E07359" w14:paraId="07B24CEC" w14:textId="77777777" w:rsidTr="005376A2">
        <w:trPr>
          <w:trHeight w:val="20"/>
        </w:trPr>
        <w:tc>
          <w:tcPr>
            <w:tcW w:w="562" w:type="dxa"/>
            <w:tcBorders>
              <w:top w:val="nil"/>
              <w:left w:val="single" w:sz="4" w:space="0" w:color="auto"/>
              <w:bottom w:val="single" w:sz="4" w:space="0" w:color="auto"/>
              <w:right w:val="single" w:sz="4" w:space="0" w:color="auto"/>
            </w:tcBorders>
            <w:shd w:val="clear" w:color="auto" w:fill="FFFFFF"/>
            <w:vAlign w:val="center"/>
            <w:hideMark/>
          </w:tcPr>
          <w:p w14:paraId="286AE634" w14:textId="25B88871" w:rsidR="00874C1F" w:rsidRPr="00E07359" w:rsidRDefault="00974955">
            <w:pPr>
              <w:rPr>
                <w:rFonts w:cs="Times New Roman"/>
                <w:sz w:val="20"/>
                <w:szCs w:val="20"/>
                <w:lang w:eastAsia="ru-RU"/>
              </w:rPr>
            </w:pPr>
            <w:r w:rsidRPr="00E07359">
              <w:rPr>
                <w:rFonts w:cs="Times New Roman"/>
                <w:sz w:val="20"/>
                <w:szCs w:val="20"/>
                <w:lang w:eastAsia="ru-RU"/>
              </w:rPr>
              <w:t>8</w:t>
            </w:r>
            <w:r w:rsidR="00874C1F" w:rsidRPr="00E07359">
              <w:rPr>
                <w:rFonts w:cs="Times New Roman"/>
                <w:sz w:val="20"/>
                <w:szCs w:val="20"/>
                <w:lang w:eastAsia="ru-RU"/>
              </w:rPr>
              <w:t>8</w:t>
            </w:r>
          </w:p>
        </w:tc>
        <w:tc>
          <w:tcPr>
            <w:tcW w:w="1380" w:type="dxa"/>
            <w:tcBorders>
              <w:top w:val="nil"/>
              <w:left w:val="nil"/>
              <w:bottom w:val="single" w:sz="4" w:space="0" w:color="auto"/>
              <w:right w:val="single" w:sz="4" w:space="0" w:color="auto"/>
            </w:tcBorders>
            <w:shd w:val="clear" w:color="auto" w:fill="FFFFFF"/>
            <w:vAlign w:val="center"/>
            <w:hideMark/>
          </w:tcPr>
          <w:p w14:paraId="280E1210" w14:textId="77777777" w:rsidR="00874C1F" w:rsidRPr="00E07359" w:rsidRDefault="00874C1F">
            <w:pPr>
              <w:rPr>
                <w:rFonts w:cs="Times New Roman"/>
                <w:sz w:val="20"/>
                <w:szCs w:val="20"/>
                <w:lang w:eastAsia="ru-RU"/>
              </w:rPr>
            </w:pPr>
            <w:r w:rsidRPr="00E07359">
              <w:rPr>
                <w:rFonts w:cs="Times New Roman"/>
                <w:sz w:val="20"/>
                <w:szCs w:val="20"/>
                <w:lang w:eastAsia="ru-RU"/>
              </w:rPr>
              <w:t>от 28.02.2018 №210/01-55</w:t>
            </w:r>
          </w:p>
        </w:tc>
        <w:tc>
          <w:tcPr>
            <w:tcW w:w="2367" w:type="dxa"/>
            <w:tcBorders>
              <w:top w:val="nil"/>
              <w:left w:val="nil"/>
              <w:bottom w:val="single" w:sz="4" w:space="0" w:color="auto"/>
              <w:right w:val="single" w:sz="4" w:space="0" w:color="auto"/>
            </w:tcBorders>
            <w:shd w:val="clear" w:color="auto" w:fill="FFFFFF"/>
            <w:vAlign w:val="center"/>
            <w:hideMark/>
          </w:tcPr>
          <w:p w14:paraId="3ED7B9FE" w14:textId="77777777" w:rsidR="00874C1F" w:rsidRPr="00E07359" w:rsidRDefault="00874C1F" w:rsidP="00974955">
            <w:pPr>
              <w:ind w:firstLine="0"/>
              <w:rPr>
                <w:rFonts w:cs="Times New Roman"/>
                <w:sz w:val="20"/>
                <w:szCs w:val="20"/>
                <w:lang w:eastAsia="ru-RU"/>
              </w:rPr>
            </w:pPr>
            <w:r w:rsidRPr="00E07359">
              <w:rPr>
                <w:rFonts w:cs="Times New Roman"/>
                <w:sz w:val="20"/>
                <w:szCs w:val="20"/>
                <w:lang w:eastAsia="ru-RU"/>
              </w:rPr>
              <w:t>предоставление сведений по многоквартирным и жилых домов признанных аварийными с 01.01.2012 по 01.01.2019</w:t>
            </w:r>
          </w:p>
        </w:tc>
        <w:tc>
          <w:tcPr>
            <w:tcW w:w="2065" w:type="dxa"/>
            <w:tcBorders>
              <w:top w:val="nil"/>
              <w:left w:val="nil"/>
              <w:bottom w:val="single" w:sz="4" w:space="0" w:color="auto"/>
              <w:right w:val="single" w:sz="4" w:space="0" w:color="auto"/>
            </w:tcBorders>
            <w:shd w:val="clear" w:color="auto" w:fill="FFFFFF"/>
            <w:vAlign w:val="center"/>
            <w:hideMark/>
          </w:tcPr>
          <w:p w14:paraId="7507185E" w14:textId="77777777" w:rsidR="00874C1F" w:rsidRPr="00E07359" w:rsidRDefault="00874C1F" w:rsidP="001D4D31">
            <w:pPr>
              <w:ind w:firstLine="0"/>
              <w:rPr>
                <w:rFonts w:cs="Times New Roman"/>
                <w:sz w:val="20"/>
                <w:szCs w:val="20"/>
                <w:lang w:eastAsia="ru-RU"/>
              </w:rPr>
            </w:pPr>
            <w:r w:rsidRPr="00E07359">
              <w:rPr>
                <w:rFonts w:cs="Times New Roman"/>
                <w:sz w:val="20"/>
                <w:szCs w:val="20"/>
                <w:lang w:eastAsia="ru-RU"/>
              </w:rPr>
              <w:t>Министерства строительства РС(Я)</w:t>
            </w:r>
          </w:p>
        </w:tc>
        <w:tc>
          <w:tcPr>
            <w:tcW w:w="1276" w:type="dxa"/>
            <w:tcBorders>
              <w:top w:val="nil"/>
              <w:left w:val="nil"/>
              <w:bottom w:val="single" w:sz="4" w:space="0" w:color="auto"/>
              <w:right w:val="single" w:sz="4" w:space="0" w:color="auto"/>
            </w:tcBorders>
            <w:shd w:val="clear" w:color="auto" w:fill="FFFFFF"/>
            <w:vAlign w:val="center"/>
            <w:hideMark/>
          </w:tcPr>
          <w:p w14:paraId="2C3EB8D9" w14:textId="77777777" w:rsidR="00874C1F" w:rsidRPr="00E07359" w:rsidRDefault="00874C1F" w:rsidP="00974955">
            <w:pPr>
              <w:ind w:firstLine="0"/>
              <w:rPr>
                <w:rFonts w:cs="Times New Roman"/>
                <w:sz w:val="20"/>
                <w:szCs w:val="20"/>
                <w:lang w:eastAsia="ru-RU"/>
              </w:rPr>
            </w:pPr>
            <w:r w:rsidRPr="00E07359">
              <w:rPr>
                <w:rFonts w:cs="Times New Roman"/>
                <w:sz w:val="20"/>
                <w:szCs w:val="20"/>
                <w:lang w:eastAsia="ru-RU"/>
              </w:rPr>
              <w:t>получено</w:t>
            </w:r>
          </w:p>
        </w:tc>
        <w:tc>
          <w:tcPr>
            <w:tcW w:w="1702" w:type="dxa"/>
            <w:tcBorders>
              <w:top w:val="nil"/>
              <w:left w:val="nil"/>
              <w:bottom w:val="single" w:sz="4" w:space="0" w:color="auto"/>
              <w:right w:val="single" w:sz="4" w:space="0" w:color="auto"/>
            </w:tcBorders>
            <w:shd w:val="clear" w:color="auto" w:fill="FFFFFF"/>
            <w:vAlign w:val="center"/>
            <w:hideMark/>
          </w:tcPr>
          <w:p w14:paraId="7D46297B" w14:textId="77777777" w:rsidR="00874C1F" w:rsidRPr="00E07359" w:rsidRDefault="00874C1F">
            <w:pPr>
              <w:rPr>
                <w:rFonts w:cs="Times New Roman"/>
                <w:sz w:val="20"/>
                <w:szCs w:val="20"/>
                <w:lang w:eastAsia="ru-RU"/>
              </w:rPr>
            </w:pPr>
            <w:r w:rsidRPr="00E07359">
              <w:rPr>
                <w:rFonts w:cs="Times New Roman"/>
                <w:sz w:val="20"/>
                <w:szCs w:val="20"/>
                <w:lang w:eastAsia="ru-RU"/>
              </w:rPr>
              <w:t>от 18.04.2019 № 530/200 ГКУ РС(Я) ДЖС РС(Я)</w:t>
            </w:r>
          </w:p>
        </w:tc>
      </w:tr>
      <w:tr w:rsidR="00874C1F" w:rsidRPr="00E07359" w14:paraId="25E4C434" w14:textId="77777777" w:rsidTr="005376A2">
        <w:trPr>
          <w:trHeight w:val="20"/>
        </w:trPr>
        <w:tc>
          <w:tcPr>
            <w:tcW w:w="562" w:type="dxa"/>
            <w:tcBorders>
              <w:top w:val="nil"/>
              <w:left w:val="single" w:sz="4" w:space="0" w:color="auto"/>
              <w:bottom w:val="single" w:sz="4" w:space="0" w:color="auto"/>
              <w:right w:val="single" w:sz="4" w:space="0" w:color="auto"/>
            </w:tcBorders>
            <w:shd w:val="clear" w:color="auto" w:fill="FFFFFF"/>
            <w:vAlign w:val="center"/>
            <w:hideMark/>
          </w:tcPr>
          <w:p w14:paraId="5E3DA950" w14:textId="5C43CF35" w:rsidR="00874C1F" w:rsidRPr="00E07359" w:rsidRDefault="00974955">
            <w:pPr>
              <w:rPr>
                <w:rFonts w:cs="Times New Roman"/>
                <w:sz w:val="20"/>
                <w:szCs w:val="20"/>
                <w:lang w:eastAsia="ru-RU"/>
              </w:rPr>
            </w:pPr>
            <w:r w:rsidRPr="00E07359">
              <w:rPr>
                <w:rFonts w:cs="Times New Roman"/>
                <w:sz w:val="20"/>
                <w:szCs w:val="20"/>
                <w:lang w:eastAsia="ru-RU"/>
              </w:rPr>
              <w:t>9</w:t>
            </w:r>
            <w:r w:rsidR="00874C1F" w:rsidRPr="00E07359">
              <w:rPr>
                <w:rFonts w:cs="Times New Roman"/>
                <w:sz w:val="20"/>
                <w:szCs w:val="20"/>
                <w:lang w:eastAsia="ru-RU"/>
              </w:rPr>
              <w:t>9</w:t>
            </w:r>
          </w:p>
        </w:tc>
        <w:tc>
          <w:tcPr>
            <w:tcW w:w="1380" w:type="dxa"/>
            <w:tcBorders>
              <w:top w:val="nil"/>
              <w:left w:val="nil"/>
              <w:bottom w:val="single" w:sz="4" w:space="0" w:color="auto"/>
              <w:right w:val="single" w:sz="4" w:space="0" w:color="auto"/>
            </w:tcBorders>
            <w:shd w:val="clear" w:color="auto" w:fill="FFFFFF"/>
            <w:vAlign w:val="center"/>
            <w:hideMark/>
          </w:tcPr>
          <w:p w14:paraId="7E954903" w14:textId="77777777" w:rsidR="00874C1F" w:rsidRPr="00E07359" w:rsidRDefault="00874C1F" w:rsidP="001D4D31">
            <w:pPr>
              <w:ind w:firstLine="0"/>
              <w:rPr>
                <w:rFonts w:cs="Times New Roman"/>
                <w:sz w:val="20"/>
                <w:szCs w:val="20"/>
                <w:lang w:eastAsia="ru-RU"/>
              </w:rPr>
            </w:pPr>
            <w:r w:rsidRPr="00E07359">
              <w:rPr>
                <w:rFonts w:cs="Times New Roman"/>
                <w:sz w:val="20"/>
                <w:szCs w:val="20"/>
                <w:lang w:eastAsia="ru-RU"/>
              </w:rPr>
              <w:t>2143532361919000004</w:t>
            </w:r>
          </w:p>
        </w:tc>
        <w:tc>
          <w:tcPr>
            <w:tcW w:w="2367" w:type="dxa"/>
            <w:tcBorders>
              <w:top w:val="nil"/>
              <w:left w:val="nil"/>
              <w:bottom w:val="single" w:sz="4" w:space="0" w:color="auto"/>
              <w:right w:val="single" w:sz="4" w:space="0" w:color="auto"/>
            </w:tcBorders>
            <w:shd w:val="clear" w:color="auto" w:fill="FFFFFF"/>
            <w:vAlign w:val="center"/>
            <w:hideMark/>
          </w:tcPr>
          <w:p w14:paraId="401EE7F5" w14:textId="1B99A2D8" w:rsidR="00874C1F" w:rsidRPr="00E07359" w:rsidRDefault="00874C1F" w:rsidP="00974955">
            <w:pPr>
              <w:ind w:firstLine="0"/>
              <w:rPr>
                <w:rFonts w:cs="Times New Roman"/>
                <w:sz w:val="20"/>
                <w:szCs w:val="20"/>
                <w:lang w:eastAsia="ru-RU"/>
              </w:rPr>
            </w:pPr>
            <w:r w:rsidRPr="00E07359">
              <w:rPr>
                <w:rFonts w:cs="Times New Roman"/>
                <w:sz w:val="20"/>
                <w:szCs w:val="20"/>
                <w:lang w:eastAsia="ru-RU"/>
              </w:rPr>
              <w:t xml:space="preserve">Государственный контракт </w:t>
            </w:r>
          </w:p>
          <w:p w14:paraId="7CB5832F" w14:textId="1D5E773C" w:rsidR="00874C1F" w:rsidRPr="00E07359" w:rsidRDefault="00874C1F" w:rsidP="00974955">
            <w:pPr>
              <w:ind w:firstLine="0"/>
              <w:rPr>
                <w:rFonts w:cs="Times New Roman"/>
                <w:sz w:val="20"/>
                <w:szCs w:val="20"/>
                <w:lang w:eastAsia="ru-RU"/>
              </w:rPr>
            </w:pPr>
          </w:p>
        </w:tc>
        <w:tc>
          <w:tcPr>
            <w:tcW w:w="2065" w:type="dxa"/>
            <w:tcBorders>
              <w:top w:val="nil"/>
              <w:left w:val="nil"/>
              <w:bottom w:val="single" w:sz="4" w:space="0" w:color="auto"/>
              <w:right w:val="single" w:sz="4" w:space="0" w:color="auto"/>
            </w:tcBorders>
            <w:shd w:val="clear" w:color="auto" w:fill="FFFFFF"/>
            <w:vAlign w:val="center"/>
            <w:hideMark/>
          </w:tcPr>
          <w:p w14:paraId="5A769277" w14:textId="77777777" w:rsidR="00874C1F" w:rsidRPr="00E07359" w:rsidRDefault="00874C1F" w:rsidP="001D4D31">
            <w:pPr>
              <w:ind w:firstLine="0"/>
              <w:rPr>
                <w:rFonts w:cs="Times New Roman"/>
                <w:sz w:val="20"/>
                <w:szCs w:val="20"/>
                <w:lang w:eastAsia="ru-RU"/>
              </w:rPr>
            </w:pPr>
            <w:r w:rsidRPr="00E07359">
              <w:rPr>
                <w:rFonts w:cs="Times New Roman"/>
                <w:sz w:val="20"/>
                <w:szCs w:val="20"/>
                <w:lang w:eastAsia="ru-RU"/>
              </w:rPr>
              <w:t>ООО "Управляющая компания Республиканского центра технического учета и технической инвентаризации"</w:t>
            </w:r>
          </w:p>
        </w:tc>
        <w:tc>
          <w:tcPr>
            <w:tcW w:w="1276" w:type="dxa"/>
            <w:tcBorders>
              <w:top w:val="nil"/>
              <w:left w:val="nil"/>
              <w:bottom w:val="single" w:sz="4" w:space="0" w:color="auto"/>
              <w:right w:val="single" w:sz="4" w:space="0" w:color="auto"/>
            </w:tcBorders>
            <w:shd w:val="clear" w:color="auto" w:fill="FFFFFF"/>
            <w:vAlign w:val="center"/>
            <w:hideMark/>
          </w:tcPr>
          <w:p w14:paraId="11DDCAC1" w14:textId="77777777" w:rsidR="00874C1F" w:rsidRPr="00E07359" w:rsidRDefault="00874C1F" w:rsidP="00974955">
            <w:pPr>
              <w:ind w:firstLine="0"/>
              <w:rPr>
                <w:rFonts w:cs="Times New Roman"/>
                <w:sz w:val="20"/>
                <w:szCs w:val="20"/>
                <w:lang w:eastAsia="ru-RU"/>
              </w:rPr>
            </w:pPr>
            <w:r w:rsidRPr="00E07359">
              <w:rPr>
                <w:rFonts w:cs="Times New Roman"/>
                <w:sz w:val="20"/>
                <w:szCs w:val="20"/>
                <w:lang w:eastAsia="ru-RU"/>
              </w:rPr>
              <w:t>уточнение характеристик объектов недвижимости подлежащих государственной кадастровой оценке</w:t>
            </w:r>
          </w:p>
        </w:tc>
        <w:tc>
          <w:tcPr>
            <w:tcW w:w="1702" w:type="dxa"/>
            <w:tcBorders>
              <w:top w:val="nil"/>
              <w:left w:val="nil"/>
              <w:bottom w:val="single" w:sz="4" w:space="0" w:color="auto"/>
              <w:right w:val="single" w:sz="4" w:space="0" w:color="auto"/>
            </w:tcBorders>
            <w:shd w:val="clear" w:color="auto" w:fill="FFFFFF"/>
            <w:vAlign w:val="center"/>
            <w:hideMark/>
          </w:tcPr>
          <w:p w14:paraId="04B81AB2" w14:textId="77777777" w:rsidR="00874C1F" w:rsidRPr="00E07359" w:rsidRDefault="00874C1F">
            <w:pPr>
              <w:rPr>
                <w:rFonts w:cs="Times New Roman"/>
                <w:sz w:val="20"/>
                <w:szCs w:val="20"/>
                <w:lang w:eastAsia="ru-RU"/>
              </w:rPr>
            </w:pPr>
            <w:r w:rsidRPr="00E07359">
              <w:rPr>
                <w:rFonts w:cs="Times New Roman"/>
                <w:sz w:val="20"/>
                <w:szCs w:val="20"/>
                <w:lang w:eastAsia="ru-RU"/>
              </w:rPr>
              <w:t>Акт  от 2019-05-22</w:t>
            </w:r>
          </w:p>
        </w:tc>
      </w:tr>
      <w:tr w:rsidR="001D4D31" w:rsidRPr="00E07359" w14:paraId="13CA1BA5" w14:textId="77777777" w:rsidTr="005376A2">
        <w:trPr>
          <w:trHeight w:val="20"/>
        </w:trPr>
        <w:tc>
          <w:tcPr>
            <w:tcW w:w="562" w:type="dxa"/>
            <w:tcBorders>
              <w:top w:val="single" w:sz="4" w:space="0" w:color="auto"/>
              <w:left w:val="single" w:sz="4" w:space="0" w:color="auto"/>
              <w:bottom w:val="single" w:sz="4" w:space="0" w:color="auto"/>
              <w:right w:val="single" w:sz="4" w:space="0" w:color="auto"/>
            </w:tcBorders>
            <w:shd w:val="clear" w:color="auto" w:fill="FFFFFF"/>
            <w:vAlign w:val="center"/>
          </w:tcPr>
          <w:p w14:paraId="38C01C54" w14:textId="198EAE58" w:rsidR="001D4D31" w:rsidRPr="00E07359" w:rsidRDefault="001D4D31" w:rsidP="001D4D31">
            <w:pPr>
              <w:ind w:firstLine="22"/>
              <w:rPr>
                <w:rFonts w:cs="Times New Roman"/>
                <w:sz w:val="20"/>
                <w:szCs w:val="20"/>
                <w:lang w:eastAsia="ru-RU"/>
              </w:rPr>
            </w:pPr>
            <w:r w:rsidRPr="00E07359">
              <w:rPr>
                <w:rFonts w:cs="Times New Roman"/>
                <w:sz w:val="20"/>
                <w:szCs w:val="20"/>
                <w:lang w:eastAsia="ru-RU"/>
              </w:rPr>
              <w:t>10</w:t>
            </w:r>
          </w:p>
        </w:tc>
        <w:tc>
          <w:tcPr>
            <w:tcW w:w="1380" w:type="dxa"/>
            <w:tcBorders>
              <w:top w:val="single" w:sz="4" w:space="0" w:color="auto"/>
              <w:left w:val="nil"/>
              <w:bottom w:val="single" w:sz="4" w:space="0" w:color="auto"/>
              <w:right w:val="single" w:sz="4" w:space="0" w:color="auto"/>
            </w:tcBorders>
            <w:shd w:val="clear" w:color="auto" w:fill="FFFFFF"/>
            <w:vAlign w:val="center"/>
          </w:tcPr>
          <w:p w14:paraId="3D0B9503" w14:textId="2196F177" w:rsidR="001D4D31" w:rsidRPr="00E07359" w:rsidRDefault="001E282F" w:rsidP="001D4D31">
            <w:pPr>
              <w:ind w:firstLine="0"/>
              <w:rPr>
                <w:rFonts w:cs="Times New Roman"/>
                <w:sz w:val="20"/>
                <w:szCs w:val="20"/>
                <w:lang w:eastAsia="ru-RU"/>
              </w:rPr>
            </w:pPr>
            <w:r w:rsidRPr="00E07359">
              <w:rPr>
                <w:rFonts w:cs="Times New Roman"/>
                <w:sz w:val="20"/>
                <w:szCs w:val="20"/>
                <w:lang w:eastAsia="ru-RU"/>
              </w:rPr>
              <w:t>от 15.02.2019 №175</w:t>
            </w:r>
          </w:p>
        </w:tc>
        <w:tc>
          <w:tcPr>
            <w:tcW w:w="2367" w:type="dxa"/>
            <w:tcBorders>
              <w:top w:val="single" w:sz="4" w:space="0" w:color="auto"/>
              <w:left w:val="nil"/>
              <w:bottom w:val="single" w:sz="4" w:space="0" w:color="auto"/>
              <w:right w:val="single" w:sz="4" w:space="0" w:color="auto"/>
            </w:tcBorders>
            <w:shd w:val="clear" w:color="auto" w:fill="FFFFFF"/>
            <w:vAlign w:val="center"/>
          </w:tcPr>
          <w:p w14:paraId="2139A490" w14:textId="68A38A1B" w:rsidR="001D4D31" w:rsidRPr="00E07359" w:rsidRDefault="001D4D31" w:rsidP="00974955">
            <w:pPr>
              <w:ind w:firstLine="0"/>
              <w:rPr>
                <w:rFonts w:cs="Times New Roman"/>
                <w:sz w:val="20"/>
                <w:szCs w:val="20"/>
                <w:lang w:eastAsia="ru-RU"/>
              </w:rPr>
            </w:pPr>
            <w:r w:rsidRPr="00E07359">
              <w:rPr>
                <w:rFonts w:cs="Times New Roman"/>
                <w:sz w:val="20"/>
                <w:szCs w:val="20"/>
                <w:lang w:eastAsia="ru-RU"/>
              </w:rPr>
              <w:t>Предоставление сведений по численности</w:t>
            </w:r>
            <w:r w:rsidR="001C5296" w:rsidRPr="00E07359">
              <w:rPr>
                <w:rFonts w:cs="Times New Roman"/>
                <w:sz w:val="20"/>
                <w:szCs w:val="20"/>
                <w:lang w:eastAsia="ru-RU"/>
              </w:rPr>
              <w:t xml:space="preserve">, </w:t>
            </w:r>
            <w:r w:rsidR="00927EF7" w:rsidRPr="00E07359">
              <w:rPr>
                <w:rFonts w:cs="Times New Roman"/>
                <w:sz w:val="20"/>
                <w:szCs w:val="20"/>
                <w:lang w:eastAsia="ru-RU"/>
              </w:rPr>
              <w:t xml:space="preserve">среднемесячная заработная плате, </w:t>
            </w:r>
          </w:p>
          <w:p w14:paraId="00606D69" w14:textId="6D02D887" w:rsidR="001D4D31" w:rsidRPr="00E07359" w:rsidRDefault="001D4D31" w:rsidP="00974955">
            <w:pPr>
              <w:ind w:firstLine="0"/>
              <w:rPr>
                <w:rFonts w:cs="Times New Roman"/>
                <w:sz w:val="20"/>
                <w:szCs w:val="20"/>
                <w:lang w:eastAsia="ru-RU"/>
              </w:rPr>
            </w:pPr>
          </w:p>
        </w:tc>
        <w:tc>
          <w:tcPr>
            <w:tcW w:w="2065" w:type="dxa"/>
            <w:tcBorders>
              <w:top w:val="single" w:sz="4" w:space="0" w:color="auto"/>
              <w:left w:val="nil"/>
              <w:bottom w:val="single" w:sz="4" w:space="0" w:color="auto"/>
              <w:right w:val="single" w:sz="4" w:space="0" w:color="auto"/>
            </w:tcBorders>
            <w:shd w:val="clear" w:color="auto" w:fill="FFFFFF"/>
            <w:vAlign w:val="center"/>
          </w:tcPr>
          <w:p w14:paraId="0E51F60B" w14:textId="2F0CA3BC" w:rsidR="001D4D31" w:rsidRPr="00E07359" w:rsidRDefault="001D4D31" w:rsidP="001D4D31">
            <w:pPr>
              <w:ind w:firstLine="0"/>
              <w:rPr>
                <w:rFonts w:cs="Times New Roman"/>
                <w:sz w:val="20"/>
                <w:szCs w:val="20"/>
                <w:lang w:eastAsia="ru-RU"/>
              </w:rPr>
            </w:pPr>
            <w:r w:rsidRPr="00E07359">
              <w:rPr>
                <w:rFonts w:cs="Times New Roman"/>
                <w:sz w:val="20"/>
                <w:szCs w:val="20"/>
                <w:lang w:eastAsia="ru-RU"/>
              </w:rPr>
              <w:t>Министерство имущественных отношений Республики Саха (Якутия)</w:t>
            </w:r>
            <w:r w:rsidR="00927EF7" w:rsidRPr="00E07359">
              <w:rPr>
                <w:rFonts w:cs="Times New Roman"/>
                <w:sz w:val="20"/>
                <w:szCs w:val="20"/>
                <w:lang w:eastAsia="ru-RU"/>
              </w:rPr>
              <w:t xml:space="preserve"> </w:t>
            </w:r>
          </w:p>
        </w:tc>
        <w:tc>
          <w:tcPr>
            <w:tcW w:w="1276" w:type="dxa"/>
            <w:tcBorders>
              <w:top w:val="single" w:sz="4" w:space="0" w:color="auto"/>
              <w:left w:val="nil"/>
              <w:bottom w:val="single" w:sz="4" w:space="0" w:color="auto"/>
              <w:right w:val="single" w:sz="4" w:space="0" w:color="auto"/>
            </w:tcBorders>
            <w:shd w:val="clear" w:color="auto" w:fill="FFFFFF"/>
            <w:vAlign w:val="center"/>
          </w:tcPr>
          <w:p w14:paraId="7958AD81" w14:textId="61C0D073" w:rsidR="001D4D31" w:rsidRPr="00E07359" w:rsidRDefault="00927EF7" w:rsidP="00927EF7">
            <w:pPr>
              <w:ind w:firstLine="0"/>
              <w:rPr>
                <w:rFonts w:cs="Times New Roman"/>
                <w:sz w:val="20"/>
                <w:szCs w:val="20"/>
                <w:lang w:eastAsia="ru-RU"/>
              </w:rPr>
            </w:pPr>
            <w:r w:rsidRPr="00E07359">
              <w:rPr>
                <w:rFonts w:cs="Times New Roman"/>
                <w:sz w:val="20"/>
                <w:szCs w:val="20"/>
                <w:lang w:eastAsia="ru-RU"/>
              </w:rPr>
              <w:t xml:space="preserve">Получены информации от ТОФСГ статистики по РС(Я) </w:t>
            </w:r>
          </w:p>
        </w:tc>
        <w:tc>
          <w:tcPr>
            <w:tcW w:w="1702" w:type="dxa"/>
            <w:tcBorders>
              <w:top w:val="single" w:sz="4" w:space="0" w:color="auto"/>
              <w:left w:val="nil"/>
              <w:bottom w:val="single" w:sz="4" w:space="0" w:color="auto"/>
              <w:right w:val="single" w:sz="4" w:space="0" w:color="auto"/>
            </w:tcBorders>
            <w:shd w:val="clear" w:color="auto" w:fill="FFFFFF"/>
            <w:vAlign w:val="center"/>
          </w:tcPr>
          <w:p w14:paraId="5A052E32" w14:textId="7424A771" w:rsidR="001D4D31" w:rsidRPr="00E07359" w:rsidRDefault="00191894">
            <w:pPr>
              <w:rPr>
                <w:rFonts w:cs="Times New Roman"/>
                <w:sz w:val="20"/>
                <w:szCs w:val="20"/>
                <w:lang w:eastAsia="ru-RU"/>
              </w:rPr>
            </w:pPr>
            <w:r w:rsidRPr="00E07359">
              <w:rPr>
                <w:rFonts w:cs="Times New Roman"/>
                <w:sz w:val="20"/>
                <w:szCs w:val="20"/>
                <w:lang w:eastAsia="ru-RU"/>
              </w:rPr>
              <w:t>от 11.03.2019 №04/И-09-2324</w:t>
            </w:r>
          </w:p>
        </w:tc>
      </w:tr>
      <w:tr w:rsidR="00927EF7" w:rsidRPr="00E07359" w14:paraId="6344CCE5" w14:textId="77777777" w:rsidTr="005376A2">
        <w:trPr>
          <w:trHeight w:val="20"/>
        </w:trPr>
        <w:tc>
          <w:tcPr>
            <w:tcW w:w="562" w:type="dxa"/>
            <w:tcBorders>
              <w:top w:val="single" w:sz="4" w:space="0" w:color="auto"/>
              <w:left w:val="single" w:sz="4" w:space="0" w:color="auto"/>
              <w:bottom w:val="single" w:sz="4" w:space="0" w:color="auto"/>
              <w:right w:val="single" w:sz="4" w:space="0" w:color="auto"/>
            </w:tcBorders>
            <w:shd w:val="clear" w:color="auto" w:fill="FFFFFF"/>
            <w:vAlign w:val="center"/>
          </w:tcPr>
          <w:p w14:paraId="34CE2E8C" w14:textId="33FF8EE2" w:rsidR="00927EF7" w:rsidRPr="00E07359" w:rsidRDefault="00927EF7" w:rsidP="001D4D31">
            <w:pPr>
              <w:ind w:firstLine="22"/>
              <w:rPr>
                <w:rFonts w:cs="Times New Roman"/>
                <w:sz w:val="20"/>
                <w:szCs w:val="20"/>
                <w:lang w:eastAsia="ru-RU"/>
              </w:rPr>
            </w:pPr>
            <w:r w:rsidRPr="00E07359">
              <w:rPr>
                <w:rFonts w:cs="Times New Roman"/>
                <w:sz w:val="20"/>
                <w:szCs w:val="20"/>
                <w:lang w:eastAsia="ru-RU"/>
              </w:rPr>
              <w:t>11</w:t>
            </w:r>
          </w:p>
        </w:tc>
        <w:tc>
          <w:tcPr>
            <w:tcW w:w="1380" w:type="dxa"/>
            <w:tcBorders>
              <w:top w:val="single" w:sz="4" w:space="0" w:color="auto"/>
              <w:left w:val="nil"/>
              <w:bottom w:val="single" w:sz="4" w:space="0" w:color="auto"/>
              <w:right w:val="single" w:sz="4" w:space="0" w:color="auto"/>
            </w:tcBorders>
            <w:shd w:val="clear" w:color="auto" w:fill="FFFFFF"/>
            <w:vAlign w:val="center"/>
          </w:tcPr>
          <w:p w14:paraId="64DC775D" w14:textId="5C557659" w:rsidR="00927EF7" w:rsidRPr="00E07359" w:rsidRDefault="001E282F" w:rsidP="001D4D31">
            <w:pPr>
              <w:ind w:firstLine="0"/>
              <w:rPr>
                <w:rFonts w:cs="Times New Roman"/>
                <w:sz w:val="20"/>
                <w:szCs w:val="20"/>
                <w:lang w:eastAsia="ru-RU"/>
              </w:rPr>
            </w:pPr>
            <w:r w:rsidRPr="00E07359">
              <w:rPr>
                <w:rFonts w:cs="Times New Roman"/>
                <w:sz w:val="20"/>
                <w:szCs w:val="20"/>
                <w:lang w:eastAsia="ru-RU"/>
              </w:rPr>
              <w:t>От 15.02.2019 177/01-55</w:t>
            </w:r>
          </w:p>
        </w:tc>
        <w:tc>
          <w:tcPr>
            <w:tcW w:w="2367" w:type="dxa"/>
            <w:tcBorders>
              <w:top w:val="single" w:sz="4" w:space="0" w:color="auto"/>
              <w:left w:val="nil"/>
              <w:bottom w:val="single" w:sz="4" w:space="0" w:color="auto"/>
              <w:right w:val="single" w:sz="4" w:space="0" w:color="auto"/>
            </w:tcBorders>
            <w:shd w:val="clear" w:color="auto" w:fill="FFFFFF"/>
            <w:vAlign w:val="center"/>
          </w:tcPr>
          <w:p w14:paraId="78DC2810" w14:textId="7E73744A" w:rsidR="00927EF7" w:rsidRPr="00E07359" w:rsidRDefault="001E282F" w:rsidP="00974955">
            <w:pPr>
              <w:ind w:firstLine="0"/>
              <w:rPr>
                <w:rFonts w:cs="Times New Roman"/>
                <w:sz w:val="20"/>
                <w:szCs w:val="20"/>
                <w:lang w:eastAsia="ru-RU"/>
              </w:rPr>
            </w:pPr>
            <w:r w:rsidRPr="00E07359">
              <w:rPr>
                <w:rFonts w:cs="Times New Roman"/>
                <w:sz w:val="20"/>
                <w:szCs w:val="20"/>
                <w:lang w:eastAsia="ru-RU"/>
              </w:rPr>
              <w:t>Предоставление векторных слоев ОКС, границ НП, Мо, МР</w:t>
            </w:r>
          </w:p>
        </w:tc>
        <w:tc>
          <w:tcPr>
            <w:tcW w:w="2065" w:type="dxa"/>
            <w:tcBorders>
              <w:top w:val="single" w:sz="4" w:space="0" w:color="auto"/>
              <w:left w:val="nil"/>
              <w:bottom w:val="single" w:sz="4" w:space="0" w:color="auto"/>
              <w:right w:val="single" w:sz="4" w:space="0" w:color="auto"/>
            </w:tcBorders>
            <w:shd w:val="clear" w:color="auto" w:fill="FFFFFF"/>
            <w:vAlign w:val="center"/>
          </w:tcPr>
          <w:p w14:paraId="30F9E2A1" w14:textId="2753D508" w:rsidR="00927EF7" w:rsidRPr="00E07359" w:rsidRDefault="00927EF7" w:rsidP="001D4D31">
            <w:pPr>
              <w:ind w:firstLine="0"/>
              <w:rPr>
                <w:rFonts w:cs="Times New Roman"/>
                <w:sz w:val="20"/>
                <w:szCs w:val="20"/>
                <w:lang w:eastAsia="ru-RU"/>
              </w:rPr>
            </w:pPr>
            <w:r w:rsidRPr="00E07359">
              <w:rPr>
                <w:rFonts w:cs="Times New Roman"/>
                <w:sz w:val="20"/>
                <w:szCs w:val="20"/>
                <w:lang w:eastAsia="ru-RU"/>
              </w:rPr>
              <w:t>Министерство имущественных отношений Республики Саха (Якутия)</w:t>
            </w:r>
          </w:p>
        </w:tc>
        <w:tc>
          <w:tcPr>
            <w:tcW w:w="1276" w:type="dxa"/>
            <w:tcBorders>
              <w:top w:val="single" w:sz="4" w:space="0" w:color="auto"/>
              <w:left w:val="nil"/>
              <w:bottom w:val="single" w:sz="4" w:space="0" w:color="auto"/>
              <w:right w:val="single" w:sz="4" w:space="0" w:color="auto"/>
            </w:tcBorders>
            <w:shd w:val="clear" w:color="auto" w:fill="FFFFFF"/>
            <w:vAlign w:val="center"/>
          </w:tcPr>
          <w:p w14:paraId="7D77F4DB" w14:textId="098F2E07" w:rsidR="00927EF7" w:rsidRPr="00E07359" w:rsidRDefault="00191894" w:rsidP="00191894">
            <w:pPr>
              <w:ind w:firstLine="0"/>
              <w:rPr>
                <w:rFonts w:cs="Times New Roman"/>
                <w:sz w:val="20"/>
                <w:szCs w:val="20"/>
                <w:lang w:eastAsia="ru-RU"/>
              </w:rPr>
            </w:pPr>
            <w:r w:rsidRPr="00E07359">
              <w:rPr>
                <w:rFonts w:cs="Times New Roman"/>
                <w:sz w:val="20"/>
                <w:szCs w:val="20"/>
                <w:lang w:eastAsia="ru-RU"/>
              </w:rPr>
              <w:t>Получен доступ на ГИС МИЗО РС(Я)</w:t>
            </w:r>
          </w:p>
        </w:tc>
        <w:tc>
          <w:tcPr>
            <w:tcW w:w="1702" w:type="dxa"/>
            <w:tcBorders>
              <w:top w:val="single" w:sz="4" w:space="0" w:color="auto"/>
              <w:left w:val="nil"/>
              <w:bottom w:val="single" w:sz="4" w:space="0" w:color="auto"/>
              <w:right w:val="single" w:sz="4" w:space="0" w:color="auto"/>
            </w:tcBorders>
            <w:shd w:val="clear" w:color="auto" w:fill="FFFFFF"/>
            <w:vAlign w:val="center"/>
          </w:tcPr>
          <w:p w14:paraId="7DF96280" w14:textId="1A090DD9" w:rsidR="00927EF7" w:rsidRPr="00E07359" w:rsidRDefault="00191894">
            <w:pPr>
              <w:rPr>
                <w:rFonts w:cs="Times New Roman"/>
                <w:sz w:val="20"/>
                <w:szCs w:val="20"/>
                <w:lang w:eastAsia="ru-RU"/>
              </w:rPr>
            </w:pPr>
            <w:r w:rsidRPr="00E07359">
              <w:rPr>
                <w:rFonts w:cs="Times New Roman"/>
                <w:sz w:val="20"/>
                <w:szCs w:val="20"/>
                <w:lang w:eastAsia="ru-RU"/>
              </w:rPr>
              <w:t>от 11.03.2019 №04/И-09-2324</w:t>
            </w:r>
          </w:p>
        </w:tc>
      </w:tr>
      <w:tr w:rsidR="001B373B" w:rsidRPr="00E07359" w14:paraId="61B2E2FC" w14:textId="77777777" w:rsidTr="005376A2">
        <w:trPr>
          <w:trHeight w:val="20"/>
        </w:trPr>
        <w:tc>
          <w:tcPr>
            <w:tcW w:w="562" w:type="dxa"/>
            <w:tcBorders>
              <w:top w:val="single" w:sz="4" w:space="0" w:color="auto"/>
              <w:left w:val="single" w:sz="4" w:space="0" w:color="auto"/>
              <w:bottom w:val="single" w:sz="4" w:space="0" w:color="auto"/>
              <w:right w:val="single" w:sz="4" w:space="0" w:color="auto"/>
            </w:tcBorders>
            <w:shd w:val="clear" w:color="auto" w:fill="FFFFFF"/>
            <w:vAlign w:val="center"/>
          </w:tcPr>
          <w:p w14:paraId="64F968D7" w14:textId="35358736" w:rsidR="001B373B" w:rsidRPr="00E07359" w:rsidRDefault="001B373B" w:rsidP="001D4D31">
            <w:pPr>
              <w:ind w:firstLine="22"/>
              <w:rPr>
                <w:rFonts w:cs="Times New Roman"/>
                <w:sz w:val="20"/>
                <w:szCs w:val="20"/>
                <w:lang w:eastAsia="ru-RU"/>
              </w:rPr>
            </w:pPr>
            <w:r w:rsidRPr="00E07359">
              <w:rPr>
                <w:rFonts w:cs="Times New Roman"/>
                <w:sz w:val="20"/>
                <w:szCs w:val="20"/>
                <w:lang w:eastAsia="ru-RU"/>
              </w:rPr>
              <w:t>12</w:t>
            </w:r>
          </w:p>
        </w:tc>
        <w:tc>
          <w:tcPr>
            <w:tcW w:w="1380" w:type="dxa"/>
            <w:tcBorders>
              <w:top w:val="single" w:sz="4" w:space="0" w:color="auto"/>
              <w:left w:val="nil"/>
              <w:bottom w:val="single" w:sz="4" w:space="0" w:color="auto"/>
              <w:right w:val="single" w:sz="4" w:space="0" w:color="auto"/>
            </w:tcBorders>
            <w:shd w:val="clear" w:color="auto" w:fill="FFFFFF"/>
            <w:vAlign w:val="center"/>
          </w:tcPr>
          <w:p w14:paraId="4F37E868" w14:textId="0372EFC1" w:rsidR="001B373B" w:rsidRPr="00E07359" w:rsidRDefault="001B373B" w:rsidP="001D4D31">
            <w:pPr>
              <w:ind w:firstLine="0"/>
              <w:rPr>
                <w:rFonts w:cs="Times New Roman"/>
                <w:sz w:val="20"/>
                <w:szCs w:val="20"/>
                <w:lang w:eastAsia="ru-RU"/>
              </w:rPr>
            </w:pPr>
            <w:r w:rsidRPr="00E07359">
              <w:rPr>
                <w:rFonts w:cs="Times New Roman"/>
                <w:sz w:val="20"/>
                <w:szCs w:val="20"/>
                <w:lang w:eastAsia="ru-RU"/>
              </w:rPr>
              <w:t>От 08.04.2019 №188/01-55</w:t>
            </w:r>
          </w:p>
        </w:tc>
        <w:tc>
          <w:tcPr>
            <w:tcW w:w="2367" w:type="dxa"/>
            <w:tcBorders>
              <w:top w:val="single" w:sz="4" w:space="0" w:color="auto"/>
              <w:left w:val="nil"/>
              <w:bottom w:val="single" w:sz="4" w:space="0" w:color="auto"/>
              <w:right w:val="single" w:sz="4" w:space="0" w:color="auto"/>
            </w:tcBorders>
            <w:shd w:val="clear" w:color="auto" w:fill="FFFFFF"/>
            <w:vAlign w:val="center"/>
          </w:tcPr>
          <w:p w14:paraId="2EDBB1A1" w14:textId="35C039A2" w:rsidR="001B373B" w:rsidRPr="00E07359" w:rsidRDefault="001B373B" w:rsidP="00974955">
            <w:pPr>
              <w:ind w:firstLine="0"/>
              <w:rPr>
                <w:rFonts w:cs="Times New Roman"/>
                <w:sz w:val="20"/>
                <w:szCs w:val="20"/>
                <w:lang w:eastAsia="ru-RU"/>
              </w:rPr>
            </w:pPr>
            <w:r w:rsidRPr="00E07359">
              <w:rPr>
                <w:rFonts w:cs="Times New Roman"/>
                <w:sz w:val="20"/>
                <w:szCs w:val="20"/>
                <w:lang w:eastAsia="ru-RU"/>
              </w:rPr>
              <w:t>Предоставление численности населения</w:t>
            </w:r>
          </w:p>
        </w:tc>
        <w:tc>
          <w:tcPr>
            <w:tcW w:w="2065" w:type="dxa"/>
            <w:tcBorders>
              <w:top w:val="single" w:sz="4" w:space="0" w:color="auto"/>
              <w:left w:val="nil"/>
              <w:bottom w:val="single" w:sz="4" w:space="0" w:color="auto"/>
              <w:right w:val="single" w:sz="4" w:space="0" w:color="auto"/>
            </w:tcBorders>
            <w:shd w:val="clear" w:color="auto" w:fill="FFFFFF"/>
            <w:vAlign w:val="center"/>
          </w:tcPr>
          <w:p w14:paraId="3D3A2AC8" w14:textId="0FA69910" w:rsidR="001B373B" w:rsidRPr="00E07359" w:rsidRDefault="001B373B" w:rsidP="001D4D31">
            <w:pPr>
              <w:ind w:firstLine="0"/>
              <w:rPr>
                <w:rFonts w:cs="Times New Roman"/>
                <w:sz w:val="20"/>
                <w:szCs w:val="20"/>
                <w:lang w:eastAsia="ru-RU"/>
              </w:rPr>
            </w:pPr>
            <w:r w:rsidRPr="00E07359">
              <w:rPr>
                <w:rFonts w:cs="Times New Roman"/>
                <w:sz w:val="20"/>
                <w:szCs w:val="20"/>
                <w:lang w:eastAsia="ru-RU"/>
              </w:rPr>
              <w:t>Министерство имущественных отношений Республики Саха (Якутия)</w:t>
            </w:r>
          </w:p>
        </w:tc>
        <w:tc>
          <w:tcPr>
            <w:tcW w:w="1276" w:type="dxa"/>
            <w:tcBorders>
              <w:top w:val="single" w:sz="4" w:space="0" w:color="auto"/>
              <w:left w:val="nil"/>
              <w:bottom w:val="single" w:sz="4" w:space="0" w:color="auto"/>
              <w:right w:val="single" w:sz="4" w:space="0" w:color="auto"/>
            </w:tcBorders>
            <w:shd w:val="clear" w:color="auto" w:fill="FFFFFF"/>
            <w:vAlign w:val="center"/>
          </w:tcPr>
          <w:p w14:paraId="7B880475" w14:textId="77777777" w:rsidR="001B373B" w:rsidRPr="00E07359" w:rsidRDefault="001B373B" w:rsidP="00974955">
            <w:pPr>
              <w:ind w:firstLine="0"/>
              <w:rPr>
                <w:rFonts w:cs="Times New Roman"/>
                <w:sz w:val="20"/>
                <w:szCs w:val="20"/>
                <w:lang w:eastAsia="ru-RU"/>
              </w:rPr>
            </w:pPr>
          </w:p>
        </w:tc>
        <w:tc>
          <w:tcPr>
            <w:tcW w:w="1702" w:type="dxa"/>
            <w:tcBorders>
              <w:top w:val="single" w:sz="4" w:space="0" w:color="auto"/>
              <w:left w:val="nil"/>
              <w:bottom w:val="single" w:sz="4" w:space="0" w:color="auto"/>
              <w:right w:val="single" w:sz="4" w:space="0" w:color="auto"/>
            </w:tcBorders>
            <w:shd w:val="clear" w:color="auto" w:fill="FFFFFF"/>
            <w:vAlign w:val="center"/>
          </w:tcPr>
          <w:p w14:paraId="2C1FF97C" w14:textId="69557CC2" w:rsidR="001B373B" w:rsidRPr="00E07359" w:rsidRDefault="00A840E5">
            <w:pPr>
              <w:rPr>
                <w:rFonts w:cs="Times New Roman"/>
                <w:sz w:val="20"/>
                <w:szCs w:val="20"/>
                <w:lang w:eastAsia="ru-RU"/>
              </w:rPr>
            </w:pPr>
            <w:r w:rsidRPr="00E07359">
              <w:rPr>
                <w:rFonts w:cs="Times New Roman"/>
                <w:sz w:val="20"/>
                <w:szCs w:val="20"/>
                <w:lang w:eastAsia="ru-RU"/>
              </w:rPr>
              <w:t>От 16.04.2019 №04/И-09-3840</w:t>
            </w:r>
          </w:p>
        </w:tc>
      </w:tr>
      <w:tr w:rsidR="001B373B" w:rsidRPr="00E07359" w14:paraId="0BD9786C" w14:textId="77777777" w:rsidTr="005376A2">
        <w:trPr>
          <w:trHeight w:val="20"/>
        </w:trPr>
        <w:tc>
          <w:tcPr>
            <w:tcW w:w="562" w:type="dxa"/>
            <w:tcBorders>
              <w:top w:val="single" w:sz="4" w:space="0" w:color="auto"/>
              <w:left w:val="single" w:sz="4" w:space="0" w:color="auto"/>
              <w:bottom w:val="single" w:sz="4" w:space="0" w:color="auto"/>
              <w:right w:val="single" w:sz="4" w:space="0" w:color="auto"/>
            </w:tcBorders>
            <w:shd w:val="clear" w:color="auto" w:fill="FFFFFF"/>
            <w:vAlign w:val="center"/>
          </w:tcPr>
          <w:p w14:paraId="23B83193" w14:textId="53E603D1" w:rsidR="001B373B" w:rsidRPr="00E07359" w:rsidRDefault="001B373B" w:rsidP="001D4D31">
            <w:pPr>
              <w:ind w:firstLine="22"/>
              <w:rPr>
                <w:rFonts w:cs="Times New Roman"/>
                <w:sz w:val="20"/>
                <w:szCs w:val="20"/>
                <w:lang w:eastAsia="ru-RU"/>
              </w:rPr>
            </w:pPr>
            <w:r w:rsidRPr="00E07359">
              <w:rPr>
                <w:rFonts w:cs="Times New Roman"/>
                <w:sz w:val="20"/>
                <w:szCs w:val="20"/>
                <w:lang w:eastAsia="ru-RU"/>
              </w:rPr>
              <w:t>13</w:t>
            </w:r>
          </w:p>
        </w:tc>
        <w:tc>
          <w:tcPr>
            <w:tcW w:w="1380" w:type="dxa"/>
            <w:tcBorders>
              <w:top w:val="single" w:sz="4" w:space="0" w:color="auto"/>
              <w:left w:val="nil"/>
              <w:bottom w:val="single" w:sz="4" w:space="0" w:color="auto"/>
              <w:right w:val="single" w:sz="4" w:space="0" w:color="auto"/>
            </w:tcBorders>
            <w:shd w:val="clear" w:color="auto" w:fill="FFFFFF"/>
            <w:vAlign w:val="center"/>
          </w:tcPr>
          <w:p w14:paraId="6C52A758" w14:textId="4E858762" w:rsidR="001B373B" w:rsidRPr="00E07359" w:rsidRDefault="001B373B" w:rsidP="001D4D31">
            <w:pPr>
              <w:ind w:firstLine="0"/>
              <w:rPr>
                <w:rFonts w:cs="Times New Roman"/>
                <w:sz w:val="20"/>
                <w:szCs w:val="20"/>
                <w:lang w:eastAsia="ru-RU"/>
              </w:rPr>
            </w:pPr>
            <w:r w:rsidRPr="00E07359">
              <w:rPr>
                <w:rFonts w:cs="Times New Roman"/>
                <w:sz w:val="20"/>
                <w:szCs w:val="20"/>
                <w:lang w:eastAsia="ru-RU"/>
              </w:rPr>
              <w:t>От 01.03.2019 №214/01-55</w:t>
            </w:r>
          </w:p>
        </w:tc>
        <w:tc>
          <w:tcPr>
            <w:tcW w:w="2367" w:type="dxa"/>
            <w:tcBorders>
              <w:top w:val="single" w:sz="4" w:space="0" w:color="auto"/>
              <w:left w:val="nil"/>
              <w:bottom w:val="single" w:sz="4" w:space="0" w:color="auto"/>
              <w:right w:val="single" w:sz="4" w:space="0" w:color="auto"/>
            </w:tcBorders>
            <w:shd w:val="clear" w:color="auto" w:fill="FFFFFF"/>
            <w:vAlign w:val="center"/>
          </w:tcPr>
          <w:p w14:paraId="39EADE18" w14:textId="46B2AC4A" w:rsidR="001B373B" w:rsidRPr="00E07359" w:rsidRDefault="001B373B" w:rsidP="00974955">
            <w:pPr>
              <w:ind w:firstLine="0"/>
              <w:rPr>
                <w:rFonts w:cs="Times New Roman"/>
                <w:sz w:val="20"/>
                <w:szCs w:val="20"/>
                <w:lang w:eastAsia="ru-RU"/>
              </w:rPr>
            </w:pPr>
            <w:r w:rsidRPr="00E07359">
              <w:rPr>
                <w:rFonts w:cs="Times New Roman"/>
                <w:sz w:val="20"/>
                <w:szCs w:val="20"/>
                <w:lang w:eastAsia="ru-RU"/>
              </w:rPr>
              <w:t>Предоставление графических материалов</w:t>
            </w:r>
            <w:r w:rsidR="00913051" w:rsidRPr="00E07359">
              <w:rPr>
                <w:rFonts w:cs="Times New Roman"/>
                <w:sz w:val="20"/>
                <w:szCs w:val="20"/>
                <w:lang w:eastAsia="ru-RU"/>
              </w:rPr>
              <w:t xml:space="preserve"> в системе МСК-14, отсутствие границ МР, ГО, МО, НП, граниз ТЗ, кадастровых кварталов</w:t>
            </w:r>
          </w:p>
        </w:tc>
        <w:tc>
          <w:tcPr>
            <w:tcW w:w="2065" w:type="dxa"/>
            <w:tcBorders>
              <w:top w:val="single" w:sz="4" w:space="0" w:color="auto"/>
              <w:left w:val="nil"/>
              <w:bottom w:val="single" w:sz="4" w:space="0" w:color="auto"/>
              <w:right w:val="single" w:sz="4" w:space="0" w:color="auto"/>
            </w:tcBorders>
            <w:shd w:val="clear" w:color="auto" w:fill="FFFFFF"/>
            <w:vAlign w:val="center"/>
          </w:tcPr>
          <w:p w14:paraId="025713C4" w14:textId="38AC15CE" w:rsidR="001B373B" w:rsidRPr="00E07359" w:rsidRDefault="001B373B" w:rsidP="001D4D31">
            <w:pPr>
              <w:ind w:firstLine="0"/>
              <w:rPr>
                <w:rFonts w:cs="Times New Roman"/>
                <w:sz w:val="20"/>
                <w:szCs w:val="20"/>
                <w:lang w:eastAsia="ru-RU"/>
              </w:rPr>
            </w:pPr>
            <w:r w:rsidRPr="00E07359">
              <w:rPr>
                <w:rFonts w:cs="Times New Roman"/>
                <w:sz w:val="20"/>
                <w:szCs w:val="20"/>
                <w:lang w:eastAsia="ru-RU"/>
              </w:rPr>
              <w:t>Министерство имущественных отношений Республики Саха (Якутия)</w:t>
            </w:r>
          </w:p>
        </w:tc>
        <w:tc>
          <w:tcPr>
            <w:tcW w:w="1276" w:type="dxa"/>
            <w:tcBorders>
              <w:top w:val="single" w:sz="4" w:space="0" w:color="auto"/>
              <w:left w:val="nil"/>
              <w:bottom w:val="single" w:sz="4" w:space="0" w:color="auto"/>
              <w:right w:val="single" w:sz="4" w:space="0" w:color="auto"/>
            </w:tcBorders>
            <w:shd w:val="clear" w:color="auto" w:fill="FFFFFF"/>
            <w:vAlign w:val="center"/>
          </w:tcPr>
          <w:p w14:paraId="619DFFE5" w14:textId="499B0008" w:rsidR="001B373B" w:rsidRPr="00E07359" w:rsidRDefault="00A840E5" w:rsidP="00A840E5">
            <w:pPr>
              <w:ind w:firstLine="0"/>
              <w:rPr>
                <w:rFonts w:cs="Times New Roman"/>
                <w:sz w:val="20"/>
                <w:szCs w:val="20"/>
                <w:lang w:eastAsia="ru-RU"/>
              </w:rPr>
            </w:pPr>
            <w:r w:rsidRPr="00E07359">
              <w:rPr>
                <w:rFonts w:cs="Times New Roman"/>
                <w:sz w:val="20"/>
                <w:szCs w:val="20"/>
                <w:lang w:eastAsia="ru-RU"/>
              </w:rPr>
              <w:t>Не получен ответ, предоставлен доступ ГИС МИЗО РС(Я)</w:t>
            </w:r>
          </w:p>
        </w:tc>
        <w:tc>
          <w:tcPr>
            <w:tcW w:w="1702" w:type="dxa"/>
            <w:tcBorders>
              <w:top w:val="single" w:sz="4" w:space="0" w:color="auto"/>
              <w:left w:val="nil"/>
              <w:bottom w:val="single" w:sz="4" w:space="0" w:color="auto"/>
              <w:right w:val="single" w:sz="4" w:space="0" w:color="auto"/>
            </w:tcBorders>
            <w:shd w:val="clear" w:color="auto" w:fill="FFFFFF"/>
            <w:vAlign w:val="center"/>
          </w:tcPr>
          <w:p w14:paraId="056EEF28" w14:textId="77777777" w:rsidR="001B373B" w:rsidRPr="00E07359" w:rsidRDefault="001B373B">
            <w:pPr>
              <w:rPr>
                <w:rFonts w:cs="Times New Roman"/>
                <w:sz w:val="20"/>
                <w:szCs w:val="20"/>
                <w:lang w:eastAsia="ru-RU"/>
              </w:rPr>
            </w:pPr>
          </w:p>
        </w:tc>
      </w:tr>
      <w:tr w:rsidR="00913051" w:rsidRPr="00E07359" w14:paraId="5A1AA570" w14:textId="77777777" w:rsidTr="005376A2">
        <w:trPr>
          <w:trHeight w:val="20"/>
        </w:trPr>
        <w:tc>
          <w:tcPr>
            <w:tcW w:w="562" w:type="dxa"/>
            <w:tcBorders>
              <w:top w:val="single" w:sz="4" w:space="0" w:color="auto"/>
              <w:left w:val="single" w:sz="4" w:space="0" w:color="auto"/>
              <w:bottom w:val="single" w:sz="4" w:space="0" w:color="auto"/>
              <w:right w:val="single" w:sz="4" w:space="0" w:color="auto"/>
            </w:tcBorders>
            <w:shd w:val="clear" w:color="auto" w:fill="FFFFFF"/>
            <w:vAlign w:val="center"/>
          </w:tcPr>
          <w:p w14:paraId="7F0CE87C" w14:textId="295F0BC4" w:rsidR="00913051" w:rsidRPr="00E07359" w:rsidRDefault="00913051" w:rsidP="001D4D31">
            <w:pPr>
              <w:ind w:firstLine="22"/>
              <w:rPr>
                <w:rFonts w:cs="Times New Roman"/>
                <w:sz w:val="20"/>
                <w:szCs w:val="20"/>
                <w:lang w:eastAsia="ru-RU"/>
              </w:rPr>
            </w:pPr>
            <w:r w:rsidRPr="00E07359">
              <w:rPr>
                <w:rFonts w:cs="Times New Roman"/>
                <w:sz w:val="20"/>
                <w:szCs w:val="20"/>
                <w:lang w:eastAsia="ru-RU"/>
              </w:rPr>
              <w:t>14</w:t>
            </w:r>
          </w:p>
        </w:tc>
        <w:tc>
          <w:tcPr>
            <w:tcW w:w="1380" w:type="dxa"/>
            <w:tcBorders>
              <w:top w:val="single" w:sz="4" w:space="0" w:color="auto"/>
              <w:left w:val="nil"/>
              <w:bottom w:val="single" w:sz="4" w:space="0" w:color="auto"/>
              <w:right w:val="single" w:sz="4" w:space="0" w:color="auto"/>
            </w:tcBorders>
            <w:shd w:val="clear" w:color="auto" w:fill="FFFFFF"/>
            <w:vAlign w:val="center"/>
          </w:tcPr>
          <w:p w14:paraId="2D3FC679" w14:textId="4B535871" w:rsidR="00913051" w:rsidRPr="00E07359" w:rsidRDefault="00913051" w:rsidP="001D4D31">
            <w:pPr>
              <w:ind w:firstLine="0"/>
              <w:rPr>
                <w:rFonts w:cs="Times New Roman"/>
                <w:sz w:val="20"/>
                <w:szCs w:val="20"/>
                <w:lang w:eastAsia="ru-RU"/>
              </w:rPr>
            </w:pPr>
            <w:r w:rsidRPr="00E07359">
              <w:rPr>
                <w:rFonts w:cs="Times New Roman"/>
                <w:sz w:val="20"/>
                <w:szCs w:val="20"/>
                <w:lang w:eastAsia="ru-RU"/>
              </w:rPr>
              <w:t>От 15.05.2019 №351/01-55</w:t>
            </w:r>
          </w:p>
        </w:tc>
        <w:tc>
          <w:tcPr>
            <w:tcW w:w="2367" w:type="dxa"/>
            <w:tcBorders>
              <w:top w:val="single" w:sz="4" w:space="0" w:color="auto"/>
              <w:left w:val="nil"/>
              <w:bottom w:val="single" w:sz="4" w:space="0" w:color="auto"/>
              <w:right w:val="single" w:sz="4" w:space="0" w:color="auto"/>
            </w:tcBorders>
            <w:shd w:val="clear" w:color="auto" w:fill="FFFFFF"/>
            <w:vAlign w:val="center"/>
          </w:tcPr>
          <w:p w14:paraId="02ADD951" w14:textId="11B73088" w:rsidR="00913051" w:rsidRPr="00E07359" w:rsidRDefault="00913051" w:rsidP="00974955">
            <w:pPr>
              <w:ind w:firstLine="0"/>
              <w:rPr>
                <w:rFonts w:cs="Times New Roman"/>
                <w:sz w:val="20"/>
                <w:szCs w:val="20"/>
                <w:lang w:eastAsia="ru-RU"/>
              </w:rPr>
            </w:pPr>
            <w:r w:rsidRPr="00E07359">
              <w:rPr>
                <w:rFonts w:cs="Times New Roman"/>
                <w:sz w:val="20"/>
                <w:szCs w:val="20"/>
                <w:lang w:eastAsia="ru-RU"/>
              </w:rPr>
              <w:t xml:space="preserve">Повторный запрос материалов в сист координат </w:t>
            </w:r>
            <w:r w:rsidRPr="00E07359">
              <w:rPr>
                <w:rFonts w:cs="Times New Roman"/>
                <w:sz w:val="20"/>
                <w:szCs w:val="20"/>
                <w:lang w:val="en-US" w:eastAsia="ru-RU"/>
              </w:rPr>
              <w:t>WGS</w:t>
            </w:r>
            <w:r w:rsidRPr="00E07359">
              <w:rPr>
                <w:rFonts w:cs="Times New Roman"/>
                <w:sz w:val="20"/>
                <w:szCs w:val="20"/>
                <w:lang w:eastAsia="ru-RU"/>
              </w:rPr>
              <w:t>-84</w:t>
            </w:r>
          </w:p>
        </w:tc>
        <w:tc>
          <w:tcPr>
            <w:tcW w:w="2065" w:type="dxa"/>
            <w:tcBorders>
              <w:top w:val="single" w:sz="4" w:space="0" w:color="auto"/>
              <w:left w:val="nil"/>
              <w:bottom w:val="single" w:sz="4" w:space="0" w:color="auto"/>
              <w:right w:val="single" w:sz="4" w:space="0" w:color="auto"/>
            </w:tcBorders>
            <w:shd w:val="clear" w:color="auto" w:fill="FFFFFF"/>
            <w:vAlign w:val="center"/>
          </w:tcPr>
          <w:p w14:paraId="6276A53B" w14:textId="299BE2BA" w:rsidR="00913051" w:rsidRPr="00E07359" w:rsidRDefault="00913051" w:rsidP="001D4D31">
            <w:pPr>
              <w:ind w:firstLine="0"/>
              <w:rPr>
                <w:rFonts w:cs="Times New Roman"/>
                <w:sz w:val="20"/>
                <w:szCs w:val="20"/>
                <w:lang w:eastAsia="ru-RU"/>
              </w:rPr>
            </w:pPr>
            <w:r w:rsidRPr="00E07359">
              <w:rPr>
                <w:rFonts w:cs="Times New Roman"/>
                <w:sz w:val="20"/>
                <w:szCs w:val="20"/>
                <w:lang w:eastAsia="ru-RU"/>
              </w:rPr>
              <w:t>Министерство имущественных отношений Республики Саха (Якутия)</w:t>
            </w:r>
          </w:p>
        </w:tc>
        <w:tc>
          <w:tcPr>
            <w:tcW w:w="1276" w:type="dxa"/>
            <w:tcBorders>
              <w:top w:val="single" w:sz="4" w:space="0" w:color="auto"/>
              <w:left w:val="nil"/>
              <w:bottom w:val="single" w:sz="4" w:space="0" w:color="auto"/>
              <w:right w:val="single" w:sz="4" w:space="0" w:color="auto"/>
            </w:tcBorders>
            <w:shd w:val="clear" w:color="auto" w:fill="FFFFFF"/>
            <w:vAlign w:val="center"/>
          </w:tcPr>
          <w:p w14:paraId="7CADBA19" w14:textId="592BC724" w:rsidR="00913051" w:rsidRPr="00E07359" w:rsidRDefault="00A840E5" w:rsidP="00974955">
            <w:pPr>
              <w:ind w:firstLine="0"/>
              <w:rPr>
                <w:rFonts w:cs="Times New Roman"/>
                <w:sz w:val="20"/>
                <w:szCs w:val="20"/>
                <w:lang w:eastAsia="ru-RU"/>
              </w:rPr>
            </w:pPr>
            <w:r w:rsidRPr="00E07359">
              <w:rPr>
                <w:rFonts w:cs="Times New Roman"/>
                <w:sz w:val="20"/>
                <w:szCs w:val="20"/>
                <w:lang w:eastAsia="ru-RU"/>
              </w:rPr>
              <w:t>Не получен ответ, предоставлен доступ ГИС МИЗО РС(Я)</w:t>
            </w:r>
          </w:p>
        </w:tc>
        <w:tc>
          <w:tcPr>
            <w:tcW w:w="1702" w:type="dxa"/>
            <w:tcBorders>
              <w:top w:val="single" w:sz="4" w:space="0" w:color="auto"/>
              <w:left w:val="nil"/>
              <w:bottom w:val="single" w:sz="4" w:space="0" w:color="auto"/>
              <w:right w:val="single" w:sz="4" w:space="0" w:color="auto"/>
            </w:tcBorders>
            <w:shd w:val="clear" w:color="auto" w:fill="FFFFFF"/>
            <w:vAlign w:val="center"/>
          </w:tcPr>
          <w:p w14:paraId="2FC956FB" w14:textId="77777777" w:rsidR="00913051" w:rsidRPr="00E07359" w:rsidRDefault="00913051">
            <w:pPr>
              <w:rPr>
                <w:rFonts w:cs="Times New Roman"/>
                <w:sz w:val="20"/>
                <w:szCs w:val="20"/>
                <w:lang w:eastAsia="ru-RU"/>
              </w:rPr>
            </w:pPr>
          </w:p>
        </w:tc>
      </w:tr>
    </w:tbl>
    <w:p w14:paraId="385131EE" w14:textId="77777777" w:rsidR="00974955" w:rsidRDefault="00974955" w:rsidP="00874C1F">
      <w:pPr>
        <w:ind w:firstLine="709"/>
        <w:rPr>
          <w:rFonts w:cs="Times New Roman"/>
          <w:szCs w:val="24"/>
          <w:lang w:eastAsia="ru-RU"/>
        </w:rPr>
      </w:pPr>
    </w:p>
    <w:p w14:paraId="518D3264" w14:textId="054B643D" w:rsidR="00874C1F" w:rsidRDefault="00874C1F" w:rsidP="00874C1F">
      <w:pPr>
        <w:ind w:firstLine="709"/>
        <w:rPr>
          <w:rFonts w:cs="Times New Roman"/>
          <w:szCs w:val="24"/>
          <w:lang w:eastAsia="ru-RU"/>
        </w:rPr>
      </w:pPr>
      <w:r>
        <w:rPr>
          <w:rFonts w:cs="Times New Roman"/>
          <w:szCs w:val="24"/>
          <w:lang w:eastAsia="ru-RU"/>
        </w:rPr>
        <w:t xml:space="preserve">Кроме того, для дополнения сведений о физических характеристиках объектов оценки, таких как материал стен, год постройки, этажность и др. использовались данные </w:t>
      </w:r>
      <w:r>
        <w:rPr>
          <w:rFonts w:cs="Times New Roman"/>
          <w:szCs w:val="24"/>
        </w:rPr>
        <w:t>преды</w:t>
      </w:r>
      <w:r>
        <w:rPr>
          <w:rFonts w:cs="Times New Roman"/>
          <w:szCs w:val="24"/>
          <w:lang w:eastAsia="ru-RU"/>
        </w:rPr>
        <w:t>дущего тура кадастровой оценки объектов недвижимости.</w:t>
      </w:r>
    </w:p>
    <w:p w14:paraId="30D310F4" w14:textId="673B2E22" w:rsidR="00874C1F" w:rsidRDefault="00874C1F" w:rsidP="00874C1F">
      <w:pPr>
        <w:ind w:firstLine="709"/>
        <w:rPr>
          <w:rFonts w:cs="Times New Roman"/>
          <w:szCs w:val="24"/>
          <w:lang w:eastAsia="ru-RU"/>
        </w:rPr>
      </w:pPr>
      <w:r>
        <w:rPr>
          <w:rFonts w:cs="Times New Roman"/>
          <w:szCs w:val="24"/>
          <w:lang w:eastAsia="ru-RU"/>
        </w:rPr>
        <w:t xml:space="preserve">На основе данных, предоставленных ООО "Управляющая компания Республиканского центра технического учета и технической инвентаризации", уточнялись сведения о годе постройки, материале стен и </w:t>
      </w:r>
      <w:r w:rsidR="007F77FC">
        <w:rPr>
          <w:rFonts w:cs="Times New Roman"/>
          <w:szCs w:val="24"/>
          <w:lang w:eastAsia="ru-RU"/>
        </w:rPr>
        <w:t>этажности</w:t>
      </w:r>
      <w:r>
        <w:rPr>
          <w:rFonts w:cs="Times New Roman"/>
          <w:szCs w:val="24"/>
          <w:lang w:eastAsia="ru-RU"/>
        </w:rPr>
        <w:t xml:space="preserve"> объектов недвижимости коммерческого назначения, административных и бытовых объектов. Кроме того, на основе указанных данных анализировались объекты, фактический срок службы которых превышает нормативный срок службы.</w:t>
      </w:r>
    </w:p>
    <w:p w14:paraId="2C3E2653" w14:textId="77777777" w:rsidR="00874C1F" w:rsidRDefault="00874C1F" w:rsidP="00874C1F">
      <w:pPr>
        <w:ind w:firstLine="709"/>
        <w:rPr>
          <w:rFonts w:cs="Times New Roman"/>
          <w:szCs w:val="24"/>
          <w:lang w:eastAsia="ru-RU"/>
        </w:rPr>
      </w:pPr>
      <w:r>
        <w:rPr>
          <w:rFonts w:cs="Times New Roman"/>
          <w:szCs w:val="24"/>
          <w:lang w:eastAsia="ru-RU"/>
        </w:rPr>
        <w:t xml:space="preserve">Согласно ст.12 Федерального закона «О государственной кадастровой оценке» от 03.07.2016 № 237-ФЗ (далее - Федеральный закон от 03.07.2016 № 237-ФЗ) органы местного самоуправления и подведомственные им организации предоставляют исходную информацию, необходимую для государственной кадастровой оценки. </w:t>
      </w:r>
    </w:p>
    <w:p w14:paraId="67511524" w14:textId="77777777" w:rsidR="00874C1F" w:rsidRDefault="00874C1F" w:rsidP="00874C1F">
      <w:pPr>
        <w:ind w:firstLine="709"/>
        <w:rPr>
          <w:rFonts w:cs="Times New Roman"/>
          <w:szCs w:val="24"/>
          <w:lang w:eastAsia="ru-RU"/>
        </w:rPr>
      </w:pPr>
      <w:r>
        <w:rPr>
          <w:rFonts w:cs="Times New Roman"/>
          <w:szCs w:val="24"/>
          <w:lang w:eastAsia="ru-RU"/>
        </w:rPr>
        <w:t>Органы местного самоуправления и подведомственные им организации являются одним из ключевых источников информации для кадастровой оценки.</w:t>
      </w:r>
    </w:p>
    <w:p w14:paraId="2CA501DC" w14:textId="14E670AF" w:rsidR="00874C1F" w:rsidRDefault="00874C1F" w:rsidP="00874C1F">
      <w:pPr>
        <w:ind w:firstLine="709"/>
        <w:rPr>
          <w:rFonts w:cs="Times New Roman"/>
          <w:szCs w:val="24"/>
          <w:lang w:eastAsia="ru-RU"/>
        </w:rPr>
      </w:pPr>
      <w:r>
        <w:rPr>
          <w:rFonts w:cs="Times New Roman"/>
          <w:szCs w:val="24"/>
          <w:lang w:eastAsia="ru-RU"/>
        </w:rPr>
        <w:t>В целях формирования запросов на основании з</w:t>
      </w:r>
      <w:r>
        <w:rPr>
          <w:rFonts w:cs="Times New Roman"/>
          <w:szCs w:val="24"/>
        </w:rPr>
        <w:t>аконов о статусе и границах муниципальных образований Республики Саха (Я</w:t>
      </w:r>
      <w:r w:rsidR="00D35935">
        <w:rPr>
          <w:rFonts w:cs="Times New Roman"/>
          <w:szCs w:val="24"/>
        </w:rPr>
        <w:t>кутия) (приведены в Приложении 1.4.1.1</w:t>
      </w:r>
      <w:r>
        <w:rPr>
          <w:rFonts w:cs="Times New Roman"/>
          <w:szCs w:val="24"/>
        </w:rPr>
        <w:t>), действующих по состоянию на 01.01.2019, ГБУ РС(Я) «Центр государственной кадастровой оценки»</w:t>
      </w:r>
      <w:r>
        <w:rPr>
          <w:rFonts w:cs="Times New Roman"/>
          <w:szCs w:val="24"/>
          <w:lang w:eastAsia="ru-RU"/>
        </w:rPr>
        <w:t xml:space="preserve"> составлен перечень населенных пунктов</w:t>
      </w:r>
      <w:r>
        <w:rPr>
          <w:rFonts w:cs="Times New Roman"/>
          <w:szCs w:val="24"/>
        </w:rPr>
        <w:t xml:space="preserve">, входящих в данные муниципальные образования. В результате анализа перечня населенных пунктов, Перечня объектов оценки и </w:t>
      </w:r>
      <w:r>
        <w:rPr>
          <w:rFonts w:cs="Times New Roman"/>
          <w:szCs w:val="24"/>
          <w:lang w:eastAsia="ru-RU"/>
        </w:rPr>
        <w:t>форм сбора предыдущих туров государственных кадастровых оценок</w:t>
      </w:r>
      <w:r>
        <w:rPr>
          <w:rFonts w:cs="Times New Roman"/>
          <w:szCs w:val="24"/>
        </w:rPr>
        <w:t xml:space="preserve"> были определены </w:t>
      </w:r>
      <w:r w:rsidR="007F77FC">
        <w:rPr>
          <w:rFonts w:cs="Times New Roman"/>
          <w:szCs w:val="24"/>
          <w:lang w:eastAsia="ru-RU"/>
        </w:rPr>
        <w:t xml:space="preserve">следующие статусы </w:t>
      </w:r>
      <w:r>
        <w:rPr>
          <w:rFonts w:cs="Times New Roman"/>
          <w:szCs w:val="24"/>
          <w:lang w:eastAsia="ru-RU"/>
        </w:rPr>
        <w:t>территорий:</w:t>
      </w:r>
    </w:p>
    <w:p w14:paraId="45F44D9F" w14:textId="77777777" w:rsidR="00F154AB" w:rsidRPr="00FB3277" w:rsidRDefault="00F154AB" w:rsidP="00F154AB">
      <w:pPr>
        <w:ind w:firstLine="709"/>
        <w:rPr>
          <w:rFonts w:cs="Times New Roman"/>
          <w:b/>
          <w:szCs w:val="24"/>
          <w:lang w:eastAsia="ru-RU"/>
        </w:rPr>
      </w:pPr>
      <w:r>
        <w:rPr>
          <w:rFonts w:cs="Times New Roman"/>
          <w:szCs w:val="24"/>
          <w:lang w:eastAsia="ru-RU"/>
        </w:rPr>
        <w:t xml:space="preserve">- </w:t>
      </w:r>
      <w:r w:rsidRPr="00FB3277">
        <w:rPr>
          <w:rFonts w:cs="Times New Roman"/>
          <w:b/>
          <w:szCs w:val="24"/>
          <w:lang w:eastAsia="ru-RU"/>
        </w:rPr>
        <w:t>сельские населенные пункты («СНП»);</w:t>
      </w:r>
    </w:p>
    <w:p w14:paraId="4852ABD8" w14:textId="77777777" w:rsidR="00F154AB" w:rsidRDefault="00F154AB" w:rsidP="00F154AB">
      <w:pPr>
        <w:ind w:firstLine="709"/>
        <w:rPr>
          <w:rFonts w:cs="Times New Roman"/>
          <w:szCs w:val="24"/>
          <w:lang w:eastAsia="ru-RU"/>
        </w:rPr>
      </w:pPr>
      <w:r w:rsidRPr="001E520A">
        <w:rPr>
          <w:rFonts w:cs="Times New Roman"/>
          <w:szCs w:val="24"/>
          <w:lang w:eastAsia="ru-RU"/>
        </w:rPr>
        <w:t>В результате анализа законов о статусе и границах муниципальных образований выявлено, что на территории Республики Саха (Якутия) расположены 52</w:t>
      </w:r>
      <w:r>
        <w:rPr>
          <w:rFonts w:cs="Times New Roman"/>
          <w:szCs w:val="24"/>
          <w:lang w:eastAsia="ru-RU"/>
        </w:rPr>
        <w:t xml:space="preserve"> городских населенных пунктов, п</w:t>
      </w:r>
      <w:r w:rsidRPr="001E520A">
        <w:rPr>
          <w:rFonts w:cs="Times New Roman"/>
          <w:szCs w:val="24"/>
          <w:lang w:eastAsia="ru-RU"/>
        </w:rPr>
        <w:t xml:space="preserve">ри этом населенные пункты в рамках текущей кадастровой оценки с численностью до 1000 жителей и </w:t>
      </w:r>
      <w:r>
        <w:rPr>
          <w:rFonts w:cs="Times New Roman"/>
          <w:szCs w:val="24"/>
          <w:lang w:eastAsia="ru-RU"/>
        </w:rPr>
        <w:t xml:space="preserve">площадью площадью </w:t>
      </w:r>
      <w:r w:rsidRPr="001E520A">
        <w:rPr>
          <w:rFonts w:cs="Times New Roman"/>
          <w:szCs w:val="24"/>
          <w:lang w:eastAsia="ru-RU"/>
        </w:rPr>
        <w:t>200</w:t>
      </w:r>
      <w:r>
        <w:rPr>
          <w:rFonts w:cs="Times New Roman"/>
          <w:szCs w:val="24"/>
          <w:lang w:eastAsia="ru-RU"/>
        </w:rPr>
        <w:t xml:space="preserve"> га</w:t>
      </w:r>
      <w:r w:rsidRPr="001E520A">
        <w:rPr>
          <w:rFonts w:cs="Times New Roman"/>
          <w:szCs w:val="24"/>
          <w:lang w:eastAsia="ru-RU"/>
        </w:rPr>
        <w:t>, оценивались вместе с сельскими населенными пунктами</w:t>
      </w:r>
      <w:r>
        <w:rPr>
          <w:rFonts w:cs="Times New Roman"/>
          <w:szCs w:val="24"/>
          <w:lang w:eastAsia="ru-RU"/>
        </w:rPr>
        <w:t>;</w:t>
      </w:r>
    </w:p>
    <w:p w14:paraId="26976A91" w14:textId="77777777" w:rsidR="00F154AB" w:rsidRPr="00FB3277" w:rsidRDefault="00F154AB" w:rsidP="00F154AB">
      <w:pPr>
        <w:ind w:firstLine="709"/>
        <w:rPr>
          <w:rFonts w:cs="Times New Roman"/>
          <w:b/>
          <w:szCs w:val="24"/>
          <w:lang w:eastAsia="ru-RU"/>
        </w:rPr>
      </w:pPr>
      <w:r>
        <w:rPr>
          <w:rFonts w:cs="Times New Roman"/>
          <w:szCs w:val="24"/>
          <w:lang w:eastAsia="ru-RU"/>
        </w:rPr>
        <w:t xml:space="preserve"> </w:t>
      </w:r>
      <w:r w:rsidRPr="00FB3277">
        <w:rPr>
          <w:rFonts w:cs="Times New Roman"/>
          <w:b/>
          <w:szCs w:val="24"/>
          <w:lang w:eastAsia="ru-RU"/>
        </w:rPr>
        <w:t>- городские населенные пункты («ГНП»);</w:t>
      </w:r>
    </w:p>
    <w:p w14:paraId="19E00223" w14:textId="77777777" w:rsidR="00F154AB" w:rsidRDefault="00F154AB" w:rsidP="00F154AB">
      <w:pPr>
        <w:ind w:firstLine="709"/>
        <w:rPr>
          <w:rFonts w:cs="Times New Roman"/>
          <w:szCs w:val="24"/>
          <w:lang w:eastAsia="ru-RU"/>
        </w:rPr>
      </w:pPr>
      <w:r>
        <w:rPr>
          <w:rFonts w:cs="Times New Roman"/>
          <w:szCs w:val="24"/>
          <w:lang w:eastAsia="ru-RU"/>
        </w:rPr>
        <w:t xml:space="preserve">Крупные населенные пункты, кадастровая стоимость внутри таких территорий дифференцируется. Дифференциация стоимости обеспечивается использованием в работах картографической (графической) информации о местоположении объектов недвижимости и объектов влияния. </w:t>
      </w:r>
    </w:p>
    <w:p w14:paraId="41BEBACD" w14:textId="77777777" w:rsidR="00F154AB" w:rsidRPr="00F14CBE" w:rsidRDefault="00F154AB" w:rsidP="00F154AB">
      <w:pPr>
        <w:ind w:firstLine="709"/>
        <w:rPr>
          <w:rFonts w:eastAsia="Times New Roman" w:cs="Times New Roman"/>
          <w:b/>
          <w:szCs w:val="24"/>
          <w:lang w:eastAsia="ru-RU"/>
        </w:rPr>
      </w:pPr>
      <w:r>
        <w:rPr>
          <w:rFonts w:eastAsia="Times New Roman" w:cs="Times New Roman"/>
          <w:b/>
          <w:szCs w:val="24"/>
          <w:lang w:eastAsia="ru-RU"/>
        </w:rPr>
        <w:t xml:space="preserve">- </w:t>
      </w:r>
      <w:r w:rsidRPr="00F14CBE">
        <w:rPr>
          <w:rFonts w:eastAsia="Times New Roman" w:cs="Times New Roman"/>
          <w:b/>
          <w:szCs w:val="24"/>
          <w:lang w:eastAsia="ru-RU"/>
        </w:rPr>
        <w:t>объекты вне черты населенных пунктов (МР);</w:t>
      </w:r>
    </w:p>
    <w:p w14:paraId="4D112C41" w14:textId="77777777" w:rsidR="00F154AB" w:rsidRPr="00BF03C2" w:rsidRDefault="00F154AB" w:rsidP="00F154AB">
      <w:pPr>
        <w:ind w:firstLine="709"/>
        <w:rPr>
          <w:rFonts w:cs="Times New Roman"/>
          <w:szCs w:val="24"/>
          <w:lang w:eastAsia="ru-RU"/>
        </w:rPr>
      </w:pPr>
      <w:r w:rsidRPr="00BF03C2">
        <w:rPr>
          <w:rFonts w:cs="Times New Roman"/>
          <w:szCs w:val="24"/>
          <w:lang w:eastAsia="ru-RU"/>
        </w:rPr>
        <w:t xml:space="preserve">В результате анализа законов о статусе и границах муниципальных образований выявлено, что на территории Республики Саха (Якутия) расположены объекты недвижимости вне черты </w:t>
      </w:r>
      <w:r>
        <w:rPr>
          <w:rFonts w:cs="Times New Roman"/>
          <w:szCs w:val="24"/>
          <w:lang w:eastAsia="ru-RU"/>
        </w:rPr>
        <w:t>населенных пунктов, во всех группах, ликвидированных населенных пунктах, и с неопределенным адресом.</w:t>
      </w:r>
    </w:p>
    <w:p w14:paraId="52AC2748" w14:textId="10A19A6E" w:rsidR="00F56EFE" w:rsidRPr="00F56EFE" w:rsidRDefault="00F56EFE" w:rsidP="00F56EFE">
      <w:pPr>
        <w:ind w:firstLine="709"/>
        <w:rPr>
          <w:rFonts w:cs="Times New Roman"/>
          <w:szCs w:val="24"/>
          <w:lang w:eastAsia="ru-RU"/>
        </w:rPr>
      </w:pPr>
      <w:r>
        <w:rPr>
          <w:rFonts w:cs="Times New Roman"/>
          <w:szCs w:val="24"/>
          <w:lang w:eastAsia="ru-RU"/>
        </w:rPr>
        <w:t>Также, сотрудниками ГБУ РС (Я) «ЦГКО», в результате анализа</w:t>
      </w:r>
      <w:r w:rsidRPr="00F56EFE">
        <w:rPr>
          <w:rFonts w:cs="Times New Roman"/>
          <w:szCs w:val="24"/>
          <w:lang w:eastAsia="ru-RU"/>
        </w:rPr>
        <w:t xml:space="preserve"> состояни</w:t>
      </w:r>
      <w:r>
        <w:rPr>
          <w:rFonts w:cs="Times New Roman"/>
          <w:szCs w:val="24"/>
          <w:lang w:eastAsia="ru-RU"/>
        </w:rPr>
        <w:t>я</w:t>
      </w:r>
      <w:r w:rsidRPr="00F56EFE">
        <w:rPr>
          <w:rFonts w:cs="Times New Roman"/>
          <w:szCs w:val="24"/>
          <w:lang w:eastAsia="ru-RU"/>
        </w:rPr>
        <w:t xml:space="preserve"> рынка объектов недвижимости Республики Саха (Якутия) по территориям городских населенных пунктов, </w:t>
      </w:r>
      <w:r>
        <w:rPr>
          <w:rFonts w:cs="Times New Roman"/>
          <w:szCs w:val="24"/>
          <w:lang w:eastAsia="ru-RU"/>
        </w:rPr>
        <w:t>было выявлено, что наибольшая активность по количеству сделок за период с 2016-2018гг. по данным Росреестра имеется у 27 ГНП. Таким образом, в рамках текущей кадастровой оценки объектов недвижимости, за исключением земельных участков, был определен перечень городских населенных пунктов, отнесенных к расчету в группу «ГНП» с применением соответствующих ценообразующих факторов</w:t>
      </w:r>
      <w:r w:rsidR="00726D2F">
        <w:rPr>
          <w:rFonts w:cs="Times New Roman"/>
          <w:szCs w:val="24"/>
          <w:lang w:eastAsia="ru-RU"/>
        </w:rPr>
        <w:t xml:space="preserve">. </w:t>
      </w:r>
      <w:r w:rsidRPr="00F56EFE">
        <w:rPr>
          <w:rFonts w:cs="Times New Roman"/>
          <w:szCs w:val="24"/>
          <w:lang w:eastAsia="ru-RU"/>
        </w:rPr>
        <w:t xml:space="preserve"> </w:t>
      </w:r>
    </w:p>
    <w:p w14:paraId="3F34F407" w14:textId="1C08F498" w:rsidR="00CD75F0" w:rsidRDefault="00CD75F0" w:rsidP="00874C1F">
      <w:pPr>
        <w:ind w:firstLine="709"/>
        <w:rPr>
          <w:rFonts w:cs="Times New Roman"/>
          <w:szCs w:val="24"/>
          <w:lang w:eastAsia="ru-RU"/>
        </w:rPr>
      </w:pPr>
    </w:p>
    <w:p w14:paraId="401E3A2E" w14:textId="32A40C87" w:rsidR="00874C1F" w:rsidRPr="00F56EFE" w:rsidRDefault="00CF3422" w:rsidP="00763AD2">
      <w:pPr>
        <w:pStyle w:val="afffffff0"/>
      </w:pPr>
      <w:r w:rsidRPr="00F56EFE">
        <w:t xml:space="preserve">Таблица </w:t>
      </w:r>
      <w:r w:rsidR="00A90944">
        <w:fldChar w:fldCharType="begin"/>
      </w:r>
      <w:r w:rsidR="00A90944">
        <w:instrText xml:space="preserve"> SEQ Таблица \* ARABIC </w:instrText>
      </w:r>
      <w:r w:rsidR="00A90944">
        <w:fldChar w:fldCharType="separate"/>
      </w:r>
      <w:r w:rsidR="00FD2769">
        <w:rPr>
          <w:noProof/>
        </w:rPr>
        <w:t>21</w:t>
      </w:r>
      <w:r w:rsidR="00A90944">
        <w:rPr>
          <w:noProof/>
        </w:rPr>
        <w:fldChar w:fldCharType="end"/>
      </w:r>
      <w:r w:rsidR="00874C1F" w:rsidRPr="00F56EFE">
        <w:t xml:space="preserve"> Перечень городских населенных пунктов</w:t>
      </w:r>
      <w:r w:rsidR="007467ED" w:rsidRPr="00F56EFE">
        <w:t>,</w:t>
      </w:r>
      <w:r w:rsidR="00874C1F" w:rsidRPr="00F56EFE">
        <w:t xml:space="preserve"> </w:t>
      </w:r>
      <w:r w:rsidR="00CD75F0" w:rsidRPr="00F56EFE">
        <w:t>отнесенных к расчету в группу «ГНП».</w:t>
      </w:r>
    </w:p>
    <w:tbl>
      <w:tblPr>
        <w:tblW w:w="4967" w:type="pct"/>
        <w:jc w:val="center"/>
        <w:tblLook w:val="04A0" w:firstRow="1" w:lastRow="0" w:firstColumn="1" w:lastColumn="0" w:noHBand="0" w:noVBand="1"/>
      </w:tblPr>
      <w:tblGrid>
        <w:gridCol w:w="1008"/>
        <w:gridCol w:w="2674"/>
        <w:gridCol w:w="2922"/>
        <w:gridCol w:w="2679"/>
      </w:tblGrid>
      <w:tr w:rsidR="00C87B7A" w:rsidRPr="00C87B7A" w14:paraId="4C31D49A" w14:textId="561A825F" w:rsidTr="009B5355">
        <w:trPr>
          <w:trHeight w:val="600"/>
          <w:tblHeader/>
          <w:jc w:val="center"/>
        </w:trPr>
        <w:tc>
          <w:tcPr>
            <w:tcW w:w="54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08B8851" w14:textId="77777777" w:rsidR="00C87B7A" w:rsidRPr="00C87B7A" w:rsidRDefault="00C87B7A" w:rsidP="00C87B7A">
            <w:pPr>
              <w:ind w:left="-120" w:firstLine="9"/>
              <w:jc w:val="center"/>
              <w:rPr>
                <w:rFonts w:eastAsia="Times New Roman" w:cs="Times New Roman"/>
                <w:color w:val="000000"/>
                <w:szCs w:val="24"/>
              </w:rPr>
            </w:pPr>
            <w:r w:rsidRPr="00C87B7A">
              <w:rPr>
                <w:rFonts w:eastAsia="Times New Roman" w:cs="Times New Roman"/>
                <w:color w:val="000000"/>
                <w:szCs w:val="24"/>
              </w:rPr>
              <w:t>№</w:t>
            </w:r>
          </w:p>
        </w:tc>
        <w:tc>
          <w:tcPr>
            <w:tcW w:w="1440" w:type="pct"/>
            <w:tcBorders>
              <w:top w:val="single" w:sz="4" w:space="0" w:color="auto"/>
              <w:left w:val="nil"/>
              <w:bottom w:val="single" w:sz="4" w:space="0" w:color="auto"/>
              <w:right w:val="single" w:sz="4" w:space="0" w:color="auto"/>
            </w:tcBorders>
            <w:shd w:val="clear" w:color="auto" w:fill="auto"/>
            <w:vAlign w:val="center"/>
            <w:hideMark/>
          </w:tcPr>
          <w:p w14:paraId="43F95A2D" w14:textId="77777777" w:rsidR="00C87B7A" w:rsidRPr="00C87B7A" w:rsidRDefault="00C87B7A" w:rsidP="009B5355">
            <w:pPr>
              <w:ind w:left="18" w:hanging="18"/>
              <w:jc w:val="center"/>
              <w:rPr>
                <w:rFonts w:eastAsia="Times New Roman" w:cs="Times New Roman"/>
                <w:color w:val="000000"/>
                <w:szCs w:val="24"/>
              </w:rPr>
            </w:pPr>
            <w:r w:rsidRPr="00C87B7A">
              <w:rPr>
                <w:rFonts w:eastAsia="Times New Roman" w:cs="Times New Roman"/>
                <w:color w:val="000000"/>
                <w:szCs w:val="24"/>
              </w:rPr>
              <w:t>Наименование ГНП</w:t>
            </w:r>
          </w:p>
        </w:tc>
        <w:tc>
          <w:tcPr>
            <w:tcW w:w="1574" w:type="pct"/>
            <w:tcBorders>
              <w:top w:val="single" w:sz="4" w:space="0" w:color="auto"/>
              <w:left w:val="nil"/>
              <w:bottom w:val="single" w:sz="4" w:space="0" w:color="auto"/>
              <w:right w:val="single" w:sz="4" w:space="0" w:color="auto"/>
            </w:tcBorders>
            <w:vAlign w:val="center"/>
          </w:tcPr>
          <w:p w14:paraId="4016F7EB" w14:textId="367E7ECE" w:rsidR="00C87B7A" w:rsidRPr="00C87B7A" w:rsidRDefault="00C87B7A" w:rsidP="00C87B7A">
            <w:pPr>
              <w:ind w:firstLine="9"/>
              <w:jc w:val="center"/>
              <w:rPr>
                <w:rFonts w:eastAsia="Times New Roman" w:cs="Times New Roman"/>
                <w:color w:val="000000"/>
                <w:szCs w:val="24"/>
              </w:rPr>
            </w:pPr>
            <w:r w:rsidRPr="00C87B7A">
              <w:rPr>
                <w:rFonts w:eastAsia="Times New Roman" w:cs="Times New Roman"/>
                <w:color w:val="000000"/>
                <w:szCs w:val="24"/>
              </w:rPr>
              <w:t>Наличие план-схем или  цифровой тематической карты.</w:t>
            </w:r>
          </w:p>
        </w:tc>
        <w:tc>
          <w:tcPr>
            <w:tcW w:w="1443" w:type="pct"/>
            <w:tcBorders>
              <w:top w:val="single" w:sz="4" w:space="0" w:color="auto"/>
              <w:left w:val="nil"/>
              <w:bottom w:val="single" w:sz="4" w:space="0" w:color="auto"/>
              <w:right w:val="single" w:sz="4" w:space="0" w:color="auto"/>
            </w:tcBorders>
            <w:vAlign w:val="center"/>
          </w:tcPr>
          <w:p w14:paraId="0BFE8D94" w14:textId="5EF3EBD7" w:rsidR="00C87B7A" w:rsidRPr="00C87B7A" w:rsidRDefault="00C87B7A" w:rsidP="00C87B7A">
            <w:pPr>
              <w:ind w:firstLine="9"/>
              <w:jc w:val="center"/>
              <w:rPr>
                <w:rFonts w:eastAsia="Times New Roman" w:cs="Times New Roman"/>
                <w:color w:val="000000"/>
                <w:szCs w:val="24"/>
              </w:rPr>
            </w:pPr>
            <w:r w:rsidRPr="00C87B7A">
              <w:rPr>
                <w:rFonts w:eastAsia="Times New Roman" w:cs="Times New Roman"/>
                <w:color w:val="000000"/>
                <w:szCs w:val="24"/>
              </w:rPr>
              <w:t>Количество сделок Росреестра по квартирам</w:t>
            </w:r>
          </w:p>
        </w:tc>
      </w:tr>
      <w:tr w:rsidR="00C87B7A" w:rsidRPr="00C87B7A" w14:paraId="28DEF085" w14:textId="26BF9EAF" w:rsidTr="009B5355">
        <w:trPr>
          <w:trHeight w:val="300"/>
          <w:jc w:val="center"/>
        </w:trPr>
        <w:tc>
          <w:tcPr>
            <w:tcW w:w="543" w:type="pct"/>
            <w:tcBorders>
              <w:top w:val="nil"/>
              <w:left w:val="single" w:sz="4" w:space="0" w:color="auto"/>
              <w:bottom w:val="single" w:sz="4" w:space="0" w:color="auto"/>
              <w:right w:val="single" w:sz="4" w:space="0" w:color="auto"/>
            </w:tcBorders>
            <w:shd w:val="clear" w:color="auto" w:fill="auto"/>
            <w:vAlign w:val="center"/>
            <w:hideMark/>
          </w:tcPr>
          <w:p w14:paraId="2EB5F6CE" w14:textId="77777777" w:rsidR="00C87B7A" w:rsidRPr="00C87B7A" w:rsidRDefault="00C87B7A" w:rsidP="00C87B7A">
            <w:pPr>
              <w:ind w:firstLine="9"/>
              <w:jc w:val="center"/>
              <w:rPr>
                <w:rFonts w:eastAsia="Times New Roman" w:cs="Times New Roman"/>
                <w:color w:val="000000"/>
                <w:szCs w:val="24"/>
              </w:rPr>
            </w:pPr>
            <w:r w:rsidRPr="00C87B7A">
              <w:rPr>
                <w:rFonts w:eastAsia="Times New Roman" w:cs="Times New Roman"/>
                <w:color w:val="000000"/>
                <w:szCs w:val="24"/>
              </w:rPr>
              <w:t xml:space="preserve">1  </w:t>
            </w:r>
          </w:p>
        </w:tc>
        <w:tc>
          <w:tcPr>
            <w:tcW w:w="1440" w:type="pct"/>
            <w:tcBorders>
              <w:top w:val="nil"/>
              <w:left w:val="nil"/>
              <w:bottom w:val="single" w:sz="4" w:space="0" w:color="auto"/>
              <w:right w:val="single" w:sz="4" w:space="0" w:color="auto"/>
            </w:tcBorders>
            <w:shd w:val="clear" w:color="auto" w:fill="auto"/>
            <w:vAlign w:val="center"/>
            <w:hideMark/>
          </w:tcPr>
          <w:p w14:paraId="15CA1508" w14:textId="77777777" w:rsidR="00C87B7A" w:rsidRPr="00C87B7A" w:rsidRDefault="00C87B7A" w:rsidP="009B5355">
            <w:pPr>
              <w:ind w:left="18" w:firstLineChars="200" w:firstLine="480"/>
              <w:rPr>
                <w:rFonts w:eastAsia="Times New Roman" w:cs="Times New Roman"/>
                <w:color w:val="000000"/>
                <w:szCs w:val="24"/>
              </w:rPr>
            </w:pPr>
            <w:r w:rsidRPr="00C87B7A">
              <w:rPr>
                <w:rFonts w:eastAsia="Times New Roman" w:cs="Times New Roman"/>
                <w:color w:val="000000"/>
                <w:szCs w:val="24"/>
              </w:rPr>
              <w:t>Якутск</w:t>
            </w:r>
          </w:p>
        </w:tc>
        <w:tc>
          <w:tcPr>
            <w:tcW w:w="1574" w:type="pct"/>
            <w:tcBorders>
              <w:top w:val="nil"/>
              <w:left w:val="nil"/>
              <w:bottom w:val="single" w:sz="4" w:space="0" w:color="auto"/>
              <w:right w:val="single" w:sz="4" w:space="0" w:color="auto"/>
            </w:tcBorders>
          </w:tcPr>
          <w:p w14:paraId="7643FA1C" w14:textId="238D5D18" w:rsidR="00C87B7A" w:rsidRPr="00C87B7A" w:rsidRDefault="00C87B7A" w:rsidP="00C87B7A">
            <w:pPr>
              <w:ind w:firstLine="9"/>
              <w:jc w:val="center"/>
              <w:rPr>
                <w:rFonts w:eastAsia="Times New Roman" w:cs="Times New Roman"/>
                <w:color w:val="000000"/>
                <w:szCs w:val="24"/>
              </w:rPr>
            </w:pPr>
            <w:r w:rsidRPr="00C87B7A">
              <w:rPr>
                <w:rFonts w:eastAsiaTheme="minorEastAsia" w:cs="Times New Roman"/>
                <w:color w:val="000000"/>
                <w:szCs w:val="24"/>
              </w:rPr>
              <w:t>есть</w:t>
            </w:r>
          </w:p>
        </w:tc>
        <w:tc>
          <w:tcPr>
            <w:tcW w:w="1443" w:type="pct"/>
            <w:tcBorders>
              <w:top w:val="single" w:sz="4" w:space="0" w:color="auto"/>
              <w:left w:val="nil"/>
              <w:bottom w:val="single" w:sz="4" w:space="0" w:color="auto"/>
              <w:right w:val="single" w:sz="4" w:space="0" w:color="auto"/>
            </w:tcBorders>
            <w:vAlign w:val="center"/>
          </w:tcPr>
          <w:p w14:paraId="2DED076A" w14:textId="4EAB8DF1" w:rsidR="00C87B7A" w:rsidRPr="00C87B7A" w:rsidRDefault="00C87B7A" w:rsidP="00C87B7A">
            <w:pPr>
              <w:ind w:firstLine="9"/>
              <w:jc w:val="center"/>
              <w:rPr>
                <w:rFonts w:eastAsiaTheme="minorEastAsia" w:cs="Times New Roman"/>
                <w:color w:val="000000"/>
                <w:szCs w:val="24"/>
              </w:rPr>
            </w:pPr>
            <w:r w:rsidRPr="00C87B7A">
              <w:rPr>
                <w:rFonts w:eastAsia="Times New Roman" w:cs="Times New Roman"/>
                <w:color w:val="000000"/>
                <w:szCs w:val="24"/>
              </w:rPr>
              <w:t xml:space="preserve">12 186  </w:t>
            </w:r>
          </w:p>
        </w:tc>
      </w:tr>
      <w:tr w:rsidR="00C87B7A" w:rsidRPr="00C87B7A" w14:paraId="6FAFEE69" w14:textId="0953DF0A" w:rsidTr="009B5355">
        <w:trPr>
          <w:trHeight w:val="300"/>
          <w:jc w:val="center"/>
        </w:trPr>
        <w:tc>
          <w:tcPr>
            <w:tcW w:w="543" w:type="pct"/>
            <w:tcBorders>
              <w:top w:val="nil"/>
              <w:left w:val="single" w:sz="4" w:space="0" w:color="auto"/>
              <w:bottom w:val="single" w:sz="4" w:space="0" w:color="auto"/>
              <w:right w:val="single" w:sz="4" w:space="0" w:color="auto"/>
            </w:tcBorders>
            <w:shd w:val="clear" w:color="auto" w:fill="auto"/>
            <w:vAlign w:val="center"/>
            <w:hideMark/>
          </w:tcPr>
          <w:p w14:paraId="0BBDEAF9" w14:textId="77777777" w:rsidR="00C87B7A" w:rsidRPr="00C87B7A" w:rsidRDefault="00C87B7A" w:rsidP="00C87B7A">
            <w:pPr>
              <w:ind w:firstLine="9"/>
              <w:jc w:val="center"/>
              <w:rPr>
                <w:rFonts w:eastAsia="Times New Roman" w:cs="Times New Roman"/>
                <w:color w:val="000000"/>
                <w:szCs w:val="24"/>
              </w:rPr>
            </w:pPr>
            <w:r w:rsidRPr="00C87B7A">
              <w:rPr>
                <w:rFonts w:eastAsia="Times New Roman" w:cs="Times New Roman"/>
                <w:color w:val="000000"/>
                <w:szCs w:val="24"/>
              </w:rPr>
              <w:t xml:space="preserve">2  </w:t>
            </w:r>
          </w:p>
        </w:tc>
        <w:tc>
          <w:tcPr>
            <w:tcW w:w="1440" w:type="pct"/>
            <w:tcBorders>
              <w:top w:val="nil"/>
              <w:left w:val="nil"/>
              <w:bottom w:val="single" w:sz="4" w:space="0" w:color="auto"/>
              <w:right w:val="single" w:sz="4" w:space="0" w:color="auto"/>
            </w:tcBorders>
            <w:shd w:val="clear" w:color="auto" w:fill="auto"/>
            <w:vAlign w:val="center"/>
            <w:hideMark/>
          </w:tcPr>
          <w:p w14:paraId="0FEBFEF8" w14:textId="77777777" w:rsidR="00C87B7A" w:rsidRPr="00C87B7A" w:rsidRDefault="00C87B7A" w:rsidP="009B5355">
            <w:pPr>
              <w:ind w:left="18" w:firstLineChars="200" w:firstLine="480"/>
              <w:rPr>
                <w:rFonts w:eastAsia="Times New Roman" w:cs="Times New Roman"/>
                <w:color w:val="000000"/>
                <w:szCs w:val="24"/>
              </w:rPr>
            </w:pPr>
            <w:r w:rsidRPr="00C87B7A">
              <w:rPr>
                <w:rFonts w:eastAsia="Times New Roman" w:cs="Times New Roman"/>
                <w:color w:val="000000"/>
                <w:szCs w:val="24"/>
              </w:rPr>
              <w:t>Жатай</w:t>
            </w:r>
          </w:p>
        </w:tc>
        <w:tc>
          <w:tcPr>
            <w:tcW w:w="1574" w:type="pct"/>
            <w:tcBorders>
              <w:top w:val="nil"/>
              <w:left w:val="nil"/>
              <w:bottom w:val="single" w:sz="4" w:space="0" w:color="auto"/>
              <w:right w:val="single" w:sz="4" w:space="0" w:color="auto"/>
            </w:tcBorders>
          </w:tcPr>
          <w:p w14:paraId="1F4330B2" w14:textId="08395675" w:rsidR="00C87B7A" w:rsidRPr="00C87B7A" w:rsidRDefault="00C87B7A" w:rsidP="00C87B7A">
            <w:pPr>
              <w:ind w:firstLine="9"/>
              <w:jc w:val="center"/>
              <w:rPr>
                <w:rFonts w:eastAsia="Times New Roman" w:cs="Times New Roman"/>
                <w:color w:val="000000"/>
                <w:szCs w:val="24"/>
              </w:rPr>
            </w:pPr>
            <w:r w:rsidRPr="00C87B7A">
              <w:rPr>
                <w:rFonts w:cs="Times New Roman"/>
                <w:szCs w:val="24"/>
              </w:rPr>
              <w:t>есть</w:t>
            </w:r>
          </w:p>
        </w:tc>
        <w:tc>
          <w:tcPr>
            <w:tcW w:w="1443" w:type="pct"/>
            <w:tcBorders>
              <w:top w:val="single" w:sz="4" w:space="0" w:color="auto"/>
              <w:left w:val="nil"/>
              <w:bottom w:val="single" w:sz="4" w:space="0" w:color="auto"/>
              <w:right w:val="single" w:sz="4" w:space="0" w:color="auto"/>
            </w:tcBorders>
            <w:vAlign w:val="center"/>
          </w:tcPr>
          <w:p w14:paraId="7E591745" w14:textId="2671338A" w:rsidR="00C87B7A" w:rsidRPr="00C87B7A" w:rsidRDefault="00C87B7A" w:rsidP="00C87B7A">
            <w:pPr>
              <w:ind w:firstLine="9"/>
              <w:jc w:val="center"/>
              <w:rPr>
                <w:rFonts w:cs="Times New Roman"/>
                <w:szCs w:val="24"/>
              </w:rPr>
            </w:pPr>
            <w:r w:rsidRPr="00C87B7A">
              <w:rPr>
                <w:rFonts w:eastAsia="Times New Roman" w:cs="Times New Roman"/>
                <w:color w:val="000000"/>
                <w:szCs w:val="24"/>
              </w:rPr>
              <w:t xml:space="preserve">189  </w:t>
            </w:r>
          </w:p>
        </w:tc>
      </w:tr>
      <w:tr w:rsidR="00C87B7A" w:rsidRPr="00C87B7A" w14:paraId="446C4CF1" w14:textId="2B1A7868" w:rsidTr="009B5355">
        <w:trPr>
          <w:trHeight w:val="300"/>
          <w:jc w:val="center"/>
        </w:trPr>
        <w:tc>
          <w:tcPr>
            <w:tcW w:w="543" w:type="pct"/>
            <w:tcBorders>
              <w:top w:val="nil"/>
              <w:left w:val="single" w:sz="4" w:space="0" w:color="auto"/>
              <w:bottom w:val="single" w:sz="4" w:space="0" w:color="auto"/>
              <w:right w:val="single" w:sz="4" w:space="0" w:color="auto"/>
            </w:tcBorders>
            <w:shd w:val="clear" w:color="auto" w:fill="auto"/>
            <w:vAlign w:val="center"/>
            <w:hideMark/>
          </w:tcPr>
          <w:p w14:paraId="4B5A1281" w14:textId="77777777" w:rsidR="00C87B7A" w:rsidRPr="00C87B7A" w:rsidRDefault="00C87B7A" w:rsidP="00C87B7A">
            <w:pPr>
              <w:ind w:firstLine="9"/>
              <w:jc w:val="center"/>
              <w:rPr>
                <w:rFonts w:eastAsia="Times New Roman" w:cs="Times New Roman"/>
                <w:color w:val="000000"/>
                <w:szCs w:val="24"/>
              </w:rPr>
            </w:pPr>
            <w:r w:rsidRPr="00C87B7A">
              <w:rPr>
                <w:rFonts w:eastAsia="Times New Roman" w:cs="Times New Roman"/>
                <w:color w:val="000000"/>
                <w:szCs w:val="24"/>
              </w:rPr>
              <w:t xml:space="preserve">3  </w:t>
            </w:r>
          </w:p>
        </w:tc>
        <w:tc>
          <w:tcPr>
            <w:tcW w:w="1440" w:type="pct"/>
            <w:tcBorders>
              <w:top w:val="nil"/>
              <w:left w:val="nil"/>
              <w:bottom w:val="single" w:sz="4" w:space="0" w:color="auto"/>
              <w:right w:val="single" w:sz="4" w:space="0" w:color="auto"/>
            </w:tcBorders>
            <w:shd w:val="clear" w:color="auto" w:fill="auto"/>
            <w:vAlign w:val="center"/>
            <w:hideMark/>
          </w:tcPr>
          <w:p w14:paraId="5984A91E" w14:textId="77777777" w:rsidR="00C87B7A" w:rsidRPr="00C87B7A" w:rsidRDefault="00C87B7A" w:rsidP="009B5355">
            <w:pPr>
              <w:ind w:left="18" w:firstLineChars="200" w:firstLine="480"/>
              <w:rPr>
                <w:rFonts w:eastAsia="Times New Roman" w:cs="Times New Roman"/>
                <w:color w:val="000000"/>
                <w:szCs w:val="24"/>
              </w:rPr>
            </w:pPr>
            <w:r w:rsidRPr="00C87B7A">
              <w:rPr>
                <w:rFonts w:eastAsia="Times New Roman" w:cs="Times New Roman"/>
                <w:color w:val="000000"/>
                <w:szCs w:val="24"/>
              </w:rPr>
              <w:t>Нерюнгри</w:t>
            </w:r>
          </w:p>
        </w:tc>
        <w:tc>
          <w:tcPr>
            <w:tcW w:w="1574" w:type="pct"/>
            <w:tcBorders>
              <w:top w:val="nil"/>
              <w:left w:val="nil"/>
              <w:bottom w:val="single" w:sz="4" w:space="0" w:color="auto"/>
              <w:right w:val="single" w:sz="4" w:space="0" w:color="auto"/>
            </w:tcBorders>
          </w:tcPr>
          <w:p w14:paraId="547C6CF1" w14:textId="65DFAA71" w:rsidR="00C87B7A" w:rsidRPr="00C87B7A" w:rsidRDefault="00C87B7A" w:rsidP="00C87B7A">
            <w:pPr>
              <w:ind w:firstLine="9"/>
              <w:jc w:val="center"/>
              <w:rPr>
                <w:rFonts w:eastAsia="Times New Roman" w:cs="Times New Roman"/>
                <w:color w:val="000000"/>
                <w:szCs w:val="24"/>
              </w:rPr>
            </w:pPr>
            <w:r w:rsidRPr="00C87B7A">
              <w:rPr>
                <w:rFonts w:cs="Times New Roman"/>
                <w:szCs w:val="24"/>
              </w:rPr>
              <w:t>есть</w:t>
            </w:r>
          </w:p>
        </w:tc>
        <w:tc>
          <w:tcPr>
            <w:tcW w:w="1443" w:type="pct"/>
            <w:tcBorders>
              <w:top w:val="single" w:sz="4" w:space="0" w:color="auto"/>
              <w:left w:val="nil"/>
              <w:bottom w:val="single" w:sz="4" w:space="0" w:color="auto"/>
              <w:right w:val="single" w:sz="4" w:space="0" w:color="auto"/>
            </w:tcBorders>
            <w:vAlign w:val="center"/>
          </w:tcPr>
          <w:p w14:paraId="09BDB199" w14:textId="5FD2F891" w:rsidR="00C87B7A" w:rsidRPr="00C87B7A" w:rsidRDefault="00C87B7A" w:rsidP="00C87B7A">
            <w:pPr>
              <w:ind w:firstLine="9"/>
              <w:jc w:val="center"/>
              <w:rPr>
                <w:rFonts w:cs="Times New Roman"/>
                <w:szCs w:val="24"/>
              </w:rPr>
            </w:pPr>
            <w:r w:rsidRPr="00C87B7A">
              <w:rPr>
                <w:rFonts w:eastAsia="Times New Roman" w:cs="Times New Roman"/>
                <w:color w:val="000000"/>
                <w:szCs w:val="24"/>
              </w:rPr>
              <w:t xml:space="preserve">3 090  </w:t>
            </w:r>
          </w:p>
        </w:tc>
      </w:tr>
      <w:tr w:rsidR="00C87B7A" w:rsidRPr="00C87B7A" w14:paraId="6D7417AD" w14:textId="126DE8D3" w:rsidTr="009B5355">
        <w:trPr>
          <w:trHeight w:val="300"/>
          <w:jc w:val="center"/>
        </w:trPr>
        <w:tc>
          <w:tcPr>
            <w:tcW w:w="543" w:type="pct"/>
            <w:tcBorders>
              <w:top w:val="nil"/>
              <w:left w:val="single" w:sz="4" w:space="0" w:color="auto"/>
              <w:bottom w:val="single" w:sz="4" w:space="0" w:color="auto"/>
              <w:right w:val="single" w:sz="4" w:space="0" w:color="auto"/>
            </w:tcBorders>
            <w:shd w:val="clear" w:color="auto" w:fill="auto"/>
            <w:vAlign w:val="center"/>
            <w:hideMark/>
          </w:tcPr>
          <w:p w14:paraId="09D088E7" w14:textId="77777777" w:rsidR="00C87B7A" w:rsidRPr="00C87B7A" w:rsidRDefault="00C87B7A" w:rsidP="00C87B7A">
            <w:pPr>
              <w:ind w:firstLine="9"/>
              <w:jc w:val="center"/>
              <w:rPr>
                <w:rFonts w:eastAsia="Times New Roman" w:cs="Times New Roman"/>
                <w:color w:val="000000"/>
                <w:szCs w:val="24"/>
              </w:rPr>
            </w:pPr>
            <w:r w:rsidRPr="00C87B7A">
              <w:rPr>
                <w:rFonts w:eastAsia="Times New Roman" w:cs="Times New Roman"/>
                <w:color w:val="000000"/>
                <w:szCs w:val="24"/>
              </w:rPr>
              <w:t xml:space="preserve">4  </w:t>
            </w:r>
          </w:p>
        </w:tc>
        <w:tc>
          <w:tcPr>
            <w:tcW w:w="1440" w:type="pct"/>
            <w:tcBorders>
              <w:top w:val="nil"/>
              <w:left w:val="nil"/>
              <w:bottom w:val="single" w:sz="4" w:space="0" w:color="auto"/>
              <w:right w:val="single" w:sz="4" w:space="0" w:color="auto"/>
            </w:tcBorders>
            <w:shd w:val="clear" w:color="auto" w:fill="auto"/>
            <w:vAlign w:val="center"/>
            <w:hideMark/>
          </w:tcPr>
          <w:p w14:paraId="2020C71C" w14:textId="77777777" w:rsidR="00C87B7A" w:rsidRPr="00C87B7A" w:rsidRDefault="00C87B7A" w:rsidP="009B5355">
            <w:pPr>
              <w:ind w:left="18" w:firstLineChars="200" w:firstLine="480"/>
              <w:rPr>
                <w:rFonts w:eastAsia="Times New Roman" w:cs="Times New Roman"/>
                <w:color w:val="000000"/>
                <w:szCs w:val="24"/>
              </w:rPr>
            </w:pPr>
            <w:r w:rsidRPr="00C87B7A">
              <w:rPr>
                <w:rFonts w:eastAsia="Times New Roman" w:cs="Times New Roman"/>
                <w:color w:val="000000"/>
                <w:szCs w:val="24"/>
              </w:rPr>
              <w:t>Мирный</w:t>
            </w:r>
          </w:p>
        </w:tc>
        <w:tc>
          <w:tcPr>
            <w:tcW w:w="1574" w:type="pct"/>
            <w:tcBorders>
              <w:top w:val="nil"/>
              <w:left w:val="nil"/>
              <w:bottom w:val="single" w:sz="4" w:space="0" w:color="auto"/>
              <w:right w:val="single" w:sz="4" w:space="0" w:color="auto"/>
            </w:tcBorders>
          </w:tcPr>
          <w:p w14:paraId="5816602A" w14:textId="55771B76" w:rsidR="00C87B7A" w:rsidRPr="00C87B7A" w:rsidRDefault="00C87B7A" w:rsidP="00C87B7A">
            <w:pPr>
              <w:ind w:firstLine="9"/>
              <w:jc w:val="center"/>
              <w:rPr>
                <w:rFonts w:eastAsia="Times New Roman" w:cs="Times New Roman"/>
                <w:color w:val="000000"/>
                <w:szCs w:val="24"/>
              </w:rPr>
            </w:pPr>
            <w:r w:rsidRPr="00C87B7A">
              <w:rPr>
                <w:rFonts w:cs="Times New Roman"/>
                <w:szCs w:val="24"/>
              </w:rPr>
              <w:t>есть</w:t>
            </w:r>
          </w:p>
        </w:tc>
        <w:tc>
          <w:tcPr>
            <w:tcW w:w="1443" w:type="pct"/>
            <w:tcBorders>
              <w:top w:val="single" w:sz="4" w:space="0" w:color="auto"/>
              <w:left w:val="nil"/>
              <w:bottom w:val="single" w:sz="4" w:space="0" w:color="auto"/>
              <w:right w:val="single" w:sz="4" w:space="0" w:color="auto"/>
            </w:tcBorders>
            <w:vAlign w:val="center"/>
          </w:tcPr>
          <w:p w14:paraId="7FFF7894" w14:textId="3B96BECC" w:rsidR="00C87B7A" w:rsidRPr="00C87B7A" w:rsidRDefault="00C87B7A" w:rsidP="00C87B7A">
            <w:pPr>
              <w:ind w:firstLine="9"/>
              <w:jc w:val="center"/>
              <w:rPr>
                <w:rFonts w:cs="Times New Roman"/>
                <w:szCs w:val="24"/>
              </w:rPr>
            </w:pPr>
            <w:r w:rsidRPr="00C87B7A">
              <w:rPr>
                <w:rFonts w:eastAsia="Times New Roman" w:cs="Times New Roman"/>
                <w:color w:val="000000"/>
                <w:szCs w:val="24"/>
              </w:rPr>
              <w:t xml:space="preserve">1 516  </w:t>
            </w:r>
          </w:p>
        </w:tc>
      </w:tr>
      <w:tr w:rsidR="00C87B7A" w:rsidRPr="00C87B7A" w14:paraId="5F2A7A5A" w14:textId="41E8014D" w:rsidTr="009B5355">
        <w:trPr>
          <w:trHeight w:val="300"/>
          <w:jc w:val="center"/>
        </w:trPr>
        <w:tc>
          <w:tcPr>
            <w:tcW w:w="543" w:type="pct"/>
            <w:tcBorders>
              <w:top w:val="nil"/>
              <w:left w:val="single" w:sz="4" w:space="0" w:color="auto"/>
              <w:bottom w:val="single" w:sz="4" w:space="0" w:color="auto"/>
              <w:right w:val="single" w:sz="4" w:space="0" w:color="auto"/>
            </w:tcBorders>
            <w:shd w:val="clear" w:color="auto" w:fill="auto"/>
            <w:vAlign w:val="center"/>
            <w:hideMark/>
          </w:tcPr>
          <w:p w14:paraId="19BD41AF" w14:textId="77777777" w:rsidR="00C87B7A" w:rsidRPr="00C87B7A" w:rsidRDefault="00C87B7A" w:rsidP="00C87B7A">
            <w:pPr>
              <w:ind w:firstLine="9"/>
              <w:jc w:val="center"/>
              <w:rPr>
                <w:rFonts w:eastAsia="Times New Roman" w:cs="Times New Roman"/>
                <w:color w:val="000000"/>
                <w:szCs w:val="24"/>
              </w:rPr>
            </w:pPr>
            <w:r w:rsidRPr="00C87B7A">
              <w:rPr>
                <w:rFonts w:eastAsia="Times New Roman" w:cs="Times New Roman"/>
                <w:color w:val="000000"/>
                <w:szCs w:val="24"/>
              </w:rPr>
              <w:t xml:space="preserve">5  </w:t>
            </w:r>
          </w:p>
        </w:tc>
        <w:tc>
          <w:tcPr>
            <w:tcW w:w="1440" w:type="pct"/>
            <w:tcBorders>
              <w:top w:val="nil"/>
              <w:left w:val="nil"/>
              <w:bottom w:val="single" w:sz="4" w:space="0" w:color="auto"/>
              <w:right w:val="single" w:sz="4" w:space="0" w:color="auto"/>
            </w:tcBorders>
            <w:shd w:val="clear" w:color="auto" w:fill="auto"/>
            <w:vAlign w:val="center"/>
            <w:hideMark/>
          </w:tcPr>
          <w:p w14:paraId="0C8D978A" w14:textId="77777777" w:rsidR="00C87B7A" w:rsidRPr="00C87B7A" w:rsidRDefault="00C87B7A" w:rsidP="009B5355">
            <w:pPr>
              <w:ind w:left="18" w:firstLineChars="200" w:firstLine="480"/>
              <w:rPr>
                <w:rFonts w:eastAsia="Times New Roman" w:cs="Times New Roman"/>
                <w:color w:val="000000"/>
                <w:szCs w:val="24"/>
              </w:rPr>
            </w:pPr>
            <w:r w:rsidRPr="00C87B7A">
              <w:rPr>
                <w:rFonts w:eastAsia="Times New Roman" w:cs="Times New Roman"/>
                <w:color w:val="000000"/>
                <w:szCs w:val="24"/>
              </w:rPr>
              <w:t>Ленск</w:t>
            </w:r>
          </w:p>
        </w:tc>
        <w:tc>
          <w:tcPr>
            <w:tcW w:w="1574" w:type="pct"/>
            <w:tcBorders>
              <w:top w:val="nil"/>
              <w:left w:val="nil"/>
              <w:bottom w:val="single" w:sz="4" w:space="0" w:color="auto"/>
              <w:right w:val="single" w:sz="4" w:space="0" w:color="auto"/>
            </w:tcBorders>
          </w:tcPr>
          <w:p w14:paraId="7A16FE66" w14:textId="2D3B7CE8" w:rsidR="00C87B7A" w:rsidRPr="00C87B7A" w:rsidRDefault="00C87B7A" w:rsidP="00C87B7A">
            <w:pPr>
              <w:ind w:firstLine="9"/>
              <w:jc w:val="center"/>
              <w:rPr>
                <w:rFonts w:eastAsia="Times New Roman" w:cs="Times New Roman"/>
                <w:color w:val="000000"/>
                <w:szCs w:val="24"/>
              </w:rPr>
            </w:pPr>
            <w:r w:rsidRPr="00C87B7A">
              <w:rPr>
                <w:rFonts w:cs="Times New Roman"/>
                <w:szCs w:val="24"/>
              </w:rPr>
              <w:t>есть</w:t>
            </w:r>
          </w:p>
        </w:tc>
        <w:tc>
          <w:tcPr>
            <w:tcW w:w="1443" w:type="pct"/>
            <w:tcBorders>
              <w:top w:val="single" w:sz="4" w:space="0" w:color="auto"/>
              <w:left w:val="nil"/>
              <w:bottom w:val="single" w:sz="4" w:space="0" w:color="auto"/>
              <w:right w:val="single" w:sz="4" w:space="0" w:color="auto"/>
            </w:tcBorders>
            <w:vAlign w:val="center"/>
          </w:tcPr>
          <w:p w14:paraId="4FE64EAB" w14:textId="21227612" w:rsidR="00C87B7A" w:rsidRPr="00C87B7A" w:rsidRDefault="00C87B7A" w:rsidP="00C87B7A">
            <w:pPr>
              <w:ind w:firstLine="9"/>
              <w:jc w:val="center"/>
              <w:rPr>
                <w:rFonts w:cs="Times New Roman"/>
                <w:szCs w:val="24"/>
              </w:rPr>
            </w:pPr>
            <w:r w:rsidRPr="00C87B7A">
              <w:rPr>
                <w:rFonts w:eastAsia="Times New Roman" w:cs="Times New Roman"/>
                <w:color w:val="000000"/>
                <w:szCs w:val="24"/>
              </w:rPr>
              <w:t xml:space="preserve">670  </w:t>
            </w:r>
          </w:p>
        </w:tc>
      </w:tr>
      <w:tr w:rsidR="00C87B7A" w:rsidRPr="00C87B7A" w14:paraId="4EEFD5DC" w14:textId="56A5D3FF" w:rsidTr="009B5355">
        <w:trPr>
          <w:trHeight w:val="300"/>
          <w:jc w:val="center"/>
        </w:trPr>
        <w:tc>
          <w:tcPr>
            <w:tcW w:w="543" w:type="pct"/>
            <w:tcBorders>
              <w:top w:val="nil"/>
              <w:left w:val="single" w:sz="4" w:space="0" w:color="auto"/>
              <w:bottom w:val="single" w:sz="4" w:space="0" w:color="auto"/>
              <w:right w:val="single" w:sz="4" w:space="0" w:color="auto"/>
            </w:tcBorders>
            <w:shd w:val="clear" w:color="auto" w:fill="auto"/>
            <w:vAlign w:val="center"/>
            <w:hideMark/>
          </w:tcPr>
          <w:p w14:paraId="7BA4ACBA" w14:textId="77777777" w:rsidR="00C87B7A" w:rsidRPr="00C87B7A" w:rsidRDefault="00C87B7A" w:rsidP="00C87B7A">
            <w:pPr>
              <w:ind w:firstLine="9"/>
              <w:jc w:val="center"/>
              <w:rPr>
                <w:rFonts w:eastAsia="Times New Roman" w:cs="Times New Roman"/>
                <w:color w:val="000000"/>
                <w:szCs w:val="24"/>
              </w:rPr>
            </w:pPr>
            <w:r w:rsidRPr="00C87B7A">
              <w:rPr>
                <w:rFonts w:eastAsia="Times New Roman" w:cs="Times New Roman"/>
                <w:color w:val="000000"/>
                <w:szCs w:val="24"/>
              </w:rPr>
              <w:t xml:space="preserve">6  </w:t>
            </w:r>
          </w:p>
        </w:tc>
        <w:tc>
          <w:tcPr>
            <w:tcW w:w="1440" w:type="pct"/>
            <w:tcBorders>
              <w:top w:val="nil"/>
              <w:left w:val="nil"/>
              <w:bottom w:val="single" w:sz="4" w:space="0" w:color="auto"/>
              <w:right w:val="single" w:sz="4" w:space="0" w:color="auto"/>
            </w:tcBorders>
            <w:shd w:val="clear" w:color="auto" w:fill="auto"/>
            <w:vAlign w:val="center"/>
            <w:hideMark/>
          </w:tcPr>
          <w:p w14:paraId="77835A32" w14:textId="77777777" w:rsidR="00C87B7A" w:rsidRPr="00C87B7A" w:rsidRDefault="00C87B7A" w:rsidP="009B5355">
            <w:pPr>
              <w:ind w:left="18" w:firstLineChars="200" w:firstLine="480"/>
              <w:rPr>
                <w:rFonts w:eastAsia="Times New Roman" w:cs="Times New Roman"/>
                <w:color w:val="000000"/>
                <w:szCs w:val="24"/>
              </w:rPr>
            </w:pPr>
            <w:r w:rsidRPr="00C87B7A">
              <w:rPr>
                <w:rFonts w:eastAsia="Times New Roman" w:cs="Times New Roman"/>
                <w:color w:val="000000"/>
                <w:szCs w:val="24"/>
              </w:rPr>
              <w:t>Алдан</w:t>
            </w:r>
          </w:p>
        </w:tc>
        <w:tc>
          <w:tcPr>
            <w:tcW w:w="1574" w:type="pct"/>
            <w:tcBorders>
              <w:top w:val="nil"/>
              <w:left w:val="nil"/>
              <w:bottom w:val="single" w:sz="4" w:space="0" w:color="auto"/>
              <w:right w:val="single" w:sz="4" w:space="0" w:color="auto"/>
            </w:tcBorders>
          </w:tcPr>
          <w:p w14:paraId="71B1D972" w14:textId="7FA1F277" w:rsidR="00C87B7A" w:rsidRPr="00C87B7A" w:rsidRDefault="00C87B7A" w:rsidP="00C87B7A">
            <w:pPr>
              <w:ind w:firstLine="9"/>
              <w:jc w:val="center"/>
              <w:rPr>
                <w:rFonts w:eastAsia="Times New Roman" w:cs="Times New Roman"/>
                <w:color w:val="000000"/>
                <w:szCs w:val="24"/>
              </w:rPr>
            </w:pPr>
            <w:r w:rsidRPr="00C87B7A">
              <w:rPr>
                <w:rFonts w:cs="Times New Roman"/>
                <w:szCs w:val="24"/>
              </w:rPr>
              <w:t>есть</w:t>
            </w:r>
          </w:p>
        </w:tc>
        <w:tc>
          <w:tcPr>
            <w:tcW w:w="1443" w:type="pct"/>
            <w:tcBorders>
              <w:top w:val="single" w:sz="4" w:space="0" w:color="auto"/>
              <w:left w:val="nil"/>
              <w:bottom w:val="single" w:sz="4" w:space="0" w:color="auto"/>
              <w:right w:val="single" w:sz="4" w:space="0" w:color="auto"/>
            </w:tcBorders>
            <w:vAlign w:val="center"/>
          </w:tcPr>
          <w:p w14:paraId="25C6E84E" w14:textId="421861D6" w:rsidR="00C87B7A" w:rsidRPr="00C87B7A" w:rsidRDefault="00C87B7A" w:rsidP="00C87B7A">
            <w:pPr>
              <w:ind w:firstLine="9"/>
              <w:jc w:val="center"/>
              <w:rPr>
                <w:rFonts w:cs="Times New Roman"/>
                <w:szCs w:val="24"/>
              </w:rPr>
            </w:pPr>
            <w:r w:rsidRPr="00C87B7A">
              <w:rPr>
                <w:rFonts w:eastAsia="Times New Roman" w:cs="Times New Roman"/>
                <w:color w:val="000000"/>
                <w:szCs w:val="24"/>
              </w:rPr>
              <w:t xml:space="preserve">867  </w:t>
            </w:r>
          </w:p>
        </w:tc>
      </w:tr>
      <w:tr w:rsidR="00C87B7A" w:rsidRPr="00C87B7A" w14:paraId="6DC37AEE" w14:textId="72701BB7" w:rsidTr="009B5355">
        <w:trPr>
          <w:trHeight w:val="300"/>
          <w:jc w:val="center"/>
        </w:trPr>
        <w:tc>
          <w:tcPr>
            <w:tcW w:w="543" w:type="pct"/>
            <w:tcBorders>
              <w:top w:val="nil"/>
              <w:left w:val="single" w:sz="4" w:space="0" w:color="auto"/>
              <w:bottom w:val="single" w:sz="4" w:space="0" w:color="auto"/>
              <w:right w:val="single" w:sz="4" w:space="0" w:color="auto"/>
            </w:tcBorders>
            <w:shd w:val="clear" w:color="auto" w:fill="auto"/>
            <w:vAlign w:val="center"/>
            <w:hideMark/>
          </w:tcPr>
          <w:p w14:paraId="61EC450B" w14:textId="77777777" w:rsidR="00C87B7A" w:rsidRPr="00C87B7A" w:rsidRDefault="00C87B7A" w:rsidP="00C87B7A">
            <w:pPr>
              <w:ind w:firstLine="9"/>
              <w:jc w:val="center"/>
              <w:rPr>
                <w:rFonts w:eastAsia="Times New Roman" w:cs="Times New Roman"/>
                <w:color w:val="000000"/>
                <w:szCs w:val="24"/>
              </w:rPr>
            </w:pPr>
            <w:r w:rsidRPr="00C87B7A">
              <w:rPr>
                <w:rFonts w:eastAsia="Times New Roman" w:cs="Times New Roman"/>
                <w:color w:val="000000"/>
                <w:szCs w:val="24"/>
              </w:rPr>
              <w:t xml:space="preserve">7  </w:t>
            </w:r>
          </w:p>
        </w:tc>
        <w:tc>
          <w:tcPr>
            <w:tcW w:w="1440" w:type="pct"/>
            <w:tcBorders>
              <w:top w:val="nil"/>
              <w:left w:val="nil"/>
              <w:bottom w:val="single" w:sz="4" w:space="0" w:color="auto"/>
              <w:right w:val="single" w:sz="4" w:space="0" w:color="auto"/>
            </w:tcBorders>
            <w:shd w:val="clear" w:color="auto" w:fill="auto"/>
            <w:vAlign w:val="center"/>
            <w:hideMark/>
          </w:tcPr>
          <w:p w14:paraId="402194F5" w14:textId="77777777" w:rsidR="00C87B7A" w:rsidRPr="00C87B7A" w:rsidRDefault="00C87B7A" w:rsidP="009B5355">
            <w:pPr>
              <w:ind w:left="18" w:firstLineChars="200" w:firstLine="480"/>
              <w:rPr>
                <w:rFonts w:eastAsia="Times New Roman" w:cs="Times New Roman"/>
                <w:color w:val="000000"/>
                <w:szCs w:val="24"/>
              </w:rPr>
            </w:pPr>
            <w:r w:rsidRPr="00C87B7A">
              <w:rPr>
                <w:rFonts w:eastAsia="Times New Roman" w:cs="Times New Roman"/>
                <w:color w:val="000000"/>
                <w:szCs w:val="24"/>
              </w:rPr>
              <w:t>Айхал</w:t>
            </w:r>
          </w:p>
        </w:tc>
        <w:tc>
          <w:tcPr>
            <w:tcW w:w="1574" w:type="pct"/>
            <w:tcBorders>
              <w:top w:val="nil"/>
              <w:left w:val="nil"/>
              <w:bottom w:val="single" w:sz="4" w:space="0" w:color="auto"/>
              <w:right w:val="single" w:sz="4" w:space="0" w:color="auto"/>
            </w:tcBorders>
          </w:tcPr>
          <w:p w14:paraId="66E802E2" w14:textId="5A8C706B" w:rsidR="00C87B7A" w:rsidRPr="00C87B7A" w:rsidRDefault="00C87B7A" w:rsidP="00C87B7A">
            <w:pPr>
              <w:ind w:firstLine="9"/>
              <w:jc w:val="center"/>
              <w:rPr>
                <w:rFonts w:eastAsia="Times New Roman" w:cs="Times New Roman"/>
                <w:color w:val="000000"/>
                <w:szCs w:val="24"/>
              </w:rPr>
            </w:pPr>
            <w:r w:rsidRPr="00C87B7A">
              <w:rPr>
                <w:rFonts w:cs="Times New Roman"/>
                <w:szCs w:val="24"/>
              </w:rPr>
              <w:t>есть</w:t>
            </w:r>
          </w:p>
        </w:tc>
        <w:tc>
          <w:tcPr>
            <w:tcW w:w="1443" w:type="pct"/>
            <w:tcBorders>
              <w:top w:val="single" w:sz="4" w:space="0" w:color="auto"/>
              <w:left w:val="nil"/>
              <w:bottom w:val="single" w:sz="4" w:space="0" w:color="auto"/>
              <w:right w:val="single" w:sz="4" w:space="0" w:color="auto"/>
            </w:tcBorders>
            <w:vAlign w:val="center"/>
          </w:tcPr>
          <w:p w14:paraId="2FB1D3C2" w14:textId="3C6E2BA7" w:rsidR="00C87B7A" w:rsidRPr="00C87B7A" w:rsidRDefault="00C87B7A" w:rsidP="00C87B7A">
            <w:pPr>
              <w:ind w:firstLine="9"/>
              <w:jc w:val="center"/>
              <w:rPr>
                <w:rFonts w:cs="Times New Roman"/>
                <w:szCs w:val="24"/>
              </w:rPr>
            </w:pPr>
            <w:r w:rsidRPr="00C87B7A">
              <w:rPr>
                <w:rFonts w:eastAsia="Times New Roman" w:cs="Times New Roman"/>
                <w:color w:val="000000"/>
                <w:szCs w:val="24"/>
              </w:rPr>
              <w:t xml:space="preserve">647  </w:t>
            </w:r>
          </w:p>
        </w:tc>
      </w:tr>
      <w:tr w:rsidR="00C87B7A" w:rsidRPr="00C87B7A" w14:paraId="0A95D457" w14:textId="395FD684" w:rsidTr="009B5355">
        <w:trPr>
          <w:trHeight w:val="300"/>
          <w:jc w:val="center"/>
        </w:trPr>
        <w:tc>
          <w:tcPr>
            <w:tcW w:w="543" w:type="pct"/>
            <w:tcBorders>
              <w:top w:val="nil"/>
              <w:left w:val="single" w:sz="4" w:space="0" w:color="auto"/>
              <w:bottom w:val="single" w:sz="4" w:space="0" w:color="auto"/>
              <w:right w:val="single" w:sz="4" w:space="0" w:color="auto"/>
            </w:tcBorders>
            <w:shd w:val="clear" w:color="auto" w:fill="auto"/>
            <w:vAlign w:val="center"/>
            <w:hideMark/>
          </w:tcPr>
          <w:p w14:paraId="7F4FECB3" w14:textId="77777777" w:rsidR="00C87B7A" w:rsidRPr="00C87B7A" w:rsidRDefault="00C87B7A" w:rsidP="00C87B7A">
            <w:pPr>
              <w:ind w:firstLine="9"/>
              <w:jc w:val="center"/>
              <w:rPr>
                <w:rFonts w:eastAsia="Times New Roman" w:cs="Times New Roman"/>
                <w:color w:val="000000"/>
                <w:szCs w:val="24"/>
              </w:rPr>
            </w:pPr>
            <w:r w:rsidRPr="00C87B7A">
              <w:rPr>
                <w:rFonts w:eastAsia="Times New Roman" w:cs="Times New Roman"/>
                <w:color w:val="000000"/>
                <w:szCs w:val="24"/>
              </w:rPr>
              <w:t xml:space="preserve">8  </w:t>
            </w:r>
          </w:p>
        </w:tc>
        <w:tc>
          <w:tcPr>
            <w:tcW w:w="1440" w:type="pct"/>
            <w:tcBorders>
              <w:top w:val="nil"/>
              <w:left w:val="nil"/>
              <w:bottom w:val="single" w:sz="4" w:space="0" w:color="auto"/>
              <w:right w:val="single" w:sz="4" w:space="0" w:color="auto"/>
            </w:tcBorders>
            <w:shd w:val="clear" w:color="auto" w:fill="auto"/>
            <w:vAlign w:val="center"/>
            <w:hideMark/>
          </w:tcPr>
          <w:p w14:paraId="38389320" w14:textId="77777777" w:rsidR="00C87B7A" w:rsidRPr="00C87B7A" w:rsidRDefault="00C87B7A" w:rsidP="009B5355">
            <w:pPr>
              <w:ind w:left="18" w:firstLineChars="200" w:firstLine="480"/>
              <w:rPr>
                <w:rFonts w:eastAsia="Times New Roman" w:cs="Times New Roman"/>
                <w:color w:val="000000"/>
                <w:szCs w:val="24"/>
              </w:rPr>
            </w:pPr>
            <w:r w:rsidRPr="00C87B7A">
              <w:rPr>
                <w:rFonts w:eastAsia="Times New Roman" w:cs="Times New Roman"/>
                <w:color w:val="000000"/>
                <w:szCs w:val="24"/>
              </w:rPr>
              <w:t xml:space="preserve">Удачный </w:t>
            </w:r>
          </w:p>
        </w:tc>
        <w:tc>
          <w:tcPr>
            <w:tcW w:w="1574" w:type="pct"/>
            <w:tcBorders>
              <w:top w:val="nil"/>
              <w:left w:val="nil"/>
              <w:bottom w:val="single" w:sz="4" w:space="0" w:color="auto"/>
              <w:right w:val="single" w:sz="4" w:space="0" w:color="auto"/>
            </w:tcBorders>
          </w:tcPr>
          <w:p w14:paraId="2650F363" w14:textId="1670C9EC" w:rsidR="00C87B7A" w:rsidRPr="00C87B7A" w:rsidRDefault="00C87B7A" w:rsidP="00C87B7A">
            <w:pPr>
              <w:ind w:firstLine="9"/>
              <w:jc w:val="center"/>
              <w:rPr>
                <w:rFonts w:eastAsia="Times New Roman" w:cs="Times New Roman"/>
                <w:color w:val="000000"/>
                <w:szCs w:val="24"/>
              </w:rPr>
            </w:pPr>
            <w:r w:rsidRPr="00C87B7A">
              <w:rPr>
                <w:rFonts w:cs="Times New Roman"/>
                <w:szCs w:val="24"/>
              </w:rPr>
              <w:t>есть</w:t>
            </w:r>
          </w:p>
        </w:tc>
        <w:tc>
          <w:tcPr>
            <w:tcW w:w="1443" w:type="pct"/>
            <w:tcBorders>
              <w:top w:val="single" w:sz="4" w:space="0" w:color="auto"/>
              <w:left w:val="nil"/>
              <w:bottom w:val="single" w:sz="4" w:space="0" w:color="auto"/>
              <w:right w:val="single" w:sz="4" w:space="0" w:color="auto"/>
            </w:tcBorders>
            <w:vAlign w:val="center"/>
          </w:tcPr>
          <w:p w14:paraId="571B2621" w14:textId="698D887F" w:rsidR="00C87B7A" w:rsidRPr="00C87B7A" w:rsidRDefault="00C87B7A" w:rsidP="00C87B7A">
            <w:pPr>
              <w:ind w:firstLine="9"/>
              <w:jc w:val="center"/>
              <w:rPr>
                <w:rFonts w:cs="Times New Roman"/>
                <w:szCs w:val="24"/>
              </w:rPr>
            </w:pPr>
            <w:r w:rsidRPr="00C87B7A">
              <w:rPr>
                <w:rFonts w:eastAsia="Times New Roman" w:cs="Times New Roman"/>
                <w:color w:val="000000"/>
                <w:szCs w:val="24"/>
              </w:rPr>
              <w:t xml:space="preserve">793  </w:t>
            </w:r>
          </w:p>
        </w:tc>
      </w:tr>
      <w:tr w:rsidR="00C87B7A" w:rsidRPr="00C87B7A" w14:paraId="41B480C1" w14:textId="42CA3BB5" w:rsidTr="009B5355">
        <w:trPr>
          <w:trHeight w:val="300"/>
          <w:jc w:val="center"/>
        </w:trPr>
        <w:tc>
          <w:tcPr>
            <w:tcW w:w="543" w:type="pct"/>
            <w:tcBorders>
              <w:top w:val="nil"/>
              <w:left w:val="single" w:sz="4" w:space="0" w:color="auto"/>
              <w:bottom w:val="single" w:sz="4" w:space="0" w:color="auto"/>
              <w:right w:val="single" w:sz="4" w:space="0" w:color="auto"/>
            </w:tcBorders>
            <w:shd w:val="clear" w:color="auto" w:fill="auto"/>
            <w:vAlign w:val="center"/>
            <w:hideMark/>
          </w:tcPr>
          <w:p w14:paraId="30FFCA00" w14:textId="77777777" w:rsidR="00C87B7A" w:rsidRPr="00C87B7A" w:rsidRDefault="00C87B7A" w:rsidP="00C87B7A">
            <w:pPr>
              <w:ind w:firstLine="9"/>
              <w:jc w:val="center"/>
              <w:rPr>
                <w:rFonts w:eastAsia="Times New Roman" w:cs="Times New Roman"/>
                <w:color w:val="000000"/>
                <w:szCs w:val="24"/>
              </w:rPr>
            </w:pPr>
            <w:r w:rsidRPr="00C87B7A">
              <w:rPr>
                <w:rFonts w:eastAsia="Times New Roman" w:cs="Times New Roman"/>
                <w:color w:val="000000"/>
                <w:szCs w:val="24"/>
              </w:rPr>
              <w:t xml:space="preserve">9  </w:t>
            </w:r>
          </w:p>
        </w:tc>
        <w:tc>
          <w:tcPr>
            <w:tcW w:w="1440" w:type="pct"/>
            <w:tcBorders>
              <w:top w:val="nil"/>
              <w:left w:val="nil"/>
              <w:bottom w:val="single" w:sz="4" w:space="0" w:color="auto"/>
              <w:right w:val="single" w:sz="4" w:space="0" w:color="auto"/>
            </w:tcBorders>
            <w:shd w:val="clear" w:color="auto" w:fill="auto"/>
            <w:vAlign w:val="center"/>
            <w:hideMark/>
          </w:tcPr>
          <w:p w14:paraId="5FF524E9" w14:textId="77777777" w:rsidR="00C87B7A" w:rsidRPr="00C87B7A" w:rsidRDefault="00C87B7A" w:rsidP="009B5355">
            <w:pPr>
              <w:ind w:left="18" w:firstLineChars="200" w:firstLine="480"/>
              <w:rPr>
                <w:rFonts w:eastAsia="Times New Roman" w:cs="Times New Roman"/>
                <w:color w:val="000000"/>
                <w:szCs w:val="24"/>
              </w:rPr>
            </w:pPr>
            <w:r w:rsidRPr="00C87B7A">
              <w:rPr>
                <w:rFonts w:eastAsia="Times New Roman" w:cs="Times New Roman"/>
                <w:color w:val="000000"/>
                <w:szCs w:val="24"/>
              </w:rPr>
              <w:t xml:space="preserve">Нюрба </w:t>
            </w:r>
          </w:p>
        </w:tc>
        <w:tc>
          <w:tcPr>
            <w:tcW w:w="1574" w:type="pct"/>
            <w:tcBorders>
              <w:top w:val="nil"/>
              <w:left w:val="nil"/>
              <w:bottom w:val="single" w:sz="4" w:space="0" w:color="auto"/>
              <w:right w:val="single" w:sz="4" w:space="0" w:color="auto"/>
            </w:tcBorders>
          </w:tcPr>
          <w:p w14:paraId="42CCB124" w14:textId="7A4E4CE7" w:rsidR="00C87B7A" w:rsidRPr="00C87B7A" w:rsidRDefault="00C87B7A" w:rsidP="00C87B7A">
            <w:pPr>
              <w:ind w:firstLine="9"/>
              <w:jc w:val="center"/>
              <w:rPr>
                <w:rFonts w:eastAsia="Times New Roman" w:cs="Times New Roman"/>
                <w:color w:val="000000"/>
                <w:szCs w:val="24"/>
              </w:rPr>
            </w:pPr>
            <w:r w:rsidRPr="00C87B7A">
              <w:rPr>
                <w:rFonts w:cs="Times New Roman"/>
                <w:szCs w:val="24"/>
              </w:rPr>
              <w:t>есть</w:t>
            </w:r>
          </w:p>
        </w:tc>
        <w:tc>
          <w:tcPr>
            <w:tcW w:w="1443" w:type="pct"/>
            <w:tcBorders>
              <w:top w:val="single" w:sz="4" w:space="0" w:color="auto"/>
              <w:left w:val="nil"/>
              <w:bottom w:val="single" w:sz="4" w:space="0" w:color="auto"/>
              <w:right w:val="single" w:sz="4" w:space="0" w:color="auto"/>
            </w:tcBorders>
            <w:vAlign w:val="center"/>
          </w:tcPr>
          <w:p w14:paraId="5D919248" w14:textId="75BA6060" w:rsidR="00C87B7A" w:rsidRPr="00C87B7A" w:rsidRDefault="00C87B7A" w:rsidP="00C87B7A">
            <w:pPr>
              <w:ind w:firstLine="9"/>
              <w:jc w:val="center"/>
              <w:rPr>
                <w:rFonts w:cs="Times New Roman"/>
                <w:szCs w:val="24"/>
              </w:rPr>
            </w:pPr>
            <w:r w:rsidRPr="00C87B7A">
              <w:rPr>
                <w:rFonts w:eastAsia="Times New Roman" w:cs="Times New Roman"/>
                <w:color w:val="000000"/>
                <w:szCs w:val="24"/>
              </w:rPr>
              <w:t xml:space="preserve">162  </w:t>
            </w:r>
          </w:p>
        </w:tc>
      </w:tr>
      <w:tr w:rsidR="00C87B7A" w:rsidRPr="00C87B7A" w14:paraId="69772080" w14:textId="28F997C8" w:rsidTr="009B5355">
        <w:trPr>
          <w:trHeight w:val="300"/>
          <w:jc w:val="center"/>
        </w:trPr>
        <w:tc>
          <w:tcPr>
            <w:tcW w:w="543" w:type="pct"/>
            <w:tcBorders>
              <w:top w:val="nil"/>
              <w:left w:val="single" w:sz="4" w:space="0" w:color="auto"/>
              <w:bottom w:val="single" w:sz="4" w:space="0" w:color="auto"/>
              <w:right w:val="single" w:sz="4" w:space="0" w:color="auto"/>
            </w:tcBorders>
            <w:shd w:val="clear" w:color="auto" w:fill="auto"/>
            <w:vAlign w:val="center"/>
            <w:hideMark/>
          </w:tcPr>
          <w:p w14:paraId="44BC3B50" w14:textId="77777777" w:rsidR="00C87B7A" w:rsidRPr="00C87B7A" w:rsidRDefault="00C87B7A" w:rsidP="00C87B7A">
            <w:pPr>
              <w:ind w:firstLine="9"/>
              <w:jc w:val="center"/>
              <w:rPr>
                <w:rFonts w:eastAsia="Times New Roman" w:cs="Times New Roman"/>
                <w:color w:val="000000"/>
                <w:szCs w:val="24"/>
              </w:rPr>
            </w:pPr>
            <w:r w:rsidRPr="00C87B7A">
              <w:rPr>
                <w:rFonts w:eastAsia="Times New Roman" w:cs="Times New Roman"/>
                <w:color w:val="000000"/>
                <w:szCs w:val="24"/>
              </w:rPr>
              <w:t xml:space="preserve">10  </w:t>
            </w:r>
          </w:p>
        </w:tc>
        <w:tc>
          <w:tcPr>
            <w:tcW w:w="1440" w:type="pct"/>
            <w:tcBorders>
              <w:top w:val="nil"/>
              <w:left w:val="nil"/>
              <w:bottom w:val="single" w:sz="4" w:space="0" w:color="auto"/>
              <w:right w:val="single" w:sz="4" w:space="0" w:color="auto"/>
            </w:tcBorders>
            <w:shd w:val="clear" w:color="auto" w:fill="auto"/>
            <w:vAlign w:val="center"/>
            <w:hideMark/>
          </w:tcPr>
          <w:p w14:paraId="043C45AE" w14:textId="77777777" w:rsidR="00C87B7A" w:rsidRPr="00C87B7A" w:rsidRDefault="00C87B7A" w:rsidP="009B5355">
            <w:pPr>
              <w:ind w:left="18" w:firstLineChars="200" w:firstLine="480"/>
              <w:rPr>
                <w:rFonts w:eastAsia="Times New Roman" w:cs="Times New Roman"/>
                <w:color w:val="000000"/>
                <w:szCs w:val="24"/>
              </w:rPr>
            </w:pPr>
            <w:r w:rsidRPr="00C87B7A">
              <w:rPr>
                <w:rFonts w:eastAsia="Times New Roman" w:cs="Times New Roman"/>
                <w:color w:val="000000"/>
                <w:szCs w:val="24"/>
              </w:rPr>
              <w:t xml:space="preserve">Покровск </w:t>
            </w:r>
          </w:p>
        </w:tc>
        <w:tc>
          <w:tcPr>
            <w:tcW w:w="1574" w:type="pct"/>
            <w:tcBorders>
              <w:top w:val="nil"/>
              <w:left w:val="nil"/>
              <w:bottom w:val="single" w:sz="4" w:space="0" w:color="auto"/>
              <w:right w:val="single" w:sz="4" w:space="0" w:color="auto"/>
            </w:tcBorders>
          </w:tcPr>
          <w:p w14:paraId="0848BC94" w14:textId="16DA83D7" w:rsidR="00C87B7A" w:rsidRPr="00C87B7A" w:rsidRDefault="00C87B7A" w:rsidP="00C87B7A">
            <w:pPr>
              <w:ind w:firstLine="9"/>
              <w:jc w:val="center"/>
              <w:rPr>
                <w:rFonts w:eastAsia="Times New Roman" w:cs="Times New Roman"/>
                <w:color w:val="000000"/>
                <w:szCs w:val="24"/>
              </w:rPr>
            </w:pPr>
            <w:r w:rsidRPr="00C87B7A">
              <w:rPr>
                <w:rFonts w:cs="Times New Roman"/>
                <w:szCs w:val="24"/>
              </w:rPr>
              <w:t>есть</w:t>
            </w:r>
          </w:p>
        </w:tc>
        <w:tc>
          <w:tcPr>
            <w:tcW w:w="1443" w:type="pct"/>
            <w:tcBorders>
              <w:top w:val="single" w:sz="4" w:space="0" w:color="auto"/>
              <w:left w:val="nil"/>
              <w:bottom w:val="single" w:sz="4" w:space="0" w:color="auto"/>
              <w:right w:val="single" w:sz="4" w:space="0" w:color="auto"/>
            </w:tcBorders>
            <w:vAlign w:val="center"/>
          </w:tcPr>
          <w:p w14:paraId="55BFE266" w14:textId="0A1046D4" w:rsidR="00C87B7A" w:rsidRPr="00C87B7A" w:rsidRDefault="00C87B7A" w:rsidP="00C87B7A">
            <w:pPr>
              <w:ind w:firstLine="9"/>
              <w:jc w:val="center"/>
              <w:rPr>
                <w:rFonts w:cs="Times New Roman"/>
                <w:szCs w:val="24"/>
              </w:rPr>
            </w:pPr>
            <w:r w:rsidRPr="00C87B7A">
              <w:rPr>
                <w:rFonts w:eastAsia="Times New Roman" w:cs="Times New Roman"/>
                <w:color w:val="000000"/>
                <w:szCs w:val="24"/>
              </w:rPr>
              <w:t xml:space="preserve">114  </w:t>
            </w:r>
          </w:p>
        </w:tc>
      </w:tr>
      <w:tr w:rsidR="00C87B7A" w:rsidRPr="00C87B7A" w14:paraId="7025F14F" w14:textId="6E4F92AD" w:rsidTr="009B5355">
        <w:trPr>
          <w:trHeight w:val="300"/>
          <w:jc w:val="center"/>
        </w:trPr>
        <w:tc>
          <w:tcPr>
            <w:tcW w:w="543" w:type="pct"/>
            <w:tcBorders>
              <w:top w:val="nil"/>
              <w:left w:val="single" w:sz="4" w:space="0" w:color="auto"/>
              <w:bottom w:val="single" w:sz="4" w:space="0" w:color="auto"/>
              <w:right w:val="single" w:sz="4" w:space="0" w:color="auto"/>
            </w:tcBorders>
            <w:shd w:val="clear" w:color="auto" w:fill="auto"/>
            <w:vAlign w:val="center"/>
            <w:hideMark/>
          </w:tcPr>
          <w:p w14:paraId="1A26CB2F" w14:textId="77777777" w:rsidR="00C87B7A" w:rsidRPr="00C87B7A" w:rsidRDefault="00C87B7A" w:rsidP="00C87B7A">
            <w:pPr>
              <w:ind w:firstLine="9"/>
              <w:jc w:val="center"/>
              <w:rPr>
                <w:rFonts w:eastAsia="Times New Roman" w:cs="Times New Roman"/>
                <w:color w:val="000000"/>
                <w:szCs w:val="24"/>
              </w:rPr>
            </w:pPr>
            <w:r w:rsidRPr="00C87B7A">
              <w:rPr>
                <w:rFonts w:eastAsia="Times New Roman" w:cs="Times New Roman"/>
                <w:color w:val="000000"/>
                <w:szCs w:val="24"/>
              </w:rPr>
              <w:t xml:space="preserve">11  </w:t>
            </w:r>
          </w:p>
        </w:tc>
        <w:tc>
          <w:tcPr>
            <w:tcW w:w="1440" w:type="pct"/>
            <w:tcBorders>
              <w:top w:val="nil"/>
              <w:left w:val="nil"/>
              <w:bottom w:val="single" w:sz="4" w:space="0" w:color="auto"/>
              <w:right w:val="single" w:sz="4" w:space="0" w:color="auto"/>
            </w:tcBorders>
            <w:shd w:val="clear" w:color="auto" w:fill="auto"/>
            <w:vAlign w:val="center"/>
            <w:hideMark/>
          </w:tcPr>
          <w:p w14:paraId="5D4D8724" w14:textId="77777777" w:rsidR="00C87B7A" w:rsidRPr="00C87B7A" w:rsidRDefault="00C87B7A" w:rsidP="009B5355">
            <w:pPr>
              <w:ind w:left="18" w:firstLineChars="200" w:firstLine="480"/>
              <w:rPr>
                <w:rFonts w:eastAsia="Times New Roman" w:cs="Times New Roman"/>
                <w:color w:val="000000"/>
                <w:szCs w:val="24"/>
              </w:rPr>
            </w:pPr>
            <w:r w:rsidRPr="00C87B7A">
              <w:rPr>
                <w:rFonts w:eastAsia="Times New Roman" w:cs="Times New Roman"/>
                <w:color w:val="000000"/>
                <w:szCs w:val="24"/>
              </w:rPr>
              <w:t xml:space="preserve">Олекминск </w:t>
            </w:r>
          </w:p>
        </w:tc>
        <w:tc>
          <w:tcPr>
            <w:tcW w:w="1574" w:type="pct"/>
            <w:tcBorders>
              <w:top w:val="nil"/>
              <w:left w:val="nil"/>
              <w:bottom w:val="single" w:sz="4" w:space="0" w:color="auto"/>
              <w:right w:val="single" w:sz="4" w:space="0" w:color="auto"/>
            </w:tcBorders>
          </w:tcPr>
          <w:p w14:paraId="5DC52B96" w14:textId="5A49CCD3" w:rsidR="00C87B7A" w:rsidRPr="00C87B7A" w:rsidRDefault="00C87B7A" w:rsidP="00C87B7A">
            <w:pPr>
              <w:ind w:firstLine="9"/>
              <w:jc w:val="center"/>
              <w:rPr>
                <w:rFonts w:eastAsia="Times New Roman" w:cs="Times New Roman"/>
                <w:color w:val="000000"/>
                <w:szCs w:val="24"/>
              </w:rPr>
            </w:pPr>
            <w:r w:rsidRPr="00C87B7A">
              <w:rPr>
                <w:rFonts w:cs="Times New Roman"/>
                <w:szCs w:val="24"/>
              </w:rPr>
              <w:t>есть</w:t>
            </w:r>
          </w:p>
        </w:tc>
        <w:tc>
          <w:tcPr>
            <w:tcW w:w="1443" w:type="pct"/>
            <w:tcBorders>
              <w:top w:val="single" w:sz="4" w:space="0" w:color="auto"/>
              <w:left w:val="nil"/>
              <w:bottom w:val="single" w:sz="4" w:space="0" w:color="auto"/>
              <w:right w:val="single" w:sz="4" w:space="0" w:color="auto"/>
            </w:tcBorders>
            <w:vAlign w:val="center"/>
          </w:tcPr>
          <w:p w14:paraId="3EC4BA0B" w14:textId="2D79E18C" w:rsidR="00C87B7A" w:rsidRPr="00C87B7A" w:rsidRDefault="00C87B7A" w:rsidP="00C87B7A">
            <w:pPr>
              <w:ind w:firstLine="9"/>
              <w:jc w:val="center"/>
              <w:rPr>
                <w:rFonts w:cs="Times New Roman"/>
                <w:szCs w:val="24"/>
              </w:rPr>
            </w:pPr>
            <w:r w:rsidRPr="00C87B7A">
              <w:rPr>
                <w:rFonts w:eastAsia="Times New Roman" w:cs="Times New Roman"/>
                <w:color w:val="000000"/>
                <w:szCs w:val="24"/>
              </w:rPr>
              <w:t xml:space="preserve">119  </w:t>
            </w:r>
          </w:p>
        </w:tc>
      </w:tr>
      <w:tr w:rsidR="00C87B7A" w:rsidRPr="00C87B7A" w14:paraId="4CF1C8AC" w14:textId="07F52770" w:rsidTr="009B5355">
        <w:trPr>
          <w:trHeight w:val="300"/>
          <w:jc w:val="center"/>
        </w:trPr>
        <w:tc>
          <w:tcPr>
            <w:tcW w:w="543" w:type="pct"/>
            <w:tcBorders>
              <w:top w:val="nil"/>
              <w:left w:val="single" w:sz="4" w:space="0" w:color="auto"/>
              <w:bottom w:val="single" w:sz="4" w:space="0" w:color="auto"/>
              <w:right w:val="single" w:sz="4" w:space="0" w:color="auto"/>
            </w:tcBorders>
            <w:shd w:val="clear" w:color="auto" w:fill="auto"/>
            <w:vAlign w:val="center"/>
            <w:hideMark/>
          </w:tcPr>
          <w:p w14:paraId="7AA7500B" w14:textId="77777777" w:rsidR="00C87B7A" w:rsidRPr="00C87B7A" w:rsidRDefault="00C87B7A" w:rsidP="00C87B7A">
            <w:pPr>
              <w:ind w:firstLine="9"/>
              <w:jc w:val="center"/>
              <w:rPr>
                <w:rFonts w:eastAsia="Times New Roman" w:cs="Times New Roman"/>
                <w:color w:val="000000"/>
                <w:szCs w:val="24"/>
              </w:rPr>
            </w:pPr>
            <w:r w:rsidRPr="00C87B7A">
              <w:rPr>
                <w:rFonts w:eastAsia="Times New Roman" w:cs="Times New Roman"/>
                <w:color w:val="000000"/>
                <w:szCs w:val="24"/>
              </w:rPr>
              <w:t xml:space="preserve">12  </w:t>
            </w:r>
          </w:p>
        </w:tc>
        <w:tc>
          <w:tcPr>
            <w:tcW w:w="1440" w:type="pct"/>
            <w:tcBorders>
              <w:top w:val="nil"/>
              <w:left w:val="nil"/>
              <w:bottom w:val="single" w:sz="4" w:space="0" w:color="auto"/>
              <w:right w:val="single" w:sz="4" w:space="0" w:color="auto"/>
            </w:tcBorders>
            <w:shd w:val="clear" w:color="auto" w:fill="auto"/>
            <w:vAlign w:val="center"/>
            <w:hideMark/>
          </w:tcPr>
          <w:p w14:paraId="7FB6A902" w14:textId="77777777" w:rsidR="00C87B7A" w:rsidRPr="00C87B7A" w:rsidRDefault="00C87B7A" w:rsidP="009B5355">
            <w:pPr>
              <w:ind w:left="18" w:firstLineChars="200" w:firstLine="480"/>
              <w:rPr>
                <w:rFonts w:eastAsia="Times New Roman" w:cs="Times New Roman"/>
                <w:color w:val="000000"/>
                <w:szCs w:val="24"/>
              </w:rPr>
            </w:pPr>
            <w:r w:rsidRPr="00C87B7A">
              <w:rPr>
                <w:rFonts w:eastAsia="Times New Roman" w:cs="Times New Roman"/>
                <w:color w:val="000000"/>
                <w:szCs w:val="24"/>
              </w:rPr>
              <w:t xml:space="preserve">Чульман </w:t>
            </w:r>
          </w:p>
        </w:tc>
        <w:tc>
          <w:tcPr>
            <w:tcW w:w="1574" w:type="pct"/>
            <w:tcBorders>
              <w:top w:val="nil"/>
              <w:left w:val="nil"/>
              <w:bottom w:val="single" w:sz="4" w:space="0" w:color="auto"/>
              <w:right w:val="single" w:sz="4" w:space="0" w:color="auto"/>
            </w:tcBorders>
          </w:tcPr>
          <w:p w14:paraId="1F74551C" w14:textId="27F4F3D3" w:rsidR="00C87B7A" w:rsidRPr="00C87B7A" w:rsidRDefault="00C87B7A" w:rsidP="00C87B7A">
            <w:pPr>
              <w:ind w:firstLine="9"/>
              <w:jc w:val="center"/>
              <w:rPr>
                <w:rFonts w:eastAsia="Times New Roman" w:cs="Times New Roman"/>
                <w:color w:val="000000"/>
                <w:szCs w:val="24"/>
              </w:rPr>
            </w:pPr>
            <w:r w:rsidRPr="00C87B7A">
              <w:rPr>
                <w:rFonts w:cs="Times New Roman"/>
                <w:szCs w:val="24"/>
              </w:rPr>
              <w:t>есть</w:t>
            </w:r>
          </w:p>
        </w:tc>
        <w:tc>
          <w:tcPr>
            <w:tcW w:w="1443" w:type="pct"/>
            <w:tcBorders>
              <w:top w:val="single" w:sz="4" w:space="0" w:color="auto"/>
              <w:left w:val="nil"/>
              <w:bottom w:val="single" w:sz="4" w:space="0" w:color="auto"/>
              <w:right w:val="single" w:sz="4" w:space="0" w:color="auto"/>
            </w:tcBorders>
            <w:vAlign w:val="center"/>
          </w:tcPr>
          <w:p w14:paraId="604FC4B7" w14:textId="37CE89FB" w:rsidR="00C87B7A" w:rsidRPr="00C87B7A" w:rsidRDefault="00C87B7A" w:rsidP="00C87B7A">
            <w:pPr>
              <w:ind w:firstLine="9"/>
              <w:jc w:val="center"/>
              <w:rPr>
                <w:rFonts w:cs="Times New Roman"/>
                <w:szCs w:val="24"/>
              </w:rPr>
            </w:pPr>
            <w:r w:rsidRPr="00C87B7A">
              <w:rPr>
                <w:rFonts w:eastAsia="Times New Roman" w:cs="Times New Roman"/>
                <w:color w:val="000000"/>
                <w:szCs w:val="24"/>
              </w:rPr>
              <w:t xml:space="preserve">328  </w:t>
            </w:r>
          </w:p>
        </w:tc>
      </w:tr>
      <w:tr w:rsidR="00C87B7A" w:rsidRPr="00C87B7A" w14:paraId="74AFD328" w14:textId="2AEDCE24" w:rsidTr="009B5355">
        <w:trPr>
          <w:trHeight w:val="300"/>
          <w:jc w:val="center"/>
        </w:trPr>
        <w:tc>
          <w:tcPr>
            <w:tcW w:w="543" w:type="pct"/>
            <w:tcBorders>
              <w:top w:val="nil"/>
              <w:left w:val="single" w:sz="4" w:space="0" w:color="auto"/>
              <w:bottom w:val="single" w:sz="4" w:space="0" w:color="auto"/>
              <w:right w:val="single" w:sz="4" w:space="0" w:color="auto"/>
            </w:tcBorders>
            <w:shd w:val="clear" w:color="auto" w:fill="auto"/>
            <w:vAlign w:val="center"/>
            <w:hideMark/>
          </w:tcPr>
          <w:p w14:paraId="72AC3C7B" w14:textId="77777777" w:rsidR="00C87B7A" w:rsidRPr="00C87B7A" w:rsidRDefault="00C87B7A" w:rsidP="00C87B7A">
            <w:pPr>
              <w:ind w:firstLine="9"/>
              <w:jc w:val="center"/>
              <w:rPr>
                <w:rFonts w:eastAsia="Times New Roman" w:cs="Times New Roman"/>
                <w:color w:val="000000"/>
                <w:szCs w:val="24"/>
              </w:rPr>
            </w:pPr>
            <w:r w:rsidRPr="00C87B7A">
              <w:rPr>
                <w:rFonts w:eastAsia="Times New Roman" w:cs="Times New Roman"/>
                <w:color w:val="000000"/>
                <w:szCs w:val="24"/>
              </w:rPr>
              <w:t xml:space="preserve">13  </w:t>
            </w:r>
          </w:p>
        </w:tc>
        <w:tc>
          <w:tcPr>
            <w:tcW w:w="1440" w:type="pct"/>
            <w:tcBorders>
              <w:top w:val="nil"/>
              <w:left w:val="nil"/>
              <w:bottom w:val="single" w:sz="4" w:space="0" w:color="auto"/>
              <w:right w:val="single" w:sz="4" w:space="0" w:color="auto"/>
            </w:tcBorders>
            <w:shd w:val="clear" w:color="auto" w:fill="auto"/>
            <w:vAlign w:val="center"/>
            <w:hideMark/>
          </w:tcPr>
          <w:p w14:paraId="54993E42" w14:textId="77777777" w:rsidR="00C87B7A" w:rsidRPr="00C87B7A" w:rsidRDefault="00C87B7A" w:rsidP="009B5355">
            <w:pPr>
              <w:ind w:left="18" w:firstLineChars="200" w:firstLine="480"/>
              <w:rPr>
                <w:rFonts w:eastAsia="Times New Roman" w:cs="Times New Roman"/>
                <w:color w:val="000000"/>
                <w:szCs w:val="24"/>
              </w:rPr>
            </w:pPr>
            <w:r w:rsidRPr="00C87B7A">
              <w:rPr>
                <w:rFonts w:eastAsia="Times New Roman" w:cs="Times New Roman"/>
                <w:color w:val="000000"/>
                <w:szCs w:val="24"/>
              </w:rPr>
              <w:t>Томмот</w:t>
            </w:r>
          </w:p>
        </w:tc>
        <w:tc>
          <w:tcPr>
            <w:tcW w:w="1574" w:type="pct"/>
            <w:tcBorders>
              <w:top w:val="nil"/>
              <w:left w:val="nil"/>
              <w:bottom w:val="single" w:sz="4" w:space="0" w:color="auto"/>
              <w:right w:val="single" w:sz="4" w:space="0" w:color="auto"/>
            </w:tcBorders>
          </w:tcPr>
          <w:p w14:paraId="235AFD30" w14:textId="17B457BE" w:rsidR="00C87B7A" w:rsidRPr="00C87B7A" w:rsidRDefault="00C87B7A" w:rsidP="00C87B7A">
            <w:pPr>
              <w:ind w:firstLine="9"/>
              <w:jc w:val="center"/>
              <w:rPr>
                <w:rFonts w:eastAsia="Times New Roman" w:cs="Times New Roman"/>
                <w:color w:val="000000"/>
                <w:szCs w:val="24"/>
              </w:rPr>
            </w:pPr>
            <w:r w:rsidRPr="00C87B7A">
              <w:rPr>
                <w:rFonts w:cs="Times New Roman"/>
                <w:szCs w:val="24"/>
              </w:rPr>
              <w:t>есть</w:t>
            </w:r>
          </w:p>
        </w:tc>
        <w:tc>
          <w:tcPr>
            <w:tcW w:w="1443" w:type="pct"/>
            <w:tcBorders>
              <w:top w:val="single" w:sz="4" w:space="0" w:color="auto"/>
              <w:left w:val="nil"/>
              <w:bottom w:val="single" w:sz="4" w:space="0" w:color="auto"/>
              <w:right w:val="single" w:sz="4" w:space="0" w:color="auto"/>
            </w:tcBorders>
            <w:vAlign w:val="center"/>
          </w:tcPr>
          <w:p w14:paraId="365B94F2" w14:textId="09903F06" w:rsidR="00C87B7A" w:rsidRPr="00C87B7A" w:rsidRDefault="00C87B7A" w:rsidP="00C87B7A">
            <w:pPr>
              <w:ind w:firstLine="9"/>
              <w:jc w:val="center"/>
              <w:rPr>
                <w:rFonts w:cs="Times New Roman"/>
                <w:szCs w:val="24"/>
              </w:rPr>
            </w:pPr>
            <w:r w:rsidRPr="00C87B7A">
              <w:rPr>
                <w:rFonts w:eastAsia="Times New Roman" w:cs="Times New Roman"/>
                <w:color w:val="000000"/>
                <w:szCs w:val="24"/>
              </w:rPr>
              <w:t xml:space="preserve">202  </w:t>
            </w:r>
          </w:p>
        </w:tc>
      </w:tr>
      <w:tr w:rsidR="00C87B7A" w:rsidRPr="00C87B7A" w14:paraId="2A57BA17" w14:textId="18E645B1" w:rsidTr="009B5355">
        <w:trPr>
          <w:trHeight w:val="300"/>
          <w:jc w:val="center"/>
        </w:trPr>
        <w:tc>
          <w:tcPr>
            <w:tcW w:w="543" w:type="pct"/>
            <w:tcBorders>
              <w:top w:val="nil"/>
              <w:left w:val="single" w:sz="4" w:space="0" w:color="auto"/>
              <w:bottom w:val="single" w:sz="4" w:space="0" w:color="auto"/>
              <w:right w:val="single" w:sz="4" w:space="0" w:color="auto"/>
            </w:tcBorders>
            <w:shd w:val="clear" w:color="auto" w:fill="auto"/>
            <w:vAlign w:val="center"/>
            <w:hideMark/>
          </w:tcPr>
          <w:p w14:paraId="184492A1" w14:textId="77777777" w:rsidR="00C87B7A" w:rsidRPr="00C87B7A" w:rsidRDefault="00C87B7A" w:rsidP="00C87B7A">
            <w:pPr>
              <w:ind w:firstLine="9"/>
              <w:jc w:val="center"/>
              <w:rPr>
                <w:rFonts w:eastAsia="Times New Roman" w:cs="Times New Roman"/>
                <w:color w:val="000000"/>
                <w:szCs w:val="24"/>
              </w:rPr>
            </w:pPr>
            <w:r w:rsidRPr="00C87B7A">
              <w:rPr>
                <w:rFonts w:eastAsia="Times New Roman" w:cs="Times New Roman"/>
                <w:color w:val="000000"/>
                <w:szCs w:val="24"/>
              </w:rPr>
              <w:t xml:space="preserve">14  </w:t>
            </w:r>
          </w:p>
        </w:tc>
        <w:tc>
          <w:tcPr>
            <w:tcW w:w="1440" w:type="pct"/>
            <w:tcBorders>
              <w:top w:val="nil"/>
              <w:left w:val="nil"/>
              <w:bottom w:val="single" w:sz="4" w:space="0" w:color="auto"/>
              <w:right w:val="single" w:sz="4" w:space="0" w:color="auto"/>
            </w:tcBorders>
            <w:shd w:val="clear" w:color="auto" w:fill="auto"/>
            <w:vAlign w:val="center"/>
            <w:hideMark/>
          </w:tcPr>
          <w:p w14:paraId="19B9EFF3" w14:textId="77777777" w:rsidR="00C87B7A" w:rsidRPr="00C87B7A" w:rsidRDefault="00C87B7A" w:rsidP="009B5355">
            <w:pPr>
              <w:ind w:left="18" w:firstLineChars="200" w:firstLine="480"/>
              <w:rPr>
                <w:rFonts w:eastAsia="Times New Roman" w:cs="Times New Roman"/>
                <w:color w:val="000000"/>
                <w:szCs w:val="24"/>
              </w:rPr>
            </w:pPr>
            <w:r w:rsidRPr="00C87B7A">
              <w:rPr>
                <w:rFonts w:eastAsia="Times New Roman" w:cs="Times New Roman"/>
                <w:color w:val="000000"/>
                <w:szCs w:val="24"/>
              </w:rPr>
              <w:t>Мохсоголлох</w:t>
            </w:r>
          </w:p>
        </w:tc>
        <w:tc>
          <w:tcPr>
            <w:tcW w:w="1574" w:type="pct"/>
            <w:tcBorders>
              <w:top w:val="nil"/>
              <w:left w:val="nil"/>
              <w:bottom w:val="single" w:sz="4" w:space="0" w:color="auto"/>
              <w:right w:val="single" w:sz="4" w:space="0" w:color="auto"/>
            </w:tcBorders>
          </w:tcPr>
          <w:p w14:paraId="11EF7492" w14:textId="3FCC4709" w:rsidR="00C87B7A" w:rsidRPr="00C87B7A" w:rsidRDefault="00C87B7A" w:rsidP="00C87B7A">
            <w:pPr>
              <w:ind w:firstLine="9"/>
              <w:jc w:val="center"/>
              <w:rPr>
                <w:rFonts w:eastAsia="Times New Roman" w:cs="Times New Roman"/>
                <w:color w:val="000000"/>
                <w:szCs w:val="24"/>
              </w:rPr>
            </w:pPr>
            <w:r w:rsidRPr="00C87B7A">
              <w:rPr>
                <w:rFonts w:cs="Times New Roman"/>
                <w:szCs w:val="24"/>
              </w:rPr>
              <w:t>есть</w:t>
            </w:r>
          </w:p>
        </w:tc>
        <w:tc>
          <w:tcPr>
            <w:tcW w:w="1443" w:type="pct"/>
            <w:tcBorders>
              <w:top w:val="single" w:sz="4" w:space="0" w:color="auto"/>
              <w:left w:val="nil"/>
              <w:bottom w:val="single" w:sz="4" w:space="0" w:color="auto"/>
              <w:right w:val="single" w:sz="4" w:space="0" w:color="auto"/>
            </w:tcBorders>
            <w:vAlign w:val="center"/>
          </w:tcPr>
          <w:p w14:paraId="7CBF77AE" w14:textId="7DCE7EAD" w:rsidR="00C87B7A" w:rsidRPr="00C87B7A" w:rsidRDefault="00C87B7A" w:rsidP="00C87B7A">
            <w:pPr>
              <w:ind w:firstLine="9"/>
              <w:jc w:val="center"/>
              <w:rPr>
                <w:rFonts w:cs="Times New Roman"/>
                <w:szCs w:val="24"/>
              </w:rPr>
            </w:pPr>
            <w:r w:rsidRPr="00C87B7A">
              <w:rPr>
                <w:rFonts w:eastAsia="Times New Roman" w:cs="Times New Roman"/>
                <w:color w:val="000000"/>
                <w:szCs w:val="24"/>
              </w:rPr>
              <w:t xml:space="preserve">143  </w:t>
            </w:r>
          </w:p>
        </w:tc>
      </w:tr>
      <w:tr w:rsidR="00C87B7A" w:rsidRPr="00C87B7A" w14:paraId="5DA0AC8A" w14:textId="53D71108" w:rsidTr="009B5355">
        <w:trPr>
          <w:trHeight w:val="300"/>
          <w:jc w:val="center"/>
        </w:trPr>
        <w:tc>
          <w:tcPr>
            <w:tcW w:w="543" w:type="pct"/>
            <w:tcBorders>
              <w:top w:val="nil"/>
              <w:left w:val="single" w:sz="4" w:space="0" w:color="auto"/>
              <w:bottom w:val="single" w:sz="4" w:space="0" w:color="auto"/>
              <w:right w:val="single" w:sz="4" w:space="0" w:color="auto"/>
            </w:tcBorders>
            <w:shd w:val="clear" w:color="auto" w:fill="auto"/>
            <w:vAlign w:val="center"/>
            <w:hideMark/>
          </w:tcPr>
          <w:p w14:paraId="028ACEEA" w14:textId="77777777" w:rsidR="00C87B7A" w:rsidRPr="00C87B7A" w:rsidRDefault="00C87B7A" w:rsidP="00C87B7A">
            <w:pPr>
              <w:ind w:firstLine="9"/>
              <w:jc w:val="center"/>
              <w:rPr>
                <w:rFonts w:eastAsia="Times New Roman" w:cs="Times New Roman"/>
                <w:color w:val="000000"/>
                <w:szCs w:val="24"/>
              </w:rPr>
            </w:pPr>
            <w:r w:rsidRPr="00C87B7A">
              <w:rPr>
                <w:rFonts w:eastAsia="Times New Roman" w:cs="Times New Roman"/>
                <w:color w:val="000000"/>
                <w:szCs w:val="24"/>
              </w:rPr>
              <w:t xml:space="preserve">15  </w:t>
            </w:r>
          </w:p>
        </w:tc>
        <w:tc>
          <w:tcPr>
            <w:tcW w:w="1440" w:type="pct"/>
            <w:tcBorders>
              <w:top w:val="nil"/>
              <w:left w:val="nil"/>
              <w:bottom w:val="single" w:sz="4" w:space="0" w:color="auto"/>
              <w:right w:val="single" w:sz="4" w:space="0" w:color="auto"/>
            </w:tcBorders>
            <w:shd w:val="clear" w:color="auto" w:fill="auto"/>
            <w:vAlign w:val="center"/>
            <w:hideMark/>
          </w:tcPr>
          <w:p w14:paraId="22309038" w14:textId="77777777" w:rsidR="00C87B7A" w:rsidRPr="00C87B7A" w:rsidRDefault="00C87B7A" w:rsidP="009B5355">
            <w:pPr>
              <w:ind w:left="18" w:firstLineChars="200" w:firstLine="480"/>
              <w:rPr>
                <w:rFonts w:eastAsia="Times New Roman" w:cs="Times New Roman"/>
                <w:color w:val="000000"/>
                <w:szCs w:val="24"/>
              </w:rPr>
            </w:pPr>
            <w:r w:rsidRPr="00C87B7A">
              <w:rPr>
                <w:rFonts w:eastAsia="Times New Roman" w:cs="Times New Roman"/>
                <w:color w:val="000000"/>
                <w:szCs w:val="24"/>
              </w:rPr>
              <w:t>Хандыга</w:t>
            </w:r>
          </w:p>
        </w:tc>
        <w:tc>
          <w:tcPr>
            <w:tcW w:w="1574" w:type="pct"/>
            <w:tcBorders>
              <w:top w:val="nil"/>
              <w:left w:val="nil"/>
              <w:bottom w:val="single" w:sz="4" w:space="0" w:color="auto"/>
              <w:right w:val="single" w:sz="4" w:space="0" w:color="auto"/>
            </w:tcBorders>
          </w:tcPr>
          <w:p w14:paraId="3AE0D037" w14:textId="690AE754" w:rsidR="00C87B7A" w:rsidRPr="00C87B7A" w:rsidRDefault="00C87B7A" w:rsidP="00C87B7A">
            <w:pPr>
              <w:ind w:firstLine="9"/>
              <w:jc w:val="center"/>
              <w:rPr>
                <w:rFonts w:eastAsia="Times New Roman" w:cs="Times New Roman"/>
                <w:color w:val="000000"/>
                <w:szCs w:val="24"/>
              </w:rPr>
            </w:pPr>
            <w:r w:rsidRPr="00C87B7A">
              <w:rPr>
                <w:rFonts w:cs="Times New Roman"/>
                <w:szCs w:val="24"/>
              </w:rPr>
              <w:t>есть</w:t>
            </w:r>
          </w:p>
        </w:tc>
        <w:tc>
          <w:tcPr>
            <w:tcW w:w="1443" w:type="pct"/>
            <w:tcBorders>
              <w:top w:val="single" w:sz="4" w:space="0" w:color="auto"/>
              <w:left w:val="nil"/>
              <w:bottom w:val="single" w:sz="4" w:space="0" w:color="auto"/>
              <w:right w:val="single" w:sz="4" w:space="0" w:color="auto"/>
            </w:tcBorders>
            <w:vAlign w:val="center"/>
          </w:tcPr>
          <w:p w14:paraId="57F1B10D" w14:textId="75DEA735" w:rsidR="00C87B7A" w:rsidRPr="00C87B7A" w:rsidRDefault="00C87B7A" w:rsidP="00C87B7A">
            <w:pPr>
              <w:ind w:firstLine="9"/>
              <w:jc w:val="center"/>
              <w:rPr>
                <w:rFonts w:cs="Times New Roman"/>
                <w:szCs w:val="24"/>
              </w:rPr>
            </w:pPr>
            <w:r w:rsidRPr="00C87B7A">
              <w:rPr>
                <w:rFonts w:eastAsia="Times New Roman" w:cs="Times New Roman"/>
                <w:color w:val="000000"/>
                <w:szCs w:val="24"/>
              </w:rPr>
              <w:t xml:space="preserve">249  </w:t>
            </w:r>
          </w:p>
        </w:tc>
      </w:tr>
      <w:tr w:rsidR="00C87B7A" w:rsidRPr="00C87B7A" w14:paraId="3A3C0186" w14:textId="53719826" w:rsidTr="009B5355">
        <w:trPr>
          <w:trHeight w:val="300"/>
          <w:jc w:val="center"/>
        </w:trPr>
        <w:tc>
          <w:tcPr>
            <w:tcW w:w="543" w:type="pct"/>
            <w:tcBorders>
              <w:top w:val="nil"/>
              <w:left w:val="single" w:sz="4" w:space="0" w:color="auto"/>
              <w:bottom w:val="single" w:sz="4" w:space="0" w:color="auto"/>
              <w:right w:val="single" w:sz="4" w:space="0" w:color="auto"/>
            </w:tcBorders>
            <w:shd w:val="clear" w:color="auto" w:fill="auto"/>
            <w:vAlign w:val="center"/>
            <w:hideMark/>
          </w:tcPr>
          <w:p w14:paraId="78080CCF" w14:textId="77777777" w:rsidR="00C87B7A" w:rsidRPr="00C87B7A" w:rsidRDefault="00C87B7A" w:rsidP="00C87B7A">
            <w:pPr>
              <w:ind w:firstLine="9"/>
              <w:jc w:val="center"/>
              <w:rPr>
                <w:rFonts w:eastAsia="Times New Roman" w:cs="Times New Roman"/>
                <w:color w:val="000000"/>
                <w:szCs w:val="24"/>
              </w:rPr>
            </w:pPr>
            <w:r w:rsidRPr="00C87B7A">
              <w:rPr>
                <w:rFonts w:eastAsia="Times New Roman" w:cs="Times New Roman"/>
                <w:color w:val="000000"/>
                <w:szCs w:val="24"/>
              </w:rPr>
              <w:t xml:space="preserve">16  </w:t>
            </w:r>
          </w:p>
        </w:tc>
        <w:tc>
          <w:tcPr>
            <w:tcW w:w="1440" w:type="pct"/>
            <w:tcBorders>
              <w:top w:val="nil"/>
              <w:left w:val="nil"/>
              <w:bottom w:val="single" w:sz="4" w:space="0" w:color="auto"/>
              <w:right w:val="single" w:sz="4" w:space="0" w:color="auto"/>
            </w:tcBorders>
            <w:shd w:val="clear" w:color="auto" w:fill="auto"/>
            <w:vAlign w:val="center"/>
            <w:hideMark/>
          </w:tcPr>
          <w:p w14:paraId="67E069DE" w14:textId="77777777" w:rsidR="00C87B7A" w:rsidRPr="00C87B7A" w:rsidRDefault="00C87B7A" w:rsidP="009B5355">
            <w:pPr>
              <w:ind w:left="18" w:firstLineChars="200" w:firstLine="480"/>
              <w:rPr>
                <w:rFonts w:eastAsia="Times New Roman" w:cs="Times New Roman"/>
                <w:color w:val="000000"/>
                <w:szCs w:val="24"/>
              </w:rPr>
            </w:pPr>
            <w:r w:rsidRPr="00C87B7A">
              <w:rPr>
                <w:rFonts w:eastAsia="Times New Roman" w:cs="Times New Roman"/>
                <w:color w:val="000000"/>
                <w:szCs w:val="24"/>
              </w:rPr>
              <w:t>Нижний Куранах</w:t>
            </w:r>
          </w:p>
        </w:tc>
        <w:tc>
          <w:tcPr>
            <w:tcW w:w="1574" w:type="pct"/>
            <w:tcBorders>
              <w:top w:val="nil"/>
              <w:left w:val="nil"/>
              <w:bottom w:val="single" w:sz="4" w:space="0" w:color="auto"/>
              <w:right w:val="single" w:sz="4" w:space="0" w:color="auto"/>
            </w:tcBorders>
          </w:tcPr>
          <w:p w14:paraId="68D7CF63" w14:textId="1BD5A3EB" w:rsidR="00C87B7A" w:rsidRPr="00C87B7A" w:rsidRDefault="00C87B7A" w:rsidP="00C87B7A">
            <w:pPr>
              <w:ind w:firstLine="9"/>
              <w:jc w:val="center"/>
              <w:rPr>
                <w:rFonts w:eastAsia="Times New Roman" w:cs="Times New Roman"/>
                <w:color w:val="000000"/>
                <w:szCs w:val="24"/>
              </w:rPr>
            </w:pPr>
            <w:r w:rsidRPr="00C87B7A">
              <w:rPr>
                <w:rFonts w:cs="Times New Roman"/>
                <w:szCs w:val="24"/>
              </w:rPr>
              <w:t>есть</w:t>
            </w:r>
          </w:p>
        </w:tc>
        <w:tc>
          <w:tcPr>
            <w:tcW w:w="1443" w:type="pct"/>
            <w:tcBorders>
              <w:top w:val="single" w:sz="4" w:space="0" w:color="auto"/>
              <w:left w:val="nil"/>
              <w:bottom w:val="single" w:sz="4" w:space="0" w:color="auto"/>
              <w:right w:val="single" w:sz="4" w:space="0" w:color="auto"/>
            </w:tcBorders>
            <w:vAlign w:val="center"/>
          </w:tcPr>
          <w:p w14:paraId="2F8300BC" w14:textId="79C19FE6" w:rsidR="00C87B7A" w:rsidRPr="00C87B7A" w:rsidRDefault="00C87B7A" w:rsidP="00C87B7A">
            <w:pPr>
              <w:ind w:firstLine="9"/>
              <w:jc w:val="center"/>
              <w:rPr>
                <w:rFonts w:cs="Times New Roman"/>
                <w:szCs w:val="24"/>
              </w:rPr>
            </w:pPr>
            <w:r w:rsidRPr="00C87B7A">
              <w:rPr>
                <w:rFonts w:eastAsia="Times New Roman" w:cs="Times New Roman"/>
                <w:color w:val="000000"/>
                <w:szCs w:val="24"/>
              </w:rPr>
              <w:t xml:space="preserve">303  </w:t>
            </w:r>
          </w:p>
        </w:tc>
      </w:tr>
      <w:tr w:rsidR="00C87B7A" w:rsidRPr="00C87B7A" w14:paraId="2B275D5C" w14:textId="7A17AC2E" w:rsidTr="009B5355">
        <w:trPr>
          <w:trHeight w:val="300"/>
          <w:jc w:val="center"/>
        </w:trPr>
        <w:tc>
          <w:tcPr>
            <w:tcW w:w="543" w:type="pct"/>
            <w:tcBorders>
              <w:top w:val="nil"/>
              <w:left w:val="single" w:sz="4" w:space="0" w:color="auto"/>
              <w:bottom w:val="single" w:sz="4" w:space="0" w:color="auto"/>
              <w:right w:val="single" w:sz="4" w:space="0" w:color="auto"/>
            </w:tcBorders>
            <w:shd w:val="clear" w:color="auto" w:fill="auto"/>
            <w:vAlign w:val="center"/>
            <w:hideMark/>
          </w:tcPr>
          <w:p w14:paraId="2B13557C" w14:textId="77777777" w:rsidR="00C87B7A" w:rsidRPr="00C87B7A" w:rsidRDefault="00C87B7A" w:rsidP="00C87B7A">
            <w:pPr>
              <w:ind w:firstLine="9"/>
              <w:jc w:val="center"/>
              <w:rPr>
                <w:rFonts w:eastAsia="Times New Roman" w:cs="Times New Roman"/>
                <w:color w:val="000000"/>
                <w:szCs w:val="24"/>
              </w:rPr>
            </w:pPr>
            <w:r w:rsidRPr="00C87B7A">
              <w:rPr>
                <w:rFonts w:eastAsia="Times New Roman" w:cs="Times New Roman"/>
                <w:color w:val="000000"/>
                <w:szCs w:val="24"/>
              </w:rPr>
              <w:t xml:space="preserve">17  </w:t>
            </w:r>
          </w:p>
        </w:tc>
        <w:tc>
          <w:tcPr>
            <w:tcW w:w="1440" w:type="pct"/>
            <w:tcBorders>
              <w:top w:val="nil"/>
              <w:left w:val="nil"/>
              <w:bottom w:val="single" w:sz="4" w:space="0" w:color="auto"/>
              <w:right w:val="single" w:sz="4" w:space="0" w:color="auto"/>
            </w:tcBorders>
            <w:shd w:val="clear" w:color="auto" w:fill="auto"/>
            <w:vAlign w:val="center"/>
            <w:hideMark/>
          </w:tcPr>
          <w:p w14:paraId="1FC34DCA" w14:textId="77777777" w:rsidR="00C87B7A" w:rsidRPr="00C87B7A" w:rsidRDefault="00C87B7A" w:rsidP="009B5355">
            <w:pPr>
              <w:ind w:left="18" w:firstLineChars="200" w:firstLine="480"/>
              <w:rPr>
                <w:rFonts w:eastAsia="Times New Roman" w:cs="Times New Roman"/>
                <w:color w:val="000000"/>
                <w:szCs w:val="24"/>
              </w:rPr>
            </w:pPr>
            <w:r w:rsidRPr="00C87B7A">
              <w:rPr>
                <w:rFonts w:eastAsia="Times New Roman" w:cs="Times New Roman"/>
                <w:color w:val="000000"/>
                <w:szCs w:val="24"/>
              </w:rPr>
              <w:t>Усть-Нера</w:t>
            </w:r>
          </w:p>
        </w:tc>
        <w:tc>
          <w:tcPr>
            <w:tcW w:w="1574" w:type="pct"/>
            <w:tcBorders>
              <w:top w:val="nil"/>
              <w:left w:val="nil"/>
              <w:bottom w:val="single" w:sz="4" w:space="0" w:color="auto"/>
              <w:right w:val="single" w:sz="4" w:space="0" w:color="auto"/>
            </w:tcBorders>
          </w:tcPr>
          <w:p w14:paraId="71D2482A" w14:textId="4CA12E42" w:rsidR="00C87B7A" w:rsidRPr="00C87B7A" w:rsidRDefault="00C87B7A" w:rsidP="00C87B7A">
            <w:pPr>
              <w:ind w:firstLine="9"/>
              <w:jc w:val="center"/>
              <w:rPr>
                <w:rFonts w:eastAsia="Times New Roman" w:cs="Times New Roman"/>
                <w:color w:val="000000"/>
                <w:szCs w:val="24"/>
              </w:rPr>
            </w:pPr>
            <w:r w:rsidRPr="00C87B7A">
              <w:rPr>
                <w:rFonts w:cs="Times New Roman"/>
                <w:szCs w:val="24"/>
              </w:rPr>
              <w:t>есть</w:t>
            </w:r>
          </w:p>
        </w:tc>
        <w:tc>
          <w:tcPr>
            <w:tcW w:w="1443" w:type="pct"/>
            <w:tcBorders>
              <w:top w:val="single" w:sz="4" w:space="0" w:color="auto"/>
              <w:left w:val="nil"/>
              <w:bottom w:val="single" w:sz="4" w:space="0" w:color="auto"/>
              <w:right w:val="single" w:sz="4" w:space="0" w:color="auto"/>
            </w:tcBorders>
            <w:vAlign w:val="center"/>
          </w:tcPr>
          <w:p w14:paraId="1006B473" w14:textId="1420404E" w:rsidR="00C87B7A" w:rsidRPr="00C87B7A" w:rsidRDefault="00C87B7A" w:rsidP="00C87B7A">
            <w:pPr>
              <w:ind w:firstLine="9"/>
              <w:jc w:val="center"/>
              <w:rPr>
                <w:rFonts w:cs="Times New Roman"/>
                <w:szCs w:val="24"/>
              </w:rPr>
            </w:pPr>
            <w:r w:rsidRPr="00C87B7A">
              <w:rPr>
                <w:rFonts w:eastAsia="Times New Roman" w:cs="Times New Roman"/>
                <w:color w:val="000000"/>
                <w:szCs w:val="24"/>
              </w:rPr>
              <w:t xml:space="preserve">200  </w:t>
            </w:r>
          </w:p>
        </w:tc>
      </w:tr>
      <w:tr w:rsidR="00C87B7A" w:rsidRPr="00C87B7A" w14:paraId="4C0967D9" w14:textId="0F77C6E5" w:rsidTr="009B5355">
        <w:trPr>
          <w:trHeight w:val="300"/>
          <w:jc w:val="center"/>
        </w:trPr>
        <w:tc>
          <w:tcPr>
            <w:tcW w:w="543" w:type="pct"/>
            <w:tcBorders>
              <w:top w:val="nil"/>
              <w:left w:val="single" w:sz="4" w:space="0" w:color="auto"/>
              <w:bottom w:val="single" w:sz="4" w:space="0" w:color="auto"/>
              <w:right w:val="single" w:sz="4" w:space="0" w:color="auto"/>
            </w:tcBorders>
            <w:shd w:val="clear" w:color="auto" w:fill="auto"/>
            <w:vAlign w:val="center"/>
            <w:hideMark/>
          </w:tcPr>
          <w:p w14:paraId="20354DB1" w14:textId="77777777" w:rsidR="00C87B7A" w:rsidRPr="00C87B7A" w:rsidRDefault="00C87B7A" w:rsidP="00C87B7A">
            <w:pPr>
              <w:ind w:firstLine="9"/>
              <w:jc w:val="center"/>
              <w:rPr>
                <w:rFonts w:eastAsia="Times New Roman" w:cs="Times New Roman"/>
                <w:color w:val="000000"/>
                <w:szCs w:val="24"/>
              </w:rPr>
            </w:pPr>
            <w:r w:rsidRPr="00C87B7A">
              <w:rPr>
                <w:rFonts w:eastAsia="Times New Roman" w:cs="Times New Roman"/>
                <w:color w:val="000000"/>
                <w:szCs w:val="24"/>
              </w:rPr>
              <w:t xml:space="preserve">18  </w:t>
            </w:r>
          </w:p>
        </w:tc>
        <w:tc>
          <w:tcPr>
            <w:tcW w:w="1440" w:type="pct"/>
            <w:tcBorders>
              <w:top w:val="nil"/>
              <w:left w:val="nil"/>
              <w:bottom w:val="single" w:sz="4" w:space="0" w:color="auto"/>
              <w:right w:val="single" w:sz="4" w:space="0" w:color="auto"/>
            </w:tcBorders>
            <w:shd w:val="clear" w:color="auto" w:fill="auto"/>
            <w:vAlign w:val="center"/>
            <w:hideMark/>
          </w:tcPr>
          <w:p w14:paraId="37F24CC7" w14:textId="77777777" w:rsidR="00C87B7A" w:rsidRPr="00C87B7A" w:rsidRDefault="00C87B7A" w:rsidP="009B5355">
            <w:pPr>
              <w:ind w:left="18" w:firstLineChars="200" w:firstLine="480"/>
              <w:rPr>
                <w:rFonts w:eastAsia="Times New Roman" w:cs="Times New Roman"/>
                <w:color w:val="000000"/>
                <w:szCs w:val="24"/>
              </w:rPr>
            </w:pPr>
            <w:r w:rsidRPr="00C87B7A">
              <w:rPr>
                <w:rFonts w:eastAsia="Times New Roman" w:cs="Times New Roman"/>
                <w:color w:val="000000"/>
                <w:szCs w:val="24"/>
              </w:rPr>
              <w:t>Тикси</w:t>
            </w:r>
          </w:p>
        </w:tc>
        <w:tc>
          <w:tcPr>
            <w:tcW w:w="1574" w:type="pct"/>
            <w:tcBorders>
              <w:top w:val="nil"/>
              <w:left w:val="nil"/>
              <w:bottom w:val="single" w:sz="4" w:space="0" w:color="auto"/>
              <w:right w:val="single" w:sz="4" w:space="0" w:color="auto"/>
            </w:tcBorders>
          </w:tcPr>
          <w:p w14:paraId="5165DE2E" w14:textId="4E5066FA" w:rsidR="00C87B7A" w:rsidRPr="00C87B7A" w:rsidRDefault="00C87B7A" w:rsidP="00C87B7A">
            <w:pPr>
              <w:ind w:firstLine="9"/>
              <w:jc w:val="center"/>
              <w:rPr>
                <w:rFonts w:eastAsia="Times New Roman" w:cs="Times New Roman"/>
                <w:color w:val="000000"/>
                <w:szCs w:val="24"/>
              </w:rPr>
            </w:pPr>
            <w:r w:rsidRPr="00C87B7A">
              <w:rPr>
                <w:rFonts w:cs="Times New Roman"/>
                <w:szCs w:val="24"/>
              </w:rPr>
              <w:t>есть</w:t>
            </w:r>
          </w:p>
        </w:tc>
        <w:tc>
          <w:tcPr>
            <w:tcW w:w="1443" w:type="pct"/>
            <w:tcBorders>
              <w:top w:val="single" w:sz="4" w:space="0" w:color="auto"/>
              <w:left w:val="nil"/>
              <w:bottom w:val="single" w:sz="4" w:space="0" w:color="auto"/>
              <w:right w:val="single" w:sz="4" w:space="0" w:color="auto"/>
            </w:tcBorders>
            <w:vAlign w:val="center"/>
          </w:tcPr>
          <w:p w14:paraId="39F6BD87" w14:textId="344FACA7" w:rsidR="00C87B7A" w:rsidRPr="00C87B7A" w:rsidRDefault="00C87B7A" w:rsidP="00C87B7A">
            <w:pPr>
              <w:ind w:firstLine="9"/>
              <w:jc w:val="center"/>
              <w:rPr>
                <w:rFonts w:cs="Times New Roman"/>
                <w:szCs w:val="24"/>
              </w:rPr>
            </w:pPr>
            <w:r w:rsidRPr="00C87B7A">
              <w:rPr>
                <w:rFonts w:eastAsia="Times New Roman" w:cs="Times New Roman"/>
                <w:color w:val="000000"/>
                <w:szCs w:val="24"/>
              </w:rPr>
              <w:t xml:space="preserve">170  </w:t>
            </w:r>
          </w:p>
        </w:tc>
      </w:tr>
      <w:tr w:rsidR="00C87B7A" w:rsidRPr="00C87B7A" w14:paraId="3E4F176C" w14:textId="458C3371" w:rsidTr="009B5355">
        <w:trPr>
          <w:trHeight w:val="300"/>
          <w:jc w:val="center"/>
        </w:trPr>
        <w:tc>
          <w:tcPr>
            <w:tcW w:w="543" w:type="pct"/>
            <w:tcBorders>
              <w:top w:val="nil"/>
              <w:left w:val="single" w:sz="4" w:space="0" w:color="auto"/>
              <w:bottom w:val="single" w:sz="4" w:space="0" w:color="auto"/>
              <w:right w:val="single" w:sz="4" w:space="0" w:color="auto"/>
            </w:tcBorders>
            <w:shd w:val="clear" w:color="auto" w:fill="auto"/>
            <w:vAlign w:val="center"/>
            <w:hideMark/>
          </w:tcPr>
          <w:p w14:paraId="1FE1C135" w14:textId="77777777" w:rsidR="00C87B7A" w:rsidRPr="00C87B7A" w:rsidRDefault="00C87B7A" w:rsidP="00C87B7A">
            <w:pPr>
              <w:ind w:firstLine="9"/>
              <w:jc w:val="center"/>
              <w:rPr>
                <w:rFonts w:eastAsia="Times New Roman" w:cs="Times New Roman"/>
                <w:color w:val="000000"/>
                <w:szCs w:val="24"/>
              </w:rPr>
            </w:pPr>
            <w:r w:rsidRPr="00C87B7A">
              <w:rPr>
                <w:rFonts w:eastAsia="Times New Roman" w:cs="Times New Roman"/>
                <w:color w:val="000000"/>
                <w:szCs w:val="24"/>
              </w:rPr>
              <w:t xml:space="preserve">19  </w:t>
            </w:r>
          </w:p>
        </w:tc>
        <w:tc>
          <w:tcPr>
            <w:tcW w:w="1440" w:type="pct"/>
            <w:tcBorders>
              <w:top w:val="nil"/>
              <w:left w:val="nil"/>
              <w:bottom w:val="single" w:sz="4" w:space="0" w:color="auto"/>
              <w:right w:val="single" w:sz="4" w:space="0" w:color="auto"/>
            </w:tcBorders>
            <w:shd w:val="clear" w:color="auto" w:fill="auto"/>
            <w:vAlign w:val="center"/>
            <w:hideMark/>
          </w:tcPr>
          <w:p w14:paraId="32BDCBC5" w14:textId="77777777" w:rsidR="00C87B7A" w:rsidRPr="00C87B7A" w:rsidRDefault="00C87B7A" w:rsidP="009B5355">
            <w:pPr>
              <w:ind w:left="18" w:firstLineChars="200" w:firstLine="480"/>
              <w:rPr>
                <w:rFonts w:eastAsia="Times New Roman" w:cs="Times New Roman"/>
                <w:color w:val="000000"/>
                <w:szCs w:val="24"/>
              </w:rPr>
            </w:pPr>
            <w:r w:rsidRPr="00C87B7A">
              <w:rPr>
                <w:rFonts w:eastAsia="Times New Roman" w:cs="Times New Roman"/>
                <w:color w:val="000000"/>
                <w:szCs w:val="24"/>
              </w:rPr>
              <w:t>Чернышевский</w:t>
            </w:r>
          </w:p>
        </w:tc>
        <w:tc>
          <w:tcPr>
            <w:tcW w:w="1574" w:type="pct"/>
            <w:tcBorders>
              <w:top w:val="nil"/>
              <w:left w:val="nil"/>
              <w:bottom w:val="single" w:sz="4" w:space="0" w:color="auto"/>
              <w:right w:val="single" w:sz="4" w:space="0" w:color="auto"/>
            </w:tcBorders>
          </w:tcPr>
          <w:p w14:paraId="2F39250C" w14:textId="669E8C5C" w:rsidR="00C87B7A" w:rsidRPr="00C87B7A" w:rsidRDefault="00C87B7A" w:rsidP="00C87B7A">
            <w:pPr>
              <w:ind w:firstLine="9"/>
              <w:jc w:val="center"/>
              <w:rPr>
                <w:rFonts w:eastAsia="Times New Roman" w:cs="Times New Roman"/>
                <w:color w:val="000000"/>
                <w:szCs w:val="24"/>
              </w:rPr>
            </w:pPr>
            <w:r w:rsidRPr="00C87B7A">
              <w:rPr>
                <w:rFonts w:cs="Times New Roman"/>
                <w:szCs w:val="24"/>
              </w:rPr>
              <w:t>есть</w:t>
            </w:r>
          </w:p>
        </w:tc>
        <w:tc>
          <w:tcPr>
            <w:tcW w:w="1443" w:type="pct"/>
            <w:tcBorders>
              <w:top w:val="single" w:sz="4" w:space="0" w:color="auto"/>
              <w:left w:val="nil"/>
              <w:bottom w:val="single" w:sz="4" w:space="0" w:color="auto"/>
              <w:right w:val="single" w:sz="4" w:space="0" w:color="auto"/>
            </w:tcBorders>
            <w:vAlign w:val="center"/>
          </w:tcPr>
          <w:p w14:paraId="0E79D842" w14:textId="6F9F64F9" w:rsidR="00C87B7A" w:rsidRPr="00C87B7A" w:rsidRDefault="00C87B7A" w:rsidP="00C87B7A">
            <w:pPr>
              <w:ind w:firstLine="9"/>
              <w:jc w:val="center"/>
              <w:rPr>
                <w:rFonts w:cs="Times New Roman"/>
                <w:szCs w:val="24"/>
              </w:rPr>
            </w:pPr>
            <w:r w:rsidRPr="00C87B7A">
              <w:rPr>
                <w:rFonts w:eastAsia="Times New Roman" w:cs="Times New Roman"/>
                <w:color w:val="000000"/>
                <w:szCs w:val="24"/>
              </w:rPr>
              <w:t xml:space="preserve">125  </w:t>
            </w:r>
          </w:p>
        </w:tc>
      </w:tr>
      <w:tr w:rsidR="00C87B7A" w:rsidRPr="00C87B7A" w14:paraId="327AABF1" w14:textId="0D235BAC" w:rsidTr="009B5355">
        <w:trPr>
          <w:trHeight w:val="300"/>
          <w:jc w:val="center"/>
        </w:trPr>
        <w:tc>
          <w:tcPr>
            <w:tcW w:w="543" w:type="pct"/>
            <w:tcBorders>
              <w:top w:val="nil"/>
              <w:left w:val="single" w:sz="4" w:space="0" w:color="auto"/>
              <w:bottom w:val="single" w:sz="4" w:space="0" w:color="auto"/>
              <w:right w:val="single" w:sz="4" w:space="0" w:color="auto"/>
            </w:tcBorders>
            <w:shd w:val="clear" w:color="auto" w:fill="auto"/>
            <w:vAlign w:val="center"/>
            <w:hideMark/>
          </w:tcPr>
          <w:p w14:paraId="7B4270CF" w14:textId="77777777" w:rsidR="00C87B7A" w:rsidRPr="00C87B7A" w:rsidRDefault="00C87B7A" w:rsidP="00C87B7A">
            <w:pPr>
              <w:ind w:firstLine="9"/>
              <w:jc w:val="center"/>
              <w:rPr>
                <w:rFonts w:eastAsia="Times New Roman" w:cs="Times New Roman"/>
                <w:color w:val="000000"/>
                <w:szCs w:val="24"/>
              </w:rPr>
            </w:pPr>
            <w:r w:rsidRPr="00C87B7A">
              <w:rPr>
                <w:rFonts w:eastAsia="Times New Roman" w:cs="Times New Roman"/>
                <w:color w:val="000000"/>
                <w:szCs w:val="24"/>
              </w:rPr>
              <w:t xml:space="preserve">20  </w:t>
            </w:r>
          </w:p>
        </w:tc>
        <w:tc>
          <w:tcPr>
            <w:tcW w:w="1440" w:type="pct"/>
            <w:tcBorders>
              <w:top w:val="nil"/>
              <w:left w:val="nil"/>
              <w:bottom w:val="single" w:sz="4" w:space="0" w:color="auto"/>
              <w:right w:val="single" w:sz="4" w:space="0" w:color="auto"/>
            </w:tcBorders>
            <w:shd w:val="clear" w:color="auto" w:fill="auto"/>
            <w:vAlign w:val="center"/>
            <w:hideMark/>
          </w:tcPr>
          <w:p w14:paraId="3EEEA897" w14:textId="77777777" w:rsidR="00C87B7A" w:rsidRPr="00C87B7A" w:rsidRDefault="00C87B7A" w:rsidP="009B5355">
            <w:pPr>
              <w:ind w:left="18" w:firstLineChars="200" w:firstLine="480"/>
              <w:rPr>
                <w:rFonts w:eastAsia="Times New Roman" w:cs="Times New Roman"/>
                <w:color w:val="000000"/>
                <w:szCs w:val="24"/>
              </w:rPr>
            </w:pPr>
            <w:r w:rsidRPr="00C87B7A">
              <w:rPr>
                <w:rFonts w:eastAsia="Times New Roman" w:cs="Times New Roman"/>
                <w:color w:val="000000"/>
                <w:szCs w:val="24"/>
              </w:rPr>
              <w:t>Батагай</w:t>
            </w:r>
          </w:p>
        </w:tc>
        <w:tc>
          <w:tcPr>
            <w:tcW w:w="1574" w:type="pct"/>
            <w:tcBorders>
              <w:top w:val="nil"/>
              <w:left w:val="nil"/>
              <w:bottom w:val="single" w:sz="4" w:space="0" w:color="auto"/>
              <w:right w:val="single" w:sz="4" w:space="0" w:color="auto"/>
            </w:tcBorders>
          </w:tcPr>
          <w:p w14:paraId="2CFE4A71" w14:textId="7C29FADF" w:rsidR="00C87B7A" w:rsidRPr="00C87B7A" w:rsidRDefault="00C87B7A" w:rsidP="00C87B7A">
            <w:pPr>
              <w:ind w:firstLine="9"/>
              <w:jc w:val="center"/>
              <w:rPr>
                <w:rFonts w:eastAsia="Times New Roman" w:cs="Times New Roman"/>
                <w:color w:val="000000"/>
                <w:szCs w:val="24"/>
              </w:rPr>
            </w:pPr>
            <w:r w:rsidRPr="00C87B7A">
              <w:rPr>
                <w:rFonts w:cs="Times New Roman"/>
                <w:szCs w:val="24"/>
              </w:rPr>
              <w:t>есть</w:t>
            </w:r>
          </w:p>
        </w:tc>
        <w:tc>
          <w:tcPr>
            <w:tcW w:w="1443" w:type="pct"/>
            <w:tcBorders>
              <w:top w:val="single" w:sz="4" w:space="0" w:color="auto"/>
              <w:left w:val="nil"/>
              <w:bottom w:val="single" w:sz="4" w:space="0" w:color="auto"/>
              <w:right w:val="single" w:sz="4" w:space="0" w:color="auto"/>
            </w:tcBorders>
            <w:vAlign w:val="center"/>
          </w:tcPr>
          <w:p w14:paraId="4A15C1D3" w14:textId="50F18A49" w:rsidR="00C87B7A" w:rsidRPr="00C87B7A" w:rsidRDefault="00C87B7A" w:rsidP="00C87B7A">
            <w:pPr>
              <w:ind w:firstLine="9"/>
              <w:jc w:val="center"/>
              <w:rPr>
                <w:rFonts w:cs="Times New Roman"/>
                <w:szCs w:val="24"/>
              </w:rPr>
            </w:pPr>
            <w:r w:rsidRPr="00C87B7A">
              <w:rPr>
                <w:rFonts w:eastAsia="Times New Roman" w:cs="Times New Roman"/>
                <w:color w:val="000000"/>
                <w:szCs w:val="24"/>
              </w:rPr>
              <w:t xml:space="preserve">145  </w:t>
            </w:r>
          </w:p>
        </w:tc>
      </w:tr>
      <w:tr w:rsidR="00C87B7A" w:rsidRPr="00C87B7A" w14:paraId="2EFB42C6" w14:textId="7CD40564" w:rsidTr="009B5355">
        <w:trPr>
          <w:trHeight w:val="300"/>
          <w:jc w:val="center"/>
        </w:trPr>
        <w:tc>
          <w:tcPr>
            <w:tcW w:w="543" w:type="pct"/>
            <w:tcBorders>
              <w:top w:val="nil"/>
              <w:left w:val="single" w:sz="4" w:space="0" w:color="auto"/>
              <w:bottom w:val="single" w:sz="4" w:space="0" w:color="auto"/>
              <w:right w:val="single" w:sz="4" w:space="0" w:color="auto"/>
            </w:tcBorders>
            <w:shd w:val="clear" w:color="auto" w:fill="auto"/>
            <w:vAlign w:val="center"/>
            <w:hideMark/>
          </w:tcPr>
          <w:p w14:paraId="2722FCB1" w14:textId="77777777" w:rsidR="00C87B7A" w:rsidRPr="00C87B7A" w:rsidRDefault="00C87B7A" w:rsidP="00C87B7A">
            <w:pPr>
              <w:ind w:firstLine="9"/>
              <w:jc w:val="center"/>
              <w:rPr>
                <w:rFonts w:eastAsia="Times New Roman" w:cs="Times New Roman"/>
                <w:color w:val="000000"/>
                <w:szCs w:val="24"/>
              </w:rPr>
            </w:pPr>
            <w:r w:rsidRPr="00C87B7A">
              <w:rPr>
                <w:rFonts w:eastAsia="Times New Roman" w:cs="Times New Roman"/>
                <w:color w:val="000000"/>
                <w:szCs w:val="24"/>
              </w:rPr>
              <w:t xml:space="preserve">21  </w:t>
            </w:r>
          </w:p>
        </w:tc>
        <w:tc>
          <w:tcPr>
            <w:tcW w:w="1440" w:type="pct"/>
            <w:tcBorders>
              <w:top w:val="nil"/>
              <w:left w:val="nil"/>
              <w:bottom w:val="single" w:sz="4" w:space="0" w:color="auto"/>
              <w:right w:val="single" w:sz="4" w:space="0" w:color="auto"/>
            </w:tcBorders>
            <w:shd w:val="clear" w:color="auto" w:fill="auto"/>
            <w:vAlign w:val="center"/>
            <w:hideMark/>
          </w:tcPr>
          <w:p w14:paraId="0444D85D" w14:textId="77777777" w:rsidR="00C87B7A" w:rsidRPr="00C87B7A" w:rsidRDefault="00C87B7A" w:rsidP="009B5355">
            <w:pPr>
              <w:ind w:left="18" w:firstLineChars="200" w:firstLine="480"/>
              <w:rPr>
                <w:rFonts w:eastAsia="Times New Roman" w:cs="Times New Roman"/>
                <w:color w:val="000000"/>
                <w:szCs w:val="24"/>
              </w:rPr>
            </w:pPr>
            <w:r w:rsidRPr="00C87B7A">
              <w:rPr>
                <w:rFonts w:eastAsia="Times New Roman" w:cs="Times New Roman"/>
                <w:color w:val="000000"/>
                <w:szCs w:val="24"/>
              </w:rPr>
              <w:t>Беркакит</w:t>
            </w:r>
          </w:p>
        </w:tc>
        <w:tc>
          <w:tcPr>
            <w:tcW w:w="1574" w:type="pct"/>
            <w:tcBorders>
              <w:top w:val="nil"/>
              <w:left w:val="nil"/>
              <w:bottom w:val="single" w:sz="4" w:space="0" w:color="auto"/>
              <w:right w:val="single" w:sz="4" w:space="0" w:color="auto"/>
            </w:tcBorders>
          </w:tcPr>
          <w:p w14:paraId="3C875601" w14:textId="5CCBD636" w:rsidR="00C87B7A" w:rsidRPr="00C87B7A" w:rsidRDefault="00C87B7A" w:rsidP="00C87B7A">
            <w:pPr>
              <w:ind w:firstLine="9"/>
              <w:jc w:val="center"/>
              <w:rPr>
                <w:rFonts w:eastAsia="Times New Roman" w:cs="Times New Roman"/>
                <w:color w:val="000000"/>
                <w:szCs w:val="24"/>
              </w:rPr>
            </w:pPr>
            <w:r w:rsidRPr="00C87B7A">
              <w:rPr>
                <w:rFonts w:cs="Times New Roman"/>
                <w:szCs w:val="24"/>
              </w:rPr>
              <w:t>есть</w:t>
            </w:r>
          </w:p>
        </w:tc>
        <w:tc>
          <w:tcPr>
            <w:tcW w:w="1443" w:type="pct"/>
            <w:tcBorders>
              <w:top w:val="single" w:sz="4" w:space="0" w:color="auto"/>
              <w:left w:val="nil"/>
              <w:bottom w:val="single" w:sz="4" w:space="0" w:color="auto"/>
              <w:right w:val="single" w:sz="4" w:space="0" w:color="auto"/>
            </w:tcBorders>
            <w:vAlign w:val="center"/>
          </w:tcPr>
          <w:p w14:paraId="4F2FC2DB" w14:textId="5D52E6AA" w:rsidR="00C87B7A" w:rsidRPr="00C87B7A" w:rsidRDefault="00C87B7A" w:rsidP="00C87B7A">
            <w:pPr>
              <w:ind w:firstLine="9"/>
              <w:jc w:val="center"/>
              <w:rPr>
                <w:rFonts w:cs="Times New Roman"/>
                <w:szCs w:val="24"/>
              </w:rPr>
            </w:pPr>
            <w:r w:rsidRPr="00C87B7A">
              <w:rPr>
                <w:rFonts w:eastAsia="Times New Roman" w:cs="Times New Roman"/>
                <w:color w:val="000000"/>
                <w:szCs w:val="24"/>
              </w:rPr>
              <w:t xml:space="preserve">145  </w:t>
            </w:r>
          </w:p>
        </w:tc>
      </w:tr>
      <w:tr w:rsidR="00C87B7A" w:rsidRPr="00C87B7A" w14:paraId="75E58037" w14:textId="605B520C" w:rsidTr="009B5355">
        <w:trPr>
          <w:trHeight w:val="300"/>
          <w:jc w:val="center"/>
        </w:trPr>
        <w:tc>
          <w:tcPr>
            <w:tcW w:w="543" w:type="pct"/>
            <w:tcBorders>
              <w:top w:val="nil"/>
              <w:left w:val="single" w:sz="4" w:space="0" w:color="auto"/>
              <w:bottom w:val="single" w:sz="4" w:space="0" w:color="auto"/>
              <w:right w:val="single" w:sz="4" w:space="0" w:color="auto"/>
            </w:tcBorders>
            <w:shd w:val="clear" w:color="auto" w:fill="auto"/>
            <w:vAlign w:val="center"/>
            <w:hideMark/>
          </w:tcPr>
          <w:p w14:paraId="783D7AAC" w14:textId="77777777" w:rsidR="00C87B7A" w:rsidRPr="00C87B7A" w:rsidRDefault="00C87B7A" w:rsidP="00C87B7A">
            <w:pPr>
              <w:ind w:firstLine="9"/>
              <w:jc w:val="center"/>
              <w:rPr>
                <w:rFonts w:eastAsia="Times New Roman" w:cs="Times New Roman"/>
                <w:color w:val="000000"/>
                <w:szCs w:val="24"/>
              </w:rPr>
            </w:pPr>
            <w:r w:rsidRPr="00C87B7A">
              <w:rPr>
                <w:rFonts w:eastAsia="Times New Roman" w:cs="Times New Roman"/>
                <w:color w:val="000000"/>
                <w:szCs w:val="24"/>
              </w:rPr>
              <w:t xml:space="preserve">22  </w:t>
            </w:r>
          </w:p>
        </w:tc>
        <w:tc>
          <w:tcPr>
            <w:tcW w:w="1440" w:type="pct"/>
            <w:tcBorders>
              <w:top w:val="nil"/>
              <w:left w:val="nil"/>
              <w:bottom w:val="single" w:sz="4" w:space="0" w:color="auto"/>
              <w:right w:val="single" w:sz="4" w:space="0" w:color="auto"/>
            </w:tcBorders>
            <w:shd w:val="clear" w:color="auto" w:fill="auto"/>
            <w:vAlign w:val="center"/>
            <w:hideMark/>
          </w:tcPr>
          <w:p w14:paraId="69980308" w14:textId="77777777" w:rsidR="00C87B7A" w:rsidRPr="00C87B7A" w:rsidRDefault="00C87B7A" w:rsidP="009B5355">
            <w:pPr>
              <w:ind w:left="18" w:firstLineChars="200" w:firstLine="480"/>
              <w:rPr>
                <w:rFonts w:eastAsia="Times New Roman" w:cs="Times New Roman"/>
                <w:color w:val="000000"/>
                <w:szCs w:val="24"/>
              </w:rPr>
            </w:pPr>
            <w:r w:rsidRPr="00C87B7A">
              <w:rPr>
                <w:rFonts w:eastAsia="Times New Roman" w:cs="Times New Roman"/>
                <w:color w:val="000000"/>
                <w:szCs w:val="24"/>
              </w:rPr>
              <w:t>Светлый</w:t>
            </w:r>
          </w:p>
        </w:tc>
        <w:tc>
          <w:tcPr>
            <w:tcW w:w="1574" w:type="pct"/>
            <w:tcBorders>
              <w:top w:val="nil"/>
              <w:left w:val="nil"/>
              <w:bottom w:val="single" w:sz="4" w:space="0" w:color="auto"/>
              <w:right w:val="single" w:sz="4" w:space="0" w:color="auto"/>
            </w:tcBorders>
          </w:tcPr>
          <w:p w14:paraId="66521466" w14:textId="145A4135" w:rsidR="00C87B7A" w:rsidRPr="00C87B7A" w:rsidRDefault="00C87B7A" w:rsidP="00C87B7A">
            <w:pPr>
              <w:ind w:firstLine="9"/>
              <w:jc w:val="center"/>
              <w:rPr>
                <w:rFonts w:eastAsia="Times New Roman" w:cs="Times New Roman"/>
                <w:color w:val="000000"/>
                <w:szCs w:val="24"/>
              </w:rPr>
            </w:pPr>
            <w:r w:rsidRPr="00C87B7A">
              <w:rPr>
                <w:rFonts w:cs="Times New Roman"/>
                <w:szCs w:val="24"/>
              </w:rPr>
              <w:t>есть</w:t>
            </w:r>
          </w:p>
        </w:tc>
        <w:tc>
          <w:tcPr>
            <w:tcW w:w="1443" w:type="pct"/>
            <w:tcBorders>
              <w:top w:val="single" w:sz="4" w:space="0" w:color="auto"/>
              <w:left w:val="nil"/>
              <w:bottom w:val="single" w:sz="4" w:space="0" w:color="auto"/>
              <w:right w:val="single" w:sz="4" w:space="0" w:color="auto"/>
            </w:tcBorders>
            <w:vAlign w:val="center"/>
          </w:tcPr>
          <w:p w14:paraId="70FC32A2" w14:textId="5067E0EC" w:rsidR="00C87B7A" w:rsidRPr="00C87B7A" w:rsidRDefault="00C87B7A" w:rsidP="00C87B7A">
            <w:pPr>
              <w:ind w:firstLine="9"/>
              <w:jc w:val="center"/>
              <w:rPr>
                <w:rFonts w:cs="Times New Roman"/>
                <w:szCs w:val="24"/>
              </w:rPr>
            </w:pPr>
            <w:r w:rsidRPr="00C87B7A">
              <w:rPr>
                <w:rFonts w:eastAsia="Times New Roman" w:cs="Times New Roman"/>
                <w:color w:val="000000"/>
                <w:szCs w:val="24"/>
              </w:rPr>
              <w:t xml:space="preserve">122  </w:t>
            </w:r>
          </w:p>
        </w:tc>
      </w:tr>
      <w:tr w:rsidR="00C87B7A" w:rsidRPr="00C87B7A" w14:paraId="27AFF593" w14:textId="5E5C19C8" w:rsidTr="009B5355">
        <w:trPr>
          <w:trHeight w:val="300"/>
          <w:jc w:val="center"/>
        </w:trPr>
        <w:tc>
          <w:tcPr>
            <w:tcW w:w="543" w:type="pct"/>
            <w:tcBorders>
              <w:top w:val="nil"/>
              <w:left w:val="single" w:sz="4" w:space="0" w:color="auto"/>
              <w:bottom w:val="single" w:sz="4" w:space="0" w:color="auto"/>
              <w:right w:val="single" w:sz="4" w:space="0" w:color="auto"/>
            </w:tcBorders>
            <w:shd w:val="clear" w:color="auto" w:fill="auto"/>
            <w:vAlign w:val="center"/>
            <w:hideMark/>
          </w:tcPr>
          <w:p w14:paraId="0074C528" w14:textId="77777777" w:rsidR="00C87B7A" w:rsidRPr="00C87B7A" w:rsidRDefault="00C87B7A" w:rsidP="00C87B7A">
            <w:pPr>
              <w:ind w:firstLine="9"/>
              <w:jc w:val="center"/>
              <w:rPr>
                <w:rFonts w:eastAsia="Times New Roman" w:cs="Times New Roman"/>
                <w:color w:val="000000"/>
                <w:szCs w:val="24"/>
              </w:rPr>
            </w:pPr>
            <w:r w:rsidRPr="00C87B7A">
              <w:rPr>
                <w:rFonts w:eastAsia="Times New Roman" w:cs="Times New Roman"/>
                <w:color w:val="000000"/>
                <w:szCs w:val="24"/>
              </w:rPr>
              <w:t xml:space="preserve">23  </w:t>
            </w:r>
          </w:p>
        </w:tc>
        <w:tc>
          <w:tcPr>
            <w:tcW w:w="1440" w:type="pct"/>
            <w:tcBorders>
              <w:top w:val="nil"/>
              <w:left w:val="nil"/>
              <w:bottom w:val="single" w:sz="4" w:space="0" w:color="auto"/>
              <w:right w:val="single" w:sz="4" w:space="0" w:color="auto"/>
            </w:tcBorders>
            <w:shd w:val="clear" w:color="auto" w:fill="auto"/>
            <w:vAlign w:val="center"/>
            <w:hideMark/>
          </w:tcPr>
          <w:p w14:paraId="1ABC36B9" w14:textId="77777777" w:rsidR="00C87B7A" w:rsidRPr="00C87B7A" w:rsidRDefault="00C87B7A" w:rsidP="009B5355">
            <w:pPr>
              <w:ind w:left="18" w:firstLineChars="200" w:firstLine="480"/>
              <w:rPr>
                <w:rFonts w:eastAsia="Times New Roman" w:cs="Times New Roman"/>
                <w:color w:val="000000"/>
                <w:szCs w:val="24"/>
              </w:rPr>
            </w:pPr>
            <w:r w:rsidRPr="00C87B7A">
              <w:rPr>
                <w:rFonts w:eastAsia="Times New Roman" w:cs="Times New Roman"/>
                <w:color w:val="000000"/>
                <w:szCs w:val="24"/>
              </w:rPr>
              <w:t>Серебряный Бор</w:t>
            </w:r>
          </w:p>
        </w:tc>
        <w:tc>
          <w:tcPr>
            <w:tcW w:w="1574" w:type="pct"/>
            <w:tcBorders>
              <w:top w:val="nil"/>
              <w:left w:val="nil"/>
              <w:bottom w:val="single" w:sz="4" w:space="0" w:color="auto"/>
              <w:right w:val="single" w:sz="4" w:space="0" w:color="auto"/>
            </w:tcBorders>
          </w:tcPr>
          <w:p w14:paraId="347FD8E1" w14:textId="208695D4" w:rsidR="00C87B7A" w:rsidRPr="00C87B7A" w:rsidRDefault="00C87B7A" w:rsidP="00C87B7A">
            <w:pPr>
              <w:ind w:firstLine="9"/>
              <w:jc w:val="center"/>
              <w:rPr>
                <w:rFonts w:eastAsia="Times New Roman" w:cs="Times New Roman"/>
                <w:color w:val="000000"/>
                <w:szCs w:val="24"/>
              </w:rPr>
            </w:pPr>
            <w:r w:rsidRPr="00C87B7A">
              <w:rPr>
                <w:rFonts w:cs="Times New Roman"/>
                <w:szCs w:val="24"/>
              </w:rPr>
              <w:t>есть</w:t>
            </w:r>
          </w:p>
        </w:tc>
        <w:tc>
          <w:tcPr>
            <w:tcW w:w="1443" w:type="pct"/>
            <w:tcBorders>
              <w:top w:val="single" w:sz="4" w:space="0" w:color="auto"/>
              <w:left w:val="nil"/>
              <w:bottom w:val="single" w:sz="4" w:space="0" w:color="auto"/>
              <w:right w:val="single" w:sz="4" w:space="0" w:color="auto"/>
            </w:tcBorders>
            <w:vAlign w:val="center"/>
          </w:tcPr>
          <w:p w14:paraId="35EB6E01" w14:textId="3C2C9D6B" w:rsidR="00C87B7A" w:rsidRPr="00C87B7A" w:rsidRDefault="00C87B7A" w:rsidP="00C87B7A">
            <w:pPr>
              <w:ind w:firstLine="9"/>
              <w:jc w:val="center"/>
              <w:rPr>
                <w:rFonts w:cs="Times New Roman"/>
                <w:szCs w:val="24"/>
              </w:rPr>
            </w:pPr>
            <w:r w:rsidRPr="00C87B7A">
              <w:rPr>
                <w:rFonts w:eastAsia="Times New Roman" w:cs="Times New Roman"/>
                <w:color w:val="000000"/>
                <w:szCs w:val="24"/>
              </w:rPr>
              <w:t xml:space="preserve">279  </w:t>
            </w:r>
          </w:p>
        </w:tc>
      </w:tr>
      <w:tr w:rsidR="00C87B7A" w:rsidRPr="00C87B7A" w14:paraId="76509ADE" w14:textId="14815811" w:rsidTr="009B5355">
        <w:trPr>
          <w:trHeight w:val="300"/>
          <w:jc w:val="center"/>
        </w:trPr>
        <w:tc>
          <w:tcPr>
            <w:tcW w:w="543" w:type="pct"/>
            <w:tcBorders>
              <w:top w:val="nil"/>
              <w:left w:val="single" w:sz="4" w:space="0" w:color="auto"/>
              <w:bottom w:val="single" w:sz="4" w:space="0" w:color="auto"/>
              <w:right w:val="single" w:sz="4" w:space="0" w:color="auto"/>
            </w:tcBorders>
            <w:shd w:val="clear" w:color="auto" w:fill="auto"/>
            <w:vAlign w:val="center"/>
            <w:hideMark/>
          </w:tcPr>
          <w:p w14:paraId="246CC6F8" w14:textId="77777777" w:rsidR="00C87B7A" w:rsidRPr="00C87B7A" w:rsidRDefault="00C87B7A" w:rsidP="00C87B7A">
            <w:pPr>
              <w:ind w:firstLine="9"/>
              <w:jc w:val="center"/>
              <w:rPr>
                <w:rFonts w:eastAsia="Times New Roman" w:cs="Times New Roman"/>
                <w:color w:val="000000"/>
                <w:szCs w:val="24"/>
              </w:rPr>
            </w:pPr>
            <w:r w:rsidRPr="00C87B7A">
              <w:rPr>
                <w:rFonts w:eastAsia="Times New Roman" w:cs="Times New Roman"/>
                <w:color w:val="000000"/>
                <w:szCs w:val="24"/>
              </w:rPr>
              <w:t xml:space="preserve">24  </w:t>
            </w:r>
          </w:p>
        </w:tc>
        <w:tc>
          <w:tcPr>
            <w:tcW w:w="1440" w:type="pct"/>
            <w:tcBorders>
              <w:top w:val="nil"/>
              <w:left w:val="nil"/>
              <w:bottom w:val="single" w:sz="4" w:space="0" w:color="auto"/>
              <w:right w:val="single" w:sz="4" w:space="0" w:color="auto"/>
            </w:tcBorders>
            <w:shd w:val="clear" w:color="auto" w:fill="auto"/>
            <w:vAlign w:val="center"/>
            <w:hideMark/>
          </w:tcPr>
          <w:p w14:paraId="7C19E544" w14:textId="77777777" w:rsidR="00C87B7A" w:rsidRPr="00C87B7A" w:rsidRDefault="00C87B7A" w:rsidP="009B5355">
            <w:pPr>
              <w:ind w:left="18" w:firstLineChars="200" w:firstLine="480"/>
              <w:rPr>
                <w:rFonts w:eastAsia="Times New Roman" w:cs="Times New Roman"/>
                <w:color w:val="000000"/>
                <w:szCs w:val="24"/>
              </w:rPr>
            </w:pPr>
            <w:r w:rsidRPr="00C87B7A">
              <w:rPr>
                <w:rFonts w:eastAsia="Times New Roman" w:cs="Times New Roman"/>
                <w:color w:val="000000"/>
                <w:szCs w:val="24"/>
              </w:rPr>
              <w:t>Депутатский</w:t>
            </w:r>
          </w:p>
        </w:tc>
        <w:tc>
          <w:tcPr>
            <w:tcW w:w="1574" w:type="pct"/>
            <w:tcBorders>
              <w:top w:val="nil"/>
              <w:left w:val="nil"/>
              <w:bottom w:val="single" w:sz="4" w:space="0" w:color="auto"/>
              <w:right w:val="single" w:sz="4" w:space="0" w:color="auto"/>
            </w:tcBorders>
          </w:tcPr>
          <w:p w14:paraId="4DA60D14" w14:textId="27302C83" w:rsidR="00C87B7A" w:rsidRPr="00C87B7A" w:rsidRDefault="00C87B7A" w:rsidP="00C87B7A">
            <w:pPr>
              <w:ind w:firstLine="9"/>
              <w:jc w:val="center"/>
              <w:rPr>
                <w:rFonts w:eastAsia="Times New Roman" w:cs="Times New Roman"/>
                <w:color w:val="000000"/>
                <w:szCs w:val="24"/>
              </w:rPr>
            </w:pPr>
            <w:r w:rsidRPr="00C87B7A">
              <w:rPr>
                <w:rFonts w:cs="Times New Roman"/>
                <w:szCs w:val="24"/>
              </w:rPr>
              <w:t>есть</w:t>
            </w:r>
          </w:p>
        </w:tc>
        <w:tc>
          <w:tcPr>
            <w:tcW w:w="1443" w:type="pct"/>
            <w:tcBorders>
              <w:top w:val="single" w:sz="4" w:space="0" w:color="auto"/>
              <w:left w:val="nil"/>
              <w:bottom w:val="single" w:sz="4" w:space="0" w:color="auto"/>
              <w:right w:val="single" w:sz="4" w:space="0" w:color="auto"/>
            </w:tcBorders>
            <w:vAlign w:val="center"/>
          </w:tcPr>
          <w:p w14:paraId="14E59A2D" w14:textId="169FE9FD" w:rsidR="00C87B7A" w:rsidRPr="00C87B7A" w:rsidRDefault="00C87B7A" w:rsidP="00C87B7A">
            <w:pPr>
              <w:ind w:firstLine="9"/>
              <w:jc w:val="center"/>
              <w:rPr>
                <w:rFonts w:cs="Times New Roman"/>
                <w:szCs w:val="24"/>
              </w:rPr>
            </w:pPr>
            <w:r w:rsidRPr="00C87B7A">
              <w:rPr>
                <w:rFonts w:eastAsia="Times New Roman" w:cs="Times New Roman"/>
                <w:color w:val="000000"/>
                <w:szCs w:val="24"/>
              </w:rPr>
              <w:t xml:space="preserve">107  </w:t>
            </w:r>
          </w:p>
        </w:tc>
      </w:tr>
      <w:tr w:rsidR="00C87B7A" w:rsidRPr="00C87B7A" w14:paraId="54A1F042" w14:textId="71875F3C" w:rsidTr="009B5355">
        <w:trPr>
          <w:trHeight w:val="300"/>
          <w:jc w:val="center"/>
        </w:trPr>
        <w:tc>
          <w:tcPr>
            <w:tcW w:w="543" w:type="pct"/>
            <w:tcBorders>
              <w:top w:val="nil"/>
              <w:left w:val="single" w:sz="4" w:space="0" w:color="auto"/>
              <w:bottom w:val="single" w:sz="4" w:space="0" w:color="auto"/>
              <w:right w:val="single" w:sz="4" w:space="0" w:color="auto"/>
            </w:tcBorders>
            <w:shd w:val="clear" w:color="auto" w:fill="auto"/>
            <w:vAlign w:val="center"/>
            <w:hideMark/>
          </w:tcPr>
          <w:p w14:paraId="0D52385A" w14:textId="77777777" w:rsidR="00C87B7A" w:rsidRPr="00C87B7A" w:rsidRDefault="00C87B7A" w:rsidP="00C87B7A">
            <w:pPr>
              <w:ind w:firstLine="9"/>
              <w:jc w:val="center"/>
              <w:rPr>
                <w:rFonts w:eastAsia="Times New Roman" w:cs="Times New Roman"/>
                <w:color w:val="000000"/>
                <w:szCs w:val="24"/>
              </w:rPr>
            </w:pPr>
            <w:r w:rsidRPr="00C87B7A">
              <w:rPr>
                <w:rFonts w:eastAsia="Times New Roman" w:cs="Times New Roman"/>
                <w:color w:val="000000"/>
                <w:szCs w:val="24"/>
              </w:rPr>
              <w:t xml:space="preserve">25  </w:t>
            </w:r>
          </w:p>
        </w:tc>
        <w:tc>
          <w:tcPr>
            <w:tcW w:w="1440" w:type="pct"/>
            <w:tcBorders>
              <w:top w:val="nil"/>
              <w:left w:val="nil"/>
              <w:bottom w:val="single" w:sz="4" w:space="0" w:color="auto"/>
              <w:right w:val="single" w:sz="4" w:space="0" w:color="auto"/>
            </w:tcBorders>
            <w:shd w:val="clear" w:color="auto" w:fill="auto"/>
            <w:vAlign w:val="center"/>
            <w:hideMark/>
          </w:tcPr>
          <w:p w14:paraId="2648985C" w14:textId="77777777" w:rsidR="00C87B7A" w:rsidRPr="00C87B7A" w:rsidRDefault="00C87B7A" w:rsidP="009B5355">
            <w:pPr>
              <w:ind w:left="18" w:firstLineChars="200" w:firstLine="480"/>
              <w:rPr>
                <w:rFonts w:eastAsia="Times New Roman" w:cs="Times New Roman"/>
                <w:color w:val="000000"/>
                <w:szCs w:val="24"/>
              </w:rPr>
            </w:pPr>
            <w:r w:rsidRPr="00C87B7A">
              <w:rPr>
                <w:rFonts w:eastAsia="Times New Roman" w:cs="Times New Roman"/>
                <w:color w:val="000000"/>
                <w:szCs w:val="24"/>
              </w:rPr>
              <w:t>Зырянка</w:t>
            </w:r>
          </w:p>
        </w:tc>
        <w:tc>
          <w:tcPr>
            <w:tcW w:w="1574" w:type="pct"/>
            <w:tcBorders>
              <w:top w:val="nil"/>
              <w:left w:val="nil"/>
              <w:bottom w:val="single" w:sz="4" w:space="0" w:color="auto"/>
              <w:right w:val="single" w:sz="4" w:space="0" w:color="auto"/>
            </w:tcBorders>
          </w:tcPr>
          <w:p w14:paraId="718D4BCD" w14:textId="703E56DB" w:rsidR="00C87B7A" w:rsidRPr="00C87B7A" w:rsidRDefault="00C87B7A" w:rsidP="00C87B7A">
            <w:pPr>
              <w:ind w:firstLine="9"/>
              <w:jc w:val="center"/>
              <w:rPr>
                <w:rFonts w:eastAsia="Times New Roman" w:cs="Times New Roman"/>
                <w:color w:val="000000"/>
                <w:szCs w:val="24"/>
              </w:rPr>
            </w:pPr>
            <w:r w:rsidRPr="00C87B7A">
              <w:rPr>
                <w:rFonts w:cs="Times New Roman"/>
                <w:szCs w:val="24"/>
              </w:rPr>
              <w:t>есть</w:t>
            </w:r>
          </w:p>
        </w:tc>
        <w:tc>
          <w:tcPr>
            <w:tcW w:w="1443" w:type="pct"/>
            <w:tcBorders>
              <w:top w:val="single" w:sz="4" w:space="0" w:color="auto"/>
              <w:left w:val="nil"/>
              <w:bottom w:val="single" w:sz="4" w:space="0" w:color="auto"/>
              <w:right w:val="single" w:sz="4" w:space="0" w:color="auto"/>
            </w:tcBorders>
            <w:vAlign w:val="center"/>
          </w:tcPr>
          <w:p w14:paraId="28CE9B3A" w14:textId="0FE059C4" w:rsidR="00C87B7A" w:rsidRPr="00C87B7A" w:rsidRDefault="00C87B7A" w:rsidP="00C87B7A">
            <w:pPr>
              <w:ind w:firstLine="9"/>
              <w:jc w:val="center"/>
              <w:rPr>
                <w:rFonts w:cs="Times New Roman"/>
                <w:szCs w:val="24"/>
              </w:rPr>
            </w:pPr>
            <w:r w:rsidRPr="00C87B7A">
              <w:rPr>
                <w:rFonts w:eastAsia="Times New Roman" w:cs="Times New Roman"/>
                <w:color w:val="000000"/>
                <w:szCs w:val="24"/>
              </w:rPr>
              <w:t xml:space="preserve">118  </w:t>
            </w:r>
          </w:p>
        </w:tc>
      </w:tr>
      <w:tr w:rsidR="00C87B7A" w:rsidRPr="00C87B7A" w14:paraId="6E3B6C6D" w14:textId="2A6CF749" w:rsidTr="009B5355">
        <w:trPr>
          <w:trHeight w:val="300"/>
          <w:jc w:val="center"/>
        </w:trPr>
        <w:tc>
          <w:tcPr>
            <w:tcW w:w="543" w:type="pct"/>
            <w:tcBorders>
              <w:top w:val="nil"/>
              <w:left w:val="single" w:sz="4" w:space="0" w:color="auto"/>
              <w:bottom w:val="single" w:sz="4" w:space="0" w:color="auto"/>
              <w:right w:val="single" w:sz="4" w:space="0" w:color="auto"/>
            </w:tcBorders>
            <w:shd w:val="clear" w:color="auto" w:fill="auto"/>
            <w:vAlign w:val="center"/>
            <w:hideMark/>
          </w:tcPr>
          <w:p w14:paraId="638AE652" w14:textId="77777777" w:rsidR="00C87B7A" w:rsidRPr="00C87B7A" w:rsidRDefault="00C87B7A" w:rsidP="00C87B7A">
            <w:pPr>
              <w:ind w:firstLine="9"/>
              <w:jc w:val="center"/>
              <w:rPr>
                <w:rFonts w:eastAsia="Times New Roman" w:cs="Times New Roman"/>
                <w:color w:val="000000"/>
                <w:szCs w:val="24"/>
              </w:rPr>
            </w:pPr>
            <w:r w:rsidRPr="00C87B7A">
              <w:rPr>
                <w:rFonts w:eastAsia="Times New Roman" w:cs="Times New Roman"/>
                <w:color w:val="000000"/>
                <w:szCs w:val="24"/>
              </w:rPr>
              <w:t xml:space="preserve">26  </w:t>
            </w:r>
          </w:p>
        </w:tc>
        <w:tc>
          <w:tcPr>
            <w:tcW w:w="1440" w:type="pct"/>
            <w:tcBorders>
              <w:top w:val="nil"/>
              <w:left w:val="nil"/>
              <w:bottom w:val="single" w:sz="4" w:space="0" w:color="auto"/>
              <w:right w:val="single" w:sz="4" w:space="0" w:color="auto"/>
            </w:tcBorders>
            <w:shd w:val="clear" w:color="auto" w:fill="auto"/>
            <w:vAlign w:val="center"/>
            <w:hideMark/>
          </w:tcPr>
          <w:p w14:paraId="62B2C987" w14:textId="77777777" w:rsidR="00C87B7A" w:rsidRPr="00C87B7A" w:rsidRDefault="00C87B7A" w:rsidP="009B5355">
            <w:pPr>
              <w:ind w:left="18" w:firstLineChars="200" w:firstLine="480"/>
              <w:rPr>
                <w:rFonts w:eastAsia="Times New Roman" w:cs="Times New Roman"/>
                <w:color w:val="000000"/>
                <w:szCs w:val="24"/>
              </w:rPr>
            </w:pPr>
            <w:r w:rsidRPr="00C87B7A">
              <w:rPr>
                <w:rFonts w:eastAsia="Times New Roman" w:cs="Times New Roman"/>
                <w:color w:val="000000"/>
                <w:szCs w:val="24"/>
              </w:rPr>
              <w:t>Черский</w:t>
            </w:r>
          </w:p>
        </w:tc>
        <w:tc>
          <w:tcPr>
            <w:tcW w:w="1574" w:type="pct"/>
            <w:tcBorders>
              <w:top w:val="nil"/>
              <w:left w:val="nil"/>
              <w:bottom w:val="single" w:sz="4" w:space="0" w:color="auto"/>
              <w:right w:val="single" w:sz="4" w:space="0" w:color="auto"/>
            </w:tcBorders>
          </w:tcPr>
          <w:p w14:paraId="5722D468" w14:textId="17250A86" w:rsidR="00C87B7A" w:rsidRPr="00C87B7A" w:rsidRDefault="00C87B7A" w:rsidP="00C87B7A">
            <w:pPr>
              <w:ind w:firstLine="9"/>
              <w:jc w:val="center"/>
              <w:rPr>
                <w:rFonts w:eastAsia="Times New Roman" w:cs="Times New Roman"/>
                <w:color w:val="000000"/>
                <w:szCs w:val="24"/>
              </w:rPr>
            </w:pPr>
            <w:r w:rsidRPr="00C87B7A">
              <w:rPr>
                <w:rFonts w:cs="Times New Roman"/>
                <w:szCs w:val="24"/>
              </w:rPr>
              <w:t>есть</w:t>
            </w:r>
          </w:p>
        </w:tc>
        <w:tc>
          <w:tcPr>
            <w:tcW w:w="1443" w:type="pct"/>
            <w:tcBorders>
              <w:top w:val="single" w:sz="4" w:space="0" w:color="auto"/>
              <w:left w:val="nil"/>
              <w:bottom w:val="single" w:sz="4" w:space="0" w:color="auto"/>
              <w:right w:val="single" w:sz="4" w:space="0" w:color="auto"/>
            </w:tcBorders>
            <w:vAlign w:val="center"/>
          </w:tcPr>
          <w:p w14:paraId="5873DBDD" w14:textId="2CE0794A" w:rsidR="00C87B7A" w:rsidRPr="00C87B7A" w:rsidRDefault="00C87B7A" w:rsidP="00C87B7A">
            <w:pPr>
              <w:ind w:firstLine="9"/>
              <w:jc w:val="center"/>
              <w:rPr>
                <w:rFonts w:cs="Times New Roman"/>
                <w:szCs w:val="24"/>
              </w:rPr>
            </w:pPr>
            <w:r w:rsidRPr="00C87B7A">
              <w:rPr>
                <w:rFonts w:eastAsia="Times New Roman" w:cs="Times New Roman"/>
                <w:color w:val="000000"/>
                <w:szCs w:val="24"/>
              </w:rPr>
              <w:t xml:space="preserve">96  </w:t>
            </w:r>
          </w:p>
        </w:tc>
      </w:tr>
      <w:tr w:rsidR="00C87B7A" w:rsidRPr="00C87B7A" w14:paraId="56E6B6A1" w14:textId="01655CFC" w:rsidTr="009B5355">
        <w:trPr>
          <w:trHeight w:val="300"/>
          <w:jc w:val="center"/>
        </w:trPr>
        <w:tc>
          <w:tcPr>
            <w:tcW w:w="543" w:type="pct"/>
            <w:tcBorders>
              <w:top w:val="nil"/>
              <w:left w:val="single" w:sz="4" w:space="0" w:color="auto"/>
              <w:bottom w:val="single" w:sz="4" w:space="0" w:color="auto"/>
              <w:right w:val="single" w:sz="4" w:space="0" w:color="auto"/>
            </w:tcBorders>
            <w:shd w:val="clear" w:color="auto" w:fill="auto"/>
            <w:vAlign w:val="center"/>
            <w:hideMark/>
          </w:tcPr>
          <w:p w14:paraId="78BB78D9" w14:textId="77777777" w:rsidR="00C87B7A" w:rsidRPr="00C87B7A" w:rsidRDefault="00C87B7A" w:rsidP="00C87B7A">
            <w:pPr>
              <w:ind w:firstLine="9"/>
              <w:jc w:val="center"/>
              <w:rPr>
                <w:rFonts w:eastAsia="Times New Roman" w:cs="Times New Roman"/>
                <w:color w:val="000000"/>
                <w:szCs w:val="24"/>
              </w:rPr>
            </w:pPr>
            <w:r w:rsidRPr="00C87B7A">
              <w:rPr>
                <w:rFonts w:eastAsia="Times New Roman" w:cs="Times New Roman"/>
                <w:color w:val="000000"/>
                <w:szCs w:val="24"/>
              </w:rPr>
              <w:t xml:space="preserve">27  </w:t>
            </w:r>
          </w:p>
        </w:tc>
        <w:tc>
          <w:tcPr>
            <w:tcW w:w="1440" w:type="pct"/>
            <w:tcBorders>
              <w:top w:val="nil"/>
              <w:left w:val="nil"/>
              <w:bottom w:val="single" w:sz="4" w:space="0" w:color="auto"/>
              <w:right w:val="single" w:sz="4" w:space="0" w:color="auto"/>
            </w:tcBorders>
            <w:shd w:val="clear" w:color="auto" w:fill="auto"/>
            <w:vAlign w:val="center"/>
            <w:hideMark/>
          </w:tcPr>
          <w:p w14:paraId="4B18025C" w14:textId="77777777" w:rsidR="00C87B7A" w:rsidRPr="00C87B7A" w:rsidRDefault="00C87B7A" w:rsidP="009B5355">
            <w:pPr>
              <w:ind w:left="18" w:firstLineChars="200" w:firstLine="480"/>
              <w:rPr>
                <w:rFonts w:eastAsia="Times New Roman" w:cs="Times New Roman"/>
                <w:color w:val="000000"/>
                <w:szCs w:val="24"/>
              </w:rPr>
            </w:pPr>
            <w:r w:rsidRPr="00C87B7A">
              <w:rPr>
                <w:rFonts w:eastAsia="Times New Roman" w:cs="Times New Roman"/>
                <w:color w:val="000000"/>
                <w:szCs w:val="24"/>
              </w:rPr>
              <w:t>Белая Гора</w:t>
            </w:r>
          </w:p>
        </w:tc>
        <w:tc>
          <w:tcPr>
            <w:tcW w:w="1574" w:type="pct"/>
            <w:tcBorders>
              <w:top w:val="nil"/>
              <w:left w:val="nil"/>
              <w:bottom w:val="single" w:sz="4" w:space="0" w:color="auto"/>
              <w:right w:val="single" w:sz="4" w:space="0" w:color="auto"/>
            </w:tcBorders>
          </w:tcPr>
          <w:p w14:paraId="16019CBD" w14:textId="4DA0F806" w:rsidR="00C87B7A" w:rsidRPr="00C87B7A" w:rsidRDefault="00C87B7A" w:rsidP="00C87B7A">
            <w:pPr>
              <w:ind w:firstLine="9"/>
              <w:jc w:val="center"/>
              <w:rPr>
                <w:rFonts w:eastAsia="Times New Roman" w:cs="Times New Roman"/>
                <w:color w:val="000000"/>
                <w:szCs w:val="24"/>
              </w:rPr>
            </w:pPr>
            <w:r w:rsidRPr="00C87B7A">
              <w:rPr>
                <w:rFonts w:cs="Times New Roman"/>
                <w:szCs w:val="24"/>
              </w:rPr>
              <w:t>есть</w:t>
            </w:r>
          </w:p>
        </w:tc>
        <w:tc>
          <w:tcPr>
            <w:tcW w:w="1443" w:type="pct"/>
            <w:tcBorders>
              <w:top w:val="single" w:sz="4" w:space="0" w:color="auto"/>
              <w:left w:val="nil"/>
              <w:bottom w:val="single" w:sz="4" w:space="0" w:color="auto"/>
              <w:right w:val="single" w:sz="4" w:space="0" w:color="auto"/>
            </w:tcBorders>
            <w:vAlign w:val="center"/>
          </w:tcPr>
          <w:p w14:paraId="30207271" w14:textId="3A99D17E" w:rsidR="00C87B7A" w:rsidRPr="00C87B7A" w:rsidRDefault="00C87B7A" w:rsidP="00C87B7A">
            <w:pPr>
              <w:ind w:firstLine="9"/>
              <w:jc w:val="center"/>
              <w:rPr>
                <w:rFonts w:cs="Times New Roman"/>
                <w:szCs w:val="24"/>
              </w:rPr>
            </w:pPr>
            <w:r w:rsidRPr="00C87B7A">
              <w:rPr>
                <w:rFonts w:eastAsia="Times New Roman" w:cs="Times New Roman"/>
                <w:color w:val="000000"/>
                <w:szCs w:val="24"/>
              </w:rPr>
              <w:t xml:space="preserve">84  </w:t>
            </w:r>
          </w:p>
        </w:tc>
      </w:tr>
    </w:tbl>
    <w:p w14:paraId="1C8706F0" w14:textId="77777777" w:rsidR="00874C1F" w:rsidRDefault="00874C1F" w:rsidP="00874C1F">
      <w:pPr>
        <w:rPr>
          <w:rFonts w:cs="Times New Roman"/>
          <w:sz w:val="22"/>
          <w:lang w:eastAsia="ru-RU"/>
        </w:rPr>
      </w:pPr>
    </w:p>
    <w:p w14:paraId="0321F537" w14:textId="77777777" w:rsidR="00874C1F" w:rsidRDefault="00874C1F" w:rsidP="00874C1F">
      <w:pPr>
        <w:ind w:firstLine="709"/>
        <w:rPr>
          <w:rFonts w:cs="Times New Roman"/>
          <w:lang w:eastAsia="ru-RU"/>
        </w:rPr>
      </w:pPr>
      <w:r>
        <w:rPr>
          <w:rFonts w:cs="Times New Roman"/>
          <w:lang w:eastAsia="ru-RU"/>
        </w:rPr>
        <w:t xml:space="preserve">В целях эффективной организации работ </w:t>
      </w:r>
      <w:r>
        <w:rPr>
          <w:rFonts w:cs="Times New Roman"/>
        </w:rPr>
        <w:t>ГБУ РС(Я) «Центр государственной кадастровой оценки»</w:t>
      </w:r>
      <w:r>
        <w:rPr>
          <w:rFonts w:cs="Times New Roman"/>
          <w:lang w:eastAsia="ru-RU"/>
        </w:rPr>
        <w:t xml:space="preserve"> сформировало ряд последовательных запросов информации в адрес органов местного самоуправления (запросы характеристик сельских населенных пунктов, характеристик городских населенных пунктов).</w:t>
      </w:r>
    </w:p>
    <w:p w14:paraId="48C8F228" w14:textId="77777777" w:rsidR="00874C1F" w:rsidRDefault="00874C1F" w:rsidP="00874C1F">
      <w:pPr>
        <w:ind w:firstLine="709"/>
        <w:rPr>
          <w:rFonts w:cs="Times New Roman"/>
          <w:lang w:eastAsia="ru-RU"/>
        </w:rPr>
      </w:pPr>
      <w:r>
        <w:rPr>
          <w:rFonts w:cs="Times New Roman"/>
          <w:lang w:eastAsia="ru-RU"/>
        </w:rPr>
        <w:t>В рамках проведения кадастровой оценки ГБУ РС(Я) «Центр государственной кадастровой оценки» взаимодействовало с органами местного самоуправления в части сбора значений ценообразующих факторов.</w:t>
      </w:r>
    </w:p>
    <w:p w14:paraId="5FFEC4B2" w14:textId="77777777" w:rsidR="00874C1F" w:rsidRDefault="00874C1F" w:rsidP="00874C1F">
      <w:pPr>
        <w:ind w:firstLine="709"/>
        <w:rPr>
          <w:rFonts w:cs="Times New Roman"/>
          <w:lang w:eastAsia="ru-RU"/>
        </w:rPr>
      </w:pPr>
      <w:r>
        <w:rPr>
          <w:rFonts w:cs="Times New Roman"/>
          <w:lang w:eastAsia="ru-RU"/>
        </w:rPr>
        <w:t xml:space="preserve">Для целей сбора информации создан Общий регламент работы для муниципальных образований, в соответствии с которым ГБУ РС(Я) «Центр государственной кадастровой оценки» подготовило формы сбора, инструкции по заполнению данных форм и направило запросы сведений в адрес органов местного самоуправления муниципальных образований. В свою очередь, сотрудники органов местного самоуправления муниципальных образований обеспечили заполнение форм сбора исходной информации соответствующими структурными подразделениями администрации муниципального района или городского округа, подведомственными организациями или муниципальными образованиями уровня «поселения». </w:t>
      </w:r>
    </w:p>
    <w:p w14:paraId="518F2D97" w14:textId="7DF64E2E" w:rsidR="00874C1F" w:rsidRDefault="00874C1F" w:rsidP="00874C1F">
      <w:pPr>
        <w:rPr>
          <w:rFonts w:cs="Times New Roman"/>
          <w:sz w:val="22"/>
        </w:rPr>
      </w:pPr>
      <w:r>
        <w:rPr>
          <w:rFonts w:cs="Times New Roman"/>
        </w:rPr>
        <w:t xml:space="preserve">В целях определения значений графических ценообразующих факторов для объектов оценки </w:t>
      </w:r>
      <w:r w:rsidRPr="00726D2F">
        <w:rPr>
          <w:rFonts w:cs="Times New Roman"/>
        </w:rPr>
        <w:t xml:space="preserve">и объектов-аналогов были сформированы цифровые тематические карты (далее – ЦТК) на </w:t>
      </w:r>
      <w:r w:rsidR="00726D2F" w:rsidRPr="00726D2F">
        <w:rPr>
          <w:rFonts w:cs="Times New Roman"/>
        </w:rPr>
        <w:t>27</w:t>
      </w:r>
      <w:r w:rsidRPr="00726D2F">
        <w:rPr>
          <w:rFonts w:cs="Times New Roman"/>
        </w:rPr>
        <w:t xml:space="preserve"> крупных населенных</w:t>
      </w:r>
      <w:r>
        <w:rPr>
          <w:rFonts w:cs="Times New Roman"/>
        </w:rPr>
        <w:t xml:space="preserve"> пункт</w:t>
      </w:r>
      <w:r w:rsidR="00726D2F">
        <w:rPr>
          <w:rFonts w:cs="Times New Roman"/>
        </w:rPr>
        <w:t>ов</w:t>
      </w:r>
      <w:r w:rsidR="006B7D62">
        <w:rPr>
          <w:rFonts w:cs="Times New Roman"/>
        </w:rPr>
        <w:t>.</w:t>
      </w:r>
      <w:r>
        <w:rPr>
          <w:rFonts w:cs="Times New Roman"/>
        </w:rPr>
        <w:t xml:space="preserve"> </w:t>
      </w:r>
    </w:p>
    <w:p w14:paraId="520E345E" w14:textId="62E219AA" w:rsidR="002B0EBF" w:rsidRPr="0027086D" w:rsidRDefault="00070986" w:rsidP="000A06ED">
      <w:pPr>
        <w:ind w:firstLine="567"/>
        <w:rPr>
          <w:rFonts w:cs="Times New Roman"/>
          <w:szCs w:val="24"/>
        </w:rPr>
      </w:pPr>
      <w:r w:rsidRPr="0027086D">
        <w:rPr>
          <w:rFonts w:cs="Times New Roman"/>
          <w:szCs w:val="24"/>
        </w:rPr>
        <w:t>Сведения о ценообразующих факторах, использованных при определении кадастровой стоимости</w:t>
      </w:r>
      <w:r w:rsidR="00D1066D" w:rsidRPr="0027086D">
        <w:rPr>
          <w:rFonts w:cs="Times New Roman"/>
          <w:szCs w:val="24"/>
        </w:rPr>
        <w:t xml:space="preserve"> в разрезе групп (подгрупп) оценки</w:t>
      </w:r>
      <w:r w:rsidR="002B0EBF" w:rsidRPr="0027086D">
        <w:rPr>
          <w:rFonts w:cs="Times New Roman"/>
          <w:szCs w:val="24"/>
        </w:rPr>
        <w:t xml:space="preserve">, представлены в Приложении </w:t>
      </w:r>
      <w:r w:rsidR="00CC47BA" w:rsidRPr="00CC47BA">
        <w:rPr>
          <w:rFonts w:cs="Times New Roman"/>
          <w:szCs w:val="24"/>
        </w:rPr>
        <w:t>1.</w:t>
      </w:r>
      <w:r w:rsidR="00D35935">
        <w:rPr>
          <w:rFonts w:cs="Times New Roman"/>
          <w:szCs w:val="24"/>
        </w:rPr>
        <w:t>4</w:t>
      </w:r>
      <w:r w:rsidR="00CC47BA" w:rsidRPr="00CC47BA">
        <w:rPr>
          <w:rFonts w:cs="Times New Roman"/>
          <w:szCs w:val="24"/>
        </w:rPr>
        <w:t xml:space="preserve"> Исходные данные для определения ЦФ</w:t>
      </w:r>
      <w:r w:rsidR="00AC1DE9">
        <w:rPr>
          <w:rFonts w:cs="Times New Roman"/>
          <w:szCs w:val="24"/>
        </w:rPr>
        <w:t>.</w:t>
      </w:r>
    </w:p>
    <w:p w14:paraId="110B6D44" w14:textId="0D836DAD" w:rsidR="009A427E" w:rsidRPr="0027086D" w:rsidRDefault="002B0EBF" w:rsidP="000A06ED">
      <w:pPr>
        <w:ind w:firstLine="567"/>
        <w:rPr>
          <w:rFonts w:cs="Times New Roman"/>
          <w:szCs w:val="24"/>
        </w:rPr>
      </w:pPr>
      <w:r w:rsidRPr="00726D2F">
        <w:rPr>
          <w:rFonts w:cs="Times New Roman"/>
          <w:szCs w:val="24"/>
        </w:rPr>
        <w:t>Сведения о</w:t>
      </w:r>
      <w:r w:rsidR="00070986" w:rsidRPr="00726D2F">
        <w:rPr>
          <w:rFonts w:cs="Times New Roman"/>
          <w:szCs w:val="24"/>
        </w:rPr>
        <w:t xml:space="preserve"> значениях </w:t>
      </w:r>
      <w:r w:rsidRPr="00726D2F">
        <w:rPr>
          <w:rFonts w:cs="Times New Roman"/>
          <w:szCs w:val="24"/>
        </w:rPr>
        <w:t>ценообразующих</w:t>
      </w:r>
      <w:r w:rsidR="00070986" w:rsidRPr="00726D2F">
        <w:rPr>
          <w:rFonts w:cs="Times New Roman"/>
          <w:szCs w:val="24"/>
        </w:rPr>
        <w:t xml:space="preserve"> факторов (для каждого объекта недвижимости) представлены в П</w:t>
      </w:r>
      <w:r w:rsidR="001B19A5" w:rsidRPr="00726D2F">
        <w:rPr>
          <w:rFonts w:cs="Times New Roman"/>
          <w:szCs w:val="24"/>
        </w:rPr>
        <w:t xml:space="preserve">риложении </w:t>
      </w:r>
      <w:r w:rsidR="00726D2F" w:rsidRPr="00726D2F">
        <w:rPr>
          <w:rFonts w:cs="Times New Roman"/>
          <w:szCs w:val="24"/>
        </w:rPr>
        <w:t>2.2. к Отчету по каждой группе</w:t>
      </w:r>
      <w:r w:rsidR="001B19A5" w:rsidRPr="00726D2F">
        <w:rPr>
          <w:rFonts w:cs="Times New Roman"/>
          <w:szCs w:val="24"/>
        </w:rPr>
        <w:t>.</w:t>
      </w:r>
    </w:p>
    <w:p w14:paraId="506650FF" w14:textId="77777777" w:rsidR="002C3DDD" w:rsidRDefault="002C3DDD" w:rsidP="00042D69">
      <w:pPr>
        <w:rPr>
          <w:rFonts w:cs="Times New Roman"/>
          <w:szCs w:val="24"/>
        </w:rPr>
      </w:pPr>
    </w:p>
    <w:p w14:paraId="0F6EBCFF" w14:textId="0A6CB226" w:rsidR="003F26E6" w:rsidRDefault="003F26E6" w:rsidP="00FD2769">
      <w:pPr>
        <w:pStyle w:val="3"/>
        <w:rPr>
          <w:rFonts w:eastAsia="Calibri"/>
          <w:lang w:eastAsia="zh-CN"/>
        </w:rPr>
      </w:pPr>
      <w:bookmarkStart w:id="64" w:name="_Toc14819106"/>
      <w:r w:rsidRPr="005A6921">
        <w:rPr>
          <w:rFonts w:eastAsia="Calibri"/>
          <w:lang w:eastAsia="zh-CN"/>
        </w:rPr>
        <w:t>Обоснование моделей (методов) оценки кадастровой стоимости</w:t>
      </w:r>
      <w:bookmarkEnd w:id="64"/>
    </w:p>
    <w:p w14:paraId="2FA33404" w14:textId="77777777" w:rsidR="003F26E6" w:rsidRDefault="003F26E6" w:rsidP="00042D69">
      <w:pPr>
        <w:rPr>
          <w:rFonts w:cs="Times New Roman"/>
          <w:szCs w:val="24"/>
        </w:rPr>
      </w:pPr>
    </w:p>
    <w:p w14:paraId="1FA49AAC" w14:textId="2E54408A" w:rsidR="00900409" w:rsidRPr="00900409" w:rsidRDefault="00900409" w:rsidP="00900409">
      <w:pPr>
        <w:ind w:firstLine="567"/>
        <w:rPr>
          <w:rFonts w:cs="Times New Roman"/>
          <w:szCs w:val="24"/>
        </w:rPr>
      </w:pPr>
      <w:r w:rsidRPr="00900409">
        <w:rPr>
          <w:rFonts w:cs="Times New Roman"/>
          <w:szCs w:val="24"/>
        </w:rPr>
        <w:t xml:space="preserve">Согласно </w:t>
      </w:r>
      <w:r>
        <w:rPr>
          <w:rFonts w:cs="Times New Roman"/>
          <w:szCs w:val="24"/>
        </w:rPr>
        <w:t>Главы 7</w:t>
      </w:r>
      <w:r w:rsidRPr="00900409">
        <w:rPr>
          <w:rFonts w:cs="Times New Roman"/>
          <w:szCs w:val="24"/>
        </w:rPr>
        <w:t xml:space="preserve"> Методических указаний, при определении кадастровой стоимости методами массовой оценки, рекомендуется рассматривать три подхода к оценке: сравнительный, затратный и доходный.</w:t>
      </w:r>
    </w:p>
    <w:p w14:paraId="08CE788D" w14:textId="77777777" w:rsidR="00900409" w:rsidRPr="00900409" w:rsidRDefault="00900409" w:rsidP="00900409">
      <w:pPr>
        <w:ind w:firstLine="567"/>
        <w:rPr>
          <w:rFonts w:cs="Times New Roman"/>
          <w:szCs w:val="24"/>
        </w:rPr>
      </w:pPr>
      <w:r w:rsidRPr="00900409">
        <w:rPr>
          <w:rFonts w:cs="Times New Roman"/>
          <w:b/>
          <w:szCs w:val="24"/>
        </w:rPr>
        <w:t>Сравнительному подходу</w:t>
      </w:r>
      <w:r w:rsidRPr="00900409">
        <w:rPr>
          <w:rFonts w:cs="Times New Roman"/>
          <w:szCs w:val="24"/>
        </w:rPr>
        <w:t xml:space="preserve"> отдается предпочтение перед другими подходами к оценке при развитости рынка объектов недвижимости и при достаточности и репрезентативности информации о сделках (предложениях) с объектами недвижимости.</w:t>
      </w:r>
    </w:p>
    <w:p w14:paraId="73F3784F" w14:textId="77777777" w:rsidR="00900409" w:rsidRPr="00900409" w:rsidRDefault="00900409" w:rsidP="00900409">
      <w:pPr>
        <w:ind w:firstLine="567"/>
        <w:rPr>
          <w:rFonts w:cs="Times New Roman"/>
          <w:szCs w:val="24"/>
        </w:rPr>
      </w:pPr>
      <w:r w:rsidRPr="00900409">
        <w:rPr>
          <w:rFonts w:cs="Times New Roman"/>
          <w:szCs w:val="24"/>
        </w:rPr>
        <w:t>Определение кадастровой стоимости в рамках сравнительного подхода осуществляется одним из следующих способов (методов): метод статистического (регрессионного) моделирования; метод типового (эталонного) объекта недвижимости; метод моделирования на основе удельных показателей кадастровой стоимости (УПКС); метод индексации прошлых результатов.</w:t>
      </w:r>
    </w:p>
    <w:p w14:paraId="5E5B6CA7" w14:textId="77777777" w:rsidR="00900409" w:rsidRPr="00900409" w:rsidRDefault="00900409" w:rsidP="00900409">
      <w:pPr>
        <w:ind w:firstLine="567"/>
        <w:rPr>
          <w:rFonts w:cs="Times New Roman"/>
          <w:szCs w:val="24"/>
        </w:rPr>
      </w:pPr>
      <w:r w:rsidRPr="00900409">
        <w:rPr>
          <w:rFonts w:cs="Times New Roman"/>
          <w:szCs w:val="24"/>
          <w:u w:val="single"/>
        </w:rPr>
        <w:t>Метод статистического (регрессионного) моделирования</w:t>
      </w:r>
      <w:r w:rsidRPr="00900409">
        <w:rPr>
          <w:rFonts w:cs="Times New Roman"/>
          <w:szCs w:val="24"/>
        </w:rPr>
        <w:t xml:space="preserve"> основан на построении статистической модели оценки.</w:t>
      </w:r>
    </w:p>
    <w:p w14:paraId="7464298B" w14:textId="77777777" w:rsidR="00900409" w:rsidRPr="00900409" w:rsidRDefault="00900409" w:rsidP="00900409">
      <w:pPr>
        <w:ind w:firstLine="567"/>
        <w:rPr>
          <w:rFonts w:cs="Times New Roman"/>
          <w:szCs w:val="24"/>
        </w:rPr>
      </w:pPr>
      <w:r w:rsidRPr="00900409">
        <w:rPr>
          <w:rFonts w:cs="Times New Roman"/>
          <w:szCs w:val="24"/>
        </w:rPr>
        <w:t>Под статистической моделью оценки понимается математическая формула, отображающая связь между зависимой переменной (кадастровая стоимость) и значениями независимых переменных (ценообразующие факторы объектов недвижимости).</w:t>
      </w:r>
    </w:p>
    <w:p w14:paraId="419AA265" w14:textId="77777777" w:rsidR="00900409" w:rsidRPr="00900409" w:rsidRDefault="00900409" w:rsidP="00900409">
      <w:pPr>
        <w:ind w:firstLine="567"/>
        <w:rPr>
          <w:rFonts w:cs="Times New Roman"/>
          <w:szCs w:val="24"/>
        </w:rPr>
      </w:pPr>
      <w:r w:rsidRPr="00900409">
        <w:rPr>
          <w:rFonts w:cs="Times New Roman"/>
          <w:szCs w:val="24"/>
        </w:rPr>
        <w:t>Порядок подготовки и построения модели оценки кадастровой стоимости включает:</w:t>
      </w:r>
    </w:p>
    <w:p w14:paraId="6454E1EB" w14:textId="77777777" w:rsidR="00900409" w:rsidRPr="00900409" w:rsidRDefault="00900409" w:rsidP="00C106B5">
      <w:pPr>
        <w:pStyle w:val="af0"/>
        <w:numPr>
          <w:ilvl w:val="0"/>
          <w:numId w:val="101"/>
        </w:numPr>
        <w:rPr>
          <w:rFonts w:cs="Times New Roman"/>
          <w:szCs w:val="24"/>
        </w:rPr>
      </w:pPr>
      <w:r w:rsidRPr="00900409">
        <w:rPr>
          <w:rFonts w:cs="Times New Roman"/>
          <w:szCs w:val="24"/>
        </w:rPr>
        <w:t>определение перечня ценообразующих факторов, описывающих влияние местоположения объектов недвижимости как составного фактора;</w:t>
      </w:r>
    </w:p>
    <w:p w14:paraId="276BDD6C" w14:textId="77777777" w:rsidR="00900409" w:rsidRPr="00900409" w:rsidRDefault="00900409" w:rsidP="00C106B5">
      <w:pPr>
        <w:pStyle w:val="af0"/>
        <w:numPr>
          <w:ilvl w:val="0"/>
          <w:numId w:val="101"/>
        </w:numPr>
        <w:rPr>
          <w:rFonts w:cs="Times New Roman"/>
          <w:szCs w:val="24"/>
        </w:rPr>
      </w:pPr>
      <w:r w:rsidRPr="00900409">
        <w:rPr>
          <w:rFonts w:cs="Times New Roman"/>
          <w:szCs w:val="24"/>
        </w:rPr>
        <w:t>определение состава ценообразующих факторов, включаемых в статистическую модель, с учетом местоположения объектов недвижимости;</w:t>
      </w:r>
    </w:p>
    <w:p w14:paraId="701A4509" w14:textId="77777777" w:rsidR="00900409" w:rsidRPr="00900409" w:rsidRDefault="00900409" w:rsidP="00C106B5">
      <w:pPr>
        <w:pStyle w:val="af0"/>
        <w:numPr>
          <w:ilvl w:val="0"/>
          <w:numId w:val="101"/>
        </w:numPr>
        <w:rPr>
          <w:rFonts w:cs="Times New Roman"/>
          <w:szCs w:val="24"/>
        </w:rPr>
      </w:pPr>
      <w:r w:rsidRPr="00900409">
        <w:rPr>
          <w:rFonts w:cs="Times New Roman"/>
          <w:szCs w:val="24"/>
        </w:rPr>
        <w:t>определение общего вида функций, связывающих зависимую переменную с каждым из ценообразующих факторов;</w:t>
      </w:r>
    </w:p>
    <w:p w14:paraId="3AD74B14" w14:textId="77777777" w:rsidR="00900409" w:rsidRPr="00900409" w:rsidRDefault="00900409" w:rsidP="00C106B5">
      <w:pPr>
        <w:pStyle w:val="af0"/>
        <w:numPr>
          <w:ilvl w:val="0"/>
          <w:numId w:val="101"/>
        </w:numPr>
        <w:rPr>
          <w:rFonts w:cs="Times New Roman"/>
          <w:szCs w:val="24"/>
        </w:rPr>
      </w:pPr>
      <w:r w:rsidRPr="00900409">
        <w:rPr>
          <w:rFonts w:cs="Times New Roman"/>
          <w:szCs w:val="24"/>
        </w:rPr>
        <w:t>определение конкретного вида зависимостей переменной от ценообразующих факторов (с построением графиков) и расчет коэффициентов статистической модели;</w:t>
      </w:r>
    </w:p>
    <w:p w14:paraId="70680BD0" w14:textId="77777777" w:rsidR="00900409" w:rsidRPr="00900409" w:rsidRDefault="00900409" w:rsidP="00C106B5">
      <w:pPr>
        <w:pStyle w:val="af0"/>
        <w:numPr>
          <w:ilvl w:val="0"/>
          <w:numId w:val="101"/>
        </w:numPr>
        <w:rPr>
          <w:rFonts w:cs="Times New Roman"/>
          <w:szCs w:val="24"/>
        </w:rPr>
      </w:pPr>
      <w:r w:rsidRPr="00900409">
        <w:rPr>
          <w:rFonts w:cs="Times New Roman"/>
          <w:szCs w:val="24"/>
        </w:rPr>
        <w:t>анализ показателей качества статистической модели;</w:t>
      </w:r>
    </w:p>
    <w:p w14:paraId="629A2AB0" w14:textId="77777777" w:rsidR="00900409" w:rsidRPr="00900409" w:rsidRDefault="00900409" w:rsidP="00900409">
      <w:pPr>
        <w:ind w:firstLine="567"/>
        <w:rPr>
          <w:rFonts w:cs="Times New Roman"/>
          <w:szCs w:val="24"/>
        </w:rPr>
      </w:pPr>
      <w:r w:rsidRPr="00900409">
        <w:rPr>
          <w:rFonts w:cs="Times New Roman"/>
          <w:szCs w:val="24"/>
        </w:rPr>
        <w:t>Для определения кадастровой стоимости для каждой сформированной группы (подгруппы) объектов недвижимости осуществляется построение статистической модели, отражающей сложившиеся на рассматриваемом рынке закономерности ценообразования. Учитывая нелинейный характер большинства зависимостей на больших пространственных рынках, необходимо строить статистические модели с индивидуально определенным для каждого ценообразующего фактора видом функции влияния. Полученные функции влияния каждого ценообразующего фактора подвергаются анализу их общего вида на соответствие выявленным закономерностям ценообразования.</w:t>
      </w:r>
    </w:p>
    <w:p w14:paraId="4F649327" w14:textId="77777777" w:rsidR="00900409" w:rsidRPr="00900409" w:rsidRDefault="00900409" w:rsidP="00900409">
      <w:pPr>
        <w:ind w:firstLine="567"/>
        <w:rPr>
          <w:rFonts w:cs="Times New Roman"/>
          <w:szCs w:val="24"/>
        </w:rPr>
      </w:pPr>
      <w:r w:rsidRPr="00900409">
        <w:rPr>
          <w:rFonts w:cs="Times New Roman"/>
          <w:szCs w:val="24"/>
          <w:u w:val="single"/>
        </w:rPr>
        <w:t>Метода типового (эталонного) объекта недвижимости</w:t>
      </w:r>
      <w:r w:rsidRPr="00900409">
        <w:rPr>
          <w:rFonts w:cs="Times New Roman"/>
          <w:szCs w:val="24"/>
        </w:rPr>
        <w:t xml:space="preserve"> определяется стоимость типового (эталонного) объекта. В стоимость типового (эталонного) объекта могут вноситься корректировки, учитывающие отличие ценообразующих характеристик объекта недвижимости от типового (эталонного) объекта недвижимости.</w:t>
      </w:r>
    </w:p>
    <w:p w14:paraId="606E2A9D" w14:textId="77777777" w:rsidR="00900409" w:rsidRPr="00900409" w:rsidRDefault="00900409" w:rsidP="00900409">
      <w:pPr>
        <w:ind w:firstLine="567"/>
        <w:rPr>
          <w:rFonts w:cs="Times New Roman"/>
          <w:szCs w:val="24"/>
        </w:rPr>
      </w:pPr>
      <w:r w:rsidRPr="00900409">
        <w:rPr>
          <w:rFonts w:cs="Times New Roman"/>
          <w:szCs w:val="24"/>
        </w:rPr>
        <w:t>Метод типового (эталонного) объекта недвижимости заключается в следующем:</w:t>
      </w:r>
    </w:p>
    <w:p w14:paraId="7D65B501" w14:textId="77777777" w:rsidR="00900409" w:rsidRPr="00900409" w:rsidRDefault="00900409" w:rsidP="00C106B5">
      <w:pPr>
        <w:pStyle w:val="af0"/>
        <w:numPr>
          <w:ilvl w:val="0"/>
          <w:numId w:val="102"/>
        </w:numPr>
        <w:rPr>
          <w:rFonts w:cs="Times New Roman"/>
          <w:szCs w:val="24"/>
        </w:rPr>
      </w:pPr>
      <w:r w:rsidRPr="00900409">
        <w:rPr>
          <w:rFonts w:cs="Times New Roman"/>
          <w:szCs w:val="24"/>
        </w:rPr>
        <w:t>определяется группа (подгруппа) объектов недвижимости, в которой возможно (целесообразно) типологизировать объекты недвижимости;</w:t>
      </w:r>
    </w:p>
    <w:p w14:paraId="41DDDDC0" w14:textId="77777777" w:rsidR="00900409" w:rsidRPr="00900409" w:rsidRDefault="00900409" w:rsidP="00C106B5">
      <w:pPr>
        <w:pStyle w:val="af0"/>
        <w:numPr>
          <w:ilvl w:val="0"/>
          <w:numId w:val="102"/>
        </w:numPr>
        <w:rPr>
          <w:rFonts w:cs="Times New Roman"/>
          <w:szCs w:val="24"/>
        </w:rPr>
      </w:pPr>
      <w:r w:rsidRPr="00900409">
        <w:rPr>
          <w:rFonts w:cs="Times New Roman"/>
          <w:szCs w:val="24"/>
        </w:rPr>
        <w:t>определяется основание типологизации - характеристика или группа характеристик объектов недвижимости, на основании которых можно их сгруппировать;</w:t>
      </w:r>
    </w:p>
    <w:p w14:paraId="7790E849" w14:textId="77777777" w:rsidR="00900409" w:rsidRPr="00900409" w:rsidRDefault="00900409" w:rsidP="00C106B5">
      <w:pPr>
        <w:pStyle w:val="af0"/>
        <w:numPr>
          <w:ilvl w:val="0"/>
          <w:numId w:val="102"/>
        </w:numPr>
        <w:rPr>
          <w:rFonts w:cs="Times New Roman"/>
          <w:szCs w:val="24"/>
        </w:rPr>
      </w:pPr>
      <w:r w:rsidRPr="00900409">
        <w:rPr>
          <w:rFonts w:cs="Times New Roman"/>
          <w:szCs w:val="24"/>
        </w:rPr>
        <w:t>проводится типологизация объектов недвижимости;</w:t>
      </w:r>
    </w:p>
    <w:p w14:paraId="0D2C3B0C" w14:textId="77777777" w:rsidR="00900409" w:rsidRPr="00900409" w:rsidRDefault="00900409" w:rsidP="00C106B5">
      <w:pPr>
        <w:pStyle w:val="af0"/>
        <w:numPr>
          <w:ilvl w:val="0"/>
          <w:numId w:val="102"/>
        </w:numPr>
        <w:rPr>
          <w:rFonts w:cs="Times New Roman"/>
          <w:szCs w:val="24"/>
        </w:rPr>
      </w:pPr>
      <w:r w:rsidRPr="00900409">
        <w:rPr>
          <w:rFonts w:cs="Times New Roman"/>
          <w:szCs w:val="24"/>
        </w:rPr>
        <w:t>формируется типовой (эталонный) объект недвижимости;</w:t>
      </w:r>
    </w:p>
    <w:p w14:paraId="74E1FF04" w14:textId="77777777" w:rsidR="00900409" w:rsidRPr="00900409" w:rsidRDefault="00900409" w:rsidP="00C106B5">
      <w:pPr>
        <w:pStyle w:val="af0"/>
        <w:numPr>
          <w:ilvl w:val="0"/>
          <w:numId w:val="102"/>
        </w:numPr>
        <w:rPr>
          <w:rFonts w:cs="Times New Roman"/>
          <w:szCs w:val="24"/>
        </w:rPr>
      </w:pPr>
      <w:r w:rsidRPr="00900409">
        <w:rPr>
          <w:rFonts w:cs="Times New Roman"/>
          <w:szCs w:val="24"/>
        </w:rPr>
        <w:t>определяется стоимость типового (эталонного) объекта недвижимости;</w:t>
      </w:r>
    </w:p>
    <w:p w14:paraId="1D013D7B" w14:textId="77777777" w:rsidR="00900409" w:rsidRPr="00900409" w:rsidRDefault="00900409" w:rsidP="00C106B5">
      <w:pPr>
        <w:pStyle w:val="af0"/>
        <w:numPr>
          <w:ilvl w:val="0"/>
          <w:numId w:val="102"/>
        </w:numPr>
        <w:rPr>
          <w:rFonts w:cs="Times New Roman"/>
          <w:szCs w:val="24"/>
        </w:rPr>
      </w:pPr>
      <w:r w:rsidRPr="00900409">
        <w:rPr>
          <w:rFonts w:cs="Times New Roman"/>
          <w:szCs w:val="24"/>
        </w:rPr>
        <w:t>корректируются стоимости объектов недвижимости при распространении на них стоимости типового (эталонного) объекта недвижимости.</w:t>
      </w:r>
    </w:p>
    <w:p w14:paraId="53A0696E" w14:textId="77777777" w:rsidR="00900409" w:rsidRPr="00900409" w:rsidRDefault="00900409" w:rsidP="00900409">
      <w:pPr>
        <w:ind w:firstLine="567"/>
        <w:rPr>
          <w:rFonts w:cs="Times New Roman"/>
          <w:szCs w:val="24"/>
        </w:rPr>
      </w:pPr>
      <w:r w:rsidRPr="00900409">
        <w:rPr>
          <w:rFonts w:cs="Times New Roman"/>
          <w:szCs w:val="24"/>
          <w:u w:val="single"/>
        </w:rPr>
        <w:t>Метод моделирования на основе УПКС</w:t>
      </w:r>
      <w:r w:rsidRPr="00900409">
        <w:rPr>
          <w:rFonts w:cs="Times New Roman"/>
          <w:szCs w:val="24"/>
        </w:rPr>
        <w:t xml:space="preserve"> применяется в случаях, когда отсутствует возможность применения метода статистического (регрессионного) моделирования, метода типового (эталонного) объекта недвижимости, а также методов индивидуальной оценки, вследствие недостатка информации о точном местоположении (адресе) объекта недвижимости, о других точных его характеристиках, то есть когда, в частности, отсутствуют значения ценообразующих факторов, которые необходимо было бы подставить в статистическую модель, полученную в результате применения метода статистического (регрессионного) моделирования, или для применения метода (эталонного) типового объекта недвижимости. Метод может применяться для определения кадастровой стоимости ОНС или объектов неопределенного вида использования.</w:t>
      </w:r>
    </w:p>
    <w:p w14:paraId="4BF98151" w14:textId="77777777" w:rsidR="00900409" w:rsidRPr="00900409" w:rsidRDefault="00900409" w:rsidP="00900409">
      <w:pPr>
        <w:ind w:firstLine="567"/>
        <w:rPr>
          <w:rFonts w:cs="Times New Roman"/>
          <w:szCs w:val="24"/>
        </w:rPr>
      </w:pPr>
      <w:r w:rsidRPr="00900409">
        <w:rPr>
          <w:rFonts w:cs="Times New Roman"/>
          <w:szCs w:val="24"/>
        </w:rPr>
        <w:t>Метод заключается в следующем:</w:t>
      </w:r>
    </w:p>
    <w:p w14:paraId="3DE2F0E5" w14:textId="77777777" w:rsidR="00900409" w:rsidRPr="00900409" w:rsidRDefault="00900409" w:rsidP="00C106B5">
      <w:pPr>
        <w:pStyle w:val="af0"/>
        <w:numPr>
          <w:ilvl w:val="0"/>
          <w:numId w:val="103"/>
        </w:numPr>
        <w:rPr>
          <w:rFonts w:cs="Times New Roman"/>
          <w:szCs w:val="24"/>
        </w:rPr>
      </w:pPr>
      <w:r w:rsidRPr="00900409">
        <w:rPr>
          <w:rFonts w:cs="Times New Roman"/>
          <w:szCs w:val="24"/>
        </w:rPr>
        <w:t>определяется уровень детализации расположения объекта недвижимости (кадастровый квартал, населенный пункт, муниципальное образование, субъект Российской Федерации);</w:t>
      </w:r>
    </w:p>
    <w:p w14:paraId="46404D52" w14:textId="77777777" w:rsidR="00900409" w:rsidRPr="00900409" w:rsidRDefault="00900409" w:rsidP="00C106B5">
      <w:pPr>
        <w:pStyle w:val="af0"/>
        <w:numPr>
          <w:ilvl w:val="0"/>
          <w:numId w:val="103"/>
        </w:numPr>
        <w:rPr>
          <w:rFonts w:cs="Times New Roman"/>
          <w:szCs w:val="24"/>
        </w:rPr>
      </w:pPr>
      <w:r w:rsidRPr="00900409">
        <w:rPr>
          <w:rFonts w:cs="Times New Roman"/>
          <w:szCs w:val="24"/>
        </w:rPr>
        <w:t>определяется среднее значение УПКС объектов недвижимости, имеющих сходство по виду использования групп (подгрупп) объектов недвижимости, существующих в пределах территориальной единицы (кадастровый квартал, населенный пункт, муниципальное образование, субъект Российской Федерации), в которой расположен объект недвижимости;</w:t>
      </w:r>
    </w:p>
    <w:p w14:paraId="2BE30B3F" w14:textId="77777777" w:rsidR="00900409" w:rsidRPr="00900409" w:rsidRDefault="00900409" w:rsidP="00C106B5">
      <w:pPr>
        <w:pStyle w:val="af0"/>
        <w:numPr>
          <w:ilvl w:val="0"/>
          <w:numId w:val="103"/>
        </w:numPr>
        <w:rPr>
          <w:rFonts w:cs="Times New Roman"/>
          <w:szCs w:val="24"/>
        </w:rPr>
      </w:pPr>
      <w:r w:rsidRPr="00900409">
        <w:rPr>
          <w:rFonts w:cs="Times New Roman"/>
          <w:szCs w:val="24"/>
        </w:rPr>
        <w:t>кадастровая стоимость объекта недвижимости определяется путем умножения среднего значения УПКС объектов недвижимости, схожих по виду использования групп (подгрупп) объектов недвижимости по кадастровому кварталу (в случае отсутствия в кадастровом квартале - в населенном пункте, муниципальном образовании, субъекте Российской Федерации), в котором расположен объект недвижимости, на его площадь, объем, иные характеристики.</w:t>
      </w:r>
    </w:p>
    <w:p w14:paraId="40333C2A" w14:textId="77777777" w:rsidR="00900409" w:rsidRPr="00900409" w:rsidRDefault="00900409" w:rsidP="00900409">
      <w:pPr>
        <w:ind w:firstLine="567"/>
        <w:rPr>
          <w:rFonts w:cs="Times New Roman"/>
          <w:szCs w:val="24"/>
        </w:rPr>
      </w:pPr>
      <w:r w:rsidRPr="00900409">
        <w:rPr>
          <w:rFonts w:cs="Times New Roman"/>
          <w:szCs w:val="24"/>
          <w:u w:val="single"/>
        </w:rPr>
        <w:t>Метод индексации</w:t>
      </w:r>
      <w:r w:rsidRPr="00900409">
        <w:rPr>
          <w:rFonts w:cs="Times New Roman"/>
          <w:szCs w:val="24"/>
        </w:rPr>
        <w:t xml:space="preserve"> прошлых результатов заключается в индексировании значений кадастровой стоимости ОКС, установленных в результате предыдущей государственной кадастровой оценки.</w:t>
      </w:r>
    </w:p>
    <w:p w14:paraId="0897EDA7" w14:textId="77777777" w:rsidR="00900409" w:rsidRPr="00900409" w:rsidRDefault="00900409" w:rsidP="00900409">
      <w:pPr>
        <w:ind w:firstLine="567"/>
        <w:rPr>
          <w:rFonts w:cs="Times New Roman"/>
          <w:szCs w:val="24"/>
        </w:rPr>
      </w:pPr>
      <w:r w:rsidRPr="00900409">
        <w:rPr>
          <w:rFonts w:cs="Times New Roman"/>
          <w:szCs w:val="24"/>
        </w:rPr>
        <w:t>Метод применяется в случае невозможности применения иных методов сравнительного подхода для ОКС, по которым полностью отсутствуют характеристики, а также в случаях, предусмотренных пунктом 8.6 Методических указаний.</w:t>
      </w:r>
    </w:p>
    <w:p w14:paraId="4784E3B4" w14:textId="77777777" w:rsidR="00900409" w:rsidRPr="00900409" w:rsidRDefault="00900409" w:rsidP="00900409">
      <w:pPr>
        <w:ind w:firstLine="567"/>
        <w:rPr>
          <w:rFonts w:cs="Times New Roman"/>
          <w:szCs w:val="24"/>
        </w:rPr>
      </w:pPr>
      <w:r w:rsidRPr="00900409">
        <w:rPr>
          <w:rFonts w:cs="Times New Roman"/>
          <w:szCs w:val="24"/>
        </w:rPr>
        <w:t>Индексы рассчитываются самостоятельно на основании соотношения кадастровых стоимостей, полученных по итогам государственных кадастровых оценок, в порядке приоритета: по подгруппе, группе, в целом по виду объектов недвижимости, а также на основании данных рынка недвижимости.</w:t>
      </w:r>
    </w:p>
    <w:p w14:paraId="50204788" w14:textId="77777777" w:rsidR="00900409" w:rsidRPr="00900409" w:rsidRDefault="00900409" w:rsidP="00900409">
      <w:pPr>
        <w:ind w:firstLine="567"/>
        <w:rPr>
          <w:rFonts w:cs="Times New Roman"/>
          <w:szCs w:val="24"/>
        </w:rPr>
      </w:pPr>
      <w:r w:rsidRPr="00900409">
        <w:rPr>
          <w:rFonts w:cs="Times New Roman"/>
          <w:b/>
          <w:szCs w:val="24"/>
        </w:rPr>
        <w:t>Затратный подход</w:t>
      </w:r>
      <w:r w:rsidRPr="00900409">
        <w:rPr>
          <w:rFonts w:cs="Times New Roman"/>
          <w:szCs w:val="24"/>
        </w:rPr>
        <w:t xml:space="preserve"> используется при определении кадастровой стоимости ОКС.</w:t>
      </w:r>
    </w:p>
    <w:p w14:paraId="01650FC4" w14:textId="77777777" w:rsidR="00900409" w:rsidRPr="00900409" w:rsidRDefault="00900409" w:rsidP="00900409">
      <w:pPr>
        <w:ind w:firstLine="567"/>
        <w:rPr>
          <w:rFonts w:cs="Times New Roman"/>
          <w:szCs w:val="24"/>
        </w:rPr>
      </w:pPr>
      <w:r w:rsidRPr="00900409">
        <w:rPr>
          <w:rFonts w:cs="Times New Roman"/>
          <w:szCs w:val="24"/>
        </w:rPr>
        <w:t>Затратный подход не рекомендуется применять при оценке земельных участков, за исключением:</w:t>
      </w:r>
    </w:p>
    <w:p w14:paraId="1D1A8023" w14:textId="77777777" w:rsidR="00900409" w:rsidRPr="00900409" w:rsidRDefault="00900409" w:rsidP="00C106B5">
      <w:pPr>
        <w:pStyle w:val="af0"/>
        <w:numPr>
          <w:ilvl w:val="0"/>
          <w:numId w:val="104"/>
        </w:numPr>
        <w:rPr>
          <w:rFonts w:cs="Times New Roman"/>
          <w:szCs w:val="24"/>
        </w:rPr>
      </w:pPr>
      <w:r w:rsidRPr="00900409">
        <w:rPr>
          <w:rFonts w:cs="Times New Roman"/>
          <w:szCs w:val="24"/>
        </w:rPr>
        <w:t>земельных участков, предназначенных для обеспечения обороны и безопасности;</w:t>
      </w:r>
    </w:p>
    <w:p w14:paraId="1CB27F75" w14:textId="77777777" w:rsidR="00900409" w:rsidRPr="00900409" w:rsidRDefault="00900409" w:rsidP="00C106B5">
      <w:pPr>
        <w:pStyle w:val="af0"/>
        <w:numPr>
          <w:ilvl w:val="0"/>
          <w:numId w:val="104"/>
        </w:numPr>
        <w:rPr>
          <w:rFonts w:cs="Times New Roman"/>
          <w:szCs w:val="24"/>
        </w:rPr>
      </w:pPr>
      <w:r w:rsidRPr="00900409">
        <w:rPr>
          <w:rFonts w:cs="Times New Roman"/>
          <w:szCs w:val="24"/>
        </w:rPr>
        <w:t>земельных участков, предназначенных для размещения памятников (в том числе монументов, обелисков, памятных знаков);</w:t>
      </w:r>
    </w:p>
    <w:p w14:paraId="06D06816" w14:textId="77777777" w:rsidR="00900409" w:rsidRPr="00900409" w:rsidRDefault="00900409" w:rsidP="00C106B5">
      <w:pPr>
        <w:pStyle w:val="af0"/>
        <w:numPr>
          <w:ilvl w:val="0"/>
          <w:numId w:val="104"/>
        </w:numPr>
        <w:rPr>
          <w:rFonts w:cs="Times New Roman"/>
          <w:szCs w:val="24"/>
        </w:rPr>
      </w:pPr>
      <w:r w:rsidRPr="00900409">
        <w:rPr>
          <w:rFonts w:cs="Times New Roman"/>
          <w:szCs w:val="24"/>
        </w:rPr>
        <w:t>земельных участков, по которым использование других подходов приводит к значению кадастровой стоимости, меньшему, чем величина затрат, связанных с межеванием и оформлением прав на земельный участок.</w:t>
      </w:r>
    </w:p>
    <w:p w14:paraId="0435D525" w14:textId="77777777" w:rsidR="00900409" w:rsidRPr="00900409" w:rsidRDefault="00900409" w:rsidP="00900409">
      <w:pPr>
        <w:ind w:firstLine="567"/>
        <w:rPr>
          <w:rFonts w:cs="Times New Roman"/>
          <w:szCs w:val="24"/>
        </w:rPr>
      </w:pPr>
      <w:r w:rsidRPr="00900409">
        <w:rPr>
          <w:rFonts w:cs="Times New Roman"/>
          <w:szCs w:val="24"/>
        </w:rPr>
        <w:t>Моделирование в рамках затратного подхода основано на определении зависимости затрат от удельных показателей затрат на создание (замещение, воспроизводство) аналогичных объектов.</w:t>
      </w:r>
    </w:p>
    <w:p w14:paraId="203EB0AA" w14:textId="77777777" w:rsidR="00900409" w:rsidRPr="00900409" w:rsidRDefault="00900409" w:rsidP="00900409">
      <w:pPr>
        <w:ind w:firstLine="567"/>
        <w:rPr>
          <w:rFonts w:cs="Times New Roman"/>
          <w:szCs w:val="24"/>
        </w:rPr>
      </w:pPr>
      <w:r w:rsidRPr="00900409">
        <w:rPr>
          <w:rFonts w:cs="Times New Roman"/>
          <w:szCs w:val="24"/>
        </w:rPr>
        <w:t>Затраты на замещение представляют собой расчетную оценку затрат на сооружение или приобретение нового современного эквивалентного объекта недвижимости по состоянию на дату определения кадастровой стоимости. Затраты на воспроизводство представляют собой расчетную оценку затрат на сооружение или приобретение точной копии объекта недвижимости по состоянию на дату определения кадастровой стоимости.</w:t>
      </w:r>
    </w:p>
    <w:p w14:paraId="200C3F24" w14:textId="77777777" w:rsidR="00900409" w:rsidRPr="00900409" w:rsidRDefault="00900409" w:rsidP="00900409">
      <w:pPr>
        <w:ind w:firstLine="567"/>
        <w:rPr>
          <w:rFonts w:cs="Times New Roman"/>
          <w:szCs w:val="24"/>
        </w:rPr>
      </w:pPr>
      <w:r w:rsidRPr="00900409">
        <w:rPr>
          <w:rFonts w:cs="Times New Roman"/>
          <w:b/>
          <w:szCs w:val="24"/>
        </w:rPr>
        <w:t>Доходный подход</w:t>
      </w:r>
      <w:r w:rsidRPr="00900409">
        <w:rPr>
          <w:rFonts w:cs="Times New Roman"/>
          <w:szCs w:val="24"/>
        </w:rPr>
        <w:t xml:space="preserve"> возможно использовать как для определения стоимости типовых (эталонных) объектов недвижимости с последующим моделированием результатов расчета по однотипным объектам недвижимости, отличающимся единым набором основных ценообразующих факторов, так и для моделирования стоимости отдельных групп (подгрупп) объектов недвижимости. В зависимости от выбранного способа использования применяется та или иная группировка объектов недвижимости. При этом не исключается, что для объектов одного вида использования будет выбран один принцип расчета и, соответственно, группировки, а для другого - второй.</w:t>
      </w:r>
    </w:p>
    <w:p w14:paraId="10DF0DF4" w14:textId="77777777" w:rsidR="00900409" w:rsidRPr="00900409" w:rsidRDefault="00900409" w:rsidP="00900409">
      <w:pPr>
        <w:ind w:firstLine="567"/>
        <w:rPr>
          <w:rFonts w:cs="Times New Roman"/>
          <w:szCs w:val="24"/>
        </w:rPr>
      </w:pPr>
      <w:r w:rsidRPr="00900409">
        <w:rPr>
          <w:rFonts w:cs="Times New Roman"/>
          <w:szCs w:val="24"/>
        </w:rPr>
        <w:t>В рамках доходного подхода кадастровая стоимость объекта недвижимости может определяться:</w:t>
      </w:r>
    </w:p>
    <w:p w14:paraId="5826F882" w14:textId="77777777" w:rsidR="00900409" w:rsidRPr="00900409" w:rsidRDefault="00900409" w:rsidP="00C106B5">
      <w:pPr>
        <w:pStyle w:val="af0"/>
        <w:numPr>
          <w:ilvl w:val="0"/>
          <w:numId w:val="105"/>
        </w:numPr>
        <w:rPr>
          <w:rFonts w:cs="Times New Roman"/>
          <w:szCs w:val="24"/>
        </w:rPr>
      </w:pPr>
      <w:r w:rsidRPr="00900409">
        <w:rPr>
          <w:rFonts w:cs="Times New Roman"/>
          <w:szCs w:val="24"/>
        </w:rPr>
        <w:t>методом прямой капитализации;</w:t>
      </w:r>
    </w:p>
    <w:p w14:paraId="6A187186" w14:textId="77777777" w:rsidR="00900409" w:rsidRPr="00900409" w:rsidRDefault="00900409" w:rsidP="00C106B5">
      <w:pPr>
        <w:pStyle w:val="af0"/>
        <w:numPr>
          <w:ilvl w:val="0"/>
          <w:numId w:val="105"/>
        </w:numPr>
        <w:rPr>
          <w:rFonts w:cs="Times New Roman"/>
          <w:szCs w:val="24"/>
        </w:rPr>
      </w:pPr>
      <w:r w:rsidRPr="00900409">
        <w:rPr>
          <w:rFonts w:cs="Times New Roman"/>
          <w:szCs w:val="24"/>
        </w:rPr>
        <w:t>методом дисконтирования денежных потоков.</w:t>
      </w:r>
    </w:p>
    <w:p w14:paraId="46C7FF31" w14:textId="77777777" w:rsidR="00900409" w:rsidRPr="00900409" w:rsidRDefault="00900409" w:rsidP="00900409">
      <w:pPr>
        <w:ind w:firstLine="567"/>
        <w:rPr>
          <w:rFonts w:cs="Times New Roman"/>
          <w:szCs w:val="24"/>
        </w:rPr>
      </w:pPr>
      <w:r w:rsidRPr="00900409">
        <w:rPr>
          <w:rFonts w:cs="Times New Roman"/>
          <w:szCs w:val="24"/>
        </w:rPr>
        <w:t>Объекты недвижимости оцениваются исходя из характерных для соответствующего сегмента рынка показателей доходности их использования, без учета фактического обременения арендными отношениями и индивидуальных показателей эффективности их использования.</w:t>
      </w:r>
    </w:p>
    <w:p w14:paraId="0195C8A8" w14:textId="6D6B0611" w:rsidR="00900409" w:rsidRPr="00900409" w:rsidRDefault="00900409" w:rsidP="00900409">
      <w:pPr>
        <w:ind w:firstLine="567"/>
        <w:rPr>
          <w:rFonts w:cs="Times New Roman"/>
          <w:szCs w:val="24"/>
        </w:rPr>
      </w:pPr>
      <w:r w:rsidRPr="00900409">
        <w:rPr>
          <w:rFonts w:cs="Times New Roman"/>
          <w:szCs w:val="24"/>
        </w:rPr>
        <w:t xml:space="preserve">Проанализировав данные рынка, информацию об оцениваемых </w:t>
      </w:r>
      <w:r w:rsidR="00DD0565">
        <w:rPr>
          <w:rFonts w:cs="Times New Roman"/>
          <w:szCs w:val="24"/>
        </w:rPr>
        <w:t>объектах недвижимости</w:t>
      </w:r>
      <w:r w:rsidRPr="00900409">
        <w:rPr>
          <w:rFonts w:cs="Times New Roman"/>
          <w:szCs w:val="24"/>
        </w:rPr>
        <w:t>, принято решение о возможности использования сравнительного и затратного подходов к оценке.</w:t>
      </w:r>
    </w:p>
    <w:p w14:paraId="28C8B2B8" w14:textId="2F29D5D7" w:rsidR="00900409" w:rsidRPr="00FC5515" w:rsidRDefault="00900409" w:rsidP="00900409">
      <w:pPr>
        <w:pStyle w:val="afffffff0"/>
      </w:pPr>
      <w:r w:rsidRPr="00FC5515">
        <w:t>Т</w:t>
      </w:r>
      <w:r w:rsidRPr="00E07359">
        <w:t xml:space="preserve">аблица </w:t>
      </w:r>
      <w:r w:rsidR="00A90944">
        <w:fldChar w:fldCharType="begin"/>
      </w:r>
      <w:r w:rsidR="00A90944">
        <w:instrText xml:space="preserve"> SEQ Таблица \* ARABIC </w:instrText>
      </w:r>
      <w:r w:rsidR="00A90944">
        <w:fldChar w:fldCharType="separate"/>
      </w:r>
      <w:r w:rsidR="00FD2769">
        <w:rPr>
          <w:noProof/>
        </w:rPr>
        <w:t>22</w:t>
      </w:r>
      <w:r w:rsidR="00A90944">
        <w:rPr>
          <w:noProof/>
        </w:rPr>
        <w:fldChar w:fldCharType="end"/>
      </w:r>
      <w:r w:rsidRPr="00A612AA">
        <w:t>.</w:t>
      </w:r>
      <w:r w:rsidR="00C54C00">
        <w:t>Описание подходов, сопособов и методов определения кадастровой стоимости в разрезе групп</w:t>
      </w:r>
    </w:p>
    <w:tbl>
      <w:tblPr>
        <w:tblW w:w="9356" w:type="dxa"/>
        <w:tblInd w:w="-5" w:type="dxa"/>
        <w:tblLook w:val="04A0" w:firstRow="1" w:lastRow="0" w:firstColumn="1" w:lastColumn="0" w:noHBand="0" w:noVBand="1"/>
      </w:tblPr>
      <w:tblGrid>
        <w:gridCol w:w="1020"/>
        <w:gridCol w:w="2664"/>
        <w:gridCol w:w="1832"/>
        <w:gridCol w:w="1778"/>
        <w:gridCol w:w="2062"/>
      </w:tblGrid>
      <w:tr w:rsidR="00D24868" w:rsidRPr="00D24868" w14:paraId="5A2DDE9E" w14:textId="77777777" w:rsidTr="00D24868">
        <w:trPr>
          <w:trHeight w:val="20"/>
        </w:trPr>
        <w:tc>
          <w:tcPr>
            <w:tcW w:w="1020" w:type="dxa"/>
            <w:tcBorders>
              <w:top w:val="single" w:sz="4" w:space="0" w:color="000000"/>
              <w:left w:val="single" w:sz="4" w:space="0" w:color="000000"/>
              <w:bottom w:val="single" w:sz="4" w:space="0" w:color="auto"/>
              <w:right w:val="single" w:sz="4" w:space="0" w:color="000000"/>
            </w:tcBorders>
            <w:shd w:val="clear" w:color="auto" w:fill="auto"/>
            <w:vAlign w:val="center"/>
            <w:hideMark/>
          </w:tcPr>
          <w:p w14:paraId="20CF6723" w14:textId="56E235D4" w:rsidR="00C54C00" w:rsidRPr="00D24868" w:rsidRDefault="00C54C00" w:rsidP="00C54C00">
            <w:pPr>
              <w:ind w:firstLine="0"/>
              <w:jc w:val="center"/>
              <w:rPr>
                <w:b/>
                <w:color w:val="000000"/>
                <w:sz w:val="20"/>
                <w:szCs w:val="20"/>
              </w:rPr>
            </w:pPr>
            <w:r w:rsidRPr="00D24868">
              <w:rPr>
                <w:b/>
                <w:color w:val="000000"/>
                <w:sz w:val="20"/>
                <w:szCs w:val="20"/>
              </w:rPr>
              <w:t>Группа</w:t>
            </w:r>
          </w:p>
        </w:tc>
        <w:tc>
          <w:tcPr>
            <w:tcW w:w="2664" w:type="dxa"/>
            <w:tcBorders>
              <w:top w:val="single" w:sz="4" w:space="0" w:color="000000"/>
              <w:left w:val="nil"/>
              <w:bottom w:val="single" w:sz="4" w:space="0" w:color="auto"/>
              <w:right w:val="single" w:sz="4" w:space="0" w:color="000000"/>
            </w:tcBorders>
            <w:shd w:val="clear" w:color="auto" w:fill="auto"/>
            <w:vAlign w:val="center"/>
            <w:hideMark/>
          </w:tcPr>
          <w:p w14:paraId="4FB46DD3" w14:textId="0BC99440" w:rsidR="00C54C00" w:rsidRPr="00D24868" w:rsidRDefault="00C54C00" w:rsidP="00C54C00">
            <w:pPr>
              <w:ind w:firstLine="0"/>
              <w:jc w:val="center"/>
              <w:rPr>
                <w:b/>
                <w:color w:val="000000"/>
                <w:sz w:val="20"/>
                <w:szCs w:val="20"/>
              </w:rPr>
            </w:pPr>
            <w:r w:rsidRPr="00D24868">
              <w:rPr>
                <w:b/>
                <w:bCs/>
                <w:color w:val="000000"/>
                <w:sz w:val="20"/>
                <w:szCs w:val="20"/>
              </w:rPr>
              <w:t xml:space="preserve">Наименование </w:t>
            </w:r>
          </w:p>
        </w:tc>
        <w:tc>
          <w:tcPr>
            <w:tcW w:w="1832" w:type="dxa"/>
            <w:tcBorders>
              <w:top w:val="single" w:sz="4" w:space="0" w:color="000000"/>
              <w:left w:val="nil"/>
              <w:bottom w:val="single" w:sz="4" w:space="0" w:color="auto"/>
              <w:right w:val="single" w:sz="4" w:space="0" w:color="000000"/>
            </w:tcBorders>
            <w:shd w:val="clear" w:color="auto" w:fill="auto"/>
            <w:vAlign w:val="center"/>
            <w:hideMark/>
          </w:tcPr>
          <w:p w14:paraId="57E615C3" w14:textId="6ADC5258" w:rsidR="00C54C00" w:rsidRPr="00D24868" w:rsidRDefault="00C54C00" w:rsidP="00C54C00">
            <w:pPr>
              <w:ind w:firstLine="0"/>
              <w:jc w:val="center"/>
              <w:rPr>
                <w:b/>
                <w:color w:val="000000"/>
                <w:sz w:val="20"/>
                <w:szCs w:val="20"/>
              </w:rPr>
            </w:pPr>
            <w:r w:rsidRPr="00D24868">
              <w:rPr>
                <w:b/>
                <w:color w:val="000000"/>
                <w:sz w:val="20"/>
                <w:szCs w:val="20"/>
              </w:rPr>
              <w:t>Подход</w:t>
            </w:r>
          </w:p>
        </w:tc>
        <w:tc>
          <w:tcPr>
            <w:tcW w:w="1778" w:type="dxa"/>
            <w:tcBorders>
              <w:top w:val="single" w:sz="4" w:space="0" w:color="000000"/>
              <w:left w:val="nil"/>
              <w:bottom w:val="single" w:sz="4" w:space="0" w:color="auto"/>
              <w:right w:val="single" w:sz="4" w:space="0" w:color="000000"/>
            </w:tcBorders>
            <w:shd w:val="clear" w:color="auto" w:fill="auto"/>
            <w:vAlign w:val="center"/>
            <w:hideMark/>
          </w:tcPr>
          <w:p w14:paraId="30DDB913" w14:textId="134EA665" w:rsidR="00C54C00" w:rsidRPr="00D24868" w:rsidRDefault="00C54C00" w:rsidP="00C54C00">
            <w:pPr>
              <w:ind w:firstLine="0"/>
              <w:jc w:val="center"/>
              <w:rPr>
                <w:b/>
                <w:color w:val="000000"/>
                <w:sz w:val="20"/>
                <w:szCs w:val="20"/>
              </w:rPr>
            </w:pPr>
            <w:r w:rsidRPr="00D24868">
              <w:rPr>
                <w:b/>
                <w:color w:val="000000"/>
                <w:sz w:val="20"/>
                <w:szCs w:val="20"/>
              </w:rPr>
              <w:t>Способ</w:t>
            </w:r>
          </w:p>
        </w:tc>
        <w:tc>
          <w:tcPr>
            <w:tcW w:w="2062" w:type="dxa"/>
            <w:tcBorders>
              <w:top w:val="single" w:sz="4" w:space="0" w:color="000000"/>
              <w:left w:val="nil"/>
              <w:bottom w:val="single" w:sz="4" w:space="0" w:color="auto"/>
              <w:right w:val="single" w:sz="4" w:space="0" w:color="000000"/>
            </w:tcBorders>
            <w:shd w:val="clear" w:color="auto" w:fill="auto"/>
            <w:vAlign w:val="center"/>
            <w:hideMark/>
          </w:tcPr>
          <w:p w14:paraId="4511E292" w14:textId="28B57DA2" w:rsidR="00C54C00" w:rsidRPr="00D24868" w:rsidRDefault="00C54C00" w:rsidP="00C54C00">
            <w:pPr>
              <w:ind w:firstLine="0"/>
              <w:jc w:val="center"/>
              <w:rPr>
                <w:b/>
                <w:color w:val="000000"/>
                <w:sz w:val="20"/>
                <w:szCs w:val="20"/>
              </w:rPr>
            </w:pPr>
            <w:r w:rsidRPr="00D24868">
              <w:rPr>
                <w:b/>
                <w:color w:val="000000"/>
                <w:sz w:val="20"/>
                <w:szCs w:val="20"/>
              </w:rPr>
              <w:t>Метод</w:t>
            </w:r>
          </w:p>
        </w:tc>
      </w:tr>
      <w:tr w:rsidR="00D24868" w:rsidRPr="00D24868" w14:paraId="1CB2364D" w14:textId="77777777" w:rsidTr="00D24868">
        <w:trPr>
          <w:trHeight w:val="20"/>
        </w:trPr>
        <w:tc>
          <w:tcPr>
            <w:tcW w:w="10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CC23C99" w14:textId="77777777" w:rsidR="00C54C00" w:rsidRPr="009B5355" w:rsidRDefault="00C54C00" w:rsidP="00C54C00">
            <w:pPr>
              <w:ind w:firstLine="0"/>
              <w:jc w:val="center"/>
              <w:rPr>
                <w:color w:val="000000"/>
                <w:szCs w:val="24"/>
              </w:rPr>
            </w:pPr>
            <w:r w:rsidRPr="009B5355">
              <w:rPr>
                <w:color w:val="000000"/>
                <w:szCs w:val="24"/>
              </w:rPr>
              <w:t>1</w:t>
            </w:r>
          </w:p>
        </w:tc>
        <w:tc>
          <w:tcPr>
            <w:tcW w:w="2664" w:type="dxa"/>
            <w:tcBorders>
              <w:top w:val="single" w:sz="4" w:space="0" w:color="auto"/>
              <w:left w:val="single" w:sz="4" w:space="0" w:color="auto"/>
              <w:bottom w:val="single" w:sz="4" w:space="0" w:color="auto"/>
              <w:right w:val="single" w:sz="4" w:space="0" w:color="auto"/>
            </w:tcBorders>
            <w:shd w:val="clear" w:color="auto" w:fill="auto"/>
            <w:vAlign w:val="center"/>
          </w:tcPr>
          <w:p w14:paraId="329B9452" w14:textId="423A4D66" w:rsidR="00C54C00" w:rsidRPr="009B5355" w:rsidRDefault="00C54C00" w:rsidP="00C54C00">
            <w:pPr>
              <w:ind w:firstLine="0"/>
              <w:rPr>
                <w:color w:val="000000"/>
                <w:szCs w:val="24"/>
              </w:rPr>
            </w:pPr>
            <w:r w:rsidRPr="009B5355">
              <w:rPr>
                <w:rStyle w:val="afffffffffe"/>
                <w:b w:val="0"/>
                <w:szCs w:val="24"/>
              </w:rPr>
              <w:t>Многоквартирные дома (дома средне - и многоэтажной жилой застройки)</w:t>
            </w:r>
          </w:p>
        </w:tc>
        <w:tc>
          <w:tcPr>
            <w:tcW w:w="1832" w:type="dxa"/>
            <w:tcBorders>
              <w:top w:val="single" w:sz="4" w:space="0" w:color="auto"/>
              <w:left w:val="single" w:sz="4" w:space="0" w:color="auto"/>
              <w:bottom w:val="single" w:sz="4" w:space="0" w:color="auto"/>
              <w:right w:val="single" w:sz="4" w:space="0" w:color="auto"/>
            </w:tcBorders>
            <w:shd w:val="clear" w:color="auto" w:fill="auto"/>
            <w:vAlign w:val="center"/>
          </w:tcPr>
          <w:p w14:paraId="1595E65B" w14:textId="77B74473" w:rsidR="00C54C00" w:rsidRPr="009B5355" w:rsidRDefault="00D24868" w:rsidP="00C54C00">
            <w:pPr>
              <w:ind w:firstLine="0"/>
              <w:rPr>
                <w:color w:val="000000"/>
                <w:szCs w:val="24"/>
              </w:rPr>
            </w:pPr>
            <w:r w:rsidRPr="009B5355">
              <w:rPr>
                <w:color w:val="000000"/>
                <w:szCs w:val="24"/>
              </w:rPr>
              <w:t>С</w:t>
            </w:r>
            <w:r w:rsidR="00C54C00" w:rsidRPr="009B5355">
              <w:rPr>
                <w:color w:val="000000"/>
                <w:szCs w:val="24"/>
              </w:rPr>
              <w:t>равнительный</w:t>
            </w:r>
          </w:p>
        </w:tc>
        <w:tc>
          <w:tcPr>
            <w:tcW w:w="1778" w:type="dxa"/>
            <w:tcBorders>
              <w:top w:val="single" w:sz="4" w:space="0" w:color="auto"/>
              <w:left w:val="single" w:sz="4" w:space="0" w:color="auto"/>
              <w:bottom w:val="single" w:sz="4" w:space="0" w:color="auto"/>
              <w:right w:val="single" w:sz="4" w:space="0" w:color="auto"/>
            </w:tcBorders>
            <w:shd w:val="clear" w:color="auto" w:fill="auto"/>
            <w:vAlign w:val="center"/>
          </w:tcPr>
          <w:p w14:paraId="32B2FF5C" w14:textId="37C81F76" w:rsidR="00C54C00" w:rsidRPr="009B5355" w:rsidRDefault="00D24868" w:rsidP="00C54C00">
            <w:pPr>
              <w:ind w:firstLine="0"/>
              <w:rPr>
                <w:color w:val="000000"/>
                <w:szCs w:val="24"/>
              </w:rPr>
            </w:pPr>
            <w:r w:rsidRPr="009B5355">
              <w:rPr>
                <w:color w:val="000000"/>
                <w:szCs w:val="24"/>
              </w:rPr>
              <w:t>Массовый</w:t>
            </w:r>
          </w:p>
        </w:tc>
        <w:tc>
          <w:tcPr>
            <w:tcW w:w="2062" w:type="dxa"/>
            <w:tcBorders>
              <w:top w:val="single" w:sz="4" w:space="0" w:color="auto"/>
              <w:left w:val="single" w:sz="4" w:space="0" w:color="auto"/>
              <w:bottom w:val="single" w:sz="4" w:space="0" w:color="auto"/>
              <w:right w:val="single" w:sz="4" w:space="0" w:color="auto"/>
            </w:tcBorders>
            <w:shd w:val="clear" w:color="auto" w:fill="auto"/>
            <w:vAlign w:val="center"/>
          </w:tcPr>
          <w:p w14:paraId="558D2947" w14:textId="72BFFD8A" w:rsidR="00C54C00" w:rsidRPr="009B5355" w:rsidRDefault="00D24868" w:rsidP="00C54C00">
            <w:pPr>
              <w:ind w:firstLine="0"/>
              <w:rPr>
                <w:color w:val="000000"/>
                <w:szCs w:val="24"/>
              </w:rPr>
            </w:pPr>
            <w:r w:rsidRPr="009B5355">
              <w:rPr>
                <w:color w:val="000000"/>
                <w:szCs w:val="24"/>
              </w:rPr>
              <w:t>Метод статистического (регрессионного) моделирования</w:t>
            </w:r>
          </w:p>
          <w:p w14:paraId="4A6E8B59" w14:textId="77777777" w:rsidR="00D24868" w:rsidRPr="009B5355" w:rsidRDefault="00D24868" w:rsidP="00C54C00">
            <w:pPr>
              <w:ind w:firstLine="0"/>
              <w:rPr>
                <w:color w:val="000000"/>
                <w:szCs w:val="24"/>
              </w:rPr>
            </w:pPr>
          </w:p>
          <w:p w14:paraId="17FB3F25" w14:textId="55F7C21D" w:rsidR="00D24868" w:rsidRPr="009B5355" w:rsidRDefault="00D24868" w:rsidP="00D24868">
            <w:pPr>
              <w:ind w:firstLine="0"/>
              <w:rPr>
                <w:color w:val="000000"/>
                <w:szCs w:val="24"/>
              </w:rPr>
            </w:pPr>
            <w:r w:rsidRPr="009B5355">
              <w:rPr>
                <w:color w:val="000000"/>
                <w:szCs w:val="24"/>
              </w:rPr>
              <w:t>Метод УПКС (минимальный)</w:t>
            </w:r>
          </w:p>
        </w:tc>
      </w:tr>
      <w:tr w:rsidR="00D24868" w:rsidRPr="00D24868" w14:paraId="4F7D2C4D" w14:textId="77777777" w:rsidTr="00D24868">
        <w:trPr>
          <w:trHeight w:val="20"/>
        </w:trPr>
        <w:tc>
          <w:tcPr>
            <w:tcW w:w="1020" w:type="dxa"/>
            <w:tcBorders>
              <w:top w:val="single" w:sz="4" w:space="0" w:color="auto"/>
              <w:left w:val="single" w:sz="4" w:space="0" w:color="auto"/>
              <w:bottom w:val="single" w:sz="4" w:space="0" w:color="auto"/>
              <w:right w:val="single" w:sz="4" w:space="0" w:color="auto"/>
            </w:tcBorders>
            <w:shd w:val="clear" w:color="auto" w:fill="auto"/>
            <w:vAlign w:val="center"/>
          </w:tcPr>
          <w:p w14:paraId="7BD9E2DD" w14:textId="77777777" w:rsidR="00D24868" w:rsidRPr="009B5355" w:rsidRDefault="00D24868" w:rsidP="00D24868">
            <w:pPr>
              <w:ind w:firstLine="0"/>
              <w:jc w:val="center"/>
              <w:rPr>
                <w:color w:val="000000"/>
                <w:szCs w:val="24"/>
              </w:rPr>
            </w:pPr>
            <w:r w:rsidRPr="009B5355">
              <w:rPr>
                <w:color w:val="000000"/>
                <w:szCs w:val="24"/>
              </w:rPr>
              <w:t>2</w:t>
            </w:r>
          </w:p>
        </w:tc>
        <w:tc>
          <w:tcPr>
            <w:tcW w:w="2664" w:type="dxa"/>
            <w:tcBorders>
              <w:top w:val="single" w:sz="4" w:space="0" w:color="auto"/>
              <w:left w:val="single" w:sz="4" w:space="0" w:color="auto"/>
              <w:bottom w:val="single" w:sz="4" w:space="0" w:color="auto"/>
              <w:right w:val="single" w:sz="4" w:space="0" w:color="auto"/>
            </w:tcBorders>
            <w:shd w:val="clear" w:color="auto" w:fill="auto"/>
            <w:vAlign w:val="center"/>
          </w:tcPr>
          <w:p w14:paraId="70E12FA5" w14:textId="65F599DC" w:rsidR="00D24868" w:rsidRPr="009B5355" w:rsidRDefault="00D24868" w:rsidP="00D24868">
            <w:pPr>
              <w:ind w:firstLine="0"/>
              <w:rPr>
                <w:color w:val="000000"/>
                <w:szCs w:val="24"/>
              </w:rPr>
            </w:pPr>
            <w:r w:rsidRPr="009B5355">
              <w:rPr>
                <w:rStyle w:val="afffffffffe"/>
                <w:b w:val="0"/>
                <w:szCs w:val="24"/>
              </w:rPr>
              <w:t>Дома малоэтажной жилой застройки, в том числе индивидуальной жилой застройки - индивидуальные, малоэтажные блокированные (таунхаусы)</w:t>
            </w:r>
          </w:p>
        </w:tc>
        <w:tc>
          <w:tcPr>
            <w:tcW w:w="1832" w:type="dxa"/>
            <w:tcBorders>
              <w:top w:val="single" w:sz="4" w:space="0" w:color="auto"/>
              <w:left w:val="single" w:sz="4" w:space="0" w:color="auto"/>
              <w:bottom w:val="single" w:sz="4" w:space="0" w:color="auto"/>
              <w:right w:val="single" w:sz="4" w:space="0" w:color="auto"/>
            </w:tcBorders>
            <w:shd w:val="clear" w:color="auto" w:fill="auto"/>
            <w:vAlign w:val="center"/>
          </w:tcPr>
          <w:p w14:paraId="6E559BD5" w14:textId="77777777" w:rsidR="00D24868" w:rsidRPr="009B5355" w:rsidRDefault="00D24868" w:rsidP="00D24868">
            <w:pPr>
              <w:ind w:firstLine="0"/>
              <w:rPr>
                <w:color w:val="000000"/>
                <w:szCs w:val="24"/>
              </w:rPr>
            </w:pPr>
            <w:r w:rsidRPr="009B5355">
              <w:rPr>
                <w:color w:val="000000"/>
                <w:szCs w:val="24"/>
              </w:rPr>
              <w:t>Сравнительный</w:t>
            </w:r>
          </w:p>
          <w:p w14:paraId="624B8327" w14:textId="448DDD59" w:rsidR="00D24868" w:rsidRPr="009B5355" w:rsidRDefault="00D24868" w:rsidP="00D24868">
            <w:pPr>
              <w:ind w:firstLine="0"/>
              <w:rPr>
                <w:color w:val="000000"/>
                <w:szCs w:val="24"/>
              </w:rPr>
            </w:pPr>
          </w:p>
          <w:p w14:paraId="11716D1C" w14:textId="3AA8D24D" w:rsidR="00D24868" w:rsidRPr="009B5355" w:rsidRDefault="00D24868" w:rsidP="00D24868">
            <w:pPr>
              <w:ind w:firstLine="0"/>
              <w:rPr>
                <w:color w:val="000000"/>
                <w:szCs w:val="24"/>
              </w:rPr>
            </w:pPr>
          </w:p>
          <w:p w14:paraId="799896F5" w14:textId="77777777" w:rsidR="00D24868" w:rsidRPr="009B5355" w:rsidRDefault="00D24868" w:rsidP="00D24868">
            <w:pPr>
              <w:ind w:firstLine="0"/>
              <w:rPr>
                <w:color w:val="000000"/>
                <w:szCs w:val="24"/>
              </w:rPr>
            </w:pPr>
          </w:p>
          <w:p w14:paraId="09EDB46C" w14:textId="6066C151" w:rsidR="00D24868" w:rsidRPr="009B5355" w:rsidRDefault="00D24868" w:rsidP="00D24868">
            <w:pPr>
              <w:ind w:firstLine="0"/>
              <w:rPr>
                <w:color w:val="000000"/>
                <w:szCs w:val="24"/>
              </w:rPr>
            </w:pPr>
            <w:r w:rsidRPr="009B5355">
              <w:rPr>
                <w:color w:val="000000"/>
                <w:szCs w:val="24"/>
              </w:rPr>
              <w:t>Затратный</w:t>
            </w:r>
          </w:p>
        </w:tc>
        <w:tc>
          <w:tcPr>
            <w:tcW w:w="1778" w:type="dxa"/>
            <w:tcBorders>
              <w:top w:val="single" w:sz="4" w:space="0" w:color="auto"/>
              <w:left w:val="single" w:sz="4" w:space="0" w:color="auto"/>
              <w:bottom w:val="single" w:sz="4" w:space="0" w:color="auto"/>
              <w:right w:val="single" w:sz="4" w:space="0" w:color="auto"/>
            </w:tcBorders>
            <w:shd w:val="clear" w:color="auto" w:fill="auto"/>
            <w:vAlign w:val="center"/>
          </w:tcPr>
          <w:p w14:paraId="31AEBEC0" w14:textId="77777777" w:rsidR="00D24868" w:rsidRPr="009B5355" w:rsidRDefault="00D24868" w:rsidP="00D24868">
            <w:pPr>
              <w:ind w:firstLine="0"/>
              <w:rPr>
                <w:color w:val="000000"/>
                <w:szCs w:val="24"/>
              </w:rPr>
            </w:pPr>
            <w:r w:rsidRPr="009B5355">
              <w:rPr>
                <w:color w:val="000000"/>
                <w:szCs w:val="24"/>
              </w:rPr>
              <w:t>Массовый</w:t>
            </w:r>
          </w:p>
          <w:p w14:paraId="4C0E6EBC" w14:textId="508DC6AD" w:rsidR="00D24868" w:rsidRPr="009B5355" w:rsidRDefault="00D24868" w:rsidP="00D24868">
            <w:pPr>
              <w:ind w:firstLine="0"/>
              <w:rPr>
                <w:color w:val="000000"/>
                <w:szCs w:val="24"/>
              </w:rPr>
            </w:pPr>
          </w:p>
          <w:p w14:paraId="6A0BCA44" w14:textId="2D023C51" w:rsidR="00D24868" w:rsidRPr="009B5355" w:rsidRDefault="00D24868" w:rsidP="00D24868">
            <w:pPr>
              <w:ind w:firstLine="0"/>
              <w:rPr>
                <w:color w:val="000000"/>
                <w:szCs w:val="24"/>
              </w:rPr>
            </w:pPr>
          </w:p>
          <w:p w14:paraId="49D0C49E" w14:textId="77777777" w:rsidR="00D24868" w:rsidRPr="009B5355" w:rsidRDefault="00D24868" w:rsidP="00D24868">
            <w:pPr>
              <w:ind w:firstLine="0"/>
              <w:rPr>
                <w:color w:val="000000"/>
                <w:szCs w:val="24"/>
              </w:rPr>
            </w:pPr>
          </w:p>
          <w:p w14:paraId="7F2F40DD" w14:textId="67B6F728" w:rsidR="00D24868" w:rsidRPr="009B5355" w:rsidRDefault="00D24868" w:rsidP="00D24868">
            <w:pPr>
              <w:ind w:firstLine="0"/>
              <w:rPr>
                <w:color w:val="000000"/>
                <w:szCs w:val="24"/>
              </w:rPr>
            </w:pPr>
            <w:r w:rsidRPr="009B5355">
              <w:rPr>
                <w:color w:val="000000"/>
                <w:szCs w:val="24"/>
              </w:rPr>
              <w:t>Массовый</w:t>
            </w:r>
          </w:p>
        </w:tc>
        <w:tc>
          <w:tcPr>
            <w:tcW w:w="2062" w:type="dxa"/>
            <w:tcBorders>
              <w:top w:val="single" w:sz="4" w:space="0" w:color="auto"/>
              <w:left w:val="single" w:sz="4" w:space="0" w:color="auto"/>
              <w:bottom w:val="single" w:sz="4" w:space="0" w:color="auto"/>
              <w:right w:val="single" w:sz="4" w:space="0" w:color="auto"/>
            </w:tcBorders>
            <w:shd w:val="clear" w:color="auto" w:fill="auto"/>
            <w:vAlign w:val="center"/>
          </w:tcPr>
          <w:p w14:paraId="4125665C" w14:textId="77777777" w:rsidR="00D24868" w:rsidRPr="009B5355" w:rsidRDefault="00D24868" w:rsidP="00D24868">
            <w:pPr>
              <w:ind w:firstLine="0"/>
              <w:rPr>
                <w:color w:val="000000"/>
                <w:szCs w:val="24"/>
              </w:rPr>
            </w:pPr>
            <w:r w:rsidRPr="009B5355">
              <w:rPr>
                <w:color w:val="000000"/>
                <w:szCs w:val="24"/>
              </w:rPr>
              <w:t>Метод статистического (регрессионного) моделирования</w:t>
            </w:r>
          </w:p>
          <w:p w14:paraId="52D4B754" w14:textId="77777777" w:rsidR="00D24868" w:rsidRPr="009B5355" w:rsidRDefault="00D24868" w:rsidP="00D24868">
            <w:pPr>
              <w:ind w:firstLine="0"/>
              <w:rPr>
                <w:color w:val="000000"/>
                <w:szCs w:val="24"/>
              </w:rPr>
            </w:pPr>
          </w:p>
          <w:p w14:paraId="3DAD14E3" w14:textId="77777777" w:rsidR="00D24868" w:rsidRPr="009B5355" w:rsidRDefault="00D24868" w:rsidP="00D24868">
            <w:pPr>
              <w:ind w:firstLine="0"/>
              <w:rPr>
                <w:color w:val="000000"/>
                <w:szCs w:val="24"/>
              </w:rPr>
            </w:pPr>
            <w:r w:rsidRPr="009B5355">
              <w:rPr>
                <w:color w:val="000000"/>
                <w:szCs w:val="24"/>
              </w:rPr>
              <w:t>Метод УПКС (минимальный)</w:t>
            </w:r>
          </w:p>
          <w:p w14:paraId="0F944C67" w14:textId="77777777" w:rsidR="00D24868" w:rsidRPr="009B5355" w:rsidRDefault="00D24868" w:rsidP="00D24868">
            <w:pPr>
              <w:ind w:firstLine="0"/>
              <w:rPr>
                <w:color w:val="000000"/>
                <w:szCs w:val="24"/>
              </w:rPr>
            </w:pPr>
          </w:p>
          <w:p w14:paraId="52D84FE0" w14:textId="05A0C50B" w:rsidR="00D24868" w:rsidRPr="009B5355" w:rsidRDefault="00D24868" w:rsidP="00D24868">
            <w:pPr>
              <w:ind w:firstLine="0"/>
              <w:rPr>
                <w:color w:val="000000"/>
                <w:szCs w:val="24"/>
              </w:rPr>
            </w:pPr>
            <w:r w:rsidRPr="009B5355">
              <w:rPr>
                <w:color w:val="000000"/>
                <w:szCs w:val="24"/>
              </w:rPr>
              <w:t>Мет</w:t>
            </w:r>
            <w:r w:rsidR="009B5355">
              <w:rPr>
                <w:color w:val="000000"/>
                <w:szCs w:val="24"/>
              </w:rPr>
              <w:t>од сравнительной единицы (УПСС)</w:t>
            </w:r>
          </w:p>
        </w:tc>
      </w:tr>
      <w:tr w:rsidR="00D24868" w:rsidRPr="00D24868" w14:paraId="0167C8A9" w14:textId="77777777" w:rsidTr="00D24868">
        <w:trPr>
          <w:trHeight w:val="20"/>
        </w:trPr>
        <w:tc>
          <w:tcPr>
            <w:tcW w:w="1020" w:type="dxa"/>
            <w:tcBorders>
              <w:top w:val="single" w:sz="4" w:space="0" w:color="auto"/>
              <w:left w:val="single" w:sz="4" w:space="0" w:color="auto"/>
              <w:bottom w:val="single" w:sz="4" w:space="0" w:color="auto"/>
              <w:right w:val="single" w:sz="4" w:space="0" w:color="auto"/>
            </w:tcBorders>
            <w:shd w:val="clear" w:color="auto" w:fill="auto"/>
            <w:vAlign w:val="center"/>
          </w:tcPr>
          <w:p w14:paraId="10195D58" w14:textId="77777777" w:rsidR="00D24868" w:rsidRPr="009B5355" w:rsidRDefault="00D24868" w:rsidP="00D24868">
            <w:pPr>
              <w:ind w:firstLine="0"/>
              <w:jc w:val="center"/>
              <w:rPr>
                <w:color w:val="000000"/>
                <w:szCs w:val="24"/>
              </w:rPr>
            </w:pPr>
            <w:r w:rsidRPr="009B5355">
              <w:rPr>
                <w:color w:val="000000"/>
                <w:szCs w:val="24"/>
              </w:rPr>
              <w:t>3</w:t>
            </w:r>
          </w:p>
        </w:tc>
        <w:tc>
          <w:tcPr>
            <w:tcW w:w="2664" w:type="dxa"/>
            <w:tcBorders>
              <w:top w:val="single" w:sz="4" w:space="0" w:color="auto"/>
              <w:left w:val="single" w:sz="4" w:space="0" w:color="auto"/>
              <w:bottom w:val="single" w:sz="4" w:space="0" w:color="auto"/>
              <w:right w:val="single" w:sz="4" w:space="0" w:color="auto"/>
            </w:tcBorders>
            <w:shd w:val="clear" w:color="auto" w:fill="auto"/>
            <w:vAlign w:val="center"/>
          </w:tcPr>
          <w:p w14:paraId="381EA481" w14:textId="34C588D8" w:rsidR="00D24868" w:rsidRPr="009B5355" w:rsidRDefault="00D24868" w:rsidP="00D24868">
            <w:pPr>
              <w:ind w:firstLine="0"/>
              <w:rPr>
                <w:color w:val="000000"/>
                <w:szCs w:val="24"/>
              </w:rPr>
            </w:pPr>
            <w:r w:rsidRPr="009B5355">
              <w:rPr>
                <w:rStyle w:val="afffffffffe"/>
                <w:b w:val="0"/>
                <w:szCs w:val="24"/>
              </w:rPr>
              <w:t>Объекты, предназначенные для хранения транспорта</w:t>
            </w:r>
          </w:p>
        </w:tc>
        <w:tc>
          <w:tcPr>
            <w:tcW w:w="1832" w:type="dxa"/>
            <w:tcBorders>
              <w:top w:val="single" w:sz="4" w:space="0" w:color="auto"/>
              <w:left w:val="single" w:sz="4" w:space="0" w:color="auto"/>
              <w:bottom w:val="single" w:sz="4" w:space="0" w:color="auto"/>
              <w:right w:val="single" w:sz="4" w:space="0" w:color="auto"/>
            </w:tcBorders>
            <w:shd w:val="clear" w:color="auto" w:fill="auto"/>
            <w:vAlign w:val="center"/>
          </w:tcPr>
          <w:p w14:paraId="58EF8AC5" w14:textId="77777777" w:rsidR="00D24868" w:rsidRPr="009B5355" w:rsidRDefault="00D24868" w:rsidP="00D24868">
            <w:pPr>
              <w:ind w:firstLine="0"/>
              <w:rPr>
                <w:color w:val="000000"/>
                <w:szCs w:val="24"/>
              </w:rPr>
            </w:pPr>
            <w:r w:rsidRPr="009B5355">
              <w:rPr>
                <w:color w:val="000000"/>
                <w:szCs w:val="24"/>
              </w:rPr>
              <w:t>Сравнительный</w:t>
            </w:r>
          </w:p>
          <w:p w14:paraId="78AB8C7E" w14:textId="77777777" w:rsidR="00D24868" w:rsidRPr="009B5355" w:rsidRDefault="00D24868" w:rsidP="00D24868">
            <w:pPr>
              <w:ind w:firstLine="0"/>
              <w:rPr>
                <w:color w:val="000000"/>
                <w:szCs w:val="24"/>
              </w:rPr>
            </w:pPr>
          </w:p>
          <w:p w14:paraId="6839B150" w14:textId="77777777" w:rsidR="00D24868" w:rsidRPr="009B5355" w:rsidRDefault="00D24868" w:rsidP="00D24868">
            <w:pPr>
              <w:ind w:firstLine="0"/>
              <w:rPr>
                <w:color w:val="000000"/>
                <w:szCs w:val="24"/>
              </w:rPr>
            </w:pPr>
          </w:p>
          <w:p w14:paraId="08542780" w14:textId="77777777" w:rsidR="00D24868" w:rsidRPr="009B5355" w:rsidRDefault="00D24868" w:rsidP="00D24868">
            <w:pPr>
              <w:ind w:firstLine="0"/>
              <w:rPr>
                <w:color w:val="000000"/>
                <w:szCs w:val="24"/>
              </w:rPr>
            </w:pPr>
          </w:p>
          <w:p w14:paraId="0A99B0CC" w14:textId="1F7C2062" w:rsidR="00D24868" w:rsidRPr="009B5355" w:rsidRDefault="00D24868" w:rsidP="00D24868">
            <w:pPr>
              <w:ind w:firstLine="0"/>
              <w:rPr>
                <w:color w:val="000000"/>
                <w:szCs w:val="24"/>
              </w:rPr>
            </w:pPr>
            <w:r w:rsidRPr="009B5355">
              <w:rPr>
                <w:color w:val="000000"/>
                <w:szCs w:val="24"/>
              </w:rPr>
              <w:t>Затратный</w:t>
            </w:r>
          </w:p>
        </w:tc>
        <w:tc>
          <w:tcPr>
            <w:tcW w:w="1778" w:type="dxa"/>
            <w:tcBorders>
              <w:top w:val="single" w:sz="4" w:space="0" w:color="auto"/>
              <w:left w:val="single" w:sz="4" w:space="0" w:color="auto"/>
              <w:bottom w:val="single" w:sz="4" w:space="0" w:color="auto"/>
              <w:right w:val="single" w:sz="4" w:space="0" w:color="auto"/>
            </w:tcBorders>
            <w:shd w:val="clear" w:color="auto" w:fill="auto"/>
            <w:vAlign w:val="center"/>
          </w:tcPr>
          <w:p w14:paraId="459270D8" w14:textId="77777777" w:rsidR="00D24868" w:rsidRPr="009B5355" w:rsidRDefault="00D24868" w:rsidP="00D24868">
            <w:pPr>
              <w:ind w:firstLine="0"/>
              <w:rPr>
                <w:color w:val="000000"/>
                <w:szCs w:val="24"/>
              </w:rPr>
            </w:pPr>
            <w:r w:rsidRPr="009B5355">
              <w:rPr>
                <w:color w:val="000000"/>
                <w:szCs w:val="24"/>
              </w:rPr>
              <w:t>Массовый</w:t>
            </w:r>
          </w:p>
          <w:p w14:paraId="1DFFF100" w14:textId="77777777" w:rsidR="00D24868" w:rsidRPr="009B5355" w:rsidRDefault="00D24868" w:rsidP="00D24868">
            <w:pPr>
              <w:ind w:firstLine="0"/>
              <w:rPr>
                <w:color w:val="000000"/>
                <w:szCs w:val="24"/>
              </w:rPr>
            </w:pPr>
          </w:p>
          <w:p w14:paraId="7ECD615E" w14:textId="77777777" w:rsidR="00D24868" w:rsidRPr="009B5355" w:rsidRDefault="00D24868" w:rsidP="00D24868">
            <w:pPr>
              <w:ind w:firstLine="0"/>
              <w:rPr>
                <w:color w:val="000000"/>
                <w:szCs w:val="24"/>
              </w:rPr>
            </w:pPr>
          </w:p>
          <w:p w14:paraId="281D4138" w14:textId="77777777" w:rsidR="00D24868" w:rsidRPr="009B5355" w:rsidRDefault="00D24868" w:rsidP="00D24868">
            <w:pPr>
              <w:ind w:firstLine="0"/>
              <w:rPr>
                <w:color w:val="000000"/>
                <w:szCs w:val="24"/>
              </w:rPr>
            </w:pPr>
          </w:p>
          <w:p w14:paraId="452043F9" w14:textId="055BD4BE" w:rsidR="00D24868" w:rsidRPr="009B5355" w:rsidRDefault="00D24868" w:rsidP="00D24868">
            <w:pPr>
              <w:ind w:firstLine="0"/>
              <w:rPr>
                <w:color w:val="000000"/>
                <w:szCs w:val="24"/>
              </w:rPr>
            </w:pPr>
            <w:r w:rsidRPr="009B5355">
              <w:rPr>
                <w:color w:val="000000"/>
                <w:szCs w:val="24"/>
              </w:rPr>
              <w:t>Массовый</w:t>
            </w:r>
          </w:p>
        </w:tc>
        <w:tc>
          <w:tcPr>
            <w:tcW w:w="2062" w:type="dxa"/>
            <w:tcBorders>
              <w:top w:val="single" w:sz="4" w:space="0" w:color="auto"/>
              <w:left w:val="single" w:sz="4" w:space="0" w:color="auto"/>
              <w:bottom w:val="single" w:sz="4" w:space="0" w:color="auto"/>
              <w:right w:val="single" w:sz="4" w:space="0" w:color="auto"/>
            </w:tcBorders>
            <w:shd w:val="clear" w:color="auto" w:fill="auto"/>
            <w:vAlign w:val="center"/>
          </w:tcPr>
          <w:p w14:paraId="432EC52E" w14:textId="77777777" w:rsidR="00D24868" w:rsidRPr="009B5355" w:rsidRDefault="00D24868" w:rsidP="00D24868">
            <w:pPr>
              <w:ind w:firstLine="0"/>
              <w:rPr>
                <w:color w:val="000000"/>
                <w:szCs w:val="24"/>
              </w:rPr>
            </w:pPr>
            <w:r w:rsidRPr="009B5355">
              <w:rPr>
                <w:color w:val="000000"/>
                <w:szCs w:val="24"/>
              </w:rPr>
              <w:t>Метод статистического (регрессионного) моделирования</w:t>
            </w:r>
          </w:p>
          <w:p w14:paraId="744F4A14" w14:textId="77777777" w:rsidR="00D24868" w:rsidRPr="009B5355" w:rsidRDefault="00D24868" w:rsidP="00D24868">
            <w:pPr>
              <w:ind w:firstLine="0"/>
              <w:rPr>
                <w:color w:val="000000"/>
                <w:szCs w:val="24"/>
              </w:rPr>
            </w:pPr>
          </w:p>
          <w:p w14:paraId="20D9CF56" w14:textId="77777777" w:rsidR="00D24868" w:rsidRPr="009B5355" w:rsidRDefault="00D24868" w:rsidP="00D24868">
            <w:pPr>
              <w:ind w:firstLine="0"/>
              <w:rPr>
                <w:color w:val="000000"/>
                <w:szCs w:val="24"/>
              </w:rPr>
            </w:pPr>
            <w:r w:rsidRPr="009B5355">
              <w:rPr>
                <w:color w:val="000000"/>
                <w:szCs w:val="24"/>
              </w:rPr>
              <w:t>Метод УПКС (минимальный)</w:t>
            </w:r>
          </w:p>
          <w:p w14:paraId="5EF3E9A3" w14:textId="77777777" w:rsidR="00D24868" w:rsidRPr="009B5355" w:rsidRDefault="00D24868" w:rsidP="00D24868">
            <w:pPr>
              <w:ind w:firstLine="0"/>
              <w:rPr>
                <w:color w:val="000000"/>
                <w:szCs w:val="24"/>
              </w:rPr>
            </w:pPr>
          </w:p>
          <w:p w14:paraId="01DC7456" w14:textId="5DF55DF4" w:rsidR="00D24868" w:rsidRPr="009B5355" w:rsidRDefault="00D24868" w:rsidP="00D24868">
            <w:pPr>
              <w:ind w:firstLine="0"/>
              <w:rPr>
                <w:color w:val="000000"/>
                <w:szCs w:val="24"/>
              </w:rPr>
            </w:pPr>
            <w:r w:rsidRPr="009B5355">
              <w:rPr>
                <w:color w:val="000000"/>
                <w:szCs w:val="24"/>
              </w:rPr>
              <w:t>Метод сравнительной е</w:t>
            </w:r>
            <w:r w:rsidR="009B5355">
              <w:rPr>
                <w:color w:val="000000"/>
                <w:szCs w:val="24"/>
              </w:rPr>
              <w:t>диницы (УПСС)</w:t>
            </w:r>
          </w:p>
        </w:tc>
      </w:tr>
      <w:tr w:rsidR="00D24868" w:rsidRPr="00D24868" w14:paraId="15C0FFC6" w14:textId="77777777" w:rsidTr="00D24868">
        <w:trPr>
          <w:trHeight w:val="20"/>
        </w:trPr>
        <w:tc>
          <w:tcPr>
            <w:tcW w:w="1020" w:type="dxa"/>
            <w:tcBorders>
              <w:top w:val="single" w:sz="4" w:space="0" w:color="auto"/>
              <w:left w:val="single" w:sz="4" w:space="0" w:color="auto"/>
              <w:bottom w:val="single" w:sz="4" w:space="0" w:color="auto"/>
              <w:right w:val="single" w:sz="4" w:space="0" w:color="auto"/>
            </w:tcBorders>
            <w:shd w:val="clear" w:color="auto" w:fill="auto"/>
            <w:vAlign w:val="center"/>
          </w:tcPr>
          <w:p w14:paraId="05899E78" w14:textId="77777777" w:rsidR="00C54C00" w:rsidRPr="009B5355" w:rsidRDefault="00C54C00" w:rsidP="00C54C00">
            <w:pPr>
              <w:ind w:firstLine="0"/>
              <w:jc w:val="center"/>
              <w:rPr>
                <w:color w:val="000000"/>
                <w:szCs w:val="24"/>
              </w:rPr>
            </w:pPr>
            <w:r w:rsidRPr="009B5355">
              <w:rPr>
                <w:color w:val="000000"/>
                <w:szCs w:val="24"/>
              </w:rPr>
              <w:t>4</w:t>
            </w:r>
          </w:p>
        </w:tc>
        <w:tc>
          <w:tcPr>
            <w:tcW w:w="2664" w:type="dxa"/>
            <w:tcBorders>
              <w:top w:val="single" w:sz="4" w:space="0" w:color="auto"/>
              <w:left w:val="single" w:sz="4" w:space="0" w:color="auto"/>
              <w:bottom w:val="single" w:sz="4" w:space="0" w:color="auto"/>
              <w:right w:val="single" w:sz="4" w:space="0" w:color="auto"/>
            </w:tcBorders>
            <w:shd w:val="clear" w:color="auto" w:fill="auto"/>
            <w:vAlign w:val="center"/>
          </w:tcPr>
          <w:p w14:paraId="0B910602" w14:textId="1B1D244D" w:rsidR="00C54C00" w:rsidRPr="009B5355" w:rsidRDefault="00C54C00" w:rsidP="00C54C00">
            <w:pPr>
              <w:ind w:firstLine="0"/>
              <w:rPr>
                <w:color w:val="000000"/>
                <w:szCs w:val="24"/>
              </w:rPr>
            </w:pPr>
            <w:r w:rsidRPr="009B5355">
              <w:rPr>
                <w:rStyle w:val="afffffffffe"/>
                <w:b w:val="0"/>
                <w:szCs w:val="24"/>
              </w:rPr>
              <w:t>Объекты коммерческого назначения, предназначенные для оказания услуг населению, включая многофункционального назначения</w:t>
            </w:r>
          </w:p>
        </w:tc>
        <w:tc>
          <w:tcPr>
            <w:tcW w:w="1832" w:type="dxa"/>
            <w:tcBorders>
              <w:top w:val="single" w:sz="4" w:space="0" w:color="auto"/>
              <w:left w:val="single" w:sz="4" w:space="0" w:color="auto"/>
              <w:bottom w:val="single" w:sz="4" w:space="0" w:color="auto"/>
              <w:right w:val="single" w:sz="4" w:space="0" w:color="auto"/>
            </w:tcBorders>
            <w:shd w:val="clear" w:color="auto" w:fill="auto"/>
            <w:vAlign w:val="center"/>
          </w:tcPr>
          <w:p w14:paraId="1464B3BD" w14:textId="5B9C13F1" w:rsidR="00C54C00" w:rsidRPr="009B5355" w:rsidRDefault="00C54C00" w:rsidP="00C54C00">
            <w:pPr>
              <w:ind w:firstLine="0"/>
              <w:rPr>
                <w:color w:val="000000"/>
                <w:szCs w:val="24"/>
              </w:rPr>
            </w:pPr>
            <w:r w:rsidRPr="009B5355">
              <w:rPr>
                <w:color w:val="000000"/>
                <w:szCs w:val="24"/>
              </w:rPr>
              <w:t>Затратный</w:t>
            </w:r>
          </w:p>
          <w:p w14:paraId="0DB5F300" w14:textId="77777777" w:rsidR="00D24868" w:rsidRPr="009B5355" w:rsidRDefault="00D24868" w:rsidP="00C54C00">
            <w:pPr>
              <w:ind w:firstLine="0"/>
              <w:rPr>
                <w:color w:val="000000"/>
                <w:szCs w:val="24"/>
              </w:rPr>
            </w:pPr>
          </w:p>
          <w:p w14:paraId="55A025B7" w14:textId="471563B5" w:rsidR="00C54C00" w:rsidRPr="009B5355" w:rsidRDefault="00C54C00" w:rsidP="00C54C00">
            <w:pPr>
              <w:ind w:firstLine="0"/>
              <w:rPr>
                <w:color w:val="000000"/>
                <w:szCs w:val="24"/>
              </w:rPr>
            </w:pPr>
            <w:r w:rsidRPr="009B5355">
              <w:rPr>
                <w:color w:val="000000"/>
                <w:szCs w:val="24"/>
              </w:rPr>
              <w:t>Сравнительный</w:t>
            </w:r>
          </w:p>
        </w:tc>
        <w:tc>
          <w:tcPr>
            <w:tcW w:w="1778" w:type="dxa"/>
            <w:tcBorders>
              <w:top w:val="single" w:sz="4" w:space="0" w:color="auto"/>
              <w:left w:val="single" w:sz="4" w:space="0" w:color="auto"/>
              <w:bottom w:val="single" w:sz="4" w:space="0" w:color="auto"/>
              <w:right w:val="single" w:sz="4" w:space="0" w:color="auto"/>
            </w:tcBorders>
            <w:shd w:val="clear" w:color="auto" w:fill="auto"/>
            <w:vAlign w:val="center"/>
          </w:tcPr>
          <w:p w14:paraId="0F8ED417" w14:textId="77777777" w:rsidR="00C54C00" w:rsidRPr="009B5355" w:rsidRDefault="00C54C00" w:rsidP="00C54C00">
            <w:pPr>
              <w:ind w:firstLine="0"/>
              <w:rPr>
                <w:color w:val="000000"/>
                <w:szCs w:val="24"/>
              </w:rPr>
            </w:pPr>
            <w:r w:rsidRPr="009B5355">
              <w:rPr>
                <w:color w:val="000000"/>
                <w:szCs w:val="24"/>
              </w:rPr>
              <w:t>Массовый</w:t>
            </w:r>
          </w:p>
          <w:p w14:paraId="3F098C6A" w14:textId="77777777" w:rsidR="00D24868" w:rsidRPr="009B5355" w:rsidRDefault="00D24868" w:rsidP="00C54C00">
            <w:pPr>
              <w:ind w:firstLine="0"/>
              <w:rPr>
                <w:color w:val="000000"/>
                <w:szCs w:val="24"/>
              </w:rPr>
            </w:pPr>
          </w:p>
          <w:p w14:paraId="7BD3C935" w14:textId="5EBD1041" w:rsidR="00D24868" w:rsidRPr="009B5355" w:rsidRDefault="00D24868" w:rsidP="00C54C00">
            <w:pPr>
              <w:ind w:firstLine="0"/>
              <w:rPr>
                <w:color w:val="000000"/>
                <w:szCs w:val="24"/>
              </w:rPr>
            </w:pPr>
            <w:r w:rsidRPr="009B5355">
              <w:rPr>
                <w:color w:val="000000"/>
                <w:szCs w:val="24"/>
              </w:rPr>
              <w:t>Массовый</w:t>
            </w:r>
          </w:p>
        </w:tc>
        <w:tc>
          <w:tcPr>
            <w:tcW w:w="2062" w:type="dxa"/>
            <w:tcBorders>
              <w:top w:val="single" w:sz="4" w:space="0" w:color="auto"/>
              <w:left w:val="single" w:sz="4" w:space="0" w:color="auto"/>
              <w:bottom w:val="single" w:sz="4" w:space="0" w:color="auto"/>
              <w:right w:val="single" w:sz="4" w:space="0" w:color="auto"/>
            </w:tcBorders>
            <w:shd w:val="clear" w:color="auto" w:fill="auto"/>
            <w:vAlign w:val="center"/>
          </w:tcPr>
          <w:p w14:paraId="34BA336C" w14:textId="4C60FA1F" w:rsidR="00C54C00" w:rsidRPr="009B5355" w:rsidRDefault="00C54C00" w:rsidP="00C54C00">
            <w:pPr>
              <w:ind w:firstLine="0"/>
              <w:rPr>
                <w:color w:val="000000"/>
                <w:szCs w:val="24"/>
              </w:rPr>
            </w:pPr>
            <w:r w:rsidRPr="009B5355">
              <w:rPr>
                <w:color w:val="000000"/>
                <w:szCs w:val="24"/>
              </w:rPr>
              <w:t>Метод сравнительной единицы (УПСС)</w:t>
            </w:r>
          </w:p>
          <w:p w14:paraId="3F684E8E" w14:textId="77777777" w:rsidR="00D24868" w:rsidRPr="009B5355" w:rsidRDefault="00D24868" w:rsidP="00C54C00">
            <w:pPr>
              <w:ind w:firstLine="0"/>
              <w:rPr>
                <w:color w:val="000000"/>
                <w:szCs w:val="24"/>
              </w:rPr>
            </w:pPr>
          </w:p>
          <w:p w14:paraId="06DADF9B" w14:textId="51E17E59" w:rsidR="00D24868" w:rsidRPr="009B5355" w:rsidRDefault="00D24868" w:rsidP="00D24868">
            <w:pPr>
              <w:ind w:firstLine="0"/>
              <w:rPr>
                <w:color w:val="000000"/>
                <w:szCs w:val="24"/>
              </w:rPr>
            </w:pPr>
            <w:r w:rsidRPr="009B5355">
              <w:rPr>
                <w:color w:val="000000"/>
                <w:szCs w:val="24"/>
              </w:rPr>
              <w:t>Метод УПКС (минимальный)</w:t>
            </w:r>
          </w:p>
        </w:tc>
      </w:tr>
      <w:tr w:rsidR="00D24868" w:rsidRPr="00D24868" w14:paraId="7BF3DAA2" w14:textId="77777777" w:rsidTr="00D24868">
        <w:trPr>
          <w:trHeight w:val="20"/>
        </w:trPr>
        <w:tc>
          <w:tcPr>
            <w:tcW w:w="1020" w:type="dxa"/>
            <w:tcBorders>
              <w:top w:val="single" w:sz="4" w:space="0" w:color="auto"/>
              <w:left w:val="single" w:sz="4" w:space="0" w:color="auto"/>
              <w:bottom w:val="single" w:sz="4" w:space="0" w:color="auto"/>
              <w:right w:val="single" w:sz="4" w:space="0" w:color="auto"/>
            </w:tcBorders>
            <w:shd w:val="clear" w:color="auto" w:fill="auto"/>
            <w:vAlign w:val="center"/>
          </w:tcPr>
          <w:p w14:paraId="282106D4" w14:textId="77777777" w:rsidR="00D24868" w:rsidRPr="009B5355" w:rsidRDefault="00D24868" w:rsidP="00D24868">
            <w:pPr>
              <w:ind w:firstLine="0"/>
              <w:jc w:val="center"/>
              <w:rPr>
                <w:color w:val="000000"/>
                <w:szCs w:val="24"/>
              </w:rPr>
            </w:pPr>
            <w:r w:rsidRPr="009B5355">
              <w:rPr>
                <w:color w:val="000000"/>
                <w:szCs w:val="24"/>
              </w:rPr>
              <w:t>5</w:t>
            </w:r>
          </w:p>
        </w:tc>
        <w:tc>
          <w:tcPr>
            <w:tcW w:w="2664" w:type="dxa"/>
            <w:tcBorders>
              <w:top w:val="single" w:sz="4" w:space="0" w:color="auto"/>
              <w:left w:val="single" w:sz="4" w:space="0" w:color="auto"/>
              <w:bottom w:val="single" w:sz="4" w:space="0" w:color="auto"/>
              <w:right w:val="single" w:sz="4" w:space="0" w:color="auto"/>
            </w:tcBorders>
            <w:shd w:val="clear" w:color="auto" w:fill="auto"/>
            <w:vAlign w:val="center"/>
          </w:tcPr>
          <w:p w14:paraId="160FB9D3" w14:textId="7B673681" w:rsidR="00D24868" w:rsidRPr="009B5355" w:rsidRDefault="00D24868" w:rsidP="00D24868">
            <w:pPr>
              <w:ind w:firstLine="0"/>
              <w:rPr>
                <w:color w:val="000000"/>
                <w:szCs w:val="24"/>
              </w:rPr>
            </w:pPr>
            <w:r w:rsidRPr="009B5355">
              <w:rPr>
                <w:rStyle w:val="afffffffffe"/>
                <w:b w:val="0"/>
                <w:szCs w:val="24"/>
              </w:rPr>
              <w:t>Объекты временного проживания, включая объекты рекреационно - оздоровительного значения</w:t>
            </w:r>
          </w:p>
        </w:tc>
        <w:tc>
          <w:tcPr>
            <w:tcW w:w="1832" w:type="dxa"/>
            <w:tcBorders>
              <w:top w:val="single" w:sz="4" w:space="0" w:color="auto"/>
              <w:left w:val="single" w:sz="4" w:space="0" w:color="auto"/>
              <w:bottom w:val="single" w:sz="4" w:space="0" w:color="auto"/>
              <w:right w:val="single" w:sz="4" w:space="0" w:color="auto"/>
            </w:tcBorders>
            <w:shd w:val="clear" w:color="auto" w:fill="auto"/>
            <w:vAlign w:val="center"/>
          </w:tcPr>
          <w:p w14:paraId="49AB3E46" w14:textId="77777777" w:rsidR="00D24868" w:rsidRPr="009B5355" w:rsidRDefault="00D24868" w:rsidP="00D24868">
            <w:pPr>
              <w:ind w:firstLine="0"/>
              <w:rPr>
                <w:color w:val="000000"/>
                <w:szCs w:val="24"/>
              </w:rPr>
            </w:pPr>
            <w:r w:rsidRPr="009B5355">
              <w:rPr>
                <w:color w:val="000000"/>
                <w:szCs w:val="24"/>
              </w:rPr>
              <w:t>Затратный</w:t>
            </w:r>
          </w:p>
          <w:p w14:paraId="4980DE2B" w14:textId="77777777" w:rsidR="00D24868" w:rsidRPr="009B5355" w:rsidRDefault="00D24868" w:rsidP="00D24868">
            <w:pPr>
              <w:ind w:firstLine="0"/>
              <w:rPr>
                <w:color w:val="000000"/>
                <w:szCs w:val="24"/>
              </w:rPr>
            </w:pPr>
          </w:p>
          <w:p w14:paraId="7458A014" w14:textId="6FD7F02F" w:rsidR="00D24868" w:rsidRPr="009B5355" w:rsidRDefault="00D24868" w:rsidP="00D24868">
            <w:pPr>
              <w:ind w:firstLine="0"/>
              <w:rPr>
                <w:color w:val="000000"/>
                <w:szCs w:val="24"/>
              </w:rPr>
            </w:pPr>
            <w:r w:rsidRPr="009B5355">
              <w:rPr>
                <w:color w:val="000000"/>
                <w:szCs w:val="24"/>
              </w:rPr>
              <w:t>Сравнительный</w:t>
            </w:r>
          </w:p>
        </w:tc>
        <w:tc>
          <w:tcPr>
            <w:tcW w:w="1778" w:type="dxa"/>
            <w:tcBorders>
              <w:top w:val="single" w:sz="4" w:space="0" w:color="auto"/>
              <w:left w:val="single" w:sz="4" w:space="0" w:color="auto"/>
              <w:bottom w:val="single" w:sz="4" w:space="0" w:color="auto"/>
              <w:right w:val="single" w:sz="4" w:space="0" w:color="auto"/>
            </w:tcBorders>
            <w:shd w:val="clear" w:color="auto" w:fill="auto"/>
            <w:vAlign w:val="center"/>
          </w:tcPr>
          <w:p w14:paraId="36023875" w14:textId="77777777" w:rsidR="00D24868" w:rsidRPr="009B5355" w:rsidRDefault="00D24868" w:rsidP="00D24868">
            <w:pPr>
              <w:ind w:firstLine="0"/>
              <w:rPr>
                <w:color w:val="000000"/>
                <w:szCs w:val="24"/>
              </w:rPr>
            </w:pPr>
            <w:r w:rsidRPr="009B5355">
              <w:rPr>
                <w:color w:val="000000"/>
                <w:szCs w:val="24"/>
              </w:rPr>
              <w:t>Массовый</w:t>
            </w:r>
          </w:p>
          <w:p w14:paraId="0E3CAF55" w14:textId="77777777" w:rsidR="00D24868" w:rsidRPr="009B5355" w:rsidRDefault="00D24868" w:rsidP="00D24868">
            <w:pPr>
              <w:ind w:firstLine="0"/>
              <w:rPr>
                <w:color w:val="000000"/>
                <w:szCs w:val="24"/>
              </w:rPr>
            </w:pPr>
          </w:p>
          <w:p w14:paraId="07020399" w14:textId="491F06A7" w:rsidR="00D24868" w:rsidRPr="009B5355" w:rsidRDefault="00D24868" w:rsidP="00D24868">
            <w:pPr>
              <w:ind w:firstLine="0"/>
              <w:rPr>
                <w:color w:val="000000"/>
                <w:szCs w:val="24"/>
              </w:rPr>
            </w:pPr>
            <w:r w:rsidRPr="009B5355">
              <w:rPr>
                <w:color w:val="000000"/>
                <w:szCs w:val="24"/>
              </w:rPr>
              <w:t>Массовый</w:t>
            </w:r>
          </w:p>
        </w:tc>
        <w:tc>
          <w:tcPr>
            <w:tcW w:w="2062" w:type="dxa"/>
            <w:tcBorders>
              <w:top w:val="single" w:sz="4" w:space="0" w:color="auto"/>
              <w:left w:val="single" w:sz="4" w:space="0" w:color="auto"/>
              <w:bottom w:val="single" w:sz="4" w:space="0" w:color="auto"/>
              <w:right w:val="single" w:sz="4" w:space="0" w:color="auto"/>
            </w:tcBorders>
            <w:shd w:val="clear" w:color="auto" w:fill="auto"/>
            <w:vAlign w:val="center"/>
          </w:tcPr>
          <w:p w14:paraId="60A79183" w14:textId="77777777" w:rsidR="00D24868" w:rsidRPr="009B5355" w:rsidRDefault="00D24868" w:rsidP="00D24868">
            <w:pPr>
              <w:ind w:firstLine="0"/>
              <w:rPr>
                <w:color w:val="000000"/>
                <w:szCs w:val="24"/>
              </w:rPr>
            </w:pPr>
            <w:r w:rsidRPr="009B5355">
              <w:rPr>
                <w:color w:val="000000"/>
                <w:szCs w:val="24"/>
              </w:rPr>
              <w:t>Метод сравнительной единицы (УПСС)</w:t>
            </w:r>
          </w:p>
          <w:p w14:paraId="17862D4D" w14:textId="77777777" w:rsidR="00D24868" w:rsidRPr="009B5355" w:rsidRDefault="00D24868" w:rsidP="00D24868">
            <w:pPr>
              <w:ind w:firstLine="0"/>
              <w:rPr>
                <w:color w:val="000000"/>
                <w:szCs w:val="24"/>
              </w:rPr>
            </w:pPr>
          </w:p>
          <w:p w14:paraId="7350C072" w14:textId="1184AD3B" w:rsidR="00D24868" w:rsidRPr="009B5355" w:rsidRDefault="00D24868" w:rsidP="00D24868">
            <w:pPr>
              <w:ind w:firstLine="27"/>
              <w:rPr>
                <w:szCs w:val="24"/>
              </w:rPr>
            </w:pPr>
            <w:r w:rsidRPr="009B5355">
              <w:rPr>
                <w:color w:val="000000"/>
                <w:szCs w:val="24"/>
              </w:rPr>
              <w:t>Метод УПКС (минимальный)</w:t>
            </w:r>
          </w:p>
        </w:tc>
      </w:tr>
      <w:tr w:rsidR="00D24868" w:rsidRPr="00D24868" w14:paraId="174FB353" w14:textId="77777777" w:rsidTr="00D24868">
        <w:trPr>
          <w:trHeight w:val="20"/>
        </w:trPr>
        <w:tc>
          <w:tcPr>
            <w:tcW w:w="1020" w:type="dxa"/>
            <w:tcBorders>
              <w:top w:val="single" w:sz="4" w:space="0" w:color="auto"/>
              <w:left w:val="single" w:sz="4" w:space="0" w:color="auto"/>
              <w:bottom w:val="single" w:sz="4" w:space="0" w:color="auto"/>
              <w:right w:val="single" w:sz="4" w:space="0" w:color="auto"/>
            </w:tcBorders>
            <w:shd w:val="clear" w:color="auto" w:fill="auto"/>
            <w:vAlign w:val="center"/>
          </w:tcPr>
          <w:p w14:paraId="5517778E" w14:textId="77777777" w:rsidR="00D24868" w:rsidRPr="009B5355" w:rsidRDefault="00D24868" w:rsidP="00D24868">
            <w:pPr>
              <w:ind w:firstLine="0"/>
              <w:jc w:val="center"/>
              <w:rPr>
                <w:color w:val="000000"/>
                <w:szCs w:val="24"/>
              </w:rPr>
            </w:pPr>
            <w:r w:rsidRPr="009B5355">
              <w:rPr>
                <w:color w:val="000000"/>
                <w:szCs w:val="24"/>
              </w:rPr>
              <w:t>6</w:t>
            </w:r>
          </w:p>
        </w:tc>
        <w:tc>
          <w:tcPr>
            <w:tcW w:w="2664" w:type="dxa"/>
            <w:tcBorders>
              <w:top w:val="single" w:sz="4" w:space="0" w:color="auto"/>
              <w:left w:val="single" w:sz="4" w:space="0" w:color="auto"/>
              <w:bottom w:val="single" w:sz="4" w:space="0" w:color="auto"/>
              <w:right w:val="single" w:sz="4" w:space="0" w:color="auto"/>
            </w:tcBorders>
            <w:shd w:val="clear" w:color="auto" w:fill="auto"/>
            <w:vAlign w:val="center"/>
          </w:tcPr>
          <w:p w14:paraId="0052626C" w14:textId="2129602F" w:rsidR="00D24868" w:rsidRPr="009B5355" w:rsidRDefault="00D24868" w:rsidP="00D24868">
            <w:pPr>
              <w:ind w:firstLine="0"/>
              <w:rPr>
                <w:color w:val="000000"/>
                <w:szCs w:val="24"/>
              </w:rPr>
            </w:pPr>
            <w:r w:rsidRPr="009B5355">
              <w:rPr>
                <w:rStyle w:val="afffffffffe"/>
                <w:b w:val="0"/>
                <w:szCs w:val="24"/>
              </w:rPr>
              <w:t>Административные и бытовые объекты</w:t>
            </w:r>
          </w:p>
        </w:tc>
        <w:tc>
          <w:tcPr>
            <w:tcW w:w="1832" w:type="dxa"/>
            <w:tcBorders>
              <w:top w:val="single" w:sz="4" w:space="0" w:color="auto"/>
              <w:left w:val="single" w:sz="4" w:space="0" w:color="auto"/>
              <w:bottom w:val="single" w:sz="4" w:space="0" w:color="auto"/>
              <w:right w:val="single" w:sz="4" w:space="0" w:color="auto"/>
            </w:tcBorders>
            <w:shd w:val="clear" w:color="auto" w:fill="auto"/>
            <w:vAlign w:val="center"/>
          </w:tcPr>
          <w:p w14:paraId="6C6C52ED" w14:textId="77777777" w:rsidR="00D24868" w:rsidRPr="009B5355" w:rsidRDefault="00D24868" w:rsidP="00D24868">
            <w:pPr>
              <w:ind w:firstLine="0"/>
              <w:rPr>
                <w:color w:val="000000"/>
                <w:szCs w:val="24"/>
              </w:rPr>
            </w:pPr>
            <w:r w:rsidRPr="009B5355">
              <w:rPr>
                <w:color w:val="000000"/>
                <w:szCs w:val="24"/>
              </w:rPr>
              <w:t>Затратный</w:t>
            </w:r>
          </w:p>
          <w:p w14:paraId="12B6417E" w14:textId="77777777" w:rsidR="00D24868" w:rsidRPr="009B5355" w:rsidRDefault="00D24868" w:rsidP="00D24868">
            <w:pPr>
              <w:ind w:firstLine="0"/>
              <w:rPr>
                <w:color w:val="000000"/>
                <w:szCs w:val="24"/>
              </w:rPr>
            </w:pPr>
          </w:p>
          <w:p w14:paraId="739688EC" w14:textId="74FB27C2" w:rsidR="00D24868" w:rsidRPr="009B5355" w:rsidRDefault="00D24868" w:rsidP="00D24868">
            <w:pPr>
              <w:ind w:firstLine="0"/>
              <w:rPr>
                <w:color w:val="000000"/>
                <w:szCs w:val="24"/>
              </w:rPr>
            </w:pPr>
            <w:r w:rsidRPr="009B5355">
              <w:rPr>
                <w:color w:val="000000"/>
                <w:szCs w:val="24"/>
              </w:rPr>
              <w:t>Сравнительный</w:t>
            </w:r>
          </w:p>
        </w:tc>
        <w:tc>
          <w:tcPr>
            <w:tcW w:w="1778" w:type="dxa"/>
            <w:tcBorders>
              <w:top w:val="single" w:sz="4" w:space="0" w:color="auto"/>
              <w:left w:val="single" w:sz="4" w:space="0" w:color="auto"/>
              <w:bottom w:val="single" w:sz="4" w:space="0" w:color="auto"/>
              <w:right w:val="single" w:sz="4" w:space="0" w:color="auto"/>
            </w:tcBorders>
            <w:shd w:val="clear" w:color="auto" w:fill="auto"/>
            <w:vAlign w:val="center"/>
          </w:tcPr>
          <w:p w14:paraId="12665895" w14:textId="77777777" w:rsidR="00D24868" w:rsidRPr="009B5355" w:rsidRDefault="00D24868" w:rsidP="00D24868">
            <w:pPr>
              <w:ind w:firstLine="0"/>
              <w:rPr>
                <w:color w:val="000000"/>
                <w:szCs w:val="24"/>
              </w:rPr>
            </w:pPr>
            <w:r w:rsidRPr="009B5355">
              <w:rPr>
                <w:color w:val="000000"/>
                <w:szCs w:val="24"/>
              </w:rPr>
              <w:t>Массовый</w:t>
            </w:r>
          </w:p>
          <w:p w14:paraId="7B611A33" w14:textId="77777777" w:rsidR="00D24868" w:rsidRPr="009B5355" w:rsidRDefault="00D24868" w:rsidP="00D24868">
            <w:pPr>
              <w:ind w:firstLine="0"/>
              <w:rPr>
                <w:color w:val="000000"/>
                <w:szCs w:val="24"/>
              </w:rPr>
            </w:pPr>
          </w:p>
          <w:p w14:paraId="710FAEB5" w14:textId="57372112" w:rsidR="00D24868" w:rsidRPr="009B5355" w:rsidRDefault="00D24868" w:rsidP="00D24868">
            <w:pPr>
              <w:ind w:firstLine="0"/>
              <w:rPr>
                <w:color w:val="000000"/>
                <w:szCs w:val="24"/>
              </w:rPr>
            </w:pPr>
            <w:r w:rsidRPr="009B5355">
              <w:rPr>
                <w:color w:val="000000"/>
                <w:szCs w:val="24"/>
              </w:rPr>
              <w:t>Массовый</w:t>
            </w:r>
          </w:p>
        </w:tc>
        <w:tc>
          <w:tcPr>
            <w:tcW w:w="2062" w:type="dxa"/>
            <w:tcBorders>
              <w:top w:val="single" w:sz="4" w:space="0" w:color="auto"/>
              <w:left w:val="single" w:sz="4" w:space="0" w:color="auto"/>
              <w:bottom w:val="single" w:sz="4" w:space="0" w:color="auto"/>
              <w:right w:val="single" w:sz="4" w:space="0" w:color="auto"/>
            </w:tcBorders>
            <w:shd w:val="clear" w:color="auto" w:fill="auto"/>
            <w:vAlign w:val="center"/>
          </w:tcPr>
          <w:p w14:paraId="0A5A697C" w14:textId="77777777" w:rsidR="00D24868" w:rsidRPr="009B5355" w:rsidRDefault="00D24868" w:rsidP="00D24868">
            <w:pPr>
              <w:ind w:firstLine="0"/>
              <w:rPr>
                <w:color w:val="000000"/>
                <w:szCs w:val="24"/>
              </w:rPr>
            </w:pPr>
            <w:r w:rsidRPr="009B5355">
              <w:rPr>
                <w:color w:val="000000"/>
                <w:szCs w:val="24"/>
              </w:rPr>
              <w:t>Метод сравнительной единицы (УПСС)</w:t>
            </w:r>
          </w:p>
          <w:p w14:paraId="498D6B20" w14:textId="77777777" w:rsidR="00D24868" w:rsidRPr="009B5355" w:rsidRDefault="00D24868" w:rsidP="00D24868">
            <w:pPr>
              <w:ind w:firstLine="0"/>
              <w:rPr>
                <w:color w:val="000000"/>
                <w:szCs w:val="24"/>
              </w:rPr>
            </w:pPr>
          </w:p>
          <w:p w14:paraId="01AE506A" w14:textId="5153837D" w:rsidR="00D24868" w:rsidRPr="009B5355" w:rsidRDefault="00D24868" w:rsidP="00D24868">
            <w:pPr>
              <w:ind w:firstLine="27"/>
              <w:rPr>
                <w:szCs w:val="24"/>
              </w:rPr>
            </w:pPr>
            <w:r w:rsidRPr="009B5355">
              <w:rPr>
                <w:color w:val="000000"/>
                <w:szCs w:val="24"/>
              </w:rPr>
              <w:t>Метод УПКС (минимальный)</w:t>
            </w:r>
          </w:p>
        </w:tc>
      </w:tr>
      <w:tr w:rsidR="00D24868" w:rsidRPr="00D24868" w14:paraId="3CB2DFB5" w14:textId="77777777" w:rsidTr="00D24868">
        <w:trPr>
          <w:trHeight w:val="20"/>
        </w:trPr>
        <w:tc>
          <w:tcPr>
            <w:tcW w:w="1020" w:type="dxa"/>
            <w:tcBorders>
              <w:top w:val="single" w:sz="4" w:space="0" w:color="auto"/>
              <w:left w:val="single" w:sz="4" w:space="0" w:color="auto"/>
              <w:bottom w:val="single" w:sz="4" w:space="0" w:color="auto"/>
              <w:right w:val="single" w:sz="4" w:space="0" w:color="auto"/>
            </w:tcBorders>
            <w:shd w:val="clear" w:color="auto" w:fill="auto"/>
            <w:vAlign w:val="center"/>
          </w:tcPr>
          <w:p w14:paraId="679F2F33" w14:textId="77777777" w:rsidR="00D24868" w:rsidRPr="009B5355" w:rsidRDefault="00D24868" w:rsidP="00D24868">
            <w:pPr>
              <w:ind w:firstLine="0"/>
              <w:jc w:val="center"/>
              <w:rPr>
                <w:color w:val="000000"/>
                <w:szCs w:val="24"/>
              </w:rPr>
            </w:pPr>
            <w:r w:rsidRPr="009B5355">
              <w:rPr>
                <w:color w:val="000000"/>
                <w:szCs w:val="24"/>
              </w:rPr>
              <w:t>7</w:t>
            </w:r>
          </w:p>
        </w:tc>
        <w:tc>
          <w:tcPr>
            <w:tcW w:w="2664" w:type="dxa"/>
            <w:tcBorders>
              <w:top w:val="single" w:sz="4" w:space="0" w:color="auto"/>
              <w:left w:val="single" w:sz="4" w:space="0" w:color="auto"/>
              <w:bottom w:val="single" w:sz="4" w:space="0" w:color="auto"/>
              <w:right w:val="single" w:sz="4" w:space="0" w:color="auto"/>
            </w:tcBorders>
            <w:shd w:val="clear" w:color="auto" w:fill="auto"/>
            <w:vAlign w:val="center"/>
          </w:tcPr>
          <w:p w14:paraId="60E2A346" w14:textId="7C7079B0" w:rsidR="00D24868" w:rsidRPr="009B5355" w:rsidRDefault="00D24868" w:rsidP="00D24868">
            <w:pPr>
              <w:ind w:firstLine="0"/>
              <w:rPr>
                <w:color w:val="000000"/>
                <w:szCs w:val="24"/>
              </w:rPr>
            </w:pPr>
            <w:r w:rsidRPr="009B5355">
              <w:rPr>
                <w:rStyle w:val="afffffffffe"/>
                <w:b w:val="0"/>
                <w:szCs w:val="24"/>
              </w:rPr>
              <w:t>Объекты производственного назначения, за исключением передаточных устройств и сооружений</w:t>
            </w:r>
          </w:p>
        </w:tc>
        <w:tc>
          <w:tcPr>
            <w:tcW w:w="1832" w:type="dxa"/>
            <w:tcBorders>
              <w:top w:val="single" w:sz="4" w:space="0" w:color="auto"/>
              <w:left w:val="single" w:sz="4" w:space="0" w:color="auto"/>
              <w:bottom w:val="single" w:sz="4" w:space="0" w:color="auto"/>
              <w:right w:val="single" w:sz="4" w:space="0" w:color="auto"/>
            </w:tcBorders>
            <w:shd w:val="clear" w:color="auto" w:fill="auto"/>
            <w:vAlign w:val="center"/>
          </w:tcPr>
          <w:p w14:paraId="676908BA" w14:textId="77777777" w:rsidR="00D24868" w:rsidRPr="009B5355" w:rsidRDefault="00D24868" w:rsidP="00D24868">
            <w:pPr>
              <w:ind w:firstLine="0"/>
              <w:rPr>
                <w:color w:val="000000"/>
                <w:szCs w:val="24"/>
              </w:rPr>
            </w:pPr>
            <w:r w:rsidRPr="009B5355">
              <w:rPr>
                <w:color w:val="000000"/>
                <w:szCs w:val="24"/>
              </w:rPr>
              <w:t>Затратный</w:t>
            </w:r>
          </w:p>
          <w:p w14:paraId="4380B74A" w14:textId="77777777" w:rsidR="00D24868" w:rsidRPr="009B5355" w:rsidRDefault="00D24868" w:rsidP="00D24868">
            <w:pPr>
              <w:ind w:firstLine="0"/>
              <w:rPr>
                <w:color w:val="000000"/>
                <w:szCs w:val="24"/>
              </w:rPr>
            </w:pPr>
          </w:p>
          <w:p w14:paraId="719E95E9" w14:textId="3C04650E" w:rsidR="00D24868" w:rsidRPr="009B5355" w:rsidRDefault="00D24868" w:rsidP="00D24868">
            <w:pPr>
              <w:ind w:firstLine="0"/>
              <w:rPr>
                <w:color w:val="000000"/>
                <w:szCs w:val="24"/>
              </w:rPr>
            </w:pPr>
            <w:r w:rsidRPr="009B5355">
              <w:rPr>
                <w:color w:val="000000"/>
                <w:szCs w:val="24"/>
              </w:rPr>
              <w:t>Сравнительный</w:t>
            </w:r>
          </w:p>
        </w:tc>
        <w:tc>
          <w:tcPr>
            <w:tcW w:w="1778" w:type="dxa"/>
            <w:tcBorders>
              <w:top w:val="single" w:sz="4" w:space="0" w:color="auto"/>
              <w:left w:val="single" w:sz="4" w:space="0" w:color="auto"/>
              <w:bottom w:val="single" w:sz="4" w:space="0" w:color="auto"/>
              <w:right w:val="single" w:sz="4" w:space="0" w:color="auto"/>
            </w:tcBorders>
            <w:shd w:val="clear" w:color="auto" w:fill="auto"/>
            <w:vAlign w:val="center"/>
          </w:tcPr>
          <w:p w14:paraId="5E60E5DB" w14:textId="77777777" w:rsidR="00D24868" w:rsidRPr="009B5355" w:rsidRDefault="00D24868" w:rsidP="00D24868">
            <w:pPr>
              <w:ind w:firstLine="0"/>
              <w:rPr>
                <w:color w:val="000000"/>
                <w:szCs w:val="24"/>
              </w:rPr>
            </w:pPr>
            <w:r w:rsidRPr="009B5355">
              <w:rPr>
                <w:color w:val="000000"/>
                <w:szCs w:val="24"/>
              </w:rPr>
              <w:t>Массовый</w:t>
            </w:r>
          </w:p>
          <w:p w14:paraId="465EFC2B" w14:textId="77777777" w:rsidR="00D24868" w:rsidRPr="009B5355" w:rsidRDefault="00D24868" w:rsidP="00D24868">
            <w:pPr>
              <w:ind w:firstLine="0"/>
              <w:rPr>
                <w:color w:val="000000"/>
                <w:szCs w:val="24"/>
              </w:rPr>
            </w:pPr>
          </w:p>
          <w:p w14:paraId="6BE9F18B" w14:textId="44FCCFE4" w:rsidR="00D24868" w:rsidRPr="009B5355" w:rsidRDefault="00D24868" w:rsidP="00D24868">
            <w:pPr>
              <w:ind w:firstLine="0"/>
              <w:rPr>
                <w:color w:val="000000"/>
                <w:szCs w:val="24"/>
              </w:rPr>
            </w:pPr>
            <w:r w:rsidRPr="009B5355">
              <w:rPr>
                <w:color w:val="000000"/>
                <w:szCs w:val="24"/>
              </w:rPr>
              <w:t>Массовый</w:t>
            </w:r>
          </w:p>
        </w:tc>
        <w:tc>
          <w:tcPr>
            <w:tcW w:w="2062" w:type="dxa"/>
            <w:tcBorders>
              <w:top w:val="single" w:sz="4" w:space="0" w:color="auto"/>
              <w:left w:val="single" w:sz="4" w:space="0" w:color="auto"/>
              <w:bottom w:val="single" w:sz="4" w:space="0" w:color="auto"/>
              <w:right w:val="single" w:sz="4" w:space="0" w:color="auto"/>
            </w:tcBorders>
            <w:shd w:val="clear" w:color="auto" w:fill="auto"/>
            <w:vAlign w:val="center"/>
          </w:tcPr>
          <w:p w14:paraId="38AE0F91" w14:textId="77777777" w:rsidR="00D24868" w:rsidRPr="009B5355" w:rsidRDefault="00D24868" w:rsidP="00D24868">
            <w:pPr>
              <w:ind w:firstLine="0"/>
              <w:rPr>
                <w:color w:val="000000"/>
                <w:szCs w:val="24"/>
              </w:rPr>
            </w:pPr>
            <w:r w:rsidRPr="009B5355">
              <w:rPr>
                <w:color w:val="000000"/>
                <w:szCs w:val="24"/>
              </w:rPr>
              <w:t>Метод сравнительной единицы (УПСС)</w:t>
            </w:r>
          </w:p>
          <w:p w14:paraId="0897FC6E" w14:textId="77777777" w:rsidR="00D24868" w:rsidRPr="009B5355" w:rsidRDefault="00D24868" w:rsidP="00D24868">
            <w:pPr>
              <w:ind w:firstLine="0"/>
              <w:rPr>
                <w:color w:val="000000"/>
                <w:szCs w:val="24"/>
              </w:rPr>
            </w:pPr>
          </w:p>
          <w:p w14:paraId="08E462E7" w14:textId="49BBB7C4" w:rsidR="00D24868" w:rsidRPr="009B5355" w:rsidRDefault="00D24868" w:rsidP="00D24868">
            <w:pPr>
              <w:ind w:firstLine="27"/>
              <w:rPr>
                <w:szCs w:val="24"/>
              </w:rPr>
            </w:pPr>
            <w:r w:rsidRPr="009B5355">
              <w:rPr>
                <w:color w:val="000000"/>
                <w:szCs w:val="24"/>
              </w:rPr>
              <w:t>Метод УПКС (минимальный)</w:t>
            </w:r>
          </w:p>
        </w:tc>
      </w:tr>
      <w:tr w:rsidR="00D24868" w:rsidRPr="00D24868" w14:paraId="3F61FD04" w14:textId="77777777" w:rsidTr="00D24868">
        <w:trPr>
          <w:trHeight w:val="20"/>
        </w:trPr>
        <w:tc>
          <w:tcPr>
            <w:tcW w:w="1020" w:type="dxa"/>
            <w:tcBorders>
              <w:top w:val="single" w:sz="4" w:space="0" w:color="auto"/>
              <w:left w:val="single" w:sz="4" w:space="0" w:color="auto"/>
              <w:bottom w:val="single" w:sz="4" w:space="0" w:color="auto"/>
              <w:right w:val="single" w:sz="4" w:space="0" w:color="auto"/>
            </w:tcBorders>
            <w:shd w:val="clear" w:color="auto" w:fill="auto"/>
            <w:vAlign w:val="center"/>
          </w:tcPr>
          <w:p w14:paraId="353CE78A" w14:textId="77777777" w:rsidR="00D24868" w:rsidRPr="009B5355" w:rsidRDefault="00D24868" w:rsidP="00D24868">
            <w:pPr>
              <w:ind w:firstLine="0"/>
              <w:jc w:val="center"/>
              <w:rPr>
                <w:color w:val="000000"/>
                <w:szCs w:val="24"/>
              </w:rPr>
            </w:pPr>
            <w:r w:rsidRPr="009B5355">
              <w:rPr>
                <w:color w:val="000000"/>
                <w:szCs w:val="24"/>
              </w:rPr>
              <w:t>8</w:t>
            </w:r>
          </w:p>
        </w:tc>
        <w:tc>
          <w:tcPr>
            <w:tcW w:w="2664" w:type="dxa"/>
            <w:tcBorders>
              <w:top w:val="single" w:sz="4" w:space="0" w:color="auto"/>
              <w:left w:val="single" w:sz="4" w:space="0" w:color="auto"/>
              <w:bottom w:val="single" w:sz="4" w:space="0" w:color="auto"/>
              <w:right w:val="single" w:sz="4" w:space="0" w:color="auto"/>
            </w:tcBorders>
            <w:shd w:val="clear" w:color="auto" w:fill="auto"/>
            <w:vAlign w:val="center"/>
          </w:tcPr>
          <w:p w14:paraId="7C8B693A" w14:textId="7C3D7890" w:rsidR="00D24868" w:rsidRPr="009B5355" w:rsidRDefault="00D24868" w:rsidP="00D24868">
            <w:pPr>
              <w:ind w:firstLine="0"/>
              <w:rPr>
                <w:color w:val="000000"/>
                <w:szCs w:val="24"/>
              </w:rPr>
            </w:pPr>
            <w:r w:rsidRPr="009B5355">
              <w:rPr>
                <w:rStyle w:val="afffffffffe"/>
                <w:b w:val="0"/>
                <w:szCs w:val="24"/>
              </w:rPr>
              <w:t>Учебные, спортивные объекты, объекты культуры и искусства, культовые объекты, музеи, лечебно - оздоровительные и общественного назначения объекты</w:t>
            </w:r>
          </w:p>
        </w:tc>
        <w:tc>
          <w:tcPr>
            <w:tcW w:w="1832" w:type="dxa"/>
            <w:tcBorders>
              <w:top w:val="single" w:sz="4" w:space="0" w:color="auto"/>
              <w:left w:val="single" w:sz="4" w:space="0" w:color="auto"/>
              <w:bottom w:val="single" w:sz="4" w:space="0" w:color="auto"/>
              <w:right w:val="single" w:sz="4" w:space="0" w:color="auto"/>
            </w:tcBorders>
            <w:shd w:val="clear" w:color="auto" w:fill="auto"/>
            <w:vAlign w:val="center"/>
          </w:tcPr>
          <w:p w14:paraId="40B2232B" w14:textId="77777777" w:rsidR="00D24868" w:rsidRPr="009B5355" w:rsidRDefault="00D24868" w:rsidP="00D24868">
            <w:pPr>
              <w:ind w:firstLine="0"/>
              <w:rPr>
                <w:color w:val="000000"/>
                <w:szCs w:val="24"/>
              </w:rPr>
            </w:pPr>
            <w:r w:rsidRPr="009B5355">
              <w:rPr>
                <w:color w:val="000000"/>
                <w:szCs w:val="24"/>
              </w:rPr>
              <w:t>Затратный</w:t>
            </w:r>
          </w:p>
          <w:p w14:paraId="0CFC0ADB" w14:textId="77777777" w:rsidR="00D24868" w:rsidRPr="009B5355" w:rsidRDefault="00D24868" w:rsidP="00D24868">
            <w:pPr>
              <w:ind w:firstLine="0"/>
              <w:rPr>
                <w:color w:val="000000"/>
                <w:szCs w:val="24"/>
              </w:rPr>
            </w:pPr>
          </w:p>
          <w:p w14:paraId="0B50DCF2" w14:textId="3C392C0E" w:rsidR="00D24868" w:rsidRPr="009B5355" w:rsidRDefault="00D24868" w:rsidP="00D24868">
            <w:pPr>
              <w:ind w:firstLine="0"/>
              <w:rPr>
                <w:color w:val="000000"/>
                <w:szCs w:val="24"/>
              </w:rPr>
            </w:pPr>
            <w:r w:rsidRPr="009B5355">
              <w:rPr>
                <w:color w:val="000000"/>
                <w:szCs w:val="24"/>
              </w:rPr>
              <w:t>Сравнительный</w:t>
            </w:r>
          </w:p>
        </w:tc>
        <w:tc>
          <w:tcPr>
            <w:tcW w:w="1778" w:type="dxa"/>
            <w:tcBorders>
              <w:top w:val="single" w:sz="4" w:space="0" w:color="auto"/>
              <w:left w:val="single" w:sz="4" w:space="0" w:color="auto"/>
              <w:bottom w:val="single" w:sz="4" w:space="0" w:color="auto"/>
              <w:right w:val="single" w:sz="4" w:space="0" w:color="auto"/>
            </w:tcBorders>
            <w:shd w:val="clear" w:color="auto" w:fill="auto"/>
            <w:vAlign w:val="center"/>
          </w:tcPr>
          <w:p w14:paraId="79AA8E9D" w14:textId="77777777" w:rsidR="00D24868" w:rsidRPr="009B5355" w:rsidRDefault="00D24868" w:rsidP="00D24868">
            <w:pPr>
              <w:ind w:firstLine="0"/>
              <w:rPr>
                <w:color w:val="000000"/>
                <w:szCs w:val="24"/>
              </w:rPr>
            </w:pPr>
            <w:r w:rsidRPr="009B5355">
              <w:rPr>
                <w:color w:val="000000"/>
                <w:szCs w:val="24"/>
              </w:rPr>
              <w:t>Массовый</w:t>
            </w:r>
          </w:p>
          <w:p w14:paraId="1F2E045D" w14:textId="77777777" w:rsidR="00D24868" w:rsidRPr="009B5355" w:rsidRDefault="00D24868" w:rsidP="00D24868">
            <w:pPr>
              <w:ind w:firstLine="0"/>
              <w:rPr>
                <w:color w:val="000000"/>
                <w:szCs w:val="24"/>
              </w:rPr>
            </w:pPr>
          </w:p>
          <w:p w14:paraId="3838E198" w14:textId="436A29D8" w:rsidR="00D24868" w:rsidRPr="009B5355" w:rsidRDefault="00D24868" w:rsidP="00D24868">
            <w:pPr>
              <w:ind w:firstLine="0"/>
              <w:rPr>
                <w:color w:val="000000"/>
                <w:szCs w:val="24"/>
              </w:rPr>
            </w:pPr>
            <w:r w:rsidRPr="009B5355">
              <w:rPr>
                <w:color w:val="000000"/>
                <w:szCs w:val="24"/>
              </w:rPr>
              <w:t>Массовый</w:t>
            </w:r>
          </w:p>
        </w:tc>
        <w:tc>
          <w:tcPr>
            <w:tcW w:w="2062" w:type="dxa"/>
            <w:tcBorders>
              <w:top w:val="single" w:sz="4" w:space="0" w:color="auto"/>
              <w:left w:val="single" w:sz="4" w:space="0" w:color="auto"/>
              <w:bottom w:val="single" w:sz="4" w:space="0" w:color="auto"/>
              <w:right w:val="single" w:sz="4" w:space="0" w:color="auto"/>
            </w:tcBorders>
            <w:shd w:val="clear" w:color="auto" w:fill="auto"/>
            <w:vAlign w:val="center"/>
          </w:tcPr>
          <w:p w14:paraId="1580DC5E" w14:textId="77777777" w:rsidR="00D24868" w:rsidRPr="009B5355" w:rsidRDefault="00D24868" w:rsidP="00D24868">
            <w:pPr>
              <w:ind w:firstLine="0"/>
              <w:rPr>
                <w:color w:val="000000"/>
                <w:szCs w:val="24"/>
              </w:rPr>
            </w:pPr>
            <w:r w:rsidRPr="009B5355">
              <w:rPr>
                <w:color w:val="000000"/>
                <w:szCs w:val="24"/>
              </w:rPr>
              <w:t>Метод сравнительной единицы (УПСС)</w:t>
            </w:r>
          </w:p>
          <w:p w14:paraId="0B92BA33" w14:textId="77777777" w:rsidR="00D24868" w:rsidRPr="009B5355" w:rsidRDefault="00D24868" w:rsidP="00D24868">
            <w:pPr>
              <w:ind w:firstLine="0"/>
              <w:rPr>
                <w:color w:val="000000"/>
                <w:szCs w:val="24"/>
              </w:rPr>
            </w:pPr>
          </w:p>
          <w:p w14:paraId="7933481A" w14:textId="16FDE4E9" w:rsidR="00D24868" w:rsidRPr="009B5355" w:rsidRDefault="00D24868" w:rsidP="00D24868">
            <w:pPr>
              <w:ind w:firstLine="27"/>
              <w:rPr>
                <w:szCs w:val="24"/>
              </w:rPr>
            </w:pPr>
            <w:r w:rsidRPr="009B5355">
              <w:rPr>
                <w:color w:val="000000"/>
                <w:szCs w:val="24"/>
              </w:rPr>
              <w:t>Метод УПКС (минимальный)</w:t>
            </w:r>
          </w:p>
        </w:tc>
      </w:tr>
      <w:tr w:rsidR="00D24868" w:rsidRPr="00D24868" w14:paraId="7322DE12" w14:textId="77777777" w:rsidTr="00D24868">
        <w:trPr>
          <w:trHeight w:val="20"/>
        </w:trPr>
        <w:tc>
          <w:tcPr>
            <w:tcW w:w="1020" w:type="dxa"/>
            <w:tcBorders>
              <w:top w:val="single" w:sz="4" w:space="0" w:color="auto"/>
              <w:left w:val="single" w:sz="4" w:space="0" w:color="auto"/>
              <w:bottom w:val="single" w:sz="4" w:space="0" w:color="auto"/>
              <w:right w:val="single" w:sz="4" w:space="0" w:color="auto"/>
            </w:tcBorders>
            <w:shd w:val="clear" w:color="auto" w:fill="auto"/>
            <w:vAlign w:val="center"/>
          </w:tcPr>
          <w:p w14:paraId="2D3447C3" w14:textId="77777777" w:rsidR="00D24868" w:rsidRPr="009B5355" w:rsidRDefault="00D24868" w:rsidP="00D24868">
            <w:pPr>
              <w:ind w:firstLine="0"/>
              <w:jc w:val="center"/>
              <w:rPr>
                <w:color w:val="000000"/>
                <w:szCs w:val="24"/>
              </w:rPr>
            </w:pPr>
            <w:r w:rsidRPr="009B5355">
              <w:rPr>
                <w:color w:val="000000"/>
                <w:szCs w:val="24"/>
              </w:rPr>
              <w:t>9</w:t>
            </w:r>
          </w:p>
        </w:tc>
        <w:tc>
          <w:tcPr>
            <w:tcW w:w="2664" w:type="dxa"/>
            <w:tcBorders>
              <w:top w:val="single" w:sz="4" w:space="0" w:color="auto"/>
              <w:left w:val="single" w:sz="4" w:space="0" w:color="auto"/>
              <w:bottom w:val="single" w:sz="4" w:space="0" w:color="auto"/>
              <w:right w:val="single" w:sz="4" w:space="0" w:color="auto"/>
            </w:tcBorders>
            <w:shd w:val="clear" w:color="auto" w:fill="auto"/>
            <w:vAlign w:val="center"/>
          </w:tcPr>
          <w:p w14:paraId="49B1DE5A" w14:textId="400CF630" w:rsidR="00D24868" w:rsidRPr="009B5355" w:rsidRDefault="00D24868" w:rsidP="00D24868">
            <w:pPr>
              <w:ind w:firstLine="0"/>
              <w:rPr>
                <w:color w:val="000000"/>
                <w:szCs w:val="24"/>
              </w:rPr>
            </w:pPr>
            <w:r w:rsidRPr="009B5355">
              <w:rPr>
                <w:color w:val="000000"/>
                <w:szCs w:val="24"/>
              </w:rPr>
              <w:t>Прочие объекты</w:t>
            </w:r>
          </w:p>
        </w:tc>
        <w:tc>
          <w:tcPr>
            <w:tcW w:w="1832" w:type="dxa"/>
            <w:tcBorders>
              <w:top w:val="single" w:sz="4" w:space="0" w:color="auto"/>
              <w:left w:val="single" w:sz="4" w:space="0" w:color="auto"/>
              <w:bottom w:val="single" w:sz="4" w:space="0" w:color="auto"/>
              <w:right w:val="single" w:sz="4" w:space="0" w:color="auto"/>
            </w:tcBorders>
            <w:shd w:val="clear" w:color="auto" w:fill="auto"/>
            <w:vAlign w:val="center"/>
          </w:tcPr>
          <w:p w14:paraId="29FEE418" w14:textId="77777777" w:rsidR="00D24868" w:rsidRPr="009B5355" w:rsidRDefault="00D24868" w:rsidP="00D24868">
            <w:pPr>
              <w:ind w:firstLine="0"/>
              <w:rPr>
                <w:color w:val="000000"/>
                <w:szCs w:val="24"/>
              </w:rPr>
            </w:pPr>
            <w:r w:rsidRPr="009B5355">
              <w:rPr>
                <w:color w:val="000000"/>
                <w:szCs w:val="24"/>
              </w:rPr>
              <w:t>Затратный</w:t>
            </w:r>
          </w:p>
          <w:p w14:paraId="328147D5" w14:textId="77777777" w:rsidR="00D24868" w:rsidRPr="009B5355" w:rsidRDefault="00D24868" w:rsidP="00D24868">
            <w:pPr>
              <w:ind w:firstLine="0"/>
              <w:rPr>
                <w:color w:val="000000"/>
                <w:szCs w:val="24"/>
              </w:rPr>
            </w:pPr>
          </w:p>
          <w:p w14:paraId="47AC0CB8" w14:textId="24AD8B6D" w:rsidR="00D24868" w:rsidRPr="009B5355" w:rsidRDefault="00D24868" w:rsidP="00D24868">
            <w:pPr>
              <w:ind w:firstLine="0"/>
              <w:rPr>
                <w:color w:val="000000"/>
                <w:szCs w:val="24"/>
              </w:rPr>
            </w:pPr>
            <w:r w:rsidRPr="009B5355">
              <w:rPr>
                <w:color w:val="000000"/>
                <w:szCs w:val="24"/>
              </w:rPr>
              <w:t>Сравнительный</w:t>
            </w:r>
          </w:p>
        </w:tc>
        <w:tc>
          <w:tcPr>
            <w:tcW w:w="1778" w:type="dxa"/>
            <w:tcBorders>
              <w:top w:val="single" w:sz="4" w:space="0" w:color="auto"/>
              <w:left w:val="single" w:sz="4" w:space="0" w:color="auto"/>
              <w:bottom w:val="single" w:sz="4" w:space="0" w:color="auto"/>
              <w:right w:val="single" w:sz="4" w:space="0" w:color="auto"/>
            </w:tcBorders>
            <w:shd w:val="clear" w:color="auto" w:fill="auto"/>
            <w:vAlign w:val="center"/>
          </w:tcPr>
          <w:p w14:paraId="65C1A7D7" w14:textId="77777777" w:rsidR="00D24868" w:rsidRPr="009B5355" w:rsidRDefault="00D24868" w:rsidP="00D24868">
            <w:pPr>
              <w:ind w:firstLine="0"/>
              <w:rPr>
                <w:color w:val="000000"/>
                <w:szCs w:val="24"/>
              </w:rPr>
            </w:pPr>
            <w:r w:rsidRPr="009B5355">
              <w:rPr>
                <w:color w:val="000000"/>
                <w:szCs w:val="24"/>
              </w:rPr>
              <w:t>Массовый</w:t>
            </w:r>
          </w:p>
          <w:p w14:paraId="5150BFB7" w14:textId="77777777" w:rsidR="00D24868" w:rsidRPr="009B5355" w:rsidRDefault="00D24868" w:rsidP="00D24868">
            <w:pPr>
              <w:ind w:firstLine="0"/>
              <w:rPr>
                <w:color w:val="000000"/>
                <w:szCs w:val="24"/>
              </w:rPr>
            </w:pPr>
          </w:p>
          <w:p w14:paraId="2E70C982" w14:textId="21D7BCCE" w:rsidR="00D24868" w:rsidRPr="009B5355" w:rsidRDefault="00D24868" w:rsidP="00D24868">
            <w:pPr>
              <w:ind w:firstLine="0"/>
              <w:rPr>
                <w:color w:val="000000"/>
                <w:szCs w:val="24"/>
              </w:rPr>
            </w:pPr>
            <w:r w:rsidRPr="009B5355">
              <w:rPr>
                <w:color w:val="000000"/>
                <w:szCs w:val="24"/>
              </w:rPr>
              <w:t>Массовый</w:t>
            </w:r>
          </w:p>
        </w:tc>
        <w:tc>
          <w:tcPr>
            <w:tcW w:w="2062" w:type="dxa"/>
            <w:tcBorders>
              <w:top w:val="single" w:sz="4" w:space="0" w:color="auto"/>
              <w:left w:val="single" w:sz="4" w:space="0" w:color="auto"/>
              <w:bottom w:val="single" w:sz="4" w:space="0" w:color="auto"/>
              <w:right w:val="single" w:sz="4" w:space="0" w:color="auto"/>
            </w:tcBorders>
            <w:shd w:val="clear" w:color="auto" w:fill="auto"/>
            <w:vAlign w:val="center"/>
          </w:tcPr>
          <w:p w14:paraId="0DDB93D5" w14:textId="77777777" w:rsidR="00D24868" w:rsidRPr="009B5355" w:rsidRDefault="00D24868" w:rsidP="00D24868">
            <w:pPr>
              <w:ind w:firstLine="0"/>
              <w:rPr>
                <w:color w:val="000000"/>
                <w:szCs w:val="24"/>
              </w:rPr>
            </w:pPr>
            <w:r w:rsidRPr="009B5355">
              <w:rPr>
                <w:color w:val="000000"/>
                <w:szCs w:val="24"/>
              </w:rPr>
              <w:t>Метод сравнительной единицы (УПСС)</w:t>
            </w:r>
          </w:p>
          <w:p w14:paraId="3BC30EFF" w14:textId="77777777" w:rsidR="00D24868" w:rsidRPr="009B5355" w:rsidRDefault="00D24868" w:rsidP="00D24868">
            <w:pPr>
              <w:ind w:firstLine="0"/>
              <w:rPr>
                <w:color w:val="000000"/>
                <w:szCs w:val="24"/>
              </w:rPr>
            </w:pPr>
          </w:p>
          <w:p w14:paraId="37EF51D3" w14:textId="45232474" w:rsidR="00D24868" w:rsidRPr="009B5355" w:rsidRDefault="00D24868" w:rsidP="00D24868">
            <w:pPr>
              <w:ind w:firstLine="0"/>
              <w:rPr>
                <w:color w:val="000000"/>
                <w:szCs w:val="24"/>
              </w:rPr>
            </w:pPr>
            <w:r w:rsidRPr="009B5355">
              <w:rPr>
                <w:color w:val="000000"/>
                <w:szCs w:val="24"/>
              </w:rPr>
              <w:t>Метод УПКС (минимальный)</w:t>
            </w:r>
          </w:p>
        </w:tc>
      </w:tr>
      <w:tr w:rsidR="00D24868" w:rsidRPr="00D24868" w14:paraId="54C259A1" w14:textId="77777777" w:rsidTr="00D24868">
        <w:trPr>
          <w:trHeight w:val="20"/>
        </w:trPr>
        <w:tc>
          <w:tcPr>
            <w:tcW w:w="1020" w:type="dxa"/>
            <w:tcBorders>
              <w:top w:val="single" w:sz="4" w:space="0" w:color="auto"/>
              <w:left w:val="single" w:sz="4" w:space="0" w:color="auto"/>
              <w:bottom w:val="single" w:sz="4" w:space="0" w:color="auto"/>
              <w:right w:val="single" w:sz="4" w:space="0" w:color="auto"/>
            </w:tcBorders>
            <w:shd w:val="clear" w:color="auto" w:fill="auto"/>
            <w:vAlign w:val="center"/>
          </w:tcPr>
          <w:p w14:paraId="1BAE5140" w14:textId="77777777" w:rsidR="00D24868" w:rsidRPr="009B5355" w:rsidRDefault="00D24868" w:rsidP="00D24868">
            <w:pPr>
              <w:ind w:firstLine="0"/>
              <w:jc w:val="center"/>
              <w:rPr>
                <w:color w:val="000000"/>
                <w:szCs w:val="24"/>
              </w:rPr>
            </w:pPr>
            <w:r w:rsidRPr="009B5355">
              <w:rPr>
                <w:color w:val="000000"/>
                <w:szCs w:val="24"/>
              </w:rPr>
              <w:t>10</w:t>
            </w:r>
          </w:p>
        </w:tc>
        <w:tc>
          <w:tcPr>
            <w:tcW w:w="2664" w:type="dxa"/>
            <w:tcBorders>
              <w:top w:val="single" w:sz="4" w:space="0" w:color="auto"/>
              <w:left w:val="single" w:sz="4" w:space="0" w:color="auto"/>
              <w:bottom w:val="single" w:sz="4" w:space="0" w:color="auto"/>
              <w:right w:val="single" w:sz="4" w:space="0" w:color="auto"/>
            </w:tcBorders>
            <w:shd w:val="clear" w:color="auto" w:fill="auto"/>
            <w:vAlign w:val="center"/>
          </w:tcPr>
          <w:p w14:paraId="096FCFB5" w14:textId="4A04C272" w:rsidR="00D24868" w:rsidRPr="009B5355" w:rsidRDefault="00D24868" w:rsidP="00D24868">
            <w:pPr>
              <w:ind w:firstLine="0"/>
              <w:rPr>
                <w:color w:val="000000"/>
                <w:szCs w:val="24"/>
              </w:rPr>
            </w:pPr>
            <w:r w:rsidRPr="009B5355">
              <w:rPr>
                <w:color w:val="000000"/>
                <w:szCs w:val="24"/>
              </w:rPr>
              <w:t>Сооружения</w:t>
            </w:r>
          </w:p>
        </w:tc>
        <w:tc>
          <w:tcPr>
            <w:tcW w:w="1832" w:type="dxa"/>
            <w:tcBorders>
              <w:top w:val="single" w:sz="4" w:space="0" w:color="auto"/>
              <w:left w:val="single" w:sz="4" w:space="0" w:color="auto"/>
              <w:bottom w:val="single" w:sz="4" w:space="0" w:color="auto"/>
              <w:right w:val="single" w:sz="4" w:space="0" w:color="auto"/>
            </w:tcBorders>
            <w:shd w:val="clear" w:color="auto" w:fill="auto"/>
            <w:vAlign w:val="center"/>
          </w:tcPr>
          <w:p w14:paraId="076EA99E" w14:textId="77777777" w:rsidR="00D24868" w:rsidRPr="009B5355" w:rsidRDefault="00D24868" w:rsidP="00D24868">
            <w:pPr>
              <w:ind w:firstLine="0"/>
              <w:rPr>
                <w:color w:val="000000"/>
                <w:szCs w:val="24"/>
              </w:rPr>
            </w:pPr>
            <w:r w:rsidRPr="009B5355">
              <w:rPr>
                <w:color w:val="000000"/>
                <w:szCs w:val="24"/>
              </w:rPr>
              <w:t>Затратный</w:t>
            </w:r>
          </w:p>
          <w:p w14:paraId="3B6DD6A9" w14:textId="77777777" w:rsidR="00D24868" w:rsidRPr="009B5355" w:rsidRDefault="00D24868" w:rsidP="00D24868">
            <w:pPr>
              <w:ind w:firstLine="0"/>
              <w:rPr>
                <w:color w:val="000000"/>
                <w:szCs w:val="24"/>
              </w:rPr>
            </w:pPr>
          </w:p>
          <w:p w14:paraId="218002DC" w14:textId="7FD0D713" w:rsidR="00D24868" w:rsidRPr="009B5355" w:rsidRDefault="00D24868" w:rsidP="00D24868">
            <w:pPr>
              <w:ind w:firstLine="0"/>
              <w:rPr>
                <w:color w:val="000000"/>
                <w:szCs w:val="24"/>
              </w:rPr>
            </w:pPr>
            <w:r w:rsidRPr="009B5355">
              <w:rPr>
                <w:color w:val="000000"/>
                <w:szCs w:val="24"/>
              </w:rPr>
              <w:t>Сравнительный</w:t>
            </w:r>
          </w:p>
        </w:tc>
        <w:tc>
          <w:tcPr>
            <w:tcW w:w="1778" w:type="dxa"/>
            <w:tcBorders>
              <w:top w:val="single" w:sz="4" w:space="0" w:color="auto"/>
              <w:left w:val="single" w:sz="4" w:space="0" w:color="auto"/>
              <w:bottom w:val="single" w:sz="4" w:space="0" w:color="auto"/>
              <w:right w:val="single" w:sz="4" w:space="0" w:color="auto"/>
            </w:tcBorders>
            <w:shd w:val="clear" w:color="auto" w:fill="auto"/>
            <w:vAlign w:val="center"/>
          </w:tcPr>
          <w:p w14:paraId="3C4F4678" w14:textId="77777777" w:rsidR="00D24868" w:rsidRPr="009B5355" w:rsidRDefault="00D24868" w:rsidP="00D24868">
            <w:pPr>
              <w:ind w:firstLine="0"/>
              <w:rPr>
                <w:color w:val="000000"/>
                <w:szCs w:val="24"/>
              </w:rPr>
            </w:pPr>
            <w:r w:rsidRPr="009B5355">
              <w:rPr>
                <w:color w:val="000000"/>
                <w:szCs w:val="24"/>
              </w:rPr>
              <w:t>Массовый</w:t>
            </w:r>
          </w:p>
          <w:p w14:paraId="484F4D19" w14:textId="77777777" w:rsidR="00D24868" w:rsidRPr="009B5355" w:rsidRDefault="00D24868" w:rsidP="00D24868">
            <w:pPr>
              <w:ind w:firstLine="0"/>
              <w:rPr>
                <w:color w:val="000000"/>
                <w:szCs w:val="24"/>
              </w:rPr>
            </w:pPr>
          </w:p>
          <w:p w14:paraId="46FA7CED" w14:textId="254D9A51" w:rsidR="00D24868" w:rsidRPr="009B5355" w:rsidRDefault="00D24868" w:rsidP="00D24868">
            <w:pPr>
              <w:ind w:firstLine="0"/>
              <w:rPr>
                <w:color w:val="000000"/>
                <w:szCs w:val="24"/>
              </w:rPr>
            </w:pPr>
            <w:r w:rsidRPr="009B5355">
              <w:rPr>
                <w:color w:val="000000"/>
                <w:szCs w:val="24"/>
              </w:rPr>
              <w:t>Массовый</w:t>
            </w:r>
          </w:p>
        </w:tc>
        <w:tc>
          <w:tcPr>
            <w:tcW w:w="2062" w:type="dxa"/>
            <w:tcBorders>
              <w:top w:val="single" w:sz="4" w:space="0" w:color="auto"/>
              <w:left w:val="single" w:sz="4" w:space="0" w:color="auto"/>
              <w:bottom w:val="single" w:sz="4" w:space="0" w:color="auto"/>
              <w:right w:val="single" w:sz="4" w:space="0" w:color="auto"/>
            </w:tcBorders>
            <w:shd w:val="clear" w:color="auto" w:fill="auto"/>
            <w:vAlign w:val="center"/>
          </w:tcPr>
          <w:p w14:paraId="1E59AEED" w14:textId="77777777" w:rsidR="00D24868" w:rsidRPr="009B5355" w:rsidRDefault="00D24868" w:rsidP="00D24868">
            <w:pPr>
              <w:ind w:firstLine="0"/>
              <w:rPr>
                <w:color w:val="000000"/>
                <w:szCs w:val="24"/>
              </w:rPr>
            </w:pPr>
            <w:r w:rsidRPr="009B5355">
              <w:rPr>
                <w:color w:val="000000"/>
                <w:szCs w:val="24"/>
              </w:rPr>
              <w:t>Метод сравнительной единицы (УПСС)</w:t>
            </w:r>
          </w:p>
          <w:p w14:paraId="71988BEB" w14:textId="77777777" w:rsidR="00D24868" w:rsidRPr="009B5355" w:rsidRDefault="00D24868" w:rsidP="00D24868">
            <w:pPr>
              <w:ind w:firstLine="0"/>
              <w:rPr>
                <w:color w:val="000000"/>
                <w:szCs w:val="24"/>
              </w:rPr>
            </w:pPr>
          </w:p>
          <w:p w14:paraId="1297631F" w14:textId="043C9DB4" w:rsidR="00D24868" w:rsidRPr="009B5355" w:rsidRDefault="00D24868" w:rsidP="00D24868">
            <w:pPr>
              <w:ind w:firstLine="0"/>
              <w:rPr>
                <w:color w:val="000000"/>
                <w:szCs w:val="24"/>
              </w:rPr>
            </w:pPr>
            <w:r w:rsidRPr="009B5355">
              <w:rPr>
                <w:color w:val="000000"/>
                <w:szCs w:val="24"/>
              </w:rPr>
              <w:t>Метод УПКС (минимальный)</w:t>
            </w:r>
          </w:p>
        </w:tc>
      </w:tr>
    </w:tbl>
    <w:p w14:paraId="477DD1DC" w14:textId="1DDD4A48" w:rsidR="00900409" w:rsidRDefault="00900409" w:rsidP="00042D69">
      <w:pPr>
        <w:rPr>
          <w:rFonts w:cs="Times New Roman"/>
          <w:szCs w:val="24"/>
        </w:rPr>
      </w:pPr>
    </w:p>
    <w:p w14:paraId="4D7780AD" w14:textId="19BBEA4C" w:rsidR="003126B0" w:rsidRDefault="003126B0" w:rsidP="00042D69">
      <w:pPr>
        <w:rPr>
          <w:rFonts w:cs="Times New Roman"/>
          <w:szCs w:val="24"/>
        </w:rPr>
      </w:pPr>
      <w:r>
        <w:rPr>
          <w:rFonts w:cs="Times New Roman"/>
          <w:szCs w:val="24"/>
        </w:rPr>
        <w:t>Более подробное описание подходов и методов приведено в разделе 3.6. нас</w:t>
      </w:r>
      <w:r w:rsidR="00B773AA">
        <w:rPr>
          <w:rFonts w:cs="Times New Roman"/>
          <w:szCs w:val="24"/>
        </w:rPr>
        <w:t>т</w:t>
      </w:r>
      <w:r>
        <w:rPr>
          <w:rFonts w:cs="Times New Roman"/>
          <w:szCs w:val="24"/>
        </w:rPr>
        <w:t>оящего Отчета.</w:t>
      </w:r>
    </w:p>
    <w:p w14:paraId="6DAA63A2" w14:textId="77777777" w:rsidR="00900409" w:rsidRPr="0027086D" w:rsidRDefault="00900409" w:rsidP="00042D69">
      <w:pPr>
        <w:rPr>
          <w:rFonts w:cs="Times New Roman"/>
          <w:szCs w:val="24"/>
        </w:rPr>
      </w:pPr>
    </w:p>
    <w:p w14:paraId="4C44765E" w14:textId="58950F9B" w:rsidR="00EE79A5" w:rsidRPr="0027086D" w:rsidRDefault="00EE79A5" w:rsidP="003C4C7D">
      <w:pPr>
        <w:pStyle w:val="10"/>
        <w:numPr>
          <w:ilvl w:val="1"/>
          <w:numId w:val="100"/>
        </w:numPr>
        <w:jc w:val="both"/>
      </w:pPr>
      <w:bookmarkStart w:id="65" w:name="_Toc14819107"/>
      <w:r w:rsidRPr="0027086D">
        <w:t>Описание и обоснование подходов к выбору типового объекта недвижимости в целях проведения оценочного зонирования</w:t>
      </w:r>
      <w:bookmarkEnd w:id="65"/>
    </w:p>
    <w:p w14:paraId="0A9BF3AD" w14:textId="752FA786" w:rsidR="00B73036" w:rsidRPr="00E07359" w:rsidRDefault="00B73036" w:rsidP="00FD2769">
      <w:pPr>
        <w:pStyle w:val="3"/>
        <w:rPr>
          <w:rFonts w:eastAsia="Times New Roman"/>
          <w:lang w:eastAsia="ru-RU"/>
        </w:rPr>
      </w:pPr>
      <w:bookmarkStart w:id="66" w:name="_Toc14819108"/>
      <w:r w:rsidRPr="00E07359">
        <w:rPr>
          <w:rFonts w:eastAsia="Times New Roman"/>
          <w:lang w:eastAsia="ru-RU"/>
        </w:rPr>
        <w:t>Описание и обоснование подходов к выбору типового объекта недвижимости.</w:t>
      </w:r>
      <w:bookmarkEnd w:id="66"/>
    </w:p>
    <w:p w14:paraId="6AC5300C" w14:textId="09C03C1E" w:rsidR="00621607" w:rsidRPr="00621607" w:rsidRDefault="00621607" w:rsidP="00621607">
      <w:pPr>
        <w:ind w:firstLine="709"/>
        <w:rPr>
          <w:rFonts w:cs="Times New Roman"/>
        </w:rPr>
      </w:pPr>
      <w:r w:rsidRPr="00621607">
        <w:rPr>
          <w:rFonts w:cs="Times New Roman"/>
        </w:rPr>
        <w:t xml:space="preserve">В соответствии с частью 2 статьи 12 Федерального закона №237-ФЗ сбор и обработка информации, необходимой для определения кадастровой стоимости, осуществляются бюджетным учреждением в соответствии с </w:t>
      </w:r>
      <w:r w:rsidR="002D68A2">
        <w:rPr>
          <w:rFonts w:cs="Times New Roman"/>
        </w:rPr>
        <w:t>М</w:t>
      </w:r>
      <w:r w:rsidRPr="00621607">
        <w:rPr>
          <w:rFonts w:cs="Times New Roman"/>
        </w:rPr>
        <w:t xml:space="preserve">етодическими указаниями о государственной кадастровой оценке. </w:t>
      </w:r>
    </w:p>
    <w:p w14:paraId="29D12FD3" w14:textId="5D4D58E8" w:rsidR="00621607" w:rsidRPr="00621607" w:rsidRDefault="00621607" w:rsidP="00621607">
      <w:pPr>
        <w:ind w:firstLine="709"/>
        <w:rPr>
          <w:rFonts w:cs="Times New Roman"/>
        </w:rPr>
      </w:pPr>
      <w:r w:rsidRPr="00621607">
        <w:rPr>
          <w:rFonts w:cs="Times New Roman"/>
        </w:rPr>
        <w:t xml:space="preserve">В соответствии с п. 6.1 Методических указаний в процессе определения кадастровой стоимости проводится оценочное зонирование, предусматривающее разделение территории, на которой проводится государственная кадастровая оценка, на ценовые зоны. Оценочное зонирование проводится только в отношении тех сегментов рынка недвижимости, по которым существует достаточная рыночная информация.  </w:t>
      </w:r>
    </w:p>
    <w:p w14:paraId="5924880B" w14:textId="77777777" w:rsidR="00621607" w:rsidRPr="00621607" w:rsidRDefault="00621607" w:rsidP="00621607">
      <w:pPr>
        <w:ind w:firstLine="709"/>
        <w:rPr>
          <w:rFonts w:cs="Times New Roman"/>
        </w:rPr>
      </w:pPr>
      <w:r w:rsidRPr="00621607">
        <w:rPr>
          <w:rFonts w:cs="Times New Roman"/>
        </w:rPr>
        <w:t xml:space="preserve">Целью оценочного зонирования является представление в графическом и семантическом виде информации о сложившейся на дату определения кадастровой стоимости ситуации в различных сегментах рынка недвижимости, представленных в конкретных ценовых зонах. </w:t>
      </w:r>
    </w:p>
    <w:p w14:paraId="6983F864" w14:textId="1EB9EC1E" w:rsidR="00621607" w:rsidRPr="00621607" w:rsidRDefault="00621607" w:rsidP="00621607">
      <w:pPr>
        <w:ind w:firstLine="709"/>
        <w:rPr>
          <w:rFonts w:cs="Times New Roman"/>
        </w:rPr>
      </w:pPr>
      <w:r w:rsidRPr="00621607">
        <w:rPr>
          <w:rFonts w:cs="Times New Roman"/>
        </w:rPr>
        <w:t xml:space="preserve">Ценовая зона – часть территории, в границах которой определены близкие по значению удельные показатели средних рыночных цен типовых объектов недвижимости. </w:t>
      </w:r>
    </w:p>
    <w:p w14:paraId="06DD11D6" w14:textId="7F9DC2E9" w:rsidR="00621607" w:rsidRPr="00621607" w:rsidRDefault="00621607" w:rsidP="00621607">
      <w:pPr>
        <w:ind w:firstLine="709"/>
        <w:rPr>
          <w:rFonts w:cs="Times New Roman"/>
        </w:rPr>
      </w:pPr>
      <w:r w:rsidRPr="00621607">
        <w:rPr>
          <w:rFonts w:cs="Times New Roman"/>
        </w:rPr>
        <w:t>Типовой объект недвижимости является объектом недвижимости, основные физические и иные характеристики вида использования</w:t>
      </w:r>
      <w:r>
        <w:rPr>
          <w:rFonts w:cs="Times New Roman"/>
        </w:rPr>
        <w:t>,</w:t>
      </w:r>
      <w:r w:rsidRPr="00621607">
        <w:rPr>
          <w:rFonts w:cs="Times New Roman"/>
        </w:rPr>
        <w:t xml:space="preserve"> которого наиболее соответствуют спросу и предложению на соответствующем сегменте рынка.</w:t>
      </w:r>
    </w:p>
    <w:p w14:paraId="6A01FBBB" w14:textId="1C1DB386" w:rsidR="00621607" w:rsidRPr="00621607" w:rsidRDefault="00621607" w:rsidP="00621607">
      <w:pPr>
        <w:ind w:firstLine="709"/>
        <w:rPr>
          <w:rFonts w:cs="Times New Roman"/>
        </w:rPr>
      </w:pPr>
      <w:r w:rsidRPr="00621607">
        <w:rPr>
          <w:rFonts w:cs="Times New Roman"/>
        </w:rPr>
        <w:t>Оценочное зонирование заключается в систематизации на дату определения кадастровой стоимости рыночной информации о сделках (предложениях) с типовыми объектами недвижимости исходя из их местоположения и вида использования с учетом существующего и перспективного развития, а также затрат на создание указанных объектов недвижимости.</w:t>
      </w:r>
    </w:p>
    <w:p w14:paraId="69232F97" w14:textId="77777777" w:rsidR="00621607" w:rsidRPr="00621607" w:rsidRDefault="00621607" w:rsidP="00621607">
      <w:pPr>
        <w:ind w:firstLine="709"/>
        <w:rPr>
          <w:rFonts w:cs="Times New Roman"/>
        </w:rPr>
      </w:pPr>
      <w:r w:rsidRPr="00621607">
        <w:rPr>
          <w:rFonts w:cs="Times New Roman"/>
        </w:rPr>
        <w:t>Оценочное зонирование в населенных пунктах и межселенных территориях с неразвитым рынком недвижимости может проводиться путем объединения земель одного или нескольких в том числе населенных пунктов.</w:t>
      </w:r>
    </w:p>
    <w:p w14:paraId="05E59AF6" w14:textId="64E6D597" w:rsidR="00621607" w:rsidRPr="00621607" w:rsidRDefault="00621607" w:rsidP="00621607">
      <w:pPr>
        <w:ind w:firstLine="709"/>
        <w:rPr>
          <w:rFonts w:cs="Times New Roman"/>
        </w:rPr>
      </w:pPr>
      <w:r w:rsidRPr="00621607">
        <w:rPr>
          <w:rFonts w:cs="Times New Roman"/>
        </w:rPr>
        <w:t>При этом земли одного или нескольких населенных пунктов могут составлять одну ценовую зону.</w:t>
      </w:r>
    </w:p>
    <w:p w14:paraId="54768072" w14:textId="0D3E64B6" w:rsidR="00621607" w:rsidRPr="00621607" w:rsidRDefault="00621607" w:rsidP="00621607">
      <w:pPr>
        <w:ind w:firstLine="709"/>
        <w:rPr>
          <w:rFonts w:cs="Times New Roman"/>
        </w:rPr>
      </w:pPr>
      <w:r w:rsidRPr="00621607">
        <w:rPr>
          <w:rFonts w:cs="Times New Roman"/>
        </w:rPr>
        <w:t xml:space="preserve">Ценовые зоны, имеющие близкие значения удельных показателей средних рыночных цен типовых объектов, могут быть объединены в одну ценовую зону по таким объектам. </w:t>
      </w:r>
    </w:p>
    <w:p w14:paraId="612A6E47" w14:textId="7E3DE80E" w:rsidR="00621607" w:rsidRPr="00621607" w:rsidRDefault="00621607" w:rsidP="00621607">
      <w:pPr>
        <w:ind w:firstLine="709"/>
        <w:rPr>
          <w:rFonts w:cs="Times New Roman"/>
        </w:rPr>
      </w:pPr>
      <w:r w:rsidRPr="00621607">
        <w:rPr>
          <w:rFonts w:cs="Times New Roman"/>
        </w:rPr>
        <w:t xml:space="preserve">В результате анализа рынка недвижимости на территории </w:t>
      </w:r>
      <w:r>
        <w:rPr>
          <w:rFonts w:cs="Times New Roman"/>
        </w:rPr>
        <w:t>Республики Саха (Якутия)</w:t>
      </w:r>
      <w:r w:rsidRPr="00621607">
        <w:rPr>
          <w:rFonts w:cs="Times New Roman"/>
        </w:rPr>
        <w:t xml:space="preserve"> работниками бюджетного учреждения, осуществившими определение кадастровой стоимости, установлено, что рыночной информации для проведения оценочного зонирования достаточно только в отношении сегментов рынка жилой недвижимости.</w:t>
      </w:r>
    </w:p>
    <w:p w14:paraId="33D583F8" w14:textId="4A4DF9A9" w:rsidR="00621607" w:rsidRPr="00621607" w:rsidRDefault="00621607" w:rsidP="00621607">
      <w:pPr>
        <w:ind w:firstLine="709"/>
        <w:rPr>
          <w:rFonts w:cs="Times New Roman"/>
        </w:rPr>
      </w:pPr>
      <w:r w:rsidRPr="00621607">
        <w:rPr>
          <w:rFonts w:cs="Times New Roman"/>
        </w:rPr>
        <w:t>По результатам анализа рыночных цен для объектов недвижимости 1 группы типовым объектом недвижимости было выбрано помещение (квартира) в многоквартирном жилом доме, строительство которого завершено, для объектов недвижимости</w:t>
      </w:r>
      <w:r>
        <w:rPr>
          <w:rFonts w:cs="Times New Roman"/>
        </w:rPr>
        <w:t>.</w:t>
      </w:r>
    </w:p>
    <w:p w14:paraId="21348355" w14:textId="3CBA3D28" w:rsidR="00621607" w:rsidRPr="00621607" w:rsidRDefault="00621607" w:rsidP="00621607">
      <w:pPr>
        <w:ind w:firstLine="709"/>
        <w:rPr>
          <w:rFonts w:cs="Times New Roman"/>
        </w:rPr>
      </w:pPr>
      <w:r w:rsidRPr="00621607">
        <w:rPr>
          <w:rFonts w:cs="Times New Roman"/>
        </w:rPr>
        <w:t>При выборе типового объекта учитывался тот факт, что не все характеристики, влияющие на стоимость возможно у</w:t>
      </w:r>
      <w:r w:rsidR="000175BD">
        <w:rPr>
          <w:rFonts w:cs="Times New Roman"/>
        </w:rPr>
        <w:t xml:space="preserve">становить по объектам оценки 1 </w:t>
      </w:r>
      <w:r w:rsidRPr="00621607">
        <w:rPr>
          <w:rFonts w:cs="Times New Roman"/>
        </w:rPr>
        <w:t>группы (например, отсутствуют сведения о планировке квартир, количестве комнат). Таким образом, при определении кадастровой стоимости невозможно учесть уникальные характеристики каждого конкретного объекта оценки, если данные характеристики не были предоставлены в перечне объектов оценки.</w:t>
      </w:r>
    </w:p>
    <w:p w14:paraId="769F1D3B" w14:textId="77777777" w:rsidR="00621607" w:rsidRPr="00621607" w:rsidRDefault="00621607" w:rsidP="00621607">
      <w:pPr>
        <w:ind w:firstLine="709"/>
        <w:rPr>
          <w:rFonts w:cs="Times New Roman"/>
        </w:rPr>
      </w:pPr>
      <w:r w:rsidRPr="00621607">
        <w:rPr>
          <w:rFonts w:cs="Times New Roman"/>
        </w:rPr>
        <w:t>Выбор физических и иных характеристик типового объекта недвижимости (в том числе местоположение в гра-ницах ценовой зоны, вид использования, площадь, объем, расположение относительно транспортных коммуникаций, степень подключения к объектам инженерной инфраструктуры, состояние и возраст основных зданий и сооружений, а также другие его характеристики) обоснован и описан с учетом состояния рынка на основе рыночной информации по сделкам (предложениям) с аналогичными объектами недвижимости на соответствующей территории.</w:t>
      </w:r>
    </w:p>
    <w:p w14:paraId="57FBFB7C" w14:textId="3AD8732B" w:rsidR="00B73036" w:rsidRDefault="00621607" w:rsidP="00621607">
      <w:pPr>
        <w:ind w:firstLine="709"/>
        <w:rPr>
          <w:rFonts w:cs="Times New Roman"/>
        </w:rPr>
      </w:pPr>
      <w:r w:rsidRPr="00726D2F">
        <w:rPr>
          <w:rFonts w:cs="Times New Roman"/>
        </w:rPr>
        <w:t>По результатам оценочного зонирования был</w:t>
      </w:r>
      <w:r w:rsidR="00275DCA" w:rsidRPr="00726D2F">
        <w:rPr>
          <w:rFonts w:cs="Times New Roman"/>
        </w:rPr>
        <w:t>а</w:t>
      </w:r>
      <w:r w:rsidRPr="00726D2F">
        <w:rPr>
          <w:rFonts w:cs="Times New Roman"/>
        </w:rPr>
        <w:t xml:space="preserve"> составлен</w:t>
      </w:r>
      <w:r w:rsidR="00275DCA" w:rsidRPr="00726D2F">
        <w:rPr>
          <w:rFonts w:cs="Times New Roman"/>
        </w:rPr>
        <w:t>а</w:t>
      </w:r>
      <w:r w:rsidRPr="00726D2F">
        <w:rPr>
          <w:rFonts w:cs="Times New Roman"/>
        </w:rPr>
        <w:t xml:space="preserve"> цифров</w:t>
      </w:r>
      <w:r w:rsidR="00275DCA" w:rsidRPr="00726D2F">
        <w:rPr>
          <w:rFonts w:cs="Times New Roman"/>
        </w:rPr>
        <w:t>ая</w:t>
      </w:r>
      <w:r w:rsidRPr="00726D2F">
        <w:rPr>
          <w:rFonts w:cs="Times New Roman"/>
        </w:rPr>
        <w:t xml:space="preserve"> тематическ</w:t>
      </w:r>
      <w:r w:rsidR="00275DCA" w:rsidRPr="00726D2F">
        <w:rPr>
          <w:rFonts w:cs="Times New Roman"/>
        </w:rPr>
        <w:t>ая</w:t>
      </w:r>
      <w:r w:rsidRPr="00726D2F">
        <w:rPr>
          <w:rFonts w:cs="Times New Roman"/>
        </w:rPr>
        <w:t xml:space="preserve"> карт</w:t>
      </w:r>
      <w:r w:rsidR="00275DCA" w:rsidRPr="00726D2F">
        <w:rPr>
          <w:rFonts w:cs="Times New Roman"/>
        </w:rPr>
        <w:t>а</w:t>
      </w:r>
      <w:r w:rsidRPr="00726D2F">
        <w:rPr>
          <w:rFonts w:cs="Times New Roman"/>
        </w:rPr>
        <w:t xml:space="preserve"> (схем</w:t>
      </w:r>
      <w:r w:rsidR="00275DCA" w:rsidRPr="00726D2F">
        <w:rPr>
          <w:rFonts w:cs="Times New Roman"/>
        </w:rPr>
        <w:t>а</w:t>
      </w:r>
      <w:r w:rsidRPr="00726D2F">
        <w:rPr>
          <w:rFonts w:cs="Times New Roman"/>
        </w:rPr>
        <w:t>) ценовых зон</w:t>
      </w:r>
      <w:r w:rsidR="00726D2F" w:rsidRPr="00726D2F">
        <w:rPr>
          <w:rFonts w:cs="Times New Roman"/>
        </w:rPr>
        <w:t xml:space="preserve"> (Приложение 1.5.1.4 к Отчету)</w:t>
      </w:r>
      <w:r w:rsidRPr="00726D2F">
        <w:rPr>
          <w:rFonts w:cs="Times New Roman"/>
        </w:rPr>
        <w:t xml:space="preserve"> и установлены удельные показатели средних рыночных цен в расчете на единицу площади типового объекта недвижимости</w:t>
      </w:r>
      <w:r w:rsidR="00726D2F" w:rsidRPr="00726D2F">
        <w:rPr>
          <w:rFonts w:cs="Times New Roman"/>
        </w:rPr>
        <w:t>.</w:t>
      </w:r>
      <w:r w:rsidRPr="00726D2F">
        <w:rPr>
          <w:rFonts w:cs="Times New Roman"/>
        </w:rPr>
        <w:t xml:space="preserve"> </w:t>
      </w:r>
    </w:p>
    <w:p w14:paraId="48038B57" w14:textId="77777777" w:rsidR="00621607" w:rsidRPr="0027086D" w:rsidRDefault="00621607" w:rsidP="00621607">
      <w:pPr>
        <w:ind w:firstLine="709"/>
        <w:rPr>
          <w:rFonts w:cs="Times New Roman"/>
        </w:rPr>
      </w:pPr>
    </w:p>
    <w:p w14:paraId="5A070297" w14:textId="278D69A9" w:rsidR="00197FC2" w:rsidRPr="00BE670C" w:rsidRDefault="00197FC2" w:rsidP="00FD2769">
      <w:pPr>
        <w:pStyle w:val="3"/>
        <w:rPr>
          <w:rFonts w:eastAsia="Times New Roman"/>
          <w:lang w:eastAsia="ru-RU"/>
        </w:rPr>
      </w:pPr>
      <w:bookmarkStart w:id="67" w:name="_Toc14819109"/>
      <w:r w:rsidRPr="00BE670C">
        <w:rPr>
          <w:rFonts w:eastAsia="Times New Roman"/>
          <w:lang w:eastAsia="ru-RU"/>
        </w:rPr>
        <w:t>Оценочное зонирование</w:t>
      </w:r>
      <w:r w:rsidR="005837F4" w:rsidRPr="00BE670C">
        <w:rPr>
          <w:rFonts w:eastAsia="Times New Roman"/>
          <w:lang w:eastAsia="ru-RU"/>
        </w:rPr>
        <w:t xml:space="preserve"> г.Якутск</w:t>
      </w:r>
      <w:bookmarkEnd w:id="67"/>
    </w:p>
    <w:p w14:paraId="7A4DBB70" w14:textId="1AFF36AE" w:rsidR="006536F1" w:rsidRPr="006536F1" w:rsidRDefault="006536F1" w:rsidP="006536F1">
      <w:pPr>
        <w:ind w:firstLine="709"/>
      </w:pPr>
      <w:r w:rsidRPr="006536F1">
        <w:rPr>
          <w:rFonts w:eastAsia="Calibri" w:cs="Times New Roman"/>
          <w:lang w:eastAsia="ru-RU"/>
        </w:rPr>
        <w:t>На основании</w:t>
      </w:r>
      <w:r w:rsidRPr="006536F1">
        <w:t xml:space="preserve"> </w:t>
      </w:r>
      <w:r w:rsidR="002D68A2">
        <w:t>п.6.1.</w:t>
      </w:r>
      <w:r w:rsidR="005A6F55">
        <w:t xml:space="preserve"> </w:t>
      </w:r>
      <w:r w:rsidR="002D68A2">
        <w:t>Методических указаний</w:t>
      </w:r>
      <w:r w:rsidRPr="006536F1">
        <w:rPr>
          <w:rFonts w:eastAsia="Calibri" w:cs="Times New Roman"/>
          <w:lang w:eastAsia="ru-RU"/>
        </w:rPr>
        <w:t>,</w:t>
      </w:r>
      <w:r w:rsidRPr="006536F1">
        <w:t xml:space="preserve"> в</w:t>
      </w:r>
      <w:r w:rsidRPr="006536F1">
        <w:rPr>
          <w:color w:val="1F4E79" w:themeColor="accent1" w:themeShade="80"/>
        </w:rPr>
        <w:t xml:space="preserve"> </w:t>
      </w:r>
      <w:r w:rsidRPr="006536F1">
        <w:t>процессе определения кадастровой стоимости бюджетным учреждением проводится оценочное зонирование, предусматривающее разделение территории, на которой проводится государственная кадастровая оценка, на ценовые зоны. Оценочное зонирование проводится только в отношении тех сегментов рынка недвижимости, по которым существует достаточная рыночная информация.</w:t>
      </w:r>
    </w:p>
    <w:p w14:paraId="25F9064A" w14:textId="77777777" w:rsidR="006536F1" w:rsidRPr="006536F1" w:rsidRDefault="006536F1" w:rsidP="006536F1">
      <w:pPr>
        <w:ind w:firstLine="709"/>
      </w:pPr>
      <w:r w:rsidRPr="006536F1">
        <w:rPr>
          <w:rFonts w:eastAsia="Calibri" w:cs="Times New Roman"/>
          <w:lang w:eastAsia="ru-RU"/>
        </w:rPr>
        <w:t xml:space="preserve">На основании собранной рыночной информации проведено оценочное зонирование, предусматривающее разделение территории г.Якутск на ценовые зоны. </w:t>
      </w:r>
      <w:r w:rsidRPr="006536F1">
        <w:t>Оценочное зонирование заключается в систематизации на дату определения кадастровой стоимости рыночной информации о сделках (предложениях) с типовыми объектами недвижимости исходя из их местоположения и вида использования с учетом существующего и перспективного развития, а также затрат на создание указанных объектов недвижимости.</w:t>
      </w:r>
    </w:p>
    <w:p w14:paraId="570572D3" w14:textId="77777777" w:rsidR="006536F1" w:rsidRPr="006536F1" w:rsidRDefault="006536F1" w:rsidP="00A612AA">
      <w:pPr>
        <w:suppressAutoHyphens/>
        <w:autoSpaceDN w:val="0"/>
        <w:ind w:firstLine="720"/>
        <w:textAlignment w:val="baseline"/>
      </w:pPr>
      <w:r w:rsidRPr="006536F1">
        <w:t xml:space="preserve">В целях проведения оценочного зонирования выбирается типовой объект недвижимости, основные физические и иные характеристики, вида использования которого наиболее соответствуют спросу и предложению на соответствующем сегменте рынка. Выбор физических и иных характеристик типового объекта недвижимости обоснован и описан с учетом состояния рынка на основе рыночной информации по сделкам (предложениям) с аналогичными объектами недвижимости на соответствующей территории. </w:t>
      </w:r>
    </w:p>
    <w:p w14:paraId="0712E1D2" w14:textId="40CA64E1" w:rsidR="006536F1" w:rsidRPr="006536F1" w:rsidRDefault="006536F1" w:rsidP="006536F1">
      <w:pPr>
        <w:ind w:firstLine="709"/>
      </w:pPr>
      <w:r w:rsidRPr="006536F1">
        <w:t>В основу оценочного зонирования территории положена группировка территориальных единиц по близости значений средней удельной рыночной цены в расчете на 1 кв. м площади помещения. При составлении ценового зонирования были использованы следующие данные:</w:t>
      </w:r>
    </w:p>
    <w:p w14:paraId="7A6DEE9B" w14:textId="77777777" w:rsidR="006536F1" w:rsidRPr="006536F1" w:rsidRDefault="006536F1" w:rsidP="00D24868">
      <w:pPr>
        <w:numPr>
          <w:ilvl w:val="0"/>
          <w:numId w:val="8"/>
        </w:numPr>
        <w:suppressAutoHyphens/>
        <w:autoSpaceDN w:val="0"/>
        <w:spacing w:line="244" w:lineRule="auto"/>
        <w:textAlignment w:val="baseline"/>
      </w:pPr>
      <w:r w:rsidRPr="00A612AA">
        <w:t>административно-территориальное деление, в том числе границы населенных пунктов;</w:t>
      </w:r>
    </w:p>
    <w:p w14:paraId="6667AEC9" w14:textId="77777777" w:rsidR="006536F1" w:rsidRPr="006536F1" w:rsidRDefault="006536F1" w:rsidP="00D24868">
      <w:pPr>
        <w:numPr>
          <w:ilvl w:val="0"/>
          <w:numId w:val="8"/>
        </w:numPr>
        <w:suppressAutoHyphens/>
        <w:autoSpaceDN w:val="0"/>
        <w:spacing w:line="244" w:lineRule="auto"/>
        <w:textAlignment w:val="baseline"/>
      </w:pPr>
      <w:r w:rsidRPr="00A612AA">
        <w:t>кадастровые квартала г.Якутск.</w:t>
      </w:r>
    </w:p>
    <w:p w14:paraId="32A9463D" w14:textId="77777777" w:rsidR="006536F1" w:rsidRPr="006536F1" w:rsidRDefault="006536F1" w:rsidP="00D24868">
      <w:pPr>
        <w:numPr>
          <w:ilvl w:val="0"/>
          <w:numId w:val="8"/>
        </w:numPr>
        <w:suppressAutoHyphens/>
        <w:autoSpaceDN w:val="0"/>
        <w:spacing w:line="244" w:lineRule="auto"/>
        <w:ind w:left="0" w:firstLine="709"/>
        <w:textAlignment w:val="baseline"/>
      </w:pPr>
      <w:r w:rsidRPr="00A612AA">
        <w:t>сведения о территориях общего пользования, в том числе дорожно-транспортной инфраструктуре;</w:t>
      </w:r>
    </w:p>
    <w:p w14:paraId="22F8573F" w14:textId="77777777" w:rsidR="006536F1" w:rsidRPr="006536F1" w:rsidRDefault="006536F1" w:rsidP="00D24868">
      <w:pPr>
        <w:numPr>
          <w:ilvl w:val="0"/>
          <w:numId w:val="8"/>
        </w:numPr>
        <w:suppressAutoHyphens/>
        <w:autoSpaceDN w:val="0"/>
        <w:spacing w:line="244" w:lineRule="auto"/>
        <w:ind w:left="0" w:firstLine="709"/>
        <w:textAlignment w:val="baseline"/>
      </w:pPr>
      <w:r w:rsidRPr="00A612AA">
        <w:t>сведения об объектах социальной и инженерно-технической инфраструктуры.</w:t>
      </w:r>
    </w:p>
    <w:p w14:paraId="2C37D17F" w14:textId="77777777" w:rsidR="006536F1" w:rsidRPr="006536F1" w:rsidRDefault="006536F1" w:rsidP="00726D2F">
      <w:pPr>
        <w:suppressAutoHyphens/>
        <w:autoSpaceDN w:val="0"/>
        <w:ind w:firstLine="709"/>
        <w:textAlignment w:val="baseline"/>
      </w:pPr>
      <w:r w:rsidRPr="006536F1">
        <w:t>Использование рыночной информации о ценах, предлагаемых к продаже объектов недвижимости позволяет осуществить разделение территорий по уровню цен на объекты недвижимости. При этом учитывается административно-территориальное устройство г.Якутск, социально-экономическое развитие субъекта в целом и отдельных входящих в его состав муниципальных образований, опубликованные в открытых источниках, стратегии, программы и прогнозы социально-экономического развития ГО «Город Якутск», учитываются перспективы развития (будущей застройки) отдельных территорий, а также функциональное зонирование территорий с учетом установленных градостроительных регламентов и границ зон с особыми условиями использования территорий. Оценочное зонирование территорий, охватывающих кадастровые квартала с неразвитым рынком недвижимости проводится путем объединения кадастровых кварталов одного или нескольких кварталов, которые составляют, таким образом, одну ценовую зону.</w:t>
      </w:r>
    </w:p>
    <w:p w14:paraId="746CC528" w14:textId="556A9FCB" w:rsidR="006536F1" w:rsidRPr="006536F1" w:rsidRDefault="006536F1" w:rsidP="006536F1">
      <w:pPr>
        <w:ind w:firstLine="709"/>
      </w:pPr>
      <w:r w:rsidRPr="006536F1">
        <w:t>По результатам проведенного оценочного зонирования в границах г.Якутск составлена цифровая тематическая схема ценовых зон и установлены удельные показатели средних рыночных цен в расчете на единицу площади. Схем</w:t>
      </w:r>
      <w:r w:rsidR="00726D2F">
        <w:t>а</w:t>
      </w:r>
      <w:r w:rsidRPr="006536F1">
        <w:t xml:space="preserve"> ценовых зон для рынка квартир </w:t>
      </w:r>
      <w:r w:rsidR="00726D2F">
        <w:t xml:space="preserve">г. Якутска </w:t>
      </w:r>
      <w:r w:rsidRPr="006536F1">
        <w:t>приведен</w:t>
      </w:r>
      <w:r w:rsidR="00726D2F">
        <w:t>а</w:t>
      </w:r>
      <w:r w:rsidRPr="006536F1">
        <w:t xml:space="preserve"> </w:t>
      </w:r>
      <w:r w:rsidR="00726D2F">
        <w:t xml:space="preserve">в </w:t>
      </w:r>
      <w:r w:rsidRPr="006536F1">
        <w:t xml:space="preserve">Приложении </w:t>
      </w:r>
      <w:r w:rsidR="00D35935">
        <w:t>1.5.1.4</w:t>
      </w:r>
      <w:r w:rsidRPr="006536F1">
        <w:t xml:space="preserve"> к </w:t>
      </w:r>
      <w:r w:rsidR="00726D2F">
        <w:t>Отчету</w:t>
      </w:r>
      <w:r w:rsidRPr="006536F1">
        <w:t xml:space="preserve"> и в следующих разделах настоящего отчета.</w:t>
      </w:r>
    </w:p>
    <w:p w14:paraId="67B5B44C" w14:textId="77777777" w:rsidR="006536F1" w:rsidRPr="000E4223" w:rsidRDefault="006536F1" w:rsidP="006536F1">
      <w:pPr>
        <w:ind w:firstLine="709"/>
        <w:rPr>
          <w:rFonts w:eastAsia="Calibri" w:cs="Times New Roman"/>
          <w:lang w:eastAsia="ru-RU"/>
        </w:rPr>
      </w:pPr>
      <w:r w:rsidRPr="000E4223">
        <w:rPr>
          <w:rFonts w:eastAsia="Calibri" w:cs="Times New Roman"/>
          <w:lang w:eastAsia="ru-RU"/>
        </w:rPr>
        <w:t>Для оценочного зонирования использовались ценообразующие факторы корректировки:</w:t>
      </w:r>
    </w:p>
    <w:p w14:paraId="40D2B707" w14:textId="77777777" w:rsidR="006536F1" w:rsidRPr="000E4223" w:rsidRDefault="006536F1" w:rsidP="006536F1">
      <w:pPr>
        <w:ind w:firstLine="709"/>
        <w:rPr>
          <w:rFonts w:eastAsia="Calibri" w:cs="Times New Roman"/>
          <w:lang w:eastAsia="ru-RU"/>
        </w:rPr>
      </w:pPr>
      <w:r w:rsidRPr="000E4223">
        <w:rPr>
          <w:rFonts w:eastAsia="Calibri" w:cs="Times New Roman"/>
          <w:lang w:eastAsia="ru-RU"/>
        </w:rPr>
        <w:t>- корректировка на торг.</w:t>
      </w:r>
    </w:p>
    <w:p w14:paraId="6EC46533" w14:textId="77777777" w:rsidR="006536F1" w:rsidRPr="000E4223" w:rsidRDefault="006536F1" w:rsidP="006536F1">
      <w:pPr>
        <w:ind w:firstLine="709"/>
        <w:rPr>
          <w:rFonts w:eastAsia="Calibri" w:cs="Times New Roman"/>
          <w:lang w:eastAsia="ru-RU"/>
        </w:rPr>
      </w:pPr>
      <w:r w:rsidRPr="000E4223">
        <w:rPr>
          <w:rFonts w:eastAsia="Calibri" w:cs="Times New Roman"/>
          <w:lang w:eastAsia="ru-RU"/>
        </w:rPr>
        <w:t>- корректировка на дату продажи (предложения).</w:t>
      </w:r>
    </w:p>
    <w:p w14:paraId="7F6B57AD" w14:textId="77777777" w:rsidR="006536F1" w:rsidRPr="006536F1" w:rsidRDefault="006536F1" w:rsidP="006536F1">
      <w:pPr>
        <w:ind w:firstLine="709"/>
        <w:rPr>
          <w:rFonts w:cs="Times New Roman"/>
          <w:szCs w:val="24"/>
        </w:rPr>
      </w:pPr>
      <w:r w:rsidRPr="000E4223">
        <w:rPr>
          <w:rFonts w:cs="Times New Roman"/>
          <w:szCs w:val="24"/>
        </w:rPr>
        <w:t>- корректировка на площадь.</w:t>
      </w:r>
    </w:p>
    <w:p w14:paraId="5AE8AA9C" w14:textId="77777777" w:rsidR="000E4223" w:rsidRPr="006536F1" w:rsidRDefault="000E4223" w:rsidP="000E4223">
      <w:pPr>
        <w:ind w:firstLine="709"/>
        <w:rPr>
          <w:rFonts w:cs="Times New Roman"/>
          <w:szCs w:val="24"/>
        </w:rPr>
      </w:pPr>
      <w:bookmarkStart w:id="68" w:name="_Toc530400484"/>
      <w:r w:rsidRPr="006536F1">
        <w:rPr>
          <w:rFonts w:cs="Times New Roman"/>
          <w:b/>
          <w:szCs w:val="24"/>
        </w:rPr>
        <w:t xml:space="preserve">Корректировка на торг. </w:t>
      </w:r>
      <w:r w:rsidRPr="006536F1">
        <w:rPr>
          <w:rFonts w:cs="Times New Roman"/>
          <w:szCs w:val="24"/>
        </w:rPr>
        <w:t xml:space="preserve">Город Якутск административный центр Республики Саха (Якутия), рынок объектов недвижимости в сегменте квартиры, в г.Якутске является активным, </w:t>
      </w:r>
      <w:r>
        <w:rPr>
          <w:rFonts w:cs="Times New Roman"/>
          <w:szCs w:val="24"/>
        </w:rPr>
        <w:t>в соответствии с Приложением №12</w:t>
      </w:r>
      <w:r w:rsidRPr="006536F1">
        <w:rPr>
          <w:rFonts w:cs="Times New Roman"/>
          <w:szCs w:val="24"/>
        </w:rPr>
        <w:t xml:space="preserve"> Методически</w:t>
      </w:r>
      <w:r>
        <w:rPr>
          <w:rFonts w:cs="Times New Roman"/>
          <w:szCs w:val="24"/>
        </w:rPr>
        <w:t>х рекомендаций</w:t>
      </w:r>
      <w:r w:rsidRPr="006536F1">
        <w:rPr>
          <w:rFonts w:cs="Times New Roman"/>
          <w:szCs w:val="24"/>
        </w:rPr>
        <w:t xml:space="preserve"> скидки на торг для квартир с активным рынком границы диапазона составляют от 2-6%, среднее значение 4%. В настоящем отчете скидку на торг для квартир приняли равной к среднему значению диапазона -4%.</w:t>
      </w:r>
    </w:p>
    <w:p w14:paraId="2AE6122B" w14:textId="77777777" w:rsidR="000E4223" w:rsidRPr="006536F1" w:rsidRDefault="000E4223" w:rsidP="000E4223">
      <w:pPr>
        <w:ind w:firstLine="709"/>
        <w:rPr>
          <w:rFonts w:cs="Times New Roman"/>
          <w:szCs w:val="24"/>
        </w:rPr>
      </w:pPr>
      <w:r w:rsidRPr="006536F1">
        <w:rPr>
          <w:rFonts w:cs="Times New Roman"/>
          <w:b/>
          <w:szCs w:val="24"/>
        </w:rPr>
        <w:t>Корректировку на дату продажи</w:t>
      </w:r>
      <w:r w:rsidRPr="006536F1">
        <w:rPr>
          <w:rFonts w:cs="Times New Roman"/>
          <w:szCs w:val="24"/>
        </w:rPr>
        <w:t>. Объекты для анализа взяты с предложений к продаже в 201</w:t>
      </w:r>
      <w:r>
        <w:rPr>
          <w:rFonts w:cs="Times New Roman"/>
          <w:szCs w:val="24"/>
        </w:rPr>
        <w:t>7-2018г</w:t>
      </w:r>
      <w:r w:rsidRPr="006536F1">
        <w:rPr>
          <w:rFonts w:cs="Times New Roman"/>
          <w:szCs w:val="24"/>
        </w:rPr>
        <w:t>г. Для подведения к единой дате 01.01.2019г. использовали корректировку инфляции на дату продажи.</w:t>
      </w:r>
    </w:p>
    <w:p w14:paraId="5753B9E3" w14:textId="77777777" w:rsidR="000E4223" w:rsidRPr="006536F1" w:rsidRDefault="000E4223" w:rsidP="005376A2">
      <w:pPr>
        <w:ind w:firstLine="0"/>
        <w:rPr>
          <w:rFonts w:cs="Times New Roman"/>
          <w:szCs w:val="24"/>
        </w:rPr>
      </w:pPr>
      <w:r w:rsidRPr="006536F1">
        <w:rPr>
          <w:rFonts w:ascii="Calibri" w:eastAsia="Calibri" w:hAnsi="Calibri" w:cs="Times New Roman"/>
          <w:noProof/>
          <w:sz w:val="22"/>
          <w:lang w:eastAsia="ru-RU"/>
        </w:rPr>
        <w:drawing>
          <wp:inline distT="0" distB="0" distL="0" distR="0" wp14:anchorId="1932763F" wp14:editId="1BFB5DE4">
            <wp:extent cx="5950424" cy="4026090"/>
            <wp:effectExtent l="0" t="0" r="0" b="0"/>
            <wp:docPr id="974" name="Рисунок 974"/>
            <wp:cNvGraphicFramePr/>
            <a:graphic xmlns:a="http://schemas.openxmlformats.org/drawingml/2006/main">
              <a:graphicData uri="http://schemas.openxmlformats.org/drawingml/2006/picture">
                <pic:pic xmlns:pic="http://schemas.openxmlformats.org/drawingml/2006/picture">
                  <pic:nvPicPr>
                    <pic:cNvPr id="46" name="Рисунок 46"/>
                    <pic:cNvPicPr/>
                  </pic:nvPicPr>
                  <pic:blipFill>
                    <a:blip r:embed="rId252"/>
                    <a:stretch>
                      <a:fillRect/>
                    </a:stretch>
                  </pic:blipFill>
                  <pic:spPr>
                    <a:xfrm>
                      <a:off x="0" y="0"/>
                      <a:ext cx="5966026" cy="4036647"/>
                    </a:xfrm>
                    <a:prstGeom prst="rect">
                      <a:avLst/>
                    </a:prstGeom>
                  </pic:spPr>
                </pic:pic>
              </a:graphicData>
            </a:graphic>
          </wp:inline>
        </w:drawing>
      </w:r>
    </w:p>
    <w:p w14:paraId="420F1122" w14:textId="5EAD6DC1" w:rsidR="000E4223" w:rsidRPr="006536F1" w:rsidRDefault="000E4223" w:rsidP="000E4223">
      <w:pPr>
        <w:spacing w:before="120" w:after="120"/>
        <w:ind w:firstLine="0"/>
        <w:jc w:val="center"/>
        <w:rPr>
          <w:rFonts w:eastAsia="Times New Roman" w:cs="Times New Roman"/>
          <w:i/>
          <w:szCs w:val="24"/>
          <w:lang w:eastAsia="ru-RU"/>
        </w:rPr>
      </w:pPr>
      <w:r w:rsidRPr="006536F1">
        <w:rPr>
          <w:rFonts w:eastAsia="Times New Roman" w:cs="Times New Roman"/>
          <w:i/>
          <w:szCs w:val="24"/>
          <w:lang w:eastAsia="ru-RU"/>
        </w:rPr>
        <w:t xml:space="preserve">Рисунок </w:t>
      </w:r>
      <w:r w:rsidRPr="006536F1">
        <w:rPr>
          <w:rFonts w:eastAsia="Times New Roman" w:cs="Times New Roman"/>
          <w:i/>
          <w:szCs w:val="24"/>
          <w:lang w:eastAsia="ru-RU"/>
        </w:rPr>
        <w:fldChar w:fldCharType="begin"/>
      </w:r>
      <w:r w:rsidRPr="006536F1">
        <w:rPr>
          <w:rFonts w:eastAsia="Times New Roman" w:cs="Times New Roman"/>
          <w:i/>
          <w:szCs w:val="24"/>
          <w:lang w:eastAsia="ru-RU"/>
        </w:rPr>
        <w:instrText xml:space="preserve"> SEQ Рисунок \* ARABIC </w:instrText>
      </w:r>
      <w:r w:rsidRPr="006536F1">
        <w:rPr>
          <w:rFonts w:eastAsia="Times New Roman" w:cs="Times New Roman"/>
          <w:i/>
          <w:szCs w:val="24"/>
          <w:lang w:eastAsia="ru-RU"/>
        </w:rPr>
        <w:fldChar w:fldCharType="separate"/>
      </w:r>
      <w:r w:rsidR="00FD2769">
        <w:rPr>
          <w:rFonts w:eastAsia="Times New Roman" w:cs="Times New Roman"/>
          <w:i/>
          <w:noProof/>
          <w:szCs w:val="24"/>
          <w:lang w:eastAsia="ru-RU"/>
        </w:rPr>
        <w:t>50</w:t>
      </w:r>
      <w:r w:rsidRPr="006536F1">
        <w:rPr>
          <w:rFonts w:eastAsia="Times New Roman" w:cs="Times New Roman"/>
          <w:i/>
          <w:szCs w:val="24"/>
          <w:lang w:eastAsia="ru-RU"/>
        </w:rPr>
        <w:fldChar w:fldCharType="end"/>
      </w:r>
      <w:r w:rsidRPr="006536F1">
        <w:rPr>
          <w:rFonts w:eastAsia="Times New Roman" w:cs="Times New Roman"/>
          <w:i/>
          <w:szCs w:val="24"/>
          <w:lang w:eastAsia="ru-RU"/>
        </w:rPr>
        <w:t xml:space="preserve"> Таблица Инфляции.</w:t>
      </w:r>
      <w:r w:rsidRPr="006536F1">
        <w:rPr>
          <w:rFonts w:eastAsia="Times New Roman" w:cs="Times New Roman"/>
          <w:i/>
          <w:szCs w:val="24"/>
          <w:vertAlign w:val="superscript"/>
          <w:lang w:eastAsia="ru-RU"/>
        </w:rPr>
        <w:footnoteReference w:id="22"/>
      </w:r>
    </w:p>
    <w:p w14:paraId="57110CC2" w14:textId="77777777" w:rsidR="000E4223" w:rsidRPr="006536F1" w:rsidRDefault="000E4223" w:rsidP="000E4223">
      <w:pPr>
        <w:ind w:firstLine="709"/>
        <w:rPr>
          <w:rFonts w:cs="Times New Roman"/>
          <w:szCs w:val="24"/>
        </w:rPr>
      </w:pPr>
      <w:r w:rsidRPr="006536F1">
        <w:rPr>
          <w:rFonts w:cs="Times New Roman"/>
          <w:szCs w:val="24"/>
        </w:rPr>
        <w:t>Инфляция с 01.07.2018 по 01.01.2019г составила 1,0223%, применили корректировку на дату продажи (предложения) - 1,0223</w:t>
      </w:r>
      <w:r>
        <w:rPr>
          <w:rFonts w:cs="Times New Roman"/>
          <w:szCs w:val="24"/>
        </w:rPr>
        <w:t xml:space="preserve"> (Приложение 1.5.2)</w:t>
      </w:r>
    </w:p>
    <w:p w14:paraId="44234C49" w14:textId="77777777" w:rsidR="000E4223" w:rsidRPr="006536F1" w:rsidRDefault="000E4223" w:rsidP="000E4223">
      <w:pPr>
        <w:ind w:firstLine="709"/>
        <w:rPr>
          <w:rFonts w:cs="Times New Roman"/>
          <w:szCs w:val="24"/>
        </w:rPr>
      </w:pPr>
      <w:r w:rsidRPr="006536F1">
        <w:rPr>
          <w:rFonts w:cs="Times New Roman"/>
          <w:b/>
          <w:szCs w:val="24"/>
        </w:rPr>
        <w:t>Корректировку на площадь</w:t>
      </w:r>
      <w:r w:rsidRPr="006536F1">
        <w:rPr>
          <w:rFonts w:cs="Times New Roman"/>
          <w:szCs w:val="24"/>
        </w:rPr>
        <w:t xml:space="preserve"> квартир применили в соответствии с </w:t>
      </w:r>
      <w:r>
        <w:rPr>
          <w:rFonts w:cs="Times New Roman"/>
          <w:szCs w:val="24"/>
        </w:rPr>
        <w:t xml:space="preserve">Приложением №12 </w:t>
      </w:r>
      <w:r w:rsidRPr="006536F1">
        <w:rPr>
          <w:rFonts w:cs="Times New Roman"/>
          <w:szCs w:val="24"/>
        </w:rPr>
        <w:t>Методически</w:t>
      </w:r>
      <w:r>
        <w:rPr>
          <w:rFonts w:cs="Times New Roman"/>
          <w:szCs w:val="24"/>
        </w:rPr>
        <w:t xml:space="preserve">х </w:t>
      </w:r>
      <w:r w:rsidRPr="006536F1">
        <w:rPr>
          <w:rFonts w:cs="Times New Roman"/>
          <w:szCs w:val="24"/>
        </w:rPr>
        <w:t>указани</w:t>
      </w:r>
      <w:r>
        <w:rPr>
          <w:rFonts w:cs="Times New Roman"/>
          <w:szCs w:val="24"/>
        </w:rPr>
        <w:t>й</w:t>
      </w:r>
      <w:r w:rsidRPr="006536F1">
        <w:rPr>
          <w:rFonts w:cs="Times New Roman"/>
          <w:szCs w:val="24"/>
        </w:rPr>
        <w:t>.</w:t>
      </w:r>
    </w:p>
    <w:p w14:paraId="20C57DCF" w14:textId="78150E78" w:rsidR="006536F1" w:rsidRPr="00A612AA" w:rsidRDefault="006536F1" w:rsidP="00A612AA">
      <w:pPr>
        <w:tabs>
          <w:tab w:val="left" w:pos="709"/>
          <w:tab w:val="left" w:pos="1134"/>
        </w:tabs>
        <w:ind w:firstLine="709"/>
        <w:rPr>
          <w:b/>
          <w:color w:val="000000" w:themeColor="text1"/>
          <w:spacing w:val="-5"/>
        </w:rPr>
      </w:pPr>
      <w:r w:rsidRPr="00A612AA">
        <w:rPr>
          <w:b/>
          <w:color w:val="000000" w:themeColor="text1"/>
          <w:spacing w:val="-5"/>
        </w:rPr>
        <w:t xml:space="preserve">Результаты оценочного зонирования для </w:t>
      </w:r>
      <w:r w:rsidRPr="006536F1">
        <w:rPr>
          <w:rFonts w:eastAsia="Times New Roman" w:cs="Times New Roman"/>
          <w:b/>
          <w:color w:val="000000" w:themeColor="text1"/>
          <w:spacing w:val="-5"/>
          <w:szCs w:val="24"/>
          <w:lang w:eastAsia="ru-RU"/>
        </w:rPr>
        <w:t>группы</w:t>
      </w:r>
      <w:r w:rsidRPr="00A612AA">
        <w:rPr>
          <w:b/>
          <w:color w:val="000000" w:themeColor="text1"/>
          <w:spacing w:val="-5"/>
        </w:rPr>
        <w:t xml:space="preserve"> 1 «Многоквартирные дома (дома средне- и многоэтажной жилой застройки)»</w:t>
      </w:r>
      <w:bookmarkEnd w:id="68"/>
    </w:p>
    <w:p w14:paraId="53783ADA" w14:textId="010DB9E0" w:rsidR="006536F1" w:rsidRPr="006536F1" w:rsidRDefault="006536F1" w:rsidP="006536F1">
      <w:pPr>
        <w:tabs>
          <w:tab w:val="left" w:pos="709"/>
          <w:tab w:val="left" w:pos="1134"/>
        </w:tabs>
        <w:ind w:firstLine="709"/>
        <w:rPr>
          <w:b/>
          <w:color w:val="000000" w:themeColor="text1"/>
          <w:spacing w:val="-5"/>
        </w:rPr>
      </w:pPr>
      <w:r w:rsidRPr="006536F1">
        <w:rPr>
          <w:rFonts w:eastAsia="Times New Roman"/>
          <w:b/>
          <w:color w:val="000000" w:themeColor="text1"/>
          <w:spacing w:val="-5"/>
          <w:szCs w:val="24"/>
          <w:lang w:eastAsia="ru-RU"/>
        </w:rPr>
        <w:t>«</w:t>
      </w:r>
      <w:r w:rsidRPr="006536F1">
        <w:rPr>
          <w:rFonts w:eastAsia="Times New Roman" w:cs="Times New Roman"/>
          <w:b/>
          <w:color w:val="000000" w:themeColor="text1"/>
          <w:spacing w:val="-5"/>
          <w:szCs w:val="24"/>
          <w:lang w:eastAsia="ru-RU"/>
        </w:rPr>
        <w:t>Проект планировки: Индивидуальный</w:t>
      </w:r>
      <w:r w:rsidRPr="006536F1">
        <w:rPr>
          <w:b/>
          <w:color w:val="000000" w:themeColor="text1"/>
          <w:spacing w:val="-5"/>
        </w:rPr>
        <w:t xml:space="preserve"> и 112 серии.</w:t>
      </w:r>
    </w:p>
    <w:p w14:paraId="46769011" w14:textId="77777777" w:rsidR="006536F1" w:rsidRPr="006536F1" w:rsidRDefault="006536F1" w:rsidP="004B5F1E">
      <w:pPr>
        <w:tabs>
          <w:tab w:val="left" w:pos="709"/>
          <w:tab w:val="left" w:pos="1134"/>
        </w:tabs>
        <w:ind w:firstLine="709"/>
        <w:rPr>
          <w:color w:val="000000" w:themeColor="text1"/>
          <w:spacing w:val="-5"/>
        </w:rPr>
      </w:pPr>
      <w:r w:rsidRPr="006536F1">
        <w:rPr>
          <w:color w:val="000000" w:themeColor="text1"/>
          <w:spacing w:val="-5"/>
        </w:rPr>
        <w:t>По результатам анализа рыночных цен выбраны характеристики помещений группы 1, на основании которых можно сгруппировать объекты оценки по типам, выбран типовой объект со следующими характеристиками:</w:t>
      </w:r>
    </w:p>
    <w:p w14:paraId="4D81B1F8" w14:textId="77777777" w:rsidR="006536F1" w:rsidRPr="006536F1" w:rsidRDefault="006536F1" w:rsidP="00D24868">
      <w:pPr>
        <w:numPr>
          <w:ilvl w:val="0"/>
          <w:numId w:val="7"/>
        </w:numPr>
        <w:tabs>
          <w:tab w:val="left" w:pos="709"/>
          <w:tab w:val="left" w:pos="1134"/>
        </w:tabs>
        <w:suppressAutoHyphens/>
        <w:autoSpaceDN w:val="0"/>
        <w:jc w:val="left"/>
        <w:textAlignment w:val="baseline"/>
        <w:rPr>
          <w:color w:val="000000" w:themeColor="text1"/>
          <w:spacing w:val="-5"/>
        </w:rPr>
      </w:pPr>
      <w:r w:rsidRPr="00A612AA">
        <w:rPr>
          <w:color w:val="000000" w:themeColor="text1"/>
          <w:spacing w:val="-5"/>
        </w:rPr>
        <w:t>Тип (вид) объектов недвижимости – помещение (квартира).</w:t>
      </w:r>
    </w:p>
    <w:p w14:paraId="0395501D" w14:textId="53CBC4C0" w:rsidR="006536F1" w:rsidRPr="006536F1" w:rsidRDefault="006536F1" w:rsidP="00D24868">
      <w:pPr>
        <w:numPr>
          <w:ilvl w:val="0"/>
          <w:numId w:val="7"/>
        </w:numPr>
        <w:tabs>
          <w:tab w:val="left" w:pos="709"/>
          <w:tab w:val="left" w:pos="1134"/>
        </w:tabs>
        <w:suppressAutoHyphens/>
        <w:autoSpaceDN w:val="0"/>
        <w:jc w:val="left"/>
        <w:textAlignment w:val="baseline"/>
        <w:rPr>
          <w:color w:val="000000" w:themeColor="text1"/>
          <w:spacing w:val="-5"/>
        </w:rPr>
      </w:pPr>
      <w:r w:rsidRPr="00A612AA">
        <w:rPr>
          <w:color w:val="000000" w:themeColor="text1"/>
          <w:spacing w:val="-5"/>
        </w:rPr>
        <w:t xml:space="preserve">Проект: Индивидуальная и 112 </w:t>
      </w:r>
      <w:r w:rsidRPr="006536F1">
        <w:rPr>
          <w:rFonts w:eastAsia="Times New Roman" w:cs="Times New Roman"/>
          <w:color w:val="000000" w:themeColor="text1"/>
          <w:spacing w:val="-5"/>
          <w:szCs w:val="28"/>
          <w:lang w:eastAsia="ru-RU"/>
        </w:rPr>
        <w:t>серии</w:t>
      </w:r>
    </w:p>
    <w:p w14:paraId="122F13EC" w14:textId="77777777" w:rsidR="006536F1" w:rsidRPr="006536F1" w:rsidRDefault="006536F1" w:rsidP="00D24868">
      <w:pPr>
        <w:numPr>
          <w:ilvl w:val="0"/>
          <w:numId w:val="7"/>
        </w:numPr>
        <w:tabs>
          <w:tab w:val="left" w:pos="709"/>
          <w:tab w:val="left" w:pos="1134"/>
        </w:tabs>
        <w:suppressAutoHyphens/>
        <w:autoSpaceDN w:val="0"/>
        <w:jc w:val="left"/>
        <w:textAlignment w:val="baseline"/>
        <w:rPr>
          <w:color w:val="000000" w:themeColor="text1"/>
          <w:spacing w:val="-5"/>
        </w:rPr>
      </w:pPr>
      <w:r w:rsidRPr="00A612AA">
        <w:rPr>
          <w:color w:val="000000" w:themeColor="text1"/>
          <w:spacing w:val="-5"/>
        </w:rPr>
        <w:t>Степени готовности – завершенный строительством объект, сданный в эксплуатацию.</w:t>
      </w:r>
    </w:p>
    <w:p w14:paraId="331BFEBB" w14:textId="77777777" w:rsidR="006536F1" w:rsidRPr="006536F1" w:rsidRDefault="006536F1" w:rsidP="00D24868">
      <w:pPr>
        <w:numPr>
          <w:ilvl w:val="0"/>
          <w:numId w:val="7"/>
        </w:numPr>
        <w:suppressAutoHyphens/>
        <w:autoSpaceDN w:val="0"/>
        <w:jc w:val="left"/>
        <w:textAlignment w:val="baseline"/>
      </w:pPr>
      <w:r w:rsidRPr="00A612AA">
        <w:t>Расположение относительно транспортных коммуникаций – в населенных пунктах в непосредственной близости от транспортных коммуникаций.</w:t>
      </w:r>
    </w:p>
    <w:p w14:paraId="54081609" w14:textId="77777777" w:rsidR="006536F1" w:rsidRPr="006536F1" w:rsidRDefault="006536F1" w:rsidP="00D24868">
      <w:pPr>
        <w:numPr>
          <w:ilvl w:val="0"/>
          <w:numId w:val="7"/>
        </w:numPr>
        <w:suppressAutoHyphens/>
        <w:autoSpaceDN w:val="0"/>
        <w:jc w:val="left"/>
        <w:textAlignment w:val="baseline"/>
      </w:pPr>
      <w:r w:rsidRPr="00A612AA">
        <w:t>Степень подключения к объектам инженерной инфраструктуры – наличие подключений всех основных типов инженерных коммуникаций (электроснабжение, водоснабжение и водоотведение, теплоснабжение).</w:t>
      </w:r>
    </w:p>
    <w:p w14:paraId="554249C2" w14:textId="77777777" w:rsidR="006536F1" w:rsidRPr="006536F1" w:rsidRDefault="006536F1" w:rsidP="004B5F1E">
      <w:pPr>
        <w:ind w:firstLine="709"/>
      </w:pPr>
      <w:r w:rsidRPr="006536F1">
        <w:t>По результатам оценочного зонирования территории города Якутск составлена схема ценовых зон и установлены в разрезе ценовых зон удельные показатели средних рыночных цен в расчете на единицу площади. В следующей таблице приведены значения минимальных, максимальных и средних удельных рыночных цен в расчете на единицу площади помещений, относящихся к группе «Многоквартирные дома (дома средне- и многоэтажной жилой застройки)».</w:t>
      </w:r>
    </w:p>
    <w:p w14:paraId="6B14864B" w14:textId="77777777" w:rsidR="006536F1" w:rsidRPr="006536F1" w:rsidRDefault="006536F1" w:rsidP="006536F1">
      <w:pPr>
        <w:ind w:firstLine="709"/>
      </w:pPr>
    </w:p>
    <w:p w14:paraId="0D70DDE4" w14:textId="5F6AFEB0" w:rsidR="006536F1" w:rsidRPr="00FC5515" w:rsidRDefault="006536F1" w:rsidP="00A612AA">
      <w:pPr>
        <w:pStyle w:val="afffffff0"/>
      </w:pPr>
      <w:r w:rsidRPr="00FC5515">
        <w:t>Т</w:t>
      </w:r>
      <w:r w:rsidRPr="00E07359">
        <w:t xml:space="preserve">аблица </w:t>
      </w:r>
      <w:r w:rsidR="00A90944">
        <w:fldChar w:fldCharType="begin"/>
      </w:r>
      <w:r w:rsidR="00A90944">
        <w:instrText xml:space="preserve"> SEQ Таблица \* ARABIC </w:instrText>
      </w:r>
      <w:r w:rsidR="00A90944">
        <w:fldChar w:fldCharType="separate"/>
      </w:r>
      <w:r w:rsidR="00FD2769">
        <w:rPr>
          <w:noProof/>
        </w:rPr>
        <w:t>23</w:t>
      </w:r>
      <w:r w:rsidR="00A90944">
        <w:rPr>
          <w:noProof/>
        </w:rPr>
        <w:fldChar w:fldCharType="end"/>
      </w:r>
      <w:r w:rsidRPr="00A612AA">
        <w:t xml:space="preserve">.Диапазон удельных рыночных цен в расчете на единицу площади помещений в </w:t>
      </w:r>
      <w:r w:rsidRPr="006536F1">
        <w:rPr>
          <w:iCs/>
        </w:rPr>
        <w:t>индивидуальных и с проектом 112серии, по сегменту «Многоквартирные дома (дома средне- и многоэтажной жилой застройки)» в г.Якутск, руб./кв.м</w:t>
      </w:r>
    </w:p>
    <w:tbl>
      <w:tblPr>
        <w:tblW w:w="5000" w:type="pct"/>
        <w:jc w:val="center"/>
        <w:tblLook w:val="04A0" w:firstRow="1" w:lastRow="0" w:firstColumn="1" w:lastColumn="0" w:noHBand="0" w:noVBand="1"/>
      </w:tblPr>
      <w:tblGrid>
        <w:gridCol w:w="4669"/>
        <w:gridCol w:w="1736"/>
        <w:gridCol w:w="1815"/>
        <w:gridCol w:w="1125"/>
      </w:tblGrid>
      <w:tr w:rsidR="006536F1" w:rsidRPr="006536F1" w14:paraId="4CB4CBED" w14:textId="77777777" w:rsidTr="008B2763">
        <w:trPr>
          <w:trHeight w:val="300"/>
          <w:jc w:val="center"/>
        </w:trPr>
        <w:tc>
          <w:tcPr>
            <w:tcW w:w="2498" w:type="pct"/>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3DFD2402" w14:textId="77777777" w:rsidR="006536F1" w:rsidRPr="00A612AA" w:rsidRDefault="006536F1" w:rsidP="00A612AA">
            <w:pPr>
              <w:ind w:firstLine="0"/>
              <w:jc w:val="center"/>
              <w:rPr>
                <w:color w:val="000000"/>
                <w:sz w:val="22"/>
              </w:rPr>
            </w:pPr>
            <w:r w:rsidRPr="00A612AA">
              <w:rPr>
                <w:color w:val="000000"/>
                <w:sz w:val="22"/>
              </w:rPr>
              <w:t>Группа кадастровых кварталов г.Якутск</w:t>
            </w:r>
          </w:p>
        </w:tc>
        <w:tc>
          <w:tcPr>
            <w:tcW w:w="2502" w:type="pct"/>
            <w:gridSpan w:val="3"/>
            <w:tcBorders>
              <w:top w:val="single" w:sz="4" w:space="0" w:color="auto"/>
              <w:left w:val="nil"/>
              <w:bottom w:val="single" w:sz="4" w:space="0" w:color="auto"/>
              <w:right w:val="single" w:sz="4" w:space="0" w:color="auto"/>
            </w:tcBorders>
            <w:shd w:val="clear" w:color="auto" w:fill="auto"/>
            <w:noWrap/>
            <w:vAlign w:val="bottom"/>
            <w:hideMark/>
          </w:tcPr>
          <w:p w14:paraId="335B32B3" w14:textId="77777777" w:rsidR="006536F1" w:rsidRPr="00A612AA" w:rsidRDefault="006536F1" w:rsidP="00A612AA">
            <w:pPr>
              <w:ind w:firstLine="0"/>
              <w:jc w:val="center"/>
              <w:rPr>
                <w:color w:val="000000"/>
                <w:sz w:val="22"/>
              </w:rPr>
            </w:pPr>
            <w:r w:rsidRPr="00A612AA">
              <w:rPr>
                <w:color w:val="000000"/>
                <w:sz w:val="22"/>
              </w:rPr>
              <w:t>Цена за 1 кв.м. (в рублях)</w:t>
            </w:r>
          </w:p>
        </w:tc>
      </w:tr>
      <w:tr w:rsidR="006536F1" w:rsidRPr="006536F1" w14:paraId="4D23C030" w14:textId="77777777" w:rsidTr="008B2763">
        <w:trPr>
          <w:trHeight w:val="300"/>
          <w:jc w:val="center"/>
        </w:trPr>
        <w:tc>
          <w:tcPr>
            <w:tcW w:w="2498" w:type="pct"/>
            <w:vMerge/>
            <w:tcBorders>
              <w:top w:val="single" w:sz="4" w:space="0" w:color="auto"/>
              <w:left w:val="single" w:sz="4" w:space="0" w:color="auto"/>
              <w:bottom w:val="single" w:sz="4" w:space="0" w:color="000000"/>
              <w:right w:val="single" w:sz="4" w:space="0" w:color="auto"/>
            </w:tcBorders>
            <w:vAlign w:val="center"/>
            <w:hideMark/>
          </w:tcPr>
          <w:p w14:paraId="4F002734" w14:textId="77777777" w:rsidR="006536F1" w:rsidRPr="00A612AA" w:rsidRDefault="006536F1" w:rsidP="00A612AA">
            <w:pPr>
              <w:ind w:firstLine="0"/>
              <w:jc w:val="left"/>
              <w:rPr>
                <w:color w:val="000000"/>
                <w:sz w:val="22"/>
              </w:rPr>
            </w:pPr>
          </w:p>
        </w:tc>
        <w:tc>
          <w:tcPr>
            <w:tcW w:w="929" w:type="pct"/>
            <w:tcBorders>
              <w:top w:val="nil"/>
              <w:left w:val="nil"/>
              <w:bottom w:val="single" w:sz="4" w:space="0" w:color="auto"/>
              <w:right w:val="single" w:sz="4" w:space="0" w:color="auto"/>
            </w:tcBorders>
            <w:shd w:val="clear" w:color="auto" w:fill="auto"/>
            <w:noWrap/>
            <w:vAlign w:val="bottom"/>
            <w:hideMark/>
          </w:tcPr>
          <w:p w14:paraId="53ECC324" w14:textId="77777777" w:rsidR="006536F1" w:rsidRPr="00A612AA" w:rsidRDefault="006536F1" w:rsidP="00A612AA">
            <w:pPr>
              <w:ind w:firstLine="0"/>
              <w:jc w:val="left"/>
              <w:rPr>
                <w:color w:val="000000"/>
                <w:sz w:val="22"/>
              </w:rPr>
            </w:pPr>
            <w:r w:rsidRPr="00A612AA">
              <w:rPr>
                <w:color w:val="000000"/>
                <w:sz w:val="22"/>
              </w:rPr>
              <w:t>минимальная</w:t>
            </w:r>
          </w:p>
        </w:tc>
        <w:tc>
          <w:tcPr>
            <w:tcW w:w="971" w:type="pct"/>
            <w:tcBorders>
              <w:top w:val="nil"/>
              <w:left w:val="nil"/>
              <w:bottom w:val="single" w:sz="4" w:space="0" w:color="auto"/>
              <w:right w:val="single" w:sz="4" w:space="0" w:color="auto"/>
            </w:tcBorders>
            <w:shd w:val="clear" w:color="auto" w:fill="auto"/>
            <w:noWrap/>
            <w:vAlign w:val="bottom"/>
            <w:hideMark/>
          </w:tcPr>
          <w:p w14:paraId="3D072055" w14:textId="77777777" w:rsidR="006536F1" w:rsidRPr="00A612AA" w:rsidRDefault="006536F1" w:rsidP="00A612AA">
            <w:pPr>
              <w:ind w:firstLine="0"/>
              <w:jc w:val="left"/>
              <w:rPr>
                <w:color w:val="000000"/>
                <w:sz w:val="22"/>
              </w:rPr>
            </w:pPr>
            <w:r w:rsidRPr="00A612AA">
              <w:rPr>
                <w:color w:val="000000"/>
                <w:sz w:val="22"/>
              </w:rPr>
              <w:t>максимальная</w:t>
            </w:r>
          </w:p>
        </w:tc>
        <w:tc>
          <w:tcPr>
            <w:tcW w:w="602" w:type="pct"/>
            <w:tcBorders>
              <w:top w:val="nil"/>
              <w:left w:val="nil"/>
              <w:bottom w:val="single" w:sz="4" w:space="0" w:color="auto"/>
              <w:right w:val="single" w:sz="4" w:space="0" w:color="auto"/>
            </w:tcBorders>
            <w:shd w:val="clear" w:color="auto" w:fill="auto"/>
            <w:noWrap/>
            <w:vAlign w:val="bottom"/>
            <w:hideMark/>
          </w:tcPr>
          <w:p w14:paraId="55703811" w14:textId="77777777" w:rsidR="006536F1" w:rsidRPr="00A612AA" w:rsidRDefault="006536F1" w:rsidP="00A612AA">
            <w:pPr>
              <w:ind w:firstLine="0"/>
              <w:jc w:val="left"/>
              <w:rPr>
                <w:color w:val="000000"/>
                <w:sz w:val="22"/>
              </w:rPr>
            </w:pPr>
            <w:r w:rsidRPr="00A612AA">
              <w:rPr>
                <w:color w:val="000000"/>
                <w:sz w:val="22"/>
              </w:rPr>
              <w:t>средняя</w:t>
            </w:r>
          </w:p>
        </w:tc>
      </w:tr>
      <w:tr w:rsidR="006536F1" w:rsidRPr="006536F1" w14:paraId="41D836ED" w14:textId="77777777" w:rsidTr="008B2763">
        <w:trPr>
          <w:trHeight w:val="300"/>
          <w:jc w:val="center"/>
        </w:trPr>
        <w:tc>
          <w:tcPr>
            <w:tcW w:w="2498" w:type="pct"/>
            <w:tcBorders>
              <w:top w:val="nil"/>
              <w:left w:val="single" w:sz="4" w:space="0" w:color="auto"/>
              <w:bottom w:val="single" w:sz="4" w:space="0" w:color="auto"/>
              <w:right w:val="single" w:sz="4" w:space="0" w:color="auto"/>
            </w:tcBorders>
            <w:shd w:val="clear" w:color="auto" w:fill="auto"/>
            <w:noWrap/>
            <w:vAlign w:val="bottom"/>
            <w:hideMark/>
          </w:tcPr>
          <w:p w14:paraId="6F90CD5F" w14:textId="77777777" w:rsidR="006536F1" w:rsidRPr="00A612AA" w:rsidRDefault="006536F1" w:rsidP="00A612AA">
            <w:pPr>
              <w:ind w:firstLine="0"/>
              <w:jc w:val="center"/>
              <w:rPr>
                <w:color w:val="000000"/>
                <w:sz w:val="22"/>
              </w:rPr>
            </w:pPr>
            <w:r w:rsidRPr="00A612AA">
              <w:rPr>
                <w:color w:val="000000"/>
                <w:sz w:val="22"/>
              </w:rPr>
              <w:t>14:36:101…</w:t>
            </w:r>
          </w:p>
        </w:tc>
        <w:tc>
          <w:tcPr>
            <w:tcW w:w="929" w:type="pct"/>
            <w:tcBorders>
              <w:top w:val="nil"/>
              <w:left w:val="nil"/>
              <w:bottom w:val="single" w:sz="4" w:space="0" w:color="auto"/>
              <w:right w:val="single" w:sz="4" w:space="0" w:color="auto"/>
            </w:tcBorders>
            <w:shd w:val="clear" w:color="auto" w:fill="auto"/>
            <w:noWrap/>
            <w:vAlign w:val="center"/>
            <w:hideMark/>
          </w:tcPr>
          <w:p w14:paraId="2123B0D9" w14:textId="77777777" w:rsidR="006536F1" w:rsidRPr="00A612AA" w:rsidRDefault="006536F1" w:rsidP="00A612AA">
            <w:pPr>
              <w:suppressAutoHyphens/>
              <w:autoSpaceDN w:val="0"/>
              <w:ind w:firstLine="0"/>
              <w:jc w:val="center"/>
              <w:textAlignment w:val="baseline"/>
              <w:rPr>
                <w:color w:val="000000"/>
                <w:sz w:val="22"/>
              </w:rPr>
            </w:pPr>
            <w:r w:rsidRPr="00A612AA">
              <w:rPr>
                <w:color w:val="000000"/>
                <w:sz w:val="22"/>
              </w:rPr>
              <w:t>29428</w:t>
            </w:r>
          </w:p>
        </w:tc>
        <w:tc>
          <w:tcPr>
            <w:tcW w:w="971" w:type="pct"/>
            <w:tcBorders>
              <w:top w:val="nil"/>
              <w:left w:val="nil"/>
              <w:bottom w:val="single" w:sz="4" w:space="0" w:color="auto"/>
              <w:right w:val="single" w:sz="4" w:space="0" w:color="auto"/>
            </w:tcBorders>
            <w:shd w:val="clear" w:color="auto" w:fill="auto"/>
            <w:noWrap/>
            <w:vAlign w:val="center"/>
            <w:hideMark/>
          </w:tcPr>
          <w:p w14:paraId="714427B5" w14:textId="77777777" w:rsidR="006536F1" w:rsidRPr="00A612AA" w:rsidRDefault="006536F1" w:rsidP="00A612AA">
            <w:pPr>
              <w:suppressAutoHyphens/>
              <w:autoSpaceDN w:val="0"/>
              <w:ind w:firstLine="0"/>
              <w:jc w:val="center"/>
              <w:textAlignment w:val="baseline"/>
              <w:rPr>
                <w:color w:val="000000"/>
                <w:sz w:val="22"/>
              </w:rPr>
            </w:pPr>
            <w:r w:rsidRPr="00A612AA">
              <w:rPr>
                <w:color w:val="000000"/>
                <w:sz w:val="22"/>
              </w:rPr>
              <w:t>110941</w:t>
            </w:r>
          </w:p>
        </w:tc>
        <w:tc>
          <w:tcPr>
            <w:tcW w:w="602" w:type="pct"/>
            <w:tcBorders>
              <w:top w:val="nil"/>
              <w:left w:val="nil"/>
              <w:bottom w:val="single" w:sz="4" w:space="0" w:color="auto"/>
              <w:right w:val="single" w:sz="4" w:space="0" w:color="auto"/>
            </w:tcBorders>
            <w:shd w:val="clear" w:color="auto" w:fill="auto"/>
            <w:noWrap/>
            <w:vAlign w:val="center"/>
            <w:hideMark/>
          </w:tcPr>
          <w:p w14:paraId="5EB43167" w14:textId="77777777" w:rsidR="006536F1" w:rsidRPr="00A612AA" w:rsidRDefault="006536F1" w:rsidP="00A612AA">
            <w:pPr>
              <w:suppressAutoHyphens/>
              <w:autoSpaceDN w:val="0"/>
              <w:ind w:firstLine="0"/>
              <w:jc w:val="center"/>
              <w:textAlignment w:val="baseline"/>
              <w:rPr>
                <w:color w:val="000000"/>
                <w:sz w:val="22"/>
              </w:rPr>
            </w:pPr>
            <w:r w:rsidRPr="00A612AA">
              <w:rPr>
                <w:color w:val="000000"/>
                <w:sz w:val="22"/>
              </w:rPr>
              <w:t>74326</w:t>
            </w:r>
          </w:p>
        </w:tc>
      </w:tr>
      <w:tr w:rsidR="006536F1" w:rsidRPr="006536F1" w14:paraId="33C6FB64" w14:textId="77777777" w:rsidTr="008B2763">
        <w:trPr>
          <w:trHeight w:val="300"/>
          <w:jc w:val="center"/>
        </w:trPr>
        <w:tc>
          <w:tcPr>
            <w:tcW w:w="2498" w:type="pct"/>
            <w:tcBorders>
              <w:top w:val="nil"/>
              <w:left w:val="single" w:sz="4" w:space="0" w:color="auto"/>
              <w:bottom w:val="single" w:sz="4" w:space="0" w:color="auto"/>
              <w:right w:val="single" w:sz="4" w:space="0" w:color="auto"/>
            </w:tcBorders>
            <w:shd w:val="clear" w:color="auto" w:fill="auto"/>
            <w:noWrap/>
            <w:vAlign w:val="bottom"/>
            <w:hideMark/>
          </w:tcPr>
          <w:p w14:paraId="1EBFFB44" w14:textId="77777777" w:rsidR="006536F1" w:rsidRPr="00A612AA" w:rsidRDefault="006536F1" w:rsidP="00A612AA">
            <w:pPr>
              <w:ind w:firstLine="0"/>
              <w:jc w:val="center"/>
              <w:rPr>
                <w:color w:val="000000"/>
                <w:sz w:val="22"/>
              </w:rPr>
            </w:pPr>
            <w:r w:rsidRPr="00A612AA">
              <w:rPr>
                <w:color w:val="000000"/>
                <w:sz w:val="22"/>
              </w:rPr>
              <w:t>14:36:102…</w:t>
            </w:r>
          </w:p>
        </w:tc>
        <w:tc>
          <w:tcPr>
            <w:tcW w:w="929" w:type="pct"/>
            <w:tcBorders>
              <w:top w:val="nil"/>
              <w:left w:val="nil"/>
              <w:bottom w:val="single" w:sz="4" w:space="0" w:color="auto"/>
              <w:right w:val="single" w:sz="4" w:space="0" w:color="auto"/>
            </w:tcBorders>
            <w:shd w:val="clear" w:color="auto" w:fill="auto"/>
            <w:noWrap/>
            <w:vAlign w:val="center"/>
            <w:hideMark/>
          </w:tcPr>
          <w:p w14:paraId="46171906" w14:textId="77777777" w:rsidR="006536F1" w:rsidRPr="00A612AA" w:rsidRDefault="006536F1" w:rsidP="00A612AA">
            <w:pPr>
              <w:suppressAutoHyphens/>
              <w:autoSpaceDN w:val="0"/>
              <w:ind w:firstLine="0"/>
              <w:jc w:val="center"/>
              <w:textAlignment w:val="baseline"/>
              <w:rPr>
                <w:color w:val="000000"/>
                <w:sz w:val="22"/>
              </w:rPr>
            </w:pPr>
            <w:r w:rsidRPr="00A612AA">
              <w:rPr>
                <w:color w:val="000000"/>
                <w:sz w:val="22"/>
              </w:rPr>
              <w:t>31368</w:t>
            </w:r>
          </w:p>
        </w:tc>
        <w:tc>
          <w:tcPr>
            <w:tcW w:w="971" w:type="pct"/>
            <w:tcBorders>
              <w:top w:val="nil"/>
              <w:left w:val="nil"/>
              <w:bottom w:val="single" w:sz="4" w:space="0" w:color="auto"/>
              <w:right w:val="single" w:sz="4" w:space="0" w:color="auto"/>
            </w:tcBorders>
            <w:shd w:val="clear" w:color="auto" w:fill="auto"/>
            <w:noWrap/>
            <w:vAlign w:val="center"/>
            <w:hideMark/>
          </w:tcPr>
          <w:p w14:paraId="7F27D34B" w14:textId="77777777" w:rsidR="006536F1" w:rsidRPr="00A612AA" w:rsidRDefault="006536F1" w:rsidP="00A612AA">
            <w:pPr>
              <w:suppressAutoHyphens/>
              <w:autoSpaceDN w:val="0"/>
              <w:ind w:firstLine="0"/>
              <w:jc w:val="center"/>
              <w:textAlignment w:val="baseline"/>
              <w:rPr>
                <w:color w:val="000000"/>
                <w:sz w:val="22"/>
              </w:rPr>
            </w:pPr>
            <w:r w:rsidRPr="00A612AA">
              <w:rPr>
                <w:color w:val="000000"/>
                <w:sz w:val="22"/>
              </w:rPr>
              <w:t>95624</w:t>
            </w:r>
          </w:p>
        </w:tc>
        <w:tc>
          <w:tcPr>
            <w:tcW w:w="602" w:type="pct"/>
            <w:tcBorders>
              <w:top w:val="nil"/>
              <w:left w:val="nil"/>
              <w:bottom w:val="single" w:sz="4" w:space="0" w:color="auto"/>
              <w:right w:val="single" w:sz="4" w:space="0" w:color="auto"/>
            </w:tcBorders>
            <w:shd w:val="clear" w:color="auto" w:fill="auto"/>
            <w:noWrap/>
            <w:vAlign w:val="center"/>
            <w:hideMark/>
          </w:tcPr>
          <w:p w14:paraId="35E1D577" w14:textId="77777777" w:rsidR="006536F1" w:rsidRPr="00A612AA" w:rsidRDefault="006536F1" w:rsidP="00A612AA">
            <w:pPr>
              <w:suppressAutoHyphens/>
              <w:autoSpaceDN w:val="0"/>
              <w:ind w:firstLine="0"/>
              <w:jc w:val="center"/>
              <w:textAlignment w:val="baseline"/>
              <w:rPr>
                <w:color w:val="000000"/>
                <w:sz w:val="22"/>
              </w:rPr>
            </w:pPr>
            <w:r w:rsidRPr="00A612AA">
              <w:rPr>
                <w:color w:val="000000"/>
                <w:sz w:val="22"/>
              </w:rPr>
              <w:t>65517</w:t>
            </w:r>
          </w:p>
        </w:tc>
      </w:tr>
      <w:tr w:rsidR="006536F1" w:rsidRPr="006536F1" w14:paraId="5AB55561" w14:textId="77777777" w:rsidTr="008B2763">
        <w:trPr>
          <w:trHeight w:val="300"/>
          <w:jc w:val="center"/>
        </w:trPr>
        <w:tc>
          <w:tcPr>
            <w:tcW w:w="2498" w:type="pct"/>
            <w:tcBorders>
              <w:top w:val="nil"/>
              <w:left w:val="single" w:sz="4" w:space="0" w:color="auto"/>
              <w:bottom w:val="single" w:sz="4" w:space="0" w:color="auto"/>
              <w:right w:val="single" w:sz="4" w:space="0" w:color="auto"/>
            </w:tcBorders>
            <w:shd w:val="clear" w:color="auto" w:fill="auto"/>
            <w:noWrap/>
            <w:vAlign w:val="bottom"/>
            <w:hideMark/>
          </w:tcPr>
          <w:p w14:paraId="73A6F7E7" w14:textId="77777777" w:rsidR="006536F1" w:rsidRPr="00A612AA" w:rsidRDefault="006536F1" w:rsidP="00A612AA">
            <w:pPr>
              <w:ind w:firstLine="0"/>
              <w:jc w:val="center"/>
              <w:rPr>
                <w:color w:val="000000"/>
                <w:sz w:val="22"/>
              </w:rPr>
            </w:pPr>
            <w:r w:rsidRPr="00A612AA">
              <w:rPr>
                <w:color w:val="000000"/>
                <w:sz w:val="22"/>
              </w:rPr>
              <w:t>14:36:103…</w:t>
            </w:r>
          </w:p>
        </w:tc>
        <w:tc>
          <w:tcPr>
            <w:tcW w:w="929" w:type="pct"/>
            <w:tcBorders>
              <w:top w:val="nil"/>
              <w:left w:val="nil"/>
              <w:bottom w:val="single" w:sz="4" w:space="0" w:color="auto"/>
              <w:right w:val="single" w:sz="4" w:space="0" w:color="auto"/>
            </w:tcBorders>
            <w:shd w:val="clear" w:color="auto" w:fill="auto"/>
            <w:noWrap/>
            <w:vAlign w:val="center"/>
            <w:hideMark/>
          </w:tcPr>
          <w:p w14:paraId="67814B2E" w14:textId="77777777" w:rsidR="006536F1" w:rsidRPr="00A612AA" w:rsidRDefault="006536F1" w:rsidP="00A612AA">
            <w:pPr>
              <w:suppressAutoHyphens/>
              <w:autoSpaceDN w:val="0"/>
              <w:ind w:firstLine="0"/>
              <w:jc w:val="center"/>
              <w:textAlignment w:val="baseline"/>
              <w:rPr>
                <w:color w:val="000000"/>
                <w:sz w:val="22"/>
              </w:rPr>
            </w:pPr>
            <w:r w:rsidRPr="00A612AA">
              <w:rPr>
                <w:color w:val="000000"/>
                <w:sz w:val="22"/>
              </w:rPr>
              <w:t>44698</w:t>
            </w:r>
          </w:p>
        </w:tc>
        <w:tc>
          <w:tcPr>
            <w:tcW w:w="971" w:type="pct"/>
            <w:tcBorders>
              <w:top w:val="nil"/>
              <w:left w:val="nil"/>
              <w:bottom w:val="single" w:sz="4" w:space="0" w:color="auto"/>
              <w:right w:val="single" w:sz="4" w:space="0" w:color="auto"/>
            </w:tcBorders>
            <w:shd w:val="clear" w:color="auto" w:fill="auto"/>
            <w:noWrap/>
            <w:vAlign w:val="center"/>
            <w:hideMark/>
          </w:tcPr>
          <w:p w14:paraId="662E2410" w14:textId="77777777" w:rsidR="006536F1" w:rsidRPr="00A612AA" w:rsidRDefault="006536F1" w:rsidP="00A612AA">
            <w:pPr>
              <w:suppressAutoHyphens/>
              <w:autoSpaceDN w:val="0"/>
              <w:ind w:firstLine="0"/>
              <w:jc w:val="center"/>
              <w:textAlignment w:val="baseline"/>
              <w:rPr>
                <w:color w:val="000000"/>
                <w:sz w:val="22"/>
              </w:rPr>
            </w:pPr>
            <w:r w:rsidRPr="00A612AA">
              <w:rPr>
                <w:color w:val="000000"/>
                <w:sz w:val="22"/>
              </w:rPr>
              <w:t>98349</w:t>
            </w:r>
          </w:p>
        </w:tc>
        <w:tc>
          <w:tcPr>
            <w:tcW w:w="602" w:type="pct"/>
            <w:tcBorders>
              <w:top w:val="nil"/>
              <w:left w:val="nil"/>
              <w:bottom w:val="single" w:sz="4" w:space="0" w:color="auto"/>
              <w:right w:val="single" w:sz="4" w:space="0" w:color="auto"/>
            </w:tcBorders>
            <w:shd w:val="clear" w:color="auto" w:fill="auto"/>
            <w:noWrap/>
            <w:vAlign w:val="center"/>
            <w:hideMark/>
          </w:tcPr>
          <w:p w14:paraId="132A596D" w14:textId="77777777" w:rsidR="006536F1" w:rsidRPr="00A612AA" w:rsidRDefault="006536F1" w:rsidP="00A612AA">
            <w:pPr>
              <w:suppressAutoHyphens/>
              <w:autoSpaceDN w:val="0"/>
              <w:ind w:firstLine="0"/>
              <w:jc w:val="center"/>
              <w:textAlignment w:val="baseline"/>
              <w:rPr>
                <w:color w:val="000000"/>
                <w:sz w:val="22"/>
              </w:rPr>
            </w:pPr>
            <w:r w:rsidRPr="00A612AA">
              <w:rPr>
                <w:color w:val="000000"/>
                <w:sz w:val="22"/>
              </w:rPr>
              <w:t>74996</w:t>
            </w:r>
          </w:p>
        </w:tc>
      </w:tr>
      <w:tr w:rsidR="006536F1" w:rsidRPr="006536F1" w14:paraId="6C341956" w14:textId="77777777" w:rsidTr="008B2763">
        <w:trPr>
          <w:trHeight w:val="300"/>
          <w:jc w:val="center"/>
        </w:trPr>
        <w:tc>
          <w:tcPr>
            <w:tcW w:w="2498" w:type="pct"/>
            <w:tcBorders>
              <w:top w:val="nil"/>
              <w:left w:val="single" w:sz="4" w:space="0" w:color="auto"/>
              <w:bottom w:val="single" w:sz="4" w:space="0" w:color="auto"/>
              <w:right w:val="single" w:sz="4" w:space="0" w:color="auto"/>
            </w:tcBorders>
            <w:shd w:val="clear" w:color="auto" w:fill="auto"/>
            <w:noWrap/>
            <w:vAlign w:val="bottom"/>
            <w:hideMark/>
          </w:tcPr>
          <w:p w14:paraId="79995F93" w14:textId="77777777" w:rsidR="006536F1" w:rsidRPr="00A612AA" w:rsidRDefault="006536F1" w:rsidP="00A612AA">
            <w:pPr>
              <w:ind w:firstLine="0"/>
              <w:jc w:val="center"/>
              <w:rPr>
                <w:color w:val="000000"/>
                <w:sz w:val="22"/>
              </w:rPr>
            </w:pPr>
            <w:r w:rsidRPr="00A612AA">
              <w:rPr>
                <w:color w:val="000000"/>
                <w:sz w:val="22"/>
              </w:rPr>
              <w:t>14:36:104…</w:t>
            </w:r>
          </w:p>
        </w:tc>
        <w:tc>
          <w:tcPr>
            <w:tcW w:w="929" w:type="pct"/>
            <w:tcBorders>
              <w:top w:val="nil"/>
              <w:left w:val="nil"/>
              <w:bottom w:val="single" w:sz="4" w:space="0" w:color="auto"/>
              <w:right w:val="single" w:sz="4" w:space="0" w:color="auto"/>
            </w:tcBorders>
            <w:shd w:val="clear" w:color="auto" w:fill="auto"/>
            <w:noWrap/>
            <w:vAlign w:val="center"/>
            <w:hideMark/>
          </w:tcPr>
          <w:p w14:paraId="0BF4757A" w14:textId="77777777" w:rsidR="006536F1" w:rsidRPr="00A612AA" w:rsidRDefault="006536F1" w:rsidP="00A612AA">
            <w:pPr>
              <w:suppressAutoHyphens/>
              <w:autoSpaceDN w:val="0"/>
              <w:ind w:firstLine="0"/>
              <w:jc w:val="center"/>
              <w:textAlignment w:val="baseline"/>
              <w:rPr>
                <w:color w:val="000000"/>
                <w:sz w:val="22"/>
              </w:rPr>
            </w:pPr>
            <w:r w:rsidRPr="00A612AA">
              <w:rPr>
                <w:color w:val="000000"/>
                <w:sz w:val="22"/>
              </w:rPr>
              <w:t>52099</w:t>
            </w:r>
          </w:p>
        </w:tc>
        <w:tc>
          <w:tcPr>
            <w:tcW w:w="971" w:type="pct"/>
            <w:tcBorders>
              <w:top w:val="nil"/>
              <w:left w:val="nil"/>
              <w:bottom w:val="single" w:sz="4" w:space="0" w:color="auto"/>
              <w:right w:val="single" w:sz="4" w:space="0" w:color="auto"/>
            </w:tcBorders>
            <w:shd w:val="clear" w:color="auto" w:fill="auto"/>
            <w:noWrap/>
            <w:vAlign w:val="center"/>
            <w:hideMark/>
          </w:tcPr>
          <w:p w14:paraId="3C4B9287" w14:textId="77777777" w:rsidR="006536F1" w:rsidRPr="00A612AA" w:rsidRDefault="006536F1" w:rsidP="00A612AA">
            <w:pPr>
              <w:suppressAutoHyphens/>
              <w:autoSpaceDN w:val="0"/>
              <w:ind w:firstLine="0"/>
              <w:jc w:val="center"/>
              <w:textAlignment w:val="baseline"/>
              <w:rPr>
                <w:color w:val="000000"/>
                <w:sz w:val="22"/>
              </w:rPr>
            </w:pPr>
            <w:r w:rsidRPr="00A612AA">
              <w:rPr>
                <w:color w:val="000000"/>
                <w:sz w:val="22"/>
              </w:rPr>
              <w:t>135078</w:t>
            </w:r>
          </w:p>
        </w:tc>
        <w:tc>
          <w:tcPr>
            <w:tcW w:w="602" w:type="pct"/>
            <w:tcBorders>
              <w:top w:val="nil"/>
              <w:left w:val="nil"/>
              <w:bottom w:val="single" w:sz="4" w:space="0" w:color="auto"/>
              <w:right w:val="single" w:sz="4" w:space="0" w:color="auto"/>
            </w:tcBorders>
            <w:shd w:val="clear" w:color="auto" w:fill="auto"/>
            <w:noWrap/>
            <w:vAlign w:val="center"/>
            <w:hideMark/>
          </w:tcPr>
          <w:p w14:paraId="3A410A47" w14:textId="77777777" w:rsidR="006536F1" w:rsidRPr="00A612AA" w:rsidRDefault="006536F1" w:rsidP="00A612AA">
            <w:pPr>
              <w:suppressAutoHyphens/>
              <w:autoSpaceDN w:val="0"/>
              <w:ind w:firstLine="0"/>
              <w:jc w:val="center"/>
              <w:textAlignment w:val="baseline"/>
              <w:rPr>
                <w:color w:val="000000"/>
                <w:sz w:val="22"/>
              </w:rPr>
            </w:pPr>
            <w:r w:rsidRPr="00A612AA">
              <w:rPr>
                <w:color w:val="000000"/>
                <w:sz w:val="22"/>
              </w:rPr>
              <w:t>73296</w:t>
            </w:r>
          </w:p>
        </w:tc>
      </w:tr>
      <w:tr w:rsidR="006536F1" w:rsidRPr="006536F1" w14:paraId="37FEE23F" w14:textId="77777777" w:rsidTr="008B2763">
        <w:trPr>
          <w:trHeight w:val="300"/>
          <w:jc w:val="center"/>
        </w:trPr>
        <w:tc>
          <w:tcPr>
            <w:tcW w:w="2498" w:type="pct"/>
            <w:tcBorders>
              <w:top w:val="nil"/>
              <w:left w:val="single" w:sz="4" w:space="0" w:color="auto"/>
              <w:bottom w:val="single" w:sz="4" w:space="0" w:color="auto"/>
              <w:right w:val="single" w:sz="4" w:space="0" w:color="auto"/>
            </w:tcBorders>
            <w:shd w:val="clear" w:color="auto" w:fill="auto"/>
            <w:noWrap/>
            <w:vAlign w:val="bottom"/>
            <w:hideMark/>
          </w:tcPr>
          <w:p w14:paraId="25BCE664" w14:textId="77777777" w:rsidR="006536F1" w:rsidRPr="00A612AA" w:rsidRDefault="006536F1" w:rsidP="00A612AA">
            <w:pPr>
              <w:ind w:firstLine="0"/>
              <w:jc w:val="center"/>
              <w:rPr>
                <w:color w:val="000000"/>
                <w:sz w:val="22"/>
              </w:rPr>
            </w:pPr>
            <w:r w:rsidRPr="00A612AA">
              <w:rPr>
                <w:color w:val="000000"/>
                <w:sz w:val="22"/>
              </w:rPr>
              <w:t>14:36:105…</w:t>
            </w:r>
          </w:p>
        </w:tc>
        <w:tc>
          <w:tcPr>
            <w:tcW w:w="929" w:type="pct"/>
            <w:tcBorders>
              <w:top w:val="nil"/>
              <w:left w:val="nil"/>
              <w:bottom w:val="single" w:sz="4" w:space="0" w:color="auto"/>
              <w:right w:val="single" w:sz="4" w:space="0" w:color="auto"/>
            </w:tcBorders>
            <w:shd w:val="clear" w:color="auto" w:fill="auto"/>
            <w:noWrap/>
            <w:vAlign w:val="center"/>
            <w:hideMark/>
          </w:tcPr>
          <w:p w14:paraId="5ADF3E67" w14:textId="77777777" w:rsidR="006536F1" w:rsidRPr="00A612AA" w:rsidRDefault="006536F1" w:rsidP="00A612AA">
            <w:pPr>
              <w:ind w:firstLine="0"/>
              <w:jc w:val="center"/>
              <w:rPr>
                <w:color w:val="000000"/>
                <w:sz w:val="22"/>
              </w:rPr>
            </w:pPr>
            <w:r w:rsidRPr="00A612AA">
              <w:rPr>
                <w:color w:val="000000"/>
                <w:sz w:val="22"/>
              </w:rPr>
              <w:t>52099</w:t>
            </w:r>
          </w:p>
        </w:tc>
        <w:tc>
          <w:tcPr>
            <w:tcW w:w="971" w:type="pct"/>
            <w:tcBorders>
              <w:top w:val="nil"/>
              <w:left w:val="nil"/>
              <w:bottom w:val="single" w:sz="4" w:space="0" w:color="auto"/>
              <w:right w:val="single" w:sz="4" w:space="0" w:color="auto"/>
            </w:tcBorders>
            <w:shd w:val="clear" w:color="auto" w:fill="auto"/>
            <w:noWrap/>
            <w:vAlign w:val="center"/>
            <w:hideMark/>
          </w:tcPr>
          <w:p w14:paraId="4169D879" w14:textId="77777777" w:rsidR="006536F1" w:rsidRPr="00A612AA" w:rsidRDefault="006536F1" w:rsidP="00A612AA">
            <w:pPr>
              <w:ind w:firstLine="0"/>
              <w:jc w:val="center"/>
              <w:rPr>
                <w:color w:val="000000"/>
                <w:sz w:val="22"/>
              </w:rPr>
            </w:pPr>
            <w:r w:rsidRPr="00A612AA">
              <w:rPr>
                <w:color w:val="000000"/>
                <w:sz w:val="22"/>
              </w:rPr>
              <w:t>135088</w:t>
            </w:r>
          </w:p>
        </w:tc>
        <w:tc>
          <w:tcPr>
            <w:tcW w:w="602" w:type="pct"/>
            <w:tcBorders>
              <w:top w:val="nil"/>
              <w:left w:val="nil"/>
              <w:bottom w:val="single" w:sz="4" w:space="0" w:color="auto"/>
              <w:right w:val="single" w:sz="4" w:space="0" w:color="auto"/>
            </w:tcBorders>
            <w:shd w:val="clear" w:color="auto" w:fill="auto"/>
            <w:noWrap/>
            <w:vAlign w:val="center"/>
            <w:hideMark/>
          </w:tcPr>
          <w:p w14:paraId="14A278BF" w14:textId="77777777" w:rsidR="006536F1" w:rsidRPr="00A612AA" w:rsidRDefault="006536F1" w:rsidP="00A612AA">
            <w:pPr>
              <w:ind w:firstLine="0"/>
              <w:jc w:val="center"/>
              <w:rPr>
                <w:color w:val="000000"/>
                <w:sz w:val="22"/>
              </w:rPr>
            </w:pPr>
            <w:r w:rsidRPr="00A612AA">
              <w:rPr>
                <w:color w:val="000000"/>
                <w:sz w:val="22"/>
              </w:rPr>
              <w:t>84470</w:t>
            </w:r>
          </w:p>
        </w:tc>
      </w:tr>
      <w:tr w:rsidR="006536F1" w:rsidRPr="006536F1" w14:paraId="221BB85B" w14:textId="77777777" w:rsidTr="008B2763">
        <w:trPr>
          <w:trHeight w:val="300"/>
          <w:jc w:val="center"/>
        </w:trPr>
        <w:tc>
          <w:tcPr>
            <w:tcW w:w="2498" w:type="pct"/>
            <w:tcBorders>
              <w:top w:val="nil"/>
              <w:left w:val="single" w:sz="4" w:space="0" w:color="auto"/>
              <w:bottom w:val="single" w:sz="4" w:space="0" w:color="auto"/>
              <w:right w:val="single" w:sz="4" w:space="0" w:color="auto"/>
            </w:tcBorders>
            <w:shd w:val="clear" w:color="auto" w:fill="auto"/>
            <w:noWrap/>
            <w:vAlign w:val="bottom"/>
            <w:hideMark/>
          </w:tcPr>
          <w:p w14:paraId="483A60D4" w14:textId="77777777" w:rsidR="006536F1" w:rsidRPr="00A612AA" w:rsidRDefault="006536F1" w:rsidP="00A612AA">
            <w:pPr>
              <w:ind w:firstLine="0"/>
              <w:jc w:val="center"/>
              <w:rPr>
                <w:color w:val="000000"/>
                <w:sz w:val="22"/>
              </w:rPr>
            </w:pPr>
            <w:r w:rsidRPr="00A612AA">
              <w:rPr>
                <w:color w:val="000000"/>
                <w:sz w:val="22"/>
              </w:rPr>
              <w:t>14:36:106…</w:t>
            </w:r>
          </w:p>
        </w:tc>
        <w:tc>
          <w:tcPr>
            <w:tcW w:w="92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A18BF9" w14:textId="77777777" w:rsidR="006536F1" w:rsidRPr="00A612AA" w:rsidRDefault="006536F1" w:rsidP="00A612AA">
            <w:pPr>
              <w:ind w:firstLine="0"/>
              <w:jc w:val="center"/>
              <w:rPr>
                <w:color w:val="000000"/>
                <w:sz w:val="22"/>
              </w:rPr>
            </w:pPr>
            <w:r w:rsidRPr="00A612AA">
              <w:rPr>
                <w:color w:val="000000"/>
                <w:sz w:val="22"/>
              </w:rPr>
              <w:t>27171</w:t>
            </w:r>
          </w:p>
        </w:tc>
        <w:tc>
          <w:tcPr>
            <w:tcW w:w="971" w:type="pct"/>
            <w:tcBorders>
              <w:top w:val="single" w:sz="4" w:space="0" w:color="auto"/>
              <w:left w:val="nil"/>
              <w:bottom w:val="single" w:sz="4" w:space="0" w:color="auto"/>
              <w:right w:val="single" w:sz="4" w:space="0" w:color="auto"/>
            </w:tcBorders>
            <w:shd w:val="clear" w:color="auto" w:fill="auto"/>
            <w:noWrap/>
            <w:vAlign w:val="center"/>
            <w:hideMark/>
          </w:tcPr>
          <w:p w14:paraId="0A83729A" w14:textId="77777777" w:rsidR="006536F1" w:rsidRPr="00A612AA" w:rsidRDefault="006536F1" w:rsidP="00A612AA">
            <w:pPr>
              <w:suppressAutoHyphens/>
              <w:autoSpaceDN w:val="0"/>
              <w:ind w:firstLine="0"/>
              <w:jc w:val="center"/>
              <w:textAlignment w:val="baseline"/>
              <w:rPr>
                <w:color w:val="000000"/>
                <w:sz w:val="22"/>
              </w:rPr>
            </w:pPr>
            <w:r w:rsidRPr="00A612AA">
              <w:rPr>
                <w:color w:val="000000"/>
                <w:sz w:val="22"/>
              </w:rPr>
              <w:t>109610</w:t>
            </w:r>
          </w:p>
        </w:tc>
        <w:tc>
          <w:tcPr>
            <w:tcW w:w="602" w:type="pct"/>
            <w:tcBorders>
              <w:top w:val="single" w:sz="4" w:space="0" w:color="auto"/>
              <w:left w:val="nil"/>
              <w:bottom w:val="single" w:sz="4" w:space="0" w:color="auto"/>
              <w:right w:val="single" w:sz="4" w:space="0" w:color="auto"/>
            </w:tcBorders>
            <w:shd w:val="clear" w:color="auto" w:fill="auto"/>
            <w:noWrap/>
            <w:vAlign w:val="center"/>
            <w:hideMark/>
          </w:tcPr>
          <w:p w14:paraId="6FD038B0" w14:textId="77777777" w:rsidR="006536F1" w:rsidRPr="00A612AA" w:rsidRDefault="006536F1" w:rsidP="00A612AA">
            <w:pPr>
              <w:suppressAutoHyphens/>
              <w:autoSpaceDN w:val="0"/>
              <w:ind w:firstLine="0"/>
              <w:jc w:val="center"/>
              <w:textAlignment w:val="baseline"/>
              <w:rPr>
                <w:color w:val="000000"/>
                <w:sz w:val="22"/>
              </w:rPr>
            </w:pPr>
            <w:r w:rsidRPr="00A612AA">
              <w:rPr>
                <w:color w:val="000000"/>
                <w:sz w:val="22"/>
              </w:rPr>
              <w:t>67380</w:t>
            </w:r>
          </w:p>
        </w:tc>
      </w:tr>
      <w:tr w:rsidR="006536F1" w:rsidRPr="006536F1" w14:paraId="33A33CAA" w14:textId="77777777" w:rsidTr="008B2763">
        <w:trPr>
          <w:trHeight w:val="300"/>
          <w:jc w:val="center"/>
        </w:trPr>
        <w:tc>
          <w:tcPr>
            <w:tcW w:w="2498" w:type="pct"/>
            <w:tcBorders>
              <w:top w:val="nil"/>
              <w:left w:val="single" w:sz="4" w:space="0" w:color="auto"/>
              <w:bottom w:val="single" w:sz="4" w:space="0" w:color="auto"/>
              <w:right w:val="single" w:sz="4" w:space="0" w:color="auto"/>
            </w:tcBorders>
            <w:shd w:val="clear" w:color="auto" w:fill="auto"/>
            <w:noWrap/>
            <w:vAlign w:val="bottom"/>
            <w:hideMark/>
          </w:tcPr>
          <w:p w14:paraId="1C7C5281" w14:textId="77777777" w:rsidR="006536F1" w:rsidRPr="00A612AA" w:rsidRDefault="006536F1" w:rsidP="00A612AA">
            <w:pPr>
              <w:ind w:firstLine="0"/>
              <w:jc w:val="center"/>
              <w:rPr>
                <w:color w:val="000000"/>
                <w:sz w:val="22"/>
              </w:rPr>
            </w:pPr>
            <w:r w:rsidRPr="00A612AA">
              <w:rPr>
                <w:color w:val="000000"/>
                <w:sz w:val="22"/>
              </w:rPr>
              <w:t>14:36:107…</w:t>
            </w:r>
          </w:p>
        </w:tc>
        <w:tc>
          <w:tcPr>
            <w:tcW w:w="929" w:type="pct"/>
            <w:tcBorders>
              <w:top w:val="nil"/>
              <w:left w:val="nil"/>
              <w:bottom w:val="single" w:sz="4" w:space="0" w:color="auto"/>
              <w:right w:val="single" w:sz="4" w:space="0" w:color="auto"/>
            </w:tcBorders>
            <w:shd w:val="clear" w:color="auto" w:fill="auto"/>
            <w:noWrap/>
            <w:vAlign w:val="bottom"/>
            <w:hideMark/>
          </w:tcPr>
          <w:p w14:paraId="6875D15D" w14:textId="77777777" w:rsidR="006536F1" w:rsidRPr="00A612AA" w:rsidRDefault="006536F1" w:rsidP="00A612AA">
            <w:pPr>
              <w:ind w:firstLine="0"/>
              <w:jc w:val="center"/>
              <w:rPr>
                <w:color w:val="000000"/>
                <w:sz w:val="22"/>
              </w:rPr>
            </w:pPr>
            <w:r w:rsidRPr="00A612AA">
              <w:rPr>
                <w:color w:val="000000"/>
                <w:sz w:val="22"/>
              </w:rPr>
              <w:t>35110</w:t>
            </w:r>
          </w:p>
        </w:tc>
        <w:tc>
          <w:tcPr>
            <w:tcW w:w="971" w:type="pct"/>
            <w:tcBorders>
              <w:top w:val="nil"/>
              <w:left w:val="nil"/>
              <w:bottom w:val="single" w:sz="4" w:space="0" w:color="auto"/>
              <w:right w:val="single" w:sz="4" w:space="0" w:color="auto"/>
            </w:tcBorders>
            <w:shd w:val="clear" w:color="auto" w:fill="auto"/>
            <w:noWrap/>
            <w:vAlign w:val="bottom"/>
            <w:hideMark/>
          </w:tcPr>
          <w:p w14:paraId="0AEDC6F6" w14:textId="77777777" w:rsidR="006536F1" w:rsidRPr="00A612AA" w:rsidRDefault="006536F1" w:rsidP="00A612AA">
            <w:pPr>
              <w:ind w:firstLine="0"/>
              <w:jc w:val="center"/>
              <w:rPr>
                <w:color w:val="000000"/>
                <w:sz w:val="22"/>
              </w:rPr>
            </w:pPr>
            <w:r w:rsidRPr="00A612AA">
              <w:rPr>
                <w:color w:val="000000"/>
                <w:sz w:val="22"/>
              </w:rPr>
              <w:t>104421</w:t>
            </w:r>
          </w:p>
        </w:tc>
        <w:tc>
          <w:tcPr>
            <w:tcW w:w="602" w:type="pct"/>
            <w:tcBorders>
              <w:top w:val="nil"/>
              <w:left w:val="nil"/>
              <w:bottom w:val="single" w:sz="4" w:space="0" w:color="auto"/>
              <w:right w:val="single" w:sz="4" w:space="0" w:color="auto"/>
            </w:tcBorders>
            <w:shd w:val="clear" w:color="auto" w:fill="auto"/>
            <w:noWrap/>
            <w:vAlign w:val="bottom"/>
            <w:hideMark/>
          </w:tcPr>
          <w:p w14:paraId="5EF68D9A" w14:textId="77777777" w:rsidR="006536F1" w:rsidRPr="00A612AA" w:rsidRDefault="006536F1" w:rsidP="00A612AA">
            <w:pPr>
              <w:ind w:firstLine="0"/>
              <w:jc w:val="center"/>
              <w:rPr>
                <w:color w:val="000000"/>
                <w:sz w:val="22"/>
              </w:rPr>
            </w:pPr>
            <w:r w:rsidRPr="00A612AA">
              <w:rPr>
                <w:color w:val="000000"/>
                <w:sz w:val="22"/>
              </w:rPr>
              <w:t>73958</w:t>
            </w:r>
          </w:p>
        </w:tc>
      </w:tr>
      <w:tr w:rsidR="006536F1" w:rsidRPr="006536F1" w14:paraId="7624C9D7" w14:textId="77777777" w:rsidTr="008B2763">
        <w:trPr>
          <w:trHeight w:val="300"/>
          <w:jc w:val="center"/>
        </w:trPr>
        <w:tc>
          <w:tcPr>
            <w:tcW w:w="2498" w:type="pct"/>
            <w:tcBorders>
              <w:top w:val="nil"/>
              <w:left w:val="single" w:sz="4" w:space="0" w:color="auto"/>
              <w:bottom w:val="single" w:sz="4" w:space="0" w:color="auto"/>
              <w:right w:val="single" w:sz="4" w:space="0" w:color="auto"/>
            </w:tcBorders>
            <w:shd w:val="clear" w:color="auto" w:fill="auto"/>
            <w:noWrap/>
            <w:vAlign w:val="bottom"/>
            <w:hideMark/>
          </w:tcPr>
          <w:p w14:paraId="185B18EE" w14:textId="77777777" w:rsidR="006536F1" w:rsidRPr="00A612AA" w:rsidRDefault="006536F1" w:rsidP="00A612AA">
            <w:pPr>
              <w:ind w:firstLine="0"/>
              <w:jc w:val="center"/>
              <w:rPr>
                <w:color w:val="000000"/>
                <w:sz w:val="22"/>
              </w:rPr>
            </w:pPr>
            <w:r w:rsidRPr="00A612AA">
              <w:rPr>
                <w:color w:val="000000"/>
                <w:sz w:val="22"/>
              </w:rPr>
              <w:t>14:36:108…</w:t>
            </w:r>
          </w:p>
        </w:tc>
        <w:tc>
          <w:tcPr>
            <w:tcW w:w="92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D82DC3" w14:textId="77777777" w:rsidR="006536F1" w:rsidRPr="00A612AA" w:rsidRDefault="006536F1" w:rsidP="00A612AA">
            <w:pPr>
              <w:ind w:firstLine="0"/>
              <w:jc w:val="center"/>
              <w:rPr>
                <w:color w:val="000000"/>
                <w:sz w:val="22"/>
              </w:rPr>
            </w:pPr>
            <w:r w:rsidRPr="00A612AA">
              <w:rPr>
                <w:color w:val="000000"/>
                <w:sz w:val="22"/>
              </w:rPr>
              <w:t>23554</w:t>
            </w:r>
          </w:p>
        </w:tc>
        <w:tc>
          <w:tcPr>
            <w:tcW w:w="971" w:type="pct"/>
            <w:tcBorders>
              <w:top w:val="single" w:sz="4" w:space="0" w:color="auto"/>
              <w:left w:val="nil"/>
              <w:bottom w:val="single" w:sz="4" w:space="0" w:color="auto"/>
              <w:right w:val="single" w:sz="4" w:space="0" w:color="auto"/>
            </w:tcBorders>
            <w:shd w:val="clear" w:color="auto" w:fill="auto"/>
            <w:noWrap/>
            <w:vAlign w:val="center"/>
            <w:hideMark/>
          </w:tcPr>
          <w:p w14:paraId="756080BB" w14:textId="77777777" w:rsidR="006536F1" w:rsidRPr="00A612AA" w:rsidRDefault="006536F1" w:rsidP="00A612AA">
            <w:pPr>
              <w:suppressAutoHyphens/>
              <w:autoSpaceDN w:val="0"/>
              <w:ind w:firstLine="0"/>
              <w:jc w:val="center"/>
              <w:textAlignment w:val="baseline"/>
              <w:rPr>
                <w:color w:val="000000"/>
                <w:sz w:val="22"/>
              </w:rPr>
            </w:pPr>
            <w:r w:rsidRPr="00A612AA">
              <w:rPr>
                <w:color w:val="000000"/>
                <w:sz w:val="22"/>
              </w:rPr>
              <w:t>87031</w:t>
            </w:r>
          </w:p>
        </w:tc>
        <w:tc>
          <w:tcPr>
            <w:tcW w:w="602" w:type="pct"/>
            <w:tcBorders>
              <w:top w:val="single" w:sz="4" w:space="0" w:color="auto"/>
              <w:left w:val="nil"/>
              <w:bottom w:val="single" w:sz="4" w:space="0" w:color="auto"/>
              <w:right w:val="single" w:sz="4" w:space="0" w:color="auto"/>
            </w:tcBorders>
            <w:shd w:val="clear" w:color="auto" w:fill="auto"/>
            <w:noWrap/>
            <w:vAlign w:val="center"/>
            <w:hideMark/>
          </w:tcPr>
          <w:p w14:paraId="12377F8C" w14:textId="77777777" w:rsidR="006536F1" w:rsidRPr="00A612AA" w:rsidRDefault="006536F1" w:rsidP="00A612AA">
            <w:pPr>
              <w:suppressAutoHyphens/>
              <w:autoSpaceDN w:val="0"/>
              <w:ind w:firstLine="0"/>
              <w:jc w:val="center"/>
              <w:textAlignment w:val="baseline"/>
              <w:rPr>
                <w:color w:val="000000"/>
                <w:sz w:val="22"/>
              </w:rPr>
            </w:pPr>
            <w:r w:rsidRPr="00A612AA">
              <w:rPr>
                <w:color w:val="000000"/>
                <w:sz w:val="22"/>
              </w:rPr>
              <w:t>58295</w:t>
            </w:r>
          </w:p>
        </w:tc>
      </w:tr>
    </w:tbl>
    <w:p w14:paraId="10F20A7C" w14:textId="7AC0D4DF" w:rsidR="006536F1" w:rsidRPr="006536F1" w:rsidRDefault="006536F1" w:rsidP="006536F1">
      <w:pPr>
        <w:spacing w:before="120" w:after="120"/>
        <w:ind w:firstLine="851"/>
      </w:pPr>
      <w:r w:rsidRPr="006536F1">
        <w:t xml:space="preserve">В соответствии с </w:t>
      </w:r>
      <w:r w:rsidR="002D68A2">
        <w:t xml:space="preserve">п. 6.8.3. </w:t>
      </w:r>
      <w:r w:rsidRPr="006536F1">
        <w:t>Методически</w:t>
      </w:r>
      <w:r w:rsidR="002D68A2">
        <w:t>х</w:t>
      </w:r>
      <w:r w:rsidRPr="006536F1">
        <w:t xml:space="preserve"> указани</w:t>
      </w:r>
      <w:r w:rsidR="002D68A2">
        <w:t>й,</w:t>
      </w:r>
      <w:r w:rsidRPr="006536F1">
        <w:t xml:space="preserve"> при проведении оценочного зонирования отличие удельных показателей средних рыночных цен в расчете на единицу площади типовых объектов, расположенных в различных ценовых зонах, должно быть не менее 10 %. С учетом этого допущения для разделения территории города Якутск на ценовые зоны общий диапазон удельных цен, ограниченный значениями 23500 и 135100 руб. за кв. м (с учетом допустимого округления), соответственно, равномерно разбит на равные отрезки таким образом, чтобы длина каждого ценового интервала составляла не менее 10 % от ширины общего ценового диапазона. На следующем рисунке представлена частотная диаграмма распределения удельных цен на квартиры по построенным указанным способом ценовым диапазонам. Каждый столбец диаграммы показывает долю цен сделок (предложений), приходящихся на соответствующий ценовой диапазон. </w:t>
      </w:r>
    </w:p>
    <w:p w14:paraId="101862AA" w14:textId="77777777" w:rsidR="006536F1" w:rsidRPr="006536F1" w:rsidRDefault="006536F1" w:rsidP="00A612AA">
      <w:pPr>
        <w:spacing w:line="259" w:lineRule="auto"/>
        <w:ind w:firstLine="0"/>
        <w:jc w:val="center"/>
      </w:pPr>
      <w:r w:rsidRPr="00FC5515">
        <w:rPr>
          <w:noProof/>
          <w:lang w:eastAsia="ru-RU"/>
        </w:rPr>
        <w:drawing>
          <wp:inline distT="0" distB="0" distL="0" distR="0" wp14:anchorId="586636C5" wp14:editId="2D9F2043">
            <wp:extent cx="5379334" cy="3043451"/>
            <wp:effectExtent l="0" t="0" r="0" b="5080"/>
            <wp:docPr id="975" name="Рисунок 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5415976" cy="3064182"/>
                    </a:xfrm>
                    <a:prstGeom prst="rect">
                      <a:avLst/>
                    </a:prstGeom>
                    <a:noFill/>
                  </pic:spPr>
                </pic:pic>
              </a:graphicData>
            </a:graphic>
          </wp:inline>
        </w:drawing>
      </w:r>
    </w:p>
    <w:p w14:paraId="128DD147" w14:textId="52E50D37" w:rsidR="006536F1" w:rsidRPr="00A612AA" w:rsidRDefault="006536F1" w:rsidP="00A612AA">
      <w:pPr>
        <w:suppressAutoHyphens/>
        <w:autoSpaceDN w:val="0"/>
        <w:spacing w:after="200"/>
        <w:ind w:firstLine="0"/>
        <w:jc w:val="center"/>
        <w:textAlignment w:val="baseline"/>
        <w:rPr>
          <w:i/>
        </w:rPr>
      </w:pPr>
      <w:r w:rsidRPr="00A612AA">
        <w:rPr>
          <w:i/>
        </w:rPr>
        <w:t xml:space="preserve">Рисунок </w:t>
      </w:r>
      <w:r w:rsidRPr="00A612AA">
        <w:rPr>
          <w:i/>
        </w:rPr>
        <w:fldChar w:fldCharType="begin"/>
      </w:r>
      <w:r w:rsidRPr="006536F1">
        <w:rPr>
          <w:rFonts w:eastAsia="Calibri" w:cs="Times New Roman"/>
          <w:i/>
          <w:iCs/>
          <w:szCs w:val="24"/>
        </w:rPr>
        <w:instrText xml:space="preserve"> SEQ Рисунок \* ARABIC </w:instrText>
      </w:r>
      <w:r w:rsidRPr="00A612AA">
        <w:rPr>
          <w:i/>
        </w:rPr>
        <w:fldChar w:fldCharType="separate"/>
      </w:r>
      <w:r w:rsidR="00FD2769">
        <w:rPr>
          <w:rFonts w:eastAsia="Calibri" w:cs="Times New Roman"/>
          <w:i/>
          <w:iCs/>
          <w:noProof/>
          <w:szCs w:val="24"/>
        </w:rPr>
        <w:t>51</w:t>
      </w:r>
      <w:r w:rsidRPr="00A612AA">
        <w:rPr>
          <w:i/>
        </w:rPr>
        <w:fldChar w:fldCharType="end"/>
      </w:r>
      <w:r w:rsidRPr="00A612AA">
        <w:rPr>
          <w:i/>
        </w:rPr>
        <w:t xml:space="preserve"> Распределение удельных цен на квартиры</w:t>
      </w:r>
    </w:p>
    <w:p w14:paraId="65A24923" w14:textId="77777777" w:rsidR="006536F1" w:rsidRPr="006536F1" w:rsidRDefault="006536F1" w:rsidP="006536F1">
      <w:pPr>
        <w:ind w:firstLine="851"/>
      </w:pPr>
      <w:r w:rsidRPr="006536F1">
        <w:t xml:space="preserve">Таким образом, с учетом выбранного критерия было построено 8 ценовых интервалов разбиения диапазона между минимальной и максимальной удельными ценами квартир. </w:t>
      </w:r>
    </w:p>
    <w:p w14:paraId="1DDCB456" w14:textId="77777777" w:rsidR="006536F1" w:rsidRPr="006536F1" w:rsidRDefault="006536F1" w:rsidP="006536F1">
      <w:pPr>
        <w:ind w:firstLine="851"/>
        <w:jc w:val="center"/>
      </w:pPr>
      <w:r w:rsidRPr="00A612AA">
        <w:rPr>
          <w:rFonts w:ascii="Calibri" w:hAnsi="Calibri"/>
          <w:noProof/>
          <w:sz w:val="22"/>
          <w:lang w:eastAsia="ru-RU"/>
        </w:rPr>
        <w:drawing>
          <wp:inline distT="0" distB="0" distL="0" distR="0" wp14:anchorId="6CB64512" wp14:editId="4B51461E">
            <wp:extent cx="4411799" cy="5404514"/>
            <wp:effectExtent l="0" t="0" r="8255" b="5715"/>
            <wp:docPr id="976" name="Рисунок 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4"/>
                    <a:stretch>
                      <a:fillRect/>
                    </a:stretch>
                  </pic:blipFill>
                  <pic:spPr>
                    <a:xfrm>
                      <a:off x="0" y="0"/>
                      <a:ext cx="4432732" cy="5430157"/>
                    </a:xfrm>
                    <a:prstGeom prst="rect">
                      <a:avLst/>
                    </a:prstGeom>
                  </pic:spPr>
                </pic:pic>
              </a:graphicData>
            </a:graphic>
          </wp:inline>
        </w:drawing>
      </w:r>
    </w:p>
    <w:p w14:paraId="36FEFAF2" w14:textId="687E81CD" w:rsidR="006536F1" w:rsidRPr="00A612AA" w:rsidRDefault="006536F1" w:rsidP="00A612AA">
      <w:pPr>
        <w:suppressAutoHyphens/>
        <w:autoSpaceDN w:val="0"/>
        <w:spacing w:after="200"/>
        <w:ind w:firstLine="0"/>
        <w:jc w:val="left"/>
        <w:textAlignment w:val="baseline"/>
        <w:rPr>
          <w:i/>
          <w:color w:val="000000" w:themeColor="text1"/>
        </w:rPr>
      </w:pPr>
      <w:r w:rsidRPr="00A612AA">
        <w:rPr>
          <w:i/>
          <w:color w:val="000000" w:themeColor="text1"/>
        </w:rPr>
        <w:t xml:space="preserve">Рисунок </w:t>
      </w:r>
      <w:r w:rsidRPr="00A612AA">
        <w:rPr>
          <w:i/>
          <w:color w:val="000000" w:themeColor="text1"/>
        </w:rPr>
        <w:fldChar w:fldCharType="begin"/>
      </w:r>
      <w:r w:rsidRPr="006536F1">
        <w:rPr>
          <w:rFonts w:eastAsia="Calibri" w:cs="Times New Roman"/>
          <w:i/>
          <w:iCs/>
          <w:color w:val="000000" w:themeColor="text1"/>
          <w:szCs w:val="18"/>
        </w:rPr>
        <w:instrText xml:space="preserve"> SEQ Рисунок \* ARABIC </w:instrText>
      </w:r>
      <w:r w:rsidRPr="00A612AA">
        <w:rPr>
          <w:i/>
          <w:color w:val="000000" w:themeColor="text1"/>
        </w:rPr>
        <w:fldChar w:fldCharType="separate"/>
      </w:r>
      <w:r w:rsidR="00FD2769">
        <w:rPr>
          <w:rFonts w:eastAsia="Calibri" w:cs="Times New Roman"/>
          <w:i/>
          <w:iCs/>
          <w:noProof/>
          <w:color w:val="000000" w:themeColor="text1"/>
          <w:szCs w:val="18"/>
        </w:rPr>
        <w:t>52</w:t>
      </w:r>
      <w:r w:rsidRPr="00A612AA">
        <w:rPr>
          <w:i/>
          <w:color w:val="000000" w:themeColor="text1"/>
        </w:rPr>
        <w:fldChar w:fldCharType="end"/>
      </w:r>
      <w:r w:rsidRPr="00A612AA">
        <w:rPr>
          <w:i/>
          <w:color w:val="000000" w:themeColor="text1"/>
        </w:rPr>
        <w:t>. Карта оценочного зонирования г.Якутск, квартир проекта и</w:t>
      </w:r>
      <w:r w:rsidRPr="006536F1">
        <w:rPr>
          <w:i/>
          <w:color w:val="000000" w:themeColor="text1"/>
        </w:rPr>
        <w:t>ндивидуальной</w:t>
      </w:r>
      <w:r w:rsidRPr="00A612AA">
        <w:rPr>
          <w:i/>
          <w:color w:val="000000" w:themeColor="text1"/>
        </w:rPr>
        <w:t xml:space="preserve"> и 112 серии</w:t>
      </w:r>
    </w:p>
    <w:p w14:paraId="353C7D04" w14:textId="63F47490" w:rsidR="006536F1" w:rsidRPr="006536F1" w:rsidRDefault="006536F1" w:rsidP="006536F1">
      <w:pPr>
        <w:ind w:firstLine="851"/>
      </w:pPr>
      <w:r w:rsidRPr="006536F1">
        <w:rPr>
          <w:rFonts w:eastAsia="TimesNewRomanPSMT" w:cs="Times New Roman"/>
          <w:b/>
          <w:szCs w:val="24"/>
        </w:rPr>
        <w:t>Проект планировки: КПД</w:t>
      </w:r>
      <w:r w:rsidRPr="006536F1">
        <w:rPr>
          <w:b/>
        </w:rPr>
        <w:t xml:space="preserve"> и «хрущевки»</w:t>
      </w:r>
      <w:r w:rsidRPr="006536F1">
        <w:t>.</w:t>
      </w:r>
    </w:p>
    <w:p w14:paraId="6C94D1CD" w14:textId="77777777" w:rsidR="006536F1" w:rsidRPr="006536F1" w:rsidRDefault="006536F1" w:rsidP="006536F1">
      <w:pPr>
        <w:ind w:firstLine="851"/>
      </w:pPr>
      <w:r w:rsidRPr="006536F1">
        <w:t>По результатам анализа рыночных цен выбраны характеристики помещений группы 1, на основании которых можно сгруппировать объекты оценки по типам, выбран типовой объект со следующими характеристиками:</w:t>
      </w:r>
    </w:p>
    <w:p w14:paraId="24418D07" w14:textId="77777777" w:rsidR="006536F1" w:rsidRPr="006536F1" w:rsidRDefault="006536F1" w:rsidP="006536F1">
      <w:pPr>
        <w:ind w:firstLine="851"/>
      </w:pPr>
      <w:r w:rsidRPr="006536F1">
        <w:t>–</w:t>
      </w:r>
      <w:r w:rsidRPr="006536F1">
        <w:tab/>
        <w:t>Тип (вид) объектов недвижимости – помещение (квартира).</w:t>
      </w:r>
    </w:p>
    <w:p w14:paraId="01CBFA39" w14:textId="34289958" w:rsidR="006536F1" w:rsidRPr="006536F1" w:rsidRDefault="006536F1" w:rsidP="006536F1">
      <w:pPr>
        <w:ind w:firstLine="851"/>
      </w:pPr>
      <w:r w:rsidRPr="006536F1">
        <w:t>–</w:t>
      </w:r>
      <w:r w:rsidRPr="006536F1">
        <w:tab/>
        <w:t xml:space="preserve">Проект: КПД </w:t>
      </w:r>
      <w:r w:rsidRPr="006536F1">
        <w:rPr>
          <w:rFonts w:eastAsia="TimesNewRomanPSMT" w:cs="Times New Roman"/>
          <w:szCs w:val="24"/>
        </w:rPr>
        <w:t>и</w:t>
      </w:r>
      <w:r w:rsidRPr="006536F1">
        <w:t xml:space="preserve"> «хрущевки»</w:t>
      </w:r>
    </w:p>
    <w:p w14:paraId="094B046C" w14:textId="77777777" w:rsidR="006536F1" w:rsidRPr="006536F1" w:rsidRDefault="006536F1" w:rsidP="006536F1">
      <w:pPr>
        <w:ind w:firstLine="851"/>
      </w:pPr>
      <w:r w:rsidRPr="006536F1">
        <w:t>–</w:t>
      </w:r>
      <w:r w:rsidRPr="006536F1">
        <w:tab/>
        <w:t>Степени готовности – завершенный строительством объект, сданный в эксплуатацию.</w:t>
      </w:r>
    </w:p>
    <w:p w14:paraId="1DF5610E" w14:textId="77777777" w:rsidR="006536F1" w:rsidRPr="006536F1" w:rsidRDefault="006536F1" w:rsidP="006536F1">
      <w:pPr>
        <w:ind w:firstLine="851"/>
      </w:pPr>
      <w:r w:rsidRPr="006536F1">
        <w:t>–</w:t>
      </w:r>
      <w:r w:rsidRPr="006536F1">
        <w:tab/>
        <w:t>Расположение относительно транспортных коммуникаций – в населенных пунктах в непосредственной близости от транспортных коммуникаций.</w:t>
      </w:r>
    </w:p>
    <w:p w14:paraId="69991AEF" w14:textId="77777777" w:rsidR="006536F1" w:rsidRPr="006536F1" w:rsidRDefault="006536F1" w:rsidP="006536F1">
      <w:pPr>
        <w:ind w:firstLine="851"/>
      </w:pPr>
      <w:r w:rsidRPr="006536F1">
        <w:t>–</w:t>
      </w:r>
      <w:r w:rsidRPr="006536F1">
        <w:tab/>
        <w:t>Степень подключения к объектам инженерной инфраструктуры – наличие подключений всех основных типов инженерных коммуникаций (электроснабжение, водоснабжение и водоотведение, теплоснабжение).</w:t>
      </w:r>
    </w:p>
    <w:p w14:paraId="31AB3102" w14:textId="77777777" w:rsidR="006536F1" w:rsidRPr="006536F1" w:rsidRDefault="006536F1" w:rsidP="006536F1">
      <w:pPr>
        <w:ind w:firstLine="851"/>
      </w:pPr>
      <w:r w:rsidRPr="006536F1">
        <w:t>По результатам оценочного зонирования территории города Якутск составлена схема ценовых зон и установлены в разрезе ценовых зон удельные показатели средних рыночных цен в расчете на единицу площади. В следующей таблице приведены значения минимальных, максимальных и средних удельных рыночных цен в расчете на единицу площади помещений проекта КПД и «хрущевки», относящихся к группе «Многоквартирные дома (дома средне- и многоэтажной жилой застройки)».</w:t>
      </w:r>
    </w:p>
    <w:p w14:paraId="0F83E45C" w14:textId="77777777" w:rsidR="006536F1" w:rsidRPr="006536F1" w:rsidRDefault="006536F1" w:rsidP="006536F1">
      <w:pPr>
        <w:ind w:firstLine="851"/>
      </w:pPr>
    </w:p>
    <w:p w14:paraId="51DC4D9A" w14:textId="7F47B53B" w:rsidR="006536F1" w:rsidRPr="00A612AA" w:rsidRDefault="006536F1" w:rsidP="00A612AA">
      <w:pPr>
        <w:pStyle w:val="afffffff0"/>
      </w:pPr>
      <w:r w:rsidRPr="00A612AA">
        <w:t xml:space="preserve">Таблица </w:t>
      </w:r>
      <w:r w:rsidR="00A90944">
        <w:fldChar w:fldCharType="begin"/>
      </w:r>
      <w:r w:rsidR="00A90944">
        <w:instrText xml:space="preserve"> SEQ Таблица \* ARABIC </w:instrText>
      </w:r>
      <w:r w:rsidR="00A90944">
        <w:fldChar w:fldCharType="separate"/>
      </w:r>
      <w:r w:rsidR="00FD2769">
        <w:rPr>
          <w:noProof/>
        </w:rPr>
        <w:t>24</w:t>
      </w:r>
      <w:r w:rsidR="00A90944">
        <w:rPr>
          <w:noProof/>
        </w:rPr>
        <w:fldChar w:fldCharType="end"/>
      </w:r>
      <w:r w:rsidRPr="00A612AA">
        <w:t xml:space="preserve">. Диапазон удельных рыночных цен в расчете на единицу площади помещений, </w:t>
      </w:r>
      <w:r w:rsidRPr="006536F1">
        <w:rPr>
          <w:rFonts w:eastAsia="Calibri"/>
          <w:iCs/>
          <w:szCs w:val="18"/>
        </w:rPr>
        <w:t>проектом КПД</w:t>
      </w:r>
      <w:r w:rsidRPr="00A612AA">
        <w:t xml:space="preserve"> и «хрущевки», </w:t>
      </w:r>
      <w:r w:rsidRPr="006536F1">
        <w:rPr>
          <w:rFonts w:eastAsia="Calibri"/>
          <w:iCs/>
          <w:szCs w:val="18"/>
        </w:rPr>
        <w:t>по сегменту «Многоквартирные дома (дома средне- и многоэтажной жилой застройки)» в г.Якутск, руб./кв.м</w:t>
      </w:r>
      <w:r w:rsidR="005376A2">
        <w:rPr>
          <w:rFonts w:eastAsia="Calibri"/>
          <w:iCs/>
          <w:szCs w:val="18"/>
        </w:rPr>
        <w:t>.</w:t>
      </w:r>
    </w:p>
    <w:tbl>
      <w:tblPr>
        <w:tblW w:w="5000" w:type="pct"/>
        <w:jc w:val="center"/>
        <w:tblLook w:val="04A0" w:firstRow="1" w:lastRow="0" w:firstColumn="1" w:lastColumn="0" w:noHBand="0" w:noVBand="1"/>
      </w:tblPr>
      <w:tblGrid>
        <w:gridCol w:w="3997"/>
        <w:gridCol w:w="2009"/>
        <w:gridCol w:w="2100"/>
        <w:gridCol w:w="1239"/>
      </w:tblGrid>
      <w:tr w:rsidR="006536F1" w:rsidRPr="006536F1" w14:paraId="7322B72B" w14:textId="77777777" w:rsidTr="008B2763">
        <w:trPr>
          <w:trHeight w:val="306"/>
          <w:jc w:val="center"/>
        </w:trPr>
        <w:tc>
          <w:tcPr>
            <w:tcW w:w="1853" w:type="pct"/>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0B99DEEC" w14:textId="77777777" w:rsidR="006536F1" w:rsidRPr="00A612AA" w:rsidRDefault="006536F1" w:rsidP="00A612AA">
            <w:pPr>
              <w:ind w:firstLine="0"/>
              <w:jc w:val="center"/>
              <w:rPr>
                <w:color w:val="000000"/>
                <w:sz w:val="22"/>
              </w:rPr>
            </w:pPr>
            <w:r w:rsidRPr="00A612AA">
              <w:rPr>
                <w:color w:val="000000"/>
                <w:sz w:val="22"/>
              </w:rPr>
              <w:t>Группа кадастровых кварталов г.Якутск</w:t>
            </w:r>
          </w:p>
        </w:tc>
        <w:tc>
          <w:tcPr>
            <w:tcW w:w="3147" w:type="pct"/>
            <w:gridSpan w:val="3"/>
            <w:tcBorders>
              <w:top w:val="single" w:sz="4" w:space="0" w:color="auto"/>
              <w:left w:val="nil"/>
              <w:bottom w:val="single" w:sz="4" w:space="0" w:color="auto"/>
              <w:right w:val="single" w:sz="4" w:space="0" w:color="auto"/>
            </w:tcBorders>
            <w:shd w:val="clear" w:color="auto" w:fill="auto"/>
            <w:noWrap/>
            <w:vAlign w:val="bottom"/>
            <w:hideMark/>
          </w:tcPr>
          <w:p w14:paraId="2909AC46" w14:textId="77777777" w:rsidR="006536F1" w:rsidRPr="00A612AA" w:rsidRDefault="006536F1" w:rsidP="00A612AA">
            <w:pPr>
              <w:ind w:firstLine="0"/>
              <w:jc w:val="center"/>
              <w:rPr>
                <w:color w:val="000000"/>
                <w:sz w:val="22"/>
              </w:rPr>
            </w:pPr>
            <w:r w:rsidRPr="00A612AA">
              <w:rPr>
                <w:color w:val="000000"/>
                <w:sz w:val="22"/>
              </w:rPr>
              <w:t>Цена за 1 кв.м. (в рублях)</w:t>
            </w:r>
          </w:p>
        </w:tc>
      </w:tr>
      <w:tr w:rsidR="006536F1" w:rsidRPr="006536F1" w14:paraId="1B26862C" w14:textId="77777777" w:rsidTr="005A6F55">
        <w:trPr>
          <w:trHeight w:val="300"/>
          <w:jc w:val="center"/>
        </w:trPr>
        <w:tc>
          <w:tcPr>
            <w:tcW w:w="1853" w:type="pct"/>
            <w:vMerge/>
            <w:tcBorders>
              <w:top w:val="single" w:sz="4" w:space="0" w:color="auto"/>
              <w:left w:val="single" w:sz="4" w:space="0" w:color="auto"/>
              <w:bottom w:val="single" w:sz="4" w:space="0" w:color="000000"/>
              <w:right w:val="single" w:sz="4" w:space="0" w:color="auto"/>
            </w:tcBorders>
            <w:vAlign w:val="center"/>
            <w:hideMark/>
          </w:tcPr>
          <w:p w14:paraId="15D9E03D" w14:textId="77777777" w:rsidR="006536F1" w:rsidRPr="00A612AA" w:rsidRDefault="006536F1" w:rsidP="00A612AA">
            <w:pPr>
              <w:ind w:firstLine="0"/>
              <w:jc w:val="center"/>
              <w:rPr>
                <w:color w:val="000000"/>
                <w:sz w:val="22"/>
              </w:rPr>
            </w:pPr>
          </w:p>
        </w:tc>
        <w:tc>
          <w:tcPr>
            <w:tcW w:w="1170" w:type="pct"/>
            <w:tcBorders>
              <w:top w:val="nil"/>
              <w:left w:val="nil"/>
              <w:bottom w:val="single" w:sz="4" w:space="0" w:color="auto"/>
              <w:right w:val="single" w:sz="4" w:space="0" w:color="auto"/>
            </w:tcBorders>
            <w:shd w:val="clear" w:color="auto" w:fill="auto"/>
            <w:noWrap/>
            <w:vAlign w:val="bottom"/>
            <w:hideMark/>
          </w:tcPr>
          <w:p w14:paraId="627C4220" w14:textId="77777777" w:rsidR="006536F1" w:rsidRPr="00A612AA" w:rsidRDefault="006536F1" w:rsidP="00A612AA">
            <w:pPr>
              <w:ind w:firstLine="0"/>
              <w:jc w:val="center"/>
              <w:rPr>
                <w:color w:val="000000"/>
                <w:sz w:val="22"/>
              </w:rPr>
            </w:pPr>
            <w:r w:rsidRPr="00A612AA">
              <w:rPr>
                <w:color w:val="000000"/>
                <w:sz w:val="22"/>
              </w:rPr>
              <w:t>минимальная</w:t>
            </w:r>
          </w:p>
        </w:tc>
        <w:tc>
          <w:tcPr>
            <w:tcW w:w="1219" w:type="pct"/>
            <w:tcBorders>
              <w:top w:val="nil"/>
              <w:left w:val="nil"/>
              <w:bottom w:val="single" w:sz="4" w:space="0" w:color="auto"/>
              <w:right w:val="single" w:sz="4" w:space="0" w:color="auto"/>
            </w:tcBorders>
            <w:shd w:val="clear" w:color="auto" w:fill="auto"/>
            <w:noWrap/>
            <w:vAlign w:val="bottom"/>
            <w:hideMark/>
          </w:tcPr>
          <w:p w14:paraId="5401A7C8" w14:textId="77777777" w:rsidR="006536F1" w:rsidRPr="00A612AA" w:rsidRDefault="006536F1" w:rsidP="00A612AA">
            <w:pPr>
              <w:ind w:firstLine="0"/>
              <w:jc w:val="center"/>
              <w:rPr>
                <w:color w:val="000000"/>
                <w:sz w:val="22"/>
              </w:rPr>
            </w:pPr>
            <w:r w:rsidRPr="00A612AA">
              <w:rPr>
                <w:color w:val="000000"/>
                <w:sz w:val="22"/>
              </w:rPr>
              <w:t>максимальная</w:t>
            </w:r>
          </w:p>
        </w:tc>
        <w:tc>
          <w:tcPr>
            <w:tcW w:w="758" w:type="pct"/>
            <w:tcBorders>
              <w:top w:val="nil"/>
              <w:left w:val="nil"/>
              <w:bottom w:val="single" w:sz="4" w:space="0" w:color="auto"/>
              <w:right w:val="single" w:sz="4" w:space="0" w:color="auto"/>
            </w:tcBorders>
            <w:shd w:val="clear" w:color="auto" w:fill="auto"/>
            <w:noWrap/>
            <w:vAlign w:val="bottom"/>
            <w:hideMark/>
          </w:tcPr>
          <w:p w14:paraId="5E8E7B8C" w14:textId="77777777" w:rsidR="006536F1" w:rsidRPr="00A612AA" w:rsidRDefault="006536F1" w:rsidP="00A612AA">
            <w:pPr>
              <w:ind w:firstLine="0"/>
              <w:jc w:val="center"/>
              <w:rPr>
                <w:color w:val="000000"/>
                <w:sz w:val="22"/>
              </w:rPr>
            </w:pPr>
            <w:r w:rsidRPr="00A612AA">
              <w:rPr>
                <w:color w:val="000000"/>
                <w:sz w:val="22"/>
              </w:rPr>
              <w:t>средняя</w:t>
            </w:r>
          </w:p>
        </w:tc>
      </w:tr>
      <w:tr w:rsidR="006536F1" w:rsidRPr="006536F1" w14:paraId="1493F5A3" w14:textId="77777777" w:rsidTr="005A6F55">
        <w:trPr>
          <w:trHeight w:val="300"/>
          <w:jc w:val="center"/>
        </w:trPr>
        <w:tc>
          <w:tcPr>
            <w:tcW w:w="1853" w:type="pct"/>
            <w:tcBorders>
              <w:top w:val="nil"/>
              <w:left w:val="single" w:sz="4" w:space="0" w:color="auto"/>
              <w:bottom w:val="single" w:sz="4" w:space="0" w:color="auto"/>
              <w:right w:val="single" w:sz="4" w:space="0" w:color="auto"/>
            </w:tcBorders>
            <w:shd w:val="clear" w:color="auto" w:fill="auto"/>
            <w:noWrap/>
            <w:vAlign w:val="bottom"/>
            <w:hideMark/>
          </w:tcPr>
          <w:p w14:paraId="2FF6176F" w14:textId="77777777" w:rsidR="006536F1" w:rsidRPr="00A612AA" w:rsidRDefault="006536F1" w:rsidP="00A612AA">
            <w:pPr>
              <w:ind w:firstLine="0"/>
              <w:jc w:val="center"/>
              <w:rPr>
                <w:color w:val="000000"/>
                <w:sz w:val="22"/>
              </w:rPr>
            </w:pPr>
            <w:r w:rsidRPr="00A612AA">
              <w:rPr>
                <w:color w:val="000000"/>
                <w:sz w:val="22"/>
              </w:rPr>
              <w:t>14:36:101…</w:t>
            </w:r>
          </w:p>
        </w:tc>
        <w:tc>
          <w:tcPr>
            <w:tcW w:w="1170" w:type="pct"/>
            <w:tcBorders>
              <w:top w:val="nil"/>
              <w:left w:val="nil"/>
              <w:bottom w:val="single" w:sz="4" w:space="0" w:color="auto"/>
              <w:right w:val="single" w:sz="4" w:space="0" w:color="auto"/>
            </w:tcBorders>
            <w:shd w:val="clear" w:color="auto" w:fill="auto"/>
            <w:noWrap/>
            <w:vAlign w:val="center"/>
          </w:tcPr>
          <w:p w14:paraId="0EEDC1D0" w14:textId="77777777" w:rsidR="006536F1" w:rsidRPr="00A612AA" w:rsidRDefault="006536F1" w:rsidP="00A612AA">
            <w:pPr>
              <w:suppressAutoHyphens/>
              <w:autoSpaceDN w:val="0"/>
              <w:spacing w:line="244" w:lineRule="auto"/>
              <w:ind w:firstLine="0"/>
              <w:jc w:val="center"/>
              <w:textAlignment w:val="baseline"/>
              <w:rPr>
                <w:color w:val="000000"/>
                <w:sz w:val="22"/>
              </w:rPr>
            </w:pPr>
            <w:r w:rsidRPr="00A612AA">
              <w:rPr>
                <w:color w:val="000000"/>
                <w:sz w:val="22"/>
              </w:rPr>
              <w:t>22648</w:t>
            </w:r>
          </w:p>
        </w:tc>
        <w:tc>
          <w:tcPr>
            <w:tcW w:w="1219" w:type="pct"/>
            <w:tcBorders>
              <w:top w:val="nil"/>
              <w:left w:val="nil"/>
              <w:bottom w:val="single" w:sz="4" w:space="0" w:color="auto"/>
              <w:right w:val="single" w:sz="4" w:space="0" w:color="auto"/>
            </w:tcBorders>
            <w:shd w:val="clear" w:color="auto" w:fill="auto"/>
            <w:noWrap/>
            <w:vAlign w:val="center"/>
          </w:tcPr>
          <w:p w14:paraId="5230FCC9" w14:textId="77777777" w:rsidR="006536F1" w:rsidRPr="00A612AA" w:rsidRDefault="006536F1" w:rsidP="00A612AA">
            <w:pPr>
              <w:suppressAutoHyphens/>
              <w:autoSpaceDN w:val="0"/>
              <w:spacing w:line="244" w:lineRule="auto"/>
              <w:ind w:firstLine="0"/>
              <w:jc w:val="center"/>
              <w:textAlignment w:val="baseline"/>
              <w:rPr>
                <w:color w:val="000000"/>
                <w:sz w:val="22"/>
              </w:rPr>
            </w:pPr>
            <w:r w:rsidRPr="00A612AA">
              <w:rPr>
                <w:color w:val="000000"/>
                <w:sz w:val="22"/>
              </w:rPr>
              <w:t>105151</w:t>
            </w:r>
          </w:p>
        </w:tc>
        <w:tc>
          <w:tcPr>
            <w:tcW w:w="758" w:type="pct"/>
            <w:tcBorders>
              <w:top w:val="nil"/>
              <w:left w:val="nil"/>
              <w:bottom w:val="single" w:sz="4" w:space="0" w:color="auto"/>
              <w:right w:val="single" w:sz="4" w:space="0" w:color="auto"/>
            </w:tcBorders>
            <w:shd w:val="clear" w:color="auto" w:fill="auto"/>
            <w:noWrap/>
            <w:vAlign w:val="center"/>
          </w:tcPr>
          <w:p w14:paraId="3C5E9C03" w14:textId="77777777" w:rsidR="006536F1" w:rsidRPr="00A612AA" w:rsidRDefault="006536F1" w:rsidP="00A612AA">
            <w:pPr>
              <w:suppressAutoHyphens/>
              <w:autoSpaceDN w:val="0"/>
              <w:spacing w:line="244" w:lineRule="auto"/>
              <w:ind w:firstLine="0"/>
              <w:jc w:val="center"/>
              <w:textAlignment w:val="baseline"/>
              <w:rPr>
                <w:color w:val="000000"/>
                <w:sz w:val="22"/>
              </w:rPr>
            </w:pPr>
            <w:r w:rsidRPr="00A612AA">
              <w:rPr>
                <w:color w:val="000000"/>
                <w:sz w:val="22"/>
              </w:rPr>
              <w:t>70267</w:t>
            </w:r>
          </w:p>
        </w:tc>
      </w:tr>
      <w:tr w:rsidR="006536F1" w:rsidRPr="006536F1" w14:paraId="4358B175" w14:textId="77777777" w:rsidTr="005A6F55">
        <w:trPr>
          <w:trHeight w:val="300"/>
          <w:jc w:val="center"/>
        </w:trPr>
        <w:tc>
          <w:tcPr>
            <w:tcW w:w="1853" w:type="pct"/>
            <w:tcBorders>
              <w:top w:val="nil"/>
              <w:left w:val="single" w:sz="4" w:space="0" w:color="auto"/>
              <w:bottom w:val="single" w:sz="4" w:space="0" w:color="auto"/>
              <w:right w:val="single" w:sz="4" w:space="0" w:color="auto"/>
            </w:tcBorders>
            <w:shd w:val="clear" w:color="auto" w:fill="auto"/>
            <w:noWrap/>
            <w:vAlign w:val="bottom"/>
            <w:hideMark/>
          </w:tcPr>
          <w:p w14:paraId="0B4319D4" w14:textId="77777777" w:rsidR="006536F1" w:rsidRPr="00A612AA" w:rsidRDefault="006536F1" w:rsidP="00A612AA">
            <w:pPr>
              <w:ind w:firstLine="0"/>
              <w:jc w:val="center"/>
              <w:rPr>
                <w:color w:val="000000"/>
                <w:sz w:val="22"/>
              </w:rPr>
            </w:pPr>
            <w:r w:rsidRPr="00A612AA">
              <w:rPr>
                <w:color w:val="000000"/>
                <w:sz w:val="22"/>
              </w:rPr>
              <w:t>14:36:102…</w:t>
            </w:r>
          </w:p>
        </w:tc>
        <w:tc>
          <w:tcPr>
            <w:tcW w:w="1170" w:type="pct"/>
            <w:tcBorders>
              <w:top w:val="nil"/>
              <w:left w:val="nil"/>
              <w:bottom w:val="single" w:sz="4" w:space="0" w:color="auto"/>
              <w:right w:val="single" w:sz="4" w:space="0" w:color="auto"/>
            </w:tcBorders>
            <w:shd w:val="clear" w:color="auto" w:fill="auto"/>
            <w:noWrap/>
            <w:vAlign w:val="center"/>
          </w:tcPr>
          <w:p w14:paraId="2842828E" w14:textId="77777777" w:rsidR="006536F1" w:rsidRPr="00A612AA" w:rsidRDefault="006536F1" w:rsidP="00A612AA">
            <w:pPr>
              <w:suppressAutoHyphens/>
              <w:autoSpaceDN w:val="0"/>
              <w:spacing w:line="244" w:lineRule="auto"/>
              <w:ind w:firstLine="0"/>
              <w:jc w:val="center"/>
              <w:textAlignment w:val="baseline"/>
              <w:rPr>
                <w:color w:val="000000"/>
                <w:sz w:val="22"/>
              </w:rPr>
            </w:pPr>
            <w:r w:rsidRPr="00A612AA">
              <w:rPr>
                <w:color w:val="000000"/>
                <w:sz w:val="22"/>
              </w:rPr>
              <w:t>36664</w:t>
            </w:r>
          </w:p>
        </w:tc>
        <w:tc>
          <w:tcPr>
            <w:tcW w:w="1219" w:type="pct"/>
            <w:tcBorders>
              <w:top w:val="nil"/>
              <w:left w:val="nil"/>
              <w:bottom w:val="single" w:sz="4" w:space="0" w:color="auto"/>
              <w:right w:val="single" w:sz="4" w:space="0" w:color="auto"/>
            </w:tcBorders>
            <w:shd w:val="clear" w:color="auto" w:fill="auto"/>
            <w:noWrap/>
            <w:vAlign w:val="center"/>
          </w:tcPr>
          <w:p w14:paraId="1A973F54" w14:textId="77777777" w:rsidR="006536F1" w:rsidRPr="00A612AA" w:rsidRDefault="006536F1" w:rsidP="00A612AA">
            <w:pPr>
              <w:suppressAutoHyphens/>
              <w:autoSpaceDN w:val="0"/>
              <w:spacing w:line="244" w:lineRule="auto"/>
              <w:ind w:firstLine="0"/>
              <w:jc w:val="center"/>
              <w:textAlignment w:val="baseline"/>
              <w:rPr>
                <w:color w:val="000000"/>
                <w:sz w:val="22"/>
              </w:rPr>
            </w:pPr>
            <w:r w:rsidRPr="00A612AA">
              <w:rPr>
                <w:color w:val="000000"/>
                <w:sz w:val="22"/>
              </w:rPr>
              <w:t>87045</w:t>
            </w:r>
          </w:p>
        </w:tc>
        <w:tc>
          <w:tcPr>
            <w:tcW w:w="758" w:type="pct"/>
            <w:tcBorders>
              <w:top w:val="nil"/>
              <w:left w:val="nil"/>
              <w:bottom w:val="single" w:sz="4" w:space="0" w:color="auto"/>
              <w:right w:val="single" w:sz="4" w:space="0" w:color="auto"/>
            </w:tcBorders>
            <w:shd w:val="clear" w:color="auto" w:fill="auto"/>
            <w:noWrap/>
            <w:vAlign w:val="center"/>
          </w:tcPr>
          <w:p w14:paraId="376546C4" w14:textId="77777777" w:rsidR="006536F1" w:rsidRPr="00A612AA" w:rsidRDefault="006536F1" w:rsidP="00A612AA">
            <w:pPr>
              <w:suppressAutoHyphens/>
              <w:autoSpaceDN w:val="0"/>
              <w:spacing w:line="244" w:lineRule="auto"/>
              <w:ind w:firstLine="0"/>
              <w:jc w:val="center"/>
              <w:textAlignment w:val="baseline"/>
              <w:rPr>
                <w:color w:val="000000"/>
                <w:sz w:val="22"/>
              </w:rPr>
            </w:pPr>
            <w:r w:rsidRPr="00A612AA">
              <w:rPr>
                <w:color w:val="000000"/>
                <w:sz w:val="22"/>
              </w:rPr>
              <w:t>60185</w:t>
            </w:r>
          </w:p>
        </w:tc>
      </w:tr>
      <w:tr w:rsidR="006536F1" w:rsidRPr="006536F1" w14:paraId="751B022E" w14:textId="77777777" w:rsidTr="005A6F55">
        <w:trPr>
          <w:trHeight w:val="300"/>
          <w:jc w:val="center"/>
        </w:trPr>
        <w:tc>
          <w:tcPr>
            <w:tcW w:w="1853" w:type="pct"/>
            <w:tcBorders>
              <w:top w:val="nil"/>
              <w:left w:val="single" w:sz="4" w:space="0" w:color="auto"/>
              <w:bottom w:val="single" w:sz="4" w:space="0" w:color="auto"/>
              <w:right w:val="single" w:sz="4" w:space="0" w:color="auto"/>
            </w:tcBorders>
            <w:shd w:val="clear" w:color="auto" w:fill="auto"/>
            <w:noWrap/>
            <w:vAlign w:val="bottom"/>
            <w:hideMark/>
          </w:tcPr>
          <w:p w14:paraId="3C9CB0B1" w14:textId="77777777" w:rsidR="006536F1" w:rsidRPr="00A612AA" w:rsidRDefault="006536F1" w:rsidP="00A612AA">
            <w:pPr>
              <w:ind w:firstLine="0"/>
              <w:jc w:val="center"/>
              <w:rPr>
                <w:color w:val="000000"/>
                <w:sz w:val="22"/>
              </w:rPr>
            </w:pPr>
            <w:r w:rsidRPr="00A612AA">
              <w:rPr>
                <w:color w:val="000000"/>
                <w:sz w:val="22"/>
              </w:rPr>
              <w:t>14:36:103…</w:t>
            </w:r>
          </w:p>
        </w:tc>
        <w:tc>
          <w:tcPr>
            <w:tcW w:w="1170" w:type="pct"/>
            <w:tcBorders>
              <w:top w:val="nil"/>
              <w:left w:val="nil"/>
              <w:bottom w:val="single" w:sz="4" w:space="0" w:color="auto"/>
              <w:right w:val="single" w:sz="4" w:space="0" w:color="auto"/>
            </w:tcBorders>
            <w:shd w:val="clear" w:color="auto" w:fill="auto"/>
            <w:noWrap/>
            <w:vAlign w:val="center"/>
          </w:tcPr>
          <w:p w14:paraId="62335250" w14:textId="77777777" w:rsidR="006536F1" w:rsidRPr="00A612AA" w:rsidRDefault="006536F1" w:rsidP="00A612AA">
            <w:pPr>
              <w:suppressAutoHyphens/>
              <w:autoSpaceDN w:val="0"/>
              <w:spacing w:line="244" w:lineRule="auto"/>
              <w:ind w:firstLine="0"/>
              <w:jc w:val="center"/>
              <w:textAlignment w:val="baseline"/>
              <w:rPr>
                <w:color w:val="000000"/>
                <w:sz w:val="22"/>
              </w:rPr>
            </w:pPr>
            <w:r w:rsidRPr="00A612AA">
              <w:rPr>
                <w:color w:val="000000"/>
                <w:sz w:val="22"/>
              </w:rPr>
              <w:t>43975</w:t>
            </w:r>
          </w:p>
        </w:tc>
        <w:tc>
          <w:tcPr>
            <w:tcW w:w="1219" w:type="pct"/>
            <w:tcBorders>
              <w:top w:val="nil"/>
              <w:left w:val="nil"/>
              <w:bottom w:val="single" w:sz="4" w:space="0" w:color="auto"/>
              <w:right w:val="single" w:sz="4" w:space="0" w:color="auto"/>
            </w:tcBorders>
            <w:shd w:val="clear" w:color="auto" w:fill="auto"/>
            <w:noWrap/>
            <w:vAlign w:val="center"/>
          </w:tcPr>
          <w:p w14:paraId="65E9A2FF" w14:textId="77777777" w:rsidR="006536F1" w:rsidRPr="00A612AA" w:rsidRDefault="006536F1" w:rsidP="00A612AA">
            <w:pPr>
              <w:suppressAutoHyphens/>
              <w:autoSpaceDN w:val="0"/>
              <w:spacing w:line="244" w:lineRule="auto"/>
              <w:ind w:firstLine="0"/>
              <w:jc w:val="center"/>
              <w:textAlignment w:val="baseline"/>
              <w:rPr>
                <w:color w:val="000000"/>
                <w:sz w:val="22"/>
              </w:rPr>
            </w:pPr>
            <w:r w:rsidRPr="00A612AA">
              <w:rPr>
                <w:color w:val="000000"/>
                <w:sz w:val="22"/>
              </w:rPr>
              <w:t>75196</w:t>
            </w:r>
          </w:p>
        </w:tc>
        <w:tc>
          <w:tcPr>
            <w:tcW w:w="758" w:type="pct"/>
            <w:tcBorders>
              <w:top w:val="nil"/>
              <w:left w:val="nil"/>
              <w:bottom w:val="single" w:sz="4" w:space="0" w:color="auto"/>
              <w:right w:val="single" w:sz="4" w:space="0" w:color="auto"/>
            </w:tcBorders>
            <w:shd w:val="clear" w:color="auto" w:fill="auto"/>
            <w:noWrap/>
            <w:vAlign w:val="center"/>
          </w:tcPr>
          <w:p w14:paraId="4F1F0BF8" w14:textId="77777777" w:rsidR="006536F1" w:rsidRPr="00A612AA" w:rsidRDefault="006536F1" w:rsidP="00A612AA">
            <w:pPr>
              <w:suppressAutoHyphens/>
              <w:autoSpaceDN w:val="0"/>
              <w:spacing w:line="244" w:lineRule="auto"/>
              <w:ind w:firstLine="0"/>
              <w:jc w:val="center"/>
              <w:textAlignment w:val="baseline"/>
              <w:rPr>
                <w:color w:val="000000"/>
                <w:sz w:val="22"/>
              </w:rPr>
            </w:pPr>
            <w:r w:rsidRPr="00A612AA">
              <w:rPr>
                <w:color w:val="000000"/>
                <w:sz w:val="22"/>
              </w:rPr>
              <w:t>58524</w:t>
            </w:r>
          </w:p>
        </w:tc>
      </w:tr>
      <w:tr w:rsidR="006536F1" w:rsidRPr="006536F1" w14:paraId="76F89333" w14:textId="77777777" w:rsidTr="005A6F55">
        <w:trPr>
          <w:trHeight w:val="300"/>
          <w:jc w:val="center"/>
        </w:trPr>
        <w:tc>
          <w:tcPr>
            <w:tcW w:w="1853" w:type="pct"/>
            <w:tcBorders>
              <w:top w:val="nil"/>
              <w:left w:val="single" w:sz="4" w:space="0" w:color="auto"/>
              <w:bottom w:val="single" w:sz="4" w:space="0" w:color="auto"/>
              <w:right w:val="single" w:sz="4" w:space="0" w:color="auto"/>
            </w:tcBorders>
            <w:shd w:val="clear" w:color="auto" w:fill="auto"/>
            <w:noWrap/>
            <w:vAlign w:val="bottom"/>
            <w:hideMark/>
          </w:tcPr>
          <w:p w14:paraId="282F9DCB" w14:textId="77777777" w:rsidR="006536F1" w:rsidRPr="00A612AA" w:rsidRDefault="006536F1" w:rsidP="00A612AA">
            <w:pPr>
              <w:ind w:firstLine="0"/>
              <w:jc w:val="center"/>
              <w:rPr>
                <w:color w:val="000000"/>
                <w:sz w:val="22"/>
              </w:rPr>
            </w:pPr>
            <w:r w:rsidRPr="00A612AA">
              <w:rPr>
                <w:color w:val="000000"/>
                <w:sz w:val="22"/>
              </w:rPr>
              <w:t>14:36:104…</w:t>
            </w:r>
          </w:p>
        </w:tc>
        <w:tc>
          <w:tcPr>
            <w:tcW w:w="117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5C52A9F" w14:textId="77777777" w:rsidR="006536F1" w:rsidRPr="00A612AA" w:rsidRDefault="006536F1" w:rsidP="00A612AA">
            <w:pPr>
              <w:ind w:firstLine="0"/>
              <w:jc w:val="center"/>
              <w:rPr>
                <w:color w:val="000000"/>
                <w:sz w:val="22"/>
              </w:rPr>
            </w:pPr>
            <w:r w:rsidRPr="00A612AA">
              <w:rPr>
                <w:color w:val="000000"/>
                <w:sz w:val="22"/>
              </w:rPr>
              <w:t>41852</w:t>
            </w:r>
          </w:p>
        </w:tc>
        <w:tc>
          <w:tcPr>
            <w:tcW w:w="1219" w:type="pct"/>
            <w:tcBorders>
              <w:top w:val="single" w:sz="4" w:space="0" w:color="auto"/>
              <w:left w:val="nil"/>
              <w:bottom w:val="single" w:sz="4" w:space="0" w:color="auto"/>
              <w:right w:val="single" w:sz="4" w:space="0" w:color="auto"/>
            </w:tcBorders>
            <w:shd w:val="clear" w:color="auto" w:fill="auto"/>
            <w:noWrap/>
            <w:vAlign w:val="center"/>
          </w:tcPr>
          <w:p w14:paraId="3800E03E" w14:textId="77777777" w:rsidR="006536F1" w:rsidRPr="00A612AA" w:rsidRDefault="006536F1" w:rsidP="00A612AA">
            <w:pPr>
              <w:suppressAutoHyphens/>
              <w:autoSpaceDN w:val="0"/>
              <w:spacing w:line="244" w:lineRule="auto"/>
              <w:ind w:firstLine="0"/>
              <w:jc w:val="center"/>
              <w:textAlignment w:val="baseline"/>
              <w:rPr>
                <w:color w:val="000000"/>
                <w:sz w:val="22"/>
              </w:rPr>
            </w:pPr>
            <w:r w:rsidRPr="00A612AA">
              <w:rPr>
                <w:color w:val="000000"/>
                <w:sz w:val="22"/>
              </w:rPr>
              <w:t>67768</w:t>
            </w:r>
          </w:p>
        </w:tc>
        <w:tc>
          <w:tcPr>
            <w:tcW w:w="758" w:type="pct"/>
            <w:tcBorders>
              <w:top w:val="single" w:sz="4" w:space="0" w:color="auto"/>
              <w:left w:val="nil"/>
              <w:bottom w:val="single" w:sz="4" w:space="0" w:color="auto"/>
              <w:right w:val="single" w:sz="4" w:space="0" w:color="auto"/>
            </w:tcBorders>
            <w:shd w:val="clear" w:color="auto" w:fill="auto"/>
            <w:noWrap/>
            <w:vAlign w:val="center"/>
          </w:tcPr>
          <w:p w14:paraId="14A77322" w14:textId="77777777" w:rsidR="006536F1" w:rsidRPr="00A612AA" w:rsidRDefault="006536F1" w:rsidP="00A612AA">
            <w:pPr>
              <w:suppressAutoHyphens/>
              <w:autoSpaceDN w:val="0"/>
              <w:spacing w:line="244" w:lineRule="auto"/>
              <w:ind w:firstLine="0"/>
              <w:jc w:val="center"/>
              <w:textAlignment w:val="baseline"/>
              <w:rPr>
                <w:color w:val="000000"/>
                <w:sz w:val="22"/>
              </w:rPr>
            </w:pPr>
            <w:r w:rsidRPr="00A612AA">
              <w:rPr>
                <w:color w:val="000000"/>
                <w:sz w:val="22"/>
              </w:rPr>
              <w:t>52529</w:t>
            </w:r>
          </w:p>
        </w:tc>
      </w:tr>
      <w:tr w:rsidR="006536F1" w:rsidRPr="006536F1" w14:paraId="1AB33202" w14:textId="77777777" w:rsidTr="005A6F55">
        <w:trPr>
          <w:trHeight w:val="300"/>
          <w:jc w:val="center"/>
        </w:trPr>
        <w:tc>
          <w:tcPr>
            <w:tcW w:w="1853" w:type="pct"/>
            <w:tcBorders>
              <w:top w:val="nil"/>
              <w:left w:val="single" w:sz="4" w:space="0" w:color="auto"/>
              <w:bottom w:val="single" w:sz="4" w:space="0" w:color="auto"/>
              <w:right w:val="single" w:sz="4" w:space="0" w:color="auto"/>
            </w:tcBorders>
            <w:shd w:val="clear" w:color="auto" w:fill="auto"/>
            <w:noWrap/>
            <w:vAlign w:val="bottom"/>
            <w:hideMark/>
          </w:tcPr>
          <w:p w14:paraId="3934000B" w14:textId="77777777" w:rsidR="006536F1" w:rsidRPr="00A612AA" w:rsidRDefault="006536F1" w:rsidP="00A612AA">
            <w:pPr>
              <w:ind w:firstLine="0"/>
              <w:jc w:val="center"/>
              <w:rPr>
                <w:color w:val="000000"/>
                <w:sz w:val="22"/>
              </w:rPr>
            </w:pPr>
            <w:r w:rsidRPr="00A612AA">
              <w:rPr>
                <w:color w:val="000000"/>
                <w:sz w:val="22"/>
              </w:rPr>
              <w:t>14:36:105…</w:t>
            </w:r>
          </w:p>
        </w:tc>
        <w:tc>
          <w:tcPr>
            <w:tcW w:w="1170" w:type="pct"/>
            <w:tcBorders>
              <w:top w:val="nil"/>
              <w:left w:val="nil"/>
              <w:bottom w:val="single" w:sz="4" w:space="0" w:color="auto"/>
              <w:right w:val="single" w:sz="4" w:space="0" w:color="auto"/>
            </w:tcBorders>
            <w:shd w:val="clear" w:color="auto" w:fill="auto"/>
            <w:noWrap/>
            <w:vAlign w:val="center"/>
          </w:tcPr>
          <w:p w14:paraId="1AF26ADC" w14:textId="77777777" w:rsidR="006536F1" w:rsidRPr="00A612AA" w:rsidRDefault="006536F1" w:rsidP="00A612AA">
            <w:pPr>
              <w:ind w:firstLine="0"/>
              <w:jc w:val="center"/>
              <w:rPr>
                <w:color w:val="000000"/>
                <w:sz w:val="22"/>
              </w:rPr>
            </w:pPr>
            <w:r w:rsidRPr="00A612AA">
              <w:rPr>
                <w:color w:val="000000"/>
                <w:sz w:val="22"/>
              </w:rPr>
              <w:t>52210</w:t>
            </w:r>
          </w:p>
        </w:tc>
        <w:tc>
          <w:tcPr>
            <w:tcW w:w="1219" w:type="pct"/>
            <w:tcBorders>
              <w:top w:val="nil"/>
              <w:left w:val="nil"/>
              <w:bottom w:val="single" w:sz="4" w:space="0" w:color="auto"/>
              <w:right w:val="single" w:sz="4" w:space="0" w:color="auto"/>
            </w:tcBorders>
            <w:shd w:val="clear" w:color="auto" w:fill="auto"/>
            <w:noWrap/>
            <w:vAlign w:val="center"/>
          </w:tcPr>
          <w:p w14:paraId="60FA2AA0" w14:textId="77777777" w:rsidR="006536F1" w:rsidRPr="00A612AA" w:rsidRDefault="006536F1" w:rsidP="00A612AA">
            <w:pPr>
              <w:ind w:firstLine="0"/>
              <w:jc w:val="center"/>
              <w:rPr>
                <w:color w:val="000000"/>
                <w:sz w:val="22"/>
              </w:rPr>
            </w:pPr>
            <w:r w:rsidRPr="00A612AA">
              <w:rPr>
                <w:color w:val="000000"/>
                <w:sz w:val="22"/>
              </w:rPr>
              <w:t>134780</w:t>
            </w:r>
          </w:p>
        </w:tc>
        <w:tc>
          <w:tcPr>
            <w:tcW w:w="758" w:type="pct"/>
            <w:tcBorders>
              <w:top w:val="nil"/>
              <w:left w:val="nil"/>
              <w:bottom w:val="single" w:sz="4" w:space="0" w:color="auto"/>
              <w:right w:val="single" w:sz="4" w:space="0" w:color="auto"/>
            </w:tcBorders>
            <w:shd w:val="clear" w:color="auto" w:fill="auto"/>
            <w:noWrap/>
            <w:vAlign w:val="center"/>
          </w:tcPr>
          <w:p w14:paraId="78421882" w14:textId="77777777" w:rsidR="006536F1" w:rsidRPr="00A612AA" w:rsidRDefault="006536F1" w:rsidP="00A612AA">
            <w:pPr>
              <w:ind w:firstLine="0"/>
              <w:jc w:val="center"/>
              <w:rPr>
                <w:color w:val="000000"/>
                <w:sz w:val="22"/>
              </w:rPr>
            </w:pPr>
            <w:r w:rsidRPr="00A612AA">
              <w:rPr>
                <w:color w:val="000000"/>
                <w:sz w:val="22"/>
              </w:rPr>
              <w:t>75991</w:t>
            </w:r>
          </w:p>
        </w:tc>
      </w:tr>
      <w:tr w:rsidR="006536F1" w:rsidRPr="006536F1" w14:paraId="3237427D" w14:textId="77777777" w:rsidTr="005A6F55">
        <w:trPr>
          <w:trHeight w:val="300"/>
          <w:jc w:val="center"/>
        </w:trPr>
        <w:tc>
          <w:tcPr>
            <w:tcW w:w="1853" w:type="pct"/>
            <w:tcBorders>
              <w:top w:val="nil"/>
              <w:left w:val="single" w:sz="4" w:space="0" w:color="auto"/>
              <w:bottom w:val="single" w:sz="4" w:space="0" w:color="auto"/>
              <w:right w:val="single" w:sz="4" w:space="0" w:color="auto"/>
            </w:tcBorders>
            <w:shd w:val="clear" w:color="auto" w:fill="auto"/>
            <w:noWrap/>
            <w:vAlign w:val="bottom"/>
            <w:hideMark/>
          </w:tcPr>
          <w:p w14:paraId="67923716" w14:textId="77777777" w:rsidR="006536F1" w:rsidRPr="00A612AA" w:rsidRDefault="006536F1" w:rsidP="00A612AA">
            <w:pPr>
              <w:ind w:firstLine="0"/>
              <w:jc w:val="center"/>
              <w:rPr>
                <w:color w:val="000000"/>
                <w:sz w:val="22"/>
              </w:rPr>
            </w:pPr>
            <w:r w:rsidRPr="00A612AA">
              <w:rPr>
                <w:color w:val="000000"/>
                <w:sz w:val="22"/>
              </w:rPr>
              <w:t>14:36:106…</w:t>
            </w:r>
          </w:p>
        </w:tc>
        <w:tc>
          <w:tcPr>
            <w:tcW w:w="117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F584851" w14:textId="77777777" w:rsidR="006536F1" w:rsidRPr="00A612AA" w:rsidRDefault="006536F1" w:rsidP="00A612AA">
            <w:pPr>
              <w:ind w:firstLine="0"/>
              <w:jc w:val="center"/>
              <w:rPr>
                <w:color w:val="000000"/>
                <w:sz w:val="22"/>
              </w:rPr>
            </w:pPr>
            <w:r w:rsidRPr="00A612AA">
              <w:rPr>
                <w:color w:val="000000"/>
                <w:sz w:val="22"/>
              </w:rPr>
              <w:t>52341</w:t>
            </w:r>
          </w:p>
        </w:tc>
        <w:tc>
          <w:tcPr>
            <w:tcW w:w="1219" w:type="pct"/>
            <w:tcBorders>
              <w:top w:val="single" w:sz="4" w:space="0" w:color="auto"/>
              <w:left w:val="nil"/>
              <w:bottom w:val="single" w:sz="4" w:space="0" w:color="auto"/>
              <w:right w:val="single" w:sz="4" w:space="0" w:color="auto"/>
            </w:tcBorders>
            <w:shd w:val="clear" w:color="auto" w:fill="auto"/>
            <w:noWrap/>
            <w:vAlign w:val="center"/>
          </w:tcPr>
          <w:p w14:paraId="28DB38E6" w14:textId="77777777" w:rsidR="006536F1" w:rsidRPr="00A612AA" w:rsidRDefault="006536F1" w:rsidP="00A612AA">
            <w:pPr>
              <w:suppressAutoHyphens/>
              <w:autoSpaceDN w:val="0"/>
              <w:spacing w:line="244" w:lineRule="auto"/>
              <w:ind w:firstLine="0"/>
              <w:jc w:val="center"/>
              <w:textAlignment w:val="baseline"/>
              <w:rPr>
                <w:color w:val="000000"/>
                <w:sz w:val="22"/>
              </w:rPr>
            </w:pPr>
            <w:r w:rsidRPr="00A612AA">
              <w:rPr>
                <w:color w:val="000000"/>
                <w:sz w:val="22"/>
              </w:rPr>
              <w:t>83879</w:t>
            </w:r>
          </w:p>
        </w:tc>
        <w:tc>
          <w:tcPr>
            <w:tcW w:w="758" w:type="pct"/>
            <w:tcBorders>
              <w:top w:val="single" w:sz="4" w:space="0" w:color="auto"/>
              <w:left w:val="nil"/>
              <w:bottom w:val="single" w:sz="4" w:space="0" w:color="auto"/>
              <w:right w:val="single" w:sz="4" w:space="0" w:color="auto"/>
            </w:tcBorders>
            <w:shd w:val="clear" w:color="auto" w:fill="auto"/>
            <w:noWrap/>
            <w:vAlign w:val="center"/>
          </w:tcPr>
          <w:p w14:paraId="7D229190" w14:textId="77777777" w:rsidR="006536F1" w:rsidRPr="00A612AA" w:rsidRDefault="006536F1" w:rsidP="00A612AA">
            <w:pPr>
              <w:suppressAutoHyphens/>
              <w:autoSpaceDN w:val="0"/>
              <w:spacing w:line="244" w:lineRule="auto"/>
              <w:ind w:firstLine="0"/>
              <w:jc w:val="center"/>
              <w:textAlignment w:val="baseline"/>
              <w:rPr>
                <w:color w:val="000000"/>
                <w:sz w:val="22"/>
              </w:rPr>
            </w:pPr>
            <w:r w:rsidRPr="00A612AA">
              <w:rPr>
                <w:color w:val="000000"/>
                <w:sz w:val="22"/>
              </w:rPr>
              <w:t>64660</w:t>
            </w:r>
          </w:p>
        </w:tc>
      </w:tr>
      <w:tr w:rsidR="006536F1" w:rsidRPr="006536F1" w14:paraId="2789F1FE" w14:textId="77777777" w:rsidTr="005A6F55">
        <w:trPr>
          <w:trHeight w:val="300"/>
          <w:jc w:val="center"/>
        </w:trPr>
        <w:tc>
          <w:tcPr>
            <w:tcW w:w="1853" w:type="pct"/>
            <w:tcBorders>
              <w:top w:val="nil"/>
              <w:left w:val="single" w:sz="4" w:space="0" w:color="auto"/>
              <w:bottom w:val="single" w:sz="4" w:space="0" w:color="auto"/>
              <w:right w:val="single" w:sz="4" w:space="0" w:color="auto"/>
            </w:tcBorders>
            <w:shd w:val="clear" w:color="auto" w:fill="auto"/>
            <w:noWrap/>
            <w:vAlign w:val="bottom"/>
            <w:hideMark/>
          </w:tcPr>
          <w:p w14:paraId="0CFE94F2" w14:textId="77777777" w:rsidR="006536F1" w:rsidRPr="00A612AA" w:rsidRDefault="006536F1" w:rsidP="00A612AA">
            <w:pPr>
              <w:ind w:firstLine="0"/>
              <w:jc w:val="center"/>
              <w:rPr>
                <w:color w:val="000000"/>
                <w:sz w:val="22"/>
              </w:rPr>
            </w:pPr>
            <w:r w:rsidRPr="00A612AA">
              <w:rPr>
                <w:color w:val="000000"/>
                <w:sz w:val="22"/>
              </w:rPr>
              <w:t>14:36:107…</w:t>
            </w:r>
          </w:p>
        </w:tc>
        <w:tc>
          <w:tcPr>
            <w:tcW w:w="1170" w:type="pct"/>
            <w:tcBorders>
              <w:top w:val="single" w:sz="4" w:space="0" w:color="auto"/>
              <w:left w:val="nil"/>
              <w:bottom w:val="single" w:sz="4" w:space="0" w:color="auto"/>
              <w:right w:val="single" w:sz="4" w:space="0" w:color="auto"/>
            </w:tcBorders>
            <w:shd w:val="clear" w:color="auto" w:fill="auto"/>
            <w:noWrap/>
            <w:vAlign w:val="center"/>
          </w:tcPr>
          <w:p w14:paraId="1DA4D218" w14:textId="77777777" w:rsidR="006536F1" w:rsidRPr="00A612AA" w:rsidRDefault="006536F1" w:rsidP="00A612AA">
            <w:pPr>
              <w:ind w:firstLine="0"/>
              <w:jc w:val="center"/>
              <w:rPr>
                <w:color w:val="000000"/>
                <w:sz w:val="22"/>
              </w:rPr>
            </w:pPr>
            <w:r w:rsidRPr="00A612AA">
              <w:rPr>
                <w:color w:val="000000"/>
                <w:sz w:val="22"/>
              </w:rPr>
              <w:t>45439</w:t>
            </w:r>
          </w:p>
        </w:tc>
        <w:tc>
          <w:tcPr>
            <w:tcW w:w="121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71CB5D0" w14:textId="77777777" w:rsidR="006536F1" w:rsidRPr="00A612AA" w:rsidRDefault="006536F1" w:rsidP="00A612AA">
            <w:pPr>
              <w:ind w:firstLine="0"/>
              <w:jc w:val="center"/>
              <w:rPr>
                <w:color w:val="000000"/>
                <w:sz w:val="22"/>
              </w:rPr>
            </w:pPr>
            <w:r w:rsidRPr="00A612AA">
              <w:rPr>
                <w:color w:val="000000"/>
                <w:sz w:val="22"/>
              </w:rPr>
              <w:t>72875</w:t>
            </w:r>
          </w:p>
        </w:tc>
        <w:tc>
          <w:tcPr>
            <w:tcW w:w="75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377D744" w14:textId="77777777" w:rsidR="006536F1" w:rsidRPr="00A612AA" w:rsidRDefault="006536F1" w:rsidP="00A612AA">
            <w:pPr>
              <w:ind w:firstLine="0"/>
              <w:jc w:val="center"/>
              <w:rPr>
                <w:color w:val="000000"/>
                <w:sz w:val="22"/>
              </w:rPr>
            </w:pPr>
            <w:r w:rsidRPr="00A612AA">
              <w:rPr>
                <w:color w:val="000000"/>
                <w:sz w:val="22"/>
              </w:rPr>
              <w:t>63478</w:t>
            </w:r>
          </w:p>
        </w:tc>
      </w:tr>
      <w:tr w:rsidR="006536F1" w:rsidRPr="006536F1" w14:paraId="16BF64F3" w14:textId="77777777" w:rsidTr="005A6F55">
        <w:trPr>
          <w:trHeight w:val="300"/>
          <w:jc w:val="center"/>
        </w:trPr>
        <w:tc>
          <w:tcPr>
            <w:tcW w:w="1853" w:type="pct"/>
            <w:tcBorders>
              <w:top w:val="nil"/>
              <w:left w:val="single" w:sz="4" w:space="0" w:color="auto"/>
              <w:bottom w:val="single" w:sz="4" w:space="0" w:color="auto"/>
              <w:right w:val="single" w:sz="4" w:space="0" w:color="auto"/>
            </w:tcBorders>
            <w:shd w:val="clear" w:color="auto" w:fill="auto"/>
            <w:noWrap/>
            <w:vAlign w:val="bottom"/>
            <w:hideMark/>
          </w:tcPr>
          <w:p w14:paraId="72157024" w14:textId="77777777" w:rsidR="006536F1" w:rsidRPr="00A612AA" w:rsidRDefault="006536F1" w:rsidP="00A612AA">
            <w:pPr>
              <w:ind w:firstLine="0"/>
              <w:jc w:val="center"/>
              <w:rPr>
                <w:color w:val="000000"/>
                <w:sz w:val="22"/>
              </w:rPr>
            </w:pPr>
            <w:r w:rsidRPr="00A612AA">
              <w:rPr>
                <w:color w:val="000000"/>
                <w:sz w:val="22"/>
              </w:rPr>
              <w:t>14:36:108…</w:t>
            </w:r>
          </w:p>
        </w:tc>
        <w:tc>
          <w:tcPr>
            <w:tcW w:w="117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B7C113C" w14:textId="77777777" w:rsidR="006536F1" w:rsidRPr="00A612AA" w:rsidRDefault="006536F1" w:rsidP="00A612AA">
            <w:pPr>
              <w:ind w:firstLine="0"/>
              <w:jc w:val="center"/>
              <w:rPr>
                <w:color w:val="000000"/>
                <w:sz w:val="22"/>
              </w:rPr>
            </w:pPr>
            <w:r w:rsidRPr="00A612AA">
              <w:rPr>
                <w:color w:val="000000"/>
                <w:sz w:val="22"/>
              </w:rPr>
              <w:t>30310</w:t>
            </w:r>
          </w:p>
        </w:tc>
        <w:tc>
          <w:tcPr>
            <w:tcW w:w="1219" w:type="pct"/>
            <w:tcBorders>
              <w:top w:val="single" w:sz="4" w:space="0" w:color="auto"/>
              <w:left w:val="nil"/>
              <w:bottom w:val="single" w:sz="4" w:space="0" w:color="auto"/>
              <w:right w:val="single" w:sz="4" w:space="0" w:color="auto"/>
            </w:tcBorders>
            <w:shd w:val="clear" w:color="auto" w:fill="auto"/>
            <w:noWrap/>
            <w:vAlign w:val="center"/>
          </w:tcPr>
          <w:p w14:paraId="21AE03E4" w14:textId="77777777" w:rsidR="006536F1" w:rsidRPr="00A612AA" w:rsidRDefault="006536F1" w:rsidP="00A612AA">
            <w:pPr>
              <w:suppressAutoHyphens/>
              <w:autoSpaceDN w:val="0"/>
              <w:ind w:firstLine="0"/>
              <w:jc w:val="center"/>
              <w:textAlignment w:val="baseline"/>
              <w:rPr>
                <w:color w:val="000000"/>
                <w:sz w:val="22"/>
              </w:rPr>
            </w:pPr>
            <w:r w:rsidRPr="00A612AA">
              <w:rPr>
                <w:color w:val="000000"/>
                <w:sz w:val="22"/>
              </w:rPr>
              <w:t>80686</w:t>
            </w:r>
          </w:p>
        </w:tc>
        <w:tc>
          <w:tcPr>
            <w:tcW w:w="758" w:type="pct"/>
            <w:tcBorders>
              <w:top w:val="single" w:sz="4" w:space="0" w:color="auto"/>
              <w:left w:val="nil"/>
              <w:bottom w:val="single" w:sz="4" w:space="0" w:color="auto"/>
              <w:right w:val="single" w:sz="4" w:space="0" w:color="auto"/>
            </w:tcBorders>
            <w:shd w:val="clear" w:color="auto" w:fill="auto"/>
            <w:noWrap/>
            <w:vAlign w:val="center"/>
          </w:tcPr>
          <w:p w14:paraId="2BD7F42E" w14:textId="77777777" w:rsidR="006536F1" w:rsidRPr="00A612AA" w:rsidRDefault="006536F1" w:rsidP="00A612AA">
            <w:pPr>
              <w:suppressAutoHyphens/>
              <w:autoSpaceDN w:val="0"/>
              <w:ind w:firstLine="0"/>
              <w:jc w:val="center"/>
              <w:textAlignment w:val="baseline"/>
              <w:rPr>
                <w:color w:val="000000"/>
                <w:sz w:val="22"/>
              </w:rPr>
            </w:pPr>
            <w:r w:rsidRPr="00A612AA">
              <w:rPr>
                <w:color w:val="000000"/>
                <w:sz w:val="22"/>
              </w:rPr>
              <w:t>60885</w:t>
            </w:r>
          </w:p>
        </w:tc>
      </w:tr>
    </w:tbl>
    <w:p w14:paraId="479088C2" w14:textId="77777777" w:rsidR="006536F1" w:rsidRPr="006536F1" w:rsidRDefault="006536F1" w:rsidP="006536F1">
      <w:pPr>
        <w:ind w:firstLine="851"/>
      </w:pPr>
    </w:p>
    <w:p w14:paraId="0EDB4316" w14:textId="4CD810C5" w:rsidR="006536F1" w:rsidRDefault="006536F1" w:rsidP="006536F1">
      <w:pPr>
        <w:ind w:firstLine="851"/>
      </w:pPr>
      <w:r w:rsidRPr="006536F1">
        <w:t xml:space="preserve">В соответствии с </w:t>
      </w:r>
      <w:r w:rsidR="002D68A2">
        <w:t xml:space="preserve">п. 6.8.3. </w:t>
      </w:r>
      <w:r w:rsidRPr="006536F1">
        <w:t>Методически</w:t>
      </w:r>
      <w:r w:rsidR="002D68A2">
        <w:t>х у</w:t>
      </w:r>
      <w:r w:rsidRPr="006536F1">
        <w:t>казани</w:t>
      </w:r>
      <w:r w:rsidR="002D68A2">
        <w:t xml:space="preserve">й, </w:t>
      </w:r>
      <w:r w:rsidRPr="006536F1">
        <w:t xml:space="preserve">при проведении оценочного зонирования отличие удельных показателей средних рыночных цен в расчете на единицу площади типовых объектов, расположенных в различных ценовых зонах, должно быть не менее 10 %. С учетом этого допущения для разделения территории города Якутск на ценовые зоны общий диапазон удельных цен, ограниченный значениями 22600 и 134800 руб. за кв. м (с учетом допустимого округления), соответственно, равномерно разбит на равные отрезки таким образом, чтобы длина каждого ценового интервала составляла не менее 10 % от ширины общего ценового диапазона. На следующем рисунке представлена частотная диаграмма распределения удельных цен на квартиры по построенным указанным способом ценовым диапазонам. Каждый столбец диаграммы показывает долю цен сделок (предложений), приходящихся на соответствующий ценовой диапазон. </w:t>
      </w:r>
    </w:p>
    <w:p w14:paraId="18084271" w14:textId="77777777" w:rsidR="00726D2F" w:rsidRPr="006536F1" w:rsidRDefault="00726D2F" w:rsidP="006536F1">
      <w:pPr>
        <w:ind w:firstLine="851"/>
      </w:pPr>
    </w:p>
    <w:p w14:paraId="0CA956D9" w14:textId="77777777" w:rsidR="006536F1" w:rsidRPr="006536F1" w:rsidRDefault="006536F1" w:rsidP="00726D2F">
      <w:pPr>
        <w:ind w:firstLine="851"/>
        <w:jc w:val="center"/>
      </w:pPr>
      <w:r w:rsidRPr="00FC5515">
        <w:rPr>
          <w:noProof/>
          <w:lang w:eastAsia="ru-RU"/>
        </w:rPr>
        <w:drawing>
          <wp:inline distT="0" distB="0" distL="0" distR="0" wp14:anchorId="28AA008D" wp14:editId="6A2DFCA5">
            <wp:extent cx="5471805" cy="3289146"/>
            <wp:effectExtent l="0" t="0" r="0" b="6985"/>
            <wp:docPr id="977" name="Рисунок 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5486996" cy="3298277"/>
                    </a:xfrm>
                    <a:prstGeom prst="rect">
                      <a:avLst/>
                    </a:prstGeom>
                    <a:noFill/>
                  </pic:spPr>
                </pic:pic>
              </a:graphicData>
            </a:graphic>
          </wp:inline>
        </w:drawing>
      </w:r>
    </w:p>
    <w:p w14:paraId="57756A9E" w14:textId="52C1A4A3" w:rsidR="006536F1" w:rsidRPr="00A612AA" w:rsidRDefault="006536F1" w:rsidP="00A612AA">
      <w:pPr>
        <w:suppressAutoHyphens/>
        <w:autoSpaceDN w:val="0"/>
        <w:spacing w:after="200"/>
        <w:ind w:firstLine="0"/>
        <w:jc w:val="center"/>
        <w:textAlignment w:val="baseline"/>
        <w:rPr>
          <w:i/>
          <w:color w:val="000000" w:themeColor="text1"/>
        </w:rPr>
      </w:pPr>
      <w:r w:rsidRPr="00A612AA">
        <w:rPr>
          <w:i/>
          <w:color w:val="000000" w:themeColor="text1"/>
        </w:rPr>
        <w:t xml:space="preserve">Рисунок </w:t>
      </w:r>
      <w:r w:rsidRPr="00A612AA">
        <w:rPr>
          <w:i/>
          <w:color w:val="000000" w:themeColor="text1"/>
        </w:rPr>
        <w:fldChar w:fldCharType="begin"/>
      </w:r>
      <w:r w:rsidRPr="006536F1">
        <w:rPr>
          <w:rFonts w:eastAsia="Calibri" w:cs="Times New Roman"/>
          <w:i/>
          <w:iCs/>
          <w:color w:val="000000" w:themeColor="text1"/>
          <w:szCs w:val="24"/>
        </w:rPr>
        <w:instrText xml:space="preserve"> SEQ Рисунок \* ARABIC </w:instrText>
      </w:r>
      <w:r w:rsidRPr="00A612AA">
        <w:rPr>
          <w:i/>
          <w:color w:val="000000" w:themeColor="text1"/>
        </w:rPr>
        <w:fldChar w:fldCharType="separate"/>
      </w:r>
      <w:r w:rsidR="00FD2769">
        <w:rPr>
          <w:rFonts w:eastAsia="Calibri" w:cs="Times New Roman"/>
          <w:i/>
          <w:iCs/>
          <w:noProof/>
          <w:color w:val="000000" w:themeColor="text1"/>
          <w:szCs w:val="24"/>
        </w:rPr>
        <w:t>53</w:t>
      </w:r>
      <w:r w:rsidRPr="00A612AA">
        <w:rPr>
          <w:i/>
          <w:color w:val="000000" w:themeColor="text1"/>
        </w:rPr>
        <w:fldChar w:fldCharType="end"/>
      </w:r>
      <w:r w:rsidRPr="00A612AA">
        <w:rPr>
          <w:i/>
          <w:color w:val="000000" w:themeColor="text1"/>
        </w:rPr>
        <w:t xml:space="preserve">. Распределение удельных цен на квартиры </w:t>
      </w:r>
      <w:r w:rsidRPr="006536F1">
        <w:rPr>
          <w:rFonts w:eastAsia="Calibri" w:cs="Times New Roman"/>
          <w:i/>
          <w:iCs/>
          <w:color w:val="000000" w:themeColor="text1"/>
          <w:szCs w:val="24"/>
        </w:rPr>
        <w:t>КПД</w:t>
      </w:r>
      <w:r w:rsidRPr="00A612AA">
        <w:rPr>
          <w:i/>
          <w:color w:val="000000" w:themeColor="text1"/>
        </w:rPr>
        <w:t xml:space="preserve"> и «хрущевки»</w:t>
      </w:r>
    </w:p>
    <w:p w14:paraId="4E881A8C" w14:textId="13E9A1D5" w:rsidR="006536F1" w:rsidRPr="006536F1" w:rsidRDefault="006536F1" w:rsidP="006536F1">
      <w:pPr>
        <w:ind w:firstLine="851"/>
      </w:pPr>
      <w:r w:rsidRPr="006536F1">
        <w:t xml:space="preserve">Таким образом, с учетом выбранного критерия было построено 7 ценовых интервалов </w:t>
      </w:r>
      <w:r w:rsidRPr="006536F1">
        <w:rPr>
          <w:rFonts w:eastAsia="TimesNewRomanPSMT" w:cs="Times New Roman"/>
          <w:szCs w:val="24"/>
        </w:rPr>
        <w:t>разбиения диапазона</w:t>
      </w:r>
      <w:r w:rsidRPr="006536F1">
        <w:t xml:space="preserve"> между минимальной и максимальной удельными ценами квартир. </w:t>
      </w:r>
    </w:p>
    <w:p w14:paraId="566F3CF5" w14:textId="77777777" w:rsidR="006536F1" w:rsidRPr="006536F1" w:rsidRDefault="006536F1" w:rsidP="005376A2">
      <w:pPr>
        <w:ind w:firstLine="0"/>
        <w:jc w:val="center"/>
      </w:pPr>
      <w:r w:rsidRPr="00FC5515">
        <w:rPr>
          <w:noProof/>
          <w:lang w:eastAsia="ru-RU"/>
        </w:rPr>
        <w:drawing>
          <wp:inline distT="0" distB="0" distL="0" distR="0" wp14:anchorId="6F9F57F1" wp14:editId="36076273">
            <wp:extent cx="4948178" cy="7000443"/>
            <wp:effectExtent l="0" t="0" r="5080" b="0"/>
            <wp:docPr id="978" name="Рисунок 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хрущ кпд.jpg"/>
                    <pic:cNvPicPr/>
                  </pic:nvPicPr>
                  <pic:blipFill>
                    <a:blip r:embed="rId256" cstate="print">
                      <a:extLst>
                        <a:ext uri="{28A0092B-C50C-407E-A947-70E740481C1C}">
                          <a14:useLocalDpi xmlns:a14="http://schemas.microsoft.com/office/drawing/2010/main" val="0"/>
                        </a:ext>
                      </a:extLst>
                    </a:blip>
                    <a:stretch>
                      <a:fillRect/>
                    </a:stretch>
                  </pic:blipFill>
                  <pic:spPr>
                    <a:xfrm>
                      <a:off x="0" y="0"/>
                      <a:ext cx="4971796" cy="7033857"/>
                    </a:xfrm>
                    <a:prstGeom prst="rect">
                      <a:avLst/>
                    </a:prstGeom>
                  </pic:spPr>
                </pic:pic>
              </a:graphicData>
            </a:graphic>
          </wp:inline>
        </w:drawing>
      </w:r>
    </w:p>
    <w:p w14:paraId="04826384" w14:textId="6A651685" w:rsidR="006536F1" w:rsidRPr="00A612AA" w:rsidRDefault="006536F1" w:rsidP="00A612AA">
      <w:pPr>
        <w:suppressAutoHyphens/>
        <w:autoSpaceDN w:val="0"/>
        <w:spacing w:after="200"/>
        <w:ind w:firstLine="0"/>
        <w:jc w:val="center"/>
        <w:textAlignment w:val="baseline"/>
        <w:rPr>
          <w:i/>
        </w:rPr>
      </w:pPr>
      <w:r w:rsidRPr="00A612AA">
        <w:rPr>
          <w:i/>
        </w:rPr>
        <w:t xml:space="preserve">Рисунок </w:t>
      </w:r>
      <w:r w:rsidRPr="00A612AA">
        <w:rPr>
          <w:i/>
        </w:rPr>
        <w:fldChar w:fldCharType="begin"/>
      </w:r>
      <w:r w:rsidRPr="006536F1">
        <w:rPr>
          <w:rFonts w:eastAsia="Calibri" w:cs="Times New Roman"/>
          <w:i/>
          <w:iCs/>
          <w:szCs w:val="18"/>
        </w:rPr>
        <w:instrText xml:space="preserve"> SEQ Рисунок \* ARABIC </w:instrText>
      </w:r>
      <w:r w:rsidRPr="00A612AA">
        <w:rPr>
          <w:i/>
        </w:rPr>
        <w:fldChar w:fldCharType="separate"/>
      </w:r>
      <w:r w:rsidR="00FD2769">
        <w:rPr>
          <w:rFonts w:eastAsia="Calibri" w:cs="Times New Roman"/>
          <w:i/>
          <w:iCs/>
          <w:noProof/>
          <w:szCs w:val="18"/>
        </w:rPr>
        <w:t>54</w:t>
      </w:r>
      <w:r w:rsidRPr="00A612AA">
        <w:rPr>
          <w:i/>
        </w:rPr>
        <w:fldChar w:fldCharType="end"/>
      </w:r>
      <w:r w:rsidRPr="00A612AA">
        <w:rPr>
          <w:i/>
        </w:rPr>
        <w:t xml:space="preserve">. Карта оценочного зонирования г.Якутск, </w:t>
      </w:r>
      <w:r w:rsidRPr="006536F1">
        <w:rPr>
          <w:rFonts w:eastAsia="Calibri" w:cs="Times New Roman"/>
          <w:i/>
          <w:iCs/>
          <w:szCs w:val="18"/>
        </w:rPr>
        <w:t>квартиры проекта КПД</w:t>
      </w:r>
      <w:r w:rsidRPr="00A612AA">
        <w:rPr>
          <w:i/>
        </w:rPr>
        <w:t xml:space="preserve"> и «</w:t>
      </w:r>
      <w:r w:rsidRPr="006536F1">
        <w:rPr>
          <w:rFonts w:eastAsia="Calibri" w:cs="Times New Roman"/>
          <w:i/>
          <w:iCs/>
          <w:szCs w:val="18"/>
        </w:rPr>
        <w:t>хрущевка</w:t>
      </w:r>
      <w:r w:rsidRPr="00A612AA">
        <w:rPr>
          <w:i/>
        </w:rPr>
        <w:t>».</w:t>
      </w:r>
    </w:p>
    <w:p w14:paraId="193070A2" w14:textId="39059013" w:rsidR="006536F1" w:rsidRPr="00E07359" w:rsidRDefault="006536F1" w:rsidP="005A6F55">
      <w:pPr>
        <w:suppressAutoHyphens/>
        <w:autoSpaceDN w:val="0"/>
        <w:spacing w:after="200"/>
        <w:ind w:firstLine="709"/>
        <w:textAlignment w:val="baseline"/>
      </w:pPr>
      <w:r w:rsidRPr="006536F1">
        <w:rPr>
          <w:rFonts w:eastAsia="Calibri" w:cs="Times New Roman"/>
          <w:iCs/>
          <w:szCs w:val="18"/>
        </w:rPr>
        <w:t>С учетом оценочного зонирования по отдельным типам</w:t>
      </w:r>
      <w:r w:rsidRPr="00FC5515">
        <w:t xml:space="preserve"> жилых домов </w:t>
      </w:r>
      <w:r w:rsidRPr="006536F1">
        <w:t>(</w:t>
      </w:r>
      <w:r w:rsidRPr="006536F1">
        <w:rPr>
          <w:rFonts w:eastAsia="Calibri" w:cs="Times New Roman"/>
          <w:iCs/>
          <w:szCs w:val="18"/>
        </w:rPr>
        <w:t>КПД, «хрущевка», индивидуальной</w:t>
      </w:r>
      <w:r w:rsidRPr="00FC5515">
        <w:t xml:space="preserve"> и 112 серии</w:t>
      </w:r>
      <w:r w:rsidRPr="006536F1">
        <w:t>)</w:t>
      </w:r>
      <w:r w:rsidRPr="00FC5515">
        <w:t xml:space="preserve"> </w:t>
      </w:r>
      <w:r w:rsidRPr="006536F1">
        <w:rPr>
          <w:rFonts w:eastAsia="Calibri" w:cs="Times New Roman"/>
          <w:iCs/>
          <w:szCs w:val="18"/>
        </w:rPr>
        <w:t>произведено</w:t>
      </w:r>
      <w:r w:rsidRPr="00FC5515">
        <w:t xml:space="preserve"> оценочное зонирование</w:t>
      </w:r>
      <w:r w:rsidRPr="006536F1">
        <w:t xml:space="preserve"> по 1 группе</w:t>
      </w:r>
      <w:r w:rsidRPr="00FC5515">
        <w:t xml:space="preserve"> «Многоквартирные дома (дома средне- и многоэтажной жилой </w:t>
      </w:r>
      <w:r w:rsidRPr="006536F1">
        <w:rPr>
          <w:rFonts w:eastAsia="Calibri" w:cs="Times New Roman"/>
          <w:iCs/>
          <w:szCs w:val="18"/>
        </w:rPr>
        <w:t>застройки</w:t>
      </w:r>
      <w:r w:rsidRPr="00FC5515">
        <w:t>)»</w:t>
      </w:r>
    </w:p>
    <w:p w14:paraId="725DBABC" w14:textId="77777777" w:rsidR="006536F1" w:rsidRPr="00A612AA" w:rsidRDefault="006536F1" w:rsidP="00A612AA">
      <w:pPr>
        <w:keepNext/>
        <w:suppressAutoHyphens/>
        <w:autoSpaceDN w:val="0"/>
        <w:ind w:firstLine="0"/>
        <w:jc w:val="center"/>
        <w:textAlignment w:val="baseline"/>
        <w:rPr>
          <w:rFonts w:ascii="Calibri" w:hAnsi="Calibri"/>
          <w:i/>
          <w:color w:val="44546A" w:themeColor="text2"/>
          <w:sz w:val="18"/>
        </w:rPr>
      </w:pPr>
      <w:r w:rsidRPr="00A612AA">
        <w:rPr>
          <w:rFonts w:ascii="Calibri" w:hAnsi="Calibri"/>
          <w:i/>
          <w:noProof/>
          <w:color w:val="44546A" w:themeColor="text2"/>
          <w:sz w:val="18"/>
          <w:lang w:eastAsia="ru-RU"/>
        </w:rPr>
        <w:drawing>
          <wp:inline distT="0" distB="0" distL="0" distR="0" wp14:anchorId="73B757B0" wp14:editId="6B9E953F">
            <wp:extent cx="6207652" cy="7601803"/>
            <wp:effectExtent l="0" t="0" r="3175" b="0"/>
            <wp:docPr id="979" name="Рисунок 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7"/>
                    <a:stretch>
                      <a:fillRect/>
                    </a:stretch>
                  </pic:blipFill>
                  <pic:spPr>
                    <a:xfrm>
                      <a:off x="0" y="0"/>
                      <a:ext cx="6245777" cy="7648491"/>
                    </a:xfrm>
                    <a:prstGeom prst="rect">
                      <a:avLst/>
                    </a:prstGeom>
                  </pic:spPr>
                </pic:pic>
              </a:graphicData>
            </a:graphic>
          </wp:inline>
        </w:drawing>
      </w:r>
    </w:p>
    <w:p w14:paraId="10D1ADDE" w14:textId="132EA040" w:rsidR="006536F1" w:rsidRDefault="006536F1" w:rsidP="00A612AA">
      <w:pPr>
        <w:suppressAutoHyphens/>
        <w:autoSpaceDN w:val="0"/>
        <w:spacing w:after="200"/>
        <w:ind w:firstLine="0"/>
        <w:jc w:val="center"/>
        <w:textAlignment w:val="baseline"/>
        <w:rPr>
          <w:i/>
          <w:color w:val="000000" w:themeColor="text1"/>
        </w:rPr>
      </w:pPr>
      <w:r w:rsidRPr="00A612AA">
        <w:rPr>
          <w:i/>
          <w:color w:val="000000" w:themeColor="text1"/>
        </w:rPr>
        <w:t xml:space="preserve">Рисунок </w:t>
      </w:r>
      <w:r w:rsidRPr="00A612AA">
        <w:rPr>
          <w:i/>
          <w:color w:val="000000" w:themeColor="text1"/>
        </w:rPr>
        <w:fldChar w:fldCharType="begin"/>
      </w:r>
      <w:r w:rsidRPr="006536F1">
        <w:rPr>
          <w:rFonts w:eastAsia="Calibri" w:cs="Times New Roman"/>
          <w:i/>
          <w:iCs/>
          <w:color w:val="000000" w:themeColor="text1"/>
          <w:szCs w:val="24"/>
        </w:rPr>
        <w:instrText xml:space="preserve"> SEQ Рисунок \* ARABIC </w:instrText>
      </w:r>
      <w:r w:rsidRPr="00A612AA">
        <w:rPr>
          <w:i/>
          <w:color w:val="000000" w:themeColor="text1"/>
        </w:rPr>
        <w:fldChar w:fldCharType="separate"/>
      </w:r>
      <w:r w:rsidR="00FD2769">
        <w:rPr>
          <w:rFonts w:eastAsia="Calibri" w:cs="Times New Roman"/>
          <w:i/>
          <w:iCs/>
          <w:noProof/>
          <w:color w:val="000000" w:themeColor="text1"/>
          <w:szCs w:val="24"/>
        </w:rPr>
        <w:t>55</w:t>
      </w:r>
      <w:r w:rsidRPr="00A612AA">
        <w:rPr>
          <w:i/>
          <w:color w:val="000000" w:themeColor="text1"/>
        </w:rPr>
        <w:fldChar w:fldCharType="end"/>
      </w:r>
      <w:r w:rsidRPr="00A612AA">
        <w:rPr>
          <w:i/>
          <w:color w:val="000000" w:themeColor="text1"/>
        </w:rPr>
        <w:t>. Оценочное зонирование г.Якутск 1 группа Многоквартирные дома (дома средне- и многоэтажной жилой застройки).</w:t>
      </w:r>
    </w:p>
    <w:p w14:paraId="436E56E8" w14:textId="550D1399" w:rsidR="005376A2" w:rsidRDefault="005376A2" w:rsidP="00A612AA">
      <w:pPr>
        <w:suppressAutoHyphens/>
        <w:autoSpaceDN w:val="0"/>
        <w:spacing w:after="200"/>
        <w:ind w:firstLine="0"/>
        <w:jc w:val="center"/>
        <w:textAlignment w:val="baseline"/>
        <w:rPr>
          <w:i/>
          <w:color w:val="000000" w:themeColor="text1"/>
        </w:rPr>
      </w:pPr>
    </w:p>
    <w:p w14:paraId="71B5BE61" w14:textId="77777777" w:rsidR="005376A2" w:rsidRDefault="005376A2" w:rsidP="00A612AA">
      <w:pPr>
        <w:suppressAutoHyphens/>
        <w:autoSpaceDN w:val="0"/>
        <w:spacing w:after="200"/>
        <w:ind w:firstLine="0"/>
        <w:jc w:val="center"/>
        <w:textAlignment w:val="baseline"/>
        <w:rPr>
          <w:i/>
          <w:color w:val="000000" w:themeColor="text1"/>
        </w:rPr>
      </w:pPr>
    </w:p>
    <w:p w14:paraId="2C371CE9" w14:textId="630ED492" w:rsidR="005376A2" w:rsidRPr="00A612AA" w:rsidRDefault="005376A2" w:rsidP="00A612AA">
      <w:pPr>
        <w:keepNext/>
        <w:suppressAutoHyphens/>
        <w:autoSpaceDN w:val="0"/>
        <w:ind w:firstLine="0"/>
        <w:jc w:val="center"/>
        <w:textAlignment w:val="baseline"/>
        <w:rPr>
          <w:i/>
        </w:rPr>
      </w:pPr>
    </w:p>
    <w:p w14:paraId="649AAB84" w14:textId="3EE89553" w:rsidR="006536F1" w:rsidRPr="00A612AA" w:rsidRDefault="006536F1" w:rsidP="00A612AA">
      <w:pPr>
        <w:pStyle w:val="afffffff0"/>
      </w:pPr>
      <w:r w:rsidRPr="00FC5515">
        <w:t xml:space="preserve">Таблица </w:t>
      </w:r>
      <w:r w:rsidR="00A90944">
        <w:fldChar w:fldCharType="begin"/>
      </w:r>
      <w:r w:rsidR="00A90944">
        <w:instrText xml:space="preserve"> SEQ Таблица \* ARABIC </w:instrText>
      </w:r>
      <w:r w:rsidR="00A90944">
        <w:fldChar w:fldCharType="separate"/>
      </w:r>
      <w:r w:rsidR="00FD2769">
        <w:rPr>
          <w:noProof/>
        </w:rPr>
        <w:t>25</w:t>
      </w:r>
      <w:r w:rsidR="00A90944">
        <w:rPr>
          <w:noProof/>
        </w:rPr>
        <w:fldChar w:fldCharType="end"/>
      </w:r>
      <w:r w:rsidRPr="00A612AA">
        <w:t xml:space="preserve"> Минимальные, максимальные и средние цены в ценовых зонах для помещений 1 группы «Многоквартирные дома (дома средне- и многоэтажной жилой застройки)»</w:t>
      </w:r>
    </w:p>
    <w:tbl>
      <w:tblPr>
        <w:tblW w:w="4940" w:type="pct"/>
        <w:tblInd w:w="113" w:type="dxa"/>
        <w:tblLook w:val="04A0" w:firstRow="1" w:lastRow="0" w:firstColumn="1" w:lastColumn="0" w:noHBand="0" w:noVBand="1"/>
      </w:tblPr>
      <w:tblGrid>
        <w:gridCol w:w="2586"/>
        <w:gridCol w:w="2316"/>
        <w:gridCol w:w="2586"/>
        <w:gridCol w:w="1745"/>
      </w:tblGrid>
      <w:tr w:rsidR="006536F1" w:rsidRPr="006536F1" w14:paraId="186B1922" w14:textId="77777777" w:rsidTr="00BE670C">
        <w:trPr>
          <w:cantSplit/>
        </w:trPr>
        <w:tc>
          <w:tcPr>
            <w:tcW w:w="2586" w:type="dxa"/>
            <w:tcBorders>
              <w:top w:val="single" w:sz="4" w:space="0" w:color="auto"/>
              <w:left w:val="single" w:sz="4" w:space="0" w:color="auto"/>
              <w:bottom w:val="single" w:sz="4" w:space="0" w:color="auto"/>
              <w:right w:val="single" w:sz="4" w:space="0" w:color="auto"/>
            </w:tcBorders>
            <w:shd w:val="clear" w:color="000000" w:fill="BFBFBF"/>
            <w:vAlign w:val="center"/>
            <w:hideMark/>
          </w:tcPr>
          <w:p w14:paraId="1CB2D0FB" w14:textId="77777777" w:rsidR="006536F1" w:rsidRPr="006536F1" w:rsidRDefault="006536F1" w:rsidP="00A612AA">
            <w:pPr>
              <w:keepNext/>
              <w:suppressAutoHyphens/>
              <w:ind w:firstLine="0"/>
              <w:jc w:val="center"/>
              <w:rPr>
                <w:b/>
                <w:color w:val="000000"/>
              </w:rPr>
            </w:pPr>
            <w:r w:rsidRPr="006536F1">
              <w:rPr>
                <w:b/>
                <w:color w:val="000000"/>
              </w:rPr>
              <w:t>Ценовая зона</w:t>
            </w:r>
          </w:p>
        </w:tc>
        <w:tc>
          <w:tcPr>
            <w:tcW w:w="2316" w:type="dxa"/>
            <w:tcBorders>
              <w:top w:val="single" w:sz="4" w:space="0" w:color="auto"/>
              <w:left w:val="nil"/>
              <w:bottom w:val="single" w:sz="4" w:space="0" w:color="auto"/>
              <w:right w:val="single" w:sz="4" w:space="0" w:color="auto"/>
            </w:tcBorders>
            <w:shd w:val="clear" w:color="000000" w:fill="BFBFBF"/>
            <w:vAlign w:val="center"/>
            <w:hideMark/>
          </w:tcPr>
          <w:p w14:paraId="1307E17D" w14:textId="77777777" w:rsidR="006536F1" w:rsidRPr="006536F1" w:rsidRDefault="006536F1" w:rsidP="00A612AA">
            <w:pPr>
              <w:keepNext/>
              <w:suppressAutoHyphens/>
              <w:ind w:firstLine="0"/>
              <w:jc w:val="center"/>
              <w:rPr>
                <w:b/>
                <w:color w:val="000000"/>
              </w:rPr>
            </w:pPr>
            <w:r w:rsidRPr="006536F1">
              <w:rPr>
                <w:b/>
                <w:color w:val="000000"/>
              </w:rPr>
              <w:t>Минимальная цена</w:t>
            </w:r>
          </w:p>
        </w:tc>
        <w:tc>
          <w:tcPr>
            <w:tcW w:w="2586" w:type="dxa"/>
            <w:tcBorders>
              <w:top w:val="single" w:sz="4" w:space="0" w:color="auto"/>
              <w:left w:val="nil"/>
              <w:bottom w:val="single" w:sz="4" w:space="0" w:color="auto"/>
              <w:right w:val="single" w:sz="4" w:space="0" w:color="auto"/>
            </w:tcBorders>
            <w:shd w:val="clear" w:color="000000" w:fill="BFBFBF"/>
            <w:vAlign w:val="center"/>
            <w:hideMark/>
          </w:tcPr>
          <w:p w14:paraId="306223A5" w14:textId="77777777" w:rsidR="006536F1" w:rsidRPr="006536F1" w:rsidRDefault="006536F1" w:rsidP="00A612AA">
            <w:pPr>
              <w:keepNext/>
              <w:suppressAutoHyphens/>
              <w:ind w:firstLine="0"/>
              <w:jc w:val="center"/>
              <w:rPr>
                <w:b/>
                <w:color w:val="000000"/>
              </w:rPr>
            </w:pPr>
            <w:r w:rsidRPr="006536F1">
              <w:rPr>
                <w:b/>
                <w:color w:val="000000"/>
              </w:rPr>
              <w:t>Максимальная цена</w:t>
            </w:r>
          </w:p>
        </w:tc>
        <w:tc>
          <w:tcPr>
            <w:tcW w:w="1745" w:type="dxa"/>
            <w:tcBorders>
              <w:top w:val="single" w:sz="4" w:space="0" w:color="auto"/>
              <w:left w:val="nil"/>
              <w:bottom w:val="single" w:sz="4" w:space="0" w:color="auto"/>
              <w:right w:val="single" w:sz="4" w:space="0" w:color="auto"/>
            </w:tcBorders>
            <w:shd w:val="clear" w:color="000000" w:fill="BFBFBF"/>
            <w:vAlign w:val="center"/>
            <w:hideMark/>
          </w:tcPr>
          <w:p w14:paraId="3FFE435D" w14:textId="77777777" w:rsidR="006536F1" w:rsidRPr="006536F1" w:rsidRDefault="006536F1" w:rsidP="00A612AA">
            <w:pPr>
              <w:keepNext/>
              <w:suppressAutoHyphens/>
              <w:ind w:firstLine="0"/>
              <w:jc w:val="center"/>
              <w:rPr>
                <w:b/>
                <w:color w:val="000000"/>
              </w:rPr>
            </w:pPr>
            <w:r w:rsidRPr="006536F1">
              <w:rPr>
                <w:b/>
                <w:color w:val="000000"/>
              </w:rPr>
              <w:t>Средняя цена</w:t>
            </w:r>
          </w:p>
        </w:tc>
      </w:tr>
      <w:tr w:rsidR="006536F1" w:rsidRPr="006536F1" w14:paraId="294C867D" w14:textId="77777777" w:rsidTr="00BE670C">
        <w:trPr>
          <w:cantSplit/>
        </w:trPr>
        <w:tc>
          <w:tcPr>
            <w:tcW w:w="2586" w:type="dxa"/>
            <w:tcBorders>
              <w:top w:val="nil"/>
              <w:left w:val="single" w:sz="4" w:space="0" w:color="auto"/>
              <w:bottom w:val="single" w:sz="4" w:space="0" w:color="auto"/>
              <w:right w:val="single" w:sz="4" w:space="0" w:color="auto"/>
            </w:tcBorders>
            <w:shd w:val="clear" w:color="auto" w:fill="auto"/>
            <w:noWrap/>
            <w:vAlign w:val="center"/>
            <w:hideMark/>
          </w:tcPr>
          <w:p w14:paraId="5FAFF8BA" w14:textId="77777777" w:rsidR="006536F1" w:rsidRPr="006536F1" w:rsidRDefault="006536F1" w:rsidP="00A612AA">
            <w:pPr>
              <w:suppressAutoHyphens/>
              <w:ind w:firstLine="0"/>
              <w:jc w:val="center"/>
              <w:rPr>
                <w:color w:val="000000"/>
              </w:rPr>
            </w:pPr>
            <w:r w:rsidRPr="006536F1">
              <w:rPr>
                <w:color w:val="000000"/>
              </w:rPr>
              <w:t>1 зона</w:t>
            </w:r>
          </w:p>
        </w:tc>
        <w:tc>
          <w:tcPr>
            <w:tcW w:w="2316" w:type="dxa"/>
            <w:tcBorders>
              <w:top w:val="nil"/>
              <w:left w:val="nil"/>
              <w:bottom w:val="single" w:sz="4" w:space="0" w:color="auto"/>
              <w:right w:val="single" w:sz="4" w:space="0" w:color="auto"/>
            </w:tcBorders>
            <w:shd w:val="clear" w:color="auto" w:fill="auto"/>
            <w:noWrap/>
            <w:vAlign w:val="bottom"/>
            <w:hideMark/>
          </w:tcPr>
          <w:p w14:paraId="7CE5ED6E" w14:textId="77777777" w:rsidR="006536F1" w:rsidRPr="006536F1" w:rsidRDefault="006536F1" w:rsidP="00A612AA">
            <w:pPr>
              <w:ind w:firstLine="0"/>
              <w:jc w:val="center"/>
              <w:rPr>
                <w:color w:val="000000"/>
              </w:rPr>
            </w:pPr>
            <w:r w:rsidRPr="006536F1">
              <w:rPr>
                <w:color w:val="000000"/>
              </w:rPr>
              <w:t>52210</w:t>
            </w:r>
          </w:p>
        </w:tc>
        <w:tc>
          <w:tcPr>
            <w:tcW w:w="2586" w:type="dxa"/>
            <w:tcBorders>
              <w:top w:val="nil"/>
              <w:left w:val="nil"/>
              <w:bottom w:val="single" w:sz="4" w:space="0" w:color="auto"/>
              <w:right w:val="single" w:sz="4" w:space="0" w:color="auto"/>
            </w:tcBorders>
            <w:shd w:val="clear" w:color="auto" w:fill="auto"/>
            <w:noWrap/>
            <w:vAlign w:val="bottom"/>
            <w:hideMark/>
          </w:tcPr>
          <w:p w14:paraId="1BD28A73" w14:textId="77777777" w:rsidR="006536F1" w:rsidRPr="006536F1" w:rsidRDefault="006536F1" w:rsidP="00A612AA">
            <w:pPr>
              <w:ind w:firstLine="0"/>
              <w:jc w:val="center"/>
              <w:rPr>
                <w:color w:val="000000"/>
              </w:rPr>
            </w:pPr>
            <w:r w:rsidRPr="006536F1">
              <w:rPr>
                <w:color w:val="000000"/>
              </w:rPr>
              <w:t>135088</w:t>
            </w:r>
          </w:p>
        </w:tc>
        <w:tc>
          <w:tcPr>
            <w:tcW w:w="1745" w:type="dxa"/>
            <w:tcBorders>
              <w:top w:val="nil"/>
              <w:left w:val="nil"/>
              <w:bottom w:val="single" w:sz="4" w:space="0" w:color="auto"/>
              <w:right w:val="single" w:sz="4" w:space="0" w:color="auto"/>
            </w:tcBorders>
            <w:shd w:val="clear" w:color="auto" w:fill="auto"/>
            <w:noWrap/>
            <w:vAlign w:val="bottom"/>
            <w:hideMark/>
          </w:tcPr>
          <w:p w14:paraId="7716306C" w14:textId="77777777" w:rsidR="006536F1" w:rsidRPr="006536F1" w:rsidRDefault="006536F1" w:rsidP="00A612AA">
            <w:pPr>
              <w:ind w:firstLine="0"/>
              <w:jc w:val="center"/>
              <w:rPr>
                <w:color w:val="000000"/>
              </w:rPr>
            </w:pPr>
            <w:r w:rsidRPr="006536F1">
              <w:rPr>
                <w:color w:val="000000"/>
              </w:rPr>
              <w:t>84308</w:t>
            </w:r>
          </w:p>
        </w:tc>
      </w:tr>
      <w:tr w:rsidR="006536F1" w:rsidRPr="006536F1" w14:paraId="694B4A5D" w14:textId="77777777" w:rsidTr="00BE670C">
        <w:trPr>
          <w:cantSplit/>
        </w:trPr>
        <w:tc>
          <w:tcPr>
            <w:tcW w:w="2586" w:type="dxa"/>
            <w:tcBorders>
              <w:top w:val="nil"/>
              <w:left w:val="single" w:sz="4" w:space="0" w:color="auto"/>
              <w:bottom w:val="single" w:sz="4" w:space="0" w:color="auto"/>
              <w:right w:val="single" w:sz="4" w:space="0" w:color="auto"/>
            </w:tcBorders>
            <w:shd w:val="clear" w:color="auto" w:fill="auto"/>
            <w:noWrap/>
            <w:vAlign w:val="center"/>
            <w:hideMark/>
          </w:tcPr>
          <w:p w14:paraId="77D02892" w14:textId="77777777" w:rsidR="006536F1" w:rsidRPr="006536F1" w:rsidRDefault="006536F1" w:rsidP="00A612AA">
            <w:pPr>
              <w:suppressAutoHyphens/>
              <w:ind w:firstLine="0"/>
              <w:jc w:val="center"/>
              <w:rPr>
                <w:color w:val="000000"/>
              </w:rPr>
            </w:pPr>
            <w:r w:rsidRPr="006536F1">
              <w:rPr>
                <w:color w:val="000000"/>
              </w:rPr>
              <w:t>2 зона</w:t>
            </w:r>
          </w:p>
        </w:tc>
        <w:tc>
          <w:tcPr>
            <w:tcW w:w="2316" w:type="dxa"/>
            <w:tcBorders>
              <w:top w:val="nil"/>
              <w:left w:val="nil"/>
              <w:bottom w:val="single" w:sz="4" w:space="0" w:color="auto"/>
              <w:right w:val="single" w:sz="4" w:space="0" w:color="auto"/>
            </w:tcBorders>
            <w:shd w:val="clear" w:color="auto" w:fill="auto"/>
            <w:noWrap/>
            <w:vAlign w:val="center"/>
            <w:hideMark/>
          </w:tcPr>
          <w:p w14:paraId="07B16DF7" w14:textId="77777777" w:rsidR="006536F1" w:rsidRPr="006536F1" w:rsidRDefault="006536F1" w:rsidP="00A612AA">
            <w:pPr>
              <w:suppressAutoHyphens/>
              <w:ind w:firstLine="0"/>
              <w:jc w:val="center"/>
              <w:rPr>
                <w:color w:val="000000"/>
              </w:rPr>
            </w:pPr>
            <w:r w:rsidRPr="006536F1">
              <w:rPr>
                <w:color w:val="000000"/>
              </w:rPr>
              <w:t>24947</w:t>
            </w:r>
          </w:p>
        </w:tc>
        <w:tc>
          <w:tcPr>
            <w:tcW w:w="2586" w:type="dxa"/>
            <w:tcBorders>
              <w:top w:val="nil"/>
              <w:left w:val="nil"/>
              <w:bottom w:val="single" w:sz="4" w:space="0" w:color="auto"/>
              <w:right w:val="single" w:sz="4" w:space="0" w:color="auto"/>
            </w:tcBorders>
            <w:shd w:val="clear" w:color="auto" w:fill="auto"/>
            <w:noWrap/>
            <w:vAlign w:val="center"/>
            <w:hideMark/>
          </w:tcPr>
          <w:p w14:paraId="3CD45933" w14:textId="77777777" w:rsidR="006536F1" w:rsidRPr="006536F1" w:rsidRDefault="006536F1" w:rsidP="00A612AA">
            <w:pPr>
              <w:suppressAutoHyphens/>
              <w:ind w:firstLine="0"/>
              <w:jc w:val="center"/>
              <w:rPr>
                <w:color w:val="000000"/>
              </w:rPr>
            </w:pPr>
            <w:r w:rsidRPr="006536F1">
              <w:rPr>
                <w:color w:val="000000"/>
              </w:rPr>
              <w:t>135078</w:t>
            </w:r>
          </w:p>
        </w:tc>
        <w:tc>
          <w:tcPr>
            <w:tcW w:w="1745" w:type="dxa"/>
            <w:tcBorders>
              <w:top w:val="nil"/>
              <w:left w:val="nil"/>
              <w:bottom w:val="single" w:sz="4" w:space="0" w:color="auto"/>
              <w:right w:val="single" w:sz="4" w:space="0" w:color="auto"/>
            </w:tcBorders>
            <w:shd w:val="clear" w:color="auto" w:fill="auto"/>
            <w:noWrap/>
            <w:vAlign w:val="center"/>
            <w:hideMark/>
          </w:tcPr>
          <w:p w14:paraId="396EC368" w14:textId="77777777" w:rsidR="006536F1" w:rsidRPr="006536F1" w:rsidRDefault="006536F1" w:rsidP="00A612AA">
            <w:pPr>
              <w:suppressAutoHyphens/>
              <w:ind w:firstLine="0"/>
              <w:jc w:val="center"/>
              <w:rPr>
                <w:color w:val="000000"/>
              </w:rPr>
            </w:pPr>
            <w:r w:rsidRPr="006536F1">
              <w:rPr>
                <w:color w:val="000000"/>
              </w:rPr>
              <w:t>76918</w:t>
            </w:r>
          </w:p>
        </w:tc>
      </w:tr>
      <w:tr w:rsidR="006536F1" w:rsidRPr="006536F1" w14:paraId="22F42B88" w14:textId="77777777" w:rsidTr="00BE670C">
        <w:trPr>
          <w:cantSplit/>
        </w:trPr>
        <w:tc>
          <w:tcPr>
            <w:tcW w:w="2586" w:type="dxa"/>
            <w:tcBorders>
              <w:top w:val="nil"/>
              <w:left w:val="single" w:sz="4" w:space="0" w:color="auto"/>
              <w:bottom w:val="single" w:sz="4" w:space="0" w:color="auto"/>
              <w:right w:val="single" w:sz="4" w:space="0" w:color="auto"/>
            </w:tcBorders>
            <w:shd w:val="clear" w:color="auto" w:fill="auto"/>
            <w:noWrap/>
            <w:vAlign w:val="center"/>
            <w:hideMark/>
          </w:tcPr>
          <w:p w14:paraId="0870CCF9" w14:textId="77777777" w:rsidR="006536F1" w:rsidRPr="006536F1" w:rsidRDefault="006536F1" w:rsidP="00A612AA">
            <w:pPr>
              <w:suppressAutoHyphens/>
              <w:ind w:firstLine="0"/>
              <w:jc w:val="center"/>
              <w:rPr>
                <w:color w:val="000000"/>
              </w:rPr>
            </w:pPr>
            <w:r w:rsidRPr="006536F1">
              <w:rPr>
                <w:color w:val="000000"/>
              </w:rPr>
              <w:t>3 зона</w:t>
            </w:r>
          </w:p>
        </w:tc>
        <w:tc>
          <w:tcPr>
            <w:tcW w:w="231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A74113F" w14:textId="77777777" w:rsidR="006536F1" w:rsidRPr="006536F1" w:rsidRDefault="006536F1" w:rsidP="00A612AA">
            <w:pPr>
              <w:spacing w:after="160"/>
              <w:ind w:firstLine="0"/>
              <w:jc w:val="center"/>
              <w:rPr>
                <w:color w:val="000000"/>
              </w:rPr>
            </w:pPr>
            <w:r w:rsidRPr="006536F1">
              <w:rPr>
                <w:color w:val="000000"/>
              </w:rPr>
              <w:t>23554</w:t>
            </w:r>
          </w:p>
        </w:tc>
        <w:tc>
          <w:tcPr>
            <w:tcW w:w="2586" w:type="dxa"/>
            <w:tcBorders>
              <w:top w:val="single" w:sz="4" w:space="0" w:color="auto"/>
              <w:left w:val="nil"/>
              <w:bottom w:val="single" w:sz="4" w:space="0" w:color="auto"/>
              <w:right w:val="single" w:sz="4" w:space="0" w:color="auto"/>
            </w:tcBorders>
            <w:shd w:val="clear" w:color="auto" w:fill="auto"/>
            <w:noWrap/>
            <w:vAlign w:val="bottom"/>
            <w:hideMark/>
          </w:tcPr>
          <w:p w14:paraId="01C67ED9" w14:textId="77777777" w:rsidR="006536F1" w:rsidRPr="006536F1" w:rsidRDefault="006536F1" w:rsidP="00A612AA">
            <w:pPr>
              <w:suppressAutoHyphens/>
              <w:autoSpaceDN w:val="0"/>
              <w:spacing w:after="160" w:line="244" w:lineRule="auto"/>
              <w:ind w:firstLine="0"/>
              <w:jc w:val="center"/>
              <w:textAlignment w:val="baseline"/>
              <w:rPr>
                <w:color w:val="000000"/>
              </w:rPr>
            </w:pPr>
            <w:r w:rsidRPr="006536F1">
              <w:rPr>
                <w:color w:val="000000"/>
              </w:rPr>
              <w:t>110941</w:t>
            </w:r>
          </w:p>
        </w:tc>
        <w:tc>
          <w:tcPr>
            <w:tcW w:w="1745" w:type="dxa"/>
            <w:tcBorders>
              <w:top w:val="single" w:sz="4" w:space="0" w:color="auto"/>
              <w:left w:val="nil"/>
              <w:bottom w:val="single" w:sz="4" w:space="0" w:color="auto"/>
              <w:right w:val="single" w:sz="4" w:space="0" w:color="auto"/>
            </w:tcBorders>
            <w:shd w:val="clear" w:color="auto" w:fill="auto"/>
            <w:noWrap/>
            <w:vAlign w:val="bottom"/>
            <w:hideMark/>
          </w:tcPr>
          <w:p w14:paraId="36FCFFF5" w14:textId="77777777" w:rsidR="006536F1" w:rsidRPr="006536F1" w:rsidRDefault="006536F1" w:rsidP="00A612AA">
            <w:pPr>
              <w:suppressAutoHyphens/>
              <w:autoSpaceDN w:val="0"/>
              <w:spacing w:after="160" w:line="244" w:lineRule="auto"/>
              <w:ind w:firstLine="0"/>
              <w:jc w:val="center"/>
              <w:textAlignment w:val="baseline"/>
              <w:rPr>
                <w:color w:val="000000"/>
              </w:rPr>
            </w:pPr>
            <w:r w:rsidRPr="006536F1">
              <w:rPr>
                <w:color w:val="000000"/>
              </w:rPr>
              <w:t>61239</w:t>
            </w:r>
          </w:p>
        </w:tc>
      </w:tr>
    </w:tbl>
    <w:p w14:paraId="0C36BC81" w14:textId="77777777" w:rsidR="006536F1" w:rsidRPr="006536F1" w:rsidRDefault="006536F1" w:rsidP="006536F1">
      <w:pPr>
        <w:ind w:firstLine="0"/>
        <w:jc w:val="left"/>
        <w:rPr>
          <w:rFonts w:eastAsia="Times New Roman" w:cs="Times New Roman"/>
          <w:i/>
          <w:szCs w:val="28"/>
          <w:lang w:eastAsia="ru-RU"/>
        </w:rPr>
      </w:pPr>
    </w:p>
    <w:p w14:paraId="2AEA47E7" w14:textId="3F2ECCEC" w:rsidR="006536F1" w:rsidRPr="00A612AA" w:rsidRDefault="006536F1" w:rsidP="00A612AA">
      <w:pPr>
        <w:pStyle w:val="afffffff0"/>
        <w:rPr>
          <w:b/>
          <w:caps/>
          <w:sz w:val="28"/>
        </w:rPr>
      </w:pPr>
      <w:r w:rsidRPr="006536F1">
        <w:rPr>
          <w:rFonts w:eastAsia="Times New Roman"/>
        </w:rPr>
        <w:t xml:space="preserve">Таблица </w:t>
      </w:r>
      <w:r w:rsidRPr="006536F1">
        <w:rPr>
          <w:rFonts w:eastAsia="Times New Roman"/>
        </w:rPr>
        <w:fldChar w:fldCharType="begin"/>
      </w:r>
      <w:r w:rsidRPr="006536F1">
        <w:rPr>
          <w:rFonts w:eastAsia="Times New Roman"/>
        </w:rPr>
        <w:instrText xml:space="preserve"> SEQ Таблица \* ARABIC </w:instrText>
      </w:r>
      <w:r w:rsidRPr="006536F1">
        <w:rPr>
          <w:rFonts w:eastAsia="Times New Roman"/>
        </w:rPr>
        <w:fldChar w:fldCharType="separate"/>
      </w:r>
      <w:r w:rsidR="00FD2769">
        <w:rPr>
          <w:rFonts w:eastAsia="Times New Roman"/>
          <w:noProof/>
        </w:rPr>
        <w:t>26</w:t>
      </w:r>
      <w:r w:rsidRPr="006536F1">
        <w:rPr>
          <w:rFonts w:eastAsia="Times New Roman"/>
        </w:rPr>
        <w:fldChar w:fldCharType="end"/>
      </w:r>
      <w:r w:rsidRPr="006536F1">
        <w:rPr>
          <w:rFonts w:eastAsia="Times New Roman"/>
        </w:rPr>
        <w:t xml:space="preserve"> </w:t>
      </w:r>
      <w:r w:rsidRPr="00A612AA">
        <w:t>Границы типовых зон определены кадастровыми кварталами.</w:t>
      </w:r>
    </w:p>
    <w:tbl>
      <w:tblPr>
        <w:tblW w:w="4940" w:type="pct"/>
        <w:tblInd w:w="113" w:type="dxa"/>
        <w:tblLayout w:type="fixed"/>
        <w:tblLook w:val="04A0" w:firstRow="1" w:lastRow="0" w:firstColumn="1" w:lastColumn="0" w:noHBand="0" w:noVBand="1"/>
      </w:tblPr>
      <w:tblGrid>
        <w:gridCol w:w="1725"/>
        <w:gridCol w:w="1418"/>
        <w:gridCol w:w="6090"/>
      </w:tblGrid>
      <w:tr w:rsidR="006536F1" w:rsidRPr="006536F1" w14:paraId="32DDD7B7" w14:textId="77777777" w:rsidTr="008B2763">
        <w:trPr>
          <w:cantSplit/>
        </w:trPr>
        <w:tc>
          <w:tcPr>
            <w:tcW w:w="1725" w:type="dxa"/>
            <w:tcBorders>
              <w:top w:val="single" w:sz="4" w:space="0" w:color="auto"/>
              <w:left w:val="single" w:sz="4" w:space="0" w:color="auto"/>
              <w:bottom w:val="single" w:sz="4" w:space="0" w:color="auto"/>
              <w:right w:val="single" w:sz="4" w:space="0" w:color="auto"/>
            </w:tcBorders>
            <w:shd w:val="clear" w:color="000000" w:fill="BFBFBF"/>
          </w:tcPr>
          <w:p w14:paraId="78D534BE" w14:textId="77777777" w:rsidR="006536F1" w:rsidRPr="006536F1" w:rsidRDefault="006536F1" w:rsidP="00A612AA">
            <w:pPr>
              <w:keepNext/>
              <w:suppressAutoHyphens/>
              <w:ind w:firstLine="0"/>
              <w:jc w:val="center"/>
              <w:rPr>
                <w:b/>
                <w:color w:val="000000"/>
              </w:rPr>
            </w:pPr>
            <w:r w:rsidRPr="006536F1">
              <w:rPr>
                <w:b/>
                <w:color w:val="000000"/>
              </w:rPr>
              <w:t>Ценовая зона</w:t>
            </w:r>
          </w:p>
        </w:tc>
        <w:tc>
          <w:tcPr>
            <w:tcW w:w="7508" w:type="dxa"/>
            <w:gridSpan w:val="2"/>
            <w:tcBorders>
              <w:top w:val="single" w:sz="4" w:space="0" w:color="auto"/>
              <w:left w:val="single" w:sz="4" w:space="0" w:color="auto"/>
              <w:bottom w:val="single" w:sz="4" w:space="0" w:color="auto"/>
              <w:right w:val="single" w:sz="4" w:space="0" w:color="auto"/>
            </w:tcBorders>
            <w:shd w:val="clear" w:color="000000" w:fill="BFBFBF"/>
            <w:vAlign w:val="center"/>
            <w:hideMark/>
          </w:tcPr>
          <w:p w14:paraId="26555656" w14:textId="77777777" w:rsidR="006536F1" w:rsidRPr="006536F1" w:rsidRDefault="006536F1" w:rsidP="00A612AA">
            <w:pPr>
              <w:keepNext/>
              <w:suppressAutoHyphens/>
              <w:ind w:firstLine="0"/>
              <w:jc w:val="center"/>
              <w:rPr>
                <w:b/>
                <w:color w:val="000000"/>
              </w:rPr>
            </w:pPr>
            <w:r w:rsidRPr="006536F1">
              <w:rPr>
                <w:b/>
                <w:color w:val="000000"/>
              </w:rPr>
              <w:t>Кадастровые квартала</w:t>
            </w:r>
          </w:p>
        </w:tc>
      </w:tr>
      <w:tr w:rsidR="006536F1" w:rsidRPr="006536F1" w14:paraId="2426A7AE" w14:textId="77777777" w:rsidTr="008B2763">
        <w:trPr>
          <w:cantSplit/>
        </w:trPr>
        <w:tc>
          <w:tcPr>
            <w:tcW w:w="1725" w:type="dxa"/>
            <w:tcBorders>
              <w:top w:val="nil"/>
              <w:left w:val="single" w:sz="4" w:space="0" w:color="auto"/>
              <w:bottom w:val="single" w:sz="4" w:space="0" w:color="auto"/>
              <w:right w:val="single" w:sz="4" w:space="0" w:color="auto"/>
            </w:tcBorders>
            <w:vAlign w:val="center"/>
          </w:tcPr>
          <w:p w14:paraId="03A96359" w14:textId="77777777" w:rsidR="006536F1" w:rsidRPr="006536F1" w:rsidRDefault="006536F1" w:rsidP="00A612AA">
            <w:pPr>
              <w:suppressAutoHyphens/>
              <w:ind w:firstLine="0"/>
              <w:jc w:val="center"/>
              <w:rPr>
                <w:color w:val="000000"/>
              </w:rPr>
            </w:pPr>
            <w:r w:rsidRPr="006536F1">
              <w:rPr>
                <w:color w:val="000000"/>
              </w:rPr>
              <w:t xml:space="preserve">1 </w:t>
            </w:r>
          </w:p>
        </w:tc>
        <w:tc>
          <w:tcPr>
            <w:tcW w:w="1418" w:type="dxa"/>
            <w:tcBorders>
              <w:top w:val="nil"/>
              <w:left w:val="single" w:sz="4" w:space="0" w:color="auto"/>
              <w:bottom w:val="single" w:sz="4" w:space="0" w:color="auto"/>
              <w:right w:val="single" w:sz="4" w:space="0" w:color="auto"/>
            </w:tcBorders>
            <w:shd w:val="clear" w:color="auto" w:fill="auto"/>
            <w:noWrap/>
            <w:vAlign w:val="center"/>
            <w:hideMark/>
          </w:tcPr>
          <w:p w14:paraId="1454F4F9" w14:textId="77777777" w:rsidR="006536F1" w:rsidRPr="006536F1" w:rsidRDefault="006536F1" w:rsidP="00A612AA">
            <w:pPr>
              <w:suppressAutoHyphens/>
              <w:ind w:firstLine="0"/>
              <w:jc w:val="center"/>
              <w:rPr>
                <w:color w:val="000000"/>
              </w:rPr>
            </w:pPr>
            <w:r w:rsidRPr="006536F1">
              <w:rPr>
                <w:color w:val="000000"/>
              </w:rPr>
              <w:t>14:36:105</w:t>
            </w:r>
          </w:p>
        </w:tc>
        <w:tc>
          <w:tcPr>
            <w:tcW w:w="6090" w:type="dxa"/>
            <w:tcBorders>
              <w:top w:val="nil"/>
              <w:left w:val="nil"/>
              <w:bottom w:val="single" w:sz="4" w:space="0" w:color="auto"/>
              <w:right w:val="single" w:sz="4" w:space="0" w:color="auto"/>
            </w:tcBorders>
            <w:shd w:val="clear" w:color="auto" w:fill="auto"/>
            <w:noWrap/>
            <w:vAlign w:val="bottom"/>
            <w:hideMark/>
          </w:tcPr>
          <w:p w14:paraId="1A46AB4F" w14:textId="77777777" w:rsidR="006536F1" w:rsidRPr="006536F1" w:rsidRDefault="006536F1" w:rsidP="00A612AA">
            <w:pPr>
              <w:ind w:firstLine="0"/>
              <w:jc w:val="center"/>
              <w:rPr>
                <w:color w:val="000000"/>
              </w:rPr>
            </w:pPr>
            <w:r w:rsidRPr="006536F1">
              <w:rPr>
                <w:color w:val="000000"/>
              </w:rPr>
              <w:t xml:space="preserve">011; 013; 017;018;019;021; 022; 024;025;026;027;028;029;031;032; 034;034;035;037;038;040;044;047;048:050:051 </w:t>
            </w:r>
          </w:p>
        </w:tc>
      </w:tr>
      <w:tr w:rsidR="006536F1" w:rsidRPr="006536F1" w14:paraId="218793EE" w14:textId="77777777" w:rsidTr="008B2763">
        <w:trPr>
          <w:cantSplit/>
        </w:trPr>
        <w:tc>
          <w:tcPr>
            <w:tcW w:w="1725" w:type="dxa"/>
            <w:vMerge w:val="restart"/>
            <w:tcBorders>
              <w:top w:val="single" w:sz="4" w:space="0" w:color="auto"/>
              <w:left w:val="single" w:sz="4" w:space="0" w:color="auto"/>
              <w:right w:val="single" w:sz="4" w:space="0" w:color="auto"/>
            </w:tcBorders>
            <w:vAlign w:val="center"/>
          </w:tcPr>
          <w:p w14:paraId="79FB779A" w14:textId="77777777" w:rsidR="006536F1" w:rsidRPr="006536F1" w:rsidRDefault="006536F1" w:rsidP="00A612AA">
            <w:pPr>
              <w:suppressAutoHyphens/>
              <w:ind w:firstLine="0"/>
              <w:jc w:val="center"/>
              <w:rPr>
                <w:color w:val="000000"/>
              </w:rPr>
            </w:pPr>
            <w:r w:rsidRPr="006536F1">
              <w:rPr>
                <w:color w:val="000000"/>
              </w:rPr>
              <w:t>2</w:t>
            </w:r>
          </w:p>
        </w:tc>
        <w:tc>
          <w:tcPr>
            <w:tcW w:w="1418" w:type="dxa"/>
            <w:tcBorders>
              <w:top w:val="nil"/>
              <w:left w:val="single" w:sz="4" w:space="0" w:color="auto"/>
              <w:bottom w:val="single" w:sz="4" w:space="0" w:color="auto"/>
              <w:right w:val="single" w:sz="4" w:space="0" w:color="auto"/>
            </w:tcBorders>
            <w:shd w:val="clear" w:color="auto" w:fill="auto"/>
            <w:noWrap/>
            <w:vAlign w:val="center"/>
            <w:hideMark/>
          </w:tcPr>
          <w:p w14:paraId="3F285465" w14:textId="77777777" w:rsidR="006536F1" w:rsidRPr="006536F1" w:rsidRDefault="006536F1" w:rsidP="00A612AA">
            <w:pPr>
              <w:suppressAutoHyphens/>
              <w:ind w:firstLine="0"/>
              <w:jc w:val="center"/>
              <w:rPr>
                <w:color w:val="000000"/>
              </w:rPr>
            </w:pPr>
            <w:r w:rsidRPr="006536F1">
              <w:rPr>
                <w:color w:val="000000"/>
              </w:rPr>
              <w:t>14:36:103</w:t>
            </w:r>
          </w:p>
        </w:tc>
        <w:tc>
          <w:tcPr>
            <w:tcW w:w="6090" w:type="dxa"/>
            <w:tcBorders>
              <w:top w:val="nil"/>
              <w:left w:val="nil"/>
              <w:bottom w:val="single" w:sz="4" w:space="0" w:color="auto"/>
              <w:right w:val="single" w:sz="4" w:space="0" w:color="auto"/>
            </w:tcBorders>
            <w:shd w:val="clear" w:color="auto" w:fill="auto"/>
            <w:noWrap/>
            <w:vAlign w:val="center"/>
            <w:hideMark/>
          </w:tcPr>
          <w:p w14:paraId="093A6D81" w14:textId="77777777" w:rsidR="006536F1" w:rsidRPr="006536F1" w:rsidRDefault="006536F1" w:rsidP="00A612AA">
            <w:pPr>
              <w:suppressAutoHyphens/>
              <w:ind w:firstLine="0"/>
              <w:jc w:val="center"/>
              <w:rPr>
                <w:color w:val="000000"/>
              </w:rPr>
            </w:pPr>
            <w:r w:rsidRPr="006536F1">
              <w:rPr>
                <w:color w:val="000000"/>
              </w:rPr>
              <w:t>013</w:t>
            </w:r>
          </w:p>
        </w:tc>
      </w:tr>
      <w:tr w:rsidR="006536F1" w:rsidRPr="006536F1" w14:paraId="6DE270AC" w14:textId="77777777" w:rsidTr="008B2763">
        <w:trPr>
          <w:cantSplit/>
        </w:trPr>
        <w:tc>
          <w:tcPr>
            <w:tcW w:w="1725" w:type="dxa"/>
            <w:vMerge/>
            <w:tcBorders>
              <w:left w:val="single" w:sz="4" w:space="0" w:color="auto"/>
              <w:right w:val="single" w:sz="4" w:space="0" w:color="auto"/>
            </w:tcBorders>
            <w:vAlign w:val="center"/>
          </w:tcPr>
          <w:p w14:paraId="6942CF6D" w14:textId="77777777" w:rsidR="006536F1" w:rsidRPr="006536F1" w:rsidRDefault="006536F1" w:rsidP="00A612AA">
            <w:pPr>
              <w:suppressAutoHyphens/>
              <w:ind w:firstLine="0"/>
              <w:jc w:val="center"/>
              <w:rPr>
                <w:color w:val="000000"/>
              </w:rPr>
            </w:pP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31C6AC1" w14:textId="77777777" w:rsidR="006536F1" w:rsidRPr="006536F1" w:rsidRDefault="006536F1" w:rsidP="00A612AA">
            <w:pPr>
              <w:suppressAutoHyphens/>
              <w:ind w:firstLine="0"/>
              <w:jc w:val="center"/>
              <w:rPr>
                <w:color w:val="000000"/>
              </w:rPr>
            </w:pPr>
            <w:r w:rsidRPr="006536F1">
              <w:rPr>
                <w:color w:val="000000"/>
              </w:rPr>
              <w:t>14:36:105</w:t>
            </w:r>
          </w:p>
        </w:tc>
        <w:tc>
          <w:tcPr>
            <w:tcW w:w="609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384601" w14:textId="77777777" w:rsidR="006536F1" w:rsidRPr="006536F1" w:rsidRDefault="006536F1" w:rsidP="00A612AA">
            <w:pPr>
              <w:spacing w:after="160"/>
              <w:ind w:firstLine="0"/>
              <w:jc w:val="center"/>
              <w:rPr>
                <w:color w:val="000000"/>
              </w:rPr>
            </w:pPr>
            <w:r w:rsidRPr="006536F1">
              <w:rPr>
                <w:color w:val="000000"/>
              </w:rPr>
              <w:t xml:space="preserve">001;002;003;004;005;006;007;008;009;010;012;014;015;016; 020;023;030;030;036;039;043;045;046; 049;052; 053 </w:t>
            </w:r>
          </w:p>
        </w:tc>
      </w:tr>
      <w:tr w:rsidR="006536F1" w:rsidRPr="006536F1" w14:paraId="7A096037" w14:textId="77777777" w:rsidTr="008B2763">
        <w:trPr>
          <w:cantSplit/>
        </w:trPr>
        <w:tc>
          <w:tcPr>
            <w:tcW w:w="1725" w:type="dxa"/>
            <w:vMerge/>
            <w:tcBorders>
              <w:left w:val="single" w:sz="4" w:space="0" w:color="auto"/>
              <w:right w:val="single" w:sz="4" w:space="0" w:color="auto"/>
            </w:tcBorders>
            <w:vAlign w:val="center"/>
          </w:tcPr>
          <w:p w14:paraId="23096E4C" w14:textId="77777777" w:rsidR="006536F1" w:rsidRPr="006536F1" w:rsidRDefault="006536F1" w:rsidP="00A612AA">
            <w:pPr>
              <w:suppressAutoHyphens/>
              <w:ind w:firstLine="0"/>
              <w:jc w:val="center"/>
              <w:rPr>
                <w:color w:val="000000"/>
              </w:rPr>
            </w:pP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BD91E2B" w14:textId="77777777" w:rsidR="006536F1" w:rsidRPr="006536F1" w:rsidRDefault="006536F1" w:rsidP="00A612AA">
            <w:pPr>
              <w:suppressAutoHyphens/>
              <w:ind w:firstLine="0"/>
              <w:jc w:val="center"/>
              <w:rPr>
                <w:color w:val="000000"/>
              </w:rPr>
            </w:pPr>
            <w:r w:rsidRPr="006536F1">
              <w:rPr>
                <w:color w:val="000000"/>
              </w:rPr>
              <w:t>14:36:106</w:t>
            </w:r>
          </w:p>
        </w:tc>
        <w:tc>
          <w:tcPr>
            <w:tcW w:w="609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367392E" w14:textId="77777777" w:rsidR="006536F1" w:rsidRPr="006536F1" w:rsidRDefault="006536F1" w:rsidP="00A612AA">
            <w:pPr>
              <w:spacing w:after="160"/>
              <w:ind w:firstLine="0"/>
              <w:jc w:val="center"/>
              <w:rPr>
                <w:color w:val="000000"/>
              </w:rPr>
            </w:pPr>
            <w:r w:rsidRPr="006536F1">
              <w:rPr>
                <w:color w:val="000000"/>
              </w:rPr>
              <w:t>010; 011; 017; 022; 023; 025; 046</w:t>
            </w:r>
          </w:p>
        </w:tc>
      </w:tr>
      <w:tr w:rsidR="006536F1" w:rsidRPr="006536F1" w14:paraId="519052C2" w14:textId="77777777" w:rsidTr="008B2763">
        <w:trPr>
          <w:cantSplit/>
        </w:trPr>
        <w:tc>
          <w:tcPr>
            <w:tcW w:w="1725" w:type="dxa"/>
            <w:vMerge/>
            <w:tcBorders>
              <w:left w:val="single" w:sz="4" w:space="0" w:color="auto"/>
              <w:bottom w:val="single" w:sz="4" w:space="0" w:color="auto"/>
              <w:right w:val="single" w:sz="4" w:space="0" w:color="auto"/>
            </w:tcBorders>
            <w:vAlign w:val="center"/>
          </w:tcPr>
          <w:p w14:paraId="54BD1B42" w14:textId="77777777" w:rsidR="006536F1" w:rsidRPr="006536F1" w:rsidRDefault="006536F1" w:rsidP="00A612AA">
            <w:pPr>
              <w:suppressAutoHyphens/>
              <w:ind w:firstLine="0"/>
              <w:jc w:val="center"/>
              <w:rPr>
                <w:color w:val="000000"/>
              </w:rPr>
            </w:pP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5CBA7C9" w14:textId="77777777" w:rsidR="006536F1" w:rsidRPr="006536F1" w:rsidRDefault="006536F1" w:rsidP="00A612AA">
            <w:pPr>
              <w:suppressAutoHyphens/>
              <w:ind w:firstLine="0"/>
              <w:jc w:val="center"/>
              <w:rPr>
                <w:color w:val="000000"/>
              </w:rPr>
            </w:pPr>
            <w:r w:rsidRPr="006536F1">
              <w:rPr>
                <w:color w:val="000000"/>
              </w:rPr>
              <w:t>14:36:107</w:t>
            </w:r>
          </w:p>
        </w:tc>
        <w:tc>
          <w:tcPr>
            <w:tcW w:w="609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0F0D10B" w14:textId="77777777" w:rsidR="006536F1" w:rsidRPr="006536F1" w:rsidRDefault="006536F1" w:rsidP="00A612AA">
            <w:pPr>
              <w:spacing w:after="160"/>
              <w:ind w:firstLine="0"/>
              <w:jc w:val="center"/>
              <w:rPr>
                <w:color w:val="000000"/>
              </w:rPr>
            </w:pPr>
            <w:r w:rsidRPr="006536F1">
              <w:rPr>
                <w:color w:val="000000"/>
              </w:rPr>
              <w:t>001; 002; 003; 005; 006;007; 008; 009; 010; 011; 012; 013;014;015; 016; 020; 029; 035</w:t>
            </w:r>
          </w:p>
        </w:tc>
      </w:tr>
      <w:tr w:rsidR="006536F1" w:rsidRPr="006536F1" w14:paraId="66227EFF" w14:textId="77777777" w:rsidTr="008B2763">
        <w:trPr>
          <w:cantSplit/>
        </w:trPr>
        <w:tc>
          <w:tcPr>
            <w:tcW w:w="1725" w:type="dxa"/>
            <w:tcBorders>
              <w:top w:val="single" w:sz="4" w:space="0" w:color="auto"/>
              <w:left w:val="single" w:sz="4" w:space="0" w:color="auto"/>
              <w:bottom w:val="single" w:sz="4" w:space="0" w:color="auto"/>
              <w:right w:val="single" w:sz="4" w:space="0" w:color="auto"/>
            </w:tcBorders>
            <w:vAlign w:val="center"/>
          </w:tcPr>
          <w:p w14:paraId="28C3CC6C" w14:textId="77777777" w:rsidR="006536F1" w:rsidRPr="006536F1" w:rsidRDefault="006536F1" w:rsidP="00A612AA">
            <w:pPr>
              <w:suppressAutoHyphens/>
              <w:ind w:firstLine="0"/>
              <w:jc w:val="center"/>
              <w:rPr>
                <w:color w:val="000000"/>
              </w:rPr>
            </w:pPr>
            <w:r w:rsidRPr="006536F1">
              <w:rPr>
                <w:color w:val="000000"/>
              </w:rPr>
              <w:t>3</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A860CF1" w14:textId="77777777" w:rsidR="006536F1" w:rsidRPr="006536F1" w:rsidRDefault="006536F1" w:rsidP="00A612AA">
            <w:pPr>
              <w:suppressAutoHyphens/>
              <w:ind w:firstLine="0"/>
              <w:jc w:val="center"/>
              <w:rPr>
                <w:color w:val="000000"/>
              </w:rPr>
            </w:pPr>
            <w:r w:rsidRPr="006536F1">
              <w:rPr>
                <w:color w:val="000000"/>
              </w:rPr>
              <w:t>14:36:</w:t>
            </w:r>
          </w:p>
        </w:tc>
        <w:tc>
          <w:tcPr>
            <w:tcW w:w="609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3AB8539" w14:textId="77777777" w:rsidR="006536F1" w:rsidRPr="006536F1" w:rsidRDefault="006536F1" w:rsidP="00A612AA">
            <w:pPr>
              <w:spacing w:after="160"/>
              <w:ind w:firstLine="0"/>
              <w:jc w:val="center"/>
              <w:rPr>
                <w:color w:val="000000"/>
              </w:rPr>
            </w:pPr>
            <w:r w:rsidRPr="006536F1">
              <w:rPr>
                <w:color w:val="000000"/>
              </w:rPr>
              <w:t>Все остальные не попавшие в 1 и 2 зону</w:t>
            </w:r>
          </w:p>
        </w:tc>
      </w:tr>
    </w:tbl>
    <w:p w14:paraId="3E545365" w14:textId="4FCCAFAD" w:rsidR="006536F1" w:rsidRPr="006536F1" w:rsidRDefault="006536F1" w:rsidP="006536F1">
      <w:pPr>
        <w:spacing w:before="120"/>
        <w:ind w:firstLine="851"/>
      </w:pPr>
      <w:r w:rsidRPr="00F660FF">
        <w:t>Графическая схема ценовых зон для помещений группы «Многоквартирные дома (дома средне- и многоэтажной жилой застройки)» представлена на рисунке</w:t>
      </w:r>
      <w:r w:rsidR="00F660FF" w:rsidRPr="00F660FF">
        <w:t xml:space="preserve"> 5</w:t>
      </w:r>
      <w:r w:rsidR="005A6F55">
        <w:t>5</w:t>
      </w:r>
      <w:r w:rsidRPr="00F660FF">
        <w:t>.</w:t>
      </w:r>
      <w:r w:rsidRPr="006536F1">
        <w:t xml:space="preserve"> Границы ценовых зон на данной схеме определяются изменением цветовой окраски, отвечающей каждому ценовому диапазону, как это отражено в пояснениях к диаграмме. Как видно на схеме оценочного зонирования, наиболее дорогие квартиры, относящиеся к 1 ценовой зоне, расположены на территориях, непосредственно примыкающих к центру города Якутск, а квартиры 3 ценовой зоны, обладающие наименьшей стоимостью — в наиболее отдаленных от центра. </w:t>
      </w:r>
    </w:p>
    <w:p w14:paraId="66948185" w14:textId="72260EAF" w:rsidR="006536F1" w:rsidRPr="00A612AA" w:rsidRDefault="006536F1" w:rsidP="006536F1">
      <w:r w:rsidRPr="006536F1">
        <w:rPr>
          <w:rFonts w:eastAsia="Calibri" w:cs="Times New Roman"/>
          <w:szCs w:val="24"/>
        </w:rPr>
        <w:t>Контроль результатов государственной кадастровой оценки по оценочному зонированию описано в Заключительной главе.</w:t>
      </w:r>
    </w:p>
    <w:p w14:paraId="534C977C" w14:textId="77777777" w:rsidR="00B73036" w:rsidRPr="00B73036" w:rsidRDefault="00B73036" w:rsidP="00B73036">
      <w:pPr>
        <w:suppressAutoHyphens/>
        <w:autoSpaceDN w:val="0"/>
        <w:spacing w:after="160" w:line="244" w:lineRule="auto"/>
        <w:ind w:firstLine="0"/>
        <w:jc w:val="left"/>
        <w:textAlignment w:val="baseline"/>
        <w:rPr>
          <w:rFonts w:ascii="Calibri" w:eastAsia="Calibri" w:hAnsi="Calibri" w:cs="Times New Roman"/>
          <w:sz w:val="22"/>
        </w:rPr>
      </w:pPr>
    </w:p>
    <w:p w14:paraId="31B162FD" w14:textId="47BAAE00" w:rsidR="00EE79A5" w:rsidRPr="0027086D" w:rsidRDefault="00EE79A5" w:rsidP="003C4C7D">
      <w:pPr>
        <w:pStyle w:val="10"/>
        <w:numPr>
          <w:ilvl w:val="1"/>
          <w:numId w:val="100"/>
        </w:numPr>
        <w:jc w:val="both"/>
      </w:pPr>
      <w:bookmarkStart w:id="69" w:name="_Toc14819110"/>
      <w:r w:rsidRPr="0027086D">
        <w:t>Обоснование подходов к сегментации объектов недвижимости, подлежащих государственной кадастровой оценке, в целях их группировки</w:t>
      </w:r>
      <w:bookmarkEnd w:id="69"/>
    </w:p>
    <w:p w14:paraId="4FEF5983" w14:textId="46A5672F" w:rsidR="00EC492E" w:rsidRPr="00824D31" w:rsidRDefault="00EC492E" w:rsidP="00EC492E">
      <w:r w:rsidRPr="00824D31">
        <w:t>Обоснование подходов к сегментации объектов недвижимости, подлежащих государственной кадастровой оценке, в целях их группировки</w:t>
      </w:r>
    </w:p>
    <w:p w14:paraId="2C49E8DB" w14:textId="77777777" w:rsidR="00EC492E" w:rsidRPr="00824D31" w:rsidRDefault="00EC492E" w:rsidP="00EC492E">
      <w:pPr>
        <w:rPr>
          <w:lang w:eastAsia="x-none"/>
        </w:rPr>
      </w:pPr>
    </w:p>
    <w:p w14:paraId="2A76F379" w14:textId="3C477113" w:rsidR="00EC492E" w:rsidRPr="00E07359" w:rsidRDefault="00EC492E" w:rsidP="00FD2769">
      <w:pPr>
        <w:pStyle w:val="3"/>
      </w:pPr>
      <w:bookmarkStart w:id="70" w:name="_Toc516588257"/>
      <w:r w:rsidRPr="00E07359">
        <w:t>Описание объектов оценки</w:t>
      </w:r>
      <w:bookmarkEnd w:id="70"/>
    </w:p>
    <w:p w14:paraId="044C5FDB" w14:textId="77777777" w:rsidR="00EC492E" w:rsidRPr="00824D31" w:rsidRDefault="00EC492E" w:rsidP="00EC492E">
      <w:r w:rsidRPr="00824D31">
        <w:t>В Перечне Объектов оценки, переданном Министерством имущественных и земельных отношений Республики Саха (Якутия) письмами от 28.02.2019 № 04/И-012-2008, от 20.03.2019 № 04/И-09-2737 содержится 700 866 объектов недвижимости (кроме земельных участков).</w:t>
      </w:r>
    </w:p>
    <w:p w14:paraId="0105FCCD" w14:textId="3BE8BFA1" w:rsidR="00EC492E" w:rsidRPr="00824D31" w:rsidRDefault="00EC492E" w:rsidP="00EC492E">
      <w:r w:rsidRPr="00824D31">
        <w:t xml:space="preserve">Исходный Перечень объектов недвижимости, подлежащих государственной кадастровой оценке, представлен в Приложении </w:t>
      </w:r>
      <w:r w:rsidR="001A32F9">
        <w:t>1.2</w:t>
      </w:r>
      <w:r w:rsidRPr="00824D31">
        <w:t xml:space="preserve">. </w:t>
      </w:r>
    </w:p>
    <w:p w14:paraId="5DBFE657" w14:textId="48ECA73B" w:rsidR="00EC492E" w:rsidRPr="00824D31" w:rsidRDefault="00EC492E" w:rsidP="00EC492E">
      <w:r w:rsidRPr="00824D31">
        <w:t>На основании приказа Министерства экономического развития РФ от 20 февраля 2017 г. N 74, между ГБУ РС(Я) «Центр государственной кадастровой оценки» и Управлением Федеральной службы государственной регистрации, кадастра и картографии по РС (Я) были подписаны Акты</w:t>
      </w:r>
      <w:r w:rsidR="0068615B">
        <w:t xml:space="preserve"> (Приложение 1.3.1.1)</w:t>
      </w:r>
      <w:r w:rsidRPr="00824D31">
        <w:t>, в соответствии с которыми из Перечня объектов недвижимости (кроме земельных участков) было исключено 30 298 объектов недвижимости с неполными характеристиками, необходимыми для проведения кадастровой оценки, в том числе:</w:t>
      </w:r>
    </w:p>
    <w:p w14:paraId="25F47558" w14:textId="77777777" w:rsidR="00EC492E" w:rsidRPr="00824D31" w:rsidRDefault="00EC492E" w:rsidP="00EC492E">
      <w:r w:rsidRPr="00824D31">
        <w:t>Здания – 18 311 объектов</w:t>
      </w:r>
    </w:p>
    <w:p w14:paraId="2E4678D4" w14:textId="77777777" w:rsidR="00EC492E" w:rsidRPr="00824D31" w:rsidRDefault="00EC492E" w:rsidP="00EC492E">
      <w:r w:rsidRPr="00824D31">
        <w:t>Сооружения -  11 987 объектов.</w:t>
      </w:r>
    </w:p>
    <w:p w14:paraId="609617E8" w14:textId="010D3832" w:rsidR="00EC492E" w:rsidRPr="00824D31" w:rsidRDefault="00EC492E" w:rsidP="00EC492E">
      <w:r w:rsidRPr="00824D31">
        <w:t>Сведения о количестве объектов недвижимости, подлежащих государственной кадастровой оценке, в разрезе видов объектов недвижимости представлены в сл</w:t>
      </w:r>
      <w:r w:rsidR="00FB6152">
        <w:t>едующей таблице.</w:t>
      </w:r>
    </w:p>
    <w:p w14:paraId="792016A4" w14:textId="77777777" w:rsidR="00EC492E" w:rsidRPr="00824D31" w:rsidRDefault="00EC492E" w:rsidP="00EC492E"/>
    <w:p w14:paraId="5F1178FA" w14:textId="7F72DEF6" w:rsidR="00EC492E" w:rsidRPr="00824D31" w:rsidRDefault="00EC492E" w:rsidP="00763AD2">
      <w:pPr>
        <w:pStyle w:val="afffffff0"/>
      </w:pPr>
      <w:r w:rsidRPr="00824D31">
        <w:t xml:space="preserve">Таблица </w:t>
      </w:r>
      <w:r w:rsidR="00A90944">
        <w:fldChar w:fldCharType="begin"/>
      </w:r>
      <w:r w:rsidR="00A90944">
        <w:instrText xml:space="preserve"> SEQ Таблица \* ARABIC </w:instrText>
      </w:r>
      <w:r w:rsidR="00A90944">
        <w:fldChar w:fldCharType="separate"/>
      </w:r>
      <w:r w:rsidR="00FD2769">
        <w:rPr>
          <w:noProof/>
        </w:rPr>
        <w:t>27</w:t>
      </w:r>
      <w:r w:rsidR="00A90944">
        <w:rPr>
          <w:noProof/>
        </w:rPr>
        <w:fldChar w:fldCharType="end"/>
      </w:r>
      <w:r w:rsidRPr="00824D31">
        <w:t xml:space="preserve"> Количество объектов недвижимости, подлежащих государственной кадастровой оценке</w:t>
      </w:r>
    </w:p>
    <w:tbl>
      <w:tblPr>
        <w:tblW w:w="96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979"/>
        <w:gridCol w:w="4261"/>
        <w:gridCol w:w="4394"/>
      </w:tblGrid>
      <w:tr w:rsidR="00EC492E" w:rsidRPr="00824D31" w14:paraId="1A5D53D8" w14:textId="77777777" w:rsidTr="00F660FF">
        <w:trPr>
          <w:trHeight w:val="20"/>
          <w:tblHeader/>
          <w:jc w:val="center"/>
        </w:trPr>
        <w:tc>
          <w:tcPr>
            <w:tcW w:w="979" w:type="dxa"/>
            <w:tcBorders>
              <w:top w:val="single" w:sz="4" w:space="0" w:color="auto"/>
              <w:left w:val="single" w:sz="4" w:space="0" w:color="auto"/>
              <w:bottom w:val="single" w:sz="4" w:space="0" w:color="auto"/>
              <w:right w:val="single" w:sz="4" w:space="0" w:color="auto"/>
            </w:tcBorders>
            <w:shd w:val="clear" w:color="auto" w:fill="BFBFBF"/>
            <w:tcMar>
              <w:top w:w="0" w:type="dxa"/>
              <w:left w:w="108" w:type="dxa"/>
              <w:bottom w:w="0" w:type="dxa"/>
              <w:right w:w="108" w:type="dxa"/>
            </w:tcMar>
            <w:vAlign w:val="center"/>
            <w:hideMark/>
          </w:tcPr>
          <w:p w14:paraId="3C5B0223" w14:textId="77777777" w:rsidR="00EC492E" w:rsidRPr="00824D31" w:rsidRDefault="00EC492E" w:rsidP="00F660FF">
            <w:pPr>
              <w:ind w:firstLine="0"/>
            </w:pPr>
            <w:r w:rsidRPr="00824D31">
              <w:t>№ п/п</w:t>
            </w:r>
          </w:p>
        </w:tc>
        <w:tc>
          <w:tcPr>
            <w:tcW w:w="4261" w:type="dxa"/>
            <w:tcBorders>
              <w:top w:val="single" w:sz="4" w:space="0" w:color="auto"/>
              <w:left w:val="single" w:sz="4" w:space="0" w:color="auto"/>
              <w:bottom w:val="single" w:sz="4" w:space="0" w:color="auto"/>
              <w:right w:val="single" w:sz="4" w:space="0" w:color="auto"/>
            </w:tcBorders>
            <w:shd w:val="clear" w:color="auto" w:fill="BFBFBF"/>
            <w:tcMar>
              <w:top w:w="0" w:type="dxa"/>
              <w:left w:w="108" w:type="dxa"/>
              <w:bottom w:w="0" w:type="dxa"/>
              <w:right w:w="108" w:type="dxa"/>
            </w:tcMar>
            <w:vAlign w:val="center"/>
            <w:hideMark/>
          </w:tcPr>
          <w:p w14:paraId="0A6DC119" w14:textId="77777777" w:rsidR="00EC492E" w:rsidRPr="00824D31" w:rsidRDefault="00EC492E" w:rsidP="00F660FF">
            <w:pPr>
              <w:ind w:firstLine="0"/>
            </w:pPr>
            <w:r w:rsidRPr="00824D31">
              <w:t>Вид объекта недвижимости</w:t>
            </w:r>
          </w:p>
        </w:tc>
        <w:tc>
          <w:tcPr>
            <w:tcW w:w="4394" w:type="dxa"/>
            <w:tcBorders>
              <w:top w:val="single" w:sz="4" w:space="0" w:color="auto"/>
              <w:left w:val="single" w:sz="4" w:space="0" w:color="auto"/>
              <w:bottom w:val="single" w:sz="4" w:space="0" w:color="auto"/>
              <w:right w:val="single" w:sz="4" w:space="0" w:color="auto"/>
            </w:tcBorders>
            <w:shd w:val="clear" w:color="auto" w:fill="BFBFBF"/>
            <w:tcMar>
              <w:top w:w="0" w:type="dxa"/>
              <w:left w:w="108" w:type="dxa"/>
              <w:bottom w:w="0" w:type="dxa"/>
              <w:right w:w="108" w:type="dxa"/>
            </w:tcMar>
            <w:vAlign w:val="center"/>
            <w:hideMark/>
          </w:tcPr>
          <w:p w14:paraId="2F95A164" w14:textId="5C283066" w:rsidR="00EC492E" w:rsidRPr="00824D31" w:rsidRDefault="00EC492E" w:rsidP="008B2763">
            <w:pPr>
              <w:ind w:firstLine="0"/>
              <w:jc w:val="center"/>
            </w:pPr>
            <w:r w:rsidRPr="00824D31">
              <w:t>Количество</w:t>
            </w:r>
          </w:p>
        </w:tc>
      </w:tr>
      <w:tr w:rsidR="00EC492E" w:rsidRPr="00824D31" w14:paraId="7183141F" w14:textId="77777777" w:rsidTr="00F660FF">
        <w:trPr>
          <w:trHeight w:val="20"/>
          <w:jc w:val="center"/>
        </w:trPr>
        <w:tc>
          <w:tcPr>
            <w:tcW w:w="979"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bottom"/>
            <w:hideMark/>
          </w:tcPr>
          <w:p w14:paraId="09664922" w14:textId="77777777" w:rsidR="00EC492E" w:rsidRPr="00824D31" w:rsidRDefault="00EC492E" w:rsidP="00F660FF">
            <w:pPr>
              <w:ind w:firstLine="0"/>
            </w:pPr>
            <w:r w:rsidRPr="00824D31">
              <w:t>1</w:t>
            </w:r>
          </w:p>
        </w:tc>
        <w:tc>
          <w:tcPr>
            <w:tcW w:w="4261"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bottom"/>
            <w:hideMark/>
          </w:tcPr>
          <w:p w14:paraId="341051A7" w14:textId="77777777" w:rsidR="00EC492E" w:rsidRPr="00824D31" w:rsidRDefault="00EC492E" w:rsidP="00F660FF">
            <w:pPr>
              <w:ind w:firstLine="0"/>
            </w:pPr>
            <w:r w:rsidRPr="00824D31">
              <w:t>Здание</w:t>
            </w:r>
          </w:p>
        </w:tc>
        <w:tc>
          <w:tcPr>
            <w:tcW w:w="4394"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bottom"/>
            <w:hideMark/>
          </w:tcPr>
          <w:p w14:paraId="71194543" w14:textId="77777777" w:rsidR="00EC492E" w:rsidRPr="00824D31" w:rsidRDefault="00EC492E" w:rsidP="001A32F9">
            <w:pPr>
              <w:ind w:firstLine="0"/>
              <w:jc w:val="center"/>
            </w:pPr>
            <w:r w:rsidRPr="00824D31">
              <w:t>263 747</w:t>
            </w:r>
          </w:p>
        </w:tc>
      </w:tr>
      <w:tr w:rsidR="00EC492E" w:rsidRPr="00824D31" w14:paraId="2965D88A" w14:textId="77777777" w:rsidTr="00F660FF">
        <w:trPr>
          <w:trHeight w:val="20"/>
          <w:jc w:val="center"/>
        </w:trPr>
        <w:tc>
          <w:tcPr>
            <w:tcW w:w="979"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bottom"/>
            <w:hideMark/>
          </w:tcPr>
          <w:p w14:paraId="4CA7E1F9" w14:textId="77777777" w:rsidR="00EC492E" w:rsidRPr="00824D31" w:rsidRDefault="00EC492E" w:rsidP="00F660FF">
            <w:pPr>
              <w:ind w:firstLine="0"/>
            </w:pPr>
            <w:r w:rsidRPr="00824D31">
              <w:t>2</w:t>
            </w:r>
          </w:p>
        </w:tc>
        <w:tc>
          <w:tcPr>
            <w:tcW w:w="4261"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bottom"/>
            <w:hideMark/>
          </w:tcPr>
          <w:p w14:paraId="5F94D8E9" w14:textId="77777777" w:rsidR="00EC492E" w:rsidRPr="00824D31" w:rsidRDefault="00EC492E" w:rsidP="00F660FF">
            <w:pPr>
              <w:ind w:firstLine="0"/>
            </w:pPr>
            <w:r w:rsidRPr="00824D31">
              <w:t>Помещение</w:t>
            </w:r>
          </w:p>
        </w:tc>
        <w:tc>
          <w:tcPr>
            <w:tcW w:w="4394"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bottom"/>
            <w:hideMark/>
          </w:tcPr>
          <w:p w14:paraId="6C52391C" w14:textId="77777777" w:rsidR="00EC492E" w:rsidRPr="00824D31" w:rsidRDefault="00EC492E" w:rsidP="001A32F9">
            <w:pPr>
              <w:ind w:firstLine="0"/>
              <w:jc w:val="center"/>
            </w:pPr>
            <w:r w:rsidRPr="00824D31">
              <w:t>371 516</w:t>
            </w:r>
          </w:p>
        </w:tc>
      </w:tr>
      <w:tr w:rsidR="00EC492E" w:rsidRPr="00824D31" w14:paraId="6B839136" w14:textId="77777777" w:rsidTr="00F660FF">
        <w:trPr>
          <w:trHeight w:val="20"/>
          <w:jc w:val="center"/>
        </w:trPr>
        <w:tc>
          <w:tcPr>
            <w:tcW w:w="979"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bottom"/>
            <w:hideMark/>
          </w:tcPr>
          <w:p w14:paraId="4330F93A" w14:textId="77777777" w:rsidR="00EC492E" w:rsidRPr="00824D31" w:rsidRDefault="00EC492E" w:rsidP="00F660FF">
            <w:pPr>
              <w:ind w:firstLine="0"/>
            </w:pPr>
            <w:r w:rsidRPr="00824D31">
              <w:t>3</w:t>
            </w:r>
          </w:p>
        </w:tc>
        <w:tc>
          <w:tcPr>
            <w:tcW w:w="4261"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bottom"/>
            <w:hideMark/>
          </w:tcPr>
          <w:p w14:paraId="48D610C5" w14:textId="77777777" w:rsidR="00EC492E" w:rsidRPr="00824D31" w:rsidRDefault="00EC492E" w:rsidP="00F660FF">
            <w:pPr>
              <w:ind w:firstLine="0"/>
            </w:pPr>
            <w:r w:rsidRPr="00824D31">
              <w:t>Объект незавершенного строительства</w:t>
            </w:r>
          </w:p>
        </w:tc>
        <w:tc>
          <w:tcPr>
            <w:tcW w:w="4394"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bottom"/>
            <w:hideMark/>
          </w:tcPr>
          <w:p w14:paraId="574E2238" w14:textId="77777777" w:rsidR="00EC492E" w:rsidRPr="00824D31" w:rsidRDefault="00EC492E" w:rsidP="001A32F9">
            <w:pPr>
              <w:ind w:firstLine="0"/>
              <w:jc w:val="center"/>
            </w:pPr>
            <w:r w:rsidRPr="00824D31">
              <w:t>5 908</w:t>
            </w:r>
          </w:p>
        </w:tc>
      </w:tr>
      <w:tr w:rsidR="00EC492E" w:rsidRPr="00824D31" w14:paraId="6436A2A4" w14:textId="77777777" w:rsidTr="00F660FF">
        <w:trPr>
          <w:trHeight w:val="20"/>
          <w:jc w:val="center"/>
        </w:trPr>
        <w:tc>
          <w:tcPr>
            <w:tcW w:w="979"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bottom"/>
            <w:hideMark/>
          </w:tcPr>
          <w:p w14:paraId="3166C0C6" w14:textId="77777777" w:rsidR="00EC492E" w:rsidRPr="00824D31" w:rsidRDefault="00EC492E" w:rsidP="00F660FF">
            <w:pPr>
              <w:ind w:firstLine="0"/>
            </w:pPr>
            <w:r w:rsidRPr="00824D31">
              <w:t>4</w:t>
            </w:r>
          </w:p>
        </w:tc>
        <w:tc>
          <w:tcPr>
            <w:tcW w:w="4261"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bottom"/>
            <w:hideMark/>
          </w:tcPr>
          <w:p w14:paraId="4DFE4505" w14:textId="77777777" w:rsidR="00EC492E" w:rsidRPr="00824D31" w:rsidRDefault="00EC492E" w:rsidP="00F660FF">
            <w:pPr>
              <w:ind w:firstLine="0"/>
            </w:pPr>
            <w:r w:rsidRPr="00824D31">
              <w:t>Машино-место</w:t>
            </w:r>
          </w:p>
        </w:tc>
        <w:tc>
          <w:tcPr>
            <w:tcW w:w="4394"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bottom"/>
            <w:hideMark/>
          </w:tcPr>
          <w:p w14:paraId="2EAAA988" w14:textId="77777777" w:rsidR="00EC492E" w:rsidRPr="00824D31" w:rsidRDefault="00EC492E" w:rsidP="001A32F9">
            <w:pPr>
              <w:ind w:firstLine="0"/>
              <w:jc w:val="center"/>
            </w:pPr>
            <w:r w:rsidRPr="00824D31">
              <w:t>144</w:t>
            </w:r>
          </w:p>
        </w:tc>
      </w:tr>
      <w:tr w:rsidR="00EC492E" w:rsidRPr="00824D31" w14:paraId="4EE166F0" w14:textId="77777777" w:rsidTr="00F660FF">
        <w:trPr>
          <w:trHeight w:val="20"/>
          <w:jc w:val="center"/>
        </w:trPr>
        <w:tc>
          <w:tcPr>
            <w:tcW w:w="979"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bottom"/>
            <w:hideMark/>
          </w:tcPr>
          <w:p w14:paraId="1F0A5E6C" w14:textId="77777777" w:rsidR="00EC492E" w:rsidRPr="00824D31" w:rsidRDefault="00EC492E" w:rsidP="00F660FF">
            <w:pPr>
              <w:ind w:firstLine="0"/>
            </w:pPr>
            <w:r w:rsidRPr="00824D31">
              <w:t>5</w:t>
            </w:r>
          </w:p>
        </w:tc>
        <w:tc>
          <w:tcPr>
            <w:tcW w:w="4261"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bottom"/>
            <w:hideMark/>
          </w:tcPr>
          <w:p w14:paraId="6BD51DD6" w14:textId="77777777" w:rsidR="00EC492E" w:rsidRPr="00824D31" w:rsidRDefault="00EC492E" w:rsidP="00F660FF">
            <w:pPr>
              <w:ind w:firstLine="0"/>
            </w:pPr>
            <w:r w:rsidRPr="00824D31">
              <w:t>Сооружение</w:t>
            </w:r>
          </w:p>
        </w:tc>
        <w:tc>
          <w:tcPr>
            <w:tcW w:w="4394"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bottom"/>
            <w:hideMark/>
          </w:tcPr>
          <w:p w14:paraId="69E69B51" w14:textId="77777777" w:rsidR="00EC492E" w:rsidRPr="00824D31" w:rsidRDefault="00EC492E" w:rsidP="001A32F9">
            <w:pPr>
              <w:ind w:firstLine="0"/>
              <w:jc w:val="center"/>
            </w:pPr>
            <w:r w:rsidRPr="00824D31">
              <w:t>29 253</w:t>
            </w:r>
          </w:p>
        </w:tc>
      </w:tr>
      <w:tr w:rsidR="00EC492E" w:rsidRPr="00824D31" w14:paraId="6E1E6D93" w14:textId="77777777" w:rsidTr="00F660FF">
        <w:trPr>
          <w:trHeight w:val="20"/>
          <w:jc w:val="center"/>
        </w:trPr>
        <w:tc>
          <w:tcPr>
            <w:tcW w:w="979"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bottom"/>
          </w:tcPr>
          <w:p w14:paraId="3836F056" w14:textId="77777777" w:rsidR="00EC492E" w:rsidRPr="00824D31" w:rsidRDefault="00EC492E" w:rsidP="00F660FF">
            <w:pPr>
              <w:ind w:firstLine="0"/>
            </w:pPr>
          </w:p>
        </w:tc>
        <w:tc>
          <w:tcPr>
            <w:tcW w:w="4261"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bottom"/>
            <w:hideMark/>
          </w:tcPr>
          <w:p w14:paraId="2EAEE358" w14:textId="77777777" w:rsidR="00EC492E" w:rsidRPr="00824D31" w:rsidRDefault="00EC492E" w:rsidP="00F660FF">
            <w:pPr>
              <w:ind w:firstLine="0"/>
            </w:pPr>
            <w:r w:rsidRPr="00824D31">
              <w:t>ИТОГО</w:t>
            </w:r>
          </w:p>
        </w:tc>
        <w:tc>
          <w:tcPr>
            <w:tcW w:w="4394"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bottom"/>
            <w:hideMark/>
          </w:tcPr>
          <w:p w14:paraId="0654611E" w14:textId="77777777" w:rsidR="00EC492E" w:rsidRPr="00824D31" w:rsidRDefault="00EC492E" w:rsidP="001A32F9">
            <w:pPr>
              <w:ind w:firstLine="0"/>
              <w:jc w:val="center"/>
            </w:pPr>
            <w:r w:rsidRPr="00824D31">
              <w:t>670 568</w:t>
            </w:r>
          </w:p>
        </w:tc>
      </w:tr>
    </w:tbl>
    <w:p w14:paraId="205E8AA7" w14:textId="77777777" w:rsidR="00EC492E" w:rsidRPr="00824D31" w:rsidRDefault="00EC492E" w:rsidP="00EC492E"/>
    <w:p w14:paraId="65F9F205" w14:textId="77777777" w:rsidR="00EC492E" w:rsidRPr="00824D31" w:rsidRDefault="00EC492E" w:rsidP="00EC492E">
      <w:r w:rsidRPr="00824D31">
        <w:t>Сведения о количестве объектов недвижимости, подлежащих государственной кадастровой оценке, в разрезе муниципальных районов и городских округов Республики Саха (Якутия), представлены в таблице ниже.</w:t>
      </w:r>
    </w:p>
    <w:p w14:paraId="40C6A35A" w14:textId="77777777" w:rsidR="00EC492E" w:rsidRPr="00824D31" w:rsidRDefault="00EC492E" w:rsidP="00EC492E"/>
    <w:p w14:paraId="1F757F00" w14:textId="536AB601" w:rsidR="00EC492E" w:rsidRPr="00824D31" w:rsidRDefault="00EC492E" w:rsidP="00763AD2">
      <w:pPr>
        <w:pStyle w:val="afffffff0"/>
      </w:pPr>
      <w:r w:rsidRPr="00824D31">
        <w:t xml:space="preserve">Таблица </w:t>
      </w:r>
      <w:r w:rsidR="00A90944">
        <w:fldChar w:fldCharType="begin"/>
      </w:r>
      <w:r w:rsidR="00A90944">
        <w:instrText xml:space="preserve"> SEQ Таблица \* ARABIC </w:instrText>
      </w:r>
      <w:r w:rsidR="00A90944">
        <w:fldChar w:fldCharType="separate"/>
      </w:r>
      <w:r w:rsidR="00FD2769">
        <w:rPr>
          <w:noProof/>
        </w:rPr>
        <w:t>28</w:t>
      </w:r>
      <w:r w:rsidR="00A90944">
        <w:rPr>
          <w:noProof/>
        </w:rPr>
        <w:fldChar w:fldCharType="end"/>
      </w:r>
      <w:r w:rsidRPr="00824D31">
        <w:t xml:space="preserve"> Количество объектов недвижимости, подлежащих государственной кадастровой оценке в разрезе муниципальных образований</w:t>
      </w:r>
    </w:p>
    <w:tbl>
      <w:tblPr>
        <w:tblW w:w="9356" w:type="dxa"/>
        <w:tblInd w:w="-5" w:type="dxa"/>
        <w:shd w:val="clear" w:color="auto" w:fill="BFBFBF" w:themeFill="background1" w:themeFillShade="BF"/>
        <w:tblLook w:val="04A0" w:firstRow="1" w:lastRow="0" w:firstColumn="1" w:lastColumn="0" w:noHBand="0" w:noVBand="1"/>
      </w:tblPr>
      <w:tblGrid>
        <w:gridCol w:w="851"/>
        <w:gridCol w:w="2977"/>
        <w:gridCol w:w="3543"/>
        <w:gridCol w:w="1985"/>
      </w:tblGrid>
      <w:tr w:rsidR="00EC492E" w:rsidRPr="0068615B" w14:paraId="5E064EE0" w14:textId="77777777" w:rsidTr="008B2763">
        <w:trPr>
          <w:trHeight w:val="255"/>
          <w:tblHeader/>
        </w:trPr>
        <w:tc>
          <w:tcPr>
            <w:tcW w:w="851" w:type="dxa"/>
            <w:tcBorders>
              <w:top w:val="single" w:sz="4" w:space="0" w:color="auto"/>
              <w:left w:val="single" w:sz="4" w:space="0" w:color="auto"/>
              <w:bottom w:val="single" w:sz="4" w:space="0" w:color="auto"/>
              <w:right w:val="single" w:sz="4" w:space="0" w:color="auto"/>
            </w:tcBorders>
            <w:shd w:val="clear" w:color="auto" w:fill="BFBFBF" w:themeFill="background1" w:themeFillShade="BF"/>
            <w:noWrap/>
            <w:hideMark/>
          </w:tcPr>
          <w:p w14:paraId="7995EB87" w14:textId="77777777" w:rsidR="00EC492E" w:rsidRPr="0068615B" w:rsidRDefault="00EC492E" w:rsidP="0068615B">
            <w:pPr>
              <w:ind w:firstLine="0"/>
              <w:jc w:val="center"/>
              <w:rPr>
                <w:b/>
                <w:i/>
              </w:rPr>
            </w:pPr>
            <w:r w:rsidRPr="0068615B">
              <w:rPr>
                <w:b/>
                <w:i/>
              </w:rPr>
              <w:t>№ п/п</w:t>
            </w:r>
          </w:p>
        </w:tc>
        <w:tc>
          <w:tcPr>
            <w:tcW w:w="2977" w:type="dxa"/>
            <w:tcBorders>
              <w:top w:val="single" w:sz="4" w:space="0" w:color="auto"/>
              <w:left w:val="nil"/>
              <w:bottom w:val="single" w:sz="4" w:space="0" w:color="auto"/>
              <w:right w:val="single" w:sz="4" w:space="0" w:color="auto"/>
            </w:tcBorders>
            <w:shd w:val="clear" w:color="auto" w:fill="BFBFBF" w:themeFill="background1" w:themeFillShade="BF"/>
            <w:noWrap/>
            <w:hideMark/>
          </w:tcPr>
          <w:p w14:paraId="077993A8" w14:textId="76C80699" w:rsidR="00EC492E" w:rsidRPr="0068615B" w:rsidRDefault="00EC492E" w:rsidP="008B2763">
            <w:pPr>
              <w:ind w:firstLine="0"/>
              <w:jc w:val="center"/>
              <w:rPr>
                <w:b/>
                <w:i/>
              </w:rPr>
            </w:pPr>
            <w:r w:rsidRPr="0068615B">
              <w:rPr>
                <w:b/>
                <w:i/>
              </w:rPr>
              <w:t xml:space="preserve">Наименование </w:t>
            </w:r>
          </w:p>
        </w:tc>
        <w:tc>
          <w:tcPr>
            <w:tcW w:w="3543" w:type="dxa"/>
            <w:tcBorders>
              <w:top w:val="single" w:sz="4" w:space="0" w:color="auto"/>
              <w:left w:val="nil"/>
              <w:bottom w:val="single" w:sz="4" w:space="0" w:color="auto"/>
              <w:right w:val="single" w:sz="4" w:space="0" w:color="auto"/>
            </w:tcBorders>
            <w:shd w:val="clear" w:color="auto" w:fill="BFBFBF" w:themeFill="background1" w:themeFillShade="BF"/>
            <w:noWrap/>
            <w:hideMark/>
          </w:tcPr>
          <w:p w14:paraId="5E224003" w14:textId="40955297" w:rsidR="00EC492E" w:rsidRPr="0068615B" w:rsidRDefault="00EC492E" w:rsidP="008B2763">
            <w:pPr>
              <w:ind w:firstLine="0"/>
              <w:jc w:val="center"/>
              <w:rPr>
                <w:b/>
                <w:i/>
              </w:rPr>
            </w:pPr>
            <w:r w:rsidRPr="0068615B">
              <w:rPr>
                <w:b/>
                <w:i/>
              </w:rPr>
              <w:t xml:space="preserve">Количество </w:t>
            </w:r>
          </w:p>
        </w:tc>
        <w:tc>
          <w:tcPr>
            <w:tcW w:w="1985" w:type="dxa"/>
            <w:tcBorders>
              <w:top w:val="single" w:sz="4" w:space="0" w:color="auto"/>
              <w:left w:val="nil"/>
              <w:bottom w:val="single" w:sz="4" w:space="0" w:color="auto"/>
              <w:right w:val="single" w:sz="4" w:space="0" w:color="auto"/>
            </w:tcBorders>
            <w:shd w:val="clear" w:color="auto" w:fill="BFBFBF" w:themeFill="background1" w:themeFillShade="BF"/>
            <w:noWrap/>
            <w:hideMark/>
          </w:tcPr>
          <w:p w14:paraId="62FEA4D4" w14:textId="77777777" w:rsidR="00EC492E" w:rsidRPr="0068615B" w:rsidRDefault="00EC492E" w:rsidP="0068615B">
            <w:pPr>
              <w:ind w:firstLine="0"/>
              <w:jc w:val="center"/>
              <w:rPr>
                <w:b/>
                <w:i/>
              </w:rPr>
            </w:pPr>
            <w:r w:rsidRPr="0068615B">
              <w:rPr>
                <w:b/>
                <w:i/>
              </w:rPr>
              <w:t>Доля, %</w:t>
            </w:r>
          </w:p>
        </w:tc>
      </w:tr>
      <w:tr w:rsidR="003F6946" w:rsidRPr="00824D31" w14:paraId="67B19CC2" w14:textId="77777777" w:rsidTr="008B2763">
        <w:trPr>
          <w:trHeight w:val="255"/>
        </w:trPr>
        <w:tc>
          <w:tcPr>
            <w:tcW w:w="851" w:type="dxa"/>
            <w:tcBorders>
              <w:top w:val="nil"/>
              <w:left w:val="single" w:sz="4" w:space="0" w:color="auto"/>
              <w:bottom w:val="single" w:sz="4" w:space="0" w:color="auto"/>
              <w:right w:val="single" w:sz="4" w:space="0" w:color="auto"/>
            </w:tcBorders>
            <w:shd w:val="clear" w:color="auto" w:fill="auto"/>
            <w:noWrap/>
            <w:hideMark/>
          </w:tcPr>
          <w:p w14:paraId="330CDCDD" w14:textId="77777777" w:rsidR="003F6946" w:rsidRPr="00824D31" w:rsidRDefault="003F6946" w:rsidP="003F6946">
            <w:pPr>
              <w:ind w:firstLine="0"/>
            </w:pPr>
            <w:r w:rsidRPr="00824D31">
              <w:t>1</w:t>
            </w:r>
          </w:p>
        </w:tc>
        <w:tc>
          <w:tcPr>
            <w:tcW w:w="2977" w:type="dxa"/>
            <w:tcBorders>
              <w:top w:val="nil"/>
              <w:left w:val="nil"/>
              <w:bottom w:val="single" w:sz="4" w:space="0" w:color="auto"/>
              <w:right w:val="single" w:sz="4" w:space="0" w:color="auto"/>
            </w:tcBorders>
            <w:shd w:val="clear" w:color="auto" w:fill="auto"/>
            <w:noWrap/>
            <w:hideMark/>
          </w:tcPr>
          <w:p w14:paraId="0F81DCEF" w14:textId="77777777" w:rsidR="003F6946" w:rsidRPr="00824D31" w:rsidRDefault="003F6946" w:rsidP="003F6946">
            <w:pPr>
              <w:ind w:firstLine="0"/>
            </w:pPr>
            <w:r w:rsidRPr="00824D31">
              <w:t>Абыйский</w:t>
            </w:r>
          </w:p>
        </w:tc>
        <w:tc>
          <w:tcPr>
            <w:tcW w:w="3543" w:type="dxa"/>
            <w:tcBorders>
              <w:top w:val="nil"/>
              <w:left w:val="nil"/>
              <w:bottom w:val="single" w:sz="4" w:space="0" w:color="auto"/>
              <w:right w:val="single" w:sz="4" w:space="0" w:color="auto"/>
            </w:tcBorders>
            <w:shd w:val="clear" w:color="auto" w:fill="auto"/>
            <w:noWrap/>
            <w:vAlign w:val="bottom"/>
            <w:hideMark/>
          </w:tcPr>
          <w:p w14:paraId="04057DB7" w14:textId="1A0265C2" w:rsidR="003F6946" w:rsidRPr="003F6946" w:rsidRDefault="003F6946" w:rsidP="003F6946">
            <w:pPr>
              <w:ind w:firstLine="0"/>
              <w:jc w:val="center"/>
              <w:rPr>
                <w:szCs w:val="24"/>
              </w:rPr>
            </w:pPr>
            <w:r w:rsidRPr="003F6946">
              <w:rPr>
                <w:color w:val="000000"/>
                <w:szCs w:val="24"/>
              </w:rPr>
              <w:t>1911</w:t>
            </w:r>
          </w:p>
        </w:tc>
        <w:tc>
          <w:tcPr>
            <w:tcW w:w="1985" w:type="dxa"/>
            <w:tcBorders>
              <w:top w:val="nil"/>
              <w:left w:val="nil"/>
              <w:bottom w:val="single" w:sz="4" w:space="0" w:color="auto"/>
              <w:right w:val="single" w:sz="4" w:space="0" w:color="auto"/>
            </w:tcBorders>
            <w:shd w:val="clear" w:color="auto" w:fill="auto"/>
            <w:noWrap/>
            <w:vAlign w:val="bottom"/>
            <w:hideMark/>
          </w:tcPr>
          <w:p w14:paraId="61B4947E" w14:textId="38C0784C" w:rsidR="003F6946" w:rsidRPr="003F6946" w:rsidRDefault="003F6946" w:rsidP="003F6946">
            <w:pPr>
              <w:ind w:firstLine="0"/>
              <w:jc w:val="center"/>
              <w:rPr>
                <w:szCs w:val="24"/>
              </w:rPr>
            </w:pPr>
            <w:r w:rsidRPr="003F6946">
              <w:rPr>
                <w:color w:val="000000"/>
                <w:szCs w:val="24"/>
              </w:rPr>
              <w:t>0,28%</w:t>
            </w:r>
          </w:p>
        </w:tc>
      </w:tr>
      <w:tr w:rsidR="003F6946" w:rsidRPr="00824D31" w14:paraId="53800FF5" w14:textId="77777777" w:rsidTr="008B2763">
        <w:trPr>
          <w:trHeight w:val="255"/>
        </w:trPr>
        <w:tc>
          <w:tcPr>
            <w:tcW w:w="851" w:type="dxa"/>
            <w:tcBorders>
              <w:top w:val="nil"/>
              <w:left w:val="single" w:sz="4" w:space="0" w:color="auto"/>
              <w:bottom w:val="single" w:sz="4" w:space="0" w:color="auto"/>
              <w:right w:val="single" w:sz="4" w:space="0" w:color="auto"/>
            </w:tcBorders>
            <w:shd w:val="clear" w:color="auto" w:fill="auto"/>
            <w:noWrap/>
            <w:hideMark/>
          </w:tcPr>
          <w:p w14:paraId="23D7A967" w14:textId="77777777" w:rsidR="003F6946" w:rsidRPr="00824D31" w:rsidRDefault="003F6946" w:rsidP="003F6946">
            <w:pPr>
              <w:ind w:firstLine="0"/>
            </w:pPr>
            <w:r w:rsidRPr="00824D31">
              <w:t>2</w:t>
            </w:r>
          </w:p>
        </w:tc>
        <w:tc>
          <w:tcPr>
            <w:tcW w:w="2977" w:type="dxa"/>
            <w:tcBorders>
              <w:top w:val="nil"/>
              <w:left w:val="nil"/>
              <w:bottom w:val="single" w:sz="4" w:space="0" w:color="auto"/>
              <w:right w:val="single" w:sz="4" w:space="0" w:color="auto"/>
            </w:tcBorders>
            <w:shd w:val="clear" w:color="auto" w:fill="auto"/>
            <w:noWrap/>
            <w:hideMark/>
          </w:tcPr>
          <w:p w14:paraId="238A8F9D" w14:textId="77777777" w:rsidR="003F6946" w:rsidRPr="00824D31" w:rsidRDefault="003F6946" w:rsidP="003F6946">
            <w:pPr>
              <w:ind w:firstLine="0"/>
            </w:pPr>
            <w:r w:rsidRPr="00824D31">
              <w:t>Алданский</w:t>
            </w:r>
          </w:p>
        </w:tc>
        <w:tc>
          <w:tcPr>
            <w:tcW w:w="3543" w:type="dxa"/>
            <w:tcBorders>
              <w:top w:val="nil"/>
              <w:left w:val="nil"/>
              <w:bottom w:val="single" w:sz="4" w:space="0" w:color="auto"/>
              <w:right w:val="single" w:sz="4" w:space="0" w:color="auto"/>
            </w:tcBorders>
            <w:shd w:val="clear" w:color="auto" w:fill="auto"/>
            <w:noWrap/>
            <w:vAlign w:val="bottom"/>
            <w:hideMark/>
          </w:tcPr>
          <w:p w14:paraId="15B4408C" w14:textId="37D39AF0" w:rsidR="003F6946" w:rsidRPr="003F6946" w:rsidRDefault="003F6946" w:rsidP="003F6946">
            <w:pPr>
              <w:ind w:firstLine="0"/>
              <w:jc w:val="center"/>
              <w:rPr>
                <w:szCs w:val="24"/>
              </w:rPr>
            </w:pPr>
            <w:r w:rsidRPr="003F6946">
              <w:rPr>
                <w:color w:val="000000"/>
                <w:szCs w:val="24"/>
              </w:rPr>
              <w:t>36129</w:t>
            </w:r>
          </w:p>
        </w:tc>
        <w:tc>
          <w:tcPr>
            <w:tcW w:w="1985" w:type="dxa"/>
            <w:tcBorders>
              <w:top w:val="nil"/>
              <w:left w:val="nil"/>
              <w:bottom w:val="single" w:sz="4" w:space="0" w:color="auto"/>
              <w:right w:val="single" w:sz="4" w:space="0" w:color="auto"/>
            </w:tcBorders>
            <w:shd w:val="clear" w:color="auto" w:fill="auto"/>
            <w:noWrap/>
            <w:vAlign w:val="bottom"/>
            <w:hideMark/>
          </w:tcPr>
          <w:p w14:paraId="3F1CEB6A" w14:textId="2E4F7919" w:rsidR="003F6946" w:rsidRPr="003F6946" w:rsidRDefault="003F6946" w:rsidP="003F6946">
            <w:pPr>
              <w:ind w:firstLine="0"/>
              <w:jc w:val="center"/>
              <w:rPr>
                <w:szCs w:val="24"/>
              </w:rPr>
            </w:pPr>
            <w:r w:rsidRPr="003F6946">
              <w:rPr>
                <w:color w:val="000000"/>
                <w:szCs w:val="24"/>
              </w:rPr>
              <w:t>5,39%</w:t>
            </w:r>
          </w:p>
        </w:tc>
      </w:tr>
      <w:tr w:rsidR="003F6946" w:rsidRPr="00824D31" w14:paraId="60175282" w14:textId="77777777" w:rsidTr="008B2763">
        <w:trPr>
          <w:trHeight w:val="255"/>
        </w:trPr>
        <w:tc>
          <w:tcPr>
            <w:tcW w:w="851" w:type="dxa"/>
            <w:tcBorders>
              <w:top w:val="nil"/>
              <w:left w:val="single" w:sz="4" w:space="0" w:color="auto"/>
              <w:bottom w:val="single" w:sz="4" w:space="0" w:color="auto"/>
              <w:right w:val="single" w:sz="4" w:space="0" w:color="auto"/>
            </w:tcBorders>
            <w:shd w:val="clear" w:color="auto" w:fill="auto"/>
            <w:noWrap/>
            <w:hideMark/>
          </w:tcPr>
          <w:p w14:paraId="72F10AA9" w14:textId="77777777" w:rsidR="003F6946" w:rsidRPr="00824D31" w:rsidRDefault="003F6946" w:rsidP="003F6946">
            <w:pPr>
              <w:ind w:firstLine="0"/>
            </w:pPr>
            <w:r w:rsidRPr="00824D31">
              <w:t>3</w:t>
            </w:r>
          </w:p>
        </w:tc>
        <w:tc>
          <w:tcPr>
            <w:tcW w:w="2977" w:type="dxa"/>
            <w:tcBorders>
              <w:top w:val="nil"/>
              <w:left w:val="nil"/>
              <w:bottom w:val="single" w:sz="4" w:space="0" w:color="auto"/>
              <w:right w:val="single" w:sz="4" w:space="0" w:color="auto"/>
            </w:tcBorders>
            <w:shd w:val="clear" w:color="auto" w:fill="auto"/>
            <w:noWrap/>
            <w:hideMark/>
          </w:tcPr>
          <w:p w14:paraId="2432DB60" w14:textId="77777777" w:rsidR="003F6946" w:rsidRPr="00824D31" w:rsidRDefault="003F6946" w:rsidP="003F6946">
            <w:pPr>
              <w:ind w:firstLine="0"/>
            </w:pPr>
            <w:r w:rsidRPr="00824D31">
              <w:t>Аллаиховский</w:t>
            </w:r>
          </w:p>
        </w:tc>
        <w:tc>
          <w:tcPr>
            <w:tcW w:w="3543" w:type="dxa"/>
            <w:tcBorders>
              <w:top w:val="nil"/>
              <w:left w:val="nil"/>
              <w:bottom w:val="single" w:sz="4" w:space="0" w:color="auto"/>
              <w:right w:val="single" w:sz="4" w:space="0" w:color="auto"/>
            </w:tcBorders>
            <w:shd w:val="clear" w:color="auto" w:fill="auto"/>
            <w:noWrap/>
            <w:vAlign w:val="bottom"/>
            <w:hideMark/>
          </w:tcPr>
          <w:p w14:paraId="4E16AD98" w14:textId="31F91CA8" w:rsidR="003F6946" w:rsidRPr="003F6946" w:rsidRDefault="003F6946" w:rsidP="003F6946">
            <w:pPr>
              <w:ind w:firstLine="0"/>
              <w:jc w:val="center"/>
              <w:rPr>
                <w:szCs w:val="24"/>
              </w:rPr>
            </w:pPr>
            <w:r w:rsidRPr="003F6946">
              <w:rPr>
                <w:color w:val="000000"/>
                <w:szCs w:val="24"/>
              </w:rPr>
              <w:t>1192</w:t>
            </w:r>
          </w:p>
        </w:tc>
        <w:tc>
          <w:tcPr>
            <w:tcW w:w="1985" w:type="dxa"/>
            <w:tcBorders>
              <w:top w:val="nil"/>
              <w:left w:val="nil"/>
              <w:bottom w:val="single" w:sz="4" w:space="0" w:color="auto"/>
              <w:right w:val="single" w:sz="4" w:space="0" w:color="auto"/>
            </w:tcBorders>
            <w:shd w:val="clear" w:color="auto" w:fill="auto"/>
            <w:noWrap/>
            <w:vAlign w:val="bottom"/>
            <w:hideMark/>
          </w:tcPr>
          <w:p w14:paraId="570E7124" w14:textId="239ECF4B" w:rsidR="003F6946" w:rsidRPr="003F6946" w:rsidRDefault="003F6946" w:rsidP="003F6946">
            <w:pPr>
              <w:ind w:firstLine="0"/>
              <w:jc w:val="center"/>
              <w:rPr>
                <w:szCs w:val="24"/>
              </w:rPr>
            </w:pPr>
            <w:r w:rsidRPr="003F6946">
              <w:rPr>
                <w:color w:val="000000"/>
                <w:szCs w:val="24"/>
              </w:rPr>
              <w:t>0,18%</w:t>
            </w:r>
          </w:p>
        </w:tc>
      </w:tr>
      <w:tr w:rsidR="003F6946" w:rsidRPr="00824D31" w14:paraId="04D53B3A" w14:textId="77777777" w:rsidTr="008B2763">
        <w:trPr>
          <w:trHeight w:val="255"/>
        </w:trPr>
        <w:tc>
          <w:tcPr>
            <w:tcW w:w="851" w:type="dxa"/>
            <w:tcBorders>
              <w:top w:val="nil"/>
              <w:left w:val="single" w:sz="4" w:space="0" w:color="auto"/>
              <w:bottom w:val="single" w:sz="4" w:space="0" w:color="auto"/>
              <w:right w:val="single" w:sz="4" w:space="0" w:color="auto"/>
            </w:tcBorders>
            <w:shd w:val="clear" w:color="auto" w:fill="auto"/>
            <w:noWrap/>
            <w:hideMark/>
          </w:tcPr>
          <w:p w14:paraId="79C53CA9" w14:textId="77777777" w:rsidR="003F6946" w:rsidRPr="00824D31" w:rsidRDefault="003F6946" w:rsidP="003F6946">
            <w:pPr>
              <w:ind w:firstLine="0"/>
            </w:pPr>
            <w:r w:rsidRPr="00824D31">
              <w:t>4</w:t>
            </w:r>
          </w:p>
        </w:tc>
        <w:tc>
          <w:tcPr>
            <w:tcW w:w="2977" w:type="dxa"/>
            <w:tcBorders>
              <w:top w:val="nil"/>
              <w:left w:val="nil"/>
              <w:bottom w:val="single" w:sz="4" w:space="0" w:color="auto"/>
              <w:right w:val="single" w:sz="4" w:space="0" w:color="auto"/>
            </w:tcBorders>
            <w:shd w:val="clear" w:color="auto" w:fill="auto"/>
            <w:noWrap/>
            <w:hideMark/>
          </w:tcPr>
          <w:p w14:paraId="1EB50DC4" w14:textId="77777777" w:rsidR="003F6946" w:rsidRPr="00824D31" w:rsidRDefault="003F6946" w:rsidP="003F6946">
            <w:pPr>
              <w:ind w:firstLine="0"/>
            </w:pPr>
            <w:r w:rsidRPr="00824D31">
              <w:t>Амгинский</w:t>
            </w:r>
          </w:p>
        </w:tc>
        <w:tc>
          <w:tcPr>
            <w:tcW w:w="3543" w:type="dxa"/>
            <w:tcBorders>
              <w:top w:val="nil"/>
              <w:left w:val="nil"/>
              <w:bottom w:val="single" w:sz="4" w:space="0" w:color="auto"/>
              <w:right w:val="single" w:sz="4" w:space="0" w:color="auto"/>
            </w:tcBorders>
            <w:shd w:val="clear" w:color="auto" w:fill="auto"/>
            <w:noWrap/>
            <w:vAlign w:val="bottom"/>
            <w:hideMark/>
          </w:tcPr>
          <w:p w14:paraId="22DDE11C" w14:textId="2C20124A" w:rsidR="003F6946" w:rsidRPr="003F6946" w:rsidRDefault="003F6946" w:rsidP="003F6946">
            <w:pPr>
              <w:ind w:firstLine="0"/>
              <w:jc w:val="center"/>
              <w:rPr>
                <w:szCs w:val="24"/>
              </w:rPr>
            </w:pPr>
            <w:r w:rsidRPr="003F6946">
              <w:rPr>
                <w:color w:val="000000"/>
                <w:szCs w:val="24"/>
              </w:rPr>
              <w:t>7984</w:t>
            </w:r>
          </w:p>
        </w:tc>
        <w:tc>
          <w:tcPr>
            <w:tcW w:w="1985" w:type="dxa"/>
            <w:tcBorders>
              <w:top w:val="nil"/>
              <w:left w:val="nil"/>
              <w:bottom w:val="single" w:sz="4" w:space="0" w:color="auto"/>
              <w:right w:val="single" w:sz="4" w:space="0" w:color="auto"/>
            </w:tcBorders>
            <w:shd w:val="clear" w:color="auto" w:fill="auto"/>
            <w:noWrap/>
            <w:vAlign w:val="bottom"/>
            <w:hideMark/>
          </w:tcPr>
          <w:p w14:paraId="3511BEE6" w14:textId="3DD3C0D5" w:rsidR="003F6946" w:rsidRPr="003F6946" w:rsidRDefault="003F6946" w:rsidP="003F6946">
            <w:pPr>
              <w:ind w:firstLine="0"/>
              <w:jc w:val="center"/>
              <w:rPr>
                <w:szCs w:val="24"/>
              </w:rPr>
            </w:pPr>
            <w:r w:rsidRPr="003F6946">
              <w:rPr>
                <w:color w:val="000000"/>
                <w:szCs w:val="24"/>
              </w:rPr>
              <w:t>1,19%</w:t>
            </w:r>
          </w:p>
        </w:tc>
      </w:tr>
      <w:tr w:rsidR="003F6946" w:rsidRPr="00824D31" w14:paraId="3BF23CFC" w14:textId="77777777" w:rsidTr="008B2763">
        <w:trPr>
          <w:trHeight w:val="255"/>
        </w:trPr>
        <w:tc>
          <w:tcPr>
            <w:tcW w:w="851" w:type="dxa"/>
            <w:tcBorders>
              <w:top w:val="nil"/>
              <w:left w:val="single" w:sz="4" w:space="0" w:color="auto"/>
              <w:bottom w:val="single" w:sz="4" w:space="0" w:color="auto"/>
              <w:right w:val="single" w:sz="4" w:space="0" w:color="auto"/>
            </w:tcBorders>
            <w:shd w:val="clear" w:color="auto" w:fill="auto"/>
            <w:noWrap/>
            <w:hideMark/>
          </w:tcPr>
          <w:p w14:paraId="034DBFFE" w14:textId="77777777" w:rsidR="003F6946" w:rsidRPr="00824D31" w:rsidRDefault="003F6946" w:rsidP="003F6946">
            <w:pPr>
              <w:ind w:firstLine="0"/>
            </w:pPr>
            <w:r w:rsidRPr="00824D31">
              <w:t>5</w:t>
            </w:r>
          </w:p>
        </w:tc>
        <w:tc>
          <w:tcPr>
            <w:tcW w:w="2977" w:type="dxa"/>
            <w:tcBorders>
              <w:top w:val="nil"/>
              <w:left w:val="nil"/>
              <w:bottom w:val="single" w:sz="4" w:space="0" w:color="auto"/>
              <w:right w:val="single" w:sz="4" w:space="0" w:color="auto"/>
            </w:tcBorders>
            <w:shd w:val="clear" w:color="auto" w:fill="auto"/>
            <w:noWrap/>
            <w:hideMark/>
          </w:tcPr>
          <w:p w14:paraId="58CB3549" w14:textId="77777777" w:rsidR="003F6946" w:rsidRPr="00824D31" w:rsidRDefault="003F6946" w:rsidP="003F6946">
            <w:pPr>
              <w:ind w:firstLine="0"/>
            </w:pPr>
            <w:r w:rsidRPr="00824D31">
              <w:t>Анабарский</w:t>
            </w:r>
          </w:p>
        </w:tc>
        <w:tc>
          <w:tcPr>
            <w:tcW w:w="3543" w:type="dxa"/>
            <w:tcBorders>
              <w:top w:val="nil"/>
              <w:left w:val="nil"/>
              <w:bottom w:val="single" w:sz="4" w:space="0" w:color="auto"/>
              <w:right w:val="single" w:sz="4" w:space="0" w:color="auto"/>
            </w:tcBorders>
            <w:shd w:val="clear" w:color="auto" w:fill="auto"/>
            <w:noWrap/>
            <w:vAlign w:val="bottom"/>
            <w:hideMark/>
          </w:tcPr>
          <w:p w14:paraId="06C80C57" w14:textId="3EBE10D8" w:rsidR="003F6946" w:rsidRPr="003F6946" w:rsidRDefault="003F6946" w:rsidP="003F6946">
            <w:pPr>
              <w:ind w:firstLine="0"/>
              <w:jc w:val="center"/>
              <w:rPr>
                <w:szCs w:val="24"/>
              </w:rPr>
            </w:pPr>
            <w:r w:rsidRPr="003F6946">
              <w:rPr>
                <w:color w:val="000000"/>
                <w:szCs w:val="24"/>
              </w:rPr>
              <w:t>1313</w:t>
            </w:r>
          </w:p>
        </w:tc>
        <w:tc>
          <w:tcPr>
            <w:tcW w:w="1985" w:type="dxa"/>
            <w:tcBorders>
              <w:top w:val="nil"/>
              <w:left w:val="nil"/>
              <w:bottom w:val="single" w:sz="4" w:space="0" w:color="auto"/>
              <w:right w:val="single" w:sz="4" w:space="0" w:color="auto"/>
            </w:tcBorders>
            <w:shd w:val="clear" w:color="auto" w:fill="auto"/>
            <w:noWrap/>
            <w:vAlign w:val="bottom"/>
            <w:hideMark/>
          </w:tcPr>
          <w:p w14:paraId="438E0F6A" w14:textId="36C68607" w:rsidR="003F6946" w:rsidRPr="003F6946" w:rsidRDefault="003F6946" w:rsidP="003F6946">
            <w:pPr>
              <w:ind w:firstLine="0"/>
              <w:jc w:val="center"/>
              <w:rPr>
                <w:szCs w:val="24"/>
              </w:rPr>
            </w:pPr>
            <w:r w:rsidRPr="003F6946">
              <w:rPr>
                <w:color w:val="000000"/>
                <w:szCs w:val="24"/>
              </w:rPr>
              <w:t>0,20%</w:t>
            </w:r>
          </w:p>
        </w:tc>
      </w:tr>
      <w:tr w:rsidR="003F6946" w:rsidRPr="00824D31" w14:paraId="7788B75E" w14:textId="77777777" w:rsidTr="008B2763">
        <w:trPr>
          <w:trHeight w:val="255"/>
        </w:trPr>
        <w:tc>
          <w:tcPr>
            <w:tcW w:w="851" w:type="dxa"/>
            <w:tcBorders>
              <w:top w:val="nil"/>
              <w:left w:val="single" w:sz="4" w:space="0" w:color="auto"/>
              <w:bottom w:val="single" w:sz="4" w:space="0" w:color="auto"/>
              <w:right w:val="single" w:sz="4" w:space="0" w:color="auto"/>
            </w:tcBorders>
            <w:shd w:val="clear" w:color="auto" w:fill="auto"/>
            <w:noWrap/>
            <w:hideMark/>
          </w:tcPr>
          <w:p w14:paraId="571A6377" w14:textId="77777777" w:rsidR="003F6946" w:rsidRPr="00824D31" w:rsidRDefault="003F6946" w:rsidP="003F6946">
            <w:pPr>
              <w:ind w:firstLine="0"/>
            </w:pPr>
            <w:r w:rsidRPr="00824D31">
              <w:t>6</w:t>
            </w:r>
          </w:p>
        </w:tc>
        <w:tc>
          <w:tcPr>
            <w:tcW w:w="2977" w:type="dxa"/>
            <w:tcBorders>
              <w:top w:val="nil"/>
              <w:left w:val="nil"/>
              <w:bottom w:val="single" w:sz="4" w:space="0" w:color="auto"/>
              <w:right w:val="single" w:sz="4" w:space="0" w:color="auto"/>
            </w:tcBorders>
            <w:shd w:val="clear" w:color="auto" w:fill="auto"/>
            <w:noWrap/>
            <w:hideMark/>
          </w:tcPr>
          <w:p w14:paraId="2A66B6DB" w14:textId="77777777" w:rsidR="003F6946" w:rsidRPr="00824D31" w:rsidRDefault="003F6946" w:rsidP="003F6946">
            <w:pPr>
              <w:ind w:firstLine="0"/>
            </w:pPr>
            <w:r w:rsidRPr="00824D31">
              <w:t>Булунский</w:t>
            </w:r>
          </w:p>
        </w:tc>
        <w:tc>
          <w:tcPr>
            <w:tcW w:w="3543" w:type="dxa"/>
            <w:tcBorders>
              <w:top w:val="nil"/>
              <w:left w:val="nil"/>
              <w:bottom w:val="single" w:sz="4" w:space="0" w:color="auto"/>
              <w:right w:val="single" w:sz="4" w:space="0" w:color="auto"/>
            </w:tcBorders>
            <w:shd w:val="clear" w:color="auto" w:fill="auto"/>
            <w:noWrap/>
            <w:vAlign w:val="bottom"/>
            <w:hideMark/>
          </w:tcPr>
          <w:p w14:paraId="4181B53E" w14:textId="089E2D5E" w:rsidR="003F6946" w:rsidRPr="003F6946" w:rsidRDefault="003F6946" w:rsidP="003F6946">
            <w:pPr>
              <w:ind w:firstLine="0"/>
              <w:jc w:val="center"/>
              <w:rPr>
                <w:szCs w:val="24"/>
              </w:rPr>
            </w:pPr>
            <w:r w:rsidRPr="003F6946">
              <w:rPr>
                <w:color w:val="000000"/>
                <w:szCs w:val="24"/>
              </w:rPr>
              <w:t>4155</w:t>
            </w:r>
          </w:p>
        </w:tc>
        <w:tc>
          <w:tcPr>
            <w:tcW w:w="1985" w:type="dxa"/>
            <w:tcBorders>
              <w:top w:val="nil"/>
              <w:left w:val="nil"/>
              <w:bottom w:val="single" w:sz="4" w:space="0" w:color="auto"/>
              <w:right w:val="single" w:sz="4" w:space="0" w:color="auto"/>
            </w:tcBorders>
            <w:shd w:val="clear" w:color="auto" w:fill="auto"/>
            <w:noWrap/>
            <w:vAlign w:val="bottom"/>
            <w:hideMark/>
          </w:tcPr>
          <w:p w14:paraId="2812E284" w14:textId="0DC992A9" w:rsidR="003F6946" w:rsidRPr="003F6946" w:rsidRDefault="003F6946" w:rsidP="003F6946">
            <w:pPr>
              <w:ind w:firstLine="0"/>
              <w:jc w:val="center"/>
              <w:rPr>
                <w:szCs w:val="24"/>
              </w:rPr>
            </w:pPr>
            <w:r w:rsidRPr="003F6946">
              <w:rPr>
                <w:color w:val="000000"/>
                <w:szCs w:val="24"/>
              </w:rPr>
              <w:t>0,62%</w:t>
            </w:r>
          </w:p>
        </w:tc>
      </w:tr>
      <w:tr w:rsidR="003F6946" w:rsidRPr="00824D31" w14:paraId="738FC8A8" w14:textId="77777777" w:rsidTr="008B2763">
        <w:trPr>
          <w:trHeight w:val="255"/>
        </w:trPr>
        <w:tc>
          <w:tcPr>
            <w:tcW w:w="851" w:type="dxa"/>
            <w:tcBorders>
              <w:top w:val="nil"/>
              <w:left w:val="single" w:sz="4" w:space="0" w:color="auto"/>
              <w:bottom w:val="single" w:sz="4" w:space="0" w:color="auto"/>
              <w:right w:val="single" w:sz="4" w:space="0" w:color="auto"/>
            </w:tcBorders>
            <w:shd w:val="clear" w:color="auto" w:fill="auto"/>
            <w:noWrap/>
            <w:hideMark/>
          </w:tcPr>
          <w:p w14:paraId="52EF940C" w14:textId="77777777" w:rsidR="003F6946" w:rsidRPr="00824D31" w:rsidRDefault="003F6946" w:rsidP="003F6946">
            <w:pPr>
              <w:ind w:firstLine="0"/>
            </w:pPr>
            <w:r w:rsidRPr="00824D31">
              <w:t>7</w:t>
            </w:r>
          </w:p>
        </w:tc>
        <w:tc>
          <w:tcPr>
            <w:tcW w:w="2977" w:type="dxa"/>
            <w:tcBorders>
              <w:top w:val="nil"/>
              <w:left w:val="nil"/>
              <w:bottom w:val="single" w:sz="4" w:space="0" w:color="auto"/>
              <w:right w:val="single" w:sz="4" w:space="0" w:color="auto"/>
            </w:tcBorders>
            <w:shd w:val="clear" w:color="auto" w:fill="auto"/>
            <w:noWrap/>
            <w:hideMark/>
          </w:tcPr>
          <w:p w14:paraId="4C0F76C9" w14:textId="77777777" w:rsidR="003F6946" w:rsidRPr="00824D31" w:rsidRDefault="003F6946" w:rsidP="003F6946">
            <w:pPr>
              <w:ind w:firstLine="0"/>
            </w:pPr>
            <w:r w:rsidRPr="00824D31">
              <w:t>Верхневилюйский</w:t>
            </w:r>
          </w:p>
        </w:tc>
        <w:tc>
          <w:tcPr>
            <w:tcW w:w="3543" w:type="dxa"/>
            <w:tcBorders>
              <w:top w:val="nil"/>
              <w:left w:val="nil"/>
              <w:bottom w:val="single" w:sz="4" w:space="0" w:color="auto"/>
              <w:right w:val="single" w:sz="4" w:space="0" w:color="auto"/>
            </w:tcBorders>
            <w:shd w:val="clear" w:color="auto" w:fill="auto"/>
            <w:noWrap/>
            <w:vAlign w:val="bottom"/>
            <w:hideMark/>
          </w:tcPr>
          <w:p w14:paraId="084CE27A" w14:textId="2F7446BC" w:rsidR="003F6946" w:rsidRPr="003F6946" w:rsidRDefault="003F6946" w:rsidP="003F6946">
            <w:pPr>
              <w:ind w:firstLine="0"/>
              <w:jc w:val="center"/>
              <w:rPr>
                <w:szCs w:val="24"/>
              </w:rPr>
            </w:pPr>
            <w:r w:rsidRPr="003F6946">
              <w:rPr>
                <w:color w:val="000000"/>
                <w:szCs w:val="24"/>
              </w:rPr>
              <w:t>11359</w:t>
            </w:r>
          </w:p>
        </w:tc>
        <w:tc>
          <w:tcPr>
            <w:tcW w:w="1985" w:type="dxa"/>
            <w:tcBorders>
              <w:top w:val="nil"/>
              <w:left w:val="nil"/>
              <w:bottom w:val="single" w:sz="4" w:space="0" w:color="auto"/>
              <w:right w:val="single" w:sz="4" w:space="0" w:color="auto"/>
            </w:tcBorders>
            <w:shd w:val="clear" w:color="auto" w:fill="auto"/>
            <w:noWrap/>
            <w:vAlign w:val="bottom"/>
            <w:hideMark/>
          </w:tcPr>
          <w:p w14:paraId="0899138D" w14:textId="641B3148" w:rsidR="003F6946" w:rsidRPr="003F6946" w:rsidRDefault="003F6946" w:rsidP="003F6946">
            <w:pPr>
              <w:ind w:firstLine="0"/>
              <w:jc w:val="center"/>
              <w:rPr>
                <w:szCs w:val="24"/>
              </w:rPr>
            </w:pPr>
            <w:r w:rsidRPr="003F6946">
              <w:rPr>
                <w:color w:val="000000"/>
                <w:szCs w:val="24"/>
              </w:rPr>
              <w:t>1,69%</w:t>
            </w:r>
          </w:p>
        </w:tc>
      </w:tr>
      <w:tr w:rsidR="003F6946" w:rsidRPr="00824D31" w14:paraId="4C9C1EA0" w14:textId="77777777" w:rsidTr="008B2763">
        <w:trPr>
          <w:trHeight w:val="255"/>
        </w:trPr>
        <w:tc>
          <w:tcPr>
            <w:tcW w:w="851" w:type="dxa"/>
            <w:tcBorders>
              <w:top w:val="nil"/>
              <w:left w:val="single" w:sz="4" w:space="0" w:color="auto"/>
              <w:bottom w:val="single" w:sz="4" w:space="0" w:color="auto"/>
              <w:right w:val="single" w:sz="4" w:space="0" w:color="auto"/>
            </w:tcBorders>
            <w:shd w:val="clear" w:color="auto" w:fill="auto"/>
            <w:noWrap/>
            <w:hideMark/>
          </w:tcPr>
          <w:p w14:paraId="6E11DD53" w14:textId="77777777" w:rsidR="003F6946" w:rsidRPr="00824D31" w:rsidRDefault="003F6946" w:rsidP="003F6946">
            <w:pPr>
              <w:ind w:firstLine="0"/>
            </w:pPr>
            <w:r w:rsidRPr="00824D31">
              <w:t>8</w:t>
            </w:r>
          </w:p>
        </w:tc>
        <w:tc>
          <w:tcPr>
            <w:tcW w:w="2977" w:type="dxa"/>
            <w:tcBorders>
              <w:top w:val="nil"/>
              <w:left w:val="nil"/>
              <w:bottom w:val="single" w:sz="4" w:space="0" w:color="auto"/>
              <w:right w:val="single" w:sz="4" w:space="0" w:color="auto"/>
            </w:tcBorders>
            <w:shd w:val="clear" w:color="auto" w:fill="auto"/>
            <w:noWrap/>
            <w:hideMark/>
          </w:tcPr>
          <w:p w14:paraId="3E64A294" w14:textId="77777777" w:rsidR="003F6946" w:rsidRPr="00824D31" w:rsidRDefault="003F6946" w:rsidP="003F6946">
            <w:pPr>
              <w:ind w:firstLine="0"/>
            </w:pPr>
            <w:r w:rsidRPr="00824D31">
              <w:t>Верхнеколымский</w:t>
            </w:r>
          </w:p>
        </w:tc>
        <w:tc>
          <w:tcPr>
            <w:tcW w:w="3543" w:type="dxa"/>
            <w:tcBorders>
              <w:top w:val="nil"/>
              <w:left w:val="nil"/>
              <w:bottom w:val="single" w:sz="4" w:space="0" w:color="auto"/>
              <w:right w:val="single" w:sz="4" w:space="0" w:color="auto"/>
            </w:tcBorders>
            <w:shd w:val="clear" w:color="auto" w:fill="auto"/>
            <w:noWrap/>
            <w:vAlign w:val="bottom"/>
            <w:hideMark/>
          </w:tcPr>
          <w:p w14:paraId="35BDD11F" w14:textId="32DD5D27" w:rsidR="003F6946" w:rsidRPr="003F6946" w:rsidRDefault="003F6946" w:rsidP="003F6946">
            <w:pPr>
              <w:ind w:firstLine="0"/>
              <w:jc w:val="center"/>
              <w:rPr>
                <w:szCs w:val="24"/>
              </w:rPr>
            </w:pPr>
            <w:r w:rsidRPr="003F6946">
              <w:rPr>
                <w:color w:val="000000"/>
                <w:szCs w:val="24"/>
              </w:rPr>
              <w:t>3632</w:t>
            </w:r>
          </w:p>
        </w:tc>
        <w:tc>
          <w:tcPr>
            <w:tcW w:w="1985" w:type="dxa"/>
            <w:tcBorders>
              <w:top w:val="nil"/>
              <w:left w:val="nil"/>
              <w:bottom w:val="single" w:sz="4" w:space="0" w:color="auto"/>
              <w:right w:val="single" w:sz="4" w:space="0" w:color="auto"/>
            </w:tcBorders>
            <w:shd w:val="clear" w:color="auto" w:fill="auto"/>
            <w:noWrap/>
            <w:vAlign w:val="bottom"/>
            <w:hideMark/>
          </w:tcPr>
          <w:p w14:paraId="4E0C656E" w14:textId="74738A29" w:rsidR="003F6946" w:rsidRPr="003F6946" w:rsidRDefault="003F6946" w:rsidP="003F6946">
            <w:pPr>
              <w:ind w:firstLine="0"/>
              <w:jc w:val="center"/>
              <w:rPr>
                <w:szCs w:val="24"/>
              </w:rPr>
            </w:pPr>
            <w:r w:rsidRPr="003F6946">
              <w:rPr>
                <w:color w:val="000000"/>
                <w:szCs w:val="24"/>
              </w:rPr>
              <w:t>0,54%</w:t>
            </w:r>
          </w:p>
        </w:tc>
      </w:tr>
      <w:tr w:rsidR="003F6946" w:rsidRPr="00824D31" w14:paraId="7A29E909" w14:textId="77777777" w:rsidTr="008B2763">
        <w:trPr>
          <w:trHeight w:val="255"/>
        </w:trPr>
        <w:tc>
          <w:tcPr>
            <w:tcW w:w="851" w:type="dxa"/>
            <w:tcBorders>
              <w:top w:val="nil"/>
              <w:left w:val="single" w:sz="4" w:space="0" w:color="auto"/>
              <w:bottom w:val="single" w:sz="4" w:space="0" w:color="auto"/>
              <w:right w:val="single" w:sz="4" w:space="0" w:color="auto"/>
            </w:tcBorders>
            <w:shd w:val="clear" w:color="auto" w:fill="auto"/>
            <w:noWrap/>
            <w:hideMark/>
          </w:tcPr>
          <w:p w14:paraId="1C4FCF05" w14:textId="77777777" w:rsidR="003F6946" w:rsidRPr="00824D31" w:rsidRDefault="003F6946" w:rsidP="003F6946">
            <w:pPr>
              <w:ind w:firstLine="0"/>
            </w:pPr>
            <w:r w:rsidRPr="00824D31">
              <w:t>9</w:t>
            </w:r>
          </w:p>
        </w:tc>
        <w:tc>
          <w:tcPr>
            <w:tcW w:w="2977" w:type="dxa"/>
            <w:tcBorders>
              <w:top w:val="nil"/>
              <w:left w:val="nil"/>
              <w:bottom w:val="single" w:sz="4" w:space="0" w:color="auto"/>
              <w:right w:val="single" w:sz="4" w:space="0" w:color="auto"/>
            </w:tcBorders>
            <w:shd w:val="clear" w:color="auto" w:fill="auto"/>
            <w:noWrap/>
            <w:hideMark/>
          </w:tcPr>
          <w:p w14:paraId="3CC5C610" w14:textId="77777777" w:rsidR="003F6946" w:rsidRPr="00824D31" w:rsidRDefault="003F6946" w:rsidP="003F6946">
            <w:pPr>
              <w:ind w:firstLine="0"/>
            </w:pPr>
            <w:r w:rsidRPr="00824D31">
              <w:t>Верхоянский</w:t>
            </w:r>
          </w:p>
        </w:tc>
        <w:tc>
          <w:tcPr>
            <w:tcW w:w="3543" w:type="dxa"/>
            <w:tcBorders>
              <w:top w:val="nil"/>
              <w:left w:val="nil"/>
              <w:bottom w:val="single" w:sz="4" w:space="0" w:color="auto"/>
              <w:right w:val="single" w:sz="4" w:space="0" w:color="auto"/>
            </w:tcBorders>
            <w:shd w:val="clear" w:color="auto" w:fill="auto"/>
            <w:noWrap/>
            <w:vAlign w:val="bottom"/>
            <w:hideMark/>
          </w:tcPr>
          <w:p w14:paraId="0A4C2616" w14:textId="7ACE93CF" w:rsidR="003F6946" w:rsidRPr="003F6946" w:rsidRDefault="003F6946" w:rsidP="003F6946">
            <w:pPr>
              <w:ind w:firstLine="0"/>
              <w:jc w:val="center"/>
              <w:rPr>
                <w:szCs w:val="24"/>
              </w:rPr>
            </w:pPr>
            <w:r w:rsidRPr="003F6946">
              <w:rPr>
                <w:color w:val="000000"/>
                <w:szCs w:val="24"/>
              </w:rPr>
              <w:t>7553</w:t>
            </w:r>
          </w:p>
        </w:tc>
        <w:tc>
          <w:tcPr>
            <w:tcW w:w="1985" w:type="dxa"/>
            <w:tcBorders>
              <w:top w:val="nil"/>
              <w:left w:val="nil"/>
              <w:bottom w:val="single" w:sz="4" w:space="0" w:color="auto"/>
              <w:right w:val="single" w:sz="4" w:space="0" w:color="auto"/>
            </w:tcBorders>
            <w:shd w:val="clear" w:color="auto" w:fill="auto"/>
            <w:noWrap/>
            <w:vAlign w:val="bottom"/>
            <w:hideMark/>
          </w:tcPr>
          <w:p w14:paraId="265DDE67" w14:textId="1BBEFD8E" w:rsidR="003F6946" w:rsidRPr="003F6946" w:rsidRDefault="003F6946" w:rsidP="003F6946">
            <w:pPr>
              <w:ind w:firstLine="0"/>
              <w:jc w:val="center"/>
              <w:rPr>
                <w:szCs w:val="24"/>
              </w:rPr>
            </w:pPr>
            <w:r w:rsidRPr="003F6946">
              <w:rPr>
                <w:color w:val="000000"/>
                <w:szCs w:val="24"/>
              </w:rPr>
              <w:t>1,13%</w:t>
            </w:r>
          </w:p>
        </w:tc>
      </w:tr>
      <w:tr w:rsidR="003F6946" w:rsidRPr="00824D31" w14:paraId="2CE38C13" w14:textId="77777777" w:rsidTr="008B2763">
        <w:trPr>
          <w:trHeight w:val="255"/>
        </w:trPr>
        <w:tc>
          <w:tcPr>
            <w:tcW w:w="851" w:type="dxa"/>
            <w:tcBorders>
              <w:top w:val="nil"/>
              <w:left w:val="single" w:sz="4" w:space="0" w:color="auto"/>
              <w:bottom w:val="single" w:sz="4" w:space="0" w:color="auto"/>
              <w:right w:val="single" w:sz="4" w:space="0" w:color="auto"/>
            </w:tcBorders>
            <w:shd w:val="clear" w:color="auto" w:fill="auto"/>
            <w:noWrap/>
            <w:hideMark/>
          </w:tcPr>
          <w:p w14:paraId="34DDF362" w14:textId="77777777" w:rsidR="003F6946" w:rsidRPr="00824D31" w:rsidRDefault="003F6946" w:rsidP="003F6946">
            <w:pPr>
              <w:ind w:firstLine="0"/>
            </w:pPr>
            <w:r w:rsidRPr="00824D31">
              <w:t>10</w:t>
            </w:r>
          </w:p>
        </w:tc>
        <w:tc>
          <w:tcPr>
            <w:tcW w:w="2977" w:type="dxa"/>
            <w:tcBorders>
              <w:top w:val="nil"/>
              <w:left w:val="nil"/>
              <w:bottom w:val="single" w:sz="4" w:space="0" w:color="auto"/>
              <w:right w:val="single" w:sz="4" w:space="0" w:color="auto"/>
            </w:tcBorders>
            <w:shd w:val="clear" w:color="auto" w:fill="auto"/>
            <w:noWrap/>
            <w:hideMark/>
          </w:tcPr>
          <w:p w14:paraId="41CECCD8" w14:textId="77777777" w:rsidR="003F6946" w:rsidRPr="00824D31" w:rsidRDefault="003F6946" w:rsidP="003F6946">
            <w:pPr>
              <w:ind w:firstLine="0"/>
            </w:pPr>
            <w:r w:rsidRPr="00824D31">
              <w:t>Вилюйский</w:t>
            </w:r>
          </w:p>
        </w:tc>
        <w:tc>
          <w:tcPr>
            <w:tcW w:w="3543" w:type="dxa"/>
            <w:tcBorders>
              <w:top w:val="nil"/>
              <w:left w:val="nil"/>
              <w:bottom w:val="single" w:sz="4" w:space="0" w:color="auto"/>
              <w:right w:val="single" w:sz="4" w:space="0" w:color="auto"/>
            </w:tcBorders>
            <w:shd w:val="clear" w:color="auto" w:fill="auto"/>
            <w:noWrap/>
            <w:vAlign w:val="bottom"/>
            <w:hideMark/>
          </w:tcPr>
          <w:p w14:paraId="359556EE" w14:textId="0E1F2EB9" w:rsidR="003F6946" w:rsidRPr="003F6946" w:rsidRDefault="003F6946" w:rsidP="003F6946">
            <w:pPr>
              <w:ind w:firstLine="0"/>
              <w:jc w:val="center"/>
              <w:rPr>
                <w:szCs w:val="24"/>
              </w:rPr>
            </w:pPr>
            <w:r w:rsidRPr="003F6946">
              <w:rPr>
                <w:color w:val="000000"/>
                <w:szCs w:val="24"/>
              </w:rPr>
              <w:t>17481</w:t>
            </w:r>
          </w:p>
        </w:tc>
        <w:tc>
          <w:tcPr>
            <w:tcW w:w="1985" w:type="dxa"/>
            <w:tcBorders>
              <w:top w:val="nil"/>
              <w:left w:val="nil"/>
              <w:bottom w:val="single" w:sz="4" w:space="0" w:color="auto"/>
              <w:right w:val="single" w:sz="4" w:space="0" w:color="auto"/>
            </w:tcBorders>
            <w:shd w:val="clear" w:color="auto" w:fill="auto"/>
            <w:noWrap/>
            <w:vAlign w:val="bottom"/>
            <w:hideMark/>
          </w:tcPr>
          <w:p w14:paraId="3D34C7D8" w14:textId="646F5AD7" w:rsidR="003F6946" w:rsidRPr="003F6946" w:rsidRDefault="003F6946" w:rsidP="003F6946">
            <w:pPr>
              <w:ind w:firstLine="0"/>
              <w:jc w:val="center"/>
              <w:rPr>
                <w:szCs w:val="24"/>
              </w:rPr>
            </w:pPr>
            <w:r w:rsidRPr="003F6946">
              <w:rPr>
                <w:color w:val="000000"/>
                <w:szCs w:val="24"/>
              </w:rPr>
              <w:t>2,61%</w:t>
            </w:r>
          </w:p>
        </w:tc>
      </w:tr>
      <w:tr w:rsidR="003F6946" w:rsidRPr="00824D31" w14:paraId="65DBFD10" w14:textId="77777777" w:rsidTr="008B2763">
        <w:trPr>
          <w:trHeight w:val="255"/>
        </w:trPr>
        <w:tc>
          <w:tcPr>
            <w:tcW w:w="851" w:type="dxa"/>
            <w:tcBorders>
              <w:top w:val="nil"/>
              <w:left w:val="single" w:sz="4" w:space="0" w:color="auto"/>
              <w:bottom w:val="single" w:sz="4" w:space="0" w:color="auto"/>
              <w:right w:val="single" w:sz="4" w:space="0" w:color="auto"/>
            </w:tcBorders>
            <w:shd w:val="clear" w:color="auto" w:fill="auto"/>
            <w:noWrap/>
            <w:hideMark/>
          </w:tcPr>
          <w:p w14:paraId="3081903E" w14:textId="77777777" w:rsidR="003F6946" w:rsidRPr="00824D31" w:rsidRDefault="003F6946" w:rsidP="003F6946">
            <w:pPr>
              <w:ind w:firstLine="0"/>
            </w:pPr>
            <w:r w:rsidRPr="00824D31">
              <w:t>11</w:t>
            </w:r>
          </w:p>
        </w:tc>
        <w:tc>
          <w:tcPr>
            <w:tcW w:w="2977" w:type="dxa"/>
            <w:tcBorders>
              <w:top w:val="nil"/>
              <w:left w:val="nil"/>
              <w:bottom w:val="single" w:sz="4" w:space="0" w:color="auto"/>
              <w:right w:val="single" w:sz="4" w:space="0" w:color="auto"/>
            </w:tcBorders>
            <w:shd w:val="clear" w:color="auto" w:fill="auto"/>
            <w:noWrap/>
            <w:hideMark/>
          </w:tcPr>
          <w:p w14:paraId="75875E1B" w14:textId="77777777" w:rsidR="003F6946" w:rsidRPr="00824D31" w:rsidRDefault="003F6946" w:rsidP="003F6946">
            <w:pPr>
              <w:ind w:firstLine="0"/>
            </w:pPr>
            <w:r w:rsidRPr="00824D31">
              <w:t>ГО Жатай</w:t>
            </w:r>
          </w:p>
        </w:tc>
        <w:tc>
          <w:tcPr>
            <w:tcW w:w="3543" w:type="dxa"/>
            <w:tcBorders>
              <w:top w:val="nil"/>
              <w:left w:val="nil"/>
              <w:bottom w:val="single" w:sz="4" w:space="0" w:color="auto"/>
              <w:right w:val="single" w:sz="4" w:space="0" w:color="auto"/>
            </w:tcBorders>
            <w:shd w:val="clear" w:color="auto" w:fill="auto"/>
            <w:noWrap/>
            <w:vAlign w:val="bottom"/>
            <w:hideMark/>
          </w:tcPr>
          <w:p w14:paraId="65322BDD" w14:textId="674B4F27" w:rsidR="003F6946" w:rsidRPr="003F6946" w:rsidRDefault="003F6946" w:rsidP="003F6946">
            <w:pPr>
              <w:ind w:firstLine="0"/>
              <w:jc w:val="center"/>
              <w:rPr>
                <w:szCs w:val="24"/>
              </w:rPr>
            </w:pPr>
            <w:r w:rsidRPr="003F6946">
              <w:rPr>
                <w:color w:val="000000"/>
                <w:szCs w:val="24"/>
              </w:rPr>
              <w:t>6881</w:t>
            </w:r>
          </w:p>
        </w:tc>
        <w:tc>
          <w:tcPr>
            <w:tcW w:w="1985" w:type="dxa"/>
            <w:tcBorders>
              <w:top w:val="nil"/>
              <w:left w:val="nil"/>
              <w:bottom w:val="single" w:sz="4" w:space="0" w:color="auto"/>
              <w:right w:val="single" w:sz="4" w:space="0" w:color="auto"/>
            </w:tcBorders>
            <w:shd w:val="clear" w:color="auto" w:fill="auto"/>
            <w:noWrap/>
            <w:vAlign w:val="bottom"/>
            <w:hideMark/>
          </w:tcPr>
          <w:p w14:paraId="50C9B971" w14:textId="6140EFA4" w:rsidR="003F6946" w:rsidRPr="003F6946" w:rsidRDefault="003F6946" w:rsidP="003F6946">
            <w:pPr>
              <w:ind w:firstLine="0"/>
              <w:jc w:val="center"/>
              <w:rPr>
                <w:szCs w:val="24"/>
              </w:rPr>
            </w:pPr>
            <w:r w:rsidRPr="003F6946">
              <w:rPr>
                <w:color w:val="000000"/>
                <w:szCs w:val="24"/>
              </w:rPr>
              <w:t>1,03%</w:t>
            </w:r>
          </w:p>
        </w:tc>
      </w:tr>
      <w:tr w:rsidR="003F6946" w:rsidRPr="00824D31" w14:paraId="110C911E" w14:textId="77777777" w:rsidTr="008B2763">
        <w:trPr>
          <w:trHeight w:val="255"/>
        </w:trPr>
        <w:tc>
          <w:tcPr>
            <w:tcW w:w="851" w:type="dxa"/>
            <w:tcBorders>
              <w:top w:val="nil"/>
              <w:left w:val="single" w:sz="4" w:space="0" w:color="auto"/>
              <w:bottom w:val="single" w:sz="4" w:space="0" w:color="auto"/>
              <w:right w:val="single" w:sz="4" w:space="0" w:color="auto"/>
            </w:tcBorders>
            <w:shd w:val="clear" w:color="auto" w:fill="auto"/>
            <w:noWrap/>
            <w:hideMark/>
          </w:tcPr>
          <w:p w14:paraId="438846EC" w14:textId="77777777" w:rsidR="003F6946" w:rsidRPr="00824D31" w:rsidRDefault="003F6946" w:rsidP="003F6946">
            <w:pPr>
              <w:ind w:firstLine="0"/>
            </w:pPr>
            <w:r w:rsidRPr="00824D31">
              <w:t>12</w:t>
            </w:r>
          </w:p>
        </w:tc>
        <w:tc>
          <w:tcPr>
            <w:tcW w:w="2977" w:type="dxa"/>
            <w:tcBorders>
              <w:top w:val="nil"/>
              <w:left w:val="nil"/>
              <w:bottom w:val="single" w:sz="4" w:space="0" w:color="auto"/>
              <w:right w:val="single" w:sz="4" w:space="0" w:color="auto"/>
            </w:tcBorders>
            <w:shd w:val="clear" w:color="auto" w:fill="auto"/>
            <w:noWrap/>
            <w:hideMark/>
          </w:tcPr>
          <w:p w14:paraId="5E15AC17" w14:textId="77777777" w:rsidR="003F6946" w:rsidRPr="00824D31" w:rsidRDefault="003F6946" w:rsidP="003F6946">
            <w:pPr>
              <w:ind w:firstLine="0"/>
            </w:pPr>
            <w:r w:rsidRPr="00824D31">
              <w:t>ГО Якутск</w:t>
            </w:r>
          </w:p>
        </w:tc>
        <w:tc>
          <w:tcPr>
            <w:tcW w:w="3543" w:type="dxa"/>
            <w:tcBorders>
              <w:top w:val="nil"/>
              <w:left w:val="nil"/>
              <w:bottom w:val="single" w:sz="4" w:space="0" w:color="auto"/>
              <w:right w:val="single" w:sz="4" w:space="0" w:color="auto"/>
            </w:tcBorders>
            <w:shd w:val="clear" w:color="auto" w:fill="auto"/>
            <w:noWrap/>
            <w:vAlign w:val="bottom"/>
            <w:hideMark/>
          </w:tcPr>
          <w:p w14:paraId="0077DED4" w14:textId="237D389B" w:rsidR="003F6946" w:rsidRPr="003F6946" w:rsidRDefault="003F6946" w:rsidP="003F6946">
            <w:pPr>
              <w:ind w:firstLine="0"/>
              <w:jc w:val="center"/>
              <w:rPr>
                <w:szCs w:val="24"/>
              </w:rPr>
            </w:pPr>
            <w:r w:rsidRPr="003F6946">
              <w:rPr>
                <w:color w:val="000000"/>
                <w:szCs w:val="24"/>
              </w:rPr>
              <w:t>246463</w:t>
            </w:r>
          </w:p>
        </w:tc>
        <w:tc>
          <w:tcPr>
            <w:tcW w:w="1985" w:type="dxa"/>
            <w:tcBorders>
              <w:top w:val="nil"/>
              <w:left w:val="nil"/>
              <w:bottom w:val="single" w:sz="4" w:space="0" w:color="auto"/>
              <w:right w:val="single" w:sz="4" w:space="0" w:color="auto"/>
            </w:tcBorders>
            <w:shd w:val="clear" w:color="auto" w:fill="auto"/>
            <w:noWrap/>
            <w:vAlign w:val="bottom"/>
            <w:hideMark/>
          </w:tcPr>
          <w:p w14:paraId="11AC10C8" w14:textId="6639C8BB" w:rsidR="003F6946" w:rsidRPr="003F6946" w:rsidRDefault="003F6946" w:rsidP="003F6946">
            <w:pPr>
              <w:ind w:firstLine="0"/>
              <w:jc w:val="center"/>
              <w:rPr>
                <w:szCs w:val="24"/>
              </w:rPr>
            </w:pPr>
            <w:r w:rsidRPr="003F6946">
              <w:rPr>
                <w:color w:val="000000"/>
                <w:szCs w:val="24"/>
              </w:rPr>
              <w:t>36,75%</w:t>
            </w:r>
          </w:p>
        </w:tc>
      </w:tr>
      <w:tr w:rsidR="003F6946" w:rsidRPr="00824D31" w14:paraId="7B78B97D" w14:textId="77777777" w:rsidTr="008B2763">
        <w:trPr>
          <w:trHeight w:val="255"/>
        </w:trPr>
        <w:tc>
          <w:tcPr>
            <w:tcW w:w="851" w:type="dxa"/>
            <w:tcBorders>
              <w:top w:val="nil"/>
              <w:left w:val="single" w:sz="4" w:space="0" w:color="auto"/>
              <w:bottom w:val="single" w:sz="4" w:space="0" w:color="auto"/>
              <w:right w:val="single" w:sz="4" w:space="0" w:color="auto"/>
            </w:tcBorders>
            <w:shd w:val="clear" w:color="auto" w:fill="auto"/>
            <w:noWrap/>
            <w:hideMark/>
          </w:tcPr>
          <w:p w14:paraId="2A27DD51" w14:textId="77777777" w:rsidR="003F6946" w:rsidRPr="00824D31" w:rsidRDefault="003F6946" w:rsidP="003F6946">
            <w:pPr>
              <w:ind w:firstLine="0"/>
            </w:pPr>
            <w:r w:rsidRPr="00824D31">
              <w:t>13</w:t>
            </w:r>
          </w:p>
        </w:tc>
        <w:tc>
          <w:tcPr>
            <w:tcW w:w="2977" w:type="dxa"/>
            <w:tcBorders>
              <w:top w:val="nil"/>
              <w:left w:val="nil"/>
              <w:bottom w:val="single" w:sz="4" w:space="0" w:color="auto"/>
              <w:right w:val="single" w:sz="4" w:space="0" w:color="auto"/>
            </w:tcBorders>
            <w:shd w:val="clear" w:color="auto" w:fill="auto"/>
            <w:noWrap/>
            <w:hideMark/>
          </w:tcPr>
          <w:p w14:paraId="56622B1A" w14:textId="77777777" w:rsidR="003F6946" w:rsidRPr="00824D31" w:rsidRDefault="003F6946" w:rsidP="003F6946">
            <w:pPr>
              <w:ind w:firstLine="0"/>
            </w:pPr>
            <w:r w:rsidRPr="00824D31">
              <w:t>Горный</w:t>
            </w:r>
          </w:p>
        </w:tc>
        <w:tc>
          <w:tcPr>
            <w:tcW w:w="3543" w:type="dxa"/>
            <w:tcBorders>
              <w:top w:val="nil"/>
              <w:left w:val="nil"/>
              <w:bottom w:val="single" w:sz="4" w:space="0" w:color="auto"/>
              <w:right w:val="single" w:sz="4" w:space="0" w:color="auto"/>
            </w:tcBorders>
            <w:shd w:val="clear" w:color="auto" w:fill="auto"/>
            <w:noWrap/>
            <w:vAlign w:val="bottom"/>
            <w:hideMark/>
          </w:tcPr>
          <w:p w14:paraId="0F1C6F42" w14:textId="2F9C17A9" w:rsidR="003F6946" w:rsidRPr="003F6946" w:rsidRDefault="003F6946" w:rsidP="003F6946">
            <w:pPr>
              <w:ind w:firstLine="0"/>
              <w:jc w:val="center"/>
              <w:rPr>
                <w:szCs w:val="24"/>
              </w:rPr>
            </w:pPr>
            <w:r w:rsidRPr="003F6946">
              <w:rPr>
                <w:color w:val="000000"/>
                <w:szCs w:val="24"/>
              </w:rPr>
              <w:t>5377</w:t>
            </w:r>
          </w:p>
        </w:tc>
        <w:tc>
          <w:tcPr>
            <w:tcW w:w="1985" w:type="dxa"/>
            <w:tcBorders>
              <w:top w:val="nil"/>
              <w:left w:val="nil"/>
              <w:bottom w:val="single" w:sz="4" w:space="0" w:color="auto"/>
              <w:right w:val="single" w:sz="4" w:space="0" w:color="auto"/>
            </w:tcBorders>
            <w:shd w:val="clear" w:color="auto" w:fill="auto"/>
            <w:noWrap/>
            <w:vAlign w:val="bottom"/>
            <w:hideMark/>
          </w:tcPr>
          <w:p w14:paraId="50E4FADC" w14:textId="69AF9D07" w:rsidR="003F6946" w:rsidRPr="003F6946" w:rsidRDefault="003F6946" w:rsidP="003F6946">
            <w:pPr>
              <w:ind w:firstLine="0"/>
              <w:jc w:val="center"/>
              <w:rPr>
                <w:szCs w:val="24"/>
              </w:rPr>
            </w:pPr>
            <w:r w:rsidRPr="003F6946">
              <w:rPr>
                <w:color w:val="000000"/>
                <w:szCs w:val="24"/>
              </w:rPr>
              <w:t>0,80%</w:t>
            </w:r>
          </w:p>
        </w:tc>
      </w:tr>
      <w:tr w:rsidR="003F6946" w:rsidRPr="00824D31" w14:paraId="19B08F67" w14:textId="77777777" w:rsidTr="008B2763">
        <w:trPr>
          <w:trHeight w:val="255"/>
        </w:trPr>
        <w:tc>
          <w:tcPr>
            <w:tcW w:w="851" w:type="dxa"/>
            <w:tcBorders>
              <w:top w:val="nil"/>
              <w:left w:val="single" w:sz="4" w:space="0" w:color="auto"/>
              <w:bottom w:val="single" w:sz="4" w:space="0" w:color="auto"/>
              <w:right w:val="single" w:sz="4" w:space="0" w:color="auto"/>
            </w:tcBorders>
            <w:shd w:val="clear" w:color="auto" w:fill="auto"/>
            <w:noWrap/>
            <w:hideMark/>
          </w:tcPr>
          <w:p w14:paraId="6170DC01" w14:textId="77777777" w:rsidR="003F6946" w:rsidRPr="00824D31" w:rsidRDefault="003F6946" w:rsidP="003F6946">
            <w:pPr>
              <w:ind w:firstLine="0"/>
            </w:pPr>
            <w:r w:rsidRPr="00824D31">
              <w:t>14</w:t>
            </w:r>
          </w:p>
        </w:tc>
        <w:tc>
          <w:tcPr>
            <w:tcW w:w="2977" w:type="dxa"/>
            <w:tcBorders>
              <w:top w:val="nil"/>
              <w:left w:val="nil"/>
              <w:bottom w:val="single" w:sz="4" w:space="0" w:color="auto"/>
              <w:right w:val="single" w:sz="4" w:space="0" w:color="auto"/>
            </w:tcBorders>
            <w:shd w:val="clear" w:color="auto" w:fill="auto"/>
            <w:noWrap/>
            <w:hideMark/>
          </w:tcPr>
          <w:p w14:paraId="41B50C46" w14:textId="77777777" w:rsidR="003F6946" w:rsidRPr="00824D31" w:rsidRDefault="003F6946" w:rsidP="003F6946">
            <w:pPr>
              <w:ind w:firstLine="0"/>
            </w:pPr>
            <w:r w:rsidRPr="00824D31">
              <w:t>Жиганский</w:t>
            </w:r>
          </w:p>
        </w:tc>
        <w:tc>
          <w:tcPr>
            <w:tcW w:w="3543" w:type="dxa"/>
            <w:tcBorders>
              <w:top w:val="nil"/>
              <w:left w:val="nil"/>
              <w:bottom w:val="single" w:sz="4" w:space="0" w:color="auto"/>
              <w:right w:val="single" w:sz="4" w:space="0" w:color="auto"/>
            </w:tcBorders>
            <w:shd w:val="clear" w:color="auto" w:fill="auto"/>
            <w:noWrap/>
            <w:vAlign w:val="bottom"/>
            <w:hideMark/>
          </w:tcPr>
          <w:p w14:paraId="59A4A136" w14:textId="47954C0E" w:rsidR="003F6946" w:rsidRPr="003F6946" w:rsidRDefault="003F6946" w:rsidP="003F6946">
            <w:pPr>
              <w:ind w:firstLine="0"/>
              <w:jc w:val="center"/>
              <w:rPr>
                <w:szCs w:val="24"/>
              </w:rPr>
            </w:pPr>
            <w:r w:rsidRPr="003F6946">
              <w:rPr>
                <w:color w:val="000000"/>
                <w:szCs w:val="24"/>
              </w:rPr>
              <w:t>2470</w:t>
            </w:r>
          </w:p>
        </w:tc>
        <w:tc>
          <w:tcPr>
            <w:tcW w:w="1985" w:type="dxa"/>
            <w:tcBorders>
              <w:top w:val="nil"/>
              <w:left w:val="nil"/>
              <w:bottom w:val="single" w:sz="4" w:space="0" w:color="auto"/>
              <w:right w:val="single" w:sz="4" w:space="0" w:color="auto"/>
            </w:tcBorders>
            <w:shd w:val="clear" w:color="auto" w:fill="auto"/>
            <w:noWrap/>
            <w:vAlign w:val="bottom"/>
            <w:hideMark/>
          </w:tcPr>
          <w:p w14:paraId="1BC96EE9" w14:textId="4674E793" w:rsidR="003F6946" w:rsidRPr="003F6946" w:rsidRDefault="003F6946" w:rsidP="003F6946">
            <w:pPr>
              <w:ind w:firstLine="0"/>
              <w:jc w:val="center"/>
              <w:rPr>
                <w:szCs w:val="24"/>
              </w:rPr>
            </w:pPr>
            <w:r w:rsidRPr="003F6946">
              <w:rPr>
                <w:color w:val="000000"/>
                <w:szCs w:val="24"/>
              </w:rPr>
              <w:t>0,37%</w:t>
            </w:r>
          </w:p>
        </w:tc>
      </w:tr>
      <w:tr w:rsidR="003F6946" w:rsidRPr="00824D31" w14:paraId="0D83629A" w14:textId="77777777" w:rsidTr="008B2763">
        <w:trPr>
          <w:trHeight w:val="255"/>
        </w:trPr>
        <w:tc>
          <w:tcPr>
            <w:tcW w:w="851" w:type="dxa"/>
            <w:tcBorders>
              <w:top w:val="nil"/>
              <w:left w:val="single" w:sz="4" w:space="0" w:color="auto"/>
              <w:bottom w:val="single" w:sz="4" w:space="0" w:color="auto"/>
              <w:right w:val="single" w:sz="4" w:space="0" w:color="auto"/>
            </w:tcBorders>
            <w:shd w:val="clear" w:color="auto" w:fill="auto"/>
            <w:noWrap/>
            <w:hideMark/>
          </w:tcPr>
          <w:p w14:paraId="257A2315" w14:textId="77777777" w:rsidR="003F6946" w:rsidRPr="00824D31" w:rsidRDefault="003F6946" w:rsidP="003F6946">
            <w:pPr>
              <w:ind w:firstLine="0"/>
            </w:pPr>
            <w:r w:rsidRPr="00824D31">
              <w:t>15</w:t>
            </w:r>
          </w:p>
        </w:tc>
        <w:tc>
          <w:tcPr>
            <w:tcW w:w="2977" w:type="dxa"/>
            <w:tcBorders>
              <w:top w:val="nil"/>
              <w:left w:val="nil"/>
              <w:bottom w:val="single" w:sz="4" w:space="0" w:color="auto"/>
              <w:right w:val="single" w:sz="4" w:space="0" w:color="auto"/>
            </w:tcBorders>
            <w:shd w:val="clear" w:color="auto" w:fill="auto"/>
            <w:noWrap/>
            <w:hideMark/>
          </w:tcPr>
          <w:p w14:paraId="59A0AD1A" w14:textId="77777777" w:rsidR="003F6946" w:rsidRPr="00824D31" w:rsidRDefault="003F6946" w:rsidP="003F6946">
            <w:pPr>
              <w:ind w:firstLine="0"/>
            </w:pPr>
            <w:r w:rsidRPr="00824D31">
              <w:t>Кобяйский</w:t>
            </w:r>
          </w:p>
        </w:tc>
        <w:tc>
          <w:tcPr>
            <w:tcW w:w="3543" w:type="dxa"/>
            <w:tcBorders>
              <w:top w:val="nil"/>
              <w:left w:val="nil"/>
              <w:bottom w:val="single" w:sz="4" w:space="0" w:color="auto"/>
              <w:right w:val="single" w:sz="4" w:space="0" w:color="auto"/>
            </w:tcBorders>
            <w:shd w:val="clear" w:color="auto" w:fill="auto"/>
            <w:noWrap/>
            <w:vAlign w:val="bottom"/>
            <w:hideMark/>
          </w:tcPr>
          <w:p w14:paraId="041D9B6F" w14:textId="1DF7D2A3" w:rsidR="003F6946" w:rsidRPr="003F6946" w:rsidRDefault="003F6946" w:rsidP="003F6946">
            <w:pPr>
              <w:ind w:firstLine="0"/>
              <w:jc w:val="center"/>
              <w:rPr>
                <w:szCs w:val="24"/>
              </w:rPr>
            </w:pPr>
            <w:r w:rsidRPr="003F6946">
              <w:rPr>
                <w:color w:val="000000"/>
                <w:szCs w:val="24"/>
              </w:rPr>
              <w:t>8962</w:t>
            </w:r>
          </w:p>
        </w:tc>
        <w:tc>
          <w:tcPr>
            <w:tcW w:w="1985" w:type="dxa"/>
            <w:tcBorders>
              <w:top w:val="nil"/>
              <w:left w:val="nil"/>
              <w:bottom w:val="single" w:sz="4" w:space="0" w:color="auto"/>
              <w:right w:val="single" w:sz="4" w:space="0" w:color="auto"/>
            </w:tcBorders>
            <w:shd w:val="clear" w:color="auto" w:fill="auto"/>
            <w:noWrap/>
            <w:vAlign w:val="bottom"/>
            <w:hideMark/>
          </w:tcPr>
          <w:p w14:paraId="7EE0B4C2" w14:textId="28212188" w:rsidR="003F6946" w:rsidRPr="003F6946" w:rsidRDefault="003F6946" w:rsidP="003F6946">
            <w:pPr>
              <w:ind w:firstLine="0"/>
              <w:jc w:val="center"/>
              <w:rPr>
                <w:szCs w:val="24"/>
              </w:rPr>
            </w:pPr>
            <w:r w:rsidRPr="003F6946">
              <w:rPr>
                <w:color w:val="000000"/>
                <w:szCs w:val="24"/>
              </w:rPr>
              <w:t>1,34%</w:t>
            </w:r>
          </w:p>
        </w:tc>
      </w:tr>
      <w:tr w:rsidR="003F6946" w:rsidRPr="00824D31" w14:paraId="7F0F73FE" w14:textId="77777777" w:rsidTr="008B2763">
        <w:trPr>
          <w:trHeight w:val="255"/>
        </w:trPr>
        <w:tc>
          <w:tcPr>
            <w:tcW w:w="851" w:type="dxa"/>
            <w:tcBorders>
              <w:top w:val="nil"/>
              <w:left w:val="single" w:sz="4" w:space="0" w:color="auto"/>
              <w:bottom w:val="single" w:sz="4" w:space="0" w:color="auto"/>
              <w:right w:val="single" w:sz="4" w:space="0" w:color="auto"/>
            </w:tcBorders>
            <w:shd w:val="clear" w:color="auto" w:fill="auto"/>
            <w:noWrap/>
            <w:hideMark/>
          </w:tcPr>
          <w:p w14:paraId="046A659F" w14:textId="77777777" w:rsidR="003F6946" w:rsidRPr="00824D31" w:rsidRDefault="003F6946" w:rsidP="003F6946">
            <w:pPr>
              <w:ind w:firstLine="0"/>
            </w:pPr>
            <w:r w:rsidRPr="00824D31">
              <w:t>16</w:t>
            </w:r>
          </w:p>
        </w:tc>
        <w:tc>
          <w:tcPr>
            <w:tcW w:w="2977" w:type="dxa"/>
            <w:tcBorders>
              <w:top w:val="nil"/>
              <w:left w:val="nil"/>
              <w:bottom w:val="single" w:sz="4" w:space="0" w:color="auto"/>
              <w:right w:val="single" w:sz="4" w:space="0" w:color="auto"/>
            </w:tcBorders>
            <w:shd w:val="clear" w:color="auto" w:fill="auto"/>
            <w:noWrap/>
            <w:hideMark/>
          </w:tcPr>
          <w:p w14:paraId="00C936AB" w14:textId="77777777" w:rsidR="003F6946" w:rsidRPr="00824D31" w:rsidRDefault="003F6946" w:rsidP="003F6946">
            <w:pPr>
              <w:ind w:firstLine="0"/>
            </w:pPr>
            <w:r w:rsidRPr="00824D31">
              <w:t>Ленский</w:t>
            </w:r>
          </w:p>
        </w:tc>
        <w:tc>
          <w:tcPr>
            <w:tcW w:w="3543" w:type="dxa"/>
            <w:tcBorders>
              <w:top w:val="nil"/>
              <w:left w:val="nil"/>
              <w:bottom w:val="single" w:sz="4" w:space="0" w:color="auto"/>
              <w:right w:val="single" w:sz="4" w:space="0" w:color="auto"/>
            </w:tcBorders>
            <w:shd w:val="clear" w:color="auto" w:fill="auto"/>
            <w:noWrap/>
            <w:vAlign w:val="bottom"/>
            <w:hideMark/>
          </w:tcPr>
          <w:p w14:paraId="4242F08C" w14:textId="797BCF60" w:rsidR="003F6946" w:rsidRPr="003F6946" w:rsidRDefault="003F6946" w:rsidP="003F6946">
            <w:pPr>
              <w:ind w:firstLine="0"/>
              <w:jc w:val="center"/>
              <w:rPr>
                <w:szCs w:val="24"/>
              </w:rPr>
            </w:pPr>
            <w:r w:rsidRPr="003F6946">
              <w:rPr>
                <w:color w:val="000000"/>
                <w:szCs w:val="24"/>
              </w:rPr>
              <w:t>36885</w:t>
            </w:r>
          </w:p>
        </w:tc>
        <w:tc>
          <w:tcPr>
            <w:tcW w:w="1985" w:type="dxa"/>
            <w:tcBorders>
              <w:top w:val="nil"/>
              <w:left w:val="nil"/>
              <w:bottom w:val="single" w:sz="4" w:space="0" w:color="auto"/>
              <w:right w:val="single" w:sz="4" w:space="0" w:color="auto"/>
            </w:tcBorders>
            <w:shd w:val="clear" w:color="auto" w:fill="auto"/>
            <w:noWrap/>
            <w:vAlign w:val="bottom"/>
            <w:hideMark/>
          </w:tcPr>
          <w:p w14:paraId="1D130E11" w14:textId="415E1C2F" w:rsidR="003F6946" w:rsidRPr="003F6946" w:rsidRDefault="003F6946" w:rsidP="003F6946">
            <w:pPr>
              <w:ind w:firstLine="0"/>
              <w:jc w:val="center"/>
              <w:rPr>
                <w:szCs w:val="24"/>
              </w:rPr>
            </w:pPr>
            <w:r w:rsidRPr="003F6946">
              <w:rPr>
                <w:color w:val="000000"/>
                <w:szCs w:val="24"/>
              </w:rPr>
              <w:t>5,50%</w:t>
            </w:r>
          </w:p>
        </w:tc>
      </w:tr>
      <w:tr w:rsidR="003F6946" w:rsidRPr="00824D31" w14:paraId="6D0B0DFE" w14:textId="77777777" w:rsidTr="008B2763">
        <w:trPr>
          <w:trHeight w:val="255"/>
        </w:trPr>
        <w:tc>
          <w:tcPr>
            <w:tcW w:w="851" w:type="dxa"/>
            <w:tcBorders>
              <w:top w:val="nil"/>
              <w:left w:val="single" w:sz="4" w:space="0" w:color="auto"/>
              <w:bottom w:val="single" w:sz="4" w:space="0" w:color="auto"/>
              <w:right w:val="single" w:sz="4" w:space="0" w:color="auto"/>
            </w:tcBorders>
            <w:shd w:val="clear" w:color="auto" w:fill="auto"/>
            <w:noWrap/>
            <w:hideMark/>
          </w:tcPr>
          <w:p w14:paraId="0EE1E4F7" w14:textId="77777777" w:rsidR="003F6946" w:rsidRPr="00824D31" w:rsidRDefault="003F6946" w:rsidP="003F6946">
            <w:pPr>
              <w:ind w:firstLine="0"/>
            </w:pPr>
            <w:r w:rsidRPr="00824D31">
              <w:t>17</w:t>
            </w:r>
          </w:p>
        </w:tc>
        <w:tc>
          <w:tcPr>
            <w:tcW w:w="2977" w:type="dxa"/>
            <w:tcBorders>
              <w:top w:val="nil"/>
              <w:left w:val="nil"/>
              <w:bottom w:val="single" w:sz="4" w:space="0" w:color="auto"/>
              <w:right w:val="single" w:sz="4" w:space="0" w:color="auto"/>
            </w:tcBorders>
            <w:shd w:val="clear" w:color="auto" w:fill="auto"/>
            <w:noWrap/>
            <w:hideMark/>
          </w:tcPr>
          <w:p w14:paraId="0B199DCB" w14:textId="77777777" w:rsidR="003F6946" w:rsidRPr="00824D31" w:rsidRDefault="003F6946" w:rsidP="003F6946">
            <w:pPr>
              <w:ind w:firstLine="0"/>
            </w:pPr>
            <w:r w:rsidRPr="00824D31">
              <w:t>Мегино-Кангаласский</w:t>
            </w:r>
          </w:p>
        </w:tc>
        <w:tc>
          <w:tcPr>
            <w:tcW w:w="3543" w:type="dxa"/>
            <w:tcBorders>
              <w:top w:val="nil"/>
              <w:left w:val="nil"/>
              <w:bottom w:val="single" w:sz="4" w:space="0" w:color="auto"/>
              <w:right w:val="single" w:sz="4" w:space="0" w:color="auto"/>
            </w:tcBorders>
            <w:shd w:val="clear" w:color="auto" w:fill="auto"/>
            <w:noWrap/>
            <w:vAlign w:val="bottom"/>
            <w:hideMark/>
          </w:tcPr>
          <w:p w14:paraId="70C721DA" w14:textId="19303765" w:rsidR="003F6946" w:rsidRPr="003F6946" w:rsidRDefault="003F6946" w:rsidP="003F6946">
            <w:pPr>
              <w:ind w:firstLine="0"/>
              <w:jc w:val="center"/>
              <w:rPr>
                <w:szCs w:val="24"/>
              </w:rPr>
            </w:pPr>
            <w:r w:rsidRPr="003F6946">
              <w:rPr>
                <w:color w:val="000000"/>
                <w:szCs w:val="24"/>
              </w:rPr>
              <w:t>18980</w:t>
            </w:r>
          </w:p>
        </w:tc>
        <w:tc>
          <w:tcPr>
            <w:tcW w:w="1985" w:type="dxa"/>
            <w:tcBorders>
              <w:top w:val="nil"/>
              <w:left w:val="nil"/>
              <w:bottom w:val="single" w:sz="4" w:space="0" w:color="auto"/>
              <w:right w:val="single" w:sz="4" w:space="0" w:color="auto"/>
            </w:tcBorders>
            <w:shd w:val="clear" w:color="auto" w:fill="auto"/>
            <w:noWrap/>
            <w:vAlign w:val="bottom"/>
            <w:hideMark/>
          </w:tcPr>
          <w:p w14:paraId="226A8F60" w14:textId="00447AF5" w:rsidR="003F6946" w:rsidRPr="003F6946" w:rsidRDefault="003F6946" w:rsidP="003F6946">
            <w:pPr>
              <w:ind w:firstLine="0"/>
              <w:jc w:val="center"/>
              <w:rPr>
                <w:szCs w:val="24"/>
              </w:rPr>
            </w:pPr>
            <w:r w:rsidRPr="003F6946">
              <w:rPr>
                <w:color w:val="000000"/>
                <w:szCs w:val="24"/>
              </w:rPr>
              <w:t>2,83%</w:t>
            </w:r>
          </w:p>
        </w:tc>
      </w:tr>
      <w:tr w:rsidR="003F6946" w:rsidRPr="00824D31" w14:paraId="2961E987" w14:textId="77777777" w:rsidTr="008B2763">
        <w:trPr>
          <w:trHeight w:val="255"/>
        </w:trPr>
        <w:tc>
          <w:tcPr>
            <w:tcW w:w="851" w:type="dxa"/>
            <w:tcBorders>
              <w:top w:val="nil"/>
              <w:left w:val="single" w:sz="4" w:space="0" w:color="auto"/>
              <w:bottom w:val="single" w:sz="4" w:space="0" w:color="auto"/>
              <w:right w:val="single" w:sz="4" w:space="0" w:color="auto"/>
            </w:tcBorders>
            <w:shd w:val="clear" w:color="auto" w:fill="auto"/>
            <w:noWrap/>
            <w:hideMark/>
          </w:tcPr>
          <w:p w14:paraId="5C24CB59" w14:textId="77777777" w:rsidR="003F6946" w:rsidRPr="00824D31" w:rsidRDefault="003F6946" w:rsidP="003F6946">
            <w:pPr>
              <w:ind w:firstLine="0"/>
            </w:pPr>
            <w:r w:rsidRPr="00824D31">
              <w:t>18</w:t>
            </w:r>
          </w:p>
        </w:tc>
        <w:tc>
          <w:tcPr>
            <w:tcW w:w="2977" w:type="dxa"/>
            <w:tcBorders>
              <w:top w:val="nil"/>
              <w:left w:val="nil"/>
              <w:bottom w:val="single" w:sz="4" w:space="0" w:color="auto"/>
              <w:right w:val="single" w:sz="4" w:space="0" w:color="auto"/>
            </w:tcBorders>
            <w:shd w:val="clear" w:color="auto" w:fill="auto"/>
            <w:noWrap/>
            <w:hideMark/>
          </w:tcPr>
          <w:p w14:paraId="0A99FBC3" w14:textId="77777777" w:rsidR="003F6946" w:rsidRPr="00824D31" w:rsidRDefault="003F6946" w:rsidP="003F6946">
            <w:pPr>
              <w:ind w:firstLine="0"/>
            </w:pPr>
            <w:r w:rsidRPr="00824D31">
              <w:t>Мирнинский</w:t>
            </w:r>
          </w:p>
        </w:tc>
        <w:tc>
          <w:tcPr>
            <w:tcW w:w="3543" w:type="dxa"/>
            <w:tcBorders>
              <w:top w:val="nil"/>
              <w:left w:val="nil"/>
              <w:bottom w:val="single" w:sz="4" w:space="0" w:color="auto"/>
              <w:right w:val="single" w:sz="4" w:space="0" w:color="auto"/>
            </w:tcBorders>
            <w:shd w:val="clear" w:color="auto" w:fill="auto"/>
            <w:noWrap/>
            <w:vAlign w:val="bottom"/>
            <w:hideMark/>
          </w:tcPr>
          <w:p w14:paraId="505C26EE" w14:textId="1D289AE6" w:rsidR="003F6946" w:rsidRPr="003F6946" w:rsidRDefault="003F6946" w:rsidP="003F6946">
            <w:pPr>
              <w:ind w:firstLine="0"/>
              <w:jc w:val="center"/>
              <w:rPr>
                <w:szCs w:val="24"/>
              </w:rPr>
            </w:pPr>
            <w:r w:rsidRPr="003F6946">
              <w:rPr>
                <w:color w:val="000000"/>
                <w:szCs w:val="24"/>
              </w:rPr>
              <w:t>56072</w:t>
            </w:r>
          </w:p>
        </w:tc>
        <w:tc>
          <w:tcPr>
            <w:tcW w:w="1985" w:type="dxa"/>
            <w:tcBorders>
              <w:top w:val="nil"/>
              <w:left w:val="nil"/>
              <w:bottom w:val="single" w:sz="4" w:space="0" w:color="auto"/>
              <w:right w:val="single" w:sz="4" w:space="0" w:color="auto"/>
            </w:tcBorders>
            <w:shd w:val="clear" w:color="auto" w:fill="auto"/>
            <w:noWrap/>
            <w:vAlign w:val="bottom"/>
            <w:hideMark/>
          </w:tcPr>
          <w:p w14:paraId="7A4E500D" w14:textId="4519348C" w:rsidR="003F6946" w:rsidRPr="003F6946" w:rsidRDefault="003F6946" w:rsidP="003F6946">
            <w:pPr>
              <w:ind w:firstLine="0"/>
              <w:jc w:val="center"/>
              <w:rPr>
                <w:szCs w:val="24"/>
              </w:rPr>
            </w:pPr>
            <w:r w:rsidRPr="003F6946">
              <w:rPr>
                <w:color w:val="000000"/>
                <w:szCs w:val="24"/>
              </w:rPr>
              <w:t>8,36%</w:t>
            </w:r>
          </w:p>
        </w:tc>
      </w:tr>
      <w:tr w:rsidR="003F6946" w:rsidRPr="00824D31" w14:paraId="71ECFD00" w14:textId="77777777" w:rsidTr="008B2763">
        <w:trPr>
          <w:trHeight w:val="255"/>
        </w:trPr>
        <w:tc>
          <w:tcPr>
            <w:tcW w:w="851" w:type="dxa"/>
            <w:tcBorders>
              <w:top w:val="nil"/>
              <w:left w:val="single" w:sz="4" w:space="0" w:color="auto"/>
              <w:bottom w:val="single" w:sz="4" w:space="0" w:color="auto"/>
              <w:right w:val="single" w:sz="4" w:space="0" w:color="auto"/>
            </w:tcBorders>
            <w:shd w:val="clear" w:color="auto" w:fill="auto"/>
            <w:noWrap/>
            <w:hideMark/>
          </w:tcPr>
          <w:p w14:paraId="2C489B9D" w14:textId="77777777" w:rsidR="003F6946" w:rsidRPr="00824D31" w:rsidRDefault="003F6946" w:rsidP="003F6946">
            <w:pPr>
              <w:ind w:firstLine="0"/>
            </w:pPr>
            <w:r w:rsidRPr="00824D31">
              <w:t>19</w:t>
            </w:r>
          </w:p>
        </w:tc>
        <w:tc>
          <w:tcPr>
            <w:tcW w:w="2977" w:type="dxa"/>
            <w:tcBorders>
              <w:top w:val="nil"/>
              <w:left w:val="nil"/>
              <w:bottom w:val="single" w:sz="4" w:space="0" w:color="auto"/>
              <w:right w:val="single" w:sz="4" w:space="0" w:color="auto"/>
            </w:tcBorders>
            <w:shd w:val="clear" w:color="auto" w:fill="auto"/>
            <w:noWrap/>
            <w:hideMark/>
          </w:tcPr>
          <w:p w14:paraId="78869905" w14:textId="77777777" w:rsidR="003F6946" w:rsidRPr="00824D31" w:rsidRDefault="003F6946" w:rsidP="003F6946">
            <w:pPr>
              <w:ind w:firstLine="0"/>
            </w:pPr>
            <w:r w:rsidRPr="00824D31">
              <w:t>Момский</w:t>
            </w:r>
          </w:p>
        </w:tc>
        <w:tc>
          <w:tcPr>
            <w:tcW w:w="3543" w:type="dxa"/>
            <w:tcBorders>
              <w:top w:val="nil"/>
              <w:left w:val="nil"/>
              <w:bottom w:val="single" w:sz="4" w:space="0" w:color="auto"/>
              <w:right w:val="single" w:sz="4" w:space="0" w:color="auto"/>
            </w:tcBorders>
            <w:shd w:val="clear" w:color="auto" w:fill="auto"/>
            <w:noWrap/>
            <w:vAlign w:val="bottom"/>
            <w:hideMark/>
          </w:tcPr>
          <w:p w14:paraId="5EA93D7D" w14:textId="21E1362E" w:rsidR="003F6946" w:rsidRPr="003F6946" w:rsidRDefault="003F6946" w:rsidP="003F6946">
            <w:pPr>
              <w:ind w:firstLine="0"/>
              <w:jc w:val="center"/>
              <w:rPr>
                <w:szCs w:val="24"/>
              </w:rPr>
            </w:pPr>
            <w:r w:rsidRPr="003F6946">
              <w:rPr>
                <w:color w:val="000000"/>
                <w:szCs w:val="24"/>
              </w:rPr>
              <w:t>1997</w:t>
            </w:r>
          </w:p>
        </w:tc>
        <w:tc>
          <w:tcPr>
            <w:tcW w:w="1985" w:type="dxa"/>
            <w:tcBorders>
              <w:top w:val="nil"/>
              <w:left w:val="nil"/>
              <w:bottom w:val="single" w:sz="4" w:space="0" w:color="auto"/>
              <w:right w:val="single" w:sz="4" w:space="0" w:color="auto"/>
            </w:tcBorders>
            <w:shd w:val="clear" w:color="auto" w:fill="auto"/>
            <w:noWrap/>
            <w:vAlign w:val="bottom"/>
            <w:hideMark/>
          </w:tcPr>
          <w:p w14:paraId="1DA8DB2D" w14:textId="0353D707" w:rsidR="003F6946" w:rsidRPr="003F6946" w:rsidRDefault="003F6946" w:rsidP="003F6946">
            <w:pPr>
              <w:ind w:firstLine="0"/>
              <w:jc w:val="center"/>
              <w:rPr>
                <w:szCs w:val="24"/>
              </w:rPr>
            </w:pPr>
            <w:r w:rsidRPr="003F6946">
              <w:rPr>
                <w:color w:val="000000"/>
                <w:szCs w:val="24"/>
              </w:rPr>
              <w:t>0,30%</w:t>
            </w:r>
          </w:p>
        </w:tc>
      </w:tr>
      <w:tr w:rsidR="003F6946" w:rsidRPr="00824D31" w14:paraId="1BB7A852" w14:textId="77777777" w:rsidTr="008B2763">
        <w:trPr>
          <w:trHeight w:val="255"/>
        </w:trPr>
        <w:tc>
          <w:tcPr>
            <w:tcW w:w="851" w:type="dxa"/>
            <w:tcBorders>
              <w:top w:val="nil"/>
              <w:left w:val="single" w:sz="4" w:space="0" w:color="auto"/>
              <w:bottom w:val="single" w:sz="4" w:space="0" w:color="auto"/>
              <w:right w:val="single" w:sz="4" w:space="0" w:color="auto"/>
            </w:tcBorders>
            <w:shd w:val="clear" w:color="auto" w:fill="auto"/>
            <w:noWrap/>
            <w:hideMark/>
          </w:tcPr>
          <w:p w14:paraId="2BB2D6EC" w14:textId="77777777" w:rsidR="003F6946" w:rsidRPr="00824D31" w:rsidRDefault="003F6946" w:rsidP="003F6946">
            <w:pPr>
              <w:ind w:firstLine="0"/>
            </w:pPr>
            <w:r w:rsidRPr="00824D31">
              <w:t>20</w:t>
            </w:r>
          </w:p>
        </w:tc>
        <w:tc>
          <w:tcPr>
            <w:tcW w:w="2977" w:type="dxa"/>
            <w:tcBorders>
              <w:top w:val="nil"/>
              <w:left w:val="nil"/>
              <w:bottom w:val="single" w:sz="4" w:space="0" w:color="auto"/>
              <w:right w:val="single" w:sz="4" w:space="0" w:color="auto"/>
            </w:tcBorders>
            <w:shd w:val="clear" w:color="auto" w:fill="auto"/>
            <w:noWrap/>
            <w:hideMark/>
          </w:tcPr>
          <w:p w14:paraId="06EBE132" w14:textId="77777777" w:rsidR="003F6946" w:rsidRPr="00824D31" w:rsidRDefault="003F6946" w:rsidP="003F6946">
            <w:pPr>
              <w:ind w:firstLine="0"/>
            </w:pPr>
            <w:r w:rsidRPr="00824D31">
              <w:t>Намский</w:t>
            </w:r>
          </w:p>
        </w:tc>
        <w:tc>
          <w:tcPr>
            <w:tcW w:w="3543" w:type="dxa"/>
            <w:tcBorders>
              <w:top w:val="nil"/>
              <w:left w:val="nil"/>
              <w:bottom w:val="single" w:sz="4" w:space="0" w:color="auto"/>
              <w:right w:val="single" w:sz="4" w:space="0" w:color="auto"/>
            </w:tcBorders>
            <w:shd w:val="clear" w:color="auto" w:fill="auto"/>
            <w:noWrap/>
            <w:vAlign w:val="bottom"/>
            <w:hideMark/>
          </w:tcPr>
          <w:p w14:paraId="222AFD41" w14:textId="62DC3A5B" w:rsidR="003F6946" w:rsidRPr="003F6946" w:rsidRDefault="003F6946" w:rsidP="003F6946">
            <w:pPr>
              <w:ind w:firstLine="0"/>
              <w:jc w:val="center"/>
              <w:rPr>
                <w:szCs w:val="24"/>
              </w:rPr>
            </w:pPr>
            <w:r w:rsidRPr="003F6946">
              <w:rPr>
                <w:color w:val="000000"/>
                <w:szCs w:val="24"/>
              </w:rPr>
              <w:t>10993</w:t>
            </w:r>
          </w:p>
        </w:tc>
        <w:tc>
          <w:tcPr>
            <w:tcW w:w="1985" w:type="dxa"/>
            <w:tcBorders>
              <w:top w:val="nil"/>
              <w:left w:val="nil"/>
              <w:bottom w:val="single" w:sz="4" w:space="0" w:color="auto"/>
              <w:right w:val="single" w:sz="4" w:space="0" w:color="auto"/>
            </w:tcBorders>
            <w:shd w:val="clear" w:color="auto" w:fill="auto"/>
            <w:noWrap/>
            <w:vAlign w:val="bottom"/>
            <w:hideMark/>
          </w:tcPr>
          <w:p w14:paraId="66426208" w14:textId="5E5C3A71" w:rsidR="003F6946" w:rsidRPr="003F6946" w:rsidRDefault="003F6946" w:rsidP="003F6946">
            <w:pPr>
              <w:ind w:firstLine="0"/>
              <w:jc w:val="center"/>
              <w:rPr>
                <w:szCs w:val="24"/>
              </w:rPr>
            </w:pPr>
            <w:r w:rsidRPr="003F6946">
              <w:rPr>
                <w:color w:val="000000"/>
                <w:szCs w:val="24"/>
              </w:rPr>
              <w:t>1,64%</w:t>
            </w:r>
          </w:p>
        </w:tc>
      </w:tr>
      <w:tr w:rsidR="003F6946" w:rsidRPr="00824D31" w14:paraId="0697E8A6" w14:textId="77777777" w:rsidTr="008B2763">
        <w:trPr>
          <w:trHeight w:val="255"/>
        </w:trPr>
        <w:tc>
          <w:tcPr>
            <w:tcW w:w="851" w:type="dxa"/>
            <w:tcBorders>
              <w:top w:val="nil"/>
              <w:left w:val="single" w:sz="4" w:space="0" w:color="auto"/>
              <w:bottom w:val="single" w:sz="4" w:space="0" w:color="auto"/>
              <w:right w:val="single" w:sz="4" w:space="0" w:color="auto"/>
            </w:tcBorders>
            <w:shd w:val="clear" w:color="auto" w:fill="auto"/>
            <w:noWrap/>
            <w:hideMark/>
          </w:tcPr>
          <w:p w14:paraId="6FC11C57" w14:textId="77777777" w:rsidR="003F6946" w:rsidRPr="00824D31" w:rsidRDefault="003F6946" w:rsidP="003F6946">
            <w:pPr>
              <w:ind w:firstLine="0"/>
            </w:pPr>
            <w:r w:rsidRPr="00824D31">
              <w:t>21</w:t>
            </w:r>
          </w:p>
        </w:tc>
        <w:tc>
          <w:tcPr>
            <w:tcW w:w="2977" w:type="dxa"/>
            <w:tcBorders>
              <w:top w:val="nil"/>
              <w:left w:val="nil"/>
              <w:bottom w:val="single" w:sz="4" w:space="0" w:color="auto"/>
              <w:right w:val="single" w:sz="4" w:space="0" w:color="auto"/>
            </w:tcBorders>
            <w:shd w:val="clear" w:color="auto" w:fill="auto"/>
            <w:noWrap/>
            <w:hideMark/>
          </w:tcPr>
          <w:p w14:paraId="5E692B8B" w14:textId="77777777" w:rsidR="003F6946" w:rsidRPr="00824D31" w:rsidRDefault="003F6946" w:rsidP="003F6946">
            <w:pPr>
              <w:ind w:firstLine="0"/>
            </w:pPr>
            <w:r w:rsidRPr="00824D31">
              <w:t>Нерюнгринский</w:t>
            </w:r>
          </w:p>
        </w:tc>
        <w:tc>
          <w:tcPr>
            <w:tcW w:w="3543" w:type="dxa"/>
            <w:tcBorders>
              <w:top w:val="nil"/>
              <w:left w:val="nil"/>
              <w:bottom w:val="single" w:sz="4" w:space="0" w:color="auto"/>
              <w:right w:val="single" w:sz="4" w:space="0" w:color="auto"/>
            </w:tcBorders>
            <w:shd w:val="clear" w:color="auto" w:fill="auto"/>
            <w:noWrap/>
            <w:vAlign w:val="bottom"/>
            <w:hideMark/>
          </w:tcPr>
          <w:p w14:paraId="03B849BE" w14:textId="54004D98" w:rsidR="003F6946" w:rsidRPr="003F6946" w:rsidRDefault="003F6946" w:rsidP="003F6946">
            <w:pPr>
              <w:ind w:firstLine="0"/>
              <w:jc w:val="center"/>
              <w:rPr>
                <w:szCs w:val="24"/>
              </w:rPr>
            </w:pPr>
            <w:r w:rsidRPr="003F6946">
              <w:rPr>
                <w:color w:val="000000"/>
                <w:szCs w:val="24"/>
              </w:rPr>
              <w:t>54405</w:t>
            </w:r>
          </w:p>
        </w:tc>
        <w:tc>
          <w:tcPr>
            <w:tcW w:w="1985" w:type="dxa"/>
            <w:tcBorders>
              <w:top w:val="nil"/>
              <w:left w:val="nil"/>
              <w:bottom w:val="single" w:sz="4" w:space="0" w:color="auto"/>
              <w:right w:val="single" w:sz="4" w:space="0" w:color="auto"/>
            </w:tcBorders>
            <w:shd w:val="clear" w:color="auto" w:fill="auto"/>
            <w:noWrap/>
            <w:vAlign w:val="bottom"/>
            <w:hideMark/>
          </w:tcPr>
          <w:p w14:paraId="4FF1B41F" w14:textId="6257D379" w:rsidR="003F6946" w:rsidRPr="003F6946" w:rsidRDefault="003F6946" w:rsidP="003F6946">
            <w:pPr>
              <w:ind w:firstLine="0"/>
              <w:jc w:val="center"/>
              <w:rPr>
                <w:szCs w:val="24"/>
              </w:rPr>
            </w:pPr>
            <w:r w:rsidRPr="003F6946">
              <w:rPr>
                <w:color w:val="000000"/>
                <w:szCs w:val="24"/>
              </w:rPr>
              <w:t>8,11%</w:t>
            </w:r>
          </w:p>
        </w:tc>
      </w:tr>
      <w:tr w:rsidR="003F6946" w:rsidRPr="00824D31" w14:paraId="660162F7" w14:textId="77777777" w:rsidTr="008B2763">
        <w:trPr>
          <w:trHeight w:val="255"/>
        </w:trPr>
        <w:tc>
          <w:tcPr>
            <w:tcW w:w="851" w:type="dxa"/>
            <w:tcBorders>
              <w:top w:val="nil"/>
              <w:left w:val="single" w:sz="4" w:space="0" w:color="auto"/>
              <w:bottom w:val="single" w:sz="4" w:space="0" w:color="auto"/>
              <w:right w:val="single" w:sz="4" w:space="0" w:color="auto"/>
            </w:tcBorders>
            <w:shd w:val="clear" w:color="auto" w:fill="auto"/>
            <w:noWrap/>
            <w:hideMark/>
          </w:tcPr>
          <w:p w14:paraId="0CC4E48D" w14:textId="77777777" w:rsidR="003F6946" w:rsidRPr="00824D31" w:rsidRDefault="003F6946" w:rsidP="003F6946">
            <w:pPr>
              <w:ind w:firstLine="0"/>
            </w:pPr>
            <w:r w:rsidRPr="00824D31">
              <w:t>22</w:t>
            </w:r>
          </w:p>
        </w:tc>
        <w:tc>
          <w:tcPr>
            <w:tcW w:w="2977" w:type="dxa"/>
            <w:tcBorders>
              <w:top w:val="nil"/>
              <w:left w:val="nil"/>
              <w:bottom w:val="single" w:sz="4" w:space="0" w:color="auto"/>
              <w:right w:val="single" w:sz="4" w:space="0" w:color="auto"/>
            </w:tcBorders>
            <w:shd w:val="clear" w:color="auto" w:fill="auto"/>
            <w:noWrap/>
            <w:hideMark/>
          </w:tcPr>
          <w:p w14:paraId="7880AA32" w14:textId="77777777" w:rsidR="003F6946" w:rsidRPr="00824D31" w:rsidRDefault="003F6946" w:rsidP="003F6946">
            <w:pPr>
              <w:ind w:firstLine="0"/>
            </w:pPr>
            <w:r w:rsidRPr="00824D31">
              <w:t>Нижнеколымский</w:t>
            </w:r>
          </w:p>
        </w:tc>
        <w:tc>
          <w:tcPr>
            <w:tcW w:w="3543" w:type="dxa"/>
            <w:tcBorders>
              <w:top w:val="nil"/>
              <w:left w:val="nil"/>
              <w:bottom w:val="single" w:sz="4" w:space="0" w:color="auto"/>
              <w:right w:val="single" w:sz="4" w:space="0" w:color="auto"/>
            </w:tcBorders>
            <w:shd w:val="clear" w:color="auto" w:fill="auto"/>
            <w:noWrap/>
            <w:vAlign w:val="bottom"/>
            <w:hideMark/>
          </w:tcPr>
          <w:p w14:paraId="7B0E2A1C" w14:textId="095BDE6E" w:rsidR="003F6946" w:rsidRPr="003F6946" w:rsidRDefault="003F6946" w:rsidP="003F6946">
            <w:pPr>
              <w:ind w:firstLine="0"/>
              <w:jc w:val="center"/>
              <w:rPr>
                <w:szCs w:val="24"/>
              </w:rPr>
            </w:pPr>
            <w:r w:rsidRPr="003F6946">
              <w:rPr>
                <w:color w:val="000000"/>
                <w:szCs w:val="24"/>
              </w:rPr>
              <w:t>2971</w:t>
            </w:r>
          </w:p>
        </w:tc>
        <w:tc>
          <w:tcPr>
            <w:tcW w:w="1985" w:type="dxa"/>
            <w:tcBorders>
              <w:top w:val="nil"/>
              <w:left w:val="nil"/>
              <w:bottom w:val="single" w:sz="4" w:space="0" w:color="auto"/>
              <w:right w:val="single" w:sz="4" w:space="0" w:color="auto"/>
            </w:tcBorders>
            <w:shd w:val="clear" w:color="auto" w:fill="auto"/>
            <w:noWrap/>
            <w:vAlign w:val="bottom"/>
            <w:hideMark/>
          </w:tcPr>
          <w:p w14:paraId="69726E61" w14:textId="1ABE3893" w:rsidR="003F6946" w:rsidRPr="003F6946" w:rsidRDefault="003F6946" w:rsidP="003F6946">
            <w:pPr>
              <w:ind w:firstLine="0"/>
              <w:jc w:val="center"/>
              <w:rPr>
                <w:szCs w:val="24"/>
              </w:rPr>
            </w:pPr>
            <w:r w:rsidRPr="003F6946">
              <w:rPr>
                <w:color w:val="000000"/>
                <w:szCs w:val="24"/>
              </w:rPr>
              <w:t>0,44%</w:t>
            </w:r>
          </w:p>
        </w:tc>
      </w:tr>
      <w:tr w:rsidR="003F6946" w:rsidRPr="00824D31" w14:paraId="3E589C3F" w14:textId="77777777" w:rsidTr="008B2763">
        <w:trPr>
          <w:trHeight w:val="255"/>
        </w:trPr>
        <w:tc>
          <w:tcPr>
            <w:tcW w:w="851" w:type="dxa"/>
            <w:tcBorders>
              <w:top w:val="nil"/>
              <w:left w:val="single" w:sz="4" w:space="0" w:color="auto"/>
              <w:bottom w:val="single" w:sz="4" w:space="0" w:color="auto"/>
              <w:right w:val="single" w:sz="4" w:space="0" w:color="auto"/>
            </w:tcBorders>
            <w:shd w:val="clear" w:color="auto" w:fill="auto"/>
            <w:noWrap/>
            <w:hideMark/>
          </w:tcPr>
          <w:p w14:paraId="5E3E94DD" w14:textId="77777777" w:rsidR="003F6946" w:rsidRPr="00824D31" w:rsidRDefault="003F6946" w:rsidP="003F6946">
            <w:pPr>
              <w:ind w:firstLine="0"/>
            </w:pPr>
            <w:r w:rsidRPr="00824D31">
              <w:t>23</w:t>
            </w:r>
          </w:p>
        </w:tc>
        <w:tc>
          <w:tcPr>
            <w:tcW w:w="2977" w:type="dxa"/>
            <w:tcBorders>
              <w:top w:val="nil"/>
              <w:left w:val="nil"/>
              <w:bottom w:val="single" w:sz="4" w:space="0" w:color="auto"/>
              <w:right w:val="single" w:sz="4" w:space="0" w:color="auto"/>
            </w:tcBorders>
            <w:shd w:val="clear" w:color="auto" w:fill="auto"/>
            <w:noWrap/>
            <w:hideMark/>
          </w:tcPr>
          <w:p w14:paraId="21E1DB26" w14:textId="77777777" w:rsidR="003F6946" w:rsidRPr="00824D31" w:rsidRDefault="003F6946" w:rsidP="003F6946">
            <w:pPr>
              <w:ind w:firstLine="0"/>
            </w:pPr>
            <w:r w:rsidRPr="00824D31">
              <w:t>Нюрбинский</w:t>
            </w:r>
          </w:p>
        </w:tc>
        <w:tc>
          <w:tcPr>
            <w:tcW w:w="3543" w:type="dxa"/>
            <w:tcBorders>
              <w:top w:val="nil"/>
              <w:left w:val="nil"/>
              <w:bottom w:val="single" w:sz="4" w:space="0" w:color="auto"/>
              <w:right w:val="single" w:sz="4" w:space="0" w:color="auto"/>
            </w:tcBorders>
            <w:shd w:val="clear" w:color="auto" w:fill="auto"/>
            <w:noWrap/>
            <w:vAlign w:val="bottom"/>
            <w:hideMark/>
          </w:tcPr>
          <w:p w14:paraId="70A0F3C1" w14:textId="55A12D55" w:rsidR="003F6946" w:rsidRPr="003F6946" w:rsidRDefault="003F6946" w:rsidP="003F6946">
            <w:pPr>
              <w:ind w:firstLine="0"/>
              <w:jc w:val="center"/>
              <w:rPr>
                <w:szCs w:val="24"/>
              </w:rPr>
            </w:pPr>
            <w:r w:rsidRPr="003F6946">
              <w:rPr>
                <w:color w:val="000000"/>
                <w:szCs w:val="24"/>
              </w:rPr>
              <w:t>17124</w:t>
            </w:r>
          </w:p>
        </w:tc>
        <w:tc>
          <w:tcPr>
            <w:tcW w:w="1985" w:type="dxa"/>
            <w:tcBorders>
              <w:top w:val="nil"/>
              <w:left w:val="nil"/>
              <w:bottom w:val="single" w:sz="4" w:space="0" w:color="auto"/>
              <w:right w:val="single" w:sz="4" w:space="0" w:color="auto"/>
            </w:tcBorders>
            <w:shd w:val="clear" w:color="auto" w:fill="auto"/>
            <w:noWrap/>
            <w:vAlign w:val="bottom"/>
            <w:hideMark/>
          </w:tcPr>
          <w:p w14:paraId="69B420BB" w14:textId="0C241B87" w:rsidR="003F6946" w:rsidRPr="003F6946" w:rsidRDefault="003F6946" w:rsidP="003F6946">
            <w:pPr>
              <w:ind w:firstLine="0"/>
              <w:jc w:val="center"/>
              <w:rPr>
                <w:szCs w:val="24"/>
              </w:rPr>
            </w:pPr>
            <w:r w:rsidRPr="003F6946">
              <w:rPr>
                <w:color w:val="000000"/>
                <w:szCs w:val="24"/>
              </w:rPr>
              <w:t>2,55%</w:t>
            </w:r>
          </w:p>
        </w:tc>
      </w:tr>
      <w:tr w:rsidR="003F6946" w:rsidRPr="00824D31" w14:paraId="297F0EC3" w14:textId="77777777" w:rsidTr="008B2763">
        <w:trPr>
          <w:trHeight w:val="255"/>
        </w:trPr>
        <w:tc>
          <w:tcPr>
            <w:tcW w:w="851" w:type="dxa"/>
            <w:tcBorders>
              <w:top w:val="nil"/>
              <w:left w:val="single" w:sz="4" w:space="0" w:color="auto"/>
              <w:bottom w:val="single" w:sz="4" w:space="0" w:color="auto"/>
              <w:right w:val="single" w:sz="4" w:space="0" w:color="auto"/>
            </w:tcBorders>
            <w:shd w:val="clear" w:color="auto" w:fill="auto"/>
            <w:noWrap/>
            <w:hideMark/>
          </w:tcPr>
          <w:p w14:paraId="686EEF75" w14:textId="77777777" w:rsidR="003F6946" w:rsidRPr="00824D31" w:rsidRDefault="003F6946" w:rsidP="003F6946">
            <w:pPr>
              <w:ind w:firstLine="0"/>
            </w:pPr>
            <w:r w:rsidRPr="00824D31">
              <w:t>24</w:t>
            </w:r>
          </w:p>
        </w:tc>
        <w:tc>
          <w:tcPr>
            <w:tcW w:w="2977" w:type="dxa"/>
            <w:tcBorders>
              <w:top w:val="nil"/>
              <w:left w:val="nil"/>
              <w:bottom w:val="single" w:sz="4" w:space="0" w:color="auto"/>
              <w:right w:val="single" w:sz="4" w:space="0" w:color="auto"/>
            </w:tcBorders>
            <w:shd w:val="clear" w:color="auto" w:fill="auto"/>
            <w:noWrap/>
            <w:hideMark/>
          </w:tcPr>
          <w:p w14:paraId="02E53BCA" w14:textId="77777777" w:rsidR="003F6946" w:rsidRPr="00824D31" w:rsidRDefault="003F6946" w:rsidP="003F6946">
            <w:pPr>
              <w:ind w:firstLine="0"/>
            </w:pPr>
            <w:r w:rsidRPr="00824D31">
              <w:t>Оймяконский</w:t>
            </w:r>
          </w:p>
        </w:tc>
        <w:tc>
          <w:tcPr>
            <w:tcW w:w="3543" w:type="dxa"/>
            <w:tcBorders>
              <w:top w:val="nil"/>
              <w:left w:val="nil"/>
              <w:bottom w:val="single" w:sz="4" w:space="0" w:color="auto"/>
              <w:right w:val="single" w:sz="4" w:space="0" w:color="auto"/>
            </w:tcBorders>
            <w:shd w:val="clear" w:color="auto" w:fill="auto"/>
            <w:noWrap/>
            <w:vAlign w:val="bottom"/>
            <w:hideMark/>
          </w:tcPr>
          <w:p w14:paraId="2F337785" w14:textId="3087F3E9" w:rsidR="003F6946" w:rsidRPr="003F6946" w:rsidRDefault="003F6946" w:rsidP="003F6946">
            <w:pPr>
              <w:ind w:firstLine="0"/>
              <w:jc w:val="center"/>
              <w:rPr>
                <w:szCs w:val="24"/>
              </w:rPr>
            </w:pPr>
            <w:r w:rsidRPr="003F6946">
              <w:rPr>
                <w:color w:val="000000"/>
                <w:szCs w:val="24"/>
              </w:rPr>
              <w:t>8015</w:t>
            </w:r>
          </w:p>
        </w:tc>
        <w:tc>
          <w:tcPr>
            <w:tcW w:w="1985" w:type="dxa"/>
            <w:tcBorders>
              <w:top w:val="nil"/>
              <w:left w:val="nil"/>
              <w:bottom w:val="single" w:sz="4" w:space="0" w:color="auto"/>
              <w:right w:val="single" w:sz="4" w:space="0" w:color="auto"/>
            </w:tcBorders>
            <w:shd w:val="clear" w:color="auto" w:fill="auto"/>
            <w:noWrap/>
            <w:vAlign w:val="bottom"/>
            <w:hideMark/>
          </w:tcPr>
          <w:p w14:paraId="647CF991" w14:textId="55B6E83F" w:rsidR="003F6946" w:rsidRPr="003F6946" w:rsidRDefault="003F6946" w:rsidP="003F6946">
            <w:pPr>
              <w:ind w:firstLine="0"/>
              <w:jc w:val="center"/>
              <w:rPr>
                <w:szCs w:val="24"/>
              </w:rPr>
            </w:pPr>
            <w:r w:rsidRPr="003F6946">
              <w:rPr>
                <w:color w:val="000000"/>
                <w:szCs w:val="24"/>
              </w:rPr>
              <w:t>1,20%</w:t>
            </w:r>
          </w:p>
        </w:tc>
      </w:tr>
      <w:tr w:rsidR="003F6946" w:rsidRPr="00824D31" w14:paraId="5AA2FFA8" w14:textId="77777777" w:rsidTr="008B2763">
        <w:trPr>
          <w:trHeight w:val="255"/>
        </w:trPr>
        <w:tc>
          <w:tcPr>
            <w:tcW w:w="851" w:type="dxa"/>
            <w:tcBorders>
              <w:top w:val="nil"/>
              <w:left w:val="single" w:sz="4" w:space="0" w:color="auto"/>
              <w:bottom w:val="single" w:sz="4" w:space="0" w:color="auto"/>
              <w:right w:val="single" w:sz="4" w:space="0" w:color="auto"/>
            </w:tcBorders>
            <w:shd w:val="clear" w:color="auto" w:fill="auto"/>
            <w:noWrap/>
            <w:hideMark/>
          </w:tcPr>
          <w:p w14:paraId="0A661593" w14:textId="77777777" w:rsidR="003F6946" w:rsidRPr="00824D31" w:rsidRDefault="003F6946" w:rsidP="003F6946">
            <w:pPr>
              <w:ind w:firstLine="0"/>
            </w:pPr>
            <w:r w:rsidRPr="00824D31">
              <w:t>25</w:t>
            </w:r>
          </w:p>
        </w:tc>
        <w:tc>
          <w:tcPr>
            <w:tcW w:w="2977" w:type="dxa"/>
            <w:tcBorders>
              <w:top w:val="nil"/>
              <w:left w:val="nil"/>
              <w:bottom w:val="single" w:sz="4" w:space="0" w:color="auto"/>
              <w:right w:val="single" w:sz="4" w:space="0" w:color="auto"/>
            </w:tcBorders>
            <w:shd w:val="clear" w:color="auto" w:fill="auto"/>
            <w:noWrap/>
            <w:hideMark/>
          </w:tcPr>
          <w:p w14:paraId="09566DDD" w14:textId="77777777" w:rsidR="003F6946" w:rsidRPr="00824D31" w:rsidRDefault="003F6946" w:rsidP="003F6946">
            <w:pPr>
              <w:ind w:firstLine="0"/>
            </w:pPr>
            <w:r w:rsidRPr="00824D31">
              <w:t>Олекминский</w:t>
            </w:r>
          </w:p>
        </w:tc>
        <w:tc>
          <w:tcPr>
            <w:tcW w:w="3543" w:type="dxa"/>
            <w:tcBorders>
              <w:top w:val="nil"/>
              <w:left w:val="nil"/>
              <w:bottom w:val="single" w:sz="4" w:space="0" w:color="auto"/>
              <w:right w:val="single" w:sz="4" w:space="0" w:color="auto"/>
            </w:tcBorders>
            <w:shd w:val="clear" w:color="auto" w:fill="auto"/>
            <w:noWrap/>
            <w:vAlign w:val="bottom"/>
            <w:hideMark/>
          </w:tcPr>
          <w:p w14:paraId="53C1795F" w14:textId="32FBAEE2" w:rsidR="003F6946" w:rsidRPr="003F6946" w:rsidRDefault="003F6946" w:rsidP="003F6946">
            <w:pPr>
              <w:ind w:firstLine="0"/>
              <w:jc w:val="center"/>
              <w:rPr>
                <w:szCs w:val="24"/>
              </w:rPr>
            </w:pPr>
            <w:r w:rsidRPr="003F6946">
              <w:rPr>
                <w:color w:val="000000"/>
                <w:szCs w:val="24"/>
              </w:rPr>
              <w:t>11440</w:t>
            </w:r>
          </w:p>
        </w:tc>
        <w:tc>
          <w:tcPr>
            <w:tcW w:w="1985" w:type="dxa"/>
            <w:tcBorders>
              <w:top w:val="nil"/>
              <w:left w:val="nil"/>
              <w:bottom w:val="single" w:sz="4" w:space="0" w:color="auto"/>
              <w:right w:val="single" w:sz="4" w:space="0" w:color="auto"/>
            </w:tcBorders>
            <w:shd w:val="clear" w:color="auto" w:fill="auto"/>
            <w:noWrap/>
            <w:vAlign w:val="bottom"/>
            <w:hideMark/>
          </w:tcPr>
          <w:p w14:paraId="405A134B" w14:textId="1436DEC9" w:rsidR="003F6946" w:rsidRPr="003F6946" w:rsidRDefault="003F6946" w:rsidP="003F6946">
            <w:pPr>
              <w:ind w:firstLine="0"/>
              <w:jc w:val="center"/>
              <w:rPr>
                <w:szCs w:val="24"/>
              </w:rPr>
            </w:pPr>
            <w:r w:rsidRPr="003F6946">
              <w:rPr>
                <w:color w:val="000000"/>
                <w:szCs w:val="24"/>
              </w:rPr>
              <w:t>1,71%</w:t>
            </w:r>
          </w:p>
        </w:tc>
      </w:tr>
      <w:tr w:rsidR="003F6946" w:rsidRPr="00824D31" w14:paraId="3230D469" w14:textId="77777777" w:rsidTr="008B2763">
        <w:trPr>
          <w:trHeight w:val="255"/>
        </w:trPr>
        <w:tc>
          <w:tcPr>
            <w:tcW w:w="851" w:type="dxa"/>
            <w:tcBorders>
              <w:top w:val="nil"/>
              <w:left w:val="single" w:sz="4" w:space="0" w:color="auto"/>
              <w:bottom w:val="single" w:sz="4" w:space="0" w:color="auto"/>
              <w:right w:val="single" w:sz="4" w:space="0" w:color="auto"/>
            </w:tcBorders>
            <w:shd w:val="clear" w:color="auto" w:fill="auto"/>
            <w:noWrap/>
            <w:hideMark/>
          </w:tcPr>
          <w:p w14:paraId="3A36C0F3" w14:textId="77777777" w:rsidR="003F6946" w:rsidRPr="00824D31" w:rsidRDefault="003F6946" w:rsidP="003F6946">
            <w:pPr>
              <w:ind w:firstLine="0"/>
            </w:pPr>
            <w:r w:rsidRPr="00824D31">
              <w:t>26</w:t>
            </w:r>
          </w:p>
        </w:tc>
        <w:tc>
          <w:tcPr>
            <w:tcW w:w="2977" w:type="dxa"/>
            <w:tcBorders>
              <w:top w:val="nil"/>
              <w:left w:val="nil"/>
              <w:bottom w:val="single" w:sz="4" w:space="0" w:color="auto"/>
              <w:right w:val="single" w:sz="4" w:space="0" w:color="auto"/>
            </w:tcBorders>
            <w:shd w:val="clear" w:color="auto" w:fill="auto"/>
            <w:noWrap/>
            <w:hideMark/>
          </w:tcPr>
          <w:p w14:paraId="6194F9D9" w14:textId="77777777" w:rsidR="003F6946" w:rsidRPr="00824D31" w:rsidRDefault="003F6946" w:rsidP="003F6946">
            <w:pPr>
              <w:ind w:firstLine="0"/>
            </w:pPr>
            <w:r w:rsidRPr="00824D31">
              <w:t>Оленекский</w:t>
            </w:r>
          </w:p>
        </w:tc>
        <w:tc>
          <w:tcPr>
            <w:tcW w:w="3543" w:type="dxa"/>
            <w:tcBorders>
              <w:top w:val="nil"/>
              <w:left w:val="nil"/>
              <w:bottom w:val="single" w:sz="4" w:space="0" w:color="auto"/>
              <w:right w:val="single" w:sz="4" w:space="0" w:color="auto"/>
            </w:tcBorders>
            <w:shd w:val="clear" w:color="auto" w:fill="auto"/>
            <w:noWrap/>
            <w:vAlign w:val="bottom"/>
            <w:hideMark/>
          </w:tcPr>
          <w:p w14:paraId="2B41F64A" w14:textId="58AEE7FB" w:rsidR="003F6946" w:rsidRPr="003F6946" w:rsidRDefault="003F6946" w:rsidP="003F6946">
            <w:pPr>
              <w:ind w:firstLine="0"/>
              <w:jc w:val="center"/>
              <w:rPr>
                <w:szCs w:val="24"/>
              </w:rPr>
            </w:pPr>
            <w:r w:rsidRPr="003F6946">
              <w:rPr>
                <w:color w:val="000000"/>
                <w:szCs w:val="24"/>
              </w:rPr>
              <w:t>1539</w:t>
            </w:r>
          </w:p>
        </w:tc>
        <w:tc>
          <w:tcPr>
            <w:tcW w:w="1985" w:type="dxa"/>
            <w:tcBorders>
              <w:top w:val="nil"/>
              <w:left w:val="nil"/>
              <w:bottom w:val="single" w:sz="4" w:space="0" w:color="auto"/>
              <w:right w:val="single" w:sz="4" w:space="0" w:color="auto"/>
            </w:tcBorders>
            <w:shd w:val="clear" w:color="auto" w:fill="auto"/>
            <w:noWrap/>
            <w:vAlign w:val="bottom"/>
            <w:hideMark/>
          </w:tcPr>
          <w:p w14:paraId="1C924369" w14:textId="13E89D7E" w:rsidR="003F6946" w:rsidRPr="003F6946" w:rsidRDefault="003F6946" w:rsidP="003F6946">
            <w:pPr>
              <w:ind w:firstLine="0"/>
              <w:jc w:val="center"/>
              <w:rPr>
                <w:szCs w:val="24"/>
              </w:rPr>
            </w:pPr>
            <w:r w:rsidRPr="003F6946">
              <w:rPr>
                <w:color w:val="000000"/>
                <w:szCs w:val="24"/>
              </w:rPr>
              <w:t>0,23%</w:t>
            </w:r>
          </w:p>
        </w:tc>
      </w:tr>
      <w:tr w:rsidR="003F6946" w:rsidRPr="00824D31" w14:paraId="0EF2B111" w14:textId="77777777" w:rsidTr="008B2763">
        <w:trPr>
          <w:trHeight w:val="255"/>
        </w:trPr>
        <w:tc>
          <w:tcPr>
            <w:tcW w:w="851" w:type="dxa"/>
            <w:tcBorders>
              <w:top w:val="nil"/>
              <w:left w:val="single" w:sz="4" w:space="0" w:color="auto"/>
              <w:bottom w:val="single" w:sz="4" w:space="0" w:color="auto"/>
              <w:right w:val="single" w:sz="4" w:space="0" w:color="auto"/>
            </w:tcBorders>
            <w:shd w:val="clear" w:color="auto" w:fill="auto"/>
            <w:noWrap/>
            <w:hideMark/>
          </w:tcPr>
          <w:p w14:paraId="16517BA4" w14:textId="77777777" w:rsidR="003F6946" w:rsidRPr="00824D31" w:rsidRDefault="003F6946" w:rsidP="003F6946">
            <w:pPr>
              <w:ind w:firstLine="0"/>
            </w:pPr>
            <w:r w:rsidRPr="00824D31">
              <w:t>27</w:t>
            </w:r>
          </w:p>
        </w:tc>
        <w:tc>
          <w:tcPr>
            <w:tcW w:w="2977" w:type="dxa"/>
            <w:tcBorders>
              <w:top w:val="nil"/>
              <w:left w:val="nil"/>
              <w:bottom w:val="single" w:sz="4" w:space="0" w:color="auto"/>
              <w:right w:val="single" w:sz="4" w:space="0" w:color="auto"/>
            </w:tcBorders>
            <w:shd w:val="clear" w:color="auto" w:fill="auto"/>
            <w:noWrap/>
            <w:hideMark/>
          </w:tcPr>
          <w:p w14:paraId="4F00FE98" w14:textId="77777777" w:rsidR="003F6946" w:rsidRPr="00824D31" w:rsidRDefault="003F6946" w:rsidP="003F6946">
            <w:pPr>
              <w:ind w:firstLine="0"/>
            </w:pPr>
            <w:r w:rsidRPr="00824D31">
              <w:t>Среднеколымский</w:t>
            </w:r>
          </w:p>
        </w:tc>
        <w:tc>
          <w:tcPr>
            <w:tcW w:w="3543" w:type="dxa"/>
            <w:tcBorders>
              <w:top w:val="nil"/>
              <w:left w:val="nil"/>
              <w:bottom w:val="single" w:sz="4" w:space="0" w:color="auto"/>
              <w:right w:val="single" w:sz="4" w:space="0" w:color="auto"/>
            </w:tcBorders>
            <w:shd w:val="clear" w:color="auto" w:fill="auto"/>
            <w:noWrap/>
            <w:vAlign w:val="bottom"/>
            <w:hideMark/>
          </w:tcPr>
          <w:p w14:paraId="7433FA03" w14:textId="29FFA378" w:rsidR="003F6946" w:rsidRPr="003F6946" w:rsidRDefault="003F6946" w:rsidP="003F6946">
            <w:pPr>
              <w:ind w:firstLine="0"/>
              <w:jc w:val="center"/>
              <w:rPr>
                <w:szCs w:val="24"/>
              </w:rPr>
            </w:pPr>
            <w:r w:rsidRPr="003F6946">
              <w:rPr>
                <w:color w:val="000000"/>
                <w:szCs w:val="24"/>
              </w:rPr>
              <w:t>3304</w:t>
            </w:r>
          </w:p>
        </w:tc>
        <w:tc>
          <w:tcPr>
            <w:tcW w:w="1985" w:type="dxa"/>
            <w:tcBorders>
              <w:top w:val="nil"/>
              <w:left w:val="nil"/>
              <w:bottom w:val="single" w:sz="4" w:space="0" w:color="auto"/>
              <w:right w:val="single" w:sz="4" w:space="0" w:color="auto"/>
            </w:tcBorders>
            <w:shd w:val="clear" w:color="auto" w:fill="auto"/>
            <w:noWrap/>
            <w:vAlign w:val="bottom"/>
            <w:hideMark/>
          </w:tcPr>
          <w:p w14:paraId="090B3B68" w14:textId="5A6196FA" w:rsidR="003F6946" w:rsidRPr="003F6946" w:rsidRDefault="003F6946" w:rsidP="003F6946">
            <w:pPr>
              <w:ind w:firstLine="0"/>
              <w:jc w:val="center"/>
              <w:rPr>
                <w:szCs w:val="24"/>
              </w:rPr>
            </w:pPr>
            <w:r w:rsidRPr="003F6946">
              <w:rPr>
                <w:color w:val="000000"/>
                <w:szCs w:val="24"/>
              </w:rPr>
              <w:t>0,49%</w:t>
            </w:r>
          </w:p>
        </w:tc>
      </w:tr>
      <w:tr w:rsidR="003F6946" w:rsidRPr="00824D31" w14:paraId="4BE3EB2A" w14:textId="77777777" w:rsidTr="008B2763">
        <w:trPr>
          <w:trHeight w:val="255"/>
        </w:trPr>
        <w:tc>
          <w:tcPr>
            <w:tcW w:w="851" w:type="dxa"/>
            <w:tcBorders>
              <w:top w:val="nil"/>
              <w:left w:val="single" w:sz="4" w:space="0" w:color="auto"/>
              <w:bottom w:val="single" w:sz="4" w:space="0" w:color="auto"/>
              <w:right w:val="single" w:sz="4" w:space="0" w:color="auto"/>
            </w:tcBorders>
            <w:shd w:val="clear" w:color="auto" w:fill="auto"/>
            <w:noWrap/>
            <w:hideMark/>
          </w:tcPr>
          <w:p w14:paraId="0F7F9A11" w14:textId="77777777" w:rsidR="003F6946" w:rsidRPr="00824D31" w:rsidRDefault="003F6946" w:rsidP="003F6946">
            <w:pPr>
              <w:ind w:firstLine="0"/>
            </w:pPr>
            <w:r w:rsidRPr="00824D31">
              <w:t>28</w:t>
            </w:r>
          </w:p>
        </w:tc>
        <w:tc>
          <w:tcPr>
            <w:tcW w:w="2977" w:type="dxa"/>
            <w:tcBorders>
              <w:top w:val="nil"/>
              <w:left w:val="nil"/>
              <w:bottom w:val="single" w:sz="4" w:space="0" w:color="auto"/>
              <w:right w:val="single" w:sz="4" w:space="0" w:color="auto"/>
            </w:tcBorders>
            <w:shd w:val="clear" w:color="auto" w:fill="auto"/>
            <w:noWrap/>
            <w:hideMark/>
          </w:tcPr>
          <w:p w14:paraId="2D463D31" w14:textId="77777777" w:rsidR="003F6946" w:rsidRPr="00824D31" w:rsidRDefault="003F6946" w:rsidP="003F6946">
            <w:pPr>
              <w:ind w:firstLine="0"/>
            </w:pPr>
            <w:r w:rsidRPr="00824D31">
              <w:t>Сунтарский</w:t>
            </w:r>
          </w:p>
        </w:tc>
        <w:tc>
          <w:tcPr>
            <w:tcW w:w="3543" w:type="dxa"/>
            <w:tcBorders>
              <w:top w:val="nil"/>
              <w:left w:val="nil"/>
              <w:bottom w:val="single" w:sz="4" w:space="0" w:color="auto"/>
              <w:right w:val="single" w:sz="4" w:space="0" w:color="auto"/>
            </w:tcBorders>
            <w:shd w:val="clear" w:color="auto" w:fill="auto"/>
            <w:noWrap/>
            <w:vAlign w:val="bottom"/>
            <w:hideMark/>
          </w:tcPr>
          <w:p w14:paraId="7AA6516C" w14:textId="653346D1" w:rsidR="003F6946" w:rsidRPr="003F6946" w:rsidRDefault="003F6946" w:rsidP="003F6946">
            <w:pPr>
              <w:ind w:firstLine="0"/>
              <w:jc w:val="center"/>
              <w:rPr>
                <w:szCs w:val="24"/>
              </w:rPr>
            </w:pPr>
            <w:r w:rsidRPr="003F6946">
              <w:rPr>
                <w:color w:val="000000"/>
                <w:szCs w:val="24"/>
              </w:rPr>
              <w:t>9809</w:t>
            </w:r>
          </w:p>
        </w:tc>
        <w:tc>
          <w:tcPr>
            <w:tcW w:w="1985" w:type="dxa"/>
            <w:tcBorders>
              <w:top w:val="nil"/>
              <w:left w:val="nil"/>
              <w:bottom w:val="single" w:sz="4" w:space="0" w:color="auto"/>
              <w:right w:val="single" w:sz="4" w:space="0" w:color="auto"/>
            </w:tcBorders>
            <w:shd w:val="clear" w:color="auto" w:fill="auto"/>
            <w:noWrap/>
            <w:vAlign w:val="bottom"/>
            <w:hideMark/>
          </w:tcPr>
          <w:p w14:paraId="598E8728" w14:textId="15F19E90" w:rsidR="003F6946" w:rsidRPr="003F6946" w:rsidRDefault="003F6946" w:rsidP="003F6946">
            <w:pPr>
              <w:ind w:firstLine="0"/>
              <w:jc w:val="center"/>
              <w:rPr>
                <w:szCs w:val="24"/>
              </w:rPr>
            </w:pPr>
            <w:r w:rsidRPr="003F6946">
              <w:rPr>
                <w:color w:val="000000"/>
                <w:szCs w:val="24"/>
              </w:rPr>
              <w:t>1,46%</w:t>
            </w:r>
          </w:p>
        </w:tc>
      </w:tr>
      <w:tr w:rsidR="003F6946" w:rsidRPr="00824D31" w14:paraId="10E1BE65" w14:textId="77777777" w:rsidTr="008B2763">
        <w:trPr>
          <w:trHeight w:val="255"/>
        </w:trPr>
        <w:tc>
          <w:tcPr>
            <w:tcW w:w="851" w:type="dxa"/>
            <w:tcBorders>
              <w:top w:val="nil"/>
              <w:left w:val="single" w:sz="4" w:space="0" w:color="auto"/>
              <w:bottom w:val="single" w:sz="4" w:space="0" w:color="auto"/>
              <w:right w:val="single" w:sz="4" w:space="0" w:color="auto"/>
            </w:tcBorders>
            <w:shd w:val="clear" w:color="auto" w:fill="auto"/>
            <w:noWrap/>
            <w:hideMark/>
          </w:tcPr>
          <w:p w14:paraId="01C177BD" w14:textId="77777777" w:rsidR="003F6946" w:rsidRPr="00824D31" w:rsidRDefault="003F6946" w:rsidP="003F6946">
            <w:pPr>
              <w:ind w:firstLine="0"/>
            </w:pPr>
            <w:r w:rsidRPr="00824D31">
              <w:t>29</w:t>
            </w:r>
          </w:p>
        </w:tc>
        <w:tc>
          <w:tcPr>
            <w:tcW w:w="2977" w:type="dxa"/>
            <w:tcBorders>
              <w:top w:val="nil"/>
              <w:left w:val="nil"/>
              <w:bottom w:val="single" w:sz="4" w:space="0" w:color="auto"/>
              <w:right w:val="single" w:sz="4" w:space="0" w:color="auto"/>
            </w:tcBorders>
            <w:shd w:val="clear" w:color="auto" w:fill="auto"/>
            <w:noWrap/>
            <w:hideMark/>
          </w:tcPr>
          <w:p w14:paraId="761B3A17" w14:textId="77777777" w:rsidR="003F6946" w:rsidRPr="00824D31" w:rsidRDefault="003F6946" w:rsidP="003F6946">
            <w:pPr>
              <w:ind w:firstLine="0"/>
            </w:pPr>
            <w:r w:rsidRPr="00824D31">
              <w:t>Таттинский</w:t>
            </w:r>
          </w:p>
        </w:tc>
        <w:tc>
          <w:tcPr>
            <w:tcW w:w="3543" w:type="dxa"/>
            <w:tcBorders>
              <w:top w:val="nil"/>
              <w:left w:val="nil"/>
              <w:bottom w:val="single" w:sz="4" w:space="0" w:color="auto"/>
              <w:right w:val="single" w:sz="4" w:space="0" w:color="auto"/>
            </w:tcBorders>
            <w:shd w:val="clear" w:color="auto" w:fill="auto"/>
            <w:noWrap/>
            <w:vAlign w:val="bottom"/>
            <w:hideMark/>
          </w:tcPr>
          <w:p w14:paraId="0D90798D" w14:textId="0D7259D0" w:rsidR="003F6946" w:rsidRPr="003F6946" w:rsidRDefault="003F6946" w:rsidP="003F6946">
            <w:pPr>
              <w:ind w:firstLine="0"/>
              <w:jc w:val="center"/>
              <w:rPr>
                <w:szCs w:val="24"/>
              </w:rPr>
            </w:pPr>
            <w:r w:rsidRPr="003F6946">
              <w:rPr>
                <w:color w:val="000000"/>
                <w:szCs w:val="24"/>
              </w:rPr>
              <w:t>7419</w:t>
            </w:r>
          </w:p>
        </w:tc>
        <w:tc>
          <w:tcPr>
            <w:tcW w:w="1985" w:type="dxa"/>
            <w:tcBorders>
              <w:top w:val="nil"/>
              <w:left w:val="nil"/>
              <w:bottom w:val="single" w:sz="4" w:space="0" w:color="auto"/>
              <w:right w:val="single" w:sz="4" w:space="0" w:color="auto"/>
            </w:tcBorders>
            <w:shd w:val="clear" w:color="auto" w:fill="auto"/>
            <w:noWrap/>
            <w:vAlign w:val="bottom"/>
            <w:hideMark/>
          </w:tcPr>
          <w:p w14:paraId="7A93BDB5" w14:textId="618C1329" w:rsidR="003F6946" w:rsidRPr="003F6946" w:rsidRDefault="003F6946" w:rsidP="003F6946">
            <w:pPr>
              <w:ind w:firstLine="0"/>
              <w:jc w:val="center"/>
              <w:rPr>
                <w:szCs w:val="24"/>
              </w:rPr>
            </w:pPr>
            <w:r w:rsidRPr="003F6946">
              <w:rPr>
                <w:color w:val="000000"/>
                <w:szCs w:val="24"/>
              </w:rPr>
              <w:t>1,11%</w:t>
            </w:r>
          </w:p>
        </w:tc>
      </w:tr>
      <w:tr w:rsidR="003F6946" w:rsidRPr="00824D31" w14:paraId="466BC0C0" w14:textId="77777777" w:rsidTr="008B2763">
        <w:trPr>
          <w:trHeight w:val="255"/>
        </w:trPr>
        <w:tc>
          <w:tcPr>
            <w:tcW w:w="851" w:type="dxa"/>
            <w:tcBorders>
              <w:top w:val="nil"/>
              <w:left w:val="single" w:sz="4" w:space="0" w:color="auto"/>
              <w:bottom w:val="single" w:sz="4" w:space="0" w:color="auto"/>
              <w:right w:val="single" w:sz="4" w:space="0" w:color="auto"/>
            </w:tcBorders>
            <w:shd w:val="clear" w:color="auto" w:fill="auto"/>
            <w:noWrap/>
            <w:hideMark/>
          </w:tcPr>
          <w:p w14:paraId="3F51E310" w14:textId="77777777" w:rsidR="003F6946" w:rsidRPr="00824D31" w:rsidRDefault="003F6946" w:rsidP="003F6946">
            <w:pPr>
              <w:ind w:firstLine="0"/>
            </w:pPr>
            <w:r w:rsidRPr="00824D31">
              <w:t>30</w:t>
            </w:r>
          </w:p>
        </w:tc>
        <w:tc>
          <w:tcPr>
            <w:tcW w:w="2977" w:type="dxa"/>
            <w:tcBorders>
              <w:top w:val="nil"/>
              <w:left w:val="nil"/>
              <w:bottom w:val="single" w:sz="4" w:space="0" w:color="auto"/>
              <w:right w:val="single" w:sz="4" w:space="0" w:color="auto"/>
            </w:tcBorders>
            <w:shd w:val="clear" w:color="auto" w:fill="auto"/>
            <w:noWrap/>
            <w:hideMark/>
          </w:tcPr>
          <w:p w14:paraId="4380A365" w14:textId="77777777" w:rsidR="003F6946" w:rsidRPr="00824D31" w:rsidRDefault="003F6946" w:rsidP="003F6946">
            <w:pPr>
              <w:ind w:firstLine="0"/>
            </w:pPr>
            <w:r w:rsidRPr="00824D31">
              <w:t>Томпонский</w:t>
            </w:r>
          </w:p>
        </w:tc>
        <w:tc>
          <w:tcPr>
            <w:tcW w:w="3543" w:type="dxa"/>
            <w:tcBorders>
              <w:top w:val="nil"/>
              <w:left w:val="nil"/>
              <w:bottom w:val="single" w:sz="4" w:space="0" w:color="auto"/>
              <w:right w:val="single" w:sz="4" w:space="0" w:color="auto"/>
            </w:tcBorders>
            <w:shd w:val="clear" w:color="auto" w:fill="auto"/>
            <w:noWrap/>
            <w:vAlign w:val="bottom"/>
            <w:hideMark/>
          </w:tcPr>
          <w:p w14:paraId="39093794" w14:textId="74688510" w:rsidR="003F6946" w:rsidRPr="003F6946" w:rsidRDefault="003F6946" w:rsidP="003F6946">
            <w:pPr>
              <w:ind w:firstLine="0"/>
              <w:jc w:val="center"/>
              <w:rPr>
                <w:szCs w:val="24"/>
              </w:rPr>
            </w:pPr>
            <w:r w:rsidRPr="003F6946">
              <w:rPr>
                <w:color w:val="000000"/>
                <w:szCs w:val="24"/>
              </w:rPr>
              <w:t>10285</w:t>
            </w:r>
          </w:p>
        </w:tc>
        <w:tc>
          <w:tcPr>
            <w:tcW w:w="1985" w:type="dxa"/>
            <w:tcBorders>
              <w:top w:val="nil"/>
              <w:left w:val="nil"/>
              <w:bottom w:val="single" w:sz="4" w:space="0" w:color="auto"/>
              <w:right w:val="single" w:sz="4" w:space="0" w:color="auto"/>
            </w:tcBorders>
            <w:shd w:val="clear" w:color="auto" w:fill="auto"/>
            <w:noWrap/>
            <w:vAlign w:val="bottom"/>
            <w:hideMark/>
          </w:tcPr>
          <w:p w14:paraId="31A5F318" w14:textId="05191A0C" w:rsidR="003F6946" w:rsidRPr="003F6946" w:rsidRDefault="003F6946" w:rsidP="003F6946">
            <w:pPr>
              <w:ind w:firstLine="0"/>
              <w:jc w:val="center"/>
              <w:rPr>
                <w:szCs w:val="24"/>
              </w:rPr>
            </w:pPr>
            <w:r w:rsidRPr="003F6946">
              <w:rPr>
                <w:color w:val="000000"/>
                <w:szCs w:val="24"/>
              </w:rPr>
              <w:t>1,53%</w:t>
            </w:r>
          </w:p>
        </w:tc>
      </w:tr>
      <w:tr w:rsidR="003F6946" w:rsidRPr="00824D31" w14:paraId="3FE6D969" w14:textId="77777777" w:rsidTr="008B2763">
        <w:trPr>
          <w:trHeight w:val="255"/>
        </w:trPr>
        <w:tc>
          <w:tcPr>
            <w:tcW w:w="851" w:type="dxa"/>
            <w:tcBorders>
              <w:top w:val="nil"/>
              <w:left w:val="single" w:sz="4" w:space="0" w:color="auto"/>
              <w:bottom w:val="single" w:sz="4" w:space="0" w:color="auto"/>
              <w:right w:val="single" w:sz="4" w:space="0" w:color="auto"/>
            </w:tcBorders>
            <w:shd w:val="clear" w:color="auto" w:fill="auto"/>
            <w:noWrap/>
            <w:hideMark/>
          </w:tcPr>
          <w:p w14:paraId="2ECE6835" w14:textId="77777777" w:rsidR="003F6946" w:rsidRPr="00824D31" w:rsidRDefault="003F6946" w:rsidP="003F6946">
            <w:pPr>
              <w:ind w:firstLine="0"/>
            </w:pPr>
            <w:r w:rsidRPr="00824D31">
              <w:t>31</w:t>
            </w:r>
          </w:p>
        </w:tc>
        <w:tc>
          <w:tcPr>
            <w:tcW w:w="2977" w:type="dxa"/>
            <w:tcBorders>
              <w:top w:val="nil"/>
              <w:left w:val="nil"/>
              <w:bottom w:val="single" w:sz="4" w:space="0" w:color="auto"/>
              <w:right w:val="single" w:sz="4" w:space="0" w:color="auto"/>
            </w:tcBorders>
            <w:shd w:val="clear" w:color="auto" w:fill="auto"/>
            <w:noWrap/>
            <w:hideMark/>
          </w:tcPr>
          <w:p w14:paraId="3F8086A8" w14:textId="77777777" w:rsidR="003F6946" w:rsidRPr="00824D31" w:rsidRDefault="003F6946" w:rsidP="003F6946">
            <w:pPr>
              <w:ind w:firstLine="0"/>
            </w:pPr>
            <w:r w:rsidRPr="00824D31">
              <w:t>Усть-Алданский</w:t>
            </w:r>
          </w:p>
        </w:tc>
        <w:tc>
          <w:tcPr>
            <w:tcW w:w="3543" w:type="dxa"/>
            <w:tcBorders>
              <w:top w:val="nil"/>
              <w:left w:val="nil"/>
              <w:bottom w:val="single" w:sz="4" w:space="0" w:color="auto"/>
              <w:right w:val="single" w:sz="4" w:space="0" w:color="auto"/>
            </w:tcBorders>
            <w:shd w:val="clear" w:color="auto" w:fill="auto"/>
            <w:noWrap/>
            <w:vAlign w:val="bottom"/>
            <w:hideMark/>
          </w:tcPr>
          <w:p w14:paraId="40BAA6DC" w14:textId="059CCBA2" w:rsidR="003F6946" w:rsidRPr="003F6946" w:rsidRDefault="003F6946" w:rsidP="003F6946">
            <w:pPr>
              <w:ind w:firstLine="0"/>
              <w:jc w:val="center"/>
              <w:rPr>
                <w:szCs w:val="24"/>
              </w:rPr>
            </w:pPr>
            <w:r w:rsidRPr="003F6946">
              <w:rPr>
                <w:color w:val="000000"/>
                <w:szCs w:val="24"/>
              </w:rPr>
              <w:t>10877</w:t>
            </w:r>
          </w:p>
        </w:tc>
        <w:tc>
          <w:tcPr>
            <w:tcW w:w="1985" w:type="dxa"/>
            <w:tcBorders>
              <w:top w:val="nil"/>
              <w:left w:val="nil"/>
              <w:bottom w:val="single" w:sz="4" w:space="0" w:color="auto"/>
              <w:right w:val="single" w:sz="4" w:space="0" w:color="auto"/>
            </w:tcBorders>
            <w:shd w:val="clear" w:color="auto" w:fill="auto"/>
            <w:noWrap/>
            <w:vAlign w:val="bottom"/>
            <w:hideMark/>
          </w:tcPr>
          <w:p w14:paraId="53A018DE" w14:textId="13B2BC49" w:rsidR="003F6946" w:rsidRPr="003F6946" w:rsidRDefault="003F6946" w:rsidP="003F6946">
            <w:pPr>
              <w:ind w:firstLine="0"/>
              <w:jc w:val="center"/>
              <w:rPr>
                <w:szCs w:val="24"/>
              </w:rPr>
            </w:pPr>
            <w:r w:rsidRPr="003F6946">
              <w:rPr>
                <w:color w:val="000000"/>
                <w:szCs w:val="24"/>
              </w:rPr>
              <w:t>1,62%</w:t>
            </w:r>
          </w:p>
        </w:tc>
      </w:tr>
      <w:tr w:rsidR="003F6946" w:rsidRPr="00824D31" w14:paraId="191E8415" w14:textId="77777777" w:rsidTr="008B2763">
        <w:trPr>
          <w:trHeight w:val="255"/>
        </w:trPr>
        <w:tc>
          <w:tcPr>
            <w:tcW w:w="851" w:type="dxa"/>
            <w:tcBorders>
              <w:top w:val="nil"/>
              <w:left w:val="single" w:sz="4" w:space="0" w:color="auto"/>
              <w:bottom w:val="single" w:sz="4" w:space="0" w:color="auto"/>
              <w:right w:val="single" w:sz="4" w:space="0" w:color="auto"/>
            </w:tcBorders>
            <w:shd w:val="clear" w:color="auto" w:fill="auto"/>
            <w:noWrap/>
            <w:hideMark/>
          </w:tcPr>
          <w:p w14:paraId="162F660B" w14:textId="77777777" w:rsidR="003F6946" w:rsidRPr="00824D31" w:rsidRDefault="003F6946" w:rsidP="003F6946">
            <w:pPr>
              <w:ind w:firstLine="0"/>
            </w:pPr>
            <w:r w:rsidRPr="00824D31">
              <w:t>32</w:t>
            </w:r>
          </w:p>
        </w:tc>
        <w:tc>
          <w:tcPr>
            <w:tcW w:w="2977" w:type="dxa"/>
            <w:tcBorders>
              <w:top w:val="nil"/>
              <w:left w:val="nil"/>
              <w:bottom w:val="single" w:sz="4" w:space="0" w:color="auto"/>
              <w:right w:val="single" w:sz="4" w:space="0" w:color="auto"/>
            </w:tcBorders>
            <w:shd w:val="clear" w:color="auto" w:fill="auto"/>
            <w:noWrap/>
            <w:hideMark/>
          </w:tcPr>
          <w:p w14:paraId="336A5FC1" w14:textId="77777777" w:rsidR="003F6946" w:rsidRPr="00824D31" w:rsidRDefault="003F6946" w:rsidP="003F6946">
            <w:pPr>
              <w:ind w:firstLine="0"/>
            </w:pPr>
            <w:r w:rsidRPr="00824D31">
              <w:t>Усть-Майский</w:t>
            </w:r>
          </w:p>
        </w:tc>
        <w:tc>
          <w:tcPr>
            <w:tcW w:w="3543" w:type="dxa"/>
            <w:tcBorders>
              <w:top w:val="nil"/>
              <w:left w:val="nil"/>
              <w:bottom w:val="single" w:sz="4" w:space="0" w:color="auto"/>
              <w:right w:val="single" w:sz="4" w:space="0" w:color="auto"/>
            </w:tcBorders>
            <w:shd w:val="clear" w:color="auto" w:fill="auto"/>
            <w:noWrap/>
            <w:vAlign w:val="bottom"/>
            <w:hideMark/>
          </w:tcPr>
          <w:p w14:paraId="12E84BF4" w14:textId="267B8B88" w:rsidR="003F6946" w:rsidRPr="003F6946" w:rsidRDefault="003F6946" w:rsidP="003F6946">
            <w:pPr>
              <w:ind w:firstLine="0"/>
              <w:jc w:val="center"/>
              <w:rPr>
                <w:szCs w:val="24"/>
              </w:rPr>
            </w:pPr>
            <w:r w:rsidRPr="003F6946">
              <w:rPr>
                <w:color w:val="000000"/>
                <w:szCs w:val="24"/>
              </w:rPr>
              <w:t>5797</w:t>
            </w:r>
          </w:p>
        </w:tc>
        <w:tc>
          <w:tcPr>
            <w:tcW w:w="1985" w:type="dxa"/>
            <w:tcBorders>
              <w:top w:val="nil"/>
              <w:left w:val="nil"/>
              <w:bottom w:val="single" w:sz="4" w:space="0" w:color="auto"/>
              <w:right w:val="single" w:sz="4" w:space="0" w:color="auto"/>
            </w:tcBorders>
            <w:shd w:val="clear" w:color="auto" w:fill="auto"/>
            <w:noWrap/>
            <w:vAlign w:val="bottom"/>
            <w:hideMark/>
          </w:tcPr>
          <w:p w14:paraId="74B68523" w14:textId="05DD5C52" w:rsidR="003F6946" w:rsidRPr="003F6946" w:rsidRDefault="003F6946" w:rsidP="003F6946">
            <w:pPr>
              <w:ind w:firstLine="0"/>
              <w:jc w:val="center"/>
              <w:rPr>
                <w:szCs w:val="24"/>
              </w:rPr>
            </w:pPr>
            <w:r w:rsidRPr="003F6946">
              <w:rPr>
                <w:color w:val="000000"/>
                <w:szCs w:val="24"/>
              </w:rPr>
              <w:t>0,86%</w:t>
            </w:r>
          </w:p>
        </w:tc>
      </w:tr>
      <w:tr w:rsidR="003F6946" w:rsidRPr="00824D31" w14:paraId="649551B6" w14:textId="77777777" w:rsidTr="008B2763">
        <w:trPr>
          <w:trHeight w:val="255"/>
        </w:trPr>
        <w:tc>
          <w:tcPr>
            <w:tcW w:w="851" w:type="dxa"/>
            <w:tcBorders>
              <w:top w:val="nil"/>
              <w:left w:val="single" w:sz="4" w:space="0" w:color="auto"/>
              <w:bottom w:val="single" w:sz="4" w:space="0" w:color="auto"/>
              <w:right w:val="single" w:sz="4" w:space="0" w:color="auto"/>
            </w:tcBorders>
            <w:shd w:val="clear" w:color="auto" w:fill="auto"/>
            <w:noWrap/>
            <w:hideMark/>
          </w:tcPr>
          <w:p w14:paraId="42BDD08D" w14:textId="77777777" w:rsidR="003F6946" w:rsidRPr="00824D31" w:rsidRDefault="003F6946" w:rsidP="003F6946">
            <w:pPr>
              <w:ind w:firstLine="0"/>
            </w:pPr>
            <w:r w:rsidRPr="00824D31">
              <w:t>33</w:t>
            </w:r>
          </w:p>
        </w:tc>
        <w:tc>
          <w:tcPr>
            <w:tcW w:w="2977" w:type="dxa"/>
            <w:tcBorders>
              <w:top w:val="nil"/>
              <w:left w:val="nil"/>
              <w:bottom w:val="single" w:sz="4" w:space="0" w:color="auto"/>
              <w:right w:val="single" w:sz="4" w:space="0" w:color="auto"/>
            </w:tcBorders>
            <w:shd w:val="clear" w:color="auto" w:fill="auto"/>
            <w:noWrap/>
            <w:hideMark/>
          </w:tcPr>
          <w:p w14:paraId="06F69089" w14:textId="77777777" w:rsidR="003F6946" w:rsidRPr="00824D31" w:rsidRDefault="003F6946" w:rsidP="003F6946">
            <w:pPr>
              <w:ind w:firstLine="0"/>
            </w:pPr>
            <w:r w:rsidRPr="00824D31">
              <w:t>Усть-Янский</w:t>
            </w:r>
          </w:p>
        </w:tc>
        <w:tc>
          <w:tcPr>
            <w:tcW w:w="3543" w:type="dxa"/>
            <w:tcBorders>
              <w:top w:val="nil"/>
              <w:left w:val="nil"/>
              <w:bottom w:val="single" w:sz="4" w:space="0" w:color="auto"/>
              <w:right w:val="single" w:sz="4" w:space="0" w:color="auto"/>
            </w:tcBorders>
            <w:shd w:val="clear" w:color="auto" w:fill="auto"/>
            <w:noWrap/>
            <w:vAlign w:val="bottom"/>
            <w:hideMark/>
          </w:tcPr>
          <w:p w14:paraId="3C138D0B" w14:textId="56F60A68" w:rsidR="003F6946" w:rsidRPr="003F6946" w:rsidRDefault="003F6946" w:rsidP="003F6946">
            <w:pPr>
              <w:ind w:firstLine="0"/>
              <w:jc w:val="center"/>
              <w:rPr>
                <w:szCs w:val="24"/>
              </w:rPr>
            </w:pPr>
            <w:r w:rsidRPr="003F6946">
              <w:rPr>
                <w:color w:val="000000"/>
                <w:szCs w:val="24"/>
              </w:rPr>
              <w:t>3924</w:t>
            </w:r>
          </w:p>
        </w:tc>
        <w:tc>
          <w:tcPr>
            <w:tcW w:w="1985" w:type="dxa"/>
            <w:tcBorders>
              <w:top w:val="nil"/>
              <w:left w:val="nil"/>
              <w:bottom w:val="single" w:sz="4" w:space="0" w:color="auto"/>
              <w:right w:val="single" w:sz="4" w:space="0" w:color="auto"/>
            </w:tcBorders>
            <w:shd w:val="clear" w:color="auto" w:fill="auto"/>
            <w:noWrap/>
            <w:vAlign w:val="bottom"/>
            <w:hideMark/>
          </w:tcPr>
          <w:p w14:paraId="5516BE74" w14:textId="0F15975A" w:rsidR="003F6946" w:rsidRPr="003F6946" w:rsidRDefault="003F6946" w:rsidP="003F6946">
            <w:pPr>
              <w:ind w:firstLine="0"/>
              <w:jc w:val="center"/>
              <w:rPr>
                <w:szCs w:val="24"/>
              </w:rPr>
            </w:pPr>
            <w:r w:rsidRPr="003F6946">
              <w:rPr>
                <w:color w:val="000000"/>
                <w:szCs w:val="24"/>
              </w:rPr>
              <w:t>0,59%</w:t>
            </w:r>
          </w:p>
        </w:tc>
      </w:tr>
      <w:tr w:rsidR="003F6946" w:rsidRPr="00824D31" w14:paraId="0F7B40BB" w14:textId="77777777" w:rsidTr="008B2763">
        <w:trPr>
          <w:trHeight w:val="255"/>
        </w:trPr>
        <w:tc>
          <w:tcPr>
            <w:tcW w:w="851" w:type="dxa"/>
            <w:tcBorders>
              <w:top w:val="nil"/>
              <w:left w:val="single" w:sz="4" w:space="0" w:color="auto"/>
              <w:bottom w:val="single" w:sz="4" w:space="0" w:color="auto"/>
              <w:right w:val="single" w:sz="4" w:space="0" w:color="auto"/>
            </w:tcBorders>
            <w:shd w:val="clear" w:color="auto" w:fill="auto"/>
            <w:noWrap/>
            <w:hideMark/>
          </w:tcPr>
          <w:p w14:paraId="4F6CB0B2" w14:textId="77777777" w:rsidR="003F6946" w:rsidRPr="00824D31" w:rsidRDefault="003F6946" w:rsidP="003F6946">
            <w:pPr>
              <w:ind w:firstLine="0"/>
            </w:pPr>
            <w:r w:rsidRPr="00824D31">
              <w:t>34</w:t>
            </w:r>
          </w:p>
        </w:tc>
        <w:tc>
          <w:tcPr>
            <w:tcW w:w="2977" w:type="dxa"/>
            <w:tcBorders>
              <w:top w:val="nil"/>
              <w:left w:val="nil"/>
              <w:bottom w:val="single" w:sz="4" w:space="0" w:color="auto"/>
              <w:right w:val="single" w:sz="4" w:space="0" w:color="auto"/>
            </w:tcBorders>
            <w:shd w:val="clear" w:color="auto" w:fill="auto"/>
            <w:noWrap/>
            <w:hideMark/>
          </w:tcPr>
          <w:p w14:paraId="17C386FD" w14:textId="77777777" w:rsidR="003F6946" w:rsidRPr="00824D31" w:rsidRDefault="003F6946" w:rsidP="003F6946">
            <w:pPr>
              <w:ind w:firstLine="0"/>
            </w:pPr>
            <w:r w:rsidRPr="00824D31">
              <w:t>Хангаласский</w:t>
            </w:r>
          </w:p>
        </w:tc>
        <w:tc>
          <w:tcPr>
            <w:tcW w:w="3543" w:type="dxa"/>
            <w:tcBorders>
              <w:top w:val="nil"/>
              <w:left w:val="nil"/>
              <w:bottom w:val="single" w:sz="4" w:space="0" w:color="auto"/>
              <w:right w:val="single" w:sz="4" w:space="0" w:color="auto"/>
            </w:tcBorders>
            <w:shd w:val="clear" w:color="auto" w:fill="auto"/>
            <w:noWrap/>
            <w:vAlign w:val="bottom"/>
            <w:hideMark/>
          </w:tcPr>
          <w:p w14:paraId="431E6815" w14:textId="488CE400" w:rsidR="003F6946" w:rsidRPr="003F6946" w:rsidRDefault="003F6946" w:rsidP="003F6946">
            <w:pPr>
              <w:ind w:firstLine="0"/>
              <w:jc w:val="center"/>
              <w:rPr>
                <w:szCs w:val="24"/>
              </w:rPr>
            </w:pPr>
            <w:r w:rsidRPr="003F6946">
              <w:rPr>
                <w:color w:val="000000"/>
                <w:szCs w:val="24"/>
              </w:rPr>
              <w:t>22188</w:t>
            </w:r>
          </w:p>
        </w:tc>
        <w:tc>
          <w:tcPr>
            <w:tcW w:w="1985" w:type="dxa"/>
            <w:tcBorders>
              <w:top w:val="nil"/>
              <w:left w:val="nil"/>
              <w:bottom w:val="single" w:sz="4" w:space="0" w:color="auto"/>
              <w:right w:val="single" w:sz="4" w:space="0" w:color="auto"/>
            </w:tcBorders>
            <w:shd w:val="clear" w:color="auto" w:fill="auto"/>
            <w:noWrap/>
            <w:vAlign w:val="bottom"/>
            <w:hideMark/>
          </w:tcPr>
          <w:p w14:paraId="008BD51C" w14:textId="6EB31AC2" w:rsidR="003F6946" w:rsidRPr="003F6946" w:rsidRDefault="003F6946" w:rsidP="003F6946">
            <w:pPr>
              <w:ind w:firstLine="0"/>
              <w:jc w:val="center"/>
              <w:rPr>
                <w:szCs w:val="24"/>
              </w:rPr>
            </w:pPr>
            <w:r w:rsidRPr="003F6946">
              <w:rPr>
                <w:color w:val="000000"/>
                <w:szCs w:val="24"/>
              </w:rPr>
              <w:t>3,31%</w:t>
            </w:r>
          </w:p>
        </w:tc>
      </w:tr>
      <w:tr w:rsidR="003F6946" w:rsidRPr="00824D31" w14:paraId="47EA0615" w14:textId="77777777" w:rsidTr="008B2763">
        <w:trPr>
          <w:trHeight w:val="255"/>
        </w:trPr>
        <w:tc>
          <w:tcPr>
            <w:tcW w:w="851" w:type="dxa"/>
            <w:tcBorders>
              <w:top w:val="nil"/>
              <w:left w:val="single" w:sz="4" w:space="0" w:color="auto"/>
              <w:bottom w:val="single" w:sz="4" w:space="0" w:color="auto"/>
              <w:right w:val="single" w:sz="4" w:space="0" w:color="auto"/>
            </w:tcBorders>
            <w:shd w:val="clear" w:color="auto" w:fill="auto"/>
            <w:noWrap/>
            <w:hideMark/>
          </w:tcPr>
          <w:p w14:paraId="066F0A33" w14:textId="77777777" w:rsidR="003F6946" w:rsidRPr="00824D31" w:rsidRDefault="003F6946" w:rsidP="003F6946">
            <w:pPr>
              <w:ind w:firstLine="0"/>
            </w:pPr>
            <w:r w:rsidRPr="00824D31">
              <w:t>35</w:t>
            </w:r>
          </w:p>
        </w:tc>
        <w:tc>
          <w:tcPr>
            <w:tcW w:w="2977" w:type="dxa"/>
            <w:tcBorders>
              <w:top w:val="nil"/>
              <w:left w:val="nil"/>
              <w:bottom w:val="single" w:sz="4" w:space="0" w:color="auto"/>
              <w:right w:val="single" w:sz="4" w:space="0" w:color="auto"/>
            </w:tcBorders>
            <w:shd w:val="clear" w:color="auto" w:fill="auto"/>
            <w:noWrap/>
            <w:hideMark/>
          </w:tcPr>
          <w:p w14:paraId="6CE6F159" w14:textId="77777777" w:rsidR="003F6946" w:rsidRPr="00824D31" w:rsidRDefault="003F6946" w:rsidP="003F6946">
            <w:pPr>
              <w:ind w:firstLine="0"/>
            </w:pPr>
            <w:r w:rsidRPr="00824D31">
              <w:t>Чурапчинский</w:t>
            </w:r>
          </w:p>
        </w:tc>
        <w:tc>
          <w:tcPr>
            <w:tcW w:w="3543" w:type="dxa"/>
            <w:tcBorders>
              <w:top w:val="nil"/>
              <w:left w:val="nil"/>
              <w:bottom w:val="single" w:sz="4" w:space="0" w:color="auto"/>
              <w:right w:val="single" w:sz="4" w:space="0" w:color="auto"/>
            </w:tcBorders>
            <w:shd w:val="clear" w:color="auto" w:fill="auto"/>
            <w:noWrap/>
            <w:vAlign w:val="bottom"/>
            <w:hideMark/>
          </w:tcPr>
          <w:p w14:paraId="72C5C8F8" w14:textId="3F100572" w:rsidR="003F6946" w:rsidRPr="003F6946" w:rsidRDefault="003F6946" w:rsidP="003F6946">
            <w:pPr>
              <w:ind w:firstLine="0"/>
              <w:jc w:val="center"/>
              <w:rPr>
                <w:szCs w:val="24"/>
              </w:rPr>
            </w:pPr>
            <w:r w:rsidRPr="003F6946">
              <w:rPr>
                <w:color w:val="000000"/>
                <w:szCs w:val="24"/>
              </w:rPr>
              <w:t>12661</w:t>
            </w:r>
          </w:p>
        </w:tc>
        <w:tc>
          <w:tcPr>
            <w:tcW w:w="1985" w:type="dxa"/>
            <w:tcBorders>
              <w:top w:val="nil"/>
              <w:left w:val="nil"/>
              <w:bottom w:val="single" w:sz="4" w:space="0" w:color="auto"/>
              <w:right w:val="single" w:sz="4" w:space="0" w:color="auto"/>
            </w:tcBorders>
            <w:shd w:val="clear" w:color="auto" w:fill="auto"/>
            <w:noWrap/>
            <w:vAlign w:val="bottom"/>
            <w:hideMark/>
          </w:tcPr>
          <w:p w14:paraId="28BBCE67" w14:textId="796A6722" w:rsidR="003F6946" w:rsidRPr="003F6946" w:rsidRDefault="003F6946" w:rsidP="003F6946">
            <w:pPr>
              <w:ind w:firstLine="0"/>
              <w:jc w:val="center"/>
              <w:rPr>
                <w:szCs w:val="24"/>
              </w:rPr>
            </w:pPr>
            <w:r w:rsidRPr="003F6946">
              <w:rPr>
                <w:color w:val="000000"/>
                <w:szCs w:val="24"/>
              </w:rPr>
              <w:t>1,89%</w:t>
            </w:r>
          </w:p>
        </w:tc>
      </w:tr>
      <w:tr w:rsidR="003F6946" w:rsidRPr="00824D31" w14:paraId="48F9F66F" w14:textId="77777777" w:rsidTr="008B2763">
        <w:trPr>
          <w:trHeight w:val="255"/>
        </w:trPr>
        <w:tc>
          <w:tcPr>
            <w:tcW w:w="851" w:type="dxa"/>
            <w:tcBorders>
              <w:top w:val="nil"/>
              <w:left w:val="single" w:sz="4" w:space="0" w:color="auto"/>
              <w:bottom w:val="single" w:sz="4" w:space="0" w:color="auto"/>
              <w:right w:val="single" w:sz="4" w:space="0" w:color="auto"/>
            </w:tcBorders>
            <w:shd w:val="clear" w:color="auto" w:fill="auto"/>
            <w:noWrap/>
            <w:hideMark/>
          </w:tcPr>
          <w:p w14:paraId="77F82419" w14:textId="77777777" w:rsidR="003F6946" w:rsidRPr="00824D31" w:rsidRDefault="003F6946" w:rsidP="003F6946">
            <w:pPr>
              <w:ind w:firstLine="0"/>
            </w:pPr>
            <w:r w:rsidRPr="00824D31">
              <w:t>36</w:t>
            </w:r>
          </w:p>
        </w:tc>
        <w:tc>
          <w:tcPr>
            <w:tcW w:w="2977" w:type="dxa"/>
            <w:tcBorders>
              <w:top w:val="nil"/>
              <w:left w:val="nil"/>
              <w:bottom w:val="single" w:sz="4" w:space="0" w:color="auto"/>
              <w:right w:val="single" w:sz="4" w:space="0" w:color="auto"/>
            </w:tcBorders>
            <w:shd w:val="clear" w:color="auto" w:fill="auto"/>
            <w:noWrap/>
            <w:hideMark/>
          </w:tcPr>
          <w:p w14:paraId="058DD66F" w14:textId="77777777" w:rsidR="003F6946" w:rsidRPr="00824D31" w:rsidRDefault="003F6946" w:rsidP="003F6946">
            <w:pPr>
              <w:ind w:firstLine="0"/>
            </w:pPr>
            <w:r w:rsidRPr="00824D31">
              <w:t>Эвено-Бытантайский</w:t>
            </w:r>
          </w:p>
        </w:tc>
        <w:tc>
          <w:tcPr>
            <w:tcW w:w="3543" w:type="dxa"/>
            <w:tcBorders>
              <w:top w:val="nil"/>
              <w:left w:val="nil"/>
              <w:bottom w:val="single" w:sz="4" w:space="0" w:color="auto"/>
              <w:right w:val="single" w:sz="4" w:space="0" w:color="auto"/>
            </w:tcBorders>
            <w:shd w:val="clear" w:color="auto" w:fill="auto"/>
            <w:noWrap/>
            <w:vAlign w:val="bottom"/>
            <w:hideMark/>
          </w:tcPr>
          <w:p w14:paraId="2D6823D6" w14:textId="5D1F81A4" w:rsidR="003F6946" w:rsidRPr="003F6946" w:rsidRDefault="003F6946" w:rsidP="003F6946">
            <w:pPr>
              <w:ind w:firstLine="0"/>
              <w:jc w:val="center"/>
              <w:rPr>
                <w:szCs w:val="24"/>
              </w:rPr>
            </w:pPr>
            <w:r w:rsidRPr="003F6946">
              <w:rPr>
                <w:color w:val="000000"/>
                <w:szCs w:val="24"/>
              </w:rPr>
              <w:t>1021</w:t>
            </w:r>
          </w:p>
        </w:tc>
        <w:tc>
          <w:tcPr>
            <w:tcW w:w="1985" w:type="dxa"/>
            <w:tcBorders>
              <w:top w:val="nil"/>
              <w:left w:val="nil"/>
              <w:bottom w:val="single" w:sz="4" w:space="0" w:color="auto"/>
              <w:right w:val="single" w:sz="4" w:space="0" w:color="auto"/>
            </w:tcBorders>
            <w:shd w:val="clear" w:color="auto" w:fill="auto"/>
            <w:noWrap/>
            <w:vAlign w:val="bottom"/>
            <w:hideMark/>
          </w:tcPr>
          <w:p w14:paraId="0F339579" w14:textId="29BF3B4A" w:rsidR="003F6946" w:rsidRPr="003F6946" w:rsidRDefault="003F6946" w:rsidP="003F6946">
            <w:pPr>
              <w:ind w:firstLine="0"/>
              <w:jc w:val="center"/>
              <w:rPr>
                <w:szCs w:val="24"/>
              </w:rPr>
            </w:pPr>
            <w:r w:rsidRPr="003F6946">
              <w:rPr>
                <w:color w:val="000000"/>
                <w:szCs w:val="24"/>
              </w:rPr>
              <w:t>0,15%</w:t>
            </w:r>
          </w:p>
        </w:tc>
      </w:tr>
      <w:tr w:rsidR="003F6946" w:rsidRPr="00824D31" w14:paraId="3AFF9B3C" w14:textId="77777777" w:rsidTr="008B2763">
        <w:trPr>
          <w:trHeight w:val="255"/>
        </w:trPr>
        <w:tc>
          <w:tcPr>
            <w:tcW w:w="851" w:type="dxa"/>
            <w:tcBorders>
              <w:top w:val="nil"/>
              <w:left w:val="single" w:sz="4" w:space="0" w:color="auto"/>
              <w:bottom w:val="single" w:sz="4" w:space="0" w:color="auto"/>
              <w:right w:val="single" w:sz="4" w:space="0" w:color="auto"/>
            </w:tcBorders>
            <w:shd w:val="clear" w:color="auto" w:fill="auto"/>
            <w:noWrap/>
            <w:hideMark/>
          </w:tcPr>
          <w:p w14:paraId="60214915" w14:textId="77777777" w:rsidR="003F6946" w:rsidRPr="00824D31" w:rsidRDefault="003F6946" w:rsidP="003F6946">
            <w:pPr>
              <w:ind w:firstLine="0"/>
            </w:pPr>
            <w:r w:rsidRPr="00824D31">
              <w:t> </w:t>
            </w:r>
          </w:p>
        </w:tc>
        <w:tc>
          <w:tcPr>
            <w:tcW w:w="2977" w:type="dxa"/>
            <w:tcBorders>
              <w:top w:val="nil"/>
              <w:left w:val="nil"/>
              <w:bottom w:val="single" w:sz="4" w:space="0" w:color="auto"/>
              <w:right w:val="single" w:sz="4" w:space="0" w:color="auto"/>
            </w:tcBorders>
            <w:shd w:val="clear" w:color="auto" w:fill="auto"/>
            <w:noWrap/>
            <w:hideMark/>
          </w:tcPr>
          <w:p w14:paraId="77FDA582" w14:textId="77777777" w:rsidR="003F6946" w:rsidRPr="00824D31" w:rsidRDefault="003F6946" w:rsidP="003F6946">
            <w:pPr>
              <w:ind w:firstLine="0"/>
            </w:pPr>
            <w:r w:rsidRPr="00824D31">
              <w:t>ИТОГО</w:t>
            </w:r>
          </w:p>
        </w:tc>
        <w:tc>
          <w:tcPr>
            <w:tcW w:w="3543" w:type="dxa"/>
            <w:tcBorders>
              <w:top w:val="nil"/>
              <w:left w:val="nil"/>
              <w:bottom w:val="single" w:sz="4" w:space="0" w:color="auto"/>
              <w:right w:val="single" w:sz="4" w:space="0" w:color="auto"/>
            </w:tcBorders>
            <w:shd w:val="clear" w:color="auto" w:fill="auto"/>
            <w:noWrap/>
            <w:vAlign w:val="bottom"/>
            <w:hideMark/>
          </w:tcPr>
          <w:p w14:paraId="58C3683B" w14:textId="7B518C53" w:rsidR="003F6946" w:rsidRPr="003F6946" w:rsidRDefault="003F6946" w:rsidP="003F6946">
            <w:pPr>
              <w:ind w:firstLine="0"/>
              <w:jc w:val="center"/>
              <w:rPr>
                <w:szCs w:val="24"/>
              </w:rPr>
            </w:pPr>
            <w:r w:rsidRPr="003F6946">
              <w:rPr>
                <w:b/>
                <w:bCs/>
                <w:color w:val="000000"/>
                <w:szCs w:val="24"/>
              </w:rPr>
              <w:t>670568</w:t>
            </w:r>
          </w:p>
        </w:tc>
        <w:tc>
          <w:tcPr>
            <w:tcW w:w="1985" w:type="dxa"/>
            <w:tcBorders>
              <w:top w:val="nil"/>
              <w:left w:val="nil"/>
              <w:bottom w:val="single" w:sz="4" w:space="0" w:color="auto"/>
              <w:right w:val="single" w:sz="4" w:space="0" w:color="auto"/>
            </w:tcBorders>
            <w:shd w:val="clear" w:color="auto" w:fill="auto"/>
            <w:noWrap/>
            <w:vAlign w:val="bottom"/>
            <w:hideMark/>
          </w:tcPr>
          <w:p w14:paraId="5B8290F3" w14:textId="33A064B9" w:rsidR="003F6946" w:rsidRPr="003F6946" w:rsidRDefault="003F6946" w:rsidP="003F6946">
            <w:pPr>
              <w:ind w:firstLine="0"/>
              <w:jc w:val="center"/>
              <w:rPr>
                <w:szCs w:val="24"/>
              </w:rPr>
            </w:pPr>
            <w:r w:rsidRPr="003F6946">
              <w:rPr>
                <w:b/>
                <w:bCs/>
                <w:color w:val="000000"/>
                <w:szCs w:val="24"/>
              </w:rPr>
              <w:t>100%</w:t>
            </w:r>
          </w:p>
        </w:tc>
      </w:tr>
    </w:tbl>
    <w:p w14:paraId="7AF32848" w14:textId="77777777" w:rsidR="00EC492E" w:rsidRPr="00824D31" w:rsidRDefault="00EC492E" w:rsidP="00EC492E"/>
    <w:p w14:paraId="5D5D4A0A" w14:textId="5FF41885" w:rsidR="00EC492E" w:rsidRPr="00824D31" w:rsidRDefault="00EC492E" w:rsidP="00EC492E">
      <w:r w:rsidRPr="00824D31">
        <w:t xml:space="preserve">Полный перечень объектов оценки представлен в </w:t>
      </w:r>
      <w:r w:rsidRPr="0068615B">
        <w:t>Приложении 1.</w:t>
      </w:r>
      <w:r w:rsidR="0068615B" w:rsidRPr="0068615B">
        <w:t>3.3</w:t>
      </w:r>
      <w:r w:rsidRPr="0068615B">
        <w:t xml:space="preserve"> </w:t>
      </w:r>
      <w:r w:rsidR="008F5144">
        <w:t>Отчета</w:t>
      </w:r>
      <w:r w:rsidRPr="00824D31">
        <w:t xml:space="preserve">. </w:t>
      </w:r>
    </w:p>
    <w:p w14:paraId="5EEE5373" w14:textId="20B83264" w:rsidR="00EC492E" w:rsidRPr="00824D31" w:rsidRDefault="00EC492E" w:rsidP="00EC492E">
      <w:r w:rsidRPr="00824D31">
        <w:t>Проверка исходных данных об объектах недвижи</w:t>
      </w:r>
      <w:r w:rsidR="0068615B">
        <w:t xml:space="preserve">мости, организация их сверки и </w:t>
      </w:r>
      <w:r w:rsidRPr="00FB6152">
        <w:t xml:space="preserve">уточнения приведены в п. 1.5.1 настоящего </w:t>
      </w:r>
      <w:r w:rsidR="008F5144">
        <w:t>Отчета</w:t>
      </w:r>
      <w:r w:rsidRPr="00FB6152">
        <w:t>.</w:t>
      </w:r>
    </w:p>
    <w:p w14:paraId="7804393E" w14:textId="77777777" w:rsidR="00EC492E" w:rsidRPr="00824D31" w:rsidRDefault="00EC492E" w:rsidP="00EC492E">
      <w:r w:rsidRPr="00824D31">
        <w:t>В рамках подготовки к определению государственной кадастровой стоимости работниками бюджетного учреждения, осуществляющими определение кадастровой стоимости, осуществлены сбор и обработка дополнительной информации об основных характеристиках объектов недвижимости, необходимой для определения кадастровой стоимости.</w:t>
      </w:r>
    </w:p>
    <w:p w14:paraId="5514F0E4" w14:textId="77777777" w:rsidR="00EC492E" w:rsidRPr="00824D31" w:rsidRDefault="00EC492E" w:rsidP="00EC492E">
      <w:r w:rsidRPr="00824D31">
        <w:t>Источниками дополнительной информации в рамках данной государственной кадастровой оценки стали:</w:t>
      </w:r>
    </w:p>
    <w:p w14:paraId="1F6A2DED" w14:textId="77777777" w:rsidR="00EC492E" w:rsidRPr="00824D31" w:rsidRDefault="00EC492E" w:rsidP="00EC492E">
      <w:r w:rsidRPr="00824D31">
        <w:t>- данные унаследованной системы реестра прав ЕГРН (ранее - ЕГРП);</w:t>
      </w:r>
    </w:p>
    <w:p w14:paraId="4770A16F" w14:textId="0CBDC6EA" w:rsidR="00EC492E" w:rsidRPr="00824D31" w:rsidRDefault="00EC492E" w:rsidP="00EC492E">
      <w:r w:rsidRPr="00824D31">
        <w:t xml:space="preserve">- данные технических паспортов на объекты недвижимости из архива, имеющегося в распоряжении </w:t>
      </w:r>
      <w:r w:rsidRPr="00E450C0">
        <w:t>ГБУ</w:t>
      </w:r>
      <w:r w:rsidR="00E450C0" w:rsidRPr="00E450C0">
        <w:t xml:space="preserve"> РС(Я)</w:t>
      </w:r>
      <w:r w:rsidRPr="00E450C0">
        <w:t xml:space="preserve"> «Р</w:t>
      </w:r>
      <w:r w:rsidRPr="00824D31">
        <w:t>ЦТИ»</w:t>
      </w:r>
      <w:r w:rsidR="00E450C0">
        <w:t>, предоставил ООО «УК РЦТИ» по госконтракту</w:t>
      </w:r>
      <w:r w:rsidRPr="00824D31">
        <w:t>;</w:t>
      </w:r>
    </w:p>
    <w:p w14:paraId="46EDEBFA" w14:textId="36A78B47" w:rsidR="00EC492E" w:rsidRPr="00824D31" w:rsidRDefault="00EC492E" w:rsidP="00EC492E">
      <w:r w:rsidRPr="00824D31">
        <w:t xml:space="preserve">- данные сайта государственной корпорации - фонд содействия реформированию жилищно - коммунального хозяйства  </w:t>
      </w:r>
      <w:hyperlink r:id="rId258" w:history="1">
        <w:r w:rsidRPr="00824D31">
          <w:t>www.reformagkh.ru</w:t>
        </w:r>
      </w:hyperlink>
      <w:r w:rsidRPr="00824D31">
        <w:t>;</w:t>
      </w:r>
    </w:p>
    <w:p w14:paraId="1F8E6419" w14:textId="2D08CA15" w:rsidR="00EC492E" w:rsidRPr="00824D31" w:rsidRDefault="00EC492E" w:rsidP="00EC492E">
      <w:r w:rsidRPr="00824D31">
        <w:t>- интернет-сайты.</w:t>
      </w:r>
    </w:p>
    <w:p w14:paraId="34A2C5BC" w14:textId="4D52AFE2" w:rsidR="00EC492E" w:rsidRPr="00824D31" w:rsidRDefault="00EC492E" w:rsidP="00EC492E">
      <w:r w:rsidRPr="00824D31">
        <w:t xml:space="preserve">Источники дополнительной информации представлены </w:t>
      </w:r>
      <w:r w:rsidRPr="00FB6152">
        <w:t>в Приложении 1.</w:t>
      </w:r>
      <w:r w:rsidR="00FB6152">
        <w:t>4</w:t>
      </w:r>
      <w:r w:rsidRPr="00FB6152">
        <w:t xml:space="preserve"> </w:t>
      </w:r>
      <w:r w:rsidR="008F5144">
        <w:t>Отчета</w:t>
      </w:r>
      <w:r w:rsidRPr="00824D31">
        <w:t>.</w:t>
      </w:r>
    </w:p>
    <w:p w14:paraId="72048417" w14:textId="32D4D038" w:rsidR="00041D42" w:rsidRDefault="00EC492E" w:rsidP="00041D42">
      <w:r w:rsidRPr="00824D31">
        <w:t xml:space="preserve">Результаты обработки информации, содержащейся в перечне представлены в </w:t>
      </w:r>
      <w:r w:rsidRPr="00FB6152">
        <w:t>Приложении 1.</w:t>
      </w:r>
      <w:r w:rsidR="00B36DFD">
        <w:t>3</w:t>
      </w:r>
      <w:r w:rsidRPr="00FB6152">
        <w:t xml:space="preserve">.3 </w:t>
      </w:r>
      <w:r w:rsidR="008F5144">
        <w:t>Отчета</w:t>
      </w:r>
      <w:r w:rsidRPr="00FB6152">
        <w:t>.</w:t>
      </w:r>
    </w:p>
    <w:p w14:paraId="08E4795C" w14:textId="77777777" w:rsidR="00EC492E" w:rsidRPr="00824D31" w:rsidRDefault="00EC492E" w:rsidP="00EC492E"/>
    <w:p w14:paraId="4010622A" w14:textId="33ADA1F5" w:rsidR="00EC492E" w:rsidRPr="00041D42" w:rsidRDefault="00EC492E" w:rsidP="00FD2769">
      <w:pPr>
        <w:pStyle w:val="3"/>
      </w:pPr>
      <w:bookmarkStart w:id="71" w:name="_Toc516588258"/>
      <w:r w:rsidRPr="00041D42">
        <w:t>Группировка объектов оценки</w:t>
      </w:r>
      <w:bookmarkEnd w:id="71"/>
    </w:p>
    <w:p w14:paraId="4F92B162" w14:textId="77777777" w:rsidR="00EC492E" w:rsidRPr="00824D31" w:rsidRDefault="00EC492E" w:rsidP="00EC492E"/>
    <w:p w14:paraId="49ABEB6C" w14:textId="77777777" w:rsidR="00EC492E" w:rsidRPr="00824D31" w:rsidRDefault="00EC492E" w:rsidP="00EC492E">
      <w:r w:rsidRPr="00824D31">
        <w:t>В рамках проведения группировки Перечень объектов оценки был проанализирован специалистами ГБУ РС (Я) «Центр государственной кадастровой оценки».</w:t>
      </w:r>
    </w:p>
    <w:p w14:paraId="63735A82" w14:textId="7EFA60D2" w:rsidR="00EC492E" w:rsidRPr="00824D31" w:rsidRDefault="00EC492E" w:rsidP="00EC492E">
      <w:r w:rsidRPr="00824D31">
        <w:t xml:space="preserve">Вид использования объектов оценки определялся по согласованию с уполномоченным органом и органами местного самоуправления, на территории которых расположены объекты недвижимости, на основе письменного подтверждения указанных органов. Копии </w:t>
      </w:r>
      <w:r w:rsidRPr="00FB6152">
        <w:t xml:space="preserve">писем представлены в Приложении </w:t>
      </w:r>
      <w:r w:rsidR="00FB6152" w:rsidRPr="00FB6152">
        <w:t>1.</w:t>
      </w:r>
      <w:r w:rsidR="00B36DFD">
        <w:t>3.4</w:t>
      </w:r>
      <w:r w:rsidRPr="00FB6152">
        <w:t xml:space="preserve"> </w:t>
      </w:r>
      <w:r w:rsidR="008F5144">
        <w:t>Отчета</w:t>
      </w:r>
      <w:r w:rsidRPr="00FB6152">
        <w:t>.</w:t>
      </w:r>
    </w:p>
    <w:p w14:paraId="5B6429FB" w14:textId="0B1ECD42" w:rsidR="00EC492E" w:rsidRPr="00824D31" w:rsidRDefault="00EC492E" w:rsidP="00EC492E">
      <w:r w:rsidRPr="00824D31">
        <w:t xml:space="preserve">Информация о </w:t>
      </w:r>
      <w:r w:rsidR="00B36DFD">
        <w:t>группе</w:t>
      </w:r>
      <w:r w:rsidRPr="00824D31">
        <w:t>, к которо</w:t>
      </w:r>
      <w:r w:rsidR="00B36DFD">
        <w:t>й</w:t>
      </w:r>
      <w:r w:rsidRPr="00824D31">
        <w:t xml:space="preserve"> отнесен объект недвижимости содержится в </w:t>
      </w:r>
      <w:r w:rsidRPr="00FB6152">
        <w:t xml:space="preserve">Приложении </w:t>
      </w:r>
      <w:r w:rsidR="00740C72">
        <w:t>1.3.5</w:t>
      </w:r>
      <w:r w:rsidRPr="00FB6152">
        <w:t xml:space="preserve"> </w:t>
      </w:r>
      <w:r w:rsidR="008F5144">
        <w:t>Отчета</w:t>
      </w:r>
      <w:r w:rsidRPr="00FB6152">
        <w:t>.</w:t>
      </w:r>
    </w:p>
    <w:p w14:paraId="2CAB6C95" w14:textId="5FB97DA4" w:rsidR="00EC492E" w:rsidRPr="00824D31" w:rsidRDefault="00EC492E" w:rsidP="00EC492E">
      <w:r w:rsidRPr="00824D31">
        <w:t xml:space="preserve">Далее объекты оценки были объединены в группы (подгруппы) в соответствии с </w:t>
      </w:r>
      <w:r w:rsidR="002D68A2">
        <w:t>П</w:t>
      </w:r>
      <w:r w:rsidRPr="00824D31">
        <w:t>риложением №2 Методически</w:t>
      </w:r>
      <w:r w:rsidR="002D68A2">
        <w:t>х</w:t>
      </w:r>
      <w:r w:rsidRPr="00824D31">
        <w:t xml:space="preserve"> указани</w:t>
      </w:r>
      <w:r w:rsidR="002D68A2">
        <w:t>й</w:t>
      </w:r>
      <w:r w:rsidRPr="00824D31">
        <w:t>. Для этого всем объектам был присвоен код, позволяющий разбить объекты на основные группы (подгруппы).</w:t>
      </w:r>
    </w:p>
    <w:p w14:paraId="47716745" w14:textId="56B320A2" w:rsidR="00EC492E" w:rsidRPr="00824D31" w:rsidRDefault="00EC492E" w:rsidP="00EC492E">
      <w:r w:rsidRPr="00824D31">
        <w:t>Согласно Приложения №2 Методически</w:t>
      </w:r>
      <w:r w:rsidR="002D68A2">
        <w:t>х</w:t>
      </w:r>
      <w:r w:rsidRPr="00824D31">
        <w:t xml:space="preserve"> указани</w:t>
      </w:r>
      <w:r w:rsidR="002D68A2">
        <w:t>й</w:t>
      </w:r>
      <w:r w:rsidRPr="00824D31">
        <w:t xml:space="preserve"> объекты недвижимости (за исключением земельных участков) разбиваются на следующие основные группы:</w:t>
      </w:r>
    </w:p>
    <w:p w14:paraId="6493A56B" w14:textId="77777777" w:rsidR="00EC492E" w:rsidRPr="00824D31" w:rsidRDefault="00EC492E" w:rsidP="00EC492E">
      <w:r w:rsidRPr="00824D31">
        <w:t>Группа 1. Многоквартирные дома (дома средне- и многоэтажной жилой застройки) и общежития;</w:t>
      </w:r>
    </w:p>
    <w:p w14:paraId="0F3DF488" w14:textId="77777777" w:rsidR="00EC492E" w:rsidRPr="00824D31" w:rsidRDefault="00EC492E" w:rsidP="00EC492E">
      <w:r w:rsidRPr="00824D31">
        <w:t>Группа 2. Дома малоэтажной жилой застройки, в том числе индивидуальной жилой застройки – индивидуальные, малоэтажные блокированные (таунхаусы), дачных объединений, садоводческих товариществ;</w:t>
      </w:r>
    </w:p>
    <w:p w14:paraId="56DAC625" w14:textId="77777777" w:rsidR="00EC492E" w:rsidRPr="00824D31" w:rsidRDefault="00EC492E" w:rsidP="00EC492E">
      <w:r w:rsidRPr="00824D31">
        <w:t>Группа 3. Объекты, предназначенные для хранения транспорта;</w:t>
      </w:r>
    </w:p>
    <w:p w14:paraId="21F050E3" w14:textId="77777777" w:rsidR="00EC492E" w:rsidRPr="00824D31" w:rsidRDefault="00EC492E" w:rsidP="00EC492E">
      <w:r w:rsidRPr="00824D31">
        <w:t>Группа 4. Объекты коммерческого назначения, предназначенные для оказания услуг населению, включая многофункционального назначения;</w:t>
      </w:r>
    </w:p>
    <w:p w14:paraId="1B5BC6F8" w14:textId="77777777" w:rsidR="00EC492E" w:rsidRPr="00824D31" w:rsidRDefault="00EC492E" w:rsidP="00EC492E">
      <w:r w:rsidRPr="00824D31">
        <w:t>Группа 5. Объекты временного проживания, включая объекты рекреационно-оздоровительного значения;</w:t>
      </w:r>
    </w:p>
    <w:p w14:paraId="2AECDBE8" w14:textId="77777777" w:rsidR="00EC492E" w:rsidRPr="00824D31" w:rsidRDefault="00EC492E" w:rsidP="00EC492E">
      <w:r w:rsidRPr="00824D31">
        <w:t>Группа 6. Административные и бытовые объекты;</w:t>
      </w:r>
    </w:p>
    <w:p w14:paraId="5BBD1584" w14:textId="77777777" w:rsidR="00EC492E" w:rsidRPr="00824D31" w:rsidRDefault="00EC492E" w:rsidP="00EC492E">
      <w:r w:rsidRPr="00824D31">
        <w:t>Группа 7. Объекты производственного назначения, за исключением передаточных устройств и сооружений;</w:t>
      </w:r>
    </w:p>
    <w:p w14:paraId="7FEF58AB" w14:textId="3880885C" w:rsidR="00EC492E" w:rsidRPr="00824D31" w:rsidRDefault="00EC492E" w:rsidP="00EC492E">
      <w:r w:rsidRPr="00824D31">
        <w:t>Группа 8.</w:t>
      </w:r>
      <w:r w:rsidR="00B36DFD">
        <w:t xml:space="preserve"> </w:t>
      </w:r>
      <w:r w:rsidRPr="00824D31">
        <w:t>Учебные, спортивные объекты, объекты культуры и искусства, культовые объекты, музеи, лечебно-оздоровительные и общественного назначения объекты;</w:t>
      </w:r>
    </w:p>
    <w:p w14:paraId="1C2991A8" w14:textId="77777777" w:rsidR="00EC492E" w:rsidRPr="00824D31" w:rsidRDefault="00EC492E" w:rsidP="00EC492E">
      <w:r w:rsidRPr="00824D31">
        <w:t>Группа 9. Прочие объекты;</w:t>
      </w:r>
    </w:p>
    <w:p w14:paraId="01C5A57D" w14:textId="77777777" w:rsidR="00EC492E" w:rsidRPr="00824D31" w:rsidRDefault="00EC492E" w:rsidP="00EC492E">
      <w:r w:rsidRPr="00824D31">
        <w:t>Группа 10. Сооружения.</w:t>
      </w:r>
    </w:p>
    <w:p w14:paraId="166A5C84" w14:textId="77777777" w:rsidR="00EC492E" w:rsidRPr="00824D31" w:rsidRDefault="00EC492E" w:rsidP="00EC492E">
      <w:r w:rsidRPr="00824D31">
        <w:t>При присвоении объектам оценки кодов расчета применялась многоуровневая группировка. Для соблюдения принципа однозначности при многоуровневой группировке объекты оценки подразделялись на первый и второй уровни. Первый уровень представляет собой разделение на группы объектов недвижимости. Второй уровень группировки представляет собой разделение групп вышестоящего уровня.</w:t>
      </w:r>
    </w:p>
    <w:p w14:paraId="096BFEF6" w14:textId="707B1838" w:rsidR="00EC492E" w:rsidRPr="00824D31" w:rsidRDefault="00EC492E" w:rsidP="00EC492E">
      <w:r w:rsidRPr="00824D31">
        <w:t>При проведе</w:t>
      </w:r>
      <w:r w:rsidR="00B36DFD">
        <w:t xml:space="preserve">нии группировки ОО </w:t>
      </w:r>
      <w:r w:rsidRPr="00824D31">
        <w:t xml:space="preserve">были использованы допущения, указанные в п.2.10.4. </w:t>
      </w:r>
      <w:r w:rsidR="008F5144">
        <w:t>Отчета</w:t>
      </w:r>
      <w:r w:rsidRPr="00824D31">
        <w:t>.</w:t>
      </w:r>
    </w:p>
    <w:p w14:paraId="0F20E708" w14:textId="7E5726FC" w:rsidR="00EC492E" w:rsidRPr="00824D31" w:rsidRDefault="00740C72" w:rsidP="00EC492E">
      <w:r>
        <w:t>Следующая таблица</w:t>
      </w:r>
      <w:r w:rsidR="00EC492E" w:rsidRPr="00824D31">
        <w:t xml:space="preserve"> содержит результаты группировки Объектов оценки по функциональным группам:</w:t>
      </w:r>
    </w:p>
    <w:p w14:paraId="7C4BD234" w14:textId="74509B34" w:rsidR="00EC492E" w:rsidRPr="00824D31" w:rsidRDefault="00EC492E" w:rsidP="00763AD2">
      <w:pPr>
        <w:pStyle w:val="afffffff0"/>
      </w:pPr>
      <w:bookmarkStart w:id="72" w:name="_Toc514335242"/>
      <w:r w:rsidRPr="00824D31">
        <w:t xml:space="preserve">Таблица </w:t>
      </w:r>
      <w:r w:rsidR="00A90944">
        <w:fldChar w:fldCharType="begin"/>
      </w:r>
      <w:r w:rsidR="00A90944">
        <w:instrText xml:space="preserve"> SEQ Таблица \* ARABIC </w:instrText>
      </w:r>
      <w:r w:rsidR="00A90944">
        <w:fldChar w:fldCharType="separate"/>
      </w:r>
      <w:r w:rsidR="00FD2769">
        <w:rPr>
          <w:noProof/>
        </w:rPr>
        <w:t>29</w:t>
      </w:r>
      <w:r w:rsidR="00A90944">
        <w:rPr>
          <w:noProof/>
        </w:rPr>
        <w:fldChar w:fldCharType="end"/>
      </w:r>
      <w:r w:rsidRPr="00824D31">
        <w:t xml:space="preserve"> Результаты группировки Объектов оценки по функциональным группам</w:t>
      </w:r>
      <w:bookmarkEnd w:id="72"/>
    </w:p>
    <w:tbl>
      <w:tblPr>
        <w:tblW w:w="9473" w:type="dxa"/>
        <w:tblLook w:val="04A0" w:firstRow="1" w:lastRow="0" w:firstColumn="1" w:lastColumn="0" w:noHBand="0" w:noVBand="1"/>
      </w:tblPr>
      <w:tblGrid>
        <w:gridCol w:w="1266"/>
        <w:gridCol w:w="5165"/>
        <w:gridCol w:w="7"/>
        <w:gridCol w:w="1527"/>
        <w:gridCol w:w="7"/>
        <w:gridCol w:w="1494"/>
        <w:gridCol w:w="7"/>
      </w:tblGrid>
      <w:tr w:rsidR="00EC492E" w:rsidRPr="00740C72" w14:paraId="6F9DF4E7" w14:textId="77777777" w:rsidTr="003126B0">
        <w:trPr>
          <w:gridAfter w:val="1"/>
          <w:wAfter w:w="7" w:type="dxa"/>
          <w:trHeight w:val="20"/>
          <w:tblHeader/>
        </w:trPr>
        <w:tc>
          <w:tcPr>
            <w:tcW w:w="1266" w:type="dxa"/>
            <w:tcBorders>
              <w:top w:val="single" w:sz="8" w:space="0" w:color="auto"/>
              <w:left w:val="single" w:sz="8" w:space="0" w:color="auto"/>
              <w:bottom w:val="single" w:sz="8" w:space="0" w:color="auto"/>
              <w:right w:val="single" w:sz="8" w:space="0" w:color="auto"/>
            </w:tcBorders>
            <w:shd w:val="clear" w:color="auto" w:fill="BFBFBF" w:themeFill="background1" w:themeFillShade="BF"/>
            <w:vAlign w:val="center"/>
            <w:hideMark/>
          </w:tcPr>
          <w:p w14:paraId="03CC0CDB" w14:textId="77777777" w:rsidR="00EC492E" w:rsidRPr="00740C72" w:rsidRDefault="00EC492E" w:rsidP="00042D69">
            <w:pPr>
              <w:ind w:firstLine="0"/>
              <w:rPr>
                <w:b/>
                <w:i/>
              </w:rPr>
            </w:pPr>
            <w:r w:rsidRPr="00740C72">
              <w:rPr>
                <w:b/>
                <w:i/>
              </w:rPr>
              <w:t>Группа</w:t>
            </w:r>
          </w:p>
        </w:tc>
        <w:tc>
          <w:tcPr>
            <w:tcW w:w="5165" w:type="dxa"/>
            <w:tcBorders>
              <w:top w:val="single" w:sz="8" w:space="0" w:color="auto"/>
              <w:left w:val="nil"/>
              <w:bottom w:val="single" w:sz="8" w:space="0" w:color="auto"/>
              <w:right w:val="single" w:sz="8" w:space="0" w:color="auto"/>
            </w:tcBorders>
            <w:shd w:val="clear" w:color="auto" w:fill="BFBFBF" w:themeFill="background1" w:themeFillShade="BF"/>
            <w:vAlign w:val="center"/>
            <w:hideMark/>
          </w:tcPr>
          <w:p w14:paraId="4615D9B1" w14:textId="77777777" w:rsidR="00EC492E" w:rsidRPr="00740C72" w:rsidRDefault="00EC492E" w:rsidP="00042D69">
            <w:pPr>
              <w:ind w:firstLine="0"/>
              <w:rPr>
                <w:b/>
                <w:i/>
              </w:rPr>
            </w:pPr>
            <w:r w:rsidRPr="00740C72">
              <w:rPr>
                <w:b/>
                <w:i/>
              </w:rPr>
              <w:t>Наименование группы</w:t>
            </w:r>
          </w:p>
        </w:tc>
        <w:tc>
          <w:tcPr>
            <w:tcW w:w="1534" w:type="dxa"/>
            <w:gridSpan w:val="2"/>
            <w:tcBorders>
              <w:top w:val="single" w:sz="8" w:space="0" w:color="auto"/>
              <w:left w:val="nil"/>
              <w:bottom w:val="single" w:sz="8" w:space="0" w:color="auto"/>
              <w:right w:val="single" w:sz="8" w:space="0" w:color="auto"/>
            </w:tcBorders>
            <w:shd w:val="clear" w:color="auto" w:fill="BFBFBF" w:themeFill="background1" w:themeFillShade="BF"/>
            <w:vAlign w:val="center"/>
            <w:hideMark/>
          </w:tcPr>
          <w:p w14:paraId="4F4D349D" w14:textId="77777777" w:rsidR="00EC492E" w:rsidRPr="00740C72" w:rsidRDefault="00EC492E" w:rsidP="00042D69">
            <w:pPr>
              <w:ind w:firstLine="0"/>
              <w:rPr>
                <w:b/>
                <w:i/>
              </w:rPr>
            </w:pPr>
            <w:r w:rsidRPr="00740C72">
              <w:rPr>
                <w:b/>
                <w:i/>
              </w:rPr>
              <w:t>Количество объектов в Перечне</w:t>
            </w:r>
          </w:p>
        </w:tc>
        <w:tc>
          <w:tcPr>
            <w:tcW w:w="1501" w:type="dxa"/>
            <w:gridSpan w:val="2"/>
            <w:tcBorders>
              <w:top w:val="single" w:sz="8" w:space="0" w:color="auto"/>
              <w:left w:val="nil"/>
              <w:bottom w:val="single" w:sz="8" w:space="0" w:color="auto"/>
              <w:right w:val="single" w:sz="8" w:space="0" w:color="auto"/>
            </w:tcBorders>
            <w:shd w:val="clear" w:color="auto" w:fill="BFBFBF" w:themeFill="background1" w:themeFillShade="BF"/>
            <w:vAlign w:val="center"/>
            <w:hideMark/>
          </w:tcPr>
          <w:p w14:paraId="5FE858A7" w14:textId="77777777" w:rsidR="00EC492E" w:rsidRPr="00740C72" w:rsidRDefault="00EC492E" w:rsidP="00EC492E">
            <w:pPr>
              <w:rPr>
                <w:b/>
                <w:i/>
              </w:rPr>
            </w:pPr>
            <w:r w:rsidRPr="00740C72">
              <w:rPr>
                <w:b/>
                <w:i/>
              </w:rPr>
              <w:t>В %</w:t>
            </w:r>
          </w:p>
        </w:tc>
      </w:tr>
      <w:tr w:rsidR="00631CA6" w:rsidRPr="00824D31" w14:paraId="7A8A3B19" w14:textId="77777777" w:rsidTr="003126B0">
        <w:trPr>
          <w:gridAfter w:val="1"/>
          <w:wAfter w:w="7" w:type="dxa"/>
          <w:trHeight w:val="20"/>
        </w:trPr>
        <w:tc>
          <w:tcPr>
            <w:tcW w:w="1266" w:type="dxa"/>
            <w:tcBorders>
              <w:top w:val="nil"/>
              <w:left w:val="single" w:sz="8" w:space="0" w:color="auto"/>
              <w:bottom w:val="single" w:sz="8" w:space="0" w:color="auto"/>
              <w:right w:val="single" w:sz="8" w:space="0" w:color="auto"/>
            </w:tcBorders>
            <w:vAlign w:val="center"/>
            <w:hideMark/>
          </w:tcPr>
          <w:p w14:paraId="19C933E3" w14:textId="77777777" w:rsidR="00631CA6" w:rsidRPr="00824D31" w:rsidRDefault="00631CA6" w:rsidP="00631CA6">
            <w:pPr>
              <w:ind w:firstLine="0"/>
            </w:pPr>
            <w:r w:rsidRPr="00824D31">
              <w:t>1 группа</w:t>
            </w:r>
          </w:p>
        </w:tc>
        <w:tc>
          <w:tcPr>
            <w:tcW w:w="5165" w:type="dxa"/>
            <w:tcBorders>
              <w:top w:val="nil"/>
              <w:left w:val="nil"/>
              <w:bottom w:val="single" w:sz="8" w:space="0" w:color="auto"/>
              <w:right w:val="single" w:sz="8" w:space="0" w:color="auto"/>
            </w:tcBorders>
            <w:vAlign w:val="center"/>
            <w:hideMark/>
          </w:tcPr>
          <w:p w14:paraId="56D84994" w14:textId="77777777" w:rsidR="00631CA6" w:rsidRPr="00824D31" w:rsidRDefault="00631CA6" w:rsidP="00631CA6">
            <w:pPr>
              <w:ind w:firstLine="0"/>
            </w:pPr>
            <w:r w:rsidRPr="00824D31">
              <w:t>Многоквартирные дома (дома средне- и многоэтажной жилой застройки)</w:t>
            </w:r>
          </w:p>
        </w:tc>
        <w:tc>
          <w:tcPr>
            <w:tcW w:w="1534" w:type="dxa"/>
            <w:gridSpan w:val="2"/>
            <w:tcBorders>
              <w:top w:val="nil"/>
              <w:left w:val="nil"/>
              <w:bottom w:val="single" w:sz="8" w:space="0" w:color="auto"/>
              <w:right w:val="single" w:sz="8" w:space="0" w:color="auto"/>
            </w:tcBorders>
            <w:vAlign w:val="center"/>
            <w:hideMark/>
          </w:tcPr>
          <w:p w14:paraId="428BA2DC" w14:textId="3E9D89F1" w:rsidR="00631CA6" w:rsidRPr="00824D31" w:rsidRDefault="00631CA6" w:rsidP="00631CA6">
            <w:pPr>
              <w:ind w:firstLine="0"/>
            </w:pPr>
            <w:r w:rsidRPr="00631CA6">
              <w:t>197 788</w:t>
            </w:r>
          </w:p>
        </w:tc>
        <w:tc>
          <w:tcPr>
            <w:tcW w:w="1501" w:type="dxa"/>
            <w:gridSpan w:val="2"/>
            <w:tcBorders>
              <w:top w:val="nil"/>
              <w:left w:val="nil"/>
              <w:bottom w:val="single" w:sz="8" w:space="0" w:color="auto"/>
              <w:right w:val="single" w:sz="8" w:space="0" w:color="auto"/>
            </w:tcBorders>
            <w:vAlign w:val="center"/>
            <w:hideMark/>
          </w:tcPr>
          <w:p w14:paraId="01F3A193" w14:textId="701751FB" w:rsidR="00631CA6" w:rsidRPr="00824D31" w:rsidRDefault="00631CA6" w:rsidP="00631CA6">
            <w:r w:rsidRPr="00631CA6">
              <w:t>29,50%</w:t>
            </w:r>
          </w:p>
        </w:tc>
      </w:tr>
      <w:tr w:rsidR="00631CA6" w:rsidRPr="00824D31" w14:paraId="09FA5789" w14:textId="77777777" w:rsidTr="003126B0">
        <w:trPr>
          <w:gridAfter w:val="1"/>
          <w:wAfter w:w="7" w:type="dxa"/>
          <w:trHeight w:val="20"/>
        </w:trPr>
        <w:tc>
          <w:tcPr>
            <w:tcW w:w="1266" w:type="dxa"/>
            <w:tcBorders>
              <w:top w:val="nil"/>
              <w:left w:val="single" w:sz="8" w:space="0" w:color="auto"/>
              <w:bottom w:val="single" w:sz="8" w:space="0" w:color="auto"/>
              <w:right w:val="single" w:sz="8" w:space="0" w:color="auto"/>
            </w:tcBorders>
            <w:vAlign w:val="center"/>
            <w:hideMark/>
          </w:tcPr>
          <w:p w14:paraId="240A1EDA" w14:textId="77777777" w:rsidR="00631CA6" w:rsidRPr="00824D31" w:rsidRDefault="00631CA6" w:rsidP="00631CA6">
            <w:pPr>
              <w:ind w:firstLine="0"/>
            </w:pPr>
            <w:r w:rsidRPr="00824D31">
              <w:t>2 группа</w:t>
            </w:r>
          </w:p>
        </w:tc>
        <w:tc>
          <w:tcPr>
            <w:tcW w:w="5165" w:type="dxa"/>
            <w:tcBorders>
              <w:top w:val="nil"/>
              <w:left w:val="nil"/>
              <w:bottom w:val="single" w:sz="8" w:space="0" w:color="auto"/>
              <w:right w:val="single" w:sz="8" w:space="0" w:color="auto"/>
            </w:tcBorders>
            <w:vAlign w:val="center"/>
            <w:hideMark/>
          </w:tcPr>
          <w:p w14:paraId="334E69D6" w14:textId="77777777" w:rsidR="00631CA6" w:rsidRPr="00824D31" w:rsidRDefault="00631CA6" w:rsidP="00631CA6">
            <w:pPr>
              <w:ind w:firstLine="0"/>
            </w:pPr>
            <w:r w:rsidRPr="00824D31">
              <w:t>Дома малоэтажной  жилой застройки, в том числе индивидуальной жилой застройки, в том числе индивидуальной жилой застройки - индивидуальные, малоэтажные блокированные (таунхаусы), дачных объединений, садоводческих товариществ</w:t>
            </w:r>
          </w:p>
        </w:tc>
        <w:tc>
          <w:tcPr>
            <w:tcW w:w="1534" w:type="dxa"/>
            <w:gridSpan w:val="2"/>
            <w:tcBorders>
              <w:top w:val="nil"/>
              <w:left w:val="nil"/>
              <w:bottom w:val="single" w:sz="8" w:space="0" w:color="auto"/>
              <w:right w:val="single" w:sz="8" w:space="0" w:color="auto"/>
            </w:tcBorders>
            <w:vAlign w:val="center"/>
            <w:hideMark/>
          </w:tcPr>
          <w:p w14:paraId="623F0C02" w14:textId="240B7634" w:rsidR="00631CA6" w:rsidRPr="00824D31" w:rsidRDefault="00631CA6" w:rsidP="00631CA6">
            <w:pPr>
              <w:ind w:firstLine="0"/>
            </w:pPr>
            <w:r w:rsidRPr="00631CA6">
              <w:t>321 534</w:t>
            </w:r>
          </w:p>
        </w:tc>
        <w:tc>
          <w:tcPr>
            <w:tcW w:w="1501" w:type="dxa"/>
            <w:gridSpan w:val="2"/>
            <w:tcBorders>
              <w:top w:val="nil"/>
              <w:left w:val="nil"/>
              <w:bottom w:val="single" w:sz="8" w:space="0" w:color="auto"/>
              <w:right w:val="single" w:sz="8" w:space="0" w:color="auto"/>
            </w:tcBorders>
            <w:vAlign w:val="center"/>
            <w:hideMark/>
          </w:tcPr>
          <w:p w14:paraId="27BC9DB1" w14:textId="4A136BAC" w:rsidR="00631CA6" w:rsidRPr="00824D31" w:rsidRDefault="00631CA6" w:rsidP="00631CA6">
            <w:r w:rsidRPr="00631CA6">
              <w:t>47,95%</w:t>
            </w:r>
          </w:p>
        </w:tc>
      </w:tr>
      <w:tr w:rsidR="00631CA6" w:rsidRPr="00824D31" w14:paraId="24013044" w14:textId="77777777" w:rsidTr="003126B0">
        <w:trPr>
          <w:gridAfter w:val="1"/>
          <w:wAfter w:w="7" w:type="dxa"/>
          <w:trHeight w:val="20"/>
        </w:trPr>
        <w:tc>
          <w:tcPr>
            <w:tcW w:w="1266" w:type="dxa"/>
            <w:tcBorders>
              <w:top w:val="nil"/>
              <w:left w:val="single" w:sz="8" w:space="0" w:color="auto"/>
              <w:bottom w:val="single" w:sz="8" w:space="0" w:color="auto"/>
              <w:right w:val="single" w:sz="8" w:space="0" w:color="auto"/>
            </w:tcBorders>
            <w:vAlign w:val="center"/>
            <w:hideMark/>
          </w:tcPr>
          <w:p w14:paraId="63FCDA24" w14:textId="77777777" w:rsidR="00631CA6" w:rsidRPr="00824D31" w:rsidRDefault="00631CA6" w:rsidP="00631CA6">
            <w:pPr>
              <w:ind w:firstLine="0"/>
            </w:pPr>
            <w:r w:rsidRPr="00824D31">
              <w:t>3 группа</w:t>
            </w:r>
          </w:p>
        </w:tc>
        <w:tc>
          <w:tcPr>
            <w:tcW w:w="5165" w:type="dxa"/>
            <w:tcBorders>
              <w:top w:val="nil"/>
              <w:left w:val="nil"/>
              <w:bottom w:val="single" w:sz="8" w:space="0" w:color="auto"/>
              <w:right w:val="single" w:sz="8" w:space="0" w:color="auto"/>
            </w:tcBorders>
            <w:vAlign w:val="center"/>
            <w:hideMark/>
          </w:tcPr>
          <w:p w14:paraId="764979D5" w14:textId="77777777" w:rsidR="00631CA6" w:rsidRPr="00824D31" w:rsidRDefault="00631CA6" w:rsidP="00631CA6">
            <w:pPr>
              <w:ind w:firstLine="0"/>
            </w:pPr>
            <w:r w:rsidRPr="00824D31">
              <w:t>Объекты, предназначенные для хранения транспорта</w:t>
            </w:r>
          </w:p>
        </w:tc>
        <w:tc>
          <w:tcPr>
            <w:tcW w:w="1534" w:type="dxa"/>
            <w:gridSpan w:val="2"/>
            <w:tcBorders>
              <w:top w:val="nil"/>
              <w:left w:val="nil"/>
              <w:bottom w:val="single" w:sz="8" w:space="0" w:color="auto"/>
              <w:right w:val="single" w:sz="8" w:space="0" w:color="auto"/>
            </w:tcBorders>
            <w:vAlign w:val="center"/>
            <w:hideMark/>
          </w:tcPr>
          <w:p w14:paraId="7BD3C9A6" w14:textId="09643637" w:rsidR="00631CA6" w:rsidRPr="00824D31" w:rsidRDefault="00631CA6" w:rsidP="00631CA6">
            <w:pPr>
              <w:ind w:firstLine="0"/>
            </w:pPr>
            <w:r w:rsidRPr="00631CA6">
              <w:t>48 748</w:t>
            </w:r>
          </w:p>
        </w:tc>
        <w:tc>
          <w:tcPr>
            <w:tcW w:w="1501" w:type="dxa"/>
            <w:gridSpan w:val="2"/>
            <w:tcBorders>
              <w:top w:val="nil"/>
              <w:left w:val="nil"/>
              <w:bottom w:val="single" w:sz="8" w:space="0" w:color="auto"/>
              <w:right w:val="single" w:sz="8" w:space="0" w:color="auto"/>
            </w:tcBorders>
            <w:vAlign w:val="center"/>
            <w:hideMark/>
          </w:tcPr>
          <w:p w14:paraId="06EBED74" w14:textId="322EF723" w:rsidR="00631CA6" w:rsidRPr="00824D31" w:rsidRDefault="00631CA6" w:rsidP="00631CA6">
            <w:r w:rsidRPr="00631CA6">
              <w:t>7,27%</w:t>
            </w:r>
          </w:p>
        </w:tc>
      </w:tr>
      <w:tr w:rsidR="00631CA6" w:rsidRPr="00824D31" w14:paraId="16DDE539" w14:textId="77777777" w:rsidTr="003126B0">
        <w:trPr>
          <w:gridAfter w:val="1"/>
          <w:wAfter w:w="7" w:type="dxa"/>
          <w:trHeight w:val="20"/>
        </w:trPr>
        <w:tc>
          <w:tcPr>
            <w:tcW w:w="1266" w:type="dxa"/>
            <w:tcBorders>
              <w:top w:val="nil"/>
              <w:left w:val="single" w:sz="8" w:space="0" w:color="auto"/>
              <w:bottom w:val="single" w:sz="8" w:space="0" w:color="auto"/>
              <w:right w:val="single" w:sz="8" w:space="0" w:color="auto"/>
            </w:tcBorders>
            <w:vAlign w:val="center"/>
            <w:hideMark/>
          </w:tcPr>
          <w:p w14:paraId="5CA57239" w14:textId="77777777" w:rsidR="00631CA6" w:rsidRPr="00824D31" w:rsidRDefault="00631CA6" w:rsidP="00631CA6">
            <w:pPr>
              <w:ind w:firstLine="0"/>
            </w:pPr>
            <w:r w:rsidRPr="00824D31">
              <w:t>4 группа</w:t>
            </w:r>
          </w:p>
        </w:tc>
        <w:tc>
          <w:tcPr>
            <w:tcW w:w="5165" w:type="dxa"/>
            <w:tcBorders>
              <w:top w:val="nil"/>
              <w:left w:val="nil"/>
              <w:bottom w:val="single" w:sz="8" w:space="0" w:color="auto"/>
              <w:right w:val="single" w:sz="8" w:space="0" w:color="auto"/>
            </w:tcBorders>
            <w:vAlign w:val="center"/>
            <w:hideMark/>
          </w:tcPr>
          <w:p w14:paraId="521BE686" w14:textId="77777777" w:rsidR="00631CA6" w:rsidRPr="00824D31" w:rsidRDefault="00631CA6" w:rsidP="00631CA6">
            <w:pPr>
              <w:ind w:firstLine="0"/>
            </w:pPr>
            <w:r w:rsidRPr="00824D31">
              <w:t>Объекты коммерческого назначения, предназначенные для оказания услуг населению, включая объекты многофункционального назначения</w:t>
            </w:r>
          </w:p>
        </w:tc>
        <w:tc>
          <w:tcPr>
            <w:tcW w:w="1534" w:type="dxa"/>
            <w:gridSpan w:val="2"/>
            <w:tcBorders>
              <w:top w:val="nil"/>
              <w:left w:val="nil"/>
              <w:bottom w:val="single" w:sz="8" w:space="0" w:color="auto"/>
              <w:right w:val="single" w:sz="8" w:space="0" w:color="auto"/>
            </w:tcBorders>
            <w:vAlign w:val="center"/>
            <w:hideMark/>
          </w:tcPr>
          <w:p w14:paraId="13677926" w14:textId="783E5145" w:rsidR="00631CA6" w:rsidRPr="00824D31" w:rsidRDefault="00631CA6" w:rsidP="00631CA6">
            <w:pPr>
              <w:ind w:firstLine="0"/>
            </w:pPr>
            <w:r w:rsidRPr="00631CA6">
              <w:t>10 590</w:t>
            </w:r>
          </w:p>
        </w:tc>
        <w:tc>
          <w:tcPr>
            <w:tcW w:w="1501" w:type="dxa"/>
            <w:gridSpan w:val="2"/>
            <w:tcBorders>
              <w:top w:val="nil"/>
              <w:left w:val="nil"/>
              <w:bottom w:val="single" w:sz="8" w:space="0" w:color="auto"/>
              <w:right w:val="single" w:sz="8" w:space="0" w:color="auto"/>
            </w:tcBorders>
            <w:vAlign w:val="center"/>
            <w:hideMark/>
          </w:tcPr>
          <w:p w14:paraId="039F71D0" w14:textId="417E90AD" w:rsidR="00631CA6" w:rsidRPr="00824D31" w:rsidRDefault="00631CA6" w:rsidP="00631CA6">
            <w:r w:rsidRPr="00631CA6">
              <w:t>1,58%</w:t>
            </w:r>
          </w:p>
        </w:tc>
      </w:tr>
      <w:tr w:rsidR="00631CA6" w:rsidRPr="00824D31" w14:paraId="3E9909C7" w14:textId="77777777" w:rsidTr="003126B0">
        <w:trPr>
          <w:gridAfter w:val="1"/>
          <w:wAfter w:w="7" w:type="dxa"/>
          <w:trHeight w:val="20"/>
        </w:trPr>
        <w:tc>
          <w:tcPr>
            <w:tcW w:w="1266" w:type="dxa"/>
            <w:tcBorders>
              <w:top w:val="nil"/>
              <w:left w:val="single" w:sz="8" w:space="0" w:color="auto"/>
              <w:bottom w:val="single" w:sz="8" w:space="0" w:color="auto"/>
              <w:right w:val="single" w:sz="8" w:space="0" w:color="auto"/>
            </w:tcBorders>
            <w:vAlign w:val="center"/>
            <w:hideMark/>
          </w:tcPr>
          <w:p w14:paraId="59AF7912" w14:textId="77777777" w:rsidR="00631CA6" w:rsidRPr="00824D31" w:rsidRDefault="00631CA6" w:rsidP="00631CA6">
            <w:pPr>
              <w:ind w:firstLine="0"/>
            </w:pPr>
            <w:r w:rsidRPr="00824D31">
              <w:t>5 группа</w:t>
            </w:r>
          </w:p>
        </w:tc>
        <w:tc>
          <w:tcPr>
            <w:tcW w:w="5165" w:type="dxa"/>
            <w:tcBorders>
              <w:top w:val="nil"/>
              <w:left w:val="nil"/>
              <w:bottom w:val="single" w:sz="8" w:space="0" w:color="auto"/>
              <w:right w:val="single" w:sz="8" w:space="0" w:color="auto"/>
            </w:tcBorders>
            <w:vAlign w:val="center"/>
            <w:hideMark/>
          </w:tcPr>
          <w:p w14:paraId="3BC49EAD" w14:textId="77777777" w:rsidR="00631CA6" w:rsidRPr="00824D31" w:rsidRDefault="00631CA6" w:rsidP="00631CA6">
            <w:pPr>
              <w:ind w:firstLine="0"/>
            </w:pPr>
            <w:r w:rsidRPr="00824D31">
              <w:t>Объекты временного проживания, включая объекты рекреационно-оздоровительного значения</w:t>
            </w:r>
          </w:p>
        </w:tc>
        <w:tc>
          <w:tcPr>
            <w:tcW w:w="1534" w:type="dxa"/>
            <w:gridSpan w:val="2"/>
            <w:tcBorders>
              <w:top w:val="nil"/>
              <w:left w:val="nil"/>
              <w:bottom w:val="single" w:sz="8" w:space="0" w:color="auto"/>
              <w:right w:val="single" w:sz="8" w:space="0" w:color="auto"/>
            </w:tcBorders>
            <w:vAlign w:val="center"/>
            <w:hideMark/>
          </w:tcPr>
          <w:p w14:paraId="01082559" w14:textId="0516DDB6" w:rsidR="00631CA6" w:rsidRPr="00824D31" w:rsidRDefault="00631CA6" w:rsidP="00631CA6">
            <w:pPr>
              <w:ind w:firstLine="0"/>
            </w:pPr>
            <w:r w:rsidRPr="00631CA6">
              <w:t>13 018</w:t>
            </w:r>
          </w:p>
        </w:tc>
        <w:tc>
          <w:tcPr>
            <w:tcW w:w="1501" w:type="dxa"/>
            <w:gridSpan w:val="2"/>
            <w:tcBorders>
              <w:top w:val="nil"/>
              <w:left w:val="nil"/>
              <w:bottom w:val="single" w:sz="8" w:space="0" w:color="auto"/>
              <w:right w:val="single" w:sz="8" w:space="0" w:color="auto"/>
            </w:tcBorders>
            <w:vAlign w:val="center"/>
            <w:hideMark/>
          </w:tcPr>
          <w:p w14:paraId="308D7A49" w14:textId="28FE06F0" w:rsidR="00631CA6" w:rsidRPr="00824D31" w:rsidRDefault="00631CA6" w:rsidP="00631CA6">
            <w:r w:rsidRPr="00631CA6">
              <w:t>1,94%</w:t>
            </w:r>
          </w:p>
        </w:tc>
      </w:tr>
      <w:tr w:rsidR="00631CA6" w:rsidRPr="00824D31" w14:paraId="7930F06A" w14:textId="77777777" w:rsidTr="003126B0">
        <w:trPr>
          <w:gridAfter w:val="1"/>
          <w:wAfter w:w="7" w:type="dxa"/>
          <w:trHeight w:val="20"/>
        </w:trPr>
        <w:tc>
          <w:tcPr>
            <w:tcW w:w="1266" w:type="dxa"/>
            <w:tcBorders>
              <w:top w:val="nil"/>
              <w:left w:val="single" w:sz="8" w:space="0" w:color="auto"/>
              <w:bottom w:val="single" w:sz="8" w:space="0" w:color="auto"/>
              <w:right w:val="single" w:sz="8" w:space="0" w:color="auto"/>
            </w:tcBorders>
            <w:vAlign w:val="center"/>
            <w:hideMark/>
          </w:tcPr>
          <w:p w14:paraId="1018F2AC" w14:textId="77777777" w:rsidR="00631CA6" w:rsidRPr="00824D31" w:rsidRDefault="00631CA6" w:rsidP="00631CA6">
            <w:pPr>
              <w:ind w:firstLine="0"/>
            </w:pPr>
            <w:r w:rsidRPr="00824D31">
              <w:t>6 группа</w:t>
            </w:r>
          </w:p>
        </w:tc>
        <w:tc>
          <w:tcPr>
            <w:tcW w:w="5165" w:type="dxa"/>
            <w:tcBorders>
              <w:top w:val="nil"/>
              <w:left w:val="nil"/>
              <w:bottom w:val="single" w:sz="8" w:space="0" w:color="auto"/>
              <w:right w:val="single" w:sz="8" w:space="0" w:color="auto"/>
            </w:tcBorders>
            <w:vAlign w:val="center"/>
            <w:hideMark/>
          </w:tcPr>
          <w:p w14:paraId="28226456" w14:textId="77777777" w:rsidR="00631CA6" w:rsidRPr="00824D31" w:rsidRDefault="00631CA6" w:rsidP="00631CA6">
            <w:pPr>
              <w:ind w:firstLine="0"/>
            </w:pPr>
            <w:r w:rsidRPr="00824D31">
              <w:t>Административные и бытовые объекты</w:t>
            </w:r>
          </w:p>
        </w:tc>
        <w:tc>
          <w:tcPr>
            <w:tcW w:w="1534" w:type="dxa"/>
            <w:gridSpan w:val="2"/>
            <w:tcBorders>
              <w:top w:val="nil"/>
              <w:left w:val="nil"/>
              <w:bottom w:val="single" w:sz="8" w:space="0" w:color="auto"/>
              <w:right w:val="single" w:sz="8" w:space="0" w:color="auto"/>
            </w:tcBorders>
            <w:vAlign w:val="center"/>
            <w:hideMark/>
          </w:tcPr>
          <w:p w14:paraId="4A700564" w14:textId="6C9CB923" w:rsidR="00631CA6" w:rsidRPr="00824D31" w:rsidRDefault="00631CA6" w:rsidP="00631CA6">
            <w:pPr>
              <w:ind w:firstLine="0"/>
            </w:pPr>
            <w:r w:rsidRPr="00631CA6">
              <w:t>5 724</w:t>
            </w:r>
          </w:p>
        </w:tc>
        <w:tc>
          <w:tcPr>
            <w:tcW w:w="1501" w:type="dxa"/>
            <w:gridSpan w:val="2"/>
            <w:tcBorders>
              <w:top w:val="nil"/>
              <w:left w:val="nil"/>
              <w:bottom w:val="single" w:sz="8" w:space="0" w:color="auto"/>
              <w:right w:val="single" w:sz="8" w:space="0" w:color="auto"/>
            </w:tcBorders>
            <w:vAlign w:val="center"/>
            <w:hideMark/>
          </w:tcPr>
          <w:p w14:paraId="468BB87A" w14:textId="27DAB93A" w:rsidR="00631CA6" w:rsidRPr="00824D31" w:rsidRDefault="00631CA6" w:rsidP="00631CA6">
            <w:r w:rsidRPr="00631CA6">
              <w:t>0,85%</w:t>
            </w:r>
          </w:p>
        </w:tc>
      </w:tr>
      <w:tr w:rsidR="00631CA6" w:rsidRPr="00824D31" w14:paraId="3459AF20" w14:textId="77777777" w:rsidTr="003126B0">
        <w:trPr>
          <w:gridAfter w:val="1"/>
          <w:wAfter w:w="7" w:type="dxa"/>
          <w:trHeight w:val="20"/>
        </w:trPr>
        <w:tc>
          <w:tcPr>
            <w:tcW w:w="1266" w:type="dxa"/>
            <w:tcBorders>
              <w:top w:val="nil"/>
              <w:left w:val="single" w:sz="8" w:space="0" w:color="auto"/>
              <w:bottom w:val="single" w:sz="8" w:space="0" w:color="auto"/>
              <w:right w:val="single" w:sz="8" w:space="0" w:color="auto"/>
            </w:tcBorders>
            <w:vAlign w:val="center"/>
            <w:hideMark/>
          </w:tcPr>
          <w:p w14:paraId="65841960" w14:textId="77777777" w:rsidR="00631CA6" w:rsidRPr="00824D31" w:rsidRDefault="00631CA6" w:rsidP="00631CA6">
            <w:pPr>
              <w:ind w:firstLine="0"/>
            </w:pPr>
            <w:r w:rsidRPr="00824D31">
              <w:t>7 группа</w:t>
            </w:r>
          </w:p>
        </w:tc>
        <w:tc>
          <w:tcPr>
            <w:tcW w:w="5165" w:type="dxa"/>
            <w:tcBorders>
              <w:top w:val="nil"/>
              <w:left w:val="nil"/>
              <w:bottom w:val="single" w:sz="8" w:space="0" w:color="auto"/>
              <w:right w:val="single" w:sz="8" w:space="0" w:color="auto"/>
            </w:tcBorders>
            <w:vAlign w:val="center"/>
            <w:hideMark/>
          </w:tcPr>
          <w:p w14:paraId="17CE7648" w14:textId="77777777" w:rsidR="00631CA6" w:rsidRPr="00824D31" w:rsidRDefault="00631CA6" w:rsidP="00631CA6">
            <w:pPr>
              <w:ind w:firstLine="0"/>
            </w:pPr>
            <w:r w:rsidRPr="00824D31">
              <w:t>Объекты производственного назначения, за исключением передаточных устройств и сооружений</w:t>
            </w:r>
          </w:p>
        </w:tc>
        <w:tc>
          <w:tcPr>
            <w:tcW w:w="1534" w:type="dxa"/>
            <w:gridSpan w:val="2"/>
            <w:tcBorders>
              <w:top w:val="nil"/>
              <w:left w:val="nil"/>
              <w:bottom w:val="single" w:sz="8" w:space="0" w:color="auto"/>
              <w:right w:val="single" w:sz="8" w:space="0" w:color="auto"/>
            </w:tcBorders>
            <w:vAlign w:val="center"/>
            <w:hideMark/>
          </w:tcPr>
          <w:p w14:paraId="669C6C0A" w14:textId="6E98D8CB" w:rsidR="00631CA6" w:rsidRPr="00824D31" w:rsidRDefault="00631CA6" w:rsidP="00631CA6">
            <w:pPr>
              <w:ind w:firstLine="0"/>
            </w:pPr>
            <w:r w:rsidRPr="00631CA6">
              <w:t>28 260</w:t>
            </w:r>
          </w:p>
        </w:tc>
        <w:tc>
          <w:tcPr>
            <w:tcW w:w="1501" w:type="dxa"/>
            <w:gridSpan w:val="2"/>
            <w:tcBorders>
              <w:top w:val="nil"/>
              <w:left w:val="nil"/>
              <w:bottom w:val="single" w:sz="8" w:space="0" w:color="auto"/>
              <w:right w:val="single" w:sz="8" w:space="0" w:color="auto"/>
            </w:tcBorders>
            <w:vAlign w:val="center"/>
            <w:hideMark/>
          </w:tcPr>
          <w:p w14:paraId="19E9AB34" w14:textId="3C704B35" w:rsidR="00631CA6" w:rsidRPr="00824D31" w:rsidRDefault="00631CA6" w:rsidP="00631CA6">
            <w:r w:rsidRPr="00631CA6">
              <w:t>4,21%</w:t>
            </w:r>
          </w:p>
        </w:tc>
      </w:tr>
      <w:tr w:rsidR="00631CA6" w:rsidRPr="00824D31" w14:paraId="5B035181" w14:textId="77777777" w:rsidTr="003126B0">
        <w:trPr>
          <w:gridAfter w:val="1"/>
          <w:wAfter w:w="7" w:type="dxa"/>
          <w:trHeight w:val="20"/>
        </w:trPr>
        <w:tc>
          <w:tcPr>
            <w:tcW w:w="1266" w:type="dxa"/>
            <w:tcBorders>
              <w:top w:val="nil"/>
              <w:left w:val="single" w:sz="8" w:space="0" w:color="auto"/>
              <w:bottom w:val="single" w:sz="8" w:space="0" w:color="auto"/>
              <w:right w:val="single" w:sz="8" w:space="0" w:color="auto"/>
            </w:tcBorders>
            <w:vAlign w:val="center"/>
            <w:hideMark/>
          </w:tcPr>
          <w:p w14:paraId="6FA0322B" w14:textId="77777777" w:rsidR="00631CA6" w:rsidRPr="00824D31" w:rsidRDefault="00631CA6" w:rsidP="00631CA6">
            <w:pPr>
              <w:ind w:firstLine="0"/>
            </w:pPr>
            <w:r w:rsidRPr="00824D31">
              <w:t>8 группа</w:t>
            </w:r>
          </w:p>
        </w:tc>
        <w:tc>
          <w:tcPr>
            <w:tcW w:w="5165" w:type="dxa"/>
            <w:tcBorders>
              <w:top w:val="nil"/>
              <w:left w:val="nil"/>
              <w:bottom w:val="single" w:sz="8" w:space="0" w:color="auto"/>
              <w:right w:val="single" w:sz="8" w:space="0" w:color="auto"/>
            </w:tcBorders>
            <w:vAlign w:val="center"/>
            <w:hideMark/>
          </w:tcPr>
          <w:p w14:paraId="6FB189C3" w14:textId="77777777" w:rsidR="00631CA6" w:rsidRPr="00824D31" w:rsidRDefault="00631CA6" w:rsidP="00631CA6">
            <w:pPr>
              <w:ind w:firstLine="0"/>
            </w:pPr>
            <w:r w:rsidRPr="00824D31">
              <w:t>Учебные, спортивные объекты, объекты культуры и искусства, культовые объекты, музеи, лечебно-оздоровительные и общественного назначения объекты</w:t>
            </w:r>
          </w:p>
        </w:tc>
        <w:tc>
          <w:tcPr>
            <w:tcW w:w="1534" w:type="dxa"/>
            <w:gridSpan w:val="2"/>
            <w:tcBorders>
              <w:top w:val="nil"/>
              <w:left w:val="nil"/>
              <w:bottom w:val="single" w:sz="8" w:space="0" w:color="auto"/>
              <w:right w:val="single" w:sz="8" w:space="0" w:color="auto"/>
            </w:tcBorders>
            <w:vAlign w:val="center"/>
            <w:hideMark/>
          </w:tcPr>
          <w:p w14:paraId="08FEFEA5" w14:textId="56AC1F03" w:rsidR="00631CA6" w:rsidRPr="00824D31" w:rsidRDefault="00631CA6" w:rsidP="00631CA6">
            <w:pPr>
              <w:ind w:firstLine="0"/>
            </w:pPr>
            <w:r w:rsidRPr="00631CA6">
              <w:t>10 215</w:t>
            </w:r>
          </w:p>
        </w:tc>
        <w:tc>
          <w:tcPr>
            <w:tcW w:w="1501" w:type="dxa"/>
            <w:gridSpan w:val="2"/>
            <w:tcBorders>
              <w:top w:val="nil"/>
              <w:left w:val="nil"/>
              <w:bottom w:val="single" w:sz="8" w:space="0" w:color="auto"/>
              <w:right w:val="single" w:sz="8" w:space="0" w:color="auto"/>
            </w:tcBorders>
            <w:vAlign w:val="center"/>
            <w:hideMark/>
          </w:tcPr>
          <w:p w14:paraId="397BBCB5" w14:textId="2BF510DF" w:rsidR="00631CA6" w:rsidRPr="00824D31" w:rsidRDefault="00631CA6" w:rsidP="00631CA6">
            <w:r w:rsidRPr="00631CA6">
              <w:t>1,52%</w:t>
            </w:r>
          </w:p>
        </w:tc>
      </w:tr>
      <w:tr w:rsidR="00631CA6" w:rsidRPr="00824D31" w14:paraId="635290D8" w14:textId="77777777" w:rsidTr="003126B0">
        <w:trPr>
          <w:gridAfter w:val="1"/>
          <w:wAfter w:w="7" w:type="dxa"/>
          <w:trHeight w:val="20"/>
        </w:trPr>
        <w:tc>
          <w:tcPr>
            <w:tcW w:w="1266" w:type="dxa"/>
            <w:tcBorders>
              <w:top w:val="nil"/>
              <w:left w:val="single" w:sz="8" w:space="0" w:color="auto"/>
              <w:bottom w:val="single" w:sz="8" w:space="0" w:color="auto"/>
              <w:right w:val="single" w:sz="8" w:space="0" w:color="auto"/>
            </w:tcBorders>
            <w:vAlign w:val="center"/>
            <w:hideMark/>
          </w:tcPr>
          <w:p w14:paraId="295AB554" w14:textId="77777777" w:rsidR="00631CA6" w:rsidRPr="00824D31" w:rsidRDefault="00631CA6" w:rsidP="00631CA6">
            <w:pPr>
              <w:ind w:firstLine="0"/>
            </w:pPr>
            <w:r w:rsidRPr="00824D31">
              <w:t>9 группа</w:t>
            </w:r>
          </w:p>
        </w:tc>
        <w:tc>
          <w:tcPr>
            <w:tcW w:w="5165" w:type="dxa"/>
            <w:tcBorders>
              <w:top w:val="nil"/>
              <w:left w:val="nil"/>
              <w:bottom w:val="single" w:sz="8" w:space="0" w:color="auto"/>
              <w:right w:val="single" w:sz="8" w:space="0" w:color="auto"/>
            </w:tcBorders>
            <w:vAlign w:val="center"/>
            <w:hideMark/>
          </w:tcPr>
          <w:p w14:paraId="17EB2DD6" w14:textId="77777777" w:rsidR="00631CA6" w:rsidRPr="00824D31" w:rsidRDefault="00631CA6" w:rsidP="00631CA6">
            <w:pPr>
              <w:ind w:firstLine="0"/>
            </w:pPr>
            <w:r w:rsidRPr="00824D31">
              <w:t>Прочие объекты</w:t>
            </w:r>
          </w:p>
        </w:tc>
        <w:tc>
          <w:tcPr>
            <w:tcW w:w="1534" w:type="dxa"/>
            <w:gridSpan w:val="2"/>
            <w:tcBorders>
              <w:top w:val="nil"/>
              <w:left w:val="nil"/>
              <w:bottom w:val="single" w:sz="8" w:space="0" w:color="auto"/>
              <w:right w:val="single" w:sz="8" w:space="0" w:color="auto"/>
            </w:tcBorders>
            <w:vAlign w:val="center"/>
            <w:hideMark/>
          </w:tcPr>
          <w:p w14:paraId="344A27CF" w14:textId="38734AB2" w:rsidR="00631CA6" w:rsidRPr="00824D31" w:rsidRDefault="00631CA6" w:rsidP="00631CA6">
            <w:pPr>
              <w:ind w:firstLine="0"/>
            </w:pPr>
            <w:r w:rsidRPr="00631CA6">
              <w:t>8 342</w:t>
            </w:r>
          </w:p>
        </w:tc>
        <w:tc>
          <w:tcPr>
            <w:tcW w:w="1501" w:type="dxa"/>
            <w:gridSpan w:val="2"/>
            <w:tcBorders>
              <w:top w:val="nil"/>
              <w:left w:val="nil"/>
              <w:bottom w:val="single" w:sz="8" w:space="0" w:color="auto"/>
              <w:right w:val="single" w:sz="8" w:space="0" w:color="auto"/>
            </w:tcBorders>
            <w:vAlign w:val="center"/>
            <w:hideMark/>
          </w:tcPr>
          <w:p w14:paraId="1BE60B77" w14:textId="7D6CE430" w:rsidR="00631CA6" w:rsidRPr="00824D31" w:rsidRDefault="00631CA6" w:rsidP="00631CA6">
            <w:r w:rsidRPr="00631CA6">
              <w:t>1,24%</w:t>
            </w:r>
          </w:p>
        </w:tc>
      </w:tr>
      <w:tr w:rsidR="00631CA6" w:rsidRPr="00824D31" w14:paraId="0D74D00D" w14:textId="77777777" w:rsidTr="003126B0">
        <w:trPr>
          <w:gridAfter w:val="1"/>
          <w:wAfter w:w="7" w:type="dxa"/>
          <w:trHeight w:val="20"/>
        </w:trPr>
        <w:tc>
          <w:tcPr>
            <w:tcW w:w="1266" w:type="dxa"/>
            <w:tcBorders>
              <w:top w:val="nil"/>
              <w:left w:val="single" w:sz="8" w:space="0" w:color="auto"/>
              <w:bottom w:val="single" w:sz="8" w:space="0" w:color="auto"/>
              <w:right w:val="single" w:sz="8" w:space="0" w:color="auto"/>
            </w:tcBorders>
            <w:vAlign w:val="center"/>
            <w:hideMark/>
          </w:tcPr>
          <w:p w14:paraId="718BACA5" w14:textId="77777777" w:rsidR="00631CA6" w:rsidRPr="00824D31" w:rsidRDefault="00631CA6" w:rsidP="00631CA6">
            <w:pPr>
              <w:ind w:firstLine="0"/>
            </w:pPr>
            <w:r w:rsidRPr="00824D31">
              <w:t>10 группа</w:t>
            </w:r>
          </w:p>
        </w:tc>
        <w:tc>
          <w:tcPr>
            <w:tcW w:w="5165" w:type="dxa"/>
            <w:tcBorders>
              <w:top w:val="nil"/>
              <w:left w:val="nil"/>
              <w:bottom w:val="single" w:sz="8" w:space="0" w:color="auto"/>
              <w:right w:val="single" w:sz="8" w:space="0" w:color="auto"/>
            </w:tcBorders>
            <w:vAlign w:val="center"/>
            <w:hideMark/>
          </w:tcPr>
          <w:p w14:paraId="166B31A7" w14:textId="77777777" w:rsidR="00631CA6" w:rsidRPr="00824D31" w:rsidRDefault="00631CA6" w:rsidP="00631CA6">
            <w:pPr>
              <w:ind w:firstLine="0"/>
            </w:pPr>
            <w:r w:rsidRPr="00824D31">
              <w:t>Сооружения</w:t>
            </w:r>
          </w:p>
        </w:tc>
        <w:tc>
          <w:tcPr>
            <w:tcW w:w="1534" w:type="dxa"/>
            <w:gridSpan w:val="2"/>
            <w:tcBorders>
              <w:top w:val="nil"/>
              <w:left w:val="nil"/>
              <w:bottom w:val="single" w:sz="8" w:space="0" w:color="auto"/>
              <w:right w:val="single" w:sz="8" w:space="0" w:color="auto"/>
            </w:tcBorders>
            <w:vAlign w:val="center"/>
            <w:hideMark/>
          </w:tcPr>
          <w:p w14:paraId="295C82F3" w14:textId="68191E6A" w:rsidR="00631CA6" w:rsidRPr="00824D31" w:rsidRDefault="00631CA6" w:rsidP="00631CA6">
            <w:pPr>
              <w:ind w:firstLine="0"/>
            </w:pPr>
            <w:r w:rsidRPr="00631CA6">
              <w:t>26 349</w:t>
            </w:r>
          </w:p>
        </w:tc>
        <w:tc>
          <w:tcPr>
            <w:tcW w:w="1501" w:type="dxa"/>
            <w:gridSpan w:val="2"/>
            <w:tcBorders>
              <w:top w:val="nil"/>
              <w:left w:val="nil"/>
              <w:bottom w:val="single" w:sz="8" w:space="0" w:color="auto"/>
              <w:right w:val="single" w:sz="8" w:space="0" w:color="auto"/>
            </w:tcBorders>
            <w:vAlign w:val="center"/>
            <w:hideMark/>
          </w:tcPr>
          <w:p w14:paraId="5D186F5B" w14:textId="6405C2D6" w:rsidR="00631CA6" w:rsidRPr="00824D31" w:rsidRDefault="00631CA6" w:rsidP="00631CA6">
            <w:r w:rsidRPr="00631CA6">
              <w:t>3,93%</w:t>
            </w:r>
          </w:p>
        </w:tc>
      </w:tr>
      <w:tr w:rsidR="00EC492E" w:rsidRPr="00824D31" w14:paraId="29594236" w14:textId="77777777" w:rsidTr="003126B0">
        <w:trPr>
          <w:trHeight w:val="20"/>
        </w:trPr>
        <w:tc>
          <w:tcPr>
            <w:tcW w:w="6438" w:type="dxa"/>
            <w:gridSpan w:val="3"/>
            <w:tcBorders>
              <w:top w:val="single" w:sz="8" w:space="0" w:color="auto"/>
              <w:left w:val="single" w:sz="8" w:space="0" w:color="auto"/>
              <w:bottom w:val="single" w:sz="8" w:space="0" w:color="auto"/>
              <w:right w:val="single" w:sz="8" w:space="0" w:color="000000"/>
            </w:tcBorders>
            <w:vAlign w:val="center"/>
            <w:hideMark/>
          </w:tcPr>
          <w:p w14:paraId="555E3BF8" w14:textId="77777777" w:rsidR="00EC492E" w:rsidRPr="00824D31" w:rsidRDefault="00EC492E" w:rsidP="00042D69">
            <w:pPr>
              <w:ind w:firstLine="0"/>
            </w:pPr>
            <w:r w:rsidRPr="00824D31">
              <w:t>ИТОГО</w:t>
            </w:r>
          </w:p>
        </w:tc>
        <w:tc>
          <w:tcPr>
            <w:tcW w:w="1534" w:type="dxa"/>
            <w:gridSpan w:val="2"/>
            <w:tcBorders>
              <w:top w:val="nil"/>
              <w:left w:val="nil"/>
              <w:bottom w:val="single" w:sz="8" w:space="0" w:color="auto"/>
              <w:right w:val="single" w:sz="8" w:space="0" w:color="auto"/>
            </w:tcBorders>
            <w:vAlign w:val="center"/>
            <w:hideMark/>
          </w:tcPr>
          <w:p w14:paraId="1B2F6A3E" w14:textId="77777777" w:rsidR="00EC492E" w:rsidRPr="00824D31" w:rsidRDefault="00EC492E" w:rsidP="00042D69">
            <w:pPr>
              <w:ind w:firstLine="0"/>
            </w:pPr>
            <w:r w:rsidRPr="00824D31">
              <w:t>670 568</w:t>
            </w:r>
          </w:p>
        </w:tc>
        <w:tc>
          <w:tcPr>
            <w:tcW w:w="1501" w:type="dxa"/>
            <w:gridSpan w:val="2"/>
            <w:tcBorders>
              <w:top w:val="nil"/>
              <w:left w:val="nil"/>
              <w:bottom w:val="single" w:sz="8" w:space="0" w:color="auto"/>
              <w:right w:val="single" w:sz="8" w:space="0" w:color="auto"/>
            </w:tcBorders>
            <w:vAlign w:val="center"/>
            <w:hideMark/>
          </w:tcPr>
          <w:p w14:paraId="050B9B80" w14:textId="77777777" w:rsidR="00EC492E" w:rsidRPr="00824D31" w:rsidRDefault="00EC492E" w:rsidP="00EC492E">
            <w:r w:rsidRPr="00824D31">
              <w:t>100,00%</w:t>
            </w:r>
          </w:p>
        </w:tc>
      </w:tr>
    </w:tbl>
    <w:p w14:paraId="604DDABF" w14:textId="77777777" w:rsidR="00EC492E" w:rsidRPr="00824D31" w:rsidRDefault="00EC492E" w:rsidP="00EC492E"/>
    <w:p w14:paraId="25CDB604" w14:textId="77777777" w:rsidR="00EC492E" w:rsidRPr="00824D31" w:rsidRDefault="00EC492E" w:rsidP="00EC492E">
      <w:r w:rsidRPr="00824D31">
        <w:t>По результатам уточненных/согласованных данных доработана группировка объектов оценки, по итогам которой оцениваемые объекты недвижимости были отнесены к одной из 10 групп. Основную часть от общего количества объектов оценки составляют объекты недвижимости жилой застройки: 2 группа «Дома малоэтажной жилой застройки, в том числе индивидуальной жилой застройки - индивидуальные, малоэтажные блокированные (таунхаусы), дачных объединений, садоводческих товариществ» - 47,95%, 1 группа «Многоквартирные дома (дома средне- и многоэтажной жилой застройки)» - 29,50%. Объекты, предназначенные для хранения транспорта и объекты производственного назначения, за исключением передаточных устройств и сооружений составляют 7,27% и 4,21% соответственно. Сооружения и объекты временного проживания, включая объекты рекреационно-оздоровительного значения составляют 3,93% и 1,94% соответственно. Объекты коммерческого назначения, предназначенные для оказания услуг населению, включая объекты многофункционального назначения и учебные, спортивные объекты культуры и искусства, культовые объекты, музеи, лечебно-оздоровительные и общественного назначения объекты составляют 1,58% и 1,52% соответственно. Объекты недвижимости в составе каждой из нерассмотренных групп составляют менее 1,5% от общего количества объектов оценки.</w:t>
      </w:r>
    </w:p>
    <w:p w14:paraId="5FCC8F1E" w14:textId="77777777" w:rsidR="00EC492E" w:rsidRPr="00824D31" w:rsidRDefault="00EC492E" w:rsidP="00EC492E"/>
    <w:p w14:paraId="459B5FAB" w14:textId="781F9A67" w:rsidR="00EC492E" w:rsidRPr="00824D31" w:rsidRDefault="00EC492E" w:rsidP="00EC492E">
      <w:r w:rsidRPr="00B36DFD">
        <w:t xml:space="preserve">В графическом виде распределение объектов оценки по группам представлено на Рисунке </w:t>
      </w:r>
      <w:r w:rsidR="00B36DFD" w:rsidRPr="00B36DFD">
        <w:t>54</w:t>
      </w:r>
      <w:r w:rsidRPr="00B36DFD">
        <w:t>.</w:t>
      </w:r>
    </w:p>
    <w:p w14:paraId="74B200EE" w14:textId="0640557E" w:rsidR="00EC492E" w:rsidRPr="00824D31" w:rsidRDefault="00EC492E" w:rsidP="00EC492E">
      <w:r w:rsidRPr="00824D31">
        <w:rPr>
          <w:noProof/>
          <w:lang w:eastAsia="ru-RU"/>
        </w:rPr>
        <w:drawing>
          <wp:inline distT="0" distB="0" distL="0" distR="0" wp14:anchorId="26907E15" wp14:editId="76611A71">
            <wp:extent cx="5362575" cy="3819525"/>
            <wp:effectExtent l="0" t="0" r="9525" b="952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5362575" cy="3819525"/>
                    </a:xfrm>
                    <a:prstGeom prst="rect">
                      <a:avLst/>
                    </a:prstGeom>
                    <a:noFill/>
                    <a:ln>
                      <a:noFill/>
                    </a:ln>
                  </pic:spPr>
                </pic:pic>
              </a:graphicData>
            </a:graphic>
          </wp:inline>
        </w:drawing>
      </w:r>
    </w:p>
    <w:p w14:paraId="6BDA942F" w14:textId="13659A4A" w:rsidR="00EC492E" w:rsidRPr="00824D31" w:rsidRDefault="00EC492E" w:rsidP="00EC492E">
      <w:r w:rsidRPr="00824D31">
        <w:t xml:space="preserve">Рисунок </w:t>
      </w:r>
      <w:r w:rsidR="00A90944">
        <w:fldChar w:fldCharType="begin"/>
      </w:r>
      <w:r w:rsidR="00A90944">
        <w:instrText xml:space="preserve"> SEQ Рисунок \* ARABIC </w:instrText>
      </w:r>
      <w:r w:rsidR="00A90944">
        <w:fldChar w:fldCharType="separate"/>
      </w:r>
      <w:r w:rsidR="00FD2769">
        <w:rPr>
          <w:noProof/>
        </w:rPr>
        <w:t>56</w:t>
      </w:r>
      <w:r w:rsidR="00A90944">
        <w:rPr>
          <w:noProof/>
        </w:rPr>
        <w:fldChar w:fldCharType="end"/>
      </w:r>
      <w:r w:rsidRPr="00824D31">
        <w:t xml:space="preserve"> Распределение объектов оценки по группам</w:t>
      </w:r>
    </w:p>
    <w:p w14:paraId="3B73B44E" w14:textId="77777777" w:rsidR="00EC492E" w:rsidRPr="00824D31" w:rsidRDefault="00EC492E" w:rsidP="00EC492E"/>
    <w:p w14:paraId="60D8D718" w14:textId="3A8FE1A8" w:rsidR="00EC492E" w:rsidRPr="00334FFE" w:rsidRDefault="00EC492E" w:rsidP="00EC492E">
      <w:r w:rsidRPr="00824D31">
        <w:t>Результаты распределения объектов оценки по</w:t>
      </w:r>
      <w:r w:rsidR="00B36DFD">
        <w:t xml:space="preserve"> группам объектов недвижимости </w:t>
      </w:r>
      <w:r w:rsidRPr="00334FFE">
        <w:t xml:space="preserve">приведены в Приложении </w:t>
      </w:r>
      <w:r w:rsidR="00334FFE" w:rsidRPr="00334FFE">
        <w:t>1.3.5</w:t>
      </w:r>
      <w:r w:rsidRPr="00334FFE">
        <w:t xml:space="preserve"> </w:t>
      </w:r>
      <w:r w:rsidR="00B36DFD">
        <w:t>Отчета.</w:t>
      </w:r>
    </w:p>
    <w:p w14:paraId="79C0ADD9" w14:textId="2E7AA94E" w:rsidR="00EC492E" w:rsidRPr="00824D31" w:rsidRDefault="00EC492E" w:rsidP="00EC492E">
      <w:r w:rsidRPr="00334FFE">
        <w:t>При группировке Объектов оценки</w:t>
      </w:r>
      <w:r w:rsidRPr="00824D31">
        <w:t xml:space="preserve"> используется многоуровневая структура. Для соблюдения принципа однозначности при многоуровневой группировке группы второго уровня и ниже называются подгруппами. </w:t>
      </w:r>
      <w:r w:rsidR="00334FFE">
        <w:t>Следующая таблица</w:t>
      </w:r>
      <w:r w:rsidRPr="00824D31">
        <w:t xml:space="preserve"> содержит сведения о распределении Объектов оценки по функциональным подгруппам.</w:t>
      </w:r>
    </w:p>
    <w:p w14:paraId="6FDA60E1" w14:textId="3CFF1C17" w:rsidR="00EC492E" w:rsidRPr="00824D31" w:rsidRDefault="00EC492E" w:rsidP="00763AD2">
      <w:pPr>
        <w:pStyle w:val="afffffff0"/>
      </w:pPr>
      <w:r w:rsidRPr="00824D31">
        <w:t xml:space="preserve">Таблица </w:t>
      </w:r>
      <w:r w:rsidR="00A90944">
        <w:fldChar w:fldCharType="begin"/>
      </w:r>
      <w:r w:rsidR="00A90944">
        <w:instrText xml:space="preserve"> SEQ Таблица \* ARABIC </w:instrText>
      </w:r>
      <w:r w:rsidR="00A90944">
        <w:fldChar w:fldCharType="separate"/>
      </w:r>
      <w:r w:rsidR="00FD2769">
        <w:rPr>
          <w:noProof/>
        </w:rPr>
        <w:t>30</w:t>
      </w:r>
      <w:r w:rsidR="00A90944">
        <w:rPr>
          <w:noProof/>
        </w:rPr>
        <w:fldChar w:fldCharType="end"/>
      </w:r>
      <w:r w:rsidRPr="00824D31">
        <w:t xml:space="preserve"> Результат группировки Объектов оценки по функциональным подгруппам</w:t>
      </w:r>
    </w:p>
    <w:tbl>
      <w:tblPr>
        <w:tblW w:w="924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681"/>
        <w:gridCol w:w="1559"/>
      </w:tblGrid>
      <w:tr w:rsidR="00EC492E" w:rsidRPr="009E18B2" w14:paraId="77F04B3D" w14:textId="77777777" w:rsidTr="009E18B2">
        <w:trPr>
          <w:tblHeader/>
        </w:trPr>
        <w:tc>
          <w:tcPr>
            <w:tcW w:w="7684" w:type="dxa"/>
            <w:shd w:val="clear" w:color="auto" w:fill="BFBFBF" w:themeFill="background1" w:themeFillShade="BF"/>
            <w:hideMark/>
          </w:tcPr>
          <w:p w14:paraId="27C38C1B" w14:textId="77777777" w:rsidR="00EC492E" w:rsidRPr="009E18B2" w:rsidRDefault="00EC492E" w:rsidP="009E18B2">
            <w:pPr>
              <w:ind w:firstLine="0"/>
              <w:jc w:val="center"/>
              <w:rPr>
                <w:b/>
                <w:i/>
              </w:rPr>
            </w:pPr>
            <w:r w:rsidRPr="009E18B2">
              <w:rPr>
                <w:b/>
                <w:i/>
              </w:rPr>
              <w:t>Функциональная группа</w:t>
            </w:r>
          </w:p>
        </w:tc>
        <w:tc>
          <w:tcPr>
            <w:tcW w:w="1559" w:type="dxa"/>
            <w:shd w:val="clear" w:color="auto" w:fill="BFBFBF" w:themeFill="background1" w:themeFillShade="BF"/>
            <w:hideMark/>
          </w:tcPr>
          <w:p w14:paraId="13E29EBC" w14:textId="77777777" w:rsidR="00EC492E" w:rsidRPr="009E18B2" w:rsidRDefault="00EC492E" w:rsidP="009E18B2">
            <w:pPr>
              <w:ind w:firstLine="0"/>
              <w:rPr>
                <w:b/>
                <w:i/>
              </w:rPr>
            </w:pPr>
            <w:r w:rsidRPr="009E18B2">
              <w:rPr>
                <w:b/>
                <w:i/>
              </w:rPr>
              <w:t>Подгруппа</w:t>
            </w:r>
          </w:p>
        </w:tc>
      </w:tr>
      <w:tr w:rsidR="00EC492E" w:rsidRPr="00824D31" w14:paraId="1F590724" w14:textId="77777777" w:rsidTr="009E18B2">
        <w:tc>
          <w:tcPr>
            <w:tcW w:w="7684" w:type="dxa"/>
            <w:hideMark/>
          </w:tcPr>
          <w:p w14:paraId="58836529" w14:textId="77777777" w:rsidR="00EC492E" w:rsidRPr="00824D31" w:rsidRDefault="00EC492E" w:rsidP="00EC492E">
            <w:bookmarkStart w:id="73" w:name="sub_20001"/>
            <w:r w:rsidRPr="00824D31">
              <w:t>Группа 1. Многоквартирные дома (дома средне - и многоэтажной жилой застройки)</w:t>
            </w:r>
            <w:bookmarkEnd w:id="73"/>
          </w:p>
        </w:tc>
        <w:tc>
          <w:tcPr>
            <w:tcW w:w="1559" w:type="dxa"/>
            <w:hideMark/>
          </w:tcPr>
          <w:p w14:paraId="43CCB56E" w14:textId="77777777" w:rsidR="00EC492E" w:rsidRPr="00824D31" w:rsidRDefault="00EC492E" w:rsidP="00EC492E">
            <w:r w:rsidRPr="00824D31">
              <w:t>0100</w:t>
            </w:r>
          </w:p>
        </w:tc>
      </w:tr>
      <w:tr w:rsidR="00EC492E" w:rsidRPr="00824D31" w14:paraId="42645B3A" w14:textId="77777777" w:rsidTr="009E18B2">
        <w:tc>
          <w:tcPr>
            <w:tcW w:w="7684" w:type="dxa"/>
            <w:hideMark/>
          </w:tcPr>
          <w:p w14:paraId="3573C32D" w14:textId="77777777" w:rsidR="00EC492E" w:rsidRPr="00824D31" w:rsidRDefault="00EC492E" w:rsidP="00EC492E">
            <w:r w:rsidRPr="00824D31">
              <w:t>Дома жилые экономичного класса (с преобладанием малогабаритных квартир)</w:t>
            </w:r>
          </w:p>
        </w:tc>
        <w:tc>
          <w:tcPr>
            <w:tcW w:w="1559" w:type="dxa"/>
            <w:hideMark/>
          </w:tcPr>
          <w:p w14:paraId="351359AF" w14:textId="77777777" w:rsidR="00EC492E" w:rsidRPr="00824D31" w:rsidRDefault="00EC492E" w:rsidP="00EC492E">
            <w:r w:rsidRPr="00824D31">
              <w:t>0101</w:t>
            </w:r>
          </w:p>
        </w:tc>
      </w:tr>
      <w:tr w:rsidR="00EC492E" w:rsidRPr="00824D31" w14:paraId="569CF1FC" w14:textId="77777777" w:rsidTr="009E18B2">
        <w:tc>
          <w:tcPr>
            <w:tcW w:w="7684" w:type="dxa"/>
            <w:hideMark/>
          </w:tcPr>
          <w:p w14:paraId="1F0C92F1" w14:textId="77777777" w:rsidR="00EC492E" w:rsidRPr="00824D31" w:rsidRDefault="00EC492E" w:rsidP="00EC492E">
            <w:r w:rsidRPr="00824D31">
              <w:t>Дома жилые со встроенными нежилыми помещениями</w:t>
            </w:r>
          </w:p>
        </w:tc>
        <w:tc>
          <w:tcPr>
            <w:tcW w:w="1559" w:type="dxa"/>
            <w:hideMark/>
          </w:tcPr>
          <w:p w14:paraId="406DFD58" w14:textId="77777777" w:rsidR="00EC492E" w:rsidRPr="00824D31" w:rsidRDefault="00EC492E" w:rsidP="00EC492E">
            <w:r w:rsidRPr="00824D31">
              <w:t>0102</w:t>
            </w:r>
          </w:p>
        </w:tc>
      </w:tr>
      <w:tr w:rsidR="00EC492E" w:rsidRPr="00824D31" w14:paraId="55453F69" w14:textId="77777777" w:rsidTr="009E18B2">
        <w:tc>
          <w:tcPr>
            <w:tcW w:w="7684" w:type="dxa"/>
            <w:hideMark/>
          </w:tcPr>
          <w:p w14:paraId="5DFC224B" w14:textId="77777777" w:rsidR="00EC492E" w:rsidRPr="00824D31" w:rsidRDefault="00EC492E" w:rsidP="00EC492E">
            <w:r w:rsidRPr="00824D31">
              <w:t>Дома жилые повышенной комфортности (дома с небольшим количеством малогабаритных квартир, дома класса комфорт)</w:t>
            </w:r>
          </w:p>
        </w:tc>
        <w:tc>
          <w:tcPr>
            <w:tcW w:w="1559" w:type="dxa"/>
            <w:hideMark/>
          </w:tcPr>
          <w:p w14:paraId="2CBC779B" w14:textId="77777777" w:rsidR="00EC492E" w:rsidRPr="00824D31" w:rsidRDefault="00EC492E" w:rsidP="00EC492E">
            <w:r w:rsidRPr="00824D31">
              <w:t>0103</w:t>
            </w:r>
          </w:p>
        </w:tc>
      </w:tr>
      <w:tr w:rsidR="00EC492E" w:rsidRPr="00824D31" w14:paraId="7615ACC2" w14:textId="77777777" w:rsidTr="009E18B2">
        <w:tc>
          <w:tcPr>
            <w:tcW w:w="7684" w:type="dxa"/>
            <w:hideMark/>
          </w:tcPr>
          <w:p w14:paraId="5C9E91A2" w14:textId="77777777" w:rsidR="00EC492E" w:rsidRPr="00824D31" w:rsidRDefault="00EC492E" w:rsidP="00EC492E">
            <w:r w:rsidRPr="00824D31">
              <w:t>Дома жилые повышенной комфортности со встроенными нежилыми помещениями</w:t>
            </w:r>
          </w:p>
        </w:tc>
        <w:tc>
          <w:tcPr>
            <w:tcW w:w="1559" w:type="dxa"/>
            <w:hideMark/>
          </w:tcPr>
          <w:p w14:paraId="4A45E2AC" w14:textId="77777777" w:rsidR="00EC492E" w:rsidRPr="00824D31" w:rsidRDefault="00EC492E" w:rsidP="00EC492E">
            <w:r w:rsidRPr="00824D31">
              <w:t>0104</w:t>
            </w:r>
          </w:p>
        </w:tc>
      </w:tr>
      <w:tr w:rsidR="00EC492E" w:rsidRPr="00824D31" w14:paraId="3FA1E264" w14:textId="77777777" w:rsidTr="009E18B2">
        <w:tc>
          <w:tcPr>
            <w:tcW w:w="7684" w:type="dxa"/>
            <w:hideMark/>
          </w:tcPr>
          <w:p w14:paraId="38918B3C" w14:textId="77777777" w:rsidR="00EC492E" w:rsidRPr="00824D31" w:rsidRDefault="00EC492E" w:rsidP="00EC492E">
            <w:r w:rsidRPr="00824D31">
              <w:t>Дома бизнес - класса и выше (дома с повышенными габаритами квартир, уровнем отделки и обслуживания, как правило, расположены в престижных районах застройки)</w:t>
            </w:r>
          </w:p>
        </w:tc>
        <w:tc>
          <w:tcPr>
            <w:tcW w:w="1559" w:type="dxa"/>
            <w:hideMark/>
          </w:tcPr>
          <w:p w14:paraId="429740E8" w14:textId="77777777" w:rsidR="00EC492E" w:rsidRPr="00824D31" w:rsidRDefault="00EC492E" w:rsidP="00EC492E">
            <w:r w:rsidRPr="00824D31">
              <w:t>0105</w:t>
            </w:r>
          </w:p>
        </w:tc>
      </w:tr>
      <w:tr w:rsidR="00EC492E" w:rsidRPr="00824D31" w14:paraId="4D69A5C3" w14:textId="77777777" w:rsidTr="009E18B2">
        <w:tc>
          <w:tcPr>
            <w:tcW w:w="7684" w:type="dxa"/>
            <w:hideMark/>
          </w:tcPr>
          <w:p w14:paraId="4076F590" w14:textId="77777777" w:rsidR="00EC492E" w:rsidRPr="00824D31" w:rsidRDefault="00EC492E" w:rsidP="00EC492E">
            <w:r w:rsidRPr="00824D31">
              <w:t>Дома бизнес - класса и выше со встроенными нежилыми помещениями</w:t>
            </w:r>
          </w:p>
        </w:tc>
        <w:tc>
          <w:tcPr>
            <w:tcW w:w="1559" w:type="dxa"/>
            <w:hideMark/>
          </w:tcPr>
          <w:p w14:paraId="2EB769FC" w14:textId="77777777" w:rsidR="00EC492E" w:rsidRPr="00824D31" w:rsidRDefault="00EC492E" w:rsidP="00EC492E">
            <w:r w:rsidRPr="00824D31">
              <w:t>0106</w:t>
            </w:r>
          </w:p>
        </w:tc>
      </w:tr>
      <w:tr w:rsidR="00EC492E" w:rsidRPr="00824D31" w14:paraId="68D4B213" w14:textId="77777777" w:rsidTr="009E18B2">
        <w:tc>
          <w:tcPr>
            <w:tcW w:w="7684" w:type="dxa"/>
            <w:hideMark/>
          </w:tcPr>
          <w:p w14:paraId="69091309" w14:textId="77777777" w:rsidR="00EC492E" w:rsidRPr="00824D31" w:rsidRDefault="00EC492E" w:rsidP="00EC492E">
            <w:bookmarkStart w:id="74" w:name="sub_20002"/>
            <w:r w:rsidRPr="00824D31">
              <w:t>Группа 2. Дома малоэтажной жилой застройки, в том числе индивидуальной жилой застройки - индивидуальные, малоэтажные блокированные (таунхаусы)</w:t>
            </w:r>
            <w:bookmarkEnd w:id="74"/>
          </w:p>
        </w:tc>
        <w:tc>
          <w:tcPr>
            <w:tcW w:w="1559" w:type="dxa"/>
            <w:hideMark/>
          </w:tcPr>
          <w:p w14:paraId="1C2C4160" w14:textId="77777777" w:rsidR="00EC492E" w:rsidRPr="00824D31" w:rsidRDefault="00EC492E" w:rsidP="00EC492E">
            <w:r w:rsidRPr="00824D31">
              <w:t>0200</w:t>
            </w:r>
          </w:p>
        </w:tc>
      </w:tr>
      <w:tr w:rsidR="00EC492E" w:rsidRPr="00824D31" w14:paraId="618FB8E9" w14:textId="77777777" w:rsidTr="009E18B2">
        <w:tc>
          <w:tcPr>
            <w:tcW w:w="7684" w:type="dxa"/>
            <w:hideMark/>
          </w:tcPr>
          <w:p w14:paraId="42C07791" w14:textId="77777777" w:rsidR="00EC492E" w:rsidRPr="00824D31" w:rsidRDefault="00EC492E" w:rsidP="00EC492E">
            <w:r w:rsidRPr="00824D31">
              <w:t>Дома жилые блокированной застройки (таунхаусы)</w:t>
            </w:r>
          </w:p>
        </w:tc>
        <w:tc>
          <w:tcPr>
            <w:tcW w:w="1559" w:type="dxa"/>
            <w:hideMark/>
          </w:tcPr>
          <w:p w14:paraId="6CB7C865" w14:textId="77777777" w:rsidR="00EC492E" w:rsidRPr="00824D31" w:rsidRDefault="00EC492E" w:rsidP="00EC492E">
            <w:r w:rsidRPr="00824D31">
              <w:t>0201</w:t>
            </w:r>
          </w:p>
        </w:tc>
      </w:tr>
      <w:tr w:rsidR="00EC492E" w:rsidRPr="00824D31" w14:paraId="61F9534C" w14:textId="77777777" w:rsidTr="009E18B2">
        <w:tc>
          <w:tcPr>
            <w:tcW w:w="7684" w:type="dxa"/>
            <w:hideMark/>
          </w:tcPr>
          <w:p w14:paraId="61B5A3FA" w14:textId="77777777" w:rsidR="00EC492E" w:rsidRPr="00824D31" w:rsidRDefault="00EC492E" w:rsidP="00EC492E">
            <w:r w:rsidRPr="00824D31">
              <w:t>Дома индивидуальные</w:t>
            </w:r>
          </w:p>
        </w:tc>
        <w:tc>
          <w:tcPr>
            <w:tcW w:w="1559" w:type="dxa"/>
            <w:hideMark/>
          </w:tcPr>
          <w:p w14:paraId="106085CA" w14:textId="77777777" w:rsidR="00EC492E" w:rsidRPr="00824D31" w:rsidRDefault="00EC492E" w:rsidP="00EC492E">
            <w:r w:rsidRPr="00824D31">
              <w:t>0202</w:t>
            </w:r>
          </w:p>
        </w:tc>
      </w:tr>
      <w:tr w:rsidR="00EC492E" w:rsidRPr="00824D31" w14:paraId="51A30672" w14:textId="77777777" w:rsidTr="009E18B2">
        <w:tc>
          <w:tcPr>
            <w:tcW w:w="7684" w:type="dxa"/>
            <w:hideMark/>
          </w:tcPr>
          <w:p w14:paraId="34FD7E4D" w14:textId="77777777" w:rsidR="00EC492E" w:rsidRPr="00824D31" w:rsidRDefault="00EC492E" w:rsidP="00EC492E">
            <w:r w:rsidRPr="00824D31">
              <w:t>Дома индивидуальные с бытовыми пристройками</w:t>
            </w:r>
          </w:p>
        </w:tc>
        <w:tc>
          <w:tcPr>
            <w:tcW w:w="1559" w:type="dxa"/>
            <w:hideMark/>
          </w:tcPr>
          <w:p w14:paraId="7BE314D4" w14:textId="77777777" w:rsidR="00EC492E" w:rsidRPr="00824D31" w:rsidRDefault="00EC492E" w:rsidP="00EC492E">
            <w:r w:rsidRPr="00824D31">
              <w:t>0203</w:t>
            </w:r>
          </w:p>
        </w:tc>
      </w:tr>
      <w:tr w:rsidR="00EC492E" w:rsidRPr="00824D31" w14:paraId="693D661F" w14:textId="77777777" w:rsidTr="009E18B2">
        <w:tc>
          <w:tcPr>
            <w:tcW w:w="7684" w:type="dxa"/>
            <w:hideMark/>
          </w:tcPr>
          <w:p w14:paraId="763B1FF3" w14:textId="77777777" w:rsidR="00EC492E" w:rsidRPr="00824D31" w:rsidRDefault="00EC492E" w:rsidP="00EC492E">
            <w:r w:rsidRPr="00824D31">
              <w:t>Коттеджи (дома индивидуальные повышенной комфортности с применением качественных материалов, большой площади, наличием систем (как локальных, так и централизованных) инженерного обеспечения, расположенные в однородной среде, в престижных местах)</w:t>
            </w:r>
          </w:p>
        </w:tc>
        <w:tc>
          <w:tcPr>
            <w:tcW w:w="1559" w:type="dxa"/>
            <w:hideMark/>
          </w:tcPr>
          <w:p w14:paraId="554593A1" w14:textId="77777777" w:rsidR="00EC492E" w:rsidRPr="00824D31" w:rsidRDefault="00EC492E" w:rsidP="00EC492E">
            <w:r w:rsidRPr="00824D31">
              <w:t>0204</w:t>
            </w:r>
          </w:p>
        </w:tc>
      </w:tr>
      <w:tr w:rsidR="00EC492E" w:rsidRPr="00824D31" w14:paraId="53B9CF4B" w14:textId="77777777" w:rsidTr="009E18B2">
        <w:tc>
          <w:tcPr>
            <w:tcW w:w="7684" w:type="dxa"/>
            <w:hideMark/>
          </w:tcPr>
          <w:p w14:paraId="73839CE8" w14:textId="77777777" w:rsidR="00EC492E" w:rsidRPr="00824D31" w:rsidRDefault="00EC492E" w:rsidP="00EC492E">
            <w:bookmarkStart w:id="75" w:name="sub_20027"/>
            <w:r w:rsidRPr="00824D31">
              <w:t>Садовые дома</w:t>
            </w:r>
            <w:bookmarkEnd w:id="75"/>
          </w:p>
        </w:tc>
        <w:tc>
          <w:tcPr>
            <w:tcW w:w="1559" w:type="dxa"/>
            <w:hideMark/>
          </w:tcPr>
          <w:p w14:paraId="1B2774D5" w14:textId="77777777" w:rsidR="00EC492E" w:rsidRPr="00824D31" w:rsidRDefault="00EC492E" w:rsidP="00EC492E">
            <w:r w:rsidRPr="00824D31">
              <w:t>0206</w:t>
            </w:r>
          </w:p>
        </w:tc>
      </w:tr>
      <w:tr w:rsidR="00EC492E" w:rsidRPr="00824D31" w14:paraId="1B06238A" w14:textId="77777777" w:rsidTr="009E18B2">
        <w:tc>
          <w:tcPr>
            <w:tcW w:w="7684" w:type="dxa"/>
            <w:hideMark/>
          </w:tcPr>
          <w:p w14:paraId="1A5247C4" w14:textId="77777777" w:rsidR="00EC492E" w:rsidRPr="00824D31" w:rsidRDefault="00EC492E" w:rsidP="00EC492E">
            <w:r w:rsidRPr="00824D31">
              <w:t>Туалеты, летние душевые</w:t>
            </w:r>
          </w:p>
        </w:tc>
        <w:tc>
          <w:tcPr>
            <w:tcW w:w="1559" w:type="dxa"/>
            <w:hideMark/>
          </w:tcPr>
          <w:p w14:paraId="6197E3AC" w14:textId="77777777" w:rsidR="00EC492E" w:rsidRPr="00824D31" w:rsidRDefault="00EC492E" w:rsidP="00EC492E">
            <w:r w:rsidRPr="00824D31">
              <w:t>0207</w:t>
            </w:r>
          </w:p>
        </w:tc>
      </w:tr>
      <w:tr w:rsidR="00EC492E" w:rsidRPr="00824D31" w14:paraId="56849945" w14:textId="77777777" w:rsidTr="009E18B2">
        <w:tc>
          <w:tcPr>
            <w:tcW w:w="7684" w:type="dxa"/>
            <w:hideMark/>
          </w:tcPr>
          <w:p w14:paraId="558E27BE" w14:textId="77777777" w:rsidR="00EC492E" w:rsidRPr="00824D31" w:rsidRDefault="00EC492E" w:rsidP="00EC492E">
            <w:r w:rsidRPr="00824D31">
              <w:t>Многоквартирные дома (малоэтажной жилой застройки)</w:t>
            </w:r>
          </w:p>
        </w:tc>
        <w:tc>
          <w:tcPr>
            <w:tcW w:w="1559" w:type="dxa"/>
            <w:hideMark/>
          </w:tcPr>
          <w:p w14:paraId="49979038" w14:textId="77777777" w:rsidR="00EC492E" w:rsidRPr="00824D31" w:rsidRDefault="00EC492E" w:rsidP="00EC492E">
            <w:r w:rsidRPr="00824D31">
              <w:t>0205</w:t>
            </w:r>
          </w:p>
        </w:tc>
      </w:tr>
      <w:tr w:rsidR="00EC492E" w:rsidRPr="00824D31" w14:paraId="62B41887" w14:textId="77777777" w:rsidTr="009E18B2">
        <w:tc>
          <w:tcPr>
            <w:tcW w:w="7684" w:type="dxa"/>
            <w:hideMark/>
          </w:tcPr>
          <w:p w14:paraId="37F8DF9B" w14:textId="77777777" w:rsidR="00EC492E" w:rsidRPr="00824D31" w:rsidRDefault="00EC492E" w:rsidP="00EC492E">
            <w:bookmarkStart w:id="76" w:name="sub_20003"/>
            <w:r w:rsidRPr="00824D31">
              <w:t>Группа 3. Объекты, предназначенные для хранения транспорта</w:t>
            </w:r>
            <w:bookmarkEnd w:id="76"/>
          </w:p>
        </w:tc>
        <w:tc>
          <w:tcPr>
            <w:tcW w:w="1559" w:type="dxa"/>
            <w:hideMark/>
          </w:tcPr>
          <w:p w14:paraId="61A71A98" w14:textId="77777777" w:rsidR="00EC492E" w:rsidRPr="00824D31" w:rsidRDefault="00EC492E" w:rsidP="00EC492E">
            <w:r w:rsidRPr="00824D31">
              <w:t>0300</w:t>
            </w:r>
          </w:p>
        </w:tc>
      </w:tr>
      <w:tr w:rsidR="00EC492E" w:rsidRPr="00824D31" w14:paraId="4CB531B2" w14:textId="77777777" w:rsidTr="009E18B2">
        <w:tc>
          <w:tcPr>
            <w:tcW w:w="7684" w:type="dxa"/>
            <w:hideMark/>
          </w:tcPr>
          <w:p w14:paraId="321DCEAE" w14:textId="77777777" w:rsidR="00EC492E" w:rsidRPr="00824D31" w:rsidRDefault="00EC492E" w:rsidP="00EC492E">
            <w:r w:rsidRPr="00824D31">
              <w:t>Открытые автостоянки автомобилей (покрытые площадки и проезды)</w:t>
            </w:r>
          </w:p>
        </w:tc>
        <w:tc>
          <w:tcPr>
            <w:tcW w:w="1559" w:type="dxa"/>
            <w:hideMark/>
          </w:tcPr>
          <w:p w14:paraId="3C8EC8AC" w14:textId="77777777" w:rsidR="00EC492E" w:rsidRPr="00824D31" w:rsidRDefault="00EC492E" w:rsidP="00EC492E">
            <w:r w:rsidRPr="00824D31">
              <w:t>0301</w:t>
            </w:r>
          </w:p>
        </w:tc>
      </w:tr>
      <w:tr w:rsidR="00EC492E" w:rsidRPr="00824D31" w14:paraId="129ADFFD" w14:textId="77777777" w:rsidTr="009E18B2">
        <w:tc>
          <w:tcPr>
            <w:tcW w:w="7684" w:type="dxa"/>
            <w:hideMark/>
          </w:tcPr>
          <w:p w14:paraId="5E4050E1" w14:textId="77777777" w:rsidR="00EC492E" w:rsidRPr="00824D31" w:rsidRDefault="00EC492E" w:rsidP="00EC492E">
            <w:r w:rsidRPr="00824D31">
              <w:t>Гаражи индивидуальные отдельностоящие</w:t>
            </w:r>
          </w:p>
        </w:tc>
        <w:tc>
          <w:tcPr>
            <w:tcW w:w="1559" w:type="dxa"/>
            <w:hideMark/>
          </w:tcPr>
          <w:p w14:paraId="646BB20F" w14:textId="77777777" w:rsidR="00EC492E" w:rsidRPr="00824D31" w:rsidRDefault="00EC492E" w:rsidP="00EC492E">
            <w:r w:rsidRPr="00824D31">
              <w:t>0302</w:t>
            </w:r>
          </w:p>
        </w:tc>
      </w:tr>
      <w:tr w:rsidR="00EC492E" w:rsidRPr="00824D31" w14:paraId="78EED9B4" w14:textId="77777777" w:rsidTr="009E18B2">
        <w:tc>
          <w:tcPr>
            <w:tcW w:w="7684" w:type="dxa"/>
            <w:hideMark/>
          </w:tcPr>
          <w:p w14:paraId="5A8FAE06" w14:textId="77777777" w:rsidR="00EC492E" w:rsidRPr="00824D31" w:rsidRDefault="00EC492E" w:rsidP="00EC492E">
            <w:r w:rsidRPr="00824D31">
              <w:t>Гаражные кооперативы (сблокированные индивидуальные гаражи)</w:t>
            </w:r>
          </w:p>
        </w:tc>
        <w:tc>
          <w:tcPr>
            <w:tcW w:w="1559" w:type="dxa"/>
            <w:hideMark/>
          </w:tcPr>
          <w:p w14:paraId="5513F019" w14:textId="77777777" w:rsidR="00EC492E" w:rsidRPr="00824D31" w:rsidRDefault="00EC492E" w:rsidP="00EC492E">
            <w:r w:rsidRPr="00824D31">
              <w:t>0303</w:t>
            </w:r>
          </w:p>
        </w:tc>
      </w:tr>
      <w:tr w:rsidR="00EC492E" w:rsidRPr="00824D31" w14:paraId="4D1F7572" w14:textId="77777777" w:rsidTr="009E18B2">
        <w:tc>
          <w:tcPr>
            <w:tcW w:w="7684" w:type="dxa"/>
            <w:hideMark/>
          </w:tcPr>
          <w:p w14:paraId="7E22BA6F" w14:textId="77777777" w:rsidR="00EC492E" w:rsidRPr="00824D31" w:rsidRDefault="00EC492E" w:rsidP="00EC492E">
            <w:r w:rsidRPr="00824D31">
              <w:t>Паркинги</w:t>
            </w:r>
          </w:p>
        </w:tc>
        <w:tc>
          <w:tcPr>
            <w:tcW w:w="1559" w:type="dxa"/>
            <w:hideMark/>
          </w:tcPr>
          <w:p w14:paraId="155731D5" w14:textId="77777777" w:rsidR="00EC492E" w:rsidRPr="00824D31" w:rsidRDefault="00EC492E" w:rsidP="00EC492E">
            <w:r w:rsidRPr="00824D31">
              <w:t>0304</w:t>
            </w:r>
          </w:p>
        </w:tc>
      </w:tr>
      <w:tr w:rsidR="00EC492E" w:rsidRPr="00824D31" w14:paraId="33B688D5" w14:textId="77777777" w:rsidTr="009E18B2">
        <w:tc>
          <w:tcPr>
            <w:tcW w:w="7684" w:type="dxa"/>
            <w:hideMark/>
          </w:tcPr>
          <w:p w14:paraId="4AE971AD" w14:textId="77777777" w:rsidR="00EC492E" w:rsidRPr="00824D31" w:rsidRDefault="00EC492E" w:rsidP="00EC492E">
            <w:r w:rsidRPr="00824D31">
              <w:t>Гаражи производственные, ведомственные для легковых автомобилей</w:t>
            </w:r>
          </w:p>
        </w:tc>
        <w:tc>
          <w:tcPr>
            <w:tcW w:w="1559" w:type="dxa"/>
            <w:hideMark/>
          </w:tcPr>
          <w:p w14:paraId="78BADCD3" w14:textId="77777777" w:rsidR="00EC492E" w:rsidRPr="00824D31" w:rsidRDefault="00EC492E" w:rsidP="00EC492E">
            <w:r w:rsidRPr="00824D31">
              <w:t>0305</w:t>
            </w:r>
          </w:p>
        </w:tc>
      </w:tr>
      <w:tr w:rsidR="00EC492E" w:rsidRPr="00824D31" w14:paraId="52AD948D" w14:textId="77777777" w:rsidTr="009E18B2">
        <w:tc>
          <w:tcPr>
            <w:tcW w:w="7684" w:type="dxa"/>
            <w:hideMark/>
          </w:tcPr>
          <w:p w14:paraId="7CAC28B8" w14:textId="77777777" w:rsidR="00EC492E" w:rsidRPr="00824D31" w:rsidRDefault="00EC492E" w:rsidP="00EC492E">
            <w:r w:rsidRPr="00824D31">
              <w:t>Гаражи производственные, ведомственные для грузовых автомобилей и автобусов</w:t>
            </w:r>
          </w:p>
        </w:tc>
        <w:tc>
          <w:tcPr>
            <w:tcW w:w="1559" w:type="dxa"/>
            <w:hideMark/>
          </w:tcPr>
          <w:p w14:paraId="73A316C6" w14:textId="77777777" w:rsidR="00EC492E" w:rsidRPr="00824D31" w:rsidRDefault="00EC492E" w:rsidP="00EC492E">
            <w:r w:rsidRPr="00824D31">
              <w:t>0306</w:t>
            </w:r>
          </w:p>
        </w:tc>
      </w:tr>
      <w:tr w:rsidR="00EC492E" w:rsidRPr="00824D31" w14:paraId="2AEE4DC2" w14:textId="77777777" w:rsidTr="009E18B2">
        <w:tc>
          <w:tcPr>
            <w:tcW w:w="7684" w:type="dxa"/>
            <w:hideMark/>
          </w:tcPr>
          <w:p w14:paraId="6828D158" w14:textId="77777777" w:rsidR="00EC492E" w:rsidRPr="00824D31" w:rsidRDefault="00EC492E" w:rsidP="00EC492E">
            <w:r w:rsidRPr="00824D31">
              <w:t>Гаражи производственные, ведомственные для спецтехники, включая гаражи, депо пожарных машин</w:t>
            </w:r>
          </w:p>
        </w:tc>
        <w:tc>
          <w:tcPr>
            <w:tcW w:w="1559" w:type="dxa"/>
            <w:hideMark/>
          </w:tcPr>
          <w:p w14:paraId="00F3FAEF" w14:textId="77777777" w:rsidR="00EC492E" w:rsidRPr="00824D31" w:rsidRDefault="00EC492E" w:rsidP="00EC492E">
            <w:r w:rsidRPr="00824D31">
              <w:t>0307</w:t>
            </w:r>
          </w:p>
        </w:tc>
      </w:tr>
      <w:tr w:rsidR="00EC492E" w:rsidRPr="00824D31" w14:paraId="27759824" w14:textId="77777777" w:rsidTr="009E18B2">
        <w:tc>
          <w:tcPr>
            <w:tcW w:w="7684" w:type="dxa"/>
            <w:hideMark/>
          </w:tcPr>
          <w:p w14:paraId="1329E864" w14:textId="77777777" w:rsidR="00EC492E" w:rsidRPr="00824D31" w:rsidRDefault="00EC492E" w:rsidP="00EC492E">
            <w:r w:rsidRPr="00824D31">
              <w:t>Открытые стоянки водного транспорта</w:t>
            </w:r>
          </w:p>
        </w:tc>
        <w:tc>
          <w:tcPr>
            <w:tcW w:w="1559" w:type="dxa"/>
            <w:hideMark/>
          </w:tcPr>
          <w:p w14:paraId="49C50C4C" w14:textId="77777777" w:rsidR="00EC492E" w:rsidRPr="00824D31" w:rsidRDefault="00EC492E" w:rsidP="00EC492E">
            <w:r w:rsidRPr="00824D31">
              <w:t>0308</w:t>
            </w:r>
          </w:p>
        </w:tc>
      </w:tr>
      <w:tr w:rsidR="00EC492E" w:rsidRPr="00824D31" w14:paraId="2849625B" w14:textId="77777777" w:rsidTr="009E18B2">
        <w:tc>
          <w:tcPr>
            <w:tcW w:w="7684" w:type="dxa"/>
            <w:hideMark/>
          </w:tcPr>
          <w:p w14:paraId="655A54AC" w14:textId="77777777" w:rsidR="00EC492E" w:rsidRPr="00824D31" w:rsidRDefault="00EC492E" w:rsidP="00EC492E">
            <w:r w:rsidRPr="00824D31">
              <w:t>Гаражи индивидуальные водного транспорта (эллинги)</w:t>
            </w:r>
          </w:p>
        </w:tc>
        <w:tc>
          <w:tcPr>
            <w:tcW w:w="1559" w:type="dxa"/>
            <w:hideMark/>
          </w:tcPr>
          <w:p w14:paraId="556F4225" w14:textId="77777777" w:rsidR="00EC492E" w:rsidRPr="00824D31" w:rsidRDefault="00EC492E" w:rsidP="00EC492E">
            <w:r w:rsidRPr="00824D31">
              <w:t>0309</w:t>
            </w:r>
          </w:p>
        </w:tc>
      </w:tr>
      <w:tr w:rsidR="00EC492E" w:rsidRPr="00824D31" w14:paraId="619D3051" w14:textId="77777777" w:rsidTr="009E18B2">
        <w:tc>
          <w:tcPr>
            <w:tcW w:w="7684" w:type="dxa"/>
            <w:hideMark/>
          </w:tcPr>
          <w:p w14:paraId="224EF987" w14:textId="77777777" w:rsidR="00EC492E" w:rsidRPr="00824D31" w:rsidRDefault="00EC492E" w:rsidP="00EC492E">
            <w:r w:rsidRPr="00824D31">
              <w:t>Гаражи производственные, ведомственные водного транспорта (эллинги)</w:t>
            </w:r>
          </w:p>
        </w:tc>
        <w:tc>
          <w:tcPr>
            <w:tcW w:w="1559" w:type="dxa"/>
            <w:hideMark/>
          </w:tcPr>
          <w:p w14:paraId="4AC779EC" w14:textId="77777777" w:rsidR="00EC492E" w:rsidRPr="00824D31" w:rsidRDefault="00EC492E" w:rsidP="00EC492E">
            <w:r w:rsidRPr="00824D31">
              <w:t>0310</w:t>
            </w:r>
          </w:p>
        </w:tc>
      </w:tr>
      <w:tr w:rsidR="00EC492E" w:rsidRPr="00824D31" w14:paraId="4F229C9C" w14:textId="77777777" w:rsidTr="009E18B2">
        <w:tc>
          <w:tcPr>
            <w:tcW w:w="7684" w:type="dxa"/>
            <w:hideMark/>
          </w:tcPr>
          <w:p w14:paraId="66538E9B" w14:textId="77777777" w:rsidR="00EC492E" w:rsidRPr="00824D31" w:rsidRDefault="00EC492E" w:rsidP="00EC492E">
            <w:r w:rsidRPr="00824D31">
              <w:t>Открытые стоянки воздушного транспорта</w:t>
            </w:r>
          </w:p>
        </w:tc>
        <w:tc>
          <w:tcPr>
            <w:tcW w:w="1559" w:type="dxa"/>
            <w:hideMark/>
          </w:tcPr>
          <w:p w14:paraId="2E92C1D4" w14:textId="77777777" w:rsidR="00EC492E" w:rsidRPr="00824D31" w:rsidRDefault="00EC492E" w:rsidP="00EC492E">
            <w:r w:rsidRPr="00824D31">
              <w:t>0311</w:t>
            </w:r>
          </w:p>
        </w:tc>
      </w:tr>
      <w:tr w:rsidR="00EC492E" w:rsidRPr="00824D31" w14:paraId="3ED05A53" w14:textId="77777777" w:rsidTr="009E18B2">
        <w:tc>
          <w:tcPr>
            <w:tcW w:w="7684" w:type="dxa"/>
            <w:hideMark/>
          </w:tcPr>
          <w:p w14:paraId="7DDEE828" w14:textId="77777777" w:rsidR="00EC492E" w:rsidRPr="00824D31" w:rsidRDefault="00EC492E" w:rsidP="00EC492E">
            <w:bookmarkStart w:id="77" w:name="sub_20004"/>
            <w:r w:rsidRPr="00824D31">
              <w:t>Группа 4. Объекты коммерческого назначения, предназначенные для оказания услуг населению, включая многофункционального назначения</w:t>
            </w:r>
            <w:bookmarkEnd w:id="77"/>
          </w:p>
        </w:tc>
        <w:tc>
          <w:tcPr>
            <w:tcW w:w="1559" w:type="dxa"/>
            <w:hideMark/>
          </w:tcPr>
          <w:p w14:paraId="6B7D3E6A" w14:textId="77777777" w:rsidR="00EC492E" w:rsidRPr="00824D31" w:rsidRDefault="00EC492E" w:rsidP="00EC492E">
            <w:r w:rsidRPr="00824D31">
              <w:t>0400</w:t>
            </w:r>
          </w:p>
        </w:tc>
      </w:tr>
      <w:tr w:rsidR="00EC492E" w:rsidRPr="00824D31" w14:paraId="2D19BA1E" w14:textId="77777777" w:rsidTr="009E18B2">
        <w:tc>
          <w:tcPr>
            <w:tcW w:w="7684" w:type="dxa"/>
            <w:hideMark/>
          </w:tcPr>
          <w:p w14:paraId="5A25F8B1" w14:textId="77777777" w:rsidR="00EC492E" w:rsidRPr="00824D31" w:rsidRDefault="00EC492E" w:rsidP="00EC492E">
            <w:r w:rsidRPr="00824D31">
              <w:t>Магазины до 250 кв. м, за исключением киосков, павильонов, ларьков</w:t>
            </w:r>
          </w:p>
        </w:tc>
        <w:tc>
          <w:tcPr>
            <w:tcW w:w="1559" w:type="dxa"/>
            <w:hideMark/>
          </w:tcPr>
          <w:p w14:paraId="7DC296A2" w14:textId="77777777" w:rsidR="00EC492E" w:rsidRPr="00824D31" w:rsidRDefault="00EC492E" w:rsidP="00EC492E">
            <w:r w:rsidRPr="00824D31">
              <w:t>0401</w:t>
            </w:r>
          </w:p>
        </w:tc>
      </w:tr>
      <w:tr w:rsidR="00EC492E" w:rsidRPr="00824D31" w14:paraId="78EBB128" w14:textId="77777777" w:rsidTr="009E18B2">
        <w:tc>
          <w:tcPr>
            <w:tcW w:w="7684" w:type="dxa"/>
            <w:hideMark/>
          </w:tcPr>
          <w:p w14:paraId="4F05CEB7" w14:textId="77777777" w:rsidR="00EC492E" w:rsidRPr="00824D31" w:rsidRDefault="00EC492E" w:rsidP="00EC492E">
            <w:r w:rsidRPr="00824D31">
              <w:t>Магазины 250 и более кв. м</w:t>
            </w:r>
          </w:p>
        </w:tc>
        <w:tc>
          <w:tcPr>
            <w:tcW w:w="1559" w:type="dxa"/>
            <w:hideMark/>
          </w:tcPr>
          <w:p w14:paraId="2CD816B4" w14:textId="77777777" w:rsidR="00EC492E" w:rsidRPr="00824D31" w:rsidRDefault="00EC492E" w:rsidP="00EC492E">
            <w:r w:rsidRPr="00824D31">
              <w:t>0402</w:t>
            </w:r>
          </w:p>
        </w:tc>
      </w:tr>
      <w:tr w:rsidR="00EC492E" w:rsidRPr="00824D31" w14:paraId="224F12B6" w14:textId="77777777" w:rsidTr="009E18B2">
        <w:tc>
          <w:tcPr>
            <w:tcW w:w="7684" w:type="dxa"/>
            <w:hideMark/>
          </w:tcPr>
          <w:p w14:paraId="04F84D76" w14:textId="77777777" w:rsidR="00EC492E" w:rsidRPr="00824D31" w:rsidRDefault="00EC492E" w:rsidP="00EC492E">
            <w:r w:rsidRPr="00824D31">
              <w:t>Прочие многофункциональные торгово - сервисные комплексы, торгово - административные объекты, торгово - развлекательные объекты, за исключением отдельно стоящих зданий концертных залов, спортивно - концертных комплексов, кинотеатров, комплексов аттракционов, торгово - складские объекты, торговые базы</w:t>
            </w:r>
          </w:p>
        </w:tc>
        <w:tc>
          <w:tcPr>
            <w:tcW w:w="1559" w:type="dxa"/>
            <w:hideMark/>
          </w:tcPr>
          <w:p w14:paraId="44C05A25" w14:textId="77777777" w:rsidR="00EC492E" w:rsidRPr="00824D31" w:rsidRDefault="00EC492E" w:rsidP="00EC492E">
            <w:r w:rsidRPr="00824D31">
              <w:t>0403</w:t>
            </w:r>
          </w:p>
        </w:tc>
      </w:tr>
      <w:tr w:rsidR="00EC492E" w:rsidRPr="00824D31" w14:paraId="1311D3A4" w14:textId="77777777" w:rsidTr="009E18B2">
        <w:tc>
          <w:tcPr>
            <w:tcW w:w="7684" w:type="dxa"/>
            <w:hideMark/>
          </w:tcPr>
          <w:p w14:paraId="4E8D9EB7" w14:textId="77777777" w:rsidR="00EC492E" w:rsidRPr="00824D31" w:rsidRDefault="00EC492E" w:rsidP="00EC492E">
            <w:r w:rsidRPr="00824D31">
              <w:t>Рынки</w:t>
            </w:r>
          </w:p>
        </w:tc>
        <w:tc>
          <w:tcPr>
            <w:tcW w:w="1559" w:type="dxa"/>
            <w:hideMark/>
          </w:tcPr>
          <w:p w14:paraId="2A0EC114" w14:textId="77777777" w:rsidR="00EC492E" w:rsidRPr="00824D31" w:rsidRDefault="00EC492E" w:rsidP="00EC492E">
            <w:r w:rsidRPr="00824D31">
              <w:t>0404</w:t>
            </w:r>
          </w:p>
        </w:tc>
      </w:tr>
      <w:tr w:rsidR="00EC492E" w:rsidRPr="00824D31" w14:paraId="6CED04DA" w14:textId="77777777" w:rsidTr="009E18B2">
        <w:tc>
          <w:tcPr>
            <w:tcW w:w="7684" w:type="dxa"/>
            <w:hideMark/>
          </w:tcPr>
          <w:p w14:paraId="2DF0F6F9" w14:textId="77777777" w:rsidR="00EC492E" w:rsidRPr="00824D31" w:rsidRDefault="00EC492E" w:rsidP="00EC492E">
            <w:r w:rsidRPr="00824D31">
              <w:t>Торговые киоски, павильоны, ларьки</w:t>
            </w:r>
          </w:p>
        </w:tc>
        <w:tc>
          <w:tcPr>
            <w:tcW w:w="1559" w:type="dxa"/>
            <w:hideMark/>
          </w:tcPr>
          <w:p w14:paraId="103F715F" w14:textId="77777777" w:rsidR="00EC492E" w:rsidRPr="00824D31" w:rsidRDefault="00EC492E" w:rsidP="00EC492E">
            <w:r w:rsidRPr="00824D31">
              <w:t>0405</w:t>
            </w:r>
          </w:p>
        </w:tc>
      </w:tr>
      <w:tr w:rsidR="00EC492E" w:rsidRPr="00824D31" w14:paraId="574A99B4" w14:textId="77777777" w:rsidTr="009E18B2">
        <w:tc>
          <w:tcPr>
            <w:tcW w:w="7684" w:type="dxa"/>
            <w:hideMark/>
          </w:tcPr>
          <w:p w14:paraId="5BE01A00" w14:textId="77777777" w:rsidR="00EC492E" w:rsidRPr="00824D31" w:rsidRDefault="00EC492E" w:rsidP="00EC492E">
            <w:r w:rsidRPr="00824D31">
              <w:t>Автозаправочные станции (АЗС), газонаполнительные станции, автогазозаправочные станции (АГЗС)</w:t>
            </w:r>
          </w:p>
        </w:tc>
        <w:tc>
          <w:tcPr>
            <w:tcW w:w="1559" w:type="dxa"/>
            <w:hideMark/>
          </w:tcPr>
          <w:p w14:paraId="3F52671D" w14:textId="77777777" w:rsidR="00EC492E" w:rsidRPr="00824D31" w:rsidRDefault="00EC492E" w:rsidP="00EC492E">
            <w:r w:rsidRPr="00824D31">
              <w:t>0406</w:t>
            </w:r>
          </w:p>
        </w:tc>
      </w:tr>
      <w:tr w:rsidR="00EC492E" w:rsidRPr="00824D31" w14:paraId="6A19F48A" w14:textId="77777777" w:rsidTr="009E18B2">
        <w:tc>
          <w:tcPr>
            <w:tcW w:w="7684" w:type="dxa"/>
            <w:hideMark/>
          </w:tcPr>
          <w:p w14:paraId="63F763E2" w14:textId="77777777" w:rsidR="00EC492E" w:rsidRPr="00824D31" w:rsidRDefault="00EC492E" w:rsidP="00EC492E">
            <w:r w:rsidRPr="00824D31">
              <w:t>Автомойки</w:t>
            </w:r>
          </w:p>
        </w:tc>
        <w:tc>
          <w:tcPr>
            <w:tcW w:w="1559" w:type="dxa"/>
            <w:hideMark/>
          </w:tcPr>
          <w:p w14:paraId="24BFB89C" w14:textId="77777777" w:rsidR="00EC492E" w:rsidRPr="00824D31" w:rsidRDefault="00EC492E" w:rsidP="00EC492E">
            <w:r w:rsidRPr="00824D31">
              <w:t>0407</w:t>
            </w:r>
          </w:p>
        </w:tc>
      </w:tr>
      <w:tr w:rsidR="00EC492E" w:rsidRPr="00824D31" w14:paraId="05E19F0F" w14:textId="77777777" w:rsidTr="009E18B2">
        <w:tc>
          <w:tcPr>
            <w:tcW w:w="7684" w:type="dxa"/>
            <w:hideMark/>
          </w:tcPr>
          <w:p w14:paraId="00C730FF" w14:textId="77777777" w:rsidR="00EC492E" w:rsidRPr="00824D31" w:rsidRDefault="00EC492E" w:rsidP="00EC492E">
            <w:r w:rsidRPr="00824D31">
              <w:t>Автосалоны</w:t>
            </w:r>
          </w:p>
        </w:tc>
        <w:tc>
          <w:tcPr>
            <w:tcW w:w="1559" w:type="dxa"/>
            <w:hideMark/>
          </w:tcPr>
          <w:p w14:paraId="74AF5876" w14:textId="77777777" w:rsidR="00EC492E" w:rsidRPr="00824D31" w:rsidRDefault="00EC492E" w:rsidP="00EC492E">
            <w:r w:rsidRPr="00824D31">
              <w:t>0408</w:t>
            </w:r>
          </w:p>
        </w:tc>
      </w:tr>
      <w:tr w:rsidR="00EC492E" w:rsidRPr="00824D31" w14:paraId="3F67BC6B" w14:textId="77777777" w:rsidTr="009E18B2">
        <w:tc>
          <w:tcPr>
            <w:tcW w:w="7684" w:type="dxa"/>
            <w:hideMark/>
          </w:tcPr>
          <w:p w14:paraId="3B9FA897" w14:textId="77777777" w:rsidR="00EC492E" w:rsidRPr="00824D31" w:rsidRDefault="00EC492E" w:rsidP="00EC492E">
            <w:r w:rsidRPr="00824D31">
              <w:t>Рестораны</w:t>
            </w:r>
          </w:p>
        </w:tc>
        <w:tc>
          <w:tcPr>
            <w:tcW w:w="1559" w:type="dxa"/>
            <w:hideMark/>
          </w:tcPr>
          <w:p w14:paraId="77136DC9" w14:textId="77777777" w:rsidR="00EC492E" w:rsidRPr="00824D31" w:rsidRDefault="00EC492E" w:rsidP="00EC492E">
            <w:r w:rsidRPr="00824D31">
              <w:t>0409</w:t>
            </w:r>
          </w:p>
        </w:tc>
      </w:tr>
      <w:tr w:rsidR="00EC492E" w:rsidRPr="00824D31" w14:paraId="451351F6" w14:textId="77777777" w:rsidTr="009E18B2">
        <w:tc>
          <w:tcPr>
            <w:tcW w:w="7684" w:type="dxa"/>
            <w:hideMark/>
          </w:tcPr>
          <w:p w14:paraId="09B42D37" w14:textId="77777777" w:rsidR="00EC492E" w:rsidRPr="00824D31" w:rsidRDefault="00EC492E" w:rsidP="00EC492E">
            <w:r w:rsidRPr="00824D31">
              <w:t>Кафе 750 кв. м (75 человек) и более, производственные столовые, столовые, кухни, кухни - столовые 750 кв. м (75 человек) и более</w:t>
            </w:r>
          </w:p>
        </w:tc>
        <w:tc>
          <w:tcPr>
            <w:tcW w:w="1559" w:type="dxa"/>
            <w:hideMark/>
          </w:tcPr>
          <w:p w14:paraId="60375060" w14:textId="77777777" w:rsidR="00EC492E" w:rsidRPr="00824D31" w:rsidRDefault="00EC492E" w:rsidP="00EC492E">
            <w:r w:rsidRPr="00824D31">
              <w:t>0410</w:t>
            </w:r>
          </w:p>
        </w:tc>
      </w:tr>
      <w:tr w:rsidR="00EC492E" w:rsidRPr="00824D31" w14:paraId="792FA15D" w14:textId="77777777" w:rsidTr="009E18B2">
        <w:tc>
          <w:tcPr>
            <w:tcW w:w="7684" w:type="dxa"/>
            <w:hideMark/>
          </w:tcPr>
          <w:p w14:paraId="113C111A" w14:textId="77777777" w:rsidR="00EC492E" w:rsidRPr="00824D31" w:rsidRDefault="00EC492E" w:rsidP="00EC492E">
            <w:r w:rsidRPr="00824D31">
              <w:t>Кафе до 750 кв. м (75 человек), кафетерии, столовые, кухни, кухни - столовые до 750 кв. м (75 человек)</w:t>
            </w:r>
          </w:p>
        </w:tc>
        <w:tc>
          <w:tcPr>
            <w:tcW w:w="1559" w:type="dxa"/>
            <w:hideMark/>
          </w:tcPr>
          <w:p w14:paraId="4868D7E7" w14:textId="77777777" w:rsidR="00EC492E" w:rsidRPr="00824D31" w:rsidRDefault="00EC492E" w:rsidP="00EC492E">
            <w:r w:rsidRPr="00824D31">
              <w:t>0411</w:t>
            </w:r>
          </w:p>
        </w:tc>
      </w:tr>
      <w:tr w:rsidR="00EC492E" w:rsidRPr="00824D31" w14:paraId="6FCCA0CC" w14:textId="77777777" w:rsidTr="009E18B2">
        <w:tc>
          <w:tcPr>
            <w:tcW w:w="7684" w:type="dxa"/>
            <w:hideMark/>
          </w:tcPr>
          <w:p w14:paraId="334E74EE" w14:textId="77777777" w:rsidR="00EC492E" w:rsidRPr="00824D31" w:rsidRDefault="00EC492E" w:rsidP="00EC492E">
            <w:r w:rsidRPr="00824D31">
              <w:t>Летние кафе</w:t>
            </w:r>
          </w:p>
        </w:tc>
        <w:tc>
          <w:tcPr>
            <w:tcW w:w="1559" w:type="dxa"/>
            <w:hideMark/>
          </w:tcPr>
          <w:p w14:paraId="63E8A9F2" w14:textId="77777777" w:rsidR="00EC492E" w:rsidRPr="00824D31" w:rsidRDefault="00EC492E" w:rsidP="00EC492E">
            <w:r w:rsidRPr="00824D31">
              <w:t>0412</w:t>
            </w:r>
          </w:p>
        </w:tc>
      </w:tr>
      <w:tr w:rsidR="00EC492E" w:rsidRPr="00824D31" w14:paraId="46F2128D" w14:textId="77777777" w:rsidTr="009E18B2">
        <w:tc>
          <w:tcPr>
            <w:tcW w:w="7684" w:type="dxa"/>
            <w:hideMark/>
          </w:tcPr>
          <w:p w14:paraId="1841A3EE" w14:textId="77777777" w:rsidR="00EC492E" w:rsidRPr="00824D31" w:rsidRDefault="00EC492E" w:rsidP="00EC492E">
            <w:r w:rsidRPr="00824D31">
              <w:t>Ломбарды</w:t>
            </w:r>
          </w:p>
        </w:tc>
        <w:tc>
          <w:tcPr>
            <w:tcW w:w="1559" w:type="dxa"/>
            <w:hideMark/>
          </w:tcPr>
          <w:p w14:paraId="293A91A4" w14:textId="77777777" w:rsidR="00EC492E" w:rsidRPr="00824D31" w:rsidRDefault="00EC492E" w:rsidP="00EC492E">
            <w:r w:rsidRPr="00824D31">
              <w:t>0413</w:t>
            </w:r>
          </w:p>
        </w:tc>
      </w:tr>
      <w:tr w:rsidR="00EC492E" w:rsidRPr="00824D31" w14:paraId="4D6F7266" w14:textId="77777777" w:rsidTr="009E18B2">
        <w:tc>
          <w:tcPr>
            <w:tcW w:w="7684" w:type="dxa"/>
            <w:hideMark/>
          </w:tcPr>
          <w:p w14:paraId="4FBE7A1F" w14:textId="77777777" w:rsidR="00EC492E" w:rsidRPr="00824D31" w:rsidRDefault="00EC492E" w:rsidP="00EC492E">
            <w:bookmarkStart w:id="78" w:name="sub_20005"/>
            <w:r w:rsidRPr="00824D31">
              <w:t>Группа 5. Объекты временного проживания, включая объекты рекреационно - оздоровительного значения</w:t>
            </w:r>
            <w:bookmarkEnd w:id="78"/>
          </w:p>
        </w:tc>
        <w:tc>
          <w:tcPr>
            <w:tcW w:w="1559" w:type="dxa"/>
            <w:hideMark/>
          </w:tcPr>
          <w:p w14:paraId="595FDB5D" w14:textId="77777777" w:rsidR="00EC492E" w:rsidRPr="00824D31" w:rsidRDefault="00EC492E" w:rsidP="00EC492E">
            <w:r w:rsidRPr="00824D31">
              <w:t>0500</w:t>
            </w:r>
          </w:p>
        </w:tc>
      </w:tr>
      <w:tr w:rsidR="00EC492E" w:rsidRPr="00824D31" w14:paraId="5102BC7A" w14:textId="77777777" w:rsidTr="009E18B2">
        <w:tc>
          <w:tcPr>
            <w:tcW w:w="7684" w:type="dxa"/>
            <w:hideMark/>
          </w:tcPr>
          <w:p w14:paraId="4784974F" w14:textId="77777777" w:rsidR="00EC492E" w:rsidRPr="00824D31" w:rsidRDefault="00EC492E" w:rsidP="00EC492E">
            <w:r w:rsidRPr="00824D31">
              <w:t>Гостиницы: класс 2* и ниже, ведомственные гостиницы, хостелы</w:t>
            </w:r>
          </w:p>
        </w:tc>
        <w:tc>
          <w:tcPr>
            <w:tcW w:w="1559" w:type="dxa"/>
            <w:hideMark/>
          </w:tcPr>
          <w:p w14:paraId="44AD8CE3" w14:textId="77777777" w:rsidR="00EC492E" w:rsidRPr="00824D31" w:rsidRDefault="00EC492E" w:rsidP="00EC492E">
            <w:r w:rsidRPr="00824D31">
              <w:t>0501</w:t>
            </w:r>
          </w:p>
        </w:tc>
      </w:tr>
      <w:tr w:rsidR="00EC492E" w:rsidRPr="00824D31" w14:paraId="22B6E528" w14:textId="77777777" w:rsidTr="009E18B2">
        <w:tc>
          <w:tcPr>
            <w:tcW w:w="7684" w:type="dxa"/>
            <w:hideMark/>
          </w:tcPr>
          <w:p w14:paraId="71057041" w14:textId="77777777" w:rsidR="00EC492E" w:rsidRPr="00824D31" w:rsidRDefault="00EC492E" w:rsidP="00EC492E">
            <w:r w:rsidRPr="00824D31">
              <w:t>Гостиницы: класс 3*</w:t>
            </w:r>
          </w:p>
        </w:tc>
        <w:tc>
          <w:tcPr>
            <w:tcW w:w="1559" w:type="dxa"/>
            <w:hideMark/>
          </w:tcPr>
          <w:p w14:paraId="78B068F1" w14:textId="77777777" w:rsidR="00EC492E" w:rsidRPr="00824D31" w:rsidRDefault="00EC492E" w:rsidP="00EC492E">
            <w:r w:rsidRPr="00824D31">
              <w:t>0502</w:t>
            </w:r>
          </w:p>
        </w:tc>
      </w:tr>
      <w:tr w:rsidR="00EC492E" w:rsidRPr="00824D31" w14:paraId="253568A4" w14:textId="77777777" w:rsidTr="009E18B2">
        <w:tc>
          <w:tcPr>
            <w:tcW w:w="7684" w:type="dxa"/>
            <w:hideMark/>
          </w:tcPr>
          <w:p w14:paraId="5D81EFE5" w14:textId="77777777" w:rsidR="00EC492E" w:rsidRPr="00824D31" w:rsidRDefault="00EC492E" w:rsidP="00EC492E">
            <w:r w:rsidRPr="00824D31">
              <w:t>Гостиницы: класс 4* и выше</w:t>
            </w:r>
          </w:p>
        </w:tc>
        <w:tc>
          <w:tcPr>
            <w:tcW w:w="1559" w:type="dxa"/>
            <w:hideMark/>
          </w:tcPr>
          <w:p w14:paraId="5CDCFF27" w14:textId="77777777" w:rsidR="00EC492E" w:rsidRPr="00824D31" w:rsidRDefault="00EC492E" w:rsidP="00EC492E">
            <w:r w:rsidRPr="00824D31">
              <w:t>0503</w:t>
            </w:r>
          </w:p>
        </w:tc>
      </w:tr>
      <w:tr w:rsidR="00EC492E" w:rsidRPr="00824D31" w14:paraId="436189C4" w14:textId="77777777" w:rsidTr="009E18B2">
        <w:tc>
          <w:tcPr>
            <w:tcW w:w="7684" w:type="dxa"/>
            <w:hideMark/>
          </w:tcPr>
          <w:p w14:paraId="0CFC1D85" w14:textId="77777777" w:rsidR="00EC492E" w:rsidRPr="00824D31" w:rsidRDefault="00EC492E" w:rsidP="00EC492E">
            <w:r w:rsidRPr="00824D31">
              <w:t>Апарт - отели</w:t>
            </w:r>
          </w:p>
        </w:tc>
        <w:tc>
          <w:tcPr>
            <w:tcW w:w="1559" w:type="dxa"/>
            <w:hideMark/>
          </w:tcPr>
          <w:p w14:paraId="3F0524CC" w14:textId="77777777" w:rsidR="00EC492E" w:rsidRPr="00824D31" w:rsidRDefault="00EC492E" w:rsidP="00EC492E">
            <w:r w:rsidRPr="00824D31">
              <w:t>0504</w:t>
            </w:r>
          </w:p>
        </w:tc>
      </w:tr>
      <w:tr w:rsidR="00EC492E" w:rsidRPr="00824D31" w14:paraId="5C609DE8" w14:textId="77777777" w:rsidTr="009E18B2">
        <w:tc>
          <w:tcPr>
            <w:tcW w:w="7684" w:type="dxa"/>
            <w:hideMark/>
          </w:tcPr>
          <w:p w14:paraId="0FEEEE03" w14:textId="77777777" w:rsidR="00EC492E" w:rsidRPr="00824D31" w:rsidRDefault="00EC492E" w:rsidP="00EC492E">
            <w:r w:rsidRPr="00824D31">
              <w:t>Гостиницы: объекты коттеджного типа</w:t>
            </w:r>
          </w:p>
        </w:tc>
        <w:tc>
          <w:tcPr>
            <w:tcW w:w="1559" w:type="dxa"/>
            <w:hideMark/>
          </w:tcPr>
          <w:p w14:paraId="5C2D9958" w14:textId="77777777" w:rsidR="00EC492E" w:rsidRPr="00824D31" w:rsidRDefault="00EC492E" w:rsidP="00EC492E">
            <w:r w:rsidRPr="00824D31">
              <w:t>0505</w:t>
            </w:r>
          </w:p>
        </w:tc>
      </w:tr>
      <w:tr w:rsidR="00EC492E" w:rsidRPr="00824D31" w14:paraId="112B4B37" w14:textId="77777777" w:rsidTr="009E18B2">
        <w:tc>
          <w:tcPr>
            <w:tcW w:w="7684" w:type="dxa"/>
            <w:hideMark/>
          </w:tcPr>
          <w:p w14:paraId="0196BE6D" w14:textId="77777777" w:rsidR="00EC492E" w:rsidRPr="00824D31" w:rsidRDefault="00EC492E" w:rsidP="00EC492E">
            <w:r w:rsidRPr="00824D31">
              <w:t>Мотели</w:t>
            </w:r>
          </w:p>
        </w:tc>
        <w:tc>
          <w:tcPr>
            <w:tcW w:w="1559" w:type="dxa"/>
            <w:hideMark/>
          </w:tcPr>
          <w:p w14:paraId="0F1419B7" w14:textId="77777777" w:rsidR="00EC492E" w:rsidRPr="00824D31" w:rsidRDefault="00EC492E" w:rsidP="00EC492E">
            <w:r w:rsidRPr="00824D31">
              <w:t>0506</w:t>
            </w:r>
          </w:p>
        </w:tc>
      </w:tr>
      <w:tr w:rsidR="00EC492E" w:rsidRPr="00824D31" w14:paraId="021536CA" w14:textId="77777777" w:rsidTr="009E18B2">
        <w:tc>
          <w:tcPr>
            <w:tcW w:w="7684" w:type="dxa"/>
            <w:hideMark/>
          </w:tcPr>
          <w:p w14:paraId="44F131C4" w14:textId="77777777" w:rsidR="00EC492E" w:rsidRPr="00824D31" w:rsidRDefault="00EC492E" w:rsidP="00EC492E">
            <w:r w:rsidRPr="00824D31">
              <w:t>Общежития</w:t>
            </w:r>
          </w:p>
        </w:tc>
        <w:tc>
          <w:tcPr>
            <w:tcW w:w="1559" w:type="dxa"/>
            <w:hideMark/>
          </w:tcPr>
          <w:p w14:paraId="740F17E9" w14:textId="77777777" w:rsidR="00EC492E" w:rsidRPr="00824D31" w:rsidRDefault="00EC492E" w:rsidP="00EC492E">
            <w:r w:rsidRPr="00824D31">
              <w:t>0507</w:t>
            </w:r>
          </w:p>
        </w:tc>
      </w:tr>
      <w:tr w:rsidR="00EC492E" w:rsidRPr="00824D31" w14:paraId="02A612DE" w14:textId="77777777" w:rsidTr="009E18B2">
        <w:tc>
          <w:tcPr>
            <w:tcW w:w="7684" w:type="dxa"/>
            <w:hideMark/>
          </w:tcPr>
          <w:p w14:paraId="02E3A1A7" w14:textId="77777777" w:rsidR="00EC492E" w:rsidRPr="00824D31" w:rsidRDefault="00EC492E" w:rsidP="00EC492E">
            <w:r w:rsidRPr="00824D31">
              <w:t>Пансионаты</w:t>
            </w:r>
          </w:p>
        </w:tc>
        <w:tc>
          <w:tcPr>
            <w:tcW w:w="1559" w:type="dxa"/>
            <w:hideMark/>
          </w:tcPr>
          <w:p w14:paraId="71BD34F8" w14:textId="77777777" w:rsidR="00EC492E" w:rsidRPr="00824D31" w:rsidRDefault="00EC492E" w:rsidP="00EC492E">
            <w:r w:rsidRPr="00824D31">
              <w:t>0508</w:t>
            </w:r>
          </w:p>
        </w:tc>
      </w:tr>
      <w:tr w:rsidR="00EC492E" w:rsidRPr="00824D31" w14:paraId="2014F15F" w14:textId="77777777" w:rsidTr="009E18B2">
        <w:tc>
          <w:tcPr>
            <w:tcW w:w="7684" w:type="dxa"/>
            <w:hideMark/>
          </w:tcPr>
          <w:p w14:paraId="382E7589" w14:textId="77777777" w:rsidR="00EC492E" w:rsidRPr="00824D31" w:rsidRDefault="00EC492E" w:rsidP="00EC492E">
            <w:r w:rsidRPr="00824D31">
              <w:t>Базы отдыха</w:t>
            </w:r>
          </w:p>
        </w:tc>
        <w:tc>
          <w:tcPr>
            <w:tcW w:w="1559" w:type="dxa"/>
            <w:hideMark/>
          </w:tcPr>
          <w:p w14:paraId="695FED06" w14:textId="77777777" w:rsidR="00EC492E" w:rsidRPr="00824D31" w:rsidRDefault="00EC492E" w:rsidP="00EC492E">
            <w:r w:rsidRPr="00824D31">
              <w:t>0509</w:t>
            </w:r>
          </w:p>
        </w:tc>
      </w:tr>
      <w:tr w:rsidR="00EC492E" w:rsidRPr="00824D31" w14:paraId="0B22329A" w14:textId="77777777" w:rsidTr="009E18B2">
        <w:tc>
          <w:tcPr>
            <w:tcW w:w="7684" w:type="dxa"/>
            <w:hideMark/>
          </w:tcPr>
          <w:p w14:paraId="5E7C9C75" w14:textId="77777777" w:rsidR="00EC492E" w:rsidRPr="00824D31" w:rsidRDefault="00EC492E" w:rsidP="00EC492E">
            <w:r w:rsidRPr="00824D31">
              <w:t>Пионерские лагеря</w:t>
            </w:r>
          </w:p>
        </w:tc>
        <w:tc>
          <w:tcPr>
            <w:tcW w:w="1559" w:type="dxa"/>
            <w:hideMark/>
          </w:tcPr>
          <w:p w14:paraId="6D8B1143" w14:textId="77777777" w:rsidR="00EC492E" w:rsidRPr="00824D31" w:rsidRDefault="00EC492E" w:rsidP="00EC492E">
            <w:r w:rsidRPr="00824D31">
              <w:t>0510</w:t>
            </w:r>
          </w:p>
        </w:tc>
      </w:tr>
      <w:tr w:rsidR="00EC492E" w:rsidRPr="00824D31" w14:paraId="2967A5D3" w14:textId="77777777" w:rsidTr="009E18B2">
        <w:tc>
          <w:tcPr>
            <w:tcW w:w="7684" w:type="dxa"/>
            <w:hideMark/>
          </w:tcPr>
          <w:p w14:paraId="39FBE9C7" w14:textId="77777777" w:rsidR="00EC492E" w:rsidRPr="00824D31" w:rsidRDefault="00EC492E" w:rsidP="00EC492E">
            <w:r w:rsidRPr="00824D31">
              <w:t>Санатории</w:t>
            </w:r>
          </w:p>
        </w:tc>
        <w:tc>
          <w:tcPr>
            <w:tcW w:w="1559" w:type="dxa"/>
            <w:hideMark/>
          </w:tcPr>
          <w:p w14:paraId="10445B1A" w14:textId="77777777" w:rsidR="00EC492E" w:rsidRPr="00824D31" w:rsidRDefault="00EC492E" w:rsidP="00EC492E">
            <w:r w:rsidRPr="00824D31">
              <w:t>0511</w:t>
            </w:r>
          </w:p>
        </w:tc>
      </w:tr>
      <w:tr w:rsidR="00EC492E" w:rsidRPr="00824D31" w14:paraId="3B8F1D88" w14:textId="77777777" w:rsidTr="009E18B2">
        <w:tc>
          <w:tcPr>
            <w:tcW w:w="7684" w:type="dxa"/>
            <w:hideMark/>
          </w:tcPr>
          <w:p w14:paraId="08515E08" w14:textId="77777777" w:rsidR="00EC492E" w:rsidRPr="00824D31" w:rsidRDefault="00EC492E" w:rsidP="00EC492E">
            <w:r w:rsidRPr="00824D31">
              <w:t>Здания барачного типа, летние домики пансионатов и санаториев</w:t>
            </w:r>
          </w:p>
        </w:tc>
        <w:tc>
          <w:tcPr>
            <w:tcW w:w="1559" w:type="dxa"/>
            <w:hideMark/>
          </w:tcPr>
          <w:p w14:paraId="34910C3C" w14:textId="77777777" w:rsidR="00EC492E" w:rsidRPr="00824D31" w:rsidRDefault="00EC492E" w:rsidP="00EC492E">
            <w:r w:rsidRPr="00824D31">
              <w:t>0512</w:t>
            </w:r>
          </w:p>
        </w:tc>
      </w:tr>
      <w:tr w:rsidR="00EC492E" w:rsidRPr="00824D31" w14:paraId="46B92A1E" w14:textId="77777777" w:rsidTr="009E18B2">
        <w:tc>
          <w:tcPr>
            <w:tcW w:w="7684" w:type="dxa"/>
            <w:hideMark/>
          </w:tcPr>
          <w:p w14:paraId="7C6CCC09" w14:textId="77777777" w:rsidR="00EC492E" w:rsidRPr="00824D31" w:rsidRDefault="00EC492E" w:rsidP="00EC492E">
            <w:r w:rsidRPr="00824D31">
              <w:t>Главные корпуса пансионатов</w:t>
            </w:r>
          </w:p>
        </w:tc>
        <w:tc>
          <w:tcPr>
            <w:tcW w:w="1559" w:type="dxa"/>
            <w:hideMark/>
          </w:tcPr>
          <w:p w14:paraId="74DC691B" w14:textId="77777777" w:rsidR="00EC492E" w:rsidRPr="00824D31" w:rsidRDefault="00EC492E" w:rsidP="00EC492E">
            <w:r w:rsidRPr="00824D31">
              <w:t>0513</w:t>
            </w:r>
          </w:p>
        </w:tc>
      </w:tr>
      <w:tr w:rsidR="00EC492E" w:rsidRPr="00824D31" w14:paraId="2E681FE5" w14:textId="77777777" w:rsidTr="009E18B2">
        <w:tc>
          <w:tcPr>
            <w:tcW w:w="7684" w:type="dxa"/>
            <w:hideMark/>
          </w:tcPr>
          <w:p w14:paraId="48919DBC" w14:textId="77777777" w:rsidR="00EC492E" w:rsidRPr="00824D31" w:rsidRDefault="00EC492E" w:rsidP="00EC492E">
            <w:r w:rsidRPr="00824D31">
              <w:t>Спальные корпуса пансионатов</w:t>
            </w:r>
          </w:p>
        </w:tc>
        <w:tc>
          <w:tcPr>
            <w:tcW w:w="1559" w:type="dxa"/>
            <w:hideMark/>
          </w:tcPr>
          <w:p w14:paraId="155D1129" w14:textId="77777777" w:rsidR="00EC492E" w:rsidRPr="00824D31" w:rsidRDefault="00EC492E" w:rsidP="00EC492E">
            <w:r w:rsidRPr="00824D31">
              <w:t>0514</w:t>
            </w:r>
          </w:p>
        </w:tc>
      </w:tr>
      <w:tr w:rsidR="00EC492E" w:rsidRPr="00824D31" w14:paraId="733B764F" w14:textId="77777777" w:rsidTr="009E18B2">
        <w:tc>
          <w:tcPr>
            <w:tcW w:w="7684" w:type="dxa"/>
            <w:hideMark/>
          </w:tcPr>
          <w:p w14:paraId="6B9C7166" w14:textId="77777777" w:rsidR="00EC492E" w:rsidRPr="00824D31" w:rsidRDefault="00EC492E" w:rsidP="00EC492E">
            <w:r w:rsidRPr="00824D31">
              <w:t>Главные корпуса санаториев</w:t>
            </w:r>
          </w:p>
        </w:tc>
        <w:tc>
          <w:tcPr>
            <w:tcW w:w="1559" w:type="dxa"/>
            <w:hideMark/>
          </w:tcPr>
          <w:p w14:paraId="6BB754C2" w14:textId="77777777" w:rsidR="00EC492E" w:rsidRPr="00824D31" w:rsidRDefault="00EC492E" w:rsidP="00EC492E">
            <w:r w:rsidRPr="00824D31">
              <w:t>0515</w:t>
            </w:r>
          </w:p>
        </w:tc>
      </w:tr>
      <w:tr w:rsidR="00EC492E" w:rsidRPr="00824D31" w14:paraId="5AFB0F2A" w14:textId="77777777" w:rsidTr="009E18B2">
        <w:tc>
          <w:tcPr>
            <w:tcW w:w="7684" w:type="dxa"/>
            <w:hideMark/>
          </w:tcPr>
          <w:p w14:paraId="4B369AD3" w14:textId="77777777" w:rsidR="00EC492E" w:rsidRPr="00824D31" w:rsidRDefault="00EC492E" w:rsidP="00EC492E">
            <w:r w:rsidRPr="00824D31">
              <w:t>Спальные корпуса санаториев</w:t>
            </w:r>
          </w:p>
        </w:tc>
        <w:tc>
          <w:tcPr>
            <w:tcW w:w="1559" w:type="dxa"/>
            <w:hideMark/>
          </w:tcPr>
          <w:p w14:paraId="08DE80AD" w14:textId="77777777" w:rsidR="00EC492E" w:rsidRPr="00824D31" w:rsidRDefault="00EC492E" w:rsidP="00EC492E">
            <w:r w:rsidRPr="00824D31">
              <w:t>0516</w:t>
            </w:r>
          </w:p>
        </w:tc>
      </w:tr>
      <w:tr w:rsidR="00EC492E" w:rsidRPr="00824D31" w14:paraId="637AF6C9" w14:textId="77777777" w:rsidTr="009E18B2">
        <w:tc>
          <w:tcPr>
            <w:tcW w:w="7684" w:type="dxa"/>
            <w:hideMark/>
          </w:tcPr>
          <w:p w14:paraId="6C819F70" w14:textId="77777777" w:rsidR="00EC492E" w:rsidRPr="00824D31" w:rsidRDefault="00EC492E" w:rsidP="00EC492E">
            <w:r w:rsidRPr="00824D31">
              <w:t>Кемпинги</w:t>
            </w:r>
          </w:p>
        </w:tc>
        <w:tc>
          <w:tcPr>
            <w:tcW w:w="1559" w:type="dxa"/>
            <w:hideMark/>
          </w:tcPr>
          <w:p w14:paraId="43CE7C14" w14:textId="77777777" w:rsidR="00EC492E" w:rsidRPr="00824D31" w:rsidRDefault="00EC492E" w:rsidP="00EC492E">
            <w:r w:rsidRPr="00824D31">
              <w:t>0517</w:t>
            </w:r>
          </w:p>
        </w:tc>
      </w:tr>
      <w:tr w:rsidR="00EC492E" w:rsidRPr="00824D31" w14:paraId="6E2BBD0E" w14:textId="77777777" w:rsidTr="009E18B2">
        <w:tc>
          <w:tcPr>
            <w:tcW w:w="7684" w:type="dxa"/>
            <w:hideMark/>
          </w:tcPr>
          <w:p w14:paraId="7F5A6FF5" w14:textId="77777777" w:rsidR="00EC492E" w:rsidRPr="00824D31" w:rsidRDefault="00EC492E" w:rsidP="00EC492E">
            <w:bookmarkStart w:id="79" w:name="sub_20006"/>
            <w:r w:rsidRPr="00824D31">
              <w:t>Группа 6. Административные и бытовые объекты</w:t>
            </w:r>
            <w:bookmarkEnd w:id="79"/>
          </w:p>
        </w:tc>
        <w:tc>
          <w:tcPr>
            <w:tcW w:w="1559" w:type="dxa"/>
            <w:hideMark/>
          </w:tcPr>
          <w:p w14:paraId="4B85FC45" w14:textId="77777777" w:rsidR="00EC492E" w:rsidRPr="00824D31" w:rsidRDefault="00EC492E" w:rsidP="00EC492E">
            <w:r w:rsidRPr="00824D31">
              <w:t>0600</w:t>
            </w:r>
          </w:p>
        </w:tc>
      </w:tr>
      <w:tr w:rsidR="00EC492E" w:rsidRPr="00824D31" w14:paraId="426DCC8A" w14:textId="77777777" w:rsidTr="009E18B2">
        <w:tc>
          <w:tcPr>
            <w:tcW w:w="7684" w:type="dxa"/>
            <w:hideMark/>
          </w:tcPr>
          <w:p w14:paraId="1F00A1B2" w14:textId="77777777" w:rsidR="00EC492E" w:rsidRPr="00824D31" w:rsidRDefault="00EC492E" w:rsidP="00EC492E">
            <w:r w:rsidRPr="00824D31">
              <w:t>Банки</w:t>
            </w:r>
          </w:p>
        </w:tc>
        <w:tc>
          <w:tcPr>
            <w:tcW w:w="1559" w:type="dxa"/>
            <w:hideMark/>
          </w:tcPr>
          <w:p w14:paraId="7647FACF" w14:textId="77777777" w:rsidR="00EC492E" w:rsidRPr="00824D31" w:rsidRDefault="00EC492E" w:rsidP="00EC492E">
            <w:r w:rsidRPr="00824D31">
              <w:t>0601</w:t>
            </w:r>
          </w:p>
        </w:tc>
      </w:tr>
      <w:tr w:rsidR="00EC492E" w:rsidRPr="00824D31" w14:paraId="4ED34EFE" w14:textId="77777777" w:rsidTr="009E18B2">
        <w:tc>
          <w:tcPr>
            <w:tcW w:w="7684" w:type="dxa"/>
            <w:hideMark/>
          </w:tcPr>
          <w:p w14:paraId="094C8EFF" w14:textId="77777777" w:rsidR="00EC492E" w:rsidRPr="00824D31" w:rsidRDefault="00EC492E" w:rsidP="00EC492E">
            <w:r w:rsidRPr="00824D31">
              <w:t>Бизнес - центры</w:t>
            </w:r>
          </w:p>
        </w:tc>
        <w:tc>
          <w:tcPr>
            <w:tcW w:w="1559" w:type="dxa"/>
            <w:hideMark/>
          </w:tcPr>
          <w:p w14:paraId="59167D57" w14:textId="77777777" w:rsidR="00EC492E" w:rsidRPr="00824D31" w:rsidRDefault="00EC492E" w:rsidP="00EC492E">
            <w:r w:rsidRPr="00824D31">
              <w:t>0602</w:t>
            </w:r>
          </w:p>
        </w:tc>
      </w:tr>
      <w:tr w:rsidR="00EC492E" w:rsidRPr="00824D31" w14:paraId="3E1F70B9" w14:textId="77777777" w:rsidTr="009E18B2">
        <w:tc>
          <w:tcPr>
            <w:tcW w:w="7684" w:type="dxa"/>
            <w:hideMark/>
          </w:tcPr>
          <w:p w14:paraId="1B8A3EB1" w14:textId="77777777" w:rsidR="00EC492E" w:rsidRPr="00824D31" w:rsidRDefault="00EC492E" w:rsidP="00EC492E">
            <w:r w:rsidRPr="00824D31">
              <w:t>Бытовые, административно - бытовые здания</w:t>
            </w:r>
          </w:p>
        </w:tc>
        <w:tc>
          <w:tcPr>
            <w:tcW w:w="1559" w:type="dxa"/>
            <w:hideMark/>
          </w:tcPr>
          <w:p w14:paraId="2193CCAB" w14:textId="77777777" w:rsidR="00EC492E" w:rsidRPr="00824D31" w:rsidRDefault="00EC492E" w:rsidP="00EC492E">
            <w:r w:rsidRPr="00824D31">
              <w:t>0603</w:t>
            </w:r>
          </w:p>
        </w:tc>
      </w:tr>
      <w:tr w:rsidR="00EC492E" w:rsidRPr="00824D31" w14:paraId="748DA4A1" w14:textId="77777777" w:rsidTr="009E18B2">
        <w:tc>
          <w:tcPr>
            <w:tcW w:w="7684" w:type="dxa"/>
            <w:hideMark/>
          </w:tcPr>
          <w:p w14:paraId="57343050" w14:textId="77777777" w:rsidR="00EC492E" w:rsidRPr="00824D31" w:rsidRDefault="00EC492E" w:rsidP="00EC492E">
            <w:r w:rsidRPr="00824D31">
              <w:t>Административные корпуса заводов</w:t>
            </w:r>
          </w:p>
        </w:tc>
        <w:tc>
          <w:tcPr>
            <w:tcW w:w="1559" w:type="dxa"/>
            <w:hideMark/>
          </w:tcPr>
          <w:p w14:paraId="082E555E" w14:textId="77777777" w:rsidR="00EC492E" w:rsidRPr="00824D31" w:rsidRDefault="00EC492E" w:rsidP="00EC492E">
            <w:r w:rsidRPr="00824D31">
              <w:t>0604</w:t>
            </w:r>
          </w:p>
        </w:tc>
      </w:tr>
      <w:tr w:rsidR="00EC492E" w:rsidRPr="00824D31" w14:paraId="644B4051" w14:textId="77777777" w:rsidTr="009E18B2">
        <w:tc>
          <w:tcPr>
            <w:tcW w:w="7684" w:type="dxa"/>
            <w:hideMark/>
          </w:tcPr>
          <w:p w14:paraId="78F19824" w14:textId="77777777" w:rsidR="00EC492E" w:rsidRPr="00824D31" w:rsidRDefault="00EC492E" w:rsidP="00EC492E">
            <w:r w:rsidRPr="00824D31">
              <w:t>Лабораторные корпуса</w:t>
            </w:r>
          </w:p>
        </w:tc>
        <w:tc>
          <w:tcPr>
            <w:tcW w:w="1559" w:type="dxa"/>
            <w:hideMark/>
          </w:tcPr>
          <w:p w14:paraId="67668D65" w14:textId="77777777" w:rsidR="00EC492E" w:rsidRPr="00824D31" w:rsidRDefault="00EC492E" w:rsidP="00EC492E">
            <w:r w:rsidRPr="00824D31">
              <w:t>0605</w:t>
            </w:r>
          </w:p>
        </w:tc>
      </w:tr>
      <w:tr w:rsidR="00EC492E" w:rsidRPr="00824D31" w14:paraId="677CA474" w14:textId="77777777" w:rsidTr="009E18B2">
        <w:tc>
          <w:tcPr>
            <w:tcW w:w="7684" w:type="dxa"/>
            <w:hideMark/>
          </w:tcPr>
          <w:p w14:paraId="35EF6175" w14:textId="77777777" w:rsidR="00EC492E" w:rsidRPr="00824D31" w:rsidRDefault="00EC492E" w:rsidP="00EC492E">
            <w:r w:rsidRPr="00824D31">
              <w:t>Отделения полиции</w:t>
            </w:r>
          </w:p>
        </w:tc>
        <w:tc>
          <w:tcPr>
            <w:tcW w:w="1559" w:type="dxa"/>
            <w:hideMark/>
          </w:tcPr>
          <w:p w14:paraId="3B7A8CE9" w14:textId="77777777" w:rsidR="00EC492E" w:rsidRPr="00824D31" w:rsidRDefault="00EC492E" w:rsidP="00EC492E">
            <w:r w:rsidRPr="00824D31">
              <w:t>0606</w:t>
            </w:r>
          </w:p>
        </w:tc>
      </w:tr>
      <w:tr w:rsidR="00EC492E" w:rsidRPr="00824D31" w14:paraId="7DFDD8C4" w14:textId="77777777" w:rsidTr="009E18B2">
        <w:tc>
          <w:tcPr>
            <w:tcW w:w="7684" w:type="dxa"/>
            <w:hideMark/>
          </w:tcPr>
          <w:p w14:paraId="33BDDFDE" w14:textId="77777777" w:rsidR="00EC492E" w:rsidRPr="00824D31" w:rsidRDefault="00EC492E" w:rsidP="00EC492E">
            <w:r w:rsidRPr="00824D31">
              <w:t>Контрольно - пропускные пункты, проходные 100 кв. м. и более</w:t>
            </w:r>
          </w:p>
        </w:tc>
        <w:tc>
          <w:tcPr>
            <w:tcW w:w="1559" w:type="dxa"/>
            <w:hideMark/>
          </w:tcPr>
          <w:p w14:paraId="16420671" w14:textId="77777777" w:rsidR="00EC492E" w:rsidRPr="00824D31" w:rsidRDefault="00EC492E" w:rsidP="00EC492E">
            <w:r w:rsidRPr="00824D31">
              <w:t>0607</w:t>
            </w:r>
          </w:p>
        </w:tc>
      </w:tr>
      <w:tr w:rsidR="00EC492E" w:rsidRPr="00824D31" w14:paraId="351B3C8B" w14:textId="77777777" w:rsidTr="009E18B2">
        <w:tc>
          <w:tcPr>
            <w:tcW w:w="7684" w:type="dxa"/>
            <w:hideMark/>
          </w:tcPr>
          <w:p w14:paraId="0E71CE7E" w14:textId="77777777" w:rsidR="00EC492E" w:rsidRPr="00824D31" w:rsidRDefault="00EC492E" w:rsidP="00EC492E">
            <w:r w:rsidRPr="00824D31">
              <w:t>Отделения связи, почта</w:t>
            </w:r>
          </w:p>
        </w:tc>
        <w:tc>
          <w:tcPr>
            <w:tcW w:w="1559" w:type="dxa"/>
            <w:hideMark/>
          </w:tcPr>
          <w:p w14:paraId="3F0B71D8" w14:textId="77777777" w:rsidR="00EC492E" w:rsidRPr="00824D31" w:rsidRDefault="00EC492E" w:rsidP="00EC492E">
            <w:r w:rsidRPr="00824D31">
              <w:t>0608</w:t>
            </w:r>
          </w:p>
        </w:tc>
      </w:tr>
      <w:tr w:rsidR="00EC492E" w:rsidRPr="00824D31" w14:paraId="0017A66C" w14:textId="77777777" w:rsidTr="009E18B2">
        <w:tc>
          <w:tcPr>
            <w:tcW w:w="7684" w:type="dxa"/>
            <w:hideMark/>
          </w:tcPr>
          <w:p w14:paraId="70EE6880" w14:textId="77777777" w:rsidR="00EC492E" w:rsidRPr="00824D31" w:rsidRDefault="00EC492E" w:rsidP="00EC492E">
            <w:r w:rsidRPr="00824D31">
              <w:t>Таможни</w:t>
            </w:r>
          </w:p>
        </w:tc>
        <w:tc>
          <w:tcPr>
            <w:tcW w:w="1559" w:type="dxa"/>
            <w:hideMark/>
          </w:tcPr>
          <w:p w14:paraId="052BE5B3" w14:textId="77777777" w:rsidR="00EC492E" w:rsidRPr="00824D31" w:rsidRDefault="00EC492E" w:rsidP="00EC492E">
            <w:r w:rsidRPr="00824D31">
              <w:t>0609</w:t>
            </w:r>
          </w:p>
        </w:tc>
      </w:tr>
      <w:tr w:rsidR="00EC492E" w:rsidRPr="00824D31" w14:paraId="395C3887" w14:textId="77777777" w:rsidTr="009E18B2">
        <w:tc>
          <w:tcPr>
            <w:tcW w:w="7684" w:type="dxa"/>
            <w:hideMark/>
          </w:tcPr>
          <w:p w14:paraId="26583F06" w14:textId="77777777" w:rsidR="00EC492E" w:rsidRPr="00824D31" w:rsidRDefault="00EC492E" w:rsidP="00EC492E">
            <w:bookmarkStart w:id="80" w:name="sub_20007"/>
            <w:r w:rsidRPr="00824D31">
              <w:t>Группа 7. Объекты производственного назначения, за исключением передаточных устройств и сооружений</w:t>
            </w:r>
            <w:bookmarkEnd w:id="80"/>
          </w:p>
        </w:tc>
        <w:tc>
          <w:tcPr>
            <w:tcW w:w="1559" w:type="dxa"/>
            <w:hideMark/>
          </w:tcPr>
          <w:p w14:paraId="22768F17" w14:textId="77777777" w:rsidR="00EC492E" w:rsidRPr="00824D31" w:rsidRDefault="00EC492E" w:rsidP="00EC492E">
            <w:r w:rsidRPr="00824D31">
              <w:t>0700</w:t>
            </w:r>
          </w:p>
        </w:tc>
      </w:tr>
      <w:tr w:rsidR="00EC492E" w:rsidRPr="00824D31" w14:paraId="4F07A588" w14:textId="77777777" w:rsidTr="009E18B2">
        <w:tc>
          <w:tcPr>
            <w:tcW w:w="7684" w:type="dxa"/>
            <w:hideMark/>
          </w:tcPr>
          <w:p w14:paraId="21F15E59" w14:textId="77777777" w:rsidR="00EC492E" w:rsidRPr="00824D31" w:rsidRDefault="00EC492E" w:rsidP="00EC492E">
            <w:r w:rsidRPr="00824D31">
              <w:t>Производственные, производственно - складские и административно - производственные здания площадью до 100 кв. м</w:t>
            </w:r>
          </w:p>
        </w:tc>
        <w:tc>
          <w:tcPr>
            <w:tcW w:w="1559" w:type="dxa"/>
            <w:hideMark/>
          </w:tcPr>
          <w:p w14:paraId="43BD44DD" w14:textId="77777777" w:rsidR="00EC492E" w:rsidRPr="00824D31" w:rsidRDefault="00EC492E" w:rsidP="00EC492E">
            <w:r w:rsidRPr="00824D31">
              <w:t>0701</w:t>
            </w:r>
          </w:p>
        </w:tc>
      </w:tr>
      <w:tr w:rsidR="00EC492E" w:rsidRPr="00824D31" w14:paraId="1BF10676" w14:textId="77777777" w:rsidTr="009E18B2">
        <w:tc>
          <w:tcPr>
            <w:tcW w:w="7684" w:type="dxa"/>
            <w:hideMark/>
          </w:tcPr>
          <w:p w14:paraId="736624AD" w14:textId="77777777" w:rsidR="00EC492E" w:rsidRPr="00824D31" w:rsidRDefault="00EC492E" w:rsidP="00EC492E">
            <w:r w:rsidRPr="00824D31">
              <w:t>Диспетчерские, аппаратные (кроме диспетчерских на транспорте)</w:t>
            </w:r>
          </w:p>
        </w:tc>
        <w:tc>
          <w:tcPr>
            <w:tcW w:w="1559" w:type="dxa"/>
            <w:hideMark/>
          </w:tcPr>
          <w:p w14:paraId="3099EB9F" w14:textId="77777777" w:rsidR="00EC492E" w:rsidRPr="00824D31" w:rsidRDefault="00EC492E" w:rsidP="00EC492E">
            <w:r w:rsidRPr="00824D31">
              <w:t>0702</w:t>
            </w:r>
          </w:p>
        </w:tc>
      </w:tr>
      <w:tr w:rsidR="00EC492E" w:rsidRPr="00824D31" w14:paraId="403719FB" w14:textId="77777777" w:rsidTr="009E18B2">
        <w:tc>
          <w:tcPr>
            <w:tcW w:w="7684" w:type="dxa"/>
            <w:hideMark/>
          </w:tcPr>
          <w:p w14:paraId="08918C3A" w14:textId="77777777" w:rsidR="00EC492E" w:rsidRPr="00824D31" w:rsidRDefault="00EC492E" w:rsidP="00EC492E">
            <w:r w:rsidRPr="00824D31">
              <w:t>Контрольно - пропускные пункты, проходные менее 100 кв. м</w:t>
            </w:r>
          </w:p>
        </w:tc>
        <w:tc>
          <w:tcPr>
            <w:tcW w:w="1559" w:type="dxa"/>
            <w:hideMark/>
          </w:tcPr>
          <w:p w14:paraId="52BD38C1" w14:textId="77777777" w:rsidR="00EC492E" w:rsidRPr="00824D31" w:rsidRDefault="00EC492E" w:rsidP="00EC492E">
            <w:r w:rsidRPr="00824D31">
              <w:t>0703</w:t>
            </w:r>
          </w:p>
        </w:tc>
      </w:tr>
      <w:tr w:rsidR="00EC492E" w:rsidRPr="00824D31" w14:paraId="17F6D69F" w14:textId="77777777" w:rsidTr="009E18B2">
        <w:tc>
          <w:tcPr>
            <w:tcW w:w="7684" w:type="dxa"/>
            <w:hideMark/>
          </w:tcPr>
          <w:p w14:paraId="1CEC922B" w14:textId="77777777" w:rsidR="00EC492E" w:rsidRPr="00824D31" w:rsidRDefault="00EC492E" w:rsidP="00EC492E">
            <w:r w:rsidRPr="00824D31">
              <w:t>Производственные, производственно - складские и производственно - административные здания площадью 100 и более кв. м</w:t>
            </w:r>
          </w:p>
        </w:tc>
        <w:tc>
          <w:tcPr>
            <w:tcW w:w="1559" w:type="dxa"/>
            <w:hideMark/>
          </w:tcPr>
          <w:p w14:paraId="3AB0493F" w14:textId="77777777" w:rsidR="00EC492E" w:rsidRPr="00824D31" w:rsidRDefault="00EC492E" w:rsidP="00EC492E">
            <w:r w:rsidRPr="00824D31">
              <w:t>0704</w:t>
            </w:r>
          </w:p>
        </w:tc>
      </w:tr>
      <w:tr w:rsidR="00EC492E" w:rsidRPr="00824D31" w14:paraId="3E036CF6" w14:textId="77777777" w:rsidTr="009E18B2">
        <w:tc>
          <w:tcPr>
            <w:tcW w:w="7684" w:type="dxa"/>
            <w:hideMark/>
          </w:tcPr>
          <w:p w14:paraId="73945857" w14:textId="77777777" w:rsidR="00EC492E" w:rsidRPr="00824D31" w:rsidRDefault="00EC492E" w:rsidP="00EC492E">
            <w:r w:rsidRPr="00824D31">
              <w:t>Объекты сельскохозяйственного производства. Животноводческие комплексы, птичники, тепличные и оранжерейные хозяйства</w:t>
            </w:r>
          </w:p>
        </w:tc>
        <w:tc>
          <w:tcPr>
            <w:tcW w:w="1559" w:type="dxa"/>
            <w:hideMark/>
          </w:tcPr>
          <w:p w14:paraId="1D0E05DB" w14:textId="77777777" w:rsidR="00EC492E" w:rsidRPr="00824D31" w:rsidRDefault="00EC492E" w:rsidP="00EC492E">
            <w:r w:rsidRPr="00824D31">
              <w:t>0705</w:t>
            </w:r>
          </w:p>
        </w:tc>
      </w:tr>
      <w:tr w:rsidR="00EC492E" w:rsidRPr="00824D31" w14:paraId="6E17CFD2" w14:textId="77777777" w:rsidTr="009E18B2">
        <w:tc>
          <w:tcPr>
            <w:tcW w:w="7684" w:type="dxa"/>
            <w:hideMark/>
          </w:tcPr>
          <w:p w14:paraId="2478015F" w14:textId="77777777" w:rsidR="00EC492E" w:rsidRPr="00824D31" w:rsidRDefault="00EC492E" w:rsidP="00EC492E">
            <w:r w:rsidRPr="00824D31">
              <w:t>Трансформаторные подстанции</w:t>
            </w:r>
          </w:p>
        </w:tc>
        <w:tc>
          <w:tcPr>
            <w:tcW w:w="1559" w:type="dxa"/>
            <w:hideMark/>
          </w:tcPr>
          <w:p w14:paraId="2AD9517C" w14:textId="77777777" w:rsidR="00EC492E" w:rsidRPr="00824D31" w:rsidRDefault="00EC492E" w:rsidP="00EC492E">
            <w:r w:rsidRPr="00824D31">
              <w:t>0706</w:t>
            </w:r>
          </w:p>
        </w:tc>
      </w:tr>
      <w:tr w:rsidR="00EC492E" w:rsidRPr="00824D31" w14:paraId="6D8B4E42" w14:textId="77777777" w:rsidTr="009E18B2">
        <w:tc>
          <w:tcPr>
            <w:tcW w:w="7684" w:type="dxa"/>
            <w:hideMark/>
          </w:tcPr>
          <w:p w14:paraId="228C99F6" w14:textId="77777777" w:rsidR="00EC492E" w:rsidRPr="00824D31" w:rsidRDefault="00EC492E" w:rsidP="00EC492E">
            <w:r w:rsidRPr="00824D31">
              <w:t>Электроподстанции</w:t>
            </w:r>
          </w:p>
        </w:tc>
        <w:tc>
          <w:tcPr>
            <w:tcW w:w="1559" w:type="dxa"/>
            <w:hideMark/>
          </w:tcPr>
          <w:p w14:paraId="06FB30C9" w14:textId="77777777" w:rsidR="00EC492E" w:rsidRPr="00824D31" w:rsidRDefault="00EC492E" w:rsidP="00EC492E">
            <w:r w:rsidRPr="00824D31">
              <w:t>0707</w:t>
            </w:r>
          </w:p>
        </w:tc>
      </w:tr>
      <w:tr w:rsidR="00EC492E" w:rsidRPr="00824D31" w14:paraId="0E55CFCA" w14:textId="77777777" w:rsidTr="009E18B2">
        <w:tc>
          <w:tcPr>
            <w:tcW w:w="7684" w:type="dxa"/>
            <w:hideMark/>
          </w:tcPr>
          <w:p w14:paraId="14461F82" w14:textId="77777777" w:rsidR="00EC492E" w:rsidRPr="00824D31" w:rsidRDefault="00EC492E" w:rsidP="00EC492E">
            <w:r w:rsidRPr="00824D31">
              <w:t>Энергоблоки</w:t>
            </w:r>
          </w:p>
        </w:tc>
        <w:tc>
          <w:tcPr>
            <w:tcW w:w="1559" w:type="dxa"/>
            <w:hideMark/>
          </w:tcPr>
          <w:p w14:paraId="6133767F" w14:textId="77777777" w:rsidR="00EC492E" w:rsidRPr="00824D31" w:rsidRDefault="00EC492E" w:rsidP="00EC492E">
            <w:r w:rsidRPr="00824D31">
              <w:t>0708</w:t>
            </w:r>
          </w:p>
        </w:tc>
      </w:tr>
      <w:tr w:rsidR="00EC492E" w:rsidRPr="00824D31" w14:paraId="46C96644" w14:textId="77777777" w:rsidTr="009E18B2">
        <w:tc>
          <w:tcPr>
            <w:tcW w:w="7684" w:type="dxa"/>
            <w:hideMark/>
          </w:tcPr>
          <w:p w14:paraId="0D113035" w14:textId="77777777" w:rsidR="00EC492E" w:rsidRPr="00824D31" w:rsidRDefault="00EC492E" w:rsidP="00EC492E">
            <w:r w:rsidRPr="00824D31">
              <w:t>Центральная тепловая станция (ЦТП), теплоэлектроцентраль (ТЭЦ)</w:t>
            </w:r>
          </w:p>
        </w:tc>
        <w:tc>
          <w:tcPr>
            <w:tcW w:w="1559" w:type="dxa"/>
            <w:hideMark/>
          </w:tcPr>
          <w:p w14:paraId="67732117" w14:textId="77777777" w:rsidR="00EC492E" w:rsidRPr="00824D31" w:rsidRDefault="00EC492E" w:rsidP="00EC492E">
            <w:r w:rsidRPr="00824D31">
              <w:t>0709</w:t>
            </w:r>
          </w:p>
        </w:tc>
      </w:tr>
      <w:tr w:rsidR="00EC492E" w:rsidRPr="00824D31" w14:paraId="252A4841" w14:textId="77777777" w:rsidTr="009E18B2">
        <w:tc>
          <w:tcPr>
            <w:tcW w:w="7684" w:type="dxa"/>
            <w:hideMark/>
          </w:tcPr>
          <w:p w14:paraId="376522A9" w14:textId="77777777" w:rsidR="00EC492E" w:rsidRPr="00824D31" w:rsidRDefault="00EC492E" w:rsidP="00EC492E">
            <w:r w:rsidRPr="00824D31">
              <w:t>Котельные</w:t>
            </w:r>
          </w:p>
        </w:tc>
        <w:tc>
          <w:tcPr>
            <w:tcW w:w="1559" w:type="dxa"/>
            <w:hideMark/>
          </w:tcPr>
          <w:p w14:paraId="3DEF6CB6" w14:textId="77777777" w:rsidR="00EC492E" w:rsidRPr="00824D31" w:rsidRDefault="00EC492E" w:rsidP="00EC492E">
            <w:r w:rsidRPr="00824D31">
              <w:t>0710</w:t>
            </w:r>
          </w:p>
        </w:tc>
      </w:tr>
      <w:tr w:rsidR="00EC492E" w:rsidRPr="00824D31" w14:paraId="0B610A10" w14:textId="77777777" w:rsidTr="009E18B2">
        <w:tc>
          <w:tcPr>
            <w:tcW w:w="7684" w:type="dxa"/>
            <w:hideMark/>
          </w:tcPr>
          <w:p w14:paraId="622299B0" w14:textId="77777777" w:rsidR="00EC492E" w:rsidRPr="00824D31" w:rsidRDefault="00EC492E" w:rsidP="00EC492E">
            <w:r w:rsidRPr="00824D31">
              <w:t>Здания тепловых пунктов</w:t>
            </w:r>
          </w:p>
        </w:tc>
        <w:tc>
          <w:tcPr>
            <w:tcW w:w="1559" w:type="dxa"/>
            <w:hideMark/>
          </w:tcPr>
          <w:p w14:paraId="646ED7FE" w14:textId="77777777" w:rsidR="00EC492E" w:rsidRPr="00824D31" w:rsidRDefault="00EC492E" w:rsidP="00EC492E">
            <w:r w:rsidRPr="00824D31">
              <w:t>0711</w:t>
            </w:r>
          </w:p>
        </w:tc>
      </w:tr>
      <w:tr w:rsidR="00EC492E" w:rsidRPr="00824D31" w14:paraId="47A4AA8D" w14:textId="77777777" w:rsidTr="009E18B2">
        <w:tc>
          <w:tcPr>
            <w:tcW w:w="7684" w:type="dxa"/>
            <w:hideMark/>
          </w:tcPr>
          <w:p w14:paraId="24CBB2AC" w14:textId="77777777" w:rsidR="00EC492E" w:rsidRPr="00824D31" w:rsidRDefault="00EC492E" w:rsidP="00EC492E">
            <w:r w:rsidRPr="00824D31">
              <w:t>Сушилки, мельницы, вспомогательные объекты</w:t>
            </w:r>
          </w:p>
        </w:tc>
        <w:tc>
          <w:tcPr>
            <w:tcW w:w="1559" w:type="dxa"/>
            <w:hideMark/>
          </w:tcPr>
          <w:p w14:paraId="3592466E" w14:textId="77777777" w:rsidR="00EC492E" w:rsidRPr="00824D31" w:rsidRDefault="00EC492E" w:rsidP="00EC492E">
            <w:r w:rsidRPr="00824D31">
              <w:t>0712</w:t>
            </w:r>
          </w:p>
        </w:tc>
      </w:tr>
      <w:tr w:rsidR="00EC492E" w:rsidRPr="00824D31" w14:paraId="1BDEA246" w14:textId="77777777" w:rsidTr="009E18B2">
        <w:tc>
          <w:tcPr>
            <w:tcW w:w="7684" w:type="dxa"/>
            <w:hideMark/>
          </w:tcPr>
          <w:p w14:paraId="132FACBB" w14:textId="77777777" w:rsidR="00EC492E" w:rsidRPr="00824D31" w:rsidRDefault="00EC492E" w:rsidP="00EC492E">
            <w:r w:rsidRPr="00824D31">
              <w:t>Станции газораспределительные и газорегуляторные</w:t>
            </w:r>
          </w:p>
        </w:tc>
        <w:tc>
          <w:tcPr>
            <w:tcW w:w="1559" w:type="dxa"/>
            <w:hideMark/>
          </w:tcPr>
          <w:p w14:paraId="27023CAE" w14:textId="77777777" w:rsidR="00EC492E" w:rsidRPr="00824D31" w:rsidRDefault="00EC492E" w:rsidP="00EC492E">
            <w:r w:rsidRPr="00824D31">
              <w:t>0713</w:t>
            </w:r>
          </w:p>
        </w:tc>
      </w:tr>
      <w:tr w:rsidR="00EC492E" w:rsidRPr="00824D31" w14:paraId="1930C337" w14:textId="77777777" w:rsidTr="009E18B2">
        <w:tc>
          <w:tcPr>
            <w:tcW w:w="7684" w:type="dxa"/>
            <w:hideMark/>
          </w:tcPr>
          <w:p w14:paraId="470420B6" w14:textId="77777777" w:rsidR="00EC492E" w:rsidRPr="00824D31" w:rsidRDefault="00EC492E" w:rsidP="00EC492E">
            <w:r w:rsidRPr="00824D31">
              <w:t>Пункты газораспределительные и газорегуляторные</w:t>
            </w:r>
          </w:p>
        </w:tc>
        <w:tc>
          <w:tcPr>
            <w:tcW w:w="1559" w:type="dxa"/>
            <w:hideMark/>
          </w:tcPr>
          <w:p w14:paraId="0467B253" w14:textId="77777777" w:rsidR="00EC492E" w:rsidRPr="00824D31" w:rsidRDefault="00EC492E" w:rsidP="00EC492E">
            <w:r w:rsidRPr="00824D31">
              <w:t>0714</w:t>
            </w:r>
          </w:p>
        </w:tc>
      </w:tr>
      <w:tr w:rsidR="00EC492E" w:rsidRPr="00824D31" w14:paraId="320A7BB6" w14:textId="77777777" w:rsidTr="009E18B2">
        <w:tc>
          <w:tcPr>
            <w:tcW w:w="7684" w:type="dxa"/>
            <w:hideMark/>
          </w:tcPr>
          <w:p w14:paraId="7EBDDD22" w14:textId="77777777" w:rsidR="00EC492E" w:rsidRPr="00824D31" w:rsidRDefault="00EC492E" w:rsidP="00EC492E">
            <w:r w:rsidRPr="00824D31">
              <w:t>Насосные станции</w:t>
            </w:r>
          </w:p>
        </w:tc>
        <w:tc>
          <w:tcPr>
            <w:tcW w:w="1559" w:type="dxa"/>
            <w:hideMark/>
          </w:tcPr>
          <w:p w14:paraId="54D95E7B" w14:textId="77777777" w:rsidR="00EC492E" w:rsidRPr="00824D31" w:rsidRDefault="00EC492E" w:rsidP="00EC492E">
            <w:r w:rsidRPr="00824D31">
              <w:t>0715</w:t>
            </w:r>
          </w:p>
        </w:tc>
      </w:tr>
      <w:tr w:rsidR="00EC492E" w:rsidRPr="00824D31" w14:paraId="1BA337E8" w14:textId="77777777" w:rsidTr="009E18B2">
        <w:tc>
          <w:tcPr>
            <w:tcW w:w="7684" w:type="dxa"/>
            <w:hideMark/>
          </w:tcPr>
          <w:p w14:paraId="5738C597" w14:textId="77777777" w:rsidR="00EC492E" w:rsidRPr="00824D31" w:rsidRDefault="00EC492E" w:rsidP="00EC492E">
            <w:r w:rsidRPr="00824D31">
              <w:t>Водопроводные станции</w:t>
            </w:r>
          </w:p>
        </w:tc>
        <w:tc>
          <w:tcPr>
            <w:tcW w:w="1559" w:type="dxa"/>
            <w:hideMark/>
          </w:tcPr>
          <w:p w14:paraId="38010ED8" w14:textId="77777777" w:rsidR="00EC492E" w:rsidRPr="00824D31" w:rsidRDefault="00EC492E" w:rsidP="00EC492E">
            <w:r w:rsidRPr="00824D31">
              <w:t>0716</w:t>
            </w:r>
          </w:p>
        </w:tc>
      </w:tr>
      <w:tr w:rsidR="00EC492E" w:rsidRPr="00824D31" w14:paraId="5A86CE84" w14:textId="77777777" w:rsidTr="009E18B2">
        <w:tc>
          <w:tcPr>
            <w:tcW w:w="7684" w:type="dxa"/>
            <w:hideMark/>
          </w:tcPr>
          <w:p w14:paraId="5FA4850A" w14:textId="77777777" w:rsidR="00EC492E" w:rsidRPr="00824D31" w:rsidRDefault="00EC492E" w:rsidP="00EC492E">
            <w:r w:rsidRPr="00824D31">
              <w:t>Водозаборные узлы и сооружения</w:t>
            </w:r>
          </w:p>
        </w:tc>
        <w:tc>
          <w:tcPr>
            <w:tcW w:w="1559" w:type="dxa"/>
            <w:hideMark/>
          </w:tcPr>
          <w:p w14:paraId="4590AE98" w14:textId="77777777" w:rsidR="00EC492E" w:rsidRPr="00824D31" w:rsidRDefault="00EC492E" w:rsidP="00EC492E">
            <w:r w:rsidRPr="00824D31">
              <w:t>0717</w:t>
            </w:r>
          </w:p>
        </w:tc>
      </w:tr>
      <w:tr w:rsidR="00EC492E" w:rsidRPr="00824D31" w14:paraId="70346FC7" w14:textId="77777777" w:rsidTr="009E18B2">
        <w:tc>
          <w:tcPr>
            <w:tcW w:w="7684" w:type="dxa"/>
            <w:hideMark/>
          </w:tcPr>
          <w:p w14:paraId="00AD7ADE" w14:textId="77777777" w:rsidR="00EC492E" w:rsidRPr="00824D31" w:rsidRDefault="00EC492E" w:rsidP="00EC492E">
            <w:r w:rsidRPr="00824D31">
              <w:t>Водомерные узлы</w:t>
            </w:r>
          </w:p>
        </w:tc>
        <w:tc>
          <w:tcPr>
            <w:tcW w:w="1559" w:type="dxa"/>
            <w:hideMark/>
          </w:tcPr>
          <w:p w14:paraId="1A4F531E" w14:textId="77777777" w:rsidR="00EC492E" w:rsidRPr="00824D31" w:rsidRDefault="00EC492E" w:rsidP="00EC492E">
            <w:r w:rsidRPr="00824D31">
              <w:t>0718</w:t>
            </w:r>
          </w:p>
        </w:tc>
      </w:tr>
      <w:tr w:rsidR="00EC492E" w:rsidRPr="00824D31" w14:paraId="10847521" w14:textId="77777777" w:rsidTr="009E18B2">
        <w:tc>
          <w:tcPr>
            <w:tcW w:w="7684" w:type="dxa"/>
            <w:hideMark/>
          </w:tcPr>
          <w:p w14:paraId="26B10E62" w14:textId="77777777" w:rsidR="00EC492E" w:rsidRPr="00824D31" w:rsidRDefault="00EC492E" w:rsidP="00EC492E">
            <w:r w:rsidRPr="00824D31">
              <w:t>Павильоны над скважинами</w:t>
            </w:r>
          </w:p>
        </w:tc>
        <w:tc>
          <w:tcPr>
            <w:tcW w:w="1559" w:type="dxa"/>
            <w:hideMark/>
          </w:tcPr>
          <w:p w14:paraId="718182D1" w14:textId="77777777" w:rsidR="00EC492E" w:rsidRPr="00824D31" w:rsidRDefault="00EC492E" w:rsidP="00EC492E">
            <w:r w:rsidRPr="00824D31">
              <w:t>0719</w:t>
            </w:r>
          </w:p>
        </w:tc>
      </w:tr>
      <w:tr w:rsidR="00EC492E" w:rsidRPr="00824D31" w14:paraId="4CEC91FF" w14:textId="77777777" w:rsidTr="009E18B2">
        <w:tc>
          <w:tcPr>
            <w:tcW w:w="7684" w:type="dxa"/>
            <w:hideMark/>
          </w:tcPr>
          <w:p w14:paraId="448E275D" w14:textId="77777777" w:rsidR="00EC492E" w:rsidRPr="00824D31" w:rsidRDefault="00EC492E" w:rsidP="00EC492E">
            <w:r w:rsidRPr="00824D31">
              <w:t>Вентиляционные киоски, вентиляционные камеры</w:t>
            </w:r>
          </w:p>
        </w:tc>
        <w:tc>
          <w:tcPr>
            <w:tcW w:w="1559" w:type="dxa"/>
            <w:hideMark/>
          </w:tcPr>
          <w:p w14:paraId="1C88F35A" w14:textId="77777777" w:rsidR="00EC492E" w:rsidRPr="00824D31" w:rsidRDefault="00EC492E" w:rsidP="00EC492E">
            <w:r w:rsidRPr="00824D31">
              <w:t>0720</w:t>
            </w:r>
          </w:p>
        </w:tc>
      </w:tr>
      <w:tr w:rsidR="00EC492E" w:rsidRPr="00824D31" w14:paraId="79E2180C" w14:textId="77777777" w:rsidTr="009E18B2">
        <w:tc>
          <w:tcPr>
            <w:tcW w:w="7684" w:type="dxa"/>
            <w:hideMark/>
          </w:tcPr>
          <w:p w14:paraId="2AA9B65C" w14:textId="77777777" w:rsidR="00EC492E" w:rsidRPr="00824D31" w:rsidRDefault="00EC492E" w:rsidP="00EC492E">
            <w:r w:rsidRPr="00824D31">
              <w:t>Автоматические телефонные станции (АТС)</w:t>
            </w:r>
          </w:p>
        </w:tc>
        <w:tc>
          <w:tcPr>
            <w:tcW w:w="1559" w:type="dxa"/>
            <w:hideMark/>
          </w:tcPr>
          <w:p w14:paraId="4BC5AF47" w14:textId="77777777" w:rsidR="00EC492E" w:rsidRPr="00824D31" w:rsidRDefault="00EC492E" w:rsidP="00EC492E">
            <w:r w:rsidRPr="00824D31">
              <w:t>0721</w:t>
            </w:r>
          </w:p>
        </w:tc>
      </w:tr>
      <w:tr w:rsidR="00EC492E" w:rsidRPr="00824D31" w14:paraId="68A202C8" w14:textId="77777777" w:rsidTr="009E18B2">
        <w:tc>
          <w:tcPr>
            <w:tcW w:w="7684" w:type="dxa"/>
            <w:hideMark/>
          </w:tcPr>
          <w:p w14:paraId="71C17BB8" w14:textId="77777777" w:rsidR="00EC492E" w:rsidRPr="00824D31" w:rsidRDefault="00EC492E" w:rsidP="00EC492E">
            <w:r w:rsidRPr="00824D31">
              <w:t>Мастерские</w:t>
            </w:r>
          </w:p>
        </w:tc>
        <w:tc>
          <w:tcPr>
            <w:tcW w:w="1559" w:type="dxa"/>
            <w:hideMark/>
          </w:tcPr>
          <w:p w14:paraId="26B42952" w14:textId="77777777" w:rsidR="00EC492E" w:rsidRPr="00824D31" w:rsidRDefault="00EC492E" w:rsidP="00EC492E">
            <w:r w:rsidRPr="00824D31">
              <w:t>0722</w:t>
            </w:r>
          </w:p>
        </w:tc>
      </w:tr>
      <w:tr w:rsidR="00EC492E" w:rsidRPr="00824D31" w14:paraId="1F87BEEE" w14:textId="77777777" w:rsidTr="009E18B2">
        <w:tc>
          <w:tcPr>
            <w:tcW w:w="7684" w:type="dxa"/>
            <w:hideMark/>
          </w:tcPr>
          <w:p w14:paraId="2A51A440" w14:textId="77777777" w:rsidR="00EC492E" w:rsidRPr="00824D31" w:rsidRDefault="00EC492E" w:rsidP="00EC492E">
            <w:r w:rsidRPr="00824D31">
              <w:t>Складские здания, кроме ангаров</w:t>
            </w:r>
          </w:p>
        </w:tc>
        <w:tc>
          <w:tcPr>
            <w:tcW w:w="1559" w:type="dxa"/>
            <w:hideMark/>
          </w:tcPr>
          <w:p w14:paraId="1916ECD1" w14:textId="77777777" w:rsidR="00EC492E" w:rsidRPr="00824D31" w:rsidRDefault="00EC492E" w:rsidP="00EC492E">
            <w:r w:rsidRPr="00824D31">
              <w:t>0723</w:t>
            </w:r>
          </w:p>
        </w:tc>
      </w:tr>
      <w:tr w:rsidR="00EC492E" w:rsidRPr="00824D31" w14:paraId="51FB23EB" w14:textId="77777777" w:rsidTr="009E18B2">
        <w:tc>
          <w:tcPr>
            <w:tcW w:w="7684" w:type="dxa"/>
            <w:hideMark/>
          </w:tcPr>
          <w:p w14:paraId="35B4825C" w14:textId="77777777" w:rsidR="00EC492E" w:rsidRPr="00824D31" w:rsidRDefault="00EC492E" w:rsidP="00EC492E">
            <w:r w:rsidRPr="00824D31">
              <w:t>Здания очистных сооружений</w:t>
            </w:r>
          </w:p>
        </w:tc>
        <w:tc>
          <w:tcPr>
            <w:tcW w:w="1559" w:type="dxa"/>
            <w:hideMark/>
          </w:tcPr>
          <w:p w14:paraId="68F9CB5A" w14:textId="77777777" w:rsidR="00EC492E" w:rsidRPr="00824D31" w:rsidRDefault="00EC492E" w:rsidP="00EC492E">
            <w:r w:rsidRPr="00824D31">
              <w:t>0724</w:t>
            </w:r>
          </w:p>
        </w:tc>
      </w:tr>
      <w:tr w:rsidR="00EC492E" w:rsidRPr="00824D31" w14:paraId="3E0ED635" w14:textId="77777777" w:rsidTr="009E18B2">
        <w:tc>
          <w:tcPr>
            <w:tcW w:w="7684" w:type="dxa"/>
            <w:hideMark/>
          </w:tcPr>
          <w:p w14:paraId="2A9DE19D" w14:textId="77777777" w:rsidR="00EC492E" w:rsidRPr="00824D31" w:rsidRDefault="00EC492E" w:rsidP="00EC492E">
            <w:r w:rsidRPr="00824D31">
              <w:t>Весовые автомобильные</w:t>
            </w:r>
          </w:p>
        </w:tc>
        <w:tc>
          <w:tcPr>
            <w:tcW w:w="1559" w:type="dxa"/>
            <w:hideMark/>
          </w:tcPr>
          <w:p w14:paraId="05E50574" w14:textId="77777777" w:rsidR="00EC492E" w:rsidRPr="00824D31" w:rsidRDefault="00EC492E" w:rsidP="00EC492E">
            <w:r w:rsidRPr="00824D31">
              <w:t>0725</w:t>
            </w:r>
          </w:p>
        </w:tc>
      </w:tr>
      <w:tr w:rsidR="00EC492E" w:rsidRPr="00824D31" w14:paraId="5A949047" w14:textId="77777777" w:rsidTr="009E18B2">
        <w:tc>
          <w:tcPr>
            <w:tcW w:w="7684" w:type="dxa"/>
            <w:hideMark/>
          </w:tcPr>
          <w:p w14:paraId="5A3C8964" w14:textId="77777777" w:rsidR="00EC492E" w:rsidRPr="00824D31" w:rsidRDefault="00EC492E" w:rsidP="00EC492E">
            <w:r w:rsidRPr="00824D31">
              <w:t>Весовые железнодорожные</w:t>
            </w:r>
          </w:p>
        </w:tc>
        <w:tc>
          <w:tcPr>
            <w:tcW w:w="1559" w:type="dxa"/>
            <w:hideMark/>
          </w:tcPr>
          <w:p w14:paraId="5F6FAEDF" w14:textId="77777777" w:rsidR="00EC492E" w:rsidRPr="00824D31" w:rsidRDefault="00EC492E" w:rsidP="00EC492E">
            <w:r w:rsidRPr="00824D31">
              <w:t>0726</w:t>
            </w:r>
          </w:p>
        </w:tc>
      </w:tr>
      <w:tr w:rsidR="00EC492E" w:rsidRPr="00824D31" w14:paraId="43FD8BD9" w14:textId="77777777" w:rsidTr="009E18B2">
        <w:tc>
          <w:tcPr>
            <w:tcW w:w="7684" w:type="dxa"/>
            <w:hideMark/>
          </w:tcPr>
          <w:p w14:paraId="106FE9E2" w14:textId="77777777" w:rsidR="00EC492E" w:rsidRPr="00824D31" w:rsidRDefault="00EC492E" w:rsidP="00EC492E">
            <w:r w:rsidRPr="00824D31">
              <w:t>Здания ангарного типа</w:t>
            </w:r>
          </w:p>
        </w:tc>
        <w:tc>
          <w:tcPr>
            <w:tcW w:w="1559" w:type="dxa"/>
            <w:hideMark/>
          </w:tcPr>
          <w:p w14:paraId="306C40C5" w14:textId="77777777" w:rsidR="00EC492E" w:rsidRPr="00824D31" w:rsidRDefault="00EC492E" w:rsidP="00EC492E">
            <w:r w:rsidRPr="00824D31">
              <w:t>0727</w:t>
            </w:r>
          </w:p>
        </w:tc>
      </w:tr>
      <w:tr w:rsidR="00EC492E" w:rsidRPr="00824D31" w14:paraId="3494D3B6" w14:textId="77777777" w:rsidTr="009E18B2">
        <w:tc>
          <w:tcPr>
            <w:tcW w:w="7684" w:type="dxa"/>
            <w:hideMark/>
          </w:tcPr>
          <w:p w14:paraId="70EAEC34" w14:textId="77777777" w:rsidR="00EC492E" w:rsidRPr="00824D31" w:rsidRDefault="00EC492E" w:rsidP="00EC492E">
            <w:r w:rsidRPr="00824D31">
              <w:t>Холодильники</w:t>
            </w:r>
          </w:p>
        </w:tc>
        <w:tc>
          <w:tcPr>
            <w:tcW w:w="1559" w:type="dxa"/>
            <w:hideMark/>
          </w:tcPr>
          <w:p w14:paraId="7F748810" w14:textId="77777777" w:rsidR="00EC492E" w:rsidRPr="00824D31" w:rsidRDefault="00EC492E" w:rsidP="00EC492E">
            <w:r w:rsidRPr="00824D31">
              <w:t>0728</w:t>
            </w:r>
          </w:p>
        </w:tc>
      </w:tr>
      <w:tr w:rsidR="00EC492E" w:rsidRPr="00824D31" w14:paraId="04429AFC" w14:textId="77777777" w:rsidTr="009E18B2">
        <w:tc>
          <w:tcPr>
            <w:tcW w:w="7684" w:type="dxa"/>
            <w:hideMark/>
          </w:tcPr>
          <w:p w14:paraId="4C8AB75F" w14:textId="77777777" w:rsidR="00EC492E" w:rsidRPr="00824D31" w:rsidRDefault="00EC492E" w:rsidP="00EC492E">
            <w:r w:rsidRPr="00824D31">
              <w:t>Здания гидросооружений</w:t>
            </w:r>
          </w:p>
        </w:tc>
        <w:tc>
          <w:tcPr>
            <w:tcW w:w="1559" w:type="dxa"/>
            <w:hideMark/>
          </w:tcPr>
          <w:p w14:paraId="00A99194" w14:textId="77777777" w:rsidR="00EC492E" w:rsidRPr="00824D31" w:rsidRDefault="00EC492E" w:rsidP="00EC492E">
            <w:r w:rsidRPr="00824D31">
              <w:t>0729</w:t>
            </w:r>
          </w:p>
        </w:tc>
      </w:tr>
      <w:tr w:rsidR="00EC492E" w:rsidRPr="00824D31" w14:paraId="421AC371" w14:textId="77777777" w:rsidTr="009E18B2">
        <w:tc>
          <w:tcPr>
            <w:tcW w:w="7684" w:type="dxa"/>
            <w:hideMark/>
          </w:tcPr>
          <w:p w14:paraId="0A405C37" w14:textId="77777777" w:rsidR="00EC492E" w:rsidRPr="00824D31" w:rsidRDefault="00EC492E" w:rsidP="00EC492E">
            <w:r w:rsidRPr="00824D31">
              <w:t>Станции технического обслуживания автомобилей (СТО), автосервисы</w:t>
            </w:r>
          </w:p>
        </w:tc>
        <w:tc>
          <w:tcPr>
            <w:tcW w:w="1559" w:type="dxa"/>
            <w:hideMark/>
          </w:tcPr>
          <w:p w14:paraId="621E5E76" w14:textId="77777777" w:rsidR="00EC492E" w:rsidRPr="00824D31" w:rsidRDefault="00EC492E" w:rsidP="00EC492E">
            <w:r w:rsidRPr="00824D31">
              <w:t>0730</w:t>
            </w:r>
          </w:p>
        </w:tc>
      </w:tr>
      <w:tr w:rsidR="00EC492E" w:rsidRPr="00824D31" w14:paraId="00B05BBA" w14:textId="77777777" w:rsidTr="009E18B2">
        <w:tc>
          <w:tcPr>
            <w:tcW w:w="7684" w:type="dxa"/>
            <w:hideMark/>
          </w:tcPr>
          <w:p w14:paraId="17C8ABA8" w14:textId="77777777" w:rsidR="00EC492E" w:rsidRPr="00824D31" w:rsidRDefault="00EC492E" w:rsidP="00EC492E">
            <w:r w:rsidRPr="00824D31">
              <w:t>Ангары для самолетов, вертолетов и других летательных аппаратов</w:t>
            </w:r>
          </w:p>
        </w:tc>
        <w:tc>
          <w:tcPr>
            <w:tcW w:w="1559" w:type="dxa"/>
            <w:hideMark/>
          </w:tcPr>
          <w:p w14:paraId="086E0B33" w14:textId="77777777" w:rsidR="00EC492E" w:rsidRPr="00824D31" w:rsidRDefault="00EC492E" w:rsidP="00EC492E">
            <w:r w:rsidRPr="00824D31">
              <w:t>0731</w:t>
            </w:r>
          </w:p>
        </w:tc>
      </w:tr>
      <w:tr w:rsidR="00EC492E" w:rsidRPr="00824D31" w14:paraId="2F327EE6" w14:textId="77777777" w:rsidTr="009E18B2">
        <w:tc>
          <w:tcPr>
            <w:tcW w:w="7684" w:type="dxa"/>
            <w:hideMark/>
          </w:tcPr>
          <w:p w14:paraId="08BBAAE4" w14:textId="77777777" w:rsidR="00EC492E" w:rsidRPr="00824D31" w:rsidRDefault="00EC492E" w:rsidP="00EC492E">
            <w:r w:rsidRPr="00824D31">
              <w:t>Депо железнодорожные, локомотивные, метрополитена, электродепо, трамвайные, троллейбусные</w:t>
            </w:r>
          </w:p>
        </w:tc>
        <w:tc>
          <w:tcPr>
            <w:tcW w:w="1559" w:type="dxa"/>
            <w:hideMark/>
          </w:tcPr>
          <w:p w14:paraId="2297A8C6" w14:textId="77777777" w:rsidR="00EC492E" w:rsidRPr="00824D31" w:rsidRDefault="00EC492E" w:rsidP="00EC492E">
            <w:r w:rsidRPr="00824D31">
              <w:t>0732</w:t>
            </w:r>
          </w:p>
        </w:tc>
      </w:tr>
      <w:tr w:rsidR="00EC492E" w:rsidRPr="00824D31" w14:paraId="079EB83D" w14:textId="77777777" w:rsidTr="009E18B2">
        <w:tc>
          <w:tcPr>
            <w:tcW w:w="7684" w:type="dxa"/>
            <w:hideMark/>
          </w:tcPr>
          <w:p w14:paraId="3F3AF9E9" w14:textId="77777777" w:rsidR="00EC492E" w:rsidRPr="00824D31" w:rsidRDefault="00EC492E" w:rsidP="00EC492E">
            <w:bookmarkStart w:id="81" w:name="sub_20008"/>
            <w:r w:rsidRPr="00824D31">
              <w:t>Группа 8.Учебные, спортивные объекты, объекты культуры и искусства, культовые объекты, музеи, лечебно - оздоровительные и общественного назначения объекты</w:t>
            </w:r>
            <w:bookmarkEnd w:id="81"/>
          </w:p>
        </w:tc>
        <w:tc>
          <w:tcPr>
            <w:tcW w:w="1559" w:type="dxa"/>
            <w:hideMark/>
          </w:tcPr>
          <w:p w14:paraId="54923241" w14:textId="77777777" w:rsidR="00EC492E" w:rsidRPr="00824D31" w:rsidRDefault="00EC492E" w:rsidP="00EC492E">
            <w:r w:rsidRPr="00824D31">
              <w:t>0800</w:t>
            </w:r>
          </w:p>
        </w:tc>
      </w:tr>
      <w:tr w:rsidR="00EC492E" w:rsidRPr="00824D31" w14:paraId="505B1A13" w14:textId="77777777" w:rsidTr="009E18B2">
        <w:tc>
          <w:tcPr>
            <w:tcW w:w="7684" w:type="dxa"/>
            <w:hideMark/>
          </w:tcPr>
          <w:p w14:paraId="6F0EC0B8" w14:textId="77777777" w:rsidR="00EC492E" w:rsidRPr="00824D31" w:rsidRDefault="00EC492E" w:rsidP="00EC492E">
            <w:r w:rsidRPr="00824D31">
              <w:t>Ветеринарные объекты</w:t>
            </w:r>
          </w:p>
        </w:tc>
        <w:tc>
          <w:tcPr>
            <w:tcW w:w="1559" w:type="dxa"/>
            <w:hideMark/>
          </w:tcPr>
          <w:p w14:paraId="24043467" w14:textId="77777777" w:rsidR="00EC492E" w:rsidRPr="00824D31" w:rsidRDefault="00EC492E" w:rsidP="00EC492E">
            <w:r w:rsidRPr="00824D31">
              <w:t>0801</w:t>
            </w:r>
          </w:p>
        </w:tc>
      </w:tr>
      <w:tr w:rsidR="00EC492E" w:rsidRPr="00824D31" w14:paraId="3C6679FB" w14:textId="77777777" w:rsidTr="009E18B2">
        <w:tc>
          <w:tcPr>
            <w:tcW w:w="7684" w:type="dxa"/>
            <w:hideMark/>
          </w:tcPr>
          <w:p w14:paraId="52042FC1" w14:textId="77777777" w:rsidR="00EC492E" w:rsidRPr="00824D31" w:rsidRDefault="00EC492E" w:rsidP="00EC492E">
            <w:r w:rsidRPr="00824D31">
              <w:t>Питомники, гостиницы для животных</w:t>
            </w:r>
          </w:p>
        </w:tc>
        <w:tc>
          <w:tcPr>
            <w:tcW w:w="1559" w:type="dxa"/>
            <w:hideMark/>
          </w:tcPr>
          <w:p w14:paraId="05A8EBB0" w14:textId="77777777" w:rsidR="00EC492E" w:rsidRPr="00824D31" w:rsidRDefault="00EC492E" w:rsidP="00EC492E">
            <w:r w:rsidRPr="00824D31">
              <w:t>0802</w:t>
            </w:r>
          </w:p>
        </w:tc>
      </w:tr>
      <w:tr w:rsidR="00EC492E" w:rsidRPr="00824D31" w14:paraId="2009EC27" w14:textId="77777777" w:rsidTr="009E18B2">
        <w:tc>
          <w:tcPr>
            <w:tcW w:w="7684" w:type="dxa"/>
            <w:hideMark/>
          </w:tcPr>
          <w:p w14:paraId="4262711E" w14:textId="77777777" w:rsidR="00EC492E" w:rsidRPr="00824D31" w:rsidRDefault="00EC492E" w:rsidP="00EC492E">
            <w:r w:rsidRPr="00824D31">
              <w:t>Зоопарк (вольеры, строения для содержания животных)</w:t>
            </w:r>
          </w:p>
        </w:tc>
        <w:tc>
          <w:tcPr>
            <w:tcW w:w="1559" w:type="dxa"/>
            <w:hideMark/>
          </w:tcPr>
          <w:p w14:paraId="559A6B0E" w14:textId="77777777" w:rsidR="00EC492E" w:rsidRPr="00824D31" w:rsidRDefault="00EC492E" w:rsidP="00EC492E">
            <w:r w:rsidRPr="00824D31">
              <w:t>0803</w:t>
            </w:r>
          </w:p>
        </w:tc>
      </w:tr>
      <w:tr w:rsidR="00EC492E" w:rsidRPr="00824D31" w14:paraId="470C2432" w14:textId="77777777" w:rsidTr="009E18B2">
        <w:tc>
          <w:tcPr>
            <w:tcW w:w="7684" w:type="dxa"/>
            <w:hideMark/>
          </w:tcPr>
          <w:p w14:paraId="37B55582" w14:textId="77777777" w:rsidR="00EC492E" w:rsidRPr="00824D31" w:rsidRDefault="00EC492E" w:rsidP="00EC492E">
            <w:r w:rsidRPr="00824D31">
              <w:t>Музеи</w:t>
            </w:r>
          </w:p>
        </w:tc>
        <w:tc>
          <w:tcPr>
            <w:tcW w:w="1559" w:type="dxa"/>
            <w:hideMark/>
          </w:tcPr>
          <w:p w14:paraId="429E1EB0" w14:textId="77777777" w:rsidR="00EC492E" w:rsidRPr="00824D31" w:rsidRDefault="00EC492E" w:rsidP="00EC492E">
            <w:r w:rsidRPr="00824D31">
              <w:t>0804</w:t>
            </w:r>
          </w:p>
        </w:tc>
      </w:tr>
      <w:tr w:rsidR="00EC492E" w:rsidRPr="00824D31" w14:paraId="79D8CE72" w14:textId="77777777" w:rsidTr="009E18B2">
        <w:tc>
          <w:tcPr>
            <w:tcW w:w="7684" w:type="dxa"/>
            <w:hideMark/>
          </w:tcPr>
          <w:p w14:paraId="37D57F56" w14:textId="77777777" w:rsidR="00EC492E" w:rsidRPr="00824D31" w:rsidRDefault="00EC492E" w:rsidP="00EC492E">
            <w:r w:rsidRPr="00824D31">
              <w:t>Памятники архитектурные, монументы</w:t>
            </w:r>
          </w:p>
        </w:tc>
        <w:tc>
          <w:tcPr>
            <w:tcW w:w="1559" w:type="dxa"/>
            <w:hideMark/>
          </w:tcPr>
          <w:p w14:paraId="1482D2AC" w14:textId="77777777" w:rsidR="00EC492E" w:rsidRPr="00824D31" w:rsidRDefault="00EC492E" w:rsidP="00EC492E">
            <w:r w:rsidRPr="00824D31">
              <w:t>0805</w:t>
            </w:r>
          </w:p>
        </w:tc>
      </w:tr>
      <w:tr w:rsidR="00EC492E" w:rsidRPr="00824D31" w14:paraId="6A04DB88" w14:textId="77777777" w:rsidTr="009E18B2">
        <w:tc>
          <w:tcPr>
            <w:tcW w:w="7684" w:type="dxa"/>
            <w:hideMark/>
          </w:tcPr>
          <w:p w14:paraId="0D74F3F0" w14:textId="77777777" w:rsidR="00EC492E" w:rsidRPr="00824D31" w:rsidRDefault="00EC492E" w:rsidP="00EC492E">
            <w:r w:rsidRPr="00824D31">
              <w:t>Спортивные комплексы</w:t>
            </w:r>
          </w:p>
        </w:tc>
        <w:tc>
          <w:tcPr>
            <w:tcW w:w="1559" w:type="dxa"/>
            <w:hideMark/>
          </w:tcPr>
          <w:p w14:paraId="5ABEEFDD" w14:textId="77777777" w:rsidR="00EC492E" w:rsidRPr="00824D31" w:rsidRDefault="00EC492E" w:rsidP="00EC492E">
            <w:r w:rsidRPr="00824D31">
              <w:t>0806</w:t>
            </w:r>
          </w:p>
        </w:tc>
      </w:tr>
      <w:tr w:rsidR="00EC492E" w:rsidRPr="00824D31" w14:paraId="649ECFA1" w14:textId="77777777" w:rsidTr="009E18B2">
        <w:tc>
          <w:tcPr>
            <w:tcW w:w="7684" w:type="dxa"/>
            <w:hideMark/>
          </w:tcPr>
          <w:p w14:paraId="5766DFF9" w14:textId="77777777" w:rsidR="00EC492E" w:rsidRPr="00824D31" w:rsidRDefault="00EC492E" w:rsidP="00EC492E">
            <w:r w:rsidRPr="00824D31">
              <w:t>Спортивные залы и корпуса, спортивные клубы</w:t>
            </w:r>
          </w:p>
        </w:tc>
        <w:tc>
          <w:tcPr>
            <w:tcW w:w="1559" w:type="dxa"/>
            <w:hideMark/>
          </w:tcPr>
          <w:p w14:paraId="20AB3F0E" w14:textId="77777777" w:rsidR="00EC492E" w:rsidRPr="00824D31" w:rsidRDefault="00EC492E" w:rsidP="00EC492E">
            <w:r w:rsidRPr="00824D31">
              <w:t>0807</w:t>
            </w:r>
          </w:p>
        </w:tc>
      </w:tr>
      <w:tr w:rsidR="00EC492E" w:rsidRPr="00824D31" w14:paraId="3DB54032" w14:textId="77777777" w:rsidTr="009E18B2">
        <w:tc>
          <w:tcPr>
            <w:tcW w:w="7684" w:type="dxa"/>
            <w:hideMark/>
          </w:tcPr>
          <w:p w14:paraId="3B9041A2" w14:textId="77777777" w:rsidR="00EC492E" w:rsidRPr="00824D31" w:rsidRDefault="00EC492E" w:rsidP="00EC492E">
            <w:r w:rsidRPr="00824D31">
              <w:t>Стадионы, трибуны</w:t>
            </w:r>
          </w:p>
        </w:tc>
        <w:tc>
          <w:tcPr>
            <w:tcW w:w="1559" w:type="dxa"/>
            <w:hideMark/>
          </w:tcPr>
          <w:p w14:paraId="2832BE24" w14:textId="77777777" w:rsidR="00EC492E" w:rsidRPr="00824D31" w:rsidRDefault="00EC492E" w:rsidP="00EC492E">
            <w:r w:rsidRPr="00824D31">
              <w:t>0808</w:t>
            </w:r>
          </w:p>
        </w:tc>
      </w:tr>
      <w:tr w:rsidR="00EC492E" w:rsidRPr="00824D31" w14:paraId="2A786F91" w14:textId="77777777" w:rsidTr="009E18B2">
        <w:tc>
          <w:tcPr>
            <w:tcW w:w="7684" w:type="dxa"/>
            <w:hideMark/>
          </w:tcPr>
          <w:p w14:paraId="6D6CA530" w14:textId="77777777" w:rsidR="00EC492E" w:rsidRPr="00824D31" w:rsidRDefault="00EC492E" w:rsidP="00EC492E">
            <w:r w:rsidRPr="00824D31">
              <w:t>Теннисные корты</w:t>
            </w:r>
          </w:p>
        </w:tc>
        <w:tc>
          <w:tcPr>
            <w:tcW w:w="1559" w:type="dxa"/>
            <w:hideMark/>
          </w:tcPr>
          <w:p w14:paraId="7C0A1945" w14:textId="77777777" w:rsidR="00EC492E" w:rsidRPr="00824D31" w:rsidRDefault="00EC492E" w:rsidP="00EC492E">
            <w:r w:rsidRPr="00824D31">
              <w:t>0809</w:t>
            </w:r>
          </w:p>
        </w:tc>
      </w:tr>
      <w:tr w:rsidR="00EC492E" w:rsidRPr="00824D31" w14:paraId="376073C3" w14:textId="77777777" w:rsidTr="009E18B2">
        <w:tc>
          <w:tcPr>
            <w:tcW w:w="7684" w:type="dxa"/>
            <w:hideMark/>
          </w:tcPr>
          <w:p w14:paraId="695CDF1F" w14:textId="77777777" w:rsidR="00EC492E" w:rsidRPr="00824D31" w:rsidRDefault="00EC492E" w:rsidP="00EC492E">
            <w:r w:rsidRPr="00824D31">
              <w:t>Тиры</w:t>
            </w:r>
          </w:p>
        </w:tc>
        <w:tc>
          <w:tcPr>
            <w:tcW w:w="1559" w:type="dxa"/>
            <w:hideMark/>
          </w:tcPr>
          <w:p w14:paraId="2AE8931C" w14:textId="77777777" w:rsidR="00EC492E" w:rsidRPr="00824D31" w:rsidRDefault="00EC492E" w:rsidP="00EC492E">
            <w:r w:rsidRPr="00824D31">
              <w:t>0810</w:t>
            </w:r>
          </w:p>
        </w:tc>
      </w:tr>
      <w:tr w:rsidR="00EC492E" w:rsidRPr="00824D31" w14:paraId="555DF4AF" w14:textId="77777777" w:rsidTr="009E18B2">
        <w:tc>
          <w:tcPr>
            <w:tcW w:w="7684" w:type="dxa"/>
            <w:hideMark/>
          </w:tcPr>
          <w:p w14:paraId="0A45CA79" w14:textId="77777777" w:rsidR="00EC492E" w:rsidRPr="00824D31" w:rsidRDefault="00EC492E" w:rsidP="00EC492E">
            <w:r w:rsidRPr="00824D31">
              <w:t>Фитнес - центры</w:t>
            </w:r>
          </w:p>
        </w:tc>
        <w:tc>
          <w:tcPr>
            <w:tcW w:w="1559" w:type="dxa"/>
            <w:hideMark/>
          </w:tcPr>
          <w:p w14:paraId="32753423" w14:textId="77777777" w:rsidR="00EC492E" w:rsidRPr="00824D31" w:rsidRDefault="00EC492E" w:rsidP="00EC492E">
            <w:r w:rsidRPr="00824D31">
              <w:t>0811</w:t>
            </w:r>
          </w:p>
        </w:tc>
      </w:tr>
      <w:tr w:rsidR="00EC492E" w:rsidRPr="00824D31" w14:paraId="650F3515" w14:textId="77777777" w:rsidTr="009E18B2">
        <w:tc>
          <w:tcPr>
            <w:tcW w:w="7684" w:type="dxa"/>
            <w:hideMark/>
          </w:tcPr>
          <w:p w14:paraId="1080D2D7" w14:textId="77777777" w:rsidR="00EC492E" w:rsidRPr="00824D31" w:rsidRDefault="00EC492E" w:rsidP="00EC492E">
            <w:r w:rsidRPr="00824D31">
              <w:t>Крытые катки</w:t>
            </w:r>
          </w:p>
        </w:tc>
        <w:tc>
          <w:tcPr>
            <w:tcW w:w="1559" w:type="dxa"/>
            <w:hideMark/>
          </w:tcPr>
          <w:p w14:paraId="39253FD9" w14:textId="77777777" w:rsidR="00EC492E" w:rsidRPr="00824D31" w:rsidRDefault="00EC492E" w:rsidP="00EC492E">
            <w:r w:rsidRPr="00824D31">
              <w:t>0812</w:t>
            </w:r>
          </w:p>
        </w:tc>
      </w:tr>
      <w:tr w:rsidR="00EC492E" w:rsidRPr="00824D31" w14:paraId="417741E5" w14:textId="77777777" w:rsidTr="009E18B2">
        <w:tc>
          <w:tcPr>
            <w:tcW w:w="7684" w:type="dxa"/>
            <w:hideMark/>
          </w:tcPr>
          <w:p w14:paraId="13744AE3" w14:textId="77777777" w:rsidR="00EC492E" w:rsidRPr="00824D31" w:rsidRDefault="00EC492E" w:rsidP="00EC492E">
            <w:r w:rsidRPr="00824D31">
              <w:t>Бассейны для плавания</w:t>
            </w:r>
          </w:p>
        </w:tc>
        <w:tc>
          <w:tcPr>
            <w:tcW w:w="1559" w:type="dxa"/>
            <w:hideMark/>
          </w:tcPr>
          <w:p w14:paraId="6F699B49" w14:textId="77777777" w:rsidR="00EC492E" w:rsidRPr="00824D31" w:rsidRDefault="00EC492E" w:rsidP="00EC492E">
            <w:r w:rsidRPr="00824D31">
              <w:t>0813</w:t>
            </w:r>
          </w:p>
        </w:tc>
      </w:tr>
      <w:tr w:rsidR="00EC492E" w:rsidRPr="00824D31" w14:paraId="586A1818" w14:textId="77777777" w:rsidTr="009E18B2">
        <w:tc>
          <w:tcPr>
            <w:tcW w:w="7684" w:type="dxa"/>
            <w:hideMark/>
          </w:tcPr>
          <w:p w14:paraId="1727CA22" w14:textId="77777777" w:rsidR="00EC492E" w:rsidRPr="00824D31" w:rsidRDefault="00EC492E" w:rsidP="00EC492E">
            <w:r w:rsidRPr="00824D31">
              <w:t>Яхт - клубы</w:t>
            </w:r>
          </w:p>
        </w:tc>
        <w:tc>
          <w:tcPr>
            <w:tcW w:w="1559" w:type="dxa"/>
            <w:hideMark/>
          </w:tcPr>
          <w:p w14:paraId="6C8228F4" w14:textId="77777777" w:rsidR="00EC492E" w:rsidRPr="00824D31" w:rsidRDefault="00EC492E" w:rsidP="00EC492E">
            <w:r w:rsidRPr="00824D31">
              <w:t>0814</w:t>
            </w:r>
          </w:p>
        </w:tc>
      </w:tr>
      <w:tr w:rsidR="00EC492E" w:rsidRPr="00824D31" w14:paraId="5AFBBFAE" w14:textId="77777777" w:rsidTr="009E18B2">
        <w:tc>
          <w:tcPr>
            <w:tcW w:w="7684" w:type="dxa"/>
            <w:hideMark/>
          </w:tcPr>
          <w:p w14:paraId="792B2981" w14:textId="77777777" w:rsidR="00EC492E" w:rsidRPr="00824D31" w:rsidRDefault="00EC492E" w:rsidP="00EC492E">
            <w:r w:rsidRPr="00824D31">
              <w:t>Архивы, книгохранилища и фондохранилища, библиотеки</w:t>
            </w:r>
          </w:p>
        </w:tc>
        <w:tc>
          <w:tcPr>
            <w:tcW w:w="1559" w:type="dxa"/>
            <w:hideMark/>
          </w:tcPr>
          <w:p w14:paraId="07E4436F" w14:textId="77777777" w:rsidR="00EC492E" w:rsidRPr="00824D31" w:rsidRDefault="00EC492E" w:rsidP="00EC492E">
            <w:r w:rsidRPr="00824D31">
              <w:t>0815</w:t>
            </w:r>
          </w:p>
        </w:tc>
      </w:tr>
      <w:tr w:rsidR="00EC492E" w:rsidRPr="00824D31" w14:paraId="042DB6B5" w14:textId="77777777" w:rsidTr="009E18B2">
        <w:tc>
          <w:tcPr>
            <w:tcW w:w="7684" w:type="dxa"/>
            <w:hideMark/>
          </w:tcPr>
          <w:p w14:paraId="06F5658F" w14:textId="77777777" w:rsidR="00EC492E" w:rsidRPr="00824D31" w:rsidRDefault="00EC492E" w:rsidP="00EC492E">
            <w:r w:rsidRPr="00824D31">
              <w:t>Костелы, лавры, мечети, молебные дома, монастыри, синагоги, соборы, храмы, церкви, часовни</w:t>
            </w:r>
          </w:p>
        </w:tc>
        <w:tc>
          <w:tcPr>
            <w:tcW w:w="1559" w:type="dxa"/>
            <w:hideMark/>
          </w:tcPr>
          <w:p w14:paraId="0F45CF48" w14:textId="77777777" w:rsidR="00EC492E" w:rsidRPr="00824D31" w:rsidRDefault="00EC492E" w:rsidP="00EC492E">
            <w:r w:rsidRPr="00824D31">
              <w:t>0816</w:t>
            </w:r>
          </w:p>
        </w:tc>
      </w:tr>
      <w:tr w:rsidR="00EC492E" w:rsidRPr="00824D31" w14:paraId="55BB9F30" w14:textId="77777777" w:rsidTr="009E18B2">
        <w:tc>
          <w:tcPr>
            <w:tcW w:w="7684" w:type="dxa"/>
            <w:hideMark/>
          </w:tcPr>
          <w:p w14:paraId="68C6DE0C" w14:textId="77777777" w:rsidR="00EC492E" w:rsidRPr="00824D31" w:rsidRDefault="00EC492E" w:rsidP="00EC492E">
            <w:r w:rsidRPr="00824D31">
              <w:t>Оранжереи (не относящиеся к сельскохозяйственному производству)</w:t>
            </w:r>
          </w:p>
        </w:tc>
        <w:tc>
          <w:tcPr>
            <w:tcW w:w="1559" w:type="dxa"/>
            <w:hideMark/>
          </w:tcPr>
          <w:p w14:paraId="30415737" w14:textId="77777777" w:rsidR="00EC492E" w:rsidRPr="00824D31" w:rsidRDefault="00EC492E" w:rsidP="00EC492E">
            <w:r w:rsidRPr="00824D31">
              <w:t>0817</w:t>
            </w:r>
          </w:p>
        </w:tc>
      </w:tr>
      <w:tr w:rsidR="00EC492E" w:rsidRPr="00824D31" w14:paraId="0187B495" w14:textId="77777777" w:rsidTr="009E18B2">
        <w:tc>
          <w:tcPr>
            <w:tcW w:w="7684" w:type="dxa"/>
            <w:hideMark/>
          </w:tcPr>
          <w:p w14:paraId="19D6D5D9" w14:textId="77777777" w:rsidR="00EC492E" w:rsidRPr="00824D31" w:rsidRDefault="00EC492E" w:rsidP="00EC492E">
            <w:r w:rsidRPr="00824D31">
              <w:t>Кинотеатры</w:t>
            </w:r>
          </w:p>
        </w:tc>
        <w:tc>
          <w:tcPr>
            <w:tcW w:w="1559" w:type="dxa"/>
            <w:hideMark/>
          </w:tcPr>
          <w:p w14:paraId="61D69E67" w14:textId="77777777" w:rsidR="00EC492E" w:rsidRPr="00824D31" w:rsidRDefault="00EC492E" w:rsidP="00EC492E">
            <w:r w:rsidRPr="00824D31">
              <w:t>0818</w:t>
            </w:r>
          </w:p>
        </w:tc>
      </w:tr>
      <w:tr w:rsidR="00EC492E" w:rsidRPr="00824D31" w14:paraId="544F81C0" w14:textId="77777777" w:rsidTr="009E18B2">
        <w:tc>
          <w:tcPr>
            <w:tcW w:w="7684" w:type="dxa"/>
            <w:hideMark/>
          </w:tcPr>
          <w:p w14:paraId="4E275F77" w14:textId="77777777" w:rsidR="00EC492E" w:rsidRPr="00824D31" w:rsidRDefault="00EC492E" w:rsidP="00EC492E">
            <w:r w:rsidRPr="00824D31">
              <w:t>Киностудии</w:t>
            </w:r>
          </w:p>
        </w:tc>
        <w:tc>
          <w:tcPr>
            <w:tcW w:w="1559" w:type="dxa"/>
            <w:hideMark/>
          </w:tcPr>
          <w:p w14:paraId="57863FEE" w14:textId="77777777" w:rsidR="00EC492E" w:rsidRPr="00824D31" w:rsidRDefault="00EC492E" w:rsidP="00EC492E">
            <w:r w:rsidRPr="00824D31">
              <w:t>0819</w:t>
            </w:r>
          </w:p>
        </w:tc>
      </w:tr>
      <w:tr w:rsidR="00EC492E" w:rsidRPr="00824D31" w14:paraId="511FFFAE" w14:textId="77777777" w:rsidTr="009E18B2">
        <w:tc>
          <w:tcPr>
            <w:tcW w:w="7684" w:type="dxa"/>
            <w:hideMark/>
          </w:tcPr>
          <w:p w14:paraId="093178FF" w14:textId="77777777" w:rsidR="00EC492E" w:rsidRPr="00824D31" w:rsidRDefault="00EC492E" w:rsidP="00EC492E">
            <w:r w:rsidRPr="00824D31">
              <w:t>Выставочные залы, дворцы культуры, дома культуры, консерватории, концертные залы, культурно - досуговые центры, мюзик - холлы, планетарии, театры, художественные галереи, цирки</w:t>
            </w:r>
          </w:p>
        </w:tc>
        <w:tc>
          <w:tcPr>
            <w:tcW w:w="1559" w:type="dxa"/>
            <w:hideMark/>
          </w:tcPr>
          <w:p w14:paraId="49FB84BC" w14:textId="77777777" w:rsidR="00EC492E" w:rsidRPr="00824D31" w:rsidRDefault="00EC492E" w:rsidP="00EC492E">
            <w:r w:rsidRPr="00824D31">
              <w:t>0820</w:t>
            </w:r>
          </w:p>
        </w:tc>
      </w:tr>
      <w:tr w:rsidR="00EC492E" w:rsidRPr="00824D31" w14:paraId="2A20A54A" w14:textId="77777777" w:rsidTr="009E18B2">
        <w:tc>
          <w:tcPr>
            <w:tcW w:w="7684" w:type="dxa"/>
            <w:hideMark/>
          </w:tcPr>
          <w:p w14:paraId="53A098D1" w14:textId="77777777" w:rsidR="00EC492E" w:rsidRPr="00824D31" w:rsidRDefault="00EC492E" w:rsidP="00EC492E">
            <w:r w:rsidRPr="00824D31">
              <w:t>Детские сады, ясли, ясли - сады</w:t>
            </w:r>
          </w:p>
        </w:tc>
        <w:tc>
          <w:tcPr>
            <w:tcW w:w="1559" w:type="dxa"/>
            <w:hideMark/>
          </w:tcPr>
          <w:p w14:paraId="53136543" w14:textId="77777777" w:rsidR="00EC492E" w:rsidRPr="00824D31" w:rsidRDefault="00EC492E" w:rsidP="00EC492E">
            <w:r w:rsidRPr="00824D31">
              <w:t>0821</w:t>
            </w:r>
          </w:p>
        </w:tc>
      </w:tr>
      <w:tr w:rsidR="00EC492E" w:rsidRPr="00824D31" w14:paraId="7F5D7117" w14:textId="77777777" w:rsidTr="009E18B2">
        <w:tc>
          <w:tcPr>
            <w:tcW w:w="7684" w:type="dxa"/>
            <w:hideMark/>
          </w:tcPr>
          <w:p w14:paraId="4171DB94" w14:textId="77777777" w:rsidR="00EC492E" w:rsidRPr="00824D31" w:rsidRDefault="00EC492E" w:rsidP="00EC492E">
            <w:r w:rsidRPr="00824D31">
              <w:t>Гимназии, дома и дворцы пионеров, дома юного творчества, изостудии, клубы, лицеи, музыкальные школы, церковные школы, школы, спальные корпуса школ - интернатов</w:t>
            </w:r>
          </w:p>
        </w:tc>
        <w:tc>
          <w:tcPr>
            <w:tcW w:w="1559" w:type="dxa"/>
            <w:hideMark/>
          </w:tcPr>
          <w:p w14:paraId="4801927C" w14:textId="77777777" w:rsidR="00EC492E" w:rsidRPr="00824D31" w:rsidRDefault="00EC492E" w:rsidP="00EC492E">
            <w:r w:rsidRPr="00824D31">
              <w:t>0822</w:t>
            </w:r>
          </w:p>
        </w:tc>
      </w:tr>
      <w:tr w:rsidR="00EC492E" w:rsidRPr="00824D31" w14:paraId="49901AB0" w14:textId="77777777" w:rsidTr="009E18B2">
        <w:tc>
          <w:tcPr>
            <w:tcW w:w="7684" w:type="dxa"/>
            <w:hideMark/>
          </w:tcPr>
          <w:p w14:paraId="3EC87B96" w14:textId="77777777" w:rsidR="00EC492E" w:rsidRPr="00824D31" w:rsidRDefault="00EC492E" w:rsidP="00EC492E">
            <w:r w:rsidRPr="00824D31">
              <w:t>Колледжи, училища профессионально - технические и ремесленные, техникумы, училища</w:t>
            </w:r>
          </w:p>
        </w:tc>
        <w:tc>
          <w:tcPr>
            <w:tcW w:w="1559" w:type="dxa"/>
            <w:hideMark/>
          </w:tcPr>
          <w:p w14:paraId="2C3A09A0" w14:textId="77777777" w:rsidR="00EC492E" w:rsidRPr="00824D31" w:rsidRDefault="00EC492E" w:rsidP="00EC492E">
            <w:r w:rsidRPr="00824D31">
              <w:t>0823</w:t>
            </w:r>
          </w:p>
        </w:tc>
      </w:tr>
      <w:tr w:rsidR="00EC492E" w:rsidRPr="00824D31" w14:paraId="4CEEE516" w14:textId="77777777" w:rsidTr="009E18B2">
        <w:tc>
          <w:tcPr>
            <w:tcW w:w="7684" w:type="dxa"/>
            <w:hideMark/>
          </w:tcPr>
          <w:p w14:paraId="385CAA6E" w14:textId="77777777" w:rsidR="00EC492E" w:rsidRPr="00824D31" w:rsidRDefault="00EC492E" w:rsidP="00EC492E">
            <w:r w:rsidRPr="00824D31">
              <w:t>Академии, институты образовательные, подготовительные отделения высших учебных заведений, университеты</w:t>
            </w:r>
          </w:p>
        </w:tc>
        <w:tc>
          <w:tcPr>
            <w:tcW w:w="1559" w:type="dxa"/>
            <w:hideMark/>
          </w:tcPr>
          <w:p w14:paraId="5603054B" w14:textId="77777777" w:rsidR="00EC492E" w:rsidRPr="00824D31" w:rsidRDefault="00EC492E" w:rsidP="00EC492E">
            <w:r w:rsidRPr="00824D31">
              <w:t>0824</w:t>
            </w:r>
          </w:p>
        </w:tc>
      </w:tr>
      <w:tr w:rsidR="00EC492E" w:rsidRPr="00824D31" w14:paraId="4A5E6BEB" w14:textId="77777777" w:rsidTr="009E18B2">
        <w:tc>
          <w:tcPr>
            <w:tcW w:w="7684" w:type="dxa"/>
            <w:hideMark/>
          </w:tcPr>
          <w:p w14:paraId="03D76AD7" w14:textId="77777777" w:rsidR="00EC492E" w:rsidRPr="00824D31" w:rsidRDefault="00EC492E" w:rsidP="00EC492E">
            <w:r w:rsidRPr="00824D31">
              <w:t>Больницы, поликлиники, станции медицинской скорой помощи, фельдшерские медицинские пункты</w:t>
            </w:r>
          </w:p>
        </w:tc>
        <w:tc>
          <w:tcPr>
            <w:tcW w:w="1559" w:type="dxa"/>
            <w:hideMark/>
          </w:tcPr>
          <w:p w14:paraId="7A2A7884" w14:textId="77777777" w:rsidR="00EC492E" w:rsidRPr="00824D31" w:rsidRDefault="00EC492E" w:rsidP="00EC492E">
            <w:r w:rsidRPr="00824D31">
              <w:t>0825</w:t>
            </w:r>
          </w:p>
        </w:tc>
      </w:tr>
      <w:tr w:rsidR="00EC492E" w:rsidRPr="00824D31" w14:paraId="2BE98C38" w14:textId="77777777" w:rsidTr="009E18B2">
        <w:tc>
          <w:tcPr>
            <w:tcW w:w="7684" w:type="dxa"/>
            <w:hideMark/>
          </w:tcPr>
          <w:p w14:paraId="235EFBE7" w14:textId="77777777" w:rsidR="00EC492E" w:rsidRPr="00824D31" w:rsidRDefault="00EC492E" w:rsidP="00EC492E">
            <w:r w:rsidRPr="00824D31">
              <w:t>Крематории</w:t>
            </w:r>
          </w:p>
        </w:tc>
        <w:tc>
          <w:tcPr>
            <w:tcW w:w="1559" w:type="dxa"/>
            <w:hideMark/>
          </w:tcPr>
          <w:p w14:paraId="0DF2851E" w14:textId="77777777" w:rsidR="00EC492E" w:rsidRPr="00824D31" w:rsidRDefault="00EC492E" w:rsidP="00EC492E">
            <w:r w:rsidRPr="00824D31">
              <w:t>0826</w:t>
            </w:r>
          </w:p>
        </w:tc>
      </w:tr>
      <w:tr w:rsidR="00EC492E" w:rsidRPr="00824D31" w14:paraId="6DACC466" w14:textId="77777777" w:rsidTr="009E18B2">
        <w:tc>
          <w:tcPr>
            <w:tcW w:w="7684" w:type="dxa"/>
            <w:hideMark/>
          </w:tcPr>
          <w:p w14:paraId="39B4FC49" w14:textId="77777777" w:rsidR="00EC492E" w:rsidRPr="00824D31" w:rsidRDefault="00EC492E" w:rsidP="00EC492E">
            <w:r w:rsidRPr="00824D31">
              <w:t>Комплексы аттракционов отдельно стоящие</w:t>
            </w:r>
          </w:p>
        </w:tc>
        <w:tc>
          <w:tcPr>
            <w:tcW w:w="1559" w:type="dxa"/>
            <w:hideMark/>
          </w:tcPr>
          <w:p w14:paraId="6F3F6258" w14:textId="77777777" w:rsidR="00EC492E" w:rsidRPr="00824D31" w:rsidRDefault="00EC492E" w:rsidP="00EC492E">
            <w:r w:rsidRPr="00824D31">
              <w:t>0827</w:t>
            </w:r>
          </w:p>
        </w:tc>
      </w:tr>
      <w:tr w:rsidR="00EC492E" w:rsidRPr="00824D31" w14:paraId="095F2281" w14:textId="77777777" w:rsidTr="009E18B2">
        <w:tc>
          <w:tcPr>
            <w:tcW w:w="7684" w:type="dxa"/>
            <w:hideMark/>
          </w:tcPr>
          <w:p w14:paraId="17F775C4" w14:textId="77777777" w:rsidR="00EC492E" w:rsidRPr="00824D31" w:rsidRDefault="00EC492E" w:rsidP="00EC492E">
            <w:r w:rsidRPr="00824D31">
              <w:t>Аквапарки</w:t>
            </w:r>
          </w:p>
        </w:tc>
        <w:tc>
          <w:tcPr>
            <w:tcW w:w="1559" w:type="dxa"/>
            <w:hideMark/>
          </w:tcPr>
          <w:p w14:paraId="0B6DABA9" w14:textId="77777777" w:rsidR="00EC492E" w:rsidRPr="00824D31" w:rsidRDefault="00EC492E" w:rsidP="00EC492E">
            <w:r w:rsidRPr="00824D31">
              <w:t>0828</w:t>
            </w:r>
          </w:p>
        </w:tc>
      </w:tr>
      <w:tr w:rsidR="00EC492E" w:rsidRPr="00824D31" w14:paraId="710217D4" w14:textId="77777777" w:rsidTr="009E18B2">
        <w:tc>
          <w:tcPr>
            <w:tcW w:w="7684" w:type="dxa"/>
            <w:hideMark/>
          </w:tcPr>
          <w:p w14:paraId="21BB5381" w14:textId="77777777" w:rsidR="00EC492E" w:rsidRPr="00824D31" w:rsidRDefault="00EC492E" w:rsidP="00EC492E">
            <w:r w:rsidRPr="00824D31">
              <w:t>Объекты бытового обслуживания населения, ателье, парикмахерские, прачечные, пункты проката, молочные кухни</w:t>
            </w:r>
          </w:p>
        </w:tc>
        <w:tc>
          <w:tcPr>
            <w:tcW w:w="1559" w:type="dxa"/>
            <w:hideMark/>
          </w:tcPr>
          <w:p w14:paraId="2A7F4EE3" w14:textId="77777777" w:rsidR="00EC492E" w:rsidRPr="00824D31" w:rsidRDefault="00EC492E" w:rsidP="00EC492E">
            <w:r w:rsidRPr="00824D31">
              <w:t>0829</w:t>
            </w:r>
          </w:p>
        </w:tc>
      </w:tr>
      <w:tr w:rsidR="00EC492E" w:rsidRPr="00824D31" w14:paraId="231DE3E4" w14:textId="77777777" w:rsidTr="009E18B2">
        <w:tc>
          <w:tcPr>
            <w:tcW w:w="7684" w:type="dxa"/>
            <w:hideMark/>
          </w:tcPr>
          <w:p w14:paraId="78591726" w14:textId="77777777" w:rsidR="00EC492E" w:rsidRPr="00824D31" w:rsidRDefault="00EC492E" w:rsidP="00EC492E">
            <w:r w:rsidRPr="00824D31">
              <w:t>Бани общественные от 150 кв. м, до 1000 кв. м (до 100 чел.), душевые и раздевалки, банные комплексы 1000 кв. м (на 100 чел.) и более</w:t>
            </w:r>
          </w:p>
        </w:tc>
        <w:tc>
          <w:tcPr>
            <w:tcW w:w="1559" w:type="dxa"/>
            <w:hideMark/>
          </w:tcPr>
          <w:p w14:paraId="0CDA05D1" w14:textId="77777777" w:rsidR="00EC492E" w:rsidRPr="00824D31" w:rsidRDefault="00EC492E" w:rsidP="00EC492E">
            <w:r w:rsidRPr="00824D31">
              <w:t>0830</w:t>
            </w:r>
          </w:p>
        </w:tc>
      </w:tr>
      <w:tr w:rsidR="00EC492E" w:rsidRPr="00824D31" w14:paraId="31D0481C" w14:textId="77777777" w:rsidTr="009E18B2">
        <w:tc>
          <w:tcPr>
            <w:tcW w:w="7684" w:type="dxa"/>
            <w:hideMark/>
          </w:tcPr>
          <w:p w14:paraId="4CBC67D0" w14:textId="77777777" w:rsidR="00EC492E" w:rsidRPr="00824D31" w:rsidRDefault="00EC492E" w:rsidP="00EC492E">
            <w:r w:rsidRPr="00824D31">
              <w:t>Туалеты общественные</w:t>
            </w:r>
          </w:p>
        </w:tc>
        <w:tc>
          <w:tcPr>
            <w:tcW w:w="1559" w:type="dxa"/>
            <w:hideMark/>
          </w:tcPr>
          <w:p w14:paraId="72E76310" w14:textId="77777777" w:rsidR="00EC492E" w:rsidRPr="00824D31" w:rsidRDefault="00EC492E" w:rsidP="00EC492E">
            <w:r w:rsidRPr="00824D31">
              <w:t>0831</w:t>
            </w:r>
          </w:p>
        </w:tc>
      </w:tr>
      <w:tr w:rsidR="00EC492E" w:rsidRPr="00824D31" w14:paraId="5A0AC41B" w14:textId="77777777" w:rsidTr="009E18B2">
        <w:tc>
          <w:tcPr>
            <w:tcW w:w="7684" w:type="dxa"/>
            <w:hideMark/>
          </w:tcPr>
          <w:p w14:paraId="1E6B3836" w14:textId="77777777" w:rsidR="00EC492E" w:rsidRPr="00824D31" w:rsidRDefault="00EC492E" w:rsidP="00EC492E">
            <w:r w:rsidRPr="00824D31">
              <w:t>Морги</w:t>
            </w:r>
          </w:p>
        </w:tc>
        <w:tc>
          <w:tcPr>
            <w:tcW w:w="1559" w:type="dxa"/>
            <w:hideMark/>
          </w:tcPr>
          <w:p w14:paraId="12582186" w14:textId="77777777" w:rsidR="00EC492E" w:rsidRPr="00824D31" w:rsidRDefault="00EC492E" w:rsidP="00EC492E">
            <w:r w:rsidRPr="00824D31">
              <w:t>0832</w:t>
            </w:r>
          </w:p>
        </w:tc>
      </w:tr>
      <w:tr w:rsidR="00EC492E" w:rsidRPr="00824D31" w14:paraId="3435F28B" w14:textId="77777777" w:rsidTr="009E18B2">
        <w:tc>
          <w:tcPr>
            <w:tcW w:w="7684" w:type="dxa"/>
            <w:hideMark/>
          </w:tcPr>
          <w:p w14:paraId="6A122303" w14:textId="77777777" w:rsidR="00EC492E" w:rsidRPr="00824D31" w:rsidRDefault="00EC492E" w:rsidP="00EC492E">
            <w:r w:rsidRPr="00824D31">
              <w:t>Интернаты</w:t>
            </w:r>
          </w:p>
        </w:tc>
        <w:tc>
          <w:tcPr>
            <w:tcW w:w="1559" w:type="dxa"/>
            <w:hideMark/>
          </w:tcPr>
          <w:p w14:paraId="54D616CF" w14:textId="77777777" w:rsidR="00EC492E" w:rsidRPr="00824D31" w:rsidRDefault="00EC492E" w:rsidP="00EC492E">
            <w:r w:rsidRPr="00824D31">
              <w:t>0833</w:t>
            </w:r>
          </w:p>
        </w:tc>
      </w:tr>
      <w:tr w:rsidR="00EC492E" w:rsidRPr="00824D31" w14:paraId="49B646FD" w14:textId="77777777" w:rsidTr="009E18B2">
        <w:tc>
          <w:tcPr>
            <w:tcW w:w="7684" w:type="dxa"/>
            <w:hideMark/>
          </w:tcPr>
          <w:p w14:paraId="14A69531" w14:textId="77777777" w:rsidR="00EC492E" w:rsidRPr="00824D31" w:rsidRDefault="00EC492E" w:rsidP="00EC492E">
            <w:r w:rsidRPr="00824D31">
              <w:t>Изоляторы</w:t>
            </w:r>
          </w:p>
        </w:tc>
        <w:tc>
          <w:tcPr>
            <w:tcW w:w="1559" w:type="dxa"/>
            <w:hideMark/>
          </w:tcPr>
          <w:p w14:paraId="55B63258" w14:textId="77777777" w:rsidR="00EC492E" w:rsidRPr="00824D31" w:rsidRDefault="00EC492E" w:rsidP="00EC492E">
            <w:r w:rsidRPr="00824D31">
              <w:t>0834</w:t>
            </w:r>
          </w:p>
        </w:tc>
      </w:tr>
      <w:tr w:rsidR="00EC492E" w:rsidRPr="00824D31" w14:paraId="53232AA0" w14:textId="77777777" w:rsidTr="009E18B2">
        <w:tc>
          <w:tcPr>
            <w:tcW w:w="7684" w:type="dxa"/>
            <w:hideMark/>
          </w:tcPr>
          <w:p w14:paraId="70CE3CC3" w14:textId="77777777" w:rsidR="00EC492E" w:rsidRPr="00824D31" w:rsidRDefault="00EC492E" w:rsidP="00EC492E">
            <w:r w:rsidRPr="00824D31">
              <w:t>Исправительные заведения</w:t>
            </w:r>
          </w:p>
        </w:tc>
        <w:tc>
          <w:tcPr>
            <w:tcW w:w="1559" w:type="dxa"/>
            <w:hideMark/>
          </w:tcPr>
          <w:p w14:paraId="32FDF169" w14:textId="77777777" w:rsidR="00EC492E" w:rsidRPr="00824D31" w:rsidRDefault="00EC492E" w:rsidP="00EC492E">
            <w:r w:rsidRPr="00824D31">
              <w:t>0835</w:t>
            </w:r>
          </w:p>
        </w:tc>
      </w:tr>
      <w:tr w:rsidR="00EC492E" w:rsidRPr="00824D31" w14:paraId="5F4DBF34" w14:textId="77777777" w:rsidTr="009E18B2">
        <w:tc>
          <w:tcPr>
            <w:tcW w:w="7684" w:type="dxa"/>
            <w:hideMark/>
          </w:tcPr>
          <w:p w14:paraId="07272208" w14:textId="77777777" w:rsidR="00EC492E" w:rsidRPr="00824D31" w:rsidRDefault="00EC492E" w:rsidP="00EC492E">
            <w:r w:rsidRPr="00824D31">
              <w:t>Казармы</w:t>
            </w:r>
          </w:p>
        </w:tc>
        <w:tc>
          <w:tcPr>
            <w:tcW w:w="1559" w:type="dxa"/>
            <w:hideMark/>
          </w:tcPr>
          <w:p w14:paraId="03514196" w14:textId="77777777" w:rsidR="00EC492E" w:rsidRPr="00824D31" w:rsidRDefault="00EC492E" w:rsidP="00EC492E">
            <w:r w:rsidRPr="00824D31">
              <w:t>0836</w:t>
            </w:r>
          </w:p>
        </w:tc>
      </w:tr>
      <w:tr w:rsidR="00EC492E" w:rsidRPr="00824D31" w14:paraId="61513AE8" w14:textId="77777777" w:rsidTr="009E18B2">
        <w:tc>
          <w:tcPr>
            <w:tcW w:w="7684" w:type="dxa"/>
            <w:hideMark/>
          </w:tcPr>
          <w:p w14:paraId="44AD1212" w14:textId="77777777" w:rsidR="00EC492E" w:rsidRPr="00824D31" w:rsidRDefault="00EC492E" w:rsidP="00EC492E">
            <w:r w:rsidRPr="00824D31">
              <w:t>Государственные научные центры</w:t>
            </w:r>
          </w:p>
        </w:tc>
        <w:tc>
          <w:tcPr>
            <w:tcW w:w="1559" w:type="dxa"/>
            <w:hideMark/>
          </w:tcPr>
          <w:p w14:paraId="3E9B27C3" w14:textId="77777777" w:rsidR="00EC492E" w:rsidRPr="00824D31" w:rsidRDefault="00EC492E" w:rsidP="00EC492E">
            <w:r w:rsidRPr="00824D31">
              <w:t>0837</w:t>
            </w:r>
          </w:p>
        </w:tc>
      </w:tr>
      <w:tr w:rsidR="00EC492E" w:rsidRPr="00824D31" w14:paraId="3955C87F" w14:textId="77777777" w:rsidTr="009E18B2">
        <w:tc>
          <w:tcPr>
            <w:tcW w:w="7684" w:type="dxa"/>
            <w:hideMark/>
          </w:tcPr>
          <w:p w14:paraId="044DB2AC" w14:textId="77777777" w:rsidR="00EC492E" w:rsidRPr="00824D31" w:rsidRDefault="00EC492E" w:rsidP="00EC492E">
            <w:r w:rsidRPr="00824D31">
              <w:t>Проектные институты, конструкторские бюро</w:t>
            </w:r>
          </w:p>
        </w:tc>
        <w:tc>
          <w:tcPr>
            <w:tcW w:w="1559" w:type="dxa"/>
            <w:hideMark/>
          </w:tcPr>
          <w:p w14:paraId="33CC228A" w14:textId="77777777" w:rsidR="00EC492E" w:rsidRPr="00824D31" w:rsidRDefault="00EC492E" w:rsidP="00EC492E">
            <w:r w:rsidRPr="00824D31">
              <w:t>0838</w:t>
            </w:r>
          </w:p>
        </w:tc>
      </w:tr>
      <w:tr w:rsidR="00EC492E" w:rsidRPr="00824D31" w14:paraId="1845A887" w14:textId="77777777" w:rsidTr="009E18B2">
        <w:tc>
          <w:tcPr>
            <w:tcW w:w="7684" w:type="dxa"/>
            <w:hideMark/>
          </w:tcPr>
          <w:p w14:paraId="2AF98B1A" w14:textId="77777777" w:rsidR="00EC492E" w:rsidRPr="00824D31" w:rsidRDefault="00EC492E" w:rsidP="00EC492E">
            <w:r w:rsidRPr="00824D31">
              <w:t>Научно - исследовательские институты</w:t>
            </w:r>
          </w:p>
        </w:tc>
        <w:tc>
          <w:tcPr>
            <w:tcW w:w="1559" w:type="dxa"/>
            <w:hideMark/>
          </w:tcPr>
          <w:p w14:paraId="425A2B8D" w14:textId="77777777" w:rsidR="00EC492E" w:rsidRPr="00824D31" w:rsidRDefault="00EC492E" w:rsidP="00EC492E">
            <w:r w:rsidRPr="00824D31">
              <w:t>0839</w:t>
            </w:r>
          </w:p>
        </w:tc>
      </w:tr>
      <w:tr w:rsidR="00EC492E" w:rsidRPr="00824D31" w14:paraId="679E350B" w14:textId="77777777" w:rsidTr="009E18B2">
        <w:tc>
          <w:tcPr>
            <w:tcW w:w="7684" w:type="dxa"/>
            <w:hideMark/>
          </w:tcPr>
          <w:p w14:paraId="435EF086" w14:textId="77777777" w:rsidR="00EC492E" w:rsidRPr="00824D31" w:rsidRDefault="00EC492E" w:rsidP="00EC492E">
            <w:r w:rsidRPr="00824D31">
              <w:t>Обсерватории</w:t>
            </w:r>
          </w:p>
        </w:tc>
        <w:tc>
          <w:tcPr>
            <w:tcW w:w="1559" w:type="dxa"/>
            <w:hideMark/>
          </w:tcPr>
          <w:p w14:paraId="2C3E2856" w14:textId="77777777" w:rsidR="00EC492E" w:rsidRPr="00824D31" w:rsidRDefault="00EC492E" w:rsidP="00EC492E">
            <w:r w:rsidRPr="00824D31">
              <w:t>0840</w:t>
            </w:r>
          </w:p>
        </w:tc>
      </w:tr>
      <w:tr w:rsidR="00EC492E" w:rsidRPr="00824D31" w14:paraId="2CC0F19F" w14:textId="77777777" w:rsidTr="009E18B2">
        <w:tc>
          <w:tcPr>
            <w:tcW w:w="7684" w:type="dxa"/>
            <w:hideMark/>
          </w:tcPr>
          <w:p w14:paraId="3B65E3FA" w14:textId="77777777" w:rsidR="00EC492E" w:rsidRPr="00824D31" w:rsidRDefault="00EC492E" w:rsidP="00EC492E">
            <w:r w:rsidRPr="00824D31">
              <w:t>Административные здания государственных учреждений управления, включая здания администраций, министерств, судов, прокуратуры</w:t>
            </w:r>
          </w:p>
        </w:tc>
        <w:tc>
          <w:tcPr>
            <w:tcW w:w="1559" w:type="dxa"/>
            <w:hideMark/>
          </w:tcPr>
          <w:p w14:paraId="4EE7C6C2" w14:textId="77777777" w:rsidR="00EC492E" w:rsidRPr="00824D31" w:rsidRDefault="00EC492E" w:rsidP="00EC492E">
            <w:r w:rsidRPr="00824D31">
              <w:t>0841</w:t>
            </w:r>
          </w:p>
        </w:tc>
      </w:tr>
      <w:tr w:rsidR="00EC492E" w:rsidRPr="00824D31" w14:paraId="1EF9363F" w14:textId="77777777" w:rsidTr="009E18B2">
        <w:tc>
          <w:tcPr>
            <w:tcW w:w="7684" w:type="dxa"/>
            <w:hideMark/>
          </w:tcPr>
          <w:p w14:paraId="01021EE2" w14:textId="77777777" w:rsidR="00EC492E" w:rsidRPr="00824D31" w:rsidRDefault="00EC492E" w:rsidP="00EC492E">
            <w:r w:rsidRPr="00824D31">
              <w:t>Дома престарелых</w:t>
            </w:r>
          </w:p>
        </w:tc>
        <w:tc>
          <w:tcPr>
            <w:tcW w:w="1559" w:type="dxa"/>
            <w:hideMark/>
          </w:tcPr>
          <w:p w14:paraId="49676778" w14:textId="77777777" w:rsidR="00EC492E" w:rsidRPr="00824D31" w:rsidRDefault="00EC492E" w:rsidP="00EC492E">
            <w:r w:rsidRPr="00824D31">
              <w:t>0842</w:t>
            </w:r>
          </w:p>
        </w:tc>
      </w:tr>
      <w:tr w:rsidR="00EC492E" w:rsidRPr="00824D31" w14:paraId="2269E377" w14:textId="77777777" w:rsidTr="009E18B2">
        <w:tc>
          <w:tcPr>
            <w:tcW w:w="7684" w:type="dxa"/>
            <w:hideMark/>
          </w:tcPr>
          <w:p w14:paraId="59A2D10C" w14:textId="77777777" w:rsidR="00EC492E" w:rsidRPr="00824D31" w:rsidRDefault="00EC492E" w:rsidP="00EC492E">
            <w:r w:rsidRPr="00824D31">
              <w:t>Дома инвалидов</w:t>
            </w:r>
          </w:p>
        </w:tc>
        <w:tc>
          <w:tcPr>
            <w:tcW w:w="1559" w:type="dxa"/>
            <w:hideMark/>
          </w:tcPr>
          <w:p w14:paraId="563AA21C" w14:textId="77777777" w:rsidR="00EC492E" w:rsidRPr="00824D31" w:rsidRDefault="00EC492E" w:rsidP="00EC492E">
            <w:r w:rsidRPr="00824D31">
              <w:t>0843</w:t>
            </w:r>
          </w:p>
        </w:tc>
      </w:tr>
      <w:tr w:rsidR="00EC492E" w:rsidRPr="00824D31" w14:paraId="06476AC5" w14:textId="77777777" w:rsidTr="009E18B2">
        <w:tc>
          <w:tcPr>
            <w:tcW w:w="7684" w:type="dxa"/>
            <w:hideMark/>
          </w:tcPr>
          <w:p w14:paraId="53481728" w14:textId="77777777" w:rsidR="00EC492E" w:rsidRPr="00824D31" w:rsidRDefault="00EC492E" w:rsidP="00EC492E">
            <w:r w:rsidRPr="00824D31">
              <w:t>Автовокзалы</w:t>
            </w:r>
          </w:p>
        </w:tc>
        <w:tc>
          <w:tcPr>
            <w:tcW w:w="1559" w:type="dxa"/>
            <w:hideMark/>
          </w:tcPr>
          <w:p w14:paraId="0FAD4BF3" w14:textId="77777777" w:rsidR="00EC492E" w:rsidRPr="00824D31" w:rsidRDefault="00EC492E" w:rsidP="00EC492E">
            <w:r w:rsidRPr="00824D31">
              <w:t>0844</w:t>
            </w:r>
          </w:p>
        </w:tc>
      </w:tr>
      <w:tr w:rsidR="00EC492E" w:rsidRPr="00824D31" w14:paraId="1DDA694A" w14:textId="77777777" w:rsidTr="009E18B2">
        <w:tc>
          <w:tcPr>
            <w:tcW w:w="7684" w:type="dxa"/>
            <w:hideMark/>
          </w:tcPr>
          <w:p w14:paraId="7CD7B199" w14:textId="77777777" w:rsidR="00EC492E" w:rsidRPr="00824D31" w:rsidRDefault="00EC492E" w:rsidP="00EC492E">
            <w:r w:rsidRPr="00824D31">
              <w:t>Аэропорты (аэровокзалы), аэродромы</w:t>
            </w:r>
          </w:p>
        </w:tc>
        <w:tc>
          <w:tcPr>
            <w:tcW w:w="1559" w:type="dxa"/>
            <w:hideMark/>
          </w:tcPr>
          <w:p w14:paraId="79C536F6" w14:textId="77777777" w:rsidR="00EC492E" w:rsidRPr="00824D31" w:rsidRDefault="00EC492E" w:rsidP="00EC492E">
            <w:r w:rsidRPr="00824D31">
              <w:t>0845</w:t>
            </w:r>
          </w:p>
        </w:tc>
      </w:tr>
      <w:tr w:rsidR="00EC492E" w:rsidRPr="00824D31" w14:paraId="16DBADDF" w14:textId="77777777" w:rsidTr="009E18B2">
        <w:tc>
          <w:tcPr>
            <w:tcW w:w="7684" w:type="dxa"/>
            <w:hideMark/>
          </w:tcPr>
          <w:p w14:paraId="5F060157" w14:textId="77777777" w:rsidR="00EC492E" w:rsidRPr="00824D31" w:rsidRDefault="00EC492E" w:rsidP="00EC492E">
            <w:r w:rsidRPr="00824D31">
              <w:t>Порты (вокзалы)</w:t>
            </w:r>
          </w:p>
        </w:tc>
        <w:tc>
          <w:tcPr>
            <w:tcW w:w="1559" w:type="dxa"/>
            <w:hideMark/>
          </w:tcPr>
          <w:p w14:paraId="046E4F0F" w14:textId="77777777" w:rsidR="00EC492E" w:rsidRPr="00824D31" w:rsidRDefault="00EC492E" w:rsidP="00EC492E">
            <w:r w:rsidRPr="00824D31">
              <w:t>0846</w:t>
            </w:r>
          </w:p>
        </w:tc>
      </w:tr>
      <w:tr w:rsidR="00EC492E" w:rsidRPr="00824D31" w14:paraId="1E08D6BA" w14:textId="77777777" w:rsidTr="009E18B2">
        <w:tc>
          <w:tcPr>
            <w:tcW w:w="7684" w:type="dxa"/>
            <w:hideMark/>
          </w:tcPr>
          <w:p w14:paraId="04A9F911" w14:textId="77777777" w:rsidR="00EC492E" w:rsidRPr="00824D31" w:rsidRDefault="00EC492E" w:rsidP="00EC492E">
            <w:r w:rsidRPr="00824D31">
              <w:t>Вокзалы железнодорожные</w:t>
            </w:r>
          </w:p>
        </w:tc>
        <w:tc>
          <w:tcPr>
            <w:tcW w:w="1559" w:type="dxa"/>
            <w:hideMark/>
          </w:tcPr>
          <w:p w14:paraId="07C4A55F" w14:textId="77777777" w:rsidR="00EC492E" w:rsidRPr="00824D31" w:rsidRDefault="00EC492E" w:rsidP="00EC492E">
            <w:r w:rsidRPr="00824D31">
              <w:t>0847</w:t>
            </w:r>
          </w:p>
        </w:tc>
      </w:tr>
      <w:tr w:rsidR="00EC492E" w:rsidRPr="00824D31" w14:paraId="64CF5CC3" w14:textId="77777777" w:rsidTr="009E18B2">
        <w:tc>
          <w:tcPr>
            <w:tcW w:w="7684" w:type="dxa"/>
            <w:hideMark/>
          </w:tcPr>
          <w:p w14:paraId="54224D4C" w14:textId="77777777" w:rsidR="00EC492E" w:rsidRPr="00824D31" w:rsidRDefault="00EC492E" w:rsidP="00EC492E">
            <w:r w:rsidRPr="00824D31">
              <w:t>Станции железнодорожные</w:t>
            </w:r>
          </w:p>
        </w:tc>
        <w:tc>
          <w:tcPr>
            <w:tcW w:w="1559" w:type="dxa"/>
            <w:hideMark/>
          </w:tcPr>
          <w:p w14:paraId="42FC517F" w14:textId="77777777" w:rsidR="00EC492E" w:rsidRPr="00824D31" w:rsidRDefault="00EC492E" w:rsidP="00EC492E">
            <w:r w:rsidRPr="00824D31">
              <w:t>0848</w:t>
            </w:r>
          </w:p>
        </w:tc>
      </w:tr>
      <w:tr w:rsidR="00EC492E" w:rsidRPr="00824D31" w14:paraId="72D4BBCB" w14:textId="77777777" w:rsidTr="009E18B2">
        <w:tc>
          <w:tcPr>
            <w:tcW w:w="7684" w:type="dxa"/>
            <w:hideMark/>
          </w:tcPr>
          <w:p w14:paraId="022686B3" w14:textId="77777777" w:rsidR="00EC492E" w:rsidRPr="00824D31" w:rsidRDefault="00EC492E" w:rsidP="00EC492E">
            <w:r w:rsidRPr="00824D31">
              <w:t>Станции метрополитена</w:t>
            </w:r>
          </w:p>
        </w:tc>
        <w:tc>
          <w:tcPr>
            <w:tcW w:w="1559" w:type="dxa"/>
            <w:hideMark/>
          </w:tcPr>
          <w:p w14:paraId="1B0A3D0C" w14:textId="77777777" w:rsidR="00EC492E" w:rsidRPr="00824D31" w:rsidRDefault="00EC492E" w:rsidP="00EC492E">
            <w:r w:rsidRPr="00824D31">
              <w:t>0849</w:t>
            </w:r>
          </w:p>
        </w:tc>
      </w:tr>
      <w:tr w:rsidR="00EC492E" w:rsidRPr="00824D31" w14:paraId="697FB741" w14:textId="77777777" w:rsidTr="009E18B2">
        <w:tc>
          <w:tcPr>
            <w:tcW w:w="7684" w:type="dxa"/>
            <w:hideMark/>
          </w:tcPr>
          <w:p w14:paraId="663541B2" w14:textId="77777777" w:rsidR="00EC492E" w:rsidRPr="00824D31" w:rsidRDefault="00EC492E" w:rsidP="00EC492E">
            <w:r w:rsidRPr="00824D31">
              <w:t>Вокзалы речные</w:t>
            </w:r>
          </w:p>
        </w:tc>
        <w:tc>
          <w:tcPr>
            <w:tcW w:w="1559" w:type="dxa"/>
            <w:hideMark/>
          </w:tcPr>
          <w:p w14:paraId="242639AF" w14:textId="77777777" w:rsidR="00EC492E" w:rsidRPr="00824D31" w:rsidRDefault="00EC492E" w:rsidP="00EC492E">
            <w:r w:rsidRPr="00824D31">
              <w:t>0850</w:t>
            </w:r>
          </w:p>
        </w:tc>
      </w:tr>
      <w:tr w:rsidR="00EC492E" w:rsidRPr="00824D31" w14:paraId="6E59373C" w14:textId="77777777" w:rsidTr="009E18B2">
        <w:tc>
          <w:tcPr>
            <w:tcW w:w="7684" w:type="dxa"/>
            <w:hideMark/>
          </w:tcPr>
          <w:p w14:paraId="63A619CB" w14:textId="77777777" w:rsidR="00EC492E" w:rsidRPr="00824D31" w:rsidRDefault="00EC492E" w:rsidP="00EC492E">
            <w:r w:rsidRPr="00824D31">
              <w:t>Станции автобусные, троллейбусные, трамвайные, лодочные</w:t>
            </w:r>
          </w:p>
        </w:tc>
        <w:tc>
          <w:tcPr>
            <w:tcW w:w="1559" w:type="dxa"/>
            <w:hideMark/>
          </w:tcPr>
          <w:p w14:paraId="76387123" w14:textId="77777777" w:rsidR="00EC492E" w:rsidRPr="00824D31" w:rsidRDefault="00EC492E" w:rsidP="00EC492E">
            <w:r w:rsidRPr="00824D31">
              <w:t>0851</w:t>
            </w:r>
          </w:p>
        </w:tc>
      </w:tr>
      <w:tr w:rsidR="00EC492E" w:rsidRPr="00824D31" w14:paraId="37EF2110" w14:textId="77777777" w:rsidTr="009E18B2">
        <w:tc>
          <w:tcPr>
            <w:tcW w:w="7684" w:type="dxa"/>
            <w:hideMark/>
          </w:tcPr>
          <w:p w14:paraId="6FA8EBCF" w14:textId="77777777" w:rsidR="00EC492E" w:rsidRPr="00824D31" w:rsidRDefault="00EC492E" w:rsidP="00EC492E">
            <w:r w:rsidRPr="00824D31">
              <w:t>Прочие объекты, предназначенные для перевозки и обслуживанию пассажиров, обработки их багажа</w:t>
            </w:r>
          </w:p>
        </w:tc>
        <w:tc>
          <w:tcPr>
            <w:tcW w:w="1559" w:type="dxa"/>
            <w:hideMark/>
          </w:tcPr>
          <w:p w14:paraId="3E6B5D82" w14:textId="77777777" w:rsidR="00EC492E" w:rsidRPr="00824D31" w:rsidRDefault="00EC492E" w:rsidP="00EC492E">
            <w:r w:rsidRPr="00824D31">
              <w:t>0852</w:t>
            </w:r>
          </w:p>
        </w:tc>
      </w:tr>
      <w:tr w:rsidR="00EC492E" w:rsidRPr="00824D31" w14:paraId="5545A21E" w14:textId="77777777" w:rsidTr="009E18B2">
        <w:tc>
          <w:tcPr>
            <w:tcW w:w="7684" w:type="dxa"/>
            <w:hideMark/>
          </w:tcPr>
          <w:p w14:paraId="6BD43EAC" w14:textId="77777777" w:rsidR="00EC492E" w:rsidRPr="00824D31" w:rsidRDefault="00EC492E" w:rsidP="00EC492E">
            <w:bookmarkStart w:id="82" w:name="sub_20009"/>
            <w:r w:rsidRPr="00824D31">
              <w:t>Группа 9. Прочие объекты</w:t>
            </w:r>
            <w:bookmarkEnd w:id="82"/>
          </w:p>
        </w:tc>
        <w:tc>
          <w:tcPr>
            <w:tcW w:w="1559" w:type="dxa"/>
            <w:hideMark/>
          </w:tcPr>
          <w:p w14:paraId="487540D9" w14:textId="77777777" w:rsidR="00EC492E" w:rsidRPr="00824D31" w:rsidRDefault="00EC492E" w:rsidP="00EC492E">
            <w:r w:rsidRPr="00824D31">
              <w:t>0900</w:t>
            </w:r>
          </w:p>
        </w:tc>
      </w:tr>
      <w:tr w:rsidR="00EC492E" w:rsidRPr="00824D31" w14:paraId="53FA1E5C" w14:textId="77777777" w:rsidTr="009E18B2">
        <w:tc>
          <w:tcPr>
            <w:tcW w:w="7684" w:type="dxa"/>
            <w:hideMark/>
          </w:tcPr>
          <w:p w14:paraId="6B693834" w14:textId="77777777" w:rsidR="00EC492E" w:rsidRPr="00824D31" w:rsidRDefault="00EC492E" w:rsidP="00EC492E">
            <w:r w:rsidRPr="00824D31">
              <w:t>Объекты гражданской обороны</w:t>
            </w:r>
          </w:p>
        </w:tc>
        <w:tc>
          <w:tcPr>
            <w:tcW w:w="1559" w:type="dxa"/>
            <w:hideMark/>
          </w:tcPr>
          <w:p w14:paraId="3E9E24E4" w14:textId="77777777" w:rsidR="00EC492E" w:rsidRPr="00824D31" w:rsidRDefault="00EC492E" w:rsidP="00EC492E">
            <w:r w:rsidRPr="00824D31">
              <w:t>0901</w:t>
            </w:r>
          </w:p>
        </w:tc>
      </w:tr>
      <w:tr w:rsidR="00EC492E" w:rsidRPr="00824D31" w14:paraId="30EE1E5A" w14:textId="77777777" w:rsidTr="009E18B2">
        <w:tc>
          <w:tcPr>
            <w:tcW w:w="7684" w:type="dxa"/>
            <w:hideMark/>
          </w:tcPr>
          <w:p w14:paraId="3D6B9FF7" w14:textId="77777777" w:rsidR="00EC492E" w:rsidRPr="00824D31" w:rsidRDefault="00EC492E" w:rsidP="00EC492E">
            <w:r w:rsidRPr="00824D31">
              <w:t>Погреба</w:t>
            </w:r>
          </w:p>
        </w:tc>
        <w:tc>
          <w:tcPr>
            <w:tcW w:w="1559" w:type="dxa"/>
            <w:hideMark/>
          </w:tcPr>
          <w:p w14:paraId="64E499D3" w14:textId="77777777" w:rsidR="00EC492E" w:rsidRPr="00824D31" w:rsidRDefault="00EC492E" w:rsidP="00EC492E">
            <w:r w:rsidRPr="00824D31">
              <w:t>0902</w:t>
            </w:r>
          </w:p>
        </w:tc>
      </w:tr>
      <w:tr w:rsidR="00EC492E" w:rsidRPr="00824D31" w14:paraId="324A6CAF" w14:textId="77777777" w:rsidTr="009E18B2">
        <w:tc>
          <w:tcPr>
            <w:tcW w:w="7684" w:type="dxa"/>
            <w:hideMark/>
          </w:tcPr>
          <w:p w14:paraId="3A0F2F59" w14:textId="77777777" w:rsidR="00EC492E" w:rsidRPr="00824D31" w:rsidRDefault="00EC492E" w:rsidP="00EC492E">
            <w:r w:rsidRPr="00824D31">
              <w:t>Подвалы</w:t>
            </w:r>
          </w:p>
        </w:tc>
        <w:tc>
          <w:tcPr>
            <w:tcW w:w="1559" w:type="dxa"/>
            <w:hideMark/>
          </w:tcPr>
          <w:p w14:paraId="73983C33" w14:textId="77777777" w:rsidR="00EC492E" w:rsidRPr="00824D31" w:rsidRDefault="00EC492E" w:rsidP="00EC492E">
            <w:r w:rsidRPr="00824D31">
              <w:t>0903</w:t>
            </w:r>
          </w:p>
        </w:tc>
      </w:tr>
      <w:tr w:rsidR="00EC492E" w:rsidRPr="00824D31" w14:paraId="64020631" w14:textId="77777777" w:rsidTr="009E18B2">
        <w:tc>
          <w:tcPr>
            <w:tcW w:w="7684" w:type="dxa"/>
            <w:hideMark/>
          </w:tcPr>
          <w:p w14:paraId="6C384EA9" w14:textId="77777777" w:rsidR="00EC492E" w:rsidRPr="00824D31" w:rsidRDefault="00EC492E" w:rsidP="00EC492E">
            <w:r w:rsidRPr="00824D31">
              <w:t>Сараи</w:t>
            </w:r>
          </w:p>
        </w:tc>
        <w:tc>
          <w:tcPr>
            <w:tcW w:w="1559" w:type="dxa"/>
            <w:hideMark/>
          </w:tcPr>
          <w:p w14:paraId="472EA879" w14:textId="77777777" w:rsidR="00EC492E" w:rsidRPr="00824D31" w:rsidRDefault="00EC492E" w:rsidP="00EC492E">
            <w:r w:rsidRPr="00824D31">
              <w:t>0904</w:t>
            </w:r>
          </w:p>
        </w:tc>
      </w:tr>
      <w:tr w:rsidR="00EC492E" w:rsidRPr="00824D31" w14:paraId="77DCB512" w14:textId="77777777" w:rsidTr="009E18B2">
        <w:tc>
          <w:tcPr>
            <w:tcW w:w="7684" w:type="dxa"/>
            <w:hideMark/>
          </w:tcPr>
          <w:p w14:paraId="3CB476A5" w14:textId="77777777" w:rsidR="00EC492E" w:rsidRPr="00824D31" w:rsidRDefault="00EC492E" w:rsidP="00EC492E">
            <w:r w:rsidRPr="00824D31">
              <w:t>Санитарные пропускники</w:t>
            </w:r>
          </w:p>
        </w:tc>
        <w:tc>
          <w:tcPr>
            <w:tcW w:w="1559" w:type="dxa"/>
            <w:hideMark/>
          </w:tcPr>
          <w:p w14:paraId="7238608B" w14:textId="77777777" w:rsidR="00EC492E" w:rsidRPr="00824D31" w:rsidRDefault="00EC492E" w:rsidP="00EC492E">
            <w:r w:rsidRPr="00824D31">
              <w:t>0905</w:t>
            </w:r>
          </w:p>
        </w:tc>
      </w:tr>
      <w:tr w:rsidR="00EC492E" w:rsidRPr="00824D31" w14:paraId="7EB20BFA" w14:textId="77777777" w:rsidTr="009E18B2">
        <w:tc>
          <w:tcPr>
            <w:tcW w:w="7684" w:type="dxa"/>
            <w:hideMark/>
          </w:tcPr>
          <w:p w14:paraId="691B680D" w14:textId="77777777" w:rsidR="00EC492E" w:rsidRPr="00824D31" w:rsidRDefault="00EC492E" w:rsidP="00EC492E">
            <w:r w:rsidRPr="00824D31">
              <w:t>Гидрометеорологические станции, фотометрические будки, мареографы</w:t>
            </w:r>
          </w:p>
        </w:tc>
        <w:tc>
          <w:tcPr>
            <w:tcW w:w="1559" w:type="dxa"/>
            <w:hideMark/>
          </w:tcPr>
          <w:p w14:paraId="5B73A5F2" w14:textId="77777777" w:rsidR="00EC492E" w:rsidRPr="00824D31" w:rsidRDefault="00EC492E" w:rsidP="00EC492E">
            <w:r w:rsidRPr="00824D31">
              <w:t>0906</w:t>
            </w:r>
          </w:p>
        </w:tc>
      </w:tr>
      <w:tr w:rsidR="00EC492E" w:rsidRPr="00824D31" w14:paraId="263C95BD" w14:textId="77777777" w:rsidTr="009E18B2">
        <w:tc>
          <w:tcPr>
            <w:tcW w:w="7684" w:type="dxa"/>
            <w:hideMark/>
          </w:tcPr>
          <w:p w14:paraId="0F827893" w14:textId="77777777" w:rsidR="00EC492E" w:rsidRPr="00824D31" w:rsidRDefault="00EC492E" w:rsidP="00EC492E">
            <w:r w:rsidRPr="00824D31">
              <w:t>Прочие объекты и объекты вспомогательного назначения, отнесение которых к другим группам невозможно</w:t>
            </w:r>
          </w:p>
        </w:tc>
        <w:tc>
          <w:tcPr>
            <w:tcW w:w="1559" w:type="dxa"/>
            <w:hideMark/>
          </w:tcPr>
          <w:p w14:paraId="1B585188" w14:textId="77777777" w:rsidR="00EC492E" w:rsidRPr="00824D31" w:rsidRDefault="00EC492E" w:rsidP="00EC492E">
            <w:r w:rsidRPr="00824D31">
              <w:t>0907</w:t>
            </w:r>
          </w:p>
        </w:tc>
      </w:tr>
      <w:tr w:rsidR="00EC492E" w:rsidRPr="00824D31" w14:paraId="6A195AE5" w14:textId="77777777" w:rsidTr="009E18B2">
        <w:tc>
          <w:tcPr>
            <w:tcW w:w="7684" w:type="dxa"/>
            <w:hideMark/>
          </w:tcPr>
          <w:p w14:paraId="7D494A80" w14:textId="77777777" w:rsidR="00EC492E" w:rsidRPr="00824D31" w:rsidRDefault="00EC492E" w:rsidP="00EC492E">
            <w:bookmarkStart w:id="83" w:name="sub_20010"/>
            <w:r w:rsidRPr="00824D31">
              <w:t>Группа 10. Сооружения</w:t>
            </w:r>
            <w:bookmarkEnd w:id="83"/>
          </w:p>
        </w:tc>
        <w:tc>
          <w:tcPr>
            <w:tcW w:w="1559" w:type="dxa"/>
            <w:hideMark/>
          </w:tcPr>
          <w:p w14:paraId="7FBBFE57" w14:textId="77777777" w:rsidR="00EC492E" w:rsidRPr="00824D31" w:rsidRDefault="00EC492E" w:rsidP="00EC492E">
            <w:r w:rsidRPr="00824D31">
              <w:t>1000</w:t>
            </w:r>
          </w:p>
        </w:tc>
      </w:tr>
      <w:tr w:rsidR="00EC492E" w:rsidRPr="00824D31" w14:paraId="01074A8C" w14:textId="77777777" w:rsidTr="009E18B2">
        <w:tc>
          <w:tcPr>
            <w:tcW w:w="7684" w:type="dxa"/>
            <w:hideMark/>
          </w:tcPr>
          <w:p w14:paraId="69C0F6CE" w14:textId="77777777" w:rsidR="00EC492E" w:rsidRPr="00824D31" w:rsidRDefault="00EC492E" w:rsidP="00EC492E">
            <w:r w:rsidRPr="00824D31">
              <w:t>Аттракционные сооружения</w:t>
            </w:r>
          </w:p>
        </w:tc>
        <w:tc>
          <w:tcPr>
            <w:tcW w:w="1559" w:type="dxa"/>
            <w:hideMark/>
          </w:tcPr>
          <w:p w14:paraId="2AC92117" w14:textId="77777777" w:rsidR="00EC492E" w:rsidRPr="00824D31" w:rsidRDefault="00EC492E" w:rsidP="00EC492E">
            <w:r w:rsidRPr="00824D31">
              <w:t>1001</w:t>
            </w:r>
          </w:p>
        </w:tc>
      </w:tr>
      <w:tr w:rsidR="00EC492E" w:rsidRPr="00824D31" w14:paraId="741468BA" w14:textId="77777777" w:rsidTr="009E18B2">
        <w:tc>
          <w:tcPr>
            <w:tcW w:w="7684" w:type="dxa"/>
            <w:hideMark/>
          </w:tcPr>
          <w:p w14:paraId="0FC39283" w14:textId="77777777" w:rsidR="00EC492E" w:rsidRPr="00824D31" w:rsidRDefault="00EC492E" w:rsidP="00EC492E">
            <w:r w:rsidRPr="00824D31">
              <w:t>Башни</w:t>
            </w:r>
          </w:p>
        </w:tc>
        <w:tc>
          <w:tcPr>
            <w:tcW w:w="1559" w:type="dxa"/>
            <w:hideMark/>
          </w:tcPr>
          <w:p w14:paraId="5CD8612A" w14:textId="77777777" w:rsidR="00EC492E" w:rsidRPr="00824D31" w:rsidRDefault="00EC492E" w:rsidP="00EC492E">
            <w:r w:rsidRPr="00824D31">
              <w:t>1002</w:t>
            </w:r>
          </w:p>
        </w:tc>
      </w:tr>
      <w:tr w:rsidR="00EC492E" w:rsidRPr="00824D31" w14:paraId="3A903317" w14:textId="77777777" w:rsidTr="009E18B2">
        <w:tc>
          <w:tcPr>
            <w:tcW w:w="7684" w:type="dxa"/>
            <w:hideMark/>
          </w:tcPr>
          <w:p w14:paraId="4E028F45" w14:textId="77777777" w:rsidR="00EC492E" w:rsidRPr="00824D31" w:rsidRDefault="00EC492E" w:rsidP="00EC492E">
            <w:r w:rsidRPr="00824D31">
              <w:t>Мачтовые сооружения, опоры, вышки</w:t>
            </w:r>
          </w:p>
        </w:tc>
        <w:tc>
          <w:tcPr>
            <w:tcW w:w="1559" w:type="dxa"/>
            <w:hideMark/>
          </w:tcPr>
          <w:p w14:paraId="533F32E4" w14:textId="77777777" w:rsidR="00EC492E" w:rsidRPr="00824D31" w:rsidRDefault="00EC492E" w:rsidP="00EC492E">
            <w:r w:rsidRPr="00824D31">
              <w:t>1003</w:t>
            </w:r>
          </w:p>
        </w:tc>
      </w:tr>
      <w:tr w:rsidR="00EC492E" w:rsidRPr="00824D31" w14:paraId="5CFB38E7" w14:textId="77777777" w:rsidTr="009E18B2">
        <w:tc>
          <w:tcPr>
            <w:tcW w:w="7684" w:type="dxa"/>
            <w:hideMark/>
          </w:tcPr>
          <w:p w14:paraId="4904C02A" w14:textId="77777777" w:rsidR="00EC492E" w:rsidRPr="00824D31" w:rsidRDefault="00EC492E" w:rsidP="00EC492E">
            <w:r w:rsidRPr="00824D31">
              <w:t>Беседки</w:t>
            </w:r>
          </w:p>
        </w:tc>
        <w:tc>
          <w:tcPr>
            <w:tcW w:w="1559" w:type="dxa"/>
            <w:hideMark/>
          </w:tcPr>
          <w:p w14:paraId="564CD7AF" w14:textId="77777777" w:rsidR="00EC492E" w:rsidRPr="00824D31" w:rsidRDefault="00EC492E" w:rsidP="00EC492E">
            <w:r w:rsidRPr="00824D31">
              <w:t>1004</w:t>
            </w:r>
          </w:p>
        </w:tc>
      </w:tr>
      <w:tr w:rsidR="00EC492E" w:rsidRPr="00824D31" w14:paraId="6A71D00E" w14:textId="77777777" w:rsidTr="009E18B2">
        <w:tc>
          <w:tcPr>
            <w:tcW w:w="7684" w:type="dxa"/>
            <w:hideMark/>
          </w:tcPr>
          <w:p w14:paraId="2CC2D813" w14:textId="77777777" w:rsidR="00EC492E" w:rsidRPr="00824D31" w:rsidRDefault="00EC492E" w:rsidP="00EC492E">
            <w:r w:rsidRPr="00824D31">
              <w:t>Гидротехнические сооружения: набережные</w:t>
            </w:r>
          </w:p>
        </w:tc>
        <w:tc>
          <w:tcPr>
            <w:tcW w:w="1559" w:type="dxa"/>
            <w:hideMark/>
          </w:tcPr>
          <w:p w14:paraId="49E828CB" w14:textId="77777777" w:rsidR="00EC492E" w:rsidRPr="00824D31" w:rsidRDefault="00EC492E" w:rsidP="00EC492E">
            <w:r w:rsidRPr="00824D31">
              <w:t>1005</w:t>
            </w:r>
          </w:p>
        </w:tc>
      </w:tr>
      <w:tr w:rsidR="00EC492E" w:rsidRPr="00824D31" w14:paraId="3A7BC639" w14:textId="77777777" w:rsidTr="009E18B2">
        <w:tc>
          <w:tcPr>
            <w:tcW w:w="7684" w:type="dxa"/>
            <w:hideMark/>
          </w:tcPr>
          <w:p w14:paraId="2B47A0E6" w14:textId="77777777" w:rsidR="00EC492E" w:rsidRPr="00824D31" w:rsidRDefault="00EC492E" w:rsidP="00EC492E">
            <w:r w:rsidRPr="00824D31">
              <w:t>Эстакады</w:t>
            </w:r>
          </w:p>
        </w:tc>
        <w:tc>
          <w:tcPr>
            <w:tcW w:w="1559" w:type="dxa"/>
            <w:hideMark/>
          </w:tcPr>
          <w:p w14:paraId="75F45C09" w14:textId="77777777" w:rsidR="00EC492E" w:rsidRPr="00824D31" w:rsidRDefault="00EC492E" w:rsidP="00EC492E">
            <w:r w:rsidRPr="00824D31">
              <w:t>1006</w:t>
            </w:r>
          </w:p>
        </w:tc>
      </w:tr>
      <w:tr w:rsidR="00EC492E" w:rsidRPr="00824D31" w14:paraId="2ADB2AE2" w14:textId="77777777" w:rsidTr="009E18B2">
        <w:tc>
          <w:tcPr>
            <w:tcW w:w="7684" w:type="dxa"/>
            <w:hideMark/>
          </w:tcPr>
          <w:p w14:paraId="39704369" w14:textId="77777777" w:rsidR="00EC492E" w:rsidRPr="00824D31" w:rsidRDefault="00EC492E" w:rsidP="00EC492E">
            <w:r w:rsidRPr="00824D31">
              <w:t>Емкостные сооружения, резервуары, баки, цистерны</w:t>
            </w:r>
          </w:p>
        </w:tc>
        <w:tc>
          <w:tcPr>
            <w:tcW w:w="1559" w:type="dxa"/>
            <w:hideMark/>
          </w:tcPr>
          <w:p w14:paraId="22D6F0A8" w14:textId="77777777" w:rsidR="00EC492E" w:rsidRPr="00824D31" w:rsidRDefault="00EC492E" w:rsidP="00EC492E">
            <w:r w:rsidRPr="00824D31">
              <w:t>1007</w:t>
            </w:r>
          </w:p>
        </w:tc>
      </w:tr>
      <w:tr w:rsidR="00EC492E" w:rsidRPr="00824D31" w14:paraId="0D6E6584" w14:textId="77777777" w:rsidTr="009E18B2">
        <w:tc>
          <w:tcPr>
            <w:tcW w:w="7684" w:type="dxa"/>
            <w:hideMark/>
          </w:tcPr>
          <w:p w14:paraId="3508EF60" w14:textId="77777777" w:rsidR="00EC492E" w:rsidRPr="00824D31" w:rsidRDefault="00EC492E" w:rsidP="00EC492E">
            <w:r w:rsidRPr="00824D31">
              <w:t>Бункеры</w:t>
            </w:r>
          </w:p>
        </w:tc>
        <w:tc>
          <w:tcPr>
            <w:tcW w:w="1559" w:type="dxa"/>
            <w:hideMark/>
          </w:tcPr>
          <w:p w14:paraId="32D41675" w14:textId="77777777" w:rsidR="00EC492E" w:rsidRPr="00824D31" w:rsidRDefault="00EC492E" w:rsidP="00EC492E">
            <w:r w:rsidRPr="00824D31">
              <w:t>1008</w:t>
            </w:r>
          </w:p>
        </w:tc>
      </w:tr>
      <w:tr w:rsidR="00EC492E" w:rsidRPr="00824D31" w14:paraId="40B37B4F" w14:textId="77777777" w:rsidTr="009E18B2">
        <w:tc>
          <w:tcPr>
            <w:tcW w:w="7684" w:type="dxa"/>
            <w:hideMark/>
          </w:tcPr>
          <w:p w14:paraId="5F3938B7" w14:textId="77777777" w:rsidR="00EC492E" w:rsidRPr="00824D31" w:rsidRDefault="00EC492E" w:rsidP="00EC492E">
            <w:r w:rsidRPr="00824D31">
              <w:t>Навесы</w:t>
            </w:r>
          </w:p>
        </w:tc>
        <w:tc>
          <w:tcPr>
            <w:tcW w:w="1559" w:type="dxa"/>
            <w:hideMark/>
          </w:tcPr>
          <w:p w14:paraId="3141B46D" w14:textId="77777777" w:rsidR="00EC492E" w:rsidRPr="00824D31" w:rsidRDefault="00EC492E" w:rsidP="00EC492E">
            <w:r w:rsidRPr="00824D31">
              <w:t>1009</w:t>
            </w:r>
          </w:p>
        </w:tc>
      </w:tr>
      <w:tr w:rsidR="00EC492E" w:rsidRPr="00824D31" w14:paraId="0431BB80" w14:textId="77777777" w:rsidTr="009E18B2">
        <w:tc>
          <w:tcPr>
            <w:tcW w:w="7684" w:type="dxa"/>
            <w:hideMark/>
          </w:tcPr>
          <w:p w14:paraId="408E6B01" w14:textId="77777777" w:rsidR="00EC492E" w:rsidRPr="00824D31" w:rsidRDefault="00EC492E" w:rsidP="00EC492E">
            <w:r w:rsidRPr="00824D31">
              <w:t>Линии электропередач кабельные</w:t>
            </w:r>
          </w:p>
        </w:tc>
        <w:tc>
          <w:tcPr>
            <w:tcW w:w="1559" w:type="dxa"/>
            <w:hideMark/>
          </w:tcPr>
          <w:p w14:paraId="32ABCF05" w14:textId="77777777" w:rsidR="00EC492E" w:rsidRPr="00824D31" w:rsidRDefault="00EC492E" w:rsidP="00EC492E">
            <w:r w:rsidRPr="00824D31">
              <w:t>1010</w:t>
            </w:r>
          </w:p>
        </w:tc>
      </w:tr>
      <w:tr w:rsidR="00EC492E" w:rsidRPr="00824D31" w14:paraId="6E3DBC73" w14:textId="77777777" w:rsidTr="009E18B2">
        <w:tc>
          <w:tcPr>
            <w:tcW w:w="7684" w:type="dxa"/>
            <w:hideMark/>
          </w:tcPr>
          <w:p w14:paraId="02F2D853" w14:textId="77777777" w:rsidR="00EC492E" w:rsidRPr="00824D31" w:rsidRDefault="00EC492E" w:rsidP="00EC492E">
            <w:r w:rsidRPr="00824D31">
              <w:t>Линии электропередач воздушные</w:t>
            </w:r>
          </w:p>
        </w:tc>
        <w:tc>
          <w:tcPr>
            <w:tcW w:w="1559" w:type="dxa"/>
            <w:hideMark/>
          </w:tcPr>
          <w:p w14:paraId="39618BD2" w14:textId="77777777" w:rsidR="00EC492E" w:rsidRPr="00824D31" w:rsidRDefault="00EC492E" w:rsidP="00EC492E">
            <w:r w:rsidRPr="00824D31">
              <w:t>1011</w:t>
            </w:r>
          </w:p>
        </w:tc>
      </w:tr>
      <w:tr w:rsidR="00EC492E" w:rsidRPr="00824D31" w14:paraId="63247D95" w14:textId="77777777" w:rsidTr="009E18B2">
        <w:tc>
          <w:tcPr>
            <w:tcW w:w="7684" w:type="dxa"/>
            <w:hideMark/>
          </w:tcPr>
          <w:p w14:paraId="51736B5B" w14:textId="77777777" w:rsidR="00EC492E" w:rsidRPr="00824D31" w:rsidRDefault="00EC492E" w:rsidP="00EC492E">
            <w:r w:rsidRPr="00824D31">
              <w:t>Сети газораспределительные</w:t>
            </w:r>
          </w:p>
        </w:tc>
        <w:tc>
          <w:tcPr>
            <w:tcW w:w="1559" w:type="dxa"/>
            <w:hideMark/>
          </w:tcPr>
          <w:p w14:paraId="53EA6B55" w14:textId="77777777" w:rsidR="00EC492E" w:rsidRPr="00824D31" w:rsidRDefault="00EC492E" w:rsidP="00EC492E">
            <w:r w:rsidRPr="00824D31">
              <w:t>1012</w:t>
            </w:r>
          </w:p>
        </w:tc>
      </w:tr>
      <w:tr w:rsidR="00EC492E" w:rsidRPr="00824D31" w14:paraId="42D02D7C" w14:textId="77777777" w:rsidTr="009E18B2">
        <w:tc>
          <w:tcPr>
            <w:tcW w:w="7684" w:type="dxa"/>
            <w:hideMark/>
          </w:tcPr>
          <w:p w14:paraId="09F2B7F1" w14:textId="77777777" w:rsidR="00EC492E" w:rsidRPr="00824D31" w:rsidRDefault="00EC492E" w:rsidP="00EC492E">
            <w:r w:rsidRPr="00824D31">
              <w:t>Гидротехнические сооружения: за исключением мостов, пирсов, причалов, набережных</w:t>
            </w:r>
          </w:p>
        </w:tc>
        <w:tc>
          <w:tcPr>
            <w:tcW w:w="1559" w:type="dxa"/>
            <w:hideMark/>
          </w:tcPr>
          <w:p w14:paraId="3F8740DD" w14:textId="77777777" w:rsidR="00EC492E" w:rsidRPr="00824D31" w:rsidRDefault="00EC492E" w:rsidP="00EC492E">
            <w:r w:rsidRPr="00824D31">
              <w:t>1013</w:t>
            </w:r>
          </w:p>
        </w:tc>
      </w:tr>
      <w:tr w:rsidR="00EC492E" w:rsidRPr="00824D31" w14:paraId="3E22D76F" w14:textId="77777777" w:rsidTr="009E18B2">
        <w:tc>
          <w:tcPr>
            <w:tcW w:w="7684" w:type="dxa"/>
            <w:hideMark/>
          </w:tcPr>
          <w:p w14:paraId="476DC7A9" w14:textId="77777777" w:rsidR="00EC492E" w:rsidRPr="00824D31" w:rsidRDefault="00EC492E" w:rsidP="00EC492E">
            <w:r w:rsidRPr="00824D31">
              <w:t>Сети канализационные тоннельные коллекторы</w:t>
            </w:r>
          </w:p>
        </w:tc>
        <w:tc>
          <w:tcPr>
            <w:tcW w:w="1559" w:type="dxa"/>
            <w:hideMark/>
          </w:tcPr>
          <w:p w14:paraId="59918186" w14:textId="77777777" w:rsidR="00EC492E" w:rsidRPr="00824D31" w:rsidRDefault="00EC492E" w:rsidP="00EC492E">
            <w:r w:rsidRPr="00824D31">
              <w:t>1014</w:t>
            </w:r>
          </w:p>
        </w:tc>
      </w:tr>
      <w:tr w:rsidR="00EC492E" w:rsidRPr="00824D31" w14:paraId="42DFED70" w14:textId="77777777" w:rsidTr="009E18B2">
        <w:tc>
          <w:tcPr>
            <w:tcW w:w="7684" w:type="dxa"/>
            <w:hideMark/>
          </w:tcPr>
          <w:p w14:paraId="59AF8A6D" w14:textId="77777777" w:rsidR="00EC492E" w:rsidRPr="00824D31" w:rsidRDefault="00EC492E" w:rsidP="00EC492E">
            <w:r w:rsidRPr="00824D31">
              <w:t>Сети тепловые</w:t>
            </w:r>
          </w:p>
        </w:tc>
        <w:tc>
          <w:tcPr>
            <w:tcW w:w="1559" w:type="dxa"/>
            <w:hideMark/>
          </w:tcPr>
          <w:p w14:paraId="3E5E4DEA" w14:textId="77777777" w:rsidR="00EC492E" w:rsidRPr="00824D31" w:rsidRDefault="00EC492E" w:rsidP="00EC492E">
            <w:r w:rsidRPr="00824D31">
              <w:t>1015</w:t>
            </w:r>
          </w:p>
        </w:tc>
      </w:tr>
      <w:tr w:rsidR="00EC492E" w:rsidRPr="00824D31" w14:paraId="2C9150CB" w14:textId="77777777" w:rsidTr="009E18B2">
        <w:tc>
          <w:tcPr>
            <w:tcW w:w="7684" w:type="dxa"/>
            <w:hideMark/>
          </w:tcPr>
          <w:p w14:paraId="23A4BCF4" w14:textId="77777777" w:rsidR="00EC492E" w:rsidRPr="00824D31" w:rsidRDefault="00EC492E" w:rsidP="00EC492E">
            <w:r w:rsidRPr="00824D31">
              <w:t>Сети водопроводные</w:t>
            </w:r>
          </w:p>
        </w:tc>
        <w:tc>
          <w:tcPr>
            <w:tcW w:w="1559" w:type="dxa"/>
            <w:hideMark/>
          </w:tcPr>
          <w:p w14:paraId="01F19943" w14:textId="77777777" w:rsidR="00EC492E" w:rsidRPr="00824D31" w:rsidRDefault="00EC492E" w:rsidP="00EC492E">
            <w:r w:rsidRPr="00824D31">
              <w:t>1016</w:t>
            </w:r>
          </w:p>
        </w:tc>
      </w:tr>
      <w:tr w:rsidR="00EC492E" w:rsidRPr="00824D31" w14:paraId="76602480" w14:textId="77777777" w:rsidTr="009E18B2">
        <w:tc>
          <w:tcPr>
            <w:tcW w:w="7684" w:type="dxa"/>
            <w:hideMark/>
          </w:tcPr>
          <w:p w14:paraId="5DD55117" w14:textId="77777777" w:rsidR="00EC492E" w:rsidRPr="00824D31" w:rsidRDefault="00EC492E" w:rsidP="00EC492E">
            <w:r w:rsidRPr="00824D31">
              <w:t>Сети канализационные, без коллекторов</w:t>
            </w:r>
          </w:p>
        </w:tc>
        <w:tc>
          <w:tcPr>
            <w:tcW w:w="1559" w:type="dxa"/>
            <w:hideMark/>
          </w:tcPr>
          <w:p w14:paraId="5B94CBED" w14:textId="77777777" w:rsidR="00EC492E" w:rsidRPr="00824D31" w:rsidRDefault="00EC492E" w:rsidP="00EC492E">
            <w:r w:rsidRPr="00824D31">
              <w:t>1017</w:t>
            </w:r>
          </w:p>
        </w:tc>
      </w:tr>
      <w:tr w:rsidR="00EC492E" w:rsidRPr="00824D31" w14:paraId="2397D0A4" w14:textId="77777777" w:rsidTr="009E18B2">
        <w:tc>
          <w:tcPr>
            <w:tcW w:w="7684" w:type="dxa"/>
            <w:hideMark/>
          </w:tcPr>
          <w:p w14:paraId="616547CC" w14:textId="77777777" w:rsidR="00EC492E" w:rsidRPr="00824D31" w:rsidRDefault="00EC492E" w:rsidP="00EC492E">
            <w:r w:rsidRPr="00824D31">
              <w:t>Фонтаны</w:t>
            </w:r>
          </w:p>
        </w:tc>
        <w:tc>
          <w:tcPr>
            <w:tcW w:w="1559" w:type="dxa"/>
            <w:hideMark/>
          </w:tcPr>
          <w:p w14:paraId="05803C59" w14:textId="77777777" w:rsidR="00EC492E" w:rsidRPr="00824D31" w:rsidRDefault="00EC492E" w:rsidP="00EC492E">
            <w:r w:rsidRPr="00824D31">
              <w:t>1018</w:t>
            </w:r>
          </w:p>
        </w:tc>
      </w:tr>
      <w:tr w:rsidR="00EC492E" w:rsidRPr="00824D31" w14:paraId="313982A7" w14:textId="77777777" w:rsidTr="009E18B2">
        <w:tc>
          <w:tcPr>
            <w:tcW w:w="7684" w:type="dxa"/>
            <w:hideMark/>
          </w:tcPr>
          <w:p w14:paraId="122BE0CC" w14:textId="77777777" w:rsidR="00EC492E" w:rsidRPr="00824D31" w:rsidRDefault="00EC492E" w:rsidP="00EC492E">
            <w:r w:rsidRPr="00824D31">
              <w:t>Градирни</w:t>
            </w:r>
          </w:p>
        </w:tc>
        <w:tc>
          <w:tcPr>
            <w:tcW w:w="1559" w:type="dxa"/>
            <w:hideMark/>
          </w:tcPr>
          <w:p w14:paraId="385BB4F2" w14:textId="77777777" w:rsidR="00EC492E" w:rsidRPr="00824D31" w:rsidRDefault="00EC492E" w:rsidP="00EC492E">
            <w:r w:rsidRPr="00824D31">
              <w:t>1019</w:t>
            </w:r>
          </w:p>
        </w:tc>
      </w:tr>
      <w:tr w:rsidR="00EC492E" w:rsidRPr="00824D31" w14:paraId="5F524ECD" w14:textId="77777777" w:rsidTr="009E18B2">
        <w:tc>
          <w:tcPr>
            <w:tcW w:w="7684" w:type="dxa"/>
            <w:hideMark/>
          </w:tcPr>
          <w:p w14:paraId="0656193D" w14:textId="77777777" w:rsidR="00EC492E" w:rsidRPr="00824D31" w:rsidRDefault="00EC492E" w:rsidP="00EC492E">
            <w:r w:rsidRPr="00824D31">
              <w:t>Сети инженерные технологические</w:t>
            </w:r>
          </w:p>
        </w:tc>
        <w:tc>
          <w:tcPr>
            <w:tcW w:w="1559" w:type="dxa"/>
            <w:hideMark/>
          </w:tcPr>
          <w:p w14:paraId="3012E119" w14:textId="77777777" w:rsidR="00EC492E" w:rsidRPr="00824D31" w:rsidRDefault="00EC492E" w:rsidP="00EC492E">
            <w:r w:rsidRPr="00824D31">
              <w:t>1020</w:t>
            </w:r>
          </w:p>
        </w:tc>
      </w:tr>
      <w:tr w:rsidR="00EC492E" w:rsidRPr="00824D31" w14:paraId="2E1B8619" w14:textId="77777777" w:rsidTr="009E18B2">
        <w:tc>
          <w:tcPr>
            <w:tcW w:w="7684" w:type="dxa"/>
            <w:hideMark/>
          </w:tcPr>
          <w:p w14:paraId="73A5FCB0" w14:textId="77777777" w:rsidR="00EC492E" w:rsidRPr="00824D31" w:rsidRDefault="00EC492E" w:rsidP="00EC492E">
            <w:r w:rsidRPr="00824D31">
              <w:t>Сети тепловые: камеры теплосети подземные</w:t>
            </w:r>
          </w:p>
        </w:tc>
        <w:tc>
          <w:tcPr>
            <w:tcW w:w="1559" w:type="dxa"/>
            <w:hideMark/>
          </w:tcPr>
          <w:p w14:paraId="41DBF38F" w14:textId="77777777" w:rsidR="00EC492E" w:rsidRPr="00824D31" w:rsidRDefault="00EC492E" w:rsidP="00EC492E">
            <w:r w:rsidRPr="00824D31">
              <w:t>1021</w:t>
            </w:r>
          </w:p>
        </w:tc>
      </w:tr>
      <w:tr w:rsidR="00EC492E" w:rsidRPr="00824D31" w14:paraId="6E2E7E19" w14:textId="77777777" w:rsidTr="009E18B2">
        <w:tc>
          <w:tcPr>
            <w:tcW w:w="7684" w:type="dxa"/>
            <w:hideMark/>
          </w:tcPr>
          <w:p w14:paraId="70F43C0E" w14:textId="77777777" w:rsidR="00EC492E" w:rsidRPr="00824D31" w:rsidRDefault="00EC492E" w:rsidP="00EC492E">
            <w:r w:rsidRPr="00824D31">
              <w:t>Железнодорожные пути</w:t>
            </w:r>
          </w:p>
        </w:tc>
        <w:tc>
          <w:tcPr>
            <w:tcW w:w="1559" w:type="dxa"/>
            <w:hideMark/>
          </w:tcPr>
          <w:p w14:paraId="64B0D028" w14:textId="77777777" w:rsidR="00EC492E" w:rsidRPr="00824D31" w:rsidRDefault="00EC492E" w:rsidP="00EC492E">
            <w:r w:rsidRPr="00824D31">
              <w:t>1022</w:t>
            </w:r>
          </w:p>
        </w:tc>
      </w:tr>
      <w:tr w:rsidR="00EC492E" w:rsidRPr="00824D31" w14:paraId="755F5841" w14:textId="77777777" w:rsidTr="009E18B2">
        <w:tc>
          <w:tcPr>
            <w:tcW w:w="7684" w:type="dxa"/>
            <w:hideMark/>
          </w:tcPr>
          <w:p w14:paraId="08A870AF" w14:textId="77777777" w:rsidR="00EC492E" w:rsidRPr="00824D31" w:rsidRDefault="00EC492E" w:rsidP="00EC492E">
            <w:r w:rsidRPr="00824D31">
              <w:t>Подкрановые пути</w:t>
            </w:r>
          </w:p>
        </w:tc>
        <w:tc>
          <w:tcPr>
            <w:tcW w:w="1559" w:type="dxa"/>
            <w:hideMark/>
          </w:tcPr>
          <w:p w14:paraId="40F796C2" w14:textId="77777777" w:rsidR="00EC492E" w:rsidRPr="00824D31" w:rsidRDefault="00EC492E" w:rsidP="00EC492E">
            <w:r w:rsidRPr="00824D31">
              <w:t>1023</w:t>
            </w:r>
          </w:p>
        </w:tc>
      </w:tr>
      <w:tr w:rsidR="00EC492E" w:rsidRPr="00824D31" w14:paraId="7E07F62F" w14:textId="77777777" w:rsidTr="009E18B2">
        <w:tc>
          <w:tcPr>
            <w:tcW w:w="7684" w:type="dxa"/>
            <w:hideMark/>
          </w:tcPr>
          <w:p w14:paraId="65C9B643" w14:textId="77777777" w:rsidR="00EC492E" w:rsidRPr="00824D31" w:rsidRDefault="00EC492E" w:rsidP="00EC492E">
            <w:r w:rsidRPr="00824D31">
              <w:t>Тоннели</w:t>
            </w:r>
          </w:p>
        </w:tc>
        <w:tc>
          <w:tcPr>
            <w:tcW w:w="1559" w:type="dxa"/>
            <w:hideMark/>
          </w:tcPr>
          <w:p w14:paraId="066223E7" w14:textId="77777777" w:rsidR="00EC492E" w:rsidRPr="00824D31" w:rsidRDefault="00EC492E" w:rsidP="00EC492E">
            <w:r w:rsidRPr="00824D31">
              <w:t>1024</w:t>
            </w:r>
          </w:p>
        </w:tc>
      </w:tr>
      <w:tr w:rsidR="00EC492E" w:rsidRPr="00824D31" w14:paraId="18B60C2D" w14:textId="77777777" w:rsidTr="009E18B2">
        <w:tc>
          <w:tcPr>
            <w:tcW w:w="7684" w:type="dxa"/>
            <w:hideMark/>
          </w:tcPr>
          <w:p w14:paraId="127C5BCB" w14:textId="77777777" w:rsidR="00EC492E" w:rsidRPr="00824D31" w:rsidRDefault="00EC492E" w:rsidP="00EC492E">
            <w:r w:rsidRPr="00824D31">
              <w:t>Мосты</w:t>
            </w:r>
          </w:p>
        </w:tc>
        <w:tc>
          <w:tcPr>
            <w:tcW w:w="1559" w:type="dxa"/>
            <w:hideMark/>
          </w:tcPr>
          <w:p w14:paraId="47DA31D1" w14:textId="77777777" w:rsidR="00EC492E" w:rsidRPr="00824D31" w:rsidRDefault="00EC492E" w:rsidP="00EC492E">
            <w:r w:rsidRPr="00824D31">
              <w:t>1025</w:t>
            </w:r>
          </w:p>
        </w:tc>
      </w:tr>
      <w:tr w:rsidR="00EC492E" w:rsidRPr="00824D31" w14:paraId="0BD55BF3" w14:textId="77777777" w:rsidTr="009E18B2">
        <w:tc>
          <w:tcPr>
            <w:tcW w:w="7684" w:type="dxa"/>
            <w:hideMark/>
          </w:tcPr>
          <w:p w14:paraId="1AFDC762" w14:textId="77777777" w:rsidR="00EC492E" w:rsidRPr="00824D31" w:rsidRDefault="00EC492E" w:rsidP="00EC492E">
            <w:r w:rsidRPr="00824D31">
              <w:t>Сооружения связи линейно - кабельные</w:t>
            </w:r>
          </w:p>
        </w:tc>
        <w:tc>
          <w:tcPr>
            <w:tcW w:w="1559" w:type="dxa"/>
            <w:hideMark/>
          </w:tcPr>
          <w:p w14:paraId="14D6B473" w14:textId="77777777" w:rsidR="00EC492E" w:rsidRPr="00824D31" w:rsidRDefault="00EC492E" w:rsidP="00EC492E">
            <w:r w:rsidRPr="00824D31">
              <w:t>1026</w:t>
            </w:r>
          </w:p>
        </w:tc>
      </w:tr>
      <w:tr w:rsidR="00EC492E" w:rsidRPr="00824D31" w14:paraId="6389FB64" w14:textId="77777777" w:rsidTr="009E18B2">
        <w:tc>
          <w:tcPr>
            <w:tcW w:w="7684" w:type="dxa"/>
            <w:hideMark/>
          </w:tcPr>
          <w:p w14:paraId="13352749" w14:textId="77777777" w:rsidR="00EC492E" w:rsidRPr="00824D31" w:rsidRDefault="00EC492E" w:rsidP="00EC492E">
            <w:r w:rsidRPr="00824D31">
              <w:t>Сети трубопроводов магистральные</w:t>
            </w:r>
          </w:p>
        </w:tc>
        <w:tc>
          <w:tcPr>
            <w:tcW w:w="1559" w:type="dxa"/>
            <w:hideMark/>
          </w:tcPr>
          <w:p w14:paraId="7930E339" w14:textId="77777777" w:rsidR="00EC492E" w:rsidRPr="00824D31" w:rsidRDefault="00EC492E" w:rsidP="00EC492E">
            <w:r w:rsidRPr="00824D31">
              <w:t>1027</w:t>
            </w:r>
          </w:p>
        </w:tc>
      </w:tr>
      <w:tr w:rsidR="00EC492E" w:rsidRPr="00824D31" w14:paraId="79790B82" w14:textId="77777777" w:rsidTr="009E18B2">
        <w:tc>
          <w:tcPr>
            <w:tcW w:w="7684" w:type="dxa"/>
            <w:hideMark/>
          </w:tcPr>
          <w:p w14:paraId="3F7E0491" w14:textId="77777777" w:rsidR="00EC492E" w:rsidRPr="00824D31" w:rsidRDefault="00EC492E" w:rsidP="00EC492E">
            <w:r w:rsidRPr="00824D31">
              <w:t>Переходы надземные</w:t>
            </w:r>
          </w:p>
        </w:tc>
        <w:tc>
          <w:tcPr>
            <w:tcW w:w="1559" w:type="dxa"/>
            <w:hideMark/>
          </w:tcPr>
          <w:p w14:paraId="60821553" w14:textId="77777777" w:rsidR="00EC492E" w:rsidRPr="00824D31" w:rsidRDefault="00EC492E" w:rsidP="00EC492E">
            <w:r w:rsidRPr="00824D31">
              <w:t>1028</w:t>
            </w:r>
          </w:p>
        </w:tc>
      </w:tr>
      <w:tr w:rsidR="00EC492E" w:rsidRPr="00824D31" w14:paraId="5BDA3A8F" w14:textId="77777777" w:rsidTr="009E18B2">
        <w:tc>
          <w:tcPr>
            <w:tcW w:w="7684" w:type="dxa"/>
            <w:hideMark/>
          </w:tcPr>
          <w:p w14:paraId="33BB6BD2" w14:textId="77777777" w:rsidR="00EC492E" w:rsidRPr="00824D31" w:rsidRDefault="00EC492E" w:rsidP="00EC492E">
            <w:r w:rsidRPr="00824D31">
              <w:t>Переходы подземные</w:t>
            </w:r>
          </w:p>
        </w:tc>
        <w:tc>
          <w:tcPr>
            <w:tcW w:w="1559" w:type="dxa"/>
            <w:hideMark/>
          </w:tcPr>
          <w:p w14:paraId="382418DA" w14:textId="77777777" w:rsidR="00EC492E" w:rsidRPr="00824D31" w:rsidRDefault="00EC492E" w:rsidP="00EC492E">
            <w:r w:rsidRPr="00824D31">
              <w:t>1029</w:t>
            </w:r>
          </w:p>
        </w:tc>
      </w:tr>
      <w:tr w:rsidR="00EC492E" w:rsidRPr="00824D31" w14:paraId="6EB41E15" w14:textId="77777777" w:rsidTr="009E18B2">
        <w:tc>
          <w:tcPr>
            <w:tcW w:w="7684" w:type="dxa"/>
            <w:hideMark/>
          </w:tcPr>
          <w:p w14:paraId="5E057835" w14:textId="77777777" w:rsidR="00EC492E" w:rsidRPr="00824D31" w:rsidRDefault="00EC492E" w:rsidP="00EC492E">
            <w:r w:rsidRPr="00824D31">
              <w:t>Прочие сооружения и сооружения вспомогательного назначения, отнесение которых к другим подгруппам невозможно</w:t>
            </w:r>
          </w:p>
        </w:tc>
        <w:tc>
          <w:tcPr>
            <w:tcW w:w="1559" w:type="dxa"/>
            <w:hideMark/>
          </w:tcPr>
          <w:p w14:paraId="12E1778D" w14:textId="77777777" w:rsidR="00EC492E" w:rsidRPr="00824D31" w:rsidRDefault="00EC492E" w:rsidP="00EC492E">
            <w:r w:rsidRPr="00824D31">
              <w:t>1030</w:t>
            </w:r>
          </w:p>
        </w:tc>
      </w:tr>
      <w:tr w:rsidR="00EC492E" w:rsidRPr="00824D31" w14:paraId="79C048C4" w14:textId="77777777" w:rsidTr="009E18B2">
        <w:tc>
          <w:tcPr>
            <w:tcW w:w="7684" w:type="dxa"/>
            <w:hideMark/>
          </w:tcPr>
          <w:p w14:paraId="0EF2FEDF" w14:textId="77777777" w:rsidR="00EC492E" w:rsidRPr="00824D31" w:rsidRDefault="00EC492E" w:rsidP="00EC492E">
            <w:r w:rsidRPr="00824D31">
              <w:t>Автомобильные дороги, дорожки, площадки, покрытия</w:t>
            </w:r>
          </w:p>
        </w:tc>
        <w:tc>
          <w:tcPr>
            <w:tcW w:w="1559" w:type="dxa"/>
            <w:hideMark/>
          </w:tcPr>
          <w:p w14:paraId="1B287294" w14:textId="77777777" w:rsidR="00EC492E" w:rsidRPr="00824D31" w:rsidRDefault="00EC492E" w:rsidP="00EC492E">
            <w:r w:rsidRPr="00824D31">
              <w:t>1031</w:t>
            </w:r>
          </w:p>
        </w:tc>
      </w:tr>
      <w:tr w:rsidR="00EC492E" w:rsidRPr="00824D31" w14:paraId="70FDACFD" w14:textId="77777777" w:rsidTr="009E18B2">
        <w:tc>
          <w:tcPr>
            <w:tcW w:w="7684" w:type="dxa"/>
            <w:hideMark/>
          </w:tcPr>
          <w:p w14:paraId="60B47F76" w14:textId="77777777" w:rsidR="00EC492E" w:rsidRPr="00824D31" w:rsidRDefault="00EC492E" w:rsidP="00EC492E">
            <w:r w:rsidRPr="00824D31">
              <w:t>Силосная траншея, яма</w:t>
            </w:r>
          </w:p>
        </w:tc>
        <w:tc>
          <w:tcPr>
            <w:tcW w:w="1559" w:type="dxa"/>
            <w:hideMark/>
          </w:tcPr>
          <w:p w14:paraId="078AC03E" w14:textId="77777777" w:rsidR="00EC492E" w:rsidRPr="00824D31" w:rsidRDefault="00EC492E" w:rsidP="00EC492E">
            <w:r w:rsidRPr="00824D31">
              <w:t>1032</w:t>
            </w:r>
          </w:p>
        </w:tc>
      </w:tr>
      <w:tr w:rsidR="00EC492E" w:rsidRPr="00824D31" w14:paraId="74E9B371" w14:textId="77777777" w:rsidTr="009E18B2">
        <w:tc>
          <w:tcPr>
            <w:tcW w:w="7684" w:type="dxa"/>
            <w:hideMark/>
          </w:tcPr>
          <w:p w14:paraId="4EE25507" w14:textId="77777777" w:rsidR="00EC492E" w:rsidRPr="00824D31" w:rsidRDefault="00EC492E" w:rsidP="00EC492E">
            <w:r w:rsidRPr="00824D31">
              <w:t>Скважина артезианская</w:t>
            </w:r>
          </w:p>
        </w:tc>
        <w:tc>
          <w:tcPr>
            <w:tcW w:w="1559" w:type="dxa"/>
            <w:hideMark/>
          </w:tcPr>
          <w:p w14:paraId="5BE4D5C4" w14:textId="77777777" w:rsidR="00EC492E" w:rsidRPr="00824D31" w:rsidRDefault="00EC492E" w:rsidP="00EC492E">
            <w:r w:rsidRPr="00824D31">
              <w:t>1033</w:t>
            </w:r>
          </w:p>
        </w:tc>
      </w:tr>
      <w:tr w:rsidR="00EC492E" w:rsidRPr="00824D31" w14:paraId="7837EA6C" w14:textId="77777777" w:rsidTr="009E18B2">
        <w:tc>
          <w:tcPr>
            <w:tcW w:w="7684" w:type="dxa"/>
            <w:hideMark/>
          </w:tcPr>
          <w:p w14:paraId="4495DDD4" w14:textId="77777777" w:rsidR="00EC492E" w:rsidRPr="00824D31" w:rsidRDefault="00EC492E" w:rsidP="00EC492E">
            <w:r w:rsidRPr="00824D31">
              <w:t>Колодец</w:t>
            </w:r>
          </w:p>
        </w:tc>
        <w:tc>
          <w:tcPr>
            <w:tcW w:w="1559" w:type="dxa"/>
            <w:hideMark/>
          </w:tcPr>
          <w:p w14:paraId="446BD785" w14:textId="77777777" w:rsidR="00EC492E" w:rsidRPr="00824D31" w:rsidRDefault="00EC492E" w:rsidP="00EC492E">
            <w:r w:rsidRPr="00824D31">
              <w:t>1034</w:t>
            </w:r>
          </w:p>
        </w:tc>
      </w:tr>
      <w:tr w:rsidR="00EC492E" w:rsidRPr="00824D31" w14:paraId="32A12EEC" w14:textId="77777777" w:rsidTr="009E18B2">
        <w:tc>
          <w:tcPr>
            <w:tcW w:w="7684" w:type="dxa"/>
            <w:hideMark/>
          </w:tcPr>
          <w:p w14:paraId="14291AA9" w14:textId="77777777" w:rsidR="00EC492E" w:rsidRPr="00824D31" w:rsidRDefault="00EC492E" w:rsidP="00EC492E">
            <w:r w:rsidRPr="00824D31">
              <w:t>Водоемы и пруды</w:t>
            </w:r>
          </w:p>
        </w:tc>
        <w:tc>
          <w:tcPr>
            <w:tcW w:w="1559" w:type="dxa"/>
            <w:hideMark/>
          </w:tcPr>
          <w:p w14:paraId="07F08EC1" w14:textId="77777777" w:rsidR="00EC492E" w:rsidRPr="00824D31" w:rsidRDefault="00EC492E" w:rsidP="00EC492E">
            <w:r w:rsidRPr="00824D31">
              <w:t>1035</w:t>
            </w:r>
          </w:p>
        </w:tc>
      </w:tr>
      <w:tr w:rsidR="00EC492E" w:rsidRPr="00824D31" w14:paraId="5F1E5D80" w14:textId="77777777" w:rsidTr="009E18B2">
        <w:tc>
          <w:tcPr>
            <w:tcW w:w="7684" w:type="dxa"/>
            <w:hideMark/>
          </w:tcPr>
          <w:p w14:paraId="6C91DF09" w14:textId="77777777" w:rsidR="00EC492E" w:rsidRPr="00824D31" w:rsidRDefault="00EC492E" w:rsidP="00EC492E">
            <w:r w:rsidRPr="00824D31">
              <w:t>Ограждение</w:t>
            </w:r>
          </w:p>
        </w:tc>
        <w:tc>
          <w:tcPr>
            <w:tcW w:w="1559" w:type="dxa"/>
            <w:hideMark/>
          </w:tcPr>
          <w:p w14:paraId="33264B2A" w14:textId="77777777" w:rsidR="00EC492E" w:rsidRPr="00824D31" w:rsidRDefault="00EC492E" w:rsidP="00EC492E">
            <w:r w:rsidRPr="00824D31">
              <w:t>1036</w:t>
            </w:r>
          </w:p>
        </w:tc>
      </w:tr>
      <w:tr w:rsidR="00EC492E" w:rsidRPr="00824D31" w14:paraId="7A58263E" w14:textId="77777777" w:rsidTr="009E18B2">
        <w:tc>
          <w:tcPr>
            <w:tcW w:w="7684" w:type="dxa"/>
            <w:hideMark/>
          </w:tcPr>
          <w:p w14:paraId="2AF5F023" w14:textId="77777777" w:rsidR="00EC492E" w:rsidRPr="00824D31" w:rsidRDefault="00EC492E" w:rsidP="00EC492E">
            <w:r w:rsidRPr="00824D31">
              <w:t>Отстойник канализационный</w:t>
            </w:r>
          </w:p>
        </w:tc>
        <w:tc>
          <w:tcPr>
            <w:tcW w:w="1559" w:type="dxa"/>
            <w:hideMark/>
          </w:tcPr>
          <w:p w14:paraId="380A3320" w14:textId="77777777" w:rsidR="00EC492E" w:rsidRPr="00824D31" w:rsidRDefault="00EC492E" w:rsidP="00EC492E">
            <w:r w:rsidRPr="00824D31">
              <w:t>1037</w:t>
            </w:r>
          </w:p>
        </w:tc>
      </w:tr>
    </w:tbl>
    <w:p w14:paraId="22C00DA3" w14:textId="77777777" w:rsidR="00EC492E" w:rsidRPr="00824D31" w:rsidRDefault="00EC492E" w:rsidP="00EC492E"/>
    <w:p w14:paraId="3CD7FC75" w14:textId="77777777" w:rsidR="00EC492E" w:rsidRPr="00824D31" w:rsidRDefault="00EC492E" w:rsidP="00EC492E">
      <w:r w:rsidRPr="00824D31">
        <w:t xml:space="preserve">Подробное описание в рамках групп приведено по 1 и 2 группам, так как они составляют 77,45% от общего количества объектов оценки. </w:t>
      </w:r>
    </w:p>
    <w:p w14:paraId="44FCF0F7" w14:textId="77777777" w:rsidR="00EC492E" w:rsidRPr="00824D31" w:rsidRDefault="00EC492E" w:rsidP="00EC492E"/>
    <w:p w14:paraId="36B5131D" w14:textId="77777777" w:rsidR="00EC492E" w:rsidRPr="008F16D6" w:rsidRDefault="00EC492E" w:rsidP="00EC492E">
      <w:pPr>
        <w:rPr>
          <w:b/>
        </w:rPr>
      </w:pPr>
      <w:r w:rsidRPr="008F16D6">
        <w:rPr>
          <w:b/>
        </w:rPr>
        <w:t>1 группа «Многоквартирные дома (дома средне- и многоэтажной жилой застройки) и общежития»</w:t>
      </w:r>
    </w:p>
    <w:p w14:paraId="5BAB2224" w14:textId="77777777" w:rsidR="00EC492E" w:rsidRPr="00824D31" w:rsidRDefault="00EC492E" w:rsidP="00EC492E"/>
    <w:p w14:paraId="4F499A6A" w14:textId="77777777" w:rsidR="00EC492E" w:rsidRPr="00824D31" w:rsidRDefault="00EC492E" w:rsidP="00EC492E">
      <w:r w:rsidRPr="00824D31">
        <w:t>Объекты данной группы представляют собой: многоквартирные жилые здания, а также жилые помещения, входящие в их состав, в том числе дома, домовладения, основные строения, если назначение здания жилой дом/многоквартирный дом.</w:t>
      </w:r>
    </w:p>
    <w:p w14:paraId="55B5BE75" w14:textId="77777777" w:rsidR="00EC492E" w:rsidRPr="00824D31" w:rsidRDefault="00EC492E" w:rsidP="00EC492E">
      <w:r w:rsidRPr="00824D31">
        <w:t>К многоквартирным жилым зданиям относятся:</w:t>
      </w:r>
    </w:p>
    <w:p w14:paraId="38586233" w14:textId="77777777" w:rsidR="00EC492E" w:rsidRPr="00824D31" w:rsidRDefault="00EC492E" w:rsidP="00EC492E">
      <w:r w:rsidRPr="00824D31">
        <w:t>- многоэтажные жилые дома (9 этажей и более);</w:t>
      </w:r>
    </w:p>
    <w:p w14:paraId="31BC143F" w14:textId="77777777" w:rsidR="00EC492E" w:rsidRPr="00824D31" w:rsidRDefault="00EC492E" w:rsidP="00EC492E">
      <w:r w:rsidRPr="00824D31">
        <w:t>- среднеэтажные жилые дома (от 4 - 8 этажей);</w:t>
      </w:r>
    </w:p>
    <w:p w14:paraId="176186F0" w14:textId="77777777" w:rsidR="00EC492E" w:rsidRPr="00824D31" w:rsidRDefault="00EC492E" w:rsidP="00EC492E">
      <w:r w:rsidRPr="00824D31">
        <w:t>- малоэтажные многоквартирные жилые дома (до 3 этажей, включая мансардный) (в рамках группировки объектов оценки данный сегмент многоквартирных домов отнесен во 2 функциональную группу, подгруппа 0205);</w:t>
      </w:r>
    </w:p>
    <w:p w14:paraId="138254B2" w14:textId="77777777" w:rsidR="00EC492E" w:rsidRPr="00824D31" w:rsidRDefault="00EC492E" w:rsidP="00EC492E">
      <w:r w:rsidRPr="00824D31">
        <w:t>- общежития (в рамках группировки объектов оценки данный сегмент многоквартирных домов отнесен в 5 функциональную группу, подгруппа 0507).</w:t>
      </w:r>
    </w:p>
    <w:p w14:paraId="09F7EA4A" w14:textId="77777777" w:rsidR="00EC492E" w:rsidRPr="00824D31" w:rsidRDefault="00EC492E" w:rsidP="00EC492E">
      <w:r w:rsidRPr="00824D31">
        <w:t>Объекты недвижимости 1 группы были разбиты на подгруппы по следующим критериям:</w:t>
      </w:r>
    </w:p>
    <w:p w14:paraId="06E3C026" w14:textId="77777777" w:rsidR="00EC492E" w:rsidRPr="00824D31" w:rsidRDefault="00EC492E" w:rsidP="00EC492E">
      <w:r w:rsidRPr="00824D31">
        <w:t>1. В зависимости от степени готовности объекта:</w:t>
      </w:r>
    </w:p>
    <w:p w14:paraId="6A4F2C2C" w14:textId="77777777" w:rsidR="00EC492E" w:rsidRPr="00824D31" w:rsidRDefault="00EC492E" w:rsidP="00EC492E">
      <w:r w:rsidRPr="00824D31">
        <w:t xml:space="preserve">- объекты, строительство которых завершено (здания, помещения, сооружения); </w:t>
      </w:r>
    </w:p>
    <w:p w14:paraId="7A5E80ED" w14:textId="77777777" w:rsidR="00EC492E" w:rsidRPr="00824D31" w:rsidRDefault="00EC492E" w:rsidP="00EC492E">
      <w:r w:rsidRPr="00824D31">
        <w:t>-объекты незавершенного строительства.</w:t>
      </w:r>
    </w:p>
    <w:p w14:paraId="16850859" w14:textId="77777777" w:rsidR="00EC492E" w:rsidRPr="00824D31" w:rsidRDefault="00EC492E" w:rsidP="00EC492E">
      <w:r w:rsidRPr="00824D31">
        <w:t>2. в зависимости от местоположения:</w:t>
      </w:r>
    </w:p>
    <w:p w14:paraId="089E08BD" w14:textId="77777777" w:rsidR="00EC492E" w:rsidRPr="00824D31" w:rsidRDefault="00EC492E" w:rsidP="00EC492E">
      <w:r w:rsidRPr="00824D31">
        <w:t>- объекты, точное местоположение которых возможно установить;</w:t>
      </w:r>
    </w:p>
    <w:p w14:paraId="31C1FC4C" w14:textId="77777777" w:rsidR="00EC492E" w:rsidRPr="00824D31" w:rsidRDefault="00EC492E" w:rsidP="00EC492E">
      <w:r w:rsidRPr="00824D31">
        <w:t xml:space="preserve">- объекты, точное местоположение которых невозможно установить. </w:t>
      </w:r>
    </w:p>
    <w:p w14:paraId="79F8CDF1" w14:textId="793C3E19" w:rsidR="00EC492E" w:rsidRPr="00824D31" w:rsidRDefault="00EC492E" w:rsidP="00EC492E">
      <w:r w:rsidRPr="00824D31">
        <w:t>В подгруппу объектов, точное местоположени</w:t>
      </w:r>
      <w:r w:rsidR="008F16D6">
        <w:t xml:space="preserve">е которых возможно установить, </w:t>
      </w:r>
      <w:r w:rsidRPr="00824D31">
        <w:t>относятся объекты, местоположение которых:</w:t>
      </w:r>
    </w:p>
    <w:p w14:paraId="59018AB0" w14:textId="77777777" w:rsidR="00EC492E" w:rsidRPr="00824D31" w:rsidRDefault="00EC492E" w:rsidP="00EC492E">
      <w:r w:rsidRPr="00824D31">
        <w:t>- возможно установить до уровня дома;</w:t>
      </w:r>
    </w:p>
    <w:p w14:paraId="2B3270C2" w14:textId="77777777" w:rsidR="00EC492E" w:rsidRPr="00824D31" w:rsidRDefault="00EC492E" w:rsidP="00EC492E">
      <w:r w:rsidRPr="00824D31">
        <w:t>- возможно установить до уровня улицы;</w:t>
      </w:r>
    </w:p>
    <w:p w14:paraId="491C8EC1" w14:textId="77777777" w:rsidR="00EC492E" w:rsidRPr="00824D31" w:rsidRDefault="00EC492E" w:rsidP="00EC492E">
      <w:r w:rsidRPr="00824D31">
        <w:t>- возможно установить до уровня кадастрового квартала.</w:t>
      </w:r>
    </w:p>
    <w:p w14:paraId="679D5881" w14:textId="77777777" w:rsidR="00EC492E" w:rsidRPr="00824D31" w:rsidRDefault="00EC492E" w:rsidP="00EC492E">
      <w:r w:rsidRPr="00824D31">
        <w:t>При этом для объектов, расположенных в населенных пунктах, численностью до 1 тысячи человек, отнесенных в подгруппу объектов, точное местоположение которых возможно установить, допустимым является установление местоположения до уровня населенного пункта.</w:t>
      </w:r>
    </w:p>
    <w:p w14:paraId="1A593744" w14:textId="77777777" w:rsidR="00EC492E" w:rsidRPr="00824D31" w:rsidRDefault="00EC492E" w:rsidP="00EC492E">
      <w:r w:rsidRPr="00824D31">
        <w:t>К подгруппе объектов, точное местоположение которых невозможно установить, относятся объекты, местоположение которых:</w:t>
      </w:r>
    </w:p>
    <w:p w14:paraId="6BA9DC7B" w14:textId="77777777" w:rsidR="00EC492E" w:rsidRPr="00824D31" w:rsidRDefault="00EC492E" w:rsidP="00EC492E">
      <w:r w:rsidRPr="00824D31">
        <w:t>- возможно установить только до уровня населенного пункта, за исключением населенных пунктов численностью до 1 тысячи человек;</w:t>
      </w:r>
    </w:p>
    <w:p w14:paraId="6E7C3E09" w14:textId="77777777" w:rsidR="00EC492E" w:rsidRPr="00824D31" w:rsidRDefault="00EC492E" w:rsidP="00EC492E">
      <w:r w:rsidRPr="00824D31">
        <w:t>- возможно установить только до уровня муниципального образования;</w:t>
      </w:r>
    </w:p>
    <w:p w14:paraId="2F64DA14" w14:textId="77777777" w:rsidR="00EC492E" w:rsidRPr="00824D31" w:rsidRDefault="00EC492E" w:rsidP="00EC492E">
      <w:r w:rsidRPr="00824D31">
        <w:t>- возможно установить только до уровня субъекта Российской Федерации.</w:t>
      </w:r>
    </w:p>
    <w:p w14:paraId="4B0F0004" w14:textId="77777777" w:rsidR="00EC492E" w:rsidRPr="00824D31" w:rsidRDefault="00EC492E" w:rsidP="00EC492E">
      <w:r w:rsidRPr="00824D31">
        <w:t>При этом объекты, расположенные в сельских населенных пунктах, относить в подгруппу объектов, точное местоположение которых невозможно установить, недопустимо в случае, когда местоположение возможно установить до уровня населенного пункта.</w:t>
      </w:r>
    </w:p>
    <w:p w14:paraId="19806FA0" w14:textId="77777777" w:rsidR="00EC492E" w:rsidRPr="00824D31" w:rsidRDefault="00EC492E" w:rsidP="00EC492E">
      <w:r w:rsidRPr="00824D31">
        <w:t>3. В зависимости от статуса населенного пункта разделение на группы (подгруппы) производилось по принципу:</w:t>
      </w:r>
    </w:p>
    <w:p w14:paraId="6F46FC41" w14:textId="77777777" w:rsidR="00EC492E" w:rsidRPr="00824D31" w:rsidRDefault="00EC492E" w:rsidP="00EC492E">
      <w:r w:rsidRPr="00824D31">
        <w:t>- объекты, расположенные в столице субъекта Российской Федерации;</w:t>
      </w:r>
    </w:p>
    <w:p w14:paraId="11482D1F" w14:textId="77777777" w:rsidR="00EC492E" w:rsidRPr="00824D31" w:rsidRDefault="00EC492E" w:rsidP="00EC492E">
      <w:r w:rsidRPr="00824D31">
        <w:t>- объекты, расположенные в прочих городских населенных пунктах;</w:t>
      </w:r>
    </w:p>
    <w:p w14:paraId="18F7BA22" w14:textId="77777777" w:rsidR="00EC492E" w:rsidRPr="00824D31" w:rsidRDefault="00EC492E" w:rsidP="00EC492E">
      <w:r w:rsidRPr="00824D31">
        <w:t>- объекты, расположенные в сельских населенных пунктах;</w:t>
      </w:r>
    </w:p>
    <w:p w14:paraId="72AC62D8" w14:textId="77777777" w:rsidR="00EC492E" w:rsidRPr="00824D31" w:rsidRDefault="00EC492E" w:rsidP="00EC492E">
      <w:r w:rsidRPr="00824D31">
        <w:t>-  объекты, расположенные вне черты населенных пунктов.</w:t>
      </w:r>
    </w:p>
    <w:p w14:paraId="5A58F705" w14:textId="77777777" w:rsidR="00EC492E" w:rsidRPr="00824D31" w:rsidRDefault="00EC492E" w:rsidP="00EC492E">
      <w:r w:rsidRPr="00824D31">
        <w:t xml:space="preserve">Выделенные на оцениваемой территории группы объектов оценки соответствуют следующим требованиям: </w:t>
      </w:r>
    </w:p>
    <w:p w14:paraId="22097314" w14:textId="77777777" w:rsidR="00EC492E" w:rsidRPr="00824D31" w:rsidRDefault="00EC492E" w:rsidP="00EC492E">
      <w:r w:rsidRPr="00824D31">
        <w:t>- однородны с точки зрения значений (диапазонов значений) ценообразующих факторов;</w:t>
      </w:r>
    </w:p>
    <w:p w14:paraId="5F908E32" w14:textId="77777777" w:rsidR="00EC492E" w:rsidRPr="00824D31" w:rsidRDefault="00EC492E" w:rsidP="00EC492E">
      <w:r w:rsidRPr="00824D31">
        <w:t>- полностью покрывают группу объектов оценки (каждый объект оценки должен быть отнесен к какой-либо группе/подгруппе);</w:t>
      </w:r>
    </w:p>
    <w:p w14:paraId="47ABFC64" w14:textId="77777777" w:rsidR="00EC492E" w:rsidRPr="00824D31" w:rsidRDefault="00EC492E" w:rsidP="00EC492E">
      <w:r w:rsidRPr="00824D31">
        <w:t>- не пересекаются - объект оценки может быть отнесен только к одной группе/подгруппе.</w:t>
      </w:r>
    </w:p>
    <w:p w14:paraId="2BFE5535" w14:textId="77777777" w:rsidR="00EC492E" w:rsidRPr="00824D31" w:rsidRDefault="00EC492E" w:rsidP="00EC492E">
      <w:r w:rsidRPr="00824D31">
        <w:t xml:space="preserve">Представленная группировка позволяет объединить объекты недвижимости по общности признаков со схожими принципами ценообразования и примерно одинаковым уровнем цен на объекты недвижимости. </w:t>
      </w:r>
    </w:p>
    <w:p w14:paraId="571793AA" w14:textId="4B11A100" w:rsidR="00EC492E" w:rsidRPr="00824D31" w:rsidRDefault="00EC492E" w:rsidP="00EC492E">
      <w:r w:rsidRPr="00824D31">
        <w:t>Номера подрупп,</w:t>
      </w:r>
      <w:r w:rsidR="008F16D6">
        <w:t xml:space="preserve"> </w:t>
      </w:r>
      <w:r w:rsidRPr="00824D31">
        <w:t>входящих в состав группы: 0101, 0102. Объекты, относящиеся по классификатору к подгруппам 0103, 0104, 0105, 0106 на территории Республики Саха (Якутия) отсутствуют.</w:t>
      </w:r>
    </w:p>
    <w:p w14:paraId="3E88D08D" w14:textId="640AFFD1" w:rsidR="00EC492E" w:rsidRPr="00824D31" w:rsidRDefault="00EC492E" w:rsidP="00EC492E">
      <w:r w:rsidRPr="00824D31">
        <w:t xml:space="preserve">Общее количество Объектов оценки, отнесенных к группе «Многоквартирные дома (дома средне- и многоэтажной застройки)» составляет 197 </w:t>
      </w:r>
      <w:r w:rsidR="00AA2A17">
        <w:t>755</w:t>
      </w:r>
      <w:r w:rsidRPr="00824D31">
        <w:t> Объектов.</w:t>
      </w:r>
    </w:p>
    <w:p w14:paraId="21B58B5D" w14:textId="77777777" w:rsidR="00EC492E" w:rsidRPr="00824D31" w:rsidRDefault="00EC492E" w:rsidP="00EC492E"/>
    <w:p w14:paraId="4CB035F7" w14:textId="187AE3CE" w:rsidR="00EC492E" w:rsidRPr="00824D31" w:rsidRDefault="00EC492E" w:rsidP="00763AD2">
      <w:pPr>
        <w:pStyle w:val="afffffff0"/>
      </w:pPr>
      <w:r w:rsidRPr="00824D31">
        <w:t xml:space="preserve">Таблица </w:t>
      </w:r>
      <w:r w:rsidR="00A90944">
        <w:fldChar w:fldCharType="begin"/>
      </w:r>
      <w:r w:rsidR="00A90944">
        <w:instrText xml:space="preserve"> SEQ Таблица \* ARABIC </w:instrText>
      </w:r>
      <w:r w:rsidR="00A90944">
        <w:fldChar w:fldCharType="separate"/>
      </w:r>
      <w:r w:rsidR="00FD2769">
        <w:rPr>
          <w:noProof/>
        </w:rPr>
        <w:t>31</w:t>
      </w:r>
      <w:r w:rsidR="00A90944">
        <w:rPr>
          <w:noProof/>
        </w:rPr>
        <w:fldChar w:fldCharType="end"/>
      </w:r>
      <w:r w:rsidRPr="00824D31">
        <w:t xml:space="preserve"> Результат группировки Объектов оценки в рамках группы 1 Многоквартирные дома (дома средне- и многоэтажной застройки) </w:t>
      </w:r>
    </w:p>
    <w:tbl>
      <w:tblPr>
        <w:tblW w:w="93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5"/>
        <w:gridCol w:w="1274"/>
        <w:gridCol w:w="4250"/>
        <w:gridCol w:w="1274"/>
        <w:gridCol w:w="992"/>
      </w:tblGrid>
      <w:tr w:rsidR="00EC492E" w:rsidRPr="00824D31" w14:paraId="67FD3969" w14:textId="77777777" w:rsidTr="00EC492E">
        <w:trPr>
          <w:trHeight w:val="20"/>
          <w:tblHeader/>
        </w:trPr>
        <w:tc>
          <w:tcPr>
            <w:tcW w:w="1555" w:type="dxa"/>
            <w:tcBorders>
              <w:top w:val="single" w:sz="4" w:space="0" w:color="auto"/>
              <w:left w:val="single" w:sz="4" w:space="0" w:color="auto"/>
              <w:bottom w:val="single" w:sz="4" w:space="0" w:color="auto"/>
              <w:right w:val="single" w:sz="4" w:space="0" w:color="auto"/>
            </w:tcBorders>
            <w:hideMark/>
          </w:tcPr>
          <w:p w14:paraId="1F133400" w14:textId="77777777" w:rsidR="00EC492E" w:rsidRPr="008F16D6" w:rsidRDefault="00EC492E" w:rsidP="008F16D6">
            <w:pPr>
              <w:ind w:firstLine="30"/>
              <w:jc w:val="center"/>
              <w:rPr>
                <w:b/>
              </w:rPr>
            </w:pPr>
            <w:r w:rsidRPr="008F16D6">
              <w:rPr>
                <w:b/>
              </w:rPr>
              <w:t>Наименование группы</w:t>
            </w:r>
          </w:p>
        </w:tc>
        <w:tc>
          <w:tcPr>
            <w:tcW w:w="1275" w:type="dxa"/>
            <w:tcBorders>
              <w:top w:val="single" w:sz="4" w:space="0" w:color="auto"/>
              <w:left w:val="single" w:sz="4" w:space="0" w:color="auto"/>
              <w:bottom w:val="single" w:sz="4" w:space="0" w:color="auto"/>
              <w:right w:val="single" w:sz="4" w:space="0" w:color="auto"/>
            </w:tcBorders>
            <w:hideMark/>
          </w:tcPr>
          <w:p w14:paraId="3EBEB3B9" w14:textId="77777777" w:rsidR="00EC492E" w:rsidRPr="008F16D6" w:rsidRDefault="00EC492E" w:rsidP="008F16D6">
            <w:pPr>
              <w:ind w:firstLine="30"/>
              <w:jc w:val="center"/>
              <w:rPr>
                <w:b/>
              </w:rPr>
            </w:pPr>
            <w:r w:rsidRPr="008F16D6">
              <w:rPr>
                <w:b/>
              </w:rPr>
              <w:t>Код подгруппы</w:t>
            </w:r>
          </w:p>
        </w:tc>
        <w:tc>
          <w:tcPr>
            <w:tcW w:w="4253" w:type="dxa"/>
            <w:tcBorders>
              <w:top w:val="single" w:sz="4" w:space="0" w:color="auto"/>
              <w:left w:val="single" w:sz="4" w:space="0" w:color="auto"/>
              <w:bottom w:val="single" w:sz="4" w:space="0" w:color="auto"/>
              <w:right w:val="single" w:sz="4" w:space="0" w:color="auto"/>
            </w:tcBorders>
            <w:hideMark/>
          </w:tcPr>
          <w:p w14:paraId="3501A43D" w14:textId="77777777" w:rsidR="00EC492E" w:rsidRPr="008F16D6" w:rsidRDefault="00EC492E" w:rsidP="008F16D6">
            <w:pPr>
              <w:ind w:firstLine="30"/>
              <w:jc w:val="center"/>
              <w:rPr>
                <w:b/>
              </w:rPr>
            </w:pPr>
            <w:r w:rsidRPr="008F16D6">
              <w:rPr>
                <w:b/>
              </w:rPr>
              <w:t>Наименование функциональной подгруппы</w:t>
            </w:r>
          </w:p>
        </w:tc>
        <w:tc>
          <w:tcPr>
            <w:tcW w:w="1275" w:type="dxa"/>
            <w:tcBorders>
              <w:top w:val="single" w:sz="4" w:space="0" w:color="auto"/>
              <w:left w:val="single" w:sz="4" w:space="0" w:color="auto"/>
              <w:bottom w:val="single" w:sz="4" w:space="0" w:color="auto"/>
              <w:right w:val="single" w:sz="4" w:space="0" w:color="auto"/>
            </w:tcBorders>
            <w:hideMark/>
          </w:tcPr>
          <w:p w14:paraId="1B067E72" w14:textId="6901576A" w:rsidR="00EC492E" w:rsidRPr="008F16D6" w:rsidRDefault="00EC492E" w:rsidP="008F16D6">
            <w:pPr>
              <w:ind w:firstLine="30"/>
              <w:jc w:val="center"/>
              <w:rPr>
                <w:b/>
              </w:rPr>
            </w:pPr>
            <w:r w:rsidRPr="008F16D6">
              <w:rPr>
                <w:b/>
              </w:rPr>
              <w:t>Количество</w:t>
            </w:r>
          </w:p>
        </w:tc>
        <w:tc>
          <w:tcPr>
            <w:tcW w:w="993" w:type="dxa"/>
            <w:tcBorders>
              <w:top w:val="single" w:sz="4" w:space="0" w:color="auto"/>
              <w:left w:val="single" w:sz="4" w:space="0" w:color="auto"/>
              <w:bottom w:val="single" w:sz="4" w:space="0" w:color="auto"/>
              <w:right w:val="single" w:sz="4" w:space="0" w:color="auto"/>
            </w:tcBorders>
            <w:hideMark/>
          </w:tcPr>
          <w:p w14:paraId="632D9D6D" w14:textId="77777777" w:rsidR="00EC492E" w:rsidRPr="008F16D6" w:rsidRDefault="00EC492E" w:rsidP="008F16D6">
            <w:pPr>
              <w:ind w:firstLine="30"/>
              <w:jc w:val="center"/>
              <w:rPr>
                <w:b/>
              </w:rPr>
            </w:pPr>
            <w:r w:rsidRPr="008F16D6">
              <w:rPr>
                <w:b/>
              </w:rPr>
              <w:t>Доля, %</w:t>
            </w:r>
          </w:p>
        </w:tc>
      </w:tr>
      <w:tr w:rsidR="00EC492E" w:rsidRPr="00824D31" w14:paraId="6A3EED98" w14:textId="77777777" w:rsidTr="003E7D86">
        <w:trPr>
          <w:cantSplit/>
          <w:trHeight w:val="20"/>
        </w:trPr>
        <w:tc>
          <w:tcPr>
            <w:tcW w:w="1555" w:type="dxa"/>
            <w:vMerge w:val="restart"/>
            <w:tcBorders>
              <w:top w:val="single" w:sz="4" w:space="0" w:color="auto"/>
              <w:left w:val="single" w:sz="4" w:space="0" w:color="auto"/>
              <w:bottom w:val="single" w:sz="4" w:space="0" w:color="auto"/>
              <w:right w:val="single" w:sz="4" w:space="0" w:color="auto"/>
            </w:tcBorders>
            <w:vAlign w:val="center"/>
            <w:hideMark/>
          </w:tcPr>
          <w:p w14:paraId="789050AD" w14:textId="77777777" w:rsidR="00EC492E" w:rsidRPr="00824D31" w:rsidRDefault="00EC492E" w:rsidP="008F16D6">
            <w:pPr>
              <w:ind w:firstLine="30"/>
            </w:pPr>
            <w:r w:rsidRPr="00824D31">
              <w:t>«Многоквартирные дома (дома средне- и многоэтажной застройки)»</w:t>
            </w:r>
          </w:p>
        </w:tc>
        <w:tc>
          <w:tcPr>
            <w:tcW w:w="1275" w:type="dxa"/>
            <w:tcBorders>
              <w:top w:val="single" w:sz="4" w:space="0" w:color="auto"/>
              <w:left w:val="single" w:sz="4" w:space="0" w:color="auto"/>
              <w:bottom w:val="single" w:sz="4" w:space="0" w:color="auto"/>
              <w:right w:val="single" w:sz="4" w:space="0" w:color="auto"/>
            </w:tcBorders>
            <w:vAlign w:val="center"/>
            <w:hideMark/>
          </w:tcPr>
          <w:p w14:paraId="5373ED64" w14:textId="77777777" w:rsidR="00EC492E" w:rsidRPr="00824D31" w:rsidRDefault="00EC492E" w:rsidP="008F16D6">
            <w:pPr>
              <w:ind w:firstLine="30"/>
            </w:pPr>
            <w:r w:rsidRPr="00824D31">
              <w:t>0101</w:t>
            </w:r>
          </w:p>
        </w:tc>
        <w:tc>
          <w:tcPr>
            <w:tcW w:w="4253" w:type="dxa"/>
            <w:tcBorders>
              <w:top w:val="single" w:sz="4" w:space="0" w:color="auto"/>
              <w:left w:val="single" w:sz="4" w:space="0" w:color="auto"/>
              <w:bottom w:val="single" w:sz="4" w:space="0" w:color="auto"/>
              <w:right w:val="single" w:sz="4" w:space="0" w:color="auto"/>
            </w:tcBorders>
            <w:vAlign w:val="center"/>
            <w:hideMark/>
          </w:tcPr>
          <w:p w14:paraId="2166E893" w14:textId="77777777" w:rsidR="00EC492E" w:rsidRPr="00824D31" w:rsidRDefault="00EC492E" w:rsidP="008F16D6">
            <w:pPr>
              <w:ind w:firstLine="30"/>
            </w:pPr>
            <w:r w:rsidRPr="00824D31">
              <w:t>Дома жилые экономического класса (с преобладанием малогабаритных квартир)</w:t>
            </w:r>
          </w:p>
        </w:tc>
        <w:tc>
          <w:tcPr>
            <w:tcW w:w="1275" w:type="dxa"/>
            <w:tcBorders>
              <w:top w:val="single" w:sz="4" w:space="0" w:color="auto"/>
              <w:left w:val="single" w:sz="4" w:space="0" w:color="auto"/>
              <w:bottom w:val="single" w:sz="4" w:space="0" w:color="auto"/>
              <w:right w:val="single" w:sz="4" w:space="0" w:color="auto"/>
            </w:tcBorders>
            <w:vAlign w:val="center"/>
            <w:hideMark/>
          </w:tcPr>
          <w:p w14:paraId="03F521AD" w14:textId="59DC701D" w:rsidR="00EC492E" w:rsidRPr="00824D31" w:rsidRDefault="003E7D86" w:rsidP="003E7D86">
            <w:pPr>
              <w:ind w:firstLine="30"/>
              <w:jc w:val="center"/>
            </w:pPr>
            <w:r>
              <w:t>182 154</w:t>
            </w:r>
          </w:p>
        </w:tc>
        <w:tc>
          <w:tcPr>
            <w:tcW w:w="993" w:type="dxa"/>
            <w:tcBorders>
              <w:top w:val="single" w:sz="4" w:space="0" w:color="auto"/>
              <w:left w:val="single" w:sz="4" w:space="0" w:color="auto"/>
              <w:bottom w:val="single" w:sz="4" w:space="0" w:color="auto"/>
              <w:right w:val="single" w:sz="4" w:space="0" w:color="auto"/>
            </w:tcBorders>
            <w:vAlign w:val="center"/>
            <w:hideMark/>
          </w:tcPr>
          <w:p w14:paraId="6E19AE41" w14:textId="0D740F70" w:rsidR="00EC492E" w:rsidRPr="00824D31" w:rsidRDefault="00050D6C" w:rsidP="003E7D86">
            <w:pPr>
              <w:ind w:firstLine="30"/>
              <w:jc w:val="center"/>
            </w:pPr>
            <w:r>
              <w:t>92,11</w:t>
            </w:r>
          </w:p>
        </w:tc>
      </w:tr>
      <w:tr w:rsidR="00EC492E" w:rsidRPr="00824D31" w14:paraId="7033C4B9" w14:textId="77777777" w:rsidTr="003E7D86">
        <w:trPr>
          <w:cantSplit/>
          <w:trHeight w:val="20"/>
        </w:trPr>
        <w:tc>
          <w:tcPr>
            <w:tcW w:w="1555" w:type="dxa"/>
            <w:vMerge/>
            <w:tcBorders>
              <w:top w:val="single" w:sz="4" w:space="0" w:color="auto"/>
              <w:left w:val="single" w:sz="4" w:space="0" w:color="auto"/>
              <w:bottom w:val="single" w:sz="4" w:space="0" w:color="auto"/>
              <w:right w:val="single" w:sz="4" w:space="0" w:color="auto"/>
            </w:tcBorders>
            <w:vAlign w:val="center"/>
            <w:hideMark/>
          </w:tcPr>
          <w:p w14:paraId="0B2DD556" w14:textId="77777777" w:rsidR="00EC492E" w:rsidRPr="00824D31" w:rsidRDefault="00EC492E" w:rsidP="008F16D6">
            <w:pPr>
              <w:ind w:firstLine="30"/>
            </w:pPr>
          </w:p>
        </w:tc>
        <w:tc>
          <w:tcPr>
            <w:tcW w:w="1275" w:type="dxa"/>
            <w:tcBorders>
              <w:top w:val="single" w:sz="4" w:space="0" w:color="auto"/>
              <w:left w:val="single" w:sz="4" w:space="0" w:color="auto"/>
              <w:bottom w:val="single" w:sz="4" w:space="0" w:color="auto"/>
              <w:right w:val="single" w:sz="4" w:space="0" w:color="auto"/>
            </w:tcBorders>
            <w:vAlign w:val="center"/>
            <w:hideMark/>
          </w:tcPr>
          <w:p w14:paraId="785DF40B" w14:textId="77777777" w:rsidR="00EC492E" w:rsidRPr="00824D31" w:rsidRDefault="00EC492E" w:rsidP="008F16D6">
            <w:pPr>
              <w:ind w:firstLine="30"/>
            </w:pPr>
            <w:r w:rsidRPr="00824D31">
              <w:t>0102</w:t>
            </w:r>
          </w:p>
        </w:tc>
        <w:tc>
          <w:tcPr>
            <w:tcW w:w="4253" w:type="dxa"/>
            <w:tcBorders>
              <w:top w:val="single" w:sz="4" w:space="0" w:color="auto"/>
              <w:left w:val="single" w:sz="4" w:space="0" w:color="auto"/>
              <w:bottom w:val="single" w:sz="4" w:space="0" w:color="auto"/>
              <w:right w:val="single" w:sz="4" w:space="0" w:color="auto"/>
            </w:tcBorders>
            <w:vAlign w:val="center"/>
            <w:hideMark/>
          </w:tcPr>
          <w:p w14:paraId="476845DA" w14:textId="77777777" w:rsidR="00EC492E" w:rsidRPr="00824D31" w:rsidRDefault="00EC492E" w:rsidP="008F16D6">
            <w:pPr>
              <w:ind w:firstLine="30"/>
            </w:pPr>
            <w:r w:rsidRPr="00824D31">
              <w:t>Дома жилые со встроенными нежилыми помещениями от 6 этажей</w:t>
            </w:r>
          </w:p>
        </w:tc>
        <w:tc>
          <w:tcPr>
            <w:tcW w:w="1275" w:type="dxa"/>
            <w:tcBorders>
              <w:top w:val="single" w:sz="4" w:space="0" w:color="auto"/>
              <w:left w:val="single" w:sz="4" w:space="0" w:color="auto"/>
              <w:bottom w:val="single" w:sz="4" w:space="0" w:color="auto"/>
              <w:right w:val="single" w:sz="4" w:space="0" w:color="auto"/>
            </w:tcBorders>
            <w:vAlign w:val="center"/>
            <w:hideMark/>
          </w:tcPr>
          <w:p w14:paraId="064C9FC7" w14:textId="087EE6D1" w:rsidR="00EC492E" w:rsidRPr="00824D31" w:rsidRDefault="003E7D86" w:rsidP="003E7D86">
            <w:pPr>
              <w:ind w:firstLine="30"/>
              <w:jc w:val="center"/>
            </w:pPr>
            <w:r>
              <w:t xml:space="preserve">15 </w:t>
            </w:r>
            <w:r w:rsidR="00050D6C">
              <w:t>60</w:t>
            </w:r>
            <w:r>
              <w:t>1</w:t>
            </w:r>
          </w:p>
        </w:tc>
        <w:tc>
          <w:tcPr>
            <w:tcW w:w="993" w:type="dxa"/>
            <w:tcBorders>
              <w:top w:val="single" w:sz="4" w:space="0" w:color="auto"/>
              <w:left w:val="single" w:sz="4" w:space="0" w:color="auto"/>
              <w:bottom w:val="single" w:sz="4" w:space="0" w:color="auto"/>
              <w:right w:val="single" w:sz="4" w:space="0" w:color="auto"/>
            </w:tcBorders>
            <w:vAlign w:val="center"/>
            <w:hideMark/>
          </w:tcPr>
          <w:p w14:paraId="449A5821" w14:textId="4A553EE6" w:rsidR="00EC492E" w:rsidRPr="00824D31" w:rsidRDefault="00050D6C" w:rsidP="003E7D86">
            <w:pPr>
              <w:ind w:firstLine="30"/>
              <w:jc w:val="center"/>
            </w:pPr>
            <w:r>
              <w:t>7,89</w:t>
            </w:r>
          </w:p>
        </w:tc>
      </w:tr>
      <w:tr w:rsidR="00EC492E" w:rsidRPr="00824D31" w14:paraId="2F5EF87D" w14:textId="77777777" w:rsidTr="003E7D86">
        <w:trPr>
          <w:cantSplit/>
          <w:trHeight w:val="20"/>
        </w:trPr>
        <w:tc>
          <w:tcPr>
            <w:tcW w:w="1555" w:type="dxa"/>
            <w:tcBorders>
              <w:top w:val="single" w:sz="4" w:space="0" w:color="auto"/>
              <w:left w:val="single" w:sz="4" w:space="0" w:color="auto"/>
              <w:bottom w:val="single" w:sz="4" w:space="0" w:color="auto"/>
              <w:right w:val="single" w:sz="4" w:space="0" w:color="auto"/>
            </w:tcBorders>
            <w:vAlign w:val="center"/>
          </w:tcPr>
          <w:p w14:paraId="0D0EEC24" w14:textId="77777777" w:rsidR="00EC492E" w:rsidRPr="00824D31" w:rsidRDefault="00EC492E" w:rsidP="008F16D6">
            <w:pPr>
              <w:ind w:firstLine="30"/>
            </w:pPr>
          </w:p>
        </w:tc>
        <w:tc>
          <w:tcPr>
            <w:tcW w:w="1275" w:type="dxa"/>
            <w:tcBorders>
              <w:top w:val="single" w:sz="4" w:space="0" w:color="auto"/>
              <w:left w:val="single" w:sz="4" w:space="0" w:color="auto"/>
              <w:bottom w:val="single" w:sz="4" w:space="0" w:color="auto"/>
              <w:right w:val="single" w:sz="4" w:space="0" w:color="auto"/>
            </w:tcBorders>
            <w:vAlign w:val="center"/>
          </w:tcPr>
          <w:p w14:paraId="1085C92B" w14:textId="77777777" w:rsidR="00EC492E" w:rsidRPr="00824D31" w:rsidRDefault="00EC492E" w:rsidP="008F16D6">
            <w:pPr>
              <w:ind w:firstLine="30"/>
            </w:pPr>
          </w:p>
        </w:tc>
        <w:tc>
          <w:tcPr>
            <w:tcW w:w="4253" w:type="dxa"/>
            <w:tcBorders>
              <w:top w:val="single" w:sz="4" w:space="0" w:color="auto"/>
              <w:left w:val="single" w:sz="4" w:space="0" w:color="auto"/>
              <w:bottom w:val="single" w:sz="4" w:space="0" w:color="auto"/>
              <w:right w:val="single" w:sz="4" w:space="0" w:color="auto"/>
            </w:tcBorders>
            <w:vAlign w:val="center"/>
          </w:tcPr>
          <w:p w14:paraId="778330EA" w14:textId="77777777" w:rsidR="00EC492E" w:rsidRPr="00824D31" w:rsidRDefault="00EC492E" w:rsidP="008F16D6">
            <w:pPr>
              <w:ind w:firstLine="30"/>
            </w:pPr>
          </w:p>
        </w:tc>
        <w:tc>
          <w:tcPr>
            <w:tcW w:w="1275" w:type="dxa"/>
            <w:tcBorders>
              <w:top w:val="single" w:sz="4" w:space="0" w:color="auto"/>
              <w:left w:val="single" w:sz="4" w:space="0" w:color="auto"/>
              <w:bottom w:val="single" w:sz="4" w:space="0" w:color="auto"/>
              <w:right w:val="single" w:sz="4" w:space="0" w:color="auto"/>
            </w:tcBorders>
            <w:vAlign w:val="center"/>
            <w:hideMark/>
          </w:tcPr>
          <w:p w14:paraId="7EF866FB" w14:textId="4D16DF6D" w:rsidR="00EC492E" w:rsidRPr="00824D31" w:rsidRDefault="00631CA6" w:rsidP="003E7D86">
            <w:pPr>
              <w:ind w:firstLine="30"/>
              <w:jc w:val="center"/>
            </w:pPr>
            <w:r>
              <w:t>197</w:t>
            </w:r>
            <w:r w:rsidR="003E7D86">
              <w:t xml:space="preserve"> 755</w:t>
            </w:r>
          </w:p>
        </w:tc>
        <w:tc>
          <w:tcPr>
            <w:tcW w:w="993" w:type="dxa"/>
            <w:tcBorders>
              <w:top w:val="single" w:sz="4" w:space="0" w:color="auto"/>
              <w:left w:val="single" w:sz="4" w:space="0" w:color="auto"/>
              <w:bottom w:val="single" w:sz="4" w:space="0" w:color="auto"/>
              <w:right w:val="single" w:sz="4" w:space="0" w:color="auto"/>
            </w:tcBorders>
            <w:vAlign w:val="center"/>
            <w:hideMark/>
          </w:tcPr>
          <w:p w14:paraId="1A93B3A1" w14:textId="4C3FB1AE" w:rsidR="00EC492E" w:rsidRPr="00824D31" w:rsidRDefault="00EC492E" w:rsidP="003E7D86">
            <w:pPr>
              <w:ind w:firstLine="30"/>
              <w:jc w:val="center"/>
            </w:pPr>
            <w:r w:rsidRPr="00824D31">
              <w:t>100,00</w:t>
            </w:r>
          </w:p>
        </w:tc>
      </w:tr>
    </w:tbl>
    <w:p w14:paraId="696F9472" w14:textId="77777777" w:rsidR="00EC492E" w:rsidRPr="00824D31" w:rsidRDefault="00EC492E" w:rsidP="00EC492E"/>
    <w:p w14:paraId="789ECCBA" w14:textId="77777777" w:rsidR="00EC492E" w:rsidRPr="00824D31" w:rsidRDefault="00EC492E" w:rsidP="00EC492E">
      <w:r w:rsidRPr="00824D31">
        <w:t>Основную часть Объектов рассматриваемой группы составляют «Дома жилые экономического класса (с преобладанием малогабаритных квартир)» - 92,10%.</w:t>
      </w:r>
    </w:p>
    <w:p w14:paraId="7F20EA50" w14:textId="77777777" w:rsidR="00EC492E" w:rsidRPr="00824D31" w:rsidRDefault="00EC492E" w:rsidP="00EC492E"/>
    <w:p w14:paraId="2CC9EAE3" w14:textId="07477C1E" w:rsidR="00EC492E" w:rsidRPr="00824D31" w:rsidRDefault="00EC492E" w:rsidP="00EC492E">
      <w:r w:rsidRPr="00824D31">
        <w:rPr>
          <w:noProof/>
          <w:lang w:eastAsia="ru-RU"/>
        </w:rPr>
        <w:drawing>
          <wp:inline distT="0" distB="0" distL="0" distR="0" wp14:anchorId="1041AA92" wp14:editId="2827507C">
            <wp:extent cx="5210175" cy="3714750"/>
            <wp:effectExtent l="0" t="0" r="9525" b="0"/>
            <wp:docPr id="8" name="Рисунок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36"/>
                    <pic:cNvPicPr>
                      <a:picLocks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5210175" cy="3714750"/>
                    </a:xfrm>
                    <a:prstGeom prst="rect">
                      <a:avLst/>
                    </a:prstGeom>
                    <a:noFill/>
                    <a:ln>
                      <a:noFill/>
                    </a:ln>
                  </pic:spPr>
                </pic:pic>
              </a:graphicData>
            </a:graphic>
          </wp:inline>
        </w:drawing>
      </w:r>
    </w:p>
    <w:p w14:paraId="5944C8A0" w14:textId="138FE156" w:rsidR="00EC492E" w:rsidRPr="00824D31" w:rsidRDefault="00EC492E" w:rsidP="00EC492E">
      <w:r w:rsidRPr="00824D31">
        <w:t xml:space="preserve">Рисунок </w:t>
      </w:r>
      <w:r w:rsidR="00A90944">
        <w:fldChar w:fldCharType="begin"/>
      </w:r>
      <w:r w:rsidR="00A90944">
        <w:instrText xml:space="preserve"> SEQ Рисунок \* ARABIC </w:instrText>
      </w:r>
      <w:r w:rsidR="00A90944">
        <w:fldChar w:fldCharType="separate"/>
      </w:r>
      <w:r w:rsidR="00FD2769">
        <w:rPr>
          <w:noProof/>
        </w:rPr>
        <w:t>57</w:t>
      </w:r>
      <w:r w:rsidR="00A90944">
        <w:rPr>
          <w:noProof/>
        </w:rPr>
        <w:fldChar w:fldCharType="end"/>
      </w:r>
      <w:r w:rsidRPr="00824D31">
        <w:t xml:space="preserve"> Распределение Объектов 1 группы по территории РС (Я) (по муниципальным районам/городским округам)</w:t>
      </w:r>
    </w:p>
    <w:p w14:paraId="73C74B3A" w14:textId="481F6DAD" w:rsidR="008F16D6" w:rsidRDefault="008F16D6" w:rsidP="00EC492E"/>
    <w:p w14:paraId="78BF66F4" w14:textId="138C4521" w:rsidR="008B2763" w:rsidRDefault="008B2763" w:rsidP="00EC492E"/>
    <w:p w14:paraId="0744C18F" w14:textId="6E52FC83" w:rsidR="008B2763" w:rsidRDefault="008B2763" w:rsidP="00EC492E"/>
    <w:p w14:paraId="00AE13F2" w14:textId="77777777" w:rsidR="008B2763" w:rsidRPr="00824D31" w:rsidRDefault="008B2763" w:rsidP="00EC492E"/>
    <w:p w14:paraId="07C98AAC" w14:textId="68F8B8FA" w:rsidR="00EC492E" w:rsidRPr="00824D31" w:rsidRDefault="00EC492E" w:rsidP="00763AD2">
      <w:pPr>
        <w:pStyle w:val="afffffff0"/>
      </w:pPr>
      <w:r w:rsidRPr="00824D31">
        <w:t xml:space="preserve">Таблица </w:t>
      </w:r>
      <w:r w:rsidR="00A90944">
        <w:fldChar w:fldCharType="begin"/>
      </w:r>
      <w:r w:rsidR="00A90944">
        <w:instrText xml:space="preserve"> SEQ Таблица \* ARABIC </w:instrText>
      </w:r>
      <w:r w:rsidR="00A90944">
        <w:fldChar w:fldCharType="separate"/>
      </w:r>
      <w:r w:rsidR="00FD2769">
        <w:rPr>
          <w:noProof/>
        </w:rPr>
        <w:t>32</w:t>
      </w:r>
      <w:r w:rsidR="00A90944">
        <w:rPr>
          <w:noProof/>
        </w:rPr>
        <w:fldChar w:fldCharType="end"/>
      </w:r>
      <w:r w:rsidRPr="00824D31">
        <w:t xml:space="preserve"> Распределение Объектов оценки в рамках группы </w:t>
      </w:r>
      <w:r w:rsidR="00631CA6">
        <w:t>1</w:t>
      </w:r>
      <w:r w:rsidRPr="00824D31">
        <w:t xml:space="preserve"> </w:t>
      </w:r>
      <w:r w:rsidR="00631CA6" w:rsidRPr="00824D31">
        <w:t>Многоквартирные дома (дома средне- и многоэтажной застройки)</w:t>
      </w:r>
      <w:r w:rsidRPr="00824D31">
        <w:t xml:space="preserve"> по МО/ГО</w:t>
      </w:r>
    </w:p>
    <w:tbl>
      <w:tblPr>
        <w:tblW w:w="96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81"/>
        <w:gridCol w:w="5059"/>
        <w:gridCol w:w="1712"/>
        <w:gridCol w:w="1981"/>
      </w:tblGrid>
      <w:tr w:rsidR="00EC492E" w:rsidRPr="00824D31" w14:paraId="6B75322D" w14:textId="77777777" w:rsidTr="008B2763">
        <w:trPr>
          <w:trHeight w:val="345"/>
        </w:trPr>
        <w:tc>
          <w:tcPr>
            <w:tcW w:w="879" w:type="dxa"/>
            <w:tcBorders>
              <w:top w:val="single" w:sz="4" w:space="0" w:color="auto"/>
              <w:left w:val="single" w:sz="4" w:space="0" w:color="auto"/>
              <w:bottom w:val="single" w:sz="4" w:space="0" w:color="auto"/>
              <w:right w:val="single" w:sz="4" w:space="0" w:color="auto"/>
            </w:tcBorders>
            <w:shd w:val="pct25" w:color="000000" w:fill="auto"/>
            <w:hideMark/>
          </w:tcPr>
          <w:p w14:paraId="59D98D0C" w14:textId="77777777" w:rsidR="00EC492E" w:rsidRPr="00824D31" w:rsidRDefault="00EC492E" w:rsidP="008B2763">
            <w:pPr>
              <w:ind w:firstLine="35"/>
              <w:rPr>
                <w:lang w:eastAsia="ru-RU"/>
              </w:rPr>
            </w:pPr>
            <w:r w:rsidRPr="00824D31">
              <w:t>№ п/п</w:t>
            </w:r>
          </w:p>
        </w:tc>
        <w:tc>
          <w:tcPr>
            <w:tcW w:w="5059" w:type="dxa"/>
            <w:tcBorders>
              <w:top w:val="single" w:sz="4" w:space="0" w:color="auto"/>
              <w:left w:val="single" w:sz="4" w:space="0" w:color="auto"/>
              <w:bottom w:val="single" w:sz="4" w:space="0" w:color="auto"/>
              <w:right w:val="single" w:sz="4" w:space="0" w:color="auto"/>
            </w:tcBorders>
            <w:shd w:val="pct25" w:color="000000" w:fill="auto"/>
            <w:noWrap/>
            <w:vAlign w:val="bottom"/>
            <w:hideMark/>
          </w:tcPr>
          <w:p w14:paraId="0A04F7C7" w14:textId="77777777" w:rsidR="00EC492E" w:rsidRPr="00824D31" w:rsidRDefault="00EC492E" w:rsidP="00EC492E">
            <w:pPr>
              <w:rPr>
                <w:lang w:val="x-none"/>
              </w:rPr>
            </w:pPr>
            <w:r w:rsidRPr="00824D31">
              <w:t>Муниципальный район, городской округ</w:t>
            </w:r>
          </w:p>
        </w:tc>
        <w:tc>
          <w:tcPr>
            <w:tcW w:w="1712" w:type="dxa"/>
            <w:tcBorders>
              <w:top w:val="single" w:sz="4" w:space="0" w:color="auto"/>
              <w:left w:val="single" w:sz="4" w:space="0" w:color="auto"/>
              <w:bottom w:val="single" w:sz="4" w:space="0" w:color="auto"/>
              <w:right w:val="single" w:sz="4" w:space="0" w:color="auto"/>
            </w:tcBorders>
            <w:shd w:val="pct25" w:color="000000" w:fill="auto"/>
            <w:noWrap/>
            <w:vAlign w:val="bottom"/>
            <w:hideMark/>
          </w:tcPr>
          <w:p w14:paraId="7BA24EC7" w14:textId="77777777" w:rsidR="00EC492E" w:rsidRPr="00824D31" w:rsidRDefault="00EC492E" w:rsidP="00EC492E">
            <w:pPr>
              <w:ind w:firstLine="11"/>
            </w:pPr>
            <w:r w:rsidRPr="00824D31">
              <w:t>Количество</w:t>
            </w:r>
          </w:p>
        </w:tc>
        <w:tc>
          <w:tcPr>
            <w:tcW w:w="1981" w:type="dxa"/>
            <w:tcBorders>
              <w:top w:val="single" w:sz="4" w:space="0" w:color="auto"/>
              <w:left w:val="single" w:sz="4" w:space="0" w:color="auto"/>
              <w:bottom w:val="single" w:sz="4" w:space="0" w:color="auto"/>
              <w:right w:val="single" w:sz="4" w:space="0" w:color="auto"/>
            </w:tcBorders>
            <w:shd w:val="pct25" w:color="000000" w:fill="auto"/>
            <w:noWrap/>
            <w:vAlign w:val="bottom"/>
            <w:hideMark/>
          </w:tcPr>
          <w:p w14:paraId="1CB51F0F" w14:textId="77777777" w:rsidR="00EC492E" w:rsidRPr="00824D31" w:rsidRDefault="00EC492E" w:rsidP="00EC492E">
            <w:r w:rsidRPr="00824D31">
              <w:t>Доля, %</w:t>
            </w:r>
          </w:p>
        </w:tc>
      </w:tr>
      <w:tr w:rsidR="009B04AB" w:rsidRPr="00824D31" w14:paraId="1C95DC2C" w14:textId="77777777" w:rsidTr="008B2763">
        <w:trPr>
          <w:trHeight w:val="300"/>
        </w:trPr>
        <w:tc>
          <w:tcPr>
            <w:tcW w:w="879" w:type="dxa"/>
            <w:tcBorders>
              <w:top w:val="single" w:sz="4" w:space="0" w:color="auto"/>
              <w:left w:val="single" w:sz="4" w:space="0" w:color="auto"/>
              <w:bottom w:val="single" w:sz="4" w:space="0" w:color="auto"/>
              <w:right w:val="single" w:sz="4" w:space="0" w:color="auto"/>
            </w:tcBorders>
            <w:vAlign w:val="bottom"/>
            <w:hideMark/>
          </w:tcPr>
          <w:p w14:paraId="0A12DD3D" w14:textId="77777777" w:rsidR="009B04AB" w:rsidRPr="00824D31" w:rsidRDefault="009B04AB" w:rsidP="009B04AB">
            <w:r w:rsidRPr="00824D31">
              <w:t>1</w:t>
            </w:r>
          </w:p>
        </w:tc>
        <w:tc>
          <w:tcPr>
            <w:tcW w:w="5059" w:type="dxa"/>
            <w:tcBorders>
              <w:top w:val="single" w:sz="4" w:space="0" w:color="auto"/>
              <w:left w:val="single" w:sz="4" w:space="0" w:color="auto"/>
              <w:bottom w:val="single" w:sz="4" w:space="0" w:color="auto"/>
              <w:right w:val="single" w:sz="4" w:space="0" w:color="auto"/>
            </w:tcBorders>
            <w:noWrap/>
            <w:vAlign w:val="bottom"/>
            <w:hideMark/>
          </w:tcPr>
          <w:p w14:paraId="10BE2E6D" w14:textId="77777777" w:rsidR="009B04AB" w:rsidRPr="00824D31" w:rsidRDefault="009B04AB" w:rsidP="009B04AB">
            <w:r w:rsidRPr="00824D31">
              <w:t>Среднеколымский</w:t>
            </w:r>
          </w:p>
        </w:tc>
        <w:tc>
          <w:tcPr>
            <w:tcW w:w="1712" w:type="dxa"/>
            <w:tcBorders>
              <w:top w:val="single" w:sz="4" w:space="0" w:color="auto"/>
              <w:left w:val="single" w:sz="4" w:space="0" w:color="auto"/>
              <w:bottom w:val="single" w:sz="4" w:space="0" w:color="auto"/>
              <w:right w:val="single" w:sz="4" w:space="0" w:color="auto"/>
            </w:tcBorders>
            <w:noWrap/>
            <w:vAlign w:val="center"/>
            <w:hideMark/>
          </w:tcPr>
          <w:p w14:paraId="6B07C717" w14:textId="25038E33" w:rsidR="009B04AB" w:rsidRPr="00824D31" w:rsidRDefault="009B04AB" w:rsidP="009B04AB">
            <w:pPr>
              <w:jc w:val="center"/>
            </w:pPr>
            <w:r>
              <w:rPr>
                <w:color w:val="000000"/>
              </w:rPr>
              <w:t>3</w:t>
            </w:r>
          </w:p>
        </w:tc>
        <w:tc>
          <w:tcPr>
            <w:tcW w:w="1981" w:type="dxa"/>
            <w:tcBorders>
              <w:top w:val="single" w:sz="4" w:space="0" w:color="auto"/>
              <w:left w:val="single" w:sz="4" w:space="0" w:color="auto"/>
              <w:bottom w:val="single" w:sz="4" w:space="0" w:color="auto"/>
              <w:right w:val="single" w:sz="4" w:space="0" w:color="auto"/>
            </w:tcBorders>
            <w:noWrap/>
            <w:vAlign w:val="bottom"/>
            <w:hideMark/>
          </w:tcPr>
          <w:p w14:paraId="246D9FBD" w14:textId="77777777" w:rsidR="009B04AB" w:rsidRPr="00824D31" w:rsidRDefault="009B04AB" w:rsidP="009B04AB">
            <w:r w:rsidRPr="00824D31">
              <w:t>0,002%</w:t>
            </w:r>
          </w:p>
        </w:tc>
      </w:tr>
      <w:tr w:rsidR="009B04AB" w:rsidRPr="00824D31" w14:paraId="41FD40A5" w14:textId="77777777" w:rsidTr="008B2763">
        <w:trPr>
          <w:trHeight w:val="300"/>
        </w:trPr>
        <w:tc>
          <w:tcPr>
            <w:tcW w:w="879" w:type="dxa"/>
            <w:tcBorders>
              <w:top w:val="single" w:sz="4" w:space="0" w:color="auto"/>
              <w:left w:val="single" w:sz="4" w:space="0" w:color="auto"/>
              <w:bottom w:val="single" w:sz="4" w:space="0" w:color="auto"/>
              <w:right w:val="single" w:sz="4" w:space="0" w:color="auto"/>
            </w:tcBorders>
            <w:vAlign w:val="bottom"/>
            <w:hideMark/>
          </w:tcPr>
          <w:p w14:paraId="3C2C348A" w14:textId="77777777" w:rsidR="009B04AB" w:rsidRPr="00824D31" w:rsidRDefault="009B04AB" w:rsidP="009B04AB">
            <w:r w:rsidRPr="00824D31">
              <w:t>2</w:t>
            </w:r>
          </w:p>
        </w:tc>
        <w:tc>
          <w:tcPr>
            <w:tcW w:w="5059" w:type="dxa"/>
            <w:tcBorders>
              <w:top w:val="single" w:sz="4" w:space="0" w:color="auto"/>
              <w:left w:val="single" w:sz="4" w:space="0" w:color="auto"/>
              <w:bottom w:val="single" w:sz="4" w:space="0" w:color="auto"/>
              <w:right w:val="single" w:sz="4" w:space="0" w:color="auto"/>
            </w:tcBorders>
            <w:noWrap/>
            <w:vAlign w:val="bottom"/>
            <w:hideMark/>
          </w:tcPr>
          <w:p w14:paraId="06E86096" w14:textId="77777777" w:rsidR="009B04AB" w:rsidRPr="00824D31" w:rsidRDefault="009B04AB" w:rsidP="009B04AB">
            <w:r w:rsidRPr="00824D31">
              <w:t>Верхневилюйский</w:t>
            </w:r>
          </w:p>
        </w:tc>
        <w:tc>
          <w:tcPr>
            <w:tcW w:w="1712" w:type="dxa"/>
            <w:tcBorders>
              <w:top w:val="single" w:sz="4" w:space="0" w:color="auto"/>
              <w:left w:val="single" w:sz="4" w:space="0" w:color="auto"/>
              <w:bottom w:val="single" w:sz="4" w:space="0" w:color="auto"/>
              <w:right w:val="single" w:sz="4" w:space="0" w:color="auto"/>
            </w:tcBorders>
            <w:noWrap/>
            <w:vAlign w:val="center"/>
            <w:hideMark/>
          </w:tcPr>
          <w:p w14:paraId="1BCE14CA" w14:textId="18638B10" w:rsidR="009B04AB" w:rsidRPr="00824D31" w:rsidRDefault="009B04AB" w:rsidP="009B04AB">
            <w:pPr>
              <w:jc w:val="center"/>
            </w:pPr>
            <w:r>
              <w:rPr>
                <w:color w:val="000000"/>
              </w:rPr>
              <w:t>36</w:t>
            </w:r>
          </w:p>
        </w:tc>
        <w:tc>
          <w:tcPr>
            <w:tcW w:w="1981" w:type="dxa"/>
            <w:tcBorders>
              <w:top w:val="single" w:sz="4" w:space="0" w:color="auto"/>
              <w:left w:val="single" w:sz="4" w:space="0" w:color="auto"/>
              <w:bottom w:val="single" w:sz="4" w:space="0" w:color="auto"/>
              <w:right w:val="single" w:sz="4" w:space="0" w:color="auto"/>
            </w:tcBorders>
            <w:noWrap/>
            <w:vAlign w:val="bottom"/>
            <w:hideMark/>
          </w:tcPr>
          <w:p w14:paraId="4C0048FF" w14:textId="77777777" w:rsidR="009B04AB" w:rsidRPr="00824D31" w:rsidRDefault="009B04AB" w:rsidP="009B04AB">
            <w:r w:rsidRPr="00824D31">
              <w:t>0,02%</w:t>
            </w:r>
          </w:p>
        </w:tc>
      </w:tr>
      <w:tr w:rsidR="009B04AB" w:rsidRPr="00824D31" w14:paraId="1AB952C1" w14:textId="77777777" w:rsidTr="008B2763">
        <w:trPr>
          <w:trHeight w:val="300"/>
        </w:trPr>
        <w:tc>
          <w:tcPr>
            <w:tcW w:w="879" w:type="dxa"/>
            <w:tcBorders>
              <w:top w:val="single" w:sz="4" w:space="0" w:color="auto"/>
              <w:left w:val="single" w:sz="4" w:space="0" w:color="auto"/>
              <w:bottom w:val="single" w:sz="4" w:space="0" w:color="auto"/>
              <w:right w:val="single" w:sz="4" w:space="0" w:color="auto"/>
            </w:tcBorders>
            <w:vAlign w:val="bottom"/>
            <w:hideMark/>
          </w:tcPr>
          <w:p w14:paraId="2BA5C3E6" w14:textId="77777777" w:rsidR="009B04AB" w:rsidRPr="00824D31" w:rsidRDefault="009B04AB" w:rsidP="009B04AB">
            <w:r w:rsidRPr="00824D31">
              <w:t>3</w:t>
            </w:r>
          </w:p>
        </w:tc>
        <w:tc>
          <w:tcPr>
            <w:tcW w:w="5059" w:type="dxa"/>
            <w:tcBorders>
              <w:top w:val="single" w:sz="4" w:space="0" w:color="auto"/>
              <w:left w:val="single" w:sz="4" w:space="0" w:color="auto"/>
              <w:bottom w:val="single" w:sz="4" w:space="0" w:color="auto"/>
              <w:right w:val="single" w:sz="4" w:space="0" w:color="auto"/>
            </w:tcBorders>
            <w:noWrap/>
            <w:vAlign w:val="bottom"/>
            <w:hideMark/>
          </w:tcPr>
          <w:p w14:paraId="11590CC0" w14:textId="77777777" w:rsidR="009B04AB" w:rsidRPr="00824D31" w:rsidRDefault="009B04AB" w:rsidP="009B04AB">
            <w:r w:rsidRPr="00824D31">
              <w:t>Анабарский</w:t>
            </w:r>
          </w:p>
        </w:tc>
        <w:tc>
          <w:tcPr>
            <w:tcW w:w="1712" w:type="dxa"/>
            <w:tcBorders>
              <w:top w:val="single" w:sz="4" w:space="0" w:color="auto"/>
              <w:left w:val="single" w:sz="4" w:space="0" w:color="auto"/>
              <w:bottom w:val="single" w:sz="4" w:space="0" w:color="auto"/>
              <w:right w:val="single" w:sz="4" w:space="0" w:color="auto"/>
            </w:tcBorders>
            <w:noWrap/>
            <w:vAlign w:val="center"/>
            <w:hideMark/>
          </w:tcPr>
          <w:p w14:paraId="204ACC16" w14:textId="090ADE49" w:rsidR="009B04AB" w:rsidRPr="00824D31" w:rsidRDefault="009B04AB" w:rsidP="009B04AB">
            <w:pPr>
              <w:jc w:val="center"/>
            </w:pPr>
            <w:r>
              <w:rPr>
                <w:color w:val="000000"/>
              </w:rPr>
              <w:t>37</w:t>
            </w:r>
          </w:p>
        </w:tc>
        <w:tc>
          <w:tcPr>
            <w:tcW w:w="1981" w:type="dxa"/>
            <w:tcBorders>
              <w:top w:val="single" w:sz="4" w:space="0" w:color="auto"/>
              <w:left w:val="single" w:sz="4" w:space="0" w:color="auto"/>
              <w:bottom w:val="single" w:sz="4" w:space="0" w:color="auto"/>
              <w:right w:val="single" w:sz="4" w:space="0" w:color="auto"/>
            </w:tcBorders>
            <w:noWrap/>
            <w:vAlign w:val="bottom"/>
            <w:hideMark/>
          </w:tcPr>
          <w:p w14:paraId="70843384" w14:textId="77777777" w:rsidR="009B04AB" w:rsidRPr="00824D31" w:rsidRDefault="009B04AB" w:rsidP="009B04AB">
            <w:r w:rsidRPr="00824D31">
              <w:t>0,02%</w:t>
            </w:r>
          </w:p>
        </w:tc>
      </w:tr>
      <w:tr w:rsidR="009B04AB" w:rsidRPr="00824D31" w14:paraId="4008FFEA" w14:textId="77777777" w:rsidTr="008B2763">
        <w:trPr>
          <w:trHeight w:val="300"/>
        </w:trPr>
        <w:tc>
          <w:tcPr>
            <w:tcW w:w="879" w:type="dxa"/>
            <w:tcBorders>
              <w:top w:val="single" w:sz="4" w:space="0" w:color="auto"/>
              <w:left w:val="single" w:sz="4" w:space="0" w:color="auto"/>
              <w:bottom w:val="single" w:sz="4" w:space="0" w:color="auto"/>
              <w:right w:val="single" w:sz="4" w:space="0" w:color="auto"/>
            </w:tcBorders>
            <w:vAlign w:val="bottom"/>
            <w:hideMark/>
          </w:tcPr>
          <w:p w14:paraId="52A87D12" w14:textId="77777777" w:rsidR="009B04AB" w:rsidRPr="00824D31" w:rsidRDefault="009B04AB" w:rsidP="009B04AB">
            <w:r w:rsidRPr="00824D31">
              <w:t>4</w:t>
            </w:r>
          </w:p>
        </w:tc>
        <w:tc>
          <w:tcPr>
            <w:tcW w:w="5059" w:type="dxa"/>
            <w:tcBorders>
              <w:top w:val="single" w:sz="4" w:space="0" w:color="auto"/>
              <w:left w:val="single" w:sz="4" w:space="0" w:color="auto"/>
              <w:bottom w:val="single" w:sz="4" w:space="0" w:color="auto"/>
              <w:right w:val="single" w:sz="4" w:space="0" w:color="auto"/>
            </w:tcBorders>
            <w:noWrap/>
            <w:vAlign w:val="bottom"/>
            <w:hideMark/>
          </w:tcPr>
          <w:p w14:paraId="24D2F5E8" w14:textId="77777777" w:rsidR="009B04AB" w:rsidRPr="00824D31" w:rsidRDefault="009B04AB" w:rsidP="009B04AB">
            <w:r w:rsidRPr="00824D31">
              <w:t>Аллаиховский</w:t>
            </w:r>
          </w:p>
        </w:tc>
        <w:tc>
          <w:tcPr>
            <w:tcW w:w="1712" w:type="dxa"/>
            <w:tcBorders>
              <w:top w:val="single" w:sz="4" w:space="0" w:color="auto"/>
              <w:left w:val="single" w:sz="4" w:space="0" w:color="auto"/>
              <w:bottom w:val="single" w:sz="4" w:space="0" w:color="auto"/>
              <w:right w:val="single" w:sz="4" w:space="0" w:color="auto"/>
            </w:tcBorders>
            <w:noWrap/>
            <w:vAlign w:val="center"/>
            <w:hideMark/>
          </w:tcPr>
          <w:p w14:paraId="4C307B01" w14:textId="39690AC7" w:rsidR="009B04AB" w:rsidRPr="00824D31" w:rsidRDefault="009B04AB" w:rsidP="009B04AB">
            <w:pPr>
              <w:jc w:val="center"/>
            </w:pPr>
            <w:r>
              <w:rPr>
                <w:color w:val="000000"/>
              </w:rPr>
              <w:t>42</w:t>
            </w:r>
          </w:p>
        </w:tc>
        <w:tc>
          <w:tcPr>
            <w:tcW w:w="1981" w:type="dxa"/>
            <w:tcBorders>
              <w:top w:val="single" w:sz="4" w:space="0" w:color="auto"/>
              <w:left w:val="single" w:sz="4" w:space="0" w:color="auto"/>
              <w:bottom w:val="single" w:sz="4" w:space="0" w:color="auto"/>
              <w:right w:val="single" w:sz="4" w:space="0" w:color="auto"/>
            </w:tcBorders>
            <w:noWrap/>
            <w:vAlign w:val="bottom"/>
            <w:hideMark/>
          </w:tcPr>
          <w:p w14:paraId="7AEBB844" w14:textId="77777777" w:rsidR="009B04AB" w:rsidRPr="00824D31" w:rsidRDefault="009B04AB" w:rsidP="009B04AB">
            <w:r w:rsidRPr="00824D31">
              <w:t>0,02%</w:t>
            </w:r>
          </w:p>
        </w:tc>
      </w:tr>
      <w:tr w:rsidR="009B04AB" w:rsidRPr="00824D31" w14:paraId="54A50E62" w14:textId="77777777" w:rsidTr="008B2763">
        <w:trPr>
          <w:trHeight w:val="300"/>
        </w:trPr>
        <w:tc>
          <w:tcPr>
            <w:tcW w:w="879" w:type="dxa"/>
            <w:tcBorders>
              <w:top w:val="single" w:sz="4" w:space="0" w:color="auto"/>
              <w:left w:val="single" w:sz="4" w:space="0" w:color="auto"/>
              <w:bottom w:val="single" w:sz="4" w:space="0" w:color="auto"/>
              <w:right w:val="single" w:sz="4" w:space="0" w:color="auto"/>
            </w:tcBorders>
            <w:vAlign w:val="bottom"/>
            <w:hideMark/>
          </w:tcPr>
          <w:p w14:paraId="344E8D8C" w14:textId="77777777" w:rsidR="009B04AB" w:rsidRPr="00824D31" w:rsidRDefault="009B04AB" w:rsidP="009B04AB">
            <w:r w:rsidRPr="00824D31">
              <w:t>5</w:t>
            </w:r>
          </w:p>
        </w:tc>
        <w:tc>
          <w:tcPr>
            <w:tcW w:w="5059" w:type="dxa"/>
            <w:tcBorders>
              <w:top w:val="single" w:sz="4" w:space="0" w:color="auto"/>
              <w:left w:val="single" w:sz="4" w:space="0" w:color="auto"/>
              <w:bottom w:val="single" w:sz="4" w:space="0" w:color="auto"/>
              <w:right w:val="single" w:sz="4" w:space="0" w:color="auto"/>
            </w:tcBorders>
            <w:noWrap/>
            <w:vAlign w:val="bottom"/>
            <w:hideMark/>
          </w:tcPr>
          <w:p w14:paraId="44991005" w14:textId="77777777" w:rsidR="009B04AB" w:rsidRPr="00824D31" w:rsidRDefault="009B04AB" w:rsidP="009B04AB">
            <w:r w:rsidRPr="00824D31">
              <w:t>Жиганский</w:t>
            </w:r>
          </w:p>
        </w:tc>
        <w:tc>
          <w:tcPr>
            <w:tcW w:w="1712" w:type="dxa"/>
            <w:tcBorders>
              <w:top w:val="single" w:sz="4" w:space="0" w:color="auto"/>
              <w:left w:val="single" w:sz="4" w:space="0" w:color="auto"/>
              <w:bottom w:val="single" w:sz="4" w:space="0" w:color="auto"/>
              <w:right w:val="single" w:sz="4" w:space="0" w:color="auto"/>
            </w:tcBorders>
            <w:noWrap/>
            <w:vAlign w:val="center"/>
            <w:hideMark/>
          </w:tcPr>
          <w:p w14:paraId="3F0879B1" w14:textId="66B8972E" w:rsidR="009B04AB" w:rsidRPr="00824D31" w:rsidRDefault="009B04AB" w:rsidP="009B04AB">
            <w:pPr>
              <w:jc w:val="center"/>
            </w:pPr>
            <w:r>
              <w:rPr>
                <w:color w:val="000000"/>
              </w:rPr>
              <w:t>91</w:t>
            </w:r>
          </w:p>
        </w:tc>
        <w:tc>
          <w:tcPr>
            <w:tcW w:w="1981" w:type="dxa"/>
            <w:tcBorders>
              <w:top w:val="single" w:sz="4" w:space="0" w:color="auto"/>
              <w:left w:val="single" w:sz="4" w:space="0" w:color="auto"/>
              <w:bottom w:val="single" w:sz="4" w:space="0" w:color="auto"/>
              <w:right w:val="single" w:sz="4" w:space="0" w:color="auto"/>
            </w:tcBorders>
            <w:noWrap/>
            <w:vAlign w:val="bottom"/>
            <w:hideMark/>
          </w:tcPr>
          <w:p w14:paraId="43314807" w14:textId="77777777" w:rsidR="009B04AB" w:rsidRPr="00824D31" w:rsidRDefault="009B04AB" w:rsidP="009B04AB">
            <w:r w:rsidRPr="00824D31">
              <w:t>0,05%</w:t>
            </w:r>
          </w:p>
        </w:tc>
      </w:tr>
      <w:tr w:rsidR="009B04AB" w:rsidRPr="00824D31" w14:paraId="19563DBC" w14:textId="77777777" w:rsidTr="008B2763">
        <w:trPr>
          <w:trHeight w:val="300"/>
        </w:trPr>
        <w:tc>
          <w:tcPr>
            <w:tcW w:w="879" w:type="dxa"/>
            <w:tcBorders>
              <w:top w:val="single" w:sz="4" w:space="0" w:color="auto"/>
              <w:left w:val="single" w:sz="4" w:space="0" w:color="auto"/>
              <w:bottom w:val="single" w:sz="4" w:space="0" w:color="auto"/>
              <w:right w:val="single" w:sz="4" w:space="0" w:color="auto"/>
            </w:tcBorders>
            <w:vAlign w:val="bottom"/>
            <w:hideMark/>
          </w:tcPr>
          <w:p w14:paraId="5B259746" w14:textId="77777777" w:rsidR="009B04AB" w:rsidRPr="00824D31" w:rsidRDefault="009B04AB" w:rsidP="009B04AB">
            <w:r w:rsidRPr="00824D31">
              <w:t>6</w:t>
            </w:r>
          </w:p>
        </w:tc>
        <w:tc>
          <w:tcPr>
            <w:tcW w:w="5059" w:type="dxa"/>
            <w:tcBorders>
              <w:top w:val="single" w:sz="4" w:space="0" w:color="auto"/>
              <w:left w:val="single" w:sz="4" w:space="0" w:color="auto"/>
              <w:bottom w:val="single" w:sz="4" w:space="0" w:color="auto"/>
              <w:right w:val="single" w:sz="4" w:space="0" w:color="auto"/>
            </w:tcBorders>
            <w:noWrap/>
            <w:vAlign w:val="bottom"/>
            <w:hideMark/>
          </w:tcPr>
          <w:p w14:paraId="4C2931D2" w14:textId="77777777" w:rsidR="009B04AB" w:rsidRPr="00824D31" w:rsidRDefault="009B04AB" w:rsidP="009B04AB">
            <w:r w:rsidRPr="00824D31">
              <w:t>Усть-Алданский</w:t>
            </w:r>
          </w:p>
        </w:tc>
        <w:tc>
          <w:tcPr>
            <w:tcW w:w="1712" w:type="dxa"/>
            <w:tcBorders>
              <w:top w:val="single" w:sz="4" w:space="0" w:color="auto"/>
              <w:left w:val="single" w:sz="4" w:space="0" w:color="auto"/>
              <w:bottom w:val="single" w:sz="4" w:space="0" w:color="auto"/>
              <w:right w:val="single" w:sz="4" w:space="0" w:color="auto"/>
            </w:tcBorders>
            <w:noWrap/>
            <w:vAlign w:val="center"/>
            <w:hideMark/>
          </w:tcPr>
          <w:p w14:paraId="63691383" w14:textId="7C2CCB5E" w:rsidR="009B04AB" w:rsidRPr="00824D31" w:rsidRDefault="009B04AB" w:rsidP="009B04AB">
            <w:pPr>
              <w:jc w:val="center"/>
            </w:pPr>
            <w:r>
              <w:rPr>
                <w:color w:val="000000"/>
              </w:rPr>
              <w:t>99</w:t>
            </w:r>
          </w:p>
        </w:tc>
        <w:tc>
          <w:tcPr>
            <w:tcW w:w="1981" w:type="dxa"/>
            <w:tcBorders>
              <w:top w:val="single" w:sz="4" w:space="0" w:color="auto"/>
              <w:left w:val="single" w:sz="4" w:space="0" w:color="auto"/>
              <w:bottom w:val="single" w:sz="4" w:space="0" w:color="auto"/>
              <w:right w:val="single" w:sz="4" w:space="0" w:color="auto"/>
            </w:tcBorders>
            <w:noWrap/>
            <w:vAlign w:val="bottom"/>
            <w:hideMark/>
          </w:tcPr>
          <w:p w14:paraId="511E7AB4" w14:textId="77777777" w:rsidR="009B04AB" w:rsidRPr="00824D31" w:rsidRDefault="009B04AB" w:rsidP="009B04AB">
            <w:r w:rsidRPr="00824D31">
              <w:t>0,05%</w:t>
            </w:r>
          </w:p>
        </w:tc>
      </w:tr>
      <w:tr w:rsidR="009B04AB" w:rsidRPr="00824D31" w14:paraId="592D3708" w14:textId="77777777" w:rsidTr="008B2763">
        <w:trPr>
          <w:trHeight w:val="300"/>
        </w:trPr>
        <w:tc>
          <w:tcPr>
            <w:tcW w:w="879" w:type="dxa"/>
            <w:tcBorders>
              <w:top w:val="single" w:sz="4" w:space="0" w:color="auto"/>
              <w:left w:val="single" w:sz="4" w:space="0" w:color="auto"/>
              <w:bottom w:val="single" w:sz="4" w:space="0" w:color="auto"/>
              <w:right w:val="single" w:sz="4" w:space="0" w:color="auto"/>
            </w:tcBorders>
            <w:vAlign w:val="bottom"/>
            <w:hideMark/>
          </w:tcPr>
          <w:p w14:paraId="1C8B0FD2" w14:textId="77777777" w:rsidR="009B04AB" w:rsidRPr="00824D31" w:rsidRDefault="009B04AB" w:rsidP="009B04AB">
            <w:r w:rsidRPr="00824D31">
              <w:t>7</w:t>
            </w:r>
          </w:p>
        </w:tc>
        <w:tc>
          <w:tcPr>
            <w:tcW w:w="5059" w:type="dxa"/>
            <w:tcBorders>
              <w:top w:val="single" w:sz="4" w:space="0" w:color="auto"/>
              <w:left w:val="single" w:sz="4" w:space="0" w:color="auto"/>
              <w:bottom w:val="single" w:sz="4" w:space="0" w:color="auto"/>
              <w:right w:val="single" w:sz="4" w:space="0" w:color="auto"/>
            </w:tcBorders>
            <w:noWrap/>
            <w:vAlign w:val="bottom"/>
            <w:hideMark/>
          </w:tcPr>
          <w:p w14:paraId="1DEA9973" w14:textId="77777777" w:rsidR="009B04AB" w:rsidRPr="00824D31" w:rsidRDefault="009B04AB" w:rsidP="009B04AB">
            <w:r w:rsidRPr="00824D31">
              <w:t>Таттинский</w:t>
            </w:r>
          </w:p>
        </w:tc>
        <w:tc>
          <w:tcPr>
            <w:tcW w:w="1712" w:type="dxa"/>
            <w:tcBorders>
              <w:top w:val="single" w:sz="4" w:space="0" w:color="auto"/>
              <w:left w:val="single" w:sz="4" w:space="0" w:color="auto"/>
              <w:bottom w:val="single" w:sz="4" w:space="0" w:color="auto"/>
              <w:right w:val="single" w:sz="4" w:space="0" w:color="auto"/>
            </w:tcBorders>
            <w:noWrap/>
            <w:vAlign w:val="center"/>
            <w:hideMark/>
          </w:tcPr>
          <w:p w14:paraId="4C0D800F" w14:textId="7D9C0252" w:rsidR="009B04AB" w:rsidRPr="00824D31" w:rsidRDefault="009B04AB" w:rsidP="009B04AB">
            <w:pPr>
              <w:jc w:val="center"/>
            </w:pPr>
            <w:r>
              <w:rPr>
                <w:color w:val="000000"/>
              </w:rPr>
              <w:t>102</w:t>
            </w:r>
          </w:p>
        </w:tc>
        <w:tc>
          <w:tcPr>
            <w:tcW w:w="1981" w:type="dxa"/>
            <w:tcBorders>
              <w:top w:val="single" w:sz="4" w:space="0" w:color="auto"/>
              <w:left w:val="single" w:sz="4" w:space="0" w:color="auto"/>
              <w:bottom w:val="single" w:sz="4" w:space="0" w:color="auto"/>
              <w:right w:val="single" w:sz="4" w:space="0" w:color="auto"/>
            </w:tcBorders>
            <w:noWrap/>
            <w:vAlign w:val="bottom"/>
            <w:hideMark/>
          </w:tcPr>
          <w:p w14:paraId="3CF68A87" w14:textId="77777777" w:rsidR="009B04AB" w:rsidRPr="00824D31" w:rsidRDefault="009B04AB" w:rsidP="009B04AB">
            <w:r w:rsidRPr="00824D31">
              <w:t>0,05%</w:t>
            </w:r>
          </w:p>
        </w:tc>
      </w:tr>
      <w:tr w:rsidR="009B04AB" w:rsidRPr="00824D31" w14:paraId="60F401C9" w14:textId="77777777" w:rsidTr="008B2763">
        <w:trPr>
          <w:trHeight w:val="300"/>
        </w:trPr>
        <w:tc>
          <w:tcPr>
            <w:tcW w:w="879" w:type="dxa"/>
            <w:tcBorders>
              <w:top w:val="single" w:sz="4" w:space="0" w:color="auto"/>
              <w:left w:val="single" w:sz="4" w:space="0" w:color="auto"/>
              <w:bottom w:val="single" w:sz="4" w:space="0" w:color="auto"/>
              <w:right w:val="single" w:sz="4" w:space="0" w:color="auto"/>
            </w:tcBorders>
            <w:vAlign w:val="bottom"/>
            <w:hideMark/>
          </w:tcPr>
          <w:p w14:paraId="36A50D84" w14:textId="77777777" w:rsidR="009B04AB" w:rsidRPr="00824D31" w:rsidRDefault="009B04AB" w:rsidP="009B04AB">
            <w:r w:rsidRPr="00824D31">
              <w:t>8</w:t>
            </w:r>
          </w:p>
        </w:tc>
        <w:tc>
          <w:tcPr>
            <w:tcW w:w="5059" w:type="dxa"/>
            <w:tcBorders>
              <w:top w:val="single" w:sz="4" w:space="0" w:color="auto"/>
              <w:left w:val="single" w:sz="4" w:space="0" w:color="auto"/>
              <w:bottom w:val="single" w:sz="4" w:space="0" w:color="auto"/>
              <w:right w:val="single" w:sz="4" w:space="0" w:color="auto"/>
            </w:tcBorders>
            <w:noWrap/>
            <w:vAlign w:val="bottom"/>
            <w:hideMark/>
          </w:tcPr>
          <w:p w14:paraId="75045219" w14:textId="77777777" w:rsidR="009B04AB" w:rsidRPr="00824D31" w:rsidRDefault="009B04AB" w:rsidP="009B04AB">
            <w:r w:rsidRPr="00824D31">
              <w:t>Верхоянский</w:t>
            </w:r>
          </w:p>
        </w:tc>
        <w:tc>
          <w:tcPr>
            <w:tcW w:w="1712" w:type="dxa"/>
            <w:tcBorders>
              <w:top w:val="single" w:sz="4" w:space="0" w:color="auto"/>
              <w:left w:val="single" w:sz="4" w:space="0" w:color="auto"/>
              <w:bottom w:val="single" w:sz="4" w:space="0" w:color="auto"/>
              <w:right w:val="single" w:sz="4" w:space="0" w:color="auto"/>
            </w:tcBorders>
            <w:noWrap/>
            <w:vAlign w:val="center"/>
            <w:hideMark/>
          </w:tcPr>
          <w:p w14:paraId="41CE7E6C" w14:textId="7E5862A4" w:rsidR="009B04AB" w:rsidRPr="00824D31" w:rsidRDefault="009B04AB" w:rsidP="009B04AB">
            <w:pPr>
              <w:jc w:val="center"/>
            </w:pPr>
            <w:r>
              <w:rPr>
                <w:color w:val="000000"/>
              </w:rPr>
              <w:t>123</w:t>
            </w:r>
          </w:p>
        </w:tc>
        <w:tc>
          <w:tcPr>
            <w:tcW w:w="1981" w:type="dxa"/>
            <w:tcBorders>
              <w:top w:val="single" w:sz="4" w:space="0" w:color="auto"/>
              <w:left w:val="single" w:sz="4" w:space="0" w:color="auto"/>
              <w:bottom w:val="single" w:sz="4" w:space="0" w:color="auto"/>
              <w:right w:val="single" w:sz="4" w:space="0" w:color="auto"/>
            </w:tcBorders>
            <w:noWrap/>
            <w:vAlign w:val="bottom"/>
            <w:hideMark/>
          </w:tcPr>
          <w:p w14:paraId="29D4BA18" w14:textId="77777777" w:rsidR="009B04AB" w:rsidRPr="00824D31" w:rsidRDefault="009B04AB" w:rsidP="009B04AB">
            <w:r w:rsidRPr="00824D31">
              <w:t>0,06%</w:t>
            </w:r>
          </w:p>
        </w:tc>
      </w:tr>
      <w:tr w:rsidR="009B04AB" w:rsidRPr="00824D31" w14:paraId="440785DA" w14:textId="77777777" w:rsidTr="008B2763">
        <w:trPr>
          <w:trHeight w:val="300"/>
        </w:trPr>
        <w:tc>
          <w:tcPr>
            <w:tcW w:w="879" w:type="dxa"/>
            <w:tcBorders>
              <w:top w:val="single" w:sz="4" w:space="0" w:color="auto"/>
              <w:left w:val="single" w:sz="4" w:space="0" w:color="auto"/>
              <w:bottom w:val="single" w:sz="4" w:space="0" w:color="auto"/>
              <w:right w:val="single" w:sz="4" w:space="0" w:color="auto"/>
            </w:tcBorders>
            <w:vAlign w:val="bottom"/>
            <w:hideMark/>
          </w:tcPr>
          <w:p w14:paraId="0BF55869" w14:textId="77777777" w:rsidR="009B04AB" w:rsidRPr="00824D31" w:rsidRDefault="009B04AB" w:rsidP="009B04AB">
            <w:r w:rsidRPr="00824D31">
              <w:t>9</w:t>
            </w:r>
          </w:p>
        </w:tc>
        <w:tc>
          <w:tcPr>
            <w:tcW w:w="5059" w:type="dxa"/>
            <w:tcBorders>
              <w:top w:val="single" w:sz="4" w:space="0" w:color="auto"/>
              <w:left w:val="single" w:sz="4" w:space="0" w:color="auto"/>
              <w:bottom w:val="single" w:sz="4" w:space="0" w:color="auto"/>
              <w:right w:val="single" w:sz="4" w:space="0" w:color="auto"/>
            </w:tcBorders>
            <w:noWrap/>
            <w:vAlign w:val="bottom"/>
            <w:hideMark/>
          </w:tcPr>
          <w:p w14:paraId="5E4D6632" w14:textId="77777777" w:rsidR="009B04AB" w:rsidRPr="00824D31" w:rsidRDefault="009B04AB" w:rsidP="009B04AB">
            <w:r w:rsidRPr="00824D31">
              <w:t>Усть-Майский</w:t>
            </w:r>
          </w:p>
        </w:tc>
        <w:tc>
          <w:tcPr>
            <w:tcW w:w="1712" w:type="dxa"/>
            <w:tcBorders>
              <w:top w:val="single" w:sz="4" w:space="0" w:color="auto"/>
              <w:left w:val="single" w:sz="4" w:space="0" w:color="auto"/>
              <w:bottom w:val="single" w:sz="4" w:space="0" w:color="auto"/>
              <w:right w:val="single" w:sz="4" w:space="0" w:color="auto"/>
            </w:tcBorders>
            <w:noWrap/>
            <w:vAlign w:val="center"/>
            <w:hideMark/>
          </w:tcPr>
          <w:p w14:paraId="5A5672E4" w14:textId="1DA44082" w:rsidR="009B04AB" w:rsidRPr="00824D31" w:rsidRDefault="009B04AB" w:rsidP="009B04AB">
            <w:pPr>
              <w:jc w:val="center"/>
            </w:pPr>
            <w:r>
              <w:rPr>
                <w:color w:val="000000"/>
              </w:rPr>
              <w:t>160</w:t>
            </w:r>
          </w:p>
        </w:tc>
        <w:tc>
          <w:tcPr>
            <w:tcW w:w="1981" w:type="dxa"/>
            <w:tcBorders>
              <w:top w:val="single" w:sz="4" w:space="0" w:color="auto"/>
              <w:left w:val="single" w:sz="4" w:space="0" w:color="auto"/>
              <w:bottom w:val="single" w:sz="4" w:space="0" w:color="auto"/>
              <w:right w:val="single" w:sz="4" w:space="0" w:color="auto"/>
            </w:tcBorders>
            <w:noWrap/>
            <w:vAlign w:val="bottom"/>
            <w:hideMark/>
          </w:tcPr>
          <w:p w14:paraId="41826FCB" w14:textId="77777777" w:rsidR="009B04AB" w:rsidRPr="00824D31" w:rsidRDefault="009B04AB" w:rsidP="009B04AB">
            <w:r w:rsidRPr="00824D31">
              <w:t>0,08%</w:t>
            </w:r>
          </w:p>
        </w:tc>
      </w:tr>
      <w:tr w:rsidR="009B04AB" w:rsidRPr="00824D31" w14:paraId="72D25305" w14:textId="77777777" w:rsidTr="008B2763">
        <w:trPr>
          <w:trHeight w:val="300"/>
        </w:trPr>
        <w:tc>
          <w:tcPr>
            <w:tcW w:w="879" w:type="dxa"/>
            <w:tcBorders>
              <w:top w:val="single" w:sz="4" w:space="0" w:color="auto"/>
              <w:left w:val="single" w:sz="4" w:space="0" w:color="auto"/>
              <w:bottom w:val="single" w:sz="4" w:space="0" w:color="auto"/>
              <w:right w:val="single" w:sz="4" w:space="0" w:color="auto"/>
            </w:tcBorders>
            <w:vAlign w:val="bottom"/>
            <w:hideMark/>
          </w:tcPr>
          <w:p w14:paraId="6FA6E47E" w14:textId="77777777" w:rsidR="009B04AB" w:rsidRPr="00824D31" w:rsidRDefault="009B04AB" w:rsidP="009B04AB">
            <w:r w:rsidRPr="00824D31">
              <w:t>10</w:t>
            </w:r>
          </w:p>
        </w:tc>
        <w:tc>
          <w:tcPr>
            <w:tcW w:w="5059" w:type="dxa"/>
            <w:tcBorders>
              <w:top w:val="single" w:sz="4" w:space="0" w:color="auto"/>
              <w:left w:val="single" w:sz="4" w:space="0" w:color="auto"/>
              <w:bottom w:val="single" w:sz="4" w:space="0" w:color="auto"/>
              <w:right w:val="single" w:sz="4" w:space="0" w:color="auto"/>
            </w:tcBorders>
            <w:noWrap/>
            <w:vAlign w:val="bottom"/>
            <w:hideMark/>
          </w:tcPr>
          <w:p w14:paraId="7098AFFB" w14:textId="77777777" w:rsidR="009B04AB" w:rsidRPr="00824D31" w:rsidRDefault="009B04AB" w:rsidP="009B04AB">
            <w:r w:rsidRPr="00824D31">
              <w:t>Горный</w:t>
            </w:r>
          </w:p>
        </w:tc>
        <w:tc>
          <w:tcPr>
            <w:tcW w:w="1712" w:type="dxa"/>
            <w:tcBorders>
              <w:top w:val="single" w:sz="4" w:space="0" w:color="auto"/>
              <w:left w:val="single" w:sz="4" w:space="0" w:color="auto"/>
              <w:bottom w:val="single" w:sz="4" w:space="0" w:color="auto"/>
              <w:right w:val="single" w:sz="4" w:space="0" w:color="auto"/>
            </w:tcBorders>
            <w:noWrap/>
            <w:vAlign w:val="center"/>
            <w:hideMark/>
          </w:tcPr>
          <w:p w14:paraId="2CA413EA" w14:textId="053368F5" w:rsidR="009B04AB" w:rsidRPr="00824D31" w:rsidRDefault="009B04AB" w:rsidP="009B04AB">
            <w:pPr>
              <w:jc w:val="center"/>
            </w:pPr>
            <w:r>
              <w:rPr>
                <w:color w:val="000000"/>
              </w:rPr>
              <w:t>175</w:t>
            </w:r>
          </w:p>
        </w:tc>
        <w:tc>
          <w:tcPr>
            <w:tcW w:w="1981" w:type="dxa"/>
            <w:tcBorders>
              <w:top w:val="single" w:sz="4" w:space="0" w:color="auto"/>
              <w:left w:val="single" w:sz="4" w:space="0" w:color="auto"/>
              <w:bottom w:val="single" w:sz="4" w:space="0" w:color="auto"/>
              <w:right w:val="single" w:sz="4" w:space="0" w:color="auto"/>
            </w:tcBorders>
            <w:noWrap/>
            <w:vAlign w:val="bottom"/>
            <w:hideMark/>
          </w:tcPr>
          <w:p w14:paraId="2D9CC8DB" w14:textId="77777777" w:rsidR="009B04AB" w:rsidRPr="00824D31" w:rsidRDefault="009B04AB" w:rsidP="009B04AB">
            <w:r w:rsidRPr="00824D31">
              <w:t>0,09%</w:t>
            </w:r>
          </w:p>
        </w:tc>
      </w:tr>
      <w:tr w:rsidR="009B04AB" w:rsidRPr="00824D31" w14:paraId="4DF3141B" w14:textId="77777777" w:rsidTr="008B2763">
        <w:trPr>
          <w:trHeight w:val="300"/>
        </w:trPr>
        <w:tc>
          <w:tcPr>
            <w:tcW w:w="879" w:type="dxa"/>
            <w:tcBorders>
              <w:top w:val="single" w:sz="4" w:space="0" w:color="auto"/>
              <w:left w:val="single" w:sz="4" w:space="0" w:color="auto"/>
              <w:bottom w:val="single" w:sz="4" w:space="0" w:color="auto"/>
              <w:right w:val="single" w:sz="4" w:space="0" w:color="auto"/>
            </w:tcBorders>
            <w:vAlign w:val="bottom"/>
            <w:hideMark/>
          </w:tcPr>
          <w:p w14:paraId="09C7E260" w14:textId="77777777" w:rsidR="009B04AB" w:rsidRPr="00824D31" w:rsidRDefault="009B04AB" w:rsidP="009B04AB">
            <w:r w:rsidRPr="00824D31">
              <w:t>11</w:t>
            </w:r>
          </w:p>
        </w:tc>
        <w:tc>
          <w:tcPr>
            <w:tcW w:w="5059" w:type="dxa"/>
            <w:tcBorders>
              <w:top w:val="single" w:sz="4" w:space="0" w:color="auto"/>
              <w:left w:val="single" w:sz="4" w:space="0" w:color="auto"/>
              <w:bottom w:val="single" w:sz="4" w:space="0" w:color="auto"/>
              <w:right w:val="single" w:sz="4" w:space="0" w:color="auto"/>
            </w:tcBorders>
            <w:noWrap/>
            <w:vAlign w:val="bottom"/>
            <w:hideMark/>
          </w:tcPr>
          <w:p w14:paraId="54444495" w14:textId="77777777" w:rsidR="009B04AB" w:rsidRPr="00824D31" w:rsidRDefault="009B04AB" w:rsidP="009B04AB">
            <w:r w:rsidRPr="00824D31">
              <w:t>Сунтарский</w:t>
            </w:r>
          </w:p>
        </w:tc>
        <w:tc>
          <w:tcPr>
            <w:tcW w:w="1712" w:type="dxa"/>
            <w:tcBorders>
              <w:top w:val="single" w:sz="4" w:space="0" w:color="auto"/>
              <w:left w:val="single" w:sz="4" w:space="0" w:color="auto"/>
              <w:bottom w:val="single" w:sz="4" w:space="0" w:color="auto"/>
              <w:right w:val="single" w:sz="4" w:space="0" w:color="auto"/>
            </w:tcBorders>
            <w:noWrap/>
            <w:vAlign w:val="center"/>
            <w:hideMark/>
          </w:tcPr>
          <w:p w14:paraId="5A07DB73" w14:textId="704FE8BF" w:rsidR="009B04AB" w:rsidRPr="00824D31" w:rsidRDefault="009B04AB" w:rsidP="009B04AB">
            <w:pPr>
              <w:jc w:val="center"/>
            </w:pPr>
            <w:r>
              <w:rPr>
                <w:color w:val="000000"/>
              </w:rPr>
              <w:t>293</w:t>
            </w:r>
          </w:p>
        </w:tc>
        <w:tc>
          <w:tcPr>
            <w:tcW w:w="1981" w:type="dxa"/>
            <w:tcBorders>
              <w:top w:val="single" w:sz="4" w:space="0" w:color="auto"/>
              <w:left w:val="single" w:sz="4" w:space="0" w:color="auto"/>
              <w:bottom w:val="single" w:sz="4" w:space="0" w:color="auto"/>
              <w:right w:val="single" w:sz="4" w:space="0" w:color="auto"/>
            </w:tcBorders>
            <w:noWrap/>
            <w:vAlign w:val="bottom"/>
            <w:hideMark/>
          </w:tcPr>
          <w:p w14:paraId="7A7AA404" w14:textId="77777777" w:rsidR="009B04AB" w:rsidRPr="00824D31" w:rsidRDefault="009B04AB" w:rsidP="009B04AB">
            <w:r w:rsidRPr="00824D31">
              <w:t>0,15%</w:t>
            </w:r>
          </w:p>
        </w:tc>
      </w:tr>
      <w:tr w:rsidR="009B04AB" w:rsidRPr="00824D31" w14:paraId="6BF86549" w14:textId="77777777" w:rsidTr="008B2763">
        <w:trPr>
          <w:trHeight w:val="300"/>
        </w:trPr>
        <w:tc>
          <w:tcPr>
            <w:tcW w:w="879" w:type="dxa"/>
            <w:tcBorders>
              <w:top w:val="single" w:sz="4" w:space="0" w:color="auto"/>
              <w:left w:val="single" w:sz="4" w:space="0" w:color="auto"/>
              <w:bottom w:val="single" w:sz="4" w:space="0" w:color="auto"/>
              <w:right w:val="single" w:sz="4" w:space="0" w:color="auto"/>
            </w:tcBorders>
            <w:vAlign w:val="bottom"/>
            <w:hideMark/>
          </w:tcPr>
          <w:p w14:paraId="015723F5" w14:textId="77777777" w:rsidR="009B04AB" w:rsidRPr="00824D31" w:rsidRDefault="009B04AB" w:rsidP="009B04AB">
            <w:r w:rsidRPr="00824D31">
              <w:t>12</w:t>
            </w:r>
          </w:p>
        </w:tc>
        <w:tc>
          <w:tcPr>
            <w:tcW w:w="5059" w:type="dxa"/>
            <w:tcBorders>
              <w:top w:val="single" w:sz="4" w:space="0" w:color="auto"/>
              <w:left w:val="single" w:sz="4" w:space="0" w:color="auto"/>
              <w:bottom w:val="single" w:sz="4" w:space="0" w:color="auto"/>
              <w:right w:val="single" w:sz="4" w:space="0" w:color="auto"/>
            </w:tcBorders>
            <w:noWrap/>
            <w:vAlign w:val="bottom"/>
            <w:hideMark/>
          </w:tcPr>
          <w:p w14:paraId="070B20CF" w14:textId="77777777" w:rsidR="009B04AB" w:rsidRPr="00824D31" w:rsidRDefault="009B04AB" w:rsidP="009B04AB">
            <w:r w:rsidRPr="00824D31">
              <w:t>Кобяйский</w:t>
            </w:r>
          </w:p>
        </w:tc>
        <w:tc>
          <w:tcPr>
            <w:tcW w:w="1712" w:type="dxa"/>
            <w:tcBorders>
              <w:top w:val="single" w:sz="4" w:space="0" w:color="auto"/>
              <w:left w:val="single" w:sz="4" w:space="0" w:color="auto"/>
              <w:bottom w:val="single" w:sz="4" w:space="0" w:color="auto"/>
              <w:right w:val="single" w:sz="4" w:space="0" w:color="auto"/>
            </w:tcBorders>
            <w:noWrap/>
            <w:vAlign w:val="center"/>
            <w:hideMark/>
          </w:tcPr>
          <w:p w14:paraId="50F65E85" w14:textId="6777B080" w:rsidR="009B04AB" w:rsidRPr="00824D31" w:rsidRDefault="009B04AB" w:rsidP="009B04AB">
            <w:pPr>
              <w:jc w:val="center"/>
            </w:pPr>
            <w:r>
              <w:rPr>
                <w:color w:val="000000"/>
              </w:rPr>
              <w:t>330</w:t>
            </w:r>
          </w:p>
        </w:tc>
        <w:tc>
          <w:tcPr>
            <w:tcW w:w="1981" w:type="dxa"/>
            <w:tcBorders>
              <w:top w:val="single" w:sz="4" w:space="0" w:color="auto"/>
              <w:left w:val="single" w:sz="4" w:space="0" w:color="auto"/>
              <w:bottom w:val="single" w:sz="4" w:space="0" w:color="auto"/>
              <w:right w:val="single" w:sz="4" w:space="0" w:color="auto"/>
            </w:tcBorders>
            <w:noWrap/>
            <w:vAlign w:val="bottom"/>
            <w:hideMark/>
          </w:tcPr>
          <w:p w14:paraId="1694F7F0" w14:textId="77777777" w:rsidR="009B04AB" w:rsidRPr="00824D31" w:rsidRDefault="009B04AB" w:rsidP="009B04AB">
            <w:r w:rsidRPr="00824D31">
              <w:t>0,17%</w:t>
            </w:r>
          </w:p>
        </w:tc>
      </w:tr>
      <w:tr w:rsidR="009B04AB" w:rsidRPr="00824D31" w14:paraId="19D3ED10" w14:textId="77777777" w:rsidTr="008B2763">
        <w:trPr>
          <w:trHeight w:val="300"/>
        </w:trPr>
        <w:tc>
          <w:tcPr>
            <w:tcW w:w="879" w:type="dxa"/>
            <w:tcBorders>
              <w:top w:val="single" w:sz="4" w:space="0" w:color="auto"/>
              <w:left w:val="single" w:sz="4" w:space="0" w:color="auto"/>
              <w:bottom w:val="single" w:sz="4" w:space="0" w:color="auto"/>
              <w:right w:val="single" w:sz="4" w:space="0" w:color="auto"/>
            </w:tcBorders>
            <w:vAlign w:val="bottom"/>
            <w:hideMark/>
          </w:tcPr>
          <w:p w14:paraId="33529D14" w14:textId="77777777" w:rsidR="009B04AB" w:rsidRPr="00824D31" w:rsidRDefault="009B04AB" w:rsidP="009B04AB">
            <w:r w:rsidRPr="00824D31">
              <w:t>13</w:t>
            </w:r>
          </w:p>
        </w:tc>
        <w:tc>
          <w:tcPr>
            <w:tcW w:w="5059" w:type="dxa"/>
            <w:tcBorders>
              <w:top w:val="single" w:sz="4" w:space="0" w:color="auto"/>
              <w:left w:val="single" w:sz="4" w:space="0" w:color="auto"/>
              <w:bottom w:val="single" w:sz="4" w:space="0" w:color="auto"/>
              <w:right w:val="single" w:sz="4" w:space="0" w:color="auto"/>
            </w:tcBorders>
            <w:noWrap/>
            <w:vAlign w:val="bottom"/>
            <w:hideMark/>
          </w:tcPr>
          <w:p w14:paraId="0360CFFA" w14:textId="77777777" w:rsidR="009B04AB" w:rsidRPr="00824D31" w:rsidRDefault="009B04AB" w:rsidP="009B04AB">
            <w:r w:rsidRPr="00824D31">
              <w:t>Амгинский</w:t>
            </w:r>
          </w:p>
        </w:tc>
        <w:tc>
          <w:tcPr>
            <w:tcW w:w="1712" w:type="dxa"/>
            <w:tcBorders>
              <w:top w:val="single" w:sz="4" w:space="0" w:color="auto"/>
              <w:left w:val="single" w:sz="4" w:space="0" w:color="auto"/>
              <w:bottom w:val="single" w:sz="4" w:space="0" w:color="auto"/>
              <w:right w:val="single" w:sz="4" w:space="0" w:color="auto"/>
            </w:tcBorders>
            <w:noWrap/>
            <w:vAlign w:val="center"/>
            <w:hideMark/>
          </w:tcPr>
          <w:p w14:paraId="341756C7" w14:textId="241A6DA5" w:rsidR="009B04AB" w:rsidRPr="00824D31" w:rsidRDefault="009B04AB" w:rsidP="009B04AB">
            <w:pPr>
              <w:jc w:val="center"/>
            </w:pPr>
            <w:r>
              <w:rPr>
                <w:color w:val="000000"/>
              </w:rPr>
              <w:t>352</w:t>
            </w:r>
          </w:p>
        </w:tc>
        <w:tc>
          <w:tcPr>
            <w:tcW w:w="1981" w:type="dxa"/>
            <w:tcBorders>
              <w:top w:val="single" w:sz="4" w:space="0" w:color="auto"/>
              <w:left w:val="single" w:sz="4" w:space="0" w:color="auto"/>
              <w:bottom w:val="single" w:sz="4" w:space="0" w:color="auto"/>
              <w:right w:val="single" w:sz="4" w:space="0" w:color="auto"/>
            </w:tcBorders>
            <w:noWrap/>
            <w:vAlign w:val="bottom"/>
            <w:hideMark/>
          </w:tcPr>
          <w:p w14:paraId="7E68E987" w14:textId="77777777" w:rsidR="009B04AB" w:rsidRPr="00824D31" w:rsidRDefault="009B04AB" w:rsidP="009B04AB">
            <w:r w:rsidRPr="00824D31">
              <w:t>0,18%</w:t>
            </w:r>
          </w:p>
        </w:tc>
      </w:tr>
      <w:tr w:rsidR="009B04AB" w:rsidRPr="00824D31" w14:paraId="0F2006DA" w14:textId="77777777" w:rsidTr="008B2763">
        <w:trPr>
          <w:trHeight w:val="300"/>
        </w:trPr>
        <w:tc>
          <w:tcPr>
            <w:tcW w:w="879" w:type="dxa"/>
            <w:tcBorders>
              <w:top w:val="single" w:sz="4" w:space="0" w:color="auto"/>
              <w:left w:val="single" w:sz="4" w:space="0" w:color="auto"/>
              <w:bottom w:val="single" w:sz="4" w:space="0" w:color="auto"/>
              <w:right w:val="single" w:sz="4" w:space="0" w:color="auto"/>
            </w:tcBorders>
            <w:vAlign w:val="bottom"/>
            <w:hideMark/>
          </w:tcPr>
          <w:p w14:paraId="723A2C97" w14:textId="77777777" w:rsidR="009B04AB" w:rsidRPr="00824D31" w:rsidRDefault="009B04AB" w:rsidP="009B04AB">
            <w:r w:rsidRPr="00824D31">
              <w:t>14</w:t>
            </w:r>
          </w:p>
        </w:tc>
        <w:tc>
          <w:tcPr>
            <w:tcW w:w="5059" w:type="dxa"/>
            <w:tcBorders>
              <w:top w:val="single" w:sz="4" w:space="0" w:color="auto"/>
              <w:left w:val="single" w:sz="4" w:space="0" w:color="auto"/>
              <w:bottom w:val="single" w:sz="4" w:space="0" w:color="auto"/>
              <w:right w:val="single" w:sz="4" w:space="0" w:color="auto"/>
            </w:tcBorders>
            <w:noWrap/>
            <w:vAlign w:val="bottom"/>
            <w:hideMark/>
          </w:tcPr>
          <w:p w14:paraId="3CCD9C62" w14:textId="77777777" w:rsidR="009B04AB" w:rsidRPr="00824D31" w:rsidRDefault="009B04AB" w:rsidP="009B04AB">
            <w:r w:rsidRPr="00824D31">
              <w:t>Чурапчинский</w:t>
            </w:r>
          </w:p>
        </w:tc>
        <w:tc>
          <w:tcPr>
            <w:tcW w:w="1712" w:type="dxa"/>
            <w:tcBorders>
              <w:top w:val="single" w:sz="4" w:space="0" w:color="auto"/>
              <w:left w:val="single" w:sz="4" w:space="0" w:color="auto"/>
              <w:bottom w:val="single" w:sz="4" w:space="0" w:color="auto"/>
              <w:right w:val="single" w:sz="4" w:space="0" w:color="auto"/>
            </w:tcBorders>
            <w:noWrap/>
            <w:vAlign w:val="center"/>
            <w:hideMark/>
          </w:tcPr>
          <w:p w14:paraId="36F53B70" w14:textId="384F182D" w:rsidR="009B04AB" w:rsidRPr="00824D31" w:rsidRDefault="009B04AB" w:rsidP="009B04AB">
            <w:pPr>
              <w:jc w:val="center"/>
            </w:pPr>
            <w:r>
              <w:rPr>
                <w:color w:val="000000"/>
              </w:rPr>
              <w:t>428</w:t>
            </w:r>
          </w:p>
        </w:tc>
        <w:tc>
          <w:tcPr>
            <w:tcW w:w="1981" w:type="dxa"/>
            <w:tcBorders>
              <w:top w:val="single" w:sz="4" w:space="0" w:color="auto"/>
              <w:left w:val="single" w:sz="4" w:space="0" w:color="auto"/>
              <w:bottom w:val="single" w:sz="4" w:space="0" w:color="auto"/>
              <w:right w:val="single" w:sz="4" w:space="0" w:color="auto"/>
            </w:tcBorders>
            <w:noWrap/>
            <w:vAlign w:val="bottom"/>
            <w:hideMark/>
          </w:tcPr>
          <w:p w14:paraId="78F5F760" w14:textId="77777777" w:rsidR="009B04AB" w:rsidRPr="00824D31" w:rsidRDefault="009B04AB" w:rsidP="009B04AB">
            <w:r w:rsidRPr="00824D31">
              <w:t>0,22%</w:t>
            </w:r>
          </w:p>
        </w:tc>
      </w:tr>
      <w:tr w:rsidR="009B04AB" w:rsidRPr="00824D31" w14:paraId="54924FE4" w14:textId="77777777" w:rsidTr="008B2763">
        <w:trPr>
          <w:trHeight w:val="300"/>
        </w:trPr>
        <w:tc>
          <w:tcPr>
            <w:tcW w:w="879" w:type="dxa"/>
            <w:tcBorders>
              <w:top w:val="single" w:sz="4" w:space="0" w:color="auto"/>
              <w:left w:val="single" w:sz="4" w:space="0" w:color="auto"/>
              <w:bottom w:val="single" w:sz="4" w:space="0" w:color="auto"/>
              <w:right w:val="single" w:sz="4" w:space="0" w:color="auto"/>
            </w:tcBorders>
            <w:vAlign w:val="bottom"/>
            <w:hideMark/>
          </w:tcPr>
          <w:p w14:paraId="5AB39F1A" w14:textId="77777777" w:rsidR="009B04AB" w:rsidRPr="00824D31" w:rsidRDefault="009B04AB" w:rsidP="009B04AB">
            <w:r w:rsidRPr="00824D31">
              <w:t>15</w:t>
            </w:r>
          </w:p>
        </w:tc>
        <w:tc>
          <w:tcPr>
            <w:tcW w:w="5059" w:type="dxa"/>
            <w:tcBorders>
              <w:top w:val="single" w:sz="4" w:space="0" w:color="auto"/>
              <w:left w:val="single" w:sz="4" w:space="0" w:color="auto"/>
              <w:bottom w:val="single" w:sz="4" w:space="0" w:color="auto"/>
              <w:right w:val="single" w:sz="4" w:space="0" w:color="auto"/>
            </w:tcBorders>
            <w:noWrap/>
            <w:vAlign w:val="bottom"/>
            <w:hideMark/>
          </w:tcPr>
          <w:p w14:paraId="37EB9458" w14:textId="77777777" w:rsidR="009B04AB" w:rsidRPr="00824D31" w:rsidRDefault="009B04AB" w:rsidP="009B04AB">
            <w:r w:rsidRPr="00824D31">
              <w:t>Олёкминский</w:t>
            </w:r>
          </w:p>
        </w:tc>
        <w:tc>
          <w:tcPr>
            <w:tcW w:w="1712" w:type="dxa"/>
            <w:tcBorders>
              <w:top w:val="single" w:sz="4" w:space="0" w:color="auto"/>
              <w:left w:val="single" w:sz="4" w:space="0" w:color="auto"/>
              <w:bottom w:val="single" w:sz="4" w:space="0" w:color="auto"/>
              <w:right w:val="single" w:sz="4" w:space="0" w:color="auto"/>
            </w:tcBorders>
            <w:noWrap/>
            <w:vAlign w:val="center"/>
            <w:hideMark/>
          </w:tcPr>
          <w:p w14:paraId="63A6BD06" w14:textId="5B801F86" w:rsidR="009B04AB" w:rsidRPr="00824D31" w:rsidRDefault="009B04AB" w:rsidP="009B04AB">
            <w:pPr>
              <w:jc w:val="center"/>
            </w:pPr>
            <w:r>
              <w:rPr>
                <w:color w:val="000000"/>
              </w:rPr>
              <w:t>463</w:t>
            </w:r>
          </w:p>
        </w:tc>
        <w:tc>
          <w:tcPr>
            <w:tcW w:w="1981" w:type="dxa"/>
            <w:tcBorders>
              <w:top w:val="single" w:sz="4" w:space="0" w:color="auto"/>
              <w:left w:val="single" w:sz="4" w:space="0" w:color="auto"/>
              <w:bottom w:val="single" w:sz="4" w:space="0" w:color="auto"/>
              <w:right w:val="single" w:sz="4" w:space="0" w:color="auto"/>
            </w:tcBorders>
            <w:noWrap/>
            <w:vAlign w:val="bottom"/>
            <w:hideMark/>
          </w:tcPr>
          <w:p w14:paraId="0EAE6CD8" w14:textId="77777777" w:rsidR="009B04AB" w:rsidRPr="00824D31" w:rsidRDefault="009B04AB" w:rsidP="009B04AB">
            <w:r w:rsidRPr="00824D31">
              <w:t>0,23%</w:t>
            </w:r>
          </w:p>
        </w:tc>
      </w:tr>
      <w:tr w:rsidR="009B04AB" w:rsidRPr="00824D31" w14:paraId="60EAA19C" w14:textId="77777777" w:rsidTr="008B2763">
        <w:trPr>
          <w:trHeight w:val="300"/>
        </w:trPr>
        <w:tc>
          <w:tcPr>
            <w:tcW w:w="879" w:type="dxa"/>
            <w:tcBorders>
              <w:top w:val="single" w:sz="4" w:space="0" w:color="auto"/>
              <w:left w:val="single" w:sz="4" w:space="0" w:color="auto"/>
              <w:bottom w:val="single" w:sz="4" w:space="0" w:color="auto"/>
              <w:right w:val="single" w:sz="4" w:space="0" w:color="auto"/>
            </w:tcBorders>
            <w:vAlign w:val="bottom"/>
            <w:hideMark/>
          </w:tcPr>
          <w:p w14:paraId="0C0FCB3A" w14:textId="77777777" w:rsidR="009B04AB" w:rsidRPr="00824D31" w:rsidRDefault="009B04AB" w:rsidP="009B04AB">
            <w:r w:rsidRPr="00824D31">
              <w:t>16</w:t>
            </w:r>
          </w:p>
        </w:tc>
        <w:tc>
          <w:tcPr>
            <w:tcW w:w="5059" w:type="dxa"/>
            <w:tcBorders>
              <w:top w:val="single" w:sz="4" w:space="0" w:color="auto"/>
              <w:left w:val="single" w:sz="4" w:space="0" w:color="auto"/>
              <w:bottom w:val="single" w:sz="4" w:space="0" w:color="auto"/>
              <w:right w:val="single" w:sz="4" w:space="0" w:color="auto"/>
            </w:tcBorders>
            <w:noWrap/>
            <w:vAlign w:val="bottom"/>
            <w:hideMark/>
          </w:tcPr>
          <w:p w14:paraId="54F42B0A" w14:textId="77777777" w:rsidR="009B04AB" w:rsidRPr="00824D31" w:rsidRDefault="009B04AB" w:rsidP="009B04AB">
            <w:r w:rsidRPr="00824D31">
              <w:t>Намский</w:t>
            </w:r>
          </w:p>
        </w:tc>
        <w:tc>
          <w:tcPr>
            <w:tcW w:w="1712" w:type="dxa"/>
            <w:tcBorders>
              <w:top w:val="single" w:sz="4" w:space="0" w:color="auto"/>
              <w:left w:val="single" w:sz="4" w:space="0" w:color="auto"/>
              <w:bottom w:val="single" w:sz="4" w:space="0" w:color="auto"/>
              <w:right w:val="single" w:sz="4" w:space="0" w:color="auto"/>
            </w:tcBorders>
            <w:noWrap/>
            <w:vAlign w:val="center"/>
            <w:hideMark/>
          </w:tcPr>
          <w:p w14:paraId="3623F699" w14:textId="6AA13912" w:rsidR="009B04AB" w:rsidRPr="00824D31" w:rsidRDefault="009B04AB" w:rsidP="009B04AB">
            <w:pPr>
              <w:jc w:val="center"/>
            </w:pPr>
            <w:r>
              <w:rPr>
                <w:color w:val="000000"/>
              </w:rPr>
              <w:t>511</w:t>
            </w:r>
          </w:p>
        </w:tc>
        <w:tc>
          <w:tcPr>
            <w:tcW w:w="1981" w:type="dxa"/>
            <w:tcBorders>
              <w:top w:val="single" w:sz="4" w:space="0" w:color="auto"/>
              <w:left w:val="single" w:sz="4" w:space="0" w:color="auto"/>
              <w:bottom w:val="single" w:sz="4" w:space="0" w:color="auto"/>
              <w:right w:val="single" w:sz="4" w:space="0" w:color="auto"/>
            </w:tcBorders>
            <w:noWrap/>
            <w:vAlign w:val="bottom"/>
            <w:hideMark/>
          </w:tcPr>
          <w:p w14:paraId="1CB82EDD" w14:textId="77777777" w:rsidR="009B04AB" w:rsidRPr="00824D31" w:rsidRDefault="009B04AB" w:rsidP="009B04AB">
            <w:r w:rsidRPr="00824D31">
              <w:t>0,26%</w:t>
            </w:r>
          </w:p>
        </w:tc>
      </w:tr>
      <w:tr w:rsidR="009B04AB" w:rsidRPr="00824D31" w14:paraId="2D890341" w14:textId="77777777" w:rsidTr="008B2763">
        <w:trPr>
          <w:trHeight w:val="300"/>
        </w:trPr>
        <w:tc>
          <w:tcPr>
            <w:tcW w:w="879" w:type="dxa"/>
            <w:tcBorders>
              <w:top w:val="single" w:sz="4" w:space="0" w:color="auto"/>
              <w:left w:val="single" w:sz="4" w:space="0" w:color="auto"/>
              <w:bottom w:val="single" w:sz="4" w:space="0" w:color="auto"/>
              <w:right w:val="single" w:sz="4" w:space="0" w:color="auto"/>
            </w:tcBorders>
            <w:vAlign w:val="bottom"/>
            <w:hideMark/>
          </w:tcPr>
          <w:p w14:paraId="2446C8E5" w14:textId="77777777" w:rsidR="009B04AB" w:rsidRPr="00824D31" w:rsidRDefault="009B04AB" w:rsidP="009B04AB">
            <w:r w:rsidRPr="00824D31">
              <w:t>17</w:t>
            </w:r>
          </w:p>
        </w:tc>
        <w:tc>
          <w:tcPr>
            <w:tcW w:w="5059" w:type="dxa"/>
            <w:tcBorders>
              <w:top w:val="single" w:sz="4" w:space="0" w:color="auto"/>
              <w:left w:val="single" w:sz="4" w:space="0" w:color="auto"/>
              <w:bottom w:val="single" w:sz="4" w:space="0" w:color="auto"/>
              <w:right w:val="single" w:sz="4" w:space="0" w:color="auto"/>
            </w:tcBorders>
            <w:noWrap/>
            <w:vAlign w:val="bottom"/>
            <w:hideMark/>
          </w:tcPr>
          <w:p w14:paraId="4A95D042" w14:textId="77777777" w:rsidR="009B04AB" w:rsidRPr="00824D31" w:rsidRDefault="009B04AB" w:rsidP="009B04AB">
            <w:r w:rsidRPr="00824D31">
              <w:t>Верхнеколымский</w:t>
            </w:r>
          </w:p>
        </w:tc>
        <w:tc>
          <w:tcPr>
            <w:tcW w:w="1712" w:type="dxa"/>
            <w:tcBorders>
              <w:top w:val="single" w:sz="4" w:space="0" w:color="auto"/>
              <w:left w:val="single" w:sz="4" w:space="0" w:color="auto"/>
              <w:bottom w:val="single" w:sz="4" w:space="0" w:color="auto"/>
              <w:right w:val="single" w:sz="4" w:space="0" w:color="auto"/>
            </w:tcBorders>
            <w:noWrap/>
            <w:vAlign w:val="center"/>
            <w:hideMark/>
          </w:tcPr>
          <w:p w14:paraId="7063505C" w14:textId="07C35A6D" w:rsidR="009B04AB" w:rsidRPr="00824D31" w:rsidRDefault="009B04AB" w:rsidP="009B04AB">
            <w:pPr>
              <w:jc w:val="center"/>
            </w:pPr>
            <w:r>
              <w:rPr>
                <w:color w:val="000000"/>
              </w:rPr>
              <w:t>524</w:t>
            </w:r>
          </w:p>
        </w:tc>
        <w:tc>
          <w:tcPr>
            <w:tcW w:w="1981" w:type="dxa"/>
            <w:tcBorders>
              <w:top w:val="single" w:sz="4" w:space="0" w:color="auto"/>
              <w:left w:val="single" w:sz="4" w:space="0" w:color="auto"/>
              <w:bottom w:val="single" w:sz="4" w:space="0" w:color="auto"/>
              <w:right w:val="single" w:sz="4" w:space="0" w:color="auto"/>
            </w:tcBorders>
            <w:noWrap/>
            <w:vAlign w:val="bottom"/>
            <w:hideMark/>
          </w:tcPr>
          <w:p w14:paraId="2D0ED834" w14:textId="77777777" w:rsidR="009B04AB" w:rsidRPr="00824D31" w:rsidRDefault="009B04AB" w:rsidP="009B04AB">
            <w:r w:rsidRPr="00824D31">
              <w:t>0,26%</w:t>
            </w:r>
          </w:p>
        </w:tc>
      </w:tr>
      <w:tr w:rsidR="009B04AB" w:rsidRPr="00824D31" w14:paraId="7EF74FB2" w14:textId="77777777" w:rsidTr="008B2763">
        <w:trPr>
          <w:trHeight w:val="300"/>
        </w:trPr>
        <w:tc>
          <w:tcPr>
            <w:tcW w:w="879" w:type="dxa"/>
            <w:tcBorders>
              <w:top w:val="single" w:sz="4" w:space="0" w:color="auto"/>
              <w:left w:val="single" w:sz="4" w:space="0" w:color="auto"/>
              <w:bottom w:val="single" w:sz="4" w:space="0" w:color="auto"/>
              <w:right w:val="single" w:sz="4" w:space="0" w:color="auto"/>
            </w:tcBorders>
            <w:vAlign w:val="bottom"/>
            <w:hideMark/>
          </w:tcPr>
          <w:p w14:paraId="7C4EAF93" w14:textId="77777777" w:rsidR="009B04AB" w:rsidRPr="00824D31" w:rsidRDefault="009B04AB" w:rsidP="009B04AB">
            <w:r w:rsidRPr="00824D31">
              <w:t>18</w:t>
            </w:r>
          </w:p>
        </w:tc>
        <w:tc>
          <w:tcPr>
            <w:tcW w:w="5059" w:type="dxa"/>
            <w:tcBorders>
              <w:top w:val="single" w:sz="4" w:space="0" w:color="auto"/>
              <w:left w:val="single" w:sz="4" w:space="0" w:color="auto"/>
              <w:bottom w:val="single" w:sz="4" w:space="0" w:color="auto"/>
              <w:right w:val="single" w:sz="4" w:space="0" w:color="auto"/>
            </w:tcBorders>
            <w:noWrap/>
            <w:vAlign w:val="bottom"/>
            <w:hideMark/>
          </w:tcPr>
          <w:p w14:paraId="71B287DF" w14:textId="77777777" w:rsidR="009B04AB" w:rsidRPr="00824D31" w:rsidRDefault="009B04AB" w:rsidP="009B04AB">
            <w:r w:rsidRPr="00824D31">
              <w:t>Вилюйский</w:t>
            </w:r>
          </w:p>
        </w:tc>
        <w:tc>
          <w:tcPr>
            <w:tcW w:w="1712" w:type="dxa"/>
            <w:tcBorders>
              <w:top w:val="single" w:sz="4" w:space="0" w:color="auto"/>
              <w:left w:val="single" w:sz="4" w:space="0" w:color="auto"/>
              <w:bottom w:val="single" w:sz="4" w:space="0" w:color="auto"/>
              <w:right w:val="single" w:sz="4" w:space="0" w:color="auto"/>
            </w:tcBorders>
            <w:noWrap/>
            <w:vAlign w:val="center"/>
            <w:hideMark/>
          </w:tcPr>
          <w:p w14:paraId="69135E62" w14:textId="3E9FB8BA" w:rsidR="009B04AB" w:rsidRPr="00824D31" w:rsidRDefault="009B04AB" w:rsidP="009B04AB">
            <w:pPr>
              <w:jc w:val="center"/>
            </w:pPr>
            <w:r>
              <w:rPr>
                <w:color w:val="000000"/>
              </w:rPr>
              <w:t>734</w:t>
            </w:r>
          </w:p>
        </w:tc>
        <w:tc>
          <w:tcPr>
            <w:tcW w:w="1981" w:type="dxa"/>
            <w:tcBorders>
              <w:top w:val="single" w:sz="4" w:space="0" w:color="auto"/>
              <w:left w:val="single" w:sz="4" w:space="0" w:color="auto"/>
              <w:bottom w:val="single" w:sz="4" w:space="0" w:color="auto"/>
              <w:right w:val="single" w:sz="4" w:space="0" w:color="auto"/>
            </w:tcBorders>
            <w:noWrap/>
            <w:vAlign w:val="bottom"/>
            <w:hideMark/>
          </w:tcPr>
          <w:p w14:paraId="2718D6DB" w14:textId="77777777" w:rsidR="009B04AB" w:rsidRPr="00824D31" w:rsidRDefault="009B04AB" w:rsidP="009B04AB">
            <w:r w:rsidRPr="00824D31">
              <w:t>0,37%</w:t>
            </w:r>
          </w:p>
        </w:tc>
      </w:tr>
      <w:tr w:rsidR="009B04AB" w:rsidRPr="00824D31" w14:paraId="13B2859F" w14:textId="77777777" w:rsidTr="008B2763">
        <w:trPr>
          <w:trHeight w:val="300"/>
        </w:trPr>
        <w:tc>
          <w:tcPr>
            <w:tcW w:w="879" w:type="dxa"/>
            <w:tcBorders>
              <w:top w:val="single" w:sz="4" w:space="0" w:color="auto"/>
              <w:left w:val="single" w:sz="4" w:space="0" w:color="auto"/>
              <w:bottom w:val="single" w:sz="4" w:space="0" w:color="auto"/>
              <w:right w:val="single" w:sz="4" w:space="0" w:color="auto"/>
            </w:tcBorders>
            <w:vAlign w:val="bottom"/>
            <w:hideMark/>
          </w:tcPr>
          <w:p w14:paraId="70B94C15" w14:textId="77777777" w:rsidR="009B04AB" w:rsidRPr="00824D31" w:rsidRDefault="009B04AB" w:rsidP="009B04AB">
            <w:r w:rsidRPr="00824D31">
              <w:t>19</w:t>
            </w:r>
          </w:p>
        </w:tc>
        <w:tc>
          <w:tcPr>
            <w:tcW w:w="5059" w:type="dxa"/>
            <w:tcBorders>
              <w:top w:val="single" w:sz="4" w:space="0" w:color="auto"/>
              <w:left w:val="single" w:sz="4" w:space="0" w:color="auto"/>
              <w:bottom w:val="single" w:sz="4" w:space="0" w:color="auto"/>
              <w:right w:val="single" w:sz="4" w:space="0" w:color="auto"/>
            </w:tcBorders>
            <w:noWrap/>
            <w:vAlign w:val="bottom"/>
            <w:hideMark/>
          </w:tcPr>
          <w:p w14:paraId="0FA8BB8A" w14:textId="77777777" w:rsidR="009B04AB" w:rsidRPr="00824D31" w:rsidRDefault="009B04AB" w:rsidP="009B04AB">
            <w:r w:rsidRPr="00824D31">
              <w:t>Нюрбинский</w:t>
            </w:r>
          </w:p>
        </w:tc>
        <w:tc>
          <w:tcPr>
            <w:tcW w:w="1712" w:type="dxa"/>
            <w:tcBorders>
              <w:top w:val="single" w:sz="4" w:space="0" w:color="auto"/>
              <w:left w:val="single" w:sz="4" w:space="0" w:color="auto"/>
              <w:bottom w:val="single" w:sz="4" w:space="0" w:color="auto"/>
              <w:right w:val="single" w:sz="4" w:space="0" w:color="auto"/>
            </w:tcBorders>
            <w:noWrap/>
            <w:vAlign w:val="center"/>
            <w:hideMark/>
          </w:tcPr>
          <w:p w14:paraId="572F64FD" w14:textId="60E84E79" w:rsidR="009B04AB" w:rsidRPr="00824D31" w:rsidRDefault="009B04AB" w:rsidP="009B04AB">
            <w:pPr>
              <w:jc w:val="center"/>
            </w:pPr>
            <w:r>
              <w:rPr>
                <w:color w:val="000000"/>
              </w:rPr>
              <w:t>808</w:t>
            </w:r>
          </w:p>
        </w:tc>
        <w:tc>
          <w:tcPr>
            <w:tcW w:w="1981" w:type="dxa"/>
            <w:tcBorders>
              <w:top w:val="single" w:sz="4" w:space="0" w:color="auto"/>
              <w:left w:val="single" w:sz="4" w:space="0" w:color="auto"/>
              <w:bottom w:val="single" w:sz="4" w:space="0" w:color="auto"/>
              <w:right w:val="single" w:sz="4" w:space="0" w:color="auto"/>
            </w:tcBorders>
            <w:noWrap/>
            <w:vAlign w:val="bottom"/>
            <w:hideMark/>
          </w:tcPr>
          <w:p w14:paraId="50421F2B" w14:textId="77777777" w:rsidR="009B04AB" w:rsidRPr="00824D31" w:rsidRDefault="009B04AB" w:rsidP="009B04AB">
            <w:r w:rsidRPr="00824D31">
              <w:t>0,41%</w:t>
            </w:r>
          </w:p>
        </w:tc>
      </w:tr>
      <w:tr w:rsidR="009B04AB" w:rsidRPr="00824D31" w14:paraId="2559A94A" w14:textId="77777777" w:rsidTr="008B2763">
        <w:trPr>
          <w:trHeight w:val="300"/>
        </w:trPr>
        <w:tc>
          <w:tcPr>
            <w:tcW w:w="879" w:type="dxa"/>
            <w:tcBorders>
              <w:top w:val="single" w:sz="4" w:space="0" w:color="auto"/>
              <w:left w:val="single" w:sz="4" w:space="0" w:color="auto"/>
              <w:bottom w:val="single" w:sz="4" w:space="0" w:color="auto"/>
              <w:right w:val="single" w:sz="4" w:space="0" w:color="auto"/>
            </w:tcBorders>
            <w:vAlign w:val="bottom"/>
            <w:hideMark/>
          </w:tcPr>
          <w:p w14:paraId="42BCE5CD" w14:textId="77777777" w:rsidR="009B04AB" w:rsidRPr="00824D31" w:rsidRDefault="009B04AB" w:rsidP="009B04AB">
            <w:r w:rsidRPr="00824D31">
              <w:t>20</w:t>
            </w:r>
          </w:p>
        </w:tc>
        <w:tc>
          <w:tcPr>
            <w:tcW w:w="5059" w:type="dxa"/>
            <w:tcBorders>
              <w:top w:val="single" w:sz="4" w:space="0" w:color="auto"/>
              <w:left w:val="single" w:sz="4" w:space="0" w:color="auto"/>
              <w:bottom w:val="single" w:sz="4" w:space="0" w:color="auto"/>
              <w:right w:val="single" w:sz="4" w:space="0" w:color="auto"/>
            </w:tcBorders>
            <w:noWrap/>
            <w:vAlign w:val="bottom"/>
            <w:hideMark/>
          </w:tcPr>
          <w:p w14:paraId="63C8B66C" w14:textId="77777777" w:rsidR="009B04AB" w:rsidRPr="00824D31" w:rsidRDefault="009B04AB" w:rsidP="009B04AB">
            <w:r w:rsidRPr="00824D31">
              <w:t>Томпонский</w:t>
            </w:r>
          </w:p>
        </w:tc>
        <w:tc>
          <w:tcPr>
            <w:tcW w:w="1712" w:type="dxa"/>
            <w:tcBorders>
              <w:top w:val="single" w:sz="4" w:space="0" w:color="auto"/>
              <w:left w:val="single" w:sz="4" w:space="0" w:color="auto"/>
              <w:bottom w:val="single" w:sz="4" w:space="0" w:color="auto"/>
              <w:right w:val="single" w:sz="4" w:space="0" w:color="auto"/>
            </w:tcBorders>
            <w:noWrap/>
            <w:vAlign w:val="center"/>
            <w:hideMark/>
          </w:tcPr>
          <w:p w14:paraId="260B3BFB" w14:textId="5A7B7BD4" w:rsidR="009B04AB" w:rsidRPr="00824D31" w:rsidRDefault="009B04AB" w:rsidP="009B04AB">
            <w:pPr>
              <w:jc w:val="center"/>
            </w:pPr>
            <w:r>
              <w:rPr>
                <w:color w:val="000000"/>
              </w:rPr>
              <w:t>1133</w:t>
            </w:r>
          </w:p>
        </w:tc>
        <w:tc>
          <w:tcPr>
            <w:tcW w:w="1981" w:type="dxa"/>
            <w:tcBorders>
              <w:top w:val="single" w:sz="4" w:space="0" w:color="auto"/>
              <w:left w:val="single" w:sz="4" w:space="0" w:color="auto"/>
              <w:bottom w:val="single" w:sz="4" w:space="0" w:color="auto"/>
              <w:right w:val="single" w:sz="4" w:space="0" w:color="auto"/>
            </w:tcBorders>
            <w:noWrap/>
            <w:vAlign w:val="bottom"/>
            <w:hideMark/>
          </w:tcPr>
          <w:p w14:paraId="1808D17F" w14:textId="77777777" w:rsidR="009B04AB" w:rsidRPr="00824D31" w:rsidRDefault="009B04AB" w:rsidP="009B04AB">
            <w:r w:rsidRPr="00824D31">
              <w:t>0,57%</w:t>
            </w:r>
          </w:p>
        </w:tc>
      </w:tr>
      <w:tr w:rsidR="009B04AB" w:rsidRPr="00824D31" w14:paraId="290B884B" w14:textId="77777777" w:rsidTr="008B2763">
        <w:trPr>
          <w:trHeight w:val="300"/>
        </w:trPr>
        <w:tc>
          <w:tcPr>
            <w:tcW w:w="879" w:type="dxa"/>
            <w:tcBorders>
              <w:top w:val="single" w:sz="4" w:space="0" w:color="auto"/>
              <w:left w:val="single" w:sz="4" w:space="0" w:color="auto"/>
              <w:bottom w:val="single" w:sz="4" w:space="0" w:color="auto"/>
              <w:right w:val="single" w:sz="4" w:space="0" w:color="auto"/>
            </w:tcBorders>
            <w:vAlign w:val="bottom"/>
            <w:hideMark/>
          </w:tcPr>
          <w:p w14:paraId="7BC03F8A" w14:textId="77777777" w:rsidR="009B04AB" w:rsidRPr="00824D31" w:rsidRDefault="009B04AB" w:rsidP="009B04AB">
            <w:r w:rsidRPr="00824D31">
              <w:t>21</w:t>
            </w:r>
          </w:p>
        </w:tc>
        <w:tc>
          <w:tcPr>
            <w:tcW w:w="5059" w:type="dxa"/>
            <w:tcBorders>
              <w:top w:val="single" w:sz="4" w:space="0" w:color="auto"/>
              <w:left w:val="single" w:sz="4" w:space="0" w:color="auto"/>
              <w:bottom w:val="single" w:sz="4" w:space="0" w:color="auto"/>
              <w:right w:val="single" w:sz="4" w:space="0" w:color="auto"/>
            </w:tcBorders>
            <w:noWrap/>
            <w:vAlign w:val="bottom"/>
            <w:hideMark/>
          </w:tcPr>
          <w:p w14:paraId="19529229" w14:textId="77777777" w:rsidR="009B04AB" w:rsidRPr="00824D31" w:rsidRDefault="009B04AB" w:rsidP="009B04AB">
            <w:r w:rsidRPr="00824D31">
              <w:t>Мегино-Кангаласский</w:t>
            </w:r>
          </w:p>
        </w:tc>
        <w:tc>
          <w:tcPr>
            <w:tcW w:w="1712" w:type="dxa"/>
            <w:tcBorders>
              <w:top w:val="single" w:sz="4" w:space="0" w:color="auto"/>
              <w:left w:val="single" w:sz="4" w:space="0" w:color="auto"/>
              <w:bottom w:val="single" w:sz="4" w:space="0" w:color="auto"/>
              <w:right w:val="single" w:sz="4" w:space="0" w:color="auto"/>
            </w:tcBorders>
            <w:noWrap/>
            <w:vAlign w:val="center"/>
            <w:hideMark/>
          </w:tcPr>
          <w:p w14:paraId="0FBE00A5" w14:textId="16F7F56F" w:rsidR="009B04AB" w:rsidRPr="00824D31" w:rsidRDefault="009B04AB" w:rsidP="009B04AB">
            <w:pPr>
              <w:jc w:val="center"/>
            </w:pPr>
            <w:r>
              <w:rPr>
                <w:color w:val="000000"/>
              </w:rPr>
              <w:t>1253</w:t>
            </w:r>
          </w:p>
        </w:tc>
        <w:tc>
          <w:tcPr>
            <w:tcW w:w="1981" w:type="dxa"/>
            <w:tcBorders>
              <w:top w:val="single" w:sz="4" w:space="0" w:color="auto"/>
              <w:left w:val="single" w:sz="4" w:space="0" w:color="auto"/>
              <w:bottom w:val="single" w:sz="4" w:space="0" w:color="auto"/>
              <w:right w:val="single" w:sz="4" w:space="0" w:color="auto"/>
            </w:tcBorders>
            <w:noWrap/>
            <w:vAlign w:val="bottom"/>
            <w:hideMark/>
          </w:tcPr>
          <w:p w14:paraId="072B73F1" w14:textId="77777777" w:rsidR="009B04AB" w:rsidRPr="00824D31" w:rsidRDefault="009B04AB" w:rsidP="009B04AB">
            <w:r w:rsidRPr="00824D31">
              <w:t>0,63%</w:t>
            </w:r>
          </w:p>
        </w:tc>
      </w:tr>
      <w:tr w:rsidR="009B04AB" w:rsidRPr="00824D31" w14:paraId="189BF523" w14:textId="77777777" w:rsidTr="008B2763">
        <w:trPr>
          <w:trHeight w:val="300"/>
        </w:trPr>
        <w:tc>
          <w:tcPr>
            <w:tcW w:w="879" w:type="dxa"/>
            <w:tcBorders>
              <w:top w:val="single" w:sz="4" w:space="0" w:color="auto"/>
              <w:left w:val="single" w:sz="4" w:space="0" w:color="auto"/>
              <w:bottom w:val="single" w:sz="4" w:space="0" w:color="auto"/>
              <w:right w:val="single" w:sz="4" w:space="0" w:color="auto"/>
            </w:tcBorders>
            <w:vAlign w:val="bottom"/>
            <w:hideMark/>
          </w:tcPr>
          <w:p w14:paraId="3A787160" w14:textId="77777777" w:rsidR="009B04AB" w:rsidRPr="00824D31" w:rsidRDefault="009B04AB" w:rsidP="009B04AB">
            <w:r w:rsidRPr="00824D31">
              <w:t>22</w:t>
            </w:r>
          </w:p>
        </w:tc>
        <w:tc>
          <w:tcPr>
            <w:tcW w:w="5059" w:type="dxa"/>
            <w:tcBorders>
              <w:top w:val="single" w:sz="4" w:space="0" w:color="auto"/>
              <w:left w:val="single" w:sz="4" w:space="0" w:color="auto"/>
              <w:bottom w:val="single" w:sz="4" w:space="0" w:color="auto"/>
              <w:right w:val="single" w:sz="4" w:space="0" w:color="auto"/>
            </w:tcBorders>
            <w:noWrap/>
            <w:vAlign w:val="bottom"/>
            <w:hideMark/>
          </w:tcPr>
          <w:p w14:paraId="39A23855" w14:textId="77777777" w:rsidR="009B04AB" w:rsidRPr="00824D31" w:rsidRDefault="009B04AB" w:rsidP="009B04AB">
            <w:r w:rsidRPr="00824D31">
              <w:t>Оймяконский</w:t>
            </w:r>
          </w:p>
        </w:tc>
        <w:tc>
          <w:tcPr>
            <w:tcW w:w="1712" w:type="dxa"/>
            <w:tcBorders>
              <w:top w:val="single" w:sz="4" w:space="0" w:color="auto"/>
              <w:left w:val="single" w:sz="4" w:space="0" w:color="auto"/>
              <w:bottom w:val="single" w:sz="4" w:space="0" w:color="auto"/>
              <w:right w:val="single" w:sz="4" w:space="0" w:color="auto"/>
            </w:tcBorders>
            <w:noWrap/>
            <w:vAlign w:val="center"/>
            <w:hideMark/>
          </w:tcPr>
          <w:p w14:paraId="1F57E129" w14:textId="3762D5B5" w:rsidR="009B04AB" w:rsidRPr="00824D31" w:rsidRDefault="009B04AB" w:rsidP="009B04AB">
            <w:pPr>
              <w:jc w:val="center"/>
            </w:pPr>
            <w:r>
              <w:rPr>
                <w:color w:val="000000"/>
              </w:rPr>
              <w:t>1396</w:t>
            </w:r>
          </w:p>
        </w:tc>
        <w:tc>
          <w:tcPr>
            <w:tcW w:w="1981" w:type="dxa"/>
            <w:tcBorders>
              <w:top w:val="single" w:sz="4" w:space="0" w:color="auto"/>
              <w:left w:val="single" w:sz="4" w:space="0" w:color="auto"/>
              <w:bottom w:val="single" w:sz="4" w:space="0" w:color="auto"/>
              <w:right w:val="single" w:sz="4" w:space="0" w:color="auto"/>
            </w:tcBorders>
            <w:noWrap/>
            <w:vAlign w:val="bottom"/>
            <w:hideMark/>
          </w:tcPr>
          <w:p w14:paraId="096591ED" w14:textId="77777777" w:rsidR="009B04AB" w:rsidRPr="00824D31" w:rsidRDefault="009B04AB" w:rsidP="009B04AB">
            <w:r w:rsidRPr="00824D31">
              <w:t>0,71%</w:t>
            </w:r>
          </w:p>
        </w:tc>
      </w:tr>
      <w:tr w:rsidR="009B04AB" w:rsidRPr="00824D31" w14:paraId="50BC476B" w14:textId="77777777" w:rsidTr="008B2763">
        <w:trPr>
          <w:trHeight w:val="300"/>
        </w:trPr>
        <w:tc>
          <w:tcPr>
            <w:tcW w:w="879" w:type="dxa"/>
            <w:tcBorders>
              <w:top w:val="single" w:sz="4" w:space="0" w:color="auto"/>
              <w:left w:val="single" w:sz="4" w:space="0" w:color="auto"/>
              <w:bottom w:val="single" w:sz="4" w:space="0" w:color="auto"/>
              <w:right w:val="single" w:sz="4" w:space="0" w:color="auto"/>
            </w:tcBorders>
            <w:vAlign w:val="bottom"/>
            <w:hideMark/>
          </w:tcPr>
          <w:p w14:paraId="3217F07F" w14:textId="77777777" w:rsidR="009B04AB" w:rsidRPr="00824D31" w:rsidRDefault="009B04AB" w:rsidP="009B04AB">
            <w:r w:rsidRPr="00824D31">
              <w:t>23</w:t>
            </w:r>
          </w:p>
        </w:tc>
        <w:tc>
          <w:tcPr>
            <w:tcW w:w="5059" w:type="dxa"/>
            <w:tcBorders>
              <w:top w:val="single" w:sz="4" w:space="0" w:color="auto"/>
              <w:left w:val="single" w:sz="4" w:space="0" w:color="auto"/>
              <w:bottom w:val="single" w:sz="4" w:space="0" w:color="auto"/>
              <w:right w:val="single" w:sz="4" w:space="0" w:color="auto"/>
            </w:tcBorders>
            <w:noWrap/>
            <w:vAlign w:val="bottom"/>
            <w:hideMark/>
          </w:tcPr>
          <w:p w14:paraId="5B71F521" w14:textId="77777777" w:rsidR="009B04AB" w:rsidRPr="00824D31" w:rsidRDefault="009B04AB" w:rsidP="009B04AB">
            <w:r w:rsidRPr="00824D31">
              <w:t>Нижнеколымский</w:t>
            </w:r>
          </w:p>
        </w:tc>
        <w:tc>
          <w:tcPr>
            <w:tcW w:w="1712" w:type="dxa"/>
            <w:tcBorders>
              <w:top w:val="single" w:sz="4" w:space="0" w:color="auto"/>
              <w:left w:val="single" w:sz="4" w:space="0" w:color="auto"/>
              <w:bottom w:val="single" w:sz="4" w:space="0" w:color="auto"/>
              <w:right w:val="single" w:sz="4" w:space="0" w:color="auto"/>
            </w:tcBorders>
            <w:noWrap/>
            <w:vAlign w:val="center"/>
            <w:hideMark/>
          </w:tcPr>
          <w:p w14:paraId="3DD5C748" w14:textId="470344AF" w:rsidR="009B04AB" w:rsidRPr="00824D31" w:rsidRDefault="009B04AB" w:rsidP="009B04AB">
            <w:pPr>
              <w:jc w:val="center"/>
            </w:pPr>
            <w:r>
              <w:rPr>
                <w:color w:val="000000"/>
              </w:rPr>
              <w:t>1671</w:t>
            </w:r>
          </w:p>
        </w:tc>
        <w:tc>
          <w:tcPr>
            <w:tcW w:w="1981" w:type="dxa"/>
            <w:tcBorders>
              <w:top w:val="single" w:sz="4" w:space="0" w:color="auto"/>
              <w:left w:val="single" w:sz="4" w:space="0" w:color="auto"/>
              <w:bottom w:val="single" w:sz="4" w:space="0" w:color="auto"/>
              <w:right w:val="single" w:sz="4" w:space="0" w:color="auto"/>
            </w:tcBorders>
            <w:noWrap/>
            <w:vAlign w:val="bottom"/>
            <w:hideMark/>
          </w:tcPr>
          <w:p w14:paraId="4D4AFC42" w14:textId="77777777" w:rsidR="009B04AB" w:rsidRPr="00824D31" w:rsidRDefault="009B04AB" w:rsidP="009B04AB">
            <w:r w:rsidRPr="00824D31">
              <w:t>0,84%</w:t>
            </w:r>
          </w:p>
        </w:tc>
      </w:tr>
      <w:tr w:rsidR="009B04AB" w:rsidRPr="00824D31" w14:paraId="12276A7D" w14:textId="77777777" w:rsidTr="008B2763">
        <w:trPr>
          <w:trHeight w:val="300"/>
        </w:trPr>
        <w:tc>
          <w:tcPr>
            <w:tcW w:w="879" w:type="dxa"/>
            <w:tcBorders>
              <w:top w:val="single" w:sz="4" w:space="0" w:color="auto"/>
              <w:left w:val="single" w:sz="4" w:space="0" w:color="auto"/>
              <w:bottom w:val="single" w:sz="4" w:space="0" w:color="auto"/>
              <w:right w:val="single" w:sz="4" w:space="0" w:color="auto"/>
            </w:tcBorders>
            <w:vAlign w:val="bottom"/>
            <w:hideMark/>
          </w:tcPr>
          <w:p w14:paraId="620CACBC" w14:textId="77777777" w:rsidR="009B04AB" w:rsidRPr="00824D31" w:rsidRDefault="009B04AB" w:rsidP="009B04AB">
            <w:r w:rsidRPr="00824D31">
              <w:t>24</w:t>
            </w:r>
          </w:p>
        </w:tc>
        <w:tc>
          <w:tcPr>
            <w:tcW w:w="5059" w:type="dxa"/>
            <w:tcBorders>
              <w:top w:val="single" w:sz="4" w:space="0" w:color="auto"/>
              <w:left w:val="single" w:sz="4" w:space="0" w:color="auto"/>
              <w:bottom w:val="single" w:sz="4" w:space="0" w:color="auto"/>
              <w:right w:val="single" w:sz="4" w:space="0" w:color="auto"/>
            </w:tcBorders>
            <w:noWrap/>
            <w:vAlign w:val="bottom"/>
            <w:hideMark/>
          </w:tcPr>
          <w:p w14:paraId="1B4B9279" w14:textId="77777777" w:rsidR="009B04AB" w:rsidRPr="00824D31" w:rsidRDefault="009B04AB" w:rsidP="009B04AB">
            <w:r w:rsidRPr="00824D31">
              <w:t>Булунский</w:t>
            </w:r>
          </w:p>
        </w:tc>
        <w:tc>
          <w:tcPr>
            <w:tcW w:w="1712" w:type="dxa"/>
            <w:tcBorders>
              <w:top w:val="single" w:sz="4" w:space="0" w:color="auto"/>
              <w:left w:val="single" w:sz="4" w:space="0" w:color="auto"/>
              <w:bottom w:val="single" w:sz="4" w:space="0" w:color="auto"/>
              <w:right w:val="single" w:sz="4" w:space="0" w:color="auto"/>
            </w:tcBorders>
            <w:noWrap/>
            <w:vAlign w:val="center"/>
            <w:hideMark/>
          </w:tcPr>
          <w:p w14:paraId="3D3EEE32" w14:textId="2AEDCA4E" w:rsidR="009B04AB" w:rsidRPr="00824D31" w:rsidRDefault="009B04AB" w:rsidP="009B04AB">
            <w:pPr>
              <w:jc w:val="center"/>
            </w:pPr>
            <w:r>
              <w:rPr>
                <w:color w:val="000000"/>
              </w:rPr>
              <w:t>2154</w:t>
            </w:r>
          </w:p>
        </w:tc>
        <w:tc>
          <w:tcPr>
            <w:tcW w:w="1981" w:type="dxa"/>
            <w:tcBorders>
              <w:top w:val="single" w:sz="4" w:space="0" w:color="auto"/>
              <w:left w:val="single" w:sz="4" w:space="0" w:color="auto"/>
              <w:bottom w:val="single" w:sz="4" w:space="0" w:color="auto"/>
              <w:right w:val="single" w:sz="4" w:space="0" w:color="auto"/>
            </w:tcBorders>
            <w:noWrap/>
            <w:vAlign w:val="bottom"/>
            <w:hideMark/>
          </w:tcPr>
          <w:p w14:paraId="3244BD85" w14:textId="77777777" w:rsidR="009B04AB" w:rsidRPr="00824D31" w:rsidRDefault="009B04AB" w:rsidP="009B04AB">
            <w:r w:rsidRPr="00824D31">
              <w:t>1,09%</w:t>
            </w:r>
          </w:p>
        </w:tc>
      </w:tr>
      <w:tr w:rsidR="009B04AB" w:rsidRPr="00824D31" w14:paraId="089BD484" w14:textId="77777777" w:rsidTr="008B2763">
        <w:trPr>
          <w:trHeight w:val="300"/>
        </w:trPr>
        <w:tc>
          <w:tcPr>
            <w:tcW w:w="879" w:type="dxa"/>
            <w:tcBorders>
              <w:top w:val="single" w:sz="4" w:space="0" w:color="auto"/>
              <w:left w:val="single" w:sz="4" w:space="0" w:color="auto"/>
              <w:bottom w:val="single" w:sz="4" w:space="0" w:color="auto"/>
              <w:right w:val="single" w:sz="4" w:space="0" w:color="auto"/>
            </w:tcBorders>
            <w:vAlign w:val="bottom"/>
            <w:hideMark/>
          </w:tcPr>
          <w:p w14:paraId="0D2D08B7" w14:textId="77777777" w:rsidR="009B04AB" w:rsidRPr="00824D31" w:rsidRDefault="009B04AB" w:rsidP="009B04AB">
            <w:r w:rsidRPr="00824D31">
              <w:t>25</w:t>
            </w:r>
          </w:p>
        </w:tc>
        <w:tc>
          <w:tcPr>
            <w:tcW w:w="5059" w:type="dxa"/>
            <w:tcBorders>
              <w:top w:val="single" w:sz="4" w:space="0" w:color="auto"/>
              <w:left w:val="single" w:sz="4" w:space="0" w:color="auto"/>
              <w:bottom w:val="single" w:sz="4" w:space="0" w:color="auto"/>
              <w:right w:val="single" w:sz="4" w:space="0" w:color="auto"/>
            </w:tcBorders>
            <w:noWrap/>
            <w:vAlign w:val="bottom"/>
            <w:hideMark/>
          </w:tcPr>
          <w:p w14:paraId="13B41D04" w14:textId="77777777" w:rsidR="009B04AB" w:rsidRPr="00824D31" w:rsidRDefault="009B04AB" w:rsidP="009B04AB">
            <w:r w:rsidRPr="00824D31">
              <w:t>Усть-Янский</w:t>
            </w:r>
          </w:p>
        </w:tc>
        <w:tc>
          <w:tcPr>
            <w:tcW w:w="1712" w:type="dxa"/>
            <w:tcBorders>
              <w:top w:val="single" w:sz="4" w:space="0" w:color="auto"/>
              <w:left w:val="single" w:sz="4" w:space="0" w:color="auto"/>
              <w:bottom w:val="single" w:sz="4" w:space="0" w:color="auto"/>
              <w:right w:val="single" w:sz="4" w:space="0" w:color="auto"/>
            </w:tcBorders>
            <w:noWrap/>
            <w:vAlign w:val="center"/>
            <w:hideMark/>
          </w:tcPr>
          <w:p w14:paraId="7FC9CF55" w14:textId="0BDCFF3C" w:rsidR="009B04AB" w:rsidRPr="00824D31" w:rsidRDefault="009B04AB" w:rsidP="009B04AB">
            <w:pPr>
              <w:jc w:val="center"/>
            </w:pPr>
            <w:r>
              <w:rPr>
                <w:color w:val="000000"/>
              </w:rPr>
              <w:t>2263</w:t>
            </w:r>
          </w:p>
        </w:tc>
        <w:tc>
          <w:tcPr>
            <w:tcW w:w="1981" w:type="dxa"/>
            <w:tcBorders>
              <w:top w:val="single" w:sz="4" w:space="0" w:color="auto"/>
              <w:left w:val="single" w:sz="4" w:space="0" w:color="auto"/>
              <w:bottom w:val="single" w:sz="4" w:space="0" w:color="auto"/>
              <w:right w:val="single" w:sz="4" w:space="0" w:color="auto"/>
            </w:tcBorders>
            <w:noWrap/>
            <w:vAlign w:val="bottom"/>
            <w:hideMark/>
          </w:tcPr>
          <w:p w14:paraId="7C23E883" w14:textId="77777777" w:rsidR="009B04AB" w:rsidRPr="00824D31" w:rsidRDefault="009B04AB" w:rsidP="009B04AB">
            <w:r w:rsidRPr="00824D31">
              <w:t>1,14%</w:t>
            </w:r>
          </w:p>
        </w:tc>
      </w:tr>
      <w:tr w:rsidR="009B04AB" w:rsidRPr="00824D31" w14:paraId="7D8D17E0" w14:textId="77777777" w:rsidTr="008B2763">
        <w:trPr>
          <w:trHeight w:val="300"/>
        </w:trPr>
        <w:tc>
          <w:tcPr>
            <w:tcW w:w="879" w:type="dxa"/>
            <w:tcBorders>
              <w:top w:val="single" w:sz="4" w:space="0" w:color="auto"/>
              <w:left w:val="single" w:sz="4" w:space="0" w:color="auto"/>
              <w:bottom w:val="single" w:sz="4" w:space="0" w:color="auto"/>
              <w:right w:val="single" w:sz="4" w:space="0" w:color="auto"/>
            </w:tcBorders>
            <w:vAlign w:val="bottom"/>
            <w:hideMark/>
          </w:tcPr>
          <w:p w14:paraId="5D348738" w14:textId="77777777" w:rsidR="009B04AB" w:rsidRPr="00824D31" w:rsidRDefault="009B04AB" w:rsidP="009B04AB">
            <w:r w:rsidRPr="00824D31">
              <w:t>26</w:t>
            </w:r>
          </w:p>
        </w:tc>
        <w:tc>
          <w:tcPr>
            <w:tcW w:w="5059" w:type="dxa"/>
            <w:tcBorders>
              <w:top w:val="single" w:sz="4" w:space="0" w:color="auto"/>
              <w:left w:val="single" w:sz="4" w:space="0" w:color="auto"/>
              <w:bottom w:val="single" w:sz="4" w:space="0" w:color="auto"/>
              <w:right w:val="single" w:sz="4" w:space="0" w:color="auto"/>
            </w:tcBorders>
            <w:noWrap/>
            <w:vAlign w:val="bottom"/>
            <w:hideMark/>
          </w:tcPr>
          <w:p w14:paraId="4334632F" w14:textId="77777777" w:rsidR="009B04AB" w:rsidRPr="00824D31" w:rsidRDefault="009B04AB" w:rsidP="009B04AB">
            <w:r w:rsidRPr="00824D31">
              <w:t>ГО Жатай</w:t>
            </w:r>
          </w:p>
        </w:tc>
        <w:tc>
          <w:tcPr>
            <w:tcW w:w="1712" w:type="dxa"/>
            <w:tcBorders>
              <w:top w:val="single" w:sz="4" w:space="0" w:color="auto"/>
              <w:left w:val="single" w:sz="4" w:space="0" w:color="auto"/>
              <w:bottom w:val="single" w:sz="4" w:space="0" w:color="auto"/>
              <w:right w:val="single" w:sz="4" w:space="0" w:color="auto"/>
            </w:tcBorders>
            <w:noWrap/>
            <w:vAlign w:val="center"/>
            <w:hideMark/>
          </w:tcPr>
          <w:p w14:paraId="4BCDD4DF" w14:textId="6713AFEC" w:rsidR="009B04AB" w:rsidRPr="00824D31" w:rsidRDefault="009B04AB" w:rsidP="009B04AB">
            <w:pPr>
              <w:jc w:val="center"/>
            </w:pPr>
            <w:r>
              <w:rPr>
                <w:color w:val="000000"/>
              </w:rPr>
              <w:t>2480</w:t>
            </w:r>
          </w:p>
        </w:tc>
        <w:tc>
          <w:tcPr>
            <w:tcW w:w="1981" w:type="dxa"/>
            <w:tcBorders>
              <w:top w:val="single" w:sz="4" w:space="0" w:color="auto"/>
              <w:left w:val="single" w:sz="4" w:space="0" w:color="auto"/>
              <w:bottom w:val="single" w:sz="4" w:space="0" w:color="auto"/>
              <w:right w:val="single" w:sz="4" w:space="0" w:color="auto"/>
            </w:tcBorders>
            <w:noWrap/>
            <w:vAlign w:val="bottom"/>
            <w:hideMark/>
          </w:tcPr>
          <w:p w14:paraId="326C3DD6" w14:textId="77777777" w:rsidR="009B04AB" w:rsidRPr="00824D31" w:rsidRDefault="009B04AB" w:rsidP="009B04AB">
            <w:r w:rsidRPr="00824D31">
              <w:t>1,25%</w:t>
            </w:r>
          </w:p>
        </w:tc>
      </w:tr>
      <w:tr w:rsidR="009B04AB" w:rsidRPr="00824D31" w14:paraId="7E878F3B" w14:textId="77777777" w:rsidTr="008B2763">
        <w:trPr>
          <w:trHeight w:val="300"/>
        </w:trPr>
        <w:tc>
          <w:tcPr>
            <w:tcW w:w="879" w:type="dxa"/>
            <w:tcBorders>
              <w:top w:val="single" w:sz="4" w:space="0" w:color="auto"/>
              <w:left w:val="single" w:sz="4" w:space="0" w:color="auto"/>
              <w:bottom w:val="single" w:sz="4" w:space="0" w:color="auto"/>
              <w:right w:val="single" w:sz="4" w:space="0" w:color="auto"/>
            </w:tcBorders>
            <w:vAlign w:val="bottom"/>
            <w:hideMark/>
          </w:tcPr>
          <w:p w14:paraId="28D9E41D" w14:textId="77777777" w:rsidR="009B04AB" w:rsidRPr="00824D31" w:rsidRDefault="009B04AB" w:rsidP="009B04AB">
            <w:r w:rsidRPr="00824D31">
              <w:t>27</w:t>
            </w:r>
          </w:p>
        </w:tc>
        <w:tc>
          <w:tcPr>
            <w:tcW w:w="5059" w:type="dxa"/>
            <w:tcBorders>
              <w:top w:val="single" w:sz="4" w:space="0" w:color="auto"/>
              <w:left w:val="single" w:sz="4" w:space="0" w:color="auto"/>
              <w:bottom w:val="single" w:sz="4" w:space="0" w:color="auto"/>
              <w:right w:val="single" w:sz="4" w:space="0" w:color="auto"/>
            </w:tcBorders>
            <w:noWrap/>
            <w:vAlign w:val="bottom"/>
            <w:hideMark/>
          </w:tcPr>
          <w:p w14:paraId="4A10EA33" w14:textId="77777777" w:rsidR="009B04AB" w:rsidRPr="00824D31" w:rsidRDefault="009B04AB" w:rsidP="009B04AB">
            <w:r w:rsidRPr="00824D31">
              <w:t>Хангаласский</w:t>
            </w:r>
          </w:p>
        </w:tc>
        <w:tc>
          <w:tcPr>
            <w:tcW w:w="1712" w:type="dxa"/>
            <w:tcBorders>
              <w:top w:val="single" w:sz="4" w:space="0" w:color="auto"/>
              <w:left w:val="single" w:sz="4" w:space="0" w:color="auto"/>
              <w:bottom w:val="single" w:sz="4" w:space="0" w:color="auto"/>
              <w:right w:val="single" w:sz="4" w:space="0" w:color="auto"/>
            </w:tcBorders>
            <w:noWrap/>
            <w:vAlign w:val="center"/>
            <w:hideMark/>
          </w:tcPr>
          <w:p w14:paraId="05F5932D" w14:textId="2FE4C81F" w:rsidR="009B04AB" w:rsidRPr="00824D31" w:rsidRDefault="009B04AB" w:rsidP="009B04AB">
            <w:pPr>
              <w:jc w:val="center"/>
            </w:pPr>
            <w:r>
              <w:rPr>
                <w:color w:val="000000"/>
              </w:rPr>
              <w:t>4196</w:t>
            </w:r>
          </w:p>
        </w:tc>
        <w:tc>
          <w:tcPr>
            <w:tcW w:w="1981" w:type="dxa"/>
            <w:tcBorders>
              <w:top w:val="single" w:sz="4" w:space="0" w:color="auto"/>
              <w:left w:val="single" w:sz="4" w:space="0" w:color="auto"/>
              <w:bottom w:val="single" w:sz="4" w:space="0" w:color="auto"/>
              <w:right w:val="single" w:sz="4" w:space="0" w:color="auto"/>
            </w:tcBorders>
            <w:noWrap/>
            <w:vAlign w:val="bottom"/>
            <w:hideMark/>
          </w:tcPr>
          <w:p w14:paraId="391BE75C" w14:textId="77777777" w:rsidR="009B04AB" w:rsidRPr="00824D31" w:rsidRDefault="009B04AB" w:rsidP="009B04AB">
            <w:r w:rsidRPr="00824D31">
              <w:t>2,12%</w:t>
            </w:r>
          </w:p>
        </w:tc>
      </w:tr>
      <w:tr w:rsidR="009B04AB" w:rsidRPr="00824D31" w14:paraId="725B9304" w14:textId="77777777" w:rsidTr="008B2763">
        <w:trPr>
          <w:trHeight w:val="300"/>
        </w:trPr>
        <w:tc>
          <w:tcPr>
            <w:tcW w:w="879" w:type="dxa"/>
            <w:tcBorders>
              <w:top w:val="single" w:sz="4" w:space="0" w:color="auto"/>
              <w:left w:val="single" w:sz="4" w:space="0" w:color="auto"/>
              <w:bottom w:val="single" w:sz="4" w:space="0" w:color="auto"/>
              <w:right w:val="single" w:sz="4" w:space="0" w:color="auto"/>
            </w:tcBorders>
            <w:vAlign w:val="bottom"/>
            <w:hideMark/>
          </w:tcPr>
          <w:p w14:paraId="318ED055" w14:textId="77777777" w:rsidR="009B04AB" w:rsidRPr="00824D31" w:rsidRDefault="009B04AB" w:rsidP="009B04AB">
            <w:r w:rsidRPr="00824D31">
              <w:t>28</w:t>
            </w:r>
          </w:p>
        </w:tc>
        <w:tc>
          <w:tcPr>
            <w:tcW w:w="5059" w:type="dxa"/>
            <w:tcBorders>
              <w:top w:val="single" w:sz="4" w:space="0" w:color="auto"/>
              <w:left w:val="single" w:sz="4" w:space="0" w:color="auto"/>
              <w:bottom w:val="single" w:sz="4" w:space="0" w:color="auto"/>
              <w:right w:val="single" w:sz="4" w:space="0" w:color="auto"/>
            </w:tcBorders>
            <w:noWrap/>
            <w:vAlign w:val="bottom"/>
            <w:hideMark/>
          </w:tcPr>
          <w:p w14:paraId="4EDB1722" w14:textId="77777777" w:rsidR="009B04AB" w:rsidRPr="00824D31" w:rsidRDefault="009B04AB" w:rsidP="009B04AB">
            <w:r w:rsidRPr="00824D31">
              <w:t>Алданский</w:t>
            </w:r>
          </w:p>
        </w:tc>
        <w:tc>
          <w:tcPr>
            <w:tcW w:w="1712" w:type="dxa"/>
            <w:tcBorders>
              <w:top w:val="single" w:sz="4" w:space="0" w:color="auto"/>
              <w:left w:val="single" w:sz="4" w:space="0" w:color="auto"/>
              <w:bottom w:val="single" w:sz="4" w:space="0" w:color="auto"/>
              <w:right w:val="single" w:sz="4" w:space="0" w:color="auto"/>
            </w:tcBorders>
            <w:noWrap/>
            <w:vAlign w:val="center"/>
            <w:hideMark/>
          </w:tcPr>
          <w:p w14:paraId="46134D6A" w14:textId="41A0785D" w:rsidR="009B04AB" w:rsidRPr="00824D31" w:rsidRDefault="009B04AB" w:rsidP="009B04AB">
            <w:pPr>
              <w:jc w:val="center"/>
            </w:pPr>
            <w:r>
              <w:rPr>
                <w:color w:val="000000"/>
              </w:rPr>
              <w:t>4564</w:t>
            </w:r>
          </w:p>
        </w:tc>
        <w:tc>
          <w:tcPr>
            <w:tcW w:w="1981" w:type="dxa"/>
            <w:tcBorders>
              <w:top w:val="single" w:sz="4" w:space="0" w:color="auto"/>
              <w:left w:val="single" w:sz="4" w:space="0" w:color="auto"/>
              <w:bottom w:val="single" w:sz="4" w:space="0" w:color="auto"/>
              <w:right w:val="single" w:sz="4" w:space="0" w:color="auto"/>
            </w:tcBorders>
            <w:noWrap/>
            <w:vAlign w:val="bottom"/>
            <w:hideMark/>
          </w:tcPr>
          <w:p w14:paraId="6D8DC215" w14:textId="77777777" w:rsidR="009B04AB" w:rsidRPr="00824D31" w:rsidRDefault="009B04AB" w:rsidP="009B04AB">
            <w:r w:rsidRPr="00824D31">
              <w:t>2,31%</w:t>
            </w:r>
          </w:p>
        </w:tc>
      </w:tr>
      <w:tr w:rsidR="009B04AB" w:rsidRPr="00824D31" w14:paraId="6452F865" w14:textId="77777777" w:rsidTr="008B2763">
        <w:trPr>
          <w:trHeight w:val="300"/>
        </w:trPr>
        <w:tc>
          <w:tcPr>
            <w:tcW w:w="879" w:type="dxa"/>
            <w:tcBorders>
              <w:top w:val="single" w:sz="4" w:space="0" w:color="auto"/>
              <w:left w:val="single" w:sz="4" w:space="0" w:color="auto"/>
              <w:bottom w:val="single" w:sz="4" w:space="0" w:color="auto"/>
              <w:right w:val="single" w:sz="4" w:space="0" w:color="auto"/>
            </w:tcBorders>
            <w:vAlign w:val="bottom"/>
            <w:hideMark/>
          </w:tcPr>
          <w:p w14:paraId="3E23F62A" w14:textId="77777777" w:rsidR="009B04AB" w:rsidRPr="00824D31" w:rsidRDefault="009B04AB" w:rsidP="009B04AB">
            <w:r w:rsidRPr="00824D31">
              <w:t>29</w:t>
            </w:r>
          </w:p>
        </w:tc>
        <w:tc>
          <w:tcPr>
            <w:tcW w:w="5059" w:type="dxa"/>
            <w:tcBorders>
              <w:top w:val="single" w:sz="4" w:space="0" w:color="auto"/>
              <w:left w:val="single" w:sz="4" w:space="0" w:color="auto"/>
              <w:bottom w:val="single" w:sz="4" w:space="0" w:color="auto"/>
              <w:right w:val="single" w:sz="4" w:space="0" w:color="auto"/>
            </w:tcBorders>
            <w:noWrap/>
            <w:vAlign w:val="bottom"/>
            <w:hideMark/>
          </w:tcPr>
          <w:p w14:paraId="04A790E3" w14:textId="77777777" w:rsidR="009B04AB" w:rsidRPr="00824D31" w:rsidRDefault="009B04AB" w:rsidP="009B04AB">
            <w:r w:rsidRPr="00824D31">
              <w:t>Ленский</w:t>
            </w:r>
          </w:p>
        </w:tc>
        <w:tc>
          <w:tcPr>
            <w:tcW w:w="1712" w:type="dxa"/>
            <w:tcBorders>
              <w:top w:val="single" w:sz="4" w:space="0" w:color="auto"/>
              <w:left w:val="single" w:sz="4" w:space="0" w:color="auto"/>
              <w:bottom w:val="single" w:sz="4" w:space="0" w:color="auto"/>
              <w:right w:val="single" w:sz="4" w:space="0" w:color="auto"/>
            </w:tcBorders>
            <w:noWrap/>
            <w:vAlign w:val="center"/>
            <w:hideMark/>
          </w:tcPr>
          <w:p w14:paraId="2B6E0FF6" w14:textId="723E2BF9" w:rsidR="009B04AB" w:rsidRPr="00824D31" w:rsidRDefault="009B04AB" w:rsidP="009B04AB">
            <w:pPr>
              <w:jc w:val="center"/>
            </w:pPr>
            <w:r>
              <w:rPr>
                <w:color w:val="000000"/>
              </w:rPr>
              <w:t>6500</w:t>
            </w:r>
          </w:p>
        </w:tc>
        <w:tc>
          <w:tcPr>
            <w:tcW w:w="1981" w:type="dxa"/>
            <w:tcBorders>
              <w:top w:val="single" w:sz="4" w:space="0" w:color="auto"/>
              <w:left w:val="single" w:sz="4" w:space="0" w:color="auto"/>
              <w:bottom w:val="single" w:sz="4" w:space="0" w:color="auto"/>
              <w:right w:val="single" w:sz="4" w:space="0" w:color="auto"/>
            </w:tcBorders>
            <w:noWrap/>
            <w:vAlign w:val="bottom"/>
            <w:hideMark/>
          </w:tcPr>
          <w:p w14:paraId="38670C63" w14:textId="77777777" w:rsidR="009B04AB" w:rsidRPr="00824D31" w:rsidRDefault="009B04AB" w:rsidP="009B04AB">
            <w:r w:rsidRPr="00824D31">
              <w:t>3,29%</w:t>
            </w:r>
          </w:p>
        </w:tc>
      </w:tr>
      <w:tr w:rsidR="009B04AB" w:rsidRPr="00824D31" w14:paraId="4F7779F2" w14:textId="77777777" w:rsidTr="008B2763">
        <w:trPr>
          <w:trHeight w:val="300"/>
        </w:trPr>
        <w:tc>
          <w:tcPr>
            <w:tcW w:w="879" w:type="dxa"/>
            <w:tcBorders>
              <w:top w:val="single" w:sz="4" w:space="0" w:color="auto"/>
              <w:left w:val="single" w:sz="4" w:space="0" w:color="auto"/>
              <w:bottom w:val="single" w:sz="4" w:space="0" w:color="auto"/>
              <w:right w:val="single" w:sz="4" w:space="0" w:color="auto"/>
            </w:tcBorders>
            <w:vAlign w:val="bottom"/>
            <w:hideMark/>
          </w:tcPr>
          <w:p w14:paraId="5E103100" w14:textId="77777777" w:rsidR="009B04AB" w:rsidRPr="00824D31" w:rsidRDefault="009B04AB" w:rsidP="009B04AB">
            <w:r w:rsidRPr="00824D31">
              <w:t>30</w:t>
            </w:r>
          </w:p>
        </w:tc>
        <w:tc>
          <w:tcPr>
            <w:tcW w:w="5059" w:type="dxa"/>
            <w:tcBorders>
              <w:top w:val="single" w:sz="4" w:space="0" w:color="auto"/>
              <w:left w:val="single" w:sz="4" w:space="0" w:color="auto"/>
              <w:bottom w:val="single" w:sz="4" w:space="0" w:color="auto"/>
              <w:right w:val="single" w:sz="4" w:space="0" w:color="auto"/>
            </w:tcBorders>
            <w:noWrap/>
            <w:vAlign w:val="bottom"/>
            <w:hideMark/>
          </w:tcPr>
          <w:p w14:paraId="2E34C5F0" w14:textId="77777777" w:rsidR="009B04AB" w:rsidRPr="00824D31" w:rsidRDefault="009B04AB" w:rsidP="009B04AB">
            <w:r w:rsidRPr="00824D31">
              <w:t>Мирнинский</w:t>
            </w:r>
          </w:p>
        </w:tc>
        <w:tc>
          <w:tcPr>
            <w:tcW w:w="1712" w:type="dxa"/>
            <w:tcBorders>
              <w:top w:val="single" w:sz="4" w:space="0" w:color="auto"/>
              <w:left w:val="single" w:sz="4" w:space="0" w:color="auto"/>
              <w:bottom w:val="single" w:sz="4" w:space="0" w:color="auto"/>
              <w:right w:val="single" w:sz="4" w:space="0" w:color="auto"/>
            </w:tcBorders>
            <w:noWrap/>
            <w:vAlign w:val="center"/>
            <w:hideMark/>
          </w:tcPr>
          <w:p w14:paraId="399A421C" w14:textId="1D4CECA6" w:rsidR="009B04AB" w:rsidRPr="00824D31" w:rsidRDefault="009B04AB" w:rsidP="009B04AB">
            <w:pPr>
              <w:jc w:val="center"/>
            </w:pPr>
            <w:r>
              <w:rPr>
                <w:color w:val="000000"/>
              </w:rPr>
              <w:t>24999</w:t>
            </w:r>
          </w:p>
        </w:tc>
        <w:tc>
          <w:tcPr>
            <w:tcW w:w="1981" w:type="dxa"/>
            <w:tcBorders>
              <w:top w:val="single" w:sz="4" w:space="0" w:color="auto"/>
              <w:left w:val="single" w:sz="4" w:space="0" w:color="auto"/>
              <w:bottom w:val="single" w:sz="4" w:space="0" w:color="auto"/>
              <w:right w:val="single" w:sz="4" w:space="0" w:color="auto"/>
            </w:tcBorders>
            <w:noWrap/>
            <w:vAlign w:val="bottom"/>
            <w:hideMark/>
          </w:tcPr>
          <w:p w14:paraId="6DE6EF4E" w14:textId="77777777" w:rsidR="009B04AB" w:rsidRPr="00824D31" w:rsidRDefault="009B04AB" w:rsidP="009B04AB">
            <w:r w:rsidRPr="00824D31">
              <w:t>12,64%</w:t>
            </w:r>
          </w:p>
        </w:tc>
      </w:tr>
      <w:tr w:rsidR="009B04AB" w:rsidRPr="00824D31" w14:paraId="78E5771B" w14:textId="77777777" w:rsidTr="008B2763">
        <w:trPr>
          <w:trHeight w:val="300"/>
        </w:trPr>
        <w:tc>
          <w:tcPr>
            <w:tcW w:w="879" w:type="dxa"/>
            <w:tcBorders>
              <w:top w:val="single" w:sz="4" w:space="0" w:color="auto"/>
              <w:left w:val="single" w:sz="4" w:space="0" w:color="auto"/>
              <w:bottom w:val="single" w:sz="4" w:space="0" w:color="auto"/>
              <w:right w:val="single" w:sz="4" w:space="0" w:color="auto"/>
            </w:tcBorders>
            <w:vAlign w:val="bottom"/>
            <w:hideMark/>
          </w:tcPr>
          <w:p w14:paraId="358E276F" w14:textId="77777777" w:rsidR="009B04AB" w:rsidRPr="00824D31" w:rsidRDefault="009B04AB" w:rsidP="009B04AB">
            <w:r w:rsidRPr="00824D31">
              <w:t>31</w:t>
            </w:r>
          </w:p>
        </w:tc>
        <w:tc>
          <w:tcPr>
            <w:tcW w:w="5059" w:type="dxa"/>
            <w:tcBorders>
              <w:top w:val="single" w:sz="4" w:space="0" w:color="auto"/>
              <w:left w:val="single" w:sz="4" w:space="0" w:color="auto"/>
              <w:bottom w:val="single" w:sz="4" w:space="0" w:color="auto"/>
              <w:right w:val="single" w:sz="4" w:space="0" w:color="auto"/>
            </w:tcBorders>
            <w:noWrap/>
            <w:vAlign w:val="bottom"/>
            <w:hideMark/>
          </w:tcPr>
          <w:p w14:paraId="298BA418" w14:textId="77777777" w:rsidR="009B04AB" w:rsidRPr="00824D31" w:rsidRDefault="009B04AB" w:rsidP="009B04AB">
            <w:r w:rsidRPr="00824D31">
              <w:t>Нерюнгринский</w:t>
            </w:r>
          </w:p>
        </w:tc>
        <w:tc>
          <w:tcPr>
            <w:tcW w:w="1712" w:type="dxa"/>
            <w:tcBorders>
              <w:top w:val="single" w:sz="4" w:space="0" w:color="auto"/>
              <w:left w:val="single" w:sz="4" w:space="0" w:color="auto"/>
              <w:bottom w:val="single" w:sz="4" w:space="0" w:color="auto"/>
              <w:right w:val="single" w:sz="4" w:space="0" w:color="auto"/>
            </w:tcBorders>
            <w:noWrap/>
            <w:vAlign w:val="center"/>
            <w:hideMark/>
          </w:tcPr>
          <w:p w14:paraId="6D22ED3B" w14:textId="6FC52977" w:rsidR="009B04AB" w:rsidRPr="00824D31" w:rsidRDefault="009B04AB" w:rsidP="009B04AB">
            <w:pPr>
              <w:jc w:val="center"/>
            </w:pPr>
            <w:r>
              <w:rPr>
                <w:color w:val="000000"/>
              </w:rPr>
              <w:t>31136</w:t>
            </w:r>
          </w:p>
        </w:tc>
        <w:tc>
          <w:tcPr>
            <w:tcW w:w="1981" w:type="dxa"/>
            <w:tcBorders>
              <w:top w:val="single" w:sz="4" w:space="0" w:color="auto"/>
              <w:left w:val="single" w:sz="4" w:space="0" w:color="auto"/>
              <w:bottom w:val="single" w:sz="4" w:space="0" w:color="auto"/>
              <w:right w:val="single" w:sz="4" w:space="0" w:color="auto"/>
            </w:tcBorders>
            <w:noWrap/>
            <w:vAlign w:val="bottom"/>
            <w:hideMark/>
          </w:tcPr>
          <w:p w14:paraId="6FF3D955" w14:textId="77777777" w:rsidR="009B04AB" w:rsidRPr="00824D31" w:rsidRDefault="009B04AB" w:rsidP="009B04AB">
            <w:r w:rsidRPr="00824D31">
              <w:t>15,74%</w:t>
            </w:r>
          </w:p>
        </w:tc>
      </w:tr>
      <w:tr w:rsidR="009B04AB" w:rsidRPr="00824D31" w14:paraId="3A90AFB3" w14:textId="77777777" w:rsidTr="008B2763">
        <w:trPr>
          <w:trHeight w:val="300"/>
        </w:trPr>
        <w:tc>
          <w:tcPr>
            <w:tcW w:w="879" w:type="dxa"/>
            <w:tcBorders>
              <w:top w:val="single" w:sz="4" w:space="0" w:color="auto"/>
              <w:left w:val="single" w:sz="4" w:space="0" w:color="auto"/>
              <w:bottom w:val="single" w:sz="4" w:space="0" w:color="auto"/>
              <w:right w:val="single" w:sz="4" w:space="0" w:color="auto"/>
            </w:tcBorders>
            <w:vAlign w:val="bottom"/>
            <w:hideMark/>
          </w:tcPr>
          <w:p w14:paraId="16172FF0" w14:textId="77777777" w:rsidR="009B04AB" w:rsidRPr="00824D31" w:rsidRDefault="009B04AB" w:rsidP="009B04AB">
            <w:r w:rsidRPr="00824D31">
              <w:t>32</w:t>
            </w:r>
          </w:p>
        </w:tc>
        <w:tc>
          <w:tcPr>
            <w:tcW w:w="5059" w:type="dxa"/>
            <w:tcBorders>
              <w:top w:val="single" w:sz="4" w:space="0" w:color="auto"/>
              <w:left w:val="single" w:sz="4" w:space="0" w:color="auto"/>
              <w:bottom w:val="single" w:sz="4" w:space="0" w:color="auto"/>
              <w:right w:val="single" w:sz="4" w:space="0" w:color="auto"/>
            </w:tcBorders>
            <w:noWrap/>
            <w:vAlign w:val="bottom"/>
            <w:hideMark/>
          </w:tcPr>
          <w:p w14:paraId="1296B7AC" w14:textId="77777777" w:rsidR="009B04AB" w:rsidRPr="00824D31" w:rsidRDefault="009B04AB" w:rsidP="009B04AB">
            <w:r w:rsidRPr="00824D31">
              <w:t>ГО Якутск</w:t>
            </w:r>
          </w:p>
        </w:tc>
        <w:tc>
          <w:tcPr>
            <w:tcW w:w="1712" w:type="dxa"/>
            <w:tcBorders>
              <w:top w:val="single" w:sz="4" w:space="0" w:color="auto"/>
              <w:left w:val="single" w:sz="4" w:space="0" w:color="auto"/>
              <w:bottom w:val="single" w:sz="4" w:space="0" w:color="auto"/>
              <w:right w:val="single" w:sz="4" w:space="0" w:color="auto"/>
            </w:tcBorders>
            <w:noWrap/>
            <w:vAlign w:val="center"/>
            <w:hideMark/>
          </w:tcPr>
          <w:p w14:paraId="3B10FEC7" w14:textId="707FABF7" w:rsidR="009B04AB" w:rsidRPr="00824D31" w:rsidRDefault="009B04AB" w:rsidP="009B04AB">
            <w:pPr>
              <w:jc w:val="center"/>
            </w:pPr>
            <w:r>
              <w:rPr>
                <w:color w:val="000000"/>
              </w:rPr>
              <w:t>108699</w:t>
            </w:r>
          </w:p>
        </w:tc>
        <w:tc>
          <w:tcPr>
            <w:tcW w:w="1981" w:type="dxa"/>
            <w:tcBorders>
              <w:top w:val="single" w:sz="4" w:space="0" w:color="auto"/>
              <w:left w:val="single" w:sz="4" w:space="0" w:color="auto"/>
              <w:bottom w:val="single" w:sz="4" w:space="0" w:color="auto"/>
              <w:right w:val="single" w:sz="4" w:space="0" w:color="auto"/>
            </w:tcBorders>
            <w:noWrap/>
            <w:vAlign w:val="bottom"/>
            <w:hideMark/>
          </w:tcPr>
          <w:p w14:paraId="160AE21A" w14:textId="77777777" w:rsidR="009B04AB" w:rsidRPr="00824D31" w:rsidRDefault="009B04AB" w:rsidP="009B04AB">
            <w:r w:rsidRPr="00824D31">
              <w:t>54,97%</w:t>
            </w:r>
          </w:p>
        </w:tc>
      </w:tr>
      <w:tr w:rsidR="009B04AB" w:rsidRPr="00824D31" w14:paraId="37F1AC84" w14:textId="77777777" w:rsidTr="008B2763">
        <w:trPr>
          <w:trHeight w:val="300"/>
        </w:trPr>
        <w:tc>
          <w:tcPr>
            <w:tcW w:w="879" w:type="dxa"/>
            <w:tcBorders>
              <w:top w:val="single" w:sz="4" w:space="0" w:color="auto"/>
              <w:left w:val="single" w:sz="4" w:space="0" w:color="auto"/>
              <w:bottom w:val="single" w:sz="4" w:space="0" w:color="auto"/>
              <w:right w:val="single" w:sz="4" w:space="0" w:color="auto"/>
            </w:tcBorders>
          </w:tcPr>
          <w:p w14:paraId="5BB13EF7" w14:textId="77777777" w:rsidR="009B04AB" w:rsidRPr="00824D31" w:rsidRDefault="009B04AB" w:rsidP="009B04AB"/>
        </w:tc>
        <w:tc>
          <w:tcPr>
            <w:tcW w:w="5059" w:type="dxa"/>
            <w:tcBorders>
              <w:top w:val="single" w:sz="4" w:space="0" w:color="auto"/>
              <w:left w:val="single" w:sz="4" w:space="0" w:color="auto"/>
              <w:bottom w:val="single" w:sz="4" w:space="0" w:color="auto"/>
              <w:right w:val="single" w:sz="4" w:space="0" w:color="auto"/>
            </w:tcBorders>
            <w:noWrap/>
            <w:vAlign w:val="bottom"/>
            <w:hideMark/>
          </w:tcPr>
          <w:p w14:paraId="39C97ADF" w14:textId="77777777" w:rsidR="009B04AB" w:rsidRPr="008B2763" w:rsidRDefault="009B04AB" w:rsidP="009B04AB">
            <w:pPr>
              <w:rPr>
                <w:b/>
              </w:rPr>
            </w:pPr>
            <w:r w:rsidRPr="008B2763">
              <w:rPr>
                <w:b/>
              </w:rPr>
              <w:t>Общий итог</w:t>
            </w:r>
          </w:p>
        </w:tc>
        <w:tc>
          <w:tcPr>
            <w:tcW w:w="1712" w:type="dxa"/>
            <w:tcBorders>
              <w:top w:val="single" w:sz="4" w:space="0" w:color="auto"/>
              <w:left w:val="single" w:sz="4" w:space="0" w:color="auto"/>
              <w:bottom w:val="single" w:sz="4" w:space="0" w:color="auto"/>
              <w:right w:val="single" w:sz="4" w:space="0" w:color="auto"/>
            </w:tcBorders>
            <w:noWrap/>
            <w:vAlign w:val="center"/>
            <w:hideMark/>
          </w:tcPr>
          <w:p w14:paraId="017BA17F" w14:textId="7626851C" w:rsidR="009B04AB" w:rsidRPr="008B2763" w:rsidRDefault="009B04AB" w:rsidP="009B04AB">
            <w:pPr>
              <w:jc w:val="center"/>
              <w:rPr>
                <w:b/>
              </w:rPr>
            </w:pPr>
            <w:r w:rsidRPr="008B2763">
              <w:rPr>
                <w:b/>
                <w:color w:val="000000"/>
              </w:rPr>
              <w:t>197</w:t>
            </w:r>
            <w:r w:rsidRPr="008B2763">
              <w:rPr>
                <w:b/>
                <w:color w:val="000000"/>
                <w:lang w:val="en-US"/>
              </w:rPr>
              <w:t xml:space="preserve"> </w:t>
            </w:r>
            <w:r w:rsidRPr="008B2763">
              <w:rPr>
                <w:b/>
                <w:color w:val="000000"/>
              </w:rPr>
              <w:t>755</w:t>
            </w:r>
          </w:p>
        </w:tc>
        <w:tc>
          <w:tcPr>
            <w:tcW w:w="1981" w:type="dxa"/>
            <w:tcBorders>
              <w:top w:val="single" w:sz="4" w:space="0" w:color="auto"/>
              <w:left w:val="single" w:sz="4" w:space="0" w:color="auto"/>
              <w:bottom w:val="single" w:sz="4" w:space="0" w:color="auto"/>
              <w:right w:val="single" w:sz="4" w:space="0" w:color="auto"/>
            </w:tcBorders>
            <w:noWrap/>
            <w:vAlign w:val="bottom"/>
            <w:hideMark/>
          </w:tcPr>
          <w:p w14:paraId="7EEF2880" w14:textId="77777777" w:rsidR="009B04AB" w:rsidRPr="008B2763" w:rsidRDefault="009B04AB" w:rsidP="009B04AB">
            <w:pPr>
              <w:rPr>
                <w:b/>
              </w:rPr>
            </w:pPr>
            <w:r w:rsidRPr="008B2763">
              <w:rPr>
                <w:b/>
              </w:rPr>
              <w:t>100,00%</w:t>
            </w:r>
          </w:p>
        </w:tc>
      </w:tr>
    </w:tbl>
    <w:p w14:paraId="4D740644" w14:textId="77777777" w:rsidR="00EC492E" w:rsidRPr="00824D31" w:rsidRDefault="00EC492E" w:rsidP="00EC492E"/>
    <w:p w14:paraId="77212F06" w14:textId="77777777" w:rsidR="00EC492E" w:rsidRPr="00824D31" w:rsidRDefault="00EC492E" w:rsidP="00EC492E">
      <w:r w:rsidRPr="00824D31">
        <w:t>Объекты оценки в рассматриваемой группе расположены в 32 районах Республики Саха (Якутия). Большая часть Объектов сосредоточена в Городском округе Якутск (54,97%), в Нерюнгринском районе (15,74%), в Мирнинском районе (12,64%), в Ленском районе (3,29%), в Алданском районе (2,31%), в Хангаласском районе (2,12%), в п.Жатай (1,25%), в Усть-Янском районе (1,14%) и Булунском районе (1,09%). Остальные объекты рассредоточены по другим районам в диапазоне от 0,002% до 0,84%.</w:t>
      </w:r>
    </w:p>
    <w:p w14:paraId="4F15EE97" w14:textId="77777777" w:rsidR="00EC492E" w:rsidRPr="00824D31" w:rsidRDefault="00EC492E" w:rsidP="00EC492E"/>
    <w:p w14:paraId="176F08F9" w14:textId="4DABC50E" w:rsidR="00EC492E" w:rsidRPr="00824D31" w:rsidRDefault="00EC492E" w:rsidP="00EC492E">
      <w:r w:rsidRPr="00824D31">
        <w:rPr>
          <w:noProof/>
          <w:lang w:eastAsia="ru-RU"/>
        </w:rPr>
        <w:drawing>
          <wp:inline distT="0" distB="0" distL="0" distR="0" wp14:anchorId="42396CB2" wp14:editId="145F4DDB">
            <wp:extent cx="5854535" cy="3384467"/>
            <wp:effectExtent l="0" t="0" r="0" b="6985"/>
            <wp:docPr id="7" name="Рисунок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37"/>
                    <pic:cNvPicPr>
                      <a:picLocks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5868627" cy="3392613"/>
                    </a:xfrm>
                    <a:prstGeom prst="rect">
                      <a:avLst/>
                    </a:prstGeom>
                    <a:noFill/>
                    <a:ln>
                      <a:noFill/>
                    </a:ln>
                  </pic:spPr>
                </pic:pic>
              </a:graphicData>
            </a:graphic>
          </wp:inline>
        </w:drawing>
      </w:r>
    </w:p>
    <w:p w14:paraId="19B80470" w14:textId="16CC5A47" w:rsidR="00EC492E" w:rsidRPr="00824D31" w:rsidRDefault="00EC492E" w:rsidP="00EC492E">
      <w:r w:rsidRPr="00824D31">
        <w:t xml:space="preserve">Рисунок </w:t>
      </w:r>
      <w:r w:rsidR="00A90944">
        <w:fldChar w:fldCharType="begin"/>
      </w:r>
      <w:r w:rsidR="00A90944">
        <w:instrText xml:space="preserve"> SEQ Рисунок \* ARABIC </w:instrText>
      </w:r>
      <w:r w:rsidR="00A90944">
        <w:fldChar w:fldCharType="separate"/>
      </w:r>
      <w:r w:rsidR="00FD2769">
        <w:rPr>
          <w:noProof/>
        </w:rPr>
        <w:t>58</w:t>
      </w:r>
      <w:r w:rsidR="00A90944">
        <w:rPr>
          <w:noProof/>
        </w:rPr>
        <w:fldChar w:fldCharType="end"/>
      </w:r>
      <w:r w:rsidRPr="00824D31">
        <w:t xml:space="preserve"> Распределение Объектов 1 группы по классу конструктивной системы (КС)</w:t>
      </w:r>
    </w:p>
    <w:p w14:paraId="438EF735" w14:textId="77777777" w:rsidR="00EC492E" w:rsidRPr="00824D31" w:rsidRDefault="00EC492E" w:rsidP="00EC492E"/>
    <w:p w14:paraId="5EAE80C5" w14:textId="77777777" w:rsidR="00EC492E" w:rsidRPr="00824D31" w:rsidRDefault="00EC492E" w:rsidP="00EC492E">
      <w:r w:rsidRPr="00824D31">
        <w:t>Наибольшее количество Объектов в данной функциональной подгруппе относится к классу конструктивной системы КС-3.</w:t>
      </w:r>
    </w:p>
    <w:p w14:paraId="678F0192" w14:textId="77777777" w:rsidR="00EC492E" w:rsidRPr="00824D31" w:rsidRDefault="00EC492E" w:rsidP="00EC492E"/>
    <w:p w14:paraId="743C2F7A" w14:textId="152D51F6" w:rsidR="00EC492E" w:rsidRPr="00824D31" w:rsidRDefault="00EC492E" w:rsidP="00EC492E">
      <w:r w:rsidRPr="00824D31">
        <w:rPr>
          <w:noProof/>
          <w:lang w:eastAsia="ru-RU"/>
        </w:rPr>
        <w:drawing>
          <wp:inline distT="0" distB="0" distL="0" distR="0" wp14:anchorId="300BB159" wp14:editId="4483B8D0">
            <wp:extent cx="5854065" cy="3194463"/>
            <wp:effectExtent l="0" t="0" r="0" b="6350"/>
            <wp:docPr id="6" name="Рисунок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3"/>
                    <pic:cNvPicPr>
                      <a:picLocks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5868033" cy="3202085"/>
                    </a:xfrm>
                    <a:prstGeom prst="rect">
                      <a:avLst/>
                    </a:prstGeom>
                    <a:noFill/>
                    <a:ln>
                      <a:noFill/>
                    </a:ln>
                  </pic:spPr>
                </pic:pic>
              </a:graphicData>
            </a:graphic>
          </wp:inline>
        </w:drawing>
      </w:r>
    </w:p>
    <w:p w14:paraId="43F65BAC" w14:textId="71B12B17" w:rsidR="00EC492E" w:rsidRPr="00824D31" w:rsidRDefault="00EC492E" w:rsidP="00EC492E">
      <w:r w:rsidRPr="00824D31">
        <w:t xml:space="preserve">Рисунок </w:t>
      </w:r>
      <w:r w:rsidR="00A90944">
        <w:fldChar w:fldCharType="begin"/>
      </w:r>
      <w:r w:rsidR="00A90944">
        <w:instrText xml:space="preserve"> SEQ Рисунок \* ARABIC </w:instrText>
      </w:r>
      <w:r w:rsidR="00A90944">
        <w:fldChar w:fldCharType="separate"/>
      </w:r>
      <w:r w:rsidR="00FD2769">
        <w:rPr>
          <w:noProof/>
        </w:rPr>
        <w:t>59</w:t>
      </w:r>
      <w:r w:rsidR="00A90944">
        <w:rPr>
          <w:noProof/>
        </w:rPr>
        <w:fldChar w:fldCharType="end"/>
      </w:r>
      <w:r w:rsidRPr="00824D31">
        <w:t xml:space="preserve"> Распределение Объектов 1 группы по периодам постройки (год)</w:t>
      </w:r>
    </w:p>
    <w:p w14:paraId="5D27B52B" w14:textId="77777777" w:rsidR="00EC492E" w:rsidRPr="00824D31" w:rsidRDefault="00EC492E" w:rsidP="00EC492E"/>
    <w:p w14:paraId="575E0ABC" w14:textId="77777777" w:rsidR="00EC492E" w:rsidRPr="00824D31" w:rsidRDefault="00EC492E" w:rsidP="00EC492E">
      <w:r w:rsidRPr="00824D31">
        <w:t>Большая часть Объектов рассматриваемой подгруппы построены в период с 1970 по 1990 гг.</w:t>
      </w:r>
    </w:p>
    <w:p w14:paraId="4DCEBF83" w14:textId="55A09E7F" w:rsidR="00EC492E" w:rsidRDefault="00EC492E" w:rsidP="00EC492E"/>
    <w:p w14:paraId="0DED47E7" w14:textId="6BA4C78D" w:rsidR="008B2763" w:rsidRDefault="008B2763" w:rsidP="00EC492E"/>
    <w:p w14:paraId="2B884EC1" w14:textId="77777777" w:rsidR="008B2763" w:rsidRPr="00824D31" w:rsidRDefault="008B2763" w:rsidP="00EC492E"/>
    <w:p w14:paraId="0C6C9B8D" w14:textId="65BE6A08" w:rsidR="00EC492E" w:rsidRPr="008F16D6" w:rsidRDefault="00EC492E" w:rsidP="008F16D6">
      <w:pPr>
        <w:rPr>
          <w:b/>
        </w:rPr>
      </w:pPr>
      <w:bookmarkStart w:id="84" w:name="_Toc466639845"/>
      <w:bookmarkStart w:id="85" w:name="_Toc339302509"/>
      <w:r w:rsidRPr="008F16D6">
        <w:rPr>
          <w:b/>
        </w:rPr>
        <w:t xml:space="preserve">2 группа «Дома малоэтажной жилой застройки, в том числе </w:t>
      </w:r>
      <w:r w:rsidR="008F16D6" w:rsidRPr="008F16D6">
        <w:rPr>
          <w:b/>
        </w:rPr>
        <w:t xml:space="preserve">индивидуальной жилой застройки </w:t>
      </w:r>
      <w:r w:rsidRPr="008F16D6">
        <w:rPr>
          <w:b/>
        </w:rPr>
        <w:t>индивидуальные, малоэтажные блокированные (таунхаусы), дачных объединений, садоводческих товариществ»</w:t>
      </w:r>
      <w:bookmarkEnd w:id="84"/>
      <w:bookmarkEnd w:id="85"/>
    </w:p>
    <w:p w14:paraId="3D982366" w14:textId="77777777" w:rsidR="00EC492E" w:rsidRPr="00824D31" w:rsidRDefault="00EC492E" w:rsidP="00EC492E"/>
    <w:p w14:paraId="1092DC38" w14:textId="64ED4303" w:rsidR="00EC492E" w:rsidRPr="00824D31" w:rsidRDefault="00EC492E" w:rsidP="00EC492E">
      <w:r w:rsidRPr="00D802EC">
        <w:t>Номера подрупп, входящих в состав группы, в соответствии с Методическими рекомендациями: 0201,0202,0203,0204,0206,0207.</w:t>
      </w:r>
    </w:p>
    <w:p w14:paraId="6D1713DA" w14:textId="622797CC" w:rsidR="00EC492E" w:rsidRPr="00824D31" w:rsidRDefault="00EC492E" w:rsidP="00EC492E">
      <w:r w:rsidRPr="00824D31">
        <w:t xml:space="preserve">Общее количество Объектов оценки, отнесенных к группе «Дома малоэтажной жилой застройки» составляет </w:t>
      </w:r>
      <w:r w:rsidR="00EA2AA2">
        <w:t>321 536</w:t>
      </w:r>
      <w:r w:rsidRPr="00824D31">
        <w:t> Объектов.</w:t>
      </w:r>
    </w:p>
    <w:p w14:paraId="29618549" w14:textId="77777777" w:rsidR="00EC492E" w:rsidRPr="00824D31" w:rsidRDefault="00EC492E" w:rsidP="00EC492E">
      <w:r w:rsidRPr="00824D31">
        <w:t>Объекты данной группы представляют собой жилые дома и жилые помещения в них, предназначенные для проживания одной семьи, садовые дома, дачные дома, а также объекты вспомогательного назначения.</w:t>
      </w:r>
    </w:p>
    <w:p w14:paraId="1D431B5C" w14:textId="77777777" w:rsidR="00EC492E" w:rsidRPr="00824D31" w:rsidRDefault="00EC492E" w:rsidP="00EC492E">
      <w:r w:rsidRPr="00824D31">
        <w:t>В рамках группировки объектов оценки сегмент многоквартирных домов малоэтажной застройки (до 3 этажей, включая мансардный) отнесен во 2 функциональную группу, подгруппу 0205 (добавлена сотрудниками ГБУ самостоятельно);</w:t>
      </w:r>
    </w:p>
    <w:p w14:paraId="327D6A18" w14:textId="77777777" w:rsidR="00EC492E" w:rsidRPr="00824D31" w:rsidRDefault="00EC492E" w:rsidP="00EC492E"/>
    <w:p w14:paraId="105BF41D" w14:textId="77777777" w:rsidR="00EC492E" w:rsidRPr="00824D31" w:rsidRDefault="00EC492E" w:rsidP="00EC492E">
      <w:r w:rsidRPr="00824D31">
        <w:t>К объектам 2 группы относятся:</w:t>
      </w:r>
    </w:p>
    <w:p w14:paraId="32B0A466" w14:textId="77777777" w:rsidR="00EC492E" w:rsidRPr="00824D31" w:rsidRDefault="00EC492E" w:rsidP="00EC492E">
      <w:r w:rsidRPr="00824D31">
        <w:t>- отдельно стоящие жилые дома (жилой дом, дом, домовладение, основное строение), предназначенные для проживания одной семьи (объекты индивидуального жилищного строительства), в том числе личные подсобные хозяйства, коттеджи, таунхаусы, усадебные с приквартирными и приусадебными участками и помещения жилого назначения (квартиры, комнаты) в них;</w:t>
      </w:r>
    </w:p>
    <w:p w14:paraId="3D9FA8CF" w14:textId="77777777" w:rsidR="00EC492E" w:rsidRPr="00824D31" w:rsidRDefault="00EC492E" w:rsidP="00EC492E">
      <w:r w:rsidRPr="00824D31">
        <w:t>- жилые дома, состоящие из нескольких блоков и каждый из которых предназначен для проживания одной семьи, имеет общую стену (общие стены) без проемов с соседним блоком или соседними блоками, расположен на отдельном земельном участке и имеет выход на территорию общего пользования (жилые дома блокированной застройки) и жилые помещения (квартиры, комнаты) в них;</w:t>
      </w:r>
    </w:p>
    <w:p w14:paraId="311BD92E" w14:textId="77777777" w:rsidR="00EC492E" w:rsidRPr="00824D31" w:rsidRDefault="00EC492E" w:rsidP="00EC492E">
      <w:r w:rsidRPr="00824D31">
        <w:t xml:space="preserve">- объекты жилой застройки, расположенные на территории садоводческих, огородных, дачных объединений, в том числе в пределах границ (черты) населенных пунктов. Объекты данной группы представляют собой жилые дома, не предназначенные для круглогодичного проживания, и разделяются на три категории: </w:t>
      </w:r>
    </w:p>
    <w:p w14:paraId="1467743C" w14:textId="77777777" w:rsidR="00EC492E" w:rsidRPr="00824D31" w:rsidRDefault="00EC492E" w:rsidP="00EC492E">
      <w:r w:rsidRPr="00824D31">
        <w:t xml:space="preserve">1) огородные (возможен лишь огород); </w:t>
      </w:r>
    </w:p>
    <w:p w14:paraId="5FE2CFF3" w14:textId="77777777" w:rsidR="00EC492E" w:rsidRPr="00824D31" w:rsidRDefault="00EC492E" w:rsidP="00EC492E">
      <w:r w:rsidRPr="00824D31">
        <w:t>2) садовые (можно сажать деревья, кустарники и размещать хозяйственные постройки);</w:t>
      </w:r>
    </w:p>
    <w:p w14:paraId="1B509949" w14:textId="77777777" w:rsidR="00EC492E" w:rsidRPr="00824D31" w:rsidRDefault="00EC492E" w:rsidP="00EC492E">
      <w:r w:rsidRPr="00824D31">
        <w:t>3) дачные (можно построить дом и хозяйственные строения);</w:t>
      </w:r>
    </w:p>
    <w:p w14:paraId="7E155098" w14:textId="77777777" w:rsidR="00EC492E" w:rsidRPr="00824D31" w:rsidRDefault="00EC492E" w:rsidP="00EC492E">
      <w:r w:rsidRPr="00824D31">
        <w:t>- индивидуальные бани;</w:t>
      </w:r>
    </w:p>
    <w:p w14:paraId="12C1D793" w14:textId="77777777" w:rsidR="00EC492E" w:rsidRPr="00824D31" w:rsidRDefault="00EC492E" w:rsidP="00EC492E">
      <w:r w:rsidRPr="00824D31">
        <w:t>- вспомогательные объекты хозяйственно-бытового назначения (туалеты, летние душевые, выгребные ямы, теплицы, террасы, дровяники, крытые дворы, предбанники и т.д.).</w:t>
      </w:r>
    </w:p>
    <w:p w14:paraId="3177DBB9" w14:textId="77777777" w:rsidR="00EC492E" w:rsidRPr="00824D31" w:rsidRDefault="00EC492E" w:rsidP="00EC492E"/>
    <w:p w14:paraId="5E352052" w14:textId="77777777" w:rsidR="00EC492E" w:rsidRPr="00824D31" w:rsidRDefault="00EC492E" w:rsidP="00EC492E">
      <w:r w:rsidRPr="00824D31">
        <w:t>Объекты недвижимости 2 группы были разбиты на подгруппы по следующим критериям:</w:t>
      </w:r>
    </w:p>
    <w:p w14:paraId="3725DB02" w14:textId="77777777" w:rsidR="00EC492E" w:rsidRPr="00824D31" w:rsidRDefault="00EC492E" w:rsidP="00EC492E">
      <w:r w:rsidRPr="00824D31">
        <w:t>1. В зависимости от степени готовности объекта:</w:t>
      </w:r>
    </w:p>
    <w:p w14:paraId="424FA0D0" w14:textId="77777777" w:rsidR="00EC492E" w:rsidRPr="00824D31" w:rsidRDefault="00EC492E" w:rsidP="00EC492E">
      <w:r w:rsidRPr="00824D31">
        <w:t xml:space="preserve">- объекты, строительство которых завершено (здания, помещения, сооружения); </w:t>
      </w:r>
    </w:p>
    <w:p w14:paraId="03D9112D" w14:textId="77777777" w:rsidR="00EC492E" w:rsidRPr="00824D31" w:rsidRDefault="00EC492E" w:rsidP="00EC492E">
      <w:r w:rsidRPr="00824D31">
        <w:t>-объекты незавершенного строительства.</w:t>
      </w:r>
    </w:p>
    <w:p w14:paraId="39749502" w14:textId="77777777" w:rsidR="00EC492E" w:rsidRPr="00824D31" w:rsidRDefault="00EC492E" w:rsidP="00EC492E">
      <w:r w:rsidRPr="00824D31">
        <w:t>2. в зависимости от местоположения:</w:t>
      </w:r>
    </w:p>
    <w:p w14:paraId="48854744" w14:textId="77777777" w:rsidR="00EC492E" w:rsidRPr="00824D31" w:rsidRDefault="00EC492E" w:rsidP="00EC492E">
      <w:r w:rsidRPr="00824D31">
        <w:t>- объекты, точное местоположение которых возможно установить;</w:t>
      </w:r>
    </w:p>
    <w:p w14:paraId="3C0BD7DE" w14:textId="77777777" w:rsidR="00EC492E" w:rsidRPr="00824D31" w:rsidRDefault="00EC492E" w:rsidP="00EC492E">
      <w:r w:rsidRPr="00824D31">
        <w:t xml:space="preserve">- объекты, точное местоположение которых невозможно установить. </w:t>
      </w:r>
    </w:p>
    <w:p w14:paraId="2D652329" w14:textId="060CD307" w:rsidR="00EC492E" w:rsidRPr="00824D31" w:rsidRDefault="00EC492E" w:rsidP="00EC492E">
      <w:r w:rsidRPr="00824D31">
        <w:t>В подгруппу объектов, точное местоположени</w:t>
      </w:r>
      <w:r w:rsidR="008F16D6">
        <w:t xml:space="preserve">е которых возможно установить, </w:t>
      </w:r>
      <w:r w:rsidRPr="00824D31">
        <w:t>относятся объекты, местоположение которых:</w:t>
      </w:r>
    </w:p>
    <w:p w14:paraId="1C02A8A0" w14:textId="77777777" w:rsidR="00EC492E" w:rsidRPr="00824D31" w:rsidRDefault="00EC492E" w:rsidP="00EC492E">
      <w:r w:rsidRPr="00824D31">
        <w:t>- возможно установить до уровня дома;</w:t>
      </w:r>
    </w:p>
    <w:p w14:paraId="2D0BB59A" w14:textId="77777777" w:rsidR="00EC492E" w:rsidRPr="00824D31" w:rsidRDefault="00EC492E" w:rsidP="00EC492E">
      <w:r w:rsidRPr="00824D31">
        <w:t>- возможно установить до уровня улицы;</w:t>
      </w:r>
    </w:p>
    <w:p w14:paraId="3542A69E" w14:textId="77777777" w:rsidR="00EC492E" w:rsidRPr="00824D31" w:rsidRDefault="00EC492E" w:rsidP="00EC492E">
      <w:r w:rsidRPr="00824D31">
        <w:t>- возможно установить до уровня кадастрового квартала.</w:t>
      </w:r>
    </w:p>
    <w:p w14:paraId="58FED4C9" w14:textId="77777777" w:rsidR="00EC492E" w:rsidRPr="00824D31" w:rsidRDefault="00EC492E" w:rsidP="00EC492E">
      <w:r w:rsidRPr="00824D31">
        <w:t>При этом для объектов, расположенных в населенных пунктах, численностью до 1 тысячи человек, отнесенных в подгруппу объектов, точное местоположение которых возможно установить, допустимым является установление местоположения до уровня населенного пункта.</w:t>
      </w:r>
    </w:p>
    <w:p w14:paraId="4336179C" w14:textId="77777777" w:rsidR="00EC492E" w:rsidRPr="00824D31" w:rsidRDefault="00EC492E" w:rsidP="00EC492E">
      <w:r w:rsidRPr="00824D31">
        <w:t>К подгруппе объектов, точное местоположение которых невозможно установить, относятся объекты, местоположение которых:</w:t>
      </w:r>
    </w:p>
    <w:p w14:paraId="0D34876E" w14:textId="77777777" w:rsidR="00EC492E" w:rsidRPr="00824D31" w:rsidRDefault="00EC492E" w:rsidP="00EC492E">
      <w:r w:rsidRPr="00824D31">
        <w:t>- возможно установить только до уровня населенного пункта, за исключением населенных пунктов численностью до 1 тысячи человек;</w:t>
      </w:r>
    </w:p>
    <w:p w14:paraId="333C2C93" w14:textId="77777777" w:rsidR="00EC492E" w:rsidRPr="00824D31" w:rsidRDefault="00EC492E" w:rsidP="00EC492E">
      <w:r w:rsidRPr="00824D31">
        <w:t>- возможно установить только до уровня муниципального образования;</w:t>
      </w:r>
    </w:p>
    <w:p w14:paraId="2686E449" w14:textId="77777777" w:rsidR="00EC492E" w:rsidRPr="00824D31" w:rsidRDefault="00EC492E" w:rsidP="00EC492E">
      <w:r w:rsidRPr="00824D31">
        <w:t>- возможно установить только до уровня субъекта Российской Федерации.</w:t>
      </w:r>
    </w:p>
    <w:p w14:paraId="1FF0990A" w14:textId="77777777" w:rsidR="00EC492E" w:rsidRPr="00824D31" w:rsidRDefault="00EC492E" w:rsidP="00EC492E">
      <w:r w:rsidRPr="00824D31">
        <w:t>При этом объекты, расположенные в сельских населенных пунктах, относить в подгруппу объектов, точное местоположение которых невозможно установить, недопустимо в случае, когда местоположение возможно установить до уровня населенного пункта.</w:t>
      </w:r>
    </w:p>
    <w:p w14:paraId="6C2BEA46" w14:textId="77777777" w:rsidR="00EC492E" w:rsidRPr="00824D31" w:rsidRDefault="00EC492E" w:rsidP="00EC492E">
      <w:r w:rsidRPr="00824D31">
        <w:t>3. В зависимости от статуса населенного пункта разделение на группы (подгруппы) производилось по принципу:</w:t>
      </w:r>
    </w:p>
    <w:p w14:paraId="6BC770DE" w14:textId="77777777" w:rsidR="00EC492E" w:rsidRPr="00824D31" w:rsidRDefault="00EC492E" w:rsidP="00EC492E">
      <w:r w:rsidRPr="00824D31">
        <w:t>- объекты, расположенные в столице субъекта Российской Федерации;</w:t>
      </w:r>
    </w:p>
    <w:p w14:paraId="5D41F526" w14:textId="77777777" w:rsidR="00EC492E" w:rsidRPr="00824D31" w:rsidRDefault="00EC492E" w:rsidP="00EC492E">
      <w:r w:rsidRPr="00824D31">
        <w:t>- объекты, расположенные в прочих городских населенных пунктах;</w:t>
      </w:r>
    </w:p>
    <w:p w14:paraId="4666A06D" w14:textId="77777777" w:rsidR="00EC492E" w:rsidRPr="00824D31" w:rsidRDefault="00EC492E" w:rsidP="00EC492E">
      <w:r w:rsidRPr="00824D31">
        <w:t>- объекты, расположенные в сельских населенных пунктах;</w:t>
      </w:r>
    </w:p>
    <w:p w14:paraId="6A254578" w14:textId="77777777" w:rsidR="00EC492E" w:rsidRPr="00824D31" w:rsidRDefault="00EC492E" w:rsidP="00EC492E">
      <w:r w:rsidRPr="00824D31">
        <w:t>-  объекты, расположенные вне черты населенных пунктов.</w:t>
      </w:r>
    </w:p>
    <w:p w14:paraId="32E6FE90" w14:textId="77777777" w:rsidR="00EC492E" w:rsidRPr="00824D31" w:rsidRDefault="00EC492E" w:rsidP="00EC492E">
      <w:r w:rsidRPr="00824D31">
        <w:t xml:space="preserve">Выделенные на оцениваемой территории группы объектов оценки соответствуют следующим требованиям: </w:t>
      </w:r>
    </w:p>
    <w:p w14:paraId="62C0985A" w14:textId="77777777" w:rsidR="00EC492E" w:rsidRPr="00824D31" w:rsidRDefault="00EC492E" w:rsidP="00EC492E">
      <w:r w:rsidRPr="00824D31">
        <w:t>- однородны с точки зрения значений (диапазонов значений) ценообразующих факторов;</w:t>
      </w:r>
    </w:p>
    <w:p w14:paraId="11A19DD3" w14:textId="77777777" w:rsidR="00EC492E" w:rsidRPr="00824D31" w:rsidRDefault="00EC492E" w:rsidP="00EC492E">
      <w:r w:rsidRPr="00824D31">
        <w:t>- полностью покрывают группу объектов оценки (каждый объект оценки должен быть отнесен к какой-либо группе/подгруппе);</w:t>
      </w:r>
    </w:p>
    <w:p w14:paraId="00305510" w14:textId="77777777" w:rsidR="00EC492E" w:rsidRPr="00824D31" w:rsidRDefault="00EC492E" w:rsidP="00EC492E">
      <w:r w:rsidRPr="00824D31">
        <w:t>- не пересекаются - объект оценки может быть отнесен только к одной группе/подгруппе.</w:t>
      </w:r>
    </w:p>
    <w:p w14:paraId="593BFD22" w14:textId="77777777" w:rsidR="00EC492E" w:rsidRPr="00824D31" w:rsidRDefault="00EC492E" w:rsidP="00EC492E">
      <w:r w:rsidRPr="00824D31">
        <w:t xml:space="preserve">Представленная группировка позволяет объединить объекты недвижимости по общности признаков со схожими принципами ценообразования и примерно одинаковым уровнем цен на объекты недвижимости. </w:t>
      </w:r>
    </w:p>
    <w:p w14:paraId="6D6AF5A4" w14:textId="77777777" w:rsidR="00EC492E" w:rsidRPr="00824D31" w:rsidRDefault="00EC492E" w:rsidP="00EC492E"/>
    <w:p w14:paraId="3B5E7935" w14:textId="4C9B676C" w:rsidR="00EC492E" w:rsidRPr="00824D31" w:rsidRDefault="00EC492E" w:rsidP="00763AD2">
      <w:pPr>
        <w:pStyle w:val="afffffff0"/>
      </w:pPr>
      <w:r w:rsidRPr="00824D31">
        <w:t xml:space="preserve">Таблица </w:t>
      </w:r>
      <w:r w:rsidR="00A90944">
        <w:fldChar w:fldCharType="begin"/>
      </w:r>
      <w:r w:rsidR="00A90944">
        <w:instrText xml:space="preserve"> SEQ Таблица \* ARABIC </w:instrText>
      </w:r>
      <w:r w:rsidR="00A90944">
        <w:fldChar w:fldCharType="separate"/>
      </w:r>
      <w:r w:rsidR="00FD2769">
        <w:rPr>
          <w:noProof/>
        </w:rPr>
        <w:t>33</w:t>
      </w:r>
      <w:r w:rsidR="00A90944">
        <w:rPr>
          <w:noProof/>
        </w:rPr>
        <w:fldChar w:fldCharType="end"/>
      </w:r>
      <w:r w:rsidRPr="00824D31">
        <w:t xml:space="preserve"> Результат группировки Объектов оценки в рамках группы 2 Дома малоэтажной жилой застройки, в том числе индивидуальной жилой застройки - индивидуальные, малоэтажные блокированные (таунхаусы) </w:t>
      </w:r>
    </w:p>
    <w:tbl>
      <w:tblPr>
        <w:tblW w:w="93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96"/>
        <w:gridCol w:w="1276"/>
        <w:gridCol w:w="4107"/>
        <w:gridCol w:w="1274"/>
        <w:gridCol w:w="992"/>
      </w:tblGrid>
      <w:tr w:rsidR="00EC492E" w:rsidRPr="00824D31" w14:paraId="576C19D8" w14:textId="77777777" w:rsidTr="008B2763">
        <w:trPr>
          <w:trHeight w:val="20"/>
          <w:tblHeader/>
        </w:trPr>
        <w:tc>
          <w:tcPr>
            <w:tcW w:w="1696" w:type="dxa"/>
            <w:tcBorders>
              <w:top w:val="single" w:sz="4" w:space="0" w:color="auto"/>
              <w:left w:val="single" w:sz="4" w:space="0" w:color="auto"/>
              <w:bottom w:val="single" w:sz="4" w:space="0" w:color="auto"/>
              <w:right w:val="single" w:sz="4" w:space="0" w:color="auto"/>
            </w:tcBorders>
            <w:hideMark/>
          </w:tcPr>
          <w:p w14:paraId="325CBDFF" w14:textId="77777777" w:rsidR="00EC492E" w:rsidRPr="00824D31" w:rsidRDefault="00EC492E" w:rsidP="00AA2A17">
            <w:pPr>
              <w:ind w:firstLine="30"/>
              <w:jc w:val="center"/>
            </w:pPr>
            <w:r w:rsidRPr="00824D31">
              <w:t>Наименование группы</w:t>
            </w:r>
          </w:p>
        </w:tc>
        <w:tc>
          <w:tcPr>
            <w:tcW w:w="1276" w:type="dxa"/>
            <w:tcBorders>
              <w:top w:val="single" w:sz="4" w:space="0" w:color="auto"/>
              <w:left w:val="single" w:sz="4" w:space="0" w:color="auto"/>
              <w:bottom w:val="single" w:sz="4" w:space="0" w:color="auto"/>
              <w:right w:val="single" w:sz="4" w:space="0" w:color="auto"/>
            </w:tcBorders>
            <w:hideMark/>
          </w:tcPr>
          <w:p w14:paraId="2AF1AE03" w14:textId="77777777" w:rsidR="00EC492E" w:rsidRPr="00824D31" w:rsidRDefault="00EC492E" w:rsidP="00AA2A17">
            <w:pPr>
              <w:ind w:firstLine="30"/>
              <w:jc w:val="center"/>
            </w:pPr>
            <w:r w:rsidRPr="00824D31">
              <w:t>Код подгруппы</w:t>
            </w:r>
          </w:p>
        </w:tc>
        <w:tc>
          <w:tcPr>
            <w:tcW w:w="4107" w:type="dxa"/>
            <w:tcBorders>
              <w:top w:val="single" w:sz="4" w:space="0" w:color="auto"/>
              <w:left w:val="single" w:sz="4" w:space="0" w:color="auto"/>
              <w:bottom w:val="single" w:sz="4" w:space="0" w:color="auto"/>
              <w:right w:val="single" w:sz="4" w:space="0" w:color="auto"/>
            </w:tcBorders>
            <w:hideMark/>
          </w:tcPr>
          <w:p w14:paraId="14AD82C8" w14:textId="77777777" w:rsidR="00EC492E" w:rsidRPr="00824D31" w:rsidRDefault="00EC492E" w:rsidP="00AA2A17">
            <w:pPr>
              <w:ind w:firstLine="30"/>
              <w:jc w:val="center"/>
            </w:pPr>
            <w:r w:rsidRPr="00824D31">
              <w:t>Наименование функциональной подгруппы</w:t>
            </w:r>
          </w:p>
        </w:tc>
        <w:tc>
          <w:tcPr>
            <w:tcW w:w="1274" w:type="dxa"/>
            <w:tcBorders>
              <w:top w:val="single" w:sz="4" w:space="0" w:color="auto"/>
              <w:left w:val="single" w:sz="4" w:space="0" w:color="auto"/>
              <w:bottom w:val="single" w:sz="4" w:space="0" w:color="auto"/>
              <w:right w:val="single" w:sz="4" w:space="0" w:color="auto"/>
            </w:tcBorders>
            <w:hideMark/>
          </w:tcPr>
          <w:p w14:paraId="5F7EF664" w14:textId="630270CE" w:rsidR="00EC492E" w:rsidRPr="00824D31" w:rsidRDefault="00EC492E" w:rsidP="008B2763">
            <w:pPr>
              <w:ind w:left="43" w:firstLine="0"/>
              <w:jc w:val="center"/>
            </w:pPr>
            <w:r w:rsidRPr="00824D31">
              <w:t xml:space="preserve">Количество </w:t>
            </w:r>
          </w:p>
        </w:tc>
        <w:tc>
          <w:tcPr>
            <w:tcW w:w="992" w:type="dxa"/>
            <w:tcBorders>
              <w:top w:val="single" w:sz="4" w:space="0" w:color="auto"/>
              <w:left w:val="single" w:sz="4" w:space="0" w:color="auto"/>
              <w:bottom w:val="single" w:sz="4" w:space="0" w:color="auto"/>
              <w:right w:val="single" w:sz="4" w:space="0" w:color="auto"/>
            </w:tcBorders>
            <w:hideMark/>
          </w:tcPr>
          <w:p w14:paraId="24BF3BF6" w14:textId="77777777" w:rsidR="00EC492E" w:rsidRPr="00824D31" w:rsidRDefault="00EC492E" w:rsidP="00AA2A17">
            <w:pPr>
              <w:ind w:left="-100" w:firstLine="0"/>
              <w:jc w:val="center"/>
            </w:pPr>
            <w:r w:rsidRPr="00824D31">
              <w:t>Доля, %</w:t>
            </w:r>
          </w:p>
        </w:tc>
      </w:tr>
      <w:tr w:rsidR="008B2763" w:rsidRPr="00824D31" w14:paraId="5596F9EF" w14:textId="77777777" w:rsidTr="008B2763">
        <w:trPr>
          <w:cantSplit/>
          <w:trHeight w:val="20"/>
        </w:trPr>
        <w:tc>
          <w:tcPr>
            <w:tcW w:w="1696" w:type="dxa"/>
            <w:vMerge w:val="restart"/>
            <w:tcBorders>
              <w:top w:val="single" w:sz="4" w:space="0" w:color="auto"/>
              <w:left w:val="single" w:sz="4" w:space="0" w:color="auto"/>
              <w:right w:val="single" w:sz="4" w:space="0" w:color="auto"/>
            </w:tcBorders>
            <w:vAlign w:val="center"/>
            <w:hideMark/>
          </w:tcPr>
          <w:p w14:paraId="69284643" w14:textId="77777777" w:rsidR="008B2763" w:rsidRPr="00824D31" w:rsidRDefault="008B2763" w:rsidP="008F16D6">
            <w:pPr>
              <w:ind w:firstLine="30"/>
            </w:pPr>
            <w:r w:rsidRPr="00824D31">
              <w:t>Дома малоэтажной жилой застройки, в том числе индивидуальной жилой застройки - индивидуальные, малоэтажные блокированные (таунхаусы)</w:t>
            </w:r>
          </w:p>
        </w:tc>
        <w:tc>
          <w:tcPr>
            <w:tcW w:w="1276" w:type="dxa"/>
            <w:tcBorders>
              <w:top w:val="single" w:sz="4" w:space="0" w:color="auto"/>
              <w:left w:val="single" w:sz="4" w:space="0" w:color="auto"/>
              <w:bottom w:val="single" w:sz="4" w:space="0" w:color="auto"/>
              <w:right w:val="single" w:sz="4" w:space="0" w:color="auto"/>
            </w:tcBorders>
            <w:hideMark/>
          </w:tcPr>
          <w:p w14:paraId="491C6D87" w14:textId="77777777" w:rsidR="008B2763" w:rsidRPr="00824D31" w:rsidRDefault="008B2763" w:rsidP="008F16D6">
            <w:pPr>
              <w:ind w:firstLine="30"/>
            </w:pPr>
            <w:r w:rsidRPr="00824D31">
              <w:t>0201</w:t>
            </w:r>
          </w:p>
        </w:tc>
        <w:tc>
          <w:tcPr>
            <w:tcW w:w="4107" w:type="dxa"/>
            <w:tcBorders>
              <w:top w:val="single" w:sz="4" w:space="0" w:color="auto"/>
              <w:left w:val="single" w:sz="4" w:space="0" w:color="auto"/>
              <w:bottom w:val="single" w:sz="4" w:space="0" w:color="auto"/>
              <w:right w:val="single" w:sz="4" w:space="0" w:color="auto"/>
            </w:tcBorders>
            <w:hideMark/>
          </w:tcPr>
          <w:p w14:paraId="62A2B12D" w14:textId="77777777" w:rsidR="008B2763" w:rsidRPr="00824D31" w:rsidRDefault="008B2763" w:rsidP="008F16D6">
            <w:pPr>
              <w:ind w:firstLine="30"/>
            </w:pPr>
            <w:r w:rsidRPr="00824D31">
              <w:t>Дома жилые блокированной застройки (таунхаусы)</w:t>
            </w:r>
          </w:p>
        </w:tc>
        <w:tc>
          <w:tcPr>
            <w:tcW w:w="1274" w:type="dxa"/>
            <w:tcBorders>
              <w:top w:val="single" w:sz="4" w:space="0" w:color="auto"/>
              <w:left w:val="single" w:sz="4" w:space="0" w:color="auto"/>
              <w:bottom w:val="single" w:sz="4" w:space="0" w:color="auto"/>
              <w:right w:val="single" w:sz="4" w:space="0" w:color="auto"/>
            </w:tcBorders>
            <w:vAlign w:val="bottom"/>
            <w:hideMark/>
          </w:tcPr>
          <w:p w14:paraId="16740316" w14:textId="77777777" w:rsidR="008B2763" w:rsidRPr="00824D31" w:rsidRDefault="008B2763" w:rsidP="00AA2A17">
            <w:pPr>
              <w:ind w:left="43" w:firstLine="0"/>
              <w:jc w:val="center"/>
            </w:pPr>
            <w:r w:rsidRPr="00824D31">
              <w:t>75</w:t>
            </w:r>
          </w:p>
        </w:tc>
        <w:tc>
          <w:tcPr>
            <w:tcW w:w="992" w:type="dxa"/>
            <w:tcBorders>
              <w:top w:val="single" w:sz="4" w:space="0" w:color="auto"/>
              <w:left w:val="single" w:sz="4" w:space="0" w:color="auto"/>
              <w:bottom w:val="single" w:sz="4" w:space="0" w:color="auto"/>
              <w:right w:val="single" w:sz="4" w:space="0" w:color="auto"/>
            </w:tcBorders>
            <w:vAlign w:val="bottom"/>
            <w:hideMark/>
          </w:tcPr>
          <w:p w14:paraId="7BA72081" w14:textId="77777777" w:rsidR="008B2763" w:rsidRPr="00824D31" w:rsidRDefault="008B2763" w:rsidP="00AA2A17">
            <w:pPr>
              <w:ind w:left="-100" w:firstLine="0"/>
              <w:jc w:val="center"/>
            </w:pPr>
            <w:r w:rsidRPr="00824D31">
              <w:t>0,02%</w:t>
            </w:r>
          </w:p>
        </w:tc>
      </w:tr>
      <w:tr w:rsidR="008B2763" w:rsidRPr="00824D31" w14:paraId="4CC890F2" w14:textId="77777777" w:rsidTr="008B2763">
        <w:trPr>
          <w:cantSplit/>
          <w:trHeight w:val="20"/>
        </w:trPr>
        <w:tc>
          <w:tcPr>
            <w:tcW w:w="1696" w:type="dxa"/>
            <w:vMerge/>
            <w:tcBorders>
              <w:left w:val="single" w:sz="4" w:space="0" w:color="auto"/>
              <w:right w:val="single" w:sz="4" w:space="0" w:color="auto"/>
            </w:tcBorders>
            <w:vAlign w:val="center"/>
            <w:hideMark/>
          </w:tcPr>
          <w:p w14:paraId="1BFF3672" w14:textId="77777777" w:rsidR="008B2763" w:rsidRPr="00824D31" w:rsidRDefault="008B2763" w:rsidP="008F16D6">
            <w:pPr>
              <w:ind w:firstLine="30"/>
            </w:pPr>
          </w:p>
        </w:tc>
        <w:tc>
          <w:tcPr>
            <w:tcW w:w="1276" w:type="dxa"/>
            <w:tcBorders>
              <w:top w:val="single" w:sz="4" w:space="0" w:color="auto"/>
              <w:left w:val="single" w:sz="4" w:space="0" w:color="auto"/>
              <w:bottom w:val="single" w:sz="4" w:space="0" w:color="auto"/>
              <w:right w:val="single" w:sz="4" w:space="0" w:color="auto"/>
            </w:tcBorders>
            <w:hideMark/>
          </w:tcPr>
          <w:p w14:paraId="28D8671E" w14:textId="77777777" w:rsidR="008B2763" w:rsidRPr="00824D31" w:rsidRDefault="008B2763" w:rsidP="008F16D6">
            <w:pPr>
              <w:ind w:firstLine="30"/>
            </w:pPr>
            <w:r w:rsidRPr="00824D31">
              <w:t>0202</w:t>
            </w:r>
          </w:p>
        </w:tc>
        <w:tc>
          <w:tcPr>
            <w:tcW w:w="4107" w:type="dxa"/>
            <w:tcBorders>
              <w:top w:val="single" w:sz="4" w:space="0" w:color="auto"/>
              <w:left w:val="single" w:sz="4" w:space="0" w:color="auto"/>
              <w:bottom w:val="single" w:sz="4" w:space="0" w:color="auto"/>
              <w:right w:val="single" w:sz="4" w:space="0" w:color="auto"/>
            </w:tcBorders>
            <w:hideMark/>
          </w:tcPr>
          <w:p w14:paraId="10F8AA1D" w14:textId="77777777" w:rsidR="008B2763" w:rsidRPr="00824D31" w:rsidRDefault="008B2763" w:rsidP="008F16D6">
            <w:pPr>
              <w:ind w:firstLine="30"/>
            </w:pPr>
            <w:r w:rsidRPr="00824D31">
              <w:t>Дома индивидуальные</w:t>
            </w:r>
          </w:p>
        </w:tc>
        <w:tc>
          <w:tcPr>
            <w:tcW w:w="1274" w:type="dxa"/>
            <w:tcBorders>
              <w:top w:val="single" w:sz="4" w:space="0" w:color="auto"/>
              <w:left w:val="single" w:sz="4" w:space="0" w:color="auto"/>
              <w:bottom w:val="single" w:sz="4" w:space="0" w:color="auto"/>
              <w:right w:val="single" w:sz="4" w:space="0" w:color="auto"/>
            </w:tcBorders>
            <w:vAlign w:val="bottom"/>
            <w:hideMark/>
          </w:tcPr>
          <w:p w14:paraId="2EA2E790" w14:textId="18CDCA33" w:rsidR="008B2763" w:rsidRPr="00824D31" w:rsidRDefault="008B2763" w:rsidP="00AA2A17">
            <w:pPr>
              <w:ind w:left="43" w:firstLine="0"/>
              <w:jc w:val="center"/>
            </w:pPr>
            <w:r>
              <w:t>136 846</w:t>
            </w:r>
          </w:p>
        </w:tc>
        <w:tc>
          <w:tcPr>
            <w:tcW w:w="992" w:type="dxa"/>
            <w:tcBorders>
              <w:top w:val="single" w:sz="4" w:space="0" w:color="auto"/>
              <w:left w:val="single" w:sz="4" w:space="0" w:color="auto"/>
              <w:bottom w:val="single" w:sz="4" w:space="0" w:color="auto"/>
              <w:right w:val="single" w:sz="4" w:space="0" w:color="auto"/>
            </w:tcBorders>
            <w:vAlign w:val="bottom"/>
            <w:hideMark/>
          </w:tcPr>
          <w:p w14:paraId="3A9A4EAA" w14:textId="77777777" w:rsidR="008B2763" w:rsidRPr="00824D31" w:rsidRDefault="008B2763" w:rsidP="00AA2A17">
            <w:pPr>
              <w:ind w:left="-100" w:firstLine="0"/>
              <w:jc w:val="center"/>
            </w:pPr>
            <w:r w:rsidRPr="00824D31">
              <w:t>42,56%</w:t>
            </w:r>
          </w:p>
        </w:tc>
      </w:tr>
      <w:tr w:rsidR="008B2763" w:rsidRPr="00824D31" w14:paraId="1009F560" w14:textId="77777777" w:rsidTr="008B2763">
        <w:trPr>
          <w:cantSplit/>
          <w:trHeight w:val="20"/>
        </w:trPr>
        <w:tc>
          <w:tcPr>
            <w:tcW w:w="1696" w:type="dxa"/>
            <w:vMerge/>
            <w:tcBorders>
              <w:left w:val="single" w:sz="4" w:space="0" w:color="auto"/>
              <w:right w:val="single" w:sz="4" w:space="0" w:color="auto"/>
            </w:tcBorders>
            <w:vAlign w:val="center"/>
            <w:hideMark/>
          </w:tcPr>
          <w:p w14:paraId="456D6ECD" w14:textId="77777777" w:rsidR="008B2763" w:rsidRPr="00824D31" w:rsidRDefault="008B2763" w:rsidP="008F16D6">
            <w:pPr>
              <w:ind w:firstLine="30"/>
            </w:pPr>
          </w:p>
        </w:tc>
        <w:tc>
          <w:tcPr>
            <w:tcW w:w="1276" w:type="dxa"/>
            <w:tcBorders>
              <w:top w:val="single" w:sz="4" w:space="0" w:color="auto"/>
              <w:left w:val="single" w:sz="4" w:space="0" w:color="auto"/>
              <w:bottom w:val="single" w:sz="4" w:space="0" w:color="auto"/>
              <w:right w:val="single" w:sz="4" w:space="0" w:color="auto"/>
            </w:tcBorders>
            <w:hideMark/>
          </w:tcPr>
          <w:p w14:paraId="124094FA" w14:textId="77777777" w:rsidR="008B2763" w:rsidRPr="00824D31" w:rsidRDefault="008B2763" w:rsidP="008F16D6">
            <w:pPr>
              <w:ind w:firstLine="30"/>
            </w:pPr>
            <w:r w:rsidRPr="00824D31">
              <w:t>0203</w:t>
            </w:r>
          </w:p>
        </w:tc>
        <w:tc>
          <w:tcPr>
            <w:tcW w:w="4107" w:type="dxa"/>
            <w:tcBorders>
              <w:top w:val="single" w:sz="4" w:space="0" w:color="auto"/>
              <w:left w:val="single" w:sz="4" w:space="0" w:color="auto"/>
              <w:bottom w:val="single" w:sz="4" w:space="0" w:color="auto"/>
              <w:right w:val="single" w:sz="4" w:space="0" w:color="auto"/>
            </w:tcBorders>
            <w:hideMark/>
          </w:tcPr>
          <w:p w14:paraId="52A000E1" w14:textId="77777777" w:rsidR="008B2763" w:rsidRPr="00824D31" w:rsidRDefault="008B2763" w:rsidP="008F16D6">
            <w:pPr>
              <w:ind w:firstLine="30"/>
            </w:pPr>
            <w:r w:rsidRPr="00824D31">
              <w:t>Дома индивидуальные с бытовыми пристройками</w:t>
            </w:r>
          </w:p>
        </w:tc>
        <w:tc>
          <w:tcPr>
            <w:tcW w:w="1274" w:type="dxa"/>
            <w:tcBorders>
              <w:top w:val="single" w:sz="4" w:space="0" w:color="auto"/>
              <w:left w:val="single" w:sz="4" w:space="0" w:color="auto"/>
              <w:bottom w:val="single" w:sz="4" w:space="0" w:color="auto"/>
              <w:right w:val="single" w:sz="4" w:space="0" w:color="auto"/>
            </w:tcBorders>
            <w:vAlign w:val="bottom"/>
            <w:hideMark/>
          </w:tcPr>
          <w:p w14:paraId="5F4E8B35" w14:textId="77777777" w:rsidR="008B2763" w:rsidRPr="00824D31" w:rsidRDefault="008B2763" w:rsidP="00AA2A17">
            <w:pPr>
              <w:ind w:left="43" w:firstLine="0"/>
              <w:jc w:val="center"/>
            </w:pPr>
            <w:r w:rsidRPr="00824D31">
              <w:t>1799</w:t>
            </w:r>
          </w:p>
        </w:tc>
        <w:tc>
          <w:tcPr>
            <w:tcW w:w="992" w:type="dxa"/>
            <w:tcBorders>
              <w:top w:val="single" w:sz="4" w:space="0" w:color="auto"/>
              <w:left w:val="single" w:sz="4" w:space="0" w:color="auto"/>
              <w:bottom w:val="single" w:sz="4" w:space="0" w:color="auto"/>
              <w:right w:val="single" w:sz="4" w:space="0" w:color="auto"/>
            </w:tcBorders>
            <w:vAlign w:val="bottom"/>
            <w:hideMark/>
          </w:tcPr>
          <w:p w14:paraId="633F576E" w14:textId="77777777" w:rsidR="008B2763" w:rsidRPr="00824D31" w:rsidRDefault="008B2763" w:rsidP="00AA2A17">
            <w:pPr>
              <w:ind w:left="-100" w:firstLine="0"/>
              <w:jc w:val="center"/>
            </w:pPr>
            <w:r w:rsidRPr="00824D31">
              <w:t>0,56%</w:t>
            </w:r>
          </w:p>
        </w:tc>
      </w:tr>
      <w:tr w:rsidR="008B2763" w:rsidRPr="00824D31" w14:paraId="1AE4E5B1" w14:textId="77777777" w:rsidTr="008B2763">
        <w:trPr>
          <w:cantSplit/>
          <w:trHeight w:val="20"/>
        </w:trPr>
        <w:tc>
          <w:tcPr>
            <w:tcW w:w="1696" w:type="dxa"/>
            <w:vMerge/>
            <w:tcBorders>
              <w:left w:val="single" w:sz="4" w:space="0" w:color="auto"/>
              <w:right w:val="single" w:sz="4" w:space="0" w:color="auto"/>
            </w:tcBorders>
            <w:vAlign w:val="center"/>
            <w:hideMark/>
          </w:tcPr>
          <w:p w14:paraId="69171241" w14:textId="77777777" w:rsidR="008B2763" w:rsidRPr="00824D31" w:rsidRDefault="008B2763" w:rsidP="008F16D6">
            <w:pPr>
              <w:ind w:firstLine="30"/>
            </w:pPr>
          </w:p>
        </w:tc>
        <w:tc>
          <w:tcPr>
            <w:tcW w:w="1276" w:type="dxa"/>
            <w:tcBorders>
              <w:top w:val="single" w:sz="4" w:space="0" w:color="auto"/>
              <w:left w:val="single" w:sz="4" w:space="0" w:color="auto"/>
              <w:bottom w:val="single" w:sz="4" w:space="0" w:color="auto"/>
              <w:right w:val="single" w:sz="4" w:space="0" w:color="auto"/>
            </w:tcBorders>
            <w:hideMark/>
          </w:tcPr>
          <w:p w14:paraId="3524322A" w14:textId="77777777" w:rsidR="008B2763" w:rsidRPr="00824D31" w:rsidRDefault="008B2763" w:rsidP="008F16D6">
            <w:pPr>
              <w:ind w:firstLine="30"/>
            </w:pPr>
            <w:r w:rsidRPr="00824D31">
              <w:t>0204</w:t>
            </w:r>
          </w:p>
        </w:tc>
        <w:tc>
          <w:tcPr>
            <w:tcW w:w="4107" w:type="dxa"/>
            <w:tcBorders>
              <w:top w:val="single" w:sz="4" w:space="0" w:color="auto"/>
              <w:left w:val="single" w:sz="4" w:space="0" w:color="auto"/>
              <w:bottom w:val="single" w:sz="4" w:space="0" w:color="auto"/>
              <w:right w:val="single" w:sz="4" w:space="0" w:color="auto"/>
            </w:tcBorders>
            <w:hideMark/>
          </w:tcPr>
          <w:p w14:paraId="48A533F9" w14:textId="77777777" w:rsidR="008B2763" w:rsidRPr="00824D31" w:rsidRDefault="008B2763" w:rsidP="008F16D6">
            <w:pPr>
              <w:ind w:firstLine="30"/>
            </w:pPr>
            <w:r w:rsidRPr="00824D31">
              <w:t>Коттеджи (дома индивидуальные повышенной комфортности с применением качественных материалов, большой площади, наличием систем (как локальных, так и централизованных) инженерного обеспечения, расположенные в однородной среде, в престижных местах)</w:t>
            </w:r>
          </w:p>
        </w:tc>
        <w:tc>
          <w:tcPr>
            <w:tcW w:w="1274" w:type="dxa"/>
            <w:tcBorders>
              <w:top w:val="single" w:sz="4" w:space="0" w:color="auto"/>
              <w:left w:val="single" w:sz="4" w:space="0" w:color="auto"/>
              <w:bottom w:val="single" w:sz="4" w:space="0" w:color="auto"/>
              <w:right w:val="single" w:sz="4" w:space="0" w:color="auto"/>
            </w:tcBorders>
            <w:vAlign w:val="bottom"/>
            <w:hideMark/>
          </w:tcPr>
          <w:p w14:paraId="04C7B293" w14:textId="77777777" w:rsidR="008B2763" w:rsidRPr="00824D31" w:rsidRDefault="008B2763" w:rsidP="00AA2A17">
            <w:pPr>
              <w:ind w:left="43" w:firstLine="0"/>
              <w:jc w:val="center"/>
            </w:pPr>
            <w:r w:rsidRPr="00824D31">
              <w:t>128</w:t>
            </w:r>
          </w:p>
        </w:tc>
        <w:tc>
          <w:tcPr>
            <w:tcW w:w="992" w:type="dxa"/>
            <w:tcBorders>
              <w:top w:val="single" w:sz="4" w:space="0" w:color="auto"/>
              <w:left w:val="single" w:sz="4" w:space="0" w:color="auto"/>
              <w:bottom w:val="single" w:sz="4" w:space="0" w:color="auto"/>
              <w:right w:val="single" w:sz="4" w:space="0" w:color="auto"/>
            </w:tcBorders>
            <w:vAlign w:val="bottom"/>
            <w:hideMark/>
          </w:tcPr>
          <w:p w14:paraId="7C1A6014" w14:textId="77777777" w:rsidR="008B2763" w:rsidRPr="00824D31" w:rsidRDefault="008B2763" w:rsidP="00AA2A17">
            <w:pPr>
              <w:ind w:left="-100" w:firstLine="0"/>
              <w:jc w:val="center"/>
            </w:pPr>
            <w:r w:rsidRPr="00824D31">
              <w:t>0,04%</w:t>
            </w:r>
          </w:p>
        </w:tc>
      </w:tr>
      <w:tr w:rsidR="008B2763" w:rsidRPr="00824D31" w14:paraId="739D2D98" w14:textId="77777777" w:rsidTr="008B2763">
        <w:trPr>
          <w:cantSplit/>
          <w:trHeight w:val="20"/>
        </w:trPr>
        <w:tc>
          <w:tcPr>
            <w:tcW w:w="1696" w:type="dxa"/>
            <w:vMerge/>
            <w:tcBorders>
              <w:left w:val="single" w:sz="4" w:space="0" w:color="auto"/>
              <w:right w:val="single" w:sz="4" w:space="0" w:color="auto"/>
            </w:tcBorders>
            <w:vAlign w:val="center"/>
            <w:hideMark/>
          </w:tcPr>
          <w:p w14:paraId="5A4C65AE" w14:textId="77777777" w:rsidR="008B2763" w:rsidRPr="00824D31" w:rsidRDefault="008B2763" w:rsidP="008F16D6">
            <w:pPr>
              <w:ind w:firstLine="30"/>
            </w:pPr>
          </w:p>
        </w:tc>
        <w:tc>
          <w:tcPr>
            <w:tcW w:w="1276" w:type="dxa"/>
            <w:tcBorders>
              <w:top w:val="single" w:sz="4" w:space="0" w:color="auto"/>
              <w:left w:val="single" w:sz="4" w:space="0" w:color="auto"/>
              <w:bottom w:val="single" w:sz="4" w:space="0" w:color="auto"/>
              <w:right w:val="single" w:sz="4" w:space="0" w:color="auto"/>
            </w:tcBorders>
            <w:hideMark/>
          </w:tcPr>
          <w:p w14:paraId="3FE5AEC2" w14:textId="77777777" w:rsidR="008B2763" w:rsidRPr="00824D31" w:rsidRDefault="008B2763" w:rsidP="008F16D6">
            <w:pPr>
              <w:ind w:firstLine="30"/>
            </w:pPr>
            <w:r w:rsidRPr="00824D31">
              <w:t>0205</w:t>
            </w:r>
          </w:p>
        </w:tc>
        <w:tc>
          <w:tcPr>
            <w:tcW w:w="4107" w:type="dxa"/>
            <w:tcBorders>
              <w:top w:val="single" w:sz="4" w:space="0" w:color="auto"/>
              <w:left w:val="single" w:sz="4" w:space="0" w:color="auto"/>
              <w:bottom w:val="single" w:sz="4" w:space="0" w:color="auto"/>
              <w:right w:val="single" w:sz="4" w:space="0" w:color="auto"/>
            </w:tcBorders>
            <w:vAlign w:val="center"/>
            <w:hideMark/>
          </w:tcPr>
          <w:p w14:paraId="696E2D8D" w14:textId="77777777" w:rsidR="008B2763" w:rsidRPr="00824D31" w:rsidRDefault="008B2763" w:rsidP="008F16D6">
            <w:pPr>
              <w:ind w:firstLine="30"/>
            </w:pPr>
            <w:r w:rsidRPr="00824D31">
              <w:t>Многоквартирные дома (малоэтажной жилой застройки)</w:t>
            </w:r>
          </w:p>
        </w:tc>
        <w:tc>
          <w:tcPr>
            <w:tcW w:w="1274" w:type="dxa"/>
            <w:tcBorders>
              <w:top w:val="single" w:sz="4" w:space="0" w:color="auto"/>
              <w:left w:val="single" w:sz="4" w:space="0" w:color="auto"/>
              <w:bottom w:val="single" w:sz="4" w:space="0" w:color="auto"/>
              <w:right w:val="single" w:sz="4" w:space="0" w:color="auto"/>
            </w:tcBorders>
            <w:vAlign w:val="bottom"/>
            <w:hideMark/>
          </w:tcPr>
          <w:p w14:paraId="42D67BB3" w14:textId="4AAD333E" w:rsidR="008B2763" w:rsidRPr="00824D31" w:rsidRDefault="008B2763" w:rsidP="00AA2A17">
            <w:pPr>
              <w:ind w:left="43" w:firstLine="0"/>
              <w:jc w:val="center"/>
            </w:pPr>
            <w:r>
              <w:t>151878</w:t>
            </w:r>
          </w:p>
        </w:tc>
        <w:tc>
          <w:tcPr>
            <w:tcW w:w="992" w:type="dxa"/>
            <w:tcBorders>
              <w:top w:val="single" w:sz="4" w:space="0" w:color="auto"/>
              <w:left w:val="single" w:sz="4" w:space="0" w:color="auto"/>
              <w:bottom w:val="single" w:sz="4" w:space="0" w:color="auto"/>
              <w:right w:val="single" w:sz="4" w:space="0" w:color="auto"/>
            </w:tcBorders>
            <w:vAlign w:val="bottom"/>
            <w:hideMark/>
          </w:tcPr>
          <w:p w14:paraId="39545712" w14:textId="77777777" w:rsidR="008B2763" w:rsidRPr="00824D31" w:rsidRDefault="008B2763" w:rsidP="00AA2A17">
            <w:pPr>
              <w:ind w:left="-100" w:firstLine="0"/>
              <w:jc w:val="center"/>
            </w:pPr>
            <w:r w:rsidRPr="00824D31">
              <w:t>47,24%</w:t>
            </w:r>
          </w:p>
        </w:tc>
      </w:tr>
      <w:tr w:rsidR="008B2763" w:rsidRPr="00824D31" w14:paraId="5937251C" w14:textId="77777777" w:rsidTr="008B2763">
        <w:trPr>
          <w:cantSplit/>
          <w:trHeight w:val="20"/>
        </w:trPr>
        <w:tc>
          <w:tcPr>
            <w:tcW w:w="1696" w:type="dxa"/>
            <w:vMerge/>
            <w:tcBorders>
              <w:left w:val="single" w:sz="4" w:space="0" w:color="auto"/>
              <w:right w:val="single" w:sz="4" w:space="0" w:color="auto"/>
            </w:tcBorders>
            <w:vAlign w:val="center"/>
            <w:hideMark/>
          </w:tcPr>
          <w:p w14:paraId="6FEB1B2C" w14:textId="77777777" w:rsidR="008B2763" w:rsidRPr="00824D31" w:rsidRDefault="008B2763" w:rsidP="008F16D6">
            <w:pPr>
              <w:ind w:firstLine="30"/>
            </w:pPr>
          </w:p>
        </w:tc>
        <w:tc>
          <w:tcPr>
            <w:tcW w:w="1276" w:type="dxa"/>
            <w:tcBorders>
              <w:top w:val="single" w:sz="4" w:space="0" w:color="auto"/>
              <w:left w:val="single" w:sz="4" w:space="0" w:color="auto"/>
              <w:bottom w:val="single" w:sz="4" w:space="0" w:color="auto"/>
              <w:right w:val="single" w:sz="4" w:space="0" w:color="auto"/>
            </w:tcBorders>
            <w:hideMark/>
          </w:tcPr>
          <w:p w14:paraId="297E6A09" w14:textId="77777777" w:rsidR="008B2763" w:rsidRPr="00824D31" w:rsidRDefault="008B2763" w:rsidP="008F16D6">
            <w:pPr>
              <w:ind w:firstLine="30"/>
            </w:pPr>
            <w:r w:rsidRPr="00824D31">
              <w:t>0206</w:t>
            </w:r>
          </w:p>
        </w:tc>
        <w:tc>
          <w:tcPr>
            <w:tcW w:w="4107" w:type="dxa"/>
            <w:tcBorders>
              <w:top w:val="single" w:sz="4" w:space="0" w:color="auto"/>
              <w:left w:val="single" w:sz="4" w:space="0" w:color="auto"/>
              <w:bottom w:val="single" w:sz="4" w:space="0" w:color="auto"/>
              <w:right w:val="single" w:sz="4" w:space="0" w:color="auto"/>
            </w:tcBorders>
            <w:vAlign w:val="center"/>
            <w:hideMark/>
          </w:tcPr>
          <w:p w14:paraId="71B6A944" w14:textId="77777777" w:rsidR="008B2763" w:rsidRPr="00824D31" w:rsidRDefault="008B2763" w:rsidP="008F16D6">
            <w:pPr>
              <w:ind w:firstLine="30"/>
            </w:pPr>
            <w:r w:rsidRPr="00824D31">
              <w:t>Садовые дома</w:t>
            </w:r>
          </w:p>
        </w:tc>
        <w:tc>
          <w:tcPr>
            <w:tcW w:w="1274" w:type="dxa"/>
            <w:tcBorders>
              <w:top w:val="single" w:sz="4" w:space="0" w:color="auto"/>
              <w:left w:val="single" w:sz="4" w:space="0" w:color="auto"/>
              <w:bottom w:val="single" w:sz="4" w:space="0" w:color="auto"/>
              <w:right w:val="single" w:sz="4" w:space="0" w:color="auto"/>
            </w:tcBorders>
            <w:vAlign w:val="bottom"/>
            <w:hideMark/>
          </w:tcPr>
          <w:p w14:paraId="07889948" w14:textId="77777777" w:rsidR="008B2763" w:rsidRPr="00824D31" w:rsidRDefault="008B2763" w:rsidP="00AA2A17">
            <w:pPr>
              <w:ind w:left="43" w:firstLine="0"/>
              <w:jc w:val="center"/>
            </w:pPr>
            <w:r w:rsidRPr="00824D31">
              <w:t>30731</w:t>
            </w:r>
          </w:p>
        </w:tc>
        <w:tc>
          <w:tcPr>
            <w:tcW w:w="992" w:type="dxa"/>
            <w:tcBorders>
              <w:top w:val="single" w:sz="4" w:space="0" w:color="auto"/>
              <w:left w:val="single" w:sz="4" w:space="0" w:color="auto"/>
              <w:bottom w:val="single" w:sz="4" w:space="0" w:color="auto"/>
              <w:right w:val="single" w:sz="4" w:space="0" w:color="auto"/>
            </w:tcBorders>
            <w:vAlign w:val="bottom"/>
            <w:hideMark/>
          </w:tcPr>
          <w:p w14:paraId="1E6D1123" w14:textId="77777777" w:rsidR="008B2763" w:rsidRPr="00824D31" w:rsidRDefault="008B2763" w:rsidP="00AA2A17">
            <w:pPr>
              <w:ind w:left="-100" w:firstLine="0"/>
              <w:jc w:val="center"/>
            </w:pPr>
            <w:r w:rsidRPr="00824D31">
              <w:t>9,56%</w:t>
            </w:r>
          </w:p>
        </w:tc>
      </w:tr>
      <w:tr w:rsidR="008B2763" w:rsidRPr="00824D31" w14:paraId="6769303B" w14:textId="77777777" w:rsidTr="008B2763">
        <w:trPr>
          <w:cantSplit/>
          <w:trHeight w:val="20"/>
        </w:trPr>
        <w:tc>
          <w:tcPr>
            <w:tcW w:w="1696" w:type="dxa"/>
            <w:vMerge/>
            <w:tcBorders>
              <w:left w:val="single" w:sz="4" w:space="0" w:color="auto"/>
              <w:right w:val="single" w:sz="4" w:space="0" w:color="auto"/>
            </w:tcBorders>
            <w:vAlign w:val="center"/>
            <w:hideMark/>
          </w:tcPr>
          <w:p w14:paraId="33978242" w14:textId="77777777" w:rsidR="008B2763" w:rsidRPr="00824D31" w:rsidRDefault="008B2763" w:rsidP="008F16D6">
            <w:pPr>
              <w:ind w:firstLine="30"/>
            </w:pPr>
          </w:p>
        </w:tc>
        <w:tc>
          <w:tcPr>
            <w:tcW w:w="1276" w:type="dxa"/>
            <w:tcBorders>
              <w:top w:val="single" w:sz="4" w:space="0" w:color="auto"/>
              <w:left w:val="single" w:sz="4" w:space="0" w:color="auto"/>
              <w:bottom w:val="single" w:sz="4" w:space="0" w:color="auto"/>
              <w:right w:val="single" w:sz="4" w:space="0" w:color="auto"/>
            </w:tcBorders>
            <w:hideMark/>
          </w:tcPr>
          <w:p w14:paraId="566CE4B5" w14:textId="77777777" w:rsidR="008B2763" w:rsidRPr="00824D31" w:rsidRDefault="008B2763" w:rsidP="008F16D6">
            <w:pPr>
              <w:ind w:firstLine="30"/>
            </w:pPr>
            <w:r w:rsidRPr="00824D31">
              <w:t>0207</w:t>
            </w:r>
          </w:p>
        </w:tc>
        <w:tc>
          <w:tcPr>
            <w:tcW w:w="4107" w:type="dxa"/>
            <w:tcBorders>
              <w:top w:val="single" w:sz="4" w:space="0" w:color="auto"/>
              <w:left w:val="single" w:sz="4" w:space="0" w:color="auto"/>
              <w:bottom w:val="single" w:sz="4" w:space="0" w:color="auto"/>
              <w:right w:val="single" w:sz="4" w:space="0" w:color="auto"/>
            </w:tcBorders>
            <w:vAlign w:val="center"/>
            <w:hideMark/>
          </w:tcPr>
          <w:p w14:paraId="2A8EDF94" w14:textId="77777777" w:rsidR="008B2763" w:rsidRPr="00824D31" w:rsidRDefault="008B2763" w:rsidP="008F16D6">
            <w:pPr>
              <w:ind w:firstLine="30"/>
            </w:pPr>
            <w:r w:rsidRPr="00824D31">
              <w:t>Туалеты, летние душевые</w:t>
            </w:r>
          </w:p>
        </w:tc>
        <w:tc>
          <w:tcPr>
            <w:tcW w:w="1274" w:type="dxa"/>
            <w:tcBorders>
              <w:top w:val="single" w:sz="4" w:space="0" w:color="auto"/>
              <w:left w:val="single" w:sz="4" w:space="0" w:color="auto"/>
              <w:bottom w:val="single" w:sz="4" w:space="0" w:color="auto"/>
              <w:right w:val="single" w:sz="4" w:space="0" w:color="auto"/>
            </w:tcBorders>
            <w:vAlign w:val="bottom"/>
            <w:hideMark/>
          </w:tcPr>
          <w:p w14:paraId="4623F2DA" w14:textId="77777777" w:rsidR="008B2763" w:rsidRPr="00824D31" w:rsidRDefault="008B2763" w:rsidP="00AA2A17">
            <w:pPr>
              <w:ind w:left="43" w:firstLine="0"/>
              <w:jc w:val="center"/>
            </w:pPr>
            <w:r w:rsidRPr="00824D31">
              <w:t>79</w:t>
            </w:r>
          </w:p>
        </w:tc>
        <w:tc>
          <w:tcPr>
            <w:tcW w:w="992" w:type="dxa"/>
            <w:tcBorders>
              <w:top w:val="single" w:sz="4" w:space="0" w:color="auto"/>
              <w:left w:val="single" w:sz="4" w:space="0" w:color="auto"/>
              <w:bottom w:val="single" w:sz="4" w:space="0" w:color="auto"/>
              <w:right w:val="single" w:sz="4" w:space="0" w:color="auto"/>
            </w:tcBorders>
            <w:vAlign w:val="bottom"/>
            <w:hideMark/>
          </w:tcPr>
          <w:p w14:paraId="6C2876F9" w14:textId="77777777" w:rsidR="008B2763" w:rsidRPr="00824D31" w:rsidRDefault="008B2763" w:rsidP="00AA2A17">
            <w:pPr>
              <w:ind w:left="-100" w:firstLine="0"/>
              <w:jc w:val="center"/>
            </w:pPr>
            <w:r w:rsidRPr="00824D31">
              <w:t>0,02%</w:t>
            </w:r>
          </w:p>
        </w:tc>
      </w:tr>
      <w:tr w:rsidR="008B2763" w:rsidRPr="00824D31" w14:paraId="3D82AA12" w14:textId="77777777" w:rsidTr="008B2763">
        <w:trPr>
          <w:cantSplit/>
          <w:trHeight w:val="20"/>
        </w:trPr>
        <w:tc>
          <w:tcPr>
            <w:tcW w:w="1696" w:type="dxa"/>
            <w:vMerge/>
            <w:tcBorders>
              <w:left w:val="single" w:sz="4" w:space="0" w:color="auto"/>
              <w:bottom w:val="single" w:sz="4" w:space="0" w:color="auto"/>
              <w:right w:val="single" w:sz="4" w:space="0" w:color="auto"/>
            </w:tcBorders>
            <w:vAlign w:val="center"/>
          </w:tcPr>
          <w:p w14:paraId="496C385A" w14:textId="77777777" w:rsidR="008B2763" w:rsidRPr="00824D31" w:rsidRDefault="008B2763" w:rsidP="008F16D6">
            <w:pPr>
              <w:ind w:left="-407"/>
            </w:pPr>
          </w:p>
        </w:tc>
        <w:tc>
          <w:tcPr>
            <w:tcW w:w="1276" w:type="dxa"/>
            <w:tcBorders>
              <w:top w:val="single" w:sz="4" w:space="0" w:color="auto"/>
              <w:left w:val="single" w:sz="4" w:space="0" w:color="auto"/>
              <w:bottom w:val="single" w:sz="4" w:space="0" w:color="auto"/>
              <w:right w:val="single" w:sz="4" w:space="0" w:color="auto"/>
            </w:tcBorders>
            <w:vAlign w:val="center"/>
          </w:tcPr>
          <w:p w14:paraId="57BAA445" w14:textId="77777777" w:rsidR="008B2763" w:rsidRPr="00824D31" w:rsidRDefault="008B2763" w:rsidP="008F16D6">
            <w:pPr>
              <w:ind w:left="-407"/>
            </w:pPr>
          </w:p>
        </w:tc>
        <w:tc>
          <w:tcPr>
            <w:tcW w:w="4107" w:type="dxa"/>
            <w:tcBorders>
              <w:top w:val="single" w:sz="4" w:space="0" w:color="auto"/>
              <w:left w:val="single" w:sz="4" w:space="0" w:color="auto"/>
              <w:bottom w:val="single" w:sz="4" w:space="0" w:color="auto"/>
              <w:right w:val="single" w:sz="4" w:space="0" w:color="auto"/>
            </w:tcBorders>
            <w:vAlign w:val="center"/>
            <w:hideMark/>
          </w:tcPr>
          <w:p w14:paraId="2E3CC129" w14:textId="77777777" w:rsidR="008B2763" w:rsidRPr="00824D31" w:rsidRDefault="008B2763" w:rsidP="008F16D6">
            <w:pPr>
              <w:ind w:left="-407"/>
            </w:pPr>
            <w:r w:rsidRPr="00824D31">
              <w:t>ИТОГО</w:t>
            </w:r>
          </w:p>
        </w:tc>
        <w:tc>
          <w:tcPr>
            <w:tcW w:w="1274" w:type="dxa"/>
            <w:tcBorders>
              <w:top w:val="single" w:sz="4" w:space="0" w:color="auto"/>
              <w:left w:val="single" w:sz="4" w:space="0" w:color="auto"/>
              <w:bottom w:val="single" w:sz="4" w:space="0" w:color="auto"/>
              <w:right w:val="single" w:sz="4" w:space="0" w:color="auto"/>
            </w:tcBorders>
            <w:vAlign w:val="center"/>
            <w:hideMark/>
          </w:tcPr>
          <w:p w14:paraId="6BCB106B" w14:textId="26120991" w:rsidR="008B2763" w:rsidRPr="00824D31" w:rsidRDefault="008B2763" w:rsidP="00AA2A17">
            <w:pPr>
              <w:ind w:left="43" w:firstLine="0"/>
              <w:jc w:val="center"/>
            </w:pPr>
            <w:r w:rsidRPr="00824D31">
              <w:t>321</w:t>
            </w:r>
            <w:r>
              <w:t xml:space="preserve"> 536</w:t>
            </w:r>
          </w:p>
        </w:tc>
        <w:tc>
          <w:tcPr>
            <w:tcW w:w="992" w:type="dxa"/>
            <w:tcBorders>
              <w:top w:val="single" w:sz="4" w:space="0" w:color="auto"/>
              <w:left w:val="single" w:sz="4" w:space="0" w:color="auto"/>
              <w:bottom w:val="single" w:sz="4" w:space="0" w:color="auto"/>
              <w:right w:val="single" w:sz="4" w:space="0" w:color="auto"/>
            </w:tcBorders>
            <w:vAlign w:val="center"/>
            <w:hideMark/>
          </w:tcPr>
          <w:p w14:paraId="6841C07F" w14:textId="4574839F" w:rsidR="008B2763" w:rsidRPr="00824D31" w:rsidRDefault="008B2763" w:rsidP="00AA2A17">
            <w:pPr>
              <w:ind w:left="-100" w:firstLine="0"/>
              <w:jc w:val="center"/>
            </w:pPr>
            <w:r w:rsidRPr="00824D31">
              <w:t>100,00</w:t>
            </w:r>
          </w:p>
        </w:tc>
      </w:tr>
    </w:tbl>
    <w:p w14:paraId="58C33786" w14:textId="77777777" w:rsidR="00EC492E" w:rsidRPr="00824D31" w:rsidRDefault="00EC492E" w:rsidP="00EC492E"/>
    <w:p w14:paraId="5435F85B" w14:textId="77777777" w:rsidR="00EC492E" w:rsidRPr="00824D31" w:rsidRDefault="00EC492E" w:rsidP="00EC492E">
      <w:r w:rsidRPr="00824D31">
        <w:t>Основную часть Объектов рассматриваемой группы составляют «Многоквартирные дома (малоэтажной жилой застройки)» - 47,24% и «Дома индивидуальные» - 42,56%.</w:t>
      </w:r>
    </w:p>
    <w:p w14:paraId="35858B62" w14:textId="77777777" w:rsidR="00EC492E" w:rsidRPr="00824D31" w:rsidRDefault="00EC492E" w:rsidP="00EC492E"/>
    <w:p w14:paraId="5F40FDA6" w14:textId="1D7BC07D" w:rsidR="00EC492E" w:rsidRPr="00824D31" w:rsidRDefault="00EC492E" w:rsidP="00EC492E">
      <w:r w:rsidRPr="00824D31">
        <w:rPr>
          <w:noProof/>
          <w:lang w:eastAsia="ru-RU"/>
        </w:rPr>
        <w:drawing>
          <wp:inline distT="0" distB="0" distL="0" distR="0" wp14:anchorId="4B9F5E26" wp14:editId="6EE68B52">
            <wp:extent cx="5686425" cy="4095750"/>
            <wp:effectExtent l="0" t="0" r="9525" b="0"/>
            <wp:docPr id="4" name="Рисунок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7"/>
                    <pic:cNvPicPr>
                      <a:picLocks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5686425" cy="4095750"/>
                    </a:xfrm>
                    <a:prstGeom prst="rect">
                      <a:avLst/>
                    </a:prstGeom>
                    <a:noFill/>
                    <a:ln>
                      <a:noFill/>
                    </a:ln>
                  </pic:spPr>
                </pic:pic>
              </a:graphicData>
            </a:graphic>
          </wp:inline>
        </w:drawing>
      </w:r>
    </w:p>
    <w:p w14:paraId="5B4FBB58" w14:textId="1BED5692" w:rsidR="00EC492E" w:rsidRPr="00824D31" w:rsidRDefault="00EC492E" w:rsidP="00EC492E">
      <w:r w:rsidRPr="00824D31">
        <w:t xml:space="preserve">Рисунок </w:t>
      </w:r>
      <w:r w:rsidR="00A90944">
        <w:fldChar w:fldCharType="begin"/>
      </w:r>
      <w:r w:rsidR="00A90944">
        <w:instrText xml:space="preserve"> SEQ Рисунок \* ARABIC </w:instrText>
      </w:r>
      <w:r w:rsidR="00A90944">
        <w:fldChar w:fldCharType="separate"/>
      </w:r>
      <w:r w:rsidR="00FD2769">
        <w:rPr>
          <w:noProof/>
        </w:rPr>
        <w:t>60</w:t>
      </w:r>
      <w:r w:rsidR="00A90944">
        <w:rPr>
          <w:noProof/>
        </w:rPr>
        <w:fldChar w:fldCharType="end"/>
      </w:r>
      <w:r w:rsidRPr="00824D31">
        <w:t xml:space="preserve"> Распределение Объектов 2 группы по территории РС (Я) (по муниципальным районам/городским округам)</w:t>
      </w:r>
    </w:p>
    <w:p w14:paraId="1CD30A58" w14:textId="77777777" w:rsidR="00EC492E" w:rsidRPr="00824D31" w:rsidRDefault="00EC492E" w:rsidP="00EC492E"/>
    <w:p w14:paraId="6740909B" w14:textId="643E7A44" w:rsidR="00EC492E" w:rsidRPr="00824D31" w:rsidRDefault="00EC492E" w:rsidP="00763AD2">
      <w:pPr>
        <w:pStyle w:val="afffffff0"/>
        <w:rPr>
          <w:lang w:val="x-none"/>
        </w:rPr>
      </w:pPr>
      <w:r w:rsidRPr="00824D31">
        <w:t xml:space="preserve">Таблица </w:t>
      </w:r>
      <w:r w:rsidR="00A90944">
        <w:fldChar w:fldCharType="begin"/>
      </w:r>
      <w:r w:rsidR="00A90944">
        <w:instrText xml:space="preserve"> SEQ Таблица \* ARABIC </w:instrText>
      </w:r>
      <w:r w:rsidR="00A90944">
        <w:fldChar w:fldCharType="separate"/>
      </w:r>
      <w:r w:rsidR="00FD2769">
        <w:rPr>
          <w:noProof/>
        </w:rPr>
        <w:t>34</w:t>
      </w:r>
      <w:r w:rsidR="00A90944">
        <w:rPr>
          <w:noProof/>
        </w:rPr>
        <w:fldChar w:fldCharType="end"/>
      </w:r>
      <w:r w:rsidRPr="00824D31">
        <w:t xml:space="preserve"> Распределение Объектов оценки в рамках группы 1 Многоквартирные дома (дома средне- и многоэтажной застройки) по МО/ГО</w:t>
      </w:r>
    </w:p>
    <w:tbl>
      <w:tblPr>
        <w:tblW w:w="88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81"/>
        <w:gridCol w:w="3964"/>
        <w:gridCol w:w="1985"/>
        <w:gridCol w:w="1984"/>
      </w:tblGrid>
      <w:tr w:rsidR="00EC492E" w:rsidRPr="009E18B2" w14:paraId="1F183F9B" w14:textId="77777777" w:rsidTr="009407A0">
        <w:trPr>
          <w:trHeight w:val="345"/>
          <w:tblHeader/>
          <w:jc w:val="center"/>
        </w:trPr>
        <w:tc>
          <w:tcPr>
            <w:tcW w:w="881" w:type="dxa"/>
            <w:tcBorders>
              <w:top w:val="single" w:sz="4" w:space="0" w:color="auto"/>
              <w:left w:val="single" w:sz="4" w:space="0" w:color="auto"/>
              <w:bottom w:val="single" w:sz="4" w:space="0" w:color="auto"/>
              <w:right w:val="single" w:sz="4" w:space="0" w:color="auto"/>
            </w:tcBorders>
            <w:shd w:val="pct25" w:color="000000" w:fill="auto"/>
            <w:vAlign w:val="center"/>
            <w:hideMark/>
          </w:tcPr>
          <w:p w14:paraId="32F884D1" w14:textId="77777777" w:rsidR="00EC492E" w:rsidRPr="009E18B2" w:rsidRDefault="00EC492E" w:rsidP="009407A0">
            <w:pPr>
              <w:ind w:firstLine="0"/>
              <w:rPr>
                <w:b/>
                <w:i/>
              </w:rPr>
            </w:pPr>
            <w:r w:rsidRPr="009E18B2">
              <w:rPr>
                <w:b/>
                <w:i/>
              </w:rPr>
              <w:t>№ п/п</w:t>
            </w:r>
          </w:p>
        </w:tc>
        <w:tc>
          <w:tcPr>
            <w:tcW w:w="3964" w:type="dxa"/>
            <w:tcBorders>
              <w:top w:val="single" w:sz="4" w:space="0" w:color="auto"/>
              <w:left w:val="single" w:sz="4" w:space="0" w:color="auto"/>
              <w:bottom w:val="single" w:sz="4" w:space="0" w:color="auto"/>
              <w:right w:val="single" w:sz="4" w:space="0" w:color="auto"/>
            </w:tcBorders>
            <w:shd w:val="pct25" w:color="000000" w:fill="auto"/>
            <w:noWrap/>
            <w:vAlign w:val="center"/>
            <w:hideMark/>
          </w:tcPr>
          <w:p w14:paraId="030C1F18" w14:textId="77777777" w:rsidR="00EC492E" w:rsidRPr="009E18B2" w:rsidRDefault="00EC492E" w:rsidP="009E18B2">
            <w:pPr>
              <w:ind w:firstLine="0"/>
              <w:rPr>
                <w:b/>
                <w:i/>
                <w:lang w:val="x-none" w:eastAsia="ru-RU"/>
              </w:rPr>
            </w:pPr>
            <w:r w:rsidRPr="009E18B2">
              <w:rPr>
                <w:b/>
                <w:i/>
              </w:rPr>
              <w:t>Муниципальный район, городской округ</w:t>
            </w:r>
          </w:p>
        </w:tc>
        <w:tc>
          <w:tcPr>
            <w:tcW w:w="1985" w:type="dxa"/>
            <w:tcBorders>
              <w:top w:val="single" w:sz="4" w:space="0" w:color="auto"/>
              <w:left w:val="single" w:sz="4" w:space="0" w:color="auto"/>
              <w:bottom w:val="single" w:sz="4" w:space="0" w:color="auto"/>
              <w:right w:val="single" w:sz="4" w:space="0" w:color="auto"/>
            </w:tcBorders>
            <w:shd w:val="pct25" w:color="000000" w:fill="auto"/>
            <w:noWrap/>
            <w:vAlign w:val="center"/>
            <w:hideMark/>
          </w:tcPr>
          <w:p w14:paraId="0311950B" w14:textId="77777777" w:rsidR="00EC492E" w:rsidRPr="009E18B2" w:rsidRDefault="00EC492E" w:rsidP="009E18B2">
            <w:pPr>
              <w:ind w:firstLine="0"/>
              <w:rPr>
                <w:b/>
                <w:i/>
              </w:rPr>
            </w:pPr>
            <w:r w:rsidRPr="009E18B2">
              <w:rPr>
                <w:b/>
                <w:i/>
              </w:rPr>
              <w:t>Количество</w:t>
            </w:r>
          </w:p>
        </w:tc>
        <w:tc>
          <w:tcPr>
            <w:tcW w:w="1984" w:type="dxa"/>
            <w:tcBorders>
              <w:top w:val="single" w:sz="4" w:space="0" w:color="auto"/>
              <w:left w:val="single" w:sz="4" w:space="0" w:color="auto"/>
              <w:bottom w:val="single" w:sz="4" w:space="0" w:color="auto"/>
              <w:right w:val="single" w:sz="4" w:space="0" w:color="auto"/>
            </w:tcBorders>
            <w:shd w:val="pct25" w:color="000000" w:fill="auto"/>
            <w:noWrap/>
            <w:vAlign w:val="center"/>
            <w:hideMark/>
          </w:tcPr>
          <w:p w14:paraId="548F78C0" w14:textId="77777777" w:rsidR="00EC492E" w:rsidRPr="009E18B2" w:rsidRDefault="00EC492E" w:rsidP="00EC492E">
            <w:pPr>
              <w:rPr>
                <w:b/>
                <w:i/>
              </w:rPr>
            </w:pPr>
            <w:r w:rsidRPr="009E18B2">
              <w:rPr>
                <w:b/>
                <w:i/>
              </w:rPr>
              <w:t>Доля, %</w:t>
            </w:r>
          </w:p>
        </w:tc>
      </w:tr>
      <w:tr w:rsidR="009407A0" w:rsidRPr="00824D31" w14:paraId="6E5DA164" w14:textId="77777777" w:rsidTr="009407A0">
        <w:trPr>
          <w:trHeight w:val="300"/>
          <w:jc w:val="center"/>
        </w:trPr>
        <w:tc>
          <w:tcPr>
            <w:tcW w:w="881" w:type="dxa"/>
            <w:tcBorders>
              <w:top w:val="single" w:sz="4" w:space="0" w:color="auto"/>
              <w:left w:val="single" w:sz="4" w:space="0" w:color="auto"/>
              <w:bottom w:val="single" w:sz="4" w:space="0" w:color="auto"/>
              <w:right w:val="single" w:sz="4" w:space="0" w:color="auto"/>
            </w:tcBorders>
            <w:vAlign w:val="bottom"/>
            <w:hideMark/>
          </w:tcPr>
          <w:p w14:paraId="004CD1B0" w14:textId="77777777" w:rsidR="009407A0" w:rsidRPr="00824D31" w:rsidRDefault="009407A0" w:rsidP="009407A0">
            <w:r w:rsidRPr="00824D31">
              <w:t>1</w:t>
            </w:r>
          </w:p>
        </w:tc>
        <w:tc>
          <w:tcPr>
            <w:tcW w:w="3964" w:type="dxa"/>
            <w:tcBorders>
              <w:top w:val="single" w:sz="4" w:space="0" w:color="auto"/>
              <w:left w:val="single" w:sz="4" w:space="0" w:color="auto"/>
              <w:bottom w:val="single" w:sz="4" w:space="0" w:color="auto"/>
              <w:right w:val="single" w:sz="4" w:space="0" w:color="auto"/>
            </w:tcBorders>
            <w:noWrap/>
            <w:vAlign w:val="bottom"/>
            <w:hideMark/>
          </w:tcPr>
          <w:p w14:paraId="1E14FF24" w14:textId="77777777" w:rsidR="009407A0" w:rsidRPr="00824D31" w:rsidRDefault="009407A0" w:rsidP="009407A0">
            <w:r w:rsidRPr="00824D31">
              <w:t>Булунский</w:t>
            </w:r>
          </w:p>
        </w:tc>
        <w:tc>
          <w:tcPr>
            <w:tcW w:w="1985" w:type="dxa"/>
            <w:tcBorders>
              <w:top w:val="single" w:sz="4" w:space="0" w:color="auto"/>
              <w:left w:val="single" w:sz="4" w:space="0" w:color="auto"/>
              <w:bottom w:val="single" w:sz="4" w:space="0" w:color="auto"/>
              <w:right w:val="single" w:sz="4" w:space="0" w:color="auto"/>
            </w:tcBorders>
            <w:noWrap/>
            <w:vAlign w:val="center"/>
            <w:hideMark/>
          </w:tcPr>
          <w:p w14:paraId="268CD662" w14:textId="5E2EA2A7" w:rsidR="009407A0" w:rsidRPr="00824D31" w:rsidRDefault="009407A0" w:rsidP="009407A0">
            <w:r>
              <w:rPr>
                <w:color w:val="000000"/>
              </w:rPr>
              <w:t>590</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04092859" w14:textId="77777777" w:rsidR="009407A0" w:rsidRPr="00824D31" w:rsidRDefault="009407A0" w:rsidP="009407A0">
            <w:r w:rsidRPr="00824D31">
              <w:t>0,18%</w:t>
            </w:r>
          </w:p>
        </w:tc>
      </w:tr>
      <w:tr w:rsidR="009407A0" w:rsidRPr="00824D31" w14:paraId="4476B254" w14:textId="77777777" w:rsidTr="009407A0">
        <w:trPr>
          <w:trHeight w:val="300"/>
          <w:jc w:val="center"/>
        </w:trPr>
        <w:tc>
          <w:tcPr>
            <w:tcW w:w="881" w:type="dxa"/>
            <w:tcBorders>
              <w:top w:val="single" w:sz="4" w:space="0" w:color="auto"/>
              <w:left w:val="single" w:sz="4" w:space="0" w:color="auto"/>
              <w:bottom w:val="single" w:sz="4" w:space="0" w:color="auto"/>
              <w:right w:val="single" w:sz="4" w:space="0" w:color="auto"/>
            </w:tcBorders>
            <w:vAlign w:val="bottom"/>
            <w:hideMark/>
          </w:tcPr>
          <w:p w14:paraId="190568F9" w14:textId="77777777" w:rsidR="009407A0" w:rsidRPr="00824D31" w:rsidRDefault="009407A0" w:rsidP="009407A0">
            <w:r w:rsidRPr="00824D31">
              <w:t>2</w:t>
            </w:r>
          </w:p>
        </w:tc>
        <w:tc>
          <w:tcPr>
            <w:tcW w:w="3964" w:type="dxa"/>
            <w:tcBorders>
              <w:top w:val="single" w:sz="4" w:space="0" w:color="auto"/>
              <w:left w:val="single" w:sz="4" w:space="0" w:color="auto"/>
              <w:bottom w:val="single" w:sz="4" w:space="0" w:color="auto"/>
              <w:right w:val="single" w:sz="4" w:space="0" w:color="auto"/>
            </w:tcBorders>
            <w:noWrap/>
            <w:vAlign w:val="bottom"/>
            <w:hideMark/>
          </w:tcPr>
          <w:p w14:paraId="7F98E4CE" w14:textId="77777777" w:rsidR="009407A0" w:rsidRPr="00824D31" w:rsidRDefault="009407A0" w:rsidP="009407A0">
            <w:r w:rsidRPr="00824D31">
              <w:t>Анабарский</w:t>
            </w:r>
          </w:p>
        </w:tc>
        <w:tc>
          <w:tcPr>
            <w:tcW w:w="1985" w:type="dxa"/>
            <w:tcBorders>
              <w:top w:val="single" w:sz="4" w:space="0" w:color="auto"/>
              <w:left w:val="single" w:sz="4" w:space="0" w:color="auto"/>
              <w:bottom w:val="single" w:sz="4" w:space="0" w:color="auto"/>
              <w:right w:val="single" w:sz="4" w:space="0" w:color="auto"/>
            </w:tcBorders>
            <w:noWrap/>
            <w:vAlign w:val="center"/>
            <w:hideMark/>
          </w:tcPr>
          <w:p w14:paraId="278EB690" w14:textId="58E35629" w:rsidR="009407A0" w:rsidRPr="00824D31" w:rsidRDefault="009407A0" w:rsidP="009407A0">
            <w:r>
              <w:rPr>
                <w:color w:val="000000"/>
              </w:rPr>
              <w:t>746</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28FE7261" w14:textId="77777777" w:rsidR="009407A0" w:rsidRPr="00824D31" w:rsidRDefault="009407A0" w:rsidP="009407A0">
            <w:r w:rsidRPr="00824D31">
              <w:t>0,23%</w:t>
            </w:r>
          </w:p>
        </w:tc>
      </w:tr>
      <w:tr w:rsidR="009407A0" w:rsidRPr="00824D31" w14:paraId="7EEF32EB" w14:textId="77777777" w:rsidTr="009407A0">
        <w:trPr>
          <w:trHeight w:val="300"/>
          <w:jc w:val="center"/>
        </w:trPr>
        <w:tc>
          <w:tcPr>
            <w:tcW w:w="881" w:type="dxa"/>
            <w:tcBorders>
              <w:top w:val="single" w:sz="4" w:space="0" w:color="auto"/>
              <w:left w:val="single" w:sz="4" w:space="0" w:color="auto"/>
              <w:bottom w:val="single" w:sz="4" w:space="0" w:color="auto"/>
              <w:right w:val="single" w:sz="4" w:space="0" w:color="auto"/>
            </w:tcBorders>
            <w:vAlign w:val="bottom"/>
            <w:hideMark/>
          </w:tcPr>
          <w:p w14:paraId="18A4181C" w14:textId="77777777" w:rsidR="009407A0" w:rsidRPr="00824D31" w:rsidRDefault="009407A0" w:rsidP="009407A0">
            <w:r w:rsidRPr="00824D31">
              <w:t>3</w:t>
            </w:r>
          </w:p>
        </w:tc>
        <w:tc>
          <w:tcPr>
            <w:tcW w:w="3964" w:type="dxa"/>
            <w:tcBorders>
              <w:top w:val="single" w:sz="4" w:space="0" w:color="auto"/>
              <w:left w:val="single" w:sz="4" w:space="0" w:color="auto"/>
              <w:bottom w:val="single" w:sz="4" w:space="0" w:color="auto"/>
              <w:right w:val="single" w:sz="4" w:space="0" w:color="auto"/>
            </w:tcBorders>
            <w:noWrap/>
            <w:vAlign w:val="bottom"/>
            <w:hideMark/>
          </w:tcPr>
          <w:p w14:paraId="6A3DAA9C" w14:textId="77777777" w:rsidR="009407A0" w:rsidRPr="00824D31" w:rsidRDefault="009407A0" w:rsidP="009407A0">
            <w:r w:rsidRPr="00824D31">
              <w:t>Нижнеколымский</w:t>
            </w:r>
          </w:p>
        </w:tc>
        <w:tc>
          <w:tcPr>
            <w:tcW w:w="1985" w:type="dxa"/>
            <w:tcBorders>
              <w:top w:val="single" w:sz="4" w:space="0" w:color="auto"/>
              <w:left w:val="single" w:sz="4" w:space="0" w:color="auto"/>
              <w:bottom w:val="single" w:sz="4" w:space="0" w:color="auto"/>
              <w:right w:val="single" w:sz="4" w:space="0" w:color="auto"/>
            </w:tcBorders>
            <w:noWrap/>
            <w:vAlign w:val="center"/>
            <w:hideMark/>
          </w:tcPr>
          <w:p w14:paraId="5AC7049A" w14:textId="0E9D2004" w:rsidR="009407A0" w:rsidRPr="00824D31" w:rsidRDefault="009407A0" w:rsidP="009407A0">
            <w:r>
              <w:rPr>
                <w:color w:val="000000"/>
              </w:rPr>
              <w:t>781</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2008714C" w14:textId="77777777" w:rsidR="009407A0" w:rsidRPr="00824D31" w:rsidRDefault="009407A0" w:rsidP="009407A0">
            <w:r w:rsidRPr="00824D31">
              <w:t>0,24%</w:t>
            </w:r>
          </w:p>
        </w:tc>
      </w:tr>
      <w:tr w:rsidR="009407A0" w:rsidRPr="00824D31" w14:paraId="1B4C44ED" w14:textId="77777777" w:rsidTr="009407A0">
        <w:trPr>
          <w:trHeight w:val="300"/>
          <w:jc w:val="center"/>
        </w:trPr>
        <w:tc>
          <w:tcPr>
            <w:tcW w:w="881" w:type="dxa"/>
            <w:tcBorders>
              <w:top w:val="single" w:sz="4" w:space="0" w:color="auto"/>
              <w:left w:val="single" w:sz="4" w:space="0" w:color="auto"/>
              <w:bottom w:val="single" w:sz="4" w:space="0" w:color="auto"/>
              <w:right w:val="single" w:sz="4" w:space="0" w:color="auto"/>
            </w:tcBorders>
            <w:vAlign w:val="bottom"/>
            <w:hideMark/>
          </w:tcPr>
          <w:p w14:paraId="3981580F" w14:textId="77777777" w:rsidR="009407A0" w:rsidRPr="00824D31" w:rsidRDefault="009407A0" w:rsidP="009407A0">
            <w:r w:rsidRPr="00824D31">
              <w:t>4</w:t>
            </w:r>
          </w:p>
        </w:tc>
        <w:tc>
          <w:tcPr>
            <w:tcW w:w="3964" w:type="dxa"/>
            <w:tcBorders>
              <w:top w:val="single" w:sz="4" w:space="0" w:color="auto"/>
              <w:left w:val="single" w:sz="4" w:space="0" w:color="auto"/>
              <w:bottom w:val="single" w:sz="4" w:space="0" w:color="auto"/>
              <w:right w:val="single" w:sz="4" w:space="0" w:color="auto"/>
            </w:tcBorders>
            <w:noWrap/>
            <w:vAlign w:val="bottom"/>
            <w:hideMark/>
          </w:tcPr>
          <w:p w14:paraId="321C0680" w14:textId="77777777" w:rsidR="009407A0" w:rsidRPr="00824D31" w:rsidRDefault="009407A0" w:rsidP="009407A0">
            <w:r w:rsidRPr="00824D31">
              <w:t>Аллаиховский</w:t>
            </w:r>
          </w:p>
        </w:tc>
        <w:tc>
          <w:tcPr>
            <w:tcW w:w="1985" w:type="dxa"/>
            <w:tcBorders>
              <w:top w:val="single" w:sz="4" w:space="0" w:color="auto"/>
              <w:left w:val="single" w:sz="4" w:space="0" w:color="auto"/>
              <w:bottom w:val="single" w:sz="4" w:space="0" w:color="auto"/>
              <w:right w:val="single" w:sz="4" w:space="0" w:color="auto"/>
            </w:tcBorders>
            <w:noWrap/>
            <w:vAlign w:val="center"/>
            <w:hideMark/>
          </w:tcPr>
          <w:p w14:paraId="7832282D" w14:textId="40AA6AE3" w:rsidR="009407A0" w:rsidRPr="00824D31" w:rsidRDefault="009407A0" w:rsidP="009407A0">
            <w:r>
              <w:rPr>
                <w:color w:val="000000"/>
              </w:rPr>
              <w:t>853</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373C31B9" w14:textId="77777777" w:rsidR="009407A0" w:rsidRPr="00824D31" w:rsidRDefault="009407A0" w:rsidP="009407A0">
            <w:r w:rsidRPr="00824D31">
              <w:t>0,27%</w:t>
            </w:r>
          </w:p>
        </w:tc>
      </w:tr>
      <w:tr w:rsidR="009407A0" w:rsidRPr="00824D31" w14:paraId="2D2713FC" w14:textId="77777777" w:rsidTr="009407A0">
        <w:trPr>
          <w:trHeight w:val="300"/>
          <w:jc w:val="center"/>
        </w:trPr>
        <w:tc>
          <w:tcPr>
            <w:tcW w:w="881" w:type="dxa"/>
            <w:tcBorders>
              <w:top w:val="single" w:sz="4" w:space="0" w:color="auto"/>
              <w:left w:val="single" w:sz="4" w:space="0" w:color="auto"/>
              <w:bottom w:val="single" w:sz="4" w:space="0" w:color="auto"/>
              <w:right w:val="single" w:sz="4" w:space="0" w:color="auto"/>
            </w:tcBorders>
            <w:vAlign w:val="bottom"/>
            <w:hideMark/>
          </w:tcPr>
          <w:p w14:paraId="57FCECD9" w14:textId="77777777" w:rsidR="009407A0" w:rsidRPr="00824D31" w:rsidRDefault="009407A0" w:rsidP="009407A0">
            <w:r w:rsidRPr="00824D31">
              <w:t>5</w:t>
            </w:r>
          </w:p>
        </w:tc>
        <w:tc>
          <w:tcPr>
            <w:tcW w:w="3964" w:type="dxa"/>
            <w:tcBorders>
              <w:top w:val="single" w:sz="4" w:space="0" w:color="auto"/>
              <w:left w:val="single" w:sz="4" w:space="0" w:color="auto"/>
              <w:bottom w:val="single" w:sz="4" w:space="0" w:color="auto"/>
              <w:right w:val="single" w:sz="4" w:space="0" w:color="auto"/>
            </w:tcBorders>
            <w:noWrap/>
            <w:vAlign w:val="bottom"/>
            <w:hideMark/>
          </w:tcPr>
          <w:p w14:paraId="1D1715E1" w14:textId="77777777" w:rsidR="009407A0" w:rsidRPr="00824D31" w:rsidRDefault="009407A0" w:rsidP="009407A0">
            <w:r w:rsidRPr="00824D31">
              <w:t>Эвено-Бытантайский</w:t>
            </w:r>
          </w:p>
        </w:tc>
        <w:tc>
          <w:tcPr>
            <w:tcW w:w="1985" w:type="dxa"/>
            <w:tcBorders>
              <w:top w:val="single" w:sz="4" w:space="0" w:color="auto"/>
              <w:left w:val="single" w:sz="4" w:space="0" w:color="auto"/>
              <w:bottom w:val="single" w:sz="4" w:space="0" w:color="auto"/>
              <w:right w:val="single" w:sz="4" w:space="0" w:color="auto"/>
            </w:tcBorders>
            <w:noWrap/>
            <w:vAlign w:val="center"/>
            <w:hideMark/>
          </w:tcPr>
          <w:p w14:paraId="19AF1270" w14:textId="19A15EDA" w:rsidR="009407A0" w:rsidRPr="00824D31" w:rsidRDefault="009407A0" w:rsidP="009407A0">
            <w:r>
              <w:rPr>
                <w:color w:val="000000"/>
              </w:rPr>
              <w:t>854</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6C6300EA" w14:textId="77777777" w:rsidR="009407A0" w:rsidRPr="00824D31" w:rsidRDefault="009407A0" w:rsidP="009407A0">
            <w:r w:rsidRPr="00824D31">
              <w:t>0,27%</w:t>
            </w:r>
          </w:p>
        </w:tc>
      </w:tr>
      <w:tr w:rsidR="009407A0" w:rsidRPr="00824D31" w14:paraId="3AA9177B" w14:textId="77777777" w:rsidTr="009407A0">
        <w:trPr>
          <w:trHeight w:val="300"/>
          <w:jc w:val="center"/>
        </w:trPr>
        <w:tc>
          <w:tcPr>
            <w:tcW w:w="881" w:type="dxa"/>
            <w:tcBorders>
              <w:top w:val="single" w:sz="4" w:space="0" w:color="auto"/>
              <w:left w:val="single" w:sz="4" w:space="0" w:color="auto"/>
              <w:bottom w:val="single" w:sz="4" w:space="0" w:color="auto"/>
              <w:right w:val="single" w:sz="4" w:space="0" w:color="auto"/>
            </w:tcBorders>
            <w:vAlign w:val="bottom"/>
            <w:hideMark/>
          </w:tcPr>
          <w:p w14:paraId="4F367181" w14:textId="77777777" w:rsidR="009407A0" w:rsidRPr="00824D31" w:rsidRDefault="009407A0" w:rsidP="009407A0">
            <w:r w:rsidRPr="00824D31">
              <w:t>6</w:t>
            </w:r>
          </w:p>
        </w:tc>
        <w:tc>
          <w:tcPr>
            <w:tcW w:w="3964" w:type="dxa"/>
            <w:tcBorders>
              <w:top w:val="single" w:sz="4" w:space="0" w:color="auto"/>
              <w:left w:val="single" w:sz="4" w:space="0" w:color="auto"/>
              <w:bottom w:val="single" w:sz="4" w:space="0" w:color="auto"/>
              <w:right w:val="single" w:sz="4" w:space="0" w:color="auto"/>
            </w:tcBorders>
            <w:noWrap/>
            <w:vAlign w:val="bottom"/>
            <w:hideMark/>
          </w:tcPr>
          <w:p w14:paraId="76AD3C39" w14:textId="77777777" w:rsidR="009407A0" w:rsidRPr="00824D31" w:rsidRDefault="009407A0" w:rsidP="009407A0">
            <w:r w:rsidRPr="00824D31">
              <w:t>Усть-Янский</w:t>
            </w:r>
          </w:p>
        </w:tc>
        <w:tc>
          <w:tcPr>
            <w:tcW w:w="1985" w:type="dxa"/>
            <w:tcBorders>
              <w:top w:val="single" w:sz="4" w:space="0" w:color="auto"/>
              <w:left w:val="single" w:sz="4" w:space="0" w:color="auto"/>
              <w:bottom w:val="single" w:sz="4" w:space="0" w:color="auto"/>
              <w:right w:val="single" w:sz="4" w:space="0" w:color="auto"/>
            </w:tcBorders>
            <w:noWrap/>
            <w:vAlign w:val="center"/>
            <w:hideMark/>
          </w:tcPr>
          <w:p w14:paraId="6EEC5928" w14:textId="1A5B2FE9" w:rsidR="009407A0" w:rsidRPr="00824D31" w:rsidRDefault="009407A0" w:rsidP="009407A0">
            <w:r>
              <w:rPr>
                <w:color w:val="000000"/>
              </w:rPr>
              <w:t>990</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7C253682" w14:textId="77777777" w:rsidR="009407A0" w:rsidRPr="00824D31" w:rsidRDefault="009407A0" w:rsidP="009407A0">
            <w:r w:rsidRPr="00824D31">
              <w:t>0,31%</w:t>
            </w:r>
          </w:p>
        </w:tc>
      </w:tr>
      <w:tr w:rsidR="009407A0" w:rsidRPr="00824D31" w14:paraId="3D9753A5" w14:textId="77777777" w:rsidTr="009407A0">
        <w:trPr>
          <w:trHeight w:val="300"/>
          <w:jc w:val="center"/>
        </w:trPr>
        <w:tc>
          <w:tcPr>
            <w:tcW w:w="881" w:type="dxa"/>
            <w:tcBorders>
              <w:top w:val="single" w:sz="4" w:space="0" w:color="auto"/>
              <w:left w:val="single" w:sz="4" w:space="0" w:color="auto"/>
              <w:bottom w:val="single" w:sz="4" w:space="0" w:color="auto"/>
              <w:right w:val="single" w:sz="4" w:space="0" w:color="auto"/>
            </w:tcBorders>
            <w:vAlign w:val="bottom"/>
            <w:hideMark/>
          </w:tcPr>
          <w:p w14:paraId="03F6A613" w14:textId="77777777" w:rsidR="009407A0" w:rsidRPr="00824D31" w:rsidRDefault="009407A0" w:rsidP="009407A0">
            <w:r w:rsidRPr="00824D31">
              <w:t>7</w:t>
            </w:r>
          </w:p>
        </w:tc>
        <w:tc>
          <w:tcPr>
            <w:tcW w:w="3964" w:type="dxa"/>
            <w:tcBorders>
              <w:top w:val="single" w:sz="4" w:space="0" w:color="auto"/>
              <w:left w:val="single" w:sz="4" w:space="0" w:color="auto"/>
              <w:bottom w:val="single" w:sz="4" w:space="0" w:color="auto"/>
              <w:right w:val="single" w:sz="4" w:space="0" w:color="auto"/>
            </w:tcBorders>
            <w:noWrap/>
            <w:vAlign w:val="bottom"/>
            <w:hideMark/>
          </w:tcPr>
          <w:p w14:paraId="284DD8F5" w14:textId="77777777" w:rsidR="009407A0" w:rsidRPr="00824D31" w:rsidRDefault="009407A0" w:rsidP="009407A0">
            <w:r w:rsidRPr="00824D31">
              <w:t>Оленекский</w:t>
            </w:r>
          </w:p>
        </w:tc>
        <w:tc>
          <w:tcPr>
            <w:tcW w:w="1985" w:type="dxa"/>
            <w:tcBorders>
              <w:top w:val="single" w:sz="4" w:space="0" w:color="auto"/>
              <w:left w:val="single" w:sz="4" w:space="0" w:color="auto"/>
              <w:bottom w:val="single" w:sz="4" w:space="0" w:color="auto"/>
              <w:right w:val="single" w:sz="4" w:space="0" w:color="auto"/>
            </w:tcBorders>
            <w:noWrap/>
            <w:vAlign w:val="center"/>
            <w:hideMark/>
          </w:tcPr>
          <w:p w14:paraId="4D88EF5E" w14:textId="21B51D15" w:rsidR="009407A0" w:rsidRPr="00824D31" w:rsidRDefault="009407A0" w:rsidP="009407A0">
            <w:r>
              <w:rPr>
                <w:color w:val="000000"/>
              </w:rPr>
              <w:t>1118</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1953C41D" w14:textId="77777777" w:rsidR="009407A0" w:rsidRPr="00824D31" w:rsidRDefault="009407A0" w:rsidP="009407A0">
            <w:r w:rsidRPr="00824D31">
              <w:t>0,35%</w:t>
            </w:r>
          </w:p>
        </w:tc>
      </w:tr>
      <w:tr w:rsidR="009407A0" w:rsidRPr="00824D31" w14:paraId="415D4F4F" w14:textId="77777777" w:rsidTr="009407A0">
        <w:trPr>
          <w:trHeight w:val="300"/>
          <w:jc w:val="center"/>
        </w:trPr>
        <w:tc>
          <w:tcPr>
            <w:tcW w:w="881" w:type="dxa"/>
            <w:tcBorders>
              <w:top w:val="single" w:sz="4" w:space="0" w:color="auto"/>
              <w:left w:val="single" w:sz="4" w:space="0" w:color="auto"/>
              <w:bottom w:val="single" w:sz="4" w:space="0" w:color="auto"/>
              <w:right w:val="single" w:sz="4" w:space="0" w:color="auto"/>
            </w:tcBorders>
            <w:vAlign w:val="bottom"/>
            <w:hideMark/>
          </w:tcPr>
          <w:p w14:paraId="7170A2E0" w14:textId="77777777" w:rsidR="009407A0" w:rsidRPr="00824D31" w:rsidRDefault="009407A0" w:rsidP="009407A0">
            <w:r w:rsidRPr="00824D31">
              <w:t>8</w:t>
            </w:r>
          </w:p>
        </w:tc>
        <w:tc>
          <w:tcPr>
            <w:tcW w:w="3964" w:type="dxa"/>
            <w:tcBorders>
              <w:top w:val="single" w:sz="4" w:space="0" w:color="auto"/>
              <w:left w:val="single" w:sz="4" w:space="0" w:color="auto"/>
              <w:bottom w:val="single" w:sz="4" w:space="0" w:color="auto"/>
              <w:right w:val="single" w:sz="4" w:space="0" w:color="auto"/>
            </w:tcBorders>
            <w:noWrap/>
            <w:vAlign w:val="bottom"/>
            <w:hideMark/>
          </w:tcPr>
          <w:p w14:paraId="09256596" w14:textId="77777777" w:rsidR="009407A0" w:rsidRPr="00824D31" w:rsidRDefault="009407A0" w:rsidP="009407A0">
            <w:r w:rsidRPr="00824D31">
              <w:t>Абыйский</w:t>
            </w:r>
          </w:p>
        </w:tc>
        <w:tc>
          <w:tcPr>
            <w:tcW w:w="1985" w:type="dxa"/>
            <w:tcBorders>
              <w:top w:val="single" w:sz="4" w:space="0" w:color="auto"/>
              <w:left w:val="single" w:sz="4" w:space="0" w:color="auto"/>
              <w:bottom w:val="single" w:sz="4" w:space="0" w:color="auto"/>
              <w:right w:val="single" w:sz="4" w:space="0" w:color="auto"/>
            </w:tcBorders>
            <w:noWrap/>
            <w:vAlign w:val="center"/>
            <w:hideMark/>
          </w:tcPr>
          <w:p w14:paraId="7AB6E8DB" w14:textId="1C5783F4" w:rsidR="009407A0" w:rsidRPr="00824D31" w:rsidRDefault="009407A0" w:rsidP="009407A0">
            <w:r>
              <w:rPr>
                <w:color w:val="000000"/>
              </w:rPr>
              <w:t>1419</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561010B2" w14:textId="77777777" w:rsidR="009407A0" w:rsidRPr="00824D31" w:rsidRDefault="009407A0" w:rsidP="009407A0">
            <w:r w:rsidRPr="00824D31">
              <w:t>0,44%</w:t>
            </w:r>
          </w:p>
        </w:tc>
      </w:tr>
      <w:tr w:rsidR="009407A0" w:rsidRPr="00824D31" w14:paraId="52A0AF69" w14:textId="77777777" w:rsidTr="009407A0">
        <w:trPr>
          <w:trHeight w:val="300"/>
          <w:jc w:val="center"/>
        </w:trPr>
        <w:tc>
          <w:tcPr>
            <w:tcW w:w="881" w:type="dxa"/>
            <w:tcBorders>
              <w:top w:val="single" w:sz="4" w:space="0" w:color="auto"/>
              <w:left w:val="single" w:sz="4" w:space="0" w:color="auto"/>
              <w:bottom w:val="single" w:sz="4" w:space="0" w:color="auto"/>
              <w:right w:val="single" w:sz="4" w:space="0" w:color="auto"/>
            </w:tcBorders>
            <w:vAlign w:val="bottom"/>
            <w:hideMark/>
          </w:tcPr>
          <w:p w14:paraId="33B870F4" w14:textId="77777777" w:rsidR="009407A0" w:rsidRPr="00824D31" w:rsidRDefault="009407A0" w:rsidP="009407A0">
            <w:r w:rsidRPr="00824D31">
              <w:t>9</w:t>
            </w:r>
          </w:p>
        </w:tc>
        <w:tc>
          <w:tcPr>
            <w:tcW w:w="3964" w:type="dxa"/>
            <w:tcBorders>
              <w:top w:val="single" w:sz="4" w:space="0" w:color="auto"/>
              <w:left w:val="single" w:sz="4" w:space="0" w:color="auto"/>
              <w:bottom w:val="single" w:sz="4" w:space="0" w:color="auto"/>
              <w:right w:val="single" w:sz="4" w:space="0" w:color="auto"/>
            </w:tcBorders>
            <w:noWrap/>
            <w:vAlign w:val="bottom"/>
            <w:hideMark/>
          </w:tcPr>
          <w:p w14:paraId="45D1FFA8" w14:textId="77777777" w:rsidR="009407A0" w:rsidRPr="00824D31" w:rsidRDefault="009407A0" w:rsidP="009407A0">
            <w:r w:rsidRPr="00824D31">
              <w:t>Момский</w:t>
            </w:r>
          </w:p>
        </w:tc>
        <w:tc>
          <w:tcPr>
            <w:tcW w:w="1985" w:type="dxa"/>
            <w:tcBorders>
              <w:top w:val="single" w:sz="4" w:space="0" w:color="auto"/>
              <w:left w:val="single" w:sz="4" w:space="0" w:color="auto"/>
              <w:bottom w:val="single" w:sz="4" w:space="0" w:color="auto"/>
              <w:right w:val="single" w:sz="4" w:space="0" w:color="auto"/>
            </w:tcBorders>
            <w:noWrap/>
            <w:vAlign w:val="center"/>
            <w:hideMark/>
          </w:tcPr>
          <w:p w14:paraId="2449A0A8" w14:textId="69E58CBE" w:rsidR="009407A0" w:rsidRPr="00824D31" w:rsidRDefault="009407A0" w:rsidP="009407A0">
            <w:r>
              <w:rPr>
                <w:color w:val="000000"/>
              </w:rPr>
              <w:t>1562</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37A51197" w14:textId="77777777" w:rsidR="009407A0" w:rsidRPr="00824D31" w:rsidRDefault="009407A0" w:rsidP="009407A0">
            <w:r w:rsidRPr="00824D31">
              <w:t>0,49%</w:t>
            </w:r>
          </w:p>
        </w:tc>
      </w:tr>
      <w:tr w:rsidR="009407A0" w:rsidRPr="00824D31" w14:paraId="255ED829" w14:textId="77777777" w:rsidTr="009407A0">
        <w:trPr>
          <w:trHeight w:val="300"/>
          <w:jc w:val="center"/>
        </w:trPr>
        <w:tc>
          <w:tcPr>
            <w:tcW w:w="881" w:type="dxa"/>
            <w:tcBorders>
              <w:top w:val="single" w:sz="4" w:space="0" w:color="auto"/>
              <w:left w:val="single" w:sz="4" w:space="0" w:color="auto"/>
              <w:bottom w:val="single" w:sz="4" w:space="0" w:color="auto"/>
              <w:right w:val="single" w:sz="4" w:space="0" w:color="auto"/>
            </w:tcBorders>
            <w:vAlign w:val="bottom"/>
            <w:hideMark/>
          </w:tcPr>
          <w:p w14:paraId="79763C03" w14:textId="77777777" w:rsidR="009407A0" w:rsidRPr="00824D31" w:rsidRDefault="009407A0" w:rsidP="009407A0">
            <w:r w:rsidRPr="00824D31">
              <w:t>10</w:t>
            </w:r>
          </w:p>
        </w:tc>
        <w:tc>
          <w:tcPr>
            <w:tcW w:w="3964" w:type="dxa"/>
            <w:tcBorders>
              <w:top w:val="single" w:sz="4" w:space="0" w:color="auto"/>
              <w:left w:val="single" w:sz="4" w:space="0" w:color="auto"/>
              <w:bottom w:val="single" w:sz="4" w:space="0" w:color="auto"/>
              <w:right w:val="single" w:sz="4" w:space="0" w:color="auto"/>
            </w:tcBorders>
            <w:noWrap/>
            <w:vAlign w:val="bottom"/>
            <w:hideMark/>
          </w:tcPr>
          <w:p w14:paraId="47E93C5F" w14:textId="77777777" w:rsidR="009407A0" w:rsidRPr="00824D31" w:rsidRDefault="009407A0" w:rsidP="009407A0">
            <w:r w:rsidRPr="00824D31">
              <w:t>Жиганский</w:t>
            </w:r>
          </w:p>
        </w:tc>
        <w:tc>
          <w:tcPr>
            <w:tcW w:w="1985" w:type="dxa"/>
            <w:tcBorders>
              <w:top w:val="single" w:sz="4" w:space="0" w:color="auto"/>
              <w:left w:val="single" w:sz="4" w:space="0" w:color="auto"/>
              <w:bottom w:val="single" w:sz="4" w:space="0" w:color="auto"/>
              <w:right w:val="single" w:sz="4" w:space="0" w:color="auto"/>
            </w:tcBorders>
            <w:noWrap/>
            <w:vAlign w:val="center"/>
            <w:hideMark/>
          </w:tcPr>
          <w:p w14:paraId="59BDD6F6" w14:textId="316312E0" w:rsidR="009407A0" w:rsidRPr="00824D31" w:rsidRDefault="009407A0" w:rsidP="009407A0">
            <w:r>
              <w:rPr>
                <w:color w:val="000000"/>
              </w:rPr>
              <w:t>1918</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62EC7C06" w14:textId="77777777" w:rsidR="009407A0" w:rsidRPr="00824D31" w:rsidRDefault="009407A0" w:rsidP="009407A0">
            <w:r w:rsidRPr="00824D31">
              <w:t>0,60%</w:t>
            </w:r>
          </w:p>
        </w:tc>
      </w:tr>
      <w:tr w:rsidR="009407A0" w:rsidRPr="00824D31" w14:paraId="550ED87A" w14:textId="77777777" w:rsidTr="009407A0">
        <w:trPr>
          <w:trHeight w:val="300"/>
          <w:jc w:val="center"/>
        </w:trPr>
        <w:tc>
          <w:tcPr>
            <w:tcW w:w="881" w:type="dxa"/>
            <w:tcBorders>
              <w:top w:val="single" w:sz="4" w:space="0" w:color="auto"/>
              <w:left w:val="single" w:sz="4" w:space="0" w:color="auto"/>
              <w:bottom w:val="single" w:sz="4" w:space="0" w:color="auto"/>
              <w:right w:val="single" w:sz="4" w:space="0" w:color="auto"/>
            </w:tcBorders>
            <w:vAlign w:val="bottom"/>
            <w:hideMark/>
          </w:tcPr>
          <w:p w14:paraId="4297588A" w14:textId="77777777" w:rsidR="009407A0" w:rsidRPr="00824D31" w:rsidRDefault="009407A0" w:rsidP="009407A0">
            <w:r w:rsidRPr="00824D31">
              <w:t>11</w:t>
            </w:r>
          </w:p>
        </w:tc>
        <w:tc>
          <w:tcPr>
            <w:tcW w:w="3964" w:type="dxa"/>
            <w:tcBorders>
              <w:top w:val="single" w:sz="4" w:space="0" w:color="auto"/>
              <w:left w:val="single" w:sz="4" w:space="0" w:color="auto"/>
              <w:bottom w:val="single" w:sz="4" w:space="0" w:color="auto"/>
              <w:right w:val="single" w:sz="4" w:space="0" w:color="auto"/>
            </w:tcBorders>
            <w:noWrap/>
            <w:vAlign w:val="bottom"/>
            <w:hideMark/>
          </w:tcPr>
          <w:p w14:paraId="432C7016" w14:textId="77777777" w:rsidR="009407A0" w:rsidRPr="00824D31" w:rsidRDefault="009407A0" w:rsidP="009407A0">
            <w:r w:rsidRPr="00824D31">
              <w:t>Верхнеколымский</w:t>
            </w:r>
          </w:p>
        </w:tc>
        <w:tc>
          <w:tcPr>
            <w:tcW w:w="1985" w:type="dxa"/>
            <w:tcBorders>
              <w:top w:val="single" w:sz="4" w:space="0" w:color="auto"/>
              <w:left w:val="single" w:sz="4" w:space="0" w:color="auto"/>
              <w:bottom w:val="single" w:sz="4" w:space="0" w:color="auto"/>
              <w:right w:val="single" w:sz="4" w:space="0" w:color="auto"/>
            </w:tcBorders>
            <w:noWrap/>
            <w:vAlign w:val="center"/>
            <w:hideMark/>
          </w:tcPr>
          <w:p w14:paraId="1AD4E08C" w14:textId="355A8E03" w:rsidR="009407A0" w:rsidRPr="00824D31" w:rsidRDefault="009407A0" w:rsidP="009407A0">
            <w:r>
              <w:rPr>
                <w:color w:val="000000"/>
              </w:rPr>
              <w:t>2197</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73B72B8E" w14:textId="77777777" w:rsidR="009407A0" w:rsidRPr="00824D31" w:rsidRDefault="009407A0" w:rsidP="009407A0">
            <w:r w:rsidRPr="00824D31">
              <w:t>0,68%</w:t>
            </w:r>
          </w:p>
        </w:tc>
      </w:tr>
      <w:tr w:rsidR="009407A0" w:rsidRPr="00824D31" w14:paraId="30A6EAC1" w14:textId="77777777" w:rsidTr="009407A0">
        <w:trPr>
          <w:trHeight w:val="300"/>
          <w:jc w:val="center"/>
        </w:trPr>
        <w:tc>
          <w:tcPr>
            <w:tcW w:w="881" w:type="dxa"/>
            <w:tcBorders>
              <w:top w:val="single" w:sz="4" w:space="0" w:color="auto"/>
              <w:left w:val="single" w:sz="4" w:space="0" w:color="auto"/>
              <w:bottom w:val="single" w:sz="4" w:space="0" w:color="auto"/>
              <w:right w:val="single" w:sz="4" w:space="0" w:color="auto"/>
            </w:tcBorders>
            <w:vAlign w:val="bottom"/>
            <w:hideMark/>
          </w:tcPr>
          <w:p w14:paraId="35939DC2" w14:textId="77777777" w:rsidR="009407A0" w:rsidRPr="00824D31" w:rsidRDefault="009407A0" w:rsidP="009407A0">
            <w:r w:rsidRPr="00824D31">
              <w:t>12</w:t>
            </w:r>
          </w:p>
        </w:tc>
        <w:tc>
          <w:tcPr>
            <w:tcW w:w="3964" w:type="dxa"/>
            <w:tcBorders>
              <w:top w:val="single" w:sz="4" w:space="0" w:color="auto"/>
              <w:left w:val="single" w:sz="4" w:space="0" w:color="auto"/>
              <w:bottom w:val="single" w:sz="4" w:space="0" w:color="auto"/>
              <w:right w:val="single" w:sz="4" w:space="0" w:color="auto"/>
            </w:tcBorders>
            <w:noWrap/>
            <w:vAlign w:val="bottom"/>
            <w:hideMark/>
          </w:tcPr>
          <w:p w14:paraId="7B17E25B" w14:textId="77777777" w:rsidR="009407A0" w:rsidRPr="00824D31" w:rsidRDefault="009407A0" w:rsidP="009407A0">
            <w:r w:rsidRPr="00824D31">
              <w:t>Среднеколымский</w:t>
            </w:r>
          </w:p>
        </w:tc>
        <w:tc>
          <w:tcPr>
            <w:tcW w:w="1985" w:type="dxa"/>
            <w:tcBorders>
              <w:top w:val="single" w:sz="4" w:space="0" w:color="auto"/>
              <w:left w:val="single" w:sz="4" w:space="0" w:color="auto"/>
              <w:bottom w:val="single" w:sz="4" w:space="0" w:color="auto"/>
              <w:right w:val="single" w:sz="4" w:space="0" w:color="auto"/>
            </w:tcBorders>
            <w:noWrap/>
            <w:vAlign w:val="center"/>
            <w:hideMark/>
          </w:tcPr>
          <w:p w14:paraId="5E53B6D1" w14:textId="15A1DFA6" w:rsidR="009407A0" w:rsidRPr="00824D31" w:rsidRDefault="009407A0" w:rsidP="009407A0">
            <w:r>
              <w:rPr>
                <w:color w:val="000000"/>
              </w:rPr>
              <w:t>2715</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4C995035" w14:textId="77777777" w:rsidR="009407A0" w:rsidRPr="00824D31" w:rsidRDefault="009407A0" w:rsidP="009407A0">
            <w:r w:rsidRPr="00824D31">
              <w:t>0,84%</w:t>
            </w:r>
          </w:p>
        </w:tc>
      </w:tr>
      <w:tr w:rsidR="009407A0" w:rsidRPr="00824D31" w14:paraId="0E8709AC" w14:textId="77777777" w:rsidTr="009407A0">
        <w:trPr>
          <w:trHeight w:val="300"/>
          <w:jc w:val="center"/>
        </w:trPr>
        <w:tc>
          <w:tcPr>
            <w:tcW w:w="881" w:type="dxa"/>
            <w:tcBorders>
              <w:top w:val="single" w:sz="4" w:space="0" w:color="auto"/>
              <w:left w:val="single" w:sz="4" w:space="0" w:color="auto"/>
              <w:bottom w:val="single" w:sz="4" w:space="0" w:color="auto"/>
              <w:right w:val="single" w:sz="4" w:space="0" w:color="auto"/>
            </w:tcBorders>
            <w:vAlign w:val="bottom"/>
            <w:hideMark/>
          </w:tcPr>
          <w:p w14:paraId="0E88BE5D" w14:textId="77777777" w:rsidR="009407A0" w:rsidRPr="00824D31" w:rsidRDefault="009407A0" w:rsidP="009407A0">
            <w:r w:rsidRPr="00824D31">
              <w:t>13</w:t>
            </w:r>
          </w:p>
        </w:tc>
        <w:tc>
          <w:tcPr>
            <w:tcW w:w="3964" w:type="dxa"/>
            <w:tcBorders>
              <w:top w:val="single" w:sz="4" w:space="0" w:color="auto"/>
              <w:left w:val="single" w:sz="4" w:space="0" w:color="auto"/>
              <w:bottom w:val="single" w:sz="4" w:space="0" w:color="auto"/>
              <w:right w:val="single" w:sz="4" w:space="0" w:color="auto"/>
            </w:tcBorders>
            <w:noWrap/>
            <w:vAlign w:val="bottom"/>
            <w:hideMark/>
          </w:tcPr>
          <w:p w14:paraId="2EFBBDDE" w14:textId="77777777" w:rsidR="009407A0" w:rsidRPr="00824D31" w:rsidRDefault="009407A0" w:rsidP="009407A0">
            <w:r w:rsidRPr="00824D31">
              <w:t>ГО Жатай</w:t>
            </w:r>
          </w:p>
        </w:tc>
        <w:tc>
          <w:tcPr>
            <w:tcW w:w="1985" w:type="dxa"/>
            <w:tcBorders>
              <w:top w:val="single" w:sz="4" w:space="0" w:color="auto"/>
              <w:left w:val="single" w:sz="4" w:space="0" w:color="auto"/>
              <w:bottom w:val="single" w:sz="4" w:space="0" w:color="auto"/>
              <w:right w:val="single" w:sz="4" w:space="0" w:color="auto"/>
            </w:tcBorders>
            <w:noWrap/>
            <w:vAlign w:val="center"/>
            <w:hideMark/>
          </w:tcPr>
          <w:p w14:paraId="0AAFBD73" w14:textId="6D15E907" w:rsidR="009407A0" w:rsidRPr="00824D31" w:rsidRDefault="009407A0" w:rsidP="009407A0">
            <w:r>
              <w:rPr>
                <w:color w:val="000000"/>
              </w:rPr>
              <w:t>2893</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1303A96A" w14:textId="77777777" w:rsidR="009407A0" w:rsidRPr="00824D31" w:rsidRDefault="009407A0" w:rsidP="009407A0">
            <w:r w:rsidRPr="00824D31">
              <w:t>0,90%</w:t>
            </w:r>
          </w:p>
        </w:tc>
      </w:tr>
      <w:tr w:rsidR="009407A0" w:rsidRPr="00824D31" w14:paraId="607D0F51" w14:textId="77777777" w:rsidTr="009407A0">
        <w:trPr>
          <w:trHeight w:val="300"/>
          <w:jc w:val="center"/>
        </w:trPr>
        <w:tc>
          <w:tcPr>
            <w:tcW w:w="881" w:type="dxa"/>
            <w:tcBorders>
              <w:top w:val="single" w:sz="4" w:space="0" w:color="auto"/>
              <w:left w:val="single" w:sz="4" w:space="0" w:color="auto"/>
              <w:bottom w:val="single" w:sz="4" w:space="0" w:color="auto"/>
              <w:right w:val="single" w:sz="4" w:space="0" w:color="auto"/>
            </w:tcBorders>
            <w:vAlign w:val="bottom"/>
            <w:hideMark/>
          </w:tcPr>
          <w:p w14:paraId="6D8ACDDE" w14:textId="77777777" w:rsidR="009407A0" w:rsidRPr="00824D31" w:rsidRDefault="009407A0" w:rsidP="009407A0">
            <w:r w:rsidRPr="00824D31">
              <w:t>14</w:t>
            </w:r>
          </w:p>
        </w:tc>
        <w:tc>
          <w:tcPr>
            <w:tcW w:w="3964" w:type="dxa"/>
            <w:tcBorders>
              <w:top w:val="single" w:sz="4" w:space="0" w:color="auto"/>
              <w:left w:val="single" w:sz="4" w:space="0" w:color="auto"/>
              <w:bottom w:val="single" w:sz="4" w:space="0" w:color="auto"/>
              <w:right w:val="single" w:sz="4" w:space="0" w:color="auto"/>
            </w:tcBorders>
            <w:noWrap/>
            <w:vAlign w:val="bottom"/>
            <w:hideMark/>
          </w:tcPr>
          <w:p w14:paraId="0108BB4F" w14:textId="77777777" w:rsidR="009407A0" w:rsidRPr="00824D31" w:rsidRDefault="009407A0" w:rsidP="009407A0">
            <w:r w:rsidRPr="00824D31">
              <w:t>Горный</w:t>
            </w:r>
          </w:p>
        </w:tc>
        <w:tc>
          <w:tcPr>
            <w:tcW w:w="1985" w:type="dxa"/>
            <w:tcBorders>
              <w:top w:val="single" w:sz="4" w:space="0" w:color="auto"/>
              <w:left w:val="single" w:sz="4" w:space="0" w:color="auto"/>
              <w:bottom w:val="single" w:sz="4" w:space="0" w:color="auto"/>
              <w:right w:val="single" w:sz="4" w:space="0" w:color="auto"/>
            </w:tcBorders>
            <w:noWrap/>
            <w:vAlign w:val="center"/>
            <w:hideMark/>
          </w:tcPr>
          <w:p w14:paraId="47066A57" w14:textId="2F393EA7" w:rsidR="009407A0" w:rsidRPr="00824D31" w:rsidRDefault="009407A0" w:rsidP="009407A0">
            <w:r>
              <w:rPr>
                <w:color w:val="000000"/>
              </w:rPr>
              <w:t>4058</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5C2A5EA0" w14:textId="77777777" w:rsidR="009407A0" w:rsidRPr="00824D31" w:rsidRDefault="009407A0" w:rsidP="009407A0">
            <w:r w:rsidRPr="00824D31">
              <w:t>1,26%</w:t>
            </w:r>
          </w:p>
        </w:tc>
      </w:tr>
      <w:tr w:rsidR="009407A0" w:rsidRPr="00824D31" w14:paraId="2F5E1EE1" w14:textId="77777777" w:rsidTr="009407A0">
        <w:trPr>
          <w:trHeight w:val="300"/>
          <w:jc w:val="center"/>
        </w:trPr>
        <w:tc>
          <w:tcPr>
            <w:tcW w:w="881" w:type="dxa"/>
            <w:tcBorders>
              <w:top w:val="single" w:sz="4" w:space="0" w:color="auto"/>
              <w:left w:val="single" w:sz="4" w:space="0" w:color="auto"/>
              <w:bottom w:val="single" w:sz="4" w:space="0" w:color="auto"/>
              <w:right w:val="single" w:sz="4" w:space="0" w:color="auto"/>
            </w:tcBorders>
            <w:vAlign w:val="bottom"/>
            <w:hideMark/>
          </w:tcPr>
          <w:p w14:paraId="38C1858C" w14:textId="77777777" w:rsidR="009407A0" w:rsidRPr="00824D31" w:rsidRDefault="009407A0" w:rsidP="009407A0">
            <w:r w:rsidRPr="00824D31">
              <w:t>15</w:t>
            </w:r>
          </w:p>
        </w:tc>
        <w:tc>
          <w:tcPr>
            <w:tcW w:w="3964" w:type="dxa"/>
            <w:tcBorders>
              <w:top w:val="single" w:sz="4" w:space="0" w:color="auto"/>
              <w:left w:val="single" w:sz="4" w:space="0" w:color="auto"/>
              <w:bottom w:val="single" w:sz="4" w:space="0" w:color="auto"/>
              <w:right w:val="single" w:sz="4" w:space="0" w:color="auto"/>
            </w:tcBorders>
            <w:noWrap/>
            <w:vAlign w:val="bottom"/>
            <w:hideMark/>
          </w:tcPr>
          <w:p w14:paraId="732D0DA5" w14:textId="77777777" w:rsidR="009407A0" w:rsidRPr="00824D31" w:rsidRDefault="009407A0" w:rsidP="009407A0">
            <w:r w:rsidRPr="00824D31">
              <w:t>Усть-Майский</w:t>
            </w:r>
          </w:p>
        </w:tc>
        <w:tc>
          <w:tcPr>
            <w:tcW w:w="1985" w:type="dxa"/>
            <w:tcBorders>
              <w:top w:val="single" w:sz="4" w:space="0" w:color="auto"/>
              <w:left w:val="single" w:sz="4" w:space="0" w:color="auto"/>
              <w:bottom w:val="single" w:sz="4" w:space="0" w:color="auto"/>
              <w:right w:val="single" w:sz="4" w:space="0" w:color="auto"/>
            </w:tcBorders>
            <w:noWrap/>
            <w:vAlign w:val="center"/>
            <w:hideMark/>
          </w:tcPr>
          <w:p w14:paraId="22715F37" w14:textId="2D8FF548" w:rsidR="009407A0" w:rsidRPr="00824D31" w:rsidRDefault="009407A0" w:rsidP="009407A0">
            <w:r>
              <w:rPr>
                <w:color w:val="000000"/>
              </w:rPr>
              <w:t>4436</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725E8696" w14:textId="77777777" w:rsidR="009407A0" w:rsidRPr="00824D31" w:rsidRDefault="009407A0" w:rsidP="009407A0">
            <w:r w:rsidRPr="00824D31">
              <w:t>1,38%</w:t>
            </w:r>
          </w:p>
        </w:tc>
      </w:tr>
      <w:tr w:rsidR="009407A0" w:rsidRPr="00824D31" w14:paraId="2C14FCEC" w14:textId="77777777" w:rsidTr="009407A0">
        <w:trPr>
          <w:trHeight w:val="300"/>
          <w:jc w:val="center"/>
        </w:trPr>
        <w:tc>
          <w:tcPr>
            <w:tcW w:w="881" w:type="dxa"/>
            <w:tcBorders>
              <w:top w:val="single" w:sz="4" w:space="0" w:color="auto"/>
              <w:left w:val="single" w:sz="4" w:space="0" w:color="auto"/>
              <w:bottom w:val="single" w:sz="4" w:space="0" w:color="auto"/>
              <w:right w:val="single" w:sz="4" w:space="0" w:color="auto"/>
            </w:tcBorders>
            <w:vAlign w:val="bottom"/>
            <w:hideMark/>
          </w:tcPr>
          <w:p w14:paraId="48D37747" w14:textId="77777777" w:rsidR="009407A0" w:rsidRPr="00824D31" w:rsidRDefault="009407A0" w:rsidP="009407A0">
            <w:r w:rsidRPr="00824D31">
              <w:t>16</w:t>
            </w:r>
          </w:p>
        </w:tc>
        <w:tc>
          <w:tcPr>
            <w:tcW w:w="3964" w:type="dxa"/>
            <w:tcBorders>
              <w:top w:val="single" w:sz="4" w:space="0" w:color="auto"/>
              <w:left w:val="single" w:sz="4" w:space="0" w:color="auto"/>
              <w:bottom w:val="single" w:sz="4" w:space="0" w:color="auto"/>
              <w:right w:val="single" w:sz="4" w:space="0" w:color="auto"/>
            </w:tcBorders>
            <w:noWrap/>
            <w:vAlign w:val="bottom"/>
            <w:hideMark/>
          </w:tcPr>
          <w:p w14:paraId="7393BAF4" w14:textId="77777777" w:rsidR="009407A0" w:rsidRPr="00824D31" w:rsidRDefault="009407A0" w:rsidP="009407A0">
            <w:r w:rsidRPr="00824D31">
              <w:t>Оймяконский</w:t>
            </w:r>
          </w:p>
        </w:tc>
        <w:tc>
          <w:tcPr>
            <w:tcW w:w="1985" w:type="dxa"/>
            <w:tcBorders>
              <w:top w:val="single" w:sz="4" w:space="0" w:color="auto"/>
              <w:left w:val="single" w:sz="4" w:space="0" w:color="auto"/>
              <w:bottom w:val="single" w:sz="4" w:space="0" w:color="auto"/>
              <w:right w:val="single" w:sz="4" w:space="0" w:color="auto"/>
            </w:tcBorders>
            <w:noWrap/>
            <w:vAlign w:val="center"/>
            <w:hideMark/>
          </w:tcPr>
          <w:p w14:paraId="05780C85" w14:textId="4D53E2C6" w:rsidR="009407A0" w:rsidRPr="00824D31" w:rsidRDefault="009407A0" w:rsidP="009407A0">
            <w:r>
              <w:rPr>
                <w:color w:val="000000"/>
              </w:rPr>
              <w:t>4895</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6984F0C1" w14:textId="77777777" w:rsidR="009407A0" w:rsidRPr="00824D31" w:rsidRDefault="009407A0" w:rsidP="009407A0">
            <w:r w:rsidRPr="00824D31">
              <w:t>1,52%</w:t>
            </w:r>
          </w:p>
        </w:tc>
      </w:tr>
      <w:tr w:rsidR="009407A0" w:rsidRPr="00824D31" w14:paraId="7E612631" w14:textId="77777777" w:rsidTr="009407A0">
        <w:trPr>
          <w:trHeight w:val="300"/>
          <w:jc w:val="center"/>
        </w:trPr>
        <w:tc>
          <w:tcPr>
            <w:tcW w:w="881" w:type="dxa"/>
            <w:tcBorders>
              <w:top w:val="single" w:sz="4" w:space="0" w:color="auto"/>
              <w:left w:val="single" w:sz="4" w:space="0" w:color="auto"/>
              <w:bottom w:val="single" w:sz="4" w:space="0" w:color="auto"/>
              <w:right w:val="single" w:sz="4" w:space="0" w:color="auto"/>
            </w:tcBorders>
            <w:vAlign w:val="bottom"/>
            <w:hideMark/>
          </w:tcPr>
          <w:p w14:paraId="3C37B749" w14:textId="77777777" w:rsidR="009407A0" w:rsidRPr="00824D31" w:rsidRDefault="009407A0" w:rsidP="009407A0">
            <w:r w:rsidRPr="00824D31">
              <w:t>17</w:t>
            </w:r>
          </w:p>
        </w:tc>
        <w:tc>
          <w:tcPr>
            <w:tcW w:w="3964" w:type="dxa"/>
            <w:tcBorders>
              <w:top w:val="single" w:sz="4" w:space="0" w:color="auto"/>
              <w:left w:val="single" w:sz="4" w:space="0" w:color="auto"/>
              <w:bottom w:val="single" w:sz="4" w:space="0" w:color="auto"/>
              <w:right w:val="single" w:sz="4" w:space="0" w:color="auto"/>
            </w:tcBorders>
            <w:noWrap/>
            <w:vAlign w:val="bottom"/>
            <w:hideMark/>
          </w:tcPr>
          <w:p w14:paraId="407F4549" w14:textId="77777777" w:rsidR="009407A0" w:rsidRPr="00824D31" w:rsidRDefault="009407A0" w:rsidP="009407A0">
            <w:r w:rsidRPr="00824D31">
              <w:t>Таттинский</w:t>
            </w:r>
          </w:p>
        </w:tc>
        <w:tc>
          <w:tcPr>
            <w:tcW w:w="1985" w:type="dxa"/>
            <w:tcBorders>
              <w:top w:val="single" w:sz="4" w:space="0" w:color="auto"/>
              <w:left w:val="single" w:sz="4" w:space="0" w:color="auto"/>
              <w:bottom w:val="single" w:sz="4" w:space="0" w:color="auto"/>
              <w:right w:val="single" w:sz="4" w:space="0" w:color="auto"/>
            </w:tcBorders>
            <w:noWrap/>
            <w:vAlign w:val="center"/>
            <w:hideMark/>
          </w:tcPr>
          <w:p w14:paraId="6D91CC38" w14:textId="0E220272" w:rsidR="009407A0" w:rsidRPr="00824D31" w:rsidRDefault="009407A0" w:rsidP="009407A0">
            <w:r>
              <w:rPr>
                <w:color w:val="000000"/>
              </w:rPr>
              <w:t>5641</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0D548439" w14:textId="77777777" w:rsidR="009407A0" w:rsidRPr="00824D31" w:rsidRDefault="009407A0" w:rsidP="009407A0">
            <w:r w:rsidRPr="00824D31">
              <w:t>1,75%</w:t>
            </w:r>
          </w:p>
        </w:tc>
      </w:tr>
      <w:tr w:rsidR="009407A0" w:rsidRPr="00824D31" w14:paraId="7E1927C7" w14:textId="77777777" w:rsidTr="009407A0">
        <w:trPr>
          <w:trHeight w:val="300"/>
          <w:jc w:val="center"/>
        </w:trPr>
        <w:tc>
          <w:tcPr>
            <w:tcW w:w="881" w:type="dxa"/>
            <w:tcBorders>
              <w:top w:val="single" w:sz="4" w:space="0" w:color="auto"/>
              <w:left w:val="single" w:sz="4" w:space="0" w:color="auto"/>
              <w:bottom w:val="single" w:sz="4" w:space="0" w:color="auto"/>
              <w:right w:val="single" w:sz="4" w:space="0" w:color="auto"/>
            </w:tcBorders>
            <w:vAlign w:val="bottom"/>
            <w:hideMark/>
          </w:tcPr>
          <w:p w14:paraId="70031B70" w14:textId="77777777" w:rsidR="009407A0" w:rsidRPr="00824D31" w:rsidRDefault="009407A0" w:rsidP="009407A0">
            <w:r w:rsidRPr="00824D31">
              <w:t>18</w:t>
            </w:r>
          </w:p>
        </w:tc>
        <w:tc>
          <w:tcPr>
            <w:tcW w:w="3964" w:type="dxa"/>
            <w:tcBorders>
              <w:top w:val="single" w:sz="4" w:space="0" w:color="auto"/>
              <w:left w:val="single" w:sz="4" w:space="0" w:color="auto"/>
              <w:bottom w:val="single" w:sz="4" w:space="0" w:color="auto"/>
              <w:right w:val="single" w:sz="4" w:space="0" w:color="auto"/>
            </w:tcBorders>
            <w:noWrap/>
            <w:vAlign w:val="bottom"/>
            <w:hideMark/>
          </w:tcPr>
          <w:p w14:paraId="4240786C" w14:textId="77777777" w:rsidR="009407A0" w:rsidRPr="00824D31" w:rsidRDefault="009407A0" w:rsidP="009407A0">
            <w:r w:rsidRPr="00824D31">
              <w:t>Верхоянский</w:t>
            </w:r>
          </w:p>
        </w:tc>
        <w:tc>
          <w:tcPr>
            <w:tcW w:w="1985" w:type="dxa"/>
            <w:tcBorders>
              <w:top w:val="single" w:sz="4" w:space="0" w:color="auto"/>
              <w:left w:val="single" w:sz="4" w:space="0" w:color="auto"/>
              <w:bottom w:val="single" w:sz="4" w:space="0" w:color="auto"/>
              <w:right w:val="single" w:sz="4" w:space="0" w:color="auto"/>
            </w:tcBorders>
            <w:noWrap/>
            <w:vAlign w:val="center"/>
            <w:hideMark/>
          </w:tcPr>
          <w:p w14:paraId="3E588DE4" w14:textId="1425E7C3" w:rsidR="009407A0" w:rsidRPr="00824D31" w:rsidRDefault="009407A0" w:rsidP="009407A0">
            <w:r>
              <w:rPr>
                <w:color w:val="000000"/>
              </w:rPr>
              <w:t>6015</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664848AE" w14:textId="77777777" w:rsidR="009407A0" w:rsidRPr="00824D31" w:rsidRDefault="009407A0" w:rsidP="009407A0">
            <w:r w:rsidRPr="00824D31">
              <w:t>1,87%</w:t>
            </w:r>
          </w:p>
        </w:tc>
      </w:tr>
      <w:tr w:rsidR="009407A0" w:rsidRPr="00824D31" w14:paraId="55BD6BA7" w14:textId="77777777" w:rsidTr="009407A0">
        <w:trPr>
          <w:trHeight w:val="300"/>
          <w:jc w:val="center"/>
        </w:trPr>
        <w:tc>
          <w:tcPr>
            <w:tcW w:w="881" w:type="dxa"/>
            <w:tcBorders>
              <w:top w:val="single" w:sz="4" w:space="0" w:color="auto"/>
              <w:left w:val="single" w:sz="4" w:space="0" w:color="auto"/>
              <w:bottom w:val="single" w:sz="4" w:space="0" w:color="auto"/>
              <w:right w:val="single" w:sz="4" w:space="0" w:color="auto"/>
            </w:tcBorders>
            <w:vAlign w:val="bottom"/>
            <w:hideMark/>
          </w:tcPr>
          <w:p w14:paraId="26180511" w14:textId="77777777" w:rsidR="009407A0" w:rsidRPr="00824D31" w:rsidRDefault="009407A0" w:rsidP="009407A0">
            <w:r w:rsidRPr="00824D31">
              <w:t>19</w:t>
            </w:r>
          </w:p>
        </w:tc>
        <w:tc>
          <w:tcPr>
            <w:tcW w:w="3964" w:type="dxa"/>
            <w:tcBorders>
              <w:top w:val="single" w:sz="4" w:space="0" w:color="auto"/>
              <w:left w:val="single" w:sz="4" w:space="0" w:color="auto"/>
              <w:bottom w:val="single" w:sz="4" w:space="0" w:color="auto"/>
              <w:right w:val="single" w:sz="4" w:space="0" w:color="auto"/>
            </w:tcBorders>
            <w:noWrap/>
            <w:vAlign w:val="bottom"/>
            <w:hideMark/>
          </w:tcPr>
          <w:p w14:paraId="028715C0" w14:textId="77777777" w:rsidR="009407A0" w:rsidRPr="00824D31" w:rsidRDefault="009407A0" w:rsidP="009407A0">
            <w:r w:rsidRPr="00824D31">
              <w:t>Амгинский</w:t>
            </w:r>
          </w:p>
        </w:tc>
        <w:tc>
          <w:tcPr>
            <w:tcW w:w="1985" w:type="dxa"/>
            <w:tcBorders>
              <w:top w:val="single" w:sz="4" w:space="0" w:color="auto"/>
              <w:left w:val="single" w:sz="4" w:space="0" w:color="auto"/>
              <w:bottom w:val="single" w:sz="4" w:space="0" w:color="auto"/>
              <w:right w:val="single" w:sz="4" w:space="0" w:color="auto"/>
            </w:tcBorders>
            <w:noWrap/>
            <w:vAlign w:val="center"/>
            <w:hideMark/>
          </w:tcPr>
          <w:p w14:paraId="135A1F8C" w14:textId="572DA12B" w:rsidR="009407A0" w:rsidRPr="00824D31" w:rsidRDefault="009407A0" w:rsidP="009407A0">
            <w:r>
              <w:rPr>
                <w:color w:val="000000"/>
              </w:rPr>
              <w:t>6144</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03790B91" w14:textId="77777777" w:rsidR="009407A0" w:rsidRPr="00824D31" w:rsidRDefault="009407A0" w:rsidP="009407A0">
            <w:r w:rsidRPr="00824D31">
              <w:t>1,91%</w:t>
            </w:r>
          </w:p>
        </w:tc>
      </w:tr>
      <w:tr w:rsidR="009407A0" w:rsidRPr="00824D31" w14:paraId="49676BFB" w14:textId="77777777" w:rsidTr="009407A0">
        <w:trPr>
          <w:trHeight w:val="300"/>
          <w:jc w:val="center"/>
        </w:trPr>
        <w:tc>
          <w:tcPr>
            <w:tcW w:w="881" w:type="dxa"/>
            <w:tcBorders>
              <w:top w:val="single" w:sz="4" w:space="0" w:color="auto"/>
              <w:left w:val="single" w:sz="4" w:space="0" w:color="auto"/>
              <w:bottom w:val="single" w:sz="4" w:space="0" w:color="auto"/>
              <w:right w:val="single" w:sz="4" w:space="0" w:color="auto"/>
            </w:tcBorders>
            <w:vAlign w:val="bottom"/>
            <w:hideMark/>
          </w:tcPr>
          <w:p w14:paraId="5ED7C56D" w14:textId="77777777" w:rsidR="009407A0" w:rsidRPr="00824D31" w:rsidRDefault="009407A0" w:rsidP="009407A0">
            <w:r w:rsidRPr="00824D31">
              <w:t>20</w:t>
            </w:r>
          </w:p>
        </w:tc>
        <w:tc>
          <w:tcPr>
            <w:tcW w:w="3964" w:type="dxa"/>
            <w:tcBorders>
              <w:top w:val="single" w:sz="4" w:space="0" w:color="auto"/>
              <w:left w:val="single" w:sz="4" w:space="0" w:color="auto"/>
              <w:bottom w:val="single" w:sz="4" w:space="0" w:color="auto"/>
              <w:right w:val="single" w:sz="4" w:space="0" w:color="auto"/>
            </w:tcBorders>
            <w:noWrap/>
            <w:vAlign w:val="bottom"/>
            <w:hideMark/>
          </w:tcPr>
          <w:p w14:paraId="16BDC5AF" w14:textId="77777777" w:rsidR="009407A0" w:rsidRPr="00824D31" w:rsidRDefault="009407A0" w:rsidP="009407A0">
            <w:r w:rsidRPr="00824D31">
              <w:t>Кобяйский</w:t>
            </w:r>
          </w:p>
        </w:tc>
        <w:tc>
          <w:tcPr>
            <w:tcW w:w="1985" w:type="dxa"/>
            <w:tcBorders>
              <w:top w:val="single" w:sz="4" w:space="0" w:color="auto"/>
              <w:left w:val="single" w:sz="4" w:space="0" w:color="auto"/>
              <w:bottom w:val="single" w:sz="4" w:space="0" w:color="auto"/>
              <w:right w:val="single" w:sz="4" w:space="0" w:color="auto"/>
            </w:tcBorders>
            <w:noWrap/>
            <w:vAlign w:val="center"/>
            <w:hideMark/>
          </w:tcPr>
          <w:p w14:paraId="0955914F" w14:textId="10EA5D6C" w:rsidR="009407A0" w:rsidRPr="00824D31" w:rsidRDefault="009407A0" w:rsidP="009407A0">
            <w:r>
              <w:rPr>
                <w:color w:val="000000"/>
              </w:rPr>
              <w:t>6575</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32B44929" w14:textId="77777777" w:rsidR="009407A0" w:rsidRPr="00824D31" w:rsidRDefault="009407A0" w:rsidP="009407A0">
            <w:r w:rsidRPr="00824D31">
              <w:t>2,04%</w:t>
            </w:r>
          </w:p>
        </w:tc>
      </w:tr>
      <w:tr w:rsidR="009407A0" w:rsidRPr="00824D31" w14:paraId="761620DB" w14:textId="77777777" w:rsidTr="009407A0">
        <w:trPr>
          <w:trHeight w:val="300"/>
          <w:jc w:val="center"/>
        </w:trPr>
        <w:tc>
          <w:tcPr>
            <w:tcW w:w="881" w:type="dxa"/>
            <w:tcBorders>
              <w:top w:val="single" w:sz="4" w:space="0" w:color="auto"/>
              <w:left w:val="single" w:sz="4" w:space="0" w:color="auto"/>
              <w:bottom w:val="single" w:sz="4" w:space="0" w:color="auto"/>
              <w:right w:val="single" w:sz="4" w:space="0" w:color="auto"/>
            </w:tcBorders>
            <w:vAlign w:val="bottom"/>
            <w:hideMark/>
          </w:tcPr>
          <w:p w14:paraId="1FA65DF8" w14:textId="77777777" w:rsidR="009407A0" w:rsidRPr="00824D31" w:rsidRDefault="009407A0" w:rsidP="009407A0">
            <w:r w:rsidRPr="00824D31">
              <w:t>21</w:t>
            </w:r>
          </w:p>
        </w:tc>
        <w:tc>
          <w:tcPr>
            <w:tcW w:w="3964" w:type="dxa"/>
            <w:tcBorders>
              <w:top w:val="single" w:sz="4" w:space="0" w:color="auto"/>
              <w:left w:val="single" w:sz="4" w:space="0" w:color="auto"/>
              <w:bottom w:val="single" w:sz="4" w:space="0" w:color="auto"/>
              <w:right w:val="single" w:sz="4" w:space="0" w:color="auto"/>
            </w:tcBorders>
            <w:noWrap/>
            <w:vAlign w:val="bottom"/>
            <w:hideMark/>
          </w:tcPr>
          <w:p w14:paraId="4C6FA824" w14:textId="77777777" w:rsidR="009407A0" w:rsidRPr="00824D31" w:rsidRDefault="009407A0" w:rsidP="009407A0">
            <w:r w:rsidRPr="00824D31">
              <w:t>Томпонский</w:t>
            </w:r>
          </w:p>
        </w:tc>
        <w:tc>
          <w:tcPr>
            <w:tcW w:w="1985" w:type="dxa"/>
            <w:tcBorders>
              <w:top w:val="single" w:sz="4" w:space="0" w:color="auto"/>
              <w:left w:val="single" w:sz="4" w:space="0" w:color="auto"/>
              <w:bottom w:val="single" w:sz="4" w:space="0" w:color="auto"/>
              <w:right w:val="single" w:sz="4" w:space="0" w:color="auto"/>
            </w:tcBorders>
            <w:noWrap/>
            <w:vAlign w:val="center"/>
            <w:hideMark/>
          </w:tcPr>
          <w:p w14:paraId="72925DFE" w14:textId="6E6E4757" w:rsidR="009407A0" w:rsidRPr="00824D31" w:rsidRDefault="009407A0" w:rsidP="009407A0">
            <w:r>
              <w:rPr>
                <w:color w:val="000000"/>
              </w:rPr>
              <w:t>6618</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742CCF35" w14:textId="77777777" w:rsidR="009407A0" w:rsidRPr="00824D31" w:rsidRDefault="009407A0" w:rsidP="009407A0">
            <w:r w:rsidRPr="00824D31">
              <w:t>2,06%</w:t>
            </w:r>
          </w:p>
        </w:tc>
      </w:tr>
      <w:tr w:rsidR="009407A0" w:rsidRPr="00824D31" w14:paraId="65E83D62" w14:textId="77777777" w:rsidTr="009407A0">
        <w:trPr>
          <w:trHeight w:val="300"/>
          <w:jc w:val="center"/>
        </w:trPr>
        <w:tc>
          <w:tcPr>
            <w:tcW w:w="881" w:type="dxa"/>
            <w:tcBorders>
              <w:top w:val="single" w:sz="4" w:space="0" w:color="auto"/>
              <w:left w:val="single" w:sz="4" w:space="0" w:color="auto"/>
              <w:bottom w:val="single" w:sz="4" w:space="0" w:color="auto"/>
              <w:right w:val="single" w:sz="4" w:space="0" w:color="auto"/>
            </w:tcBorders>
            <w:vAlign w:val="bottom"/>
            <w:hideMark/>
          </w:tcPr>
          <w:p w14:paraId="49F77475" w14:textId="77777777" w:rsidR="009407A0" w:rsidRPr="00824D31" w:rsidRDefault="009407A0" w:rsidP="009407A0">
            <w:r w:rsidRPr="00824D31">
              <w:t>22</w:t>
            </w:r>
          </w:p>
        </w:tc>
        <w:tc>
          <w:tcPr>
            <w:tcW w:w="3964" w:type="dxa"/>
            <w:tcBorders>
              <w:top w:val="single" w:sz="4" w:space="0" w:color="auto"/>
              <w:left w:val="single" w:sz="4" w:space="0" w:color="auto"/>
              <w:bottom w:val="single" w:sz="4" w:space="0" w:color="auto"/>
              <w:right w:val="single" w:sz="4" w:space="0" w:color="auto"/>
            </w:tcBorders>
            <w:noWrap/>
            <w:vAlign w:val="bottom"/>
            <w:hideMark/>
          </w:tcPr>
          <w:p w14:paraId="353B92EF" w14:textId="77777777" w:rsidR="009407A0" w:rsidRPr="00824D31" w:rsidRDefault="009407A0" w:rsidP="009407A0">
            <w:r w:rsidRPr="00824D31">
              <w:t>Сунтарский</w:t>
            </w:r>
          </w:p>
        </w:tc>
        <w:tc>
          <w:tcPr>
            <w:tcW w:w="1985" w:type="dxa"/>
            <w:tcBorders>
              <w:top w:val="single" w:sz="4" w:space="0" w:color="auto"/>
              <w:left w:val="single" w:sz="4" w:space="0" w:color="auto"/>
              <w:bottom w:val="single" w:sz="4" w:space="0" w:color="auto"/>
              <w:right w:val="single" w:sz="4" w:space="0" w:color="auto"/>
            </w:tcBorders>
            <w:noWrap/>
            <w:vAlign w:val="center"/>
            <w:hideMark/>
          </w:tcPr>
          <w:p w14:paraId="498099EA" w14:textId="6776AC46" w:rsidR="009407A0" w:rsidRPr="00824D31" w:rsidRDefault="009407A0" w:rsidP="009407A0">
            <w:r>
              <w:rPr>
                <w:color w:val="000000"/>
              </w:rPr>
              <w:t>7394</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659D7D99" w14:textId="77777777" w:rsidR="009407A0" w:rsidRPr="00824D31" w:rsidRDefault="009407A0" w:rsidP="009407A0">
            <w:r w:rsidRPr="00824D31">
              <w:t>2,30%</w:t>
            </w:r>
          </w:p>
        </w:tc>
      </w:tr>
      <w:tr w:rsidR="009407A0" w:rsidRPr="00824D31" w14:paraId="7B634FCD" w14:textId="77777777" w:rsidTr="009407A0">
        <w:trPr>
          <w:trHeight w:val="300"/>
          <w:jc w:val="center"/>
        </w:trPr>
        <w:tc>
          <w:tcPr>
            <w:tcW w:w="881" w:type="dxa"/>
            <w:tcBorders>
              <w:top w:val="single" w:sz="4" w:space="0" w:color="auto"/>
              <w:left w:val="single" w:sz="4" w:space="0" w:color="auto"/>
              <w:bottom w:val="single" w:sz="4" w:space="0" w:color="auto"/>
              <w:right w:val="single" w:sz="4" w:space="0" w:color="auto"/>
            </w:tcBorders>
            <w:vAlign w:val="bottom"/>
            <w:hideMark/>
          </w:tcPr>
          <w:p w14:paraId="1987BA89" w14:textId="77777777" w:rsidR="009407A0" w:rsidRPr="00824D31" w:rsidRDefault="009407A0" w:rsidP="009407A0">
            <w:r w:rsidRPr="00824D31">
              <w:t>23</w:t>
            </w:r>
          </w:p>
        </w:tc>
        <w:tc>
          <w:tcPr>
            <w:tcW w:w="3964" w:type="dxa"/>
            <w:tcBorders>
              <w:top w:val="single" w:sz="4" w:space="0" w:color="auto"/>
              <w:left w:val="single" w:sz="4" w:space="0" w:color="auto"/>
              <w:bottom w:val="single" w:sz="4" w:space="0" w:color="auto"/>
              <w:right w:val="single" w:sz="4" w:space="0" w:color="auto"/>
            </w:tcBorders>
            <w:noWrap/>
            <w:vAlign w:val="bottom"/>
            <w:hideMark/>
          </w:tcPr>
          <w:p w14:paraId="070BDCC2" w14:textId="77777777" w:rsidR="009407A0" w:rsidRPr="00824D31" w:rsidRDefault="009407A0" w:rsidP="009407A0">
            <w:r w:rsidRPr="00824D31">
              <w:t>Намский</w:t>
            </w:r>
          </w:p>
        </w:tc>
        <w:tc>
          <w:tcPr>
            <w:tcW w:w="1985" w:type="dxa"/>
            <w:tcBorders>
              <w:top w:val="single" w:sz="4" w:space="0" w:color="auto"/>
              <w:left w:val="single" w:sz="4" w:space="0" w:color="auto"/>
              <w:bottom w:val="single" w:sz="4" w:space="0" w:color="auto"/>
              <w:right w:val="single" w:sz="4" w:space="0" w:color="auto"/>
            </w:tcBorders>
            <w:noWrap/>
            <w:vAlign w:val="center"/>
            <w:hideMark/>
          </w:tcPr>
          <w:p w14:paraId="6D20C0C9" w14:textId="19E38A5E" w:rsidR="009407A0" w:rsidRPr="00824D31" w:rsidRDefault="009407A0" w:rsidP="009407A0">
            <w:r>
              <w:rPr>
                <w:color w:val="000000"/>
              </w:rPr>
              <w:t>7734</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1C90D5B5" w14:textId="77777777" w:rsidR="009407A0" w:rsidRPr="00824D31" w:rsidRDefault="009407A0" w:rsidP="009407A0">
            <w:r w:rsidRPr="00824D31">
              <w:t>2,41%</w:t>
            </w:r>
          </w:p>
        </w:tc>
      </w:tr>
      <w:tr w:rsidR="009407A0" w:rsidRPr="00824D31" w14:paraId="0741719B" w14:textId="77777777" w:rsidTr="009407A0">
        <w:trPr>
          <w:trHeight w:val="300"/>
          <w:jc w:val="center"/>
        </w:trPr>
        <w:tc>
          <w:tcPr>
            <w:tcW w:w="881" w:type="dxa"/>
            <w:tcBorders>
              <w:top w:val="single" w:sz="4" w:space="0" w:color="auto"/>
              <w:left w:val="single" w:sz="4" w:space="0" w:color="auto"/>
              <w:bottom w:val="single" w:sz="4" w:space="0" w:color="auto"/>
              <w:right w:val="single" w:sz="4" w:space="0" w:color="auto"/>
            </w:tcBorders>
            <w:vAlign w:val="bottom"/>
            <w:hideMark/>
          </w:tcPr>
          <w:p w14:paraId="2BF95D84" w14:textId="77777777" w:rsidR="009407A0" w:rsidRPr="00824D31" w:rsidRDefault="009407A0" w:rsidP="009407A0">
            <w:r w:rsidRPr="00824D31">
              <w:t>24</w:t>
            </w:r>
          </w:p>
        </w:tc>
        <w:tc>
          <w:tcPr>
            <w:tcW w:w="3964" w:type="dxa"/>
            <w:tcBorders>
              <w:top w:val="single" w:sz="4" w:space="0" w:color="auto"/>
              <w:left w:val="single" w:sz="4" w:space="0" w:color="auto"/>
              <w:bottom w:val="single" w:sz="4" w:space="0" w:color="auto"/>
              <w:right w:val="single" w:sz="4" w:space="0" w:color="auto"/>
            </w:tcBorders>
            <w:noWrap/>
            <w:vAlign w:val="bottom"/>
            <w:hideMark/>
          </w:tcPr>
          <w:p w14:paraId="1885561D" w14:textId="77777777" w:rsidR="009407A0" w:rsidRPr="00824D31" w:rsidRDefault="009407A0" w:rsidP="009407A0">
            <w:r w:rsidRPr="00824D31">
              <w:t>Олекминский</w:t>
            </w:r>
          </w:p>
        </w:tc>
        <w:tc>
          <w:tcPr>
            <w:tcW w:w="1985" w:type="dxa"/>
            <w:tcBorders>
              <w:top w:val="single" w:sz="4" w:space="0" w:color="auto"/>
              <w:left w:val="single" w:sz="4" w:space="0" w:color="auto"/>
              <w:bottom w:val="single" w:sz="4" w:space="0" w:color="auto"/>
              <w:right w:val="single" w:sz="4" w:space="0" w:color="auto"/>
            </w:tcBorders>
            <w:noWrap/>
            <w:vAlign w:val="center"/>
            <w:hideMark/>
          </w:tcPr>
          <w:p w14:paraId="4E45631C" w14:textId="33EBCE8C" w:rsidR="009407A0" w:rsidRPr="00824D31" w:rsidRDefault="009407A0" w:rsidP="009407A0">
            <w:r>
              <w:rPr>
                <w:color w:val="000000"/>
              </w:rPr>
              <w:t>8117</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56F81B70" w14:textId="77777777" w:rsidR="009407A0" w:rsidRPr="00824D31" w:rsidRDefault="009407A0" w:rsidP="009407A0">
            <w:r w:rsidRPr="00824D31">
              <w:t>2,52%</w:t>
            </w:r>
          </w:p>
        </w:tc>
      </w:tr>
      <w:tr w:rsidR="009407A0" w:rsidRPr="00824D31" w14:paraId="3A0649AC" w14:textId="77777777" w:rsidTr="009407A0">
        <w:trPr>
          <w:trHeight w:val="300"/>
          <w:jc w:val="center"/>
        </w:trPr>
        <w:tc>
          <w:tcPr>
            <w:tcW w:w="881" w:type="dxa"/>
            <w:tcBorders>
              <w:top w:val="single" w:sz="4" w:space="0" w:color="auto"/>
              <w:left w:val="single" w:sz="4" w:space="0" w:color="auto"/>
              <w:bottom w:val="single" w:sz="4" w:space="0" w:color="auto"/>
              <w:right w:val="single" w:sz="4" w:space="0" w:color="auto"/>
            </w:tcBorders>
            <w:vAlign w:val="bottom"/>
            <w:hideMark/>
          </w:tcPr>
          <w:p w14:paraId="74AFF995" w14:textId="77777777" w:rsidR="009407A0" w:rsidRPr="00824D31" w:rsidRDefault="009407A0" w:rsidP="009407A0">
            <w:r w:rsidRPr="00824D31">
              <w:t>25</w:t>
            </w:r>
          </w:p>
        </w:tc>
        <w:tc>
          <w:tcPr>
            <w:tcW w:w="3964" w:type="dxa"/>
            <w:tcBorders>
              <w:top w:val="single" w:sz="4" w:space="0" w:color="auto"/>
              <w:left w:val="single" w:sz="4" w:space="0" w:color="auto"/>
              <w:bottom w:val="single" w:sz="4" w:space="0" w:color="auto"/>
              <w:right w:val="single" w:sz="4" w:space="0" w:color="auto"/>
            </w:tcBorders>
            <w:noWrap/>
            <w:vAlign w:val="bottom"/>
            <w:hideMark/>
          </w:tcPr>
          <w:p w14:paraId="1E06C4C3" w14:textId="77777777" w:rsidR="009407A0" w:rsidRPr="00824D31" w:rsidRDefault="009407A0" w:rsidP="009407A0">
            <w:r w:rsidRPr="00824D31">
              <w:t>Усть-Алданский</w:t>
            </w:r>
          </w:p>
        </w:tc>
        <w:tc>
          <w:tcPr>
            <w:tcW w:w="1985" w:type="dxa"/>
            <w:tcBorders>
              <w:top w:val="single" w:sz="4" w:space="0" w:color="auto"/>
              <w:left w:val="single" w:sz="4" w:space="0" w:color="auto"/>
              <w:bottom w:val="single" w:sz="4" w:space="0" w:color="auto"/>
              <w:right w:val="single" w:sz="4" w:space="0" w:color="auto"/>
            </w:tcBorders>
            <w:noWrap/>
            <w:vAlign w:val="center"/>
            <w:hideMark/>
          </w:tcPr>
          <w:p w14:paraId="04B73B98" w14:textId="09BCBFD9" w:rsidR="009407A0" w:rsidRPr="00824D31" w:rsidRDefault="009407A0" w:rsidP="009407A0">
            <w:r>
              <w:rPr>
                <w:color w:val="000000"/>
              </w:rPr>
              <w:t>8607</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0475E607" w14:textId="77777777" w:rsidR="009407A0" w:rsidRPr="00824D31" w:rsidRDefault="009407A0" w:rsidP="009407A0">
            <w:r w:rsidRPr="00824D31">
              <w:t>2,68%</w:t>
            </w:r>
          </w:p>
        </w:tc>
      </w:tr>
      <w:tr w:rsidR="009407A0" w:rsidRPr="00824D31" w14:paraId="1BB8B310" w14:textId="77777777" w:rsidTr="009407A0">
        <w:trPr>
          <w:trHeight w:val="300"/>
          <w:jc w:val="center"/>
        </w:trPr>
        <w:tc>
          <w:tcPr>
            <w:tcW w:w="881" w:type="dxa"/>
            <w:tcBorders>
              <w:top w:val="single" w:sz="4" w:space="0" w:color="auto"/>
              <w:left w:val="single" w:sz="4" w:space="0" w:color="auto"/>
              <w:bottom w:val="single" w:sz="4" w:space="0" w:color="auto"/>
              <w:right w:val="single" w:sz="4" w:space="0" w:color="auto"/>
            </w:tcBorders>
            <w:vAlign w:val="bottom"/>
            <w:hideMark/>
          </w:tcPr>
          <w:p w14:paraId="1E452EFE" w14:textId="77777777" w:rsidR="009407A0" w:rsidRPr="00824D31" w:rsidRDefault="009407A0" w:rsidP="009407A0">
            <w:r w:rsidRPr="00824D31">
              <w:t>26</w:t>
            </w:r>
          </w:p>
        </w:tc>
        <w:tc>
          <w:tcPr>
            <w:tcW w:w="3964" w:type="dxa"/>
            <w:tcBorders>
              <w:top w:val="single" w:sz="4" w:space="0" w:color="auto"/>
              <w:left w:val="single" w:sz="4" w:space="0" w:color="auto"/>
              <w:bottom w:val="single" w:sz="4" w:space="0" w:color="auto"/>
              <w:right w:val="single" w:sz="4" w:space="0" w:color="auto"/>
            </w:tcBorders>
            <w:noWrap/>
            <w:vAlign w:val="bottom"/>
            <w:hideMark/>
          </w:tcPr>
          <w:p w14:paraId="5F288224" w14:textId="77777777" w:rsidR="009407A0" w:rsidRPr="00824D31" w:rsidRDefault="009407A0" w:rsidP="009407A0">
            <w:r w:rsidRPr="00824D31">
              <w:t>Верхневилюйский</w:t>
            </w:r>
          </w:p>
        </w:tc>
        <w:tc>
          <w:tcPr>
            <w:tcW w:w="1985" w:type="dxa"/>
            <w:tcBorders>
              <w:top w:val="single" w:sz="4" w:space="0" w:color="auto"/>
              <w:left w:val="single" w:sz="4" w:space="0" w:color="auto"/>
              <w:bottom w:val="single" w:sz="4" w:space="0" w:color="auto"/>
              <w:right w:val="single" w:sz="4" w:space="0" w:color="auto"/>
            </w:tcBorders>
            <w:noWrap/>
            <w:vAlign w:val="center"/>
            <w:hideMark/>
          </w:tcPr>
          <w:p w14:paraId="30157DF0" w14:textId="31BFE3B7" w:rsidR="009407A0" w:rsidRPr="00824D31" w:rsidRDefault="009407A0" w:rsidP="009407A0">
            <w:r>
              <w:rPr>
                <w:color w:val="000000"/>
              </w:rPr>
              <w:t>8705</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438D3861" w14:textId="77777777" w:rsidR="009407A0" w:rsidRPr="00824D31" w:rsidRDefault="009407A0" w:rsidP="009407A0">
            <w:r w:rsidRPr="00824D31">
              <w:t>2,71%</w:t>
            </w:r>
          </w:p>
        </w:tc>
      </w:tr>
      <w:tr w:rsidR="009407A0" w:rsidRPr="00824D31" w14:paraId="299DDF88" w14:textId="77777777" w:rsidTr="009407A0">
        <w:trPr>
          <w:trHeight w:val="300"/>
          <w:jc w:val="center"/>
        </w:trPr>
        <w:tc>
          <w:tcPr>
            <w:tcW w:w="881" w:type="dxa"/>
            <w:tcBorders>
              <w:top w:val="single" w:sz="4" w:space="0" w:color="auto"/>
              <w:left w:val="single" w:sz="4" w:space="0" w:color="auto"/>
              <w:bottom w:val="single" w:sz="4" w:space="0" w:color="auto"/>
              <w:right w:val="single" w:sz="4" w:space="0" w:color="auto"/>
            </w:tcBorders>
            <w:vAlign w:val="bottom"/>
            <w:hideMark/>
          </w:tcPr>
          <w:p w14:paraId="17BA2DC7" w14:textId="77777777" w:rsidR="009407A0" w:rsidRPr="00824D31" w:rsidRDefault="009407A0" w:rsidP="009407A0">
            <w:r w:rsidRPr="00824D31">
              <w:t>27</w:t>
            </w:r>
          </w:p>
        </w:tc>
        <w:tc>
          <w:tcPr>
            <w:tcW w:w="3964" w:type="dxa"/>
            <w:tcBorders>
              <w:top w:val="single" w:sz="4" w:space="0" w:color="auto"/>
              <w:left w:val="single" w:sz="4" w:space="0" w:color="auto"/>
              <w:bottom w:val="single" w:sz="4" w:space="0" w:color="auto"/>
              <w:right w:val="single" w:sz="4" w:space="0" w:color="auto"/>
            </w:tcBorders>
            <w:noWrap/>
            <w:vAlign w:val="bottom"/>
            <w:hideMark/>
          </w:tcPr>
          <w:p w14:paraId="5C7AF146" w14:textId="77777777" w:rsidR="009407A0" w:rsidRPr="00824D31" w:rsidRDefault="009407A0" w:rsidP="009407A0">
            <w:r w:rsidRPr="00824D31">
              <w:t>Чурапчинский</w:t>
            </w:r>
          </w:p>
        </w:tc>
        <w:tc>
          <w:tcPr>
            <w:tcW w:w="1985" w:type="dxa"/>
            <w:tcBorders>
              <w:top w:val="single" w:sz="4" w:space="0" w:color="auto"/>
              <w:left w:val="single" w:sz="4" w:space="0" w:color="auto"/>
              <w:bottom w:val="single" w:sz="4" w:space="0" w:color="auto"/>
              <w:right w:val="single" w:sz="4" w:space="0" w:color="auto"/>
            </w:tcBorders>
            <w:noWrap/>
            <w:vAlign w:val="center"/>
            <w:hideMark/>
          </w:tcPr>
          <w:p w14:paraId="7386FD4B" w14:textId="086A9AF8" w:rsidR="009407A0" w:rsidRPr="00824D31" w:rsidRDefault="009407A0" w:rsidP="009407A0">
            <w:r>
              <w:rPr>
                <w:color w:val="000000"/>
              </w:rPr>
              <w:t>9346</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1CB0118C" w14:textId="77777777" w:rsidR="009407A0" w:rsidRPr="00824D31" w:rsidRDefault="009407A0" w:rsidP="009407A0">
            <w:r w:rsidRPr="00824D31">
              <w:t>2,91%</w:t>
            </w:r>
          </w:p>
        </w:tc>
      </w:tr>
      <w:tr w:rsidR="009407A0" w:rsidRPr="00824D31" w14:paraId="1265DCC3" w14:textId="77777777" w:rsidTr="009407A0">
        <w:trPr>
          <w:trHeight w:val="300"/>
          <w:jc w:val="center"/>
        </w:trPr>
        <w:tc>
          <w:tcPr>
            <w:tcW w:w="881" w:type="dxa"/>
            <w:tcBorders>
              <w:top w:val="single" w:sz="4" w:space="0" w:color="auto"/>
              <w:left w:val="single" w:sz="4" w:space="0" w:color="auto"/>
              <w:bottom w:val="single" w:sz="4" w:space="0" w:color="auto"/>
              <w:right w:val="single" w:sz="4" w:space="0" w:color="auto"/>
            </w:tcBorders>
            <w:vAlign w:val="bottom"/>
            <w:hideMark/>
          </w:tcPr>
          <w:p w14:paraId="28953CAC" w14:textId="77777777" w:rsidR="009407A0" w:rsidRPr="00824D31" w:rsidRDefault="009407A0" w:rsidP="009407A0">
            <w:r w:rsidRPr="00824D31">
              <w:t>28</w:t>
            </w:r>
          </w:p>
        </w:tc>
        <w:tc>
          <w:tcPr>
            <w:tcW w:w="3964" w:type="dxa"/>
            <w:tcBorders>
              <w:top w:val="single" w:sz="4" w:space="0" w:color="auto"/>
              <w:left w:val="single" w:sz="4" w:space="0" w:color="auto"/>
              <w:bottom w:val="single" w:sz="4" w:space="0" w:color="auto"/>
              <w:right w:val="single" w:sz="4" w:space="0" w:color="auto"/>
            </w:tcBorders>
            <w:noWrap/>
            <w:vAlign w:val="bottom"/>
            <w:hideMark/>
          </w:tcPr>
          <w:p w14:paraId="00456B47" w14:textId="77777777" w:rsidR="009407A0" w:rsidRPr="00824D31" w:rsidRDefault="009407A0" w:rsidP="009407A0">
            <w:r w:rsidRPr="00824D31">
              <w:t>Нерюнгринский</w:t>
            </w:r>
          </w:p>
        </w:tc>
        <w:tc>
          <w:tcPr>
            <w:tcW w:w="1985" w:type="dxa"/>
            <w:tcBorders>
              <w:top w:val="single" w:sz="4" w:space="0" w:color="auto"/>
              <w:left w:val="single" w:sz="4" w:space="0" w:color="auto"/>
              <w:bottom w:val="single" w:sz="4" w:space="0" w:color="auto"/>
              <w:right w:val="single" w:sz="4" w:space="0" w:color="auto"/>
            </w:tcBorders>
            <w:noWrap/>
            <w:vAlign w:val="center"/>
            <w:hideMark/>
          </w:tcPr>
          <w:p w14:paraId="02313FA4" w14:textId="169B7AEC" w:rsidR="009407A0" w:rsidRPr="00824D31" w:rsidRDefault="009407A0" w:rsidP="009407A0">
            <w:r>
              <w:rPr>
                <w:color w:val="000000"/>
              </w:rPr>
              <w:t>10930</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36631693" w14:textId="77777777" w:rsidR="009407A0" w:rsidRPr="00824D31" w:rsidRDefault="009407A0" w:rsidP="009407A0">
            <w:r w:rsidRPr="00824D31">
              <w:t>3,40%</w:t>
            </w:r>
          </w:p>
        </w:tc>
      </w:tr>
      <w:tr w:rsidR="009407A0" w:rsidRPr="00824D31" w14:paraId="1C272A16" w14:textId="77777777" w:rsidTr="009407A0">
        <w:trPr>
          <w:trHeight w:val="300"/>
          <w:jc w:val="center"/>
        </w:trPr>
        <w:tc>
          <w:tcPr>
            <w:tcW w:w="881" w:type="dxa"/>
            <w:tcBorders>
              <w:top w:val="single" w:sz="4" w:space="0" w:color="auto"/>
              <w:left w:val="single" w:sz="4" w:space="0" w:color="auto"/>
              <w:bottom w:val="single" w:sz="4" w:space="0" w:color="auto"/>
              <w:right w:val="single" w:sz="4" w:space="0" w:color="auto"/>
            </w:tcBorders>
            <w:vAlign w:val="bottom"/>
            <w:hideMark/>
          </w:tcPr>
          <w:p w14:paraId="68D2D072" w14:textId="77777777" w:rsidR="009407A0" w:rsidRPr="00824D31" w:rsidRDefault="009407A0" w:rsidP="009407A0">
            <w:r w:rsidRPr="00824D31">
              <w:t>29</w:t>
            </w:r>
          </w:p>
        </w:tc>
        <w:tc>
          <w:tcPr>
            <w:tcW w:w="3964" w:type="dxa"/>
            <w:tcBorders>
              <w:top w:val="single" w:sz="4" w:space="0" w:color="auto"/>
              <w:left w:val="single" w:sz="4" w:space="0" w:color="auto"/>
              <w:bottom w:val="single" w:sz="4" w:space="0" w:color="auto"/>
              <w:right w:val="single" w:sz="4" w:space="0" w:color="auto"/>
            </w:tcBorders>
            <w:noWrap/>
            <w:vAlign w:val="bottom"/>
            <w:hideMark/>
          </w:tcPr>
          <w:p w14:paraId="7A939AAC" w14:textId="77777777" w:rsidR="009407A0" w:rsidRPr="00824D31" w:rsidRDefault="009407A0" w:rsidP="009407A0">
            <w:r w:rsidRPr="00824D31">
              <w:t>Вилюйский</w:t>
            </w:r>
          </w:p>
        </w:tc>
        <w:tc>
          <w:tcPr>
            <w:tcW w:w="1985" w:type="dxa"/>
            <w:tcBorders>
              <w:top w:val="single" w:sz="4" w:space="0" w:color="auto"/>
              <w:left w:val="single" w:sz="4" w:space="0" w:color="auto"/>
              <w:bottom w:val="single" w:sz="4" w:space="0" w:color="auto"/>
              <w:right w:val="single" w:sz="4" w:space="0" w:color="auto"/>
            </w:tcBorders>
            <w:noWrap/>
            <w:vAlign w:val="center"/>
            <w:hideMark/>
          </w:tcPr>
          <w:p w14:paraId="0BA1C2F5" w14:textId="30B6B7F1" w:rsidR="009407A0" w:rsidRPr="00824D31" w:rsidRDefault="009407A0" w:rsidP="009407A0">
            <w:r>
              <w:rPr>
                <w:color w:val="000000"/>
              </w:rPr>
              <w:t>12187</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57C0D7E4" w14:textId="77777777" w:rsidR="009407A0" w:rsidRPr="00824D31" w:rsidRDefault="009407A0" w:rsidP="009407A0">
            <w:r w:rsidRPr="00824D31">
              <w:t>3,79%</w:t>
            </w:r>
          </w:p>
        </w:tc>
      </w:tr>
      <w:tr w:rsidR="009407A0" w:rsidRPr="00824D31" w14:paraId="69962E4E" w14:textId="77777777" w:rsidTr="009407A0">
        <w:trPr>
          <w:trHeight w:val="300"/>
          <w:jc w:val="center"/>
        </w:trPr>
        <w:tc>
          <w:tcPr>
            <w:tcW w:w="881" w:type="dxa"/>
            <w:tcBorders>
              <w:top w:val="single" w:sz="4" w:space="0" w:color="auto"/>
              <w:left w:val="single" w:sz="4" w:space="0" w:color="auto"/>
              <w:bottom w:val="single" w:sz="4" w:space="0" w:color="auto"/>
              <w:right w:val="single" w:sz="4" w:space="0" w:color="auto"/>
            </w:tcBorders>
            <w:vAlign w:val="bottom"/>
            <w:hideMark/>
          </w:tcPr>
          <w:p w14:paraId="258642D2" w14:textId="77777777" w:rsidR="009407A0" w:rsidRPr="00824D31" w:rsidRDefault="009407A0" w:rsidP="009407A0">
            <w:r w:rsidRPr="00824D31">
              <w:t>30</w:t>
            </w:r>
          </w:p>
        </w:tc>
        <w:tc>
          <w:tcPr>
            <w:tcW w:w="3964" w:type="dxa"/>
            <w:tcBorders>
              <w:top w:val="single" w:sz="4" w:space="0" w:color="auto"/>
              <w:left w:val="single" w:sz="4" w:space="0" w:color="auto"/>
              <w:bottom w:val="single" w:sz="4" w:space="0" w:color="auto"/>
              <w:right w:val="single" w:sz="4" w:space="0" w:color="auto"/>
            </w:tcBorders>
            <w:noWrap/>
            <w:vAlign w:val="bottom"/>
            <w:hideMark/>
          </w:tcPr>
          <w:p w14:paraId="2ABE27F0" w14:textId="77777777" w:rsidR="009407A0" w:rsidRPr="00824D31" w:rsidRDefault="009407A0" w:rsidP="009407A0">
            <w:r w:rsidRPr="00824D31">
              <w:t>Нюрбинский</w:t>
            </w:r>
          </w:p>
        </w:tc>
        <w:tc>
          <w:tcPr>
            <w:tcW w:w="1985" w:type="dxa"/>
            <w:tcBorders>
              <w:top w:val="single" w:sz="4" w:space="0" w:color="auto"/>
              <w:left w:val="single" w:sz="4" w:space="0" w:color="auto"/>
              <w:bottom w:val="single" w:sz="4" w:space="0" w:color="auto"/>
              <w:right w:val="single" w:sz="4" w:space="0" w:color="auto"/>
            </w:tcBorders>
            <w:noWrap/>
            <w:vAlign w:val="center"/>
            <w:hideMark/>
          </w:tcPr>
          <w:p w14:paraId="5C0EFE20" w14:textId="6B181AEA" w:rsidR="009407A0" w:rsidRPr="00824D31" w:rsidRDefault="009407A0" w:rsidP="009407A0">
            <w:r>
              <w:rPr>
                <w:color w:val="000000"/>
              </w:rPr>
              <w:t>12416</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4637E698" w14:textId="77777777" w:rsidR="009407A0" w:rsidRPr="00824D31" w:rsidRDefault="009407A0" w:rsidP="009407A0">
            <w:r w:rsidRPr="00824D31">
              <w:t>3,86%</w:t>
            </w:r>
          </w:p>
        </w:tc>
      </w:tr>
      <w:tr w:rsidR="009407A0" w:rsidRPr="00824D31" w14:paraId="5F27ECD3" w14:textId="77777777" w:rsidTr="009407A0">
        <w:trPr>
          <w:trHeight w:val="300"/>
          <w:jc w:val="center"/>
        </w:trPr>
        <w:tc>
          <w:tcPr>
            <w:tcW w:w="881" w:type="dxa"/>
            <w:tcBorders>
              <w:top w:val="single" w:sz="4" w:space="0" w:color="auto"/>
              <w:left w:val="single" w:sz="4" w:space="0" w:color="auto"/>
              <w:bottom w:val="single" w:sz="4" w:space="0" w:color="auto"/>
              <w:right w:val="single" w:sz="4" w:space="0" w:color="auto"/>
            </w:tcBorders>
            <w:vAlign w:val="bottom"/>
            <w:hideMark/>
          </w:tcPr>
          <w:p w14:paraId="417B656A" w14:textId="77777777" w:rsidR="009407A0" w:rsidRPr="00824D31" w:rsidRDefault="009407A0" w:rsidP="009407A0">
            <w:r w:rsidRPr="00824D31">
              <w:t>31</w:t>
            </w:r>
          </w:p>
        </w:tc>
        <w:tc>
          <w:tcPr>
            <w:tcW w:w="3964" w:type="dxa"/>
            <w:tcBorders>
              <w:top w:val="single" w:sz="4" w:space="0" w:color="auto"/>
              <w:left w:val="single" w:sz="4" w:space="0" w:color="auto"/>
              <w:bottom w:val="single" w:sz="4" w:space="0" w:color="auto"/>
              <w:right w:val="single" w:sz="4" w:space="0" w:color="auto"/>
            </w:tcBorders>
            <w:noWrap/>
            <w:vAlign w:val="bottom"/>
            <w:hideMark/>
          </w:tcPr>
          <w:p w14:paraId="35EE6FBF" w14:textId="77777777" w:rsidR="009407A0" w:rsidRPr="00824D31" w:rsidRDefault="009407A0" w:rsidP="009407A0">
            <w:r w:rsidRPr="00824D31">
              <w:t>Хангаласский</w:t>
            </w:r>
          </w:p>
        </w:tc>
        <w:tc>
          <w:tcPr>
            <w:tcW w:w="1985" w:type="dxa"/>
            <w:tcBorders>
              <w:top w:val="single" w:sz="4" w:space="0" w:color="auto"/>
              <w:left w:val="single" w:sz="4" w:space="0" w:color="auto"/>
              <w:bottom w:val="single" w:sz="4" w:space="0" w:color="auto"/>
              <w:right w:val="single" w:sz="4" w:space="0" w:color="auto"/>
            </w:tcBorders>
            <w:noWrap/>
            <w:vAlign w:val="center"/>
            <w:hideMark/>
          </w:tcPr>
          <w:p w14:paraId="1741BCDE" w14:textId="652400E1" w:rsidR="009407A0" w:rsidRPr="00824D31" w:rsidRDefault="009407A0" w:rsidP="009407A0">
            <w:r>
              <w:rPr>
                <w:color w:val="000000"/>
              </w:rPr>
              <w:t>13191</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4FF75941" w14:textId="77777777" w:rsidR="009407A0" w:rsidRPr="00824D31" w:rsidRDefault="009407A0" w:rsidP="009407A0">
            <w:r w:rsidRPr="00824D31">
              <w:t>4,10%</w:t>
            </w:r>
          </w:p>
        </w:tc>
      </w:tr>
      <w:tr w:rsidR="009407A0" w:rsidRPr="00824D31" w14:paraId="5BCE5AED" w14:textId="77777777" w:rsidTr="009407A0">
        <w:trPr>
          <w:trHeight w:val="300"/>
          <w:jc w:val="center"/>
        </w:trPr>
        <w:tc>
          <w:tcPr>
            <w:tcW w:w="881" w:type="dxa"/>
            <w:tcBorders>
              <w:top w:val="single" w:sz="4" w:space="0" w:color="auto"/>
              <w:left w:val="single" w:sz="4" w:space="0" w:color="auto"/>
              <w:bottom w:val="single" w:sz="4" w:space="0" w:color="auto"/>
              <w:right w:val="single" w:sz="4" w:space="0" w:color="auto"/>
            </w:tcBorders>
            <w:vAlign w:val="bottom"/>
            <w:hideMark/>
          </w:tcPr>
          <w:p w14:paraId="19B54F2B" w14:textId="77777777" w:rsidR="009407A0" w:rsidRPr="00824D31" w:rsidRDefault="009407A0" w:rsidP="009407A0">
            <w:r w:rsidRPr="00824D31">
              <w:t>32</w:t>
            </w:r>
          </w:p>
        </w:tc>
        <w:tc>
          <w:tcPr>
            <w:tcW w:w="3964" w:type="dxa"/>
            <w:tcBorders>
              <w:top w:val="single" w:sz="4" w:space="0" w:color="auto"/>
              <w:left w:val="single" w:sz="4" w:space="0" w:color="auto"/>
              <w:bottom w:val="single" w:sz="4" w:space="0" w:color="auto"/>
              <w:right w:val="single" w:sz="4" w:space="0" w:color="auto"/>
            </w:tcBorders>
            <w:noWrap/>
            <w:vAlign w:val="bottom"/>
            <w:hideMark/>
          </w:tcPr>
          <w:p w14:paraId="5BAAE967" w14:textId="77777777" w:rsidR="009407A0" w:rsidRPr="00824D31" w:rsidRDefault="009407A0" w:rsidP="009407A0">
            <w:r w:rsidRPr="00824D31">
              <w:t>Мегино-Кангаласский</w:t>
            </w:r>
          </w:p>
        </w:tc>
        <w:tc>
          <w:tcPr>
            <w:tcW w:w="1985" w:type="dxa"/>
            <w:tcBorders>
              <w:top w:val="single" w:sz="4" w:space="0" w:color="auto"/>
              <w:left w:val="single" w:sz="4" w:space="0" w:color="auto"/>
              <w:bottom w:val="single" w:sz="4" w:space="0" w:color="auto"/>
              <w:right w:val="single" w:sz="4" w:space="0" w:color="auto"/>
            </w:tcBorders>
            <w:noWrap/>
            <w:vAlign w:val="center"/>
            <w:hideMark/>
          </w:tcPr>
          <w:p w14:paraId="46C90AE1" w14:textId="654A24BC" w:rsidR="009407A0" w:rsidRPr="00824D31" w:rsidRDefault="009407A0" w:rsidP="009407A0">
            <w:r>
              <w:rPr>
                <w:color w:val="000000"/>
              </w:rPr>
              <w:t>13441</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29B33A3F" w14:textId="77777777" w:rsidR="009407A0" w:rsidRPr="00824D31" w:rsidRDefault="009407A0" w:rsidP="009407A0">
            <w:r w:rsidRPr="00824D31">
              <w:t>4,18%</w:t>
            </w:r>
          </w:p>
        </w:tc>
      </w:tr>
      <w:tr w:rsidR="009407A0" w:rsidRPr="00824D31" w14:paraId="5E561F72" w14:textId="77777777" w:rsidTr="009407A0">
        <w:trPr>
          <w:trHeight w:val="300"/>
          <w:jc w:val="center"/>
        </w:trPr>
        <w:tc>
          <w:tcPr>
            <w:tcW w:w="881" w:type="dxa"/>
            <w:tcBorders>
              <w:top w:val="single" w:sz="4" w:space="0" w:color="auto"/>
              <w:left w:val="single" w:sz="4" w:space="0" w:color="auto"/>
              <w:bottom w:val="single" w:sz="4" w:space="0" w:color="auto"/>
              <w:right w:val="single" w:sz="4" w:space="0" w:color="auto"/>
            </w:tcBorders>
            <w:vAlign w:val="bottom"/>
            <w:hideMark/>
          </w:tcPr>
          <w:p w14:paraId="16832059" w14:textId="77777777" w:rsidR="009407A0" w:rsidRPr="00824D31" w:rsidRDefault="009407A0" w:rsidP="009407A0">
            <w:r w:rsidRPr="00824D31">
              <w:t>33</w:t>
            </w:r>
          </w:p>
        </w:tc>
        <w:tc>
          <w:tcPr>
            <w:tcW w:w="3964" w:type="dxa"/>
            <w:tcBorders>
              <w:top w:val="single" w:sz="4" w:space="0" w:color="auto"/>
              <w:left w:val="single" w:sz="4" w:space="0" w:color="auto"/>
              <w:bottom w:val="single" w:sz="4" w:space="0" w:color="auto"/>
              <w:right w:val="single" w:sz="4" w:space="0" w:color="auto"/>
            </w:tcBorders>
            <w:noWrap/>
            <w:vAlign w:val="bottom"/>
            <w:hideMark/>
          </w:tcPr>
          <w:p w14:paraId="3F7CBF8A" w14:textId="77777777" w:rsidR="009407A0" w:rsidRPr="00824D31" w:rsidRDefault="009407A0" w:rsidP="009407A0">
            <w:r w:rsidRPr="00824D31">
              <w:t>Мирнинский</w:t>
            </w:r>
          </w:p>
        </w:tc>
        <w:tc>
          <w:tcPr>
            <w:tcW w:w="1985" w:type="dxa"/>
            <w:tcBorders>
              <w:top w:val="single" w:sz="4" w:space="0" w:color="auto"/>
              <w:left w:val="single" w:sz="4" w:space="0" w:color="auto"/>
              <w:bottom w:val="single" w:sz="4" w:space="0" w:color="auto"/>
              <w:right w:val="single" w:sz="4" w:space="0" w:color="auto"/>
            </w:tcBorders>
            <w:noWrap/>
            <w:vAlign w:val="center"/>
            <w:hideMark/>
          </w:tcPr>
          <w:p w14:paraId="2FCCD65E" w14:textId="2FB5E1BE" w:rsidR="009407A0" w:rsidRPr="00824D31" w:rsidRDefault="009407A0" w:rsidP="009407A0">
            <w:r>
              <w:rPr>
                <w:color w:val="000000"/>
              </w:rPr>
              <w:t>14450</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6048A7B1" w14:textId="77777777" w:rsidR="009407A0" w:rsidRPr="00824D31" w:rsidRDefault="009407A0" w:rsidP="009407A0">
            <w:r w:rsidRPr="00824D31">
              <w:t>4,49%</w:t>
            </w:r>
          </w:p>
        </w:tc>
      </w:tr>
      <w:tr w:rsidR="009407A0" w:rsidRPr="00824D31" w14:paraId="3DEB88FB" w14:textId="77777777" w:rsidTr="009407A0">
        <w:trPr>
          <w:trHeight w:val="300"/>
          <w:jc w:val="center"/>
        </w:trPr>
        <w:tc>
          <w:tcPr>
            <w:tcW w:w="881" w:type="dxa"/>
            <w:tcBorders>
              <w:top w:val="single" w:sz="4" w:space="0" w:color="auto"/>
              <w:left w:val="single" w:sz="4" w:space="0" w:color="auto"/>
              <w:bottom w:val="single" w:sz="4" w:space="0" w:color="auto"/>
              <w:right w:val="single" w:sz="4" w:space="0" w:color="auto"/>
            </w:tcBorders>
            <w:vAlign w:val="bottom"/>
            <w:hideMark/>
          </w:tcPr>
          <w:p w14:paraId="290132B4" w14:textId="77777777" w:rsidR="009407A0" w:rsidRPr="00824D31" w:rsidRDefault="009407A0" w:rsidP="009407A0">
            <w:r w:rsidRPr="00824D31">
              <w:t>34</w:t>
            </w:r>
          </w:p>
        </w:tc>
        <w:tc>
          <w:tcPr>
            <w:tcW w:w="3964" w:type="dxa"/>
            <w:tcBorders>
              <w:top w:val="single" w:sz="4" w:space="0" w:color="auto"/>
              <w:left w:val="single" w:sz="4" w:space="0" w:color="auto"/>
              <w:bottom w:val="single" w:sz="4" w:space="0" w:color="auto"/>
              <w:right w:val="single" w:sz="4" w:space="0" w:color="auto"/>
            </w:tcBorders>
            <w:noWrap/>
            <w:vAlign w:val="bottom"/>
            <w:hideMark/>
          </w:tcPr>
          <w:p w14:paraId="2E02F883" w14:textId="77777777" w:rsidR="009407A0" w:rsidRPr="00824D31" w:rsidRDefault="009407A0" w:rsidP="009407A0">
            <w:r w:rsidRPr="00824D31">
              <w:t>Ленский</w:t>
            </w:r>
          </w:p>
        </w:tc>
        <w:tc>
          <w:tcPr>
            <w:tcW w:w="1985" w:type="dxa"/>
            <w:tcBorders>
              <w:top w:val="single" w:sz="4" w:space="0" w:color="auto"/>
              <w:left w:val="single" w:sz="4" w:space="0" w:color="auto"/>
              <w:bottom w:val="single" w:sz="4" w:space="0" w:color="auto"/>
              <w:right w:val="single" w:sz="4" w:space="0" w:color="auto"/>
            </w:tcBorders>
            <w:noWrap/>
            <w:vAlign w:val="center"/>
            <w:hideMark/>
          </w:tcPr>
          <w:p w14:paraId="43047A41" w14:textId="341FA74C" w:rsidR="009407A0" w:rsidRPr="00824D31" w:rsidRDefault="009407A0" w:rsidP="009407A0">
            <w:r>
              <w:rPr>
                <w:color w:val="000000"/>
              </w:rPr>
              <w:t>18460</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1DD2E017" w14:textId="77777777" w:rsidR="009407A0" w:rsidRPr="00824D31" w:rsidRDefault="009407A0" w:rsidP="009407A0">
            <w:r w:rsidRPr="00824D31">
              <w:t>5,74%</w:t>
            </w:r>
          </w:p>
        </w:tc>
      </w:tr>
      <w:tr w:rsidR="009407A0" w:rsidRPr="00824D31" w14:paraId="13420103" w14:textId="77777777" w:rsidTr="009407A0">
        <w:trPr>
          <w:trHeight w:val="300"/>
          <w:jc w:val="center"/>
        </w:trPr>
        <w:tc>
          <w:tcPr>
            <w:tcW w:w="881" w:type="dxa"/>
            <w:tcBorders>
              <w:top w:val="single" w:sz="4" w:space="0" w:color="auto"/>
              <w:left w:val="single" w:sz="4" w:space="0" w:color="auto"/>
              <w:bottom w:val="single" w:sz="4" w:space="0" w:color="auto"/>
              <w:right w:val="single" w:sz="4" w:space="0" w:color="auto"/>
            </w:tcBorders>
            <w:vAlign w:val="bottom"/>
            <w:hideMark/>
          </w:tcPr>
          <w:p w14:paraId="0FF2C89F" w14:textId="77777777" w:rsidR="009407A0" w:rsidRPr="00824D31" w:rsidRDefault="009407A0" w:rsidP="009407A0">
            <w:r w:rsidRPr="00824D31">
              <w:t>35</w:t>
            </w:r>
          </w:p>
        </w:tc>
        <w:tc>
          <w:tcPr>
            <w:tcW w:w="3964" w:type="dxa"/>
            <w:tcBorders>
              <w:top w:val="single" w:sz="4" w:space="0" w:color="auto"/>
              <w:left w:val="single" w:sz="4" w:space="0" w:color="auto"/>
              <w:bottom w:val="single" w:sz="4" w:space="0" w:color="auto"/>
              <w:right w:val="single" w:sz="4" w:space="0" w:color="auto"/>
            </w:tcBorders>
            <w:noWrap/>
            <w:vAlign w:val="bottom"/>
            <w:hideMark/>
          </w:tcPr>
          <w:p w14:paraId="70074184" w14:textId="77777777" w:rsidR="009407A0" w:rsidRPr="00824D31" w:rsidRDefault="009407A0" w:rsidP="009407A0">
            <w:r w:rsidRPr="00824D31">
              <w:t>Алданский</w:t>
            </w:r>
          </w:p>
        </w:tc>
        <w:tc>
          <w:tcPr>
            <w:tcW w:w="1985" w:type="dxa"/>
            <w:tcBorders>
              <w:top w:val="single" w:sz="4" w:space="0" w:color="auto"/>
              <w:left w:val="single" w:sz="4" w:space="0" w:color="auto"/>
              <w:bottom w:val="single" w:sz="4" w:space="0" w:color="auto"/>
              <w:right w:val="single" w:sz="4" w:space="0" w:color="auto"/>
            </w:tcBorders>
            <w:noWrap/>
            <w:vAlign w:val="center"/>
            <w:hideMark/>
          </w:tcPr>
          <w:p w14:paraId="61696946" w14:textId="712209CF" w:rsidR="009407A0" w:rsidRPr="00824D31" w:rsidRDefault="009407A0" w:rsidP="009407A0">
            <w:r>
              <w:rPr>
                <w:color w:val="000000"/>
              </w:rPr>
              <w:t>20806</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23F89A3E" w14:textId="77777777" w:rsidR="009407A0" w:rsidRPr="00824D31" w:rsidRDefault="009407A0" w:rsidP="009407A0">
            <w:r w:rsidRPr="00824D31">
              <w:t>6,47%</w:t>
            </w:r>
          </w:p>
        </w:tc>
      </w:tr>
      <w:tr w:rsidR="009407A0" w:rsidRPr="00824D31" w14:paraId="705758B6" w14:textId="77777777" w:rsidTr="009407A0">
        <w:trPr>
          <w:trHeight w:val="300"/>
          <w:jc w:val="center"/>
        </w:trPr>
        <w:tc>
          <w:tcPr>
            <w:tcW w:w="881" w:type="dxa"/>
            <w:tcBorders>
              <w:top w:val="single" w:sz="4" w:space="0" w:color="auto"/>
              <w:left w:val="single" w:sz="4" w:space="0" w:color="auto"/>
              <w:bottom w:val="single" w:sz="4" w:space="0" w:color="auto"/>
              <w:right w:val="single" w:sz="4" w:space="0" w:color="auto"/>
            </w:tcBorders>
            <w:vAlign w:val="bottom"/>
            <w:hideMark/>
          </w:tcPr>
          <w:p w14:paraId="662D8450" w14:textId="77777777" w:rsidR="009407A0" w:rsidRPr="00824D31" w:rsidRDefault="009407A0" w:rsidP="009407A0">
            <w:r w:rsidRPr="00824D31">
              <w:t>36</w:t>
            </w:r>
          </w:p>
        </w:tc>
        <w:tc>
          <w:tcPr>
            <w:tcW w:w="3964" w:type="dxa"/>
            <w:tcBorders>
              <w:top w:val="single" w:sz="4" w:space="0" w:color="auto"/>
              <w:left w:val="single" w:sz="4" w:space="0" w:color="auto"/>
              <w:bottom w:val="single" w:sz="4" w:space="0" w:color="auto"/>
              <w:right w:val="single" w:sz="4" w:space="0" w:color="auto"/>
            </w:tcBorders>
            <w:noWrap/>
            <w:vAlign w:val="bottom"/>
            <w:hideMark/>
          </w:tcPr>
          <w:p w14:paraId="7B39E20D" w14:textId="77777777" w:rsidR="009407A0" w:rsidRPr="00824D31" w:rsidRDefault="009407A0" w:rsidP="009407A0">
            <w:r w:rsidRPr="00824D31">
              <w:t>ГО Якутск</w:t>
            </w:r>
          </w:p>
        </w:tc>
        <w:tc>
          <w:tcPr>
            <w:tcW w:w="1985" w:type="dxa"/>
            <w:tcBorders>
              <w:top w:val="single" w:sz="4" w:space="0" w:color="auto"/>
              <w:left w:val="single" w:sz="4" w:space="0" w:color="auto"/>
              <w:bottom w:val="single" w:sz="4" w:space="0" w:color="auto"/>
              <w:right w:val="single" w:sz="4" w:space="0" w:color="auto"/>
            </w:tcBorders>
            <w:noWrap/>
            <w:vAlign w:val="center"/>
            <w:hideMark/>
          </w:tcPr>
          <w:p w14:paraId="76A209A0" w14:textId="2A4DD02C" w:rsidR="009407A0" w:rsidRPr="00824D31" w:rsidRDefault="009407A0" w:rsidP="009407A0">
            <w:r>
              <w:rPr>
                <w:color w:val="000000"/>
              </w:rPr>
              <w:t>92734</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41583789" w14:textId="77777777" w:rsidR="009407A0" w:rsidRPr="00824D31" w:rsidRDefault="009407A0" w:rsidP="009407A0">
            <w:r w:rsidRPr="00824D31">
              <w:t>28,84%</w:t>
            </w:r>
          </w:p>
        </w:tc>
      </w:tr>
      <w:tr w:rsidR="009407A0" w:rsidRPr="00824D31" w14:paraId="661A4AB2" w14:textId="77777777" w:rsidTr="009407A0">
        <w:trPr>
          <w:trHeight w:val="300"/>
          <w:jc w:val="center"/>
        </w:trPr>
        <w:tc>
          <w:tcPr>
            <w:tcW w:w="881" w:type="dxa"/>
            <w:tcBorders>
              <w:top w:val="single" w:sz="4" w:space="0" w:color="auto"/>
              <w:left w:val="single" w:sz="4" w:space="0" w:color="auto"/>
              <w:bottom w:val="single" w:sz="4" w:space="0" w:color="auto"/>
              <w:right w:val="single" w:sz="4" w:space="0" w:color="auto"/>
            </w:tcBorders>
            <w:vAlign w:val="bottom"/>
          </w:tcPr>
          <w:p w14:paraId="61F32511" w14:textId="77777777" w:rsidR="009407A0" w:rsidRPr="00824D31" w:rsidRDefault="009407A0" w:rsidP="009407A0"/>
        </w:tc>
        <w:tc>
          <w:tcPr>
            <w:tcW w:w="3964" w:type="dxa"/>
            <w:tcBorders>
              <w:top w:val="single" w:sz="4" w:space="0" w:color="auto"/>
              <w:left w:val="single" w:sz="4" w:space="0" w:color="auto"/>
              <w:bottom w:val="single" w:sz="4" w:space="0" w:color="auto"/>
              <w:right w:val="single" w:sz="4" w:space="0" w:color="auto"/>
            </w:tcBorders>
            <w:noWrap/>
            <w:vAlign w:val="bottom"/>
            <w:hideMark/>
          </w:tcPr>
          <w:p w14:paraId="47E1ED32" w14:textId="77777777" w:rsidR="009407A0" w:rsidRPr="00824D31" w:rsidRDefault="009407A0" w:rsidP="009407A0">
            <w:r w:rsidRPr="00824D31">
              <w:t>Общий итог</w:t>
            </w:r>
          </w:p>
        </w:tc>
        <w:tc>
          <w:tcPr>
            <w:tcW w:w="1985" w:type="dxa"/>
            <w:tcBorders>
              <w:top w:val="single" w:sz="4" w:space="0" w:color="auto"/>
              <w:left w:val="single" w:sz="4" w:space="0" w:color="auto"/>
              <w:bottom w:val="single" w:sz="4" w:space="0" w:color="auto"/>
              <w:right w:val="single" w:sz="4" w:space="0" w:color="auto"/>
            </w:tcBorders>
            <w:noWrap/>
            <w:vAlign w:val="center"/>
            <w:hideMark/>
          </w:tcPr>
          <w:p w14:paraId="41555FD8" w14:textId="76873BA6" w:rsidR="009407A0" w:rsidRPr="00824D31" w:rsidRDefault="009407A0" w:rsidP="009407A0">
            <w:r>
              <w:rPr>
                <w:color w:val="000000"/>
              </w:rPr>
              <w:t>321</w:t>
            </w:r>
            <w:r>
              <w:rPr>
                <w:color w:val="000000"/>
                <w:lang w:val="en-US"/>
              </w:rPr>
              <w:t xml:space="preserve"> </w:t>
            </w:r>
            <w:r>
              <w:rPr>
                <w:color w:val="000000"/>
              </w:rPr>
              <w:t>536</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034AC2A8" w14:textId="77777777" w:rsidR="009407A0" w:rsidRPr="00824D31" w:rsidRDefault="009407A0" w:rsidP="009407A0">
            <w:r w:rsidRPr="00824D31">
              <w:t>100,00%</w:t>
            </w:r>
          </w:p>
        </w:tc>
      </w:tr>
    </w:tbl>
    <w:p w14:paraId="19B07A31" w14:textId="77777777" w:rsidR="00EC492E" w:rsidRPr="00824D31" w:rsidRDefault="00EC492E" w:rsidP="00EC492E"/>
    <w:p w14:paraId="224C6705" w14:textId="77777777" w:rsidR="00EC492E" w:rsidRPr="00824D31" w:rsidRDefault="00EC492E" w:rsidP="00EC492E">
      <w:r w:rsidRPr="00824D31">
        <w:t>Объекты оценки в рассматриваемой группе расположены в 36 районах Республики Саха (Якутия). Большая часть Объектов сосредоточена в Городском округе Якутск (28,84%), в Алданском районе (6,47%), в Ленском районе (5,74%), в Мирнинском районе (4,49%), в Мегино-Кангаласском районе (4,18%), в Хангаласском районе (4,10%), в Нюрбинском районе (3,86%), в Вилюйском районе (3,79%) и Нерюнгринском районе (3,40%). Остальные объекты рассредоточены по другим районам в диапазоне от 0,18% до 2,91%.</w:t>
      </w:r>
    </w:p>
    <w:p w14:paraId="6818EDA6" w14:textId="63E2B29E" w:rsidR="00EC492E" w:rsidRPr="00824D31" w:rsidRDefault="00EC492E" w:rsidP="00EC492E">
      <w:r w:rsidRPr="00824D31">
        <w:rPr>
          <w:noProof/>
          <w:lang w:eastAsia="ru-RU"/>
        </w:rPr>
        <w:drawing>
          <wp:inline distT="0" distB="0" distL="0" distR="0" wp14:anchorId="3BEBC833" wp14:editId="7BFFE0F3">
            <wp:extent cx="5677469" cy="3330054"/>
            <wp:effectExtent l="0" t="0" r="0" b="3810"/>
            <wp:docPr id="3" name="Рисунок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8"/>
                    <pic:cNvPicPr>
                      <a:picLocks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5689235" cy="3336955"/>
                    </a:xfrm>
                    <a:prstGeom prst="rect">
                      <a:avLst/>
                    </a:prstGeom>
                    <a:noFill/>
                    <a:ln>
                      <a:noFill/>
                    </a:ln>
                  </pic:spPr>
                </pic:pic>
              </a:graphicData>
            </a:graphic>
          </wp:inline>
        </w:drawing>
      </w:r>
    </w:p>
    <w:p w14:paraId="1F61FA69" w14:textId="24C6A738" w:rsidR="00EC492E" w:rsidRPr="00824D31" w:rsidRDefault="00EC492E" w:rsidP="00EC492E">
      <w:r w:rsidRPr="00824D31">
        <w:t xml:space="preserve">Рисунок </w:t>
      </w:r>
      <w:r w:rsidR="00A90944">
        <w:fldChar w:fldCharType="begin"/>
      </w:r>
      <w:r w:rsidR="00A90944">
        <w:instrText xml:space="preserve"> SEQ Рисунок \* ARABIC </w:instrText>
      </w:r>
      <w:r w:rsidR="00A90944">
        <w:fldChar w:fldCharType="separate"/>
      </w:r>
      <w:r w:rsidR="00FD2769">
        <w:rPr>
          <w:noProof/>
        </w:rPr>
        <w:t>61</w:t>
      </w:r>
      <w:r w:rsidR="00A90944">
        <w:rPr>
          <w:noProof/>
        </w:rPr>
        <w:fldChar w:fldCharType="end"/>
      </w:r>
      <w:r w:rsidRPr="00824D31">
        <w:t xml:space="preserve"> Распределение Объектов 2 группы по классу конструктивной системы (КС)</w:t>
      </w:r>
    </w:p>
    <w:p w14:paraId="0CD0405A" w14:textId="77777777" w:rsidR="00EC492E" w:rsidRPr="00824D31" w:rsidRDefault="00EC492E" w:rsidP="00EC492E"/>
    <w:p w14:paraId="2C4164A2" w14:textId="77777777" w:rsidR="00EC492E" w:rsidRPr="00824D31" w:rsidRDefault="00EC492E" w:rsidP="00EC492E">
      <w:r w:rsidRPr="00824D31">
        <w:t>Наибольшее количество Объектов в данной функциональной подгруппе относится к классу конструктивной системы КС-7.</w:t>
      </w:r>
    </w:p>
    <w:p w14:paraId="63BE6D92" w14:textId="77777777" w:rsidR="00EC492E" w:rsidRPr="00824D31" w:rsidRDefault="00EC492E" w:rsidP="00EC492E"/>
    <w:p w14:paraId="1B7E6843" w14:textId="2886DD9E" w:rsidR="00EC492E" w:rsidRPr="00824D31" w:rsidRDefault="00EC492E" w:rsidP="00EC492E">
      <w:r w:rsidRPr="00824D31">
        <w:rPr>
          <w:noProof/>
          <w:lang w:eastAsia="ru-RU"/>
        </w:rPr>
        <w:drawing>
          <wp:inline distT="0" distB="0" distL="0" distR="0" wp14:anchorId="5F6C11AF" wp14:editId="0D4EF6BD">
            <wp:extent cx="5676900" cy="3057098"/>
            <wp:effectExtent l="0" t="0" r="0" b="0"/>
            <wp:docPr id="1" name="Рисунок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9"/>
                    <pic:cNvPicPr>
                      <a:picLocks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5686124" cy="3062065"/>
                    </a:xfrm>
                    <a:prstGeom prst="rect">
                      <a:avLst/>
                    </a:prstGeom>
                    <a:noFill/>
                    <a:ln>
                      <a:noFill/>
                    </a:ln>
                  </pic:spPr>
                </pic:pic>
              </a:graphicData>
            </a:graphic>
          </wp:inline>
        </w:drawing>
      </w:r>
    </w:p>
    <w:p w14:paraId="5B728D3B" w14:textId="4792F9F6" w:rsidR="00EC492E" w:rsidRPr="00824D31" w:rsidRDefault="00EC492E" w:rsidP="00EC492E">
      <w:r w:rsidRPr="00824D31">
        <w:t xml:space="preserve">Рисунок </w:t>
      </w:r>
      <w:r w:rsidR="00A90944">
        <w:fldChar w:fldCharType="begin"/>
      </w:r>
      <w:r w:rsidR="00A90944">
        <w:instrText xml:space="preserve"> SEQ Рисунок \* ARABIC </w:instrText>
      </w:r>
      <w:r w:rsidR="00A90944">
        <w:fldChar w:fldCharType="separate"/>
      </w:r>
      <w:r w:rsidR="00FD2769">
        <w:rPr>
          <w:noProof/>
        </w:rPr>
        <w:t>62</w:t>
      </w:r>
      <w:r w:rsidR="00A90944">
        <w:rPr>
          <w:noProof/>
        </w:rPr>
        <w:fldChar w:fldCharType="end"/>
      </w:r>
      <w:r w:rsidRPr="00824D31">
        <w:t xml:space="preserve"> Распределение Объектов 2 группы по периодам постройки (год)</w:t>
      </w:r>
    </w:p>
    <w:p w14:paraId="54A107CB" w14:textId="77777777" w:rsidR="00EC492E" w:rsidRPr="00824D31" w:rsidRDefault="00EC492E" w:rsidP="00EC492E"/>
    <w:p w14:paraId="40B4DE26" w14:textId="77777777" w:rsidR="00EC492E" w:rsidRPr="00824D31" w:rsidRDefault="00EC492E" w:rsidP="00EC492E">
      <w:r w:rsidRPr="00824D31">
        <w:t>Большая часть Объектов рассматриваемой подгруппы построены в период с 1970 по 1990 гг.</w:t>
      </w:r>
    </w:p>
    <w:p w14:paraId="75BB24C1" w14:textId="77777777" w:rsidR="00EC492E" w:rsidRPr="00824D31" w:rsidRDefault="00EC492E" w:rsidP="00EC492E"/>
    <w:p w14:paraId="277DEEDC" w14:textId="77777777" w:rsidR="00EC492E" w:rsidRPr="008F16D6" w:rsidRDefault="00EC492E" w:rsidP="00EC492E">
      <w:pPr>
        <w:rPr>
          <w:b/>
        </w:rPr>
      </w:pPr>
      <w:bookmarkStart w:id="86" w:name="_Toc466639846"/>
      <w:bookmarkStart w:id="87" w:name="_Toc339302510"/>
      <w:r w:rsidRPr="008F16D6">
        <w:rPr>
          <w:b/>
        </w:rPr>
        <w:t>3 группа «Объекты, предназначенные для хранения транспорта»</w:t>
      </w:r>
      <w:bookmarkEnd w:id="86"/>
      <w:bookmarkEnd w:id="87"/>
    </w:p>
    <w:p w14:paraId="25413362" w14:textId="77777777" w:rsidR="00EC492E" w:rsidRPr="00824D31" w:rsidRDefault="00EC492E" w:rsidP="00EC492E"/>
    <w:p w14:paraId="515CF8B0" w14:textId="77777777" w:rsidR="00EC492E" w:rsidRPr="00824D31" w:rsidRDefault="00EC492E" w:rsidP="00EC492E">
      <w:r w:rsidRPr="00824D31">
        <w:t>Объекты данной группы представляют объекты для хранения автотранспорта и иного транспорта, в том числе гаражи (индивидуальные и кооперативные), автостоянки, крытые парковки, парковочные места и т.д.</w:t>
      </w:r>
    </w:p>
    <w:p w14:paraId="76BD59B7" w14:textId="77777777" w:rsidR="00EC492E" w:rsidRPr="00824D31" w:rsidRDefault="00EC492E" w:rsidP="00EC492E">
      <w:r w:rsidRPr="00824D31">
        <w:t>К данной подгруппе относятся все гаражи для легковых автомобилей, грузовых автомобилей, специализированной техники, мотоциклов, мопедов, велосипедов, для хранения лодок и т.д.</w:t>
      </w:r>
    </w:p>
    <w:p w14:paraId="5927C341" w14:textId="77777777" w:rsidR="00EC492E" w:rsidRPr="00824D31" w:rsidRDefault="00EC492E" w:rsidP="00EC492E">
      <w:r w:rsidRPr="00824D31">
        <w:t>Номера подрупп, входящих в состав группы: 0301-0308, 0311. Объекты, относящиеся по классификатору к подгруппам 0309, 0310 на территории Республики Саха (Якутия) отсутствуют.</w:t>
      </w:r>
    </w:p>
    <w:p w14:paraId="657A8587" w14:textId="4F5C66A5" w:rsidR="00EC492E" w:rsidRPr="00824D31" w:rsidRDefault="00EC492E" w:rsidP="00EC492E">
      <w:r w:rsidRPr="00824D31">
        <w:t>Общее количество Объектов оценки, отнесенных к группе «Объекты, предназначенные для хранения транспорта» составляет 48</w:t>
      </w:r>
      <w:r w:rsidR="00EA2AA2">
        <w:t xml:space="preserve"> 780 </w:t>
      </w:r>
      <w:r w:rsidRPr="00824D31">
        <w:t>Объектов.</w:t>
      </w:r>
    </w:p>
    <w:p w14:paraId="286181FB" w14:textId="0ECE03D9" w:rsidR="00EC492E" w:rsidRPr="00824D31" w:rsidRDefault="00EC492E" w:rsidP="00763AD2">
      <w:pPr>
        <w:pStyle w:val="afffffff0"/>
      </w:pPr>
      <w:r w:rsidRPr="00824D31">
        <w:t xml:space="preserve">Таблица </w:t>
      </w:r>
      <w:r w:rsidR="00A90944">
        <w:fldChar w:fldCharType="begin"/>
      </w:r>
      <w:r w:rsidR="00A90944">
        <w:instrText xml:space="preserve"> SEQ Таблица \* ARABIC </w:instrText>
      </w:r>
      <w:r w:rsidR="00A90944">
        <w:fldChar w:fldCharType="separate"/>
      </w:r>
      <w:r w:rsidR="00FD2769">
        <w:rPr>
          <w:noProof/>
        </w:rPr>
        <w:t>35</w:t>
      </w:r>
      <w:r w:rsidR="00A90944">
        <w:rPr>
          <w:noProof/>
        </w:rPr>
        <w:fldChar w:fldCharType="end"/>
      </w:r>
      <w:r w:rsidRPr="00824D31">
        <w:t xml:space="preserve"> Результат группировки Объектов оценки в рамках группы 3 Объекты, предназначенные для хранения транспорта </w:t>
      </w:r>
    </w:p>
    <w:tbl>
      <w:tblPr>
        <w:tblW w:w="9072" w:type="dxa"/>
        <w:tblInd w:w="-5" w:type="dxa"/>
        <w:tblLook w:val="04A0" w:firstRow="1" w:lastRow="0" w:firstColumn="1" w:lastColumn="0" w:noHBand="0" w:noVBand="1"/>
      </w:tblPr>
      <w:tblGrid>
        <w:gridCol w:w="2010"/>
        <w:gridCol w:w="1404"/>
        <w:gridCol w:w="3250"/>
        <w:gridCol w:w="1509"/>
        <w:gridCol w:w="1076"/>
      </w:tblGrid>
      <w:tr w:rsidR="00EC492E" w:rsidRPr="009E18B2" w14:paraId="11ED153E" w14:textId="77777777" w:rsidTr="009E18B2">
        <w:trPr>
          <w:trHeight w:val="630"/>
          <w:tblHeader/>
        </w:trPr>
        <w:tc>
          <w:tcPr>
            <w:tcW w:w="2008"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FC45047" w14:textId="77777777" w:rsidR="00EC492E" w:rsidRPr="009E18B2" w:rsidRDefault="00EC492E" w:rsidP="009E18B2">
            <w:pPr>
              <w:ind w:firstLine="0"/>
              <w:jc w:val="center"/>
              <w:rPr>
                <w:b/>
                <w:i/>
              </w:rPr>
            </w:pPr>
            <w:r w:rsidRPr="009E18B2">
              <w:rPr>
                <w:b/>
                <w:i/>
              </w:rPr>
              <w:t>Наименование группы</w:t>
            </w:r>
          </w:p>
        </w:tc>
        <w:tc>
          <w:tcPr>
            <w:tcW w:w="1404" w:type="dxa"/>
            <w:tcBorders>
              <w:top w:val="single" w:sz="4" w:space="0" w:color="auto"/>
              <w:left w:val="nil"/>
              <w:bottom w:val="single" w:sz="4" w:space="0" w:color="auto"/>
              <w:right w:val="single" w:sz="4" w:space="0" w:color="auto"/>
            </w:tcBorders>
            <w:shd w:val="clear" w:color="auto" w:fill="BFBFBF" w:themeFill="background1" w:themeFillShade="BF"/>
            <w:vAlign w:val="center"/>
            <w:hideMark/>
          </w:tcPr>
          <w:p w14:paraId="69488251" w14:textId="77777777" w:rsidR="00EC492E" w:rsidRPr="009E18B2" w:rsidRDefault="00EC492E" w:rsidP="009E18B2">
            <w:pPr>
              <w:ind w:firstLine="0"/>
              <w:jc w:val="center"/>
              <w:rPr>
                <w:b/>
                <w:i/>
              </w:rPr>
            </w:pPr>
            <w:r w:rsidRPr="009E18B2">
              <w:rPr>
                <w:b/>
                <w:i/>
              </w:rPr>
              <w:t>Код подгруппы</w:t>
            </w:r>
          </w:p>
        </w:tc>
        <w:tc>
          <w:tcPr>
            <w:tcW w:w="3250" w:type="dxa"/>
            <w:tcBorders>
              <w:top w:val="single" w:sz="4" w:space="0" w:color="auto"/>
              <w:left w:val="nil"/>
              <w:bottom w:val="single" w:sz="4" w:space="0" w:color="auto"/>
              <w:right w:val="single" w:sz="4" w:space="0" w:color="auto"/>
            </w:tcBorders>
            <w:shd w:val="clear" w:color="auto" w:fill="BFBFBF" w:themeFill="background1" w:themeFillShade="BF"/>
            <w:vAlign w:val="center"/>
            <w:hideMark/>
          </w:tcPr>
          <w:p w14:paraId="1DBC450E" w14:textId="77777777" w:rsidR="00EC492E" w:rsidRPr="009E18B2" w:rsidRDefault="00EC492E" w:rsidP="009E18B2">
            <w:pPr>
              <w:ind w:firstLine="0"/>
              <w:jc w:val="center"/>
              <w:rPr>
                <w:b/>
                <w:i/>
              </w:rPr>
            </w:pPr>
            <w:r w:rsidRPr="009E18B2">
              <w:rPr>
                <w:b/>
                <w:i/>
              </w:rPr>
              <w:t>Наименование функциональной подгруппы</w:t>
            </w:r>
          </w:p>
        </w:tc>
        <w:tc>
          <w:tcPr>
            <w:tcW w:w="1418" w:type="dxa"/>
            <w:tcBorders>
              <w:top w:val="single" w:sz="4" w:space="0" w:color="auto"/>
              <w:left w:val="nil"/>
              <w:bottom w:val="single" w:sz="4" w:space="0" w:color="auto"/>
              <w:right w:val="single" w:sz="4" w:space="0" w:color="auto"/>
            </w:tcBorders>
            <w:shd w:val="clear" w:color="auto" w:fill="BFBFBF" w:themeFill="background1" w:themeFillShade="BF"/>
            <w:vAlign w:val="center"/>
            <w:hideMark/>
          </w:tcPr>
          <w:p w14:paraId="5AB1E594" w14:textId="77777777" w:rsidR="00EC492E" w:rsidRPr="009E18B2" w:rsidRDefault="00EC492E" w:rsidP="009E18B2">
            <w:pPr>
              <w:ind w:firstLine="0"/>
              <w:jc w:val="center"/>
              <w:rPr>
                <w:b/>
                <w:i/>
              </w:rPr>
            </w:pPr>
            <w:r w:rsidRPr="009E18B2">
              <w:rPr>
                <w:b/>
                <w:i/>
              </w:rPr>
              <w:t>Количество Объектов</w:t>
            </w:r>
          </w:p>
        </w:tc>
        <w:tc>
          <w:tcPr>
            <w:tcW w:w="992" w:type="dxa"/>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14:paraId="75C14125" w14:textId="77777777" w:rsidR="00EC492E" w:rsidRPr="009E18B2" w:rsidRDefault="00EC492E" w:rsidP="009E18B2">
            <w:pPr>
              <w:ind w:firstLine="0"/>
              <w:jc w:val="center"/>
              <w:rPr>
                <w:b/>
                <w:i/>
              </w:rPr>
            </w:pPr>
            <w:r w:rsidRPr="009E18B2">
              <w:rPr>
                <w:b/>
                <w:i/>
              </w:rPr>
              <w:t>Доля, %</w:t>
            </w:r>
          </w:p>
        </w:tc>
      </w:tr>
      <w:tr w:rsidR="00EC492E" w:rsidRPr="00824D31" w14:paraId="1F03123F" w14:textId="77777777" w:rsidTr="009E18B2">
        <w:trPr>
          <w:trHeight w:val="510"/>
        </w:trPr>
        <w:tc>
          <w:tcPr>
            <w:tcW w:w="2008" w:type="dxa"/>
            <w:vMerge w:val="restart"/>
            <w:tcBorders>
              <w:top w:val="nil"/>
              <w:left w:val="single" w:sz="4" w:space="0" w:color="auto"/>
              <w:bottom w:val="single" w:sz="4" w:space="0" w:color="auto"/>
              <w:right w:val="single" w:sz="4" w:space="0" w:color="auto"/>
            </w:tcBorders>
            <w:noWrap/>
            <w:vAlign w:val="center"/>
            <w:hideMark/>
          </w:tcPr>
          <w:p w14:paraId="4F54951C" w14:textId="77777777" w:rsidR="00EC492E" w:rsidRPr="00824D31" w:rsidRDefault="00EC492E" w:rsidP="00E80077">
            <w:pPr>
              <w:ind w:firstLine="0"/>
            </w:pPr>
            <w:r w:rsidRPr="00824D31">
              <w:t>Объекты, предназначенные для хранения транспорта</w:t>
            </w:r>
          </w:p>
        </w:tc>
        <w:tc>
          <w:tcPr>
            <w:tcW w:w="1404" w:type="dxa"/>
            <w:tcBorders>
              <w:top w:val="nil"/>
              <w:left w:val="nil"/>
              <w:bottom w:val="single" w:sz="4" w:space="0" w:color="auto"/>
              <w:right w:val="single" w:sz="4" w:space="0" w:color="auto"/>
            </w:tcBorders>
            <w:noWrap/>
            <w:vAlign w:val="center"/>
            <w:hideMark/>
          </w:tcPr>
          <w:p w14:paraId="7AE925BD" w14:textId="77777777" w:rsidR="00EC492E" w:rsidRPr="00824D31" w:rsidRDefault="00EC492E" w:rsidP="00E80077">
            <w:pPr>
              <w:ind w:firstLine="0"/>
            </w:pPr>
            <w:r w:rsidRPr="00824D31">
              <w:t>301</w:t>
            </w:r>
          </w:p>
        </w:tc>
        <w:tc>
          <w:tcPr>
            <w:tcW w:w="3250" w:type="dxa"/>
            <w:tcBorders>
              <w:top w:val="nil"/>
              <w:left w:val="nil"/>
              <w:bottom w:val="single" w:sz="4" w:space="0" w:color="auto"/>
              <w:right w:val="single" w:sz="4" w:space="0" w:color="auto"/>
            </w:tcBorders>
            <w:vAlign w:val="center"/>
            <w:hideMark/>
          </w:tcPr>
          <w:p w14:paraId="5D59CA4E" w14:textId="77777777" w:rsidR="00EC492E" w:rsidRPr="00824D31" w:rsidRDefault="00EC492E" w:rsidP="00E80077">
            <w:pPr>
              <w:ind w:firstLine="0"/>
            </w:pPr>
            <w:r w:rsidRPr="00824D31">
              <w:t>Открытые автостоянки автомобилей (покрытые площадки и проезды)</w:t>
            </w:r>
          </w:p>
        </w:tc>
        <w:tc>
          <w:tcPr>
            <w:tcW w:w="1418" w:type="dxa"/>
            <w:tcBorders>
              <w:top w:val="nil"/>
              <w:left w:val="nil"/>
              <w:bottom w:val="single" w:sz="4" w:space="0" w:color="auto"/>
              <w:right w:val="single" w:sz="4" w:space="0" w:color="auto"/>
            </w:tcBorders>
            <w:noWrap/>
            <w:vAlign w:val="center"/>
            <w:hideMark/>
          </w:tcPr>
          <w:p w14:paraId="58B2FBE9" w14:textId="77777777" w:rsidR="00EC492E" w:rsidRPr="00824D31" w:rsidRDefault="00EC492E" w:rsidP="009E18B2">
            <w:pPr>
              <w:ind w:firstLine="0"/>
              <w:jc w:val="center"/>
            </w:pPr>
            <w:r w:rsidRPr="00824D31">
              <w:t>110</w:t>
            </w:r>
          </w:p>
        </w:tc>
        <w:tc>
          <w:tcPr>
            <w:tcW w:w="992" w:type="dxa"/>
            <w:tcBorders>
              <w:top w:val="nil"/>
              <w:left w:val="nil"/>
              <w:bottom w:val="single" w:sz="4" w:space="0" w:color="auto"/>
              <w:right w:val="single" w:sz="4" w:space="0" w:color="auto"/>
            </w:tcBorders>
            <w:noWrap/>
            <w:vAlign w:val="center"/>
            <w:hideMark/>
          </w:tcPr>
          <w:p w14:paraId="6576F0DC" w14:textId="77777777" w:rsidR="00EC492E" w:rsidRPr="00824D31" w:rsidRDefault="00EC492E" w:rsidP="009E18B2">
            <w:pPr>
              <w:ind w:firstLine="0"/>
              <w:jc w:val="center"/>
            </w:pPr>
            <w:r w:rsidRPr="00824D31">
              <w:t>0,23%</w:t>
            </w:r>
          </w:p>
        </w:tc>
      </w:tr>
      <w:tr w:rsidR="00EC492E" w:rsidRPr="00824D31" w14:paraId="38B0C645" w14:textId="77777777" w:rsidTr="009E18B2">
        <w:trPr>
          <w:trHeight w:val="255"/>
        </w:trPr>
        <w:tc>
          <w:tcPr>
            <w:tcW w:w="2008" w:type="dxa"/>
            <w:vMerge/>
            <w:tcBorders>
              <w:top w:val="nil"/>
              <w:left w:val="single" w:sz="4" w:space="0" w:color="auto"/>
              <w:bottom w:val="single" w:sz="4" w:space="0" w:color="auto"/>
              <w:right w:val="single" w:sz="4" w:space="0" w:color="auto"/>
            </w:tcBorders>
            <w:vAlign w:val="center"/>
            <w:hideMark/>
          </w:tcPr>
          <w:p w14:paraId="53DFCB0F" w14:textId="77777777" w:rsidR="00EC492E" w:rsidRPr="00824D31" w:rsidRDefault="00EC492E" w:rsidP="00E80077">
            <w:pPr>
              <w:ind w:firstLine="0"/>
            </w:pPr>
          </w:p>
        </w:tc>
        <w:tc>
          <w:tcPr>
            <w:tcW w:w="1404" w:type="dxa"/>
            <w:tcBorders>
              <w:top w:val="nil"/>
              <w:left w:val="nil"/>
              <w:bottom w:val="single" w:sz="4" w:space="0" w:color="auto"/>
              <w:right w:val="single" w:sz="4" w:space="0" w:color="auto"/>
            </w:tcBorders>
            <w:noWrap/>
            <w:vAlign w:val="center"/>
            <w:hideMark/>
          </w:tcPr>
          <w:p w14:paraId="4B7DE5ED" w14:textId="77777777" w:rsidR="00EC492E" w:rsidRPr="00824D31" w:rsidRDefault="00EC492E" w:rsidP="00E80077">
            <w:pPr>
              <w:ind w:firstLine="0"/>
            </w:pPr>
            <w:r w:rsidRPr="00824D31">
              <w:t>302</w:t>
            </w:r>
          </w:p>
        </w:tc>
        <w:tc>
          <w:tcPr>
            <w:tcW w:w="3250" w:type="dxa"/>
            <w:tcBorders>
              <w:top w:val="nil"/>
              <w:left w:val="nil"/>
              <w:bottom w:val="single" w:sz="4" w:space="0" w:color="auto"/>
              <w:right w:val="single" w:sz="4" w:space="0" w:color="auto"/>
            </w:tcBorders>
            <w:vAlign w:val="center"/>
            <w:hideMark/>
          </w:tcPr>
          <w:p w14:paraId="37EA8905" w14:textId="77777777" w:rsidR="00EC492E" w:rsidRPr="00824D31" w:rsidRDefault="00EC492E" w:rsidP="00E80077">
            <w:pPr>
              <w:ind w:firstLine="0"/>
            </w:pPr>
            <w:r w:rsidRPr="00824D31">
              <w:t>Гаражи индивидуальные отдельностоящие</w:t>
            </w:r>
          </w:p>
        </w:tc>
        <w:tc>
          <w:tcPr>
            <w:tcW w:w="1418" w:type="dxa"/>
            <w:tcBorders>
              <w:top w:val="nil"/>
              <w:left w:val="nil"/>
              <w:bottom w:val="single" w:sz="4" w:space="0" w:color="auto"/>
              <w:right w:val="single" w:sz="4" w:space="0" w:color="auto"/>
            </w:tcBorders>
            <w:noWrap/>
            <w:vAlign w:val="center"/>
            <w:hideMark/>
          </w:tcPr>
          <w:p w14:paraId="3B974914" w14:textId="1C0A877F" w:rsidR="00EC492E" w:rsidRPr="00824D31" w:rsidRDefault="00784CD7" w:rsidP="009E18B2">
            <w:pPr>
              <w:ind w:firstLine="0"/>
              <w:jc w:val="center"/>
            </w:pPr>
            <w:r>
              <w:t>12306</w:t>
            </w:r>
          </w:p>
        </w:tc>
        <w:tc>
          <w:tcPr>
            <w:tcW w:w="992" w:type="dxa"/>
            <w:tcBorders>
              <w:top w:val="nil"/>
              <w:left w:val="nil"/>
              <w:bottom w:val="single" w:sz="4" w:space="0" w:color="auto"/>
              <w:right w:val="single" w:sz="4" w:space="0" w:color="auto"/>
            </w:tcBorders>
            <w:noWrap/>
            <w:vAlign w:val="center"/>
            <w:hideMark/>
          </w:tcPr>
          <w:p w14:paraId="35DB49F3" w14:textId="641D26E4" w:rsidR="00EC492E" w:rsidRPr="00824D31" w:rsidRDefault="00EC492E" w:rsidP="00784CD7">
            <w:pPr>
              <w:ind w:firstLine="0"/>
              <w:jc w:val="center"/>
            </w:pPr>
            <w:r w:rsidRPr="00824D31">
              <w:t>25,2</w:t>
            </w:r>
            <w:r w:rsidR="00784CD7">
              <w:t>3</w:t>
            </w:r>
            <w:r w:rsidRPr="00824D31">
              <w:t>%</w:t>
            </w:r>
          </w:p>
        </w:tc>
      </w:tr>
      <w:tr w:rsidR="00EC492E" w:rsidRPr="00824D31" w14:paraId="7B4CD681" w14:textId="77777777" w:rsidTr="009E18B2">
        <w:trPr>
          <w:trHeight w:val="510"/>
        </w:trPr>
        <w:tc>
          <w:tcPr>
            <w:tcW w:w="2008" w:type="dxa"/>
            <w:vMerge/>
            <w:tcBorders>
              <w:top w:val="nil"/>
              <w:left w:val="single" w:sz="4" w:space="0" w:color="auto"/>
              <w:bottom w:val="single" w:sz="4" w:space="0" w:color="auto"/>
              <w:right w:val="single" w:sz="4" w:space="0" w:color="auto"/>
            </w:tcBorders>
            <w:vAlign w:val="center"/>
            <w:hideMark/>
          </w:tcPr>
          <w:p w14:paraId="70B31A7B" w14:textId="77777777" w:rsidR="00EC492E" w:rsidRPr="00824D31" w:rsidRDefault="00EC492E" w:rsidP="00E80077">
            <w:pPr>
              <w:ind w:firstLine="0"/>
            </w:pPr>
          </w:p>
        </w:tc>
        <w:tc>
          <w:tcPr>
            <w:tcW w:w="1404" w:type="dxa"/>
            <w:tcBorders>
              <w:top w:val="nil"/>
              <w:left w:val="nil"/>
              <w:bottom w:val="single" w:sz="4" w:space="0" w:color="auto"/>
              <w:right w:val="single" w:sz="4" w:space="0" w:color="auto"/>
            </w:tcBorders>
            <w:noWrap/>
            <w:vAlign w:val="center"/>
            <w:hideMark/>
          </w:tcPr>
          <w:p w14:paraId="220BE396" w14:textId="77777777" w:rsidR="00EC492E" w:rsidRPr="00824D31" w:rsidRDefault="00EC492E" w:rsidP="00E80077">
            <w:pPr>
              <w:ind w:firstLine="0"/>
            </w:pPr>
            <w:r w:rsidRPr="00824D31">
              <w:t>303</w:t>
            </w:r>
          </w:p>
        </w:tc>
        <w:tc>
          <w:tcPr>
            <w:tcW w:w="3250" w:type="dxa"/>
            <w:tcBorders>
              <w:top w:val="nil"/>
              <w:left w:val="nil"/>
              <w:bottom w:val="single" w:sz="4" w:space="0" w:color="auto"/>
              <w:right w:val="single" w:sz="4" w:space="0" w:color="auto"/>
            </w:tcBorders>
            <w:vAlign w:val="center"/>
            <w:hideMark/>
          </w:tcPr>
          <w:p w14:paraId="3D26B18E" w14:textId="77777777" w:rsidR="00EC492E" w:rsidRPr="00824D31" w:rsidRDefault="00EC492E" w:rsidP="00E80077">
            <w:pPr>
              <w:ind w:firstLine="0"/>
            </w:pPr>
            <w:r w:rsidRPr="00824D31">
              <w:t>Гаражные кооперативы (сблокированные индивидуальные гаражи)</w:t>
            </w:r>
          </w:p>
        </w:tc>
        <w:tc>
          <w:tcPr>
            <w:tcW w:w="1418" w:type="dxa"/>
            <w:tcBorders>
              <w:top w:val="nil"/>
              <w:left w:val="nil"/>
              <w:bottom w:val="single" w:sz="4" w:space="0" w:color="auto"/>
              <w:right w:val="single" w:sz="4" w:space="0" w:color="auto"/>
            </w:tcBorders>
            <w:noWrap/>
            <w:vAlign w:val="center"/>
            <w:hideMark/>
          </w:tcPr>
          <w:p w14:paraId="10767A0B" w14:textId="2E8F2644" w:rsidR="00EC492E" w:rsidRPr="00824D31" w:rsidRDefault="00784CD7" w:rsidP="009E18B2">
            <w:pPr>
              <w:ind w:firstLine="0"/>
              <w:jc w:val="center"/>
            </w:pPr>
            <w:r>
              <w:t>32015</w:t>
            </w:r>
          </w:p>
        </w:tc>
        <w:tc>
          <w:tcPr>
            <w:tcW w:w="992" w:type="dxa"/>
            <w:tcBorders>
              <w:top w:val="nil"/>
              <w:left w:val="nil"/>
              <w:bottom w:val="single" w:sz="4" w:space="0" w:color="auto"/>
              <w:right w:val="single" w:sz="4" w:space="0" w:color="auto"/>
            </w:tcBorders>
            <w:noWrap/>
            <w:vAlign w:val="center"/>
            <w:hideMark/>
          </w:tcPr>
          <w:p w14:paraId="2C34A93A" w14:textId="6E3FB675" w:rsidR="00EC492E" w:rsidRPr="00824D31" w:rsidRDefault="00784CD7" w:rsidP="009E18B2">
            <w:pPr>
              <w:ind w:firstLine="0"/>
              <w:jc w:val="center"/>
            </w:pPr>
            <w:r>
              <w:t>65,63</w:t>
            </w:r>
            <w:r w:rsidR="00EC492E" w:rsidRPr="00824D31">
              <w:t>%</w:t>
            </w:r>
          </w:p>
        </w:tc>
      </w:tr>
      <w:tr w:rsidR="00EC492E" w:rsidRPr="00824D31" w14:paraId="7003FCC9" w14:textId="77777777" w:rsidTr="009E18B2">
        <w:trPr>
          <w:trHeight w:val="255"/>
        </w:trPr>
        <w:tc>
          <w:tcPr>
            <w:tcW w:w="2008" w:type="dxa"/>
            <w:vMerge/>
            <w:tcBorders>
              <w:top w:val="nil"/>
              <w:left w:val="single" w:sz="4" w:space="0" w:color="auto"/>
              <w:bottom w:val="single" w:sz="4" w:space="0" w:color="auto"/>
              <w:right w:val="single" w:sz="4" w:space="0" w:color="auto"/>
            </w:tcBorders>
            <w:vAlign w:val="center"/>
            <w:hideMark/>
          </w:tcPr>
          <w:p w14:paraId="4DCE1B28" w14:textId="77777777" w:rsidR="00EC492E" w:rsidRPr="00824D31" w:rsidRDefault="00EC492E" w:rsidP="00E80077">
            <w:pPr>
              <w:ind w:firstLine="0"/>
            </w:pPr>
          </w:p>
        </w:tc>
        <w:tc>
          <w:tcPr>
            <w:tcW w:w="1404" w:type="dxa"/>
            <w:tcBorders>
              <w:top w:val="nil"/>
              <w:left w:val="nil"/>
              <w:bottom w:val="single" w:sz="4" w:space="0" w:color="auto"/>
              <w:right w:val="single" w:sz="4" w:space="0" w:color="auto"/>
            </w:tcBorders>
            <w:noWrap/>
            <w:vAlign w:val="center"/>
            <w:hideMark/>
          </w:tcPr>
          <w:p w14:paraId="76F4B6F4" w14:textId="77777777" w:rsidR="00EC492E" w:rsidRPr="00824D31" w:rsidRDefault="00EC492E" w:rsidP="00E80077">
            <w:pPr>
              <w:ind w:firstLine="0"/>
            </w:pPr>
            <w:r w:rsidRPr="00824D31">
              <w:t>304</w:t>
            </w:r>
          </w:p>
        </w:tc>
        <w:tc>
          <w:tcPr>
            <w:tcW w:w="3250" w:type="dxa"/>
            <w:tcBorders>
              <w:top w:val="nil"/>
              <w:left w:val="nil"/>
              <w:bottom w:val="single" w:sz="4" w:space="0" w:color="auto"/>
              <w:right w:val="single" w:sz="4" w:space="0" w:color="auto"/>
            </w:tcBorders>
            <w:vAlign w:val="center"/>
            <w:hideMark/>
          </w:tcPr>
          <w:p w14:paraId="251B9E49" w14:textId="77777777" w:rsidR="00EC492E" w:rsidRPr="00824D31" w:rsidRDefault="00EC492E" w:rsidP="00E80077">
            <w:pPr>
              <w:ind w:firstLine="0"/>
            </w:pPr>
            <w:r w:rsidRPr="00824D31">
              <w:t>Паркинги</w:t>
            </w:r>
          </w:p>
        </w:tc>
        <w:tc>
          <w:tcPr>
            <w:tcW w:w="1418" w:type="dxa"/>
            <w:tcBorders>
              <w:top w:val="nil"/>
              <w:left w:val="nil"/>
              <w:bottom w:val="single" w:sz="4" w:space="0" w:color="auto"/>
              <w:right w:val="single" w:sz="4" w:space="0" w:color="auto"/>
            </w:tcBorders>
            <w:noWrap/>
            <w:vAlign w:val="center"/>
            <w:hideMark/>
          </w:tcPr>
          <w:p w14:paraId="2F9422DF" w14:textId="77777777" w:rsidR="00EC492E" w:rsidRPr="00824D31" w:rsidRDefault="00EC492E" w:rsidP="009E18B2">
            <w:pPr>
              <w:ind w:firstLine="0"/>
              <w:jc w:val="center"/>
            </w:pPr>
            <w:r w:rsidRPr="00824D31">
              <w:t>390</w:t>
            </w:r>
          </w:p>
        </w:tc>
        <w:tc>
          <w:tcPr>
            <w:tcW w:w="992" w:type="dxa"/>
            <w:tcBorders>
              <w:top w:val="nil"/>
              <w:left w:val="nil"/>
              <w:bottom w:val="single" w:sz="4" w:space="0" w:color="auto"/>
              <w:right w:val="single" w:sz="4" w:space="0" w:color="auto"/>
            </w:tcBorders>
            <w:noWrap/>
            <w:vAlign w:val="center"/>
            <w:hideMark/>
          </w:tcPr>
          <w:p w14:paraId="610AA25F" w14:textId="77777777" w:rsidR="00EC492E" w:rsidRPr="00824D31" w:rsidRDefault="00EC492E" w:rsidP="009E18B2">
            <w:pPr>
              <w:ind w:firstLine="0"/>
              <w:jc w:val="center"/>
            </w:pPr>
            <w:r w:rsidRPr="00824D31">
              <w:t>0,80%</w:t>
            </w:r>
          </w:p>
        </w:tc>
      </w:tr>
      <w:tr w:rsidR="00EC492E" w:rsidRPr="00824D31" w14:paraId="35B53AAD" w14:textId="77777777" w:rsidTr="009E18B2">
        <w:trPr>
          <w:trHeight w:val="510"/>
        </w:trPr>
        <w:tc>
          <w:tcPr>
            <w:tcW w:w="2008" w:type="dxa"/>
            <w:vMerge/>
            <w:tcBorders>
              <w:top w:val="nil"/>
              <w:left w:val="single" w:sz="4" w:space="0" w:color="auto"/>
              <w:bottom w:val="single" w:sz="4" w:space="0" w:color="auto"/>
              <w:right w:val="single" w:sz="4" w:space="0" w:color="auto"/>
            </w:tcBorders>
            <w:vAlign w:val="center"/>
            <w:hideMark/>
          </w:tcPr>
          <w:p w14:paraId="6405A8E6" w14:textId="77777777" w:rsidR="00EC492E" w:rsidRPr="00824D31" w:rsidRDefault="00EC492E" w:rsidP="00E80077">
            <w:pPr>
              <w:ind w:firstLine="0"/>
            </w:pPr>
          </w:p>
        </w:tc>
        <w:tc>
          <w:tcPr>
            <w:tcW w:w="1404" w:type="dxa"/>
            <w:tcBorders>
              <w:top w:val="nil"/>
              <w:left w:val="nil"/>
              <w:bottom w:val="single" w:sz="4" w:space="0" w:color="auto"/>
              <w:right w:val="single" w:sz="4" w:space="0" w:color="auto"/>
            </w:tcBorders>
            <w:noWrap/>
            <w:vAlign w:val="center"/>
            <w:hideMark/>
          </w:tcPr>
          <w:p w14:paraId="482D5F63" w14:textId="77777777" w:rsidR="00EC492E" w:rsidRPr="00824D31" w:rsidRDefault="00EC492E" w:rsidP="00E80077">
            <w:pPr>
              <w:ind w:firstLine="0"/>
            </w:pPr>
            <w:r w:rsidRPr="00824D31">
              <w:t>305</w:t>
            </w:r>
          </w:p>
        </w:tc>
        <w:tc>
          <w:tcPr>
            <w:tcW w:w="3250" w:type="dxa"/>
            <w:tcBorders>
              <w:top w:val="nil"/>
              <w:left w:val="nil"/>
              <w:bottom w:val="single" w:sz="4" w:space="0" w:color="auto"/>
              <w:right w:val="single" w:sz="4" w:space="0" w:color="auto"/>
            </w:tcBorders>
            <w:vAlign w:val="center"/>
            <w:hideMark/>
          </w:tcPr>
          <w:p w14:paraId="0FB13F05" w14:textId="77777777" w:rsidR="00EC492E" w:rsidRPr="00824D31" w:rsidRDefault="00EC492E" w:rsidP="00E80077">
            <w:pPr>
              <w:ind w:firstLine="0"/>
            </w:pPr>
            <w:r w:rsidRPr="00824D31">
              <w:t>Гаражи производственные, ведомственные для легковых автомобилей</w:t>
            </w:r>
          </w:p>
        </w:tc>
        <w:tc>
          <w:tcPr>
            <w:tcW w:w="1418" w:type="dxa"/>
            <w:tcBorders>
              <w:top w:val="nil"/>
              <w:left w:val="nil"/>
              <w:bottom w:val="single" w:sz="4" w:space="0" w:color="auto"/>
              <w:right w:val="single" w:sz="4" w:space="0" w:color="auto"/>
            </w:tcBorders>
            <w:noWrap/>
            <w:vAlign w:val="center"/>
            <w:hideMark/>
          </w:tcPr>
          <w:p w14:paraId="1DCB656E" w14:textId="160250B0" w:rsidR="00EC492E" w:rsidRPr="00824D31" w:rsidRDefault="00EC492E" w:rsidP="00784CD7">
            <w:pPr>
              <w:ind w:firstLine="0"/>
              <w:jc w:val="center"/>
            </w:pPr>
            <w:r w:rsidRPr="00824D31">
              <w:t>110</w:t>
            </w:r>
            <w:r w:rsidR="00784CD7">
              <w:t>6</w:t>
            </w:r>
          </w:p>
        </w:tc>
        <w:tc>
          <w:tcPr>
            <w:tcW w:w="992" w:type="dxa"/>
            <w:tcBorders>
              <w:top w:val="nil"/>
              <w:left w:val="nil"/>
              <w:bottom w:val="single" w:sz="4" w:space="0" w:color="auto"/>
              <w:right w:val="single" w:sz="4" w:space="0" w:color="auto"/>
            </w:tcBorders>
            <w:noWrap/>
            <w:vAlign w:val="center"/>
            <w:hideMark/>
          </w:tcPr>
          <w:p w14:paraId="1EFEF2CC" w14:textId="77777777" w:rsidR="00EC492E" w:rsidRPr="00824D31" w:rsidRDefault="00EC492E" w:rsidP="009E18B2">
            <w:pPr>
              <w:ind w:firstLine="0"/>
              <w:jc w:val="center"/>
            </w:pPr>
            <w:r w:rsidRPr="00824D31">
              <w:t>2,27%</w:t>
            </w:r>
          </w:p>
        </w:tc>
      </w:tr>
      <w:tr w:rsidR="00EC492E" w:rsidRPr="00824D31" w14:paraId="0A1BA4C2" w14:textId="77777777" w:rsidTr="009E18B2">
        <w:trPr>
          <w:trHeight w:val="510"/>
        </w:trPr>
        <w:tc>
          <w:tcPr>
            <w:tcW w:w="2008" w:type="dxa"/>
            <w:vMerge/>
            <w:tcBorders>
              <w:top w:val="nil"/>
              <w:left w:val="single" w:sz="4" w:space="0" w:color="auto"/>
              <w:bottom w:val="single" w:sz="4" w:space="0" w:color="auto"/>
              <w:right w:val="single" w:sz="4" w:space="0" w:color="auto"/>
            </w:tcBorders>
            <w:vAlign w:val="center"/>
            <w:hideMark/>
          </w:tcPr>
          <w:p w14:paraId="0498CC07" w14:textId="77777777" w:rsidR="00EC492E" w:rsidRPr="00824D31" w:rsidRDefault="00EC492E" w:rsidP="00E80077">
            <w:pPr>
              <w:ind w:firstLine="0"/>
            </w:pPr>
          </w:p>
        </w:tc>
        <w:tc>
          <w:tcPr>
            <w:tcW w:w="1404" w:type="dxa"/>
            <w:tcBorders>
              <w:top w:val="nil"/>
              <w:left w:val="nil"/>
              <w:bottom w:val="single" w:sz="4" w:space="0" w:color="auto"/>
              <w:right w:val="single" w:sz="4" w:space="0" w:color="auto"/>
            </w:tcBorders>
            <w:noWrap/>
            <w:vAlign w:val="center"/>
            <w:hideMark/>
          </w:tcPr>
          <w:p w14:paraId="74D7DF76" w14:textId="77777777" w:rsidR="00EC492E" w:rsidRPr="00824D31" w:rsidRDefault="00EC492E" w:rsidP="00E80077">
            <w:pPr>
              <w:ind w:firstLine="0"/>
            </w:pPr>
            <w:r w:rsidRPr="00824D31">
              <w:t>306</w:t>
            </w:r>
          </w:p>
        </w:tc>
        <w:tc>
          <w:tcPr>
            <w:tcW w:w="3250" w:type="dxa"/>
            <w:tcBorders>
              <w:top w:val="nil"/>
              <w:left w:val="nil"/>
              <w:bottom w:val="single" w:sz="4" w:space="0" w:color="auto"/>
              <w:right w:val="single" w:sz="4" w:space="0" w:color="auto"/>
            </w:tcBorders>
            <w:vAlign w:val="center"/>
            <w:hideMark/>
          </w:tcPr>
          <w:p w14:paraId="18A4B78B" w14:textId="77777777" w:rsidR="00EC492E" w:rsidRPr="00824D31" w:rsidRDefault="00EC492E" w:rsidP="00E80077">
            <w:pPr>
              <w:ind w:firstLine="0"/>
            </w:pPr>
            <w:r w:rsidRPr="00824D31">
              <w:t>Гаражи производственные, ведомственные для грузовых автомобилей и автобусов</w:t>
            </w:r>
          </w:p>
        </w:tc>
        <w:tc>
          <w:tcPr>
            <w:tcW w:w="1418" w:type="dxa"/>
            <w:tcBorders>
              <w:top w:val="nil"/>
              <w:left w:val="nil"/>
              <w:bottom w:val="single" w:sz="4" w:space="0" w:color="auto"/>
              <w:right w:val="single" w:sz="4" w:space="0" w:color="auto"/>
            </w:tcBorders>
            <w:noWrap/>
            <w:vAlign w:val="center"/>
            <w:hideMark/>
          </w:tcPr>
          <w:p w14:paraId="022204C6" w14:textId="26016D80" w:rsidR="00EC492E" w:rsidRPr="00824D31" w:rsidRDefault="00784CD7" w:rsidP="009E18B2">
            <w:pPr>
              <w:ind w:firstLine="0"/>
              <w:jc w:val="center"/>
            </w:pPr>
            <w:r>
              <w:t>2564</w:t>
            </w:r>
          </w:p>
        </w:tc>
        <w:tc>
          <w:tcPr>
            <w:tcW w:w="992" w:type="dxa"/>
            <w:tcBorders>
              <w:top w:val="nil"/>
              <w:left w:val="nil"/>
              <w:bottom w:val="single" w:sz="4" w:space="0" w:color="auto"/>
              <w:right w:val="single" w:sz="4" w:space="0" w:color="auto"/>
            </w:tcBorders>
            <w:noWrap/>
            <w:vAlign w:val="center"/>
            <w:hideMark/>
          </w:tcPr>
          <w:p w14:paraId="6E1DD906" w14:textId="3ED9E7B6" w:rsidR="00EC492E" w:rsidRPr="00824D31" w:rsidRDefault="00784CD7" w:rsidP="009E18B2">
            <w:pPr>
              <w:ind w:firstLine="0"/>
              <w:jc w:val="center"/>
            </w:pPr>
            <w:r>
              <w:t>5,26</w:t>
            </w:r>
            <w:r w:rsidR="00EC492E" w:rsidRPr="00824D31">
              <w:t>%</w:t>
            </w:r>
          </w:p>
        </w:tc>
      </w:tr>
      <w:tr w:rsidR="00EC492E" w:rsidRPr="00824D31" w14:paraId="42D98286" w14:textId="77777777" w:rsidTr="009E18B2">
        <w:trPr>
          <w:trHeight w:val="510"/>
        </w:trPr>
        <w:tc>
          <w:tcPr>
            <w:tcW w:w="2008" w:type="dxa"/>
            <w:vMerge/>
            <w:tcBorders>
              <w:top w:val="nil"/>
              <w:left w:val="single" w:sz="4" w:space="0" w:color="auto"/>
              <w:bottom w:val="single" w:sz="4" w:space="0" w:color="auto"/>
              <w:right w:val="single" w:sz="4" w:space="0" w:color="auto"/>
            </w:tcBorders>
            <w:vAlign w:val="center"/>
            <w:hideMark/>
          </w:tcPr>
          <w:p w14:paraId="618C6E55" w14:textId="77777777" w:rsidR="00EC492E" w:rsidRPr="00824D31" w:rsidRDefault="00EC492E" w:rsidP="00E80077">
            <w:pPr>
              <w:ind w:firstLine="0"/>
            </w:pPr>
          </w:p>
        </w:tc>
        <w:tc>
          <w:tcPr>
            <w:tcW w:w="1404" w:type="dxa"/>
            <w:tcBorders>
              <w:top w:val="nil"/>
              <w:left w:val="nil"/>
              <w:bottom w:val="single" w:sz="4" w:space="0" w:color="auto"/>
              <w:right w:val="single" w:sz="4" w:space="0" w:color="auto"/>
            </w:tcBorders>
            <w:noWrap/>
            <w:vAlign w:val="center"/>
            <w:hideMark/>
          </w:tcPr>
          <w:p w14:paraId="63719422" w14:textId="77777777" w:rsidR="00EC492E" w:rsidRPr="00824D31" w:rsidRDefault="00EC492E" w:rsidP="00E80077">
            <w:pPr>
              <w:ind w:firstLine="0"/>
            </w:pPr>
            <w:r w:rsidRPr="00824D31">
              <w:t>307</w:t>
            </w:r>
          </w:p>
        </w:tc>
        <w:tc>
          <w:tcPr>
            <w:tcW w:w="3250" w:type="dxa"/>
            <w:tcBorders>
              <w:top w:val="nil"/>
              <w:left w:val="nil"/>
              <w:bottom w:val="single" w:sz="4" w:space="0" w:color="auto"/>
              <w:right w:val="single" w:sz="4" w:space="0" w:color="auto"/>
            </w:tcBorders>
            <w:vAlign w:val="center"/>
            <w:hideMark/>
          </w:tcPr>
          <w:p w14:paraId="174CD3B7" w14:textId="77777777" w:rsidR="00EC492E" w:rsidRPr="00824D31" w:rsidRDefault="00EC492E" w:rsidP="00E80077">
            <w:pPr>
              <w:ind w:firstLine="0"/>
            </w:pPr>
            <w:r w:rsidRPr="00824D31">
              <w:t>Гаражи производственные, ведомственные для спецтехники, включая гаражи, депо пожарных машин</w:t>
            </w:r>
          </w:p>
        </w:tc>
        <w:tc>
          <w:tcPr>
            <w:tcW w:w="1418" w:type="dxa"/>
            <w:tcBorders>
              <w:top w:val="nil"/>
              <w:left w:val="nil"/>
              <w:bottom w:val="single" w:sz="4" w:space="0" w:color="auto"/>
              <w:right w:val="single" w:sz="4" w:space="0" w:color="auto"/>
            </w:tcBorders>
            <w:noWrap/>
            <w:vAlign w:val="center"/>
            <w:hideMark/>
          </w:tcPr>
          <w:p w14:paraId="7962D484" w14:textId="6978845D" w:rsidR="00EC492E" w:rsidRPr="00824D31" w:rsidRDefault="00784CD7" w:rsidP="009E18B2">
            <w:pPr>
              <w:ind w:firstLine="0"/>
              <w:jc w:val="center"/>
            </w:pPr>
            <w:r>
              <w:t>275</w:t>
            </w:r>
          </w:p>
        </w:tc>
        <w:tc>
          <w:tcPr>
            <w:tcW w:w="992" w:type="dxa"/>
            <w:tcBorders>
              <w:top w:val="nil"/>
              <w:left w:val="nil"/>
              <w:bottom w:val="single" w:sz="4" w:space="0" w:color="auto"/>
              <w:right w:val="single" w:sz="4" w:space="0" w:color="auto"/>
            </w:tcBorders>
            <w:noWrap/>
            <w:vAlign w:val="center"/>
            <w:hideMark/>
          </w:tcPr>
          <w:p w14:paraId="5F7FBF44" w14:textId="0967EA10" w:rsidR="00EC492E" w:rsidRPr="00824D31" w:rsidRDefault="00784CD7" w:rsidP="009E18B2">
            <w:pPr>
              <w:ind w:firstLine="0"/>
              <w:jc w:val="center"/>
            </w:pPr>
            <w:r>
              <w:t>0,56</w:t>
            </w:r>
            <w:r w:rsidR="00EC492E" w:rsidRPr="00824D31">
              <w:t>%</w:t>
            </w:r>
          </w:p>
        </w:tc>
      </w:tr>
      <w:tr w:rsidR="00EC492E" w:rsidRPr="00824D31" w14:paraId="27FBB604" w14:textId="77777777" w:rsidTr="009E18B2">
        <w:trPr>
          <w:trHeight w:val="255"/>
        </w:trPr>
        <w:tc>
          <w:tcPr>
            <w:tcW w:w="2008" w:type="dxa"/>
            <w:vMerge/>
            <w:tcBorders>
              <w:top w:val="nil"/>
              <w:left w:val="single" w:sz="4" w:space="0" w:color="auto"/>
              <w:bottom w:val="single" w:sz="4" w:space="0" w:color="auto"/>
              <w:right w:val="single" w:sz="4" w:space="0" w:color="auto"/>
            </w:tcBorders>
            <w:vAlign w:val="center"/>
            <w:hideMark/>
          </w:tcPr>
          <w:p w14:paraId="2D711AF5" w14:textId="77777777" w:rsidR="00EC492E" w:rsidRPr="00824D31" w:rsidRDefault="00EC492E" w:rsidP="00E80077">
            <w:pPr>
              <w:ind w:firstLine="0"/>
            </w:pPr>
          </w:p>
        </w:tc>
        <w:tc>
          <w:tcPr>
            <w:tcW w:w="1404" w:type="dxa"/>
            <w:tcBorders>
              <w:top w:val="nil"/>
              <w:left w:val="nil"/>
              <w:bottom w:val="single" w:sz="4" w:space="0" w:color="auto"/>
              <w:right w:val="single" w:sz="4" w:space="0" w:color="auto"/>
            </w:tcBorders>
            <w:noWrap/>
            <w:vAlign w:val="center"/>
            <w:hideMark/>
          </w:tcPr>
          <w:p w14:paraId="6723FF65" w14:textId="77777777" w:rsidR="00EC492E" w:rsidRPr="00824D31" w:rsidRDefault="00EC492E" w:rsidP="00E80077">
            <w:pPr>
              <w:ind w:firstLine="0"/>
            </w:pPr>
            <w:r w:rsidRPr="00824D31">
              <w:t>308</w:t>
            </w:r>
          </w:p>
        </w:tc>
        <w:tc>
          <w:tcPr>
            <w:tcW w:w="3250" w:type="dxa"/>
            <w:tcBorders>
              <w:top w:val="nil"/>
              <w:left w:val="nil"/>
              <w:bottom w:val="single" w:sz="4" w:space="0" w:color="auto"/>
              <w:right w:val="single" w:sz="4" w:space="0" w:color="auto"/>
            </w:tcBorders>
            <w:vAlign w:val="center"/>
            <w:hideMark/>
          </w:tcPr>
          <w:p w14:paraId="6B09B016" w14:textId="77777777" w:rsidR="00EC492E" w:rsidRPr="00824D31" w:rsidRDefault="00EC492E" w:rsidP="00E80077">
            <w:pPr>
              <w:ind w:firstLine="0"/>
            </w:pPr>
            <w:r w:rsidRPr="00824D31">
              <w:t>Открытые стоянки водного транспорта</w:t>
            </w:r>
          </w:p>
        </w:tc>
        <w:tc>
          <w:tcPr>
            <w:tcW w:w="1418" w:type="dxa"/>
            <w:tcBorders>
              <w:top w:val="nil"/>
              <w:left w:val="nil"/>
              <w:bottom w:val="single" w:sz="4" w:space="0" w:color="auto"/>
              <w:right w:val="single" w:sz="4" w:space="0" w:color="auto"/>
            </w:tcBorders>
            <w:noWrap/>
            <w:vAlign w:val="center"/>
            <w:hideMark/>
          </w:tcPr>
          <w:p w14:paraId="6DB5397F" w14:textId="77777777" w:rsidR="00EC492E" w:rsidRPr="00824D31" w:rsidRDefault="00EC492E" w:rsidP="009E18B2">
            <w:pPr>
              <w:ind w:firstLine="0"/>
              <w:jc w:val="center"/>
            </w:pPr>
            <w:r w:rsidRPr="00824D31">
              <w:t>1</w:t>
            </w:r>
          </w:p>
        </w:tc>
        <w:tc>
          <w:tcPr>
            <w:tcW w:w="992" w:type="dxa"/>
            <w:tcBorders>
              <w:top w:val="nil"/>
              <w:left w:val="nil"/>
              <w:bottom w:val="single" w:sz="4" w:space="0" w:color="auto"/>
              <w:right w:val="single" w:sz="4" w:space="0" w:color="auto"/>
            </w:tcBorders>
            <w:noWrap/>
            <w:vAlign w:val="center"/>
            <w:hideMark/>
          </w:tcPr>
          <w:p w14:paraId="5C6BA091" w14:textId="77777777" w:rsidR="00EC492E" w:rsidRPr="00824D31" w:rsidRDefault="00EC492E" w:rsidP="009E18B2">
            <w:pPr>
              <w:ind w:firstLine="0"/>
              <w:jc w:val="center"/>
            </w:pPr>
            <w:r w:rsidRPr="00824D31">
              <w:t>0,00%</w:t>
            </w:r>
          </w:p>
        </w:tc>
      </w:tr>
      <w:tr w:rsidR="00EC492E" w:rsidRPr="00824D31" w14:paraId="1DDB8631" w14:textId="77777777" w:rsidTr="009E18B2">
        <w:trPr>
          <w:trHeight w:val="255"/>
        </w:trPr>
        <w:tc>
          <w:tcPr>
            <w:tcW w:w="2008" w:type="dxa"/>
            <w:vMerge/>
            <w:tcBorders>
              <w:top w:val="nil"/>
              <w:left w:val="single" w:sz="4" w:space="0" w:color="auto"/>
              <w:bottom w:val="single" w:sz="4" w:space="0" w:color="auto"/>
              <w:right w:val="single" w:sz="4" w:space="0" w:color="auto"/>
            </w:tcBorders>
            <w:vAlign w:val="center"/>
            <w:hideMark/>
          </w:tcPr>
          <w:p w14:paraId="7E827B09" w14:textId="77777777" w:rsidR="00EC492E" w:rsidRPr="00824D31" w:rsidRDefault="00EC492E" w:rsidP="00E80077">
            <w:pPr>
              <w:ind w:firstLine="0"/>
            </w:pPr>
          </w:p>
        </w:tc>
        <w:tc>
          <w:tcPr>
            <w:tcW w:w="1404" w:type="dxa"/>
            <w:tcBorders>
              <w:top w:val="nil"/>
              <w:left w:val="nil"/>
              <w:bottom w:val="single" w:sz="4" w:space="0" w:color="auto"/>
              <w:right w:val="single" w:sz="4" w:space="0" w:color="auto"/>
            </w:tcBorders>
            <w:noWrap/>
            <w:vAlign w:val="center"/>
            <w:hideMark/>
          </w:tcPr>
          <w:p w14:paraId="6EB70253" w14:textId="77777777" w:rsidR="00EC492E" w:rsidRPr="00824D31" w:rsidRDefault="00EC492E" w:rsidP="00E80077">
            <w:pPr>
              <w:ind w:firstLine="0"/>
            </w:pPr>
            <w:r w:rsidRPr="00824D31">
              <w:t>311</w:t>
            </w:r>
          </w:p>
        </w:tc>
        <w:tc>
          <w:tcPr>
            <w:tcW w:w="3250" w:type="dxa"/>
            <w:tcBorders>
              <w:top w:val="nil"/>
              <w:left w:val="nil"/>
              <w:bottom w:val="single" w:sz="4" w:space="0" w:color="auto"/>
              <w:right w:val="single" w:sz="4" w:space="0" w:color="auto"/>
            </w:tcBorders>
            <w:vAlign w:val="center"/>
            <w:hideMark/>
          </w:tcPr>
          <w:p w14:paraId="7DE1264E" w14:textId="77777777" w:rsidR="00EC492E" w:rsidRPr="00824D31" w:rsidRDefault="00EC492E" w:rsidP="00E80077">
            <w:pPr>
              <w:ind w:firstLine="0"/>
            </w:pPr>
            <w:r w:rsidRPr="00824D31">
              <w:t>Открытые стоянки воздушного транспорта</w:t>
            </w:r>
          </w:p>
        </w:tc>
        <w:tc>
          <w:tcPr>
            <w:tcW w:w="1418" w:type="dxa"/>
            <w:tcBorders>
              <w:top w:val="nil"/>
              <w:left w:val="nil"/>
              <w:bottom w:val="single" w:sz="4" w:space="0" w:color="auto"/>
              <w:right w:val="single" w:sz="4" w:space="0" w:color="auto"/>
            </w:tcBorders>
            <w:noWrap/>
            <w:vAlign w:val="center"/>
            <w:hideMark/>
          </w:tcPr>
          <w:p w14:paraId="41877DCA" w14:textId="77777777" w:rsidR="00EC492E" w:rsidRPr="00824D31" w:rsidRDefault="00EC492E" w:rsidP="009E18B2">
            <w:pPr>
              <w:ind w:firstLine="0"/>
              <w:jc w:val="center"/>
            </w:pPr>
            <w:r w:rsidRPr="00824D31">
              <w:t>13</w:t>
            </w:r>
          </w:p>
        </w:tc>
        <w:tc>
          <w:tcPr>
            <w:tcW w:w="992" w:type="dxa"/>
            <w:tcBorders>
              <w:top w:val="nil"/>
              <w:left w:val="nil"/>
              <w:bottom w:val="single" w:sz="4" w:space="0" w:color="auto"/>
              <w:right w:val="single" w:sz="4" w:space="0" w:color="auto"/>
            </w:tcBorders>
            <w:noWrap/>
            <w:vAlign w:val="center"/>
            <w:hideMark/>
          </w:tcPr>
          <w:p w14:paraId="05F1872D" w14:textId="77777777" w:rsidR="00EC492E" w:rsidRPr="00824D31" w:rsidRDefault="00EC492E" w:rsidP="009E18B2">
            <w:pPr>
              <w:ind w:firstLine="0"/>
              <w:jc w:val="center"/>
            </w:pPr>
            <w:r w:rsidRPr="00824D31">
              <w:t>0,03%</w:t>
            </w:r>
          </w:p>
        </w:tc>
      </w:tr>
      <w:tr w:rsidR="00EC492E" w:rsidRPr="00824D31" w14:paraId="70B4E60C" w14:textId="77777777" w:rsidTr="009E18B2">
        <w:trPr>
          <w:trHeight w:val="255"/>
        </w:trPr>
        <w:tc>
          <w:tcPr>
            <w:tcW w:w="2008" w:type="dxa"/>
            <w:tcBorders>
              <w:top w:val="nil"/>
              <w:left w:val="single" w:sz="4" w:space="0" w:color="auto"/>
              <w:bottom w:val="single" w:sz="4" w:space="0" w:color="auto"/>
              <w:right w:val="single" w:sz="4" w:space="0" w:color="auto"/>
            </w:tcBorders>
            <w:noWrap/>
            <w:vAlign w:val="center"/>
            <w:hideMark/>
          </w:tcPr>
          <w:p w14:paraId="09B7CC29" w14:textId="77777777" w:rsidR="00EC492E" w:rsidRPr="00824D31" w:rsidRDefault="00EC492E" w:rsidP="00E80077">
            <w:pPr>
              <w:ind w:firstLine="0"/>
            </w:pPr>
            <w:r w:rsidRPr="00824D31">
              <w:t> </w:t>
            </w:r>
          </w:p>
        </w:tc>
        <w:tc>
          <w:tcPr>
            <w:tcW w:w="1404" w:type="dxa"/>
            <w:tcBorders>
              <w:top w:val="nil"/>
              <w:left w:val="nil"/>
              <w:bottom w:val="single" w:sz="4" w:space="0" w:color="auto"/>
              <w:right w:val="single" w:sz="4" w:space="0" w:color="auto"/>
            </w:tcBorders>
            <w:noWrap/>
            <w:vAlign w:val="center"/>
          </w:tcPr>
          <w:p w14:paraId="6B2009DF" w14:textId="77777777" w:rsidR="00EC492E" w:rsidRPr="00824D31" w:rsidRDefault="00EC492E" w:rsidP="00E80077">
            <w:pPr>
              <w:ind w:firstLine="0"/>
            </w:pPr>
          </w:p>
        </w:tc>
        <w:tc>
          <w:tcPr>
            <w:tcW w:w="3250" w:type="dxa"/>
            <w:tcBorders>
              <w:top w:val="nil"/>
              <w:left w:val="nil"/>
              <w:bottom w:val="single" w:sz="4" w:space="0" w:color="auto"/>
              <w:right w:val="single" w:sz="4" w:space="0" w:color="auto"/>
            </w:tcBorders>
            <w:noWrap/>
            <w:vAlign w:val="center"/>
            <w:hideMark/>
          </w:tcPr>
          <w:p w14:paraId="4727AD11" w14:textId="77777777" w:rsidR="00EC492E" w:rsidRPr="00824D31" w:rsidRDefault="00EC492E" w:rsidP="00E80077">
            <w:pPr>
              <w:ind w:firstLine="0"/>
            </w:pPr>
            <w:r w:rsidRPr="00824D31">
              <w:t> ИТОГО</w:t>
            </w:r>
          </w:p>
        </w:tc>
        <w:tc>
          <w:tcPr>
            <w:tcW w:w="1418" w:type="dxa"/>
            <w:tcBorders>
              <w:top w:val="nil"/>
              <w:left w:val="nil"/>
              <w:bottom w:val="single" w:sz="4" w:space="0" w:color="auto"/>
              <w:right w:val="single" w:sz="4" w:space="0" w:color="auto"/>
            </w:tcBorders>
            <w:noWrap/>
            <w:vAlign w:val="center"/>
            <w:hideMark/>
          </w:tcPr>
          <w:p w14:paraId="58274528" w14:textId="716C6BB9" w:rsidR="00EC492E" w:rsidRPr="00824D31" w:rsidRDefault="00EC492E" w:rsidP="00784CD7">
            <w:pPr>
              <w:ind w:firstLine="0"/>
              <w:jc w:val="center"/>
            </w:pPr>
            <w:r w:rsidRPr="00824D31">
              <w:t>48</w:t>
            </w:r>
            <w:r w:rsidR="00784CD7">
              <w:t xml:space="preserve"> 780</w:t>
            </w:r>
          </w:p>
        </w:tc>
        <w:tc>
          <w:tcPr>
            <w:tcW w:w="992" w:type="dxa"/>
            <w:tcBorders>
              <w:top w:val="nil"/>
              <w:left w:val="nil"/>
              <w:bottom w:val="single" w:sz="4" w:space="0" w:color="auto"/>
              <w:right w:val="single" w:sz="4" w:space="0" w:color="auto"/>
            </w:tcBorders>
            <w:noWrap/>
            <w:vAlign w:val="center"/>
            <w:hideMark/>
          </w:tcPr>
          <w:p w14:paraId="75950384" w14:textId="77777777" w:rsidR="00EC492E" w:rsidRPr="00824D31" w:rsidRDefault="00EC492E" w:rsidP="009E18B2">
            <w:pPr>
              <w:ind w:firstLine="0"/>
              <w:jc w:val="center"/>
            </w:pPr>
            <w:r w:rsidRPr="00824D31">
              <w:t>100,00%</w:t>
            </w:r>
          </w:p>
        </w:tc>
      </w:tr>
    </w:tbl>
    <w:p w14:paraId="66EA4761" w14:textId="77777777" w:rsidR="00EC492E" w:rsidRPr="00824D31" w:rsidRDefault="00EC492E" w:rsidP="00EC492E"/>
    <w:p w14:paraId="44C1392B" w14:textId="77777777" w:rsidR="00EC492E" w:rsidRPr="00784CD7" w:rsidRDefault="00EC492E" w:rsidP="00EC492E">
      <w:r w:rsidRPr="00824D31">
        <w:t xml:space="preserve">Основную часть Объектов рассматриваемой группы составляют «Гаражные кооперативы (сблокированные индивидуальные гаражи)» </w:t>
      </w:r>
      <w:r w:rsidRPr="00784CD7">
        <w:t>- 65,61%.</w:t>
      </w:r>
    </w:p>
    <w:p w14:paraId="43BAF3CC" w14:textId="77777777" w:rsidR="00EC492E" w:rsidRPr="00824D31" w:rsidRDefault="00EC492E" w:rsidP="00EC492E">
      <w:bookmarkStart w:id="88" w:name="_Toc466639847"/>
      <w:bookmarkStart w:id="89" w:name="_Toc339302511"/>
      <w:r w:rsidRPr="00824D31">
        <w:t>Объекты недвижимости 3 группы были разбиты на подгруппы по следующим критериям:</w:t>
      </w:r>
    </w:p>
    <w:p w14:paraId="7627B664" w14:textId="77777777" w:rsidR="00EC492E" w:rsidRPr="00824D31" w:rsidRDefault="00EC492E" w:rsidP="00EC492E">
      <w:r w:rsidRPr="00824D31">
        <w:t>1. В зависимости от степени готовности объекта:</w:t>
      </w:r>
    </w:p>
    <w:p w14:paraId="6C8D1FFF" w14:textId="77777777" w:rsidR="00EC492E" w:rsidRPr="00824D31" w:rsidRDefault="00EC492E" w:rsidP="00EC492E">
      <w:r w:rsidRPr="00824D31">
        <w:t xml:space="preserve">- объекты, строительство которых завершено (здания, помещения, сооружения, машино-места); </w:t>
      </w:r>
    </w:p>
    <w:p w14:paraId="7D117BA2" w14:textId="77777777" w:rsidR="00EC492E" w:rsidRPr="00824D31" w:rsidRDefault="00EC492E" w:rsidP="00EC492E">
      <w:r w:rsidRPr="00824D31">
        <w:t>-объекты незавершенного строительства.</w:t>
      </w:r>
    </w:p>
    <w:p w14:paraId="22C0FBC0" w14:textId="77777777" w:rsidR="00EC492E" w:rsidRPr="00824D31" w:rsidRDefault="00EC492E" w:rsidP="00EC492E">
      <w:r w:rsidRPr="00824D31">
        <w:t>2. в зависимости от местоположения:</w:t>
      </w:r>
    </w:p>
    <w:p w14:paraId="6086BF01" w14:textId="77777777" w:rsidR="00EC492E" w:rsidRPr="00824D31" w:rsidRDefault="00EC492E" w:rsidP="00EC492E">
      <w:r w:rsidRPr="00824D31">
        <w:t>- объекты, точное местоположение которых возможно установить;</w:t>
      </w:r>
    </w:p>
    <w:p w14:paraId="2C5A636E" w14:textId="77777777" w:rsidR="00EC492E" w:rsidRPr="00824D31" w:rsidRDefault="00EC492E" w:rsidP="00EC492E">
      <w:r w:rsidRPr="00824D31">
        <w:t xml:space="preserve">- объекты, точное местоположение которых невозможно установить. </w:t>
      </w:r>
    </w:p>
    <w:p w14:paraId="22A5332D" w14:textId="42C9C0A2" w:rsidR="00EC492E" w:rsidRPr="00824D31" w:rsidRDefault="00EC492E" w:rsidP="00EC492E">
      <w:r w:rsidRPr="00824D31">
        <w:t>В подгруппу объектов, точное местоположени</w:t>
      </w:r>
      <w:r w:rsidR="008F16D6">
        <w:t xml:space="preserve">е которых возможно установить, </w:t>
      </w:r>
      <w:r w:rsidRPr="00824D31">
        <w:t>относятся объекты, местоположение которых:</w:t>
      </w:r>
    </w:p>
    <w:p w14:paraId="36A91260" w14:textId="77777777" w:rsidR="00EC492E" w:rsidRPr="00824D31" w:rsidRDefault="00EC492E" w:rsidP="00EC492E">
      <w:r w:rsidRPr="00824D31">
        <w:t>- возможно установить до уровня дома;</w:t>
      </w:r>
    </w:p>
    <w:p w14:paraId="0F32BC3A" w14:textId="77777777" w:rsidR="00EC492E" w:rsidRPr="00824D31" w:rsidRDefault="00EC492E" w:rsidP="00EC492E">
      <w:r w:rsidRPr="00824D31">
        <w:t>- возможно установить до уровня улицы;</w:t>
      </w:r>
    </w:p>
    <w:p w14:paraId="286BBE42" w14:textId="77777777" w:rsidR="00EC492E" w:rsidRPr="00824D31" w:rsidRDefault="00EC492E" w:rsidP="00EC492E">
      <w:r w:rsidRPr="00824D31">
        <w:t>- возможно установить до уровня кадастрового квартала.</w:t>
      </w:r>
    </w:p>
    <w:p w14:paraId="486EC4DD" w14:textId="77777777" w:rsidR="00EC492E" w:rsidRPr="00824D31" w:rsidRDefault="00EC492E" w:rsidP="00EC492E">
      <w:r w:rsidRPr="00824D31">
        <w:t>При этом для объектов, расположенных в сельских населенных пунктах, отнесенных в подгруппу объектов, точное местоположение которых возможно установить, допустимым является установление местоположения до уровня населенного пункта.</w:t>
      </w:r>
    </w:p>
    <w:p w14:paraId="5C8338C9" w14:textId="77777777" w:rsidR="00EC492E" w:rsidRPr="00824D31" w:rsidRDefault="00EC492E" w:rsidP="00EC492E">
      <w:r w:rsidRPr="00824D31">
        <w:t>К подгруппе объектов, точное местоположение которых невозможно установить, относятся объекты, местоположение которых:</w:t>
      </w:r>
    </w:p>
    <w:p w14:paraId="31266371" w14:textId="77777777" w:rsidR="00EC492E" w:rsidRPr="00824D31" w:rsidRDefault="00EC492E" w:rsidP="00EC492E">
      <w:r w:rsidRPr="00824D31">
        <w:t>- возможно установить только до уровня муниципального образования;</w:t>
      </w:r>
    </w:p>
    <w:p w14:paraId="28C1B986" w14:textId="77777777" w:rsidR="00EC492E" w:rsidRPr="00824D31" w:rsidRDefault="00EC492E" w:rsidP="00EC492E">
      <w:r w:rsidRPr="00824D31">
        <w:t>- возможно установить только до уровня субъекта Российской Федерации.</w:t>
      </w:r>
    </w:p>
    <w:p w14:paraId="2AF70A7F" w14:textId="77777777" w:rsidR="00EC492E" w:rsidRPr="00824D31" w:rsidRDefault="00EC492E" w:rsidP="00EC492E">
      <w:r w:rsidRPr="00824D31">
        <w:t>3. В зависимости от статуса населенного пункта разделение на группы (подгруппы) производилось по принципу:</w:t>
      </w:r>
    </w:p>
    <w:p w14:paraId="625A622E" w14:textId="77777777" w:rsidR="00EC492E" w:rsidRPr="00824D31" w:rsidRDefault="00EC492E" w:rsidP="00EC492E">
      <w:r w:rsidRPr="00824D31">
        <w:t>- объекты, расположенные в столице субъекта Российской Федерации;</w:t>
      </w:r>
    </w:p>
    <w:p w14:paraId="407579D2" w14:textId="77777777" w:rsidR="00EC492E" w:rsidRPr="00824D31" w:rsidRDefault="00EC492E" w:rsidP="00EC492E">
      <w:r w:rsidRPr="00824D31">
        <w:t>- объекты, расположенные в прочих городских населенных пунктах;</w:t>
      </w:r>
    </w:p>
    <w:p w14:paraId="75CF3179" w14:textId="77777777" w:rsidR="00EC492E" w:rsidRPr="00824D31" w:rsidRDefault="00EC492E" w:rsidP="00EC492E">
      <w:r w:rsidRPr="00824D31">
        <w:t>- объекты, расположенные в сельских населенных пунктах;</w:t>
      </w:r>
    </w:p>
    <w:p w14:paraId="28A9D409" w14:textId="77777777" w:rsidR="00EC492E" w:rsidRPr="00824D31" w:rsidRDefault="00EC492E" w:rsidP="00EC492E">
      <w:r w:rsidRPr="00824D31">
        <w:t>-  объекты, расположенные вне черты населенных пунктов.</w:t>
      </w:r>
    </w:p>
    <w:p w14:paraId="16383876" w14:textId="77777777" w:rsidR="00EC492E" w:rsidRPr="00824D31" w:rsidRDefault="00EC492E" w:rsidP="00EC492E">
      <w:r w:rsidRPr="00824D31">
        <w:t xml:space="preserve">Выделенные на оцениваемой территории группы объектов оценки соответствуют следующим требованиям: </w:t>
      </w:r>
    </w:p>
    <w:p w14:paraId="05DABC85" w14:textId="77777777" w:rsidR="00EC492E" w:rsidRPr="00824D31" w:rsidRDefault="00EC492E" w:rsidP="00EC492E">
      <w:r w:rsidRPr="00824D31">
        <w:t>- однородны с точки зрения значений (диапазонов значений) ценообразующих факторов;</w:t>
      </w:r>
    </w:p>
    <w:p w14:paraId="337EEFE4" w14:textId="77777777" w:rsidR="00EC492E" w:rsidRPr="00824D31" w:rsidRDefault="00EC492E" w:rsidP="00EC492E">
      <w:r w:rsidRPr="00824D31">
        <w:t>- полностью покрывают группу объектов оценки (каждый объект оценки должен быть отнесен к какой-либо группе/подгруппе);</w:t>
      </w:r>
    </w:p>
    <w:p w14:paraId="27C5D2CC" w14:textId="77777777" w:rsidR="00EC492E" w:rsidRPr="00824D31" w:rsidRDefault="00EC492E" w:rsidP="00EC492E">
      <w:r w:rsidRPr="00824D31">
        <w:t>- не пересекаются - объект оценки может быть отнесен только к одной группе/подгруппе.</w:t>
      </w:r>
    </w:p>
    <w:p w14:paraId="6B34B532" w14:textId="77777777" w:rsidR="00EC492E" w:rsidRPr="00824D31" w:rsidRDefault="00EC492E" w:rsidP="00EC492E">
      <w:r w:rsidRPr="00824D31">
        <w:t xml:space="preserve">Представленная группировка позволяет объединить объекты недвижимости по общности признаков со схожими принципами ценообразования и примерно одинаковым уровнем цен на объекты недвижимости. </w:t>
      </w:r>
    </w:p>
    <w:p w14:paraId="60183E3E" w14:textId="77777777" w:rsidR="00EC492E" w:rsidRPr="008F16D6" w:rsidRDefault="00EC492E" w:rsidP="00EC492E">
      <w:pPr>
        <w:rPr>
          <w:b/>
        </w:rPr>
      </w:pPr>
    </w:p>
    <w:p w14:paraId="56A87F51" w14:textId="5E944D7F" w:rsidR="00EC492E" w:rsidRPr="008F16D6" w:rsidRDefault="00EC492E" w:rsidP="008F16D6">
      <w:pPr>
        <w:rPr>
          <w:b/>
        </w:rPr>
      </w:pPr>
      <w:bookmarkStart w:id="90" w:name="_Toc466639848"/>
      <w:bookmarkStart w:id="91" w:name="_Toc339302512"/>
      <w:bookmarkEnd w:id="88"/>
      <w:bookmarkEnd w:id="89"/>
      <w:r w:rsidRPr="008F16D6">
        <w:rPr>
          <w:b/>
        </w:rPr>
        <w:t>4 группа «Объекты коммерческого назначения, предназначенные</w:t>
      </w:r>
      <w:r w:rsidR="008F16D6" w:rsidRPr="008F16D6">
        <w:rPr>
          <w:b/>
        </w:rPr>
        <w:t xml:space="preserve"> для оказания услуг населению, </w:t>
      </w:r>
      <w:r w:rsidRPr="008F16D6">
        <w:rPr>
          <w:b/>
        </w:rPr>
        <w:t>включая многофункционального назначения»</w:t>
      </w:r>
      <w:bookmarkEnd w:id="90"/>
      <w:bookmarkEnd w:id="91"/>
    </w:p>
    <w:p w14:paraId="19293566" w14:textId="77777777" w:rsidR="00EC492E" w:rsidRPr="00824D31" w:rsidRDefault="00EC492E" w:rsidP="00EC492E"/>
    <w:p w14:paraId="5CF23DE7" w14:textId="14E48C3B" w:rsidR="00EC492E" w:rsidRPr="00824D31" w:rsidRDefault="00EC492E" w:rsidP="00EC492E">
      <w:r w:rsidRPr="00824D31">
        <w:t xml:space="preserve">Объекты данной группы представляют собой объекты коммерческой недвижимости, используемые для осуществления предпринимательской деятельности, направленной </w:t>
      </w:r>
      <w:r w:rsidR="00CF779D" w:rsidRPr="00824D31">
        <w:t>на систематическое получение,</w:t>
      </w:r>
      <w:r w:rsidRPr="00824D31">
        <w:t xml:space="preserve"> прибыли от продажи товаров, выполнения работ или оказания услуг.</w:t>
      </w:r>
    </w:p>
    <w:p w14:paraId="543DBB6E" w14:textId="77777777" w:rsidR="00EC492E" w:rsidRPr="00824D31" w:rsidRDefault="00EC492E" w:rsidP="00EC492E">
      <w:r w:rsidRPr="00824D31">
        <w:t>К объектам 4 группы относятся:</w:t>
      </w:r>
    </w:p>
    <w:p w14:paraId="5F4C561B" w14:textId="77777777" w:rsidR="00EC492E" w:rsidRPr="00824D31" w:rsidRDefault="00EC492E" w:rsidP="00EC492E">
      <w:r w:rsidRPr="00824D31">
        <w:t>- здания и помещения оптовой и розничной торговли;</w:t>
      </w:r>
    </w:p>
    <w:p w14:paraId="0E904046" w14:textId="77777777" w:rsidR="00EC492E" w:rsidRPr="00824D31" w:rsidRDefault="00EC492E" w:rsidP="00EC492E">
      <w:r w:rsidRPr="00824D31">
        <w:t>- здания и помещения многофункциональных торгово-сервисных комплексов, торгово-административных объектов, торгово-развлекательных объектов, за исключением отдельно стоящих зданий концертных залов, спортивно-концертных комплексов, кинотеатров, комплексов аттракционов, торгово-складских объектов, торговых баз;</w:t>
      </w:r>
    </w:p>
    <w:p w14:paraId="4EFE7793" w14:textId="77777777" w:rsidR="00EC492E" w:rsidRPr="00824D31" w:rsidRDefault="00EC492E" w:rsidP="00EC492E">
      <w:r w:rsidRPr="00824D31">
        <w:t>- здания и помещения общественного питания;</w:t>
      </w:r>
    </w:p>
    <w:p w14:paraId="133E1A72" w14:textId="77777777" w:rsidR="00EC492E" w:rsidRPr="00824D31" w:rsidRDefault="00EC492E" w:rsidP="00EC492E">
      <w:r w:rsidRPr="00824D31">
        <w:t>- здания и помещения ресторанов, кафе, баров, столовых при предприятиях и учреждениях, предприятий поставки продукции общественного питания;</w:t>
      </w:r>
    </w:p>
    <w:p w14:paraId="50894B4C" w14:textId="77777777" w:rsidR="00EC492E" w:rsidRPr="00824D31" w:rsidRDefault="00EC492E" w:rsidP="00EC492E">
      <w:r w:rsidRPr="00824D31">
        <w:t>- здания и помещения рынков;</w:t>
      </w:r>
    </w:p>
    <w:p w14:paraId="3E1A922E" w14:textId="77777777" w:rsidR="00EC492E" w:rsidRPr="00824D31" w:rsidRDefault="00EC492E" w:rsidP="00EC492E">
      <w:r w:rsidRPr="00824D31">
        <w:t>- здания и помещения автозаправочных, газонаполнительных, автогазозаправочных станций;</w:t>
      </w:r>
    </w:p>
    <w:p w14:paraId="1C66B3F2" w14:textId="77777777" w:rsidR="00EC492E" w:rsidRPr="00824D31" w:rsidRDefault="00EC492E" w:rsidP="00EC492E">
      <w:r w:rsidRPr="00824D31">
        <w:t>- здания и помещения автомоек;</w:t>
      </w:r>
    </w:p>
    <w:p w14:paraId="2B121E76" w14:textId="77777777" w:rsidR="00EC492E" w:rsidRPr="00824D31" w:rsidRDefault="00EC492E" w:rsidP="00EC492E">
      <w:r w:rsidRPr="00824D31">
        <w:t>- здания и помещения автосалонов;</w:t>
      </w:r>
    </w:p>
    <w:p w14:paraId="71275CA5" w14:textId="77777777" w:rsidR="00EC492E" w:rsidRPr="00824D31" w:rsidRDefault="00EC492E" w:rsidP="00EC492E">
      <w:r w:rsidRPr="00824D31">
        <w:t>- ломбарды.</w:t>
      </w:r>
    </w:p>
    <w:p w14:paraId="0E1A2699" w14:textId="77777777" w:rsidR="00EC492E" w:rsidRPr="00824D31" w:rsidRDefault="00EC492E" w:rsidP="00EC492E">
      <w:r w:rsidRPr="00824D31">
        <w:t>Номера подрупп, входящих в состав группы: 0401-0413. В связи с отсутствием в наименовании объектов ломбардов, в подгруппу 0413 объекты не относились.</w:t>
      </w:r>
    </w:p>
    <w:p w14:paraId="1C476A6A" w14:textId="2CB05D56" w:rsidR="00EC492E" w:rsidRPr="00824D31" w:rsidRDefault="00EC492E" w:rsidP="00EC492E">
      <w:r w:rsidRPr="00824D31">
        <w:t xml:space="preserve">Общее количество Объектов оценки, отнесенных к группе «Объекты коммерческого назначения, предназначенные для оказания услуг населению, включая многофункционального назначения» составляет 10 </w:t>
      </w:r>
      <w:r w:rsidR="00AA2A17">
        <w:t>589</w:t>
      </w:r>
      <w:r w:rsidRPr="00824D31">
        <w:t> Объектов.</w:t>
      </w:r>
    </w:p>
    <w:p w14:paraId="7ACA2C23" w14:textId="77777777" w:rsidR="00EC492E" w:rsidRPr="00824D31" w:rsidRDefault="00EC492E" w:rsidP="00EC492E"/>
    <w:p w14:paraId="390C2D6E" w14:textId="77E23DAB" w:rsidR="00EC492E" w:rsidRPr="00824D31" w:rsidRDefault="00EC492E" w:rsidP="00763AD2">
      <w:pPr>
        <w:pStyle w:val="afffffff0"/>
      </w:pPr>
      <w:r w:rsidRPr="00824D31">
        <w:t xml:space="preserve">Таблица </w:t>
      </w:r>
      <w:r w:rsidR="00A90944">
        <w:fldChar w:fldCharType="begin"/>
      </w:r>
      <w:r w:rsidR="00A90944">
        <w:instrText xml:space="preserve"> SEQ Таблица \* ARABI</w:instrText>
      </w:r>
      <w:r w:rsidR="00A90944">
        <w:instrText xml:space="preserve">C </w:instrText>
      </w:r>
      <w:r w:rsidR="00A90944">
        <w:fldChar w:fldCharType="separate"/>
      </w:r>
      <w:r w:rsidR="00FD2769">
        <w:rPr>
          <w:noProof/>
        </w:rPr>
        <w:t>36</w:t>
      </w:r>
      <w:r w:rsidR="00A90944">
        <w:rPr>
          <w:noProof/>
        </w:rPr>
        <w:fldChar w:fldCharType="end"/>
      </w:r>
      <w:r w:rsidRPr="00824D31">
        <w:t xml:space="preserve"> Результат группировки Объектов оценки в рамках группы 4 Объекты коммерческого назначения, предназначенные для оказания услуг населению, включая многофункционального назначения </w:t>
      </w:r>
    </w:p>
    <w:tbl>
      <w:tblPr>
        <w:tblW w:w="9498" w:type="dxa"/>
        <w:tblInd w:w="-5" w:type="dxa"/>
        <w:tblLayout w:type="fixed"/>
        <w:tblLook w:val="04A0" w:firstRow="1" w:lastRow="0" w:firstColumn="1" w:lastColumn="0" w:noHBand="0" w:noVBand="1"/>
      </w:tblPr>
      <w:tblGrid>
        <w:gridCol w:w="2460"/>
        <w:gridCol w:w="1244"/>
        <w:gridCol w:w="3663"/>
        <w:gridCol w:w="997"/>
        <w:gridCol w:w="1134"/>
      </w:tblGrid>
      <w:tr w:rsidR="00EC492E" w:rsidRPr="009E18B2" w14:paraId="4BC9E04C" w14:textId="77777777" w:rsidTr="009E18B2">
        <w:trPr>
          <w:trHeight w:val="630"/>
          <w:tblHeader/>
        </w:trPr>
        <w:tc>
          <w:tcPr>
            <w:tcW w:w="2460" w:type="dxa"/>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2337B266" w14:textId="77777777" w:rsidR="00EC492E" w:rsidRPr="009E18B2" w:rsidRDefault="00EC492E" w:rsidP="009E18B2">
            <w:pPr>
              <w:ind w:firstLine="0"/>
              <w:rPr>
                <w:b/>
                <w:i/>
                <w:sz w:val="22"/>
              </w:rPr>
            </w:pPr>
            <w:r w:rsidRPr="009E18B2">
              <w:rPr>
                <w:b/>
                <w:i/>
                <w:sz w:val="22"/>
              </w:rPr>
              <w:t>Наименование группы</w:t>
            </w:r>
          </w:p>
        </w:tc>
        <w:tc>
          <w:tcPr>
            <w:tcW w:w="1244" w:type="dxa"/>
            <w:tcBorders>
              <w:top w:val="single" w:sz="4" w:space="0" w:color="auto"/>
              <w:left w:val="nil"/>
              <w:bottom w:val="single" w:sz="4" w:space="0" w:color="auto"/>
              <w:right w:val="single" w:sz="4" w:space="0" w:color="auto"/>
            </w:tcBorders>
            <w:shd w:val="clear" w:color="auto" w:fill="BFBFBF" w:themeFill="background1" w:themeFillShade="BF"/>
            <w:hideMark/>
          </w:tcPr>
          <w:p w14:paraId="2AC3B9F0" w14:textId="77777777" w:rsidR="00EC492E" w:rsidRPr="009E18B2" w:rsidRDefault="00EC492E" w:rsidP="009E18B2">
            <w:pPr>
              <w:ind w:firstLine="40"/>
              <w:jc w:val="center"/>
              <w:rPr>
                <w:b/>
                <w:i/>
                <w:sz w:val="22"/>
              </w:rPr>
            </w:pPr>
            <w:r w:rsidRPr="009E18B2">
              <w:rPr>
                <w:b/>
                <w:i/>
                <w:sz w:val="22"/>
              </w:rPr>
              <w:t>Код подгруппы</w:t>
            </w:r>
          </w:p>
        </w:tc>
        <w:tc>
          <w:tcPr>
            <w:tcW w:w="3663" w:type="dxa"/>
            <w:tcBorders>
              <w:top w:val="single" w:sz="4" w:space="0" w:color="auto"/>
              <w:left w:val="nil"/>
              <w:bottom w:val="single" w:sz="4" w:space="0" w:color="auto"/>
              <w:right w:val="single" w:sz="4" w:space="0" w:color="auto"/>
            </w:tcBorders>
            <w:shd w:val="clear" w:color="auto" w:fill="BFBFBF" w:themeFill="background1" w:themeFillShade="BF"/>
            <w:hideMark/>
          </w:tcPr>
          <w:p w14:paraId="31C0FF95" w14:textId="77777777" w:rsidR="00EC492E" w:rsidRPr="009E18B2" w:rsidRDefault="00EC492E" w:rsidP="00EC492E">
            <w:pPr>
              <w:rPr>
                <w:b/>
                <w:i/>
                <w:sz w:val="22"/>
              </w:rPr>
            </w:pPr>
            <w:r w:rsidRPr="009E18B2">
              <w:rPr>
                <w:b/>
                <w:i/>
                <w:sz w:val="22"/>
              </w:rPr>
              <w:t>Наименование функциональной подгруппы</w:t>
            </w:r>
          </w:p>
        </w:tc>
        <w:tc>
          <w:tcPr>
            <w:tcW w:w="997" w:type="dxa"/>
            <w:tcBorders>
              <w:top w:val="single" w:sz="4" w:space="0" w:color="auto"/>
              <w:left w:val="nil"/>
              <w:bottom w:val="single" w:sz="4" w:space="0" w:color="auto"/>
              <w:right w:val="single" w:sz="4" w:space="0" w:color="auto"/>
            </w:tcBorders>
            <w:shd w:val="clear" w:color="auto" w:fill="BFBFBF" w:themeFill="background1" w:themeFillShade="BF"/>
            <w:hideMark/>
          </w:tcPr>
          <w:p w14:paraId="5419D756" w14:textId="77777777" w:rsidR="00EC492E" w:rsidRPr="009E18B2" w:rsidRDefault="00EC492E" w:rsidP="009E18B2">
            <w:pPr>
              <w:ind w:firstLine="0"/>
              <w:rPr>
                <w:b/>
                <w:i/>
                <w:sz w:val="22"/>
              </w:rPr>
            </w:pPr>
            <w:r w:rsidRPr="009E18B2">
              <w:rPr>
                <w:b/>
                <w:i/>
                <w:sz w:val="22"/>
              </w:rPr>
              <w:t>Количество Объектов</w:t>
            </w:r>
          </w:p>
        </w:tc>
        <w:tc>
          <w:tcPr>
            <w:tcW w:w="1134" w:type="dxa"/>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14:paraId="7E66E0C5" w14:textId="77777777" w:rsidR="00EC492E" w:rsidRPr="009E18B2" w:rsidRDefault="00EC492E" w:rsidP="009E18B2">
            <w:pPr>
              <w:ind w:firstLine="0"/>
              <w:jc w:val="center"/>
              <w:rPr>
                <w:b/>
                <w:i/>
                <w:sz w:val="22"/>
              </w:rPr>
            </w:pPr>
            <w:r w:rsidRPr="009E18B2">
              <w:rPr>
                <w:b/>
                <w:i/>
                <w:sz w:val="22"/>
              </w:rPr>
              <w:t>Доля, %</w:t>
            </w:r>
          </w:p>
        </w:tc>
      </w:tr>
      <w:tr w:rsidR="008F16D6" w:rsidRPr="009E18B2" w14:paraId="70754318" w14:textId="77777777" w:rsidTr="00A21E6D">
        <w:trPr>
          <w:trHeight w:val="510"/>
        </w:trPr>
        <w:tc>
          <w:tcPr>
            <w:tcW w:w="2460" w:type="dxa"/>
            <w:vMerge w:val="restart"/>
            <w:tcBorders>
              <w:top w:val="nil"/>
              <w:left w:val="single" w:sz="4" w:space="0" w:color="auto"/>
              <w:right w:val="single" w:sz="4" w:space="0" w:color="auto"/>
            </w:tcBorders>
            <w:noWrap/>
            <w:vAlign w:val="center"/>
            <w:hideMark/>
          </w:tcPr>
          <w:p w14:paraId="1AAEB1D5" w14:textId="24F4607C" w:rsidR="008F16D6" w:rsidRPr="009E18B2" w:rsidRDefault="008F16D6" w:rsidP="008F16D6">
            <w:pPr>
              <w:ind w:firstLine="0"/>
              <w:rPr>
                <w:sz w:val="22"/>
              </w:rPr>
            </w:pPr>
            <w:r w:rsidRPr="009E18B2">
              <w:rPr>
                <w:sz w:val="22"/>
              </w:rPr>
              <w:t>Объекты коммерческого назначения, предназначенные для оказания услуг населению, включая многофункционального назначения</w:t>
            </w:r>
          </w:p>
        </w:tc>
        <w:tc>
          <w:tcPr>
            <w:tcW w:w="1244" w:type="dxa"/>
            <w:tcBorders>
              <w:top w:val="nil"/>
              <w:left w:val="nil"/>
              <w:bottom w:val="single" w:sz="4" w:space="0" w:color="auto"/>
              <w:right w:val="single" w:sz="4" w:space="0" w:color="auto"/>
            </w:tcBorders>
            <w:noWrap/>
            <w:vAlign w:val="bottom"/>
            <w:hideMark/>
          </w:tcPr>
          <w:p w14:paraId="3AE8F346" w14:textId="77777777" w:rsidR="008F16D6" w:rsidRPr="009E18B2" w:rsidRDefault="008F16D6" w:rsidP="00041D42">
            <w:pPr>
              <w:ind w:firstLine="0"/>
              <w:rPr>
                <w:sz w:val="22"/>
              </w:rPr>
            </w:pPr>
            <w:r w:rsidRPr="009E18B2">
              <w:rPr>
                <w:sz w:val="22"/>
              </w:rPr>
              <w:t>401</w:t>
            </w:r>
          </w:p>
        </w:tc>
        <w:tc>
          <w:tcPr>
            <w:tcW w:w="3663" w:type="dxa"/>
            <w:tcBorders>
              <w:top w:val="nil"/>
              <w:left w:val="nil"/>
              <w:bottom w:val="single" w:sz="4" w:space="0" w:color="auto"/>
              <w:right w:val="single" w:sz="4" w:space="0" w:color="auto"/>
            </w:tcBorders>
            <w:vAlign w:val="center"/>
            <w:hideMark/>
          </w:tcPr>
          <w:p w14:paraId="15C9956E" w14:textId="77777777" w:rsidR="008F16D6" w:rsidRPr="009E18B2" w:rsidRDefault="008F16D6" w:rsidP="00041D42">
            <w:pPr>
              <w:ind w:firstLine="0"/>
              <w:rPr>
                <w:sz w:val="22"/>
              </w:rPr>
            </w:pPr>
            <w:r w:rsidRPr="009E18B2">
              <w:rPr>
                <w:sz w:val="22"/>
              </w:rPr>
              <w:t>Магазины до 250 кв. м, за исключением киосков, павильонов, ларьков</w:t>
            </w:r>
          </w:p>
        </w:tc>
        <w:tc>
          <w:tcPr>
            <w:tcW w:w="997" w:type="dxa"/>
            <w:tcBorders>
              <w:top w:val="nil"/>
              <w:left w:val="nil"/>
              <w:bottom w:val="single" w:sz="4" w:space="0" w:color="auto"/>
              <w:right w:val="single" w:sz="4" w:space="0" w:color="auto"/>
            </w:tcBorders>
            <w:noWrap/>
            <w:vAlign w:val="center"/>
            <w:hideMark/>
          </w:tcPr>
          <w:p w14:paraId="71765DFF" w14:textId="77777777" w:rsidR="008F16D6" w:rsidRPr="009E18B2" w:rsidRDefault="008F16D6" w:rsidP="00041D42">
            <w:pPr>
              <w:ind w:firstLine="0"/>
              <w:rPr>
                <w:sz w:val="22"/>
              </w:rPr>
            </w:pPr>
            <w:r w:rsidRPr="009E18B2">
              <w:rPr>
                <w:sz w:val="22"/>
              </w:rPr>
              <w:t>4796</w:t>
            </w:r>
          </w:p>
        </w:tc>
        <w:tc>
          <w:tcPr>
            <w:tcW w:w="1134" w:type="dxa"/>
            <w:tcBorders>
              <w:top w:val="nil"/>
              <w:left w:val="nil"/>
              <w:bottom w:val="single" w:sz="4" w:space="0" w:color="auto"/>
              <w:right w:val="single" w:sz="4" w:space="0" w:color="auto"/>
            </w:tcBorders>
            <w:noWrap/>
            <w:vAlign w:val="center"/>
            <w:hideMark/>
          </w:tcPr>
          <w:p w14:paraId="6500F2F3" w14:textId="77777777" w:rsidR="008F16D6" w:rsidRPr="009E18B2" w:rsidRDefault="008F16D6" w:rsidP="00041D42">
            <w:pPr>
              <w:ind w:firstLine="0"/>
              <w:rPr>
                <w:sz w:val="22"/>
              </w:rPr>
            </w:pPr>
            <w:r w:rsidRPr="009E18B2">
              <w:rPr>
                <w:sz w:val="22"/>
              </w:rPr>
              <w:t>45,29%</w:t>
            </w:r>
          </w:p>
        </w:tc>
      </w:tr>
      <w:tr w:rsidR="008F16D6" w:rsidRPr="009E18B2" w14:paraId="6646C329" w14:textId="77777777" w:rsidTr="00A21E6D">
        <w:trPr>
          <w:trHeight w:val="255"/>
        </w:trPr>
        <w:tc>
          <w:tcPr>
            <w:tcW w:w="2460" w:type="dxa"/>
            <w:vMerge/>
            <w:tcBorders>
              <w:left w:val="single" w:sz="4" w:space="0" w:color="auto"/>
              <w:right w:val="single" w:sz="4" w:space="0" w:color="auto"/>
            </w:tcBorders>
            <w:vAlign w:val="center"/>
            <w:hideMark/>
          </w:tcPr>
          <w:p w14:paraId="5D9BE25C" w14:textId="77777777" w:rsidR="008F16D6" w:rsidRPr="009E18B2" w:rsidRDefault="008F16D6" w:rsidP="00EC492E">
            <w:pPr>
              <w:rPr>
                <w:sz w:val="22"/>
              </w:rPr>
            </w:pPr>
          </w:p>
        </w:tc>
        <w:tc>
          <w:tcPr>
            <w:tcW w:w="1244" w:type="dxa"/>
            <w:tcBorders>
              <w:top w:val="nil"/>
              <w:left w:val="nil"/>
              <w:bottom w:val="single" w:sz="4" w:space="0" w:color="auto"/>
              <w:right w:val="single" w:sz="4" w:space="0" w:color="auto"/>
            </w:tcBorders>
            <w:noWrap/>
            <w:vAlign w:val="bottom"/>
            <w:hideMark/>
          </w:tcPr>
          <w:p w14:paraId="4047B9F7" w14:textId="77777777" w:rsidR="008F16D6" w:rsidRPr="009E18B2" w:rsidRDefault="008F16D6" w:rsidP="00041D42">
            <w:pPr>
              <w:ind w:firstLine="0"/>
              <w:rPr>
                <w:sz w:val="22"/>
              </w:rPr>
            </w:pPr>
            <w:r w:rsidRPr="009E18B2">
              <w:rPr>
                <w:sz w:val="22"/>
              </w:rPr>
              <w:t>402</w:t>
            </w:r>
          </w:p>
        </w:tc>
        <w:tc>
          <w:tcPr>
            <w:tcW w:w="3663" w:type="dxa"/>
            <w:tcBorders>
              <w:top w:val="nil"/>
              <w:left w:val="nil"/>
              <w:bottom w:val="single" w:sz="4" w:space="0" w:color="auto"/>
              <w:right w:val="single" w:sz="4" w:space="0" w:color="auto"/>
            </w:tcBorders>
            <w:vAlign w:val="center"/>
            <w:hideMark/>
          </w:tcPr>
          <w:p w14:paraId="1AB60AB4" w14:textId="77777777" w:rsidR="008F16D6" w:rsidRPr="009E18B2" w:rsidRDefault="008F16D6" w:rsidP="00041D42">
            <w:pPr>
              <w:ind w:firstLine="0"/>
              <w:rPr>
                <w:sz w:val="22"/>
              </w:rPr>
            </w:pPr>
            <w:r w:rsidRPr="009E18B2">
              <w:rPr>
                <w:sz w:val="22"/>
              </w:rPr>
              <w:t>Магазины 250 и более кв. м</w:t>
            </w:r>
          </w:p>
        </w:tc>
        <w:tc>
          <w:tcPr>
            <w:tcW w:w="997" w:type="dxa"/>
            <w:tcBorders>
              <w:top w:val="nil"/>
              <w:left w:val="nil"/>
              <w:bottom w:val="single" w:sz="4" w:space="0" w:color="auto"/>
              <w:right w:val="single" w:sz="4" w:space="0" w:color="auto"/>
            </w:tcBorders>
            <w:noWrap/>
            <w:vAlign w:val="center"/>
            <w:hideMark/>
          </w:tcPr>
          <w:p w14:paraId="54C56A4A" w14:textId="77777777" w:rsidR="008F16D6" w:rsidRPr="009E18B2" w:rsidRDefault="008F16D6" w:rsidP="00041D42">
            <w:pPr>
              <w:ind w:firstLine="0"/>
              <w:rPr>
                <w:sz w:val="22"/>
              </w:rPr>
            </w:pPr>
            <w:r w:rsidRPr="009E18B2">
              <w:rPr>
                <w:sz w:val="22"/>
              </w:rPr>
              <w:t>1326</w:t>
            </w:r>
          </w:p>
        </w:tc>
        <w:tc>
          <w:tcPr>
            <w:tcW w:w="1134" w:type="dxa"/>
            <w:tcBorders>
              <w:top w:val="nil"/>
              <w:left w:val="nil"/>
              <w:bottom w:val="single" w:sz="4" w:space="0" w:color="auto"/>
              <w:right w:val="single" w:sz="4" w:space="0" w:color="auto"/>
            </w:tcBorders>
            <w:noWrap/>
            <w:vAlign w:val="center"/>
            <w:hideMark/>
          </w:tcPr>
          <w:p w14:paraId="348B7CFD" w14:textId="77777777" w:rsidR="008F16D6" w:rsidRPr="009E18B2" w:rsidRDefault="008F16D6" w:rsidP="00041D42">
            <w:pPr>
              <w:ind w:firstLine="0"/>
              <w:rPr>
                <w:sz w:val="22"/>
              </w:rPr>
            </w:pPr>
            <w:r w:rsidRPr="009E18B2">
              <w:rPr>
                <w:sz w:val="22"/>
              </w:rPr>
              <w:t>12,52%</w:t>
            </w:r>
          </w:p>
        </w:tc>
      </w:tr>
      <w:tr w:rsidR="008F16D6" w:rsidRPr="009E18B2" w14:paraId="5AAB380C" w14:textId="77777777" w:rsidTr="00A21E6D">
        <w:trPr>
          <w:trHeight w:val="510"/>
        </w:trPr>
        <w:tc>
          <w:tcPr>
            <w:tcW w:w="2460" w:type="dxa"/>
            <w:vMerge/>
            <w:tcBorders>
              <w:left w:val="single" w:sz="4" w:space="0" w:color="auto"/>
              <w:right w:val="single" w:sz="4" w:space="0" w:color="auto"/>
            </w:tcBorders>
            <w:vAlign w:val="center"/>
            <w:hideMark/>
          </w:tcPr>
          <w:p w14:paraId="43B9E026" w14:textId="77777777" w:rsidR="008F16D6" w:rsidRPr="009E18B2" w:rsidRDefault="008F16D6" w:rsidP="00EC492E">
            <w:pPr>
              <w:rPr>
                <w:sz w:val="22"/>
              </w:rPr>
            </w:pPr>
          </w:p>
        </w:tc>
        <w:tc>
          <w:tcPr>
            <w:tcW w:w="1244" w:type="dxa"/>
            <w:tcBorders>
              <w:top w:val="nil"/>
              <w:left w:val="nil"/>
              <w:bottom w:val="single" w:sz="4" w:space="0" w:color="auto"/>
              <w:right w:val="single" w:sz="4" w:space="0" w:color="auto"/>
            </w:tcBorders>
            <w:noWrap/>
            <w:vAlign w:val="bottom"/>
            <w:hideMark/>
          </w:tcPr>
          <w:p w14:paraId="4CD8ECFE" w14:textId="77777777" w:rsidR="008F16D6" w:rsidRPr="009E18B2" w:rsidRDefault="008F16D6" w:rsidP="00041D42">
            <w:pPr>
              <w:ind w:firstLine="0"/>
              <w:rPr>
                <w:sz w:val="22"/>
              </w:rPr>
            </w:pPr>
            <w:r w:rsidRPr="009E18B2">
              <w:rPr>
                <w:sz w:val="22"/>
              </w:rPr>
              <w:t>403</w:t>
            </w:r>
          </w:p>
        </w:tc>
        <w:tc>
          <w:tcPr>
            <w:tcW w:w="3663" w:type="dxa"/>
            <w:tcBorders>
              <w:top w:val="nil"/>
              <w:left w:val="nil"/>
              <w:bottom w:val="single" w:sz="4" w:space="0" w:color="auto"/>
              <w:right w:val="single" w:sz="4" w:space="0" w:color="auto"/>
            </w:tcBorders>
            <w:vAlign w:val="center"/>
            <w:hideMark/>
          </w:tcPr>
          <w:p w14:paraId="3908A849" w14:textId="77777777" w:rsidR="008F16D6" w:rsidRPr="009E18B2" w:rsidRDefault="008F16D6" w:rsidP="00041D42">
            <w:pPr>
              <w:ind w:firstLine="0"/>
              <w:rPr>
                <w:sz w:val="22"/>
              </w:rPr>
            </w:pPr>
            <w:r w:rsidRPr="009E18B2">
              <w:rPr>
                <w:sz w:val="22"/>
              </w:rPr>
              <w:t>Прочие многофункциональные торгово - сервисные комплексы, торгово - административные объекты, торгово - развлекательные объекты, за исключением отдельно стоящих зданий концертных залов, спортивно - концертных комплексов, кинотеатров, комплексов аттракционов, торгово - складские объекты, торговые базы</w:t>
            </w:r>
          </w:p>
        </w:tc>
        <w:tc>
          <w:tcPr>
            <w:tcW w:w="997" w:type="dxa"/>
            <w:tcBorders>
              <w:top w:val="nil"/>
              <w:left w:val="nil"/>
              <w:bottom w:val="single" w:sz="4" w:space="0" w:color="auto"/>
              <w:right w:val="single" w:sz="4" w:space="0" w:color="auto"/>
            </w:tcBorders>
            <w:noWrap/>
            <w:vAlign w:val="center"/>
            <w:hideMark/>
          </w:tcPr>
          <w:p w14:paraId="1C2CD476" w14:textId="6AF990A9" w:rsidR="008F16D6" w:rsidRPr="009E18B2" w:rsidRDefault="00842E28" w:rsidP="00041D42">
            <w:pPr>
              <w:ind w:firstLine="0"/>
              <w:rPr>
                <w:sz w:val="22"/>
              </w:rPr>
            </w:pPr>
            <w:r>
              <w:rPr>
                <w:sz w:val="22"/>
              </w:rPr>
              <w:t>2058</w:t>
            </w:r>
          </w:p>
        </w:tc>
        <w:tc>
          <w:tcPr>
            <w:tcW w:w="1134" w:type="dxa"/>
            <w:tcBorders>
              <w:top w:val="nil"/>
              <w:left w:val="nil"/>
              <w:bottom w:val="single" w:sz="4" w:space="0" w:color="auto"/>
              <w:right w:val="single" w:sz="4" w:space="0" w:color="auto"/>
            </w:tcBorders>
            <w:noWrap/>
            <w:vAlign w:val="center"/>
            <w:hideMark/>
          </w:tcPr>
          <w:p w14:paraId="7EDF6178" w14:textId="77777777" w:rsidR="008F16D6" w:rsidRPr="009E18B2" w:rsidRDefault="008F16D6" w:rsidP="00041D42">
            <w:pPr>
              <w:ind w:firstLine="0"/>
              <w:rPr>
                <w:sz w:val="22"/>
              </w:rPr>
            </w:pPr>
            <w:r w:rsidRPr="009E18B2">
              <w:rPr>
                <w:sz w:val="22"/>
              </w:rPr>
              <w:t>19,44%</w:t>
            </w:r>
          </w:p>
        </w:tc>
      </w:tr>
      <w:tr w:rsidR="008F16D6" w:rsidRPr="009E18B2" w14:paraId="1E8A7F6C" w14:textId="77777777" w:rsidTr="00A21E6D">
        <w:trPr>
          <w:trHeight w:val="255"/>
        </w:trPr>
        <w:tc>
          <w:tcPr>
            <w:tcW w:w="2460" w:type="dxa"/>
            <w:vMerge/>
            <w:tcBorders>
              <w:left w:val="single" w:sz="4" w:space="0" w:color="auto"/>
              <w:right w:val="single" w:sz="4" w:space="0" w:color="auto"/>
            </w:tcBorders>
            <w:vAlign w:val="center"/>
            <w:hideMark/>
          </w:tcPr>
          <w:p w14:paraId="7591FD25" w14:textId="77777777" w:rsidR="008F16D6" w:rsidRPr="009E18B2" w:rsidRDefault="008F16D6" w:rsidP="00EC492E">
            <w:pPr>
              <w:rPr>
                <w:sz w:val="22"/>
              </w:rPr>
            </w:pPr>
          </w:p>
        </w:tc>
        <w:tc>
          <w:tcPr>
            <w:tcW w:w="1244" w:type="dxa"/>
            <w:tcBorders>
              <w:top w:val="nil"/>
              <w:left w:val="nil"/>
              <w:bottom w:val="single" w:sz="4" w:space="0" w:color="auto"/>
              <w:right w:val="single" w:sz="4" w:space="0" w:color="auto"/>
            </w:tcBorders>
            <w:noWrap/>
            <w:vAlign w:val="bottom"/>
            <w:hideMark/>
          </w:tcPr>
          <w:p w14:paraId="7CA97E02" w14:textId="77777777" w:rsidR="008F16D6" w:rsidRPr="009E18B2" w:rsidRDefault="008F16D6" w:rsidP="00041D42">
            <w:pPr>
              <w:ind w:firstLine="0"/>
              <w:rPr>
                <w:sz w:val="22"/>
              </w:rPr>
            </w:pPr>
            <w:r w:rsidRPr="009E18B2">
              <w:rPr>
                <w:sz w:val="22"/>
              </w:rPr>
              <w:t>404</w:t>
            </w:r>
          </w:p>
        </w:tc>
        <w:tc>
          <w:tcPr>
            <w:tcW w:w="3663" w:type="dxa"/>
            <w:tcBorders>
              <w:top w:val="nil"/>
              <w:left w:val="nil"/>
              <w:bottom w:val="single" w:sz="4" w:space="0" w:color="auto"/>
              <w:right w:val="single" w:sz="4" w:space="0" w:color="auto"/>
            </w:tcBorders>
            <w:vAlign w:val="center"/>
            <w:hideMark/>
          </w:tcPr>
          <w:p w14:paraId="0D53FF73" w14:textId="77777777" w:rsidR="008F16D6" w:rsidRPr="009E18B2" w:rsidRDefault="008F16D6" w:rsidP="00041D42">
            <w:pPr>
              <w:ind w:firstLine="0"/>
              <w:rPr>
                <w:sz w:val="22"/>
              </w:rPr>
            </w:pPr>
            <w:r w:rsidRPr="009E18B2">
              <w:rPr>
                <w:sz w:val="22"/>
              </w:rPr>
              <w:t>Рынки</w:t>
            </w:r>
          </w:p>
        </w:tc>
        <w:tc>
          <w:tcPr>
            <w:tcW w:w="997" w:type="dxa"/>
            <w:tcBorders>
              <w:top w:val="nil"/>
              <w:left w:val="nil"/>
              <w:bottom w:val="single" w:sz="4" w:space="0" w:color="auto"/>
              <w:right w:val="single" w:sz="4" w:space="0" w:color="auto"/>
            </w:tcBorders>
            <w:noWrap/>
            <w:vAlign w:val="center"/>
            <w:hideMark/>
          </w:tcPr>
          <w:p w14:paraId="6A7BA7D5" w14:textId="77777777" w:rsidR="008F16D6" w:rsidRPr="009E18B2" w:rsidRDefault="008F16D6" w:rsidP="00041D42">
            <w:pPr>
              <w:ind w:firstLine="0"/>
              <w:jc w:val="center"/>
              <w:rPr>
                <w:sz w:val="22"/>
              </w:rPr>
            </w:pPr>
            <w:r w:rsidRPr="009E18B2">
              <w:rPr>
                <w:sz w:val="22"/>
              </w:rPr>
              <w:t>59</w:t>
            </w:r>
          </w:p>
        </w:tc>
        <w:tc>
          <w:tcPr>
            <w:tcW w:w="1134" w:type="dxa"/>
            <w:tcBorders>
              <w:top w:val="nil"/>
              <w:left w:val="nil"/>
              <w:bottom w:val="single" w:sz="4" w:space="0" w:color="auto"/>
              <w:right w:val="single" w:sz="4" w:space="0" w:color="auto"/>
            </w:tcBorders>
            <w:noWrap/>
            <w:vAlign w:val="center"/>
            <w:hideMark/>
          </w:tcPr>
          <w:p w14:paraId="24E2740B" w14:textId="77777777" w:rsidR="008F16D6" w:rsidRPr="009E18B2" w:rsidRDefault="008F16D6" w:rsidP="00041D42">
            <w:pPr>
              <w:ind w:firstLine="0"/>
              <w:jc w:val="center"/>
              <w:rPr>
                <w:sz w:val="22"/>
              </w:rPr>
            </w:pPr>
            <w:r w:rsidRPr="009E18B2">
              <w:rPr>
                <w:sz w:val="22"/>
              </w:rPr>
              <w:t>0,56%</w:t>
            </w:r>
          </w:p>
        </w:tc>
      </w:tr>
      <w:tr w:rsidR="008F16D6" w:rsidRPr="009E18B2" w14:paraId="49441D14" w14:textId="77777777" w:rsidTr="00A21E6D">
        <w:trPr>
          <w:trHeight w:val="510"/>
        </w:trPr>
        <w:tc>
          <w:tcPr>
            <w:tcW w:w="2460" w:type="dxa"/>
            <w:vMerge/>
            <w:tcBorders>
              <w:left w:val="single" w:sz="4" w:space="0" w:color="auto"/>
              <w:right w:val="single" w:sz="4" w:space="0" w:color="auto"/>
            </w:tcBorders>
            <w:vAlign w:val="center"/>
            <w:hideMark/>
          </w:tcPr>
          <w:p w14:paraId="42471944" w14:textId="77777777" w:rsidR="008F16D6" w:rsidRPr="009E18B2" w:rsidRDefault="008F16D6" w:rsidP="00EC492E">
            <w:pPr>
              <w:rPr>
                <w:sz w:val="22"/>
              </w:rPr>
            </w:pPr>
          </w:p>
        </w:tc>
        <w:tc>
          <w:tcPr>
            <w:tcW w:w="1244" w:type="dxa"/>
            <w:tcBorders>
              <w:top w:val="nil"/>
              <w:left w:val="nil"/>
              <w:bottom w:val="single" w:sz="4" w:space="0" w:color="auto"/>
              <w:right w:val="single" w:sz="4" w:space="0" w:color="auto"/>
            </w:tcBorders>
            <w:noWrap/>
            <w:vAlign w:val="bottom"/>
            <w:hideMark/>
          </w:tcPr>
          <w:p w14:paraId="3CA12709" w14:textId="77777777" w:rsidR="008F16D6" w:rsidRPr="009E18B2" w:rsidRDefault="008F16D6" w:rsidP="00041D42">
            <w:pPr>
              <w:ind w:firstLine="0"/>
              <w:rPr>
                <w:sz w:val="22"/>
              </w:rPr>
            </w:pPr>
            <w:r w:rsidRPr="009E18B2">
              <w:rPr>
                <w:sz w:val="22"/>
              </w:rPr>
              <w:t>405</w:t>
            </w:r>
          </w:p>
        </w:tc>
        <w:tc>
          <w:tcPr>
            <w:tcW w:w="3663" w:type="dxa"/>
            <w:tcBorders>
              <w:top w:val="nil"/>
              <w:left w:val="nil"/>
              <w:bottom w:val="single" w:sz="4" w:space="0" w:color="auto"/>
              <w:right w:val="single" w:sz="4" w:space="0" w:color="auto"/>
            </w:tcBorders>
            <w:vAlign w:val="center"/>
            <w:hideMark/>
          </w:tcPr>
          <w:p w14:paraId="0D635C3D" w14:textId="77777777" w:rsidR="008F16D6" w:rsidRPr="009E18B2" w:rsidRDefault="008F16D6" w:rsidP="00041D42">
            <w:pPr>
              <w:ind w:firstLine="0"/>
              <w:rPr>
                <w:sz w:val="22"/>
              </w:rPr>
            </w:pPr>
            <w:r w:rsidRPr="009E18B2">
              <w:rPr>
                <w:sz w:val="22"/>
              </w:rPr>
              <w:t>Торговые киоски, павильоны, ларьки</w:t>
            </w:r>
          </w:p>
        </w:tc>
        <w:tc>
          <w:tcPr>
            <w:tcW w:w="997" w:type="dxa"/>
            <w:tcBorders>
              <w:top w:val="nil"/>
              <w:left w:val="nil"/>
              <w:bottom w:val="single" w:sz="4" w:space="0" w:color="auto"/>
              <w:right w:val="single" w:sz="4" w:space="0" w:color="auto"/>
            </w:tcBorders>
            <w:noWrap/>
            <w:vAlign w:val="center"/>
            <w:hideMark/>
          </w:tcPr>
          <w:p w14:paraId="37D64D14" w14:textId="77777777" w:rsidR="008F16D6" w:rsidRPr="009E18B2" w:rsidRDefault="008F16D6" w:rsidP="00041D42">
            <w:pPr>
              <w:ind w:firstLine="0"/>
              <w:jc w:val="center"/>
              <w:rPr>
                <w:sz w:val="22"/>
              </w:rPr>
            </w:pPr>
            <w:r w:rsidRPr="009E18B2">
              <w:rPr>
                <w:sz w:val="22"/>
              </w:rPr>
              <w:t>506</w:t>
            </w:r>
          </w:p>
        </w:tc>
        <w:tc>
          <w:tcPr>
            <w:tcW w:w="1134" w:type="dxa"/>
            <w:tcBorders>
              <w:top w:val="nil"/>
              <w:left w:val="nil"/>
              <w:bottom w:val="single" w:sz="4" w:space="0" w:color="auto"/>
              <w:right w:val="single" w:sz="4" w:space="0" w:color="auto"/>
            </w:tcBorders>
            <w:noWrap/>
            <w:vAlign w:val="center"/>
            <w:hideMark/>
          </w:tcPr>
          <w:p w14:paraId="3357C598" w14:textId="77777777" w:rsidR="008F16D6" w:rsidRPr="009E18B2" w:rsidRDefault="008F16D6" w:rsidP="00041D42">
            <w:pPr>
              <w:ind w:firstLine="0"/>
              <w:jc w:val="center"/>
              <w:rPr>
                <w:sz w:val="22"/>
              </w:rPr>
            </w:pPr>
            <w:r w:rsidRPr="009E18B2">
              <w:rPr>
                <w:sz w:val="22"/>
              </w:rPr>
              <w:t>4,78%</w:t>
            </w:r>
          </w:p>
        </w:tc>
      </w:tr>
      <w:tr w:rsidR="008F16D6" w:rsidRPr="009E18B2" w14:paraId="1340F077" w14:textId="77777777" w:rsidTr="00A21E6D">
        <w:trPr>
          <w:trHeight w:val="510"/>
        </w:trPr>
        <w:tc>
          <w:tcPr>
            <w:tcW w:w="2460" w:type="dxa"/>
            <w:vMerge/>
            <w:tcBorders>
              <w:left w:val="single" w:sz="4" w:space="0" w:color="auto"/>
              <w:right w:val="single" w:sz="4" w:space="0" w:color="auto"/>
            </w:tcBorders>
            <w:vAlign w:val="center"/>
            <w:hideMark/>
          </w:tcPr>
          <w:p w14:paraId="551C5F55" w14:textId="77777777" w:rsidR="008F16D6" w:rsidRPr="009E18B2" w:rsidRDefault="008F16D6" w:rsidP="00EC492E">
            <w:pPr>
              <w:rPr>
                <w:sz w:val="22"/>
              </w:rPr>
            </w:pPr>
          </w:p>
        </w:tc>
        <w:tc>
          <w:tcPr>
            <w:tcW w:w="1244" w:type="dxa"/>
            <w:tcBorders>
              <w:top w:val="nil"/>
              <w:left w:val="nil"/>
              <w:bottom w:val="single" w:sz="4" w:space="0" w:color="auto"/>
              <w:right w:val="single" w:sz="4" w:space="0" w:color="auto"/>
            </w:tcBorders>
            <w:noWrap/>
            <w:vAlign w:val="bottom"/>
            <w:hideMark/>
          </w:tcPr>
          <w:p w14:paraId="3C821C44" w14:textId="77777777" w:rsidR="008F16D6" w:rsidRPr="009E18B2" w:rsidRDefault="008F16D6" w:rsidP="00041D42">
            <w:pPr>
              <w:ind w:firstLine="0"/>
              <w:rPr>
                <w:sz w:val="22"/>
              </w:rPr>
            </w:pPr>
            <w:r w:rsidRPr="009E18B2">
              <w:rPr>
                <w:sz w:val="22"/>
              </w:rPr>
              <w:t>406</w:t>
            </w:r>
          </w:p>
        </w:tc>
        <w:tc>
          <w:tcPr>
            <w:tcW w:w="3663" w:type="dxa"/>
            <w:tcBorders>
              <w:top w:val="nil"/>
              <w:left w:val="nil"/>
              <w:bottom w:val="single" w:sz="4" w:space="0" w:color="auto"/>
              <w:right w:val="single" w:sz="4" w:space="0" w:color="auto"/>
            </w:tcBorders>
            <w:vAlign w:val="center"/>
            <w:hideMark/>
          </w:tcPr>
          <w:p w14:paraId="6683351E" w14:textId="77777777" w:rsidR="008F16D6" w:rsidRPr="009E18B2" w:rsidRDefault="008F16D6" w:rsidP="00041D42">
            <w:pPr>
              <w:ind w:firstLine="0"/>
              <w:rPr>
                <w:sz w:val="22"/>
              </w:rPr>
            </w:pPr>
            <w:r w:rsidRPr="009E18B2">
              <w:rPr>
                <w:sz w:val="22"/>
              </w:rPr>
              <w:t>Автозаправочные станции (АЗС), газонаполнительные станции, автогазозаправочные станции (АГЗС)</w:t>
            </w:r>
          </w:p>
        </w:tc>
        <w:tc>
          <w:tcPr>
            <w:tcW w:w="997" w:type="dxa"/>
            <w:tcBorders>
              <w:top w:val="nil"/>
              <w:left w:val="nil"/>
              <w:bottom w:val="single" w:sz="4" w:space="0" w:color="auto"/>
              <w:right w:val="single" w:sz="4" w:space="0" w:color="auto"/>
            </w:tcBorders>
            <w:noWrap/>
            <w:vAlign w:val="bottom"/>
            <w:hideMark/>
          </w:tcPr>
          <w:p w14:paraId="5299A6A0" w14:textId="77777777" w:rsidR="008F16D6" w:rsidRPr="009E18B2" w:rsidRDefault="008F16D6" w:rsidP="00041D42">
            <w:pPr>
              <w:ind w:firstLine="0"/>
              <w:jc w:val="center"/>
              <w:rPr>
                <w:sz w:val="22"/>
              </w:rPr>
            </w:pPr>
            <w:r w:rsidRPr="009E18B2">
              <w:rPr>
                <w:sz w:val="22"/>
              </w:rPr>
              <w:t>493</w:t>
            </w:r>
          </w:p>
        </w:tc>
        <w:tc>
          <w:tcPr>
            <w:tcW w:w="1134" w:type="dxa"/>
            <w:tcBorders>
              <w:top w:val="nil"/>
              <w:left w:val="nil"/>
              <w:bottom w:val="single" w:sz="4" w:space="0" w:color="auto"/>
              <w:right w:val="single" w:sz="4" w:space="0" w:color="auto"/>
            </w:tcBorders>
            <w:noWrap/>
            <w:vAlign w:val="center"/>
            <w:hideMark/>
          </w:tcPr>
          <w:p w14:paraId="6B9A2316" w14:textId="77777777" w:rsidR="008F16D6" w:rsidRPr="009E18B2" w:rsidRDefault="008F16D6" w:rsidP="00041D42">
            <w:pPr>
              <w:ind w:firstLine="0"/>
              <w:jc w:val="center"/>
              <w:rPr>
                <w:sz w:val="22"/>
              </w:rPr>
            </w:pPr>
            <w:r w:rsidRPr="009E18B2">
              <w:rPr>
                <w:sz w:val="22"/>
              </w:rPr>
              <w:t>4,66%</w:t>
            </w:r>
          </w:p>
        </w:tc>
      </w:tr>
      <w:tr w:rsidR="008F16D6" w:rsidRPr="009E18B2" w14:paraId="76E1946B" w14:textId="77777777" w:rsidTr="00A21E6D">
        <w:trPr>
          <w:trHeight w:val="510"/>
        </w:trPr>
        <w:tc>
          <w:tcPr>
            <w:tcW w:w="2460" w:type="dxa"/>
            <w:vMerge/>
            <w:tcBorders>
              <w:left w:val="single" w:sz="4" w:space="0" w:color="auto"/>
              <w:right w:val="single" w:sz="4" w:space="0" w:color="auto"/>
            </w:tcBorders>
            <w:vAlign w:val="center"/>
            <w:hideMark/>
          </w:tcPr>
          <w:p w14:paraId="3D55C73E" w14:textId="77777777" w:rsidR="008F16D6" w:rsidRPr="009E18B2" w:rsidRDefault="008F16D6" w:rsidP="00EC492E">
            <w:pPr>
              <w:rPr>
                <w:sz w:val="22"/>
              </w:rPr>
            </w:pPr>
          </w:p>
        </w:tc>
        <w:tc>
          <w:tcPr>
            <w:tcW w:w="1244" w:type="dxa"/>
            <w:tcBorders>
              <w:top w:val="nil"/>
              <w:left w:val="nil"/>
              <w:bottom w:val="single" w:sz="4" w:space="0" w:color="auto"/>
              <w:right w:val="single" w:sz="4" w:space="0" w:color="auto"/>
            </w:tcBorders>
            <w:noWrap/>
            <w:vAlign w:val="bottom"/>
            <w:hideMark/>
          </w:tcPr>
          <w:p w14:paraId="1EC97057" w14:textId="77777777" w:rsidR="008F16D6" w:rsidRPr="009E18B2" w:rsidRDefault="008F16D6" w:rsidP="00041D42">
            <w:pPr>
              <w:ind w:firstLine="0"/>
              <w:rPr>
                <w:sz w:val="22"/>
              </w:rPr>
            </w:pPr>
            <w:r w:rsidRPr="009E18B2">
              <w:rPr>
                <w:sz w:val="22"/>
              </w:rPr>
              <w:t>407</w:t>
            </w:r>
          </w:p>
        </w:tc>
        <w:tc>
          <w:tcPr>
            <w:tcW w:w="3663" w:type="dxa"/>
            <w:tcBorders>
              <w:top w:val="nil"/>
              <w:left w:val="nil"/>
              <w:bottom w:val="single" w:sz="4" w:space="0" w:color="auto"/>
              <w:right w:val="single" w:sz="4" w:space="0" w:color="auto"/>
            </w:tcBorders>
            <w:vAlign w:val="center"/>
            <w:hideMark/>
          </w:tcPr>
          <w:p w14:paraId="30E772C7" w14:textId="77777777" w:rsidR="008F16D6" w:rsidRPr="009E18B2" w:rsidRDefault="008F16D6" w:rsidP="00041D42">
            <w:pPr>
              <w:ind w:firstLine="0"/>
              <w:rPr>
                <w:sz w:val="22"/>
              </w:rPr>
            </w:pPr>
            <w:r w:rsidRPr="009E18B2">
              <w:rPr>
                <w:sz w:val="22"/>
              </w:rPr>
              <w:t>Автомойки</w:t>
            </w:r>
          </w:p>
        </w:tc>
        <w:tc>
          <w:tcPr>
            <w:tcW w:w="997" w:type="dxa"/>
            <w:tcBorders>
              <w:top w:val="nil"/>
              <w:left w:val="nil"/>
              <w:bottom w:val="single" w:sz="4" w:space="0" w:color="auto"/>
              <w:right w:val="single" w:sz="4" w:space="0" w:color="auto"/>
            </w:tcBorders>
            <w:noWrap/>
            <w:vAlign w:val="bottom"/>
            <w:hideMark/>
          </w:tcPr>
          <w:p w14:paraId="3A2B0679" w14:textId="77777777" w:rsidR="008F16D6" w:rsidRPr="009E18B2" w:rsidRDefault="008F16D6" w:rsidP="00041D42">
            <w:pPr>
              <w:ind w:firstLine="0"/>
              <w:jc w:val="center"/>
              <w:rPr>
                <w:sz w:val="22"/>
              </w:rPr>
            </w:pPr>
            <w:r w:rsidRPr="009E18B2">
              <w:rPr>
                <w:sz w:val="22"/>
              </w:rPr>
              <w:t>71</w:t>
            </w:r>
          </w:p>
        </w:tc>
        <w:tc>
          <w:tcPr>
            <w:tcW w:w="1134" w:type="dxa"/>
            <w:tcBorders>
              <w:top w:val="nil"/>
              <w:left w:val="nil"/>
              <w:bottom w:val="single" w:sz="4" w:space="0" w:color="auto"/>
              <w:right w:val="single" w:sz="4" w:space="0" w:color="auto"/>
            </w:tcBorders>
            <w:noWrap/>
            <w:vAlign w:val="center"/>
            <w:hideMark/>
          </w:tcPr>
          <w:p w14:paraId="1FA4230E" w14:textId="77777777" w:rsidR="008F16D6" w:rsidRPr="009E18B2" w:rsidRDefault="008F16D6" w:rsidP="00041D42">
            <w:pPr>
              <w:ind w:firstLine="0"/>
              <w:jc w:val="center"/>
              <w:rPr>
                <w:sz w:val="22"/>
              </w:rPr>
            </w:pPr>
            <w:r w:rsidRPr="009E18B2">
              <w:rPr>
                <w:sz w:val="22"/>
              </w:rPr>
              <w:t>0,67%</w:t>
            </w:r>
          </w:p>
        </w:tc>
      </w:tr>
      <w:tr w:rsidR="008F16D6" w:rsidRPr="009E18B2" w14:paraId="506E7B4D" w14:textId="77777777" w:rsidTr="00A21E6D">
        <w:trPr>
          <w:trHeight w:val="255"/>
        </w:trPr>
        <w:tc>
          <w:tcPr>
            <w:tcW w:w="2460" w:type="dxa"/>
            <w:vMerge/>
            <w:tcBorders>
              <w:left w:val="single" w:sz="4" w:space="0" w:color="auto"/>
              <w:right w:val="single" w:sz="4" w:space="0" w:color="auto"/>
            </w:tcBorders>
            <w:vAlign w:val="center"/>
            <w:hideMark/>
          </w:tcPr>
          <w:p w14:paraId="4707BFE3" w14:textId="77777777" w:rsidR="008F16D6" w:rsidRPr="009E18B2" w:rsidRDefault="008F16D6" w:rsidP="00EC492E">
            <w:pPr>
              <w:rPr>
                <w:sz w:val="22"/>
              </w:rPr>
            </w:pPr>
          </w:p>
        </w:tc>
        <w:tc>
          <w:tcPr>
            <w:tcW w:w="1244" w:type="dxa"/>
            <w:tcBorders>
              <w:top w:val="nil"/>
              <w:left w:val="nil"/>
              <w:bottom w:val="single" w:sz="4" w:space="0" w:color="auto"/>
              <w:right w:val="single" w:sz="4" w:space="0" w:color="auto"/>
            </w:tcBorders>
            <w:noWrap/>
            <w:vAlign w:val="bottom"/>
            <w:hideMark/>
          </w:tcPr>
          <w:p w14:paraId="0F593A6A" w14:textId="77777777" w:rsidR="008F16D6" w:rsidRPr="009E18B2" w:rsidRDefault="008F16D6" w:rsidP="00041D42">
            <w:pPr>
              <w:ind w:firstLine="0"/>
              <w:rPr>
                <w:sz w:val="22"/>
              </w:rPr>
            </w:pPr>
            <w:r w:rsidRPr="009E18B2">
              <w:rPr>
                <w:sz w:val="22"/>
              </w:rPr>
              <w:t>408</w:t>
            </w:r>
          </w:p>
        </w:tc>
        <w:tc>
          <w:tcPr>
            <w:tcW w:w="3663" w:type="dxa"/>
            <w:tcBorders>
              <w:top w:val="nil"/>
              <w:left w:val="nil"/>
              <w:bottom w:val="single" w:sz="4" w:space="0" w:color="auto"/>
              <w:right w:val="single" w:sz="4" w:space="0" w:color="auto"/>
            </w:tcBorders>
            <w:vAlign w:val="center"/>
            <w:hideMark/>
          </w:tcPr>
          <w:p w14:paraId="6D22AAE7" w14:textId="77777777" w:rsidR="008F16D6" w:rsidRPr="009E18B2" w:rsidRDefault="008F16D6" w:rsidP="00041D42">
            <w:pPr>
              <w:ind w:firstLine="0"/>
              <w:rPr>
                <w:sz w:val="22"/>
              </w:rPr>
            </w:pPr>
            <w:r w:rsidRPr="009E18B2">
              <w:rPr>
                <w:sz w:val="22"/>
              </w:rPr>
              <w:t>Автосалоны</w:t>
            </w:r>
          </w:p>
        </w:tc>
        <w:tc>
          <w:tcPr>
            <w:tcW w:w="997" w:type="dxa"/>
            <w:tcBorders>
              <w:top w:val="nil"/>
              <w:left w:val="nil"/>
              <w:bottom w:val="single" w:sz="4" w:space="0" w:color="auto"/>
              <w:right w:val="single" w:sz="4" w:space="0" w:color="auto"/>
            </w:tcBorders>
            <w:noWrap/>
            <w:vAlign w:val="bottom"/>
            <w:hideMark/>
          </w:tcPr>
          <w:p w14:paraId="66035B2C" w14:textId="77777777" w:rsidR="008F16D6" w:rsidRPr="009E18B2" w:rsidRDefault="008F16D6" w:rsidP="00041D42">
            <w:pPr>
              <w:ind w:firstLine="0"/>
              <w:jc w:val="center"/>
              <w:rPr>
                <w:sz w:val="22"/>
              </w:rPr>
            </w:pPr>
            <w:r w:rsidRPr="009E18B2">
              <w:rPr>
                <w:sz w:val="22"/>
              </w:rPr>
              <w:t>8</w:t>
            </w:r>
          </w:p>
        </w:tc>
        <w:tc>
          <w:tcPr>
            <w:tcW w:w="1134" w:type="dxa"/>
            <w:tcBorders>
              <w:top w:val="nil"/>
              <w:left w:val="nil"/>
              <w:bottom w:val="single" w:sz="4" w:space="0" w:color="auto"/>
              <w:right w:val="single" w:sz="4" w:space="0" w:color="auto"/>
            </w:tcBorders>
            <w:noWrap/>
            <w:vAlign w:val="center"/>
            <w:hideMark/>
          </w:tcPr>
          <w:p w14:paraId="29CD9F8C" w14:textId="77777777" w:rsidR="008F16D6" w:rsidRPr="009E18B2" w:rsidRDefault="008F16D6" w:rsidP="00041D42">
            <w:pPr>
              <w:ind w:firstLine="0"/>
              <w:jc w:val="center"/>
              <w:rPr>
                <w:sz w:val="22"/>
              </w:rPr>
            </w:pPr>
            <w:r w:rsidRPr="009E18B2">
              <w:rPr>
                <w:sz w:val="22"/>
              </w:rPr>
              <w:t>0,08%</w:t>
            </w:r>
          </w:p>
        </w:tc>
      </w:tr>
      <w:tr w:rsidR="008F16D6" w:rsidRPr="009E18B2" w14:paraId="1E27CE30" w14:textId="77777777" w:rsidTr="00A21E6D">
        <w:trPr>
          <w:trHeight w:val="255"/>
        </w:trPr>
        <w:tc>
          <w:tcPr>
            <w:tcW w:w="2460" w:type="dxa"/>
            <w:vMerge/>
            <w:tcBorders>
              <w:left w:val="single" w:sz="4" w:space="0" w:color="auto"/>
              <w:right w:val="single" w:sz="4" w:space="0" w:color="auto"/>
            </w:tcBorders>
            <w:vAlign w:val="center"/>
            <w:hideMark/>
          </w:tcPr>
          <w:p w14:paraId="397D10B7" w14:textId="77777777" w:rsidR="008F16D6" w:rsidRPr="009E18B2" w:rsidRDefault="008F16D6" w:rsidP="00EC492E">
            <w:pPr>
              <w:rPr>
                <w:sz w:val="22"/>
              </w:rPr>
            </w:pPr>
          </w:p>
        </w:tc>
        <w:tc>
          <w:tcPr>
            <w:tcW w:w="1244" w:type="dxa"/>
            <w:tcBorders>
              <w:top w:val="nil"/>
              <w:left w:val="nil"/>
              <w:bottom w:val="single" w:sz="4" w:space="0" w:color="auto"/>
              <w:right w:val="single" w:sz="4" w:space="0" w:color="auto"/>
            </w:tcBorders>
            <w:noWrap/>
            <w:vAlign w:val="bottom"/>
            <w:hideMark/>
          </w:tcPr>
          <w:p w14:paraId="0DF70ADC" w14:textId="77777777" w:rsidR="008F16D6" w:rsidRPr="009E18B2" w:rsidRDefault="008F16D6" w:rsidP="00041D42">
            <w:pPr>
              <w:ind w:firstLine="0"/>
              <w:rPr>
                <w:sz w:val="22"/>
              </w:rPr>
            </w:pPr>
            <w:r w:rsidRPr="009E18B2">
              <w:rPr>
                <w:sz w:val="22"/>
              </w:rPr>
              <w:t>409</w:t>
            </w:r>
          </w:p>
        </w:tc>
        <w:tc>
          <w:tcPr>
            <w:tcW w:w="3663" w:type="dxa"/>
            <w:tcBorders>
              <w:top w:val="nil"/>
              <w:left w:val="nil"/>
              <w:bottom w:val="single" w:sz="4" w:space="0" w:color="auto"/>
              <w:right w:val="single" w:sz="4" w:space="0" w:color="auto"/>
            </w:tcBorders>
            <w:vAlign w:val="center"/>
            <w:hideMark/>
          </w:tcPr>
          <w:p w14:paraId="59684D3F" w14:textId="77777777" w:rsidR="008F16D6" w:rsidRPr="009E18B2" w:rsidRDefault="008F16D6" w:rsidP="00041D42">
            <w:pPr>
              <w:ind w:firstLine="0"/>
              <w:rPr>
                <w:sz w:val="22"/>
              </w:rPr>
            </w:pPr>
            <w:r w:rsidRPr="009E18B2">
              <w:rPr>
                <w:sz w:val="22"/>
              </w:rPr>
              <w:t>Рестораны</w:t>
            </w:r>
          </w:p>
        </w:tc>
        <w:tc>
          <w:tcPr>
            <w:tcW w:w="997" w:type="dxa"/>
            <w:tcBorders>
              <w:top w:val="nil"/>
              <w:left w:val="nil"/>
              <w:bottom w:val="single" w:sz="4" w:space="0" w:color="auto"/>
              <w:right w:val="single" w:sz="4" w:space="0" w:color="auto"/>
            </w:tcBorders>
            <w:noWrap/>
            <w:vAlign w:val="bottom"/>
            <w:hideMark/>
          </w:tcPr>
          <w:p w14:paraId="116853FD" w14:textId="77777777" w:rsidR="008F16D6" w:rsidRPr="009E18B2" w:rsidRDefault="008F16D6" w:rsidP="00041D42">
            <w:pPr>
              <w:ind w:firstLine="0"/>
              <w:jc w:val="center"/>
              <w:rPr>
                <w:sz w:val="22"/>
              </w:rPr>
            </w:pPr>
            <w:r w:rsidRPr="009E18B2">
              <w:rPr>
                <w:sz w:val="22"/>
              </w:rPr>
              <w:t>22</w:t>
            </w:r>
          </w:p>
        </w:tc>
        <w:tc>
          <w:tcPr>
            <w:tcW w:w="1134" w:type="dxa"/>
            <w:tcBorders>
              <w:top w:val="nil"/>
              <w:left w:val="nil"/>
              <w:bottom w:val="single" w:sz="4" w:space="0" w:color="auto"/>
              <w:right w:val="single" w:sz="4" w:space="0" w:color="auto"/>
            </w:tcBorders>
            <w:noWrap/>
            <w:vAlign w:val="center"/>
            <w:hideMark/>
          </w:tcPr>
          <w:p w14:paraId="6A6ACC2D" w14:textId="77777777" w:rsidR="008F16D6" w:rsidRPr="009E18B2" w:rsidRDefault="008F16D6" w:rsidP="00041D42">
            <w:pPr>
              <w:ind w:firstLine="0"/>
              <w:jc w:val="center"/>
              <w:rPr>
                <w:sz w:val="22"/>
              </w:rPr>
            </w:pPr>
            <w:r w:rsidRPr="009E18B2">
              <w:rPr>
                <w:sz w:val="22"/>
              </w:rPr>
              <w:t>0,21%</w:t>
            </w:r>
          </w:p>
        </w:tc>
      </w:tr>
      <w:tr w:rsidR="008F16D6" w:rsidRPr="009E18B2" w14:paraId="122B1688" w14:textId="77777777" w:rsidTr="00A21E6D">
        <w:trPr>
          <w:trHeight w:val="255"/>
        </w:trPr>
        <w:tc>
          <w:tcPr>
            <w:tcW w:w="2460" w:type="dxa"/>
            <w:vMerge/>
            <w:tcBorders>
              <w:left w:val="single" w:sz="4" w:space="0" w:color="auto"/>
              <w:right w:val="single" w:sz="4" w:space="0" w:color="auto"/>
            </w:tcBorders>
            <w:vAlign w:val="center"/>
          </w:tcPr>
          <w:p w14:paraId="781DDA3B" w14:textId="77777777" w:rsidR="008F16D6" w:rsidRPr="009E18B2" w:rsidRDefault="008F16D6" w:rsidP="00EC492E">
            <w:pPr>
              <w:rPr>
                <w:sz w:val="22"/>
              </w:rPr>
            </w:pPr>
          </w:p>
        </w:tc>
        <w:tc>
          <w:tcPr>
            <w:tcW w:w="1244" w:type="dxa"/>
            <w:tcBorders>
              <w:top w:val="nil"/>
              <w:left w:val="nil"/>
              <w:bottom w:val="single" w:sz="4" w:space="0" w:color="auto"/>
              <w:right w:val="single" w:sz="4" w:space="0" w:color="auto"/>
            </w:tcBorders>
            <w:noWrap/>
            <w:vAlign w:val="bottom"/>
            <w:hideMark/>
          </w:tcPr>
          <w:p w14:paraId="2C49FE9F" w14:textId="77777777" w:rsidR="008F16D6" w:rsidRPr="009E18B2" w:rsidRDefault="008F16D6" w:rsidP="00041D42">
            <w:pPr>
              <w:ind w:firstLine="0"/>
              <w:rPr>
                <w:sz w:val="22"/>
              </w:rPr>
            </w:pPr>
            <w:r w:rsidRPr="009E18B2">
              <w:rPr>
                <w:sz w:val="22"/>
              </w:rPr>
              <w:t>410</w:t>
            </w:r>
          </w:p>
        </w:tc>
        <w:tc>
          <w:tcPr>
            <w:tcW w:w="3663" w:type="dxa"/>
            <w:tcBorders>
              <w:top w:val="nil"/>
              <w:left w:val="nil"/>
              <w:bottom w:val="single" w:sz="4" w:space="0" w:color="auto"/>
              <w:right w:val="single" w:sz="4" w:space="0" w:color="auto"/>
            </w:tcBorders>
            <w:vAlign w:val="center"/>
            <w:hideMark/>
          </w:tcPr>
          <w:p w14:paraId="2DB9F6E6" w14:textId="77777777" w:rsidR="008F16D6" w:rsidRPr="009E18B2" w:rsidRDefault="008F16D6" w:rsidP="00041D42">
            <w:pPr>
              <w:ind w:firstLine="0"/>
              <w:rPr>
                <w:sz w:val="22"/>
              </w:rPr>
            </w:pPr>
            <w:r w:rsidRPr="009E18B2">
              <w:rPr>
                <w:sz w:val="22"/>
              </w:rPr>
              <w:t>Кафе 750 кв. м (75 человек) и более, производственные столовые, столовые, кухни, кухни - столовые 750 кв. м (75 человек) и более</w:t>
            </w:r>
          </w:p>
        </w:tc>
        <w:tc>
          <w:tcPr>
            <w:tcW w:w="997" w:type="dxa"/>
            <w:tcBorders>
              <w:top w:val="nil"/>
              <w:left w:val="nil"/>
              <w:bottom w:val="single" w:sz="4" w:space="0" w:color="auto"/>
              <w:right w:val="single" w:sz="4" w:space="0" w:color="auto"/>
            </w:tcBorders>
            <w:noWrap/>
            <w:vAlign w:val="bottom"/>
            <w:hideMark/>
          </w:tcPr>
          <w:p w14:paraId="5241A6ED" w14:textId="77777777" w:rsidR="008F16D6" w:rsidRPr="009E18B2" w:rsidRDefault="008F16D6" w:rsidP="00041D42">
            <w:pPr>
              <w:ind w:firstLine="0"/>
              <w:jc w:val="center"/>
              <w:rPr>
                <w:sz w:val="22"/>
              </w:rPr>
            </w:pPr>
            <w:r w:rsidRPr="009E18B2">
              <w:rPr>
                <w:sz w:val="22"/>
              </w:rPr>
              <w:t>43</w:t>
            </w:r>
          </w:p>
        </w:tc>
        <w:tc>
          <w:tcPr>
            <w:tcW w:w="1134" w:type="dxa"/>
            <w:tcBorders>
              <w:top w:val="nil"/>
              <w:left w:val="nil"/>
              <w:bottom w:val="single" w:sz="4" w:space="0" w:color="auto"/>
              <w:right w:val="single" w:sz="4" w:space="0" w:color="auto"/>
            </w:tcBorders>
            <w:noWrap/>
            <w:vAlign w:val="center"/>
            <w:hideMark/>
          </w:tcPr>
          <w:p w14:paraId="3BADB5FA" w14:textId="77777777" w:rsidR="008F16D6" w:rsidRPr="009E18B2" w:rsidRDefault="008F16D6" w:rsidP="00041D42">
            <w:pPr>
              <w:ind w:firstLine="0"/>
              <w:jc w:val="center"/>
              <w:rPr>
                <w:sz w:val="22"/>
              </w:rPr>
            </w:pPr>
            <w:r w:rsidRPr="009E18B2">
              <w:rPr>
                <w:sz w:val="22"/>
              </w:rPr>
              <w:t>0,41%</w:t>
            </w:r>
          </w:p>
        </w:tc>
      </w:tr>
      <w:tr w:rsidR="008F16D6" w:rsidRPr="009E18B2" w14:paraId="1666AF46" w14:textId="77777777" w:rsidTr="00A21E6D">
        <w:trPr>
          <w:trHeight w:val="255"/>
        </w:trPr>
        <w:tc>
          <w:tcPr>
            <w:tcW w:w="2460" w:type="dxa"/>
            <w:vMerge/>
            <w:tcBorders>
              <w:left w:val="single" w:sz="4" w:space="0" w:color="auto"/>
              <w:right w:val="single" w:sz="4" w:space="0" w:color="auto"/>
            </w:tcBorders>
            <w:vAlign w:val="center"/>
          </w:tcPr>
          <w:p w14:paraId="5FA71275" w14:textId="77777777" w:rsidR="008F16D6" w:rsidRPr="009E18B2" w:rsidRDefault="008F16D6" w:rsidP="00EC492E">
            <w:pPr>
              <w:rPr>
                <w:sz w:val="22"/>
              </w:rPr>
            </w:pPr>
          </w:p>
        </w:tc>
        <w:tc>
          <w:tcPr>
            <w:tcW w:w="1244" w:type="dxa"/>
            <w:tcBorders>
              <w:top w:val="nil"/>
              <w:left w:val="nil"/>
              <w:bottom w:val="single" w:sz="4" w:space="0" w:color="auto"/>
              <w:right w:val="single" w:sz="4" w:space="0" w:color="auto"/>
            </w:tcBorders>
            <w:noWrap/>
            <w:vAlign w:val="bottom"/>
            <w:hideMark/>
          </w:tcPr>
          <w:p w14:paraId="277BF915" w14:textId="77777777" w:rsidR="008F16D6" w:rsidRPr="009E18B2" w:rsidRDefault="008F16D6" w:rsidP="00041D42">
            <w:pPr>
              <w:ind w:firstLine="0"/>
              <w:rPr>
                <w:sz w:val="22"/>
              </w:rPr>
            </w:pPr>
            <w:r w:rsidRPr="009E18B2">
              <w:rPr>
                <w:sz w:val="22"/>
              </w:rPr>
              <w:t>411</w:t>
            </w:r>
          </w:p>
        </w:tc>
        <w:tc>
          <w:tcPr>
            <w:tcW w:w="3663" w:type="dxa"/>
            <w:tcBorders>
              <w:top w:val="nil"/>
              <w:left w:val="nil"/>
              <w:bottom w:val="single" w:sz="4" w:space="0" w:color="auto"/>
              <w:right w:val="single" w:sz="4" w:space="0" w:color="auto"/>
            </w:tcBorders>
            <w:vAlign w:val="center"/>
            <w:hideMark/>
          </w:tcPr>
          <w:p w14:paraId="5A0F67A7" w14:textId="77777777" w:rsidR="008F16D6" w:rsidRPr="009E18B2" w:rsidRDefault="008F16D6" w:rsidP="00041D42">
            <w:pPr>
              <w:ind w:firstLine="0"/>
              <w:rPr>
                <w:sz w:val="22"/>
              </w:rPr>
            </w:pPr>
            <w:r w:rsidRPr="009E18B2">
              <w:rPr>
                <w:sz w:val="22"/>
              </w:rPr>
              <w:t>Кафе до 750 кв. м (75 человек), кафетерии, столовые, кухни, кухни - столовые до 750 кв. м (75 человек)</w:t>
            </w:r>
          </w:p>
        </w:tc>
        <w:tc>
          <w:tcPr>
            <w:tcW w:w="997" w:type="dxa"/>
            <w:tcBorders>
              <w:top w:val="nil"/>
              <w:left w:val="nil"/>
              <w:bottom w:val="single" w:sz="4" w:space="0" w:color="auto"/>
              <w:right w:val="single" w:sz="4" w:space="0" w:color="auto"/>
            </w:tcBorders>
            <w:noWrap/>
            <w:vAlign w:val="bottom"/>
            <w:hideMark/>
          </w:tcPr>
          <w:p w14:paraId="1C086762" w14:textId="77777777" w:rsidR="008F16D6" w:rsidRPr="009E18B2" w:rsidRDefault="008F16D6" w:rsidP="00041D42">
            <w:pPr>
              <w:ind w:firstLine="0"/>
              <w:jc w:val="center"/>
              <w:rPr>
                <w:sz w:val="22"/>
              </w:rPr>
            </w:pPr>
            <w:r w:rsidRPr="009E18B2">
              <w:rPr>
                <w:sz w:val="22"/>
              </w:rPr>
              <w:t>1205</w:t>
            </w:r>
          </w:p>
        </w:tc>
        <w:tc>
          <w:tcPr>
            <w:tcW w:w="1134" w:type="dxa"/>
            <w:tcBorders>
              <w:top w:val="nil"/>
              <w:left w:val="nil"/>
              <w:bottom w:val="single" w:sz="4" w:space="0" w:color="auto"/>
              <w:right w:val="single" w:sz="4" w:space="0" w:color="auto"/>
            </w:tcBorders>
            <w:noWrap/>
            <w:vAlign w:val="center"/>
            <w:hideMark/>
          </w:tcPr>
          <w:p w14:paraId="0972DBCB" w14:textId="77777777" w:rsidR="008F16D6" w:rsidRPr="009E18B2" w:rsidRDefault="008F16D6" w:rsidP="00041D42">
            <w:pPr>
              <w:ind w:firstLine="0"/>
              <w:jc w:val="center"/>
              <w:rPr>
                <w:sz w:val="22"/>
              </w:rPr>
            </w:pPr>
            <w:r w:rsidRPr="009E18B2">
              <w:rPr>
                <w:sz w:val="22"/>
              </w:rPr>
              <w:t>11,38%</w:t>
            </w:r>
          </w:p>
        </w:tc>
      </w:tr>
      <w:tr w:rsidR="008F16D6" w:rsidRPr="009E18B2" w14:paraId="7779EDEA" w14:textId="77777777" w:rsidTr="00A21E6D">
        <w:trPr>
          <w:trHeight w:val="255"/>
        </w:trPr>
        <w:tc>
          <w:tcPr>
            <w:tcW w:w="2460" w:type="dxa"/>
            <w:vMerge/>
            <w:tcBorders>
              <w:left w:val="single" w:sz="4" w:space="0" w:color="auto"/>
              <w:bottom w:val="single" w:sz="4" w:space="0" w:color="auto"/>
              <w:right w:val="single" w:sz="4" w:space="0" w:color="auto"/>
            </w:tcBorders>
            <w:vAlign w:val="center"/>
          </w:tcPr>
          <w:p w14:paraId="7C5ED091" w14:textId="77777777" w:rsidR="008F16D6" w:rsidRPr="009E18B2" w:rsidRDefault="008F16D6" w:rsidP="00EC492E">
            <w:pPr>
              <w:rPr>
                <w:sz w:val="22"/>
              </w:rPr>
            </w:pPr>
          </w:p>
        </w:tc>
        <w:tc>
          <w:tcPr>
            <w:tcW w:w="1244" w:type="dxa"/>
            <w:tcBorders>
              <w:top w:val="nil"/>
              <w:left w:val="nil"/>
              <w:bottom w:val="single" w:sz="4" w:space="0" w:color="auto"/>
              <w:right w:val="single" w:sz="4" w:space="0" w:color="auto"/>
            </w:tcBorders>
            <w:noWrap/>
            <w:vAlign w:val="bottom"/>
            <w:hideMark/>
          </w:tcPr>
          <w:p w14:paraId="5C743718" w14:textId="77777777" w:rsidR="008F16D6" w:rsidRPr="009E18B2" w:rsidRDefault="008F16D6" w:rsidP="00041D42">
            <w:pPr>
              <w:ind w:firstLine="0"/>
              <w:rPr>
                <w:sz w:val="22"/>
              </w:rPr>
            </w:pPr>
            <w:r w:rsidRPr="009E18B2">
              <w:rPr>
                <w:sz w:val="22"/>
              </w:rPr>
              <w:t>412</w:t>
            </w:r>
          </w:p>
        </w:tc>
        <w:tc>
          <w:tcPr>
            <w:tcW w:w="3663" w:type="dxa"/>
            <w:tcBorders>
              <w:top w:val="nil"/>
              <w:left w:val="nil"/>
              <w:bottom w:val="single" w:sz="4" w:space="0" w:color="auto"/>
              <w:right w:val="single" w:sz="4" w:space="0" w:color="auto"/>
            </w:tcBorders>
            <w:vAlign w:val="center"/>
            <w:hideMark/>
          </w:tcPr>
          <w:p w14:paraId="71728DA0" w14:textId="77777777" w:rsidR="008F16D6" w:rsidRPr="009E18B2" w:rsidRDefault="008F16D6" w:rsidP="00041D42">
            <w:pPr>
              <w:ind w:firstLine="0"/>
              <w:rPr>
                <w:sz w:val="22"/>
              </w:rPr>
            </w:pPr>
            <w:r w:rsidRPr="009E18B2">
              <w:rPr>
                <w:sz w:val="22"/>
              </w:rPr>
              <w:t>Летние кафе</w:t>
            </w:r>
          </w:p>
        </w:tc>
        <w:tc>
          <w:tcPr>
            <w:tcW w:w="997" w:type="dxa"/>
            <w:tcBorders>
              <w:top w:val="nil"/>
              <w:left w:val="nil"/>
              <w:bottom w:val="single" w:sz="4" w:space="0" w:color="auto"/>
              <w:right w:val="single" w:sz="4" w:space="0" w:color="auto"/>
            </w:tcBorders>
            <w:noWrap/>
            <w:vAlign w:val="bottom"/>
            <w:hideMark/>
          </w:tcPr>
          <w:p w14:paraId="52B02145" w14:textId="77777777" w:rsidR="008F16D6" w:rsidRPr="009E18B2" w:rsidRDefault="008F16D6" w:rsidP="00041D42">
            <w:pPr>
              <w:ind w:firstLine="0"/>
              <w:jc w:val="center"/>
              <w:rPr>
                <w:sz w:val="22"/>
              </w:rPr>
            </w:pPr>
            <w:r w:rsidRPr="009E18B2">
              <w:rPr>
                <w:sz w:val="22"/>
              </w:rPr>
              <w:t>2</w:t>
            </w:r>
          </w:p>
        </w:tc>
        <w:tc>
          <w:tcPr>
            <w:tcW w:w="1134" w:type="dxa"/>
            <w:tcBorders>
              <w:top w:val="nil"/>
              <w:left w:val="nil"/>
              <w:bottom w:val="single" w:sz="4" w:space="0" w:color="auto"/>
              <w:right w:val="single" w:sz="4" w:space="0" w:color="auto"/>
            </w:tcBorders>
            <w:noWrap/>
            <w:vAlign w:val="center"/>
            <w:hideMark/>
          </w:tcPr>
          <w:p w14:paraId="49F92E81" w14:textId="77777777" w:rsidR="008F16D6" w:rsidRPr="009E18B2" w:rsidRDefault="008F16D6" w:rsidP="00041D42">
            <w:pPr>
              <w:ind w:firstLine="0"/>
              <w:jc w:val="center"/>
              <w:rPr>
                <w:sz w:val="22"/>
              </w:rPr>
            </w:pPr>
            <w:r w:rsidRPr="009E18B2">
              <w:rPr>
                <w:sz w:val="22"/>
              </w:rPr>
              <w:t>0,02%</w:t>
            </w:r>
          </w:p>
        </w:tc>
      </w:tr>
      <w:tr w:rsidR="00EC492E" w:rsidRPr="009E18B2" w14:paraId="4BACA810" w14:textId="77777777" w:rsidTr="009E18B2">
        <w:trPr>
          <w:trHeight w:val="255"/>
        </w:trPr>
        <w:tc>
          <w:tcPr>
            <w:tcW w:w="2460" w:type="dxa"/>
            <w:tcBorders>
              <w:top w:val="nil"/>
              <w:left w:val="single" w:sz="4" w:space="0" w:color="auto"/>
              <w:bottom w:val="single" w:sz="4" w:space="0" w:color="auto"/>
              <w:right w:val="single" w:sz="4" w:space="0" w:color="auto"/>
            </w:tcBorders>
            <w:noWrap/>
            <w:vAlign w:val="bottom"/>
            <w:hideMark/>
          </w:tcPr>
          <w:p w14:paraId="1BA92F28" w14:textId="77777777" w:rsidR="00EC492E" w:rsidRPr="009E18B2" w:rsidRDefault="00EC492E" w:rsidP="00EC492E">
            <w:pPr>
              <w:rPr>
                <w:b/>
                <w:i/>
                <w:sz w:val="22"/>
              </w:rPr>
            </w:pPr>
            <w:r w:rsidRPr="009E18B2">
              <w:rPr>
                <w:b/>
                <w:i/>
                <w:sz w:val="22"/>
              </w:rPr>
              <w:t> </w:t>
            </w:r>
          </w:p>
        </w:tc>
        <w:tc>
          <w:tcPr>
            <w:tcW w:w="1244" w:type="dxa"/>
            <w:tcBorders>
              <w:top w:val="nil"/>
              <w:left w:val="nil"/>
              <w:bottom w:val="single" w:sz="4" w:space="0" w:color="auto"/>
              <w:right w:val="single" w:sz="4" w:space="0" w:color="auto"/>
            </w:tcBorders>
            <w:noWrap/>
            <w:vAlign w:val="bottom"/>
            <w:hideMark/>
          </w:tcPr>
          <w:p w14:paraId="4482E2D4" w14:textId="77777777" w:rsidR="00EC492E" w:rsidRPr="009E18B2" w:rsidRDefault="00EC492E" w:rsidP="00EC492E">
            <w:pPr>
              <w:rPr>
                <w:b/>
                <w:i/>
                <w:sz w:val="22"/>
              </w:rPr>
            </w:pPr>
            <w:r w:rsidRPr="009E18B2">
              <w:rPr>
                <w:b/>
                <w:i/>
                <w:sz w:val="22"/>
              </w:rPr>
              <w:t> </w:t>
            </w:r>
          </w:p>
        </w:tc>
        <w:tc>
          <w:tcPr>
            <w:tcW w:w="3663" w:type="dxa"/>
            <w:tcBorders>
              <w:top w:val="nil"/>
              <w:left w:val="nil"/>
              <w:bottom w:val="single" w:sz="4" w:space="0" w:color="auto"/>
              <w:right w:val="single" w:sz="4" w:space="0" w:color="auto"/>
            </w:tcBorders>
            <w:noWrap/>
            <w:vAlign w:val="bottom"/>
            <w:hideMark/>
          </w:tcPr>
          <w:p w14:paraId="6C44BBED" w14:textId="77777777" w:rsidR="00EC492E" w:rsidRPr="00842E28" w:rsidRDefault="00EC492E" w:rsidP="00EC492E">
            <w:pPr>
              <w:rPr>
                <w:b/>
                <w:sz w:val="22"/>
              </w:rPr>
            </w:pPr>
            <w:r w:rsidRPr="00842E28">
              <w:rPr>
                <w:b/>
                <w:sz w:val="22"/>
              </w:rPr>
              <w:t>ИТОГО</w:t>
            </w:r>
          </w:p>
        </w:tc>
        <w:tc>
          <w:tcPr>
            <w:tcW w:w="997" w:type="dxa"/>
            <w:tcBorders>
              <w:top w:val="nil"/>
              <w:left w:val="nil"/>
              <w:bottom w:val="single" w:sz="4" w:space="0" w:color="auto"/>
              <w:right w:val="single" w:sz="4" w:space="0" w:color="auto"/>
            </w:tcBorders>
            <w:noWrap/>
            <w:vAlign w:val="center"/>
            <w:hideMark/>
          </w:tcPr>
          <w:p w14:paraId="23EA55EE" w14:textId="5F77E2E7" w:rsidR="00EC492E" w:rsidRPr="00842E28" w:rsidRDefault="00EC492E" w:rsidP="00842E28">
            <w:pPr>
              <w:ind w:firstLine="44"/>
              <w:jc w:val="center"/>
              <w:rPr>
                <w:b/>
                <w:sz w:val="22"/>
              </w:rPr>
            </w:pPr>
            <w:r w:rsidRPr="00842E28">
              <w:rPr>
                <w:b/>
                <w:sz w:val="22"/>
              </w:rPr>
              <w:t>10</w:t>
            </w:r>
            <w:r w:rsidR="00842E28">
              <w:rPr>
                <w:b/>
                <w:sz w:val="22"/>
              </w:rPr>
              <w:t xml:space="preserve"> </w:t>
            </w:r>
            <w:r w:rsidRPr="00842E28">
              <w:rPr>
                <w:b/>
                <w:sz w:val="22"/>
              </w:rPr>
              <w:t>5</w:t>
            </w:r>
            <w:r w:rsidR="00842E28">
              <w:rPr>
                <w:b/>
                <w:sz w:val="22"/>
              </w:rPr>
              <w:t>89</w:t>
            </w:r>
          </w:p>
        </w:tc>
        <w:tc>
          <w:tcPr>
            <w:tcW w:w="1134" w:type="dxa"/>
            <w:tcBorders>
              <w:top w:val="nil"/>
              <w:left w:val="nil"/>
              <w:bottom w:val="single" w:sz="4" w:space="0" w:color="auto"/>
              <w:right w:val="single" w:sz="4" w:space="0" w:color="auto"/>
            </w:tcBorders>
            <w:noWrap/>
            <w:vAlign w:val="center"/>
            <w:hideMark/>
          </w:tcPr>
          <w:p w14:paraId="6FEF556A" w14:textId="77777777" w:rsidR="00EC492E" w:rsidRPr="00842E28" w:rsidRDefault="00EC492E" w:rsidP="009E18B2">
            <w:pPr>
              <w:ind w:firstLine="44"/>
              <w:jc w:val="center"/>
              <w:rPr>
                <w:b/>
                <w:sz w:val="22"/>
              </w:rPr>
            </w:pPr>
            <w:r w:rsidRPr="00842E28">
              <w:rPr>
                <w:b/>
                <w:sz w:val="22"/>
              </w:rPr>
              <w:t>100,00%</w:t>
            </w:r>
          </w:p>
        </w:tc>
      </w:tr>
    </w:tbl>
    <w:p w14:paraId="39B83EA9" w14:textId="77777777" w:rsidR="00EC492E" w:rsidRPr="00824D31" w:rsidRDefault="00EC492E" w:rsidP="00EC492E"/>
    <w:p w14:paraId="6C48B2DB" w14:textId="77777777" w:rsidR="00EC492E" w:rsidRPr="00824D31" w:rsidRDefault="00EC492E" w:rsidP="00EC492E">
      <w:r w:rsidRPr="00824D31">
        <w:t>Основную часть Объектов рассматриваемой группы составляют «Магазины до 250 кв.м., за исключением киосков, павильонов, ларьков» - 45,29%.</w:t>
      </w:r>
    </w:p>
    <w:p w14:paraId="3C02771E" w14:textId="77777777" w:rsidR="00EC492E" w:rsidRPr="00824D31" w:rsidRDefault="00EC492E" w:rsidP="00EC492E">
      <w:r w:rsidRPr="00824D31">
        <w:t>Объекты недвижимости 4 группы были разбиты на подгруппы по следующим критериям:</w:t>
      </w:r>
    </w:p>
    <w:p w14:paraId="45A0819B" w14:textId="77777777" w:rsidR="00EC492E" w:rsidRPr="00824D31" w:rsidRDefault="00EC492E" w:rsidP="00EC492E">
      <w:r w:rsidRPr="00824D31">
        <w:t>1. в зависимости от местоположения:</w:t>
      </w:r>
    </w:p>
    <w:p w14:paraId="3998EAA1" w14:textId="77777777" w:rsidR="00EC492E" w:rsidRPr="00824D31" w:rsidRDefault="00EC492E" w:rsidP="00EC492E">
      <w:r w:rsidRPr="00824D31">
        <w:t>- объекты, точное местоположение которых возможно установить;</w:t>
      </w:r>
    </w:p>
    <w:p w14:paraId="3A6DFBBB" w14:textId="77777777" w:rsidR="00EC492E" w:rsidRPr="00824D31" w:rsidRDefault="00EC492E" w:rsidP="00EC492E">
      <w:r w:rsidRPr="00824D31">
        <w:t xml:space="preserve">- объекты, точное местоположение которых невозможно установить. </w:t>
      </w:r>
    </w:p>
    <w:p w14:paraId="285EF539" w14:textId="09C10410" w:rsidR="00EC492E" w:rsidRPr="00824D31" w:rsidRDefault="00EC492E" w:rsidP="00EC492E">
      <w:r w:rsidRPr="00824D31">
        <w:t>В подгруппу объектов, точное местоположени</w:t>
      </w:r>
      <w:r w:rsidR="005A6F55">
        <w:t xml:space="preserve">е которых возможно установить, </w:t>
      </w:r>
      <w:r w:rsidRPr="00824D31">
        <w:t>относятся объекты, местоположение которых:</w:t>
      </w:r>
    </w:p>
    <w:p w14:paraId="5DF25FB3" w14:textId="77777777" w:rsidR="00EC492E" w:rsidRPr="00824D31" w:rsidRDefault="00EC492E" w:rsidP="00EC492E">
      <w:r w:rsidRPr="00824D31">
        <w:t>- возможно установить до уровня дома;</w:t>
      </w:r>
    </w:p>
    <w:p w14:paraId="364E479F" w14:textId="77777777" w:rsidR="00EC492E" w:rsidRPr="00824D31" w:rsidRDefault="00EC492E" w:rsidP="00EC492E">
      <w:r w:rsidRPr="00824D31">
        <w:t>- возможно установить до уровня улицы;</w:t>
      </w:r>
    </w:p>
    <w:p w14:paraId="741E6052" w14:textId="77777777" w:rsidR="00EC492E" w:rsidRPr="00824D31" w:rsidRDefault="00EC492E" w:rsidP="00EC492E">
      <w:r w:rsidRPr="00824D31">
        <w:t>- возможно установить до уровня кадастрового квартала.</w:t>
      </w:r>
    </w:p>
    <w:p w14:paraId="4C622785" w14:textId="77777777" w:rsidR="00EC492E" w:rsidRPr="00824D31" w:rsidRDefault="00EC492E" w:rsidP="00EC492E">
      <w:r w:rsidRPr="00824D31">
        <w:t>При этом для объектов, расположенных в сельских населенных пунктах, отнесенных в подгруппу объектов, точное местоположение которых возможно установить, допустимым является установление местоположения до уровня населенного пункта.</w:t>
      </w:r>
    </w:p>
    <w:p w14:paraId="6C92EB5C" w14:textId="77777777" w:rsidR="00EC492E" w:rsidRPr="00824D31" w:rsidRDefault="00EC492E" w:rsidP="00EC492E">
      <w:r w:rsidRPr="00824D31">
        <w:t>К подгруппе объектов, точное местоположение которых невозможно установить, относятся объекты, местоположение которых:</w:t>
      </w:r>
    </w:p>
    <w:p w14:paraId="5B5C24A7" w14:textId="77777777" w:rsidR="00EC492E" w:rsidRPr="00824D31" w:rsidRDefault="00EC492E" w:rsidP="00EC492E">
      <w:r w:rsidRPr="00824D31">
        <w:t>- возможно установить только до уровня муниципального образования;</w:t>
      </w:r>
    </w:p>
    <w:p w14:paraId="78F6FACC" w14:textId="77777777" w:rsidR="00EC492E" w:rsidRPr="00824D31" w:rsidRDefault="00EC492E" w:rsidP="00EC492E">
      <w:r w:rsidRPr="00824D31">
        <w:t>- возможно установить только до уровня субъекта Российской Федерации.</w:t>
      </w:r>
    </w:p>
    <w:p w14:paraId="36006609" w14:textId="77777777" w:rsidR="00EC492E" w:rsidRPr="00824D31" w:rsidRDefault="00EC492E" w:rsidP="00EC492E">
      <w:r w:rsidRPr="00824D31">
        <w:t>2. В зависимости от статуса населенного пункта разделение на группы (подгруппы) производилось по принципу:</w:t>
      </w:r>
    </w:p>
    <w:p w14:paraId="48573FE9" w14:textId="77777777" w:rsidR="00EC492E" w:rsidRPr="00824D31" w:rsidRDefault="00EC492E" w:rsidP="00EC492E">
      <w:r w:rsidRPr="00824D31">
        <w:t>- объекты, расположенные в столице субъекта Российской Федерации;</w:t>
      </w:r>
    </w:p>
    <w:p w14:paraId="563BA2E9" w14:textId="77777777" w:rsidR="00EC492E" w:rsidRPr="00824D31" w:rsidRDefault="00EC492E" w:rsidP="00EC492E">
      <w:r w:rsidRPr="00824D31">
        <w:t>- объекты, расположенные в прочих городских населенных пунктах;</w:t>
      </w:r>
    </w:p>
    <w:p w14:paraId="48E5B99B" w14:textId="77777777" w:rsidR="00EC492E" w:rsidRPr="00824D31" w:rsidRDefault="00EC492E" w:rsidP="00EC492E">
      <w:r w:rsidRPr="00824D31">
        <w:t>- объекты, расположенные в сельских населенных пунктах;</w:t>
      </w:r>
    </w:p>
    <w:p w14:paraId="300E5DE7" w14:textId="77777777" w:rsidR="00EC492E" w:rsidRPr="00824D31" w:rsidRDefault="00EC492E" w:rsidP="00EC492E">
      <w:r w:rsidRPr="00824D31">
        <w:t>-  объекты, расположенные вне черты населенных пунктов.</w:t>
      </w:r>
    </w:p>
    <w:p w14:paraId="323544A8" w14:textId="77777777" w:rsidR="00EC492E" w:rsidRPr="00824D31" w:rsidRDefault="00EC492E" w:rsidP="00EC492E">
      <w:r w:rsidRPr="00824D31">
        <w:t>3. В зависимости от степени готовности объекта:</w:t>
      </w:r>
    </w:p>
    <w:p w14:paraId="40979D6C" w14:textId="77777777" w:rsidR="00EC492E" w:rsidRPr="00824D31" w:rsidRDefault="00EC492E" w:rsidP="00EC492E">
      <w:r w:rsidRPr="00824D31">
        <w:t xml:space="preserve">- объекты, строительство которых завершено (здания, помещения, сооружения); </w:t>
      </w:r>
    </w:p>
    <w:p w14:paraId="137F2183" w14:textId="77777777" w:rsidR="00EC492E" w:rsidRPr="00824D31" w:rsidRDefault="00EC492E" w:rsidP="00EC492E">
      <w:r w:rsidRPr="00824D31">
        <w:t>-объекты незавершенного строительства.</w:t>
      </w:r>
    </w:p>
    <w:p w14:paraId="0F3559F0" w14:textId="77777777" w:rsidR="00EC492E" w:rsidRPr="00824D31" w:rsidRDefault="00EC492E" w:rsidP="00EC492E">
      <w:r w:rsidRPr="00824D31">
        <w:t xml:space="preserve">Выделенные на оцениваемой территории группы объектов оценки соответствуют следующим требованиям: </w:t>
      </w:r>
    </w:p>
    <w:p w14:paraId="0CC7FA46" w14:textId="77777777" w:rsidR="00EC492E" w:rsidRPr="00824D31" w:rsidRDefault="00EC492E" w:rsidP="00EC492E">
      <w:r w:rsidRPr="00824D31">
        <w:t>- однородны с точки зрения значений (диапазонов значений) ценообразующих факторов;</w:t>
      </w:r>
    </w:p>
    <w:p w14:paraId="6ED8F7BD" w14:textId="77777777" w:rsidR="00EC492E" w:rsidRPr="00824D31" w:rsidRDefault="00EC492E" w:rsidP="00EC492E">
      <w:r w:rsidRPr="00824D31">
        <w:t>- полностью покрывают группу объектов оценки (каждый объект оценки должен быть отнесен к какой-либо группе/подгруппе);</w:t>
      </w:r>
    </w:p>
    <w:p w14:paraId="14A5033A" w14:textId="77777777" w:rsidR="00EC492E" w:rsidRPr="00824D31" w:rsidRDefault="00EC492E" w:rsidP="00EC492E">
      <w:r w:rsidRPr="00824D31">
        <w:t>- не пересекаются - объект оценки может быть отнесен только к одной группе/подгруппе.</w:t>
      </w:r>
    </w:p>
    <w:p w14:paraId="19797B66" w14:textId="77777777" w:rsidR="00EC492E" w:rsidRPr="00824D31" w:rsidRDefault="00EC492E" w:rsidP="00EC492E">
      <w:r w:rsidRPr="00824D31">
        <w:t xml:space="preserve">Представленная группировка позволяет объединить объекты недвижимости по общности признаков со схожими принципами ценообразования и примерно одинаковым уровнем цен на объекты недвижимости. </w:t>
      </w:r>
    </w:p>
    <w:p w14:paraId="647FBBCA" w14:textId="77777777" w:rsidR="00EC492E" w:rsidRPr="00824D31" w:rsidRDefault="00EC492E" w:rsidP="00EC492E"/>
    <w:p w14:paraId="1BDD64EE" w14:textId="7E30870C" w:rsidR="00EC492E" w:rsidRPr="008F16D6" w:rsidRDefault="00EC492E" w:rsidP="008F16D6">
      <w:pPr>
        <w:rPr>
          <w:b/>
        </w:rPr>
      </w:pPr>
      <w:r w:rsidRPr="008F16D6">
        <w:rPr>
          <w:b/>
        </w:rPr>
        <w:t>5 группа «</w:t>
      </w:r>
      <w:r w:rsidR="008F16D6" w:rsidRPr="008F16D6">
        <w:rPr>
          <w:b/>
        </w:rPr>
        <w:t xml:space="preserve">Объекты временного проживания, </w:t>
      </w:r>
      <w:r w:rsidRPr="008F16D6">
        <w:rPr>
          <w:b/>
        </w:rPr>
        <w:t>включая объекты рекреационно-оздоровительного значения»</w:t>
      </w:r>
    </w:p>
    <w:p w14:paraId="1775D142" w14:textId="77777777" w:rsidR="00EC492E" w:rsidRPr="00824D31" w:rsidRDefault="00EC492E" w:rsidP="00EC492E"/>
    <w:p w14:paraId="1DE99FCE" w14:textId="77777777" w:rsidR="00EC492E" w:rsidRPr="00824D31" w:rsidRDefault="00EC492E" w:rsidP="00EC492E">
      <w:r w:rsidRPr="00824D31">
        <w:t>Объекты данной группы представляют собой объекты недвижимости временного проживания, включая объекты рекреационно-оздоровительного значения.</w:t>
      </w:r>
    </w:p>
    <w:p w14:paraId="26A4589C" w14:textId="77777777" w:rsidR="00EC492E" w:rsidRPr="00824D31" w:rsidRDefault="00EC492E" w:rsidP="00EC492E">
      <w:r w:rsidRPr="00824D31">
        <w:t xml:space="preserve">К объектам 5 группы относятся: </w:t>
      </w:r>
    </w:p>
    <w:p w14:paraId="09E82A0C" w14:textId="77777777" w:rsidR="00EC492E" w:rsidRPr="00824D31" w:rsidRDefault="00EC492E" w:rsidP="00EC492E">
      <w:r w:rsidRPr="00824D31">
        <w:t>- объекты недвижимости, предназначенные для временного проживания гостиничного типа: здания и помещения гостиниц и прочие места для временного проживания (отели, мотели);</w:t>
      </w:r>
    </w:p>
    <w:p w14:paraId="2AA1CBE1" w14:textId="77777777" w:rsidR="00EC492E" w:rsidRPr="00824D31" w:rsidRDefault="00EC492E" w:rsidP="00EC492E">
      <w:r w:rsidRPr="00824D31">
        <w:t>-  общежития;</w:t>
      </w:r>
    </w:p>
    <w:p w14:paraId="1C172F16" w14:textId="77777777" w:rsidR="00EC492E" w:rsidRPr="00824D31" w:rsidRDefault="00EC492E" w:rsidP="00EC492E">
      <w:r w:rsidRPr="00824D31">
        <w:t>- объекты для обеспечения благоприятных условий отдыха и оздоровления населения: здания и помещения для отдыхающих, дома отдыха, санатории, пансионаты, кемпинги, туристические базы, стационарные и палаточные туристско-оздоровительные лагеря.</w:t>
      </w:r>
    </w:p>
    <w:p w14:paraId="4076293F" w14:textId="77777777" w:rsidR="00EC492E" w:rsidRPr="00824D31" w:rsidRDefault="00EC492E" w:rsidP="00EC492E">
      <w:r w:rsidRPr="00824D31">
        <w:t>Номера подрупп, входящих в состав группы: 0501-0517.</w:t>
      </w:r>
    </w:p>
    <w:p w14:paraId="10192FF4" w14:textId="06E8BC48" w:rsidR="00EC492E" w:rsidRPr="00824D31" w:rsidRDefault="00EC492E" w:rsidP="00EC492E">
      <w:r w:rsidRPr="00824D31">
        <w:t>Общее количество Объектов оценки, отнесенных к группе «Объекты временного проживания, включая объекты рекреационно - оздоровит</w:t>
      </w:r>
      <w:r w:rsidR="00EA2AA2">
        <w:t>ельного значения» составляет 13</w:t>
      </w:r>
      <w:r w:rsidRPr="00824D31">
        <w:t>018 Объектов.</w:t>
      </w:r>
    </w:p>
    <w:p w14:paraId="315163DB" w14:textId="1A7BA4DA" w:rsidR="00EC492E" w:rsidRPr="00824D31" w:rsidRDefault="00EC492E" w:rsidP="00763AD2">
      <w:pPr>
        <w:pStyle w:val="afffffff0"/>
      </w:pPr>
      <w:r w:rsidRPr="00824D31">
        <w:t xml:space="preserve">Таблица </w:t>
      </w:r>
      <w:r w:rsidR="00A90944">
        <w:fldChar w:fldCharType="begin"/>
      </w:r>
      <w:r w:rsidR="00A90944">
        <w:instrText xml:space="preserve"> SEQ Таблица \* ARABIC </w:instrText>
      </w:r>
      <w:r w:rsidR="00A90944">
        <w:fldChar w:fldCharType="separate"/>
      </w:r>
      <w:r w:rsidR="00FD2769">
        <w:rPr>
          <w:noProof/>
        </w:rPr>
        <w:t>37</w:t>
      </w:r>
      <w:r w:rsidR="00A90944">
        <w:rPr>
          <w:noProof/>
        </w:rPr>
        <w:fldChar w:fldCharType="end"/>
      </w:r>
      <w:r w:rsidRPr="00824D31">
        <w:t xml:space="preserve"> Результат группировки Объектов оценки в рамках группы 5 Объекты временного проживания, включая объекты рекреационно - оздоровительного значения </w:t>
      </w:r>
    </w:p>
    <w:tbl>
      <w:tblPr>
        <w:tblW w:w="9214" w:type="dxa"/>
        <w:tblInd w:w="-5" w:type="dxa"/>
        <w:tblLook w:val="04A0" w:firstRow="1" w:lastRow="0" w:firstColumn="1" w:lastColumn="0" w:noHBand="0" w:noVBand="1"/>
      </w:tblPr>
      <w:tblGrid>
        <w:gridCol w:w="2063"/>
        <w:gridCol w:w="1344"/>
        <w:gridCol w:w="3256"/>
        <w:gridCol w:w="1417"/>
        <w:gridCol w:w="1134"/>
      </w:tblGrid>
      <w:tr w:rsidR="00EC492E" w:rsidRPr="00824D31" w14:paraId="56775837" w14:textId="77777777" w:rsidTr="00E80077">
        <w:trPr>
          <w:trHeight w:val="630"/>
          <w:tblHeader/>
        </w:trPr>
        <w:tc>
          <w:tcPr>
            <w:tcW w:w="2063" w:type="dxa"/>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1A709596" w14:textId="77777777" w:rsidR="00EC492E" w:rsidRPr="00824D31" w:rsidRDefault="00EC492E" w:rsidP="00E80077">
            <w:pPr>
              <w:ind w:firstLine="0"/>
            </w:pPr>
            <w:r w:rsidRPr="00824D31">
              <w:t>Наименование группы</w:t>
            </w:r>
          </w:p>
        </w:tc>
        <w:tc>
          <w:tcPr>
            <w:tcW w:w="1344" w:type="dxa"/>
            <w:tcBorders>
              <w:top w:val="single" w:sz="4" w:space="0" w:color="auto"/>
              <w:left w:val="nil"/>
              <w:bottom w:val="single" w:sz="4" w:space="0" w:color="auto"/>
              <w:right w:val="single" w:sz="4" w:space="0" w:color="auto"/>
            </w:tcBorders>
            <w:shd w:val="clear" w:color="auto" w:fill="BFBFBF" w:themeFill="background1" w:themeFillShade="BF"/>
            <w:hideMark/>
          </w:tcPr>
          <w:p w14:paraId="4EF8AE8E" w14:textId="77777777" w:rsidR="00E80077" w:rsidRDefault="00EC492E" w:rsidP="00E80077">
            <w:pPr>
              <w:ind w:firstLine="0"/>
            </w:pPr>
            <w:r w:rsidRPr="00824D31">
              <w:t xml:space="preserve">Код </w:t>
            </w:r>
          </w:p>
          <w:p w14:paraId="6C276AD7" w14:textId="587D0369" w:rsidR="00EC492E" w:rsidRPr="00824D31" w:rsidRDefault="00EC492E" w:rsidP="00E80077">
            <w:pPr>
              <w:ind w:firstLine="0"/>
            </w:pPr>
            <w:r w:rsidRPr="00824D31">
              <w:t>подгруппы</w:t>
            </w:r>
          </w:p>
        </w:tc>
        <w:tc>
          <w:tcPr>
            <w:tcW w:w="3256" w:type="dxa"/>
            <w:tcBorders>
              <w:top w:val="single" w:sz="4" w:space="0" w:color="auto"/>
              <w:left w:val="nil"/>
              <w:bottom w:val="single" w:sz="4" w:space="0" w:color="auto"/>
              <w:right w:val="single" w:sz="4" w:space="0" w:color="auto"/>
            </w:tcBorders>
            <w:shd w:val="clear" w:color="auto" w:fill="BFBFBF" w:themeFill="background1" w:themeFillShade="BF"/>
            <w:hideMark/>
          </w:tcPr>
          <w:p w14:paraId="3F3AA1A8" w14:textId="77777777" w:rsidR="00EC492E" w:rsidRPr="00824D31" w:rsidRDefault="00EC492E" w:rsidP="00E80077">
            <w:pPr>
              <w:ind w:firstLine="0"/>
            </w:pPr>
            <w:r w:rsidRPr="00824D31">
              <w:t>Наименование функциональной подгруппы</w:t>
            </w:r>
          </w:p>
        </w:tc>
        <w:tc>
          <w:tcPr>
            <w:tcW w:w="1417" w:type="dxa"/>
            <w:tcBorders>
              <w:top w:val="single" w:sz="4" w:space="0" w:color="auto"/>
              <w:left w:val="nil"/>
              <w:bottom w:val="single" w:sz="4" w:space="0" w:color="auto"/>
              <w:right w:val="single" w:sz="4" w:space="0" w:color="auto"/>
            </w:tcBorders>
            <w:shd w:val="clear" w:color="auto" w:fill="BFBFBF" w:themeFill="background1" w:themeFillShade="BF"/>
            <w:hideMark/>
          </w:tcPr>
          <w:p w14:paraId="47588512" w14:textId="77777777" w:rsidR="00EC492E" w:rsidRPr="00824D31" w:rsidRDefault="00EC492E" w:rsidP="00E80077">
            <w:pPr>
              <w:ind w:firstLine="0"/>
            </w:pPr>
            <w:r w:rsidRPr="00824D31">
              <w:t>Количество Объектов</w:t>
            </w:r>
          </w:p>
        </w:tc>
        <w:tc>
          <w:tcPr>
            <w:tcW w:w="1134" w:type="dxa"/>
            <w:tcBorders>
              <w:top w:val="single" w:sz="4" w:space="0" w:color="auto"/>
              <w:left w:val="nil"/>
              <w:bottom w:val="single" w:sz="4" w:space="0" w:color="auto"/>
              <w:right w:val="single" w:sz="4" w:space="0" w:color="auto"/>
            </w:tcBorders>
            <w:shd w:val="clear" w:color="auto" w:fill="BFBFBF" w:themeFill="background1" w:themeFillShade="BF"/>
            <w:noWrap/>
            <w:hideMark/>
          </w:tcPr>
          <w:p w14:paraId="29F5D19E" w14:textId="77777777" w:rsidR="00EC492E" w:rsidRPr="00824D31" w:rsidRDefault="00EC492E" w:rsidP="00E80077">
            <w:pPr>
              <w:ind w:firstLine="0"/>
            </w:pPr>
            <w:r w:rsidRPr="00824D31">
              <w:t>Доля, %</w:t>
            </w:r>
          </w:p>
        </w:tc>
      </w:tr>
      <w:tr w:rsidR="00EC492E" w:rsidRPr="00824D31" w14:paraId="5B4F386F" w14:textId="77777777" w:rsidTr="00E80077">
        <w:trPr>
          <w:trHeight w:val="510"/>
        </w:trPr>
        <w:tc>
          <w:tcPr>
            <w:tcW w:w="2063" w:type="dxa"/>
            <w:vMerge w:val="restart"/>
            <w:tcBorders>
              <w:top w:val="nil"/>
              <w:left w:val="single" w:sz="4" w:space="0" w:color="auto"/>
              <w:bottom w:val="single" w:sz="4" w:space="0" w:color="auto"/>
              <w:right w:val="single" w:sz="4" w:space="0" w:color="auto"/>
            </w:tcBorders>
            <w:noWrap/>
            <w:vAlign w:val="center"/>
            <w:hideMark/>
          </w:tcPr>
          <w:p w14:paraId="3B800A33" w14:textId="77777777" w:rsidR="00EC492E" w:rsidRPr="00824D31" w:rsidRDefault="00EC492E" w:rsidP="00E80077">
            <w:pPr>
              <w:ind w:firstLine="0"/>
            </w:pPr>
            <w:r w:rsidRPr="00824D31">
              <w:t>Объекты временного проживания, включая объекты рекреационно - оздоровительного значения</w:t>
            </w:r>
          </w:p>
        </w:tc>
        <w:tc>
          <w:tcPr>
            <w:tcW w:w="1344" w:type="dxa"/>
            <w:tcBorders>
              <w:top w:val="single" w:sz="4" w:space="0" w:color="auto"/>
              <w:left w:val="nil"/>
              <w:bottom w:val="single" w:sz="4" w:space="0" w:color="auto"/>
              <w:right w:val="single" w:sz="4" w:space="0" w:color="auto"/>
            </w:tcBorders>
            <w:noWrap/>
            <w:vAlign w:val="bottom"/>
            <w:hideMark/>
          </w:tcPr>
          <w:p w14:paraId="3A1426A9" w14:textId="77777777" w:rsidR="00EC492E" w:rsidRPr="00824D31" w:rsidRDefault="00EC492E" w:rsidP="00E80077">
            <w:pPr>
              <w:ind w:firstLine="0"/>
            </w:pPr>
            <w:r w:rsidRPr="00824D31">
              <w:t>501</w:t>
            </w:r>
          </w:p>
        </w:tc>
        <w:tc>
          <w:tcPr>
            <w:tcW w:w="3256" w:type="dxa"/>
            <w:tcBorders>
              <w:top w:val="single" w:sz="4" w:space="0" w:color="auto"/>
              <w:left w:val="nil"/>
              <w:bottom w:val="single" w:sz="4" w:space="0" w:color="auto"/>
              <w:right w:val="single" w:sz="4" w:space="0" w:color="auto"/>
            </w:tcBorders>
            <w:vAlign w:val="center"/>
            <w:hideMark/>
          </w:tcPr>
          <w:p w14:paraId="321BFCF5" w14:textId="77777777" w:rsidR="00EC492E" w:rsidRPr="00824D31" w:rsidRDefault="00EC492E" w:rsidP="00E80077">
            <w:pPr>
              <w:ind w:firstLine="0"/>
            </w:pPr>
            <w:r w:rsidRPr="00824D31">
              <w:t>Гостиницы: класс 2* и ниже, ведомственные гостиницы, хостелы</w:t>
            </w:r>
          </w:p>
        </w:tc>
        <w:tc>
          <w:tcPr>
            <w:tcW w:w="1417" w:type="dxa"/>
            <w:tcBorders>
              <w:top w:val="single" w:sz="4" w:space="0" w:color="auto"/>
              <w:left w:val="nil"/>
              <w:bottom w:val="single" w:sz="4" w:space="0" w:color="auto"/>
              <w:right w:val="single" w:sz="4" w:space="0" w:color="auto"/>
            </w:tcBorders>
            <w:noWrap/>
            <w:vAlign w:val="bottom"/>
            <w:hideMark/>
          </w:tcPr>
          <w:p w14:paraId="76C41B7E" w14:textId="77777777" w:rsidR="00EC492E" w:rsidRPr="00824D31" w:rsidRDefault="00EC492E" w:rsidP="00E80077">
            <w:pPr>
              <w:ind w:firstLine="0"/>
            </w:pPr>
            <w:r w:rsidRPr="00824D31">
              <w:t>223</w:t>
            </w:r>
          </w:p>
        </w:tc>
        <w:tc>
          <w:tcPr>
            <w:tcW w:w="1134" w:type="dxa"/>
            <w:tcBorders>
              <w:top w:val="single" w:sz="4" w:space="0" w:color="auto"/>
              <w:left w:val="nil"/>
              <w:bottom w:val="single" w:sz="4" w:space="0" w:color="auto"/>
              <w:right w:val="single" w:sz="4" w:space="0" w:color="auto"/>
            </w:tcBorders>
            <w:noWrap/>
            <w:vAlign w:val="bottom"/>
            <w:hideMark/>
          </w:tcPr>
          <w:p w14:paraId="5C5F9E78" w14:textId="77777777" w:rsidR="00EC492E" w:rsidRPr="00824D31" w:rsidRDefault="00EC492E" w:rsidP="00E80077">
            <w:pPr>
              <w:ind w:firstLine="0"/>
            </w:pPr>
            <w:r w:rsidRPr="00824D31">
              <w:t>1,71%</w:t>
            </w:r>
          </w:p>
        </w:tc>
      </w:tr>
      <w:tr w:rsidR="00EC492E" w:rsidRPr="00824D31" w14:paraId="1046FFE9" w14:textId="77777777" w:rsidTr="00E80077">
        <w:trPr>
          <w:trHeight w:val="255"/>
        </w:trPr>
        <w:tc>
          <w:tcPr>
            <w:tcW w:w="2063" w:type="dxa"/>
            <w:vMerge/>
            <w:tcBorders>
              <w:top w:val="nil"/>
              <w:left w:val="single" w:sz="4" w:space="0" w:color="auto"/>
              <w:bottom w:val="single" w:sz="4" w:space="0" w:color="auto"/>
              <w:right w:val="single" w:sz="4" w:space="0" w:color="auto"/>
            </w:tcBorders>
            <w:vAlign w:val="center"/>
            <w:hideMark/>
          </w:tcPr>
          <w:p w14:paraId="0934E82C" w14:textId="77777777" w:rsidR="00EC492E" w:rsidRPr="00824D31" w:rsidRDefault="00EC492E" w:rsidP="00E80077">
            <w:pPr>
              <w:ind w:firstLine="0"/>
            </w:pPr>
          </w:p>
        </w:tc>
        <w:tc>
          <w:tcPr>
            <w:tcW w:w="1344" w:type="dxa"/>
            <w:tcBorders>
              <w:top w:val="single" w:sz="4" w:space="0" w:color="auto"/>
              <w:left w:val="nil"/>
              <w:bottom w:val="single" w:sz="4" w:space="0" w:color="auto"/>
              <w:right w:val="single" w:sz="4" w:space="0" w:color="auto"/>
            </w:tcBorders>
            <w:noWrap/>
            <w:vAlign w:val="bottom"/>
            <w:hideMark/>
          </w:tcPr>
          <w:p w14:paraId="4DBB9E66" w14:textId="77777777" w:rsidR="00EC492E" w:rsidRPr="00824D31" w:rsidRDefault="00EC492E" w:rsidP="00E80077">
            <w:pPr>
              <w:ind w:firstLine="0"/>
            </w:pPr>
            <w:r w:rsidRPr="00824D31">
              <w:t>502</w:t>
            </w:r>
          </w:p>
        </w:tc>
        <w:tc>
          <w:tcPr>
            <w:tcW w:w="3256" w:type="dxa"/>
            <w:tcBorders>
              <w:top w:val="single" w:sz="4" w:space="0" w:color="auto"/>
              <w:left w:val="nil"/>
              <w:bottom w:val="single" w:sz="4" w:space="0" w:color="auto"/>
              <w:right w:val="single" w:sz="4" w:space="0" w:color="auto"/>
            </w:tcBorders>
            <w:vAlign w:val="center"/>
            <w:hideMark/>
          </w:tcPr>
          <w:p w14:paraId="31B894A9" w14:textId="77777777" w:rsidR="00EC492E" w:rsidRPr="00824D31" w:rsidRDefault="00EC492E" w:rsidP="00E80077">
            <w:pPr>
              <w:ind w:firstLine="0"/>
            </w:pPr>
            <w:r w:rsidRPr="00824D31">
              <w:t>Гостиницы: класс 3*</w:t>
            </w:r>
          </w:p>
        </w:tc>
        <w:tc>
          <w:tcPr>
            <w:tcW w:w="1417" w:type="dxa"/>
            <w:tcBorders>
              <w:top w:val="single" w:sz="4" w:space="0" w:color="auto"/>
              <w:left w:val="nil"/>
              <w:bottom w:val="single" w:sz="4" w:space="0" w:color="auto"/>
              <w:right w:val="single" w:sz="4" w:space="0" w:color="auto"/>
            </w:tcBorders>
            <w:noWrap/>
            <w:vAlign w:val="bottom"/>
            <w:hideMark/>
          </w:tcPr>
          <w:p w14:paraId="112BD690" w14:textId="77777777" w:rsidR="00EC492E" w:rsidRPr="00824D31" w:rsidRDefault="00EC492E" w:rsidP="00E80077">
            <w:pPr>
              <w:ind w:firstLine="0"/>
            </w:pPr>
            <w:r w:rsidRPr="00824D31">
              <w:t>187</w:t>
            </w:r>
          </w:p>
        </w:tc>
        <w:tc>
          <w:tcPr>
            <w:tcW w:w="1134" w:type="dxa"/>
            <w:tcBorders>
              <w:top w:val="single" w:sz="4" w:space="0" w:color="auto"/>
              <w:left w:val="nil"/>
              <w:bottom w:val="single" w:sz="4" w:space="0" w:color="auto"/>
              <w:right w:val="single" w:sz="4" w:space="0" w:color="auto"/>
            </w:tcBorders>
            <w:noWrap/>
            <w:vAlign w:val="bottom"/>
            <w:hideMark/>
          </w:tcPr>
          <w:p w14:paraId="59D30A82" w14:textId="77777777" w:rsidR="00EC492E" w:rsidRPr="00824D31" w:rsidRDefault="00EC492E" w:rsidP="00E80077">
            <w:pPr>
              <w:ind w:firstLine="0"/>
            </w:pPr>
            <w:r w:rsidRPr="00824D31">
              <w:t>1,44%</w:t>
            </w:r>
          </w:p>
        </w:tc>
      </w:tr>
      <w:tr w:rsidR="00EC492E" w:rsidRPr="00824D31" w14:paraId="109DC749" w14:textId="77777777" w:rsidTr="00E80077">
        <w:trPr>
          <w:trHeight w:val="510"/>
        </w:trPr>
        <w:tc>
          <w:tcPr>
            <w:tcW w:w="2063" w:type="dxa"/>
            <w:vMerge/>
            <w:tcBorders>
              <w:top w:val="nil"/>
              <w:left w:val="single" w:sz="4" w:space="0" w:color="auto"/>
              <w:bottom w:val="single" w:sz="4" w:space="0" w:color="auto"/>
              <w:right w:val="single" w:sz="4" w:space="0" w:color="auto"/>
            </w:tcBorders>
            <w:vAlign w:val="center"/>
            <w:hideMark/>
          </w:tcPr>
          <w:p w14:paraId="0ED44997" w14:textId="77777777" w:rsidR="00EC492E" w:rsidRPr="00824D31" w:rsidRDefault="00EC492E" w:rsidP="00E80077">
            <w:pPr>
              <w:ind w:firstLine="0"/>
            </w:pPr>
          </w:p>
        </w:tc>
        <w:tc>
          <w:tcPr>
            <w:tcW w:w="1344" w:type="dxa"/>
            <w:tcBorders>
              <w:top w:val="single" w:sz="4" w:space="0" w:color="auto"/>
              <w:left w:val="nil"/>
              <w:bottom w:val="single" w:sz="4" w:space="0" w:color="auto"/>
              <w:right w:val="single" w:sz="4" w:space="0" w:color="auto"/>
            </w:tcBorders>
            <w:noWrap/>
            <w:vAlign w:val="bottom"/>
            <w:hideMark/>
          </w:tcPr>
          <w:p w14:paraId="0117E553" w14:textId="77777777" w:rsidR="00EC492E" w:rsidRPr="00824D31" w:rsidRDefault="00EC492E" w:rsidP="00E80077">
            <w:pPr>
              <w:ind w:firstLine="0"/>
            </w:pPr>
            <w:r w:rsidRPr="00824D31">
              <w:t>503</w:t>
            </w:r>
          </w:p>
        </w:tc>
        <w:tc>
          <w:tcPr>
            <w:tcW w:w="3256" w:type="dxa"/>
            <w:tcBorders>
              <w:top w:val="single" w:sz="4" w:space="0" w:color="auto"/>
              <w:left w:val="nil"/>
              <w:bottom w:val="single" w:sz="4" w:space="0" w:color="auto"/>
              <w:right w:val="single" w:sz="4" w:space="0" w:color="auto"/>
            </w:tcBorders>
            <w:vAlign w:val="center"/>
            <w:hideMark/>
          </w:tcPr>
          <w:p w14:paraId="0CC54EDD" w14:textId="77777777" w:rsidR="00EC492E" w:rsidRPr="00824D31" w:rsidRDefault="00EC492E" w:rsidP="00E80077">
            <w:pPr>
              <w:ind w:firstLine="0"/>
            </w:pPr>
            <w:r w:rsidRPr="00824D31">
              <w:t>Гостиницы: класс 4* и выше</w:t>
            </w:r>
          </w:p>
        </w:tc>
        <w:tc>
          <w:tcPr>
            <w:tcW w:w="1417" w:type="dxa"/>
            <w:tcBorders>
              <w:top w:val="single" w:sz="4" w:space="0" w:color="auto"/>
              <w:left w:val="nil"/>
              <w:bottom w:val="single" w:sz="4" w:space="0" w:color="auto"/>
              <w:right w:val="single" w:sz="4" w:space="0" w:color="auto"/>
            </w:tcBorders>
            <w:noWrap/>
            <w:vAlign w:val="bottom"/>
            <w:hideMark/>
          </w:tcPr>
          <w:p w14:paraId="086F2020" w14:textId="77777777" w:rsidR="00EC492E" w:rsidRPr="00824D31" w:rsidRDefault="00EC492E" w:rsidP="00E80077">
            <w:pPr>
              <w:ind w:firstLine="0"/>
            </w:pPr>
            <w:r w:rsidRPr="00824D31">
              <w:t>3</w:t>
            </w:r>
          </w:p>
        </w:tc>
        <w:tc>
          <w:tcPr>
            <w:tcW w:w="1134" w:type="dxa"/>
            <w:tcBorders>
              <w:top w:val="single" w:sz="4" w:space="0" w:color="auto"/>
              <w:left w:val="nil"/>
              <w:bottom w:val="single" w:sz="4" w:space="0" w:color="auto"/>
              <w:right w:val="single" w:sz="4" w:space="0" w:color="auto"/>
            </w:tcBorders>
            <w:noWrap/>
            <w:vAlign w:val="bottom"/>
            <w:hideMark/>
          </w:tcPr>
          <w:p w14:paraId="2A300E35" w14:textId="77777777" w:rsidR="00EC492E" w:rsidRPr="00824D31" w:rsidRDefault="00EC492E" w:rsidP="00E80077">
            <w:pPr>
              <w:ind w:firstLine="0"/>
            </w:pPr>
            <w:r w:rsidRPr="00824D31">
              <w:t>0,02%</w:t>
            </w:r>
          </w:p>
        </w:tc>
      </w:tr>
      <w:tr w:rsidR="00EC492E" w:rsidRPr="00824D31" w14:paraId="39530332" w14:textId="77777777" w:rsidTr="00E80077">
        <w:trPr>
          <w:trHeight w:val="255"/>
        </w:trPr>
        <w:tc>
          <w:tcPr>
            <w:tcW w:w="2063" w:type="dxa"/>
            <w:vMerge/>
            <w:tcBorders>
              <w:top w:val="nil"/>
              <w:left w:val="single" w:sz="4" w:space="0" w:color="auto"/>
              <w:bottom w:val="single" w:sz="4" w:space="0" w:color="auto"/>
              <w:right w:val="single" w:sz="4" w:space="0" w:color="auto"/>
            </w:tcBorders>
            <w:vAlign w:val="center"/>
            <w:hideMark/>
          </w:tcPr>
          <w:p w14:paraId="0FF2E3F2" w14:textId="77777777" w:rsidR="00EC492E" w:rsidRPr="00824D31" w:rsidRDefault="00EC492E" w:rsidP="00E80077">
            <w:pPr>
              <w:ind w:firstLine="0"/>
            </w:pPr>
          </w:p>
        </w:tc>
        <w:tc>
          <w:tcPr>
            <w:tcW w:w="1344" w:type="dxa"/>
            <w:tcBorders>
              <w:top w:val="single" w:sz="4" w:space="0" w:color="auto"/>
              <w:left w:val="nil"/>
              <w:bottom w:val="single" w:sz="4" w:space="0" w:color="auto"/>
              <w:right w:val="single" w:sz="4" w:space="0" w:color="auto"/>
            </w:tcBorders>
            <w:noWrap/>
            <w:vAlign w:val="bottom"/>
            <w:hideMark/>
          </w:tcPr>
          <w:p w14:paraId="741F8162" w14:textId="77777777" w:rsidR="00EC492E" w:rsidRPr="00824D31" w:rsidRDefault="00EC492E" w:rsidP="00E80077">
            <w:pPr>
              <w:ind w:firstLine="0"/>
            </w:pPr>
            <w:r w:rsidRPr="00824D31">
              <w:t>505</w:t>
            </w:r>
          </w:p>
        </w:tc>
        <w:tc>
          <w:tcPr>
            <w:tcW w:w="3256" w:type="dxa"/>
            <w:tcBorders>
              <w:top w:val="single" w:sz="4" w:space="0" w:color="auto"/>
              <w:left w:val="nil"/>
              <w:bottom w:val="single" w:sz="4" w:space="0" w:color="auto"/>
              <w:right w:val="single" w:sz="4" w:space="0" w:color="auto"/>
            </w:tcBorders>
            <w:vAlign w:val="center"/>
            <w:hideMark/>
          </w:tcPr>
          <w:p w14:paraId="77B37336" w14:textId="77777777" w:rsidR="00EC492E" w:rsidRPr="00824D31" w:rsidRDefault="00EC492E" w:rsidP="00E80077">
            <w:pPr>
              <w:ind w:firstLine="0"/>
            </w:pPr>
            <w:r w:rsidRPr="00824D31">
              <w:t>Гостиницы: объекты коттеджного типа</w:t>
            </w:r>
          </w:p>
        </w:tc>
        <w:tc>
          <w:tcPr>
            <w:tcW w:w="1417" w:type="dxa"/>
            <w:tcBorders>
              <w:top w:val="single" w:sz="4" w:space="0" w:color="auto"/>
              <w:left w:val="nil"/>
              <w:bottom w:val="single" w:sz="4" w:space="0" w:color="auto"/>
              <w:right w:val="single" w:sz="4" w:space="0" w:color="auto"/>
            </w:tcBorders>
            <w:noWrap/>
            <w:vAlign w:val="bottom"/>
            <w:hideMark/>
          </w:tcPr>
          <w:p w14:paraId="3A57E8B6" w14:textId="77777777" w:rsidR="00EC492E" w:rsidRPr="00824D31" w:rsidRDefault="00EC492E" w:rsidP="00E80077">
            <w:pPr>
              <w:ind w:firstLine="0"/>
            </w:pPr>
            <w:r w:rsidRPr="00824D31">
              <w:t>15</w:t>
            </w:r>
          </w:p>
        </w:tc>
        <w:tc>
          <w:tcPr>
            <w:tcW w:w="1134" w:type="dxa"/>
            <w:tcBorders>
              <w:top w:val="single" w:sz="4" w:space="0" w:color="auto"/>
              <w:left w:val="nil"/>
              <w:bottom w:val="single" w:sz="4" w:space="0" w:color="auto"/>
              <w:right w:val="single" w:sz="4" w:space="0" w:color="auto"/>
            </w:tcBorders>
            <w:noWrap/>
            <w:vAlign w:val="bottom"/>
            <w:hideMark/>
          </w:tcPr>
          <w:p w14:paraId="59875EF7" w14:textId="77777777" w:rsidR="00EC492E" w:rsidRPr="00824D31" w:rsidRDefault="00EC492E" w:rsidP="00E80077">
            <w:pPr>
              <w:ind w:firstLine="0"/>
            </w:pPr>
            <w:r w:rsidRPr="00824D31">
              <w:t>0,12%</w:t>
            </w:r>
          </w:p>
        </w:tc>
      </w:tr>
      <w:tr w:rsidR="00EC492E" w:rsidRPr="00824D31" w14:paraId="718DAA9E" w14:textId="77777777" w:rsidTr="00E80077">
        <w:trPr>
          <w:trHeight w:val="510"/>
        </w:trPr>
        <w:tc>
          <w:tcPr>
            <w:tcW w:w="2063" w:type="dxa"/>
            <w:vMerge/>
            <w:tcBorders>
              <w:top w:val="nil"/>
              <w:left w:val="single" w:sz="4" w:space="0" w:color="auto"/>
              <w:bottom w:val="single" w:sz="4" w:space="0" w:color="auto"/>
              <w:right w:val="single" w:sz="4" w:space="0" w:color="auto"/>
            </w:tcBorders>
            <w:vAlign w:val="center"/>
            <w:hideMark/>
          </w:tcPr>
          <w:p w14:paraId="40AE6A5C" w14:textId="77777777" w:rsidR="00EC492E" w:rsidRPr="00824D31" w:rsidRDefault="00EC492E" w:rsidP="00E80077">
            <w:pPr>
              <w:ind w:firstLine="0"/>
            </w:pPr>
          </w:p>
        </w:tc>
        <w:tc>
          <w:tcPr>
            <w:tcW w:w="1344" w:type="dxa"/>
            <w:tcBorders>
              <w:top w:val="single" w:sz="4" w:space="0" w:color="auto"/>
              <w:left w:val="nil"/>
              <w:bottom w:val="single" w:sz="4" w:space="0" w:color="auto"/>
              <w:right w:val="single" w:sz="4" w:space="0" w:color="auto"/>
            </w:tcBorders>
            <w:noWrap/>
            <w:vAlign w:val="bottom"/>
            <w:hideMark/>
          </w:tcPr>
          <w:p w14:paraId="7E33130D" w14:textId="77777777" w:rsidR="00EC492E" w:rsidRPr="00824D31" w:rsidRDefault="00EC492E" w:rsidP="00E80077">
            <w:pPr>
              <w:ind w:firstLine="0"/>
            </w:pPr>
            <w:r w:rsidRPr="00824D31">
              <w:t>506</w:t>
            </w:r>
          </w:p>
        </w:tc>
        <w:tc>
          <w:tcPr>
            <w:tcW w:w="3256" w:type="dxa"/>
            <w:tcBorders>
              <w:top w:val="single" w:sz="4" w:space="0" w:color="auto"/>
              <w:left w:val="nil"/>
              <w:bottom w:val="single" w:sz="4" w:space="0" w:color="auto"/>
              <w:right w:val="single" w:sz="4" w:space="0" w:color="auto"/>
            </w:tcBorders>
            <w:vAlign w:val="center"/>
            <w:hideMark/>
          </w:tcPr>
          <w:p w14:paraId="086ECC71" w14:textId="77777777" w:rsidR="00EC492E" w:rsidRPr="00824D31" w:rsidRDefault="00EC492E" w:rsidP="00E80077">
            <w:pPr>
              <w:ind w:firstLine="0"/>
            </w:pPr>
            <w:r w:rsidRPr="00824D31">
              <w:t>Мотели</w:t>
            </w:r>
          </w:p>
        </w:tc>
        <w:tc>
          <w:tcPr>
            <w:tcW w:w="1417" w:type="dxa"/>
            <w:tcBorders>
              <w:top w:val="single" w:sz="4" w:space="0" w:color="auto"/>
              <w:left w:val="nil"/>
              <w:bottom w:val="single" w:sz="4" w:space="0" w:color="auto"/>
              <w:right w:val="single" w:sz="4" w:space="0" w:color="auto"/>
            </w:tcBorders>
            <w:noWrap/>
            <w:vAlign w:val="bottom"/>
            <w:hideMark/>
          </w:tcPr>
          <w:p w14:paraId="1DA5C220" w14:textId="77777777" w:rsidR="00EC492E" w:rsidRPr="00824D31" w:rsidRDefault="00EC492E" w:rsidP="00E80077">
            <w:pPr>
              <w:ind w:firstLine="0"/>
            </w:pPr>
            <w:r w:rsidRPr="00824D31">
              <w:t>1</w:t>
            </w:r>
          </w:p>
        </w:tc>
        <w:tc>
          <w:tcPr>
            <w:tcW w:w="1134" w:type="dxa"/>
            <w:tcBorders>
              <w:top w:val="single" w:sz="4" w:space="0" w:color="auto"/>
              <w:left w:val="nil"/>
              <w:bottom w:val="single" w:sz="4" w:space="0" w:color="auto"/>
              <w:right w:val="single" w:sz="4" w:space="0" w:color="auto"/>
            </w:tcBorders>
            <w:noWrap/>
            <w:vAlign w:val="bottom"/>
            <w:hideMark/>
          </w:tcPr>
          <w:p w14:paraId="7B150C81" w14:textId="77777777" w:rsidR="00EC492E" w:rsidRPr="00824D31" w:rsidRDefault="00EC492E" w:rsidP="00E80077">
            <w:pPr>
              <w:ind w:firstLine="0"/>
            </w:pPr>
            <w:r w:rsidRPr="00824D31">
              <w:t>0,01%</w:t>
            </w:r>
          </w:p>
        </w:tc>
      </w:tr>
      <w:tr w:rsidR="00EC492E" w:rsidRPr="00824D31" w14:paraId="626AAFE5" w14:textId="77777777" w:rsidTr="00E80077">
        <w:trPr>
          <w:trHeight w:val="510"/>
        </w:trPr>
        <w:tc>
          <w:tcPr>
            <w:tcW w:w="2063" w:type="dxa"/>
            <w:vMerge/>
            <w:tcBorders>
              <w:top w:val="nil"/>
              <w:left w:val="single" w:sz="4" w:space="0" w:color="auto"/>
              <w:bottom w:val="single" w:sz="4" w:space="0" w:color="auto"/>
              <w:right w:val="single" w:sz="4" w:space="0" w:color="auto"/>
            </w:tcBorders>
            <w:vAlign w:val="center"/>
            <w:hideMark/>
          </w:tcPr>
          <w:p w14:paraId="62D7760B" w14:textId="77777777" w:rsidR="00EC492E" w:rsidRPr="00824D31" w:rsidRDefault="00EC492E" w:rsidP="00E80077">
            <w:pPr>
              <w:ind w:firstLine="0"/>
            </w:pPr>
          </w:p>
        </w:tc>
        <w:tc>
          <w:tcPr>
            <w:tcW w:w="1344" w:type="dxa"/>
            <w:tcBorders>
              <w:top w:val="single" w:sz="4" w:space="0" w:color="auto"/>
              <w:left w:val="nil"/>
              <w:bottom w:val="single" w:sz="4" w:space="0" w:color="auto"/>
              <w:right w:val="single" w:sz="4" w:space="0" w:color="auto"/>
            </w:tcBorders>
            <w:noWrap/>
            <w:vAlign w:val="bottom"/>
            <w:hideMark/>
          </w:tcPr>
          <w:p w14:paraId="7ED86D91" w14:textId="77777777" w:rsidR="00EC492E" w:rsidRPr="00824D31" w:rsidRDefault="00EC492E" w:rsidP="00E80077">
            <w:pPr>
              <w:ind w:firstLine="0"/>
            </w:pPr>
            <w:r w:rsidRPr="00824D31">
              <w:t>507</w:t>
            </w:r>
          </w:p>
        </w:tc>
        <w:tc>
          <w:tcPr>
            <w:tcW w:w="3256" w:type="dxa"/>
            <w:tcBorders>
              <w:top w:val="single" w:sz="4" w:space="0" w:color="auto"/>
              <w:left w:val="nil"/>
              <w:bottom w:val="single" w:sz="4" w:space="0" w:color="auto"/>
              <w:right w:val="single" w:sz="4" w:space="0" w:color="auto"/>
            </w:tcBorders>
            <w:vAlign w:val="center"/>
            <w:hideMark/>
          </w:tcPr>
          <w:p w14:paraId="4FF05141" w14:textId="77777777" w:rsidR="00EC492E" w:rsidRPr="00824D31" w:rsidRDefault="00EC492E" w:rsidP="00E80077">
            <w:pPr>
              <w:ind w:firstLine="0"/>
            </w:pPr>
            <w:r w:rsidRPr="00824D31">
              <w:t>Общежития</w:t>
            </w:r>
          </w:p>
        </w:tc>
        <w:tc>
          <w:tcPr>
            <w:tcW w:w="1417" w:type="dxa"/>
            <w:tcBorders>
              <w:top w:val="single" w:sz="4" w:space="0" w:color="auto"/>
              <w:left w:val="nil"/>
              <w:bottom w:val="single" w:sz="4" w:space="0" w:color="auto"/>
              <w:right w:val="single" w:sz="4" w:space="0" w:color="auto"/>
            </w:tcBorders>
            <w:noWrap/>
            <w:vAlign w:val="bottom"/>
            <w:hideMark/>
          </w:tcPr>
          <w:p w14:paraId="516A14F0" w14:textId="77777777" w:rsidR="00EC492E" w:rsidRPr="00824D31" w:rsidRDefault="00EC492E" w:rsidP="00E80077">
            <w:pPr>
              <w:ind w:firstLine="0"/>
            </w:pPr>
            <w:r w:rsidRPr="00824D31">
              <w:t>11590</w:t>
            </w:r>
          </w:p>
        </w:tc>
        <w:tc>
          <w:tcPr>
            <w:tcW w:w="1134" w:type="dxa"/>
            <w:tcBorders>
              <w:top w:val="single" w:sz="4" w:space="0" w:color="auto"/>
              <w:left w:val="nil"/>
              <w:bottom w:val="single" w:sz="4" w:space="0" w:color="auto"/>
              <w:right w:val="single" w:sz="4" w:space="0" w:color="auto"/>
            </w:tcBorders>
            <w:noWrap/>
            <w:vAlign w:val="bottom"/>
            <w:hideMark/>
          </w:tcPr>
          <w:p w14:paraId="6DB20B5C" w14:textId="77777777" w:rsidR="00EC492E" w:rsidRPr="00824D31" w:rsidRDefault="00EC492E" w:rsidP="00E80077">
            <w:pPr>
              <w:ind w:firstLine="0"/>
            </w:pPr>
            <w:r w:rsidRPr="00824D31">
              <w:t>89,03%</w:t>
            </w:r>
          </w:p>
        </w:tc>
      </w:tr>
      <w:tr w:rsidR="00EC492E" w:rsidRPr="00824D31" w14:paraId="66092FCE" w14:textId="77777777" w:rsidTr="00E80077">
        <w:trPr>
          <w:trHeight w:val="510"/>
        </w:trPr>
        <w:tc>
          <w:tcPr>
            <w:tcW w:w="2063" w:type="dxa"/>
            <w:vMerge/>
            <w:tcBorders>
              <w:top w:val="nil"/>
              <w:left w:val="single" w:sz="4" w:space="0" w:color="auto"/>
              <w:bottom w:val="single" w:sz="4" w:space="0" w:color="auto"/>
              <w:right w:val="single" w:sz="4" w:space="0" w:color="auto"/>
            </w:tcBorders>
            <w:vAlign w:val="center"/>
            <w:hideMark/>
          </w:tcPr>
          <w:p w14:paraId="31EADE8D" w14:textId="77777777" w:rsidR="00EC492E" w:rsidRPr="00824D31" w:rsidRDefault="00EC492E" w:rsidP="00E80077">
            <w:pPr>
              <w:ind w:firstLine="0"/>
            </w:pPr>
          </w:p>
        </w:tc>
        <w:tc>
          <w:tcPr>
            <w:tcW w:w="1344" w:type="dxa"/>
            <w:tcBorders>
              <w:top w:val="single" w:sz="4" w:space="0" w:color="auto"/>
              <w:left w:val="nil"/>
              <w:bottom w:val="single" w:sz="4" w:space="0" w:color="auto"/>
              <w:right w:val="single" w:sz="4" w:space="0" w:color="auto"/>
            </w:tcBorders>
            <w:noWrap/>
            <w:vAlign w:val="bottom"/>
            <w:hideMark/>
          </w:tcPr>
          <w:p w14:paraId="1A689274" w14:textId="77777777" w:rsidR="00EC492E" w:rsidRPr="00824D31" w:rsidRDefault="00EC492E" w:rsidP="00E80077">
            <w:pPr>
              <w:ind w:firstLine="0"/>
            </w:pPr>
            <w:r w:rsidRPr="00824D31">
              <w:t>508</w:t>
            </w:r>
          </w:p>
        </w:tc>
        <w:tc>
          <w:tcPr>
            <w:tcW w:w="3256" w:type="dxa"/>
            <w:tcBorders>
              <w:top w:val="single" w:sz="4" w:space="0" w:color="auto"/>
              <w:left w:val="nil"/>
              <w:bottom w:val="single" w:sz="4" w:space="0" w:color="auto"/>
              <w:right w:val="single" w:sz="4" w:space="0" w:color="auto"/>
            </w:tcBorders>
            <w:vAlign w:val="center"/>
            <w:hideMark/>
          </w:tcPr>
          <w:p w14:paraId="38C72DB4" w14:textId="77777777" w:rsidR="00EC492E" w:rsidRPr="00824D31" w:rsidRDefault="00EC492E" w:rsidP="00E80077">
            <w:pPr>
              <w:ind w:firstLine="0"/>
            </w:pPr>
            <w:r w:rsidRPr="00824D31">
              <w:t>Пансионаты</w:t>
            </w:r>
          </w:p>
        </w:tc>
        <w:tc>
          <w:tcPr>
            <w:tcW w:w="1417" w:type="dxa"/>
            <w:tcBorders>
              <w:top w:val="single" w:sz="4" w:space="0" w:color="auto"/>
              <w:left w:val="nil"/>
              <w:bottom w:val="single" w:sz="4" w:space="0" w:color="auto"/>
              <w:right w:val="single" w:sz="4" w:space="0" w:color="auto"/>
            </w:tcBorders>
            <w:noWrap/>
            <w:vAlign w:val="bottom"/>
            <w:hideMark/>
          </w:tcPr>
          <w:p w14:paraId="4C3129C2" w14:textId="77777777" w:rsidR="00EC492E" w:rsidRPr="00824D31" w:rsidRDefault="00EC492E" w:rsidP="00E80077">
            <w:pPr>
              <w:ind w:firstLine="0"/>
            </w:pPr>
            <w:r w:rsidRPr="00824D31">
              <w:t>1</w:t>
            </w:r>
          </w:p>
        </w:tc>
        <w:tc>
          <w:tcPr>
            <w:tcW w:w="1134" w:type="dxa"/>
            <w:tcBorders>
              <w:top w:val="single" w:sz="4" w:space="0" w:color="auto"/>
              <w:left w:val="nil"/>
              <w:bottom w:val="single" w:sz="4" w:space="0" w:color="auto"/>
              <w:right w:val="single" w:sz="4" w:space="0" w:color="auto"/>
            </w:tcBorders>
            <w:noWrap/>
            <w:vAlign w:val="bottom"/>
            <w:hideMark/>
          </w:tcPr>
          <w:p w14:paraId="151BC960" w14:textId="77777777" w:rsidR="00EC492E" w:rsidRPr="00824D31" w:rsidRDefault="00EC492E" w:rsidP="00E80077">
            <w:pPr>
              <w:ind w:firstLine="0"/>
            </w:pPr>
            <w:r w:rsidRPr="00824D31">
              <w:t>0,01%</w:t>
            </w:r>
          </w:p>
        </w:tc>
      </w:tr>
      <w:tr w:rsidR="00EC492E" w:rsidRPr="00824D31" w14:paraId="26192818" w14:textId="77777777" w:rsidTr="00E80077">
        <w:trPr>
          <w:trHeight w:val="255"/>
        </w:trPr>
        <w:tc>
          <w:tcPr>
            <w:tcW w:w="2063" w:type="dxa"/>
            <w:vMerge/>
            <w:tcBorders>
              <w:top w:val="nil"/>
              <w:left w:val="single" w:sz="4" w:space="0" w:color="auto"/>
              <w:bottom w:val="single" w:sz="4" w:space="0" w:color="auto"/>
              <w:right w:val="single" w:sz="4" w:space="0" w:color="auto"/>
            </w:tcBorders>
            <w:vAlign w:val="center"/>
            <w:hideMark/>
          </w:tcPr>
          <w:p w14:paraId="097BDA11" w14:textId="77777777" w:rsidR="00EC492E" w:rsidRPr="00824D31" w:rsidRDefault="00EC492E" w:rsidP="00E80077">
            <w:pPr>
              <w:ind w:firstLine="0"/>
            </w:pPr>
          </w:p>
        </w:tc>
        <w:tc>
          <w:tcPr>
            <w:tcW w:w="1344" w:type="dxa"/>
            <w:tcBorders>
              <w:top w:val="single" w:sz="4" w:space="0" w:color="auto"/>
              <w:left w:val="nil"/>
              <w:bottom w:val="single" w:sz="4" w:space="0" w:color="auto"/>
              <w:right w:val="single" w:sz="4" w:space="0" w:color="auto"/>
            </w:tcBorders>
            <w:noWrap/>
            <w:vAlign w:val="bottom"/>
            <w:hideMark/>
          </w:tcPr>
          <w:p w14:paraId="6F6964B0" w14:textId="77777777" w:rsidR="00EC492E" w:rsidRPr="00824D31" w:rsidRDefault="00EC492E" w:rsidP="00E80077">
            <w:pPr>
              <w:ind w:firstLine="0"/>
            </w:pPr>
            <w:r w:rsidRPr="00824D31">
              <w:t>509</w:t>
            </w:r>
          </w:p>
        </w:tc>
        <w:tc>
          <w:tcPr>
            <w:tcW w:w="3256" w:type="dxa"/>
            <w:tcBorders>
              <w:top w:val="single" w:sz="4" w:space="0" w:color="auto"/>
              <w:left w:val="nil"/>
              <w:bottom w:val="single" w:sz="4" w:space="0" w:color="auto"/>
              <w:right w:val="single" w:sz="4" w:space="0" w:color="auto"/>
            </w:tcBorders>
            <w:vAlign w:val="center"/>
            <w:hideMark/>
          </w:tcPr>
          <w:p w14:paraId="39489BB7" w14:textId="77777777" w:rsidR="00EC492E" w:rsidRPr="00824D31" w:rsidRDefault="00EC492E" w:rsidP="00E80077">
            <w:pPr>
              <w:ind w:firstLine="0"/>
            </w:pPr>
            <w:r w:rsidRPr="00824D31">
              <w:t>Базы отдыха</w:t>
            </w:r>
          </w:p>
        </w:tc>
        <w:tc>
          <w:tcPr>
            <w:tcW w:w="1417" w:type="dxa"/>
            <w:tcBorders>
              <w:top w:val="single" w:sz="4" w:space="0" w:color="auto"/>
              <w:left w:val="nil"/>
              <w:bottom w:val="single" w:sz="4" w:space="0" w:color="auto"/>
              <w:right w:val="single" w:sz="4" w:space="0" w:color="auto"/>
            </w:tcBorders>
            <w:noWrap/>
            <w:vAlign w:val="bottom"/>
            <w:hideMark/>
          </w:tcPr>
          <w:p w14:paraId="318A84FD" w14:textId="77777777" w:rsidR="00EC492E" w:rsidRPr="00824D31" w:rsidRDefault="00EC492E" w:rsidP="00E80077">
            <w:pPr>
              <w:ind w:firstLine="0"/>
            </w:pPr>
            <w:r w:rsidRPr="00824D31">
              <w:t>102</w:t>
            </w:r>
          </w:p>
        </w:tc>
        <w:tc>
          <w:tcPr>
            <w:tcW w:w="1134" w:type="dxa"/>
            <w:tcBorders>
              <w:top w:val="single" w:sz="4" w:space="0" w:color="auto"/>
              <w:left w:val="nil"/>
              <w:bottom w:val="single" w:sz="4" w:space="0" w:color="auto"/>
              <w:right w:val="single" w:sz="4" w:space="0" w:color="auto"/>
            </w:tcBorders>
            <w:noWrap/>
            <w:vAlign w:val="bottom"/>
            <w:hideMark/>
          </w:tcPr>
          <w:p w14:paraId="2A1C98A8" w14:textId="77777777" w:rsidR="00EC492E" w:rsidRPr="00824D31" w:rsidRDefault="00EC492E" w:rsidP="00E80077">
            <w:pPr>
              <w:ind w:firstLine="0"/>
            </w:pPr>
            <w:r w:rsidRPr="00824D31">
              <w:t>0,78%</w:t>
            </w:r>
          </w:p>
        </w:tc>
      </w:tr>
      <w:tr w:rsidR="00EC492E" w:rsidRPr="00824D31" w14:paraId="1C962D12" w14:textId="77777777" w:rsidTr="00E80077">
        <w:trPr>
          <w:trHeight w:val="255"/>
        </w:trPr>
        <w:tc>
          <w:tcPr>
            <w:tcW w:w="2063" w:type="dxa"/>
            <w:vMerge/>
            <w:tcBorders>
              <w:top w:val="nil"/>
              <w:left w:val="single" w:sz="4" w:space="0" w:color="auto"/>
              <w:bottom w:val="single" w:sz="4" w:space="0" w:color="auto"/>
              <w:right w:val="single" w:sz="4" w:space="0" w:color="auto"/>
            </w:tcBorders>
            <w:vAlign w:val="center"/>
            <w:hideMark/>
          </w:tcPr>
          <w:p w14:paraId="2E23EA00" w14:textId="77777777" w:rsidR="00EC492E" w:rsidRPr="00824D31" w:rsidRDefault="00EC492E" w:rsidP="00E80077">
            <w:pPr>
              <w:ind w:firstLine="0"/>
            </w:pPr>
          </w:p>
        </w:tc>
        <w:tc>
          <w:tcPr>
            <w:tcW w:w="1344" w:type="dxa"/>
            <w:tcBorders>
              <w:top w:val="single" w:sz="4" w:space="0" w:color="auto"/>
              <w:left w:val="nil"/>
              <w:bottom w:val="single" w:sz="4" w:space="0" w:color="auto"/>
              <w:right w:val="single" w:sz="4" w:space="0" w:color="auto"/>
            </w:tcBorders>
            <w:noWrap/>
            <w:vAlign w:val="bottom"/>
            <w:hideMark/>
          </w:tcPr>
          <w:p w14:paraId="32D4CE34" w14:textId="77777777" w:rsidR="00EC492E" w:rsidRPr="00824D31" w:rsidRDefault="00EC492E" w:rsidP="00E80077">
            <w:pPr>
              <w:ind w:firstLine="0"/>
            </w:pPr>
            <w:r w:rsidRPr="00824D31">
              <w:t>510</w:t>
            </w:r>
          </w:p>
        </w:tc>
        <w:tc>
          <w:tcPr>
            <w:tcW w:w="3256" w:type="dxa"/>
            <w:tcBorders>
              <w:top w:val="single" w:sz="4" w:space="0" w:color="auto"/>
              <w:left w:val="nil"/>
              <w:bottom w:val="single" w:sz="4" w:space="0" w:color="auto"/>
              <w:right w:val="single" w:sz="4" w:space="0" w:color="auto"/>
            </w:tcBorders>
            <w:vAlign w:val="center"/>
            <w:hideMark/>
          </w:tcPr>
          <w:p w14:paraId="28F77051" w14:textId="77777777" w:rsidR="00EC492E" w:rsidRPr="00824D31" w:rsidRDefault="00EC492E" w:rsidP="00E80077">
            <w:pPr>
              <w:ind w:firstLine="0"/>
            </w:pPr>
            <w:r w:rsidRPr="00824D31">
              <w:t>Пионерские лагеря</w:t>
            </w:r>
          </w:p>
        </w:tc>
        <w:tc>
          <w:tcPr>
            <w:tcW w:w="1417" w:type="dxa"/>
            <w:tcBorders>
              <w:top w:val="single" w:sz="4" w:space="0" w:color="auto"/>
              <w:left w:val="nil"/>
              <w:bottom w:val="single" w:sz="4" w:space="0" w:color="auto"/>
              <w:right w:val="single" w:sz="4" w:space="0" w:color="auto"/>
            </w:tcBorders>
            <w:noWrap/>
            <w:vAlign w:val="bottom"/>
            <w:hideMark/>
          </w:tcPr>
          <w:p w14:paraId="379C9B95" w14:textId="77777777" w:rsidR="00EC492E" w:rsidRPr="00824D31" w:rsidRDefault="00EC492E" w:rsidP="00E80077">
            <w:pPr>
              <w:ind w:firstLine="0"/>
            </w:pPr>
            <w:r w:rsidRPr="00824D31">
              <w:t>161</w:t>
            </w:r>
          </w:p>
        </w:tc>
        <w:tc>
          <w:tcPr>
            <w:tcW w:w="1134" w:type="dxa"/>
            <w:tcBorders>
              <w:top w:val="single" w:sz="4" w:space="0" w:color="auto"/>
              <w:left w:val="nil"/>
              <w:bottom w:val="single" w:sz="4" w:space="0" w:color="auto"/>
              <w:right w:val="single" w:sz="4" w:space="0" w:color="auto"/>
            </w:tcBorders>
            <w:noWrap/>
            <w:vAlign w:val="bottom"/>
            <w:hideMark/>
          </w:tcPr>
          <w:p w14:paraId="0E0979E6" w14:textId="77777777" w:rsidR="00EC492E" w:rsidRPr="00824D31" w:rsidRDefault="00EC492E" w:rsidP="00E80077">
            <w:pPr>
              <w:ind w:firstLine="0"/>
            </w:pPr>
            <w:r w:rsidRPr="00824D31">
              <w:t>1,24%</w:t>
            </w:r>
          </w:p>
        </w:tc>
      </w:tr>
      <w:tr w:rsidR="00EC492E" w:rsidRPr="00824D31" w14:paraId="1CC543E8" w14:textId="77777777" w:rsidTr="00E80077">
        <w:trPr>
          <w:trHeight w:val="255"/>
        </w:trPr>
        <w:tc>
          <w:tcPr>
            <w:tcW w:w="2063" w:type="dxa"/>
            <w:vMerge/>
            <w:tcBorders>
              <w:top w:val="nil"/>
              <w:left w:val="single" w:sz="4" w:space="0" w:color="auto"/>
              <w:bottom w:val="single" w:sz="4" w:space="0" w:color="auto"/>
              <w:right w:val="single" w:sz="4" w:space="0" w:color="auto"/>
            </w:tcBorders>
            <w:vAlign w:val="center"/>
            <w:hideMark/>
          </w:tcPr>
          <w:p w14:paraId="484BCE13" w14:textId="77777777" w:rsidR="00EC492E" w:rsidRPr="00824D31" w:rsidRDefault="00EC492E" w:rsidP="00E80077">
            <w:pPr>
              <w:ind w:firstLine="0"/>
            </w:pPr>
          </w:p>
        </w:tc>
        <w:tc>
          <w:tcPr>
            <w:tcW w:w="1344" w:type="dxa"/>
            <w:tcBorders>
              <w:top w:val="single" w:sz="4" w:space="0" w:color="auto"/>
              <w:left w:val="nil"/>
              <w:bottom w:val="single" w:sz="4" w:space="0" w:color="auto"/>
              <w:right w:val="single" w:sz="4" w:space="0" w:color="auto"/>
            </w:tcBorders>
            <w:noWrap/>
            <w:vAlign w:val="bottom"/>
            <w:hideMark/>
          </w:tcPr>
          <w:p w14:paraId="1F2D9422" w14:textId="77777777" w:rsidR="00EC492E" w:rsidRPr="00824D31" w:rsidRDefault="00EC492E" w:rsidP="00E80077">
            <w:pPr>
              <w:ind w:firstLine="0"/>
            </w:pPr>
            <w:r w:rsidRPr="00824D31">
              <w:t>511</w:t>
            </w:r>
          </w:p>
        </w:tc>
        <w:tc>
          <w:tcPr>
            <w:tcW w:w="3256" w:type="dxa"/>
            <w:tcBorders>
              <w:top w:val="single" w:sz="4" w:space="0" w:color="auto"/>
              <w:left w:val="nil"/>
              <w:bottom w:val="single" w:sz="4" w:space="0" w:color="auto"/>
              <w:right w:val="single" w:sz="4" w:space="0" w:color="auto"/>
            </w:tcBorders>
            <w:vAlign w:val="center"/>
            <w:hideMark/>
          </w:tcPr>
          <w:p w14:paraId="32989F0A" w14:textId="77777777" w:rsidR="00EC492E" w:rsidRPr="00824D31" w:rsidRDefault="00EC492E" w:rsidP="00E80077">
            <w:pPr>
              <w:ind w:firstLine="0"/>
            </w:pPr>
            <w:r w:rsidRPr="00824D31">
              <w:t>Санатории</w:t>
            </w:r>
          </w:p>
        </w:tc>
        <w:tc>
          <w:tcPr>
            <w:tcW w:w="1417" w:type="dxa"/>
            <w:tcBorders>
              <w:top w:val="single" w:sz="4" w:space="0" w:color="auto"/>
              <w:left w:val="nil"/>
              <w:bottom w:val="single" w:sz="4" w:space="0" w:color="auto"/>
              <w:right w:val="single" w:sz="4" w:space="0" w:color="auto"/>
            </w:tcBorders>
            <w:noWrap/>
            <w:vAlign w:val="bottom"/>
            <w:hideMark/>
          </w:tcPr>
          <w:p w14:paraId="241A0F70" w14:textId="77777777" w:rsidR="00EC492E" w:rsidRPr="00824D31" w:rsidRDefault="00EC492E" w:rsidP="00E80077">
            <w:pPr>
              <w:ind w:firstLine="0"/>
            </w:pPr>
            <w:r w:rsidRPr="00824D31">
              <w:t>54</w:t>
            </w:r>
          </w:p>
        </w:tc>
        <w:tc>
          <w:tcPr>
            <w:tcW w:w="1134" w:type="dxa"/>
            <w:tcBorders>
              <w:top w:val="single" w:sz="4" w:space="0" w:color="auto"/>
              <w:left w:val="nil"/>
              <w:bottom w:val="single" w:sz="4" w:space="0" w:color="auto"/>
              <w:right w:val="single" w:sz="4" w:space="0" w:color="auto"/>
            </w:tcBorders>
            <w:noWrap/>
            <w:vAlign w:val="bottom"/>
            <w:hideMark/>
          </w:tcPr>
          <w:p w14:paraId="16CEF622" w14:textId="77777777" w:rsidR="00EC492E" w:rsidRPr="00824D31" w:rsidRDefault="00EC492E" w:rsidP="00E80077">
            <w:pPr>
              <w:ind w:firstLine="0"/>
            </w:pPr>
            <w:r w:rsidRPr="00824D31">
              <w:t>0,41%</w:t>
            </w:r>
          </w:p>
        </w:tc>
      </w:tr>
      <w:tr w:rsidR="00EC492E" w:rsidRPr="00824D31" w14:paraId="286993DA" w14:textId="77777777" w:rsidTr="00E80077">
        <w:trPr>
          <w:trHeight w:val="255"/>
        </w:trPr>
        <w:tc>
          <w:tcPr>
            <w:tcW w:w="2063" w:type="dxa"/>
            <w:vMerge/>
            <w:tcBorders>
              <w:top w:val="nil"/>
              <w:left w:val="single" w:sz="4" w:space="0" w:color="auto"/>
              <w:bottom w:val="single" w:sz="4" w:space="0" w:color="auto"/>
              <w:right w:val="single" w:sz="4" w:space="0" w:color="auto"/>
            </w:tcBorders>
            <w:vAlign w:val="center"/>
            <w:hideMark/>
          </w:tcPr>
          <w:p w14:paraId="56CACEAE" w14:textId="77777777" w:rsidR="00EC492E" w:rsidRPr="00824D31" w:rsidRDefault="00EC492E" w:rsidP="00E80077">
            <w:pPr>
              <w:ind w:firstLine="0"/>
            </w:pPr>
          </w:p>
        </w:tc>
        <w:tc>
          <w:tcPr>
            <w:tcW w:w="1344" w:type="dxa"/>
            <w:tcBorders>
              <w:top w:val="single" w:sz="4" w:space="0" w:color="auto"/>
              <w:left w:val="nil"/>
              <w:bottom w:val="single" w:sz="4" w:space="0" w:color="auto"/>
              <w:right w:val="single" w:sz="4" w:space="0" w:color="auto"/>
            </w:tcBorders>
            <w:noWrap/>
            <w:vAlign w:val="bottom"/>
            <w:hideMark/>
          </w:tcPr>
          <w:p w14:paraId="3D67DA47" w14:textId="77777777" w:rsidR="00EC492E" w:rsidRPr="00824D31" w:rsidRDefault="00EC492E" w:rsidP="00E80077">
            <w:pPr>
              <w:ind w:firstLine="0"/>
            </w:pPr>
            <w:r w:rsidRPr="00824D31">
              <w:t>512</w:t>
            </w:r>
          </w:p>
        </w:tc>
        <w:tc>
          <w:tcPr>
            <w:tcW w:w="3256" w:type="dxa"/>
            <w:tcBorders>
              <w:top w:val="single" w:sz="4" w:space="0" w:color="auto"/>
              <w:left w:val="nil"/>
              <w:bottom w:val="single" w:sz="4" w:space="0" w:color="auto"/>
              <w:right w:val="single" w:sz="4" w:space="0" w:color="auto"/>
            </w:tcBorders>
            <w:vAlign w:val="center"/>
            <w:hideMark/>
          </w:tcPr>
          <w:p w14:paraId="542DB34D" w14:textId="77777777" w:rsidR="00EC492E" w:rsidRPr="00824D31" w:rsidRDefault="00EC492E" w:rsidP="00E80077">
            <w:pPr>
              <w:ind w:firstLine="0"/>
            </w:pPr>
            <w:r w:rsidRPr="00824D31">
              <w:t>Здания барачного типа, летние домики пансионатов и санаториев</w:t>
            </w:r>
          </w:p>
        </w:tc>
        <w:tc>
          <w:tcPr>
            <w:tcW w:w="1417" w:type="dxa"/>
            <w:tcBorders>
              <w:top w:val="single" w:sz="4" w:space="0" w:color="auto"/>
              <w:left w:val="nil"/>
              <w:bottom w:val="single" w:sz="4" w:space="0" w:color="auto"/>
              <w:right w:val="single" w:sz="4" w:space="0" w:color="auto"/>
            </w:tcBorders>
            <w:noWrap/>
            <w:vAlign w:val="bottom"/>
            <w:hideMark/>
          </w:tcPr>
          <w:p w14:paraId="7844852F" w14:textId="77777777" w:rsidR="00EC492E" w:rsidRPr="00824D31" w:rsidRDefault="00EC492E" w:rsidP="00E80077">
            <w:pPr>
              <w:ind w:firstLine="0"/>
            </w:pPr>
            <w:r w:rsidRPr="00824D31">
              <w:t>326</w:t>
            </w:r>
          </w:p>
        </w:tc>
        <w:tc>
          <w:tcPr>
            <w:tcW w:w="1134" w:type="dxa"/>
            <w:tcBorders>
              <w:top w:val="single" w:sz="4" w:space="0" w:color="auto"/>
              <w:left w:val="nil"/>
              <w:bottom w:val="single" w:sz="4" w:space="0" w:color="auto"/>
              <w:right w:val="single" w:sz="4" w:space="0" w:color="auto"/>
            </w:tcBorders>
            <w:noWrap/>
            <w:vAlign w:val="bottom"/>
            <w:hideMark/>
          </w:tcPr>
          <w:p w14:paraId="77B651B5" w14:textId="77777777" w:rsidR="00EC492E" w:rsidRPr="00824D31" w:rsidRDefault="00EC492E" w:rsidP="00E80077">
            <w:pPr>
              <w:ind w:firstLine="0"/>
            </w:pPr>
            <w:r w:rsidRPr="00824D31">
              <w:t>2,50%</w:t>
            </w:r>
          </w:p>
        </w:tc>
      </w:tr>
      <w:tr w:rsidR="00EC492E" w:rsidRPr="00824D31" w14:paraId="6265CDB1" w14:textId="77777777" w:rsidTr="00E80077">
        <w:trPr>
          <w:trHeight w:val="255"/>
        </w:trPr>
        <w:tc>
          <w:tcPr>
            <w:tcW w:w="2063" w:type="dxa"/>
            <w:vMerge/>
            <w:tcBorders>
              <w:top w:val="nil"/>
              <w:left w:val="single" w:sz="4" w:space="0" w:color="auto"/>
              <w:bottom w:val="single" w:sz="4" w:space="0" w:color="auto"/>
              <w:right w:val="single" w:sz="4" w:space="0" w:color="auto"/>
            </w:tcBorders>
            <w:vAlign w:val="center"/>
            <w:hideMark/>
          </w:tcPr>
          <w:p w14:paraId="7559D8DA" w14:textId="77777777" w:rsidR="00EC492E" w:rsidRPr="00824D31" w:rsidRDefault="00EC492E" w:rsidP="00E80077">
            <w:pPr>
              <w:ind w:firstLine="0"/>
            </w:pPr>
          </w:p>
        </w:tc>
        <w:tc>
          <w:tcPr>
            <w:tcW w:w="1344" w:type="dxa"/>
            <w:tcBorders>
              <w:top w:val="single" w:sz="4" w:space="0" w:color="auto"/>
              <w:left w:val="nil"/>
              <w:bottom w:val="single" w:sz="4" w:space="0" w:color="auto"/>
              <w:right w:val="single" w:sz="4" w:space="0" w:color="auto"/>
            </w:tcBorders>
            <w:noWrap/>
            <w:vAlign w:val="bottom"/>
            <w:hideMark/>
          </w:tcPr>
          <w:p w14:paraId="12E1080D" w14:textId="77777777" w:rsidR="00EC492E" w:rsidRPr="00824D31" w:rsidRDefault="00EC492E" w:rsidP="00E80077">
            <w:pPr>
              <w:ind w:firstLine="0"/>
            </w:pPr>
            <w:r w:rsidRPr="00824D31">
              <w:t>513</w:t>
            </w:r>
          </w:p>
        </w:tc>
        <w:tc>
          <w:tcPr>
            <w:tcW w:w="3256" w:type="dxa"/>
            <w:tcBorders>
              <w:top w:val="single" w:sz="4" w:space="0" w:color="auto"/>
              <w:left w:val="nil"/>
              <w:bottom w:val="single" w:sz="4" w:space="0" w:color="auto"/>
              <w:right w:val="single" w:sz="4" w:space="0" w:color="auto"/>
            </w:tcBorders>
            <w:vAlign w:val="center"/>
            <w:hideMark/>
          </w:tcPr>
          <w:p w14:paraId="5DFEA114" w14:textId="77777777" w:rsidR="00EC492E" w:rsidRPr="00824D31" w:rsidRDefault="00EC492E" w:rsidP="00E80077">
            <w:pPr>
              <w:ind w:firstLine="0"/>
            </w:pPr>
            <w:r w:rsidRPr="00824D31">
              <w:t>Главные корпуса пансионатов</w:t>
            </w:r>
          </w:p>
        </w:tc>
        <w:tc>
          <w:tcPr>
            <w:tcW w:w="1417" w:type="dxa"/>
            <w:tcBorders>
              <w:top w:val="single" w:sz="4" w:space="0" w:color="auto"/>
              <w:left w:val="nil"/>
              <w:bottom w:val="single" w:sz="4" w:space="0" w:color="auto"/>
              <w:right w:val="single" w:sz="4" w:space="0" w:color="auto"/>
            </w:tcBorders>
            <w:noWrap/>
            <w:vAlign w:val="bottom"/>
            <w:hideMark/>
          </w:tcPr>
          <w:p w14:paraId="0C766B9D" w14:textId="77777777" w:rsidR="00EC492E" w:rsidRPr="00824D31" w:rsidRDefault="00EC492E" w:rsidP="00E80077">
            <w:pPr>
              <w:ind w:firstLine="0"/>
            </w:pPr>
            <w:r w:rsidRPr="00824D31">
              <w:t>23</w:t>
            </w:r>
          </w:p>
        </w:tc>
        <w:tc>
          <w:tcPr>
            <w:tcW w:w="1134" w:type="dxa"/>
            <w:tcBorders>
              <w:top w:val="single" w:sz="4" w:space="0" w:color="auto"/>
              <w:left w:val="nil"/>
              <w:bottom w:val="single" w:sz="4" w:space="0" w:color="auto"/>
              <w:right w:val="single" w:sz="4" w:space="0" w:color="auto"/>
            </w:tcBorders>
            <w:noWrap/>
            <w:vAlign w:val="bottom"/>
            <w:hideMark/>
          </w:tcPr>
          <w:p w14:paraId="360B165D" w14:textId="77777777" w:rsidR="00EC492E" w:rsidRPr="00824D31" w:rsidRDefault="00EC492E" w:rsidP="00E80077">
            <w:pPr>
              <w:ind w:firstLine="0"/>
            </w:pPr>
            <w:r w:rsidRPr="00824D31">
              <w:t>0,18%</w:t>
            </w:r>
          </w:p>
        </w:tc>
      </w:tr>
      <w:tr w:rsidR="00EC492E" w:rsidRPr="00824D31" w14:paraId="283EF3CA" w14:textId="77777777" w:rsidTr="00E80077">
        <w:trPr>
          <w:trHeight w:val="255"/>
        </w:trPr>
        <w:tc>
          <w:tcPr>
            <w:tcW w:w="2063" w:type="dxa"/>
            <w:vMerge/>
            <w:tcBorders>
              <w:top w:val="nil"/>
              <w:left w:val="single" w:sz="4" w:space="0" w:color="auto"/>
              <w:bottom w:val="single" w:sz="4" w:space="0" w:color="auto"/>
              <w:right w:val="single" w:sz="4" w:space="0" w:color="auto"/>
            </w:tcBorders>
            <w:vAlign w:val="center"/>
            <w:hideMark/>
          </w:tcPr>
          <w:p w14:paraId="7690EC52" w14:textId="77777777" w:rsidR="00EC492E" w:rsidRPr="00824D31" w:rsidRDefault="00EC492E" w:rsidP="00E80077">
            <w:pPr>
              <w:ind w:firstLine="0"/>
            </w:pPr>
          </w:p>
        </w:tc>
        <w:tc>
          <w:tcPr>
            <w:tcW w:w="1344" w:type="dxa"/>
            <w:tcBorders>
              <w:top w:val="single" w:sz="4" w:space="0" w:color="auto"/>
              <w:left w:val="nil"/>
              <w:bottom w:val="single" w:sz="4" w:space="0" w:color="auto"/>
              <w:right w:val="single" w:sz="4" w:space="0" w:color="auto"/>
            </w:tcBorders>
            <w:noWrap/>
            <w:vAlign w:val="bottom"/>
            <w:hideMark/>
          </w:tcPr>
          <w:p w14:paraId="30C6EAA5" w14:textId="77777777" w:rsidR="00EC492E" w:rsidRPr="00824D31" w:rsidRDefault="00EC492E" w:rsidP="00E80077">
            <w:pPr>
              <w:ind w:firstLine="0"/>
            </w:pPr>
            <w:r w:rsidRPr="00824D31">
              <w:t>514</w:t>
            </w:r>
          </w:p>
        </w:tc>
        <w:tc>
          <w:tcPr>
            <w:tcW w:w="3256" w:type="dxa"/>
            <w:tcBorders>
              <w:top w:val="single" w:sz="4" w:space="0" w:color="auto"/>
              <w:left w:val="nil"/>
              <w:bottom w:val="single" w:sz="4" w:space="0" w:color="auto"/>
              <w:right w:val="single" w:sz="4" w:space="0" w:color="auto"/>
            </w:tcBorders>
            <w:noWrap/>
            <w:vAlign w:val="center"/>
            <w:hideMark/>
          </w:tcPr>
          <w:p w14:paraId="5A24824C" w14:textId="77777777" w:rsidR="00EC492E" w:rsidRPr="00824D31" w:rsidRDefault="00EC492E" w:rsidP="00E80077">
            <w:pPr>
              <w:ind w:firstLine="0"/>
            </w:pPr>
            <w:r w:rsidRPr="00824D31">
              <w:t>Спальные корпуса пансионатов</w:t>
            </w:r>
          </w:p>
        </w:tc>
        <w:tc>
          <w:tcPr>
            <w:tcW w:w="1417" w:type="dxa"/>
            <w:tcBorders>
              <w:top w:val="single" w:sz="4" w:space="0" w:color="auto"/>
              <w:left w:val="nil"/>
              <w:bottom w:val="single" w:sz="4" w:space="0" w:color="auto"/>
              <w:right w:val="single" w:sz="4" w:space="0" w:color="auto"/>
            </w:tcBorders>
            <w:noWrap/>
            <w:vAlign w:val="bottom"/>
            <w:hideMark/>
          </w:tcPr>
          <w:p w14:paraId="45A78CF4" w14:textId="77777777" w:rsidR="00EC492E" w:rsidRPr="00824D31" w:rsidRDefault="00EC492E" w:rsidP="00E80077">
            <w:pPr>
              <w:ind w:firstLine="0"/>
            </w:pPr>
            <w:r w:rsidRPr="00824D31">
              <w:t>202</w:t>
            </w:r>
          </w:p>
        </w:tc>
        <w:tc>
          <w:tcPr>
            <w:tcW w:w="1134" w:type="dxa"/>
            <w:tcBorders>
              <w:top w:val="single" w:sz="4" w:space="0" w:color="auto"/>
              <w:left w:val="nil"/>
              <w:bottom w:val="single" w:sz="4" w:space="0" w:color="auto"/>
              <w:right w:val="single" w:sz="4" w:space="0" w:color="auto"/>
            </w:tcBorders>
            <w:noWrap/>
            <w:vAlign w:val="bottom"/>
            <w:hideMark/>
          </w:tcPr>
          <w:p w14:paraId="47D74355" w14:textId="77777777" w:rsidR="00EC492E" w:rsidRPr="00824D31" w:rsidRDefault="00EC492E" w:rsidP="00E80077">
            <w:pPr>
              <w:ind w:firstLine="0"/>
            </w:pPr>
            <w:r w:rsidRPr="00824D31">
              <w:t>1,55%</w:t>
            </w:r>
          </w:p>
        </w:tc>
      </w:tr>
      <w:tr w:rsidR="00EC492E" w:rsidRPr="00824D31" w14:paraId="4D468BBA" w14:textId="77777777" w:rsidTr="00E80077">
        <w:trPr>
          <w:trHeight w:val="255"/>
        </w:trPr>
        <w:tc>
          <w:tcPr>
            <w:tcW w:w="2063" w:type="dxa"/>
            <w:vMerge/>
            <w:tcBorders>
              <w:top w:val="nil"/>
              <w:left w:val="single" w:sz="4" w:space="0" w:color="auto"/>
              <w:bottom w:val="single" w:sz="4" w:space="0" w:color="auto"/>
              <w:right w:val="single" w:sz="4" w:space="0" w:color="auto"/>
            </w:tcBorders>
            <w:vAlign w:val="center"/>
            <w:hideMark/>
          </w:tcPr>
          <w:p w14:paraId="121B530B" w14:textId="77777777" w:rsidR="00EC492E" w:rsidRPr="00824D31" w:rsidRDefault="00EC492E" w:rsidP="00E80077">
            <w:pPr>
              <w:ind w:firstLine="0"/>
            </w:pPr>
          </w:p>
        </w:tc>
        <w:tc>
          <w:tcPr>
            <w:tcW w:w="1344" w:type="dxa"/>
            <w:tcBorders>
              <w:top w:val="single" w:sz="4" w:space="0" w:color="auto"/>
              <w:left w:val="nil"/>
              <w:bottom w:val="single" w:sz="4" w:space="0" w:color="auto"/>
              <w:right w:val="single" w:sz="4" w:space="0" w:color="auto"/>
            </w:tcBorders>
            <w:noWrap/>
            <w:vAlign w:val="bottom"/>
            <w:hideMark/>
          </w:tcPr>
          <w:p w14:paraId="3D4D8B7D" w14:textId="77777777" w:rsidR="00EC492E" w:rsidRPr="00824D31" w:rsidRDefault="00EC492E" w:rsidP="00E80077">
            <w:pPr>
              <w:ind w:firstLine="0"/>
            </w:pPr>
            <w:r w:rsidRPr="00824D31">
              <w:t>515</w:t>
            </w:r>
          </w:p>
        </w:tc>
        <w:tc>
          <w:tcPr>
            <w:tcW w:w="3256" w:type="dxa"/>
            <w:tcBorders>
              <w:top w:val="single" w:sz="4" w:space="0" w:color="auto"/>
              <w:left w:val="nil"/>
              <w:bottom w:val="single" w:sz="4" w:space="0" w:color="auto"/>
              <w:right w:val="single" w:sz="4" w:space="0" w:color="auto"/>
            </w:tcBorders>
            <w:noWrap/>
            <w:vAlign w:val="center"/>
            <w:hideMark/>
          </w:tcPr>
          <w:p w14:paraId="62ED009E" w14:textId="77777777" w:rsidR="00EC492E" w:rsidRPr="00824D31" w:rsidRDefault="00EC492E" w:rsidP="00E80077">
            <w:pPr>
              <w:ind w:firstLine="0"/>
            </w:pPr>
            <w:r w:rsidRPr="00824D31">
              <w:t>Главные корпуса санаториев</w:t>
            </w:r>
          </w:p>
        </w:tc>
        <w:tc>
          <w:tcPr>
            <w:tcW w:w="1417" w:type="dxa"/>
            <w:tcBorders>
              <w:top w:val="single" w:sz="4" w:space="0" w:color="auto"/>
              <w:left w:val="nil"/>
              <w:bottom w:val="single" w:sz="4" w:space="0" w:color="auto"/>
              <w:right w:val="single" w:sz="4" w:space="0" w:color="auto"/>
            </w:tcBorders>
            <w:noWrap/>
            <w:vAlign w:val="bottom"/>
            <w:hideMark/>
          </w:tcPr>
          <w:p w14:paraId="393D8ECE" w14:textId="77777777" w:rsidR="00EC492E" w:rsidRPr="00824D31" w:rsidRDefault="00EC492E" w:rsidP="00E80077">
            <w:pPr>
              <w:ind w:firstLine="0"/>
            </w:pPr>
            <w:r w:rsidRPr="00824D31">
              <w:t>67</w:t>
            </w:r>
          </w:p>
        </w:tc>
        <w:tc>
          <w:tcPr>
            <w:tcW w:w="1134" w:type="dxa"/>
            <w:tcBorders>
              <w:top w:val="single" w:sz="4" w:space="0" w:color="auto"/>
              <w:left w:val="nil"/>
              <w:bottom w:val="single" w:sz="4" w:space="0" w:color="auto"/>
              <w:right w:val="single" w:sz="4" w:space="0" w:color="auto"/>
            </w:tcBorders>
            <w:noWrap/>
            <w:vAlign w:val="bottom"/>
            <w:hideMark/>
          </w:tcPr>
          <w:p w14:paraId="099C53C6" w14:textId="77777777" w:rsidR="00EC492E" w:rsidRPr="00824D31" w:rsidRDefault="00EC492E" w:rsidP="00E80077">
            <w:pPr>
              <w:ind w:firstLine="0"/>
            </w:pPr>
            <w:r w:rsidRPr="00824D31">
              <w:t>0,51%</w:t>
            </w:r>
          </w:p>
        </w:tc>
      </w:tr>
      <w:tr w:rsidR="00EC492E" w:rsidRPr="00824D31" w14:paraId="49FA5D42" w14:textId="77777777" w:rsidTr="00E80077">
        <w:trPr>
          <w:trHeight w:val="255"/>
        </w:trPr>
        <w:tc>
          <w:tcPr>
            <w:tcW w:w="2063" w:type="dxa"/>
            <w:vMerge/>
            <w:tcBorders>
              <w:top w:val="nil"/>
              <w:left w:val="single" w:sz="4" w:space="0" w:color="auto"/>
              <w:bottom w:val="single" w:sz="4" w:space="0" w:color="auto"/>
              <w:right w:val="single" w:sz="4" w:space="0" w:color="auto"/>
            </w:tcBorders>
            <w:vAlign w:val="center"/>
            <w:hideMark/>
          </w:tcPr>
          <w:p w14:paraId="266B2C46" w14:textId="77777777" w:rsidR="00EC492E" w:rsidRPr="00824D31" w:rsidRDefault="00EC492E" w:rsidP="00E80077">
            <w:pPr>
              <w:ind w:firstLine="0"/>
            </w:pPr>
          </w:p>
        </w:tc>
        <w:tc>
          <w:tcPr>
            <w:tcW w:w="1344" w:type="dxa"/>
            <w:tcBorders>
              <w:top w:val="single" w:sz="4" w:space="0" w:color="auto"/>
              <w:left w:val="nil"/>
              <w:bottom w:val="single" w:sz="4" w:space="0" w:color="auto"/>
              <w:right w:val="single" w:sz="4" w:space="0" w:color="auto"/>
            </w:tcBorders>
            <w:noWrap/>
            <w:vAlign w:val="bottom"/>
            <w:hideMark/>
          </w:tcPr>
          <w:p w14:paraId="788E3AC4" w14:textId="77777777" w:rsidR="00EC492E" w:rsidRPr="00824D31" w:rsidRDefault="00EC492E" w:rsidP="00E80077">
            <w:pPr>
              <w:ind w:firstLine="0"/>
            </w:pPr>
            <w:r w:rsidRPr="00824D31">
              <w:t>516</w:t>
            </w:r>
          </w:p>
        </w:tc>
        <w:tc>
          <w:tcPr>
            <w:tcW w:w="3256" w:type="dxa"/>
            <w:tcBorders>
              <w:top w:val="single" w:sz="4" w:space="0" w:color="auto"/>
              <w:left w:val="nil"/>
              <w:bottom w:val="single" w:sz="4" w:space="0" w:color="auto"/>
              <w:right w:val="single" w:sz="4" w:space="0" w:color="auto"/>
            </w:tcBorders>
            <w:noWrap/>
            <w:vAlign w:val="center"/>
            <w:hideMark/>
          </w:tcPr>
          <w:p w14:paraId="03715A08" w14:textId="77777777" w:rsidR="00EC492E" w:rsidRPr="00824D31" w:rsidRDefault="00EC492E" w:rsidP="00E80077">
            <w:pPr>
              <w:ind w:firstLine="0"/>
            </w:pPr>
            <w:r w:rsidRPr="00824D31">
              <w:t>Спальные корпуса санаториев</w:t>
            </w:r>
          </w:p>
        </w:tc>
        <w:tc>
          <w:tcPr>
            <w:tcW w:w="1417" w:type="dxa"/>
            <w:tcBorders>
              <w:top w:val="single" w:sz="4" w:space="0" w:color="auto"/>
              <w:left w:val="nil"/>
              <w:bottom w:val="single" w:sz="4" w:space="0" w:color="auto"/>
              <w:right w:val="single" w:sz="4" w:space="0" w:color="auto"/>
            </w:tcBorders>
            <w:noWrap/>
            <w:vAlign w:val="bottom"/>
            <w:hideMark/>
          </w:tcPr>
          <w:p w14:paraId="2E979CE1" w14:textId="77777777" w:rsidR="00EC492E" w:rsidRPr="00824D31" w:rsidRDefault="00EC492E" w:rsidP="00E80077">
            <w:pPr>
              <w:ind w:firstLine="0"/>
            </w:pPr>
            <w:r w:rsidRPr="00824D31">
              <w:t>3</w:t>
            </w:r>
          </w:p>
        </w:tc>
        <w:tc>
          <w:tcPr>
            <w:tcW w:w="1134" w:type="dxa"/>
            <w:tcBorders>
              <w:top w:val="single" w:sz="4" w:space="0" w:color="auto"/>
              <w:left w:val="nil"/>
              <w:bottom w:val="single" w:sz="4" w:space="0" w:color="auto"/>
              <w:right w:val="single" w:sz="4" w:space="0" w:color="auto"/>
            </w:tcBorders>
            <w:noWrap/>
            <w:vAlign w:val="bottom"/>
            <w:hideMark/>
          </w:tcPr>
          <w:p w14:paraId="096A3184" w14:textId="77777777" w:rsidR="00EC492E" w:rsidRPr="00824D31" w:rsidRDefault="00EC492E" w:rsidP="00E80077">
            <w:pPr>
              <w:ind w:firstLine="0"/>
            </w:pPr>
            <w:r w:rsidRPr="00824D31">
              <w:t>0,02%</w:t>
            </w:r>
          </w:p>
        </w:tc>
      </w:tr>
      <w:tr w:rsidR="00EC492E" w:rsidRPr="00824D31" w14:paraId="31CC25EE" w14:textId="77777777" w:rsidTr="00E80077">
        <w:trPr>
          <w:trHeight w:val="255"/>
        </w:trPr>
        <w:tc>
          <w:tcPr>
            <w:tcW w:w="2063" w:type="dxa"/>
            <w:vMerge/>
            <w:tcBorders>
              <w:top w:val="nil"/>
              <w:left w:val="single" w:sz="4" w:space="0" w:color="auto"/>
              <w:bottom w:val="single" w:sz="4" w:space="0" w:color="auto"/>
              <w:right w:val="single" w:sz="4" w:space="0" w:color="auto"/>
            </w:tcBorders>
            <w:vAlign w:val="center"/>
            <w:hideMark/>
          </w:tcPr>
          <w:p w14:paraId="24D891AF" w14:textId="77777777" w:rsidR="00EC492E" w:rsidRPr="00824D31" w:rsidRDefault="00EC492E" w:rsidP="00E80077">
            <w:pPr>
              <w:ind w:firstLine="0"/>
            </w:pPr>
          </w:p>
        </w:tc>
        <w:tc>
          <w:tcPr>
            <w:tcW w:w="1344" w:type="dxa"/>
            <w:tcBorders>
              <w:top w:val="single" w:sz="4" w:space="0" w:color="auto"/>
              <w:left w:val="nil"/>
              <w:bottom w:val="single" w:sz="4" w:space="0" w:color="auto"/>
              <w:right w:val="single" w:sz="4" w:space="0" w:color="auto"/>
            </w:tcBorders>
            <w:noWrap/>
            <w:vAlign w:val="bottom"/>
            <w:hideMark/>
          </w:tcPr>
          <w:p w14:paraId="23599ED9" w14:textId="77777777" w:rsidR="00EC492E" w:rsidRPr="00824D31" w:rsidRDefault="00EC492E" w:rsidP="00E80077">
            <w:pPr>
              <w:ind w:firstLine="0"/>
            </w:pPr>
            <w:r w:rsidRPr="00824D31">
              <w:t>517</w:t>
            </w:r>
          </w:p>
        </w:tc>
        <w:tc>
          <w:tcPr>
            <w:tcW w:w="3256" w:type="dxa"/>
            <w:tcBorders>
              <w:top w:val="single" w:sz="4" w:space="0" w:color="auto"/>
              <w:left w:val="nil"/>
              <w:bottom w:val="single" w:sz="4" w:space="0" w:color="auto"/>
              <w:right w:val="single" w:sz="4" w:space="0" w:color="auto"/>
            </w:tcBorders>
            <w:noWrap/>
            <w:vAlign w:val="center"/>
            <w:hideMark/>
          </w:tcPr>
          <w:p w14:paraId="402FAE1E" w14:textId="77777777" w:rsidR="00EC492E" w:rsidRPr="00824D31" w:rsidRDefault="00EC492E" w:rsidP="00E80077">
            <w:pPr>
              <w:ind w:firstLine="0"/>
            </w:pPr>
            <w:r w:rsidRPr="00824D31">
              <w:t>Кемпинги</w:t>
            </w:r>
          </w:p>
        </w:tc>
        <w:tc>
          <w:tcPr>
            <w:tcW w:w="1417" w:type="dxa"/>
            <w:tcBorders>
              <w:top w:val="single" w:sz="4" w:space="0" w:color="auto"/>
              <w:left w:val="nil"/>
              <w:bottom w:val="single" w:sz="4" w:space="0" w:color="auto"/>
              <w:right w:val="single" w:sz="4" w:space="0" w:color="auto"/>
            </w:tcBorders>
            <w:noWrap/>
            <w:vAlign w:val="bottom"/>
            <w:hideMark/>
          </w:tcPr>
          <w:p w14:paraId="00379316" w14:textId="77777777" w:rsidR="00EC492E" w:rsidRPr="00824D31" w:rsidRDefault="00EC492E" w:rsidP="00E80077">
            <w:pPr>
              <w:ind w:firstLine="0"/>
            </w:pPr>
            <w:r w:rsidRPr="00824D31">
              <w:t>60</w:t>
            </w:r>
          </w:p>
        </w:tc>
        <w:tc>
          <w:tcPr>
            <w:tcW w:w="1134" w:type="dxa"/>
            <w:tcBorders>
              <w:top w:val="single" w:sz="4" w:space="0" w:color="auto"/>
              <w:left w:val="nil"/>
              <w:bottom w:val="single" w:sz="4" w:space="0" w:color="auto"/>
              <w:right w:val="single" w:sz="4" w:space="0" w:color="auto"/>
            </w:tcBorders>
            <w:noWrap/>
            <w:vAlign w:val="bottom"/>
            <w:hideMark/>
          </w:tcPr>
          <w:p w14:paraId="6F1272D4" w14:textId="77777777" w:rsidR="00EC492E" w:rsidRPr="00824D31" w:rsidRDefault="00EC492E" w:rsidP="00E80077">
            <w:pPr>
              <w:ind w:firstLine="0"/>
            </w:pPr>
            <w:r w:rsidRPr="00824D31">
              <w:t>0,46%</w:t>
            </w:r>
          </w:p>
        </w:tc>
      </w:tr>
      <w:tr w:rsidR="00EC492E" w:rsidRPr="00824D31" w14:paraId="14DD22FD" w14:textId="77777777" w:rsidTr="00E80077">
        <w:trPr>
          <w:trHeight w:val="255"/>
        </w:trPr>
        <w:tc>
          <w:tcPr>
            <w:tcW w:w="2063" w:type="dxa"/>
            <w:vMerge/>
            <w:tcBorders>
              <w:top w:val="nil"/>
              <w:left w:val="single" w:sz="4" w:space="0" w:color="auto"/>
              <w:bottom w:val="single" w:sz="4" w:space="0" w:color="auto"/>
              <w:right w:val="single" w:sz="4" w:space="0" w:color="auto"/>
            </w:tcBorders>
            <w:vAlign w:val="center"/>
            <w:hideMark/>
          </w:tcPr>
          <w:p w14:paraId="7FD7E782" w14:textId="77777777" w:rsidR="00EC492E" w:rsidRPr="00824D31" w:rsidRDefault="00EC492E" w:rsidP="00E80077">
            <w:pPr>
              <w:ind w:firstLine="0"/>
            </w:pPr>
          </w:p>
        </w:tc>
        <w:tc>
          <w:tcPr>
            <w:tcW w:w="1344" w:type="dxa"/>
            <w:tcBorders>
              <w:top w:val="single" w:sz="4" w:space="0" w:color="auto"/>
              <w:left w:val="nil"/>
              <w:bottom w:val="single" w:sz="4" w:space="0" w:color="auto"/>
              <w:right w:val="single" w:sz="4" w:space="0" w:color="auto"/>
            </w:tcBorders>
            <w:noWrap/>
            <w:vAlign w:val="bottom"/>
            <w:hideMark/>
          </w:tcPr>
          <w:p w14:paraId="18D97471" w14:textId="77777777" w:rsidR="00EC492E" w:rsidRPr="00824D31" w:rsidRDefault="00EC492E" w:rsidP="00E80077">
            <w:pPr>
              <w:ind w:firstLine="0"/>
            </w:pPr>
            <w:r w:rsidRPr="00824D31">
              <w:t> </w:t>
            </w:r>
          </w:p>
        </w:tc>
        <w:tc>
          <w:tcPr>
            <w:tcW w:w="3256" w:type="dxa"/>
            <w:tcBorders>
              <w:top w:val="single" w:sz="4" w:space="0" w:color="auto"/>
              <w:left w:val="nil"/>
              <w:bottom w:val="single" w:sz="4" w:space="0" w:color="auto"/>
              <w:right w:val="single" w:sz="4" w:space="0" w:color="auto"/>
            </w:tcBorders>
            <w:noWrap/>
            <w:vAlign w:val="bottom"/>
            <w:hideMark/>
          </w:tcPr>
          <w:p w14:paraId="6954E399" w14:textId="77777777" w:rsidR="00EC492E" w:rsidRPr="00824D31" w:rsidRDefault="00EC492E" w:rsidP="00E80077">
            <w:pPr>
              <w:ind w:firstLine="0"/>
            </w:pPr>
            <w:r w:rsidRPr="00824D31">
              <w:t>ИТОГО</w:t>
            </w:r>
          </w:p>
        </w:tc>
        <w:tc>
          <w:tcPr>
            <w:tcW w:w="1417" w:type="dxa"/>
            <w:tcBorders>
              <w:top w:val="single" w:sz="4" w:space="0" w:color="auto"/>
              <w:left w:val="nil"/>
              <w:bottom w:val="single" w:sz="4" w:space="0" w:color="auto"/>
              <w:right w:val="single" w:sz="4" w:space="0" w:color="auto"/>
            </w:tcBorders>
            <w:noWrap/>
            <w:vAlign w:val="bottom"/>
            <w:hideMark/>
          </w:tcPr>
          <w:p w14:paraId="78AC4889" w14:textId="77777777" w:rsidR="00EC492E" w:rsidRPr="00824D31" w:rsidRDefault="00EC492E" w:rsidP="00E80077">
            <w:pPr>
              <w:ind w:firstLine="0"/>
            </w:pPr>
            <w:r w:rsidRPr="00824D31">
              <w:t>13018</w:t>
            </w:r>
          </w:p>
        </w:tc>
        <w:tc>
          <w:tcPr>
            <w:tcW w:w="1134" w:type="dxa"/>
            <w:tcBorders>
              <w:top w:val="single" w:sz="4" w:space="0" w:color="auto"/>
              <w:left w:val="nil"/>
              <w:bottom w:val="single" w:sz="4" w:space="0" w:color="auto"/>
              <w:right w:val="single" w:sz="4" w:space="0" w:color="auto"/>
            </w:tcBorders>
            <w:noWrap/>
            <w:vAlign w:val="bottom"/>
            <w:hideMark/>
          </w:tcPr>
          <w:p w14:paraId="04679574" w14:textId="77777777" w:rsidR="00EC492E" w:rsidRPr="00824D31" w:rsidRDefault="00EC492E" w:rsidP="00E80077">
            <w:pPr>
              <w:ind w:firstLine="0"/>
            </w:pPr>
            <w:r w:rsidRPr="00824D31">
              <w:t>100,00%</w:t>
            </w:r>
          </w:p>
        </w:tc>
      </w:tr>
    </w:tbl>
    <w:p w14:paraId="0293FEF5" w14:textId="77777777" w:rsidR="00EC492E" w:rsidRPr="00824D31" w:rsidRDefault="00EC492E" w:rsidP="00EC492E"/>
    <w:p w14:paraId="02A8B594" w14:textId="77777777" w:rsidR="00EC492E" w:rsidRPr="00824D31" w:rsidRDefault="00EC492E" w:rsidP="00EC492E">
      <w:r w:rsidRPr="00824D31">
        <w:t>Основную часть Объектов рассматриваемой группы составляют «Общежития» - 89,03%.</w:t>
      </w:r>
    </w:p>
    <w:p w14:paraId="1D4AA791" w14:textId="77777777" w:rsidR="00EC492E" w:rsidRPr="00824D31" w:rsidRDefault="00EC492E" w:rsidP="00EC492E">
      <w:r w:rsidRPr="00824D31">
        <w:t>Объекты недвижимости 5 группы были разбиты на подгруппы по следующим критериям:</w:t>
      </w:r>
    </w:p>
    <w:p w14:paraId="540B2403" w14:textId="77777777" w:rsidR="00EC492E" w:rsidRPr="00824D31" w:rsidRDefault="00EC492E" w:rsidP="00EC492E">
      <w:r w:rsidRPr="00824D31">
        <w:t>1. В зависимости от степени готовности объекта:</w:t>
      </w:r>
    </w:p>
    <w:p w14:paraId="4A715E15" w14:textId="77777777" w:rsidR="00EC492E" w:rsidRPr="00824D31" w:rsidRDefault="00EC492E" w:rsidP="00EC492E">
      <w:r w:rsidRPr="00824D31">
        <w:t xml:space="preserve">- объекты, строительство которых завершено (здания, помещения, сооружения); </w:t>
      </w:r>
    </w:p>
    <w:p w14:paraId="7A33210B" w14:textId="77777777" w:rsidR="00EC492E" w:rsidRPr="00824D31" w:rsidRDefault="00EC492E" w:rsidP="00EC492E">
      <w:r w:rsidRPr="00824D31">
        <w:t>-объекты незавершенного строительства.</w:t>
      </w:r>
    </w:p>
    <w:p w14:paraId="1687A5E6" w14:textId="77777777" w:rsidR="00EC492E" w:rsidRPr="00824D31" w:rsidRDefault="00EC492E" w:rsidP="00EC492E">
      <w:r w:rsidRPr="00824D31">
        <w:t>2. в зависимости от местоположения:</w:t>
      </w:r>
    </w:p>
    <w:p w14:paraId="6CF4289E" w14:textId="77777777" w:rsidR="00EC492E" w:rsidRPr="00824D31" w:rsidRDefault="00EC492E" w:rsidP="00EC492E">
      <w:r w:rsidRPr="00824D31">
        <w:t>- объекты, точное местоположение которых возможно установить;</w:t>
      </w:r>
    </w:p>
    <w:p w14:paraId="6DC71AD9" w14:textId="77777777" w:rsidR="00EC492E" w:rsidRPr="00824D31" w:rsidRDefault="00EC492E" w:rsidP="00EC492E">
      <w:r w:rsidRPr="00824D31">
        <w:t xml:space="preserve">- объекты, точное местоположение которых невозможно установить. </w:t>
      </w:r>
    </w:p>
    <w:p w14:paraId="0A5DF4F1" w14:textId="1F6D7FFC" w:rsidR="00EC492E" w:rsidRPr="00824D31" w:rsidRDefault="00EC492E" w:rsidP="00EC492E">
      <w:r w:rsidRPr="00824D31">
        <w:t>В подгруппу объектов, точное местоположение которых возможно установить, относятся объекты, местоположение которых:</w:t>
      </w:r>
    </w:p>
    <w:p w14:paraId="518A69A3" w14:textId="77777777" w:rsidR="00EC492E" w:rsidRPr="00824D31" w:rsidRDefault="00EC492E" w:rsidP="00EC492E">
      <w:r w:rsidRPr="00824D31">
        <w:t>- возможно установить до уровня дома;</w:t>
      </w:r>
    </w:p>
    <w:p w14:paraId="460372DF" w14:textId="77777777" w:rsidR="00EC492E" w:rsidRPr="00824D31" w:rsidRDefault="00EC492E" w:rsidP="00EC492E">
      <w:r w:rsidRPr="00824D31">
        <w:t>- возможно установить до уровня улицы;</w:t>
      </w:r>
    </w:p>
    <w:p w14:paraId="0D5ABAFE" w14:textId="77777777" w:rsidR="00EC492E" w:rsidRPr="00824D31" w:rsidRDefault="00EC492E" w:rsidP="00EC492E">
      <w:r w:rsidRPr="00824D31">
        <w:t>- возможно установить до уровня кадастрового квартала.</w:t>
      </w:r>
    </w:p>
    <w:p w14:paraId="6CC45DEA" w14:textId="77777777" w:rsidR="00EC492E" w:rsidRPr="00824D31" w:rsidRDefault="00EC492E" w:rsidP="00EC492E">
      <w:r w:rsidRPr="00824D31">
        <w:t>При этом для объектов, расположенных в сельских населенных пунктах, отнесенных в подгруппу объектов, точное местоположение которых возможно установить, допустимым является установление местоположения до уровня населенного пункта.</w:t>
      </w:r>
    </w:p>
    <w:p w14:paraId="4453CA53" w14:textId="77777777" w:rsidR="00EC492E" w:rsidRPr="00824D31" w:rsidRDefault="00EC492E" w:rsidP="00EC492E">
      <w:r w:rsidRPr="00824D31">
        <w:t>К подгруппе объектов, точное местоположение которых невозможно установить, относятся объекты, местоположение которых:</w:t>
      </w:r>
    </w:p>
    <w:p w14:paraId="5D85B6C8" w14:textId="77777777" w:rsidR="00EC492E" w:rsidRPr="00824D31" w:rsidRDefault="00EC492E" w:rsidP="00EC492E">
      <w:r w:rsidRPr="00824D31">
        <w:t>- возможно установить только до уровня муниципального образования;</w:t>
      </w:r>
    </w:p>
    <w:p w14:paraId="6DC1EE52" w14:textId="77777777" w:rsidR="00EC492E" w:rsidRPr="00824D31" w:rsidRDefault="00EC492E" w:rsidP="00EC492E">
      <w:r w:rsidRPr="00824D31">
        <w:t>- возможно установить только до уровня субъекта Российской Федерации.</w:t>
      </w:r>
    </w:p>
    <w:p w14:paraId="43E0AD8F" w14:textId="77777777" w:rsidR="00EC492E" w:rsidRPr="00824D31" w:rsidRDefault="00EC492E" w:rsidP="00EC492E">
      <w:r w:rsidRPr="00824D31">
        <w:t>3. В зависимости от статуса населенного пункта разделение на группы (подгруппы) производилось по принципу:</w:t>
      </w:r>
    </w:p>
    <w:p w14:paraId="1D6F24D6" w14:textId="77777777" w:rsidR="00EC492E" w:rsidRPr="00824D31" w:rsidRDefault="00EC492E" w:rsidP="00EC492E">
      <w:r w:rsidRPr="00824D31">
        <w:t>- объекты, расположенные в столице субъекта Российской Федерации;</w:t>
      </w:r>
    </w:p>
    <w:p w14:paraId="4BE4F012" w14:textId="77777777" w:rsidR="00EC492E" w:rsidRPr="00824D31" w:rsidRDefault="00EC492E" w:rsidP="00EC492E">
      <w:r w:rsidRPr="00824D31">
        <w:t>- объекты, расположенные в прочих городских населенных пунктах;</w:t>
      </w:r>
    </w:p>
    <w:p w14:paraId="28DAC393" w14:textId="77777777" w:rsidR="00EC492E" w:rsidRPr="00824D31" w:rsidRDefault="00EC492E" w:rsidP="00EC492E">
      <w:r w:rsidRPr="00824D31">
        <w:t>- объекты, расположенные в сельских населенных пунктах;</w:t>
      </w:r>
    </w:p>
    <w:p w14:paraId="6B8D9A7E" w14:textId="77777777" w:rsidR="00EC492E" w:rsidRPr="00824D31" w:rsidRDefault="00EC492E" w:rsidP="00EC492E">
      <w:r w:rsidRPr="00824D31">
        <w:t>-  объекты, расположенные вне черты населенных пунктов.</w:t>
      </w:r>
    </w:p>
    <w:p w14:paraId="326CC78A" w14:textId="77777777" w:rsidR="00EC492E" w:rsidRPr="00824D31" w:rsidRDefault="00EC492E" w:rsidP="00EC492E">
      <w:r w:rsidRPr="00824D31">
        <w:t xml:space="preserve">Выделенные на оцениваемой территории группы объектов оценки соответствуют следующим требованиям: </w:t>
      </w:r>
    </w:p>
    <w:p w14:paraId="122FC50A" w14:textId="77777777" w:rsidR="00EC492E" w:rsidRPr="00824D31" w:rsidRDefault="00EC492E" w:rsidP="00EC492E">
      <w:r w:rsidRPr="00824D31">
        <w:t>- однородны с точки зрения значений (диапазонов значений) ценообразующих факторов;</w:t>
      </w:r>
    </w:p>
    <w:p w14:paraId="4DA6C42F" w14:textId="77777777" w:rsidR="00EC492E" w:rsidRPr="00824D31" w:rsidRDefault="00EC492E" w:rsidP="00EC492E">
      <w:r w:rsidRPr="00824D31">
        <w:t>- полностью покрывают группу объектов оценки (каждый объект оценки должен быть отнесен к какой-либо группе/подгруппе);</w:t>
      </w:r>
    </w:p>
    <w:p w14:paraId="11C117B8" w14:textId="77777777" w:rsidR="00EC492E" w:rsidRPr="00824D31" w:rsidRDefault="00EC492E" w:rsidP="00EC492E">
      <w:r w:rsidRPr="00824D31">
        <w:t>- не пересекаются - объект оценки может быть отнесен только к одной группе/подгруппе.</w:t>
      </w:r>
    </w:p>
    <w:p w14:paraId="37B79CC0" w14:textId="77777777" w:rsidR="00EC492E" w:rsidRPr="00824D31" w:rsidRDefault="00EC492E" w:rsidP="00EC492E">
      <w:r w:rsidRPr="00824D31">
        <w:t xml:space="preserve">Представленная группировка позволяет объединить объекты недвижимости по общности признаков со схожими принципами ценообразования и примерно одинаковым уровнем цен на объекты недвижимости. </w:t>
      </w:r>
    </w:p>
    <w:p w14:paraId="1A05405A" w14:textId="77777777" w:rsidR="00EC492E" w:rsidRPr="00824D31" w:rsidRDefault="00EC492E" w:rsidP="00EC492E"/>
    <w:p w14:paraId="568284ED" w14:textId="77777777" w:rsidR="00EC492E" w:rsidRPr="008F16D6" w:rsidRDefault="00EC492E" w:rsidP="00EC492E">
      <w:pPr>
        <w:rPr>
          <w:b/>
        </w:rPr>
      </w:pPr>
      <w:r w:rsidRPr="008F16D6">
        <w:rPr>
          <w:b/>
        </w:rPr>
        <w:t>6 группа «Административные и бытовые объекты»</w:t>
      </w:r>
    </w:p>
    <w:p w14:paraId="683255D5" w14:textId="77777777" w:rsidR="00EC492E" w:rsidRPr="00824D31" w:rsidRDefault="00EC492E" w:rsidP="00EC492E"/>
    <w:p w14:paraId="6E13AF22" w14:textId="77777777" w:rsidR="00EC492E" w:rsidRPr="00824D31" w:rsidRDefault="00EC492E" w:rsidP="00EC492E">
      <w:r w:rsidRPr="00824D31">
        <w:t>Объекты данной группы представляют собой объекты делового и коммерческого назначения, предназначены преимущественно для умственного труда и непроизводственной сферы деятельности, отличающихся от зданий для осуществления деятельности по производству материальных ценностей или услуг населению.</w:t>
      </w:r>
    </w:p>
    <w:p w14:paraId="043294A1" w14:textId="77777777" w:rsidR="00EC492E" w:rsidRPr="00824D31" w:rsidRDefault="00EC492E" w:rsidP="00EC492E">
      <w:r w:rsidRPr="00824D31">
        <w:t xml:space="preserve">К объектам 6 группы относятся: </w:t>
      </w:r>
    </w:p>
    <w:p w14:paraId="237C9FE9" w14:textId="77777777" w:rsidR="00EC492E" w:rsidRPr="00824D31" w:rsidRDefault="00EC492E" w:rsidP="00EC492E">
      <w:r w:rsidRPr="00824D31">
        <w:t>- административно-офисные здания и помещения, бизнес-центры;</w:t>
      </w:r>
    </w:p>
    <w:p w14:paraId="7F0F62B1" w14:textId="77777777" w:rsidR="00EC492E" w:rsidRPr="00824D31" w:rsidRDefault="00EC492E" w:rsidP="00EC492E">
      <w:r w:rsidRPr="00824D31">
        <w:t>- здания и помещения кредитно-финансовых и страховых организаций, банки;</w:t>
      </w:r>
    </w:p>
    <w:p w14:paraId="0C4A1139" w14:textId="77777777" w:rsidR="00EC492E" w:rsidRPr="00824D31" w:rsidRDefault="00EC492E" w:rsidP="00EC492E">
      <w:r w:rsidRPr="00824D31">
        <w:t>- административные корпуса заводов;</w:t>
      </w:r>
    </w:p>
    <w:p w14:paraId="108360FF" w14:textId="77777777" w:rsidR="00EC492E" w:rsidRPr="00824D31" w:rsidRDefault="00EC492E" w:rsidP="00EC492E">
      <w:r w:rsidRPr="00824D31">
        <w:t>- лабораторные корпуса;</w:t>
      </w:r>
    </w:p>
    <w:p w14:paraId="1B2CCD56" w14:textId="77777777" w:rsidR="00EC492E" w:rsidRPr="00824D31" w:rsidRDefault="00EC492E" w:rsidP="00EC492E">
      <w:r w:rsidRPr="00824D31">
        <w:t>- отделения полиции, отделения связи, почта, таможни.</w:t>
      </w:r>
    </w:p>
    <w:p w14:paraId="20CE26A6" w14:textId="77777777" w:rsidR="00EC492E" w:rsidRPr="00824D31" w:rsidRDefault="00EC492E" w:rsidP="00EC492E">
      <w:r w:rsidRPr="00824D31">
        <w:t>Номера подрупп, входящих в состав группы: 0601-0609.</w:t>
      </w:r>
    </w:p>
    <w:p w14:paraId="1FAD6FF2" w14:textId="77777777" w:rsidR="00EC492E" w:rsidRPr="00824D31" w:rsidRDefault="00EC492E" w:rsidP="00EC492E">
      <w:r w:rsidRPr="00824D31">
        <w:t>Общее количество Объектов оценки, отнесенных к группе «Административные и бытовые объекты» составляет 5724 Объектов.</w:t>
      </w:r>
    </w:p>
    <w:p w14:paraId="5BAC4EE2" w14:textId="326276FD" w:rsidR="00EC492E" w:rsidRPr="00824D31" w:rsidRDefault="00EC492E" w:rsidP="00763AD2">
      <w:pPr>
        <w:pStyle w:val="afffffff0"/>
      </w:pPr>
      <w:r w:rsidRPr="00824D31">
        <w:t xml:space="preserve">Таблица </w:t>
      </w:r>
      <w:r w:rsidR="00A90944">
        <w:fldChar w:fldCharType="begin"/>
      </w:r>
      <w:r w:rsidR="00A90944">
        <w:instrText xml:space="preserve"> SEQ Таблица \* ARABIC </w:instrText>
      </w:r>
      <w:r w:rsidR="00A90944">
        <w:fldChar w:fldCharType="separate"/>
      </w:r>
      <w:r w:rsidR="00FD2769">
        <w:rPr>
          <w:noProof/>
        </w:rPr>
        <w:t>38</w:t>
      </w:r>
      <w:r w:rsidR="00A90944">
        <w:rPr>
          <w:noProof/>
        </w:rPr>
        <w:fldChar w:fldCharType="end"/>
      </w:r>
      <w:r w:rsidRPr="00824D31">
        <w:t xml:space="preserve"> Результат группировки Объектов оценки в рамках группы 6 Административные и бытовые объекты </w:t>
      </w:r>
    </w:p>
    <w:tbl>
      <w:tblPr>
        <w:tblW w:w="9498"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56"/>
        <w:gridCol w:w="1344"/>
        <w:gridCol w:w="3346"/>
        <w:gridCol w:w="1418"/>
        <w:gridCol w:w="1134"/>
      </w:tblGrid>
      <w:tr w:rsidR="00EC492E" w:rsidRPr="00824D31" w14:paraId="4E34F0F2" w14:textId="77777777" w:rsidTr="00AA2A17">
        <w:trPr>
          <w:trHeight w:val="630"/>
          <w:tblHeader/>
        </w:trPr>
        <w:tc>
          <w:tcPr>
            <w:tcW w:w="2256" w:type="dxa"/>
            <w:shd w:val="clear" w:color="auto" w:fill="BFBFBF" w:themeFill="background1" w:themeFillShade="BF"/>
            <w:hideMark/>
          </w:tcPr>
          <w:p w14:paraId="7C5B283D" w14:textId="77777777" w:rsidR="00EC492E" w:rsidRPr="00824D31" w:rsidRDefault="00EC492E" w:rsidP="00E80077">
            <w:pPr>
              <w:ind w:firstLine="0"/>
            </w:pPr>
            <w:r w:rsidRPr="00824D31">
              <w:t>Наименование группы</w:t>
            </w:r>
          </w:p>
        </w:tc>
        <w:tc>
          <w:tcPr>
            <w:tcW w:w="1344" w:type="dxa"/>
            <w:shd w:val="clear" w:color="auto" w:fill="BFBFBF" w:themeFill="background1" w:themeFillShade="BF"/>
            <w:hideMark/>
          </w:tcPr>
          <w:p w14:paraId="50239AD4" w14:textId="77777777" w:rsidR="00EC492E" w:rsidRPr="00824D31" w:rsidRDefault="00EC492E" w:rsidP="00E80077">
            <w:pPr>
              <w:ind w:firstLine="0"/>
            </w:pPr>
            <w:r w:rsidRPr="00824D31">
              <w:t>Код подгруппы</w:t>
            </w:r>
          </w:p>
        </w:tc>
        <w:tc>
          <w:tcPr>
            <w:tcW w:w="3346" w:type="dxa"/>
            <w:shd w:val="clear" w:color="auto" w:fill="BFBFBF" w:themeFill="background1" w:themeFillShade="BF"/>
            <w:hideMark/>
          </w:tcPr>
          <w:p w14:paraId="00F79BCC" w14:textId="77777777" w:rsidR="00EC492E" w:rsidRPr="00824D31" w:rsidRDefault="00EC492E" w:rsidP="00E80077">
            <w:pPr>
              <w:ind w:firstLine="0"/>
            </w:pPr>
            <w:r w:rsidRPr="00824D31">
              <w:t>Наименование функциональной подгруппы</w:t>
            </w:r>
          </w:p>
        </w:tc>
        <w:tc>
          <w:tcPr>
            <w:tcW w:w="1418" w:type="dxa"/>
            <w:shd w:val="clear" w:color="auto" w:fill="BFBFBF" w:themeFill="background1" w:themeFillShade="BF"/>
            <w:hideMark/>
          </w:tcPr>
          <w:p w14:paraId="3620A05A" w14:textId="77777777" w:rsidR="00EC492E" w:rsidRPr="00824D31" w:rsidRDefault="00EC492E" w:rsidP="00E80077">
            <w:pPr>
              <w:ind w:firstLine="0"/>
            </w:pPr>
            <w:r w:rsidRPr="00824D31">
              <w:t>Количество Объектов</w:t>
            </w:r>
          </w:p>
        </w:tc>
        <w:tc>
          <w:tcPr>
            <w:tcW w:w="1134" w:type="dxa"/>
            <w:shd w:val="clear" w:color="auto" w:fill="BFBFBF" w:themeFill="background1" w:themeFillShade="BF"/>
            <w:noWrap/>
            <w:hideMark/>
          </w:tcPr>
          <w:p w14:paraId="1CB45BDD" w14:textId="77777777" w:rsidR="00EC492E" w:rsidRPr="00824D31" w:rsidRDefault="00EC492E" w:rsidP="00E80077">
            <w:pPr>
              <w:ind w:firstLine="0"/>
            </w:pPr>
            <w:r w:rsidRPr="00824D31">
              <w:t>Доля, %</w:t>
            </w:r>
          </w:p>
        </w:tc>
      </w:tr>
      <w:tr w:rsidR="00EC492E" w:rsidRPr="00824D31" w14:paraId="486C8CA7" w14:textId="77777777" w:rsidTr="00AA2A17">
        <w:trPr>
          <w:trHeight w:val="510"/>
        </w:trPr>
        <w:tc>
          <w:tcPr>
            <w:tcW w:w="2256" w:type="dxa"/>
            <w:vMerge w:val="restart"/>
            <w:noWrap/>
            <w:vAlign w:val="center"/>
            <w:hideMark/>
          </w:tcPr>
          <w:p w14:paraId="600C4E93" w14:textId="77777777" w:rsidR="00EC492E" w:rsidRPr="00824D31" w:rsidRDefault="00EC492E" w:rsidP="00E80077">
            <w:pPr>
              <w:ind w:firstLine="0"/>
            </w:pPr>
            <w:r w:rsidRPr="00824D31">
              <w:t>Административные и бытовые объекты</w:t>
            </w:r>
          </w:p>
        </w:tc>
        <w:tc>
          <w:tcPr>
            <w:tcW w:w="1344" w:type="dxa"/>
            <w:noWrap/>
            <w:vAlign w:val="bottom"/>
            <w:hideMark/>
          </w:tcPr>
          <w:p w14:paraId="532F555D" w14:textId="77777777" w:rsidR="00EC492E" w:rsidRPr="00824D31" w:rsidRDefault="00EC492E" w:rsidP="00E80077">
            <w:pPr>
              <w:ind w:firstLine="0"/>
            </w:pPr>
            <w:r w:rsidRPr="00824D31">
              <w:t>601</w:t>
            </w:r>
          </w:p>
        </w:tc>
        <w:tc>
          <w:tcPr>
            <w:tcW w:w="3346" w:type="dxa"/>
            <w:vAlign w:val="center"/>
            <w:hideMark/>
          </w:tcPr>
          <w:p w14:paraId="59EAA334" w14:textId="77777777" w:rsidR="00EC492E" w:rsidRPr="00824D31" w:rsidRDefault="00EC492E" w:rsidP="00E80077">
            <w:pPr>
              <w:ind w:firstLine="0"/>
            </w:pPr>
            <w:r w:rsidRPr="00824D31">
              <w:t>Банки</w:t>
            </w:r>
          </w:p>
        </w:tc>
        <w:tc>
          <w:tcPr>
            <w:tcW w:w="1418" w:type="dxa"/>
            <w:noWrap/>
            <w:vAlign w:val="bottom"/>
            <w:hideMark/>
          </w:tcPr>
          <w:p w14:paraId="1983FA9A" w14:textId="77777777" w:rsidR="00EC492E" w:rsidRPr="00824D31" w:rsidRDefault="00EC492E" w:rsidP="00E80077">
            <w:pPr>
              <w:ind w:firstLine="0"/>
            </w:pPr>
            <w:r w:rsidRPr="00824D31">
              <w:t>114</w:t>
            </w:r>
          </w:p>
        </w:tc>
        <w:tc>
          <w:tcPr>
            <w:tcW w:w="1134" w:type="dxa"/>
            <w:noWrap/>
            <w:vAlign w:val="bottom"/>
            <w:hideMark/>
          </w:tcPr>
          <w:p w14:paraId="7731B152" w14:textId="77777777" w:rsidR="00EC492E" w:rsidRPr="00824D31" w:rsidRDefault="00EC492E" w:rsidP="00E80077">
            <w:pPr>
              <w:ind w:firstLine="0"/>
            </w:pPr>
            <w:r w:rsidRPr="00824D31">
              <w:t>1,99%</w:t>
            </w:r>
          </w:p>
        </w:tc>
      </w:tr>
      <w:tr w:rsidR="00EC492E" w:rsidRPr="00824D31" w14:paraId="4248D4A4" w14:textId="77777777" w:rsidTr="00AA2A17">
        <w:trPr>
          <w:trHeight w:val="255"/>
        </w:trPr>
        <w:tc>
          <w:tcPr>
            <w:tcW w:w="0" w:type="auto"/>
            <w:vMerge/>
            <w:vAlign w:val="center"/>
            <w:hideMark/>
          </w:tcPr>
          <w:p w14:paraId="075CB1DF" w14:textId="77777777" w:rsidR="00EC492E" w:rsidRPr="00824D31" w:rsidRDefault="00EC492E" w:rsidP="00E80077">
            <w:pPr>
              <w:ind w:firstLine="0"/>
            </w:pPr>
          </w:p>
        </w:tc>
        <w:tc>
          <w:tcPr>
            <w:tcW w:w="1344" w:type="dxa"/>
            <w:noWrap/>
            <w:vAlign w:val="bottom"/>
            <w:hideMark/>
          </w:tcPr>
          <w:p w14:paraId="0A206B44" w14:textId="77777777" w:rsidR="00EC492E" w:rsidRPr="00824D31" w:rsidRDefault="00EC492E" w:rsidP="00E80077">
            <w:pPr>
              <w:ind w:firstLine="0"/>
            </w:pPr>
            <w:r w:rsidRPr="00824D31">
              <w:t>602</w:t>
            </w:r>
          </w:p>
        </w:tc>
        <w:tc>
          <w:tcPr>
            <w:tcW w:w="3346" w:type="dxa"/>
            <w:vAlign w:val="center"/>
            <w:hideMark/>
          </w:tcPr>
          <w:p w14:paraId="18BFCC79" w14:textId="77777777" w:rsidR="00EC492E" w:rsidRPr="00824D31" w:rsidRDefault="00EC492E" w:rsidP="00E80077">
            <w:pPr>
              <w:ind w:firstLine="0"/>
            </w:pPr>
            <w:r w:rsidRPr="00824D31">
              <w:t>Бизнес - центры</w:t>
            </w:r>
          </w:p>
        </w:tc>
        <w:tc>
          <w:tcPr>
            <w:tcW w:w="1418" w:type="dxa"/>
            <w:noWrap/>
            <w:vAlign w:val="bottom"/>
            <w:hideMark/>
          </w:tcPr>
          <w:p w14:paraId="1113FD59" w14:textId="77777777" w:rsidR="00EC492E" w:rsidRPr="00824D31" w:rsidRDefault="00EC492E" w:rsidP="00E80077">
            <w:pPr>
              <w:ind w:firstLine="0"/>
            </w:pPr>
            <w:r w:rsidRPr="00824D31">
              <w:t>6</w:t>
            </w:r>
          </w:p>
        </w:tc>
        <w:tc>
          <w:tcPr>
            <w:tcW w:w="1134" w:type="dxa"/>
            <w:noWrap/>
            <w:vAlign w:val="bottom"/>
            <w:hideMark/>
          </w:tcPr>
          <w:p w14:paraId="46EB0C6F" w14:textId="77777777" w:rsidR="00EC492E" w:rsidRPr="00824D31" w:rsidRDefault="00EC492E" w:rsidP="00E80077">
            <w:pPr>
              <w:ind w:firstLine="0"/>
            </w:pPr>
            <w:r w:rsidRPr="00824D31">
              <w:t>0,10%</w:t>
            </w:r>
          </w:p>
        </w:tc>
      </w:tr>
      <w:tr w:rsidR="00EC492E" w:rsidRPr="00824D31" w14:paraId="0BA015CB" w14:textId="77777777" w:rsidTr="00AA2A17">
        <w:trPr>
          <w:trHeight w:val="510"/>
        </w:trPr>
        <w:tc>
          <w:tcPr>
            <w:tcW w:w="0" w:type="auto"/>
            <w:vMerge/>
            <w:vAlign w:val="center"/>
            <w:hideMark/>
          </w:tcPr>
          <w:p w14:paraId="7F127B01" w14:textId="77777777" w:rsidR="00EC492E" w:rsidRPr="00824D31" w:rsidRDefault="00EC492E" w:rsidP="00E80077">
            <w:pPr>
              <w:ind w:firstLine="0"/>
            </w:pPr>
          </w:p>
        </w:tc>
        <w:tc>
          <w:tcPr>
            <w:tcW w:w="1344" w:type="dxa"/>
            <w:noWrap/>
            <w:vAlign w:val="bottom"/>
            <w:hideMark/>
          </w:tcPr>
          <w:p w14:paraId="0305D6FE" w14:textId="77777777" w:rsidR="00EC492E" w:rsidRPr="00824D31" w:rsidRDefault="00EC492E" w:rsidP="00E80077">
            <w:pPr>
              <w:ind w:firstLine="0"/>
            </w:pPr>
            <w:r w:rsidRPr="00824D31">
              <w:t>603</w:t>
            </w:r>
          </w:p>
        </w:tc>
        <w:tc>
          <w:tcPr>
            <w:tcW w:w="3346" w:type="dxa"/>
            <w:vAlign w:val="center"/>
            <w:hideMark/>
          </w:tcPr>
          <w:p w14:paraId="12158B0B" w14:textId="77777777" w:rsidR="00EC492E" w:rsidRPr="00824D31" w:rsidRDefault="00EC492E" w:rsidP="00E80077">
            <w:pPr>
              <w:ind w:firstLine="0"/>
            </w:pPr>
            <w:r w:rsidRPr="00824D31">
              <w:t>Бытовые, административно - бытовые здания</w:t>
            </w:r>
          </w:p>
        </w:tc>
        <w:tc>
          <w:tcPr>
            <w:tcW w:w="1418" w:type="dxa"/>
            <w:noWrap/>
            <w:vAlign w:val="bottom"/>
            <w:hideMark/>
          </w:tcPr>
          <w:p w14:paraId="5F83E463" w14:textId="77777777" w:rsidR="00EC492E" w:rsidRPr="00824D31" w:rsidRDefault="00EC492E" w:rsidP="00E80077">
            <w:pPr>
              <w:ind w:firstLine="0"/>
            </w:pPr>
            <w:r w:rsidRPr="00824D31">
              <w:t>4836</w:t>
            </w:r>
          </w:p>
        </w:tc>
        <w:tc>
          <w:tcPr>
            <w:tcW w:w="1134" w:type="dxa"/>
            <w:noWrap/>
            <w:vAlign w:val="bottom"/>
            <w:hideMark/>
          </w:tcPr>
          <w:p w14:paraId="61DD8E11" w14:textId="77777777" w:rsidR="00EC492E" w:rsidRPr="00824D31" w:rsidRDefault="00EC492E" w:rsidP="00E80077">
            <w:pPr>
              <w:ind w:firstLine="0"/>
            </w:pPr>
            <w:r w:rsidRPr="00824D31">
              <w:t>84,49%</w:t>
            </w:r>
          </w:p>
        </w:tc>
      </w:tr>
      <w:tr w:rsidR="00EC492E" w:rsidRPr="00824D31" w14:paraId="4D2C19C5" w14:textId="77777777" w:rsidTr="00AA2A17">
        <w:trPr>
          <w:trHeight w:val="255"/>
        </w:trPr>
        <w:tc>
          <w:tcPr>
            <w:tcW w:w="0" w:type="auto"/>
            <w:vMerge/>
            <w:vAlign w:val="center"/>
            <w:hideMark/>
          </w:tcPr>
          <w:p w14:paraId="1770CAA4" w14:textId="77777777" w:rsidR="00EC492E" w:rsidRPr="00824D31" w:rsidRDefault="00EC492E" w:rsidP="00E80077">
            <w:pPr>
              <w:ind w:firstLine="0"/>
            </w:pPr>
          </w:p>
        </w:tc>
        <w:tc>
          <w:tcPr>
            <w:tcW w:w="1344" w:type="dxa"/>
            <w:noWrap/>
            <w:vAlign w:val="bottom"/>
            <w:hideMark/>
          </w:tcPr>
          <w:p w14:paraId="5D1AAA67" w14:textId="77777777" w:rsidR="00EC492E" w:rsidRPr="00824D31" w:rsidRDefault="00EC492E" w:rsidP="00E80077">
            <w:pPr>
              <w:ind w:firstLine="0"/>
            </w:pPr>
            <w:r w:rsidRPr="00824D31">
              <w:t>604</w:t>
            </w:r>
          </w:p>
        </w:tc>
        <w:tc>
          <w:tcPr>
            <w:tcW w:w="3346" w:type="dxa"/>
            <w:vAlign w:val="center"/>
            <w:hideMark/>
          </w:tcPr>
          <w:p w14:paraId="63080D6E" w14:textId="77777777" w:rsidR="00EC492E" w:rsidRPr="00824D31" w:rsidRDefault="00EC492E" w:rsidP="00E80077">
            <w:pPr>
              <w:ind w:firstLine="0"/>
            </w:pPr>
            <w:r w:rsidRPr="00824D31">
              <w:t>Административные корпуса заводов</w:t>
            </w:r>
          </w:p>
        </w:tc>
        <w:tc>
          <w:tcPr>
            <w:tcW w:w="1418" w:type="dxa"/>
            <w:noWrap/>
            <w:vAlign w:val="bottom"/>
            <w:hideMark/>
          </w:tcPr>
          <w:p w14:paraId="46F810E6" w14:textId="77777777" w:rsidR="00EC492E" w:rsidRPr="00824D31" w:rsidRDefault="00EC492E" w:rsidP="00E80077">
            <w:pPr>
              <w:ind w:firstLine="0"/>
            </w:pPr>
            <w:r w:rsidRPr="00824D31">
              <w:t>5</w:t>
            </w:r>
          </w:p>
        </w:tc>
        <w:tc>
          <w:tcPr>
            <w:tcW w:w="1134" w:type="dxa"/>
            <w:noWrap/>
            <w:vAlign w:val="bottom"/>
            <w:hideMark/>
          </w:tcPr>
          <w:p w14:paraId="35AD1C86" w14:textId="77777777" w:rsidR="00EC492E" w:rsidRPr="00824D31" w:rsidRDefault="00EC492E" w:rsidP="00E80077">
            <w:pPr>
              <w:ind w:firstLine="0"/>
            </w:pPr>
            <w:r w:rsidRPr="00824D31">
              <w:t>0,09%</w:t>
            </w:r>
          </w:p>
        </w:tc>
      </w:tr>
      <w:tr w:rsidR="00EC492E" w:rsidRPr="00824D31" w14:paraId="7EF72DB0" w14:textId="77777777" w:rsidTr="00AA2A17">
        <w:trPr>
          <w:trHeight w:val="510"/>
        </w:trPr>
        <w:tc>
          <w:tcPr>
            <w:tcW w:w="0" w:type="auto"/>
            <w:vMerge/>
            <w:vAlign w:val="center"/>
            <w:hideMark/>
          </w:tcPr>
          <w:p w14:paraId="2FE57348" w14:textId="77777777" w:rsidR="00EC492E" w:rsidRPr="00824D31" w:rsidRDefault="00EC492E" w:rsidP="00E80077">
            <w:pPr>
              <w:ind w:firstLine="0"/>
            </w:pPr>
          </w:p>
        </w:tc>
        <w:tc>
          <w:tcPr>
            <w:tcW w:w="1344" w:type="dxa"/>
            <w:noWrap/>
            <w:vAlign w:val="bottom"/>
            <w:hideMark/>
          </w:tcPr>
          <w:p w14:paraId="10846D65" w14:textId="77777777" w:rsidR="00EC492E" w:rsidRPr="00824D31" w:rsidRDefault="00EC492E" w:rsidP="00E80077">
            <w:pPr>
              <w:ind w:firstLine="0"/>
            </w:pPr>
            <w:r w:rsidRPr="00824D31">
              <w:t>605</w:t>
            </w:r>
          </w:p>
        </w:tc>
        <w:tc>
          <w:tcPr>
            <w:tcW w:w="3346" w:type="dxa"/>
            <w:vAlign w:val="center"/>
            <w:hideMark/>
          </w:tcPr>
          <w:p w14:paraId="4365862C" w14:textId="77777777" w:rsidR="00EC492E" w:rsidRPr="00824D31" w:rsidRDefault="00EC492E" w:rsidP="00E80077">
            <w:pPr>
              <w:ind w:firstLine="0"/>
            </w:pPr>
            <w:r w:rsidRPr="00824D31">
              <w:t>Лабораторные корпуса</w:t>
            </w:r>
          </w:p>
        </w:tc>
        <w:tc>
          <w:tcPr>
            <w:tcW w:w="1418" w:type="dxa"/>
            <w:noWrap/>
            <w:vAlign w:val="bottom"/>
            <w:hideMark/>
          </w:tcPr>
          <w:p w14:paraId="28D90E97" w14:textId="77777777" w:rsidR="00EC492E" w:rsidRPr="00824D31" w:rsidRDefault="00EC492E" w:rsidP="00E80077">
            <w:pPr>
              <w:ind w:firstLine="0"/>
            </w:pPr>
            <w:r w:rsidRPr="00824D31">
              <w:t>287</w:t>
            </w:r>
          </w:p>
        </w:tc>
        <w:tc>
          <w:tcPr>
            <w:tcW w:w="1134" w:type="dxa"/>
            <w:noWrap/>
            <w:vAlign w:val="bottom"/>
            <w:hideMark/>
          </w:tcPr>
          <w:p w14:paraId="2A119112" w14:textId="77777777" w:rsidR="00EC492E" w:rsidRPr="00824D31" w:rsidRDefault="00EC492E" w:rsidP="00E80077">
            <w:pPr>
              <w:ind w:firstLine="0"/>
            </w:pPr>
            <w:r w:rsidRPr="00824D31">
              <w:t>5,01%</w:t>
            </w:r>
          </w:p>
        </w:tc>
      </w:tr>
      <w:tr w:rsidR="00EC492E" w:rsidRPr="00824D31" w14:paraId="1BE45991" w14:textId="77777777" w:rsidTr="00AA2A17">
        <w:trPr>
          <w:trHeight w:val="510"/>
        </w:trPr>
        <w:tc>
          <w:tcPr>
            <w:tcW w:w="0" w:type="auto"/>
            <w:vMerge/>
            <w:vAlign w:val="center"/>
            <w:hideMark/>
          </w:tcPr>
          <w:p w14:paraId="6BA0A415" w14:textId="77777777" w:rsidR="00EC492E" w:rsidRPr="00824D31" w:rsidRDefault="00EC492E" w:rsidP="00E80077">
            <w:pPr>
              <w:ind w:firstLine="0"/>
            </w:pPr>
          </w:p>
        </w:tc>
        <w:tc>
          <w:tcPr>
            <w:tcW w:w="1344" w:type="dxa"/>
            <w:noWrap/>
            <w:vAlign w:val="bottom"/>
            <w:hideMark/>
          </w:tcPr>
          <w:p w14:paraId="0CC3B03E" w14:textId="77777777" w:rsidR="00EC492E" w:rsidRPr="00824D31" w:rsidRDefault="00EC492E" w:rsidP="00E80077">
            <w:pPr>
              <w:ind w:firstLine="0"/>
            </w:pPr>
            <w:r w:rsidRPr="00824D31">
              <w:t>606</w:t>
            </w:r>
          </w:p>
        </w:tc>
        <w:tc>
          <w:tcPr>
            <w:tcW w:w="3346" w:type="dxa"/>
            <w:vAlign w:val="center"/>
            <w:hideMark/>
          </w:tcPr>
          <w:p w14:paraId="4A4D02AE" w14:textId="77777777" w:rsidR="00EC492E" w:rsidRPr="00824D31" w:rsidRDefault="00EC492E" w:rsidP="00E80077">
            <w:pPr>
              <w:ind w:firstLine="0"/>
            </w:pPr>
            <w:r w:rsidRPr="00824D31">
              <w:t>Отделения полиции</w:t>
            </w:r>
          </w:p>
        </w:tc>
        <w:tc>
          <w:tcPr>
            <w:tcW w:w="1418" w:type="dxa"/>
            <w:noWrap/>
            <w:vAlign w:val="bottom"/>
            <w:hideMark/>
          </w:tcPr>
          <w:p w14:paraId="076CA3FB" w14:textId="77777777" w:rsidR="00EC492E" w:rsidRPr="00824D31" w:rsidRDefault="00EC492E" w:rsidP="00E80077">
            <w:pPr>
              <w:ind w:firstLine="0"/>
            </w:pPr>
            <w:r w:rsidRPr="00824D31">
              <w:t>140</w:t>
            </w:r>
          </w:p>
        </w:tc>
        <w:tc>
          <w:tcPr>
            <w:tcW w:w="1134" w:type="dxa"/>
            <w:noWrap/>
            <w:vAlign w:val="bottom"/>
            <w:hideMark/>
          </w:tcPr>
          <w:p w14:paraId="6DDB94B2" w14:textId="77777777" w:rsidR="00EC492E" w:rsidRPr="00824D31" w:rsidRDefault="00EC492E" w:rsidP="00E80077">
            <w:pPr>
              <w:ind w:firstLine="0"/>
            </w:pPr>
            <w:r w:rsidRPr="00824D31">
              <w:t>2,45%</w:t>
            </w:r>
          </w:p>
        </w:tc>
      </w:tr>
      <w:tr w:rsidR="00EC492E" w:rsidRPr="00824D31" w14:paraId="743D67C7" w14:textId="77777777" w:rsidTr="00AA2A17">
        <w:trPr>
          <w:trHeight w:val="510"/>
        </w:trPr>
        <w:tc>
          <w:tcPr>
            <w:tcW w:w="0" w:type="auto"/>
            <w:vMerge/>
            <w:vAlign w:val="center"/>
            <w:hideMark/>
          </w:tcPr>
          <w:p w14:paraId="224CCE8B" w14:textId="77777777" w:rsidR="00EC492E" w:rsidRPr="00824D31" w:rsidRDefault="00EC492E" w:rsidP="00E80077">
            <w:pPr>
              <w:ind w:firstLine="0"/>
            </w:pPr>
          </w:p>
        </w:tc>
        <w:tc>
          <w:tcPr>
            <w:tcW w:w="1344" w:type="dxa"/>
            <w:noWrap/>
            <w:vAlign w:val="bottom"/>
            <w:hideMark/>
          </w:tcPr>
          <w:p w14:paraId="779C6D2E" w14:textId="77777777" w:rsidR="00EC492E" w:rsidRPr="00824D31" w:rsidRDefault="00EC492E" w:rsidP="00E80077">
            <w:pPr>
              <w:ind w:firstLine="0"/>
            </w:pPr>
            <w:r w:rsidRPr="00824D31">
              <w:t>607</w:t>
            </w:r>
          </w:p>
        </w:tc>
        <w:tc>
          <w:tcPr>
            <w:tcW w:w="3346" w:type="dxa"/>
            <w:vAlign w:val="center"/>
            <w:hideMark/>
          </w:tcPr>
          <w:p w14:paraId="471570E0" w14:textId="77777777" w:rsidR="00EC492E" w:rsidRPr="00824D31" w:rsidRDefault="00EC492E" w:rsidP="00E80077">
            <w:pPr>
              <w:ind w:firstLine="0"/>
            </w:pPr>
            <w:r w:rsidRPr="00824D31">
              <w:t>Контрольно - пропускные пункты, проходные 100 кв. м. и более</w:t>
            </w:r>
          </w:p>
        </w:tc>
        <w:tc>
          <w:tcPr>
            <w:tcW w:w="1418" w:type="dxa"/>
            <w:noWrap/>
            <w:vAlign w:val="bottom"/>
            <w:hideMark/>
          </w:tcPr>
          <w:p w14:paraId="1C982243" w14:textId="77777777" w:rsidR="00EC492E" w:rsidRPr="00824D31" w:rsidRDefault="00EC492E" w:rsidP="00E80077">
            <w:pPr>
              <w:ind w:firstLine="0"/>
            </w:pPr>
            <w:r w:rsidRPr="00824D31">
              <w:t>40</w:t>
            </w:r>
          </w:p>
        </w:tc>
        <w:tc>
          <w:tcPr>
            <w:tcW w:w="1134" w:type="dxa"/>
            <w:noWrap/>
            <w:vAlign w:val="bottom"/>
            <w:hideMark/>
          </w:tcPr>
          <w:p w14:paraId="13671280" w14:textId="77777777" w:rsidR="00EC492E" w:rsidRPr="00824D31" w:rsidRDefault="00EC492E" w:rsidP="00E80077">
            <w:pPr>
              <w:ind w:firstLine="0"/>
            </w:pPr>
            <w:r w:rsidRPr="00824D31">
              <w:t>0,70%</w:t>
            </w:r>
          </w:p>
        </w:tc>
      </w:tr>
      <w:tr w:rsidR="00EC492E" w:rsidRPr="00824D31" w14:paraId="6273A9F3" w14:textId="77777777" w:rsidTr="00AA2A17">
        <w:trPr>
          <w:trHeight w:val="255"/>
        </w:trPr>
        <w:tc>
          <w:tcPr>
            <w:tcW w:w="0" w:type="auto"/>
            <w:vMerge/>
            <w:vAlign w:val="center"/>
            <w:hideMark/>
          </w:tcPr>
          <w:p w14:paraId="72C32EBB" w14:textId="77777777" w:rsidR="00EC492E" w:rsidRPr="00824D31" w:rsidRDefault="00EC492E" w:rsidP="00E80077">
            <w:pPr>
              <w:ind w:firstLine="0"/>
            </w:pPr>
          </w:p>
        </w:tc>
        <w:tc>
          <w:tcPr>
            <w:tcW w:w="1344" w:type="dxa"/>
            <w:noWrap/>
            <w:vAlign w:val="bottom"/>
            <w:hideMark/>
          </w:tcPr>
          <w:p w14:paraId="44E4BC70" w14:textId="77777777" w:rsidR="00EC492E" w:rsidRPr="00824D31" w:rsidRDefault="00EC492E" w:rsidP="00E80077">
            <w:pPr>
              <w:ind w:firstLine="0"/>
            </w:pPr>
            <w:r w:rsidRPr="00824D31">
              <w:t>608</w:t>
            </w:r>
          </w:p>
        </w:tc>
        <w:tc>
          <w:tcPr>
            <w:tcW w:w="3346" w:type="dxa"/>
            <w:vAlign w:val="center"/>
            <w:hideMark/>
          </w:tcPr>
          <w:p w14:paraId="161DDBF2" w14:textId="77777777" w:rsidR="00EC492E" w:rsidRPr="00824D31" w:rsidRDefault="00EC492E" w:rsidP="00E80077">
            <w:pPr>
              <w:ind w:firstLine="0"/>
            </w:pPr>
            <w:r w:rsidRPr="00824D31">
              <w:t>Отделения связи, почта</w:t>
            </w:r>
          </w:p>
        </w:tc>
        <w:tc>
          <w:tcPr>
            <w:tcW w:w="1418" w:type="dxa"/>
            <w:noWrap/>
            <w:vAlign w:val="bottom"/>
            <w:hideMark/>
          </w:tcPr>
          <w:p w14:paraId="128BA2CA" w14:textId="77777777" w:rsidR="00EC492E" w:rsidRPr="00824D31" w:rsidRDefault="00EC492E" w:rsidP="00E80077">
            <w:pPr>
              <w:ind w:firstLine="0"/>
            </w:pPr>
            <w:r w:rsidRPr="00824D31">
              <w:t>295</w:t>
            </w:r>
          </w:p>
        </w:tc>
        <w:tc>
          <w:tcPr>
            <w:tcW w:w="1134" w:type="dxa"/>
            <w:noWrap/>
            <w:vAlign w:val="bottom"/>
            <w:hideMark/>
          </w:tcPr>
          <w:p w14:paraId="11F0EAFD" w14:textId="77777777" w:rsidR="00EC492E" w:rsidRPr="00824D31" w:rsidRDefault="00EC492E" w:rsidP="00E80077">
            <w:pPr>
              <w:ind w:firstLine="0"/>
            </w:pPr>
            <w:r w:rsidRPr="00824D31">
              <w:t>5,15%</w:t>
            </w:r>
          </w:p>
        </w:tc>
      </w:tr>
      <w:tr w:rsidR="00EC492E" w:rsidRPr="00824D31" w14:paraId="377ADEB1" w14:textId="77777777" w:rsidTr="00AA2A17">
        <w:trPr>
          <w:trHeight w:val="255"/>
        </w:trPr>
        <w:tc>
          <w:tcPr>
            <w:tcW w:w="0" w:type="auto"/>
            <w:vMerge/>
            <w:vAlign w:val="center"/>
            <w:hideMark/>
          </w:tcPr>
          <w:p w14:paraId="0A4BB868" w14:textId="77777777" w:rsidR="00EC492E" w:rsidRPr="00824D31" w:rsidRDefault="00EC492E" w:rsidP="00E80077">
            <w:pPr>
              <w:ind w:firstLine="0"/>
            </w:pPr>
          </w:p>
        </w:tc>
        <w:tc>
          <w:tcPr>
            <w:tcW w:w="1344" w:type="dxa"/>
            <w:noWrap/>
            <w:vAlign w:val="bottom"/>
            <w:hideMark/>
          </w:tcPr>
          <w:p w14:paraId="15EE1B31" w14:textId="77777777" w:rsidR="00EC492E" w:rsidRPr="00824D31" w:rsidRDefault="00EC492E" w:rsidP="00E80077">
            <w:pPr>
              <w:ind w:firstLine="0"/>
            </w:pPr>
            <w:r w:rsidRPr="00824D31">
              <w:t>609</w:t>
            </w:r>
          </w:p>
        </w:tc>
        <w:tc>
          <w:tcPr>
            <w:tcW w:w="3346" w:type="dxa"/>
            <w:noWrap/>
            <w:vAlign w:val="center"/>
            <w:hideMark/>
          </w:tcPr>
          <w:p w14:paraId="6A95DD1F" w14:textId="77777777" w:rsidR="00EC492E" w:rsidRPr="00824D31" w:rsidRDefault="00EC492E" w:rsidP="00E80077">
            <w:pPr>
              <w:ind w:firstLine="0"/>
            </w:pPr>
            <w:r w:rsidRPr="00824D31">
              <w:t>Таможни</w:t>
            </w:r>
          </w:p>
        </w:tc>
        <w:tc>
          <w:tcPr>
            <w:tcW w:w="1418" w:type="dxa"/>
            <w:noWrap/>
            <w:vAlign w:val="bottom"/>
            <w:hideMark/>
          </w:tcPr>
          <w:p w14:paraId="1250E28E" w14:textId="77777777" w:rsidR="00EC492E" w:rsidRPr="00824D31" w:rsidRDefault="00EC492E" w:rsidP="00E80077">
            <w:pPr>
              <w:ind w:firstLine="0"/>
            </w:pPr>
            <w:r w:rsidRPr="00824D31">
              <w:t>1</w:t>
            </w:r>
          </w:p>
        </w:tc>
        <w:tc>
          <w:tcPr>
            <w:tcW w:w="1134" w:type="dxa"/>
            <w:noWrap/>
            <w:vAlign w:val="bottom"/>
            <w:hideMark/>
          </w:tcPr>
          <w:p w14:paraId="44101177" w14:textId="77777777" w:rsidR="00EC492E" w:rsidRPr="00824D31" w:rsidRDefault="00EC492E" w:rsidP="00E80077">
            <w:pPr>
              <w:ind w:firstLine="0"/>
            </w:pPr>
            <w:r w:rsidRPr="00824D31">
              <w:t>0,02%</w:t>
            </w:r>
          </w:p>
        </w:tc>
      </w:tr>
      <w:tr w:rsidR="00EC492E" w:rsidRPr="00824D31" w14:paraId="6AD16B7B" w14:textId="77777777" w:rsidTr="00AA2A17">
        <w:trPr>
          <w:trHeight w:val="255"/>
        </w:trPr>
        <w:tc>
          <w:tcPr>
            <w:tcW w:w="2256" w:type="dxa"/>
            <w:noWrap/>
            <w:vAlign w:val="bottom"/>
          </w:tcPr>
          <w:p w14:paraId="7FBE0BAE" w14:textId="77777777" w:rsidR="00EC492E" w:rsidRPr="00824D31" w:rsidRDefault="00EC492E" w:rsidP="00E80077">
            <w:pPr>
              <w:ind w:firstLine="0"/>
            </w:pPr>
          </w:p>
        </w:tc>
        <w:tc>
          <w:tcPr>
            <w:tcW w:w="1344" w:type="dxa"/>
            <w:noWrap/>
            <w:vAlign w:val="bottom"/>
          </w:tcPr>
          <w:p w14:paraId="38D31B2E" w14:textId="77777777" w:rsidR="00EC492E" w:rsidRPr="00824D31" w:rsidRDefault="00EC492E" w:rsidP="00E80077">
            <w:pPr>
              <w:ind w:firstLine="0"/>
            </w:pPr>
          </w:p>
        </w:tc>
        <w:tc>
          <w:tcPr>
            <w:tcW w:w="3346" w:type="dxa"/>
            <w:noWrap/>
            <w:vAlign w:val="bottom"/>
            <w:hideMark/>
          </w:tcPr>
          <w:p w14:paraId="15C68F0D" w14:textId="77777777" w:rsidR="00EC492E" w:rsidRPr="00824D31" w:rsidRDefault="00EC492E" w:rsidP="00E80077">
            <w:pPr>
              <w:ind w:firstLine="0"/>
            </w:pPr>
            <w:r w:rsidRPr="00824D31">
              <w:t>ИТОГО</w:t>
            </w:r>
          </w:p>
        </w:tc>
        <w:tc>
          <w:tcPr>
            <w:tcW w:w="1418" w:type="dxa"/>
            <w:noWrap/>
            <w:vAlign w:val="bottom"/>
            <w:hideMark/>
          </w:tcPr>
          <w:p w14:paraId="7D6AA94E" w14:textId="77777777" w:rsidR="00EC492E" w:rsidRPr="00824D31" w:rsidRDefault="00EC492E" w:rsidP="00E80077">
            <w:pPr>
              <w:ind w:firstLine="0"/>
            </w:pPr>
            <w:r w:rsidRPr="00824D31">
              <w:t>5724</w:t>
            </w:r>
          </w:p>
        </w:tc>
        <w:tc>
          <w:tcPr>
            <w:tcW w:w="1134" w:type="dxa"/>
            <w:noWrap/>
            <w:vAlign w:val="bottom"/>
            <w:hideMark/>
          </w:tcPr>
          <w:p w14:paraId="7FEE0F64" w14:textId="77777777" w:rsidR="00EC492E" w:rsidRPr="00824D31" w:rsidRDefault="00EC492E" w:rsidP="00E80077">
            <w:pPr>
              <w:ind w:firstLine="0"/>
            </w:pPr>
            <w:r w:rsidRPr="00824D31">
              <w:t>100,00%</w:t>
            </w:r>
          </w:p>
        </w:tc>
      </w:tr>
    </w:tbl>
    <w:p w14:paraId="7F154D22" w14:textId="77777777" w:rsidR="00EC492E" w:rsidRPr="00824D31" w:rsidRDefault="00EC492E" w:rsidP="00EC492E"/>
    <w:p w14:paraId="6F3D1081" w14:textId="77777777" w:rsidR="00EC492E" w:rsidRPr="00824D31" w:rsidRDefault="00EC492E" w:rsidP="00EC492E">
      <w:r w:rsidRPr="00824D31">
        <w:t>Основную часть Объектов рассматриваемой группы составляют «Бытовые, административно-бытовые здания» - 84,49%.</w:t>
      </w:r>
    </w:p>
    <w:p w14:paraId="14AF0825" w14:textId="77777777" w:rsidR="00EC492E" w:rsidRPr="00824D31" w:rsidRDefault="00EC492E" w:rsidP="00EC492E">
      <w:r w:rsidRPr="00824D31">
        <w:t>Объекты недвижимости 6 группы были разбиты на подгруппы по следующим критериям:</w:t>
      </w:r>
    </w:p>
    <w:p w14:paraId="19D840D8" w14:textId="77777777" w:rsidR="00EC492E" w:rsidRPr="00824D31" w:rsidRDefault="00EC492E" w:rsidP="00EC492E">
      <w:r w:rsidRPr="00824D31">
        <w:t>1. в зависимости от местоположения:</w:t>
      </w:r>
    </w:p>
    <w:p w14:paraId="183C6A4D" w14:textId="77777777" w:rsidR="00EC492E" w:rsidRPr="00824D31" w:rsidRDefault="00EC492E" w:rsidP="00EC492E">
      <w:r w:rsidRPr="00824D31">
        <w:t>- объекты, точное местоположение которых возможно установить;</w:t>
      </w:r>
    </w:p>
    <w:p w14:paraId="60C6B88E" w14:textId="77777777" w:rsidR="00EC492E" w:rsidRPr="00824D31" w:rsidRDefault="00EC492E" w:rsidP="00EC492E">
      <w:r w:rsidRPr="00824D31">
        <w:t xml:space="preserve">- объекты, точное местоположение которых невозможно установить. </w:t>
      </w:r>
    </w:p>
    <w:p w14:paraId="42A2FC59" w14:textId="3FA4A45D" w:rsidR="00EC492E" w:rsidRPr="00824D31" w:rsidRDefault="00EC492E" w:rsidP="00EC492E">
      <w:r w:rsidRPr="00824D31">
        <w:t>В подгруппу объектов, точное местоположени</w:t>
      </w:r>
      <w:r w:rsidR="00A24B55">
        <w:t xml:space="preserve">е которых возможно установить, </w:t>
      </w:r>
      <w:r w:rsidRPr="00824D31">
        <w:t>относятся объекты, местоположение которых:</w:t>
      </w:r>
    </w:p>
    <w:p w14:paraId="01B7B73B" w14:textId="77777777" w:rsidR="00EC492E" w:rsidRPr="00824D31" w:rsidRDefault="00EC492E" w:rsidP="00EC492E">
      <w:r w:rsidRPr="00824D31">
        <w:t>- возможно установить до уровня дома;</w:t>
      </w:r>
    </w:p>
    <w:p w14:paraId="7FFCFE30" w14:textId="77777777" w:rsidR="00EC492E" w:rsidRPr="00824D31" w:rsidRDefault="00EC492E" w:rsidP="00EC492E">
      <w:r w:rsidRPr="00824D31">
        <w:t>- возможно установить до уровня улицы;</w:t>
      </w:r>
    </w:p>
    <w:p w14:paraId="27B07AA4" w14:textId="77777777" w:rsidR="00EC492E" w:rsidRPr="00824D31" w:rsidRDefault="00EC492E" w:rsidP="00EC492E">
      <w:r w:rsidRPr="00824D31">
        <w:t>- возможно установить до уровня кадастрового квартала.</w:t>
      </w:r>
    </w:p>
    <w:p w14:paraId="385DB215" w14:textId="77777777" w:rsidR="00EC492E" w:rsidRPr="00824D31" w:rsidRDefault="00EC492E" w:rsidP="00EC492E">
      <w:r w:rsidRPr="00824D31">
        <w:t>При этом для объектов, расположенных в сельских населенных пунктах, отнесенных в подгруппу объектов, точное местоположение которых возможно установить, допустимым является установление местоположения до уровня населенного пункта.</w:t>
      </w:r>
    </w:p>
    <w:p w14:paraId="7D85948F" w14:textId="77777777" w:rsidR="00EC492E" w:rsidRPr="00824D31" w:rsidRDefault="00EC492E" w:rsidP="00EC492E">
      <w:r w:rsidRPr="00824D31">
        <w:t>К подгруппе объектов, точное местоположение которых невозможно установить, относятся объекты, местоположение которых:</w:t>
      </w:r>
    </w:p>
    <w:p w14:paraId="08A1365A" w14:textId="77777777" w:rsidR="00EC492E" w:rsidRPr="00824D31" w:rsidRDefault="00EC492E" w:rsidP="00EC492E">
      <w:r w:rsidRPr="00824D31">
        <w:t>- возможно установить только до уровня муниципального образования;</w:t>
      </w:r>
    </w:p>
    <w:p w14:paraId="2BAECCAD" w14:textId="77777777" w:rsidR="00EC492E" w:rsidRPr="00824D31" w:rsidRDefault="00EC492E" w:rsidP="00EC492E">
      <w:r w:rsidRPr="00824D31">
        <w:t>- возможно установить только до уровня субъекта Российской Федерации.</w:t>
      </w:r>
    </w:p>
    <w:p w14:paraId="6BEEC23E" w14:textId="77777777" w:rsidR="00EC492E" w:rsidRPr="00824D31" w:rsidRDefault="00EC492E" w:rsidP="00EC492E">
      <w:r w:rsidRPr="00824D31">
        <w:t>2. В зависимости от статуса населенного пункта разделение на группы (подгруппы) производилось по принципу:</w:t>
      </w:r>
    </w:p>
    <w:p w14:paraId="419EA39C" w14:textId="77777777" w:rsidR="00EC492E" w:rsidRPr="00824D31" w:rsidRDefault="00EC492E" w:rsidP="00EC492E">
      <w:r w:rsidRPr="00824D31">
        <w:t>- объекты, расположенные в столице субъекта Российской Федерации;</w:t>
      </w:r>
    </w:p>
    <w:p w14:paraId="7DF75E7A" w14:textId="77777777" w:rsidR="00EC492E" w:rsidRPr="00824D31" w:rsidRDefault="00EC492E" w:rsidP="00EC492E">
      <w:r w:rsidRPr="00824D31">
        <w:t>- объекты, расположенные в прочих городских населенных пунктах;</w:t>
      </w:r>
    </w:p>
    <w:p w14:paraId="15F0611D" w14:textId="77777777" w:rsidR="00EC492E" w:rsidRPr="00824D31" w:rsidRDefault="00EC492E" w:rsidP="00EC492E">
      <w:r w:rsidRPr="00824D31">
        <w:t>- объекты, расположенные в сельских населенных пунктах;</w:t>
      </w:r>
    </w:p>
    <w:p w14:paraId="41CA5380" w14:textId="77777777" w:rsidR="00EC492E" w:rsidRPr="00824D31" w:rsidRDefault="00EC492E" w:rsidP="00EC492E">
      <w:r w:rsidRPr="00824D31">
        <w:t>-  объекты, расположенные вне черты населенных пунктов.</w:t>
      </w:r>
    </w:p>
    <w:p w14:paraId="09F237A9" w14:textId="77777777" w:rsidR="00EC492E" w:rsidRPr="00824D31" w:rsidRDefault="00EC492E" w:rsidP="00EC492E">
      <w:r w:rsidRPr="00824D31">
        <w:t>3. В зависимости от степени готовности объекта:</w:t>
      </w:r>
    </w:p>
    <w:p w14:paraId="2C4DFFEC" w14:textId="77777777" w:rsidR="00EC492E" w:rsidRPr="00824D31" w:rsidRDefault="00EC492E" w:rsidP="00EC492E">
      <w:r w:rsidRPr="00824D31">
        <w:t xml:space="preserve">- объекты, строительство которых завершено (здания, помещения, сооружения); </w:t>
      </w:r>
    </w:p>
    <w:p w14:paraId="475FDD0C" w14:textId="77777777" w:rsidR="00EC492E" w:rsidRPr="00824D31" w:rsidRDefault="00EC492E" w:rsidP="00EC492E">
      <w:r w:rsidRPr="00824D31">
        <w:t>-объекты незавершенного строительства.</w:t>
      </w:r>
    </w:p>
    <w:p w14:paraId="43AFE6CE" w14:textId="77777777" w:rsidR="00EC492E" w:rsidRPr="00824D31" w:rsidRDefault="00EC492E" w:rsidP="00EC492E">
      <w:r w:rsidRPr="00824D31">
        <w:t xml:space="preserve">Выделенные на оцениваемой территории группы объектов оценки соответствуют следующим требованиям: </w:t>
      </w:r>
    </w:p>
    <w:p w14:paraId="4E3657AF" w14:textId="77777777" w:rsidR="00EC492E" w:rsidRPr="00824D31" w:rsidRDefault="00EC492E" w:rsidP="00EC492E">
      <w:r w:rsidRPr="00824D31">
        <w:t>- однородны с точки зрения значений (диапазонов значений) ценообразующих факторов;</w:t>
      </w:r>
    </w:p>
    <w:p w14:paraId="15CEAF2A" w14:textId="77777777" w:rsidR="00EC492E" w:rsidRPr="00824D31" w:rsidRDefault="00EC492E" w:rsidP="00EC492E">
      <w:r w:rsidRPr="00824D31">
        <w:t>- полностью покрывают группу объектов оценки (каждый объект оценки должен быть отнесен к какой-либо группе/подгруппе);</w:t>
      </w:r>
    </w:p>
    <w:p w14:paraId="3522A8E3" w14:textId="77777777" w:rsidR="00EC492E" w:rsidRPr="00824D31" w:rsidRDefault="00EC492E" w:rsidP="00EC492E">
      <w:r w:rsidRPr="00824D31">
        <w:t>- не пересекаются - объект оценки может быть отнесен только к одной группе/подгруппе.</w:t>
      </w:r>
    </w:p>
    <w:p w14:paraId="0DB5E303" w14:textId="77777777" w:rsidR="00EC492E" w:rsidRPr="00824D31" w:rsidRDefault="00EC492E" w:rsidP="00EC492E">
      <w:r w:rsidRPr="00824D31">
        <w:t xml:space="preserve">Представленная группировка позволяет объединить объекты недвижимости по общности признаков со схожими принципами ценообразования и примерно одинаковым уровнем цен на объекты недвижимости. </w:t>
      </w:r>
    </w:p>
    <w:p w14:paraId="15D295B3" w14:textId="77777777" w:rsidR="00EC492E" w:rsidRPr="00824D31" w:rsidRDefault="00EC492E" w:rsidP="00EC492E"/>
    <w:p w14:paraId="1FD3E234" w14:textId="1D1C1887" w:rsidR="00EC492E" w:rsidRPr="008F16D6" w:rsidRDefault="00EC492E" w:rsidP="008F16D6">
      <w:pPr>
        <w:rPr>
          <w:b/>
        </w:rPr>
      </w:pPr>
      <w:r w:rsidRPr="008F16D6">
        <w:rPr>
          <w:b/>
        </w:rPr>
        <w:t>7 группа «Объекты</w:t>
      </w:r>
      <w:r w:rsidR="008F16D6" w:rsidRPr="008F16D6">
        <w:rPr>
          <w:b/>
        </w:rPr>
        <w:t xml:space="preserve"> производственного назначения, </w:t>
      </w:r>
      <w:r w:rsidRPr="008F16D6">
        <w:rPr>
          <w:b/>
        </w:rPr>
        <w:t>за исключением передаточных устройств и сооружений»</w:t>
      </w:r>
    </w:p>
    <w:p w14:paraId="1E99B225" w14:textId="77777777" w:rsidR="00EC492E" w:rsidRPr="00824D31" w:rsidRDefault="00EC492E" w:rsidP="00EC492E"/>
    <w:p w14:paraId="0953F356" w14:textId="77777777" w:rsidR="00EC492E" w:rsidRPr="00824D31" w:rsidRDefault="00EC492E" w:rsidP="00EC492E">
      <w:r w:rsidRPr="00824D31">
        <w:t>К данной группе относятся объекты материального сектора производства и не включают объекты торговли, науки.</w:t>
      </w:r>
    </w:p>
    <w:p w14:paraId="74AADF10" w14:textId="77777777" w:rsidR="00EC492E" w:rsidRPr="00824D31" w:rsidRDefault="00EC492E" w:rsidP="00EC492E">
      <w:r w:rsidRPr="00824D31">
        <w:t xml:space="preserve">К объектам 7 группы относятся: </w:t>
      </w:r>
    </w:p>
    <w:p w14:paraId="5A3C6B30" w14:textId="77777777" w:rsidR="00EC492E" w:rsidRPr="00824D31" w:rsidRDefault="00EC492E" w:rsidP="00EC492E">
      <w:r w:rsidRPr="00824D31">
        <w:t>- фабрики, заводы, комбинаты, производственные объединения, концерны, промышленно-производственные фирмы, тресты;</w:t>
      </w:r>
    </w:p>
    <w:p w14:paraId="5AE8EC60" w14:textId="77777777" w:rsidR="00EC492E" w:rsidRPr="00824D31" w:rsidRDefault="00EC492E" w:rsidP="00EC492E">
      <w:r w:rsidRPr="00824D31">
        <w:t>- производственные, производственно-складские и административно-производственные здания и помещения;</w:t>
      </w:r>
    </w:p>
    <w:p w14:paraId="34C0F3D8" w14:textId="77777777" w:rsidR="00EC492E" w:rsidRPr="00824D31" w:rsidRDefault="00EC492E" w:rsidP="00EC492E">
      <w:r w:rsidRPr="00824D31">
        <w:t>- здания и помещения материально-технического и продовольственного снабжения, сбыта и заготовок;</w:t>
      </w:r>
    </w:p>
    <w:p w14:paraId="69577E8E" w14:textId="77777777" w:rsidR="00EC492E" w:rsidRPr="00824D31" w:rsidRDefault="00EC492E" w:rsidP="00EC492E">
      <w:r w:rsidRPr="00824D31">
        <w:t>- мастерские;</w:t>
      </w:r>
    </w:p>
    <w:p w14:paraId="5C9F0CAA" w14:textId="77777777" w:rsidR="00EC492E" w:rsidRPr="00824D31" w:rsidRDefault="00EC492E" w:rsidP="00EC492E">
      <w:r w:rsidRPr="00824D31">
        <w:t>- складские здания и помещения, предназначенных для хранения веществ, материалов, продукции и сырья (грузов);</w:t>
      </w:r>
    </w:p>
    <w:p w14:paraId="5CB5B1FE" w14:textId="77777777" w:rsidR="00EC492E" w:rsidRPr="00824D31" w:rsidRDefault="00EC492E" w:rsidP="00EC492E">
      <w:r w:rsidRPr="00824D31">
        <w:t>- здания и помещения для холодильников;</w:t>
      </w:r>
    </w:p>
    <w:p w14:paraId="417A4E1E" w14:textId="77777777" w:rsidR="00EC492E" w:rsidRPr="00824D31" w:rsidRDefault="00EC492E" w:rsidP="00EC492E">
      <w:r w:rsidRPr="00824D31">
        <w:t>- депо железнодорожные, локомотивные, метрополитена, электродепо, трамвайные, троллейбусные;</w:t>
      </w:r>
    </w:p>
    <w:p w14:paraId="0C139D82" w14:textId="77777777" w:rsidR="00EC492E" w:rsidRPr="00824D31" w:rsidRDefault="00EC492E" w:rsidP="00EC492E">
      <w:r w:rsidRPr="00824D31">
        <w:t>- диспетчерские, аппаратные, опретаорные (кроме диспетчерских на транспорте);</w:t>
      </w:r>
    </w:p>
    <w:p w14:paraId="678E3813" w14:textId="77777777" w:rsidR="00EC492E" w:rsidRPr="00824D31" w:rsidRDefault="00EC492E" w:rsidP="00EC492E">
      <w:r w:rsidRPr="00824D31">
        <w:t>- объекты сельскохозяйственного производства, животноводческие комплексы, птичники, тепличные и оранжерейные хозяйства;</w:t>
      </w:r>
    </w:p>
    <w:p w14:paraId="560A256A" w14:textId="77777777" w:rsidR="00EC492E" w:rsidRPr="00824D31" w:rsidRDefault="00EC492E" w:rsidP="00EC492E">
      <w:r w:rsidRPr="00824D31">
        <w:t>- сушилки, мельницы, вспомогательные объекты;</w:t>
      </w:r>
    </w:p>
    <w:p w14:paraId="5E4A3EA7" w14:textId="77777777" w:rsidR="00EC492E" w:rsidRPr="00824D31" w:rsidRDefault="00EC492E" w:rsidP="00EC492E">
      <w:r w:rsidRPr="00824D31">
        <w:t>- электростанции и иные виды станций, обслуживающих электростанции;</w:t>
      </w:r>
    </w:p>
    <w:p w14:paraId="61528321" w14:textId="77777777" w:rsidR="00EC492E" w:rsidRPr="00824D31" w:rsidRDefault="00EC492E" w:rsidP="00EC492E">
      <w:r w:rsidRPr="00824D31">
        <w:t>- центральные тепловые станции;</w:t>
      </w:r>
    </w:p>
    <w:p w14:paraId="357D697F" w14:textId="77777777" w:rsidR="00EC492E" w:rsidRPr="00824D31" w:rsidRDefault="00EC492E" w:rsidP="00EC492E">
      <w:r w:rsidRPr="00824D31">
        <w:t>- котельные, в том числе котельные жилых и гражданских зданий, в случае, если они являются отдельными объектами учета;</w:t>
      </w:r>
    </w:p>
    <w:p w14:paraId="2745052E" w14:textId="77777777" w:rsidR="00EC492E" w:rsidRPr="00824D31" w:rsidRDefault="00EC492E" w:rsidP="00EC492E">
      <w:r w:rsidRPr="00824D31">
        <w:t>- здания тепловых пунктов;</w:t>
      </w:r>
    </w:p>
    <w:p w14:paraId="1DE47999" w14:textId="77777777" w:rsidR="00EC492E" w:rsidRPr="00824D31" w:rsidRDefault="00EC492E" w:rsidP="00EC492E">
      <w:r w:rsidRPr="00824D31">
        <w:t>- станции, пункты газореспределительные и газорегуляторные;</w:t>
      </w:r>
    </w:p>
    <w:p w14:paraId="6119ABC9" w14:textId="77777777" w:rsidR="00EC492E" w:rsidRPr="00824D31" w:rsidRDefault="00EC492E" w:rsidP="00EC492E">
      <w:r w:rsidRPr="00824D31">
        <w:t>- насосные станции;</w:t>
      </w:r>
    </w:p>
    <w:p w14:paraId="30E0299E" w14:textId="77777777" w:rsidR="00EC492E" w:rsidRPr="00824D31" w:rsidRDefault="00EC492E" w:rsidP="00EC492E">
      <w:r w:rsidRPr="00824D31">
        <w:t>- водопроводные станции;</w:t>
      </w:r>
    </w:p>
    <w:p w14:paraId="22A965F2" w14:textId="77777777" w:rsidR="00EC492E" w:rsidRPr="00824D31" w:rsidRDefault="00EC492E" w:rsidP="00EC492E">
      <w:r w:rsidRPr="00824D31">
        <w:t>- водозаборные узлы и сооружения;</w:t>
      </w:r>
    </w:p>
    <w:p w14:paraId="57B8BCB2" w14:textId="77777777" w:rsidR="00EC492E" w:rsidRPr="00824D31" w:rsidRDefault="00EC492E" w:rsidP="00EC492E">
      <w:r w:rsidRPr="00824D31">
        <w:t>- водомерные узлы;</w:t>
      </w:r>
    </w:p>
    <w:p w14:paraId="652BD2F3" w14:textId="77777777" w:rsidR="00EC492E" w:rsidRPr="00824D31" w:rsidRDefault="00EC492E" w:rsidP="00EC492E">
      <w:r w:rsidRPr="00824D31">
        <w:t>- вентиляционные киоски, вентиляционные камеры;</w:t>
      </w:r>
    </w:p>
    <w:p w14:paraId="5D48AFC2" w14:textId="77777777" w:rsidR="00EC492E" w:rsidRPr="00824D31" w:rsidRDefault="00EC492E" w:rsidP="00EC492E">
      <w:r w:rsidRPr="00824D31">
        <w:t>- автоматические телефонные станции;</w:t>
      </w:r>
    </w:p>
    <w:p w14:paraId="488B8C81" w14:textId="77777777" w:rsidR="00EC492E" w:rsidRPr="00824D31" w:rsidRDefault="00EC492E" w:rsidP="00EC492E">
      <w:r w:rsidRPr="00824D31">
        <w:t>- здания очистных сооружений;</w:t>
      </w:r>
    </w:p>
    <w:p w14:paraId="2C9A0156" w14:textId="77777777" w:rsidR="00EC492E" w:rsidRPr="00824D31" w:rsidRDefault="00EC492E" w:rsidP="00EC492E">
      <w:r w:rsidRPr="00824D31">
        <w:t>- весовые;</w:t>
      </w:r>
    </w:p>
    <w:p w14:paraId="2B321D3B" w14:textId="77777777" w:rsidR="00EC492E" w:rsidRPr="00824D31" w:rsidRDefault="00EC492E" w:rsidP="00EC492E">
      <w:r w:rsidRPr="00824D31">
        <w:t>- здания гидросооружений;</w:t>
      </w:r>
    </w:p>
    <w:p w14:paraId="3C9823DF" w14:textId="77777777" w:rsidR="00EC492E" w:rsidRPr="00824D31" w:rsidRDefault="00EC492E" w:rsidP="00EC492E">
      <w:r w:rsidRPr="00824D31">
        <w:t>- станции технического обслуживания автомобилей (СТО), автосервисы;</w:t>
      </w:r>
    </w:p>
    <w:p w14:paraId="33A4E7C5" w14:textId="77777777" w:rsidR="00EC492E" w:rsidRPr="00824D31" w:rsidRDefault="00EC492E" w:rsidP="00EC492E">
      <w:r w:rsidRPr="00824D31">
        <w:t>- ангары.</w:t>
      </w:r>
    </w:p>
    <w:p w14:paraId="585C4E86" w14:textId="77777777" w:rsidR="00EC492E" w:rsidRPr="00824D31" w:rsidRDefault="00EC492E" w:rsidP="00EC492E">
      <w:r w:rsidRPr="00824D31">
        <w:t>Номера подрупп, входящих в состав группы: 0701-0732. Объекты, относящиеся по классификатору к подгруппам 0718, 0726, 0729 на территории Республики Саха (Якутия) отсутствуют.</w:t>
      </w:r>
    </w:p>
    <w:p w14:paraId="683D6257" w14:textId="20B89296" w:rsidR="00EC492E" w:rsidRPr="00824D31" w:rsidRDefault="00EC492E" w:rsidP="00EC492E">
      <w:r w:rsidRPr="00824D31">
        <w:t>Общее количество Объектов оценки, отнесенных к группе «Объекты производственного назначения, за исключением передаточных устройств</w:t>
      </w:r>
      <w:r w:rsidR="00631CA6">
        <w:t xml:space="preserve"> и сооружений» составляет 28 260</w:t>
      </w:r>
      <w:r w:rsidRPr="00824D31">
        <w:t> Объектов.</w:t>
      </w:r>
    </w:p>
    <w:p w14:paraId="15F28085" w14:textId="03E87F10" w:rsidR="00EC492E" w:rsidRPr="00824D31" w:rsidRDefault="00EC492E" w:rsidP="00763AD2">
      <w:pPr>
        <w:pStyle w:val="afffffff0"/>
      </w:pPr>
      <w:r w:rsidRPr="00824D31">
        <w:t xml:space="preserve">Таблица </w:t>
      </w:r>
      <w:r w:rsidR="00A90944">
        <w:fldChar w:fldCharType="begin"/>
      </w:r>
      <w:r w:rsidR="00A90944">
        <w:instrText xml:space="preserve"> SEQ Таблица \* ARABIC </w:instrText>
      </w:r>
      <w:r w:rsidR="00A90944">
        <w:fldChar w:fldCharType="separate"/>
      </w:r>
      <w:r w:rsidR="00FD2769">
        <w:rPr>
          <w:noProof/>
        </w:rPr>
        <w:t>39</w:t>
      </w:r>
      <w:r w:rsidR="00A90944">
        <w:rPr>
          <w:noProof/>
        </w:rPr>
        <w:fldChar w:fldCharType="end"/>
      </w:r>
      <w:r w:rsidRPr="00824D31">
        <w:t xml:space="preserve"> Результат группировки Объектов оценки в рамках группы 7 Объекты производственного назначения, за исключением передаточных устройств и сооружений </w:t>
      </w:r>
    </w:p>
    <w:tbl>
      <w:tblPr>
        <w:tblW w:w="9581" w:type="dxa"/>
        <w:tblInd w:w="-5" w:type="dxa"/>
        <w:tblLook w:val="04A0" w:firstRow="1" w:lastRow="0" w:firstColumn="1" w:lastColumn="0" w:noHBand="0" w:noVBand="1"/>
      </w:tblPr>
      <w:tblGrid>
        <w:gridCol w:w="2190"/>
        <w:gridCol w:w="1691"/>
        <w:gridCol w:w="3554"/>
        <w:gridCol w:w="1417"/>
        <w:gridCol w:w="1076"/>
      </w:tblGrid>
      <w:tr w:rsidR="00EC492E" w:rsidRPr="00824D31" w14:paraId="10FAAEB7" w14:textId="77777777" w:rsidTr="00077638">
        <w:trPr>
          <w:trHeight w:val="270"/>
          <w:tblHeader/>
        </w:trPr>
        <w:tc>
          <w:tcPr>
            <w:tcW w:w="1843" w:type="dxa"/>
            <w:tcBorders>
              <w:top w:val="single" w:sz="4" w:space="0" w:color="auto"/>
              <w:left w:val="single" w:sz="4" w:space="0" w:color="auto"/>
              <w:bottom w:val="single" w:sz="4" w:space="0" w:color="auto"/>
              <w:right w:val="single" w:sz="4" w:space="0" w:color="auto"/>
            </w:tcBorders>
            <w:shd w:val="clear" w:color="auto" w:fill="BFBFBF" w:themeFill="background1" w:themeFillShade="BF"/>
            <w:noWrap/>
            <w:hideMark/>
          </w:tcPr>
          <w:p w14:paraId="13392AC9" w14:textId="77777777" w:rsidR="00EC492E" w:rsidRPr="00824D31" w:rsidRDefault="00EC492E" w:rsidP="00E80077">
            <w:pPr>
              <w:ind w:firstLine="0"/>
            </w:pPr>
            <w:r w:rsidRPr="00824D31">
              <w:t>Наименование группы</w:t>
            </w:r>
          </w:p>
        </w:tc>
        <w:tc>
          <w:tcPr>
            <w:tcW w:w="1691" w:type="dxa"/>
            <w:tcBorders>
              <w:top w:val="single" w:sz="4" w:space="0" w:color="auto"/>
              <w:left w:val="nil"/>
              <w:bottom w:val="single" w:sz="4" w:space="0" w:color="auto"/>
              <w:right w:val="single" w:sz="4" w:space="0" w:color="auto"/>
            </w:tcBorders>
            <w:shd w:val="clear" w:color="auto" w:fill="BFBFBF" w:themeFill="background1" w:themeFillShade="BF"/>
            <w:noWrap/>
            <w:hideMark/>
          </w:tcPr>
          <w:p w14:paraId="132B2AE7" w14:textId="77777777" w:rsidR="00EC492E" w:rsidRPr="00824D31" w:rsidRDefault="00EC492E" w:rsidP="00E80077">
            <w:pPr>
              <w:ind w:firstLine="0"/>
            </w:pPr>
            <w:r w:rsidRPr="00824D31">
              <w:t>Код подгруппы</w:t>
            </w:r>
          </w:p>
        </w:tc>
        <w:tc>
          <w:tcPr>
            <w:tcW w:w="3554" w:type="dxa"/>
            <w:tcBorders>
              <w:top w:val="single" w:sz="4" w:space="0" w:color="auto"/>
              <w:left w:val="nil"/>
              <w:bottom w:val="single" w:sz="4" w:space="0" w:color="auto"/>
              <w:right w:val="single" w:sz="4" w:space="0" w:color="auto"/>
            </w:tcBorders>
            <w:shd w:val="clear" w:color="auto" w:fill="BFBFBF" w:themeFill="background1" w:themeFillShade="BF"/>
            <w:noWrap/>
            <w:hideMark/>
          </w:tcPr>
          <w:p w14:paraId="7A199723" w14:textId="77777777" w:rsidR="00EC492E" w:rsidRPr="00824D31" w:rsidRDefault="00EC492E" w:rsidP="00E80077">
            <w:pPr>
              <w:ind w:firstLine="0"/>
            </w:pPr>
            <w:r w:rsidRPr="00824D31">
              <w:t>Наименование функциональной подгруппы</w:t>
            </w:r>
          </w:p>
        </w:tc>
        <w:tc>
          <w:tcPr>
            <w:tcW w:w="1417" w:type="dxa"/>
            <w:tcBorders>
              <w:top w:val="single" w:sz="4" w:space="0" w:color="auto"/>
              <w:left w:val="nil"/>
              <w:bottom w:val="single" w:sz="4" w:space="0" w:color="auto"/>
              <w:right w:val="single" w:sz="4" w:space="0" w:color="auto"/>
            </w:tcBorders>
            <w:shd w:val="clear" w:color="auto" w:fill="BFBFBF" w:themeFill="background1" w:themeFillShade="BF"/>
            <w:noWrap/>
            <w:hideMark/>
          </w:tcPr>
          <w:p w14:paraId="42C814E6" w14:textId="77777777" w:rsidR="00EC492E" w:rsidRPr="00824D31" w:rsidRDefault="00EC492E" w:rsidP="00E80077">
            <w:pPr>
              <w:ind w:firstLine="0"/>
            </w:pPr>
            <w:r w:rsidRPr="00824D31">
              <w:t>Количество Объектов</w:t>
            </w:r>
          </w:p>
        </w:tc>
        <w:tc>
          <w:tcPr>
            <w:tcW w:w="1076" w:type="dxa"/>
            <w:tcBorders>
              <w:top w:val="single" w:sz="4" w:space="0" w:color="auto"/>
              <w:left w:val="nil"/>
              <w:bottom w:val="single" w:sz="4" w:space="0" w:color="auto"/>
              <w:right w:val="single" w:sz="4" w:space="0" w:color="auto"/>
            </w:tcBorders>
            <w:shd w:val="clear" w:color="auto" w:fill="BFBFBF" w:themeFill="background1" w:themeFillShade="BF"/>
            <w:noWrap/>
            <w:hideMark/>
          </w:tcPr>
          <w:p w14:paraId="2FB2E473" w14:textId="77777777" w:rsidR="00E80077" w:rsidRDefault="00EC492E" w:rsidP="00E80077">
            <w:pPr>
              <w:ind w:firstLine="0"/>
            </w:pPr>
            <w:r w:rsidRPr="00824D31">
              <w:t xml:space="preserve">Доля, </w:t>
            </w:r>
          </w:p>
          <w:p w14:paraId="10D686B6" w14:textId="0428E3AC" w:rsidR="00EC492E" w:rsidRPr="00824D31" w:rsidRDefault="00EC492E" w:rsidP="00E80077">
            <w:pPr>
              <w:ind w:firstLine="0"/>
            </w:pPr>
            <w:r w:rsidRPr="00824D31">
              <w:t>%</w:t>
            </w:r>
          </w:p>
        </w:tc>
      </w:tr>
      <w:tr w:rsidR="00EC492E" w:rsidRPr="00824D31" w14:paraId="5B29F481" w14:textId="77777777" w:rsidTr="00077638">
        <w:trPr>
          <w:trHeight w:val="270"/>
        </w:trPr>
        <w:tc>
          <w:tcPr>
            <w:tcW w:w="1843" w:type="dxa"/>
            <w:vMerge w:val="restart"/>
            <w:tcBorders>
              <w:top w:val="nil"/>
              <w:left w:val="single" w:sz="4" w:space="0" w:color="auto"/>
              <w:bottom w:val="single" w:sz="4" w:space="0" w:color="auto"/>
              <w:right w:val="single" w:sz="4" w:space="0" w:color="auto"/>
            </w:tcBorders>
            <w:noWrap/>
            <w:vAlign w:val="bottom"/>
            <w:hideMark/>
          </w:tcPr>
          <w:p w14:paraId="7C0D579A" w14:textId="1198D8B4" w:rsidR="00EC492E" w:rsidRPr="00824D31" w:rsidRDefault="00EC492E" w:rsidP="00E80077">
            <w:pPr>
              <w:ind w:firstLine="0"/>
            </w:pPr>
            <w:r w:rsidRPr="00824D31">
              <w:t>Объекты производственного назначения, за исключением передаточных устройств и сооружений</w:t>
            </w:r>
          </w:p>
        </w:tc>
        <w:tc>
          <w:tcPr>
            <w:tcW w:w="1691" w:type="dxa"/>
            <w:tcBorders>
              <w:top w:val="nil"/>
              <w:left w:val="nil"/>
              <w:bottom w:val="single" w:sz="4" w:space="0" w:color="auto"/>
              <w:right w:val="single" w:sz="4" w:space="0" w:color="auto"/>
            </w:tcBorders>
            <w:noWrap/>
            <w:vAlign w:val="bottom"/>
            <w:hideMark/>
          </w:tcPr>
          <w:p w14:paraId="26E6A6D5" w14:textId="77777777" w:rsidR="00EC492E" w:rsidRPr="00824D31" w:rsidRDefault="00EC492E" w:rsidP="00E80077">
            <w:pPr>
              <w:ind w:firstLine="0"/>
            </w:pPr>
            <w:r w:rsidRPr="00824D31">
              <w:t>700</w:t>
            </w:r>
          </w:p>
        </w:tc>
        <w:tc>
          <w:tcPr>
            <w:tcW w:w="3554" w:type="dxa"/>
            <w:tcBorders>
              <w:top w:val="nil"/>
              <w:left w:val="nil"/>
              <w:bottom w:val="single" w:sz="4" w:space="0" w:color="auto"/>
              <w:right w:val="single" w:sz="4" w:space="0" w:color="auto"/>
            </w:tcBorders>
            <w:noWrap/>
            <w:vAlign w:val="bottom"/>
            <w:hideMark/>
          </w:tcPr>
          <w:p w14:paraId="799B04D4" w14:textId="77777777" w:rsidR="00EC492E" w:rsidRPr="00824D31" w:rsidRDefault="00EC492E" w:rsidP="00E80077">
            <w:pPr>
              <w:ind w:firstLine="0"/>
            </w:pPr>
            <w:r w:rsidRPr="00824D31">
              <w:t>Объекты производственного назначения без установления назначения</w:t>
            </w:r>
          </w:p>
        </w:tc>
        <w:tc>
          <w:tcPr>
            <w:tcW w:w="1417" w:type="dxa"/>
            <w:tcBorders>
              <w:top w:val="nil"/>
              <w:left w:val="nil"/>
              <w:bottom w:val="single" w:sz="4" w:space="0" w:color="auto"/>
              <w:right w:val="single" w:sz="4" w:space="0" w:color="auto"/>
            </w:tcBorders>
            <w:noWrap/>
            <w:vAlign w:val="bottom"/>
            <w:hideMark/>
          </w:tcPr>
          <w:p w14:paraId="4B1535D9" w14:textId="77777777" w:rsidR="00EC492E" w:rsidRPr="00824D31" w:rsidRDefault="00EC492E" w:rsidP="00E80077">
            <w:pPr>
              <w:ind w:firstLine="0"/>
            </w:pPr>
            <w:r w:rsidRPr="00824D31">
              <w:t>36</w:t>
            </w:r>
          </w:p>
        </w:tc>
        <w:tc>
          <w:tcPr>
            <w:tcW w:w="1076" w:type="dxa"/>
            <w:tcBorders>
              <w:top w:val="nil"/>
              <w:left w:val="nil"/>
              <w:bottom w:val="single" w:sz="4" w:space="0" w:color="auto"/>
              <w:right w:val="single" w:sz="4" w:space="0" w:color="auto"/>
            </w:tcBorders>
            <w:noWrap/>
            <w:vAlign w:val="bottom"/>
            <w:hideMark/>
          </w:tcPr>
          <w:p w14:paraId="07BF90FD" w14:textId="77777777" w:rsidR="00EC492E" w:rsidRPr="00824D31" w:rsidRDefault="00EC492E" w:rsidP="00E80077">
            <w:pPr>
              <w:ind w:firstLine="0"/>
            </w:pPr>
            <w:r w:rsidRPr="00824D31">
              <w:t>0,13%</w:t>
            </w:r>
          </w:p>
        </w:tc>
      </w:tr>
      <w:tr w:rsidR="00EC492E" w:rsidRPr="00824D31" w14:paraId="08EDF597" w14:textId="77777777" w:rsidTr="00077638">
        <w:trPr>
          <w:trHeight w:val="525"/>
        </w:trPr>
        <w:tc>
          <w:tcPr>
            <w:tcW w:w="1843" w:type="dxa"/>
            <w:vMerge/>
            <w:tcBorders>
              <w:top w:val="nil"/>
              <w:left w:val="single" w:sz="4" w:space="0" w:color="auto"/>
              <w:bottom w:val="single" w:sz="4" w:space="0" w:color="auto"/>
              <w:right w:val="single" w:sz="4" w:space="0" w:color="auto"/>
            </w:tcBorders>
            <w:vAlign w:val="center"/>
            <w:hideMark/>
          </w:tcPr>
          <w:p w14:paraId="7395D459" w14:textId="77777777" w:rsidR="00EC492E" w:rsidRPr="00824D31" w:rsidRDefault="00EC492E" w:rsidP="00E80077">
            <w:pPr>
              <w:ind w:firstLine="0"/>
            </w:pPr>
          </w:p>
        </w:tc>
        <w:tc>
          <w:tcPr>
            <w:tcW w:w="1691" w:type="dxa"/>
            <w:tcBorders>
              <w:top w:val="nil"/>
              <w:left w:val="nil"/>
              <w:bottom w:val="single" w:sz="4" w:space="0" w:color="auto"/>
              <w:right w:val="single" w:sz="4" w:space="0" w:color="auto"/>
            </w:tcBorders>
            <w:noWrap/>
            <w:vAlign w:val="bottom"/>
            <w:hideMark/>
          </w:tcPr>
          <w:p w14:paraId="56005237" w14:textId="77777777" w:rsidR="00EC492E" w:rsidRPr="00824D31" w:rsidRDefault="00EC492E" w:rsidP="00E80077">
            <w:pPr>
              <w:ind w:firstLine="0"/>
            </w:pPr>
            <w:r w:rsidRPr="00824D31">
              <w:t>701</w:t>
            </w:r>
          </w:p>
        </w:tc>
        <w:tc>
          <w:tcPr>
            <w:tcW w:w="3554" w:type="dxa"/>
            <w:tcBorders>
              <w:top w:val="nil"/>
              <w:left w:val="nil"/>
              <w:bottom w:val="single" w:sz="4" w:space="0" w:color="auto"/>
              <w:right w:val="single" w:sz="4" w:space="0" w:color="auto"/>
            </w:tcBorders>
            <w:vAlign w:val="center"/>
            <w:hideMark/>
          </w:tcPr>
          <w:p w14:paraId="655EF9CB" w14:textId="77777777" w:rsidR="00EC492E" w:rsidRPr="00824D31" w:rsidRDefault="00EC492E" w:rsidP="00E80077">
            <w:pPr>
              <w:ind w:firstLine="0"/>
            </w:pPr>
            <w:r w:rsidRPr="00824D31">
              <w:t>Производственные, производственно - складские и административно - производственные здания площадью до 100 кв. м</w:t>
            </w:r>
          </w:p>
        </w:tc>
        <w:tc>
          <w:tcPr>
            <w:tcW w:w="1417" w:type="dxa"/>
            <w:tcBorders>
              <w:top w:val="nil"/>
              <w:left w:val="nil"/>
              <w:bottom w:val="single" w:sz="4" w:space="0" w:color="auto"/>
              <w:right w:val="single" w:sz="4" w:space="0" w:color="auto"/>
            </w:tcBorders>
            <w:noWrap/>
            <w:vAlign w:val="bottom"/>
            <w:hideMark/>
          </w:tcPr>
          <w:p w14:paraId="07A1DD95" w14:textId="77777777" w:rsidR="00EC492E" w:rsidRPr="00824D31" w:rsidRDefault="00EC492E" w:rsidP="00E80077">
            <w:pPr>
              <w:ind w:firstLine="0"/>
            </w:pPr>
            <w:r w:rsidRPr="00824D31">
              <w:t>1890</w:t>
            </w:r>
          </w:p>
        </w:tc>
        <w:tc>
          <w:tcPr>
            <w:tcW w:w="1076" w:type="dxa"/>
            <w:tcBorders>
              <w:top w:val="nil"/>
              <w:left w:val="nil"/>
              <w:bottom w:val="single" w:sz="4" w:space="0" w:color="auto"/>
              <w:right w:val="single" w:sz="4" w:space="0" w:color="auto"/>
            </w:tcBorders>
            <w:noWrap/>
            <w:vAlign w:val="bottom"/>
            <w:hideMark/>
          </w:tcPr>
          <w:p w14:paraId="67BE41C4" w14:textId="77777777" w:rsidR="00EC492E" w:rsidRPr="00824D31" w:rsidRDefault="00EC492E" w:rsidP="00E80077">
            <w:pPr>
              <w:ind w:firstLine="0"/>
            </w:pPr>
            <w:r w:rsidRPr="00824D31">
              <w:t>6,69%</w:t>
            </w:r>
          </w:p>
        </w:tc>
      </w:tr>
      <w:tr w:rsidR="00EC492E" w:rsidRPr="00824D31" w14:paraId="29CCE059" w14:textId="77777777" w:rsidTr="00077638">
        <w:trPr>
          <w:trHeight w:val="270"/>
        </w:trPr>
        <w:tc>
          <w:tcPr>
            <w:tcW w:w="1843" w:type="dxa"/>
            <w:vMerge/>
            <w:tcBorders>
              <w:top w:val="nil"/>
              <w:left w:val="single" w:sz="4" w:space="0" w:color="auto"/>
              <w:bottom w:val="single" w:sz="4" w:space="0" w:color="auto"/>
              <w:right w:val="single" w:sz="4" w:space="0" w:color="auto"/>
            </w:tcBorders>
            <w:vAlign w:val="center"/>
            <w:hideMark/>
          </w:tcPr>
          <w:p w14:paraId="2BF35F39" w14:textId="77777777" w:rsidR="00EC492E" w:rsidRPr="00824D31" w:rsidRDefault="00EC492E" w:rsidP="00E80077">
            <w:pPr>
              <w:ind w:firstLine="0"/>
            </w:pPr>
          </w:p>
        </w:tc>
        <w:tc>
          <w:tcPr>
            <w:tcW w:w="1691" w:type="dxa"/>
            <w:tcBorders>
              <w:top w:val="nil"/>
              <w:left w:val="nil"/>
              <w:bottom w:val="single" w:sz="4" w:space="0" w:color="auto"/>
              <w:right w:val="single" w:sz="4" w:space="0" w:color="auto"/>
            </w:tcBorders>
            <w:noWrap/>
            <w:vAlign w:val="bottom"/>
            <w:hideMark/>
          </w:tcPr>
          <w:p w14:paraId="3298DE7B" w14:textId="77777777" w:rsidR="00EC492E" w:rsidRPr="00824D31" w:rsidRDefault="00EC492E" w:rsidP="00E80077">
            <w:pPr>
              <w:ind w:firstLine="0"/>
            </w:pPr>
            <w:r w:rsidRPr="00824D31">
              <w:t>702</w:t>
            </w:r>
          </w:p>
        </w:tc>
        <w:tc>
          <w:tcPr>
            <w:tcW w:w="3554" w:type="dxa"/>
            <w:tcBorders>
              <w:top w:val="nil"/>
              <w:left w:val="nil"/>
              <w:bottom w:val="single" w:sz="4" w:space="0" w:color="auto"/>
              <w:right w:val="single" w:sz="4" w:space="0" w:color="auto"/>
            </w:tcBorders>
            <w:vAlign w:val="center"/>
            <w:hideMark/>
          </w:tcPr>
          <w:p w14:paraId="2D9BE72E" w14:textId="77777777" w:rsidR="00EC492E" w:rsidRPr="00824D31" w:rsidRDefault="00EC492E" w:rsidP="00E80077">
            <w:pPr>
              <w:ind w:firstLine="0"/>
            </w:pPr>
            <w:r w:rsidRPr="00824D31">
              <w:t>Диспетчерские, аппаратные (кроме диспетчерских на транспорте)</w:t>
            </w:r>
          </w:p>
        </w:tc>
        <w:tc>
          <w:tcPr>
            <w:tcW w:w="1417" w:type="dxa"/>
            <w:tcBorders>
              <w:top w:val="nil"/>
              <w:left w:val="nil"/>
              <w:bottom w:val="single" w:sz="4" w:space="0" w:color="auto"/>
              <w:right w:val="single" w:sz="4" w:space="0" w:color="auto"/>
            </w:tcBorders>
            <w:noWrap/>
            <w:vAlign w:val="bottom"/>
            <w:hideMark/>
          </w:tcPr>
          <w:p w14:paraId="5100A906" w14:textId="77777777" w:rsidR="00EC492E" w:rsidRPr="00824D31" w:rsidRDefault="00EC492E" w:rsidP="00E80077">
            <w:pPr>
              <w:ind w:firstLine="0"/>
            </w:pPr>
            <w:r w:rsidRPr="00824D31">
              <w:t>485</w:t>
            </w:r>
          </w:p>
        </w:tc>
        <w:tc>
          <w:tcPr>
            <w:tcW w:w="1076" w:type="dxa"/>
            <w:tcBorders>
              <w:top w:val="nil"/>
              <w:left w:val="nil"/>
              <w:bottom w:val="single" w:sz="4" w:space="0" w:color="auto"/>
              <w:right w:val="single" w:sz="4" w:space="0" w:color="auto"/>
            </w:tcBorders>
            <w:noWrap/>
            <w:vAlign w:val="bottom"/>
            <w:hideMark/>
          </w:tcPr>
          <w:p w14:paraId="216138CD" w14:textId="77777777" w:rsidR="00EC492E" w:rsidRPr="00824D31" w:rsidRDefault="00EC492E" w:rsidP="00E80077">
            <w:pPr>
              <w:ind w:firstLine="0"/>
            </w:pPr>
            <w:r w:rsidRPr="00824D31">
              <w:t>1,72%</w:t>
            </w:r>
          </w:p>
        </w:tc>
      </w:tr>
      <w:tr w:rsidR="00EC492E" w:rsidRPr="00824D31" w14:paraId="48FF1584" w14:textId="77777777" w:rsidTr="00077638">
        <w:trPr>
          <w:trHeight w:val="270"/>
        </w:trPr>
        <w:tc>
          <w:tcPr>
            <w:tcW w:w="1843" w:type="dxa"/>
            <w:vMerge/>
            <w:tcBorders>
              <w:top w:val="nil"/>
              <w:left w:val="single" w:sz="4" w:space="0" w:color="auto"/>
              <w:bottom w:val="single" w:sz="4" w:space="0" w:color="auto"/>
              <w:right w:val="single" w:sz="4" w:space="0" w:color="auto"/>
            </w:tcBorders>
            <w:vAlign w:val="center"/>
            <w:hideMark/>
          </w:tcPr>
          <w:p w14:paraId="33C781F0" w14:textId="77777777" w:rsidR="00EC492E" w:rsidRPr="00824D31" w:rsidRDefault="00EC492E" w:rsidP="00E80077">
            <w:pPr>
              <w:ind w:firstLine="0"/>
            </w:pPr>
          </w:p>
        </w:tc>
        <w:tc>
          <w:tcPr>
            <w:tcW w:w="1691" w:type="dxa"/>
            <w:tcBorders>
              <w:top w:val="nil"/>
              <w:left w:val="nil"/>
              <w:bottom w:val="single" w:sz="4" w:space="0" w:color="auto"/>
              <w:right w:val="single" w:sz="4" w:space="0" w:color="auto"/>
            </w:tcBorders>
            <w:noWrap/>
            <w:vAlign w:val="bottom"/>
            <w:hideMark/>
          </w:tcPr>
          <w:p w14:paraId="07D0923B" w14:textId="77777777" w:rsidR="00EC492E" w:rsidRPr="00824D31" w:rsidRDefault="00EC492E" w:rsidP="00E80077">
            <w:pPr>
              <w:ind w:firstLine="0"/>
            </w:pPr>
            <w:r w:rsidRPr="00824D31">
              <w:t>703</w:t>
            </w:r>
          </w:p>
        </w:tc>
        <w:tc>
          <w:tcPr>
            <w:tcW w:w="3554" w:type="dxa"/>
            <w:tcBorders>
              <w:top w:val="nil"/>
              <w:left w:val="nil"/>
              <w:bottom w:val="single" w:sz="4" w:space="0" w:color="auto"/>
              <w:right w:val="single" w:sz="4" w:space="0" w:color="auto"/>
            </w:tcBorders>
            <w:vAlign w:val="center"/>
            <w:hideMark/>
          </w:tcPr>
          <w:p w14:paraId="6786A431" w14:textId="77777777" w:rsidR="00EC492E" w:rsidRPr="00824D31" w:rsidRDefault="00EC492E" w:rsidP="00E80077">
            <w:pPr>
              <w:ind w:firstLine="0"/>
            </w:pPr>
            <w:r w:rsidRPr="00824D31">
              <w:t>Контрольно - пропускные пункты, проходные менее 100 кв. м</w:t>
            </w:r>
          </w:p>
        </w:tc>
        <w:tc>
          <w:tcPr>
            <w:tcW w:w="1417" w:type="dxa"/>
            <w:tcBorders>
              <w:top w:val="nil"/>
              <w:left w:val="nil"/>
              <w:bottom w:val="single" w:sz="4" w:space="0" w:color="auto"/>
              <w:right w:val="single" w:sz="4" w:space="0" w:color="auto"/>
            </w:tcBorders>
            <w:noWrap/>
            <w:vAlign w:val="bottom"/>
            <w:hideMark/>
          </w:tcPr>
          <w:p w14:paraId="3355E5EF" w14:textId="77777777" w:rsidR="00EC492E" w:rsidRPr="00824D31" w:rsidRDefault="00EC492E" w:rsidP="00E80077">
            <w:pPr>
              <w:ind w:firstLine="0"/>
            </w:pPr>
            <w:r w:rsidRPr="00824D31">
              <w:t>1238</w:t>
            </w:r>
          </w:p>
        </w:tc>
        <w:tc>
          <w:tcPr>
            <w:tcW w:w="1076" w:type="dxa"/>
            <w:tcBorders>
              <w:top w:val="nil"/>
              <w:left w:val="nil"/>
              <w:bottom w:val="single" w:sz="4" w:space="0" w:color="auto"/>
              <w:right w:val="single" w:sz="4" w:space="0" w:color="auto"/>
            </w:tcBorders>
            <w:noWrap/>
            <w:vAlign w:val="bottom"/>
            <w:hideMark/>
          </w:tcPr>
          <w:p w14:paraId="0162DE84" w14:textId="77777777" w:rsidR="00EC492E" w:rsidRPr="00824D31" w:rsidRDefault="00EC492E" w:rsidP="00E80077">
            <w:pPr>
              <w:ind w:firstLine="0"/>
            </w:pPr>
            <w:r w:rsidRPr="00824D31">
              <w:t>4,38%</w:t>
            </w:r>
          </w:p>
        </w:tc>
      </w:tr>
      <w:tr w:rsidR="00EC492E" w:rsidRPr="00824D31" w14:paraId="25965B17" w14:textId="77777777" w:rsidTr="00077638">
        <w:trPr>
          <w:trHeight w:val="525"/>
        </w:trPr>
        <w:tc>
          <w:tcPr>
            <w:tcW w:w="1843" w:type="dxa"/>
            <w:vMerge/>
            <w:tcBorders>
              <w:top w:val="nil"/>
              <w:left w:val="single" w:sz="4" w:space="0" w:color="auto"/>
              <w:bottom w:val="single" w:sz="4" w:space="0" w:color="auto"/>
              <w:right w:val="single" w:sz="4" w:space="0" w:color="auto"/>
            </w:tcBorders>
            <w:vAlign w:val="center"/>
            <w:hideMark/>
          </w:tcPr>
          <w:p w14:paraId="7CE93F32" w14:textId="77777777" w:rsidR="00EC492E" w:rsidRPr="00824D31" w:rsidRDefault="00EC492E" w:rsidP="00E80077">
            <w:pPr>
              <w:ind w:firstLine="0"/>
            </w:pPr>
          </w:p>
        </w:tc>
        <w:tc>
          <w:tcPr>
            <w:tcW w:w="1691" w:type="dxa"/>
            <w:tcBorders>
              <w:top w:val="nil"/>
              <w:left w:val="nil"/>
              <w:bottom w:val="single" w:sz="4" w:space="0" w:color="auto"/>
              <w:right w:val="single" w:sz="4" w:space="0" w:color="auto"/>
            </w:tcBorders>
            <w:noWrap/>
            <w:vAlign w:val="bottom"/>
            <w:hideMark/>
          </w:tcPr>
          <w:p w14:paraId="1B2A4918" w14:textId="77777777" w:rsidR="00EC492E" w:rsidRPr="00824D31" w:rsidRDefault="00EC492E" w:rsidP="00E80077">
            <w:pPr>
              <w:ind w:firstLine="0"/>
            </w:pPr>
            <w:r w:rsidRPr="00824D31">
              <w:t>704</w:t>
            </w:r>
          </w:p>
        </w:tc>
        <w:tc>
          <w:tcPr>
            <w:tcW w:w="3554" w:type="dxa"/>
            <w:tcBorders>
              <w:top w:val="nil"/>
              <w:left w:val="nil"/>
              <w:bottom w:val="single" w:sz="4" w:space="0" w:color="auto"/>
              <w:right w:val="single" w:sz="4" w:space="0" w:color="auto"/>
            </w:tcBorders>
            <w:vAlign w:val="center"/>
            <w:hideMark/>
          </w:tcPr>
          <w:p w14:paraId="4042CECC" w14:textId="77777777" w:rsidR="00EC492E" w:rsidRPr="00824D31" w:rsidRDefault="00EC492E" w:rsidP="00E80077">
            <w:pPr>
              <w:ind w:firstLine="0"/>
            </w:pPr>
            <w:r w:rsidRPr="00824D31">
              <w:t>Производственные, производственно - складские и производственно - административные здания площадью 100 и более кв. м</w:t>
            </w:r>
          </w:p>
        </w:tc>
        <w:tc>
          <w:tcPr>
            <w:tcW w:w="1417" w:type="dxa"/>
            <w:tcBorders>
              <w:top w:val="nil"/>
              <w:left w:val="nil"/>
              <w:bottom w:val="single" w:sz="4" w:space="0" w:color="auto"/>
              <w:right w:val="single" w:sz="4" w:space="0" w:color="auto"/>
            </w:tcBorders>
            <w:noWrap/>
            <w:vAlign w:val="bottom"/>
            <w:hideMark/>
          </w:tcPr>
          <w:p w14:paraId="5E0440F9" w14:textId="77777777" w:rsidR="00EC492E" w:rsidRPr="00824D31" w:rsidRDefault="00EC492E" w:rsidP="00E80077">
            <w:pPr>
              <w:ind w:firstLine="0"/>
            </w:pPr>
            <w:r w:rsidRPr="00824D31">
              <w:t>4316</w:t>
            </w:r>
          </w:p>
        </w:tc>
        <w:tc>
          <w:tcPr>
            <w:tcW w:w="1076" w:type="dxa"/>
            <w:tcBorders>
              <w:top w:val="nil"/>
              <w:left w:val="nil"/>
              <w:bottom w:val="single" w:sz="4" w:space="0" w:color="auto"/>
              <w:right w:val="single" w:sz="4" w:space="0" w:color="auto"/>
            </w:tcBorders>
            <w:noWrap/>
            <w:vAlign w:val="bottom"/>
            <w:hideMark/>
          </w:tcPr>
          <w:p w14:paraId="643D7AA1" w14:textId="77777777" w:rsidR="00EC492E" w:rsidRPr="00824D31" w:rsidRDefault="00EC492E" w:rsidP="00E80077">
            <w:pPr>
              <w:ind w:firstLine="0"/>
            </w:pPr>
            <w:r w:rsidRPr="00824D31">
              <w:t>15,27%</w:t>
            </w:r>
          </w:p>
        </w:tc>
      </w:tr>
      <w:tr w:rsidR="00EC492E" w:rsidRPr="00824D31" w14:paraId="44209AF4" w14:textId="77777777" w:rsidTr="00077638">
        <w:trPr>
          <w:trHeight w:val="525"/>
        </w:trPr>
        <w:tc>
          <w:tcPr>
            <w:tcW w:w="1843" w:type="dxa"/>
            <w:vMerge/>
            <w:tcBorders>
              <w:top w:val="nil"/>
              <w:left w:val="single" w:sz="4" w:space="0" w:color="auto"/>
              <w:bottom w:val="single" w:sz="4" w:space="0" w:color="auto"/>
              <w:right w:val="single" w:sz="4" w:space="0" w:color="auto"/>
            </w:tcBorders>
            <w:vAlign w:val="center"/>
            <w:hideMark/>
          </w:tcPr>
          <w:p w14:paraId="14314AB7" w14:textId="77777777" w:rsidR="00EC492E" w:rsidRPr="00824D31" w:rsidRDefault="00EC492E" w:rsidP="00E80077">
            <w:pPr>
              <w:ind w:firstLine="0"/>
            </w:pPr>
          </w:p>
        </w:tc>
        <w:tc>
          <w:tcPr>
            <w:tcW w:w="1691" w:type="dxa"/>
            <w:tcBorders>
              <w:top w:val="nil"/>
              <w:left w:val="nil"/>
              <w:bottom w:val="single" w:sz="4" w:space="0" w:color="auto"/>
              <w:right w:val="single" w:sz="4" w:space="0" w:color="auto"/>
            </w:tcBorders>
            <w:noWrap/>
            <w:vAlign w:val="bottom"/>
            <w:hideMark/>
          </w:tcPr>
          <w:p w14:paraId="420BFB4A" w14:textId="77777777" w:rsidR="00EC492E" w:rsidRPr="00824D31" w:rsidRDefault="00EC492E" w:rsidP="00E80077">
            <w:pPr>
              <w:ind w:firstLine="0"/>
            </w:pPr>
            <w:r w:rsidRPr="00824D31">
              <w:t>705</w:t>
            </w:r>
          </w:p>
        </w:tc>
        <w:tc>
          <w:tcPr>
            <w:tcW w:w="3554" w:type="dxa"/>
            <w:tcBorders>
              <w:top w:val="nil"/>
              <w:left w:val="nil"/>
              <w:bottom w:val="single" w:sz="4" w:space="0" w:color="auto"/>
              <w:right w:val="single" w:sz="4" w:space="0" w:color="auto"/>
            </w:tcBorders>
            <w:vAlign w:val="center"/>
            <w:hideMark/>
          </w:tcPr>
          <w:p w14:paraId="60B4112F" w14:textId="77777777" w:rsidR="00EC492E" w:rsidRPr="00824D31" w:rsidRDefault="00EC492E" w:rsidP="00E80077">
            <w:pPr>
              <w:ind w:firstLine="0"/>
            </w:pPr>
            <w:r w:rsidRPr="00824D31">
              <w:t>Объекты сельскохозяйственного производства. Животноводческие комплексы, птичники, тепличные и оранжерейные хозяйства</w:t>
            </w:r>
          </w:p>
        </w:tc>
        <w:tc>
          <w:tcPr>
            <w:tcW w:w="1417" w:type="dxa"/>
            <w:tcBorders>
              <w:top w:val="nil"/>
              <w:left w:val="nil"/>
              <w:bottom w:val="single" w:sz="4" w:space="0" w:color="auto"/>
              <w:right w:val="single" w:sz="4" w:space="0" w:color="auto"/>
            </w:tcBorders>
            <w:noWrap/>
            <w:vAlign w:val="bottom"/>
            <w:hideMark/>
          </w:tcPr>
          <w:p w14:paraId="770426F7" w14:textId="77777777" w:rsidR="00EC492E" w:rsidRPr="00824D31" w:rsidRDefault="00EC492E" w:rsidP="00E80077">
            <w:pPr>
              <w:ind w:firstLine="0"/>
            </w:pPr>
            <w:r w:rsidRPr="00824D31">
              <w:t>1575</w:t>
            </w:r>
          </w:p>
        </w:tc>
        <w:tc>
          <w:tcPr>
            <w:tcW w:w="1076" w:type="dxa"/>
            <w:tcBorders>
              <w:top w:val="nil"/>
              <w:left w:val="nil"/>
              <w:bottom w:val="single" w:sz="4" w:space="0" w:color="auto"/>
              <w:right w:val="single" w:sz="4" w:space="0" w:color="auto"/>
            </w:tcBorders>
            <w:noWrap/>
            <w:vAlign w:val="bottom"/>
            <w:hideMark/>
          </w:tcPr>
          <w:p w14:paraId="7557CB56" w14:textId="77777777" w:rsidR="00EC492E" w:rsidRPr="00824D31" w:rsidRDefault="00EC492E" w:rsidP="00E80077">
            <w:pPr>
              <w:ind w:firstLine="0"/>
            </w:pPr>
            <w:r w:rsidRPr="00824D31">
              <w:t>5,57%</w:t>
            </w:r>
          </w:p>
        </w:tc>
      </w:tr>
      <w:tr w:rsidR="00EC492E" w:rsidRPr="00824D31" w14:paraId="4884B8D7" w14:textId="77777777" w:rsidTr="00077638">
        <w:trPr>
          <w:trHeight w:val="270"/>
        </w:trPr>
        <w:tc>
          <w:tcPr>
            <w:tcW w:w="1843" w:type="dxa"/>
            <w:vMerge/>
            <w:tcBorders>
              <w:top w:val="nil"/>
              <w:left w:val="single" w:sz="4" w:space="0" w:color="auto"/>
              <w:bottom w:val="single" w:sz="4" w:space="0" w:color="auto"/>
              <w:right w:val="single" w:sz="4" w:space="0" w:color="auto"/>
            </w:tcBorders>
            <w:vAlign w:val="center"/>
            <w:hideMark/>
          </w:tcPr>
          <w:p w14:paraId="31E54E18" w14:textId="77777777" w:rsidR="00EC492E" w:rsidRPr="00824D31" w:rsidRDefault="00EC492E" w:rsidP="00E80077">
            <w:pPr>
              <w:ind w:firstLine="0"/>
            </w:pPr>
          </w:p>
        </w:tc>
        <w:tc>
          <w:tcPr>
            <w:tcW w:w="1691" w:type="dxa"/>
            <w:tcBorders>
              <w:top w:val="nil"/>
              <w:left w:val="nil"/>
              <w:bottom w:val="single" w:sz="4" w:space="0" w:color="auto"/>
              <w:right w:val="single" w:sz="4" w:space="0" w:color="auto"/>
            </w:tcBorders>
            <w:noWrap/>
            <w:vAlign w:val="bottom"/>
            <w:hideMark/>
          </w:tcPr>
          <w:p w14:paraId="44F1C530" w14:textId="77777777" w:rsidR="00EC492E" w:rsidRPr="00824D31" w:rsidRDefault="00EC492E" w:rsidP="00E80077">
            <w:pPr>
              <w:ind w:firstLine="0"/>
            </w:pPr>
            <w:r w:rsidRPr="00824D31">
              <w:t>706</w:t>
            </w:r>
          </w:p>
        </w:tc>
        <w:tc>
          <w:tcPr>
            <w:tcW w:w="3554" w:type="dxa"/>
            <w:tcBorders>
              <w:top w:val="nil"/>
              <w:left w:val="nil"/>
              <w:bottom w:val="single" w:sz="4" w:space="0" w:color="auto"/>
              <w:right w:val="single" w:sz="4" w:space="0" w:color="auto"/>
            </w:tcBorders>
            <w:vAlign w:val="center"/>
            <w:hideMark/>
          </w:tcPr>
          <w:p w14:paraId="0A268D72" w14:textId="77777777" w:rsidR="00EC492E" w:rsidRPr="00824D31" w:rsidRDefault="00EC492E" w:rsidP="00E80077">
            <w:pPr>
              <w:ind w:firstLine="0"/>
            </w:pPr>
            <w:r w:rsidRPr="00824D31">
              <w:t>Трансформаторные подстанции</w:t>
            </w:r>
          </w:p>
        </w:tc>
        <w:tc>
          <w:tcPr>
            <w:tcW w:w="1417" w:type="dxa"/>
            <w:tcBorders>
              <w:top w:val="nil"/>
              <w:left w:val="nil"/>
              <w:bottom w:val="single" w:sz="4" w:space="0" w:color="auto"/>
              <w:right w:val="single" w:sz="4" w:space="0" w:color="auto"/>
            </w:tcBorders>
            <w:noWrap/>
            <w:vAlign w:val="bottom"/>
            <w:hideMark/>
          </w:tcPr>
          <w:p w14:paraId="040CFB13" w14:textId="77777777" w:rsidR="00EC492E" w:rsidRPr="00824D31" w:rsidRDefault="00EC492E" w:rsidP="00E80077">
            <w:pPr>
              <w:ind w:firstLine="0"/>
            </w:pPr>
            <w:r w:rsidRPr="00824D31">
              <w:t>3226</w:t>
            </w:r>
          </w:p>
        </w:tc>
        <w:tc>
          <w:tcPr>
            <w:tcW w:w="1076" w:type="dxa"/>
            <w:tcBorders>
              <w:top w:val="nil"/>
              <w:left w:val="nil"/>
              <w:bottom w:val="single" w:sz="4" w:space="0" w:color="auto"/>
              <w:right w:val="single" w:sz="4" w:space="0" w:color="auto"/>
            </w:tcBorders>
            <w:noWrap/>
            <w:vAlign w:val="bottom"/>
            <w:hideMark/>
          </w:tcPr>
          <w:p w14:paraId="0108C546" w14:textId="77777777" w:rsidR="00EC492E" w:rsidRPr="00824D31" w:rsidRDefault="00EC492E" w:rsidP="00E80077">
            <w:pPr>
              <w:ind w:firstLine="0"/>
            </w:pPr>
            <w:r w:rsidRPr="00824D31">
              <w:t>11,41%</w:t>
            </w:r>
          </w:p>
        </w:tc>
      </w:tr>
      <w:tr w:rsidR="00EC492E" w:rsidRPr="00824D31" w14:paraId="05305CD3" w14:textId="77777777" w:rsidTr="00077638">
        <w:trPr>
          <w:trHeight w:val="270"/>
        </w:trPr>
        <w:tc>
          <w:tcPr>
            <w:tcW w:w="1843" w:type="dxa"/>
            <w:vMerge/>
            <w:tcBorders>
              <w:top w:val="nil"/>
              <w:left w:val="single" w:sz="4" w:space="0" w:color="auto"/>
              <w:bottom w:val="single" w:sz="4" w:space="0" w:color="auto"/>
              <w:right w:val="single" w:sz="4" w:space="0" w:color="auto"/>
            </w:tcBorders>
            <w:vAlign w:val="center"/>
            <w:hideMark/>
          </w:tcPr>
          <w:p w14:paraId="26B3E29B" w14:textId="77777777" w:rsidR="00EC492E" w:rsidRPr="00824D31" w:rsidRDefault="00EC492E" w:rsidP="00E80077">
            <w:pPr>
              <w:ind w:firstLine="0"/>
            </w:pPr>
          </w:p>
        </w:tc>
        <w:tc>
          <w:tcPr>
            <w:tcW w:w="1691" w:type="dxa"/>
            <w:tcBorders>
              <w:top w:val="nil"/>
              <w:left w:val="nil"/>
              <w:bottom w:val="single" w:sz="4" w:space="0" w:color="auto"/>
              <w:right w:val="single" w:sz="4" w:space="0" w:color="auto"/>
            </w:tcBorders>
            <w:noWrap/>
            <w:vAlign w:val="bottom"/>
            <w:hideMark/>
          </w:tcPr>
          <w:p w14:paraId="5E0912B9" w14:textId="77777777" w:rsidR="00EC492E" w:rsidRPr="00824D31" w:rsidRDefault="00EC492E" w:rsidP="00E80077">
            <w:pPr>
              <w:ind w:firstLine="0"/>
            </w:pPr>
            <w:r w:rsidRPr="00824D31">
              <w:t>707</w:t>
            </w:r>
          </w:p>
        </w:tc>
        <w:tc>
          <w:tcPr>
            <w:tcW w:w="3554" w:type="dxa"/>
            <w:tcBorders>
              <w:top w:val="nil"/>
              <w:left w:val="nil"/>
              <w:bottom w:val="single" w:sz="4" w:space="0" w:color="auto"/>
              <w:right w:val="single" w:sz="4" w:space="0" w:color="auto"/>
            </w:tcBorders>
            <w:vAlign w:val="center"/>
            <w:hideMark/>
          </w:tcPr>
          <w:p w14:paraId="1D2028D0" w14:textId="77777777" w:rsidR="00EC492E" w:rsidRPr="00824D31" w:rsidRDefault="00EC492E" w:rsidP="00E80077">
            <w:pPr>
              <w:ind w:firstLine="0"/>
            </w:pPr>
            <w:r w:rsidRPr="00824D31">
              <w:t>Электроподстанции</w:t>
            </w:r>
          </w:p>
        </w:tc>
        <w:tc>
          <w:tcPr>
            <w:tcW w:w="1417" w:type="dxa"/>
            <w:tcBorders>
              <w:top w:val="nil"/>
              <w:left w:val="nil"/>
              <w:bottom w:val="single" w:sz="4" w:space="0" w:color="auto"/>
              <w:right w:val="single" w:sz="4" w:space="0" w:color="auto"/>
            </w:tcBorders>
            <w:noWrap/>
            <w:vAlign w:val="bottom"/>
            <w:hideMark/>
          </w:tcPr>
          <w:p w14:paraId="75CA72B9" w14:textId="77777777" w:rsidR="00EC492E" w:rsidRPr="00824D31" w:rsidRDefault="00EC492E" w:rsidP="00E80077">
            <w:pPr>
              <w:ind w:firstLine="0"/>
            </w:pPr>
            <w:r w:rsidRPr="00824D31">
              <w:t>363</w:t>
            </w:r>
          </w:p>
        </w:tc>
        <w:tc>
          <w:tcPr>
            <w:tcW w:w="1076" w:type="dxa"/>
            <w:tcBorders>
              <w:top w:val="nil"/>
              <w:left w:val="nil"/>
              <w:bottom w:val="single" w:sz="4" w:space="0" w:color="auto"/>
              <w:right w:val="single" w:sz="4" w:space="0" w:color="auto"/>
            </w:tcBorders>
            <w:noWrap/>
            <w:vAlign w:val="bottom"/>
            <w:hideMark/>
          </w:tcPr>
          <w:p w14:paraId="72A02821" w14:textId="77777777" w:rsidR="00EC492E" w:rsidRPr="00824D31" w:rsidRDefault="00EC492E" w:rsidP="00E80077">
            <w:pPr>
              <w:ind w:firstLine="0"/>
            </w:pPr>
            <w:r w:rsidRPr="00824D31">
              <w:t>1,28%</w:t>
            </w:r>
          </w:p>
        </w:tc>
      </w:tr>
      <w:tr w:rsidR="00EC492E" w:rsidRPr="00824D31" w14:paraId="57323748" w14:textId="77777777" w:rsidTr="00077638">
        <w:trPr>
          <w:trHeight w:val="270"/>
        </w:trPr>
        <w:tc>
          <w:tcPr>
            <w:tcW w:w="1843" w:type="dxa"/>
            <w:vMerge/>
            <w:tcBorders>
              <w:top w:val="nil"/>
              <w:left w:val="single" w:sz="4" w:space="0" w:color="auto"/>
              <w:bottom w:val="single" w:sz="4" w:space="0" w:color="auto"/>
              <w:right w:val="single" w:sz="4" w:space="0" w:color="auto"/>
            </w:tcBorders>
            <w:vAlign w:val="center"/>
            <w:hideMark/>
          </w:tcPr>
          <w:p w14:paraId="2B65AE3F" w14:textId="77777777" w:rsidR="00EC492E" w:rsidRPr="00824D31" w:rsidRDefault="00EC492E" w:rsidP="00E80077">
            <w:pPr>
              <w:ind w:firstLine="0"/>
            </w:pPr>
          </w:p>
        </w:tc>
        <w:tc>
          <w:tcPr>
            <w:tcW w:w="1691" w:type="dxa"/>
            <w:tcBorders>
              <w:top w:val="nil"/>
              <w:left w:val="nil"/>
              <w:bottom w:val="single" w:sz="4" w:space="0" w:color="auto"/>
              <w:right w:val="single" w:sz="4" w:space="0" w:color="auto"/>
            </w:tcBorders>
            <w:noWrap/>
            <w:vAlign w:val="bottom"/>
            <w:hideMark/>
          </w:tcPr>
          <w:p w14:paraId="76DA6513" w14:textId="77777777" w:rsidR="00EC492E" w:rsidRPr="00824D31" w:rsidRDefault="00EC492E" w:rsidP="00E80077">
            <w:pPr>
              <w:ind w:firstLine="0"/>
            </w:pPr>
            <w:r w:rsidRPr="00824D31">
              <w:t>708</w:t>
            </w:r>
          </w:p>
        </w:tc>
        <w:tc>
          <w:tcPr>
            <w:tcW w:w="3554" w:type="dxa"/>
            <w:tcBorders>
              <w:top w:val="nil"/>
              <w:left w:val="nil"/>
              <w:bottom w:val="single" w:sz="4" w:space="0" w:color="auto"/>
              <w:right w:val="single" w:sz="4" w:space="0" w:color="auto"/>
            </w:tcBorders>
            <w:vAlign w:val="center"/>
            <w:hideMark/>
          </w:tcPr>
          <w:p w14:paraId="336480F7" w14:textId="77777777" w:rsidR="00EC492E" w:rsidRPr="00824D31" w:rsidRDefault="00EC492E" w:rsidP="00E80077">
            <w:pPr>
              <w:ind w:firstLine="0"/>
            </w:pPr>
            <w:r w:rsidRPr="00824D31">
              <w:t>Энергоблоки</w:t>
            </w:r>
          </w:p>
        </w:tc>
        <w:tc>
          <w:tcPr>
            <w:tcW w:w="1417" w:type="dxa"/>
            <w:tcBorders>
              <w:top w:val="nil"/>
              <w:left w:val="nil"/>
              <w:bottom w:val="single" w:sz="4" w:space="0" w:color="auto"/>
              <w:right w:val="single" w:sz="4" w:space="0" w:color="auto"/>
            </w:tcBorders>
            <w:noWrap/>
            <w:vAlign w:val="bottom"/>
            <w:hideMark/>
          </w:tcPr>
          <w:p w14:paraId="31B44F56" w14:textId="77777777" w:rsidR="00EC492E" w:rsidRPr="00824D31" w:rsidRDefault="00EC492E" w:rsidP="00E80077">
            <w:pPr>
              <w:ind w:firstLine="0"/>
            </w:pPr>
            <w:r w:rsidRPr="00824D31">
              <w:t>523</w:t>
            </w:r>
          </w:p>
        </w:tc>
        <w:tc>
          <w:tcPr>
            <w:tcW w:w="1076" w:type="dxa"/>
            <w:tcBorders>
              <w:top w:val="nil"/>
              <w:left w:val="nil"/>
              <w:bottom w:val="single" w:sz="4" w:space="0" w:color="auto"/>
              <w:right w:val="single" w:sz="4" w:space="0" w:color="auto"/>
            </w:tcBorders>
            <w:noWrap/>
            <w:vAlign w:val="bottom"/>
            <w:hideMark/>
          </w:tcPr>
          <w:p w14:paraId="6D545448" w14:textId="77777777" w:rsidR="00EC492E" w:rsidRPr="00824D31" w:rsidRDefault="00EC492E" w:rsidP="00E80077">
            <w:pPr>
              <w:ind w:firstLine="0"/>
            </w:pPr>
            <w:r w:rsidRPr="00824D31">
              <w:t>1,85%</w:t>
            </w:r>
          </w:p>
        </w:tc>
      </w:tr>
      <w:tr w:rsidR="00EC492E" w:rsidRPr="00824D31" w14:paraId="48A28290" w14:textId="77777777" w:rsidTr="00077638">
        <w:trPr>
          <w:trHeight w:val="270"/>
        </w:trPr>
        <w:tc>
          <w:tcPr>
            <w:tcW w:w="1843" w:type="dxa"/>
            <w:vMerge/>
            <w:tcBorders>
              <w:top w:val="nil"/>
              <w:left w:val="single" w:sz="4" w:space="0" w:color="auto"/>
              <w:bottom w:val="single" w:sz="4" w:space="0" w:color="auto"/>
              <w:right w:val="single" w:sz="4" w:space="0" w:color="auto"/>
            </w:tcBorders>
            <w:vAlign w:val="center"/>
            <w:hideMark/>
          </w:tcPr>
          <w:p w14:paraId="3C7F9900" w14:textId="77777777" w:rsidR="00EC492E" w:rsidRPr="00824D31" w:rsidRDefault="00EC492E" w:rsidP="00E80077">
            <w:pPr>
              <w:ind w:firstLine="0"/>
            </w:pPr>
          </w:p>
        </w:tc>
        <w:tc>
          <w:tcPr>
            <w:tcW w:w="1691" w:type="dxa"/>
            <w:tcBorders>
              <w:top w:val="nil"/>
              <w:left w:val="nil"/>
              <w:bottom w:val="single" w:sz="4" w:space="0" w:color="auto"/>
              <w:right w:val="single" w:sz="4" w:space="0" w:color="auto"/>
            </w:tcBorders>
            <w:noWrap/>
            <w:vAlign w:val="bottom"/>
            <w:hideMark/>
          </w:tcPr>
          <w:p w14:paraId="061D78A9" w14:textId="77777777" w:rsidR="00EC492E" w:rsidRPr="00824D31" w:rsidRDefault="00EC492E" w:rsidP="00E80077">
            <w:pPr>
              <w:ind w:firstLine="0"/>
            </w:pPr>
            <w:r w:rsidRPr="00824D31">
              <w:t>709</w:t>
            </w:r>
          </w:p>
        </w:tc>
        <w:tc>
          <w:tcPr>
            <w:tcW w:w="3554" w:type="dxa"/>
            <w:tcBorders>
              <w:top w:val="nil"/>
              <w:left w:val="nil"/>
              <w:bottom w:val="single" w:sz="4" w:space="0" w:color="auto"/>
              <w:right w:val="single" w:sz="4" w:space="0" w:color="auto"/>
            </w:tcBorders>
            <w:vAlign w:val="center"/>
            <w:hideMark/>
          </w:tcPr>
          <w:p w14:paraId="33AA8ED6" w14:textId="77777777" w:rsidR="00EC492E" w:rsidRPr="00824D31" w:rsidRDefault="00EC492E" w:rsidP="00E80077">
            <w:pPr>
              <w:ind w:firstLine="0"/>
            </w:pPr>
            <w:r w:rsidRPr="00824D31">
              <w:t>Центральная тепловая станция (ЦТП), теплоэлектроцентраль (ТЭЦ)</w:t>
            </w:r>
          </w:p>
        </w:tc>
        <w:tc>
          <w:tcPr>
            <w:tcW w:w="1417" w:type="dxa"/>
            <w:tcBorders>
              <w:top w:val="nil"/>
              <w:left w:val="nil"/>
              <w:bottom w:val="single" w:sz="4" w:space="0" w:color="auto"/>
              <w:right w:val="single" w:sz="4" w:space="0" w:color="auto"/>
            </w:tcBorders>
            <w:noWrap/>
            <w:vAlign w:val="bottom"/>
            <w:hideMark/>
          </w:tcPr>
          <w:p w14:paraId="31367E5C" w14:textId="77777777" w:rsidR="00EC492E" w:rsidRPr="00824D31" w:rsidRDefault="00EC492E" w:rsidP="00E80077">
            <w:pPr>
              <w:ind w:firstLine="0"/>
            </w:pPr>
            <w:r w:rsidRPr="00824D31">
              <w:t>18</w:t>
            </w:r>
          </w:p>
        </w:tc>
        <w:tc>
          <w:tcPr>
            <w:tcW w:w="1076" w:type="dxa"/>
            <w:tcBorders>
              <w:top w:val="nil"/>
              <w:left w:val="nil"/>
              <w:bottom w:val="single" w:sz="4" w:space="0" w:color="auto"/>
              <w:right w:val="single" w:sz="4" w:space="0" w:color="auto"/>
            </w:tcBorders>
            <w:noWrap/>
            <w:vAlign w:val="bottom"/>
            <w:hideMark/>
          </w:tcPr>
          <w:p w14:paraId="129A685D" w14:textId="77777777" w:rsidR="00EC492E" w:rsidRPr="00824D31" w:rsidRDefault="00EC492E" w:rsidP="00E80077">
            <w:pPr>
              <w:ind w:firstLine="0"/>
            </w:pPr>
            <w:r w:rsidRPr="00824D31">
              <w:t>0,06%</w:t>
            </w:r>
          </w:p>
        </w:tc>
      </w:tr>
      <w:tr w:rsidR="00EC492E" w:rsidRPr="00824D31" w14:paraId="5EDA61D3" w14:textId="77777777" w:rsidTr="00077638">
        <w:trPr>
          <w:trHeight w:val="270"/>
        </w:trPr>
        <w:tc>
          <w:tcPr>
            <w:tcW w:w="1843" w:type="dxa"/>
            <w:vMerge/>
            <w:tcBorders>
              <w:top w:val="nil"/>
              <w:left w:val="single" w:sz="4" w:space="0" w:color="auto"/>
              <w:bottom w:val="single" w:sz="4" w:space="0" w:color="auto"/>
              <w:right w:val="single" w:sz="4" w:space="0" w:color="auto"/>
            </w:tcBorders>
            <w:vAlign w:val="center"/>
            <w:hideMark/>
          </w:tcPr>
          <w:p w14:paraId="1D77B2CB" w14:textId="77777777" w:rsidR="00EC492E" w:rsidRPr="00824D31" w:rsidRDefault="00EC492E" w:rsidP="00E80077">
            <w:pPr>
              <w:ind w:firstLine="0"/>
            </w:pPr>
          </w:p>
        </w:tc>
        <w:tc>
          <w:tcPr>
            <w:tcW w:w="1691" w:type="dxa"/>
            <w:tcBorders>
              <w:top w:val="nil"/>
              <w:left w:val="nil"/>
              <w:bottom w:val="single" w:sz="4" w:space="0" w:color="auto"/>
              <w:right w:val="single" w:sz="4" w:space="0" w:color="auto"/>
            </w:tcBorders>
            <w:noWrap/>
            <w:vAlign w:val="bottom"/>
            <w:hideMark/>
          </w:tcPr>
          <w:p w14:paraId="1412DF7B" w14:textId="77777777" w:rsidR="00EC492E" w:rsidRPr="00824D31" w:rsidRDefault="00EC492E" w:rsidP="00E80077">
            <w:pPr>
              <w:ind w:firstLine="0"/>
            </w:pPr>
            <w:r w:rsidRPr="00824D31">
              <w:t>710</w:t>
            </w:r>
          </w:p>
        </w:tc>
        <w:tc>
          <w:tcPr>
            <w:tcW w:w="3554" w:type="dxa"/>
            <w:tcBorders>
              <w:top w:val="nil"/>
              <w:left w:val="nil"/>
              <w:bottom w:val="single" w:sz="4" w:space="0" w:color="auto"/>
              <w:right w:val="single" w:sz="4" w:space="0" w:color="auto"/>
            </w:tcBorders>
            <w:vAlign w:val="center"/>
            <w:hideMark/>
          </w:tcPr>
          <w:p w14:paraId="33141AF8" w14:textId="77777777" w:rsidR="00EC492E" w:rsidRPr="00824D31" w:rsidRDefault="00EC492E" w:rsidP="00E80077">
            <w:pPr>
              <w:ind w:firstLine="0"/>
            </w:pPr>
            <w:r w:rsidRPr="00824D31">
              <w:t>Котельные</w:t>
            </w:r>
          </w:p>
        </w:tc>
        <w:tc>
          <w:tcPr>
            <w:tcW w:w="1417" w:type="dxa"/>
            <w:tcBorders>
              <w:top w:val="nil"/>
              <w:left w:val="nil"/>
              <w:bottom w:val="single" w:sz="4" w:space="0" w:color="auto"/>
              <w:right w:val="single" w:sz="4" w:space="0" w:color="auto"/>
            </w:tcBorders>
            <w:noWrap/>
            <w:vAlign w:val="bottom"/>
            <w:hideMark/>
          </w:tcPr>
          <w:p w14:paraId="255B7928" w14:textId="77777777" w:rsidR="00EC492E" w:rsidRPr="00824D31" w:rsidRDefault="00EC492E" w:rsidP="00E80077">
            <w:pPr>
              <w:ind w:firstLine="0"/>
            </w:pPr>
            <w:r w:rsidRPr="00824D31">
              <w:t>4595</w:t>
            </w:r>
          </w:p>
        </w:tc>
        <w:tc>
          <w:tcPr>
            <w:tcW w:w="1076" w:type="dxa"/>
            <w:tcBorders>
              <w:top w:val="nil"/>
              <w:left w:val="nil"/>
              <w:bottom w:val="single" w:sz="4" w:space="0" w:color="auto"/>
              <w:right w:val="single" w:sz="4" w:space="0" w:color="auto"/>
            </w:tcBorders>
            <w:noWrap/>
            <w:vAlign w:val="bottom"/>
            <w:hideMark/>
          </w:tcPr>
          <w:p w14:paraId="4143BDEF" w14:textId="77777777" w:rsidR="00EC492E" w:rsidRPr="00824D31" w:rsidRDefault="00EC492E" w:rsidP="00E80077">
            <w:pPr>
              <w:ind w:firstLine="0"/>
            </w:pPr>
            <w:r w:rsidRPr="00824D31">
              <w:t>16,26%</w:t>
            </w:r>
          </w:p>
        </w:tc>
      </w:tr>
      <w:tr w:rsidR="00EC492E" w:rsidRPr="00824D31" w14:paraId="275BD172" w14:textId="77777777" w:rsidTr="00077638">
        <w:trPr>
          <w:trHeight w:val="270"/>
        </w:trPr>
        <w:tc>
          <w:tcPr>
            <w:tcW w:w="1843" w:type="dxa"/>
            <w:vMerge/>
            <w:tcBorders>
              <w:top w:val="nil"/>
              <w:left w:val="single" w:sz="4" w:space="0" w:color="auto"/>
              <w:bottom w:val="single" w:sz="4" w:space="0" w:color="auto"/>
              <w:right w:val="single" w:sz="4" w:space="0" w:color="auto"/>
            </w:tcBorders>
            <w:vAlign w:val="center"/>
            <w:hideMark/>
          </w:tcPr>
          <w:p w14:paraId="7AE7B9FC" w14:textId="77777777" w:rsidR="00EC492E" w:rsidRPr="00824D31" w:rsidRDefault="00EC492E" w:rsidP="00E80077">
            <w:pPr>
              <w:ind w:firstLine="0"/>
            </w:pPr>
          </w:p>
        </w:tc>
        <w:tc>
          <w:tcPr>
            <w:tcW w:w="1691" w:type="dxa"/>
            <w:tcBorders>
              <w:top w:val="nil"/>
              <w:left w:val="nil"/>
              <w:bottom w:val="single" w:sz="4" w:space="0" w:color="auto"/>
              <w:right w:val="single" w:sz="4" w:space="0" w:color="auto"/>
            </w:tcBorders>
            <w:noWrap/>
            <w:vAlign w:val="bottom"/>
            <w:hideMark/>
          </w:tcPr>
          <w:p w14:paraId="26D6ECB0" w14:textId="77777777" w:rsidR="00EC492E" w:rsidRPr="00824D31" w:rsidRDefault="00EC492E" w:rsidP="00E80077">
            <w:pPr>
              <w:ind w:firstLine="0"/>
            </w:pPr>
            <w:r w:rsidRPr="00824D31">
              <w:t>711</w:t>
            </w:r>
          </w:p>
        </w:tc>
        <w:tc>
          <w:tcPr>
            <w:tcW w:w="3554" w:type="dxa"/>
            <w:tcBorders>
              <w:top w:val="nil"/>
              <w:left w:val="nil"/>
              <w:bottom w:val="single" w:sz="4" w:space="0" w:color="auto"/>
              <w:right w:val="single" w:sz="4" w:space="0" w:color="auto"/>
            </w:tcBorders>
            <w:vAlign w:val="center"/>
            <w:hideMark/>
          </w:tcPr>
          <w:p w14:paraId="1E42E465" w14:textId="77777777" w:rsidR="00EC492E" w:rsidRPr="00824D31" w:rsidRDefault="00EC492E" w:rsidP="00E80077">
            <w:pPr>
              <w:ind w:firstLine="0"/>
            </w:pPr>
            <w:r w:rsidRPr="00824D31">
              <w:t>Здания тепловых пунктов</w:t>
            </w:r>
          </w:p>
        </w:tc>
        <w:tc>
          <w:tcPr>
            <w:tcW w:w="1417" w:type="dxa"/>
            <w:tcBorders>
              <w:top w:val="nil"/>
              <w:left w:val="nil"/>
              <w:bottom w:val="single" w:sz="4" w:space="0" w:color="auto"/>
              <w:right w:val="single" w:sz="4" w:space="0" w:color="auto"/>
            </w:tcBorders>
            <w:noWrap/>
            <w:vAlign w:val="bottom"/>
            <w:hideMark/>
          </w:tcPr>
          <w:p w14:paraId="0740C2F9" w14:textId="77777777" w:rsidR="00EC492E" w:rsidRPr="00824D31" w:rsidRDefault="00EC492E" w:rsidP="00E80077">
            <w:pPr>
              <w:ind w:firstLine="0"/>
            </w:pPr>
            <w:r w:rsidRPr="00824D31">
              <w:t>390</w:t>
            </w:r>
          </w:p>
        </w:tc>
        <w:tc>
          <w:tcPr>
            <w:tcW w:w="1076" w:type="dxa"/>
            <w:tcBorders>
              <w:top w:val="nil"/>
              <w:left w:val="nil"/>
              <w:bottom w:val="single" w:sz="4" w:space="0" w:color="auto"/>
              <w:right w:val="single" w:sz="4" w:space="0" w:color="auto"/>
            </w:tcBorders>
            <w:noWrap/>
            <w:vAlign w:val="bottom"/>
            <w:hideMark/>
          </w:tcPr>
          <w:p w14:paraId="5A847A7C" w14:textId="77777777" w:rsidR="00EC492E" w:rsidRPr="00824D31" w:rsidRDefault="00EC492E" w:rsidP="00E80077">
            <w:pPr>
              <w:ind w:firstLine="0"/>
            </w:pPr>
            <w:r w:rsidRPr="00824D31">
              <w:t>1,38%</w:t>
            </w:r>
          </w:p>
        </w:tc>
      </w:tr>
      <w:tr w:rsidR="00EC492E" w:rsidRPr="00824D31" w14:paraId="6B5A308C" w14:textId="77777777" w:rsidTr="00077638">
        <w:trPr>
          <w:trHeight w:val="270"/>
        </w:trPr>
        <w:tc>
          <w:tcPr>
            <w:tcW w:w="1843" w:type="dxa"/>
            <w:vMerge/>
            <w:tcBorders>
              <w:top w:val="nil"/>
              <w:left w:val="single" w:sz="4" w:space="0" w:color="auto"/>
              <w:bottom w:val="single" w:sz="4" w:space="0" w:color="auto"/>
              <w:right w:val="single" w:sz="4" w:space="0" w:color="auto"/>
            </w:tcBorders>
            <w:vAlign w:val="center"/>
            <w:hideMark/>
          </w:tcPr>
          <w:p w14:paraId="087ED98F" w14:textId="77777777" w:rsidR="00EC492E" w:rsidRPr="00824D31" w:rsidRDefault="00EC492E" w:rsidP="00E80077">
            <w:pPr>
              <w:ind w:firstLine="0"/>
            </w:pPr>
          </w:p>
        </w:tc>
        <w:tc>
          <w:tcPr>
            <w:tcW w:w="1691" w:type="dxa"/>
            <w:tcBorders>
              <w:top w:val="nil"/>
              <w:left w:val="nil"/>
              <w:bottom w:val="single" w:sz="4" w:space="0" w:color="auto"/>
              <w:right w:val="single" w:sz="4" w:space="0" w:color="auto"/>
            </w:tcBorders>
            <w:noWrap/>
            <w:vAlign w:val="bottom"/>
            <w:hideMark/>
          </w:tcPr>
          <w:p w14:paraId="056CFFF2" w14:textId="77777777" w:rsidR="00EC492E" w:rsidRPr="00824D31" w:rsidRDefault="00EC492E" w:rsidP="00E80077">
            <w:pPr>
              <w:ind w:firstLine="0"/>
            </w:pPr>
            <w:r w:rsidRPr="00824D31">
              <w:t>712</w:t>
            </w:r>
          </w:p>
        </w:tc>
        <w:tc>
          <w:tcPr>
            <w:tcW w:w="3554" w:type="dxa"/>
            <w:tcBorders>
              <w:top w:val="nil"/>
              <w:left w:val="nil"/>
              <w:bottom w:val="single" w:sz="4" w:space="0" w:color="auto"/>
              <w:right w:val="single" w:sz="4" w:space="0" w:color="auto"/>
            </w:tcBorders>
            <w:vAlign w:val="center"/>
            <w:hideMark/>
          </w:tcPr>
          <w:p w14:paraId="41A394D8" w14:textId="77777777" w:rsidR="00EC492E" w:rsidRPr="00824D31" w:rsidRDefault="00EC492E" w:rsidP="00E80077">
            <w:pPr>
              <w:ind w:firstLine="0"/>
            </w:pPr>
            <w:r w:rsidRPr="00824D31">
              <w:t>Сушилки, мельницы, вспомогательные объекты</w:t>
            </w:r>
          </w:p>
        </w:tc>
        <w:tc>
          <w:tcPr>
            <w:tcW w:w="1417" w:type="dxa"/>
            <w:tcBorders>
              <w:top w:val="nil"/>
              <w:left w:val="nil"/>
              <w:bottom w:val="single" w:sz="4" w:space="0" w:color="auto"/>
              <w:right w:val="single" w:sz="4" w:space="0" w:color="auto"/>
            </w:tcBorders>
            <w:noWrap/>
            <w:vAlign w:val="bottom"/>
            <w:hideMark/>
          </w:tcPr>
          <w:p w14:paraId="3B920992" w14:textId="77777777" w:rsidR="00EC492E" w:rsidRPr="00824D31" w:rsidRDefault="00EC492E" w:rsidP="00E80077">
            <w:pPr>
              <w:ind w:firstLine="0"/>
            </w:pPr>
            <w:r w:rsidRPr="00824D31">
              <w:t>31</w:t>
            </w:r>
          </w:p>
        </w:tc>
        <w:tc>
          <w:tcPr>
            <w:tcW w:w="1076" w:type="dxa"/>
            <w:tcBorders>
              <w:top w:val="nil"/>
              <w:left w:val="nil"/>
              <w:bottom w:val="single" w:sz="4" w:space="0" w:color="auto"/>
              <w:right w:val="single" w:sz="4" w:space="0" w:color="auto"/>
            </w:tcBorders>
            <w:noWrap/>
            <w:vAlign w:val="bottom"/>
            <w:hideMark/>
          </w:tcPr>
          <w:p w14:paraId="6C85FD7A" w14:textId="77777777" w:rsidR="00EC492E" w:rsidRPr="00824D31" w:rsidRDefault="00EC492E" w:rsidP="00E80077">
            <w:pPr>
              <w:ind w:firstLine="0"/>
            </w:pPr>
            <w:r w:rsidRPr="00824D31">
              <w:t>0,11%</w:t>
            </w:r>
          </w:p>
        </w:tc>
      </w:tr>
      <w:tr w:rsidR="00EC492E" w:rsidRPr="00824D31" w14:paraId="4D28A9B5" w14:textId="77777777" w:rsidTr="00077638">
        <w:trPr>
          <w:trHeight w:val="270"/>
        </w:trPr>
        <w:tc>
          <w:tcPr>
            <w:tcW w:w="1843" w:type="dxa"/>
            <w:vMerge/>
            <w:tcBorders>
              <w:top w:val="nil"/>
              <w:left w:val="single" w:sz="4" w:space="0" w:color="auto"/>
              <w:bottom w:val="single" w:sz="4" w:space="0" w:color="auto"/>
              <w:right w:val="single" w:sz="4" w:space="0" w:color="auto"/>
            </w:tcBorders>
            <w:vAlign w:val="center"/>
            <w:hideMark/>
          </w:tcPr>
          <w:p w14:paraId="7E05552E" w14:textId="77777777" w:rsidR="00EC492E" w:rsidRPr="00824D31" w:rsidRDefault="00EC492E" w:rsidP="00E80077">
            <w:pPr>
              <w:ind w:firstLine="0"/>
            </w:pPr>
          </w:p>
        </w:tc>
        <w:tc>
          <w:tcPr>
            <w:tcW w:w="1691" w:type="dxa"/>
            <w:tcBorders>
              <w:top w:val="nil"/>
              <w:left w:val="nil"/>
              <w:bottom w:val="single" w:sz="4" w:space="0" w:color="auto"/>
              <w:right w:val="single" w:sz="4" w:space="0" w:color="auto"/>
            </w:tcBorders>
            <w:noWrap/>
            <w:vAlign w:val="bottom"/>
            <w:hideMark/>
          </w:tcPr>
          <w:p w14:paraId="2DA1BC53" w14:textId="77777777" w:rsidR="00EC492E" w:rsidRPr="00824D31" w:rsidRDefault="00EC492E" w:rsidP="00E80077">
            <w:pPr>
              <w:ind w:firstLine="0"/>
            </w:pPr>
            <w:r w:rsidRPr="00824D31">
              <w:t>713</w:t>
            </w:r>
          </w:p>
        </w:tc>
        <w:tc>
          <w:tcPr>
            <w:tcW w:w="3554" w:type="dxa"/>
            <w:tcBorders>
              <w:top w:val="nil"/>
              <w:left w:val="nil"/>
              <w:bottom w:val="single" w:sz="4" w:space="0" w:color="auto"/>
              <w:right w:val="single" w:sz="4" w:space="0" w:color="auto"/>
            </w:tcBorders>
            <w:vAlign w:val="center"/>
            <w:hideMark/>
          </w:tcPr>
          <w:p w14:paraId="30C2844F" w14:textId="77777777" w:rsidR="00EC492E" w:rsidRPr="00824D31" w:rsidRDefault="00EC492E" w:rsidP="00E80077">
            <w:pPr>
              <w:ind w:firstLine="0"/>
            </w:pPr>
            <w:r w:rsidRPr="00824D31">
              <w:t>Станции газораспределительные и газорегуляторные</w:t>
            </w:r>
          </w:p>
        </w:tc>
        <w:tc>
          <w:tcPr>
            <w:tcW w:w="1417" w:type="dxa"/>
            <w:tcBorders>
              <w:top w:val="nil"/>
              <w:left w:val="nil"/>
              <w:bottom w:val="single" w:sz="4" w:space="0" w:color="auto"/>
              <w:right w:val="single" w:sz="4" w:space="0" w:color="auto"/>
            </w:tcBorders>
            <w:noWrap/>
            <w:vAlign w:val="bottom"/>
            <w:hideMark/>
          </w:tcPr>
          <w:p w14:paraId="315AA178" w14:textId="77777777" w:rsidR="00EC492E" w:rsidRPr="00824D31" w:rsidRDefault="00EC492E" w:rsidP="00E80077">
            <w:pPr>
              <w:ind w:firstLine="0"/>
            </w:pPr>
            <w:r w:rsidRPr="00824D31">
              <w:t>185</w:t>
            </w:r>
          </w:p>
        </w:tc>
        <w:tc>
          <w:tcPr>
            <w:tcW w:w="1076" w:type="dxa"/>
            <w:tcBorders>
              <w:top w:val="nil"/>
              <w:left w:val="nil"/>
              <w:bottom w:val="single" w:sz="4" w:space="0" w:color="auto"/>
              <w:right w:val="single" w:sz="4" w:space="0" w:color="auto"/>
            </w:tcBorders>
            <w:noWrap/>
            <w:vAlign w:val="bottom"/>
            <w:hideMark/>
          </w:tcPr>
          <w:p w14:paraId="7CF1391B" w14:textId="77777777" w:rsidR="00EC492E" w:rsidRPr="00824D31" w:rsidRDefault="00EC492E" w:rsidP="00E80077">
            <w:pPr>
              <w:ind w:firstLine="0"/>
            </w:pPr>
            <w:r w:rsidRPr="00824D31">
              <w:t>0,65%</w:t>
            </w:r>
          </w:p>
        </w:tc>
      </w:tr>
      <w:tr w:rsidR="00EC492E" w:rsidRPr="00824D31" w14:paraId="75F9E180" w14:textId="77777777" w:rsidTr="00077638">
        <w:trPr>
          <w:trHeight w:val="270"/>
        </w:trPr>
        <w:tc>
          <w:tcPr>
            <w:tcW w:w="1843" w:type="dxa"/>
            <w:vMerge/>
            <w:tcBorders>
              <w:top w:val="nil"/>
              <w:left w:val="single" w:sz="4" w:space="0" w:color="auto"/>
              <w:bottom w:val="single" w:sz="4" w:space="0" w:color="auto"/>
              <w:right w:val="single" w:sz="4" w:space="0" w:color="auto"/>
            </w:tcBorders>
            <w:vAlign w:val="center"/>
            <w:hideMark/>
          </w:tcPr>
          <w:p w14:paraId="2C0369FC" w14:textId="77777777" w:rsidR="00EC492E" w:rsidRPr="00824D31" w:rsidRDefault="00EC492E" w:rsidP="00E80077">
            <w:pPr>
              <w:ind w:firstLine="0"/>
            </w:pPr>
          </w:p>
        </w:tc>
        <w:tc>
          <w:tcPr>
            <w:tcW w:w="1691" w:type="dxa"/>
            <w:tcBorders>
              <w:top w:val="nil"/>
              <w:left w:val="nil"/>
              <w:bottom w:val="single" w:sz="4" w:space="0" w:color="auto"/>
              <w:right w:val="single" w:sz="4" w:space="0" w:color="auto"/>
            </w:tcBorders>
            <w:noWrap/>
            <w:vAlign w:val="bottom"/>
            <w:hideMark/>
          </w:tcPr>
          <w:p w14:paraId="1A05AB3C" w14:textId="77777777" w:rsidR="00EC492E" w:rsidRPr="00824D31" w:rsidRDefault="00EC492E" w:rsidP="00E80077">
            <w:pPr>
              <w:ind w:firstLine="0"/>
            </w:pPr>
            <w:r w:rsidRPr="00824D31">
              <w:t>714</w:t>
            </w:r>
          </w:p>
        </w:tc>
        <w:tc>
          <w:tcPr>
            <w:tcW w:w="3554" w:type="dxa"/>
            <w:tcBorders>
              <w:top w:val="nil"/>
              <w:left w:val="nil"/>
              <w:bottom w:val="single" w:sz="4" w:space="0" w:color="auto"/>
              <w:right w:val="single" w:sz="4" w:space="0" w:color="auto"/>
            </w:tcBorders>
            <w:vAlign w:val="center"/>
            <w:hideMark/>
          </w:tcPr>
          <w:p w14:paraId="6686E999" w14:textId="77777777" w:rsidR="00EC492E" w:rsidRPr="00824D31" w:rsidRDefault="00EC492E" w:rsidP="00E80077">
            <w:pPr>
              <w:ind w:firstLine="0"/>
            </w:pPr>
            <w:r w:rsidRPr="00824D31">
              <w:t>Пункты газораспределительные и газорегуляторные</w:t>
            </w:r>
          </w:p>
        </w:tc>
        <w:tc>
          <w:tcPr>
            <w:tcW w:w="1417" w:type="dxa"/>
            <w:tcBorders>
              <w:top w:val="nil"/>
              <w:left w:val="nil"/>
              <w:bottom w:val="single" w:sz="4" w:space="0" w:color="auto"/>
              <w:right w:val="single" w:sz="4" w:space="0" w:color="auto"/>
            </w:tcBorders>
            <w:noWrap/>
            <w:vAlign w:val="bottom"/>
            <w:hideMark/>
          </w:tcPr>
          <w:p w14:paraId="60BC7363" w14:textId="77777777" w:rsidR="00EC492E" w:rsidRPr="00824D31" w:rsidRDefault="00EC492E" w:rsidP="00E80077">
            <w:pPr>
              <w:ind w:firstLine="0"/>
            </w:pPr>
            <w:r w:rsidRPr="00824D31">
              <w:t>240</w:t>
            </w:r>
          </w:p>
        </w:tc>
        <w:tc>
          <w:tcPr>
            <w:tcW w:w="1076" w:type="dxa"/>
            <w:tcBorders>
              <w:top w:val="nil"/>
              <w:left w:val="nil"/>
              <w:bottom w:val="single" w:sz="4" w:space="0" w:color="auto"/>
              <w:right w:val="single" w:sz="4" w:space="0" w:color="auto"/>
            </w:tcBorders>
            <w:noWrap/>
            <w:vAlign w:val="bottom"/>
            <w:hideMark/>
          </w:tcPr>
          <w:p w14:paraId="38A390E1" w14:textId="77777777" w:rsidR="00EC492E" w:rsidRPr="00824D31" w:rsidRDefault="00EC492E" w:rsidP="00E80077">
            <w:pPr>
              <w:ind w:firstLine="0"/>
            </w:pPr>
            <w:r w:rsidRPr="00824D31">
              <w:t>0,85%</w:t>
            </w:r>
          </w:p>
        </w:tc>
      </w:tr>
      <w:tr w:rsidR="00EC492E" w:rsidRPr="00824D31" w14:paraId="65F266E9" w14:textId="77777777" w:rsidTr="00077638">
        <w:trPr>
          <w:trHeight w:val="270"/>
        </w:trPr>
        <w:tc>
          <w:tcPr>
            <w:tcW w:w="1843" w:type="dxa"/>
            <w:vMerge/>
            <w:tcBorders>
              <w:top w:val="nil"/>
              <w:left w:val="single" w:sz="4" w:space="0" w:color="auto"/>
              <w:bottom w:val="single" w:sz="4" w:space="0" w:color="auto"/>
              <w:right w:val="single" w:sz="4" w:space="0" w:color="auto"/>
            </w:tcBorders>
            <w:vAlign w:val="center"/>
            <w:hideMark/>
          </w:tcPr>
          <w:p w14:paraId="0E4CDC92" w14:textId="77777777" w:rsidR="00EC492E" w:rsidRPr="00824D31" w:rsidRDefault="00EC492E" w:rsidP="00E80077">
            <w:pPr>
              <w:ind w:firstLine="0"/>
            </w:pPr>
          </w:p>
        </w:tc>
        <w:tc>
          <w:tcPr>
            <w:tcW w:w="1691" w:type="dxa"/>
            <w:tcBorders>
              <w:top w:val="nil"/>
              <w:left w:val="nil"/>
              <w:bottom w:val="single" w:sz="4" w:space="0" w:color="auto"/>
              <w:right w:val="single" w:sz="4" w:space="0" w:color="auto"/>
            </w:tcBorders>
            <w:noWrap/>
            <w:vAlign w:val="bottom"/>
            <w:hideMark/>
          </w:tcPr>
          <w:p w14:paraId="35B68443" w14:textId="77777777" w:rsidR="00EC492E" w:rsidRPr="00824D31" w:rsidRDefault="00EC492E" w:rsidP="00E80077">
            <w:pPr>
              <w:ind w:firstLine="0"/>
            </w:pPr>
            <w:r w:rsidRPr="00824D31">
              <w:t>715</w:t>
            </w:r>
          </w:p>
        </w:tc>
        <w:tc>
          <w:tcPr>
            <w:tcW w:w="3554" w:type="dxa"/>
            <w:tcBorders>
              <w:top w:val="nil"/>
              <w:left w:val="nil"/>
              <w:bottom w:val="single" w:sz="4" w:space="0" w:color="auto"/>
              <w:right w:val="single" w:sz="4" w:space="0" w:color="auto"/>
            </w:tcBorders>
            <w:vAlign w:val="center"/>
            <w:hideMark/>
          </w:tcPr>
          <w:p w14:paraId="35FCD329" w14:textId="77777777" w:rsidR="00EC492E" w:rsidRPr="00824D31" w:rsidRDefault="00EC492E" w:rsidP="00E80077">
            <w:pPr>
              <w:ind w:firstLine="0"/>
            </w:pPr>
            <w:r w:rsidRPr="00824D31">
              <w:t>Насосные станции</w:t>
            </w:r>
          </w:p>
        </w:tc>
        <w:tc>
          <w:tcPr>
            <w:tcW w:w="1417" w:type="dxa"/>
            <w:tcBorders>
              <w:top w:val="nil"/>
              <w:left w:val="nil"/>
              <w:bottom w:val="single" w:sz="4" w:space="0" w:color="auto"/>
              <w:right w:val="single" w:sz="4" w:space="0" w:color="auto"/>
            </w:tcBorders>
            <w:noWrap/>
            <w:vAlign w:val="bottom"/>
            <w:hideMark/>
          </w:tcPr>
          <w:p w14:paraId="3F3D970C" w14:textId="77777777" w:rsidR="00EC492E" w:rsidRPr="00824D31" w:rsidRDefault="00EC492E" w:rsidP="00E80077">
            <w:pPr>
              <w:ind w:firstLine="0"/>
            </w:pPr>
            <w:r w:rsidRPr="00824D31">
              <w:t>1230</w:t>
            </w:r>
          </w:p>
        </w:tc>
        <w:tc>
          <w:tcPr>
            <w:tcW w:w="1076" w:type="dxa"/>
            <w:tcBorders>
              <w:top w:val="nil"/>
              <w:left w:val="nil"/>
              <w:bottom w:val="single" w:sz="4" w:space="0" w:color="auto"/>
              <w:right w:val="single" w:sz="4" w:space="0" w:color="auto"/>
            </w:tcBorders>
            <w:noWrap/>
            <w:vAlign w:val="bottom"/>
            <w:hideMark/>
          </w:tcPr>
          <w:p w14:paraId="38D88851" w14:textId="77777777" w:rsidR="00EC492E" w:rsidRPr="00824D31" w:rsidRDefault="00EC492E" w:rsidP="00E80077">
            <w:pPr>
              <w:ind w:firstLine="0"/>
            </w:pPr>
            <w:r w:rsidRPr="00824D31">
              <w:t>4,35%</w:t>
            </w:r>
          </w:p>
        </w:tc>
      </w:tr>
      <w:tr w:rsidR="00EC492E" w:rsidRPr="00824D31" w14:paraId="72E2AF48" w14:textId="77777777" w:rsidTr="00077638">
        <w:trPr>
          <w:trHeight w:val="270"/>
        </w:trPr>
        <w:tc>
          <w:tcPr>
            <w:tcW w:w="1843" w:type="dxa"/>
            <w:vMerge/>
            <w:tcBorders>
              <w:top w:val="nil"/>
              <w:left w:val="single" w:sz="4" w:space="0" w:color="auto"/>
              <w:bottom w:val="single" w:sz="4" w:space="0" w:color="auto"/>
              <w:right w:val="single" w:sz="4" w:space="0" w:color="auto"/>
            </w:tcBorders>
            <w:vAlign w:val="center"/>
            <w:hideMark/>
          </w:tcPr>
          <w:p w14:paraId="1F62F088" w14:textId="77777777" w:rsidR="00EC492E" w:rsidRPr="00824D31" w:rsidRDefault="00EC492E" w:rsidP="00E80077">
            <w:pPr>
              <w:ind w:firstLine="0"/>
            </w:pPr>
          </w:p>
        </w:tc>
        <w:tc>
          <w:tcPr>
            <w:tcW w:w="1691" w:type="dxa"/>
            <w:tcBorders>
              <w:top w:val="nil"/>
              <w:left w:val="nil"/>
              <w:bottom w:val="single" w:sz="4" w:space="0" w:color="auto"/>
              <w:right w:val="single" w:sz="4" w:space="0" w:color="auto"/>
            </w:tcBorders>
            <w:noWrap/>
            <w:vAlign w:val="bottom"/>
            <w:hideMark/>
          </w:tcPr>
          <w:p w14:paraId="31B25CDC" w14:textId="77777777" w:rsidR="00EC492E" w:rsidRPr="00824D31" w:rsidRDefault="00EC492E" w:rsidP="00E80077">
            <w:pPr>
              <w:ind w:firstLine="0"/>
            </w:pPr>
            <w:r w:rsidRPr="00824D31">
              <w:t>716</w:t>
            </w:r>
          </w:p>
        </w:tc>
        <w:tc>
          <w:tcPr>
            <w:tcW w:w="3554" w:type="dxa"/>
            <w:tcBorders>
              <w:top w:val="nil"/>
              <w:left w:val="nil"/>
              <w:bottom w:val="single" w:sz="4" w:space="0" w:color="auto"/>
              <w:right w:val="single" w:sz="4" w:space="0" w:color="auto"/>
            </w:tcBorders>
            <w:vAlign w:val="center"/>
            <w:hideMark/>
          </w:tcPr>
          <w:p w14:paraId="22A13A64" w14:textId="77777777" w:rsidR="00EC492E" w:rsidRPr="00824D31" w:rsidRDefault="00EC492E" w:rsidP="00E80077">
            <w:pPr>
              <w:ind w:firstLine="0"/>
            </w:pPr>
            <w:r w:rsidRPr="00824D31">
              <w:t>Водопроводные станции</w:t>
            </w:r>
          </w:p>
        </w:tc>
        <w:tc>
          <w:tcPr>
            <w:tcW w:w="1417" w:type="dxa"/>
            <w:tcBorders>
              <w:top w:val="nil"/>
              <w:left w:val="nil"/>
              <w:bottom w:val="single" w:sz="4" w:space="0" w:color="auto"/>
              <w:right w:val="single" w:sz="4" w:space="0" w:color="auto"/>
            </w:tcBorders>
            <w:noWrap/>
            <w:vAlign w:val="bottom"/>
            <w:hideMark/>
          </w:tcPr>
          <w:p w14:paraId="1E49D955" w14:textId="77777777" w:rsidR="00EC492E" w:rsidRPr="00824D31" w:rsidRDefault="00EC492E" w:rsidP="00E80077">
            <w:pPr>
              <w:ind w:firstLine="0"/>
            </w:pPr>
            <w:r w:rsidRPr="00824D31">
              <w:t>40</w:t>
            </w:r>
          </w:p>
        </w:tc>
        <w:tc>
          <w:tcPr>
            <w:tcW w:w="1076" w:type="dxa"/>
            <w:tcBorders>
              <w:top w:val="nil"/>
              <w:left w:val="nil"/>
              <w:bottom w:val="single" w:sz="4" w:space="0" w:color="auto"/>
              <w:right w:val="single" w:sz="4" w:space="0" w:color="auto"/>
            </w:tcBorders>
            <w:noWrap/>
            <w:vAlign w:val="bottom"/>
            <w:hideMark/>
          </w:tcPr>
          <w:p w14:paraId="122364E7" w14:textId="77777777" w:rsidR="00EC492E" w:rsidRPr="00824D31" w:rsidRDefault="00EC492E" w:rsidP="00E80077">
            <w:pPr>
              <w:ind w:firstLine="0"/>
            </w:pPr>
            <w:r w:rsidRPr="00824D31">
              <w:t>0,14%</w:t>
            </w:r>
          </w:p>
        </w:tc>
      </w:tr>
      <w:tr w:rsidR="00EC492E" w:rsidRPr="00824D31" w14:paraId="7B11526F" w14:textId="77777777" w:rsidTr="00077638">
        <w:trPr>
          <w:trHeight w:val="270"/>
        </w:trPr>
        <w:tc>
          <w:tcPr>
            <w:tcW w:w="1843" w:type="dxa"/>
            <w:vMerge/>
            <w:tcBorders>
              <w:top w:val="nil"/>
              <w:left w:val="single" w:sz="4" w:space="0" w:color="auto"/>
              <w:bottom w:val="single" w:sz="4" w:space="0" w:color="auto"/>
              <w:right w:val="single" w:sz="4" w:space="0" w:color="auto"/>
            </w:tcBorders>
            <w:vAlign w:val="center"/>
            <w:hideMark/>
          </w:tcPr>
          <w:p w14:paraId="7D6B544A" w14:textId="77777777" w:rsidR="00EC492E" w:rsidRPr="00824D31" w:rsidRDefault="00EC492E" w:rsidP="00E80077">
            <w:pPr>
              <w:ind w:firstLine="0"/>
            </w:pPr>
          </w:p>
        </w:tc>
        <w:tc>
          <w:tcPr>
            <w:tcW w:w="1691" w:type="dxa"/>
            <w:tcBorders>
              <w:top w:val="nil"/>
              <w:left w:val="nil"/>
              <w:bottom w:val="single" w:sz="4" w:space="0" w:color="auto"/>
              <w:right w:val="single" w:sz="4" w:space="0" w:color="auto"/>
            </w:tcBorders>
            <w:noWrap/>
            <w:vAlign w:val="bottom"/>
            <w:hideMark/>
          </w:tcPr>
          <w:p w14:paraId="198D93E5" w14:textId="77777777" w:rsidR="00EC492E" w:rsidRPr="00824D31" w:rsidRDefault="00EC492E" w:rsidP="00E80077">
            <w:pPr>
              <w:ind w:firstLine="0"/>
            </w:pPr>
            <w:r w:rsidRPr="00824D31">
              <w:t>717</w:t>
            </w:r>
          </w:p>
        </w:tc>
        <w:tc>
          <w:tcPr>
            <w:tcW w:w="3554" w:type="dxa"/>
            <w:tcBorders>
              <w:top w:val="nil"/>
              <w:left w:val="nil"/>
              <w:bottom w:val="single" w:sz="4" w:space="0" w:color="auto"/>
              <w:right w:val="single" w:sz="4" w:space="0" w:color="auto"/>
            </w:tcBorders>
            <w:vAlign w:val="center"/>
            <w:hideMark/>
          </w:tcPr>
          <w:p w14:paraId="676F7927" w14:textId="77777777" w:rsidR="00EC492E" w:rsidRPr="00824D31" w:rsidRDefault="00EC492E" w:rsidP="00E80077">
            <w:pPr>
              <w:ind w:firstLine="0"/>
            </w:pPr>
            <w:r w:rsidRPr="00824D31">
              <w:t>Водозаборные узлы и сооружения</w:t>
            </w:r>
          </w:p>
        </w:tc>
        <w:tc>
          <w:tcPr>
            <w:tcW w:w="1417" w:type="dxa"/>
            <w:tcBorders>
              <w:top w:val="nil"/>
              <w:left w:val="nil"/>
              <w:bottom w:val="single" w:sz="4" w:space="0" w:color="auto"/>
              <w:right w:val="single" w:sz="4" w:space="0" w:color="auto"/>
            </w:tcBorders>
            <w:noWrap/>
            <w:vAlign w:val="bottom"/>
            <w:hideMark/>
          </w:tcPr>
          <w:p w14:paraId="3A87B984" w14:textId="77777777" w:rsidR="00EC492E" w:rsidRPr="00824D31" w:rsidRDefault="00EC492E" w:rsidP="00E80077">
            <w:pPr>
              <w:ind w:firstLine="0"/>
            </w:pPr>
            <w:r w:rsidRPr="00824D31">
              <w:t>162</w:t>
            </w:r>
          </w:p>
        </w:tc>
        <w:tc>
          <w:tcPr>
            <w:tcW w:w="1076" w:type="dxa"/>
            <w:tcBorders>
              <w:top w:val="nil"/>
              <w:left w:val="nil"/>
              <w:bottom w:val="single" w:sz="4" w:space="0" w:color="auto"/>
              <w:right w:val="single" w:sz="4" w:space="0" w:color="auto"/>
            </w:tcBorders>
            <w:noWrap/>
            <w:vAlign w:val="bottom"/>
            <w:hideMark/>
          </w:tcPr>
          <w:p w14:paraId="03E4C975" w14:textId="77777777" w:rsidR="00EC492E" w:rsidRPr="00824D31" w:rsidRDefault="00EC492E" w:rsidP="00E80077">
            <w:pPr>
              <w:ind w:firstLine="0"/>
            </w:pPr>
            <w:r w:rsidRPr="00824D31">
              <w:t>0,57%</w:t>
            </w:r>
          </w:p>
        </w:tc>
      </w:tr>
      <w:tr w:rsidR="00EC492E" w:rsidRPr="00824D31" w14:paraId="64C5DFE5" w14:textId="77777777" w:rsidTr="00077638">
        <w:trPr>
          <w:trHeight w:val="270"/>
        </w:trPr>
        <w:tc>
          <w:tcPr>
            <w:tcW w:w="1843" w:type="dxa"/>
            <w:vMerge/>
            <w:tcBorders>
              <w:top w:val="nil"/>
              <w:left w:val="single" w:sz="4" w:space="0" w:color="auto"/>
              <w:bottom w:val="single" w:sz="4" w:space="0" w:color="auto"/>
              <w:right w:val="single" w:sz="4" w:space="0" w:color="auto"/>
            </w:tcBorders>
            <w:vAlign w:val="center"/>
            <w:hideMark/>
          </w:tcPr>
          <w:p w14:paraId="629470B9" w14:textId="77777777" w:rsidR="00EC492E" w:rsidRPr="00824D31" w:rsidRDefault="00EC492E" w:rsidP="00E80077">
            <w:pPr>
              <w:ind w:firstLine="0"/>
            </w:pPr>
          </w:p>
        </w:tc>
        <w:tc>
          <w:tcPr>
            <w:tcW w:w="1691" w:type="dxa"/>
            <w:tcBorders>
              <w:top w:val="nil"/>
              <w:left w:val="nil"/>
              <w:bottom w:val="single" w:sz="4" w:space="0" w:color="auto"/>
              <w:right w:val="single" w:sz="4" w:space="0" w:color="auto"/>
            </w:tcBorders>
            <w:noWrap/>
            <w:vAlign w:val="bottom"/>
            <w:hideMark/>
          </w:tcPr>
          <w:p w14:paraId="73B5418B" w14:textId="77777777" w:rsidR="00EC492E" w:rsidRPr="00824D31" w:rsidRDefault="00EC492E" w:rsidP="00E80077">
            <w:pPr>
              <w:ind w:firstLine="0"/>
            </w:pPr>
            <w:r w:rsidRPr="00824D31">
              <w:t>719</w:t>
            </w:r>
          </w:p>
        </w:tc>
        <w:tc>
          <w:tcPr>
            <w:tcW w:w="3554" w:type="dxa"/>
            <w:tcBorders>
              <w:top w:val="nil"/>
              <w:left w:val="nil"/>
              <w:bottom w:val="single" w:sz="4" w:space="0" w:color="auto"/>
              <w:right w:val="single" w:sz="4" w:space="0" w:color="auto"/>
            </w:tcBorders>
            <w:vAlign w:val="center"/>
            <w:hideMark/>
          </w:tcPr>
          <w:p w14:paraId="0BA0779F" w14:textId="77777777" w:rsidR="00EC492E" w:rsidRPr="00824D31" w:rsidRDefault="00EC492E" w:rsidP="00E80077">
            <w:pPr>
              <w:ind w:firstLine="0"/>
            </w:pPr>
            <w:r w:rsidRPr="00824D31">
              <w:t>Павильоны над скважинами</w:t>
            </w:r>
          </w:p>
        </w:tc>
        <w:tc>
          <w:tcPr>
            <w:tcW w:w="1417" w:type="dxa"/>
            <w:tcBorders>
              <w:top w:val="nil"/>
              <w:left w:val="nil"/>
              <w:bottom w:val="single" w:sz="4" w:space="0" w:color="auto"/>
              <w:right w:val="single" w:sz="4" w:space="0" w:color="auto"/>
            </w:tcBorders>
            <w:noWrap/>
            <w:vAlign w:val="bottom"/>
            <w:hideMark/>
          </w:tcPr>
          <w:p w14:paraId="2619C7A2" w14:textId="77777777" w:rsidR="00EC492E" w:rsidRPr="00824D31" w:rsidRDefault="00EC492E" w:rsidP="00E80077">
            <w:pPr>
              <w:ind w:firstLine="0"/>
            </w:pPr>
            <w:r w:rsidRPr="00824D31">
              <w:t>35</w:t>
            </w:r>
          </w:p>
        </w:tc>
        <w:tc>
          <w:tcPr>
            <w:tcW w:w="1076" w:type="dxa"/>
            <w:tcBorders>
              <w:top w:val="nil"/>
              <w:left w:val="nil"/>
              <w:bottom w:val="single" w:sz="4" w:space="0" w:color="auto"/>
              <w:right w:val="single" w:sz="4" w:space="0" w:color="auto"/>
            </w:tcBorders>
            <w:noWrap/>
            <w:vAlign w:val="bottom"/>
            <w:hideMark/>
          </w:tcPr>
          <w:p w14:paraId="460C6685" w14:textId="77777777" w:rsidR="00EC492E" w:rsidRPr="00824D31" w:rsidRDefault="00EC492E" w:rsidP="00E80077">
            <w:pPr>
              <w:ind w:firstLine="0"/>
            </w:pPr>
            <w:r w:rsidRPr="00824D31">
              <w:t>0,12%</w:t>
            </w:r>
          </w:p>
        </w:tc>
      </w:tr>
      <w:tr w:rsidR="00EC492E" w:rsidRPr="00824D31" w14:paraId="6479E62D" w14:textId="77777777" w:rsidTr="00077638">
        <w:trPr>
          <w:trHeight w:val="270"/>
        </w:trPr>
        <w:tc>
          <w:tcPr>
            <w:tcW w:w="1843" w:type="dxa"/>
            <w:vMerge/>
            <w:tcBorders>
              <w:top w:val="nil"/>
              <w:left w:val="single" w:sz="4" w:space="0" w:color="auto"/>
              <w:bottom w:val="single" w:sz="4" w:space="0" w:color="auto"/>
              <w:right w:val="single" w:sz="4" w:space="0" w:color="auto"/>
            </w:tcBorders>
            <w:vAlign w:val="center"/>
            <w:hideMark/>
          </w:tcPr>
          <w:p w14:paraId="162B3D65" w14:textId="77777777" w:rsidR="00EC492E" w:rsidRPr="00824D31" w:rsidRDefault="00EC492E" w:rsidP="00E80077">
            <w:pPr>
              <w:ind w:firstLine="0"/>
            </w:pPr>
          </w:p>
        </w:tc>
        <w:tc>
          <w:tcPr>
            <w:tcW w:w="1691" w:type="dxa"/>
            <w:tcBorders>
              <w:top w:val="nil"/>
              <w:left w:val="nil"/>
              <w:bottom w:val="single" w:sz="4" w:space="0" w:color="auto"/>
              <w:right w:val="single" w:sz="4" w:space="0" w:color="auto"/>
            </w:tcBorders>
            <w:noWrap/>
            <w:vAlign w:val="bottom"/>
            <w:hideMark/>
          </w:tcPr>
          <w:p w14:paraId="13DF0012" w14:textId="77777777" w:rsidR="00EC492E" w:rsidRPr="00824D31" w:rsidRDefault="00EC492E" w:rsidP="00E80077">
            <w:pPr>
              <w:ind w:firstLine="0"/>
            </w:pPr>
            <w:r w:rsidRPr="00824D31">
              <w:t>720</w:t>
            </w:r>
          </w:p>
        </w:tc>
        <w:tc>
          <w:tcPr>
            <w:tcW w:w="3554" w:type="dxa"/>
            <w:tcBorders>
              <w:top w:val="nil"/>
              <w:left w:val="nil"/>
              <w:bottom w:val="single" w:sz="4" w:space="0" w:color="auto"/>
              <w:right w:val="single" w:sz="4" w:space="0" w:color="auto"/>
            </w:tcBorders>
            <w:vAlign w:val="center"/>
            <w:hideMark/>
          </w:tcPr>
          <w:p w14:paraId="6D1264BD" w14:textId="77777777" w:rsidR="00EC492E" w:rsidRPr="00824D31" w:rsidRDefault="00EC492E" w:rsidP="00E80077">
            <w:pPr>
              <w:ind w:firstLine="0"/>
            </w:pPr>
            <w:r w:rsidRPr="00824D31">
              <w:t>Вентиляционные киоски, вентиляционные камеры</w:t>
            </w:r>
          </w:p>
        </w:tc>
        <w:tc>
          <w:tcPr>
            <w:tcW w:w="1417" w:type="dxa"/>
            <w:tcBorders>
              <w:top w:val="nil"/>
              <w:left w:val="nil"/>
              <w:bottom w:val="single" w:sz="4" w:space="0" w:color="auto"/>
              <w:right w:val="single" w:sz="4" w:space="0" w:color="auto"/>
            </w:tcBorders>
            <w:noWrap/>
            <w:vAlign w:val="bottom"/>
            <w:hideMark/>
          </w:tcPr>
          <w:p w14:paraId="75AF9B52" w14:textId="77777777" w:rsidR="00EC492E" w:rsidRPr="00824D31" w:rsidRDefault="00EC492E" w:rsidP="00E80077">
            <w:pPr>
              <w:ind w:firstLine="0"/>
            </w:pPr>
            <w:r w:rsidRPr="00824D31">
              <w:t>12</w:t>
            </w:r>
          </w:p>
        </w:tc>
        <w:tc>
          <w:tcPr>
            <w:tcW w:w="1076" w:type="dxa"/>
            <w:tcBorders>
              <w:top w:val="nil"/>
              <w:left w:val="nil"/>
              <w:bottom w:val="single" w:sz="4" w:space="0" w:color="auto"/>
              <w:right w:val="single" w:sz="4" w:space="0" w:color="auto"/>
            </w:tcBorders>
            <w:noWrap/>
            <w:vAlign w:val="bottom"/>
            <w:hideMark/>
          </w:tcPr>
          <w:p w14:paraId="6CE691F2" w14:textId="77777777" w:rsidR="00EC492E" w:rsidRPr="00824D31" w:rsidRDefault="00EC492E" w:rsidP="00E80077">
            <w:pPr>
              <w:ind w:firstLine="0"/>
            </w:pPr>
            <w:r w:rsidRPr="00824D31">
              <w:t>0,04%</w:t>
            </w:r>
          </w:p>
        </w:tc>
      </w:tr>
      <w:tr w:rsidR="00EC492E" w:rsidRPr="00824D31" w14:paraId="52CAA09B" w14:textId="77777777" w:rsidTr="00077638">
        <w:trPr>
          <w:trHeight w:val="270"/>
        </w:trPr>
        <w:tc>
          <w:tcPr>
            <w:tcW w:w="1843" w:type="dxa"/>
            <w:vMerge/>
            <w:tcBorders>
              <w:top w:val="nil"/>
              <w:left w:val="single" w:sz="4" w:space="0" w:color="auto"/>
              <w:bottom w:val="single" w:sz="4" w:space="0" w:color="auto"/>
              <w:right w:val="single" w:sz="4" w:space="0" w:color="auto"/>
            </w:tcBorders>
            <w:vAlign w:val="center"/>
            <w:hideMark/>
          </w:tcPr>
          <w:p w14:paraId="33803087" w14:textId="77777777" w:rsidR="00EC492E" w:rsidRPr="00824D31" w:rsidRDefault="00EC492E" w:rsidP="00E80077">
            <w:pPr>
              <w:ind w:firstLine="0"/>
            </w:pPr>
          </w:p>
        </w:tc>
        <w:tc>
          <w:tcPr>
            <w:tcW w:w="1691" w:type="dxa"/>
            <w:tcBorders>
              <w:top w:val="nil"/>
              <w:left w:val="nil"/>
              <w:bottom w:val="single" w:sz="4" w:space="0" w:color="auto"/>
              <w:right w:val="single" w:sz="4" w:space="0" w:color="auto"/>
            </w:tcBorders>
            <w:noWrap/>
            <w:vAlign w:val="bottom"/>
            <w:hideMark/>
          </w:tcPr>
          <w:p w14:paraId="57D27F43" w14:textId="77777777" w:rsidR="00EC492E" w:rsidRPr="00824D31" w:rsidRDefault="00EC492E" w:rsidP="00E80077">
            <w:pPr>
              <w:ind w:firstLine="0"/>
            </w:pPr>
            <w:r w:rsidRPr="00824D31">
              <w:t>721</w:t>
            </w:r>
          </w:p>
        </w:tc>
        <w:tc>
          <w:tcPr>
            <w:tcW w:w="3554" w:type="dxa"/>
            <w:tcBorders>
              <w:top w:val="nil"/>
              <w:left w:val="nil"/>
              <w:bottom w:val="single" w:sz="4" w:space="0" w:color="auto"/>
              <w:right w:val="single" w:sz="4" w:space="0" w:color="auto"/>
            </w:tcBorders>
            <w:vAlign w:val="center"/>
            <w:hideMark/>
          </w:tcPr>
          <w:p w14:paraId="41690D79" w14:textId="77777777" w:rsidR="00EC492E" w:rsidRPr="00824D31" w:rsidRDefault="00EC492E" w:rsidP="00E80077">
            <w:pPr>
              <w:ind w:firstLine="0"/>
            </w:pPr>
            <w:r w:rsidRPr="00824D31">
              <w:t>Автоматические телефонные станции (АТС)</w:t>
            </w:r>
          </w:p>
        </w:tc>
        <w:tc>
          <w:tcPr>
            <w:tcW w:w="1417" w:type="dxa"/>
            <w:tcBorders>
              <w:top w:val="nil"/>
              <w:left w:val="nil"/>
              <w:bottom w:val="single" w:sz="4" w:space="0" w:color="auto"/>
              <w:right w:val="single" w:sz="4" w:space="0" w:color="auto"/>
            </w:tcBorders>
            <w:noWrap/>
            <w:vAlign w:val="bottom"/>
            <w:hideMark/>
          </w:tcPr>
          <w:p w14:paraId="7636B684" w14:textId="77777777" w:rsidR="00EC492E" w:rsidRPr="00824D31" w:rsidRDefault="00EC492E" w:rsidP="00E80077">
            <w:pPr>
              <w:ind w:firstLine="0"/>
            </w:pPr>
            <w:r w:rsidRPr="00824D31">
              <w:t>134</w:t>
            </w:r>
          </w:p>
        </w:tc>
        <w:tc>
          <w:tcPr>
            <w:tcW w:w="1076" w:type="dxa"/>
            <w:tcBorders>
              <w:top w:val="nil"/>
              <w:left w:val="nil"/>
              <w:bottom w:val="single" w:sz="4" w:space="0" w:color="auto"/>
              <w:right w:val="single" w:sz="4" w:space="0" w:color="auto"/>
            </w:tcBorders>
            <w:noWrap/>
            <w:vAlign w:val="bottom"/>
            <w:hideMark/>
          </w:tcPr>
          <w:p w14:paraId="2C04E4CF" w14:textId="77777777" w:rsidR="00EC492E" w:rsidRPr="00824D31" w:rsidRDefault="00EC492E" w:rsidP="00E80077">
            <w:pPr>
              <w:ind w:firstLine="0"/>
            </w:pPr>
            <w:r w:rsidRPr="00824D31">
              <w:t>0,47%</w:t>
            </w:r>
          </w:p>
        </w:tc>
      </w:tr>
      <w:tr w:rsidR="00EC492E" w:rsidRPr="00824D31" w14:paraId="2957FE3A" w14:textId="77777777" w:rsidTr="00077638">
        <w:trPr>
          <w:trHeight w:val="270"/>
        </w:trPr>
        <w:tc>
          <w:tcPr>
            <w:tcW w:w="1843" w:type="dxa"/>
            <w:vMerge/>
            <w:tcBorders>
              <w:top w:val="nil"/>
              <w:left w:val="single" w:sz="4" w:space="0" w:color="auto"/>
              <w:bottom w:val="single" w:sz="4" w:space="0" w:color="auto"/>
              <w:right w:val="single" w:sz="4" w:space="0" w:color="auto"/>
            </w:tcBorders>
            <w:vAlign w:val="center"/>
            <w:hideMark/>
          </w:tcPr>
          <w:p w14:paraId="4280381E" w14:textId="77777777" w:rsidR="00EC492E" w:rsidRPr="00824D31" w:rsidRDefault="00EC492E" w:rsidP="00E80077">
            <w:pPr>
              <w:ind w:firstLine="0"/>
            </w:pPr>
          </w:p>
        </w:tc>
        <w:tc>
          <w:tcPr>
            <w:tcW w:w="1691" w:type="dxa"/>
            <w:tcBorders>
              <w:top w:val="nil"/>
              <w:left w:val="nil"/>
              <w:bottom w:val="single" w:sz="4" w:space="0" w:color="auto"/>
              <w:right w:val="single" w:sz="4" w:space="0" w:color="auto"/>
            </w:tcBorders>
            <w:noWrap/>
            <w:vAlign w:val="bottom"/>
            <w:hideMark/>
          </w:tcPr>
          <w:p w14:paraId="4BF5C09F" w14:textId="77777777" w:rsidR="00EC492E" w:rsidRPr="00824D31" w:rsidRDefault="00EC492E" w:rsidP="00E80077">
            <w:pPr>
              <w:ind w:firstLine="0"/>
            </w:pPr>
            <w:r w:rsidRPr="00824D31">
              <w:t>722</w:t>
            </w:r>
          </w:p>
        </w:tc>
        <w:tc>
          <w:tcPr>
            <w:tcW w:w="3554" w:type="dxa"/>
            <w:tcBorders>
              <w:top w:val="nil"/>
              <w:left w:val="nil"/>
              <w:bottom w:val="single" w:sz="4" w:space="0" w:color="auto"/>
              <w:right w:val="single" w:sz="4" w:space="0" w:color="auto"/>
            </w:tcBorders>
            <w:vAlign w:val="center"/>
            <w:hideMark/>
          </w:tcPr>
          <w:p w14:paraId="2DEB78EB" w14:textId="77777777" w:rsidR="00EC492E" w:rsidRPr="00824D31" w:rsidRDefault="00EC492E" w:rsidP="00E80077">
            <w:pPr>
              <w:ind w:firstLine="0"/>
            </w:pPr>
            <w:r w:rsidRPr="00824D31">
              <w:t>Мастерские</w:t>
            </w:r>
          </w:p>
        </w:tc>
        <w:tc>
          <w:tcPr>
            <w:tcW w:w="1417" w:type="dxa"/>
            <w:tcBorders>
              <w:top w:val="nil"/>
              <w:left w:val="nil"/>
              <w:bottom w:val="single" w:sz="4" w:space="0" w:color="auto"/>
              <w:right w:val="single" w:sz="4" w:space="0" w:color="auto"/>
            </w:tcBorders>
            <w:noWrap/>
            <w:vAlign w:val="bottom"/>
            <w:hideMark/>
          </w:tcPr>
          <w:p w14:paraId="3D8A8B17" w14:textId="77AE3C4E" w:rsidR="00EC492E" w:rsidRPr="00824D31" w:rsidRDefault="00631CA6" w:rsidP="00E80077">
            <w:pPr>
              <w:ind w:firstLine="0"/>
            </w:pPr>
            <w:r>
              <w:t>1480</w:t>
            </w:r>
          </w:p>
        </w:tc>
        <w:tc>
          <w:tcPr>
            <w:tcW w:w="1076" w:type="dxa"/>
            <w:tcBorders>
              <w:top w:val="nil"/>
              <w:left w:val="nil"/>
              <w:bottom w:val="single" w:sz="4" w:space="0" w:color="auto"/>
              <w:right w:val="single" w:sz="4" w:space="0" w:color="auto"/>
            </w:tcBorders>
            <w:noWrap/>
            <w:vAlign w:val="bottom"/>
            <w:hideMark/>
          </w:tcPr>
          <w:p w14:paraId="0706C248" w14:textId="77777777" w:rsidR="00EC492E" w:rsidRPr="00824D31" w:rsidRDefault="00EC492E" w:rsidP="00E80077">
            <w:pPr>
              <w:ind w:firstLine="0"/>
            </w:pPr>
            <w:r w:rsidRPr="00824D31">
              <w:t>5,23%</w:t>
            </w:r>
          </w:p>
        </w:tc>
      </w:tr>
      <w:tr w:rsidR="00EC492E" w:rsidRPr="00824D31" w14:paraId="3CE9E4A9" w14:textId="77777777" w:rsidTr="00077638">
        <w:trPr>
          <w:trHeight w:val="270"/>
        </w:trPr>
        <w:tc>
          <w:tcPr>
            <w:tcW w:w="1843" w:type="dxa"/>
            <w:vMerge/>
            <w:tcBorders>
              <w:top w:val="nil"/>
              <w:left w:val="single" w:sz="4" w:space="0" w:color="auto"/>
              <w:bottom w:val="single" w:sz="4" w:space="0" w:color="auto"/>
              <w:right w:val="single" w:sz="4" w:space="0" w:color="auto"/>
            </w:tcBorders>
            <w:vAlign w:val="center"/>
            <w:hideMark/>
          </w:tcPr>
          <w:p w14:paraId="2FC0C825" w14:textId="77777777" w:rsidR="00EC492E" w:rsidRPr="00824D31" w:rsidRDefault="00EC492E" w:rsidP="00E80077">
            <w:pPr>
              <w:ind w:firstLine="0"/>
            </w:pPr>
          </w:p>
        </w:tc>
        <w:tc>
          <w:tcPr>
            <w:tcW w:w="1691" w:type="dxa"/>
            <w:tcBorders>
              <w:top w:val="nil"/>
              <w:left w:val="nil"/>
              <w:bottom w:val="single" w:sz="4" w:space="0" w:color="auto"/>
              <w:right w:val="single" w:sz="4" w:space="0" w:color="auto"/>
            </w:tcBorders>
            <w:noWrap/>
            <w:vAlign w:val="bottom"/>
            <w:hideMark/>
          </w:tcPr>
          <w:p w14:paraId="11CAFB73" w14:textId="77777777" w:rsidR="00EC492E" w:rsidRPr="00824D31" w:rsidRDefault="00EC492E" w:rsidP="00E80077">
            <w:pPr>
              <w:ind w:firstLine="0"/>
            </w:pPr>
            <w:r w:rsidRPr="00824D31">
              <w:t>723</w:t>
            </w:r>
          </w:p>
        </w:tc>
        <w:tc>
          <w:tcPr>
            <w:tcW w:w="3554" w:type="dxa"/>
            <w:tcBorders>
              <w:top w:val="nil"/>
              <w:left w:val="nil"/>
              <w:bottom w:val="single" w:sz="4" w:space="0" w:color="auto"/>
              <w:right w:val="single" w:sz="4" w:space="0" w:color="auto"/>
            </w:tcBorders>
            <w:vAlign w:val="center"/>
            <w:hideMark/>
          </w:tcPr>
          <w:p w14:paraId="331D339C" w14:textId="77777777" w:rsidR="00EC492E" w:rsidRPr="00824D31" w:rsidRDefault="00EC492E" w:rsidP="00E80077">
            <w:pPr>
              <w:ind w:firstLine="0"/>
            </w:pPr>
            <w:r w:rsidRPr="00824D31">
              <w:t>Складские здания, кроме ангаров</w:t>
            </w:r>
          </w:p>
        </w:tc>
        <w:tc>
          <w:tcPr>
            <w:tcW w:w="1417" w:type="dxa"/>
            <w:tcBorders>
              <w:top w:val="nil"/>
              <w:left w:val="nil"/>
              <w:bottom w:val="single" w:sz="4" w:space="0" w:color="auto"/>
              <w:right w:val="single" w:sz="4" w:space="0" w:color="auto"/>
            </w:tcBorders>
            <w:noWrap/>
            <w:vAlign w:val="bottom"/>
            <w:hideMark/>
          </w:tcPr>
          <w:p w14:paraId="0251B06E" w14:textId="60C0918F" w:rsidR="00EC492E" w:rsidRPr="00824D31" w:rsidRDefault="00EC492E" w:rsidP="00631CA6">
            <w:pPr>
              <w:ind w:firstLine="0"/>
            </w:pPr>
            <w:r w:rsidRPr="00824D31">
              <w:t>551</w:t>
            </w:r>
            <w:r w:rsidR="00631CA6">
              <w:t>6</w:t>
            </w:r>
          </w:p>
        </w:tc>
        <w:tc>
          <w:tcPr>
            <w:tcW w:w="1076" w:type="dxa"/>
            <w:tcBorders>
              <w:top w:val="nil"/>
              <w:left w:val="nil"/>
              <w:bottom w:val="single" w:sz="4" w:space="0" w:color="auto"/>
              <w:right w:val="single" w:sz="4" w:space="0" w:color="auto"/>
            </w:tcBorders>
            <w:noWrap/>
            <w:vAlign w:val="bottom"/>
            <w:hideMark/>
          </w:tcPr>
          <w:p w14:paraId="12EA2DC0" w14:textId="77777777" w:rsidR="00EC492E" w:rsidRPr="00824D31" w:rsidRDefault="00EC492E" w:rsidP="00E80077">
            <w:pPr>
              <w:ind w:firstLine="0"/>
            </w:pPr>
            <w:r w:rsidRPr="00824D31">
              <w:t>19,52%</w:t>
            </w:r>
          </w:p>
        </w:tc>
      </w:tr>
      <w:tr w:rsidR="00EC492E" w:rsidRPr="00824D31" w14:paraId="28C53297" w14:textId="77777777" w:rsidTr="00077638">
        <w:trPr>
          <w:trHeight w:val="270"/>
        </w:trPr>
        <w:tc>
          <w:tcPr>
            <w:tcW w:w="1843" w:type="dxa"/>
            <w:vMerge/>
            <w:tcBorders>
              <w:top w:val="nil"/>
              <w:left w:val="single" w:sz="4" w:space="0" w:color="auto"/>
              <w:bottom w:val="single" w:sz="4" w:space="0" w:color="auto"/>
              <w:right w:val="single" w:sz="4" w:space="0" w:color="auto"/>
            </w:tcBorders>
            <w:vAlign w:val="center"/>
            <w:hideMark/>
          </w:tcPr>
          <w:p w14:paraId="73F603EE" w14:textId="77777777" w:rsidR="00EC492E" w:rsidRPr="00824D31" w:rsidRDefault="00EC492E" w:rsidP="00E80077">
            <w:pPr>
              <w:ind w:firstLine="0"/>
            </w:pPr>
          </w:p>
        </w:tc>
        <w:tc>
          <w:tcPr>
            <w:tcW w:w="1691" w:type="dxa"/>
            <w:tcBorders>
              <w:top w:val="nil"/>
              <w:left w:val="nil"/>
              <w:bottom w:val="single" w:sz="4" w:space="0" w:color="auto"/>
              <w:right w:val="single" w:sz="4" w:space="0" w:color="auto"/>
            </w:tcBorders>
            <w:noWrap/>
            <w:vAlign w:val="bottom"/>
            <w:hideMark/>
          </w:tcPr>
          <w:p w14:paraId="4001A7D0" w14:textId="77777777" w:rsidR="00EC492E" w:rsidRPr="00824D31" w:rsidRDefault="00EC492E" w:rsidP="00E80077">
            <w:pPr>
              <w:ind w:firstLine="0"/>
            </w:pPr>
            <w:r w:rsidRPr="00824D31">
              <w:t>724</w:t>
            </w:r>
          </w:p>
        </w:tc>
        <w:tc>
          <w:tcPr>
            <w:tcW w:w="3554" w:type="dxa"/>
            <w:tcBorders>
              <w:top w:val="nil"/>
              <w:left w:val="nil"/>
              <w:bottom w:val="single" w:sz="4" w:space="0" w:color="auto"/>
              <w:right w:val="single" w:sz="4" w:space="0" w:color="auto"/>
            </w:tcBorders>
            <w:vAlign w:val="center"/>
            <w:hideMark/>
          </w:tcPr>
          <w:p w14:paraId="1A8FB533" w14:textId="77777777" w:rsidR="00EC492E" w:rsidRPr="00824D31" w:rsidRDefault="00EC492E" w:rsidP="00E80077">
            <w:pPr>
              <w:ind w:firstLine="0"/>
            </w:pPr>
            <w:r w:rsidRPr="00824D31">
              <w:t>Здания очистных сооружений</w:t>
            </w:r>
          </w:p>
        </w:tc>
        <w:tc>
          <w:tcPr>
            <w:tcW w:w="1417" w:type="dxa"/>
            <w:tcBorders>
              <w:top w:val="nil"/>
              <w:left w:val="nil"/>
              <w:bottom w:val="single" w:sz="4" w:space="0" w:color="auto"/>
              <w:right w:val="single" w:sz="4" w:space="0" w:color="auto"/>
            </w:tcBorders>
            <w:noWrap/>
            <w:vAlign w:val="bottom"/>
            <w:hideMark/>
          </w:tcPr>
          <w:p w14:paraId="162728D1" w14:textId="77777777" w:rsidR="00EC492E" w:rsidRPr="00824D31" w:rsidRDefault="00EC492E" w:rsidP="00E80077">
            <w:pPr>
              <w:ind w:firstLine="0"/>
            </w:pPr>
            <w:r w:rsidRPr="00824D31">
              <w:t>186</w:t>
            </w:r>
          </w:p>
        </w:tc>
        <w:tc>
          <w:tcPr>
            <w:tcW w:w="1076" w:type="dxa"/>
            <w:tcBorders>
              <w:top w:val="nil"/>
              <w:left w:val="nil"/>
              <w:bottom w:val="single" w:sz="4" w:space="0" w:color="auto"/>
              <w:right w:val="single" w:sz="4" w:space="0" w:color="auto"/>
            </w:tcBorders>
            <w:noWrap/>
            <w:vAlign w:val="bottom"/>
            <w:hideMark/>
          </w:tcPr>
          <w:p w14:paraId="775591BF" w14:textId="77777777" w:rsidR="00EC492E" w:rsidRPr="00824D31" w:rsidRDefault="00EC492E" w:rsidP="00E80077">
            <w:pPr>
              <w:ind w:firstLine="0"/>
            </w:pPr>
            <w:r w:rsidRPr="00824D31">
              <w:t>0,66%</w:t>
            </w:r>
          </w:p>
        </w:tc>
      </w:tr>
      <w:tr w:rsidR="00EC492E" w:rsidRPr="00824D31" w14:paraId="3EA4D466" w14:textId="77777777" w:rsidTr="00077638">
        <w:trPr>
          <w:trHeight w:val="270"/>
        </w:trPr>
        <w:tc>
          <w:tcPr>
            <w:tcW w:w="1843" w:type="dxa"/>
            <w:vMerge/>
            <w:tcBorders>
              <w:top w:val="nil"/>
              <w:left w:val="single" w:sz="4" w:space="0" w:color="auto"/>
              <w:bottom w:val="single" w:sz="4" w:space="0" w:color="auto"/>
              <w:right w:val="single" w:sz="4" w:space="0" w:color="auto"/>
            </w:tcBorders>
            <w:vAlign w:val="center"/>
            <w:hideMark/>
          </w:tcPr>
          <w:p w14:paraId="30329B68" w14:textId="77777777" w:rsidR="00EC492E" w:rsidRPr="00824D31" w:rsidRDefault="00EC492E" w:rsidP="00E80077">
            <w:pPr>
              <w:ind w:firstLine="0"/>
            </w:pPr>
          </w:p>
        </w:tc>
        <w:tc>
          <w:tcPr>
            <w:tcW w:w="1691" w:type="dxa"/>
            <w:tcBorders>
              <w:top w:val="nil"/>
              <w:left w:val="nil"/>
              <w:bottom w:val="single" w:sz="4" w:space="0" w:color="auto"/>
              <w:right w:val="single" w:sz="4" w:space="0" w:color="auto"/>
            </w:tcBorders>
            <w:noWrap/>
            <w:vAlign w:val="bottom"/>
            <w:hideMark/>
          </w:tcPr>
          <w:p w14:paraId="2080A260" w14:textId="77777777" w:rsidR="00EC492E" w:rsidRPr="00824D31" w:rsidRDefault="00EC492E" w:rsidP="00E80077">
            <w:pPr>
              <w:ind w:firstLine="0"/>
            </w:pPr>
            <w:r w:rsidRPr="00824D31">
              <w:t>725</w:t>
            </w:r>
          </w:p>
        </w:tc>
        <w:tc>
          <w:tcPr>
            <w:tcW w:w="3554" w:type="dxa"/>
            <w:tcBorders>
              <w:top w:val="nil"/>
              <w:left w:val="nil"/>
              <w:bottom w:val="single" w:sz="4" w:space="0" w:color="auto"/>
              <w:right w:val="single" w:sz="4" w:space="0" w:color="auto"/>
            </w:tcBorders>
            <w:vAlign w:val="center"/>
            <w:hideMark/>
          </w:tcPr>
          <w:p w14:paraId="01E1FC32" w14:textId="77777777" w:rsidR="00EC492E" w:rsidRPr="00824D31" w:rsidRDefault="00EC492E" w:rsidP="00E80077">
            <w:pPr>
              <w:ind w:firstLine="0"/>
            </w:pPr>
            <w:r w:rsidRPr="00824D31">
              <w:t>Весовые автомобильные</w:t>
            </w:r>
          </w:p>
        </w:tc>
        <w:tc>
          <w:tcPr>
            <w:tcW w:w="1417" w:type="dxa"/>
            <w:tcBorders>
              <w:top w:val="nil"/>
              <w:left w:val="nil"/>
              <w:bottom w:val="single" w:sz="4" w:space="0" w:color="auto"/>
              <w:right w:val="single" w:sz="4" w:space="0" w:color="auto"/>
            </w:tcBorders>
            <w:noWrap/>
            <w:vAlign w:val="bottom"/>
            <w:hideMark/>
          </w:tcPr>
          <w:p w14:paraId="5594A9EF" w14:textId="77777777" w:rsidR="00EC492E" w:rsidRPr="00824D31" w:rsidRDefault="00EC492E" w:rsidP="00E80077">
            <w:pPr>
              <w:ind w:firstLine="0"/>
            </w:pPr>
            <w:r w:rsidRPr="00824D31">
              <w:t>69</w:t>
            </w:r>
          </w:p>
        </w:tc>
        <w:tc>
          <w:tcPr>
            <w:tcW w:w="1076" w:type="dxa"/>
            <w:tcBorders>
              <w:top w:val="nil"/>
              <w:left w:val="nil"/>
              <w:bottom w:val="single" w:sz="4" w:space="0" w:color="auto"/>
              <w:right w:val="single" w:sz="4" w:space="0" w:color="auto"/>
            </w:tcBorders>
            <w:noWrap/>
            <w:vAlign w:val="bottom"/>
            <w:hideMark/>
          </w:tcPr>
          <w:p w14:paraId="43481044" w14:textId="77777777" w:rsidR="00EC492E" w:rsidRPr="00824D31" w:rsidRDefault="00EC492E" w:rsidP="00E80077">
            <w:pPr>
              <w:ind w:firstLine="0"/>
            </w:pPr>
            <w:r w:rsidRPr="00824D31">
              <w:t>0,24%</w:t>
            </w:r>
          </w:p>
        </w:tc>
      </w:tr>
      <w:tr w:rsidR="00EC492E" w:rsidRPr="00824D31" w14:paraId="1D11A307" w14:textId="77777777" w:rsidTr="00077638">
        <w:trPr>
          <w:trHeight w:val="270"/>
        </w:trPr>
        <w:tc>
          <w:tcPr>
            <w:tcW w:w="1843" w:type="dxa"/>
            <w:vMerge/>
            <w:tcBorders>
              <w:top w:val="nil"/>
              <w:left w:val="single" w:sz="4" w:space="0" w:color="auto"/>
              <w:bottom w:val="single" w:sz="4" w:space="0" w:color="auto"/>
              <w:right w:val="single" w:sz="4" w:space="0" w:color="auto"/>
            </w:tcBorders>
            <w:vAlign w:val="center"/>
            <w:hideMark/>
          </w:tcPr>
          <w:p w14:paraId="547522C6" w14:textId="77777777" w:rsidR="00EC492E" w:rsidRPr="00824D31" w:rsidRDefault="00EC492E" w:rsidP="00E80077">
            <w:pPr>
              <w:ind w:firstLine="0"/>
            </w:pPr>
          </w:p>
        </w:tc>
        <w:tc>
          <w:tcPr>
            <w:tcW w:w="1691" w:type="dxa"/>
            <w:tcBorders>
              <w:top w:val="nil"/>
              <w:left w:val="nil"/>
              <w:bottom w:val="single" w:sz="4" w:space="0" w:color="auto"/>
              <w:right w:val="single" w:sz="4" w:space="0" w:color="auto"/>
            </w:tcBorders>
            <w:noWrap/>
            <w:vAlign w:val="bottom"/>
            <w:hideMark/>
          </w:tcPr>
          <w:p w14:paraId="2CC3D7FA" w14:textId="77777777" w:rsidR="00EC492E" w:rsidRPr="00824D31" w:rsidRDefault="00EC492E" w:rsidP="00E80077">
            <w:pPr>
              <w:ind w:firstLine="0"/>
            </w:pPr>
            <w:r w:rsidRPr="00824D31">
              <w:t>727</w:t>
            </w:r>
          </w:p>
        </w:tc>
        <w:tc>
          <w:tcPr>
            <w:tcW w:w="3554" w:type="dxa"/>
            <w:tcBorders>
              <w:top w:val="nil"/>
              <w:left w:val="nil"/>
              <w:bottom w:val="single" w:sz="4" w:space="0" w:color="auto"/>
              <w:right w:val="single" w:sz="4" w:space="0" w:color="auto"/>
            </w:tcBorders>
            <w:vAlign w:val="center"/>
            <w:hideMark/>
          </w:tcPr>
          <w:p w14:paraId="704167AF" w14:textId="77777777" w:rsidR="00EC492E" w:rsidRPr="00824D31" w:rsidRDefault="00EC492E" w:rsidP="00E80077">
            <w:pPr>
              <w:ind w:firstLine="0"/>
            </w:pPr>
            <w:r w:rsidRPr="00824D31">
              <w:t>Здания ангарного типа</w:t>
            </w:r>
          </w:p>
        </w:tc>
        <w:tc>
          <w:tcPr>
            <w:tcW w:w="1417" w:type="dxa"/>
            <w:tcBorders>
              <w:top w:val="nil"/>
              <w:left w:val="nil"/>
              <w:bottom w:val="single" w:sz="4" w:space="0" w:color="auto"/>
              <w:right w:val="single" w:sz="4" w:space="0" w:color="auto"/>
            </w:tcBorders>
            <w:noWrap/>
            <w:vAlign w:val="bottom"/>
            <w:hideMark/>
          </w:tcPr>
          <w:p w14:paraId="1833AAEC" w14:textId="77777777" w:rsidR="00EC492E" w:rsidRPr="00824D31" w:rsidRDefault="00EC492E" w:rsidP="00E80077">
            <w:pPr>
              <w:ind w:firstLine="0"/>
            </w:pPr>
            <w:r w:rsidRPr="00824D31">
              <w:t>29</w:t>
            </w:r>
          </w:p>
        </w:tc>
        <w:tc>
          <w:tcPr>
            <w:tcW w:w="1076" w:type="dxa"/>
            <w:tcBorders>
              <w:top w:val="nil"/>
              <w:left w:val="nil"/>
              <w:bottom w:val="single" w:sz="4" w:space="0" w:color="auto"/>
              <w:right w:val="single" w:sz="4" w:space="0" w:color="auto"/>
            </w:tcBorders>
            <w:noWrap/>
            <w:vAlign w:val="bottom"/>
            <w:hideMark/>
          </w:tcPr>
          <w:p w14:paraId="1130ED70" w14:textId="77777777" w:rsidR="00EC492E" w:rsidRPr="00824D31" w:rsidRDefault="00EC492E" w:rsidP="00E80077">
            <w:pPr>
              <w:ind w:firstLine="0"/>
            </w:pPr>
            <w:r w:rsidRPr="00824D31">
              <w:t>0,10%</w:t>
            </w:r>
          </w:p>
        </w:tc>
      </w:tr>
      <w:tr w:rsidR="00EC492E" w:rsidRPr="00824D31" w14:paraId="22D6DFAF" w14:textId="77777777" w:rsidTr="00077638">
        <w:trPr>
          <w:trHeight w:val="270"/>
        </w:trPr>
        <w:tc>
          <w:tcPr>
            <w:tcW w:w="1843" w:type="dxa"/>
            <w:vMerge/>
            <w:tcBorders>
              <w:top w:val="nil"/>
              <w:left w:val="single" w:sz="4" w:space="0" w:color="auto"/>
              <w:bottom w:val="single" w:sz="4" w:space="0" w:color="auto"/>
              <w:right w:val="single" w:sz="4" w:space="0" w:color="auto"/>
            </w:tcBorders>
            <w:vAlign w:val="center"/>
            <w:hideMark/>
          </w:tcPr>
          <w:p w14:paraId="48A80601" w14:textId="77777777" w:rsidR="00EC492E" w:rsidRPr="00824D31" w:rsidRDefault="00EC492E" w:rsidP="00E80077">
            <w:pPr>
              <w:ind w:firstLine="0"/>
            </w:pPr>
          </w:p>
        </w:tc>
        <w:tc>
          <w:tcPr>
            <w:tcW w:w="1691" w:type="dxa"/>
            <w:tcBorders>
              <w:top w:val="nil"/>
              <w:left w:val="nil"/>
              <w:bottom w:val="single" w:sz="4" w:space="0" w:color="auto"/>
              <w:right w:val="single" w:sz="4" w:space="0" w:color="auto"/>
            </w:tcBorders>
            <w:noWrap/>
            <w:vAlign w:val="bottom"/>
            <w:hideMark/>
          </w:tcPr>
          <w:p w14:paraId="70FB329F" w14:textId="77777777" w:rsidR="00EC492E" w:rsidRPr="00824D31" w:rsidRDefault="00EC492E" w:rsidP="00E80077">
            <w:pPr>
              <w:ind w:firstLine="0"/>
            </w:pPr>
            <w:r w:rsidRPr="00824D31">
              <w:t>728</w:t>
            </w:r>
          </w:p>
        </w:tc>
        <w:tc>
          <w:tcPr>
            <w:tcW w:w="3554" w:type="dxa"/>
            <w:tcBorders>
              <w:top w:val="nil"/>
              <w:left w:val="nil"/>
              <w:bottom w:val="single" w:sz="4" w:space="0" w:color="auto"/>
              <w:right w:val="single" w:sz="4" w:space="0" w:color="auto"/>
            </w:tcBorders>
            <w:vAlign w:val="center"/>
            <w:hideMark/>
          </w:tcPr>
          <w:p w14:paraId="6FD1EAEE" w14:textId="77777777" w:rsidR="00EC492E" w:rsidRPr="00824D31" w:rsidRDefault="00EC492E" w:rsidP="00E80077">
            <w:pPr>
              <w:ind w:firstLine="0"/>
            </w:pPr>
            <w:r w:rsidRPr="00824D31">
              <w:t>Холодильники</w:t>
            </w:r>
          </w:p>
        </w:tc>
        <w:tc>
          <w:tcPr>
            <w:tcW w:w="1417" w:type="dxa"/>
            <w:tcBorders>
              <w:top w:val="nil"/>
              <w:left w:val="nil"/>
              <w:bottom w:val="single" w:sz="4" w:space="0" w:color="auto"/>
              <w:right w:val="single" w:sz="4" w:space="0" w:color="auto"/>
            </w:tcBorders>
            <w:noWrap/>
            <w:vAlign w:val="bottom"/>
            <w:hideMark/>
          </w:tcPr>
          <w:p w14:paraId="632E9F53" w14:textId="77777777" w:rsidR="00EC492E" w:rsidRPr="00824D31" w:rsidRDefault="00EC492E" w:rsidP="00E80077">
            <w:pPr>
              <w:ind w:firstLine="0"/>
            </w:pPr>
            <w:r w:rsidRPr="00824D31">
              <w:t>32</w:t>
            </w:r>
          </w:p>
        </w:tc>
        <w:tc>
          <w:tcPr>
            <w:tcW w:w="1076" w:type="dxa"/>
            <w:tcBorders>
              <w:top w:val="nil"/>
              <w:left w:val="nil"/>
              <w:bottom w:val="single" w:sz="4" w:space="0" w:color="auto"/>
              <w:right w:val="single" w:sz="4" w:space="0" w:color="auto"/>
            </w:tcBorders>
            <w:noWrap/>
            <w:vAlign w:val="bottom"/>
            <w:hideMark/>
          </w:tcPr>
          <w:p w14:paraId="0EA31E87" w14:textId="77777777" w:rsidR="00EC492E" w:rsidRPr="00824D31" w:rsidRDefault="00EC492E" w:rsidP="00E80077">
            <w:pPr>
              <w:ind w:firstLine="0"/>
            </w:pPr>
            <w:r w:rsidRPr="00824D31">
              <w:t>0,11%</w:t>
            </w:r>
          </w:p>
        </w:tc>
      </w:tr>
      <w:tr w:rsidR="00EC492E" w:rsidRPr="00824D31" w14:paraId="27A6B040" w14:textId="77777777" w:rsidTr="00077638">
        <w:trPr>
          <w:trHeight w:val="270"/>
        </w:trPr>
        <w:tc>
          <w:tcPr>
            <w:tcW w:w="1843" w:type="dxa"/>
            <w:vMerge/>
            <w:tcBorders>
              <w:top w:val="nil"/>
              <w:left w:val="single" w:sz="4" w:space="0" w:color="auto"/>
              <w:bottom w:val="single" w:sz="4" w:space="0" w:color="auto"/>
              <w:right w:val="single" w:sz="4" w:space="0" w:color="auto"/>
            </w:tcBorders>
            <w:vAlign w:val="center"/>
            <w:hideMark/>
          </w:tcPr>
          <w:p w14:paraId="285010B8" w14:textId="77777777" w:rsidR="00EC492E" w:rsidRPr="00824D31" w:rsidRDefault="00EC492E" w:rsidP="00E80077">
            <w:pPr>
              <w:ind w:firstLine="0"/>
            </w:pPr>
          </w:p>
        </w:tc>
        <w:tc>
          <w:tcPr>
            <w:tcW w:w="1691" w:type="dxa"/>
            <w:tcBorders>
              <w:top w:val="nil"/>
              <w:left w:val="nil"/>
              <w:bottom w:val="single" w:sz="4" w:space="0" w:color="auto"/>
              <w:right w:val="single" w:sz="4" w:space="0" w:color="auto"/>
            </w:tcBorders>
            <w:noWrap/>
            <w:vAlign w:val="bottom"/>
            <w:hideMark/>
          </w:tcPr>
          <w:p w14:paraId="229E3C03" w14:textId="77777777" w:rsidR="00EC492E" w:rsidRPr="00824D31" w:rsidRDefault="00EC492E" w:rsidP="00E80077">
            <w:pPr>
              <w:ind w:firstLine="0"/>
            </w:pPr>
            <w:r w:rsidRPr="00824D31">
              <w:t>730</w:t>
            </w:r>
          </w:p>
        </w:tc>
        <w:tc>
          <w:tcPr>
            <w:tcW w:w="3554" w:type="dxa"/>
            <w:tcBorders>
              <w:top w:val="nil"/>
              <w:left w:val="nil"/>
              <w:bottom w:val="single" w:sz="4" w:space="0" w:color="auto"/>
              <w:right w:val="single" w:sz="4" w:space="0" w:color="auto"/>
            </w:tcBorders>
            <w:vAlign w:val="center"/>
            <w:hideMark/>
          </w:tcPr>
          <w:p w14:paraId="2B70F869" w14:textId="77777777" w:rsidR="00EC492E" w:rsidRPr="00824D31" w:rsidRDefault="00EC492E" w:rsidP="00E80077">
            <w:pPr>
              <w:ind w:firstLine="0"/>
            </w:pPr>
            <w:r w:rsidRPr="00824D31">
              <w:t>Станции технического обслуживания автомобилей (СТО), автосервисы</w:t>
            </w:r>
          </w:p>
        </w:tc>
        <w:tc>
          <w:tcPr>
            <w:tcW w:w="1417" w:type="dxa"/>
            <w:tcBorders>
              <w:top w:val="nil"/>
              <w:left w:val="nil"/>
              <w:bottom w:val="single" w:sz="4" w:space="0" w:color="auto"/>
              <w:right w:val="single" w:sz="4" w:space="0" w:color="auto"/>
            </w:tcBorders>
            <w:noWrap/>
            <w:vAlign w:val="bottom"/>
            <w:hideMark/>
          </w:tcPr>
          <w:p w14:paraId="27F6AC43" w14:textId="37A09347" w:rsidR="00EC492E" w:rsidRPr="00824D31" w:rsidRDefault="00EC492E" w:rsidP="00631CA6">
            <w:pPr>
              <w:ind w:firstLine="0"/>
            </w:pPr>
            <w:r w:rsidRPr="00824D31">
              <w:t>17</w:t>
            </w:r>
            <w:r w:rsidR="00631CA6">
              <w:t>2</w:t>
            </w:r>
          </w:p>
        </w:tc>
        <w:tc>
          <w:tcPr>
            <w:tcW w:w="1076" w:type="dxa"/>
            <w:tcBorders>
              <w:top w:val="nil"/>
              <w:left w:val="nil"/>
              <w:bottom w:val="single" w:sz="4" w:space="0" w:color="auto"/>
              <w:right w:val="single" w:sz="4" w:space="0" w:color="auto"/>
            </w:tcBorders>
            <w:noWrap/>
            <w:vAlign w:val="bottom"/>
            <w:hideMark/>
          </w:tcPr>
          <w:p w14:paraId="3D3B5132" w14:textId="77777777" w:rsidR="00EC492E" w:rsidRPr="00824D31" w:rsidRDefault="00EC492E" w:rsidP="00E80077">
            <w:pPr>
              <w:ind w:firstLine="0"/>
            </w:pPr>
            <w:r w:rsidRPr="00824D31">
              <w:t>0,61%</w:t>
            </w:r>
          </w:p>
        </w:tc>
      </w:tr>
      <w:tr w:rsidR="00EC492E" w:rsidRPr="00824D31" w14:paraId="033E2A90" w14:textId="77777777" w:rsidTr="00077638">
        <w:trPr>
          <w:trHeight w:val="270"/>
        </w:trPr>
        <w:tc>
          <w:tcPr>
            <w:tcW w:w="1843" w:type="dxa"/>
            <w:vMerge/>
            <w:tcBorders>
              <w:top w:val="nil"/>
              <w:left w:val="single" w:sz="4" w:space="0" w:color="auto"/>
              <w:bottom w:val="single" w:sz="4" w:space="0" w:color="auto"/>
              <w:right w:val="single" w:sz="4" w:space="0" w:color="auto"/>
            </w:tcBorders>
            <w:vAlign w:val="center"/>
            <w:hideMark/>
          </w:tcPr>
          <w:p w14:paraId="40C44CDC" w14:textId="77777777" w:rsidR="00EC492E" w:rsidRPr="00824D31" w:rsidRDefault="00EC492E" w:rsidP="00E80077">
            <w:pPr>
              <w:ind w:firstLine="0"/>
            </w:pPr>
          </w:p>
        </w:tc>
        <w:tc>
          <w:tcPr>
            <w:tcW w:w="1691" w:type="dxa"/>
            <w:tcBorders>
              <w:top w:val="nil"/>
              <w:left w:val="nil"/>
              <w:bottom w:val="single" w:sz="4" w:space="0" w:color="auto"/>
              <w:right w:val="single" w:sz="4" w:space="0" w:color="auto"/>
            </w:tcBorders>
            <w:noWrap/>
            <w:vAlign w:val="bottom"/>
            <w:hideMark/>
          </w:tcPr>
          <w:p w14:paraId="45C563F2" w14:textId="77777777" w:rsidR="00EC492E" w:rsidRPr="00824D31" w:rsidRDefault="00EC492E" w:rsidP="00E80077">
            <w:pPr>
              <w:ind w:firstLine="0"/>
            </w:pPr>
            <w:r w:rsidRPr="00824D31">
              <w:t>731</w:t>
            </w:r>
          </w:p>
        </w:tc>
        <w:tc>
          <w:tcPr>
            <w:tcW w:w="3554" w:type="dxa"/>
            <w:tcBorders>
              <w:top w:val="nil"/>
              <w:left w:val="nil"/>
              <w:bottom w:val="single" w:sz="4" w:space="0" w:color="auto"/>
              <w:right w:val="single" w:sz="4" w:space="0" w:color="auto"/>
            </w:tcBorders>
            <w:vAlign w:val="center"/>
            <w:hideMark/>
          </w:tcPr>
          <w:p w14:paraId="40981474" w14:textId="77777777" w:rsidR="00EC492E" w:rsidRPr="00824D31" w:rsidRDefault="00EC492E" w:rsidP="00E80077">
            <w:pPr>
              <w:ind w:firstLine="0"/>
            </w:pPr>
            <w:r w:rsidRPr="00824D31">
              <w:t>Ангары для самолетов, вертолетов и других летательных аппаратов</w:t>
            </w:r>
          </w:p>
        </w:tc>
        <w:tc>
          <w:tcPr>
            <w:tcW w:w="1417" w:type="dxa"/>
            <w:tcBorders>
              <w:top w:val="nil"/>
              <w:left w:val="nil"/>
              <w:bottom w:val="single" w:sz="4" w:space="0" w:color="auto"/>
              <w:right w:val="single" w:sz="4" w:space="0" w:color="auto"/>
            </w:tcBorders>
            <w:noWrap/>
            <w:vAlign w:val="bottom"/>
            <w:hideMark/>
          </w:tcPr>
          <w:p w14:paraId="2555824E" w14:textId="77777777" w:rsidR="00EC492E" w:rsidRPr="00824D31" w:rsidRDefault="00EC492E" w:rsidP="00E80077">
            <w:pPr>
              <w:ind w:firstLine="0"/>
            </w:pPr>
            <w:r w:rsidRPr="00824D31">
              <w:t>9</w:t>
            </w:r>
          </w:p>
        </w:tc>
        <w:tc>
          <w:tcPr>
            <w:tcW w:w="1076" w:type="dxa"/>
            <w:tcBorders>
              <w:top w:val="nil"/>
              <w:left w:val="nil"/>
              <w:bottom w:val="single" w:sz="4" w:space="0" w:color="auto"/>
              <w:right w:val="single" w:sz="4" w:space="0" w:color="auto"/>
            </w:tcBorders>
            <w:noWrap/>
            <w:vAlign w:val="bottom"/>
            <w:hideMark/>
          </w:tcPr>
          <w:p w14:paraId="5C74ADD8" w14:textId="77777777" w:rsidR="00EC492E" w:rsidRPr="00824D31" w:rsidRDefault="00EC492E" w:rsidP="00E80077">
            <w:pPr>
              <w:ind w:firstLine="0"/>
            </w:pPr>
            <w:r w:rsidRPr="00824D31">
              <w:t>0,03%</w:t>
            </w:r>
          </w:p>
        </w:tc>
      </w:tr>
      <w:tr w:rsidR="00EC492E" w:rsidRPr="00824D31" w14:paraId="5AF11265" w14:textId="77777777" w:rsidTr="00077638">
        <w:trPr>
          <w:trHeight w:val="510"/>
        </w:trPr>
        <w:tc>
          <w:tcPr>
            <w:tcW w:w="1843" w:type="dxa"/>
            <w:vMerge/>
            <w:tcBorders>
              <w:top w:val="nil"/>
              <w:left w:val="single" w:sz="4" w:space="0" w:color="auto"/>
              <w:bottom w:val="single" w:sz="4" w:space="0" w:color="auto"/>
              <w:right w:val="single" w:sz="4" w:space="0" w:color="auto"/>
            </w:tcBorders>
            <w:vAlign w:val="center"/>
            <w:hideMark/>
          </w:tcPr>
          <w:p w14:paraId="02F389CB" w14:textId="77777777" w:rsidR="00EC492E" w:rsidRPr="00824D31" w:rsidRDefault="00EC492E" w:rsidP="00E80077">
            <w:pPr>
              <w:ind w:firstLine="0"/>
            </w:pPr>
          </w:p>
        </w:tc>
        <w:tc>
          <w:tcPr>
            <w:tcW w:w="1691" w:type="dxa"/>
            <w:tcBorders>
              <w:top w:val="nil"/>
              <w:left w:val="nil"/>
              <w:bottom w:val="single" w:sz="4" w:space="0" w:color="auto"/>
              <w:right w:val="single" w:sz="4" w:space="0" w:color="auto"/>
            </w:tcBorders>
            <w:noWrap/>
            <w:vAlign w:val="bottom"/>
            <w:hideMark/>
          </w:tcPr>
          <w:p w14:paraId="53F9DC0E" w14:textId="77777777" w:rsidR="00EC492E" w:rsidRPr="00824D31" w:rsidRDefault="00EC492E" w:rsidP="00E80077">
            <w:pPr>
              <w:ind w:firstLine="0"/>
            </w:pPr>
            <w:r w:rsidRPr="00824D31">
              <w:t>732</w:t>
            </w:r>
          </w:p>
        </w:tc>
        <w:tc>
          <w:tcPr>
            <w:tcW w:w="3554" w:type="dxa"/>
            <w:tcBorders>
              <w:top w:val="nil"/>
              <w:left w:val="nil"/>
              <w:bottom w:val="single" w:sz="4" w:space="0" w:color="auto"/>
              <w:right w:val="single" w:sz="4" w:space="0" w:color="auto"/>
            </w:tcBorders>
            <w:vAlign w:val="center"/>
            <w:hideMark/>
          </w:tcPr>
          <w:p w14:paraId="337BF57A" w14:textId="77777777" w:rsidR="00EC492E" w:rsidRPr="00824D31" w:rsidRDefault="00EC492E" w:rsidP="00E80077">
            <w:pPr>
              <w:ind w:firstLine="0"/>
            </w:pPr>
            <w:r w:rsidRPr="00824D31">
              <w:t>Депо железнодорожные, локомотивные, метрополитена, электродепо, трамвайные, троллейбусные</w:t>
            </w:r>
          </w:p>
        </w:tc>
        <w:tc>
          <w:tcPr>
            <w:tcW w:w="1417" w:type="dxa"/>
            <w:tcBorders>
              <w:top w:val="nil"/>
              <w:left w:val="nil"/>
              <w:bottom w:val="single" w:sz="4" w:space="0" w:color="auto"/>
              <w:right w:val="single" w:sz="4" w:space="0" w:color="auto"/>
            </w:tcBorders>
            <w:noWrap/>
            <w:vAlign w:val="bottom"/>
            <w:hideMark/>
          </w:tcPr>
          <w:p w14:paraId="358506D6" w14:textId="77777777" w:rsidR="00EC492E" w:rsidRPr="00824D31" w:rsidRDefault="00EC492E" w:rsidP="00E80077">
            <w:pPr>
              <w:ind w:firstLine="0"/>
            </w:pPr>
            <w:r w:rsidRPr="00824D31">
              <w:t>43</w:t>
            </w:r>
          </w:p>
        </w:tc>
        <w:tc>
          <w:tcPr>
            <w:tcW w:w="1076" w:type="dxa"/>
            <w:tcBorders>
              <w:top w:val="nil"/>
              <w:left w:val="nil"/>
              <w:bottom w:val="single" w:sz="4" w:space="0" w:color="auto"/>
              <w:right w:val="single" w:sz="4" w:space="0" w:color="auto"/>
            </w:tcBorders>
            <w:noWrap/>
            <w:vAlign w:val="bottom"/>
            <w:hideMark/>
          </w:tcPr>
          <w:p w14:paraId="4B641E74" w14:textId="77777777" w:rsidR="00EC492E" w:rsidRPr="00824D31" w:rsidRDefault="00EC492E" w:rsidP="00E80077">
            <w:pPr>
              <w:ind w:firstLine="0"/>
            </w:pPr>
            <w:r w:rsidRPr="00824D31">
              <w:t>0,15%</w:t>
            </w:r>
          </w:p>
        </w:tc>
      </w:tr>
      <w:tr w:rsidR="00EC492E" w:rsidRPr="00824D31" w14:paraId="1518E3BA" w14:textId="77777777" w:rsidTr="00077638">
        <w:trPr>
          <w:trHeight w:val="255"/>
        </w:trPr>
        <w:tc>
          <w:tcPr>
            <w:tcW w:w="1843" w:type="dxa"/>
            <w:tcBorders>
              <w:top w:val="nil"/>
              <w:left w:val="single" w:sz="4" w:space="0" w:color="auto"/>
              <w:bottom w:val="single" w:sz="4" w:space="0" w:color="auto"/>
              <w:right w:val="single" w:sz="4" w:space="0" w:color="auto"/>
            </w:tcBorders>
            <w:noWrap/>
            <w:vAlign w:val="bottom"/>
            <w:hideMark/>
          </w:tcPr>
          <w:p w14:paraId="6D5B86C1" w14:textId="77777777" w:rsidR="00EC492E" w:rsidRPr="00824D31" w:rsidRDefault="00EC492E" w:rsidP="00E80077">
            <w:pPr>
              <w:ind w:firstLine="0"/>
            </w:pPr>
            <w:r w:rsidRPr="00824D31">
              <w:t> </w:t>
            </w:r>
          </w:p>
        </w:tc>
        <w:tc>
          <w:tcPr>
            <w:tcW w:w="1691" w:type="dxa"/>
            <w:tcBorders>
              <w:top w:val="nil"/>
              <w:left w:val="nil"/>
              <w:bottom w:val="single" w:sz="4" w:space="0" w:color="auto"/>
              <w:right w:val="single" w:sz="4" w:space="0" w:color="auto"/>
            </w:tcBorders>
            <w:noWrap/>
            <w:vAlign w:val="bottom"/>
            <w:hideMark/>
          </w:tcPr>
          <w:p w14:paraId="6B4D80B0" w14:textId="77777777" w:rsidR="00EC492E" w:rsidRPr="00824D31" w:rsidRDefault="00EC492E" w:rsidP="00E80077">
            <w:pPr>
              <w:ind w:firstLine="0"/>
            </w:pPr>
            <w:r w:rsidRPr="00824D31">
              <w:t> </w:t>
            </w:r>
          </w:p>
        </w:tc>
        <w:tc>
          <w:tcPr>
            <w:tcW w:w="3554" w:type="dxa"/>
            <w:tcBorders>
              <w:top w:val="nil"/>
              <w:left w:val="nil"/>
              <w:bottom w:val="single" w:sz="4" w:space="0" w:color="auto"/>
              <w:right w:val="single" w:sz="4" w:space="0" w:color="auto"/>
            </w:tcBorders>
            <w:noWrap/>
            <w:vAlign w:val="bottom"/>
            <w:hideMark/>
          </w:tcPr>
          <w:p w14:paraId="174ED368" w14:textId="77777777" w:rsidR="00EC492E" w:rsidRPr="00824D31" w:rsidRDefault="00EC492E" w:rsidP="00E80077">
            <w:pPr>
              <w:ind w:firstLine="0"/>
            </w:pPr>
            <w:r w:rsidRPr="00824D31">
              <w:t>Итого</w:t>
            </w:r>
          </w:p>
        </w:tc>
        <w:tc>
          <w:tcPr>
            <w:tcW w:w="1417" w:type="dxa"/>
            <w:tcBorders>
              <w:top w:val="nil"/>
              <w:left w:val="nil"/>
              <w:bottom w:val="single" w:sz="4" w:space="0" w:color="auto"/>
              <w:right w:val="single" w:sz="4" w:space="0" w:color="auto"/>
            </w:tcBorders>
            <w:noWrap/>
            <w:vAlign w:val="bottom"/>
            <w:hideMark/>
          </w:tcPr>
          <w:p w14:paraId="4610ECCF" w14:textId="052F1119" w:rsidR="00EC492E" w:rsidRPr="00824D31" w:rsidRDefault="00EC492E" w:rsidP="00631CA6">
            <w:pPr>
              <w:ind w:firstLine="0"/>
            </w:pPr>
            <w:r w:rsidRPr="00824D31">
              <w:t>2826</w:t>
            </w:r>
            <w:r w:rsidR="00631CA6">
              <w:t>0</w:t>
            </w:r>
          </w:p>
        </w:tc>
        <w:tc>
          <w:tcPr>
            <w:tcW w:w="1076" w:type="dxa"/>
            <w:tcBorders>
              <w:top w:val="nil"/>
              <w:left w:val="nil"/>
              <w:bottom w:val="single" w:sz="4" w:space="0" w:color="auto"/>
              <w:right w:val="single" w:sz="4" w:space="0" w:color="auto"/>
            </w:tcBorders>
            <w:noWrap/>
            <w:vAlign w:val="bottom"/>
            <w:hideMark/>
          </w:tcPr>
          <w:p w14:paraId="1259AB9A" w14:textId="77777777" w:rsidR="00EC492E" w:rsidRPr="00824D31" w:rsidRDefault="00EC492E" w:rsidP="00E80077">
            <w:pPr>
              <w:ind w:firstLine="0"/>
            </w:pPr>
            <w:r w:rsidRPr="00824D31">
              <w:t>100,00%</w:t>
            </w:r>
          </w:p>
        </w:tc>
      </w:tr>
    </w:tbl>
    <w:p w14:paraId="76E5138F" w14:textId="77777777" w:rsidR="00EC492E" w:rsidRPr="00824D31" w:rsidRDefault="00EC492E" w:rsidP="00EC492E"/>
    <w:p w14:paraId="4D2C4F9B" w14:textId="77777777" w:rsidR="00EC492E" w:rsidRPr="00824D31" w:rsidRDefault="00EC492E" w:rsidP="00EC492E">
      <w:r w:rsidRPr="00824D31">
        <w:t>Основную часть Объектов рассматриваемой группы составляют «Складские здания кроме ангаров» - 19,52%, «Котельные» - 16,26%, «Производственные, производственно - складские и производственно - административные здания площадью 100 и более кв. м.» - 15,27%.</w:t>
      </w:r>
    </w:p>
    <w:p w14:paraId="37F6D47C" w14:textId="77777777" w:rsidR="00EC492E" w:rsidRPr="00824D31" w:rsidRDefault="00EC492E" w:rsidP="00EC492E">
      <w:r w:rsidRPr="00824D31">
        <w:t>Объекты недвижимости 7 группы были разбиты на подгруппы по следующим критериям:</w:t>
      </w:r>
    </w:p>
    <w:p w14:paraId="13427776" w14:textId="77777777" w:rsidR="00EC492E" w:rsidRPr="00824D31" w:rsidRDefault="00EC492E" w:rsidP="00EC492E">
      <w:r w:rsidRPr="00824D31">
        <w:t>1. В зависимости от степени готовности объекта:</w:t>
      </w:r>
    </w:p>
    <w:p w14:paraId="77ED983F" w14:textId="77777777" w:rsidR="00EC492E" w:rsidRPr="00824D31" w:rsidRDefault="00EC492E" w:rsidP="00EC492E">
      <w:r w:rsidRPr="00824D31">
        <w:t xml:space="preserve">- объекты, строительство которых завершено (здания, помещения, сооружения, единые недвижимые комплексы); </w:t>
      </w:r>
    </w:p>
    <w:p w14:paraId="70F6936F" w14:textId="77777777" w:rsidR="00EC492E" w:rsidRPr="00824D31" w:rsidRDefault="00EC492E" w:rsidP="00EC492E">
      <w:r w:rsidRPr="00824D31">
        <w:t>-объекты незавершенного строительства.</w:t>
      </w:r>
    </w:p>
    <w:p w14:paraId="3E82EE8E" w14:textId="77777777" w:rsidR="00EC492E" w:rsidRPr="00824D31" w:rsidRDefault="00EC492E" w:rsidP="00EC492E">
      <w:r w:rsidRPr="00824D31">
        <w:t>2. в зависимости от местоположения:</w:t>
      </w:r>
    </w:p>
    <w:p w14:paraId="40068059" w14:textId="77777777" w:rsidR="00EC492E" w:rsidRPr="00824D31" w:rsidRDefault="00EC492E" w:rsidP="00EC492E">
      <w:r w:rsidRPr="00824D31">
        <w:t>- объекты, точное местоположение которых возможно установить;</w:t>
      </w:r>
    </w:p>
    <w:p w14:paraId="5476AA1A" w14:textId="77777777" w:rsidR="00EC492E" w:rsidRPr="00824D31" w:rsidRDefault="00EC492E" w:rsidP="00EC492E">
      <w:r w:rsidRPr="00824D31">
        <w:t xml:space="preserve">- объекты, точное местоположение которых невозможно установить. </w:t>
      </w:r>
    </w:p>
    <w:p w14:paraId="67688421" w14:textId="3BD4FA4A" w:rsidR="00EC492E" w:rsidRPr="00824D31" w:rsidRDefault="00EC492E" w:rsidP="00EC492E">
      <w:r w:rsidRPr="00824D31">
        <w:t>В подгруппу объектов, точное местоположение которых возможно установить</w:t>
      </w:r>
      <w:r w:rsidR="005A6F55">
        <w:t xml:space="preserve">, </w:t>
      </w:r>
      <w:r w:rsidRPr="00824D31">
        <w:t>относятся объекты, местоположение которых:</w:t>
      </w:r>
    </w:p>
    <w:p w14:paraId="2FA1DA47" w14:textId="77777777" w:rsidR="00EC492E" w:rsidRPr="00824D31" w:rsidRDefault="00EC492E" w:rsidP="00EC492E">
      <w:r w:rsidRPr="00824D31">
        <w:t>- возможно установить до уровня дома;</w:t>
      </w:r>
    </w:p>
    <w:p w14:paraId="6F3FAC08" w14:textId="77777777" w:rsidR="00EC492E" w:rsidRPr="00824D31" w:rsidRDefault="00EC492E" w:rsidP="00EC492E">
      <w:r w:rsidRPr="00824D31">
        <w:t>- возможно установить до уровня улицы;</w:t>
      </w:r>
    </w:p>
    <w:p w14:paraId="78B7B1BA" w14:textId="77777777" w:rsidR="00EC492E" w:rsidRPr="00824D31" w:rsidRDefault="00EC492E" w:rsidP="00EC492E">
      <w:r w:rsidRPr="00824D31">
        <w:t>- возможно установить до уровня кадастрового квартала.</w:t>
      </w:r>
    </w:p>
    <w:p w14:paraId="3A2A3278" w14:textId="77777777" w:rsidR="00EC492E" w:rsidRPr="00824D31" w:rsidRDefault="00EC492E" w:rsidP="00EC492E">
      <w:r w:rsidRPr="00824D31">
        <w:t>При этом для объектов, расположенных в сельских населенных пунктах, отнесенных в подгруппу объектов, точное местоположение которых возможно установить, допустимым является установление местоположения до уровня населенного пункта.</w:t>
      </w:r>
    </w:p>
    <w:p w14:paraId="7FDEEFD8" w14:textId="77777777" w:rsidR="00EC492E" w:rsidRPr="00824D31" w:rsidRDefault="00EC492E" w:rsidP="00EC492E">
      <w:r w:rsidRPr="00824D31">
        <w:t>К подгруппе объектов, точное местоположение которых невозможно установить, относятся объекты, местоположение которых:</w:t>
      </w:r>
    </w:p>
    <w:p w14:paraId="26A431E6" w14:textId="77777777" w:rsidR="00EC492E" w:rsidRPr="00824D31" w:rsidRDefault="00EC492E" w:rsidP="00EC492E">
      <w:r w:rsidRPr="00824D31">
        <w:t>- возможно установить только до уровня муниципального образования;</w:t>
      </w:r>
    </w:p>
    <w:p w14:paraId="041B04EC" w14:textId="77777777" w:rsidR="00EC492E" w:rsidRPr="00824D31" w:rsidRDefault="00EC492E" w:rsidP="00EC492E">
      <w:r w:rsidRPr="00824D31">
        <w:t>- возможно установить только до уровня субъекта Российской Федерации.</w:t>
      </w:r>
    </w:p>
    <w:p w14:paraId="1B988656" w14:textId="77777777" w:rsidR="00EC492E" w:rsidRPr="00824D31" w:rsidRDefault="00EC492E" w:rsidP="00EC492E">
      <w:r w:rsidRPr="00824D31">
        <w:t>2. В зависимости от статуса населенного пункта разделение на группы (подгруппы) производилось по принципу:</w:t>
      </w:r>
    </w:p>
    <w:p w14:paraId="45665859" w14:textId="77777777" w:rsidR="00EC492E" w:rsidRPr="00824D31" w:rsidRDefault="00EC492E" w:rsidP="00EC492E">
      <w:r w:rsidRPr="00824D31">
        <w:t>- объекты, расположенные в столице субъекта Российской Федерации;</w:t>
      </w:r>
    </w:p>
    <w:p w14:paraId="025836A3" w14:textId="77777777" w:rsidR="00EC492E" w:rsidRPr="00824D31" w:rsidRDefault="00EC492E" w:rsidP="00EC492E">
      <w:r w:rsidRPr="00824D31">
        <w:t>- объекты, расположенные в прочих городских населенных пунктах;</w:t>
      </w:r>
    </w:p>
    <w:p w14:paraId="0D34B8B3" w14:textId="77777777" w:rsidR="00EC492E" w:rsidRPr="00824D31" w:rsidRDefault="00EC492E" w:rsidP="00EC492E">
      <w:r w:rsidRPr="00824D31">
        <w:t>- объекты, расположенные в сельских населенных пунктах;</w:t>
      </w:r>
    </w:p>
    <w:p w14:paraId="3A9E6852" w14:textId="77777777" w:rsidR="00EC492E" w:rsidRPr="00824D31" w:rsidRDefault="00EC492E" w:rsidP="00EC492E">
      <w:r w:rsidRPr="00824D31">
        <w:t>-  объекты, расположенные вне черты населенных пунктов.</w:t>
      </w:r>
    </w:p>
    <w:p w14:paraId="6A14F296" w14:textId="77777777" w:rsidR="00EC492E" w:rsidRPr="00824D31" w:rsidRDefault="00EC492E" w:rsidP="00EC492E">
      <w:r w:rsidRPr="00824D31">
        <w:t>3. В зависимости от статуса населенного пункта разделение на группы (подгруппы) производилось по принципу:</w:t>
      </w:r>
    </w:p>
    <w:p w14:paraId="40AB491F" w14:textId="77777777" w:rsidR="00EC492E" w:rsidRPr="00824D31" w:rsidRDefault="00EC492E" w:rsidP="00EC492E">
      <w:r w:rsidRPr="00824D31">
        <w:t>- объекты, расположенные в столице субъекта Российской Федерации;</w:t>
      </w:r>
    </w:p>
    <w:p w14:paraId="062101EF" w14:textId="77777777" w:rsidR="00EC492E" w:rsidRPr="00824D31" w:rsidRDefault="00EC492E" w:rsidP="00EC492E">
      <w:r w:rsidRPr="00824D31">
        <w:t>- объекты, расположенные в прочих городских населенных пунктах;</w:t>
      </w:r>
    </w:p>
    <w:p w14:paraId="3B53CEDE" w14:textId="77777777" w:rsidR="00EC492E" w:rsidRPr="00824D31" w:rsidRDefault="00EC492E" w:rsidP="00EC492E">
      <w:r w:rsidRPr="00824D31">
        <w:t>- объекты, расположенные в сельских населенных пунктах;</w:t>
      </w:r>
    </w:p>
    <w:p w14:paraId="1933F876" w14:textId="77777777" w:rsidR="00EC492E" w:rsidRPr="00824D31" w:rsidRDefault="00EC492E" w:rsidP="00EC492E">
      <w:r w:rsidRPr="00824D31">
        <w:t>-  объекты, расположенные вне черты населенных пунктов.</w:t>
      </w:r>
    </w:p>
    <w:p w14:paraId="79CF8A39" w14:textId="77777777" w:rsidR="00EC492E" w:rsidRPr="00824D31" w:rsidRDefault="00EC492E" w:rsidP="00EC492E">
      <w:r w:rsidRPr="00824D31">
        <w:t xml:space="preserve">Выделенные на оцениваемой территории группы объектов оценки соответствуют следующим требованиям: </w:t>
      </w:r>
    </w:p>
    <w:p w14:paraId="29F6B83A" w14:textId="77777777" w:rsidR="00EC492E" w:rsidRPr="00824D31" w:rsidRDefault="00EC492E" w:rsidP="00EC492E">
      <w:r w:rsidRPr="00824D31">
        <w:t>- однородны с точки зрения значений (диапазонов значений) ценообразующих факторов;</w:t>
      </w:r>
    </w:p>
    <w:p w14:paraId="790644EF" w14:textId="77777777" w:rsidR="00EC492E" w:rsidRPr="00824D31" w:rsidRDefault="00EC492E" w:rsidP="00EC492E">
      <w:r w:rsidRPr="00824D31">
        <w:t>- полностью покрывают группу объектов оценки (каждый объект оценки должен быть отнесен к какой-либо группе/подгруппе);</w:t>
      </w:r>
    </w:p>
    <w:p w14:paraId="008F8A0D" w14:textId="77777777" w:rsidR="00EC492E" w:rsidRPr="00824D31" w:rsidRDefault="00EC492E" w:rsidP="00EC492E">
      <w:r w:rsidRPr="00824D31">
        <w:t>- не пересекаются - объект оценки может быть отнесен только к одной группе/подгруппе.</w:t>
      </w:r>
    </w:p>
    <w:p w14:paraId="1DAFC6B4" w14:textId="77777777" w:rsidR="00EC492E" w:rsidRPr="00824D31" w:rsidRDefault="00EC492E" w:rsidP="00EC492E">
      <w:r w:rsidRPr="00824D31">
        <w:t xml:space="preserve">Представленная группировка позволяет объединить объекты недвижимости по общности признаков со схожими принципами ценообразования и примерно одинаковым уровнем цен на объекты недвижимости. </w:t>
      </w:r>
    </w:p>
    <w:p w14:paraId="7B66A0C9" w14:textId="77777777" w:rsidR="00EC492E" w:rsidRPr="00824D31" w:rsidRDefault="00EC492E" w:rsidP="00EC492E"/>
    <w:p w14:paraId="2B33299B" w14:textId="77777777" w:rsidR="00EC492E" w:rsidRPr="008F16D6" w:rsidRDefault="00EC492E" w:rsidP="00EC492E">
      <w:pPr>
        <w:rPr>
          <w:b/>
        </w:rPr>
      </w:pPr>
      <w:bookmarkStart w:id="92" w:name="_Toc466639853"/>
      <w:bookmarkStart w:id="93" w:name="_Toc339302517"/>
      <w:r w:rsidRPr="008F16D6">
        <w:rPr>
          <w:b/>
        </w:rPr>
        <w:t>8 группа «Учебные, спортивные объекты, объекты культуры и искусства, культовые объекты, музеи, лечебно-оздоровительные и общественного назначения объекты»</w:t>
      </w:r>
      <w:bookmarkEnd w:id="92"/>
      <w:bookmarkEnd w:id="93"/>
    </w:p>
    <w:p w14:paraId="64CFF4CD" w14:textId="77777777" w:rsidR="00EC492E" w:rsidRPr="00824D31" w:rsidRDefault="00EC492E" w:rsidP="00EC492E"/>
    <w:p w14:paraId="18EF3FFB" w14:textId="77777777" w:rsidR="00EC492E" w:rsidRPr="00824D31" w:rsidRDefault="00EC492E" w:rsidP="00EC492E">
      <w:r w:rsidRPr="00824D31">
        <w:t xml:space="preserve">Объекты данной группы представляют собой государственные учреждения общего и социально-экономического характера, здания и помещения учебных заведений для получения образования, учреждения, специально созданные для организации научных исследований и проведения опытно-конструкторских разработок, здания и помещения объектов здравоохранения и социального обеспечения, физической культуры и спорта, культуры, искусства, религии. </w:t>
      </w:r>
    </w:p>
    <w:p w14:paraId="2D763C0E" w14:textId="77777777" w:rsidR="00EC492E" w:rsidRPr="00824D31" w:rsidRDefault="00EC492E" w:rsidP="00EC492E">
      <w:r w:rsidRPr="00824D31">
        <w:t>К объектам 8 группы относятся:</w:t>
      </w:r>
    </w:p>
    <w:p w14:paraId="2BEA9D95" w14:textId="77777777" w:rsidR="00EC492E" w:rsidRPr="00824D31" w:rsidRDefault="00EC492E" w:rsidP="00EC492E">
      <w:r w:rsidRPr="00824D31">
        <w:t>- здания и помещения государственных учреждений управления, включая здания администраций, Министерство внутренних дел Российской Федерации, судов, прокуратуры;</w:t>
      </w:r>
    </w:p>
    <w:p w14:paraId="62AC3551" w14:textId="77777777" w:rsidR="00EC492E" w:rsidRPr="00824D31" w:rsidRDefault="00EC492E" w:rsidP="00EC492E">
      <w:r w:rsidRPr="00824D31">
        <w:t>- здания и помещения организаций обязательного социального обеспечения и объектов предоставления социальных услуг, в том числе дома-интернаты для инвалидов и престарелых, для детей-инвалидов и т.п.;</w:t>
      </w:r>
    </w:p>
    <w:p w14:paraId="03865C9D" w14:textId="77777777" w:rsidR="00EC492E" w:rsidRPr="00824D31" w:rsidRDefault="00EC492E" w:rsidP="00EC492E">
      <w:r w:rsidRPr="00824D31">
        <w:t>- здания и помещения учебно-воспитательного назначения, в том числе учреждения образования и подготовки кадров, дошкольные образовательные учреждения, общеобразовательные учреждения (школы, гимназии, лицеи колледжи и т.п.), учреждения профессионального образования начального, среднего, высшего и последипломного, внешкольные учреждения (школьников и молодежи), специализированные учреждения (аэроклубы, автошколы и т.п.);</w:t>
      </w:r>
    </w:p>
    <w:p w14:paraId="549BB3FF" w14:textId="77777777" w:rsidR="00EC492E" w:rsidRPr="00824D31" w:rsidRDefault="00EC492E" w:rsidP="00EC492E">
      <w:r w:rsidRPr="00824D31">
        <w:t>- здания и помещения здравоохранения, в том числе больницы, поликлиники, станции медицинской скорой помощи, фельдшерские медицинские пункты, морги, крематории;</w:t>
      </w:r>
    </w:p>
    <w:p w14:paraId="745529FB" w14:textId="7CC4A197" w:rsidR="00EC492E" w:rsidRPr="00824D31" w:rsidRDefault="00EC492E" w:rsidP="00EC492E">
      <w:r w:rsidRPr="00824D31">
        <w:t>- здания и помещения культур</w:t>
      </w:r>
      <w:r w:rsidR="008F16D6">
        <w:t>но-просветительного назначения:</w:t>
      </w:r>
      <w:r w:rsidRPr="00824D31">
        <w:t xml:space="preserve"> библиотеки и читальные залы, музеи и выставки, оранжереи, зрелищные и досугово-развлекательные учреждения, зрелищные учреждения (театры, кинотеатры, концертные залы, цирки и т.п.), клубные и досугово-развлекательные учреждения;</w:t>
      </w:r>
    </w:p>
    <w:p w14:paraId="0238750E" w14:textId="77777777" w:rsidR="00EC492E" w:rsidRPr="00824D31" w:rsidRDefault="00EC492E" w:rsidP="00EC492E">
      <w:r w:rsidRPr="00824D31">
        <w:t>- объекты физкультурного, спортивного и физкультурно-досугового назначения: спортивные комплексы, спортивные залы и корпуса, спортивные клубы, стадионы, трибуны, фитнес-центры, крытые катки, открытые катки, бассейны для плавания, яхт-клубы, теннисные корты, спортивные площадки, тиры, комплексы аттракционов отдельно стоящие, аквапарки;</w:t>
      </w:r>
    </w:p>
    <w:p w14:paraId="4AEF38BB" w14:textId="77777777" w:rsidR="00EC492E" w:rsidRPr="00824D31" w:rsidRDefault="00EC492E" w:rsidP="00EC492E">
      <w:r w:rsidRPr="00824D31">
        <w:t>- здания и помещения объектов религиозных групп и организаций: костелы, лавры, мечети, молебные дома, монастыри, синагоги, соборы, храмы, церкви, часовни;</w:t>
      </w:r>
    </w:p>
    <w:p w14:paraId="566042F0" w14:textId="77777777" w:rsidR="00EC492E" w:rsidRPr="00824D31" w:rsidRDefault="00EC492E" w:rsidP="00EC492E">
      <w:r w:rsidRPr="00824D31">
        <w:t>- научно-исследовательские организации, проектные и конструкторские организации, обсерватории;</w:t>
      </w:r>
    </w:p>
    <w:p w14:paraId="45F4DC56" w14:textId="77777777" w:rsidR="00EC492E" w:rsidRPr="00824D31" w:rsidRDefault="00EC492E" w:rsidP="00EC492E">
      <w:r w:rsidRPr="00824D31">
        <w:t>- объекты бытового обслуживания населения, ателье, парикмахерские, прачечные, пункты проката, молочные кухни;</w:t>
      </w:r>
    </w:p>
    <w:p w14:paraId="5DB59F57" w14:textId="77777777" w:rsidR="00EC492E" w:rsidRPr="00824D31" w:rsidRDefault="00EC492E" w:rsidP="00EC492E">
      <w:r w:rsidRPr="00824D31">
        <w:t>- бани общественные;</w:t>
      </w:r>
    </w:p>
    <w:p w14:paraId="1BAEAD1E" w14:textId="77777777" w:rsidR="00EC492E" w:rsidRPr="00824D31" w:rsidRDefault="00EC492E" w:rsidP="00EC492E">
      <w:r w:rsidRPr="00824D31">
        <w:t>- туалеты общественные;</w:t>
      </w:r>
    </w:p>
    <w:p w14:paraId="17340994" w14:textId="77777777" w:rsidR="00EC492E" w:rsidRPr="00824D31" w:rsidRDefault="00EC492E" w:rsidP="00EC492E">
      <w:r w:rsidRPr="00824D31">
        <w:t>- казармы;</w:t>
      </w:r>
    </w:p>
    <w:p w14:paraId="426036A7" w14:textId="77777777" w:rsidR="00EC492E" w:rsidRPr="00824D31" w:rsidRDefault="00EC492E" w:rsidP="00EC492E">
      <w:r w:rsidRPr="00824D31">
        <w:t>- изоляторы;</w:t>
      </w:r>
    </w:p>
    <w:p w14:paraId="001D6DE1" w14:textId="77777777" w:rsidR="00EC492E" w:rsidRPr="00824D31" w:rsidRDefault="00EC492E" w:rsidP="00EC492E">
      <w:r w:rsidRPr="00824D31">
        <w:t>- исправительные заведения;</w:t>
      </w:r>
    </w:p>
    <w:p w14:paraId="040CEF9D" w14:textId="77777777" w:rsidR="00EC492E" w:rsidRPr="00824D31" w:rsidRDefault="00EC492E" w:rsidP="00EC492E">
      <w:r w:rsidRPr="00824D31">
        <w:t>- ветеринарные объекты, питомники, гостиницы для животных, зоопарки (вольеры, строения для содержания животных);</w:t>
      </w:r>
    </w:p>
    <w:p w14:paraId="7F510737" w14:textId="77777777" w:rsidR="00EC492E" w:rsidRPr="00824D31" w:rsidRDefault="00EC492E" w:rsidP="00EC492E">
      <w:r w:rsidRPr="00824D31">
        <w:t>- объекты транспорта, предназначенные для непосредственного обслуживания населения: автовокзалы, аэропорты (аэровокзалы), порты (вокзалы), вокзалы железнодорожные, станции железнодорожные, платформы, вокзалы речные, станции автобусные, троллейбусные, трамвайные, лодочные, прочие объекты, предназначенные для перевозки и обслуживанию пассажиров, обработки их багажа.</w:t>
      </w:r>
    </w:p>
    <w:p w14:paraId="628EC57F" w14:textId="77777777" w:rsidR="00EC492E" w:rsidRPr="00824D31" w:rsidRDefault="00EC492E" w:rsidP="00EC492E">
      <w:r w:rsidRPr="00824D31">
        <w:t>Номера подрупп, входящих в состав группы: 0801-0852. Объекты, относящиеся по классификатору к подгруппам 0809, 0811, 0826, 0827, 0828, 0838, 0851 на территории Республики Саха (Якутия) отсутствуют.</w:t>
      </w:r>
    </w:p>
    <w:p w14:paraId="1A3B7E38" w14:textId="77777777" w:rsidR="00EC492E" w:rsidRPr="00824D31" w:rsidRDefault="00EC492E" w:rsidP="00EC492E">
      <w:r w:rsidRPr="00824D31">
        <w:t>Общее количество Объектов оценки, отнесенных к группе «Учебные, спортивные объекты, объекты культуры и искусства, культовые объекты, музеи, лечебно - оздоровительные и общественного назначения объекты» составляет 10215 Объектов.</w:t>
      </w:r>
    </w:p>
    <w:p w14:paraId="7765DF17" w14:textId="77777777" w:rsidR="00EC492E" w:rsidRPr="00824D31" w:rsidRDefault="00EC492E" w:rsidP="00EC492E"/>
    <w:p w14:paraId="1A2C70C4" w14:textId="5F90C53A" w:rsidR="00EC492E" w:rsidRPr="00824D31" w:rsidRDefault="00EC492E" w:rsidP="00763AD2">
      <w:pPr>
        <w:pStyle w:val="afffffff0"/>
      </w:pPr>
      <w:r w:rsidRPr="00824D31">
        <w:t xml:space="preserve">Таблица </w:t>
      </w:r>
      <w:r w:rsidR="00A90944">
        <w:fldChar w:fldCharType="begin"/>
      </w:r>
      <w:r w:rsidR="00A90944">
        <w:instrText xml:space="preserve"> SEQ Таблица \* ARABIC </w:instrText>
      </w:r>
      <w:r w:rsidR="00A90944">
        <w:fldChar w:fldCharType="separate"/>
      </w:r>
      <w:r w:rsidR="00FD2769">
        <w:rPr>
          <w:noProof/>
        </w:rPr>
        <w:t>40</w:t>
      </w:r>
      <w:r w:rsidR="00A90944">
        <w:rPr>
          <w:noProof/>
        </w:rPr>
        <w:fldChar w:fldCharType="end"/>
      </w:r>
      <w:r w:rsidRPr="00824D31">
        <w:t xml:space="preserve"> Результат группировки Объектов оценки в рамках группы 8 Учебные, спортивные объекты, объекты культуры и искусства, культовые объекты, музеи, лечебно - оздоровительные и общественного назначения объекты </w:t>
      </w:r>
    </w:p>
    <w:tbl>
      <w:tblPr>
        <w:tblW w:w="9356" w:type="dxa"/>
        <w:tblInd w:w="-5" w:type="dxa"/>
        <w:tblLook w:val="04A0" w:firstRow="1" w:lastRow="0" w:firstColumn="1" w:lastColumn="0" w:noHBand="0" w:noVBand="1"/>
      </w:tblPr>
      <w:tblGrid>
        <w:gridCol w:w="1992"/>
        <w:gridCol w:w="1344"/>
        <w:gridCol w:w="3610"/>
        <w:gridCol w:w="1559"/>
        <w:gridCol w:w="1076"/>
      </w:tblGrid>
      <w:tr w:rsidR="00EC492E" w:rsidRPr="00824D31" w14:paraId="642FEC3B" w14:textId="77777777" w:rsidTr="00077638">
        <w:trPr>
          <w:trHeight w:val="255"/>
          <w:tblHeader/>
        </w:trPr>
        <w:tc>
          <w:tcPr>
            <w:tcW w:w="1992" w:type="dxa"/>
            <w:tcBorders>
              <w:top w:val="single" w:sz="4" w:space="0" w:color="auto"/>
              <w:left w:val="single" w:sz="4" w:space="0" w:color="auto"/>
              <w:bottom w:val="single" w:sz="4" w:space="0" w:color="auto"/>
              <w:right w:val="single" w:sz="4" w:space="0" w:color="auto"/>
            </w:tcBorders>
            <w:hideMark/>
          </w:tcPr>
          <w:p w14:paraId="35EEC8F9" w14:textId="77777777" w:rsidR="00EC492E" w:rsidRPr="00824D31" w:rsidRDefault="00EC492E" w:rsidP="00077638">
            <w:pPr>
              <w:ind w:firstLine="0"/>
              <w:jc w:val="center"/>
            </w:pPr>
            <w:r w:rsidRPr="00824D31">
              <w:t>Наименование группы</w:t>
            </w:r>
          </w:p>
        </w:tc>
        <w:tc>
          <w:tcPr>
            <w:tcW w:w="1344" w:type="dxa"/>
            <w:tcBorders>
              <w:top w:val="single" w:sz="4" w:space="0" w:color="auto"/>
              <w:left w:val="single" w:sz="4" w:space="0" w:color="auto"/>
              <w:bottom w:val="single" w:sz="4" w:space="0" w:color="auto"/>
              <w:right w:val="single" w:sz="4" w:space="0" w:color="auto"/>
            </w:tcBorders>
            <w:noWrap/>
            <w:hideMark/>
          </w:tcPr>
          <w:p w14:paraId="24A0D405" w14:textId="77777777" w:rsidR="00EC492E" w:rsidRPr="00824D31" w:rsidRDefault="00EC492E" w:rsidP="00077638">
            <w:pPr>
              <w:ind w:firstLine="0"/>
              <w:jc w:val="center"/>
            </w:pPr>
            <w:r w:rsidRPr="00824D31">
              <w:t>Код подгруппы</w:t>
            </w:r>
          </w:p>
        </w:tc>
        <w:tc>
          <w:tcPr>
            <w:tcW w:w="3610" w:type="dxa"/>
            <w:tcBorders>
              <w:top w:val="single" w:sz="4" w:space="0" w:color="auto"/>
              <w:left w:val="nil"/>
              <w:bottom w:val="single" w:sz="4" w:space="0" w:color="auto"/>
              <w:right w:val="single" w:sz="4" w:space="0" w:color="auto"/>
            </w:tcBorders>
            <w:noWrap/>
            <w:hideMark/>
          </w:tcPr>
          <w:p w14:paraId="48F29C4E" w14:textId="77777777" w:rsidR="00EC492E" w:rsidRPr="00824D31" w:rsidRDefault="00EC492E" w:rsidP="00077638">
            <w:pPr>
              <w:ind w:firstLine="0"/>
              <w:jc w:val="center"/>
            </w:pPr>
            <w:r w:rsidRPr="00824D31">
              <w:t>Наименование функциональной подгруппы</w:t>
            </w:r>
          </w:p>
        </w:tc>
        <w:tc>
          <w:tcPr>
            <w:tcW w:w="1559" w:type="dxa"/>
            <w:tcBorders>
              <w:top w:val="single" w:sz="4" w:space="0" w:color="auto"/>
              <w:left w:val="nil"/>
              <w:bottom w:val="single" w:sz="4" w:space="0" w:color="auto"/>
              <w:right w:val="single" w:sz="4" w:space="0" w:color="auto"/>
            </w:tcBorders>
            <w:noWrap/>
            <w:hideMark/>
          </w:tcPr>
          <w:p w14:paraId="1E634A09" w14:textId="77777777" w:rsidR="00EC492E" w:rsidRPr="00824D31" w:rsidRDefault="00EC492E" w:rsidP="00077638">
            <w:pPr>
              <w:ind w:firstLine="0"/>
              <w:jc w:val="center"/>
            </w:pPr>
            <w:r w:rsidRPr="00824D31">
              <w:t>Количество Объектов</w:t>
            </w:r>
          </w:p>
        </w:tc>
        <w:tc>
          <w:tcPr>
            <w:tcW w:w="851" w:type="dxa"/>
            <w:tcBorders>
              <w:top w:val="single" w:sz="4" w:space="0" w:color="auto"/>
              <w:left w:val="nil"/>
              <w:bottom w:val="single" w:sz="4" w:space="0" w:color="auto"/>
              <w:right w:val="single" w:sz="4" w:space="0" w:color="auto"/>
            </w:tcBorders>
            <w:noWrap/>
            <w:hideMark/>
          </w:tcPr>
          <w:p w14:paraId="621BEBBF" w14:textId="77777777" w:rsidR="00EC492E" w:rsidRPr="00824D31" w:rsidRDefault="00EC492E" w:rsidP="00077638">
            <w:pPr>
              <w:ind w:firstLine="0"/>
              <w:jc w:val="center"/>
            </w:pPr>
            <w:r w:rsidRPr="00824D31">
              <w:t>Доля, %</w:t>
            </w:r>
          </w:p>
        </w:tc>
      </w:tr>
      <w:tr w:rsidR="00EC492E" w:rsidRPr="00824D31" w14:paraId="40F4AF26" w14:textId="77777777" w:rsidTr="00077638">
        <w:trPr>
          <w:trHeight w:val="255"/>
        </w:trPr>
        <w:tc>
          <w:tcPr>
            <w:tcW w:w="1992" w:type="dxa"/>
            <w:vMerge w:val="restart"/>
            <w:tcBorders>
              <w:top w:val="nil"/>
              <w:left w:val="single" w:sz="4" w:space="0" w:color="auto"/>
              <w:bottom w:val="single" w:sz="4" w:space="0" w:color="auto"/>
              <w:right w:val="single" w:sz="4" w:space="0" w:color="auto"/>
            </w:tcBorders>
            <w:vAlign w:val="center"/>
            <w:hideMark/>
          </w:tcPr>
          <w:p w14:paraId="1D867837" w14:textId="77777777" w:rsidR="00EC492E" w:rsidRPr="00824D31" w:rsidRDefault="00EC492E" w:rsidP="00077638">
            <w:pPr>
              <w:ind w:firstLine="0"/>
            </w:pPr>
            <w:r w:rsidRPr="00824D31">
              <w:t>Учебные, спортивные объекты, объекты культуры и искусства, культовые объекты, музеи, лечебно - оздоровительные и общественного назначения объекты</w:t>
            </w:r>
          </w:p>
        </w:tc>
        <w:tc>
          <w:tcPr>
            <w:tcW w:w="1344" w:type="dxa"/>
            <w:tcBorders>
              <w:top w:val="nil"/>
              <w:left w:val="single" w:sz="4" w:space="0" w:color="auto"/>
              <w:bottom w:val="single" w:sz="4" w:space="0" w:color="auto"/>
              <w:right w:val="single" w:sz="4" w:space="0" w:color="auto"/>
            </w:tcBorders>
            <w:noWrap/>
            <w:vAlign w:val="bottom"/>
            <w:hideMark/>
          </w:tcPr>
          <w:p w14:paraId="4ABE9538" w14:textId="77777777" w:rsidR="00EC492E" w:rsidRPr="00824D31" w:rsidRDefault="00EC492E" w:rsidP="00077638">
            <w:pPr>
              <w:ind w:firstLine="0"/>
            </w:pPr>
            <w:r w:rsidRPr="00824D31">
              <w:t>801</w:t>
            </w:r>
          </w:p>
        </w:tc>
        <w:tc>
          <w:tcPr>
            <w:tcW w:w="3610" w:type="dxa"/>
            <w:tcBorders>
              <w:top w:val="nil"/>
              <w:left w:val="nil"/>
              <w:bottom w:val="single" w:sz="4" w:space="0" w:color="auto"/>
              <w:right w:val="single" w:sz="4" w:space="0" w:color="auto"/>
            </w:tcBorders>
            <w:vAlign w:val="center"/>
            <w:hideMark/>
          </w:tcPr>
          <w:p w14:paraId="0C6F6AE0" w14:textId="77777777" w:rsidR="00EC492E" w:rsidRPr="00824D31" w:rsidRDefault="00EC492E" w:rsidP="00077638">
            <w:pPr>
              <w:ind w:firstLine="0"/>
            </w:pPr>
            <w:r w:rsidRPr="00824D31">
              <w:t>Ветеринарные объекты</w:t>
            </w:r>
          </w:p>
        </w:tc>
        <w:tc>
          <w:tcPr>
            <w:tcW w:w="1559" w:type="dxa"/>
            <w:tcBorders>
              <w:top w:val="nil"/>
              <w:left w:val="nil"/>
              <w:bottom w:val="single" w:sz="4" w:space="0" w:color="auto"/>
              <w:right w:val="single" w:sz="4" w:space="0" w:color="auto"/>
            </w:tcBorders>
            <w:noWrap/>
            <w:vAlign w:val="bottom"/>
            <w:hideMark/>
          </w:tcPr>
          <w:p w14:paraId="2963CB93" w14:textId="77777777" w:rsidR="00EC492E" w:rsidRPr="00824D31" w:rsidRDefault="00EC492E" w:rsidP="00077638">
            <w:pPr>
              <w:ind w:firstLine="0"/>
            </w:pPr>
            <w:r w:rsidRPr="00824D31">
              <w:t>241</w:t>
            </w:r>
          </w:p>
        </w:tc>
        <w:tc>
          <w:tcPr>
            <w:tcW w:w="851" w:type="dxa"/>
            <w:tcBorders>
              <w:top w:val="nil"/>
              <w:left w:val="nil"/>
              <w:bottom w:val="single" w:sz="4" w:space="0" w:color="auto"/>
              <w:right w:val="single" w:sz="4" w:space="0" w:color="auto"/>
            </w:tcBorders>
            <w:noWrap/>
            <w:vAlign w:val="bottom"/>
            <w:hideMark/>
          </w:tcPr>
          <w:p w14:paraId="748582B7" w14:textId="77777777" w:rsidR="00EC492E" w:rsidRPr="00824D31" w:rsidRDefault="00EC492E" w:rsidP="00077638">
            <w:pPr>
              <w:ind w:firstLine="0"/>
            </w:pPr>
            <w:r w:rsidRPr="00824D31">
              <w:t>2,36%</w:t>
            </w:r>
          </w:p>
        </w:tc>
      </w:tr>
      <w:tr w:rsidR="00EC492E" w:rsidRPr="00824D31" w14:paraId="2C3950CA" w14:textId="77777777" w:rsidTr="00077638">
        <w:trPr>
          <w:trHeight w:val="255"/>
        </w:trPr>
        <w:tc>
          <w:tcPr>
            <w:tcW w:w="0" w:type="auto"/>
            <w:vMerge/>
            <w:tcBorders>
              <w:top w:val="nil"/>
              <w:left w:val="single" w:sz="4" w:space="0" w:color="auto"/>
              <w:bottom w:val="single" w:sz="4" w:space="0" w:color="auto"/>
              <w:right w:val="single" w:sz="4" w:space="0" w:color="auto"/>
            </w:tcBorders>
            <w:vAlign w:val="center"/>
            <w:hideMark/>
          </w:tcPr>
          <w:p w14:paraId="05F02AA3" w14:textId="77777777" w:rsidR="00EC492E" w:rsidRPr="00824D31" w:rsidRDefault="00EC492E" w:rsidP="00077638">
            <w:pPr>
              <w:ind w:firstLine="0"/>
            </w:pPr>
          </w:p>
        </w:tc>
        <w:tc>
          <w:tcPr>
            <w:tcW w:w="1344" w:type="dxa"/>
            <w:tcBorders>
              <w:top w:val="nil"/>
              <w:left w:val="single" w:sz="4" w:space="0" w:color="auto"/>
              <w:bottom w:val="single" w:sz="4" w:space="0" w:color="auto"/>
              <w:right w:val="single" w:sz="4" w:space="0" w:color="auto"/>
            </w:tcBorders>
            <w:noWrap/>
            <w:vAlign w:val="bottom"/>
            <w:hideMark/>
          </w:tcPr>
          <w:p w14:paraId="69A05CEB" w14:textId="77777777" w:rsidR="00EC492E" w:rsidRPr="00824D31" w:rsidRDefault="00EC492E" w:rsidP="00077638">
            <w:pPr>
              <w:ind w:firstLine="0"/>
            </w:pPr>
            <w:r w:rsidRPr="00824D31">
              <w:t>802</w:t>
            </w:r>
          </w:p>
        </w:tc>
        <w:tc>
          <w:tcPr>
            <w:tcW w:w="3610" w:type="dxa"/>
            <w:tcBorders>
              <w:top w:val="nil"/>
              <w:left w:val="nil"/>
              <w:bottom w:val="single" w:sz="4" w:space="0" w:color="auto"/>
              <w:right w:val="single" w:sz="4" w:space="0" w:color="auto"/>
            </w:tcBorders>
            <w:vAlign w:val="center"/>
            <w:hideMark/>
          </w:tcPr>
          <w:p w14:paraId="48199BEE" w14:textId="77777777" w:rsidR="00EC492E" w:rsidRPr="00824D31" w:rsidRDefault="00EC492E" w:rsidP="00077638">
            <w:pPr>
              <w:ind w:firstLine="0"/>
            </w:pPr>
            <w:r w:rsidRPr="00824D31">
              <w:t>Питомники, гостиницы для животных</w:t>
            </w:r>
          </w:p>
        </w:tc>
        <w:tc>
          <w:tcPr>
            <w:tcW w:w="1559" w:type="dxa"/>
            <w:tcBorders>
              <w:top w:val="nil"/>
              <w:left w:val="nil"/>
              <w:bottom w:val="single" w:sz="4" w:space="0" w:color="auto"/>
              <w:right w:val="single" w:sz="4" w:space="0" w:color="auto"/>
            </w:tcBorders>
            <w:noWrap/>
            <w:vAlign w:val="bottom"/>
            <w:hideMark/>
          </w:tcPr>
          <w:p w14:paraId="197FDD45" w14:textId="77777777" w:rsidR="00EC492E" w:rsidRPr="00824D31" w:rsidRDefault="00EC492E" w:rsidP="00077638">
            <w:pPr>
              <w:ind w:firstLine="0"/>
            </w:pPr>
            <w:r w:rsidRPr="00824D31">
              <w:t>23</w:t>
            </w:r>
          </w:p>
        </w:tc>
        <w:tc>
          <w:tcPr>
            <w:tcW w:w="851" w:type="dxa"/>
            <w:tcBorders>
              <w:top w:val="nil"/>
              <w:left w:val="nil"/>
              <w:bottom w:val="single" w:sz="4" w:space="0" w:color="auto"/>
              <w:right w:val="single" w:sz="4" w:space="0" w:color="auto"/>
            </w:tcBorders>
            <w:noWrap/>
            <w:vAlign w:val="bottom"/>
            <w:hideMark/>
          </w:tcPr>
          <w:p w14:paraId="59585171" w14:textId="77777777" w:rsidR="00EC492E" w:rsidRPr="00824D31" w:rsidRDefault="00EC492E" w:rsidP="00077638">
            <w:pPr>
              <w:ind w:firstLine="0"/>
            </w:pPr>
            <w:r w:rsidRPr="00824D31">
              <w:t>0,23%</w:t>
            </w:r>
          </w:p>
        </w:tc>
      </w:tr>
      <w:tr w:rsidR="00EC492E" w:rsidRPr="00824D31" w14:paraId="42C002F6" w14:textId="77777777" w:rsidTr="00077638">
        <w:trPr>
          <w:trHeight w:val="255"/>
        </w:trPr>
        <w:tc>
          <w:tcPr>
            <w:tcW w:w="0" w:type="auto"/>
            <w:vMerge/>
            <w:tcBorders>
              <w:top w:val="nil"/>
              <w:left w:val="single" w:sz="4" w:space="0" w:color="auto"/>
              <w:bottom w:val="single" w:sz="4" w:space="0" w:color="auto"/>
              <w:right w:val="single" w:sz="4" w:space="0" w:color="auto"/>
            </w:tcBorders>
            <w:vAlign w:val="center"/>
            <w:hideMark/>
          </w:tcPr>
          <w:p w14:paraId="2DDD2F13" w14:textId="77777777" w:rsidR="00EC492E" w:rsidRPr="00824D31" w:rsidRDefault="00EC492E" w:rsidP="00077638">
            <w:pPr>
              <w:ind w:firstLine="0"/>
            </w:pPr>
          </w:p>
        </w:tc>
        <w:tc>
          <w:tcPr>
            <w:tcW w:w="1344" w:type="dxa"/>
            <w:tcBorders>
              <w:top w:val="nil"/>
              <w:left w:val="single" w:sz="4" w:space="0" w:color="auto"/>
              <w:bottom w:val="single" w:sz="4" w:space="0" w:color="auto"/>
              <w:right w:val="single" w:sz="4" w:space="0" w:color="auto"/>
            </w:tcBorders>
            <w:noWrap/>
            <w:vAlign w:val="bottom"/>
            <w:hideMark/>
          </w:tcPr>
          <w:p w14:paraId="1963AFA4" w14:textId="77777777" w:rsidR="00EC492E" w:rsidRPr="00824D31" w:rsidRDefault="00EC492E" w:rsidP="00077638">
            <w:pPr>
              <w:ind w:firstLine="0"/>
            </w:pPr>
            <w:r w:rsidRPr="00824D31">
              <w:t>803</w:t>
            </w:r>
          </w:p>
        </w:tc>
        <w:tc>
          <w:tcPr>
            <w:tcW w:w="3610" w:type="dxa"/>
            <w:tcBorders>
              <w:top w:val="nil"/>
              <w:left w:val="nil"/>
              <w:bottom w:val="single" w:sz="4" w:space="0" w:color="auto"/>
              <w:right w:val="single" w:sz="4" w:space="0" w:color="auto"/>
            </w:tcBorders>
            <w:vAlign w:val="center"/>
            <w:hideMark/>
          </w:tcPr>
          <w:p w14:paraId="2055E1D9" w14:textId="77777777" w:rsidR="00EC492E" w:rsidRPr="00824D31" w:rsidRDefault="00EC492E" w:rsidP="00077638">
            <w:pPr>
              <w:ind w:firstLine="0"/>
            </w:pPr>
            <w:r w:rsidRPr="00824D31">
              <w:t>Зоопарк (вольеры, строения для содержания животных)</w:t>
            </w:r>
          </w:p>
        </w:tc>
        <w:tc>
          <w:tcPr>
            <w:tcW w:w="1559" w:type="dxa"/>
            <w:tcBorders>
              <w:top w:val="nil"/>
              <w:left w:val="nil"/>
              <w:bottom w:val="single" w:sz="4" w:space="0" w:color="auto"/>
              <w:right w:val="single" w:sz="4" w:space="0" w:color="auto"/>
            </w:tcBorders>
            <w:noWrap/>
            <w:vAlign w:val="bottom"/>
            <w:hideMark/>
          </w:tcPr>
          <w:p w14:paraId="19C60F4F" w14:textId="77777777" w:rsidR="00EC492E" w:rsidRPr="00824D31" w:rsidRDefault="00EC492E" w:rsidP="00077638">
            <w:pPr>
              <w:ind w:firstLine="0"/>
            </w:pPr>
            <w:r w:rsidRPr="00824D31">
              <w:t>11</w:t>
            </w:r>
          </w:p>
        </w:tc>
        <w:tc>
          <w:tcPr>
            <w:tcW w:w="851" w:type="dxa"/>
            <w:tcBorders>
              <w:top w:val="nil"/>
              <w:left w:val="nil"/>
              <w:bottom w:val="single" w:sz="4" w:space="0" w:color="auto"/>
              <w:right w:val="single" w:sz="4" w:space="0" w:color="auto"/>
            </w:tcBorders>
            <w:noWrap/>
            <w:vAlign w:val="bottom"/>
            <w:hideMark/>
          </w:tcPr>
          <w:p w14:paraId="5E461C7E" w14:textId="77777777" w:rsidR="00EC492E" w:rsidRPr="00824D31" w:rsidRDefault="00EC492E" w:rsidP="00077638">
            <w:pPr>
              <w:ind w:firstLine="0"/>
            </w:pPr>
            <w:r w:rsidRPr="00824D31">
              <w:t>0,11%</w:t>
            </w:r>
          </w:p>
        </w:tc>
      </w:tr>
      <w:tr w:rsidR="00EC492E" w:rsidRPr="00824D31" w14:paraId="09E72EF5" w14:textId="77777777" w:rsidTr="00077638">
        <w:trPr>
          <w:trHeight w:val="255"/>
        </w:trPr>
        <w:tc>
          <w:tcPr>
            <w:tcW w:w="0" w:type="auto"/>
            <w:vMerge/>
            <w:tcBorders>
              <w:top w:val="nil"/>
              <w:left w:val="single" w:sz="4" w:space="0" w:color="auto"/>
              <w:bottom w:val="single" w:sz="4" w:space="0" w:color="auto"/>
              <w:right w:val="single" w:sz="4" w:space="0" w:color="auto"/>
            </w:tcBorders>
            <w:vAlign w:val="center"/>
            <w:hideMark/>
          </w:tcPr>
          <w:p w14:paraId="5B3E7480" w14:textId="77777777" w:rsidR="00EC492E" w:rsidRPr="00824D31" w:rsidRDefault="00EC492E" w:rsidP="00077638">
            <w:pPr>
              <w:ind w:firstLine="0"/>
            </w:pPr>
          </w:p>
        </w:tc>
        <w:tc>
          <w:tcPr>
            <w:tcW w:w="1344" w:type="dxa"/>
            <w:tcBorders>
              <w:top w:val="nil"/>
              <w:left w:val="single" w:sz="4" w:space="0" w:color="auto"/>
              <w:bottom w:val="single" w:sz="4" w:space="0" w:color="auto"/>
              <w:right w:val="single" w:sz="4" w:space="0" w:color="auto"/>
            </w:tcBorders>
            <w:noWrap/>
            <w:vAlign w:val="bottom"/>
            <w:hideMark/>
          </w:tcPr>
          <w:p w14:paraId="06084A3D" w14:textId="77777777" w:rsidR="00EC492E" w:rsidRPr="00824D31" w:rsidRDefault="00EC492E" w:rsidP="00077638">
            <w:pPr>
              <w:ind w:firstLine="0"/>
            </w:pPr>
            <w:r w:rsidRPr="00824D31">
              <w:t>804</w:t>
            </w:r>
          </w:p>
        </w:tc>
        <w:tc>
          <w:tcPr>
            <w:tcW w:w="3610" w:type="dxa"/>
            <w:tcBorders>
              <w:top w:val="nil"/>
              <w:left w:val="nil"/>
              <w:bottom w:val="single" w:sz="4" w:space="0" w:color="auto"/>
              <w:right w:val="single" w:sz="4" w:space="0" w:color="auto"/>
            </w:tcBorders>
            <w:vAlign w:val="center"/>
            <w:hideMark/>
          </w:tcPr>
          <w:p w14:paraId="0714C3AE" w14:textId="77777777" w:rsidR="00EC492E" w:rsidRPr="00824D31" w:rsidRDefault="00EC492E" w:rsidP="00077638">
            <w:pPr>
              <w:ind w:firstLine="0"/>
            </w:pPr>
            <w:r w:rsidRPr="00824D31">
              <w:t>Музеи</w:t>
            </w:r>
          </w:p>
        </w:tc>
        <w:tc>
          <w:tcPr>
            <w:tcW w:w="1559" w:type="dxa"/>
            <w:tcBorders>
              <w:top w:val="nil"/>
              <w:left w:val="nil"/>
              <w:bottom w:val="single" w:sz="4" w:space="0" w:color="auto"/>
              <w:right w:val="single" w:sz="4" w:space="0" w:color="auto"/>
            </w:tcBorders>
            <w:noWrap/>
            <w:vAlign w:val="bottom"/>
            <w:hideMark/>
          </w:tcPr>
          <w:p w14:paraId="42A3A28F" w14:textId="77777777" w:rsidR="00EC492E" w:rsidRPr="00824D31" w:rsidRDefault="00EC492E" w:rsidP="00077638">
            <w:pPr>
              <w:ind w:firstLine="0"/>
            </w:pPr>
            <w:r w:rsidRPr="00824D31">
              <w:t>288</w:t>
            </w:r>
          </w:p>
        </w:tc>
        <w:tc>
          <w:tcPr>
            <w:tcW w:w="851" w:type="dxa"/>
            <w:tcBorders>
              <w:top w:val="nil"/>
              <w:left w:val="nil"/>
              <w:bottom w:val="single" w:sz="4" w:space="0" w:color="auto"/>
              <w:right w:val="single" w:sz="4" w:space="0" w:color="auto"/>
            </w:tcBorders>
            <w:noWrap/>
            <w:vAlign w:val="bottom"/>
            <w:hideMark/>
          </w:tcPr>
          <w:p w14:paraId="1AA01235" w14:textId="77777777" w:rsidR="00EC492E" w:rsidRPr="00824D31" w:rsidRDefault="00EC492E" w:rsidP="00077638">
            <w:pPr>
              <w:ind w:firstLine="0"/>
            </w:pPr>
            <w:r w:rsidRPr="00824D31">
              <w:t>2,82%</w:t>
            </w:r>
          </w:p>
        </w:tc>
      </w:tr>
      <w:tr w:rsidR="00EC492E" w:rsidRPr="00824D31" w14:paraId="35C988B7" w14:textId="77777777" w:rsidTr="00077638">
        <w:trPr>
          <w:trHeight w:val="255"/>
        </w:trPr>
        <w:tc>
          <w:tcPr>
            <w:tcW w:w="0" w:type="auto"/>
            <w:vMerge/>
            <w:tcBorders>
              <w:top w:val="nil"/>
              <w:left w:val="single" w:sz="4" w:space="0" w:color="auto"/>
              <w:bottom w:val="single" w:sz="4" w:space="0" w:color="auto"/>
              <w:right w:val="single" w:sz="4" w:space="0" w:color="auto"/>
            </w:tcBorders>
            <w:vAlign w:val="center"/>
            <w:hideMark/>
          </w:tcPr>
          <w:p w14:paraId="05012D39" w14:textId="77777777" w:rsidR="00EC492E" w:rsidRPr="00824D31" w:rsidRDefault="00EC492E" w:rsidP="00077638">
            <w:pPr>
              <w:ind w:firstLine="0"/>
            </w:pPr>
          </w:p>
        </w:tc>
        <w:tc>
          <w:tcPr>
            <w:tcW w:w="1344" w:type="dxa"/>
            <w:tcBorders>
              <w:top w:val="nil"/>
              <w:left w:val="single" w:sz="4" w:space="0" w:color="auto"/>
              <w:bottom w:val="single" w:sz="4" w:space="0" w:color="auto"/>
              <w:right w:val="single" w:sz="4" w:space="0" w:color="auto"/>
            </w:tcBorders>
            <w:noWrap/>
            <w:vAlign w:val="bottom"/>
            <w:hideMark/>
          </w:tcPr>
          <w:p w14:paraId="19308A5F" w14:textId="77777777" w:rsidR="00EC492E" w:rsidRPr="00824D31" w:rsidRDefault="00EC492E" w:rsidP="00077638">
            <w:pPr>
              <w:ind w:firstLine="0"/>
            </w:pPr>
            <w:r w:rsidRPr="00824D31">
              <w:t>805</w:t>
            </w:r>
          </w:p>
        </w:tc>
        <w:tc>
          <w:tcPr>
            <w:tcW w:w="3610" w:type="dxa"/>
            <w:tcBorders>
              <w:top w:val="nil"/>
              <w:left w:val="nil"/>
              <w:bottom w:val="single" w:sz="4" w:space="0" w:color="auto"/>
              <w:right w:val="single" w:sz="4" w:space="0" w:color="auto"/>
            </w:tcBorders>
            <w:vAlign w:val="center"/>
            <w:hideMark/>
          </w:tcPr>
          <w:p w14:paraId="76392DDC" w14:textId="77777777" w:rsidR="00EC492E" w:rsidRPr="00824D31" w:rsidRDefault="00EC492E" w:rsidP="00077638">
            <w:pPr>
              <w:ind w:firstLine="0"/>
            </w:pPr>
            <w:r w:rsidRPr="00824D31">
              <w:t>Памятники архитектурные, монументы</w:t>
            </w:r>
          </w:p>
        </w:tc>
        <w:tc>
          <w:tcPr>
            <w:tcW w:w="1559" w:type="dxa"/>
            <w:tcBorders>
              <w:top w:val="nil"/>
              <w:left w:val="nil"/>
              <w:bottom w:val="single" w:sz="4" w:space="0" w:color="auto"/>
              <w:right w:val="single" w:sz="4" w:space="0" w:color="auto"/>
            </w:tcBorders>
            <w:noWrap/>
            <w:vAlign w:val="bottom"/>
            <w:hideMark/>
          </w:tcPr>
          <w:p w14:paraId="0AA1387A" w14:textId="77777777" w:rsidR="00EC492E" w:rsidRPr="00824D31" w:rsidRDefault="00EC492E" w:rsidP="00077638">
            <w:pPr>
              <w:ind w:firstLine="0"/>
            </w:pPr>
            <w:r w:rsidRPr="00824D31">
              <w:t>168</w:t>
            </w:r>
          </w:p>
        </w:tc>
        <w:tc>
          <w:tcPr>
            <w:tcW w:w="851" w:type="dxa"/>
            <w:tcBorders>
              <w:top w:val="nil"/>
              <w:left w:val="nil"/>
              <w:bottom w:val="single" w:sz="4" w:space="0" w:color="auto"/>
              <w:right w:val="single" w:sz="4" w:space="0" w:color="auto"/>
            </w:tcBorders>
            <w:noWrap/>
            <w:vAlign w:val="bottom"/>
            <w:hideMark/>
          </w:tcPr>
          <w:p w14:paraId="660054FE" w14:textId="77777777" w:rsidR="00EC492E" w:rsidRPr="00824D31" w:rsidRDefault="00EC492E" w:rsidP="00077638">
            <w:pPr>
              <w:ind w:firstLine="0"/>
            </w:pPr>
            <w:r w:rsidRPr="00824D31">
              <w:t>1,64%</w:t>
            </w:r>
          </w:p>
        </w:tc>
      </w:tr>
      <w:tr w:rsidR="00EC492E" w:rsidRPr="00824D31" w14:paraId="031719AD" w14:textId="77777777" w:rsidTr="00077638">
        <w:trPr>
          <w:trHeight w:val="255"/>
        </w:trPr>
        <w:tc>
          <w:tcPr>
            <w:tcW w:w="0" w:type="auto"/>
            <w:vMerge/>
            <w:tcBorders>
              <w:top w:val="nil"/>
              <w:left w:val="single" w:sz="4" w:space="0" w:color="auto"/>
              <w:bottom w:val="single" w:sz="4" w:space="0" w:color="auto"/>
              <w:right w:val="single" w:sz="4" w:space="0" w:color="auto"/>
            </w:tcBorders>
            <w:vAlign w:val="center"/>
            <w:hideMark/>
          </w:tcPr>
          <w:p w14:paraId="0F8E924D" w14:textId="77777777" w:rsidR="00EC492E" w:rsidRPr="00824D31" w:rsidRDefault="00EC492E" w:rsidP="00077638">
            <w:pPr>
              <w:ind w:firstLine="0"/>
            </w:pPr>
          </w:p>
        </w:tc>
        <w:tc>
          <w:tcPr>
            <w:tcW w:w="1344" w:type="dxa"/>
            <w:tcBorders>
              <w:top w:val="nil"/>
              <w:left w:val="single" w:sz="4" w:space="0" w:color="auto"/>
              <w:bottom w:val="single" w:sz="4" w:space="0" w:color="auto"/>
              <w:right w:val="single" w:sz="4" w:space="0" w:color="auto"/>
            </w:tcBorders>
            <w:noWrap/>
            <w:vAlign w:val="bottom"/>
            <w:hideMark/>
          </w:tcPr>
          <w:p w14:paraId="6B8F41D4" w14:textId="77777777" w:rsidR="00EC492E" w:rsidRPr="00824D31" w:rsidRDefault="00EC492E" w:rsidP="00077638">
            <w:pPr>
              <w:ind w:firstLine="0"/>
            </w:pPr>
            <w:r w:rsidRPr="00824D31">
              <w:t>806</w:t>
            </w:r>
          </w:p>
        </w:tc>
        <w:tc>
          <w:tcPr>
            <w:tcW w:w="3610" w:type="dxa"/>
            <w:tcBorders>
              <w:top w:val="nil"/>
              <w:left w:val="nil"/>
              <w:bottom w:val="single" w:sz="4" w:space="0" w:color="auto"/>
              <w:right w:val="single" w:sz="4" w:space="0" w:color="auto"/>
            </w:tcBorders>
            <w:vAlign w:val="center"/>
            <w:hideMark/>
          </w:tcPr>
          <w:p w14:paraId="71DD4225" w14:textId="77777777" w:rsidR="00EC492E" w:rsidRPr="00824D31" w:rsidRDefault="00EC492E" w:rsidP="00077638">
            <w:pPr>
              <w:ind w:firstLine="0"/>
            </w:pPr>
            <w:r w:rsidRPr="00824D31">
              <w:t>Спортивные комплексы</w:t>
            </w:r>
          </w:p>
        </w:tc>
        <w:tc>
          <w:tcPr>
            <w:tcW w:w="1559" w:type="dxa"/>
            <w:tcBorders>
              <w:top w:val="nil"/>
              <w:left w:val="nil"/>
              <w:bottom w:val="single" w:sz="4" w:space="0" w:color="auto"/>
              <w:right w:val="single" w:sz="4" w:space="0" w:color="auto"/>
            </w:tcBorders>
            <w:noWrap/>
            <w:vAlign w:val="bottom"/>
            <w:hideMark/>
          </w:tcPr>
          <w:p w14:paraId="503F8771" w14:textId="77777777" w:rsidR="00EC492E" w:rsidRPr="00824D31" w:rsidRDefault="00EC492E" w:rsidP="00077638">
            <w:pPr>
              <w:ind w:firstLine="0"/>
            </w:pPr>
            <w:r w:rsidRPr="00824D31">
              <w:t>176</w:t>
            </w:r>
          </w:p>
        </w:tc>
        <w:tc>
          <w:tcPr>
            <w:tcW w:w="851" w:type="dxa"/>
            <w:tcBorders>
              <w:top w:val="nil"/>
              <w:left w:val="nil"/>
              <w:bottom w:val="single" w:sz="4" w:space="0" w:color="auto"/>
              <w:right w:val="single" w:sz="4" w:space="0" w:color="auto"/>
            </w:tcBorders>
            <w:noWrap/>
            <w:vAlign w:val="bottom"/>
            <w:hideMark/>
          </w:tcPr>
          <w:p w14:paraId="303BD996" w14:textId="77777777" w:rsidR="00EC492E" w:rsidRPr="00824D31" w:rsidRDefault="00EC492E" w:rsidP="00077638">
            <w:pPr>
              <w:ind w:firstLine="0"/>
            </w:pPr>
            <w:r w:rsidRPr="00824D31">
              <w:t>1,72%</w:t>
            </w:r>
          </w:p>
        </w:tc>
      </w:tr>
      <w:tr w:rsidR="00EC492E" w:rsidRPr="00824D31" w14:paraId="78676F83" w14:textId="77777777" w:rsidTr="00077638">
        <w:trPr>
          <w:trHeight w:val="255"/>
        </w:trPr>
        <w:tc>
          <w:tcPr>
            <w:tcW w:w="0" w:type="auto"/>
            <w:vMerge/>
            <w:tcBorders>
              <w:top w:val="nil"/>
              <w:left w:val="single" w:sz="4" w:space="0" w:color="auto"/>
              <w:bottom w:val="single" w:sz="4" w:space="0" w:color="auto"/>
              <w:right w:val="single" w:sz="4" w:space="0" w:color="auto"/>
            </w:tcBorders>
            <w:vAlign w:val="center"/>
            <w:hideMark/>
          </w:tcPr>
          <w:p w14:paraId="2840AE95" w14:textId="77777777" w:rsidR="00EC492E" w:rsidRPr="00824D31" w:rsidRDefault="00EC492E" w:rsidP="00077638">
            <w:pPr>
              <w:ind w:firstLine="0"/>
            </w:pPr>
          </w:p>
        </w:tc>
        <w:tc>
          <w:tcPr>
            <w:tcW w:w="1344" w:type="dxa"/>
            <w:tcBorders>
              <w:top w:val="nil"/>
              <w:left w:val="single" w:sz="4" w:space="0" w:color="auto"/>
              <w:bottom w:val="single" w:sz="4" w:space="0" w:color="auto"/>
              <w:right w:val="single" w:sz="4" w:space="0" w:color="auto"/>
            </w:tcBorders>
            <w:noWrap/>
            <w:vAlign w:val="bottom"/>
            <w:hideMark/>
          </w:tcPr>
          <w:p w14:paraId="54764E77" w14:textId="77777777" w:rsidR="00EC492E" w:rsidRPr="00824D31" w:rsidRDefault="00EC492E" w:rsidP="00077638">
            <w:pPr>
              <w:ind w:firstLine="0"/>
            </w:pPr>
            <w:r w:rsidRPr="00824D31">
              <w:t>807</w:t>
            </w:r>
          </w:p>
        </w:tc>
        <w:tc>
          <w:tcPr>
            <w:tcW w:w="3610" w:type="dxa"/>
            <w:tcBorders>
              <w:top w:val="nil"/>
              <w:left w:val="nil"/>
              <w:bottom w:val="single" w:sz="4" w:space="0" w:color="auto"/>
              <w:right w:val="single" w:sz="4" w:space="0" w:color="auto"/>
            </w:tcBorders>
            <w:vAlign w:val="center"/>
            <w:hideMark/>
          </w:tcPr>
          <w:p w14:paraId="59AD0EE2" w14:textId="77777777" w:rsidR="00EC492E" w:rsidRPr="00824D31" w:rsidRDefault="00EC492E" w:rsidP="00077638">
            <w:pPr>
              <w:ind w:firstLine="0"/>
            </w:pPr>
            <w:r w:rsidRPr="00824D31">
              <w:t>Спортивные залы и корпуса, спортивные клубы</w:t>
            </w:r>
          </w:p>
        </w:tc>
        <w:tc>
          <w:tcPr>
            <w:tcW w:w="1559" w:type="dxa"/>
            <w:tcBorders>
              <w:top w:val="nil"/>
              <w:left w:val="nil"/>
              <w:bottom w:val="single" w:sz="4" w:space="0" w:color="auto"/>
              <w:right w:val="single" w:sz="4" w:space="0" w:color="auto"/>
            </w:tcBorders>
            <w:noWrap/>
            <w:vAlign w:val="bottom"/>
            <w:hideMark/>
          </w:tcPr>
          <w:p w14:paraId="5F20E445" w14:textId="77777777" w:rsidR="00EC492E" w:rsidRPr="00824D31" w:rsidRDefault="00EC492E" w:rsidP="00077638">
            <w:pPr>
              <w:ind w:firstLine="0"/>
            </w:pPr>
            <w:r w:rsidRPr="00824D31">
              <w:t>439</w:t>
            </w:r>
          </w:p>
        </w:tc>
        <w:tc>
          <w:tcPr>
            <w:tcW w:w="851" w:type="dxa"/>
            <w:tcBorders>
              <w:top w:val="nil"/>
              <w:left w:val="nil"/>
              <w:bottom w:val="single" w:sz="4" w:space="0" w:color="auto"/>
              <w:right w:val="single" w:sz="4" w:space="0" w:color="auto"/>
            </w:tcBorders>
            <w:noWrap/>
            <w:vAlign w:val="bottom"/>
            <w:hideMark/>
          </w:tcPr>
          <w:p w14:paraId="0BE201B0" w14:textId="77777777" w:rsidR="00EC492E" w:rsidRPr="00824D31" w:rsidRDefault="00EC492E" w:rsidP="00077638">
            <w:pPr>
              <w:ind w:firstLine="0"/>
            </w:pPr>
            <w:r w:rsidRPr="00824D31">
              <w:t>4,30%</w:t>
            </w:r>
          </w:p>
        </w:tc>
      </w:tr>
      <w:tr w:rsidR="00EC492E" w:rsidRPr="00824D31" w14:paraId="241047C8" w14:textId="77777777" w:rsidTr="00077638">
        <w:trPr>
          <w:trHeight w:val="255"/>
        </w:trPr>
        <w:tc>
          <w:tcPr>
            <w:tcW w:w="0" w:type="auto"/>
            <w:vMerge/>
            <w:tcBorders>
              <w:top w:val="nil"/>
              <w:left w:val="single" w:sz="4" w:space="0" w:color="auto"/>
              <w:bottom w:val="single" w:sz="4" w:space="0" w:color="auto"/>
              <w:right w:val="single" w:sz="4" w:space="0" w:color="auto"/>
            </w:tcBorders>
            <w:vAlign w:val="center"/>
            <w:hideMark/>
          </w:tcPr>
          <w:p w14:paraId="332DE5BC" w14:textId="77777777" w:rsidR="00EC492E" w:rsidRPr="00824D31" w:rsidRDefault="00EC492E" w:rsidP="00077638">
            <w:pPr>
              <w:ind w:firstLine="0"/>
            </w:pPr>
          </w:p>
        </w:tc>
        <w:tc>
          <w:tcPr>
            <w:tcW w:w="1344" w:type="dxa"/>
            <w:tcBorders>
              <w:top w:val="nil"/>
              <w:left w:val="single" w:sz="4" w:space="0" w:color="auto"/>
              <w:bottom w:val="single" w:sz="4" w:space="0" w:color="auto"/>
              <w:right w:val="single" w:sz="4" w:space="0" w:color="auto"/>
            </w:tcBorders>
            <w:noWrap/>
            <w:vAlign w:val="bottom"/>
            <w:hideMark/>
          </w:tcPr>
          <w:p w14:paraId="02D31B91" w14:textId="77777777" w:rsidR="00EC492E" w:rsidRPr="00824D31" w:rsidRDefault="00EC492E" w:rsidP="00077638">
            <w:pPr>
              <w:ind w:firstLine="0"/>
            </w:pPr>
            <w:r w:rsidRPr="00824D31">
              <w:t>808</w:t>
            </w:r>
          </w:p>
        </w:tc>
        <w:tc>
          <w:tcPr>
            <w:tcW w:w="3610" w:type="dxa"/>
            <w:tcBorders>
              <w:top w:val="nil"/>
              <w:left w:val="nil"/>
              <w:bottom w:val="single" w:sz="4" w:space="0" w:color="auto"/>
              <w:right w:val="single" w:sz="4" w:space="0" w:color="auto"/>
            </w:tcBorders>
            <w:vAlign w:val="center"/>
            <w:hideMark/>
          </w:tcPr>
          <w:p w14:paraId="77D53AFA" w14:textId="77777777" w:rsidR="00EC492E" w:rsidRPr="00824D31" w:rsidRDefault="00EC492E" w:rsidP="00077638">
            <w:pPr>
              <w:ind w:firstLine="0"/>
            </w:pPr>
            <w:r w:rsidRPr="00824D31">
              <w:t>Стадионы, трибуны</w:t>
            </w:r>
          </w:p>
        </w:tc>
        <w:tc>
          <w:tcPr>
            <w:tcW w:w="1559" w:type="dxa"/>
            <w:tcBorders>
              <w:top w:val="nil"/>
              <w:left w:val="nil"/>
              <w:bottom w:val="single" w:sz="4" w:space="0" w:color="auto"/>
              <w:right w:val="single" w:sz="4" w:space="0" w:color="auto"/>
            </w:tcBorders>
            <w:noWrap/>
            <w:vAlign w:val="bottom"/>
            <w:hideMark/>
          </w:tcPr>
          <w:p w14:paraId="4A447698" w14:textId="77777777" w:rsidR="00EC492E" w:rsidRPr="00824D31" w:rsidRDefault="00EC492E" w:rsidP="00077638">
            <w:pPr>
              <w:ind w:firstLine="0"/>
            </w:pPr>
            <w:r w:rsidRPr="00824D31">
              <w:t>65</w:t>
            </w:r>
          </w:p>
        </w:tc>
        <w:tc>
          <w:tcPr>
            <w:tcW w:w="851" w:type="dxa"/>
            <w:tcBorders>
              <w:top w:val="nil"/>
              <w:left w:val="nil"/>
              <w:bottom w:val="single" w:sz="4" w:space="0" w:color="auto"/>
              <w:right w:val="single" w:sz="4" w:space="0" w:color="auto"/>
            </w:tcBorders>
            <w:noWrap/>
            <w:vAlign w:val="bottom"/>
            <w:hideMark/>
          </w:tcPr>
          <w:p w14:paraId="3F8673AB" w14:textId="77777777" w:rsidR="00EC492E" w:rsidRPr="00824D31" w:rsidRDefault="00EC492E" w:rsidP="00077638">
            <w:pPr>
              <w:ind w:firstLine="0"/>
            </w:pPr>
            <w:r w:rsidRPr="00824D31">
              <w:t>0,64%</w:t>
            </w:r>
          </w:p>
        </w:tc>
      </w:tr>
      <w:tr w:rsidR="00EC492E" w:rsidRPr="00824D31" w14:paraId="6E654E10" w14:textId="77777777" w:rsidTr="00077638">
        <w:trPr>
          <w:trHeight w:val="255"/>
        </w:trPr>
        <w:tc>
          <w:tcPr>
            <w:tcW w:w="0" w:type="auto"/>
            <w:vMerge/>
            <w:tcBorders>
              <w:top w:val="nil"/>
              <w:left w:val="single" w:sz="4" w:space="0" w:color="auto"/>
              <w:bottom w:val="single" w:sz="4" w:space="0" w:color="auto"/>
              <w:right w:val="single" w:sz="4" w:space="0" w:color="auto"/>
            </w:tcBorders>
            <w:vAlign w:val="center"/>
            <w:hideMark/>
          </w:tcPr>
          <w:p w14:paraId="1F9E8346" w14:textId="77777777" w:rsidR="00EC492E" w:rsidRPr="00824D31" w:rsidRDefault="00EC492E" w:rsidP="00077638">
            <w:pPr>
              <w:ind w:firstLine="0"/>
            </w:pPr>
          </w:p>
        </w:tc>
        <w:tc>
          <w:tcPr>
            <w:tcW w:w="1344" w:type="dxa"/>
            <w:tcBorders>
              <w:top w:val="nil"/>
              <w:left w:val="single" w:sz="4" w:space="0" w:color="auto"/>
              <w:bottom w:val="single" w:sz="4" w:space="0" w:color="auto"/>
              <w:right w:val="single" w:sz="4" w:space="0" w:color="auto"/>
            </w:tcBorders>
            <w:noWrap/>
            <w:vAlign w:val="bottom"/>
            <w:hideMark/>
          </w:tcPr>
          <w:p w14:paraId="1F1ED013" w14:textId="77777777" w:rsidR="00EC492E" w:rsidRPr="00824D31" w:rsidRDefault="00EC492E" w:rsidP="00077638">
            <w:pPr>
              <w:ind w:firstLine="0"/>
            </w:pPr>
            <w:r w:rsidRPr="00824D31">
              <w:t>810</w:t>
            </w:r>
          </w:p>
        </w:tc>
        <w:tc>
          <w:tcPr>
            <w:tcW w:w="3610" w:type="dxa"/>
            <w:tcBorders>
              <w:top w:val="nil"/>
              <w:left w:val="nil"/>
              <w:bottom w:val="single" w:sz="4" w:space="0" w:color="auto"/>
              <w:right w:val="single" w:sz="4" w:space="0" w:color="auto"/>
            </w:tcBorders>
            <w:vAlign w:val="center"/>
            <w:hideMark/>
          </w:tcPr>
          <w:p w14:paraId="7C2132DA" w14:textId="77777777" w:rsidR="00EC492E" w:rsidRPr="00824D31" w:rsidRDefault="00EC492E" w:rsidP="00077638">
            <w:pPr>
              <w:ind w:firstLine="0"/>
            </w:pPr>
            <w:r w:rsidRPr="00824D31">
              <w:t>Тиры</w:t>
            </w:r>
          </w:p>
        </w:tc>
        <w:tc>
          <w:tcPr>
            <w:tcW w:w="1559" w:type="dxa"/>
            <w:tcBorders>
              <w:top w:val="nil"/>
              <w:left w:val="nil"/>
              <w:bottom w:val="single" w:sz="4" w:space="0" w:color="auto"/>
              <w:right w:val="single" w:sz="4" w:space="0" w:color="auto"/>
            </w:tcBorders>
            <w:noWrap/>
            <w:vAlign w:val="bottom"/>
            <w:hideMark/>
          </w:tcPr>
          <w:p w14:paraId="20A8E01D" w14:textId="77777777" w:rsidR="00EC492E" w:rsidRPr="00824D31" w:rsidRDefault="00EC492E" w:rsidP="00077638">
            <w:pPr>
              <w:ind w:firstLine="0"/>
            </w:pPr>
            <w:r w:rsidRPr="00824D31">
              <w:t>26</w:t>
            </w:r>
          </w:p>
        </w:tc>
        <w:tc>
          <w:tcPr>
            <w:tcW w:w="851" w:type="dxa"/>
            <w:tcBorders>
              <w:top w:val="nil"/>
              <w:left w:val="nil"/>
              <w:bottom w:val="single" w:sz="4" w:space="0" w:color="auto"/>
              <w:right w:val="single" w:sz="4" w:space="0" w:color="auto"/>
            </w:tcBorders>
            <w:noWrap/>
            <w:vAlign w:val="bottom"/>
            <w:hideMark/>
          </w:tcPr>
          <w:p w14:paraId="09AA8963" w14:textId="77777777" w:rsidR="00EC492E" w:rsidRPr="00824D31" w:rsidRDefault="00EC492E" w:rsidP="00077638">
            <w:pPr>
              <w:ind w:firstLine="0"/>
            </w:pPr>
            <w:r w:rsidRPr="00824D31">
              <w:t>0,25%</w:t>
            </w:r>
          </w:p>
        </w:tc>
      </w:tr>
      <w:tr w:rsidR="00EC492E" w:rsidRPr="00824D31" w14:paraId="2F619807" w14:textId="77777777" w:rsidTr="00077638">
        <w:trPr>
          <w:trHeight w:val="255"/>
        </w:trPr>
        <w:tc>
          <w:tcPr>
            <w:tcW w:w="0" w:type="auto"/>
            <w:vMerge/>
            <w:tcBorders>
              <w:top w:val="nil"/>
              <w:left w:val="single" w:sz="4" w:space="0" w:color="auto"/>
              <w:bottom w:val="single" w:sz="4" w:space="0" w:color="auto"/>
              <w:right w:val="single" w:sz="4" w:space="0" w:color="auto"/>
            </w:tcBorders>
            <w:vAlign w:val="center"/>
            <w:hideMark/>
          </w:tcPr>
          <w:p w14:paraId="3F70B75F" w14:textId="77777777" w:rsidR="00EC492E" w:rsidRPr="00824D31" w:rsidRDefault="00EC492E" w:rsidP="00077638">
            <w:pPr>
              <w:ind w:firstLine="0"/>
            </w:pPr>
          </w:p>
        </w:tc>
        <w:tc>
          <w:tcPr>
            <w:tcW w:w="1344" w:type="dxa"/>
            <w:tcBorders>
              <w:top w:val="nil"/>
              <w:left w:val="single" w:sz="4" w:space="0" w:color="auto"/>
              <w:bottom w:val="single" w:sz="4" w:space="0" w:color="auto"/>
              <w:right w:val="single" w:sz="4" w:space="0" w:color="auto"/>
            </w:tcBorders>
            <w:noWrap/>
            <w:vAlign w:val="bottom"/>
            <w:hideMark/>
          </w:tcPr>
          <w:p w14:paraId="62377F37" w14:textId="77777777" w:rsidR="00EC492E" w:rsidRPr="00824D31" w:rsidRDefault="00EC492E" w:rsidP="00077638">
            <w:pPr>
              <w:ind w:firstLine="0"/>
            </w:pPr>
            <w:r w:rsidRPr="00824D31">
              <w:t>812</w:t>
            </w:r>
          </w:p>
        </w:tc>
        <w:tc>
          <w:tcPr>
            <w:tcW w:w="3610" w:type="dxa"/>
            <w:tcBorders>
              <w:top w:val="nil"/>
              <w:left w:val="nil"/>
              <w:bottom w:val="single" w:sz="4" w:space="0" w:color="auto"/>
              <w:right w:val="single" w:sz="4" w:space="0" w:color="auto"/>
            </w:tcBorders>
            <w:vAlign w:val="center"/>
            <w:hideMark/>
          </w:tcPr>
          <w:p w14:paraId="06185AAB" w14:textId="77777777" w:rsidR="00EC492E" w:rsidRPr="00824D31" w:rsidRDefault="00EC492E" w:rsidP="00077638">
            <w:pPr>
              <w:ind w:firstLine="0"/>
            </w:pPr>
            <w:r w:rsidRPr="00824D31">
              <w:t>Крытые катки</w:t>
            </w:r>
          </w:p>
        </w:tc>
        <w:tc>
          <w:tcPr>
            <w:tcW w:w="1559" w:type="dxa"/>
            <w:tcBorders>
              <w:top w:val="nil"/>
              <w:left w:val="nil"/>
              <w:bottom w:val="single" w:sz="4" w:space="0" w:color="auto"/>
              <w:right w:val="single" w:sz="4" w:space="0" w:color="auto"/>
            </w:tcBorders>
            <w:noWrap/>
            <w:vAlign w:val="bottom"/>
            <w:hideMark/>
          </w:tcPr>
          <w:p w14:paraId="6F5B04FF" w14:textId="77777777" w:rsidR="00EC492E" w:rsidRPr="00824D31" w:rsidRDefault="00EC492E" w:rsidP="00077638">
            <w:pPr>
              <w:ind w:firstLine="0"/>
            </w:pPr>
            <w:r w:rsidRPr="00824D31">
              <w:t>2</w:t>
            </w:r>
          </w:p>
        </w:tc>
        <w:tc>
          <w:tcPr>
            <w:tcW w:w="851" w:type="dxa"/>
            <w:tcBorders>
              <w:top w:val="nil"/>
              <w:left w:val="nil"/>
              <w:bottom w:val="single" w:sz="4" w:space="0" w:color="auto"/>
              <w:right w:val="single" w:sz="4" w:space="0" w:color="auto"/>
            </w:tcBorders>
            <w:noWrap/>
            <w:vAlign w:val="bottom"/>
            <w:hideMark/>
          </w:tcPr>
          <w:p w14:paraId="11DB914B" w14:textId="77777777" w:rsidR="00EC492E" w:rsidRPr="00824D31" w:rsidRDefault="00EC492E" w:rsidP="00077638">
            <w:pPr>
              <w:ind w:firstLine="0"/>
            </w:pPr>
            <w:r w:rsidRPr="00824D31">
              <w:t>0,02%</w:t>
            </w:r>
          </w:p>
        </w:tc>
      </w:tr>
      <w:tr w:rsidR="00EC492E" w:rsidRPr="00824D31" w14:paraId="6F75B392" w14:textId="77777777" w:rsidTr="00077638">
        <w:trPr>
          <w:trHeight w:val="255"/>
        </w:trPr>
        <w:tc>
          <w:tcPr>
            <w:tcW w:w="0" w:type="auto"/>
            <w:vMerge/>
            <w:tcBorders>
              <w:top w:val="nil"/>
              <w:left w:val="single" w:sz="4" w:space="0" w:color="auto"/>
              <w:bottom w:val="single" w:sz="4" w:space="0" w:color="auto"/>
              <w:right w:val="single" w:sz="4" w:space="0" w:color="auto"/>
            </w:tcBorders>
            <w:vAlign w:val="center"/>
            <w:hideMark/>
          </w:tcPr>
          <w:p w14:paraId="4E121DB5" w14:textId="77777777" w:rsidR="00EC492E" w:rsidRPr="00824D31" w:rsidRDefault="00EC492E" w:rsidP="00077638">
            <w:pPr>
              <w:ind w:firstLine="0"/>
            </w:pPr>
          </w:p>
        </w:tc>
        <w:tc>
          <w:tcPr>
            <w:tcW w:w="1344" w:type="dxa"/>
            <w:tcBorders>
              <w:top w:val="nil"/>
              <w:left w:val="single" w:sz="4" w:space="0" w:color="auto"/>
              <w:bottom w:val="single" w:sz="4" w:space="0" w:color="auto"/>
              <w:right w:val="single" w:sz="4" w:space="0" w:color="auto"/>
            </w:tcBorders>
            <w:noWrap/>
            <w:vAlign w:val="bottom"/>
            <w:hideMark/>
          </w:tcPr>
          <w:p w14:paraId="280A8870" w14:textId="77777777" w:rsidR="00EC492E" w:rsidRPr="00824D31" w:rsidRDefault="00EC492E" w:rsidP="00077638">
            <w:pPr>
              <w:ind w:firstLine="0"/>
            </w:pPr>
            <w:r w:rsidRPr="00824D31">
              <w:t>813</w:t>
            </w:r>
          </w:p>
        </w:tc>
        <w:tc>
          <w:tcPr>
            <w:tcW w:w="3610" w:type="dxa"/>
            <w:tcBorders>
              <w:top w:val="nil"/>
              <w:left w:val="nil"/>
              <w:bottom w:val="single" w:sz="4" w:space="0" w:color="auto"/>
              <w:right w:val="single" w:sz="4" w:space="0" w:color="auto"/>
            </w:tcBorders>
            <w:vAlign w:val="center"/>
            <w:hideMark/>
          </w:tcPr>
          <w:p w14:paraId="372108CE" w14:textId="77777777" w:rsidR="00EC492E" w:rsidRPr="00824D31" w:rsidRDefault="00EC492E" w:rsidP="00077638">
            <w:pPr>
              <w:ind w:firstLine="0"/>
            </w:pPr>
            <w:r w:rsidRPr="00824D31">
              <w:t>Бассейны для плавания</w:t>
            </w:r>
          </w:p>
        </w:tc>
        <w:tc>
          <w:tcPr>
            <w:tcW w:w="1559" w:type="dxa"/>
            <w:tcBorders>
              <w:top w:val="nil"/>
              <w:left w:val="nil"/>
              <w:bottom w:val="single" w:sz="4" w:space="0" w:color="auto"/>
              <w:right w:val="single" w:sz="4" w:space="0" w:color="auto"/>
            </w:tcBorders>
            <w:noWrap/>
            <w:vAlign w:val="bottom"/>
            <w:hideMark/>
          </w:tcPr>
          <w:p w14:paraId="095B91B1" w14:textId="77777777" w:rsidR="00EC492E" w:rsidRPr="00824D31" w:rsidRDefault="00EC492E" w:rsidP="00077638">
            <w:pPr>
              <w:ind w:firstLine="0"/>
            </w:pPr>
            <w:r w:rsidRPr="00824D31">
              <w:t>19</w:t>
            </w:r>
          </w:p>
        </w:tc>
        <w:tc>
          <w:tcPr>
            <w:tcW w:w="851" w:type="dxa"/>
            <w:tcBorders>
              <w:top w:val="nil"/>
              <w:left w:val="nil"/>
              <w:bottom w:val="single" w:sz="4" w:space="0" w:color="auto"/>
              <w:right w:val="single" w:sz="4" w:space="0" w:color="auto"/>
            </w:tcBorders>
            <w:noWrap/>
            <w:vAlign w:val="bottom"/>
            <w:hideMark/>
          </w:tcPr>
          <w:p w14:paraId="18F0F863" w14:textId="77777777" w:rsidR="00EC492E" w:rsidRPr="00824D31" w:rsidRDefault="00EC492E" w:rsidP="00077638">
            <w:pPr>
              <w:ind w:firstLine="0"/>
            </w:pPr>
            <w:r w:rsidRPr="00824D31">
              <w:t>0,19%</w:t>
            </w:r>
          </w:p>
        </w:tc>
      </w:tr>
      <w:tr w:rsidR="00EC492E" w:rsidRPr="00824D31" w14:paraId="66CE41A8" w14:textId="77777777" w:rsidTr="00077638">
        <w:trPr>
          <w:trHeight w:val="255"/>
        </w:trPr>
        <w:tc>
          <w:tcPr>
            <w:tcW w:w="0" w:type="auto"/>
            <w:vMerge/>
            <w:tcBorders>
              <w:top w:val="nil"/>
              <w:left w:val="single" w:sz="4" w:space="0" w:color="auto"/>
              <w:bottom w:val="single" w:sz="4" w:space="0" w:color="auto"/>
              <w:right w:val="single" w:sz="4" w:space="0" w:color="auto"/>
            </w:tcBorders>
            <w:vAlign w:val="center"/>
            <w:hideMark/>
          </w:tcPr>
          <w:p w14:paraId="1176DE6E" w14:textId="77777777" w:rsidR="00EC492E" w:rsidRPr="00824D31" w:rsidRDefault="00EC492E" w:rsidP="00077638">
            <w:pPr>
              <w:ind w:firstLine="0"/>
            </w:pPr>
          </w:p>
        </w:tc>
        <w:tc>
          <w:tcPr>
            <w:tcW w:w="1344" w:type="dxa"/>
            <w:tcBorders>
              <w:top w:val="nil"/>
              <w:left w:val="single" w:sz="4" w:space="0" w:color="auto"/>
              <w:bottom w:val="single" w:sz="4" w:space="0" w:color="auto"/>
              <w:right w:val="single" w:sz="4" w:space="0" w:color="auto"/>
            </w:tcBorders>
            <w:noWrap/>
            <w:vAlign w:val="bottom"/>
            <w:hideMark/>
          </w:tcPr>
          <w:p w14:paraId="183FD524" w14:textId="77777777" w:rsidR="00EC492E" w:rsidRPr="00824D31" w:rsidRDefault="00EC492E" w:rsidP="00077638">
            <w:pPr>
              <w:ind w:firstLine="0"/>
            </w:pPr>
            <w:r w:rsidRPr="00824D31">
              <w:t>814</w:t>
            </w:r>
          </w:p>
        </w:tc>
        <w:tc>
          <w:tcPr>
            <w:tcW w:w="3610" w:type="dxa"/>
            <w:tcBorders>
              <w:top w:val="nil"/>
              <w:left w:val="nil"/>
              <w:bottom w:val="single" w:sz="4" w:space="0" w:color="auto"/>
              <w:right w:val="single" w:sz="4" w:space="0" w:color="auto"/>
            </w:tcBorders>
            <w:vAlign w:val="center"/>
            <w:hideMark/>
          </w:tcPr>
          <w:p w14:paraId="63E07BE0" w14:textId="77777777" w:rsidR="00EC492E" w:rsidRPr="00824D31" w:rsidRDefault="00EC492E" w:rsidP="00077638">
            <w:pPr>
              <w:ind w:firstLine="0"/>
            </w:pPr>
            <w:r w:rsidRPr="00824D31">
              <w:t>Яхт - клубы</w:t>
            </w:r>
          </w:p>
        </w:tc>
        <w:tc>
          <w:tcPr>
            <w:tcW w:w="1559" w:type="dxa"/>
            <w:tcBorders>
              <w:top w:val="nil"/>
              <w:left w:val="nil"/>
              <w:bottom w:val="single" w:sz="4" w:space="0" w:color="auto"/>
              <w:right w:val="single" w:sz="4" w:space="0" w:color="auto"/>
            </w:tcBorders>
            <w:noWrap/>
            <w:vAlign w:val="bottom"/>
            <w:hideMark/>
          </w:tcPr>
          <w:p w14:paraId="35FD2A40" w14:textId="77777777" w:rsidR="00EC492E" w:rsidRPr="00824D31" w:rsidRDefault="00EC492E" w:rsidP="00077638">
            <w:pPr>
              <w:ind w:firstLine="0"/>
            </w:pPr>
            <w:r w:rsidRPr="00824D31">
              <w:t>4</w:t>
            </w:r>
          </w:p>
        </w:tc>
        <w:tc>
          <w:tcPr>
            <w:tcW w:w="851" w:type="dxa"/>
            <w:tcBorders>
              <w:top w:val="nil"/>
              <w:left w:val="nil"/>
              <w:bottom w:val="single" w:sz="4" w:space="0" w:color="auto"/>
              <w:right w:val="single" w:sz="4" w:space="0" w:color="auto"/>
            </w:tcBorders>
            <w:noWrap/>
            <w:vAlign w:val="bottom"/>
            <w:hideMark/>
          </w:tcPr>
          <w:p w14:paraId="4C4AA5FA" w14:textId="77777777" w:rsidR="00EC492E" w:rsidRPr="00824D31" w:rsidRDefault="00EC492E" w:rsidP="00077638">
            <w:pPr>
              <w:ind w:firstLine="0"/>
            </w:pPr>
            <w:r w:rsidRPr="00824D31">
              <w:t>0,04%</w:t>
            </w:r>
          </w:p>
        </w:tc>
      </w:tr>
      <w:tr w:rsidR="00EC492E" w:rsidRPr="00824D31" w14:paraId="141DC1E7" w14:textId="77777777" w:rsidTr="00077638">
        <w:trPr>
          <w:trHeight w:val="255"/>
        </w:trPr>
        <w:tc>
          <w:tcPr>
            <w:tcW w:w="0" w:type="auto"/>
            <w:vMerge/>
            <w:tcBorders>
              <w:top w:val="nil"/>
              <w:left w:val="single" w:sz="4" w:space="0" w:color="auto"/>
              <w:bottom w:val="single" w:sz="4" w:space="0" w:color="auto"/>
              <w:right w:val="single" w:sz="4" w:space="0" w:color="auto"/>
            </w:tcBorders>
            <w:vAlign w:val="center"/>
            <w:hideMark/>
          </w:tcPr>
          <w:p w14:paraId="11B9C212" w14:textId="77777777" w:rsidR="00EC492E" w:rsidRPr="00824D31" w:rsidRDefault="00EC492E" w:rsidP="00077638">
            <w:pPr>
              <w:ind w:firstLine="0"/>
            </w:pPr>
          </w:p>
        </w:tc>
        <w:tc>
          <w:tcPr>
            <w:tcW w:w="1344" w:type="dxa"/>
            <w:tcBorders>
              <w:top w:val="nil"/>
              <w:left w:val="single" w:sz="4" w:space="0" w:color="auto"/>
              <w:bottom w:val="single" w:sz="4" w:space="0" w:color="auto"/>
              <w:right w:val="single" w:sz="4" w:space="0" w:color="auto"/>
            </w:tcBorders>
            <w:noWrap/>
            <w:vAlign w:val="bottom"/>
            <w:hideMark/>
          </w:tcPr>
          <w:p w14:paraId="1E56DF91" w14:textId="77777777" w:rsidR="00EC492E" w:rsidRPr="00824D31" w:rsidRDefault="00EC492E" w:rsidP="00077638">
            <w:pPr>
              <w:ind w:firstLine="0"/>
            </w:pPr>
            <w:r w:rsidRPr="00824D31">
              <w:t>815</w:t>
            </w:r>
          </w:p>
        </w:tc>
        <w:tc>
          <w:tcPr>
            <w:tcW w:w="3610" w:type="dxa"/>
            <w:tcBorders>
              <w:top w:val="nil"/>
              <w:left w:val="nil"/>
              <w:bottom w:val="single" w:sz="4" w:space="0" w:color="auto"/>
              <w:right w:val="single" w:sz="4" w:space="0" w:color="auto"/>
            </w:tcBorders>
            <w:vAlign w:val="center"/>
            <w:hideMark/>
          </w:tcPr>
          <w:p w14:paraId="05CB8BE8" w14:textId="77777777" w:rsidR="00EC492E" w:rsidRPr="00824D31" w:rsidRDefault="00EC492E" w:rsidP="00077638">
            <w:pPr>
              <w:ind w:firstLine="0"/>
            </w:pPr>
            <w:r w:rsidRPr="00824D31">
              <w:t>Архивы, книгохранилища и фондохранилища, библиотеки</w:t>
            </w:r>
          </w:p>
        </w:tc>
        <w:tc>
          <w:tcPr>
            <w:tcW w:w="1559" w:type="dxa"/>
            <w:tcBorders>
              <w:top w:val="nil"/>
              <w:left w:val="nil"/>
              <w:bottom w:val="single" w:sz="4" w:space="0" w:color="auto"/>
              <w:right w:val="single" w:sz="4" w:space="0" w:color="auto"/>
            </w:tcBorders>
            <w:noWrap/>
            <w:vAlign w:val="bottom"/>
            <w:hideMark/>
          </w:tcPr>
          <w:p w14:paraId="6CC2E8AB" w14:textId="77777777" w:rsidR="00EC492E" w:rsidRPr="00824D31" w:rsidRDefault="00EC492E" w:rsidP="00077638">
            <w:pPr>
              <w:ind w:firstLine="0"/>
            </w:pPr>
            <w:r w:rsidRPr="00824D31">
              <w:t>192</w:t>
            </w:r>
          </w:p>
        </w:tc>
        <w:tc>
          <w:tcPr>
            <w:tcW w:w="851" w:type="dxa"/>
            <w:tcBorders>
              <w:top w:val="nil"/>
              <w:left w:val="nil"/>
              <w:bottom w:val="single" w:sz="4" w:space="0" w:color="auto"/>
              <w:right w:val="single" w:sz="4" w:space="0" w:color="auto"/>
            </w:tcBorders>
            <w:noWrap/>
            <w:vAlign w:val="bottom"/>
            <w:hideMark/>
          </w:tcPr>
          <w:p w14:paraId="0C64DA77" w14:textId="77777777" w:rsidR="00EC492E" w:rsidRPr="00824D31" w:rsidRDefault="00EC492E" w:rsidP="00077638">
            <w:pPr>
              <w:ind w:firstLine="0"/>
            </w:pPr>
            <w:r w:rsidRPr="00824D31">
              <w:t>1,88%</w:t>
            </w:r>
          </w:p>
        </w:tc>
      </w:tr>
      <w:tr w:rsidR="00EC492E" w:rsidRPr="00824D31" w14:paraId="2E3E62C0" w14:textId="77777777" w:rsidTr="00077638">
        <w:trPr>
          <w:trHeight w:val="510"/>
        </w:trPr>
        <w:tc>
          <w:tcPr>
            <w:tcW w:w="0" w:type="auto"/>
            <w:vMerge/>
            <w:tcBorders>
              <w:top w:val="nil"/>
              <w:left w:val="single" w:sz="4" w:space="0" w:color="auto"/>
              <w:bottom w:val="single" w:sz="4" w:space="0" w:color="auto"/>
              <w:right w:val="single" w:sz="4" w:space="0" w:color="auto"/>
            </w:tcBorders>
            <w:vAlign w:val="center"/>
            <w:hideMark/>
          </w:tcPr>
          <w:p w14:paraId="54A47702" w14:textId="77777777" w:rsidR="00EC492E" w:rsidRPr="00824D31" w:rsidRDefault="00EC492E" w:rsidP="00077638">
            <w:pPr>
              <w:ind w:firstLine="0"/>
            </w:pPr>
          </w:p>
        </w:tc>
        <w:tc>
          <w:tcPr>
            <w:tcW w:w="1344" w:type="dxa"/>
            <w:tcBorders>
              <w:top w:val="nil"/>
              <w:left w:val="single" w:sz="4" w:space="0" w:color="auto"/>
              <w:bottom w:val="single" w:sz="4" w:space="0" w:color="auto"/>
              <w:right w:val="single" w:sz="4" w:space="0" w:color="auto"/>
            </w:tcBorders>
            <w:noWrap/>
            <w:vAlign w:val="bottom"/>
            <w:hideMark/>
          </w:tcPr>
          <w:p w14:paraId="44767B7E" w14:textId="77777777" w:rsidR="00EC492E" w:rsidRPr="00824D31" w:rsidRDefault="00EC492E" w:rsidP="00077638">
            <w:pPr>
              <w:ind w:firstLine="0"/>
            </w:pPr>
            <w:r w:rsidRPr="00824D31">
              <w:t>816</w:t>
            </w:r>
          </w:p>
        </w:tc>
        <w:tc>
          <w:tcPr>
            <w:tcW w:w="3610" w:type="dxa"/>
            <w:tcBorders>
              <w:top w:val="nil"/>
              <w:left w:val="nil"/>
              <w:bottom w:val="single" w:sz="4" w:space="0" w:color="auto"/>
              <w:right w:val="single" w:sz="4" w:space="0" w:color="auto"/>
            </w:tcBorders>
            <w:vAlign w:val="center"/>
            <w:hideMark/>
          </w:tcPr>
          <w:p w14:paraId="106C5C9B" w14:textId="77777777" w:rsidR="00EC492E" w:rsidRPr="00824D31" w:rsidRDefault="00EC492E" w:rsidP="00077638">
            <w:pPr>
              <w:ind w:firstLine="0"/>
            </w:pPr>
            <w:r w:rsidRPr="00824D31">
              <w:t>Костелы, лавры, мечети, молебные дома, монастыри, синагоги, соборы, храмы, церкви, часовни</w:t>
            </w:r>
          </w:p>
        </w:tc>
        <w:tc>
          <w:tcPr>
            <w:tcW w:w="1559" w:type="dxa"/>
            <w:tcBorders>
              <w:top w:val="nil"/>
              <w:left w:val="nil"/>
              <w:bottom w:val="single" w:sz="4" w:space="0" w:color="auto"/>
              <w:right w:val="single" w:sz="4" w:space="0" w:color="auto"/>
            </w:tcBorders>
            <w:noWrap/>
            <w:vAlign w:val="bottom"/>
            <w:hideMark/>
          </w:tcPr>
          <w:p w14:paraId="282952E5" w14:textId="77777777" w:rsidR="00EC492E" w:rsidRPr="00824D31" w:rsidRDefault="00EC492E" w:rsidP="00077638">
            <w:pPr>
              <w:ind w:firstLine="0"/>
            </w:pPr>
            <w:r w:rsidRPr="00824D31">
              <w:t>121</w:t>
            </w:r>
          </w:p>
        </w:tc>
        <w:tc>
          <w:tcPr>
            <w:tcW w:w="851" w:type="dxa"/>
            <w:tcBorders>
              <w:top w:val="nil"/>
              <w:left w:val="nil"/>
              <w:bottom w:val="single" w:sz="4" w:space="0" w:color="auto"/>
              <w:right w:val="single" w:sz="4" w:space="0" w:color="auto"/>
            </w:tcBorders>
            <w:noWrap/>
            <w:vAlign w:val="bottom"/>
            <w:hideMark/>
          </w:tcPr>
          <w:p w14:paraId="545DD197" w14:textId="77777777" w:rsidR="00EC492E" w:rsidRPr="00824D31" w:rsidRDefault="00EC492E" w:rsidP="00077638">
            <w:pPr>
              <w:ind w:firstLine="0"/>
            </w:pPr>
            <w:r w:rsidRPr="00824D31">
              <w:t>1,18%</w:t>
            </w:r>
          </w:p>
        </w:tc>
      </w:tr>
      <w:tr w:rsidR="00EC492E" w:rsidRPr="00824D31" w14:paraId="604F1E4E" w14:textId="77777777" w:rsidTr="00077638">
        <w:trPr>
          <w:trHeight w:val="510"/>
        </w:trPr>
        <w:tc>
          <w:tcPr>
            <w:tcW w:w="0" w:type="auto"/>
            <w:vMerge/>
            <w:tcBorders>
              <w:top w:val="nil"/>
              <w:left w:val="single" w:sz="4" w:space="0" w:color="auto"/>
              <w:bottom w:val="single" w:sz="4" w:space="0" w:color="auto"/>
              <w:right w:val="single" w:sz="4" w:space="0" w:color="auto"/>
            </w:tcBorders>
            <w:vAlign w:val="center"/>
            <w:hideMark/>
          </w:tcPr>
          <w:p w14:paraId="2A5F31E0" w14:textId="77777777" w:rsidR="00EC492E" w:rsidRPr="00824D31" w:rsidRDefault="00EC492E" w:rsidP="00077638">
            <w:pPr>
              <w:ind w:firstLine="0"/>
            </w:pPr>
          </w:p>
        </w:tc>
        <w:tc>
          <w:tcPr>
            <w:tcW w:w="1344" w:type="dxa"/>
            <w:tcBorders>
              <w:top w:val="nil"/>
              <w:left w:val="single" w:sz="4" w:space="0" w:color="auto"/>
              <w:bottom w:val="single" w:sz="4" w:space="0" w:color="auto"/>
              <w:right w:val="single" w:sz="4" w:space="0" w:color="auto"/>
            </w:tcBorders>
            <w:noWrap/>
            <w:vAlign w:val="bottom"/>
            <w:hideMark/>
          </w:tcPr>
          <w:p w14:paraId="210914DA" w14:textId="77777777" w:rsidR="00EC492E" w:rsidRPr="00824D31" w:rsidRDefault="00EC492E" w:rsidP="00077638">
            <w:pPr>
              <w:ind w:firstLine="0"/>
            </w:pPr>
            <w:r w:rsidRPr="00824D31">
              <w:t>817</w:t>
            </w:r>
          </w:p>
        </w:tc>
        <w:tc>
          <w:tcPr>
            <w:tcW w:w="3610" w:type="dxa"/>
            <w:tcBorders>
              <w:top w:val="nil"/>
              <w:left w:val="nil"/>
              <w:bottom w:val="single" w:sz="4" w:space="0" w:color="auto"/>
              <w:right w:val="single" w:sz="4" w:space="0" w:color="auto"/>
            </w:tcBorders>
            <w:vAlign w:val="center"/>
            <w:hideMark/>
          </w:tcPr>
          <w:p w14:paraId="7471A4B1" w14:textId="77777777" w:rsidR="00EC492E" w:rsidRPr="00824D31" w:rsidRDefault="00EC492E" w:rsidP="00077638">
            <w:pPr>
              <w:ind w:firstLine="0"/>
            </w:pPr>
            <w:r w:rsidRPr="00824D31">
              <w:t>Оранжереи (не относящиеся к сельскохозяйственному производству)</w:t>
            </w:r>
          </w:p>
        </w:tc>
        <w:tc>
          <w:tcPr>
            <w:tcW w:w="1559" w:type="dxa"/>
            <w:tcBorders>
              <w:top w:val="nil"/>
              <w:left w:val="nil"/>
              <w:bottom w:val="single" w:sz="4" w:space="0" w:color="auto"/>
              <w:right w:val="single" w:sz="4" w:space="0" w:color="auto"/>
            </w:tcBorders>
            <w:noWrap/>
            <w:vAlign w:val="bottom"/>
            <w:hideMark/>
          </w:tcPr>
          <w:p w14:paraId="46C80EAA" w14:textId="77777777" w:rsidR="00EC492E" w:rsidRPr="00824D31" w:rsidRDefault="00EC492E" w:rsidP="00077638">
            <w:pPr>
              <w:ind w:firstLine="0"/>
            </w:pPr>
            <w:r w:rsidRPr="00824D31">
              <w:t>49</w:t>
            </w:r>
          </w:p>
        </w:tc>
        <w:tc>
          <w:tcPr>
            <w:tcW w:w="851" w:type="dxa"/>
            <w:tcBorders>
              <w:top w:val="nil"/>
              <w:left w:val="nil"/>
              <w:bottom w:val="single" w:sz="4" w:space="0" w:color="auto"/>
              <w:right w:val="single" w:sz="4" w:space="0" w:color="auto"/>
            </w:tcBorders>
            <w:noWrap/>
            <w:vAlign w:val="bottom"/>
            <w:hideMark/>
          </w:tcPr>
          <w:p w14:paraId="03E76D0C" w14:textId="77777777" w:rsidR="00EC492E" w:rsidRPr="00824D31" w:rsidRDefault="00EC492E" w:rsidP="00077638">
            <w:pPr>
              <w:ind w:firstLine="0"/>
            </w:pPr>
            <w:r w:rsidRPr="00824D31">
              <w:t>0,48%</w:t>
            </w:r>
          </w:p>
        </w:tc>
      </w:tr>
      <w:tr w:rsidR="00EC492E" w:rsidRPr="00824D31" w14:paraId="618DCC80" w14:textId="77777777" w:rsidTr="00077638">
        <w:trPr>
          <w:trHeight w:val="255"/>
        </w:trPr>
        <w:tc>
          <w:tcPr>
            <w:tcW w:w="0" w:type="auto"/>
            <w:vMerge/>
            <w:tcBorders>
              <w:top w:val="nil"/>
              <w:left w:val="single" w:sz="4" w:space="0" w:color="auto"/>
              <w:bottom w:val="single" w:sz="4" w:space="0" w:color="auto"/>
              <w:right w:val="single" w:sz="4" w:space="0" w:color="auto"/>
            </w:tcBorders>
            <w:vAlign w:val="center"/>
            <w:hideMark/>
          </w:tcPr>
          <w:p w14:paraId="564A71F9" w14:textId="77777777" w:rsidR="00EC492E" w:rsidRPr="00824D31" w:rsidRDefault="00EC492E" w:rsidP="00077638">
            <w:pPr>
              <w:ind w:firstLine="0"/>
            </w:pPr>
          </w:p>
        </w:tc>
        <w:tc>
          <w:tcPr>
            <w:tcW w:w="1344" w:type="dxa"/>
            <w:tcBorders>
              <w:top w:val="nil"/>
              <w:left w:val="single" w:sz="4" w:space="0" w:color="auto"/>
              <w:bottom w:val="single" w:sz="4" w:space="0" w:color="auto"/>
              <w:right w:val="single" w:sz="4" w:space="0" w:color="auto"/>
            </w:tcBorders>
            <w:noWrap/>
            <w:vAlign w:val="bottom"/>
            <w:hideMark/>
          </w:tcPr>
          <w:p w14:paraId="01033CEB" w14:textId="77777777" w:rsidR="00EC492E" w:rsidRPr="00824D31" w:rsidRDefault="00EC492E" w:rsidP="00077638">
            <w:pPr>
              <w:ind w:firstLine="0"/>
            </w:pPr>
            <w:r w:rsidRPr="00824D31">
              <w:t>818</w:t>
            </w:r>
          </w:p>
        </w:tc>
        <w:tc>
          <w:tcPr>
            <w:tcW w:w="3610" w:type="dxa"/>
            <w:tcBorders>
              <w:top w:val="nil"/>
              <w:left w:val="nil"/>
              <w:bottom w:val="single" w:sz="4" w:space="0" w:color="auto"/>
              <w:right w:val="single" w:sz="4" w:space="0" w:color="auto"/>
            </w:tcBorders>
            <w:vAlign w:val="center"/>
            <w:hideMark/>
          </w:tcPr>
          <w:p w14:paraId="7444C694" w14:textId="77777777" w:rsidR="00EC492E" w:rsidRPr="00824D31" w:rsidRDefault="00EC492E" w:rsidP="00077638">
            <w:pPr>
              <w:ind w:firstLine="0"/>
            </w:pPr>
            <w:r w:rsidRPr="00824D31">
              <w:t>Кинотеатры</w:t>
            </w:r>
          </w:p>
        </w:tc>
        <w:tc>
          <w:tcPr>
            <w:tcW w:w="1559" w:type="dxa"/>
            <w:tcBorders>
              <w:top w:val="nil"/>
              <w:left w:val="nil"/>
              <w:bottom w:val="single" w:sz="4" w:space="0" w:color="auto"/>
              <w:right w:val="single" w:sz="4" w:space="0" w:color="auto"/>
            </w:tcBorders>
            <w:noWrap/>
            <w:vAlign w:val="bottom"/>
            <w:hideMark/>
          </w:tcPr>
          <w:p w14:paraId="0D83195A" w14:textId="77777777" w:rsidR="00EC492E" w:rsidRPr="00824D31" w:rsidRDefault="00EC492E" w:rsidP="00077638">
            <w:pPr>
              <w:ind w:firstLine="0"/>
            </w:pPr>
            <w:r w:rsidRPr="00824D31">
              <w:t>29</w:t>
            </w:r>
          </w:p>
        </w:tc>
        <w:tc>
          <w:tcPr>
            <w:tcW w:w="851" w:type="dxa"/>
            <w:tcBorders>
              <w:top w:val="nil"/>
              <w:left w:val="nil"/>
              <w:bottom w:val="single" w:sz="4" w:space="0" w:color="auto"/>
              <w:right w:val="single" w:sz="4" w:space="0" w:color="auto"/>
            </w:tcBorders>
            <w:noWrap/>
            <w:vAlign w:val="bottom"/>
            <w:hideMark/>
          </w:tcPr>
          <w:p w14:paraId="79703AD4" w14:textId="77777777" w:rsidR="00EC492E" w:rsidRPr="00824D31" w:rsidRDefault="00EC492E" w:rsidP="00077638">
            <w:pPr>
              <w:ind w:firstLine="0"/>
            </w:pPr>
            <w:r w:rsidRPr="00824D31">
              <w:t>0,28%</w:t>
            </w:r>
          </w:p>
        </w:tc>
      </w:tr>
      <w:tr w:rsidR="00EC492E" w:rsidRPr="00824D31" w14:paraId="210B36A1" w14:textId="77777777" w:rsidTr="00077638">
        <w:trPr>
          <w:trHeight w:val="255"/>
        </w:trPr>
        <w:tc>
          <w:tcPr>
            <w:tcW w:w="0" w:type="auto"/>
            <w:vMerge/>
            <w:tcBorders>
              <w:top w:val="nil"/>
              <w:left w:val="single" w:sz="4" w:space="0" w:color="auto"/>
              <w:bottom w:val="single" w:sz="4" w:space="0" w:color="auto"/>
              <w:right w:val="single" w:sz="4" w:space="0" w:color="auto"/>
            </w:tcBorders>
            <w:vAlign w:val="center"/>
            <w:hideMark/>
          </w:tcPr>
          <w:p w14:paraId="17EB4383" w14:textId="77777777" w:rsidR="00EC492E" w:rsidRPr="00824D31" w:rsidRDefault="00EC492E" w:rsidP="00077638">
            <w:pPr>
              <w:ind w:firstLine="0"/>
            </w:pPr>
          </w:p>
        </w:tc>
        <w:tc>
          <w:tcPr>
            <w:tcW w:w="1344" w:type="dxa"/>
            <w:tcBorders>
              <w:top w:val="nil"/>
              <w:left w:val="single" w:sz="4" w:space="0" w:color="auto"/>
              <w:bottom w:val="single" w:sz="4" w:space="0" w:color="auto"/>
              <w:right w:val="single" w:sz="4" w:space="0" w:color="auto"/>
            </w:tcBorders>
            <w:noWrap/>
            <w:vAlign w:val="bottom"/>
            <w:hideMark/>
          </w:tcPr>
          <w:p w14:paraId="3789B97B" w14:textId="77777777" w:rsidR="00EC492E" w:rsidRPr="00824D31" w:rsidRDefault="00EC492E" w:rsidP="00077638">
            <w:pPr>
              <w:ind w:firstLine="0"/>
            </w:pPr>
            <w:r w:rsidRPr="00824D31">
              <w:t>819</w:t>
            </w:r>
          </w:p>
        </w:tc>
        <w:tc>
          <w:tcPr>
            <w:tcW w:w="3610" w:type="dxa"/>
            <w:tcBorders>
              <w:top w:val="nil"/>
              <w:left w:val="nil"/>
              <w:bottom w:val="single" w:sz="4" w:space="0" w:color="auto"/>
              <w:right w:val="single" w:sz="4" w:space="0" w:color="auto"/>
            </w:tcBorders>
            <w:vAlign w:val="center"/>
            <w:hideMark/>
          </w:tcPr>
          <w:p w14:paraId="399D62B3" w14:textId="77777777" w:rsidR="00EC492E" w:rsidRPr="00824D31" w:rsidRDefault="00EC492E" w:rsidP="00077638">
            <w:pPr>
              <w:ind w:firstLine="0"/>
            </w:pPr>
            <w:r w:rsidRPr="00824D31">
              <w:t>Киностудии</w:t>
            </w:r>
          </w:p>
        </w:tc>
        <w:tc>
          <w:tcPr>
            <w:tcW w:w="1559" w:type="dxa"/>
            <w:tcBorders>
              <w:top w:val="nil"/>
              <w:left w:val="nil"/>
              <w:bottom w:val="single" w:sz="4" w:space="0" w:color="auto"/>
              <w:right w:val="single" w:sz="4" w:space="0" w:color="auto"/>
            </w:tcBorders>
            <w:noWrap/>
            <w:vAlign w:val="bottom"/>
            <w:hideMark/>
          </w:tcPr>
          <w:p w14:paraId="65E03DA6" w14:textId="77777777" w:rsidR="00EC492E" w:rsidRPr="00824D31" w:rsidRDefault="00EC492E" w:rsidP="00077638">
            <w:pPr>
              <w:ind w:firstLine="0"/>
            </w:pPr>
            <w:r w:rsidRPr="00824D31">
              <w:t>20</w:t>
            </w:r>
          </w:p>
        </w:tc>
        <w:tc>
          <w:tcPr>
            <w:tcW w:w="851" w:type="dxa"/>
            <w:tcBorders>
              <w:top w:val="nil"/>
              <w:left w:val="nil"/>
              <w:bottom w:val="single" w:sz="4" w:space="0" w:color="auto"/>
              <w:right w:val="single" w:sz="4" w:space="0" w:color="auto"/>
            </w:tcBorders>
            <w:noWrap/>
            <w:vAlign w:val="bottom"/>
            <w:hideMark/>
          </w:tcPr>
          <w:p w14:paraId="66A9F43A" w14:textId="77777777" w:rsidR="00EC492E" w:rsidRPr="00824D31" w:rsidRDefault="00EC492E" w:rsidP="00077638">
            <w:pPr>
              <w:ind w:firstLine="0"/>
            </w:pPr>
            <w:r w:rsidRPr="00824D31">
              <w:t>0,20%</w:t>
            </w:r>
          </w:p>
        </w:tc>
      </w:tr>
      <w:tr w:rsidR="00EC492E" w:rsidRPr="00824D31" w14:paraId="7AB4A6F2" w14:textId="77777777" w:rsidTr="00077638">
        <w:trPr>
          <w:trHeight w:val="1020"/>
        </w:trPr>
        <w:tc>
          <w:tcPr>
            <w:tcW w:w="0" w:type="auto"/>
            <w:vMerge/>
            <w:tcBorders>
              <w:top w:val="nil"/>
              <w:left w:val="single" w:sz="4" w:space="0" w:color="auto"/>
              <w:bottom w:val="single" w:sz="4" w:space="0" w:color="auto"/>
              <w:right w:val="single" w:sz="4" w:space="0" w:color="auto"/>
            </w:tcBorders>
            <w:vAlign w:val="center"/>
            <w:hideMark/>
          </w:tcPr>
          <w:p w14:paraId="463B84FF" w14:textId="77777777" w:rsidR="00EC492E" w:rsidRPr="00824D31" w:rsidRDefault="00EC492E" w:rsidP="00077638">
            <w:pPr>
              <w:ind w:firstLine="0"/>
            </w:pPr>
          </w:p>
        </w:tc>
        <w:tc>
          <w:tcPr>
            <w:tcW w:w="1344" w:type="dxa"/>
            <w:tcBorders>
              <w:top w:val="nil"/>
              <w:left w:val="single" w:sz="4" w:space="0" w:color="auto"/>
              <w:bottom w:val="single" w:sz="4" w:space="0" w:color="auto"/>
              <w:right w:val="single" w:sz="4" w:space="0" w:color="auto"/>
            </w:tcBorders>
            <w:noWrap/>
            <w:vAlign w:val="bottom"/>
            <w:hideMark/>
          </w:tcPr>
          <w:p w14:paraId="746A018D" w14:textId="77777777" w:rsidR="00EC492E" w:rsidRPr="00824D31" w:rsidRDefault="00EC492E" w:rsidP="00077638">
            <w:pPr>
              <w:ind w:firstLine="0"/>
            </w:pPr>
            <w:r w:rsidRPr="00824D31">
              <w:t>820</w:t>
            </w:r>
          </w:p>
        </w:tc>
        <w:tc>
          <w:tcPr>
            <w:tcW w:w="3610" w:type="dxa"/>
            <w:tcBorders>
              <w:top w:val="nil"/>
              <w:left w:val="nil"/>
              <w:bottom w:val="single" w:sz="4" w:space="0" w:color="auto"/>
              <w:right w:val="single" w:sz="4" w:space="0" w:color="auto"/>
            </w:tcBorders>
            <w:vAlign w:val="center"/>
            <w:hideMark/>
          </w:tcPr>
          <w:p w14:paraId="21CA730A" w14:textId="77777777" w:rsidR="00EC492E" w:rsidRPr="00824D31" w:rsidRDefault="00EC492E" w:rsidP="00077638">
            <w:pPr>
              <w:ind w:firstLine="0"/>
            </w:pPr>
            <w:r w:rsidRPr="00824D31">
              <w:t>Выставочные залы, дворцы культуры, дома культуры, консерватории, концертные залы, культурно - досуговые центры, мюзик - холлы, планетарии, театры, художественные галереи, цирки</w:t>
            </w:r>
          </w:p>
        </w:tc>
        <w:tc>
          <w:tcPr>
            <w:tcW w:w="1559" w:type="dxa"/>
            <w:tcBorders>
              <w:top w:val="nil"/>
              <w:left w:val="nil"/>
              <w:bottom w:val="single" w:sz="4" w:space="0" w:color="auto"/>
              <w:right w:val="single" w:sz="4" w:space="0" w:color="auto"/>
            </w:tcBorders>
            <w:noWrap/>
            <w:vAlign w:val="bottom"/>
            <w:hideMark/>
          </w:tcPr>
          <w:p w14:paraId="6EAC0100" w14:textId="77777777" w:rsidR="00EC492E" w:rsidRPr="00824D31" w:rsidRDefault="00EC492E" w:rsidP="00077638">
            <w:pPr>
              <w:ind w:firstLine="0"/>
            </w:pPr>
            <w:r w:rsidRPr="00824D31">
              <w:t>841</w:t>
            </w:r>
          </w:p>
        </w:tc>
        <w:tc>
          <w:tcPr>
            <w:tcW w:w="851" w:type="dxa"/>
            <w:tcBorders>
              <w:top w:val="nil"/>
              <w:left w:val="nil"/>
              <w:bottom w:val="single" w:sz="4" w:space="0" w:color="auto"/>
              <w:right w:val="single" w:sz="4" w:space="0" w:color="auto"/>
            </w:tcBorders>
            <w:noWrap/>
            <w:vAlign w:val="bottom"/>
            <w:hideMark/>
          </w:tcPr>
          <w:p w14:paraId="57AF49F2" w14:textId="77777777" w:rsidR="00EC492E" w:rsidRPr="00824D31" w:rsidRDefault="00EC492E" w:rsidP="00077638">
            <w:pPr>
              <w:ind w:firstLine="0"/>
            </w:pPr>
            <w:r w:rsidRPr="00824D31">
              <w:t>8,23%</w:t>
            </w:r>
          </w:p>
        </w:tc>
      </w:tr>
      <w:tr w:rsidR="00EC492E" w:rsidRPr="00824D31" w14:paraId="4310C4AF" w14:textId="77777777" w:rsidTr="00077638">
        <w:trPr>
          <w:trHeight w:val="255"/>
        </w:trPr>
        <w:tc>
          <w:tcPr>
            <w:tcW w:w="0" w:type="auto"/>
            <w:vMerge/>
            <w:tcBorders>
              <w:top w:val="nil"/>
              <w:left w:val="single" w:sz="4" w:space="0" w:color="auto"/>
              <w:bottom w:val="single" w:sz="4" w:space="0" w:color="auto"/>
              <w:right w:val="single" w:sz="4" w:space="0" w:color="auto"/>
            </w:tcBorders>
            <w:vAlign w:val="center"/>
            <w:hideMark/>
          </w:tcPr>
          <w:p w14:paraId="7F75908A" w14:textId="77777777" w:rsidR="00EC492E" w:rsidRPr="00824D31" w:rsidRDefault="00EC492E" w:rsidP="00077638">
            <w:pPr>
              <w:ind w:firstLine="0"/>
            </w:pPr>
          </w:p>
        </w:tc>
        <w:tc>
          <w:tcPr>
            <w:tcW w:w="1344" w:type="dxa"/>
            <w:tcBorders>
              <w:top w:val="nil"/>
              <w:left w:val="single" w:sz="4" w:space="0" w:color="auto"/>
              <w:bottom w:val="single" w:sz="4" w:space="0" w:color="auto"/>
              <w:right w:val="single" w:sz="4" w:space="0" w:color="auto"/>
            </w:tcBorders>
            <w:noWrap/>
            <w:vAlign w:val="bottom"/>
            <w:hideMark/>
          </w:tcPr>
          <w:p w14:paraId="5C36FD6F" w14:textId="77777777" w:rsidR="00EC492E" w:rsidRPr="00824D31" w:rsidRDefault="00EC492E" w:rsidP="00077638">
            <w:pPr>
              <w:ind w:firstLine="0"/>
            </w:pPr>
            <w:r w:rsidRPr="00824D31">
              <w:t>821</w:t>
            </w:r>
          </w:p>
        </w:tc>
        <w:tc>
          <w:tcPr>
            <w:tcW w:w="3610" w:type="dxa"/>
            <w:tcBorders>
              <w:top w:val="nil"/>
              <w:left w:val="nil"/>
              <w:bottom w:val="single" w:sz="4" w:space="0" w:color="auto"/>
              <w:right w:val="single" w:sz="4" w:space="0" w:color="auto"/>
            </w:tcBorders>
            <w:vAlign w:val="center"/>
            <w:hideMark/>
          </w:tcPr>
          <w:p w14:paraId="44A57C8A" w14:textId="77777777" w:rsidR="00EC492E" w:rsidRPr="00824D31" w:rsidRDefault="00EC492E" w:rsidP="00077638">
            <w:pPr>
              <w:ind w:firstLine="0"/>
            </w:pPr>
            <w:r w:rsidRPr="00824D31">
              <w:t>Детские сады, ясли, ясли - сады</w:t>
            </w:r>
          </w:p>
        </w:tc>
        <w:tc>
          <w:tcPr>
            <w:tcW w:w="1559" w:type="dxa"/>
            <w:tcBorders>
              <w:top w:val="nil"/>
              <w:left w:val="nil"/>
              <w:bottom w:val="single" w:sz="4" w:space="0" w:color="auto"/>
              <w:right w:val="single" w:sz="4" w:space="0" w:color="auto"/>
            </w:tcBorders>
            <w:noWrap/>
            <w:vAlign w:val="bottom"/>
            <w:hideMark/>
          </w:tcPr>
          <w:p w14:paraId="1BA7A595" w14:textId="77777777" w:rsidR="00EC492E" w:rsidRPr="00824D31" w:rsidRDefault="00EC492E" w:rsidP="00077638">
            <w:pPr>
              <w:ind w:firstLine="0"/>
            </w:pPr>
            <w:r w:rsidRPr="00824D31">
              <w:t>1311</w:t>
            </w:r>
          </w:p>
        </w:tc>
        <w:tc>
          <w:tcPr>
            <w:tcW w:w="851" w:type="dxa"/>
            <w:tcBorders>
              <w:top w:val="nil"/>
              <w:left w:val="nil"/>
              <w:bottom w:val="single" w:sz="4" w:space="0" w:color="auto"/>
              <w:right w:val="single" w:sz="4" w:space="0" w:color="auto"/>
            </w:tcBorders>
            <w:noWrap/>
            <w:vAlign w:val="bottom"/>
            <w:hideMark/>
          </w:tcPr>
          <w:p w14:paraId="09880ABE" w14:textId="77777777" w:rsidR="00EC492E" w:rsidRPr="00824D31" w:rsidRDefault="00EC492E" w:rsidP="00077638">
            <w:pPr>
              <w:ind w:firstLine="0"/>
            </w:pPr>
            <w:r w:rsidRPr="00824D31">
              <w:t>12,83%</w:t>
            </w:r>
          </w:p>
        </w:tc>
      </w:tr>
      <w:tr w:rsidR="00EC492E" w:rsidRPr="00824D31" w14:paraId="33B97EEB" w14:textId="77777777" w:rsidTr="00077638">
        <w:trPr>
          <w:trHeight w:val="765"/>
        </w:trPr>
        <w:tc>
          <w:tcPr>
            <w:tcW w:w="0" w:type="auto"/>
            <w:vMerge/>
            <w:tcBorders>
              <w:top w:val="nil"/>
              <w:left w:val="single" w:sz="4" w:space="0" w:color="auto"/>
              <w:bottom w:val="single" w:sz="4" w:space="0" w:color="auto"/>
              <w:right w:val="single" w:sz="4" w:space="0" w:color="auto"/>
            </w:tcBorders>
            <w:vAlign w:val="center"/>
            <w:hideMark/>
          </w:tcPr>
          <w:p w14:paraId="7556471C" w14:textId="77777777" w:rsidR="00EC492E" w:rsidRPr="00824D31" w:rsidRDefault="00EC492E" w:rsidP="00077638">
            <w:pPr>
              <w:ind w:firstLine="0"/>
            </w:pPr>
          </w:p>
        </w:tc>
        <w:tc>
          <w:tcPr>
            <w:tcW w:w="1344" w:type="dxa"/>
            <w:tcBorders>
              <w:top w:val="nil"/>
              <w:left w:val="single" w:sz="4" w:space="0" w:color="auto"/>
              <w:bottom w:val="single" w:sz="4" w:space="0" w:color="auto"/>
              <w:right w:val="single" w:sz="4" w:space="0" w:color="auto"/>
            </w:tcBorders>
            <w:noWrap/>
            <w:vAlign w:val="bottom"/>
            <w:hideMark/>
          </w:tcPr>
          <w:p w14:paraId="09F2FFB3" w14:textId="77777777" w:rsidR="00EC492E" w:rsidRPr="00824D31" w:rsidRDefault="00EC492E" w:rsidP="00077638">
            <w:pPr>
              <w:ind w:firstLine="0"/>
            </w:pPr>
            <w:r w:rsidRPr="00824D31">
              <w:t>822</w:t>
            </w:r>
          </w:p>
        </w:tc>
        <w:tc>
          <w:tcPr>
            <w:tcW w:w="3610" w:type="dxa"/>
            <w:tcBorders>
              <w:top w:val="nil"/>
              <w:left w:val="nil"/>
              <w:bottom w:val="single" w:sz="4" w:space="0" w:color="auto"/>
              <w:right w:val="single" w:sz="4" w:space="0" w:color="auto"/>
            </w:tcBorders>
            <w:vAlign w:val="center"/>
            <w:hideMark/>
          </w:tcPr>
          <w:p w14:paraId="4A4839B0" w14:textId="77777777" w:rsidR="00EC492E" w:rsidRPr="00824D31" w:rsidRDefault="00EC492E" w:rsidP="00077638">
            <w:pPr>
              <w:ind w:firstLine="0"/>
            </w:pPr>
            <w:r w:rsidRPr="00824D31">
              <w:t>Гимназии, дома и дворцы пионеров, дома юного творчества, изостудии, клубы, лицеи, музыкальные школы, церковные школы, школы, спальные корпуса школ - интернатов</w:t>
            </w:r>
          </w:p>
        </w:tc>
        <w:tc>
          <w:tcPr>
            <w:tcW w:w="1559" w:type="dxa"/>
            <w:tcBorders>
              <w:top w:val="nil"/>
              <w:left w:val="nil"/>
              <w:bottom w:val="single" w:sz="4" w:space="0" w:color="auto"/>
              <w:right w:val="single" w:sz="4" w:space="0" w:color="auto"/>
            </w:tcBorders>
            <w:noWrap/>
            <w:vAlign w:val="bottom"/>
            <w:hideMark/>
          </w:tcPr>
          <w:p w14:paraId="4FD9EF9A" w14:textId="77777777" w:rsidR="00EC492E" w:rsidRPr="00824D31" w:rsidRDefault="00EC492E" w:rsidP="00077638">
            <w:pPr>
              <w:ind w:firstLine="0"/>
            </w:pPr>
            <w:r w:rsidRPr="00824D31">
              <w:t>1646</w:t>
            </w:r>
          </w:p>
        </w:tc>
        <w:tc>
          <w:tcPr>
            <w:tcW w:w="851" w:type="dxa"/>
            <w:tcBorders>
              <w:top w:val="nil"/>
              <w:left w:val="nil"/>
              <w:bottom w:val="single" w:sz="4" w:space="0" w:color="auto"/>
              <w:right w:val="single" w:sz="4" w:space="0" w:color="auto"/>
            </w:tcBorders>
            <w:noWrap/>
            <w:vAlign w:val="bottom"/>
            <w:hideMark/>
          </w:tcPr>
          <w:p w14:paraId="76C9B88A" w14:textId="77777777" w:rsidR="00EC492E" w:rsidRPr="00824D31" w:rsidRDefault="00EC492E" w:rsidP="00077638">
            <w:pPr>
              <w:ind w:firstLine="0"/>
            </w:pPr>
            <w:r w:rsidRPr="00824D31">
              <w:t>16,11%</w:t>
            </w:r>
          </w:p>
        </w:tc>
      </w:tr>
      <w:tr w:rsidR="00EC492E" w:rsidRPr="00824D31" w14:paraId="365757D6" w14:textId="77777777" w:rsidTr="00077638">
        <w:trPr>
          <w:trHeight w:val="510"/>
        </w:trPr>
        <w:tc>
          <w:tcPr>
            <w:tcW w:w="0" w:type="auto"/>
            <w:vMerge/>
            <w:tcBorders>
              <w:top w:val="nil"/>
              <w:left w:val="single" w:sz="4" w:space="0" w:color="auto"/>
              <w:bottom w:val="single" w:sz="4" w:space="0" w:color="auto"/>
              <w:right w:val="single" w:sz="4" w:space="0" w:color="auto"/>
            </w:tcBorders>
            <w:vAlign w:val="center"/>
            <w:hideMark/>
          </w:tcPr>
          <w:p w14:paraId="6E46CFB7" w14:textId="77777777" w:rsidR="00EC492E" w:rsidRPr="00824D31" w:rsidRDefault="00EC492E" w:rsidP="00077638">
            <w:pPr>
              <w:ind w:firstLine="0"/>
            </w:pPr>
          </w:p>
        </w:tc>
        <w:tc>
          <w:tcPr>
            <w:tcW w:w="1344" w:type="dxa"/>
            <w:tcBorders>
              <w:top w:val="nil"/>
              <w:left w:val="single" w:sz="4" w:space="0" w:color="auto"/>
              <w:bottom w:val="single" w:sz="4" w:space="0" w:color="auto"/>
              <w:right w:val="single" w:sz="4" w:space="0" w:color="auto"/>
            </w:tcBorders>
            <w:noWrap/>
            <w:vAlign w:val="bottom"/>
            <w:hideMark/>
          </w:tcPr>
          <w:p w14:paraId="2D9B9139" w14:textId="77777777" w:rsidR="00EC492E" w:rsidRPr="00824D31" w:rsidRDefault="00EC492E" w:rsidP="00077638">
            <w:pPr>
              <w:ind w:firstLine="0"/>
            </w:pPr>
            <w:r w:rsidRPr="00824D31">
              <w:t>823</w:t>
            </w:r>
          </w:p>
        </w:tc>
        <w:tc>
          <w:tcPr>
            <w:tcW w:w="3610" w:type="dxa"/>
            <w:tcBorders>
              <w:top w:val="nil"/>
              <w:left w:val="nil"/>
              <w:bottom w:val="single" w:sz="4" w:space="0" w:color="auto"/>
              <w:right w:val="single" w:sz="4" w:space="0" w:color="auto"/>
            </w:tcBorders>
            <w:vAlign w:val="center"/>
            <w:hideMark/>
          </w:tcPr>
          <w:p w14:paraId="441F075B" w14:textId="77777777" w:rsidR="00EC492E" w:rsidRPr="00824D31" w:rsidRDefault="00EC492E" w:rsidP="00077638">
            <w:pPr>
              <w:ind w:firstLine="0"/>
            </w:pPr>
            <w:r w:rsidRPr="00824D31">
              <w:t>Колледжи, училища профессионально - технические и ремесленные, техникумы, училища</w:t>
            </w:r>
          </w:p>
        </w:tc>
        <w:tc>
          <w:tcPr>
            <w:tcW w:w="1559" w:type="dxa"/>
            <w:tcBorders>
              <w:top w:val="nil"/>
              <w:left w:val="nil"/>
              <w:bottom w:val="single" w:sz="4" w:space="0" w:color="auto"/>
              <w:right w:val="single" w:sz="4" w:space="0" w:color="auto"/>
            </w:tcBorders>
            <w:noWrap/>
            <w:vAlign w:val="bottom"/>
            <w:hideMark/>
          </w:tcPr>
          <w:p w14:paraId="756A0B1E" w14:textId="77777777" w:rsidR="00EC492E" w:rsidRPr="00824D31" w:rsidRDefault="00EC492E" w:rsidP="00077638">
            <w:pPr>
              <w:ind w:firstLine="0"/>
            </w:pPr>
            <w:r w:rsidRPr="00824D31">
              <w:t>286</w:t>
            </w:r>
          </w:p>
        </w:tc>
        <w:tc>
          <w:tcPr>
            <w:tcW w:w="851" w:type="dxa"/>
            <w:tcBorders>
              <w:top w:val="nil"/>
              <w:left w:val="nil"/>
              <w:bottom w:val="single" w:sz="4" w:space="0" w:color="auto"/>
              <w:right w:val="single" w:sz="4" w:space="0" w:color="auto"/>
            </w:tcBorders>
            <w:noWrap/>
            <w:vAlign w:val="bottom"/>
            <w:hideMark/>
          </w:tcPr>
          <w:p w14:paraId="00396EAB" w14:textId="77777777" w:rsidR="00EC492E" w:rsidRPr="00824D31" w:rsidRDefault="00EC492E" w:rsidP="00077638">
            <w:pPr>
              <w:ind w:firstLine="0"/>
            </w:pPr>
            <w:r w:rsidRPr="00824D31">
              <w:t>2,80%</w:t>
            </w:r>
          </w:p>
        </w:tc>
      </w:tr>
      <w:tr w:rsidR="00EC492E" w:rsidRPr="00824D31" w14:paraId="60AAAC61" w14:textId="77777777" w:rsidTr="00077638">
        <w:trPr>
          <w:trHeight w:val="510"/>
        </w:trPr>
        <w:tc>
          <w:tcPr>
            <w:tcW w:w="0" w:type="auto"/>
            <w:vMerge/>
            <w:tcBorders>
              <w:top w:val="nil"/>
              <w:left w:val="single" w:sz="4" w:space="0" w:color="auto"/>
              <w:bottom w:val="single" w:sz="4" w:space="0" w:color="auto"/>
              <w:right w:val="single" w:sz="4" w:space="0" w:color="auto"/>
            </w:tcBorders>
            <w:vAlign w:val="center"/>
            <w:hideMark/>
          </w:tcPr>
          <w:p w14:paraId="4FD16BAF" w14:textId="77777777" w:rsidR="00EC492E" w:rsidRPr="00824D31" w:rsidRDefault="00EC492E" w:rsidP="00077638">
            <w:pPr>
              <w:ind w:firstLine="0"/>
            </w:pPr>
          </w:p>
        </w:tc>
        <w:tc>
          <w:tcPr>
            <w:tcW w:w="1344" w:type="dxa"/>
            <w:tcBorders>
              <w:top w:val="nil"/>
              <w:left w:val="single" w:sz="4" w:space="0" w:color="auto"/>
              <w:bottom w:val="single" w:sz="4" w:space="0" w:color="auto"/>
              <w:right w:val="single" w:sz="4" w:space="0" w:color="auto"/>
            </w:tcBorders>
            <w:noWrap/>
            <w:vAlign w:val="bottom"/>
            <w:hideMark/>
          </w:tcPr>
          <w:p w14:paraId="301CF09E" w14:textId="77777777" w:rsidR="00EC492E" w:rsidRPr="00824D31" w:rsidRDefault="00EC492E" w:rsidP="00077638">
            <w:pPr>
              <w:ind w:firstLine="0"/>
            </w:pPr>
            <w:r w:rsidRPr="00824D31">
              <w:t>824</w:t>
            </w:r>
          </w:p>
        </w:tc>
        <w:tc>
          <w:tcPr>
            <w:tcW w:w="3610" w:type="dxa"/>
            <w:tcBorders>
              <w:top w:val="nil"/>
              <w:left w:val="nil"/>
              <w:bottom w:val="single" w:sz="4" w:space="0" w:color="auto"/>
              <w:right w:val="single" w:sz="4" w:space="0" w:color="auto"/>
            </w:tcBorders>
            <w:vAlign w:val="center"/>
            <w:hideMark/>
          </w:tcPr>
          <w:p w14:paraId="6147A148" w14:textId="77777777" w:rsidR="00EC492E" w:rsidRPr="00824D31" w:rsidRDefault="00EC492E" w:rsidP="00077638">
            <w:pPr>
              <w:ind w:firstLine="0"/>
            </w:pPr>
            <w:r w:rsidRPr="00824D31">
              <w:t>Академии, институты образовательные, подготовительные отделения высших учебных заведений, университеты</w:t>
            </w:r>
          </w:p>
        </w:tc>
        <w:tc>
          <w:tcPr>
            <w:tcW w:w="1559" w:type="dxa"/>
            <w:tcBorders>
              <w:top w:val="nil"/>
              <w:left w:val="nil"/>
              <w:bottom w:val="single" w:sz="4" w:space="0" w:color="auto"/>
              <w:right w:val="single" w:sz="4" w:space="0" w:color="auto"/>
            </w:tcBorders>
            <w:noWrap/>
            <w:vAlign w:val="bottom"/>
            <w:hideMark/>
          </w:tcPr>
          <w:p w14:paraId="140336BA" w14:textId="77777777" w:rsidR="00EC492E" w:rsidRPr="00824D31" w:rsidRDefault="00EC492E" w:rsidP="00077638">
            <w:pPr>
              <w:ind w:firstLine="0"/>
            </w:pPr>
            <w:r w:rsidRPr="00824D31">
              <w:t>63</w:t>
            </w:r>
          </w:p>
        </w:tc>
        <w:tc>
          <w:tcPr>
            <w:tcW w:w="851" w:type="dxa"/>
            <w:tcBorders>
              <w:top w:val="nil"/>
              <w:left w:val="nil"/>
              <w:bottom w:val="single" w:sz="4" w:space="0" w:color="auto"/>
              <w:right w:val="single" w:sz="4" w:space="0" w:color="auto"/>
            </w:tcBorders>
            <w:noWrap/>
            <w:vAlign w:val="bottom"/>
            <w:hideMark/>
          </w:tcPr>
          <w:p w14:paraId="5A5742CE" w14:textId="77777777" w:rsidR="00EC492E" w:rsidRPr="00824D31" w:rsidRDefault="00EC492E" w:rsidP="00077638">
            <w:pPr>
              <w:ind w:firstLine="0"/>
            </w:pPr>
            <w:r w:rsidRPr="00824D31">
              <w:t>0,62%</w:t>
            </w:r>
          </w:p>
        </w:tc>
      </w:tr>
      <w:tr w:rsidR="00EC492E" w:rsidRPr="00824D31" w14:paraId="1ABCFE51" w14:textId="77777777" w:rsidTr="00077638">
        <w:trPr>
          <w:trHeight w:val="510"/>
        </w:trPr>
        <w:tc>
          <w:tcPr>
            <w:tcW w:w="0" w:type="auto"/>
            <w:vMerge/>
            <w:tcBorders>
              <w:top w:val="nil"/>
              <w:left w:val="single" w:sz="4" w:space="0" w:color="auto"/>
              <w:bottom w:val="single" w:sz="4" w:space="0" w:color="auto"/>
              <w:right w:val="single" w:sz="4" w:space="0" w:color="auto"/>
            </w:tcBorders>
            <w:vAlign w:val="center"/>
            <w:hideMark/>
          </w:tcPr>
          <w:p w14:paraId="0EA3F363" w14:textId="77777777" w:rsidR="00EC492E" w:rsidRPr="00824D31" w:rsidRDefault="00EC492E" w:rsidP="00077638">
            <w:pPr>
              <w:ind w:firstLine="0"/>
            </w:pPr>
          </w:p>
        </w:tc>
        <w:tc>
          <w:tcPr>
            <w:tcW w:w="1344" w:type="dxa"/>
            <w:tcBorders>
              <w:top w:val="nil"/>
              <w:left w:val="single" w:sz="4" w:space="0" w:color="auto"/>
              <w:bottom w:val="single" w:sz="4" w:space="0" w:color="auto"/>
              <w:right w:val="single" w:sz="4" w:space="0" w:color="auto"/>
            </w:tcBorders>
            <w:noWrap/>
            <w:vAlign w:val="bottom"/>
            <w:hideMark/>
          </w:tcPr>
          <w:p w14:paraId="42BCD0E4" w14:textId="77777777" w:rsidR="00EC492E" w:rsidRPr="00824D31" w:rsidRDefault="00EC492E" w:rsidP="00077638">
            <w:pPr>
              <w:ind w:firstLine="0"/>
            </w:pPr>
            <w:r w:rsidRPr="00824D31">
              <w:t>825</w:t>
            </w:r>
          </w:p>
        </w:tc>
        <w:tc>
          <w:tcPr>
            <w:tcW w:w="3610" w:type="dxa"/>
            <w:tcBorders>
              <w:top w:val="nil"/>
              <w:left w:val="nil"/>
              <w:bottom w:val="single" w:sz="4" w:space="0" w:color="auto"/>
              <w:right w:val="single" w:sz="4" w:space="0" w:color="auto"/>
            </w:tcBorders>
            <w:vAlign w:val="center"/>
            <w:hideMark/>
          </w:tcPr>
          <w:p w14:paraId="60A68FF2" w14:textId="77777777" w:rsidR="00EC492E" w:rsidRPr="00824D31" w:rsidRDefault="00EC492E" w:rsidP="00077638">
            <w:pPr>
              <w:ind w:firstLine="0"/>
            </w:pPr>
            <w:r w:rsidRPr="00824D31">
              <w:t>Больницы, поликлиники, станции медицинской скорой помощи, фельдшерские медицинские пункты</w:t>
            </w:r>
          </w:p>
        </w:tc>
        <w:tc>
          <w:tcPr>
            <w:tcW w:w="1559" w:type="dxa"/>
            <w:tcBorders>
              <w:top w:val="nil"/>
              <w:left w:val="nil"/>
              <w:bottom w:val="single" w:sz="4" w:space="0" w:color="auto"/>
              <w:right w:val="single" w:sz="4" w:space="0" w:color="auto"/>
            </w:tcBorders>
            <w:noWrap/>
            <w:vAlign w:val="bottom"/>
            <w:hideMark/>
          </w:tcPr>
          <w:p w14:paraId="70ED1DF0" w14:textId="77777777" w:rsidR="00EC492E" w:rsidRPr="00824D31" w:rsidRDefault="00EC492E" w:rsidP="00077638">
            <w:pPr>
              <w:ind w:firstLine="0"/>
            </w:pPr>
            <w:r w:rsidRPr="00824D31">
              <w:t>1478</w:t>
            </w:r>
          </w:p>
        </w:tc>
        <w:tc>
          <w:tcPr>
            <w:tcW w:w="851" w:type="dxa"/>
            <w:tcBorders>
              <w:top w:val="nil"/>
              <w:left w:val="nil"/>
              <w:bottom w:val="single" w:sz="4" w:space="0" w:color="auto"/>
              <w:right w:val="single" w:sz="4" w:space="0" w:color="auto"/>
            </w:tcBorders>
            <w:noWrap/>
            <w:vAlign w:val="bottom"/>
            <w:hideMark/>
          </w:tcPr>
          <w:p w14:paraId="53A27706" w14:textId="77777777" w:rsidR="00EC492E" w:rsidRPr="00824D31" w:rsidRDefault="00EC492E" w:rsidP="00077638">
            <w:pPr>
              <w:ind w:firstLine="0"/>
            </w:pPr>
            <w:r w:rsidRPr="00824D31">
              <w:t>14,47%</w:t>
            </w:r>
          </w:p>
        </w:tc>
      </w:tr>
      <w:tr w:rsidR="00EC492E" w:rsidRPr="00824D31" w14:paraId="6165A2AE" w14:textId="77777777" w:rsidTr="00077638">
        <w:trPr>
          <w:trHeight w:val="510"/>
        </w:trPr>
        <w:tc>
          <w:tcPr>
            <w:tcW w:w="0" w:type="auto"/>
            <w:vMerge/>
            <w:tcBorders>
              <w:top w:val="nil"/>
              <w:left w:val="single" w:sz="4" w:space="0" w:color="auto"/>
              <w:bottom w:val="single" w:sz="4" w:space="0" w:color="auto"/>
              <w:right w:val="single" w:sz="4" w:space="0" w:color="auto"/>
            </w:tcBorders>
            <w:vAlign w:val="center"/>
            <w:hideMark/>
          </w:tcPr>
          <w:p w14:paraId="5F753ACC" w14:textId="77777777" w:rsidR="00EC492E" w:rsidRPr="00824D31" w:rsidRDefault="00EC492E" w:rsidP="00077638">
            <w:pPr>
              <w:ind w:firstLine="0"/>
            </w:pPr>
          </w:p>
        </w:tc>
        <w:tc>
          <w:tcPr>
            <w:tcW w:w="1344" w:type="dxa"/>
            <w:tcBorders>
              <w:top w:val="nil"/>
              <w:left w:val="single" w:sz="4" w:space="0" w:color="auto"/>
              <w:bottom w:val="single" w:sz="4" w:space="0" w:color="auto"/>
              <w:right w:val="single" w:sz="4" w:space="0" w:color="auto"/>
            </w:tcBorders>
            <w:noWrap/>
            <w:vAlign w:val="bottom"/>
            <w:hideMark/>
          </w:tcPr>
          <w:p w14:paraId="2F5D87FD" w14:textId="77777777" w:rsidR="00EC492E" w:rsidRPr="00824D31" w:rsidRDefault="00EC492E" w:rsidP="00077638">
            <w:pPr>
              <w:ind w:firstLine="0"/>
            </w:pPr>
            <w:r w:rsidRPr="00824D31">
              <w:t>829</w:t>
            </w:r>
          </w:p>
        </w:tc>
        <w:tc>
          <w:tcPr>
            <w:tcW w:w="3610" w:type="dxa"/>
            <w:tcBorders>
              <w:top w:val="nil"/>
              <w:left w:val="nil"/>
              <w:bottom w:val="single" w:sz="4" w:space="0" w:color="auto"/>
              <w:right w:val="single" w:sz="4" w:space="0" w:color="auto"/>
            </w:tcBorders>
            <w:vAlign w:val="center"/>
            <w:hideMark/>
          </w:tcPr>
          <w:p w14:paraId="3236D39F" w14:textId="77777777" w:rsidR="00EC492E" w:rsidRPr="00824D31" w:rsidRDefault="00EC492E" w:rsidP="00077638">
            <w:pPr>
              <w:ind w:firstLine="0"/>
            </w:pPr>
            <w:r w:rsidRPr="00824D31">
              <w:t>Объекты бытового обслуживания населения, ателье, парикмахерские, прачечные, пункты проката, молочные кухни</w:t>
            </w:r>
          </w:p>
        </w:tc>
        <w:tc>
          <w:tcPr>
            <w:tcW w:w="1559" w:type="dxa"/>
            <w:tcBorders>
              <w:top w:val="nil"/>
              <w:left w:val="nil"/>
              <w:bottom w:val="single" w:sz="4" w:space="0" w:color="auto"/>
              <w:right w:val="single" w:sz="4" w:space="0" w:color="auto"/>
            </w:tcBorders>
            <w:noWrap/>
            <w:vAlign w:val="bottom"/>
            <w:hideMark/>
          </w:tcPr>
          <w:p w14:paraId="7C614503" w14:textId="77777777" w:rsidR="00EC492E" w:rsidRPr="00824D31" w:rsidRDefault="00EC492E" w:rsidP="00077638">
            <w:pPr>
              <w:ind w:firstLine="0"/>
            </w:pPr>
            <w:r w:rsidRPr="00824D31">
              <w:t>480</w:t>
            </w:r>
          </w:p>
        </w:tc>
        <w:tc>
          <w:tcPr>
            <w:tcW w:w="851" w:type="dxa"/>
            <w:tcBorders>
              <w:top w:val="nil"/>
              <w:left w:val="nil"/>
              <w:bottom w:val="single" w:sz="4" w:space="0" w:color="auto"/>
              <w:right w:val="single" w:sz="4" w:space="0" w:color="auto"/>
            </w:tcBorders>
            <w:noWrap/>
            <w:vAlign w:val="bottom"/>
            <w:hideMark/>
          </w:tcPr>
          <w:p w14:paraId="3AA18485" w14:textId="77777777" w:rsidR="00EC492E" w:rsidRPr="00824D31" w:rsidRDefault="00EC492E" w:rsidP="00077638">
            <w:pPr>
              <w:ind w:firstLine="0"/>
            </w:pPr>
            <w:r w:rsidRPr="00824D31">
              <w:t>4,70%</w:t>
            </w:r>
          </w:p>
        </w:tc>
      </w:tr>
      <w:tr w:rsidR="00EC492E" w:rsidRPr="00824D31" w14:paraId="00DBB3A4" w14:textId="77777777" w:rsidTr="00077638">
        <w:trPr>
          <w:trHeight w:val="765"/>
        </w:trPr>
        <w:tc>
          <w:tcPr>
            <w:tcW w:w="0" w:type="auto"/>
            <w:vMerge/>
            <w:tcBorders>
              <w:top w:val="nil"/>
              <w:left w:val="single" w:sz="4" w:space="0" w:color="auto"/>
              <w:bottom w:val="single" w:sz="4" w:space="0" w:color="auto"/>
              <w:right w:val="single" w:sz="4" w:space="0" w:color="auto"/>
            </w:tcBorders>
            <w:vAlign w:val="center"/>
            <w:hideMark/>
          </w:tcPr>
          <w:p w14:paraId="131EC82D" w14:textId="77777777" w:rsidR="00EC492E" w:rsidRPr="00824D31" w:rsidRDefault="00EC492E" w:rsidP="00077638">
            <w:pPr>
              <w:ind w:firstLine="0"/>
            </w:pPr>
          </w:p>
        </w:tc>
        <w:tc>
          <w:tcPr>
            <w:tcW w:w="1344" w:type="dxa"/>
            <w:tcBorders>
              <w:top w:val="nil"/>
              <w:left w:val="single" w:sz="4" w:space="0" w:color="auto"/>
              <w:bottom w:val="single" w:sz="4" w:space="0" w:color="auto"/>
              <w:right w:val="single" w:sz="4" w:space="0" w:color="auto"/>
            </w:tcBorders>
            <w:noWrap/>
            <w:vAlign w:val="bottom"/>
            <w:hideMark/>
          </w:tcPr>
          <w:p w14:paraId="1EF22D75" w14:textId="77777777" w:rsidR="00EC492E" w:rsidRPr="00824D31" w:rsidRDefault="00EC492E" w:rsidP="00077638">
            <w:pPr>
              <w:ind w:firstLine="0"/>
            </w:pPr>
            <w:r w:rsidRPr="00824D31">
              <w:t>830</w:t>
            </w:r>
          </w:p>
        </w:tc>
        <w:tc>
          <w:tcPr>
            <w:tcW w:w="3610" w:type="dxa"/>
            <w:tcBorders>
              <w:top w:val="nil"/>
              <w:left w:val="nil"/>
              <w:bottom w:val="single" w:sz="4" w:space="0" w:color="auto"/>
              <w:right w:val="single" w:sz="4" w:space="0" w:color="auto"/>
            </w:tcBorders>
            <w:vAlign w:val="center"/>
            <w:hideMark/>
          </w:tcPr>
          <w:p w14:paraId="4BC6A371" w14:textId="77777777" w:rsidR="00EC492E" w:rsidRPr="00824D31" w:rsidRDefault="00EC492E" w:rsidP="00077638">
            <w:pPr>
              <w:ind w:firstLine="0"/>
            </w:pPr>
            <w:r w:rsidRPr="00824D31">
              <w:t>Бани общественные от 150 кв. м, до 1000 кв. м (до 100 чел.), душевые и раздевалки, банные комплексы 1000 кв. м (на 100 чел.) и более</w:t>
            </w:r>
          </w:p>
        </w:tc>
        <w:tc>
          <w:tcPr>
            <w:tcW w:w="1559" w:type="dxa"/>
            <w:tcBorders>
              <w:top w:val="nil"/>
              <w:left w:val="nil"/>
              <w:bottom w:val="single" w:sz="4" w:space="0" w:color="auto"/>
              <w:right w:val="single" w:sz="4" w:space="0" w:color="auto"/>
            </w:tcBorders>
            <w:noWrap/>
            <w:vAlign w:val="bottom"/>
            <w:hideMark/>
          </w:tcPr>
          <w:p w14:paraId="1E78F9E6" w14:textId="77777777" w:rsidR="00EC492E" w:rsidRPr="00824D31" w:rsidRDefault="00EC492E" w:rsidP="00077638">
            <w:pPr>
              <w:ind w:firstLine="0"/>
            </w:pPr>
            <w:r w:rsidRPr="00824D31">
              <w:t>714</w:t>
            </w:r>
          </w:p>
        </w:tc>
        <w:tc>
          <w:tcPr>
            <w:tcW w:w="851" w:type="dxa"/>
            <w:tcBorders>
              <w:top w:val="nil"/>
              <w:left w:val="nil"/>
              <w:bottom w:val="single" w:sz="4" w:space="0" w:color="auto"/>
              <w:right w:val="single" w:sz="4" w:space="0" w:color="auto"/>
            </w:tcBorders>
            <w:noWrap/>
            <w:vAlign w:val="bottom"/>
            <w:hideMark/>
          </w:tcPr>
          <w:p w14:paraId="2217A9D9" w14:textId="77777777" w:rsidR="00EC492E" w:rsidRPr="00824D31" w:rsidRDefault="00EC492E" w:rsidP="00077638">
            <w:pPr>
              <w:ind w:firstLine="0"/>
            </w:pPr>
            <w:r w:rsidRPr="00824D31">
              <w:t>6,99%</w:t>
            </w:r>
          </w:p>
        </w:tc>
      </w:tr>
      <w:tr w:rsidR="00EC492E" w:rsidRPr="00824D31" w14:paraId="16AD8F10" w14:textId="77777777" w:rsidTr="00077638">
        <w:trPr>
          <w:trHeight w:val="255"/>
        </w:trPr>
        <w:tc>
          <w:tcPr>
            <w:tcW w:w="0" w:type="auto"/>
            <w:vMerge/>
            <w:tcBorders>
              <w:top w:val="nil"/>
              <w:left w:val="single" w:sz="4" w:space="0" w:color="auto"/>
              <w:bottom w:val="single" w:sz="4" w:space="0" w:color="auto"/>
              <w:right w:val="single" w:sz="4" w:space="0" w:color="auto"/>
            </w:tcBorders>
            <w:vAlign w:val="center"/>
            <w:hideMark/>
          </w:tcPr>
          <w:p w14:paraId="07874AD6" w14:textId="77777777" w:rsidR="00EC492E" w:rsidRPr="00824D31" w:rsidRDefault="00EC492E" w:rsidP="00077638">
            <w:pPr>
              <w:ind w:firstLine="0"/>
            </w:pPr>
          </w:p>
        </w:tc>
        <w:tc>
          <w:tcPr>
            <w:tcW w:w="1344" w:type="dxa"/>
            <w:tcBorders>
              <w:top w:val="nil"/>
              <w:left w:val="single" w:sz="4" w:space="0" w:color="auto"/>
              <w:bottom w:val="single" w:sz="4" w:space="0" w:color="auto"/>
              <w:right w:val="single" w:sz="4" w:space="0" w:color="auto"/>
            </w:tcBorders>
            <w:noWrap/>
            <w:vAlign w:val="bottom"/>
            <w:hideMark/>
          </w:tcPr>
          <w:p w14:paraId="6C4EA651" w14:textId="77777777" w:rsidR="00EC492E" w:rsidRPr="00824D31" w:rsidRDefault="00EC492E" w:rsidP="00077638">
            <w:pPr>
              <w:ind w:firstLine="0"/>
            </w:pPr>
            <w:r w:rsidRPr="00824D31">
              <w:t>831</w:t>
            </w:r>
          </w:p>
        </w:tc>
        <w:tc>
          <w:tcPr>
            <w:tcW w:w="3610" w:type="dxa"/>
            <w:tcBorders>
              <w:top w:val="nil"/>
              <w:left w:val="nil"/>
              <w:bottom w:val="single" w:sz="4" w:space="0" w:color="auto"/>
              <w:right w:val="single" w:sz="4" w:space="0" w:color="auto"/>
            </w:tcBorders>
            <w:vAlign w:val="center"/>
            <w:hideMark/>
          </w:tcPr>
          <w:p w14:paraId="204F6E12" w14:textId="77777777" w:rsidR="00EC492E" w:rsidRPr="00824D31" w:rsidRDefault="00EC492E" w:rsidP="00077638">
            <w:pPr>
              <w:ind w:firstLine="0"/>
            </w:pPr>
            <w:r w:rsidRPr="00824D31">
              <w:t>Туалеты общественные</w:t>
            </w:r>
          </w:p>
        </w:tc>
        <w:tc>
          <w:tcPr>
            <w:tcW w:w="1559" w:type="dxa"/>
            <w:tcBorders>
              <w:top w:val="nil"/>
              <w:left w:val="nil"/>
              <w:bottom w:val="single" w:sz="4" w:space="0" w:color="auto"/>
              <w:right w:val="single" w:sz="4" w:space="0" w:color="auto"/>
            </w:tcBorders>
            <w:noWrap/>
            <w:vAlign w:val="bottom"/>
            <w:hideMark/>
          </w:tcPr>
          <w:p w14:paraId="223E7558" w14:textId="77777777" w:rsidR="00EC492E" w:rsidRPr="00824D31" w:rsidRDefault="00EC492E" w:rsidP="00077638">
            <w:pPr>
              <w:ind w:firstLine="0"/>
            </w:pPr>
            <w:r w:rsidRPr="00824D31">
              <w:t>118</w:t>
            </w:r>
          </w:p>
        </w:tc>
        <w:tc>
          <w:tcPr>
            <w:tcW w:w="851" w:type="dxa"/>
            <w:tcBorders>
              <w:top w:val="nil"/>
              <w:left w:val="nil"/>
              <w:bottom w:val="single" w:sz="4" w:space="0" w:color="auto"/>
              <w:right w:val="single" w:sz="4" w:space="0" w:color="auto"/>
            </w:tcBorders>
            <w:noWrap/>
            <w:vAlign w:val="bottom"/>
            <w:hideMark/>
          </w:tcPr>
          <w:p w14:paraId="51286B69" w14:textId="77777777" w:rsidR="00EC492E" w:rsidRPr="00824D31" w:rsidRDefault="00EC492E" w:rsidP="00077638">
            <w:pPr>
              <w:ind w:firstLine="0"/>
            </w:pPr>
            <w:r w:rsidRPr="00824D31">
              <w:t>1,16%</w:t>
            </w:r>
          </w:p>
        </w:tc>
      </w:tr>
      <w:tr w:rsidR="00EC492E" w:rsidRPr="00824D31" w14:paraId="38F1819C" w14:textId="77777777" w:rsidTr="00077638">
        <w:trPr>
          <w:trHeight w:val="255"/>
        </w:trPr>
        <w:tc>
          <w:tcPr>
            <w:tcW w:w="0" w:type="auto"/>
            <w:vMerge/>
            <w:tcBorders>
              <w:top w:val="nil"/>
              <w:left w:val="single" w:sz="4" w:space="0" w:color="auto"/>
              <w:bottom w:val="single" w:sz="4" w:space="0" w:color="auto"/>
              <w:right w:val="single" w:sz="4" w:space="0" w:color="auto"/>
            </w:tcBorders>
            <w:vAlign w:val="center"/>
            <w:hideMark/>
          </w:tcPr>
          <w:p w14:paraId="1B560C37" w14:textId="77777777" w:rsidR="00EC492E" w:rsidRPr="00824D31" w:rsidRDefault="00EC492E" w:rsidP="00077638">
            <w:pPr>
              <w:ind w:firstLine="0"/>
            </w:pPr>
          </w:p>
        </w:tc>
        <w:tc>
          <w:tcPr>
            <w:tcW w:w="1344" w:type="dxa"/>
            <w:tcBorders>
              <w:top w:val="nil"/>
              <w:left w:val="single" w:sz="4" w:space="0" w:color="auto"/>
              <w:bottom w:val="single" w:sz="4" w:space="0" w:color="auto"/>
              <w:right w:val="single" w:sz="4" w:space="0" w:color="auto"/>
            </w:tcBorders>
            <w:noWrap/>
            <w:vAlign w:val="bottom"/>
            <w:hideMark/>
          </w:tcPr>
          <w:p w14:paraId="4F1F64AF" w14:textId="77777777" w:rsidR="00EC492E" w:rsidRPr="00824D31" w:rsidRDefault="00EC492E" w:rsidP="00077638">
            <w:pPr>
              <w:ind w:firstLine="0"/>
            </w:pPr>
            <w:r w:rsidRPr="00824D31">
              <w:t>832</w:t>
            </w:r>
          </w:p>
        </w:tc>
        <w:tc>
          <w:tcPr>
            <w:tcW w:w="3610" w:type="dxa"/>
            <w:tcBorders>
              <w:top w:val="nil"/>
              <w:left w:val="nil"/>
              <w:bottom w:val="single" w:sz="4" w:space="0" w:color="auto"/>
              <w:right w:val="single" w:sz="4" w:space="0" w:color="auto"/>
            </w:tcBorders>
            <w:vAlign w:val="center"/>
            <w:hideMark/>
          </w:tcPr>
          <w:p w14:paraId="02666B17" w14:textId="77777777" w:rsidR="00EC492E" w:rsidRPr="00824D31" w:rsidRDefault="00EC492E" w:rsidP="00077638">
            <w:pPr>
              <w:ind w:firstLine="0"/>
            </w:pPr>
            <w:r w:rsidRPr="00824D31">
              <w:t>Морги</w:t>
            </w:r>
          </w:p>
        </w:tc>
        <w:tc>
          <w:tcPr>
            <w:tcW w:w="1559" w:type="dxa"/>
            <w:tcBorders>
              <w:top w:val="nil"/>
              <w:left w:val="nil"/>
              <w:bottom w:val="single" w:sz="4" w:space="0" w:color="auto"/>
              <w:right w:val="single" w:sz="4" w:space="0" w:color="auto"/>
            </w:tcBorders>
            <w:noWrap/>
            <w:vAlign w:val="bottom"/>
            <w:hideMark/>
          </w:tcPr>
          <w:p w14:paraId="2E26F8D8" w14:textId="77777777" w:rsidR="00EC492E" w:rsidRPr="00824D31" w:rsidRDefault="00EC492E" w:rsidP="00077638">
            <w:pPr>
              <w:ind w:firstLine="0"/>
            </w:pPr>
            <w:r w:rsidRPr="00824D31">
              <w:t>19</w:t>
            </w:r>
          </w:p>
        </w:tc>
        <w:tc>
          <w:tcPr>
            <w:tcW w:w="851" w:type="dxa"/>
            <w:tcBorders>
              <w:top w:val="nil"/>
              <w:left w:val="nil"/>
              <w:bottom w:val="single" w:sz="4" w:space="0" w:color="auto"/>
              <w:right w:val="single" w:sz="4" w:space="0" w:color="auto"/>
            </w:tcBorders>
            <w:noWrap/>
            <w:vAlign w:val="bottom"/>
            <w:hideMark/>
          </w:tcPr>
          <w:p w14:paraId="282545BF" w14:textId="77777777" w:rsidR="00EC492E" w:rsidRPr="00824D31" w:rsidRDefault="00EC492E" w:rsidP="00077638">
            <w:pPr>
              <w:ind w:firstLine="0"/>
            </w:pPr>
            <w:r w:rsidRPr="00824D31">
              <w:t>0,19%</w:t>
            </w:r>
          </w:p>
        </w:tc>
      </w:tr>
      <w:tr w:rsidR="00EC492E" w:rsidRPr="00824D31" w14:paraId="39885626" w14:textId="77777777" w:rsidTr="00077638">
        <w:trPr>
          <w:trHeight w:val="255"/>
        </w:trPr>
        <w:tc>
          <w:tcPr>
            <w:tcW w:w="0" w:type="auto"/>
            <w:vMerge/>
            <w:tcBorders>
              <w:top w:val="nil"/>
              <w:left w:val="single" w:sz="4" w:space="0" w:color="auto"/>
              <w:bottom w:val="single" w:sz="4" w:space="0" w:color="auto"/>
              <w:right w:val="single" w:sz="4" w:space="0" w:color="auto"/>
            </w:tcBorders>
            <w:vAlign w:val="center"/>
            <w:hideMark/>
          </w:tcPr>
          <w:p w14:paraId="2406139E" w14:textId="77777777" w:rsidR="00EC492E" w:rsidRPr="00824D31" w:rsidRDefault="00EC492E" w:rsidP="00077638">
            <w:pPr>
              <w:ind w:firstLine="0"/>
            </w:pPr>
          </w:p>
        </w:tc>
        <w:tc>
          <w:tcPr>
            <w:tcW w:w="1344" w:type="dxa"/>
            <w:tcBorders>
              <w:top w:val="nil"/>
              <w:left w:val="single" w:sz="4" w:space="0" w:color="auto"/>
              <w:bottom w:val="single" w:sz="4" w:space="0" w:color="auto"/>
              <w:right w:val="single" w:sz="4" w:space="0" w:color="auto"/>
            </w:tcBorders>
            <w:noWrap/>
            <w:vAlign w:val="bottom"/>
            <w:hideMark/>
          </w:tcPr>
          <w:p w14:paraId="182B54FD" w14:textId="77777777" w:rsidR="00EC492E" w:rsidRPr="00824D31" w:rsidRDefault="00EC492E" w:rsidP="00077638">
            <w:pPr>
              <w:ind w:firstLine="0"/>
            </w:pPr>
            <w:r w:rsidRPr="00824D31">
              <w:t>833</w:t>
            </w:r>
          </w:p>
        </w:tc>
        <w:tc>
          <w:tcPr>
            <w:tcW w:w="3610" w:type="dxa"/>
            <w:tcBorders>
              <w:top w:val="nil"/>
              <w:left w:val="nil"/>
              <w:bottom w:val="single" w:sz="4" w:space="0" w:color="auto"/>
              <w:right w:val="single" w:sz="4" w:space="0" w:color="auto"/>
            </w:tcBorders>
            <w:vAlign w:val="center"/>
            <w:hideMark/>
          </w:tcPr>
          <w:p w14:paraId="5168376A" w14:textId="77777777" w:rsidR="00EC492E" w:rsidRPr="00824D31" w:rsidRDefault="00EC492E" w:rsidP="00077638">
            <w:pPr>
              <w:ind w:firstLine="0"/>
            </w:pPr>
            <w:r w:rsidRPr="00824D31">
              <w:t>Интернаты</w:t>
            </w:r>
          </w:p>
        </w:tc>
        <w:tc>
          <w:tcPr>
            <w:tcW w:w="1559" w:type="dxa"/>
            <w:tcBorders>
              <w:top w:val="nil"/>
              <w:left w:val="nil"/>
              <w:bottom w:val="single" w:sz="4" w:space="0" w:color="auto"/>
              <w:right w:val="single" w:sz="4" w:space="0" w:color="auto"/>
            </w:tcBorders>
            <w:noWrap/>
            <w:vAlign w:val="bottom"/>
            <w:hideMark/>
          </w:tcPr>
          <w:p w14:paraId="2622BE9E" w14:textId="77777777" w:rsidR="00EC492E" w:rsidRPr="00824D31" w:rsidRDefault="00EC492E" w:rsidP="00077638">
            <w:pPr>
              <w:ind w:firstLine="0"/>
            </w:pPr>
            <w:r w:rsidRPr="00824D31">
              <w:t>222</w:t>
            </w:r>
          </w:p>
        </w:tc>
        <w:tc>
          <w:tcPr>
            <w:tcW w:w="851" w:type="dxa"/>
            <w:tcBorders>
              <w:top w:val="nil"/>
              <w:left w:val="nil"/>
              <w:bottom w:val="single" w:sz="4" w:space="0" w:color="auto"/>
              <w:right w:val="single" w:sz="4" w:space="0" w:color="auto"/>
            </w:tcBorders>
            <w:noWrap/>
            <w:vAlign w:val="bottom"/>
            <w:hideMark/>
          </w:tcPr>
          <w:p w14:paraId="1DF77676" w14:textId="77777777" w:rsidR="00EC492E" w:rsidRPr="00824D31" w:rsidRDefault="00EC492E" w:rsidP="00077638">
            <w:pPr>
              <w:ind w:firstLine="0"/>
            </w:pPr>
            <w:r w:rsidRPr="00824D31">
              <w:t>2,17%</w:t>
            </w:r>
          </w:p>
        </w:tc>
      </w:tr>
      <w:tr w:rsidR="00EC492E" w:rsidRPr="00824D31" w14:paraId="74B73DC9" w14:textId="77777777" w:rsidTr="00077638">
        <w:trPr>
          <w:trHeight w:val="255"/>
        </w:trPr>
        <w:tc>
          <w:tcPr>
            <w:tcW w:w="0" w:type="auto"/>
            <w:vMerge/>
            <w:tcBorders>
              <w:top w:val="nil"/>
              <w:left w:val="single" w:sz="4" w:space="0" w:color="auto"/>
              <w:bottom w:val="single" w:sz="4" w:space="0" w:color="auto"/>
              <w:right w:val="single" w:sz="4" w:space="0" w:color="auto"/>
            </w:tcBorders>
            <w:vAlign w:val="center"/>
            <w:hideMark/>
          </w:tcPr>
          <w:p w14:paraId="3E5DBC02" w14:textId="77777777" w:rsidR="00EC492E" w:rsidRPr="00824D31" w:rsidRDefault="00EC492E" w:rsidP="00077638">
            <w:pPr>
              <w:ind w:firstLine="0"/>
            </w:pPr>
          </w:p>
        </w:tc>
        <w:tc>
          <w:tcPr>
            <w:tcW w:w="1344" w:type="dxa"/>
            <w:tcBorders>
              <w:top w:val="nil"/>
              <w:left w:val="single" w:sz="4" w:space="0" w:color="auto"/>
              <w:bottom w:val="single" w:sz="4" w:space="0" w:color="auto"/>
              <w:right w:val="single" w:sz="4" w:space="0" w:color="auto"/>
            </w:tcBorders>
            <w:noWrap/>
            <w:vAlign w:val="bottom"/>
            <w:hideMark/>
          </w:tcPr>
          <w:p w14:paraId="2D026827" w14:textId="77777777" w:rsidR="00EC492E" w:rsidRPr="00824D31" w:rsidRDefault="00EC492E" w:rsidP="00077638">
            <w:pPr>
              <w:ind w:firstLine="0"/>
            </w:pPr>
            <w:r w:rsidRPr="00824D31">
              <w:t>834</w:t>
            </w:r>
          </w:p>
        </w:tc>
        <w:tc>
          <w:tcPr>
            <w:tcW w:w="3610" w:type="dxa"/>
            <w:tcBorders>
              <w:top w:val="nil"/>
              <w:left w:val="nil"/>
              <w:bottom w:val="single" w:sz="4" w:space="0" w:color="auto"/>
              <w:right w:val="single" w:sz="4" w:space="0" w:color="auto"/>
            </w:tcBorders>
            <w:vAlign w:val="center"/>
            <w:hideMark/>
          </w:tcPr>
          <w:p w14:paraId="50626853" w14:textId="77777777" w:rsidR="00EC492E" w:rsidRPr="00824D31" w:rsidRDefault="00EC492E" w:rsidP="00077638">
            <w:pPr>
              <w:ind w:firstLine="0"/>
            </w:pPr>
            <w:r w:rsidRPr="00824D31">
              <w:t>Изоляторы</w:t>
            </w:r>
          </w:p>
        </w:tc>
        <w:tc>
          <w:tcPr>
            <w:tcW w:w="1559" w:type="dxa"/>
            <w:tcBorders>
              <w:top w:val="nil"/>
              <w:left w:val="nil"/>
              <w:bottom w:val="single" w:sz="4" w:space="0" w:color="auto"/>
              <w:right w:val="single" w:sz="4" w:space="0" w:color="auto"/>
            </w:tcBorders>
            <w:noWrap/>
            <w:vAlign w:val="bottom"/>
            <w:hideMark/>
          </w:tcPr>
          <w:p w14:paraId="6A490EEB" w14:textId="77777777" w:rsidR="00EC492E" w:rsidRPr="00824D31" w:rsidRDefault="00EC492E" w:rsidP="00077638">
            <w:pPr>
              <w:ind w:firstLine="0"/>
            </w:pPr>
            <w:r w:rsidRPr="00824D31">
              <w:t>27</w:t>
            </w:r>
          </w:p>
        </w:tc>
        <w:tc>
          <w:tcPr>
            <w:tcW w:w="851" w:type="dxa"/>
            <w:tcBorders>
              <w:top w:val="nil"/>
              <w:left w:val="nil"/>
              <w:bottom w:val="single" w:sz="4" w:space="0" w:color="auto"/>
              <w:right w:val="single" w:sz="4" w:space="0" w:color="auto"/>
            </w:tcBorders>
            <w:noWrap/>
            <w:vAlign w:val="bottom"/>
            <w:hideMark/>
          </w:tcPr>
          <w:p w14:paraId="0FCE3440" w14:textId="77777777" w:rsidR="00EC492E" w:rsidRPr="00824D31" w:rsidRDefault="00EC492E" w:rsidP="00077638">
            <w:pPr>
              <w:ind w:firstLine="0"/>
            </w:pPr>
            <w:r w:rsidRPr="00824D31">
              <w:t>0,26%</w:t>
            </w:r>
          </w:p>
        </w:tc>
      </w:tr>
      <w:tr w:rsidR="00EC492E" w:rsidRPr="00824D31" w14:paraId="103B6ED4" w14:textId="77777777" w:rsidTr="00077638">
        <w:trPr>
          <w:trHeight w:val="255"/>
        </w:trPr>
        <w:tc>
          <w:tcPr>
            <w:tcW w:w="0" w:type="auto"/>
            <w:vMerge/>
            <w:tcBorders>
              <w:top w:val="nil"/>
              <w:left w:val="single" w:sz="4" w:space="0" w:color="auto"/>
              <w:bottom w:val="single" w:sz="4" w:space="0" w:color="auto"/>
              <w:right w:val="single" w:sz="4" w:space="0" w:color="auto"/>
            </w:tcBorders>
            <w:vAlign w:val="center"/>
            <w:hideMark/>
          </w:tcPr>
          <w:p w14:paraId="34CA2D40" w14:textId="77777777" w:rsidR="00EC492E" w:rsidRPr="00824D31" w:rsidRDefault="00EC492E" w:rsidP="00077638">
            <w:pPr>
              <w:ind w:firstLine="0"/>
            </w:pPr>
          </w:p>
        </w:tc>
        <w:tc>
          <w:tcPr>
            <w:tcW w:w="1344" w:type="dxa"/>
            <w:tcBorders>
              <w:top w:val="nil"/>
              <w:left w:val="single" w:sz="4" w:space="0" w:color="auto"/>
              <w:bottom w:val="single" w:sz="4" w:space="0" w:color="auto"/>
              <w:right w:val="single" w:sz="4" w:space="0" w:color="auto"/>
            </w:tcBorders>
            <w:noWrap/>
            <w:vAlign w:val="bottom"/>
            <w:hideMark/>
          </w:tcPr>
          <w:p w14:paraId="4B36B303" w14:textId="77777777" w:rsidR="00EC492E" w:rsidRPr="00824D31" w:rsidRDefault="00EC492E" w:rsidP="00077638">
            <w:pPr>
              <w:ind w:firstLine="0"/>
            </w:pPr>
            <w:r w:rsidRPr="00824D31">
              <w:t>835</w:t>
            </w:r>
          </w:p>
        </w:tc>
        <w:tc>
          <w:tcPr>
            <w:tcW w:w="3610" w:type="dxa"/>
            <w:tcBorders>
              <w:top w:val="nil"/>
              <w:left w:val="nil"/>
              <w:bottom w:val="single" w:sz="4" w:space="0" w:color="auto"/>
              <w:right w:val="single" w:sz="4" w:space="0" w:color="auto"/>
            </w:tcBorders>
            <w:vAlign w:val="center"/>
            <w:hideMark/>
          </w:tcPr>
          <w:p w14:paraId="0C7E4DDD" w14:textId="77777777" w:rsidR="00EC492E" w:rsidRPr="00824D31" w:rsidRDefault="00EC492E" w:rsidP="00077638">
            <w:pPr>
              <w:ind w:firstLine="0"/>
            </w:pPr>
            <w:r w:rsidRPr="00824D31">
              <w:t>Исправительные заведения</w:t>
            </w:r>
          </w:p>
        </w:tc>
        <w:tc>
          <w:tcPr>
            <w:tcW w:w="1559" w:type="dxa"/>
            <w:tcBorders>
              <w:top w:val="nil"/>
              <w:left w:val="nil"/>
              <w:bottom w:val="single" w:sz="4" w:space="0" w:color="auto"/>
              <w:right w:val="single" w:sz="4" w:space="0" w:color="auto"/>
            </w:tcBorders>
            <w:noWrap/>
            <w:vAlign w:val="bottom"/>
            <w:hideMark/>
          </w:tcPr>
          <w:p w14:paraId="647DCD9B" w14:textId="77777777" w:rsidR="00EC492E" w:rsidRPr="00824D31" w:rsidRDefault="00EC492E" w:rsidP="00077638">
            <w:pPr>
              <w:ind w:firstLine="0"/>
            </w:pPr>
            <w:r w:rsidRPr="00824D31">
              <w:t>8</w:t>
            </w:r>
          </w:p>
        </w:tc>
        <w:tc>
          <w:tcPr>
            <w:tcW w:w="851" w:type="dxa"/>
            <w:tcBorders>
              <w:top w:val="nil"/>
              <w:left w:val="nil"/>
              <w:bottom w:val="single" w:sz="4" w:space="0" w:color="auto"/>
              <w:right w:val="single" w:sz="4" w:space="0" w:color="auto"/>
            </w:tcBorders>
            <w:noWrap/>
            <w:vAlign w:val="bottom"/>
            <w:hideMark/>
          </w:tcPr>
          <w:p w14:paraId="4945A799" w14:textId="77777777" w:rsidR="00EC492E" w:rsidRPr="00824D31" w:rsidRDefault="00EC492E" w:rsidP="00077638">
            <w:pPr>
              <w:ind w:firstLine="0"/>
            </w:pPr>
            <w:r w:rsidRPr="00824D31">
              <w:t>0,08%</w:t>
            </w:r>
          </w:p>
        </w:tc>
      </w:tr>
      <w:tr w:rsidR="00EC492E" w:rsidRPr="00824D31" w14:paraId="7CD0ED60" w14:textId="77777777" w:rsidTr="00077638">
        <w:trPr>
          <w:trHeight w:val="255"/>
        </w:trPr>
        <w:tc>
          <w:tcPr>
            <w:tcW w:w="0" w:type="auto"/>
            <w:vMerge/>
            <w:tcBorders>
              <w:top w:val="nil"/>
              <w:left w:val="single" w:sz="4" w:space="0" w:color="auto"/>
              <w:bottom w:val="single" w:sz="4" w:space="0" w:color="auto"/>
              <w:right w:val="single" w:sz="4" w:space="0" w:color="auto"/>
            </w:tcBorders>
            <w:vAlign w:val="center"/>
            <w:hideMark/>
          </w:tcPr>
          <w:p w14:paraId="5317711D" w14:textId="77777777" w:rsidR="00EC492E" w:rsidRPr="00824D31" w:rsidRDefault="00EC492E" w:rsidP="00077638">
            <w:pPr>
              <w:ind w:firstLine="0"/>
            </w:pPr>
          </w:p>
        </w:tc>
        <w:tc>
          <w:tcPr>
            <w:tcW w:w="1344" w:type="dxa"/>
            <w:tcBorders>
              <w:top w:val="nil"/>
              <w:left w:val="single" w:sz="4" w:space="0" w:color="auto"/>
              <w:bottom w:val="single" w:sz="4" w:space="0" w:color="auto"/>
              <w:right w:val="single" w:sz="4" w:space="0" w:color="auto"/>
            </w:tcBorders>
            <w:noWrap/>
            <w:vAlign w:val="bottom"/>
            <w:hideMark/>
          </w:tcPr>
          <w:p w14:paraId="455B44EB" w14:textId="77777777" w:rsidR="00EC492E" w:rsidRPr="00824D31" w:rsidRDefault="00EC492E" w:rsidP="00077638">
            <w:pPr>
              <w:ind w:firstLine="0"/>
            </w:pPr>
            <w:r w:rsidRPr="00824D31">
              <w:t>836</w:t>
            </w:r>
          </w:p>
        </w:tc>
        <w:tc>
          <w:tcPr>
            <w:tcW w:w="3610" w:type="dxa"/>
            <w:tcBorders>
              <w:top w:val="nil"/>
              <w:left w:val="nil"/>
              <w:bottom w:val="single" w:sz="4" w:space="0" w:color="auto"/>
              <w:right w:val="single" w:sz="4" w:space="0" w:color="auto"/>
            </w:tcBorders>
            <w:vAlign w:val="center"/>
            <w:hideMark/>
          </w:tcPr>
          <w:p w14:paraId="596FCDFA" w14:textId="77777777" w:rsidR="00EC492E" w:rsidRPr="00824D31" w:rsidRDefault="00EC492E" w:rsidP="00077638">
            <w:pPr>
              <w:ind w:firstLine="0"/>
            </w:pPr>
            <w:r w:rsidRPr="00824D31">
              <w:t>Казармы</w:t>
            </w:r>
          </w:p>
        </w:tc>
        <w:tc>
          <w:tcPr>
            <w:tcW w:w="1559" w:type="dxa"/>
            <w:tcBorders>
              <w:top w:val="nil"/>
              <w:left w:val="nil"/>
              <w:bottom w:val="single" w:sz="4" w:space="0" w:color="auto"/>
              <w:right w:val="single" w:sz="4" w:space="0" w:color="auto"/>
            </w:tcBorders>
            <w:noWrap/>
            <w:vAlign w:val="bottom"/>
            <w:hideMark/>
          </w:tcPr>
          <w:p w14:paraId="313DCB29" w14:textId="77777777" w:rsidR="00EC492E" w:rsidRPr="00824D31" w:rsidRDefault="00EC492E" w:rsidP="00077638">
            <w:pPr>
              <w:ind w:firstLine="0"/>
            </w:pPr>
            <w:r w:rsidRPr="00824D31">
              <w:t>19</w:t>
            </w:r>
          </w:p>
        </w:tc>
        <w:tc>
          <w:tcPr>
            <w:tcW w:w="851" w:type="dxa"/>
            <w:tcBorders>
              <w:top w:val="nil"/>
              <w:left w:val="nil"/>
              <w:bottom w:val="single" w:sz="4" w:space="0" w:color="auto"/>
              <w:right w:val="single" w:sz="4" w:space="0" w:color="auto"/>
            </w:tcBorders>
            <w:noWrap/>
            <w:vAlign w:val="bottom"/>
            <w:hideMark/>
          </w:tcPr>
          <w:p w14:paraId="2AA7A77B" w14:textId="77777777" w:rsidR="00EC492E" w:rsidRPr="00824D31" w:rsidRDefault="00EC492E" w:rsidP="00077638">
            <w:pPr>
              <w:ind w:firstLine="0"/>
            </w:pPr>
            <w:r w:rsidRPr="00824D31">
              <w:t>0,19%</w:t>
            </w:r>
          </w:p>
        </w:tc>
      </w:tr>
      <w:tr w:rsidR="00EC492E" w:rsidRPr="00824D31" w14:paraId="0562339D" w14:textId="77777777" w:rsidTr="00077638">
        <w:trPr>
          <w:trHeight w:val="255"/>
        </w:trPr>
        <w:tc>
          <w:tcPr>
            <w:tcW w:w="0" w:type="auto"/>
            <w:vMerge/>
            <w:tcBorders>
              <w:top w:val="nil"/>
              <w:left w:val="single" w:sz="4" w:space="0" w:color="auto"/>
              <w:bottom w:val="single" w:sz="4" w:space="0" w:color="auto"/>
              <w:right w:val="single" w:sz="4" w:space="0" w:color="auto"/>
            </w:tcBorders>
            <w:vAlign w:val="center"/>
            <w:hideMark/>
          </w:tcPr>
          <w:p w14:paraId="762F77F4" w14:textId="77777777" w:rsidR="00EC492E" w:rsidRPr="00824D31" w:rsidRDefault="00EC492E" w:rsidP="00077638">
            <w:pPr>
              <w:ind w:firstLine="0"/>
            </w:pPr>
          </w:p>
        </w:tc>
        <w:tc>
          <w:tcPr>
            <w:tcW w:w="1344" w:type="dxa"/>
            <w:tcBorders>
              <w:top w:val="nil"/>
              <w:left w:val="single" w:sz="4" w:space="0" w:color="auto"/>
              <w:bottom w:val="single" w:sz="4" w:space="0" w:color="auto"/>
              <w:right w:val="single" w:sz="4" w:space="0" w:color="auto"/>
            </w:tcBorders>
            <w:noWrap/>
            <w:vAlign w:val="bottom"/>
            <w:hideMark/>
          </w:tcPr>
          <w:p w14:paraId="1619C40E" w14:textId="77777777" w:rsidR="00EC492E" w:rsidRPr="00824D31" w:rsidRDefault="00EC492E" w:rsidP="00077638">
            <w:pPr>
              <w:ind w:firstLine="0"/>
            </w:pPr>
            <w:r w:rsidRPr="00824D31">
              <w:t>837</w:t>
            </w:r>
          </w:p>
        </w:tc>
        <w:tc>
          <w:tcPr>
            <w:tcW w:w="3610" w:type="dxa"/>
            <w:tcBorders>
              <w:top w:val="nil"/>
              <w:left w:val="nil"/>
              <w:bottom w:val="single" w:sz="4" w:space="0" w:color="auto"/>
              <w:right w:val="single" w:sz="4" w:space="0" w:color="auto"/>
            </w:tcBorders>
            <w:vAlign w:val="center"/>
            <w:hideMark/>
          </w:tcPr>
          <w:p w14:paraId="7582FCAA" w14:textId="77777777" w:rsidR="00EC492E" w:rsidRPr="00824D31" w:rsidRDefault="00EC492E" w:rsidP="00077638">
            <w:pPr>
              <w:ind w:firstLine="0"/>
            </w:pPr>
            <w:r w:rsidRPr="00824D31">
              <w:t>Государственные научные центры</w:t>
            </w:r>
          </w:p>
        </w:tc>
        <w:tc>
          <w:tcPr>
            <w:tcW w:w="1559" w:type="dxa"/>
            <w:tcBorders>
              <w:top w:val="nil"/>
              <w:left w:val="nil"/>
              <w:bottom w:val="single" w:sz="4" w:space="0" w:color="auto"/>
              <w:right w:val="single" w:sz="4" w:space="0" w:color="auto"/>
            </w:tcBorders>
            <w:noWrap/>
            <w:vAlign w:val="bottom"/>
            <w:hideMark/>
          </w:tcPr>
          <w:p w14:paraId="3D23ECB6" w14:textId="77777777" w:rsidR="00EC492E" w:rsidRPr="00824D31" w:rsidRDefault="00EC492E" w:rsidP="00077638">
            <w:pPr>
              <w:ind w:firstLine="0"/>
            </w:pPr>
            <w:r w:rsidRPr="00824D31">
              <w:t>1</w:t>
            </w:r>
          </w:p>
        </w:tc>
        <w:tc>
          <w:tcPr>
            <w:tcW w:w="851" w:type="dxa"/>
            <w:tcBorders>
              <w:top w:val="nil"/>
              <w:left w:val="nil"/>
              <w:bottom w:val="single" w:sz="4" w:space="0" w:color="auto"/>
              <w:right w:val="single" w:sz="4" w:space="0" w:color="auto"/>
            </w:tcBorders>
            <w:noWrap/>
            <w:vAlign w:val="bottom"/>
            <w:hideMark/>
          </w:tcPr>
          <w:p w14:paraId="263CCBC6" w14:textId="77777777" w:rsidR="00EC492E" w:rsidRPr="00824D31" w:rsidRDefault="00EC492E" w:rsidP="00077638">
            <w:pPr>
              <w:ind w:firstLine="0"/>
            </w:pPr>
            <w:r w:rsidRPr="00824D31">
              <w:t>0,01%</w:t>
            </w:r>
          </w:p>
        </w:tc>
      </w:tr>
      <w:tr w:rsidR="00EC492E" w:rsidRPr="00824D31" w14:paraId="2714EC1D" w14:textId="77777777" w:rsidTr="00077638">
        <w:trPr>
          <w:trHeight w:val="255"/>
        </w:trPr>
        <w:tc>
          <w:tcPr>
            <w:tcW w:w="0" w:type="auto"/>
            <w:vMerge/>
            <w:tcBorders>
              <w:top w:val="nil"/>
              <w:left w:val="single" w:sz="4" w:space="0" w:color="auto"/>
              <w:bottom w:val="single" w:sz="4" w:space="0" w:color="auto"/>
              <w:right w:val="single" w:sz="4" w:space="0" w:color="auto"/>
            </w:tcBorders>
            <w:vAlign w:val="center"/>
            <w:hideMark/>
          </w:tcPr>
          <w:p w14:paraId="2362C8DB" w14:textId="77777777" w:rsidR="00EC492E" w:rsidRPr="00824D31" w:rsidRDefault="00EC492E" w:rsidP="00077638">
            <w:pPr>
              <w:ind w:firstLine="0"/>
            </w:pPr>
          </w:p>
        </w:tc>
        <w:tc>
          <w:tcPr>
            <w:tcW w:w="1344" w:type="dxa"/>
            <w:tcBorders>
              <w:top w:val="nil"/>
              <w:left w:val="single" w:sz="4" w:space="0" w:color="auto"/>
              <w:bottom w:val="single" w:sz="4" w:space="0" w:color="auto"/>
              <w:right w:val="single" w:sz="4" w:space="0" w:color="auto"/>
            </w:tcBorders>
            <w:noWrap/>
            <w:vAlign w:val="bottom"/>
            <w:hideMark/>
          </w:tcPr>
          <w:p w14:paraId="1FC04397" w14:textId="77777777" w:rsidR="00EC492E" w:rsidRPr="00824D31" w:rsidRDefault="00EC492E" w:rsidP="00077638">
            <w:pPr>
              <w:ind w:firstLine="0"/>
            </w:pPr>
            <w:r w:rsidRPr="00824D31">
              <w:t>839</w:t>
            </w:r>
          </w:p>
        </w:tc>
        <w:tc>
          <w:tcPr>
            <w:tcW w:w="3610" w:type="dxa"/>
            <w:tcBorders>
              <w:top w:val="nil"/>
              <w:left w:val="nil"/>
              <w:bottom w:val="single" w:sz="4" w:space="0" w:color="auto"/>
              <w:right w:val="single" w:sz="4" w:space="0" w:color="auto"/>
            </w:tcBorders>
            <w:vAlign w:val="center"/>
            <w:hideMark/>
          </w:tcPr>
          <w:p w14:paraId="2DEDBD04" w14:textId="77777777" w:rsidR="00EC492E" w:rsidRPr="00824D31" w:rsidRDefault="00EC492E" w:rsidP="00077638">
            <w:pPr>
              <w:ind w:firstLine="0"/>
            </w:pPr>
            <w:r w:rsidRPr="00824D31">
              <w:t>Научно - исследовательские институты</w:t>
            </w:r>
          </w:p>
        </w:tc>
        <w:tc>
          <w:tcPr>
            <w:tcW w:w="1559" w:type="dxa"/>
            <w:tcBorders>
              <w:top w:val="nil"/>
              <w:left w:val="nil"/>
              <w:bottom w:val="single" w:sz="4" w:space="0" w:color="auto"/>
              <w:right w:val="single" w:sz="4" w:space="0" w:color="auto"/>
            </w:tcBorders>
            <w:noWrap/>
            <w:vAlign w:val="bottom"/>
            <w:hideMark/>
          </w:tcPr>
          <w:p w14:paraId="14790F08" w14:textId="77777777" w:rsidR="00EC492E" w:rsidRPr="00824D31" w:rsidRDefault="00EC492E" w:rsidP="00077638">
            <w:pPr>
              <w:ind w:firstLine="0"/>
            </w:pPr>
            <w:r w:rsidRPr="00824D31">
              <w:t>36</w:t>
            </w:r>
          </w:p>
        </w:tc>
        <w:tc>
          <w:tcPr>
            <w:tcW w:w="851" w:type="dxa"/>
            <w:tcBorders>
              <w:top w:val="nil"/>
              <w:left w:val="nil"/>
              <w:bottom w:val="single" w:sz="4" w:space="0" w:color="auto"/>
              <w:right w:val="single" w:sz="4" w:space="0" w:color="auto"/>
            </w:tcBorders>
            <w:noWrap/>
            <w:vAlign w:val="bottom"/>
            <w:hideMark/>
          </w:tcPr>
          <w:p w14:paraId="034271D0" w14:textId="77777777" w:rsidR="00EC492E" w:rsidRPr="00824D31" w:rsidRDefault="00EC492E" w:rsidP="00077638">
            <w:pPr>
              <w:ind w:firstLine="0"/>
            </w:pPr>
            <w:r w:rsidRPr="00824D31">
              <w:t>0,35%</w:t>
            </w:r>
          </w:p>
        </w:tc>
      </w:tr>
      <w:tr w:rsidR="00EC492E" w:rsidRPr="00824D31" w14:paraId="03D21B88" w14:textId="77777777" w:rsidTr="00077638">
        <w:trPr>
          <w:trHeight w:val="255"/>
        </w:trPr>
        <w:tc>
          <w:tcPr>
            <w:tcW w:w="0" w:type="auto"/>
            <w:vMerge/>
            <w:tcBorders>
              <w:top w:val="nil"/>
              <w:left w:val="single" w:sz="4" w:space="0" w:color="auto"/>
              <w:bottom w:val="single" w:sz="4" w:space="0" w:color="auto"/>
              <w:right w:val="single" w:sz="4" w:space="0" w:color="auto"/>
            </w:tcBorders>
            <w:vAlign w:val="center"/>
            <w:hideMark/>
          </w:tcPr>
          <w:p w14:paraId="68B2ED2D" w14:textId="77777777" w:rsidR="00EC492E" w:rsidRPr="00824D31" w:rsidRDefault="00EC492E" w:rsidP="00077638">
            <w:pPr>
              <w:ind w:firstLine="0"/>
            </w:pPr>
          </w:p>
        </w:tc>
        <w:tc>
          <w:tcPr>
            <w:tcW w:w="1344" w:type="dxa"/>
            <w:tcBorders>
              <w:top w:val="nil"/>
              <w:left w:val="single" w:sz="4" w:space="0" w:color="auto"/>
              <w:bottom w:val="single" w:sz="4" w:space="0" w:color="auto"/>
              <w:right w:val="single" w:sz="4" w:space="0" w:color="auto"/>
            </w:tcBorders>
            <w:noWrap/>
            <w:vAlign w:val="bottom"/>
            <w:hideMark/>
          </w:tcPr>
          <w:p w14:paraId="3341C39F" w14:textId="77777777" w:rsidR="00EC492E" w:rsidRPr="00824D31" w:rsidRDefault="00EC492E" w:rsidP="00077638">
            <w:pPr>
              <w:ind w:firstLine="0"/>
            </w:pPr>
            <w:r w:rsidRPr="00824D31">
              <w:t>840</w:t>
            </w:r>
          </w:p>
        </w:tc>
        <w:tc>
          <w:tcPr>
            <w:tcW w:w="3610" w:type="dxa"/>
            <w:tcBorders>
              <w:top w:val="nil"/>
              <w:left w:val="nil"/>
              <w:bottom w:val="single" w:sz="4" w:space="0" w:color="auto"/>
              <w:right w:val="single" w:sz="4" w:space="0" w:color="auto"/>
            </w:tcBorders>
            <w:vAlign w:val="center"/>
            <w:hideMark/>
          </w:tcPr>
          <w:p w14:paraId="7CFA704B" w14:textId="77777777" w:rsidR="00EC492E" w:rsidRPr="00824D31" w:rsidRDefault="00EC492E" w:rsidP="00077638">
            <w:pPr>
              <w:ind w:firstLine="0"/>
            </w:pPr>
            <w:r w:rsidRPr="00824D31">
              <w:t>Обсерватории</w:t>
            </w:r>
          </w:p>
        </w:tc>
        <w:tc>
          <w:tcPr>
            <w:tcW w:w="1559" w:type="dxa"/>
            <w:tcBorders>
              <w:top w:val="nil"/>
              <w:left w:val="nil"/>
              <w:bottom w:val="single" w:sz="4" w:space="0" w:color="auto"/>
              <w:right w:val="single" w:sz="4" w:space="0" w:color="auto"/>
            </w:tcBorders>
            <w:noWrap/>
            <w:vAlign w:val="bottom"/>
            <w:hideMark/>
          </w:tcPr>
          <w:p w14:paraId="2EB2DCAA" w14:textId="77777777" w:rsidR="00EC492E" w:rsidRPr="00824D31" w:rsidRDefault="00EC492E" w:rsidP="00077638">
            <w:pPr>
              <w:ind w:firstLine="0"/>
            </w:pPr>
            <w:r w:rsidRPr="00824D31">
              <w:t>1</w:t>
            </w:r>
          </w:p>
        </w:tc>
        <w:tc>
          <w:tcPr>
            <w:tcW w:w="851" w:type="dxa"/>
            <w:tcBorders>
              <w:top w:val="nil"/>
              <w:left w:val="nil"/>
              <w:bottom w:val="single" w:sz="4" w:space="0" w:color="auto"/>
              <w:right w:val="single" w:sz="4" w:space="0" w:color="auto"/>
            </w:tcBorders>
            <w:noWrap/>
            <w:vAlign w:val="bottom"/>
            <w:hideMark/>
          </w:tcPr>
          <w:p w14:paraId="1EC8437F" w14:textId="77777777" w:rsidR="00EC492E" w:rsidRPr="00824D31" w:rsidRDefault="00EC492E" w:rsidP="00077638">
            <w:pPr>
              <w:ind w:firstLine="0"/>
            </w:pPr>
            <w:r w:rsidRPr="00824D31">
              <w:t>0,01%</w:t>
            </w:r>
          </w:p>
        </w:tc>
      </w:tr>
      <w:tr w:rsidR="00EC492E" w:rsidRPr="00824D31" w14:paraId="38ACBBF5" w14:textId="77777777" w:rsidTr="00077638">
        <w:trPr>
          <w:trHeight w:val="765"/>
        </w:trPr>
        <w:tc>
          <w:tcPr>
            <w:tcW w:w="0" w:type="auto"/>
            <w:vMerge/>
            <w:tcBorders>
              <w:top w:val="nil"/>
              <w:left w:val="single" w:sz="4" w:space="0" w:color="auto"/>
              <w:bottom w:val="single" w:sz="4" w:space="0" w:color="auto"/>
              <w:right w:val="single" w:sz="4" w:space="0" w:color="auto"/>
            </w:tcBorders>
            <w:vAlign w:val="center"/>
            <w:hideMark/>
          </w:tcPr>
          <w:p w14:paraId="2E76F352" w14:textId="77777777" w:rsidR="00EC492E" w:rsidRPr="00824D31" w:rsidRDefault="00EC492E" w:rsidP="00077638">
            <w:pPr>
              <w:ind w:firstLine="0"/>
            </w:pPr>
          </w:p>
        </w:tc>
        <w:tc>
          <w:tcPr>
            <w:tcW w:w="1344" w:type="dxa"/>
            <w:tcBorders>
              <w:top w:val="nil"/>
              <w:left w:val="single" w:sz="4" w:space="0" w:color="auto"/>
              <w:bottom w:val="single" w:sz="4" w:space="0" w:color="auto"/>
              <w:right w:val="single" w:sz="4" w:space="0" w:color="auto"/>
            </w:tcBorders>
            <w:noWrap/>
            <w:vAlign w:val="bottom"/>
            <w:hideMark/>
          </w:tcPr>
          <w:p w14:paraId="24614C22" w14:textId="77777777" w:rsidR="00EC492E" w:rsidRPr="00824D31" w:rsidRDefault="00EC492E" w:rsidP="00077638">
            <w:pPr>
              <w:ind w:firstLine="0"/>
            </w:pPr>
            <w:r w:rsidRPr="00824D31">
              <w:t>841</w:t>
            </w:r>
          </w:p>
        </w:tc>
        <w:tc>
          <w:tcPr>
            <w:tcW w:w="3610" w:type="dxa"/>
            <w:tcBorders>
              <w:top w:val="nil"/>
              <w:left w:val="nil"/>
              <w:bottom w:val="single" w:sz="4" w:space="0" w:color="auto"/>
              <w:right w:val="single" w:sz="4" w:space="0" w:color="auto"/>
            </w:tcBorders>
            <w:vAlign w:val="center"/>
            <w:hideMark/>
          </w:tcPr>
          <w:p w14:paraId="43B288CC" w14:textId="77777777" w:rsidR="00EC492E" w:rsidRPr="00824D31" w:rsidRDefault="00EC492E" w:rsidP="00077638">
            <w:pPr>
              <w:ind w:firstLine="0"/>
            </w:pPr>
            <w:r w:rsidRPr="00824D31">
              <w:t>Административные здания государственных учреждений управления, включая здания администраций, министерств, судов, прокуратуры</w:t>
            </w:r>
          </w:p>
        </w:tc>
        <w:tc>
          <w:tcPr>
            <w:tcW w:w="1559" w:type="dxa"/>
            <w:tcBorders>
              <w:top w:val="nil"/>
              <w:left w:val="nil"/>
              <w:bottom w:val="single" w:sz="4" w:space="0" w:color="auto"/>
              <w:right w:val="single" w:sz="4" w:space="0" w:color="auto"/>
            </w:tcBorders>
            <w:noWrap/>
            <w:vAlign w:val="bottom"/>
            <w:hideMark/>
          </w:tcPr>
          <w:p w14:paraId="3336C8C9" w14:textId="77777777" w:rsidR="00EC492E" w:rsidRPr="00824D31" w:rsidRDefault="00EC492E" w:rsidP="00077638">
            <w:pPr>
              <w:ind w:firstLine="0"/>
            </w:pPr>
            <w:r w:rsidRPr="00824D31">
              <w:t>617</w:t>
            </w:r>
          </w:p>
        </w:tc>
        <w:tc>
          <w:tcPr>
            <w:tcW w:w="851" w:type="dxa"/>
            <w:tcBorders>
              <w:top w:val="nil"/>
              <w:left w:val="nil"/>
              <w:bottom w:val="single" w:sz="4" w:space="0" w:color="auto"/>
              <w:right w:val="single" w:sz="4" w:space="0" w:color="auto"/>
            </w:tcBorders>
            <w:noWrap/>
            <w:vAlign w:val="bottom"/>
            <w:hideMark/>
          </w:tcPr>
          <w:p w14:paraId="57C19638" w14:textId="77777777" w:rsidR="00EC492E" w:rsidRPr="00824D31" w:rsidRDefault="00EC492E" w:rsidP="00077638">
            <w:pPr>
              <w:ind w:firstLine="0"/>
            </w:pPr>
            <w:r w:rsidRPr="00824D31">
              <w:t>6,04%</w:t>
            </w:r>
          </w:p>
        </w:tc>
      </w:tr>
      <w:tr w:rsidR="00EC492E" w:rsidRPr="00824D31" w14:paraId="54C4585F" w14:textId="77777777" w:rsidTr="00077638">
        <w:trPr>
          <w:trHeight w:val="255"/>
        </w:trPr>
        <w:tc>
          <w:tcPr>
            <w:tcW w:w="0" w:type="auto"/>
            <w:vMerge/>
            <w:tcBorders>
              <w:top w:val="nil"/>
              <w:left w:val="single" w:sz="4" w:space="0" w:color="auto"/>
              <w:bottom w:val="single" w:sz="4" w:space="0" w:color="auto"/>
              <w:right w:val="single" w:sz="4" w:space="0" w:color="auto"/>
            </w:tcBorders>
            <w:vAlign w:val="center"/>
            <w:hideMark/>
          </w:tcPr>
          <w:p w14:paraId="55B38922" w14:textId="77777777" w:rsidR="00EC492E" w:rsidRPr="00824D31" w:rsidRDefault="00EC492E" w:rsidP="00077638">
            <w:pPr>
              <w:ind w:firstLine="0"/>
            </w:pPr>
          </w:p>
        </w:tc>
        <w:tc>
          <w:tcPr>
            <w:tcW w:w="1344" w:type="dxa"/>
            <w:tcBorders>
              <w:top w:val="nil"/>
              <w:left w:val="single" w:sz="4" w:space="0" w:color="auto"/>
              <w:bottom w:val="single" w:sz="4" w:space="0" w:color="auto"/>
              <w:right w:val="single" w:sz="4" w:space="0" w:color="auto"/>
            </w:tcBorders>
            <w:noWrap/>
            <w:vAlign w:val="bottom"/>
            <w:hideMark/>
          </w:tcPr>
          <w:p w14:paraId="63A0C31A" w14:textId="77777777" w:rsidR="00EC492E" w:rsidRPr="00824D31" w:rsidRDefault="00EC492E" w:rsidP="00077638">
            <w:pPr>
              <w:ind w:firstLine="0"/>
            </w:pPr>
            <w:r w:rsidRPr="00824D31">
              <w:t>842</w:t>
            </w:r>
          </w:p>
        </w:tc>
        <w:tc>
          <w:tcPr>
            <w:tcW w:w="3610" w:type="dxa"/>
            <w:tcBorders>
              <w:top w:val="nil"/>
              <w:left w:val="nil"/>
              <w:bottom w:val="single" w:sz="4" w:space="0" w:color="auto"/>
              <w:right w:val="single" w:sz="4" w:space="0" w:color="auto"/>
            </w:tcBorders>
            <w:vAlign w:val="center"/>
            <w:hideMark/>
          </w:tcPr>
          <w:p w14:paraId="2969AFE9" w14:textId="77777777" w:rsidR="00EC492E" w:rsidRPr="00824D31" w:rsidRDefault="00EC492E" w:rsidP="00077638">
            <w:pPr>
              <w:ind w:firstLine="0"/>
            </w:pPr>
            <w:r w:rsidRPr="00824D31">
              <w:t>Дома престарелых</w:t>
            </w:r>
          </w:p>
        </w:tc>
        <w:tc>
          <w:tcPr>
            <w:tcW w:w="1559" w:type="dxa"/>
            <w:tcBorders>
              <w:top w:val="nil"/>
              <w:left w:val="nil"/>
              <w:bottom w:val="single" w:sz="4" w:space="0" w:color="auto"/>
              <w:right w:val="single" w:sz="4" w:space="0" w:color="auto"/>
            </w:tcBorders>
            <w:noWrap/>
            <w:vAlign w:val="bottom"/>
            <w:hideMark/>
          </w:tcPr>
          <w:p w14:paraId="568E53F6" w14:textId="77777777" w:rsidR="00EC492E" w:rsidRPr="00824D31" w:rsidRDefault="00EC492E" w:rsidP="00077638">
            <w:pPr>
              <w:ind w:firstLine="0"/>
            </w:pPr>
            <w:r w:rsidRPr="00824D31">
              <w:t>17</w:t>
            </w:r>
          </w:p>
        </w:tc>
        <w:tc>
          <w:tcPr>
            <w:tcW w:w="851" w:type="dxa"/>
            <w:tcBorders>
              <w:top w:val="nil"/>
              <w:left w:val="nil"/>
              <w:bottom w:val="single" w:sz="4" w:space="0" w:color="auto"/>
              <w:right w:val="single" w:sz="4" w:space="0" w:color="auto"/>
            </w:tcBorders>
            <w:noWrap/>
            <w:vAlign w:val="bottom"/>
            <w:hideMark/>
          </w:tcPr>
          <w:p w14:paraId="2D37E7CC" w14:textId="77777777" w:rsidR="00EC492E" w:rsidRPr="00824D31" w:rsidRDefault="00EC492E" w:rsidP="00077638">
            <w:pPr>
              <w:ind w:firstLine="0"/>
            </w:pPr>
            <w:r w:rsidRPr="00824D31">
              <w:t>0,17%</w:t>
            </w:r>
          </w:p>
        </w:tc>
      </w:tr>
      <w:tr w:rsidR="00EC492E" w:rsidRPr="00824D31" w14:paraId="6C6E38FC" w14:textId="77777777" w:rsidTr="00077638">
        <w:trPr>
          <w:trHeight w:val="255"/>
        </w:trPr>
        <w:tc>
          <w:tcPr>
            <w:tcW w:w="0" w:type="auto"/>
            <w:vMerge/>
            <w:tcBorders>
              <w:top w:val="nil"/>
              <w:left w:val="single" w:sz="4" w:space="0" w:color="auto"/>
              <w:bottom w:val="single" w:sz="4" w:space="0" w:color="auto"/>
              <w:right w:val="single" w:sz="4" w:space="0" w:color="auto"/>
            </w:tcBorders>
            <w:vAlign w:val="center"/>
            <w:hideMark/>
          </w:tcPr>
          <w:p w14:paraId="0B7F177F" w14:textId="77777777" w:rsidR="00EC492E" w:rsidRPr="00824D31" w:rsidRDefault="00EC492E" w:rsidP="00077638">
            <w:pPr>
              <w:ind w:firstLine="0"/>
            </w:pPr>
          </w:p>
        </w:tc>
        <w:tc>
          <w:tcPr>
            <w:tcW w:w="1344" w:type="dxa"/>
            <w:tcBorders>
              <w:top w:val="nil"/>
              <w:left w:val="single" w:sz="4" w:space="0" w:color="auto"/>
              <w:bottom w:val="single" w:sz="4" w:space="0" w:color="auto"/>
              <w:right w:val="single" w:sz="4" w:space="0" w:color="auto"/>
            </w:tcBorders>
            <w:noWrap/>
            <w:vAlign w:val="bottom"/>
            <w:hideMark/>
          </w:tcPr>
          <w:p w14:paraId="25B51497" w14:textId="77777777" w:rsidR="00EC492E" w:rsidRPr="00824D31" w:rsidRDefault="00EC492E" w:rsidP="00077638">
            <w:pPr>
              <w:ind w:firstLine="0"/>
            </w:pPr>
            <w:r w:rsidRPr="00824D31">
              <w:t>843</w:t>
            </w:r>
          </w:p>
        </w:tc>
        <w:tc>
          <w:tcPr>
            <w:tcW w:w="3610" w:type="dxa"/>
            <w:tcBorders>
              <w:top w:val="nil"/>
              <w:left w:val="nil"/>
              <w:bottom w:val="single" w:sz="4" w:space="0" w:color="auto"/>
              <w:right w:val="single" w:sz="4" w:space="0" w:color="auto"/>
            </w:tcBorders>
            <w:vAlign w:val="center"/>
            <w:hideMark/>
          </w:tcPr>
          <w:p w14:paraId="2EE3BA33" w14:textId="77777777" w:rsidR="00EC492E" w:rsidRPr="00824D31" w:rsidRDefault="00EC492E" w:rsidP="00077638">
            <w:pPr>
              <w:ind w:firstLine="0"/>
            </w:pPr>
            <w:r w:rsidRPr="00824D31">
              <w:t>Дома инвалидов</w:t>
            </w:r>
          </w:p>
        </w:tc>
        <w:tc>
          <w:tcPr>
            <w:tcW w:w="1559" w:type="dxa"/>
            <w:tcBorders>
              <w:top w:val="nil"/>
              <w:left w:val="nil"/>
              <w:bottom w:val="single" w:sz="4" w:space="0" w:color="auto"/>
              <w:right w:val="single" w:sz="4" w:space="0" w:color="auto"/>
            </w:tcBorders>
            <w:noWrap/>
            <w:vAlign w:val="bottom"/>
            <w:hideMark/>
          </w:tcPr>
          <w:p w14:paraId="716B0C18" w14:textId="77777777" w:rsidR="00EC492E" w:rsidRPr="00824D31" w:rsidRDefault="00EC492E" w:rsidP="00077638">
            <w:pPr>
              <w:ind w:firstLine="0"/>
            </w:pPr>
            <w:r w:rsidRPr="00824D31">
              <w:t>4</w:t>
            </w:r>
          </w:p>
        </w:tc>
        <w:tc>
          <w:tcPr>
            <w:tcW w:w="851" w:type="dxa"/>
            <w:tcBorders>
              <w:top w:val="nil"/>
              <w:left w:val="nil"/>
              <w:bottom w:val="single" w:sz="4" w:space="0" w:color="auto"/>
              <w:right w:val="single" w:sz="4" w:space="0" w:color="auto"/>
            </w:tcBorders>
            <w:noWrap/>
            <w:vAlign w:val="bottom"/>
            <w:hideMark/>
          </w:tcPr>
          <w:p w14:paraId="32BBDF31" w14:textId="77777777" w:rsidR="00EC492E" w:rsidRPr="00824D31" w:rsidRDefault="00EC492E" w:rsidP="00077638">
            <w:pPr>
              <w:ind w:firstLine="0"/>
            </w:pPr>
            <w:r w:rsidRPr="00824D31">
              <w:t>0,04%</w:t>
            </w:r>
          </w:p>
        </w:tc>
      </w:tr>
      <w:tr w:rsidR="00EC492E" w:rsidRPr="00824D31" w14:paraId="3942F538" w14:textId="77777777" w:rsidTr="00077638">
        <w:trPr>
          <w:trHeight w:val="255"/>
        </w:trPr>
        <w:tc>
          <w:tcPr>
            <w:tcW w:w="0" w:type="auto"/>
            <w:vMerge/>
            <w:tcBorders>
              <w:top w:val="nil"/>
              <w:left w:val="single" w:sz="4" w:space="0" w:color="auto"/>
              <w:bottom w:val="single" w:sz="4" w:space="0" w:color="auto"/>
              <w:right w:val="single" w:sz="4" w:space="0" w:color="auto"/>
            </w:tcBorders>
            <w:vAlign w:val="center"/>
            <w:hideMark/>
          </w:tcPr>
          <w:p w14:paraId="5B8D01BF" w14:textId="77777777" w:rsidR="00EC492E" w:rsidRPr="00824D31" w:rsidRDefault="00EC492E" w:rsidP="00077638">
            <w:pPr>
              <w:ind w:firstLine="0"/>
            </w:pPr>
          </w:p>
        </w:tc>
        <w:tc>
          <w:tcPr>
            <w:tcW w:w="1344" w:type="dxa"/>
            <w:tcBorders>
              <w:top w:val="nil"/>
              <w:left w:val="single" w:sz="4" w:space="0" w:color="auto"/>
              <w:bottom w:val="single" w:sz="4" w:space="0" w:color="auto"/>
              <w:right w:val="single" w:sz="4" w:space="0" w:color="auto"/>
            </w:tcBorders>
            <w:noWrap/>
            <w:vAlign w:val="bottom"/>
            <w:hideMark/>
          </w:tcPr>
          <w:p w14:paraId="4B88F34C" w14:textId="77777777" w:rsidR="00EC492E" w:rsidRPr="00824D31" w:rsidRDefault="00EC492E" w:rsidP="00077638">
            <w:pPr>
              <w:ind w:firstLine="0"/>
            </w:pPr>
            <w:r w:rsidRPr="00824D31">
              <w:t>844</w:t>
            </w:r>
          </w:p>
        </w:tc>
        <w:tc>
          <w:tcPr>
            <w:tcW w:w="3610" w:type="dxa"/>
            <w:tcBorders>
              <w:top w:val="nil"/>
              <w:left w:val="nil"/>
              <w:bottom w:val="single" w:sz="4" w:space="0" w:color="auto"/>
              <w:right w:val="single" w:sz="4" w:space="0" w:color="auto"/>
            </w:tcBorders>
            <w:vAlign w:val="center"/>
            <w:hideMark/>
          </w:tcPr>
          <w:p w14:paraId="5FEA8E90" w14:textId="77777777" w:rsidR="00EC492E" w:rsidRPr="00824D31" w:rsidRDefault="00EC492E" w:rsidP="00077638">
            <w:pPr>
              <w:ind w:firstLine="0"/>
            </w:pPr>
            <w:r w:rsidRPr="00824D31">
              <w:t>Автовокзалы</w:t>
            </w:r>
          </w:p>
        </w:tc>
        <w:tc>
          <w:tcPr>
            <w:tcW w:w="1559" w:type="dxa"/>
            <w:tcBorders>
              <w:top w:val="nil"/>
              <w:left w:val="nil"/>
              <w:bottom w:val="single" w:sz="4" w:space="0" w:color="auto"/>
              <w:right w:val="single" w:sz="4" w:space="0" w:color="auto"/>
            </w:tcBorders>
            <w:noWrap/>
            <w:vAlign w:val="bottom"/>
            <w:hideMark/>
          </w:tcPr>
          <w:p w14:paraId="446C0FFE" w14:textId="77777777" w:rsidR="00EC492E" w:rsidRPr="00824D31" w:rsidRDefault="00EC492E" w:rsidP="00077638">
            <w:pPr>
              <w:ind w:firstLine="0"/>
            </w:pPr>
            <w:r w:rsidRPr="00824D31">
              <w:t>18</w:t>
            </w:r>
          </w:p>
        </w:tc>
        <w:tc>
          <w:tcPr>
            <w:tcW w:w="851" w:type="dxa"/>
            <w:tcBorders>
              <w:top w:val="nil"/>
              <w:left w:val="nil"/>
              <w:bottom w:val="single" w:sz="4" w:space="0" w:color="auto"/>
              <w:right w:val="single" w:sz="4" w:space="0" w:color="auto"/>
            </w:tcBorders>
            <w:noWrap/>
            <w:vAlign w:val="bottom"/>
            <w:hideMark/>
          </w:tcPr>
          <w:p w14:paraId="00AE4969" w14:textId="77777777" w:rsidR="00EC492E" w:rsidRPr="00824D31" w:rsidRDefault="00EC492E" w:rsidP="00077638">
            <w:pPr>
              <w:ind w:firstLine="0"/>
            </w:pPr>
            <w:r w:rsidRPr="00824D31">
              <w:t>0,18%</w:t>
            </w:r>
          </w:p>
        </w:tc>
      </w:tr>
      <w:tr w:rsidR="00EC492E" w:rsidRPr="00824D31" w14:paraId="437FD477" w14:textId="77777777" w:rsidTr="00077638">
        <w:trPr>
          <w:trHeight w:val="255"/>
        </w:trPr>
        <w:tc>
          <w:tcPr>
            <w:tcW w:w="0" w:type="auto"/>
            <w:vMerge/>
            <w:tcBorders>
              <w:top w:val="nil"/>
              <w:left w:val="single" w:sz="4" w:space="0" w:color="auto"/>
              <w:bottom w:val="single" w:sz="4" w:space="0" w:color="auto"/>
              <w:right w:val="single" w:sz="4" w:space="0" w:color="auto"/>
            </w:tcBorders>
            <w:vAlign w:val="center"/>
            <w:hideMark/>
          </w:tcPr>
          <w:p w14:paraId="58C64866" w14:textId="77777777" w:rsidR="00EC492E" w:rsidRPr="00824D31" w:rsidRDefault="00EC492E" w:rsidP="00077638">
            <w:pPr>
              <w:ind w:firstLine="0"/>
            </w:pPr>
          </w:p>
        </w:tc>
        <w:tc>
          <w:tcPr>
            <w:tcW w:w="1344" w:type="dxa"/>
            <w:tcBorders>
              <w:top w:val="nil"/>
              <w:left w:val="single" w:sz="4" w:space="0" w:color="auto"/>
              <w:bottom w:val="single" w:sz="4" w:space="0" w:color="auto"/>
              <w:right w:val="single" w:sz="4" w:space="0" w:color="auto"/>
            </w:tcBorders>
            <w:noWrap/>
            <w:vAlign w:val="bottom"/>
            <w:hideMark/>
          </w:tcPr>
          <w:p w14:paraId="49D45B4D" w14:textId="77777777" w:rsidR="00EC492E" w:rsidRPr="00824D31" w:rsidRDefault="00EC492E" w:rsidP="00077638">
            <w:pPr>
              <w:ind w:firstLine="0"/>
            </w:pPr>
            <w:r w:rsidRPr="00824D31">
              <w:t>845</w:t>
            </w:r>
          </w:p>
        </w:tc>
        <w:tc>
          <w:tcPr>
            <w:tcW w:w="3610" w:type="dxa"/>
            <w:tcBorders>
              <w:top w:val="nil"/>
              <w:left w:val="nil"/>
              <w:bottom w:val="single" w:sz="4" w:space="0" w:color="auto"/>
              <w:right w:val="single" w:sz="4" w:space="0" w:color="auto"/>
            </w:tcBorders>
            <w:vAlign w:val="center"/>
            <w:hideMark/>
          </w:tcPr>
          <w:p w14:paraId="72BF888A" w14:textId="77777777" w:rsidR="00EC492E" w:rsidRPr="00824D31" w:rsidRDefault="00EC492E" w:rsidP="00077638">
            <w:pPr>
              <w:ind w:firstLine="0"/>
            </w:pPr>
            <w:r w:rsidRPr="00824D31">
              <w:t>Аэропорты (аэровокзалы), аэродромы</w:t>
            </w:r>
          </w:p>
        </w:tc>
        <w:tc>
          <w:tcPr>
            <w:tcW w:w="1559" w:type="dxa"/>
            <w:tcBorders>
              <w:top w:val="nil"/>
              <w:left w:val="nil"/>
              <w:bottom w:val="single" w:sz="4" w:space="0" w:color="auto"/>
              <w:right w:val="single" w:sz="4" w:space="0" w:color="auto"/>
            </w:tcBorders>
            <w:noWrap/>
            <w:vAlign w:val="bottom"/>
            <w:hideMark/>
          </w:tcPr>
          <w:p w14:paraId="38E601BB" w14:textId="77777777" w:rsidR="00EC492E" w:rsidRPr="00824D31" w:rsidRDefault="00EC492E" w:rsidP="00077638">
            <w:pPr>
              <w:ind w:firstLine="0"/>
            </w:pPr>
            <w:r w:rsidRPr="00824D31">
              <w:t>306</w:t>
            </w:r>
          </w:p>
        </w:tc>
        <w:tc>
          <w:tcPr>
            <w:tcW w:w="851" w:type="dxa"/>
            <w:tcBorders>
              <w:top w:val="nil"/>
              <w:left w:val="nil"/>
              <w:bottom w:val="single" w:sz="4" w:space="0" w:color="auto"/>
              <w:right w:val="single" w:sz="4" w:space="0" w:color="auto"/>
            </w:tcBorders>
            <w:noWrap/>
            <w:vAlign w:val="bottom"/>
            <w:hideMark/>
          </w:tcPr>
          <w:p w14:paraId="6ADD367A" w14:textId="77777777" w:rsidR="00EC492E" w:rsidRPr="00824D31" w:rsidRDefault="00EC492E" w:rsidP="00077638">
            <w:pPr>
              <w:ind w:firstLine="0"/>
            </w:pPr>
            <w:r w:rsidRPr="00824D31">
              <w:t>3,00%</w:t>
            </w:r>
          </w:p>
        </w:tc>
      </w:tr>
      <w:tr w:rsidR="00EC492E" w:rsidRPr="00824D31" w14:paraId="6C7F0BEB" w14:textId="77777777" w:rsidTr="00077638">
        <w:trPr>
          <w:trHeight w:val="255"/>
        </w:trPr>
        <w:tc>
          <w:tcPr>
            <w:tcW w:w="0" w:type="auto"/>
            <w:vMerge/>
            <w:tcBorders>
              <w:top w:val="nil"/>
              <w:left w:val="single" w:sz="4" w:space="0" w:color="auto"/>
              <w:bottom w:val="single" w:sz="4" w:space="0" w:color="auto"/>
              <w:right w:val="single" w:sz="4" w:space="0" w:color="auto"/>
            </w:tcBorders>
            <w:vAlign w:val="center"/>
            <w:hideMark/>
          </w:tcPr>
          <w:p w14:paraId="1A06B3AC" w14:textId="77777777" w:rsidR="00EC492E" w:rsidRPr="00824D31" w:rsidRDefault="00EC492E" w:rsidP="00077638">
            <w:pPr>
              <w:ind w:firstLine="0"/>
            </w:pPr>
          </w:p>
        </w:tc>
        <w:tc>
          <w:tcPr>
            <w:tcW w:w="1344" w:type="dxa"/>
            <w:tcBorders>
              <w:top w:val="nil"/>
              <w:left w:val="single" w:sz="4" w:space="0" w:color="auto"/>
              <w:bottom w:val="single" w:sz="4" w:space="0" w:color="auto"/>
              <w:right w:val="single" w:sz="4" w:space="0" w:color="auto"/>
            </w:tcBorders>
            <w:noWrap/>
            <w:vAlign w:val="bottom"/>
            <w:hideMark/>
          </w:tcPr>
          <w:p w14:paraId="0E278A2E" w14:textId="77777777" w:rsidR="00EC492E" w:rsidRPr="00824D31" w:rsidRDefault="00EC492E" w:rsidP="00077638">
            <w:pPr>
              <w:ind w:firstLine="0"/>
            </w:pPr>
            <w:r w:rsidRPr="00824D31">
              <w:t>846</w:t>
            </w:r>
          </w:p>
        </w:tc>
        <w:tc>
          <w:tcPr>
            <w:tcW w:w="3610" w:type="dxa"/>
            <w:tcBorders>
              <w:top w:val="nil"/>
              <w:left w:val="nil"/>
              <w:bottom w:val="single" w:sz="4" w:space="0" w:color="auto"/>
              <w:right w:val="single" w:sz="4" w:space="0" w:color="auto"/>
            </w:tcBorders>
            <w:vAlign w:val="center"/>
            <w:hideMark/>
          </w:tcPr>
          <w:p w14:paraId="1DECBF22" w14:textId="77777777" w:rsidR="00EC492E" w:rsidRPr="00824D31" w:rsidRDefault="00EC492E" w:rsidP="00077638">
            <w:pPr>
              <w:ind w:firstLine="0"/>
            </w:pPr>
            <w:r w:rsidRPr="00824D31">
              <w:t>Порты (вокзалы)</w:t>
            </w:r>
          </w:p>
        </w:tc>
        <w:tc>
          <w:tcPr>
            <w:tcW w:w="1559" w:type="dxa"/>
            <w:tcBorders>
              <w:top w:val="nil"/>
              <w:left w:val="nil"/>
              <w:bottom w:val="single" w:sz="4" w:space="0" w:color="auto"/>
              <w:right w:val="single" w:sz="4" w:space="0" w:color="auto"/>
            </w:tcBorders>
            <w:noWrap/>
            <w:vAlign w:val="bottom"/>
            <w:hideMark/>
          </w:tcPr>
          <w:p w14:paraId="1E6D4C94" w14:textId="77777777" w:rsidR="00EC492E" w:rsidRPr="00824D31" w:rsidRDefault="00EC492E" w:rsidP="00077638">
            <w:pPr>
              <w:ind w:firstLine="0"/>
            </w:pPr>
            <w:r w:rsidRPr="00824D31">
              <w:t>4</w:t>
            </w:r>
          </w:p>
        </w:tc>
        <w:tc>
          <w:tcPr>
            <w:tcW w:w="851" w:type="dxa"/>
            <w:tcBorders>
              <w:top w:val="nil"/>
              <w:left w:val="nil"/>
              <w:bottom w:val="single" w:sz="4" w:space="0" w:color="auto"/>
              <w:right w:val="single" w:sz="4" w:space="0" w:color="auto"/>
            </w:tcBorders>
            <w:noWrap/>
            <w:vAlign w:val="bottom"/>
            <w:hideMark/>
          </w:tcPr>
          <w:p w14:paraId="621F7958" w14:textId="77777777" w:rsidR="00EC492E" w:rsidRPr="00824D31" w:rsidRDefault="00EC492E" w:rsidP="00077638">
            <w:pPr>
              <w:ind w:firstLine="0"/>
            </w:pPr>
            <w:r w:rsidRPr="00824D31">
              <w:t>0,04%</w:t>
            </w:r>
          </w:p>
        </w:tc>
      </w:tr>
      <w:tr w:rsidR="00EC492E" w:rsidRPr="00824D31" w14:paraId="729D4D02" w14:textId="77777777" w:rsidTr="00077638">
        <w:trPr>
          <w:trHeight w:val="255"/>
        </w:trPr>
        <w:tc>
          <w:tcPr>
            <w:tcW w:w="0" w:type="auto"/>
            <w:vMerge/>
            <w:tcBorders>
              <w:top w:val="nil"/>
              <w:left w:val="single" w:sz="4" w:space="0" w:color="auto"/>
              <w:bottom w:val="single" w:sz="4" w:space="0" w:color="auto"/>
              <w:right w:val="single" w:sz="4" w:space="0" w:color="auto"/>
            </w:tcBorders>
            <w:vAlign w:val="center"/>
            <w:hideMark/>
          </w:tcPr>
          <w:p w14:paraId="60F9263D" w14:textId="77777777" w:rsidR="00EC492E" w:rsidRPr="00824D31" w:rsidRDefault="00EC492E" w:rsidP="00077638">
            <w:pPr>
              <w:ind w:firstLine="0"/>
            </w:pPr>
          </w:p>
        </w:tc>
        <w:tc>
          <w:tcPr>
            <w:tcW w:w="1344" w:type="dxa"/>
            <w:tcBorders>
              <w:top w:val="nil"/>
              <w:left w:val="single" w:sz="4" w:space="0" w:color="auto"/>
              <w:bottom w:val="single" w:sz="4" w:space="0" w:color="auto"/>
              <w:right w:val="single" w:sz="4" w:space="0" w:color="auto"/>
            </w:tcBorders>
            <w:noWrap/>
            <w:vAlign w:val="bottom"/>
            <w:hideMark/>
          </w:tcPr>
          <w:p w14:paraId="513CD357" w14:textId="77777777" w:rsidR="00EC492E" w:rsidRPr="00824D31" w:rsidRDefault="00EC492E" w:rsidP="00077638">
            <w:pPr>
              <w:ind w:firstLine="0"/>
            </w:pPr>
            <w:r w:rsidRPr="00824D31">
              <w:t>847</w:t>
            </w:r>
          </w:p>
        </w:tc>
        <w:tc>
          <w:tcPr>
            <w:tcW w:w="3610" w:type="dxa"/>
            <w:tcBorders>
              <w:top w:val="nil"/>
              <w:left w:val="nil"/>
              <w:bottom w:val="single" w:sz="4" w:space="0" w:color="auto"/>
              <w:right w:val="single" w:sz="4" w:space="0" w:color="auto"/>
            </w:tcBorders>
            <w:vAlign w:val="center"/>
            <w:hideMark/>
          </w:tcPr>
          <w:p w14:paraId="2584A100" w14:textId="77777777" w:rsidR="00EC492E" w:rsidRPr="00824D31" w:rsidRDefault="00EC492E" w:rsidP="00077638">
            <w:pPr>
              <w:ind w:firstLine="0"/>
            </w:pPr>
            <w:r w:rsidRPr="00824D31">
              <w:t>Вокзалы железнодорожные</w:t>
            </w:r>
          </w:p>
        </w:tc>
        <w:tc>
          <w:tcPr>
            <w:tcW w:w="1559" w:type="dxa"/>
            <w:tcBorders>
              <w:top w:val="nil"/>
              <w:left w:val="nil"/>
              <w:bottom w:val="single" w:sz="4" w:space="0" w:color="auto"/>
              <w:right w:val="single" w:sz="4" w:space="0" w:color="auto"/>
            </w:tcBorders>
            <w:noWrap/>
            <w:vAlign w:val="bottom"/>
            <w:hideMark/>
          </w:tcPr>
          <w:p w14:paraId="6C214228" w14:textId="77777777" w:rsidR="00EC492E" w:rsidRPr="00824D31" w:rsidRDefault="00EC492E" w:rsidP="00077638">
            <w:pPr>
              <w:ind w:firstLine="0"/>
            </w:pPr>
            <w:r w:rsidRPr="00824D31">
              <w:t>4</w:t>
            </w:r>
          </w:p>
        </w:tc>
        <w:tc>
          <w:tcPr>
            <w:tcW w:w="851" w:type="dxa"/>
            <w:tcBorders>
              <w:top w:val="nil"/>
              <w:left w:val="nil"/>
              <w:bottom w:val="single" w:sz="4" w:space="0" w:color="auto"/>
              <w:right w:val="single" w:sz="4" w:space="0" w:color="auto"/>
            </w:tcBorders>
            <w:noWrap/>
            <w:vAlign w:val="bottom"/>
            <w:hideMark/>
          </w:tcPr>
          <w:p w14:paraId="52F3EB78" w14:textId="77777777" w:rsidR="00EC492E" w:rsidRPr="00824D31" w:rsidRDefault="00EC492E" w:rsidP="00077638">
            <w:pPr>
              <w:ind w:firstLine="0"/>
            </w:pPr>
            <w:r w:rsidRPr="00824D31">
              <w:t>0,04%</w:t>
            </w:r>
          </w:p>
        </w:tc>
      </w:tr>
      <w:tr w:rsidR="00EC492E" w:rsidRPr="00824D31" w14:paraId="65D70C6A" w14:textId="77777777" w:rsidTr="00077638">
        <w:trPr>
          <w:trHeight w:val="255"/>
        </w:trPr>
        <w:tc>
          <w:tcPr>
            <w:tcW w:w="0" w:type="auto"/>
            <w:vMerge/>
            <w:tcBorders>
              <w:top w:val="nil"/>
              <w:left w:val="single" w:sz="4" w:space="0" w:color="auto"/>
              <w:bottom w:val="single" w:sz="4" w:space="0" w:color="auto"/>
              <w:right w:val="single" w:sz="4" w:space="0" w:color="auto"/>
            </w:tcBorders>
            <w:vAlign w:val="center"/>
            <w:hideMark/>
          </w:tcPr>
          <w:p w14:paraId="17A02D94" w14:textId="77777777" w:rsidR="00EC492E" w:rsidRPr="00824D31" w:rsidRDefault="00EC492E" w:rsidP="00077638">
            <w:pPr>
              <w:ind w:firstLine="0"/>
            </w:pPr>
          </w:p>
        </w:tc>
        <w:tc>
          <w:tcPr>
            <w:tcW w:w="1344" w:type="dxa"/>
            <w:tcBorders>
              <w:top w:val="nil"/>
              <w:left w:val="single" w:sz="4" w:space="0" w:color="auto"/>
              <w:bottom w:val="single" w:sz="4" w:space="0" w:color="auto"/>
              <w:right w:val="single" w:sz="4" w:space="0" w:color="auto"/>
            </w:tcBorders>
            <w:noWrap/>
            <w:vAlign w:val="bottom"/>
            <w:hideMark/>
          </w:tcPr>
          <w:p w14:paraId="7701574F" w14:textId="77777777" w:rsidR="00EC492E" w:rsidRPr="00824D31" w:rsidRDefault="00EC492E" w:rsidP="00077638">
            <w:pPr>
              <w:ind w:firstLine="0"/>
            </w:pPr>
            <w:r w:rsidRPr="00824D31">
              <w:t>848</w:t>
            </w:r>
          </w:p>
        </w:tc>
        <w:tc>
          <w:tcPr>
            <w:tcW w:w="3610" w:type="dxa"/>
            <w:tcBorders>
              <w:top w:val="nil"/>
              <w:left w:val="nil"/>
              <w:bottom w:val="single" w:sz="4" w:space="0" w:color="auto"/>
              <w:right w:val="single" w:sz="4" w:space="0" w:color="auto"/>
            </w:tcBorders>
            <w:vAlign w:val="center"/>
            <w:hideMark/>
          </w:tcPr>
          <w:p w14:paraId="097F7C05" w14:textId="77777777" w:rsidR="00EC492E" w:rsidRPr="00824D31" w:rsidRDefault="00EC492E" w:rsidP="00077638">
            <w:pPr>
              <w:ind w:firstLine="0"/>
            </w:pPr>
            <w:r w:rsidRPr="00824D31">
              <w:t>Станции железнодорожные</w:t>
            </w:r>
          </w:p>
        </w:tc>
        <w:tc>
          <w:tcPr>
            <w:tcW w:w="1559" w:type="dxa"/>
            <w:tcBorders>
              <w:top w:val="nil"/>
              <w:left w:val="nil"/>
              <w:bottom w:val="single" w:sz="4" w:space="0" w:color="auto"/>
              <w:right w:val="single" w:sz="4" w:space="0" w:color="auto"/>
            </w:tcBorders>
            <w:noWrap/>
            <w:vAlign w:val="bottom"/>
            <w:hideMark/>
          </w:tcPr>
          <w:p w14:paraId="7AC58B47" w14:textId="77777777" w:rsidR="00EC492E" w:rsidRPr="00824D31" w:rsidRDefault="00EC492E" w:rsidP="00077638">
            <w:pPr>
              <w:ind w:firstLine="0"/>
            </w:pPr>
            <w:r w:rsidRPr="00824D31">
              <w:t>64</w:t>
            </w:r>
          </w:p>
        </w:tc>
        <w:tc>
          <w:tcPr>
            <w:tcW w:w="851" w:type="dxa"/>
            <w:tcBorders>
              <w:top w:val="nil"/>
              <w:left w:val="nil"/>
              <w:bottom w:val="single" w:sz="4" w:space="0" w:color="auto"/>
              <w:right w:val="single" w:sz="4" w:space="0" w:color="auto"/>
            </w:tcBorders>
            <w:noWrap/>
            <w:vAlign w:val="bottom"/>
            <w:hideMark/>
          </w:tcPr>
          <w:p w14:paraId="077D1D3B" w14:textId="77777777" w:rsidR="00EC492E" w:rsidRPr="00824D31" w:rsidRDefault="00EC492E" w:rsidP="00077638">
            <w:pPr>
              <w:ind w:firstLine="0"/>
            </w:pPr>
            <w:r w:rsidRPr="00824D31">
              <w:t>0,63%</w:t>
            </w:r>
          </w:p>
        </w:tc>
      </w:tr>
      <w:tr w:rsidR="00EC492E" w:rsidRPr="00824D31" w14:paraId="4DF33A8E" w14:textId="77777777" w:rsidTr="00077638">
        <w:trPr>
          <w:trHeight w:val="255"/>
        </w:trPr>
        <w:tc>
          <w:tcPr>
            <w:tcW w:w="0" w:type="auto"/>
            <w:vMerge/>
            <w:tcBorders>
              <w:top w:val="nil"/>
              <w:left w:val="single" w:sz="4" w:space="0" w:color="auto"/>
              <w:bottom w:val="single" w:sz="4" w:space="0" w:color="auto"/>
              <w:right w:val="single" w:sz="4" w:space="0" w:color="auto"/>
            </w:tcBorders>
            <w:vAlign w:val="center"/>
            <w:hideMark/>
          </w:tcPr>
          <w:p w14:paraId="06043041" w14:textId="77777777" w:rsidR="00EC492E" w:rsidRPr="00824D31" w:rsidRDefault="00EC492E" w:rsidP="00077638">
            <w:pPr>
              <w:ind w:firstLine="0"/>
            </w:pPr>
          </w:p>
        </w:tc>
        <w:tc>
          <w:tcPr>
            <w:tcW w:w="1344" w:type="dxa"/>
            <w:tcBorders>
              <w:top w:val="nil"/>
              <w:left w:val="single" w:sz="4" w:space="0" w:color="auto"/>
              <w:bottom w:val="single" w:sz="4" w:space="0" w:color="auto"/>
              <w:right w:val="single" w:sz="4" w:space="0" w:color="auto"/>
            </w:tcBorders>
            <w:noWrap/>
            <w:vAlign w:val="bottom"/>
            <w:hideMark/>
          </w:tcPr>
          <w:p w14:paraId="69BBD6BF" w14:textId="77777777" w:rsidR="00EC492E" w:rsidRPr="00824D31" w:rsidRDefault="00EC492E" w:rsidP="00077638">
            <w:pPr>
              <w:ind w:firstLine="0"/>
            </w:pPr>
            <w:r w:rsidRPr="00824D31">
              <w:t>850</w:t>
            </w:r>
          </w:p>
        </w:tc>
        <w:tc>
          <w:tcPr>
            <w:tcW w:w="3610" w:type="dxa"/>
            <w:tcBorders>
              <w:top w:val="nil"/>
              <w:left w:val="nil"/>
              <w:bottom w:val="single" w:sz="4" w:space="0" w:color="auto"/>
              <w:right w:val="single" w:sz="4" w:space="0" w:color="auto"/>
            </w:tcBorders>
            <w:vAlign w:val="center"/>
            <w:hideMark/>
          </w:tcPr>
          <w:p w14:paraId="662A52DF" w14:textId="77777777" w:rsidR="00EC492E" w:rsidRPr="00824D31" w:rsidRDefault="00EC492E" w:rsidP="00077638">
            <w:pPr>
              <w:ind w:firstLine="0"/>
            </w:pPr>
            <w:r w:rsidRPr="00824D31">
              <w:t>Вокзалы речные</w:t>
            </w:r>
          </w:p>
        </w:tc>
        <w:tc>
          <w:tcPr>
            <w:tcW w:w="1559" w:type="dxa"/>
            <w:tcBorders>
              <w:top w:val="nil"/>
              <w:left w:val="nil"/>
              <w:bottom w:val="single" w:sz="4" w:space="0" w:color="auto"/>
              <w:right w:val="single" w:sz="4" w:space="0" w:color="auto"/>
            </w:tcBorders>
            <w:noWrap/>
            <w:vAlign w:val="bottom"/>
            <w:hideMark/>
          </w:tcPr>
          <w:p w14:paraId="00BA2E06" w14:textId="77777777" w:rsidR="00EC492E" w:rsidRPr="00824D31" w:rsidRDefault="00EC492E" w:rsidP="00077638">
            <w:pPr>
              <w:ind w:firstLine="0"/>
            </w:pPr>
            <w:r w:rsidRPr="00824D31">
              <w:t>14</w:t>
            </w:r>
          </w:p>
        </w:tc>
        <w:tc>
          <w:tcPr>
            <w:tcW w:w="851" w:type="dxa"/>
            <w:tcBorders>
              <w:top w:val="nil"/>
              <w:left w:val="nil"/>
              <w:bottom w:val="single" w:sz="4" w:space="0" w:color="auto"/>
              <w:right w:val="single" w:sz="4" w:space="0" w:color="auto"/>
            </w:tcBorders>
            <w:noWrap/>
            <w:vAlign w:val="bottom"/>
            <w:hideMark/>
          </w:tcPr>
          <w:p w14:paraId="01845D12" w14:textId="77777777" w:rsidR="00EC492E" w:rsidRPr="00824D31" w:rsidRDefault="00EC492E" w:rsidP="00077638">
            <w:pPr>
              <w:ind w:firstLine="0"/>
            </w:pPr>
            <w:r w:rsidRPr="00824D31">
              <w:t>0,14%</w:t>
            </w:r>
          </w:p>
        </w:tc>
      </w:tr>
      <w:tr w:rsidR="00EC492E" w:rsidRPr="00824D31" w14:paraId="0014BAF8" w14:textId="77777777" w:rsidTr="00077638">
        <w:trPr>
          <w:trHeight w:val="510"/>
        </w:trPr>
        <w:tc>
          <w:tcPr>
            <w:tcW w:w="0" w:type="auto"/>
            <w:vMerge/>
            <w:tcBorders>
              <w:top w:val="nil"/>
              <w:left w:val="single" w:sz="4" w:space="0" w:color="auto"/>
              <w:bottom w:val="single" w:sz="4" w:space="0" w:color="auto"/>
              <w:right w:val="single" w:sz="4" w:space="0" w:color="auto"/>
            </w:tcBorders>
            <w:vAlign w:val="center"/>
            <w:hideMark/>
          </w:tcPr>
          <w:p w14:paraId="071A35B6" w14:textId="77777777" w:rsidR="00EC492E" w:rsidRPr="00824D31" w:rsidRDefault="00EC492E" w:rsidP="00077638">
            <w:pPr>
              <w:ind w:firstLine="0"/>
            </w:pPr>
          </w:p>
        </w:tc>
        <w:tc>
          <w:tcPr>
            <w:tcW w:w="1344" w:type="dxa"/>
            <w:tcBorders>
              <w:top w:val="nil"/>
              <w:left w:val="single" w:sz="4" w:space="0" w:color="auto"/>
              <w:bottom w:val="single" w:sz="4" w:space="0" w:color="auto"/>
              <w:right w:val="single" w:sz="4" w:space="0" w:color="auto"/>
            </w:tcBorders>
            <w:noWrap/>
            <w:vAlign w:val="bottom"/>
            <w:hideMark/>
          </w:tcPr>
          <w:p w14:paraId="138B435D" w14:textId="77777777" w:rsidR="00EC492E" w:rsidRPr="00824D31" w:rsidRDefault="00EC492E" w:rsidP="00077638">
            <w:pPr>
              <w:ind w:firstLine="0"/>
            </w:pPr>
            <w:r w:rsidRPr="00824D31">
              <w:t>852</w:t>
            </w:r>
          </w:p>
        </w:tc>
        <w:tc>
          <w:tcPr>
            <w:tcW w:w="3610" w:type="dxa"/>
            <w:tcBorders>
              <w:top w:val="nil"/>
              <w:left w:val="nil"/>
              <w:bottom w:val="single" w:sz="4" w:space="0" w:color="auto"/>
              <w:right w:val="single" w:sz="4" w:space="0" w:color="auto"/>
            </w:tcBorders>
            <w:vAlign w:val="center"/>
            <w:hideMark/>
          </w:tcPr>
          <w:p w14:paraId="60A3FBC2" w14:textId="77777777" w:rsidR="00EC492E" w:rsidRPr="00824D31" w:rsidRDefault="00EC492E" w:rsidP="00077638">
            <w:pPr>
              <w:ind w:firstLine="0"/>
            </w:pPr>
            <w:r w:rsidRPr="00824D31">
              <w:t>Прочие объекты, предназначенные для перевозки и обслуживанию пассажиров, обработки их багажа</w:t>
            </w:r>
          </w:p>
        </w:tc>
        <w:tc>
          <w:tcPr>
            <w:tcW w:w="1559" w:type="dxa"/>
            <w:tcBorders>
              <w:top w:val="nil"/>
              <w:left w:val="nil"/>
              <w:bottom w:val="single" w:sz="4" w:space="0" w:color="auto"/>
              <w:right w:val="single" w:sz="4" w:space="0" w:color="auto"/>
            </w:tcBorders>
            <w:noWrap/>
            <w:vAlign w:val="bottom"/>
            <w:hideMark/>
          </w:tcPr>
          <w:p w14:paraId="0DFE2B6E" w14:textId="77777777" w:rsidR="00EC492E" w:rsidRPr="00824D31" w:rsidRDefault="00EC492E" w:rsidP="00077638">
            <w:pPr>
              <w:ind w:firstLine="0"/>
            </w:pPr>
            <w:r w:rsidRPr="00824D31">
              <w:t>24</w:t>
            </w:r>
          </w:p>
        </w:tc>
        <w:tc>
          <w:tcPr>
            <w:tcW w:w="851" w:type="dxa"/>
            <w:tcBorders>
              <w:top w:val="nil"/>
              <w:left w:val="nil"/>
              <w:bottom w:val="single" w:sz="4" w:space="0" w:color="auto"/>
              <w:right w:val="single" w:sz="4" w:space="0" w:color="auto"/>
            </w:tcBorders>
            <w:noWrap/>
            <w:vAlign w:val="bottom"/>
            <w:hideMark/>
          </w:tcPr>
          <w:p w14:paraId="6AD4C84A" w14:textId="77777777" w:rsidR="00EC492E" w:rsidRPr="00824D31" w:rsidRDefault="00EC492E" w:rsidP="00077638">
            <w:pPr>
              <w:ind w:firstLine="0"/>
            </w:pPr>
            <w:r w:rsidRPr="00824D31">
              <w:t>0,23%</w:t>
            </w:r>
          </w:p>
        </w:tc>
      </w:tr>
      <w:tr w:rsidR="00EC492E" w:rsidRPr="00824D31" w14:paraId="3E554DCE" w14:textId="77777777" w:rsidTr="00077638">
        <w:trPr>
          <w:trHeight w:val="255"/>
        </w:trPr>
        <w:tc>
          <w:tcPr>
            <w:tcW w:w="1992" w:type="dxa"/>
            <w:tcBorders>
              <w:top w:val="nil"/>
              <w:left w:val="single" w:sz="4" w:space="0" w:color="auto"/>
              <w:bottom w:val="single" w:sz="4" w:space="0" w:color="auto"/>
              <w:right w:val="single" w:sz="4" w:space="0" w:color="auto"/>
            </w:tcBorders>
          </w:tcPr>
          <w:p w14:paraId="365567C7" w14:textId="77777777" w:rsidR="00EC492E" w:rsidRPr="00824D31" w:rsidRDefault="00EC492E" w:rsidP="00077638">
            <w:pPr>
              <w:ind w:firstLine="0"/>
            </w:pPr>
          </w:p>
        </w:tc>
        <w:tc>
          <w:tcPr>
            <w:tcW w:w="1344" w:type="dxa"/>
            <w:tcBorders>
              <w:top w:val="nil"/>
              <w:left w:val="single" w:sz="4" w:space="0" w:color="auto"/>
              <w:bottom w:val="single" w:sz="4" w:space="0" w:color="auto"/>
              <w:right w:val="single" w:sz="4" w:space="0" w:color="auto"/>
            </w:tcBorders>
            <w:noWrap/>
            <w:vAlign w:val="bottom"/>
            <w:hideMark/>
          </w:tcPr>
          <w:p w14:paraId="057B132B" w14:textId="77777777" w:rsidR="00EC492E" w:rsidRPr="00824D31" w:rsidRDefault="00EC492E" w:rsidP="00077638">
            <w:pPr>
              <w:ind w:firstLine="0"/>
            </w:pPr>
          </w:p>
        </w:tc>
        <w:tc>
          <w:tcPr>
            <w:tcW w:w="3610" w:type="dxa"/>
            <w:tcBorders>
              <w:top w:val="nil"/>
              <w:left w:val="nil"/>
              <w:bottom w:val="single" w:sz="4" w:space="0" w:color="auto"/>
              <w:right w:val="single" w:sz="4" w:space="0" w:color="auto"/>
            </w:tcBorders>
            <w:noWrap/>
            <w:vAlign w:val="bottom"/>
            <w:hideMark/>
          </w:tcPr>
          <w:p w14:paraId="5D9AF983" w14:textId="77777777" w:rsidR="00EC492E" w:rsidRPr="00824D31" w:rsidRDefault="00EC492E" w:rsidP="00077638">
            <w:pPr>
              <w:ind w:firstLine="0"/>
              <w:rPr>
                <w:lang w:val="en-US"/>
              </w:rPr>
            </w:pPr>
            <w:r w:rsidRPr="00824D31">
              <w:t>ИТОГО</w:t>
            </w:r>
          </w:p>
        </w:tc>
        <w:tc>
          <w:tcPr>
            <w:tcW w:w="1559" w:type="dxa"/>
            <w:tcBorders>
              <w:top w:val="nil"/>
              <w:left w:val="nil"/>
              <w:bottom w:val="single" w:sz="4" w:space="0" w:color="auto"/>
              <w:right w:val="single" w:sz="4" w:space="0" w:color="auto"/>
            </w:tcBorders>
            <w:noWrap/>
            <w:vAlign w:val="bottom"/>
            <w:hideMark/>
          </w:tcPr>
          <w:p w14:paraId="1D630CD4" w14:textId="77777777" w:rsidR="00EC492E" w:rsidRPr="00824D31" w:rsidRDefault="00EC492E" w:rsidP="00077638">
            <w:pPr>
              <w:ind w:firstLine="0"/>
            </w:pPr>
            <w:r w:rsidRPr="00824D31">
              <w:t>10215</w:t>
            </w:r>
          </w:p>
        </w:tc>
        <w:tc>
          <w:tcPr>
            <w:tcW w:w="851" w:type="dxa"/>
            <w:tcBorders>
              <w:top w:val="nil"/>
              <w:left w:val="nil"/>
              <w:bottom w:val="single" w:sz="4" w:space="0" w:color="auto"/>
              <w:right w:val="single" w:sz="4" w:space="0" w:color="auto"/>
            </w:tcBorders>
            <w:noWrap/>
            <w:vAlign w:val="bottom"/>
            <w:hideMark/>
          </w:tcPr>
          <w:p w14:paraId="7BEFEC9D" w14:textId="77777777" w:rsidR="00EC492E" w:rsidRPr="00824D31" w:rsidRDefault="00EC492E" w:rsidP="00077638">
            <w:pPr>
              <w:ind w:firstLine="0"/>
            </w:pPr>
            <w:r w:rsidRPr="00824D31">
              <w:t>100,00%</w:t>
            </w:r>
          </w:p>
        </w:tc>
      </w:tr>
    </w:tbl>
    <w:p w14:paraId="69969A98" w14:textId="77777777" w:rsidR="00EC492E" w:rsidRPr="00824D31" w:rsidRDefault="00EC492E" w:rsidP="00EC492E"/>
    <w:p w14:paraId="51B5B35A" w14:textId="77777777" w:rsidR="00EC492E" w:rsidRPr="00824D31" w:rsidRDefault="00EC492E" w:rsidP="00EC492E">
      <w:r w:rsidRPr="00824D31">
        <w:t>Основную часть Объектов рассматриваемой группы составляют «Гимназии, дома и дворцы пионеров, дома юного творчества, изостудии, клубы, лицеи, музыкальные школы, церковные школы, школы, спальные корпуса школ - интернатов» - 16,11%, «Больницы, поликлиники, станции медицинской скорой помощи, фельдшерские медицинские пункты» - 14,47%.</w:t>
      </w:r>
    </w:p>
    <w:p w14:paraId="42AE6062" w14:textId="77777777" w:rsidR="00EC492E" w:rsidRPr="00824D31" w:rsidRDefault="00EC492E" w:rsidP="00EC492E">
      <w:r w:rsidRPr="00824D31">
        <w:t>Объекты недвижимости 8 группы были разбиты на подгруппы по следующим критериям:</w:t>
      </w:r>
    </w:p>
    <w:p w14:paraId="36B45D87" w14:textId="77777777" w:rsidR="00EC492E" w:rsidRPr="00824D31" w:rsidRDefault="00EC492E" w:rsidP="00EC492E">
      <w:r w:rsidRPr="00824D31">
        <w:t>1. В зависимости от степени готовности объекта:</w:t>
      </w:r>
    </w:p>
    <w:p w14:paraId="4074DA49" w14:textId="77777777" w:rsidR="00EC492E" w:rsidRPr="00824D31" w:rsidRDefault="00EC492E" w:rsidP="00EC492E">
      <w:r w:rsidRPr="00824D31">
        <w:t xml:space="preserve">- объекты, строительство которых завершено (здания, помещения, сооружения); </w:t>
      </w:r>
    </w:p>
    <w:p w14:paraId="5DE6FEFB" w14:textId="77777777" w:rsidR="00EC492E" w:rsidRPr="00824D31" w:rsidRDefault="00EC492E" w:rsidP="00EC492E">
      <w:r w:rsidRPr="00824D31">
        <w:t>-объекты незавершенного строительства.</w:t>
      </w:r>
    </w:p>
    <w:p w14:paraId="01D0C292" w14:textId="77777777" w:rsidR="00EC492E" w:rsidRPr="00824D31" w:rsidRDefault="00EC492E" w:rsidP="00EC492E">
      <w:r w:rsidRPr="00824D31">
        <w:t>2. в зависимости от местоположения:</w:t>
      </w:r>
    </w:p>
    <w:p w14:paraId="40C51748" w14:textId="77777777" w:rsidR="00EC492E" w:rsidRPr="00824D31" w:rsidRDefault="00EC492E" w:rsidP="00EC492E">
      <w:r w:rsidRPr="00824D31">
        <w:t>- объекты, точное местоположение которых возможно установить;</w:t>
      </w:r>
    </w:p>
    <w:p w14:paraId="641B007F" w14:textId="77777777" w:rsidR="00EC492E" w:rsidRPr="00824D31" w:rsidRDefault="00EC492E" w:rsidP="00EC492E">
      <w:r w:rsidRPr="00824D31">
        <w:t xml:space="preserve">- объекты, точное местоположение которых невозможно установить. </w:t>
      </w:r>
    </w:p>
    <w:p w14:paraId="7AEEE2B9" w14:textId="79E6EB45" w:rsidR="00EC492E" w:rsidRPr="00824D31" w:rsidRDefault="00EC492E" w:rsidP="00EC492E">
      <w:r w:rsidRPr="00824D31">
        <w:t>В подгруппу объектов, точное местоположени</w:t>
      </w:r>
      <w:r w:rsidR="005A6F55">
        <w:t xml:space="preserve">е которых возможно установить, </w:t>
      </w:r>
      <w:r w:rsidRPr="00824D31">
        <w:t>относятся объекты, местоположение которых:</w:t>
      </w:r>
    </w:p>
    <w:p w14:paraId="397CC433" w14:textId="77777777" w:rsidR="00EC492E" w:rsidRPr="00824D31" w:rsidRDefault="00EC492E" w:rsidP="00EC492E">
      <w:r w:rsidRPr="00824D31">
        <w:t>- возможно установить до уровня дома;</w:t>
      </w:r>
    </w:p>
    <w:p w14:paraId="027FAF13" w14:textId="77777777" w:rsidR="00EC492E" w:rsidRPr="00824D31" w:rsidRDefault="00EC492E" w:rsidP="00EC492E">
      <w:r w:rsidRPr="00824D31">
        <w:t>- возможно установить до уровня улицы;</w:t>
      </w:r>
    </w:p>
    <w:p w14:paraId="776C1782" w14:textId="77777777" w:rsidR="00EC492E" w:rsidRPr="00824D31" w:rsidRDefault="00EC492E" w:rsidP="00EC492E">
      <w:r w:rsidRPr="00824D31">
        <w:t>- возможно установить до уровня кадастрового квартала.</w:t>
      </w:r>
    </w:p>
    <w:p w14:paraId="08CECB7F" w14:textId="77777777" w:rsidR="00EC492E" w:rsidRPr="00824D31" w:rsidRDefault="00EC492E" w:rsidP="00EC492E">
      <w:r w:rsidRPr="00824D31">
        <w:t>При этом для объектов, расположенных в сельских населенных пунктах, отнесенных в подгруппу объектов, точное местоположение которых возможно установить, допустимым является установление местоположения до уровня населенного пункта.</w:t>
      </w:r>
    </w:p>
    <w:p w14:paraId="00617586" w14:textId="77777777" w:rsidR="00EC492E" w:rsidRPr="00824D31" w:rsidRDefault="00EC492E" w:rsidP="00EC492E">
      <w:r w:rsidRPr="00824D31">
        <w:t>К подгруппе объектов, точное местоположение которых невозможно установить, относятся объекты, местоположение которых:</w:t>
      </w:r>
    </w:p>
    <w:p w14:paraId="35E63381" w14:textId="77777777" w:rsidR="00EC492E" w:rsidRPr="00824D31" w:rsidRDefault="00EC492E" w:rsidP="00EC492E">
      <w:r w:rsidRPr="00824D31">
        <w:t>- возможно установить только до уровня муниципального образования;</w:t>
      </w:r>
    </w:p>
    <w:p w14:paraId="5B529A94" w14:textId="77777777" w:rsidR="00EC492E" w:rsidRPr="00824D31" w:rsidRDefault="00EC492E" w:rsidP="00EC492E">
      <w:r w:rsidRPr="00824D31">
        <w:t>- возможно установить только до уровня субъекта Российской Федерации.</w:t>
      </w:r>
    </w:p>
    <w:p w14:paraId="0B010945" w14:textId="77777777" w:rsidR="00EC492E" w:rsidRPr="00824D31" w:rsidRDefault="00EC492E" w:rsidP="00EC492E">
      <w:r w:rsidRPr="00824D31">
        <w:t>3. В зависимости от статуса населенного пункта разделение на группы (подгруппы) производилось по принципу:</w:t>
      </w:r>
    </w:p>
    <w:p w14:paraId="41CD45F4" w14:textId="77777777" w:rsidR="00EC492E" w:rsidRPr="00824D31" w:rsidRDefault="00EC492E" w:rsidP="00EC492E">
      <w:r w:rsidRPr="00824D31">
        <w:t>- объекты, расположенные в столице субъекта Российской Федерации;</w:t>
      </w:r>
    </w:p>
    <w:p w14:paraId="7B0169B8" w14:textId="77777777" w:rsidR="00EC492E" w:rsidRPr="00824D31" w:rsidRDefault="00EC492E" w:rsidP="00EC492E">
      <w:r w:rsidRPr="00824D31">
        <w:t>- объекты, расположенные в прочих городских населенных пунктах;</w:t>
      </w:r>
    </w:p>
    <w:p w14:paraId="0041AE03" w14:textId="77777777" w:rsidR="00EC492E" w:rsidRPr="00824D31" w:rsidRDefault="00EC492E" w:rsidP="00EC492E">
      <w:r w:rsidRPr="00824D31">
        <w:t>- объекты, расположенные в сельских населенных пунктах;</w:t>
      </w:r>
    </w:p>
    <w:p w14:paraId="72BD476F" w14:textId="77777777" w:rsidR="00EC492E" w:rsidRPr="00824D31" w:rsidRDefault="00EC492E" w:rsidP="00EC492E">
      <w:r w:rsidRPr="00824D31">
        <w:t>-  объекты, расположенные вне черты населенных пунктов.</w:t>
      </w:r>
    </w:p>
    <w:p w14:paraId="626A5CD1" w14:textId="77777777" w:rsidR="00EC492E" w:rsidRPr="00824D31" w:rsidRDefault="00EC492E" w:rsidP="00EC492E">
      <w:r w:rsidRPr="00824D31">
        <w:t xml:space="preserve">Выделенные на оцениваемой территории группы объектов оценки соответствуют следующим требованиям: </w:t>
      </w:r>
    </w:p>
    <w:p w14:paraId="2577B0F1" w14:textId="77777777" w:rsidR="00EC492E" w:rsidRPr="00824D31" w:rsidRDefault="00EC492E" w:rsidP="00EC492E">
      <w:r w:rsidRPr="00824D31">
        <w:t>- однородны с точки зрения значений (диапазонов значений) ценообразующих факторов;</w:t>
      </w:r>
    </w:p>
    <w:p w14:paraId="7BCBE06B" w14:textId="77777777" w:rsidR="00EC492E" w:rsidRPr="00824D31" w:rsidRDefault="00EC492E" w:rsidP="00EC492E">
      <w:r w:rsidRPr="00824D31">
        <w:t>- полностью покрывают группу объектов оценки (каждый объект оценки должен быть отнесен к какой-либо группе/подгруппе);</w:t>
      </w:r>
    </w:p>
    <w:p w14:paraId="576D6507" w14:textId="77777777" w:rsidR="00EC492E" w:rsidRPr="00824D31" w:rsidRDefault="00EC492E" w:rsidP="00EC492E">
      <w:r w:rsidRPr="00824D31">
        <w:t>- не пересекаются - объект оценки может быть отнесен только к одной группе/подгруппе.</w:t>
      </w:r>
    </w:p>
    <w:p w14:paraId="1AC996A3" w14:textId="77777777" w:rsidR="00EC492E" w:rsidRPr="00824D31" w:rsidRDefault="00EC492E" w:rsidP="00EC492E">
      <w:r w:rsidRPr="00824D31">
        <w:t xml:space="preserve">Представленная группировка позволяет объединить объекты недвижимости по общности признаков со схожими принципами ценообразования и примерно одинаковым уровнем цен на объекты недвижимости. </w:t>
      </w:r>
    </w:p>
    <w:p w14:paraId="42A49D91" w14:textId="77777777" w:rsidR="00EC492E" w:rsidRPr="00824D31" w:rsidRDefault="00EC492E" w:rsidP="00EC492E"/>
    <w:p w14:paraId="403D9FEA" w14:textId="77777777" w:rsidR="00EC492E" w:rsidRPr="008F16D6" w:rsidRDefault="00EC492E" w:rsidP="00EC492E">
      <w:pPr>
        <w:rPr>
          <w:b/>
        </w:rPr>
      </w:pPr>
      <w:bookmarkStart w:id="94" w:name="_Toc466639855"/>
      <w:bookmarkStart w:id="95" w:name="_Toc339302519"/>
      <w:r w:rsidRPr="008F16D6">
        <w:rPr>
          <w:b/>
        </w:rPr>
        <w:t>9 группа «Прочие объекты»</w:t>
      </w:r>
      <w:bookmarkEnd w:id="94"/>
      <w:bookmarkEnd w:id="95"/>
    </w:p>
    <w:p w14:paraId="172C9E7D" w14:textId="77777777" w:rsidR="00EC492E" w:rsidRPr="00824D31" w:rsidRDefault="00EC492E" w:rsidP="00EC492E"/>
    <w:p w14:paraId="25C8EA05" w14:textId="77777777" w:rsidR="00EC492E" w:rsidRPr="00824D31" w:rsidRDefault="00EC492E" w:rsidP="00EC492E">
      <w:r w:rsidRPr="00824D31">
        <w:t>К объектам 9 группы относятся:</w:t>
      </w:r>
    </w:p>
    <w:p w14:paraId="27C675AB" w14:textId="77777777" w:rsidR="00EC492E" w:rsidRPr="00824D31" w:rsidRDefault="00EC492E" w:rsidP="00EC492E">
      <w:r w:rsidRPr="00824D31">
        <w:t>- объекты гражданской обороны, бомбоубежища, защитные сооружения;</w:t>
      </w:r>
    </w:p>
    <w:p w14:paraId="039CEF46" w14:textId="77777777" w:rsidR="00EC492E" w:rsidRPr="00824D31" w:rsidRDefault="00EC492E" w:rsidP="00EC492E">
      <w:r w:rsidRPr="00824D31">
        <w:t>- погреба, овощные ямы, коллективные овощехранилища;</w:t>
      </w:r>
    </w:p>
    <w:p w14:paraId="36941537" w14:textId="77777777" w:rsidR="00EC492E" w:rsidRPr="00824D31" w:rsidRDefault="00EC492E" w:rsidP="00EC492E">
      <w:r w:rsidRPr="00824D31">
        <w:t>- подвалы;</w:t>
      </w:r>
    </w:p>
    <w:p w14:paraId="69FEAF14" w14:textId="77777777" w:rsidR="00EC492E" w:rsidRPr="00824D31" w:rsidRDefault="00EC492E" w:rsidP="00EC492E">
      <w:r w:rsidRPr="00824D31">
        <w:t>- объекты вспомогательного назначения, такие как: сараи, хозяйственные постройки, стайки, клеть, конюховка.</w:t>
      </w:r>
    </w:p>
    <w:p w14:paraId="6A8F72C5" w14:textId="77777777" w:rsidR="00EC492E" w:rsidRPr="00824D31" w:rsidRDefault="00EC492E" w:rsidP="00EC492E">
      <w:r w:rsidRPr="00824D31">
        <w:t>- санитарные пропускники;</w:t>
      </w:r>
    </w:p>
    <w:p w14:paraId="1C32EDF9" w14:textId="77777777" w:rsidR="00EC492E" w:rsidRPr="00824D31" w:rsidRDefault="00EC492E" w:rsidP="00EC492E">
      <w:r w:rsidRPr="00824D31">
        <w:t>- гидрометеорологические станции, фотометрические будки, мареографы;</w:t>
      </w:r>
    </w:p>
    <w:p w14:paraId="68E02D57" w14:textId="77777777" w:rsidR="00EC492E" w:rsidRPr="00824D31" w:rsidRDefault="00EC492E" w:rsidP="00EC492E">
      <w:r w:rsidRPr="00824D31">
        <w:t>- прочие объекты и объекты вспомогательного назначения, отнесение которых к другим группам невозможно.</w:t>
      </w:r>
    </w:p>
    <w:p w14:paraId="7B38522C" w14:textId="77777777" w:rsidR="00EC492E" w:rsidRPr="00824D31" w:rsidRDefault="00EC492E" w:rsidP="00EC492E">
      <w:r w:rsidRPr="00824D31">
        <w:t>Номера подрупп, входящих в состав группы: 0901-0907. Сотрудниками ГБУ РС (Я) «ЦГКО» самостоятельно добавлена подгруппа 0908 «Пилорамы».</w:t>
      </w:r>
    </w:p>
    <w:p w14:paraId="3AB54D95" w14:textId="77777777" w:rsidR="00EC492E" w:rsidRPr="00824D31" w:rsidRDefault="00EC492E" w:rsidP="00EC492E">
      <w:r w:rsidRPr="00824D31">
        <w:t>Общее количество Объектов оценки, отнесенных к группе «Прочие объекты» составляет 8342 Объектов.</w:t>
      </w:r>
    </w:p>
    <w:p w14:paraId="586E20AC" w14:textId="42DDD9CA" w:rsidR="00EC492E" w:rsidRPr="00824D31" w:rsidRDefault="00EC492E" w:rsidP="00763AD2">
      <w:pPr>
        <w:pStyle w:val="afffffff0"/>
      </w:pPr>
      <w:r w:rsidRPr="00824D31">
        <w:t xml:space="preserve">Таблица </w:t>
      </w:r>
      <w:r w:rsidR="00A90944">
        <w:fldChar w:fldCharType="begin"/>
      </w:r>
      <w:r w:rsidR="00A90944">
        <w:instrText xml:space="preserve"> SEQ Таблица \* ARABIC </w:instrText>
      </w:r>
      <w:r w:rsidR="00A90944">
        <w:fldChar w:fldCharType="separate"/>
      </w:r>
      <w:r w:rsidR="00FD2769">
        <w:rPr>
          <w:noProof/>
        </w:rPr>
        <w:t>41</w:t>
      </w:r>
      <w:r w:rsidR="00A90944">
        <w:rPr>
          <w:noProof/>
        </w:rPr>
        <w:fldChar w:fldCharType="end"/>
      </w:r>
      <w:r w:rsidRPr="00824D31">
        <w:t xml:space="preserve"> Результат группировки Объектов оценки в рамках группы 9 Прочие объекты </w:t>
      </w:r>
    </w:p>
    <w:tbl>
      <w:tblPr>
        <w:tblW w:w="9307" w:type="dxa"/>
        <w:tblInd w:w="-5" w:type="dxa"/>
        <w:tblLayout w:type="fixed"/>
        <w:tblLook w:val="04A0" w:firstRow="1" w:lastRow="0" w:firstColumn="1" w:lastColumn="0" w:noHBand="0" w:noVBand="1"/>
      </w:tblPr>
      <w:tblGrid>
        <w:gridCol w:w="1843"/>
        <w:gridCol w:w="1344"/>
        <w:gridCol w:w="3617"/>
        <w:gridCol w:w="1227"/>
        <w:gridCol w:w="1276"/>
      </w:tblGrid>
      <w:tr w:rsidR="00EC492E" w:rsidRPr="009E18B2" w14:paraId="4A47497D" w14:textId="77777777" w:rsidTr="009E18B2">
        <w:trPr>
          <w:trHeight w:val="630"/>
        </w:trPr>
        <w:tc>
          <w:tcPr>
            <w:tcW w:w="1843" w:type="dxa"/>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13E854A2" w14:textId="77777777" w:rsidR="00EC492E" w:rsidRPr="009E18B2" w:rsidRDefault="00EC492E" w:rsidP="009E18B2">
            <w:pPr>
              <w:ind w:firstLine="0"/>
              <w:jc w:val="center"/>
              <w:rPr>
                <w:b/>
                <w:i/>
              </w:rPr>
            </w:pPr>
            <w:r w:rsidRPr="009E18B2">
              <w:rPr>
                <w:b/>
                <w:i/>
              </w:rPr>
              <w:t>Наименование группы</w:t>
            </w:r>
          </w:p>
        </w:tc>
        <w:tc>
          <w:tcPr>
            <w:tcW w:w="1344" w:type="dxa"/>
            <w:tcBorders>
              <w:top w:val="single" w:sz="4" w:space="0" w:color="auto"/>
              <w:left w:val="nil"/>
              <w:bottom w:val="single" w:sz="4" w:space="0" w:color="auto"/>
              <w:right w:val="single" w:sz="4" w:space="0" w:color="auto"/>
            </w:tcBorders>
            <w:shd w:val="clear" w:color="auto" w:fill="BFBFBF" w:themeFill="background1" w:themeFillShade="BF"/>
            <w:hideMark/>
          </w:tcPr>
          <w:p w14:paraId="53037EC7" w14:textId="77777777" w:rsidR="00EC492E" w:rsidRPr="009E18B2" w:rsidRDefault="00EC492E" w:rsidP="009E18B2">
            <w:pPr>
              <w:ind w:firstLine="0"/>
              <w:jc w:val="center"/>
              <w:rPr>
                <w:b/>
                <w:i/>
              </w:rPr>
            </w:pPr>
            <w:r w:rsidRPr="009E18B2">
              <w:rPr>
                <w:b/>
                <w:i/>
              </w:rPr>
              <w:t>Код подгруппы</w:t>
            </w:r>
          </w:p>
        </w:tc>
        <w:tc>
          <w:tcPr>
            <w:tcW w:w="3617" w:type="dxa"/>
            <w:tcBorders>
              <w:top w:val="single" w:sz="4" w:space="0" w:color="auto"/>
              <w:left w:val="nil"/>
              <w:bottom w:val="single" w:sz="4" w:space="0" w:color="auto"/>
              <w:right w:val="single" w:sz="4" w:space="0" w:color="auto"/>
            </w:tcBorders>
            <w:shd w:val="clear" w:color="auto" w:fill="BFBFBF" w:themeFill="background1" w:themeFillShade="BF"/>
            <w:hideMark/>
          </w:tcPr>
          <w:p w14:paraId="48236D69" w14:textId="77777777" w:rsidR="00EC492E" w:rsidRPr="009E18B2" w:rsidRDefault="00EC492E" w:rsidP="009E18B2">
            <w:pPr>
              <w:ind w:firstLine="0"/>
              <w:jc w:val="center"/>
              <w:rPr>
                <w:b/>
                <w:i/>
              </w:rPr>
            </w:pPr>
            <w:r w:rsidRPr="009E18B2">
              <w:rPr>
                <w:b/>
                <w:i/>
              </w:rPr>
              <w:t>Наименование функциональной подгруппы</w:t>
            </w:r>
          </w:p>
        </w:tc>
        <w:tc>
          <w:tcPr>
            <w:tcW w:w="1227" w:type="dxa"/>
            <w:tcBorders>
              <w:top w:val="single" w:sz="4" w:space="0" w:color="auto"/>
              <w:left w:val="nil"/>
              <w:bottom w:val="single" w:sz="4" w:space="0" w:color="auto"/>
              <w:right w:val="single" w:sz="4" w:space="0" w:color="auto"/>
            </w:tcBorders>
            <w:shd w:val="clear" w:color="auto" w:fill="BFBFBF" w:themeFill="background1" w:themeFillShade="BF"/>
            <w:hideMark/>
          </w:tcPr>
          <w:p w14:paraId="12293C2D" w14:textId="77777777" w:rsidR="00EC492E" w:rsidRPr="009E18B2" w:rsidRDefault="00EC492E" w:rsidP="009E18B2">
            <w:pPr>
              <w:ind w:firstLine="0"/>
              <w:jc w:val="center"/>
              <w:rPr>
                <w:b/>
                <w:i/>
              </w:rPr>
            </w:pPr>
            <w:r w:rsidRPr="009E18B2">
              <w:rPr>
                <w:b/>
                <w:i/>
              </w:rPr>
              <w:t>Количество Объектов</w:t>
            </w:r>
          </w:p>
        </w:tc>
        <w:tc>
          <w:tcPr>
            <w:tcW w:w="1276" w:type="dxa"/>
            <w:tcBorders>
              <w:top w:val="single" w:sz="4" w:space="0" w:color="auto"/>
              <w:left w:val="nil"/>
              <w:bottom w:val="single" w:sz="4" w:space="0" w:color="auto"/>
              <w:right w:val="single" w:sz="4" w:space="0" w:color="auto"/>
            </w:tcBorders>
            <w:shd w:val="clear" w:color="auto" w:fill="BFBFBF" w:themeFill="background1" w:themeFillShade="BF"/>
            <w:noWrap/>
            <w:hideMark/>
          </w:tcPr>
          <w:p w14:paraId="52F63475" w14:textId="77777777" w:rsidR="00EC492E" w:rsidRPr="009E18B2" w:rsidRDefault="00EC492E" w:rsidP="009E18B2">
            <w:pPr>
              <w:ind w:firstLine="0"/>
              <w:jc w:val="center"/>
              <w:rPr>
                <w:b/>
                <w:i/>
              </w:rPr>
            </w:pPr>
            <w:r w:rsidRPr="009E18B2">
              <w:rPr>
                <w:b/>
                <w:i/>
              </w:rPr>
              <w:t>Доля, %</w:t>
            </w:r>
          </w:p>
        </w:tc>
      </w:tr>
      <w:tr w:rsidR="00EC492E" w:rsidRPr="00824D31" w14:paraId="330FED54" w14:textId="77777777" w:rsidTr="009E18B2">
        <w:trPr>
          <w:trHeight w:val="510"/>
        </w:trPr>
        <w:tc>
          <w:tcPr>
            <w:tcW w:w="1843" w:type="dxa"/>
            <w:vMerge w:val="restart"/>
            <w:tcBorders>
              <w:top w:val="single" w:sz="4" w:space="0" w:color="auto"/>
              <w:left w:val="single" w:sz="4" w:space="0" w:color="auto"/>
              <w:bottom w:val="single" w:sz="4" w:space="0" w:color="auto"/>
              <w:right w:val="single" w:sz="4" w:space="0" w:color="auto"/>
            </w:tcBorders>
            <w:noWrap/>
            <w:vAlign w:val="center"/>
            <w:hideMark/>
          </w:tcPr>
          <w:p w14:paraId="2BDB2A36" w14:textId="77777777" w:rsidR="00EC492E" w:rsidRPr="00824D31" w:rsidRDefault="00EC492E" w:rsidP="009E18B2">
            <w:pPr>
              <w:ind w:firstLine="0"/>
            </w:pPr>
            <w:r w:rsidRPr="00824D31">
              <w:t>Прочие объекты</w:t>
            </w:r>
          </w:p>
        </w:tc>
        <w:tc>
          <w:tcPr>
            <w:tcW w:w="1344" w:type="dxa"/>
            <w:tcBorders>
              <w:top w:val="single" w:sz="4" w:space="0" w:color="auto"/>
              <w:left w:val="nil"/>
              <w:bottom w:val="single" w:sz="4" w:space="0" w:color="auto"/>
              <w:right w:val="single" w:sz="4" w:space="0" w:color="auto"/>
            </w:tcBorders>
            <w:noWrap/>
            <w:vAlign w:val="bottom"/>
            <w:hideMark/>
          </w:tcPr>
          <w:p w14:paraId="11EF1F61" w14:textId="77777777" w:rsidR="00EC492E" w:rsidRPr="00824D31" w:rsidRDefault="00EC492E" w:rsidP="00041D42">
            <w:pPr>
              <w:ind w:firstLine="0"/>
            </w:pPr>
            <w:r w:rsidRPr="00824D31">
              <w:t>901</w:t>
            </w:r>
          </w:p>
        </w:tc>
        <w:tc>
          <w:tcPr>
            <w:tcW w:w="3617" w:type="dxa"/>
            <w:tcBorders>
              <w:top w:val="single" w:sz="4" w:space="0" w:color="auto"/>
              <w:left w:val="nil"/>
              <w:bottom w:val="single" w:sz="4" w:space="0" w:color="auto"/>
              <w:right w:val="single" w:sz="4" w:space="0" w:color="auto"/>
            </w:tcBorders>
            <w:vAlign w:val="center"/>
            <w:hideMark/>
          </w:tcPr>
          <w:p w14:paraId="1D9383D6" w14:textId="77777777" w:rsidR="00EC492E" w:rsidRPr="00824D31" w:rsidRDefault="00EC492E" w:rsidP="00041D42">
            <w:pPr>
              <w:ind w:firstLine="0"/>
            </w:pPr>
            <w:r w:rsidRPr="00824D31">
              <w:t>Объекты гражданской обороны</w:t>
            </w:r>
          </w:p>
        </w:tc>
        <w:tc>
          <w:tcPr>
            <w:tcW w:w="1227" w:type="dxa"/>
            <w:tcBorders>
              <w:top w:val="single" w:sz="4" w:space="0" w:color="auto"/>
              <w:left w:val="nil"/>
              <w:bottom w:val="single" w:sz="4" w:space="0" w:color="auto"/>
              <w:right w:val="single" w:sz="4" w:space="0" w:color="auto"/>
            </w:tcBorders>
            <w:noWrap/>
            <w:vAlign w:val="center"/>
            <w:hideMark/>
          </w:tcPr>
          <w:p w14:paraId="3F357A0A" w14:textId="77777777" w:rsidR="00EC492E" w:rsidRPr="00824D31" w:rsidRDefault="00EC492E" w:rsidP="00041D42">
            <w:pPr>
              <w:ind w:firstLine="0"/>
              <w:jc w:val="center"/>
            </w:pPr>
            <w:r w:rsidRPr="00824D31">
              <w:t>19</w:t>
            </w:r>
          </w:p>
        </w:tc>
        <w:tc>
          <w:tcPr>
            <w:tcW w:w="1276" w:type="dxa"/>
            <w:tcBorders>
              <w:top w:val="single" w:sz="4" w:space="0" w:color="auto"/>
              <w:left w:val="nil"/>
              <w:bottom w:val="single" w:sz="4" w:space="0" w:color="auto"/>
              <w:right w:val="single" w:sz="4" w:space="0" w:color="auto"/>
            </w:tcBorders>
            <w:noWrap/>
            <w:vAlign w:val="center"/>
            <w:hideMark/>
          </w:tcPr>
          <w:p w14:paraId="0197AE8C" w14:textId="77777777" w:rsidR="00EC492E" w:rsidRPr="00824D31" w:rsidRDefault="00EC492E" w:rsidP="00041D42">
            <w:pPr>
              <w:ind w:firstLine="0"/>
              <w:jc w:val="center"/>
            </w:pPr>
            <w:r w:rsidRPr="00824D31">
              <w:t>0,23%</w:t>
            </w:r>
          </w:p>
        </w:tc>
      </w:tr>
      <w:tr w:rsidR="00EC492E" w:rsidRPr="00824D31" w14:paraId="2E9C3560" w14:textId="77777777" w:rsidTr="009E18B2">
        <w:trPr>
          <w:trHeight w:val="255"/>
        </w:trPr>
        <w:tc>
          <w:tcPr>
            <w:tcW w:w="1843" w:type="dxa"/>
            <w:vMerge/>
            <w:tcBorders>
              <w:top w:val="single" w:sz="4" w:space="0" w:color="auto"/>
              <w:left w:val="single" w:sz="4" w:space="0" w:color="auto"/>
              <w:bottom w:val="single" w:sz="4" w:space="0" w:color="auto"/>
              <w:right w:val="single" w:sz="4" w:space="0" w:color="auto"/>
            </w:tcBorders>
            <w:vAlign w:val="center"/>
            <w:hideMark/>
          </w:tcPr>
          <w:p w14:paraId="05107966" w14:textId="77777777" w:rsidR="00EC492E" w:rsidRPr="00824D31" w:rsidRDefault="00EC492E" w:rsidP="00EC492E"/>
        </w:tc>
        <w:tc>
          <w:tcPr>
            <w:tcW w:w="1344" w:type="dxa"/>
            <w:tcBorders>
              <w:top w:val="single" w:sz="4" w:space="0" w:color="auto"/>
              <w:left w:val="nil"/>
              <w:bottom w:val="single" w:sz="4" w:space="0" w:color="auto"/>
              <w:right w:val="single" w:sz="4" w:space="0" w:color="auto"/>
            </w:tcBorders>
            <w:noWrap/>
            <w:vAlign w:val="bottom"/>
            <w:hideMark/>
          </w:tcPr>
          <w:p w14:paraId="640E00C7" w14:textId="77777777" w:rsidR="00EC492E" w:rsidRPr="00824D31" w:rsidRDefault="00EC492E" w:rsidP="00041D42">
            <w:pPr>
              <w:ind w:firstLine="0"/>
            </w:pPr>
            <w:r w:rsidRPr="00824D31">
              <w:t>902</w:t>
            </w:r>
          </w:p>
        </w:tc>
        <w:tc>
          <w:tcPr>
            <w:tcW w:w="3617" w:type="dxa"/>
            <w:tcBorders>
              <w:top w:val="single" w:sz="4" w:space="0" w:color="auto"/>
              <w:left w:val="nil"/>
              <w:bottom w:val="single" w:sz="4" w:space="0" w:color="auto"/>
              <w:right w:val="single" w:sz="4" w:space="0" w:color="auto"/>
            </w:tcBorders>
            <w:vAlign w:val="center"/>
            <w:hideMark/>
          </w:tcPr>
          <w:p w14:paraId="0840B5C4" w14:textId="77777777" w:rsidR="00EC492E" w:rsidRPr="00824D31" w:rsidRDefault="00EC492E" w:rsidP="00041D42">
            <w:pPr>
              <w:ind w:firstLine="0"/>
            </w:pPr>
            <w:r w:rsidRPr="00824D31">
              <w:t>Погреба</w:t>
            </w:r>
          </w:p>
        </w:tc>
        <w:tc>
          <w:tcPr>
            <w:tcW w:w="1227" w:type="dxa"/>
            <w:tcBorders>
              <w:top w:val="single" w:sz="4" w:space="0" w:color="auto"/>
              <w:left w:val="nil"/>
              <w:bottom w:val="single" w:sz="4" w:space="0" w:color="auto"/>
              <w:right w:val="single" w:sz="4" w:space="0" w:color="auto"/>
            </w:tcBorders>
            <w:noWrap/>
            <w:vAlign w:val="center"/>
            <w:hideMark/>
          </w:tcPr>
          <w:p w14:paraId="3589C55E" w14:textId="77777777" w:rsidR="00EC492E" w:rsidRPr="00824D31" w:rsidRDefault="00EC492E" w:rsidP="00041D42">
            <w:pPr>
              <w:ind w:firstLine="0"/>
              <w:jc w:val="center"/>
            </w:pPr>
            <w:r w:rsidRPr="00824D31">
              <w:t>261</w:t>
            </w:r>
          </w:p>
        </w:tc>
        <w:tc>
          <w:tcPr>
            <w:tcW w:w="1276" w:type="dxa"/>
            <w:tcBorders>
              <w:top w:val="single" w:sz="4" w:space="0" w:color="auto"/>
              <w:left w:val="nil"/>
              <w:bottom w:val="single" w:sz="4" w:space="0" w:color="auto"/>
              <w:right w:val="single" w:sz="4" w:space="0" w:color="auto"/>
            </w:tcBorders>
            <w:noWrap/>
            <w:vAlign w:val="center"/>
            <w:hideMark/>
          </w:tcPr>
          <w:p w14:paraId="01658497" w14:textId="77777777" w:rsidR="00EC492E" w:rsidRPr="00824D31" w:rsidRDefault="00EC492E" w:rsidP="00041D42">
            <w:pPr>
              <w:ind w:firstLine="0"/>
              <w:jc w:val="center"/>
            </w:pPr>
            <w:r w:rsidRPr="00824D31">
              <w:t>3,13%</w:t>
            </w:r>
          </w:p>
        </w:tc>
      </w:tr>
      <w:tr w:rsidR="00EC492E" w:rsidRPr="00824D31" w14:paraId="74DA1049" w14:textId="77777777" w:rsidTr="009E18B2">
        <w:trPr>
          <w:trHeight w:val="510"/>
        </w:trPr>
        <w:tc>
          <w:tcPr>
            <w:tcW w:w="1843" w:type="dxa"/>
            <w:vMerge/>
            <w:tcBorders>
              <w:top w:val="single" w:sz="4" w:space="0" w:color="auto"/>
              <w:left w:val="single" w:sz="4" w:space="0" w:color="auto"/>
              <w:bottom w:val="single" w:sz="4" w:space="0" w:color="auto"/>
              <w:right w:val="single" w:sz="4" w:space="0" w:color="auto"/>
            </w:tcBorders>
            <w:vAlign w:val="center"/>
            <w:hideMark/>
          </w:tcPr>
          <w:p w14:paraId="39B87746" w14:textId="77777777" w:rsidR="00EC492E" w:rsidRPr="00824D31" w:rsidRDefault="00EC492E" w:rsidP="00EC492E"/>
        </w:tc>
        <w:tc>
          <w:tcPr>
            <w:tcW w:w="1344" w:type="dxa"/>
            <w:tcBorders>
              <w:top w:val="single" w:sz="4" w:space="0" w:color="auto"/>
              <w:left w:val="nil"/>
              <w:bottom w:val="single" w:sz="4" w:space="0" w:color="auto"/>
              <w:right w:val="single" w:sz="4" w:space="0" w:color="auto"/>
            </w:tcBorders>
            <w:noWrap/>
            <w:vAlign w:val="bottom"/>
            <w:hideMark/>
          </w:tcPr>
          <w:p w14:paraId="74C47DC6" w14:textId="77777777" w:rsidR="00EC492E" w:rsidRPr="00824D31" w:rsidRDefault="00EC492E" w:rsidP="00041D42">
            <w:pPr>
              <w:ind w:firstLine="0"/>
            </w:pPr>
            <w:r w:rsidRPr="00824D31">
              <w:t>903</w:t>
            </w:r>
          </w:p>
        </w:tc>
        <w:tc>
          <w:tcPr>
            <w:tcW w:w="3617" w:type="dxa"/>
            <w:tcBorders>
              <w:top w:val="single" w:sz="4" w:space="0" w:color="auto"/>
              <w:left w:val="nil"/>
              <w:bottom w:val="single" w:sz="4" w:space="0" w:color="auto"/>
              <w:right w:val="single" w:sz="4" w:space="0" w:color="auto"/>
            </w:tcBorders>
            <w:vAlign w:val="center"/>
            <w:hideMark/>
          </w:tcPr>
          <w:p w14:paraId="311A0613" w14:textId="77777777" w:rsidR="00EC492E" w:rsidRPr="00824D31" w:rsidRDefault="00EC492E" w:rsidP="00041D42">
            <w:pPr>
              <w:ind w:firstLine="0"/>
            </w:pPr>
            <w:r w:rsidRPr="00824D31">
              <w:t>Подвалы</w:t>
            </w:r>
          </w:p>
        </w:tc>
        <w:tc>
          <w:tcPr>
            <w:tcW w:w="1227" w:type="dxa"/>
            <w:tcBorders>
              <w:top w:val="single" w:sz="4" w:space="0" w:color="auto"/>
              <w:left w:val="nil"/>
              <w:bottom w:val="single" w:sz="4" w:space="0" w:color="auto"/>
              <w:right w:val="single" w:sz="4" w:space="0" w:color="auto"/>
            </w:tcBorders>
            <w:noWrap/>
            <w:vAlign w:val="center"/>
            <w:hideMark/>
          </w:tcPr>
          <w:p w14:paraId="4E67C52B" w14:textId="77777777" w:rsidR="00EC492E" w:rsidRPr="00824D31" w:rsidRDefault="00EC492E" w:rsidP="00041D42">
            <w:pPr>
              <w:ind w:firstLine="0"/>
              <w:jc w:val="center"/>
            </w:pPr>
            <w:r w:rsidRPr="00824D31">
              <w:t>31</w:t>
            </w:r>
          </w:p>
        </w:tc>
        <w:tc>
          <w:tcPr>
            <w:tcW w:w="1276" w:type="dxa"/>
            <w:tcBorders>
              <w:top w:val="single" w:sz="4" w:space="0" w:color="auto"/>
              <w:left w:val="nil"/>
              <w:bottom w:val="single" w:sz="4" w:space="0" w:color="auto"/>
              <w:right w:val="single" w:sz="4" w:space="0" w:color="auto"/>
            </w:tcBorders>
            <w:noWrap/>
            <w:vAlign w:val="center"/>
            <w:hideMark/>
          </w:tcPr>
          <w:p w14:paraId="7E03DA49" w14:textId="77777777" w:rsidR="00EC492E" w:rsidRPr="00824D31" w:rsidRDefault="00EC492E" w:rsidP="00041D42">
            <w:pPr>
              <w:ind w:firstLine="0"/>
              <w:jc w:val="center"/>
            </w:pPr>
            <w:r w:rsidRPr="00824D31">
              <w:t>0,37%</w:t>
            </w:r>
          </w:p>
        </w:tc>
      </w:tr>
      <w:tr w:rsidR="00EC492E" w:rsidRPr="00824D31" w14:paraId="53D680CB" w14:textId="77777777" w:rsidTr="009E18B2">
        <w:trPr>
          <w:trHeight w:val="255"/>
        </w:trPr>
        <w:tc>
          <w:tcPr>
            <w:tcW w:w="1843" w:type="dxa"/>
            <w:vMerge/>
            <w:tcBorders>
              <w:top w:val="single" w:sz="4" w:space="0" w:color="auto"/>
              <w:left w:val="single" w:sz="4" w:space="0" w:color="auto"/>
              <w:bottom w:val="single" w:sz="4" w:space="0" w:color="auto"/>
              <w:right w:val="single" w:sz="4" w:space="0" w:color="auto"/>
            </w:tcBorders>
            <w:vAlign w:val="center"/>
            <w:hideMark/>
          </w:tcPr>
          <w:p w14:paraId="6CAFC4C4" w14:textId="77777777" w:rsidR="00EC492E" w:rsidRPr="00824D31" w:rsidRDefault="00EC492E" w:rsidP="00EC492E"/>
        </w:tc>
        <w:tc>
          <w:tcPr>
            <w:tcW w:w="1344" w:type="dxa"/>
            <w:tcBorders>
              <w:top w:val="single" w:sz="4" w:space="0" w:color="auto"/>
              <w:left w:val="nil"/>
              <w:bottom w:val="single" w:sz="4" w:space="0" w:color="auto"/>
              <w:right w:val="single" w:sz="4" w:space="0" w:color="auto"/>
            </w:tcBorders>
            <w:noWrap/>
            <w:vAlign w:val="bottom"/>
            <w:hideMark/>
          </w:tcPr>
          <w:p w14:paraId="2E1C83F9" w14:textId="77777777" w:rsidR="00EC492E" w:rsidRPr="00824D31" w:rsidRDefault="00EC492E" w:rsidP="00041D42">
            <w:pPr>
              <w:ind w:firstLine="0"/>
            </w:pPr>
            <w:r w:rsidRPr="00824D31">
              <w:t>904</w:t>
            </w:r>
          </w:p>
        </w:tc>
        <w:tc>
          <w:tcPr>
            <w:tcW w:w="3617" w:type="dxa"/>
            <w:tcBorders>
              <w:top w:val="single" w:sz="4" w:space="0" w:color="auto"/>
              <w:left w:val="nil"/>
              <w:bottom w:val="single" w:sz="4" w:space="0" w:color="auto"/>
              <w:right w:val="single" w:sz="4" w:space="0" w:color="auto"/>
            </w:tcBorders>
            <w:vAlign w:val="center"/>
            <w:hideMark/>
          </w:tcPr>
          <w:p w14:paraId="16FFA92C" w14:textId="77777777" w:rsidR="00EC492E" w:rsidRPr="00824D31" w:rsidRDefault="00EC492E" w:rsidP="00041D42">
            <w:pPr>
              <w:ind w:firstLine="0"/>
            </w:pPr>
            <w:r w:rsidRPr="00824D31">
              <w:t>Сараи</w:t>
            </w:r>
          </w:p>
        </w:tc>
        <w:tc>
          <w:tcPr>
            <w:tcW w:w="1227" w:type="dxa"/>
            <w:tcBorders>
              <w:top w:val="single" w:sz="4" w:space="0" w:color="auto"/>
              <w:left w:val="nil"/>
              <w:bottom w:val="single" w:sz="4" w:space="0" w:color="auto"/>
              <w:right w:val="single" w:sz="4" w:space="0" w:color="auto"/>
            </w:tcBorders>
            <w:noWrap/>
            <w:vAlign w:val="center"/>
            <w:hideMark/>
          </w:tcPr>
          <w:p w14:paraId="6909BBEC" w14:textId="77777777" w:rsidR="00EC492E" w:rsidRPr="00824D31" w:rsidRDefault="00EC492E" w:rsidP="00041D42">
            <w:pPr>
              <w:ind w:firstLine="0"/>
              <w:jc w:val="center"/>
            </w:pPr>
            <w:r w:rsidRPr="00824D31">
              <w:t>477</w:t>
            </w:r>
          </w:p>
        </w:tc>
        <w:tc>
          <w:tcPr>
            <w:tcW w:w="1276" w:type="dxa"/>
            <w:tcBorders>
              <w:top w:val="single" w:sz="4" w:space="0" w:color="auto"/>
              <w:left w:val="nil"/>
              <w:bottom w:val="single" w:sz="4" w:space="0" w:color="auto"/>
              <w:right w:val="single" w:sz="4" w:space="0" w:color="auto"/>
            </w:tcBorders>
            <w:noWrap/>
            <w:vAlign w:val="center"/>
            <w:hideMark/>
          </w:tcPr>
          <w:p w14:paraId="357B3CC1" w14:textId="77777777" w:rsidR="00EC492E" w:rsidRPr="00824D31" w:rsidRDefault="00EC492E" w:rsidP="00041D42">
            <w:pPr>
              <w:ind w:firstLine="0"/>
              <w:jc w:val="center"/>
            </w:pPr>
            <w:r w:rsidRPr="00824D31">
              <w:t>5,72%</w:t>
            </w:r>
          </w:p>
        </w:tc>
      </w:tr>
      <w:tr w:rsidR="00EC492E" w:rsidRPr="00824D31" w14:paraId="5C91A5B4" w14:textId="77777777" w:rsidTr="009E18B2">
        <w:trPr>
          <w:trHeight w:val="510"/>
        </w:trPr>
        <w:tc>
          <w:tcPr>
            <w:tcW w:w="1843" w:type="dxa"/>
            <w:vMerge/>
            <w:tcBorders>
              <w:top w:val="single" w:sz="4" w:space="0" w:color="auto"/>
              <w:left w:val="single" w:sz="4" w:space="0" w:color="auto"/>
              <w:bottom w:val="single" w:sz="4" w:space="0" w:color="auto"/>
              <w:right w:val="single" w:sz="4" w:space="0" w:color="auto"/>
            </w:tcBorders>
            <w:vAlign w:val="center"/>
            <w:hideMark/>
          </w:tcPr>
          <w:p w14:paraId="6717CCED" w14:textId="77777777" w:rsidR="00EC492E" w:rsidRPr="00824D31" w:rsidRDefault="00EC492E" w:rsidP="00EC492E"/>
        </w:tc>
        <w:tc>
          <w:tcPr>
            <w:tcW w:w="1344" w:type="dxa"/>
            <w:tcBorders>
              <w:top w:val="single" w:sz="4" w:space="0" w:color="auto"/>
              <w:left w:val="nil"/>
              <w:bottom w:val="single" w:sz="4" w:space="0" w:color="auto"/>
              <w:right w:val="single" w:sz="4" w:space="0" w:color="auto"/>
            </w:tcBorders>
            <w:noWrap/>
            <w:vAlign w:val="bottom"/>
            <w:hideMark/>
          </w:tcPr>
          <w:p w14:paraId="171D907E" w14:textId="77777777" w:rsidR="00EC492E" w:rsidRPr="00824D31" w:rsidRDefault="00EC492E" w:rsidP="00041D42">
            <w:pPr>
              <w:ind w:firstLine="0"/>
            </w:pPr>
            <w:r w:rsidRPr="00824D31">
              <w:t>905</w:t>
            </w:r>
          </w:p>
        </w:tc>
        <w:tc>
          <w:tcPr>
            <w:tcW w:w="3617" w:type="dxa"/>
            <w:tcBorders>
              <w:top w:val="single" w:sz="4" w:space="0" w:color="auto"/>
              <w:left w:val="nil"/>
              <w:bottom w:val="single" w:sz="4" w:space="0" w:color="auto"/>
              <w:right w:val="single" w:sz="4" w:space="0" w:color="auto"/>
            </w:tcBorders>
            <w:vAlign w:val="center"/>
            <w:hideMark/>
          </w:tcPr>
          <w:p w14:paraId="643CF6EE" w14:textId="77777777" w:rsidR="00EC492E" w:rsidRPr="00824D31" w:rsidRDefault="00EC492E" w:rsidP="00041D42">
            <w:pPr>
              <w:ind w:firstLine="0"/>
            </w:pPr>
            <w:r w:rsidRPr="00824D31">
              <w:t>Санитарные пропускники</w:t>
            </w:r>
          </w:p>
        </w:tc>
        <w:tc>
          <w:tcPr>
            <w:tcW w:w="1227" w:type="dxa"/>
            <w:tcBorders>
              <w:top w:val="single" w:sz="4" w:space="0" w:color="auto"/>
              <w:left w:val="nil"/>
              <w:bottom w:val="single" w:sz="4" w:space="0" w:color="auto"/>
              <w:right w:val="single" w:sz="4" w:space="0" w:color="auto"/>
            </w:tcBorders>
            <w:noWrap/>
            <w:vAlign w:val="center"/>
            <w:hideMark/>
          </w:tcPr>
          <w:p w14:paraId="11D9FB67" w14:textId="77777777" w:rsidR="00EC492E" w:rsidRPr="00824D31" w:rsidRDefault="00EC492E" w:rsidP="00041D42">
            <w:pPr>
              <w:ind w:firstLine="0"/>
              <w:jc w:val="center"/>
            </w:pPr>
            <w:r w:rsidRPr="00824D31">
              <w:t>23</w:t>
            </w:r>
          </w:p>
        </w:tc>
        <w:tc>
          <w:tcPr>
            <w:tcW w:w="1276" w:type="dxa"/>
            <w:tcBorders>
              <w:top w:val="single" w:sz="4" w:space="0" w:color="auto"/>
              <w:left w:val="nil"/>
              <w:bottom w:val="single" w:sz="4" w:space="0" w:color="auto"/>
              <w:right w:val="single" w:sz="4" w:space="0" w:color="auto"/>
            </w:tcBorders>
            <w:noWrap/>
            <w:vAlign w:val="center"/>
            <w:hideMark/>
          </w:tcPr>
          <w:p w14:paraId="728E6A51" w14:textId="77777777" w:rsidR="00EC492E" w:rsidRPr="00824D31" w:rsidRDefault="00EC492E" w:rsidP="00041D42">
            <w:pPr>
              <w:ind w:firstLine="0"/>
              <w:jc w:val="center"/>
            </w:pPr>
            <w:r w:rsidRPr="00824D31">
              <w:t>0,28%</w:t>
            </w:r>
          </w:p>
        </w:tc>
      </w:tr>
      <w:tr w:rsidR="00EC492E" w:rsidRPr="00824D31" w14:paraId="6058D0BC" w14:textId="77777777" w:rsidTr="009E18B2">
        <w:trPr>
          <w:trHeight w:val="510"/>
        </w:trPr>
        <w:tc>
          <w:tcPr>
            <w:tcW w:w="1843" w:type="dxa"/>
            <w:vMerge/>
            <w:tcBorders>
              <w:top w:val="single" w:sz="4" w:space="0" w:color="auto"/>
              <w:left w:val="single" w:sz="4" w:space="0" w:color="auto"/>
              <w:bottom w:val="single" w:sz="4" w:space="0" w:color="auto"/>
              <w:right w:val="single" w:sz="4" w:space="0" w:color="auto"/>
            </w:tcBorders>
            <w:vAlign w:val="center"/>
            <w:hideMark/>
          </w:tcPr>
          <w:p w14:paraId="5A8EC308" w14:textId="77777777" w:rsidR="00EC492E" w:rsidRPr="00824D31" w:rsidRDefault="00EC492E" w:rsidP="00EC492E"/>
        </w:tc>
        <w:tc>
          <w:tcPr>
            <w:tcW w:w="1344" w:type="dxa"/>
            <w:tcBorders>
              <w:top w:val="single" w:sz="4" w:space="0" w:color="auto"/>
              <w:left w:val="nil"/>
              <w:bottom w:val="single" w:sz="4" w:space="0" w:color="auto"/>
              <w:right w:val="single" w:sz="4" w:space="0" w:color="auto"/>
            </w:tcBorders>
            <w:noWrap/>
            <w:vAlign w:val="bottom"/>
            <w:hideMark/>
          </w:tcPr>
          <w:p w14:paraId="31DCDF2D" w14:textId="77777777" w:rsidR="00EC492E" w:rsidRPr="00824D31" w:rsidRDefault="00EC492E" w:rsidP="00041D42">
            <w:pPr>
              <w:ind w:firstLine="0"/>
            </w:pPr>
            <w:r w:rsidRPr="00824D31">
              <w:t>906</w:t>
            </w:r>
          </w:p>
        </w:tc>
        <w:tc>
          <w:tcPr>
            <w:tcW w:w="3617" w:type="dxa"/>
            <w:tcBorders>
              <w:top w:val="single" w:sz="4" w:space="0" w:color="auto"/>
              <w:left w:val="nil"/>
              <w:bottom w:val="single" w:sz="4" w:space="0" w:color="auto"/>
              <w:right w:val="single" w:sz="4" w:space="0" w:color="auto"/>
            </w:tcBorders>
            <w:vAlign w:val="center"/>
            <w:hideMark/>
          </w:tcPr>
          <w:p w14:paraId="016A8FF4" w14:textId="77777777" w:rsidR="00EC492E" w:rsidRPr="00824D31" w:rsidRDefault="00EC492E" w:rsidP="00041D42">
            <w:pPr>
              <w:ind w:firstLine="0"/>
            </w:pPr>
            <w:r w:rsidRPr="00824D31">
              <w:t>Гидрометеорологические станции, фотометрические будки, мареографы</w:t>
            </w:r>
          </w:p>
        </w:tc>
        <w:tc>
          <w:tcPr>
            <w:tcW w:w="1227" w:type="dxa"/>
            <w:tcBorders>
              <w:top w:val="single" w:sz="4" w:space="0" w:color="auto"/>
              <w:left w:val="nil"/>
              <w:bottom w:val="single" w:sz="4" w:space="0" w:color="auto"/>
              <w:right w:val="single" w:sz="4" w:space="0" w:color="auto"/>
            </w:tcBorders>
            <w:noWrap/>
            <w:vAlign w:val="center"/>
            <w:hideMark/>
          </w:tcPr>
          <w:p w14:paraId="70212581" w14:textId="77777777" w:rsidR="00EC492E" w:rsidRPr="00824D31" w:rsidRDefault="00EC492E" w:rsidP="00041D42">
            <w:pPr>
              <w:ind w:firstLine="0"/>
              <w:jc w:val="center"/>
            </w:pPr>
            <w:r w:rsidRPr="00824D31">
              <w:t>157</w:t>
            </w:r>
          </w:p>
        </w:tc>
        <w:tc>
          <w:tcPr>
            <w:tcW w:w="1276" w:type="dxa"/>
            <w:tcBorders>
              <w:top w:val="single" w:sz="4" w:space="0" w:color="auto"/>
              <w:left w:val="nil"/>
              <w:bottom w:val="single" w:sz="4" w:space="0" w:color="auto"/>
              <w:right w:val="single" w:sz="4" w:space="0" w:color="auto"/>
            </w:tcBorders>
            <w:noWrap/>
            <w:vAlign w:val="center"/>
            <w:hideMark/>
          </w:tcPr>
          <w:p w14:paraId="42A8C9F7" w14:textId="77777777" w:rsidR="00EC492E" w:rsidRPr="00824D31" w:rsidRDefault="00EC492E" w:rsidP="00041D42">
            <w:pPr>
              <w:ind w:firstLine="0"/>
              <w:jc w:val="center"/>
            </w:pPr>
            <w:r w:rsidRPr="00824D31">
              <w:t>1,88%</w:t>
            </w:r>
          </w:p>
        </w:tc>
      </w:tr>
      <w:tr w:rsidR="00EC492E" w:rsidRPr="00824D31" w14:paraId="49B3F786" w14:textId="77777777" w:rsidTr="009E18B2">
        <w:trPr>
          <w:trHeight w:val="510"/>
        </w:trPr>
        <w:tc>
          <w:tcPr>
            <w:tcW w:w="1843" w:type="dxa"/>
            <w:vMerge/>
            <w:tcBorders>
              <w:top w:val="single" w:sz="4" w:space="0" w:color="auto"/>
              <w:left w:val="single" w:sz="4" w:space="0" w:color="auto"/>
              <w:bottom w:val="single" w:sz="4" w:space="0" w:color="auto"/>
              <w:right w:val="single" w:sz="4" w:space="0" w:color="auto"/>
            </w:tcBorders>
            <w:vAlign w:val="center"/>
            <w:hideMark/>
          </w:tcPr>
          <w:p w14:paraId="4A4CAB7D" w14:textId="77777777" w:rsidR="00EC492E" w:rsidRPr="00824D31" w:rsidRDefault="00EC492E" w:rsidP="00EC492E"/>
        </w:tc>
        <w:tc>
          <w:tcPr>
            <w:tcW w:w="1344" w:type="dxa"/>
            <w:tcBorders>
              <w:top w:val="single" w:sz="4" w:space="0" w:color="auto"/>
              <w:left w:val="nil"/>
              <w:bottom w:val="single" w:sz="4" w:space="0" w:color="auto"/>
              <w:right w:val="single" w:sz="4" w:space="0" w:color="auto"/>
            </w:tcBorders>
            <w:noWrap/>
            <w:vAlign w:val="bottom"/>
            <w:hideMark/>
          </w:tcPr>
          <w:p w14:paraId="7A5BC987" w14:textId="77777777" w:rsidR="00EC492E" w:rsidRPr="00824D31" w:rsidRDefault="00EC492E" w:rsidP="00041D42">
            <w:pPr>
              <w:ind w:firstLine="0"/>
            </w:pPr>
            <w:r w:rsidRPr="00824D31">
              <w:t>907</w:t>
            </w:r>
          </w:p>
        </w:tc>
        <w:tc>
          <w:tcPr>
            <w:tcW w:w="3617" w:type="dxa"/>
            <w:tcBorders>
              <w:top w:val="single" w:sz="4" w:space="0" w:color="auto"/>
              <w:left w:val="nil"/>
              <w:bottom w:val="single" w:sz="4" w:space="0" w:color="auto"/>
              <w:right w:val="single" w:sz="4" w:space="0" w:color="auto"/>
            </w:tcBorders>
            <w:vAlign w:val="center"/>
            <w:hideMark/>
          </w:tcPr>
          <w:p w14:paraId="2E4F2832" w14:textId="77777777" w:rsidR="00EC492E" w:rsidRPr="00824D31" w:rsidRDefault="00EC492E" w:rsidP="00041D42">
            <w:pPr>
              <w:ind w:firstLine="0"/>
            </w:pPr>
            <w:r w:rsidRPr="00824D31">
              <w:t>Прочие объекты и объекты вспомогательного назначения, отнесение которых к другим группам невозможно</w:t>
            </w:r>
          </w:p>
        </w:tc>
        <w:tc>
          <w:tcPr>
            <w:tcW w:w="1227" w:type="dxa"/>
            <w:tcBorders>
              <w:top w:val="single" w:sz="4" w:space="0" w:color="auto"/>
              <w:left w:val="nil"/>
              <w:bottom w:val="single" w:sz="4" w:space="0" w:color="auto"/>
              <w:right w:val="single" w:sz="4" w:space="0" w:color="auto"/>
            </w:tcBorders>
            <w:noWrap/>
            <w:vAlign w:val="center"/>
            <w:hideMark/>
          </w:tcPr>
          <w:p w14:paraId="2DC5CC39" w14:textId="77777777" w:rsidR="00EC492E" w:rsidRPr="00824D31" w:rsidRDefault="00EC492E" w:rsidP="00041D42">
            <w:pPr>
              <w:ind w:firstLine="0"/>
              <w:jc w:val="center"/>
            </w:pPr>
            <w:r w:rsidRPr="00824D31">
              <w:t>6974</w:t>
            </w:r>
          </w:p>
        </w:tc>
        <w:tc>
          <w:tcPr>
            <w:tcW w:w="1276" w:type="dxa"/>
            <w:tcBorders>
              <w:top w:val="single" w:sz="4" w:space="0" w:color="auto"/>
              <w:left w:val="nil"/>
              <w:bottom w:val="single" w:sz="4" w:space="0" w:color="auto"/>
              <w:right w:val="single" w:sz="4" w:space="0" w:color="auto"/>
            </w:tcBorders>
            <w:noWrap/>
            <w:vAlign w:val="center"/>
            <w:hideMark/>
          </w:tcPr>
          <w:p w14:paraId="18387A2E" w14:textId="77777777" w:rsidR="00EC492E" w:rsidRPr="00824D31" w:rsidRDefault="00EC492E" w:rsidP="00041D42">
            <w:pPr>
              <w:ind w:firstLine="0"/>
              <w:jc w:val="center"/>
            </w:pPr>
            <w:r w:rsidRPr="00824D31">
              <w:t>83,60%</w:t>
            </w:r>
          </w:p>
        </w:tc>
      </w:tr>
      <w:tr w:rsidR="00EC492E" w:rsidRPr="00824D31" w14:paraId="0C09826E" w14:textId="77777777" w:rsidTr="009E18B2">
        <w:trPr>
          <w:trHeight w:val="255"/>
        </w:trPr>
        <w:tc>
          <w:tcPr>
            <w:tcW w:w="1843" w:type="dxa"/>
            <w:vMerge/>
            <w:tcBorders>
              <w:top w:val="single" w:sz="4" w:space="0" w:color="auto"/>
              <w:left w:val="single" w:sz="4" w:space="0" w:color="auto"/>
              <w:bottom w:val="single" w:sz="4" w:space="0" w:color="auto"/>
              <w:right w:val="single" w:sz="4" w:space="0" w:color="auto"/>
            </w:tcBorders>
            <w:vAlign w:val="center"/>
            <w:hideMark/>
          </w:tcPr>
          <w:p w14:paraId="182BAE18" w14:textId="77777777" w:rsidR="00EC492E" w:rsidRPr="00824D31" w:rsidRDefault="00EC492E" w:rsidP="00EC492E"/>
        </w:tc>
        <w:tc>
          <w:tcPr>
            <w:tcW w:w="1344" w:type="dxa"/>
            <w:tcBorders>
              <w:top w:val="single" w:sz="4" w:space="0" w:color="auto"/>
              <w:left w:val="nil"/>
              <w:bottom w:val="single" w:sz="4" w:space="0" w:color="auto"/>
              <w:right w:val="single" w:sz="4" w:space="0" w:color="auto"/>
            </w:tcBorders>
            <w:noWrap/>
            <w:vAlign w:val="bottom"/>
            <w:hideMark/>
          </w:tcPr>
          <w:p w14:paraId="5EC27D19" w14:textId="77777777" w:rsidR="00EC492E" w:rsidRPr="00824D31" w:rsidRDefault="00EC492E" w:rsidP="00041D42">
            <w:pPr>
              <w:ind w:firstLine="0"/>
            </w:pPr>
            <w:r w:rsidRPr="00824D31">
              <w:t>908</w:t>
            </w:r>
          </w:p>
        </w:tc>
        <w:tc>
          <w:tcPr>
            <w:tcW w:w="3617" w:type="dxa"/>
            <w:tcBorders>
              <w:top w:val="single" w:sz="4" w:space="0" w:color="auto"/>
              <w:left w:val="nil"/>
              <w:bottom w:val="single" w:sz="4" w:space="0" w:color="auto"/>
              <w:right w:val="single" w:sz="4" w:space="0" w:color="auto"/>
            </w:tcBorders>
            <w:vAlign w:val="bottom"/>
            <w:hideMark/>
          </w:tcPr>
          <w:p w14:paraId="664612A1" w14:textId="77777777" w:rsidR="00EC492E" w:rsidRPr="00824D31" w:rsidRDefault="00EC492E" w:rsidP="00041D42">
            <w:pPr>
              <w:ind w:firstLine="0"/>
            </w:pPr>
            <w:r w:rsidRPr="00824D31">
              <w:t>Пилорамы</w:t>
            </w:r>
          </w:p>
        </w:tc>
        <w:tc>
          <w:tcPr>
            <w:tcW w:w="1227" w:type="dxa"/>
            <w:tcBorders>
              <w:top w:val="single" w:sz="4" w:space="0" w:color="auto"/>
              <w:left w:val="nil"/>
              <w:bottom w:val="single" w:sz="4" w:space="0" w:color="auto"/>
              <w:right w:val="single" w:sz="4" w:space="0" w:color="auto"/>
            </w:tcBorders>
            <w:noWrap/>
            <w:vAlign w:val="center"/>
            <w:hideMark/>
          </w:tcPr>
          <w:p w14:paraId="29458F91" w14:textId="77777777" w:rsidR="00EC492E" w:rsidRPr="00824D31" w:rsidRDefault="00EC492E" w:rsidP="00041D42">
            <w:pPr>
              <w:ind w:firstLine="0"/>
              <w:jc w:val="center"/>
            </w:pPr>
            <w:r w:rsidRPr="00824D31">
              <w:t>400</w:t>
            </w:r>
          </w:p>
        </w:tc>
        <w:tc>
          <w:tcPr>
            <w:tcW w:w="1276" w:type="dxa"/>
            <w:tcBorders>
              <w:top w:val="single" w:sz="4" w:space="0" w:color="auto"/>
              <w:left w:val="nil"/>
              <w:bottom w:val="single" w:sz="4" w:space="0" w:color="auto"/>
              <w:right w:val="single" w:sz="4" w:space="0" w:color="auto"/>
            </w:tcBorders>
            <w:noWrap/>
            <w:vAlign w:val="center"/>
            <w:hideMark/>
          </w:tcPr>
          <w:p w14:paraId="6CA188C9" w14:textId="77777777" w:rsidR="00EC492E" w:rsidRPr="00824D31" w:rsidRDefault="00EC492E" w:rsidP="00041D42">
            <w:pPr>
              <w:ind w:firstLine="0"/>
              <w:jc w:val="center"/>
            </w:pPr>
            <w:r w:rsidRPr="00824D31">
              <w:t>4,80%</w:t>
            </w:r>
          </w:p>
        </w:tc>
      </w:tr>
      <w:tr w:rsidR="00EC492E" w:rsidRPr="00824D31" w14:paraId="4672C5D6" w14:textId="77777777" w:rsidTr="009E18B2">
        <w:trPr>
          <w:trHeight w:val="255"/>
        </w:trPr>
        <w:tc>
          <w:tcPr>
            <w:tcW w:w="1843" w:type="dxa"/>
            <w:vMerge/>
            <w:tcBorders>
              <w:top w:val="single" w:sz="4" w:space="0" w:color="auto"/>
              <w:left w:val="single" w:sz="4" w:space="0" w:color="auto"/>
              <w:bottom w:val="single" w:sz="4" w:space="0" w:color="auto"/>
              <w:right w:val="single" w:sz="4" w:space="0" w:color="auto"/>
            </w:tcBorders>
            <w:vAlign w:val="center"/>
            <w:hideMark/>
          </w:tcPr>
          <w:p w14:paraId="63DD6FBB" w14:textId="77777777" w:rsidR="00EC492E" w:rsidRPr="00824D31" w:rsidRDefault="00EC492E" w:rsidP="00EC492E"/>
        </w:tc>
        <w:tc>
          <w:tcPr>
            <w:tcW w:w="1344" w:type="dxa"/>
            <w:tcBorders>
              <w:top w:val="single" w:sz="4" w:space="0" w:color="auto"/>
              <w:left w:val="nil"/>
              <w:bottom w:val="single" w:sz="4" w:space="0" w:color="auto"/>
              <w:right w:val="single" w:sz="4" w:space="0" w:color="auto"/>
            </w:tcBorders>
            <w:noWrap/>
            <w:vAlign w:val="bottom"/>
            <w:hideMark/>
          </w:tcPr>
          <w:p w14:paraId="4114347F" w14:textId="77777777" w:rsidR="00EC492E" w:rsidRPr="00824D31" w:rsidRDefault="00EC492E" w:rsidP="00041D42">
            <w:pPr>
              <w:ind w:firstLine="0"/>
            </w:pPr>
            <w:r w:rsidRPr="00824D31">
              <w:t> </w:t>
            </w:r>
          </w:p>
        </w:tc>
        <w:tc>
          <w:tcPr>
            <w:tcW w:w="3617" w:type="dxa"/>
            <w:tcBorders>
              <w:top w:val="single" w:sz="4" w:space="0" w:color="auto"/>
              <w:left w:val="nil"/>
              <w:bottom w:val="single" w:sz="4" w:space="0" w:color="auto"/>
              <w:right w:val="single" w:sz="4" w:space="0" w:color="auto"/>
            </w:tcBorders>
            <w:noWrap/>
            <w:vAlign w:val="bottom"/>
            <w:hideMark/>
          </w:tcPr>
          <w:p w14:paraId="3F2EC4A1" w14:textId="77777777" w:rsidR="00EC492E" w:rsidRPr="00824D31" w:rsidRDefault="00EC492E" w:rsidP="00041D42">
            <w:pPr>
              <w:ind w:firstLine="0"/>
            </w:pPr>
            <w:r w:rsidRPr="00824D31">
              <w:t>ИТОГО</w:t>
            </w:r>
          </w:p>
        </w:tc>
        <w:tc>
          <w:tcPr>
            <w:tcW w:w="1227" w:type="dxa"/>
            <w:tcBorders>
              <w:top w:val="single" w:sz="4" w:space="0" w:color="auto"/>
              <w:left w:val="nil"/>
              <w:bottom w:val="single" w:sz="4" w:space="0" w:color="auto"/>
              <w:right w:val="single" w:sz="4" w:space="0" w:color="auto"/>
            </w:tcBorders>
            <w:noWrap/>
            <w:vAlign w:val="center"/>
            <w:hideMark/>
          </w:tcPr>
          <w:p w14:paraId="003A1BD3" w14:textId="77777777" w:rsidR="00EC492E" w:rsidRPr="00824D31" w:rsidRDefault="00EC492E" w:rsidP="00041D42">
            <w:pPr>
              <w:ind w:firstLine="0"/>
              <w:jc w:val="center"/>
            </w:pPr>
            <w:r w:rsidRPr="00824D31">
              <w:t>8342</w:t>
            </w:r>
          </w:p>
        </w:tc>
        <w:tc>
          <w:tcPr>
            <w:tcW w:w="1276" w:type="dxa"/>
            <w:tcBorders>
              <w:top w:val="single" w:sz="4" w:space="0" w:color="auto"/>
              <w:left w:val="nil"/>
              <w:bottom w:val="single" w:sz="4" w:space="0" w:color="auto"/>
              <w:right w:val="single" w:sz="4" w:space="0" w:color="auto"/>
            </w:tcBorders>
            <w:noWrap/>
            <w:vAlign w:val="center"/>
            <w:hideMark/>
          </w:tcPr>
          <w:p w14:paraId="504A1E21" w14:textId="77777777" w:rsidR="00EC492E" w:rsidRPr="00824D31" w:rsidRDefault="00EC492E" w:rsidP="00041D42">
            <w:pPr>
              <w:ind w:firstLine="0"/>
              <w:jc w:val="center"/>
            </w:pPr>
            <w:r w:rsidRPr="00824D31">
              <w:t>100,00%</w:t>
            </w:r>
          </w:p>
        </w:tc>
      </w:tr>
    </w:tbl>
    <w:p w14:paraId="3C1C6F8B" w14:textId="77777777" w:rsidR="00EC492E" w:rsidRPr="00824D31" w:rsidRDefault="00EC492E" w:rsidP="00EC492E"/>
    <w:p w14:paraId="29F0084E" w14:textId="77777777" w:rsidR="00EC492E" w:rsidRPr="00824D31" w:rsidRDefault="00EC492E" w:rsidP="00EC492E">
      <w:r w:rsidRPr="00824D31">
        <w:t>Основную часть Объектов рассматриваемой группы составляют «Прочие объекты и объекты вспомогательного назначения, отнесение которых к другим группам невозможно» - 83,60%.</w:t>
      </w:r>
    </w:p>
    <w:p w14:paraId="787B65E2" w14:textId="77777777" w:rsidR="00EC492E" w:rsidRPr="00824D31" w:rsidRDefault="00EC492E" w:rsidP="00EC492E">
      <w:r w:rsidRPr="00824D31">
        <w:t>Объекты недвижимости 9 группы были разбиты на подгруппы по следующим критериям:</w:t>
      </w:r>
    </w:p>
    <w:p w14:paraId="31008F3B" w14:textId="77777777" w:rsidR="00EC492E" w:rsidRPr="00824D31" w:rsidRDefault="00EC492E" w:rsidP="00EC492E">
      <w:r w:rsidRPr="00824D31">
        <w:t>1. В зависимости от степени готовности объекта:</w:t>
      </w:r>
    </w:p>
    <w:p w14:paraId="7D839549" w14:textId="77777777" w:rsidR="00EC492E" w:rsidRPr="00824D31" w:rsidRDefault="00EC492E" w:rsidP="00EC492E">
      <w:r w:rsidRPr="00824D31">
        <w:t xml:space="preserve">- объекты, строительство которых завершено (здания, помещения, сооружения); </w:t>
      </w:r>
    </w:p>
    <w:p w14:paraId="3C02FCF8" w14:textId="77777777" w:rsidR="00EC492E" w:rsidRPr="00824D31" w:rsidRDefault="00EC492E" w:rsidP="00EC492E">
      <w:r w:rsidRPr="00824D31">
        <w:t>-объекты незавершенного строительства.</w:t>
      </w:r>
    </w:p>
    <w:p w14:paraId="59AF7BDA" w14:textId="77777777" w:rsidR="00EC492E" w:rsidRPr="00824D31" w:rsidRDefault="00EC492E" w:rsidP="00EC492E">
      <w:r w:rsidRPr="00824D31">
        <w:t>2. в зависимости от местоположения:</w:t>
      </w:r>
    </w:p>
    <w:p w14:paraId="3C2F3828" w14:textId="77777777" w:rsidR="00EC492E" w:rsidRPr="00824D31" w:rsidRDefault="00EC492E" w:rsidP="00EC492E">
      <w:r w:rsidRPr="00824D31">
        <w:t>- объекты, точное местоположение которых возможно установить;</w:t>
      </w:r>
    </w:p>
    <w:p w14:paraId="7A8A27D3" w14:textId="77777777" w:rsidR="00EC492E" w:rsidRPr="00824D31" w:rsidRDefault="00EC492E" w:rsidP="00EC492E">
      <w:r w:rsidRPr="00824D31">
        <w:t xml:space="preserve">- объекты, точное местоположение которых невозможно установить. </w:t>
      </w:r>
    </w:p>
    <w:p w14:paraId="2126CCEE" w14:textId="519045DA" w:rsidR="00EC492E" w:rsidRPr="00824D31" w:rsidRDefault="00EC492E" w:rsidP="00EC492E">
      <w:r w:rsidRPr="00824D31">
        <w:t>В подгруппу объектов, точное местоположени</w:t>
      </w:r>
      <w:r w:rsidR="005A6F55">
        <w:t xml:space="preserve">е которых возможно установить, </w:t>
      </w:r>
      <w:r w:rsidRPr="00824D31">
        <w:t>относятся объекты, местоположение которых:</w:t>
      </w:r>
    </w:p>
    <w:p w14:paraId="689082ED" w14:textId="77777777" w:rsidR="00EC492E" w:rsidRPr="00824D31" w:rsidRDefault="00EC492E" w:rsidP="00EC492E">
      <w:r w:rsidRPr="00824D31">
        <w:t>- возможно установить до уровня дома;</w:t>
      </w:r>
    </w:p>
    <w:p w14:paraId="0AFBAE58" w14:textId="77777777" w:rsidR="00EC492E" w:rsidRPr="00824D31" w:rsidRDefault="00EC492E" w:rsidP="00EC492E">
      <w:r w:rsidRPr="00824D31">
        <w:t>- возможно установить до уровня улицы;</w:t>
      </w:r>
    </w:p>
    <w:p w14:paraId="745C1D30" w14:textId="77777777" w:rsidR="00EC492E" w:rsidRPr="00824D31" w:rsidRDefault="00EC492E" w:rsidP="00EC492E">
      <w:r w:rsidRPr="00824D31">
        <w:t>- возможно установить до уровня кадастрового квартала.</w:t>
      </w:r>
    </w:p>
    <w:p w14:paraId="0CD8B5A0" w14:textId="77777777" w:rsidR="00EC492E" w:rsidRPr="00824D31" w:rsidRDefault="00EC492E" w:rsidP="00EC492E">
      <w:r w:rsidRPr="00824D31">
        <w:t>При этом для объектов, расположенных в сельских населенных пунктах, отнесенных в подгруппу объектов, точное местоположение которых возможно установить, допустимым является установление местоположения до уровня населенного пункта.</w:t>
      </w:r>
    </w:p>
    <w:p w14:paraId="70BC5FEA" w14:textId="77777777" w:rsidR="00EC492E" w:rsidRPr="00824D31" w:rsidRDefault="00EC492E" w:rsidP="00EC492E">
      <w:r w:rsidRPr="00824D31">
        <w:t>К подгруппе объектов, точное местоположение которых невозможно установить, относятся объекты, местоположение которых:</w:t>
      </w:r>
    </w:p>
    <w:p w14:paraId="05B874F8" w14:textId="77777777" w:rsidR="00EC492E" w:rsidRPr="00824D31" w:rsidRDefault="00EC492E" w:rsidP="00EC492E">
      <w:r w:rsidRPr="00824D31">
        <w:t>- возможно установить только до уровня муниципального образования;</w:t>
      </w:r>
    </w:p>
    <w:p w14:paraId="106C035F" w14:textId="77777777" w:rsidR="00EC492E" w:rsidRPr="00824D31" w:rsidRDefault="00EC492E" w:rsidP="00EC492E">
      <w:r w:rsidRPr="00824D31">
        <w:t>- возможно установить только до уровня субъекта Российской Федерации.</w:t>
      </w:r>
    </w:p>
    <w:p w14:paraId="1ACA0C9C" w14:textId="77777777" w:rsidR="00EC492E" w:rsidRPr="00824D31" w:rsidRDefault="00EC492E" w:rsidP="00EC492E">
      <w:r w:rsidRPr="00824D31">
        <w:t>3. В зависимости от статуса населенного пункта разделение на группы (подгруппы) производилось по принципу:</w:t>
      </w:r>
    </w:p>
    <w:p w14:paraId="54527FE2" w14:textId="77777777" w:rsidR="00EC492E" w:rsidRPr="00824D31" w:rsidRDefault="00EC492E" w:rsidP="00EC492E">
      <w:r w:rsidRPr="00824D31">
        <w:t>- объекты, расположенные в столице субъекта Российской Федерации;</w:t>
      </w:r>
    </w:p>
    <w:p w14:paraId="7C00D851" w14:textId="77777777" w:rsidR="00EC492E" w:rsidRPr="00824D31" w:rsidRDefault="00EC492E" w:rsidP="00EC492E">
      <w:r w:rsidRPr="00824D31">
        <w:t>- объекты, расположенные в прочих городских населенных пунктах;</w:t>
      </w:r>
    </w:p>
    <w:p w14:paraId="477785C0" w14:textId="77777777" w:rsidR="00EC492E" w:rsidRPr="00824D31" w:rsidRDefault="00EC492E" w:rsidP="00EC492E">
      <w:r w:rsidRPr="00824D31">
        <w:t>- объекты, расположенные в сельских населенных пунктах;</w:t>
      </w:r>
    </w:p>
    <w:p w14:paraId="4F52E6FF" w14:textId="77777777" w:rsidR="00EC492E" w:rsidRPr="00824D31" w:rsidRDefault="00EC492E" w:rsidP="00EC492E">
      <w:r w:rsidRPr="00824D31">
        <w:t>-  объекты, расположенные вне черты населенных пунктов.</w:t>
      </w:r>
    </w:p>
    <w:p w14:paraId="3A74B315" w14:textId="77777777" w:rsidR="00EC492E" w:rsidRPr="00824D31" w:rsidRDefault="00EC492E" w:rsidP="00EC492E">
      <w:bookmarkStart w:id="96" w:name="_Toc466639856"/>
      <w:bookmarkStart w:id="97" w:name="_Toc339302520"/>
      <w:r w:rsidRPr="00824D31">
        <w:t xml:space="preserve">Выделенные на оцениваемой территории группы объектов оценки соответствуют следующим требованиям: </w:t>
      </w:r>
    </w:p>
    <w:p w14:paraId="2A06FC6E" w14:textId="77777777" w:rsidR="00EC492E" w:rsidRPr="00824D31" w:rsidRDefault="00EC492E" w:rsidP="00EC492E">
      <w:r w:rsidRPr="00824D31">
        <w:t>- однородны с точки зрения значений (диапазонов значений) ценообразующих факторов;</w:t>
      </w:r>
    </w:p>
    <w:p w14:paraId="690ECC98" w14:textId="77777777" w:rsidR="00EC492E" w:rsidRPr="00824D31" w:rsidRDefault="00EC492E" w:rsidP="00EC492E">
      <w:r w:rsidRPr="00824D31">
        <w:t>- полностью покрывают группу объектов оценки (каждый объект оценки должен быть отнесен к какой-либо группе/подгруппе);</w:t>
      </w:r>
    </w:p>
    <w:p w14:paraId="77CBCBBE" w14:textId="77777777" w:rsidR="00EC492E" w:rsidRPr="00824D31" w:rsidRDefault="00EC492E" w:rsidP="00EC492E">
      <w:r w:rsidRPr="00824D31">
        <w:t>- не пересекаются - объект оценки может быть отнесен только к одной группе/подгруппе.</w:t>
      </w:r>
    </w:p>
    <w:p w14:paraId="605420C6" w14:textId="77777777" w:rsidR="00EC492E" w:rsidRPr="00824D31" w:rsidRDefault="00EC492E" w:rsidP="00EC492E">
      <w:r w:rsidRPr="00824D31">
        <w:t xml:space="preserve">Представленная группировка позволяет объединить объекты недвижимости по общности признаков со схожими принципами ценообразования и примерно одинаковым уровнем цен на объекты недвижимости. </w:t>
      </w:r>
    </w:p>
    <w:p w14:paraId="167A2360" w14:textId="77777777" w:rsidR="00EC492E" w:rsidRPr="00824D31" w:rsidRDefault="00EC492E" w:rsidP="00EC492E"/>
    <w:p w14:paraId="66ABCC60" w14:textId="77777777" w:rsidR="00EC492E" w:rsidRPr="008F16D6" w:rsidRDefault="00EC492E" w:rsidP="00EC492E">
      <w:pPr>
        <w:rPr>
          <w:b/>
        </w:rPr>
      </w:pPr>
      <w:r w:rsidRPr="008F16D6">
        <w:rPr>
          <w:b/>
        </w:rPr>
        <w:t>10 группа «Сооружения»</w:t>
      </w:r>
      <w:bookmarkEnd w:id="96"/>
      <w:bookmarkEnd w:id="97"/>
    </w:p>
    <w:p w14:paraId="67CC690C" w14:textId="77777777" w:rsidR="00EC492E" w:rsidRPr="00824D31" w:rsidRDefault="00EC492E" w:rsidP="00EC492E"/>
    <w:p w14:paraId="27E6D9F6" w14:textId="77777777" w:rsidR="00EC492E" w:rsidRPr="00824D31" w:rsidRDefault="00EC492E" w:rsidP="00EC492E">
      <w:r w:rsidRPr="00824D31">
        <w:t>К объектам 10 группы относятся:</w:t>
      </w:r>
    </w:p>
    <w:p w14:paraId="5E447BB8" w14:textId="77777777" w:rsidR="00EC492E" w:rsidRPr="00824D31" w:rsidRDefault="00EC492E" w:rsidP="00EC492E">
      <w:r w:rsidRPr="00824D31">
        <w:t>- аттракционные сооружения;</w:t>
      </w:r>
    </w:p>
    <w:p w14:paraId="044B3B62" w14:textId="77777777" w:rsidR="00EC492E" w:rsidRPr="00824D31" w:rsidRDefault="00EC492E" w:rsidP="00EC492E">
      <w:r w:rsidRPr="00824D31">
        <w:t>- башни;</w:t>
      </w:r>
    </w:p>
    <w:p w14:paraId="5531C38A" w14:textId="77777777" w:rsidR="00EC492E" w:rsidRPr="00824D31" w:rsidRDefault="00EC492E" w:rsidP="00EC492E">
      <w:r w:rsidRPr="00824D31">
        <w:t>- мачтовые сооружения, опоры, вышки;</w:t>
      </w:r>
    </w:p>
    <w:p w14:paraId="71277406" w14:textId="77777777" w:rsidR="00EC492E" w:rsidRPr="00824D31" w:rsidRDefault="00EC492E" w:rsidP="00EC492E">
      <w:r w:rsidRPr="00824D31">
        <w:t>- беседки, веранды;</w:t>
      </w:r>
    </w:p>
    <w:p w14:paraId="119B03CB" w14:textId="77777777" w:rsidR="00EC492E" w:rsidRPr="00824D31" w:rsidRDefault="00EC492E" w:rsidP="00EC492E">
      <w:r w:rsidRPr="00824D31">
        <w:t>- гидротехнические сооружения;</w:t>
      </w:r>
    </w:p>
    <w:p w14:paraId="02ED2EBC" w14:textId="77777777" w:rsidR="00EC492E" w:rsidRPr="00824D31" w:rsidRDefault="00EC492E" w:rsidP="00EC492E">
      <w:r w:rsidRPr="00824D31">
        <w:t>- эстакады, рампы;</w:t>
      </w:r>
    </w:p>
    <w:p w14:paraId="6026874F" w14:textId="77777777" w:rsidR="00EC492E" w:rsidRPr="00824D31" w:rsidRDefault="00EC492E" w:rsidP="00EC492E">
      <w:r w:rsidRPr="00824D31">
        <w:t>- емкостные сооружения, резервуары, баки, цистерны, РВС, РГС, жижесборник, жироуловитель;</w:t>
      </w:r>
    </w:p>
    <w:p w14:paraId="4121D790" w14:textId="77777777" w:rsidR="00EC492E" w:rsidRPr="00824D31" w:rsidRDefault="00EC492E" w:rsidP="00EC492E">
      <w:r w:rsidRPr="00824D31">
        <w:t>- бункеры;</w:t>
      </w:r>
    </w:p>
    <w:p w14:paraId="4A579571" w14:textId="77777777" w:rsidR="00EC492E" w:rsidRPr="00824D31" w:rsidRDefault="00EC492E" w:rsidP="00EC492E">
      <w:r w:rsidRPr="00824D31">
        <w:t>- навесы;</w:t>
      </w:r>
    </w:p>
    <w:p w14:paraId="1D0CD9A2" w14:textId="77777777" w:rsidR="00EC492E" w:rsidRPr="00824D31" w:rsidRDefault="00EC492E" w:rsidP="00EC492E">
      <w:r w:rsidRPr="00824D31">
        <w:t>- линии электропередач кабельные, воздушные;</w:t>
      </w:r>
    </w:p>
    <w:p w14:paraId="1105DD91" w14:textId="77777777" w:rsidR="00EC492E" w:rsidRPr="00824D31" w:rsidRDefault="00EC492E" w:rsidP="00EC492E">
      <w:r w:rsidRPr="00824D31">
        <w:t>- сети газораспределительные;</w:t>
      </w:r>
    </w:p>
    <w:p w14:paraId="2911C29E" w14:textId="77777777" w:rsidR="00EC492E" w:rsidRPr="00824D31" w:rsidRDefault="00EC492E" w:rsidP="00EC492E">
      <w:r w:rsidRPr="00824D31">
        <w:t>- сети канализационные;</w:t>
      </w:r>
    </w:p>
    <w:p w14:paraId="2963F10E" w14:textId="77777777" w:rsidR="00EC492E" w:rsidRPr="00824D31" w:rsidRDefault="00EC492E" w:rsidP="00EC492E">
      <w:r w:rsidRPr="00824D31">
        <w:t>- сети водопроводные;</w:t>
      </w:r>
    </w:p>
    <w:p w14:paraId="7A236EC3" w14:textId="77777777" w:rsidR="00EC492E" w:rsidRPr="00824D31" w:rsidRDefault="00EC492E" w:rsidP="00EC492E">
      <w:r w:rsidRPr="00824D31">
        <w:t>- сети тепловые, паропроводы;</w:t>
      </w:r>
    </w:p>
    <w:p w14:paraId="3C5D3663" w14:textId="77777777" w:rsidR="00EC492E" w:rsidRPr="00824D31" w:rsidRDefault="00EC492E" w:rsidP="00EC492E">
      <w:r w:rsidRPr="00824D31">
        <w:t>- фонтаны;</w:t>
      </w:r>
    </w:p>
    <w:p w14:paraId="5EFC3E11" w14:textId="77777777" w:rsidR="00EC492E" w:rsidRPr="00824D31" w:rsidRDefault="00EC492E" w:rsidP="00EC492E">
      <w:r w:rsidRPr="00824D31">
        <w:t>- градирни;</w:t>
      </w:r>
    </w:p>
    <w:p w14:paraId="0DE604AB" w14:textId="77777777" w:rsidR="00EC492E" w:rsidRPr="00824D31" w:rsidRDefault="00EC492E" w:rsidP="00EC492E">
      <w:r w:rsidRPr="00824D31">
        <w:t>- сети инженерные технологические;</w:t>
      </w:r>
    </w:p>
    <w:p w14:paraId="4C4DDC94" w14:textId="77777777" w:rsidR="00EC492E" w:rsidRPr="00824D31" w:rsidRDefault="00EC492E" w:rsidP="00EC492E">
      <w:r w:rsidRPr="00824D31">
        <w:t>- железнодорожные пути;</w:t>
      </w:r>
    </w:p>
    <w:p w14:paraId="6213E60A" w14:textId="77777777" w:rsidR="00EC492E" w:rsidRPr="00824D31" w:rsidRDefault="00EC492E" w:rsidP="00EC492E">
      <w:r w:rsidRPr="00824D31">
        <w:t>- подкрановые пути, железнодорожные рампы, монорельсы;</w:t>
      </w:r>
    </w:p>
    <w:p w14:paraId="306D0A64" w14:textId="77777777" w:rsidR="00EC492E" w:rsidRPr="00824D31" w:rsidRDefault="00EC492E" w:rsidP="00EC492E">
      <w:r w:rsidRPr="00824D31">
        <w:t>- тоннели</w:t>
      </w:r>
    </w:p>
    <w:p w14:paraId="6234625C" w14:textId="77777777" w:rsidR="00EC492E" w:rsidRPr="00824D31" w:rsidRDefault="00EC492E" w:rsidP="00EC492E">
      <w:r w:rsidRPr="00824D31">
        <w:t>- мосты, путепроводы;</w:t>
      </w:r>
    </w:p>
    <w:p w14:paraId="0EAE60EE" w14:textId="77777777" w:rsidR="00EC492E" w:rsidRPr="00824D31" w:rsidRDefault="00EC492E" w:rsidP="00EC492E">
      <w:r w:rsidRPr="00824D31">
        <w:t>- связи сооружения линейно-кабельные, КИП;</w:t>
      </w:r>
    </w:p>
    <w:p w14:paraId="52C94774" w14:textId="77777777" w:rsidR="00EC492E" w:rsidRPr="00824D31" w:rsidRDefault="00EC492E" w:rsidP="00EC492E">
      <w:r w:rsidRPr="00824D31">
        <w:t>- сети трубопроводы магистральные;</w:t>
      </w:r>
    </w:p>
    <w:p w14:paraId="0EC70170" w14:textId="77777777" w:rsidR="00EC492E" w:rsidRPr="00824D31" w:rsidRDefault="00EC492E" w:rsidP="00EC492E">
      <w:r w:rsidRPr="00824D31">
        <w:t>- переходы надземные, подземные;</w:t>
      </w:r>
    </w:p>
    <w:p w14:paraId="038EE66E" w14:textId="77777777" w:rsidR="00EC492E" w:rsidRPr="00824D31" w:rsidRDefault="00EC492E" w:rsidP="00EC492E">
      <w:r w:rsidRPr="00824D31">
        <w:t>- автомобильные дороги, дорожки, площадки, покрытия;</w:t>
      </w:r>
    </w:p>
    <w:p w14:paraId="1C2ABB0B" w14:textId="77777777" w:rsidR="00EC492E" w:rsidRPr="00824D31" w:rsidRDefault="00EC492E" w:rsidP="00EC492E">
      <w:r w:rsidRPr="00824D31">
        <w:t>- силосные траншеи, ямы;</w:t>
      </w:r>
    </w:p>
    <w:p w14:paraId="2E564780" w14:textId="77777777" w:rsidR="00EC492E" w:rsidRPr="00824D31" w:rsidRDefault="00EC492E" w:rsidP="00EC492E">
      <w:r w:rsidRPr="00824D31">
        <w:t>- скважины артезианские;</w:t>
      </w:r>
    </w:p>
    <w:p w14:paraId="3F01BD4F" w14:textId="77777777" w:rsidR="00EC492E" w:rsidRPr="00824D31" w:rsidRDefault="00EC492E" w:rsidP="00EC492E">
      <w:r w:rsidRPr="00824D31">
        <w:t>- колодцы;</w:t>
      </w:r>
    </w:p>
    <w:p w14:paraId="40C8684D" w14:textId="77777777" w:rsidR="00EC492E" w:rsidRPr="00824D31" w:rsidRDefault="00EC492E" w:rsidP="00EC492E">
      <w:r w:rsidRPr="00824D31">
        <w:t>- водоемы и пруды, лагуны;</w:t>
      </w:r>
    </w:p>
    <w:p w14:paraId="63561B53" w14:textId="77777777" w:rsidR="00EC492E" w:rsidRPr="00824D31" w:rsidRDefault="00EC492E" w:rsidP="00EC492E">
      <w:r w:rsidRPr="00824D31">
        <w:t>- ограждения, подпорные стенки, брандмауэр, стены;</w:t>
      </w:r>
    </w:p>
    <w:p w14:paraId="796338AF" w14:textId="77777777" w:rsidR="00EC492E" w:rsidRPr="00824D31" w:rsidRDefault="00EC492E" w:rsidP="00EC492E">
      <w:r w:rsidRPr="00824D31">
        <w:t>- отстойники канализационные, песколовки, аэротенки, иловые площадки, нефтяные амбары;</w:t>
      </w:r>
    </w:p>
    <w:p w14:paraId="6E82833D" w14:textId="77777777" w:rsidR="00EC492E" w:rsidRPr="00824D31" w:rsidRDefault="00EC492E" w:rsidP="00EC492E">
      <w:r w:rsidRPr="00824D31">
        <w:t>- нефтяные, газовые скважины, месторождения, приямки;</w:t>
      </w:r>
    </w:p>
    <w:p w14:paraId="1FF1AA22" w14:textId="77777777" w:rsidR="00EC492E" w:rsidRPr="00824D31" w:rsidRDefault="00EC492E" w:rsidP="00EC492E">
      <w:r w:rsidRPr="00824D31">
        <w:t>- скотомогильники, биотермические ямы, чешские ямы;</w:t>
      </w:r>
    </w:p>
    <w:p w14:paraId="15188E48" w14:textId="77777777" w:rsidR="00EC492E" w:rsidRPr="00824D31" w:rsidRDefault="00EC492E" w:rsidP="00EC492E">
      <w:r w:rsidRPr="00824D31">
        <w:t>- трубы;</w:t>
      </w:r>
    </w:p>
    <w:p w14:paraId="6A170EE9" w14:textId="77777777" w:rsidR="00EC492E" w:rsidRPr="00824D31" w:rsidRDefault="00EC492E" w:rsidP="00EC492E">
      <w:r w:rsidRPr="00824D31">
        <w:t>- нефтепроводы, коллекторы;</w:t>
      </w:r>
    </w:p>
    <w:p w14:paraId="11A3E7AD" w14:textId="77777777" w:rsidR="00EC492E" w:rsidRPr="00824D31" w:rsidRDefault="00EC492E" w:rsidP="00EC492E">
      <w:r w:rsidRPr="00824D31">
        <w:t>- взлетно-посадочные полосы, вертолетные площадки;</w:t>
      </w:r>
    </w:p>
    <w:p w14:paraId="57FB81F5" w14:textId="77777777" w:rsidR="00EC492E" w:rsidRPr="00824D31" w:rsidRDefault="00EC492E" w:rsidP="00EC492E">
      <w:r w:rsidRPr="00824D31">
        <w:t>- электрохимзащита, электрообогрев, заземление, станции электрохимзащиты, станции катодной защиты;</w:t>
      </w:r>
    </w:p>
    <w:p w14:paraId="66B570FD" w14:textId="77777777" w:rsidR="00EC492E" w:rsidRPr="00824D31" w:rsidRDefault="00EC492E" w:rsidP="00EC492E">
      <w:r w:rsidRPr="00824D31">
        <w:t>- ТБО, кладбища, шламоотвалы, солеотвалы;</w:t>
      </w:r>
    </w:p>
    <w:p w14:paraId="59BC83B5" w14:textId="77777777" w:rsidR="00EC492E" w:rsidRPr="00824D31" w:rsidRDefault="00EC492E" w:rsidP="00EC492E">
      <w:r w:rsidRPr="00824D31">
        <w:t>- фундаменты, постаменты, пандусы, откосы;</w:t>
      </w:r>
    </w:p>
    <w:p w14:paraId="3015A2E0" w14:textId="77777777" w:rsidR="00EC492E" w:rsidRPr="00824D31" w:rsidRDefault="00EC492E" w:rsidP="00EC492E">
      <w:r w:rsidRPr="00824D31">
        <w:t>- галереи, конвейеры, узлы перегрузки, узлы грохочения, бревнотаски, тракты;</w:t>
      </w:r>
    </w:p>
    <w:p w14:paraId="49164956" w14:textId="77777777" w:rsidR="00EC492E" w:rsidRPr="00824D31" w:rsidRDefault="00EC492E" w:rsidP="00EC492E">
      <w:r w:rsidRPr="00824D31">
        <w:t>- дымовае трубы, свечи, факелы;</w:t>
      </w:r>
    </w:p>
    <w:p w14:paraId="77083989" w14:textId="77777777" w:rsidR="00EC492E" w:rsidRPr="00824D31" w:rsidRDefault="00EC492E" w:rsidP="00EC492E">
      <w:r w:rsidRPr="00824D31">
        <w:t>- земельные участки, карьеры, котлованы, намывные территории, загоны, пляжы;</w:t>
      </w:r>
    </w:p>
    <w:p w14:paraId="1194400C" w14:textId="77777777" w:rsidR="00EC492E" w:rsidRPr="00824D31" w:rsidRDefault="00EC492E" w:rsidP="00EC492E">
      <w:r w:rsidRPr="00824D31">
        <w:t>- технологические комплексы;</w:t>
      </w:r>
    </w:p>
    <w:p w14:paraId="7F69C8D3" w14:textId="77777777" w:rsidR="00EC492E" w:rsidRPr="00824D31" w:rsidRDefault="00EC492E" w:rsidP="00EC492E">
      <w:r w:rsidRPr="00824D31">
        <w:t>- нефтеловушки, маслоловушки;</w:t>
      </w:r>
    </w:p>
    <w:p w14:paraId="184A36E6" w14:textId="77777777" w:rsidR="00EC492E" w:rsidRPr="00824D31" w:rsidRDefault="00EC492E" w:rsidP="00EC492E">
      <w:r w:rsidRPr="00824D31">
        <w:t>- каналы, канавы;</w:t>
      </w:r>
    </w:p>
    <w:p w14:paraId="7228CCED" w14:textId="77777777" w:rsidR="00EC492E" w:rsidRPr="00824D31" w:rsidRDefault="00EC492E" w:rsidP="00EC492E">
      <w:r w:rsidRPr="00824D31">
        <w:t>- трубопроводы;</w:t>
      </w:r>
    </w:p>
    <w:p w14:paraId="224A82DB" w14:textId="77777777" w:rsidR="00EC492E" w:rsidRPr="00824D31" w:rsidRDefault="00EC492E" w:rsidP="00EC492E">
      <w:r w:rsidRPr="00824D31">
        <w:t>- шахты, шурфы, коперы;</w:t>
      </w:r>
    </w:p>
    <w:p w14:paraId="1F8ACE9F" w14:textId="77777777" w:rsidR="00EC492E" w:rsidRPr="00824D31" w:rsidRDefault="00EC492E" w:rsidP="00EC492E">
      <w:r w:rsidRPr="00824D31">
        <w:t>- обваловки;</w:t>
      </w:r>
    </w:p>
    <w:p w14:paraId="2B25730B" w14:textId="77777777" w:rsidR="00EC492E" w:rsidRPr="00824D31" w:rsidRDefault="00EC492E" w:rsidP="00EC492E">
      <w:r w:rsidRPr="00824D31">
        <w:t>- блоки колон, атмосферные перегонки;</w:t>
      </w:r>
    </w:p>
    <w:p w14:paraId="56BB3932" w14:textId="77777777" w:rsidR="00EC492E" w:rsidRPr="00824D31" w:rsidRDefault="00EC492E" w:rsidP="00EC492E">
      <w:r w:rsidRPr="00824D31">
        <w:t>- навозохранилища, пометохранилища, битумохранилища, мазутохранилища, глинозапасники;</w:t>
      </w:r>
    </w:p>
    <w:p w14:paraId="678E28F3" w14:textId="77777777" w:rsidR="00EC492E" w:rsidRPr="00824D31" w:rsidRDefault="00EC492E" w:rsidP="00EC492E">
      <w:r w:rsidRPr="00824D31">
        <w:t>- подъемники, канатные дороги;</w:t>
      </w:r>
    </w:p>
    <w:p w14:paraId="53C5E0CC" w14:textId="77777777" w:rsidR="00EC492E" w:rsidRPr="00824D31" w:rsidRDefault="00EC492E" w:rsidP="00EC492E">
      <w:r w:rsidRPr="00824D31">
        <w:t>- газовые замерные установки;</w:t>
      </w:r>
    </w:p>
    <w:p w14:paraId="694DC8E0" w14:textId="77777777" w:rsidR="00EC492E" w:rsidRPr="00824D31" w:rsidRDefault="00EC492E" w:rsidP="00EC492E">
      <w:r w:rsidRPr="00824D31">
        <w:t>- газокомпрессорные станции, сепараторы, компрессорные, компрессоры;</w:t>
      </w:r>
    </w:p>
    <w:p w14:paraId="68202040" w14:textId="77777777" w:rsidR="00EC492E" w:rsidRPr="00824D31" w:rsidRDefault="00EC492E" w:rsidP="00EC492E">
      <w:r w:rsidRPr="00824D31">
        <w:t>- плодово-ягодные сады, ДКР, скверы, парки;</w:t>
      </w:r>
    </w:p>
    <w:p w14:paraId="33822027" w14:textId="77777777" w:rsidR="00EC492E" w:rsidRPr="00824D31" w:rsidRDefault="00EC492E" w:rsidP="00EC492E">
      <w:r w:rsidRPr="00824D31">
        <w:t>- камеры, лотки, поддоны;</w:t>
      </w:r>
    </w:p>
    <w:p w14:paraId="22183709" w14:textId="77777777" w:rsidR="00EC492E" w:rsidRPr="00824D31" w:rsidRDefault="00EC492E" w:rsidP="00EC492E">
      <w:r w:rsidRPr="00824D31">
        <w:t>- установки и агрегаты;</w:t>
      </w:r>
    </w:p>
    <w:p w14:paraId="160416F5" w14:textId="77777777" w:rsidR="00EC492E" w:rsidRPr="00824D31" w:rsidRDefault="00EC492E" w:rsidP="00EC492E">
      <w:r w:rsidRPr="00824D31">
        <w:t>- переезды, переходы;</w:t>
      </w:r>
    </w:p>
    <w:p w14:paraId="35F181CE" w14:textId="77777777" w:rsidR="00EC492E" w:rsidRPr="00824D31" w:rsidRDefault="00EC492E" w:rsidP="00EC492E">
      <w:r w:rsidRPr="00824D31">
        <w:t>- дробильно-сортировочные комплексы;</w:t>
      </w:r>
    </w:p>
    <w:p w14:paraId="0D0D9CA6" w14:textId="77777777" w:rsidR="00EC492E" w:rsidRPr="00824D31" w:rsidRDefault="00EC492E" w:rsidP="00EC492E">
      <w:r w:rsidRPr="00824D31">
        <w:t>- кран-балки;</w:t>
      </w:r>
    </w:p>
    <w:p w14:paraId="5E3F337E" w14:textId="77777777" w:rsidR="00EC492E" w:rsidRPr="00824D31" w:rsidRDefault="00EC492E" w:rsidP="00EC492E">
      <w:r w:rsidRPr="00824D31">
        <w:t>- асфальтосмесительные установки, бетонные узлы;</w:t>
      </w:r>
    </w:p>
    <w:p w14:paraId="39A7428A" w14:textId="77777777" w:rsidR="00EC492E" w:rsidRPr="00824D31" w:rsidRDefault="00EC492E" w:rsidP="00EC492E">
      <w:r w:rsidRPr="00824D31">
        <w:t>- кабельные каналы;</w:t>
      </w:r>
    </w:p>
    <w:p w14:paraId="60B072D6" w14:textId="77777777" w:rsidR="00EC492E" w:rsidRPr="00824D31" w:rsidRDefault="00EC492E" w:rsidP="00EC492E">
      <w:r w:rsidRPr="00824D31">
        <w:t>- вагончики, тепляки, контейнеры, фургоны, бытовки, переездные будки, посты чистильщика, табельные;</w:t>
      </w:r>
    </w:p>
    <w:p w14:paraId="6C325940" w14:textId="77777777" w:rsidR="00EC492E" w:rsidRPr="00824D31" w:rsidRDefault="00EC492E" w:rsidP="00EC492E">
      <w:r w:rsidRPr="00824D31">
        <w:t>- газгольдеры;</w:t>
      </w:r>
    </w:p>
    <w:p w14:paraId="6296E076" w14:textId="77777777" w:rsidR="00EC492E" w:rsidRPr="00824D31" w:rsidRDefault="00EC492E" w:rsidP="00EC492E">
      <w:r w:rsidRPr="00824D31">
        <w:t>- рекламные щиты;</w:t>
      </w:r>
    </w:p>
    <w:p w14:paraId="512E0494" w14:textId="77777777" w:rsidR="00EC492E" w:rsidRPr="00824D31" w:rsidRDefault="00EC492E" w:rsidP="00EC492E">
      <w:r w:rsidRPr="00824D31">
        <w:t>- пилорамы;</w:t>
      </w:r>
    </w:p>
    <w:p w14:paraId="6D728950" w14:textId="77777777" w:rsidR="00EC492E" w:rsidRPr="00824D31" w:rsidRDefault="00EC492E" w:rsidP="00EC492E">
      <w:r w:rsidRPr="00824D31">
        <w:t>- гидранты, колонки, оголовки, задвижки;</w:t>
      </w:r>
    </w:p>
    <w:p w14:paraId="5E0AC350" w14:textId="77777777" w:rsidR="00EC492E" w:rsidRPr="00824D31" w:rsidRDefault="00EC492E" w:rsidP="00EC492E">
      <w:r w:rsidRPr="00824D31">
        <w:t>- лестницы, крыльца, этажерки;</w:t>
      </w:r>
    </w:p>
    <w:p w14:paraId="5DF3BAA3" w14:textId="77777777" w:rsidR="00EC492E" w:rsidRPr="00824D31" w:rsidRDefault="00EC492E" w:rsidP="00EC492E">
      <w:r w:rsidRPr="00824D31">
        <w:t>- печи;</w:t>
      </w:r>
    </w:p>
    <w:p w14:paraId="6A4BF29A" w14:textId="77777777" w:rsidR="00EC492E" w:rsidRPr="00824D31" w:rsidRDefault="00EC492E" w:rsidP="00EC492E">
      <w:r w:rsidRPr="00824D31">
        <w:t>- опорные пункты бригады;</w:t>
      </w:r>
    </w:p>
    <w:p w14:paraId="7EA6F3A7" w14:textId="77777777" w:rsidR="00EC492E" w:rsidRPr="00824D31" w:rsidRDefault="00EC492E" w:rsidP="00EC492E">
      <w:r w:rsidRPr="00824D31">
        <w:t>- автодромы;</w:t>
      </w:r>
    </w:p>
    <w:p w14:paraId="65DE5B95" w14:textId="77777777" w:rsidR="00EC492E" w:rsidRPr="00824D31" w:rsidRDefault="00EC492E" w:rsidP="00EC492E">
      <w:r w:rsidRPr="00824D31">
        <w:t>- нефтебазы, мазутные хозяйства;</w:t>
      </w:r>
    </w:p>
    <w:p w14:paraId="1E6C3E2B" w14:textId="77777777" w:rsidR="00EC492E" w:rsidRPr="00824D31" w:rsidRDefault="00EC492E" w:rsidP="00EC492E">
      <w:r w:rsidRPr="00824D31">
        <w:t>- пункты слива, налива нефти, приемно-сливные устройства, пункты приема.</w:t>
      </w:r>
    </w:p>
    <w:p w14:paraId="3999C5B2" w14:textId="77777777" w:rsidR="00EC492E" w:rsidRPr="00824D31" w:rsidRDefault="00EC492E" w:rsidP="00EC492E">
      <w:r w:rsidRPr="00824D31">
        <w:t>Номера подрупп, входящих в состав группы: 1001-1037. Объекты, относящиеся по классификатору к подгруппе 1021 на территории Республики Саха (Якутия) отсутствуют. Сотрудниками ГБУ РС (Я) «ЦГКО» самостоятельно добавлена подгруппа 1038 «Сооружения нефтегазосодержащие» и 1041 «Свайное поле».</w:t>
      </w:r>
    </w:p>
    <w:p w14:paraId="5B4221D8" w14:textId="3685AF97" w:rsidR="00EC492E" w:rsidRPr="00824D31" w:rsidRDefault="00EC492E" w:rsidP="00EC492E">
      <w:r w:rsidRPr="00824D31">
        <w:t>Общее количество Объектов оценки, отнесенных к группе «Сооружения» составляет 2634</w:t>
      </w:r>
      <w:r w:rsidR="00631CA6">
        <w:t>9</w:t>
      </w:r>
      <w:r w:rsidRPr="00824D31">
        <w:t> Объектов.</w:t>
      </w:r>
    </w:p>
    <w:p w14:paraId="13192FB1" w14:textId="4BB54F25" w:rsidR="00EC492E" w:rsidRPr="00824D31" w:rsidRDefault="00EC492E" w:rsidP="00763AD2">
      <w:pPr>
        <w:pStyle w:val="afffffff0"/>
      </w:pPr>
      <w:r w:rsidRPr="00824D31">
        <w:t xml:space="preserve">Таблица </w:t>
      </w:r>
      <w:r w:rsidR="00A90944">
        <w:fldChar w:fldCharType="begin"/>
      </w:r>
      <w:r w:rsidR="00A90944">
        <w:instrText xml:space="preserve"> SEQ Таблица \* ARABIC </w:instrText>
      </w:r>
      <w:r w:rsidR="00A90944">
        <w:fldChar w:fldCharType="separate"/>
      </w:r>
      <w:r w:rsidR="00FD2769">
        <w:rPr>
          <w:noProof/>
        </w:rPr>
        <w:t>42</w:t>
      </w:r>
      <w:r w:rsidR="00A90944">
        <w:rPr>
          <w:noProof/>
        </w:rPr>
        <w:fldChar w:fldCharType="end"/>
      </w:r>
      <w:r w:rsidRPr="00824D31">
        <w:t xml:space="preserve"> Результат группировки Объектов оценки в рамках группы 10 Сооружения </w:t>
      </w:r>
    </w:p>
    <w:tbl>
      <w:tblPr>
        <w:tblW w:w="9214" w:type="dxa"/>
        <w:tblInd w:w="-5" w:type="dxa"/>
        <w:tblLook w:val="04A0" w:firstRow="1" w:lastRow="0" w:firstColumn="1" w:lastColumn="0" w:noHBand="0" w:noVBand="1"/>
      </w:tblPr>
      <w:tblGrid>
        <w:gridCol w:w="1777"/>
        <w:gridCol w:w="1341"/>
        <w:gridCol w:w="3453"/>
        <w:gridCol w:w="1506"/>
        <w:gridCol w:w="1273"/>
      </w:tblGrid>
      <w:tr w:rsidR="00EC492E" w:rsidRPr="009E18B2" w14:paraId="09D68B45" w14:textId="77777777" w:rsidTr="00077638">
        <w:trPr>
          <w:trHeight w:val="20"/>
          <w:tblHeader/>
        </w:trPr>
        <w:tc>
          <w:tcPr>
            <w:tcW w:w="1715" w:type="dxa"/>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48475312" w14:textId="77777777" w:rsidR="00EC492E" w:rsidRPr="009E18B2" w:rsidRDefault="00EC492E" w:rsidP="009E18B2">
            <w:pPr>
              <w:ind w:firstLine="0"/>
              <w:jc w:val="center"/>
              <w:rPr>
                <w:b/>
                <w:i/>
              </w:rPr>
            </w:pPr>
            <w:r w:rsidRPr="009E18B2">
              <w:rPr>
                <w:b/>
                <w:i/>
              </w:rPr>
              <w:t>Наименование группы</w:t>
            </w:r>
          </w:p>
        </w:tc>
        <w:tc>
          <w:tcPr>
            <w:tcW w:w="1344" w:type="dxa"/>
            <w:tcBorders>
              <w:top w:val="single" w:sz="4" w:space="0" w:color="auto"/>
              <w:left w:val="single" w:sz="4" w:space="0" w:color="auto"/>
              <w:bottom w:val="single" w:sz="4" w:space="0" w:color="auto"/>
              <w:right w:val="single" w:sz="4" w:space="0" w:color="auto"/>
            </w:tcBorders>
            <w:shd w:val="clear" w:color="auto" w:fill="BFBFBF" w:themeFill="background1" w:themeFillShade="BF"/>
            <w:noWrap/>
            <w:hideMark/>
          </w:tcPr>
          <w:p w14:paraId="734AB519" w14:textId="77777777" w:rsidR="00EC492E" w:rsidRPr="009E18B2" w:rsidRDefault="00EC492E" w:rsidP="009E18B2">
            <w:pPr>
              <w:ind w:firstLine="0"/>
              <w:jc w:val="center"/>
              <w:rPr>
                <w:b/>
                <w:i/>
              </w:rPr>
            </w:pPr>
            <w:r w:rsidRPr="009E18B2">
              <w:rPr>
                <w:b/>
                <w:i/>
              </w:rPr>
              <w:t>Код подгруппы</w:t>
            </w:r>
          </w:p>
        </w:tc>
        <w:tc>
          <w:tcPr>
            <w:tcW w:w="3462" w:type="dxa"/>
            <w:tcBorders>
              <w:top w:val="single" w:sz="4" w:space="0" w:color="auto"/>
              <w:left w:val="nil"/>
              <w:bottom w:val="single" w:sz="4" w:space="0" w:color="auto"/>
              <w:right w:val="single" w:sz="4" w:space="0" w:color="auto"/>
            </w:tcBorders>
            <w:shd w:val="clear" w:color="auto" w:fill="BFBFBF" w:themeFill="background1" w:themeFillShade="BF"/>
            <w:noWrap/>
            <w:hideMark/>
          </w:tcPr>
          <w:p w14:paraId="14127EF0" w14:textId="77777777" w:rsidR="00EC492E" w:rsidRPr="009E18B2" w:rsidRDefault="00EC492E" w:rsidP="009E18B2">
            <w:pPr>
              <w:ind w:firstLine="0"/>
              <w:jc w:val="center"/>
              <w:rPr>
                <w:b/>
                <w:i/>
              </w:rPr>
            </w:pPr>
            <w:r w:rsidRPr="009E18B2">
              <w:rPr>
                <w:b/>
                <w:i/>
              </w:rPr>
              <w:t>Наименование функциональной подгруппы</w:t>
            </w:r>
          </w:p>
        </w:tc>
        <w:tc>
          <w:tcPr>
            <w:tcW w:w="1417" w:type="dxa"/>
            <w:tcBorders>
              <w:top w:val="single" w:sz="4" w:space="0" w:color="auto"/>
              <w:left w:val="nil"/>
              <w:bottom w:val="single" w:sz="4" w:space="0" w:color="auto"/>
              <w:right w:val="single" w:sz="4" w:space="0" w:color="auto"/>
            </w:tcBorders>
            <w:shd w:val="clear" w:color="auto" w:fill="BFBFBF" w:themeFill="background1" w:themeFillShade="BF"/>
            <w:noWrap/>
            <w:hideMark/>
          </w:tcPr>
          <w:p w14:paraId="249C8499" w14:textId="77777777" w:rsidR="00EC492E" w:rsidRPr="009E18B2" w:rsidRDefault="00EC492E" w:rsidP="009E18B2">
            <w:pPr>
              <w:ind w:firstLine="0"/>
              <w:jc w:val="center"/>
              <w:rPr>
                <w:b/>
                <w:i/>
              </w:rPr>
            </w:pPr>
            <w:r w:rsidRPr="009E18B2">
              <w:rPr>
                <w:b/>
                <w:i/>
              </w:rPr>
              <w:t>Количество Объектов</w:t>
            </w:r>
          </w:p>
        </w:tc>
        <w:tc>
          <w:tcPr>
            <w:tcW w:w="1276" w:type="dxa"/>
            <w:tcBorders>
              <w:top w:val="single" w:sz="4" w:space="0" w:color="auto"/>
              <w:left w:val="nil"/>
              <w:bottom w:val="single" w:sz="4" w:space="0" w:color="auto"/>
              <w:right w:val="single" w:sz="4" w:space="0" w:color="auto"/>
            </w:tcBorders>
            <w:shd w:val="clear" w:color="auto" w:fill="BFBFBF" w:themeFill="background1" w:themeFillShade="BF"/>
            <w:noWrap/>
            <w:hideMark/>
          </w:tcPr>
          <w:p w14:paraId="23979908" w14:textId="77777777" w:rsidR="00EC492E" w:rsidRPr="009E18B2" w:rsidRDefault="00EC492E" w:rsidP="009E18B2">
            <w:pPr>
              <w:ind w:firstLine="0"/>
              <w:jc w:val="center"/>
              <w:rPr>
                <w:b/>
                <w:i/>
              </w:rPr>
            </w:pPr>
            <w:r w:rsidRPr="009E18B2">
              <w:rPr>
                <w:b/>
                <w:i/>
              </w:rPr>
              <w:t>Доля, %</w:t>
            </w:r>
          </w:p>
        </w:tc>
      </w:tr>
      <w:tr w:rsidR="00EC492E" w:rsidRPr="00824D31" w14:paraId="051DD591" w14:textId="77777777" w:rsidTr="00077638">
        <w:trPr>
          <w:trHeight w:val="20"/>
        </w:trPr>
        <w:tc>
          <w:tcPr>
            <w:tcW w:w="1715" w:type="dxa"/>
            <w:vMerge w:val="restart"/>
            <w:tcBorders>
              <w:top w:val="single" w:sz="4" w:space="0" w:color="auto"/>
              <w:left w:val="single" w:sz="4" w:space="0" w:color="auto"/>
              <w:bottom w:val="single" w:sz="4" w:space="0" w:color="auto"/>
              <w:right w:val="single" w:sz="4" w:space="0" w:color="auto"/>
            </w:tcBorders>
            <w:vAlign w:val="center"/>
            <w:hideMark/>
          </w:tcPr>
          <w:p w14:paraId="06A994DC" w14:textId="77777777" w:rsidR="00EC492E" w:rsidRPr="00824D31" w:rsidRDefault="00EC492E" w:rsidP="00EC492E">
            <w:pPr>
              <w:ind w:firstLine="0"/>
            </w:pPr>
            <w:r w:rsidRPr="00824D31">
              <w:t>Сооружения</w:t>
            </w:r>
          </w:p>
        </w:tc>
        <w:tc>
          <w:tcPr>
            <w:tcW w:w="1344" w:type="dxa"/>
            <w:tcBorders>
              <w:top w:val="single" w:sz="4" w:space="0" w:color="auto"/>
              <w:left w:val="single" w:sz="4" w:space="0" w:color="auto"/>
              <w:bottom w:val="single" w:sz="4" w:space="0" w:color="auto"/>
              <w:right w:val="single" w:sz="4" w:space="0" w:color="auto"/>
            </w:tcBorders>
            <w:noWrap/>
            <w:vAlign w:val="bottom"/>
            <w:hideMark/>
          </w:tcPr>
          <w:p w14:paraId="32C077A4" w14:textId="77777777" w:rsidR="00EC492E" w:rsidRPr="00824D31" w:rsidRDefault="00EC492E" w:rsidP="00EC492E">
            <w:pPr>
              <w:ind w:firstLine="0"/>
            </w:pPr>
            <w:r w:rsidRPr="00824D31">
              <w:t>1001</w:t>
            </w:r>
          </w:p>
        </w:tc>
        <w:tc>
          <w:tcPr>
            <w:tcW w:w="3462" w:type="dxa"/>
            <w:tcBorders>
              <w:top w:val="nil"/>
              <w:left w:val="nil"/>
              <w:bottom w:val="single" w:sz="4" w:space="0" w:color="auto"/>
              <w:right w:val="single" w:sz="4" w:space="0" w:color="auto"/>
            </w:tcBorders>
            <w:vAlign w:val="center"/>
            <w:hideMark/>
          </w:tcPr>
          <w:p w14:paraId="1CBA9F81" w14:textId="77777777" w:rsidR="00EC492E" w:rsidRPr="00824D31" w:rsidRDefault="00EC492E" w:rsidP="00EC492E">
            <w:pPr>
              <w:ind w:firstLine="0"/>
            </w:pPr>
            <w:r w:rsidRPr="00824D31">
              <w:t>Аттракционные сооружения</w:t>
            </w:r>
          </w:p>
        </w:tc>
        <w:tc>
          <w:tcPr>
            <w:tcW w:w="1417" w:type="dxa"/>
            <w:tcBorders>
              <w:top w:val="nil"/>
              <w:left w:val="nil"/>
              <w:bottom w:val="single" w:sz="4" w:space="0" w:color="auto"/>
              <w:right w:val="single" w:sz="4" w:space="0" w:color="auto"/>
            </w:tcBorders>
            <w:noWrap/>
            <w:vAlign w:val="bottom"/>
            <w:hideMark/>
          </w:tcPr>
          <w:p w14:paraId="3E85D1EF" w14:textId="77777777" w:rsidR="00EC492E" w:rsidRPr="00824D31" w:rsidRDefault="00EC492E" w:rsidP="00EC492E">
            <w:pPr>
              <w:ind w:firstLine="0"/>
            </w:pPr>
            <w:r w:rsidRPr="00824D31">
              <w:t>16</w:t>
            </w:r>
          </w:p>
        </w:tc>
        <w:tc>
          <w:tcPr>
            <w:tcW w:w="1276" w:type="dxa"/>
            <w:tcBorders>
              <w:top w:val="nil"/>
              <w:left w:val="nil"/>
              <w:bottom w:val="single" w:sz="4" w:space="0" w:color="auto"/>
              <w:right w:val="single" w:sz="4" w:space="0" w:color="auto"/>
            </w:tcBorders>
            <w:noWrap/>
            <w:vAlign w:val="bottom"/>
            <w:hideMark/>
          </w:tcPr>
          <w:p w14:paraId="2ED38EE6" w14:textId="77777777" w:rsidR="00EC492E" w:rsidRPr="00824D31" w:rsidRDefault="00EC492E" w:rsidP="00EC492E">
            <w:pPr>
              <w:ind w:firstLine="0"/>
            </w:pPr>
            <w:r w:rsidRPr="00824D31">
              <w:t>0,06%</w:t>
            </w:r>
          </w:p>
        </w:tc>
      </w:tr>
      <w:tr w:rsidR="00EC492E" w:rsidRPr="00824D31" w14:paraId="3DEF0C59" w14:textId="77777777" w:rsidTr="00077638">
        <w:trPr>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496BE24" w14:textId="77777777" w:rsidR="00EC492E" w:rsidRPr="00824D31" w:rsidRDefault="00EC492E" w:rsidP="00EC492E">
            <w:pPr>
              <w:ind w:firstLine="0"/>
            </w:pPr>
          </w:p>
        </w:tc>
        <w:tc>
          <w:tcPr>
            <w:tcW w:w="1344" w:type="dxa"/>
            <w:tcBorders>
              <w:top w:val="single" w:sz="4" w:space="0" w:color="auto"/>
              <w:left w:val="single" w:sz="4" w:space="0" w:color="auto"/>
              <w:bottom w:val="single" w:sz="4" w:space="0" w:color="auto"/>
              <w:right w:val="single" w:sz="4" w:space="0" w:color="auto"/>
            </w:tcBorders>
            <w:noWrap/>
            <w:vAlign w:val="bottom"/>
            <w:hideMark/>
          </w:tcPr>
          <w:p w14:paraId="06095A33" w14:textId="77777777" w:rsidR="00EC492E" w:rsidRPr="00824D31" w:rsidRDefault="00EC492E" w:rsidP="00EC492E">
            <w:pPr>
              <w:ind w:firstLine="0"/>
            </w:pPr>
            <w:r w:rsidRPr="00824D31">
              <w:t>1002</w:t>
            </w:r>
          </w:p>
        </w:tc>
        <w:tc>
          <w:tcPr>
            <w:tcW w:w="3462" w:type="dxa"/>
            <w:tcBorders>
              <w:top w:val="nil"/>
              <w:left w:val="nil"/>
              <w:bottom w:val="single" w:sz="4" w:space="0" w:color="auto"/>
              <w:right w:val="single" w:sz="4" w:space="0" w:color="auto"/>
            </w:tcBorders>
            <w:vAlign w:val="center"/>
            <w:hideMark/>
          </w:tcPr>
          <w:p w14:paraId="2FD61851" w14:textId="77777777" w:rsidR="00EC492E" w:rsidRPr="00824D31" w:rsidRDefault="00EC492E" w:rsidP="00EC492E">
            <w:pPr>
              <w:ind w:firstLine="0"/>
            </w:pPr>
            <w:r w:rsidRPr="00824D31">
              <w:t>Башни</w:t>
            </w:r>
          </w:p>
        </w:tc>
        <w:tc>
          <w:tcPr>
            <w:tcW w:w="1417" w:type="dxa"/>
            <w:tcBorders>
              <w:top w:val="nil"/>
              <w:left w:val="nil"/>
              <w:bottom w:val="single" w:sz="4" w:space="0" w:color="auto"/>
              <w:right w:val="single" w:sz="4" w:space="0" w:color="auto"/>
            </w:tcBorders>
            <w:noWrap/>
            <w:vAlign w:val="bottom"/>
            <w:hideMark/>
          </w:tcPr>
          <w:p w14:paraId="436FA156" w14:textId="77777777" w:rsidR="00EC492E" w:rsidRPr="00824D31" w:rsidRDefault="00EC492E" w:rsidP="00EC492E">
            <w:pPr>
              <w:ind w:firstLine="0"/>
            </w:pPr>
            <w:r w:rsidRPr="00824D31">
              <w:t>103</w:t>
            </w:r>
          </w:p>
        </w:tc>
        <w:tc>
          <w:tcPr>
            <w:tcW w:w="1276" w:type="dxa"/>
            <w:tcBorders>
              <w:top w:val="nil"/>
              <w:left w:val="nil"/>
              <w:bottom w:val="single" w:sz="4" w:space="0" w:color="auto"/>
              <w:right w:val="single" w:sz="4" w:space="0" w:color="auto"/>
            </w:tcBorders>
            <w:noWrap/>
            <w:vAlign w:val="bottom"/>
            <w:hideMark/>
          </w:tcPr>
          <w:p w14:paraId="2C8D25C7" w14:textId="77777777" w:rsidR="00EC492E" w:rsidRPr="00824D31" w:rsidRDefault="00EC492E" w:rsidP="00EC492E">
            <w:pPr>
              <w:ind w:firstLine="0"/>
            </w:pPr>
            <w:r w:rsidRPr="00824D31">
              <w:t>0,39%</w:t>
            </w:r>
          </w:p>
        </w:tc>
      </w:tr>
      <w:tr w:rsidR="00EC492E" w:rsidRPr="00824D31" w14:paraId="085A5E1F" w14:textId="77777777" w:rsidTr="00077638">
        <w:trPr>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6B98FFF" w14:textId="77777777" w:rsidR="00EC492E" w:rsidRPr="00824D31" w:rsidRDefault="00EC492E" w:rsidP="00EC492E">
            <w:pPr>
              <w:ind w:firstLine="0"/>
            </w:pPr>
          </w:p>
        </w:tc>
        <w:tc>
          <w:tcPr>
            <w:tcW w:w="1344" w:type="dxa"/>
            <w:tcBorders>
              <w:top w:val="single" w:sz="4" w:space="0" w:color="auto"/>
              <w:left w:val="single" w:sz="4" w:space="0" w:color="auto"/>
              <w:bottom w:val="single" w:sz="4" w:space="0" w:color="auto"/>
              <w:right w:val="single" w:sz="4" w:space="0" w:color="auto"/>
            </w:tcBorders>
            <w:noWrap/>
            <w:vAlign w:val="bottom"/>
            <w:hideMark/>
          </w:tcPr>
          <w:p w14:paraId="67D5DF0F" w14:textId="77777777" w:rsidR="00EC492E" w:rsidRPr="00824D31" w:rsidRDefault="00EC492E" w:rsidP="00EC492E">
            <w:pPr>
              <w:ind w:firstLine="0"/>
            </w:pPr>
            <w:r w:rsidRPr="00824D31">
              <w:t>1003</w:t>
            </w:r>
          </w:p>
        </w:tc>
        <w:tc>
          <w:tcPr>
            <w:tcW w:w="3462" w:type="dxa"/>
            <w:tcBorders>
              <w:top w:val="nil"/>
              <w:left w:val="nil"/>
              <w:bottom w:val="single" w:sz="4" w:space="0" w:color="auto"/>
              <w:right w:val="single" w:sz="4" w:space="0" w:color="auto"/>
            </w:tcBorders>
            <w:vAlign w:val="center"/>
            <w:hideMark/>
          </w:tcPr>
          <w:p w14:paraId="12DB2FD9" w14:textId="77777777" w:rsidR="00EC492E" w:rsidRPr="00824D31" w:rsidRDefault="00EC492E" w:rsidP="00EC492E">
            <w:pPr>
              <w:ind w:firstLine="0"/>
            </w:pPr>
            <w:r w:rsidRPr="00824D31">
              <w:t>Мачтовые сооружения, опоры, вышки</w:t>
            </w:r>
          </w:p>
        </w:tc>
        <w:tc>
          <w:tcPr>
            <w:tcW w:w="1417" w:type="dxa"/>
            <w:tcBorders>
              <w:top w:val="nil"/>
              <w:left w:val="nil"/>
              <w:bottom w:val="single" w:sz="4" w:space="0" w:color="auto"/>
              <w:right w:val="single" w:sz="4" w:space="0" w:color="auto"/>
            </w:tcBorders>
            <w:noWrap/>
            <w:vAlign w:val="bottom"/>
            <w:hideMark/>
          </w:tcPr>
          <w:p w14:paraId="7DC752CC" w14:textId="77777777" w:rsidR="00EC492E" w:rsidRPr="00824D31" w:rsidRDefault="00EC492E" w:rsidP="00EC492E">
            <w:pPr>
              <w:ind w:firstLine="0"/>
            </w:pPr>
            <w:r w:rsidRPr="00824D31">
              <w:t>816</w:t>
            </w:r>
          </w:p>
        </w:tc>
        <w:tc>
          <w:tcPr>
            <w:tcW w:w="1276" w:type="dxa"/>
            <w:tcBorders>
              <w:top w:val="nil"/>
              <w:left w:val="nil"/>
              <w:bottom w:val="single" w:sz="4" w:space="0" w:color="auto"/>
              <w:right w:val="single" w:sz="4" w:space="0" w:color="auto"/>
            </w:tcBorders>
            <w:noWrap/>
            <w:vAlign w:val="bottom"/>
            <w:hideMark/>
          </w:tcPr>
          <w:p w14:paraId="62C05A70" w14:textId="77777777" w:rsidR="00EC492E" w:rsidRPr="00824D31" w:rsidRDefault="00EC492E" w:rsidP="00EC492E">
            <w:pPr>
              <w:ind w:firstLine="0"/>
            </w:pPr>
            <w:r w:rsidRPr="00824D31">
              <w:t>3,10%</w:t>
            </w:r>
          </w:p>
        </w:tc>
      </w:tr>
      <w:tr w:rsidR="00EC492E" w:rsidRPr="00824D31" w14:paraId="69D60D33" w14:textId="77777777" w:rsidTr="00077638">
        <w:trPr>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DD9802A" w14:textId="77777777" w:rsidR="00EC492E" w:rsidRPr="00824D31" w:rsidRDefault="00EC492E" w:rsidP="00EC492E">
            <w:pPr>
              <w:ind w:firstLine="0"/>
            </w:pPr>
          </w:p>
        </w:tc>
        <w:tc>
          <w:tcPr>
            <w:tcW w:w="1344" w:type="dxa"/>
            <w:tcBorders>
              <w:top w:val="single" w:sz="4" w:space="0" w:color="auto"/>
              <w:left w:val="single" w:sz="4" w:space="0" w:color="auto"/>
              <w:bottom w:val="single" w:sz="4" w:space="0" w:color="auto"/>
              <w:right w:val="single" w:sz="4" w:space="0" w:color="auto"/>
            </w:tcBorders>
            <w:noWrap/>
            <w:vAlign w:val="bottom"/>
            <w:hideMark/>
          </w:tcPr>
          <w:p w14:paraId="6C1687DF" w14:textId="77777777" w:rsidR="00EC492E" w:rsidRPr="00824D31" w:rsidRDefault="00EC492E" w:rsidP="00EC492E">
            <w:pPr>
              <w:ind w:firstLine="0"/>
            </w:pPr>
            <w:r w:rsidRPr="00824D31">
              <w:t>1004</w:t>
            </w:r>
          </w:p>
        </w:tc>
        <w:tc>
          <w:tcPr>
            <w:tcW w:w="3462" w:type="dxa"/>
            <w:tcBorders>
              <w:top w:val="nil"/>
              <w:left w:val="nil"/>
              <w:bottom w:val="single" w:sz="4" w:space="0" w:color="auto"/>
              <w:right w:val="single" w:sz="4" w:space="0" w:color="auto"/>
            </w:tcBorders>
            <w:vAlign w:val="center"/>
            <w:hideMark/>
          </w:tcPr>
          <w:p w14:paraId="37677431" w14:textId="77777777" w:rsidR="00EC492E" w:rsidRPr="00824D31" w:rsidRDefault="00EC492E" w:rsidP="00EC492E">
            <w:pPr>
              <w:ind w:firstLine="0"/>
            </w:pPr>
            <w:r w:rsidRPr="00824D31">
              <w:t>Беседки</w:t>
            </w:r>
          </w:p>
        </w:tc>
        <w:tc>
          <w:tcPr>
            <w:tcW w:w="1417" w:type="dxa"/>
            <w:tcBorders>
              <w:top w:val="nil"/>
              <w:left w:val="nil"/>
              <w:bottom w:val="single" w:sz="4" w:space="0" w:color="auto"/>
              <w:right w:val="single" w:sz="4" w:space="0" w:color="auto"/>
            </w:tcBorders>
            <w:noWrap/>
            <w:vAlign w:val="bottom"/>
            <w:hideMark/>
          </w:tcPr>
          <w:p w14:paraId="16E15126" w14:textId="77777777" w:rsidR="00EC492E" w:rsidRPr="00824D31" w:rsidRDefault="00EC492E" w:rsidP="00EC492E">
            <w:pPr>
              <w:ind w:firstLine="0"/>
            </w:pPr>
            <w:r w:rsidRPr="00824D31">
              <w:t>10</w:t>
            </w:r>
          </w:p>
        </w:tc>
        <w:tc>
          <w:tcPr>
            <w:tcW w:w="1276" w:type="dxa"/>
            <w:tcBorders>
              <w:top w:val="nil"/>
              <w:left w:val="nil"/>
              <w:bottom w:val="single" w:sz="4" w:space="0" w:color="auto"/>
              <w:right w:val="single" w:sz="4" w:space="0" w:color="auto"/>
            </w:tcBorders>
            <w:noWrap/>
            <w:vAlign w:val="bottom"/>
            <w:hideMark/>
          </w:tcPr>
          <w:p w14:paraId="5CF2CE02" w14:textId="77777777" w:rsidR="00EC492E" w:rsidRPr="00824D31" w:rsidRDefault="00EC492E" w:rsidP="00EC492E">
            <w:pPr>
              <w:ind w:firstLine="0"/>
            </w:pPr>
            <w:r w:rsidRPr="00824D31">
              <w:t>0,04%</w:t>
            </w:r>
          </w:p>
        </w:tc>
      </w:tr>
      <w:tr w:rsidR="00EC492E" w:rsidRPr="00824D31" w14:paraId="5E4224B2" w14:textId="77777777" w:rsidTr="00077638">
        <w:trPr>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3C53BA3" w14:textId="77777777" w:rsidR="00EC492E" w:rsidRPr="00824D31" w:rsidRDefault="00EC492E" w:rsidP="00EC492E">
            <w:pPr>
              <w:ind w:firstLine="0"/>
            </w:pPr>
          </w:p>
        </w:tc>
        <w:tc>
          <w:tcPr>
            <w:tcW w:w="1344" w:type="dxa"/>
            <w:tcBorders>
              <w:top w:val="single" w:sz="4" w:space="0" w:color="auto"/>
              <w:left w:val="single" w:sz="4" w:space="0" w:color="auto"/>
              <w:bottom w:val="single" w:sz="4" w:space="0" w:color="auto"/>
              <w:right w:val="single" w:sz="4" w:space="0" w:color="auto"/>
            </w:tcBorders>
            <w:noWrap/>
            <w:vAlign w:val="bottom"/>
            <w:hideMark/>
          </w:tcPr>
          <w:p w14:paraId="508DBB73" w14:textId="77777777" w:rsidR="00EC492E" w:rsidRPr="00824D31" w:rsidRDefault="00EC492E" w:rsidP="00EC492E">
            <w:pPr>
              <w:ind w:firstLine="0"/>
            </w:pPr>
            <w:r w:rsidRPr="00824D31">
              <w:t>1005</w:t>
            </w:r>
          </w:p>
        </w:tc>
        <w:tc>
          <w:tcPr>
            <w:tcW w:w="3462" w:type="dxa"/>
            <w:tcBorders>
              <w:top w:val="nil"/>
              <w:left w:val="nil"/>
              <w:bottom w:val="single" w:sz="4" w:space="0" w:color="auto"/>
              <w:right w:val="single" w:sz="4" w:space="0" w:color="auto"/>
            </w:tcBorders>
            <w:vAlign w:val="center"/>
            <w:hideMark/>
          </w:tcPr>
          <w:p w14:paraId="685CFF72" w14:textId="77777777" w:rsidR="00EC492E" w:rsidRPr="00824D31" w:rsidRDefault="00EC492E" w:rsidP="00EC492E">
            <w:pPr>
              <w:ind w:firstLine="0"/>
            </w:pPr>
            <w:r w:rsidRPr="00824D31">
              <w:t>Гидротехнические сооружения: набережные</w:t>
            </w:r>
          </w:p>
        </w:tc>
        <w:tc>
          <w:tcPr>
            <w:tcW w:w="1417" w:type="dxa"/>
            <w:tcBorders>
              <w:top w:val="nil"/>
              <w:left w:val="nil"/>
              <w:bottom w:val="single" w:sz="4" w:space="0" w:color="auto"/>
              <w:right w:val="single" w:sz="4" w:space="0" w:color="auto"/>
            </w:tcBorders>
            <w:noWrap/>
            <w:vAlign w:val="bottom"/>
            <w:hideMark/>
          </w:tcPr>
          <w:p w14:paraId="52C09BFE" w14:textId="77777777" w:rsidR="00EC492E" w:rsidRPr="00824D31" w:rsidRDefault="00EC492E" w:rsidP="00EC492E">
            <w:pPr>
              <w:ind w:firstLine="0"/>
            </w:pPr>
            <w:r w:rsidRPr="00824D31">
              <w:t>135</w:t>
            </w:r>
          </w:p>
        </w:tc>
        <w:tc>
          <w:tcPr>
            <w:tcW w:w="1276" w:type="dxa"/>
            <w:tcBorders>
              <w:top w:val="nil"/>
              <w:left w:val="nil"/>
              <w:bottom w:val="single" w:sz="4" w:space="0" w:color="auto"/>
              <w:right w:val="single" w:sz="4" w:space="0" w:color="auto"/>
            </w:tcBorders>
            <w:noWrap/>
            <w:vAlign w:val="bottom"/>
            <w:hideMark/>
          </w:tcPr>
          <w:p w14:paraId="422D4879" w14:textId="77777777" w:rsidR="00EC492E" w:rsidRPr="00824D31" w:rsidRDefault="00EC492E" w:rsidP="00EC492E">
            <w:pPr>
              <w:ind w:firstLine="0"/>
            </w:pPr>
            <w:r w:rsidRPr="00824D31">
              <w:t>0,51%</w:t>
            </w:r>
          </w:p>
        </w:tc>
      </w:tr>
      <w:tr w:rsidR="00EC492E" w:rsidRPr="00824D31" w14:paraId="0B53492D" w14:textId="77777777" w:rsidTr="00077638">
        <w:trPr>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A86993B" w14:textId="77777777" w:rsidR="00EC492E" w:rsidRPr="00824D31" w:rsidRDefault="00EC492E" w:rsidP="00EC492E">
            <w:pPr>
              <w:ind w:firstLine="0"/>
            </w:pPr>
          </w:p>
        </w:tc>
        <w:tc>
          <w:tcPr>
            <w:tcW w:w="1344" w:type="dxa"/>
            <w:tcBorders>
              <w:top w:val="single" w:sz="4" w:space="0" w:color="auto"/>
              <w:left w:val="single" w:sz="4" w:space="0" w:color="auto"/>
              <w:bottom w:val="single" w:sz="4" w:space="0" w:color="auto"/>
              <w:right w:val="single" w:sz="4" w:space="0" w:color="auto"/>
            </w:tcBorders>
            <w:noWrap/>
            <w:vAlign w:val="bottom"/>
            <w:hideMark/>
          </w:tcPr>
          <w:p w14:paraId="08B13ABD" w14:textId="77777777" w:rsidR="00EC492E" w:rsidRPr="00824D31" w:rsidRDefault="00EC492E" w:rsidP="00EC492E">
            <w:pPr>
              <w:ind w:firstLine="0"/>
            </w:pPr>
            <w:r w:rsidRPr="00824D31">
              <w:t>1006</w:t>
            </w:r>
          </w:p>
        </w:tc>
        <w:tc>
          <w:tcPr>
            <w:tcW w:w="3462" w:type="dxa"/>
            <w:tcBorders>
              <w:top w:val="nil"/>
              <w:left w:val="nil"/>
              <w:bottom w:val="single" w:sz="4" w:space="0" w:color="auto"/>
              <w:right w:val="single" w:sz="4" w:space="0" w:color="auto"/>
            </w:tcBorders>
            <w:vAlign w:val="center"/>
            <w:hideMark/>
          </w:tcPr>
          <w:p w14:paraId="12271105" w14:textId="77777777" w:rsidR="00EC492E" w:rsidRPr="00824D31" w:rsidRDefault="00EC492E" w:rsidP="00EC492E">
            <w:pPr>
              <w:ind w:firstLine="0"/>
            </w:pPr>
            <w:r w:rsidRPr="00824D31">
              <w:t>Эстакады</w:t>
            </w:r>
          </w:p>
        </w:tc>
        <w:tc>
          <w:tcPr>
            <w:tcW w:w="1417" w:type="dxa"/>
            <w:tcBorders>
              <w:top w:val="nil"/>
              <w:left w:val="nil"/>
              <w:bottom w:val="single" w:sz="4" w:space="0" w:color="auto"/>
              <w:right w:val="single" w:sz="4" w:space="0" w:color="auto"/>
            </w:tcBorders>
            <w:noWrap/>
            <w:vAlign w:val="bottom"/>
            <w:hideMark/>
          </w:tcPr>
          <w:p w14:paraId="7FC4B4AB" w14:textId="77777777" w:rsidR="00EC492E" w:rsidRPr="00824D31" w:rsidRDefault="00EC492E" w:rsidP="00EC492E">
            <w:pPr>
              <w:ind w:firstLine="0"/>
            </w:pPr>
            <w:r w:rsidRPr="00824D31">
              <w:t>127</w:t>
            </w:r>
          </w:p>
        </w:tc>
        <w:tc>
          <w:tcPr>
            <w:tcW w:w="1276" w:type="dxa"/>
            <w:tcBorders>
              <w:top w:val="nil"/>
              <w:left w:val="nil"/>
              <w:bottom w:val="single" w:sz="4" w:space="0" w:color="auto"/>
              <w:right w:val="single" w:sz="4" w:space="0" w:color="auto"/>
            </w:tcBorders>
            <w:noWrap/>
            <w:vAlign w:val="bottom"/>
            <w:hideMark/>
          </w:tcPr>
          <w:p w14:paraId="38540BBE" w14:textId="77777777" w:rsidR="00EC492E" w:rsidRPr="00824D31" w:rsidRDefault="00EC492E" w:rsidP="00EC492E">
            <w:pPr>
              <w:ind w:firstLine="0"/>
            </w:pPr>
            <w:r w:rsidRPr="00824D31">
              <w:t>0,48%</w:t>
            </w:r>
          </w:p>
        </w:tc>
      </w:tr>
      <w:tr w:rsidR="00EC492E" w:rsidRPr="00824D31" w14:paraId="57E664C8" w14:textId="77777777" w:rsidTr="00077638">
        <w:trPr>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52AEBF6" w14:textId="77777777" w:rsidR="00EC492E" w:rsidRPr="00824D31" w:rsidRDefault="00EC492E" w:rsidP="00EC492E">
            <w:pPr>
              <w:ind w:firstLine="0"/>
            </w:pPr>
          </w:p>
        </w:tc>
        <w:tc>
          <w:tcPr>
            <w:tcW w:w="1344" w:type="dxa"/>
            <w:tcBorders>
              <w:top w:val="single" w:sz="4" w:space="0" w:color="auto"/>
              <w:left w:val="single" w:sz="4" w:space="0" w:color="auto"/>
              <w:bottom w:val="single" w:sz="4" w:space="0" w:color="auto"/>
              <w:right w:val="single" w:sz="4" w:space="0" w:color="auto"/>
            </w:tcBorders>
            <w:noWrap/>
            <w:vAlign w:val="bottom"/>
            <w:hideMark/>
          </w:tcPr>
          <w:p w14:paraId="2AAB0114" w14:textId="77777777" w:rsidR="00EC492E" w:rsidRPr="00824D31" w:rsidRDefault="00EC492E" w:rsidP="00EC492E">
            <w:pPr>
              <w:ind w:firstLine="0"/>
            </w:pPr>
            <w:r w:rsidRPr="00824D31">
              <w:t>1007</w:t>
            </w:r>
          </w:p>
        </w:tc>
        <w:tc>
          <w:tcPr>
            <w:tcW w:w="3462" w:type="dxa"/>
            <w:tcBorders>
              <w:top w:val="nil"/>
              <w:left w:val="nil"/>
              <w:bottom w:val="single" w:sz="4" w:space="0" w:color="auto"/>
              <w:right w:val="single" w:sz="4" w:space="0" w:color="auto"/>
            </w:tcBorders>
            <w:vAlign w:val="center"/>
            <w:hideMark/>
          </w:tcPr>
          <w:p w14:paraId="7D552564" w14:textId="77777777" w:rsidR="00EC492E" w:rsidRPr="00824D31" w:rsidRDefault="00EC492E" w:rsidP="00EC492E">
            <w:pPr>
              <w:ind w:firstLine="0"/>
            </w:pPr>
            <w:r w:rsidRPr="00824D31">
              <w:t>Емкостные сооружения, резервуары, баки, цистерны</w:t>
            </w:r>
          </w:p>
        </w:tc>
        <w:tc>
          <w:tcPr>
            <w:tcW w:w="1417" w:type="dxa"/>
            <w:tcBorders>
              <w:top w:val="nil"/>
              <w:left w:val="nil"/>
              <w:bottom w:val="single" w:sz="4" w:space="0" w:color="auto"/>
              <w:right w:val="single" w:sz="4" w:space="0" w:color="auto"/>
            </w:tcBorders>
            <w:noWrap/>
            <w:vAlign w:val="bottom"/>
            <w:hideMark/>
          </w:tcPr>
          <w:p w14:paraId="46887852" w14:textId="77777777" w:rsidR="00EC492E" w:rsidRPr="00824D31" w:rsidRDefault="00EC492E" w:rsidP="00EC492E">
            <w:pPr>
              <w:ind w:firstLine="0"/>
            </w:pPr>
            <w:r w:rsidRPr="00824D31">
              <w:t>1401</w:t>
            </w:r>
          </w:p>
        </w:tc>
        <w:tc>
          <w:tcPr>
            <w:tcW w:w="1276" w:type="dxa"/>
            <w:tcBorders>
              <w:top w:val="nil"/>
              <w:left w:val="nil"/>
              <w:bottom w:val="single" w:sz="4" w:space="0" w:color="auto"/>
              <w:right w:val="single" w:sz="4" w:space="0" w:color="auto"/>
            </w:tcBorders>
            <w:noWrap/>
            <w:vAlign w:val="bottom"/>
            <w:hideMark/>
          </w:tcPr>
          <w:p w14:paraId="7C7CB987" w14:textId="77777777" w:rsidR="00EC492E" w:rsidRPr="00824D31" w:rsidRDefault="00EC492E" w:rsidP="00EC492E">
            <w:pPr>
              <w:ind w:firstLine="0"/>
            </w:pPr>
            <w:r w:rsidRPr="00824D31">
              <w:t>5,32%</w:t>
            </w:r>
          </w:p>
        </w:tc>
      </w:tr>
      <w:tr w:rsidR="00EC492E" w:rsidRPr="00824D31" w14:paraId="02A7DC95" w14:textId="77777777" w:rsidTr="00077638">
        <w:trPr>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CB5267F" w14:textId="77777777" w:rsidR="00EC492E" w:rsidRPr="00824D31" w:rsidRDefault="00EC492E" w:rsidP="00EC492E">
            <w:pPr>
              <w:ind w:firstLine="0"/>
            </w:pPr>
          </w:p>
        </w:tc>
        <w:tc>
          <w:tcPr>
            <w:tcW w:w="1344" w:type="dxa"/>
            <w:tcBorders>
              <w:top w:val="single" w:sz="4" w:space="0" w:color="auto"/>
              <w:left w:val="single" w:sz="4" w:space="0" w:color="auto"/>
              <w:bottom w:val="single" w:sz="4" w:space="0" w:color="auto"/>
              <w:right w:val="single" w:sz="4" w:space="0" w:color="auto"/>
            </w:tcBorders>
            <w:noWrap/>
            <w:vAlign w:val="bottom"/>
            <w:hideMark/>
          </w:tcPr>
          <w:p w14:paraId="0C92A7D0" w14:textId="77777777" w:rsidR="00EC492E" w:rsidRPr="00824D31" w:rsidRDefault="00EC492E" w:rsidP="00EC492E">
            <w:pPr>
              <w:ind w:firstLine="0"/>
            </w:pPr>
            <w:r w:rsidRPr="00824D31">
              <w:t>1008</w:t>
            </w:r>
          </w:p>
        </w:tc>
        <w:tc>
          <w:tcPr>
            <w:tcW w:w="3462" w:type="dxa"/>
            <w:tcBorders>
              <w:top w:val="nil"/>
              <w:left w:val="nil"/>
              <w:bottom w:val="single" w:sz="4" w:space="0" w:color="auto"/>
              <w:right w:val="single" w:sz="4" w:space="0" w:color="auto"/>
            </w:tcBorders>
            <w:vAlign w:val="center"/>
            <w:hideMark/>
          </w:tcPr>
          <w:p w14:paraId="713C8996" w14:textId="77777777" w:rsidR="00EC492E" w:rsidRPr="00824D31" w:rsidRDefault="00EC492E" w:rsidP="00EC492E">
            <w:pPr>
              <w:ind w:firstLine="0"/>
            </w:pPr>
            <w:r w:rsidRPr="00824D31">
              <w:t>Бункеры</w:t>
            </w:r>
          </w:p>
        </w:tc>
        <w:tc>
          <w:tcPr>
            <w:tcW w:w="1417" w:type="dxa"/>
            <w:tcBorders>
              <w:top w:val="nil"/>
              <w:left w:val="nil"/>
              <w:bottom w:val="single" w:sz="4" w:space="0" w:color="auto"/>
              <w:right w:val="single" w:sz="4" w:space="0" w:color="auto"/>
            </w:tcBorders>
            <w:noWrap/>
            <w:vAlign w:val="bottom"/>
            <w:hideMark/>
          </w:tcPr>
          <w:p w14:paraId="3A773415" w14:textId="77777777" w:rsidR="00EC492E" w:rsidRPr="00824D31" w:rsidRDefault="00EC492E" w:rsidP="00EC492E">
            <w:pPr>
              <w:ind w:firstLine="0"/>
            </w:pPr>
            <w:r w:rsidRPr="00824D31">
              <w:t>12</w:t>
            </w:r>
          </w:p>
        </w:tc>
        <w:tc>
          <w:tcPr>
            <w:tcW w:w="1276" w:type="dxa"/>
            <w:tcBorders>
              <w:top w:val="nil"/>
              <w:left w:val="nil"/>
              <w:bottom w:val="single" w:sz="4" w:space="0" w:color="auto"/>
              <w:right w:val="single" w:sz="4" w:space="0" w:color="auto"/>
            </w:tcBorders>
            <w:noWrap/>
            <w:vAlign w:val="bottom"/>
            <w:hideMark/>
          </w:tcPr>
          <w:p w14:paraId="0A15D563" w14:textId="77777777" w:rsidR="00EC492E" w:rsidRPr="00824D31" w:rsidRDefault="00EC492E" w:rsidP="00EC492E">
            <w:pPr>
              <w:ind w:firstLine="0"/>
            </w:pPr>
            <w:r w:rsidRPr="00824D31">
              <w:t>0,05%</w:t>
            </w:r>
          </w:p>
        </w:tc>
      </w:tr>
      <w:tr w:rsidR="00EC492E" w:rsidRPr="00824D31" w14:paraId="3B3B5F29" w14:textId="77777777" w:rsidTr="00077638">
        <w:trPr>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CC5FAA5" w14:textId="77777777" w:rsidR="00EC492E" w:rsidRPr="00824D31" w:rsidRDefault="00EC492E" w:rsidP="00EC492E">
            <w:pPr>
              <w:ind w:firstLine="0"/>
            </w:pPr>
          </w:p>
        </w:tc>
        <w:tc>
          <w:tcPr>
            <w:tcW w:w="1344" w:type="dxa"/>
            <w:tcBorders>
              <w:top w:val="single" w:sz="4" w:space="0" w:color="auto"/>
              <w:left w:val="single" w:sz="4" w:space="0" w:color="auto"/>
              <w:bottom w:val="single" w:sz="4" w:space="0" w:color="auto"/>
              <w:right w:val="single" w:sz="4" w:space="0" w:color="auto"/>
            </w:tcBorders>
            <w:noWrap/>
            <w:vAlign w:val="bottom"/>
            <w:hideMark/>
          </w:tcPr>
          <w:p w14:paraId="522D86D3" w14:textId="77777777" w:rsidR="00EC492E" w:rsidRPr="00824D31" w:rsidRDefault="00EC492E" w:rsidP="00EC492E">
            <w:pPr>
              <w:ind w:firstLine="0"/>
            </w:pPr>
            <w:r w:rsidRPr="00824D31">
              <w:t>1009</w:t>
            </w:r>
          </w:p>
        </w:tc>
        <w:tc>
          <w:tcPr>
            <w:tcW w:w="3462" w:type="dxa"/>
            <w:tcBorders>
              <w:top w:val="nil"/>
              <w:left w:val="nil"/>
              <w:bottom w:val="single" w:sz="4" w:space="0" w:color="auto"/>
              <w:right w:val="single" w:sz="4" w:space="0" w:color="auto"/>
            </w:tcBorders>
            <w:vAlign w:val="center"/>
            <w:hideMark/>
          </w:tcPr>
          <w:p w14:paraId="379A3960" w14:textId="77777777" w:rsidR="00EC492E" w:rsidRPr="00824D31" w:rsidRDefault="00EC492E" w:rsidP="00EC492E">
            <w:pPr>
              <w:ind w:firstLine="0"/>
            </w:pPr>
            <w:r w:rsidRPr="00824D31">
              <w:t>Навесы</w:t>
            </w:r>
          </w:p>
        </w:tc>
        <w:tc>
          <w:tcPr>
            <w:tcW w:w="1417" w:type="dxa"/>
            <w:tcBorders>
              <w:top w:val="nil"/>
              <w:left w:val="nil"/>
              <w:bottom w:val="single" w:sz="4" w:space="0" w:color="auto"/>
              <w:right w:val="single" w:sz="4" w:space="0" w:color="auto"/>
            </w:tcBorders>
            <w:noWrap/>
            <w:vAlign w:val="bottom"/>
            <w:hideMark/>
          </w:tcPr>
          <w:p w14:paraId="3297E0DB" w14:textId="77777777" w:rsidR="00EC492E" w:rsidRPr="00824D31" w:rsidRDefault="00EC492E" w:rsidP="00EC492E">
            <w:pPr>
              <w:ind w:firstLine="0"/>
            </w:pPr>
            <w:r w:rsidRPr="00824D31">
              <w:t>72</w:t>
            </w:r>
          </w:p>
        </w:tc>
        <w:tc>
          <w:tcPr>
            <w:tcW w:w="1276" w:type="dxa"/>
            <w:tcBorders>
              <w:top w:val="nil"/>
              <w:left w:val="nil"/>
              <w:bottom w:val="single" w:sz="4" w:space="0" w:color="auto"/>
              <w:right w:val="single" w:sz="4" w:space="0" w:color="auto"/>
            </w:tcBorders>
            <w:noWrap/>
            <w:vAlign w:val="bottom"/>
            <w:hideMark/>
          </w:tcPr>
          <w:p w14:paraId="079A0841" w14:textId="77777777" w:rsidR="00EC492E" w:rsidRPr="00824D31" w:rsidRDefault="00EC492E" w:rsidP="00EC492E">
            <w:pPr>
              <w:ind w:firstLine="0"/>
            </w:pPr>
            <w:r w:rsidRPr="00824D31">
              <w:t>0,27%</w:t>
            </w:r>
          </w:p>
        </w:tc>
      </w:tr>
      <w:tr w:rsidR="00EC492E" w:rsidRPr="00824D31" w14:paraId="3064424D" w14:textId="77777777" w:rsidTr="00077638">
        <w:trPr>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FBE6E8D" w14:textId="77777777" w:rsidR="00EC492E" w:rsidRPr="00824D31" w:rsidRDefault="00EC492E" w:rsidP="00EC492E">
            <w:pPr>
              <w:ind w:firstLine="0"/>
            </w:pPr>
          </w:p>
        </w:tc>
        <w:tc>
          <w:tcPr>
            <w:tcW w:w="1344" w:type="dxa"/>
            <w:tcBorders>
              <w:top w:val="single" w:sz="4" w:space="0" w:color="auto"/>
              <w:left w:val="single" w:sz="4" w:space="0" w:color="auto"/>
              <w:bottom w:val="single" w:sz="4" w:space="0" w:color="auto"/>
              <w:right w:val="single" w:sz="4" w:space="0" w:color="auto"/>
            </w:tcBorders>
            <w:noWrap/>
            <w:vAlign w:val="bottom"/>
            <w:hideMark/>
          </w:tcPr>
          <w:p w14:paraId="77A3FC13" w14:textId="77777777" w:rsidR="00EC492E" w:rsidRPr="00824D31" w:rsidRDefault="00EC492E" w:rsidP="00EC492E">
            <w:pPr>
              <w:ind w:firstLine="0"/>
            </w:pPr>
            <w:r w:rsidRPr="00824D31">
              <w:t>1010</w:t>
            </w:r>
          </w:p>
        </w:tc>
        <w:tc>
          <w:tcPr>
            <w:tcW w:w="3462" w:type="dxa"/>
            <w:tcBorders>
              <w:top w:val="nil"/>
              <w:left w:val="nil"/>
              <w:bottom w:val="single" w:sz="4" w:space="0" w:color="auto"/>
              <w:right w:val="single" w:sz="4" w:space="0" w:color="auto"/>
            </w:tcBorders>
            <w:vAlign w:val="center"/>
            <w:hideMark/>
          </w:tcPr>
          <w:p w14:paraId="690A519F" w14:textId="77777777" w:rsidR="00EC492E" w:rsidRPr="00824D31" w:rsidRDefault="00EC492E" w:rsidP="00EC492E">
            <w:pPr>
              <w:ind w:firstLine="0"/>
            </w:pPr>
            <w:r w:rsidRPr="00824D31">
              <w:t>Линии электропередач кабельные</w:t>
            </w:r>
          </w:p>
        </w:tc>
        <w:tc>
          <w:tcPr>
            <w:tcW w:w="1417" w:type="dxa"/>
            <w:tcBorders>
              <w:top w:val="nil"/>
              <w:left w:val="nil"/>
              <w:bottom w:val="single" w:sz="4" w:space="0" w:color="auto"/>
              <w:right w:val="single" w:sz="4" w:space="0" w:color="auto"/>
            </w:tcBorders>
            <w:noWrap/>
            <w:vAlign w:val="bottom"/>
            <w:hideMark/>
          </w:tcPr>
          <w:p w14:paraId="4BEA302E" w14:textId="77777777" w:rsidR="00EC492E" w:rsidRPr="00824D31" w:rsidRDefault="00EC492E" w:rsidP="00EC492E">
            <w:pPr>
              <w:ind w:firstLine="0"/>
            </w:pPr>
            <w:r w:rsidRPr="00824D31">
              <w:t>457</w:t>
            </w:r>
          </w:p>
        </w:tc>
        <w:tc>
          <w:tcPr>
            <w:tcW w:w="1276" w:type="dxa"/>
            <w:tcBorders>
              <w:top w:val="nil"/>
              <w:left w:val="nil"/>
              <w:bottom w:val="single" w:sz="4" w:space="0" w:color="auto"/>
              <w:right w:val="single" w:sz="4" w:space="0" w:color="auto"/>
            </w:tcBorders>
            <w:noWrap/>
            <w:vAlign w:val="bottom"/>
            <w:hideMark/>
          </w:tcPr>
          <w:p w14:paraId="7247325E" w14:textId="77777777" w:rsidR="00EC492E" w:rsidRPr="00824D31" w:rsidRDefault="00EC492E" w:rsidP="00EC492E">
            <w:pPr>
              <w:ind w:firstLine="0"/>
            </w:pPr>
            <w:r w:rsidRPr="00824D31">
              <w:t>1,73%</w:t>
            </w:r>
          </w:p>
        </w:tc>
      </w:tr>
      <w:tr w:rsidR="00EC492E" w:rsidRPr="00824D31" w14:paraId="492A37F5" w14:textId="77777777" w:rsidTr="00077638">
        <w:trPr>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1504B15" w14:textId="77777777" w:rsidR="00EC492E" w:rsidRPr="00824D31" w:rsidRDefault="00EC492E" w:rsidP="00EC492E">
            <w:pPr>
              <w:ind w:firstLine="0"/>
            </w:pPr>
          </w:p>
        </w:tc>
        <w:tc>
          <w:tcPr>
            <w:tcW w:w="1344" w:type="dxa"/>
            <w:tcBorders>
              <w:top w:val="single" w:sz="4" w:space="0" w:color="auto"/>
              <w:left w:val="single" w:sz="4" w:space="0" w:color="auto"/>
              <w:bottom w:val="single" w:sz="4" w:space="0" w:color="auto"/>
              <w:right w:val="single" w:sz="4" w:space="0" w:color="auto"/>
            </w:tcBorders>
            <w:noWrap/>
            <w:vAlign w:val="bottom"/>
            <w:hideMark/>
          </w:tcPr>
          <w:p w14:paraId="505D2691" w14:textId="77777777" w:rsidR="00EC492E" w:rsidRPr="00824D31" w:rsidRDefault="00EC492E" w:rsidP="00EC492E">
            <w:pPr>
              <w:ind w:firstLine="0"/>
            </w:pPr>
            <w:r w:rsidRPr="00824D31">
              <w:t>1011</w:t>
            </w:r>
          </w:p>
        </w:tc>
        <w:tc>
          <w:tcPr>
            <w:tcW w:w="3462" w:type="dxa"/>
            <w:tcBorders>
              <w:top w:val="nil"/>
              <w:left w:val="nil"/>
              <w:bottom w:val="single" w:sz="4" w:space="0" w:color="auto"/>
              <w:right w:val="single" w:sz="4" w:space="0" w:color="auto"/>
            </w:tcBorders>
            <w:vAlign w:val="center"/>
            <w:hideMark/>
          </w:tcPr>
          <w:p w14:paraId="209D5C86" w14:textId="77777777" w:rsidR="00EC492E" w:rsidRPr="00824D31" w:rsidRDefault="00EC492E" w:rsidP="00EC492E">
            <w:pPr>
              <w:ind w:firstLine="0"/>
            </w:pPr>
            <w:r w:rsidRPr="00824D31">
              <w:t>Линии электропередач воздушные</w:t>
            </w:r>
          </w:p>
        </w:tc>
        <w:tc>
          <w:tcPr>
            <w:tcW w:w="1417" w:type="dxa"/>
            <w:tcBorders>
              <w:top w:val="nil"/>
              <w:left w:val="nil"/>
              <w:bottom w:val="single" w:sz="4" w:space="0" w:color="auto"/>
              <w:right w:val="single" w:sz="4" w:space="0" w:color="auto"/>
            </w:tcBorders>
            <w:noWrap/>
            <w:vAlign w:val="bottom"/>
            <w:hideMark/>
          </w:tcPr>
          <w:p w14:paraId="4FF33DF8" w14:textId="77777777" w:rsidR="00EC492E" w:rsidRPr="00824D31" w:rsidRDefault="00EC492E" w:rsidP="00EC492E">
            <w:pPr>
              <w:ind w:firstLine="0"/>
            </w:pPr>
            <w:r w:rsidRPr="00824D31">
              <w:t>3186</w:t>
            </w:r>
          </w:p>
        </w:tc>
        <w:tc>
          <w:tcPr>
            <w:tcW w:w="1276" w:type="dxa"/>
            <w:tcBorders>
              <w:top w:val="nil"/>
              <w:left w:val="nil"/>
              <w:bottom w:val="single" w:sz="4" w:space="0" w:color="auto"/>
              <w:right w:val="single" w:sz="4" w:space="0" w:color="auto"/>
            </w:tcBorders>
            <w:noWrap/>
            <w:vAlign w:val="bottom"/>
            <w:hideMark/>
          </w:tcPr>
          <w:p w14:paraId="419D4343" w14:textId="77777777" w:rsidR="00EC492E" w:rsidRPr="00824D31" w:rsidRDefault="00EC492E" w:rsidP="00EC492E">
            <w:pPr>
              <w:ind w:firstLine="0"/>
            </w:pPr>
            <w:r w:rsidRPr="00824D31">
              <w:t>12,09%</w:t>
            </w:r>
          </w:p>
        </w:tc>
      </w:tr>
      <w:tr w:rsidR="00EC492E" w:rsidRPr="00824D31" w14:paraId="5050F364" w14:textId="77777777" w:rsidTr="00077638">
        <w:trPr>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3B18AF1" w14:textId="77777777" w:rsidR="00EC492E" w:rsidRPr="00824D31" w:rsidRDefault="00EC492E" w:rsidP="00EC492E">
            <w:pPr>
              <w:ind w:firstLine="0"/>
            </w:pPr>
          </w:p>
        </w:tc>
        <w:tc>
          <w:tcPr>
            <w:tcW w:w="1344" w:type="dxa"/>
            <w:tcBorders>
              <w:top w:val="single" w:sz="4" w:space="0" w:color="auto"/>
              <w:left w:val="single" w:sz="4" w:space="0" w:color="auto"/>
              <w:bottom w:val="single" w:sz="4" w:space="0" w:color="auto"/>
              <w:right w:val="single" w:sz="4" w:space="0" w:color="auto"/>
            </w:tcBorders>
            <w:noWrap/>
            <w:vAlign w:val="bottom"/>
            <w:hideMark/>
          </w:tcPr>
          <w:p w14:paraId="7D2C30B0" w14:textId="77777777" w:rsidR="00EC492E" w:rsidRPr="00824D31" w:rsidRDefault="00EC492E" w:rsidP="00EC492E">
            <w:pPr>
              <w:ind w:firstLine="0"/>
            </w:pPr>
            <w:r w:rsidRPr="00824D31">
              <w:t>1012</w:t>
            </w:r>
          </w:p>
        </w:tc>
        <w:tc>
          <w:tcPr>
            <w:tcW w:w="3462" w:type="dxa"/>
            <w:tcBorders>
              <w:top w:val="nil"/>
              <w:left w:val="nil"/>
              <w:bottom w:val="single" w:sz="4" w:space="0" w:color="auto"/>
              <w:right w:val="single" w:sz="4" w:space="0" w:color="auto"/>
            </w:tcBorders>
            <w:vAlign w:val="center"/>
            <w:hideMark/>
          </w:tcPr>
          <w:p w14:paraId="2354DAEE" w14:textId="77777777" w:rsidR="00EC492E" w:rsidRPr="00824D31" w:rsidRDefault="00EC492E" w:rsidP="00EC492E">
            <w:pPr>
              <w:ind w:firstLine="0"/>
            </w:pPr>
            <w:r w:rsidRPr="00824D31">
              <w:t>Сети газораспределительные</w:t>
            </w:r>
          </w:p>
        </w:tc>
        <w:tc>
          <w:tcPr>
            <w:tcW w:w="1417" w:type="dxa"/>
            <w:tcBorders>
              <w:top w:val="nil"/>
              <w:left w:val="nil"/>
              <w:bottom w:val="single" w:sz="4" w:space="0" w:color="auto"/>
              <w:right w:val="single" w:sz="4" w:space="0" w:color="auto"/>
            </w:tcBorders>
            <w:noWrap/>
            <w:vAlign w:val="bottom"/>
            <w:hideMark/>
          </w:tcPr>
          <w:p w14:paraId="095FB435" w14:textId="77777777" w:rsidR="00EC492E" w:rsidRPr="00824D31" w:rsidRDefault="00EC492E" w:rsidP="00EC492E">
            <w:pPr>
              <w:ind w:firstLine="0"/>
            </w:pPr>
            <w:r w:rsidRPr="00824D31">
              <w:t>1834</w:t>
            </w:r>
          </w:p>
        </w:tc>
        <w:tc>
          <w:tcPr>
            <w:tcW w:w="1276" w:type="dxa"/>
            <w:tcBorders>
              <w:top w:val="nil"/>
              <w:left w:val="nil"/>
              <w:bottom w:val="single" w:sz="4" w:space="0" w:color="auto"/>
              <w:right w:val="single" w:sz="4" w:space="0" w:color="auto"/>
            </w:tcBorders>
            <w:noWrap/>
            <w:vAlign w:val="bottom"/>
            <w:hideMark/>
          </w:tcPr>
          <w:p w14:paraId="3790FD44" w14:textId="77777777" w:rsidR="00EC492E" w:rsidRPr="00824D31" w:rsidRDefault="00EC492E" w:rsidP="00EC492E">
            <w:pPr>
              <w:ind w:firstLine="0"/>
            </w:pPr>
            <w:r w:rsidRPr="00824D31">
              <w:t>6,96%</w:t>
            </w:r>
          </w:p>
        </w:tc>
      </w:tr>
      <w:tr w:rsidR="00EC492E" w:rsidRPr="00824D31" w14:paraId="1EA94083" w14:textId="77777777" w:rsidTr="00077638">
        <w:trPr>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C962D6D" w14:textId="77777777" w:rsidR="00EC492E" w:rsidRPr="00824D31" w:rsidRDefault="00EC492E" w:rsidP="00EC492E">
            <w:pPr>
              <w:ind w:firstLine="0"/>
            </w:pPr>
          </w:p>
        </w:tc>
        <w:tc>
          <w:tcPr>
            <w:tcW w:w="1344" w:type="dxa"/>
            <w:tcBorders>
              <w:top w:val="single" w:sz="4" w:space="0" w:color="auto"/>
              <w:left w:val="single" w:sz="4" w:space="0" w:color="auto"/>
              <w:bottom w:val="single" w:sz="4" w:space="0" w:color="auto"/>
              <w:right w:val="single" w:sz="4" w:space="0" w:color="auto"/>
            </w:tcBorders>
            <w:noWrap/>
            <w:vAlign w:val="bottom"/>
            <w:hideMark/>
          </w:tcPr>
          <w:p w14:paraId="3859903B" w14:textId="77777777" w:rsidR="00EC492E" w:rsidRPr="00824D31" w:rsidRDefault="00EC492E" w:rsidP="00EC492E">
            <w:pPr>
              <w:ind w:firstLine="0"/>
            </w:pPr>
            <w:r w:rsidRPr="00824D31">
              <w:t>1013</w:t>
            </w:r>
          </w:p>
        </w:tc>
        <w:tc>
          <w:tcPr>
            <w:tcW w:w="3462" w:type="dxa"/>
            <w:tcBorders>
              <w:top w:val="nil"/>
              <w:left w:val="nil"/>
              <w:bottom w:val="single" w:sz="4" w:space="0" w:color="auto"/>
              <w:right w:val="single" w:sz="4" w:space="0" w:color="auto"/>
            </w:tcBorders>
            <w:vAlign w:val="center"/>
            <w:hideMark/>
          </w:tcPr>
          <w:p w14:paraId="5EFEF4E8" w14:textId="77777777" w:rsidR="00EC492E" w:rsidRPr="00824D31" w:rsidRDefault="00EC492E" w:rsidP="00EC492E">
            <w:pPr>
              <w:ind w:firstLine="0"/>
            </w:pPr>
            <w:r w:rsidRPr="00824D31">
              <w:t>Гидротехнические сооружения: за исключением мостов, пирсов, причалов, набережных</w:t>
            </w:r>
          </w:p>
        </w:tc>
        <w:tc>
          <w:tcPr>
            <w:tcW w:w="1417" w:type="dxa"/>
            <w:tcBorders>
              <w:top w:val="nil"/>
              <w:left w:val="nil"/>
              <w:bottom w:val="single" w:sz="4" w:space="0" w:color="auto"/>
              <w:right w:val="single" w:sz="4" w:space="0" w:color="auto"/>
            </w:tcBorders>
            <w:noWrap/>
            <w:vAlign w:val="bottom"/>
            <w:hideMark/>
          </w:tcPr>
          <w:p w14:paraId="76066170" w14:textId="77777777" w:rsidR="00EC492E" w:rsidRPr="00824D31" w:rsidRDefault="00EC492E" w:rsidP="00EC492E">
            <w:pPr>
              <w:ind w:firstLine="0"/>
            </w:pPr>
            <w:r w:rsidRPr="00824D31">
              <w:t>811</w:t>
            </w:r>
          </w:p>
        </w:tc>
        <w:tc>
          <w:tcPr>
            <w:tcW w:w="1276" w:type="dxa"/>
            <w:tcBorders>
              <w:top w:val="nil"/>
              <w:left w:val="nil"/>
              <w:bottom w:val="single" w:sz="4" w:space="0" w:color="auto"/>
              <w:right w:val="single" w:sz="4" w:space="0" w:color="auto"/>
            </w:tcBorders>
            <w:noWrap/>
            <w:vAlign w:val="bottom"/>
            <w:hideMark/>
          </w:tcPr>
          <w:p w14:paraId="6DD4FADF" w14:textId="77777777" w:rsidR="00EC492E" w:rsidRPr="00824D31" w:rsidRDefault="00EC492E" w:rsidP="00EC492E">
            <w:pPr>
              <w:ind w:firstLine="0"/>
            </w:pPr>
            <w:r w:rsidRPr="00824D31">
              <w:t>3,08%</w:t>
            </w:r>
          </w:p>
        </w:tc>
      </w:tr>
      <w:tr w:rsidR="00EC492E" w:rsidRPr="00824D31" w14:paraId="3DA0FC52" w14:textId="77777777" w:rsidTr="00077638">
        <w:trPr>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E1CB309" w14:textId="77777777" w:rsidR="00EC492E" w:rsidRPr="00824D31" w:rsidRDefault="00EC492E" w:rsidP="00EC492E">
            <w:pPr>
              <w:ind w:firstLine="0"/>
            </w:pPr>
          </w:p>
        </w:tc>
        <w:tc>
          <w:tcPr>
            <w:tcW w:w="1344" w:type="dxa"/>
            <w:tcBorders>
              <w:top w:val="single" w:sz="4" w:space="0" w:color="auto"/>
              <w:left w:val="single" w:sz="4" w:space="0" w:color="auto"/>
              <w:bottom w:val="single" w:sz="4" w:space="0" w:color="auto"/>
              <w:right w:val="single" w:sz="4" w:space="0" w:color="auto"/>
            </w:tcBorders>
            <w:noWrap/>
            <w:vAlign w:val="bottom"/>
            <w:hideMark/>
          </w:tcPr>
          <w:p w14:paraId="0E0D4B1F" w14:textId="77777777" w:rsidR="00EC492E" w:rsidRPr="00824D31" w:rsidRDefault="00EC492E" w:rsidP="00EC492E">
            <w:pPr>
              <w:ind w:firstLine="0"/>
            </w:pPr>
            <w:r w:rsidRPr="00824D31">
              <w:t>1014</w:t>
            </w:r>
          </w:p>
        </w:tc>
        <w:tc>
          <w:tcPr>
            <w:tcW w:w="3462" w:type="dxa"/>
            <w:tcBorders>
              <w:top w:val="nil"/>
              <w:left w:val="nil"/>
              <w:bottom w:val="single" w:sz="4" w:space="0" w:color="auto"/>
              <w:right w:val="single" w:sz="4" w:space="0" w:color="auto"/>
            </w:tcBorders>
            <w:vAlign w:val="center"/>
            <w:hideMark/>
          </w:tcPr>
          <w:p w14:paraId="2F07987D" w14:textId="77777777" w:rsidR="00EC492E" w:rsidRPr="00824D31" w:rsidRDefault="00EC492E" w:rsidP="00EC492E">
            <w:pPr>
              <w:ind w:firstLine="0"/>
            </w:pPr>
            <w:r w:rsidRPr="00824D31">
              <w:t>Сети канализационные тоннельные коллекторы</w:t>
            </w:r>
          </w:p>
        </w:tc>
        <w:tc>
          <w:tcPr>
            <w:tcW w:w="1417" w:type="dxa"/>
            <w:tcBorders>
              <w:top w:val="nil"/>
              <w:left w:val="nil"/>
              <w:bottom w:val="single" w:sz="4" w:space="0" w:color="auto"/>
              <w:right w:val="single" w:sz="4" w:space="0" w:color="auto"/>
            </w:tcBorders>
            <w:noWrap/>
            <w:vAlign w:val="bottom"/>
            <w:hideMark/>
          </w:tcPr>
          <w:p w14:paraId="5171BE0A" w14:textId="77777777" w:rsidR="00EC492E" w:rsidRPr="00824D31" w:rsidRDefault="00EC492E" w:rsidP="00EC492E">
            <w:pPr>
              <w:ind w:firstLine="0"/>
            </w:pPr>
            <w:r w:rsidRPr="00824D31">
              <w:t>197</w:t>
            </w:r>
          </w:p>
        </w:tc>
        <w:tc>
          <w:tcPr>
            <w:tcW w:w="1276" w:type="dxa"/>
            <w:tcBorders>
              <w:top w:val="nil"/>
              <w:left w:val="nil"/>
              <w:bottom w:val="single" w:sz="4" w:space="0" w:color="auto"/>
              <w:right w:val="single" w:sz="4" w:space="0" w:color="auto"/>
            </w:tcBorders>
            <w:noWrap/>
            <w:vAlign w:val="bottom"/>
            <w:hideMark/>
          </w:tcPr>
          <w:p w14:paraId="13945C2E" w14:textId="77777777" w:rsidR="00EC492E" w:rsidRPr="00824D31" w:rsidRDefault="00EC492E" w:rsidP="00EC492E">
            <w:pPr>
              <w:ind w:firstLine="0"/>
            </w:pPr>
            <w:r w:rsidRPr="00824D31">
              <w:t>0,75%</w:t>
            </w:r>
          </w:p>
        </w:tc>
      </w:tr>
      <w:tr w:rsidR="00EC492E" w:rsidRPr="00824D31" w14:paraId="63A70A9B" w14:textId="77777777" w:rsidTr="00077638">
        <w:trPr>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3FCA4B0" w14:textId="77777777" w:rsidR="00EC492E" w:rsidRPr="00824D31" w:rsidRDefault="00EC492E" w:rsidP="00EC492E">
            <w:pPr>
              <w:ind w:firstLine="0"/>
            </w:pPr>
          </w:p>
        </w:tc>
        <w:tc>
          <w:tcPr>
            <w:tcW w:w="1344" w:type="dxa"/>
            <w:tcBorders>
              <w:top w:val="single" w:sz="4" w:space="0" w:color="auto"/>
              <w:left w:val="single" w:sz="4" w:space="0" w:color="auto"/>
              <w:bottom w:val="single" w:sz="4" w:space="0" w:color="auto"/>
              <w:right w:val="single" w:sz="4" w:space="0" w:color="auto"/>
            </w:tcBorders>
            <w:noWrap/>
            <w:vAlign w:val="bottom"/>
            <w:hideMark/>
          </w:tcPr>
          <w:p w14:paraId="6E46D80A" w14:textId="77777777" w:rsidR="00EC492E" w:rsidRPr="00824D31" w:rsidRDefault="00EC492E" w:rsidP="00EC492E">
            <w:pPr>
              <w:ind w:firstLine="0"/>
            </w:pPr>
            <w:r w:rsidRPr="00824D31">
              <w:t>1015</w:t>
            </w:r>
          </w:p>
        </w:tc>
        <w:tc>
          <w:tcPr>
            <w:tcW w:w="3462" w:type="dxa"/>
            <w:tcBorders>
              <w:top w:val="nil"/>
              <w:left w:val="nil"/>
              <w:bottom w:val="single" w:sz="4" w:space="0" w:color="auto"/>
              <w:right w:val="single" w:sz="4" w:space="0" w:color="auto"/>
            </w:tcBorders>
            <w:vAlign w:val="center"/>
            <w:hideMark/>
          </w:tcPr>
          <w:p w14:paraId="2EDAEB40" w14:textId="77777777" w:rsidR="00EC492E" w:rsidRPr="00824D31" w:rsidRDefault="00EC492E" w:rsidP="00EC492E">
            <w:pPr>
              <w:ind w:firstLine="0"/>
            </w:pPr>
            <w:r w:rsidRPr="00824D31">
              <w:t>Сети тепловые</w:t>
            </w:r>
          </w:p>
        </w:tc>
        <w:tc>
          <w:tcPr>
            <w:tcW w:w="1417" w:type="dxa"/>
            <w:tcBorders>
              <w:top w:val="nil"/>
              <w:left w:val="nil"/>
              <w:bottom w:val="single" w:sz="4" w:space="0" w:color="auto"/>
              <w:right w:val="single" w:sz="4" w:space="0" w:color="auto"/>
            </w:tcBorders>
            <w:noWrap/>
            <w:vAlign w:val="bottom"/>
            <w:hideMark/>
          </w:tcPr>
          <w:p w14:paraId="1F7FB438" w14:textId="77777777" w:rsidR="00EC492E" w:rsidRPr="00824D31" w:rsidRDefault="00EC492E" w:rsidP="00EC492E">
            <w:pPr>
              <w:ind w:firstLine="0"/>
            </w:pPr>
            <w:r w:rsidRPr="00824D31">
              <w:t>2169</w:t>
            </w:r>
          </w:p>
        </w:tc>
        <w:tc>
          <w:tcPr>
            <w:tcW w:w="1276" w:type="dxa"/>
            <w:tcBorders>
              <w:top w:val="nil"/>
              <w:left w:val="nil"/>
              <w:bottom w:val="single" w:sz="4" w:space="0" w:color="auto"/>
              <w:right w:val="single" w:sz="4" w:space="0" w:color="auto"/>
            </w:tcBorders>
            <w:noWrap/>
            <w:vAlign w:val="bottom"/>
            <w:hideMark/>
          </w:tcPr>
          <w:p w14:paraId="01318424" w14:textId="77777777" w:rsidR="00EC492E" w:rsidRPr="00824D31" w:rsidRDefault="00EC492E" w:rsidP="00EC492E">
            <w:pPr>
              <w:ind w:firstLine="0"/>
            </w:pPr>
            <w:r w:rsidRPr="00824D31">
              <w:t>8,23%</w:t>
            </w:r>
          </w:p>
        </w:tc>
      </w:tr>
      <w:tr w:rsidR="00EC492E" w:rsidRPr="00824D31" w14:paraId="4527954B" w14:textId="77777777" w:rsidTr="00077638">
        <w:trPr>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A4EB8A0" w14:textId="77777777" w:rsidR="00EC492E" w:rsidRPr="00824D31" w:rsidRDefault="00EC492E" w:rsidP="00EC492E">
            <w:pPr>
              <w:ind w:firstLine="0"/>
            </w:pPr>
          </w:p>
        </w:tc>
        <w:tc>
          <w:tcPr>
            <w:tcW w:w="1344" w:type="dxa"/>
            <w:tcBorders>
              <w:top w:val="single" w:sz="4" w:space="0" w:color="auto"/>
              <w:left w:val="single" w:sz="4" w:space="0" w:color="auto"/>
              <w:bottom w:val="single" w:sz="4" w:space="0" w:color="auto"/>
              <w:right w:val="single" w:sz="4" w:space="0" w:color="auto"/>
            </w:tcBorders>
            <w:noWrap/>
            <w:vAlign w:val="bottom"/>
            <w:hideMark/>
          </w:tcPr>
          <w:p w14:paraId="590D88AC" w14:textId="77777777" w:rsidR="00EC492E" w:rsidRPr="00824D31" w:rsidRDefault="00EC492E" w:rsidP="00EC492E">
            <w:pPr>
              <w:ind w:firstLine="0"/>
            </w:pPr>
            <w:r w:rsidRPr="00824D31">
              <w:t>1016</w:t>
            </w:r>
          </w:p>
        </w:tc>
        <w:tc>
          <w:tcPr>
            <w:tcW w:w="3462" w:type="dxa"/>
            <w:tcBorders>
              <w:top w:val="nil"/>
              <w:left w:val="nil"/>
              <w:bottom w:val="single" w:sz="4" w:space="0" w:color="auto"/>
              <w:right w:val="single" w:sz="4" w:space="0" w:color="auto"/>
            </w:tcBorders>
            <w:vAlign w:val="center"/>
            <w:hideMark/>
          </w:tcPr>
          <w:p w14:paraId="77411150" w14:textId="77777777" w:rsidR="00EC492E" w:rsidRPr="00824D31" w:rsidRDefault="00EC492E" w:rsidP="00EC492E">
            <w:pPr>
              <w:ind w:firstLine="0"/>
            </w:pPr>
            <w:r w:rsidRPr="00824D31">
              <w:t>Сети водопроводные</w:t>
            </w:r>
          </w:p>
        </w:tc>
        <w:tc>
          <w:tcPr>
            <w:tcW w:w="1417" w:type="dxa"/>
            <w:tcBorders>
              <w:top w:val="nil"/>
              <w:left w:val="nil"/>
              <w:bottom w:val="single" w:sz="4" w:space="0" w:color="auto"/>
              <w:right w:val="single" w:sz="4" w:space="0" w:color="auto"/>
            </w:tcBorders>
            <w:noWrap/>
            <w:vAlign w:val="bottom"/>
            <w:hideMark/>
          </w:tcPr>
          <w:p w14:paraId="16421A4F" w14:textId="77777777" w:rsidR="00EC492E" w:rsidRPr="00824D31" w:rsidRDefault="00EC492E" w:rsidP="00EC492E">
            <w:pPr>
              <w:ind w:firstLine="0"/>
            </w:pPr>
            <w:r w:rsidRPr="00824D31">
              <w:t>1162</w:t>
            </w:r>
          </w:p>
        </w:tc>
        <w:tc>
          <w:tcPr>
            <w:tcW w:w="1276" w:type="dxa"/>
            <w:tcBorders>
              <w:top w:val="nil"/>
              <w:left w:val="nil"/>
              <w:bottom w:val="single" w:sz="4" w:space="0" w:color="auto"/>
              <w:right w:val="single" w:sz="4" w:space="0" w:color="auto"/>
            </w:tcBorders>
            <w:noWrap/>
            <w:vAlign w:val="bottom"/>
            <w:hideMark/>
          </w:tcPr>
          <w:p w14:paraId="00F80013" w14:textId="77777777" w:rsidR="00EC492E" w:rsidRPr="00824D31" w:rsidRDefault="00EC492E" w:rsidP="00EC492E">
            <w:pPr>
              <w:ind w:firstLine="0"/>
            </w:pPr>
            <w:r w:rsidRPr="00824D31">
              <w:t>4,41%</w:t>
            </w:r>
          </w:p>
        </w:tc>
      </w:tr>
      <w:tr w:rsidR="00EC492E" w:rsidRPr="00824D31" w14:paraId="75E9978D" w14:textId="77777777" w:rsidTr="00077638">
        <w:trPr>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A974786" w14:textId="77777777" w:rsidR="00EC492E" w:rsidRPr="00824D31" w:rsidRDefault="00EC492E" w:rsidP="00EC492E">
            <w:pPr>
              <w:ind w:firstLine="0"/>
            </w:pPr>
          </w:p>
        </w:tc>
        <w:tc>
          <w:tcPr>
            <w:tcW w:w="1344" w:type="dxa"/>
            <w:tcBorders>
              <w:top w:val="single" w:sz="4" w:space="0" w:color="auto"/>
              <w:left w:val="single" w:sz="4" w:space="0" w:color="auto"/>
              <w:bottom w:val="single" w:sz="4" w:space="0" w:color="auto"/>
              <w:right w:val="single" w:sz="4" w:space="0" w:color="auto"/>
            </w:tcBorders>
            <w:noWrap/>
            <w:vAlign w:val="bottom"/>
            <w:hideMark/>
          </w:tcPr>
          <w:p w14:paraId="389FA67D" w14:textId="77777777" w:rsidR="00EC492E" w:rsidRPr="00824D31" w:rsidRDefault="00EC492E" w:rsidP="00EC492E">
            <w:pPr>
              <w:ind w:firstLine="0"/>
            </w:pPr>
            <w:r w:rsidRPr="00824D31">
              <w:t>1017</w:t>
            </w:r>
          </w:p>
        </w:tc>
        <w:tc>
          <w:tcPr>
            <w:tcW w:w="3462" w:type="dxa"/>
            <w:tcBorders>
              <w:top w:val="nil"/>
              <w:left w:val="nil"/>
              <w:bottom w:val="single" w:sz="4" w:space="0" w:color="auto"/>
              <w:right w:val="single" w:sz="4" w:space="0" w:color="auto"/>
            </w:tcBorders>
            <w:vAlign w:val="center"/>
            <w:hideMark/>
          </w:tcPr>
          <w:p w14:paraId="5FC2D5D6" w14:textId="77777777" w:rsidR="00EC492E" w:rsidRPr="00824D31" w:rsidRDefault="00EC492E" w:rsidP="00EC492E">
            <w:pPr>
              <w:ind w:firstLine="0"/>
            </w:pPr>
            <w:r w:rsidRPr="00824D31">
              <w:t>Сети канализационные, без коллекторов</w:t>
            </w:r>
          </w:p>
        </w:tc>
        <w:tc>
          <w:tcPr>
            <w:tcW w:w="1417" w:type="dxa"/>
            <w:tcBorders>
              <w:top w:val="nil"/>
              <w:left w:val="nil"/>
              <w:bottom w:val="single" w:sz="4" w:space="0" w:color="auto"/>
              <w:right w:val="single" w:sz="4" w:space="0" w:color="auto"/>
            </w:tcBorders>
            <w:noWrap/>
            <w:vAlign w:val="bottom"/>
            <w:hideMark/>
          </w:tcPr>
          <w:p w14:paraId="50925712" w14:textId="77777777" w:rsidR="00EC492E" w:rsidRPr="00824D31" w:rsidRDefault="00EC492E" w:rsidP="00EC492E">
            <w:pPr>
              <w:ind w:firstLine="0"/>
            </w:pPr>
            <w:r w:rsidRPr="00824D31">
              <w:t>883</w:t>
            </w:r>
          </w:p>
        </w:tc>
        <w:tc>
          <w:tcPr>
            <w:tcW w:w="1276" w:type="dxa"/>
            <w:tcBorders>
              <w:top w:val="nil"/>
              <w:left w:val="nil"/>
              <w:bottom w:val="single" w:sz="4" w:space="0" w:color="auto"/>
              <w:right w:val="single" w:sz="4" w:space="0" w:color="auto"/>
            </w:tcBorders>
            <w:noWrap/>
            <w:vAlign w:val="bottom"/>
            <w:hideMark/>
          </w:tcPr>
          <w:p w14:paraId="19232FB3" w14:textId="77777777" w:rsidR="00EC492E" w:rsidRPr="00824D31" w:rsidRDefault="00EC492E" w:rsidP="00EC492E">
            <w:pPr>
              <w:ind w:firstLine="0"/>
            </w:pPr>
            <w:r w:rsidRPr="00824D31">
              <w:t>3,35%</w:t>
            </w:r>
          </w:p>
        </w:tc>
      </w:tr>
      <w:tr w:rsidR="00EC492E" w:rsidRPr="00824D31" w14:paraId="084551D5" w14:textId="77777777" w:rsidTr="00077638">
        <w:trPr>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D67FEE6" w14:textId="77777777" w:rsidR="00EC492E" w:rsidRPr="00824D31" w:rsidRDefault="00EC492E" w:rsidP="00EC492E">
            <w:pPr>
              <w:ind w:firstLine="0"/>
            </w:pPr>
          </w:p>
        </w:tc>
        <w:tc>
          <w:tcPr>
            <w:tcW w:w="1344" w:type="dxa"/>
            <w:tcBorders>
              <w:top w:val="single" w:sz="4" w:space="0" w:color="auto"/>
              <w:left w:val="single" w:sz="4" w:space="0" w:color="auto"/>
              <w:bottom w:val="single" w:sz="4" w:space="0" w:color="auto"/>
              <w:right w:val="single" w:sz="4" w:space="0" w:color="auto"/>
            </w:tcBorders>
            <w:noWrap/>
            <w:vAlign w:val="bottom"/>
            <w:hideMark/>
          </w:tcPr>
          <w:p w14:paraId="39AA8F01" w14:textId="77777777" w:rsidR="00EC492E" w:rsidRPr="00824D31" w:rsidRDefault="00EC492E" w:rsidP="00EC492E">
            <w:pPr>
              <w:ind w:firstLine="0"/>
            </w:pPr>
            <w:r w:rsidRPr="00824D31">
              <w:t>1018</w:t>
            </w:r>
          </w:p>
        </w:tc>
        <w:tc>
          <w:tcPr>
            <w:tcW w:w="3462" w:type="dxa"/>
            <w:tcBorders>
              <w:top w:val="nil"/>
              <w:left w:val="nil"/>
              <w:bottom w:val="single" w:sz="4" w:space="0" w:color="auto"/>
              <w:right w:val="single" w:sz="4" w:space="0" w:color="auto"/>
            </w:tcBorders>
            <w:vAlign w:val="center"/>
            <w:hideMark/>
          </w:tcPr>
          <w:p w14:paraId="5F3CDDD9" w14:textId="77777777" w:rsidR="00EC492E" w:rsidRPr="00824D31" w:rsidRDefault="00EC492E" w:rsidP="00EC492E">
            <w:pPr>
              <w:ind w:firstLine="0"/>
            </w:pPr>
            <w:r w:rsidRPr="00824D31">
              <w:t>Фонтаны</w:t>
            </w:r>
          </w:p>
        </w:tc>
        <w:tc>
          <w:tcPr>
            <w:tcW w:w="1417" w:type="dxa"/>
            <w:tcBorders>
              <w:top w:val="nil"/>
              <w:left w:val="nil"/>
              <w:bottom w:val="single" w:sz="4" w:space="0" w:color="auto"/>
              <w:right w:val="single" w:sz="4" w:space="0" w:color="auto"/>
            </w:tcBorders>
            <w:noWrap/>
            <w:vAlign w:val="bottom"/>
            <w:hideMark/>
          </w:tcPr>
          <w:p w14:paraId="3D17A86C" w14:textId="77777777" w:rsidR="00EC492E" w:rsidRPr="00824D31" w:rsidRDefault="00EC492E" w:rsidP="00EC492E">
            <w:pPr>
              <w:ind w:firstLine="0"/>
            </w:pPr>
            <w:r w:rsidRPr="00824D31">
              <w:t>9</w:t>
            </w:r>
          </w:p>
        </w:tc>
        <w:tc>
          <w:tcPr>
            <w:tcW w:w="1276" w:type="dxa"/>
            <w:tcBorders>
              <w:top w:val="nil"/>
              <w:left w:val="nil"/>
              <w:bottom w:val="single" w:sz="4" w:space="0" w:color="auto"/>
              <w:right w:val="single" w:sz="4" w:space="0" w:color="auto"/>
            </w:tcBorders>
            <w:noWrap/>
            <w:vAlign w:val="bottom"/>
            <w:hideMark/>
          </w:tcPr>
          <w:p w14:paraId="4FA501DD" w14:textId="77777777" w:rsidR="00EC492E" w:rsidRPr="00824D31" w:rsidRDefault="00EC492E" w:rsidP="00EC492E">
            <w:pPr>
              <w:ind w:firstLine="0"/>
            </w:pPr>
            <w:r w:rsidRPr="00824D31">
              <w:t>0,03%</w:t>
            </w:r>
          </w:p>
        </w:tc>
      </w:tr>
      <w:tr w:rsidR="00EC492E" w:rsidRPr="00824D31" w14:paraId="61D15193" w14:textId="77777777" w:rsidTr="00077638">
        <w:trPr>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66103FC" w14:textId="77777777" w:rsidR="00EC492E" w:rsidRPr="00824D31" w:rsidRDefault="00EC492E" w:rsidP="00EC492E">
            <w:pPr>
              <w:ind w:firstLine="0"/>
            </w:pPr>
          </w:p>
        </w:tc>
        <w:tc>
          <w:tcPr>
            <w:tcW w:w="1344" w:type="dxa"/>
            <w:tcBorders>
              <w:top w:val="single" w:sz="4" w:space="0" w:color="auto"/>
              <w:left w:val="single" w:sz="4" w:space="0" w:color="auto"/>
              <w:bottom w:val="single" w:sz="4" w:space="0" w:color="auto"/>
              <w:right w:val="single" w:sz="4" w:space="0" w:color="auto"/>
            </w:tcBorders>
            <w:noWrap/>
            <w:vAlign w:val="bottom"/>
            <w:hideMark/>
          </w:tcPr>
          <w:p w14:paraId="32E2CFD0" w14:textId="77777777" w:rsidR="00EC492E" w:rsidRPr="00824D31" w:rsidRDefault="00EC492E" w:rsidP="00EC492E">
            <w:pPr>
              <w:ind w:firstLine="0"/>
            </w:pPr>
            <w:r w:rsidRPr="00824D31">
              <w:t>1019</w:t>
            </w:r>
          </w:p>
        </w:tc>
        <w:tc>
          <w:tcPr>
            <w:tcW w:w="3462" w:type="dxa"/>
            <w:tcBorders>
              <w:top w:val="nil"/>
              <w:left w:val="nil"/>
              <w:bottom w:val="single" w:sz="4" w:space="0" w:color="auto"/>
              <w:right w:val="single" w:sz="4" w:space="0" w:color="auto"/>
            </w:tcBorders>
            <w:vAlign w:val="center"/>
            <w:hideMark/>
          </w:tcPr>
          <w:p w14:paraId="424B1C4E" w14:textId="77777777" w:rsidR="00EC492E" w:rsidRPr="00824D31" w:rsidRDefault="00EC492E" w:rsidP="00EC492E">
            <w:pPr>
              <w:ind w:firstLine="0"/>
            </w:pPr>
            <w:r w:rsidRPr="00824D31">
              <w:t>Градирни</w:t>
            </w:r>
          </w:p>
        </w:tc>
        <w:tc>
          <w:tcPr>
            <w:tcW w:w="1417" w:type="dxa"/>
            <w:tcBorders>
              <w:top w:val="nil"/>
              <w:left w:val="nil"/>
              <w:bottom w:val="single" w:sz="4" w:space="0" w:color="auto"/>
              <w:right w:val="single" w:sz="4" w:space="0" w:color="auto"/>
            </w:tcBorders>
            <w:noWrap/>
            <w:vAlign w:val="bottom"/>
            <w:hideMark/>
          </w:tcPr>
          <w:p w14:paraId="5689A996" w14:textId="77777777" w:rsidR="00EC492E" w:rsidRPr="00824D31" w:rsidRDefault="00EC492E" w:rsidP="00EC492E">
            <w:pPr>
              <w:ind w:firstLine="0"/>
            </w:pPr>
            <w:r w:rsidRPr="00824D31">
              <w:t>21</w:t>
            </w:r>
          </w:p>
        </w:tc>
        <w:tc>
          <w:tcPr>
            <w:tcW w:w="1276" w:type="dxa"/>
            <w:tcBorders>
              <w:top w:val="nil"/>
              <w:left w:val="nil"/>
              <w:bottom w:val="single" w:sz="4" w:space="0" w:color="auto"/>
              <w:right w:val="single" w:sz="4" w:space="0" w:color="auto"/>
            </w:tcBorders>
            <w:noWrap/>
            <w:vAlign w:val="bottom"/>
            <w:hideMark/>
          </w:tcPr>
          <w:p w14:paraId="7A3BC3BE" w14:textId="77777777" w:rsidR="00EC492E" w:rsidRPr="00824D31" w:rsidRDefault="00EC492E" w:rsidP="00EC492E">
            <w:pPr>
              <w:ind w:firstLine="0"/>
            </w:pPr>
            <w:r w:rsidRPr="00824D31">
              <w:t>0,08%</w:t>
            </w:r>
          </w:p>
        </w:tc>
      </w:tr>
      <w:tr w:rsidR="00EC492E" w:rsidRPr="00824D31" w14:paraId="2070C399" w14:textId="77777777" w:rsidTr="00077638">
        <w:trPr>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633507D" w14:textId="77777777" w:rsidR="00EC492E" w:rsidRPr="00824D31" w:rsidRDefault="00EC492E" w:rsidP="00EC492E">
            <w:pPr>
              <w:ind w:firstLine="0"/>
            </w:pPr>
          </w:p>
        </w:tc>
        <w:tc>
          <w:tcPr>
            <w:tcW w:w="1344" w:type="dxa"/>
            <w:tcBorders>
              <w:top w:val="single" w:sz="4" w:space="0" w:color="auto"/>
              <w:left w:val="single" w:sz="4" w:space="0" w:color="auto"/>
              <w:bottom w:val="single" w:sz="4" w:space="0" w:color="auto"/>
              <w:right w:val="single" w:sz="4" w:space="0" w:color="auto"/>
            </w:tcBorders>
            <w:noWrap/>
            <w:vAlign w:val="bottom"/>
            <w:hideMark/>
          </w:tcPr>
          <w:p w14:paraId="69A3AE50" w14:textId="77777777" w:rsidR="00EC492E" w:rsidRPr="00824D31" w:rsidRDefault="00EC492E" w:rsidP="00EC492E">
            <w:pPr>
              <w:ind w:firstLine="0"/>
            </w:pPr>
            <w:r w:rsidRPr="00824D31">
              <w:t>1020</w:t>
            </w:r>
          </w:p>
        </w:tc>
        <w:tc>
          <w:tcPr>
            <w:tcW w:w="3462" w:type="dxa"/>
            <w:tcBorders>
              <w:top w:val="nil"/>
              <w:left w:val="nil"/>
              <w:bottom w:val="single" w:sz="4" w:space="0" w:color="auto"/>
              <w:right w:val="single" w:sz="4" w:space="0" w:color="auto"/>
            </w:tcBorders>
            <w:vAlign w:val="center"/>
            <w:hideMark/>
          </w:tcPr>
          <w:p w14:paraId="47632A46" w14:textId="77777777" w:rsidR="00EC492E" w:rsidRPr="00824D31" w:rsidRDefault="00EC492E" w:rsidP="00EC492E">
            <w:pPr>
              <w:ind w:firstLine="0"/>
            </w:pPr>
            <w:r w:rsidRPr="00824D31">
              <w:t>Сети инженерные технологические</w:t>
            </w:r>
          </w:p>
        </w:tc>
        <w:tc>
          <w:tcPr>
            <w:tcW w:w="1417" w:type="dxa"/>
            <w:tcBorders>
              <w:top w:val="nil"/>
              <w:left w:val="nil"/>
              <w:bottom w:val="single" w:sz="4" w:space="0" w:color="auto"/>
              <w:right w:val="single" w:sz="4" w:space="0" w:color="auto"/>
            </w:tcBorders>
            <w:noWrap/>
            <w:vAlign w:val="bottom"/>
            <w:hideMark/>
          </w:tcPr>
          <w:p w14:paraId="425998E5" w14:textId="77777777" w:rsidR="00EC492E" w:rsidRPr="00824D31" w:rsidRDefault="00EC492E" w:rsidP="00EC492E">
            <w:pPr>
              <w:ind w:firstLine="0"/>
            </w:pPr>
            <w:r w:rsidRPr="00824D31">
              <w:t>396</w:t>
            </w:r>
          </w:p>
        </w:tc>
        <w:tc>
          <w:tcPr>
            <w:tcW w:w="1276" w:type="dxa"/>
            <w:tcBorders>
              <w:top w:val="nil"/>
              <w:left w:val="nil"/>
              <w:bottom w:val="single" w:sz="4" w:space="0" w:color="auto"/>
              <w:right w:val="single" w:sz="4" w:space="0" w:color="auto"/>
            </w:tcBorders>
            <w:noWrap/>
            <w:vAlign w:val="bottom"/>
            <w:hideMark/>
          </w:tcPr>
          <w:p w14:paraId="024B5E64" w14:textId="77777777" w:rsidR="00EC492E" w:rsidRPr="00824D31" w:rsidRDefault="00EC492E" w:rsidP="00EC492E">
            <w:pPr>
              <w:ind w:firstLine="0"/>
            </w:pPr>
            <w:r w:rsidRPr="00824D31">
              <w:t>1,50%</w:t>
            </w:r>
          </w:p>
        </w:tc>
      </w:tr>
      <w:tr w:rsidR="00EC492E" w:rsidRPr="00824D31" w14:paraId="5EC52A1C" w14:textId="77777777" w:rsidTr="00077638">
        <w:trPr>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10C90F0" w14:textId="77777777" w:rsidR="00EC492E" w:rsidRPr="00824D31" w:rsidRDefault="00EC492E" w:rsidP="00EC492E">
            <w:pPr>
              <w:ind w:firstLine="0"/>
            </w:pPr>
          </w:p>
        </w:tc>
        <w:tc>
          <w:tcPr>
            <w:tcW w:w="1344" w:type="dxa"/>
            <w:tcBorders>
              <w:top w:val="single" w:sz="4" w:space="0" w:color="auto"/>
              <w:left w:val="single" w:sz="4" w:space="0" w:color="auto"/>
              <w:bottom w:val="single" w:sz="4" w:space="0" w:color="auto"/>
              <w:right w:val="single" w:sz="4" w:space="0" w:color="auto"/>
            </w:tcBorders>
            <w:noWrap/>
            <w:vAlign w:val="bottom"/>
            <w:hideMark/>
          </w:tcPr>
          <w:p w14:paraId="7A21152F" w14:textId="77777777" w:rsidR="00EC492E" w:rsidRPr="00824D31" w:rsidRDefault="00EC492E" w:rsidP="00EC492E">
            <w:pPr>
              <w:ind w:firstLine="0"/>
            </w:pPr>
            <w:r w:rsidRPr="00824D31">
              <w:t>1022</w:t>
            </w:r>
          </w:p>
        </w:tc>
        <w:tc>
          <w:tcPr>
            <w:tcW w:w="3462" w:type="dxa"/>
            <w:tcBorders>
              <w:top w:val="nil"/>
              <w:left w:val="nil"/>
              <w:bottom w:val="single" w:sz="4" w:space="0" w:color="auto"/>
              <w:right w:val="single" w:sz="4" w:space="0" w:color="auto"/>
            </w:tcBorders>
            <w:vAlign w:val="center"/>
            <w:hideMark/>
          </w:tcPr>
          <w:p w14:paraId="6236AFA6" w14:textId="77777777" w:rsidR="00EC492E" w:rsidRPr="00824D31" w:rsidRDefault="00EC492E" w:rsidP="00EC492E">
            <w:pPr>
              <w:ind w:firstLine="0"/>
            </w:pPr>
            <w:r w:rsidRPr="00824D31">
              <w:t>Железнодорожные пути</w:t>
            </w:r>
          </w:p>
        </w:tc>
        <w:tc>
          <w:tcPr>
            <w:tcW w:w="1417" w:type="dxa"/>
            <w:tcBorders>
              <w:top w:val="nil"/>
              <w:left w:val="nil"/>
              <w:bottom w:val="single" w:sz="4" w:space="0" w:color="auto"/>
              <w:right w:val="single" w:sz="4" w:space="0" w:color="auto"/>
            </w:tcBorders>
            <w:noWrap/>
            <w:vAlign w:val="bottom"/>
            <w:hideMark/>
          </w:tcPr>
          <w:p w14:paraId="66FD4BA5" w14:textId="77777777" w:rsidR="00EC492E" w:rsidRPr="00824D31" w:rsidRDefault="00EC492E" w:rsidP="00EC492E">
            <w:pPr>
              <w:ind w:firstLine="0"/>
            </w:pPr>
            <w:r w:rsidRPr="00824D31">
              <w:t>211</w:t>
            </w:r>
          </w:p>
        </w:tc>
        <w:tc>
          <w:tcPr>
            <w:tcW w:w="1276" w:type="dxa"/>
            <w:tcBorders>
              <w:top w:val="nil"/>
              <w:left w:val="nil"/>
              <w:bottom w:val="single" w:sz="4" w:space="0" w:color="auto"/>
              <w:right w:val="single" w:sz="4" w:space="0" w:color="auto"/>
            </w:tcBorders>
            <w:noWrap/>
            <w:vAlign w:val="bottom"/>
            <w:hideMark/>
          </w:tcPr>
          <w:p w14:paraId="1E4BD8B4" w14:textId="77777777" w:rsidR="00EC492E" w:rsidRPr="00824D31" w:rsidRDefault="00EC492E" w:rsidP="00EC492E">
            <w:pPr>
              <w:ind w:firstLine="0"/>
            </w:pPr>
            <w:r w:rsidRPr="00824D31">
              <w:t>0,80%</w:t>
            </w:r>
          </w:p>
        </w:tc>
      </w:tr>
      <w:tr w:rsidR="00EC492E" w:rsidRPr="00824D31" w14:paraId="520A8CBD" w14:textId="77777777" w:rsidTr="00077638">
        <w:trPr>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CED6144" w14:textId="77777777" w:rsidR="00EC492E" w:rsidRPr="00824D31" w:rsidRDefault="00EC492E" w:rsidP="00EC492E">
            <w:pPr>
              <w:ind w:firstLine="0"/>
            </w:pPr>
          </w:p>
        </w:tc>
        <w:tc>
          <w:tcPr>
            <w:tcW w:w="1344" w:type="dxa"/>
            <w:tcBorders>
              <w:top w:val="single" w:sz="4" w:space="0" w:color="auto"/>
              <w:left w:val="single" w:sz="4" w:space="0" w:color="auto"/>
              <w:bottom w:val="single" w:sz="4" w:space="0" w:color="auto"/>
              <w:right w:val="single" w:sz="4" w:space="0" w:color="auto"/>
            </w:tcBorders>
            <w:noWrap/>
            <w:vAlign w:val="bottom"/>
            <w:hideMark/>
          </w:tcPr>
          <w:p w14:paraId="49B95986" w14:textId="77777777" w:rsidR="00EC492E" w:rsidRPr="00824D31" w:rsidRDefault="00EC492E" w:rsidP="00EC492E">
            <w:pPr>
              <w:ind w:firstLine="0"/>
            </w:pPr>
            <w:r w:rsidRPr="00824D31">
              <w:t>1023</w:t>
            </w:r>
          </w:p>
        </w:tc>
        <w:tc>
          <w:tcPr>
            <w:tcW w:w="3462" w:type="dxa"/>
            <w:tcBorders>
              <w:top w:val="nil"/>
              <w:left w:val="nil"/>
              <w:bottom w:val="single" w:sz="4" w:space="0" w:color="auto"/>
              <w:right w:val="single" w:sz="4" w:space="0" w:color="auto"/>
            </w:tcBorders>
            <w:vAlign w:val="center"/>
            <w:hideMark/>
          </w:tcPr>
          <w:p w14:paraId="66AC5221" w14:textId="77777777" w:rsidR="00EC492E" w:rsidRPr="00824D31" w:rsidRDefault="00EC492E" w:rsidP="00EC492E">
            <w:pPr>
              <w:ind w:firstLine="0"/>
            </w:pPr>
            <w:r w:rsidRPr="00824D31">
              <w:t>Подкрановые пути</w:t>
            </w:r>
          </w:p>
        </w:tc>
        <w:tc>
          <w:tcPr>
            <w:tcW w:w="1417" w:type="dxa"/>
            <w:tcBorders>
              <w:top w:val="nil"/>
              <w:left w:val="nil"/>
              <w:bottom w:val="single" w:sz="4" w:space="0" w:color="auto"/>
              <w:right w:val="single" w:sz="4" w:space="0" w:color="auto"/>
            </w:tcBorders>
            <w:noWrap/>
            <w:vAlign w:val="bottom"/>
            <w:hideMark/>
          </w:tcPr>
          <w:p w14:paraId="7BD79DC4" w14:textId="77777777" w:rsidR="00EC492E" w:rsidRPr="00824D31" w:rsidRDefault="00EC492E" w:rsidP="00EC492E">
            <w:pPr>
              <w:ind w:firstLine="0"/>
            </w:pPr>
            <w:r w:rsidRPr="00824D31">
              <w:t>26</w:t>
            </w:r>
          </w:p>
        </w:tc>
        <w:tc>
          <w:tcPr>
            <w:tcW w:w="1276" w:type="dxa"/>
            <w:tcBorders>
              <w:top w:val="nil"/>
              <w:left w:val="nil"/>
              <w:bottom w:val="single" w:sz="4" w:space="0" w:color="auto"/>
              <w:right w:val="single" w:sz="4" w:space="0" w:color="auto"/>
            </w:tcBorders>
            <w:noWrap/>
            <w:vAlign w:val="bottom"/>
            <w:hideMark/>
          </w:tcPr>
          <w:p w14:paraId="19CC69FB" w14:textId="77777777" w:rsidR="00EC492E" w:rsidRPr="00824D31" w:rsidRDefault="00EC492E" w:rsidP="00EC492E">
            <w:pPr>
              <w:ind w:firstLine="0"/>
            </w:pPr>
            <w:r w:rsidRPr="00824D31">
              <w:t>0,10%</w:t>
            </w:r>
          </w:p>
        </w:tc>
      </w:tr>
      <w:tr w:rsidR="00EC492E" w:rsidRPr="00824D31" w14:paraId="13825587" w14:textId="77777777" w:rsidTr="00077638">
        <w:trPr>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9C5FE3B" w14:textId="77777777" w:rsidR="00EC492E" w:rsidRPr="00824D31" w:rsidRDefault="00EC492E" w:rsidP="00EC492E">
            <w:pPr>
              <w:ind w:firstLine="0"/>
            </w:pPr>
          </w:p>
        </w:tc>
        <w:tc>
          <w:tcPr>
            <w:tcW w:w="1344" w:type="dxa"/>
            <w:tcBorders>
              <w:top w:val="single" w:sz="4" w:space="0" w:color="auto"/>
              <w:left w:val="single" w:sz="4" w:space="0" w:color="auto"/>
              <w:bottom w:val="single" w:sz="4" w:space="0" w:color="auto"/>
              <w:right w:val="single" w:sz="4" w:space="0" w:color="auto"/>
            </w:tcBorders>
            <w:noWrap/>
            <w:vAlign w:val="bottom"/>
            <w:hideMark/>
          </w:tcPr>
          <w:p w14:paraId="3BB719E4" w14:textId="77777777" w:rsidR="00EC492E" w:rsidRPr="00824D31" w:rsidRDefault="00EC492E" w:rsidP="00EC492E">
            <w:pPr>
              <w:ind w:firstLine="0"/>
            </w:pPr>
            <w:r w:rsidRPr="00824D31">
              <w:t>1024</w:t>
            </w:r>
          </w:p>
        </w:tc>
        <w:tc>
          <w:tcPr>
            <w:tcW w:w="3462" w:type="dxa"/>
            <w:tcBorders>
              <w:top w:val="nil"/>
              <w:left w:val="nil"/>
              <w:bottom w:val="single" w:sz="4" w:space="0" w:color="auto"/>
              <w:right w:val="single" w:sz="4" w:space="0" w:color="auto"/>
            </w:tcBorders>
            <w:vAlign w:val="center"/>
            <w:hideMark/>
          </w:tcPr>
          <w:p w14:paraId="7A690E6D" w14:textId="77777777" w:rsidR="00EC492E" w:rsidRPr="00824D31" w:rsidRDefault="00EC492E" w:rsidP="00EC492E">
            <w:pPr>
              <w:ind w:firstLine="0"/>
            </w:pPr>
            <w:r w:rsidRPr="00824D31">
              <w:t>Тоннели</w:t>
            </w:r>
          </w:p>
        </w:tc>
        <w:tc>
          <w:tcPr>
            <w:tcW w:w="1417" w:type="dxa"/>
            <w:tcBorders>
              <w:top w:val="nil"/>
              <w:left w:val="nil"/>
              <w:bottom w:val="single" w:sz="4" w:space="0" w:color="auto"/>
              <w:right w:val="single" w:sz="4" w:space="0" w:color="auto"/>
            </w:tcBorders>
            <w:noWrap/>
            <w:vAlign w:val="bottom"/>
            <w:hideMark/>
          </w:tcPr>
          <w:p w14:paraId="2B5B5A32" w14:textId="77777777" w:rsidR="00EC492E" w:rsidRPr="00824D31" w:rsidRDefault="00EC492E" w:rsidP="00EC492E">
            <w:pPr>
              <w:ind w:firstLine="0"/>
            </w:pPr>
            <w:r w:rsidRPr="00824D31">
              <w:t>144</w:t>
            </w:r>
          </w:p>
        </w:tc>
        <w:tc>
          <w:tcPr>
            <w:tcW w:w="1276" w:type="dxa"/>
            <w:tcBorders>
              <w:top w:val="nil"/>
              <w:left w:val="nil"/>
              <w:bottom w:val="single" w:sz="4" w:space="0" w:color="auto"/>
              <w:right w:val="single" w:sz="4" w:space="0" w:color="auto"/>
            </w:tcBorders>
            <w:noWrap/>
            <w:vAlign w:val="bottom"/>
            <w:hideMark/>
          </w:tcPr>
          <w:p w14:paraId="6A9FE789" w14:textId="77777777" w:rsidR="00EC492E" w:rsidRPr="00824D31" w:rsidRDefault="00EC492E" w:rsidP="00EC492E">
            <w:pPr>
              <w:ind w:firstLine="0"/>
            </w:pPr>
            <w:r w:rsidRPr="00824D31">
              <w:t>0,55%</w:t>
            </w:r>
          </w:p>
        </w:tc>
      </w:tr>
      <w:tr w:rsidR="00EC492E" w:rsidRPr="00824D31" w14:paraId="457CA15D" w14:textId="77777777" w:rsidTr="00077638">
        <w:trPr>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A17DEF5" w14:textId="77777777" w:rsidR="00EC492E" w:rsidRPr="00824D31" w:rsidRDefault="00EC492E" w:rsidP="00EC492E">
            <w:pPr>
              <w:ind w:firstLine="0"/>
            </w:pPr>
          </w:p>
        </w:tc>
        <w:tc>
          <w:tcPr>
            <w:tcW w:w="1344" w:type="dxa"/>
            <w:tcBorders>
              <w:top w:val="single" w:sz="4" w:space="0" w:color="auto"/>
              <w:left w:val="single" w:sz="4" w:space="0" w:color="auto"/>
              <w:bottom w:val="single" w:sz="4" w:space="0" w:color="auto"/>
              <w:right w:val="single" w:sz="4" w:space="0" w:color="auto"/>
            </w:tcBorders>
            <w:noWrap/>
            <w:vAlign w:val="bottom"/>
            <w:hideMark/>
          </w:tcPr>
          <w:p w14:paraId="50D11859" w14:textId="77777777" w:rsidR="00EC492E" w:rsidRPr="00824D31" w:rsidRDefault="00EC492E" w:rsidP="00EC492E">
            <w:pPr>
              <w:ind w:firstLine="0"/>
            </w:pPr>
            <w:r w:rsidRPr="00824D31">
              <w:t>1025</w:t>
            </w:r>
          </w:p>
        </w:tc>
        <w:tc>
          <w:tcPr>
            <w:tcW w:w="3462" w:type="dxa"/>
            <w:tcBorders>
              <w:top w:val="nil"/>
              <w:left w:val="nil"/>
              <w:bottom w:val="single" w:sz="4" w:space="0" w:color="auto"/>
              <w:right w:val="single" w:sz="4" w:space="0" w:color="auto"/>
            </w:tcBorders>
            <w:vAlign w:val="center"/>
            <w:hideMark/>
          </w:tcPr>
          <w:p w14:paraId="009FE2C8" w14:textId="77777777" w:rsidR="00EC492E" w:rsidRPr="00824D31" w:rsidRDefault="00EC492E" w:rsidP="00EC492E">
            <w:pPr>
              <w:ind w:firstLine="0"/>
            </w:pPr>
            <w:r w:rsidRPr="00824D31">
              <w:t>Мосты</w:t>
            </w:r>
          </w:p>
        </w:tc>
        <w:tc>
          <w:tcPr>
            <w:tcW w:w="1417" w:type="dxa"/>
            <w:tcBorders>
              <w:top w:val="nil"/>
              <w:left w:val="nil"/>
              <w:bottom w:val="single" w:sz="4" w:space="0" w:color="auto"/>
              <w:right w:val="single" w:sz="4" w:space="0" w:color="auto"/>
            </w:tcBorders>
            <w:noWrap/>
            <w:vAlign w:val="bottom"/>
            <w:hideMark/>
          </w:tcPr>
          <w:p w14:paraId="10CBBAF9" w14:textId="77777777" w:rsidR="00EC492E" w:rsidRPr="00824D31" w:rsidRDefault="00EC492E" w:rsidP="00EC492E">
            <w:pPr>
              <w:ind w:firstLine="0"/>
            </w:pPr>
            <w:r w:rsidRPr="00824D31">
              <w:t>325</w:t>
            </w:r>
          </w:p>
        </w:tc>
        <w:tc>
          <w:tcPr>
            <w:tcW w:w="1276" w:type="dxa"/>
            <w:tcBorders>
              <w:top w:val="nil"/>
              <w:left w:val="nil"/>
              <w:bottom w:val="single" w:sz="4" w:space="0" w:color="auto"/>
              <w:right w:val="single" w:sz="4" w:space="0" w:color="auto"/>
            </w:tcBorders>
            <w:noWrap/>
            <w:vAlign w:val="bottom"/>
            <w:hideMark/>
          </w:tcPr>
          <w:p w14:paraId="72D08B4B" w14:textId="77777777" w:rsidR="00EC492E" w:rsidRPr="00824D31" w:rsidRDefault="00EC492E" w:rsidP="00EC492E">
            <w:pPr>
              <w:ind w:firstLine="0"/>
            </w:pPr>
            <w:r w:rsidRPr="00824D31">
              <w:t>1,23%</w:t>
            </w:r>
          </w:p>
        </w:tc>
      </w:tr>
      <w:tr w:rsidR="00EC492E" w:rsidRPr="00824D31" w14:paraId="3043A919" w14:textId="77777777" w:rsidTr="00077638">
        <w:trPr>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947383D" w14:textId="77777777" w:rsidR="00EC492E" w:rsidRPr="00824D31" w:rsidRDefault="00EC492E" w:rsidP="00EC492E">
            <w:pPr>
              <w:ind w:firstLine="0"/>
            </w:pPr>
          </w:p>
        </w:tc>
        <w:tc>
          <w:tcPr>
            <w:tcW w:w="1344" w:type="dxa"/>
            <w:tcBorders>
              <w:top w:val="single" w:sz="4" w:space="0" w:color="auto"/>
              <w:left w:val="single" w:sz="4" w:space="0" w:color="auto"/>
              <w:bottom w:val="single" w:sz="4" w:space="0" w:color="auto"/>
              <w:right w:val="single" w:sz="4" w:space="0" w:color="auto"/>
            </w:tcBorders>
            <w:noWrap/>
            <w:vAlign w:val="bottom"/>
            <w:hideMark/>
          </w:tcPr>
          <w:p w14:paraId="1C4552A1" w14:textId="77777777" w:rsidR="00EC492E" w:rsidRPr="00824D31" w:rsidRDefault="00EC492E" w:rsidP="00EC492E">
            <w:pPr>
              <w:ind w:firstLine="0"/>
            </w:pPr>
            <w:r w:rsidRPr="00824D31">
              <w:t>1026</w:t>
            </w:r>
          </w:p>
        </w:tc>
        <w:tc>
          <w:tcPr>
            <w:tcW w:w="3462" w:type="dxa"/>
            <w:tcBorders>
              <w:top w:val="nil"/>
              <w:left w:val="nil"/>
              <w:bottom w:val="single" w:sz="4" w:space="0" w:color="auto"/>
              <w:right w:val="single" w:sz="4" w:space="0" w:color="auto"/>
            </w:tcBorders>
            <w:vAlign w:val="center"/>
            <w:hideMark/>
          </w:tcPr>
          <w:p w14:paraId="2A7FB57E" w14:textId="77777777" w:rsidR="00EC492E" w:rsidRPr="00824D31" w:rsidRDefault="00EC492E" w:rsidP="00EC492E">
            <w:pPr>
              <w:ind w:firstLine="0"/>
            </w:pPr>
            <w:r w:rsidRPr="00824D31">
              <w:t>Сооружения связи линейно - кабельные</w:t>
            </w:r>
          </w:p>
        </w:tc>
        <w:tc>
          <w:tcPr>
            <w:tcW w:w="1417" w:type="dxa"/>
            <w:tcBorders>
              <w:top w:val="nil"/>
              <w:left w:val="nil"/>
              <w:bottom w:val="single" w:sz="4" w:space="0" w:color="auto"/>
              <w:right w:val="single" w:sz="4" w:space="0" w:color="auto"/>
            </w:tcBorders>
            <w:noWrap/>
            <w:vAlign w:val="bottom"/>
            <w:hideMark/>
          </w:tcPr>
          <w:p w14:paraId="006275CC" w14:textId="77777777" w:rsidR="00EC492E" w:rsidRPr="00824D31" w:rsidRDefault="00EC492E" w:rsidP="00EC492E">
            <w:pPr>
              <w:ind w:firstLine="0"/>
            </w:pPr>
            <w:r w:rsidRPr="00824D31">
              <w:t>403</w:t>
            </w:r>
          </w:p>
        </w:tc>
        <w:tc>
          <w:tcPr>
            <w:tcW w:w="1276" w:type="dxa"/>
            <w:tcBorders>
              <w:top w:val="nil"/>
              <w:left w:val="nil"/>
              <w:bottom w:val="single" w:sz="4" w:space="0" w:color="auto"/>
              <w:right w:val="single" w:sz="4" w:space="0" w:color="auto"/>
            </w:tcBorders>
            <w:noWrap/>
            <w:vAlign w:val="bottom"/>
            <w:hideMark/>
          </w:tcPr>
          <w:p w14:paraId="5C4DD079" w14:textId="77777777" w:rsidR="00EC492E" w:rsidRPr="00824D31" w:rsidRDefault="00EC492E" w:rsidP="00EC492E">
            <w:pPr>
              <w:ind w:firstLine="0"/>
            </w:pPr>
            <w:r w:rsidRPr="00824D31">
              <w:t>1,53%</w:t>
            </w:r>
          </w:p>
        </w:tc>
      </w:tr>
      <w:tr w:rsidR="00EC492E" w:rsidRPr="00824D31" w14:paraId="3E611999" w14:textId="77777777" w:rsidTr="00077638">
        <w:trPr>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EBADE9A" w14:textId="77777777" w:rsidR="00EC492E" w:rsidRPr="00824D31" w:rsidRDefault="00EC492E" w:rsidP="00EC492E">
            <w:pPr>
              <w:ind w:firstLine="0"/>
            </w:pPr>
          </w:p>
        </w:tc>
        <w:tc>
          <w:tcPr>
            <w:tcW w:w="1344" w:type="dxa"/>
            <w:tcBorders>
              <w:top w:val="single" w:sz="4" w:space="0" w:color="auto"/>
              <w:left w:val="single" w:sz="4" w:space="0" w:color="auto"/>
              <w:bottom w:val="single" w:sz="4" w:space="0" w:color="auto"/>
              <w:right w:val="single" w:sz="4" w:space="0" w:color="auto"/>
            </w:tcBorders>
            <w:noWrap/>
            <w:vAlign w:val="bottom"/>
            <w:hideMark/>
          </w:tcPr>
          <w:p w14:paraId="51FA8E77" w14:textId="77777777" w:rsidR="00EC492E" w:rsidRPr="00824D31" w:rsidRDefault="00EC492E" w:rsidP="00EC492E">
            <w:pPr>
              <w:ind w:firstLine="0"/>
            </w:pPr>
            <w:r w:rsidRPr="00824D31">
              <w:t>1027</w:t>
            </w:r>
          </w:p>
        </w:tc>
        <w:tc>
          <w:tcPr>
            <w:tcW w:w="3462" w:type="dxa"/>
            <w:tcBorders>
              <w:top w:val="nil"/>
              <w:left w:val="nil"/>
              <w:bottom w:val="single" w:sz="4" w:space="0" w:color="auto"/>
              <w:right w:val="single" w:sz="4" w:space="0" w:color="auto"/>
            </w:tcBorders>
            <w:vAlign w:val="center"/>
            <w:hideMark/>
          </w:tcPr>
          <w:p w14:paraId="143840E0" w14:textId="77777777" w:rsidR="00EC492E" w:rsidRPr="00824D31" w:rsidRDefault="00EC492E" w:rsidP="00EC492E">
            <w:pPr>
              <w:ind w:firstLine="0"/>
            </w:pPr>
            <w:r w:rsidRPr="00824D31">
              <w:t>Сети трубопроводов магистральные</w:t>
            </w:r>
          </w:p>
        </w:tc>
        <w:tc>
          <w:tcPr>
            <w:tcW w:w="1417" w:type="dxa"/>
            <w:tcBorders>
              <w:top w:val="nil"/>
              <w:left w:val="nil"/>
              <w:bottom w:val="single" w:sz="4" w:space="0" w:color="auto"/>
              <w:right w:val="single" w:sz="4" w:space="0" w:color="auto"/>
            </w:tcBorders>
            <w:noWrap/>
            <w:vAlign w:val="bottom"/>
            <w:hideMark/>
          </w:tcPr>
          <w:p w14:paraId="4D1D9C74" w14:textId="77777777" w:rsidR="00EC492E" w:rsidRPr="00824D31" w:rsidRDefault="00EC492E" w:rsidP="00EC492E">
            <w:pPr>
              <w:ind w:firstLine="0"/>
            </w:pPr>
            <w:r w:rsidRPr="00824D31">
              <w:t>120</w:t>
            </w:r>
          </w:p>
        </w:tc>
        <w:tc>
          <w:tcPr>
            <w:tcW w:w="1276" w:type="dxa"/>
            <w:tcBorders>
              <w:top w:val="nil"/>
              <w:left w:val="nil"/>
              <w:bottom w:val="single" w:sz="4" w:space="0" w:color="auto"/>
              <w:right w:val="single" w:sz="4" w:space="0" w:color="auto"/>
            </w:tcBorders>
            <w:noWrap/>
            <w:vAlign w:val="bottom"/>
            <w:hideMark/>
          </w:tcPr>
          <w:p w14:paraId="0407E822" w14:textId="77777777" w:rsidR="00EC492E" w:rsidRPr="00824D31" w:rsidRDefault="00EC492E" w:rsidP="00EC492E">
            <w:pPr>
              <w:ind w:firstLine="0"/>
            </w:pPr>
            <w:r w:rsidRPr="00824D31">
              <w:t>0,46%</w:t>
            </w:r>
          </w:p>
        </w:tc>
      </w:tr>
      <w:tr w:rsidR="00EC492E" w:rsidRPr="00824D31" w14:paraId="65CC03D7" w14:textId="77777777" w:rsidTr="00077638">
        <w:trPr>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E1FD3BB" w14:textId="77777777" w:rsidR="00EC492E" w:rsidRPr="00824D31" w:rsidRDefault="00EC492E" w:rsidP="00EC492E">
            <w:pPr>
              <w:ind w:firstLine="0"/>
            </w:pPr>
          </w:p>
        </w:tc>
        <w:tc>
          <w:tcPr>
            <w:tcW w:w="1344" w:type="dxa"/>
            <w:tcBorders>
              <w:top w:val="single" w:sz="4" w:space="0" w:color="auto"/>
              <w:left w:val="single" w:sz="4" w:space="0" w:color="auto"/>
              <w:bottom w:val="single" w:sz="4" w:space="0" w:color="auto"/>
              <w:right w:val="single" w:sz="4" w:space="0" w:color="auto"/>
            </w:tcBorders>
            <w:noWrap/>
            <w:vAlign w:val="bottom"/>
            <w:hideMark/>
          </w:tcPr>
          <w:p w14:paraId="160A7BE9" w14:textId="77777777" w:rsidR="00EC492E" w:rsidRPr="00824D31" w:rsidRDefault="00EC492E" w:rsidP="00EC492E">
            <w:pPr>
              <w:ind w:firstLine="0"/>
            </w:pPr>
            <w:r w:rsidRPr="00824D31">
              <w:t>1028</w:t>
            </w:r>
          </w:p>
        </w:tc>
        <w:tc>
          <w:tcPr>
            <w:tcW w:w="3462" w:type="dxa"/>
            <w:tcBorders>
              <w:top w:val="nil"/>
              <w:left w:val="nil"/>
              <w:bottom w:val="single" w:sz="4" w:space="0" w:color="auto"/>
              <w:right w:val="single" w:sz="4" w:space="0" w:color="auto"/>
            </w:tcBorders>
            <w:vAlign w:val="center"/>
            <w:hideMark/>
          </w:tcPr>
          <w:p w14:paraId="2B405E5B" w14:textId="77777777" w:rsidR="00EC492E" w:rsidRPr="00824D31" w:rsidRDefault="00EC492E" w:rsidP="00EC492E">
            <w:pPr>
              <w:ind w:firstLine="0"/>
            </w:pPr>
            <w:r w:rsidRPr="00824D31">
              <w:t>Переходы надземные</w:t>
            </w:r>
          </w:p>
        </w:tc>
        <w:tc>
          <w:tcPr>
            <w:tcW w:w="1417" w:type="dxa"/>
            <w:tcBorders>
              <w:top w:val="nil"/>
              <w:left w:val="nil"/>
              <w:bottom w:val="single" w:sz="4" w:space="0" w:color="auto"/>
              <w:right w:val="single" w:sz="4" w:space="0" w:color="auto"/>
            </w:tcBorders>
            <w:noWrap/>
            <w:vAlign w:val="bottom"/>
            <w:hideMark/>
          </w:tcPr>
          <w:p w14:paraId="5F709230" w14:textId="77777777" w:rsidR="00EC492E" w:rsidRPr="00824D31" w:rsidRDefault="00EC492E" w:rsidP="00EC492E">
            <w:pPr>
              <w:ind w:firstLine="0"/>
            </w:pPr>
            <w:r w:rsidRPr="00824D31">
              <w:t>31</w:t>
            </w:r>
          </w:p>
        </w:tc>
        <w:tc>
          <w:tcPr>
            <w:tcW w:w="1276" w:type="dxa"/>
            <w:tcBorders>
              <w:top w:val="nil"/>
              <w:left w:val="nil"/>
              <w:bottom w:val="single" w:sz="4" w:space="0" w:color="auto"/>
              <w:right w:val="single" w:sz="4" w:space="0" w:color="auto"/>
            </w:tcBorders>
            <w:noWrap/>
            <w:vAlign w:val="bottom"/>
            <w:hideMark/>
          </w:tcPr>
          <w:p w14:paraId="7CA52010" w14:textId="77777777" w:rsidR="00EC492E" w:rsidRPr="00824D31" w:rsidRDefault="00EC492E" w:rsidP="00EC492E">
            <w:pPr>
              <w:ind w:firstLine="0"/>
            </w:pPr>
            <w:r w:rsidRPr="00824D31">
              <w:t>0,12%</w:t>
            </w:r>
          </w:p>
        </w:tc>
      </w:tr>
      <w:tr w:rsidR="00EC492E" w:rsidRPr="00824D31" w14:paraId="3F7009DC" w14:textId="77777777" w:rsidTr="00077638">
        <w:trPr>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EBC3D06" w14:textId="77777777" w:rsidR="00EC492E" w:rsidRPr="00824D31" w:rsidRDefault="00EC492E" w:rsidP="00EC492E">
            <w:pPr>
              <w:ind w:firstLine="0"/>
            </w:pPr>
          </w:p>
        </w:tc>
        <w:tc>
          <w:tcPr>
            <w:tcW w:w="1344" w:type="dxa"/>
            <w:tcBorders>
              <w:top w:val="single" w:sz="4" w:space="0" w:color="auto"/>
              <w:left w:val="single" w:sz="4" w:space="0" w:color="auto"/>
              <w:bottom w:val="single" w:sz="4" w:space="0" w:color="auto"/>
              <w:right w:val="single" w:sz="4" w:space="0" w:color="auto"/>
            </w:tcBorders>
            <w:noWrap/>
            <w:vAlign w:val="bottom"/>
            <w:hideMark/>
          </w:tcPr>
          <w:p w14:paraId="767DFAEC" w14:textId="77777777" w:rsidR="00EC492E" w:rsidRPr="00824D31" w:rsidRDefault="00EC492E" w:rsidP="00EC492E">
            <w:pPr>
              <w:ind w:firstLine="0"/>
            </w:pPr>
            <w:r w:rsidRPr="00824D31">
              <w:t>1029</w:t>
            </w:r>
          </w:p>
        </w:tc>
        <w:tc>
          <w:tcPr>
            <w:tcW w:w="3462" w:type="dxa"/>
            <w:tcBorders>
              <w:top w:val="nil"/>
              <w:left w:val="nil"/>
              <w:bottom w:val="single" w:sz="4" w:space="0" w:color="auto"/>
              <w:right w:val="single" w:sz="4" w:space="0" w:color="auto"/>
            </w:tcBorders>
            <w:vAlign w:val="center"/>
            <w:hideMark/>
          </w:tcPr>
          <w:p w14:paraId="5A103794" w14:textId="77777777" w:rsidR="00EC492E" w:rsidRPr="00824D31" w:rsidRDefault="00EC492E" w:rsidP="00EC492E">
            <w:pPr>
              <w:ind w:firstLine="0"/>
            </w:pPr>
            <w:r w:rsidRPr="00824D31">
              <w:t>Переходы подземные</w:t>
            </w:r>
          </w:p>
        </w:tc>
        <w:tc>
          <w:tcPr>
            <w:tcW w:w="1417" w:type="dxa"/>
            <w:tcBorders>
              <w:top w:val="nil"/>
              <w:left w:val="nil"/>
              <w:bottom w:val="single" w:sz="4" w:space="0" w:color="auto"/>
              <w:right w:val="single" w:sz="4" w:space="0" w:color="auto"/>
            </w:tcBorders>
            <w:noWrap/>
            <w:vAlign w:val="bottom"/>
            <w:hideMark/>
          </w:tcPr>
          <w:p w14:paraId="3B310EBE" w14:textId="77777777" w:rsidR="00EC492E" w:rsidRPr="00824D31" w:rsidRDefault="00EC492E" w:rsidP="00EC492E">
            <w:pPr>
              <w:ind w:firstLine="0"/>
            </w:pPr>
            <w:r w:rsidRPr="00824D31">
              <w:t>7</w:t>
            </w:r>
          </w:p>
        </w:tc>
        <w:tc>
          <w:tcPr>
            <w:tcW w:w="1276" w:type="dxa"/>
            <w:tcBorders>
              <w:top w:val="nil"/>
              <w:left w:val="nil"/>
              <w:bottom w:val="single" w:sz="4" w:space="0" w:color="auto"/>
              <w:right w:val="single" w:sz="4" w:space="0" w:color="auto"/>
            </w:tcBorders>
            <w:noWrap/>
            <w:vAlign w:val="bottom"/>
            <w:hideMark/>
          </w:tcPr>
          <w:p w14:paraId="640F7107" w14:textId="77777777" w:rsidR="00EC492E" w:rsidRPr="00824D31" w:rsidRDefault="00EC492E" w:rsidP="00EC492E">
            <w:pPr>
              <w:ind w:firstLine="0"/>
            </w:pPr>
            <w:r w:rsidRPr="00824D31">
              <w:t>0,03%</w:t>
            </w:r>
          </w:p>
        </w:tc>
      </w:tr>
      <w:tr w:rsidR="00EC492E" w:rsidRPr="00824D31" w14:paraId="19BC9B28" w14:textId="77777777" w:rsidTr="00077638">
        <w:trPr>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837217A" w14:textId="77777777" w:rsidR="00EC492E" w:rsidRPr="00824D31" w:rsidRDefault="00EC492E" w:rsidP="00EC492E">
            <w:pPr>
              <w:ind w:firstLine="0"/>
            </w:pPr>
          </w:p>
        </w:tc>
        <w:tc>
          <w:tcPr>
            <w:tcW w:w="1344" w:type="dxa"/>
            <w:tcBorders>
              <w:top w:val="single" w:sz="4" w:space="0" w:color="auto"/>
              <w:left w:val="single" w:sz="4" w:space="0" w:color="auto"/>
              <w:bottom w:val="single" w:sz="4" w:space="0" w:color="auto"/>
              <w:right w:val="single" w:sz="4" w:space="0" w:color="auto"/>
            </w:tcBorders>
            <w:noWrap/>
            <w:vAlign w:val="bottom"/>
            <w:hideMark/>
          </w:tcPr>
          <w:p w14:paraId="060C1606" w14:textId="77777777" w:rsidR="00EC492E" w:rsidRPr="00824D31" w:rsidRDefault="00EC492E" w:rsidP="00EC492E">
            <w:pPr>
              <w:ind w:firstLine="0"/>
            </w:pPr>
            <w:r w:rsidRPr="00824D31">
              <w:t>1030</w:t>
            </w:r>
          </w:p>
        </w:tc>
        <w:tc>
          <w:tcPr>
            <w:tcW w:w="3462" w:type="dxa"/>
            <w:tcBorders>
              <w:top w:val="nil"/>
              <w:left w:val="nil"/>
              <w:bottom w:val="single" w:sz="4" w:space="0" w:color="auto"/>
              <w:right w:val="single" w:sz="4" w:space="0" w:color="auto"/>
            </w:tcBorders>
            <w:vAlign w:val="center"/>
            <w:hideMark/>
          </w:tcPr>
          <w:p w14:paraId="18B58959" w14:textId="77777777" w:rsidR="00EC492E" w:rsidRPr="00824D31" w:rsidRDefault="00EC492E" w:rsidP="00EC492E">
            <w:pPr>
              <w:ind w:firstLine="0"/>
            </w:pPr>
            <w:r w:rsidRPr="00824D31">
              <w:t>Прочие сооружения и сооружения вспомогательного назначения, отнесение которых к другим подгруппам невозможно</w:t>
            </w:r>
          </w:p>
        </w:tc>
        <w:tc>
          <w:tcPr>
            <w:tcW w:w="1417" w:type="dxa"/>
            <w:tcBorders>
              <w:top w:val="nil"/>
              <w:left w:val="nil"/>
              <w:bottom w:val="single" w:sz="4" w:space="0" w:color="auto"/>
              <w:right w:val="single" w:sz="4" w:space="0" w:color="auto"/>
            </w:tcBorders>
            <w:noWrap/>
            <w:vAlign w:val="bottom"/>
            <w:hideMark/>
          </w:tcPr>
          <w:p w14:paraId="0762D268" w14:textId="77777777" w:rsidR="00EC492E" w:rsidRPr="00824D31" w:rsidRDefault="00EC492E" w:rsidP="00EC492E">
            <w:pPr>
              <w:ind w:firstLine="0"/>
            </w:pPr>
            <w:r w:rsidRPr="00824D31">
              <w:t>1881</w:t>
            </w:r>
          </w:p>
        </w:tc>
        <w:tc>
          <w:tcPr>
            <w:tcW w:w="1276" w:type="dxa"/>
            <w:tcBorders>
              <w:top w:val="nil"/>
              <w:left w:val="nil"/>
              <w:bottom w:val="single" w:sz="4" w:space="0" w:color="auto"/>
              <w:right w:val="single" w:sz="4" w:space="0" w:color="auto"/>
            </w:tcBorders>
            <w:noWrap/>
            <w:vAlign w:val="bottom"/>
            <w:hideMark/>
          </w:tcPr>
          <w:p w14:paraId="752EA6A9" w14:textId="77777777" w:rsidR="00EC492E" w:rsidRPr="00824D31" w:rsidRDefault="00EC492E" w:rsidP="00EC492E">
            <w:pPr>
              <w:ind w:firstLine="0"/>
            </w:pPr>
            <w:r w:rsidRPr="00824D31">
              <w:t>7,14%</w:t>
            </w:r>
          </w:p>
        </w:tc>
      </w:tr>
      <w:tr w:rsidR="00EC492E" w:rsidRPr="00824D31" w14:paraId="4275D5CF" w14:textId="77777777" w:rsidTr="00077638">
        <w:trPr>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3990773" w14:textId="77777777" w:rsidR="00EC492E" w:rsidRPr="00824D31" w:rsidRDefault="00EC492E" w:rsidP="00EC492E">
            <w:pPr>
              <w:ind w:firstLine="0"/>
            </w:pPr>
          </w:p>
        </w:tc>
        <w:tc>
          <w:tcPr>
            <w:tcW w:w="1344" w:type="dxa"/>
            <w:tcBorders>
              <w:top w:val="single" w:sz="4" w:space="0" w:color="auto"/>
              <w:left w:val="single" w:sz="4" w:space="0" w:color="auto"/>
              <w:bottom w:val="single" w:sz="4" w:space="0" w:color="auto"/>
              <w:right w:val="single" w:sz="4" w:space="0" w:color="auto"/>
            </w:tcBorders>
            <w:noWrap/>
            <w:vAlign w:val="bottom"/>
            <w:hideMark/>
          </w:tcPr>
          <w:p w14:paraId="50BFB047" w14:textId="77777777" w:rsidR="00EC492E" w:rsidRPr="00824D31" w:rsidRDefault="00EC492E" w:rsidP="00EC492E">
            <w:pPr>
              <w:ind w:firstLine="0"/>
            </w:pPr>
            <w:r w:rsidRPr="00824D31">
              <w:t>1031</w:t>
            </w:r>
          </w:p>
        </w:tc>
        <w:tc>
          <w:tcPr>
            <w:tcW w:w="3462" w:type="dxa"/>
            <w:tcBorders>
              <w:top w:val="nil"/>
              <w:left w:val="nil"/>
              <w:bottom w:val="single" w:sz="4" w:space="0" w:color="auto"/>
              <w:right w:val="single" w:sz="4" w:space="0" w:color="auto"/>
            </w:tcBorders>
            <w:vAlign w:val="center"/>
            <w:hideMark/>
          </w:tcPr>
          <w:p w14:paraId="64DA640A" w14:textId="77777777" w:rsidR="00EC492E" w:rsidRPr="00824D31" w:rsidRDefault="00EC492E" w:rsidP="00EC492E">
            <w:pPr>
              <w:ind w:firstLine="0"/>
            </w:pPr>
            <w:r w:rsidRPr="00824D31">
              <w:t>Автомобильные дороги, дорожки, площадки, покрытия</w:t>
            </w:r>
          </w:p>
        </w:tc>
        <w:tc>
          <w:tcPr>
            <w:tcW w:w="1417" w:type="dxa"/>
            <w:tcBorders>
              <w:top w:val="nil"/>
              <w:left w:val="nil"/>
              <w:bottom w:val="single" w:sz="4" w:space="0" w:color="auto"/>
              <w:right w:val="single" w:sz="4" w:space="0" w:color="auto"/>
            </w:tcBorders>
            <w:noWrap/>
            <w:vAlign w:val="bottom"/>
            <w:hideMark/>
          </w:tcPr>
          <w:p w14:paraId="293CC214" w14:textId="4183D41C" w:rsidR="00EC492E" w:rsidRPr="00824D31" w:rsidRDefault="00631CA6" w:rsidP="00EC492E">
            <w:pPr>
              <w:ind w:firstLine="0"/>
            </w:pPr>
            <w:r>
              <w:t>4467</w:t>
            </w:r>
          </w:p>
        </w:tc>
        <w:tc>
          <w:tcPr>
            <w:tcW w:w="1276" w:type="dxa"/>
            <w:tcBorders>
              <w:top w:val="nil"/>
              <w:left w:val="nil"/>
              <w:bottom w:val="single" w:sz="4" w:space="0" w:color="auto"/>
              <w:right w:val="single" w:sz="4" w:space="0" w:color="auto"/>
            </w:tcBorders>
            <w:noWrap/>
            <w:vAlign w:val="bottom"/>
            <w:hideMark/>
          </w:tcPr>
          <w:p w14:paraId="1AEE4911" w14:textId="77777777" w:rsidR="00EC492E" w:rsidRPr="00824D31" w:rsidRDefault="00EC492E" w:rsidP="00EC492E">
            <w:pPr>
              <w:ind w:firstLine="0"/>
            </w:pPr>
            <w:r w:rsidRPr="00824D31">
              <w:t>16,94%</w:t>
            </w:r>
          </w:p>
        </w:tc>
      </w:tr>
      <w:tr w:rsidR="00EC492E" w:rsidRPr="00824D31" w14:paraId="316DDB64" w14:textId="77777777" w:rsidTr="00077638">
        <w:trPr>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D984EBA" w14:textId="77777777" w:rsidR="00EC492E" w:rsidRPr="00824D31" w:rsidRDefault="00EC492E" w:rsidP="00EC492E">
            <w:pPr>
              <w:ind w:firstLine="0"/>
            </w:pPr>
          </w:p>
        </w:tc>
        <w:tc>
          <w:tcPr>
            <w:tcW w:w="1344" w:type="dxa"/>
            <w:tcBorders>
              <w:top w:val="single" w:sz="4" w:space="0" w:color="auto"/>
              <w:left w:val="single" w:sz="4" w:space="0" w:color="auto"/>
              <w:bottom w:val="single" w:sz="4" w:space="0" w:color="auto"/>
              <w:right w:val="single" w:sz="4" w:space="0" w:color="auto"/>
            </w:tcBorders>
            <w:noWrap/>
            <w:vAlign w:val="bottom"/>
            <w:hideMark/>
          </w:tcPr>
          <w:p w14:paraId="1710F7F6" w14:textId="77777777" w:rsidR="00EC492E" w:rsidRPr="00824D31" w:rsidRDefault="00EC492E" w:rsidP="00EC492E">
            <w:pPr>
              <w:ind w:firstLine="0"/>
            </w:pPr>
            <w:r w:rsidRPr="00824D31">
              <w:t>1032</w:t>
            </w:r>
          </w:p>
        </w:tc>
        <w:tc>
          <w:tcPr>
            <w:tcW w:w="3462" w:type="dxa"/>
            <w:tcBorders>
              <w:top w:val="nil"/>
              <w:left w:val="nil"/>
              <w:bottom w:val="single" w:sz="4" w:space="0" w:color="auto"/>
              <w:right w:val="single" w:sz="4" w:space="0" w:color="auto"/>
            </w:tcBorders>
            <w:vAlign w:val="center"/>
            <w:hideMark/>
          </w:tcPr>
          <w:p w14:paraId="0105494D" w14:textId="77777777" w:rsidR="00EC492E" w:rsidRPr="00824D31" w:rsidRDefault="00EC492E" w:rsidP="00EC492E">
            <w:pPr>
              <w:ind w:firstLine="0"/>
            </w:pPr>
            <w:r w:rsidRPr="00824D31">
              <w:t>Силосная траншея, яма</w:t>
            </w:r>
          </w:p>
        </w:tc>
        <w:tc>
          <w:tcPr>
            <w:tcW w:w="1417" w:type="dxa"/>
            <w:tcBorders>
              <w:top w:val="nil"/>
              <w:left w:val="nil"/>
              <w:bottom w:val="single" w:sz="4" w:space="0" w:color="auto"/>
              <w:right w:val="single" w:sz="4" w:space="0" w:color="auto"/>
            </w:tcBorders>
            <w:noWrap/>
            <w:vAlign w:val="bottom"/>
            <w:hideMark/>
          </w:tcPr>
          <w:p w14:paraId="42D9B38A" w14:textId="77777777" w:rsidR="00EC492E" w:rsidRPr="00824D31" w:rsidRDefault="00EC492E" w:rsidP="00EC492E">
            <w:pPr>
              <w:ind w:firstLine="0"/>
            </w:pPr>
            <w:r w:rsidRPr="00824D31">
              <w:t>84</w:t>
            </w:r>
          </w:p>
        </w:tc>
        <w:tc>
          <w:tcPr>
            <w:tcW w:w="1276" w:type="dxa"/>
            <w:tcBorders>
              <w:top w:val="nil"/>
              <w:left w:val="nil"/>
              <w:bottom w:val="single" w:sz="4" w:space="0" w:color="auto"/>
              <w:right w:val="single" w:sz="4" w:space="0" w:color="auto"/>
            </w:tcBorders>
            <w:noWrap/>
            <w:vAlign w:val="bottom"/>
            <w:hideMark/>
          </w:tcPr>
          <w:p w14:paraId="34C98130" w14:textId="77777777" w:rsidR="00EC492E" w:rsidRPr="00824D31" w:rsidRDefault="00EC492E" w:rsidP="00EC492E">
            <w:pPr>
              <w:ind w:firstLine="0"/>
            </w:pPr>
            <w:r w:rsidRPr="00824D31">
              <w:t>0,32%</w:t>
            </w:r>
          </w:p>
        </w:tc>
      </w:tr>
      <w:tr w:rsidR="00EC492E" w:rsidRPr="00824D31" w14:paraId="5B3A4C9C" w14:textId="77777777" w:rsidTr="00077638">
        <w:trPr>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E8653B5" w14:textId="77777777" w:rsidR="00EC492E" w:rsidRPr="00824D31" w:rsidRDefault="00EC492E" w:rsidP="00EC492E">
            <w:pPr>
              <w:ind w:firstLine="0"/>
            </w:pPr>
          </w:p>
        </w:tc>
        <w:tc>
          <w:tcPr>
            <w:tcW w:w="1344" w:type="dxa"/>
            <w:tcBorders>
              <w:top w:val="single" w:sz="4" w:space="0" w:color="auto"/>
              <w:left w:val="single" w:sz="4" w:space="0" w:color="auto"/>
              <w:bottom w:val="single" w:sz="4" w:space="0" w:color="auto"/>
              <w:right w:val="single" w:sz="4" w:space="0" w:color="auto"/>
            </w:tcBorders>
            <w:noWrap/>
            <w:vAlign w:val="bottom"/>
            <w:hideMark/>
          </w:tcPr>
          <w:p w14:paraId="6246326D" w14:textId="77777777" w:rsidR="00EC492E" w:rsidRPr="00824D31" w:rsidRDefault="00EC492E" w:rsidP="00EC492E">
            <w:pPr>
              <w:ind w:firstLine="0"/>
            </w:pPr>
            <w:r w:rsidRPr="00824D31">
              <w:t>1033</w:t>
            </w:r>
          </w:p>
        </w:tc>
        <w:tc>
          <w:tcPr>
            <w:tcW w:w="3462" w:type="dxa"/>
            <w:tcBorders>
              <w:top w:val="nil"/>
              <w:left w:val="nil"/>
              <w:bottom w:val="single" w:sz="4" w:space="0" w:color="auto"/>
              <w:right w:val="single" w:sz="4" w:space="0" w:color="auto"/>
            </w:tcBorders>
            <w:vAlign w:val="center"/>
            <w:hideMark/>
          </w:tcPr>
          <w:p w14:paraId="3A095A1D" w14:textId="77777777" w:rsidR="00EC492E" w:rsidRPr="00824D31" w:rsidRDefault="00EC492E" w:rsidP="00EC492E">
            <w:pPr>
              <w:ind w:firstLine="0"/>
            </w:pPr>
            <w:r w:rsidRPr="00824D31">
              <w:t>Скважина артезианская</w:t>
            </w:r>
          </w:p>
        </w:tc>
        <w:tc>
          <w:tcPr>
            <w:tcW w:w="1417" w:type="dxa"/>
            <w:tcBorders>
              <w:top w:val="nil"/>
              <w:left w:val="nil"/>
              <w:bottom w:val="single" w:sz="4" w:space="0" w:color="auto"/>
              <w:right w:val="single" w:sz="4" w:space="0" w:color="auto"/>
            </w:tcBorders>
            <w:noWrap/>
            <w:vAlign w:val="bottom"/>
            <w:hideMark/>
          </w:tcPr>
          <w:p w14:paraId="13D2CE33" w14:textId="77777777" w:rsidR="00EC492E" w:rsidRPr="00824D31" w:rsidRDefault="00EC492E" w:rsidP="00EC492E">
            <w:pPr>
              <w:ind w:firstLine="0"/>
            </w:pPr>
            <w:r w:rsidRPr="00824D31">
              <w:t>3071</w:t>
            </w:r>
          </w:p>
        </w:tc>
        <w:tc>
          <w:tcPr>
            <w:tcW w:w="1276" w:type="dxa"/>
            <w:tcBorders>
              <w:top w:val="nil"/>
              <w:left w:val="nil"/>
              <w:bottom w:val="single" w:sz="4" w:space="0" w:color="auto"/>
              <w:right w:val="single" w:sz="4" w:space="0" w:color="auto"/>
            </w:tcBorders>
            <w:noWrap/>
            <w:vAlign w:val="bottom"/>
            <w:hideMark/>
          </w:tcPr>
          <w:p w14:paraId="193D2ED4" w14:textId="77777777" w:rsidR="00EC492E" w:rsidRPr="00824D31" w:rsidRDefault="00EC492E" w:rsidP="00EC492E">
            <w:pPr>
              <w:ind w:firstLine="0"/>
            </w:pPr>
            <w:r w:rsidRPr="00824D31">
              <w:t>11,66%</w:t>
            </w:r>
          </w:p>
        </w:tc>
      </w:tr>
      <w:tr w:rsidR="00EC492E" w:rsidRPr="00824D31" w14:paraId="30569084" w14:textId="77777777" w:rsidTr="00077638">
        <w:trPr>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699F574" w14:textId="77777777" w:rsidR="00EC492E" w:rsidRPr="00824D31" w:rsidRDefault="00EC492E" w:rsidP="00EC492E">
            <w:pPr>
              <w:ind w:firstLine="0"/>
            </w:pPr>
          </w:p>
        </w:tc>
        <w:tc>
          <w:tcPr>
            <w:tcW w:w="1344" w:type="dxa"/>
            <w:tcBorders>
              <w:top w:val="single" w:sz="4" w:space="0" w:color="auto"/>
              <w:left w:val="single" w:sz="4" w:space="0" w:color="auto"/>
              <w:bottom w:val="single" w:sz="4" w:space="0" w:color="auto"/>
              <w:right w:val="single" w:sz="4" w:space="0" w:color="auto"/>
            </w:tcBorders>
            <w:noWrap/>
            <w:vAlign w:val="bottom"/>
            <w:hideMark/>
          </w:tcPr>
          <w:p w14:paraId="3B6A5BDA" w14:textId="77777777" w:rsidR="00EC492E" w:rsidRPr="00824D31" w:rsidRDefault="00EC492E" w:rsidP="00EC492E">
            <w:pPr>
              <w:ind w:firstLine="0"/>
            </w:pPr>
            <w:r w:rsidRPr="00824D31">
              <w:t>1034</w:t>
            </w:r>
          </w:p>
        </w:tc>
        <w:tc>
          <w:tcPr>
            <w:tcW w:w="3462" w:type="dxa"/>
            <w:tcBorders>
              <w:top w:val="nil"/>
              <w:left w:val="nil"/>
              <w:bottom w:val="single" w:sz="4" w:space="0" w:color="auto"/>
              <w:right w:val="single" w:sz="4" w:space="0" w:color="auto"/>
            </w:tcBorders>
            <w:vAlign w:val="center"/>
            <w:hideMark/>
          </w:tcPr>
          <w:p w14:paraId="7A528592" w14:textId="77777777" w:rsidR="00EC492E" w:rsidRPr="00824D31" w:rsidRDefault="00EC492E" w:rsidP="00EC492E">
            <w:pPr>
              <w:ind w:firstLine="0"/>
            </w:pPr>
            <w:r w:rsidRPr="00824D31">
              <w:t>Колодец</w:t>
            </w:r>
          </w:p>
        </w:tc>
        <w:tc>
          <w:tcPr>
            <w:tcW w:w="1417" w:type="dxa"/>
            <w:tcBorders>
              <w:top w:val="nil"/>
              <w:left w:val="nil"/>
              <w:bottom w:val="single" w:sz="4" w:space="0" w:color="auto"/>
              <w:right w:val="single" w:sz="4" w:space="0" w:color="auto"/>
            </w:tcBorders>
            <w:noWrap/>
            <w:vAlign w:val="bottom"/>
            <w:hideMark/>
          </w:tcPr>
          <w:p w14:paraId="4ADB27E7" w14:textId="77777777" w:rsidR="00EC492E" w:rsidRPr="00824D31" w:rsidRDefault="00EC492E" w:rsidP="00EC492E">
            <w:pPr>
              <w:ind w:firstLine="0"/>
            </w:pPr>
            <w:r w:rsidRPr="00824D31">
              <w:t>16</w:t>
            </w:r>
          </w:p>
        </w:tc>
        <w:tc>
          <w:tcPr>
            <w:tcW w:w="1276" w:type="dxa"/>
            <w:tcBorders>
              <w:top w:val="nil"/>
              <w:left w:val="nil"/>
              <w:bottom w:val="single" w:sz="4" w:space="0" w:color="auto"/>
              <w:right w:val="single" w:sz="4" w:space="0" w:color="auto"/>
            </w:tcBorders>
            <w:noWrap/>
            <w:vAlign w:val="bottom"/>
            <w:hideMark/>
          </w:tcPr>
          <w:p w14:paraId="5496981E" w14:textId="77777777" w:rsidR="00EC492E" w:rsidRPr="00824D31" w:rsidRDefault="00EC492E" w:rsidP="00EC492E">
            <w:pPr>
              <w:ind w:firstLine="0"/>
            </w:pPr>
            <w:r w:rsidRPr="00824D31">
              <w:t>0,06%</w:t>
            </w:r>
          </w:p>
        </w:tc>
      </w:tr>
      <w:tr w:rsidR="00EC492E" w:rsidRPr="00824D31" w14:paraId="16D37A3E" w14:textId="77777777" w:rsidTr="00077638">
        <w:trPr>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3F2D4B9" w14:textId="77777777" w:rsidR="00EC492E" w:rsidRPr="00824D31" w:rsidRDefault="00EC492E" w:rsidP="00EC492E">
            <w:pPr>
              <w:ind w:firstLine="0"/>
            </w:pPr>
          </w:p>
        </w:tc>
        <w:tc>
          <w:tcPr>
            <w:tcW w:w="1344" w:type="dxa"/>
            <w:tcBorders>
              <w:top w:val="single" w:sz="4" w:space="0" w:color="auto"/>
              <w:left w:val="single" w:sz="4" w:space="0" w:color="auto"/>
              <w:bottom w:val="single" w:sz="4" w:space="0" w:color="auto"/>
              <w:right w:val="single" w:sz="4" w:space="0" w:color="auto"/>
            </w:tcBorders>
            <w:noWrap/>
            <w:vAlign w:val="bottom"/>
            <w:hideMark/>
          </w:tcPr>
          <w:p w14:paraId="15D77C99" w14:textId="77777777" w:rsidR="00EC492E" w:rsidRPr="00824D31" w:rsidRDefault="00EC492E" w:rsidP="00EC492E">
            <w:pPr>
              <w:ind w:firstLine="0"/>
            </w:pPr>
            <w:r w:rsidRPr="00824D31">
              <w:t>1035</w:t>
            </w:r>
          </w:p>
        </w:tc>
        <w:tc>
          <w:tcPr>
            <w:tcW w:w="3462" w:type="dxa"/>
            <w:tcBorders>
              <w:top w:val="nil"/>
              <w:left w:val="nil"/>
              <w:bottom w:val="single" w:sz="4" w:space="0" w:color="auto"/>
              <w:right w:val="single" w:sz="4" w:space="0" w:color="auto"/>
            </w:tcBorders>
            <w:vAlign w:val="center"/>
            <w:hideMark/>
          </w:tcPr>
          <w:p w14:paraId="06D3C6B0" w14:textId="77777777" w:rsidR="00EC492E" w:rsidRPr="00824D31" w:rsidRDefault="00EC492E" w:rsidP="00EC492E">
            <w:pPr>
              <w:ind w:firstLine="0"/>
            </w:pPr>
            <w:r w:rsidRPr="00824D31">
              <w:t>Водоемы и пруды</w:t>
            </w:r>
          </w:p>
        </w:tc>
        <w:tc>
          <w:tcPr>
            <w:tcW w:w="1417" w:type="dxa"/>
            <w:tcBorders>
              <w:top w:val="nil"/>
              <w:left w:val="nil"/>
              <w:bottom w:val="single" w:sz="4" w:space="0" w:color="auto"/>
              <w:right w:val="single" w:sz="4" w:space="0" w:color="auto"/>
            </w:tcBorders>
            <w:noWrap/>
            <w:vAlign w:val="bottom"/>
            <w:hideMark/>
          </w:tcPr>
          <w:p w14:paraId="0579FDE5" w14:textId="77777777" w:rsidR="00EC492E" w:rsidRPr="00824D31" w:rsidRDefault="00EC492E" w:rsidP="00EC492E">
            <w:pPr>
              <w:ind w:firstLine="0"/>
            </w:pPr>
            <w:r w:rsidRPr="00824D31">
              <w:t>114</w:t>
            </w:r>
          </w:p>
        </w:tc>
        <w:tc>
          <w:tcPr>
            <w:tcW w:w="1276" w:type="dxa"/>
            <w:tcBorders>
              <w:top w:val="nil"/>
              <w:left w:val="nil"/>
              <w:bottom w:val="single" w:sz="4" w:space="0" w:color="auto"/>
              <w:right w:val="single" w:sz="4" w:space="0" w:color="auto"/>
            </w:tcBorders>
            <w:noWrap/>
            <w:vAlign w:val="bottom"/>
            <w:hideMark/>
          </w:tcPr>
          <w:p w14:paraId="340DF742" w14:textId="77777777" w:rsidR="00EC492E" w:rsidRPr="00824D31" w:rsidRDefault="00EC492E" w:rsidP="00EC492E">
            <w:pPr>
              <w:ind w:firstLine="0"/>
            </w:pPr>
            <w:r w:rsidRPr="00824D31">
              <w:t>0,43%</w:t>
            </w:r>
          </w:p>
        </w:tc>
      </w:tr>
      <w:tr w:rsidR="00EC492E" w:rsidRPr="00824D31" w14:paraId="2BC2E7AB" w14:textId="77777777" w:rsidTr="00077638">
        <w:trPr>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A055924" w14:textId="77777777" w:rsidR="00EC492E" w:rsidRPr="00824D31" w:rsidRDefault="00EC492E" w:rsidP="00EC492E">
            <w:pPr>
              <w:ind w:firstLine="0"/>
            </w:pPr>
          </w:p>
        </w:tc>
        <w:tc>
          <w:tcPr>
            <w:tcW w:w="1344" w:type="dxa"/>
            <w:tcBorders>
              <w:top w:val="single" w:sz="4" w:space="0" w:color="auto"/>
              <w:left w:val="single" w:sz="4" w:space="0" w:color="auto"/>
              <w:bottom w:val="single" w:sz="4" w:space="0" w:color="auto"/>
              <w:right w:val="single" w:sz="4" w:space="0" w:color="auto"/>
            </w:tcBorders>
            <w:noWrap/>
            <w:vAlign w:val="bottom"/>
            <w:hideMark/>
          </w:tcPr>
          <w:p w14:paraId="4A3991E5" w14:textId="77777777" w:rsidR="00EC492E" w:rsidRPr="00824D31" w:rsidRDefault="00EC492E" w:rsidP="00EC492E">
            <w:pPr>
              <w:ind w:firstLine="0"/>
            </w:pPr>
            <w:r w:rsidRPr="00824D31">
              <w:t>1036</w:t>
            </w:r>
          </w:p>
        </w:tc>
        <w:tc>
          <w:tcPr>
            <w:tcW w:w="3462" w:type="dxa"/>
            <w:tcBorders>
              <w:top w:val="nil"/>
              <w:left w:val="nil"/>
              <w:bottom w:val="single" w:sz="4" w:space="0" w:color="auto"/>
              <w:right w:val="single" w:sz="4" w:space="0" w:color="auto"/>
            </w:tcBorders>
            <w:vAlign w:val="center"/>
            <w:hideMark/>
          </w:tcPr>
          <w:p w14:paraId="1D9ED38A" w14:textId="77777777" w:rsidR="00EC492E" w:rsidRPr="00824D31" w:rsidRDefault="00EC492E" w:rsidP="00EC492E">
            <w:pPr>
              <w:ind w:firstLine="0"/>
            </w:pPr>
            <w:r w:rsidRPr="00824D31">
              <w:t>Ограждение</w:t>
            </w:r>
          </w:p>
        </w:tc>
        <w:tc>
          <w:tcPr>
            <w:tcW w:w="1417" w:type="dxa"/>
            <w:tcBorders>
              <w:top w:val="nil"/>
              <w:left w:val="nil"/>
              <w:bottom w:val="single" w:sz="4" w:space="0" w:color="auto"/>
              <w:right w:val="single" w:sz="4" w:space="0" w:color="auto"/>
            </w:tcBorders>
            <w:noWrap/>
            <w:vAlign w:val="bottom"/>
            <w:hideMark/>
          </w:tcPr>
          <w:p w14:paraId="71260456" w14:textId="77777777" w:rsidR="00EC492E" w:rsidRPr="00824D31" w:rsidRDefault="00EC492E" w:rsidP="00EC492E">
            <w:pPr>
              <w:ind w:firstLine="0"/>
            </w:pPr>
            <w:r w:rsidRPr="00824D31">
              <w:t>194</w:t>
            </w:r>
          </w:p>
        </w:tc>
        <w:tc>
          <w:tcPr>
            <w:tcW w:w="1276" w:type="dxa"/>
            <w:tcBorders>
              <w:top w:val="nil"/>
              <w:left w:val="nil"/>
              <w:bottom w:val="single" w:sz="4" w:space="0" w:color="auto"/>
              <w:right w:val="single" w:sz="4" w:space="0" w:color="auto"/>
            </w:tcBorders>
            <w:noWrap/>
            <w:vAlign w:val="bottom"/>
            <w:hideMark/>
          </w:tcPr>
          <w:p w14:paraId="5A8141B7" w14:textId="77777777" w:rsidR="00EC492E" w:rsidRPr="00824D31" w:rsidRDefault="00EC492E" w:rsidP="00EC492E">
            <w:pPr>
              <w:ind w:firstLine="0"/>
            </w:pPr>
            <w:r w:rsidRPr="00824D31">
              <w:t>0,74%</w:t>
            </w:r>
          </w:p>
        </w:tc>
      </w:tr>
      <w:tr w:rsidR="00EC492E" w:rsidRPr="00824D31" w14:paraId="2227B46B" w14:textId="77777777" w:rsidTr="00077638">
        <w:trPr>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F3E4AF5" w14:textId="77777777" w:rsidR="00EC492E" w:rsidRPr="00824D31" w:rsidRDefault="00EC492E" w:rsidP="00EC492E">
            <w:pPr>
              <w:ind w:firstLine="0"/>
            </w:pPr>
          </w:p>
        </w:tc>
        <w:tc>
          <w:tcPr>
            <w:tcW w:w="1344" w:type="dxa"/>
            <w:tcBorders>
              <w:top w:val="single" w:sz="4" w:space="0" w:color="auto"/>
              <w:left w:val="single" w:sz="4" w:space="0" w:color="auto"/>
              <w:bottom w:val="single" w:sz="4" w:space="0" w:color="auto"/>
              <w:right w:val="single" w:sz="4" w:space="0" w:color="auto"/>
            </w:tcBorders>
            <w:noWrap/>
            <w:vAlign w:val="bottom"/>
            <w:hideMark/>
          </w:tcPr>
          <w:p w14:paraId="43CE8FEA" w14:textId="77777777" w:rsidR="00EC492E" w:rsidRPr="00824D31" w:rsidRDefault="00EC492E" w:rsidP="00EC492E">
            <w:pPr>
              <w:ind w:firstLine="0"/>
            </w:pPr>
            <w:r w:rsidRPr="00824D31">
              <w:t>1037</w:t>
            </w:r>
          </w:p>
        </w:tc>
        <w:tc>
          <w:tcPr>
            <w:tcW w:w="3462" w:type="dxa"/>
            <w:tcBorders>
              <w:top w:val="nil"/>
              <w:left w:val="nil"/>
              <w:bottom w:val="single" w:sz="4" w:space="0" w:color="auto"/>
              <w:right w:val="single" w:sz="4" w:space="0" w:color="auto"/>
            </w:tcBorders>
            <w:vAlign w:val="center"/>
            <w:hideMark/>
          </w:tcPr>
          <w:p w14:paraId="6673E809" w14:textId="77777777" w:rsidR="00EC492E" w:rsidRPr="00824D31" w:rsidRDefault="00EC492E" w:rsidP="00EC492E">
            <w:pPr>
              <w:ind w:firstLine="0"/>
            </w:pPr>
            <w:r w:rsidRPr="00824D31">
              <w:t>Отстойник канализационный</w:t>
            </w:r>
          </w:p>
        </w:tc>
        <w:tc>
          <w:tcPr>
            <w:tcW w:w="1417" w:type="dxa"/>
            <w:tcBorders>
              <w:top w:val="nil"/>
              <w:left w:val="nil"/>
              <w:bottom w:val="single" w:sz="4" w:space="0" w:color="auto"/>
              <w:right w:val="single" w:sz="4" w:space="0" w:color="auto"/>
            </w:tcBorders>
            <w:noWrap/>
            <w:vAlign w:val="bottom"/>
            <w:hideMark/>
          </w:tcPr>
          <w:p w14:paraId="07998DEB" w14:textId="77777777" w:rsidR="00EC492E" w:rsidRPr="00824D31" w:rsidRDefault="00EC492E" w:rsidP="00EC492E">
            <w:pPr>
              <w:ind w:firstLine="0"/>
            </w:pPr>
            <w:r w:rsidRPr="00824D31">
              <w:t>1386</w:t>
            </w:r>
          </w:p>
        </w:tc>
        <w:tc>
          <w:tcPr>
            <w:tcW w:w="1276" w:type="dxa"/>
            <w:tcBorders>
              <w:top w:val="nil"/>
              <w:left w:val="nil"/>
              <w:bottom w:val="single" w:sz="4" w:space="0" w:color="auto"/>
              <w:right w:val="single" w:sz="4" w:space="0" w:color="auto"/>
            </w:tcBorders>
            <w:noWrap/>
            <w:vAlign w:val="bottom"/>
            <w:hideMark/>
          </w:tcPr>
          <w:p w14:paraId="28E63262" w14:textId="77777777" w:rsidR="00EC492E" w:rsidRPr="00824D31" w:rsidRDefault="00EC492E" w:rsidP="00EC492E">
            <w:pPr>
              <w:ind w:firstLine="0"/>
            </w:pPr>
            <w:r w:rsidRPr="00824D31">
              <w:t>5,26%</w:t>
            </w:r>
          </w:p>
        </w:tc>
      </w:tr>
      <w:tr w:rsidR="00EC492E" w:rsidRPr="00824D31" w14:paraId="4942204A" w14:textId="77777777" w:rsidTr="00077638">
        <w:trPr>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841260A" w14:textId="77777777" w:rsidR="00EC492E" w:rsidRPr="00824D31" w:rsidRDefault="00EC492E" w:rsidP="00EC492E">
            <w:pPr>
              <w:ind w:firstLine="0"/>
            </w:pPr>
          </w:p>
        </w:tc>
        <w:tc>
          <w:tcPr>
            <w:tcW w:w="1344" w:type="dxa"/>
            <w:tcBorders>
              <w:top w:val="single" w:sz="4" w:space="0" w:color="auto"/>
              <w:left w:val="single" w:sz="4" w:space="0" w:color="auto"/>
              <w:bottom w:val="single" w:sz="4" w:space="0" w:color="auto"/>
              <w:right w:val="single" w:sz="4" w:space="0" w:color="auto"/>
            </w:tcBorders>
            <w:noWrap/>
            <w:vAlign w:val="bottom"/>
            <w:hideMark/>
          </w:tcPr>
          <w:p w14:paraId="265D3E2D" w14:textId="77777777" w:rsidR="00EC492E" w:rsidRPr="00824D31" w:rsidRDefault="00EC492E" w:rsidP="00EC492E">
            <w:pPr>
              <w:ind w:firstLine="0"/>
            </w:pPr>
            <w:r w:rsidRPr="00824D31">
              <w:t>1038</w:t>
            </w:r>
          </w:p>
        </w:tc>
        <w:tc>
          <w:tcPr>
            <w:tcW w:w="3462" w:type="dxa"/>
            <w:tcBorders>
              <w:top w:val="nil"/>
              <w:left w:val="nil"/>
              <w:bottom w:val="single" w:sz="4" w:space="0" w:color="auto"/>
              <w:right w:val="single" w:sz="4" w:space="0" w:color="auto"/>
            </w:tcBorders>
            <w:vAlign w:val="bottom"/>
            <w:hideMark/>
          </w:tcPr>
          <w:p w14:paraId="62271771" w14:textId="77777777" w:rsidR="00EC492E" w:rsidRPr="00824D31" w:rsidRDefault="00EC492E" w:rsidP="00EC492E">
            <w:pPr>
              <w:ind w:firstLine="0"/>
            </w:pPr>
            <w:r w:rsidRPr="00824D31">
              <w:t>Сооружения нефтегазосодержащие</w:t>
            </w:r>
          </w:p>
        </w:tc>
        <w:tc>
          <w:tcPr>
            <w:tcW w:w="1417" w:type="dxa"/>
            <w:tcBorders>
              <w:top w:val="nil"/>
              <w:left w:val="nil"/>
              <w:bottom w:val="single" w:sz="4" w:space="0" w:color="auto"/>
              <w:right w:val="single" w:sz="4" w:space="0" w:color="auto"/>
            </w:tcBorders>
            <w:noWrap/>
            <w:vAlign w:val="bottom"/>
            <w:hideMark/>
          </w:tcPr>
          <w:p w14:paraId="10BB34C0" w14:textId="77777777" w:rsidR="00EC492E" w:rsidRPr="00824D31" w:rsidRDefault="00EC492E" w:rsidP="00EC492E">
            <w:pPr>
              <w:ind w:firstLine="0"/>
            </w:pPr>
            <w:r w:rsidRPr="00824D31">
              <w:t>44</w:t>
            </w:r>
          </w:p>
        </w:tc>
        <w:tc>
          <w:tcPr>
            <w:tcW w:w="1276" w:type="dxa"/>
            <w:tcBorders>
              <w:top w:val="nil"/>
              <w:left w:val="nil"/>
              <w:bottom w:val="single" w:sz="4" w:space="0" w:color="auto"/>
              <w:right w:val="single" w:sz="4" w:space="0" w:color="auto"/>
            </w:tcBorders>
            <w:noWrap/>
            <w:vAlign w:val="bottom"/>
            <w:hideMark/>
          </w:tcPr>
          <w:p w14:paraId="78E37666" w14:textId="77777777" w:rsidR="00EC492E" w:rsidRPr="00824D31" w:rsidRDefault="00EC492E" w:rsidP="00EC492E">
            <w:pPr>
              <w:ind w:firstLine="0"/>
            </w:pPr>
            <w:r w:rsidRPr="00824D31">
              <w:t>0,17%</w:t>
            </w:r>
          </w:p>
        </w:tc>
      </w:tr>
      <w:tr w:rsidR="00EC492E" w:rsidRPr="00824D31" w14:paraId="6ABB3523" w14:textId="77777777" w:rsidTr="00077638">
        <w:trPr>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8DD8CD4" w14:textId="77777777" w:rsidR="00EC492E" w:rsidRPr="00824D31" w:rsidRDefault="00EC492E" w:rsidP="00EC492E">
            <w:pPr>
              <w:ind w:firstLine="0"/>
            </w:pPr>
          </w:p>
        </w:tc>
        <w:tc>
          <w:tcPr>
            <w:tcW w:w="1344" w:type="dxa"/>
            <w:tcBorders>
              <w:top w:val="single" w:sz="4" w:space="0" w:color="auto"/>
              <w:left w:val="single" w:sz="4" w:space="0" w:color="auto"/>
              <w:bottom w:val="single" w:sz="4" w:space="0" w:color="auto"/>
              <w:right w:val="single" w:sz="4" w:space="0" w:color="auto"/>
            </w:tcBorders>
            <w:noWrap/>
            <w:vAlign w:val="bottom"/>
            <w:hideMark/>
          </w:tcPr>
          <w:p w14:paraId="3670619B" w14:textId="77777777" w:rsidR="00EC492E" w:rsidRPr="00824D31" w:rsidRDefault="00EC492E" w:rsidP="00EC492E">
            <w:pPr>
              <w:ind w:firstLine="0"/>
            </w:pPr>
            <w:r w:rsidRPr="00824D31">
              <w:t>1041</w:t>
            </w:r>
          </w:p>
        </w:tc>
        <w:tc>
          <w:tcPr>
            <w:tcW w:w="3462" w:type="dxa"/>
            <w:tcBorders>
              <w:top w:val="nil"/>
              <w:left w:val="nil"/>
              <w:bottom w:val="single" w:sz="4" w:space="0" w:color="auto"/>
              <w:right w:val="single" w:sz="4" w:space="0" w:color="auto"/>
            </w:tcBorders>
            <w:vAlign w:val="bottom"/>
            <w:hideMark/>
          </w:tcPr>
          <w:p w14:paraId="105D40D1" w14:textId="77777777" w:rsidR="00EC492E" w:rsidRPr="00824D31" w:rsidRDefault="00EC492E" w:rsidP="00EC492E">
            <w:pPr>
              <w:ind w:firstLine="0"/>
            </w:pPr>
            <w:r w:rsidRPr="00824D31">
              <w:t>Свайное поле</w:t>
            </w:r>
          </w:p>
        </w:tc>
        <w:tc>
          <w:tcPr>
            <w:tcW w:w="1417" w:type="dxa"/>
            <w:tcBorders>
              <w:top w:val="nil"/>
              <w:left w:val="nil"/>
              <w:bottom w:val="single" w:sz="4" w:space="0" w:color="auto"/>
              <w:right w:val="single" w:sz="4" w:space="0" w:color="auto"/>
            </w:tcBorders>
            <w:noWrap/>
            <w:vAlign w:val="bottom"/>
            <w:hideMark/>
          </w:tcPr>
          <w:p w14:paraId="648C4CAB" w14:textId="77777777" w:rsidR="00EC492E" w:rsidRPr="00824D31" w:rsidRDefault="00EC492E" w:rsidP="00EC492E">
            <w:pPr>
              <w:ind w:firstLine="0"/>
            </w:pPr>
            <w:r w:rsidRPr="00824D31">
              <w:t>8</w:t>
            </w:r>
          </w:p>
        </w:tc>
        <w:tc>
          <w:tcPr>
            <w:tcW w:w="1276" w:type="dxa"/>
            <w:tcBorders>
              <w:top w:val="nil"/>
              <w:left w:val="nil"/>
              <w:bottom w:val="single" w:sz="4" w:space="0" w:color="auto"/>
              <w:right w:val="single" w:sz="4" w:space="0" w:color="auto"/>
            </w:tcBorders>
            <w:noWrap/>
            <w:vAlign w:val="bottom"/>
            <w:hideMark/>
          </w:tcPr>
          <w:p w14:paraId="7566258B" w14:textId="77777777" w:rsidR="00EC492E" w:rsidRPr="00824D31" w:rsidRDefault="00EC492E" w:rsidP="00EC492E">
            <w:pPr>
              <w:ind w:firstLine="0"/>
            </w:pPr>
            <w:r w:rsidRPr="00824D31">
              <w:t>0,03%</w:t>
            </w:r>
          </w:p>
        </w:tc>
      </w:tr>
      <w:tr w:rsidR="00EC492E" w:rsidRPr="00824D31" w14:paraId="6A9FEA67" w14:textId="77777777" w:rsidTr="00077638">
        <w:trPr>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AF2726F" w14:textId="77777777" w:rsidR="00EC492E" w:rsidRPr="00824D31" w:rsidRDefault="00EC492E" w:rsidP="00EC492E">
            <w:pPr>
              <w:ind w:firstLine="0"/>
            </w:pPr>
          </w:p>
        </w:tc>
        <w:tc>
          <w:tcPr>
            <w:tcW w:w="1344" w:type="dxa"/>
            <w:tcBorders>
              <w:top w:val="single" w:sz="4" w:space="0" w:color="auto"/>
              <w:left w:val="single" w:sz="4" w:space="0" w:color="auto"/>
              <w:bottom w:val="single" w:sz="4" w:space="0" w:color="auto"/>
              <w:right w:val="single" w:sz="4" w:space="0" w:color="auto"/>
            </w:tcBorders>
            <w:noWrap/>
            <w:vAlign w:val="bottom"/>
            <w:hideMark/>
          </w:tcPr>
          <w:p w14:paraId="321CC353" w14:textId="77777777" w:rsidR="00EC492E" w:rsidRPr="00824D31" w:rsidRDefault="00EC492E" w:rsidP="00EC492E">
            <w:pPr>
              <w:ind w:firstLine="0"/>
            </w:pPr>
            <w:r w:rsidRPr="00824D31">
              <w:t> </w:t>
            </w:r>
          </w:p>
        </w:tc>
        <w:tc>
          <w:tcPr>
            <w:tcW w:w="3462" w:type="dxa"/>
            <w:tcBorders>
              <w:top w:val="nil"/>
              <w:left w:val="nil"/>
              <w:bottom w:val="single" w:sz="4" w:space="0" w:color="auto"/>
              <w:right w:val="single" w:sz="4" w:space="0" w:color="auto"/>
            </w:tcBorders>
            <w:vAlign w:val="bottom"/>
            <w:hideMark/>
          </w:tcPr>
          <w:p w14:paraId="147E0712" w14:textId="77777777" w:rsidR="00EC492E" w:rsidRPr="00824D31" w:rsidRDefault="00EC492E" w:rsidP="00EC492E">
            <w:pPr>
              <w:ind w:firstLine="0"/>
            </w:pPr>
            <w:r w:rsidRPr="00824D31">
              <w:t>ИТОГО </w:t>
            </w:r>
          </w:p>
        </w:tc>
        <w:tc>
          <w:tcPr>
            <w:tcW w:w="1417" w:type="dxa"/>
            <w:tcBorders>
              <w:top w:val="nil"/>
              <w:left w:val="nil"/>
              <w:bottom w:val="single" w:sz="4" w:space="0" w:color="auto"/>
              <w:right w:val="single" w:sz="4" w:space="0" w:color="auto"/>
            </w:tcBorders>
            <w:noWrap/>
            <w:vAlign w:val="bottom"/>
            <w:hideMark/>
          </w:tcPr>
          <w:p w14:paraId="41E1EEB1" w14:textId="0B107001" w:rsidR="00EC492E" w:rsidRPr="00824D31" w:rsidRDefault="00631CA6" w:rsidP="00EC492E">
            <w:pPr>
              <w:ind w:firstLine="0"/>
            </w:pPr>
            <w:r>
              <w:t>26349</w:t>
            </w:r>
          </w:p>
        </w:tc>
        <w:tc>
          <w:tcPr>
            <w:tcW w:w="1276" w:type="dxa"/>
            <w:tcBorders>
              <w:top w:val="nil"/>
              <w:left w:val="nil"/>
              <w:bottom w:val="single" w:sz="4" w:space="0" w:color="auto"/>
              <w:right w:val="single" w:sz="4" w:space="0" w:color="auto"/>
            </w:tcBorders>
            <w:noWrap/>
            <w:vAlign w:val="bottom"/>
            <w:hideMark/>
          </w:tcPr>
          <w:p w14:paraId="138EDC23" w14:textId="77777777" w:rsidR="00EC492E" w:rsidRPr="00824D31" w:rsidRDefault="00EC492E" w:rsidP="00EC492E">
            <w:pPr>
              <w:ind w:firstLine="0"/>
            </w:pPr>
            <w:r w:rsidRPr="00824D31">
              <w:t>100,00%</w:t>
            </w:r>
          </w:p>
        </w:tc>
      </w:tr>
    </w:tbl>
    <w:p w14:paraId="13F05A65" w14:textId="77777777" w:rsidR="00EC492E" w:rsidRPr="00824D31" w:rsidRDefault="00EC492E" w:rsidP="00EC492E">
      <w:pPr>
        <w:ind w:firstLine="0"/>
      </w:pPr>
    </w:p>
    <w:p w14:paraId="2E478CD9" w14:textId="77777777" w:rsidR="00EC492E" w:rsidRPr="00824D31" w:rsidRDefault="00EC492E" w:rsidP="00EC492E">
      <w:r w:rsidRPr="00824D31">
        <w:t>Объекты недвижимости 10 группы были разбиты на подгруппы по следующим критериям:</w:t>
      </w:r>
    </w:p>
    <w:p w14:paraId="09F33E1F" w14:textId="77777777" w:rsidR="00EC492E" w:rsidRPr="00824D31" w:rsidRDefault="00EC492E" w:rsidP="00EC492E">
      <w:r w:rsidRPr="00824D31">
        <w:t>1. В зависимости от степени готовности объекта:</w:t>
      </w:r>
    </w:p>
    <w:p w14:paraId="53A2E435" w14:textId="77777777" w:rsidR="00EC492E" w:rsidRPr="00824D31" w:rsidRDefault="00EC492E" w:rsidP="00EC492E">
      <w:r w:rsidRPr="00824D31">
        <w:t xml:space="preserve">- объекты, строительство которых завершено (здания, помещения, сооружения, единые недвижимые комплексы); </w:t>
      </w:r>
    </w:p>
    <w:p w14:paraId="2B19A0E5" w14:textId="77777777" w:rsidR="00EC492E" w:rsidRPr="00824D31" w:rsidRDefault="00EC492E" w:rsidP="00EC492E">
      <w:r w:rsidRPr="00824D31">
        <w:t>-объекты незавершенного строительства.</w:t>
      </w:r>
    </w:p>
    <w:p w14:paraId="113E2A4A" w14:textId="77777777" w:rsidR="00EC492E" w:rsidRPr="00824D31" w:rsidRDefault="00EC492E" w:rsidP="00EC492E">
      <w:r w:rsidRPr="00824D31">
        <w:t>2. в зависимости от местоположения:</w:t>
      </w:r>
    </w:p>
    <w:p w14:paraId="18E91C19" w14:textId="77777777" w:rsidR="00EC492E" w:rsidRPr="00824D31" w:rsidRDefault="00EC492E" w:rsidP="00EC492E">
      <w:r w:rsidRPr="00824D31">
        <w:t>- объекты, точное местоположение которых возможно установить;</w:t>
      </w:r>
    </w:p>
    <w:p w14:paraId="41E79BEF" w14:textId="77777777" w:rsidR="00EC492E" w:rsidRPr="00824D31" w:rsidRDefault="00EC492E" w:rsidP="00EC492E">
      <w:r w:rsidRPr="00824D31">
        <w:t xml:space="preserve">- объекты, точное местоположение которых невозможно установить. </w:t>
      </w:r>
    </w:p>
    <w:p w14:paraId="6D560A25" w14:textId="70B82DFF" w:rsidR="00EC492E" w:rsidRPr="00824D31" w:rsidRDefault="00EC492E" w:rsidP="00EC492E">
      <w:r w:rsidRPr="00824D31">
        <w:t>В подгруппу объектов, точное местоположение которых возможно установить, относятся объекты, местоположение которых:</w:t>
      </w:r>
    </w:p>
    <w:p w14:paraId="18D023FB" w14:textId="77777777" w:rsidR="00EC492E" w:rsidRPr="00824D31" w:rsidRDefault="00EC492E" w:rsidP="00EC492E">
      <w:r w:rsidRPr="00824D31">
        <w:t>- возможно установить до уровня дома;</w:t>
      </w:r>
    </w:p>
    <w:p w14:paraId="04011573" w14:textId="77777777" w:rsidR="00EC492E" w:rsidRPr="00824D31" w:rsidRDefault="00EC492E" w:rsidP="00EC492E">
      <w:r w:rsidRPr="00824D31">
        <w:t>- возможно установить до уровня улицы;</w:t>
      </w:r>
    </w:p>
    <w:p w14:paraId="38A09845" w14:textId="77777777" w:rsidR="00EC492E" w:rsidRPr="00824D31" w:rsidRDefault="00EC492E" w:rsidP="00EC492E">
      <w:r w:rsidRPr="00824D31">
        <w:t>- возможно установить до уровня кадастрового квартала.</w:t>
      </w:r>
    </w:p>
    <w:p w14:paraId="03FE7174" w14:textId="77777777" w:rsidR="00EC492E" w:rsidRPr="00824D31" w:rsidRDefault="00EC492E" w:rsidP="00EC492E">
      <w:r w:rsidRPr="00824D31">
        <w:t>При этом для объектов, расположенных в сельских населенных пунктах, отнесенных в подгруппу объектов, точное местоположение которых возможно установить, допустимым является установление местоположения до уровня населенного пункта.</w:t>
      </w:r>
    </w:p>
    <w:p w14:paraId="53530F36" w14:textId="77777777" w:rsidR="00EC492E" w:rsidRPr="00824D31" w:rsidRDefault="00EC492E" w:rsidP="00EC492E">
      <w:r w:rsidRPr="00824D31">
        <w:t>К подгруппе объектов, точное местоположение которых невозможно установить, относятся объекты, местоположение которых:</w:t>
      </w:r>
    </w:p>
    <w:p w14:paraId="347B5A91" w14:textId="77777777" w:rsidR="00EC492E" w:rsidRPr="00824D31" w:rsidRDefault="00EC492E" w:rsidP="00EC492E">
      <w:r w:rsidRPr="00824D31">
        <w:t>- возможно установить только до уровня муниципального образования;</w:t>
      </w:r>
    </w:p>
    <w:p w14:paraId="7B4E3F3E" w14:textId="77777777" w:rsidR="00EC492E" w:rsidRPr="00824D31" w:rsidRDefault="00EC492E" w:rsidP="00EC492E">
      <w:r w:rsidRPr="00824D31">
        <w:t>- возможно установить только до уровня субъекта Российской Федерации.</w:t>
      </w:r>
    </w:p>
    <w:p w14:paraId="03DD342C" w14:textId="77777777" w:rsidR="00EC492E" w:rsidRPr="00824D31" w:rsidRDefault="00EC492E" w:rsidP="00EC492E">
      <w:r w:rsidRPr="00824D31">
        <w:t>3. В зависимости от статуса населенного пункта разделение на группы (подгруппы) производилось по принципу:</w:t>
      </w:r>
    </w:p>
    <w:p w14:paraId="58273F32" w14:textId="77777777" w:rsidR="00EC492E" w:rsidRPr="00824D31" w:rsidRDefault="00EC492E" w:rsidP="00EC492E">
      <w:r w:rsidRPr="00824D31">
        <w:t>- объекты, расположенные в столице субъекта Российской Федерации;</w:t>
      </w:r>
    </w:p>
    <w:p w14:paraId="74B03861" w14:textId="77777777" w:rsidR="00EC492E" w:rsidRPr="00824D31" w:rsidRDefault="00EC492E" w:rsidP="00EC492E">
      <w:r w:rsidRPr="00824D31">
        <w:t>- объекты, расположенные в прочих городских населенных пунктах;</w:t>
      </w:r>
    </w:p>
    <w:p w14:paraId="276FCB90" w14:textId="77777777" w:rsidR="00EC492E" w:rsidRPr="00824D31" w:rsidRDefault="00EC492E" w:rsidP="00EC492E">
      <w:r w:rsidRPr="00824D31">
        <w:t>- объекты, расположенные в сельских населенных пунктах;</w:t>
      </w:r>
    </w:p>
    <w:p w14:paraId="06E12391" w14:textId="77777777" w:rsidR="00EC492E" w:rsidRPr="00824D31" w:rsidRDefault="00EC492E" w:rsidP="00EC492E">
      <w:r w:rsidRPr="00824D31">
        <w:t>-  объекты, расположенные вне черты населенных пунктов.</w:t>
      </w:r>
    </w:p>
    <w:p w14:paraId="061E1366" w14:textId="77777777" w:rsidR="00EC492E" w:rsidRPr="00824D31" w:rsidRDefault="00EC492E" w:rsidP="00EC492E">
      <w:r w:rsidRPr="00824D31">
        <w:t xml:space="preserve">Выделенные на оцениваемой территории группы объектов оценки соответствуют следующим требованиям: </w:t>
      </w:r>
    </w:p>
    <w:p w14:paraId="4ADAD97D" w14:textId="77777777" w:rsidR="00EC492E" w:rsidRPr="00824D31" w:rsidRDefault="00EC492E" w:rsidP="00EC492E">
      <w:r w:rsidRPr="00824D31">
        <w:t>- однородны с точки зрения значений (диапазонов значений) ценообразующих факторов;</w:t>
      </w:r>
    </w:p>
    <w:p w14:paraId="48D67B68" w14:textId="77777777" w:rsidR="00EC492E" w:rsidRPr="00824D31" w:rsidRDefault="00EC492E" w:rsidP="00EC492E">
      <w:r w:rsidRPr="00824D31">
        <w:t>- полностью покрывают группу объектов оценки (каждый объект оценки должен быть отнесен к какой-либо группе/подгруппе);</w:t>
      </w:r>
    </w:p>
    <w:p w14:paraId="67492D4E" w14:textId="77777777" w:rsidR="00EC492E" w:rsidRPr="00824D31" w:rsidRDefault="00EC492E" w:rsidP="00EC492E">
      <w:r w:rsidRPr="00824D31">
        <w:t>- не пересекаются - объект оценки может быть отнесен только к одной группе/подгруппе.</w:t>
      </w:r>
    </w:p>
    <w:p w14:paraId="7D5BF215" w14:textId="77777777" w:rsidR="00EC492E" w:rsidRPr="00824D31" w:rsidRDefault="00EC492E" w:rsidP="00EC492E">
      <w:r w:rsidRPr="00824D31">
        <w:t xml:space="preserve">Представленная группировка позволяет объединить объекты недвижимости по общности признаков со схожими принципами ценообразования и примерно одинаковым уровнем цен на объекты недвижимости. </w:t>
      </w:r>
    </w:p>
    <w:p w14:paraId="4B630D49" w14:textId="77777777" w:rsidR="00EC492E" w:rsidRPr="00824D31" w:rsidRDefault="00EC492E" w:rsidP="00EC492E"/>
    <w:p w14:paraId="0EF436E3" w14:textId="70E10C44" w:rsidR="00CC47BA" w:rsidRDefault="00CC47BA">
      <w:pPr>
        <w:spacing w:after="160" w:line="259" w:lineRule="auto"/>
        <w:ind w:firstLine="0"/>
        <w:jc w:val="left"/>
        <w:rPr>
          <w:rFonts w:cs="Times New Roman"/>
          <w:szCs w:val="24"/>
        </w:rPr>
      </w:pPr>
      <w:r>
        <w:rPr>
          <w:rFonts w:cs="Times New Roman"/>
          <w:szCs w:val="24"/>
        </w:rPr>
        <w:br w:type="page"/>
      </w:r>
    </w:p>
    <w:p w14:paraId="119F3701" w14:textId="0C3B6940" w:rsidR="00D865D1" w:rsidRPr="00E07359" w:rsidRDefault="00EE79A5" w:rsidP="003C4C7D">
      <w:pPr>
        <w:pStyle w:val="10"/>
        <w:numPr>
          <w:ilvl w:val="1"/>
          <w:numId w:val="100"/>
        </w:numPr>
        <w:jc w:val="both"/>
      </w:pPr>
      <w:bookmarkStart w:id="98" w:name="_Toc14819111"/>
      <w:r w:rsidRPr="00E07359">
        <w:t xml:space="preserve">Обоснование отказа от использования </w:t>
      </w:r>
      <w:r w:rsidR="00473E76">
        <w:t>/ применения</w:t>
      </w:r>
      <w:r w:rsidR="00473E76" w:rsidRPr="00E07359">
        <w:t xml:space="preserve"> </w:t>
      </w:r>
      <w:r w:rsidRPr="00E07359">
        <w:t xml:space="preserve">ценообразующих факторов, предусмотренных </w:t>
      </w:r>
      <w:r w:rsidR="00FD4016" w:rsidRPr="00E07359">
        <w:t xml:space="preserve">Методическими </w:t>
      </w:r>
      <w:hyperlink r:id="rId266" w:tooltip="Приказ Минэкономразвития России от 12.05.2017 N 226 &quot;Об утверждении методических указаний о государственной кадастровой оценке&quot; (Зарегистрировано в Минюсте России 29.05.2017 N 46860){КонсультантПлюс}" w:history="1">
        <w:r w:rsidRPr="00E07359">
          <w:t>указаниями</w:t>
        </w:r>
      </w:hyperlink>
      <w:r w:rsidR="001D1EB0" w:rsidRPr="00E07359">
        <w:t>.</w:t>
      </w:r>
      <w:bookmarkEnd w:id="98"/>
      <w:r w:rsidR="001D1EB0" w:rsidRPr="00E07359">
        <w:t xml:space="preserve"> </w:t>
      </w:r>
    </w:p>
    <w:p w14:paraId="46B00835" w14:textId="77777777" w:rsidR="00450EFE" w:rsidRPr="0027086D" w:rsidRDefault="00450EFE" w:rsidP="00450EFE">
      <w:pPr>
        <w:rPr>
          <w:rFonts w:cs="Times New Roman"/>
        </w:rPr>
      </w:pPr>
    </w:p>
    <w:p w14:paraId="7A7BE515" w14:textId="579CA353" w:rsidR="005B148E" w:rsidRPr="00FF136A" w:rsidRDefault="005B148E" w:rsidP="005B148E">
      <w:pPr>
        <w:tabs>
          <w:tab w:val="left" w:pos="567"/>
        </w:tabs>
        <w:ind w:firstLine="567"/>
      </w:pPr>
      <w:r>
        <w:t xml:space="preserve">В соответствии с частью </w:t>
      </w:r>
      <w:r w:rsidRPr="00826DB8">
        <w:t>2 статьи 12 Федерального закона №237-ФЗ сбор и обработка информации, необходимой для определения кадастровой стоимости, осуществляются бюджетным учреждением в соответствии с методическими указаниями о государственной кадастровой оценке.</w:t>
      </w:r>
      <w:r w:rsidRPr="00FF136A">
        <w:t xml:space="preserve"> </w:t>
      </w:r>
    </w:p>
    <w:p w14:paraId="7E103EC7" w14:textId="77777777" w:rsidR="005B148E" w:rsidRPr="00E6620C" w:rsidRDefault="005B148E" w:rsidP="005B148E">
      <w:pPr>
        <w:tabs>
          <w:tab w:val="left" w:pos="567"/>
        </w:tabs>
        <w:ind w:firstLine="567"/>
      </w:pPr>
      <w:r w:rsidRPr="00FF136A">
        <w:t xml:space="preserve">В соответствии с п. 1.19 Методических указаний определение кадастровой стоимости включает в себя сбор сведений </w:t>
      </w:r>
      <w:r w:rsidRPr="00E6620C">
        <w:t>о значениях ценообразующих факторов.</w:t>
      </w:r>
    </w:p>
    <w:p w14:paraId="504544B7" w14:textId="7F3A7804" w:rsidR="005B148E" w:rsidRDefault="005B148E" w:rsidP="005B148E">
      <w:pPr>
        <w:tabs>
          <w:tab w:val="left" w:pos="567"/>
        </w:tabs>
        <w:ind w:firstLine="567"/>
      </w:pPr>
      <w:r w:rsidRPr="00FF136A">
        <w:t xml:space="preserve">В соответствии с п. </w:t>
      </w:r>
      <w:r>
        <w:t>5.1</w:t>
      </w:r>
      <w:r w:rsidRPr="00FF136A">
        <w:t xml:space="preserve"> Методических указаний</w:t>
      </w:r>
      <w:r>
        <w:t xml:space="preserve"> п</w:t>
      </w:r>
      <w:r w:rsidRPr="006D5E8A">
        <w:t xml:space="preserve">римерный перечень ценообразующих факторов приведен в </w:t>
      </w:r>
      <w:r>
        <w:t>П</w:t>
      </w:r>
      <w:r w:rsidRPr="006D5E8A">
        <w:t xml:space="preserve">риложении № </w:t>
      </w:r>
      <w:r w:rsidR="00593154">
        <w:t>3</w:t>
      </w:r>
      <w:r w:rsidRPr="006D5E8A">
        <w:t xml:space="preserve"> к Методическим указаниям. </w:t>
      </w:r>
      <w:r>
        <w:t>Данные факторы были проанализированы на соответствие рынку объектов недвижимости. По результатам анализа принято решение отказаться от использования ряда ценообразующих факторов для объектов капитального строительства, предусмотренных Методическими указаниями. Обоснование отказа от использования ценообразующих факторов, приведено в таблице ниже.</w:t>
      </w:r>
    </w:p>
    <w:p w14:paraId="7B68026C" w14:textId="32AC53D9" w:rsidR="005B148E" w:rsidRDefault="005B148E" w:rsidP="00763AD2">
      <w:pPr>
        <w:pStyle w:val="afffffff0"/>
      </w:pPr>
      <w:r w:rsidRPr="005B148E">
        <w:t xml:space="preserve">Таблица </w:t>
      </w:r>
      <w:r w:rsidR="00A90944">
        <w:fldChar w:fldCharType="begin"/>
      </w:r>
      <w:r w:rsidR="00A90944">
        <w:instrText xml:space="preserve"> SEQ Таблица \* ARABIC </w:instrText>
      </w:r>
      <w:r w:rsidR="00A90944">
        <w:fldChar w:fldCharType="separate"/>
      </w:r>
      <w:r w:rsidR="00FD2769">
        <w:rPr>
          <w:noProof/>
        </w:rPr>
        <w:t>43</w:t>
      </w:r>
      <w:r w:rsidR="00A90944">
        <w:rPr>
          <w:noProof/>
        </w:rPr>
        <w:fldChar w:fldCharType="end"/>
      </w:r>
      <w:r>
        <w:t>.  Обоснование отказа от использования</w:t>
      </w:r>
      <w:r w:rsidR="00473E76">
        <w:t>/ применения</w:t>
      </w:r>
      <w:r>
        <w:t xml:space="preserve"> ценообразующих факторов.</w:t>
      </w:r>
    </w:p>
    <w:tbl>
      <w:tblPr>
        <w:tblW w:w="9351" w:type="dxa"/>
        <w:tblLayout w:type="fixed"/>
        <w:tblCellMar>
          <w:left w:w="10" w:type="dxa"/>
          <w:right w:w="10" w:type="dxa"/>
        </w:tblCellMar>
        <w:tblLook w:val="04A0" w:firstRow="1" w:lastRow="0" w:firstColumn="1" w:lastColumn="0" w:noHBand="0" w:noVBand="1"/>
      </w:tblPr>
      <w:tblGrid>
        <w:gridCol w:w="501"/>
        <w:gridCol w:w="2096"/>
        <w:gridCol w:w="1509"/>
        <w:gridCol w:w="1285"/>
        <w:gridCol w:w="3960"/>
      </w:tblGrid>
      <w:tr w:rsidR="000D7C1E" w:rsidRPr="0078252D" w14:paraId="0FE42F70" w14:textId="77777777" w:rsidTr="00473E76">
        <w:trPr>
          <w:trHeight w:val="20"/>
          <w:tblHeader/>
        </w:trPr>
        <w:tc>
          <w:tcPr>
            <w:tcW w:w="501" w:type="dxa"/>
            <w:tcBorders>
              <w:top w:val="single" w:sz="4" w:space="0" w:color="000000"/>
              <w:left w:val="single" w:sz="4" w:space="0" w:color="000000"/>
              <w:bottom w:val="single" w:sz="4" w:space="0" w:color="000000"/>
            </w:tcBorders>
            <w:shd w:val="clear" w:color="auto" w:fill="D9D9D9" w:themeFill="background1" w:themeFillShade="D9"/>
            <w:tcMar>
              <w:top w:w="102" w:type="dxa"/>
              <w:left w:w="62" w:type="dxa"/>
              <w:bottom w:w="102" w:type="dxa"/>
              <w:right w:w="62" w:type="dxa"/>
            </w:tcMar>
          </w:tcPr>
          <w:p w14:paraId="1C93B510" w14:textId="77777777" w:rsidR="000D7C1E" w:rsidRPr="0078252D" w:rsidRDefault="000D7C1E" w:rsidP="00473E76">
            <w:pPr>
              <w:pStyle w:val="Standard"/>
              <w:widowControl w:val="0"/>
              <w:autoSpaceDE w:val="0"/>
              <w:jc w:val="center"/>
              <w:rPr>
                <w:sz w:val="20"/>
                <w:szCs w:val="20"/>
              </w:rPr>
            </w:pPr>
            <w:r w:rsidRPr="0078252D">
              <w:rPr>
                <w:sz w:val="20"/>
                <w:szCs w:val="20"/>
              </w:rPr>
              <w:t>N п/п</w:t>
            </w:r>
          </w:p>
        </w:tc>
        <w:tc>
          <w:tcPr>
            <w:tcW w:w="2096" w:type="dxa"/>
            <w:tcBorders>
              <w:top w:val="single" w:sz="4" w:space="0" w:color="000000"/>
              <w:left w:val="single" w:sz="4" w:space="0" w:color="000000"/>
              <w:bottom w:val="single" w:sz="4" w:space="0" w:color="000000"/>
            </w:tcBorders>
            <w:shd w:val="clear" w:color="auto" w:fill="D9D9D9" w:themeFill="background1" w:themeFillShade="D9"/>
            <w:tcMar>
              <w:top w:w="102" w:type="dxa"/>
              <w:left w:w="62" w:type="dxa"/>
              <w:bottom w:w="102" w:type="dxa"/>
              <w:right w:w="62" w:type="dxa"/>
            </w:tcMar>
          </w:tcPr>
          <w:p w14:paraId="6995E8F9" w14:textId="77777777" w:rsidR="000D7C1E" w:rsidRPr="0078252D" w:rsidRDefault="000D7C1E" w:rsidP="00473E76">
            <w:pPr>
              <w:pStyle w:val="Standard"/>
              <w:widowControl w:val="0"/>
              <w:autoSpaceDE w:val="0"/>
              <w:jc w:val="center"/>
              <w:rPr>
                <w:sz w:val="20"/>
                <w:szCs w:val="20"/>
              </w:rPr>
            </w:pPr>
            <w:r w:rsidRPr="0078252D">
              <w:rPr>
                <w:sz w:val="20"/>
                <w:szCs w:val="20"/>
              </w:rPr>
              <w:t>Наименование ценообразующего фактора</w:t>
            </w:r>
          </w:p>
        </w:tc>
        <w:tc>
          <w:tcPr>
            <w:tcW w:w="1509" w:type="dxa"/>
            <w:tcBorders>
              <w:top w:val="single" w:sz="4" w:space="0" w:color="000000"/>
              <w:left w:val="single" w:sz="4" w:space="0" w:color="000000"/>
              <w:bottom w:val="single" w:sz="4" w:space="0" w:color="000000"/>
            </w:tcBorders>
            <w:shd w:val="clear" w:color="auto" w:fill="D9D9D9" w:themeFill="background1" w:themeFillShade="D9"/>
            <w:tcMar>
              <w:top w:w="102" w:type="dxa"/>
              <w:left w:w="62" w:type="dxa"/>
              <w:bottom w:w="102" w:type="dxa"/>
              <w:right w:w="62" w:type="dxa"/>
            </w:tcMar>
          </w:tcPr>
          <w:p w14:paraId="37178135" w14:textId="77777777" w:rsidR="000D7C1E" w:rsidRPr="0078252D" w:rsidRDefault="000D7C1E" w:rsidP="00473E76">
            <w:pPr>
              <w:pStyle w:val="Standard"/>
              <w:widowControl w:val="0"/>
              <w:autoSpaceDE w:val="0"/>
              <w:jc w:val="center"/>
              <w:rPr>
                <w:sz w:val="20"/>
                <w:szCs w:val="20"/>
              </w:rPr>
            </w:pPr>
            <w:r w:rsidRPr="0078252D">
              <w:rPr>
                <w:sz w:val="20"/>
                <w:szCs w:val="20"/>
              </w:rPr>
              <w:t>Ед. измерения, идентификатор</w:t>
            </w:r>
          </w:p>
        </w:tc>
        <w:tc>
          <w:tcPr>
            <w:tcW w:w="1285" w:type="dxa"/>
            <w:tcBorders>
              <w:top w:val="single" w:sz="4" w:space="0" w:color="000000"/>
              <w:left w:val="single" w:sz="4" w:space="0" w:color="000000"/>
              <w:bottom w:val="single" w:sz="4" w:space="0" w:color="000000"/>
            </w:tcBorders>
            <w:shd w:val="clear" w:color="auto" w:fill="D9D9D9" w:themeFill="background1" w:themeFillShade="D9"/>
            <w:tcMar>
              <w:top w:w="102" w:type="dxa"/>
              <w:left w:w="62" w:type="dxa"/>
              <w:bottom w:w="102" w:type="dxa"/>
              <w:right w:w="62" w:type="dxa"/>
            </w:tcMar>
          </w:tcPr>
          <w:p w14:paraId="1BC4A58C" w14:textId="77777777" w:rsidR="000D7C1E" w:rsidRPr="0078252D" w:rsidRDefault="000D7C1E" w:rsidP="00473E76">
            <w:pPr>
              <w:pStyle w:val="Standard"/>
              <w:widowControl w:val="0"/>
              <w:autoSpaceDE w:val="0"/>
              <w:jc w:val="center"/>
              <w:rPr>
                <w:sz w:val="20"/>
                <w:szCs w:val="20"/>
              </w:rPr>
            </w:pPr>
            <w:r w:rsidRPr="0078252D">
              <w:rPr>
                <w:sz w:val="20"/>
                <w:szCs w:val="20"/>
              </w:rPr>
              <w:t>Применялся / не применялся</w:t>
            </w:r>
          </w:p>
        </w:tc>
        <w:tc>
          <w:tcPr>
            <w:tcW w:w="3960"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102" w:type="dxa"/>
              <w:left w:w="62" w:type="dxa"/>
              <w:bottom w:w="102" w:type="dxa"/>
              <w:right w:w="62" w:type="dxa"/>
            </w:tcMar>
          </w:tcPr>
          <w:p w14:paraId="620FB6C9" w14:textId="77777777" w:rsidR="000D7C1E" w:rsidRPr="0078252D" w:rsidRDefault="000D7C1E" w:rsidP="00473E76">
            <w:pPr>
              <w:pStyle w:val="Standard"/>
              <w:widowControl w:val="0"/>
              <w:autoSpaceDE w:val="0"/>
              <w:rPr>
                <w:sz w:val="20"/>
                <w:szCs w:val="20"/>
              </w:rPr>
            </w:pPr>
            <w:r w:rsidRPr="0078252D">
              <w:rPr>
                <w:sz w:val="20"/>
                <w:szCs w:val="20"/>
              </w:rPr>
              <w:t>Обоснование применения / отказа</w:t>
            </w:r>
          </w:p>
        </w:tc>
      </w:tr>
      <w:tr w:rsidR="000D7C1E" w:rsidRPr="0078252D" w14:paraId="592697BF" w14:textId="77777777" w:rsidTr="00473E76">
        <w:trPr>
          <w:trHeight w:val="20"/>
        </w:trPr>
        <w:tc>
          <w:tcPr>
            <w:tcW w:w="9351" w:type="dxa"/>
            <w:gridSpan w:val="5"/>
            <w:tcBorders>
              <w:top w:val="single" w:sz="4" w:space="0" w:color="000000"/>
              <w:left w:val="single" w:sz="4" w:space="0" w:color="000000"/>
              <w:bottom w:val="single" w:sz="4" w:space="0" w:color="000000"/>
              <w:right w:val="single" w:sz="4" w:space="0" w:color="000000"/>
            </w:tcBorders>
            <w:tcMar>
              <w:top w:w="102" w:type="dxa"/>
              <w:left w:w="62" w:type="dxa"/>
              <w:bottom w:w="102" w:type="dxa"/>
              <w:right w:w="62" w:type="dxa"/>
            </w:tcMar>
            <w:vAlign w:val="center"/>
          </w:tcPr>
          <w:p w14:paraId="3FFC9D2D" w14:textId="77777777" w:rsidR="000D7C1E" w:rsidRPr="0078252D" w:rsidRDefault="000D7C1E" w:rsidP="00473E76">
            <w:pPr>
              <w:pStyle w:val="Standard"/>
              <w:jc w:val="center"/>
              <w:rPr>
                <w:sz w:val="20"/>
                <w:szCs w:val="20"/>
              </w:rPr>
            </w:pPr>
            <w:r w:rsidRPr="0078252D">
              <w:rPr>
                <w:sz w:val="20"/>
                <w:szCs w:val="20"/>
              </w:rPr>
              <w:t>Земельные участки: Общие сведения</w:t>
            </w:r>
          </w:p>
        </w:tc>
      </w:tr>
      <w:tr w:rsidR="000D7C1E" w:rsidRPr="0078252D" w14:paraId="2D493279" w14:textId="77777777" w:rsidTr="00473E76">
        <w:trPr>
          <w:trHeight w:val="20"/>
        </w:trPr>
        <w:tc>
          <w:tcPr>
            <w:tcW w:w="501" w:type="dxa"/>
            <w:tcBorders>
              <w:top w:val="single" w:sz="4" w:space="0" w:color="000000"/>
              <w:left w:val="single" w:sz="4" w:space="0" w:color="000000"/>
              <w:bottom w:val="single" w:sz="4" w:space="0" w:color="000000"/>
            </w:tcBorders>
            <w:tcMar>
              <w:top w:w="102" w:type="dxa"/>
              <w:left w:w="62" w:type="dxa"/>
              <w:bottom w:w="102" w:type="dxa"/>
              <w:right w:w="62" w:type="dxa"/>
            </w:tcMar>
            <w:vAlign w:val="center"/>
          </w:tcPr>
          <w:p w14:paraId="38985068" w14:textId="77777777" w:rsidR="000D7C1E" w:rsidRPr="0078252D" w:rsidRDefault="000D7C1E" w:rsidP="00473E76">
            <w:pPr>
              <w:pStyle w:val="Standard"/>
              <w:widowControl w:val="0"/>
              <w:autoSpaceDE w:val="0"/>
              <w:jc w:val="center"/>
              <w:rPr>
                <w:sz w:val="20"/>
                <w:szCs w:val="20"/>
              </w:rPr>
            </w:pPr>
            <w:r w:rsidRPr="0078252D">
              <w:rPr>
                <w:sz w:val="20"/>
                <w:szCs w:val="20"/>
              </w:rPr>
              <w:t>1</w:t>
            </w:r>
          </w:p>
        </w:tc>
        <w:tc>
          <w:tcPr>
            <w:tcW w:w="2096" w:type="dxa"/>
            <w:tcBorders>
              <w:top w:val="single" w:sz="4" w:space="0" w:color="000000"/>
              <w:left w:val="single" w:sz="4" w:space="0" w:color="000000"/>
              <w:bottom w:val="single" w:sz="4" w:space="0" w:color="000000"/>
            </w:tcBorders>
            <w:tcMar>
              <w:top w:w="102" w:type="dxa"/>
              <w:left w:w="62" w:type="dxa"/>
              <w:bottom w:w="102" w:type="dxa"/>
              <w:right w:w="62" w:type="dxa"/>
            </w:tcMar>
          </w:tcPr>
          <w:p w14:paraId="46516D56" w14:textId="77777777" w:rsidR="000D7C1E" w:rsidRPr="0078252D" w:rsidRDefault="000D7C1E" w:rsidP="00473E76">
            <w:pPr>
              <w:pStyle w:val="Standard"/>
              <w:widowControl w:val="0"/>
              <w:autoSpaceDE w:val="0"/>
              <w:rPr>
                <w:sz w:val="20"/>
                <w:szCs w:val="20"/>
              </w:rPr>
            </w:pPr>
            <w:r w:rsidRPr="0078252D">
              <w:rPr>
                <w:sz w:val="20"/>
                <w:szCs w:val="20"/>
              </w:rPr>
              <w:t>Категория земель (при наличии ее влияния), вид разрешенного использования</w:t>
            </w:r>
          </w:p>
        </w:tc>
        <w:tc>
          <w:tcPr>
            <w:tcW w:w="1509" w:type="dxa"/>
            <w:tcBorders>
              <w:top w:val="single" w:sz="4" w:space="0" w:color="000000"/>
              <w:left w:val="single" w:sz="4" w:space="0" w:color="000000"/>
              <w:bottom w:val="single" w:sz="4" w:space="0" w:color="000000"/>
            </w:tcBorders>
            <w:tcMar>
              <w:top w:w="102" w:type="dxa"/>
              <w:left w:w="62" w:type="dxa"/>
              <w:bottom w:w="102" w:type="dxa"/>
              <w:right w:w="62" w:type="dxa"/>
            </w:tcMar>
          </w:tcPr>
          <w:p w14:paraId="3CDC67FD" w14:textId="77777777" w:rsidR="000D7C1E" w:rsidRPr="0078252D" w:rsidRDefault="000D7C1E" w:rsidP="00473E76">
            <w:pPr>
              <w:pStyle w:val="Standard"/>
              <w:widowControl w:val="0"/>
              <w:autoSpaceDE w:val="0"/>
              <w:jc w:val="center"/>
              <w:rPr>
                <w:sz w:val="20"/>
                <w:szCs w:val="20"/>
              </w:rPr>
            </w:pPr>
            <w:r w:rsidRPr="0078252D">
              <w:rPr>
                <w:sz w:val="20"/>
                <w:szCs w:val="20"/>
              </w:rPr>
              <w:t>-</w:t>
            </w:r>
          </w:p>
        </w:tc>
        <w:tc>
          <w:tcPr>
            <w:tcW w:w="1285" w:type="dxa"/>
            <w:tcBorders>
              <w:top w:val="single" w:sz="4" w:space="0" w:color="000000"/>
              <w:left w:val="single" w:sz="4" w:space="0" w:color="000000"/>
              <w:bottom w:val="single" w:sz="4" w:space="0" w:color="000000"/>
            </w:tcBorders>
            <w:tcMar>
              <w:top w:w="102" w:type="dxa"/>
              <w:left w:w="62" w:type="dxa"/>
              <w:bottom w:w="102" w:type="dxa"/>
              <w:right w:w="62" w:type="dxa"/>
            </w:tcMar>
          </w:tcPr>
          <w:p w14:paraId="6E8E3664" w14:textId="77777777" w:rsidR="000D7C1E" w:rsidRPr="005E02CB" w:rsidRDefault="000D7C1E" w:rsidP="00473E76">
            <w:r w:rsidRPr="005E02CB">
              <w:rPr>
                <w:sz w:val="20"/>
                <w:szCs w:val="20"/>
              </w:rPr>
              <w:t>не применялся</w:t>
            </w:r>
          </w:p>
        </w:tc>
        <w:tc>
          <w:tcPr>
            <w:tcW w:w="3960" w:type="dxa"/>
            <w:tcBorders>
              <w:top w:val="single" w:sz="4" w:space="0" w:color="000000"/>
              <w:left w:val="single" w:sz="4" w:space="0" w:color="000000"/>
              <w:bottom w:val="single" w:sz="4" w:space="0" w:color="000000"/>
              <w:right w:val="single" w:sz="4" w:space="0" w:color="000000"/>
            </w:tcBorders>
            <w:tcMar>
              <w:top w:w="102" w:type="dxa"/>
              <w:left w:w="62" w:type="dxa"/>
              <w:bottom w:w="102" w:type="dxa"/>
              <w:right w:w="62" w:type="dxa"/>
            </w:tcMar>
          </w:tcPr>
          <w:p w14:paraId="60C9803B" w14:textId="77777777" w:rsidR="000D7C1E" w:rsidRPr="00C91953" w:rsidRDefault="000D7C1E" w:rsidP="00473E76">
            <w:pPr>
              <w:pStyle w:val="Standard"/>
              <w:widowControl w:val="0"/>
              <w:autoSpaceDE w:val="0"/>
              <w:rPr>
                <w:sz w:val="20"/>
                <w:szCs w:val="20"/>
                <w:highlight w:val="yellow"/>
              </w:rPr>
            </w:pPr>
            <w:r w:rsidRPr="0078252D">
              <w:rPr>
                <w:sz w:val="20"/>
                <w:szCs w:val="20"/>
              </w:rPr>
              <w:t xml:space="preserve">Не учитывался, так как применяется при оценке </w:t>
            </w:r>
            <w:r>
              <w:rPr>
                <w:sz w:val="20"/>
                <w:szCs w:val="20"/>
              </w:rPr>
              <w:t>земельных участков</w:t>
            </w:r>
            <w:r w:rsidRPr="0078252D">
              <w:rPr>
                <w:sz w:val="20"/>
                <w:szCs w:val="20"/>
              </w:rPr>
              <w:t>.</w:t>
            </w:r>
          </w:p>
        </w:tc>
      </w:tr>
      <w:tr w:rsidR="000D7C1E" w:rsidRPr="0078252D" w14:paraId="143E801D" w14:textId="77777777" w:rsidTr="00473E76">
        <w:trPr>
          <w:trHeight w:val="20"/>
        </w:trPr>
        <w:tc>
          <w:tcPr>
            <w:tcW w:w="501" w:type="dxa"/>
            <w:tcBorders>
              <w:top w:val="single" w:sz="4" w:space="0" w:color="000000"/>
              <w:left w:val="single" w:sz="4" w:space="0" w:color="000000"/>
              <w:bottom w:val="single" w:sz="4" w:space="0" w:color="000000"/>
            </w:tcBorders>
            <w:tcMar>
              <w:top w:w="102" w:type="dxa"/>
              <w:left w:w="62" w:type="dxa"/>
              <w:bottom w:w="102" w:type="dxa"/>
              <w:right w:w="62" w:type="dxa"/>
            </w:tcMar>
            <w:vAlign w:val="center"/>
          </w:tcPr>
          <w:p w14:paraId="6C221A08" w14:textId="77777777" w:rsidR="000D7C1E" w:rsidRPr="0078252D" w:rsidRDefault="000D7C1E" w:rsidP="00473E76">
            <w:pPr>
              <w:pStyle w:val="Standard"/>
              <w:widowControl w:val="0"/>
              <w:autoSpaceDE w:val="0"/>
              <w:jc w:val="center"/>
              <w:rPr>
                <w:sz w:val="20"/>
                <w:szCs w:val="20"/>
              </w:rPr>
            </w:pPr>
            <w:r w:rsidRPr="0078252D">
              <w:rPr>
                <w:sz w:val="20"/>
                <w:szCs w:val="20"/>
              </w:rPr>
              <w:t>2</w:t>
            </w:r>
          </w:p>
        </w:tc>
        <w:tc>
          <w:tcPr>
            <w:tcW w:w="2096" w:type="dxa"/>
            <w:tcBorders>
              <w:top w:val="single" w:sz="4" w:space="0" w:color="000000"/>
              <w:left w:val="single" w:sz="4" w:space="0" w:color="000000"/>
              <w:bottom w:val="single" w:sz="4" w:space="0" w:color="000000"/>
            </w:tcBorders>
            <w:tcMar>
              <w:top w:w="102" w:type="dxa"/>
              <w:left w:w="62" w:type="dxa"/>
              <w:bottom w:w="102" w:type="dxa"/>
              <w:right w:w="62" w:type="dxa"/>
            </w:tcMar>
          </w:tcPr>
          <w:p w14:paraId="734D8915" w14:textId="77777777" w:rsidR="000D7C1E" w:rsidRPr="0078252D" w:rsidRDefault="000D7C1E" w:rsidP="00473E76">
            <w:pPr>
              <w:pStyle w:val="Standard"/>
              <w:widowControl w:val="0"/>
              <w:autoSpaceDE w:val="0"/>
              <w:rPr>
                <w:sz w:val="20"/>
                <w:szCs w:val="20"/>
              </w:rPr>
            </w:pPr>
            <w:r w:rsidRPr="0078252D">
              <w:rPr>
                <w:sz w:val="20"/>
                <w:szCs w:val="20"/>
              </w:rPr>
              <w:t>Площадь земельного участка</w:t>
            </w:r>
          </w:p>
        </w:tc>
        <w:tc>
          <w:tcPr>
            <w:tcW w:w="1509" w:type="dxa"/>
            <w:tcBorders>
              <w:top w:val="single" w:sz="4" w:space="0" w:color="000000"/>
              <w:left w:val="single" w:sz="4" w:space="0" w:color="000000"/>
              <w:bottom w:val="single" w:sz="4" w:space="0" w:color="000000"/>
            </w:tcBorders>
            <w:tcMar>
              <w:top w:w="102" w:type="dxa"/>
              <w:left w:w="62" w:type="dxa"/>
              <w:bottom w:w="102" w:type="dxa"/>
              <w:right w:w="62" w:type="dxa"/>
            </w:tcMar>
          </w:tcPr>
          <w:p w14:paraId="0090E54A" w14:textId="77777777" w:rsidR="000D7C1E" w:rsidRPr="0078252D" w:rsidRDefault="000D7C1E" w:rsidP="00473E76">
            <w:pPr>
              <w:pStyle w:val="Standard"/>
              <w:widowControl w:val="0"/>
              <w:autoSpaceDE w:val="0"/>
              <w:jc w:val="center"/>
              <w:rPr>
                <w:sz w:val="20"/>
                <w:szCs w:val="20"/>
              </w:rPr>
            </w:pPr>
            <w:r w:rsidRPr="0078252D">
              <w:rPr>
                <w:sz w:val="20"/>
                <w:szCs w:val="20"/>
              </w:rPr>
              <w:t>кв. м.</w:t>
            </w:r>
          </w:p>
        </w:tc>
        <w:tc>
          <w:tcPr>
            <w:tcW w:w="1285" w:type="dxa"/>
            <w:tcBorders>
              <w:top w:val="single" w:sz="4" w:space="0" w:color="000000"/>
              <w:left w:val="single" w:sz="4" w:space="0" w:color="000000"/>
              <w:bottom w:val="single" w:sz="4" w:space="0" w:color="000000"/>
            </w:tcBorders>
            <w:tcMar>
              <w:top w:w="102" w:type="dxa"/>
              <w:left w:w="62" w:type="dxa"/>
              <w:bottom w:w="102" w:type="dxa"/>
              <w:right w:w="62" w:type="dxa"/>
            </w:tcMar>
          </w:tcPr>
          <w:p w14:paraId="51B908B2" w14:textId="77777777" w:rsidR="000D7C1E" w:rsidRPr="005E02CB" w:rsidRDefault="000D7C1E" w:rsidP="00473E76">
            <w:pPr>
              <w:rPr>
                <w:sz w:val="20"/>
                <w:szCs w:val="20"/>
              </w:rPr>
            </w:pPr>
            <w:r w:rsidRPr="005E02CB">
              <w:rPr>
                <w:sz w:val="20"/>
                <w:szCs w:val="20"/>
              </w:rPr>
              <w:t>не применялся</w:t>
            </w:r>
          </w:p>
        </w:tc>
        <w:tc>
          <w:tcPr>
            <w:tcW w:w="3960" w:type="dxa"/>
            <w:tcBorders>
              <w:top w:val="single" w:sz="4" w:space="0" w:color="000000"/>
              <w:left w:val="single" w:sz="4" w:space="0" w:color="000000"/>
              <w:bottom w:val="single" w:sz="4" w:space="0" w:color="000000"/>
              <w:right w:val="single" w:sz="4" w:space="0" w:color="000000"/>
            </w:tcBorders>
            <w:tcMar>
              <w:top w:w="102" w:type="dxa"/>
              <w:left w:w="62" w:type="dxa"/>
              <w:bottom w:w="102" w:type="dxa"/>
              <w:right w:w="62" w:type="dxa"/>
            </w:tcMar>
          </w:tcPr>
          <w:p w14:paraId="428F7313" w14:textId="77777777" w:rsidR="000D7C1E" w:rsidRPr="005E02CB" w:rsidRDefault="000D7C1E" w:rsidP="00473E76">
            <w:pPr>
              <w:ind w:firstLine="0"/>
              <w:jc w:val="left"/>
              <w:rPr>
                <w:sz w:val="20"/>
                <w:szCs w:val="20"/>
              </w:rPr>
            </w:pPr>
            <w:r w:rsidRPr="00713E73">
              <w:rPr>
                <w:sz w:val="20"/>
                <w:szCs w:val="20"/>
              </w:rPr>
              <w:t>Не учитывался, так как применяется при оценке земельных участков.</w:t>
            </w:r>
          </w:p>
        </w:tc>
      </w:tr>
      <w:tr w:rsidR="000D7C1E" w:rsidRPr="0078252D" w14:paraId="71E39139" w14:textId="77777777" w:rsidTr="00473E76">
        <w:trPr>
          <w:trHeight w:val="20"/>
        </w:trPr>
        <w:tc>
          <w:tcPr>
            <w:tcW w:w="501" w:type="dxa"/>
            <w:tcBorders>
              <w:top w:val="single" w:sz="4" w:space="0" w:color="000000"/>
              <w:left w:val="single" w:sz="4" w:space="0" w:color="000000"/>
              <w:bottom w:val="single" w:sz="4" w:space="0" w:color="000000"/>
            </w:tcBorders>
            <w:tcMar>
              <w:top w:w="102" w:type="dxa"/>
              <w:left w:w="62" w:type="dxa"/>
              <w:bottom w:w="102" w:type="dxa"/>
              <w:right w:w="62" w:type="dxa"/>
            </w:tcMar>
            <w:vAlign w:val="center"/>
          </w:tcPr>
          <w:p w14:paraId="3CC594B4" w14:textId="77777777" w:rsidR="000D7C1E" w:rsidRPr="0078252D" w:rsidRDefault="000D7C1E" w:rsidP="00473E76">
            <w:pPr>
              <w:pStyle w:val="Standard"/>
              <w:widowControl w:val="0"/>
              <w:autoSpaceDE w:val="0"/>
              <w:jc w:val="center"/>
              <w:rPr>
                <w:sz w:val="20"/>
                <w:szCs w:val="20"/>
              </w:rPr>
            </w:pPr>
            <w:r w:rsidRPr="0078252D">
              <w:rPr>
                <w:sz w:val="20"/>
                <w:szCs w:val="20"/>
              </w:rPr>
              <w:t>3</w:t>
            </w:r>
          </w:p>
        </w:tc>
        <w:tc>
          <w:tcPr>
            <w:tcW w:w="2096" w:type="dxa"/>
            <w:tcBorders>
              <w:top w:val="single" w:sz="4" w:space="0" w:color="000000"/>
              <w:left w:val="single" w:sz="4" w:space="0" w:color="000000"/>
              <w:bottom w:val="single" w:sz="4" w:space="0" w:color="000000"/>
            </w:tcBorders>
            <w:tcMar>
              <w:top w:w="102" w:type="dxa"/>
              <w:left w:w="62" w:type="dxa"/>
              <w:bottom w:w="102" w:type="dxa"/>
              <w:right w:w="62" w:type="dxa"/>
            </w:tcMar>
          </w:tcPr>
          <w:p w14:paraId="02E691C4" w14:textId="77777777" w:rsidR="000D7C1E" w:rsidRPr="0078252D" w:rsidRDefault="000D7C1E" w:rsidP="00473E76">
            <w:pPr>
              <w:pStyle w:val="Standard"/>
              <w:widowControl w:val="0"/>
              <w:autoSpaceDE w:val="0"/>
              <w:rPr>
                <w:sz w:val="20"/>
                <w:szCs w:val="20"/>
              </w:rPr>
            </w:pPr>
            <w:r w:rsidRPr="0078252D">
              <w:rPr>
                <w:sz w:val="20"/>
                <w:szCs w:val="20"/>
              </w:rPr>
              <w:t>Фактическое использование</w:t>
            </w:r>
          </w:p>
        </w:tc>
        <w:tc>
          <w:tcPr>
            <w:tcW w:w="1509" w:type="dxa"/>
            <w:tcBorders>
              <w:top w:val="single" w:sz="4" w:space="0" w:color="000000"/>
              <w:left w:val="single" w:sz="4" w:space="0" w:color="000000"/>
              <w:bottom w:val="single" w:sz="4" w:space="0" w:color="000000"/>
            </w:tcBorders>
            <w:tcMar>
              <w:top w:w="102" w:type="dxa"/>
              <w:left w:w="62" w:type="dxa"/>
              <w:bottom w:w="102" w:type="dxa"/>
              <w:right w:w="62" w:type="dxa"/>
            </w:tcMar>
          </w:tcPr>
          <w:p w14:paraId="6272AD8B" w14:textId="77777777" w:rsidR="000D7C1E" w:rsidRPr="0078252D" w:rsidRDefault="000D7C1E" w:rsidP="00473E76">
            <w:pPr>
              <w:pStyle w:val="Standard"/>
              <w:widowControl w:val="0"/>
              <w:autoSpaceDE w:val="0"/>
              <w:jc w:val="center"/>
              <w:rPr>
                <w:sz w:val="20"/>
                <w:szCs w:val="20"/>
              </w:rPr>
            </w:pPr>
            <w:r w:rsidRPr="0078252D">
              <w:rPr>
                <w:sz w:val="20"/>
                <w:szCs w:val="20"/>
              </w:rPr>
              <w:t>-</w:t>
            </w:r>
          </w:p>
        </w:tc>
        <w:tc>
          <w:tcPr>
            <w:tcW w:w="1285" w:type="dxa"/>
            <w:tcBorders>
              <w:top w:val="single" w:sz="4" w:space="0" w:color="000000"/>
              <w:left w:val="single" w:sz="4" w:space="0" w:color="000000"/>
              <w:bottom w:val="single" w:sz="4" w:space="0" w:color="000000"/>
            </w:tcBorders>
            <w:tcMar>
              <w:top w:w="102" w:type="dxa"/>
              <w:left w:w="62" w:type="dxa"/>
              <w:bottom w:w="102" w:type="dxa"/>
              <w:right w:w="62" w:type="dxa"/>
            </w:tcMar>
          </w:tcPr>
          <w:p w14:paraId="6478A72E" w14:textId="77777777" w:rsidR="000D7C1E" w:rsidRPr="0078252D" w:rsidRDefault="000D7C1E" w:rsidP="00473E76">
            <w:pPr>
              <w:rPr>
                <w:sz w:val="20"/>
                <w:szCs w:val="20"/>
              </w:rPr>
            </w:pPr>
            <w:r w:rsidRPr="0078252D">
              <w:rPr>
                <w:sz w:val="20"/>
                <w:szCs w:val="20"/>
              </w:rPr>
              <w:t>не применялся</w:t>
            </w:r>
          </w:p>
        </w:tc>
        <w:tc>
          <w:tcPr>
            <w:tcW w:w="3960" w:type="dxa"/>
            <w:tcBorders>
              <w:top w:val="single" w:sz="4" w:space="0" w:color="000000"/>
              <w:left w:val="single" w:sz="4" w:space="0" w:color="000000"/>
              <w:bottom w:val="single" w:sz="4" w:space="0" w:color="000000"/>
              <w:right w:val="single" w:sz="4" w:space="0" w:color="000000"/>
            </w:tcBorders>
            <w:tcMar>
              <w:top w:w="102" w:type="dxa"/>
              <w:left w:w="62" w:type="dxa"/>
              <w:bottom w:w="102" w:type="dxa"/>
              <w:right w:w="62" w:type="dxa"/>
            </w:tcMar>
          </w:tcPr>
          <w:p w14:paraId="03B27FF5" w14:textId="77777777" w:rsidR="000D7C1E" w:rsidRPr="005E02CB" w:rsidRDefault="000D7C1E" w:rsidP="00473E76">
            <w:pPr>
              <w:ind w:firstLine="0"/>
              <w:rPr>
                <w:sz w:val="20"/>
                <w:szCs w:val="20"/>
              </w:rPr>
            </w:pPr>
            <w:r w:rsidRPr="00713E73">
              <w:rPr>
                <w:sz w:val="20"/>
                <w:szCs w:val="20"/>
              </w:rPr>
              <w:t>Не учитывался, так как применяется при оценке земельных участков.</w:t>
            </w:r>
          </w:p>
        </w:tc>
      </w:tr>
      <w:tr w:rsidR="000D7C1E" w:rsidRPr="0078252D" w14:paraId="3CF450FB" w14:textId="77777777" w:rsidTr="00473E76">
        <w:trPr>
          <w:trHeight w:val="20"/>
        </w:trPr>
        <w:tc>
          <w:tcPr>
            <w:tcW w:w="501" w:type="dxa"/>
            <w:tcBorders>
              <w:top w:val="single" w:sz="4" w:space="0" w:color="000000"/>
              <w:left w:val="single" w:sz="4" w:space="0" w:color="000000"/>
              <w:bottom w:val="single" w:sz="4" w:space="0" w:color="000000"/>
            </w:tcBorders>
            <w:tcMar>
              <w:top w:w="102" w:type="dxa"/>
              <w:left w:w="62" w:type="dxa"/>
              <w:bottom w:w="102" w:type="dxa"/>
              <w:right w:w="62" w:type="dxa"/>
            </w:tcMar>
            <w:vAlign w:val="center"/>
          </w:tcPr>
          <w:p w14:paraId="424732E4" w14:textId="77777777" w:rsidR="000D7C1E" w:rsidRPr="0078252D" w:rsidRDefault="000D7C1E" w:rsidP="00473E76">
            <w:pPr>
              <w:pStyle w:val="Standard"/>
              <w:widowControl w:val="0"/>
              <w:autoSpaceDE w:val="0"/>
              <w:jc w:val="center"/>
              <w:rPr>
                <w:sz w:val="20"/>
                <w:szCs w:val="20"/>
              </w:rPr>
            </w:pPr>
            <w:r w:rsidRPr="0078252D">
              <w:rPr>
                <w:sz w:val="20"/>
                <w:szCs w:val="20"/>
              </w:rPr>
              <w:t>4</w:t>
            </w:r>
          </w:p>
        </w:tc>
        <w:tc>
          <w:tcPr>
            <w:tcW w:w="2096" w:type="dxa"/>
            <w:tcBorders>
              <w:top w:val="single" w:sz="4" w:space="0" w:color="000000"/>
              <w:left w:val="single" w:sz="4" w:space="0" w:color="000000"/>
              <w:bottom w:val="single" w:sz="4" w:space="0" w:color="000000"/>
            </w:tcBorders>
            <w:tcMar>
              <w:top w:w="102" w:type="dxa"/>
              <w:left w:w="62" w:type="dxa"/>
              <w:bottom w:w="102" w:type="dxa"/>
              <w:right w:w="62" w:type="dxa"/>
            </w:tcMar>
          </w:tcPr>
          <w:p w14:paraId="40781FFB" w14:textId="77777777" w:rsidR="000D7C1E" w:rsidRPr="0078252D" w:rsidRDefault="000D7C1E" w:rsidP="00473E76">
            <w:pPr>
              <w:pStyle w:val="Standard"/>
              <w:widowControl w:val="0"/>
              <w:autoSpaceDE w:val="0"/>
              <w:rPr>
                <w:sz w:val="20"/>
                <w:szCs w:val="20"/>
              </w:rPr>
            </w:pPr>
            <w:r w:rsidRPr="0078252D">
              <w:rPr>
                <w:sz w:val="20"/>
                <w:szCs w:val="20"/>
              </w:rPr>
              <w:t>Коэффициент протяженности земельного участка по данным геоинформационных систем (ГИС)</w:t>
            </w:r>
          </w:p>
        </w:tc>
        <w:tc>
          <w:tcPr>
            <w:tcW w:w="1509" w:type="dxa"/>
            <w:tcBorders>
              <w:top w:val="single" w:sz="4" w:space="0" w:color="000000"/>
              <w:left w:val="single" w:sz="4" w:space="0" w:color="000000"/>
              <w:bottom w:val="single" w:sz="4" w:space="0" w:color="000000"/>
            </w:tcBorders>
            <w:tcMar>
              <w:top w:w="102" w:type="dxa"/>
              <w:left w:w="62" w:type="dxa"/>
              <w:bottom w:w="102" w:type="dxa"/>
              <w:right w:w="62" w:type="dxa"/>
            </w:tcMar>
          </w:tcPr>
          <w:p w14:paraId="5B6FC124" w14:textId="77777777" w:rsidR="000D7C1E" w:rsidRPr="0078252D" w:rsidRDefault="000D7C1E" w:rsidP="00473E76">
            <w:pPr>
              <w:pStyle w:val="Standard"/>
              <w:widowControl w:val="0"/>
              <w:autoSpaceDE w:val="0"/>
              <w:jc w:val="center"/>
              <w:rPr>
                <w:sz w:val="20"/>
                <w:szCs w:val="20"/>
              </w:rPr>
            </w:pPr>
            <w:r w:rsidRPr="0078252D">
              <w:rPr>
                <w:sz w:val="20"/>
                <w:szCs w:val="20"/>
              </w:rPr>
              <w:t>пог. м</w:t>
            </w:r>
          </w:p>
        </w:tc>
        <w:tc>
          <w:tcPr>
            <w:tcW w:w="1285" w:type="dxa"/>
            <w:tcBorders>
              <w:top w:val="single" w:sz="4" w:space="0" w:color="000000"/>
              <w:left w:val="single" w:sz="4" w:space="0" w:color="000000"/>
              <w:bottom w:val="single" w:sz="4" w:space="0" w:color="000000"/>
            </w:tcBorders>
            <w:tcMar>
              <w:top w:w="102" w:type="dxa"/>
              <w:left w:w="62" w:type="dxa"/>
              <w:bottom w:w="102" w:type="dxa"/>
              <w:right w:w="62" w:type="dxa"/>
            </w:tcMar>
          </w:tcPr>
          <w:p w14:paraId="69515D90" w14:textId="77777777" w:rsidR="000D7C1E" w:rsidRPr="0078252D" w:rsidRDefault="000D7C1E" w:rsidP="00473E76">
            <w:pPr>
              <w:rPr>
                <w:sz w:val="20"/>
                <w:szCs w:val="20"/>
              </w:rPr>
            </w:pPr>
            <w:r w:rsidRPr="0078252D">
              <w:rPr>
                <w:sz w:val="20"/>
                <w:szCs w:val="20"/>
              </w:rPr>
              <w:t>не применялся</w:t>
            </w:r>
          </w:p>
        </w:tc>
        <w:tc>
          <w:tcPr>
            <w:tcW w:w="3960" w:type="dxa"/>
            <w:tcBorders>
              <w:top w:val="single" w:sz="4" w:space="0" w:color="000000"/>
              <w:left w:val="single" w:sz="4" w:space="0" w:color="000000"/>
              <w:bottom w:val="single" w:sz="4" w:space="0" w:color="000000"/>
              <w:right w:val="single" w:sz="4" w:space="0" w:color="000000"/>
            </w:tcBorders>
            <w:tcMar>
              <w:top w:w="102" w:type="dxa"/>
              <w:left w:w="62" w:type="dxa"/>
              <w:bottom w:w="102" w:type="dxa"/>
              <w:right w:w="62" w:type="dxa"/>
            </w:tcMar>
          </w:tcPr>
          <w:p w14:paraId="717F5532" w14:textId="77777777" w:rsidR="000D7C1E" w:rsidRPr="005E02CB" w:rsidRDefault="000D7C1E" w:rsidP="00473E76">
            <w:pPr>
              <w:ind w:firstLine="0"/>
              <w:rPr>
                <w:sz w:val="20"/>
                <w:szCs w:val="20"/>
              </w:rPr>
            </w:pPr>
            <w:r w:rsidRPr="00713E73">
              <w:rPr>
                <w:sz w:val="20"/>
                <w:szCs w:val="20"/>
              </w:rPr>
              <w:t>Не учитывался, так как применяется при оценке земельных участков.</w:t>
            </w:r>
          </w:p>
        </w:tc>
      </w:tr>
      <w:tr w:rsidR="000D7C1E" w:rsidRPr="0078252D" w14:paraId="19D8DDAE" w14:textId="77777777" w:rsidTr="00473E76">
        <w:trPr>
          <w:trHeight w:val="20"/>
        </w:trPr>
        <w:tc>
          <w:tcPr>
            <w:tcW w:w="501" w:type="dxa"/>
            <w:tcBorders>
              <w:top w:val="single" w:sz="4" w:space="0" w:color="000000"/>
              <w:left w:val="single" w:sz="4" w:space="0" w:color="000000"/>
              <w:bottom w:val="single" w:sz="4" w:space="0" w:color="000000"/>
            </w:tcBorders>
            <w:tcMar>
              <w:top w:w="102" w:type="dxa"/>
              <w:left w:w="62" w:type="dxa"/>
              <w:bottom w:w="102" w:type="dxa"/>
              <w:right w:w="62" w:type="dxa"/>
            </w:tcMar>
            <w:vAlign w:val="center"/>
          </w:tcPr>
          <w:p w14:paraId="03D383BB" w14:textId="77777777" w:rsidR="000D7C1E" w:rsidRPr="0078252D" w:rsidRDefault="000D7C1E" w:rsidP="00473E76">
            <w:pPr>
              <w:pStyle w:val="Standard"/>
              <w:widowControl w:val="0"/>
              <w:autoSpaceDE w:val="0"/>
              <w:jc w:val="center"/>
              <w:rPr>
                <w:sz w:val="20"/>
                <w:szCs w:val="20"/>
              </w:rPr>
            </w:pPr>
            <w:r w:rsidRPr="0078252D">
              <w:rPr>
                <w:sz w:val="20"/>
                <w:szCs w:val="20"/>
              </w:rPr>
              <w:t>5</w:t>
            </w:r>
          </w:p>
        </w:tc>
        <w:tc>
          <w:tcPr>
            <w:tcW w:w="2096" w:type="dxa"/>
            <w:tcBorders>
              <w:top w:val="single" w:sz="4" w:space="0" w:color="000000"/>
              <w:left w:val="single" w:sz="4" w:space="0" w:color="000000"/>
              <w:bottom w:val="single" w:sz="4" w:space="0" w:color="000000"/>
            </w:tcBorders>
            <w:tcMar>
              <w:top w:w="102" w:type="dxa"/>
              <w:left w:w="62" w:type="dxa"/>
              <w:bottom w:w="102" w:type="dxa"/>
              <w:right w:w="62" w:type="dxa"/>
            </w:tcMar>
          </w:tcPr>
          <w:p w14:paraId="6471488A" w14:textId="77777777" w:rsidR="000D7C1E" w:rsidRPr="0078252D" w:rsidRDefault="000D7C1E" w:rsidP="00473E76">
            <w:pPr>
              <w:pStyle w:val="Standard"/>
              <w:widowControl w:val="0"/>
              <w:autoSpaceDE w:val="0"/>
              <w:rPr>
                <w:sz w:val="20"/>
                <w:szCs w:val="20"/>
              </w:rPr>
            </w:pPr>
            <w:r w:rsidRPr="0078252D">
              <w:rPr>
                <w:sz w:val="20"/>
                <w:szCs w:val="20"/>
              </w:rPr>
              <w:t>Наличие обременений (ограничений) земельного участка</w:t>
            </w:r>
          </w:p>
        </w:tc>
        <w:tc>
          <w:tcPr>
            <w:tcW w:w="1509" w:type="dxa"/>
            <w:tcBorders>
              <w:top w:val="single" w:sz="4" w:space="0" w:color="000000"/>
              <w:left w:val="single" w:sz="4" w:space="0" w:color="000000"/>
              <w:bottom w:val="single" w:sz="4" w:space="0" w:color="000000"/>
            </w:tcBorders>
            <w:tcMar>
              <w:top w:w="102" w:type="dxa"/>
              <w:left w:w="62" w:type="dxa"/>
              <w:bottom w:w="102" w:type="dxa"/>
              <w:right w:w="62" w:type="dxa"/>
            </w:tcMar>
          </w:tcPr>
          <w:p w14:paraId="68F8CB65" w14:textId="77777777" w:rsidR="000D7C1E" w:rsidRPr="0078252D" w:rsidRDefault="000D7C1E" w:rsidP="00473E76">
            <w:pPr>
              <w:pStyle w:val="Standard"/>
              <w:widowControl w:val="0"/>
              <w:autoSpaceDE w:val="0"/>
              <w:jc w:val="center"/>
              <w:rPr>
                <w:sz w:val="20"/>
                <w:szCs w:val="20"/>
              </w:rPr>
            </w:pPr>
            <w:r w:rsidRPr="0078252D">
              <w:rPr>
                <w:sz w:val="20"/>
                <w:szCs w:val="20"/>
              </w:rPr>
              <w:t>-</w:t>
            </w:r>
          </w:p>
        </w:tc>
        <w:tc>
          <w:tcPr>
            <w:tcW w:w="1285" w:type="dxa"/>
            <w:tcBorders>
              <w:top w:val="single" w:sz="4" w:space="0" w:color="000000"/>
              <w:left w:val="single" w:sz="4" w:space="0" w:color="000000"/>
              <w:bottom w:val="single" w:sz="4" w:space="0" w:color="000000"/>
            </w:tcBorders>
            <w:tcMar>
              <w:top w:w="102" w:type="dxa"/>
              <w:left w:w="62" w:type="dxa"/>
              <w:bottom w:w="102" w:type="dxa"/>
              <w:right w:w="62" w:type="dxa"/>
            </w:tcMar>
          </w:tcPr>
          <w:p w14:paraId="2B9FC5CC" w14:textId="77777777" w:rsidR="000D7C1E" w:rsidRPr="0078252D" w:rsidRDefault="000D7C1E" w:rsidP="00473E76">
            <w:pPr>
              <w:rPr>
                <w:sz w:val="20"/>
                <w:szCs w:val="20"/>
              </w:rPr>
            </w:pPr>
            <w:r w:rsidRPr="0078252D">
              <w:rPr>
                <w:sz w:val="20"/>
                <w:szCs w:val="20"/>
              </w:rPr>
              <w:t>не применялся</w:t>
            </w:r>
          </w:p>
        </w:tc>
        <w:tc>
          <w:tcPr>
            <w:tcW w:w="3960" w:type="dxa"/>
            <w:tcBorders>
              <w:top w:val="single" w:sz="4" w:space="0" w:color="000000"/>
              <w:left w:val="single" w:sz="4" w:space="0" w:color="000000"/>
              <w:bottom w:val="single" w:sz="4" w:space="0" w:color="000000"/>
              <w:right w:val="single" w:sz="4" w:space="0" w:color="000000"/>
            </w:tcBorders>
            <w:tcMar>
              <w:top w:w="102" w:type="dxa"/>
              <w:left w:w="62" w:type="dxa"/>
              <w:bottom w:w="102" w:type="dxa"/>
              <w:right w:w="62" w:type="dxa"/>
            </w:tcMar>
          </w:tcPr>
          <w:p w14:paraId="2B73F05D" w14:textId="77777777" w:rsidR="000D7C1E" w:rsidRPr="005E02CB" w:rsidRDefault="000D7C1E" w:rsidP="00473E76">
            <w:pPr>
              <w:ind w:firstLine="0"/>
              <w:rPr>
                <w:sz w:val="20"/>
                <w:szCs w:val="20"/>
              </w:rPr>
            </w:pPr>
            <w:r w:rsidRPr="00713E73">
              <w:rPr>
                <w:sz w:val="20"/>
                <w:szCs w:val="20"/>
              </w:rPr>
              <w:t>Не учитывался, так как применяется при оценке земельных участков.</w:t>
            </w:r>
          </w:p>
        </w:tc>
      </w:tr>
      <w:tr w:rsidR="000D7C1E" w:rsidRPr="0078252D" w14:paraId="5B2BE78E" w14:textId="77777777" w:rsidTr="00473E76">
        <w:trPr>
          <w:trHeight w:val="20"/>
        </w:trPr>
        <w:tc>
          <w:tcPr>
            <w:tcW w:w="501" w:type="dxa"/>
            <w:tcBorders>
              <w:top w:val="single" w:sz="4" w:space="0" w:color="000000"/>
              <w:left w:val="single" w:sz="4" w:space="0" w:color="000000"/>
              <w:bottom w:val="single" w:sz="4" w:space="0" w:color="000000"/>
            </w:tcBorders>
            <w:tcMar>
              <w:top w:w="102" w:type="dxa"/>
              <w:left w:w="62" w:type="dxa"/>
              <w:bottom w:w="102" w:type="dxa"/>
              <w:right w:w="62" w:type="dxa"/>
            </w:tcMar>
            <w:vAlign w:val="center"/>
          </w:tcPr>
          <w:p w14:paraId="2FBD1109" w14:textId="77777777" w:rsidR="000D7C1E" w:rsidRPr="0078252D" w:rsidRDefault="000D7C1E" w:rsidP="00473E76">
            <w:pPr>
              <w:pStyle w:val="Standard"/>
              <w:widowControl w:val="0"/>
              <w:autoSpaceDE w:val="0"/>
              <w:jc w:val="center"/>
              <w:rPr>
                <w:sz w:val="20"/>
                <w:szCs w:val="20"/>
              </w:rPr>
            </w:pPr>
            <w:r w:rsidRPr="0078252D">
              <w:rPr>
                <w:sz w:val="20"/>
                <w:szCs w:val="20"/>
              </w:rPr>
              <w:t>6</w:t>
            </w:r>
          </w:p>
        </w:tc>
        <w:tc>
          <w:tcPr>
            <w:tcW w:w="2096" w:type="dxa"/>
            <w:tcBorders>
              <w:top w:val="single" w:sz="4" w:space="0" w:color="000000"/>
              <w:left w:val="single" w:sz="4" w:space="0" w:color="000000"/>
              <w:bottom w:val="single" w:sz="4" w:space="0" w:color="000000"/>
            </w:tcBorders>
            <w:tcMar>
              <w:top w:w="102" w:type="dxa"/>
              <w:left w:w="62" w:type="dxa"/>
              <w:bottom w:w="102" w:type="dxa"/>
              <w:right w:w="62" w:type="dxa"/>
            </w:tcMar>
          </w:tcPr>
          <w:p w14:paraId="03436249" w14:textId="77777777" w:rsidR="000D7C1E" w:rsidRPr="0078252D" w:rsidRDefault="000D7C1E" w:rsidP="00473E76">
            <w:pPr>
              <w:pStyle w:val="Standard"/>
              <w:widowControl w:val="0"/>
              <w:autoSpaceDE w:val="0"/>
              <w:rPr>
                <w:sz w:val="20"/>
                <w:szCs w:val="20"/>
              </w:rPr>
            </w:pPr>
            <w:r w:rsidRPr="0078252D">
              <w:rPr>
                <w:sz w:val="20"/>
                <w:szCs w:val="20"/>
              </w:rPr>
              <w:t>Характеристики застройки земельного участка</w:t>
            </w:r>
          </w:p>
        </w:tc>
        <w:tc>
          <w:tcPr>
            <w:tcW w:w="1509" w:type="dxa"/>
            <w:tcBorders>
              <w:top w:val="single" w:sz="4" w:space="0" w:color="000000"/>
              <w:left w:val="single" w:sz="4" w:space="0" w:color="000000"/>
              <w:bottom w:val="single" w:sz="4" w:space="0" w:color="000000"/>
            </w:tcBorders>
            <w:tcMar>
              <w:top w:w="102" w:type="dxa"/>
              <w:left w:w="62" w:type="dxa"/>
              <w:bottom w:w="102" w:type="dxa"/>
              <w:right w:w="62" w:type="dxa"/>
            </w:tcMar>
          </w:tcPr>
          <w:p w14:paraId="4B1E4018" w14:textId="77777777" w:rsidR="000D7C1E" w:rsidRPr="0078252D" w:rsidRDefault="000D7C1E" w:rsidP="00473E76">
            <w:pPr>
              <w:pStyle w:val="Standard"/>
              <w:widowControl w:val="0"/>
              <w:autoSpaceDE w:val="0"/>
              <w:jc w:val="center"/>
              <w:rPr>
                <w:sz w:val="20"/>
                <w:szCs w:val="20"/>
              </w:rPr>
            </w:pPr>
            <w:r w:rsidRPr="0078252D">
              <w:rPr>
                <w:sz w:val="20"/>
                <w:szCs w:val="20"/>
              </w:rPr>
              <w:t>-</w:t>
            </w:r>
          </w:p>
        </w:tc>
        <w:tc>
          <w:tcPr>
            <w:tcW w:w="1285" w:type="dxa"/>
            <w:tcBorders>
              <w:top w:val="single" w:sz="4" w:space="0" w:color="000000"/>
              <w:left w:val="single" w:sz="4" w:space="0" w:color="000000"/>
              <w:bottom w:val="single" w:sz="4" w:space="0" w:color="000000"/>
            </w:tcBorders>
            <w:tcMar>
              <w:top w:w="102" w:type="dxa"/>
              <w:left w:w="62" w:type="dxa"/>
              <w:bottom w:w="102" w:type="dxa"/>
              <w:right w:w="62" w:type="dxa"/>
            </w:tcMar>
          </w:tcPr>
          <w:p w14:paraId="628DADB0" w14:textId="77777777" w:rsidR="000D7C1E" w:rsidRPr="0078252D" w:rsidRDefault="000D7C1E" w:rsidP="00473E76">
            <w:pPr>
              <w:rPr>
                <w:sz w:val="20"/>
                <w:szCs w:val="20"/>
              </w:rPr>
            </w:pPr>
            <w:r w:rsidRPr="0078252D">
              <w:rPr>
                <w:sz w:val="20"/>
                <w:szCs w:val="20"/>
              </w:rPr>
              <w:t>не применялся</w:t>
            </w:r>
          </w:p>
        </w:tc>
        <w:tc>
          <w:tcPr>
            <w:tcW w:w="3960" w:type="dxa"/>
            <w:tcBorders>
              <w:top w:val="single" w:sz="4" w:space="0" w:color="000000"/>
              <w:left w:val="single" w:sz="4" w:space="0" w:color="000000"/>
              <w:bottom w:val="single" w:sz="4" w:space="0" w:color="000000"/>
              <w:right w:val="single" w:sz="4" w:space="0" w:color="000000"/>
            </w:tcBorders>
            <w:tcMar>
              <w:top w:w="102" w:type="dxa"/>
              <w:left w:w="62" w:type="dxa"/>
              <w:bottom w:w="102" w:type="dxa"/>
              <w:right w:w="62" w:type="dxa"/>
            </w:tcMar>
          </w:tcPr>
          <w:p w14:paraId="704D2907" w14:textId="77777777" w:rsidR="000D7C1E" w:rsidRPr="005E02CB" w:rsidRDefault="000D7C1E" w:rsidP="00473E76">
            <w:pPr>
              <w:ind w:firstLine="0"/>
              <w:rPr>
                <w:sz w:val="20"/>
                <w:szCs w:val="20"/>
              </w:rPr>
            </w:pPr>
            <w:r w:rsidRPr="00713E73">
              <w:rPr>
                <w:sz w:val="20"/>
                <w:szCs w:val="20"/>
              </w:rPr>
              <w:t>Не учитывался, так как применяется при оценке земельных участков.</w:t>
            </w:r>
          </w:p>
        </w:tc>
      </w:tr>
      <w:tr w:rsidR="000D7C1E" w:rsidRPr="0078252D" w14:paraId="5FEAFD94" w14:textId="77777777" w:rsidTr="00473E76">
        <w:trPr>
          <w:trHeight w:val="20"/>
        </w:trPr>
        <w:tc>
          <w:tcPr>
            <w:tcW w:w="9351" w:type="dxa"/>
            <w:gridSpan w:val="5"/>
            <w:tcBorders>
              <w:top w:val="single" w:sz="4" w:space="0" w:color="000000"/>
              <w:left w:val="single" w:sz="4" w:space="0" w:color="000000"/>
              <w:bottom w:val="single" w:sz="4" w:space="0" w:color="000000"/>
              <w:right w:val="single" w:sz="4" w:space="0" w:color="000000"/>
            </w:tcBorders>
            <w:tcMar>
              <w:top w:w="102" w:type="dxa"/>
              <w:left w:w="62" w:type="dxa"/>
              <w:bottom w:w="102" w:type="dxa"/>
              <w:right w:w="62" w:type="dxa"/>
            </w:tcMar>
            <w:vAlign w:val="center"/>
          </w:tcPr>
          <w:p w14:paraId="3E5F0FB9" w14:textId="77777777" w:rsidR="000D7C1E" w:rsidRPr="0078252D" w:rsidRDefault="000D7C1E" w:rsidP="00473E76">
            <w:pPr>
              <w:pStyle w:val="Standard"/>
              <w:widowControl w:val="0"/>
              <w:autoSpaceDE w:val="0"/>
              <w:jc w:val="center"/>
              <w:rPr>
                <w:sz w:val="20"/>
                <w:szCs w:val="20"/>
              </w:rPr>
            </w:pPr>
            <w:r w:rsidRPr="0078252D">
              <w:rPr>
                <w:sz w:val="20"/>
                <w:szCs w:val="20"/>
              </w:rPr>
              <w:t>Дополнительные характеристики сегмента "Сельскохозяйственное использование"</w:t>
            </w:r>
          </w:p>
        </w:tc>
      </w:tr>
      <w:tr w:rsidR="000D7C1E" w:rsidRPr="0078252D" w14:paraId="5EC38E0A" w14:textId="77777777" w:rsidTr="00473E76">
        <w:trPr>
          <w:trHeight w:val="20"/>
        </w:trPr>
        <w:tc>
          <w:tcPr>
            <w:tcW w:w="501" w:type="dxa"/>
            <w:tcBorders>
              <w:top w:val="single" w:sz="4" w:space="0" w:color="000000"/>
              <w:left w:val="single" w:sz="4" w:space="0" w:color="000000"/>
              <w:bottom w:val="single" w:sz="4" w:space="0" w:color="000000"/>
            </w:tcBorders>
            <w:tcMar>
              <w:top w:w="102" w:type="dxa"/>
              <w:left w:w="62" w:type="dxa"/>
              <w:bottom w:w="102" w:type="dxa"/>
              <w:right w:w="62" w:type="dxa"/>
            </w:tcMar>
            <w:vAlign w:val="center"/>
          </w:tcPr>
          <w:p w14:paraId="550EFAA5" w14:textId="77777777" w:rsidR="000D7C1E" w:rsidRPr="0078252D" w:rsidRDefault="000D7C1E" w:rsidP="00473E76">
            <w:pPr>
              <w:pStyle w:val="Standard"/>
              <w:widowControl w:val="0"/>
              <w:autoSpaceDE w:val="0"/>
              <w:jc w:val="center"/>
              <w:rPr>
                <w:sz w:val="20"/>
                <w:szCs w:val="20"/>
              </w:rPr>
            </w:pPr>
            <w:r w:rsidRPr="0078252D">
              <w:rPr>
                <w:sz w:val="20"/>
                <w:szCs w:val="20"/>
              </w:rPr>
              <w:t>7</w:t>
            </w:r>
          </w:p>
        </w:tc>
        <w:tc>
          <w:tcPr>
            <w:tcW w:w="2096" w:type="dxa"/>
            <w:tcBorders>
              <w:top w:val="single" w:sz="4" w:space="0" w:color="000000"/>
              <w:left w:val="single" w:sz="4" w:space="0" w:color="000000"/>
              <w:bottom w:val="single" w:sz="4" w:space="0" w:color="000000"/>
            </w:tcBorders>
            <w:tcMar>
              <w:top w:w="102" w:type="dxa"/>
              <w:left w:w="62" w:type="dxa"/>
              <w:bottom w:w="102" w:type="dxa"/>
              <w:right w:w="62" w:type="dxa"/>
            </w:tcMar>
          </w:tcPr>
          <w:p w14:paraId="3AB26AA7" w14:textId="77777777" w:rsidR="000D7C1E" w:rsidRPr="0078252D" w:rsidRDefault="000D7C1E" w:rsidP="00473E76">
            <w:pPr>
              <w:pStyle w:val="Standard"/>
              <w:widowControl w:val="0"/>
              <w:autoSpaceDE w:val="0"/>
              <w:rPr>
                <w:sz w:val="20"/>
                <w:szCs w:val="20"/>
              </w:rPr>
            </w:pPr>
            <w:r w:rsidRPr="0078252D">
              <w:rPr>
                <w:sz w:val="20"/>
                <w:szCs w:val="20"/>
              </w:rPr>
              <w:t>Вид угодий</w:t>
            </w:r>
          </w:p>
        </w:tc>
        <w:tc>
          <w:tcPr>
            <w:tcW w:w="1509" w:type="dxa"/>
            <w:tcBorders>
              <w:top w:val="single" w:sz="4" w:space="0" w:color="000000"/>
              <w:left w:val="single" w:sz="4" w:space="0" w:color="000000"/>
              <w:bottom w:val="single" w:sz="4" w:space="0" w:color="000000"/>
            </w:tcBorders>
            <w:tcMar>
              <w:top w:w="102" w:type="dxa"/>
              <w:left w:w="62" w:type="dxa"/>
              <w:bottom w:w="102" w:type="dxa"/>
              <w:right w:w="62" w:type="dxa"/>
            </w:tcMar>
          </w:tcPr>
          <w:p w14:paraId="69B252EB" w14:textId="77777777" w:rsidR="000D7C1E" w:rsidRPr="0078252D" w:rsidRDefault="000D7C1E" w:rsidP="00473E76">
            <w:pPr>
              <w:pStyle w:val="Standard"/>
              <w:widowControl w:val="0"/>
              <w:autoSpaceDE w:val="0"/>
              <w:jc w:val="center"/>
              <w:rPr>
                <w:sz w:val="20"/>
                <w:szCs w:val="20"/>
              </w:rPr>
            </w:pPr>
            <w:r w:rsidRPr="0078252D">
              <w:rPr>
                <w:sz w:val="20"/>
                <w:szCs w:val="20"/>
              </w:rPr>
              <w:t>-</w:t>
            </w:r>
          </w:p>
        </w:tc>
        <w:tc>
          <w:tcPr>
            <w:tcW w:w="1285" w:type="dxa"/>
            <w:tcBorders>
              <w:top w:val="single" w:sz="4" w:space="0" w:color="000000"/>
              <w:left w:val="single" w:sz="4" w:space="0" w:color="000000"/>
              <w:bottom w:val="single" w:sz="4" w:space="0" w:color="000000"/>
            </w:tcBorders>
            <w:tcMar>
              <w:top w:w="102" w:type="dxa"/>
              <w:left w:w="62" w:type="dxa"/>
              <w:bottom w:w="102" w:type="dxa"/>
              <w:right w:w="62" w:type="dxa"/>
            </w:tcMar>
          </w:tcPr>
          <w:p w14:paraId="792401CC" w14:textId="77777777" w:rsidR="000D7C1E" w:rsidRPr="005E02CB" w:rsidRDefault="000D7C1E" w:rsidP="00473E76">
            <w:r w:rsidRPr="005E02CB">
              <w:rPr>
                <w:sz w:val="20"/>
                <w:szCs w:val="20"/>
              </w:rPr>
              <w:t>не применялся</w:t>
            </w:r>
          </w:p>
        </w:tc>
        <w:tc>
          <w:tcPr>
            <w:tcW w:w="3960" w:type="dxa"/>
            <w:tcBorders>
              <w:top w:val="single" w:sz="4" w:space="0" w:color="000000"/>
              <w:left w:val="single" w:sz="4" w:space="0" w:color="000000"/>
              <w:bottom w:val="single" w:sz="4" w:space="0" w:color="000000"/>
              <w:right w:val="single" w:sz="4" w:space="0" w:color="000000"/>
            </w:tcBorders>
            <w:tcMar>
              <w:top w:w="102" w:type="dxa"/>
              <w:left w:w="62" w:type="dxa"/>
              <w:bottom w:w="102" w:type="dxa"/>
              <w:right w:w="62" w:type="dxa"/>
            </w:tcMar>
          </w:tcPr>
          <w:p w14:paraId="7565D5AF" w14:textId="77777777" w:rsidR="000D7C1E" w:rsidRPr="00C91953" w:rsidRDefault="000D7C1E" w:rsidP="00473E76">
            <w:pPr>
              <w:pStyle w:val="Standard"/>
              <w:widowControl w:val="0"/>
              <w:autoSpaceDE w:val="0"/>
              <w:rPr>
                <w:sz w:val="20"/>
                <w:szCs w:val="20"/>
                <w:highlight w:val="yellow"/>
              </w:rPr>
            </w:pPr>
            <w:r w:rsidRPr="0078252D">
              <w:rPr>
                <w:sz w:val="20"/>
                <w:szCs w:val="20"/>
              </w:rPr>
              <w:t xml:space="preserve">Не учитывался, так как применяется при оценке </w:t>
            </w:r>
            <w:r>
              <w:rPr>
                <w:sz w:val="20"/>
                <w:szCs w:val="20"/>
              </w:rPr>
              <w:t>земель сельскохозяйственного назначения</w:t>
            </w:r>
            <w:r w:rsidRPr="0078252D">
              <w:rPr>
                <w:sz w:val="20"/>
                <w:szCs w:val="20"/>
              </w:rPr>
              <w:t>.</w:t>
            </w:r>
          </w:p>
        </w:tc>
      </w:tr>
      <w:tr w:rsidR="000D7C1E" w:rsidRPr="0078252D" w14:paraId="64B07E53" w14:textId="77777777" w:rsidTr="00473E76">
        <w:trPr>
          <w:trHeight w:val="20"/>
        </w:trPr>
        <w:tc>
          <w:tcPr>
            <w:tcW w:w="501" w:type="dxa"/>
            <w:tcBorders>
              <w:top w:val="single" w:sz="4" w:space="0" w:color="000000"/>
              <w:left w:val="single" w:sz="4" w:space="0" w:color="000000"/>
              <w:bottom w:val="single" w:sz="4" w:space="0" w:color="000000"/>
            </w:tcBorders>
            <w:tcMar>
              <w:top w:w="102" w:type="dxa"/>
              <w:left w:w="62" w:type="dxa"/>
              <w:bottom w:w="102" w:type="dxa"/>
              <w:right w:w="62" w:type="dxa"/>
            </w:tcMar>
            <w:vAlign w:val="center"/>
          </w:tcPr>
          <w:p w14:paraId="0F2CEC07" w14:textId="77777777" w:rsidR="000D7C1E" w:rsidRPr="0078252D" w:rsidRDefault="000D7C1E" w:rsidP="00473E76">
            <w:pPr>
              <w:pStyle w:val="Standard"/>
              <w:widowControl w:val="0"/>
              <w:autoSpaceDE w:val="0"/>
              <w:jc w:val="center"/>
              <w:rPr>
                <w:sz w:val="20"/>
                <w:szCs w:val="20"/>
              </w:rPr>
            </w:pPr>
            <w:r w:rsidRPr="0078252D">
              <w:rPr>
                <w:sz w:val="20"/>
                <w:szCs w:val="20"/>
              </w:rPr>
              <w:t>8</w:t>
            </w:r>
          </w:p>
        </w:tc>
        <w:tc>
          <w:tcPr>
            <w:tcW w:w="2096" w:type="dxa"/>
            <w:tcBorders>
              <w:top w:val="single" w:sz="4" w:space="0" w:color="000000"/>
              <w:left w:val="single" w:sz="4" w:space="0" w:color="000000"/>
              <w:bottom w:val="single" w:sz="4" w:space="0" w:color="000000"/>
            </w:tcBorders>
            <w:tcMar>
              <w:top w:w="102" w:type="dxa"/>
              <w:left w:w="62" w:type="dxa"/>
              <w:bottom w:w="102" w:type="dxa"/>
              <w:right w:w="62" w:type="dxa"/>
            </w:tcMar>
          </w:tcPr>
          <w:p w14:paraId="49678C94" w14:textId="77777777" w:rsidR="000D7C1E" w:rsidRPr="0078252D" w:rsidRDefault="000D7C1E" w:rsidP="00473E76">
            <w:pPr>
              <w:pStyle w:val="Standard"/>
              <w:widowControl w:val="0"/>
              <w:autoSpaceDE w:val="0"/>
              <w:rPr>
                <w:sz w:val="20"/>
                <w:szCs w:val="20"/>
              </w:rPr>
            </w:pPr>
            <w:r w:rsidRPr="0078252D">
              <w:rPr>
                <w:sz w:val="20"/>
                <w:szCs w:val="20"/>
              </w:rPr>
              <w:t>Нормативная урожайность</w:t>
            </w:r>
          </w:p>
        </w:tc>
        <w:tc>
          <w:tcPr>
            <w:tcW w:w="1509" w:type="dxa"/>
            <w:tcBorders>
              <w:top w:val="single" w:sz="4" w:space="0" w:color="000000"/>
              <w:left w:val="single" w:sz="4" w:space="0" w:color="000000"/>
              <w:bottom w:val="single" w:sz="4" w:space="0" w:color="000000"/>
            </w:tcBorders>
            <w:tcMar>
              <w:top w:w="102" w:type="dxa"/>
              <w:left w:w="62" w:type="dxa"/>
              <w:bottom w:w="102" w:type="dxa"/>
              <w:right w:w="62" w:type="dxa"/>
            </w:tcMar>
          </w:tcPr>
          <w:p w14:paraId="2488E0E9" w14:textId="77777777" w:rsidR="000D7C1E" w:rsidRPr="0078252D" w:rsidRDefault="000D7C1E" w:rsidP="00473E76">
            <w:pPr>
              <w:pStyle w:val="Standard"/>
              <w:widowControl w:val="0"/>
              <w:autoSpaceDE w:val="0"/>
              <w:jc w:val="center"/>
              <w:rPr>
                <w:sz w:val="20"/>
                <w:szCs w:val="20"/>
              </w:rPr>
            </w:pPr>
            <w:r w:rsidRPr="0078252D">
              <w:rPr>
                <w:sz w:val="20"/>
                <w:szCs w:val="20"/>
              </w:rPr>
              <w:t>ц/га</w:t>
            </w:r>
          </w:p>
        </w:tc>
        <w:tc>
          <w:tcPr>
            <w:tcW w:w="1285" w:type="dxa"/>
            <w:tcBorders>
              <w:top w:val="single" w:sz="4" w:space="0" w:color="000000"/>
              <w:left w:val="single" w:sz="4" w:space="0" w:color="000000"/>
              <w:bottom w:val="single" w:sz="4" w:space="0" w:color="000000"/>
            </w:tcBorders>
            <w:tcMar>
              <w:top w:w="102" w:type="dxa"/>
              <w:left w:w="62" w:type="dxa"/>
              <w:bottom w:w="102" w:type="dxa"/>
              <w:right w:w="62" w:type="dxa"/>
            </w:tcMar>
          </w:tcPr>
          <w:p w14:paraId="322907A3" w14:textId="77777777" w:rsidR="000D7C1E" w:rsidRPr="005E02CB" w:rsidRDefault="000D7C1E" w:rsidP="00473E76">
            <w:r w:rsidRPr="005E02CB">
              <w:rPr>
                <w:sz w:val="20"/>
                <w:szCs w:val="20"/>
              </w:rPr>
              <w:t>не применялся</w:t>
            </w:r>
          </w:p>
        </w:tc>
        <w:tc>
          <w:tcPr>
            <w:tcW w:w="3960" w:type="dxa"/>
            <w:tcBorders>
              <w:top w:val="single" w:sz="4" w:space="0" w:color="000000"/>
              <w:left w:val="single" w:sz="4" w:space="0" w:color="000000"/>
              <w:bottom w:val="single" w:sz="4" w:space="0" w:color="000000"/>
              <w:right w:val="single" w:sz="4" w:space="0" w:color="000000"/>
            </w:tcBorders>
            <w:tcMar>
              <w:top w:w="102" w:type="dxa"/>
              <w:left w:w="62" w:type="dxa"/>
              <w:bottom w:w="102" w:type="dxa"/>
              <w:right w:w="62" w:type="dxa"/>
            </w:tcMar>
          </w:tcPr>
          <w:p w14:paraId="6B16CC82" w14:textId="77777777" w:rsidR="000D7C1E" w:rsidRPr="00C91953" w:rsidRDefault="000D7C1E" w:rsidP="00473E76">
            <w:pPr>
              <w:pStyle w:val="Standard"/>
              <w:widowControl w:val="0"/>
              <w:autoSpaceDE w:val="0"/>
              <w:rPr>
                <w:sz w:val="20"/>
                <w:szCs w:val="20"/>
                <w:highlight w:val="yellow"/>
              </w:rPr>
            </w:pPr>
            <w:r w:rsidRPr="0078252D">
              <w:rPr>
                <w:sz w:val="20"/>
                <w:szCs w:val="20"/>
              </w:rPr>
              <w:t xml:space="preserve">Не учитывался, так как применяется при оценке </w:t>
            </w:r>
            <w:r>
              <w:rPr>
                <w:sz w:val="20"/>
                <w:szCs w:val="20"/>
              </w:rPr>
              <w:t>земель сельскохозяйственного назначения</w:t>
            </w:r>
            <w:r w:rsidRPr="0078252D">
              <w:rPr>
                <w:sz w:val="20"/>
                <w:szCs w:val="20"/>
              </w:rPr>
              <w:t>.</w:t>
            </w:r>
          </w:p>
        </w:tc>
      </w:tr>
      <w:tr w:rsidR="000D7C1E" w:rsidRPr="0078252D" w14:paraId="4019BE3F" w14:textId="77777777" w:rsidTr="00473E76">
        <w:trPr>
          <w:trHeight w:val="20"/>
        </w:trPr>
        <w:tc>
          <w:tcPr>
            <w:tcW w:w="501" w:type="dxa"/>
            <w:tcBorders>
              <w:top w:val="single" w:sz="4" w:space="0" w:color="000000"/>
              <w:left w:val="single" w:sz="4" w:space="0" w:color="000000"/>
              <w:bottom w:val="single" w:sz="4" w:space="0" w:color="000000"/>
            </w:tcBorders>
            <w:tcMar>
              <w:top w:w="102" w:type="dxa"/>
              <w:left w:w="62" w:type="dxa"/>
              <w:bottom w:w="102" w:type="dxa"/>
              <w:right w:w="62" w:type="dxa"/>
            </w:tcMar>
            <w:vAlign w:val="center"/>
          </w:tcPr>
          <w:p w14:paraId="61EB33F5" w14:textId="77777777" w:rsidR="000D7C1E" w:rsidRPr="0078252D" w:rsidRDefault="000D7C1E" w:rsidP="00473E76">
            <w:pPr>
              <w:pStyle w:val="Standard"/>
              <w:widowControl w:val="0"/>
              <w:autoSpaceDE w:val="0"/>
              <w:jc w:val="center"/>
              <w:rPr>
                <w:sz w:val="20"/>
                <w:szCs w:val="20"/>
              </w:rPr>
            </w:pPr>
            <w:r w:rsidRPr="0078252D">
              <w:rPr>
                <w:sz w:val="20"/>
                <w:szCs w:val="20"/>
              </w:rPr>
              <w:t>9</w:t>
            </w:r>
          </w:p>
        </w:tc>
        <w:tc>
          <w:tcPr>
            <w:tcW w:w="2096" w:type="dxa"/>
            <w:tcBorders>
              <w:top w:val="single" w:sz="4" w:space="0" w:color="000000"/>
              <w:left w:val="single" w:sz="4" w:space="0" w:color="000000"/>
              <w:bottom w:val="single" w:sz="4" w:space="0" w:color="000000"/>
            </w:tcBorders>
            <w:tcMar>
              <w:top w:w="102" w:type="dxa"/>
              <w:left w:w="62" w:type="dxa"/>
              <w:bottom w:w="102" w:type="dxa"/>
              <w:right w:w="62" w:type="dxa"/>
            </w:tcMar>
          </w:tcPr>
          <w:p w14:paraId="173516DF" w14:textId="77777777" w:rsidR="000D7C1E" w:rsidRPr="0078252D" w:rsidRDefault="000D7C1E" w:rsidP="00473E76">
            <w:pPr>
              <w:pStyle w:val="Standard"/>
              <w:widowControl w:val="0"/>
              <w:autoSpaceDE w:val="0"/>
              <w:rPr>
                <w:sz w:val="20"/>
                <w:szCs w:val="20"/>
              </w:rPr>
            </w:pPr>
            <w:r w:rsidRPr="0078252D">
              <w:rPr>
                <w:sz w:val="20"/>
                <w:szCs w:val="20"/>
              </w:rPr>
              <w:t>Гранулометрический состав почв (механический состав)</w:t>
            </w:r>
          </w:p>
        </w:tc>
        <w:tc>
          <w:tcPr>
            <w:tcW w:w="1509" w:type="dxa"/>
            <w:tcBorders>
              <w:top w:val="single" w:sz="4" w:space="0" w:color="000000"/>
              <w:left w:val="single" w:sz="4" w:space="0" w:color="000000"/>
              <w:bottom w:val="single" w:sz="4" w:space="0" w:color="000000"/>
            </w:tcBorders>
            <w:tcMar>
              <w:top w:w="102" w:type="dxa"/>
              <w:left w:w="62" w:type="dxa"/>
              <w:bottom w:w="102" w:type="dxa"/>
              <w:right w:w="62" w:type="dxa"/>
            </w:tcMar>
          </w:tcPr>
          <w:p w14:paraId="6ABB2CD2" w14:textId="77777777" w:rsidR="000D7C1E" w:rsidRPr="0078252D" w:rsidRDefault="000D7C1E" w:rsidP="00473E76">
            <w:pPr>
              <w:pStyle w:val="Standard"/>
              <w:widowControl w:val="0"/>
              <w:autoSpaceDE w:val="0"/>
              <w:jc w:val="center"/>
              <w:rPr>
                <w:sz w:val="20"/>
                <w:szCs w:val="20"/>
              </w:rPr>
            </w:pPr>
            <w:r w:rsidRPr="0078252D">
              <w:rPr>
                <w:sz w:val="20"/>
                <w:szCs w:val="20"/>
              </w:rPr>
              <w:t>-</w:t>
            </w:r>
          </w:p>
        </w:tc>
        <w:tc>
          <w:tcPr>
            <w:tcW w:w="1285" w:type="dxa"/>
            <w:tcBorders>
              <w:top w:val="single" w:sz="4" w:space="0" w:color="000000"/>
              <w:left w:val="single" w:sz="4" w:space="0" w:color="000000"/>
              <w:bottom w:val="single" w:sz="4" w:space="0" w:color="000000"/>
            </w:tcBorders>
            <w:tcMar>
              <w:top w:w="102" w:type="dxa"/>
              <w:left w:w="62" w:type="dxa"/>
              <w:bottom w:w="102" w:type="dxa"/>
              <w:right w:w="62" w:type="dxa"/>
            </w:tcMar>
          </w:tcPr>
          <w:p w14:paraId="29B35CE4" w14:textId="77777777" w:rsidR="000D7C1E" w:rsidRPr="005E02CB" w:rsidRDefault="000D7C1E" w:rsidP="00473E76">
            <w:r w:rsidRPr="005E02CB">
              <w:rPr>
                <w:sz w:val="20"/>
                <w:szCs w:val="20"/>
              </w:rPr>
              <w:t>не применялся</w:t>
            </w:r>
          </w:p>
        </w:tc>
        <w:tc>
          <w:tcPr>
            <w:tcW w:w="3960" w:type="dxa"/>
            <w:tcBorders>
              <w:top w:val="single" w:sz="4" w:space="0" w:color="000000"/>
              <w:left w:val="single" w:sz="4" w:space="0" w:color="000000"/>
              <w:bottom w:val="single" w:sz="4" w:space="0" w:color="000000"/>
              <w:right w:val="single" w:sz="4" w:space="0" w:color="000000"/>
            </w:tcBorders>
            <w:tcMar>
              <w:top w:w="102" w:type="dxa"/>
              <w:left w:w="62" w:type="dxa"/>
              <w:bottom w:w="102" w:type="dxa"/>
              <w:right w:w="62" w:type="dxa"/>
            </w:tcMar>
          </w:tcPr>
          <w:p w14:paraId="60FF602E" w14:textId="77777777" w:rsidR="000D7C1E" w:rsidRPr="00C91953" w:rsidRDefault="000D7C1E" w:rsidP="00473E76">
            <w:pPr>
              <w:pStyle w:val="Standard"/>
              <w:widowControl w:val="0"/>
              <w:autoSpaceDE w:val="0"/>
              <w:rPr>
                <w:sz w:val="20"/>
                <w:szCs w:val="20"/>
                <w:highlight w:val="yellow"/>
              </w:rPr>
            </w:pPr>
            <w:r w:rsidRPr="0078252D">
              <w:rPr>
                <w:sz w:val="20"/>
                <w:szCs w:val="20"/>
              </w:rPr>
              <w:t xml:space="preserve">Не учитывался, так как применяется при оценке </w:t>
            </w:r>
            <w:r>
              <w:rPr>
                <w:sz w:val="20"/>
                <w:szCs w:val="20"/>
              </w:rPr>
              <w:t>земель сельскохозяйственного назначения</w:t>
            </w:r>
            <w:r w:rsidRPr="0078252D">
              <w:rPr>
                <w:sz w:val="20"/>
                <w:szCs w:val="20"/>
              </w:rPr>
              <w:t>.</w:t>
            </w:r>
          </w:p>
        </w:tc>
      </w:tr>
      <w:tr w:rsidR="000D7C1E" w:rsidRPr="0078252D" w14:paraId="59B09559" w14:textId="77777777" w:rsidTr="00473E76">
        <w:trPr>
          <w:trHeight w:val="20"/>
        </w:trPr>
        <w:tc>
          <w:tcPr>
            <w:tcW w:w="501" w:type="dxa"/>
            <w:tcBorders>
              <w:top w:val="single" w:sz="4" w:space="0" w:color="000000"/>
              <w:left w:val="single" w:sz="4" w:space="0" w:color="000000"/>
              <w:bottom w:val="single" w:sz="4" w:space="0" w:color="000000"/>
            </w:tcBorders>
            <w:tcMar>
              <w:top w:w="102" w:type="dxa"/>
              <w:left w:w="62" w:type="dxa"/>
              <w:bottom w:w="102" w:type="dxa"/>
              <w:right w:w="62" w:type="dxa"/>
            </w:tcMar>
            <w:vAlign w:val="center"/>
          </w:tcPr>
          <w:p w14:paraId="36A44231" w14:textId="77777777" w:rsidR="000D7C1E" w:rsidRPr="0078252D" w:rsidRDefault="000D7C1E" w:rsidP="00473E76">
            <w:pPr>
              <w:pStyle w:val="Standard"/>
              <w:widowControl w:val="0"/>
              <w:autoSpaceDE w:val="0"/>
              <w:jc w:val="center"/>
              <w:rPr>
                <w:sz w:val="20"/>
                <w:szCs w:val="20"/>
              </w:rPr>
            </w:pPr>
            <w:r w:rsidRPr="0078252D">
              <w:rPr>
                <w:sz w:val="20"/>
                <w:szCs w:val="20"/>
              </w:rPr>
              <w:t>10</w:t>
            </w:r>
          </w:p>
        </w:tc>
        <w:tc>
          <w:tcPr>
            <w:tcW w:w="2096" w:type="dxa"/>
            <w:tcBorders>
              <w:top w:val="single" w:sz="4" w:space="0" w:color="000000"/>
              <w:left w:val="single" w:sz="4" w:space="0" w:color="000000"/>
              <w:bottom w:val="single" w:sz="4" w:space="0" w:color="000000"/>
            </w:tcBorders>
            <w:tcMar>
              <w:top w:w="102" w:type="dxa"/>
              <w:left w:w="62" w:type="dxa"/>
              <w:bottom w:w="102" w:type="dxa"/>
              <w:right w:w="62" w:type="dxa"/>
            </w:tcMar>
          </w:tcPr>
          <w:p w14:paraId="568C1A55" w14:textId="77777777" w:rsidR="000D7C1E" w:rsidRPr="0078252D" w:rsidRDefault="000D7C1E" w:rsidP="00473E76">
            <w:pPr>
              <w:pStyle w:val="Standard"/>
              <w:widowControl w:val="0"/>
              <w:autoSpaceDE w:val="0"/>
              <w:rPr>
                <w:sz w:val="20"/>
                <w:szCs w:val="20"/>
              </w:rPr>
            </w:pPr>
            <w:r w:rsidRPr="0078252D">
              <w:rPr>
                <w:sz w:val="20"/>
                <w:szCs w:val="20"/>
              </w:rPr>
              <w:t>Каменистость почв</w:t>
            </w:r>
          </w:p>
        </w:tc>
        <w:tc>
          <w:tcPr>
            <w:tcW w:w="1509" w:type="dxa"/>
            <w:tcBorders>
              <w:top w:val="single" w:sz="4" w:space="0" w:color="000000"/>
              <w:left w:val="single" w:sz="4" w:space="0" w:color="000000"/>
              <w:bottom w:val="single" w:sz="4" w:space="0" w:color="000000"/>
            </w:tcBorders>
            <w:tcMar>
              <w:top w:w="102" w:type="dxa"/>
              <w:left w:w="62" w:type="dxa"/>
              <w:bottom w:w="102" w:type="dxa"/>
              <w:right w:w="62" w:type="dxa"/>
            </w:tcMar>
          </w:tcPr>
          <w:p w14:paraId="57DB0220" w14:textId="77777777" w:rsidR="000D7C1E" w:rsidRPr="0078252D" w:rsidRDefault="000D7C1E" w:rsidP="00473E76">
            <w:pPr>
              <w:pStyle w:val="Standard"/>
              <w:widowControl w:val="0"/>
              <w:autoSpaceDE w:val="0"/>
              <w:jc w:val="center"/>
              <w:rPr>
                <w:sz w:val="20"/>
                <w:szCs w:val="20"/>
              </w:rPr>
            </w:pPr>
            <w:r w:rsidRPr="0078252D">
              <w:rPr>
                <w:sz w:val="20"/>
                <w:szCs w:val="20"/>
              </w:rPr>
              <w:t>-</w:t>
            </w:r>
          </w:p>
        </w:tc>
        <w:tc>
          <w:tcPr>
            <w:tcW w:w="1285" w:type="dxa"/>
            <w:tcBorders>
              <w:top w:val="single" w:sz="4" w:space="0" w:color="000000"/>
              <w:left w:val="single" w:sz="4" w:space="0" w:color="000000"/>
              <w:bottom w:val="single" w:sz="4" w:space="0" w:color="000000"/>
            </w:tcBorders>
            <w:tcMar>
              <w:top w:w="102" w:type="dxa"/>
              <w:left w:w="62" w:type="dxa"/>
              <w:bottom w:w="102" w:type="dxa"/>
              <w:right w:w="62" w:type="dxa"/>
            </w:tcMar>
          </w:tcPr>
          <w:p w14:paraId="07ED57E6" w14:textId="77777777" w:rsidR="000D7C1E" w:rsidRPr="005E02CB" w:rsidRDefault="000D7C1E" w:rsidP="00473E76">
            <w:r w:rsidRPr="005E02CB">
              <w:rPr>
                <w:sz w:val="20"/>
                <w:szCs w:val="20"/>
              </w:rPr>
              <w:t>не применялся</w:t>
            </w:r>
          </w:p>
        </w:tc>
        <w:tc>
          <w:tcPr>
            <w:tcW w:w="3960" w:type="dxa"/>
            <w:tcBorders>
              <w:top w:val="single" w:sz="4" w:space="0" w:color="000000"/>
              <w:left w:val="single" w:sz="4" w:space="0" w:color="000000"/>
              <w:bottom w:val="single" w:sz="4" w:space="0" w:color="000000"/>
              <w:right w:val="single" w:sz="4" w:space="0" w:color="000000"/>
            </w:tcBorders>
            <w:tcMar>
              <w:top w:w="102" w:type="dxa"/>
              <w:left w:w="62" w:type="dxa"/>
              <w:bottom w:w="102" w:type="dxa"/>
              <w:right w:w="62" w:type="dxa"/>
            </w:tcMar>
          </w:tcPr>
          <w:p w14:paraId="3751D6F7" w14:textId="77777777" w:rsidR="000D7C1E" w:rsidRPr="00C91953" w:rsidRDefault="000D7C1E" w:rsidP="00473E76">
            <w:pPr>
              <w:pStyle w:val="Standard"/>
              <w:widowControl w:val="0"/>
              <w:autoSpaceDE w:val="0"/>
              <w:rPr>
                <w:sz w:val="20"/>
                <w:szCs w:val="20"/>
                <w:highlight w:val="yellow"/>
              </w:rPr>
            </w:pPr>
            <w:r w:rsidRPr="0078252D">
              <w:rPr>
                <w:sz w:val="20"/>
                <w:szCs w:val="20"/>
              </w:rPr>
              <w:t xml:space="preserve">Не учитывался, так как применяется при оценке </w:t>
            </w:r>
            <w:r>
              <w:rPr>
                <w:sz w:val="20"/>
                <w:szCs w:val="20"/>
              </w:rPr>
              <w:t>земель сельскохозяйственного назначения</w:t>
            </w:r>
            <w:r w:rsidRPr="0078252D">
              <w:rPr>
                <w:sz w:val="20"/>
                <w:szCs w:val="20"/>
              </w:rPr>
              <w:t>.</w:t>
            </w:r>
          </w:p>
        </w:tc>
      </w:tr>
      <w:tr w:rsidR="000D7C1E" w:rsidRPr="0078252D" w14:paraId="2F988CAF" w14:textId="77777777" w:rsidTr="00473E76">
        <w:trPr>
          <w:trHeight w:val="20"/>
        </w:trPr>
        <w:tc>
          <w:tcPr>
            <w:tcW w:w="501" w:type="dxa"/>
            <w:tcBorders>
              <w:top w:val="single" w:sz="4" w:space="0" w:color="000000"/>
              <w:left w:val="single" w:sz="4" w:space="0" w:color="000000"/>
              <w:bottom w:val="single" w:sz="4" w:space="0" w:color="000000"/>
            </w:tcBorders>
            <w:tcMar>
              <w:top w:w="102" w:type="dxa"/>
              <w:left w:w="62" w:type="dxa"/>
              <w:bottom w:w="102" w:type="dxa"/>
              <w:right w:w="62" w:type="dxa"/>
            </w:tcMar>
            <w:vAlign w:val="center"/>
          </w:tcPr>
          <w:p w14:paraId="665E6C71" w14:textId="77777777" w:rsidR="000D7C1E" w:rsidRPr="0078252D" w:rsidRDefault="000D7C1E" w:rsidP="00473E76">
            <w:pPr>
              <w:pStyle w:val="Standard"/>
              <w:widowControl w:val="0"/>
              <w:autoSpaceDE w:val="0"/>
              <w:jc w:val="center"/>
              <w:rPr>
                <w:sz w:val="20"/>
                <w:szCs w:val="20"/>
              </w:rPr>
            </w:pPr>
            <w:r w:rsidRPr="0078252D">
              <w:rPr>
                <w:sz w:val="20"/>
                <w:szCs w:val="20"/>
              </w:rPr>
              <w:t>11</w:t>
            </w:r>
          </w:p>
        </w:tc>
        <w:tc>
          <w:tcPr>
            <w:tcW w:w="2096" w:type="dxa"/>
            <w:tcBorders>
              <w:top w:val="single" w:sz="4" w:space="0" w:color="000000"/>
              <w:left w:val="single" w:sz="4" w:space="0" w:color="000000"/>
              <w:bottom w:val="single" w:sz="4" w:space="0" w:color="000000"/>
            </w:tcBorders>
            <w:tcMar>
              <w:top w:w="102" w:type="dxa"/>
              <w:left w:w="62" w:type="dxa"/>
              <w:bottom w:w="102" w:type="dxa"/>
              <w:right w:w="62" w:type="dxa"/>
            </w:tcMar>
          </w:tcPr>
          <w:p w14:paraId="4F732795" w14:textId="77777777" w:rsidR="000D7C1E" w:rsidRPr="0078252D" w:rsidRDefault="000D7C1E" w:rsidP="00473E76">
            <w:pPr>
              <w:pStyle w:val="Standard"/>
              <w:widowControl w:val="0"/>
              <w:autoSpaceDE w:val="0"/>
              <w:rPr>
                <w:sz w:val="20"/>
                <w:szCs w:val="20"/>
              </w:rPr>
            </w:pPr>
            <w:r w:rsidRPr="0078252D">
              <w:rPr>
                <w:sz w:val="20"/>
                <w:szCs w:val="20"/>
              </w:rPr>
              <w:t>Засоление почв</w:t>
            </w:r>
          </w:p>
        </w:tc>
        <w:tc>
          <w:tcPr>
            <w:tcW w:w="1509" w:type="dxa"/>
            <w:tcBorders>
              <w:top w:val="single" w:sz="4" w:space="0" w:color="000000"/>
              <w:left w:val="single" w:sz="4" w:space="0" w:color="000000"/>
              <w:bottom w:val="single" w:sz="4" w:space="0" w:color="000000"/>
            </w:tcBorders>
            <w:tcMar>
              <w:top w:w="102" w:type="dxa"/>
              <w:left w:w="62" w:type="dxa"/>
              <w:bottom w:w="102" w:type="dxa"/>
              <w:right w:w="62" w:type="dxa"/>
            </w:tcMar>
          </w:tcPr>
          <w:p w14:paraId="0FC254A0" w14:textId="77777777" w:rsidR="000D7C1E" w:rsidRPr="0078252D" w:rsidRDefault="000D7C1E" w:rsidP="00473E76">
            <w:pPr>
              <w:pStyle w:val="Standard"/>
              <w:widowControl w:val="0"/>
              <w:autoSpaceDE w:val="0"/>
              <w:jc w:val="center"/>
              <w:rPr>
                <w:sz w:val="20"/>
                <w:szCs w:val="20"/>
              </w:rPr>
            </w:pPr>
            <w:r w:rsidRPr="0078252D">
              <w:rPr>
                <w:sz w:val="20"/>
                <w:szCs w:val="20"/>
              </w:rPr>
              <w:t>-</w:t>
            </w:r>
          </w:p>
        </w:tc>
        <w:tc>
          <w:tcPr>
            <w:tcW w:w="1285" w:type="dxa"/>
            <w:tcBorders>
              <w:top w:val="single" w:sz="4" w:space="0" w:color="000000"/>
              <w:left w:val="single" w:sz="4" w:space="0" w:color="000000"/>
              <w:bottom w:val="single" w:sz="4" w:space="0" w:color="000000"/>
            </w:tcBorders>
            <w:tcMar>
              <w:top w:w="102" w:type="dxa"/>
              <w:left w:w="62" w:type="dxa"/>
              <w:bottom w:w="102" w:type="dxa"/>
              <w:right w:w="62" w:type="dxa"/>
            </w:tcMar>
          </w:tcPr>
          <w:p w14:paraId="2D353B45" w14:textId="77777777" w:rsidR="000D7C1E" w:rsidRPr="005E02CB" w:rsidRDefault="000D7C1E" w:rsidP="00473E76">
            <w:r w:rsidRPr="005E02CB">
              <w:rPr>
                <w:sz w:val="20"/>
                <w:szCs w:val="20"/>
              </w:rPr>
              <w:t>не применялся</w:t>
            </w:r>
          </w:p>
        </w:tc>
        <w:tc>
          <w:tcPr>
            <w:tcW w:w="3960" w:type="dxa"/>
            <w:tcBorders>
              <w:top w:val="single" w:sz="4" w:space="0" w:color="000000"/>
              <w:left w:val="single" w:sz="4" w:space="0" w:color="000000"/>
              <w:bottom w:val="single" w:sz="4" w:space="0" w:color="000000"/>
              <w:right w:val="single" w:sz="4" w:space="0" w:color="000000"/>
            </w:tcBorders>
            <w:tcMar>
              <w:top w:w="102" w:type="dxa"/>
              <w:left w:w="62" w:type="dxa"/>
              <w:bottom w:w="102" w:type="dxa"/>
              <w:right w:w="62" w:type="dxa"/>
            </w:tcMar>
          </w:tcPr>
          <w:p w14:paraId="6E2F81EE" w14:textId="77777777" w:rsidR="000D7C1E" w:rsidRPr="00C91953" w:rsidRDefault="000D7C1E" w:rsidP="00473E76">
            <w:pPr>
              <w:pStyle w:val="Standard"/>
              <w:widowControl w:val="0"/>
              <w:autoSpaceDE w:val="0"/>
              <w:rPr>
                <w:sz w:val="20"/>
                <w:szCs w:val="20"/>
                <w:highlight w:val="yellow"/>
              </w:rPr>
            </w:pPr>
            <w:r w:rsidRPr="0078252D">
              <w:rPr>
                <w:sz w:val="20"/>
                <w:szCs w:val="20"/>
              </w:rPr>
              <w:t xml:space="preserve">Не учитывался, так как применяется при оценке </w:t>
            </w:r>
            <w:r>
              <w:rPr>
                <w:sz w:val="20"/>
                <w:szCs w:val="20"/>
              </w:rPr>
              <w:t>земель сельскохозяйственного назначения</w:t>
            </w:r>
            <w:r w:rsidRPr="0078252D">
              <w:rPr>
                <w:sz w:val="20"/>
                <w:szCs w:val="20"/>
              </w:rPr>
              <w:t>.</w:t>
            </w:r>
          </w:p>
        </w:tc>
      </w:tr>
      <w:tr w:rsidR="000D7C1E" w:rsidRPr="0078252D" w14:paraId="7A7F3801" w14:textId="77777777" w:rsidTr="00473E76">
        <w:trPr>
          <w:trHeight w:val="20"/>
        </w:trPr>
        <w:tc>
          <w:tcPr>
            <w:tcW w:w="501" w:type="dxa"/>
            <w:tcBorders>
              <w:top w:val="single" w:sz="4" w:space="0" w:color="000000"/>
              <w:left w:val="single" w:sz="4" w:space="0" w:color="000000"/>
              <w:bottom w:val="single" w:sz="4" w:space="0" w:color="000000"/>
            </w:tcBorders>
            <w:tcMar>
              <w:top w:w="102" w:type="dxa"/>
              <w:left w:w="62" w:type="dxa"/>
              <w:bottom w:w="102" w:type="dxa"/>
              <w:right w:w="62" w:type="dxa"/>
            </w:tcMar>
            <w:vAlign w:val="center"/>
          </w:tcPr>
          <w:p w14:paraId="0A59EDEB" w14:textId="77777777" w:rsidR="000D7C1E" w:rsidRPr="0078252D" w:rsidRDefault="000D7C1E" w:rsidP="00473E76">
            <w:pPr>
              <w:pStyle w:val="Standard"/>
              <w:widowControl w:val="0"/>
              <w:autoSpaceDE w:val="0"/>
              <w:jc w:val="center"/>
              <w:rPr>
                <w:sz w:val="20"/>
                <w:szCs w:val="20"/>
              </w:rPr>
            </w:pPr>
            <w:r w:rsidRPr="0078252D">
              <w:rPr>
                <w:sz w:val="20"/>
                <w:szCs w:val="20"/>
              </w:rPr>
              <w:t>12</w:t>
            </w:r>
          </w:p>
        </w:tc>
        <w:tc>
          <w:tcPr>
            <w:tcW w:w="2096" w:type="dxa"/>
            <w:tcBorders>
              <w:top w:val="single" w:sz="4" w:space="0" w:color="000000"/>
              <w:left w:val="single" w:sz="4" w:space="0" w:color="000000"/>
              <w:bottom w:val="single" w:sz="4" w:space="0" w:color="000000"/>
            </w:tcBorders>
            <w:tcMar>
              <w:top w:w="102" w:type="dxa"/>
              <w:left w:w="62" w:type="dxa"/>
              <w:bottom w:w="102" w:type="dxa"/>
              <w:right w:w="62" w:type="dxa"/>
            </w:tcMar>
          </w:tcPr>
          <w:p w14:paraId="370909C4" w14:textId="77777777" w:rsidR="000D7C1E" w:rsidRPr="0078252D" w:rsidRDefault="000D7C1E" w:rsidP="00473E76">
            <w:pPr>
              <w:pStyle w:val="Standard"/>
              <w:widowControl w:val="0"/>
              <w:autoSpaceDE w:val="0"/>
              <w:rPr>
                <w:sz w:val="20"/>
                <w:szCs w:val="20"/>
              </w:rPr>
            </w:pPr>
            <w:r w:rsidRPr="0078252D">
              <w:rPr>
                <w:sz w:val="20"/>
                <w:szCs w:val="20"/>
              </w:rPr>
              <w:t>Солонцеватость почв</w:t>
            </w:r>
          </w:p>
        </w:tc>
        <w:tc>
          <w:tcPr>
            <w:tcW w:w="1509" w:type="dxa"/>
            <w:tcBorders>
              <w:top w:val="single" w:sz="4" w:space="0" w:color="000000"/>
              <w:left w:val="single" w:sz="4" w:space="0" w:color="000000"/>
              <w:bottom w:val="single" w:sz="4" w:space="0" w:color="000000"/>
            </w:tcBorders>
            <w:tcMar>
              <w:top w:w="102" w:type="dxa"/>
              <w:left w:w="62" w:type="dxa"/>
              <w:bottom w:w="102" w:type="dxa"/>
              <w:right w:w="62" w:type="dxa"/>
            </w:tcMar>
          </w:tcPr>
          <w:p w14:paraId="70C88349" w14:textId="77777777" w:rsidR="000D7C1E" w:rsidRPr="0078252D" w:rsidRDefault="000D7C1E" w:rsidP="00473E76">
            <w:pPr>
              <w:pStyle w:val="Standard"/>
              <w:widowControl w:val="0"/>
              <w:autoSpaceDE w:val="0"/>
              <w:snapToGrid w:val="0"/>
              <w:jc w:val="center"/>
              <w:rPr>
                <w:sz w:val="20"/>
                <w:szCs w:val="20"/>
              </w:rPr>
            </w:pPr>
          </w:p>
        </w:tc>
        <w:tc>
          <w:tcPr>
            <w:tcW w:w="1285" w:type="dxa"/>
            <w:tcBorders>
              <w:top w:val="single" w:sz="4" w:space="0" w:color="000000"/>
              <w:left w:val="single" w:sz="4" w:space="0" w:color="000000"/>
              <w:bottom w:val="single" w:sz="4" w:space="0" w:color="000000"/>
            </w:tcBorders>
            <w:tcMar>
              <w:top w:w="102" w:type="dxa"/>
              <w:left w:w="62" w:type="dxa"/>
              <w:bottom w:w="102" w:type="dxa"/>
              <w:right w:w="62" w:type="dxa"/>
            </w:tcMar>
          </w:tcPr>
          <w:p w14:paraId="5761749D" w14:textId="77777777" w:rsidR="000D7C1E" w:rsidRPr="005E02CB" w:rsidRDefault="000D7C1E" w:rsidP="00473E76">
            <w:r w:rsidRPr="005E02CB">
              <w:rPr>
                <w:sz w:val="20"/>
                <w:szCs w:val="20"/>
              </w:rPr>
              <w:t>не применялся</w:t>
            </w:r>
          </w:p>
        </w:tc>
        <w:tc>
          <w:tcPr>
            <w:tcW w:w="3960" w:type="dxa"/>
            <w:tcBorders>
              <w:top w:val="single" w:sz="4" w:space="0" w:color="000000"/>
              <w:left w:val="single" w:sz="4" w:space="0" w:color="000000"/>
              <w:bottom w:val="single" w:sz="4" w:space="0" w:color="000000"/>
              <w:right w:val="single" w:sz="4" w:space="0" w:color="000000"/>
            </w:tcBorders>
            <w:tcMar>
              <w:top w:w="102" w:type="dxa"/>
              <w:left w:w="62" w:type="dxa"/>
              <w:bottom w:w="102" w:type="dxa"/>
              <w:right w:w="62" w:type="dxa"/>
            </w:tcMar>
          </w:tcPr>
          <w:p w14:paraId="50C396DB" w14:textId="77777777" w:rsidR="000D7C1E" w:rsidRPr="00C91953" w:rsidRDefault="000D7C1E" w:rsidP="00473E76">
            <w:pPr>
              <w:pStyle w:val="Standard"/>
              <w:widowControl w:val="0"/>
              <w:autoSpaceDE w:val="0"/>
              <w:rPr>
                <w:sz w:val="20"/>
                <w:szCs w:val="20"/>
                <w:highlight w:val="yellow"/>
              </w:rPr>
            </w:pPr>
            <w:r w:rsidRPr="0078252D">
              <w:rPr>
                <w:sz w:val="20"/>
                <w:szCs w:val="20"/>
              </w:rPr>
              <w:t xml:space="preserve">Не учитывался, так как применяется при оценке </w:t>
            </w:r>
            <w:r>
              <w:rPr>
                <w:sz w:val="20"/>
                <w:szCs w:val="20"/>
              </w:rPr>
              <w:t>земель сельскохозяйственного назначения</w:t>
            </w:r>
            <w:r w:rsidRPr="0078252D">
              <w:rPr>
                <w:sz w:val="20"/>
                <w:szCs w:val="20"/>
              </w:rPr>
              <w:t>.</w:t>
            </w:r>
          </w:p>
        </w:tc>
      </w:tr>
      <w:tr w:rsidR="000D7C1E" w:rsidRPr="0078252D" w14:paraId="089A78E7" w14:textId="77777777" w:rsidTr="00473E76">
        <w:trPr>
          <w:trHeight w:val="20"/>
        </w:trPr>
        <w:tc>
          <w:tcPr>
            <w:tcW w:w="501" w:type="dxa"/>
            <w:tcBorders>
              <w:top w:val="single" w:sz="4" w:space="0" w:color="000000"/>
              <w:left w:val="single" w:sz="4" w:space="0" w:color="000000"/>
              <w:bottom w:val="single" w:sz="4" w:space="0" w:color="000000"/>
            </w:tcBorders>
            <w:tcMar>
              <w:top w:w="102" w:type="dxa"/>
              <w:left w:w="62" w:type="dxa"/>
              <w:bottom w:w="102" w:type="dxa"/>
              <w:right w:w="62" w:type="dxa"/>
            </w:tcMar>
            <w:vAlign w:val="center"/>
          </w:tcPr>
          <w:p w14:paraId="7D948681" w14:textId="77777777" w:rsidR="000D7C1E" w:rsidRPr="0078252D" w:rsidRDefault="000D7C1E" w:rsidP="00473E76">
            <w:pPr>
              <w:pStyle w:val="Standard"/>
              <w:widowControl w:val="0"/>
              <w:autoSpaceDE w:val="0"/>
              <w:jc w:val="center"/>
              <w:rPr>
                <w:sz w:val="20"/>
                <w:szCs w:val="20"/>
              </w:rPr>
            </w:pPr>
            <w:r w:rsidRPr="0078252D">
              <w:rPr>
                <w:sz w:val="20"/>
                <w:szCs w:val="20"/>
              </w:rPr>
              <w:t>13</w:t>
            </w:r>
          </w:p>
        </w:tc>
        <w:tc>
          <w:tcPr>
            <w:tcW w:w="2096" w:type="dxa"/>
            <w:tcBorders>
              <w:top w:val="single" w:sz="4" w:space="0" w:color="000000"/>
              <w:left w:val="single" w:sz="4" w:space="0" w:color="000000"/>
              <w:bottom w:val="single" w:sz="4" w:space="0" w:color="000000"/>
            </w:tcBorders>
            <w:tcMar>
              <w:top w:w="102" w:type="dxa"/>
              <w:left w:w="62" w:type="dxa"/>
              <w:bottom w:w="102" w:type="dxa"/>
              <w:right w:w="62" w:type="dxa"/>
            </w:tcMar>
          </w:tcPr>
          <w:p w14:paraId="45F904B7" w14:textId="77777777" w:rsidR="000D7C1E" w:rsidRPr="0078252D" w:rsidRDefault="000D7C1E" w:rsidP="00473E76">
            <w:pPr>
              <w:pStyle w:val="Standard"/>
              <w:widowControl w:val="0"/>
              <w:autoSpaceDE w:val="0"/>
              <w:rPr>
                <w:sz w:val="20"/>
                <w:szCs w:val="20"/>
              </w:rPr>
            </w:pPr>
            <w:r w:rsidRPr="0078252D">
              <w:rPr>
                <w:sz w:val="20"/>
                <w:szCs w:val="20"/>
              </w:rPr>
              <w:t>Солонцы по мощности надсолонцового горизонта</w:t>
            </w:r>
          </w:p>
        </w:tc>
        <w:tc>
          <w:tcPr>
            <w:tcW w:w="1509" w:type="dxa"/>
            <w:tcBorders>
              <w:top w:val="single" w:sz="4" w:space="0" w:color="000000"/>
              <w:left w:val="single" w:sz="4" w:space="0" w:color="000000"/>
              <w:bottom w:val="single" w:sz="4" w:space="0" w:color="000000"/>
            </w:tcBorders>
            <w:tcMar>
              <w:top w:w="102" w:type="dxa"/>
              <w:left w:w="62" w:type="dxa"/>
              <w:bottom w:w="102" w:type="dxa"/>
              <w:right w:w="62" w:type="dxa"/>
            </w:tcMar>
          </w:tcPr>
          <w:p w14:paraId="7D36B213" w14:textId="77777777" w:rsidR="000D7C1E" w:rsidRPr="0078252D" w:rsidRDefault="000D7C1E" w:rsidP="00473E76">
            <w:pPr>
              <w:pStyle w:val="Standard"/>
              <w:widowControl w:val="0"/>
              <w:autoSpaceDE w:val="0"/>
              <w:snapToGrid w:val="0"/>
              <w:jc w:val="center"/>
              <w:rPr>
                <w:sz w:val="20"/>
                <w:szCs w:val="20"/>
              </w:rPr>
            </w:pPr>
          </w:p>
        </w:tc>
        <w:tc>
          <w:tcPr>
            <w:tcW w:w="1285" w:type="dxa"/>
            <w:tcBorders>
              <w:top w:val="single" w:sz="4" w:space="0" w:color="000000"/>
              <w:left w:val="single" w:sz="4" w:space="0" w:color="000000"/>
              <w:bottom w:val="single" w:sz="4" w:space="0" w:color="000000"/>
            </w:tcBorders>
            <w:tcMar>
              <w:top w:w="102" w:type="dxa"/>
              <w:left w:w="62" w:type="dxa"/>
              <w:bottom w:w="102" w:type="dxa"/>
              <w:right w:w="62" w:type="dxa"/>
            </w:tcMar>
          </w:tcPr>
          <w:p w14:paraId="365A7BB0" w14:textId="77777777" w:rsidR="000D7C1E" w:rsidRPr="005E02CB" w:rsidRDefault="000D7C1E" w:rsidP="00473E76">
            <w:r w:rsidRPr="005E02CB">
              <w:rPr>
                <w:sz w:val="20"/>
                <w:szCs w:val="20"/>
              </w:rPr>
              <w:t>не применялся</w:t>
            </w:r>
          </w:p>
        </w:tc>
        <w:tc>
          <w:tcPr>
            <w:tcW w:w="3960" w:type="dxa"/>
            <w:tcBorders>
              <w:top w:val="single" w:sz="4" w:space="0" w:color="000000"/>
              <w:left w:val="single" w:sz="4" w:space="0" w:color="000000"/>
              <w:bottom w:val="single" w:sz="4" w:space="0" w:color="000000"/>
              <w:right w:val="single" w:sz="4" w:space="0" w:color="000000"/>
            </w:tcBorders>
            <w:tcMar>
              <w:top w:w="102" w:type="dxa"/>
              <w:left w:w="62" w:type="dxa"/>
              <w:bottom w:w="102" w:type="dxa"/>
              <w:right w:w="62" w:type="dxa"/>
            </w:tcMar>
          </w:tcPr>
          <w:p w14:paraId="4847E149" w14:textId="77777777" w:rsidR="000D7C1E" w:rsidRPr="00C91953" w:rsidRDefault="000D7C1E" w:rsidP="00473E76">
            <w:pPr>
              <w:pStyle w:val="Standard"/>
              <w:widowControl w:val="0"/>
              <w:autoSpaceDE w:val="0"/>
              <w:rPr>
                <w:sz w:val="20"/>
                <w:szCs w:val="20"/>
                <w:highlight w:val="yellow"/>
              </w:rPr>
            </w:pPr>
            <w:r w:rsidRPr="0078252D">
              <w:rPr>
                <w:sz w:val="20"/>
                <w:szCs w:val="20"/>
              </w:rPr>
              <w:t xml:space="preserve">Не учитывался, так как применяется при оценке </w:t>
            </w:r>
            <w:r>
              <w:rPr>
                <w:sz w:val="20"/>
                <w:szCs w:val="20"/>
              </w:rPr>
              <w:t>земель сельскохозяйственного назначения</w:t>
            </w:r>
            <w:r w:rsidRPr="0078252D">
              <w:rPr>
                <w:sz w:val="20"/>
                <w:szCs w:val="20"/>
              </w:rPr>
              <w:t>.</w:t>
            </w:r>
          </w:p>
        </w:tc>
      </w:tr>
      <w:tr w:rsidR="000D7C1E" w:rsidRPr="0078252D" w14:paraId="690C226B" w14:textId="77777777" w:rsidTr="00473E76">
        <w:trPr>
          <w:trHeight w:val="20"/>
        </w:trPr>
        <w:tc>
          <w:tcPr>
            <w:tcW w:w="501" w:type="dxa"/>
            <w:tcBorders>
              <w:top w:val="single" w:sz="4" w:space="0" w:color="000000"/>
              <w:left w:val="single" w:sz="4" w:space="0" w:color="000000"/>
              <w:bottom w:val="single" w:sz="4" w:space="0" w:color="000000"/>
            </w:tcBorders>
            <w:tcMar>
              <w:top w:w="102" w:type="dxa"/>
              <w:left w:w="62" w:type="dxa"/>
              <w:bottom w:w="102" w:type="dxa"/>
              <w:right w:w="62" w:type="dxa"/>
            </w:tcMar>
            <w:vAlign w:val="center"/>
          </w:tcPr>
          <w:p w14:paraId="291CDF0E" w14:textId="77777777" w:rsidR="000D7C1E" w:rsidRPr="0078252D" w:rsidRDefault="000D7C1E" w:rsidP="00473E76">
            <w:pPr>
              <w:pStyle w:val="Standard"/>
              <w:widowControl w:val="0"/>
              <w:autoSpaceDE w:val="0"/>
              <w:jc w:val="center"/>
              <w:rPr>
                <w:sz w:val="20"/>
                <w:szCs w:val="20"/>
              </w:rPr>
            </w:pPr>
            <w:r w:rsidRPr="0078252D">
              <w:rPr>
                <w:sz w:val="20"/>
                <w:szCs w:val="20"/>
              </w:rPr>
              <w:t>14</w:t>
            </w:r>
          </w:p>
        </w:tc>
        <w:tc>
          <w:tcPr>
            <w:tcW w:w="2096" w:type="dxa"/>
            <w:tcBorders>
              <w:top w:val="single" w:sz="4" w:space="0" w:color="000000"/>
              <w:left w:val="single" w:sz="4" w:space="0" w:color="000000"/>
              <w:bottom w:val="single" w:sz="4" w:space="0" w:color="000000"/>
            </w:tcBorders>
            <w:tcMar>
              <w:top w:w="102" w:type="dxa"/>
              <w:left w:w="62" w:type="dxa"/>
              <w:bottom w:w="102" w:type="dxa"/>
              <w:right w:w="62" w:type="dxa"/>
            </w:tcMar>
          </w:tcPr>
          <w:p w14:paraId="53A5EB36" w14:textId="77777777" w:rsidR="000D7C1E" w:rsidRPr="0078252D" w:rsidRDefault="000D7C1E" w:rsidP="00473E76">
            <w:pPr>
              <w:pStyle w:val="Standard"/>
              <w:widowControl w:val="0"/>
              <w:autoSpaceDE w:val="0"/>
              <w:rPr>
                <w:sz w:val="20"/>
                <w:szCs w:val="20"/>
              </w:rPr>
            </w:pPr>
            <w:r w:rsidRPr="0078252D">
              <w:rPr>
                <w:sz w:val="20"/>
                <w:szCs w:val="20"/>
              </w:rPr>
              <w:t>Карбонатность почв</w:t>
            </w:r>
          </w:p>
        </w:tc>
        <w:tc>
          <w:tcPr>
            <w:tcW w:w="1509" w:type="dxa"/>
            <w:tcBorders>
              <w:top w:val="single" w:sz="4" w:space="0" w:color="000000"/>
              <w:left w:val="single" w:sz="4" w:space="0" w:color="000000"/>
              <w:bottom w:val="single" w:sz="4" w:space="0" w:color="000000"/>
            </w:tcBorders>
            <w:tcMar>
              <w:top w:w="102" w:type="dxa"/>
              <w:left w:w="62" w:type="dxa"/>
              <w:bottom w:w="102" w:type="dxa"/>
              <w:right w:w="62" w:type="dxa"/>
            </w:tcMar>
          </w:tcPr>
          <w:p w14:paraId="1F3D4944" w14:textId="77777777" w:rsidR="000D7C1E" w:rsidRPr="0078252D" w:rsidRDefault="000D7C1E" w:rsidP="00473E76">
            <w:pPr>
              <w:pStyle w:val="Standard"/>
              <w:widowControl w:val="0"/>
              <w:autoSpaceDE w:val="0"/>
              <w:snapToGrid w:val="0"/>
              <w:jc w:val="center"/>
              <w:rPr>
                <w:sz w:val="20"/>
                <w:szCs w:val="20"/>
              </w:rPr>
            </w:pPr>
          </w:p>
        </w:tc>
        <w:tc>
          <w:tcPr>
            <w:tcW w:w="1285" w:type="dxa"/>
            <w:tcBorders>
              <w:top w:val="single" w:sz="4" w:space="0" w:color="000000"/>
              <w:left w:val="single" w:sz="4" w:space="0" w:color="000000"/>
              <w:bottom w:val="single" w:sz="4" w:space="0" w:color="000000"/>
            </w:tcBorders>
            <w:tcMar>
              <w:top w:w="102" w:type="dxa"/>
              <w:left w:w="62" w:type="dxa"/>
              <w:bottom w:w="102" w:type="dxa"/>
              <w:right w:w="62" w:type="dxa"/>
            </w:tcMar>
          </w:tcPr>
          <w:p w14:paraId="0D307698" w14:textId="77777777" w:rsidR="000D7C1E" w:rsidRPr="005E02CB" w:rsidRDefault="000D7C1E" w:rsidP="00473E76">
            <w:r w:rsidRPr="005E02CB">
              <w:rPr>
                <w:sz w:val="20"/>
                <w:szCs w:val="20"/>
              </w:rPr>
              <w:t>не применялся</w:t>
            </w:r>
          </w:p>
        </w:tc>
        <w:tc>
          <w:tcPr>
            <w:tcW w:w="3960" w:type="dxa"/>
            <w:tcBorders>
              <w:top w:val="single" w:sz="4" w:space="0" w:color="000000"/>
              <w:left w:val="single" w:sz="4" w:space="0" w:color="000000"/>
              <w:bottom w:val="single" w:sz="4" w:space="0" w:color="000000"/>
              <w:right w:val="single" w:sz="4" w:space="0" w:color="000000"/>
            </w:tcBorders>
            <w:tcMar>
              <w:top w:w="102" w:type="dxa"/>
              <w:left w:w="62" w:type="dxa"/>
              <w:bottom w:w="102" w:type="dxa"/>
              <w:right w:w="62" w:type="dxa"/>
            </w:tcMar>
          </w:tcPr>
          <w:p w14:paraId="1742643C" w14:textId="77777777" w:rsidR="000D7C1E" w:rsidRPr="00C91953" w:rsidRDefault="000D7C1E" w:rsidP="00473E76">
            <w:pPr>
              <w:pStyle w:val="Standard"/>
              <w:widowControl w:val="0"/>
              <w:autoSpaceDE w:val="0"/>
              <w:rPr>
                <w:sz w:val="20"/>
                <w:szCs w:val="20"/>
                <w:highlight w:val="yellow"/>
              </w:rPr>
            </w:pPr>
            <w:r w:rsidRPr="0078252D">
              <w:rPr>
                <w:sz w:val="20"/>
                <w:szCs w:val="20"/>
              </w:rPr>
              <w:t xml:space="preserve">Не учитывался, так как применяется при оценке </w:t>
            </w:r>
            <w:r>
              <w:rPr>
                <w:sz w:val="20"/>
                <w:szCs w:val="20"/>
              </w:rPr>
              <w:t>земель сельскохозяйственного назначения</w:t>
            </w:r>
            <w:r w:rsidRPr="0078252D">
              <w:rPr>
                <w:sz w:val="20"/>
                <w:szCs w:val="20"/>
              </w:rPr>
              <w:t>.</w:t>
            </w:r>
          </w:p>
        </w:tc>
      </w:tr>
      <w:tr w:rsidR="000D7C1E" w:rsidRPr="0078252D" w14:paraId="3E2E682A" w14:textId="77777777" w:rsidTr="00473E76">
        <w:trPr>
          <w:trHeight w:val="20"/>
        </w:trPr>
        <w:tc>
          <w:tcPr>
            <w:tcW w:w="501" w:type="dxa"/>
            <w:tcBorders>
              <w:top w:val="single" w:sz="4" w:space="0" w:color="000000"/>
              <w:left w:val="single" w:sz="4" w:space="0" w:color="000000"/>
              <w:bottom w:val="single" w:sz="4" w:space="0" w:color="000000"/>
            </w:tcBorders>
            <w:tcMar>
              <w:top w:w="102" w:type="dxa"/>
              <w:left w:w="62" w:type="dxa"/>
              <w:bottom w:w="102" w:type="dxa"/>
              <w:right w:w="62" w:type="dxa"/>
            </w:tcMar>
            <w:vAlign w:val="center"/>
          </w:tcPr>
          <w:p w14:paraId="11914DCC" w14:textId="77777777" w:rsidR="000D7C1E" w:rsidRPr="0078252D" w:rsidRDefault="000D7C1E" w:rsidP="00473E76">
            <w:pPr>
              <w:pStyle w:val="Standard"/>
              <w:widowControl w:val="0"/>
              <w:autoSpaceDE w:val="0"/>
              <w:jc w:val="center"/>
              <w:rPr>
                <w:sz w:val="20"/>
                <w:szCs w:val="20"/>
              </w:rPr>
            </w:pPr>
            <w:r w:rsidRPr="0078252D">
              <w:rPr>
                <w:sz w:val="20"/>
                <w:szCs w:val="20"/>
              </w:rPr>
              <w:t>15</w:t>
            </w:r>
          </w:p>
        </w:tc>
        <w:tc>
          <w:tcPr>
            <w:tcW w:w="2096" w:type="dxa"/>
            <w:tcBorders>
              <w:top w:val="single" w:sz="4" w:space="0" w:color="000000"/>
              <w:left w:val="single" w:sz="4" w:space="0" w:color="000000"/>
              <w:bottom w:val="single" w:sz="4" w:space="0" w:color="000000"/>
            </w:tcBorders>
            <w:tcMar>
              <w:top w:w="102" w:type="dxa"/>
              <w:left w:w="62" w:type="dxa"/>
              <w:bottom w:w="102" w:type="dxa"/>
              <w:right w:w="62" w:type="dxa"/>
            </w:tcMar>
          </w:tcPr>
          <w:p w14:paraId="0E62464E" w14:textId="77777777" w:rsidR="000D7C1E" w:rsidRPr="0078252D" w:rsidRDefault="000D7C1E" w:rsidP="00473E76">
            <w:pPr>
              <w:pStyle w:val="Standard"/>
              <w:widowControl w:val="0"/>
              <w:autoSpaceDE w:val="0"/>
              <w:rPr>
                <w:sz w:val="20"/>
                <w:szCs w:val="20"/>
              </w:rPr>
            </w:pPr>
            <w:r w:rsidRPr="0078252D">
              <w:rPr>
                <w:sz w:val="20"/>
                <w:szCs w:val="20"/>
              </w:rPr>
              <w:t>Уплотнение почв</w:t>
            </w:r>
          </w:p>
        </w:tc>
        <w:tc>
          <w:tcPr>
            <w:tcW w:w="1509" w:type="dxa"/>
            <w:tcBorders>
              <w:top w:val="single" w:sz="4" w:space="0" w:color="000000"/>
              <w:left w:val="single" w:sz="4" w:space="0" w:color="000000"/>
              <w:bottom w:val="single" w:sz="4" w:space="0" w:color="000000"/>
            </w:tcBorders>
            <w:tcMar>
              <w:top w:w="102" w:type="dxa"/>
              <w:left w:w="62" w:type="dxa"/>
              <w:bottom w:w="102" w:type="dxa"/>
              <w:right w:w="62" w:type="dxa"/>
            </w:tcMar>
          </w:tcPr>
          <w:p w14:paraId="6B2FE4D7" w14:textId="77777777" w:rsidR="000D7C1E" w:rsidRPr="0078252D" w:rsidRDefault="000D7C1E" w:rsidP="00473E76">
            <w:pPr>
              <w:pStyle w:val="Standard"/>
              <w:widowControl w:val="0"/>
              <w:autoSpaceDE w:val="0"/>
              <w:snapToGrid w:val="0"/>
              <w:jc w:val="center"/>
              <w:rPr>
                <w:sz w:val="20"/>
                <w:szCs w:val="20"/>
              </w:rPr>
            </w:pPr>
          </w:p>
        </w:tc>
        <w:tc>
          <w:tcPr>
            <w:tcW w:w="1285" w:type="dxa"/>
            <w:tcBorders>
              <w:top w:val="single" w:sz="4" w:space="0" w:color="000000"/>
              <w:left w:val="single" w:sz="4" w:space="0" w:color="000000"/>
              <w:bottom w:val="single" w:sz="4" w:space="0" w:color="000000"/>
            </w:tcBorders>
            <w:tcMar>
              <w:top w:w="102" w:type="dxa"/>
              <w:left w:w="62" w:type="dxa"/>
              <w:bottom w:w="102" w:type="dxa"/>
              <w:right w:w="62" w:type="dxa"/>
            </w:tcMar>
          </w:tcPr>
          <w:p w14:paraId="276B0963" w14:textId="77777777" w:rsidR="000D7C1E" w:rsidRPr="005E02CB" w:rsidRDefault="000D7C1E" w:rsidP="00473E76">
            <w:r w:rsidRPr="005E02CB">
              <w:rPr>
                <w:sz w:val="20"/>
                <w:szCs w:val="20"/>
              </w:rPr>
              <w:t>не применялся</w:t>
            </w:r>
          </w:p>
        </w:tc>
        <w:tc>
          <w:tcPr>
            <w:tcW w:w="3960" w:type="dxa"/>
            <w:tcBorders>
              <w:top w:val="single" w:sz="4" w:space="0" w:color="000000"/>
              <w:left w:val="single" w:sz="4" w:space="0" w:color="000000"/>
              <w:bottom w:val="single" w:sz="4" w:space="0" w:color="000000"/>
              <w:right w:val="single" w:sz="4" w:space="0" w:color="000000"/>
            </w:tcBorders>
            <w:tcMar>
              <w:top w:w="102" w:type="dxa"/>
              <w:left w:w="62" w:type="dxa"/>
              <w:bottom w:w="102" w:type="dxa"/>
              <w:right w:w="62" w:type="dxa"/>
            </w:tcMar>
          </w:tcPr>
          <w:p w14:paraId="5053E96A" w14:textId="77777777" w:rsidR="000D7C1E" w:rsidRPr="00C91953" w:rsidRDefault="000D7C1E" w:rsidP="00473E76">
            <w:pPr>
              <w:pStyle w:val="Standard"/>
              <w:widowControl w:val="0"/>
              <w:autoSpaceDE w:val="0"/>
              <w:rPr>
                <w:sz w:val="20"/>
                <w:szCs w:val="20"/>
                <w:highlight w:val="yellow"/>
              </w:rPr>
            </w:pPr>
            <w:r w:rsidRPr="0078252D">
              <w:rPr>
                <w:sz w:val="20"/>
                <w:szCs w:val="20"/>
              </w:rPr>
              <w:t xml:space="preserve">Не учитывался, так как применяется при оценке </w:t>
            </w:r>
            <w:r>
              <w:rPr>
                <w:sz w:val="20"/>
                <w:szCs w:val="20"/>
              </w:rPr>
              <w:t>земель сельскохозяйственного назначения</w:t>
            </w:r>
            <w:r w:rsidRPr="0078252D">
              <w:rPr>
                <w:sz w:val="20"/>
                <w:szCs w:val="20"/>
              </w:rPr>
              <w:t>.</w:t>
            </w:r>
          </w:p>
        </w:tc>
      </w:tr>
      <w:tr w:rsidR="000D7C1E" w:rsidRPr="0078252D" w14:paraId="1B5691E3" w14:textId="77777777" w:rsidTr="00473E76">
        <w:trPr>
          <w:trHeight w:val="20"/>
        </w:trPr>
        <w:tc>
          <w:tcPr>
            <w:tcW w:w="501" w:type="dxa"/>
            <w:tcBorders>
              <w:top w:val="single" w:sz="4" w:space="0" w:color="000000"/>
              <w:left w:val="single" w:sz="4" w:space="0" w:color="000000"/>
              <w:bottom w:val="single" w:sz="4" w:space="0" w:color="000000"/>
            </w:tcBorders>
            <w:tcMar>
              <w:top w:w="102" w:type="dxa"/>
              <w:left w:w="62" w:type="dxa"/>
              <w:bottom w:w="102" w:type="dxa"/>
              <w:right w:w="62" w:type="dxa"/>
            </w:tcMar>
            <w:vAlign w:val="center"/>
          </w:tcPr>
          <w:p w14:paraId="155EF93D" w14:textId="77777777" w:rsidR="000D7C1E" w:rsidRPr="0078252D" w:rsidRDefault="000D7C1E" w:rsidP="00473E76">
            <w:pPr>
              <w:pStyle w:val="Standard"/>
              <w:widowControl w:val="0"/>
              <w:autoSpaceDE w:val="0"/>
              <w:jc w:val="center"/>
              <w:rPr>
                <w:sz w:val="20"/>
                <w:szCs w:val="20"/>
              </w:rPr>
            </w:pPr>
            <w:r w:rsidRPr="0078252D">
              <w:rPr>
                <w:sz w:val="20"/>
                <w:szCs w:val="20"/>
              </w:rPr>
              <w:t>16</w:t>
            </w:r>
          </w:p>
        </w:tc>
        <w:tc>
          <w:tcPr>
            <w:tcW w:w="2096" w:type="dxa"/>
            <w:tcBorders>
              <w:top w:val="single" w:sz="4" w:space="0" w:color="000000"/>
              <w:left w:val="single" w:sz="4" w:space="0" w:color="000000"/>
              <w:bottom w:val="single" w:sz="4" w:space="0" w:color="000000"/>
            </w:tcBorders>
            <w:tcMar>
              <w:top w:w="102" w:type="dxa"/>
              <w:left w:w="62" w:type="dxa"/>
              <w:bottom w:w="102" w:type="dxa"/>
              <w:right w:w="62" w:type="dxa"/>
            </w:tcMar>
          </w:tcPr>
          <w:p w14:paraId="778C54CD" w14:textId="77777777" w:rsidR="000D7C1E" w:rsidRPr="0078252D" w:rsidRDefault="000D7C1E" w:rsidP="00473E76">
            <w:pPr>
              <w:pStyle w:val="Standard"/>
              <w:widowControl w:val="0"/>
              <w:autoSpaceDE w:val="0"/>
              <w:rPr>
                <w:sz w:val="20"/>
                <w:szCs w:val="20"/>
              </w:rPr>
            </w:pPr>
            <w:r w:rsidRPr="0078252D">
              <w:rPr>
                <w:sz w:val="20"/>
                <w:szCs w:val="20"/>
              </w:rPr>
              <w:t>Переувлажнение</w:t>
            </w:r>
          </w:p>
        </w:tc>
        <w:tc>
          <w:tcPr>
            <w:tcW w:w="1509" w:type="dxa"/>
            <w:tcBorders>
              <w:top w:val="single" w:sz="4" w:space="0" w:color="000000"/>
              <w:left w:val="single" w:sz="4" w:space="0" w:color="000000"/>
              <w:bottom w:val="single" w:sz="4" w:space="0" w:color="000000"/>
            </w:tcBorders>
            <w:tcMar>
              <w:top w:w="102" w:type="dxa"/>
              <w:left w:w="62" w:type="dxa"/>
              <w:bottom w:w="102" w:type="dxa"/>
              <w:right w:w="62" w:type="dxa"/>
            </w:tcMar>
          </w:tcPr>
          <w:p w14:paraId="5D9E2CCA" w14:textId="77777777" w:rsidR="000D7C1E" w:rsidRPr="0078252D" w:rsidRDefault="000D7C1E" w:rsidP="00473E76">
            <w:pPr>
              <w:pStyle w:val="Standard"/>
              <w:widowControl w:val="0"/>
              <w:autoSpaceDE w:val="0"/>
              <w:jc w:val="center"/>
              <w:rPr>
                <w:sz w:val="20"/>
                <w:szCs w:val="20"/>
              </w:rPr>
            </w:pPr>
            <w:r w:rsidRPr="0078252D">
              <w:rPr>
                <w:sz w:val="20"/>
                <w:szCs w:val="20"/>
              </w:rPr>
              <w:t>-</w:t>
            </w:r>
          </w:p>
        </w:tc>
        <w:tc>
          <w:tcPr>
            <w:tcW w:w="1285" w:type="dxa"/>
            <w:tcBorders>
              <w:top w:val="single" w:sz="4" w:space="0" w:color="000000"/>
              <w:left w:val="single" w:sz="4" w:space="0" w:color="000000"/>
              <w:bottom w:val="single" w:sz="4" w:space="0" w:color="000000"/>
            </w:tcBorders>
            <w:tcMar>
              <w:top w:w="102" w:type="dxa"/>
              <w:left w:w="62" w:type="dxa"/>
              <w:bottom w:w="102" w:type="dxa"/>
              <w:right w:w="62" w:type="dxa"/>
            </w:tcMar>
          </w:tcPr>
          <w:p w14:paraId="18292604" w14:textId="77777777" w:rsidR="000D7C1E" w:rsidRPr="005E02CB" w:rsidRDefault="000D7C1E" w:rsidP="00473E76">
            <w:r w:rsidRPr="005E02CB">
              <w:rPr>
                <w:sz w:val="20"/>
                <w:szCs w:val="20"/>
              </w:rPr>
              <w:t>не применялся</w:t>
            </w:r>
          </w:p>
        </w:tc>
        <w:tc>
          <w:tcPr>
            <w:tcW w:w="3960" w:type="dxa"/>
            <w:tcBorders>
              <w:top w:val="single" w:sz="4" w:space="0" w:color="000000"/>
              <w:left w:val="single" w:sz="4" w:space="0" w:color="000000"/>
              <w:bottom w:val="single" w:sz="4" w:space="0" w:color="000000"/>
              <w:right w:val="single" w:sz="4" w:space="0" w:color="000000"/>
            </w:tcBorders>
            <w:tcMar>
              <w:top w:w="102" w:type="dxa"/>
              <w:left w:w="62" w:type="dxa"/>
              <w:bottom w:w="102" w:type="dxa"/>
              <w:right w:w="62" w:type="dxa"/>
            </w:tcMar>
          </w:tcPr>
          <w:p w14:paraId="7DA418C1" w14:textId="77777777" w:rsidR="000D7C1E" w:rsidRPr="00C91953" w:rsidRDefault="000D7C1E" w:rsidP="00473E76">
            <w:pPr>
              <w:pStyle w:val="Standard"/>
              <w:widowControl w:val="0"/>
              <w:autoSpaceDE w:val="0"/>
              <w:rPr>
                <w:sz w:val="20"/>
                <w:szCs w:val="20"/>
                <w:highlight w:val="yellow"/>
              </w:rPr>
            </w:pPr>
            <w:r w:rsidRPr="0078252D">
              <w:rPr>
                <w:sz w:val="20"/>
                <w:szCs w:val="20"/>
              </w:rPr>
              <w:t xml:space="preserve">Не учитывался, так как применяется при оценке </w:t>
            </w:r>
            <w:r>
              <w:rPr>
                <w:sz w:val="20"/>
                <w:szCs w:val="20"/>
              </w:rPr>
              <w:t>земель сельскохозяйственного назначения</w:t>
            </w:r>
            <w:r w:rsidRPr="0078252D">
              <w:rPr>
                <w:sz w:val="20"/>
                <w:szCs w:val="20"/>
              </w:rPr>
              <w:t>.</w:t>
            </w:r>
          </w:p>
        </w:tc>
      </w:tr>
      <w:tr w:rsidR="000D7C1E" w:rsidRPr="0078252D" w14:paraId="179BEAF6" w14:textId="77777777" w:rsidTr="00473E76">
        <w:trPr>
          <w:trHeight w:val="20"/>
        </w:trPr>
        <w:tc>
          <w:tcPr>
            <w:tcW w:w="501" w:type="dxa"/>
            <w:tcBorders>
              <w:top w:val="single" w:sz="4" w:space="0" w:color="000000"/>
              <w:left w:val="single" w:sz="4" w:space="0" w:color="000000"/>
              <w:bottom w:val="single" w:sz="4" w:space="0" w:color="000000"/>
            </w:tcBorders>
            <w:tcMar>
              <w:top w:w="102" w:type="dxa"/>
              <w:left w:w="62" w:type="dxa"/>
              <w:bottom w:w="102" w:type="dxa"/>
              <w:right w:w="62" w:type="dxa"/>
            </w:tcMar>
            <w:vAlign w:val="center"/>
          </w:tcPr>
          <w:p w14:paraId="632768FC" w14:textId="77777777" w:rsidR="000D7C1E" w:rsidRPr="0078252D" w:rsidRDefault="000D7C1E" w:rsidP="00473E76">
            <w:pPr>
              <w:pStyle w:val="Standard"/>
              <w:widowControl w:val="0"/>
              <w:autoSpaceDE w:val="0"/>
              <w:jc w:val="center"/>
              <w:rPr>
                <w:sz w:val="20"/>
                <w:szCs w:val="20"/>
              </w:rPr>
            </w:pPr>
            <w:r w:rsidRPr="0078252D">
              <w:rPr>
                <w:sz w:val="20"/>
                <w:szCs w:val="20"/>
              </w:rPr>
              <w:t>17</w:t>
            </w:r>
          </w:p>
        </w:tc>
        <w:tc>
          <w:tcPr>
            <w:tcW w:w="2096" w:type="dxa"/>
            <w:tcBorders>
              <w:top w:val="single" w:sz="4" w:space="0" w:color="000000"/>
              <w:left w:val="single" w:sz="4" w:space="0" w:color="000000"/>
              <w:bottom w:val="single" w:sz="4" w:space="0" w:color="000000"/>
            </w:tcBorders>
            <w:tcMar>
              <w:top w:w="102" w:type="dxa"/>
              <w:left w:w="62" w:type="dxa"/>
              <w:bottom w:w="102" w:type="dxa"/>
              <w:right w:w="62" w:type="dxa"/>
            </w:tcMar>
          </w:tcPr>
          <w:p w14:paraId="79F37C3C" w14:textId="77777777" w:rsidR="000D7C1E" w:rsidRPr="0078252D" w:rsidRDefault="000D7C1E" w:rsidP="00473E76">
            <w:pPr>
              <w:pStyle w:val="Standard"/>
              <w:widowControl w:val="0"/>
              <w:autoSpaceDE w:val="0"/>
              <w:rPr>
                <w:sz w:val="20"/>
                <w:szCs w:val="20"/>
              </w:rPr>
            </w:pPr>
            <w:r w:rsidRPr="0078252D">
              <w:rPr>
                <w:sz w:val="20"/>
                <w:szCs w:val="20"/>
              </w:rPr>
              <w:t>Наличие неудобиц (степень изрезанности рельефом)</w:t>
            </w:r>
          </w:p>
        </w:tc>
        <w:tc>
          <w:tcPr>
            <w:tcW w:w="1509" w:type="dxa"/>
            <w:tcBorders>
              <w:top w:val="single" w:sz="4" w:space="0" w:color="000000"/>
              <w:left w:val="single" w:sz="4" w:space="0" w:color="000000"/>
              <w:bottom w:val="single" w:sz="4" w:space="0" w:color="000000"/>
            </w:tcBorders>
            <w:tcMar>
              <w:top w:w="102" w:type="dxa"/>
              <w:left w:w="62" w:type="dxa"/>
              <w:bottom w:w="102" w:type="dxa"/>
              <w:right w:w="62" w:type="dxa"/>
            </w:tcMar>
          </w:tcPr>
          <w:p w14:paraId="0CF21132" w14:textId="77777777" w:rsidR="000D7C1E" w:rsidRPr="0078252D" w:rsidRDefault="000D7C1E" w:rsidP="00473E76">
            <w:pPr>
              <w:pStyle w:val="Standard"/>
              <w:widowControl w:val="0"/>
              <w:autoSpaceDE w:val="0"/>
              <w:jc w:val="center"/>
              <w:rPr>
                <w:sz w:val="20"/>
                <w:szCs w:val="20"/>
              </w:rPr>
            </w:pPr>
            <w:r w:rsidRPr="0078252D">
              <w:rPr>
                <w:sz w:val="20"/>
                <w:szCs w:val="20"/>
              </w:rPr>
              <w:t>-</w:t>
            </w:r>
          </w:p>
        </w:tc>
        <w:tc>
          <w:tcPr>
            <w:tcW w:w="1285" w:type="dxa"/>
            <w:tcBorders>
              <w:top w:val="single" w:sz="4" w:space="0" w:color="000000"/>
              <w:left w:val="single" w:sz="4" w:space="0" w:color="000000"/>
              <w:bottom w:val="single" w:sz="4" w:space="0" w:color="000000"/>
            </w:tcBorders>
            <w:tcMar>
              <w:top w:w="102" w:type="dxa"/>
              <w:left w:w="62" w:type="dxa"/>
              <w:bottom w:w="102" w:type="dxa"/>
              <w:right w:w="62" w:type="dxa"/>
            </w:tcMar>
          </w:tcPr>
          <w:p w14:paraId="3D8A6755" w14:textId="77777777" w:rsidR="000D7C1E" w:rsidRPr="005E02CB" w:rsidRDefault="000D7C1E" w:rsidP="00473E76">
            <w:r w:rsidRPr="005E02CB">
              <w:rPr>
                <w:sz w:val="20"/>
                <w:szCs w:val="20"/>
              </w:rPr>
              <w:t>не применялся</w:t>
            </w:r>
          </w:p>
        </w:tc>
        <w:tc>
          <w:tcPr>
            <w:tcW w:w="3960" w:type="dxa"/>
            <w:tcBorders>
              <w:top w:val="single" w:sz="4" w:space="0" w:color="000000"/>
              <w:left w:val="single" w:sz="4" w:space="0" w:color="000000"/>
              <w:bottom w:val="single" w:sz="4" w:space="0" w:color="000000"/>
              <w:right w:val="single" w:sz="4" w:space="0" w:color="000000"/>
            </w:tcBorders>
            <w:tcMar>
              <w:top w:w="102" w:type="dxa"/>
              <w:left w:w="62" w:type="dxa"/>
              <w:bottom w:w="102" w:type="dxa"/>
              <w:right w:w="62" w:type="dxa"/>
            </w:tcMar>
          </w:tcPr>
          <w:p w14:paraId="01AAFC41" w14:textId="77777777" w:rsidR="000D7C1E" w:rsidRPr="00C91953" w:rsidRDefault="000D7C1E" w:rsidP="00473E76">
            <w:pPr>
              <w:pStyle w:val="Standard"/>
              <w:widowControl w:val="0"/>
              <w:autoSpaceDE w:val="0"/>
              <w:rPr>
                <w:sz w:val="20"/>
                <w:szCs w:val="20"/>
                <w:highlight w:val="yellow"/>
              </w:rPr>
            </w:pPr>
            <w:r w:rsidRPr="0078252D">
              <w:rPr>
                <w:sz w:val="20"/>
                <w:szCs w:val="20"/>
              </w:rPr>
              <w:t xml:space="preserve">Не учитывался, так как применяется при оценке </w:t>
            </w:r>
            <w:r>
              <w:rPr>
                <w:sz w:val="20"/>
                <w:szCs w:val="20"/>
              </w:rPr>
              <w:t>земель сельскохозяйственного назначения</w:t>
            </w:r>
            <w:r w:rsidRPr="0078252D">
              <w:rPr>
                <w:sz w:val="20"/>
                <w:szCs w:val="20"/>
              </w:rPr>
              <w:t>.</w:t>
            </w:r>
          </w:p>
        </w:tc>
      </w:tr>
      <w:tr w:rsidR="000D7C1E" w:rsidRPr="0078252D" w14:paraId="21E91079" w14:textId="77777777" w:rsidTr="00473E76">
        <w:trPr>
          <w:trHeight w:val="20"/>
        </w:trPr>
        <w:tc>
          <w:tcPr>
            <w:tcW w:w="501" w:type="dxa"/>
            <w:tcBorders>
              <w:top w:val="single" w:sz="4" w:space="0" w:color="000000"/>
              <w:left w:val="single" w:sz="4" w:space="0" w:color="000000"/>
              <w:bottom w:val="single" w:sz="4" w:space="0" w:color="000000"/>
            </w:tcBorders>
            <w:tcMar>
              <w:top w:w="102" w:type="dxa"/>
              <w:left w:w="62" w:type="dxa"/>
              <w:bottom w:w="102" w:type="dxa"/>
              <w:right w:w="62" w:type="dxa"/>
            </w:tcMar>
          </w:tcPr>
          <w:p w14:paraId="53918C53" w14:textId="77777777" w:rsidR="000D7C1E" w:rsidRPr="0078252D" w:rsidRDefault="000D7C1E" w:rsidP="00473E76">
            <w:pPr>
              <w:pStyle w:val="Standard"/>
              <w:widowControl w:val="0"/>
              <w:autoSpaceDE w:val="0"/>
              <w:jc w:val="center"/>
              <w:rPr>
                <w:sz w:val="20"/>
                <w:szCs w:val="20"/>
              </w:rPr>
            </w:pPr>
            <w:r w:rsidRPr="0078252D">
              <w:rPr>
                <w:sz w:val="20"/>
                <w:szCs w:val="20"/>
              </w:rPr>
              <w:t>18</w:t>
            </w:r>
          </w:p>
        </w:tc>
        <w:tc>
          <w:tcPr>
            <w:tcW w:w="2096" w:type="dxa"/>
            <w:tcBorders>
              <w:top w:val="single" w:sz="4" w:space="0" w:color="000000"/>
              <w:left w:val="single" w:sz="4" w:space="0" w:color="000000"/>
              <w:bottom w:val="single" w:sz="4" w:space="0" w:color="000000"/>
            </w:tcBorders>
            <w:tcMar>
              <w:top w:w="102" w:type="dxa"/>
              <w:left w:w="62" w:type="dxa"/>
              <w:bottom w:w="102" w:type="dxa"/>
              <w:right w:w="62" w:type="dxa"/>
            </w:tcMar>
          </w:tcPr>
          <w:p w14:paraId="11C13C66" w14:textId="77777777" w:rsidR="000D7C1E" w:rsidRPr="0078252D" w:rsidRDefault="000D7C1E" w:rsidP="00473E76">
            <w:pPr>
              <w:pStyle w:val="Standard"/>
              <w:widowControl w:val="0"/>
              <w:autoSpaceDE w:val="0"/>
              <w:rPr>
                <w:sz w:val="20"/>
                <w:szCs w:val="20"/>
              </w:rPr>
            </w:pPr>
            <w:r w:rsidRPr="0078252D">
              <w:rPr>
                <w:sz w:val="20"/>
                <w:szCs w:val="20"/>
              </w:rPr>
              <w:t>Пестрота почвенного покрова</w:t>
            </w:r>
          </w:p>
        </w:tc>
        <w:tc>
          <w:tcPr>
            <w:tcW w:w="1509" w:type="dxa"/>
            <w:tcBorders>
              <w:top w:val="single" w:sz="4" w:space="0" w:color="000000"/>
              <w:left w:val="single" w:sz="4" w:space="0" w:color="000000"/>
              <w:bottom w:val="single" w:sz="4" w:space="0" w:color="000000"/>
            </w:tcBorders>
            <w:tcMar>
              <w:top w:w="102" w:type="dxa"/>
              <w:left w:w="62" w:type="dxa"/>
              <w:bottom w:w="102" w:type="dxa"/>
              <w:right w:w="62" w:type="dxa"/>
            </w:tcMar>
          </w:tcPr>
          <w:p w14:paraId="3D36CC47" w14:textId="77777777" w:rsidR="000D7C1E" w:rsidRPr="0078252D" w:rsidRDefault="000D7C1E" w:rsidP="00473E76">
            <w:pPr>
              <w:pStyle w:val="Standard"/>
              <w:widowControl w:val="0"/>
              <w:autoSpaceDE w:val="0"/>
              <w:jc w:val="center"/>
              <w:rPr>
                <w:sz w:val="20"/>
                <w:szCs w:val="20"/>
              </w:rPr>
            </w:pPr>
            <w:r w:rsidRPr="0078252D">
              <w:rPr>
                <w:sz w:val="20"/>
                <w:szCs w:val="20"/>
              </w:rPr>
              <w:t>-</w:t>
            </w:r>
          </w:p>
        </w:tc>
        <w:tc>
          <w:tcPr>
            <w:tcW w:w="1285" w:type="dxa"/>
            <w:tcBorders>
              <w:top w:val="single" w:sz="4" w:space="0" w:color="000000"/>
              <w:left w:val="single" w:sz="4" w:space="0" w:color="000000"/>
              <w:bottom w:val="single" w:sz="4" w:space="0" w:color="000000"/>
            </w:tcBorders>
            <w:tcMar>
              <w:top w:w="102" w:type="dxa"/>
              <w:left w:w="62" w:type="dxa"/>
              <w:bottom w:w="102" w:type="dxa"/>
              <w:right w:w="62" w:type="dxa"/>
            </w:tcMar>
          </w:tcPr>
          <w:p w14:paraId="7A47949C" w14:textId="77777777" w:rsidR="000D7C1E" w:rsidRPr="005E02CB" w:rsidRDefault="000D7C1E" w:rsidP="00473E76">
            <w:r w:rsidRPr="005E02CB">
              <w:rPr>
                <w:sz w:val="20"/>
                <w:szCs w:val="20"/>
              </w:rPr>
              <w:t>не применялся</w:t>
            </w:r>
          </w:p>
        </w:tc>
        <w:tc>
          <w:tcPr>
            <w:tcW w:w="3960" w:type="dxa"/>
            <w:tcBorders>
              <w:top w:val="single" w:sz="4" w:space="0" w:color="000000"/>
              <w:left w:val="single" w:sz="4" w:space="0" w:color="000000"/>
              <w:bottom w:val="single" w:sz="4" w:space="0" w:color="000000"/>
              <w:right w:val="single" w:sz="4" w:space="0" w:color="000000"/>
            </w:tcBorders>
            <w:tcMar>
              <w:top w:w="102" w:type="dxa"/>
              <w:left w:w="62" w:type="dxa"/>
              <w:bottom w:w="102" w:type="dxa"/>
              <w:right w:w="62" w:type="dxa"/>
            </w:tcMar>
          </w:tcPr>
          <w:p w14:paraId="271D1631" w14:textId="77777777" w:rsidR="000D7C1E" w:rsidRPr="00C91953" w:rsidRDefault="000D7C1E" w:rsidP="00473E76">
            <w:pPr>
              <w:pStyle w:val="Standard"/>
              <w:widowControl w:val="0"/>
              <w:autoSpaceDE w:val="0"/>
              <w:rPr>
                <w:sz w:val="20"/>
                <w:szCs w:val="20"/>
                <w:highlight w:val="yellow"/>
              </w:rPr>
            </w:pPr>
            <w:r w:rsidRPr="0078252D">
              <w:rPr>
                <w:sz w:val="20"/>
                <w:szCs w:val="20"/>
              </w:rPr>
              <w:t xml:space="preserve">Не учитывался, так как применяется при оценке </w:t>
            </w:r>
            <w:r>
              <w:rPr>
                <w:sz w:val="20"/>
                <w:szCs w:val="20"/>
              </w:rPr>
              <w:t>земель сельскохозяйственного назначения</w:t>
            </w:r>
            <w:r w:rsidRPr="0078252D">
              <w:rPr>
                <w:sz w:val="20"/>
                <w:szCs w:val="20"/>
              </w:rPr>
              <w:t>.</w:t>
            </w:r>
          </w:p>
        </w:tc>
      </w:tr>
      <w:tr w:rsidR="000D7C1E" w:rsidRPr="0078252D" w14:paraId="60C9AF02" w14:textId="77777777" w:rsidTr="00473E76">
        <w:trPr>
          <w:trHeight w:val="20"/>
        </w:trPr>
        <w:tc>
          <w:tcPr>
            <w:tcW w:w="501" w:type="dxa"/>
            <w:tcBorders>
              <w:top w:val="single" w:sz="4" w:space="0" w:color="000000"/>
              <w:left w:val="single" w:sz="4" w:space="0" w:color="000000"/>
              <w:bottom w:val="single" w:sz="4" w:space="0" w:color="000000"/>
            </w:tcBorders>
            <w:tcMar>
              <w:top w:w="102" w:type="dxa"/>
              <w:left w:w="62" w:type="dxa"/>
              <w:bottom w:w="102" w:type="dxa"/>
              <w:right w:w="62" w:type="dxa"/>
            </w:tcMar>
            <w:vAlign w:val="center"/>
          </w:tcPr>
          <w:p w14:paraId="0529AE0E" w14:textId="77777777" w:rsidR="000D7C1E" w:rsidRPr="0078252D" w:rsidRDefault="000D7C1E" w:rsidP="00473E76">
            <w:pPr>
              <w:pStyle w:val="Standard"/>
              <w:widowControl w:val="0"/>
              <w:autoSpaceDE w:val="0"/>
              <w:jc w:val="center"/>
              <w:rPr>
                <w:sz w:val="20"/>
                <w:szCs w:val="20"/>
              </w:rPr>
            </w:pPr>
            <w:r w:rsidRPr="0078252D">
              <w:rPr>
                <w:sz w:val="20"/>
                <w:szCs w:val="20"/>
              </w:rPr>
              <w:t>19</w:t>
            </w:r>
          </w:p>
        </w:tc>
        <w:tc>
          <w:tcPr>
            <w:tcW w:w="2096" w:type="dxa"/>
            <w:tcBorders>
              <w:top w:val="single" w:sz="4" w:space="0" w:color="000000"/>
              <w:left w:val="single" w:sz="4" w:space="0" w:color="000000"/>
              <w:bottom w:val="single" w:sz="4" w:space="0" w:color="000000"/>
            </w:tcBorders>
            <w:tcMar>
              <w:top w:w="102" w:type="dxa"/>
              <w:left w:w="62" w:type="dxa"/>
              <w:bottom w:w="102" w:type="dxa"/>
              <w:right w:w="62" w:type="dxa"/>
            </w:tcMar>
          </w:tcPr>
          <w:p w14:paraId="2B06F620" w14:textId="77777777" w:rsidR="000D7C1E" w:rsidRPr="0078252D" w:rsidRDefault="000D7C1E" w:rsidP="00473E76">
            <w:pPr>
              <w:pStyle w:val="Standard"/>
              <w:widowControl w:val="0"/>
              <w:autoSpaceDE w:val="0"/>
              <w:rPr>
                <w:sz w:val="20"/>
                <w:szCs w:val="20"/>
              </w:rPr>
            </w:pPr>
            <w:r w:rsidRPr="0078252D">
              <w:rPr>
                <w:sz w:val="20"/>
                <w:szCs w:val="20"/>
              </w:rPr>
              <w:t>Удаленность от рынков сбыта</w:t>
            </w:r>
          </w:p>
        </w:tc>
        <w:tc>
          <w:tcPr>
            <w:tcW w:w="1509" w:type="dxa"/>
            <w:tcBorders>
              <w:top w:val="single" w:sz="4" w:space="0" w:color="000000"/>
              <w:left w:val="single" w:sz="4" w:space="0" w:color="000000"/>
              <w:bottom w:val="single" w:sz="4" w:space="0" w:color="000000"/>
            </w:tcBorders>
            <w:tcMar>
              <w:top w:w="102" w:type="dxa"/>
              <w:left w:w="62" w:type="dxa"/>
              <w:bottom w:w="102" w:type="dxa"/>
              <w:right w:w="62" w:type="dxa"/>
            </w:tcMar>
          </w:tcPr>
          <w:p w14:paraId="451CF574" w14:textId="77777777" w:rsidR="000D7C1E" w:rsidRPr="0078252D" w:rsidRDefault="000D7C1E" w:rsidP="00473E76">
            <w:pPr>
              <w:pStyle w:val="Standard"/>
              <w:widowControl w:val="0"/>
              <w:autoSpaceDE w:val="0"/>
              <w:jc w:val="center"/>
              <w:rPr>
                <w:sz w:val="20"/>
                <w:szCs w:val="20"/>
              </w:rPr>
            </w:pPr>
            <w:r w:rsidRPr="0078252D">
              <w:rPr>
                <w:sz w:val="20"/>
                <w:szCs w:val="20"/>
              </w:rPr>
              <w:t>км</w:t>
            </w:r>
          </w:p>
        </w:tc>
        <w:tc>
          <w:tcPr>
            <w:tcW w:w="1285" w:type="dxa"/>
            <w:tcBorders>
              <w:top w:val="single" w:sz="4" w:space="0" w:color="000000"/>
              <w:left w:val="single" w:sz="4" w:space="0" w:color="000000"/>
              <w:bottom w:val="single" w:sz="4" w:space="0" w:color="000000"/>
            </w:tcBorders>
            <w:tcMar>
              <w:top w:w="102" w:type="dxa"/>
              <w:left w:w="62" w:type="dxa"/>
              <w:bottom w:w="102" w:type="dxa"/>
              <w:right w:w="62" w:type="dxa"/>
            </w:tcMar>
          </w:tcPr>
          <w:p w14:paraId="03013617" w14:textId="77777777" w:rsidR="000D7C1E" w:rsidRPr="005E02CB" w:rsidRDefault="000D7C1E" w:rsidP="00473E76">
            <w:r w:rsidRPr="005E02CB">
              <w:rPr>
                <w:sz w:val="20"/>
                <w:szCs w:val="20"/>
              </w:rPr>
              <w:t>не применялся</w:t>
            </w:r>
          </w:p>
        </w:tc>
        <w:tc>
          <w:tcPr>
            <w:tcW w:w="3960" w:type="dxa"/>
            <w:tcBorders>
              <w:top w:val="single" w:sz="4" w:space="0" w:color="000000"/>
              <w:left w:val="single" w:sz="4" w:space="0" w:color="000000"/>
              <w:bottom w:val="single" w:sz="4" w:space="0" w:color="000000"/>
              <w:right w:val="single" w:sz="4" w:space="0" w:color="000000"/>
            </w:tcBorders>
            <w:tcMar>
              <w:top w:w="102" w:type="dxa"/>
              <w:left w:w="62" w:type="dxa"/>
              <w:bottom w:w="102" w:type="dxa"/>
              <w:right w:w="62" w:type="dxa"/>
            </w:tcMar>
          </w:tcPr>
          <w:p w14:paraId="6084C6C0" w14:textId="77777777" w:rsidR="000D7C1E" w:rsidRPr="00C91953" w:rsidRDefault="000D7C1E" w:rsidP="00473E76">
            <w:pPr>
              <w:pStyle w:val="Standard"/>
              <w:widowControl w:val="0"/>
              <w:autoSpaceDE w:val="0"/>
              <w:rPr>
                <w:sz w:val="20"/>
                <w:szCs w:val="20"/>
                <w:highlight w:val="yellow"/>
              </w:rPr>
            </w:pPr>
            <w:r w:rsidRPr="0078252D">
              <w:rPr>
                <w:sz w:val="20"/>
                <w:szCs w:val="20"/>
              </w:rPr>
              <w:t xml:space="preserve">Не учитывался, так как применяется при оценке </w:t>
            </w:r>
            <w:r>
              <w:rPr>
                <w:sz w:val="20"/>
                <w:szCs w:val="20"/>
              </w:rPr>
              <w:t>земель сельскохозяйственного назначения</w:t>
            </w:r>
            <w:r w:rsidRPr="0078252D">
              <w:rPr>
                <w:sz w:val="20"/>
                <w:szCs w:val="20"/>
              </w:rPr>
              <w:t>.</w:t>
            </w:r>
          </w:p>
        </w:tc>
      </w:tr>
      <w:tr w:rsidR="000D7C1E" w:rsidRPr="0078252D" w14:paraId="5A6526F7" w14:textId="77777777" w:rsidTr="00473E76">
        <w:trPr>
          <w:trHeight w:val="20"/>
        </w:trPr>
        <w:tc>
          <w:tcPr>
            <w:tcW w:w="9351" w:type="dxa"/>
            <w:gridSpan w:val="5"/>
            <w:tcBorders>
              <w:top w:val="single" w:sz="4" w:space="0" w:color="000000"/>
              <w:left w:val="single" w:sz="4" w:space="0" w:color="000000"/>
              <w:bottom w:val="single" w:sz="4" w:space="0" w:color="000000"/>
              <w:right w:val="single" w:sz="4" w:space="0" w:color="000000"/>
            </w:tcBorders>
            <w:tcMar>
              <w:top w:w="102" w:type="dxa"/>
              <w:left w:w="62" w:type="dxa"/>
              <w:bottom w:w="102" w:type="dxa"/>
              <w:right w:w="62" w:type="dxa"/>
            </w:tcMar>
            <w:vAlign w:val="center"/>
          </w:tcPr>
          <w:p w14:paraId="344BC8DA" w14:textId="77777777" w:rsidR="000D7C1E" w:rsidRPr="0078252D" w:rsidRDefault="000D7C1E" w:rsidP="00473E76">
            <w:pPr>
              <w:pStyle w:val="afff"/>
              <w:spacing w:before="0" w:beforeAutospacing="0"/>
              <w:ind w:firstLine="0"/>
              <w:jc w:val="center"/>
              <w:rPr>
                <w:sz w:val="20"/>
                <w:szCs w:val="20"/>
              </w:rPr>
            </w:pPr>
            <w:r w:rsidRPr="0078252D">
              <w:rPr>
                <w:sz w:val="20"/>
                <w:szCs w:val="20"/>
              </w:rPr>
              <w:t>ОКС: Общие сведения</w:t>
            </w:r>
          </w:p>
        </w:tc>
      </w:tr>
      <w:tr w:rsidR="000D7C1E" w:rsidRPr="0078252D" w14:paraId="5467F19D" w14:textId="77777777" w:rsidTr="00473E76">
        <w:trPr>
          <w:trHeight w:val="20"/>
        </w:trPr>
        <w:tc>
          <w:tcPr>
            <w:tcW w:w="501" w:type="dxa"/>
            <w:tcBorders>
              <w:top w:val="single" w:sz="4" w:space="0" w:color="000000"/>
              <w:left w:val="single" w:sz="4" w:space="0" w:color="000000"/>
              <w:bottom w:val="single" w:sz="4" w:space="0" w:color="000000"/>
            </w:tcBorders>
            <w:tcMar>
              <w:top w:w="102" w:type="dxa"/>
              <w:left w:w="62" w:type="dxa"/>
              <w:bottom w:w="102" w:type="dxa"/>
              <w:right w:w="62" w:type="dxa"/>
            </w:tcMar>
            <w:vAlign w:val="center"/>
          </w:tcPr>
          <w:p w14:paraId="7594AE6A" w14:textId="77777777" w:rsidR="000D7C1E" w:rsidRPr="0078252D" w:rsidRDefault="000D7C1E" w:rsidP="00473E76">
            <w:pPr>
              <w:pStyle w:val="Standard"/>
              <w:widowControl w:val="0"/>
              <w:autoSpaceDE w:val="0"/>
              <w:jc w:val="center"/>
              <w:rPr>
                <w:sz w:val="20"/>
                <w:szCs w:val="20"/>
              </w:rPr>
            </w:pPr>
            <w:r w:rsidRPr="0078252D">
              <w:rPr>
                <w:sz w:val="20"/>
                <w:szCs w:val="20"/>
              </w:rPr>
              <w:t>20</w:t>
            </w:r>
          </w:p>
        </w:tc>
        <w:tc>
          <w:tcPr>
            <w:tcW w:w="2096" w:type="dxa"/>
            <w:tcBorders>
              <w:top w:val="single" w:sz="4" w:space="0" w:color="000000"/>
              <w:left w:val="single" w:sz="4" w:space="0" w:color="000000"/>
              <w:bottom w:val="single" w:sz="4" w:space="0" w:color="000000"/>
            </w:tcBorders>
            <w:tcMar>
              <w:top w:w="102" w:type="dxa"/>
              <w:left w:w="62" w:type="dxa"/>
              <w:bottom w:w="102" w:type="dxa"/>
              <w:right w:w="62" w:type="dxa"/>
            </w:tcMar>
          </w:tcPr>
          <w:p w14:paraId="63F40CCB" w14:textId="77777777" w:rsidR="000D7C1E" w:rsidRPr="0078252D" w:rsidRDefault="000D7C1E" w:rsidP="00473E76">
            <w:pPr>
              <w:pStyle w:val="Standard"/>
              <w:widowControl w:val="0"/>
              <w:autoSpaceDE w:val="0"/>
              <w:rPr>
                <w:sz w:val="20"/>
                <w:szCs w:val="20"/>
              </w:rPr>
            </w:pPr>
            <w:r w:rsidRPr="0078252D">
              <w:rPr>
                <w:sz w:val="20"/>
                <w:szCs w:val="20"/>
              </w:rPr>
              <w:t>Вид разрешенного использования</w:t>
            </w:r>
          </w:p>
        </w:tc>
        <w:tc>
          <w:tcPr>
            <w:tcW w:w="1509" w:type="dxa"/>
            <w:tcBorders>
              <w:top w:val="single" w:sz="4" w:space="0" w:color="000000"/>
              <w:left w:val="single" w:sz="4" w:space="0" w:color="000000"/>
              <w:bottom w:val="single" w:sz="4" w:space="0" w:color="000000"/>
            </w:tcBorders>
            <w:tcMar>
              <w:top w:w="102" w:type="dxa"/>
              <w:left w:w="62" w:type="dxa"/>
              <w:bottom w:w="102" w:type="dxa"/>
              <w:right w:w="62" w:type="dxa"/>
            </w:tcMar>
          </w:tcPr>
          <w:p w14:paraId="249BC45B" w14:textId="77777777" w:rsidR="000D7C1E" w:rsidRPr="0078252D" w:rsidRDefault="000D7C1E" w:rsidP="00473E76">
            <w:pPr>
              <w:pStyle w:val="Standard"/>
              <w:widowControl w:val="0"/>
              <w:autoSpaceDE w:val="0"/>
              <w:snapToGrid w:val="0"/>
              <w:jc w:val="center"/>
              <w:rPr>
                <w:sz w:val="20"/>
                <w:szCs w:val="20"/>
              </w:rPr>
            </w:pPr>
          </w:p>
        </w:tc>
        <w:tc>
          <w:tcPr>
            <w:tcW w:w="1285" w:type="dxa"/>
            <w:tcBorders>
              <w:top w:val="single" w:sz="4" w:space="0" w:color="000000"/>
              <w:left w:val="single" w:sz="4" w:space="0" w:color="000000"/>
              <w:bottom w:val="single" w:sz="4" w:space="0" w:color="000000"/>
            </w:tcBorders>
            <w:tcMar>
              <w:top w:w="102" w:type="dxa"/>
              <w:left w:w="62" w:type="dxa"/>
              <w:bottom w:w="102" w:type="dxa"/>
              <w:right w:w="62" w:type="dxa"/>
            </w:tcMar>
            <w:vAlign w:val="center"/>
          </w:tcPr>
          <w:p w14:paraId="06C88D29" w14:textId="77777777" w:rsidR="000D7C1E" w:rsidRPr="00E74680" w:rsidRDefault="000D7C1E" w:rsidP="00473E76">
            <w:pPr>
              <w:ind w:firstLine="0"/>
              <w:jc w:val="center"/>
              <w:rPr>
                <w:rFonts w:eastAsia="Times New Roman" w:cs="Times New Roman"/>
                <w:color w:val="000000"/>
                <w:sz w:val="20"/>
                <w:szCs w:val="20"/>
                <w:lang w:eastAsia="ru-RU"/>
              </w:rPr>
            </w:pPr>
            <w:r w:rsidRPr="00E74680">
              <w:rPr>
                <w:rFonts w:eastAsia="Times New Roman" w:cs="Times New Roman"/>
                <w:color w:val="000000"/>
                <w:sz w:val="20"/>
                <w:szCs w:val="20"/>
                <w:lang w:eastAsia="ru-RU"/>
              </w:rPr>
              <w:t>Использован</w:t>
            </w:r>
          </w:p>
        </w:tc>
        <w:tc>
          <w:tcPr>
            <w:tcW w:w="3960" w:type="dxa"/>
            <w:tcBorders>
              <w:top w:val="single" w:sz="4" w:space="0" w:color="000000"/>
              <w:left w:val="single" w:sz="4" w:space="0" w:color="000000"/>
              <w:bottom w:val="single" w:sz="4" w:space="0" w:color="000000"/>
              <w:right w:val="single" w:sz="4" w:space="0" w:color="000000"/>
            </w:tcBorders>
            <w:tcMar>
              <w:top w:w="102" w:type="dxa"/>
              <w:left w:w="62" w:type="dxa"/>
              <w:bottom w:w="102" w:type="dxa"/>
              <w:right w:w="62" w:type="dxa"/>
            </w:tcMar>
            <w:vAlign w:val="center"/>
          </w:tcPr>
          <w:p w14:paraId="56DC16EA" w14:textId="77777777" w:rsidR="000D7C1E" w:rsidRPr="00E74680" w:rsidRDefault="000D7C1E" w:rsidP="00473E76">
            <w:pPr>
              <w:ind w:firstLine="0"/>
              <w:rPr>
                <w:rFonts w:eastAsia="Times New Roman" w:cs="Times New Roman"/>
                <w:color w:val="000000"/>
                <w:sz w:val="20"/>
                <w:szCs w:val="20"/>
                <w:lang w:eastAsia="ru-RU"/>
              </w:rPr>
            </w:pPr>
            <w:r w:rsidRPr="00E74680">
              <w:rPr>
                <w:rFonts w:eastAsia="Times New Roman" w:cs="Times New Roman"/>
                <w:color w:val="000000"/>
                <w:sz w:val="20"/>
                <w:szCs w:val="20"/>
                <w:lang w:eastAsia="ru-RU"/>
              </w:rPr>
              <w:t>Данный фактор оказывает значительное влияние на формирование стоимости объектов капитального строительства. Используется для группировки объектов капитального строительства.</w:t>
            </w:r>
          </w:p>
        </w:tc>
      </w:tr>
      <w:tr w:rsidR="000D7C1E" w:rsidRPr="0078252D" w14:paraId="7C61E781" w14:textId="77777777" w:rsidTr="00473E76">
        <w:trPr>
          <w:trHeight w:val="20"/>
        </w:trPr>
        <w:tc>
          <w:tcPr>
            <w:tcW w:w="501" w:type="dxa"/>
            <w:tcBorders>
              <w:top w:val="single" w:sz="4" w:space="0" w:color="000000"/>
              <w:left w:val="single" w:sz="4" w:space="0" w:color="000000"/>
              <w:bottom w:val="single" w:sz="4" w:space="0" w:color="000000"/>
            </w:tcBorders>
            <w:tcMar>
              <w:top w:w="102" w:type="dxa"/>
              <w:left w:w="62" w:type="dxa"/>
              <w:bottom w:w="102" w:type="dxa"/>
              <w:right w:w="62" w:type="dxa"/>
            </w:tcMar>
            <w:vAlign w:val="center"/>
          </w:tcPr>
          <w:p w14:paraId="32ACEF60" w14:textId="77777777" w:rsidR="000D7C1E" w:rsidRPr="0078252D" w:rsidRDefault="000D7C1E" w:rsidP="00473E76">
            <w:pPr>
              <w:pStyle w:val="Standard"/>
              <w:widowControl w:val="0"/>
              <w:autoSpaceDE w:val="0"/>
              <w:jc w:val="center"/>
              <w:rPr>
                <w:sz w:val="20"/>
                <w:szCs w:val="20"/>
              </w:rPr>
            </w:pPr>
            <w:r w:rsidRPr="0078252D">
              <w:rPr>
                <w:sz w:val="20"/>
                <w:szCs w:val="20"/>
              </w:rPr>
              <w:t>21</w:t>
            </w:r>
          </w:p>
        </w:tc>
        <w:tc>
          <w:tcPr>
            <w:tcW w:w="2096" w:type="dxa"/>
            <w:tcBorders>
              <w:top w:val="single" w:sz="4" w:space="0" w:color="000000"/>
              <w:left w:val="single" w:sz="4" w:space="0" w:color="000000"/>
              <w:bottom w:val="single" w:sz="4" w:space="0" w:color="000000"/>
            </w:tcBorders>
            <w:tcMar>
              <w:top w:w="102" w:type="dxa"/>
              <w:left w:w="62" w:type="dxa"/>
              <w:bottom w:w="102" w:type="dxa"/>
              <w:right w:w="62" w:type="dxa"/>
            </w:tcMar>
          </w:tcPr>
          <w:p w14:paraId="2F67F976" w14:textId="77777777" w:rsidR="000D7C1E" w:rsidRPr="0078252D" w:rsidRDefault="000D7C1E" w:rsidP="00473E76">
            <w:pPr>
              <w:pStyle w:val="Standard"/>
              <w:widowControl w:val="0"/>
              <w:autoSpaceDE w:val="0"/>
              <w:rPr>
                <w:sz w:val="20"/>
                <w:szCs w:val="20"/>
              </w:rPr>
            </w:pPr>
            <w:r w:rsidRPr="0078252D">
              <w:rPr>
                <w:sz w:val="20"/>
                <w:szCs w:val="20"/>
              </w:rPr>
              <w:t>Назначение</w:t>
            </w:r>
          </w:p>
        </w:tc>
        <w:tc>
          <w:tcPr>
            <w:tcW w:w="1509" w:type="dxa"/>
            <w:tcBorders>
              <w:top w:val="single" w:sz="4" w:space="0" w:color="000000"/>
              <w:left w:val="single" w:sz="4" w:space="0" w:color="000000"/>
              <w:bottom w:val="single" w:sz="4" w:space="0" w:color="000000"/>
            </w:tcBorders>
            <w:tcMar>
              <w:top w:w="102" w:type="dxa"/>
              <w:left w:w="62" w:type="dxa"/>
              <w:bottom w:w="102" w:type="dxa"/>
              <w:right w:w="62" w:type="dxa"/>
            </w:tcMar>
          </w:tcPr>
          <w:p w14:paraId="42D9F790" w14:textId="77777777" w:rsidR="000D7C1E" w:rsidRPr="0078252D" w:rsidRDefault="000D7C1E" w:rsidP="00473E76">
            <w:pPr>
              <w:pStyle w:val="Standard"/>
              <w:widowControl w:val="0"/>
              <w:autoSpaceDE w:val="0"/>
              <w:snapToGrid w:val="0"/>
              <w:jc w:val="center"/>
              <w:rPr>
                <w:sz w:val="20"/>
                <w:szCs w:val="20"/>
              </w:rPr>
            </w:pPr>
          </w:p>
        </w:tc>
        <w:tc>
          <w:tcPr>
            <w:tcW w:w="1285" w:type="dxa"/>
            <w:tcBorders>
              <w:top w:val="single" w:sz="4" w:space="0" w:color="000000"/>
              <w:left w:val="single" w:sz="4" w:space="0" w:color="000000"/>
              <w:bottom w:val="single" w:sz="4" w:space="0" w:color="000000"/>
            </w:tcBorders>
            <w:tcMar>
              <w:top w:w="102" w:type="dxa"/>
              <w:left w:w="62" w:type="dxa"/>
              <w:bottom w:w="102" w:type="dxa"/>
              <w:right w:w="62" w:type="dxa"/>
            </w:tcMar>
            <w:vAlign w:val="center"/>
          </w:tcPr>
          <w:p w14:paraId="3EFB2508" w14:textId="77777777" w:rsidR="000D7C1E" w:rsidRPr="00E74680" w:rsidRDefault="000D7C1E" w:rsidP="00473E76">
            <w:pPr>
              <w:ind w:firstLine="0"/>
              <w:jc w:val="center"/>
              <w:rPr>
                <w:rFonts w:eastAsia="Times New Roman" w:cs="Times New Roman"/>
                <w:color w:val="000000"/>
                <w:sz w:val="20"/>
                <w:szCs w:val="20"/>
                <w:lang w:eastAsia="ru-RU"/>
              </w:rPr>
            </w:pPr>
            <w:r w:rsidRPr="00E74680">
              <w:rPr>
                <w:rFonts w:eastAsia="Times New Roman" w:cs="Times New Roman"/>
                <w:color w:val="000000"/>
                <w:sz w:val="20"/>
                <w:szCs w:val="20"/>
                <w:lang w:eastAsia="ru-RU"/>
              </w:rPr>
              <w:t>Использован</w:t>
            </w:r>
          </w:p>
        </w:tc>
        <w:tc>
          <w:tcPr>
            <w:tcW w:w="3960" w:type="dxa"/>
            <w:tcBorders>
              <w:top w:val="single" w:sz="4" w:space="0" w:color="000000"/>
              <w:left w:val="single" w:sz="4" w:space="0" w:color="000000"/>
              <w:bottom w:val="single" w:sz="4" w:space="0" w:color="000000"/>
              <w:right w:val="single" w:sz="4" w:space="0" w:color="000000"/>
            </w:tcBorders>
            <w:tcMar>
              <w:top w:w="102" w:type="dxa"/>
              <w:left w:w="62" w:type="dxa"/>
              <w:bottom w:w="102" w:type="dxa"/>
              <w:right w:w="62" w:type="dxa"/>
            </w:tcMar>
            <w:vAlign w:val="center"/>
          </w:tcPr>
          <w:p w14:paraId="43C875F4" w14:textId="77777777" w:rsidR="000D7C1E" w:rsidRPr="00E74680" w:rsidRDefault="000D7C1E" w:rsidP="00473E76">
            <w:pPr>
              <w:ind w:firstLine="0"/>
              <w:rPr>
                <w:rFonts w:eastAsia="Times New Roman" w:cs="Times New Roman"/>
                <w:color w:val="000000"/>
                <w:sz w:val="20"/>
                <w:szCs w:val="20"/>
                <w:lang w:eastAsia="ru-RU"/>
              </w:rPr>
            </w:pPr>
            <w:r w:rsidRPr="00E74680">
              <w:rPr>
                <w:rFonts w:eastAsia="Times New Roman" w:cs="Times New Roman"/>
                <w:color w:val="000000"/>
                <w:sz w:val="20"/>
                <w:szCs w:val="20"/>
                <w:lang w:eastAsia="ru-RU"/>
              </w:rPr>
              <w:t>Данный фактор оказывает значительное влияние на формирование стоимости объектов капитального строительства. Используется для группировки объектов капитального строительства.</w:t>
            </w:r>
          </w:p>
        </w:tc>
      </w:tr>
      <w:tr w:rsidR="000D7C1E" w:rsidRPr="0078252D" w14:paraId="46F5E650" w14:textId="77777777" w:rsidTr="00473E76">
        <w:trPr>
          <w:trHeight w:val="20"/>
        </w:trPr>
        <w:tc>
          <w:tcPr>
            <w:tcW w:w="501" w:type="dxa"/>
            <w:tcBorders>
              <w:top w:val="single" w:sz="4" w:space="0" w:color="000000"/>
              <w:left w:val="single" w:sz="4" w:space="0" w:color="000000"/>
              <w:bottom w:val="single" w:sz="4" w:space="0" w:color="000000"/>
            </w:tcBorders>
            <w:tcMar>
              <w:top w:w="102" w:type="dxa"/>
              <w:left w:w="62" w:type="dxa"/>
              <w:bottom w:w="102" w:type="dxa"/>
              <w:right w:w="62" w:type="dxa"/>
            </w:tcMar>
            <w:vAlign w:val="center"/>
          </w:tcPr>
          <w:p w14:paraId="52FB4635" w14:textId="77777777" w:rsidR="000D7C1E" w:rsidRPr="0078252D" w:rsidRDefault="000D7C1E" w:rsidP="00473E76">
            <w:pPr>
              <w:pStyle w:val="Standard"/>
              <w:widowControl w:val="0"/>
              <w:autoSpaceDE w:val="0"/>
              <w:jc w:val="center"/>
              <w:rPr>
                <w:sz w:val="20"/>
                <w:szCs w:val="20"/>
              </w:rPr>
            </w:pPr>
            <w:r w:rsidRPr="0078252D">
              <w:rPr>
                <w:sz w:val="20"/>
                <w:szCs w:val="20"/>
              </w:rPr>
              <w:t>22</w:t>
            </w:r>
          </w:p>
        </w:tc>
        <w:tc>
          <w:tcPr>
            <w:tcW w:w="2096" w:type="dxa"/>
            <w:tcBorders>
              <w:top w:val="single" w:sz="4" w:space="0" w:color="000000"/>
              <w:left w:val="single" w:sz="4" w:space="0" w:color="000000"/>
              <w:bottom w:val="single" w:sz="4" w:space="0" w:color="000000"/>
            </w:tcBorders>
            <w:tcMar>
              <w:top w:w="102" w:type="dxa"/>
              <w:left w:w="62" w:type="dxa"/>
              <w:bottom w:w="102" w:type="dxa"/>
              <w:right w:w="62" w:type="dxa"/>
            </w:tcMar>
          </w:tcPr>
          <w:p w14:paraId="0CC15352" w14:textId="77777777" w:rsidR="000D7C1E" w:rsidRPr="0078252D" w:rsidRDefault="000D7C1E" w:rsidP="00473E76">
            <w:pPr>
              <w:pStyle w:val="Standard"/>
              <w:widowControl w:val="0"/>
              <w:autoSpaceDE w:val="0"/>
              <w:rPr>
                <w:sz w:val="20"/>
                <w:szCs w:val="20"/>
              </w:rPr>
            </w:pPr>
            <w:r w:rsidRPr="0078252D">
              <w:rPr>
                <w:sz w:val="20"/>
                <w:szCs w:val="20"/>
              </w:rPr>
              <w:t>Фактическое использование</w:t>
            </w:r>
          </w:p>
        </w:tc>
        <w:tc>
          <w:tcPr>
            <w:tcW w:w="1509" w:type="dxa"/>
            <w:tcBorders>
              <w:top w:val="single" w:sz="4" w:space="0" w:color="000000"/>
              <w:left w:val="single" w:sz="4" w:space="0" w:color="000000"/>
              <w:bottom w:val="single" w:sz="4" w:space="0" w:color="000000"/>
            </w:tcBorders>
            <w:tcMar>
              <w:top w:w="102" w:type="dxa"/>
              <w:left w:w="62" w:type="dxa"/>
              <w:bottom w:w="102" w:type="dxa"/>
              <w:right w:w="62" w:type="dxa"/>
            </w:tcMar>
          </w:tcPr>
          <w:p w14:paraId="6FA63220" w14:textId="77777777" w:rsidR="000D7C1E" w:rsidRPr="0078252D" w:rsidRDefault="000D7C1E" w:rsidP="00473E76">
            <w:pPr>
              <w:pStyle w:val="Standard"/>
              <w:widowControl w:val="0"/>
              <w:autoSpaceDE w:val="0"/>
              <w:jc w:val="center"/>
              <w:rPr>
                <w:sz w:val="20"/>
                <w:szCs w:val="20"/>
              </w:rPr>
            </w:pPr>
            <w:r w:rsidRPr="0078252D">
              <w:rPr>
                <w:sz w:val="20"/>
                <w:szCs w:val="20"/>
              </w:rPr>
              <w:t>-</w:t>
            </w:r>
          </w:p>
        </w:tc>
        <w:tc>
          <w:tcPr>
            <w:tcW w:w="1285" w:type="dxa"/>
            <w:tcBorders>
              <w:top w:val="single" w:sz="4" w:space="0" w:color="000000"/>
              <w:left w:val="single" w:sz="4" w:space="0" w:color="000000"/>
              <w:bottom w:val="single" w:sz="4" w:space="0" w:color="000000"/>
            </w:tcBorders>
            <w:tcMar>
              <w:top w:w="102" w:type="dxa"/>
              <w:left w:w="62" w:type="dxa"/>
              <w:bottom w:w="102" w:type="dxa"/>
              <w:right w:w="62" w:type="dxa"/>
            </w:tcMar>
            <w:vAlign w:val="center"/>
          </w:tcPr>
          <w:p w14:paraId="55DDDE73" w14:textId="77777777" w:rsidR="000D7C1E" w:rsidRPr="00E74680" w:rsidRDefault="000D7C1E" w:rsidP="00473E76">
            <w:pPr>
              <w:ind w:firstLine="0"/>
              <w:jc w:val="center"/>
              <w:rPr>
                <w:rFonts w:eastAsia="Times New Roman" w:cs="Times New Roman"/>
                <w:color w:val="000000"/>
                <w:sz w:val="20"/>
                <w:szCs w:val="20"/>
                <w:lang w:eastAsia="ru-RU"/>
              </w:rPr>
            </w:pPr>
            <w:r w:rsidRPr="00E74680">
              <w:rPr>
                <w:rFonts w:eastAsia="Times New Roman" w:cs="Times New Roman"/>
                <w:color w:val="000000"/>
                <w:sz w:val="20"/>
                <w:szCs w:val="20"/>
                <w:lang w:eastAsia="ru-RU"/>
              </w:rPr>
              <w:t>Использован</w:t>
            </w:r>
          </w:p>
        </w:tc>
        <w:tc>
          <w:tcPr>
            <w:tcW w:w="3960" w:type="dxa"/>
            <w:tcBorders>
              <w:top w:val="single" w:sz="4" w:space="0" w:color="000000"/>
              <w:left w:val="single" w:sz="4" w:space="0" w:color="000000"/>
              <w:bottom w:val="single" w:sz="4" w:space="0" w:color="000000"/>
              <w:right w:val="single" w:sz="4" w:space="0" w:color="000000"/>
            </w:tcBorders>
            <w:tcMar>
              <w:top w:w="102" w:type="dxa"/>
              <w:left w:w="62" w:type="dxa"/>
              <w:bottom w:w="102" w:type="dxa"/>
              <w:right w:w="62" w:type="dxa"/>
            </w:tcMar>
            <w:vAlign w:val="center"/>
          </w:tcPr>
          <w:p w14:paraId="3BABC01D" w14:textId="77777777" w:rsidR="000D7C1E" w:rsidRPr="00E74680" w:rsidRDefault="000D7C1E" w:rsidP="00473E76">
            <w:pPr>
              <w:ind w:firstLine="0"/>
              <w:rPr>
                <w:rFonts w:eastAsia="Times New Roman" w:cs="Times New Roman"/>
                <w:color w:val="000000"/>
                <w:sz w:val="20"/>
                <w:szCs w:val="20"/>
                <w:lang w:eastAsia="ru-RU"/>
              </w:rPr>
            </w:pPr>
            <w:r w:rsidRPr="00E74680">
              <w:rPr>
                <w:rFonts w:eastAsia="Times New Roman" w:cs="Times New Roman"/>
                <w:color w:val="000000"/>
                <w:sz w:val="20"/>
                <w:szCs w:val="20"/>
                <w:lang w:eastAsia="ru-RU"/>
              </w:rPr>
              <w:t xml:space="preserve">Данный фактор оказывает значительное влияние на формирование стоимости объектов капитального строительства. Используется для группировки объектов </w:t>
            </w:r>
          </w:p>
        </w:tc>
      </w:tr>
      <w:tr w:rsidR="000D7C1E" w:rsidRPr="0078252D" w14:paraId="70593EDD" w14:textId="77777777" w:rsidTr="00473E76">
        <w:trPr>
          <w:trHeight w:val="20"/>
        </w:trPr>
        <w:tc>
          <w:tcPr>
            <w:tcW w:w="501" w:type="dxa"/>
            <w:tcBorders>
              <w:top w:val="single" w:sz="4" w:space="0" w:color="000000"/>
              <w:left w:val="single" w:sz="4" w:space="0" w:color="000000"/>
              <w:bottom w:val="single" w:sz="4" w:space="0" w:color="000000"/>
            </w:tcBorders>
            <w:tcMar>
              <w:top w:w="102" w:type="dxa"/>
              <w:left w:w="62" w:type="dxa"/>
              <w:bottom w:w="102" w:type="dxa"/>
              <w:right w:w="62" w:type="dxa"/>
            </w:tcMar>
            <w:vAlign w:val="center"/>
          </w:tcPr>
          <w:p w14:paraId="6291535E" w14:textId="77777777" w:rsidR="000D7C1E" w:rsidRPr="0078252D" w:rsidRDefault="000D7C1E" w:rsidP="00473E76">
            <w:pPr>
              <w:pStyle w:val="Standard"/>
              <w:widowControl w:val="0"/>
              <w:autoSpaceDE w:val="0"/>
              <w:jc w:val="center"/>
              <w:rPr>
                <w:sz w:val="20"/>
                <w:szCs w:val="20"/>
              </w:rPr>
            </w:pPr>
            <w:r w:rsidRPr="0078252D">
              <w:rPr>
                <w:sz w:val="20"/>
                <w:szCs w:val="20"/>
              </w:rPr>
              <w:t>23</w:t>
            </w:r>
          </w:p>
        </w:tc>
        <w:tc>
          <w:tcPr>
            <w:tcW w:w="2096" w:type="dxa"/>
            <w:tcBorders>
              <w:top w:val="single" w:sz="4" w:space="0" w:color="000000"/>
              <w:left w:val="single" w:sz="4" w:space="0" w:color="000000"/>
              <w:bottom w:val="single" w:sz="4" w:space="0" w:color="000000"/>
            </w:tcBorders>
            <w:tcMar>
              <w:top w:w="102" w:type="dxa"/>
              <w:left w:w="62" w:type="dxa"/>
              <w:bottom w:w="102" w:type="dxa"/>
              <w:right w:w="62" w:type="dxa"/>
            </w:tcMar>
          </w:tcPr>
          <w:p w14:paraId="7C3821D9" w14:textId="77777777" w:rsidR="000D7C1E" w:rsidRPr="0078252D" w:rsidRDefault="000D7C1E" w:rsidP="00473E76">
            <w:pPr>
              <w:pStyle w:val="Standard"/>
              <w:widowControl w:val="0"/>
              <w:autoSpaceDE w:val="0"/>
              <w:rPr>
                <w:sz w:val="20"/>
                <w:szCs w:val="20"/>
              </w:rPr>
            </w:pPr>
            <w:r w:rsidRPr="0078252D">
              <w:rPr>
                <w:sz w:val="20"/>
                <w:szCs w:val="20"/>
              </w:rPr>
              <w:t>Площадь, иная характеристика</w:t>
            </w:r>
          </w:p>
        </w:tc>
        <w:tc>
          <w:tcPr>
            <w:tcW w:w="1509" w:type="dxa"/>
            <w:tcBorders>
              <w:top w:val="single" w:sz="4" w:space="0" w:color="000000"/>
              <w:left w:val="single" w:sz="4" w:space="0" w:color="000000"/>
              <w:bottom w:val="single" w:sz="4" w:space="0" w:color="000000"/>
            </w:tcBorders>
            <w:tcMar>
              <w:top w:w="102" w:type="dxa"/>
              <w:left w:w="62" w:type="dxa"/>
              <w:bottom w:w="102" w:type="dxa"/>
              <w:right w:w="62" w:type="dxa"/>
            </w:tcMar>
          </w:tcPr>
          <w:p w14:paraId="107786D5" w14:textId="77777777" w:rsidR="000D7C1E" w:rsidRPr="0078252D" w:rsidRDefault="000D7C1E" w:rsidP="00473E76">
            <w:pPr>
              <w:pStyle w:val="Standard"/>
              <w:widowControl w:val="0"/>
              <w:autoSpaceDE w:val="0"/>
              <w:jc w:val="center"/>
              <w:rPr>
                <w:sz w:val="20"/>
                <w:szCs w:val="20"/>
              </w:rPr>
            </w:pPr>
            <w:r w:rsidRPr="0078252D">
              <w:rPr>
                <w:sz w:val="20"/>
                <w:szCs w:val="20"/>
              </w:rPr>
              <w:t>кв. м</w:t>
            </w:r>
          </w:p>
          <w:p w14:paraId="547C5CBD" w14:textId="77777777" w:rsidR="000D7C1E" w:rsidRPr="0078252D" w:rsidRDefault="000D7C1E" w:rsidP="00473E76">
            <w:pPr>
              <w:pStyle w:val="Standard"/>
              <w:widowControl w:val="0"/>
              <w:autoSpaceDE w:val="0"/>
              <w:jc w:val="center"/>
              <w:rPr>
                <w:sz w:val="20"/>
                <w:szCs w:val="20"/>
              </w:rPr>
            </w:pPr>
            <w:r w:rsidRPr="0078252D">
              <w:rPr>
                <w:sz w:val="20"/>
                <w:szCs w:val="20"/>
              </w:rPr>
              <w:t>и иное</w:t>
            </w:r>
          </w:p>
        </w:tc>
        <w:tc>
          <w:tcPr>
            <w:tcW w:w="1285" w:type="dxa"/>
            <w:tcBorders>
              <w:top w:val="single" w:sz="4" w:space="0" w:color="000000"/>
              <w:left w:val="single" w:sz="4" w:space="0" w:color="000000"/>
              <w:bottom w:val="single" w:sz="4" w:space="0" w:color="000000"/>
            </w:tcBorders>
            <w:tcMar>
              <w:top w:w="102" w:type="dxa"/>
              <w:left w:w="62" w:type="dxa"/>
              <w:bottom w:w="102" w:type="dxa"/>
              <w:right w:w="62" w:type="dxa"/>
            </w:tcMar>
            <w:vAlign w:val="center"/>
          </w:tcPr>
          <w:p w14:paraId="41FEA3D0" w14:textId="77777777" w:rsidR="000D7C1E" w:rsidRPr="00E74680" w:rsidRDefault="000D7C1E" w:rsidP="00473E76">
            <w:pPr>
              <w:ind w:firstLine="0"/>
              <w:jc w:val="center"/>
              <w:rPr>
                <w:rFonts w:eastAsia="Times New Roman" w:cs="Times New Roman"/>
                <w:color w:val="000000"/>
                <w:sz w:val="20"/>
                <w:szCs w:val="20"/>
                <w:lang w:eastAsia="ru-RU"/>
              </w:rPr>
            </w:pPr>
            <w:r w:rsidRPr="00E74680">
              <w:rPr>
                <w:rFonts w:eastAsia="Times New Roman" w:cs="Times New Roman"/>
                <w:color w:val="000000"/>
                <w:sz w:val="20"/>
                <w:szCs w:val="20"/>
                <w:lang w:eastAsia="ru-RU"/>
              </w:rPr>
              <w:t>Использован</w:t>
            </w:r>
          </w:p>
        </w:tc>
        <w:tc>
          <w:tcPr>
            <w:tcW w:w="3960" w:type="dxa"/>
            <w:tcBorders>
              <w:top w:val="single" w:sz="4" w:space="0" w:color="000000"/>
              <w:left w:val="single" w:sz="4" w:space="0" w:color="000000"/>
              <w:bottom w:val="single" w:sz="4" w:space="0" w:color="000000"/>
              <w:right w:val="single" w:sz="4" w:space="0" w:color="000000"/>
            </w:tcBorders>
            <w:tcMar>
              <w:top w:w="102" w:type="dxa"/>
              <w:left w:w="62" w:type="dxa"/>
              <w:bottom w:w="102" w:type="dxa"/>
              <w:right w:w="62" w:type="dxa"/>
            </w:tcMar>
            <w:vAlign w:val="center"/>
          </w:tcPr>
          <w:p w14:paraId="60DF44A4" w14:textId="710EFDE3" w:rsidR="000D7C1E" w:rsidRPr="00E74680" w:rsidRDefault="000D7C1E" w:rsidP="00473E76">
            <w:pPr>
              <w:ind w:firstLine="0"/>
              <w:rPr>
                <w:rFonts w:eastAsia="Times New Roman" w:cs="Times New Roman"/>
                <w:color w:val="000000"/>
                <w:sz w:val="20"/>
                <w:szCs w:val="20"/>
                <w:lang w:eastAsia="ru-RU"/>
              </w:rPr>
            </w:pPr>
            <w:r w:rsidRPr="00E74680">
              <w:rPr>
                <w:rFonts w:eastAsia="Times New Roman" w:cs="Times New Roman"/>
                <w:color w:val="000000"/>
                <w:sz w:val="20"/>
                <w:szCs w:val="20"/>
                <w:lang w:eastAsia="ru-RU"/>
              </w:rPr>
              <w:t xml:space="preserve">Использован как фактор «Площадь».Обоснование использования приведено в п. 2.1.2.1 настоящего </w:t>
            </w:r>
            <w:r w:rsidR="008F5144">
              <w:rPr>
                <w:rFonts w:eastAsia="Times New Roman" w:cs="Times New Roman"/>
                <w:color w:val="000000"/>
                <w:sz w:val="20"/>
                <w:szCs w:val="20"/>
                <w:lang w:eastAsia="ru-RU"/>
              </w:rPr>
              <w:t>Отчета</w:t>
            </w:r>
            <w:r w:rsidRPr="00E74680">
              <w:rPr>
                <w:rFonts w:eastAsia="Times New Roman" w:cs="Times New Roman"/>
                <w:color w:val="000000"/>
                <w:sz w:val="20"/>
                <w:szCs w:val="20"/>
                <w:lang w:eastAsia="ru-RU"/>
              </w:rPr>
              <w:t>.</w:t>
            </w:r>
          </w:p>
        </w:tc>
      </w:tr>
      <w:tr w:rsidR="000D7C1E" w:rsidRPr="0078252D" w14:paraId="29C10FC4" w14:textId="77777777" w:rsidTr="00473E76">
        <w:trPr>
          <w:trHeight w:val="20"/>
        </w:trPr>
        <w:tc>
          <w:tcPr>
            <w:tcW w:w="501" w:type="dxa"/>
            <w:tcBorders>
              <w:top w:val="single" w:sz="4" w:space="0" w:color="000000"/>
              <w:left w:val="single" w:sz="4" w:space="0" w:color="000000"/>
              <w:bottom w:val="single" w:sz="4" w:space="0" w:color="000000"/>
            </w:tcBorders>
            <w:tcMar>
              <w:top w:w="102" w:type="dxa"/>
              <w:left w:w="62" w:type="dxa"/>
              <w:bottom w:w="102" w:type="dxa"/>
              <w:right w:w="62" w:type="dxa"/>
            </w:tcMar>
            <w:vAlign w:val="center"/>
          </w:tcPr>
          <w:p w14:paraId="2ACD84B8" w14:textId="77777777" w:rsidR="000D7C1E" w:rsidRPr="0078252D" w:rsidRDefault="000D7C1E" w:rsidP="00473E76">
            <w:pPr>
              <w:pStyle w:val="Standard"/>
              <w:widowControl w:val="0"/>
              <w:autoSpaceDE w:val="0"/>
              <w:jc w:val="center"/>
              <w:rPr>
                <w:sz w:val="20"/>
                <w:szCs w:val="20"/>
              </w:rPr>
            </w:pPr>
            <w:r w:rsidRPr="0078252D">
              <w:rPr>
                <w:sz w:val="20"/>
                <w:szCs w:val="20"/>
              </w:rPr>
              <w:t>24</w:t>
            </w:r>
          </w:p>
        </w:tc>
        <w:tc>
          <w:tcPr>
            <w:tcW w:w="2096" w:type="dxa"/>
            <w:tcBorders>
              <w:top w:val="single" w:sz="4" w:space="0" w:color="000000"/>
              <w:left w:val="single" w:sz="4" w:space="0" w:color="000000"/>
              <w:bottom w:val="single" w:sz="4" w:space="0" w:color="000000"/>
            </w:tcBorders>
            <w:tcMar>
              <w:top w:w="102" w:type="dxa"/>
              <w:left w:w="62" w:type="dxa"/>
              <w:bottom w:w="102" w:type="dxa"/>
              <w:right w:w="62" w:type="dxa"/>
            </w:tcMar>
          </w:tcPr>
          <w:p w14:paraId="296957FE" w14:textId="77777777" w:rsidR="000D7C1E" w:rsidRPr="0078252D" w:rsidRDefault="000D7C1E" w:rsidP="00473E76">
            <w:pPr>
              <w:pStyle w:val="Standard"/>
              <w:widowControl w:val="0"/>
              <w:autoSpaceDE w:val="0"/>
              <w:rPr>
                <w:sz w:val="20"/>
                <w:szCs w:val="20"/>
              </w:rPr>
            </w:pPr>
            <w:r w:rsidRPr="0078252D">
              <w:rPr>
                <w:sz w:val="20"/>
                <w:szCs w:val="20"/>
              </w:rPr>
              <w:t>Плотность застройки земельного участка</w:t>
            </w:r>
          </w:p>
        </w:tc>
        <w:tc>
          <w:tcPr>
            <w:tcW w:w="1509" w:type="dxa"/>
            <w:tcBorders>
              <w:top w:val="single" w:sz="4" w:space="0" w:color="000000"/>
              <w:left w:val="single" w:sz="4" w:space="0" w:color="000000"/>
              <w:bottom w:val="single" w:sz="4" w:space="0" w:color="000000"/>
            </w:tcBorders>
            <w:tcMar>
              <w:top w:w="102" w:type="dxa"/>
              <w:left w:w="62" w:type="dxa"/>
              <w:bottom w:w="102" w:type="dxa"/>
              <w:right w:w="62" w:type="dxa"/>
            </w:tcMar>
          </w:tcPr>
          <w:p w14:paraId="49617A3F" w14:textId="77777777" w:rsidR="000D7C1E" w:rsidRPr="0078252D" w:rsidRDefault="000D7C1E" w:rsidP="00473E76">
            <w:pPr>
              <w:pStyle w:val="Standard"/>
              <w:widowControl w:val="0"/>
              <w:autoSpaceDE w:val="0"/>
              <w:jc w:val="center"/>
              <w:rPr>
                <w:sz w:val="20"/>
                <w:szCs w:val="20"/>
              </w:rPr>
            </w:pPr>
            <w:r w:rsidRPr="0078252D">
              <w:rPr>
                <w:sz w:val="20"/>
                <w:szCs w:val="20"/>
              </w:rPr>
              <w:t>-</w:t>
            </w:r>
          </w:p>
        </w:tc>
        <w:tc>
          <w:tcPr>
            <w:tcW w:w="1285" w:type="dxa"/>
            <w:tcBorders>
              <w:top w:val="single" w:sz="4" w:space="0" w:color="000000"/>
              <w:left w:val="single" w:sz="4" w:space="0" w:color="000000"/>
              <w:bottom w:val="single" w:sz="4" w:space="0" w:color="000000"/>
            </w:tcBorders>
            <w:tcMar>
              <w:top w:w="102" w:type="dxa"/>
              <w:left w:w="62" w:type="dxa"/>
              <w:bottom w:w="102" w:type="dxa"/>
              <w:right w:w="62" w:type="dxa"/>
            </w:tcMar>
            <w:vAlign w:val="center"/>
          </w:tcPr>
          <w:p w14:paraId="3B9BADF6" w14:textId="77777777" w:rsidR="000D7C1E" w:rsidRPr="00E74680" w:rsidRDefault="000D7C1E" w:rsidP="00473E76">
            <w:pPr>
              <w:ind w:firstLine="0"/>
              <w:jc w:val="center"/>
              <w:rPr>
                <w:rFonts w:eastAsia="Times New Roman" w:cs="Times New Roman"/>
                <w:color w:val="000000"/>
                <w:sz w:val="20"/>
                <w:szCs w:val="20"/>
                <w:lang w:eastAsia="ru-RU"/>
              </w:rPr>
            </w:pPr>
            <w:r w:rsidRPr="00E74680">
              <w:rPr>
                <w:rFonts w:eastAsia="Times New Roman" w:cs="Times New Roman"/>
                <w:color w:val="000000"/>
                <w:sz w:val="20"/>
                <w:szCs w:val="20"/>
                <w:lang w:eastAsia="ru-RU"/>
              </w:rPr>
              <w:t>Не использован</w:t>
            </w:r>
          </w:p>
        </w:tc>
        <w:tc>
          <w:tcPr>
            <w:tcW w:w="3960" w:type="dxa"/>
            <w:tcBorders>
              <w:top w:val="single" w:sz="4" w:space="0" w:color="000000"/>
              <w:left w:val="single" w:sz="4" w:space="0" w:color="000000"/>
              <w:bottom w:val="single" w:sz="4" w:space="0" w:color="000000"/>
              <w:right w:val="single" w:sz="4" w:space="0" w:color="000000"/>
            </w:tcBorders>
            <w:tcMar>
              <w:top w:w="102" w:type="dxa"/>
              <w:left w:w="62" w:type="dxa"/>
              <w:bottom w:w="102" w:type="dxa"/>
              <w:right w:w="62" w:type="dxa"/>
            </w:tcMar>
            <w:vAlign w:val="center"/>
          </w:tcPr>
          <w:p w14:paraId="5E6D7F7F" w14:textId="77777777" w:rsidR="000D7C1E" w:rsidRPr="00E74680" w:rsidRDefault="000D7C1E" w:rsidP="00473E76">
            <w:pPr>
              <w:ind w:firstLine="0"/>
              <w:rPr>
                <w:rFonts w:eastAsia="Times New Roman" w:cs="Times New Roman"/>
                <w:color w:val="000000"/>
                <w:sz w:val="20"/>
                <w:szCs w:val="20"/>
                <w:lang w:eastAsia="ru-RU"/>
              </w:rPr>
            </w:pPr>
            <w:r w:rsidRPr="00E74680">
              <w:rPr>
                <w:rFonts w:eastAsia="Times New Roman" w:cs="Times New Roman"/>
                <w:color w:val="000000"/>
                <w:sz w:val="20"/>
                <w:szCs w:val="20"/>
                <w:lang w:eastAsia="ru-RU"/>
              </w:rPr>
              <w:t>Данные ЕГРН, предоставленные бюджетному учреждению, содержат сведения о земельном участке, в границах которого расположен объект недвижимости, не по всем объектам оценки. В связи с чем определить плотность застройки земельного участка всех объектов капитального строительства невозможно.</w:t>
            </w:r>
          </w:p>
        </w:tc>
      </w:tr>
      <w:tr w:rsidR="000D7C1E" w:rsidRPr="0078252D" w14:paraId="20920B1B" w14:textId="77777777" w:rsidTr="00473E76">
        <w:trPr>
          <w:trHeight w:val="20"/>
        </w:trPr>
        <w:tc>
          <w:tcPr>
            <w:tcW w:w="501" w:type="dxa"/>
            <w:tcBorders>
              <w:top w:val="single" w:sz="4" w:space="0" w:color="000000"/>
              <w:left w:val="single" w:sz="4" w:space="0" w:color="000000"/>
              <w:bottom w:val="single" w:sz="4" w:space="0" w:color="000000"/>
            </w:tcBorders>
            <w:tcMar>
              <w:top w:w="102" w:type="dxa"/>
              <w:left w:w="62" w:type="dxa"/>
              <w:bottom w:w="102" w:type="dxa"/>
              <w:right w:w="62" w:type="dxa"/>
            </w:tcMar>
            <w:vAlign w:val="center"/>
          </w:tcPr>
          <w:p w14:paraId="6E86A9DE" w14:textId="77777777" w:rsidR="000D7C1E" w:rsidRPr="0078252D" w:rsidRDefault="000D7C1E" w:rsidP="00473E76">
            <w:pPr>
              <w:pStyle w:val="Standard"/>
              <w:widowControl w:val="0"/>
              <w:autoSpaceDE w:val="0"/>
              <w:jc w:val="center"/>
              <w:rPr>
                <w:sz w:val="20"/>
                <w:szCs w:val="20"/>
              </w:rPr>
            </w:pPr>
            <w:r w:rsidRPr="0078252D">
              <w:rPr>
                <w:sz w:val="20"/>
                <w:szCs w:val="20"/>
              </w:rPr>
              <w:t>25</w:t>
            </w:r>
          </w:p>
        </w:tc>
        <w:tc>
          <w:tcPr>
            <w:tcW w:w="2096" w:type="dxa"/>
            <w:tcBorders>
              <w:top w:val="single" w:sz="4" w:space="0" w:color="000000"/>
              <w:left w:val="single" w:sz="4" w:space="0" w:color="000000"/>
              <w:bottom w:val="single" w:sz="4" w:space="0" w:color="000000"/>
            </w:tcBorders>
            <w:tcMar>
              <w:top w:w="102" w:type="dxa"/>
              <w:left w:w="62" w:type="dxa"/>
              <w:bottom w:w="102" w:type="dxa"/>
              <w:right w:w="62" w:type="dxa"/>
            </w:tcMar>
          </w:tcPr>
          <w:p w14:paraId="3F2F976B" w14:textId="77777777" w:rsidR="000D7C1E" w:rsidRPr="0078252D" w:rsidRDefault="000D7C1E" w:rsidP="00473E76">
            <w:pPr>
              <w:pStyle w:val="Standard"/>
              <w:widowControl w:val="0"/>
              <w:autoSpaceDE w:val="0"/>
              <w:rPr>
                <w:sz w:val="20"/>
                <w:szCs w:val="20"/>
              </w:rPr>
            </w:pPr>
            <w:r w:rsidRPr="0078252D">
              <w:rPr>
                <w:sz w:val="20"/>
                <w:szCs w:val="20"/>
              </w:rPr>
              <w:t>Плотность застроенности земельного участка</w:t>
            </w:r>
          </w:p>
        </w:tc>
        <w:tc>
          <w:tcPr>
            <w:tcW w:w="1509" w:type="dxa"/>
            <w:tcBorders>
              <w:top w:val="single" w:sz="4" w:space="0" w:color="000000"/>
              <w:left w:val="single" w:sz="4" w:space="0" w:color="000000"/>
              <w:bottom w:val="single" w:sz="4" w:space="0" w:color="000000"/>
            </w:tcBorders>
            <w:tcMar>
              <w:top w:w="102" w:type="dxa"/>
              <w:left w:w="62" w:type="dxa"/>
              <w:bottom w:w="102" w:type="dxa"/>
              <w:right w:w="62" w:type="dxa"/>
            </w:tcMar>
          </w:tcPr>
          <w:p w14:paraId="1FD0C1C2" w14:textId="77777777" w:rsidR="000D7C1E" w:rsidRPr="0078252D" w:rsidRDefault="000D7C1E" w:rsidP="00473E76">
            <w:pPr>
              <w:pStyle w:val="Standard"/>
              <w:widowControl w:val="0"/>
              <w:autoSpaceDE w:val="0"/>
              <w:jc w:val="center"/>
              <w:rPr>
                <w:sz w:val="20"/>
                <w:szCs w:val="20"/>
              </w:rPr>
            </w:pPr>
            <w:r w:rsidRPr="0078252D">
              <w:rPr>
                <w:sz w:val="20"/>
                <w:szCs w:val="20"/>
              </w:rPr>
              <w:t>-</w:t>
            </w:r>
          </w:p>
        </w:tc>
        <w:tc>
          <w:tcPr>
            <w:tcW w:w="1285" w:type="dxa"/>
            <w:tcBorders>
              <w:top w:val="single" w:sz="4" w:space="0" w:color="000000"/>
              <w:left w:val="single" w:sz="4" w:space="0" w:color="000000"/>
              <w:bottom w:val="single" w:sz="4" w:space="0" w:color="000000"/>
            </w:tcBorders>
            <w:tcMar>
              <w:top w:w="102" w:type="dxa"/>
              <w:left w:w="62" w:type="dxa"/>
              <w:bottom w:w="102" w:type="dxa"/>
              <w:right w:w="62" w:type="dxa"/>
            </w:tcMar>
            <w:vAlign w:val="center"/>
          </w:tcPr>
          <w:p w14:paraId="26A5F9CF" w14:textId="77777777" w:rsidR="000D7C1E" w:rsidRPr="00E74680" w:rsidRDefault="000D7C1E" w:rsidP="00473E76">
            <w:pPr>
              <w:ind w:firstLine="0"/>
              <w:jc w:val="center"/>
              <w:rPr>
                <w:rFonts w:eastAsia="Times New Roman" w:cs="Times New Roman"/>
                <w:color w:val="000000"/>
                <w:sz w:val="20"/>
                <w:szCs w:val="20"/>
                <w:lang w:eastAsia="ru-RU"/>
              </w:rPr>
            </w:pPr>
            <w:r w:rsidRPr="00E74680">
              <w:rPr>
                <w:rFonts w:eastAsia="Times New Roman" w:cs="Times New Roman"/>
                <w:color w:val="000000"/>
                <w:sz w:val="20"/>
                <w:szCs w:val="20"/>
                <w:lang w:eastAsia="ru-RU"/>
              </w:rPr>
              <w:t>Не использован</w:t>
            </w:r>
          </w:p>
        </w:tc>
        <w:tc>
          <w:tcPr>
            <w:tcW w:w="3960" w:type="dxa"/>
            <w:tcBorders>
              <w:top w:val="single" w:sz="4" w:space="0" w:color="000000"/>
              <w:left w:val="single" w:sz="4" w:space="0" w:color="000000"/>
              <w:bottom w:val="single" w:sz="4" w:space="0" w:color="000000"/>
              <w:right w:val="single" w:sz="4" w:space="0" w:color="000000"/>
            </w:tcBorders>
            <w:tcMar>
              <w:top w:w="102" w:type="dxa"/>
              <w:left w:w="62" w:type="dxa"/>
              <w:bottom w:w="102" w:type="dxa"/>
              <w:right w:w="62" w:type="dxa"/>
            </w:tcMar>
            <w:vAlign w:val="center"/>
          </w:tcPr>
          <w:p w14:paraId="486D34DE" w14:textId="77777777" w:rsidR="000D7C1E" w:rsidRPr="00E74680" w:rsidRDefault="000D7C1E" w:rsidP="00473E76">
            <w:pPr>
              <w:ind w:firstLine="0"/>
              <w:rPr>
                <w:rFonts w:eastAsia="Times New Roman" w:cs="Times New Roman"/>
                <w:color w:val="000000"/>
                <w:sz w:val="20"/>
                <w:szCs w:val="20"/>
                <w:lang w:eastAsia="ru-RU"/>
              </w:rPr>
            </w:pPr>
            <w:r w:rsidRPr="00E74680">
              <w:rPr>
                <w:rFonts w:eastAsia="Times New Roman" w:cs="Times New Roman"/>
                <w:color w:val="000000"/>
                <w:sz w:val="20"/>
                <w:szCs w:val="20"/>
                <w:lang w:eastAsia="ru-RU"/>
              </w:rPr>
              <w:t>Данные ЕГРН, предоставленные бюджетному учреждению, содержат сведения о земельном участке, в границах которого расположен объект недвижимости, не по всем объектам оценки. В связи с чем определить плотность застроенности земельного участка всех объектов капитального строительства невозможно.</w:t>
            </w:r>
          </w:p>
        </w:tc>
      </w:tr>
      <w:tr w:rsidR="000D7C1E" w:rsidRPr="0078252D" w14:paraId="2D63E7F5" w14:textId="77777777" w:rsidTr="00473E76">
        <w:trPr>
          <w:trHeight w:val="20"/>
        </w:trPr>
        <w:tc>
          <w:tcPr>
            <w:tcW w:w="501" w:type="dxa"/>
            <w:tcBorders>
              <w:top w:val="single" w:sz="4" w:space="0" w:color="000000"/>
              <w:left w:val="single" w:sz="4" w:space="0" w:color="000000"/>
              <w:bottom w:val="single" w:sz="4" w:space="0" w:color="000000"/>
            </w:tcBorders>
            <w:tcMar>
              <w:top w:w="102" w:type="dxa"/>
              <w:left w:w="62" w:type="dxa"/>
              <w:bottom w:w="102" w:type="dxa"/>
              <w:right w:w="62" w:type="dxa"/>
            </w:tcMar>
            <w:vAlign w:val="center"/>
          </w:tcPr>
          <w:p w14:paraId="1DC0D836" w14:textId="77777777" w:rsidR="000D7C1E" w:rsidRPr="0078252D" w:rsidRDefault="000D7C1E" w:rsidP="00473E76">
            <w:pPr>
              <w:pStyle w:val="Standard"/>
              <w:widowControl w:val="0"/>
              <w:autoSpaceDE w:val="0"/>
              <w:jc w:val="center"/>
              <w:rPr>
                <w:sz w:val="20"/>
                <w:szCs w:val="20"/>
              </w:rPr>
            </w:pPr>
            <w:r w:rsidRPr="0078252D">
              <w:rPr>
                <w:sz w:val="20"/>
                <w:szCs w:val="20"/>
              </w:rPr>
              <w:t>26</w:t>
            </w:r>
          </w:p>
        </w:tc>
        <w:tc>
          <w:tcPr>
            <w:tcW w:w="2096" w:type="dxa"/>
            <w:tcBorders>
              <w:top w:val="single" w:sz="4" w:space="0" w:color="000000"/>
              <w:left w:val="single" w:sz="4" w:space="0" w:color="000000"/>
              <w:bottom w:val="single" w:sz="4" w:space="0" w:color="000000"/>
            </w:tcBorders>
            <w:tcMar>
              <w:top w:w="102" w:type="dxa"/>
              <w:left w:w="62" w:type="dxa"/>
              <w:bottom w:w="102" w:type="dxa"/>
              <w:right w:w="62" w:type="dxa"/>
            </w:tcMar>
          </w:tcPr>
          <w:p w14:paraId="0A335B73" w14:textId="77777777" w:rsidR="000D7C1E" w:rsidRPr="0078252D" w:rsidRDefault="000D7C1E" w:rsidP="00473E76">
            <w:pPr>
              <w:pStyle w:val="Standard"/>
              <w:widowControl w:val="0"/>
              <w:autoSpaceDE w:val="0"/>
              <w:rPr>
                <w:sz w:val="20"/>
                <w:szCs w:val="20"/>
              </w:rPr>
            </w:pPr>
            <w:r w:rsidRPr="0078252D">
              <w:rPr>
                <w:sz w:val="20"/>
                <w:szCs w:val="20"/>
              </w:rPr>
              <w:t>Количество надземных этажей</w:t>
            </w:r>
          </w:p>
        </w:tc>
        <w:tc>
          <w:tcPr>
            <w:tcW w:w="1509" w:type="dxa"/>
            <w:tcBorders>
              <w:top w:val="single" w:sz="4" w:space="0" w:color="000000"/>
              <w:left w:val="single" w:sz="4" w:space="0" w:color="000000"/>
              <w:bottom w:val="single" w:sz="4" w:space="0" w:color="000000"/>
            </w:tcBorders>
            <w:tcMar>
              <w:top w:w="102" w:type="dxa"/>
              <w:left w:w="62" w:type="dxa"/>
              <w:bottom w:w="102" w:type="dxa"/>
              <w:right w:w="62" w:type="dxa"/>
            </w:tcMar>
          </w:tcPr>
          <w:p w14:paraId="6F47F75B" w14:textId="77777777" w:rsidR="000D7C1E" w:rsidRPr="0078252D" w:rsidRDefault="000D7C1E" w:rsidP="00473E76">
            <w:pPr>
              <w:pStyle w:val="Standard"/>
              <w:widowControl w:val="0"/>
              <w:autoSpaceDE w:val="0"/>
              <w:jc w:val="center"/>
              <w:rPr>
                <w:sz w:val="20"/>
                <w:szCs w:val="20"/>
              </w:rPr>
            </w:pPr>
            <w:r w:rsidRPr="0078252D">
              <w:rPr>
                <w:sz w:val="20"/>
                <w:szCs w:val="20"/>
              </w:rPr>
              <w:t>-</w:t>
            </w:r>
          </w:p>
        </w:tc>
        <w:tc>
          <w:tcPr>
            <w:tcW w:w="1285" w:type="dxa"/>
            <w:tcBorders>
              <w:top w:val="single" w:sz="4" w:space="0" w:color="000000"/>
              <w:left w:val="single" w:sz="4" w:space="0" w:color="000000"/>
              <w:bottom w:val="single" w:sz="4" w:space="0" w:color="000000"/>
            </w:tcBorders>
            <w:tcMar>
              <w:top w:w="102" w:type="dxa"/>
              <w:left w:w="62" w:type="dxa"/>
              <w:bottom w:w="102" w:type="dxa"/>
              <w:right w:w="62" w:type="dxa"/>
            </w:tcMar>
            <w:vAlign w:val="center"/>
          </w:tcPr>
          <w:p w14:paraId="36E9612F" w14:textId="77777777" w:rsidR="000D7C1E" w:rsidRPr="00E74680" w:rsidRDefault="000D7C1E" w:rsidP="00473E76">
            <w:pPr>
              <w:ind w:firstLine="0"/>
              <w:jc w:val="center"/>
              <w:rPr>
                <w:rFonts w:eastAsia="Times New Roman" w:cs="Times New Roman"/>
                <w:color w:val="000000"/>
                <w:sz w:val="20"/>
                <w:szCs w:val="20"/>
                <w:lang w:eastAsia="ru-RU"/>
              </w:rPr>
            </w:pPr>
            <w:r w:rsidRPr="00E74680">
              <w:rPr>
                <w:rFonts w:eastAsia="Times New Roman" w:cs="Times New Roman"/>
                <w:color w:val="000000"/>
                <w:sz w:val="20"/>
                <w:szCs w:val="20"/>
                <w:lang w:eastAsia="ru-RU"/>
              </w:rPr>
              <w:t>Не использован</w:t>
            </w:r>
          </w:p>
        </w:tc>
        <w:tc>
          <w:tcPr>
            <w:tcW w:w="3960" w:type="dxa"/>
            <w:tcBorders>
              <w:top w:val="single" w:sz="4" w:space="0" w:color="000000"/>
              <w:left w:val="single" w:sz="4" w:space="0" w:color="000000"/>
              <w:bottom w:val="single" w:sz="4" w:space="0" w:color="000000"/>
              <w:right w:val="single" w:sz="4" w:space="0" w:color="000000"/>
            </w:tcBorders>
            <w:tcMar>
              <w:top w:w="102" w:type="dxa"/>
              <w:left w:w="62" w:type="dxa"/>
              <w:bottom w:w="102" w:type="dxa"/>
              <w:right w:w="62" w:type="dxa"/>
            </w:tcMar>
            <w:vAlign w:val="center"/>
          </w:tcPr>
          <w:p w14:paraId="32421D1E" w14:textId="77777777" w:rsidR="000D7C1E" w:rsidRPr="00E74680" w:rsidRDefault="000D7C1E" w:rsidP="00473E76">
            <w:pPr>
              <w:ind w:firstLine="0"/>
              <w:rPr>
                <w:rFonts w:eastAsia="Times New Roman" w:cs="Times New Roman"/>
                <w:color w:val="000000"/>
                <w:sz w:val="20"/>
                <w:szCs w:val="20"/>
                <w:lang w:eastAsia="ru-RU"/>
              </w:rPr>
            </w:pPr>
            <w:r w:rsidRPr="00E74680">
              <w:rPr>
                <w:rFonts w:eastAsia="Times New Roman" w:cs="Times New Roman"/>
                <w:color w:val="000000"/>
                <w:sz w:val="20"/>
                <w:szCs w:val="20"/>
                <w:lang w:eastAsia="ru-RU"/>
              </w:rPr>
              <w:t>Данные ЕГРН, предоставленные бюджетному учреждению, содержат сведения о ценообразующем факторе не по всем объектам оценки. В связи с чем данный фактор не использовался.</w:t>
            </w:r>
          </w:p>
        </w:tc>
      </w:tr>
      <w:tr w:rsidR="000D7C1E" w:rsidRPr="0078252D" w14:paraId="0CE8F087" w14:textId="77777777" w:rsidTr="00473E76">
        <w:trPr>
          <w:trHeight w:val="20"/>
        </w:trPr>
        <w:tc>
          <w:tcPr>
            <w:tcW w:w="501" w:type="dxa"/>
            <w:tcBorders>
              <w:top w:val="single" w:sz="4" w:space="0" w:color="000000"/>
              <w:left w:val="single" w:sz="4" w:space="0" w:color="000000"/>
              <w:bottom w:val="single" w:sz="4" w:space="0" w:color="000000"/>
            </w:tcBorders>
            <w:tcMar>
              <w:top w:w="102" w:type="dxa"/>
              <w:left w:w="62" w:type="dxa"/>
              <w:bottom w:w="102" w:type="dxa"/>
              <w:right w:w="62" w:type="dxa"/>
            </w:tcMar>
            <w:vAlign w:val="center"/>
          </w:tcPr>
          <w:p w14:paraId="6CC67698" w14:textId="77777777" w:rsidR="000D7C1E" w:rsidRPr="0078252D" w:rsidRDefault="000D7C1E" w:rsidP="00473E76">
            <w:pPr>
              <w:pStyle w:val="Standard"/>
              <w:widowControl w:val="0"/>
              <w:autoSpaceDE w:val="0"/>
              <w:jc w:val="center"/>
              <w:rPr>
                <w:sz w:val="20"/>
                <w:szCs w:val="20"/>
              </w:rPr>
            </w:pPr>
            <w:r w:rsidRPr="0078252D">
              <w:rPr>
                <w:sz w:val="20"/>
                <w:szCs w:val="20"/>
              </w:rPr>
              <w:t>27</w:t>
            </w:r>
          </w:p>
        </w:tc>
        <w:tc>
          <w:tcPr>
            <w:tcW w:w="2096" w:type="dxa"/>
            <w:tcBorders>
              <w:top w:val="single" w:sz="4" w:space="0" w:color="000000"/>
              <w:left w:val="single" w:sz="4" w:space="0" w:color="000000"/>
              <w:bottom w:val="single" w:sz="4" w:space="0" w:color="000000"/>
            </w:tcBorders>
            <w:tcMar>
              <w:top w:w="102" w:type="dxa"/>
              <w:left w:w="62" w:type="dxa"/>
              <w:bottom w:w="102" w:type="dxa"/>
              <w:right w:w="62" w:type="dxa"/>
            </w:tcMar>
          </w:tcPr>
          <w:p w14:paraId="14C0A832" w14:textId="77777777" w:rsidR="000D7C1E" w:rsidRPr="0078252D" w:rsidRDefault="000D7C1E" w:rsidP="00473E76">
            <w:pPr>
              <w:pStyle w:val="Standard"/>
              <w:widowControl w:val="0"/>
              <w:autoSpaceDE w:val="0"/>
              <w:rPr>
                <w:sz w:val="20"/>
                <w:szCs w:val="20"/>
              </w:rPr>
            </w:pPr>
            <w:r w:rsidRPr="0078252D">
              <w:rPr>
                <w:sz w:val="20"/>
                <w:szCs w:val="20"/>
              </w:rPr>
              <w:t>Количество подземных этажей</w:t>
            </w:r>
          </w:p>
        </w:tc>
        <w:tc>
          <w:tcPr>
            <w:tcW w:w="1509" w:type="dxa"/>
            <w:tcBorders>
              <w:top w:val="single" w:sz="4" w:space="0" w:color="000000"/>
              <w:left w:val="single" w:sz="4" w:space="0" w:color="000000"/>
              <w:bottom w:val="single" w:sz="4" w:space="0" w:color="000000"/>
            </w:tcBorders>
            <w:tcMar>
              <w:top w:w="102" w:type="dxa"/>
              <w:left w:w="62" w:type="dxa"/>
              <w:bottom w:w="102" w:type="dxa"/>
              <w:right w:w="62" w:type="dxa"/>
            </w:tcMar>
          </w:tcPr>
          <w:p w14:paraId="3E014D1F" w14:textId="77777777" w:rsidR="000D7C1E" w:rsidRPr="0078252D" w:rsidRDefault="000D7C1E" w:rsidP="00473E76">
            <w:pPr>
              <w:pStyle w:val="Standard"/>
              <w:widowControl w:val="0"/>
              <w:autoSpaceDE w:val="0"/>
              <w:jc w:val="center"/>
              <w:rPr>
                <w:sz w:val="20"/>
                <w:szCs w:val="20"/>
              </w:rPr>
            </w:pPr>
            <w:r w:rsidRPr="0078252D">
              <w:rPr>
                <w:sz w:val="20"/>
                <w:szCs w:val="20"/>
              </w:rPr>
              <w:t>-</w:t>
            </w:r>
          </w:p>
        </w:tc>
        <w:tc>
          <w:tcPr>
            <w:tcW w:w="1285" w:type="dxa"/>
            <w:tcBorders>
              <w:top w:val="single" w:sz="4" w:space="0" w:color="000000"/>
              <w:left w:val="single" w:sz="4" w:space="0" w:color="000000"/>
              <w:bottom w:val="single" w:sz="4" w:space="0" w:color="000000"/>
            </w:tcBorders>
            <w:tcMar>
              <w:top w:w="102" w:type="dxa"/>
              <w:left w:w="62" w:type="dxa"/>
              <w:bottom w:w="102" w:type="dxa"/>
              <w:right w:w="62" w:type="dxa"/>
            </w:tcMar>
            <w:vAlign w:val="center"/>
          </w:tcPr>
          <w:p w14:paraId="52F878A0" w14:textId="77777777" w:rsidR="000D7C1E" w:rsidRPr="00E74680" w:rsidRDefault="000D7C1E" w:rsidP="00473E76">
            <w:pPr>
              <w:ind w:firstLine="0"/>
              <w:jc w:val="center"/>
              <w:rPr>
                <w:rFonts w:eastAsia="Times New Roman" w:cs="Times New Roman"/>
                <w:color w:val="000000"/>
                <w:sz w:val="20"/>
                <w:szCs w:val="20"/>
                <w:lang w:eastAsia="ru-RU"/>
              </w:rPr>
            </w:pPr>
            <w:r w:rsidRPr="00E74680">
              <w:rPr>
                <w:rFonts w:eastAsia="Times New Roman" w:cs="Times New Roman"/>
                <w:color w:val="000000"/>
                <w:sz w:val="20"/>
                <w:szCs w:val="20"/>
                <w:lang w:eastAsia="ru-RU"/>
              </w:rPr>
              <w:t>Не использован</w:t>
            </w:r>
          </w:p>
        </w:tc>
        <w:tc>
          <w:tcPr>
            <w:tcW w:w="3960" w:type="dxa"/>
            <w:tcBorders>
              <w:top w:val="single" w:sz="4" w:space="0" w:color="000000"/>
              <w:left w:val="single" w:sz="4" w:space="0" w:color="000000"/>
              <w:bottom w:val="single" w:sz="4" w:space="0" w:color="000000"/>
              <w:right w:val="single" w:sz="4" w:space="0" w:color="000000"/>
            </w:tcBorders>
            <w:tcMar>
              <w:top w:w="102" w:type="dxa"/>
              <w:left w:w="62" w:type="dxa"/>
              <w:bottom w:w="102" w:type="dxa"/>
              <w:right w:w="62" w:type="dxa"/>
            </w:tcMar>
            <w:vAlign w:val="center"/>
          </w:tcPr>
          <w:p w14:paraId="21386E37" w14:textId="77777777" w:rsidR="000D7C1E" w:rsidRPr="00E74680" w:rsidRDefault="000D7C1E" w:rsidP="00473E76">
            <w:pPr>
              <w:ind w:firstLine="0"/>
              <w:rPr>
                <w:rFonts w:eastAsia="Times New Roman" w:cs="Times New Roman"/>
                <w:color w:val="000000"/>
                <w:sz w:val="20"/>
                <w:szCs w:val="20"/>
                <w:lang w:eastAsia="ru-RU"/>
              </w:rPr>
            </w:pPr>
            <w:r w:rsidRPr="00E74680">
              <w:rPr>
                <w:rFonts w:eastAsia="Times New Roman" w:cs="Times New Roman"/>
                <w:color w:val="000000"/>
                <w:sz w:val="20"/>
                <w:szCs w:val="20"/>
                <w:lang w:eastAsia="ru-RU"/>
              </w:rPr>
              <w:t>Данные ЕГРН, предоставленные бюджетному учреждению, содержат сведения о ценообразующем факторе не по всем объектам оценки. В связи с чем данный фактор не использовался. Республике Саха (Якутия) стоит на вечной мерзлоте, поэтому не ведется строительство подземных этажей.</w:t>
            </w:r>
          </w:p>
        </w:tc>
      </w:tr>
      <w:tr w:rsidR="000D7C1E" w:rsidRPr="0078252D" w14:paraId="5338855C" w14:textId="77777777" w:rsidTr="00473E76">
        <w:trPr>
          <w:trHeight w:val="20"/>
        </w:trPr>
        <w:tc>
          <w:tcPr>
            <w:tcW w:w="501" w:type="dxa"/>
            <w:tcBorders>
              <w:top w:val="single" w:sz="4" w:space="0" w:color="000000"/>
              <w:left w:val="single" w:sz="4" w:space="0" w:color="000000"/>
              <w:bottom w:val="single" w:sz="4" w:space="0" w:color="000000"/>
            </w:tcBorders>
            <w:tcMar>
              <w:top w:w="102" w:type="dxa"/>
              <w:left w:w="62" w:type="dxa"/>
              <w:bottom w:w="102" w:type="dxa"/>
              <w:right w:w="62" w:type="dxa"/>
            </w:tcMar>
            <w:vAlign w:val="center"/>
          </w:tcPr>
          <w:p w14:paraId="5F601587" w14:textId="77777777" w:rsidR="000D7C1E" w:rsidRPr="0078252D" w:rsidRDefault="000D7C1E" w:rsidP="00473E76">
            <w:pPr>
              <w:pStyle w:val="Standard"/>
              <w:widowControl w:val="0"/>
              <w:autoSpaceDE w:val="0"/>
              <w:jc w:val="center"/>
              <w:rPr>
                <w:sz w:val="20"/>
                <w:szCs w:val="20"/>
              </w:rPr>
            </w:pPr>
            <w:r w:rsidRPr="0078252D">
              <w:rPr>
                <w:sz w:val="20"/>
                <w:szCs w:val="20"/>
              </w:rPr>
              <w:t>28</w:t>
            </w:r>
          </w:p>
        </w:tc>
        <w:tc>
          <w:tcPr>
            <w:tcW w:w="2096" w:type="dxa"/>
            <w:tcBorders>
              <w:top w:val="single" w:sz="4" w:space="0" w:color="000000"/>
              <w:left w:val="single" w:sz="4" w:space="0" w:color="000000"/>
              <w:bottom w:val="single" w:sz="4" w:space="0" w:color="000000"/>
            </w:tcBorders>
            <w:tcMar>
              <w:top w:w="102" w:type="dxa"/>
              <w:left w:w="62" w:type="dxa"/>
              <w:bottom w:w="102" w:type="dxa"/>
              <w:right w:w="62" w:type="dxa"/>
            </w:tcMar>
          </w:tcPr>
          <w:p w14:paraId="0426B583" w14:textId="77777777" w:rsidR="000D7C1E" w:rsidRPr="0078252D" w:rsidRDefault="000D7C1E" w:rsidP="00473E76">
            <w:pPr>
              <w:pStyle w:val="Standard"/>
              <w:widowControl w:val="0"/>
              <w:autoSpaceDE w:val="0"/>
              <w:rPr>
                <w:sz w:val="20"/>
                <w:szCs w:val="20"/>
              </w:rPr>
            </w:pPr>
            <w:r w:rsidRPr="0078252D">
              <w:rPr>
                <w:sz w:val="20"/>
                <w:szCs w:val="20"/>
              </w:rPr>
              <w:t>Этажность</w:t>
            </w:r>
          </w:p>
        </w:tc>
        <w:tc>
          <w:tcPr>
            <w:tcW w:w="1509" w:type="dxa"/>
            <w:tcBorders>
              <w:top w:val="single" w:sz="4" w:space="0" w:color="000000"/>
              <w:left w:val="single" w:sz="4" w:space="0" w:color="000000"/>
              <w:bottom w:val="single" w:sz="4" w:space="0" w:color="000000"/>
            </w:tcBorders>
            <w:tcMar>
              <w:top w:w="102" w:type="dxa"/>
              <w:left w:w="62" w:type="dxa"/>
              <w:bottom w:w="102" w:type="dxa"/>
              <w:right w:w="62" w:type="dxa"/>
            </w:tcMar>
          </w:tcPr>
          <w:p w14:paraId="5C0E116B" w14:textId="77777777" w:rsidR="000D7C1E" w:rsidRPr="0078252D" w:rsidRDefault="000D7C1E" w:rsidP="00473E76">
            <w:pPr>
              <w:pStyle w:val="Standard"/>
              <w:widowControl w:val="0"/>
              <w:autoSpaceDE w:val="0"/>
              <w:jc w:val="center"/>
              <w:rPr>
                <w:sz w:val="20"/>
                <w:szCs w:val="20"/>
              </w:rPr>
            </w:pPr>
            <w:r w:rsidRPr="0078252D">
              <w:rPr>
                <w:sz w:val="20"/>
                <w:szCs w:val="20"/>
              </w:rPr>
              <w:t>-</w:t>
            </w:r>
          </w:p>
        </w:tc>
        <w:tc>
          <w:tcPr>
            <w:tcW w:w="1285" w:type="dxa"/>
            <w:tcBorders>
              <w:top w:val="single" w:sz="4" w:space="0" w:color="000000"/>
              <w:left w:val="single" w:sz="4" w:space="0" w:color="000000"/>
              <w:bottom w:val="single" w:sz="4" w:space="0" w:color="000000"/>
            </w:tcBorders>
            <w:tcMar>
              <w:top w:w="102" w:type="dxa"/>
              <w:left w:w="62" w:type="dxa"/>
              <w:bottom w:w="102" w:type="dxa"/>
              <w:right w:w="62" w:type="dxa"/>
            </w:tcMar>
            <w:vAlign w:val="center"/>
          </w:tcPr>
          <w:p w14:paraId="22BF23DE" w14:textId="77777777" w:rsidR="000D7C1E" w:rsidRPr="00E74680" w:rsidRDefault="000D7C1E" w:rsidP="00473E76">
            <w:pPr>
              <w:ind w:firstLine="0"/>
              <w:jc w:val="center"/>
              <w:rPr>
                <w:rFonts w:eastAsia="Times New Roman" w:cs="Times New Roman"/>
                <w:color w:val="000000"/>
                <w:sz w:val="20"/>
                <w:szCs w:val="20"/>
                <w:lang w:eastAsia="ru-RU"/>
              </w:rPr>
            </w:pPr>
            <w:r w:rsidRPr="00E74680">
              <w:rPr>
                <w:rFonts w:eastAsia="Times New Roman" w:cs="Times New Roman"/>
                <w:color w:val="000000"/>
                <w:sz w:val="20"/>
                <w:szCs w:val="20"/>
                <w:lang w:eastAsia="ru-RU"/>
              </w:rPr>
              <w:t>Использован</w:t>
            </w:r>
          </w:p>
        </w:tc>
        <w:tc>
          <w:tcPr>
            <w:tcW w:w="3960" w:type="dxa"/>
            <w:tcBorders>
              <w:top w:val="single" w:sz="4" w:space="0" w:color="000000"/>
              <w:left w:val="single" w:sz="4" w:space="0" w:color="000000"/>
              <w:bottom w:val="single" w:sz="4" w:space="0" w:color="000000"/>
              <w:right w:val="single" w:sz="4" w:space="0" w:color="000000"/>
            </w:tcBorders>
            <w:tcMar>
              <w:top w:w="102" w:type="dxa"/>
              <w:left w:w="62" w:type="dxa"/>
              <w:bottom w:w="102" w:type="dxa"/>
              <w:right w:w="62" w:type="dxa"/>
            </w:tcMar>
            <w:vAlign w:val="center"/>
          </w:tcPr>
          <w:p w14:paraId="19CFC801" w14:textId="40FDC224" w:rsidR="000D7C1E" w:rsidRPr="00E74680" w:rsidRDefault="000D7C1E" w:rsidP="00473E76">
            <w:pPr>
              <w:ind w:firstLine="0"/>
              <w:rPr>
                <w:rFonts w:eastAsia="Times New Roman" w:cs="Times New Roman"/>
                <w:color w:val="000000"/>
                <w:sz w:val="20"/>
                <w:szCs w:val="20"/>
                <w:lang w:eastAsia="ru-RU"/>
              </w:rPr>
            </w:pPr>
            <w:r w:rsidRPr="00E74680">
              <w:rPr>
                <w:rFonts w:eastAsia="Times New Roman" w:cs="Times New Roman"/>
                <w:color w:val="000000"/>
                <w:sz w:val="20"/>
                <w:szCs w:val="20"/>
                <w:lang w:eastAsia="ru-RU"/>
              </w:rPr>
              <w:t xml:space="preserve">Использован как фактор «Тип застройки». Обоснование использования приведено в п. 1.2.1.6  настоящего </w:t>
            </w:r>
            <w:r w:rsidR="008F5144">
              <w:rPr>
                <w:rFonts w:eastAsia="Times New Roman" w:cs="Times New Roman"/>
                <w:color w:val="000000"/>
                <w:sz w:val="20"/>
                <w:szCs w:val="20"/>
                <w:lang w:eastAsia="ru-RU"/>
              </w:rPr>
              <w:t>Отчета</w:t>
            </w:r>
            <w:r w:rsidRPr="00E74680">
              <w:rPr>
                <w:rFonts w:eastAsia="Times New Roman" w:cs="Times New Roman"/>
                <w:color w:val="000000"/>
                <w:sz w:val="20"/>
                <w:szCs w:val="20"/>
                <w:lang w:eastAsia="ru-RU"/>
              </w:rPr>
              <w:t>.</w:t>
            </w:r>
          </w:p>
        </w:tc>
      </w:tr>
      <w:tr w:rsidR="000D7C1E" w:rsidRPr="0078252D" w14:paraId="1758AD81" w14:textId="77777777" w:rsidTr="00473E76">
        <w:trPr>
          <w:trHeight w:val="20"/>
        </w:trPr>
        <w:tc>
          <w:tcPr>
            <w:tcW w:w="501" w:type="dxa"/>
            <w:tcBorders>
              <w:top w:val="single" w:sz="4" w:space="0" w:color="000000"/>
              <w:left w:val="single" w:sz="4" w:space="0" w:color="000000"/>
              <w:bottom w:val="single" w:sz="4" w:space="0" w:color="000000"/>
            </w:tcBorders>
            <w:tcMar>
              <w:top w:w="102" w:type="dxa"/>
              <w:left w:w="62" w:type="dxa"/>
              <w:bottom w:w="102" w:type="dxa"/>
              <w:right w:w="62" w:type="dxa"/>
            </w:tcMar>
            <w:vAlign w:val="center"/>
          </w:tcPr>
          <w:p w14:paraId="3A6100B3" w14:textId="77777777" w:rsidR="000D7C1E" w:rsidRPr="0078252D" w:rsidRDefault="000D7C1E" w:rsidP="00473E76">
            <w:pPr>
              <w:pStyle w:val="Standard"/>
              <w:widowControl w:val="0"/>
              <w:autoSpaceDE w:val="0"/>
              <w:jc w:val="center"/>
              <w:rPr>
                <w:sz w:val="20"/>
                <w:szCs w:val="20"/>
              </w:rPr>
            </w:pPr>
            <w:r w:rsidRPr="0078252D">
              <w:rPr>
                <w:sz w:val="20"/>
                <w:szCs w:val="20"/>
              </w:rPr>
              <w:t>29</w:t>
            </w:r>
          </w:p>
        </w:tc>
        <w:tc>
          <w:tcPr>
            <w:tcW w:w="2096" w:type="dxa"/>
            <w:tcBorders>
              <w:top w:val="single" w:sz="4" w:space="0" w:color="000000"/>
              <w:left w:val="single" w:sz="4" w:space="0" w:color="000000"/>
              <w:bottom w:val="single" w:sz="4" w:space="0" w:color="000000"/>
            </w:tcBorders>
            <w:tcMar>
              <w:top w:w="102" w:type="dxa"/>
              <w:left w:w="62" w:type="dxa"/>
              <w:bottom w:w="102" w:type="dxa"/>
              <w:right w:w="62" w:type="dxa"/>
            </w:tcMar>
          </w:tcPr>
          <w:p w14:paraId="3664AA8B" w14:textId="77777777" w:rsidR="000D7C1E" w:rsidRPr="0078252D" w:rsidRDefault="000D7C1E" w:rsidP="00473E76">
            <w:pPr>
              <w:pStyle w:val="Standard"/>
              <w:widowControl w:val="0"/>
              <w:autoSpaceDE w:val="0"/>
              <w:rPr>
                <w:sz w:val="20"/>
                <w:szCs w:val="20"/>
              </w:rPr>
            </w:pPr>
            <w:r w:rsidRPr="0078252D">
              <w:rPr>
                <w:sz w:val="20"/>
                <w:szCs w:val="20"/>
              </w:rPr>
              <w:t>Этаж расположения</w:t>
            </w:r>
          </w:p>
        </w:tc>
        <w:tc>
          <w:tcPr>
            <w:tcW w:w="1509" w:type="dxa"/>
            <w:tcBorders>
              <w:top w:val="single" w:sz="4" w:space="0" w:color="000000"/>
              <w:left w:val="single" w:sz="4" w:space="0" w:color="000000"/>
              <w:bottom w:val="single" w:sz="4" w:space="0" w:color="000000"/>
            </w:tcBorders>
            <w:tcMar>
              <w:top w:w="102" w:type="dxa"/>
              <w:left w:w="62" w:type="dxa"/>
              <w:bottom w:w="102" w:type="dxa"/>
              <w:right w:w="62" w:type="dxa"/>
            </w:tcMar>
          </w:tcPr>
          <w:p w14:paraId="4EEF7654" w14:textId="77777777" w:rsidR="000D7C1E" w:rsidRPr="0078252D" w:rsidRDefault="000D7C1E" w:rsidP="00473E76">
            <w:pPr>
              <w:pStyle w:val="Standard"/>
              <w:widowControl w:val="0"/>
              <w:autoSpaceDE w:val="0"/>
              <w:jc w:val="center"/>
              <w:rPr>
                <w:sz w:val="20"/>
                <w:szCs w:val="20"/>
              </w:rPr>
            </w:pPr>
            <w:r w:rsidRPr="0078252D">
              <w:rPr>
                <w:sz w:val="20"/>
                <w:szCs w:val="20"/>
              </w:rPr>
              <w:t>-</w:t>
            </w:r>
          </w:p>
        </w:tc>
        <w:tc>
          <w:tcPr>
            <w:tcW w:w="1285" w:type="dxa"/>
            <w:tcBorders>
              <w:top w:val="single" w:sz="4" w:space="0" w:color="000000"/>
              <w:left w:val="single" w:sz="4" w:space="0" w:color="000000"/>
              <w:bottom w:val="single" w:sz="4" w:space="0" w:color="000000"/>
            </w:tcBorders>
            <w:tcMar>
              <w:top w:w="102" w:type="dxa"/>
              <w:left w:w="62" w:type="dxa"/>
              <w:bottom w:w="102" w:type="dxa"/>
              <w:right w:w="62" w:type="dxa"/>
            </w:tcMar>
            <w:vAlign w:val="center"/>
          </w:tcPr>
          <w:p w14:paraId="539B5A91" w14:textId="77777777" w:rsidR="000D7C1E" w:rsidRPr="00E74680" w:rsidRDefault="000D7C1E" w:rsidP="00473E76">
            <w:pPr>
              <w:ind w:firstLine="0"/>
              <w:jc w:val="center"/>
              <w:rPr>
                <w:rFonts w:eastAsia="Times New Roman" w:cs="Times New Roman"/>
                <w:color w:val="000000"/>
                <w:sz w:val="20"/>
                <w:szCs w:val="20"/>
                <w:lang w:eastAsia="ru-RU"/>
              </w:rPr>
            </w:pPr>
            <w:r w:rsidRPr="00E74680">
              <w:rPr>
                <w:rFonts w:eastAsia="Times New Roman" w:cs="Times New Roman"/>
                <w:color w:val="000000"/>
                <w:sz w:val="20"/>
                <w:szCs w:val="20"/>
                <w:lang w:eastAsia="ru-RU"/>
              </w:rPr>
              <w:t>Использован</w:t>
            </w:r>
          </w:p>
        </w:tc>
        <w:tc>
          <w:tcPr>
            <w:tcW w:w="3960" w:type="dxa"/>
            <w:tcBorders>
              <w:top w:val="single" w:sz="4" w:space="0" w:color="000000"/>
              <w:left w:val="single" w:sz="4" w:space="0" w:color="000000"/>
              <w:bottom w:val="single" w:sz="4" w:space="0" w:color="000000"/>
              <w:right w:val="single" w:sz="4" w:space="0" w:color="000000"/>
            </w:tcBorders>
            <w:tcMar>
              <w:top w:w="102" w:type="dxa"/>
              <w:left w:w="62" w:type="dxa"/>
              <w:bottom w:w="102" w:type="dxa"/>
              <w:right w:w="62" w:type="dxa"/>
            </w:tcMar>
            <w:vAlign w:val="center"/>
          </w:tcPr>
          <w:p w14:paraId="09EE55A7" w14:textId="61F0CEA1" w:rsidR="000D7C1E" w:rsidRPr="00E74680" w:rsidRDefault="000D7C1E" w:rsidP="00473E76">
            <w:pPr>
              <w:ind w:firstLine="0"/>
              <w:rPr>
                <w:rFonts w:eastAsia="Times New Roman" w:cs="Times New Roman"/>
                <w:color w:val="000000"/>
                <w:sz w:val="20"/>
                <w:szCs w:val="20"/>
                <w:lang w:eastAsia="ru-RU"/>
              </w:rPr>
            </w:pPr>
            <w:r w:rsidRPr="00E74680">
              <w:rPr>
                <w:rFonts w:eastAsia="Times New Roman" w:cs="Times New Roman"/>
                <w:color w:val="000000"/>
                <w:sz w:val="20"/>
                <w:szCs w:val="20"/>
                <w:lang w:eastAsia="ru-RU"/>
              </w:rPr>
              <w:t xml:space="preserve">Данный фактор использован в рамках затратного подхода в Приложении 2.5.2 </w:t>
            </w:r>
            <w:r w:rsidR="008F5144">
              <w:rPr>
                <w:rFonts w:eastAsia="Times New Roman" w:cs="Times New Roman"/>
                <w:color w:val="000000"/>
                <w:sz w:val="20"/>
                <w:szCs w:val="20"/>
                <w:lang w:eastAsia="ru-RU"/>
              </w:rPr>
              <w:t>Отчета</w:t>
            </w:r>
            <w:r w:rsidRPr="00E74680">
              <w:rPr>
                <w:rFonts w:eastAsia="Times New Roman" w:cs="Times New Roman"/>
                <w:color w:val="000000"/>
                <w:sz w:val="20"/>
                <w:szCs w:val="20"/>
                <w:lang w:eastAsia="ru-RU"/>
              </w:rPr>
              <w:t>.</w:t>
            </w:r>
            <w:r>
              <w:rPr>
                <w:rFonts w:eastAsia="Times New Roman" w:cs="Times New Roman"/>
                <w:color w:val="000000"/>
                <w:sz w:val="20"/>
                <w:szCs w:val="20"/>
                <w:lang w:eastAsia="ru-RU"/>
              </w:rPr>
              <w:t xml:space="preserve"> </w:t>
            </w:r>
            <w:r w:rsidRPr="00E74680">
              <w:rPr>
                <w:rFonts w:eastAsia="Times New Roman" w:cs="Times New Roman"/>
                <w:color w:val="000000"/>
                <w:sz w:val="20"/>
                <w:szCs w:val="20"/>
                <w:lang w:eastAsia="ru-RU"/>
              </w:rPr>
              <w:t>Согласно п.7.3.9 Методических указаний при оценке затратным подходом помещений в зданиях и сооружениях рекомендуется производить расчет стоимости здания или сооружения, частью которого является помещение, на основе доли площади, строительного объема, относящихся к данным помещениям в общей площади, строительном объеме здания или сооружения.  При этом в рамках затратного подхода дальнейшие корректировки на занимаемый этаж, видовые характеристики, тип входа и прочее не проводятся, В рамках сравнительного подхода не использовался, так как информации по данному фактору для объектов оценки и объектов- аналогов преимущественно отсутствует.</w:t>
            </w:r>
          </w:p>
        </w:tc>
      </w:tr>
      <w:tr w:rsidR="000D7C1E" w:rsidRPr="0078252D" w14:paraId="529D24B3" w14:textId="77777777" w:rsidTr="00473E76">
        <w:trPr>
          <w:trHeight w:val="20"/>
        </w:trPr>
        <w:tc>
          <w:tcPr>
            <w:tcW w:w="501" w:type="dxa"/>
            <w:tcBorders>
              <w:top w:val="single" w:sz="4" w:space="0" w:color="000000"/>
              <w:left w:val="single" w:sz="4" w:space="0" w:color="000000"/>
              <w:bottom w:val="single" w:sz="4" w:space="0" w:color="000000"/>
            </w:tcBorders>
            <w:tcMar>
              <w:top w:w="102" w:type="dxa"/>
              <w:left w:w="62" w:type="dxa"/>
              <w:bottom w:w="102" w:type="dxa"/>
              <w:right w:w="62" w:type="dxa"/>
            </w:tcMar>
            <w:vAlign w:val="center"/>
          </w:tcPr>
          <w:p w14:paraId="4004EC6E" w14:textId="77777777" w:rsidR="000D7C1E" w:rsidRPr="0078252D" w:rsidRDefault="000D7C1E" w:rsidP="00473E76">
            <w:pPr>
              <w:pStyle w:val="Standard"/>
              <w:widowControl w:val="0"/>
              <w:autoSpaceDE w:val="0"/>
              <w:jc w:val="center"/>
              <w:rPr>
                <w:sz w:val="20"/>
                <w:szCs w:val="20"/>
              </w:rPr>
            </w:pPr>
            <w:r w:rsidRPr="0078252D">
              <w:rPr>
                <w:sz w:val="20"/>
                <w:szCs w:val="20"/>
              </w:rPr>
              <w:t>30</w:t>
            </w:r>
          </w:p>
        </w:tc>
        <w:tc>
          <w:tcPr>
            <w:tcW w:w="2096" w:type="dxa"/>
            <w:tcBorders>
              <w:top w:val="single" w:sz="4" w:space="0" w:color="000000"/>
              <w:left w:val="single" w:sz="4" w:space="0" w:color="000000"/>
              <w:bottom w:val="single" w:sz="4" w:space="0" w:color="000000"/>
            </w:tcBorders>
            <w:tcMar>
              <w:top w:w="102" w:type="dxa"/>
              <w:left w:w="62" w:type="dxa"/>
              <w:bottom w:w="102" w:type="dxa"/>
              <w:right w:w="62" w:type="dxa"/>
            </w:tcMar>
          </w:tcPr>
          <w:p w14:paraId="17EF0524" w14:textId="77777777" w:rsidR="000D7C1E" w:rsidRPr="0078252D" w:rsidRDefault="000D7C1E" w:rsidP="00473E76">
            <w:pPr>
              <w:pStyle w:val="Standard"/>
              <w:widowControl w:val="0"/>
              <w:autoSpaceDE w:val="0"/>
              <w:rPr>
                <w:sz w:val="20"/>
                <w:szCs w:val="20"/>
              </w:rPr>
            </w:pPr>
            <w:r w:rsidRPr="0078252D">
              <w:rPr>
                <w:sz w:val="20"/>
                <w:szCs w:val="20"/>
              </w:rPr>
              <w:t>Материал основных несущих конструкций</w:t>
            </w:r>
          </w:p>
        </w:tc>
        <w:tc>
          <w:tcPr>
            <w:tcW w:w="1509" w:type="dxa"/>
            <w:tcBorders>
              <w:top w:val="single" w:sz="4" w:space="0" w:color="000000"/>
              <w:left w:val="single" w:sz="4" w:space="0" w:color="000000"/>
              <w:bottom w:val="single" w:sz="4" w:space="0" w:color="000000"/>
            </w:tcBorders>
            <w:tcMar>
              <w:top w:w="102" w:type="dxa"/>
              <w:left w:w="62" w:type="dxa"/>
              <w:bottom w:w="102" w:type="dxa"/>
              <w:right w:w="62" w:type="dxa"/>
            </w:tcMar>
          </w:tcPr>
          <w:p w14:paraId="47A4ED00" w14:textId="77777777" w:rsidR="000D7C1E" w:rsidRPr="0078252D" w:rsidRDefault="000D7C1E" w:rsidP="00473E76">
            <w:pPr>
              <w:pStyle w:val="Standard"/>
              <w:widowControl w:val="0"/>
              <w:autoSpaceDE w:val="0"/>
              <w:jc w:val="center"/>
              <w:rPr>
                <w:sz w:val="20"/>
                <w:szCs w:val="20"/>
              </w:rPr>
            </w:pPr>
            <w:r w:rsidRPr="0078252D">
              <w:rPr>
                <w:sz w:val="20"/>
                <w:szCs w:val="20"/>
              </w:rPr>
              <w:t>-</w:t>
            </w:r>
          </w:p>
        </w:tc>
        <w:tc>
          <w:tcPr>
            <w:tcW w:w="1285" w:type="dxa"/>
            <w:tcBorders>
              <w:top w:val="single" w:sz="4" w:space="0" w:color="000000"/>
              <w:left w:val="single" w:sz="4" w:space="0" w:color="000000"/>
              <w:bottom w:val="single" w:sz="4" w:space="0" w:color="000000"/>
            </w:tcBorders>
            <w:tcMar>
              <w:top w:w="102" w:type="dxa"/>
              <w:left w:w="62" w:type="dxa"/>
              <w:bottom w:w="102" w:type="dxa"/>
              <w:right w:w="62" w:type="dxa"/>
            </w:tcMar>
            <w:vAlign w:val="center"/>
          </w:tcPr>
          <w:p w14:paraId="1D24F850" w14:textId="77777777" w:rsidR="000D7C1E" w:rsidRPr="00E74680" w:rsidRDefault="000D7C1E" w:rsidP="00473E76">
            <w:pPr>
              <w:ind w:firstLine="0"/>
              <w:jc w:val="center"/>
              <w:rPr>
                <w:rFonts w:eastAsia="Times New Roman" w:cs="Times New Roman"/>
                <w:color w:val="000000"/>
                <w:sz w:val="20"/>
                <w:szCs w:val="20"/>
                <w:lang w:eastAsia="ru-RU"/>
              </w:rPr>
            </w:pPr>
            <w:r w:rsidRPr="00E74680">
              <w:rPr>
                <w:rFonts w:eastAsia="Times New Roman" w:cs="Times New Roman"/>
                <w:color w:val="000000"/>
                <w:sz w:val="20"/>
                <w:szCs w:val="20"/>
                <w:lang w:eastAsia="ru-RU"/>
              </w:rPr>
              <w:t>Использован</w:t>
            </w:r>
          </w:p>
        </w:tc>
        <w:tc>
          <w:tcPr>
            <w:tcW w:w="3960" w:type="dxa"/>
            <w:tcBorders>
              <w:top w:val="single" w:sz="4" w:space="0" w:color="000000"/>
              <w:left w:val="single" w:sz="4" w:space="0" w:color="000000"/>
              <w:bottom w:val="single" w:sz="4" w:space="0" w:color="000000"/>
              <w:right w:val="single" w:sz="4" w:space="0" w:color="000000"/>
            </w:tcBorders>
            <w:tcMar>
              <w:top w:w="102" w:type="dxa"/>
              <w:left w:w="62" w:type="dxa"/>
              <w:bottom w:w="102" w:type="dxa"/>
              <w:right w:w="62" w:type="dxa"/>
            </w:tcMar>
            <w:vAlign w:val="center"/>
          </w:tcPr>
          <w:p w14:paraId="2E56CA57" w14:textId="60D5E14D" w:rsidR="000D7C1E" w:rsidRPr="00E74680" w:rsidRDefault="000D7C1E" w:rsidP="00473E76">
            <w:pPr>
              <w:ind w:firstLine="0"/>
              <w:rPr>
                <w:rFonts w:eastAsia="Times New Roman" w:cs="Times New Roman"/>
                <w:color w:val="000000"/>
                <w:sz w:val="20"/>
                <w:szCs w:val="20"/>
                <w:lang w:eastAsia="ru-RU"/>
              </w:rPr>
            </w:pPr>
            <w:r w:rsidRPr="00E74680">
              <w:rPr>
                <w:rFonts w:eastAsia="Times New Roman" w:cs="Times New Roman"/>
                <w:color w:val="000000"/>
                <w:sz w:val="20"/>
                <w:szCs w:val="20"/>
                <w:lang w:eastAsia="ru-RU"/>
              </w:rPr>
              <w:t xml:space="preserve">Использован как фактор «Материал стен» или «Класс конструктивных систем». Обоснование использования приведено в п. 1.2.1.6. настоящего </w:t>
            </w:r>
            <w:r w:rsidR="008F5144">
              <w:rPr>
                <w:rFonts w:eastAsia="Times New Roman" w:cs="Times New Roman"/>
                <w:color w:val="000000"/>
                <w:sz w:val="20"/>
                <w:szCs w:val="20"/>
                <w:lang w:eastAsia="ru-RU"/>
              </w:rPr>
              <w:t>Отчета</w:t>
            </w:r>
            <w:r w:rsidRPr="00E74680">
              <w:rPr>
                <w:rFonts w:eastAsia="Times New Roman" w:cs="Times New Roman"/>
                <w:color w:val="000000"/>
                <w:sz w:val="20"/>
                <w:szCs w:val="20"/>
                <w:lang w:eastAsia="ru-RU"/>
              </w:rPr>
              <w:t>.</w:t>
            </w:r>
          </w:p>
        </w:tc>
      </w:tr>
      <w:tr w:rsidR="000D7C1E" w:rsidRPr="0078252D" w14:paraId="57696CE1" w14:textId="77777777" w:rsidTr="00473E76">
        <w:trPr>
          <w:trHeight w:val="20"/>
        </w:trPr>
        <w:tc>
          <w:tcPr>
            <w:tcW w:w="501" w:type="dxa"/>
            <w:tcBorders>
              <w:top w:val="single" w:sz="4" w:space="0" w:color="000000"/>
              <w:left w:val="single" w:sz="4" w:space="0" w:color="000000"/>
              <w:bottom w:val="single" w:sz="4" w:space="0" w:color="000000"/>
            </w:tcBorders>
            <w:tcMar>
              <w:top w:w="102" w:type="dxa"/>
              <w:left w:w="62" w:type="dxa"/>
              <w:bottom w:w="102" w:type="dxa"/>
              <w:right w:w="62" w:type="dxa"/>
            </w:tcMar>
            <w:vAlign w:val="center"/>
          </w:tcPr>
          <w:p w14:paraId="7195D099" w14:textId="77777777" w:rsidR="000D7C1E" w:rsidRPr="0078252D" w:rsidRDefault="000D7C1E" w:rsidP="00473E76">
            <w:pPr>
              <w:pStyle w:val="Standard"/>
              <w:widowControl w:val="0"/>
              <w:autoSpaceDE w:val="0"/>
              <w:jc w:val="center"/>
              <w:rPr>
                <w:sz w:val="20"/>
                <w:szCs w:val="20"/>
              </w:rPr>
            </w:pPr>
            <w:r w:rsidRPr="0078252D">
              <w:rPr>
                <w:sz w:val="20"/>
                <w:szCs w:val="20"/>
              </w:rPr>
              <w:t>31</w:t>
            </w:r>
          </w:p>
        </w:tc>
        <w:tc>
          <w:tcPr>
            <w:tcW w:w="2096" w:type="dxa"/>
            <w:tcBorders>
              <w:top w:val="single" w:sz="4" w:space="0" w:color="000000"/>
              <w:left w:val="single" w:sz="4" w:space="0" w:color="000000"/>
              <w:bottom w:val="single" w:sz="4" w:space="0" w:color="000000"/>
            </w:tcBorders>
            <w:tcMar>
              <w:top w:w="102" w:type="dxa"/>
              <w:left w:w="62" w:type="dxa"/>
              <w:bottom w:w="102" w:type="dxa"/>
              <w:right w:w="62" w:type="dxa"/>
            </w:tcMar>
          </w:tcPr>
          <w:p w14:paraId="1B707B2A" w14:textId="77777777" w:rsidR="000D7C1E" w:rsidRPr="0078252D" w:rsidRDefault="000D7C1E" w:rsidP="00473E76">
            <w:pPr>
              <w:pStyle w:val="Standard"/>
              <w:widowControl w:val="0"/>
              <w:autoSpaceDE w:val="0"/>
              <w:rPr>
                <w:sz w:val="20"/>
                <w:szCs w:val="20"/>
              </w:rPr>
            </w:pPr>
            <w:r w:rsidRPr="0078252D">
              <w:rPr>
                <w:sz w:val="20"/>
                <w:szCs w:val="20"/>
              </w:rPr>
              <w:t>Год ввода объекта в эксплуатацию или завершения строительства (для ОНС - год получения разрешения на строительство)</w:t>
            </w:r>
          </w:p>
        </w:tc>
        <w:tc>
          <w:tcPr>
            <w:tcW w:w="1509" w:type="dxa"/>
            <w:tcBorders>
              <w:top w:val="single" w:sz="4" w:space="0" w:color="000000"/>
              <w:left w:val="single" w:sz="4" w:space="0" w:color="000000"/>
              <w:bottom w:val="single" w:sz="4" w:space="0" w:color="000000"/>
            </w:tcBorders>
            <w:tcMar>
              <w:top w:w="102" w:type="dxa"/>
              <w:left w:w="62" w:type="dxa"/>
              <w:bottom w:w="102" w:type="dxa"/>
              <w:right w:w="62" w:type="dxa"/>
            </w:tcMar>
          </w:tcPr>
          <w:p w14:paraId="4531BE38" w14:textId="77777777" w:rsidR="000D7C1E" w:rsidRPr="0078252D" w:rsidRDefault="000D7C1E" w:rsidP="00473E76">
            <w:pPr>
              <w:pStyle w:val="Standard"/>
              <w:widowControl w:val="0"/>
              <w:autoSpaceDE w:val="0"/>
              <w:jc w:val="center"/>
              <w:rPr>
                <w:sz w:val="20"/>
                <w:szCs w:val="20"/>
              </w:rPr>
            </w:pPr>
            <w:r w:rsidRPr="0078252D">
              <w:rPr>
                <w:sz w:val="20"/>
                <w:szCs w:val="20"/>
              </w:rPr>
              <w:t>-</w:t>
            </w:r>
          </w:p>
        </w:tc>
        <w:tc>
          <w:tcPr>
            <w:tcW w:w="1285" w:type="dxa"/>
            <w:tcBorders>
              <w:top w:val="single" w:sz="4" w:space="0" w:color="000000"/>
              <w:left w:val="single" w:sz="4" w:space="0" w:color="000000"/>
              <w:bottom w:val="single" w:sz="4" w:space="0" w:color="000000"/>
            </w:tcBorders>
            <w:tcMar>
              <w:top w:w="102" w:type="dxa"/>
              <w:left w:w="62" w:type="dxa"/>
              <w:bottom w:w="102" w:type="dxa"/>
              <w:right w:w="62" w:type="dxa"/>
            </w:tcMar>
            <w:vAlign w:val="center"/>
          </w:tcPr>
          <w:p w14:paraId="205B3A85" w14:textId="77777777" w:rsidR="000D7C1E" w:rsidRPr="00E74680" w:rsidRDefault="000D7C1E" w:rsidP="00473E76">
            <w:pPr>
              <w:ind w:firstLine="0"/>
              <w:jc w:val="center"/>
              <w:rPr>
                <w:rFonts w:eastAsia="Times New Roman" w:cs="Times New Roman"/>
                <w:color w:val="000000"/>
                <w:sz w:val="20"/>
                <w:szCs w:val="20"/>
                <w:lang w:eastAsia="ru-RU"/>
              </w:rPr>
            </w:pPr>
            <w:r w:rsidRPr="00E74680">
              <w:rPr>
                <w:rFonts w:eastAsia="Times New Roman" w:cs="Times New Roman"/>
                <w:color w:val="000000"/>
                <w:sz w:val="20"/>
                <w:szCs w:val="20"/>
                <w:lang w:eastAsia="ru-RU"/>
              </w:rPr>
              <w:t>Использован</w:t>
            </w:r>
          </w:p>
        </w:tc>
        <w:tc>
          <w:tcPr>
            <w:tcW w:w="3960" w:type="dxa"/>
            <w:tcBorders>
              <w:top w:val="single" w:sz="4" w:space="0" w:color="000000"/>
              <w:left w:val="single" w:sz="4" w:space="0" w:color="000000"/>
              <w:bottom w:val="single" w:sz="4" w:space="0" w:color="000000"/>
              <w:right w:val="single" w:sz="4" w:space="0" w:color="000000"/>
            </w:tcBorders>
            <w:tcMar>
              <w:top w:w="102" w:type="dxa"/>
              <w:left w:w="62" w:type="dxa"/>
              <w:bottom w:w="102" w:type="dxa"/>
              <w:right w:w="62" w:type="dxa"/>
            </w:tcMar>
            <w:vAlign w:val="center"/>
          </w:tcPr>
          <w:p w14:paraId="66E0C16D" w14:textId="552F8293" w:rsidR="000D7C1E" w:rsidRPr="00E74680" w:rsidRDefault="000D7C1E" w:rsidP="00473E76">
            <w:pPr>
              <w:ind w:firstLine="0"/>
              <w:rPr>
                <w:rFonts w:eastAsia="Times New Roman" w:cs="Times New Roman"/>
                <w:color w:val="000000"/>
                <w:sz w:val="20"/>
                <w:szCs w:val="20"/>
                <w:lang w:eastAsia="ru-RU"/>
              </w:rPr>
            </w:pPr>
            <w:r w:rsidRPr="00E74680">
              <w:rPr>
                <w:rFonts w:eastAsia="Times New Roman" w:cs="Times New Roman"/>
                <w:color w:val="000000"/>
                <w:sz w:val="20"/>
                <w:szCs w:val="20"/>
                <w:lang w:eastAsia="ru-RU"/>
              </w:rPr>
              <w:t xml:space="preserve">Использован как фактор «Год постройки». Обоснование использования приведено в п. 1.2.1.6.  настоящего </w:t>
            </w:r>
            <w:r w:rsidR="008F5144">
              <w:rPr>
                <w:rFonts w:eastAsia="Times New Roman" w:cs="Times New Roman"/>
                <w:color w:val="000000"/>
                <w:sz w:val="20"/>
                <w:szCs w:val="20"/>
                <w:lang w:eastAsia="ru-RU"/>
              </w:rPr>
              <w:t>Отчета</w:t>
            </w:r>
            <w:r w:rsidRPr="00E74680">
              <w:rPr>
                <w:rFonts w:eastAsia="Times New Roman" w:cs="Times New Roman"/>
                <w:color w:val="000000"/>
                <w:sz w:val="20"/>
                <w:szCs w:val="20"/>
                <w:lang w:eastAsia="ru-RU"/>
              </w:rPr>
              <w:t>.</w:t>
            </w:r>
          </w:p>
        </w:tc>
      </w:tr>
      <w:tr w:rsidR="000D7C1E" w:rsidRPr="0078252D" w14:paraId="25F07E80" w14:textId="77777777" w:rsidTr="00473E76">
        <w:trPr>
          <w:trHeight w:val="20"/>
        </w:trPr>
        <w:tc>
          <w:tcPr>
            <w:tcW w:w="501" w:type="dxa"/>
            <w:tcBorders>
              <w:top w:val="single" w:sz="4" w:space="0" w:color="000000"/>
              <w:left w:val="single" w:sz="4" w:space="0" w:color="000000"/>
              <w:bottom w:val="single" w:sz="4" w:space="0" w:color="000000"/>
            </w:tcBorders>
            <w:tcMar>
              <w:top w:w="102" w:type="dxa"/>
              <w:left w:w="62" w:type="dxa"/>
              <w:bottom w:w="102" w:type="dxa"/>
              <w:right w:w="62" w:type="dxa"/>
            </w:tcMar>
            <w:vAlign w:val="center"/>
          </w:tcPr>
          <w:p w14:paraId="0282DE5E" w14:textId="77777777" w:rsidR="000D7C1E" w:rsidRPr="0078252D" w:rsidRDefault="000D7C1E" w:rsidP="00473E76">
            <w:pPr>
              <w:pStyle w:val="Standard"/>
              <w:widowControl w:val="0"/>
              <w:autoSpaceDE w:val="0"/>
              <w:jc w:val="center"/>
              <w:rPr>
                <w:sz w:val="20"/>
                <w:szCs w:val="20"/>
              </w:rPr>
            </w:pPr>
            <w:r w:rsidRPr="0078252D">
              <w:rPr>
                <w:sz w:val="20"/>
                <w:szCs w:val="20"/>
              </w:rPr>
              <w:t>32</w:t>
            </w:r>
          </w:p>
        </w:tc>
        <w:tc>
          <w:tcPr>
            <w:tcW w:w="2096" w:type="dxa"/>
            <w:tcBorders>
              <w:top w:val="single" w:sz="4" w:space="0" w:color="000000"/>
              <w:left w:val="single" w:sz="4" w:space="0" w:color="000000"/>
              <w:bottom w:val="single" w:sz="4" w:space="0" w:color="000000"/>
            </w:tcBorders>
            <w:tcMar>
              <w:top w:w="102" w:type="dxa"/>
              <w:left w:w="62" w:type="dxa"/>
              <w:bottom w:w="102" w:type="dxa"/>
              <w:right w:w="62" w:type="dxa"/>
            </w:tcMar>
          </w:tcPr>
          <w:p w14:paraId="71995B77" w14:textId="77777777" w:rsidR="000D7C1E" w:rsidRPr="0078252D" w:rsidRDefault="000D7C1E" w:rsidP="00473E76">
            <w:pPr>
              <w:pStyle w:val="Standard"/>
              <w:widowControl w:val="0"/>
              <w:autoSpaceDE w:val="0"/>
              <w:rPr>
                <w:sz w:val="20"/>
                <w:szCs w:val="20"/>
              </w:rPr>
            </w:pPr>
            <w:r w:rsidRPr="0078252D">
              <w:rPr>
                <w:sz w:val="20"/>
                <w:szCs w:val="20"/>
              </w:rPr>
              <w:t>Дата проведения капитального ремонта (реконструкции)</w:t>
            </w:r>
          </w:p>
        </w:tc>
        <w:tc>
          <w:tcPr>
            <w:tcW w:w="1509" w:type="dxa"/>
            <w:tcBorders>
              <w:top w:val="single" w:sz="4" w:space="0" w:color="000000"/>
              <w:left w:val="single" w:sz="4" w:space="0" w:color="000000"/>
              <w:bottom w:val="single" w:sz="4" w:space="0" w:color="000000"/>
            </w:tcBorders>
            <w:tcMar>
              <w:top w:w="102" w:type="dxa"/>
              <w:left w:w="62" w:type="dxa"/>
              <w:bottom w:w="102" w:type="dxa"/>
              <w:right w:w="62" w:type="dxa"/>
            </w:tcMar>
          </w:tcPr>
          <w:p w14:paraId="2356E197" w14:textId="77777777" w:rsidR="000D7C1E" w:rsidRPr="0078252D" w:rsidRDefault="000D7C1E" w:rsidP="00473E76">
            <w:pPr>
              <w:pStyle w:val="Standard"/>
              <w:widowControl w:val="0"/>
              <w:autoSpaceDE w:val="0"/>
              <w:jc w:val="center"/>
              <w:rPr>
                <w:sz w:val="20"/>
                <w:szCs w:val="20"/>
              </w:rPr>
            </w:pPr>
            <w:r w:rsidRPr="0078252D">
              <w:rPr>
                <w:sz w:val="20"/>
                <w:szCs w:val="20"/>
              </w:rPr>
              <w:t>-</w:t>
            </w:r>
          </w:p>
        </w:tc>
        <w:tc>
          <w:tcPr>
            <w:tcW w:w="1285" w:type="dxa"/>
            <w:tcBorders>
              <w:top w:val="single" w:sz="4" w:space="0" w:color="000000"/>
              <w:left w:val="single" w:sz="4" w:space="0" w:color="000000"/>
              <w:bottom w:val="single" w:sz="4" w:space="0" w:color="000000"/>
            </w:tcBorders>
            <w:tcMar>
              <w:top w:w="102" w:type="dxa"/>
              <w:left w:w="62" w:type="dxa"/>
              <w:bottom w:w="102" w:type="dxa"/>
              <w:right w:w="62" w:type="dxa"/>
            </w:tcMar>
            <w:vAlign w:val="center"/>
          </w:tcPr>
          <w:p w14:paraId="571923EA" w14:textId="77777777" w:rsidR="000D7C1E" w:rsidRPr="00E74680" w:rsidRDefault="000D7C1E" w:rsidP="00473E76">
            <w:pPr>
              <w:ind w:firstLine="0"/>
              <w:jc w:val="center"/>
              <w:rPr>
                <w:rFonts w:eastAsia="Times New Roman" w:cs="Times New Roman"/>
                <w:color w:val="000000"/>
                <w:sz w:val="20"/>
                <w:szCs w:val="20"/>
                <w:lang w:eastAsia="ru-RU"/>
              </w:rPr>
            </w:pPr>
            <w:r w:rsidRPr="00E74680">
              <w:rPr>
                <w:rFonts w:eastAsia="Times New Roman" w:cs="Times New Roman"/>
                <w:color w:val="000000"/>
                <w:sz w:val="20"/>
                <w:szCs w:val="20"/>
                <w:lang w:eastAsia="ru-RU"/>
              </w:rPr>
              <w:t>Не использован</w:t>
            </w:r>
          </w:p>
        </w:tc>
        <w:tc>
          <w:tcPr>
            <w:tcW w:w="3960" w:type="dxa"/>
            <w:tcBorders>
              <w:top w:val="single" w:sz="4" w:space="0" w:color="000000"/>
              <w:left w:val="single" w:sz="4" w:space="0" w:color="000000"/>
              <w:bottom w:val="single" w:sz="4" w:space="0" w:color="000000"/>
              <w:right w:val="single" w:sz="4" w:space="0" w:color="000000"/>
            </w:tcBorders>
            <w:tcMar>
              <w:top w:w="102" w:type="dxa"/>
              <w:left w:w="62" w:type="dxa"/>
              <w:bottom w:w="102" w:type="dxa"/>
              <w:right w:w="62" w:type="dxa"/>
            </w:tcMar>
            <w:vAlign w:val="center"/>
          </w:tcPr>
          <w:p w14:paraId="7A839B7A" w14:textId="77777777" w:rsidR="000D7C1E" w:rsidRPr="00E74680" w:rsidRDefault="000D7C1E" w:rsidP="00473E76">
            <w:pPr>
              <w:ind w:firstLine="0"/>
              <w:jc w:val="left"/>
              <w:rPr>
                <w:rFonts w:eastAsia="Times New Roman" w:cs="Times New Roman"/>
                <w:color w:val="000000"/>
                <w:sz w:val="20"/>
                <w:szCs w:val="20"/>
                <w:lang w:eastAsia="ru-RU"/>
              </w:rPr>
            </w:pPr>
            <w:r w:rsidRPr="00E74680">
              <w:rPr>
                <w:rFonts w:eastAsia="Times New Roman" w:cs="Times New Roman"/>
                <w:color w:val="000000"/>
                <w:sz w:val="20"/>
                <w:szCs w:val="20"/>
                <w:lang w:eastAsia="ru-RU"/>
              </w:rPr>
              <w:t>Отсутствует подтвержденная информация. Дата проведения ремонта не влияет на стоимость ОКС, влияет сама стоимость ремонта.</w:t>
            </w:r>
          </w:p>
        </w:tc>
      </w:tr>
      <w:tr w:rsidR="000D7C1E" w:rsidRPr="0078252D" w14:paraId="0F6043A7" w14:textId="77777777" w:rsidTr="00473E76">
        <w:trPr>
          <w:trHeight w:val="20"/>
        </w:trPr>
        <w:tc>
          <w:tcPr>
            <w:tcW w:w="501" w:type="dxa"/>
            <w:tcBorders>
              <w:top w:val="single" w:sz="4" w:space="0" w:color="000000"/>
              <w:left w:val="single" w:sz="4" w:space="0" w:color="000000"/>
              <w:bottom w:val="single" w:sz="4" w:space="0" w:color="000000"/>
            </w:tcBorders>
            <w:tcMar>
              <w:top w:w="102" w:type="dxa"/>
              <w:left w:w="62" w:type="dxa"/>
              <w:bottom w:w="102" w:type="dxa"/>
              <w:right w:w="62" w:type="dxa"/>
            </w:tcMar>
            <w:vAlign w:val="center"/>
          </w:tcPr>
          <w:p w14:paraId="1631ACA0" w14:textId="77777777" w:rsidR="000D7C1E" w:rsidRPr="0078252D" w:rsidRDefault="000D7C1E" w:rsidP="00473E76">
            <w:pPr>
              <w:pStyle w:val="Standard"/>
              <w:widowControl w:val="0"/>
              <w:autoSpaceDE w:val="0"/>
              <w:jc w:val="center"/>
              <w:rPr>
                <w:sz w:val="20"/>
                <w:szCs w:val="20"/>
              </w:rPr>
            </w:pPr>
            <w:r w:rsidRPr="0078252D">
              <w:rPr>
                <w:sz w:val="20"/>
                <w:szCs w:val="20"/>
              </w:rPr>
              <w:t>33</w:t>
            </w:r>
          </w:p>
        </w:tc>
        <w:tc>
          <w:tcPr>
            <w:tcW w:w="2096" w:type="dxa"/>
            <w:tcBorders>
              <w:top w:val="single" w:sz="4" w:space="0" w:color="000000"/>
              <w:left w:val="single" w:sz="4" w:space="0" w:color="000000"/>
              <w:bottom w:val="single" w:sz="4" w:space="0" w:color="000000"/>
            </w:tcBorders>
            <w:tcMar>
              <w:top w:w="102" w:type="dxa"/>
              <w:left w:w="62" w:type="dxa"/>
              <w:bottom w:w="102" w:type="dxa"/>
              <w:right w:w="62" w:type="dxa"/>
            </w:tcMar>
          </w:tcPr>
          <w:p w14:paraId="0AB82B7A" w14:textId="77777777" w:rsidR="000D7C1E" w:rsidRPr="0078252D" w:rsidRDefault="000D7C1E" w:rsidP="00473E76">
            <w:pPr>
              <w:pStyle w:val="Standard"/>
              <w:widowControl w:val="0"/>
              <w:autoSpaceDE w:val="0"/>
              <w:rPr>
                <w:sz w:val="20"/>
                <w:szCs w:val="20"/>
              </w:rPr>
            </w:pPr>
            <w:r w:rsidRPr="0078252D">
              <w:rPr>
                <w:sz w:val="20"/>
                <w:szCs w:val="20"/>
              </w:rPr>
              <w:t>Дата установления состояния</w:t>
            </w:r>
          </w:p>
        </w:tc>
        <w:tc>
          <w:tcPr>
            <w:tcW w:w="1509" w:type="dxa"/>
            <w:tcBorders>
              <w:top w:val="single" w:sz="4" w:space="0" w:color="000000"/>
              <w:left w:val="single" w:sz="4" w:space="0" w:color="000000"/>
              <w:bottom w:val="single" w:sz="4" w:space="0" w:color="000000"/>
            </w:tcBorders>
            <w:tcMar>
              <w:top w:w="102" w:type="dxa"/>
              <w:left w:w="62" w:type="dxa"/>
              <w:bottom w:w="102" w:type="dxa"/>
              <w:right w:w="62" w:type="dxa"/>
            </w:tcMar>
          </w:tcPr>
          <w:p w14:paraId="5668A762" w14:textId="77777777" w:rsidR="000D7C1E" w:rsidRPr="0078252D" w:rsidRDefault="000D7C1E" w:rsidP="00473E76">
            <w:pPr>
              <w:pStyle w:val="Standard"/>
              <w:widowControl w:val="0"/>
              <w:autoSpaceDE w:val="0"/>
              <w:jc w:val="center"/>
              <w:rPr>
                <w:sz w:val="20"/>
                <w:szCs w:val="20"/>
              </w:rPr>
            </w:pPr>
            <w:r w:rsidRPr="0078252D">
              <w:rPr>
                <w:sz w:val="20"/>
                <w:szCs w:val="20"/>
              </w:rPr>
              <w:t>-</w:t>
            </w:r>
          </w:p>
        </w:tc>
        <w:tc>
          <w:tcPr>
            <w:tcW w:w="1285" w:type="dxa"/>
            <w:tcBorders>
              <w:top w:val="single" w:sz="4" w:space="0" w:color="000000"/>
              <w:left w:val="single" w:sz="4" w:space="0" w:color="000000"/>
              <w:bottom w:val="single" w:sz="4" w:space="0" w:color="000000"/>
            </w:tcBorders>
            <w:tcMar>
              <w:top w:w="102" w:type="dxa"/>
              <w:left w:w="62" w:type="dxa"/>
              <w:bottom w:w="102" w:type="dxa"/>
              <w:right w:w="62" w:type="dxa"/>
            </w:tcMar>
            <w:vAlign w:val="center"/>
          </w:tcPr>
          <w:p w14:paraId="07EA400F" w14:textId="77777777" w:rsidR="000D7C1E" w:rsidRPr="00E74680" w:rsidRDefault="000D7C1E" w:rsidP="00473E76">
            <w:pPr>
              <w:ind w:firstLine="0"/>
              <w:jc w:val="center"/>
              <w:rPr>
                <w:rFonts w:eastAsia="Times New Roman" w:cs="Times New Roman"/>
                <w:color w:val="000000"/>
                <w:sz w:val="20"/>
                <w:szCs w:val="20"/>
                <w:lang w:eastAsia="ru-RU"/>
              </w:rPr>
            </w:pPr>
            <w:r w:rsidRPr="00E74680">
              <w:rPr>
                <w:rFonts w:eastAsia="Times New Roman" w:cs="Times New Roman"/>
                <w:color w:val="000000"/>
                <w:sz w:val="20"/>
                <w:szCs w:val="20"/>
                <w:lang w:eastAsia="ru-RU"/>
              </w:rPr>
              <w:t>Не использован</w:t>
            </w:r>
          </w:p>
        </w:tc>
        <w:tc>
          <w:tcPr>
            <w:tcW w:w="3960" w:type="dxa"/>
            <w:tcBorders>
              <w:top w:val="single" w:sz="4" w:space="0" w:color="000000"/>
              <w:left w:val="single" w:sz="4" w:space="0" w:color="000000"/>
              <w:bottom w:val="single" w:sz="4" w:space="0" w:color="000000"/>
              <w:right w:val="single" w:sz="4" w:space="0" w:color="000000"/>
            </w:tcBorders>
            <w:tcMar>
              <w:top w:w="102" w:type="dxa"/>
              <w:left w:w="62" w:type="dxa"/>
              <w:bottom w:w="102" w:type="dxa"/>
              <w:right w:w="62" w:type="dxa"/>
            </w:tcMar>
            <w:vAlign w:val="center"/>
          </w:tcPr>
          <w:p w14:paraId="40A830AD" w14:textId="77777777" w:rsidR="000D7C1E" w:rsidRPr="00E74680" w:rsidRDefault="000D7C1E" w:rsidP="00473E76">
            <w:pPr>
              <w:ind w:firstLine="0"/>
              <w:jc w:val="left"/>
              <w:rPr>
                <w:rFonts w:eastAsia="Times New Roman" w:cs="Times New Roman"/>
                <w:color w:val="000000"/>
                <w:sz w:val="20"/>
                <w:szCs w:val="20"/>
                <w:lang w:eastAsia="ru-RU"/>
              </w:rPr>
            </w:pPr>
            <w:r w:rsidRPr="00E74680">
              <w:rPr>
                <w:rFonts w:eastAsia="Times New Roman" w:cs="Times New Roman"/>
                <w:color w:val="000000"/>
                <w:sz w:val="20"/>
                <w:szCs w:val="20"/>
                <w:lang w:eastAsia="ru-RU"/>
              </w:rPr>
              <w:t>Отсутствует подтвержденная информация.</w:t>
            </w:r>
          </w:p>
        </w:tc>
      </w:tr>
      <w:tr w:rsidR="000D7C1E" w:rsidRPr="0078252D" w14:paraId="35B5DA90" w14:textId="77777777" w:rsidTr="00473E76">
        <w:trPr>
          <w:trHeight w:val="20"/>
        </w:trPr>
        <w:tc>
          <w:tcPr>
            <w:tcW w:w="501" w:type="dxa"/>
            <w:tcBorders>
              <w:top w:val="single" w:sz="4" w:space="0" w:color="000000"/>
              <w:left w:val="single" w:sz="4" w:space="0" w:color="000000"/>
              <w:bottom w:val="single" w:sz="4" w:space="0" w:color="000000"/>
            </w:tcBorders>
            <w:tcMar>
              <w:top w:w="102" w:type="dxa"/>
              <w:left w:w="62" w:type="dxa"/>
              <w:bottom w:w="102" w:type="dxa"/>
              <w:right w:w="62" w:type="dxa"/>
            </w:tcMar>
            <w:vAlign w:val="center"/>
          </w:tcPr>
          <w:p w14:paraId="7B10193C" w14:textId="77777777" w:rsidR="000D7C1E" w:rsidRPr="0078252D" w:rsidRDefault="000D7C1E" w:rsidP="00473E76">
            <w:pPr>
              <w:pStyle w:val="Standard"/>
              <w:widowControl w:val="0"/>
              <w:autoSpaceDE w:val="0"/>
              <w:jc w:val="center"/>
              <w:rPr>
                <w:sz w:val="20"/>
                <w:szCs w:val="20"/>
              </w:rPr>
            </w:pPr>
            <w:r w:rsidRPr="0078252D">
              <w:rPr>
                <w:sz w:val="20"/>
                <w:szCs w:val="20"/>
              </w:rPr>
              <w:t>34</w:t>
            </w:r>
          </w:p>
        </w:tc>
        <w:tc>
          <w:tcPr>
            <w:tcW w:w="2096" w:type="dxa"/>
            <w:tcBorders>
              <w:top w:val="single" w:sz="4" w:space="0" w:color="000000"/>
              <w:left w:val="single" w:sz="4" w:space="0" w:color="000000"/>
              <w:bottom w:val="single" w:sz="4" w:space="0" w:color="000000"/>
            </w:tcBorders>
            <w:tcMar>
              <w:top w:w="102" w:type="dxa"/>
              <w:left w:w="62" w:type="dxa"/>
              <w:bottom w:w="102" w:type="dxa"/>
              <w:right w:w="62" w:type="dxa"/>
            </w:tcMar>
          </w:tcPr>
          <w:p w14:paraId="33A4FC26" w14:textId="77777777" w:rsidR="000D7C1E" w:rsidRPr="0078252D" w:rsidRDefault="000D7C1E" w:rsidP="00473E76">
            <w:pPr>
              <w:pStyle w:val="Standard"/>
              <w:widowControl w:val="0"/>
              <w:autoSpaceDE w:val="0"/>
              <w:rPr>
                <w:sz w:val="20"/>
                <w:szCs w:val="20"/>
              </w:rPr>
            </w:pPr>
            <w:r w:rsidRPr="0078252D">
              <w:rPr>
                <w:sz w:val="20"/>
                <w:szCs w:val="20"/>
              </w:rPr>
              <w:t>Капитальность объекта</w:t>
            </w:r>
          </w:p>
        </w:tc>
        <w:tc>
          <w:tcPr>
            <w:tcW w:w="1509" w:type="dxa"/>
            <w:tcBorders>
              <w:top w:val="single" w:sz="4" w:space="0" w:color="000000"/>
              <w:left w:val="single" w:sz="4" w:space="0" w:color="000000"/>
              <w:bottom w:val="single" w:sz="4" w:space="0" w:color="000000"/>
            </w:tcBorders>
            <w:tcMar>
              <w:top w:w="102" w:type="dxa"/>
              <w:left w:w="62" w:type="dxa"/>
              <w:bottom w:w="102" w:type="dxa"/>
              <w:right w:w="62" w:type="dxa"/>
            </w:tcMar>
          </w:tcPr>
          <w:p w14:paraId="5B6A0044" w14:textId="77777777" w:rsidR="000D7C1E" w:rsidRPr="0078252D" w:rsidRDefault="000D7C1E" w:rsidP="00473E76">
            <w:pPr>
              <w:pStyle w:val="Standard"/>
              <w:widowControl w:val="0"/>
              <w:autoSpaceDE w:val="0"/>
              <w:jc w:val="center"/>
              <w:rPr>
                <w:sz w:val="20"/>
                <w:szCs w:val="20"/>
              </w:rPr>
            </w:pPr>
            <w:r w:rsidRPr="0078252D">
              <w:rPr>
                <w:sz w:val="20"/>
                <w:szCs w:val="20"/>
              </w:rPr>
              <w:t>-</w:t>
            </w:r>
          </w:p>
        </w:tc>
        <w:tc>
          <w:tcPr>
            <w:tcW w:w="1285" w:type="dxa"/>
            <w:tcBorders>
              <w:top w:val="single" w:sz="4" w:space="0" w:color="000000"/>
              <w:left w:val="single" w:sz="4" w:space="0" w:color="000000"/>
              <w:bottom w:val="single" w:sz="4" w:space="0" w:color="000000"/>
            </w:tcBorders>
            <w:tcMar>
              <w:top w:w="102" w:type="dxa"/>
              <w:left w:w="62" w:type="dxa"/>
              <w:bottom w:w="102" w:type="dxa"/>
              <w:right w:w="62" w:type="dxa"/>
            </w:tcMar>
            <w:vAlign w:val="center"/>
          </w:tcPr>
          <w:p w14:paraId="0C990EF7" w14:textId="77777777" w:rsidR="000D7C1E" w:rsidRPr="00E74680" w:rsidRDefault="000D7C1E" w:rsidP="00473E76">
            <w:pPr>
              <w:ind w:firstLine="0"/>
              <w:jc w:val="center"/>
              <w:rPr>
                <w:rFonts w:eastAsia="Times New Roman" w:cs="Times New Roman"/>
                <w:color w:val="000000"/>
                <w:sz w:val="20"/>
                <w:szCs w:val="20"/>
                <w:lang w:eastAsia="ru-RU"/>
              </w:rPr>
            </w:pPr>
            <w:r w:rsidRPr="00E74680">
              <w:rPr>
                <w:rFonts w:eastAsia="Times New Roman" w:cs="Times New Roman"/>
                <w:color w:val="000000"/>
                <w:sz w:val="20"/>
                <w:szCs w:val="20"/>
                <w:lang w:eastAsia="ru-RU"/>
              </w:rPr>
              <w:t>Использован</w:t>
            </w:r>
          </w:p>
        </w:tc>
        <w:tc>
          <w:tcPr>
            <w:tcW w:w="3960" w:type="dxa"/>
            <w:tcBorders>
              <w:top w:val="single" w:sz="4" w:space="0" w:color="000000"/>
              <w:left w:val="single" w:sz="4" w:space="0" w:color="000000"/>
              <w:bottom w:val="single" w:sz="4" w:space="0" w:color="000000"/>
              <w:right w:val="single" w:sz="4" w:space="0" w:color="000000"/>
            </w:tcBorders>
            <w:tcMar>
              <w:top w:w="102" w:type="dxa"/>
              <w:left w:w="62" w:type="dxa"/>
              <w:bottom w:w="102" w:type="dxa"/>
              <w:right w:w="62" w:type="dxa"/>
            </w:tcMar>
            <w:vAlign w:val="center"/>
          </w:tcPr>
          <w:p w14:paraId="66DFE089" w14:textId="77777777" w:rsidR="000D7C1E" w:rsidRPr="00E74680" w:rsidRDefault="000D7C1E" w:rsidP="00473E76">
            <w:pPr>
              <w:ind w:firstLine="0"/>
              <w:rPr>
                <w:rFonts w:eastAsia="Times New Roman" w:cs="Times New Roman"/>
                <w:color w:val="000000"/>
                <w:sz w:val="20"/>
                <w:szCs w:val="20"/>
                <w:lang w:eastAsia="ru-RU"/>
              </w:rPr>
            </w:pPr>
            <w:r w:rsidRPr="00E74680">
              <w:rPr>
                <w:rFonts w:eastAsia="Times New Roman" w:cs="Times New Roman"/>
                <w:color w:val="000000"/>
                <w:sz w:val="20"/>
                <w:szCs w:val="20"/>
                <w:lang w:eastAsia="ru-RU"/>
              </w:rPr>
              <w:t>Использован как фактор «Группа капитальности». Для расчетов затратным подходом с использованием справочников КО-ИНВЕСТ.</w:t>
            </w:r>
          </w:p>
        </w:tc>
      </w:tr>
      <w:tr w:rsidR="000D7C1E" w:rsidRPr="0078252D" w14:paraId="17EBA3EB" w14:textId="77777777" w:rsidTr="00473E76">
        <w:trPr>
          <w:trHeight w:val="20"/>
        </w:trPr>
        <w:tc>
          <w:tcPr>
            <w:tcW w:w="501" w:type="dxa"/>
            <w:tcBorders>
              <w:top w:val="single" w:sz="4" w:space="0" w:color="000000"/>
              <w:left w:val="single" w:sz="4" w:space="0" w:color="000000"/>
              <w:bottom w:val="single" w:sz="4" w:space="0" w:color="000000"/>
            </w:tcBorders>
            <w:tcMar>
              <w:top w:w="102" w:type="dxa"/>
              <w:left w:w="62" w:type="dxa"/>
              <w:bottom w:w="102" w:type="dxa"/>
              <w:right w:w="62" w:type="dxa"/>
            </w:tcMar>
            <w:vAlign w:val="center"/>
          </w:tcPr>
          <w:p w14:paraId="1C8E8448" w14:textId="77777777" w:rsidR="000D7C1E" w:rsidRPr="0078252D" w:rsidRDefault="000D7C1E" w:rsidP="00473E76">
            <w:pPr>
              <w:pStyle w:val="Standard"/>
              <w:widowControl w:val="0"/>
              <w:autoSpaceDE w:val="0"/>
              <w:jc w:val="center"/>
              <w:rPr>
                <w:sz w:val="20"/>
                <w:szCs w:val="20"/>
              </w:rPr>
            </w:pPr>
            <w:r w:rsidRPr="0078252D">
              <w:rPr>
                <w:sz w:val="20"/>
                <w:szCs w:val="20"/>
              </w:rPr>
              <w:t>35</w:t>
            </w:r>
          </w:p>
        </w:tc>
        <w:tc>
          <w:tcPr>
            <w:tcW w:w="2096" w:type="dxa"/>
            <w:tcBorders>
              <w:top w:val="single" w:sz="4" w:space="0" w:color="000000"/>
              <w:left w:val="single" w:sz="4" w:space="0" w:color="000000"/>
              <w:bottom w:val="single" w:sz="4" w:space="0" w:color="000000"/>
            </w:tcBorders>
            <w:tcMar>
              <w:top w:w="102" w:type="dxa"/>
              <w:left w:w="62" w:type="dxa"/>
              <w:bottom w:w="102" w:type="dxa"/>
              <w:right w:w="62" w:type="dxa"/>
            </w:tcMar>
          </w:tcPr>
          <w:p w14:paraId="227579F3" w14:textId="77777777" w:rsidR="000D7C1E" w:rsidRPr="0078252D" w:rsidRDefault="000D7C1E" w:rsidP="00473E76">
            <w:pPr>
              <w:pStyle w:val="Standard"/>
              <w:widowControl w:val="0"/>
              <w:autoSpaceDE w:val="0"/>
              <w:rPr>
                <w:sz w:val="20"/>
                <w:szCs w:val="20"/>
              </w:rPr>
            </w:pPr>
            <w:r w:rsidRPr="0078252D">
              <w:rPr>
                <w:sz w:val="20"/>
                <w:szCs w:val="20"/>
              </w:rPr>
              <w:t>Планировка</w:t>
            </w:r>
          </w:p>
        </w:tc>
        <w:tc>
          <w:tcPr>
            <w:tcW w:w="1509" w:type="dxa"/>
            <w:tcBorders>
              <w:top w:val="single" w:sz="4" w:space="0" w:color="000000"/>
              <w:left w:val="single" w:sz="4" w:space="0" w:color="000000"/>
              <w:bottom w:val="single" w:sz="4" w:space="0" w:color="000000"/>
            </w:tcBorders>
            <w:tcMar>
              <w:top w:w="102" w:type="dxa"/>
              <w:left w:w="62" w:type="dxa"/>
              <w:bottom w:w="102" w:type="dxa"/>
              <w:right w:w="62" w:type="dxa"/>
            </w:tcMar>
          </w:tcPr>
          <w:p w14:paraId="0FD4372C" w14:textId="77777777" w:rsidR="000D7C1E" w:rsidRPr="0078252D" w:rsidRDefault="000D7C1E" w:rsidP="00473E76">
            <w:pPr>
              <w:pStyle w:val="Standard"/>
              <w:widowControl w:val="0"/>
              <w:autoSpaceDE w:val="0"/>
              <w:jc w:val="center"/>
              <w:rPr>
                <w:sz w:val="20"/>
                <w:szCs w:val="20"/>
              </w:rPr>
            </w:pPr>
            <w:r w:rsidRPr="0078252D">
              <w:rPr>
                <w:sz w:val="20"/>
                <w:szCs w:val="20"/>
              </w:rPr>
              <w:t>-</w:t>
            </w:r>
          </w:p>
        </w:tc>
        <w:tc>
          <w:tcPr>
            <w:tcW w:w="1285" w:type="dxa"/>
            <w:tcBorders>
              <w:top w:val="single" w:sz="4" w:space="0" w:color="000000"/>
              <w:left w:val="single" w:sz="4" w:space="0" w:color="000000"/>
              <w:bottom w:val="single" w:sz="4" w:space="0" w:color="000000"/>
            </w:tcBorders>
            <w:tcMar>
              <w:top w:w="102" w:type="dxa"/>
              <w:left w:w="62" w:type="dxa"/>
              <w:bottom w:w="102" w:type="dxa"/>
              <w:right w:w="62" w:type="dxa"/>
            </w:tcMar>
            <w:vAlign w:val="center"/>
          </w:tcPr>
          <w:p w14:paraId="5B5548EE" w14:textId="77777777" w:rsidR="000D7C1E" w:rsidRPr="00E74680" w:rsidRDefault="000D7C1E" w:rsidP="00473E76">
            <w:pPr>
              <w:ind w:firstLine="0"/>
              <w:jc w:val="center"/>
              <w:rPr>
                <w:rFonts w:eastAsia="Times New Roman" w:cs="Times New Roman"/>
                <w:color w:val="000000"/>
                <w:sz w:val="20"/>
                <w:szCs w:val="20"/>
                <w:lang w:eastAsia="ru-RU"/>
              </w:rPr>
            </w:pPr>
            <w:r w:rsidRPr="00E74680">
              <w:rPr>
                <w:rFonts w:eastAsia="Times New Roman" w:cs="Times New Roman"/>
                <w:color w:val="000000"/>
                <w:sz w:val="20"/>
                <w:szCs w:val="20"/>
                <w:lang w:eastAsia="ru-RU"/>
              </w:rPr>
              <w:t>Не использован</w:t>
            </w:r>
          </w:p>
        </w:tc>
        <w:tc>
          <w:tcPr>
            <w:tcW w:w="3960" w:type="dxa"/>
            <w:tcBorders>
              <w:top w:val="single" w:sz="4" w:space="0" w:color="000000"/>
              <w:left w:val="single" w:sz="4" w:space="0" w:color="000000"/>
              <w:bottom w:val="single" w:sz="4" w:space="0" w:color="000000"/>
              <w:right w:val="single" w:sz="4" w:space="0" w:color="000000"/>
            </w:tcBorders>
            <w:tcMar>
              <w:top w:w="102" w:type="dxa"/>
              <w:left w:w="62" w:type="dxa"/>
              <w:bottom w:w="102" w:type="dxa"/>
              <w:right w:w="62" w:type="dxa"/>
            </w:tcMar>
            <w:vAlign w:val="center"/>
          </w:tcPr>
          <w:p w14:paraId="71DBCA45" w14:textId="120A0409" w:rsidR="000D7C1E" w:rsidRPr="00E74680" w:rsidRDefault="000D7C1E" w:rsidP="00473E76">
            <w:pPr>
              <w:ind w:firstLine="0"/>
              <w:rPr>
                <w:rFonts w:eastAsia="Times New Roman" w:cs="Times New Roman"/>
                <w:color w:val="000000"/>
                <w:sz w:val="20"/>
                <w:szCs w:val="20"/>
                <w:lang w:eastAsia="ru-RU"/>
              </w:rPr>
            </w:pPr>
            <w:r w:rsidRPr="00E74680">
              <w:rPr>
                <w:rFonts w:eastAsia="Times New Roman" w:cs="Times New Roman"/>
                <w:color w:val="000000"/>
                <w:sz w:val="20"/>
                <w:szCs w:val="20"/>
                <w:lang w:eastAsia="ru-RU"/>
              </w:rPr>
              <w:t>Данные ЕГРН</w:t>
            </w:r>
            <w:r w:rsidR="00473E76">
              <w:rPr>
                <w:rFonts w:eastAsia="Times New Roman" w:cs="Times New Roman"/>
                <w:color w:val="000000"/>
                <w:sz w:val="20"/>
                <w:szCs w:val="20"/>
                <w:lang w:eastAsia="ru-RU"/>
              </w:rPr>
              <w:t>, предоставленные бюджетному</w:t>
            </w:r>
            <w:r w:rsidRPr="00E74680">
              <w:rPr>
                <w:rFonts w:eastAsia="Times New Roman" w:cs="Times New Roman"/>
                <w:color w:val="000000"/>
                <w:sz w:val="20"/>
                <w:szCs w:val="20"/>
                <w:lang w:eastAsia="ru-RU"/>
              </w:rPr>
              <w:t xml:space="preserve"> учреждению, не содержат сведений о ценообразующем факторе по объектам оценки. В связи с чем данный фактор не использовался.</w:t>
            </w:r>
          </w:p>
        </w:tc>
      </w:tr>
      <w:tr w:rsidR="000D7C1E" w:rsidRPr="0078252D" w14:paraId="3E3233AB" w14:textId="77777777" w:rsidTr="00473E76">
        <w:trPr>
          <w:trHeight w:val="20"/>
        </w:trPr>
        <w:tc>
          <w:tcPr>
            <w:tcW w:w="501" w:type="dxa"/>
            <w:tcBorders>
              <w:top w:val="single" w:sz="4" w:space="0" w:color="000000"/>
              <w:left w:val="single" w:sz="4" w:space="0" w:color="000000"/>
              <w:bottom w:val="single" w:sz="4" w:space="0" w:color="000000"/>
            </w:tcBorders>
            <w:tcMar>
              <w:top w:w="102" w:type="dxa"/>
              <w:left w:w="62" w:type="dxa"/>
              <w:bottom w:w="102" w:type="dxa"/>
              <w:right w:w="62" w:type="dxa"/>
            </w:tcMar>
            <w:vAlign w:val="center"/>
          </w:tcPr>
          <w:p w14:paraId="45FC22BF" w14:textId="77777777" w:rsidR="000D7C1E" w:rsidRPr="0078252D" w:rsidRDefault="000D7C1E" w:rsidP="00473E76">
            <w:pPr>
              <w:pStyle w:val="Standard"/>
              <w:widowControl w:val="0"/>
              <w:autoSpaceDE w:val="0"/>
              <w:jc w:val="center"/>
              <w:rPr>
                <w:sz w:val="20"/>
                <w:szCs w:val="20"/>
              </w:rPr>
            </w:pPr>
            <w:r w:rsidRPr="0078252D">
              <w:rPr>
                <w:sz w:val="20"/>
                <w:szCs w:val="20"/>
              </w:rPr>
              <w:t>36</w:t>
            </w:r>
          </w:p>
        </w:tc>
        <w:tc>
          <w:tcPr>
            <w:tcW w:w="2096" w:type="dxa"/>
            <w:tcBorders>
              <w:top w:val="single" w:sz="4" w:space="0" w:color="000000"/>
              <w:left w:val="single" w:sz="4" w:space="0" w:color="000000"/>
              <w:bottom w:val="single" w:sz="4" w:space="0" w:color="000000"/>
            </w:tcBorders>
            <w:tcMar>
              <w:top w:w="102" w:type="dxa"/>
              <w:left w:w="62" w:type="dxa"/>
              <w:bottom w:w="102" w:type="dxa"/>
              <w:right w:w="62" w:type="dxa"/>
            </w:tcMar>
          </w:tcPr>
          <w:p w14:paraId="74CDD1F3" w14:textId="77777777" w:rsidR="000D7C1E" w:rsidRPr="0078252D" w:rsidRDefault="000D7C1E" w:rsidP="00473E76">
            <w:pPr>
              <w:pStyle w:val="Standard"/>
              <w:widowControl w:val="0"/>
              <w:autoSpaceDE w:val="0"/>
              <w:rPr>
                <w:sz w:val="20"/>
                <w:szCs w:val="20"/>
              </w:rPr>
            </w:pPr>
            <w:r w:rsidRPr="0078252D">
              <w:rPr>
                <w:sz w:val="20"/>
                <w:szCs w:val="20"/>
              </w:rPr>
              <w:t>Наличие обременений (ограничений) ОКС</w:t>
            </w:r>
          </w:p>
        </w:tc>
        <w:tc>
          <w:tcPr>
            <w:tcW w:w="1509" w:type="dxa"/>
            <w:tcBorders>
              <w:top w:val="single" w:sz="4" w:space="0" w:color="000000"/>
              <w:left w:val="single" w:sz="4" w:space="0" w:color="000000"/>
              <w:bottom w:val="single" w:sz="4" w:space="0" w:color="000000"/>
            </w:tcBorders>
            <w:tcMar>
              <w:top w:w="102" w:type="dxa"/>
              <w:left w:w="62" w:type="dxa"/>
              <w:bottom w:w="102" w:type="dxa"/>
              <w:right w:w="62" w:type="dxa"/>
            </w:tcMar>
          </w:tcPr>
          <w:p w14:paraId="16FC4BF2" w14:textId="77777777" w:rsidR="000D7C1E" w:rsidRPr="0078252D" w:rsidRDefault="000D7C1E" w:rsidP="00473E76">
            <w:pPr>
              <w:pStyle w:val="Standard"/>
              <w:widowControl w:val="0"/>
              <w:autoSpaceDE w:val="0"/>
              <w:jc w:val="center"/>
              <w:rPr>
                <w:sz w:val="20"/>
                <w:szCs w:val="20"/>
              </w:rPr>
            </w:pPr>
            <w:r w:rsidRPr="0078252D">
              <w:rPr>
                <w:sz w:val="20"/>
                <w:szCs w:val="20"/>
              </w:rPr>
              <w:t>-</w:t>
            </w:r>
          </w:p>
        </w:tc>
        <w:tc>
          <w:tcPr>
            <w:tcW w:w="1285" w:type="dxa"/>
            <w:tcBorders>
              <w:top w:val="single" w:sz="4" w:space="0" w:color="000000"/>
              <w:left w:val="single" w:sz="4" w:space="0" w:color="000000"/>
              <w:bottom w:val="single" w:sz="4" w:space="0" w:color="000000"/>
            </w:tcBorders>
            <w:tcMar>
              <w:top w:w="102" w:type="dxa"/>
              <w:left w:w="62" w:type="dxa"/>
              <w:bottom w:w="102" w:type="dxa"/>
              <w:right w:w="62" w:type="dxa"/>
            </w:tcMar>
            <w:vAlign w:val="center"/>
          </w:tcPr>
          <w:p w14:paraId="67FA2F58" w14:textId="77777777" w:rsidR="000D7C1E" w:rsidRPr="00E74680" w:rsidRDefault="000D7C1E" w:rsidP="00473E76">
            <w:pPr>
              <w:ind w:firstLine="0"/>
              <w:rPr>
                <w:rFonts w:eastAsia="Times New Roman" w:cs="Times New Roman"/>
                <w:color w:val="000000"/>
                <w:sz w:val="20"/>
                <w:szCs w:val="20"/>
                <w:lang w:eastAsia="ru-RU"/>
              </w:rPr>
            </w:pPr>
            <w:r w:rsidRPr="00E74680">
              <w:rPr>
                <w:rFonts w:eastAsia="Times New Roman" w:cs="Times New Roman"/>
                <w:color w:val="000000"/>
                <w:sz w:val="20"/>
                <w:szCs w:val="20"/>
                <w:lang w:eastAsia="ru-RU"/>
              </w:rPr>
              <w:t>Не использован</w:t>
            </w:r>
          </w:p>
        </w:tc>
        <w:tc>
          <w:tcPr>
            <w:tcW w:w="3960" w:type="dxa"/>
            <w:tcBorders>
              <w:top w:val="single" w:sz="4" w:space="0" w:color="000000"/>
              <w:left w:val="single" w:sz="4" w:space="0" w:color="000000"/>
              <w:bottom w:val="single" w:sz="4" w:space="0" w:color="000000"/>
              <w:right w:val="single" w:sz="4" w:space="0" w:color="000000"/>
            </w:tcBorders>
            <w:tcMar>
              <w:top w:w="102" w:type="dxa"/>
              <w:left w:w="62" w:type="dxa"/>
              <w:bottom w:w="102" w:type="dxa"/>
              <w:right w:w="62" w:type="dxa"/>
            </w:tcMar>
            <w:vAlign w:val="center"/>
          </w:tcPr>
          <w:p w14:paraId="03F73829" w14:textId="77777777" w:rsidR="000D7C1E" w:rsidRPr="00E74680" w:rsidRDefault="000D7C1E" w:rsidP="00473E76">
            <w:pPr>
              <w:ind w:firstLine="0"/>
              <w:rPr>
                <w:rFonts w:eastAsia="Times New Roman" w:cs="Times New Roman"/>
                <w:color w:val="000000"/>
                <w:sz w:val="20"/>
                <w:szCs w:val="20"/>
                <w:lang w:eastAsia="ru-RU"/>
              </w:rPr>
            </w:pPr>
            <w:r w:rsidRPr="00E74680">
              <w:rPr>
                <w:rFonts w:eastAsia="Times New Roman" w:cs="Times New Roman"/>
                <w:color w:val="000000"/>
                <w:sz w:val="20"/>
                <w:szCs w:val="20"/>
                <w:lang w:eastAsia="ru-RU"/>
              </w:rPr>
              <w:t>Согласно п.1.11 Методических указаний определение кадастровой стоимости осуществляется без учета обременений (ограничений) объекта недвижимости, за исключением публично-правовых ограничений прав на недвижимость, связанных с регулированием использования (в том числе зонированием) территории, охраной объектов культурного наследия (памятников истории и культуры) народов Российской Федерации, охраной окружающей среды, безопасностью населения и государства. Работниками бюджетного учреждения, осуществившими определение кадастровой стоимости, были предприняты меры по установлению наличия сервитутов, установленных законом и иными нормативными правовыми актами Российской Федерации, субъекта Российской Федерации, органами местного самоуправления. В связи с тем, что в предоставленной в Перечне информации, не содержатся указания на наличия таких сервитутов, оценка не производилась.</w:t>
            </w:r>
          </w:p>
        </w:tc>
      </w:tr>
      <w:tr w:rsidR="000D7C1E" w:rsidRPr="0078252D" w14:paraId="1EEDDDA8" w14:textId="77777777" w:rsidTr="00473E76">
        <w:trPr>
          <w:trHeight w:val="20"/>
        </w:trPr>
        <w:tc>
          <w:tcPr>
            <w:tcW w:w="9351" w:type="dxa"/>
            <w:gridSpan w:val="5"/>
            <w:tcBorders>
              <w:top w:val="single" w:sz="4" w:space="0" w:color="000000"/>
              <w:left w:val="single" w:sz="4" w:space="0" w:color="000000"/>
              <w:bottom w:val="single" w:sz="4" w:space="0" w:color="000000"/>
              <w:right w:val="single" w:sz="4" w:space="0" w:color="000000"/>
            </w:tcBorders>
            <w:tcMar>
              <w:top w:w="102" w:type="dxa"/>
              <w:left w:w="62" w:type="dxa"/>
              <w:bottom w:w="102" w:type="dxa"/>
              <w:right w:w="62" w:type="dxa"/>
            </w:tcMar>
            <w:vAlign w:val="center"/>
          </w:tcPr>
          <w:p w14:paraId="26F4F87F" w14:textId="77777777" w:rsidR="000D7C1E" w:rsidRPr="0078252D" w:rsidRDefault="000D7C1E" w:rsidP="00473E76">
            <w:pPr>
              <w:pStyle w:val="Standard"/>
              <w:widowControl w:val="0"/>
              <w:autoSpaceDE w:val="0"/>
              <w:jc w:val="center"/>
              <w:rPr>
                <w:sz w:val="20"/>
                <w:szCs w:val="20"/>
              </w:rPr>
            </w:pPr>
            <w:r w:rsidRPr="0078252D">
              <w:rPr>
                <w:sz w:val="20"/>
                <w:szCs w:val="20"/>
              </w:rPr>
              <w:t>Сведения о местоположении</w:t>
            </w:r>
          </w:p>
        </w:tc>
      </w:tr>
      <w:tr w:rsidR="000D7C1E" w:rsidRPr="0078252D" w14:paraId="6669D746" w14:textId="77777777" w:rsidTr="00473E76">
        <w:trPr>
          <w:trHeight w:val="20"/>
        </w:trPr>
        <w:tc>
          <w:tcPr>
            <w:tcW w:w="501" w:type="dxa"/>
            <w:tcBorders>
              <w:top w:val="single" w:sz="4" w:space="0" w:color="000000"/>
              <w:left w:val="single" w:sz="4" w:space="0" w:color="000000"/>
              <w:bottom w:val="single" w:sz="4" w:space="0" w:color="000000"/>
            </w:tcBorders>
            <w:tcMar>
              <w:top w:w="102" w:type="dxa"/>
              <w:left w:w="62" w:type="dxa"/>
              <w:bottom w:w="102" w:type="dxa"/>
              <w:right w:w="62" w:type="dxa"/>
            </w:tcMar>
            <w:vAlign w:val="center"/>
          </w:tcPr>
          <w:p w14:paraId="265D2E61" w14:textId="77777777" w:rsidR="000D7C1E" w:rsidRPr="0078252D" w:rsidRDefault="000D7C1E" w:rsidP="00473E76">
            <w:pPr>
              <w:pStyle w:val="Standard"/>
              <w:widowControl w:val="0"/>
              <w:autoSpaceDE w:val="0"/>
              <w:jc w:val="center"/>
              <w:rPr>
                <w:sz w:val="20"/>
                <w:szCs w:val="20"/>
              </w:rPr>
            </w:pPr>
            <w:r w:rsidRPr="0078252D">
              <w:rPr>
                <w:sz w:val="20"/>
                <w:szCs w:val="20"/>
              </w:rPr>
              <w:t>37</w:t>
            </w:r>
          </w:p>
        </w:tc>
        <w:tc>
          <w:tcPr>
            <w:tcW w:w="2096" w:type="dxa"/>
            <w:tcBorders>
              <w:top w:val="single" w:sz="4" w:space="0" w:color="000000"/>
              <w:left w:val="single" w:sz="4" w:space="0" w:color="000000"/>
              <w:bottom w:val="single" w:sz="4" w:space="0" w:color="000000"/>
            </w:tcBorders>
            <w:tcMar>
              <w:top w:w="102" w:type="dxa"/>
              <w:left w:w="62" w:type="dxa"/>
              <w:bottom w:w="102" w:type="dxa"/>
              <w:right w:w="62" w:type="dxa"/>
            </w:tcMar>
          </w:tcPr>
          <w:p w14:paraId="5FC9097E" w14:textId="77777777" w:rsidR="000D7C1E" w:rsidRPr="0078252D" w:rsidRDefault="000D7C1E" w:rsidP="00473E76">
            <w:pPr>
              <w:pStyle w:val="Standard"/>
              <w:widowControl w:val="0"/>
              <w:autoSpaceDE w:val="0"/>
              <w:rPr>
                <w:sz w:val="20"/>
                <w:szCs w:val="20"/>
              </w:rPr>
            </w:pPr>
            <w:r w:rsidRPr="0078252D">
              <w:rPr>
                <w:sz w:val="20"/>
                <w:szCs w:val="20"/>
              </w:rPr>
              <w:t>Расположение земельного участка относительно автомобильных дорог, их тип (федеральная, региональная и межмуниципальная, местного значения, частная автомобильная дорога), их наименование, тип покрытия (асфальт, бетон, улучшенное грунтовое покрытие, грунтовое покрытие, без покрытия и прочее)</w:t>
            </w:r>
          </w:p>
        </w:tc>
        <w:tc>
          <w:tcPr>
            <w:tcW w:w="1509" w:type="dxa"/>
            <w:tcBorders>
              <w:top w:val="single" w:sz="4" w:space="0" w:color="000000"/>
              <w:left w:val="single" w:sz="4" w:space="0" w:color="000000"/>
              <w:bottom w:val="single" w:sz="4" w:space="0" w:color="000000"/>
            </w:tcBorders>
            <w:tcMar>
              <w:top w:w="102" w:type="dxa"/>
              <w:left w:w="62" w:type="dxa"/>
              <w:bottom w:w="102" w:type="dxa"/>
              <w:right w:w="62" w:type="dxa"/>
            </w:tcMar>
          </w:tcPr>
          <w:p w14:paraId="3E7E00D6" w14:textId="77777777" w:rsidR="000D7C1E" w:rsidRPr="0078252D" w:rsidRDefault="000D7C1E" w:rsidP="00473E76">
            <w:pPr>
              <w:pStyle w:val="Standard"/>
              <w:widowControl w:val="0"/>
              <w:autoSpaceDE w:val="0"/>
              <w:jc w:val="center"/>
              <w:rPr>
                <w:sz w:val="20"/>
                <w:szCs w:val="20"/>
              </w:rPr>
            </w:pPr>
            <w:r w:rsidRPr="0078252D">
              <w:rPr>
                <w:sz w:val="20"/>
                <w:szCs w:val="20"/>
              </w:rPr>
              <w:t>км, прочее</w:t>
            </w:r>
          </w:p>
        </w:tc>
        <w:tc>
          <w:tcPr>
            <w:tcW w:w="1285" w:type="dxa"/>
            <w:tcBorders>
              <w:top w:val="single" w:sz="4" w:space="0" w:color="000000"/>
              <w:left w:val="single" w:sz="4" w:space="0" w:color="000000"/>
              <w:bottom w:val="single" w:sz="4" w:space="0" w:color="000000"/>
            </w:tcBorders>
            <w:tcMar>
              <w:top w:w="102" w:type="dxa"/>
              <w:left w:w="62" w:type="dxa"/>
              <w:bottom w:w="102" w:type="dxa"/>
              <w:right w:w="62" w:type="dxa"/>
            </w:tcMar>
            <w:vAlign w:val="center"/>
          </w:tcPr>
          <w:p w14:paraId="02F2F853" w14:textId="77777777" w:rsidR="000D7C1E" w:rsidRPr="00E74680" w:rsidRDefault="000D7C1E" w:rsidP="00473E76">
            <w:pPr>
              <w:ind w:firstLine="0"/>
              <w:jc w:val="center"/>
              <w:rPr>
                <w:rFonts w:eastAsia="Times New Roman" w:cs="Times New Roman"/>
                <w:color w:val="000000"/>
                <w:sz w:val="20"/>
                <w:szCs w:val="20"/>
                <w:lang w:eastAsia="ru-RU"/>
              </w:rPr>
            </w:pPr>
            <w:r w:rsidRPr="00E74680">
              <w:rPr>
                <w:rFonts w:eastAsia="Times New Roman" w:cs="Times New Roman"/>
                <w:color w:val="000000"/>
                <w:sz w:val="20"/>
                <w:szCs w:val="20"/>
                <w:lang w:eastAsia="ru-RU"/>
              </w:rPr>
              <w:t>Использован</w:t>
            </w:r>
          </w:p>
        </w:tc>
        <w:tc>
          <w:tcPr>
            <w:tcW w:w="3960" w:type="dxa"/>
            <w:tcBorders>
              <w:top w:val="single" w:sz="4" w:space="0" w:color="000000"/>
              <w:left w:val="single" w:sz="4" w:space="0" w:color="000000"/>
              <w:bottom w:val="single" w:sz="4" w:space="0" w:color="000000"/>
              <w:right w:val="single" w:sz="4" w:space="0" w:color="000000"/>
            </w:tcBorders>
            <w:tcMar>
              <w:top w:w="102" w:type="dxa"/>
              <w:left w:w="62" w:type="dxa"/>
              <w:bottom w:w="102" w:type="dxa"/>
              <w:right w:w="62" w:type="dxa"/>
            </w:tcMar>
            <w:vAlign w:val="center"/>
          </w:tcPr>
          <w:p w14:paraId="3E2D2ED1" w14:textId="77777777" w:rsidR="000D7C1E" w:rsidRPr="00E74680" w:rsidRDefault="000D7C1E" w:rsidP="00473E76">
            <w:pPr>
              <w:ind w:firstLine="0"/>
              <w:rPr>
                <w:rFonts w:eastAsia="Times New Roman" w:cs="Times New Roman"/>
                <w:color w:val="000000"/>
                <w:sz w:val="20"/>
                <w:szCs w:val="20"/>
                <w:lang w:eastAsia="ru-RU"/>
              </w:rPr>
            </w:pPr>
            <w:r w:rsidRPr="00E74680">
              <w:rPr>
                <w:rFonts w:eastAsia="Times New Roman" w:cs="Times New Roman"/>
                <w:color w:val="000000"/>
                <w:sz w:val="20"/>
                <w:szCs w:val="20"/>
                <w:lang w:eastAsia="ru-RU"/>
              </w:rPr>
              <w:t>Данные представлены органами МСУ, использовался в сравнительном подходе, методе статистического моделирования.</w:t>
            </w:r>
          </w:p>
        </w:tc>
      </w:tr>
      <w:tr w:rsidR="000D7C1E" w:rsidRPr="0078252D" w14:paraId="31B67B0A" w14:textId="77777777" w:rsidTr="00473E76">
        <w:trPr>
          <w:trHeight w:val="20"/>
        </w:trPr>
        <w:tc>
          <w:tcPr>
            <w:tcW w:w="501" w:type="dxa"/>
            <w:tcBorders>
              <w:top w:val="single" w:sz="4" w:space="0" w:color="000000"/>
              <w:left w:val="single" w:sz="4" w:space="0" w:color="000000"/>
              <w:bottom w:val="single" w:sz="4" w:space="0" w:color="000000"/>
            </w:tcBorders>
            <w:tcMar>
              <w:top w:w="102" w:type="dxa"/>
              <w:left w:w="62" w:type="dxa"/>
              <w:bottom w:w="102" w:type="dxa"/>
              <w:right w:w="62" w:type="dxa"/>
            </w:tcMar>
            <w:vAlign w:val="center"/>
          </w:tcPr>
          <w:p w14:paraId="057496FD" w14:textId="77777777" w:rsidR="000D7C1E" w:rsidRPr="0078252D" w:rsidRDefault="000D7C1E" w:rsidP="00473E76">
            <w:pPr>
              <w:pStyle w:val="Standard"/>
              <w:widowControl w:val="0"/>
              <w:autoSpaceDE w:val="0"/>
              <w:jc w:val="center"/>
              <w:rPr>
                <w:sz w:val="20"/>
                <w:szCs w:val="20"/>
              </w:rPr>
            </w:pPr>
            <w:r w:rsidRPr="0078252D">
              <w:rPr>
                <w:sz w:val="20"/>
                <w:szCs w:val="20"/>
              </w:rPr>
              <w:t>38</w:t>
            </w:r>
          </w:p>
        </w:tc>
        <w:tc>
          <w:tcPr>
            <w:tcW w:w="2096" w:type="dxa"/>
            <w:tcBorders>
              <w:top w:val="single" w:sz="4" w:space="0" w:color="000000"/>
              <w:left w:val="single" w:sz="4" w:space="0" w:color="000000"/>
              <w:bottom w:val="single" w:sz="4" w:space="0" w:color="000000"/>
            </w:tcBorders>
            <w:tcMar>
              <w:top w:w="102" w:type="dxa"/>
              <w:left w:w="62" w:type="dxa"/>
              <w:bottom w:w="102" w:type="dxa"/>
              <w:right w:w="62" w:type="dxa"/>
            </w:tcMar>
          </w:tcPr>
          <w:p w14:paraId="64D1135E" w14:textId="77777777" w:rsidR="000D7C1E" w:rsidRPr="0078252D" w:rsidRDefault="000D7C1E" w:rsidP="00473E76">
            <w:pPr>
              <w:pStyle w:val="Standard"/>
              <w:widowControl w:val="0"/>
              <w:autoSpaceDE w:val="0"/>
              <w:rPr>
                <w:sz w:val="20"/>
                <w:szCs w:val="20"/>
              </w:rPr>
            </w:pPr>
            <w:r w:rsidRPr="0078252D">
              <w:rPr>
                <w:sz w:val="20"/>
                <w:szCs w:val="20"/>
              </w:rPr>
              <w:t>Линия застройки ОКС</w:t>
            </w:r>
          </w:p>
        </w:tc>
        <w:tc>
          <w:tcPr>
            <w:tcW w:w="1509" w:type="dxa"/>
            <w:tcBorders>
              <w:top w:val="single" w:sz="4" w:space="0" w:color="000000"/>
              <w:left w:val="single" w:sz="4" w:space="0" w:color="000000"/>
              <w:bottom w:val="single" w:sz="4" w:space="0" w:color="000000"/>
            </w:tcBorders>
            <w:tcMar>
              <w:top w:w="102" w:type="dxa"/>
              <w:left w:w="62" w:type="dxa"/>
              <w:bottom w:w="102" w:type="dxa"/>
              <w:right w:w="62" w:type="dxa"/>
            </w:tcMar>
          </w:tcPr>
          <w:p w14:paraId="43E0E47A" w14:textId="77777777" w:rsidR="000D7C1E" w:rsidRPr="0078252D" w:rsidRDefault="000D7C1E" w:rsidP="00473E76">
            <w:pPr>
              <w:pStyle w:val="Standard"/>
              <w:widowControl w:val="0"/>
              <w:autoSpaceDE w:val="0"/>
              <w:jc w:val="center"/>
              <w:rPr>
                <w:sz w:val="20"/>
                <w:szCs w:val="20"/>
              </w:rPr>
            </w:pPr>
            <w:r w:rsidRPr="0078252D">
              <w:rPr>
                <w:sz w:val="20"/>
                <w:szCs w:val="20"/>
              </w:rPr>
              <w:t>первая (не первая)</w:t>
            </w:r>
          </w:p>
        </w:tc>
        <w:tc>
          <w:tcPr>
            <w:tcW w:w="1285" w:type="dxa"/>
            <w:tcBorders>
              <w:top w:val="single" w:sz="4" w:space="0" w:color="000000"/>
              <w:left w:val="single" w:sz="4" w:space="0" w:color="000000"/>
              <w:bottom w:val="single" w:sz="4" w:space="0" w:color="000000"/>
            </w:tcBorders>
            <w:tcMar>
              <w:top w:w="102" w:type="dxa"/>
              <w:left w:w="62" w:type="dxa"/>
              <w:bottom w:w="102" w:type="dxa"/>
              <w:right w:w="62" w:type="dxa"/>
            </w:tcMar>
            <w:vAlign w:val="center"/>
          </w:tcPr>
          <w:p w14:paraId="25A9E24E" w14:textId="77777777" w:rsidR="000D7C1E" w:rsidRPr="00E74680" w:rsidRDefault="000D7C1E" w:rsidP="00473E76">
            <w:pPr>
              <w:ind w:firstLine="0"/>
              <w:jc w:val="center"/>
              <w:rPr>
                <w:rFonts w:eastAsia="Times New Roman" w:cs="Times New Roman"/>
                <w:color w:val="000000"/>
                <w:sz w:val="20"/>
                <w:szCs w:val="20"/>
                <w:lang w:eastAsia="ru-RU"/>
              </w:rPr>
            </w:pPr>
            <w:r w:rsidRPr="00E74680">
              <w:rPr>
                <w:rFonts w:eastAsia="Times New Roman" w:cs="Times New Roman"/>
                <w:color w:val="000000"/>
                <w:sz w:val="20"/>
                <w:szCs w:val="20"/>
                <w:lang w:eastAsia="ru-RU"/>
              </w:rPr>
              <w:t>Не использован</w:t>
            </w:r>
          </w:p>
        </w:tc>
        <w:tc>
          <w:tcPr>
            <w:tcW w:w="3960" w:type="dxa"/>
            <w:tcBorders>
              <w:top w:val="single" w:sz="4" w:space="0" w:color="000000"/>
              <w:left w:val="single" w:sz="4" w:space="0" w:color="000000"/>
              <w:bottom w:val="single" w:sz="4" w:space="0" w:color="000000"/>
              <w:right w:val="single" w:sz="4" w:space="0" w:color="000000"/>
            </w:tcBorders>
            <w:tcMar>
              <w:top w:w="102" w:type="dxa"/>
              <w:left w:w="62" w:type="dxa"/>
              <w:bottom w:w="102" w:type="dxa"/>
              <w:right w:w="62" w:type="dxa"/>
            </w:tcMar>
            <w:vAlign w:val="center"/>
          </w:tcPr>
          <w:p w14:paraId="015B96D8" w14:textId="77777777" w:rsidR="000D7C1E" w:rsidRPr="00E74680" w:rsidRDefault="000D7C1E" w:rsidP="00473E76">
            <w:pPr>
              <w:ind w:firstLine="0"/>
              <w:rPr>
                <w:rFonts w:eastAsia="Times New Roman" w:cs="Times New Roman"/>
                <w:color w:val="000000"/>
                <w:sz w:val="20"/>
                <w:szCs w:val="20"/>
                <w:lang w:eastAsia="ru-RU"/>
              </w:rPr>
            </w:pPr>
            <w:r w:rsidRPr="00E74680">
              <w:rPr>
                <w:rFonts w:eastAsia="Times New Roman" w:cs="Times New Roman"/>
                <w:color w:val="000000"/>
                <w:sz w:val="20"/>
                <w:szCs w:val="20"/>
                <w:lang w:eastAsia="ru-RU"/>
              </w:rPr>
              <w:t>Данные ЕГРН, предоставленные бюджетному учреждению, не содержат сведений оценообразующем факторе по объектам оценки. В связи с чем данный фактор не использовался.</w:t>
            </w:r>
          </w:p>
        </w:tc>
      </w:tr>
      <w:tr w:rsidR="000D7C1E" w:rsidRPr="0078252D" w14:paraId="108346D4" w14:textId="77777777" w:rsidTr="00473E76">
        <w:trPr>
          <w:trHeight w:val="20"/>
        </w:trPr>
        <w:tc>
          <w:tcPr>
            <w:tcW w:w="501" w:type="dxa"/>
            <w:tcBorders>
              <w:top w:val="single" w:sz="4" w:space="0" w:color="000000"/>
              <w:left w:val="single" w:sz="4" w:space="0" w:color="000000"/>
              <w:bottom w:val="single" w:sz="4" w:space="0" w:color="000000"/>
            </w:tcBorders>
            <w:tcMar>
              <w:top w:w="102" w:type="dxa"/>
              <w:left w:w="62" w:type="dxa"/>
              <w:bottom w:w="102" w:type="dxa"/>
              <w:right w:w="62" w:type="dxa"/>
            </w:tcMar>
            <w:vAlign w:val="center"/>
          </w:tcPr>
          <w:p w14:paraId="409B0CAB" w14:textId="77777777" w:rsidR="000D7C1E" w:rsidRPr="0078252D" w:rsidRDefault="000D7C1E" w:rsidP="00473E76">
            <w:pPr>
              <w:pStyle w:val="Standard"/>
              <w:widowControl w:val="0"/>
              <w:autoSpaceDE w:val="0"/>
              <w:jc w:val="center"/>
              <w:rPr>
                <w:sz w:val="20"/>
                <w:szCs w:val="20"/>
              </w:rPr>
            </w:pPr>
            <w:r w:rsidRPr="0078252D">
              <w:rPr>
                <w:sz w:val="20"/>
                <w:szCs w:val="20"/>
              </w:rPr>
              <w:t>39</w:t>
            </w:r>
          </w:p>
        </w:tc>
        <w:tc>
          <w:tcPr>
            <w:tcW w:w="2096" w:type="dxa"/>
            <w:tcBorders>
              <w:top w:val="single" w:sz="4" w:space="0" w:color="000000"/>
              <w:left w:val="single" w:sz="4" w:space="0" w:color="000000"/>
              <w:bottom w:val="single" w:sz="4" w:space="0" w:color="000000"/>
            </w:tcBorders>
            <w:tcMar>
              <w:top w:w="102" w:type="dxa"/>
              <w:left w:w="62" w:type="dxa"/>
              <w:bottom w:w="102" w:type="dxa"/>
              <w:right w:w="62" w:type="dxa"/>
            </w:tcMar>
          </w:tcPr>
          <w:p w14:paraId="1741DFE4" w14:textId="77777777" w:rsidR="000D7C1E" w:rsidRPr="0078252D" w:rsidRDefault="000D7C1E" w:rsidP="00473E76">
            <w:pPr>
              <w:pStyle w:val="Standard"/>
              <w:widowControl w:val="0"/>
              <w:autoSpaceDE w:val="0"/>
              <w:rPr>
                <w:sz w:val="20"/>
                <w:szCs w:val="20"/>
              </w:rPr>
            </w:pPr>
            <w:r w:rsidRPr="0078252D">
              <w:rPr>
                <w:sz w:val="20"/>
                <w:szCs w:val="20"/>
              </w:rPr>
              <w:t>Расположение земельного участка относительно ближайшего водного объекта, его наименование, тип (море, река, озеро, пруд, затопленный карьер и прочее)</w:t>
            </w:r>
          </w:p>
        </w:tc>
        <w:tc>
          <w:tcPr>
            <w:tcW w:w="1509" w:type="dxa"/>
            <w:tcBorders>
              <w:top w:val="single" w:sz="4" w:space="0" w:color="000000"/>
              <w:left w:val="single" w:sz="4" w:space="0" w:color="000000"/>
              <w:bottom w:val="single" w:sz="4" w:space="0" w:color="000000"/>
            </w:tcBorders>
            <w:tcMar>
              <w:top w:w="102" w:type="dxa"/>
              <w:left w:w="62" w:type="dxa"/>
              <w:bottom w:w="102" w:type="dxa"/>
              <w:right w:w="62" w:type="dxa"/>
            </w:tcMar>
          </w:tcPr>
          <w:p w14:paraId="5536EEDD" w14:textId="77777777" w:rsidR="000D7C1E" w:rsidRPr="0078252D" w:rsidRDefault="000D7C1E" w:rsidP="00473E76">
            <w:pPr>
              <w:pStyle w:val="Standard"/>
              <w:widowControl w:val="0"/>
              <w:autoSpaceDE w:val="0"/>
              <w:jc w:val="center"/>
              <w:rPr>
                <w:sz w:val="20"/>
                <w:szCs w:val="20"/>
              </w:rPr>
            </w:pPr>
            <w:r w:rsidRPr="0078252D">
              <w:rPr>
                <w:sz w:val="20"/>
                <w:szCs w:val="20"/>
              </w:rPr>
              <w:t>км, прочее</w:t>
            </w:r>
          </w:p>
        </w:tc>
        <w:tc>
          <w:tcPr>
            <w:tcW w:w="1285" w:type="dxa"/>
            <w:tcBorders>
              <w:top w:val="single" w:sz="4" w:space="0" w:color="000000"/>
              <w:left w:val="single" w:sz="4" w:space="0" w:color="000000"/>
              <w:bottom w:val="single" w:sz="4" w:space="0" w:color="000000"/>
            </w:tcBorders>
            <w:tcMar>
              <w:top w:w="102" w:type="dxa"/>
              <w:left w:w="62" w:type="dxa"/>
              <w:bottom w:w="102" w:type="dxa"/>
              <w:right w:w="62" w:type="dxa"/>
            </w:tcMar>
            <w:vAlign w:val="center"/>
          </w:tcPr>
          <w:p w14:paraId="3776879A" w14:textId="77777777" w:rsidR="000D7C1E" w:rsidRPr="00E74680" w:rsidRDefault="000D7C1E" w:rsidP="00473E76">
            <w:pPr>
              <w:ind w:firstLine="0"/>
              <w:jc w:val="center"/>
              <w:rPr>
                <w:rFonts w:eastAsia="Times New Roman" w:cs="Times New Roman"/>
                <w:color w:val="000000"/>
                <w:sz w:val="20"/>
                <w:szCs w:val="20"/>
                <w:lang w:eastAsia="ru-RU"/>
              </w:rPr>
            </w:pPr>
            <w:r w:rsidRPr="00E74680">
              <w:rPr>
                <w:rFonts w:eastAsia="Times New Roman" w:cs="Times New Roman"/>
                <w:color w:val="000000"/>
                <w:sz w:val="20"/>
                <w:szCs w:val="20"/>
                <w:lang w:eastAsia="ru-RU"/>
              </w:rPr>
              <w:t>Использован</w:t>
            </w:r>
          </w:p>
        </w:tc>
        <w:tc>
          <w:tcPr>
            <w:tcW w:w="3960" w:type="dxa"/>
            <w:tcBorders>
              <w:top w:val="single" w:sz="4" w:space="0" w:color="000000"/>
              <w:left w:val="single" w:sz="4" w:space="0" w:color="000000"/>
              <w:bottom w:val="single" w:sz="4" w:space="0" w:color="000000"/>
              <w:right w:val="single" w:sz="4" w:space="0" w:color="000000"/>
            </w:tcBorders>
            <w:tcMar>
              <w:top w:w="102" w:type="dxa"/>
              <w:left w:w="62" w:type="dxa"/>
              <w:bottom w:w="102" w:type="dxa"/>
              <w:right w:w="62" w:type="dxa"/>
            </w:tcMar>
            <w:vAlign w:val="center"/>
          </w:tcPr>
          <w:p w14:paraId="593CE753" w14:textId="77777777" w:rsidR="000D7C1E" w:rsidRPr="00E74680" w:rsidRDefault="000D7C1E" w:rsidP="00473E76">
            <w:pPr>
              <w:ind w:firstLine="0"/>
              <w:rPr>
                <w:rFonts w:eastAsia="Times New Roman" w:cs="Times New Roman"/>
                <w:color w:val="000000"/>
                <w:sz w:val="20"/>
                <w:szCs w:val="20"/>
                <w:lang w:eastAsia="ru-RU"/>
              </w:rPr>
            </w:pPr>
            <w:r w:rsidRPr="00E74680">
              <w:rPr>
                <w:rFonts w:eastAsia="Times New Roman" w:cs="Times New Roman"/>
                <w:color w:val="000000"/>
                <w:sz w:val="20"/>
                <w:szCs w:val="20"/>
                <w:lang w:eastAsia="ru-RU"/>
              </w:rPr>
              <w:t>Данные представлены органами МСУ, использовался в сравнительном подходе, методе статистического моделирования.</w:t>
            </w:r>
          </w:p>
        </w:tc>
      </w:tr>
      <w:tr w:rsidR="000D7C1E" w:rsidRPr="0078252D" w14:paraId="40F239D0" w14:textId="77777777" w:rsidTr="00473E76">
        <w:trPr>
          <w:trHeight w:val="20"/>
        </w:trPr>
        <w:tc>
          <w:tcPr>
            <w:tcW w:w="501" w:type="dxa"/>
            <w:tcBorders>
              <w:top w:val="single" w:sz="4" w:space="0" w:color="000000"/>
              <w:left w:val="single" w:sz="4" w:space="0" w:color="000000"/>
              <w:bottom w:val="single" w:sz="4" w:space="0" w:color="000000"/>
            </w:tcBorders>
            <w:tcMar>
              <w:top w:w="102" w:type="dxa"/>
              <w:left w:w="62" w:type="dxa"/>
              <w:bottom w:w="102" w:type="dxa"/>
              <w:right w:w="62" w:type="dxa"/>
            </w:tcMar>
            <w:vAlign w:val="center"/>
          </w:tcPr>
          <w:p w14:paraId="1740E72B" w14:textId="77777777" w:rsidR="000D7C1E" w:rsidRPr="0078252D" w:rsidRDefault="000D7C1E" w:rsidP="00473E76">
            <w:pPr>
              <w:pStyle w:val="Standard"/>
              <w:widowControl w:val="0"/>
              <w:autoSpaceDE w:val="0"/>
              <w:jc w:val="center"/>
              <w:rPr>
                <w:sz w:val="20"/>
                <w:szCs w:val="20"/>
              </w:rPr>
            </w:pPr>
            <w:r w:rsidRPr="0078252D">
              <w:rPr>
                <w:sz w:val="20"/>
                <w:szCs w:val="20"/>
              </w:rPr>
              <w:t>40</w:t>
            </w:r>
          </w:p>
        </w:tc>
        <w:tc>
          <w:tcPr>
            <w:tcW w:w="2096" w:type="dxa"/>
            <w:tcBorders>
              <w:top w:val="single" w:sz="4" w:space="0" w:color="000000"/>
              <w:left w:val="single" w:sz="4" w:space="0" w:color="000000"/>
              <w:bottom w:val="single" w:sz="4" w:space="0" w:color="000000"/>
            </w:tcBorders>
            <w:tcMar>
              <w:top w:w="102" w:type="dxa"/>
              <w:left w:w="62" w:type="dxa"/>
              <w:bottom w:w="102" w:type="dxa"/>
              <w:right w:w="62" w:type="dxa"/>
            </w:tcMar>
          </w:tcPr>
          <w:p w14:paraId="2FF12048" w14:textId="77777777" w:rsidR="000D7C1E" w:rsidRPr="0078252D" w:rsidRDefault="000D7C1E" w:rsidP="00473E76">
            <w:pPr>
              <w:pStyle w:val="Standard"/>
              <w:widowControl w:val="0"/>
              <w:autoSpaceDE w:val="0"/>
              <w:rPr>
                <w:sz w:val="20"/>
                <w:szCs w:val="20"/>
              </w:rPr>
            </w:pPr>
            <w:r w:rsidRPr="0078252D">
              <w:rPr>
                <w:sz w:val="20"/>
                <w:szCs w:val="20"/>
              </w:rPr>
              <w:t>Расположение земельного участка относительно ближайшей рекреационной зоны, ее наименование и тип (лесной массив, парковая зона, заповедная зона и прочее)</w:t>
            </w:r>
          </w:p>
        </w:tc>
        <w:tc>
          <w:tcPr>
            <w:tcW w:w="1509" w:type="dxa"/>
            <w:tcBorders>
              <w:top w:val="single" w:sz="4" w:space="0" w:color="000000"/>
              <w:left w:val="single" w:sz="4" w:space="0" w:color="000000"/>
              <w:bottom w:val="single" w:sz="4" w:space="0" w:color="000000"/>
            </w:tcBorders>
            <w:tcMar>
              <w:top w:w="102" w:type="dxa"/>
              <w:left w:w="62" w:type="dxa"/>
              <w:bottom w:w="102" w:type="dxa"/>
              <w:right w:w="62" w:type="dxa"/>
            </w:tcMar>
          </w:tcPr>
          <w:p w14:paraId="507044D2" w14:textId="77777777" w:rsidR="000D7C1E" w:rsidRPr="0078252D" w:rsidRDefault="000D7C1E" w:rsidP="00473E76">
            <w:pPr>
              <w:pStyle w:val="Standard"/>
              <w:widowControl w:val="0"/>
              <w:autoSpaceDE w:val="0"/>
              <w:jc w:val="center"/>
              <w:rPr>
                <w:sz w:val="20"/>
                <w:szCs w:val="20"/>
              </w:rPr>
            </w:pPr>
            <w:r w:rsidRPr="0078252D">
              <w:rPr>
                <w:sz w:val="20"/>
                <w:szCs w:val="20"/>
              </w:rPr>
              <w:t>км, прочее</w:t>
            </w:r>
          </w:p>
        </w:tc>
        <w:tc>
          <w:tcPr>
            <w:tcW w:w="1285" w:type="dxa"/>
            <w:tcBorders>
              <w:top w:val="single" w:sz="4" w:space="0" w:color="000000"/>
              <w:left w:val="single" w:sz="4" w:space="0" w:color="000000"/>
              <w:bottom w:val="single" w:sz="4" w:space="0" w:color="000000"/>
            </w:tcBorders>
            <w:tcMar>
              <w:top w:w="102" w:type="dxa"/>
              <w:left w:w="62" w:type="dxa"/>
              <w:bottom w:w="102" w:type="dxa"/>
              <w:right w:w="62" w:type="dxa"/>
            </w:tcMar>
            <w:vAlign w:val="center"/>
          </w:tcPr>
          <w:p w14:paraId="7E0CFDE2" w14:textId="77777777" w:rsidR="000D7C1E" w:rsidRPr="00E74680" w:rsidRDefault="000D7C1E" w:rsidP="00473E76">
            <w:pPr>
              <w:ind w:firstLine="0"/>
              <w:jc w:val="center"/>
              <w:rPr>
                <w:rFonts w:eastAsia="Times New Roman" w:cs="Times New Roman"/>
                <w:color w:val="000000"/>
                <w:sz w:val="20"/>
                <w:szCs w:val="20"/>
                <w:lang w:eastAsia="ru-RU"/>
              </w:rPr>
            </w:pPr>
            <w:r w:rsidRPr="00E74680">
              <w:rPr>
                <w:rFonts w:eastAsia="Times New Roman" w:cs="Times New Roman"/>
                <w:color w:val="000000"/>
                <w:sz w:val="20"/>
                <w:szCs w:val="20"/>
                <w:lang w:eastAsia="ru-RU"/>
              </w:rPr>
              <w:t>Не использован</w:t>
            </w:r>
          </w:p>
        </w:tc>
        <w:tc>
          <w:tcPr>
            <w:tcW w:w="3960" w:type="dxa"/>
            <w:tcBorders>
              <w:top w:val="single" w:sz="4" w:space="0" w:color="000000"/>
              <w:left w:val="single" w:sz="4" w:space="0" w:color="000000"/>
              <w:bottom w:val="single" w:sz="4" w:space="0" w:color="000000"/>
              <w:right w:val="single" w:sz="4" w:space="0" w:color="000000"/>
            </w:tcBorders>
            <w:tcMar>
              <w:top w:w="102" w:type="dxa"/>
              <w:left w:w="62" w:type="dxa"/>
              <w:bottom w:w="102" w:type="dxa"/>
              <w:right w:w="62" w:type="dxa"/>
            </w:tcMar>
            <w:vAlign w:val="center"/>
          </w:tcPr>
          <w:p w14:paraId="5374BFE3" w14:textId="77777777" w:rsidR="000D7C1E" w:rsidRPr="00E74680" w:rsidRDefault="000D7C1E" w:rsidP="00473E76">
            <w:pPr>
              <w:ind w:firstLine="0"/>
              <w:rPr>
                <w:rFonts w:eastAsia="Times New Roman" w:cs="Times New Roman"/>
                <w:color w:val="000000"/>
                <w:sz w:val="20"/>
                <w:szCs w:val="20"/>
                <w:lang w:eastAsia="ru-RU"/>
              </w:rPr>
            </w:pPr>
            <w:r w:rsidRPr="00E74680">
              <w:rPr>
                <w:rFonts w:eastAsia="Times New Roman" w:cs="Times New Roman"/>
                <w:color w:val="000000"/>
                <w:sz w:val="20"/>
                <w:szCs w:val="20"/>
                <w:lang w:eastAsia="ru-RU"/>
              </w:rPr>
              <w:t>Данные ЕГРН, предоставленные бюджетному учреждению, содержат сведения о земельном участке, в границах которого расположен объект недвижимости, не по всем объектам оценки. В связи с чем данный фактор не использовался.</w:t>
            </w:r>
          </w:p>
        </w:tc>
      </w:tr>
      <w:tr w:rsidR="000D7C1E" w:rsidRPr="0078252D" w14:paraId="4F53E2B2" w14:textId="77777777" w:rsidTr="00473E76">
        <w:trPr>
          <w:trHeight w:val="20"/>
        </w:trPr>
        <w:tc>
          <w:tcPr>
            <w:tcW w:w="501" w:type="dxa"/>
            <w:tcBorders>
              <w:top w:val="single" w:sz="4" w:space="0" w:color="000000"/>
              <w:left w:val="single" w:sz="4" w:space="0" w:color="000000"/>
              <w:bottom w:val="single" w:sz="4" w:space="0" w:color="000000"/>
            </w:tcBorders>
            <w:tcMar>
              <w:top w:w="102" w:type="dxa"/>
              <w:left w:w="62" w:type="dxa"/>
              <w:bottom w:w="102" w:type="dxa"/>
              <w:right w:w="62" w:type="dxa"/>
            </w:tcMar>
            <w:vAlign w:val="center"/>
          </w:tcPr>
          <w:p w14:paraId="27A0ABF1" w14:textId="77777777" w:rsidR="000D7C1E" w:rsidRPr="0078252D" w:rsidRDefault="000D7C1E" w:rsidP="00473E76">
            <w:pPr>
              <w:pStyle w:val="Standard"/>
              <w:widowControl w:val="0"/>
              <w:autoSpaceDE w:val="0"/>
              <w:jc w:val="center"/>
              <w:rPr>
                <w:sz w:val="20"/>
                <w:szCs w:val="20"/>
              </w:rPr>
            </w:pPr>
            <w:r w:rsidRPr="0078252D">
              <w:rPr>
                <w:sz w:val="20"/>
                <w:szCs w:val="20"/>
              </w:rPr>
              <w:t>41</w:t>
            </w:r>
          </w:p>
        </w:tc>
        <w:tc>
          <w:tcPr>
            <w:tcW w:w="2096" w:type="dxa"/>
            <w:tcBorders>
              <w:top w:val="single" w:sz="4" w:space="0" w:color="000000"/>
              <w:left w:val="single" w:sz="4" w:space="0" w:color="000000"/>
              <w:bottom w:val="single" w:sz="4" w:space="0" w:color="000000"/>
            </w:tcBorders>
            <w:tcMar>
              <w:top w:w="102" w:type="dxa"/>
              <w:left w:w="62" w:type="dxa"/>
              <w:bottom w:w="102" w:type="dxa"/>
              <w:right w:w="62" w:type="dxa"/>
            </w:tcMar>
          </w:tcPr>
          <w:p w14:paraId="59F10C0C" w14:textId="77777777" w:rsidR="000D7C1E" w:rsidRPr="0078252D" w:rsidRDefault="000D7C1E" w:rsidP="00473E76">
            <w:pPr>
              <w:pStyle w:val="Standard"/>
              <w:widowControl w:val="0"/>
              <w:autoSpaceDE w:val="0"/>
              <w:rPr>
                <w:sz w:val="20"/>
                <w:szCs w:val="20"/>
              </w:rPr>
            </w:pPr>
            <w:r w:rsidRPr="0078252D">
              <w:rPr>
                <w:sz w:val="20"/>
                <w:szCs w:val="20"/>
              </w:rPr>
              <w:t>Расположение земельного участка относительно железных дорог, их тип (грузовая, пассажирская, смешанного назначения;</w:t>
            </w:r>
          </w:p>
          <w:p w14:paraId="0F681DDA" w14:textId="77777777" w:rsidR="000D7C1E" w:rsidRPr="0078252D" w:rsidRDefault="000D7C1E" w:rsidP="00473E76">
            <w:pPr>
              <w:pStyle w:val="Standard"/>
              <w:widowControl w:val="0"/>
              <w:autoSpaceDE w:val="0"/>
              <w:rPr>
                <w:sz w:val="20"/>
                <w:szCs w:val="20"/>
              </w:rPr>
            </w:pPr>
            <w:r w:rsidRPr="0078252D">
              <w:rPr>
                <w:sz w:val="20"/>
                <w:szCs w:val="20"/>
              </w:rPr>
              <w:t>пригородная, транзитная;</w:t>
            </w:r>
          </w:p>
          <w:p w14:paraId="284DE07B" w14:textId="77777777" w:rsidR="000D7C1E" w:rsidRPr="0078252D" w:rsidRDefault="000D7C1E" w:rsidP="00473E76">
            <w:pPr>
              <w:pStyle w:val="Standard"/>
              <w:widowControl w:val="0"/>
              <w:autoSpaceDE w:val="0"/>
              <w:rPr>
                <w:sz w:val="20"/>
                <w:szCs w:val="20"/>
              </w:rPr>
            </w:pPr>
            <w:r w:rsidRPr="0078252D">
              <w:rPr>
                <w:sz w:val="20"/>
                <w:szCs w:val="20"/>
              </w:rPr>
              <w:t>промышленная, временная, тупиковая)</w:t>
            </w:r>
          </w:p>
        </w:tc>
        <w:tc>
          <w:tcPr>
            <w:tcW w:w="1509" w:type="dxa"/>
            <w:tcBorders>
              <w:top w:val="single" w:sz="4" w:space="0" w:color="000000"/>
              <w:left w:val="single" w:sz="4" w:space="0" w:color="000000"/>
              <w:bottom w:val="single" w:sz="4" w:space="0" w:color="000000"/>
            </w:tcBorders>
            <w:tcMar>
              <w:top w:w="102" w:type="dxa"/>
              <w:left w:w="62" w:type="dxa"/>
              <w:bottom w:w="102" w:type="dxa"/>
              <w:right w:w="62" w:type="dxa"/>
            </w:tcMar>
          </w:tcPr>
          <w:p w14:paraId="4EA98F92" w14:textId="77777777" w:rsidR="000D7C1E" w:rsidRPr="0078252D" w:rsidRDefault="000D7C1E" w:rsidP="00473E76">
            <w:pPr>
              <w:pStyle w:val="Standard"/>
              <w:widowControl w:val="0"/>
              <w:autoSpaceDE w:val="0"/>
              <w:jc w:val="center"/>
              <w:rPr>
                <w:sz w:val="20"/>
                <w:szCs w:val="20"/>
              </w:rPr>
            </w:pPr>
            <w:r w:rsidRPr="0078252D">
              <w:rPr>
                <w:sz w:val="20"/>
                <w:szCs w:val="20"/>
              </w:rPr>
              <w:t>км, прочее</w:t>
            </w:r>
          </w:p>
        </w:tc>
        <w:tc>
          <w:tcPr>
            <w:tcW w:w="1285" w:type="dxa"/>
            <w:tcBorders>
              <w:top w:val="single" w:sz="4" w:space="0" w:color="000000"/>
              <w:left w:val="single" w:sz="4" w:space="0" w:color="000000"/>
              <w:bottom w:val="single" w:sz="4" w:space="0" w:color="000000"/>
            </w:tcBorders>
            <w:tcMar>
              <w:top w:w="102" w:type="dxa"/>
              <w:left w:w="62" w:type="dxa"/>
              <w:bottom w:w="102" w:type="dxa"/>
              <w:right w:w="62" w:type="dxa"/>
            </w:tcMar>
            <w:vAlign w:val="center"/>
          </w:tcPr>
          <w:p w14:paraId="59F5B96A" w14:textId="77777777" w:rsidR="000D7C1E" w:rsidRPr="00E74680" w:rsidRDefault="000D7C1E" w:rsidP="00473E76">
            <w:pPr>
              <w:ind w:firstLine="0"/>
              <w:jc w:val="center"/>
              <w:rPr>
                <w:rFonts w:eastAsia="Times New Roman" w:cs="Times New Roman"/>
                <w:color w:val="000000"/>
                <w:sz w:val="20"/>
                <w:szCs w:val="20"/>
                <w:lang w:eastAsia="ru-RU"/>
              </w:rPr>
            </w:pPr>
            <w:r w:rsidRPr="00E74680">
              <w:rPr>
                <w:rFonts w:eastAsia="Times New Roman" w:cs="Times New Roman"/>
                <w:color w:val="000000"/>
                <w:sz w:val="20"/>
                <w:szCs w:val="20"/>
                <w:lang w:eastAsia="ru-RU"/>
              </w:rPr>
              <w:t>Не использован</w:t>
            </w:r>
          </w:p>
        </w:tc>
        <w:tc>
          <w:tcPr>
            <w:tcW w:w="3960" w:type="dxa"/>
            <w:tcBorders>
              <w:top w:val="single" w:sz="4" w:space="0" w:color="000000"/>
              <w:left w:val="single" w:sz="4" w:space="0" w:color="000000"/>
              <w:bottom w:val="single" w:sz="4" w:space="0" w:color="000000"/>
              <w:right w:val="single" w:sz="4" w:space="0" w:color="000000"/>
            </w:tcBorders>
            <w:tcMar>
              <w:top w:w="102" w:type="dxa"/>
              <w:left w:w="62" w:type="dxa"/>
              <w:bottom w:w="102" w:type="dxa"/>
              <w:right w:w="62" w:type="dxa"/>
            </w:tcMar>
            <w:vAlign w:val="center"/>
          </w:tcPr>
          <w:p w14:paraId="42D70E7E" w14:textId="77777777" w:rsidR="000D7C1E" w:rsidRPr="00E74680" w:rsidRDefault="000D7C1E" w:rsidP="00473E76">
            <w:pPr>
              <w:ind w:firstLine="0"/>
              <w:rPr>
                <w:rFonts w:eastAsia="Times New Roman" w:cs="Times New Roman"/>
                <w:color w:val="000000"/>
                <w:sz w:val="20"/>
                <w:szCs w:val="20"/>
                <w:lang w:eastAsia="ru-RU"/>
              </w:rPr>
            </w:pPr>
            <w:r w:rsidRPr="00E74680">
              <w:rPr>
                <w:rFonts w:eastAsia="Times New Roman" w:cs="Times New Roman"/>
                <w:color w:val="000000"/>
                <w:sz w:val="20"/>
                <w:szCs w:val="20"/>
                <w:lang w:eastAsia="ru-RU"/>
              </w:rPr>
              <w:t>Данные ЕГРН, предоставленные бюджетному учреждению, содержат сведения о земельном участке, в границах которого расположен объект недвижимости, не по всем объектам оценки. В связи с чем данный фактор не использовался.</w:t>
            </w:r>
          </w:p>
        </w:tc>
      </w:tr>
      <w:tr w:rsidR="000D7C1E" w:rsidRPr="0078252D" w14:paraId="2C3E5937" w14:textId="77777777" w:rsidTr="00473E76">
        <w:trPr>
          <w:trHeight w:val="20"/>
        </w:trPr>
        <w:tc>
          <w:tcPr>
            <w:tcW w:w="9351" w:type="dxa"/>
            <w:gridSpan w:val="5"/>
            <w:tcBorders>
              <w:top w:val="single" w:sz="4" w:space="0" w:color="000000"/>
              <w:left w:val="single" w:sz="4" w:space="0" w:color="000000"/>
              <w:bottom w:val="single" w:sz="4" w:space="0" w:color="000000"/>
              <w:right w:val="single" w:sz="4" w:space="0" w:color="000000"/>
            </w:tcBorders>
            <w:tcMar>
              <w:top w:w="102" w:type="dxa"/>
              <w:left w:w="62" w:type="dxa"/>
              <w:bottom w:w="102" w:type="dxa"/>
              <w:right w:w="62" w:type="dxa"/>
            </w:tcMar>
            <w:vAlign w:val="center"/>
          </w:tcPr>
          <w:p w14:paraId="602CA838" w14:textId="77777777" w:rsidR="000D7C1E" w:rsidRPr="0078252D" w:rsidRDefault="000D7C1E" w:rsidP="00473E76">
            <w:pPr>
              <w:pStyle w:val="Standard"/>
              <w:widowControl w:val="0"/>
              <w:autoSpaceDE w:val="0"/>
              <w:jc w:val="center"/>
              <w:rPr>
                <w:sz w:val="20"/>
                <w:szCs w:val="20"/>
              </w:rPr>
            </w:pPr>
            <w:r w:rsidRPr="0078252D">
              <w:rPr>
                <w:sz w:val="20"/>
                <w:szCs w:val="20"/>
              </w:rPr>
              <w:t>Сведения об инженерной инфраструктуре</w:t>
            </w:r>
          </w:p>
        </w:tc>
      </w:tr>
      <w:tr w:rsidR="000D7C1E" w:rsidRPr="0078252D" w14:paraId="233C0A46" w14:textId="77777777" w:rsidTr="00473E76">
        <w:trPr>
          <w:trHeight w:val="20"/>
        </w:trPr>
        <w:tc>
          <w:tcPr>
            <w:tcW w:w="501" w:type="dxa"/>
            <w:tcBorders>
              <w:top w:val="single" w:sz="4" w:space="0" w:color="000000"/>
              <w:left w:val="single" w:sz="4" w:space="0" w:color="000000"/>
              <w:bottom w:val="single" w:sz="4" w:space="0" w:color="000000"/>
            </w:tcBorders>
            <w:tcMar>
              <w:top w:w="102" w:type="dxa"/>
              <w:left w:w="62" w:type="dxa"/>
              <w:bottom w:w="102" w:type="dxa"/>
              <w:right w:w="62" w:type="dxa"/>
            </w:tcMar>
            <w:vAlign w:val="center"/>
          </w:tcPr>
          <w:p w14:paraId="6EF169E5" w14:textId="77777777" w:rsidR="000D7C1E" w:rsidRPr="0078252D" w:rsidRDefault="000D7C1E" w:rsidP="00473E76">
            <w:pPr>
              <w:pStyle w:val="Standard"/>
              <w:widowControl w:val="0"/>
              <w:autoSpaceDE w:val="0"/>
              <w:jc w:val="center"/>
              <w:rPr>
                <w:sz w:val="20"/>
                <w:szCs w:val="20"/>
              </w:rPr>
            </w:pPr>
            <w:r w:rsidRPr="0078252D">
              <w:rPr>
                <w:sz w:val="20"/>
                <w:szCs w:val="20"/>
              </w:rPr>
              <w:t>42</w:t>
            </w:r>
          </w:p>
        </w:tc>
        <w:tc>
          <w:tcPr>
            <w:tcW w:w="2096" w:type="dxa"/>
            <w:tcBorders>
              <w:top w:val="single" w:sz="4" w:space="0" w:color="000000"/>
              <w:left w:val="single" w:sz="4" w:space="0" w:color="000000"/>
              <w:bottom w:val="single" w:sz="4" w:space="0" w:color="000000"/>
            </w:tcBorders>
            <w:tcMar>
              <w:top w:w="102" w:type="dxa"/>
              <w:left w:w="62" w:type="dxa"/>
              <w:bottom w:w="102" w:type="dxa"/>
              <w:right w:w="62" w:type="dxa"/>
            </w:tcMar>
          </w:tcPr>
          <w:p w14:paraId="3E786B01" w14:textId="77777777" w:rsidR="000D7C1E" w:rsidRPr="0078252D" w:rsidRDefault="000D7C1E" w:rsidP="00473E76">
            <w:pPr>
              <w:pStyle w:val="Standard"/>
              <w:widowControl w:val="0"/>
              <w:autoSpaceDE w:val="0"/>
              <w:rPr>
                <w:sz w:val="20"/>
                <w:szCs w:val="20"/>
              </w:rPr>
            </w:pPr>
            <w:r w:rsidRPr="0078252D">
              <w:rPr>
                <w:sz w:val="20"/>
                <w:szCs w:val="20"/>
              </w:rPr>
              <w:t>Категория, проектная мощность линейного объекта</w:t>
            </w:r>
          </w:p>
        </w:tc>
        <w:tc>
          <w:tcPr>
            <w:tcW w:w="1509" w:type="dxa"/>
            <w:tcBorders>
              <w:top w:val="single" w:sz="4" w:space="0" w:color="000000"/>
              <w:left w:val="single" w:sz="4" w:space="0" w:color="000000"/>
              <w:bottom w:val="single" w:sz="4" w:space="0" w:color="000000"/>
            </w:tcBorders>
            <w:tcMar>
              <w:top w:w="102" w:type="dxa"/>
              <w:left w:w="62" w:type="dxa"/>
              <w:bottom w:w="102" w:type="dxa"/>
              <w:right w:w="62" w:type="dxa"/>
            </w:tcMar>
          </w:tcPr>
          <w:p w14:paraId="2CADE619" w14:textId="77777777" w:rsidR="000D7C1E" w:rsidRPr="0078252D" w:rsidRDefault="000D7C1E" w:rsidP="00473E76">
            <w:pPr>
              <w:pStyle w:val="Standard"/>
              <w:widowControl w:val="0"/>
              <w:autoSpaceDE w:val="0"/>
              <w:jc w:val="center"/>
              <w:rPr>
                <w:sz w:val="20"/>
                <w:szCs w:val="20"/>
              </w:rPr>
            </w:pPr>
            <w:r w:rsidRPr="0078252D">
              <w:rPr>
                <w:sz w:val="20"/>
                <w:szCs w:val="20"/>
              </w:rPr>
              <w:t>-</w:t>
            </w:r>
          </w:p>
        </w:tc>
        <w:tc>
          <w:tcPr>
            <w:tcW w:w="1285" w:type="dxa"/>
            <w:tcBorders>
              <w:top w:val="single" w:sz="4" w:space="0" w:color="000000"/>
              <w:left w:val="single" w:sz="4" w:space="0" w:color="000000"/>
              <w:bottom w:val="single" w:sz="4" w:space="0" w:color="000000"/>
            </w:tcBorders>
            <w:tcMar>
              <w:top w:w="102" w:type="dxa"/>
              <w:left w:w="62" w:type="dxa"/>
              <w:bottom w:w="102" w:type="dxa"/>
              <w:right w:w="62" w:type="dxa"/>
            </w:tcMar>
            <w:vAlign w:val="center"/>
          </w:tcPr>
          <w:p w14:paraId="266113AB" w14:textId="77777777" w:rsidR="000D7C1E" w:rsidRPr="00E74680" w:rsidRDefault="000D7C1E" w:rsidP="00473E76">
            <w:pPr>
              <w:ind w:firstLine="0"/>
              <w:jc w:val="center"/>
              <w:rPr>
                <w:rFonts w:eastAsia="Times New Roman" w:cs="Times New Roman"/>
                <w:color w:val="000000"/>
                <w:sz w:val="20"/>
                <w:szCs w:val="20"/>
                <w:lang w:eastAsia="ru-RU"/>
              </w:rPr>
            </w:pPr>
            <w:r w:rsidRPr="00E74680">
              <w:rPr>
                <w:rFonts w:eastAsia="Times New Roman" w:cs="Times New Roman"/>
                <w:color w:val="000000"/>
                <w:sz w:val="20"/>
                <w:szCs w:val="20"/>
                <w:lang w:eastAsia="ru-RU"/>
              </w:rPr>
              <w:t>Не использован</w:t>
            </w:r>
          </w:p>
        </w:tc>
        <w:tc>
          <w:tcPr>
            <w:tcW w:w="3960" w:type="dxa"/>
            <w:tcBorders>
              <w:top w:val="single" w:sz="4" w:space="0" w:color="000000"/>
              <w:left w:val="single" w:sz="4" w:space="0" w:color="000000"/>
              <w:bottom w:val="single" w:sz="4" w:space="0" w:color="000000"/>
              <w:right w:val="single" w:sz="4" w:space="0" w:color="000000"/>
            </w:tcBorders>
            <w:tcMar>
              <w:top w:w="102" w:type="dxa"/>
              <w:left w:w="62" w:type="dxa"/>
              <w:bottom w:w="102" w:type="dxa"/>
              <w:right w:w="62" w:type="dxa"/>
            </w:tcMar>
            <w:vAlign w:val="center"/>
          </w:tcPr>
          <w:p w14:paraId="753C3EA4" w14:textId="77777777" w:rsidR="000D7C1E" w:rsidRPr="00E74680" w:rsidRDefault="000D7C1E" w:rsidP="00473E76">
            <w:pPr>
              <w:ind w:firstLine="0"/>
              <w:rPr>
                <w:rFonts w:eastAsia="Times New Roman" w:cs="Times New Roman"/>
                <w:color w:val="000000"/>
                <w:sz w:val="20"/>
                <w:szCs w:val="20"/>
                <w:lang w:eastAsia="ru-RU"/>
              </w:rPr>
            </w:pPr>
            <w:r w:rsidRPr="00E74680">
              <w:rPr>
                <w:rFonts w:eastAsia="Times New Roman" w:cs="Times New Roman"/>
                <w:color w:val="000000"/>
                <w:sz w:val="20"/>
                <w:szCs w:val="20"/>
                <w:lang w:eastAsia="ru-RU"/>
              </w:rPr>
              <w:t>Данные ЕГРН, предоставленные бюджетному учреждению не содержат сведений оценообразующем факторе по объектам оценки. Рыночная информации по данному фактору для объектов- аналогов преимущественно отсутствует. Получение сведений из иных источников в массовом порядке невозможно.</w:t>
            </w:r>
          </w:p>
        </w:tc>
      </w:tr>
      <w:tr w:rsidR="000D7C1E" w:rsidRPr="0078252D" w14:paraId="30C4ACCE" w14:textId="77777777" w:rsidTr="00473E76">
        <w:trPr>
          <w:trHeight w:val="20"/>
        </w:trPr>
        <w:tc>
          <w:tcPr>
            <w:tcW w:w="501" w:type="dxa"/>
            <w:tcBorders>
              <w:top w:val="single" w:sz="4" w:space="0" w:color="000000"/>
              <w:left w:val="single" w:sz="4" w:space="0" w:color="000000"/>
              <w:bottom w:val="single" w:sz="4" w:space="0" w:color="000000"/>
            </w:tcBorders>
            <w:tcMar>
              <w:top w:w="102" w:type="dxa"/>
              <w:left w:w="62" w:type="dxa"/>
              <w:bottom w:w="102" w:type="dxa"/>
              <w:right w:w="62" w:type="dxa"/>
            </w:tcMar>
            <w:vAlign w:val="center"/>
          </w:tcPr>
          <w:p w14:paraId="5162DA19" w14:textId="77777777" w:rsidR="000D7C1E" w:rsidRPr="0078252D" w:rsidRDefault="000D7C1E" w:rsidP="00473E76">
            <w:pPr>
              <w:pStyle w:val="Standard"/>
              <w:widowControl w:val="0"/>
              <w:autoSpaceDE w:val="0"/>
              <w:jc w:val="center"/>
              <w:rPr>
                <w:sz w:val="20"/>
                <w:szCs w:val="20"/>
              </w:rPr>
            </w:pPr>
            <w:r w:rsidRPr="0078252D">
              <w:rPr>
                <w:sz w:val="20"/>
                <w:szCs w:val="20"/>
              </w:rPr>
              <w:t>43</w:t>
            </w:r>
          </w:p>
        </w:tc>
        <w:tc>
          <w:tcPr>
            <w:tcW w:w="2096" w:type="dxa"/>
            <w:tcBorders>
              <w:top w:val="single" w:sz="4" w:space="0" w:color="000000"/>
              <w:left w:val="single" w:sz="4" w:space="0" w:color="000000"/>
              <w:bottom w:val="single" w:sz="4" w:space="0" w:color="000000"/>
            </w:tcBorders>
            <w:tcMar>
              <w:top w:w="102" w:type="dxa"/>
              <w:left w:w="62" w:type="dxa"/>
              <w:bottom w:w="102" w:type="dxa"/>
              <w:right w:w="62" w:type="dxa"/>
            </w:tcMar>
          </w:tcPr>
          <w:p w14:paraId="5855D389" w14:textId="77777777" w:rsidR="000D7C1E" w:rsidRPr="0078252D" w:rsidRDefault="000D7C1E" w:rsidP="00473E76">
            <w:pPr>
              <w:pStyle w:val="Standard"/>
              <w:widowControl w:val="0"/>
              <w:autoSpaceDE w:val="0"/>
              <w:rPr>
                <w:sz w:val="20"/>
                <w:szCs w:val="20"/>
              </w:rPr>
            </w:pPr>
            <w:r w:rsidRPr="0078252D">
              <w:rPr>
                <w:sz w:val="20"/>
                <w:szCs w:val="20"/>
              </w:rPr>
              <w:t>Класс линейного объекта</w:t>
            </w:r>
          </w:p>
        </w:tc>
        <w:tc>
          <w:tcPr>
            <w:tcW w:w="1509" w:type="dxa"/>
            <w:tcBorders>
              <w:top w:val="single" w:sz="4" w:space="0" w:color="000000"/>
              <w:left w:val="single" w:sz="4" w:space="0" w:color="000000"/>
              <w:bottom w:val="single" w:sz="4" w:space="0" w:color="000000"/>
            </w:tcBorders>
            <w:tcMar>
              <w:top w:w="102" w:type="dxa"/>
              <w:left w:w="62" w:type="dxa"/>
              <w:bottom w:w="102" w:type="dxa"/>
              <w:right w:w="62" w:type="dxa"/>
            </w:tcMar>
          </w:tcPr>
          <w:p w14:paraId="6FA12288" w14:textId="77777777" w:rsidR="000D7C1E" w:rsidRPr="0078252D" w:rsidRDefault="000D7C1E" w:rsidP="00473E76">
            <w:pPr>
              <w:pStyle w:val="Standard"/>
              <w:widowControl w:val="0"/>
              <w:autoSpaceDE w:val="0"/>
              <w:jc w:val="center"/>
              <w:rPr>
                <w:sz w:val="20"/>
                <w:szCs w:val="20"/>
              </w:rPr>
            </w:pPr>
            <w:r w:rsidRPr="0078252D">
              <w:rPr>
                <w:sz w:val="20"/>
                <w:szCs w:val="20"/>
              </w:rPr>
              <w:t>-</w:t>
            </w:r>
          </w:p>
        </w:tc>
        <w:tc>
          <w:tcPr>
            <w:tcW w:w="1285" w:type="dxa"/>
            <w:tcBorders>
              <w:top w:val="single" w:sz="4" w:space="0" w:color="000000"/>
              <w:left w:val="single" w:sz="4" w:space="0" w:color="000000"/>
              <w:bottom w:val="single" w:sz="4" w:space="0" w:color="000000"/>
            </w:tcBorders>
            <w:tcMar>
              <w:top w:w="102" w:type="dxa"/>
              <w:left w:w="62" w:type="dxa"/>
              <w:bottom w:w="102" w:type="dxa"/>
              <w:right w:w="62" w:type="dxa"/>
            </w:tcMar>
            <w:vAlign w:val="center"/>
          </w:tcPr>
          <w:p w14:paraId="13B6AD9A" w14:textId="77777777" w:rsidR="000D7C1E" w:rsidRPr="00E74680" w:rsidRDefault="000D7C1E" w:rsidP="00473E76">
            <w:pPr>
              <w:ind w:firstLine="0"/>
              <w:jc w:val="center"/>
              <w:rPr>
                <w:rFonts w:eastAsia="Times New Roman" w:cs="Times New Roman"/>
                <w:color w:val="000000"/>
                <w:sz w:val="20"/>
                <w:szCs w:val="20"/>
                <w:lang w:eastAsia="ru-RU"/>
              </w:rPr>
            </w:pPr>
            <w:r w:rsidRPr="00E74680">
              <w:rPr>
                <w:rFonts w:eastAsia="Times New Roman" w:cs="Times New Roman"/>
                <w:color w:val="000000"/>
                <w:sz w:val="20"/>
                <w:szCs w:val="20"/>
                <w:lang w:eastAsia="ru-RU"/>
              </w:rPr>
              <w:t>Не использован</w:t>
            </w:r>
          </w:p>
        </w:tc>
        <w:tc>
          <w:tcPr>
            <w:tcW w:w="3960" w:type="dxa"/>
            <w:tcBorders>
              <w:top w:val="single" w:sz="4" w:space="0" w:color="000000"/>
              <w:left w:val="single" w:sz="4" w:space="0" w:color="000000"/>
              <w:bottom w:val="single" w:sz="4" w:space="0" w:color="000000"/>
              <w:right w:val="single" w:sz="4" w:space="0" w:color="000000"/>
            </w:tcBorders>
            <w:tcMar>
              <w:top w:w="102" w:type="dxa"/>
              <w:left w:w="62" w:type="dxa"/>
              <w:bottom w:w="102" w:type="dxa"/>
              <w:right w:w="62" w:type="dxa"/>
            </w:tcMar>
            <w:vAlign w:val="center"/>
          </w:tcPr>
          <w:p w14:paraId="622E9987" w14:textId="77777777" w:rsidR="000D7C1E" w:rsidRPr="00E74680" w:rsidRDefault="000D7C1E" w:rsidP="00473E76">
            <w:pPr>
              <w:ind w:firstLine="0"/>
              <w:rPr>
                <w:rFonts w:eastAsia="Times New Roman" w:cs="Times New Roman"/>
                <w:color w:val="000000"/>
                <w:sz w:val="20"/>
                <w:szCs w:val="20"/>
                <w:lang w:eastAsia="ru-RU"/>
              </w:rPr>
            </w:pPr>
            <w:r w:rsidRPr="00E74680">
              <w:rPr>
                <w:rFonts w:eastAsia="Times New Roman" w:cs="Times New Roman"/>
                <w:color w:val="000000"/>
                <w:sz w:val="20"/>
                <w:szCs w:val="20"/>
                <w:lang w:eastAsia="ru-RU"/>
              </w:rPr>
              <w:t>Данные ЕГРН, предоставленные бюджетному учреждению, не содержат сведений оценообразующем факторе по объектам оценки. В связи с чем данный фактор не использовался.</w:t>
            </w:r>
          </w:p>
        </w:tc>
      </w:tr>
      <w:tr w:rsidR="000D7C1E" w:rsidRPr="0078252D" w14:paraId="53A2856A" w14:textId="77777777" w:rsidTr="00473E76">
        <w:trPr>
          <w:trHeight w:val="20"/>
        </w:trPr>
        <w:tc>
          <w:tcPr>
            <w:tcW w:w="501" w:type="dxa"/>
            <w:tcBorders>
              <w:top w:val="single" w:sz="4" w:space="0" w:color="000000"/>
              <w:left w:val="single" w:sz="4" w:space="0" w:color="000000"/>
              <w:bottom w:val="single" w:sz="4" w:space="0" w:color="000000"/>
            </w:tcBorders>
            <w:tcMar>
              <w:top w:w="102" w:type="dxa"/>
              <w:left w:w="62" w:type="dxa"/>
              <w:bottom w:w="102" w:type="dxa"/>
              <w:right w:w="62" w:type="dxa"/>
            </w:tcMar>
            <w:vAlign w:val="center"/>
          </w:tcPr>
          <w:p w14:paraId="04262FBC" w14:textId="77777777" w:rsidR="000D7C1E" w:rsidRPr="0078252D" w:rsidRDefault="000D7C1E" w:rsidP="00473E76">
            <w:pPr>
              <w:pStyle w:val="Standard"/>
              <w:widowControl w:val="0"/>
              <w:autoSpaceDE w:val="0"/>
              <w:jc w:val="center"/>
              <w:rPr>
                <w:sz w:val="20"/>
                <w:szCs w:val="20"/>
              </w:rPr>
            </w:pPr>
            <w:r w:rsidRPr="0078252D">
              <w:rPr>
                <w:sz w:val="20"/>
                <w:szCs w:val="20"/>
              </w:rPr>
              <w:t>44</w:t>
            </w:r>
          </w:p>
        </w:tc>
        <w:tc>
          <w:tcPr>
            <w:tcW w:w="2096" w:type="dxa"/>
            <w:tcBorders>
              <w:top w:val="single" w:sz="4" w:space="0" w:color="000000"/>
              <w:left w:val="single" w:sz="4" w:space="0" w:color="000000"/>
              <w:bottom w:val="single" w:sz="4" w:space="0" w:color="000000"/>
            </w:tcBorders>
            <w:tcMar>
              <w:top w:w="102" w:type="dxa"/>
              <w:left w:w="62" w:type="dxa"/>
              <w:bottom w:w="102" w:type="dxa"/>
              <w:right w:w="62" w:type="dxa"/>
            </w:tcMar>
          </w:tcPr>
          <w:p w14:paraId="4801EB0E" w14:textId="77777777" w:rsidR="000D7C1E" w:rsidRPr="0078252D" w:rsidRDefault="000D7C1E" w:rsidP="00473E76">
            <w:pPr>
              <w:pStyle w:val="Standard"/>
              <w:widowControl w:val="0"/>
              <w:autoSpaceDE w:val="0"/>
              <w:rPr>
                <w:sz w:val="20"/>
                <w:szCs w:val="20"/>
              </w:rPr>
            </w:pPr>
            <w:r w:rsidRPr="0078252D">
              <w:rPr>
                <w:sz w:val="20"/>
                <w:szCs w:val="20"/>
              </w:rPr>
              <w:t>Расположение земельного участка относительно линий электропередач</w:t>
            </w:r>
          </w:p>
        </w:tc>
        <w:tc>
          <w:tcPr>
            <w:tcW w:w="1509" w:type="dxa"/>
            <w:tcBorders>
              <w:top w:val="single" w:sz="4" w:space="0" w:color="000000"/>
              <w:left w:val="single" w:sz="4" w:space="0" w:color="000000"/>
              <w:bottom w:val="single" w:sz="4" w:space="0" w:color="000000"/>
            </w:tcBorders>
            <w:tcMar>
              <w:top w:w="102" w:type="dxa"/>
              <w:left w:w="62" w:type="dxa"/>
              <w:bottom w:w="102" w:type="dxa"/>
              <w:right w:w="62" w:type="dxa"/>
            </w:tcMar>
          </w:tcPr>
          <w:p w14:paraId="0CA354ED" w14:textId="77777777" w:rsidR="000D7C1E" w:rsidRPr="0078252D" w:rsidRDefault="000D7C1E" w:rsidP="00473E76">
            <w:pPr>
              <w:pStyle w:val="Standard"/>
              <w:widowControl w:val="0"/>
              <w:autoSpaceDE w:val="0"/>
              <w:jc w:val="center"/>
              <w:rPr>
                <w:sz w:val="20"/>
                <w:szCs w:val="20"/>
              </w:rPr>
            </w:pPr>
            <w:r w:rsidRPr="0078252D">
              <w:rPr>
                <w:sz w:val="20"/>
                <w:szCs w:val="20"/>
              </w:rPr>
              <w:t>км</w:t>
            </w:r>
          </w:p>
        </w:tc>
        <w:tc>
          <w:tcPr>
            <w:tcW w:w="1285" w:type="dxa"/>
            <w:tcBorders>
              <w:top w:val="single" w:sz="4" w:space="0" w:color="000000"/>
              <w:left w:val="single" w:sz="4" w:space="0" w:color="000000"/>
              <w:bottom w:val="single" w:sz="4" w:space="0" w:color="000000"/>
            </w:tcBorders>
            <w:tcMar>
              <w:top w:w="102" w:type="dxa"/>
              <w:left w:w="62" w:type="dxa"/>
              <w:bottom w:w="102" w:type="dxa"/>
              <w:right w:w="62" w:type="dxa"/>
            </w:tcMar>
            <w:vAlign w:val="center"/>
          </w:tcPr>
          <w:p w14:paraId="70FDBD98" w14:textId="77777777" w:rsidR="000D7C1E" w:rsidRPr="00E74680" w:rsidRDefault="000D7C1E" w:rsidP="00473E76">
            <w:pPr>
              <w:ind w:firstLine="0"/>
              <w:jc w:val="center"/>
              <w:rPr>
                <w:rFonts w:eastAsia="Times New Roman" w:cs="Times New Roman"/>
                <w:color w:val="000000"/>
                <w:sz w:val="20"/>
                <w:szCs w:val="20"/>
                <w:lang w:eastAsia="ru-RU"/>
              </w:rPr>
            </w:pPr>
            <w:r w:rsidRPr="00E74680">
              <w:rPr>
                <w:rFonts w:eastAsia="Times New Roman" w:cs="Times New Roman"/>
                <w:color w:val="000000"/>
                <w:sz w:val="20"/>
                <w:szCs w:val="20"/>
                <w:lang w:eastAsia="ru-RU"/>
              </w:rPr>
              <w:t>Не использован</w:t>
            </w:r>
          </w:p>
        </w:tc>
        <w:tc>
          <w:tcPr>
            <w:tcW w:w="3960" w:type="dxa"/>
            <w:tcBorders>
              <w:top w:val="single" w:sz="4" w:space="0" w:color="000000"/>
              <w:left w:val="single" w:sz="4" w:space="0" w:color="000000"/>
              <w:bottom w:val="single" w:sz="4" w:space="0" w:color="000000"/>
              <w:right w:val="single" w:sz="4" w:space="0" w:color="000000"/>
            </w:tcBorders>
            <w:tcMar>
              <w:top w:w="102" w:type="dxa"/>
              <w:left w:w="62" w:type="dxa"/>
              <w:bottom w:w="102" w:type="dxa"/>
              <w:right w:w="62" w:type="dxa"/>
            </w:tcMar>
            <w:vAlign w:val="center"/>
          </w:tcPr>
          <w:p w14:paraId="515F6495" w14:textId="77777777" w:rsidR="000D7C1E" w:rsidRPr="00E74680" w:rsidRDefault="000D7C1E" w:rsidP="00473E76">
            <w:pPr>
              <w:ind w:firstLine="0"/>
              <w:rPr>
                <w:rFonts w:eastAsia="Times New Roman" w:cs="Times New Roman"/>
                <w:color w:val="000000"/>
                <w:sz w:val="20"/>
                <w:szCs w:val="20"/>
                <w:lang w:eastAsia="ru-RU"/>
              </w:rPr>
            </w:pPr>
            <w:r w:rsidRPr="00E74680">
              <w:rPr>
                <w:rFonts w:eastAsia="Times New Roman" w:cs="Times New Roman"/>
                <w:color w:val="000000"/>
                <w:sz w:val="20"/>
                <w:szCs w:val="20"/>
                <w:lang w:eastAsia="ru-RU"/>
              </w:rPr>
              <w:t>Данные ЕГРН, предоставленные бюджетному учреждению, содержат сведения о земельном участке, в границах которого расположен объект недвижимости, не по всем объектам оценки. В связи с чем данный фактор не использовался.</w:t>
            </w:r>
          </w:p>
        </w:tc>
      </w:tr>
      <w:tr w:rsidR="000D7C1E" w:rsidRPr="0078252D" w14:paraId="23DDC092" w14:textId="77777777" w:rsidTr="00473E76">
        <w:trPr>
          <w:trHeight w:val="20"/>
        </w:trPr>
        <w:tc>
          <w:tcPr>
            <w:tcW w:w="501" w:type="dxa"/>
            <w:tcBorders>
              <w:top w:val="single" w:sz="4" w:space="0" w:color="000000"/>
              <w:left w:val="single" w:sz="4" w:space="0" w:color="000000"/>
              <w:bottom w:val="single" w:sz="4" w:space="0" w:color="000000"/>
            </w:tcBorders>
            <w:tcMar>
              <w:top w:w="102" w:type="dxa"/>
              <w:left w:w="62" w:type="dxa"/>
              <w:bottom w:w="102" w:type="dxa"/>
              <w:right w:w="62" w:type="dxa"/>
            </w:tcMar>
            <w:vAlign w:val="center"/>
          </w:tcPr>
          <w:p w14:paraId="1CE512D2" w14:textId="77777777" w:rsidR="000D7C1E" w:rsidRPr="0078252D" w:rsidRDefault="000D7C1E" w:rsidP="00473E76">
            <w:pPr>
              <w:pStyle w:val="Standard"/>
              <w:widowControl w:val="0"/>
              <w:autoSpaceDE w:val="0"/>
              <w:jc w:val="center"/>
              <w:rPr>
                <w:sz w:val="20"/>
                <w:szCs w:val="20"/>
              </w:rPr>
            </w:pPr>
            <w:r w:rsidRPr="0078252D">
              <w:rPr>
                <w:sz w:val="20"/>
                <w:szCs w:val="20"/>
              </w:rPr>
              <w:t>45</w:t>
            </w:r>
          </w:p>
        </w:tc>
        <w:tc>
          <w:tcPr>
            <w:tcW w:w="2096" w:type="dxa"/>
            <w:tcBorders>
              <w:top w:val="single" w:sz="4" w:space="0" w:color="000000"/>
              <w:left w:val="single" w:sz="4" w:space="0" w:color="000000"/>
              <w:bottom w:val="single" w:sz="4" w:space="0" w:color="000000"/>
            </w:tcBorders>
            <w:tcMar>
              <w:top w:w="102" w:type="dxa"/>
              <w:left w:w="62" w:type="dxa"/>
              <w:bottom w:w="102" w:type="dxa"/>
              <w:right w:w="62" w:type="dxa"/>
            </w:tcMar>
          </w:tcPr>
          <w:p w14:paraId="1B0FB791" w14:textId="77777777" w:rsidR="000D7C1E" w:rsidRPr="0078252D" w:rsidRDefault="000D7C1E" w:rsidP="00473E76">
            <w:pPr>
              <w:pStyle w:val="Standard"/>
              <w:widowControl w:val="0"/>
              <w:autoSpaceDE w:val="0"/>
              <w:rPr>
                <w:sz w:val="20"/>
                <w:szCs w:val="20"/>
              </w:rPr>
            </w:pPr>
            <w:r w:rsidRPr="0078252D">
              <w:rPr>
                <w:sz w:val="20"/>
                <w:szCs w:val="20"/>
              </w:rPr>
              <w:t>Протяженность земельных участков под линейными объектами</w:t>
            </w:r>
          </w:p>
        </w:tc>
        <w:tc>
          <w:tcPr>
            <w:tcW w:w="1509" w:type="dxa"/>
            <w:tcBorders>
              <w:top w:val="single" w:sz="4" w:space="0" w:color="000000"/>
              <w:left w:val="single" w:sz="4" w:space="0" w:color="000000"/>
              <w:bottom w:val="single" w:sz="4" w:space="0" w:color="000000"/>
            </w:tcBorders>
            <w:tcMar>
              <w:top w:w="102" w:type="dxa"/>
              <w:left w:w="62" w:type="dxa"/>
              <w:bottom w:w="102" w:type="dxa"/>
              <w:right w:w="62" w:type="dxa"/>
            </w:tcMar>
          </w:tcPr>
          <w:p w14:paraId="4501EEC5" w14:textId="77777777" w:rsidR="000D7C1E" w:rsidRPr="0078252D" w:rsidRDefault="000D7C1E" w:rsidP="00473E76">
            <w:pPr>
              <w:pStyle w:val="Standard"/>
              <w:widowControl w:val="0"/>
              <w:autoSpaceDE w:val="0"/>
              <w:jc w:val="center"/>
              <w:rPr>
                <w:sz w:val="20"/>
                <w:szCs w:val="20"/>
              </w:rPr>
            </w:pPr>
            <w:r w:rsidRPr="0078252D">
              <w:rPr>
                <w:sz w:val="20"/>
                <w:szCs w:val="20"/>
              </w:rPr>
              <w:t>км</w:t>
            </w:r>
          </w:p>
        </w:tc>
        <w:tc>
          <w:tcPr>
            <w:tcW w:w="1285" w:type="dxa"/>
            <w:tcBorders>
              <w:top w:val="single" w:sz="4" w:space="0" w:color="000000"/>
              <w:left w:val="single" w:sz="4" w:space="0" w:color="000000"/>
              <w:bottom w:val="single" w:sz="4" w:space="0" w:color="000000"/>
            </w:tcBorders>
            <w:tcMar>
              <w:top w:w="102" w:type="dxa"/>
              <w:left w:w="62" w:type="dxa"/>
              <w:bottom w:w="102" w:type="dxa"/>
              <w:right w:w="62" w:type="dxa"/>
            </w:tcMar>
            <w:vAlign w:val="center"/>
          </w:tcPr>
          <w:p w14:paraId="7631E523" w14:textId="77777777" w:rsidR="000D7C1E" w:rsidRPr="00E74680" w:rsidRDefault="000D7C1E" w:rsidP="00473E76">
            <w:pPr>
              <w:ind w:firstLine="0"/>
              <w:jc w:val="center"/>
              <w:rPr>
                <w:rFonts w:eastAsia="Times New Roman" w:cs="Times New Roman"/>
                <w:color w:val="000000"/>
                <w:sz w:val="20"/>
                <w:szCs w:val="20"/>
                <w:lang w:eastAsia="ru-RU"/>
              </w:rPr>
            </w:pPr>
            <w:r w:rsidRPr="00E74680">
              <w:rPr>
                <w:rFonts w:eastAsia="Times New Roman" w:cs="Times New Roman"/>
                <w:color w:val="000000"/>
                <w:sz w:val="20"/>
                <w:szCs w:val="20"/>
                <w:lang w:eastAsia="ru-RU"/>
              </w:rPr>
              <w:t>Не использован</w:t>
            </w:r>
          </w:p>
        </w:tc>
        <w:tc>
          <w:tcPr>
            <w:tcW w:w="3960" w:type="dxa"/>
            <w:tcBorders>
              <w:top w:val="single" w:sz="4" w:space="0" w:color="000000"/>
              <w:left w:val="single" w:sz="4" w:space="0" w:color="000000"/>
              <w:bottom w:val="single" w:sz="4" w:space="0" w:color="000000"/>
              <w:right w:val="single" w:sz="4" w:space="0" w:color="000000"/>
            </w:tcBorders>
            <w:tcMar>
              <w:top w:w="102" w:type="dxa"/>
              <w:left w:w="62" w:type="dxa"/>
              <w:bottom w:w="102" w:type="dxa"/>
              <w:right w:w="62" w:type="dxa"/>
            </w:tcMar>
            <w:vAlign w:val="center"/>
          </w:tcPr>
          <w:p w14:paraId="73306D4B" w14:textId="77777777" w:rsidR="000D7C1E" w:rsidRPr="00E74680" w:rsidRDefault="000D7C1E" w:rsidP="00473E76">
            <w:pPr>
              <w:ind w:firstLine="0"/>
              <w:rPr>
                <w:rFonts w:eastAsia="Times New Roman" w:cs="Times New Roman"/>
                <w:color w:val="000000"/>
                <w:sz w:val="20"/>
                <w:szCs w:val="20"/>
                <w:lang w:eastAsia="ru-RU"/>
              </w:rPr>
            </w:pPr>
            <w:r w:rsidRPr="00E74680">
              <w:rPr>
                <w:rFonts w:eastAsia="Times New Roman" w:cs="Times New Roman"/>
                <w:color w:val="000000"/>
                <w:sz w:val="20"/>
                <w:szCs w:val="20"/>
                <w:lang w:eastAsia="ru-RU"/>
              </w:rPr>
              <w:t>Данные ЕГРН, предоставленные бюджетному учреждению, содержат сведения о земельном участке, в границах которого расположен объект недвижимости, не по всем объектам оценки. В связи с чем данный фактор не использовался.</w:t>
            </w:r>
          </w:p>
        </w:tc>
      </w:tr>
      <w:tr w:rsidR="000D7C1E" w:rsidRPr="0078252D" w14:paraId="5D347F5B" w14:textId="77777777" w:rsidTr="00473E76">
        <w:trPr>
          <w:trHeight w:val="20"/>
        </w:trPr>
        <w:tc>
          <w:tcPr>
            <w:tcW w:w="501" w:type="dxa"/>
            <w:tcBorders>
              <w:top w:val="single" w:sz="4" w:space="0" w:color="000000"/>
              <w:left w:val="single" w:sz="4" w:space="0" w:color="000000"/>
              <w:bottom w:val="single" w:sz="4" w:space="0" w:color="000000"/>
            </w:tcBorders>
            <w:tcMar>
              <w:top w:w="102" w:type="dxa"/>
              <w:left w:w="62" w:type="dxa"/>
              <w:bottom w:w="102" w:type="dxa"/>
              <w:right w:w="62" w:type="dxa"/>
            </w:tcMar>
            <w:vAlign w:val="center"/>
          </w:tcPr>
          <w:p w14:paraId="0D31714A" w14:textId="77777777" w:rsidR="000D7C1E" w:rsidRPr="0078252D" w:rsidRDefault="000D7C1E" w:rsidP="00473E76">
            <w:pPr>
              <w:pStyle w:val="Standard"/>
              <w:widowControl w:val="0"/>
              <w:autoSpaceDE w:val="0"/>
              <w:jc w:val="center"/>
              <w:rPr>
                <w:sz w:val="20"/>
                <w:szCs w:val="20"/>
              </w:rPr>
            </w:pPr>
            <w:r w:rsidRPr="0078252D">
              <w:rPr>
                <w:sz w:val="20"/>
                <w:szCs w:val="20"/>
              </w:rPr>
              <w:t>46</w:t>
            </w:r>
          </w:p>
        </w:tc>
        <w:tc>
          <w:tcPr>
            <w:tcW w:w="2096" w:type="dxa"/>
            <w:tcBorders>
              <w:top w:val="single" w:sz="4" w:space="0" w:color="000000"/>
              <w:left w:val="single" w:sz="4" w:space="0" w:color="000000"/>
              <w:bottom w:val="single" w:sz="4" w:space="0" w:color="000000"/>
            </w:tcBorders>
            <w:tcMar>
              <w:top w:w="102" w:type="dxa"/>
              <w:left w:w="62" w:type="dxa"/>
              <w:bottom w:w="102" w:type="dxa"/>
              <w:right w:w="62" w:type="dxa"/>
            </w:tcMar>
          </w:tcPr>
          <w:p w14:paraId="3CD3EBF7" w14:textId="77777777" w:rsidR="000D7C1E" w:rsidRPr="0078252D" w:rsidRDefault="000D7C1E" w:rsidP="00473E76">
            <w:pPr>
              <w:pStyle w:val="Standard"/>
              <w:widowControl w:val="0"/>
              <w:autoSpaceDE w:val="0"/>
              <w:rPr>
                <w:sz w:val="20"/>
                <w:szCs w:val="20"/>
              </w:rPr>
            </w:pPr>
            <w:r w:rsidRPr="0078252D">
              <w:rPr>
                <w:sz w:val="20"/>
                <w:szCs w:val="20"/>
              </w:rPr>
              <w:t>Расположение земельного участка относительно магистральных газопроводов</w:t>
            </w:r>
          </w:p>
        </w:tc>
        <w:tc>
          <w:tcPr>
            <w:tcW w:w="1509" w:type="dxa"/>
            <w:tcBorders>
              <w:top w:val="single" w:sz="4" w:space="0" w:color="000000"/>
              <w:left w:val="single" w:sz="4" w:space="0" w:color="000000"/>
              <w:bottom w:val="single" w:sz="4" w:space="0" w:color="000000"/>
            </w:tcBorders>
            <w:tcMar>
              <w:top w:w="102" w:type="dxa"/>
              <w:left w:w="62" w:type="dxa"/>
              <w:bottom w:w="102" w:type="dxa"/>
              <w:right w:w="62" w:type="dxa"/>
            </w:tcMar>
          </w:tcPr>
          <w:p w14:paraId="29103288" w14:textId="77777777" w:rsidR="000D7C1E" w:rsidRPr="0078252D" w:rsidRDefault="000D7C1E" w:rsidP="00473E76">
            <w:pPr>
              <w:pStyle w:val="Standard"/>
              <w:widowControl w:val="0"/>
              <w:autoSpaceDE w:val="0"/>
              <w:jc w:val="center"/>
              <w:rPr>
                <w:sz w:val="20"/>
                <w:szCs w:val="20"/>
              </w:rPr>
            </w:pPr>
            <w:r w:rsidRPr="0078252D">
              <w:rPr>
                <w:sz w:val="20"/>
                <w:szCs w:val="20"/>
              </w:rPr>
              <w:t>км</w:t>
            </w:r>
          </w:p>
        </w:tc>
        <w:tc>
          <w:tcPr>
            <w:tcW w:w="1285" w:type="dxa"/>
            <w:tcBorders>
              <w:top w:val="single" w:sz="4" w:space="0" w:color="000000"/>
              <w:left w:val="single" w:sz="4" w:space="0" w:color="000000"/>
              <w:bottom w:val="single" w:sz="4" w:space="0" w:color="000000"/>
            </w:tcBorders>
            <w:tcMar>
              <w:top w:w="102" w:type="dxa"/>
              <w:left w:w="62" w:type="dxa"/>
              <w:bottom w:w="102" w:type="dxa"/>
              <w:right w:w="62" w:type="dxa"/>
            </w:tcMar>
            <w:vAlign w:val="center"/>
          </w:tcPr>
          <w:p w14:paraId="6D6F500A" w14:textId="77777777" w:rsidR="000D7C1E" w:rsidRPr="00E74680" w:rsidRDefault="000D7C1E" w:rsidP="00473E76">
            <w:pPr>
              <w:ind w:firstLine="0"/>
              <w:jc w:val="center"/>
              <w:rPr>
                <w:rFonts w:eastAsia="Times New Roman" w:cs="Times New Roman"/>
                <w:color w:val="000000"/>
                <w:sz w:val="20"/>
                <w:szCs w:val="20"/>
                <w:lang w:eastAsia="ru-RU"/>
              </w:rPr>
            </w:pPr>
            <w:r w:rsidRPr="00E74680">
              <w:rPr>
                <w:rFonts w:eastAsia="Times New Roman" w:cs="Times New Roman"/>
                <w:color w:val="000000"/>
                <w:sz w:val="20"/>
                <w:szCs w:val="20"/>
                <w:lang w:eastAsia="ru-RU"/>
              </w:rPr>
              <w:t>Не использован</w:t>
            </w:r>
          </w:p>
        </w:tc>
        <w:tc>
          <w:tcPr>
            <w:tcW w:w="3960" w:type="dxa"/>
            <w:tcBorders>
              <w:top w:val="single" w:sz="4" w:space="0" w:color="000000"/>
              <w:left w:val="single" w:sz="4" w:space="0" w:color="000000"/>
              <w:bottom w:val="single" w:sz="4" w:space="0" w:color="000000"/>
              <w:right w:val="single" w:sz="4" w:space="0" w:color="000000"/>
            </w:tcBorders>
            <w:tcMar>
              <w:top w:w="102" w:type="dxa"/>
              <w:left w:w="62" w:type="dxa"/>
              <w:bottom w:w="102" w:type="dxa"/>
              <w:right w:w="62" w:type="dxa"/>
            </w:tcMar>
            <w:vAlign w:val="center"/>
          </w:tcPr>
          <w:p w14:paraId="625E7828" w14:textId="77777777" w:rsidR="000D7C1E" w:rsidRPr="00E74680" w:rsidRDefault="000D7C1E" w:rsidP="00473E76">
            <w:pPr>
              <w:ind w:firstLine="0"/>
              <w:rPr>
                <w:rFonts w:eastAsia="Times New Roman" w:cs="Times New Roman"/>
                <w:color w:val="000000"/>
                <w:sz w:val="20"/>
                <w:szCs w:val="20"/>
                <w:lang w:eastAsia="ru-RU"/>
              </w:rPr>
            </w:pPr>
            <w:r w:rsidRPr="00E74680">
              <w:rPr>
                <w:rFonts w:eastAsia="Times New Roman" w:cs="Times New Roman"/>
                <w:color w:val="000000"/>
                <w:sz w:val="20"/>
                <w:szCs w:val="20"/>
                <w:lang w:eastAsia="ru-RU"/>
              </w:rPr>
              <w:t>Данные ЕГРН, предоставленные бюджетному учреждению, содержат сведения о земельном участке, в границах которого расположен объект недвижимости, не по всем объектам оценки. В связи с чем данный фактор не использовался.</w:t>
            </w:r>
          </w:p>
        </w:tc>
      </w:tr>
      <w:tr w:rsidR="000D7C1E" w:rsidRPr="0078252D" w14:paraId="1ED0506B" w14:textId="77777777" w:rsidTr="00473E76">
        <w:trPr>
          <w:trHeight w:val="20"/>
        </w:trPr>
        <w:tc>
          <w:tcPr>
            <w:tcW w:w="501" w:type="dxa"/>
            <w:tcBorders>
              <w:top w:val="single" w:sz="4" w:space="0" w:color="000000"/>
              <w:left w:val="single" w:sz="4" w:space="0" w:color="000000"/>
              <w:bottom w:val="single" w:sz="4" w:space="0" w:color="000000"/>
            </w:tcBorders>
            <w:tcMar>
              <w:top w:w="102" w:type="dxa"/>
              <w:left w:w="62" w:type="dxa"/>
              <w:bottom w:w="102" w:type="dxa"/>
              <w:right w:w="62" w:type="dxa"/>
            </w:tcMar>
            <w:vAlign w:val="center"/>
          </w:tcPr>
          <w:p w14:paraId="4206A452" w14:textId="77777777" w:rsidR="000D7C1E" w:rsidRPr="0078252D" w:rsidRDefault="000D7C1E" w:rsidP="00473E76">
            <w:pPr>
              <w:pStyle w:val="Standard"/>
              <w:widowControl w:val="0"/>
              <w:autoSpaceDE w:val="0"/>
              <w:jc w:val="center"/>
              <w:rPr>
                <w:sz w:val="20"/>
                <w:szCs w:val="20"/>
              </w:rPr>
            </w:pPr>
            <w:r w:rsidRPr="0078252D">
              <w:rPr>
                <w:sz w:val="20"/>
                <w:szCs w:val="20"/>
              </w:rPr>
              <w:t>47</w:t>
            </w:r>
          </w:p>
        </w:tc>
        <w:tc>
          <w:tcPr>
            <w:tcW w:w="2096" w:type="dxa"/>
            <w:tcBorders>
              <w:top w:val="single" w:sz="4" w:space="0" w:color="000000"/>
              <w:left w:val="single" w:sz="4" w:space="0" w:color="000000"/>
              <w:bottom w:val="single" w:sz="4" w:space="0" w:color="000000"/>
            </w:tcBorders>
            <w:tcMar>
              <w:top w:w="102" w:type="dxa"/>
              <w:left w:w="62" w:type="dxa"/>
              <w:bottom w:w="102" w:type="dxa"/>
              <w:right w:w="62" w:type="dxa"/>
            </w:tcMar>
          </w:tcPr>
          <w:p w14:paraId="13DAA499" w14:textId="77777777" w:rsidR="000D7C1E" w:rsidRPr="0078252D" w:rsidRDefault="000D7C1E" w:rsidP="00473E76">
            <w:pPr>
              <w:pStyle w:val="Standard"/>
              <w:widowControl w:val="0"/>
              <w:autoSpaceDE w:val="0"/>
              <w:rPr>
                <w:sz w:val="20"/>
                <w:szCs w:val="20"/>
              </w:rPr>
            </w:pPr>
            <w:r w:rsidRPr="0078252D">
              <w:rPr>
                <w:sz w:val="20"/>
                <w:szCs w:val="20"/>
              </w:rPr>
              <w:t>Описание коммуникаций (электроснабжение, газоснабжение, водоснабжение, теплоснабжение, канализация), в том числе их удаленность от земельного участка</w:t>
            </w:r>
          </w:p>
        </w:tc>
        <w:tc>
          <w:tcPr>
            <w:tcW w:w="1509" w:type="dxa"/>
            <w:tcBorders>
              <w:top w:val="single" w:sz="4" w:space="0" w:color="000000"/>
              <w:left w:val="single" w:sz="4" w:space="0" w:color="000000"/>
              <w:bottom w:val="single" w:sz="4" w:space="0" w:color="000000"/>
            </w:tcBorders>
            <w:tcMar>
              <w:top w:w="102" w:type="dxa"/>
              <w:left w:w="62" w:type="dxa"/>
              <w:bottom w:w="102" w:type="dxa"/>
              <w:right w:w="62" w:type="dxa"/>
            </w:tcMar>
          </w:tcPr>
          <w:p w14:paraId="45E94E02" w14:textId="77777777" w:rsidR="000D7C1E" w:rsidRPr="0078252D" w:rsidRDefault="000D7C1E" w:rsidP="00473E76">
            <w:pPr>
              <w:pStyle w:val="Standard"/>
              <w:widowControl w:val="0"/>
              <w:autoSpaceDE w:val="0"/>
              <w:jc w:val="center"/>
              <w:rPr>
                <w:sz w:val="20"/>
                <w:szCs w:val="20"/>
              </w:rPr>
            </w:pPr>
            <w:r w:rsidRPr="0078252D">
              <w:rPr>
                <w:sz w:val="20"/>
                <w:szCs w:val="20"/>
              </w:rPr>
              <w:t>-</w:t>
            </w:r>
          </w:p>
        </w:tc>
        <w:tc>
          <w:tcPr>
            <w:tcW w:w="1285" w:type="dxa"/>
            <w:tcBorders>
              <w:top w:val="single" w:sz="4" w:space="0" w:color="000000"/>
              <w:left w:val="single" w:sz="4" w:space="0" w:color="000000"/>
              <w:bottom w:val="single" w:sz="4" w:space="0" w:color="000000"/>
            </w:tcBorders>
            <w:tcMar>
              <w:top w:w="102" w:type="dxa"/>
              <w:left w:w="62" w:type="dxa"/>
              <w:bottom w:w="102" w:type="dxa"/>
              <w:right w:w="62" w:type="dxa"/>
            </w:tcMar>
            <w:vAlign w:val="center"/>
          </w:tcPr>
          <w:p w14:paraId="2262870F" w14:textId="77777777" w:rsidR="000D7C1E" w:rsidRPr="00E74680" w:rsidRDefault="000D7C1E" w:rsidP="00473E76">
            <w:pPr>
              <w:ind w:firstLine="0"/>
              <w:jc w:val="center"/>
              <w:rPr>
                <w:rFonts w:eastAsia="Times New Roman" w:cs="Times New Roman"/>
                <w:color w:val="000000"/>
                <w:sz w:val="20"/>
                <w:szCs w:val="20"/>
                <w:lang w:eastAsia="ru-RU"/>
              </w:rPr>
            </w:pPr>
            <w:r w:rsidRPr="00E74680">
              <w:rPr>
                <w:rFonts w:eastAsia="Times New Roman" w:cs="Times New Roman"/>
                <w:color w:val="000000"/>
                <w:sz w:val="20"/>
                <w:szCs w:val="20"/>
                <w:lang w:eastAsia="ru-RU"/>
              </w:rPr>
              <w:t>Использован</w:t>
            </w:r>
          </w:p>
        </w:tc>
        <w:tc>
          <w:tcPr>
            <w:tcW w:w="3960" w:type="dxa"/>
            <w:tcBorders>
              <w:top w:val="single" w:sz="4" w:space="0" w:color="000000"/>
              <w:left w:val="single" w:sz="4" w:space="0" w:color="000000"/>
              <w:bottom w:val="single" w:sz="4" w:space="0" w:color="000000"/>
              <w:right w:val="single" w:sz="4" w:space="0" w:color="000000"/>
            </w:tcBorders>
            <w:tcMar>
              <w:top w:w="102" w:type="dxa"/>
              <w:left w:w="62" w:type="dxa"/>
              <w:bottom w:w="102" w:type="dxa"/>
              <w:right w:w="62" w:type="dxa"/>
            </w:tcMar>
            <w:vAlign w:val="center"/>
          </w:tcPr>
          <w:p w14:paraId="38E4063E" w14:textId="77777777" w:rsidR="000D7C1E" w:rsidRPr="00E74680" w:rsidRDefault="000D7C1E" w:rsidP="00473E76">
            <w:pPr>
              <w:ind w:firstLine="0"/>
              <w:rPr>
                <w:rFonts w:eastAsia="Times New Roman" w:cs="Times New Roman"/>
                <w:color w:val="000000"/>
                <w:sz w:val="20"/>
                <w:szCs w:val="20"/>
                <w:lang w:eastAsia="ru-RU"/>
              </w:rPr>
            </w:pPr>
            <w:r w:rsidRPr="00E74680">
              <w:rPr>
                <w:rFonts w:eastAsia="Times New Roman" w:cs="Times New Roman"/>
                <w:color w:val="000000"/>
                <w:sz w:val="20"/>
                <w:szCs w:val="20"/>
                <w:lang w:eastAsia="ru-RU"/>
              </w:rPr>
              <w:t xml:space="preserve">Данный фактор использован в рамках затратного подхода. В рамках сравнительного подхода использовался для «ГНП» в виде графическом виде, а для «СНП» в семантическом виде. </w:t>
            </w:r>
          </w:p>
        </w:tc>
      </w:tr>
      <w:tr w:rsidR="000D7C1E" w:rsidRPr="0078252D" w14:paraId="65701FBC" w14:textId="77777777" w:rsidTr="00473E76">
        <w:trPr>
          <w:trHeight w:val="20"/>
        </w:trPr>
        <w:tc>
          <w:tcPr>
            <w:tcW w:w="9351" w:type="dxa"/>
            <w:gridSpan w:val="5"/>
            <w:tcBorders>
              <w:top w:val="single" w:sz="4" w:space="0" w:color="000000"/>
              <w:left w:val="single" w:sz="4" w:space="0" w:color="000000"/>
              <w:bottom w:val="single" w:sz="4" w:space="0" w:color="000000"/>
              <w:right w:val="single" w:sz="4" w:space="0" w:color="000000"/>
            </w:tcBorders>
            <w:tcMar>
              <w:top w:w="102" w:type="dxa"/>
              <w:left w:w="62" w:type="dxa"/>
              <w:bottom w:w="102" w:type="dxa"/>
              <w:right w:w="62" w:type="dxa"/>
            </w:tcMar>
            <w:vAlign w:val="center"/>
          </w:tcPr>
          <w:p w14:paraId="38A9CED2" w14:textId="77777777" w:rsidR="000D7C1E" w:rsidRPr="0078252D" w:rsidRDefault="000D7C1E" w:rsidP="00473E76">
            <w:pPr>
              <w:pStyle w:val="Standard"/>
              <w:widowControl w:val="0"/>
              <w:autoSpaceDE w:val="0"/>
              <w:jc w:val="center"/>
              <w:rPr>
                <w:sz w:val="20"/>
                <w:szCs w:val="20"/>
              </w:rPr>
            </w:pPr>
            <w:r w:rsidRPr="0078252D">
              <w:rPr>
                <w:sz w:val="20"/>
                <w:szCs w:val="20"/>
              </w:rPr>
              <w:t>Прочие сведения</w:t>
            </w:r>
          </w:p>
        </w:tc>
      </w:tr>
      <w:tr w:rsidR="000D7C1E" w:rsidRPr="0078252D" w14:paraId="0072B22C" w14:textId="77777777" w:rsidTr="00473E76">
        <w:trPr>
          <w:trHeight w:val="20"/>
        </w:trPr>
        <w:tc>
          <w:tcPr>
            <w:tcW w:w="501" w:type="dxa"/>
            <w:tcBorders>
              <w:top w:val="single" w:sz="4" w:space="0" w:color="000000"/>
              <w:left w:val="single" w:sz="4" w:space="0" w:color="000000"/>
              <w:bottom w:val="single" w:sz="4" w:space="0" w:color="000000"/>
            </w:tcBorders>
            <w:tcMar>
              <w:top w:w="102" w:type="dxa"/>
              <w:left w:w="62" w:type="dxa"/>
              <w:bottom w:w="102" w:type="dxa"/>
              <w:right w:w="62" w:type="dxa"/>
            </w:tcMar>
            <w:vAlign w:val="center"/>
          </w:tcPr>
          <w:p w14:paraId="197E5A26" w14:textId="77777777" w:rsidR="000D7C1E" w:rsidRPr="0078252D" w:rsidRDefault="000D7C1E" w:rsidP="00473E76">
            <w:pPr>
              <w:pStyle w:val="Standard"/>
              <w:widowControl w:val="0"/>
              <w:autoSpaceDE w:val="0"/>
              <w:jc w:val="center"/>
              <w:rPr>
                <w:sz w:val="20"/>
                <w:szCs w:val="20"/>
              </w:rPr>
            </w:pPr>
            <w:r w:rsidRPr="0078252D">
              <w:rPr>
                <w:sz w:val="20"/>
                <w:szCs w:val="20"/>
              </w:rPr>
              <w:t>48</w:t>
            </w:r>
          </w:p>
        </w:tc>
        <w:tc>
          <w:tcPr>
            <w:tcW w:w="2096" w:type="dxa"/>
            <w:tcBorders>
              <w:top w:val="single" w:sz="4" w:space="0" w:color="000000"/>
              <w:left w:val="single" w:sz="4" w:space="0" w:color="000000"/>
              <w:bottom w:val="single" w:sz="4" w:space="0" w:color="000000"/>
            </w:tcBorders>
            <w:tcMar>
              <w:top w:w="102" w:type="dxa"/>
              <w:left w:w="62" w:type="dxa"/>
              <w:bottom w:w="102" w:type="dxa"/>
              <w:right w:w="62" w:type="dxa"/>
            </w:tcMar>
          </w:tcPr>
          <w:p w14:paraId="1F551808" w14:textId="77777777" w:rsidR="000D7C1E" w:rsidRPr="0078252D" w:rsidRDefault="000D7C1E" w:rsidP="00473E76">
            <w:pPr>
              <w:pStyle w:val="Standard"/>
              <w:widowControl w:val="0"/>
              <w:autoSpaceDE w:val="0"/>
              <w:rPr>
                <w:sz w:val="20"/>
                <w:szCs w:val="20"/>
              </w:rPr>
            </w:pPr>
            <w:r w:rsidRPr="0078252D">
              <w:rPr>
                <w:sz w:val="20"/>
                <w:szCs w:val="20"/>
              </w:rPr>
              <w:t>Уровень цен потребительской корзины по муниципальным районам (городским округам)</w:t>
            </w:r>
          </w:p>
        </w:tc>
        <w:tc>
          <w:tcPr>
            <w:tcW w:w="1509" w:type="dxa"/>
            <w:tcBorders>
              <w:top w:val="single" w:sz="4" w:space="0" w:color="000000"/>
              <w:left w:val="single" w:sz="4" w:space="0" w:color="000000"/>
              <w:bottom w:val="single" w:sz="4" w:space="0" w:color="000000"/>
            </w:tcBorders>
            <w:tcMar>
              <w:top w:w="102" w:type="dxa"/>
              <w:left w:w="62" w:type="dxa"/>
              <w:bottom w:w="102" w:type="dxa"/>
              <w:right w:w="62" w:type="dxa"/>
            </w:tcMar>
          </w:tcPr>
          <w:p w14:paraId="1E87B58A" w14:textId="77777777" w:rsidR="000D7C1E" w:rsidRPr="0078252D" w:rsidRDefault="000D7C1E" w:rsidP="00473E76">
            <w:pPr>
              <w:pStyle w:val="Standard"/>
              <w:widowControl w:val="0"/>
              <w:autoSpaceDE w:val="0"/>
              <w:jc w:val="center"/>
              <w:rPr>
                <w:sz w:val="20"/>
                <w:szCs w:val="20"/>
              </w:rPr>
            </w:pPr>
            <w:r w:rsidRPr="0078252D">
              <w:rPr>
                <w:sz w:val="20"/>
                <w:szCs w:val="20"/>
              </w:rPr>
              <w:t>руб./чел</w:t>
            </w:r>
          </w:p>
        </w:tc>
        <w:tc>
          <w:tcPr>
            <w:tcW w:w="1285" w:type="dxa"/>
            <w:tcBorders>
              <w:top w:val="single" w:sz="4" w:space="0" w:color="000000"/>
              <w:left w:val="single" w:sz="4" w:space="0" w:color="000000"/>
              <w:bottom w:val="single" w:sz="4" w:space="0" w:color="000000"/>
            </w:tcBorders>
            <w:tcMar>
              <w:top w:w="102" w:type="dxa"/>
              <w:left w:w="62" w:type="dxa"/>
              <w:bottom w:w="102" w:type="dxa"/>
              <w:right w:w="62" w:type="dxa"/>
            </w:tcMar>
            <w:vAlign w:val="center"/>
          </w:tcPr>
          <w:p w14:paraId="574C1F50" w14:textId="77777777" w:rsidR="000D7C1E" w:rsidRPr="00E74680" w:rsidRDefault="000D7C1E" w:rsidP="00473E76">
            <w:pPr>
              <w:ind w:firstLine="0"/>
              <w:jc w:val="center"/>
              <w:rPr>
                <w:rFonts w:eastAsia="Times New Roman" w:cs="Times New Roman"/>
                <w:color w:val="000000"/>
                <w:sz w:val="20"/>
                <w:szCs w:val="20"/>
                <w:lang w:eastAsia="ru-RU"/>
              </w:rPr>
            </w:pPr>
            <w:r w:rsidRPr="00E74680">
              <w:rPr>
                <w:rFonts w:eastAsia="Times New Roman" w:cs="Times New Roman"/>
                <w:color w:val="000000"/>
                <w:sz w:val="20"/>
                <w:szCs w:val="20"/>
                <w:lang w:eastAsia="ru-RU"/>
              </w:rPr>
              <w:t>Не использован</w:t>
            </w:r>
          </w:p>
        </w:tc>
        <w:tc>
          <w:tcPr>
            <w:tcW w:w="3960" w:type="dxa"/>
            <w:tcBorders>
              <w:top w:val="single" w:sz="4" w:space="0" w:color="000000"/>
              <w:left w:val="single" w:sz="4" w:space="0" w:color="000000"/>
              <w:bottom w:val="single" w:sz="4" w:space="0" w:color="000000"/>
              <w:right w:val="single" w:sz="4" w:space="0" w:color="000000"/>
            </w:tcBorders>
            <w:tcMar>
              <w:top w:w="102" w:type="dxa"/>
              <w:left w:w="62" w:type="dxa"/>
              <w:bottom w:w="102" w:type="dxa"/>
              <w:right w:w="62" w:type="dxa"/>
            </w:tcMar>
            <w:vAlign w:val="center"/>
          </w:tcPr>
          <w:p w14:paraId="1E5A1209" w14:textId="77777777" w:rsidR="000D7C1E" w:rsidRPr="00E74680" w:rsidRDefault="000D7C1E" w:rsidP="00473E76">
            <w:pPr>
              <w:ind w:firstLine="0"/>
              <w:rPr>
                <w:rFonts w:eastAsia="Times New Roman" w:cs="Times New Roman"/>
                <w:color w:val="000000"/>
                <w:sz w:val="20"/>
                <w:szCs w:val="20"/>
                <w:lang w:eastAsia="ru-RU"/>
              </w:rPr>
            </w:pPr>
            <w:r w:rsidRPr="00E74680">
              <w:rPr>
                <w:rFonts w:eastAsia="Times New Roman" w:cs="Times New Roman"/>
                <w:color w:val="000000"/>
                <w:sz w:val="20"/>
                <w:szCs w:val="20"/>
                <w:lang w:eastAsia="ru-RU"/>
              </w:rPr>
              <w:t xml:space="preserve">Сведения в разрезе муниципальных районов (городских округов) не предоставлены. </w:t>
            </w:r>
          </w:p>
        </w:tc>
      </w:tr>
      <w:tr w:rsidR="000D7C1E" w:rsidRPr="0078252D" w14:paraId="47009874" w14:textId="77777777" w:rsidTr="00473E76">
        <w:trPr>
          <w:trHeight w:val="20"/>
        </w:trPr>
        <w:tc>
          <w:tcPr>
            <w:tcW w:w="501" w:type="dxa"/>
            <w:tcBorders>
              <w:top w:val="single" w:sz="4" w:space="0" w:color="000000"/>
              <w:left w:val="single" w:sz="4" w:space="0" w:color="000000"/>
              <w:bottom w:val="single" w:sz="4" w:space="0" w:color="000000"/>
            </w:tcBorders>
            <w:tcMar>
              <w:top w:w="102" w:type="dxa"/>
              <w:left w:w="62" w:type="dxa"/>
              <w:bottom w:w="102" w:type="dxa"/>
              <w:right w:w="62" w:type="dxa"/>
            </w:tcMar>
            <w:vAlign w:val="center"/>
          </w:tcPr>
          <w:p w14:paraId="4B29FFBA" w14:textId="77777777" w:rsidR="000D7C1E" w:rsidRPr="0078252D" w:rsidRDefault="000D7C1E" w:rsidP="00473E76">
            <w:pPr>
              <w:pStyle w:val="Standard"/>
              <w:widowControl w:val="0"/>
              <w:autoSpaceDE w:val="0"/>
              <w:jc w:val="center"/>
              <w:rPr>
                <w:sz w:val="20"/>
                <w:szCs w:val="20"/>
              </w:rPr>
            </w:pPr>
            <w:r w:rsidRPr="0078252D">
              <w:rPr>
                <w:sz w:val="20"/>
                <w:szCs w:val="20"/>
              </w:rPr>
              <w:t>49</w:t>
            </w:r>
          </w:p>
        </w:tc>
        <w:tc>
          <w:tcPr>
            <w:tcW w:w="2096" w:type="dxa"/>
            <w:tcBorders>
              <w:top w:val="single" w:sz="4" w:space="0" w:color="000000"/>
              <w:left w:val="single" w:sz="4" w:space="0" w:color="000000"/>
              <w:bottom w:val="single" w:sz="4" w:space="0" w:color="000000"/>
            </w:tcBorders>
            <w:tcMar>
              <w:top w:w="102" w:type="dxa"/>
              <w:left w:w="62" w:type="dxa"/>
              <w:bottom w:w="102" w:type="dxa"/>
              <w:right w:w="62" w:type="dxa"/>
            </w:tcMar>
          </w:tcPr>
          <w:p w14:paraId="25444FD3" w14:textId="77777777" w:rsidR="000D7C1E" w:rsidRPr="0078252D" w:rsidRDefault="000D7C1E" w:rsidP="00473E76">
            <w:pPr>
              <w:pStyle w:val="Standard"/>
              <w:widowControl w:val="0"/>
              <w:autoSpaceDE w:val="0"/>
              <w:rPr>
                <w:sz w:val="20"/>
                <w:szCs w:val="20"/>
              </w:rPr>
            </w:pPr>
            <w:r w:rsidRPr="0078252D">
              <w:rPr>
                <w:sz w:val="20"/>
                <w:szCs w:val="20"/>
              </w:rPr>
              <w:t>Товарооборот на 1 человека по муниципальным районам (городским округам)</w:t>
            </w:r>
          </w:p>
        </w:tc>
        <w:tc>
          <w:tcPr>
            <w:tcW w:w="1509" w:type="dxa"/>
            <w:tcBorders>
              <w:top w:val="single" w:sz="4" w:space="0" w:color="000000"/>
              <w:left w:val="single" w:sz="4" w:space="0" w:color="000000"/>
              <w:bottom w:val="single" w:sz="4" w:space="0" w:color="000000"/>
            </w:tcBorders>
            <w:tcMar>
              <w:top w:w="102" w:type="dxa"/>
              <w:left w:w="62" w:type="dxa"/>
              <w:bottom w:w="102" w:type="dxa"/>
              <w:right w:w="62" w:type="dxa"/>
            </w:tcMar>
          </w:tcPr>
          <w:p w14:paraId="48B71B02" w14:textId="77777777" w:rsidR="000D7C1E" w:rsidRPr="0078252D" w:rsidRDefault="000D7C1E" w:rsidP="00473E76">
            <w:pPr>
              <w:pStyle w:val="Standard"/>
              <w:widowControl w:val="0"/>
              <w:autoSpaceDE w:val="0"/>
              <w:jc w:val="center"/>
              <w:rPr>
                <w:sz w:val="20"/>
                <w:szCs w:val="20"/>
              </w:rPr>
            </w:pPr>
            <w:r w:rsidRPr="0078252D">
              <w:rPr>
                <w:sz w:val="20"/>
                <w:szCs w:val="20"/>
              </w:rPr>
              <w:t>руб./чел</w:t>
            </w:r>
          </w:p>
        </w:tc>
        <w:tc>
          <w:tcPr>
            <w:tcW w:w="1285" w:type="dxa"/>
            <w:tcBorders>
              <w:top w:val="single" w:sz="4" w:space="0" w:color="000000"/>
              <w:left w:val="single" w:sz="4" w:space="0" w:color="000000"/>
              <w:bottom w:val="single" w:sz="4" w:space="0" w:color="000000"/>
            </w:tcBorders>
            <w:tcMar>
              <w:top w:w="102" w:type="dxa"/>
              <w:left w:w="62" w:type="dxa"/>
              <w:bottom w:w="102" w:type="dxa"/>
              <w:right w:w="62" w:type="dxa"/>
            </w:tcMar>
            <w:vAlign w:val="center"/>
          </w:tcPr>
          <w:p w14:paraId="3393EEE6" w14:textId="77777777" w:rsidR="000D7C1E" w:rsidRPr="00E74680" w:rsidRDefault="000D7C1E" w:rsidP="00473E76">
            <w:pPr>
              <w:ind w:firstLine="0"/>
              <w:jc w:val="center"/>
              <w:rPr>
                <w:rFonts w:eastAsia="Times New Roman" w:cs="Times New Roman"/>
                <w:color w:val="000000"/>
                <w:sz w:val="20"/>
                <w:szCs w:val="20"/>
                <w:lang w:eastAsia="ru-RU"/>
              </w:rPr>
            </w:pPr>
            <w:r w:rsidRPr="00E74680">
              <w:rPr>
                <w:rFonts w:eastAsia="Times New Roman" w:cs="Times New Roman"/>
                <w:color w:val="000000"/>
                <w:sz w:val="20"/>
                <w:szCs w:val="20"/>
                <w:lang w:eastAsia="ru-RU"/>
              </w:rPr>
              <w:t>Не использован</w:t>
            </w:r>
          </w:p>
        </w:tc>
        <w:tc>
          <w:tcPr>
            <w:tcW w:w="3960" w:type="dxa"/>
            <w:tcBorders>
              <w:top w:val="single" w:sz="4" w:space="0" w:color="000000"/>
              <w:left w:val="single" w:sz="4" w:space="0" w:color="000000"/>
              <w:bottom w:val="single" w:sz="4" w:space="0" w:color="000000"/>
              <w:right w:val="single" w:sz="4" w:space="0" w:color="000000"/>
            </w:tcBorders>
            <w:tcMar>
              <w:top w:w="102" w:type="dxa"/>
              <w:left w:w="62" w:type="dxa"/>
              <w:bottom w:w="102" w:type="dxa"/>
              <w:right w:w="62" w:type="dxa"/>
            </w:tcMar>
            <w:vAlign w:val="center"/>
          </w:tcPr>
          <w:p w14:paraId="4D40B8DB" w14:textId="77777777" w:rsidR="000D7C1E" w:rsidRPr="00E74680" w:rsidRDefault="000D7C1E" w:rsidP="00473E76">
            <w:pPr>
              <w:ind w:firstLine="0"/>
              <w:rPr>
                <w:rFonts w:eastAsia="Times New Roman" w:cs="Times New Roman"/>
                <w:color w:val="000000"/>
                <w:sz w:val="20"/>
                <w:szCs w:val="20"/>
                <w:lang w:eastAsia="ru-RU"/>
              </w:rPr>
            </w:pPr>
            <w:r w:rsidRPr="00E74680">
              <w:rPr>
                <w:rFonts w:eastAsia="Times New Roman" w:cs="Times New Roman"/>
                <w:color w:val="000000"/>
                <w:sz w:val="20"/>
                <w:szCs w:val="20"/>
                <w:lang w:eastAsia="ru-RU"/>
              </w:rPr>
              <w:t>Анализ рынка показал не значительное влияние данного фактора на рыночную стоимость объектов капитального строительства. В связи с чем данный фактор не использовался.</w:t>
            </w:r>
          </w:p>
        </w:tc>
      </w:tr>
      <w:tr w:rsidR="000D7C1E" w:rsidRPr="0078252D" w14:paraId="32004904" w14:textId="77777777" w:rsidTr="00473E76">
        <w:trPr>
          <w:trHeight w:val="20"/>
        </w:trPr>
        <w:tc>
          <w:tcPr>
            <w:tcW w:w="501" w:type="dxa"/>
            <w:tcBorders>
              <w:top w:val="single" w:sz="4" w:space="0" w:color="000000"/>
              <w:left w:val="single" w:sz="4" w:space="0" w:color="000000"/>
              <w:bottom w:val="single" w:sz="4" w:space="0" w:color="000000"/>
            </w:tcBorders>
            <w:tcMar>
              <w:top w:w="102" w:type="dxa"/>
              <w:left w:w="62" w:type="dxa"/>
              <w:bottom w:w="102" w:type="dxa"/>
              <w:right w:w="62" w:type="dxa"/>
            </w:tcMar>
            <w:vAlign w:val="center"/>
          </w:tcPr>
          <w:p w14:paraId="7CE56D62" w14:textId="77777777" w:rsidR="000D7C1E" w:rsidRPr="0078252D" w:rsidRDefault="000D7C1E" w:rsidP="00473E76">
            <w:pPr>
              <w:pStyle w:val="Standard"/>
              <w:widowControl w:val="0"/>
              <w:autoSpaceDE w:val="0"/>
              <w:jc w:val="center"/>
              <w:rPr>
                <w:sz w:val="20"/>
                <w:szCs w:val="20"/>
              </w:rPr>
            </w:pPr>
            <w:r w:rsidRPr="0078252D">
              <w:rPr>
                <w:sz w:val="20"/>
                <w:szCs w:val="20"/>
              </w:rPr>
              <w:t>50</w:t>
            </w:r>
          </w:p>
        </w:tc>
        <w:tc>
          <w:tcPr>
            <w:tcW w:w="2096" w:type="dxa"/>
            <w:tcBorders>
              <w:top w:val="single" w:sz="4" w:space="0" w:color="000000"/>
              <w:left w:val="single" w:sz="4" w:space="0" w:color="000000"/>
              <w:bottom w:val="single" w:sz="4" w:space="0" w:color="000000"/>
            </w:tcBorders>
            <w:tcMar>
              <w:top w:w="102" w:type="dxa"/>
              <w:left w:w="62" w:type="dxa"/>
              <w:bottom w:w="102" w:type="dxa"/>
              <w:right w:w="62" w:type="dxa"/>
            </w:tcMar>
          </w:tcPr>
          <w:p w14:paraId="08A2413D" w14:textId="77777777" w:rsidR="000D7C1E" w:rsidRPr="0078252D" w:rsidRDefault="000D7C1E" w:rsidP="00473E76">
            <w:pPr>
              <w:pStyle w:val="Standard"/>
              <w:widowControl w:val="0"/>
              <w:autoSpaceDE w:val="0"/>
              <w:rPr>
                <w:sz w:val="20"/>
                <w:szCs w:val="20"/>
              </w:rPr>
            </w:pPr>
            <w:r w:rsidRPr="0078252D">
              <w:rPr>
                <w:sz w:val="20"/>
                <w:szCs w:val="20"/>
              </w:rPr>
              <w:t>Наличие в сельском населенном пункте магазина</w:t>
            </w:r>
          </w:p>
        </w:tc>
        <w:tc>
          <w:tcPr>
            <w:tcW w:w="1509" w:type="dxa"/>
            <w:tcBorders>
              <w:top w:val="single" w:sz="4" w:space="0" w:color="000000"/>
              <w:left w:val="single" w:sz="4" w:space="0" w:color="000000"/>
              <w:bottom w:val="single" w:sz="4" w:space="0" w:color="000000"/>
            </w:tcBorders>
            <w:tcMar>
              <w:top w:w="102" w:type="dxa"/>
              <w:left w:w="62" w:type="dxa"/>
              <w:bottom w:w="102" w:type="dxa"/>
              <w:right w:w="62" w:type="dxa"/>
            </w:tcMar>
          </w:tcPr>
          <w:p w14:paraId="53AD85B8" w14:textId="77777777" w:rsidR="000D7C1E" w:rsidRPr="0078252D" w:rsidRDefault="000D7C1E" w:rsidP="00473E76">
            <w:pPr>
              <w:pStyle w:val="Standard"/>
              <w:widowControl w:val="0"/>
              <w:autoSpaceDE w:val="0"/>
              <w:snapToGrid w:val="0"/>
              <w:jc w:val="center"/>
              <w:rPr>
                <w:sz w:val="20"/>
                <w:szCs w:val="20"/>
              </w:rPr>
            </w:pPr>
          </w:p>
        </w:tc>
        <w:tc>
          <w:tcPr>
            <w:tcW w:w="1285" w:type="dxa"/>
            <w:tcBorders>
              <w:top w:val="single" w:sz="4" w:space="0" w:color="000000"/>
              <w:left w:val="single" w:sz="4" w:space="0" w:color="000000"/>
              <w:bottom w:val="single" w:sz="4" w:space="0" w:color="000000"/>
            </w:tcBorders>
            <w:tcMar>
              <w:top w:w="102" w:type="dxa"/>
              <w:left w:w="62" w:type="dxa"/>
              <w:bottom w:w="102" w:type="dxa"/>
              <w:right w:w="62" w:type="dxa"/>
            </w:tcMar>
            <w:vAlign w:val="center"/>
          </w:tcPr>
          <w:p w14:paraId="42EFC567" w14:textId="77777777" w:rsidR="000D7C1E" w:rsidRPr="00E74680" w:rsidRDefault="000D7C1E" w:rsidP="00473E76">
            <w:pPr>
              <w:ind w:firstLine="0"/>
              <w:jc w:val="center"/>
              <w:rPr>
                <w:rFonts w:eastAsia="Times New Roman" w:cs="Times New Roman"/>
                <w:color w:val="000000"/>
                <w:sz w:val="20"/>
                <w:szCs w:val="20"/>
                <w:lang w:eastAsia="ru-RU"/>
              </w:rPr>
            </w:pPr>
            <w:r w:rsidRPr="00E74680">
              <w:rPr>
                <w:rFonts w:eastAsia="Times New Roman" w:cs="Times New Roman"/>
                <w:color w:val="000000"/>
                <w:sz w:val="20"/>
                <w:szCs w:val="20"/>
                <w:lang w:eastAsia="ru-RU"/>
              </w:rPr>
              <w:t>Использован</w:t>
            </w:r>
          </w:p>
        </w:tc>
        <w:tc>
          <w:tcPr>
            <w:tcW w:w="3960" w:type="dxa"/>
            <w:tcBorders>
              <w:top w:val="single" w:sz="4" w:space="0" w:color="000000"/>
              <w:left w:val="single" w:sz="4" w:space="0" w:color="000000"/>
              <w:bottom w:val="single" w:sz="4" w:space="0" w:color="000000"/>
              <w:right w:val="single" w:sz="4" w:space="0" w:color="000000"/>
            </w:tcBorders>
            <w:tcMar>
              <w:top w:w="102" w:type="dxa"/>
              <w:left w:w="62" w:type="dxa"/>
              <w:bottom w:w="102" w:type="dxa"/>
              <w:right w:w="62" w:type="dxa"/>
            </w:tcMar>
            <w:vAlign w:val="center"/>
          </w:tcPr>
          <w:p w14:paraId="0374C6EE" w14:textId="77777777" w:rsidR="000D7C1E" w:rsidRPr="00E74680" w:rsidRDefault="000D7C1E" w:rsidP="00473E76">
            <w:pPr>
              <w:ind w:firstLine="0"/>
              <w:rPr>
                <w:rFonts w:eastAsia="Times New Roman" w:cs="Times New Roman"/>
                <w:color w:val="000000"/>
                <w:sz w:val="20"/>
                <w:szCs w:val="20"/>
                <w:lang w:eastAsia="ru-RU"/>
              </w:rPr>
            </w:pPr>
            <w:r w:rsidRPr="00E74680">
              <w:rPr>
                <w:rFonts w:eastAsia="Times New Roman" w:cs="Times New Roman"/>
                <w:color w:val="000000"/>
                <w:sz w:val="20"/>
                <w:szCs w:val="20"/>
                <w:lang w:eastAsia="ru-RU"/>
              </w:rPr>
              <w:t>Анализ рынка показал, что если в населенном пункте отсутствует магазин, то этот податель деградации населенного пункта, отсутствие рынка в том числе рынка недвижимости. В связи с чем данный фактор использован.</w:t>
            </w:r>
          </w:p>
        </w:tc>
      </w:tr>
      <w:tr w:rsidR="000D7C1E" w:rsidRPr="0078252D" w14:paraId="3F142CA9" w14:textId="77777777" w:rsidTr="00473E76">
        <w:trPr>
          <w:trHeight w:val="20"/>
        </w:trPr>
        <w:tc>
          <w:tcPr>
            <w:tcW w:w="501" w:type="dxa"/>
            <w:tcBorders>
              <w:top w:val="single" w:sz="4" w:space="0" w:color="000000"/>
              <w:left w:val="single" w:sz="4" w:space="0" w:color="000000"/>
              <w:bottom w:val="single" w:sz="4" w:space="0" w:color="000000"/>
            </w:tcBorders>
            <w:tcMar>
              <w:top w:w="102" w:type="dxa"/>
              <w:left w:w="62" w:type="dxa"/>
              <w:bottom w:w="102" w:type="dxa"/>
              <w:right w:w="62" w:type="dxa"/>
            </w:tcMar>
            <w:vAlign w:val="center"/>
          </w:tcPr>
          <w:p w14:paraId="4FFDECE7" w14:textId="77777777" w:rsidR="000D7C1E" w:rsidRPr="0078252D" w:rsidRDefault="000D7C1E" w:rsidP="00473E76">
            <w:pPr>
              <w:pStyle w:val="Standard"/>
              <w:widowControl w:val="0"/>
              <w:autoSpaceDE w:val="0"/>
              <w:jc w:val="center"/>
              <w:rPr>
                <w:sz w:val="20"/>
                <w:szCs w:val="20"/>
              </w:rPr>
            </w:pPr>
            <w:r w:rsidRPr="0078252D">
              <w:rPr>
                <w:sz w:val="20"/>
                <w:szCs w:val="20"/>
              </w:rPr>
              <w:t>51</w:t>
            </w:r>
          </w:p>
        </w:tc>
        <w:tc>
          <w:tcPr>
            <w:tcW w:w="2096" w:type="dxa"/>
            <w:tcBorders>
              <w:top w:val="single" w:sz="4" w:space="0" w:color="000000"/>
              <w:left w:val="single" w:sz="4" w:space="0" w:color="000000"/>
              <w:bottom w:val="single" w:sz="4" w:space="0" w:color="000000"/>
            </w:tcBorders>
            <w:tcMar>
              <w:top w:w="102" w:type="dxa"/>
              <w:left w:w="62" w:type="dxa"/>
              <w:bottom w:w="102" w:type="dxa"/>
              <w:right w:w="62" w:type="dxa"/>
            </w:tcMar>
          </w:tcPr>
          <w:p w14:paraId="5B763A93" w14:textId="77777777" w:rsidR="000D7C1E" w:rsidRPr="0078252D" w:rsidRDefault="000D7C1E" w:rsidP="00473E76">
            <w:pPr>
              <w:pStyle w:val="Standard"/>
              <w:widowControl w:val="0"/>
              <w:autoSpaceDE w:val="0"/>
              <w:rPr>
                <w:sz w:val="20"/>
                <w:szCs w:val="20"/>
              </w:rPr>
            </w:pPr>
            <w:r w:rsidRPr="0078252D">
              <w:rPr>
                <w:sz w:val="20"/>
                <w:szCs w:val="20"/>
              </w:rPr>
              <w:t>Наличие в сельском населенном пункте общеобразовательной школы</w:t>
            </w:r>
          </w:p>
        </w:tc>
        <w:tc>
          <w:tcPr>
            <w:tcW w:w="1509" w:type="dxa"/>
            <w:tcBorders>
              <w:top w:val="single" w:sz="4" w:space="0" w:color="000000"/>
              <w:left w:val="single" w:sz="4" w:space="0" w:color="000000"/>
              <w:bottom w:val="single" w:sz="4" w:space="0" w:color="000000"/>
            </w:tcBorders>
            <w:tcMar>
              <w:top w:w="102" w:type="dxa"/>
              <w:left w:w="62" w:type="dxa"/>
              <w:bottom w:w="102" w:type="dxa"/>
              <w:right w:w="62" w:type="dxa"/>
            </w:tcMar>
          </w:tcPr>
          <w:p w14:paraId="61B1FF61" w14:textId="77777777" w:rsidR="000D7C1E" w:rsidRPr="0078252D" w:rsidRDefault="000D7C1E" w:rsidP="00473E76">
            <w:pPr>
              <w:pStyle w:val="Standard"/>
              <w:widowControl w:val="0"/>
              <w:autoSpaceDE w:val="0"/>
              <w:snapToGrid w:val="0"/>
              <w:jc w:val="center"/>
              <w:rPr>
                <w:sz w:val="20"/>
                <w:szCs w:val="20"/>
              </w:rPr>
            </w:pPr>
          </w:p>
        </w:tc>
        <w:tc>
          <w:tcPr>
            <w:tcW w:w="1285" w:type="dxa"/>
            <w:tcBorders>
              <w:top w:val="single" w:sz="4" w:space="0" w:color="000000"/>
              <w:left w:val="single" w:sz="4" w:space="0" w:color="000000"/>
              <w:bottom w:val="single" w:sz="4" w:space="0" w:color="000000"/>
            </w:tcBorders>
            <w:tcMar>
              <w:top w:w="102" w:type="dxa"/>
              <w:left w:w="62" w:type="dxa"/>
              <w:bottom w:w="102" w:type="dxa"/>
              <w:right w:w="62" w:type="dxa"/>
            </w:tcMar>
            <w:vAlign w:val="center"/>
          </w:tcPr>
          <w:p w14:paraId="049F0E40" w14:textId="77777777" w:rsidR="000D7C1E" w:rsidRPr="00E74680" w:rsidRDefault="000D7C1E" w:rsidP="00473E76">
            <w:pPr>
              <w:ind w:firstLine="0"/>
              <w:jc w:val="center"/>
              <w:rPr>
                <w:rFonts w:eastAsia="Times New Roman" w:cs="Times New Roman"/>
                <w:color w:val="000000"/>
                <w:sz w:val="20"/>
                <w:szCs w:val="20"/>
                <w:lang w:eastAsia="ru-RU"/>
              </w:rPr>
            </w:pPr>
            <w:r w:rsidRPr="00E74680">
              <w:rPr>
                <w:rFonts w:eastAsia="Times New Roman" w:cs="Times New Roman"/>
                <w:color w:val="000000"/>
                <w:sz w:val="20"/>
                <w:szCs w:val="20"/>
                <w:lang w:eastAsia="ru-RU"/>
              </w:rPr>
              <w:t>Использован</w:t>
            </w:r>
          </w:p>
        </w:tc>
        <w:tc>
          <w:tcPr>
            <w:tcW w:w="3960" w:type="dxa"/>
            <w:tcBorders>
              <w:top w:val="single" w:sz="4" w:space="0" w:color="000000"/>
              <w:left w:val="single" w:sz="4" w:space="0" w:color="000000"/>
              <w:bottom w:val="single" w:sz="4" w:space="0" w:color="000000"/>
              <w:right w:val="single" w:sz="4" w:space="0" w:color="000000"/>
            </w:tcBorders>
            <w:tcMar>
              <w:top w:w="102" w:type="dxa"/>
              <w:left w:w="62" w:type="dxa"/>
              <w:bottom w:w="102" w:type="dxa"/>
              <w:right w:w="62" w:type="dxa"/>
            </w:tcMar>
            <w:vAlign w:val="center"/>
          </w:tcPr>
          <w:p w14:paraId="64F250D7" w14:textId="77777777" w:rsidR="000D7C1E" w:rsidRPr="00E74680" w:rsidRDefault="000D7C1E" w:rsidP="00473E76">
            <w:pPr>
              <w:ind w:firstLine="0"/>
              <w:rPr>
                <w:rFonts w:eastAsia="Times New Roman" w:cs="Times New Roman"/>
                <w:color w:val="000000"/>
                <w:sz w:val="20"/>
                <w:szCs w:val="20"/>
                <w:lang w:eastAsia="ru-RU"/>
              </w:rPr>
            </w:pPr>
            <w:r w:rsidRPr="00E74680">
              <w:rPr>
                <w:rFonts w:eastAsia="Times New Roman" w:cs="Times New Roman"/>
                <w:color w:val="000000"/>
                <w:sz w:val="20"/>
                <w:szCs w:val="20"/>
                <w:lang w:eastAsia="ru-RU"/>
              </w:rPr>
              <w:t>Анализ рынка показал, что если в населенном пункте отсутствует магазин, то этот показатель деградации населенного пункта, отсутствие рынка в том числе рынка недвижимости. В связи с чем данный фактор использован.</w:t>
            </w:r>
          </w:p>
        </w:tc>
      </w:tr>
      <w:tr w:rsidR="000D7C1E" w:rsidRPr="0078252D" w14:paraId="6BB60EB4" w14:textId="77777777" w:rsidTr="00473E76">
        <w:trPr>
          <w:trHeight w:val="20"/>
        </w:trPr>
        <w:tc>
          <w:tcPr>
            <w:tcW w:w="501" w:type="dxa"/>
            <w:tcBorders>
              <w:top w:val="single" w:sz="4" w:space="0" w:color="000000"/>
              <w:left w:val="single" w:sz="4" w:space="0" w:color="000000"/>
              <w:bottom w:val="single" w:sz="4" w:space="0" w:color="000000"/>
            </w:tcBorders>
            <w:tcMar>
              <w:top w:w="102" w:type="dxa"/>
              <w:left w:w="62" w:type="dxa"/>
              <w:bottom w:w="102" w:type="dxa"/>
              <w:right w:w="62" w:type="dxa"/>
            </w:tcMar>
            <w:vAlign w:val="center"/>
          </w:tcPr>
          <w:p w14:paraId="04022019" w14:textId="77777777" w:rsidR="000D7C1E" w:rsidRPr="0078252D" w:rsidRDefault="000D7C1E" w:rsidP="00473E76">
            <w:pPr>
              <w:pStyle w:val="Standard"/>
              <w:widowControl w:val="0"/>
              <w:autoSpaceDE w:val="0"/>
              <w:jc w:val="center"/>
              <w:rPr>
                <w:sz w:val="20"/>
                <w:szCs w:val="20"/>
              </w:rPr>
            </w:pPr>
            <w:r w:rsidRPr="0078252D">
              <w:rPr>
                <w:sz w:val="20"/>
                <w:szCs w:val="20"/>
              </w:rPr>
              <w:t>52</w:t>
            </w:r>
          </w:p>
        </w:tc>
        <w:tc>
          <w:tcPr>
            <w:tcW w:w="2096" w:type="dxa"/>
            <w:tcBorders>
              <w:top w:val="single" w:sz="4" w:space="0" w:color="000000"/>
              <w:left w:val="single" w:sz="4" w:space="0" w:color="000000"/>
              <w:bottom w:val="single" w:sz="4" w:space="0" w:color="000000"/>
            </w:tcBorders>
            <w:tcMar>
              <w:top w:w="102" w:type="dxa"/>
              <w:left w:w="62" w:type="dxa"/>
              <w:bottom w:w="102" w:type="dxa"/>
              <w:right w:w="62" w:type="dxa"/>
            </w:tcMar>
          </w:tcPr>
          <w:p w14:paraId="6096043F" w14:textId="77777777" w:rsidR="000D7C1E" w:rsidRPr="0078252D" w:rsidRDefault="000D7C1E" w:rsidP="00473E76">
            <w:pPr>
              <w:pStyle w:val="Standard"/>
              <w:widowControl w:val="0"/>
              <w:autoSpaceDE w:val="0"/>
              <w:rPr>
                <w:sz w:val="20"/>
                <w:szCs w:val="20"/>
              </w:rPr>
            </w:pPr>
            <w:r w:rsidRPr="0078252D">
              <w:rPr>
                <w:sz w:val="20"/>
                <w:szCs w:val="20"/>
              </w:rPr>
              <w:t>Расстояние до земельных участков зоны разработки полезных ископаемых</w:t>
            </w:r>
          </w:p>
        </w:tc>
        <w:tc>
          <w:tcPr>
            <w:tcW w:w="1509" w:type="dxa"/>
            <w:tcBorders>
              <w:top w:val="single" w:sz="4" w:space="0" w:color="000000"/>
              <w:left w:val="single" w:sz="4" w:space="0" w:color="000000"/>
              <w:bottom w:val="single" w:sz="4" w:space="0" w:color="000000"/>
            </w:tcBorders>
            <w:tcMar>
              <w:top w:w="102" w:type="dxa"/>
              <w:left w:w="62" w:type="dxa"/>
              <w:bottom w:w="102" w:type="dxa"/>
              <w:right w:w="62" w:type="dxa"/>
            </w:tcMar>
          </w:tcPr>
          <w:p w14:paraId="762DC252" w14:textId="77777777" w:rsidR="000D7C1E" w:rsidRPr="0078252D" w:rsidRDefault="000D7C1E" w:rsidP="00473E76">
            <w:pPr>
              <w:pStyle w:val="Standard"/>
              <w:widowControl w:val="0"/>
              <w:autoSpaceDE w:val="0"/>
              <w:jc w:val="center"/>
              <w:rPr>
                <w:sz w:val="20"/>
                <w:szCs w:val="20"/>
              </w:rPr>
            </w:pPr>
            <w:r w:rsidRPr="0078252D">
              <w:rPr>
                <w:sz w:val="20"/>
                <w:szCs w:val="20"/>
              </w:rPr>
              <w:t>км</w:t>
            </w:r>
          </w:p>
        </w:tc>
        <w:tc>
          <w:tcPr>
            <w:tcW w:w="1285" w:type="dxa"/>
            <w:tcBorders>
              <w:top w:val="single" w:sz="4" w:space="0" w:color="000000"/>
              <w:left w:val="single" w:sz="4" w:space="0" w:color="000000"/>
              <w:bottom w:val="single" w:sz="4" w:space="0" w:color="000000"/>
            </w:tcBorders>
            <w:tcMar>
              <w:top w:w="102" w:type="dxa"/>
              <w:left w:w="62" w:type="dxa"/>
              <w:bottom w:w="102" w:type="dxa"/>
              <w:right w:w="62" w:type="dxa"/>
            </w:tcMar>
            <w:vAlign w:val="center"/>
          </w:tcPr>
          <w:p w14:paraId="5484B109" w14:textId="77777777" w:rsidR="000D7C1E" w:rsidRPr="00E74680" w:rsidRDefault="000D7C1E" w:rsidP="00473E76">
            <w:pPr>
              <w:ind w:firstLine="0"/>
              <w:jc w:val="center"/>
              <w:rPr>
                <w:rFonts w:eastAsia="Times New Roman" w:cs="Times New Roman"/>
                <w:color w:val="000000"/>
                <w:sz w:val="20"/>
                <w:szCs w:val="20"/>
                <w:lang w:eastAsia="ru-RU"/>
              </w:rPr>
            </w:pPr>
            <w:r w:rsidRPr="00E74680">
              <w:rPr>
                <w:rFonts w:eastAsia="Times New Roman" w:cs="Times New Roman"/>
                <w:color w:val="000000"/>
                <w:sz w:val="20"/>
                <w:szCs w:val="20"/>
                <w:lang w:eastAsia="ru-RU"/>
              </w:rPr>
              <w:t>Не использован</w:t>
            </w:r>
          </w:p>
        </w:tc>
        <w:tc>
          <w:tcPr>
            <w:tcW w:w="3960" w:type="dxa"/>
            <w:tcBorders>
              <w:top w:val="single" w:sz="4" w:space="0" w:color="000000"/>
              <w:left w:val="single" w:sz="4" w:space="0" w:color="000000"/>
              <w:bottom w:val="single" w:sz="4" w:space="0" w:color="000000"/>
              <w:right w:val="single" w:sz="4" w:space="0" w:color="000000"/>
            </w:tcBorders>
            <w:tcMar>
              <w:top w:w="102" w:type="dxa"/>
              <w:left w:w="62" w:type="dxa"/>
              <w:bottom w:w="102" w:type="dxa"/>
              <w:right w:w="62" w:type="dxa"/>
            </w:tcMar>
            <w:vAlign w:val="center"/>
          </w:tcPr>
          <w:p w14:paraId="018879D2" w14:textId="77777777" w:rsidR="000D7C1E" w:rsidRPr="00E74680" w:rsidRDefault="000D7C1E" w:rsidP="00473E76">
            <w:pPr>
              <w:ind w:firstLine="0"/>
              <w:rPr>
                <w:rFonts w:eastAsia="Times New Roman" w:cs="Times New Roman"/>
                <w:color w:val="000000"/>
                <w:sz w:val="20"/>
                <w:szCs w:val="20"/>
                <w:lang w:eastAsia="ru-RU"/>
              </w:rPr>
            </w:pPr>
            <w:r w:rsidRPr="00E74680">
              <w:rPr>
                <w:rFonts w:eastAsia="Times New Roman" w:cs="Times New Roman"/>
                <w:color w:val="000000"/>
                <w:sz w:val="20"/>
                <w:szCs w:val="20"/>
                <w:lang w:eastAsia="ru-RU"/>
              </w:rPr>
              <w:t>Данные ЕГРН, предоставленные бюджетному учреждению, содержат сведения о земельном участке, в границах которого расположен объект недвижимости, не по всем объектам оценки. В связи с чем данный фактор не использовался</w:t>
            </w:r>
          </w:p>
        </w:tc>
      </w:tr>
      <w:tr w:rsidR="000D7C1E" w:rsidRPr="0078252D" w14:paraId="05E8FC5C" w14:textId="77777777" w:rsidTr="00473E76">
        <w:trPr>
          <w:trHeight w:val="20"/>
        </w:trPr>
        <w:tc>
          <w:tcPr>
            <w:tcW w:w="501" w:type="dxa"/>
            <w:tcBorders>
              <w:top w:val="single" w:sz="4" w:space="0" w:color="000000"/>
              <w:left w:val="single" w:sz="4" w:space="0" w:color="000000"/>
              <w:bottom w:val="single" w:sz="4" w:space="0" w:color="000000"/>
            </w:tcBorders>
            <w:tcMar>
              <w:top w:w="102" w:type="dxa"/>
              <w:left w:w="62" w:type="dxa"/>
              <w:bottom w:w="102" w:type="dxa"/>
              <w:right w:w="62" w:type="dxa"/>
            </w:tcMar>
            <w:vAlign w:val="center"/>
          </w:tcPr>
          <w:p w14:paraId="425F100B" w14:textId="77777777" w:rsidR="000D7C1E" w:rsidRPr="0078252D" w:rsidRDefault="000D7C1E" w:rsidP="00473E76">
            <w:pPr>
              <w:pStyle w:val="Standard"/>
              <w:widowControl w:val="0"/>
              <w:autoSpaceDE w:val="0"/>
              <w:jc w:val="center"/>
              <w:rPr>
                <w:sz w:val="20"/>
                <w:szCs w:val="20"/>
              </w:rPr>
            </w:pPr>
            <w:r w:rsidRPr="0078252D">
              <w:rPr>
                <w:sz w:val="20"/>
                <w:szCs w:val="20"/>
              </w:rPr>
              <w:t>53</w:t>
            </w:r>
          </w:p>
        </w:tc>
        <w:tc>
          <w:tcPr>
            <w:tcW w:w="2096" w:type="dxa"/>
            <w:tcBorders>
              <w:top w:val="single" w:sz="4" w:space="0" w:color="000000"/>
              <w:left w:val="single" w:sz="4" w:space="0" w:color="000000"/>
              <w:bottom w:val="single" w:sz="4" w:space="0" w:color="000000"/>
            </w:tcBorders>
            <w:tcMar>
              <w:top w:w="102" w:type="dxa"/>
              <w:left w:w="62" w:type="dxa"/>
              <w:bottom w:w="102" w:type="dxa"/>
              <w:right w:w="62" w:type="dxa"/>
            </w:tcMar>
          </w:tcPr>
          <w:p w14:paraId="53F756BA" w14:textId="77777777" w:rsidR="000D7C1E" w:rsidRPr="0078252D" w:rsidRDefault="000D7C1E" w:rsidP="00473E76">
            <w:pPr>
              <w:pStyle w:val="Standard"/>
              <w:widowControl w:val="0"/>
              <w:autoSpaceDE w:val="0"/>
              <w:rPr>
                <w:sz w:val="20"/>
                <w:szCs w:val="20"/>
              </w:rPr>
            </w:pPr>
            <w:r w:rsidRPr="0078252D">
              <w:rPr>
                <w:sz w:val="20"/>
                <w:szCs w:val="20"/>
              </w:rPr>
              <w:t>Зоны особого режима использования в границах земельных участков</w:t>
            </w:r>
          </w:p>
        </w:tc>
        <w:tc>
          <w:tcPr>
            <w:tcW w:w="1509" w:type="dxa"/>
            <w:tcBorders>
              <w:top w:val="single" w:sz="4" w:space="0" w:color="000000"/>
              <w:left w:val="single" w:sz="4" w:space="0" w:color="000000"/>
              <w:bottom w:val="single" w:sz="4" w:space="0" w:color="000000"/>
            </w:tcBorders>
            <w:tcMar>
              <w:top w:w="102" w:type="dxa"/>
              <w:left w:w="62" w:type="dxa"/>
              <w:bottom w:w="102" w:type="dxa"/>
              <w:right w:w="62" w:type="dxa"/>
            </w:tcMar>
          </w:tcPr>
          <w:p w14:paraId="52C70A84" w14:textId="77777777" w:rsidR="000D7C1E" w:rsidRPr="0078252D" w:rsidRDefault="000D7C1E" w:rsidP="00473E76">
            <w:pPr>
              <w:pStyle w:val="Standard"/>
              <w:widowControl w:val="0"/>
              <w:autoSpaceDE w:val="0"/>
              <w:snapToGrid w:val="0"/>
              <w:jc w:val="center"/>
              <w:rPr>
                <w:sz w:val="20"/>
                <w:szCs w:val="20"/>
              </w:rPr>
            </w:pPr>
          </w:p>
        </w:tc>
        <w:tc>
          <w:tcPr>
            <w:tcW w:w="1285" w:type="dxa"/>
            <w:tcBorders>
              <w:top w:val="single" w:sz="4" w:space="0" w:color="000000"/>
              <w:left w:val="single" w:sz="4" w:space="0" w:color="000000"/>
              <w:bottom w:val="single" w:sz="4" w:space="0" w:color="000000"/>
            </w:tcBorders>
            <w:tcMar>
              <w:top w:w="102" w:type="dxa"/>
              <w:left w:w="62" w:type="dxa"/>
              <w:bottom w:w="102" w:type="dxa"/>
              <w:right w:w="62" w:type="dxa"/>
            </w:tcMar>
            <w:vAlign w:val="center"/>
          </w:tcPr>
          <w:p w14:paraId="38EB47D7" w14:textId="77777777" w:rsidR="000D7C1E" w:rsidRPr="00E74680" w:rsidRDefault="000D7C1E" w:rsidP="00473E76">
            <w:pPr>
              <w:ind w:firstLine="0"/>
              <w:jc w:val="center"/>
              <w:rPr>
                <w:rFonts w:eastAsia="Times New Roman" w:cs="Times New Roman"/>
                <w:color w:val="000000"/>
                <w:sz w:val="20"/>
                <w:szCs w:val="20"/>
                <w:lang w:eastAsia="ru-RU"/>
              </w:rPr>
            </w:pPr>
            <w:r w:rsidRPr="00E74680">
              <w:rPr>
                <w:rFonts w:eastAsia="Times New Roman" w:cs="Times New Roman"/>
                <w:color w:val="000000"/>
                <w:sz w:val="20"/>
                <w:szCs w:val="20"/>
                <w:lang w:eastAsia="ru-RU"/>
              </w:rPr>
              <w:t>Не использован</w:t>
            </w:r>
          </w:p>
        </w:tc>
        <w:tc>
          <w:tcPr>
            <w:tcW w:w="3960" w:type="dxa"/>
            <w:tcBorders>
              <w:top w:val="single" w:sz="4" w:space="0" w:color="000000"/>
              <w:left w:val="single" w:sz="4" w:space="0" w:color="000000"/>
              <w:bottom w:val="single" w:sz="4" w:space="0" w:color="000000"/>
              <w:right w:val="single" w:sz="4" w:space="0" w:color="000000"/>
            </w:tcBorders>
            <w:tcMar>
              <w:top w:w="102" w:type="dxa"/>
              <w:left w:w="62" w:type="dxa"/>
              <w:bottom w:w="102" w:type="dxa"/>
              <w:right w:w="62" w:type="dxa"/>
            </w:tcMar>
            <w:vAlign w:val="center"/>
          </w:tcPr>
          <w:p w14:paraId="352FCD6F" w14:textId="77777777" w:rsidR="000D7C1E" w:rsidRPr="00E74680" w:rsidRDefault="000D7C1E" w:rsidP="00473E76">
            <w:pPr>
              <w:ind w:firstLine="0"/>
              <w:rPr>
                <w:rFonts w:eastAsia="Times New Roman" w:cs="Times New Roman"/>
                <w:color w:val="000000"/>
                <w:sz w:val="20"/>
                <w:szCs w:val="20"/>
                <w:lang w:eastAsia="ru-RU"/>
              </w:rPr>
            </w:pPr>
            <w:r w:rsidRPr="00E74680">
              <w:rPr>
                <w:rFonts w:eastAsia="Times New Roman" w:cs="Times New Roman"/>
                <w:color w:val="000000"/>
                <w:sz w:val="20"/>
                <w:szCs w:val="20"/>
                <w:lang w:eastAsia="ru-RU"/>
              </w:rPr>
              <w:t>Данные ЕГРН, предоставленные бюджетному учреждению, содержат сведения о земельном участке, в границах которого расположен объект недвижимости, не по всем объектам оценки.</w:t>
            </w:r>
            <w:r>
              <w:t xml:space="preserve"> </w:t>
            </w:r>
            <w:r w:rsidRPr="00C55F0F">
              <w:rPr>
                <w:rFonts w:eastAsia="Times New Roman" w:cs="Times New Roman"/>
                <w:color w:val="000000"/>
                <w:sz w:val="20"/>
                <w:szCs w:val="20"/>
                <w:lang w:eastAsia="ru-RU"/>
              </w:rPr>
              <w:t>В связи с чем данный фактор не использовался.</w:t>
            </w:r>
            <w:r w:rsidRPr="00E74680">
              <w:rPr>
                <w:rFonts w:eastAsia="Times New Roman" w:cs="Times New Roman"/>
                <w:color w:val="000000"/>
                <w:sz w:val="20"/>
                <w:szCs w:val="20"/>
                <w:lang w:eastAsia="ru-RU"/>
              </w:rPr>
              <w:t xml:space="preserve"> </w:t>
            </w:r>
          </w:p>
        </w:tc>
      </w:tr>
      <w:tr w:rsidR="000D7C1E" w:rsidRPr="0078252D" w14:paraId="055F282E" w14:textId="77777777" w:rsidTr="00473E76">
        <w:trPr>
          <w:trHeight w:val="20"/>
        </w:trPr>
        <w:tc>
          <w:tcPr>
            <w:tcW w:w="501" w:type="dxa"/>
            <w:tcBorders>
              <w:top w:val="single" w:sz="4" w:space="0" w:color="000000"/>
              <w:left w:val="single" w:sz="4" w:space="0" w:color="000000"/>
              <w:bottom w:val="single" w:sz="4" w:space="0" w:color="000000"/>
            </w:tcBorders>
            <w:tcMar>
              <w:top w:w="102" w:type="dxa"/>
              <w:left w:w="62" w:type="dxa"/>
              <w:bottom w:w="102" w:type="dxa"/>
              <w:right w:w="62" w:type="dxa"/>
            </w:tcMar>
            <w:vAlign w:val="center"/>
          </w:tcPr>
          <w:p w14:paraId="56261183" w14:textId="77777777" w:rsidR="000D7C1E" w:rsidRPr="0078252D" w:rsidRDefault="000D7C1E" w:rsidP="00473E76">
            <w:pPr>
              <w:pStyle w:val="Standard"/>
              <w:widowControl w:val="0"/>
              <w:autoSpaceDE w:val="0"/>
              <w:jc w:val="center"/>
              <w:rPr>
                <w:sz w:val="20"/>
                <w:szCs w:val="20"/>
              </w:rPr>
            </w:pPr>
            <w:r w:rsidRPr="0078252D">
              <w:rPr>
                <w:sz w:val="20"/>
                <w:szCs w:val="20"/>
              </w:rPr>
              <w:t>54</w:t>
            </w:r>
          </w:p>
        </w:tc>
        <w:tc>
          <w:tcPr>
            <w:tcW w:w="2096" w:type="dxa"/>
            <w:tcBorders>
              <w:top w:val="single" w:sz="4" w:space="0" w:color="000000"/>
              <w:left w:val="single" w:sz="4" w:space="0" w:color="000000"/>
              <w:bottom w:val="single" w:sz="4" w:space="0" w:color="000000"/>
            </w:tcBorders>
            <w:tcMar>
              <w:top w:w="102" w:type="dxa"/>
              <w:left w:w="62" w:type="dxa"/>
              <w:bottom w:w="102" w:type="dxa"/>
              <w:right w:w="62" w:type="dxa"/>
            </w:tcMar>
          </w:tcPr>
          <w:p w14:paraId="0D7AC25C" w14:textId="77777777" w:rsidR="000D7C1E" w:rsidRPr="0078252D" w:rsidRDefault="000D7C1E" w:rsidP="00473E76">
            <w:pPr>
              <w:pStyle w:val="Standard"/>
              <w:widowControl w:val="0"/>
              <w:autoSpaceDE w:val="0"/>
              <w:rPr>
                <w:sz w:val="20"/>
                <w:szCs w:val="20"/>
              </w:rPr>
            </w:pPr>
            <w:r w:rsidRPr="0078252D">
              <w:rPr>
                <w:sz w:val="20"/>
                <w:szCs w:val="20"/>
              </w:rPr>
              <w:t>Принадлежность земельного участка к организованной промышленной зоне</w:t>
            </w:r>
          </w:p>
        </w:tc>
        <w:tc>
          <w:tcPr>
            <w:tcW w:w="1509" w:type="dxa"/>
            <w:tcBorders>
              <w:top w:val="single" w:sz="4" w:space="0" w:color="000000"/>
              <w:left w:val="single" w:sz="4" w:space="0" w:color="000000"/>
              <w:bottom w:val="single" w:sz="4" w:space="0" w:color="000000"/>
            </w:tcBorders>
            <w:tcMar>
              <w:top w:w="102" w:type="dxa"/>
              <w:left w:w="62" w:type="dxa"/>
              <w:bottom w:w="102" w:type="dxa"/>
              <w:right w:w="62" w:type="dxa"/>
            </w:tcMar>
          </w:tcPr>
          <w:p w14:paraId="397EE8E3" w14:textId="77777777" w:rsidR="000D7C1E" w:rsidRPr="0078252D" w:rsidRDefault="000D7C1E" w:rsidP="00473E76">
            <w:pPr>
              <w:pStyle w:val="Standard"/>
              <w:widowControl w:val="0"/>
              <w:autoSpaceDE w:val="0"/>
              <w:jc w:val="center"/>
              <w:rPr>
                <w:sz w:val="20"/>
                <w:szCs w:val="20"/>
              </w:rPr>
            </w:pPr>
            <w:r w:rsidRPr="0078252D">
              <w:rPr>
                <w:sz w:val="20"/>
                <w:szCs w:val="20"/>
              </w:rPr>
              <w:t>км</w:t>
            </w:r>
          </w:p>
        </w:tc>
        <w:tc>
          <w:tcPr>
            <w:tcW w:w="1285" w:type="dxa"/>
            <w:tcBorders>
              <w:top w:val="single" w:sz="4" w:space="0" w:color="000000"/>
              <w:left w:val="single" w:sz="4" w:space="0" w:color="000000"/>
              <w:bottom w:val="single" w:sz="4" w:space="0" w:color="000000"/>
            </w:tcBorders>
            <w:tcMar>
              <w:top w:w="102" w:type="dxa"/>
              <w:left w:w="62" w:type="dxa"/>
              <w:bottom w:w="102" w:type="dxa"/>
              <w:right w:w="62" w:type="dxa"/>
            </w:tcMar>
            <w:vAlign w:val="center"/>
          </w:tcPr>
          <w:p w14:paraId="54B91F69" w14:textId="77777777" w:rsidR="000D7C1E" w:rsidRPr="00E74680" w:rsidRDefault="000D7C1E" w:rsidP="00473E76">
            <w:pPr>
              <w:ind w:firstLine="0"/>
              <w:jc w:val="center"/>
              <w:rPr>
                <w:rFonts w:eastAsia="Times New Roman" w:cs="Times New Roman"/>
                <w:color w:val="000000"/>
                <w:sz w:val="20"/>
                <w:szCs w:val="20"/>
                <w:lang w:eastAsia="ru-RU"/>
              </w:rPr>
            </w:pPr>
            <w:r w:rsidRPr="00E74680">
              <w:rPr>
                <w:rFonts w:eastAsia="Times New Roman" w:cs="Times New Roman"/>
                <w:color w:val="000000"/>
                <w:sz w:val="20"/>
                <w:szCs w:val="20"/>
                <w:lang w:eastAsia="ru-RU"/>
              </w:rPr>
              <w:t>Использован</w:t>
            </w:r>
          </w:p>
        </w:tc>
        <w:tc>
          <w:tcPr>
            <w:tcW w:w="3960" w:type="dxa"/>
            <w:tcBorders>
              <w:top w:val="single" w:sz="4" w:space="0" w:color="000000"/>
              <w:left w:val="single" w:sz="4" w:space="0" w:color="000000"/>
              <w:bottom w:val="single" w:sz="4" w:space="0" w:color="000000"/>
              <w:right w:val="single" w:sz="4" w:space="0" w:color="000000"/>
            </w:tcBorders>
            <w:tcMar>
              <w:top w:w="102" w:type="dxa"/>
              <w:left w:w="62" w:type="dxa"/>
              <w:bottom w:w="102" w:type="dxa"/>
              <w:right w:w="62" w:type="dxa"/>
            </w:tcMar>
            <w:vAlign w:val="center"/>
          </w:tcPr>
          <w:p w14:paraId="5CF6DBE8" w14:textId="77777777" w:rsidR="000D7C1E" w:rsidRPr="00E74680" w:rsidRDefault="000D7C1E" w:rsidP="00473E76">
            <w:pPr>
              <w:ind w:firstLine="0"/>
              <w:rPr>
                <w:rFonts w:eastAsia="Times New Roman" w:cs="Times New Roman"/>
                <w:color w:val="000000"/>
                <w:sz w:val="20"/>
                <w:szCs w:val="20"/>
                <w:lang w:eastAsia="ru-RU"/>
              </w:rPr>
            </w:pPr>
            <w:r w:rsidRPr="00E74680">
              <w:rPr>
                <w:rFonts w:eastAsia="Times New Roman" w:cs="Times New Roman"/>
                <w:color w:val="000000"/>
                <w:sz w:val="20"/>
                <w:szCs w:val="20"/>
                <w:lang w:eastAsia="ru-RU"/>
              </w:rPr>
              <w:t>Анализ рынка показал, что чем ближе к центру города, тем стоимость подороже. Данный фактор влияет на рыночную стоимость объектов капитального строительства.</w:t>
            </w:r>
          </w:p>
        </w:tc>
      </w:tr>
      <w:tr w:rsidR="000D7C1E" w:rsidRPr="0078252D" w14:paraId="70891613" w14:textId="77777777" w:rsidTr="00473E76">
        <w:trPr>
          <w:trHeight w:val="20"/>
        </w:trPr>
        <w:tc>
          <w:tcPr>
            <w:tcW w:w="501" w:type="dxa"/>
            <w:tcBorders>
              <w:top w:val="single" w:sz="4" w:space="0" w:color="000000"/>
              <w:left w:val="single" w:sz="4" w:space="0" w:color="000000"/>
              <w:bottom w:val="single" w:sz="4" w:space="0" w:color="000000"/>
            </w:tcBorders>
            <w:tcMar>
              <w:top w:w="102" w:type="dxa"/>
              <w:left w:w="62" w:type="dxa"/>
              <w:bottom w:w="102" w:type="dxa"/>
              <w:right w:w="62" w:type="dxa"/>
            </w:tcMar>
            <w:vAlign w:val="center"/>
          </w:tcPr>
          <w:p w14:paraId="2E951878" w14:textId="77777777" w:rsidR="000D7C1E" w:rsidRPr="0078252D" w:rsidRDefault="000D7C1E" w:rsidP="00473E76">
            <w:pPr>
              <w:pStyle w:val="Standard"/>
              <w:widowControl w:val="0"/>
              <w:autoSpaceDE w:val="0"/>
              <w:jc w:val="center"/>
              <w:rPr>
                <w:sz w:val="20"/>
                <w:szCs w:val="20"/>
              </w:rPr>
            </w:pPr>
            <w:r w:rsidRPr="0078252D">
              <w:rPr>
                <w:sz w:val="20"/>
                <w:szCs w:val="20"/>
              </w:rPr>
              <w:t>55</w:t>
            </w:r>
          </w:p>
        </w:tc>
        <w:tc>
          <w:tcPr>
            <w:tcW w:w="2096" w:type="dxa"/>
            <w:tcBorders>
              <w:top w:val="single" w:sz="4" w:space="0" w:color="000000"/>
              <w:left w:val="single" w:sz="4" w:space="0" w:color="000000"/>
              <w:bottom w:val="single" w:sz="4" w:space="0" w:color="000000"/>
            </w:tcBorders>
            <w:tcMar>
              <w:top w:w="102" w:type="dxa"/>
              <w:left w:w="62" w:type="dxa"/>
              <w:bottom w:w="102" w:type="dxa"/>
              <w:right w:w="62" w:type="dxa"/>
            </w:tcMar>
          </w:tcPr>
          <w:p w14:paraId="28D8906F" w14:textId="77777777" w:rsidR="000D7C1E" w:rsidRPr="0078252D" w:rsidRDefault="000D7C1E" w:rsidP="00473E76">
            <w:pPr>
              <w:pStyle w:val="Standard"/>
              <w:widowControl w:val="0"/>
              <w:autoSpaceDE w:val="0"/>
              <w:rPr>
                <w:sz w:val="20"/>
                <w:szCs w:val="20"/>
              </w:rPr>
            </w:pPr>
            <w:r w:rsidRPr="0078252D">
              <w:rPr>
                <w:sz w:val="20"/>
                <w:szCs w:val="20"/>
              </w:rPr>
              <w:t>Наименование и расстояние от объекта до локального (локальных) центра (центров), положительно влияющего (влияющих) на стоимость объектов недвижимости</w:t>
            </w:r>
          </w:p>
        </w:tc>
        <w:tc>
          <w:tcPr>
            <w:tcW w:w="1509" w:type="dxa"/>
            <w:tcBorders>
              <w:top w:val="single" w:sz="4" w:space="0" w:color="000000"/>
              <w:left w:val="single" w:sz="4" w:space="0" w:color="000000"/>
              <w:bottom w:val="single" w:sz="4" w:space="0" w:color="000000"/>
            </w:tcBorders>
            <w:tcMar>
              <w:top w:w="102" w:type="dxa"/>
              <w:left w:w="62" w:type="dxa"/>
              <w:bottom w:w="102" w:type="dxa"/>
              <w:right w:w="62" w:type="dxa"/>
            </w:tcMar>
          </w:tcPr>
          <w:p w14:paraId="1729A7D3" w14:textId="77777777" w:rsidR="000D7C1E" w:rsidRPr="0078252D" w:rsidRDefault="000D7C1E" w:rsidP="00473E76">
            <w:pPr>
              <w:pStyle w:val="Standard"/>
              <w:widowControl w:val="0"/>
              <w:autoSpaceDE w:val="0"/>
              <w:jc w:val="center"/>
              <w:rPr>
                <w:sz w:val="20"/>
                <w:szCs w:val="20"/>
              </w:rPr>
            </w:pPr>
            <w:r w:rsidRPr="0078252D">
              <w:rPr>
                <w:sz w:val="20"/>
                <w:szCs w:val="20"/>
              </w:rPr>
              <w:t>км</w:t>
            </w:r>
          </w:p>
        </w:tc>
        <w:tc>
          <w:tcPr>
            <w:tcW w:w="1285" w:type="dxa"/>
            <w:tcBorders>
              <w:top w:val="single" w:sz="4" w:space="0" w:color="000000"/>
              <w:left w:val="single" w:sz="4" w:space="0" w:color="000000"/>
              <w:bottom w:val="single" w:sz="4" w:space="0" w:color="000000"/>
            </w:tcBorders>
            <w:tcMar>
              <w:top w:w="102" w:type="dxa"/>
              <w:left w:w="62" w:type="dxa"/>
              <w:bottom w:w="102" w:type="dxa"/>
              <w:right w:w="62" w:type="dxa"/>
            </w:tcMar>
            <w:vAlign w:val="center"/>
          </w:tcPr>
          <w:p w14:paraId="341817A7" w14:textId="77777777" w:rsidR="000D7C1E" w:rsidRPr="00E74680" w:rsidRDefault="000D7C1E" w:rsidP="00473E76">
            <w:pPr>
              <w:ind w:firstLine="0"/>
              <w:jc w:val="center"/>
              <w:rPr>
                <w:rFonts w:eastAsia="Times New Roman" w:cs="Times New Roman"/>
                <w:color w:val="000000"/>
                <w:sz w:val="20"/>
                <w:szCs w:val="20"/>
                <w:lang w:eastAsia="ru-RU"/>
              </w:rPr>
            </w:pPr>
            <w:r w:rsidRPr="00E74680">
              <w:rPr>
                <w:rFonts w:eastAsia="Times New Roman" w:cs="Times New Roman"/>
                <w:color w:val="000000"/>
                <w:sz w:val="20"/>
                <w:szCs w:val="20"/>
                <w:lang w:eastAsia="ru-RU"/>
              </w:rPr>
              <w:t>Использован</w:t>
            </w:r>
          </w:p>
        </w:tc>
        <w:tc>
          <w:tcPr>
            <w:tcW w:w="3960" w:type="dxa"/>
            <w:tcBorders>
              <w:top w:val="single" w:sz="4" w:space="0" w:color="000000"/>
              <w:left w:val="single" w:sz="4" w:space="0" w:color="000000"/>
              <w:bottom w:val="single" w:sz="4" w:space="0" w:color="000000"/>
              <w:right w:val="single" w:sz="4" w:space="0" w:color="000000"/>
            </w:tcBorders>
            <w:tcMar>
              <w:top w:w="102" w:type="dxa"/>
              <w:left w:w="62" w:type="dxa"/>
              <w:bottom w:w="102" w:type="dxa"/>
              <w:right w:w="62" w:type="dxa"/>
            </w:tcMar>
            <w:vAlign w:val="center"/>
          </w:tcPr>
          <w:p w14:paraId="1B503EE2" w14:textId="77777777" w:rsidR="000D7C1E" w:rsidRPr="00E74680" w:rsidRDefault="000D7C1E" w:rsidP="00473E76">
            <w:pPr>
              <w:ind w:firstLine="0"/>
              <w:rPr>
                <w:rFonts w:eastAsia="Times New Roman" w:cs="Times New Roman"/>
                <w:color w:val="000000"/>
                <w:sz w:val="20"/>
                <w:szCs w:val="20"/>
                <w:lang w:eastAsia="ru-RU"/>
              </w:rPr>
            </w:pPr>
            <w:r w:rsidRPr="00E74680">
              <w:rPr>
                <w:rFonts w:eastAsia="Times New Roman" w:cs="Times New Roman"/>
                <w:color w:val="000000"/>
                <w:sz w:val="20"/>
                <w:szCs w:val="20"/>
                <w:lang w:eastAsia="ru-RU"/>
              </w:rPr>
              <w:t>Анализ рынка показал, чем ближе к зонам отрицательного влияющих центров, тем стоимость на рынке ниже. Это показывает на значительное влияние данного фактора на рыночную стоимость объектов капитального строительства. В связи с чем данный фактор использовался для сравнительного подхода методом статистического моделирования..</w:t>
            </w:r>
          </w:p>
        </w:tc>
      </w:tr>
      <w:tr w:rsidR="000D7C1E" w:rsidRPr="0078252D" w14:paraId="2BE54159" w14:textId="77777777" w:rsidTr="00473E76">
        <w:trPr>
          <w:trHeight w:val="20"/>
        </w:trPr>
        <w:tc>
          <w:tcPr>
            <w:tcW w:w="501" w:type="dxa"/>
            <w:tcBorders>
              <w:top w:val="single" w:sz="4" w:space="0" w:color="000000"/>
              <w:left w:val="single" w:sz="4" w:space="0" w:color="000000"/>
              <w:bottom w:val="single" w:sz="4" w:space="0" w:color="000000"/>
            </w:tcBorders>
            <w:tcMar>
              <w:top w:w="102" w:type="dxa"/>
              <w:left w:w="62" w:type="dxa"/>
              <w:bottom w:w="102" w:type="dxa"/>
              <w:right w:w="62" w:type="dxa"/>
            </w:tcMar>
            <w:vAlign w:val="center"/>
          </w:tcPr>
          <w:p w14:paraId="5620DD06" w14:textId="77777777" w:rsidR="000D7C1E" w:rsidRPr="0078252D" w:rsidRDefault="000D7C1E" w:rsidP="00473E76">
            <w:pPr>
              <w:pStyle w:val="Standard"/>
              <w:widowControl w:val="0"/>
              <w:autoSpaceDE w:val="0"/>
              <w:jc w:val="center"/>
              <w:rPr>
                <w:sz w:val="20"/>
                <w:szCs w:val="20"/>
              </w:rPr>
            </w:pPr>
            <w:r w:rsidRPr="0078252D">
              <w:rPr>
                <w:sz w:val="20"/>
                <w:szCs w:val="20"/>
              </w:rPr>
              <w:t>56</w:t>
            </w:r>
          </w:p>
        </w:tc>
        <w:tc>
          <w:tcPr>
            <w:tcW w:w="2096" w:type="dxa"/>
            <w:tcBorders>
              <w:top w:val="single" w:sz="4" w:space="0" w:color="000000"/>
              <w:left w:val="single" w:sz="4" w:space="0" w:color="000000"/>
              <w:bottom w:val="single" w:sz="4" w:space="0" w:color="000000"/>
            </w:tcBorders>
            <w:tcMar>
              <w:top w:w="102" w:type="dxa"/>
              <w:left w:w="62" w:type="dxa"/>
              <w:bottom w:w="102" w:type="dxa"/>
              <w:right w:w="62" w:type="dxa"/>
            </w:tcMar>
          </w:tcPr>
          <w:p w14:paraId="45CC0E6A" w14:textId="77777777" w:rsidR="000D7C1E" w:rsidRPr="0078252D" w:rsidRDefault="000D7C1E" w:rsidP="00473E76">
            <w:pPr>
              <w:pStyle w:val="Standard"/>
              <w:widowControl w:val="0"/>
              <w:autoSpaceDE w:val="0"/>
              <w:rPr>
                <w:sz w:val="20"/>
                <w:szCs w:val="20"/>
              </w:rPr>
            </w:pPr>
            <w:r w:rsidRPr="0078252D">
              <w:rPr>
                <w:sz w:val="20"/>
                <w:szCs w:val="20"/>
              </w:rPr>
              <w:t>Наименование и расстояние от объекта до локального(-ых) центра(-ов), отрицательно влияющего(-их) на стоимость объектов недвижимости</w:t>
            </w:r>
          </w:p>
        </w:tc>
        <w:tc>
          <w:tcPr>
            <w:tcW w:w="1509" w:type="dxa"/>
            <w:tcBorders>
              <w:top w:val="single" w:sz="4" w:space="0" w:color="000000"/>
              <w:left w:val="single" w:sz="4" w:space="0" w:color="000000"/>
              <w:bottom w:val="single" w:sz="4" w:space="0" w:color="000000"/>
            </w:tcBorders>
            <w:tcMar>
              <w:top w:w="102" w:type="dxa"/>
              <w:left w:w="62" w:type="dxa"/>
              <w:bottom w:w="102" w:type="dxa"/>
              <w:right w:w="62" w:type="dxa"/>
            </w:tcMar>
          </w:tcPr>
          <w:p w14:paraId="4051CD2D" w14:textId="77777777" w:rsidR="000D7C1E" w:rsidRPr="0078252D" w:rsidRDefault="000D7C1E" w:rsidP="00473E76">
            <w:pPr>
              <w:pStyle w:val="Standard"/>
              <w:widowControl w:val="0"/>
              <w:autoSpaceDE w:val="0"/>
              <w:jc w:val="center"/>
              <w:rPr>
                <w:sz w:val="20"/>
                <w:szCs w:val="20"/>
              </w:rPr>
            </w:pPr>
            <w:r w:rsidRPr="0078252D">
              <w:rPr>
                <w:sz w:val="20"/>
                <w:szCs w:val="20"/>
              </w:rPr>
              <w:t>км</w:t>
            </w:r>
          </w:p>
        </w:tc>
        <w:tc>
          <w:tcPr>
            <w:tcW w:w="1285" w:type="dxa"/>
            <w:tcBorders>
              <w:top w:val="single" w:sz="4" w:space="0" w:color="000000"/>
              <w:left w:val="single" w:sz="4" w:space="0" w:color="000000"/>
              <w:bottom w:val="single" w:sz="4" w:space="0" w:color="000000"/>
            </w:tcBorders>
            <w:tcMar>
              <w:top w:w="102" w:type="dxa"/>
              <w:left w:w="62" w:type="dxa"/>
              <w:bottom w:w="102" w:type="dxa"/>
              <w:right w:w="62" w:type="dxa"/>
            </w:tcMar>
            <w:vAlign w:val="center"/>
          </w:tcPr>
          <w:p w14:paraId="1D391AEE" w14:textId="77777777" w:rsidR="000D7C1E" w:rsidRPr="00E74680" w:rsidRDefault="000D7C1E" w:rsidP="00473E76">
            <w:pPr>
              <w:ind w:firstLine="0"/>
              <w:jc w:val="center"/>
              <w:rPr>
                <w:rFonts w:eastAsia="Times New Roman" w:cs="Times New Roman"/>
                <w:color w:val="000000"/>
                <w:sz w:val="20"/>
                <w:szCs w:val="20"/>
                <w:lang w:eastAsia="ru-RU"/>
              </w:rPr>
            </w:pPr>
            <w:r w:rsidRPr="00E74680">
              <w:rPr>
                <w:rFonts w:eastAsia="Times New Roman" w:cs="Times New Roman"/>
                <w:color w:val="000000"/>
                <w:sz w:val="20"/>
                <w:szCs w:val="20"/>
                <w:lang w:eastAsia="ru-RU"/>
              </w:rPr>
              <w:t>Не использован</w:t>
            </w:r>
          </w:p>
        </w:tc>
        <w:tc>
          <w:tcPr>
            <w:tcW w:w="3960" w:type="dxa"/>
            <w:tcBorders>
              <w:top w:val="single" w:sz="4" w:space="0" w:color="000000"/>
              <w:left w:val="single" w:sz="4" w:space="0" w:color="000000"/>
              <w:bottom w:val="single" w:sz="4" w:space="0" w:color="000000"/>
              <w:right w:val="single" w:sz="4" w:space="0" w:color="000000"/>
            </w:tcBorders>
            <w:tcMar>
              <w:top w:w="102" w:type="dxa"/>
              <w:left w:w="62" w:type="dxa"/>
              <w:bottom w:w="102" w:type="dxa"/>
              <w:right w:w="62" w:type="dxa"/>
            </w:tcMar>
            <w:vAlign w:val="center"/>
          </w:tcPr>
          <w:p w14:paraId="32CADF4C" w14:textId="77777777" w:rsidR="000D7C1E" w:rsidRPr="00E74680" w:rsidRDefault="000D7C1E" w:rsidP="00473E76">
            <w:pPr>
              <w:ind w:firstLine="0"/>
              <w:rPr>
                <w:rFonts w:eastAsia="Times New Roman" w:cs="Times New Roman"/>
                <w:color w:val="000000"/>
                <w:sz w:val="20"/>
                <w:szCs w:val="20"/>
                <w:lang w:eastAsia="ru-RU"/>
              </w:rPr>
            </w:pPr>
            <w:r w:rsidRPr="00E74680">
              <w:rPr>
                <w:rFonts w:eastAsia="Times New Roman" w:cs="Times New Roman"/>
                <w:color w:val="000000"/>
                <w:sz w:val="20"/>
                <w:szCs w:val="20"/>
                <w:lang w:eastAsia="ru-RU"/>
              </w:rPr>
              <w:t xml:space="preserve">Сведения в разрезе муниципальных районов (городских округов) не предоставлены. </w:t>
            </w:r>
          </w:p>
        </w:tc>
      </w:tr>
    </w:tbl>
    <w:p w14:paraId="1E4F7819" w14:textId="00998F54" w:rsidR="0027201C" w:rsidRDefault="0027201C" w:rsidP="0027201C">
      <w:pPr>
        <w:rPr>
          <w:lang w:eastAsia="ru-RU"/>
        </w:rPr>
      </w:pPr>
    </w:p>
    <w:p w14:paraId="25AEE444" w14:textId="64608DA9" w:rsidR="00EE79A5" w:rsidRPr="00E07359" w:rsidRDefault="001D1EB0" w:rsidP="003C4C7D">
      <w:pPr>
        <w:pStyle w:val="10"/>
        <w:numPr>
          <w:ilvl w:val="1"/>
          <w:numId w:val="100"/>
        </w:numPr>
        <w:jc w:val="both"/>
      </w:pPr>
      <w:bookmarkStart w:id="99" w:name="_Toc14819112"/>
      <w:r w:rsidRPr="00E07359">
        <w:t xml:space="preserve">Обоснование использования ценообразующих факторов, не предусмотренных Методическими </w:t>
      </w:r>
      <w:hyperlink r:id="rId267" w:tooltip="Приказ Минэкономразвития России от 12.05.2017 N 226 &quot;Об утверждении методических указаний о государственной кадастровой оценке&quot; (Зарегистрировано в Минюсте России 29.05.2017 N 46860){КонсультантПлюс}" w:history="1">
        <w:r w:rsidRPr="00E07359">
          <w:t>указаниями</w:t>
        </w:r>
        <w:bookmarkEnd w:id="99"/>
      </w:hyperlink>
    </w:p>
    <w:p w14:paraId="2CA4C97C" w14:textId="77777777" w:rsidR="00A11E7C" w:rsidRPr="0027086D" w:rsidRDefault="00A11E7C" w:rsidP="00A11E7C">
      <w:pPr>
        <w:rPr>
          <w:rFonts w:cs="Times New Roman"/>
        </w:rPr>
      </w:pPr>
    </w:p>
    <w:p w14:paraId="134BC083" w14:textId="1CD979B5" w:rsidR="00AF2833" w:rsidRDefault="00AF2833" w:rsidP="00A319B3">
      <w:pPr>
        <w:ind w:firstLine="567"/>
        <w:rPr>
          <w:rFonts w:eastAsia="Times New Roman" w:cs="Times New Roman"/>
          <w:color w:val="141412"/>
          <w:szCs w:val="24"/>
          <w:lang w:eastAsia="ru-RU"/>
        </w:rPr>
      </w:pPr>
      <w:r w:rsidRPr="0027086D">
        <w:rPr>
          <w:rFonts w:eastAsia="Times New Roman" w:cs="Times New Roman"/>
          <w:color w:val="141412"/>
          <w:szCs w:val="24"/>
          <w:lang w:eastAsia="ru-RU"/>
        </w:rPr>
        <w:t xml:space="preserve">Методическими указаниями предусмотрено достаточно большое количество ценообразующих факторов в качестве рекомендуемых к применению при проведении государственной кадастровой оценки. Примерный перечень ценообразующих факторов определен Приложением №3 к Методическим указаниям. </w:t>
      </w:r>
    </w:p>
    <w:p w14:paraId="10F84F95" w14:textId="3605DCDC" w:rsidR="005B148E" w:rsidRPr="003257E8" w:rsidRDefault="005B148E" w:rsidP="005B148E">
      <w:pPr>
        <w:tabs>
          <w:tab w:val="left" w:pos="567"/>
        </w:tabs>
        <w:ind w:firstLine="567"/>
      </w:pPr>
      <w:r w:rsidRPr="003257E8">
        <w:t xml:space="preserve">В соответствии с </w:t>
      </w:r>
      <w:r>
        <w:t xml:space="preserve">частью </w:t>
      </w:r>
      <w:r w:rsidRPr="003257E8">
        <w:t xml:space="preserve">2 статьи 12 Федерального закона №237-ФЗ сбор и обработка информации, необходимой для определения кадастровой стоимости, осуществляются бюджетным учреждением в соответствии с методическими указаниями о государственной кадастровой оценке. </w:t>
      </w:r>
    </w:p>
    <w:p w14:paraId="2111B1EA" w14:textId="77777777" w:rsidR="005B148E" w:rsidRPr="003257E8" w:rsidRDefault="005B148E" w:rsidP="005B148E">
      <w:pPr>
        <w:tabs>
          <w:tab w:val="left" w:pos="567"/>
        </w:tabs>
        <w:ind w:firstLine="567"/>
      </w:pPr>
      <w:r w:rsidRPr="003257E8">
        <w:t>В соответствии с п. 1.19 Методических указаний определение кадастровой стоимости включает в себя сбор сведений о значениях ценообразующих факторов.</w:t>
      </w:r>
    </w:p>
    <w:p w14:paraId="3EE32CFC" w14:textId="37F427E2" w:rsidR="005B148E" w:rsidRPr="003257E8" w:rsidRDefault="005B148E" w:rsidP="005B148E">
      <w:pPr>
        <w:tabs>
          <w:tab w:val="left" w:pos="567"/>
        </w:tabs>
        <w:ind w:firstLine="567"/>
      </w:pPr>
      <w:r w:rsidRPr="003257E8">
        <w:t xml:space="preserve">В соответствии с п. 5.1 Методических указаний примерный перечень ценообразующих факторов приведен в </w:t>
      </w:r>
      <w:r>
        <w:t>П</w:t>
      </w:r>
      <w:r w:rsidRPr="003257E8">
        <w:t>риложении №</w:t>
      </w:r>
      <w:r w:rsidR="000D7C1E">
        <w:t>3</w:t>
      </w:r>
      <w:r w:rsidRPr="003257E8">
        <w:t xml:space="preserve"> к Методическим указаниям. </w:t>
      </w:r>
    </w:p>
    <w:p w14:paraId="2C418442" w14:textId="5585B52A" w:rsidR="005B148E" w:rsidRPr="003257E8" w:rsidRDefault="005B148E" w:rsidP="005B148E">
      <w:pPr>
        <w:tabs>
          <w:tab w:val="left" w:pos="567"/>
        </w:tabs>
        <w:ind w:firstLine="567"/>
      </w:pPr>
      <w:r w:rsidRPr="00362679">
        <w:t>В таблице</w:t>
      </w:r>
      <w:r w:rsidR="000B41AF">
        <w:t xml:space="preserve"> </w:t>
      </w:r>
      <w:r w:rsidR="00877D91">
        <w:t>18-19</w:t>
      </w:r>
      <w:r w:rsidRPr="00362679">
        <w:t xml:space="preserve"> настоящего </w:t>
      </w:r>
      <w:r w:rsidR="008F5144">
        <w:t>Отчета</w:t>
      </w:r>
      <w:r w:rsidRPr="00362679">
        <w:t xml:space="preserve"> указан</w:t>
      </w:r>
      <w:r w:rsidRPr="003257E8">
        <w:t xml:space="preserve"> примерный перечень ценообразующих факторов для объектов капитального строительства, предусмотренный Методическими указаниями.</w:t>
      </w:r>
    </w:p>
    <w:p w14:paraId="687BA11B" w14:textId="77777777" w:rsidR="005B148E" w:rsidRDefault="005B148E" w:rsidP="005B148E">
      <w:pPr>
        <w:tabs>
          <w:tab w:val="left" w:pos="567"/>
        </w:tabs>
        <w:ind w:firstLine="567"/>
      </w:pPr>
      <w:r w:rsidRPr="003257E8">
        <w:t>При проведении государственной кадастровой оценки работниками бюджетного учреждения, осуществляющими определение кадастровой стоимости, были использованы ценообразующие факторы, не предусмотренные Методическими указаниями</w:t>
      </w:r>
      <w:r>
        <w:t>:</w:t>
      </w:r>
      <w:r w:rsidRPr="003257E8">
        <w:t xml:space="preserve"> </w:t>
      </w:r>
    </w:p>
    <w:p w14:paraId="69E06D6F" w14:textId="77777777" w:rsidR="005B148E" w:rsidRDefault="005B148E" w:rsidP="005B148E">
      <w:pPr>
        <w:tabs>
          <w:tab w:val="left" w:pos="567"/>
        </w:tabs>
        <w:ind w:firstLine="567"/>
      </w:pPr>
    </w:p>
    <w:p w14:paraId="16E2D337" w14:textId="35876C8D" w:rsidR="005B148E" w:rsidRDefault="005B148E" w:rsidP="00763AD2">
      <w:pPr>
        <w:pStyle w:val="afffffff0"/>
      </w:pPr>
      <w:r w:rsidRPr="005B148E">
        <w:t xml:space="preserve">Таблица </w:t>
      </w:r>
      <w:r w:rsidR="00A90944">
        <w:fldChar w:fldCharType="begin"/>
      </w:r>
      <w:r w:rsidR="00A90944">
        <w:instrText xml:space="preserve"> SEQ Таблица \* ARABIC </w:instrText>
      </w:r>
      <w:r w:rsidR="00A90944">
        <w:fldChar w:fldCharType="separate"/>
      </w:r>
      <w:r w:rsidR="00FD2769">
        <w:rPr>
          <w:noProof/>
        </w:rPr>
        <w:t>44</w:t>
      </w:r>
      <w:r w:rsidR="00A90944">
        <w:rPr>
          <w:noProof/>
        </w:rPr>
        <w:fldChar w:fldCharType="end"/>
      </w:r>
      <w:r w:rsidRPr="005B148E">
        <w:t xml:space="preserve"> Ценообразующие факторы не предусмотренные в  Методических указаниях.</w:t>
      </w:r>
    </w:p>
    <w:tbl>
      <w:tblPr>
        <w:tblW w:w="9356" w:type="dxa"/>
        <w:tblInd w:w="-10" w:type="dxa"/>
        <w:tblLook w:val="04A0" w:firstRow="1" w:lastRow="0" w:firstColumn="1" w:lastColumn="0" w:noHBand="0" w:noVBand="1"/>
      </w:tblPr>
      <w:tblGrid>
        <w:gridCol w:w="503"/>
        <w:gridCol w:w="3464"/>
        <w:gridCol w:w="5389"/>
      </w:tblGrid>
      <w:tr w:rsidR="004E37CF" w:rsidRPr="004E37CF" w14:paraId="49D70EC1" w14:textId="77777777" w:rsidTr="004E37CF">
        <w:trPr>
          <w:trHeight w:val="525"/>
          <w:tblHeader/>
        </w:trPr>
        <w:tc>
          <w:tcPr>
            <w:tcW w:w="503" w:type="dxa"/>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610771E" w14:textId="77777777" w:rsidR="004E37CF" w:rsidRPr="004E37CF" w:rsidRDefault="004E37CF" w:rsidP="004E37CF">
            <w:pPr>
              <w:ind w:firstLine="0"/>
              <w:jc w:val="center"/>
              <w:rPr>
                <w:rFonts w:eastAsia="Times New Roman" w:cs="Times New Roman"/>
                <w:b/>
                <w:bCs/>
                <w:sz w:val="20"/>
                <w:szCs w:val="20"/>
                <w:lang w:eastAsia="ru-RU"/>
              </w:rPr>
            </w:pPr>
            <w:r w:rsidRPr="004E37CF">
              <w:rPr>
                <w:rFonts w:eastAsia="Times New Roman" w:cs="Times New Roman"/>
                <w:b/>
                <w:bCs/>
                <w:sz w:val="20"/>
                <w:szCs w:val="20"/>
                <w:lang w:eastAsia="ru-RU"/>
              </w:rPr>
              <w:t>№ п/п</w:t>
            </w:r>
          </w:p>
        </w:tc>
        <w:tc>
          <w:tcPr>
            <w:tcW w:w="3464" w:type="dxa"/>
            <w:tcBorders>
              <w:top w:val="single" w:sz="8" w:space="0" w:color="000000"/>
              <w:left w:val="nil"/>
              <w:bottom w:val="single" w:sz="8" w:space="0" w:color="000000"/>
              <w:right w:val="single" w:sz="8" w:space="0" w:color="000000"/>
            </w:tcBorders>
            <w:shd w:val="clear" w:color="auto" w:fill="auto"/>
            <w:vAlign w:val="center"/>
            <w:hideMark/>
          </w:tcPr>
          <w:p w14:paraId="70B6A5DE" w14:textId="77777777" w:rsidR="004E37CF" w:rsidRPr="004E37CF" w:rsidRDefault="004E37CF" w:rsidP="004E37CF">
            <w:pPr>
              <w:ind w:firstLine="0"/>
              <w:jc w:val="center"/>
              <w:rPr>
                <w:rFonts w:eastAsia="Times New Roman" w:cs="Times New Roman"/>
                <w:b/>
                <w:bCs/>
                <w:sz w:val="20"/>
                <w:szCs w:val="20"/>
                <w:lang w:eastAsia="ru-RU"/>
              </w:rPr>
            </w:pPr>
            <w:r w:rsidRPr="004E37CF">
              <w:rPr>
                <w:rFonts w:eastAsia="Times New Roman" w:cs="Times New Roman"/>
                <w:b/>
                <w:bCs/>
                <w:sz w:val="20"/>
                <w:szCs w:val="20"/>
                <w:lang w:eastAsia="ru-RU"/>
              </w:rPr>
              <w:t>Наименование ценообразующего фактора</w:t>
            </w:r>
          </w:p>
        </w:tc>
        <w:tc>
          <w:tcPr>
            <w:tcW w:w="5389" w:type="dxa"/>
            <w:tcBorders>
              <w:top w:val="single" w:sz="8" w:space="0" w:color="000000"/>
              <w:left w:val="nil"/>
              <w:bottom w:val="single" w:sz="8" w:space="0" w:color="000000"/>
              <w:right w:val="single" w:sz="8" w:space="0" w:color="000000"/>
            </w:tcBorders>
            <w:shd w:val="clear" w:color="auto" w:fill="auto"/>
            <w:vAlign w:val="center"/>
            <w:hideMark/>
          </w:tcPr>
          <w:p w14:paraId="2A062C1D" w14:textId="77777777" w:rsidR="004E37CF" w:rsidRPr="004E37CF" w:rsidRDefault="004E37CF" w:rsidP="004E37CF">
            <w:pPr>
              <w:ind w:firstLine="0"/>
              <w:jc w:val="center"/>
              <w:rPr>
                <w:rFonts w:eastAsia="Times New Roman" w:cs="Times New Roman"/>
                <w:b/>
                <w:bCs/>
                <w:sz w:val="20"/>
                <w:szCs w:val="20"/>
                <w:lang w:eastAsia="ru-RU"/>
              </w:rPr>
            </w:pPr>
            <w:r w:rsidRPr="004E37CF">
              <w:rPr>
                <w:rFonts w:eastAsia="Times New Roman" w:cs="Times New Roman"/>
                <w:b/>
                <w:bCs/>
                <w:sz w:val="20"/>
                <w:szCs w:val="20"/>
                <w:lang w:eastAsia="ru-RU"/>
              </w:rPr>
              <w:t>Обоснование использования</w:t>
            </w:r>
          </w:p>
        </w:tc>
      </w:tr>
      <w:tr w:rsidR="004E37CF" w:rsidRPr="004E37CF" w14:paraId="0B86C55C" w14:textId="77777777" w:rsidTr="004E37CF">
        <w:trPr>
          <w:trHeight w:val="1705"/>
        </w:trPr>
        <w:tc>
          <w:tcPr>
            <w:tcW w:w="503" w:type="dxa"/>
            <w:tcBorders>
              <w:top w:val="nil"/>
              <w:left w:val="single" w:sz="8" w:space="0" w:color="000000"/>
              <w:bottom w:val="single" w:sz="8" w:space="0" w:color="000000"/>
              <w:right w:val="single" w:sz="8" w:space="0" w:color="000000"/>
            </w:tcBorders>
            <w:shd w:val="clear" w:color="000000" w:fill="FFFFFF"/>
            <w:vAlign w:val="center"/>
            <w:hideMark/>
          </w:tcPr>
          <w:p w14:paraId="5A5DE11F" w14:textId="77777777" w:rsidR="004E37CF" w:rsidRPr="004E37CF" w:rsidRDefault="004E37CF" w:rsidP="004E37CF">
            <w:pPr>
              <w:ind w:firstLine="0"/>
              <w:jc w:val="center"/>
              <w:rPr>
                <w:rFonts w:eastAsia="Times New Roman" w:cs="Times New Roman"/>
                <w:sz w:val="20"/>
                <w:szCs w:val="20"/>
                <w:lang w:eastAsia="ru-RU"/>
              </w:rPr>
            </w:pPr>
            <w:r w:rsidRPr="004E37CF">
              <w:rPr>
                <w:rFonts w:eastAsia="Times New Roman" w:cs="Times New Roman"/>
                <w:sz w:val="20"/>
                <w:szCs w:val="20"/>
                <w:lang w:eastAsia="ru-RU"/>
              </w:rPr>
              <w:t>1</w:t>
            </w:r>
          </w:p>
        </w:tc>
        <w:tc>
          <w:tcPr>
            <w:tcW w:w="3464" w:type="dxa"/>
            <w:tcBorders>
              <w:top w:val="nil"/>
              <w:left w:val="nil"/>
              <w:bottom w:val="single" w:sz="8" w:space="0" w:color="000000"/>
              <w:right w:val="single" w:sz="8" w:space="0" w:color="000000"/>
            </w:tcBorders>
            <w:shd w:val="clear" w:color="000000" w:fill="FFFFFF"/>
            <w:vAlign w:val="center"/>
            <w:hideMark/>
          </w:tcPr>
          <w:p w14:paraId="5E924863" w14:textId="77777777" w:rsidR="004E37CF" w:rsidRPr="004E37CF" w:rsidRDefault="004E37CF" w:rsidP="004E37CF">
            <w:pPr>
              <w:ind w:firstLine="0"/>
              <w:jc w:val="left"/>
              <w:rPr>
                <w:rFonts w:eastAsia="Times New Roman" w:cs="Times New Roman"/>
                <w:sz w:val="20"/>
                <w:szCs w:val="20"/>
                <w:lang w:eastAsia="ru-RU"/>
              </w:rPr>
            </w:pPr>
            <w:r w:rsidRPr="004E37CF">
              <w:rPr>
                <w:rFonts w:eastAsia="Times New Roman" w:cs="Times New Roman"/>
                <w:sz w:val="20"/>
                <w:szCs w:val="20"/>
                <w:lang w:eastAsia="ru-RU"/>
              </w:rPr>
              <w:t>Расстояние от населенного пункта до столицы субъекта РФ</w:t>
            </w:r>
          </w:p>
        </w:tc>
        <w:tc>
          <w:tcPr>
            <w:tcW w:w="5389" w:type="dxa"/>
            <w:tcBorders>
              <w:top w:val="nil"/>
              <w:left w:val="nil"/>
              <w:bottom w:val="single" w:sz="8" w:space="0" w:color="000000"/>
              <w:right w:val="single" w:sz="8" w:space="0" w:color="000000"/>
            </w:tcBorders>
            <w:shd w:val="clear" w:color="000000" w:fill="FFFFFF"/>
            <w:vAlign w:val="center"/>
            <w:hideMark/>
          </w:tcPr>
          <w:p w14:paraId="2CEFEDE9" w14:textId="77777777" w:rsidR="004E37CF" w:rsidRPr="004E37CF" w:rsidRDefault="004E37CF" w:rsidP="004E37CF">
            <w:pPr>
              <w:ind w:firstLine="0"/>
              <w:rPr>
                <w:rFonts w:eastAsia="Times New Roman" w:cs="Times New Roman"/>
                <w:sz w:val="20"/>
                <w:szCs w:val="20"/>
                <w:lang w:eastAsia="ru-RU"/>
              </w:rPr>
            </w:pPr>
            <w:r w:rsidRPr="004E37CF">
              <w:rPr>
                <w:rFonts w:eastAsia="Times New Roman" w:cs="Times New Roman"/>
                <w:sz w:val="20"/>
                <w:szCs w:val="20"/>
                <w:lang w:eastAsia="ru-RU"/>
              </w:rPr>
              <w:t>Расстояние до центра субъекта РФ существенно влияет, когда обширные территории. Республика Саха (Якутия) Удаленность от центра субъекта г.Якутска является существенным ценообразующим фактором для транспортировки грузов и на себестоимость продукции. В основном влияет на Арктические улусы, где нет круглогодичного дорожного сообщения.</w:t>
            </w:r>
          </w:p>
        </w:tc>
      </w:tr>
      <w:tr w:rsidR="004E37CF" w:rsidRPr="004E37CF" w14:paraId="03BD2045" w14:textId="77777777" w:rsidTr="004E37CF">
        <w:trPr>
          <w:trHeight w:val="1688"/>
        </w:trPr>
        <w:tc>
          <w:tcPr>
            <w:tcW w:w="503" w:type="dxa"/>
            <w:vMerge w:val="restart"/>
            <w:tcBorders>
              <w:top w:val="nil"/>
              <w:left w:val="single" w:sz="8" w:space="0" w:color="000000"/>
              <w:bottom w:val="single" w:sz="8" w:space="0" w:color="000000"/>
              <w:right w:val="single" w:sz="8" w:space="0" w:color="000000"/>
            </w:tcBorders>
            <w:shd w:val="clear" w:color="000000" w:fill="FFFFFF"/>
            <w:vAlign w:val="center"/>
            <w:hideMark/>
          </w:tcPr>
          <w:p w14:paraId="4C4E195C" w14:textId="77777777" w:rsidR="004E37CF" w:rsidRPr="004E37CF" w:rsidRDefault="004E37CF" w:rsidP="004E37CF">
            <w:pPr>
              <w:ind w:firstLine="0"/>
              <w:jc w:val="center"/>
              <w:rPr>
                <w:rFonts w:eastAsia="Times New Roman" w:cs="Times New Roman"/>
                <w:sz w:val="20"/>
                <w:szCs w:val="20"/>
                <w:lang w:eastAsia="ru-RU"/>
              </w:rPr>
            </w:pPr>
            <w:r w:rsidRPr="004E37CF">
              <w:rPr>
                <w:rFonts w:eastAsia="Times New Roman" w:cs="Times New Roman"/>
                <w:sz w:val="20"/>
                <w:szCs w:val="20"/>
                <w:lang w:eastAsia="ru-RU"/>
              </w:rPr>
              <w:t>2</w:t>
            </w:r>
          </w:p>
        </w:tc>
        <w:tc>
          <w:tcPr>
            <w:tcW w:w="3464" w:type="dxa"/>
            <w:tcBorders>
              <w:top w:val="nil"/>
              <w:left w:val="nil"/>
              <w:bottom w:val="nil"/>
              <w:right w:val="single" w:sz="8" w:space="0" w:color="000000"/>
            </w:tcBorders>
            <w:shd w:val="clear" w:color="000000" w:fill="FFFFFF"/>
            <w:vAlign w:val="center"/>
            <w:hideMark/>
          </w:tcPr>
          <w:p w14:paraId="6B2FCE70" w14:textId="0D39749A" w:rsidR="004E37CF" w:rsidRPr="004E37CF" w:rsidRDefault="004E37CF" w:rsidP="004E37CF">
            <w:pPr>
              <w:ind w:firstLine="0"/>
              <w:jc w:val="left"/>
              <w:rPr>
                <w:rFonts w:eastAsia="Times New Roman" w:cs="Times New Roman"/>
                <w:sz w:val="20"/>
                <w:szCs w:val="20"/>
                <w:lang w:eastAsia="ru-RU"/>
              </w:rPr>
            </w:pPr>
            <w:r w:rsidRPr="004E37CF">
              <w:rPr>
                <w:rFonts w:eastAsia="Times New Roman" w:cs="Times New Roman"/>
                <w:sz w:val="20"/>
                <w:szCs w:val="20"/>
                <w:lang w:eastAsia="ru-RU"/>
              </w:rPr>
              <w:t>Расстояние от населенного пункта до центра муниципального района, городского округа</w:t>
            </w:r>
          </w:p>
        </w:tc>
        <w:tc>
          <w:tcPr>
            <w:tcW w:w="5389" w:type="dxa"/>
            <w:vMerge w:val="restart"/>
            <w:tcBorders>
              <w:top w:val="nil"/>
              <w:left w:val="single" w:sz="8" w:space="0" w:color="000000"/>
              <w:bottom w:val="single" w:sz="8" w:space="0" w:color="000000"/>
              <w:right w:val="single" w:sz="8" w:space="0" w:color="000000"/>
            </w:tcBorders>
            <w:shd w:val="clear" w:color="000000" w:fill="FFFFFF"/>
            <w:vAlign w:val="center"/>
            <w:hideMark/>
          </w:tcPr>
          <w:p w14:paraId="240F8DBC" w14:textId="77777777" w:rsidR="004E37CF" w:rsidRPr="004E37CF" w:rsidRDefault="004E37CF" w:rsidP="004E37CF">
            <w:pPr>
              <w:ind w:firstLine="0"/>
              <w:rPr>
                <w:rFonts w:eastAsia="Times New Roman" w:cs="Times New Roman"/>
                <w:sz w:val="20"/>
                <w:szCs w:val="20"/>
                <w:lang w:eastAsia="ru-RU"/>
              </w:rPr>
            </w:pPr>
            <w:r w:rsidRPr="004E37CF">
              <w:rPr>
                <w:rFonts w:eastAsia="Times New Roman" w:cs="Times New Roman"/>
                <w:sz w:val="20"/>
                <w:szCs w:val="20"/>
                <w:lang w:eastAsia="ru-RU"/>
              </w:rPr>
              <w:t>Расстояние до центра муниципального района существенно влияет, когда у района большие площади территории.  большие территории. Республика Саха (Якутия) Удаленность от центра района до населенного пункта является существенным ценообразующим фактором для транспортировки грузов и на себестоимость продукции. В основном влияет на Арктические улусы, где нет круглогодичного дорожного сообщения.</w:t>
            </w:r>
          </w:p>
        </w:tc>
      </w:tr>
      <w:tr w:rsidR="004E37CF" w:rsidRPr="004E37CF" w14:paraId="6541533E" w14:textId="77777777" w:rsidTr="004E37CF">
        <w:trPr>
          <w:trHeight w:val="315"/>
        </w:trPr>
        <w:tc>
          <w:tcPr>
            <w:tcW w:w="503" w:type="dxa"/>
            <w:vMerge/>
            <w:tcBorders>
              <w:top w:val="nil"/>
              <w:left w:val="single" w:sz="8" w:space="0" w:color="000000"/>
              <w:bottom w:val="single" w:sz="8" w:space="0" w:color="000000"/>
              <w:right w:val="single" w:sz="8" w:space="0" w:color="000000"/>
            </w:tcBorders>
            <w:vAlign w:val="center"/>
            <w:hideMark/>
          </w:tcPr>
          <w:p w14:paraId="098BA8AC" w14:textId="77777777" w:rsidR="004E37CF" w:rsidRPr="004E37CF" w:rsidRDefault="004E37CF" w:rsidP="004E37CF">
            <w:pPr>
              <w:ind w:firstLine="0"/>
              <w:jc w:val="left"/>
              <w:rPr>
                <w:rFonts w:eastAsia="Times New Roman" w:cs="Times New Roman"/>
                <w:sz w:val="20"/>
                <w:szCs w:val="20"/>
                <w:lang w:eastAsia="ru-RU"/>
              </w:rPr>
            </w:pPr>
          </w:p>
        </w:tc>
        <w:tc>
          <w:tcPr>
            <w:tcW w:w="3464" w:type="dxa"/>
            <w:tcBorders>
              <w:top w:val="nil"/>
              <w:left w:val="nil"/>
              <w:bottom w:val="single" w:sz="8" w:space="0" w:color="000000"/>
              <w:right w:val="single" w:sz="8" w:space="0" w:color="000000"/>
            </w:tcBorders>
            <w:shd w:val="clear" w:color="000000" w:fill="FFFFFF"/>
            <w:vAlign w:val="center"/>
            <w:hideMark/>
          </w:tcPr>
          <w:p w14:paraId="4DD28B67" w14:textId="53F58699" w:rsidR="004E37CF" w:rsidRPr="004E37CF" w:rsidRDefault="004E37CF" w:rsidP="004E37CF">
            <w:pPr>
              <w:ind w:firstLine="0"/>
              <w:jc w:val="left"/>
              <w:rPr>
                <w:rFonts w:eastAsia="Times New Roman" w:cs="Times New Roman"/>
                <w:sz w:val="20"/>
                <w:szCs w:val="20"/>
                <w:lang w:eastAsia="ru-RU"/>
              </w:rPr>
            </w:pPr>
          </w:p>
        </w:tc>
        <w:tc>
          <w:tcPr>
            <w:tcW w:w="5389" w:type="dxa"/>
            <w:vMerge/>
            <w:tcBorders>
              <w:top w:val="nil"/>
              <w:left w:val="single" w:sz="8" w:space="0" w:color="000000"/>
              <w:bottom w:val="single" w:sz="8" w:space="0" w:color="000000"/>
              <w:right w:val="single" w:sz="8" w:space="0" w:color="000000"/>
            </w:tcBorders>
            <w:vAlign w:val="center"/>
            <w:hideMark/>
          </w:tcPr>
          <w:p w14:paraId="213ABBBF" w14:textId="77777777" w:rsidR="004E37CF" w:rsidRPr="004E37CF" w:rsidRDefault="004E37CF" w:rsidP="004E37CF">
            <w:pPr>
              <w:ind w:firstLine="0"/>
              <w:jc w:val="left"/>
              <w:rPr>
                <w:rFonts w:eastAsia="Times New Roman" w:cs="Times New Roman"/>
                <w:sz w:val="20"/>
                <w:szCs w:val="20"/>
                <w:lang w:eastAsia="ru-RU"/>
              </w:rPr>
            </w:pPr>
          </w:p>
        </w:tc>
      </w:tr>
      <w:tr w:rsidR="004E37CF" w:rsidRPr="004E37CF" w14:paraId="6FFE2CBA" w14:textId="77777777" w:rsidTr="004E37CF">
        <w:trPr>
          <w:trHeight w:val="1035"/>
        </w:trPr>
        <w:tc>
          <w:tcPr>
            <w:tcW w:w="503" w:type="dxa"/>
            <w:tcBorders>
              <w:top w:val="nil"/>
              <w:left w:val="single" w:sz="8" w:space="0" w:color="000000"/>
              <w:bottom w:val="single" w:sz="8" w:space="0" w:color="000000"/>
              <w:right w:val="single" w:sz="8" w:space="0" w:color="000000"/>
            </w:tcBorders>
            <w:shd w:val="clear" w:color="000000" w:fill="FFFFFF"/>
            <w:vAlign w:val="center"/>
            <w:hideMark/>
          </w:tcPr>
          <w:p w14:paraId="16236EF5" w14:textId="77777777" w:rsidR="004E37CF" w:rsidRPr="004E37CF" w:rsidRDefault="004E37CF" w:rsidP="004E37CF">
            <w:pPr>
              <w:ind w:firstLine="0"/>
              <w:jc w:val="center"/>
              <w:rPr>
                <w:rFonts w:eastAsia="Times New Roman" w:cs="Times New Roman"/>
                <w:sz w:val="20"/>
                <w:szCs w:val="20"/>
                <w:lang w:eastAsia="ru-RU"/>
              </w:rPr>
            </w:pPr>
            <w:r w:rsidRPr="004E37CF">
              <w:rPr>
                <w:rFonts w:eastAsia="Times New Roman" w:cs="Times New Roman"/>
                <w:sz w:val="20"/>
                <w:szCs w:val="20"/>
                <w:lang w:eastAsia="ru-RU"/>
              </w:rPr>
              <w:t>3</w:t>
            </w:r>
          </w:p>
        </w:tc>
        <w:tc>
          <w:tcPr>
            <w:tcW w:w="3464" w:type="dxa"/>
            <w:tcBorders>
              <w:top w:val="nil"/>
              <w:left w:val="nil"/>
              <w:bottom w:val="single" w:sz="8" w:space="0" w:color="000000"/>
              <w:right w:val="single" w:sz="8" w:space="0" w:color="000000"/>
            </w:tcBorders>
            <w:shd w:val="clear" w:color="000000" w:fill="FFFFFF"/>
            <w:vAlign w:val="center"/>
            <w:hideMark/>
          </w:tcPr>
          <w:p w14:paraId="68646306" w14:textId="77777777" w:rsidR="004E37CF" w:rsidRPr="004E37CF" w:rsidRDefault="004E37CF" w:rsidP="004E37CF">
            <w:pPr>
              <w:ind w:firstLine="0"/>
              <w:jc w:val="left"/>
              <w:rPr>
                <w:rFonts w:eastAsia="Times New Roman" w:cs="Times New Roman"/>
                <w:sz w:val="20"/>
                <w:szCs w:val="20"/>
                <w:lang w:eastAsia="ru-RU"/>
              </w:rPr>
            </w:pPr>
            <w:r w:rsidRPr="004E37CF">
              <w:rPr>
                <w:rFonts w:eastAsia="Times New Roman" w:cs="Times New Roman"/>
                <w:sz w:val="20"/>
                <w:szCs w:val="20"/>
                <w:lang w:eastAsia="ru-RU"/>
              </w:rPr>
              <w:t>Расстояние от объекта до административного центра населенного пункта</w:t>
            </w:r>
          </w:p>
        </w:tc>
        <w:tc>
          <w:tcPr>
            <w:tcW w:w="5389" w:type="dxa"/>
            <w:tcBorders>
              <w:top w:val="nil"/>
              <w:left w:val="nil"/>
              <w:bottom w:val="single" w:sz="8" w:space="0" w:color="000000"/>
              <w:right w:val="single" w:sz="8" w:space="0" w:color="000000"/>
            </w:tcBorders>
            <w:shd w:val="clear" w:color="000000" w:fill="FFFFFF"/>
            <w:vAlign w:val="center"/>
            <w:hideMark/>
          </w:tcPr>
          <w:p w14:paraId="6E37DBF5" w14:textId="77777777" w:rsidR="004E37CF" w:rsidRPr="004E37CF" w:rsidRDefault="004E37CF" w:rsidP="004E37CF">
            <w:pPr>
              <w:ind w:firstLine="0"/>
              <w:rPr>
                <w:rFonts w:eastAsia="Times New Roman" w:cs="Times New Roman"/>
                <w:sz w:val="20"/>
                <w:szCs w:val="20"/>
                <w:lang w:eastAsia="ru-RU"/>
              </w:rPr>
            </w:pPr>
            <w:r w:rsidRPr="004E37CF">
              <w:rPr>
                <w:rFonts w:eastAsia="Times New Roman" w:cs="Times New Roman"/>
                <w:sz w:val="20"/>
                <w:szCs w:val="20"/>
                <w:lang w:eastAsia="ru-RU"/>
              </w:rPr>
              <w:t xml:space="preserve">В оценочном зонировании видно, что в центре г.Якутск существенно отличается стоимость от окраины г.Якутск. Также в любом населенном пункте есть фактор административного центра. </w:t>
            </w:r>
          </w:p>
        </w:tc>
      </w:tr>
      <w:tr w:rsidR="004E37CF" w:rsidRPr="004E37CF" w14:paraId="5A3FA3C0" w14:textId="77777777" w:rsidTr="004E37CF">
        <w:trPr>
          <w:trHeight w:val="2114"/>
        </w:trPr>
        <w:tc>
          <w:tcPr>
            <w:tcW w:w="503" w:type="dxa"/>
            <w:tcBorders>
              <w:top w:val="nil"/>
              <w:left w:val="single" w:sz="8" w:space="0" w:color="000000"/>
              <w:bottom w:val="single" w:sz="8" w:space="0" w:color="000000"/>
              <w:right w:val="single" w:sz="8" w:space="0" w:color="000000"/>
            </w:tcBorders>
            <w:shd w:val="clear" w:color="000000" w:fill="FFFFFF"/>
            <w:vAlign w:val="center"/>
            <w:hideMark/>
          </w:tcPr>
          <w:p w14:paraId="0506DCFA" w14:textId="77777777" w:rsidR="004E37CF" w:rsidRPr="004E37CF" w:rsidRDefault="004E37CF" w:rsidP="004E37CF">
            <w:pPr>
              <w:ind w:firstLine="0"/>
              <w:jc w:val="center"/>
              <w:rPr>
                <w:rFonts w:eastAsia="Times New Roman" w:cs="Times New Roman"/>
                <w:sz w:val="20"/>
                <w:szCs w:val="20"/>
                <w:lang w:eastAsia="ru-RU"/>
              </w:rPr>
            </w:pPr>
            <w:r w:rsidRPr="004E37CF">
              <w:rPr>
                <w:rFonts w:eastAsia="Times New Roman" w:cs="Times New Roman"/>
                <w:sz w:val="20"/>
                <w:szCs w:val="20"/>
                <w:lang w:eastAsia="ru-RU"/>
              </w:rPr>
              <w:t>4</w:t>
            </w:r>
          </w:p>
        </w:tc>
        <w:tc>
          <w:tcPr>
            <w:tcW w:w="3464" w:type="dxa"/>
            <w:tcBorders>
              <w:top w:val="nil"/>
              <w:left w:val="nil"/>
              <w:bottom w:val="single" w:sz="8" w:space="0" w:color="000000"/>
              <w:right w:val="single" w:sz="8" w:space="0" w:color="000000"/>
            </w:tcBorders>
            <w:shd w:val="clear" w:color="000000" w:fill="FFFFFF"/>
            <w:vAlign w:val="center"/>
            <w:hideMark/>
          </w:tcPr>
          <w:p w14:paraId="73580A9B" w14:textId="77777777" w:rsidR="004E37CF" w:rsidRPr="004E37CF" w:rsidRDefault="004E37CF" w:rsidP="004E37CF">
            <w:pPr>
              <w:ind w:firstLine="0"/>
              <w:jc w:val="left"/>
              <w:rPr>
                <w:rFonts w:eastAsia="Times New Roman" w:cs="Times New Roman"/>
                <w:sz w:val="20"/>
                <w:szCs w:val="20"/>
                <w:lang w:eastAsia="ru-RU"/>
              </w:rPr>
            </w:pPr>
            <w:r w:rsidRPr="004E37CF">
              <w:rPr>
                <w:rFonts w:eastAsia="Times New Roman" w:cs="Times New Roman"/>
                <w:sz w:val="20"/>
                <w:szCs w:val="20"/>
                <w:lang w:eastAsia="ru-RU"/>
              </w:rPr>
              <w:t>Наличие в населенном пункте или в близи (до 1 км) остановок общественного транспорта</w:t>
            </w:r>
          </w:p>
        </w:tc>
        <w:tc>
          <w:tcPr>
            <w:tcW w:w="5389" w:type="dxa"/>
            <w:tcBorders>
              <w:top w:val="nil"/>
              <w:left w:val="nil"/>
              <w:bottom w:val="single" w:sz="8" w:space="0" w:color="000000"/>
              <w:right w:val="single" w:sz="8" w:space="0" w:color="000000"/>
            </w:tcBorders>
            <w:shd w:val="clear" w:color="000000" w:fill="FFFFFF"/>
            <w:vAlign w:val="center"/>
            <w:hideMark/>
          </w:tcPr>
          <w:p w14:paraId="139BC776" w14:textId="77777777" w:rsidR="004E37CF" w:rsidRPr="004E37CF" w:rsidRDefault="004E37CF" w:rsidP="004E37CF">
            <w:pPr>
              <w:ind w:firstLine="0"/>
              <w:rPr>
                <w:rFonts w:eastAsia="Times New Roman" w:cs="Times New Roman"/>
                <w:sz w:val="20"/>
                <w:szCs w:val="20"/>
                <w:lang w:eastAsia="ru-RU"/>
              </w:rPr>
            </w:pPr>
            <w:r w:rsidRPr="004E37CF">
              <w:rPr>
                <w:rFonts w:eastAsia="Times New Roman" w:cs="Times New Roman"/>
                <w:sz w:val="20"/>
                <w:szCs w:val="20"/>
                <w:lang w:eastAsia="ru-RU"/>
              </w:rPr>
              <w:t xml:space="preserve">Если есть в населенном пункте есть остановки общественного транспорта, то населенный пункт с большой площадью территорией или населенный пунк находится в транспортном узле. Для развития населенного пункта и улучшение жизненного уровня жителей населенного пункта ценообразующим фактором еще является дорожное сообщение с населенном пункте или сообщения межпоселенческие маршруты. Близость остановок является улучшающим фактором для объекта недвижимости. </w:t>
            </w:r>
          </w:p>
        </w:tc>
      </w:tr>
      <w:tr w:rsidR="004E37CF" w:rsidRPr="004E37CF" w14:paraId="33A38C50" w14:textId="77777777" w:rsidTr="004E37CF">
        <w:trPr>
          <w:trHeight w:val="300"/>
        </w:trPr>
        <w:tc>
          <w:tcPr>
            <w:tcW w:w="503" w:type="dxa"/>
            <w:vMerge w:val="restart"/>
            <w:tcBorders>
              <w:top w:val="nil"/>
              <w:left w:val="single" w:sz="8" w:space="0" w:color="000000"/>
              <w:bottom w:val="single" w:sz="8" w:space="0" w:color="000000"/>
              <w:right w:val="single" w:sz="8" w:space="0" w:color="000000"/>
            </w:tcBorders>
            <w:shd w:val="clear" w:color="000000" w:fill="FFFFFF"/>
            <w:vAlign w:val="center"/>
            <w:hideMark/>
          </w:tcPr>
          <w:p w14:paraId="5679EB31" w14:textId="77777777" w:rsidR="004E37CF" w:rsidRPr="004E37CF" w:rsidRDefault="004E37CF" w:rsidP="004E37CF">
            <w:pPr>
              <w:ind w:firstLine="0"/>
              <w:jc w:val="center"/>
              <w:rPr>
                <w:rFonts w:eastAsia="Times New Roman" w:cs="Times New Roman"/>
                <w:sz w:val="20"/>
                <w:szCs w:val="20"/>
                <w:lang w:eastAsia="ru-RU"/>
              </w:rPr>
            </w:pPr>
            <w:r w:rsidRPr="004E37CF">
              <w:rPr>
                <w:rFonts w:eastAsia="Times New Roman" w:cs="Times New Roman"/>
                <w:sz w:val="20"/>
                <w:szCs w:val="20"/>
                <w:lang w:eastAsia="ru-RU"/>
              </w:rPr>
              <w:t>5</w:t>
            </w:r>
          </w:p>
        </w:tc>
        <w:tc>
          <w:tcPr>
            <w:tcW w:w="3464" w:type="dxa"/>
            <w:vMerge w:val="restart"/>
            <w:tcBorders>
              <w:top w:val="nil"/>
              <w:left w:val="single" w:sz="8" w:space="0" w:color="000000"/>
              <w:bottom w:val="single" w:sz="8" w:space="0" w:color="000000"/>
              <w:right w:val="single" w:sz="8" w:space="0" w:color="000000"/>
            </w:tcBorders>
            <w:shd w:val="clear" w:color="000000" w:fill="FFFFFF"/>
            <w:vAlign w:val="center"/>
            <w:hideMark/>
          </w:tcPr>
          <w:p w14:paraId="1E40ACF7" w14:textId="77777777" w:rsidR="004E37CF" w:rsidRPr="004E37CF" w:rsidRDefault="004E37CF" w:rsidP="004E37CF">
            <w:pPr>
              <w:ind w:firstLine="0"/>
              <w:jc w:val="left"/>
              <w:rPr>
                <w:rFonts w:eastAsia="Times New Roman" w:cs="Times New Roman"/>
                <w:sz w:val="20"/>
                <w:szCs w:val="20"/>
                <w:lang w:eastAsia="ru-RU"/>
              </w:rPr>
            </w:pPr>
            <w:r w:rsidRPr="004E37CF">
              <w:rPr>
                <w:rFonts w:eastAsia="Times New Roman" w:cs="Times New Roman"/>
                <w:sz w:val="20"/>
                <w:szCs w:val="20"/>
                <w:lang w:eastAsia="ru-RU"/>
              </w:rPr>
              <w:t>Состояние объекта недвижимости (ветхое. Аварийное)</w:t>
            </w:r>
          </w:p>
        </w:tc>
        <w:tc>
          <w:tcPr>
            <w:tcW w:w="5389" w:type="dxa"/>
            <w:tcBorders>
              <w:top w:val="nil"/>
              <w:left w:val="nil"/>
              <w:bottom w:val="nil"/>
              <w:right w:val="single" w:sz="8" w:space="0" w:color="000000"/>
            </w:tcBorders>
            <w:shd w:val="clear" w:color="000000" w:fill="FFFFFF"/>
            <w:vAlign w:val="center"/>
            <w:hideMark/>
          </w:tcPr>
          <w:p w14:paraId="3238445E" w14:textId="77777777" w:rsidR="004E37CF" w:rsidRPr="004E37CF" w:rsidRDefault="004E37CF" w:rsidP="004E37CF">
            <w:pPr>
              <w:ind w:firstLine="0"/>
              <w:rPr>
                <w:rFonts w:eastAsia="Times New Roman" w:cs="Times New Roman"/>
                <w:sz w:val="20"/>
                <w:szCs w:val="20"/>
                <w:lang w:eastAsia="ru-RU"/>
              </w:rPr>
            </w:pPr>
            <w:r w:rsidRPr="004E37CF">
              <w:rPr>
                <w:rFonts w:eastAsia="Times New Roman" w:cs="Times New Roman"/>
                <w:sz w:val="20"/>
                <w:szCs w:val="20"/>
                <w:lang w:eastAsia="ru-RU"/>
              </w:rPr>
              <w:t>Ветхое или аварийное/ -</w:t>
            </w:r>
          </w:p>
        </w:tc>
      </w:tr>
      <w:tr w:rsidR="004E37CF" w:rsidRPr="004E37CF" w14:paraId="277E22A6" w14:textId="77777777" w:rsidTr="004E37CF">
        <w:trPr>
          <w:trHeight w:val="1545"/>
        </w:trPr>
        <w:tc>
          <w:tcPr>
            <w:tcW w:w="503" w:type="dxa"/>
            <w:vMerge/>
            <w:tcBorders>
              <w:top w:val="nil"/>
              <w:left w:val="single" w:sz="8" w:space="0" w:color="000000"/>
              <w:bottom w:val="single" w:sz="8" w:space="0" w:color="000000"/>
              <w:right w:val="single" w:sz="8" w:space="0" w:color="000000"/>
            </w:tcBorders>
            <w:vAlign w:val="center"/>
            <w:hideMark/>
          </w:tcPr>
          <w:p w14:paraId="244A9B73" w14:textId="77777777" w:rsidR="004E37CF" w:rsidRPr="004E37CF" w:rsidRDefault="004E37CF" w:rsidP="004E37CF">
            <w:pPr>
              <w:ind w:firstLine="0"/>
              <w:jc w:val="left"/>
              <w:rPr>
                <w:rFonts w:eastAsia="Times New Roman" w:cs="Times New Roman"/>
                <w:sz w:val="20"/>
                <w:szCs w:val="20"/>
                <w:lang w:eastAsia="ru-RU"/>
              </w:rPr>
            </w:pPr>
          </w:p>
        </w:tc>
        <w:tc>
          <w:tcPr>
            <w:tcW w:w="3464" w:type="dxa"/>
            <w:vMerge/>
            <w:tcBorders>
              <w:top w:val="nil"/>
              <w:left w:val="single" w:sz="8" w:space="0" w:color="000000"/>
              <w:bottom w:val="single" w:sz="8" w:space="0" w:color="000000"/>
              <w:right w:val="single" w:sz="8" w:space="0" w:color="000000"/>
            </w:tcBorders>
            <w:vAlign w:val="center"/>
            <w:hideMark/>
          </w:tcPr>
          <w:p w14:paraId="5D3A6211" w14:textId="77777777" w:rsidR="004E37CF" w:rsidRPr="004E37CF" w:rsidRDefault="004E37CF" w:rsidP="004E37CF">
            <w:pPr>
              <w:ind w:firstLine="0"/>
              <w:jc w:val="left"/>
              <w:rPr>
                <w:rFonts w:eastAsia="Times New Roman" w:cs="Times New Roman"/>
                <w:sz w:val="20"/>
                <w:szCs w:val="20"/>
                <w:lang w:eastAsia="ru-RU"/>
              </w:rPr>
            </w:pPr>
          </w:p>
        </w:tc>
        <w:tc>
          <w:tcPr>
            <w:tcW w:w="5389" w:type="dxa"/>
            <w:tcBorders>
              <w:top w:val="nil"/>
              <w:left w:val="nil"/>
              <w:bottom w:val="single" w:sz="8" w:space="0" w:color="000000"/>
              <w:right w:val="single" w:sz="8" w:space="0" w:color="000000"/>
            </w:tcBorders>
            <w:shd w:val="clear" w:color="000000" w:fill="FFFFFF"/>
            <w:vAlign w:val="center"/>
            <w:hideMark/>
          </w:tcPr>
          <w:p w14:paraId="23D11778" w14:textId="77777777" w:rsidR="004E37CF" w:rsidRPr="004E37CF" w:rsidRDefault="004E37CF" w:rsidP="004E37CF">
            <w:pPr>
              <w:ind w:firstLine="0"/>
              <w:rPr>
                <w:rFonts w:eastAsia="Times New Roman" w:cs="Times New Roman"/>
                <w:sz w:val="20"/>
                <w:szCs w:val="20"/>
                <w:lang w:eastAsia="ru-RU"/>
              </w:rPr>
            </w:pPr>
            <w:r w:rsidRPr="004E37CF">
              <w:rPr>
                <w:rFonts w:eastAsia="Times New Roman" w:cs="Times New Roman"/>
                <w:sz w:val="20"/>
                <w:szCs w:val="20"/>
                <w:lang w:eastAsia="ru-RU"/>
              </w:rPr>
              <w:t>Если ОКС попал в список ветких и аварийных домов, то здание не пригодно для проживания, всех жильцов должны переселять. Используется для определения физического износа для ветхих и аварийных домов без учета года постройки ставим максимальный физический износ.</w:t>
            </w:r>
          </w:p>
        </w:tc>
      </w:tr>
      <w:tr w:rsidR="004E37CF" w:rsidRPr="004E37CF" w14:paraId="0D9BB66D" w14:textId="77777777" w:rsidTr="004E37CF">
        <w:trPr>
          <w:trHeight w:val="2900"/>
        </w:trPr>
        <w:tc>
          <w:tcPr>
            <w:tcW w:w="503" w:type="dxa"/>
            <w:tcBorders>
              <w:top w:val="nil"/>
              <w:left w:val="single" w:sz="8" w:space="0" w:color="000000"/>
              <w:bottom w:val="single" w:sz="8" w:space="0" w:color="000000"/>
              <w:right w:val="single" w:sz="8" w:space="0" w:color="000000"/>
            </w:tcBorders>
            <w:shd w:val="clear" w:color="000000" w:fill="FFFFFF"/>
            <w:vAlign w:val="center"/>
            <w:hideMark/>
          </w:tcPr>
          <w:p w14:paraId="2D03FBCB" w14:textId="77777777" w:rsidR="004E37CF" w:rsidRPr="004E37CF" w:rsidRDefault="004E37CF" w:rsidP="004E37CF">
            <w:pPr>
              <w:ind w:firstLine="0"/>
              <w:jc w:val="center"/>
              <w:rPr>
                <w:rFonts w:eastAsia="Times New Roman" w:cs="Times New Roman"/>
                <w:sz w:val="20"/>
                <w:szCs w:val="20"/>
                <w:lang w:eastAsia="ru-RU"/>
              </w:rPr>
            </w:pPr>
            <w:r w:rsidRPr="004E37CF">
              <w:rPr>
                <w:rFonts w:eastAsia="Times New Roman" w:cs="Times New Roman"/>
                <w:sz w:val="20"/>
                <w:szCs w:val="20"/>
                <w:lang w:eastAsia="ru-RU"/>
              </w:rPr>
              <w:t>5</w:t>
            </w:r>
          </w:p>
        </w:tc>
        <w:tc>
          <w:tcPr>
            <w:tcW w:w="3464" w:type="dxa"/>
            <w:tcBorders>
              <w:top w:val="nil"/>
              <w:left w:val="nil"/>
              <w:bottom w:val="single" w:sz="8" w:space="0" w:color="000000"/>
              <w:right w:val="single" w:sz="8" w:space="0" w:color="000000"/>
            </w:tcBorders>
            <w:shd w:val="clear" w:color="000000" w:fill="FFFFFF"/>
            <w:vAlign w:val="center"/>
            <w:hideMark/>
          </w:tcPr>
          <w:p w14:paraId="0CDF6B26" w14:textId="77777777" w:rsidR="004E37CF" w:rsidRPr="004E37CF" w:rsidRDefault="004E37CF" w:rsidP="004E37CF">
            <w:pPr>
              <w:ind w:firstLine="0"/>
              <w:jc w:val="left"/>
              <w:rPr>
                <w:rFonts w:eastAsia="Times New Roman" w:cs="Times New Roman"/>
                <w:sz w:val="20"/>
                <w:szCs w:val="20"/>
                <w:lang w:eastAsia="ru-RU"/>
              </w:rPr>
            </w:pPr>
            <w:r w:rsidRPr="004E37CF">
              <w:rPr>
                <w:rFonts w:eastAsia="Times New Roman" w:cs="Times New Roman"/>
                <w:sz w:val="20"/>
                <w:szCs w:val="20"/>
                <w:lang w:eastAsia="ru-RU"/>
              </w:rPr>
              <w:t>Численность населения в муниципальном районе, городском округе</w:t>
            </w:r>
          </w:p>
        </w:tc>
        <w:tc>
          <w:tcPr>
            <w:tcW w:w="5389" w:type="dxa"/>
            <w:tcBorders>
              <w:top w:val="nil"/>
              <w:left w:val="nil"/>
              <w:bottom w:val="single" w:sz="8" w:space="0" w:color="000000"/>
              <w:right w:val="single" w:sz="8" w:space="0" w:color="000000"/>
            </w:tcBorders>
            <w:shd w:val="clear" w:color="000000" w:fill="FFFFFF"/>
            <w:vAlign w:val="center"/>
            <w:hideMark/>
          </w:tcPr>
          <w:p w14:paraId="721E4075" w14:textId="42D931CA" w:rsidR="004E37CF" w:rsidRPr="004E37CF" w:rsidRDefault="00A90944" w:rsidP="004E37CF">
            <w:pPr>
              <w:ind w:firstLine="0"/>
              <w:rPr>
                <w:rFonts w:eastAsia="Times New Roman" w:cs="Times New Roman"/>
                <w:sz w:val="20"/>
                <w:szCs w:val="20"/>
                <w:lang w:eastAsia="ru-RU"/>
              </w:rPr>
            </w:pPr>
            <w:hyperlink w:anchor="RANGE!_2.1.5._Информация_об" w:history="1">
              <w:r w:rsidR="004E37CF" w:rsidRPr="000B41AF">
                <w:rPr>
                  <w:rFonts w:eastAsia="Times New Roman" w:cs="Times New Roman"/>
                  <w:sz w:val="20"/>
                  <w:szCs w:val="20"/>
                  <w:lang w:eastAsia="ru-RU"/>
                </w:rPr>
                <w:t>Отчета также используется сокращение «Численность населения МО»). Использование фактора обусловлено преемственностью в подходах к определению кадастровой стоимости, использованных в прошлом туре оценки земель в составе земель садоводческих, огороднических и дачных объединений на территории Республики Саха (Якутия). Численность населения муниципального района, городского округа, показывает потенциал рынка недвижимости. Подробное обоснование влияния данного фактора на стоимости земельных участков приведено в разделе 2.1.5 Отчета. Наличие такого влияния, подтвержденного рыночной информацией является основанием для применения фактора стоимости при проведении государственной кадастровой оценки.</w:t>
              </w:r>
            </w:hyperlink>
          </w:p>
        </w:tc>
      </w:tr>
      <w:tr w:rsidR="004E37CF" w:rsidRPr="004E37CF" w14:paraId="056307A4" w14:textId="77777777" w:rsidTr="004E37CF">
        <w:trPr>
          <w:trHeight w:val="1035"/>
        </w:trPr>
        <w:tc>
          <w:tcPr>
            <w:tcW w:w="503" w:type="dxa"/>
            <w:tcBorders>
              <w:top w:val="nil"/>
              <w:left w:val="single" w:sz="8" w:space="0" w:color="000000"/>
              <w:bottom w:val="single" w:sz="8" w:space="0" w:color="000000"/>
              <w:right w:val="single" w:sz="8" w:space="0" w:color="000000"/>
            </w:tcBorders>
            <w:shd w:val="clear" w:color="000000" w:fill="FFFFFF"/>
            <w:vAlign w:val="center"/>
            <w:hideMark/>
          </w:tcPr>
          <w:p w14:paraId="29B2390F" w14:textId="77777777" w:rsidR="004E37CF" w:rsidRPr="004E37CF" w:rsidRDefault="004E37CF" w:rsidP="004E37CF">
            <w:pPr>
              <w:ind w:firstLine="0"/>
              <w:jc w:val="center"/>
              <w:rPr>
                <w:rFonts w:eastAsia="Times New Roman" w:cs="Times New Roman"/>
                <w:sz w:val="20"/>
                <w:szCs w:val="20"/>
                <w:lang w:eastAsia="ru-RU"/>
              </w:rPr>
            </w:pPr>
            <w:r w:rsidRPr="004E37CF">
              <w:rPr>
                <w:rFonts w:eastAsia="Times New Roman" w:cs="Times New Roman"/>
                <w:sz w:val="20"/>
                <w:szCs w:val="20"/>
                <w:lang w:eastAsia="ru-RU"/>
              </w:rPr>
              <w:t>6</w:t>
            </w:r>
          </w:p>
        </w:tc>
        <w:tc>
          <w:tcPr>
            <w:tcW w:w="3464" w:type="dxa"/>
            <w:tcBorders>
              <w:top w:val="nil"/>
              <w:left w:val="nil"/>
              <w:bottom w:val="single" w:sz="8" w:space="0" w:color="000000"/>
              <w:right w:val="single" w:sz="8" w:space="0" w:color="000000"/>
            </w:tcBorders>
            <w:shd w:val="clear" w:color="000000" w:fill="FFFFFF"/>
            <w:vAlign w:val="center"/>
            <w:hideMark/>
          </w:tcPr>
          <w:p w14:paraId="3543B689" w14:textId="77777777" w:rsidR="004E37CF" w:rsidRPr="004E37CF" w:rsidRDefault="004E37CF" w:rsidP="004E37CF">
            <w:pPr>
              <w:ind w:firstLine="0"/>
              <w:jc w:val="left"/>
              <w:rPr>
                <w:rFonts w:eastAsia="Times New Roman" w:cs="Times New Roman"/>
                <w:sz w:val="20"/>
                <w:szCs w:val="20"/>
                <w:lang w:eastAsia="ru-RU"/>
              </w:rPr>
            </w:pPr>
            <w:r w:rsidRPr="004E37CF">
              <w:rPr>
                <w:rFonts w:eastAsia="Times New Roman" w:cs="Times New Roman"/>
                <w:sz w:val="20"/>
                <w:szCs w:val="20"/>
                <w:lang w:eastAsia="ru-RU"/>
              </w:rPr>
              <w:t>Численность населения в населенном пункте</w:t>
            </w:r>
          </w:p>
        </w:tc>
        <w:tc>
          <w:tcPr>
            <w:tcW w:w="5389" w:type="dxa"/>
            <w:tcBorders>
              <w:top w:val="nil"/>
              <w:left w:val="nil"/>
              <w:bottom w:val="single" w:sz="8" w:space="0" w:color="000000"/>
              <w:right w:val="single" w:sz="8" w:space="0" w:color="000000"/>
            </w:tcBorders>
            <w:shd w:val="clear" w:color="000000" w:fill="FFFFFF"/>
            <w:vAlign w:val="center"/>
            <w:hideMark/>
          </w:tcPr>
          <w:p w14:paraId="01BE878E" w14:textId="77777777" w:rsidR="004E37CF" w:rsidRPr="004E37CF" w:rsidRDefault="004E37CF" w:rsidP="004E37CF">
            <w:pPr>
              <w:ind w:firstLine="0"/>
              <w:rPr>
                <w:rFonts w:eastAsia="Times New Roman" w:cs="Times New Roman"/>
                <w:sz w:val="20"/>
                <w:szCs w:val="20"/>
                <w:lang w:eastAsia="ru-RU"/>
              </w:rPr>
            </w:pPr>
            <w:r w:rsidRPr="004E37CF">
              <w:rPr>
                <w:rFonts w:eastAsia="Times New Roman" w:cs="Times New Roman"/>
                <w:sz w:val="20"/>
                <w:szCs w:val="20"/>
                <w:lang w:eastAsia="ru-RU"/>
              </w:rPr>
              <w:t>Численность населения в населенном пункте – этот показатель указывет емкость рынка</w:t>
            </w:r>
            <w:proofErr w:type="gramStart"/>
            <w:r w:rsidRPr="004E37CF">
              <w:rPr>
                <w:rFonts w:eastAsia="Times New Roman" w:cs="Times New Roman"/>
                <w:sz w:val="20"/>
                <w:szCs w:val="20"/>
                <w:lang w:eastAsia="ru-RU"/>
              </w:rPr>
              <w:t>.</w:t>
            </w:r>
            <w:proofErr w:type="gramEnd"/>
            <w:r w:rsidRPr="004E37CF">
              <w:rPr>
                <w:rFonts w:eastAsia="Times New Roman" w:cs="Times New Roman"/>
                <w:sz w:val="20"/>
                <w:szCs w:val="20"/>
                <w:lang w:eastAsia="ru-RU"/>
              </w:rPr>
              <w:t xml:space="preserve"> чем больше людей проживающют в населенном пункте, тем рынок развит объект недвижимости. </w:t>
            </w:r>
          </w:p>
        </w:tc>
      </w:tr>
    </w:tbl>
    <w:p w14:paraId="2A8A73AF" w14:textId="5314F772" w:rsidR="00E74680" w:rsidRDefault="00E74680" w:rsidP="00E74680">
      <w:pPr>
        <w:rPr>
          <w:lang w:eastAsia="ru-RU"/>
        </w:rPr>
      </w:pPr>
    </w:p>
    <w:p w14:paraId="7DBF7ADF" w14:textId="03C585F8" w:rsidR="0000065A" w:rsidRPr="00E07359" w:rsidRDefault="0000065A" w:rsidP="003C4C7D">
      <w:pPr>
        <w:pStyle w:val="10"/>
        <w:numPr>
          <w:ilvl w:val="1"/>
          <w:numId w:val="100"/>
        </w:numPr>
        <w:jc w:val="both"/>
      </w:pPr>
      <w:bookmarkStart w:id="100" w:name="_Toc12596728"/>
      <w:bookmarkStart w:id="101" w:name="_Toc14819113"/>
      <w:r w:rsidRPr="00E07359">
        <w:t>Обоснование выбора подходов и методов, использованных для определения кадастровой стоимости объектов недвижимости.</w:t>
      </w:r>
      <w:bookmarkEnd w:id="100"/>
      <w:bookmarkEnd w:id="101"/>
    </w:p>
    <w:p w14:paraId="35D9C7B4" w14:textId="77777777" w:rsidR="0000065A" w:rsidRPr="0000065A" w:rsidRDefault="0000065A" w:rsidP="0000065A">
      <w:pPr>
        <w:widowControl w:val="0"/>
        <w:ind w:firstLine="0"/>
        <w:jc w:val="center"/>
        <w:rPr>
          <w:rFonts w:eastAsia="Times New Roman" w:cs="Times New Roman"/>
          <w:szCs w:val="24"/>
          <w:lang w:eastAsia="x-none"/>
        </w:rPr>
      </w:pPr>
    </w:p>
    <w:p w14:paraId="6C09809E" w14:textId="0C224F1D" w:rsidR="0000065A" w:rsidRPr="00A24B55" w:rsidRDefault="00C46C59" w:rsidP="00FD2769">
      <w:pPr>
        <w:pStyle w:val="3"/>
        <w:rPr>
          <w:rFonts w:eastAsia="Times New Roman"/>
          <w:lang w:eastAsia="ru-RU"/>
        </w:rPr>
      </w:pPr>
      <w:bookmarkStart w:id="102" w:name="_Toc14819114"/>
      <w:bookmarkStart w:id="103" w:name="_Toc516588262"/>
      <w:r w:rsidRPr="00A24B55">
        <w:rPr>
          <w:rFonts w:eastAsia="Times New Roman"/>
          <w:lang w:eastAsia="ru-RU"/>
        </w:rPr>
        <w:t>Описание подходов к оценке объектов оценки.</w:t>
      </w:r>
      <w:bookmarkEnd w:id="102"/>
      <w:r w:rsidRPr="00A24B55">
        <w:rPr>
          <w:rFonts w:eastAsia="Times New Roman"/>
          <w:lang w:eastAsia="ru-RU"/>
        </w:rPr>
        <w:t xml:space="preserve"> </w:t>
      </w:r>
      <w:bookmarkEnd w:id="103"/>
    </w:p>
    <w:p w14:paraId="78FE5B1A" w14:textId="77777777" w:rsidR="00C46C59" w:rsidRDefault="00C46C59" w:rsidP="0000065A">
      <w:pPr>
        <w:widowControl w:val="0"/>
        <w:tabs>
          <w:tab w:val="left" w:pos="567"/>
        </w:tabs>
        <w:ind w:firstLine="709"/>
        <w:rPr>
          <w:rFonts w:eastAsia="Times New Roman" w:cs="Times New Roman"/>
          <w:szCs w:val="24"/>
          <w:lang w:eastAsia="ru-RU"/>
        </w:rPr>
      </w:pPr>
    </w:p>
    <w:p w14:paraId="43982C1A" w14:textId="3D7241CE" w:rsidR="0000065A" w:rsidRPr="0000065A" w:rsidRDefault="0000065A" w:rsidP="0000065A">
      <w:pPr>
        <w:widowControl w:val="0"/>
        <w:tabs>
          <w:tab w:val="left" w:pos="567"/>
        </w:tabs>
        <w:ind w:firstLine="709"/>
        <w:rPr>
          <w:rFonts w:eastAsia="Times New Roman" w:cs="Times New Roman"/>
          <w:szCs w:val="24"/>
          <w:lang w:eastAsia="ru-RU"/>
        </w:rPr>
      </w:pPr>
      <w:r w:rsidRPr="0000065A">
        <w:rPr>
          <w:rFonts w:eastAsia="Times New Roman" w:cs="Times New Roman"/>
          <w:szCs w:val="24"/>
          <w:lang w:eastAsia="ru-RU"/>
        </w:rPr>
        <w:t>В соо</w:t>
      </w:r>
      <w:r w:rsidR="00473E76">
        <w:rPr>
          <w:rFonts w:eastAsia="Times New Roman" w:cs="Times New Roman"/>
          <w:szCs w:val="24"/>
          <w:lang w:eastAsia="ru-RU"/>
        </w:rPr>
        <w:t xml:space="preserve">тветствии с частью 2 статьи 12 </w:t>
      </w:r>
      <w:r w:rsidR="00F154AB">
        <w:rPr>
          <w:rFonts w:eastAsia="Times New Roman" w:cs="Times New Roman"/>
          <w:szCs w:val="24"/>
          <w:lang w:eastAsia="ru-RU"/>
        </w:rPr>
        <w:t>Федерального закона №237-ФЗ</w:t>
      </w:r>
      <w:r w:rsidRPr="0000065A">
        <w:rPr>
          <w:rFonts w:eastAsia="Times New Roman" w:cs="Times New Roman"/>
          <w:szCs w:val="24"/>
          <w:lang w:eastAsia="ru-RU"/>
        </w:rPr>
        <w:t xml:space="preserve"> кадастровая стоимость определяется в соответствии с </w:t>
      </w:r>
      <w:r w:rsidR="002D68A2">
        <w:rPr>
          <w:rFonts w:eastAsia="Times New Roman" w:cs="Times New Roman"/>
          <w:szCs w:val="24"/>
          <w:lang w:eastAsia="ru-RU"/>
        </w:rPr>
        <w:t>М</w:t>
      </w:r>
      <w:r w:rsidRPr="0000065A">
        <w:rPr>
          <w:rFonts w:eastAsia="Times New Roman" w:cs="Times New Roman"/>
          <w:szCs w:val="24"/>
          <w:lang w:eastAsia="ru-RU"/>
        </w:rPr>
        <w:t>етодическими указаниями о государственной кадастровой оценке.</w:t>
      </w:r>
    </w:p>
    <w:p w14:paraId="3FE0C147" w14:textId="77777777" w:rsidR="0000065A" w:rsidRPr="0000065A" w:rsidRDefault="0000065A" w:rsidP="0000065A">
      <w:pPr>
        <w:widowControl w:val="0"/>
        <w:tabs>
          <w:tab w:val="left" w:pos="567"/>
        </w:tabs>
        <w:ind w:firstLine="709"/>
        <w:rPr>
          <w:rFonts w:eastAsia="Times New Roman" w:cs="Times New Roman"/>
          <w:szCs w:val="24"/>
          <w:lang w:eastAsia="ru-RU"/>
        </w:rPr>
      </w:pPr>
      <w:r w:rsidRPr="0000065A">
        <w:rPr>
          <w:rFonts w:eastAsia="Times New Roman" w:cs="Times New Roman"/>
          <w:szCs w:val="24"/>
          <w:lang w:eastAsia="ru-RU"/>
        </w:rPr>
        <w:t>В соответствии с п. 1.3 Методических указаний при проведении массовой оценки используются сравнительный и (или) затратный, и (или) доходный подходы к оценке (совокупность методов (последовательность процедур, позволяющая на основе существенной для данного метода информации определить стоимость объекта недвижимости в рамках одного из подходов к оценке), объединенных общей методологией).</w:t>
      </w:r>
    </w:p>
    <w:p w14:paraId="2C63A6D9" w14:textId="77777777" w:rsidR="0000065A" w:rsidRPr="0000065A" w:rsidRDefault="0000065A" w:rsidP="0000065A">
      <w:pPr>
        <w:widowControl w:val="0"/>
        <w:ind w:firstLine="720"/>
        <w:rPr>
          <w:rFonts w:eastAsia="Times New Roman" w:cs="Times New Roman"/>
          <w:szCs w:val="24"/>
          <w:lang w:eastAsia="ru-RU"/>
        </w:rPr>
      </w:pPr>
      <w:r w:rsidRPr="0000065A">
        <w:rPr>
          <w:rFonts w:eastAsia="Times New Roman" w:cs="Times New Roman"/>
          <w:szCs w:val="24"/>
          <w:lang w:eastAsia="ru-RU"/>
        </w:rPr>
        <w:t>При невозможности применения методов массовой оценки определение кадастровой стоимости осуществляется индивидуально в отношении объектов оценки (п. 8.1. Методических указаний).</w:t>
      </w:r>
    </w:p>
    <w:p w14:paraId="06049572" w14:textId="77777777" w:rsidR="0000065A" w:rsidRPr="0000065A" w:rsidRDefault="0000065A" w:rsidP="0000065A">
      <w:pPr>
        <w:widowControl w:val="0"/>
        <w:ind w:firstLine="720"/>
        <w:rPr>
          <w:rFonts w:eastAsia="Times New Roman" w:cs="Times New Roman"/>
          <w:szCs w:val="24"/>
          <w:lang w:eastAsia="ru-RU"/>
        </w:rPr>
      </w:pPr>
      <w:r w:rsidRPr="0000065A">
        <w:rPr>
          <w:rFonts w:eastAsia="Times New Roman" w:cs="Times New Roman"/>
          <w:szCs w:val="24"/>
          <w:lang w:eastAsia="ru-RU"/>
        </w:rPr>
        <w:t>Применение методов массовой оценки для целей Методических указаний предполагает определение кадастровой стоимости путем группирования объектов недвижимости. При этом для оценки используются сравнительный, и (или) затратный, и (или) доходный подходы к оценке.</w:t>
      </w:r>
    </w:p>
    <w:p w14:paraId="78E5FC3E" w14:textId="77777777" w:rsidR="0000065A" w:rsidRPr="0000065A" w:rsidRDefault="0000065A" w:rsidP="0000065A">
      <w:pPr>
        <w:widowControl w:val="0"/>
        <w:ind w:firstLine="720"/>
        <w:rPr>
          <w:rFonts w:eastAsia="Times New Roman" w:cs="Times New Roman"/>
          <w:b/>
          <w:szCs w:val="24"/>
          <w:lang w:eastAsia="ru-RU"/>
        </w:rPr>
      </w:pPr>
      <w:r w:rsidRPr="0000065A">
        <w:rPr>
          <w:rFonts w:eastAsia="Times New Roman" w:cs="Times New Roman"/>
          <w:b/>
          <w:szCs w:val="24"/>
          <w:lang w:eastAsia="ru-RU"/>
        </w:rPr>
        <w:t>Доходный подход</w:t>
      </w:r>
    </w:p>
    <w:p w14:paraId="2A0AE1D1" w14:textId="77777777" w:rsidR="0000065A" w:rsidRPr="0000065A" w:rsidRDefault="0000065A" w:rsidP="0000065A">
      <w:pPr>
        <w:widowControl w:val="0"/>
        <w:ind w:firstLine="720"/>
        <w:rPr>
          <w:rFonts w:eastAsia="Times New Roman" w:cs="Times New Roman"/>
          <w:szCs w:val="24"/>
          <w:lang w:eastAsia="ru-RU"/>
        </w:rPr>
      </w:pPr>
      <w:r w:rsidRPr="0000065A">
        <w:rPr>
          <w:rFonts w:eastAsia="Times New Roman" w:cs="Times New Roman"/>
          <w:szCs w:val="24"/>
          <w:lang w:eastAsia="ru-RU"/>
        </w:rPr>
        <w:t>Доходный подход – совокупность методов оценки, основанных на определении ожидаемых доходов от использования объекта оценки.</w:t>
      </w:r>
    </w:p>
    <w:p w14:paraId="7E85DC2C" w14:textId="77777777" w:rsidR="0000065A" w:rsidRPr="0000065A" w:rsidRDefault="0000065A" w:rsidP="0000065A">
      <w:pPr>
        <w:widowControl w:val="0"/>
        <w:ind w:firstLine="720"/>
        <w:rPr>
          <w:rFonts w:eastAsia="Times New Roman" w:cs="Times New Roman"/>
          <w:szCs w:val="24"/>
          <w:lang w:eastAsia="ru-RU"/>
        </w:rPr>
      </w:pPr>
      <w:r w:rsidRPr="0000065A">
        <w:rPr>
          <w:rFonts w:eastAsia="Times New Roman" w:cs="Times New Roman"/>
          <w:szCs w:val="24"/>
          <w:lang w:eastAsia="ru-RU"/>
        </w:rPr>
        <w:t>Доходный подход рекомендуется применять, когда существует достоверная информация, позволяющая прогнозировать будущие доходы, которые объект оценки способен приносить, а также связанные с объектом оценки расходы.</w:t>
      </w:r>
    </w:p>
    <w:p w14:paraId="705C8E99" w14:textId="77777777" w:rsidR="0000065A" w:rsidRPr="0000065A" w:rsidRDefault="0000065A" w:rsidP="0000065A">
      <w:pPr>
        <w:widowControl w:val="0"/>
        <w:ind w:firstLine="720"/>
        <w:rPr>
          <w:rFonts w:eastAsia="Times New Roman" w:cs="Times New Roman"/>
          <w:szCs w:val="24"/>
          <w:lang w:eastAsia="ru-RU"/>
        </w:rPr>
      </w:pPr>
      <w:r w:rsidRPr="0000065A">
        <w:rPr>
          <w:rFonts w:eastAsia="Times New Roman" w:cs="Times New Roman"/>
          <w:szCs w:val="24"/>
          <w:lang w:eastAsia="ru-RU"/>
        </w:rPr>
        <w:t>В рамках доходного подхода применяются различные методы, основанные на дисконтировании денежных потоков и капитализации дохода.</w:t>
      </w:r>
    </w:p>
    <w:p w14:paraId="29D78549" w14:textId="77777777" w:rsidR="0000065A" w:rsidRPr="0000065A" w:rsidRDefault="0000065A" w:rsidP="0000065A">
      <w:pPr>
        <w:widowControl w:val="0"/>
        <w:ind w:firstLine="720"/>
        <w:rPr>
          <w:rFonts w:eastAsia="Times New Roman" w:cs="Times New Roman"/>
          <w:szCs w:val="24"/>
          <w:lang w:eastAsia="ru-RU"/>
        </w:rPr>
      </w:pPr>
      <w:r w:rsidRPr="0000065A">
        <w:rPr>
          <w:rFonts w:eastAsia="Times New Roman" w:cs="Times New Roman"/>
          <w:szCs w:val="24"/>
          <w:lang w:eastAsia="ru-RU"/>
        </w:rPr>
        <w:t xml:space="preserve">Доходный подход позволяет рассчитать стоимость объекта путем пересчета ожидаемых будущих доходов в оценку их стоимости в настоящее время. В этом отношении данный процесс очень похож на любой процесс установления цен на рынках капитала. Инвестор сегодня приобретает приносящий доход объект в обмен на право получать в дальнейшем доход от его эксплуатации (например, от сдачи в аренду) и от последующей продажи. </w:t>
      </w:r>
    </w:p>
    <w:p w14:paraId="4C21052E" w14:textId="77777777" w:rsidR="0000065A" w:rsidRPr="0000065A" w:rsidRDefault="0000065A" w:rsidP="0000065A">
      <w:pPr>
        <w:widowControl w:val="0"/>
        <w:ind w:firstLine="720"/>
        <w:rPr>
          <w:rFonts w:eastAsia="Times New Roman" w:cs="Times New Roman"/>
          <w:szCs w:val="24"/>
          <w:lang w:eastAsia="ru-RU"/>
        </w:rPr>
      </w:pPr>
      <w:r w:rsidRPr="0000065A">
        <w:rPr>
          <w:rFonts w:eastAsia="Times New Roman" w:cs="Times New Roman"/>
          <w:szCs w:val="24"/>
          <w:lang w:eastAsia="ru-RU"/>
        </w:rPr>
        <w:t>Доходный подход применим для объектов, по которым либо развит и прозрачен рынок аренды, либо есть возможность другими способами определить величину дохода, приносимого объектом.</w:t>
      </w:r>
    </w:p>
    <w:p w14:paraId="29D09060" w14:textId="77777777" w:rsidR="0000065A" w:rsidRPr="0000065A" w:rsidRDefault="0000065A" w:rsidP="0000065A">
      <w:pPr>
        <w:widowControl w:val="0"/>
        <w:ind w:firstLine="720"/>
        <w:rPr>
          <w:rFonts w:eastAsia="Times New Roman" w:cs="Times New Roman"/>
          <w:b/>
          <w:szCs w:val="24"/>
          <w:lang w:eastAsia="ru-RU"/>
        </w:rPr>
      </w:pPr>
      <w:r w:rsidRPr="0000065A">
        <w:rPr>
          <w:rFonts w:eastAsia="Times New Roman" w:cs="Times New Roman"/>
          <w:b/>
          <w:szCs w:val="24"/>
          <w:lang w:eastAsia="ru-RU"/>
        </w:rPr>
        <w:t>Затратный подход</w:t>
      </w:r>
    </w:p>
    <w:p w14:paraId="413F8479" w14:textId="77777777" w:rsidR="0000065A" w:rsidRPr="0000065A" w:rsidRDefault="0000065A" w:rsidP="0000065A">
      <w:pPr>
        <w:widowControl w:val="0"/>
        <w:ind w:firstLine="720"/>
        <w:rPr>
          <w:rFonts w:eastAsia="Times New Roman" w:cs="Times New Roman"/>
          <w:szCs w:val="24"/>
          <w:lang w:eastAsia="ru-RU"/>
        </w:rPr>
      </w:pPr>
      <w:r w:rsidRPr="0000065A">
        <w:rPr>
          <w:rFonts w:eastAsia="Times New Roman" w:cs="Times New Roman"/>
          <w:szCs w:val="24"/>
          <w:lang w:eastAsia="ru-RU"/>
        </w:rPr>
        <w:t>Затратный подход – совокупность методов оценки стоимости объекта оценки, основанных на определении затрат, необходимых для приобретения, воспроизводства либо замещения объекта оценки с учетом износа и устареваний.</w:t>
      </w:r>
    </w:p>
    <w:p w14:paraId="3CC9E861" w14:textId="77777777" w:rsidR="0000065A" w:rsidRPr="0000065A" w:rsidRDefault="0000065A" w:rsidP="0000065A">
      <w:pPr>
        <w:widowControl w:val="0"/>
        <w:ind w:firstLine="720"/>
        <w:rPr>
          <w:rFonts w:eastAsia="Times New Roman" w:cs="Times New Roman"/>
          <w:szCs w:val="24"/>
          <w:lang w:eastAsia="ru-RU"/>
        </w:rPr>
      </w:pPr>
      <w:r w:rsidRPr="0000065A">
        <w:rPr>
          <w:rFonts w:eastAsia="Times New Roman" w:cs="Times New Roman"/>
          <w:szCs w:val="24"/>
          <w:lang w:eastAsia="ru-RU"/>
        </w:rPr>
        <w:t>Затратный подход преимущественно применяется в тех случаях, когда существует достоверная информация, позволяющая определить затраты на приобретение, воспроизводство либо замещение объекта оценки.</w:t>
      </w:r>
    </w:p>
    <w:p w14:paraId="28E4A396" w14:textId="77777777" w:rsidR="0000065A" w:rsidRPr="0000065A" w:rsidRDefault="0000065A" w:rsidP="0000065A">
      <w:pPr>
        <w:widowControl w:val="0"/>
        <w:ind w:firstLine="720"/>
        <w:rPr>
          <w:rFonts w:eastAsia="Times New Roman" w:cs="Times New Roman"/>
          <w:szCs w:val="24"/>
          <w:lang w:eastAsia="ru-RU"/>
        </w:rPr>
      </w:pPr>
      <w:r w:rsidRPr="0000065A">
        <w:rPr>
          <w:rFonts w:eastAsia="Times New Roman" w:cs="Times New Roman"/>
          <w:szCs w:val="24"/>
          <w:lang w:eastAsia="ru-RU"/>
        </w:rPr>
        <w:t xml:space="preserve">В рамках затратного подхода применяются различные методы, основанные на определении затрат на создание точной копии объекта оценки или объекта, имеющего аналогичные полезные свойства. В основе затратного подхода лежит принцип замещения, согласно которому типичный покупатель не станет платить за оцениваемый объект сумму большую той, за которую можно купить или создать (с учетом стоимости денег во времени) другой объект равной полезности. </w:t>
      </w:r>
    </w:p>
    <w:p w14:paraId="66647CDE" w14:textId="77777777" w:rsidR="0000065A" w:rsidRPr="0000065A" w:rsidRDefault="0000065A" w:rsidP="0000065A">
      <w:pPr>
        <w:widowControl w:val="0"/>
        <w:ind w:firstLine="720"/>
        <w:rPr>
          <w:rFonts w:eastAsia="Times New Roman" w:cs="Times New Roman"/>
          <w:b/>
          <w:szCs w:val="24"/>
          <w:lang w:eastAsia="ru-RU"/>
        </w:rPr>
      </w:pPr>
      <w:bookmarkStart w:id="104" w:name="_Ref435374265"/>
      <w:bookmarkStart w:id="105" w:name="_Toc436149073"/>
      <w:r w:rsidRPr="0000065A">
        <w:rPr>
          <w:rFonts w:eastAsia="Times New Roman" w:cs="Times New Roman"/>
          <w:b/>
          <w:szCs w:val="24"/>
          <w:lang w:eastAsia="ru-RU"/>
        </w:rPr>
        <w:t>Сравнительный подход</w:t>
      </w:r>
      <w:bookmarkEnd w:id="104"/>
      <w:bookmarkEnd w:id="105"/>
    </w:p>
    <w:p w14:paraId="38174683" w14:textId="77777777" w:rsidR="0000065A" w:rsidRPr="0000065A" w:rsidRDefault="0000065A" w:rsidP="0000065A">
      <w:pPr>
        <w:widowControl w:val="0"/>
        <w:ind w:firstLine="720"/>
        <w:rPr>
          <w:rFonts w:eastAsia="Times New Roman" w:cs="Times New Roman"/>
          <w:szCs w:val="24"/>
          <w:lang w:eastAsia="ru-RU"/>
        </w:rPr>
      </w:pPr>
      <w:r w:rsidRPr="0000065A">
        <w:rPr>
          <w:rFonts w:eastAsia="Times New Roman" w:cs="Times New Roman"/>
          <w:szCs w:val="24"/>
          <w:lang w:eastAsia="ru-RU"/>
        </w:rPr>
        <w:t>Сравнительный подход – совокупность методов оценки, основанных на получении стоимости объекта оценки путем сравнения оцениваемого объекта с объектами-аналогами.</w:t>
      </w:r>
    </w:p>
    <w:p w14:paraId="6FF8DEB6" w14:textId="77777777" w:rsidR="0000065A" w:rsidRPr="0000065A" w:rsidRDefault="0000065A" w:rsidP="0000065A">
      <w:pPr>
        <w:widowControl w:val="0"/>
        <w:ind w:firstLine="720"/>
        <w:rPr>
          <w:rFonts w:eastAsia="Times New Roman" w:cs="Times New Roman"/>
          <w:szCs w:val="24"/>
          <w:lang w:eastAsia="ru-RU"/>
        </w:rPr>
      </w:pPr>
      <w:r w:rsidRPr="0000065A">
        <w:rPr>
          <w:rFonts w:eastAsia="Times New Roman" w:cs="Times New Roman"/>
          <w:szCs w:val="24"/>
          <w:lang w:eastAsia="ru-RU"/>
        </w:rPr>
        <w:t>Сравнительный подход рекомендуется применять, когда доступна достоверная и достаточная для анализа информация о ценах и характеристиках объектов-аналогов. При этом могут применяться как цены совершенных сделок, так и цены предложений.</w:t>
      </w:r>
    </w:p>
    <w:p w14:paraId="3984E521" w14:textId="77777777" w:rsidR="0000065A" w:rsidRPr="0000065A" w:rsidRDefault="0000065A" w:rsidP="0000065A">
      <w:pPr>
        <w:widowControl w:val="0"/>
        <w:ind w:firstLine="720"/>
        <w:rPr>
          <w:rFonts w:eastAsia="Times New Roman" w:cs="Times New Roman"/>
          <w:szCs w:val="24"/>
          <w:lang w:eastAsia="ru-RU"/>
        </w:rPr>
      </w:pPr>
      <w:r w:rsidRPr="0000065A">
        <w:rPr>
          <w:rFonts w:eastAsia="Times New Roman" w:cs="Times New Roman"/>
          <w:szCs w:val="24"/>
          <w:lang w:eastAsia="ru-RU"/>
        </w:rPr>
        <w:t>В рамках сравнительного подхода применяются различные методы, основанные как на прямом сопоставлении оцениваемого объекта и объектов-аналогов, так и методы, основанные на анализе статистических данных и информации о рынке объекта оценки.</w:t>
      </w:r>
    </w:p>
    <w:p w14:paraId="3A56E3F4" w14:textId="77777777" w:rsidR="0000065A" w:rsidRPr="0000065A" w:rsidRDefault="0000065A" w:rsidP="0000065A">
      <w:pPr>
        <w:widowControl w:val="0"/>
        <w:ind w:firstLine="720"/>
        <w:rPr>
          <w:rFonts w:eastAsia="Times New Roman" w:cs="Times New Roman"/>
          <w:szCs w:val="24"/>
          <w:lang w:eastAsia="ru-RU"/>
        </w:rPr>
      </w:pPr>
      <w:r w:rsidRPr="0000065A">
        <w:rPr>
          <w:rFonts w:eastAsia="Times New Roman" w:cs="Times New Roman"/>
          <w:szCs w:val="24"/>
          <w:lang w:eastAsia="ru-RU"/>
        </w:rPr>
        <w:t>Процедура оценки в рамках данного подхода основывается на сравнении объекта оценки с сопоставимыми объектами, которые были недавно проданы или включены в листинг на продажу, с внесением корректировок по тем параметрам, в отношении которых объекты отличаются друг от друга. Данные параметры носят название элементов сравнения и выступают ценообразующими факторами объектов-аналогов и объектов оценки.</w:t>
      </w:r>
    </w:p>
    <w:p w14:paraId="3273CDA0" w14:textId="52457E02" w:rsidR="0000065A" w:rsidRDefault="0000065A" w:rsidP="0000065A">
      <w:pPr>
        <w:widowControl w:val="0"/>
        <w:ind w:firstLine="720"/>
        <w:rPr>
          <w:rFonts w:eastAsia="Times New Roman" w:cs="Times New Roman"/>
          <w:szCs w:val="24"/>
          <w:lang w:eastAsia="ru-RU"/>
        </w:rPr>
      </w:pPr>
    </w:p>
    <w:p w14:paraId="4920F60C" w14:textId="5D5AB940" w:rsidR="00C46C59" w:rsidRPr="00E07359" w:rsidRDefault="00C46C59" w:rsidP="00FD2769">
      <w:pPr>
        <w:pStyle w:val="3"/>
        <w:rPr>
          <w:rFonts w:eastAsia="Times New Roman"/>
          <w:lang w:eastAsia="ru-RU"/>
        </w:rPr>
      </w:pPr>
      <w:bookmarkStart w:id="106" w:name="_Toc14819115"/>
      <w:r w:rsidRPr="00E07359">
        <w:rPr>
          <w:rFonts w:eastAsia="Times New Roman"/>
          <w:lang w:eastAsia="ru-RU"/>
        </w:rPr>
        <w:t>Применительность подходов к оценке и обоснование выбора методов оценки.</w:t>
      </w:r>
      <w:bookmarkEnd w:id="106"/>
    </w:p>
    <w:p w14:paraId="0CFAB546" w14:textId="77777777" w:rsidR="0000065A" w:rsidRPr="0000065A" w:rsidRDefault="0000065A" w:rsidP="0000065A">
      <w:pPr>
        <w:widowControl w:val="0"/>
        <w:ind w:firstLine="720"/>
        <w:rPr>
          <w:rFonts w:eastAsia="Times New Roman" w:cs="Times New Roman"/>
          <w:szCs w:val="24"/>
          <w:lang w:eastAsia="ru-RU"/>
        </w:rPr>
      </w:pPr>
      <w:r w:rsidRPr="0000065A">
        <w:rPr>
          <w:rFonts w:eastAsia="Times New Roman" w:cs="Times New Roman"/>
          <w:szCs w:val="24"/>
          <w:lang w:eastAsia="ru-RU"/>
        </w:rPr>
        <w:t xml:space="preserve">Выбор подхода или обоснованный отказ от его использования осуществляется исходя из особенностей вида разрешенного использования, назначения объектов оценки, а также достаточности и достоверности располагаемой рыночной информации.  </w:t>
      </w:r>
    </w:p>
    <w:p w14:paraId="0908F069" w14:textId="77777777" w:rsidR="0000065A" w:rsidRPr="0000065A" w:rsidRDefault="0000065A" w:rsidP="0000065A">
      <w:pPr>
        <w:widowControl w:val="0"/>
        <w:ind w:firstLine="720"/>
        <w:rPr>
          <w:rFonts w:eastAsia="Times New Roman" w:cs="Times New Roman"/>
          <w:szCs w:val="24"/>
          <w:lang w:eastAsia="ru-RU"/>
        </w:rPr>
      </w:pPr>
      <w:r w:rsidRPr="0000065A">
        <w:rPr>
          <w:rFonts w:eastAsia="Times New Roman" w:cs="Times New Roman"/>
          <w:szCs w:val="24"/>
          <w:lang w:eastAsia="ru-RU"/>
        </w:rPr>
        <w:t xml:space="preserve">В соответствии с пп. 7.1.1. Методических указаний сравнительный подход основан на сравнении цен сделок (предложений) по аналогичным объектам недвижимости. Сравнительному подходу отдается предпочтение перед другими подходами к оценке при развитости рынка объектов недвижимости и при достаточности и репрезентативности информации о сделках (предложениях) с объектами недвижимости. </w:t>
      </w:r>
    </w:p>
    <w:p w14:paraId="36FBA58A" w14:textId="77777777" w:rsidR="0000065A" w:rsidRPr="0000065A" w:rsidRDefault="0000065A" w:rsidP="0000065A">
      <w:pPr>
        <w:widowControl w:val="0"/>
        <w:ind w:firstLine="720"/>
        <w:rPr>
          <w:rFonts w:eastAsia="Times New Roman" w:cs="Times New Roman"/>
          <w:szCs w:val="24"/>
          <w:lang w:eastAsia="ru-RU"/>
        </w:rPr>
      </w:pPr>
      <w:r w:rsidRPr="0000065A">
        <w:rPr>
          <w:rFonts w:eastAsia="Times New Roman" w:cs="Times New Roman"/>
          <w:szCs w:val="24"/>
          <w:lang w:eastAsia="ru-RU"/>
        </w:rPr>
        <w:t>В рамках объектов жилой недвижимости (жилые помещения в многоквартирных домах), а также индивидуальных гаражей рынок недвижимости можно считать развитым, наличие развитого и прозрачного рынка, а также наличие информации в достаточном количестве делает применение данного подхода для указанной группы обоснованным.</w:t>
      </w:r>
    </w:p>
    <w:p w14:paraId="6F0A7E37" w14:textId="77777777" w:rsidR="0000065A" w:rsidRPr="0000065A" w:rsidRDefault="0000065A" w:rsidP="0000065A">
      <w:pPr>
        <w:widowControl w:val="0"/>
        <w:ind w:firstLine="720"/>
        <w:rPr>
          <w:rFonts w:eastAsia="Times New Roman" w:cs="Times New Roman"/>
          <w:szCs w:val="24"/>
          <w:lang w:eastAsia="ru-RU"/>
        </w:rPr>
      </w:pPr>
      <w:r w:rsidRPr="0000065A">
        <w:rPr>
          <w:rFonts w:eastAsia="Times New Roman" w:cs="Times New Roman"/>
          <w:szCs w:val="24"/>
          <w:lang w:eastAsia="ru-RU"/>
        </w:rPr>
        <w:t>В соответствии с пп. 7.1.2. Методических указаний затратный подход основан на определении затрат, необходимых для приобретения, воспроизводства или замещения объекта недвижимости. Затратный подход используется при определении кадастровой стоимости объектов капитального строительства.</w:t>
      </w:r>
    </w:p>
    <w:p w14:paraId="0098F115" w14:textId="77777777" w:rsidR="0000065A" w:rsidRPr="0000065A" w:rsidRDefault="0000065A" w:rsidP="0000065A">
      <w:pPr>
        <w:widowControl w:val="0"/>
        <w:ind w:firstLine="720"/>
        <w:rPr>
          <w:rFonts w:eastAsia="Times New Roman" w:cs="Times New Roman"/>
          <w:szCs w:val="24"/>
          <w:lang w:eastAsia="ru-RU"/>
        </w:rPr>
      </w:pPr>
      <w:r w:rsidRPr="0000065A">
        <w:rPr>
          <w:rFonts w:eastAsia="Times New Roman" w:cs="Times New Roman"/>
          <w:szCs w:val="24"/>
          <w:lang w:eastAsia="ru-RU"/>
        </w:rPr>
        <w:t>В соответствии с пп. 8.5. Методических указаний оценка сооружений преимущественно проводится с использованием затратного подхода. Возможно использование доходного и сравнительного подходов, однако при этом следует учитывать возможное влияние на результат расчета в том числе движимого имущества, а также объектов, которые могут быть самостоятельными объектами кадастрового учета, в том числе земельных участков.</w:t>
      </w:r>
    </w:p>
    <w:p w14:paraId="066551BA" w14:textId="77777777" w:rsidR="0000065A" w:rsidRPr="0000065A" w:rsidRDefault="0000065A" w:rsidP="0000065A">
      <w:pPr>
        <w:widowControl w:val="0"/>
        <w:ind w:firstLine="720"/>
        <w:rPr>
          <w:rFonts w:eastAsia="Times New Roman" w:cs="Times New Roman"/>
          <w:szCs w:val="24"/>
          <w:lang w:eastAsia="ru-RU"/>
        </w:rPr>
      </w:pPr>
      <w:r w:rsidRPr="0000065A">
        <w:rPr>
          <w:rFonts w:eastAsia="Times New Roman" w:cs="Times New Roman"/>
          <w:szCs w:val="24"/>
          <w:lang w:eastAsia="ru-RU"/>
        </w:rPr>
        <w:t xml:space="preserve">В соответствии с пп. 7.1.3. Методических указаний доходный подход основан на определении ожидаемых доходов от использования объектов недвижимости. Доходный подход рекомендуется применять при наличии надежных данных о доходах и расходах по объектам недвижимости, об общей ставке капитализации и (или) ставке дисконтирования. </w:t>
      </w:r>
    </w:p>
    <w:p w14:paraId="77FD0EA8" w14:textId="77777777" w:rsidR="0000065A" w:rsidRPr="0000065A" w:rsidRDefault="0000065A" w:rsidP="0000065A">
      <w:pPr>
        <w:widowControl w:val="0"/>
        <w:ind w:firstLine="720"/>
        <w:rPr>
          <w:rFonts w:eastAsia="Times New Roman" w:cs="Times New Roman"/>
          <w:szCs w:val="24"/>
          <w:lang w:eastAsia="ru-RU"/>
        </w:rPr>
      </w:pPr>
      <w:r w:rsidRPr="0000065A">
        <w:rPr>
          <w:rFonts w:eastAsia="Times New Roman" w:cs="Times New Roman"/>
          <w:szCs w:val="24"/>
          <w:lang w:eastAsia="ru-RU"/>
        </w:rPr>
        <w:t>В связи с тем, что объектами оценки в данном случае выступают объекты капитального строительства без учета прав на земельные участки, на которых они расположены, расчеты в рамках доходного подхода будут являться косвенными (объект капитального строительства не может генерировать доход самостоятельно в отрыве от земельного участка), было принято решение отказаться от его применения во избежание искажения итогового результата.</w:t>
      </w:r>
    </w:p>
    <w:p w14:paraId="4228304F" w14:textId="77777777" w:rsidR="0000065A" w:rsidRPr="0000065A" w:rsidRDefault="0000065A" w:rsidP="0000065A">
      <w:pPr>
        <w:widowControl w:val="0"/>
        <w:ind w:firstLine="720"/>
        <w:rPr>
          <w:rFonts w:eastAsia="Times New Roman" w:cs="Times New Roman"/>
          <w:szCs w:val="24"/>
          <w:lang w:eastAsia="ru-RU"/>
        </w:rPr>
      </w:pPr>
      <w:r w:rsidRPr="0000065A">
        <w:rPr>
          <w:rFonts w:eastAsia="Times New Roman" w:cs="Times New Roman"/>
          <w:szCs w:val="24"/>
          <w:lang w:eastAsia="ru-RU"/>
        </w:rPr>
        <w:t>При выборе подходов были учтены рекомендации по применимости подходов к оценке при определении кадастровой стоимости методами массовой оценки, представленные для целей Методических указаний в Приложении 6 к Методическим указаниям.</w:t>
      </w:r>
    </w:p>
    <w:p w14:paraId="1AD2293C" w14:textId="084D4724" w:rsidR="0000065A" w:rsidRDefault="0000065A" w:rsidP="0000065A">
      <w:pPr>
        <w:widowControl w:val="0"/>
        <w:tabs>
          <w:tab w:val="left" w:pos="567"/>
        </w:tabs>
        <w:ind w:firstLine="709"/>
        <w:jc w:val="center"/>
        <w:rPr>
          <w:rFonts w:eastAsia="Times New Roman" w:cs="Times New Roman"/>
          <w:b/>
          <w:szCs w:val="24"/>
          <w:lang w:eastAsia="ru-RU"/>
        </w:rPr>
      </w:pPr>
    </w:p>
    <w:p w14:paraId="17AEE02F" w14:textId="0855B405" w:rsidR="00A24B55" w:rsidRDefault="00A24B55" w:rsidP="0000065A">
      <w:pPr>
        <w:widowControl w:val="0"/>
        <w:tabs>
          <w:tab w:val="left" w:pos="567"/>
        </w:tabs>
        <w:ind w:firstLine="709"/>
        <w:jc w:val="center"/>
        <w:rPr>
          <w:rFonts w:eastAsia="Times New Roman" w:cs="Times New Roman"/>
          <w:b/>
          <w:szCs w:val="24"/>
          <w:lang w:eastAsia="ru-RU"/>
        </w:rPr>
      </w:pPr>
    </w:p>
    <w:p w14:paraId="5AE7E9DF" w14:textId="22187524" w:rsidR="00A24B55" w:rsidRDefault="00A24B55" w:rsidP="0000065A">
      <w:pPr>
        <w:widowControl w:val="0"/>
        <w:tabs>
          <w:tab w:val="left" w:pos="567"/>
        </w:tabs>
        <w:ind w:firstLine="709"/>
        <w:jc w:val="center"/>
        <w:rPr>
          <w:rFonts w:eastAsia="Times New Roman" w:cs="Times New Roman"/>
          <w:b/>
          <w:szCs w:val="24"/>
          <w:lang w:eastAsia="ru-RU"/>
        </w:rPr>
      </w:pPr>
    </w:p>
    <w:p w14:paraId="1F52BD86" w14:textId="604FEC37" w:rsidR="00A24B55" w:rsidRDefault="00A24B55" w:rsidP="0000065A">
      <w:pPr>
        <w:widowControl w:val="0"/>
        <w:tabs>
          <w:tab w:val="left" w:pos="567"/>
        </w:tabs>
        <w:ind w:firstLine="709"/>
        <w:jc w:val="center"/>
        <w:rPr>
          <w:rFonts w:eastAsia="Times New Roman" w:cs="Times New Roman"/>
          <w:b/>
          <w:szCs w:val="24"/>
          <w:lang w:eastAsia="ru-RU"/>
        </w:rPr>
      </w:pPr>
    </w:p>
    <w:p w14:paraId="7525DB9C" w14:textId="77777777" w:rsidR="003C4C7D" w:rsidRDefault="003C4C7D" w:rsidP="0000065A">
      <w:pPr>
        <w:widowControl w:val="0"/>
        <w:tabs>
          <w:tab w:val="left" w:pos="567"/>
        </w:tabs>
        <w:ind w:firstLine="709"/>
        <w:jc w:val="center"/>
        <w:rPr>
          <w:rFonts w:eastAsia="Times New Roman" w:cs="Times New Roman"/>
          <w:b/>
          <w:szCs w:val="24"/>
          <w:lang w:eastAsia="ru-RU"/>
        </w:rPr>
      </w:pPr>
    </w:p>
    <w:p w14:paraId="5BA673A5" w14:textId="77777777" w:rsidR="00A24B55" w:rsidRPr="0000065A" w:rsidRDefault="00A24B55" w:rsidP="0000065A">
      <w:pPr>
        <w:widowControl w:val="0"/>
        <w:tabs>
          <w:tab w:val="left" w:pos="567"/>
        </w:tabs>
        <w:ind w:firstLine="709"/>
        <w:jc w:val="center"/>
        <w:rPr>
          <w:rFonts w:eastAsia="Times New Roman" w:cs="Times New Roman"/>
          <w:b/>
          <w:szCs w:val="24"/>
          <w:lang w:eastAsia="ru-RU"/>
        </w:rPr>
      </w:pPr>
    </w:p>
    <w:p w14:paraId="0B8490CE" w14:textId="30A39E40" w:rsidR="0000065A" w:rsidRPr="0000065A" w:rsidRDefault="0000065A" w:rsidP="0000065A">
      <w:pPr>
        <w:keepNext/>
        <w:widowControl w:val="0"/>
        <w:ind w:firstLine="0"/>
        <w:jc w:val="center"/>
        <w:rPr>
          <w:rFonts w:eastAsia="Times New Roman" w:cs="Times New Roman"/>
          <w:bCs/>
          <w:szCs w:val="24"/>
          <w:lang w:val="x-none" w:eastAsia="x-none"/>
        </w:rPr>
      </w:pPr>
      <w:r w:rsidRPr="0000065A">
        <w:rPr>
          <w:rFonts w:eastAsia="Times New Roman" w:cs="Times New Roman"/>
          <w:bCs/>
          <w:i/>
          <w:szCs w:val="24"/>
          <w:lang w:val="x-none" w:eastAsia="x-none"/>
        </w:rPr>
        <w:t xml:space="preserve">Таблица </w:t>
      </w:r>
      <w:r w:rsidRPr="0000065A">
        <w:rPr>
          <w:rFonts w:eastAsia="Times New Roman" w:cs="Times New Roman"/>
          <w:bCs/>
          <w:i/>
          <w:szCs w:val="24"/>
          <w:lang w:val="x-none" w:eastAsia="x-none"/>
        </w:rPr>
        <w:fldChar w:fldCharType="begin"/>
      </w:r>
      <w:r w:rsidRPr="0000065A">
        <w:rPr>
          <w:rFonts w:eastAsia="Times New Roman" w:cs="Times New Roman"/>
          <w:bCs/>
          <w:i/>
          <w:szCs w:val="24"/>
          <w:lang w:val="x-none" w:eastAsia="x-none"/>
        </w:rPr>
        <w:instrText xml:space="preserve"> SEQ Таблица \* ARABIC </w:instrText>
      </w:r>
      <w:r w:rsidRPr="0000065A">
        <w:rPr>
          <w:rFonts w:eastAsia="Times New Roman" w:cs="Times New Roman"/>
          <w:bCs/>
          <w:i/>
          <w:szCs w:val="24"/>
          <w:lang w:val="x-none" w:eastAsia="x-none"/>
        </w:rPr>
        <w:fldChar w:fldCharType="separate"/>
      </w:r>
      <w:r w:rsidR="00FD2769">
        <w:rPr>
          <w:rFonts w:eastAsia="Times New Roman" w:cs="Times New Roman"/>
          <w:bCs/>
          <w:i/>
          <w:noProof/>
          <w:szCs w:val="24"/>
          <w:lang w:val="x-none" w:eastAsia="x-none"/>
        </w:rPr>
        <w:t>45</w:t>
      </w:r>
      <w:r w:rsidRPr="0000065A">
        <w:rPr>
          <w:rFonts w:eastAsia="Times New Roman" w:cs="Times New Roman"/>
          <w:bCs/>
          <w:i/>
          <w:noProof/>
          <w:szCs w:val="24"/>
          <w:lang w:val="x-none" w:eastAsia="x-none"/>
        </w:rPr>
        <w:fldChar w:fldCharType="end"/>
      </w:r>
      <w:r w:rsidRPr="0000065A">
        <w:rPr>
          <w:rFonts w:eastAsia="Times New Roman" w:cs="Times New Roman"/>
          <w:bCs/>
          <w:i/>
          <w:szCs w:val="24"/>
          <w:lang w:eastAsia="x-none"/>
        </w:rPr>
        <w:t xml:space="preserve"> </w:t>
      </w:r>
      <w:r w:rsidRPr="0000065A">
        <w:rPr>
          <w:rFonts w:eastAsia="Times New Roman" w:cs="Times New Roman"/>
          <w:bCs/>
          <w:szCs w:val="24"/>
          <w:lang w:val="x-none" w:eastAsia="x-none"/>
        </w:rPr>
        <w:t>Рекомендации по применимости подходов для целей определения кадастровой стоимости</w:t>
      </w:r>
    </w:p>
    <w:tbl>
      <w:tblPr>
        <w:tblW w:w="4999"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10" w:type="dxa"/>
          <w:right w:w="10" w:type="dxa"/>
        </w:tblCellMar>
        <w:tblLook w:val="0000" w:firstRow="0" w:lastRow="0" w:firstColumn="0" w:lastColumn="0" w:noHBand="0" w:noVBand="0"/>
      </w:tblPr>
      <w:tblGrid>
        <w:gridCol w:w="5861"/>
        <w:gridCol w:w="1020"/>
        <w:gridCol w:w="1506"/>
        <w:gridCol w:w="946"/>
      </w:tblGrid>
      <w:tr w:rsidR="0000065A" w:rsidRPr="0000065A" w14:paraId="27BAABA2" w14:textId="77777777" w:rsidTr="0000065A">
        <w:trPr>
          <w:trHeight w:val="111"/>
          <w:tblHeader/>
        </w:trPr>
        <w:tc>
          <w:tcPr>
            <w:tcW w:w="3140" w:type="pct"/>
            <w:shd w:val="clear" w:color="auto" w:fill="BFBFBF" w:themeFill="background1" w:themeFillShade="BF"/>
            <w:vAlign w:val="center"/>
          </w:tcPr>
          <w:p w14:paraId="77B3F68A" w14:textId="77777777" w:rsidR="0000065A" w:rsidRPr="0000065A" w:rsidRDefault="0000065A" w:rsidP="0000065A">
            <w:pPr>
              <w:ind w:firstLine="0"/>
              <w:jc w:val="center"/>
              <w:rPr>
                <w:rFonts w:eastAsia="Times New Roman" w:cs="Times New Roman"/>
                <w:b/>
                <w:sz w:val="20"/>
                <w:szCs w:val="20"/>
                <w:lang w:eastAsia="ru-RU"/>
              </w:rPr>
            </w:pPr>
            <w:r w:rsidRPr="0000065A">
              <w:rPr>
                <w:rFonts w:eastAsia="Times New Roman" w:cs="Times New Roman"/>
                <w:b/>
                <w:sz w:val="20"/>
                <w:szCs w:val="20"/>
                <w:lang w:eastAsia="ru-RU"/>
              </w:rPr>
              <w:t>Группа</w:t>
            </w:r>
          </w:p>
        </w:tc>
        <w:tc>
          <w:tcPr>
            <w:tcW w:w="546" w:type="pct"/>
            <w:shd w:val="clear" w:color="auto" w:fill="BFBFBF" w:themeFill="background1" w:themeFillShade="BF"/>
            <w:vAlign w:val="center"/>
          </w:tcPr>
          <w:p w14:paraId="4E0605D1" w14:textId="77777777" w:rsidR="0000065A" w:rsidRPr="0000065A" w:rsidRDefault="0000065A" w:rsidP="0000065A">
            <w:pPr>
              <w:ind w:firstLine="0"/>
              <w:jc w:val="center"/>
              <w:rPr>
                <w:rFonts w:eastAsia="Times New Roman" w:cs="Times New Roman"/>
                <w:b/>
                <w:sz w:val="20"/>
                <w:szCs w:val="20"/>
                <w:lang w:eastAsia="ru-RU"/>
              </w:rPr>
            </w:pPr>
            <w:r w:rsidRPr="0000065A">
              <w:rPr>
                <w:rFonts w:eastAsia="Times New Roman" w:cs="Times New Roman"/>
                <w:b/>
                <w:sz w:val="20"/>
                <w:szCs w:val="20"/>
                <w:lang w:eastAsia="ru-RU"/>
              </w:rPr>
              <w:t xml:space="preserve">Затратный </w:t>
            </w:r>
          </w:p>
          <w:p w14:paraId="5819FC2A" w14:textId="77777777" w:rsidR="0000065A" w:rsidRPr="0000065A" w:rsidRDefault="0000065A" w:rsidP="0000065A">
            <w:pPr>
              <w:ind w:firstLine="0"/>
              <w:jc w:val="center"/>
              <w:rPr>
                <w:rFonts w:eastAsia="Times New Roman" w:cs="Times New Roman"/>
                <w:b/>
                <w:sz w:val="20"/>
                <w:szCs w:val="20"/>
                <w:lang w:eastAsia="ru-RU"/>
              </w:rPr>
            </w:pPr>
            <w:r w:rsidRPr="0000065A">
              <w:rPr>
                <w:rFonts w:eastAsia="Times New Roman" w:cs="Times New Roman"/>
                <w:b/>
                <w:sz w:val="20"/>
                <w:szCs w:val="20"/>
                <w:lang w:eastAsia="ru-RU"/>
              </w:rPr>
              <w:t>подход</w:t>
            </w:r>
          </w:p>
        </w:tc>
        <w:tc>
          <w:tcPr>
            <w:tcW w:w="807" w:type="pct"/>
            <w:shd w:val="clear" w:color="auto" w:fill="BFBFBF" w:themeFill="background1" w:themeFillShade="BF"/>
            <w:vAlign w:val="center"/>
          </w:tcPr>
          <w:p w14:paraId="77EBBDE8" w14:textId="77777777" w:rsidR="0000065A" w:rsidRPr="0000065A" w:rsidRDefault="0000065A" w:rsidP="0000065A">
            <w:pPr>
              <w:ind w:firstLine="0"/>
              <w:jc w:val="center"/>
              <w:rPr>
                <w:rFonts w:eastAsia="Times New Roman" w:cs="Times New Roman"/>
                <w:b/>
                <w:sz w:val="20"/>
                <w:szCs w:val="20"/>
                <w:lang w:eastAsia="ru-RU"/>
              </w:rPr>
            </w:pPr>
            <w:r w:rsidRPr="0000065A">
              <w:rPr>
                <w:rFonts w:eastAsia="Times New Roman" w:cs="Times New Roman"/>
                <w:b/>
                <w:sz w:val="20"/>
                <w:szCs w:val="20"/>
                <w:lang w:eastAsia="ru-RU"/>
              </w:rPr>
              <w:t>Сравнительный подход</w:t>
            </w:r>
          </w:p>
        </w:tc>
        <w:tc>
          <w:tcPr>
            <w:tcW w:w="507" w:type="pct"/>
            <w:shd w:val="clear" w:color="auto" w:fill="BFBFBF" w:themeFill="background1" w:themeFillShade="BF"/>
            <w:vAlign w:val="center"/>
          </w:tcPr>
          <w:p w14:paraId="29E167A4" w14:textId="77777777" w:rsidR="0000065A" w:rsidRPr="0000065A" w:rsidRDefault="0000065A" w:rsidP="0000065A">
            <w:pPr>
              <w:ind w:firstLine="0"/>
              <w:jc w:val="center"/>
              <w:rPr>
                <w:rFonts w:eastAsia="Times New Roman" w:cs="Times New Roman"/>
                <w:b/>
                <w:sz w:val="20"/>
                <w:szCs w:val="20"/>
                <w:lang w:eastAsia="ru-RU"/>
              </w:rPr>
            </w:pPr>
            <w:r w:rsidRPr="0000065A">
              <w:rPr>
                <w:rFonts w:eastAsia="Times New Roman" w:cs="Times New Roman"/>
                <w:b/>
                <w:sz w:val="20"/>
                <w:szCs w:val="20"/>
                <w:lang w:eastAsia="ru-RU"/>
              </w:rPr>
              <w:t xml:space="preserve">Доходный </w:t>
            </w:r>
          </w:p>
          <w:p w14:paraId="4751C9E2" w14:textId="77777777" w:rsidR="0000065A" w:rsidRPr="0000065A" w:rsidRDefault="0000065A" w:rsidP="0000065A">
            <w:pPr>
              <w:ind w:firstLine="0"/>
              <w:jc w:val="center"/>
              <w:rPr>
                <w:rFonts w:eastAsia="Times New Roman" w:cs="Times New Roman"/>
                <w:b/>
                <w:sz w:val="20"/>
                <w:szCs w:val="20"/>
                <w:lang w:eastAsia="ru-RU"/>
              </w:rPr>
            </w:pPr>
            <w:r w:rsidRPr="0000065A">
              <w:rPr>
                <w:rFonts w:eastAsia="Times New Roman" w:cs="Times New Roman"/>
                <w:b/>
                <w:sz w:val="20"/>
                <w:szCs w:val="20"/>
                <w:lang w:eastAsia="ru-RU"/>
              </w:rPr>
              <w:t>подход</w:t>
            </w:r>
          </w:p>
        </w:tc>
      </w:tr>
      <w:tr w:rsidR="0000065A" w:rsidRPr="0000065A" w14:paraId="1036465B" w14:textId="77777777" w:rsidTr="0000065A">
        <w:trPr>
          <w:trHeight w:val="176"/>
        </w:trPr>
        <w:tc>
          <w:tcPr>
            <w:tcW w:w="5000" w:type="pct"/>
            <w:gridSpan w:val="4"/>
            <w:shd w:val="clear" w:color="auto" w:fill="FFFFFF"/>
            <w:vAlign w:val="center"/>
          </w:tcPr>
          <w:p w14:paraId="3F573919" w14:textId="77777777" w:rsidR="0000065A" w:rsidRPr="0000065A" w:rsidRDefault="0000065A" w:rsidP="0000065A">
            <w:pPr>
              <w:widowControl w:val="0"/>
              <w:ind w:firstLine="0"/>
              <w:jc w:val="center"/>
              <w:rPr>
                <w:rFonts w:eastAsia="Times New Roman" w:cs="Times New Roman"/>
                <w:color w:val="000000"/>
                <w:sz w:val="20"/>
                <w:szCs w:val="20"/>
                <w:lang w:eastAsia="ru-RU"/>
              </w:rPr>
            </w:pPr>
            <w:r w:rsidRPr="0000065A">
              <w:rPr>
                <w:rFonts w:eastAsia="Times New Roman" w:cs="Times New Roman"/>
                <w:b/>
                <w:sz w:val="20"/>
                <w:szCs w:val="20"/>
                <w:lang w:eastAsia="ru-RU"/>
              </w:rPr>
              <w:t>Объекты капитального строительства</w:t>
            </w:r>
          </w:p>
        </w:tc>
      </w:tr>
      <w:tr w:rsidR="0000065A" w:rsidRPr="0000065A" w14:paraId="12EB02F1" w14:textId="77777777" w:rsidTr="0000065A">
        <w:trPr>
          <w:trHeight w:val="175"/>
        </w:trPr>
        <w:tc>
          <w:tcPr>
            <w:tcW w:w="3140" w:type="pct"/>
            <w:shd w:val="clear" w:color="auto" w:fill="FFFFFF"/>
          </w:tcPr>
          <w:p w14:paraId="0D35D579" w14:textId="77777777" w:rsidR="0000065A" w:rsidRPr="0000065A" w:rsidRDefault="0000065A" w:rsidP="0000065A">
            <w:pPr>
              <w:widowControl w:val="0"/>
              <w:ind w:right="133" w:firstLine="0"/>
              <w:jc w:val="left"/>
              <w:rPr>
                <w:rFonts w:eastAsia="Times New Roman" w:cs="Times New Roman"/>
                <w:sz w:val="20"/>
                <w:szCs w:val="20"/>
                <w:lang w:eastAsia="ru-RU"/>
              </w:rPr>
            </w:pPr>
            <w:r w:rsidRPr="0000065A">
              <w:rPr>
                <w:rFonts w:eastAsia="Times New Roman" w:cs="Times New Roman"/>
                <w:sz w:val="20"/>
                <w:szCs w:val="20"/>
                <w:lang w:eastAsia="ru-RU"/>
              </w:rPr>
              <w:t>1. Многоквартирные дома (дома средне- и многоэтажной жилой застройки)</w:t>
            </w:r>
          </w:p>
        </w:tc>
        <w:tc>
          <w:tcPr>
            <w:tcW w:w="546" w:type="pct"/>
            <w:shd w:val="clear" w:color="auto" w:fill="FFFFFF"/>
            <w:vAlign w:val="center"/>
          </w:tcPr>
          <w:p w14:paraId="654B3036" w14:textId="77777777" w:rsidR="0000065A" w:rsidRPr="0000065A" w:rsidRDefault="0000065A" w:rsidP="0000065A">
            <w:pPr>
              <w:widowControl w:val="0"/>
              <w:ind w:firstLine="0"/>
              <w:jc w:val="center"/>
              <w:rPr>
                <w:rFonts w:eastAsia="Times New Roman" w:cs="Times New Roman"/>
                <w:sz w:val="20"/>
                <w:szCs w:val="20"/>
                <w:lang w:eastAsia="ru-RU"/>
              </w:rPr>
            </w:pPr>
            <w:r w:rsidRPr="0000065A">
              <w:rPr>
                <w:rFonts w:eastAsia="Times New Roman" w:cs="Times New Roman"/>
                <w:sz w:val="20"/>
                <w:szCs w:val="20"/>
                <w:lang w:eastAsia="ru-RU"/>
              </w:rPr>
              <w:t>1</w:t>
            </w:r>
          </w:p>
        </w:tc>
        <w:tc>
          <w:tcPr>
            <w:tcW w:w="807" w:type="pct"/>
            <w:shd w:val="clear" w:color="auto" w:fill="FFFFFF"/>
            <w:vAlign w:val="center"/>
          </w:tcPr>
          <w:p w14:paraId="10857CBC" w14:textId="77777777" w:rsidR="0000065A" w:rsidRPr="0000065A" w:rsidRDefault="0000065A" w:rsidP="0000065A">
            <w:pPr>
              <w:widowControl w:val="0"/>
              <w:ind w:firstLine="0"/>
              <w:jc w:val="center"/>
              <w:rPr>
                <w:rFonts w:eastAsia="Times New Roman" w:cs="Times New Roman"/>
                <w:sz w:val="20"/>
                <w:szCs w:val="20"/>
                <w:lang w:eastAsia="ru-RU"/>
              </w:rPr>
            </w:pPr>
            <w:r w:rsidRPr="0000065A">
              <w:rPr>
                <w:rFonts w:eastAsia="Times New Roman" w:cs="Times New Roman"/>
                <w:sz w:val="20"/>
                <w:szCs w:val="20"/>
                <w:lang w:eastAsia="ru-RU"/>
              </w:rPr>
              <w:t>2,3</w:t>
            </w:r>
          </w:p>
        </w:tc>
        <w:tc>
          <w:tcPr>
            <w:tcW w:w="507" w:type="pct"/>
            <w:shd w:val="clear" w:color="auto" w:fill="FFFFFF"/>
            <w:vAlign w:val="center"/>
          </w:tcPr>
          <w:p w14:paraId="6C0EE819" w14:textId="77777777" w:rsidR="0000065A" w:rsidRPr="0000065A" w:rsidRDefault="0000065A" w:rsidP="0000065A">
            <w:pPr>
              <w:widowControl w:val="0"/>
              <w:ind w:firstLine="0"/>
              <w:jc w:val="center"/>
              <w:rPr>
                <w:rFonts w:eastAsia="Times New Roman" w:cs="Times New Roman"/>
                <w:sz w:val="20"/>
                <w:szCs w:val="20"/>
                <w:lang w:eastAsia="ru-RU"/>
              </w:rPr>
            </w:pPr>
            <w:r w:rsidRPr="0000065A">
              <w:rPr>
                <w:rFonts w:eastAsia="Times New Roman" w:cs="Times New Roman"/>
                <w:sz w:val="20"/>
                <w:szCs w:val="20"/>
                <w:lang w:eastAsia="ru-RU"/>
              </w:rPr>
              <w:t>2,3</w:t>
            </w:r>
          </w:p>
        </w:tc>
      </w:tr>
      <w:tr w:rsidR="0000065A" w:rsidRPr="0000065A" w14:paraId="165EFE89" w14:textId="77777777" w:rsidTr="0000065A">
        <w:trPr>
          <w:trHeight w:val="175"/>
        </w:trPr>
        <w:tc>
          <w:tcPr>
            <w:tcW w:w="3140" w:type="pct"/>
            <w:shd w:val="clear" w:color="auto" w:fill="FFFFFF"/>
          </w:tcPr>
          <w:p w14:paraId="5CDC94C4" w14:textId="77777777" w:rsidR="0000065A" w:rsidRPr="0000065A" w:rsidRDefault="0000065A" w:rsidP="0000065A">
            <w:pPr>
              <w:widowControl w:val="0"/>
              <w:ind w:right="133" w:firstLine="0"/>
              <w:jc w:val="left"/>
              <w:rPr>
                <w:rFonts w:eastAsia="Times New Roman" w:cs="Times New Roman"/>
                <w:sz w:val="20"/>
                <w:szCs w:val="20"/>
                <w:lang w:eastAsia="ru-RU"/>
              </w:rPr>
            </w:pPr>
            <w:r w:rsidRPr="0000065A">
              <w:rPr>
                <w:rFonts w:eastAsia="Times New Roman" w:cs="Times New Roman"/>
                <w:sz w:val="20"/>
                <w:szCs w:val="20"/>
                <w:lang w:eastAsia="ru-RU"/>
              </w:rPr>
              <w:t>2. Дома малоэтажной жилой застройки (до 3-х этажей включительно), в том числе индивидуальной жилой застройки - индивидуальные, малоэтажные блокированные (таунхаусы), дачных объединений, садоводческих товариществ</w:t>
            </w:r>
          </w:p>
        </w:tc>
        <w:tc>
          <w:tcPr>
            <w:tcW w:w="546" w:type="pct"/>
            <w:shd w:val="clear" w:color="auto" w:fill="FFFFFF"/>
            <w:vAlign w:val="center"/>
          </w:tcPr>
          <w:p w14:paraId="15440C68" w14:textId="77777777" w:rsidR="0000065A" w:rsidRPr="0000065A" w:rsidRDefault="0000065A" w:rsidP="0000065A">
            <w:pPr>
              <w:widowControl w:val="0"/>
              <w:ind w:firstLine="0"/>
              <w:jc w:val="center"/>
              <w:rPr>
                <w:rFonts w:eastAsia="Times New Roman" w:cs="Times New Roman"/>
                <w:sz w:val="20"/>
                <w:szCs w:val="20"/>
                <w:lang w:eastAsia="ru-RU"/>
              </w:rPr>
            </w:pPr>
            <w:r w:rsidRPr="0000065A">
              <w:rPr>
                <w:rFonts w:eastAsia="Times New Roman" w:cs="Times New Roman"/>
                <w:sz w:val="20"/>
                <w:szCs w:val="20"/>
                <w:lang w:eastAsia="ru-RU"/>
              </w:rPr>
              <w:t>1</w:t>
            </w:r>
          </w:p>
        </w:tc>
        <w:tc>
          <w:tcPr>
            <w:tcW w:w="807" w:type="pct"/>
            <w:shd w:val="clear" w:color="auto" w:fill="FFFFFF"/>
            <w:vAlign w:val="center"/>
          </w:tcPr>
          <w:p w14:paraId="6E9CA627" w14:textId="77777777" w:rsidR="0000065A" w:rsidRPr="0000065A" w:rsidRDefault="0000065A" w:rsidP="0000065A">
            <w:pPr>
              <w:widowControl w:val="0"/>
              <w:ind w:firstLine="0"/>
              <w:jc w:val="center"/>
              <w:rPr>
                <w:rFonts w:eastAsia="Times New Roman" w:cs="Times New Roman"/>
                <w:sz w:val="20"/>
                <w:szCs w:val="20"/>
                <w:lang w:eastAsia="ru-RU"/>
              </w:rPr>
            </w:pPr>
            <w:r w:rsidRPr="0000065A">
              <w:rPr>
                <w:rFonts w:eastAsia="Times New Roman" w:cs="Times New Roman"/>
                <w:sz w:val="20"/>
                <w:szCs w:val="20"/>
                <w:lang w:eastAsia="ru-RU"/>
              </w:rPr>
              <w:t>2,3</w:t>
            </w:r>
          </w:p>
        </w:tc>
        <w:tc>
          <w:tcPr>
            <w:tcW w:w="507" w:type="pct"/>
            <w:shd w:val="clear" w:color="auto" w:fill="FFFFFF"/>
            <w:vAlign w:val="center"/>
          </w:tcPr>
          <w:p w14:paraId="0A9F251A" w14:textId="77777777" w:rsidR="0000065A" w:rsidRPr="0000065A" w:rsidRDefault="0000065A" w:rsidP="0000065A">
            <w:pPr>
              <w:widowControl w:val="0"/>
              <w:ind w:firstLine="0"/>
              <w:jc w:val="center"/>
              <w:rPr>
                <w:rFonts w:eastAsia="Times New Roman" w:cs="Times New Roman"/>
                <w:sz w:val="20"/>
                <w:szCs w:val="20"/>
                <w:lang w:eastAsia="ru-RU"/>
              </w:rPr>
            </w:pPr>
            <w:r w:rsidRPr="0000065A">
              <w:rPr>
                <w:rFonts w:eastAsia="Times New Roman" w:cs="Times New Roman"/>
                <w:sz w:val="20"/>
                <w:szCs w:val="20"/>
                <w:lang w:eastAsia="ru-RU"/>
              </w:rPr>
              <w:t>2,3</w:t>
            </w:r>
          </w:p>
        </w:tc>
      </w:tr>
      <w:tr w:rsidR="0000065A" w:rsidRPr="0000065A" w14:paraId="0C51BAB7" w14:textId="77777777" w:rsidTr="0000065A">
        <w:trPr>
          <w:trHeight w:val="175"/>
        </w:trPr>
        <w:tc>
          <w:tcPr>
            <w:tcW w:w="3140" w:type="pct"/>
            <w:shd w:val="clear" w:color="auto" w:fill="FFFFFF"/>
          </w:tcPr>
          <w:p w14:paraId="55578810" w14:textId="77777777" w:rsidR="0000065A" w:rsidRPr="0000065A" w:rsidRDefault="0000065A" w:rsidP="0000065A">
            <w:pPr>
              <w:widowControl w:val="0"/>
              <w:ind w:right="133" w:firstLine="0"/>
              <w:jc w:val="left"/>
              <w:rPr>
                <w:rFonts w:eastAsia="Times New Roman" w:cs="Times New Roman"/>
                <w:sz w:val="20"/>
                <w:szCs w:val="20"/>
                <w:lang w:eastAsia="ru-RU"/>
              </w:rPr>
            </w:pPr>
            <w:r w:rsidRPr="0000065A">
              <w:rPr>
                <w:rFonts w:eastAsia="Times New Roman" w:cs="Times New Roman"/>
                <w:sz w:val="20"/>
                <w:szCs w:val="20"/>
                <w:lang w:eastAsia="ru-RU"/>
              </w:rPr>
              <w:t>3. Объекты транспорта, за исключением линейных объектов и сооружений</w:t>
            </w:r>
          </w:p>
        </w:tc>
        <w:tc>
          <w:tcPr>
            <w:tcW w:w="546" w:type="pct"/>
            <w:shd w:val="clear" w:color="auto" w:fill="FFFFFF"/>
            <w:vAlign w:val="center"/>
          </w:tcPr>
          <w:p w14:paraId="1A0BB3CB" w14:textId="77777777" w:rsidR="0000065A" w:rsidRPr="0000065A" w:rsidRDefault="0000065A" w:rsidP="0000065A">
            <w:pPr>
              <w:widowControl w:val="0"/>
              <w:ind w:firstLine="0"/>
              <w:jc w:val="center"/>
              <w:rPr>
                <w:rFonts w:eastAsia="Times New Roman" w:cs="Times New Roman"/>
                <w:sz w:val="20"/>
                <w:szCs w:val="20"/>
                <w:lang w:eastAsia="ru-RU"/>
              </w:rPr>
            </w:pPr>
            <w:r w:rsidRPr="0000065A">
              <w:rPr>
                <w:rFonts w:eastAsia="Times New Roman" w:cs="Times New Roman"/>
                <w:sz w:val="20"/>
                <w:szCs w:val="20"/>
                <w:lang w:eastAsia="ru-RU"/>
              </w:rPr>
              <w:t>1</w:t>
            </w:r>
          </w:p>
        </w:tc>
        <w:tc>
          <w:tcPr>
            <w:tcW w:w="807" w:type="pct"/>
            <w:shd w:val="clear" w:color="auto" w:fill="FFFFFF"/>
            <w:vAlign w:val="center"/>
          </w:tcPr>
          <w:p w14:paraId="4DFD2E63" w14:textId="77777777" w:rsidR="0000065A" w:rsidRPr="0000065A" w:rsidRDefault="0000065A" w:rsidP="0000065A">
            <w:pPr>
              <w:widowControl w:val="0"/>
              <w:ind w:firstLine="0"/>
              <w:jc w:val="center"/>
              <w:rPr>
                <w:rFonts w:eastAsia="Times New Roman" w:cs="Times New Roman"/>
                <w:sz w:val="20"/>
                <w:szCs w:val="20"/>
                <w:lang w:eastAsia="ru-RU"/>
              </w:rPr>
            </w:pPr>
            <w:r w:rsidRPr="0000065A">
              <w:rPr>
                <w:rFonts w:eastAsia="Times New Roman" w:cs="Times New Roman"/>
                <w:sz w:val="20"/>
                <w:szCs w:val="20"/>
                <w:lang w:eastAsia="ru-RU"/>
              </w:rPr>
              <w:t>2,3</w:t>
            </w:r>
          </w:p>
        </w:tc>
        <w:tc>
          <w:tcPr>
            <w:tcW w:w="507" w:type="pct"/>
            <w:shd w:val="clear" w:color="auto" w:fill="FFFFFF"/>
            <w:vAlign w:val="center"/>
          </w:tcPr>
          <w:p w14:paraId="04E97C49" w14:textId="77777777" w:rsidR="0000065A" w:rsidRPr="0000065A" w:rsidRDefault="0000065A" w:rsidP="0000065A">
            <w:pPr>
              <w:widowControl w:val="0"/>
              <w:ind w:firstLine="0"/>
              <w:jc w:val="center"/>
              <w:rPr>
                <w:rFonts w:eastAsia="Times New Roman" w:cs="Times New Roman"/>
                <w:sz w:val="20"/>
                <w:szCs w:val="20"/>
                <w:lang w:eastAsia="ru-RU"/>
              </w:rPr>
            </w:pPr>
            <w:r w:rsidRPr="0000065A">
              <w:rPr>
                <w:rFonts w:eastAsia="Times New Roman" w:cs="Times New Roman"/>
                <w:sz w:val="20"/>
                <w:szCs w:val="20"/>
                <w:lang w:eastAsia="ru-RU"/>
              </w:rPr>
              <w:t>2,3</w:t>
            </w:r>
          </w:p>
        </w:tc>
      </w:tr>
      <w:tr w:rsidR="0000065A" w:rsidRPr="0000065A" w14:paraId="22DEBE3D" w14:textId="77777777" w:rsidTr="0000065A">
        <w:trPr>
          <w:trHeight w:val="175"/>
        </w:trPr>
        <w:tc>
          <w:tcPr>
            <w:tcW w:w="3140" w:type="pct"/>
            <w:shd w:val="clear" w:color="auto" w:fill="FFFFFF"/>
          </w:tcPr>
          <w:p w14:paraId="3674A8D1" w14:textId="77777777" w:rsidR="0000065A" w:rsidRPr="0000065A" w:rsidRDefault="0000065A" w:rsidP="0000065A">
            <w:pPr>
              <w:widowControl w:val="0"/>
              <w:ind w:right="133" w:firstLine="0"/>
              <w:jc w:val="left"/>
              <w:rPr>
                <w:rFonts w:eastAsia="Times New Roman" w:cs="Times New Roman"/>
                <w:sz w:val="20"/>
                <w:szCs w:val="20"/>
                <w:lang w:eastAsia="ru-RU"/>
              </w:rPr>
            </w:pPr>
            <w:r w:rsidRPr="0000065A">
              <w:rPr>
                <w:rFonts w:eastAsia="Times New Roman" w:cs="Times New Roman"/>
                <w:sz w:val="20"/>
                <w:szCs w:val="20"/>
                <w:lang w:eastAsia="ru-RU"/>
              </w:rPr>
              <w:t xml:space="preserve">4. Торговые, торгово-сервисные и торгово-развлекательные объекты, объекты </w:t>
            </w:r>
          </w:p>
          <w:p w14:paraId="347D2574" w14:textId="77777777" w:rsidR="0000065A" w:rsidRPr="0000065A" w:rsidRDefault="0000065A" w:rsidP="0000065A">
            <w:pPr>
              <w:widowControl w:val="0"/>
              <w:ind w:right="133" w:firstLine="0"/>
              <w:jc w:val="left"/>
              <w:rPr>
                <w:rFonts w:eastAsia="Times New Roman" w:cs="Times New Roman"/>
                <w:sz w:val="20"/>
                <w:szCs w:val="20"/>
                <w:lang w:eastAsia="ru-RU"/>
              </w:rPr>
            </w:pPr>
            <w:r w:rsidRPr="0000065A">
              <w:rPr>
                <w:rFonts w:eastAsia="Times New Roman" w:cs="Times New Roman"/>
                <w:sz w:val="20"/>
                <w:szCs w:val="20"/>
                <w:lang w:eastAsia="ru-RU"/>
              </w:rPr>
              <w:t>общепита, заправочные станции</w:t>
            </w:r>
          </w:p>
        </w:tc>
        <w:tc>
          <w:tcPr>
            <w:tcW w:w="546" w:type="pct"/>
            <w:shd w:val="clear" w:color="auto" w:fill="FFFFFF"/>
            <w:vAlign w:val="center"/>
          </w:tcPr>
          <w:p w14:paraId="4012B094" w14:textId="77777777" w:rsidR="0000065A" w:rsidRPr="0000065A" w:rsidRDefault="0000065A" w:rsidP="0000065A">
            <w:pPr>
              <w:widowControl w:val="0"/>
              <w:ind w:firstLine="0"/>
              <w:jc w:val="center"/>
              <w:rPr>
                <w:rFonts w:eastAsia="Times New Roman" w:cs="Times New Roman"/>
                <w:sz w:val="20"/>
                <w:szCs w:val="20"/>
                <w:lang w:eastAsia="ru-RU"/>
              </w:rPr>
            </w:pPr>
            <w:r w:rsidRPr="0000065A">
              <w:rPr>
                <w:rFonts w:eastAsia="Times New Roman" w:cs="Times New Roman"/>
                <w:sz w:val="20"/>
                <w:szCs w:val="20"/>
                <w:lang w:eastAsia="ru-RU"/>
              </w:rPr>
              <w:t>1</w:t>
            </w:r>
          </w:p>
        </w:tc>
        <w:tc>
          <w:tcPr>
            <w:tcW w:w="807" w:type="pct"/>
            <w:shd w:val="clear" w:color="auto" w:fill="FFFFFF"/>
            <w:vAlign w:val="center"/>
          </w:tcPr>
          <w:p w14:paraId="280CE4A6" w14:textId="77777777" w:rsidR="0000065A" w:rsidRPr="0000065A" w:rsidRDefault="0000065A" w:rsidP="0000065A">
            <w:pPr>
              <w:widowControl w:val="0"/>
              <w:ind w:firstLine="0"/>
              <w:jc w:val="center"/>
              <w:rPr>
                <w:rFonts w:eastAsia="Times New Roman" w:cs="Times New Roman"/>
                <w:sz w:val="20"/>
                <w:szCs w:val="20"/>
                <w:lang w:eastAsia="ru-RU"/>
              </w:rPr>
            </w:pPr>
            <w:r w:rsidRPr="0000065A">
              <w:rPr>
                <w:rFonts w:eastAsia="Times New Roman" w:cs="Times New Roman"/>
                <w:sz w:val="20"/>
                <w:szCs w:val="20"/>
                <w:lang w:eastAsia="ru-RU"/>
              </w:rPr>
              <w:t>2,3</w:t>
            </w:r>
          </w:p>
        </w:tc>
        <w:tc>
          <w:tcPr>
            <w:tcW w:w="507" w:type="pct"/>
            <w:shd w:val="clear" w:color="auto" w:fill="FFFFFF"/>
            <w:vAlign w:val="center"/>
          </w:tcPr>
          <w:p w14:paraId="11AC87B4" w14:textId="77777777" w:rsidR="0000065A" w:rsidRPr="0000065A" w:rsidRDefault="0000065A" w:rsidP="0000065A">
            <w:pPr>
              <w:widowControl w:val="0"/>
              <w:ind w:firstLine="0"/>
              <w:jc w:val="center"/>
              <w:rPr>
                <w:rFonts w:eastAsia="Times New Roman" w:cs="Times New Roman"/>
                <w:sz w:val="20"/>
                <w:szCs w:val="20"/>
                <w:lang w:eastAsia="ru-RU"/>
              </w:rPr>
            </w:pPr>
            <w:r w:rsidRPr="0000065A">
              <w:rPr>
                <w:rFonts w:eastAsia="Times New Roman" w:cs="Times New Roman"/>
                <w:sz w:val="20"/>
                <w:szCs w:val="20"/>
                <w:lang w:eastAsia="ru-RU"/>
              </w:rPr>
              <w:t>2,3</w:t>
            </w:r>
          </w:p>
        </w:tc>
      </w:tr>
      <w:tr w:rsidR="0000065A" w:rsidRPr="0000065A" w14:paraId="156B6C94" w14:textId="77777777" w:rsidTr="0000065A">
        <w:trPr>
          <w:trHeight w:val="175"/>
        </w:trPr>
        <w:tc>
          <w:tcPr>
            <w:tcW w:w="3140" w:type="pct"/>
            <w:shd w:val="clear" w:color="auto" w:fill="FFFFFF"/>
          </w:tcPr>
          <w:p w14:paraId="5634E654" w14:textId="77777777" w:rsidR="0000065A" w:rsidRPr="0000065A" w:rsidRDefault="0000065A" w:rsidP="0000065A">
            <w:pPr>
              <w:widowControl w:val="0"/>
              <w:ind w:right="133" w:firstLine="0"/>
              <w:jc w:val="left"/>
              <w:rPr>
                <w:rFonts w:eastAsia="Times New Roman" w:cs="Times New Roman"/>
                <w:sz w:val="20"/>
                <w:szCs w:val="20"/>
                <w:lang w:eastAsia="ru-RU"/>
              </w:rPr>
            </w:pPr>
            <w:r w:rsidRPr="0000065A">
              <w:rPr>
                <w:rFonts w:eastAsia="Times New Roman" w:cs="Times New Roman"/>
                <w:sz w:val="20"/>
                <w:szCs w:val="20"/>
                <w:lang w:eastAsia="ru-RU"/>
              </w:rPr>
              <w:t>5. Объекты временного проживания, включая объекты рекреационно-оздоровительного значения</w:t>
            </w:r>
          </w:p>
        </w:tc>
        <w:tc>
          <w:tcPr>
            <w:tcW w:w="546" w:type="pct"/>
            <w:shd w:val="clear" w:color="auto" w:fill="FFFFFF"/>
            <w:vAlign w:val="center"/>
          </w:tcPr>
          <w:p w14:paraId="4674F8E3" w14:textId="77777777" w:rsidR="0000065A" w:rsidRPr="0000065A" w:rsidRDefault="0000065A" w:rsidP="0000065A">
            <w:pPr>
              <w:widowControl w:val="0"/>
              <w:ind w:firstLine="0"/>
              <w:jc w:val="center"/>
              <w:rPr>
                <w:rFonts w:eastAsia="Times New Roman" w:cs="Times New Roman"/>
                <w:sz w:val="20"/>
                <w:szCs w:val="20"/>
                <w:lang w:eastAsia="ru-RU"/>
              </w:rPr>
            </w:pPr>
            <w:r w:rsidRPr="0000065A">
              <w:rPr>
                <w:rFonts w:eastAsia="Times New Roman" w:cs="Times New Roman"/>
                <w:sz w:val="20"/>
                <w:szCs w:val="20"/>
                <w:lang w:eastAsia="ru-RU"/>
              </w:rPr>
              <w:t>1</w:t>
            </w:r>
          </w:p>
        </w:tc>
        <w:tc>
          <w:tcPr>
            <w:tcW w:w="807" w:type="pct"/>
            <w:shd w:val="clear" w:color="auto" w:fill="FFFFFF"/>
            <w:vAlign w:val="center"/>
          </w:tcPr>
          <w:p w14:paraId="107CE42D" w14:textId="77777777" w:rsidR="0000065A" w:rsidRPr="0000065A" w:rsidRDefault="0000065A" w:rsidP="0000065A">
            <w:pPr>
              <w:widowControl w:val="0"/>
              <w:ind w:firstLine="0"/>
              <w:jc w:val="center"/>
              <w:rPr>
                <w:rFonts w:eastAsia="Times New Roman" w:cs="Times New Roman"/>
                <w:sz w:val="20"/>
                <w:szCs w:val="20"/>
                <w:lang w:eastAsia="ru-RU"/>
              </w:rPr>
            </w:pPr>
            <w:r w:rsidRPr="0000065A">
              <w:rPr>
                <w:rFonts w:eastAsia="Times New Roman" w:cs="Times New Roman"/>
                <w:sz w:val="20"/>
                <w:szCs w:val="20"/>
                <w:lang w:eastAsia="ru-RU"/>
              </w:rPr>
              <w:t>2,3</w:t>
            </w:r>
          </w:p>
        </w:tc>
        <w:tc>
          <w:tcPr>
            <w:tcW w:w="507" w:type="pct"/>
            <w:shd w:val="clear" w:color="auto" w:fill="FFFFFF"/>
            <w:vAlign w:val="center"/>
          </w:tcPr>
          <w:p w14:paraId="224A3F4F" w14:textId="77777777" w:rsidR="0000065A" w:rsidRPr="0000065A" w:rsidRDefault="0000065A" w:rsidP="0000065A">
            <w:pPr>
              <w:widowControl w:val="0"/>
              <w:ind w:firstLine="0"/>
              <w:jc w:val="center"/>
              <w:rPr>
                <w:rFonts w:eastAsia="Times New Roman" w:cs="Times New Roman"/>
                <w:sz w:val="20"/>
                <w:szCs w:val="20"/>
                <w:lang w:eastAsia="ru-RU"/>
              </w:rPr>
            </w:pPr>
            <w:r w:rsidRPr="0000065A">
              <w:rPr>
                <w:rFonts w:eastAsia="Times New Roman" w:cs="Times New Roman"/>
                <w:sz w:val="20"/>
                <w:szCs w:val="20"/>
                <w:lang w:eastAsia="ru-RU"/>
              </w:rPr>
              <w:t>2,3</w:t>
            </w:r>
          </w:p>
        </w:tc>
      </w:tr>
      <w:tr w:rsidR="0000065A" w:rsidRPr="0000065A" w14:paraId="7460FC69" w14:textId="77777777" w:rsidTr="0000065A">
        <w:trPr>
          <w:trHeight w:val="175"/>
        </w:trPr>
        <w:tc>
          <w:tcPr>
            <w:tcW w:w="3140" w:type="pct"/>
            <w:shd w:val="clear" w:color="auto" w:fill="FFFFFF"/>
          </w:tcPr>
          <w:p w14:paraId="55312A0E" w14:textId="77777777" w:rsidR="0000065A" w:rsidRPr="0000065A" w:rsidRDefault="0000065A" w:rsidP="0000065A">
            <w:pPr>
              <w:widowControl w:val="0"/>
              <w:ind w:right="133" w:firstLine="0"/>
              <w:jc w:val="left"/>
              <w:rPr>
                <w:rFonts w:eastAsia="Times New Roman" w:cs="Times New Roman"/>
                <w:sz w:val="20"/>
                <w:szCs w:val="20"/>
                <w:lang w:eastAsia="ru-RU"/>
              </w:rPr>
            </w:pPr>
            <w:r w:rsidRPr="0000065A">
              <w:rPr>
                <w:rFonts w:eastAsia="Times New Roman" w:cs="Times New Roman"/>
                <w:sz w:val="20"/>
                <w:szCs w:val="20"/>
                <w:lang w:eastAsia="ru-RU"/>
              </w:rPr>
              <w:t>6. Административные и бытовые объекты</w:t>
            </w:r>
          </w:p>
        </w:tc>
        <w:tc>
          <w:tcPr>
            <w:tcW w:w="546" w:type="pct"/>
            <w:shd w:val="clear" w:color="auto" w:fill="FFFFFF"/>
            <w:vAlign w:val="center"/>
          </w:tcPr>
          <w:p w14:paraId="5A272F14" w14:textId="77777777" w:rsidR="0000065A" w:rsidRPr="0000065A" w:rsidRDefault="0000065A" w:rsidP="0000065A">
            <w:pPr>
              <w:widowControl w:val="0"/>
              <w:ind w:firstLine="0"/>
              <w:jc w:val="center"/>
              <w:rPr>
                <w:rFonts w:eastAsia="Times New Roman" w:cs="Times New Roman"/>
                <w:sz w:val="20"/>
                <w:szCs w:val="20"/>
                <w:lang w:eastAsia="ru-RU"/>
              </w:rPr>
            </w:pPr>
            <w:r w:rsidRPr="0000065A">
              <w:rPr>
                <w:rFonts w:eastAsia="Times New Roman" w:cs="Times New Roman"/>
                <w:sz w:val="20"/>
                <w:szCs w:val="20"/>
                <w:lang w:eastAsia="ru-RU"/>
              </w:rPr>
              <w:t>1</w:t>
            </w:r>
          </w:p>
        </w:tc>
        <w:tc>
          <w:tcPr>
            <w:tcW w:w="807" w:type="pct"/>
            <w:shd w:val="clear" w:color="auto" w:fill="FFFFFF"/>
            <w:vAlign w:val="center"/>
          </w:tcPr>
          <w:p w14:paraId="2C4603DC" w14:textId="77777777" w:rsidR="0000065A" w:rsidRPr="0000065A" w:rsidRDefault="0000065A" w:rsidP="0000065A">
            <w:pPr>
              <w:widowControl w:val="0"/>
              <w:ind w:firstLine="0"/>
              <w:jc w:val="center"/>
              <w:rPr>
                <w:rFonts w:eastAsia="Times New Roman" w:cs="Times New Roman"/>
                <w:sz w:val="20"/>
                <w:szCs w:val="20"/>
                <w:lang w:eastAsia="ru-RU"/>
              </w:rPr>
            </w:pPr>
            <w:r w:rsidRPr="0000065A">
              <w:rPr>
                <w:rFonts w:eastAsia="Times New Roman" w:cs="Times New Roman"/>
                <w:sz w:val="20"/>
                <w:szCs w:val="20"/>
                <w:lang w:eastAsia="ru-RU"/>
              </w:rPr>
              <w:t>2,3</w:t>
            </w:r>
          </w:p>
        </w:tc>
        <w:tc>
          <w:tcPr>
            <w:tcW w:w="507" w:type="pct"/>
            <w:shd w:val="clear" w:color="auto" w:fill="FFFFFF"/>
            <w:vAlign w:val="center"/>
          </w:tcPr>
          <w:p w14:paraId="150ED07D" w14:textId="77777777" w:rsidR="0000065A" w:rsidRPr="0000065A" w:rsidRDefault="0000065A" w:rsidP="0000065A">
            <w:pPr>
              <w:widowControl w:val="0"/>
              <w:ind w:firstLine="0"/>
              <w:jc w:val="center"/>
              <w:rPr>
                <w:rFonts w:eastAsia="Times New Roman" w:cs="Times New Roman"/>
                <w:sz w:val="20"/>
                <w:szCs w:val="20"/>
                <w:lang w:eastAsia="ru-RU"/>
              </w:rPr>
            </w:pPr>
            <w:r w:rsidRPr="0000065A">
              <w:rPr>
                <w:rFonts w:eastAsia="Times New Roman" w:cs="Times New Roman"/>
                <w:sz w:val="20"/>
                <w:szCs w:val="20"/>
                <w:lang w:eastAsia="ru-RU"/>
              </w:rPr>
              <w:t>2,3</w:t>
            </w:r>
          </w:p>
        </w:tc>
      </w:tr>
      <w:tr w:rsidR="0000065A" w:rsidRPr="0000065A" w14:paraId="51476EAF" w14:textId="77777777" w:rsidTr="0000065A">
        <w:trPr>
          <w:trHeight w:val="175"/>
        </w:trPr>
        <w:tc>
          <w:tcPr>
            <w:tcW w:w="3140" w:type="pct"/>
            <w:shd w:val="clear" w:color="auto" w:fill="FFFFFF"/>
          </w:tcPr>
          <w:p w14:paraId="47C04067" w14:textId="77777777" w:rsidR="0000065A" w:rsidRPr="0000065A" w:rsidRDefault="0000065A" w:rsidP="0000065A">
            <w:pPr>
              <w:widowControl w:val="0"/>
              <w:ind w:right="133" w:firstLine="0"/>
              <w:jc w:val="left"/>
              <w:rPr>
                <w:rFonts w:eastAsia="Times New Roman" w:cs="Times New Roman"/>
                <w:sz w:val="20"/>
                <w:szCs w:val="20"/>
                <w:lang w:eastAsia="ru-RU"/>
              </w:rPr>
            </w:pPr>
            <w:r w:rsidRPr="0000065A">
              <w:rPr>
                <w:rFonts w:eastAsia="Times New Roman" w:cs="Times New Roman"/>
                <w:sz w:val="20"/>
                <w:szCs w:val="20"/>
                <w:lang w:eastAsia="ru-RU"/>
              </w:rPr>
              <w:t xml:space="preserve">7. Объекты производственного, производственно-складского и складского </w:t>
            </w:r>
          </w:p>
          <w:p w14:paraId="35739DCA" w14:textId="77777777" w:rsidR="0000065A" w:rsidRPr="0000065A" w:rsidRDefault="0000065A" w:rsidP="0000065A">
            <w:pPr>
              <w:widowControl w:val="0"/>
              <w:ind w:right="133" w:firstLine="0"/>
              <w:jc w:val="left"/>
              <w:rPr>
                <w:rFonts w:eastAsia="Times New Roman" w:cs="Times New Roman"/>
                <w:sz w:val="20"/>
                <w:szCs w:val="20"/>
                <w:lang w:eastAsia="ru-RU"/>
              </w:rPr>
            </w:pPr>
            <w:r w:rsidRPr="0000065A">
              <w:rPr>
                <w:rFonts w:eastAsia="Times New Roman" w:cs="Times New Roman"/>
                <w:sz w:val="20"/>
                <w:szCs w:val="20"/>
                <w:lang w:eastAsia="ru-RU"/>
              </w:rPr>
              <w:t>назначения, за исключением передаточных устройств и сооружений</w:t>
            </w:r>
          </w:p>
        </w:tc>
        <w:tc>
          <w:tcPr>
            <w:tcW w:w="546" w:type="pct"/>
            <w:shd w:val="clear" w:color="auto" w:fill="FFFFFF"/>
            <w:vAlign w:val="center"/>
          </w:tcPr>
          <w:p w14:paraId="2F791737" w14:textId="77777777" w:rsidR="0000065A" w:rsidRPr="0000065A" w:rsidRDefault="0000065A" w:rsidP="0000065A">
            <w:pPr>
              <w:widowControl w:val="0"/>
              <w:ind w:firstLine="0"/>
              <w:jc w:val="center"/>
              <w:rPr>
                <w:rFonts w:eastAsia="Times New Roman" w:cs="Times New Roman"/>
                <w:sz w:val="20"/>
                <w:szCs w:val="20"/>
                <w:lang w:eastAsia="ru-RU"/>
              </w:rPr>
            </w:pPr>
            <w:r w:rsidRPr="0000065A">
              <w:rPr>
                <w:rFonts w:eastAsia="Times New Roman" w:cs="Times New Roman"/>
                <w:sz w:val="20"/>
                <w:szCs w:val="20"/>
                <w:lang w:eastAsia="ru-RU"/>
              </w:rPr>
              <w:t>1</w:t>
            </w:r>
          </w:p>
        </w:tc>
        <w:tc>
          <w:tcPr>
            <w:tcW w:w="807" w:type="pct"/>
            <w:shd w:val="clear" w:color="auto" w:fill="FFFFFF"/>
            <w:vAlign w:val="center"/>
          </w:tcPr>
          <w:p w14:paraId="537C61BC" w14:textId="77777777" w:rsidR="0000065A" w:rsidRPr="0000065A" w:rsidRDefault="0000065A" w:rsidP="0000065A">
            <w:pPr>
              <w:widowControl w:val="0"/>
              <w:ind w:firstLine="0"/>
              <w:jc w:val="center"/>
              <w:rPr>
                <w:rFonts w:eastAsia="Times New Roman" w:cs="Times New Roman"/>
                <w:sz w:val="20"/>
                <w:szCs w:val="20"/>
                <w:lang w:eastAsia="ru-RU"/>
              </w:rPr>
            </w:pPr>
            <w:r w:rsidRPr="0000065A">
              <w:rPr>
                <w:rFonts w:eastAsia="Times New Roman" w:cs="Times New Roman"/>
                <w:sz w:val="20"/>
                <w:szCs w:val="20"/>
                <w:lang w:eastAsia="ru-RU"/>
              </w:rPr>
              <w:t>2,3</w:t>
            </w:r>
          </w:p>
        </w:tc>
        <w:tc>
          <w:tcPr>
            <w:tcW w:w="507" w:type="pct"/>
            <w:shd w:val="clear" w:color="auto" w:fill="FFFFFF"/>
            <w:vAlign w:val="center"/>
          </w:tcPr>
          <w:p w14:paraId="65BE5172" w14:textId="77777777" w:rsidR="0000065A" w:rsidRPr="0000065A" w:rsidRDefault="0000065A" w:rsidP="0000065A">
            <w:pPr>
              <w:widowControl w:val="0"/>
              <w:ind w:firstLine="0"/>
              <w:jc w:val="center"/>
              <w:rPr>
                <w:rFonts w:eastAsia="Times New Roman" w:cs="Times New Roman"/>
                <w:sz w:val="20"/>
                <w:szCs w:val="20"/>
                <w:lang w:eastAsia="ru-RU"/>
              </w:rPr>
            </w:pPr>
            <w:r w:rsidRPr="0000065A">
              <w:rPr>
                <w:rFonts w:eastAsia="Times New Roman" w:cs="Times New Roman"/>
                <w:sz w:val="20"/>
                <w:szCs w:val="20"/>
                <w:lang w:eastAsia="ru-RU"/>
              </w:rPr>
              <w:t>2,3</w:t>
            </w:r>
          </w:p>
        </w:tc>
      </w:tr>
      <w:tr w:rsidR="0000065A" w:rsidRPr="0000065A" w14:paraId="16786077" w14:textId="77777777" w:rsidTr="0000065A">
        <w:trPr>
          <w:trHeight w:val="175"/>
        </w:trPr>
        <w:tc>
          <w:tcPr>
            <w:tcW w:w="3140" w:type="pct"/>
            <w:shd w:val="clear" w:color="auto" w:fill="FFFFFF"/>
          </w:tcPr>
          <w:p w14:paraId="3C6E1B79" w14:textId="77777777" w:rsidR="0000065A" w:rsidRPr="0000065A" w:rsidRDefault="0000065A" w:rsidP="0000065A">
            <w:pPr>
              <w:widowControl w:val="0"/>
              <w:ind w:right="133" w:firstLine="0"/>
              <w:jc w:val="left"/>
              <w:rPr>
                <w:rFonts w:eastAsia="Times New Roman" w:cs="Times New Roman"/>
                <w:sz w:val="20"/>
                <w:szCs w:val="20"/>
                <w:lang w:eastAsia="ru-RU"/>
              </w:rPr>
            </w:pPr>
            <w:r w:rsidRPr="0000065A">
              <w:rPr>
                <w:rFonts w:eastAsia="Times New Roman" w:cs="Times New Roman"/>
                <w:sz w:val="20"/>
                <w:szCs w:val="20"/>
                <w:lang w:eastAsia="ru-RU"/>
              </w:rPr>
              <w:t xml:space="preserve">8. Учебные, спортивные объекты, объекты культуры и искусства, культовые </w:t>
            </w:r>
          </w:p>
          <w:p w14:paraId="6720BA03" w14:textId="77777777" w:rsidR="0000065A" w:rsidRPr="0000065A" w:rsidRDefault="0000065A" w:rsidP="0000065A">
            <w:pPr>
              <w:widowControl w:val="0"/>
              <w:ind w:right="133" w:firstLine="0"/>
              <w:jc w:val="left"/>
              <w:rPr>
                <w:rFonts w:eastAsia="Times New Roman" w:cs="Times New Roman"/>
                <w:sz w:val="20"/>
                <w:szCs w:val="20"/>
                <w:lang w:eastAsia="ru-RU"/>
              </w:rPr>
            </w:pPr>
            <w:r w:rsidRPr="0000065A">
              <w:rPr>
                <w:rFonts w:eastAsia="Times New Roman" w:cs="Times New Roman"/>
                <w:sz w:val="20"/>
                <w:szCs w:val="20"/>
                <w:lang w:eastAsia="ru-RU"/>
              </w:rPr>
              <w:t>объекты, музеи, лечебно-оздоровительные объекты</w:t>
            </w:r>
          </w:p>
        </w:tc>
        <w:tc>
          <w:tcPr>
            <w:tcW w:w="546" w:type="pct"/>
            <w:shd w:val="clear" w:color="auto" w:fill="FFFFFF"/>
            <w:vAlign w:val="center"/>
          </w:tcPr>
          <w:p w14:paraId="6D8CE2BF" w14:textId="77777777" w:rsidR="0000065A" w:rsidRPr="0000065A" w:rsidRDefault="0000065A" w:rsidP="0000065A">
            <w:pPr>
              <w:widowControl w:val="0"/>
              <w:ind w:firstLine="0"/>
              <w:jc w:val="center"/>
              <w:rPr>
                <w:rFonts w:eastAsia="Times New Roman" w:cs="Times New Roman"/>
                <w:sz w:val="20"/>
                <w:szCs w:val="20"/>
                <w:lang w:eastAsia="ru-RU"/>
              </w:rPr>
            </w:pPr>
            <w:r w:rsidRPr="0000065A">
              <w:rPr>
                <w:rFonts w:eastAsia="Times New Roman" w:cs="Times New Roman"/>
                <w:sz w:val="20"/>
                <w:szCs w:val="20"/>
                <w:lang w:eastAsia="ru-RU"/>
              </w:rPr>
              <w:t>1</w:t>
            </w:r>
          </w:p>
        </w:tc>
        <w:tc>
          <w:tcPr>
            <w:tcW w:w="807" w:type="pct"/>
            <w:shd w:val="clear" w:color="auto" w:fill="FFFFFF"/>
            <w:vAlign w:val="center"/>
          </w:tcPr>
          <w:p w14:paraId="50E3BB89" w14:textId="77777777" w:rsidR="0000065A" w:rsidRPr="0000065A" w:rsidRDefault="0000065A" w:rsidP="0000065A">
            <w:pPr>
              <w:widowControl w:val="0"/>
              <w:ind w:firstLine="0"/>
              <w:jc w:val="center"/>
              <w:rPr>
                <w:rFonts w:eastAsia="Times New Roman" w:cs="Times New Roman"/>
                <w:sz w:val="20"/>
                <w:szCs w:val="20"/>
                <w:lang w:eastAsia="ru-RU"/>
              </w:rPr>
            </w:pPr>
            <w:r w:rsidRPr="0000065A">
              <w:rPr>
                <w:rFonts w:eastAsia="Times New Roman" w:cs="Times New Roman"/>
                <w:sz w:val="20"/>
                <w:szCs w:val="20"/>
                <w:lang w:eastAsia="ru-RU"/>
              </w:rPr>
              <w:t>2,3</w:t>
            </w:r>
          </w:p>
        </w:tc>
        <w:tc>
          <w:tcPr>
            <w:tcW w:w="507" w:type="pct"/>
            <w:shd w:val="clear" w:color="auto" w:fill="FFFFFF"/>
            <w:vAlign w:val="center"/>
          </w:tcPr>
          <w:p w14:paraId="4B9E643D" w14:textId="77777777" w:rsidR="0000065A" w:rsidRPr="0000065A" w:rsidRDefault="0000065A" w:rsidP="0000065A">
            <w:pPr>
              <w:widowControl w:val="0"/>
              <w:ind w:firstLine="0"/>
              <w:jc w:val="center"/>
              <w:rPr>
                <w:rFonts w:eastAsia="Times New Roman" w:cs="Times New Roman"/>
                <w:sz w:val="20"/>
                <w:szCs w:val="20"/>
                <w:lang w:eastAsia="ru-RU"/>
              </w:rPr>
            </w:pPr>
            <w:r w:rsidRPr="0000065A">
              <w:rPr>
                <w:rFonts w:eastAsia="Times New Roman" w:cs="Times New Roman"/>
                <w:sz w:val="20"/>
                <w:szCs w:val="20"/>
                <w:lang w:eastAsia="ru-RU"/>
              </w:rPr>
              <w:t>2,3</w:t>
            </w:r>
          </w:p>
        </w:tc>
      </w:tr>
      <w:tr w:rsidR="0000065A" w:rsidRPr="0000065A" w14:paraId="58104FF2" w14:textId="77777777" w:rsidTr="0000065A">
        <w:trPr>
          <w:trHeight w:val="175"/>
        </w:trPr>
        <w:tc>
          <w:tcPr>
            <w:tcW w:w="3140" w:type="pct"/>
            <w:shd w:val="clear" w:color="auto" w:fill="FFFFFF"/>
          </w:tcPr>
          <w:p w14:paraId="231962B7" w14:textId="77777777" w:rsidR="0000065A" w:rsidRPr="0000065A" w:rsidRDefault="0000065A" w:rsidP="0000065A">
            <w:pPr>
              <w:widowControl w:val="0"/>
              <w:ind w:right="133" w:firstLine="0"/>
              <w:jc w:val="left"/>
              <w:rPr>
                <w:rFonts w:eastAsia="Times New Roman" w:cs="Times New Roman"/>
                <w:sz w:val="20"/>
                <w:szCs w:val="20"/>
                <w:lang w:eastAsia="ru-RU"/>
              </w:rPr>
            </w:pPr>
            <w:r w:rsidRPr="0000065A">
              <w:rPr>
                <w:rFonts w:eastAsia="Times New Roman" w:cs="Times New Roman"/>
                <w:sz w:val="20"/>
                <w:szCs w:val="20"/>
                <w:lang w:eastAsia="ru-RU"/>
              </w:rPr>
              <w:t>9. Прочие объекты</w:t>
            </w:r>
          </w:p>
        </w:tc>
        <w:tc>
          <w:tcPr>
            <w:tcW w:w="546" w:type="pct"/>
            <w:shd w:val="clear" w:color="auto" w:fill="FFFFFF"/>
            <w:vAlign w:val="center"/>
          </w:tcPr>
          <w:p w14:paraId="1FECC3C6" w14:textId="77777777" w:rsidR="0000065A" w:rsidRPr="0000065A" w:rsidRDefault="0000065A" w:rsidP="0000065A">
            <w:pPr>
              <w:widowControl w:val="0"/>
              <w:ind w:firstLine="0"/>
              <w:jc w:val="center"/>
              <w:rPr>
                <w:rFonts w:eastAsia="Times New Roman" w:cs="Times New Roman"/>
                <w:sz w:val="20"/>
                <w:szCs w:val="20"/>
                <w:lang w:eastAsia="ru-RU"/>
              </w:rPr>
            </w:pPr>
            <w:r w:rsidRPr="0000065A">
              <w:rPr>
                <w:rFonts w:eastAsia="Times New Roman" w:cs="Times New Roman"/>
                <w:sz w:val="20"/>
                <w:szCs w:val="20"/>
                <w:lang w:eastAsia="ru-RU"/>
              </w:rPr>
              <w:t>1</w:t>
            </w:r>
          </w:p>
        </w:tc>
        <w:tc>
          <w:tcPr>
            <w:tcW w:w="807" w:type="pct"/>
            <w:shd w:val="clear" w:color="auto" w:fill="FFFFFF"/>
            <w:vAlign w:val="center"/>
          </w:tcPr>
          <w:p w14:paraId="591F4CBC" w14:textId="77777777" w:rsidR="0000065A" w:rsidRPr="0000065A" w:rsidRDefault="0000065A" w:rsidP="0000065A">
            <w:pPr>
              <w:widowControl w:val="0"/>
              <w:ind w:firstLine="0"/>
              <w:jc w:val="center"/>
              <w:rPr>
                <w:rFonts w:eastAsia="Times New Roman" w:cs="Times New Roman"/>
                <w:sz w:val="20"/>
                <w:szCs w:val="20"/>
                <w:lang w:eastAsia="ru-RU"/>
              </w:rPr>
            </w:pPr>
            <w:r w:rsidRPr="0000065A">
              <w:rPr>
                <w:rFonts w:eastAsia="Times New Roman" w:cs="Times New Roman"/>
                <w:sz w:val="20"/>
                <w:szCs w:val="20"/>
                <w:lang w:eastAsia="ru-RU"/>
              </w:rPr>
              <w:t>2,3</w:t>
            </w:r>
          </w:p>
        </w:tc>
        <w:tc>
          <w:tcPr>
            <w:tcW w:w="507" w:type="pct"/>
            <w:shd w:val="clear" w:color="auto" w:fill="FFFFFF"/>
            <w:vAlign w:val="center"/>
          </w:tcPr>
          <w:p w14:paraId="20CF9EEB" w14:textId="77777777" w:rsidR="0000065A" w:rsidRPr="0000065A" w:rsidRDefault="0000065A" w:rsidP="0000065A">
            <w:pPr>
              <w:widowControl w:val="0"/>
              <w:ind w:firstLine="0"/>
              <w:jc w:val="center"/>
              <w:rPr>
                <w:rFonts w:eastAsia="Times New Roman" w:cs="Times New Roman"/>
                <w:sz w:val="20"/>
                <w:szCs w:val="20"/>
                <w:lang w:eastAsia="ru-RU"/>
              </w:rPr>
            </w:pPr>
            <w:r w:rsidRPr="0000065A">
              <w:rPr>
                <w:rFonts w:eastAsia="Times New Roman" w:cs="Times New Roman"/>
                <w:sz w:val="20"/>
                <w:szCs w:val="20"/>
                <w:lang w:eastAsia="ru-RU"/>
              </w:rPr>
              <w:t>2,3</w:t>
            </w:r>
          </w:p>
        </w:tc>
      </w:tr>
      <w:tr w:rsidR="0000065A" w:rsidRPr="0000065A" w14:paraId="0789071A" w14:textId="77777777" w:rsidTr="0000065A">
        <w:trPr>
          <w:trHeight w:val="175"/>
        </w:trPr>
        <w:tc>
          <w:tcPr>
            <w:tcW w:w="3140" w:type="pct"/>
            <w:shd w:val="clear" w:color="auto" w:fill="FFFFFF"/>
          </w:tcPr>
          <w:p w14:paraId="04D7E80F" w14:textId="77777777" w:rsidR="0000065A" w:rsidRPr="0000065A" w:rsidRDefault="0000065A" w:rsidP="0000065A">
            <w:pPr>
              <w:widowControl w:val="0"/>
              <w:ind w:right="133" w:firstLine="0"/>
              <w:jc w:val="left"/>
              <w:rPr>
                <w:rFonts w:eastAsia="Times New Roman" w:cs="Times New Roman"/>
                <w:sz w:val="20"/>
                <w:szCs w:val="20"/>
                <w:lang w:eastAsia="ru-RU"/>
              </w:rPr>
            </w:pPr>
            <w:r w:rsidRPr="0000065A">
              <w:rPr>
                <w:rFonts w:eastAsia="Times New Roman" w:cs="Times New Roman"/>
                <w:sz w:val="20"/>
                <w:szCs w:val="20"/>
                <w:lang w:eastAsia="ru-RU"/>
              </w:rPr>
              <w:t>10. Сооружения</w:t>
            </w:r>
          </w:p>
        </w:tc>
        <w:tc>
          <w:tcPr>
            <w:tcW w:w="546" w:type="pct"/>
            <w:shd w:val="clear" w:color="auto" w:fill="FFFFFF"/>
            <w:vAlign w:val="center"/>
          </w:tcPr>
          <w:p w14:paraId="69EE4590" w14:textId="77777777" w:rsidR="0000065A" w:rsidRPr="0000065A" w:rsidRDefault="0000065A" w:rsidP="0000065A">
            <w:pPr>
              <w:widowControl w:val="0"/>
              <w:ind w:firstLine="0"/>
              <w:jc w:val="center"/>
              <w:rPr>
                <w:rFonts w:eastAsia="Times New Roman" w:cs="Times New Roman"/>
                <w:sz w:val="20"/>
                <w:szCs w:val="20"/>
                <w:lang w:eastAsia="ru-RU"/>
              </w:rPr>
            </w:pPr>
            <w:r w:rsidRPr="0000065A">
              <w:rPr>
                <w:rFonts w:eastAsia="Times New Roman" w:cs="Times New Roman"/>
                <w:sz w:val="20"/>
                <w:szCs w:val="20"/>
                <w:lang w:eastAsia="ru-RU"/>
              </w:rPr>
              <w:t>1</w:t>
            </w:r>
          </w:p>
        </w:tc>
        <w:tc>
          <w:tcPr>
            <w:tcW w:w="807" w:type="pct"/>
            <w:shd w:val="clear" w:color="auto" w:fill="FFFFFF"/>
            <w:vAlign w:val="center"/>
          </w:tcPr>
          <w:p w14:paraId="74EF9567" w14:textId="77777777" w:rsidR="0000065A" w:rsidRPr="0000065A" w:rsidRDefault="0000065A" w:rsidP="0000065A">
            <w:pPr>
              <w:widowControl w:val="0"/>
              <w:ind w:firstLine="0"/>
              <w:jc w:val="center"/>
              <w:rPr>
                <w:rFonts w:eastAsia="Times New Roman" w:cs="Times New Roman"/>
                <w:sz w:val="20"/>
                <w:szCs w:val="20"/>
                <w:lang w:eastAsia="ru-RU"/>
              </w:rPr>
            </w:pPr>
            <w:r w:rsidRPr="0000065A">
              <w:rPr>
                <w:rFonts w:eastAsia="Times New Roman" w:cs="Times New Roman"/>
                <w:sz w:val="20"/>
                <w:szCs w:val="20"/>
                <w:lang w:eastAsia="ru-RU"/>
              </w:rPr>
              <w:t>2,3</w:t>
            </w:r>
          </w:p>
        </w:tc>
        <w:tc>
          <w:tcPr>
            <w:tcW w:w="507" w:type="pct"/>
            <w:shd w:val="clear" w:color="auto" w:fill="FFFFFF"/>
            <w:vAlign w:val="center"/>
          </w:tcPr>
          <w:p w14:paraId="2643866F" w14:textId="77777777" w:rsidR="0000065A" w:rsidRPr="0000065A" w:rsidRDefault="0000065A" w:rsidP="0000065A">
            <w:pPr>
              <w:widowControl w:val="0"/>
              <w:ind w:firstLine="0"/>
              <w:jc w:val="center"/>
              <w:rPr>
                <w:rFonts w:eastAsia="Times New Roman" w:cs="Times New Roman"/>
                <w:sz w:val="20"/>
                <w:szCs w:val="20"/>
                <w:lang w:eastAsia="ru-RU"/>
              </w:rPr>
            </w:pPr>
            <w:r w:rsidRPr="0000065A">
              <w:rPr>
                <w:rFonts w:eastAsia="Times New Roman" w:cs="Times New Roman"/>
                <w:sz w:val="20"/>
                <w:szCs w:val="20"/>
                <w:lang w:eastAsia="ru-RU"/>
              </w:rPr>
              <w:t>2,3</w:t>
            </w:r>
          </w:p>
        </w:tc>
      </w:tr>
      <w:tr w:rsidR="0000065A" w:rsidRPr="0000065A" w14:paraId="33441505" w14:textId="77777777" w:rsidTr="0000065A">
        <w:trPr>
          <w:trHeight w:val="175"/>
        </w:trPr>
        <w:tc>
          <w:tcPr>
            <w:tcW w:w="5000" w:type="pct"/>
            <w:gridSpan w:val="4"/>
            <w:shd w:val="clear" w:color="auto" w:fill="FFFFFF"/>
            <w:vAlign w:val="center"/>
          </w:tcPr>
          <w:p w14:paraId="2EE21B75" w14:textId="77777777" w:rsidR="0000065A" w:rsidRPr="0000065A" w:rsidRDefault="0000065A" w:rsidP="0000065A">
            <w:pPr>
              <w:widowControl w:val="0"/>
              <w:ind w:right="-2" w:firstLine="709"/>
              <w:jc w:val="center"/>
              <w:rPr>
                <w:rFonts w:eastAsia="Times New Roman" w:cs="Times New Roman"/>
                <w:color w:val="000000"/>
                <w:sz w:val="20"/>
                <w:szCs w:val="20"/>
                <w:lang w:eastAsia="ru-RU"/>
              </w:rPr>
            </w:pPr>
            <w:r w:rsidRPr="0000065A">
              <w:rPr>
                <w:rFonts w:eastAsia="Times New Roman" w:cs="Times New Roman"/>
                <w:b/>
                <w:sz w:val="20"/>
                <w:szCs w:val="20"/>
                <w:lang w:eastAsia="ru-RU"/>
              </w:rPr>
              <w:t>Единые недвижимые комплексы</w:t>
            </w:r>
          </w:p>
        </w:tc>
      </w:tr>
      <w:tr w:rsidR="0000065A" w:rsidRPr="0000065A" w14:paraId="628B78D6" w14:textId="77777777" w:rsidTr="0000065A">
        <w:trPr>
          <w:trHeight w:val="175"/>
        </w:trPr>
        <w:tc>
          <w:tcPr>
            <w:tcW w:w="3140" w:type="pct"/>
            <w:shd w:val="clear" w:color="auto" w:fill="FFFFFF"/>
          </w:tcPr>
          <w:p w14:paraId="55E73F86" w14:textId="77777777" w:rsidR="0000065A" w:rsidRPr="0000065A" w:rsidRDefault="0000065A" w:rsidP="0000065A">
            <w:pPr>
              <w:widowControl w:val="0"/>
              <w:shd w:val="clear" w:color="auto" w:fill="FFFFFF"/>
              <w:ind w:right="133" w:firstLine="0"/>
              <w:jc w:val="left"/>
              <w:rPr>
                <w:rFonts w:eastAsia="Times New Roman" w:cs="Times New Roman"/>
                <w:sz w:val="20"/>
                <w:szCs w:val="20"/>
                <w:lang w:eastAsia="ru-RU"/>
              </w:rPr>
            </w:pPr>
            <w:r w:rsidRPr="0000065A">
              <w:rPr>
                <w:rFonts w:eastAsia="Times New Roman" w:cs="Times New Roman"/>
                <w:sz w:val="20"/>
                <w:szCs w:val="20"/>
                <w:lang w:eastAsia="ru-RU"/>
              </w:rPr>
              <w:t>1. Многоквартирные дома (дома средне- и многоэтажной жилой застройки)</w:t>
            </w:r>
          </w:p>
        </w:tc>
        <w:tc>
          <w:tcPr>
            <w:tcW w:w="546" w:type="pct"/>
            <w:shd w:val="clear" w:color="auto" w:fill="FFFFFF"/>
            <w:vAlign w:val="center"/>
          </w:tcPr>
          <w:p w14:paraId="237CE84D" w14:textId="77777777" w:rsidR="0000065A" w:rsidRPr="0000065A" w:rsidRDefault="0000065A" w:rsidP="0000065A">
            <w:pPr>
              <w:widowControl w:val="0"/>
              <w:shd w:val="clear" w:color="auto" w:fill="FFFFFF"/>
              <w:ind w:firstLine="0"/>
              <w:jc w:val="center"/>
              <w:rPr>
                <w:rFonts w:eastAsia="Times New Roman" w:cs="Times New Roman"/>
                <w:sz w:val="20"/>
                <w:szCs w:val="20"/>
                <w:lang w:eastAsia="ru-RU"/>
              </w:rPr>
            </w:pPr>
            <w:r w:rsidRPr="0000065A">
              <w:rPr>
                <w:rFonts w:eastAsia="Times New Roman" w:cs="Times New Roman"/>
                <w:sz w:val="20"/>
                <w:szCs w:val="20"/>
                <w:lang w:eastAsia="ru-RU"/>
              </w:rPr>
              <w:t>2</w:t>
            </w:r>
          </w:p>
        </w:tc>
        <w:tc>
          <w:tcPr>
            <w:tcW w:w="807" w:type="pct"/>
            <w:shd w:val="clear" w:color="auto" w:fill="FFFFFF"/>
            <w:vAlign w:val="center"/>
          </w:tcPr>
          <w:p w14:paraId="09E885AD" w14:textId="77777777" w:rsidR="0000065A" w:rsidRPr="0000065A" w:rsidRDefault="0000065A" w:rsidP="0000065A">
            <w:pPr>
              <w:widowControl w:val="0"/>
              <w:shd w:val="clear" w:color="auto" w:fill="FFFFFF"/>
              <w:ind w:firstLine="0"/>
              <w:jc w:val="center"/>
              <w:rPr>
                <w:rFonts w:eastAsia="Times New Roman" w:cs="Times New Roman"/>
                <w:sz w:val="20"/>
                <w:szCs w:val="20"/>
                <w:lang w:eastAsia="ru-RU"/>
              </w:rPr>
            </w:pPr>
            <w:r w:rsidRPr="0000065A">
              <w:rPr>
                <w:rFonts w:eastAsia="Times New Roman" w:cs="Times New Roman"/>
                <w:sz w:val="20"/>
                <w:szCs w:val="20"/>
                <w:lang w:eastAsia="ru-RU"/>
              </w:rPr>
              <w:t>1</w:t>
            </w:r>
          </w:p>
        </w:tc>
        <w:tc>
          <w:tcPr>
            <w:tcW w:w="507" w:type="pct"/>
            <w:shd w:val="clear" w:color="auto" w:fill="FFFFFF"/>
            <w:vAlign w:val="center"/>
          </w:tcPr>
          <w:p w14:paraId="385CFE10" w14:textId="77777777" w:rsidR="0000065A" w:rsidRPr="0000065A" w:rsidRDefault="0000065A" w:rsidP="0000065A">
            <w:pPr>
              <w:widowControl w:val="0"/>
              <w:shd w:val="clear" w:color="auto" w:fill="FFFFFF"/>
              <w:ind w:firstLine="0"/>
              <w:jc w:val="center"/>
              <w:rPr>
                <w:rFonts w:eastAsia="Times New Roman" w:cs="Times New Roman"/>
                <w:sz w:val="20"/>
                <w:szCs w:val="20"/>
                <w:lang w:eastAsia="ru-RU"/>
              </w:rPr>
            </w:pPr>
            <w:r w:rsidRPr="0000065A">
              <w:rPr>
                <w:rFonts w:eastAsia="Times New Roman" w:cs="Times New Roman"/>
                <w:sz w:val="20"/>
                <w:szCs w:val="20"/>
                <w:lang w:eastAsia="ru-RU"/>
              </w:rPr>
              <w:t>3</w:t>
            </w:r>
          </w:p>
        </w:tc>
      </w:tr>
      <w:tr w:rsidR="0000065A" w:rsidRPr="0000065A" w14:paraId="70E0A39B" w14:textId="77777777" w:rsidTr="0000065A">
        <w:trPr>
          <w:trHeight w:val="175"/>
        </w:trPr>
        <w:tc>
          <w:tcPr>
            <w:tcW w:w="3140" w:type="pct"/>
            <w:shd w:val="clear" w:color="auto" w:fill="FFFFFF"/>
          </w:tcPr>
          <w:p w14:paraId="1BA79F75" w14:textId="77777777" w:rsidR="0000065A" w:rsidRPr="0000065A" w:rsidRDefault="0000065A" w:rsidP="0000065A">
            <w:pPr>
              <w:widowControl w:val="0"/>
              <w:shd w:val="clear" w:color="auto" w:fill="FFFFFF"/>
              <w:ind w:right="133" w:firstLine="0"/>
              <w:jc w:val="left"/>
              <w:rPr>
                <w:rFonts w:eastAsia="Times New Roman" w:cs="Times New Roman"/>
                <w:sz w:val="20"/>
                <w:szCs w:val="20"/>
                <w:lang w:eastAsia="ru-RU"/>
              </w:rPr>
            </w:pPr>
            <w:r w:rsidRPr="0000065A">
              <w:rPr>
                <w:rFonts w:eastAsia="Times New Roman" w:cs="Times New Roman"/>
                <w:sz w:val="20"/>
                <w:szCs w:val="20"/>
                <w:lang w:eastAsia="ru-RU"/>
              </w:rPr>
              <w:t>2. Дома малоэтажной жилой застройки (до 3-х этажей, включительно), в том числе индивидуальной жилой застройки – индивидуальные, малоэтажные блокированные (таунхаусы), дачных объединений, садоводческих товариществ</w:t>
            </w:r>
          </w:p>
        </w:tc>
        <w:tc>
          <w:tcPr>
            <w:tcW w:w="546" w:type="pct"/>
            <w:shd w:val="clear" w:color="auto" w:fill="FFFFFF"/>
            <w:vAlign w:val="center"/>
          </w:tcPr>
          <w:p w14:paraId="089D0CB2" w14:textId="77777777" w:rsidR="0000065A" w:rsidRPr="0000065A" w:rsidRDefault="0000065A" w:rsidP="0000065A">
            <w:pPr>
              <w:widowControl w:val="0"/>
              <w:shd w:val="clear" w:color="auto" w:fill="FFFFFF"/>
              <w:ind w:firstLine="0"/>
              <w:jc w:val="center"/>
              <w:rPr>
                <w:rFonts w:eastAsia="Times New Roman" w:cs="Times New Roman"/>
                <w:sz w:val="20"/>
                <w:szCs w:val="20"/>
                <w:lang w:eastAsia="ru-RU"/>
              </w:rPr>
            </w:pPr>
            <w:r w:rsidRPr="0000065A">
              <w:rPr>
                <w:rFonts w:eastAsia="Times New Roman" w:cs="Times New Roman"/>
                <w:sz w:val="20"/>
                <w:szCs w:val="20"/>
                <w:lang w:eastAsia="ru-RU"/>
              </w:rPr>
              <w:t>2</w:t>
            </w:r>
          </w:p>
        </w:tc>
        <w:tc>
          <w:tcPr>
            <w:tcW w:w="807" w:type="pct"/>
            <w:shd w:val="clear" w:color="auto" w:fill="FFFFFF"/>
            <w:vAlign w:val="center"/>
          </w:tcPr>
          <w:p w14:paraId="0BFCBD31" w14:textId="77777777" w:rsidR="0000065A" w:rsidRPr="0000065A" w:rsidRDefault="0000065A" w:rsidP="0000065A">
            <w:pPr>
              <w:widowControl w:val="0"/>
              <w:shd w:val="clear" w:color="auto" w:fill="FFFFFF"/>
              <w:ind w:firstLine="0"/>
              <w:jc w:val="center"/>
              <w:rPr>
                <w:rFonts w:eastAsia="Times New Roman" w:cs="Times New Roman"/>
                <w:sz w:val="20"/>
                <w:szCs w:val="20"/>
                <w:lang w:eastAsia="ru-RU"/>
              </w:rPr>
            </w:pPr>
            <w:r w:rsidRPr="0000065A">
              <w:rPr>
                <w:rFonts w:eastAsia="Times New Roman" w:cs="Times New Roman"/>
                <w:sz w:val="20"/>
                <w:szCs w:val="20"/>
                <w:lang w:eastAsia="ru-RU"/>
              </w:rPr>
              <w:t>1</w:t>
            </w:r>
          </w:p>
        </w:tc>
        <w:tc>
          <w:tcPr>
            <w:tcW w:w="507" w:type="pct"/>
            <w:shd w:val="clear" w:color="auto" w:fill="FFFFFF"/>
            <w:vAlign w:val="center"/>
          </w:tcPr>
          <w:p w14:paraId="79F2C0F0" w14:textId="77777777" w:rsidR="0000065A" w:rsidRPr="0000065A" w:rsidRDefault="0000065A" w:rsidP="0000065A">
            <w:pPr>
              <w:widowControl w:val="0"/>
              <w:shd w:val="clear" w:color="auto" w:fill="FFFFFF"/>
              <w:ind w:firstLine="0"/>
              <w:jc w:val="center"/>
              <w:rPr>
                <w:rFonts w:eastAsia="Times New Roman" w:cs="Times New Roman"/>
                <w:sz w:val="20"/>
                <w:szCs w:val="20"/>
                <w:lang w:eastAsia="ru-RU"/>
              </w:rPr>
            </w:pPr>
            <w:r w:rsidRPr="0000065A">
              <w:rPr>
                <w:rFonts w:eastAsia="Times New Roman" w:cs="Times New Roman"/>
                <w:sz w:val="20"/>
                <w:szCs w:val="20"/>
                <w:lang w:eastAsia="ru-RU"/>
              </w:rPr>
              <w:t>3</w:t>
            </w:r>
          </w:p>
        </w:tc>
      </w:tr>
      <w:tr w:rsidR="0000065A" w:rsidRPr="0000065A" w14:paraId="3CCC9EB1" w14:textId="77777777" w:rsidTr="0000065A">
        <w:trPr>
          <w:trHeight w:val="175"/>
        </w:trPr>
        <w:tc>
          <w:tcPr>
            <w:tcW w:w="3140" w:type="pct"/>
            <w:shd w:val="clear" w:color="auto" w:fill="FFFFFF"/>
          </w:tcPr>
          <w:p w14:paraId="74F16B37" w14:textId="77777777" w:rsidR="0000065A" w:rsidRPr="0000065A" w:rsidRDefault="0000065A" w:rsidP="0000065A">
            <w:pPr>
              <w:widowControl w:val="0"/>
              <w:shd w:val="clear" w:color="auto" w:fill="FFFFFF"/>
              <w:ind w:right="133" w:firstLine="0"/>
              <w:jc w:val="left"/>
              <w:rPr>
                <w:rFonts w:eastAsia="Times New Roman" w:cs="Times New Roman"/>
                <w:sz w:val="20"/>
                <w:szCs w:val="20"/>
                <w:lang w:eastAsia="ru-RU"/>
              </w:rPr>
            </w:pPr>
            <w:r w:rsidRPr="0000065A">
              <w:rPr>
                <w:rFonts w:eastAsia="Times New Roman" w:cs="Times New Roman"/>
                <w:sz w:val="20"/>
                <w:szCs w:val="20"/>
                <w:lang w:eastAsia="ru-RU"/>
              </w:rPr>
              <w:t>3. Объекты транспорта, за исключением линейных объектов и сооружений</w:t>
            </w:r>
          </w:p>
        </w:tc>
        <w:tc>
          <w:tcPr>
            <w:tcW w:w="546" w:type="pct"/>
            <w:shd w:val="clear" w:color="auto" w:fill="FFFFFF"/>
            <w:vAlign w:val="center"/>
          </w:tcPr>
          <w:p w14:paraId="6CAB0B33" w14:textId="77777777" w:rsidR="0000065A" w:rsidRPr="0000065A" w:rsidRDefault="0000065A" w:rsidP="0000065A">
            <w:pPr>
              <w:widowControl w:val="0"/>
              <w:shd w:val="clear" w:color="auto" w:fill="FFFFFF"/>
              <w:ind w:firstLine="0"/>
              <w:jc w:val="center"/>
              <w:rPr>
                <w:rFonts w:eastAsia="Times New Roman" w:cs="Times New Roman"/>
                <w:sz w:val="20"/>
                <w:szCs w:val="20"/>
                <w:lang w:eastAsia="ru-RU"/>
              </w:rPr>
            </w:pPr>
            <w:r w:rsidRPr="0000065A">
              <w:rPr>
                <w:rFonts w:eastAsia="Times New Roman" w:cs="Times New Roman"/>
                <w:sz w:val="20"/>
                <w:szCs w:val="20"/>
                <w:lang w:eastAsia="ru-RU"/>
              </w:rPr>
              <w:t>2,3</w:t>
            </w:r>
          </w:p>
        </w:tc>
        <w:tc>
          <w:tcPr>
            <w:tcW w:w="807" w:type="pct"/>
            <w:shd w:val="clear" w:color="auto" w:fill="FFFFFF"/>
            <w:vAlign w:val="center"/>
          </w:tcPr>
          <w:p w14:paraId="78D984DB" w14:textId="77777777" w:rsidR="0000065A" w:rsidRPr="0000065A" w:rsidRDefault="0000065A" w:rsidP="0000065A">
            <w:pPr>
              <w:widowControl w:val="0"/>
              <w:shd w:val="clear" w:color="auto" w:fill="FFFFFF"/>
              <w:ind w:firstLine="0"/>
              <w:jc w:val="center"/>
              <w:rPr>
                <w:rFonts w:eastAsia="Times New Roman" w:cs="Times New Roman"/>
                <w:sz w:val="20"/>
                <w:szCs w:val="20"/>
                <w:lang w:eastAsia="ru-RU"/>
              </w:rPr>
            </w:pPr>
            <w:r w:rsidRPr="0000065A">
              <w:rPr>
                <w:rFonts w:eastAsia="Times New Roman" w:cs="Times New Roman"/>
                <w:sz w:val="20"/>
                <w:szCs w:val="20"/>
                <w:lang w:eastAsia="ru-RU"/>
              </w:rPr>
              <w:t>1</w:t>
            </w:r>
          </w:p>
        </w:tc>
        <w:tc>
          <w:tcPr>
            <w:tcW w:w="507" w:type="pct"/>
            <w:shd w:val="clear" w:color="auto" w:fill="FFFFFF"/>
            <w:vAlign w:val="center"/>
          </w:tcPr>
          <w:p w14:paraId="4BCAC3F6" w14:textId="77777777" w:rsidR="0000065A" w:rsidRPr="0000065A" w:rsidRDefault="0000065A" w:rsidP="0000065A">
            <w:pPr>
              <w:widowControl w:val="0"/>
              <w:shd w:val="clear" w:color="auto" w:fill="FFFFFF"/>
              <w:ind w:firstLine="0"/>
              <w:jc w:val="center"/>
              <w:rPr>
                <w:rFonts w:eastAsia="Times New Roman" w:cs="Times New Roman"/>
                <w:sz w:val="20"/>
                <w:szCs w:val="20"/>
                <w:lang w:eastAsia="ru-RU"/>
              </w:rPr>
            </w:pPr>
            <w:r w:rsidRPr="0000065A">
              <w:rPr>
                <w:rFonts w:eastAsia="Times New Roman" w:cs="Times New Roman"/>
                <w:sz w:val="20"/>
                <w:szCs w:val="20"/>
                <w:lang w:eastAsia="ru-RU"/>
              </w:rPr>
              <w:t>2,3</w:t>
            </w:r>
          </w:p>
        </w:tc>
      </w:tr>
      <w:tr w:rsidR="0000065A" w:rsidRPr="0000065A" w14:paraId="32B61D67" w14:textId="77777777" w:rsidTr="0000065A">
        <w:trPr>
          <w:trHeight w:val="175"/>
        </w:trPr>
        <w:tc>
          <w:tcPr>
            <w:tcW w:w="3140" w:type="pct"/>
            <w:shd w:val="clear" w:color="auto" w:fill="FFFFFF"/>
          </w:tcPr>
          <w:p w14:paraId="10F0BC7A" w14:textId="77777777" w:rsidR="0000065A" w:rsidRPr="0000065A" w:rsidRDefault="0000065A" w:rsidP="0000065A">
            <w:pPr>
              <w:widowControl w:val="0"/>
              <w:shd w:val="clear" w:color="auto" w:fill="FFFFFF"/>
              <w:ind w:right="133" w:firstLine="0"/>
              <w:jc w:val="left"/>
              <w:rPr>
                <w:rFonts w:eastAsia="Times New Roman" w:cs="Times New Roman"/>
                <w:sz w:val="20"/>
                <w:szCs w:val="20"/>
                <w:lang w:eastAsia="ru-RU"/>
              </w:rPr>
            </w:pPr>
            <w:r w:rsidRPr="0000065A">
              <w:rPr>
                <w:rFonts w:eastAsia="Times New Roman" w:cs="Times New Roman"/>
                <w:sz w:val="20"/>
                <w:szCs w:val="20"/>
                <w:lang w:eastAsia="ru-RU"/>
              </w:rPr>
              <w:t xml:space="preserve">4. Торговые, торгово-сервисные и торгово-развлекательные объекты, объекты </w:t>
            </w:r>
          </w:p>
          <w:p w14:paraId="7E7B556E" w14:textId="77777777" w:rsidR="0000065A" w:rsidRPr="0000065A" w:rsidRDefault="0000065A" w:rsidP="0000065A">
            <w:pPr>
              <w:widowControl w:val="0"/>
              <w:shd w:val="clear" w:color="auto" w:fill="FFFFFF"/>
              <w:ind w:right="133" w:firstLine="0"/>
              <w:jc w:val="left"/>
              <w:rPr>
                <w:rFonts w:eastAsia="Times New Roman" w:cs="Times New Roman"/>
                <w:sz w:val="20"/>
                <w:szCs w:val="20"/>
                <w:lang w:eastAsia="ru-RU"/>
              </w:rPr>
            </w:pPr>
            <w:r w:rsidRPr="0000065A">
              <w:rPr>
                <w:rFonts w:eastAsia="Times New Roman" w:cs="Times New Roman"/>
                <w:sz w:val="20"/>
                <w:szCs w:val="20"/>
                <w:lang w:eastAsia="ru-RU"/>
              </w:rPr>
              <w:t>общепита, заправочные станции</w:t>
            </w:r>
          </w:p>
        </w:tc>
        <w:tc>
          <w:tcPr>
            <w:tcW w:w="546" w:type="pct"/>
            <w:shd w:val="clear" w:color="auto" w:fill="FFFFFF"/>
            <w:vAlign w:val="center"/>
          </w:tcPr>
          <w:p w14:paraId="5C89573E" w14:textId="77777777" w:rsidR="0000065A" w:rsidRPr="0000065A" w:rsidRDefault="0000065A" w:rsidP="0000065A">
            <w:pPr>
              <w:widowControl w:val="0"/>
              <w:shd w:val="clear" w:color="auto" w:fill="FFFFFF"/>
              <w:ind w:firstLine="0"/>
              <w:jc w:val="center"/>
              <w:rPr>
                <w:rFonts w:eastAsia="Times New Roman" w:cs="Times New Roman"/>
                <w:sz w:val="20"/>
                <w:szCs w:val="20"/>
                <w:lang w:eastAsia="ru-RU"/>
              </w:rPr>
            </w:pPr>
            <w:r w:rsidRPr="0000065A">
              <w:rPr>
                <w:rFonts w:eastAsia="Times New Roman" w:cs="Times New Roman"/>
                <w:sz w:val="20"/>
                <w:szCs w:val="20"/>
                <w:lang w:eastAsia="ru-RU"/>
              </w:rPr>
              <w:t>3</w:t>
            </w:r>
          </w:p>
        </w:tc>
        <w:tc>
          <w:tcPr>
            <w:tcW w:w="807" w:type="pct"/>
            <w:shd w:val="clear" w:color="auto" w:fill="FFFFFF"/>
            <w:vAlign w:val="center"/>
          </w:tcPr>
          <w:p w14:paraId="1BE4D026" w14:textId="77777777" w:rsidR="0000065A" w:rsidRPr="0000065A" w:rsidRDefault="0000065A" w:rsidP="0000065A">
            <w:pPr>
              <w:widowControl w:val="0"/>
              <w:shd w:val="clear" w:color="auto" w:fill="FFFFFF"/>
              <w:ind w:firstLine="0"/>
              <w:jc w:val="center"/>
              <w:rPr>
                <w:rFonts w:eastAsia="Times New Roman" w:cs="Times New Roman"/>
                <w:sz w:val="20"/>
                <w:szCs w:val="20"/>
                <w:lang w:eastAsia="ru-RU"/>
              </w:rPr>
            </w:pPr>
            <w:r w:rsidRPr="0000065A">
              <w:rPr>
                <w:rFonts w:eastAsia="Times New Roman" w:cs="Times New Roman"/>
                <w:sz w:val="20"/>
                <w:szCs w:val="20"/>
                <w:lang w:eastAsia="ru-RU"/>
              </w:rPr>
              <w:t>2</w:t>
            </w:r>
          </w:p>
        </w:tc>
        <w:tc>
          <w:tcPr>
            <w:tcW w:w="507" w:type="pct"/>
            <w:shd w:val="clear" w:color="auto" w:fill="FFFFFF"/>
            <w:vAlign w:val="center"/>
          </w:tcPr>
          <w:p w14:paraId="3412077D" w14:textId="77777777" w:rsidR="0000065A" w:rsidRPr="0000065A" w:rsidRDefault="0000065A" w:rsidP="0000065A">
            <w:pPr>
              <w:widowControl w:val="0"/>
              <w:shd w:val="clear" w:color="auto" w:fill="FFFFFF"/>
              <w:ind w:firstLine="0"/>
              <w:jc w:val="center"/>
              <w:rPr>
                <w:rFonts w:eastAsia="Times New Roman" w:cs="Times New Roman"/>
                <w:sz w:val="20"/>
                <w:szCs w:val="20"/>
                <w:lang w:eastAsia="ru-RU"/>
              </w:rPr>
            </w:pPr>
            <w:r w:rsidRPr="0000065A">
              <w:rPr>
                <w:rFonts w:eastAsia="Times New Roman" w:cs="Times New Roman"/>
                <w:sz w:val="20"/>
                <w:szCs w:val="20"/>
                <w:lang w:eastAsia="ru-RU"/>
              </w:rPr>
              <w:t>1</w:t>
            </w:r>
          </w:p>
        </w:tc>
      </w:tr>
      <w:tr w:rsidR="0000065A" w:rsidRPr="0000065A" w14:paraId="7BF8E1CE" w14:textId="77777777" w:rsidTr="0000065A">
        <w:trPr>
          <w:trHeight w:val="175"/>
        </w:trPr>
        <w:tc>
          <w:tcPr>
            <w:tcW w:w="3140" w:type="pct"/>
            <w:shd w:val="clear" w:color="auto" w:fill="FFFFFF"/>
          </w:tcPr>
          <w:p w14:paraId="0F92CDD7" w14:textId="77777777" w:rsidR="0000065A" w:rsidRPr="0000065A" w:rsidRDefault="0000065A" w:rsidP="0000065A">
            <w:pPr>
              <w:widowControl w:val="0"/>
              <w:shd w:val="clear" w:color="auto" w:fill="FFFFFF"/>
              <w:ind w:right="133" w:firstLine="0"/>
              <w:jc w:val="left"/>
              <w:rPr>
                <w:rFonts w:eastAsia="Times New Roman" w:cs="Times New Roman"/>
                <w:sz w:val="20"/>
                <w:szCs w:val="20"/>
                <w:lang w:eastAsia="ru-RU"/>
              </w:rPr>
            </w:pPr>
            <w:r w:rsidRPr="0000065A">
              <w:rPr>
                <w:rFonts w:eastAsia="Times New Roman" w:cs="Times New Roman"/>
                <w:sz w:val="20"/>
                <w:szCs w:val="20"/>
                <w:lang w:eastAsia="ru-RU"/>
              </w:rPr>
              <w:t>5. Объекты временного проживания, включая объекты рекреационно-оздоровительного значения</w:t>
            </w:r>
          </w:p>
        </w:tc>
        <w:tc>
          <w:tcPr>
            <w:tcW w:w="546" w:type="pct"/>
            <w:shd w:val="clear" w:color="auto" w:fill="FFFFFF"/>
            <w:vAlign w:val="center"/>
          </w:tcPr>
          <w:p w14:paraId="0DEF6748" w14:textId="77777777" w:rsidR="0000065A" w:rsidRPr="0000065A" w:rsidRDefault="0000065A" w:rsidP="0000065A">
            <w:pPr>
              <w:widowControl w:val="0"/>
              <w:shd w:val="clear" w:color="auto" w:fill="FFFFFF"/>
              <w:ind w:firstLine="0"/>
              <w:jc w:val="center"/>
              <w:rPr>
                <w:rFonts w:eastAsia="Times New Roman" w:cs="Times New Roman"/>
                <w:sz w:val="20"/>
                <w:szCs w:val="20"/>
                <w:lang w:eastAsia="ru-RU"/>
              </w:rPr>
            </w:pPr>
            <w:r w:rsidRPr="0000065A">
              <w:rPr>
                <w:rFonts w:eastAsia="Times New Roman" w:cs="Times New Roman"/>
                <w:sz w:val="20"/>
                <w:szCs w:val="20"/>
                <w:lang w:eastAsia="ru-RU"/>
              </w:rPr>
              <w:t>2</w:t>
            </w:r>
          </w:p>
        </w:tc>
        <w:tc>
          <w:tcPr>
            <w:tcW w:w="807" w:type="pct"/>
            <w:shd w:val="clear" w:color="auto" w:fill="FFFFFF"/>
            <w:vAlign w:val="center"/>
          </w:tcPr>
          <w:p w14:paraId="3459F525" w14:textId="77777777" w:rsidR="0000065A" w:rsidRPr="0000065A" w:rsidRDefault="0000065A" w:rsidP="0000065A">
            <w:pPr>
              <w:widowControl w:val="0"/>
              <w:shd w:val="clear" w:color="auto" w:fill="FFFFFF"/>
              <w:ind w:firstLine="0"/>
              <w:jc w:val="center"/>
              <w:rPr>
                <w:rFonts w:eastAsia="Times New Roman" w:cs="Times New Roman"/>
                <w:sz w:val="20"/>
                <w:szCs w:val="20"/>
                <w:lang w:eastAsia="ru-RU"/>
              </w:rPr>
            </w:pPr>
            <w:r w:rsidRPr="0000065A">
              <w:rPr>
                <w:rFonts w:eastAsia="Times New Roman" w:cs="Times New Roman"/>
                <w:sz w:val="20"/>
                <w:szCs w:val="20"/>
                <w:lang w:eastAsia="ru-RU"/>
              </w:rPr>
              <w:t>3</w:t>
            </w:r>
          </w:p>
        </w:tc>
        <w:tc>
          <w:tcPr>
            <w:tcW w:w="507" w:type="pct"/>
            <w:shd w:val="clear" w:color="auto" w:fill="FFFFFF"/>
            <w:vAlign w:val="center"/>
          </w:tcPr>
          <w:p w14:paraId="7A1E6AEC" w14:textId="77777777" w:rsidR="0000065A" w:rsidRPr="0000065A" w:rsidRDefault="0000065A" w:rsidP="0000065A">
            <w:pPr>
              <w:widowControl w:val="0"/>
              <w:shd w:val="clear" w:color="auto" w:fill="FFFFFF"/>
              <w:ind w:firstLine="0"/>
              <w:jc w:val="center"/>
              <w:rPr>
                <w:rFonts w:eastAsia="Times New Roman" w:cs="Times New Roman"/>
                <w:sz w:val="20"/>
                <w:szCs w:val="20"/>
                <w:lang w:eastAsia="ru-RU"/>
              </w:rPr>
            </w:pPr>
            <w:r w:rsidRPr="0000065A">
              <w:rPr>
                <w:rFonts w:eastAsia="Times New Roman" w:cs="Times New Roman"/>
                <w:sz w:val="20"/>
                <w:szCs w:val="20"/>
                <w:lang w:eastAsia="ru-RU"/>
              </w:rPr>
              <w:t>1</w:t>
            </w:r>
          </w:p>
        </w:tc>
      </w:tr>
      <w:tr w:rsidR="0000065A" w:rsidRPr="0000065A" w14:paraId="21A61ECD" w14:textId="77777777" w:rsidTr="0000065A">
        <w:trPr>
          <w:trHeight w:val="175"/>
        </w:trPr>
        <w:tc>
          <w:tcPr>
            <w:tcW w:w="3140" w:type="pct"/>
            <w:shd w:val="clear" w:color="auto" w:fill="FFFFFF"/>
          </w:tcPr>
          <w:p w14:paraId="15FBA8A1" w14:textId="77777777" w:rsidR="0000065A" w:rsidRPr="0000065A" w:rsidRDefault="0000065A" w:rsidP="0000065A">
            <w:pPr>
              <w:widowControl w:val="0"/>
              <w:shd w:val="clear" w:color="auto" w:fill="FFFFFF"/>
              <w:ind w:right="133" w:firstLine="0"/>
              <w:jc w:val="left"/>
              <w:rPr>
                <w:rFonts w:eastAsia="Times New Roman" w:cs="Times New Roman"/>
                <w:sz w:val="20"/>
                <w:szCs w:val="20"/>
                <w:lang w:eastAsia="ru-RU"/>
              </w:rPr>
            </w:pPr>
            <w:r w:rsidRPr="0000065A">
              <w:rPr>
                <w:rFonts w:eastAsia="Times New Roman" w:cs="Times New Roman"/>
                <w:sz w:val="20"/>
                <w:szCs w:val="20"/>
                <w:lang w:eastAsia="ru-RU"/>
              </w:rPr>
              <w:t xml:space="preserve">6. Административные и бытовые объекты </w:t>
            </w:r>
          </w:p>
        </w:tc>
        <w:tc>
          <w:tcPr>
            <w:tcW w:w="546" w:type="pct"/>
            <w:shd w:val="clear" w:color="auto" w:fill="FFFFFF"/>
            <w:vAlign w:val="center"/>
          </w:tcPr>
          <w:p w14:paraId="7280E7A6" w14:textId="77777777" w:rsidR="0000065A" w:rsidRPr="0000065A" w:rsidRDefault="0000065A" w:rsidP="0000065A">
            <w:pPr>
              <w:widowControl w:val="0"/>
              <w:shd w:val="clear" w:color="auto" w:fill="FFFFFF"/>
              <w:ind w:firstLine="0"/>
              <w:jc w:val="center"/>
              <w:rPr>
                <w:rFonts w:eastAsia="Times New Roman" w:cs="Times New Roman"/>
                <w:sz w:val="20"/>
                <w:szCs w:val="20"/>
                <w:lang w:eastAsia="ru-RU"/>
              </w:rPr>
            </w:pPr>
            <w:r w:rsidRPr="0000065A">
              <w:rPr>
                <w:rFonts w:eastAsia="Times New Roman" w:cs="Times New Roman"/>
                <w:sz w:val="20"/>
                <w:szCs w:val="20"/>
                <w:lang w:eastAsia="ru-RU"/>
              </w:rPr>
              <w:t>3</w:t>
            </w:r>
          </w:p>
        </w:tc>
        <w:tc>
          <w:tcPr>
            <w:tcW w:w="807" w:type="pct"/>
            <w:shd w:val="clear" w:color="auto" w:fill="FFFFFF"/>
            <w:vAlign w:val="center"/>
          </w:tcPr>
          <w:p w14:paraId="5643D03A" w14:textId="77777777" w:rsidR="0000065A" w:rsidRPr="0000065A" w:rsidRDefault="0000065A" w:rsidP="0000065A">
            <w:pPr>
              <w:widowControl w:val="0"/>
              <w:shd w:val="clear" w:color="auto" w:fill="FFFFFF"/>
              <w:ind w:firstLine="0"/>
              <w:jc w:val="center"/>
              <w:rPr>
                <w:rFonts w:eastAsia="Times New Roman" w:cs="Times New Roman"/>
                <w:sz w:val="20"/>
                <w:szCs w:val="20"/>
                <w:lang w:eastAsia="ru-RU"/>
              </w:rPr>
            </w:pPr>
            <w:r w:rsidRPr="0000065A">
              <w:rPr>
                <w:rFonts w:eastAsia="Times New Roman" w:cs="Times New Roman"/>
                <w:sz w:val="20"/>
                <w:szCs w:val="20"/>
                <w:lang w:eastAsia="ru-RU"/>
              </w:rPr>
              <w:t>2</w:t>
            </w:r>
          </w:p>
        </w:tc>
        <w:tc>
          <w:tcPr>
            <w:tcW w:w="507" w:type="pct"/>
            <w:shd w:val="clear" w:color="auto" w:fill="FFFFFF"/>
            <w:vAlign w:val="center"/>
          </w:tcPr>
          <w:p w14:paraId="029823E8" w14:textId="77777777" w:rsidR="0000065A" w:rsidRPr="0000065A" w:rsidRDefault="0000065A" w:rsidP="0000065A">
            <w:pPr>
              <w:widowControl w:val="0"/>
              <w:shd w:val="clear" w:color="auto" w:fill="FFFFFF"/>
              <w:ind w:firstLine="0"/>
              <w:jc w:val="center"/>
              <w:rPr>
                <w:rFonts w:eastAsia="Times New Roman" w:cs="Times New Roman"/>
                <w:sz w:val="20"/>
                <w:szCs w:val="20"/>
                <w:lang w:eastAsia="ru-RU"/>
              </w:rPr>
            </w:pPr>
            <w:r w:rsidRPr="0000065A">
              <w:rPr>
                <w:rFonts w:eastAsia="Times New Roman" w:cs="Times New Roman"/>
                <w:sz w:val="20"/>
                <w:szCs w:val="20"/>
                <w:lang w:eastAsia="ru-RU"/>
              </w:rPr>
              <w:t>1</w:t>
            </w:r>
          </w:p>
        </w:tc>
      </w:tr>
      <w:tr w:rsidR="0000065A" w:rsidRPr="0000065A" w14:paraId="6BBFEEC6" w14:textId="77777777" w:rsidTr="0000065A">
        <w:trPr>
          <w:trHeight w:val="175"/>
        </w:trPr>
        <w:tc>
          <w:tcPr>
            <w:tcW w:w="3140" w:type="pct"/>
            <w:shd w:val="clear" w:color="auto" w:fill="FFFFFF"/>
          </w:tcPr>
          <w:p w14:paraId="7CF855B2" w14:textId="77777777" w:rsidR="0000065A" w:rsidRPr="0000065A" w:rsidRDefault="0000065A" w:rsidP="0000065A">
            <w:pPr>
              <w:widowControl w:val="0"/>
              <w:shd w:val="clear" w:color="auto" w:fill="FFFFFF"/>
              <w:ind w:right="133" w:firstLine="0"/>
              <w:jc w:val="left"/>
              <w:rPr>
                <w:rFonts w:eastAsia="Times New Roman" w:cs="Times New Roman"/>
                <w:sz w:val="20"/>
                <w:szCs w:val="20"/>
                <w:lang w:eastAsia="ru-RU"/>
              </w:rPr>
            </w:pPr>
            <w:r w:rsidRPr="0000065A">
              <w:rPr>
                <w:rFonts w:eastAsia="Times New Roman" w:cs="Times New Roman"/>
                <w:sz w:val="20"/>
                <w:szCs w:val="20"/>
                <w:lang w:eastAsia="ru-RU"/>
              </w:rPr>
              <w:t xml:space="preserve">7. Объекты производственного, производственно-складского и складского </w:t>
            </w:r>
          </w:p>
          <w:p w14:paraId="5DFC797C" w14:textId="77777777" w:rsidR="0000065A" w:rsidRPr="0000065A" w:rsidRDefault="0000065A" w:rsidP="0000065A">
            <w:pPr>
              <w:widowControl w:val="0"/>
              <w:shd w:val="clear" w:color="auto" w:fill="FFFFFF"/>
              <w:ind w:right="133" w:firstLine="0"/>
              <w:jc w:val="left"/>
              <w:rPr>
                <w:rFonts w:eastAsia="Times New Roman" w:cs="Times New Roman"/>
                <w:sz w:val="20"/>
                <w:szCs w:val="20"/>
                <w:lang w:eastAsia="ru-RU"/>
              </w:rPr>
            </w:pPr>
            <w:r w:rsidRPr="0000065A">
              <w:rPr>
                <w:rFonts w:eastAsia="Times New Roman" w:cs="Times New Roman"/>
                <w:sz w:val="20"/>
                <w:szCs w:val="20"/>
                <w:lang w:eastAsia="ru-RU"/>
              </w:rPr>
              <w:t>назначения, за исключением передаточных устройств и сооружений</w:t>
            </w:r>
          </w:p>
        </w:tc>
        <w:tc>
          <w:tcPr>
            <w:tcW w:w="546" w:type="pct"/>
            <w:shd w:val="clear" w:color="auto" w:fill="FFFFFF"/>
            <w:vAlign w:val="center"/>
          </w:tcPr>
          <w:p w14:paraId="39CD7293" w14:textId="77777777" w:rsidR="0000065A" w:rsidRPr="0000065A" w:rsidRDefault="0000065A" w:rsidP="0000065A">
            <w:pPr>
              <w:widowControl w:val="0"/>
              <w:shd w:val="clear" w:color="auto" w:fill="FFFFFF"/>
              <w:ind w:firstLine="0"/>
              <w:jc w:val="center"/>
              <w:rPr>
                <w:rFonts w:eastAsia="Times New Roman" w:cs="Times New Roman"/>
                <w:sz w:val="20"/>
                <w:szCs w:val="20"/>
                <w:lang w:eastAsia="ru-RU"/>
              </w:rPr>
            </w:pPr>
            <w:r w:rsidRPr="0000065A">
              <w:rPr>
                <w:rFonts w:eastAsia="Times New Roman" w:cs="Times New Roman"/>
                <w:sz w:val="20"/>
                <w:szCs w:val="20"/>
                <w:lang w:eastAsia="ru-RU"/>
              </w:rPr>
              <w:t>1,2</w:t>
            </w:r>
          </w:p>
        </w:tc>
        <w:tc>
          <w:tcPr>
            <w:tcW w:w="807" w:type="pct"/>
            <w:shd w:val="clear" w:color="auto" w:fill="FFFFFF"/>
            <w:vAlign w:val="center"/>
          </w:tcPr>
          <w:p w14:paraId="19B133CB" w14:textId="77777777" w:rsidR="0000065A" w:rsidRPr="0000065A" w:rsidRDefault="0000065A" w:rsidP="0000065A">
            <w:pPr>
              <w:widowControl w:val="0"/>
              <w:shd w:val="clear" w:color="auto" w:fill="FFFFFF"/>
              <w:ind w:firstLine="0"/>
              <w:jc w:val="center"/>
              <w:rPr>
                <w:rFonts w:eastAsia="Times New Roman" w:cs="Times New Roman"/>
                <w:sz w:val="20"/>
                <w:szCs w:val="20"/>
                <w:lang w:eastAsia="ru-RU"/>
              </w:rPr>
            </w:pPr>
            <w:r w:rsidRPr="0000065A">
              <w:rPr>
                <w:rFonts w:eastAsia="Times New Roman" w:cs="Times New Roman"/>
                <w:sz w:val="20"/>
                <w:szCs w:val="20"/>
                <w:lang w:eastAsia="ru-RU"/>
              </w:rPr>
              <w:t>3</w:t>
            </w:r>
          </w:p>
        </w:tc>
        <w:tc>
          <w:tcPr>
            <w:tcW w:w="507" w:type="pct"/>
            <w:shd w:val="clear" w:color="auto" w:fill="FFFFFF"/>
            <w:vAlign w:val="center"/>
          </w:tcPr>
          <w:p w14:paraId="3E1CA3AD" w14:textId="77777777" w:rsidR="0000065A" w:rsidRPr="0000065A" w:rsidRDefault="0000065A" w:rsidP="0000065A">
            <w:pPr>
              <w:widowControl w:val="0"/>
              <w:shd w:val="clear" w:color="auto" w:fill="FFFFFF"/>
              <w:ind w:firstLine="0"/>
              <w:jc w:val="center"/>
              <w:rPr>
                <w:rFonts w:eastAsia="Times New Roman" w:cs="Times New Roman"/>
                <w:sz w:val="20"/>
                <w:szCs w:val="20"/>
                <w:lang w:eastAsia="ru-RU"/>
              </w:rPr>
            </w:pPr>
            <w:r w:rsidRPr="0000065A">
              <w:rPr>
                <w:rFonts w:eastAsia="Times New Roman" w:cs="Times New Roman"/>
                <w:sz w:val="20"/>
                <w:szCs w:val="20"/>
                <w:lang w:eastAsia="ru-RU"/>
              </w:rPr>
              <w:t>1,2</w:t>
            </w:r>
          </w:p>
        </w:tc>
      </w:tr>
      <w:tr w:rsidR="0000065A" w:rsidRPr="0000065A" w14:paraId="15A14711" w14:textId="77777777" w:rsidTr="0000065A">
        <w:trPr>
          <w:trHeight w:val="175"/>
        </w:trPr>
        <w:tc>
          <w:tcPr>
            <w:tcW w:w="3140" w:type="pct"/>
            <w:shd w:val="clear" w:color="auto" w:fill="FFFFFF"/>
          </w:tcPr>
          <w:p w14:paraId="3D381458" w14:textId="77777777" w:rsidR="0000065A" w:rsidRPr="0000065A" w:rsidRDefault="0000065A" w:rsidP="0000065A">
            <w:pPr>
              <w:widowControl w:val="0"/>
              <w:shd w:val="clear" w:color="auto" w:fill="FFFFFF"/>
              <w:ind w:right="133" w:firstLine="0"/>
              <w:jc w:val="left"/>
              <w:rPr>
                <w:rFonts w:eastAsia="Times New Roman" w:cs="Times New Roman"/>
                <w:sz w:val="20"/>
                <w:szCs w:val="20"/>
                <w:lang w:eastAsia="ru-RU"/>
              </w:rPr>
            </w:pPr>
            <w:r w:rsidRPr="0000065A">
              <w:rPr>
                <w:rFonts w:eastAsia="Times New Roman" w:cs="Times New Roman"/>
                <w:sz w:val="20"/>
                <w:szCs w:val="20"/>
                <w:lang w:eastAsia="ru-RU"/>
              </w:rPr>
              <w:t xml:space="preserve">8. Учебные, спортивные объекты, объекты культуры и искусства, культовые </w:t>
            </w:r>
          </w:p>
          <w:p w14:paraId="2B715BE5" w14:textId="77777777" w:rsidR="0000065A" w:rsidRPr="0000065A" w:rsidRDefault="0000065A" w:rsidP="0000065A">
            <w:pPr>
              <w:widowControl w:val="0"/>
              <w:shd w:val="clear" w:color="auto" w:fill="FFFFFF"/>
              <w:ind w:right="133" w:firstLine="0"/>
              <w:jc w:val="left"/>
              <w:rPr>
                <w:rFonts w:eastAsia="Times New Roman" w:cs="Times New Roman"/>
                <w:sz w:val="20"/>
                <w:szCs w:val="20"/>
                <w:lang w:eastAsia="ru-RU"/>
              </w:rPr>
            </w:pPr>
            <w:r w:rsidRPr="0000065A">
              <w:rPr>
                <w:rFonts w:eastAsia="Times New Roman" w:cs="Times New Roman"/>
                <w:sz w:val="20"/>
                <w:szCs w:val="20"/>
                <w:lang w:eastAsia="ru-RU"/>
              </w:rPr>
              <w:t>объекты, музеи, лечебно-оздоровительные объекты</w:t>
            </w:r>
          </w:p>
        </w:tc>
        <w:tc>
          <w:tcPr>
            <w:tcW w:w="546" w:type="pct"/>
            <w:shd w:val="clear" w:color="auto" w:fill="FFFFFF"/>
            <w:vAlign w:val="center"/>
          </w:tcPr>
          <w:p w14:paraId="36DF378F" w14:textId="77777777" w:rsidR="0000065A" w:rsidRPr="0000065A" w:rsidRDefault="0000065A" w:rsidP="0000065A">
            <w:pPr>
              <w:widowControl w:val="0"/>
              <w:shd w:val="clear" w:color="auto" w:fill="FFFFFF"/>
              <w:ind w:firstLine="0"/>
              <w:jc w:val="center"/>
              <w:rPr>
                <w:rFonts w:eastAsia="Times New Roman" w:cs="Times New Roman"/>
                <w:sz w:val="20"/>
                <w:szCs w:val="20"/>
                <w:lang w:eastAsia="ru-RU"/>
              </w:rPr>
            </w:pPr>
            <w:r w:rsidRPr="0000065A">
              <w:rPr>
                <w:rFonts w:eastAsia="Times New Roman" w:cs="Times New Roman"/>
                <w:sz w:val="20"/>
                <w:szCs w:val="20"/>
                <w:lang w:eastAsia="ru-RU"/>
              </w:rPr>
              <w:t>1</w:t>
            </w:r>
          </w:p>
        </w:tc>
        <w:tc>
          <w:tcPr>
            <w:tcW w:w="807" w:type="pct"/>
            <w:shd w:val="clear" w:color="auto" w:fill="FFFFFF"/>
            <w:vAlign w:val="center"/>
          </w:tcPr>
          <w:p w14:paraId="2C633AD9" w14:textId="77777777" w:rsidR="0000065A" w:rsidRPr="0000065A" w:rsidRDefault="0000065A" w:rsidP="0000065A">
            <w:pPr>
              <w:widowControl w:val="0"/>
              <w:shd w:val="clear" w:color="auto" w:fill="FFFFFF"/>
              <w:ind w:firstLine="0"/>
              <w:jc w:val="center"/>
              <w:rPr>
                <w:rFonts w:eastAsia="Times New Roman" w:cs="Times New Roman"/>
                <w:sz w:val="20"/>
                <w:szCs w:val="20"/>
                <w:lang w:eastAsia="ru-RU"/>
              </w:rPr>
            </w:pPr>
            <w:r w:rsidRPr="0000065A">
              <w:rPr>
                <w:rFonts w:eastAsia="Times New Roman" w:cs="Times New Roman"/>
                <w:sz w:val="20"/>
                <w:szCs w:val="20"/>
                <w:lang w:eastAsia="ru-RU"/>
              </w:rPr>
              <w:t>2,3</w:t>
            </w:r>
          </w:p>
        </w:tc>
        <w:tc>
          <w:tcPr>
            <w:tcW w:w="507" w:type="pct"/>
            <w:shd w:val="clear" w:color="auto" w:fill="FFFFFF"/>
            <w:vAlign w:val="center"/>
          </w:tcPr>
          <w:p w14:paraId="75D55EC3" w14:textId="77777777" w:rsidR="0000065A" w:rsidRPr="0000065A" w:rsidRDefault="0000065A" w:rsidP="0000065A">
            <w:pPr>
              <w:widowControl w:val="0"/>
              <w:shd w:val="clear" w:color="auto" w:fill="FFFFFF"/>
              <w:ind w:firstLine="0"/>
              <w:jc w:val="center"/>
              <w:rPr>
                <w:rFonts w:eastAsia="Times New Roman" w:cs="Times New Roman"/>
                <w:sz w:val="20"/>
                <w:szCs w:val="20"/>
                <w:lang w:eastAsia="ru-RU"/>
              </w:rPr>
            </w:pPr>
            <w:r w:rsidRPr="0000065A">
              <w:rPr>
                <w:rFonts w:eastAsia="Times New Roman" w:cs="Times New Roman"/>
                <w:sz w:val="20"/>
                <w:szCs w:val="20"/>
                <w:lang w:eastAsia="ru-RU"/>
              </w:rPr>
              <w:t>2,3</w:t>
            </w:r>
          </w:p>
        </w:tc>
      </w:tr>
      <w:tr w:rsidR="0000065A" w:rsidRPr="0000065A" w14:paraId="50D43B7F" w14:textId="77777777" w:rsidTr="0000065A">
        <w:trPr>
          <w:trHeight w:val="175"/>
        </w:trPr>
        <w:tc>
          <w:tcPr>
            <w:tcW w:w="3140" w:type="pct"/>
            <w:shd w:val="clear" w:color="auto" w:fill="FFFFFF"/>
          </w:tcPr>
          <w:p w14:paraId="67302420" w14:textId="77777777" w:rsidR="0000065A" w:rsidRPr="0000065A" w:rsidRDefault="0000065A" w:rsidP="0000065A">
            <w:pPr>
              <w:widowControl w:val="0"/>
              <w:shd w:val="clear" w:color="auto" w:fill="FFFFFF"/>
              <w:ind w:firstLine="0"/>
              <w:jc w:val="left"/>
              <w:rPr>
                <w:rFonts w:eastAsia="Times New Roman" w:cs="Times New Roman"/>
                <w:sz w:val="20"/>
                <w:szCs w:val="20"/>
                <w:lang w:eastAsia="ru-RU"/>
              </w:rPr>
            </w:pPr>
            <w:r w:rsidRPr="0000065A">
              <w:rPr>
                <w:rFonts w:eastAsia="Times New Roman" w:cs="Times New Roman"/>
                <w:sz w:val="20"/>
                <w:szCs w:val="20"/>
                <w:lang w:eastAsia="ru-RU"/>
              </w:rPr>
              <w:t>9. Прочие объекты</w:t>
            </w:r>
          </w:p>
        </w:tc>
        <w:tc>
          <w:tcPr>
            <w:tcW w:w="546" w:type="pct"/>
            <w:shd w:val="clear" w:color="auto" w:fill="FFFFFF"/>
            <w:vAlign w:val="center"/>
          </w:tcPr>
          <w:p w14:paraId="3CE6CE5F" w14:textId="77777777" w:rsidR="0000065A" w:rsidRPr="0000065A" w:rsidRDefault="0000065A" w:rsidP="0000065A">
            <w:pPr>
              <w:widowControl w:val="0"/>
              <w:shd w:val="clear" w:color="auto" w:fill="FFFFFF"/>
              <w:ind w:firstLine="0"/>
              <w:jc w:val="center"/>
              <w:rPr>
                <w:rFonts w:eastAsia="Times New Roman" w:cs="Times New Roman"/>
                <w:sz w:val="20"/>
                <w:szCs w:val="20"/>
                <w:lang w:eastAsia="ru-RU"/>
              </w:rPr>
            </w:pPr>
            <w:r w:rsidRPr="0000065A">
              <w:rPr>
                <w:rFonts w:eastAsia="Times New Roman" w:cs="Times New Roman"/>
                <w:sz w:val="20"/>
                <w:szCs w:val="20"/>
                <w:lang w:eastAsia="ru-RU"/>
              </w:rPr>
              <w:t>1</w:t>
            </w:r>
          </w:p>
        </w:tc>
        <w:tc>
          <w:tcPr>
            <w:tcW w:w="807" w:type="pct"/>
            <w:shd w:val="clear" w:color="auto" w:fill="FFFFFF"/>
            <w:vAlign w:val="center"/>
          </w:tcPr>
          <w:p w14:paraId="7D87D7D1" w14:textId="77777777" w:rsidR="0000065A" w:rsidRPr="0000065A" w:rsidRDefault="0000065A" w:rsidP="0000065A">
            <w:pPr>
              <w:widowControl w:val="0"/>
              <w:shd w:val="clear" w:color="auto" w:fill="FFFFFF"/>
              <w:ind w:firstLine="0"/>
              <w:jc w:val="center"/>
              <w:rPr>
                <w:rFonts w:eastAsia="Times New Roman" w:cs="Times New Roman"/>
                <w:sz w:val="20"/>
                <w:szCs w:val="20"/>
                <w:lang w:eastAsia="ru-RU"/>
              </w:rPr>
            </w:pPr>
            <w:r w:rsidRPr="0000065A">
              <w:rPr>
                <w:rFonts w:eastAsia="Times New Roman" w:cs="Times New Roman"/>
                <w:sz w:val="20"/>
                <w:szCs w:val="20"/>
                <w:lang w:eastAsia="ru-RU"/>
              </w:rPr>
              <w:t>2,3</w:t>
            </w:r>
          </w:p>
        </w:tc>
        <w:tc>
          <w:tcPr>
            <w:tcW w:w="507" w:type="pct"/>
            <w:shd w:val="clear" w:color="auto" w:fill="FFFFFF"/>
            <w:vAlign w:val="center"/>
          </w:tcPr>
          <w:p w14:paraId="5F6F6DCD" w14:textId="77777777" w:rsidR="0000065A" w:rsidRPr="0000065A" w:rsidRDefault="0000065A" w:rsidP="0000065A">
            <w:pPr>
              <w:widowControl w:val="0"/>
              <w:shd w:val="clear" w:color="auto" w:fill="FFFFFF"/>
              <w:ind w:firstLine="0"/>
              <w:jc w:val="center"/>
              <w:rPr>
                <w:rFonts w:eastAsia="Times New Roman" w:cs="Times New Roman"/>
                <w:sz w:val="20"/>
                <w:szCs w:val="20"/>
                <w:lang w:eastAsia="ru-RU"/>
              </w:rPr>
            </w:pPr>
            <w:r w:rsidRPr="0000065A">
              <w:rPr>
                <w:rFonts w:eastAsia="Times New Roman" w:cs="Times New Roman"/>
                <w:sz w:val="20"/>
                <w:szCs w:val="20"/>
                <w:lang w:eastAsia="ru-RU"/>
              </w:rPr>
              <w:t>2,3</w:t>
            </w:r>
          </w:p>
        </w:tc>
      </w:tr>
      <w:tr w:rsidR="0000065A" w:rsidRPr="0000065A" w14:paraId="4685ABC0" w14:textId="77777777" w:rsidTr="0000065A">
        <w:trPr>
          <w:trHeight w:val="175"/>
        </w:trPr>
        <w:tc>
          <w:tcPr>
            <w:tcW w:w="3140" w:type="pct"/>
            <w:shd w:val="clear" w:color="auto" w:fill="FFFFFF"/>
          </w:tcPr>
          <w:p w14:paraId="78FB51CC" w14:textId="77777777" w:rsidR="0000065A" w:rsidRPr="0000065A" w:rsidRDefault="0000065A" w:rsidP="0000065A">
            <w:pPr>
              <w:widowControl w:val="0"/>
              <w:shd w:val="clear" w:color="auto" w:fill="FFFFFF"/>
              <w:ind w:firstLine="0"/>
              <w:jc w:val="left"/>
              <w:rPr>
                <w:rFonts w:eastAsia="Times New Roman" w:cs="Times New Roman"/>
                <w:sz w:val="20"/>
                <w:szCs w:val="20"/>
                <w:lang w:eastAsia="ru-RU"/>
              </w:rPr>
            </w:pPr>
            <w:r w:rsidRPr="0000065A">
              <w:rPr>
                <w:rFonts w:eastAsia="Times New Roman" w:cs="Times New Roman"/>
                <w:sz w:val="20"/>
                <w:szCs w:val="20"/>
                <w:lang w:eastAsia="ru-RU"/>
              </w:rPr>
              <w:t>10. Сооружения</w:t>
            </w:r>
          </w:p>
        </w:tc>
        <w:tc>
          <w:tcPr>
            <w:tcW w:w="546" w:type="pct"/>
            <w:shd w:val="clear" w:color="auto" w:fill="FFFFFF"/>
            <w:vAlign w:val="center"/>
          </w:tcPr>
          <w:p w14:paraId="5C7DF711" w14:textId="77777777" w:rsidR="0000065A" w:rsidRPr="0000065A" w:rsidRDefault="0000065A" w:rsidP="0000065A">
            <w:pPr>
              <w:widowControl w:val="0"/>
              <w:shd w:val="clear" w:color="auto" w:fill="FFFFFF"/>
              <w:ind w:firstLine="0"/>
              <w:jc w:val="center"/>
              <w:rPr>
                <w:rFonts w:eastAsia="Times New Roman" w:cs="Times New Roman"/>
                <w:sz w:val="20"/>
                <w:szCs w:val="20"/>
                <w:lang w:eastAsia="ru-RU"/>
              </w:rPr>
            </w:pPr>
            <w:r w:rsidRPr="0000065A">
              <w:rPr>
                <w:rFonts w:eastAsia="Times New Roman" w:cs="Times New Roman"/>
                <w:sz w:val="20"/>
                <w:szCs w:val="20"/>
                <w:lang w:eastAsia="ru-RU"/>
              </w:rPr>
              <w:t>1</w:t>
            </w:r>
          </w:p>
        </w:tc>
        <w:tc>
          <w:tcPr>
            <w:tcW w:w="807" w:type="pct"/>
            <w:shd w:val="clear" w:color="auto" w:fill="FFFFFF"/>
            <w:vAlign w:val="center"/>
          </w:tcPr>
          <w:p w14:paraId="677C4008" w14:textId="77777777" w:rsidR="0000065A" w:rsidRPr="0000065A" w:rsidRDefault="0000065A" w:rsidP="0000065A">
            <w:pPr>
              <w:widowControl w:val="0"/>
              <w:shd w:val="clear" w:color="auto" w:fill="FFFFFF"/>
              <w:ind w:firstLine="0"/>
              <w:jc w:val="center"/>
              <w:rPr>
                <w:rFonts w:eastAsia="Times New Roman" w:cs="Times New Roman"/>
                <w:sz w:val="20"/>
                <w:szCs w:val="20"/>
                <w:lang w:eastAsia="ru-RU"/>
              </w:rPr>
            </w:pPr>
            <w:r w:rsidRPr="0000065A">
              <w:rPr>
                <w:rFonts w:eastAsia="Times New Roman" w:cs="Times New Roman"/>
                <w:sz w:val="20"/>
                <w:szCs w:val="20"/>
                <w:lang w:eastAsia="ru-RU"/>
              </w:rPr>
              <w:t>2,3</w:t>
            </w:r>
          </w:p>
        </w:tc>
        <w:tc>
          <w:tcPr>
            <w:tcW w:w="507" w:type="pct"/>
            <w:shd w:val="clear" w:color="auto" w:fill="FFFFFF"/>
            <w:vAlign w:val="center"/>
          </w:tcPr>
          <w:p w14:paraId="24B17296" w14:textId="77777777" w:rsidR="0000065A" w:rsidRPr="0000065A" w:rsidRDefault="0000065A" w:rsidP="0000065A">
            <w:pPr>
              <w:widowControl w:val="0"/>
              <w:shd w:val="clear" w:color="auto" w:fill="FFFFFF"/>
              <w:ind w:firstLine="0"/>
              <w:jc w:val="center"/>
              <w:rPr>
                <w:rFonts w:eastAsia="Times New Roman" w:cs="Times New Roman"/>
                <w:sz w:val="20"/>
                <w:szCs w:val="20"/>
                <w:lang w:eastAsia="ru-RU"/>
              </w:rPr>
            </w:pPr>
            <w:r w:rsidRPr="0000065A">
              <w:rPr>
                <w:rFonts w:eastAsia="Times New Roman" w:cs="Times New Roman"/>
                <w:sz w:val="20"/>
                <w:szCs w:val="20"/>
                <w:lang w:eastAsia="ru-RU"/>
              </w:rPr>
              <w:t>2,3</w:t>
            </w:r>
          </w:p>
        </w:tc>
      </w:tr>
    </w:tbl>
    <w:p w14:paraId="111AB4A0" w14:textId="77777777" w:rsidR="0000065A" w:rsidRPr="0000065A" w:rsidRDefault="0000065A" w:rsidP="0000065A">
      <w:pPr>
        <w:widowControl w:val="0"/>
        <w:ind w:firstLine="720"/>
        <w:rPr>
          <w:rFonts w:eastAsia="Times New Roman" w:cs="Times New Roman"/>
          <w:szCs w:val="24"/>
          <w:lang w:eastAsia="ru-RU"/>
        </w:rPr>
      </w:pPr>
    </w:p>
    <w:p w14:paraId="489029BA" w14:textId="08271563" w:rsidR="0000065A" w:rsidRPr="0000065A" w:rsidRDefault="0000065A" w:rsidP="0000065A">
      <w:pPr>
        <w:widowControl w:val="0"/>
        <w:spacing w:before="120"/>
        <w:ind w:firstLine="720"/>
        <w:rPr>
          <w:rFonts w:eastAsia="Times New Roman" w:cs="Times New Roman"/>
          <w:szCs w:val="24"/>
          <w:lang w:eastAsia="ru-RU"/>
        </w:rPr>
      </w:pPr>
      <w:r w:rsidRPr="0000065A">
        <w:rPr>
          <w:rFonts w:eastAsia="Times New Roman" w:cs="Times New Roman"/>
          <w:szCs w:val="24"/>
          <w:lang w:eastAsia="ru-RU"/>
        </w:rPr>
        <w:t xml:space="preserve">Перечень объектов, подлежащих оценке содержит 670 568 объекта недвижимости, расположенных на территории Республики Саха (Якутия), сведения о которых содержатся в ЕГРН по состоянию на 01.01.2019. Перечень объектов недвижимости, подлежащих государственной кадастровой оценке, представлен </w:t>
      </w:r>
      <w:r w:rsidRPr="00334FFE">
        <w:rPr>
          <w:rFonts w:eastAsia="Times New Roman" w:cs="Times New Roman"/>
          <w:szCs w:val="24"/>
          <w:lang w:eastAsia="ru-RU"/>
        </w:rPr>
        <w:t xml:space="preserve">в Приложении </w:t>
      </w:r>
      <w:r w:rsidR="00334FFE" w:rsidRPr="00334FFE">
        <w:rPr>
          <w:rFonts w:eastAsia="Times New Roman" w:cs="Times New Roman"/>
          <w:szCs w:val="24"/>
          <w:lang w:eastAsia="ru-RU"/>
        </w:rPr>
        <w:t>1.2</w:t>
      </w:r>
    </w:p>
    <w:p w14:paraId="5D9DA8F9" w14:textId="77777777" w:rsidR="0000065A" w:rsidRPr="0000065A" w:rsidRDefault="0000065A" w:rsidP="0000065A">
      <w:pPr>
        <w:widowControl w:val="0"/>
        <w:ind w:firstLine="720"/>
        <w:rPr>
          <w:rFonts w:eastAsia="Times New Roman" w:cs="Times New Roman"/>
          <w:szCs w:val="24"/>
          <w:lang w:eastAsia="ru-RU"/>
        </w:rPr>
      </w:pPr>
      <w:r w:rsidRPr="0000065A">
        <w:rPr>
          <w:rFonts w:eastAsia="Times New Roman" w:cs="Times New Roman"/>
          <w:szCs w:val="24"/>
          <w:lang w:eastAsia="ru-RU"/>
        </w:rPr>
        <w:t xml:space="preserve">В соответствии с пп. 9.1. Методических указаний группировка объектов оценки должна ориентироваться на сложившиеся сегменты рынка недвижимости и быть основана на результатах анализа информации о рынке объектов недвижимости, модели оценки кадастровой стоимости, составе ценообразующих факторов и сведений о значениях ценообразующих факторов объектов оценки для каждого исследуемого объекта оценки. </w:t>
      </w:r>
    </w:p>
    <w:p w14:paraId="04684196" w14:textId="77777777" w:rsidR="0000065A" w:rsidRPr="0000065A" w:rsidRDefault="0000065A" w:rsidP="0000065A">
      <w:pPr>
        <w:widowControl w:val="0"/>
        <w:ind w:firstLine="720"/>
        <w:rPr>
          <w:rFonts w:eastAsia="Times New Roman" w:cs="Times New Roman"/>
          <w:szCs w:val="24"/>
          <w:lang w:eastAsia="ru-RU"/>
        </w:rPr>
      </w:pPr>
      <w:r w:rsidRPr="0000065A">
        <w:rPr>
          <w:rFonts w:eastAsia="Times New Roman" w:cs="Times New Roman"/>
          <w:szCs w:val="24"/>
          <w:lang w:eastAsia="ru-RU"/>
        </w:rPr>
        <w:t xml:space="preserve">Сходные по назначению объекты относятся к одному сегменту рынка недвижимости, имеют один принцип ценообразования. Также на стоимость данных объектов влияют одни и те же ценообразующие факторы, следовательно, они должны быть объединены в одну группу </w:t>
      </w:r>
    </w:p>
    <w:p w14:paraId="2EA8C4E6" w14:textId="77777777" w:rsidR="0000065A" w:rsidRPr="0000065A" w:rsidRDefault="0000065A" w:rsidP="0000065A">
      <w:pPr>
        <w:widowControl w:val="0"/>
        <w:ind w:firstLine="720"/>
        <w:rPr>
          <w:rFonts w:eastAsia="Times New Roman" w:cs="Times New Roman"/>
          <w:szCs w:val="24"/>
          <w:lang w:eastAsia="ru-RU"/>
        </w:rPr>
      </w:pPr>
      <w:r w:rsidRPr="0000065A">
        <w:rPr>
          <w:rFonts w:eastAsia="Times New Roman" w:cs="Times New Roman"/>
          <w:szCs w:val="24"/>
          <w:lang w:eastAsia="ru-RU"/>
        </w:rPr>
        <w:t>Согласно пп. 9.2.1 Методических указаний для целей определения кадастровой стоимости объекты недвижимости группируются в соответствии с кодами подгрупп на 10 основных групп в соответствии с Приложением 2 к Методическим указаниям:</w:t>
      </w:r>
    </w:p>
    <w:p w14:paraId="1B96883E" w14:textId="77777777" w:rsidR="0000065A" w:rsidRPr="0000065A" w:rsidRDefault="0000065A" w:rsidP="0000065A">
      <w:pPr>
        <w:widowControl w:val="0"/>
        <w:ind w:firstLine="720"/>
        <w:rPr>
          <w:rFonts w:eastAsia="Times New Roman" w:cs="Times New Roman"/>
          <w:szCs w:val="24"/>
          <w:lang w:eastAsia="ru-RU"/>
        </w:rPr>
      </w:pPr>
      <w:r w:rsidRPr="0000065A">
        <w:rPr>
          <w:rFonts w:eastAsia="Times New Roman" w:cs="Times New Roman"/>
          <w:szCs w:val="24"/>
          <w:lang w:eastAsia="ru-RU"/>
        </w:rPr>
        <w:t>В рамках проведения работ группировка объектов оценки производилась в несколько этапов, кратко которые можно описать следующим образом:</w:t>
      </w:r>
    </w:p>
    <w:p w14:paraId="78F58072" w14:textId="77777777" w:rsidR="0000065A" w:rsidRPr="0000065A" w:rsidRDefault="0000065A" w:rsidP="0000065A">
      <w:pPr>
        <w:widowControl w:val="0"/>
        <w:ind w:firstLine="720"/>
        <w:rPr>
          <w:rFonts w:eastAsia="Times New Roman" w:cs="Times New Roman"/>
          <w:szCs w:val="24"/>
          <w:lang w:eastAsia="ru-RU"/>
        </w:rPr>
      </w:pPr>
      <w:r w:rsidRPr="0000065A">
        <w:rPr>
          <w:rFonts w:eastAsia="Times New Roman" w:cs="Times New Roman"/>
          <w:szCs w:val="24"/>
          <w:lang w:eastAsia="ru-RU"/>
        </w:rPr>
        <w:t>1 этап: на основе вида использования объектов недвижимости;</w:t>
      </w:r>
    </w:p>
    <w:p w14:paraId="7D4D9204" w14:textId="77777777" w:rsidR="0000065A" w:rsidRPr="0000065A" w:rsidRDefault="0000065A" w:rsidP="0000065A">
      <w:pPr>
        <w:widowControl w:val="0"/>
        <w:ind w:firstLine="720"/>
        <w:rPr>
          <w:rFonts w:eastAsia="Times New Roman" w:cs="Times New Roman"/>
          <w:szCs w:val="24"/>
          <w:lang w:eastAsia="ru-RU"/>
        </w:rPr>
      </w:pPr>
      <w:r w:rsidRPr="0000065A">
        <w:rPr>
          <w:rFonts w:eastAsia="Times New Roman" w:cs="Times New Roman"/>
          <w:szCs w:val="24"/>
          <w:lang w:eastAsia="ru-RU"/>
        </w:rPr>
        <w:t>2 этап: на основе видов объектов недвижимости;</w:t>
      </w:r>
    </w:p>
    <w:p w14:paraId="23E7A65B" w14:textId="77777777" w:rsidR="0000065A" w:rsidRPr="0000065A" w:rsidRDefault="0000065A" w:rsidP="0000065A">
      <w:pPr>
        <w:widowControl w:val="0"/>
        <w:ind w:firstLine="720"/>
        <w:rPr>
          <w:rFonts w:eastAsia="Times New Roman" w:cs="Times New Roman"/>
          <w:szCs w:val="24"/>
          <w:lang w:eastAsia="ru-RU"/>
        </w:rPr>
      </w:pPr>
      <w:r w:rsidRPr="0000065A">
        <w:rPr>
          <w:rFonts w:eastAsia="Times New Roman" w:cs="Times New Roman"/>
          <w:szCs w:val="24"/>
          <w:lang w:eastAsia="ru-RU"/>
        </w:rPr>
        <w:t>3 этап: по статусу населенного пункта (городские населенные пункты (ГНП), сельские населенные пункты (СНП), объекты вне черты населенных пунктов (МР));</w:t>
      </w:r>
    </w:p>
    <w:p w14:paraId="08E5B120" w14:textId="77777777" w:rsidR="0000065A" w:rsidRPr="0000065A" w:rsidRDefault="0000065A" w:rsidP="0000065A">
      <w:pPr>
        <w:widowControl w:val="0"/>
        <w:ind w:firstLine="720"/>
        <w:rPr>
          <w:rFonts w:eastAsia="Times New Roman" w:cs="Times New Roman"/>
          <w:szCs w:val="24"/>
          <w:lang w:eastAsia="ru-RU"/>
        </w:rPr>
      </w:pPr>
      <w:r w:rsidRPr="0000065A">
        <w:rPr>
          <w:rFonts w:eastAsia="Times New Roman" w:cs="Times New Roman"/>
          <w:szCs w:val="24"/>
          <w:lang w:eastAsia="ru-RU"/>
        </w:rPr>
        <w:t>4 этап: по однородным объектам;</w:t>
      </w:r>
    </w:p>
    <w:p w14:paraId="6EC8D7B6" w14:textId="77777777" w:rsidR="0000065A" w:rsidRPr="0000065A" w:rsidRDefault="0000065A" w:rsidP="0000065A">
      <w:pPr>
        <w:widowControl w:val="0"/>
        <w:ind w:firstLine="720"/>
        <w:rPr>
          <w:rFonts w:eastAsia="Times New Roman" w:cs="Times New Roman"/>
          <w:szCs w:val="24"/>
          <w:lang w:eastAsia="ru-RU"/>
        </w:rPr>
      </w:pPr>
      <w:r w:rsidRPr="0000065A">
        <w:rPr>
          <w:rFonts w:eastAsia="Times New Roman" w:cs="Times New Roman"/>
          <w:szCs w:val="24"/>
          <w:lang w:eastAsia="ru-RU"/>
        </w:rPr>
        <w:t>5 этап: перегруппировка (в случае недостаточности информации для построения статистически значимой модели).</w:t>
      </w:r>
    </w:p>
    <w:p w14:paraId="2A085F13" w14:textId="77777777" w:rsidR="0000065A" w:rsidRPr="0000065A" w:rsidRDefault="0000065A" w:rsidP="0000065A">
      <w:pPr>
        <w:widowControl w:val="0"/>
        <w:ind w:firstLine="720"/>
        <w:rPr>
          <w:rFonts w:eastAsia="Times New Roman" w:cs="Times New Roman"/>
          <w:szCs w:val="24"/>
          <w:lang w:eastAsia="ru-RU"/>
        </w:rPr>
      </w:pPr>
      <w:r w:rsidRPr="0000065A">
        <w:rPr>
          <w:rFonts w:eastAsia="Times New Roman" w:cs="Times New Roman"/>
          <w:szCs w:val="24"/>
          <w:lang w:eastAsia="ru-RU"/>
        </w:rPr>
        <w:t>Более подробное поэтапное описание процесса группировки приведено ниже.</w:t>
      </w:r>
    </w:p>
    <w:p w14:paraId="1E341C6B" w14:textId="77777777" w:rsidR="0000065A" w:rsidRPr="0000065A" w:rsidRDefault="0000065A" w:rsidP="0000065A">
      <w:pPr>
        <w:widowControl w:val="0"/>
        <w:ind w:firstLine="720"/>
        <w:rPr>
          <w:rFonts w:eastAsia="Times New Roman" w:cs="Times New Roman"/>
          <w:szCs w:val="24"/>
          <w:lang w:eastAsia="ru-RU"/>
        </w:rPr>
      </w:pPr>
      <w:r w:rsidRPr="0000065A">
        <w:rPr>
          <w:rFonts w:eastAsia="Times New Roman" w:cs="Times New Roman"/>
          <w:szCs w:val="24"/>
          <w:lang w:eastAsia="ru-RU"/>
        </w:rPr>
        <w:t>На первом этапе при группировке объектов оценки использовалась многоуровневая группировка. В первую очередь выделялись 10 групп в соответствии с видами использования объектов оценки, установленными Методическими указаниями:</w:t>
      </w:r>
    </w:p>
    <w:p w14:paraId="5032F768" w14:textId="77777777" w:rsidR="0000065A" w:rsidRPr="0000065A" w:rsidRDefault="0000065A" w:rsidP="00D24868">
      <w:pPr>
        <w:widowControl w:val="0"/>
        <w:numPr>
          <w:ilvl w:val="0"/>
          <w:numId w:val="89"/>
        </w:numPr>
        <w:suppressAutoHyphens/>
        <w:autoSpaceDN w:val="0"/>
        <w:jc w:val="left"/>
        <w:textAlignment w:val="baseline"/>
        <w:rPr>
          <w:rFonts w:eastAsia="Times New Roman" w:cs="Times New Roman"/>
          <w:szCs w:val="24"/>
          <w:lang w:val="x-none" w:eastAsia="ru-RU"/>
        </w:rPr>
      </w:pPr>
      <w:r w:rsidRPr="0000065A">
        <w:rPr>
          <w:rFonts w:eastAsia="Times New Roman" w:cs="Times New Roman"/>
          <w:szCs w:val="24"/>
          <w:lang w:val="x-none" w:eastAsia="ru-RU"/>
        </w:rPr>
        <w:t>1 группа «Многоквартирные дома (дома средне- и многоэтажной жилой застройки)»;</w:t>
      </w:r>
    </w:p>
    <w:p w14:paraId="4E4A3602" w14:textId="77777777" w:rsidR="0000065A" w:rsidRPr="0000065A" w:rsidRDefault="0000065A" w:rsidP="00D24868">
      <w:pPr>
        <w:widowControl w:val="0"/>
        <w:numPr>
          <w:ilvl w:val="0"/>
          <w:numId w:val="89"/>
        </w:numPr>
        <w:suppressAutoHyphens/>
        <w:autoSpaceDN w:val="0"/>
        <w:jc w:val="left"/>
        <w:textAlignment w:val="baseline"/>
        <w:rPr>
          <w:rFonts w:eastAsia="Times New Roman" w:cs="Times New Roman"/>
          <w:szCs w:val="24"/>
          <w:lang w:val="x-none" w:eastAsia="ru-RU"/>
        </w:rPr>
      </w:pPr>
      <w:r w:rsidRPr="0000065A">
        <w:rPr>
          <w:rFonts w:eastAsia="Times New Roman" w:cs="Times New Roman"/>
          <w:szCs w:val="24"/>
          <w:lang w:val="x-none" w:eastAsia="ru-RU"/>
        </w:rPr>
        <w:t>2 группа «Дома малоэтажной жилой застройки, в том числе индивидуальной жилой застройки - индивидуальные, малоэтажные блокированные (таунхаусы), дачных объединений, садоводческих товариществ»;</w:t>
      </w:r>
    </w:p>
    <w:p w14:paraId="1006D3C7" w14:textId="77777777" w:rsidR="0000065A" w:rsidRPr="0000065A" w:rsidRDefault="0000065A" w:rsidP="00D24868">
      <w:pPr>
        <w:widowControl w:val="0"/>
        <w:numPr>
          <w:ilvl w:val="0"/>
          <w:numId w:val="89"/>
        </w:numPr>
        <w:suppressAutoHyphens/>
        <w:autoSpaceDN w:val="0"/>
        <w:jc w:val="left"/>
        <w:textAlignment w:val="baseline"/>
        <w:rPr>
          <w:rFonts w:eastAsia="Times New Roman" w:cs="Times New Roman"/>
          <w:szCs w:val="24"/>
          <w:lang w:val="x-none" w:eastAsia="ru-RU"/>
        </w:rPr>
      </w:pPr>
      <w:r w:rsidRPr="0000065A">
        <w:rPr>
          <w:rFonts w:eastAsia="Times New Roman" w:cs="Times New Roman"/>
          <w:szCs w:val="24"/>
          <w:lang w:val="x-none" w:eastAsia="ru-RU"/>
        </w:rPr>
        <w:t>3 группа «Объекты, предназначенные для хранения транспорта»;</w:t>
      </w:r>
    </w:p>
    <w:p w14:paraId="70F74618" w14:textId="77777777" w:rsidR="0000065A" w:rsidRPr="0000065A" w:rsidRDefault="0000065A" w:rsidP="00D24868">
      <w:pPr>
        <w:widowControl w:val="0"/>
        <w:numPr>
          <w:ilvl w:val="0"/>
          <w:numId w:val="89"/>
        </w:numPr>
        <w:suppressAutoHyphens/>
        <w:autoSpaceDN w:val="0"/>
        <w:jc w:val="left"/>
        <w:textAlignment w:val="baseline"/>
        <w:rPr>
          <w:rFonts w:eastAsia="Times New Roman" w:cs="Times New Roman"/>
          <w:szCs w:val="24"/>
          <w:lang w:val="x-none" w:eastAsia="ru-RU"/>
        </w:rPr>
      </w:pPr>
      <w:r w:rsidRPr="0000065A">
        <w:rPr>
          <w:rFonts w:eastAsia="Times New Roman" w:cs="Times New Roman"/>
          <w:szCs w:val="24"/>
          <w:lang w:val="x-none" w:eastAsia="ru-RU"/>
        </w:rPr>
        <w:t>4 группа «Объекты коммерческого назначения, предназначенные для оказания услуг населению, включая многофункционального назначения»;</w:t>
      </w:r>
    </w:p>
    <w:p w14:paraId="5948E786" w14:textId="77777777" w:rsidR="0000065A" w:rsidRPr="0000065A" w:rsidRDefault="0000065A" w:rsidP="00D24868">
      <w:pPr>
        <w:widowControl w:val="0"/>
        <w:numPr>
          <w:ilvl w:val="0"/>
          <w:numId w:val="89"/>
        </w:numPr>
        <w:suppressAutoHyphens/>
        <w:autoSpaceDN w:val="0"/>
        <w:jc w:val="left"/>
        <w:textAlignment w:val="baseline"/>
        <w:rPr>
          <w:rFonts w:eastAsia="Times New Roman" w:cs="Times New Roman"/>
          <w:szCs w:val="24"/>
          <w:lang w:val="x-none" w:eastAsia="ru-RU"/>
        </w:rPr>
      </w:pPr>
      <w:r w:rsidRPr="0000065A">
        <w:rPr>
          <w:rFonts w:eastAsia="Times New Roman" w:cs="Times New Roman"/>
          <w:szCs w:val="24"/>
          <w:lang w:val="x-none" w:eastAsia="ru-RU"/>
        </w:rPr>
        <w:t>5 группа «Объекты временного проживания, включая объекты рекреационно-оздоровительного значения»;</w:t>
      </w:r>
    </w:p>
    <w:p w14:paraId="5CE6F398" w14:textId="77777777" w:rsidR="0000065A" w:rsidRPr="0000065A" w:rsidRDefault="0000065A" w:rsidP="00D24868">
      <w:pPr>
        <w:widowControl w:val="0"/>
        <w:numPr>
          <w:ilvl w:val="0"/>
          <w:numId w:val="89"/>
        </w:numPr>
        <w:suppressAutoHyphens/>
        <w:autoSpaceDN w:val="0"/>
        <w:jc w:val="left"/>
        <w:textAlignment w:val="baseline"/>
        <w:rPr>
          <w:rFonts w:eastAsia="Times New Roman" w:cs="Times New Roman"/>
          <w:szCs w:val="24"/>
          <w:lang w:val="x-none" w:eastAsia="ru-RU"/>
        </w:rPr>
      </w:pPr>
      <w:r w:rsidRPr="0000065A">
        <w:rPr>
          <w:rFonts w:eastAsia="Times New Roman" w:cs="Times New Roman"/>
          <w:szCs w:val="24"/>
          <w:lang w:val="x-none" w:eastAsia="ru-RU"/>
        </w:rPr>
        <w:t>6 группа «Административные и бытовые объекты»;</w:t>
      </w:r>
    </w:p>
    <w:p w14:paraId="231BE7FC" w14:textId="77777777" w:rsidR="0000065A" w:rsidRPr="0000065A" w:rsidRDefault="0000065A" w:rsidP="00D24868">
      <w:pPr>
        <w:widowControl w:val="0"/>
        <w:numPr>
          <w:ilvl w:val="0"/>
          <w:numId w:val="89"/>
        </w:numPr>
        <w:suppressAutoHyphens/>
        <w:autoSpaceDN w:val="0"/>
        <w:jc w:val="left"/>
        <w:textAlignment w:val="baseline"/>
        <w:rPr>
          <w:rFonts w:eastAsia="Times New Roman" w:cs="Times New Roman"/>
          <w:szCs w:val="24"/>
          <w:lang w:val="x-none" w:eastAsia="ru-RU"/>
        </w:rPr>
      </w:pPr>
      <w:r w:rsidRPr="0000065A">
        <w:rPr>
          <w:rFonts w:eastAsia="Times New Roman" w:cs="Times New Roman"/>
          <w:szCs w:val="24"/>
          <w:lang w:val="x-none" w:eastAsia="ru-RU"/>
        </w:rPr>
        <w:t>7 группа «Объекты производственного назначения, за исключением передаточных устройств и сооружений»;</w:t>
      </w:r>
    </w:p>
    <w:p w14:paraId="009F7941" w14:textId="77777777" w:rsidR="0000065A" w:rsidRPr="0000065A" w:rsidRDefault="0000065A" w:rsidP="00D24868">
      <w:pPr>
        <w:widowControl w:val="0"/>
        <w:numPr>
          <w:ilvl w:val="0"/>
          <w:numId w:val="89"/>
        </w:numPr>
        <w:suppressAutoHyphens/>
        <w:autoSpaceDN w:val="0"/>
        <w:jc w:val="left"/>
        <w:textAlignment w:val="baseline"/>
        <w:rPr>
          <w:rFonts w:eastAsia="Times New Roman" w:cs="Times New Roman"/>
          <w:szCs w:val="24"/>
          <w:lang w:val="x-none" w:eastAsia="ru-RU"/>
        </w:rPr>
      </w:pPr>
      <w:r w:rsidRPr="0000065A">
        <w:rPr>
          <w:rFonts w:eastAsia="Times New Roman" w:cs="Times New Roman"/>
          <w:szCs w:val="24"/>
          <w:lang w:val="x-none" w:eastAsia="ru-RU"/>
        </w:rPr>
        <w:t>8 группа «Учебные, спортивные объекты, объекты культуры и искусства, культовые объекты, музеи, лечебно-оздоровительные и общественного назначения объекты»;</w:t>
      </w:r>
    </w:p>
    <w:p w14:paraId="00FB69C4" w14:textId="77777777" w:rsidR="0000065A" w:rsidRPr="0000065A" w:rsidRDefault="0000065A" w:rsidP="00D24868">
      <w:pPr>
        <w:widowControl w:val="0"/>
        <w:numPr>
          <w:ilvl w:val="0"/>
          <w:numId w:val="89"/>
        </w:numPr>
        <w:suppressAutoHyphens/>
        <w:autoSpaceDN w:val="0"/>
        <w:jc w:val="left"/>
        <w:textAlignment w:val="baseline"/>
        <w:rPr>
          <w:rFonts w:eastAsia="Times New Roman" w:cs="Times New Roman"/>
          <w:szCs w:val="24"/>
          <w:lang w:val="x-none" w:eastAsia="ru-RU"/>
        </w:rPr>
      </w:pPr>
      <w:r w:rsidRPr="0000065A">
        <w:rPr>
          <w:rFonts w:eastAsia="Times New Roman" w:cs="Times New Roman"/>
          <w:szCs w:val="24"/>
          <w:lang w:val="x-none" w:eastAsia="ru-RU"/>
        </w:rPr>
        <w:t>9 группа «Прочие объекты»;</w:t>
      </w:r>
    </w:p>
    <w:p w14:paraId="48152BB1" w14:textId="77777777" w:rsidR="0000065A" w:rsidRPr="0000065A" w:rsidRDefault="0000065A" w:rsidP="00D24868">
      <w:pPr>
        <w:widowControl w:val="0"/>
        <w:numPr>
          <w:ilvl w:val="0"/>
          <w:numId w:val="89"/>
        </w:numPr>
        <w:suppressAutoHyphens/>
        <w:autoSpaceDN w:val="0"/>
        <w:jc w:val="left"/>
        <w:textAlignment w:val="baseline"/>
        <w:rPr>
          <w:rFonts w:eastAsia="Times New Roman" w:cs="Times New Roman"/>
          <w:szCs w:val="24"/>
          <w:lang w:val="x-none" w:eastAsia="ru-RU"/>
        </w:rPr>
      </w:pPr>
      <w:r w:rsidRPr="0000065A">
        <w:rPr>
          <w:rFonts w:eastAsia="Times New Roman" w:cs="Times New Roman"/>
          <w:szCs w:val="24"/>
          <w:lang w:val="x-none" w:eastAsia="ru-RU"/>
        </w:rPr>
        <w:t>10 группа «Сооружения».</w:t>
      </w:r>
    </w:p>
    <w:p w14:paraId="6F3A0012" w14:textId="77777777" w:rsidR="0000065A" w:rsidRPr="0000065A" w:rsidRDefault="0000065A" w:rsidP="00C46C59">
      <w:pPr>
        <w:widowControl w:val="0"/>
        <w:ind w:firstLine="720"/>
        <w:jc w:val="left"/>
        <w:rPr>
          <w:rFonts w:eastAsia="Times New Roman" w:cs="Times New Roman"/>
          <w:szCs w:val="24"/>
          <w:lang w:eastAsia="ru-RU"/>
        </w:rPr>
      </w:pPr>
      <w:r w:rsidRPr="0000065A">
        <w:rPr>
          <w:rFonts w:eastAsia="Times New Roman" w:cs="Times New Roman"/>
          <w:szCs w:val="24"/>
          <w:lang w:eastAsia="ru-RU"/>
        </w:rPr>
        <w:t>Результаты группировки представлены в следующей таблице.</w:t>
      </w:r>
    </w:p>
    <w:p w14:paraId="1F21B12C" w14:textId="77777777" w:rsidR="0000065A" w:rsidRPr="0000065A" w:rsidRDefault="0000065A" w:rsidP="0000065A">
      <w:pPr>
        <w:widowControl w:val="0"/>
        <w:ind w:firstLine="720"/>
        <w:rPr>
          <w:rFonts w:eastAsia="Times New Roman" w:cs="Times New Roman"/>
          <w:szCs w:val="24"/>
          <w:lang w:eastAsia="ru-RU"/>
        </w:rPr>
      </w:pPr>
    </w:p>
    <w:p w14:paraId="6A96978F" w14:textId="42CC842C" w:rsidR="0000065A" w:rsidRPr="0000065A" w:rsidRDefault="0000065A" w:rsidP="0000065A">
      <w:pPr>
        <w:keepNext/>
        <w:widowControl w:val="0"/>
        <w:ind w:firstLine="0"/>
        <w:jc w:val="center"/>
        <w:rPr>
          <w:rFonts w:eastAsia="Times New Roman" w:cs="Times New Roman"/>
          <w:bCs/>
          <w:i/>
          <w:szCs w:val="24"/>
          <w:lang w:val="x-none" w:eastAsia="x-none"/>
        </w:rPr>
      </w:pPr>
      <w:r w:rsidRPr="0000065A">
        <w:rPr>
          <w:rFonts w:eastAsia="Times New Roman" w:cs="Times New Roman"/>
          <w:bCs/>
          <w:i/>
          <w:szCs w:val="24"/>
          <w:lang w:val="x-none" w:eastAsia="x-none"/>
        </w:rPr>
        <w:t xml:space="preserve">Таблица </w:t>
      </w:r>
      <w:r w:rsidRPr="0000065A">
        <w:rPr>
          <w:rFonts w:eastAsia="Times New Roman" w:cs="Times New Roman"/>
          <w:bCs/>
          <w:i/>
          <w:szCs w:val="24"/>
          <w:lang w:val="x-none" w:eastAsia="x-none"/>
        </w:rPr>
        <w:fldChar w:fldCharType="begin"/>
      </w:r>
      <w:r w:rsidRPr="0000065A">
        <w:rPr>
          <w:rFonts w:eastAsia="Times New Roman" w:cs="Times New Roman"/>
          <w:bCs/>
          <w:i/>
          <w:szCs w:val="24"/>
          <w:lang w:val="x-none" w:eastAsia="x-none"/>
        </w:rPr>
        <w:instrText xml:space="preserve"> SEQ Таблица \* ARABIC </w:instrText>
      </w:r>
      <w:r w:rsidRPr="0000065A">
        <w:rPr>
          <w:rFonts w:eastAsia="Times New Roman" w:cs="Times New Roman"/>
          <w:bCs/>
          <w:i/>
          <w:szCs w:val="24"/>
          <w:lang w:val="x-none" w:eastAsia="x-none"/>
        </w:rPr>
        <w:fldChar w:fldCharType="separate"/>
      </w:r>
      <w:r w:rsidR="00FD2769">
        <w:rPr>
          <w:rFonts w:eastAsia="Times New Roman" w:cs="Times New Roman"/>
          <w:bCs/>
          <w:i/>
          <w:noProof/>
          <w:szCs w:val="24"/>
          <w:lang w:val="x-none" w:eastAsia="x-none"/>
        </w:rPr>
        <w:t>46</w:t>
      </w:r>
      <w:r w:rsidRPr="0000065A">
        <w:rPr>
          <w:rFonts w:eastAsia="Times New Roman" w:cs="Times New Roman"/>
          <w:bCs/>
          <w:i/>
          <w:noProof/>
          <w:szCs w:val="24"/>
          <w:lang w:val="x-none" w:eastAsia="x-none"/>
        </w:rPr>
        <w:fldChar w:fldCharType="end"/>
      </w:r>
      <w:r w:rsidRPr="0000065A">
        <w:rPr>
          <w:rFonts w:eastAsia="Times New Roman" w:cs="Times New Roman"/>
          <w:bCs/>
          <w:i/>
          <w:szCs w:val="24"/>
          <w:lang w:val="x-none" w:eastAsia="x-none"/>
        </w:rPr>
        <w:t xml:space="preserve"> Количество объектов оценки, отнесенных к каждой группе </w:t>
      </w:r>
    </w:p>
    <w:tbl>
      <w:tblPr>
        <w:tblW w:w="9330" w:type="dxa"/>
        <w:tblInd w:w="-10" w:type="dxa"/>
        <w:tblLook w:val="04A0" w:firstRow="1" w:lastRow="0" w:firstColumn="1" w:lastColumn="0" w:noHBand="0" w:noVBand="1"/>
      </w:tblPr>
      <w:tblGrid>
        <w:gridCol w:w="1418"/>
        <w:gridCol w:w="4962"/>
        <w:gridCol w:w="14"/>
        <w:gridCol w:w="1970"/>
        <w:gridCol w:w="966"/>
      </w:tblGrid>
      <w:tr w:rsidR="0000065A" w:rsidRPr="0000065A" w14:paraId="54269F5E" w14:textId="77777777" w:rsidTr="00F6527F">
        <w:trPr>
          <w:trHeight w:val="20"/>
          <w:tblHeader/>
        </w:trPr>
        <w:tc>
          <w:tcPr>
            <w:tcW w:w="1418" w:type="dxa"/>
            <w:tcBorders>
              <w:top w:val="single" w:sz="8" w:space="0" w:color="auto"/>
              <w:left w:val="single" w:sz="8" w:space="0" w:color="auto"/>
              <w:bottom w:val="single" w:sz="8" w:space="0" w:color="auto"/>
              <w:right w:val="single" w:sz="8" w:space="0" w:color="auto"/>
            </w:tcBorders>
            <w:shd w:val="clear" w:color="auto" w:fill="BFBFBF" w:themeFill="background1" w:themeFillShade="BF"/>
            <w:vAlign w:val="center"/>
            <w:hideMark/>
          </w:tcPr>
          <w:p w14:paraId="2E413A18" w14:textId="77777777" w:rsidR="0000065A" w:rsidRPr="0000065A" w:rsidRDefault="0000065A" w:rsidP="0000065A">
            <w:pPr>
              <w:ind w:firstLine="0"/>
              <w:jc w:val="center"/>
              <w:rPr>
                <w:rFonts w:eastAsia="Times New Roman" w:cs="Times New Roman"/>
                <w:b/>
                <w:bCs/>
                <w:color w:val="000000"/>
                <w:sz w:val="20"/>
                <w:szCs w:val="20"/>
                <w:lang w:eastAsia="ru-RU"/>
              </w:rPr>
            </w:pPr>
            <w:r w:rsidRPr="0000065A">
              <w:rPr>
                <w:rFonts w:eastAsia="Times New Roman" w:cs="Times New Roman"/>
                <w:b/>
                <w:bCs/>
                <w:color w:val="000000"/>
                <w:sz w:val="20"/>
                <w:szCs w:val="20"/>
                <w:lang w:eastAsia="ru-RU"/>
              </w:rPr>
              <w:t>Группа</w:t>
            </w:r>
          </w:p>
        </w:tc>
        <w:tc>
          <w:tcPr>
            <w:tcW w:w="4962" w:type="dxa"/>
            <w:tcBorders>
              <w:top w:val="single" w:sz="8" w:space="0" w:color="auto"/>
              <w:left w:val="nil"/>
              <w:bottom w:val="single" w:sz="8" w:space="0" w:color="auto"/>
              <w:right w:val="single" w:sz="8" w:space="0" w:color="auto"/>
            </w:tcBorders>
            <w:shd w:val="clear" w:color="auto" w:fill="BFBFBF" w:themeFill="background1" w:themeFillShade="BF"/>
            <w:vAlign w:val="center"/>
            <w:hideMark/>
          </w:tcPr>
          <w:p w14:paraId="175E68D6" w14:textId="77777777" w:rsidR="0000065A" w:rsidRPr="0000065A" w:rsidRDefault="0000065A" w:rsidP="0000065A">
            <w:pPr>
              <w:ind w:firstLine="0"/>
              <w:jc w:val="center"/>
              <w:rPr>
                <w:rFonts w:eastAsia="Times New Roman" w:cs="Times New Roman"/>
                <w:b/>
                <w:bCs/>
                <w:color w:val="000000"/>
                <w:sz w:val="20"/>
                <w:szCs w:val="20"/>
                <w:lang w:eastAsia="ru-RU"/>
              </w:rPr>
            </w:pPr>
            <w:r w:rsidRPr="0000065A">
              <w:rPr>
                <w:rFonts w:eastAsia="Times New Roman" w:cs="Times New Roman"/>
                <w:b/>
                <w:bCs/>
                <w:color w:val="000000"/>
                <w:sz w:val="20"/>
                <w:szCs w:val="20"/>
                <w:lang w:eastAsia="ru-RU"/>
              </w:rPr>
              <w:t>Наименование группы</w:t>
            </w:r>
          </w:p>
        </w:tc>
        <w:tc>
          <w:tcPr>
            <w:tcW w:w="1984" w:type="dxa"/>
            <w:gridSpan w:val="2"/>
            <w:tcBorders>
              <w:top w:val="single" w:sz="8" w:space="0" w:color="auto"/>
              <w:left w:val="nil"/>
              <w:bottom w:val="single" w:sz="8" w:space="0" w:color="auto"/>
              <w:right w:val="single" w:sz="8" w:space="0" w:color="auto"/>
            </w:tcBorders>
            <w:shd w:val="clear" w:color="auto" w:fill="BFBFBF" w:themeFill="background1" w:themeFillShade="BF"/>
            <w:vAlign w:val="center"/>
            <w:hideMark/>
          </w:tcPr>
          <w:p w14:paraId="1BE8A379" w14:textId="77777777" w:rsidR="0000065A" w:rsidRPr="0000065A" w:rsidRDefault="0000065A" w:rsidP="0000065A">
            <w:pPr>
              <w:ind w:firstLine="0"/>
              <w:jc w:val="center"/>
              <w:rPr>
                <w:rFonts w:eastAsia="Times New Roman" w:cs="Times New Roman"/>
                <w:b/>
                <w:bCs/>
                <w:color w:val="000000"/>
                <w:sz w:val="20"/>
                <w:szCs w:val="20"/>
                <w:lang w:eastAsia="ru-RU"/>
              </w:rPr>
            </w:pPr>
            <w:r w:rsidRPr="0000065A">
              <w:rPr>
                <w:rFonts w:eastAsia="Times New Roman" w:cs="Times New Roman"/>
                <w:b/>
                <w:bCs/>
                <w:color w:val="000000"/>
                <w:sz w:val="20"/>
                <w:szCs w:val="20"/>
                <w:lang w:eastAsia="ru-RU"/>
              </w:rPr>
              <w:t>Количество объектов группе</w:t>
            </w:r>
          </w:p>
        </w:tc>
        <w:tc>
          <w:tcPr>
            <w:tcW w:w="966" w:type="dxa"/>
            <w:tcBorders>
              <w:top w:val="single" w:sz="8" w:space="0" w:color="auto"/>
              <w:left w:val="nil"/>
              <w:bottom w:val="single" w:sz="8" w:space="0" w:color="auto"/>
              <w:right w:val="single" w:sz="8" w:space="0" w:color="auto"/>
            </w:tcBorders>
            <w:shd w:val="clear" w:color="auto" w:fill="BFBFBF" w:themeFill="background1" w:themeFillShade="BF"/>
            <w:vAlign w:val="center"/>
            <w:hideMark/>
          </w:tcPr>
          <w:p w14:paraId="46D4289B" w14:textId="77777777" w:rsidR="0000065A" w:rsidRPr="0000065A" w:rsidRDefault="0000065A" w:rsidP="0000065A">
            <w:pPr>
              <w:ind w:firstLine="0"/>
              <w:jc w:val="center"/>
              <w:rPr>
                <w:rFonts w:eastAsia="Times New Roman" w:cs="Times New Roman"/>
                <w:b/>
                <w:bCs/>
                <w:color w:val="000000"/>
                <w:sz w:val="20"/>
                <w:szCs w:val="20"/>
                <w:lang w:eastAsia="ru-RU"/>
              </w:rPr>
            </w:pPr>
            <w:r w:rsidRPr="0000065A">
              <w:rPr>
                <w:rFonts w:eastAsia="Times New Roman" w:cs="Times New Roman"/>
                <w:b/>
                <w:bCs/>
                <w:color w:val="000000"/>
                <w:sz w:val="20"/>
                <w:szCs w:val="20"/>
                <w:lang w:eastAsia="ru-RU"/>
              </w:rPr>
              <w:t>В %</w:t>
            </w:r>
          </w:p>
        </w:tc>
      </w:tr>
      <w:tr w:rsidR="0000065A" w:rsidRPr="0000065A" w14:paraId="10C7A92A" w14:textId="77777777" w:rsidTr="0000065A">
        <w:trPr>
          <w:trHeight w:val="20"/>
        </w:trPr>
        <w:tc>
          <w:tcPr>
            <w:tcW w:w="1418" w:type="dxa"/>
            <w:tcBorders>
              <w:top w:val="nil"/>
              <w:left w:val="single" w:sz="8" w:space="0" w:color="auto"/>
              <w:bottom w:val="single" w:sz="8" w:space="0" w:color="auto"/>
              <w:right w:val="single" w:sz="8" w:space="0" w:color="auto"/>
            </w:tcBorders>
            <w:shd w:val="clear" w:color="auto" w:fill="auto"/>
            <w:vAlign w:val="center"/>
            <w:hideMark/>
          </w:tcPr>
          <w:p w14:paraId="68BCC9EA" w14:textId="77777777" w:rsidR="0000065A" w:rsidRPr="0000065A" w:rsidRDefault="0000065A" w:rsidP="0000065A">
            <w:pPr>
              <w:ind w:firstLine="0"/>
              <w:jc w:val="center"/>
              <w:rPr>
                <w:rFonts w:eastAsia="Times New Roman" w:cs="Times New Roman"/>
                <w:color w:val="000000"/>
                <w:sz w:val="20"/>
                <w:szCs w:val="20"/>
                <w:lang w:eastAsia="ru-RU"/>
              </w:rPr>
            </w:pPr>
            <w:r w:rsidRPr="0000065A">
              <w:rPr>
                <w:rFonts w:eastAsia="Times New Roman" w:cs="Times New Roman"/>
                <w:color w:val="000000"/>
                <w:sz w:val="20"/>
                <w:szCs w:val="20"/>
                <w:lang w:eastAsia="ru-RU"/>
              </w:rPr>
              <w:t>1 группа</w:t>
            </w:r>
          </w:p>
        </w:tc>
        <w:tc>
          <w:tcPr>
            <w:tcW w:w="4962" w:type="dxa"/>
            <w:tcBorders>
              <w:top w:val="nil"/>
              <w:left w:val="nil"/>
              <w:bottom w:val="single" w:sz="8" w:space="0" w:color="auto"/>
              <w:right w:val="single" w:sz="8" w:space="0" w:color="auto"/>
            </w:tcBorders>
            <w:shd w:val="clear" w:color="auto" w:fill="auto"/>
            <w:vAlign w:val="center"/>
            <w:hideMark/>
          </w:tcPr>
          <w:p w14:paraId="2D9AFE02" w14:textId="77777777" w:rsidR="0000065A" w:rsidRPr="0000065A" w:rsidRDefault="0000065A" w:rsidP="0000065A">
            <w:pPr>
              <w:ind w:firstLine="0"/>
              <w:jc w:val="left"/>
              <w:rPr>
                <w:rFonts w:eastAsia="Times New Roman" w:cs="Times New Roman"/>
                <w:color w:val="000000"/>
                <w:sz w:val="20"/>
                <w:szCs w:val="20"/>
                <w:lang w:eastAsia="ru-RU"/>
              </w:rPr>
            </w:pPr>
            <w:r w:rsidRPr="0000065A">
              <w:rPr>
                <w:rFonts w:eastAsia="Times New Roman" w:cs="Times New Roman"/>
                <w:color w:val="000000"/>
                <w:sz w:val="20"/>
                <w:szCs w:val="20"/>
                <w:lang w:eastAsia="ru-RU"/>
              </w:rPr>
              <w:t>Многоквартирные дома (дома средне- и многоэтажной жилой застройки)</w:t>
            </w:r>
          </w:p>
        </w:tc>
        <w:tc>
          <w:tcPr>
            <w:tcW w:w="1984" w:type="dxa"/>
            <w:gridSpan w:val="2"/>
            <w:tcBorders>
              <w:top w:val="nil"/>
              <w:left w:val="nil"/>
              <w:bottom w:val="single" w:sz="8" w:space="0" w:color="auto"/>
              <w:right w:val="single" w:sz="8" w:space="0" w:color="auto"/>
            </w:tcBorders>
            <w:shd w:val="clear" w:color="auto" w:fill="auto"/>
            <w:vAlign w:val="center"/>
            <w:hideMark/>
          </w:tcPr>
          <w:p w14:paraId="2E0F7110" w14:textId="03EF29A5" w:rsidR="0000065A" w:rsidRPr="0000065A" w:rsidRDefault="004362F9" w:rsidP="00631CA6">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197 755</w:t>
            </w:r>
          </w:p>
        </w:tc>
        <w:tc>
          <w:tcPr>
            <w:tcW w:w="966" w:type="dxa"/>
            <w:tcBorders>
              <w:top w:val="nil"/>
              <w:left w:val="nil"/>
              <w:bottom w:val="single" w:sz="8" w:space="0" w:color="auto"/>
              <w:right w:val="single" w:sz="8" w:space="0" w:color="auto"/>
            </w:tcBorders>
            <w:shd w:val="clear" w:color="auto" w:fill="auto"/>
            <w:vAlign w:val="center"/>
            <w:hideMark/>
          </w:tcPr>
          <w:p w14:paraId="21714097" w14:textId="77777777" w:rsidR="0000065A" w:rsidRPr="0000065A" w:rsidRDefault="0000065A" w:rsidP="0000065A">
            <w:pPr>
              <w:ind w:firstLine="0"/>
              <w:jc w:val="center"/>
              <w:rPr>
                <w:rFonts w:eastAsia="Times New Roman" w:cs="Times New Roman"/>
                <w:color w:val="000000"/>
                <w:sz w:val="20"/>
                <w:szCs w:val="20"/>
                <w:lang w:eastAsia="ru-RU"/>
              </w:rPr>
            </w:pPr>
            <w:r w:rsidRPr="0000065A">
              <w:rPr>
                <w:rFonts w:eastAsia="Times New Roman" w:cs="Times New Roman"/>
                <w:color w:val="000000"/>
                <w:sz w:val="20"/>
                <w:szCs w:val="20"/>
                <w:lang w:eastAsia="ru-RU"/>
              </w:rPr>
              <w:t>29,50%</w:t>
            </w:r>
          </w:p>
        </w:tc>
      </w:tr>
      <w:tr w:rsidR="0000065A" w:rsidRPr="0000065A" w14:paraId="7CE71B6D" w14:textId="77777777" w:rsidTr="0000065A">
        <w:trPr>
          <w:trHeight w:val="20"/>
        </w:trPr>
        <w:tc>
          <w:tcPr>
            <w:tcW w:w="1418" w:type="dxa"/>
            <w:tcBorders>
              <w:top w:val="nil"/>
              <w:left w:val="single" w:sz="8" w:space="0" w:color="auto"/>
              <w:bottom w:val="single" w:sz="8" w:space="0" w:color="auto"/>
              <w:right w:val="single" w:sz="8" w:space="0" w:color="auto"/>
            </w:tcBorders>
            <w:shd w:val="clear" w:color="auto" w:fill="auto"/>
            <w:vAlign w:val="center"/>
            <w:hideMark/>
          </w:tcPr>
          <w:p w14:paraId="56B16E99" w14:textId="77777777" w:rsidR="0000065A" w:rsidRPr="0000065A" w:rsidRDefault="0000065A" w:rsidP="0000065A">
            <w:pPr>
              <w:ind w:firstLine="0"/>
              <w:jc w:val="center"/>
              <w:rPr>
                <w:rFonts w:eastAsia="Times New Roman" w:cs="Times New Roman"/>
                <w:color w:val="000000"/>
                <w:sz w:val="20"/>
                <w:szCs w:val="20"/>
                <w:lang w:eastAsia="ru-RU"/>
              </w:rPr>
            </w:pPr>
            <w:r w:rsidRPr="0000065A">
              <w:rPr>
                <w:rFonts w:eastAsia="Times New Roman" w:cs="Times New Roman"/>
                <w:color w:val="000000"/>
                <w:sz w:val="20"/>
                <w:szCs w:val="20"/>
                <w:lang w:eastAsia="ru-RU"/>
              </w:rPr>
              <w:t>2 группа</w:t>
            </w:r>
          </w:p>
        </w:tc>
        <w:tc>
          <w:tcPr>
            <w:tcW w:w="4962" w:type="dxa"/>
            <w:tcBorders>
              <w:top w:val="nil"/>
              <w:left w:val="nil"/>
              <w:bottom w:val="single" w:sz="8" w:space="0" w:color="auto"/>
              <w:right w:val="single" w:sz="8" w:space="0" w:color="auto"/>
            </w:tcBorders>
            <w:shd w:val="clear" w:color="auto" w:fill="auto"/>
            <w:vAlign w:val="center"/>
            <w:hideMark/>
          </w:tcPr>
          <w:p w14:paraId="6FECC237" w14:textId="77777777" w:rsidR="0000065A" w:rsidRPr="0000065A" w:rsidRDefault="0000065A" w:rsidP="0000065A">
            <w:pPr>
              <w:ind w:firstLine="0"/>
              <w:jc w:val="left"/>
              <w:rPr>
                <w:rFonts w:eastAsia="Times New Roman" w:cs="Times New Roman"/>
                <w:color w:val="000000"/>
                <w:sz w:val="20"/>
                <w:szCs w:val="20"/>
                <w:lang w:eastAsia="ru-RU"/>
              </w:rPr>
            </w:pPr>
            <w:r w:rsidRPr="0000065A">
              <w:rPr>
                <w:rFonts w:eastAsia="Times New Roman" w:cs="Times New Roman"/>
                <w:color w:val="000000"/>
                <w:sz w:val="20"/>
                <w:szCs w:val="20"/>
                <w:lang w:eastAsia="ru-RU"/>
              </w:rPr>
              <w:t>Дома малоэтажной  жилой застройки, в том числе индивидуальной жилой застройки, в том числе индивидуальной жилой застройки - индивидуальные, малоэтажные блокированные (таунхаусы), дачных объединений, садоводческих товариществ</w:t>
            </w:r>
          </w:p>
        </w:tc>
        <w:tc>
          <w:tcPr>
            <w:tcW w:w="1984" w:type="dxa"/>
            <w:gridSpan w:val="2"/>
            <w:tcBorders>
              <w:top w:val="nil"/>
              <w:left w:val="nil"/>
              <w:bottom w:val="single" w:sz="8" w:space="0" w:color="auto"/>
              <w:right w:val="single" w:sz="8" w:space="0" w:color="auto"/>
            </w:tcBorders>
            <w:shd w:val="clear" w:color="auto" w:fill="auto"/>
            <w:vAlign w:val="center"/>
            <w:hideMark/>
          </w:tcPr>
          <w:p w14:paraId="68E3A1A1" w14:textId="4301DF8F" w:rsidR="0000065A" w:rsidRPr="0000065A" w:rsidRDefault="004362F9" w:rsidP="0000065A">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321 536</w:t>
            </w:r>
          </w:p>
        </w:tc>
        <w:tc>
          <w:tcPr>
            <w:tcW w:w="966" w:type="dxa"/>
            <w:tcBorders>
              <w:top w:val="nil"/>
              <w:left w:val="nil"/>
              <w:bottom w:val="single" w:sz="8" w:space="0" w:color="auto"/>
              <w:right w:val="single" w:sz="8" w:space="0" w:color="auto"/>
            </w:tcBorders>
            <w:shd w:val="clear" w:color="auto" w:fill="auto"/>
            <w:vAlign w:val="center"/>
            <w:hideMark/>
          </w:tcPr>
          <w:p w14:paraId="7FBC7BD2" w14:textId="77777777" w:rsidR="0000065A" w:rsidRPr="0000065A" w:rsidRDefault="0000065A" w:rsidP="0000065A">
            <w:pPr>
              <w:ind w:firstLine="0"/>
              <w:jc w:val="center"/>
              <w:rPr>
                <w:rFonts w:eastAsia="Times New Roman" w:cs="Times New Roman"/>
                <w:color w:val="000000"/>
                <w:sz w:val="20"/>
                <w:szCs w:val="20"/>
                <w:lang w:eastAsia="ru-RU"/>
              </w:rPr>
            </w:pPr>
            <w:r w:rsidRPr="0000065A">
              <w:rPr>
                <w:rFonts w:eastAsia="Times New Roman" w:cs="Times New Roman"/>
                <w:color w:val="000000"/>
                <w:sz w:val="20"/>
                <w:szCs w:val="20"/>
                <w:lang w:eastAsia="ru-RU"/>
              </w:rPr>
              <w:t>47,95%</w:t>
            </w:r>
          </w:p>
        </w:tc>
      </w:tr>
      <w:tr w:rsidR="0000065A" w:rsidRPr="0000065A" w14:paraId="1E3DF7A9" w14:textId="77777777" w:rsidTr="0000065A">
        <w:trPr>
          <w:trHeight w:val="20"/>
        </w:trPr>
        <w:tc>
          <w:tcPr>
            <w:tcW w:w="1418" w:type="dxa"/>
            <w:tcBorders>
              <w:top w:val="nil"/>
              <w:left w:val="single" w:sz="8" w:space="0" w:color="auto"/>
              <w:bottom w:val="single" w:sz="8" w:space="0" w:color="auto"/>
              <w:right w:val="single" w:sz="8" w:space="0" w:color="auto"/>
            </w:tcBorders>
            <w:shd w:val="clear" w:color="auto" w:fill="auto"/>
            <w:vAlign w:val="center"/>
            <w:hideMark/>
          </w:tcPr>
          <w:p w14:paraId="4914136B" w14:textId="77777777" w:rsidR="0000065A" w:rsidRPr="0000065A" w:rsidRDefault="0000065A" w:rsidP="0000065A">
            <w:pPr>
              <w:ind w:firstLine="0"/>
              <w:jc w:val="center"/>
              <w:rPr>
                <w:rFonts w:eastAsia="Times New Roman" w:cs="Times New Roman"/>
                <w:color w:val="000000"/>
                <w:sz w:val="20"/>
                <w:szCs w:val="20"/>
                <w:lang w:eastAsia="ru-RU"/>
              </w:rPr>
            </w:pPr>
            <w:r w:rsidRPr="0000065A">
              <w:rPr>
                <w:rFonts w:eastAsia="Times New Roman" w:cs="Times New Roman"/>
                <w:color w:val="000000"/>
                <w:sz w:val="20"/>
                <w:szCs w:val="20"/>
                <w:lang w:eastAsia="ru-RU"/>
              </w:rPr>
              <w:t>3 группа</w:t>
            </w:r>
          </w:p>
        </w:tc>
        <w:tc>
          <w:tcPr>
            <w:tcW w:w="4962" w:type="dxa"/>
            <w:tcBorders>
              <w:top w:val="nil"/>
              <w:left w:val="nil"/>
              <w:bottom w:val="single" w:sz="8" w:space="0" w:color="auto"/>
              <w:right w:val="single" w:sz="8" w:space="0" w:color="auto"/>
            </w:tcBorders>
            <w:shd w:val="clear" w:color="auto" w:fill="auto"/>
            <w:vAlign w:val="center"/>
            <w:hideMark/>
          </w:tcPr>
          <w:p w14:paraId="2239BC3A" w14:textId="77777777" w:rsidR="0000065A" w:rsidRPr="0000065A" w:rsidRDefault="0000065A" w:rsidP="0000065A">
            <w:pPr>
              <w:ind w:firstLine="0"/>
              <w:jc w:val="left"/>
              <w:rPr>
                <w:rFonts w:eastAsia="Times New Roman" w:cs="Times New Roman"/>
                <w:color w:val="000000"/>
                <w:sz w:val="20"/>
                <w:szCs w:val="20"/>
                <w:lang w:eastAsia="ru-RU"/>
              </w:rPr>
            </w:pPr>
            <w:r w:rsidRPr="0000065A">
              <w:rPr>
                <w:rFonts w:eastAsia="Times New Roman" w:cs="Times New Roman"/>
                <w:color w:val="000000"/>
                <w:sz w:val="20"/>
                <w:szCs w:val="20"/>
                <w:lang w:eastAsia="ru-RU"/>
              </w:rPr>
              <w:t>Объекты, предназначенные для хранения транспорта</w:t>
            </w:r>
          </w:p>
        </w:tc>
        <w:tc>
          <w:tcPr>
            <w:tcW w:w="1984" w:type="dxa"/>
            <w:gridSpan w:val="2"/>
            <w:tcBorders>
              <w:top w:val="nil"/>
              <w:left w:val="nil"/>
              <w:bottom w:val="single" w:sz="8" w:space="0" w:color="auto"/>
              <w:right w:val="single" w:sz="8" w:space="0" w:color="auto"/>
            </w:tcBorders>
            <w:shd w:val="clear" w:color="auto" w:fill="auto"/>
            <w:vAlign w:val="center"/>
            <w:hideMark/>
          </w:tcPr>
          <w:p w14:paraId="1BF6B412" w14:textId="34E315D8" w:rsidR="0000065A" w:rsidRPr="0000065A" w:rsidRDefault="004362F9" w:rsidP="0000065A">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48 780</w:t>
            </w:r>
          </w:p>
        </w:tc>
        <w:tc>
          <w:tcPr>
            <w:tcW w:w="966" w:type="dxa"/>
            <w:tcBorders>
              <w:top w:val="nil"/>
              <w:left w:val="nil"/>
              <w:bottom w:val="single" w:sz="8" w:space="0" w:color="auto"/>
              <w:right w:val="single" w:sz="8" w:space="0" w:color="auto"/>
            </w:tcBorders>
            <w:shd w:val="clear" w:color="auto" w:fill="auto"/>
            <w:vAlign w:val="center"/>
            <w:hideMark/>
          </w:tcPr>
          <w:p w14:paraId="6266D673" w14:textId="77777777" w:rsidR="0000065A" w:rsidRPr="0000065A" w:rsidRDefault="0000065A" w:rsidP="0000065A">
            <w:pPr>
              <w:ind w:firstLine="0"/>
              <w:jc w:val="center"/>
              <w:rPr>
                <w:rFonts w:eastAsia="Times New Roman" w:cs="Times New Roman"/>
                <w:color w:val="000000"/>
                <w:sz w:val="20"/>
                <w:szCs w:val="20"/>
                <w:lang w:eastAsia="ru-RU"/>
              </w:rPr>
            </w:pPr>
            <w:r w:rsidRPr="0000065A">
              <w:rPr>
                <w:rFonts w:eastAsia="Times New Roman" w:cs="Times New Roman"/>
                <w:color w:val="000000"/>
                <w:sz w:val="20"/>
                <w:szCs w:val="20"/>
                <w:lang w:eastAsia="ru-RU"/>
              </w:rPr>
              <w:t>7,27%</w:t>
            </w:r>
          </w:p>
        </w:tc>
      </w:tr>
      <w:tr w:rsidR="0000065A" w:rsidRPr="0000065A" w14:paraId="3F889C47" w14:textId="77777777" w:rsidTr="0000065A">
        <w:trPr>
          <w:trHeight w:val="20"/>
        </w:trPr>
        <w:tc>
          <w:tcPr>
            <w:tcW w:w="1418" w:type="dxa"/>
            <w:tcBorders>
              <w:top w:val="nil"/>
              <w:left w:val="single" w:sz="8" w:space="0" w:color="auto"/>
              <w:bottom w:val="single" w:sz="8" w:space="0" w:color="auto"/>
              <w:right w:val="single" w:sz="8" w:space="0" w:color="auto"/>
            </w:tcBorders>
            <w:shd w:val="clear" w:color="auto" w:fill="auto"/>
            <w:vAlign w:val="center"/>
            <w:hideMark/>
          </w:tcPr>
          <w:p w14:paraId="4A52C7DD" w14:textId="77777777" w:rsidR="0000065A" w:rsidRPr="0000065A" w:rsidRDefault="0000065A" w:rsidP="0000065A">
            <w:pPr>
              <w:ind w:firstLine="0"/>
              <w:jc w:val="center"/>
              <w:rPr>
                <w:rFonts w:eastAsia="Times New Roman" w:cs="Times New Roman"/>
                <w:color w:val="000000"/>
                <w:sz w:val="20"/>
                <w:szCs w:val="20"/>
                <w:lang w:eastAsia="ru-RU"/>
              </w:rPr>
            </w:pPr>
            <w:r w:rsidRPr="0000065A">
              <w:rPr>
                <w:rFonts w:eastAsia="Times New Roman" w:cs="Times New Roman"/>
                <w:color w:val="000000"/>
                <w:sz w:val="20"/>
                <w:szCs w:val="20"/>
                <w:lang w:eastAsia="ru-RU"/>
              </w:rPr>
              <w:t>4 группа</w:t>
            </w:r>
          </w:p>
        </w:tc>
        <w:tc>
          <w:tcPr>
            <w:tcW w:w="4962" w:type="dxa"/>
            <w:tcBorders>
              <w:top w:val="nil"/>
              <w:left w:val="nil"/>
              <w:bottom w:val="single" w:sz="8" w:space="0" w:color="auto"/>
              <w:right w:val="single" w:sz="8" w:space="0" w:color="auto"/>
            </w:tcBorders>
            <w:shd w:val="clear" w:color="auto" w:fill="auto"/>
            <w:vAlign w:val="center"/>
            <w:hideMark/>
          </w:tcPr>
          <w:p w14:paraId="64CA4F56" w14:textId="77777777" w:rsidR="0000065A" w:rsidRPr="0000065A" w:rsidRDefault="0000065A" w:rsidP="0000065A">
            <w:pPr>
              <w:ind w:firstLine="0"/>
              <w:jc w:val="left"/>
              <w:rPr>
                <w:rFonts w:eastAsia="Times New Roman" w:cs="Times New Roman"/>
                <w:color w:val="000000"/>
                <w:sz w:val="20"/>
                <w:szCs w:val="20"/>
                <w:lang w:eastAsia="ru-RU"/>
              </w:rPr>
            </w:pPr>
            <w:r w:rsidRPr="0000065A">
              <w:rPr>
                <w:rFonts w:eastAsia="Times New Roman" w:cs="Times New Roman"/>
                <w:color w:val="000000"/>
                <w:sz w:val="20"/>
                <w:szCs w:val="20"/>
                <w:lang w:eastAsia="ru-RU"/>
              </w:rPr>
              <w:t>Объекты коммерческого назначения, предназначенные для оказания услуг населению, включая объекты многофункционального назначения</w:t>
            </w:r>
          </w:p>
        </w:tc>
        <w:tc>
          <w:tcPr>
            <w:tcW w:w="1984" w:type="dxa"/>
            <w:gridSpan w:val="2"/>
            <w:tcBorders>
              <w:top w:val="nil"/>
              <w:left w:val="nil"/>
              <w:bottom w:val="single" w:sz="8" w:space="0" w:color="auto"/>
              <w:right w:val="single" w:sz="8" w:space="0" w:color="auto"/>
            </w:tcBorders>
            <w:shd w:val="clear" w:color="auto" w:fill="auto"/>
            <w:vAlign w:val="center"/>
            <w:hideMark/>
          </w:tcPr>
          <w:p w14:paraId="40527F38" w14:textId="4FE918F6" w:rsidR="0000065A" w:rsidRPr="0000065A" w:rsidRDefault="004362F9" w:rsidP="0000065A">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10 589</w:t>
            </w:r>
          </w:p>
        </w:tc>
        <w:tc>
          <w:tcPr>
            <w:tcW w:w="966" w:type="dxa"/>
            <w:tcBorders>
              <w:top w:val="nil"/>
              <w:left w:val="nil"/>
              <w:bottom w:val="single" w:sz="8" w:space="0" w:color="auto"/>
              <w:right w:val="single" w:sz="8" w:space="0" w:color="auto"/>
            </w:tcBorders>
            <w:shd w:val="clear" w:color="auto" w:fill="auto"/>
            <w:vAlign w:val="center"/>
            <w:hideMark/>
          </w:tcPr>
          <w:p w14:paraId="37E74D2E" w14:textId="77777777" w:rsidR="0000065A" w:rsidRPr="0000065A" w:rsidRDefault="0000065A" w:rsidP="0000065A">
            <w:pPr>
              <w:ind w:firstLine="0"/>
              <w:jc w:val="center"/>
              <w:rPr>
                <w:rFonts w:eastAsia="Times New Roman" w:cs="Times New Roman"/>
                <w:color w:val="000000"/>
                <w:sz w:val="20"/>
                <w:szCs w:val="20"/>
                <w:lang w:eastAsia="ru-RU"/>
              </w:rPr>
            </w:pPr>
            <w:r w:rsidRPr="0000065A">
              <w:rPr>
                <w:rFonts w:eastAsia="Times New Roman" w:cs="Times New Roman"/>
                <w:color w:val="000000"/>
                <w:sz w:val="20"/>
                <w:szCs w:val="20"/>
                <w:lang w:eastAsia="ru-RU"/>
              </w:rPr>
              <w:t>1,58%</w:t>
            </w:r>
          </w:p>
        </w:tc>
      </w:tr>
      <w:tr w:rsidR="0000065A" w:rsidRPr="0000065A" w14:paraId="216EB67D" w14:textId="77777777" w:rsidTr="0000065A">
        <w:trPr>
          <w:trHeight w:val="20"/>
        </w:trPr>
        <w:tc>
          <w:tcPr>
            <w:tcW w:w="1418" w:type="dxa"/>
            <w:tcBorders>
              <w:top w:val="nil"/>
              <w:left w:val="single" w:sz="8" w:space="0" w:color="auto"/>
              <w:bottom w:val="single" w:sz="8" w:space="0" w:color="auto"/>
              <w:right w:val="single" w:sz="8" w:space="0" w:color="auto"/>
            </w:tcBorders>
            <w:shd w:val="clear" w:color="auto" w:fill="auto"/>
            <w:vAlign w:val="center"/>
            <w:hideMark/>
          </w:tcPr>
          <w:p w14:paraId="76E01CF7" w14:textId="77777777" w:rsidR="0000065A" w:rsidRPr="0000065A" w:rsidRDefault="0000065A" w:rsidP="0000065A">
            <w:pPr>
              <w:ind w:firstLine="0"/>
              <w:jc w:val="center"/>
              <w:rPr>
                <w:rFonts w:eastAsia="Times New Roman" w:cs="Times New Roman"/>
                <w:color w:val="000000"/>
                <w:sz w:val="20"/>
                <w:szCs w:val="20"/>
                <w:lang w:eastAsia="ru-RU"/>
              </w:rPr>
            </w:pPr>
            <w:r w:rsidRPr="0000065A">
              <w:rPr>
                <w:rFonts w:eastAsia="Times New Roman" w:cs="Times New Roman"/>
                <w:color w:val="000000"/>
                <w:sz w:val="20"/>
                <w:szCs w:val="20"/>
                <w:lang w:eastAsia="ru-RU"/>
              </w:rPr>
              <w:t>5 группа</w:t>
            </w:r>
          </w:p>
        </w:tc>
        <w:tc>
          <w:tcPr>
            <w:tcW w:w="4962" w:type="dxa"/>
            <w:tcBorders>
              <w:top w:val="nil"/>
              <w:left w:val="nil"/>
              <w:bottom w:val="single" w:sz="8" w:space="0" w:color="auto"/>
              <w:right w:val="single" w:sz="8" w:space="0" w:color="auto"/>
            </w:tcBorders>
            <w:shd w:val="clear" w:color="auto" w:fill="auto"/>
            <w:vAlign w:val="center"/>
            <w:hideMark/>
          </w:tcPr>
          <w:p w14:paraId="0EC43362" w14:textId="77777777" w:rsidR="0000065A" w:rsidRPr="0000065A" w:rsidRDefault="0000065A" w:rsidP="0000065A">
            <w:pPr>
              <w:ind w:firstLine="0"/>
              <w:jc w:val="left"/>
              <w:rPr>
                <w:rFonts w:eastAsia="Times New Roman" w:cs="Times New Roman"/>
                <w:color w:val="000000"/>
                <w:sz w:val="20"/>
                <w:szCs w:val="20"/>
                <w:lang w:eastAsia="ru-RU"/>
              </w:rPr>
            </w:pPr>
            <w:r w:rsidRPr="0000065A">
              <w:rPr>
                <w:rFonts w:eastAsia="Times New Roman" w:cs="Times New Roman"/>
                <w:color w:val="000000"/>
                <w:sz w:val="20"/>
                <w:szCs w:val="20"/>
                <w:lang w:eastAsia="ru-RU"/>
              </w:rPr>
              <w:t>Объекты временного проживания, включая объекты рекреационно-оздоровительного значения</w:t>
            </w:r>
          </w:p>
        </w:tc>
        <w:tc>
          <w:tcPr>
            <w:tcW w:w="1984" w:type="dxa"/>
            <w:gridSpan w:val="2"/>
            <w:tcBorders>
              <w:top w:val="nil"/>
              <w:left w:val="nil"/>
              <w:bottom w:val="single" w:sz="8" w:space="0" w:color="auto"/>
              <w:right w:val="single" w:sz="8" w:space="0" w:color="auto"/>
            </w:tcBorders>
            <w:shd w:val="clear" w:color="auto" w:fill="auto"/>
            <w:vAlign w:val="center"/>
            <w:hideMark/>
          </w:tcPr>
          <w:p w14:paraId="17F3EFA0" w14:textId="77777777" w:rsidR="0000065A" w:rsidRPr="0000065A" w:rsidRDefault="0000065A" w:rsidP="0000065A">
            <w:pPr>
              <w:ind w:firstLine="0"/>
              <w:jc w:val="center"/>
              <w:rPr>
                <w:rFonts w:eastAsia="Times New Roman" w:cs="Times New Roman"/>
                <w:color w:val="000000"/>
                <w:sz w:val="20"/>
                <w:szCs w:val="20"/>
                <w:lang w:eastAsia="ru-RU"/>
              </w:rPr>
            </w:pPr>
            <w:r w:rsidRPr="0000065A">
              <w:rPr>
                <w:rFonts w:eastAsia="Times New Roman" w:cs="Times New Roman"/>
                <w:color w:val="000000"/>
                <w:sz w:val="20"/>
                <w:szCs w:val="20"/>
                <w:lang w:eastAsia="ru-RU"/>
              </w:rPr>
              <w:t>13 018</w:t>
            </w:r>
          </w:p>
        </w:tc>
        <w:tc>
          <w:tcPr>
            <w:tcW w:w="966" w:type="dxa"/>
            <w:tcBorders>
              <w:top w:val="nil"/>
              <w:left w:val="nil"/>
              <w:bottom w:val="single" w:sz="8" w:space="0" w:color="auto"/>
              <w:right w:val="single" w:sz="8" w:space="0" w:color="auto"/>
            </w:tcBorders>
            <w:shd w:val="clear" w:color="auto" w:fill="auto"/>
            <w:vAlign w:val="center"/>
            <w:hideMark/>
          </w:tcPr>
          <w:p w14:paraId="043C895F" w14:textId="77777777" w:rsidR="0000065A" w:rsidRPr="0000065A" w:rsidRDefault="0000065A" w:rsidP="0000065A">
            <w:pPr>
              <w:ind w:firstLine="0"/>
              <w:jc w:val="center"/>
              <w:rPr>
                <w:rFonts w:eastAsia="Times New Roman" w:cs="Times New Roman"/>
                <w:color w:val="000000"/>
                <w:sz w:val="20"/>
                <w:szCs w:val="20"/>
                <w:lang w:eastAsia="ru-RU"/>
              </w:rPr>
            </w:pPr>
            <w:r w:rsidRPr="0000065A">
              <w:rPr>
                <w:rFonts w:eastAsia="Times New Roman" w:cs="Times New Roman"/>
                <w:color w:val="000000"/>
                <w:sz w:val="20"/>
                <w:szCs w:val="20"/>
                <w:lang w:eastAsia="ru-RU"/>
              </w:rPr>
              <w:t>1,94%</w:t>
            </w:r>
          </w:p>
        </w:tc>
      </w:tr>
      <w:tr w:rsidR="0000065A" w:rsidRPr="0000065A" w14:paraId="06B6895C" w14:textId="77777777" w:rsidTr="0000065A">
        <w:trPr>
          <w:trHeight w:val="20"/>
        </w:trPr>
        <w:tc>
          <w:tcPr>
            <w:tcW w:w="1418" w:type="dxa"/>
            <w:tcBorders>
              <w:top w:val="nil"/>
              <w:left w:val="single" w:sz="8" w:space="0" w:color="auto"/>
              <w:bottom w:val="single" w:sz="8" w:space="0" w:color="auto"/>
              <w:right w:val="single" w:sz="8" w:space="0" w:color="auto"/>
            </w:tcBorders>
            <w:shd w:val="clear" w:color="auto" w:fill="auto"/>
            <w:vAlign w:val="center"/>
            <w:hideMark/>
          </w:tcPr>
          <w:p w14:paraId="2F5B9CFF" w14:textId="77777777" w:rsidR="0000065A" w:rsidRPr="0000065A" w:rsidRDefault="0000065A" w:rsidP="0000065A">
            <w:pPr>
              <w:ind w:firstLine="0"/>
              <w:jc w:val="center"/>
              <w:rPr>
                <w:rFonts w:eastAsia="Times New Roman" w:cs="Times New Roman"/>
                <w:color w:val="000000"/>
                <w:sz w:val="20"/>
                <w:szCs w:val="20"/>
                <w:lang w:eastAsia="ru-RU"/>
              </w:rPr>
            </w:pPr>
            <w:r w:rsidRPr="0000065A">
              <w:rPr>
                <w:rFonts w:eastAsia="Times New Roman" w:cs="Times New Roman"/>
                <w:color w:val="000000"/>
                <w:sz w:val="20"/>
                <w:szCs w:val="20"/>
                <w:lang w:eastAsia="ru-RU"/>
              </w:rPr>
              <w:t>6 группа</w:t>
            </w:r>
          </w:p>
        </w:tc>
        <w:tc>
          <w:tcPr>
            <w:tcW w:w="4962" w:type="dxa"/>
            <w:tcBorders>
              <w:top w:val="nil"/>
              <w:left w:val="nil"/>
              <w:bottom w:val="single" w:sz="8" w:space="0" w:color="auto"/>
              <w:right w:val="single" w:sz="8" w:space="0" w:color="auto"/>
            </w:tcBorders>
            <w:shd w:val="clear" w:color="auto" w:fill="auto"/>
            <w:vAlign w:val="center"/>
            <w:hideMark/>
          </w:tcPr>
          <w:p w14:paraId="68A2B654" w14:textId="77777777" w:rsidR="0000065A" w:rsidRPr="0000065A" w:rsidRDefault="0000065A" w:rsidP="0000065A">
            <w:pPr>
              <w:ind w:firstLine="0"/>
              <w:jc w:val="left"/>
              <w:rPr>
                <w:rFonts w:eastAsia="Times New Roman" w:cs="Times New Roman"/>
                <w:color w:val="000000"/>
                <w:sz w:val="20"/>
                <w:szCs w:val="20"/>
                <w:lang w:eastAsia="ru-RU"/>
              </w:rPr>
            </w:pPr>
            <w:r w:rsidRPr="0000065A">
              <w:rPr>
                <w:rFonts w:eastAsia="Times New Roman" w:cs="Times New Roman"/>
                <w:color w:val="000000"/>
                <w:sz w:val="20"/>
                <w:szCs w:val="20"/>
                <w:lang w:eastAsia="ru-RU"/>
              </w:rPr>
              <w:t>Административные и бытовые объекты</w:t>
            </w:r>
          </w:p>
        </w:tc>
        <w:tc>
          <w:tcPr>
            <w:tcW w:w="1984" w:type="dxa"/>
            <w:gridSpan w:val="2"/>
            <w:tcBorders>
              <w:top w:val="nil"/>
              <w:left w:val="nil"/>
              <w:bottom w:val="single" w:sz="8" w:space="0" w:color="auto"/>
              <w:right w:val="single" w:sz="8" w:space="0" w:color="auto"/>
            </w:tcBorders>
            <w:shd w:val="clear" w:color="auto" w:fill="auto"/>
            <w:vAlign w:val="center"/>
            <w:hideMark/>
          </w:tcPr>
          <w:p w14:paraId="4539B099" w14:textId="77777777" w:rsidR="0000065A" w:rsidRPr="0000065A" w:rsidRDefault="0000065A" w:rsidP="0000065A">
            <w:pPr>
              <w:ind w:firstLine="0"/>
              <w:jc w:val="center"/>
              <w:rPr>
                <w:rFonts w:eastAsia="Times New Roman" w:cs="Times New Roman"/>
                <w:color w:val="000000"/>
                <w:sz w:val="20"/>
                <w:szCs w:val="20"/>
                <w:lang w:eastAsia="ru-RU"/>
              </w:rPr>
            </w:pPr>
            <w:r w:rsidRPr="0000065A">
              <w:rPr>
                <w:rFonts w:eastAsia="Times New Roman" w:cs="Times New Roman"/>
                <w:color w:val="000000"/>
                <w:sz w:val="20"/>
                <w:szCs w:val="20"/>
                <w:lang w:eastAsia="ru-RU"/>
              </w:rPr>
              <w:t>5 724</w:t>
            </w:r>
          </w:p>
        </w:tc>
        <w:tc>
          <w:tcPr>
            <w:tcW w:w="966" w:type="dxa"/>
            <w:tcBorders>
              <w:top w:val="nil"/>
              <w:left w:val="nil"/>
              <w:bottom w:val="single" w:sz="8" w:space="0" w:color="auto"/>
              <w:right w:val="single" w:sz="8" w:space="0" w:color="auto"/>
            </w:tcBorders>
            <w:shd w:val="clear" w:color="auto" w:fill="auto"/>
            <w:vAlign w:val="center"/>
            <w:hideMark/>
          </w:tcPr>
          <w:p w14:paraId="5138AFA1" w14:textId="77777777" w:rsidR="0000065A" w:rsidRPr="0000065A" w:rsidRDefault="0000065A" w:rsidP="0000065A">
            <w:pPr>
              <w:ind w:firstLine="0"/>
              <w:jc w:val="center"/>
              <w:rPr>
                <w:rFonts w:eastAsia="Times New Roman" w:cs="Times New Roman"/>
                <w:color w:val="000000"/>
                <w:sz w:val="20"/>
                <w:szCs w:val="20"/>
                <w:lang w:eastAsia="ru-RU"/>
              </w:rPr>
            </w:pPr>
            <w:r w:rsidRPr="0000065A">
              <w:rPr>
                <w:rFonts w:eastAsia="Times New Roman" w:cs="Times New Roman"/>
                <w:color w:val="000000"/>
                <w:sz w:val="20"/>
                <w:szCs w:val="20"/>
                <w:lang w:eastAsia="ru-RU"/>
              </w:rPr>
              <w:t>0,85%</w:t>
            </w:r>
          </w:p>
        </w:tc>
      </w:tr>
      <w:tr w:rsidR="0000065A" w:rsidRPr="0000065A" w14:paraId="0A12A1BC" w14:textId="77777777" w:rsidTr="0000065A">
        <w:trPr>
          <w:trHeight w:val="20"/>
        </w:trPr>
        <w:tc>
          <w:tcPr>
            <w:tcW w:w="1418" w:type="dxa"/>
            <w:tcBorders>
              <w:top w:val="nil"/>
              <w:left w:val="single" w:sz="8" w:space="0" w:color="auto"/>
              <w:bottom w:val="single" w:sz="8" w:space="0" w:color="auto"/>
              <w:right w:val="single" w:sz="8" w:space="0" w:color="auto"/>
            </w:tcBorders>
            <w:shd w:val="clear" w:color="auto" w:fill="auto"/>
            <w:vAlign w:val="center"/>
            <w:hideMark/>
          </w:tcPr>
          <w:p w14:paraId="23C0480B" w14:textId="77777777" w:rsidR="0000065A" w:rsidRPr="0000065A" w:rsidRDefault="0000065A" w:rsidP="0000065A">
            <w:pPr>
              <w:ind w:firstLine="0"/>
              <w:jc w:val="center"/>
              <w:rPr>
                <w:rFonts w:eastAsia="Times New Roman" w:cs="Times New Roman"/>
                <w:color w:val="000000"/>
                <w:sz w:val="20"/>
                <w:szCs w:val="20"/>
                <w:lang w:eastAsia="ru-RU"/>
              </w:rPr>
            </w:pPr>
            <w:r w:rsidRPr="0000065A">
              <w:rPr>
                <w:rFonts w:eastAsia="Times New Roman" w:cs="Times New Roman"/>
                <w:color w:val="000000"/>
                <w:sz w:val="20"/>
                <w:szCs w:val="20"/>
                <w:lang w:eastAsia="ru-RU"/>
              </w:rPr>
              <w:t>7 группа</w:t>
            </w:r>
          </w:p>
        </w:tc>
        <w:tc>
          <w:tcPr>
            <w:tcW w:w="4962" w:type="dxa"/>
            <w:tcBorders>
              <w:top w:val="nil"/>
              <w:left w:val="nil"/>
              <w:bottom w:val="single" w:sz="8" w:space="0" w:color="auto"/>
              <w:right w:val="single" w:sz="8" w:space="0" w:color="auto"/>
            </w:tcBorders>
            <w:shd w:val="clear" w:color="auto" w:fill="auto"/>
            <w:vAlign w:val="center"/>
            <w:hideMark/>
          </w:tcPr>
          <w:p w14:paraId="22989BA0" w14:textId="77777777" w:rsidR="0000065A" w:rsidRPr="0000065A" w:rsidRDefault="0000065A" w:rsidP="0000065A">
            <w:pPr>
              <w:ind w:firstLine="0"/>
              <w:jc w:val="left"/>
              <w:rPr>
                <w:rFonts w:eastAsia="Times New Roman" w:cs="Times New Roman"/>
                <w:color w:val="000000"/>
                <w:sz w:val="20"/>
                <w:szCs w:val="20"/>
                <w:lang w:eastAsia="ru-RU"/>
              </w:rPr>
            </w:pPr>
            <w:r w:rsidRPr="0000065A">
              <w:rPr>
                <w:rFonts w:eastAsia="Times New Roman" w:cs="Times New Roman"/>
                <w:color w:val="000000"/>
                <w:sz w:val="20"/>
                <w:szCs w:val="20"/>
                <w:lang w:eastAsia="ru-RU"/>
              </w:rPr>
              <w:t>Объекты производственного назначения, за исключением передаточных устройств и сооружений</w:t>
            </w:r>
          </w:p>
        </w:tc>
        <w:tc>
          <w:tcPr>
            <w:tcW w:w="1984" w:type="dxa"/>
            <w:gridSpan w:val="2"/>
            <w:tcBorders>
              <w:top w:val="nil"/>
              <w:left w:val="nil"/>
              <w:bottom w:val="single" w:sz="8" w:space="0" w:color="auto"/>
              <w:right w:val="single" w:sz="8" w:space="0" w:color="auto"/>
            </w:tcBorders>
            <w:shd w:val="clear" w:color="auto" w:fill="auto"/>
            <w:vAlign w:val="center"/>
            <w:hideMark/>
          </w:tcPr>
          <w:p w14:paraId="5397037E" w14:textId="1598A451" w:rsidR="0000065A" w:rsidRPr="0000065A" w:rsidRDefault="0000065A" w:rsidP="00631CA6">
            <w:pPr>
              <w:ind w:firstLine="0"/>
              <w:jc w:val="center"/>
              <w:rPr>
                <w:rFonts w:eastAsia="Times New Roman" w:cs="Times New Roman"/>
                <w:color w:val="000000"/>
                <w:sz w:val="20"/>
                <w:szCs w:val="20"/>
                <w:lang w:eastAsia="ru-RU"/>
              </w:rPr>
            </w:pPr>
            <w:r w:rsidRPr="0000065A">
              <w:rPr>
                <w:rFonts w:eastAsia="Times New Roman" w:cs="Times New Roman"/>
                <w:color w:val="000000"/>
                <w:sz w:val="20"/>
                <w:szCs w:val="20"/>
                <w:lang w:eastAsia="ru-RU"/>
              </w:rPr>
              <w:t>28 26</w:t>
            </w:r>
            <w:r w:rsidR="00631CA6">
              <w:rPr>
                <w:rFonts w:eastAsia="Times New Roman" w:cs="Times New Roman"/>
                <w:color w:val="000000"/>
                <w:sz w:val="20"/>
                <w:szCs w:val="20"/>
                <w:lang w:eastAsia="ru-RU"/>
              </w:rPr>
              <w:t>0</w:t>
            </w:r>
          </w:p>
        </w:tc>
        <w:tc>
          <w:tcPr>
            <w:tcW w:w="966" w:type="dxa"/>
            <w:tcBorders>
              <w:top w:val="nil"/>
              <w:left w:val="nil"/>
              <w:bottom w:val="single" w:sz="8" w:space="0" w:color="auto"/>
              <w:right w:val="single" w:sz="8" w:space="0" w:color="auto"/>
            </w:tcBorders>
            <w:shd w:val="clear" w:color="auto" w:fill="auto"/>
            <w:vAlign w:val="center"/>
            <w:hideMark/>
          </w:tcPr>
          <w:p w14:paraId="636DE5B8" w14:textId="77777777" w:rsidR="0000065A" w:rsidRPr="0000065A" w:rsidRDefault="0000065A" w:rsidP="0000065A">
            <w:pPr>
              <w:ind w:firstLine="0"/>
              <w:jc w:val="center"/>
              <w:rPr>
                <w:rFonts w:eastAsia="Times New Roman" w:cs="Times New Roman"/>
                <w:color w:val="000000"/>
                <w:sz w:val="20"/>
                <w:szCs w:val="20"/>
                <w:lang w:eastAsia="ru-RU"/>
              </w:rPr>
            </w:pPr>
            <w:r w:rsidRPr="0000065A">
              <w:rPr>
                <w:rFonts w:eastAsia="Times New Roman" w:cs="Times New Roman"/>
                <w:color w:val="000000"/>
                <w:sz w:val="20"/>
                <w:szCs w:val="20"/>
                <w:lang w:eastAsia="ru-RU"/>
              </w:rPr>
              <w:t>4,21%</w:t>
            </w:r>
          </w:p>
        </w:tc>
      </w:tr>
      <w:tr w:rsidR="0000065A" w:rsidRPr="0000065A" w14:paraId="3DE8910A" w14:textId="77777777" w:rsidTr="0000065A">
        <w:trPr>
          <w:trHeight w:val="20"/>
        </w:trPr>
        <w:tc>
          <w:tcPr>
            <w:tcW w:w="1418" w:type="dxa"/>
            <w:tcBorders>
              <w:top w:val="nil"/>
              <w:left w:val="single" w:sz="8" w:space="0" w:color="auto"/>
              <w:bottom w:val="single" w:sz="8" w:space="0" w:color="auto"/>
              <w:right w:val="single" w:sz="8" w:space="0" w:color="auto"/>
            </w:tcBorders>
            <w:shd w:val="clear" w:color="auto" w:fill="auto"/>
            <w:vAlign w:val="center"/>
            <w:hideMark/>
          </w:tcPr>
          <w:p w14:paraId="07D34D44" w14:textId="77777777" w:rsidR="0000065A" w:rsidRPr="0000065A" w:rsidRDefault="0000065A" w:rsidP="0000065A">
            <w:pPr>
              <w:ind w:firstLine="0"/>
              <w:jc w:val="center"/>
              <w:rPr>
                <w:rFonts w:eastAsia="Times New Roman" w:cs="Times New Roman"/>
                <w:color w:val="000000"/>
                <w:sz w:val="20"/>
                <w:szCs w:val="20"/>
                <w:lang w:eastAsia="ru-RU"/>
              </w:rPr>
            </w:pPr>
            <w:r w:rsidRPr="0000065A">
              <w:rPr>
                <w:rFonts w:eastAsia="Times New Roman" w:cs="Times New Roman"/>
                <w:color w:val="000000"/>
                <w:sz w:val="20"/>
                <w:szCs w:val="20"/>
                <w:lang w:eastAsia="ru-RU"/>
              </w:rPr>
              <w:t>8 группа</w:t>
            </w:r>
          </w:p>
        </w:tc>
        <w:tc>
          <w:tcPr>
            <w:tcW w:w="4962" w:type="dxa"/>
            <w:tcBorders>
              <w:top w:val="nil"/>
              <w:left w:val="nil"/>
              <w:bottom w:val="single" w:sz="8" w:space="0" w:color="auto"/>
              <w:right w:val="single" w:sz="8" w:space="0" w:color="auto"/>
            </w:tcBorders>
            <w:shd w:val="clear" w:color="auto" w:fill="auto"/>
            <w:vAlign w:val="center"/>
            <w:hideMark/>
          </w:tcPr>
          <w:p w14:paraId="5047E45F" w14:textId="77777777" w:rsidR="0000065A" w:rsidRPr="0000065A" w:rsidRDefault="0000065A" w:rsidP="0000065A">
            <w:pPr>
              <w:ind w:firstLine="0"/>
              <w:jc w:val="left"/>
              <w:rPr>
                <w:rFonts w:eastAsia="Times New Roman" w:cs="Times New Roman"/>
                <w:color w:val="000000"/>
                <w:sz w:val="20"/>
                <w:szCs w:val="20"/>
                <w:lang w:eastAsia="ru-RU"/>
              </w:rPr>
            </w:pPr>
            <w:r w:rsidRPr="0000065A">
              <w:rPr>
                <w:rFonts w:eastAsia="Times New Roman" w:cs="Times New Roman"/>
                <w:color w:val="000000"/>
                <w:sz w:val="20"/>
                <w:szCs w:val="20"/>
                <w:lang w:eastAsia="ru-RU"/>
              </w:rPr>
              <w:t>Учебные, спортивные объекты, объекты культуры и искусства, культовые объекты, музеи, лечебно-оздоровительные и общественного назначения объекты</w:t>
            </w:r>
          </w:p>
        </w:tc>
        <w:tc>
          <w:tcPr>
            <w:tcW w:w="1984" w:type="dxa"/>
            <w:gridSpan w:val="2"/>
            <w:tcBorders>
              <w:top w:val="nil"/>
              <w:left w:val="nil"/>
              <w:bottom w:val="single" w:sz="8" w:space="0" w:color="auto"/>
              <w:right w:val="single" w:sz="8" w:space="0" w:color="auto"/>
            </w:tcBorders>
            <w:shd w:val="clear" w:color="auto" w:fill="auto"/>
            <w:vAlign w:val="center"/>
            <w:hideMark/>
          </w:tcPr>
          <w:p w14:paraId="7110F2F7" w14:textId="77777777" w:rsidR="0000065A" w:rsidRPr="0000065A" w:rsidRDefault="0000065A" w:rsidP="0000065A">
            <w:pPr>
              <w:ind w:firstLine="0"/>
              <w:jc w:val="center"/>
              <w:rPr>
                <w:rFonts w:eastAsia="Times New Roman" w:cs="Times New Roman"/>
                <w:color w:val="000000"/>
                <w:sz w:val="20"/>
                <w:szCs w:val="20"/>
                <w:lang w:eastAsia="ru-RU"/>
              </w:rPr>
            </w:pPr>
            <w:r w:rsidRPr="0000065A">
              <w:rPr>
                <w:rFonts w:eastAsia="Times New Roman" w:cs="Times New Roman"/>
                <w:color w:val="000000"/>
                <w:sz w:val="20"/>
                <w:szCs w:val="20"/>
                <w:lang w:eastAsia="ru-RU"/>
              </w:rPr>
              <w:t>10 215</w:t>
            </w:r>
          </w:p>
        </w:tc>
        <w:tc>
          <w:tcPr>
            <w:tcW w:w="966" w:type="dxa"/>
            <w:tcBorders>
              <w:top w:val="nil"/>
              <w:left w:val="nil"/>
              <w:bottom w:val="single" w:sz="8" w:space="0" w:color="auto"/>
              <w:right w:val="single" w:sz="8" w:space="0" w:color="auto"/>
            </w:tcBorders>
            <w:shd w:val="clear" w:color="auto" w:fill="auto"/>
            <w:vAlign w:val="center"/>
            <w:hideMark/>
          </w:tcPr>
          <w:p w14:paraId="3245E17F" w14:textId="77777777" w:rsidR="0000065A" w:rsidRPr="0000065A" w:rsidRDefault="0000065A" w:rsidP="0000065A">
            <w:pPr>
              <w:ind w:firstLine="0"/>
              <w:jc w:val="center"/>
              <w:rPr>
                <w:rFonts w:eastAsia="Times New Roman" w:cs="Times New Roman"/>
                <w:color w:val="000000"/>
                <w:sz w:val="20"/>
                <w:szCs w:val="20"/>
                <w:lang w:eastAsia="ru-RU"/>
              </w:rPr>
            </w:pPr>
            <w:r w:rsidRPr="0000065A">
              <w:rPr>
                <w:rFonts w:eastAsia="Times New Roman" w:cs="Times New Roman"/>
                <w:color w:val="000000"/>
                <w:sz w:val="20"/>
                <w:szCs w:val="20"/>
                <w:lang w:eastAsia="ru-RU"/>
              </w:rPr>
              <w:t>1,52%</w:t>
            </w:r>
          </w:p>
        </w:tc>
      </w:tr>
      <w:tr w:rsidR="0000065A" w:rsidRPr="0000065A" w14:paraId="70161DD9" w14:textId="77777777" w:rsidTr="0000065A">
        <w:trPr>
          <w:trHeight w:val="20"/>
        </w:trPr>
        <w:tc>
          <w:tcPr>
            <w:tcW w:w="1418" w:type="dxa"/>
            <w:tcBorders>
              <w:top w:val="nil"/>
              <w:left w:val="single" w:sz="8" w:space="0" w:color="auto"/>
              <w:bottom w:val="single" w:sz="8" w:space="0" w:color="auto"/>
              <w:right w:val="single" w:sz="8" w:space="0" w:color="auto"/>
            </w:tcBorders>
            <w:shd w:val="clear" w:color="auto" w:fill="auto"/>
            <w:vAlign w:val="center"/>
            <w:hideMark/>
          </w:tcPr>
          <w:p w14:paraId="1E11068D" w14:textId="77777777" w:rsidR="0000065A" w:rsidRPr="0000065A" w:rsidRDefault="0000065A" w:rsidP="0000065A">
            <w:pPr>
              <w:ind w:firstLine="0"/>
              <w:jc w:val="center"/>
              <w:rPr>
                <w:rFonts w:eastAsia="Times New Roman" w:cs="Times New Roman"/>
                <w:color w:val="000000"/>
                <w:sz w:val="20"/>
                <w:szCs w:val="20"/>
                <w:lang w:eastAsia="ru-RU"/>
              </w:rPr>
            </w:pPr>
            <w:r w:rsidRPr="0000065A">
              <w:rPr>
                <w:rFonts w:eastAsia="Times New Roman" w:cs="Times New Roman"/>
                <w:color w:val="000000"/>
                <w:sz w:val="20"/>
                <w:szCs w:val="20"/>
                <w:lang w:eastAsia="ru-RU"/>
              </w:rPr>
              <w:t>9 группа</w:t>
            </w:r>
          </w:p>
        </w:tc>
        <w:tc>
          <w:tcPr>
            <w:tcW w:w="4962" w:type="dxa"/>
            <w:tcBorders>
              <w:top w:val="nil"/>
              <w:left w:val="nil"/>
              <w:bottom w:val="single" w:sz="8" w:space="0" w:color="auto"/>
              <w:right w:val="single" w:sz="8" w:space="0" w:color="auto"/>
            </w:tcBorders>
            <w:shd w:val="clear" w:color="auto" w:fill="auto"/>
            <w:vAlign w:val="center"/>
            <w:hideMark/>
          </w:tcPr>
          <w:p w14:paraId="0E350181" w14:textId="77777777" w:rsidR="0000065A" w:rsidRPr="0000065A" w:rsidRDefault="0000065A" w:rsidP="0000065A">
            <w:pPr>
              <w:ind w:firstLine="0"/>
              <w:jc w:val="left"/>
              <w:rPr>
                <w:rFonts w:eastAsia="Times New Roman" w:cs="Times New Roman"/>
                <w:color w:val="000000"/>
                <w:sz w:val="20"/>
                <w:szCs w:val="20"/>
                <w:lang w:eastAsia="ru-RU"/>
              </w:rPr>
            </w:pPr>
            <w:r w:rsidRPr="0000065A">
              <w:rPr>
                <w:rFonts w:eastAsia="Times New Roman" w:cs="Times New Roman"/>
                <w:color w:val="000000"/>
                <w:sz w:val="20"/>
                <w:szCs w:val="20"/>
                <w:lang w:eastAsia="ru-RU"/>
              </w:rPr>
              <w:t>Прочие объекты</w:t>
            </w:r>
          </w:p>
        </w:tc>
        <w:tc>
          <w:tcPr>
            <w:tcW w:w="1984" w:type="dxa"/>
            <w:gridSpan w:val="2"/>
            <w:tcBorders>
              <w:top w:val="nil"/>
              <w:left w:val="nil"/>
              <w:bottom w:val="single" w:sz="8" w:space="0" w:color="auto"/>
              <w:right w:val="single" w:sz="8" w:space="0" w:color="auto"/>
            </w:tcBorders>
            <w:shd w:val="clear" w:color="auto" w:fill="auto"/>
            <w:vAlign w:val="center"/>
            <w:hideMark/>
          </w:tcPr>
          <w:p w14:paraId="228760C5" w14:textId="77777777" w:rsidR="0000065A" w:rsidRPr="0000065A" w:rsidRDefault="0000065A" w:rsidP="0000065A">
            <w:pPr>
              <w:ind w:firstLine="0"/>
              <w:jc w:val="center"/>
              <w:rPr>
                <w:rFonts w:eastAsia="Times New Roman" w:cs="Times New Roman"/>
                <w:color w:val="000000"/>
                <w:sz w:val="20"/>
                <w:szCs w:val="20"/>
                <w:lang w:eastAsia="ru-RU"/>
              </w:rPr>
            </w:pPr>
            <w:r w:rsidRPr="0000065A">
              <w:rPr>
                <w:rFonts w:eastAsia="Times New Roman" w:cs="Times New Roman"/>
                <w:color w:val="000000"/>
                <w:sz w:val="20"/>
                <w:szCs w:val="20"/>
                <w:lang w:eastAsia="ru-RU"/>
              </w:rPr>
              <w:t>8 342</w:t>
            </w:r>
          </w:p>
        </w:tc>
        <w:tc>
          <w:tcPr>
            <w:tcW w:w="966" w:type="dxa"/>
            <w:tcBorders>
              <w:top w:val="nil"/>
              <w:left w:val="nil"/>
              <w:bottom w:val="single" w:sz="8" w:space="0" w:color="auto"/>
              <w:right w:val="single" w:sz="8" w:space="0" w:color="auto"/>
            </w:tcBorders>
            <w:shd w:val="clear" w:color="auto" w:fill="auto"/>
            <w:vAlign w:val="center"/>
            <w:hideMark/>
          </w:tcPr>
          <w:p w14:paraId="3E98342B" w14:textId="77777777" w:rsidR="0000065A" w:rsidRPr="0000065A" w:rsidRDefault="0000065A" w:rsidP="0000065A">
            <w:pPr>
              <w:ind w:firstLine="0"/>
              <w:jc w:val="center"/>
              <w:rPr>
                <w:rFonts w:eastAsia="Times New Roman" w:cs="Times New Roman"/>
                <w:color w:val="000000"/>
                <w:sz w:val="20"/>
                <w:szCs w:val="20"/>
                <w:lang w:eastAsia="ru-RU"/>
              </w:rPr>
            </w:pPr>
            <w:r w:rsidRPr="0000065A">
              <w:rPr>
                <w:rFonts w:eastAsia="Times New Roman" w:cs="Times New Roman"/>
                <w:color w:val="000000"/>
                <w:sz w:val="20"/>
                <w:szCs w:val="20"/>
                <w:lang w:eastAsia="ru-RU"/>
              </w:rPr>
              <w:t>1,24%</w:t>
            </w:r>
          </w:p>
        </w:tc>
      </w:tr>
      <w:tr w:rsidR="0000065A" w:rsidRPr="0000065A" w14:paraId="32617283" w14:textId="77777777" w:rsidTr="0000065A">
        <w:trPr>
          <w:trHeight w:val="20"/>
        </w:trPr>
        <w:tc>
          <w:tcPr>
            <w:tcW w:w="1418" w:type="dxa"/>
            <w:tcBorders>
              <w:top w:val="nil"/>
              <w:left w:val="single" w:sz="8" w:space="0" w:color="auto"/>
              <w:bottom w:val="single" w:sz="8" w:space="0" w:color="auto"/>
              <w:right w:val="single" w:sz="8" w:space="0" w:color="auto"/>
            </w:tcBorders>
            <w:shd w:val="clear" w:color="auto" w:fill="auto"/>
            <w:vAlign w:val="center"/>
            <w:hideMark/>
          </w:tcPr>
          <w:p w14:paraId="1B8411EF" w14:textId="77777777" w:rsidR="0000065A" w:rsidRPr="0000065A" w:rsidRDefault="0000065A" w:rsidP="0000065A">
            <w:pPr>
              <w:ind w:firstLine="0"/>
              <w:jc w:val="center"/>
              <w:rPr>
                <w:rFonts w:eastAsia="Times New Roman" w:cs="Times New Roman"/>
                <w:color w:val="000000"/>
                <w:sz w:val="20"/>
                <w:szCs w:val="20"/>
                <w:lang w:eastAsia="ru-RU"/>
              </w:rPr>
            </w:pPr>
            <w:r w:rsidRPr="0000065A">
              <w:rPr>
                <w:rFonts w:eastAsia="Times New Roman" w:cs="Times New Roman"/>
                <w:color w:val="000000"/>
                <w:sz w:val="20"/>
                <w:szCs w:val="20"/>
                <w:lang w:eastAsia="ru-RU"/>
              </w:rPr>
              <w:t>10 группа</w:t>
            </w:r>
          </w:p>
        </w:tc>
        <w:tc>
          <w:tcPr>
            <w:tcW w:w="4962" w:type="dxa"/>
            <w:tcBorders>
              <w:top w:val="nil"/>
              <w:left w:val="nil"/>
              <w:bottom w:val="single" w:sz="8" w:space="0" w:color="auto"/>
              <w:right w:val="single" w:sz="8" w:space="0" w:color="auto"/>
            </w:tcBorders>
            <w:shd w:val="clear" w:color="auto" w:fill="auto"/>
            <w:vAlign w:val="center"/>
            <w:hideMark/>
          </w:tcPr>
          <w:p w14:paraId="34B0BA4B" w14:textId="77777777" w:rsidR="0000065A" w:rsidRPr="0000065A" w:rsidRDefault="0000065A" w:rsidP="0000065A">
            <w:pPr>
              <w:ind w:firstLine="0"/>
              <w:jc w:val="left"/>
              <w:rPr>
                <w:rFonts w:eastAsia="Times New Roman" w:cs="Times New Roman"/>
                <w:color w:val="000000"/>
                <w:sz w:val="20"/>
                <w:szCs w:val="20"/>
                <w:lang w:eastAsia="ru-RU"/>
              </w:rPr>
            </w:pPr>
            <w:r w:rsidRPr="0000065A">
              <w:rPr>
                <w:rFonts w:eastAsia="Times New Roman" w:cs="Times New Roman"/>
                <w:color w:val="000000"/>
                <w:sz w:val="20"/>
                <w:szCs w:val="20"/>
                <w:lang w:eastAsia="ru-RU"/>
              </w:rPr>
              <w:t>Сооружения</w:t>
            </w:r>
          </w:p>
        </w:tc>
        <w:tc>
          <w:tcPr>
            <w:tcW w:w="1984" w:type="dxa"/>
            <w:gridSpan w:val="2"/>
            <w:tcBorders>
              <w:top w:val="nil"/>
              <w:left w:val="nil"/>
              <w:bottom w:val="single" w:sz="8" w:space="0" w:color="auto"/>
              <w:right w:val="single" w:sz="8" w:space="0" w:color="auto"/>
            </w:tcBorders>
            <w:shd w:val="clear" w:color="auto" w:fill="auto"/>
            <w:vAlign w:val="center"/>
            <w:hideMark/>
          </w:tcPr>
          <w:p w14:paraId="7AE7991F" w14:textId="0DE59381" w:rsidR="0000065A" w:rsidRPr="0000065A" w:rsidRDefault="00631CA6" w:rsidP="0000065A">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26 349</w:t>
            </w:r>
          </w:p>
        </w:tc>
        <w:tc>
          <w:tcPr>
            <w:tcW w:w="966" w:type="dxa"/>
            <w:tcBorders>
              <w:top w:val="nil"/>
              <w:left w:val="nil"/>
              <w:bottom w:val="single" w:sz="8" w:space="0" w:color="auto"/>
              <w:right w:val="single" w:sz="8" w:space="0" w:color="auto"/>
            </w:tcBorders>
            <w:shd w:val="clear" w:color="auto" w:fill="auto"/>
            <w:vAlign w:val="center"/>
            <w:hideMark/>
          </w:tcPr>
          <w:p w14:paraId="21EA3E36" w14:textId="77777777" w:rsidR="0000065A" w:rsidRPr="0000065A" w:rsidRDefault="0000065A" w:rsidP="0000065A">
            <w:pPr>
              <w:ind w:firstLine="0"/>
              <w:jc w:val="center"/>
              <w:rPr>
                <w:rFonts w:eastAsia="Times New Roman" w:cs="Times New Roman"/>
                <w:color w:val="000000"/>
                <w:sz w:val="20"/>
                <w:szCs w:val="20"/>
                <w:lang w:eastAsia="ru-RU"/>
              </w:rPr>
            </w:pPr>
            <w:r w:rsidRPr="0000065A">
              <w:rPr>
                <w:rFonts w:eastAsia="Times New Roman" w:cs="Times New Roman"/>
                <w:color w:val="000000"/>
                <w:sz w:val="20"/>
                <w:szCs w:val="20"/>
                <w:lang w:eastAsia="ru-RU"/>
              </w:rPr>
              <w:t>3,93%</w:t>
            </w:r>
          </w:p>
        </w:tc>
      </w:tr>
      <w:tr w:rsidR="0000065A" w:rsidRPr="0000065A" w14:paraId="649F61DD" w14:textId="77777777" w:rsidTr="0000065A">
        <w:trPr>
          <w:trHeight w:val="20"/>
        </w:trPr>
        <w:tc>
          <w:tcPr>
            <w:tcW w:w="6394" w:type="dxa"/>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14:paraId="5F72DDB6" w14:textId="77777777" w:rsidR="0000065A" w:rsidRPr="0000065A" w:rsidRDefault="0000065A" w:rsidP="0000065A">
            <w:pPr>
              <w:ind w:firstLine="0"/>
              <w:jc w:val="center"/>
              <w:rPr>
                <w:rFonts w:eastAsia="Times New Roman" w:cs="Times New Roman"/>
                <w:b/>
                <w:bCs/>
                <w:color w:val="000000"/>
                <w:sz w:val="20"/>
                <w:szCs w:val="20"/>
                <w:lang w:eastAsia="ru-RU"/>
              </w:rPr>
            </w:pPr>
            <w:r w:rsidRPr="0000065A">
              <w:rPr>
                <w:rFonts w:eastAsia="Times New Roman" w:cs="Times New Roman"/>
                <w:b/>
                <w:bCs/>
                <w:color w:val="000000"/>
                <w:sz w:val="20"/>
                <w:szCs w:val="20"/>
                <w:lang w:eastAsia="ru-RU"/>
              </w:rPr>
              <w:t>ИТОГО</w:t>
            </w:r>
          </w:p>
        </w:tc>
        <w:tc>
          <w:tcPr>
            <w:tcW w:w="1970" w:type="dxa"/>
            <w:tcBorders>
              <w:top w:val="nil"/>
              <w:left w:val="nil"/>
              <w:bottom w:val="single" w:sz="8" w:space="0" w:color="auto"/>
              <w:right w:val="single" w:sz="8" w:space="0" w:color="auto"/>
            </w:tcBorders>
            <w:shd w:val="clear" w:color="auto" w:fill="auto"/>
            <w:vAlign w:val="center"/>
            <w:hideMark/>
          </w:tcPr>
          <w:p w14:paraId="54B06BF4" w14:textId="7DA3B36B" w:rsidR="0000065A" w:rsidRPr="0000065A" w:rsidRDefault="0000065A" w:rsidP="0000065A">
            <w:pPr>
              <w:ind w:firstLine="0"/>
              <w:jc w:val="center"/>
              <w:rPr>
                <w:rFonts w:eastAsia="Times New Roman" w:cs="Times New Roman"/>
                <w:b/>
                <w:bCs/>
                <w:color w:val="000000"/>
                <w:sz w:val="20"/>
                <w:szCs w:val="20"/>
                <w:lang w:eastAsia="ru-RU"/>
              </w:rPr>
            </w:pPr>
            <w:r w:rsidRPr="0000065A">
              <w:rPr>
                <w:rFonts w:eastAsia="Times New Roman" w:cs="Times New Roman"/>
                <w:b/>
                <w:bCs/>
                <w:color w:val="000000"/>
                <w:sz w:val="20"/>
                <w:szCs w:val="20"/>
                <w:lang w:eastAsia="ru-RU"/>
              </w:rPr>
              <w:t>670</w:t>
            </w:r>
            <w:r w:rsidR="004362F9">
              <w:rPr>
                <w:rFonts w:eastAsia="Times New Roman" w:cs="Times New Roman"/>
                <w:b/>
                <w:bCs/>
                <w:color w:val="000000"/>
                <w:sz w:val="20"/>
                <w:szCs w:val="20"/>
                <w:lang w:eastAsia="ru-RU"/>
              </w:rPr>
              <w:t xml:space="preserve"> 568</w:t>
            </w:r>
          </w:p>
        </w:tc>
        <w:tc>
          <w:tcPr>
            <w:tcW w:w="966" w:type="dxa"/>
            <w:tcBorders>
              <w:top w:val="nil"/>
              <w:left w:val="nil"/>
              <w:bottom w:val="single" w:sz="8" w:space="0" w:color="auto"/>
              <w:right w:val="single" w:sz="8" w:space="0" w:color="auto"/>
            </w:tcBorders>
            <w:shd w:val="clear" w:color="auto" w:fill="auto"/>
            <w:vAlign w:val="center"/>
            <w:hideMark/>
          </w:tcPr>
          <w:p w14:paraId="0F2A4B82" w14:textId="77777777" w:rsidR="0000065A" w:rsidRPr="0000065A" w:rsidRDefault="0000065A" w:rsidP="0000065A">
            <w:pPr>
              <w:ind w:firstLine="0"/>
              <w:jc w:val="center"/>
              <w:rPr>
                <w:rFonts w:eastAsia="Times New Roman" w:cs="Times New Roman"/>
                <w:b/>
                <w:bCs/>
                <w:color w:val="000000"/>
                <w:sz w:val="20"/>
                <w:szCs w:val="20"/>
                <w:lang w:eastAsia="ru-RU"/>
              </w:rPr>
            </w:pPr>
            <w:r w:rsidRPr="0000065A">
              <w:rPr>
                <w:rFonts w:eastAsia="Times New Roman" w:cs="Times New Roman"/>
                <w:b/>
                <w:bCs/>
                <w:color w:val="000000"/>
                <w:sz w:val="20"/>
                <w:szCs w:val="20"/>
                <w:lang w:eastAsia="ru-RU"/>
              </w:rPr>
              <w:t>100,00%</w:t>
            </w:r>
          </w:p>
        </w:tc>
      </w:tr>
    </w:tbl>
    <w:p w14:paraId="517A387F" w14:textId="77777777" w:rsidR="0000065A" w:rsidRPr="0000065A" w:rsidRDefault="0000065A" w:rsidP="0000065A">
      <w:pPr>
        <w:widowControl w:val="0"/>
        <w:tabs>
          <w:tab w:val="left" w:pos="567"/>
        </w:tabs>
        <w:ind w:firstLine="709"/>
        <w:rPr>
          <w:rFonts w:eastAsia="Times New Roman" w:cs="Times New Roman"/>
          <w:szCs w:val="24"/>
          <w:lang w:eastAsia="ru-RU"/>
        </w:rPr>
      </w:pPr>
    </w:p>
    <w:p w14:paraId="58D6387A" w14:textId="77777777" w:rsidR="0000065A" w:rsidRPr="0000065A" w:rsidRDefault="0000065A" w:rsidP="0000065A">
      <w:pPr>
        <w:widowControl w:val="0"/>
        <w:tabs>
          <w:tab w:val="left" w:pos="567"/>
        </w:tabs>
        <w:ind w:firstLine="709"/>
        <w:rPr>
          <w:rFonts w:eastAsia="Times New Roman" w:cs="Times New Roman"/>
          <w:szCs w:val="24"/>
          <w:lang w:eastAsia="ru-RU"/>
        </w:rPr>
      </w:pPr>
      <w:r w:rsidRPr="0000065A">
        <w:rPr>
          <w:rFonts w:eastAsia="Times New Roman" w:cs="Times New Roman"/>
          <w:szCs w:val="24"/>
          <w:lang w:eastAsia="ru-RU"/>
        </w:rPr>
        <w:t xml:space="preserve">С точки зрения видов объектов недвижимости все объекты оценки, содержащиеся в Перечне объектов недвижимости, можно разделить на: </w:t>
      </w:r>
    </w:p>
    <w:p w14:paraId="2D418015" w14:textId="77777777" w:rsidR="0000065A" w:rsidRPr="0000065A" w:rsidRDefault="0000065A" w:rsidP="00D24868">
      <w:pPr>
        <w:widowControl w:val="0"/>
        <w:numPr>
          <w:ilvl w:val="0"/>
          <w:numId w:val="90"/>
        </w:numPr>
        <w:tabs>
          <w:tab w:val="left" w:pos="567"/>
        </w:tabs>
        <w:contextualSpacing/>
        <w:jc w:val="left"/>
        <w:rPr>
          <w:rFonts w:eastAsia="Times New Roman" w:cs="Times New Roman"/>
          <w:szCs w:val="24"/>
          <w:lang w:val="x-none" w:eastAsia="x-none"/>
        </w:rPr>
      </w:pPr>
      <w:r w:rsidRPr="0000065A">
        <w:rPr>
          <w:rFonts w:eastAsia="Times New Roman" w:cs="Times New Roman"/>
          <w:szCs w:val="24"/>
          <w:lang w:val="x-none" w:eastAsia="x-none"/>
        </w:rPr>
        <w:t>Здания;</w:t>
      </w:r>
    </w:p>
    <w:p w14:paraId="44DB5E5A" w14:textId="77777777" w:rsidR="0000065A" w:rsidRPr="0000065A" w:rsidRDefault="0000065A" w:rsidP="00D24868">
      <w:pPr>
        <w:widowControl w:val="0"/>
        <w:numPr>
          <w:ilvl w:val="0"/>
          <w:numId w:val="90"/>
        </w:numPr>
        <w:tabs>
          <w:tab w:val="left" w:pos="567"/>
        </w:tabs>
        <w:contextualSpacing/>
        <w:jc w:val="left"/>
        <w:rPr>
          <w:rFonts w:eastAsia="Times New Roman" w:cs="Times New Roman"/>
          <w:szCs w:val="24"/>
          <w:lang w:val="x-none" w:eastAsia="x-none"/>
        </w:rPr>
      </w:pPr>
      <w:r w:rsidRPr="0000065A">
        <w:rPr>
          <w:rFonts w:eastAsia="Times New Roman" w:cs="Times New Roman"/>
          <w:szCs w:val="24"/>
          <w:lang w:val="x-none" w:eastAsia="x-none"/>
        </w:rPr>
        <w:t>Помещения;</w:t>
      </w:r>
    </w:p>
    <w:p w14:paraId="2EBF696E" w14:textId="77777777" w:rsidR="0000065A" w:rsidRPr="0000065A" w:rsidRDefault="0000065A" w:rsidP="00D24868">
      <w:pPr>
        <w:widowControl w:val="0"/>
        <w:numPr>
          <w:ilvl w:val="0"/>
          <w:numId w:val="90"/>
        </w:numPr>
        <w:tabs>
          <w:tab w:val="left" w:pos="567"/>
        </w:tabs>
        <w:contextualSpacing/>
        <w:jc w:val="left"/>
        <w:rPr>
          <w:rFonts w:eastAsia="Times New Roman" w:cs="Times New Roman"/>
          <w:szCs w:val="24"/>
          <w:lang w:val="x-none" w:eastAsia="x-none"/>
        </w:rPr>
      </w:pPr>
      <w:r w:rsidRPr="0000065A">
        <w:rPr>
          <w:rFonts w:eastAsia="Times New Roman" w:cs="Times New Roman"/>
          <w:szCs w:val="24"/>
          <w:lang w:val="x-none" w:eastAsia="x-none"/>
        </w:rPr>
        <w:t>Объекты незавершенного строительства;</w:t>
      </w:r>
    </w:p>
    <w:p w14:paraId="003C666C" w14:textId="77777777" w:rsidR="0000065A" w:rsidRPr="0000065A" w:rsidRDefault="0000065A" w:rsidP="00D24868">
      <w:pPr>
        <w:widowControl w:val="0"/>
        <w:numPr>
          <w:ilvl w:val="0"/>
          <w:numId w:val="90"/>
        </w:numPr>
        <w:tabs>
          <w:tab w:val="left" w:pos="567"/>
        </w:tabs>
        <w:contextualSpacing/>
        <w:jc w:val="left"/>
        <w:rPr>
          <w:rFonts w:eastAsia="Times New Roman" w:cs="Times New Roman"/>
          <w:szCs w:val="24"/>
          <w:lang w:val="x-none" w:eastAsia="x-none"/>
        </w:rPr>
      </w:pPr>
      <w:r w:rsidRPr="0000065A">
        <w:rPr>
          <w:rFonts w:eastAsia="Times New Roman" w:cs="Times New Roman"/>
          <w:szCs w:val="24"/>
          <w:lang w:val="x-none" w:eastAsia="x-none"/>
        </w:rPr>
        <w:t>Сооружения</w:t>
      </w:r>
    </w:p>
    <w:p w14:paraId="2831FF53" w14:textId="77777777" w:rsidR="0000065A" w:rsidRPr="0000065A" w:rsidRDefault="0000065A" w:rsidP="00D24868">
      <w:pPr>
        <w:widowControl w:val="0"/>
        <w:numPr>
          <w:ilvl w:val="0"/>
          <w:numId w:val="90"/>
        </w:numPr>
        <w:tabs>
          <w:tab w:val="left" w:pos="567"/>
        </w:tabs>
        <w:contextualSpacing/>
        <w:jc w:val="left"/>
        <w:rPr>
          <w:rFonts w:eastAsia="Times New Roman" w:cs="Times New Roman"/>
          <w:szCs w:val="24"/>
          <w:lang w:val="x-none" w:eastAsia="x-none"/>
        </w:rPr>
      </w:pPr>
      <w:r w:rsidRPr="0000065A">
        <w:rPr>
          <w:rFonts w:eastAsia="Times New Roman" w:cs="Times New Roman"/>
          <w:szCs w:val="24"/>
          <w:lang w:val="x-none" w:eastAsia="x-none"/>
        </w:rPr>
        <w:t>Машино-место (3 группа).</w:t>
      </w:r>
    </w:p>
    <w:p w14:paraId="211CCE93" w14:textId="77777777" w:rsidR="0000065A" w:rsidRPr="0000065A" w:rsidRDefault="0000065A" w:rsidP="0000065A">
      <w:pPr>
        <w:widowControl w:val="0"/>
        <w:tabs>
          <w:tab w:val="left" w:pos="567"/>
        </w:tabs>
        <w:ind w:firstLine="709"/>
        <w:rPr>
          <w:rFonts w:eastAsia="Times New Roman" w:cs="Times New Roman"/>
          <w:szCs w:val="24"/>
          <w:lang w:eastAsia="ru-RU"/>
        </w:rPr>
      </w:pPr>
      <w:r w:rsidRPr="0000065A">
        <w:rPr>
          <w:rFonts w:eastAsia="Times New Roman" w:cs="Times New Roman"/>
          <w:szCs w:val="24"/>
          <w:lang w:eastAsia="ru-RU"/>
        </w:rPr>
        <w:t>3 этап группировки объектов основывается на делении объектов по статусу населенного пункта и принципах выделения однородных подгрупп. Основным критерием конечного уровня является соблюдение принципа однородности объектов оценки внутри подгруппы, позволяющего рассчитать кадастровую стоимость любого объекта оценки, входящего в данную подгруппу, согласно выбранной модели или иному методу.</w:t>
      </w:r>
    </w:p>
    <w:p w14:paraId="692DA0D6" w14:textId="58A8D025" w:rsidR="0000065A" w:rsidRDefault="0000065A" w:rsidP="0000065A">
      <w:pPr>
        <w:widowControl w:val="0"/>
        <w:tabs>
          <w:tab w:val="left" w:pos="567"/>
        </w:tabs>
        <w:ind w:firstLine="709"/>
        <w:rPr>
          <w:rFonts w:eastAsia="Times New Roman" w:cs="Times New Roman"/>
          <w:szCs w:val="24"/>
          <w:lang w:eastAsia="ru-RU"/>
        </w:rPr>
      </w:pPr>
      <w:r w:rsidRPr="0000065A">
        <w:rPr>
          <w:rFonts w:eastAsia="Times New Roman" w:cs="Times New Roman"/>
          <w:szCs w:val="24"/>
          <w:lang w:eastAsia="ru-RU"/>
        </w:rPr>
        <w:t xml:space="preserve">Разделение на подгруппы </w:t>
      </w:r>
      <w:r w:rsidR="00FC1796">
        <w:rPr>
          <w:rFonts w:eastAsia="Times New Roman" w:cs="Times New Roman"/>
          <w:szCs w:val="24"/>
          <w:lang w:eastAsia="ru-RU"/>
        </w:rPr>
        <w:t xml:space="preserve">расчетов </w:t>
      </w:r>
      <w:r w:rsidRPr="0000065A">
        <w:rPr>
          <w:rFonts w:eastAsia="Times New Roman" w:cs="Times New Roman"/>
          <w:szCs w:val="24"/>
          <w:lang w:eastAsia="ru-RU"/>
        </w:rPr>
        <w:t>объектов подгрупп 0101, 0102 Группы 1 производилось по следующему принципу:</w:t>
      </w:r>
    </w:p>
    <w:p w14:paraId="608A02B9" w14:textId="391C4B9B" w:rsidR="002F561A" w:rsidRDefault="002F561A" w:rsidP="0000065A">
      <w:pPr>
        <w:widowControl w:val="0"/>
        <w:tabs>
          <w:tab w:val="left" w:pos="567"/>
        </w:tabs>
        <w:ind w:firstLine="709"/>
        <w:rPr>
          <w:rFonts w:eastAsia="Times New Roman" w:cs="Times New Roman"/>
          <w:szCs w:val="24"/>
          <w:lang w:eastAsia="ru-RU"/>
        </w:rPr>
      </w:pPr>
      <w:r>
        <w:rPr>
          <w:rFonts w:eastAsia="Times New Roman" w:cs="Times New Roman"/>
          <w:szCs w:val="24"/>
          <w:lang w:eastAsia="ru-RU"/>
        </w:rPr>
        <w:t>Здания, сооружения, ОНС</w:t>
      </w:r>
      <w:r w:rsidR="00FC1796">
        <w:rPr>
          <w:rFonts w:eastAsia="Times New Roman" w:cs="Times New Roman"/>
          <w:szCs w:val="24"/>
          <w:lang w:eastAsia="ru-RU"/>
        </w:rPr>
        <w:t xml:space="preserve"> (подгруппа 1.1,1.3);</w:t>
      </w:r>
    </w:p>
    <w:p w14:paraId="4020E310" w14:textId="370BA77D" w:rsidR="002F561A" w:rsidRPr="0000065A" w:rsidRDefault="002F561A" w:rsidP="0000065A">
      <w:pPr>
        <w:widowControl w:val="0"/>
        <w:tabs>
          <w:tab w:val="left" w:pos="567"/>
        </w:tabs>
        <w:ind w:firstLine="709"/>
        <w:rPr>
          <w:rFonts w:eastAsia="Times New Roman" w:cs="Times New Roman"/>
          <w:szCs w:val="24"/>
          <w:lang w:eastAsia="ru-RU"/>
        </w:rPr>
      </w:pPr>
      <w:r>
        <w:rPr>
          <w:rFonts w:eastAsia="Times New Roman" w:cs="Times New Roman"/>
          <w:szCs w:val="24"/>
          <w:lang w:eastAsia="ru-RU"/>
        </w:rPr>
        <w:t>Помещения:</w:t>
      </w:r>
    </w:p>
    <w:p w14:paraId="16801DDE" w14:textId="7AF4F1D7" w:rsidR="0000065A" w:rsidRPr="0000065A" w:rsidRDefault="0000065A" w:rsidP="00D24868">
      <w:pPr>
        <w:widowControl w:val="0"/>
        <w:numPr>
          <w:ilvl w:val="0"/>
          <w:numId w:val="91"/>
        </w:numPr>
        <w:tabs>
          <w:tab w:val="left" w:pos="567"/>
        </w:tabs>
        <w:contextualSpacing/>
        <w:rPr>
          <w:rFonts w:eastAsia="Times New Roman" w:cs="Times New Roman"/>
          <w:szCs w:val="24"/>
          <w:lang w:val="x-none" w:eastAsia="x-none"/>
        </w:rPr>
      </w:pPr>
      <w:r w:rsidRPr="0000065A">
        <w:rPr>
          <w:rFonts w:eastAsia="Times New Roman" w:cs="Times New Roman"/>
          <w:szCs w:val="24"/>
          <w:lang w:val="x-none" w:eastAsia="x-none"/>
        </w:rPr>
        <w:t xml:space="preserve">объекты, расположенные в </w:t>
      </w:r>
      <w:r w:rsidRPr="0000065A">
        <w:rPr>
          <w:rFonts w:eastAsia="Times New Roman" w:cs="Times New Roman"/>
          <w:szCs w:val="24"/>
          <w:lang w:eastAsia="x-none"/>
        </w:rPr>
        <w:t>г.Якутске</w:t>
      </w:r>
      <w:r w:rsidRPr="0000065A">
        <w:rPr>
          <w:rFonts w:eastAsia="Times New Roman" w:cs="Times New Roman"/>
          <w:szCs w:val="24"/>
          <w:lang w:val="x-none" w:eastAsia="x-none"/>
        </w:rPr>
        <w:t xml:space="preserve"> (подгруппа </w:t>
      </w:r>
      <w:r w:rsidRPr="0000065A">
        <w:rPr>
          <w:rFonts w:eastAsia="Times New Roman" w:cs="Times New Roman"/>
          <w:szCs w:val="24"/>
          <w:lang w:eastAsia="x-none"/>
        </w:rPr>
        <w:t>1.</w:t>
      </w:r>
      <w:r w:rsidR="002F561A">
        <w:rPr>
          <w:rFonts w:eastAsia="Times New Roman" w:cs="Times New Roman"/>
          <w:szCs w:val="24"/>
          <w:lang w:eastAsia="x-none"/>
        </w:rPr>
        <w:t>7-1.</w:t>
      </w:r>
      <w:r w:rsidR="00C61036">
        <w:rPr>
          <w:rFonts w:eastAsia="Times New Roman" w:cs="Times New Roman"/>
          <w:szCs w:val="24"/>
          <w:lang w:eastAsia="x-none"/>
        </w:rPr>
        <w:t>9</w:t>
      </w:r>
      <w:r w:rsidRPr="0000065A">
        <w:rPr>
          <w:rFonts w:eastAsia="Times New Roman" w:cs="Times New Roman"/>
          <w:szCs w:val="24"/>
          <w:lang w:val="x-none" w:eastAsia="x-none"/>
        </w:rPr>
        <w:t xml:space="preserve">. «Помещения в </w:t>
      </w:r>
      <w:r w:rsidRPr="0000065A">
        <w:rPr>
          <w:rFonts w:eastAsia="Times New Roman" w:cs="Times New Roman"/>
          <w:szCs w:val="24"/>
          <w:lang w:eastAsia="x-none"/>
        </w:rPr>
        <w:t>г.Якутске</w:t>
      </w:r>
      <w:r w:rsidRPr="0000065A">
        <w:rPr>
          <w:rFonts w:eastAsia="Times New Roman" w:cs="Times New Roman"/>
          <w:szCs w:val="24"/>
          <w:lang w:val="x-none" w:eastAsia="x-none"/>
        </w:rPr>
        <w:t>»);</w:t>
      </w:r>
    </w:p>
    <w:p w14:paraId="4C06853F" w14:textId="016448EB" w:rsidR="0000065A" w:rsidRPr="0000065A" w:rsidRDefault="0000065A" w:rsidP="00D24868">
      <w:pPr>
        <w:widowControl w:val="0"/>
        <w:numPr>
          <w:ilvl w:val="0"/>
          <w:numId w:val="91"/>
        </w:numPr>
        <w:tabs>
          <w:tab w:val="left" w:pos="567"/>
        </w:tabs>
        <w:contextualSpacing/>
        <w:rPr>
          <w:rFonts w:eastAsia="Times New Roman" w:cs="Times New Roman"/>
          <w:szCs w:val="24"/>
          <w:lang w:val="x-none" w:eastAsia="x-none"/>
        </w:rPr>
      </w:pPr>
      <w:r w:rsidRPr="0000065A">
        <w:rPr>
          <w:rFonts w:eastAsia="Times New Roman" w:cs="Times New Roman"/>
          <w:szCs w:val="24"/>
          <w:lang w:val="x-none" w:eastAsia="x-none"/>
        </w:rPr>
        <w:t xml:space="preserve">объекты, расположенные в </w:t>
      </w:r>
      <w:r w:rsidRPr="0000065A">
        <w:rPr>
          <w:rFonts w:eastAsia="Times New Roman" w:cs="Times New Roman"/>
          <w:szCs w:val="24"/>
          <w:lang w:eastAsia="x-none"/>
        </w:rPr>
        <w:t xml:space="preserve">прочих </w:t>
      </w:r>
      <w:r w:rsidRPr="0000065A">
        <w:rPr>
          <w:rFonts w:eastAsia="Times New Roman" w:cs="Times New Roman"/>
          <w:szCs w:val="24"/>
          <w:lang w:val="x-none" w:eastAsia="x-none"/>
        </w:rPr>
        <w:t>городских населенных пунктах (подгруппа 1</w:t>
      </w:r>
      <w:r w:rsidRPr="0000065A">
        <w:rPr>
          <w:rFonts w:eastAsia="Times New Roman" w:cs="Times New Roman"/>
          <w:szCs w:val="24"/>
          <w:lang w:eastAsia="x-none"/>
        </w:rPr>
        <w:t>.</w:t>
      </w:r>
      <w:r w:rsidR="002F561A">
        <w:rPr>
          <w:rFonts w:eastAsia="Times New Roman" w:cs="Times New Roman"/>
          <w:szCs w:val="24"/>
          <w:lang w:eastAsia="x-none"/>
        </w:rPr>
        <w:t>4-1.5</w:t>
      </w:r>
      <w:r w:rsidRPr="0000065A">
        <w:rPr>
          <w:rFonts w:eastAsia="Times New Roman" w:cs="Times New Roman"/>
          <w:szCs w:val="24"/>
          <w:lang w:val="x-none" w:eastAsia="x-none"/>
        </w:rPr>
        <w:t xml:space="preserve">. «Помещения в </w:t>
      </w:r>
      <w:r w:rsidRPr="0000065A">
        <w:rPr>
          <w:rFonts w:eastAsia="Times New Roman" w:cs="Times New Roman"/>
          <w:szCs w:val="24"/>
          <w:lang w:eastAsia="x-none"/>
        </w:rPr>
        <w:t xml:space="preserve">прочих </w:t>
      </w:r>
      <w:r w:rsidRPr="0000065A">
        <w:rPr>
          <w:rFonts w:eastAsia="Times New Roman" w:cs="Times New Roman"/>
          <w:szCs w:val="24"/>
          <w:lang w:val="x-none" w:eastAsia="x-none"/>
        </w:rPr>
        <w:t>ГНП»);</w:t>
      </w:r>
    </w:p>
    <w:p w14:paraId="3132932F" w14:textId="306F4941" w:rsidR="0000065A" w:rsidRPr="0000065A" w:rsidRDefault="0000065A" w:rsidP="00D24868">
      <w:pPr>
        <w:widowControl w:val="0"/>
        <w:numPr>
          <w:ilvl w:val="0"/>
          <w:numId w:val="91"/>
        </w:numPr>
        <w:tabs>
          <w:tab w:val="left" w:pos="567"/>
        </w:tabs>
        <w:contextualSpacing/>
        <w:rPr>
          <w:rFonts w:eastAsia="Times New Roman" w:cs="Times New Roman"/>
          <w:szCs w:val="24"/>
          <w:lang w:val="x-none" w:eastAsia="x-none"/>
        </w:rPr>
      </w:pPr>
      <w:r w:rsidRPr="0000065A">
        <w:rPr>
          <w:rFonts w:eastAsia="Times New Roman" w:cs="Times New Roman"/>
          <w:szCs w:val="24"/>
          <w:lang w:val="x-none" w:eastAsia="x-none"/>
        </w:rPr>
        <w:t xml:space="preserve">объекты, расположенные в сельских населенных пунктах (подгруппа </w:t>
      </w:r>
      <w:r w:rsidRPr="0000065A">
        <w:rPr>
          <w:rFonts w:eastAsia="Times New Roman" w:cs="Times New Roman"/>
          <w:szCs w:val="24"/>
          <w:lang w:eastAsia="x-none"/>
        </w:rPr>
        <w:t>1.</w:t>
      </w:r>
      <w:r w:rsidR="002F561A">
        <w:rPr>
          <w:rFonts w:eastAsia="Times New Roman" w:cs="Times New Roman"/>
          <w:szCs w:val="24"/>
          <w:lang w:eastAsia="x-none"/>
        </w:rPr>
        <w:t>6</w:t>
      </w:r>
      <w:r w:rsidRPr="0000065A">
        <w:rPr>
          <w:rFonts w:eastAsia="Times New Roman" w:cs="Times New Roman"/>
          <w:szCs w:val="24"/>
          <w:lang w:val="x-none" w:eastAsia="x-none"/>
        </w:rPr>
        <w:t>. «Помещения в СНП»);</w:t>
      </w:r>
    </w:p>
    <w:p w14:paraId="7C454EFB" w14:textId="55275FF6" w:rsidR="0000065A" w:rsidRPr="0000065A" w:rsidRDefault="0000065A" w:rsidP="00D24868">
      <w:pPr>
        <w:widowControl w:val="0"/>
        <w:numPr>
          <w:ilvl w:val="0"/>
          <w:numId w:val="91"/>
        </w:numPr>
        <w:tabs>
          <w:tab w:val="left" w:pos="567"/>
        </w:tabs>
        <w:contextualSpacing/>
        <w:rPr>
          <w:rFonts w:eastAsia="Times New Roman" w:cs="Times New Roman"/>
          <w:szCs w:val="24"/>
          <w:lang w:val="x-none" w:eastAsia="x-none"/>
        </w:rPr>
      </w:pPr>
      <w:r w:rsidRPr="0000065A">
        <w:rPr>
          <w:rFonts w:eastAsia="Times New Roman" w:cs="Times New Roman"/>
          <w:szCs w:val="24"/>
          <w:lang w:val="x-none" w:eastAsia="x-none"/>
        </w:rPr>
        <w:t xml:space="preserve">объекты, расположенные вне черты населенных пунктов (подгруппа </w:t>
      </w:r>
      <w:r w:rsidRPr="0000065A">
        <w:rPr>
          <w:rFonts w:eastAsia="Times New Roman" w:cs="Times New Roman"/>
          <w:szCs w:val="24"/>
          <w:lang w:eastAsia="x-none"/>
        </w:rPr>
        <w:t>1.</w:t>
      </w:r>
      <w:r w:rsidR="002F561A">
        <w:rPr>
          <w:rFonts w:eastAsia="Times New Roman" w:cs="Times New Roman"/>
          <w:szCs w:val="24"/>
          <w:lang w:eastAsia="x-none"/>
        </w:rPr>
        <w:t>2</w:t>
      </w:r>
      <w:r w:rsidRPr="0000065A">
        <w:rPr>
          <w:rFonts w:eastAsia="Times New Roman" w:cs="Times New Roman"/>
          <w:szCs w:val="24"/>
          <w:lang w:val="x-none" w:eastAsia="x-none"/>
        </w:rPr>
        <w:t xml:space="preserve">. «Помещения </w:t>
      </w:r>
      <w:r w:rsidRPr="0000065A">
        <w:rPr>
          <w:rFonts w:eastAsia="Times New Roman" w:cs="Times New Roman"/>
          <w:szCs w:val="24"/>
          <w:lang w:eastAsia="x-none"/>
        </w:rPr>
        <w:t>в МР</w:t>
      </w:r>
      <w:r w:rsidRPr="0000065A">
        <w:rPr>
          <w:rFonts w:eastAsia="Times New Roman" w:cs="Times New Roman"/>
          <w:szCs w:val="24"/>
          <w:lang w:val="x-none" w:eastAsia="x-none"/>
        </w:rPr>
        <w:t>»).</w:t>
      </w:r>
    </w:p>
    <w:p w14:paraId="09F3FC62" w14:textId="77777777" w:rsidR="0000065A" w:rsidRPr="0000065A" w:rsidRDefault="0000065A" w:rsidP="00D24868">
      <w:pPr>
        <w:widowControl w:val="0"/>
        <w:numPr>
          <w:ilvl w:val="0"/>
          <w:numId w:val="91"/>
        </w:numPr>
        <w:tabs>
          <w:tab w:val="left" w:pos="567"/>
        </w:tabs>
        <w:contextualSpacing/>
        <w:rPr>
          <w:rFonts w:eastAsia="Times New Roman" w:cs="Times New Roman"/>
          <w:szCs w:val="24"/>
          <w:lang w:val="x-none" w:eastAsia="x-none"/>
        </w:rPr>
      </w:pPr>
      <w:r w:rsidRPr="0000065A">
        <w:rPr>
          <w:rFonts w:eastAsia="Times New Roman" w:cs="Times New Roman"/>
          <w:szCs w:val="24"/>
          <w:lang w:val="x-none" w:eastAsia="x-none"/>
        </w:rPr>
        <w:t>Группировка объектов капитального строительства Группы 2 осуществлялась следующим образом.</w:t>
      </w:r>
    </w:p>
    <w:p w14:paraId="7025DF31" w14:textId="77777777" w:rsidR="0000065A" w:rsidRPr="0000065A" w:rsidRDefault="0000065A" w:rsidP="0000065A">
      <w:pPr>
        <w:widowControl w:val="0"/>
        <w:tabs>
          <w:tab w:val="left" w:pos="567"/>
        </w:tabs>
        <w:ind w:firstLine="709"/>
        <w:rPr>
          <w:rFonts w:eastAsia="Times New Roman" w:cs="Times New Roman"/>
          <w:szCs w:val="24"/>
          <w:lang w:eastAsia="ru-RU"/>
        </w:rPr>
      </w:pPr>
      <w:r w:rsidRPr="0000065A">
        <w:rPr>
          <w:rFonts w:eastAsia="Times New Roman" w:cs="Times New Roman"/>
          <w:szCs w:val="24"/>
          <w:lang w:eastAsia="ru-RU"/>
        </w:rPr>
        <w:t>Группировка объектов капитального строительства Группы 2 осуществлялась следующим образом.</w:t>
      </w:r>
    </w:p>
    <w:p w14:paraId="77F03F5A" w14:textId="672A26C2" w:rsidR="0000065A" w:rsidRPr="0000065A" w:rsidRDefault="0000065A" w:rsidP="0000065A">
      <w:pPr>
        <w:widowControl w:val="0"/>
        <w:tabs>
          <w:tab w:val="left" w:pos="567"/>
        </w:tabs>
        <w:ind w:firstLine="709"/>
        <w:rPr>
          <w:rFonts w:eastAsia="Times New Roman" w:cs="Times New Roman"/>
          <w:szCs w:val="24"/>
          <w:lang w:eastAsia="ru-RU"/>
        </w:rPr>
      </w:pPr>
      <w:r w:rsidRPr="0000065A">
        <w:rPr>
          <w:rFonts w:eastAsia="Times New Roman" w:cs="Times New Roman"/>
          <w:szCs w:val="24"/>
          <w:lang w:eastAsia="ru-RU"/>
        </w:rPr>
        <w:t>Из Группы 2 в подгруппу 0205 «Малоэтажная многоквартирная жилая застройка» были выделены объекты, которые относятся к многоквартирным, но малоэтажным домам, в связи с чем не могли быть отнесены к Группе 1 «Многоквартирные дома (средне- и многоэтажной жилой застройки)».</w:t>
      </w:r>
      <w:r w:rsidR="00FC1796">
        <w:rPr>
          <w:rFonts w:eastAsia="Times New Roman" w:cs="Times New Roman"/>
          <w:szCs w:val="24"/>
          <w:lang w:eastAsia="ru-RU"/>
        </w:rPr>
        <w:t xml:space="preserve"> Остальные объекты отнесены к подгруппам расчета 2.2., 2.5., 2.6.</w:t>
      </w:r>
    </w:p>
    <w:p w14:paraId="56BB56E8" w14:textId="1F379CD8" w:rsidR="0000065A" w:rsidRDefault="0000065A" w:rsidP="0000065A">
      <w:pPr>
        <w:widowControl w:val="0"/>
        <w:tabs>
          <w:tab w:val="left" w:pos="567"/>
        </w:tabs>
        <w:ind w:firstLine="709"/>
        <w:rPr>
          <w:rFonts w:eastAsia="Times New Roman" w:cs="Times New Roman"/>
          <w:szCs w:val="24"/>
          <w:lang w:eastAsia="ru-RU"/>
        </w:rPr>
      </w:pPr>
      <w:r w:rsidRPr="0000065A">
        <w:rPr>
          <w:rFonts w:eastAsia="Times New Roman" w:cs="Times New Roman"/>
          <w:szCs w:val="24"/>
          <w:lang w:eastAsia="ru-RU"/>
        </w:rPr>
        <w:t xml:space="preserve">Разделение на подгруппы </w:t>
      </w:r>
      <w:r w:rsidR="00FC1796">
        <w:rPr>
          <w:rFonts w:eastAsia="Times New Roman" w:cs="Times New Roman"/>
          <w:szCs w:val="24"/>
          <w:lang w:eastAsia="ru-RU"/>
        </w:rPr>
        <w:t xml:space="preserve">расчетов </w:t>
      </w:r>
      <w:r w:rsidRPr="0000065A">
        <w:rPr>
          <w:rFonts w:eastAsia="Times New Roman" w:cs="Times New Roman"/>
          <w:szCs w:val="24"/>
          <w:lang w:eastAsia="ru-RU"/>
        </w:rPr>
        <w:t>объектов подгруппы 0205 Группы 2 производилось по следующему принципу:</w:t>
      </w:r>
    </w:p>
    <w:p w14:paraId="3BDB781D" w14:textId="355D4001" w:rsidR="002F561A" w:rsidRDefault="002F561A" w:rsidP="0000065A">
      <w:pPr>
        <w:widowControl w:val="0"/>
        <w:tabs>
          <w:tab w:val="left" w:pos="567"/>
        </w:tabs>
        <w:ind w:firstLine="709"/>
        <w:rPr>
          <w:rFonts w:eastAsia="Times New Roman" w:cs="Times New Roman"/>
          <w:szCs w:val="24"/>
          <w:lang w:eastAsia="ru-RU"/>
        </w:rPr>
      </w:pPr>
      <w:r>
        <w:rPr>
          <w:rFonts w:eastAsia="Times New Roman" w:cs="Times New Roman"/>
          <w:szCs w:val="24"/>
          <w:lang w:eastAsia="ru-RU"/>
        </w:rPr>
        <w:t>Здания, сооружения, ОНС</w:t>
      </w:r>
      <w:r w:rsidR="00FC1796">
        <w:rPr>
          <w:rFonts w:eastAsia="Times New Roman" w:cs="Times New Roman"/>
          <w:szCs w:val="24"/>
          <w:lang w:eastAsia="ru-RU"/>
        </w:rPr>
        <w:t xml:space="preserve"> (подгруппа 2.1, 2.4);</w:t>
      </w:r>
    </w:p>
    <w:p w14:paraId="7AF4BACC" w14:textId="6827B870" w:rsidR="002F561A" w:rsidRPr="0000065A" w:rsidRDefault="002F561A" w:rsidP="0000065A">
      <w:pPr>
        <w:widowControl w:val="0"/>
        <w:tabs>
          <w:tab w:val="left" w:pos="567"/>
        </w:tabs>
        <w:ind w:firstLine="709"/>
        <w:rPr>
          <w:rFonts w:eastAsia="Times New Roman" w:cs="Times New Roman"/>
          <w:szCs w:val="24"/>
          <w:lang w:eastAsia="ru-RU"/>
        </w:rPr>
      </w:pPr>
      <w:r>
        <w:rPr>
          <w:rFonts w:eastAsia="Times New Roman" w:cs="Times New Roman"/>
          <w:szCs w:val="24"/>
          <w:lang w:eastAsia="ru-RU"/>
        </w:rPr>
        <w:t>Помещения:</w:t>
      </w:r>
    </w:p>
    <w:p w14:paraId="6C01DBD1" w14:textId="53B63FB0" w:rsidR="0000065A" w:rsidRDefault="0000065A" w:rsidP="00D24868">
      <w:pPr>
        <w:widowControl w:val="0"/>
        <w:numPr>
          <w:ilvl w:val="0"/>
          <w:numId w:val="91"/>
        </w:numPr>
        <w:tabs>
          <w:tab w:val="left" w:pos="567"/>
        </w:tabs>
        <w:contextualSpacing/>
        <w:rPr>
          <w:rFonts w:eastAsia="Times New Roman" w:cs="Times New Roman"/>
          <w:szCs w:val="24"/>
          <w:lang w:val="x-none" w:eastAsia="x-none"/>
        </w:rPr>
      </w:pPr>
      <w:r w:rsidRPr="0000065A">
        <w:rPr>
          <w:rFonts w:eastAsia="Times New Roman" w:cs="Times New Roman"/>
          <w:szCs w:val="24"/>
          <w:lang w:val="x-none" w:eastAsia="x-none"/>
        </w:rPr>
        <w:t xml:space="preserve">объекты, расположенные в </w:t>
      </w:r>
      <w:r w:rsidRPr="0000065A">
        <w:rPr>
          <w:rFonts w:eastAsia="Times New Roman" w:cs="Times New Roman"/>
          <w:szCs w:val="24"/>
          <w:lang w:eastAsia="x-none"/>
        </w:rPr>
        <w:t>г.Якутске</w:t>
      </w:r>
      <w:r w:rsidRPr="0000065A">
        <w:rPr>
          <w:rFonts w:eastAsia="Times New Roman" w:cs="Times New Roman"/>
          <w:szCs w:val="24"/>
          <w:lang w:val="x-none" w:eastAsia="x-none"/>
        </w:rPr>
        <w:t xml:space="preserve"> (подгруппа </w:t>
      </w:r>
      <w:r w:rsidRPr="0000065A">
        <w:rPr>
          <w:rFonts w:eastAsia="Times New Roman" w:cs="Times New Roman"/>
          <w:szCs w:val="24"/>
          <w:lang w:eastAsia="x-none"/>
        </w:rPr>
        <w:t>2</w:t>
      </w:r>
      <w:r w:rsidR="002F561A">
        <w:rPr>
          <w:rFonts w:eastAsia="Times New Roman" w:cs="Times New Roman"/>
          <w:szCs w:val="24"/>
          <w:lang w:val="x-none" w:eastAsia="x-none"/>
        </w:rPr>
        <w:t>.9-2.10</w:t>
      </w:r>
      <w:r w:rsidRPr="0000065A">
        <w:rPr>
          <w:rFonts w:eastAsia="Times New Roman" w:cs="Times New Roman"/>
          <w:szCs w:val="24"/>
          <w:lang w:val="x-none" w:eastAsia="x-none"/>
        </w:rPr>
        <w:t xml:space="preserve">. «Помещения в </w:t>
      </w:r>
      <w:r w:rsidRPr="0000065A">
        <w:rPr>
          <w:rFonts w:eastAsia="Times New Roman" w:cs="Times New Roman"/>
          <w:szCs w:val="24"/>
          <w:lang w:eastAsia="x-none"/>
        </w:rPr>
        <w:t>г.Якутске</w:t>
      </w:r>
      <w:r w:rsidRPr="0000065A">
        <w:rPr>
          <w:rFonts w:eastAsia="Times New Roman" w:cs="Times New Roman"/>
          <w:szCs w:val="24"/>
          <w:lang w:val="x-none" w:eastAsia="x-none"/>
        </w:rPr>
        <w:t>»);</w:t>
      </w:r>
    </w:p>
    <w:p w14:paraId="1802E14D" w14:textId="7BD207AF" w:rsidR="002F561A" w:rsidRPr="0000065A" w:rsidRDefault="002F561A" w:rsidP="00D24868">
      <w:pPr>
        <w:widowControl w:val="0"/>
        <w:numPr>
          <w:ilvl w:val="0"/>
          <w:numId w:val="91"/>
        </w:numPr>
        <w:tabs>
          <w:tab w:val="left" w:pos="567"/>
        </w:tabs>
        <w:contextualSpacing/>
        <w:rPr>
          <w:rFonts w:eastAsia="Times New Roman" w:cs="Times New Roman"/>
          <w:szCs w:val="24"/>
          <w:lang w:val="x-none" w:eastAsia="x-none"/>
        </w:rPr>
      </w:pPr>
      <w:r w:rsidRPr="0000065A">
        <w:rPr>
          <w:rFonts w:eastAsia="Times New Roman" w:cs="Times New Roman"/>
          <w:szCs w:val="24"/>
          <w:lang w:val="x-none" w:eastAsia="x-none"/>
        </w:rPr>
        <w:t xml:space="preserve">объекты, расположенные в </w:t>
      </w:r>
      <w:r w:rsidRPr="0000065A">
        <w:rPr>
          <w:rFonts w:eastAsia="Times New Roman" w:cs="Times New Roman"/>
          <w:szCs w:val="24"/>
          <w:lang w:eastAsia="x-none"/>
        </w:rPr>
        <w:t xml:space="preserve">прочих </w:t>
      </w:r>
      <w:r w:rsidRPr="0000065A">
        <w:rPr>
          <w:rFonts w:eastAsia="Times New Roman" w:cs="Times New Roman"/>
          <w:szCs w:val="24"/>
          <w:lang w:val="x-none" w:eastAsia="x-none"/>
        </w:rPr>
        <w:t xml:space="preserve">городских населенных пунктах (подгруппа </w:t>
      </w:r>
      <w:r w:rsidRPr="0000065A">
        <w:rPr>
          <w:rFonts w:eastAsia="Times New Roman" w:cs="Times New Roman"/>
          <w:szCs w:val="24"/>
          <w:lang w:eastAsia="x-none"/>
        </w:rPr>
        <w:t>2</w:t>
      </w:r>
      <w:r w:rsidRPr="0000065A">
        <w:rPr>
          <w:rFonts w:eastAsia="Times New Roman" w:cs="Times New Roman"/>
          <w:szCs w:val="24"/>
          <w:lang w:val="x-none" w:eastAsia="x-none"/>
        </w:rPr>
        <w:t>.</w:t>
      </w:r>
      <w:r>
        <w:rPr>
          <w:rFonts w:eastAsia="Times New Roman" w:cs="Times New Roman"/>
          <w:szCs w:val="24"/>
          <w:lang w:eastAsia="x-none"/>
        </w:rPr>
        <w:t>7</w:t>
      </w:r>
      <w:r w:rsidRPr="0000065A">
        <w:rPr>
          <w:rFonts w:eastAsia="Times New Roman" w:cs="Times New Roman"/>
          <w:szCs w:val="24"/>
          <w:lang w:val="x-none" w:eastAsia="x-none"/>
        </w:rPr>
        <w:t xml:space="preserve">. «Помещения в </w:t>
      </w:r>
      <w:r w:rsidRPr="0000065A">
        <w:rPr>
          <w:rFonts w:eastAsia="Times New Roman" w:cs="Times New Roman"/>
          <w:szCs w:val="24"/>
          <w:lang w:eastAsia="x-none"/>
        </w:rPr>
        <w:t xml:space="preserve">прочих </w:t>
      </w:r>
      <w:r w:rsidRPr="0000065A">
        <w:rPr>
          <w:rFonts w:eastAsia="Times New Roman" w:cs="Times New Roman"/>
          <w:szCs w:val="24"/>
          <w:lang w:val="x-none" w:eastAsia="x-none"/>
        </w:rPr>
        <w:t>ГНП»);</w:t>
      </w:r>
    </w:p>
    <w:p w14:paraId="1E5AE374" w14:textId="5F738EBA" w:rsidR="0000065A" w:rsidRPr="0000065A" w:rsidRDefault="0000065A" w:rsidP="00D24868">
      <w:pPr>
        <w:widowControl w:val="0"/>
        <w:numPr>
          <w:ilvl w:val="0"/>
          <w:numId w:val="91"/>
        </w:numPr>
        <w:tabs>
          <w:tab w:val="left" w:pos="567"/>
        </w:tabs>
        <w:contextualSpacing/>
        <w:rPr>
          <w:rFonts w:eastAsia="Times New Roman" w:cs="Times New Roman"/>
          <w:szCs w:val="24"/>
          <w:lang w:val="x-none" w:eastAsia="x-none"/>
        </w:rPr>
      </w:pPr>
      <w:r w:rsidRPr="0000065A">
        <w:rPr>
          <w:rFonts w:eastAsia="Times New Roman" w:cs="Times New Roman"/>
          <w:szCs w:val="24"/>
          <w:lang w:val="x-none" w:eastAsia="x-none"/>
        </w:rPr>
        <w:t xml:space="preserve">объекты, расположенные в </w:t>
      </w:r>
      <w:r w:rsidRPr="0000065A">
        <w:rPr>
          <w:rFonts w:eastAsia="Times New Roman" w:cs="Times New Roman"/>
          <w:szCs w:val="24"/>
          <w:lang w:eastAsia="x-none"/>
        </w:rPr>
        <w:t>с</w:t>
      </w:r>
      <w:r w:rsidR="002F561A">
        <w:rPr>
          <w:rFonts w:eastAsia="Times New Roman" w:cs="Times New Roman"/>
          <w:szCs w:val="24"/>
          <w:lang w:eastAsia="x-none"/>
        </w:rPr>
        <w:t>ель</w:t>
      </w:r>
      <w:r w:rsidRPr="0000065A">
        <w:rPr>
          <w:rFonts w:eastAsia="Times New Roman" w:cs="Times New Roman"/>
          <w:szCs w:val="24"/>
          <w:lang w:eastAsia="x-none"/>
        </w:rPr>
        <w:t xml:space="preserve">ских населенных пунктах </w:t>
      </w:r>
      <w:r w:rsidRPr="0000065A">
        <w:rPr>
          <w:rFonts w:eastAsia="Times New Roman" w:cs="Times New Roman"/>
          <w:szCs w:val="24"/>
          <w:lang w:val="x-none" w:eastAsia="x-none"/>
        </w:rPr>
        <w:t xml:space="preserve">(подгруппа </w:t>
      </w:r>
      <w:r w:rsidRPr="0000065A">
        <w:rPr>
          <w:rFonts w:eastAsia="Times New Roman" w:cs="Times New Roman"/>
          <w:szCs w:val="24"/>
          <w:lang w:eastAsia="x-none"/>
        </w:rPr>
        <w:t>2</w:t>
      </w:r>
      <w:r w:rsidRPr="0000065A">
        <w:rPr>
          <w:rFonts w:eastAsia="Times New Roman" w:cs="Times New Roman"/>
          <w:szCs w:val="24"/>
          <w:lang w:val="x-none" w:eastAsia="x-none"/>
        </w:rPr>
        <w:t>.</w:t>
      </w:r>
      <w:r w:rsidR="002F561A">
        <w:rPr>
          <w:rFonts w:eastAsia="Times New Roman" w:cs="Times New Roman"/>
          <w:szCs w:val="24"/>
          <w:lang w:eastAsia="x-none"/>
        </w:rPr>
        <w:t>8</w:t>
      </w:r>
      <w:r w:rsidRPr="0000065A">
        <w:rPr>
          <w:rFonts w:eastAsia="Times New Roman" w:cs="Times New Roman"/>
          <w:szCs w:val="24"/>
          <w:lang w:val="x-none" w:eastAsia="x-none"/>
        </w:rPr>
        <w:t xml:space="preserve">. «Помещения в </w:t>
      </w:r>
      <w:r w:rsidRPr="0000065A">
        <w:rPr>
          <w:rFonts w:eastAsia="Times New Roman" w:cs="Times New Roman"/>
          <w:szCs w:val="24"/>
          <w:lang w:eastAsia="x-none"/>
        </w:rPr>
        <w:t xml:space="preserve">прочих </w:t>
      </w:r>
      <w:r w:rsidRPr="0000065A">
        <w:rPr>
          <w:rFonts w:eastAsia="Times New Roman" w:cs="Times New Roman"/>
          <w:szCs w:val="24"/>
          <w:lang w:val="x-none" w:eastAsia="x-none"/>
        </w:rPr>
        <w:t>ГНП</w:t>
      </w:r>
      <w:r w:rsidRPr="0000065A">
        <w:rPr>
          <w:rFonts w:eastAsia="Times New Roman" w:cs="Times New Roman"/>
          <w:szCs w:val="24"/>
          <w:lang w:eastAsia="x-none"/>
        </w:rPr>
        <w:t>, СНП</w:t>
      </w:r>
      <w:r w:rsidRPr="0000065A">
        <w:rPr>
          <w:rFonts w:eastAsia="Times New Roman" w:cs="Times New Roman"/>
          <w:szCs w:val="24"/>
          <w:lang w:val="x-none" w:eastAsia="x-none"/>
        </w:rPr>
        <w:t>»);</w:t>
      </w:r>
    </w:p>
    <w:p w14:paraId="1FD49CCE" w14:textId="77777777" w:rsidR="0000065A" w:rsidRPr="0000065A" w:rsidRDefault="0000065A" w:rsidP="00D24868">
      <w:pPr>
        <w:widowControl w:val="0"/>
        <w:numPr>
          <w:ilvl w:val="0"/>
          <w:numId w:val="91"/>
        </w:numPr>
        <w:tabs>
          <w:tab w:val="left" w:pos="567"/>
        </w:tabs>
        <w:contextualSpacing/>
        <w:rPr>
          <w:rFonts w:eastAsia="Times New Roman" w:cs="Times New Roman"/>
          <w:szCs w:val="24"/>
          <w:lang w:val="x-none" w:eastAsia="x-none"/>
        </w:rPr>
      </w:pPr>
      <w:r w:rsidRPr="0000065A">
        <w:rPr>
          <w:rFonts w:eastAsia="Times New Roman" w:cs="Times New Roman"/>
          <w:szCs w:val="24"/>
          <w:lang w:val="x-none" w:eastAsia="x-none"/>
        </w:rPr>
        <w:t xml:space="preserve">объекты, расположенные вне черты населенных пунктов (подгруппа </w:t>
      </w:r>
      <w:r w:rsidRPr="0000065A">
        <w:rPr>
          <w:rFonts w:eastAsia="Times New Roman" w:cs="Times New Roman"/>
          <w:szCs w:val="24"/>
          <w:lang w:eastAsia="x-none"/>
        </w:rPr>
        <w:t>2.3</w:t>
      </w:r>
      <w:r w:rsidRPr="0000065A">
        <w:rPr>
          <w:rFonts w:eastAsia="Times New Roman" w:cs="Times New Roman"/>
          <w:szCs w:val="24"/>
          <w:lang w:val="x-none" w:eastAsia="x-none"/>
        </w:rPr>
        <w:t xml:space="preserve">. «Помещения </w:t>
      </w:r>
      <w:r w:rsidRPr="0000065A">
        <w:rPr>
          <w:rFonts w:eastAsia="Times New Roman" w:cs="Times New Roman"/>
          <w:szCs w:val="24"/>
          <w:lang w:eastAsia="x-none"/>
        </w:rPr>
        <w:t>в МР</w:t>
      </w:r>
      <w:r w:rsidRPr="0000065A">
        <w:rPr>
          <w:rFonts w:eastAsia="Times New Roman" w:cs="Times New Roman"/>
          <w:szCs w:val="24"/>
          <w:lang w:val="x-none" w:eastAsia="x-none"/>
        </w:rPr>
        <w:t>»).</w:t>
      </w:r>
    </w:p>
    <w:p w14:paraId="3A903F23" w14:textId="77777777" w:rsidR="0000065A" w:rsidRPr="0000065A" w:rsidRDefault="0000065A" w:rsidP="0000065A">
      <w:pPr>
        <w:widowControl w:val="0"/>
        <w:tabs>
          <w:tab w:val="left" w:pos="567"/>
        </w:tabs>
        <w:ind w:firstLine="709"/>
        <w:rPr>
          <w:rFonts w:eastAsia="Times New Roman" w:cs="Times New Roman"/>
          <w:szCs w:val="24"/>
          <w:lang w:eastAsia="ru-RU"/>
        </w:rPr>
      </w:pPr>
      <w:r w:rsidRPr="0000065A">
        <w:rPr>
          <w:rFonts w:eastAsia="Times New Roman" w:cs="Times New Roman"/>
          <w:szCs w:val="24"/>
          <w:lang w:eastAsia="ru-RU"/>
        </w:rPr>
        <w:t>Группировка объектов капитального строительства Группы 3 осуществлялась следующим образом.</w:t>
      </w:r>
    </w:p>
    <w:p w14:paraId="4AD2F350" w14:textId="3F2533BC" w:rsidR="0000065A" w:rsidRPr="0000065A" w:rsidRDefault="0000065A" w:rsidP="0000065A">
      <w:pPr>
        <w:widowControl w:val="0"/>
        <w:tabs>
          <w:tab w:val="left" w:pos="567"/>
        </w:tabs>
        <w:ind w:firstLine="709"/>
        <w:rPr>
          <w:rFonts w:eastAsia="Times New Roman" w:cs="Times New Roman"/>
          <w:szCs w:val="24"/>
          <w:lang w:eastAsia="ru-RU"/>
        </w:rPr>
      </w:pPr>
      <w:r w:rsidRPr="0000065A">
        <w:rPr>
          <w:rFonts w:eastAsia="Times New Roman" w:cs="Times New Roman"/>
          <w:szCs w:val="24"/>
          <w:lang w:eastAsia="ru-RU"/>
        </w:rPr>
        <w:t>Из Группы 3 в подгруппу «Индивидуальные гаражи» были выделены объекты, которые относятся к индивидуальным гаражам (подгруппы 0302, 0303). Остальные объекты были отнесены к подгруппе «Производственные гаражи»</w:t>
      </w:r>
      <w:r w:rsidR="00FC1796">
        <w:rPr>
          <w:rFonts w:eastAsia="Times New Roman" w:cs="Times New Roman"/>
          <w:szCs w:val="24"/>
          <w:lang w:eastAsia="ru-RU"/>
        </w:rPr>
        <w:t xml:space="preserve"> (подгруппа расчета 3.4.)</w:t>
      </w:r>
      <w:r w:rsidRPr="0000065A">
        <w:rPr>
          <w:rFonts w:eastAsia="Times New Roman" w:cs="Times New Roman"/>
          <w:szCs w:val="24"/>
          <w:lang w:eastAsia="ru-RU"/>
        </w:rPr>
        <w:t>.</w:t>
      </w:r>
    </w:p>
    <w:p w14:paraId="19CD167C" w14:textId="32D68DE2" w:rsidR="0000065A" w:rsidRDefault="0000065A" w:rsidP="0000065A">
      <w:pPr>
        <w:widowControl w:val="0"/>
        <w:tabs>
          <w:tab w:val="left" w:pos="567"/>
        </w:tabs>
        <w:ind w:firstLine="709"/>
        <w:rPr>
          <w:rFonts w:eastAsia="Times New Roman" w:cs="Times New Roman"/>
          <w:szCs w:val="24"/>
          <w:lang w:eastAsia="ru-RU"/>
        </w:rPr>
      </w:pPr>
      <w:r w:rsidRPr="0000065A">
        <w:rPr>
          <w:rFonts w:eastAsia="Times New Roman" w:cs="Times New Roman"/>
          <w:szCs w:val="24"/>
          <w:lang w:eastAsia="ru-RU"/>
        </w:rPr>
        <w:t xml:space="preserve">Разделение на подгруппы </w:t>
      </w:r>
      <w:r w:rsidR="00FC1796">
        <w:rPr>
          <w:rFonts w:eastAsia="Times New Roman" w:cs="Times New Roman"/>
          <w:szCs w:val="24"/>
          <w:lang w:eastAsia="ru-RU"/>
        </w:rPr>
        <w:t xml:space="preserve">расчетов </w:t>
      </w:r>
      <w:r w:rsidRPr="0000065A">
        <w:rPr>
          <w:rFonts w:eastAsia="Times New Roman" w:cs="Times New Roman"/>
          <w:szCs w:val="24"/>
          <w:lang w:eastAsia="ru-RU"/>
        </w:rPr>
        <w:t>объектов подгрупп 0302, 0303 Группы 3 производилось по следующему принципу:</w:t>
      </w:r>
    </w:p>
    <w:p w14:paraId="128192D8" w14:textId="255A9B3A" w:rsidR="002F561A" w:rsidRDefault="002F561A" w:rsidP="0000065A">
      <w:pPr>
        <w:widowControl w:val="0"/>
        <w:tabs>
          <w:tab w:val="left" w:pos="567"/>
        </w:tabs>
        <w:ind w:firstLine="709"/>
        <w:rPr>
          <w:rFonts w:eastAsia="Times New Roman" w:cs="Times New Roman"/>
          <w:szCs w:val="24"/>
          <w:lang w:eastAsia="ru-RU"/>
        </w:rPr>
      </w:pPr>
      <w:r>
        <w:rPr>
          <w:rFonts w:eastAsia="Times New Roman" w:cs="Times New Roman"/>
          <w:szCs w:val="24"/>
          <w:lang w:eastAsia="ru-RU"/>
        </w:rPr>
        <w:t>Сооружения, ОНС</w:t>
      </w:r>
      <w:r w:rsidR="00FC1796">
        <w:rPr>
          <w:rFonts w:eastAsia="Times New Roman" w:cs="Times New Roman"/>
          <w:szCs w:val="24"/>
          <w:lang w:eastAsia="ru-RU"/>
        </w:rPr>
        <w:t xml:space="preserve"> (подгруппа 3.2.);</w:t>
      </w:r>
    </w:p>
    <w:p w14:paraId="3A2B4590" w14:textId="1BDAA87F" w:rsidR="002F561A" w:rsidRPr="0000065A" w:rsidRDefault="002F561A" w:rsidP="0000065A">
      <w:pPr>
        <w:widowControl w:val="0"/>
        <w:tabs>
          <w:tab w:val="left" w:pos="567"/>
        </w:tabs>
        <w:ind w:firstLine="709"/>
        <w:rPr>
          <w:rFonts w:eastAsia="Times New Roman" w:cs="Times New Roman"/>
          <w:szCs w:val="24"/>
          <w:lang w:eastAsia="ru-RU"/>
        </w:rPr>
      </w:pPr>
      <w:r>
        <w:rPr>
          <w:rFonts w:eastAsia="Times New Roman" w:cs="Times New Roman"/>
          <w:szCs w:val="24"/>
          <w:lang w:eastAsia="ru-RU"/>
        </w:rPr>
        <w:t>Здания, помещения:</w:t>
      </w:r>
    </w:p>
    <w:p w14:paraId="6BE46564" w14:textId="25C4C13A" w:rsidR="0000065A" w:rsidRDefault="0000065A" w:rsidP="00D24868">
      <w:pPr>
        <w:widowControl w:val="0"/>
        <w:numPr>
          <w:ilvl w:val="0"/>
          <w:numId w:val="91"/>
        </w:numPr>
        <w:tabs>
          <w:tab w:val="left" w:pos="567"/>
        </w:tabs>
        <w:contextualSpacing/>
        <w:jc w:val="left"/>
        <w:rPr>
          <w:rFonts w:eastAsia="Times New Roman" w:cs="Times New Roman"/>
          <w:szCs w:val="24"/>
          <w:lang w:val="x-none" w:eastAsia="x-none"/>
        </w:rPr>
      </w:pPr>
      <w:r w:rsidRPr="0000065A">
        <w:rPr>
          <w:rFonts w:eastAsia="Times New Roman" w:cs="Times New Roman"/>
          <w:szCs w:val="24"/>
          <w:lang w:val="x-none" w:eastAsia="x-none"/>
        </w:rPr>
        <w:t xml:space="preserve">объекты, расположенные в </w:t>
      </w:r>
      <w:r w:rsidRPr="0000065A">
        <w:rPr>
          <w:rFonts w:eastAsia="Times New Roman" w:cs="Times New Roman"/>
          <w:szCs w:val="24"/>
          <w:lang w:eastAsia="x-none"/>
        </w:rPr>
        <w:t>г.Якутске</w:t>
      </w:r>
      <w:r w:rsidRPr="0000065A">
        <w:rPr>
          <w:rFonts w:eastAsia="Times New Roman" w:cs="Times New Roman"/>
          <w:szCs w:val="24"/>
          <w:lang w:val="x-none" w:eastAsia="x-none"/>
        </w:rPr>
        <w:t xml:space="preserve"> (подгруппа 3.</w:t>
      </w:r>
      <w:r w:rsidR="00FC1796">
        <w:rPr>
          <w:rFonts w:eastAsia="Times New Roman" w:cs="Times New Roman"/>
          <w:szCs w:val="24"/>
          <w:lang w:eastAsia="x-none"/>
        </w:rPr>
        <w:t>6-3.7</w:t>
      </w:r>
      <w:r w:rsidRPr="0000065A">
        <w:rPr>
          <w:rFonts w:eastAsia="Times New Roman" w:cs="Times New Roman"/>
          <w:szCs w:val="24"/>
          <w:lang w:val="x-none" w:eastAsia="x-none"/>
        </w:rPr>
        <w:t>. «</w:t>
      </w:r>
      <w:r w:rsidRPr="0000065A">
        <w:rPr>
          <w:rFonts w:eastAsia="Times New Roman" w:cs="Times New Roman"/>
          <w:szCs w:val="24"/>
          <w:lang w:eastAsia="x-none"/>
        </w:rPr>
        <w:t>Здания, п</w:t>
      </w:r>
      <w:r w:rsidRPr="0000065A">
        <w:rPr>
          <w:rFonts w:eastAsia="Times New Roman" w:cs="Times New Roman"/>
          <w:szCs w:val="24"/>
          <w:lang w:val="x-none" w:eastAsia="x-none"/>
        </w:rPr>
        <w:t xml:space="preserve">омещения в </w:t>
      </w:r>
      <w:r w:rsidRPr="0000065A">
        <w:rPr>
          <w:rFonts w:eastAsia="Times New Roman" w:cs="Times New Roman"/>
          <w:szCs w:val="24"/>
          <w:lang w:eastAsia="x-none"/>
        </w:rPr>
        <w:t>г.Якутске</w:t>
      </w:r>
      <w:r w:rsidRPr="0000065A">
        <w:rPr>
          <w:rFonts w:eastAsia="Times New Roman" w:cs="Times New Roman"/>
          <w:szCs w:val="24"/>
          <w:lang w:val="x-none" w:eastAsia="x-none"/>
        </w:rPr>
        <w:t>»);</w:t>
      </w:r>
    </w:p>
    <w:p w14:paraId="459C5D4B" w14:textId="7017CA49" w:rsidR="00FC1796" w:rsidRPr="0000065A" w:rsidRDefault="00FC1796" w:rsidP="00D24868">
      <w:pPr>
        <w:widowControl w:val="0"/>
        <w:numPr>
          <w:ilvl w:val="0"/>
          <w:numId w:val="91"/>
        </w:numPr>
        <w:tabs>
          <w:tab w:val="left" w:pos="567"/>
        </w:tabs>
        <w:contextualSpacing/>
        <w:jc w:val="left"/>
        <w:rPr>
          <w:rFonts w:eastAsia="Times New Roman" w:cs="Times New Roman"/>
          <w:szCs w:val="24"/>
          <w:lang w:val="x-none" w:eastAsia="x-none"/>
        </w:rPr>
      </w:pPr>
      <w:r w:rsidRPr="0000065A">
        <w:rPr>
          <w:rFonts w:eastAsia="Times New Roman" w:cs="Times New Roman"/>
          <w:szCs w:val="24"/>
          <w:lang w:val="x-none" w:eastAsia="x-none"/>
        </w:rPr>
        <w:t xml:space="preserve">объекты, расположенные в </w:t>
      </w:r>
      <w:r w:rsidRPr="0000065A">
        <w:rPr>
          <w:rFonts w:eastAsia="Times New Roman" w:cs="Times New Roman"/>
          <w:szCs w:val="24"/>
          <w:lang w:eastAsia="x-none"/>
        </w:rPr>
        <w:t xml:space="preserve">прочих </w:t>
      </w:r>
      <w:r w:rsidRPr="0000065A">
        <w:rPr>
          <w:rFonts w:eastAsia="Times New Roman" w:cs="Times New Roman"/>
          <w:szCs w:val="24"/>
          <w:lang w:val="x-none" w:eastAsia="x-none"/>
        </w:rPr>
        <w:t>городских населенных пунктах (подгруппа 3.</w:t>
      </w:r>
      <w:r>
        <w:rPr>
          <w:rFonts w:eastAsia="Times New Roman" w:cs="Times New Roman"/>
          <w:szCs w:val="24"/>
          <w:lang w:eastAsia="x-none"/>
        </w:rPr>
        <w:t>3</w:t>
      </w:r>
      <w:r w:rsidRPr="0000065A">
        <w:rPr>
          <w:rFonts w:eastAsia="Times New Roman" w:cs="Times New Roman"/>
          <w:szCs w:val="24"/>
          <w:lang w:val="x-none" w:eastAsia="x-none"/>
        </w:rPr>
        <w:t>. «</w:t>
      </w:r>
      <w:r w:rsidRPr="0000065A">
        <w:rPr>
          <w:rFonts w:eastAsia="Times New Roman" w:cs="Times New Roman"/>
          <w:szCs w:val="24"/>
          <w:lang w:eastAsia="x-none"/>
        </w:rPr>
        <w:t>Здания, п</w:t>
      </w:r>
      <w:r w:rsidRPr="0000065A">
        <w:rPr>
          <w:rFonts w:eastAsia="Times New Roman" w:cs="Times New Roman"/>
          <w:szCs w:val="24"/>
          <w:lang w:val="x-none" w:eastAsia="x-none"/>
        </w:rPr>
        <w:t xml:space="preserve">омещения в </w:t>
      </w:r>
      <w:r w:rsidRPr="0000065A">
        <w:rPr>
          <w:rFonts w:eastAsia="Times New Roman" w:cs="Times New Roman"/>
          <w:szCs w:val="24"/>
          <w:lang w:eastAsia="x-none"/>
        </w:rPr>
        <w:t xml:space="preserve">прочих </w:t>
      </w:r>
      <w:r w:rsidRPr="0000065A">
        <w:rPr>
          <w:rFonts w:eastAsia="Times New Roman" w:cs="Times New Roman"/>
          <w:szCs w:val="24"/>
          <w:lang w:val="x-none" w:eastAsia="x-none"/>
        </w:rPr>
        <w:t>ГНП»);</w:t>
      </w:r>
    </w:p>
    <w:p w14:paraId="6D0827D3" w14:textId="4E7BB35C" w:rsidR="00FC1796" w:rsidRPr="0000065A" w:rsidRDefault="00FC1796" w:rsidP="00D24868">
      <w:pPr>
        <w:widowControl w:val="0"/>
        <w:numPr>
          <w:ilvl w:val="0"/>
          <w:numId w:val="91"/>
        </w:numPr>
        <w:tabs>
          <w:tab w:val="left" w:pos="567"/>
        </w:tabs>
        <w:contextualSpacing/>
        <w:jc w:val="left"/>
        <w:rPr>
          <w:rFonts w:eastAsia="Times New Roman" w:cs="Times New Roman"/>
          <w:szCs w:val="24"/>
          <w:lang w:val="x-none" w:eastAsia="x-none"/>
        </w:rPr>
      </w:pPr>
      <w:r w:rsidRPr="0000065A">
        <w:rPr>
          <w:rFonts w:eastAsia="Times New Roman" w:cs="Times New Roman"/>
          <w:szCs w:val="24"/>
          <w:lang w:val="x-none" w:eastAsia="x-none"/>
        </w:rPr>
        <w:t xml:space="preserve">объекты, расположенные в </w:t>
      </w:r>
      <w:r w:rsidRPr="0000065A">
        <w:rPr>
          <w:rFonts w:eastAsia="Times New Roman" w:cs="Times New Roman"/>
          <w:szCs w:val="24"/>
          <w:lang w:eastAsia="x-none"/>
        </w:rPr>
        <w:t>сельских населенных пунктах</w:t>
      </w:r>
      <w:r w:rsidRPr="0000065A">
        <w:rPr>
          <w:rFonts w:eastAsia="Times New Roman" w:cs="Times New Roman"/>
          <w:szCs w:val="24"/>
          <w:lang w:val="x-none" w:eastAsia="x-none"/>
        </w:rPr>
        <w:t xml:space="preserve"> (подгруппа 3.</w:t>
      </w:r>
      <w:r>
        <w:rPr>
          <w:rFonts w:eastAsia="Times New Roman" w:cs="Times New Roman"/>
          <w:szCs w:val="24"/>
          <w:lang w:eastAsia="x-none"/>
        </w:rPr>
        <w:t>5</w:t>
      </w:r>
      <w:r w:rsidRPr="0000065A">
        <w:rPr>
          <w:rFonts w:eastAsia="Times New Roman" w:cs="Times New Roman"/>
          <w:szCs w:val="24"/>
          <w:lang w:val="x-none" w:eastAsia="x-none"/>
        </w:rPr>
        <w:t>. «</w:t>
      </w:r>
      <w:r w:rsidRPr="0000065A">
        <w:rPr>
          <w:rFonts w:eastAsia="Times New Roman" w:cs="Times New Roman"/>
          <w:szCs w:val="24"/>
          <w:lang w:eastAsia="x-none"/>
        </w:rPr>
        <w:t>Здания, п</w:t>
      </w:r>
      <w:r w:rsidRPr="0000065A">
        <w:rPr>
          <w:rFonts w:eastAsia="Times New Roman" w:cs="Times New Roman"/>
          <w:szCs w:val="24"/>
          <w:lang w:val="x-none" w:eastAsia="x-none"/>
        </w:rPr>
        <w:t xml:space="preserve">омещения в </w:t>
      </w:r>
      <w:r w:rsidRPr="0000065A">
        <w:rPr>
          <w:rFonts w:eastAsia="Times New Roman" w:cs="Times New Roman"/>
          <w:szCs w:val="24"/>
          <w:lang w:eastAsia="x-none"/>
        </w:rPr>
        <w:t>СНП</w:t>
      </w:r>
      <w:r w:rsidRPr="0000065A">
        <w:rPr>
          <w:rFonts w:eastAsia="Times New Roman" w:cs="Times New Roman"/>
          <w:szCs w:val="24"/>
          <w:lang w:val="x-none" w:eastAsia="x-none"/>
        </w:rPr>
        <w:t>»);</w:t>
      </w:r>
    </w:p>
    <w:p w14:paraId="34129F12" w14:textId="27676427" w:rsidR="0000065A" w:rsidRPr="0000065A" w:rsidRDefault="0000065A" w:rsidP="00D24868">
      <w:pPr>
        <w:widowControl w:val="0"/>
        <w:numPr>
          <w:ilvl w:val="0"/>
          <w:numId w:val="91"/>
        </w:numPr>
        <w:tabs>
          <w:tab w:val="left" w:pos="567"/>
        </w:tabs>
        <w:contextualSpacing/>
        <w:jc w:val="left"/>
        <w:rPr>
          <w:rFonts w:eastAsia="Times New Roman" w:cs="Times New Roman"/>
          <w:szCs w:val="24"/>
          <w:lang w:val="x-none" w:eastAsia="x-none"/>
        </w:rPr>
      </w:pPr>
      <w:r w:rsidRPr="0000065A">
        <w:rPr>
          <w:rFonts w:eastAsia="Times New Roman" w:cs="Times New Roman"/>
          <w:szCs w:val="24"/>
          <w:lang w:val="x-none" w:eastAsia="x-none"/>
        </w:rPr>
        <w:t>объекты, расположенные вне черты населенных пунктов (подгруппа 3.</w:t>
      </w:r>
      <w:r w:rsidR="00FC1796">
        <w:rPr>
          <w:rFonts w:eastAsia="Times New Roman" w:cs="Times New Roman"/>
          <w:szCs w:val="24"/>
          <w:lang w:eastAsia="x-none"/>
        </w:rPr>
        <w:t>1.</w:t>
      </w:r>
      <w:r w:rsidRPr="0000065A">
        <w:rPr>
          <w:rFonts w:eastAsia="Times New Roman" w:cs="Times New Roman"/>
          <w:szCs w:val="24"/>
          <w:lang w:val="x-none" w:eastAsia="x-none"/>
        </w:rPr>
        <w:t xml:space="preserve"> «</w:t>
      </w:r>
      <w:r w:rsidRPr="0000065A">
        <w:rPr>
          <w:rFonts w:eastAsia="Times New Roman" w:cs="Times New Roman"/>
          <w:szCs w:val="24"/>
          <w:lang w:eastAsia="x-none"/>
        </w:rPr>
        <w:t>Здания, п</w:t>
      </w:r>
      <w:r w:rsidRPr="0000065A">
        <w:rPr>
          <w:rFonts w:eastAsia="Times New Roman" w:cs="Times New Roman"/>
          <w:szCs w:val="24"/>
          <w:lang w:val="x-none" w:eastAsia="x-none"/>
        </w:rPr>
        <w:t xml:space="preserve">омещения в </w:t>
      </w:r>
      <w:r w:rsidRPr="0000065A">
        <w:rPr>
          <w:rFonts w:eastAsia="Times New Roman" w:cs="Times New Roman"/>
          <w:szCs w:val="24"/>
          <w:lang w:eastAsia="x-none"/>
        </w:rPr>
        <w:t>МР</w:t>
      </w:r>
      <w:r w:rsidRPr="0000065A">
        <w:rPr>
          <w:rFonts w:eastAsia="Times New Roman" w:cs="Times New Roman"/>
          <w:szCs w:val="24"/>
          <w:lang w:val="x-none" w:eastAsia="x-none"/>
        </w:rPr>
        <w:t>»);</w:t>
      </w:r>
    </w:p>
    <w:p w14:paraId="10946438" w14:textId="77777777" w:rsidR="00281D4A" w:rsidRDefault="0000065A" w:rsidP="0000065A">
      <w:pPr>
        <w:widowControl w:val="0"/>
        <w:ind w:firstLine="720"/>
        <w:rPr>
          <w:rFonts w:eastAsia="Times New Roman" w:cs="Times New Roman"/>
          <w:szCs w:val="24"/>
          <w:lang w:eastAsia="ru-RU"/>
        </w:rPr>
      </w:pPr>
      <w:r w:rsidRPr="0000065A">
        <w:rPr>
          <w:rFonts w:eastAsia="Times New Roman" w:cs="Times New Roman"/>
          <w:szCs w:val="24"/>
          <w:lang w:eastAsia="ru-RU"/>
        </w:rPr>
        <w:t xml:space="preserve">Деление на подгруппы объектов 4-10 групп в соответствии с видом и местоположением объектов для расчетов учитывалось при расчете затратным подходом, в рамках расчета внешнего износа. </w:t>
      </w:r>
    </w:p>
    <w:p w14:paraId="496D4530" w14:textId="535C3D83" w:rsidR="0000065A" w:rsidRPr="0000065A" w:rsidRDefault="0000065A" w:rsidP="0000065A">
      <w:pPr>
        <w:widowControl w:val="0"/>
        <w:ind w:firstLine="720"/>
        <w:rPr>
          <w:rFonts w:eastAsia="Times New Roman" w:cs="Times New Roman"/>
          <w:szCs w:val="24"/>
          <w:lang w:eastAsia="ru-RU"/>
        </w:rPr>
      </w:pPr>
      <w:r w:rsidRPr="0000065A">
        <w:rPr>
          <w:rFonts w:eastAsia="Times New Roman" w:cs="Times New Roman"/>
          <w:szCs w:val="24"/>
          <w:lang w:eastAsia="ru-RU"/>
        </w:rPr>
        <w:t xml:space="preserve">Дальнейшее деление на подгруппы объектов </w:t>
      </w:r>
      <w:r w:rsidR="00281D4A">
        <w:rPr>
          <w:rFonts w:eastAsia="Times New Roman" w:cs="Times New Roman"/>
          <w:szCs w:val="24"/>
          <w:lang w:eastAsia="ru-RU"/>
        </w:rPr>
        <w:t>4</w:t>
      </w:r>
      <w:r w:rsidRPr="0000065A">
        <w:rPr>
          <w:rFonts w:eastAsia="Times New Roman" w:cs="Times New Roman"/>
          <w:szCs w:val="24"/>
          <w:lang w:eastAsia="ru-RU"/>
        </w:rPr>
        <w:t>-10 групп производилось с учетом применяемых методов расчета (индивидуально на основе УПСС в рамках затратного подхода, моделирование на основе удельного показателя кадастровой стоимости) следующим образом:</w:t>
      </w:r>
    </w:p>
    <w:p w14:paraId="00041F81" w14:textId="4C1B1A5C" w:rsidR="0000065A" w:rsidRPr="0000065A" w:rsidRDefault="0000065A" w:rsidP="00D24868">
      <w:pPr>
        <w:widowControl w:val="0"/>
        <w:numPr>
          <w:ilvl w:val="0"/>
          <w:numId w:val="91"/>
        </w:numPr>
        <w:tabs>
          <w:tab w:val="left" w:pos="567"/>
        </w:tabs>
        <w:contextualSpacing/>
        <w:jc w:val="left"/>
        <w:rPr>
          <w:rFonts w:eastAsia="Times New Roman" w:cs="Times New Roman"/>
          <w:szCs w:val="24"/>
          <w:lang w:val="x-none" w:eastAsia="x-none"/>
        </w:rPr>
      </w:pPr>
      <w:r w:rsidRPr="0000065A">
        <w:rPr>
          <w:rFonts w:eastAsia="Times New Roman" w:cs="Times New Roman"/>
          <w:szCs w:val="24"/>
          <w:lang w:val="x-none" w:eastAsia="x-none"/>
        </w:rPr>
        <w:t>Объекты с полными характеристиками (подгруппа 4.</w:t>
      </w:r>
      <w:r w:rsidR="00FC1796">
        <w:rPr>
          <w:rFonts w:eastAsia="Times New Roman" w:cs="Times New Roman"/>
          <w:szCs w:val="24"/>
          <w:lang w:eastAsia="x-none"/>
        </w:rPr>
        <w:t>3</w:t>
      </w:r>
      <w:r w:rsidRPr="0000065A">
        <w:rPr>
          <w:rFonts w:eastAsia="Times New Roman" w:cs="Times New Roman"/>
          <w:szCs w:val="24"/>
          <w:lang w:val="x-none" w:eastAsia="x-none"/>
        </w:rPr>
        <w:t>, 5.</w:t>
      </w:r>
      <w:r w:rsidR="00FC1796">
        <w:rPr>
          <w:rFonts w:eastAsia="Times New Roman" w:cs="Times New Roman"/>
          <w:szCs w:val="24"/>
          <w:lang w:eastAsia="x-none"/>
        </w:rPr>
        <w:t>3</w:t>
      </w:r>
      <w:r w:rsidRPr="0000065A">
        <w:rPr>
          <w:rFonts w:eastAsia="Times New Roman" w:cs="Times New Roman"/>
          <w:szCs w:val="24"/>
          <w:lang w:val="x-none" w:eastAsia="x-none"/>
        </w:rPr>
        <w:t>, 6.</w:t>
      </w:r>
      <w:r w:rsidR="00FC1796">
        <w:rPr>
          <w:rFonts w:eastAsia="Times New Roman" w:cs="Times New Roman"/>
          <w:szCs w:val="24"/>
          <w:lang w:eastAsia="x-none"/>
        </w:rPr>
        <w:t>3</w:t>
      </w:r>
      <w:r w:rsidRPr="0000065A">
        <w:rPr>
          <w:rFonts w:eastAsia="Times New Roman" w:cs="Times New Roman"/>
          <w:szCs w:val="24"/>
          <w:lang w:val="x-none" w:eastAsia="x-none"/>
        </w:rPr>
        <w:t>, 7.</w:t>
      </w:r>
      <w:r w:rsidR="00FC1796">
        <w:rPr>
          <w:rFonts w:eastAsia="Times New Roman" w:cs="Times New Roman"/>
          <w:szCs w:val="24"/>
          <w:lang w:eastAsia="x-none"/>
        </w:rPr>
        <w:t>3</w:t>
      </w:r>
      <w:r w:rsidRPr="0000065A">
        <w:rPr>
          <w:rFonts w:eastAsia="Times New Roman" w:cs="Times New Roman"/>
          <w:szCs w:val="24"/>
          <w:lang w:val="x-none" w:eastAsia="x-none"/>
        </w:rPr>
        <w:t>, 8.</w:t>
      </w:r>
      <w:r w:rsidR="00FC1796">
        <w:rPr>
          <w:rFonts w:eastAsia="Times New Roman" w:cs="Times New Roman"/>
          <w:szCs w:val="24"/>
          <w:lang w:eastAsia="x-none"/>
        </w:rPr>
        <w:t>3</w:t>
      </w:r>
      <w:r w:rsidRPr="0000065A">
        <w:rPr>
          <w:rFonts w:eastAsia="Times New Roman" w:cs="Times New Roman"/>
          <w:szCs w:val="24"/>
          <w:lang w:val="x-none" w:eastAsia="x-none"/>
        </w:rPr>
        <w:t>, 9.</w:t>
      </w:r>
      <w:r w:rsidR="00FC1796">
        <w:rPr>
          <w:rFonts w:eastAsia="Times New Roman" w:cs="Times New Roman"/>
          <w:szCs w:val="24"/>
          <w:lang w:eastAsia="x-none"/>
        </w:rPr>
        <w:t>3</w:t>
      </w:r>
      <w:r w:rsidRPr="0000065A">
        <w:rPr>
          <w:rFonts w:eastAsia="Times New Roman" w:cs="Times New Roman"/>
          <w:szCs w:val="24"/>
          <w:lang w:val="x-none" w:eastAsia="x-none"/>
        </w:rPr>
        <w:t>, 10.</w:t>
      </w:r>
      <w:r w:rsidR="00FC1796">
        <w:rPr>
          <w:rFonts w:eastAsia="Times New Roman" w:cs="Times New Roman"/>
          <w:szCs w:val="24"/>
          <w:lang w:eastAsia="x-none"/>
        </w:rPr>
        <w:t>2</w:t>
      </w:r>
      <w:r w:rsidRPr="0000065A">
        <w:rPr>
          <w:rFonts w:eastAsia="Times New Roman" w:cs="Times New Roman"/>
          <w:szCs w:val="24"/>
          <w:lang w:val="x-none" w:eastAsia="x-none"/>
        </w:rPr>
        <w:t>);</w:t>
      </w:r>
    </w:p>
    <w:p w14:paraId="39393BE8" w14:textId="63ACCE14" w:rsidR="0000065A" w:rsidRDefault="00FC1796" w:rsidP="00D24868">
      <w:pPr>
        <w:widowControl w:val="0"/>
        <w:numPr>
          <w:ilvl w:val="0"/>
          <w:numId w:val="91"/>
        </w:numPr>
        <w:tabs>
          <w:tab w:val="left" w:pos="567"/>
        </w:tabs>
        <w:contextualSpacing/>
        <w:jc w:val="left"/>
        <w:rPr>
          <w:rFonts w:eastAsia="Times New Roman" w:cs="Times New Roman"/>
          <w:szCs w:val="24"/>
          <w:lang w:val="x-none" w:eastAsia="x-none"/>
        </w:rPr>
      </w:pPr>
      <w:r>
        <w:rPr>
          <w:rFonts w:eastAsia="Times New Roman" w:cs="Times New Roman"/>
          <w:szCs w:val="24"/>
          <w:lang w:eastAsia="x-none"/>
        </w:rPr>
        <w:t>Объекты</w:t>
      </w:r>
      <w:r w:rsidR="0000065A" w:rsidRPr="0000065A">
        <w:rPr>
          <w:rFonts w:eastAsia="Times New Roman" w:cs="Times New Roman"/>
          <w:szCs w:val="24"/>
          <w:lang w:val="x-none" w:eastAsia="x-none"/>
        </w:rPr>
        <w:t xml:space="preserve"> с неполными характеристиками</w:t>
      </w:r>
      <w:r>
        <w:rPr>
          <w:rFonts w:eastAsia="Times New Roman" w:cs="Times New Roman"/>
          <w:szCs w:val="24"/>
          <w:lang w:eastAsia="x-none"/>
        </w:rPr>
        <w:t xml:space="preserve"> в зависимости от вида объекта недвижимости</w:t>
      </w:r>
      <w:r w:rsidR="0000065A" w:rsidRPr="0000065A">
        <w:rPr>
          <w:rFonts w:eastAsia="Times New Roman" w:cs="Times New Roman"/>
          <w:szCs w:val="24"/>
          <w:lang w:val="x-none" w:eastAsia="x-none"/>
        </w:rPr>
        <w:t xml:space="preserve"> (подгруппа </w:t>
      </w:r>
      <w:r>
        <w:rPr>
          <w:rFonts w:eastAsia="Times New Roman" w:cs="Times New Roman"/>
          <w:szCs w:val="24"/>
          <w:lang w:eastAsia="x-none"/>
        </w:rPr>
        <w:t xml:space="preserve">4.1., </w:t>
      </w:r>
      <w:r w:rsidR="0000065A" w:rsidRPr="0000065A">
        <w:rPr>
          <w:rFonts w:eastAsia="Times New Roman" w:cs="Times New Roman"/>
          <w:szCs w:val="24"/>
          <w:lang w:val="x-none" w:eastAsia="x-none"/>
        </w:rPr>
        <w:t xml:space="preserve">4.2, </w:t>
      </w:r>
      <w:r>
        <w:rPr>
          <w:rFonts w:eastAsia="Times New Roman" w:cs="Times New Roman"/>
          <w:szCs w:val="24"/>
          <w:lang w:eastAsia="x-none"/>
        </w:rPr>
        <w:t xml:space="preserve">5.1., </w:t>
      </w:r>
      <w:r w:rsidR="0000065A" w:rsidRPr="0000065A">
        <w:rPr>
          <w:rFonts w:eastAsia="Times New Roman" w:cs="Times New Roman"/>
          <w:szCs w:val="24"/>
          <w:lang w:val="x-none" w:eastAsia="x-none"/>
        </w:rPr>
        <w:t xml:space="preserve">5.2, </w:t>
      </w:r>
      <w:r>
        <w:rPr>
          <w:rFonts w:eastAsia="Times New Roman" w:cs="Times New Roman"/>
          <w:szCs w:val="24"/>
          <w:lang w:eastAsia="x-none"/>
        </w:rPr>
        <w:t>6.1</w:t>
      </w:r>
      <w:r w:rsidR="0000065A" w:rsidRPr="0000065A">
        <w:rPr>
          <w:rFonts w:eastAsia="Times New Roman" w:cs="Times New Roman"/>
          <w:szCs w:val="24"/>
          <w:lang w:val="x-none" w:eastAsia="x-none"/>
        </w:rPr>
        <w:t xml:space="preserve">, 6.2, </w:t>
      </w:r>
      <w:r>
        <w:rPr>
          <w:rFonts w:eastAsia="Times New Roman" w:cs="Times New Roman"/>
          <w:szCs w:val="24"/>
          <w:lang w:eastAsia="x-none"/>
        </w:rPr>
        <w:t xml:space="preserve">7.1, </w:t>
      </w:r>
      <w:r w:rsidR="0000065A" w:rsidRPr="0000065A">
        <w:rPr>
          <w:rFonts w:eastAsia="Times New Roman" w:cs="Times New Roman"/>
          <w:szCs w:val="24"/>
          <w:lang w:val="x-none" w:eastAsia="x-none"/>
        </w:rPr>
        <w:t xml:space="preserve">7.2, </w:t>
      </w:r>
      <w:r>
        <w:rPr>
          <w:rFonts w:eastAsia="Times New Roman" w:cs="Times New Roman"/>
          <w:szCs w:val="24"/>
          <w:lang w:eastAsia="x-none"/>
        </w:rPr>
        <w:t xml:space="preserve">8.1, </w:t>
      </w:r>
      <w:r w:rsidR="0000065A" w:rsidRPr="0000065A">
        <w:rPr>
          <w:rFonts w:eastAsia="Times New Roman" w:cs="Times New Roman"/>
          <w:szCs w:val="24"/>
          <w:lang w:val="x-none" w:eastAsia="x-none"/>
        </w:rPr>
        <w:t xml:space="preserve">8.2, </w:t>
      </w:r>
      <w:r>
        <w:rPr>
          <w:rFonts w:eastAsia="Times New Roman" w:cs="Times New Roman"/>
          <w:szCs w:val="24"/>
          <w:lang w:eastAsia="x-none"/>
        </w:rPr>
        <w:t>9.1</w:t>
      </w:r>
      <w:r w:rsidR="0000065A" w:rsidRPr="0000065A">
        <w:rPr>
          <w:rFonts w:eastAsia="Times New Roman" w:cs="Times New Roman"/>
          <w:szCs w:val="24"/>
          <w:lang w:val="x-none" w:eastAsia="x-none"/>
        </w:rPr>
        <w:t>, 9.2, 10.</w:t>
      </w:r>
      <w:r>
        <w:rPr>
          <w:rFonts w:eastAsia="Times New Roman" w:cs="Times New Roman"/>
          <w:szCs w:val="24"/>
          <w:lang w:eastAsia="x-none"/>
        </w:rPr>
        <w:t>1, 10.3</w:t>
      </w:r>
      <w:r w:rsidR="0000065A" w:rsidRPr="0000065A">
        <w:rPr>
          <w:rFonts w:eastAsia="Times New Roman" w:cs="Times New Roman"/>
          <w:szCs w:val="24"/>
          <w:lang w:val="x-none" w:eastAsia="x-none"/>
        </w:rPr>
        <w:t>);</w:t>
      </w:r>
    </w:p>
    <w:p w14:paraId="776AB180" w14:textId="77777777" w:rsidR="006B461D" w:rsidRDefault="006B461D" w:rsidP="00225DEB">
      <w:pPr>
        <w:widowControl w:val="0"/>
        <w:tabs>
          <w:tab w:val="left" w:pos="567"/>
        </w:tabs>
        <w:ind w:left="1429" w:firstLine="0"/>
        <w:contextualSpacing/>
        <w:jc w:val="left"/>
        <w:rPr>
          <w:rFonts w:eastAsia="Times New Roman" w:cs="Times New Roman"/>
          <w:szCs w:val="24"/>
          <w:lang w:val="x-none" w:eastAsia="x-none"/>
        </w:rPr>
      </w:pPr>
    </w:p>
    <w:p w14:paraId="03384502" w14:textId="43111EAE" w:rsidR="00340D04" w:rsidRPr="00E07359" w:rsidRDefault="00340D04" w:rsidP="00FD2769">
      <w:pPr>
        <w:pStyle w:val="af0"/>
        <w:keepNext/>
        <w:keepLines/>
        <w:numPr>
          <w:ilvl w:val="3"/>
          <w:numId w:val="100"/>
        </w:numPr>
        <w:suppressAutoHyphens/>
        <w:autoSpaceDN w:val="0"/>
        <w:spacing w:before="120" w:after="120" w:line="244" w:lineRule="auto"/>
        <w:jc w:val="left"/>
        <w:textAlignment w:val="baseline"/>
        <w:outlineLvl w:val="2"/>
        <w:rPr>
          <w:rFonts w:eastAsia="Times New Roman" w:cs="Times New Roman"/>
          <w:b/>
          <w:i/>
          <w:color w:val="000000"/>
          <w:szCs w:val="24"/>
          <w:lang w:eastAsia="ru-RU"/>
        </w:rPr>
      </w:pPr>
      <w:bookmarkStart w:id="107" w:name="_Toc13690387"/>
      <w:bookmarkStart w:id="108" w:name="_Toc13699839"/>
      <w:bookmarkStart w:id="109" w:name="_Toc13699920"/>
      <w:bookmarkStart w:id="110" w:name="_Toc14819116"/>
      <w:bookmarkStart w:id="111" w:name="_Toc516588267"/>
      <w:r w:rsidRPr="00E07359">
        <w:rPr>
          <w:rFonts w:eastAsia="Times New Roman" w:cs="Times New Roman"/>
          <w:b/>
          <w:i/>
          <w:color w:val="000000"/>
          <w:szCs w:val="24"/>
          <w:lang w:eastAsia="ru-RU"/>
        </w:rPr>
        <w:t>Сравнительный подход</w:t>
      </w:r>
      <w:bookmarkEnd w:id="107"/>
      <w:bookmarkEnd w:id="108"/>
      <w:bookmarkEnd w:id="109"/>
      <w:bookmarkEnd w:id="110"/>
    </w:p>
    <w:p w14:paraId="7F40097B" w14:textId="77777777" w:rsidR="0000065A" w:rsidRPr="0000065A" w:rsidRDefault="0000065A" w:rsidP="0000065A">
      <w:pPr>
        <w:widowControl w:val="0"/>
        <w:tabs>
          <w:tab w:val="left" w:pos="567"/>
        </w:tabs>
        <w:ind w:firstLine="709"/>
        <w:rPr>
          <w:rFonts w:eastAsia="Times New Roman" w:cs="Times New Roman"/>
          <w:szCs w:val="24"/>
          <w:lang w:eastAsia="ru-RU"/>
        </w:rPr>
      </w:pPr>
      <w:r w:rsidRPr="0000065A">
        <w:rPr>
          <w:rFonts w:eastAsia="Times New Roman" w:cs="Times New Roman"/>
          <w:szCs w:val="24"/>
          <w:lang w:eastAsia="ru-RU"/>
        </w:rPr>
        <w:t>Сравнительный подход используется при наличии достоверной и доступной информации о ценах предложений (ценах сделок) на объекты недвижимости сходные с объектом оценки. Проведенный сбор и анализ рыночной информации показал, что рынок продажи объектов недвижимости развит достаточно хорошо только по следующим объектам:</w:t>
      </w:r>
    </w:p>
    <w:p w14:paraId="56B8B755" w14:textId="77777777" w:rsidR="0000065A" w:rsidRPr="0000065A" w:rsidRDefault="0000065A" w:rsidP="0000065A">
      <w:pPr>
        <w:widowControl w:val="0"/>
        <w:tabs>
          <w:tab w:val="left" w:pos="567"/>
        </w:tabs>
        <w:ind w:firstLine="709"/>
        <w:rPr>
          <w:rFonts w:eastAsia="Times New Roman" w:cs="Times New Roman"/>
          <w:szCs w:val="24"/>
          <w:lang w:eastAsia="ru-RU"/>
        </w:rPr>
      </w:pPr>
      <w:r w:rsidRPr="0000065A">
        <w:rPr>
          <w:rFonts w:eastAsia="Times New Roman" w:cs="Times New Roman"/>
          <w:szCs w:val="24"/>
          <w:lang w:eastAsia="ru-RU"/>
        </w:rPr>
        <w:t>- объекты многоквартирной жилой недвижимости;</w:t>
      </w:r>
    </w:p>
    <w:p w14:paraId="075E1744" w14:textId="7E95D54E" w:rsidR="0000065A" w:rsidRPr="0000065A" w:rsidRDefault="0000065A" w:rsidP="0000065A">
      <w:pPr>
        <w:widowControl w:val="0"/>
        <w:tabs>
          <w:tab w:val="left" w:pos="567"/>
        </w:tabs>
        <w:ind w:firstLine="709"/>
        <w:rPr>
          <w:rFonts w:eastAsia="Times New Roman" w:cs="Times New Roman"/>
          <w:szCs w:val="24"/>
          <w:lang w:eastAsia="ru-RU"/>
        </w:rPr>
      </w:pPr>
      <w:r w:rsidRPr="0000065A">
        <w:rPr>
          <w:rFonts w:eastAsia="Times New Roman" w:cs="Times New Roman"/>
          <w:szCs w:val="24"/>
          <w:lang w:eastAsia="ru-RU"/>
        </w:rPr>
        <w:t xml:space="preserve">- объекты индивидуальной жилой застройки, расположенные </w:t>
      </w:r>
      <w:r w:rsidRPr="00656CF2">
        <w:rPr>
          <w:rFonts w:eastAsia="Times New Roman" w:cs="Times New Roman"/>
          <w:szCs w:val="24"/>
          <w:lang w:eastAsia="ru-RU"/>
        </w:rPr>
        <w:t xml:space="preserve">в г. </w:t>
      </w:r>
      <w:r w:rsidR="0019603A" w:rsidRPr="00656CF2">
        <w:rPr>
          <w:rFonts w:eastAsia="Times New Roman" w:cs="Times New Roman"/>
          <w:szCs w:val="24"/>
          <w:lang w:eastAsia="ru-RU"/>
        </w:rPr>
        <w:t>Якутске</w:t>
      </w:r>
      <w:r w:rsidRPr="00656CF2">
        <w:rPr>
          <w:rFonts w:eastAsia="Times New Roman" w:cs="Times New Roman"/>
          <w:szCs w:val="24"/>
          <w:lang w:eastAsia="ru-RU"/>
        </w:rPr>
        <w:t>;</w:t>
      </w:r>
    </w:p>
    <w:p w14:paraId="3FAF47F2" w14:textId="77777777" w:rsidR="0000065A" w:rsidRPr="0000065A" w:rsidRDefault="0000065A" w:rsidP="0000065A">
      <w:pPr>
        <w:widowControl w:val="0"/>
        <w:tabs>
          <w:tab w:val="left" w:pos="567"/>
        </w:tabs>
        <w:ind w:firstLine="709"/>
        <w:rPr>
          <w:rFonts w:eastAsia="Times New Roman" w:cs="Times New Roman"/>
          <w:szCs w:val="24"/>
          <w:lang w:eastAsia="ru-RU"/>
        </w:rPr>
      </w:pPr>
      <w:r w:rsidRPr="0000065A">
        <w:rPr>
          <w:rFonts w:eastAsia="Times New Roman" w:cs="Times New Roman"/>
          <w:szCs w:val="24"/>
          <w:lang w:eastAsia="ru-RU"/>
        </w:rPr>
        <w:t>- машино-места;</w:t>
      </w:r>
    </w:p>
    <w:p w14:paraId="4267EA40" w14:textId="77777777" w:rsidR="0000065A" w:rsidRPr="0000065A" w:rsidRDefault="0000065A" w:rsidP="0000065A">
      <w:pPr>
        <w:widowControl w:val="0"/>
        <w:tabs>
          <w:tab w:val="left" w:pos="567"/>
        </w:tabs>
        <w:ind w:firstLine="709"/>
        <w:rPr>
          <w:rFonts w:eastAsia="Times New Roman" w:cs="Times New Roman"/>
          <w:szCs w:val="24"/>
          <w:lang w:eastAsia="ru-RU"/>
        </w:rPr>
      </w:pPr>
      <w:r w:rsidRPr="0000065A">
        <w:rPr>
          <w:rFonts w:eastAsia="Times New Roman" w:cs="Times New Roman"/>
          <w:szCs w:val="24"/>
          <w:lang w:eastAsia="ru-RU"/>
        </w:rPr>
        <w:t>- магазины, торговые центры, автосалоны, торговые киоски, аптеки, рестораны, кафе, ломбарды;</w:t>
      </w:r>
    </w:p>
    <w:p w14:paraId="27928333" w14:textId="77777777" w:rsidR="0000065A" w:rsidRPr="0000065A" w:rsidRDefault="0000065A" w:rsidP="0000065A">
      <w:pPr>
        <w:widowControl w:val="0"/>
        <w:tabs>
          <w:tab w:val="left" w:pos="567"/>
        </w:tabs>
        <w:ind w:firstLine="709"/>
        <w:rPr>
          <w:rFonts w:eastAsia="Times New Roman" w:cs="Times New Roman"/>
          <w:szCs w:val="24"/>
          <w:lang w:eastAsia="ru-RU"/>
        </w:rPr>
      </w:pPr>
      <w:r w:rsidRPr="0000065A">
        <w:rPr>
          <w:rFonts w:eastAsia="Times New Roman" w:cs="Times New Roman"/>
          <w:szCs w:val="24"/>
          <w:lang w:eastAsia="ru-RU"/>
        </w:rPr>
        <w:t>- административно-бытовые здания, банки, бизнес-центры, объекты бытового обслуживания населения.</w:t>
      </w:r>
    </w:p>
    <w:bookmarkEnd w:id="111"/>
    <w:p w14:paraId="3AC00F39" w14:textId="77777777" w:rsidR="0000065A" w:rsidRPr="0000065A" w:rsidRDefault="0000065A" w:rsidP="0000065A">
      <w:pPr>
        <w:widowControl w:val="0"/>
        <w:tabs>
          <w:tab w:val="left" w:pos="567"/>
        </w:tabs>
        <w:ind w:firstLine="709"/>
        <w:rPr>
          <w:rFonts w:eastAsia="Times New Roman" w:cs="Times New Roman"/>
          <w:szCs w:val="24"/>
          <w:lang w:eastAsia="ru-RU"/>
        </w:rPr>
      </w:pPr>
      <w:r w:rsidRPr="0000065A">
        <w:rPr>
          <w:rFonts w:eastAsia="Times New Roman" w:cs="Times New Roman"/>
          <w:szCs w:val="24"/>
          <w:lang w:eastAsia="ru-RU"/>
        </w:rPr>
        <w:t>В ходе анализа рынка объектов индивидуальной жилой застройки, расположенных на территории Республики Саха (Якутия), включая столицу субъекта, было установлено, что для данного сегмента рыночная информация об объектах зачастую не включает сведений о размере земельного участка, в большинстве случаев отсутствует информация по прочим объектам, существенно отражающимся на стоимости единого объекта, таким как подключенные коммуникации, наличие элементов благоустройства, наличие хозяйственных построек, бани, ограждения и пр. Для таких объектов исключение стоимости земли и вспомогательных объектов возможно путем определения их доли в стоимости единого объекта недвижимости. На основании проведенных исследований работниками бюджетного учреждения, осуществляющими определение кадастровой стоимости, пришли к заключению о невозможности корректного определения доли земельного участка и вспомогательных объектов в стоимости единого объекта на базе имеющихся данных в количестве, достаточном для построения статистических моделей определения кадастровой стоимости. Либо, применение таких моделей приведет к возникновению большой погрешности итогового результата.</w:t>
      </w:r>
    </w:p>
    <w:p w14:paraId="7514D36C" w14:textId="77777777" w:rsidR="0000065A" w:rsidRPr="0000065A" w:rsidRDefault="0000065A" w:rsidP="0000065A">
      <w:pPr>
        <w:widowControl w:val="0"/>
        <w:tabs>
          <w:tab w:val="left" w:pos="567"/>
        </w:tabs>
        <w:ind w:firstLine="709"/>
        <w:rPr>
          <w:rFonts w:eastAsia="Times New Roman" w:cs="Times New Roman"/>
          <w:szCs w:val="24"/>
          <w:lang w:eastAsia="ru-RU"/>
        </w:rPr>
      </w:pPr>
      <w:r w:rsidRPr="0000065A">
        <w:rPr>
          <w:rFonts w:eastAsia="Times New Roman" w:cs="Times New Roman"/>
          <w:szCs w:val="24"/>
          <w:lang w:eastAsia="ru-RU"/>
        </w:rPr>
        <w:t>В соответствии с пунктом 7.1.1 Методических указаний сравнительному подходу отдается предпочтение перед другими подходами к оценке при развитости рынка объектов недвижимости и при достаточности и репрезентативности информации о сделках (предложениях) с объектами недвижимости.</w:t>
      </w:r>
    </w:p>
    <w:p w14:paraId="3AFFCEA5" w14:textId="77777777" w:rsidR="0000065A" w:rsidRPr="0000065A" w:rsidRDefault="0000065A" w:rsidP="0000065A">
      <w:pPr>
        <w:widowControl w:val="0"/>
        <w:tabs>
          <w:tab w:val="left" w:pos="567"/>
        </w:tabs>
        <w:ind w:firstLine="709"/>
        <w:rPr>
          <w:rFonts w:eastAsia="Times New Roman" w:cs="Times New Roman"/>
          <w:szCs w:val="24"/>
          <w:lang w:eastAsia="ru-RU"/>
        </w:rPr>
      </w:pPr>
      <w:r w:rsidRPr="0000065A">
        <w:rPr>
          <w:rFonts w:eastAsia="Times New Roman" w:cs="Times New Roman"/>
          <w:szCs w:val="24"/>
          <w:lang w:eastAsia="ru-RU"/>
        </w:rPr>
        <w:t xml:space="preserve">Таким образом, в рамках настоящей оценки не выявлены ограничения в применении сравнительного подхода (метод статистического (регрессионного) моделирования) с использованием достаточной и достоверной статистической информации о продаже объектов недвижимости, аналогичных объектам оценки, для следующих подгрупп:  </w:t>
      </w:r>
    </w:p>
    <w:p w14:paraId="02A765E3" w14:textId="42B6DDCD" w:rsidR="0000065A" w:rsidRDefault="00281D4A" w:rsidP="00D24868">
      <w:pPr>
        <w:widowControl w:val="0"/>
        <w:numPr>
          <w:ilvl w:val="0"/>
          <w:numId w:val="91"/>
        </w:numPr>
        <w:tabs>
          <w:tab w:val="left" w:pos="567"/>
        </w:tabs>
        <w:contextualSpacing/>
        <w:rPr>
          <w:rFonts w:eastAsia="Times New Roman" w:cs="Times New Roman"/>
          <w:szCs w:val="24"/>
          <w:lang w:val="x-none" w:eastAsia="x-none"/>
        </w:rPr>
      </w:pPr>
      <w:r>
        <w:rPr>
          <w:rFonts w:eastAsia="Times New Roman" w:cs="Times New Roman"/>
          <w:szCs w:val="24"/>
          <w:lang w:eastAsia="x-none"/>
        </w:rPr>
        <w:t>Помещения</w:t>
      </w:r>
      <w:r w:rsidR="0000065A" w:rsidRPr="0000065A">
        <w:rPr>
          <w:rFonts w:eastAsia="Times New Roman" w:cs="Times New Roman"/>
          <w:szCs w:val="24"/>
          <w:lang w:val="x-none" w:eastAsia="x-none"/>
        </w:rPr>
        <w:t xml:space="preserve">, расположенные в </w:t>
      </w:r>
      <w:r w:rsidR="0000065A" w:rsidRPr="0000065A">
        <w:rPr>
          <w:rFonts w:eastAsia="Times New Roman" w:cs="Times New Roman"/>
          <w:szCs w:val="24"/>
          <w:lang w:eastAsia="x-none"/>
        </w:rPr>
        <w:t>г.Якутске</w:t>
      </w:r>
      <w:r>
        <w:rPr>
          <w:rFonts w:eastAsia="Times New Roman" w:cs="Times New Roman"/>
          <w:szCs w:val="24"/>
          <w:lang w:eastAsia="x-none"/>
        </w:rPr>
        <w:t xml:space="preserve"> с полными характеристиками</w:t>
      </w:r>
      <w:r w:rsidR="00C61036">
        <w:rPr>
          <w:rFonts w:eastAsia="Times New Roman" w:cs="Times New Roman"/>
          <w:szCs w:val="24"/>
          <w:lang w:eastAsia="x-none"/>
        </w:rPr>
        <w:t xml:space="preserve"> площадью до 60 кв.м.</w:t>
      </w:r>
      <w:r w:rsidR="0000065A" w:rsidRPr="0000065A">
        <w:rPr>
          <w:rFonts w:eastAsia="Times New Roman" w:cs="Times New Roman"/>
          <w:szCs w:val="24"/>
          <w:lang w:val="x-none" w:eastAsia="x-none"/>
        </w:rPr>
        <w:t xml:space="preserve"> (подгруппа </w:t>
      </w:r>
      <w:r w:rsidR="0000065A" w:rsidRPr="0000065A">
        <w:rPr>
          <w:rFonts w:eastAsia="Times New Roman" w:cs="Times New Roman"/>
          <w:szCs w:val="24"/>
          <w:lang w:eastAsia="x-none"/>
        </w:rPr>
        <w:t>1.</w:t>
      </w:r>
      <w:r>
        <w:rPr>
          <w:rFonts w:eastAsia="Times New Roman" w:cs="Times New Roman"/>
          <w:szCs w:val="24"/>
          <w:lang w:eastAsia="x-none"/>
        </w:rPr>
        <w:t>8</w:t>
      </w:r>
      <w:r w:rsidR="0000065A" w:rsidRPr="0000065A">
        <w:rPr>
          <w:rFonts w:eastAsia="Times New Roman" w:cs="Times New Roman"/>
          <w:szCs w:val="24"/>
          <w:lang w:val="x-none" w:eastAsia="x-none"/>
        </w:rPr>
        <w:t>);</w:t>
      </w:r>
    </w:p>
    <w:p w14:paraId="190C0BEE" w14:textId="5D9E0EF8" w:rsidR="00C61036" w:rsidRPr="0000065A" w:rsidRDefault="00C61036" w:rsidP="00C61036">
      <w:pPr>
        <w:widowControl w:val="0"/>
        <w:numPr>
          <w:ilvl w:val="0"/>
          <w:numId w:val="91"/>
        </w:numPr>
        <w:tabs>
          <w:tab w:val="left" w:pos="567"/>
        </w:tabs>
        <w:contextualSpacing/>
        <w:rPr>
          <w:rFonts w:eastAsia="Times New Roman" w:cs="Times New Roman"/>
          <w:szCs w:val="24"/>
          <w:lang w:val="x-none" w:eastAsia="x-none"/>
        </w:rPr>
      </w:pPr>
      <w:r>
        <w:rPr>
          <w:rFonts w:eastAsia="Times New Roman" w:cs="Times New Roman"/>
          <w:szCs w:val="24"/>
          <w:lang w:eastAsia="x-none"/>
        </w:rPr>
        <w:t>Помещения</w:t>
      </w:r>
      <w:r w:rsidRPr="0000065A">
        <w:rPr>
          <w:rFonts w:eastAsia="Times New Roman" w:cs="Times New Roman"/>
          <w:szCs w:val="24"/>
          <w:lang w:val="x-none" w:eastAsia="x-none"/>
        </w:rPr>
        <w:t xml:space="preserve">, расположенные в </w:t>
      </w:r>
      <w:r w:rsidRPr="0000065A">
        <w:rPr>
          <w:rFonts w:eastAsia="Times New Roman" w:cs="Times New Roman"/>
          <w:szCs w:val="24"/>
          <w:lang w:eastAsia="x-none"/>
        </w:rPr>
        <w:t>г.Якутске</w:t>
      </w:r>
      <w:r>
        <w:rPr>
          <w:rFonts w:eastAsia="Times New Roman" w:cs="Times New Roman"/>
          <w:szCs w:val="24"/>
          <w:lang w:eastAsia="x-none"/>
        </w:rPr>
        <w:t xml:space="preserve"> с полными характеристиками площадью более 60 кв.м.</w:t>
      </w:r>
      <w:r w:rsidRPr="0000065A">
        <w:rPr>
          <w:rFonts w:eastAsia="Times New Roman" w:cs="Times New Roman"/>
          <w:szCs w:val="24"/>
          <w:lang w:val="x-none" w:eastAsia="x-none"/>
        </w:rPr>
        <w:t xml:space="preserve"> (подгруппа </w:t>
      </w:r>
      <w:r w:rsidRPr="0000065A">
        <w:rPr>
          <w:rFonts w:eastAsia="Times New Roman" w:cs="Times New Roman"/>
          <w:szCs w:val="24"/>
          <w:lang w:eastAsia="x-none"/>
        </w:rPr>
        <w:t>1.</w:t>
      </w:r>
      <w:r>
        <w:rPr>
          <w:rFonts w:eastAsia="Times New Roman" w:cs="Times New Roman"/>
          <w:szCs w:val="24"/>
          <w:lang w:eastAsia="x-none"/>
        </w:rPr>
        <w:t>9</w:t>
      </w:r>
      <w:r w:rsidRPr="0000065A">
        <w:rPr>
          <w:rFonts w:eastAsia="Times New Roman" w:cs="Times New Roman"/>
          <w:szCs w:val="24"/>
          <w:lang w:val="x-none" w:eastAsia="x-none"/>
        </w:rPr>
        <w:t>);</w:t>
      </w:r>
    </w:p>
    <w:p w14:paraId="6AFC760D" w14:textId="304C6DEA" w:rsidR="0000065A" w:rsidRPr="0000065A" w:rsidRDefault="00281D4A" w:rsidP="00D24868">
      <w:pPr>
        <w:widowControl w:val="0"/>
        <w:numPr>
          <w:ilvl w:val="0"/>
          <w:numId w:val="91"/>
        </w:numPr>
        <w:tabs>
          <w:tab w:val="left" w:pos="567"/>
        </w:tabs>
        <w:contextualSpacing/>
        <w:rPr>
          <w:rFonts w:eastAsia="Times New Roman" w:cs="Times New Roman"/>
          <w:szCs w:val="24"/>
          <w:lang w:val="x-none" w:eastAsia="x-none"/>
        </w:rPr>
      </w:pPr>
      <w:r>
        <w:rPr>
          <w:rFonts w:eastAsia="Times New Roman" w:cs="Times New Roman"/>
          <w:szCs w:val="24"/>
          <w:lang w:eastAsia="x-none"/>
        </w:rPr>
        <w:t>Помещения</w:t>
      </w:r>
      <w:r w:rsidR="0000065A" w:rsidRPr="0000065A">
        <w:rPr>
          <w:rFonts w:eastAsia="Times New Roman" w:cs="Times New Roman"/>
          <w:szCs w:val="24"/>
          <w:lang w:val="x-none" w:eastAsia="x-none"/>
        </w:rPr>
        <w:t xml:space="preserve">, расположенные в </w:t>
      </w:r>
      <w:r w:rsidR="0000065A" w:rsidRPr="0000065A">
        <w:rPr>
          <w:rFonts w:eastAsia="Times New Roman" w:cs="Times New Roman"/>
          <w:szCs w:val="24"/>
          <w:lang w:eastAsia="x-none"/>
        </w:rPr>
        <w:t xml:space="preserve">прочих </w:t>
      </w:r>
      <w:r w:rsidR="0000065A" w:rsidRPr="0000065A">
        <w:rPr>
          <w:rFonts w:eastAsia="Times New Roman" w:cs="Times New Roman"/>
          <w:szCs w:val="24"/>
          <w:lang w:val="x-none" w:eastAsia="x-none"/>
        </w:rPr>
        <w:t xml:space="preserve">городских населенных пунктах </w:t>
      </w:r>
      <w:r>
        <w:rPr>
          <w:rFonts w:eastAsia="Times New Roman" w:cs="Times New Roman"/>
          <w:szCs w:val="24"/>
          <w:lang w:eastAsia="x-none"/>
        </w:rPr>
        <w:t xml:space="preserve">с полными характеристиками </w:t>
      </w:r>
      <w:r w:rsidR="0000065A" w:rsidRPr="0000065A">
        <w:rPr>
          <w:rFonts w:eastAsia="Times New Roman" w:cs="Times New Roman"/>
          <w:szCs w:val="24"/>
          <w:lang w:val="x-none" w:eastAsia="x-none"/>
        </w:rPr>
        <w:t>(подгруппа 1</w:t>
      </w:r>
      <w:r w:rsidR="0000065A" w:rsidRPr="0000065A">
        <w:rPr>
          <w:rFonts w:eastAsia="Times New Roman" w:cs="Times New Roman"/>
          <w:szCs w:val="24"/>
          <w:lang w:eastAsia="x-none"/>
        </w:rPr>
        <w:t>.</w:t>
      </w:r>
      <w:r>
        <w:rPr>
          <w:rFonts w:eastAsia="Times New Roman" w:cs="Times New Roman"/>
          <w:szCs w:val="24"/>
          <w:lang w:eastAsia="x-none"/>
        </w:rPr>
        <w:t>5</w:t>
      </w:r>
      <w:r w:rsidR="0000065A" w:rsidRPr="0000065A">
        <w:rPr>
          <w:rFonts w:eastAsia="Times New Roman" w:cs="Times New Roman"/>
          <w:szCs w:val="24"/>
          <w:lang w:val="x-none" w:eastAsia="x-none"/>
        </w:rPr>
        <w:t>);</w:t>
      </w:r>
    </w:p>
    <w:p w14:paraId="7249C097" w14:textId="2B60AB37" w:rsidR="0000065A" w:rsidRPr="0000065A" w:rsidRDefault="00281D4A" w:rsidP="00D24868">
      <w:pPr>
        <w:widowControl w:val="0"/>
        <w:numPr>
          <w:ilvl w:val="0"/>
          <w:numId w:val="91"/>
        </w:numPr>
        <w:tabs>
          <w:tab w:val="left" w:pos="567"/>
        </w:tabs>
        <w:contextualSpacing/>
        <w:rPr>
          <w:rFonts w:eastAsia="Times New Roman" w:cs="Times New Roman"/>
          <w:szCs w:val="24"/>
          <w:lang w:val="x-none" w:eastAsia="x-none"/>
        </w:rPr>
      </w:pPr>
      <w:r>
        <w:rPr>
          <w:rFonts w:eastAsia="Times New Roman" w:cs="Times New Roman"/>
          <w:szCs w:val="24"/>
          <w:lang w:eastAsia="x-none"/>
        </w:rPr>
        <w:t>Помещения</w:t>
      </w:r>
      <w:r w:rsidR="0000065A" w:rsidRPr="0000065A">
        <w:rPr>
          <w:rFonts w:eastAsia="Times New Roman" w:cs="Times New Roman"/>
          <w:szCs w:val="24"/>
          <w:lang w:val="x-none" w:eastAsia="x-none"/>
        </w:rPr>
        <w:t xml:space="preserve">, расположенные в </w:t>
      </w:r>
      <w:r w:rsidR="0000065A" w:rsidRPr="0000065A">
        <w:rPr>
          <w:rFonts w:eastAsia="Times New Roman" w:cs="Times New Roman"/>
          <w:szCs w:val="24"/>
          <w:lang w:eastAsia="x-none"/>
        </w:rPr>
        <w:t>г.Якутске</w:t>
      </w:r>
      <w:r w:rsidR="0000065A" w:rsidRPr="0000065A">
        <w:rPr>
          <w:rFonts w:eastAsia="Times New Roman" w:cs="Times New Roman"/>
          <w:szCs w:val="24"/>
          <w:lang w:val="x-none" w:eastAsia="x-none"/>
        </w:rPr>
        <w:t xml:space="preserve"> </w:t>
      </w:r>
      <w:r>
        <w:rPr>
          <w:rFonts w:eastAsia="Times New Roman" w:cs="Times New Roman"/>
          <w:szCs w:val="24"/>
          <w:lang w:eastAsia="x-none"/>
        </w:rPr>
        <w:t xml:space="preserve">с полными характеристиками </w:t>
      </w:r>
      <w:r w:rsidR="0000065A" w:rsidRPr="0000065A">
        <w:rPr>
          <w:rFonts w:eastAsia="Times New Roman" w:cs="Times New Roman"/>
          <w:szCs w:val="24"/>
          <w:lang w:val="x-none" w:eastAsia="x-none"/>
        </w:rPr>
        <w:t xml:space="preserve">(подгруппа </w:t>
      </w:r>
      <w:r>
        <w:rPr>
          <w:rFonts w:eastAsia="Times New Roman" w:cs="Times New Roman"/>
          <w:szCs w:val="24"/>
          <w:lang w:eastAsia="x-none"/>
        </w:rPr>
        <w:t>2.10</w:t>
      </w:r>
      <w:r w:rsidR="0000065A" w:rsidRPr="0000065A">
        <w:rPr>
          <w:rFonts w:eastAsia="Times New Roman" w:cs="Times New Roman"/>
          <w:szCs w:val="24"/>
          <w:lang w:val="x-none" w:eastAsia="x-none"/>
        </w:rPr>
        <w:t>);</w:t>
      </w:r>
    </w:p>
    <w:p w14:paraId="126E58F8" w14:textId="1B731907" w:rsidR="0000065A" w:rsidRPr="0000065A" w:rsidRDefault="00281D4A" w:rsidP="00D24868">
      <w:pPr>
        <w:widowControl w:val="0"/>
        <w:numPr>
          <w:ilvl w:val="0"/>
          <w:numId w:val="91"/>
        </w:numPr>
        <w:tabs>
          <w:tab w:val="left" w:pos="567"/>
        </w:tabs>
        <w:contextualSpacing/>
        <w:rPr>
          <w:rFonts w:eastAsia="Times New Roman" w:cs="Times New Roman"/>
          <w:szCs w:val="24"/>
          <w:lang w:val="x-none" w:eastAsia="x-none"/>
        </w:rPr>
      </w:pPr>
      <w:r>
        <w:rPr>
          <w:rFonts w:eastAsia="Times New Roman" w:cs="Times New Roman"/>
          <w:szCs w:val="24"/>
          <w:lang w:eastAsia="x-none"/>
        </w:rPr>
        <w:t>Здания, помещения</w:t>
      </w:r>
      <w:r w:rsidR="0000065A" w:rsidRPr="0000065A">
        <w:rPr>
          <w:rFonts w:eastAsia="Times New Roman" w:cs="Times New Roman"/>
          <w:szCs w:val="24"/>
          <w:lang w:val="x-none" w:eastAsia="x-none"/>
        </w:rPr>
        <w:t xml:space="preserve">, расположенные в </w:t>
      </w:r>
      <w:r w:rsidR="0000065A" w:rsidRPr="0000065A">
        <w:rPr>
          <w:rFonts w:eastAsia="Times New Roman" w:cs="Times New Roman"/>
          <w:szCs w:val="24"/>
          <w:lang w:eastAsia="x-none"/>
        </w:rPr>
        <w:t>г.Якутске</w:t>
      </w:r>
      <w:r>
        <w:rPr>
          <w:rFonts w:eastAsia="Times New Roman" w:cs="Times New Roman"/>
          <w:szCs w:val="24"/>
          <w:lang w:eastAsia="x-none"/>
        </w:rPr>
        <w:t xml:space="preserve"> с полными характеристиками</w:t>
      </w:r>
      <w:r w:rsidR="0000065A" w:rsidRPr="0000065A">
        <w:rPr>
          <w:rFonts w:eastAsia="Times New Roman" w:cs="Times New Roman"/>
          <w:szCs w:val="24"/>
          <w:lang w:val="x-none" w:eastAsia="x-none"/>
        </w:rPr>
        <w:t xml:space="preserve"> (подгруппа 3.</w:t>
      </w:r>
      <w:r>
        <w:rPr>
          <w:rFonts w:eastAsia="Times New Roman" w:cs="Times New Roman"/>
          <w:szCs w:val="24"/>
          <w:lang w:eastAsia="x-none"/>
        </w:rPr>
        <w:t>6</w:t>
      </w:r>
      <w:r w:rsidR="0000065A" w:rsidRPr="0000065A">
        <w:rPr>
          <w:rFonts w:eastAsia="Times New Roman" w:cs="Times New Roman"/>
          <w:szCs w:val="24"/>
          <w:lang w:val="x-none" w:eastAsia="x-none"/>
        </w:rPr>
        <w:t>);</w:t>
      </w:r>
    </w:p>
    <w:p w14:paraId="2E57DC2A" w14:textId="38F2CB31" w:rsidR="0000065A" w:rsidRPr="0000065A" w:rsidRDefault="0000065A" w:rsidP="0000065A">
      <w:pPr>
        <w:widowControl w:val="0"/>
        <w:tabs>
          <w:tab w:val="left" w:pos="567"/>
        </w:tabs>
        <w:ind w:firstLine="709"/>
        <w:rPr>
          <w:rFonts w:eastAsia="Times New Roman" w:cs="Times New Roman"/>
          <w:szCs w:val="24"/>
          <w:lang w:eastAsia="ru-RU"/>
        </w:rPr>
      </w:pPr>
      <w:r w:rsidRPr="0000065A">
        <w:rPr>
          <w:rFonts w:eastAsia="Times New Roman" w:cs="Times New Roman"/>
          <w:szCs w:val="24"/>
          <w:lang w:eastAsia="ru-RU"/>
        </w:rPr>
        <w:t>Определение кадастровой стоимости проводилось через определение минимального/среднего удельного показателя кадастровой стоимости по кварталу / району / городу (метод УПКС) для объектов недвижимости, отнесенных работниками бюджетного учреждения, осуществляющими опр</w:t>
      </w:r>
      <w:r w:rsidR="00942A53">
        <w:rPr>
          <w:rFonts w:eastAsia="Times New Roman" w:cs="Times New Roman"/>
          <w:szCs w:val="24"/>
          <w:lang w:eastAsia="ru-RU"/>
        </w:rPr>
        <w:t>еделение кадастровой стоимости,</w:t>
      </w:r>
      <w:r w:rsidRPr="0000065A">
        <w:rPr>
          <w:rFonts w:eastAsia="Times New Roman" w:cs="Times New Roman"/>
          <w:szCs w:val="24"/>
          <w:lang w:eastAsia="ru-RU"/>
        </w:rPr>
        <w:t xml:space="preserve"> к следующим </w:t>
      </w:r>
      <w:r w:rsidR="00281D4A">
        <w:rPr>
          <w:rFonts w:eastAsia="Times New Roman" w:cs="Times New Roman"/>
          <w:szCs w:val="24"/>
          <w:lang w:eastAsia="ru-RU"/>
        </w:rPr>
        <w:t>типам объектов</w:t>
      </w:r>
      <w:r w:rsidRPr="0000065A">
        <w:rPr>
          <w:rFonts w:eastAsia="Times New Roman" w:cs="Times New Roman"/>
          <w:szCs w:val="24"/>
          <w:lang w:eastAsia="ru-RU"/>
        </w:rPr>
        <w:t>:</w:t>
      </w:r>
    </w:p>
    <w:p w14:paraId="02FE2E7A" w14:textId="033CC02A" w:rsidR="00281D4A" w:rsidRPr="00281D4A" w:rsidRDefault="00281D4A" w:rsidP="00D24868">
      <w:pPr>
        <w:widowControl w:val="0"/>
        <w:numPr>
          <w:ilvl w:val="0"/>
          <w:numId w:val="91"/>
        </w:numPr>
        <w:tabs>
          <w:tab w:val="left" w:pos="567"/>
        </w:tabs>
        <w:contextualSpacing/>
        <w:rPr>
          <w:rFonts w:eastAsia="Times New Roman" w:cs="Times New Roman"/>
          <w:szCs w:val="24"/>
          <w:lang w:val="x-none" w:eastAsia="x-none"/>
        </w:rPr>
      </w:pPr>
      <w:r>
        <w:rPr>
          <w:rFonts w:eastAsia="Times New Roman" w:cs="Times New Roman"/>
          <w:szCs w:val="24"/>
          <w:lang w:eastAsia="x-none"/>
        </w:rPr>
        <w:t xml:space="preserve">Для </w:t>
      </w:r>
      <w:r w:rsidRPr="0000065A">
        <w:rPr>
          <w:rFonts w:eastAsia="Times New Roman" w:cs="Times New Roman"/>
          <w:szCs w:val="24"/>
          <w:lang w:val="x-none" w:eastAsia="x-none"/>
        </w:rPr>
        <w:t>объект</w:t>
      </w:r>
      <w:r>
        <w:rPr>
          <w:rFonts w:eastAsia="Times New Roman" w:cs="Times New Roman"/>
          <w:szCs w:val="24"/>
          <w:lang w:eastAsia="x-none"/>
        </w:rPr>
        <w:t xml:space="preserve">ов, </w:t>
      </w:r>
      <w:r w:rsidRPr="0000065A">
        <w:rPr>
          <w:rFonts w:eastAsia="Times New Roman" w:cs="Times New Roman"/>
          <w:szCs w:val="24"/>
          <w:lang w:val="x-none" w:eastAsia="x-none"/>
        </w:rPr>
        <w:t>расположенны</w:t>
      </w:r>
      <w:r>
        <w:rPr>
          <w:rFonts w:eastAsia="Times New Roman" w:cs="Times New Roman"/>
          <w:szCs w:val="24"/>
          <w:lang w:eastAsia="x-none"/>
        </w:rPr>
        <w:t>х</w:t>
      </w:r>
      <w:r w:rsidRPr="0000065A">
        <w:rPr>
          <w:rFonts w:eastAsia="Times New Roman" w:cs="Times New Roman"/>
          <w:szCs w:val="24"/>
          <w:lang w:val="x-none" w:eastAsia="x-none"/>
        </w:rPr>
        <w:t xml:space="preserve"> в </w:t>
      </w:r>
      <w:r>
        <w:rPr>
          <w:rFonts w:eastAsia="Times New Roman" w:cs="Times New Roman"/>
          <w:szCs w:val="24"/>
          <w:lang w:eastAsia="x-none"/>
        </w:rPr>
        <w:t>г.Якутске</w:t>
      </w:r>
      <w:r w:rsidRPr="0000065A">
        <w:rPr>
          <w:rFonts w:eastAsia="Times New Roman" w:cs="Times New Roman"/>
          <w:szCs w:val="24"/>
          <w:lang w:val="x-none" w:eastAsia="x-none"/>
        </w:rPr>
        <w:t xml:space="preserve"> </w:t>
      </w:r>
      <w:r>
        <w:rPr>
          <w:rFonts w:eastAsia="Times New Roman" w:cs="Times New Roman"/>
          <w:szCs w:val="24"/>
          <w:lang w:eastAsia="x-none"/>
        </w:rPr>
        <w:t xml:space="preserve">с </w:t>
      </w:r>
      <w:r w:rsidRPr="0000065A">
        <w:rPr>
          <w:rFonts w:eastAsia="Times New Roman" w:cs="Times New Roman"/>
          <w:szCs w:val="24"/>
          <w:lang w:val="x-none" w:eastAsia="x-none"/>
        </w:rPr>
        <w:t>с неполными характеристиками</w:t>
      </w:r>
      <w:r>
        <w:rPr>
          <w:rFonts w:eastAsia="Times New Roman" w:cs="Times New Roman"/>
          <w:szCs w:val="24"/>
          <w:lang w:eastAsia="x-none"/>
        </w:rPr>
        <w:t>;</w:t>
      </w:r>
    </w:p>
    <w:p w14:paraId="481939F9" w14:textId="2743DFAF" w:rsidR="00281D4A" w:rsidRPr="00281D4A" w:rsidRDefault="00281D4A" w:rsidP="00D24868">
      <w:pPr>
        <w:widowControl w:val="0"/>
        <w:numPr>
          <w:ilvl w:val="0"/>
          <w:numId w:val="91"/>
        </w:numPr>
        <w:tabs>
          <w:tab w:val="left" w:pos="567"/>
        </w:tabs>
        <w:contextualSpacing/>
        <w:rPr>
          <w:rFonts w:eastAsia="Times New Roman" w:cs="Times New Roman"/>
          <w:szCs w:val="24"/>
          <w:lang w:val="x-none" w:eastAsia="x-none"/>
        </w:rPr>
      </w:pPr>
      <w:r>
        <w:rPr>
          <w:rFonts w:eastAsia="Times New Roman" w:cs="Times New Roman"/>
          <w:szCs w:val="24"/>
          <w:lang w:eastAsia="x-none"/>
        </w:rPr>
        <w:t xml:space="preserve">Для </w:t>
      </w:r>
      <w:r w:rsidR="0000065A" w:rsidRPr="0000065A">
        <w:rPr>
          <w:rFonts w:eastAsia="Times New Roman" w:cs="Times New Roman"/>
          <w:szCs w:val="24"/>
          <w:lang w:val="x-none" w:eastAsia="x-none"/>
        </w:rPr>
        <w:t>объект</w:t>
      </w:r>
      <w:r>
        <w:rPr>
          <w:rFonts w:eastAsia="Times New Roman" w:cs="Times New Roman"/>
          <w:szCs w:val="24"/>
          <w:lang w:eastAsia="x-none"/>
        </w:rPr>
        <w:t xml:space="preserve">ов, </w:t>
      </w:r>
      <w:r w:rsidRPr="0000065A">
        <w:rPr>
          <w:rFonts w:eastAsia="Times New Roman" w:cs="Times New Roman"/>
          <w:szCs w:val="24"/>
          <w:lang w:val="x-none" w:eastAsia="x-none"/>
        </w:rPr>
        <w:t>расположенны</w:t>
      </w:r>
      <w:r>
        <w:rPr>
          <w:rFonts w:eastAsia="Times New Roman" w:cs="Times New Roman"/>
          <w:szCs w:val="24"/>
          <w:lang w:eastAsia="x-none"/>
        </w:rPr>
        <w:t>х</w:t>
      </w:r>
      <w:r w:rsidRPr="0000065A">
        <w:rPr>
          <w:rFonts w:eastAsia="Times New Roman" w:cs="Times New Roman"/>
          <w:szCs w:val="24"/>
          <w:lang w:val="x-none" w:eastAsia="x-none"/>
        </w:rPr>
        <w:t xml:space="preserve"> в </w:t>
      </w:r>
      <w:r w:rsidRPr="0000065A">
        <w:rPr>
          <w:rFonts w:eastAsia="Times New Roman" w:cs="Times New Roman"/>
          <w:szCs w:val="24"/>
          <w:lang w:eastAsia="x-none"/>
        </w:rPr>
        <w:t xml:space="preserve">прочих </w:t>
      </w:r>
      <w:r w:rsidRPr="0000065A">
        <w:rPr>
          <w:rFonts w:eastAsia="Times New Roman" w:cs="Times New Roman"/>
          <w:szCs w:val="24"/>
          <w:lang w:val="x-none" w:eastAsia="x-none"/>
        </w:rPr>
        <w:t>городских населенных пунктах с неполными характеристиками</w:t>
      </w:r>
      <w:r>
        <w:rPr>
          <w:rFonts w:eastAsia="Times New Roman" w:cs="Times New Roman"/>
          <w:szCs w:val="24"/>
          <w:lang w:eastAsia="x-none"/>
        </w:rPr>
        <w:t>;</w:t>
      </w:r>
    </w:p>
    <w:p w14:paraId="47B015EC" w14:textId="77777777" w:rsidR="00281D4A" w:rsidRPr="00281D4A" w:rsidRDefault="00281D4A" w:rsidP="00D24868">
      <w:pPr>
        <w:widowControl w:val="0"/>
        <w:numPr>
          <w:ilvl w:val="0"/>
          <w:numId w:val="91"/>
        </w:numPr>
        <w:tabs>
          <w:tab w:val="left" w:pos="567"/>
        </w:tabs>
        <w:contextualSpacing/>
        <w:rPr>
          <w:rFonts w:eastAsia="Times New Roman" w:cs="Times New Roman"/>
          <w:szCs w:val="24"/>
          <w:lang w:val="x-none" w:eastAsia="x-none"/>
        </w:rPr>
      </w:pPr>
      <w:r>
        <w:rPr>
          <w:rFonts w:eastAsia="Times New Roman" w:cs="Times New Roman"/>
          <w:szCs w:val="24"/>
          <w:lang w:eastAsia="x-none"/>
        </w:rPr>
        <w:t xml:space="preserve">Для оъектов, </w:t>
      </w:r>
      <w:r w:rsidRPr="0000065A">
        <w:rPr>
          <w:rFonts w:eastAsia="Times New Roman" w:cs="Times New Roman"/>
          <w:szCs w:val="24"/>
          <w:lang w:val="x-none" w:eastAsia="x-none"/>
        </w:rPr>
        <w:t>расположенны</w:t>
      </w:r>
      <w:r>
        <w:rPr>
          <w:rFonts w:eastAsia="Times New Roman" w:cs="Times New Roman"/>
          <w:szCs w:val="24"/>
          <w:lang w:eastAsia="x-none"/>
        </w:rPr>
        <w:t>х</w:t>
      </w:r>
      <w:r w:rsidRPr="0000065A">
        <w:rPr>
          <w:rFonts w:eastAsia="Times New Roman" w:cs="Times New Roman"/>
          <w:szCs w:val="24"/>
          <w:lang w:val="x-none" w:eastAsia="x-none"/>
        </w:rPr>
        <w:t xml:space="preserve"> вне черты населенных пунктов</w:t>
      </w:r>
      <w:r>
        <w:rPr>
          <w:rFonts w:eastAsia="Times New Roman" w:cs="Times New Roman"/>
          <w:szCs w:val="24"/>
          <w:lang w:eastAsia="x-none"/>
        </w:rPr>
        <w:t>;</w:t>
      </w:r>
    </w:p>
    <w:p w14:paraId="20EE6054" w14:textId="37B2A5AD" w:rsidR="00281D4A" w:rsidRPr="00281D4A" w:rsidRDefault="00281D4A" w:rsidP="00D24868">
      <w:pPr>
        <w:widowControl w:val="0"/>
        <w:numPr>
          <w:ilvl w:val="0"/>
          <w:numId w:val="91"/>
        </w:numPr>
        <w:tabs>
          <w:tab w:val="left" w:pos="567"/>
        </w:tabs>
        <w:contextualSpacing/>
        <w:rPr>
          <w:rFonts w:eastAsia="Times New Roman" w:cs="Times New Roman"/>
          <w:szCs w:val="24"/>
          <w:lang w:val="x-none" w:eastAsia="x-none"/>
        </w:rPr>
      </w:pPr>
      <w:r>
        <w:rPr>
          <w:rFonts w:eastAsia="Times New Roman" w:cs="Times New Roman"/>
          <w:szCs w:val="24"/>
          <w:lang w:eastAsia="x-none"/>
        </w:rPr>
        <w:t xml:space="preserve">Для объектов, расположенных в </w:t>
      </w:r>
      <w:r w:rsidRPr="0000065A">
        <w:rPr>
          <w:rFonts w:eastAsia="Times New Roman" w:cs="Times New Roman"/>
          <w:szCs w:val="24"/>
          <w:lang w:eastAsia="x-none"/>
        </w:rPr>
        <w:t>сельских населенных пунктах</w:t>
      </w:r>
      <w:r>
        <w:rPr>
          <w:rFonts w:eastAsia="Times New Roman" w:cs="Times New Roman"/>
          <w:szCs w:val="24"/>
          <w:lang w:eastAsia="x-none"/>
        </w:rPr>
        <w:t>;</w:t>
      </w:r>
    </w:p>
    <w:p w14:paraId="411108FC" w14:textId="77777777" w:rsidR="0000065A" w:rsidRPr="0000065A" w:rsidRDefault="0000065A" w:rsidP="0000065A">
      <w:pPr>
        <w:widowControl w:val="0"/>
        <w:tabs>
          <w:tab w:val="left" w:pos="567"/>
        </w:tabs>
        <w:ind w:firstLine="709"/>
        <w:rPr>
          <w:rFonts w:eastAsia="Times New Roman" w:cs="Times New Roman"/>
          <w:szCs w:val="24"/>
          <w:lang w:eastAsia="ru-RU"/>
        </w:rPr>
      </w:pPr>
      <w:r w:rsidRPr="0000065A">
        <w:rPr>
          <w:rFonts w:eastAsia="Times New Roman" w:cs="Times New Roman"/>
          <w:szCs w:val="24"/>
          <w:lang w:eastAsia="ru-RU"/>
        </w:rPr>
        <w:t>В связи с неразвитостью рынка недвижимости по остальным видам объектов недвижимости нежилого назначения, корректное использование сравнительного подхода при определении рыночной стоимости данных объектов оценки не представляется возможным.</w:t>
      </w:r>
    </w:p>
    <w:p w14:paraId="4592865C" w14:textId="2067DD3F" w:rsidR="0000065A" w:rsidRDefault="0000065A" w:rsidP="0000065A">
      <w:pPr>
        <w:widowControl w:val="0"/>
        <w:tabs>
          <w:tab w:val="left" w:pos="567"/>
        </w:tabs>
        <w:ind w:firstLine="709"/>
        <w:rPr>
          <w:rFonts w:eastAsia="Times New Roman" w:cs="Times New Roman"/>
          <w:szCs w:val="24"/>
          <w:lang w:eastAsia="ru-RU"/>
        </w:rPr>
      </w:pPr>
    </w:p>
    <w:p w14:paraId="588DDAC7" w14:textId="772E1991" w:rsidR="00340D04" w:rsidRPr="00340D04" w:rsidRDefault="00340D04" w:rsidP="00FD2769">
      <w:pPr>
        <w:pStyle w:val="af0"/>
        <w:keepNext/>
        <w:keepLines/>
        <w:numPr>
          <w:ilvl w:val="3"/>
          <w:numId w:val="100"/>
        </w:numPr>
        <w:suppressAutoHyphens/>
        <w:autoSpaceDN w:val="0"/>
        <w:spacing w:before="120" w:after="120" w:line="244" w:lineRule="auto"/>
        <w:jc w:val="left"/>
        <w:textAlignment w:val="baseline"/>
        <w:outlineLvl w:val="2"/>
        <w:rPr>
          <w:rFonts w:eastAsia="Times New Roman" w:cs="Times New Roman"/>
          <w:b/>
          <w:i/>
          <w:color w:val="000000"/>
          <w:szCs w:val="24"/>
          <w:lang w:eastAsia="ru-RU"/>
        </w:rPr>
      </w:pPr>
      <w:bookmarkStart w:id="112" w:name="_Toc13690388"/>
      <w:bookmarkStart w:id="113" w:name="_Toc13699840"/>
      <w:bookmarkStart w:id="114" w:name="_Toc13699921"/>
      <w:bookmarkStart w:id="115" w:name="_Toc14819117"/>
      <w:r>
        <w:rPr>
          <w:rFonts w:eastAsia="Times New Roman" w:cs="Times New Roman"/>
          <w:b/>
          <w:i/>
          <w:color w:val="000000"/>
          <w:szCs w:val="24"/>
          <w:lang w:eastAsia="ru-RU"/>
        </w:rPr>
        <w:t>Затратный</w:t>
      </w:r>
      <w:r w:rsidRPr="00340D04">
        <w:rPr>
          <w:rFonts w:eastAsia="Times New Roman" w:cs="Times New Roman"/>
          <w:b/>
          <w:i/>
          <w:color w:val="000000"/>
          <w:szCs w:val="24"/>
          <w:lang w:eastAsia="ru-RU"/>
        </w:rPr>
        <w:t xml:space="preserve"> подход</w:t>
      </w:r>
      <w:bookmarkEnd w:id="112"/>
      <w:bookmarkEnd w:id="113"/>
      <w:bookmarkEnd w:id="114"/>
      <w:bookmarkEnd w:id="115"/>
    </w:p>
    <w:p w14:paraId="69B8412B" w14:textId="51A5F368" w:rsidR="0000065A" w:rsidRPr="0000065A" w:rsidRDefault="0000065A" w:rsidP="0000065A">
      <w:pPr>
        <w:widowControl w:val="0"/>
        <w:tabs>
          <w:tab w:val="left" w:pos="567"/>
        </w:tabs>
        <w:ind w:firstLine="709"/>
        <w:rPr>
          <w:rFonts w:eastAsia="Times New Roman" w:cs="Times New Roman"/>
          <w:szCs w:val="24"/>
          <w:lang w:eastAsia="ru-RU"/>
        </w:rPr>
      </w:pPr>
      <w:r w:rsidRPr="0000065A">
        <w:rPr>
          <w:rFonts w:eastAsia="Times New Roman" w:cs="Times New Roman"/>
          <w:szCs w:val="24"/>
          <w:lang w:eastAsia="ru-RU"/>
        </w:rPr>
        <w:t>Затратный подход при определении рыночной стоимости недвижимости приводит к объективным результатам при условии точности определения размера затрат на замещение либо воспроизводство и точности учета износа и устаревания.</w:t>
      </w:r>
    </w:p>
    <w:p w14:paraId="5CA8F951" w14:textId="77777777" w:rsidR="0000065A" w:rsidRPr="0000065A" w:rsidRDefault="0000065A" w:rsidP="0000065A">
      <w:pPr>
        <w:widowControl w:val="0"/>
        <w:tabs>
          <w:tab w:val="left" w:pos="567"/>
        </w:tabs>
        <w:ind w:firstLine="709"/>
        <w:rPr>
          <w:rFonts w:eastAsia="Times New Roman" w:cs="Times New Roman"/>
          <w:szCs w:val="24"/>
          <w:lang w:eastAsia="ru-RU"/>
        </w:rPr>
      </w:pPr>
      <w:r w:rsidRPr="0000065A">
        <w:rPr>
          <w:rFonts w:eastAsia="Times New Roman" w:cs="Times New Roman"/>
          <w:szCs w:val="24"/>
          <w:lang w:eastAsia="ru-RU"/>
        </w:rPr>
        <w:t>Поскольку рыночная стоимость недвижимости, определяемая в рамках затратного подхода, базируется на предположении, сколько может стоить объект, если его построили и продали на дату оценки; в таком расчете имеется элемент условности, в случае, если подобные объекты, на сегодняшний день, не строятся.</w:t>
      </w:r>
    </w:p>
    <w:p w14:paraId="59718B71" w14:textId="77777777" w:rsidR="0000065A" w:rsidRPr="0000065A" w:rsidRDefault="0000065A" w:rsidP="0000065A">
      <w:pPr>
        <w:widowControl w:val="0"/>
        <w:tabs>
          <w:tab w:val="left" w:pos="567"/>
        </w:tabs>
        <w:ind w:firstLine="709"/>
        <w:rPr>
          <w:rFonts w:eastAsia="Times New Roman" w:cs="Times New Roman"/>
          <w:szCs w:val="24"/>
          <w:lang w:eastAsia="ru-RU"/>
        </w:rPr>
      </w:pPr>
      <w:r w:rsidRPr="0000065A">
        <w:rPr>
          <w:rFonts w:eastAsia="Times New Roman" w:cs="Times New Roman"/>
          <w:szCs w:val="24"/>
          <w:lang w:eastAsia="ru-RU"/>
        </w:rPr>
        <w:t>Необходимо отметить, что существенное влияние на корректность результатов затратного подхода влияет точность определения величины физического, функционального и экономического устаревания. Наиболее точно уровень устаревания возможно определить путем сопоставления затрат на замещение либо воспроизводство с ценами продаж, то есть, по сути, путем приведения результатов затратного подхода к результатам сравнительного подхода. Иные способы исчисления устаревания менее корректны и могут привести к искажению результата и недостоверному отражению итоговой величины рыночной стоимости.</w:t>
      </w:r>
    </w:p>
    <w:p w14:paraId="73FF40EB" w14:textId="0C193D5A" w:rsidR="0000065A" w:rsidRDefault="0000065A" w:rsidP="0000065A">
      <w:pPr>
        <w:widowControl w:val="0"/>
        <w:tabs>
          <w:tab w:val="left" w:pos="567"/>
        </w:tabs>
        <w:ind w:firstLine="709"/>
        <w:rPr>
          <w:rFonts w:eastAsia="Times New Roman" w:cs="Times New Roman"/>
          <w:szCs w:val="24"/>
          <w:lang w:eastAsia="ru-RU"/>
        </w:rPr>
      </w:pPr>
      <w:r w:rsidRPr="0000065A">
        <w:rPr>
          <w:rFonts w:eastAsia="Times New Roman" w:cs="Times New Roman"/>
          <w:szCs w:val="24"/>
          <w:lang w:eastAsia="ru-RU"/>
        </w:rPr>
        <w:t>В связи с вышеизложенным, при оценке затратный подход применялся для подгрупп</w:t>
      </w:r>
      <w:r w:rsidR="00281D4A">
        <w:rPr>
          <w:rFonts w:eastAsia="Times New Roman" w:cs="Times New Roman"/>
          <w:szCs w:val="24"/>
          <w:lang w:eastAsia="ru-RU"/>
        </w:rPr>
        <w:t xml:space="preserve"> «Объекты с полными характеристиками» для групп 4-10, по подгруппе «ИЖС» 2 группы, подгруппе «Производственные гаражи» 3 группы</w:t>
      </w:r>
      <w:r w:rsidRPr="0000065A">
        <w:rPr>
          <w:rFonts w:eastAsia="Times New Roman" w:cs="Times New Roman"/>
          <w:szCs w:val="24"/>
          <w:lang w:eastAsia="ru-RU"/>
        </w:rPr>
        <w:t>.</w:t>
      </w:r>
    </w:p>
    <w:p w14:paraId="151474DB" w14:textId="77777777" w:rsidR="00A45F39" w:rsidRPr="0000065A" w:rsidRDefault="00A45F39" w:rsidP="0000065A">
      <w:pPr>
        <w:widowControl w:val="0"/>
        <w:tabs>
          <w:tab w:val="left" w:pos="567"/>
        </w:tabs>
        <w:ind w:firstLine="709"/>
        <w:rPr>
          <w:rFonts w:eastAsia="Times New Roman" w:cs="Times New Roman"/>
          <w:szCs w:val="24"/>
          <w:lang w:eastAsia="ru-RU"/>
        </w:rPr>
      </w:pPr>
    </w:p>
    <w:p w14:paraId="4074A32B" w14:textId="6C956B70" w:rsidR="00340D04" w:rsidRPr="00340D04" w:rsidRDefault="00340D04" w:rsidP="00FD2769">
      <w:pPr>
        <w:pStyle w:val="af0"/>
        <w:keepNext/>
        <w:keepLines/>
        <w:numPr>
          <w:ilvl w:val="3"/>
          <w:numId w:val="100"/>
        </w:numPr>
        <w:suppressAutoHyphens/>
        <w:autoSpaceDN w:val="0"/>
        <w:spacing w:before="120" w:after="120" w:line="244" w:lineRule="auto"/>
        <w:jc w:val="left"/>
        <w:textAlignment w:val="baseline"/>
        <w:outlineLvl w:val="2"/>
        <w:rPr>
          <w:rFonts w:eastAsia="Times New Roman" w:cs="Times New Roman"/>
          <w:b/>
          <w:i/>
          <w:color w:val="000000"/>
          <w:szCs w:val="24"/>
          <w:lang w:eastAsia="ru-RU"/>
        </w:rPr>
      </w:pPr>
      <w:bookmarkStart w:id="116" w:name="_Toc13690389"/>
      <w:bookmarkStart w:id="117" w:name="_Toc13699841"/>
      <w:bookmarkStart w:id="118" w:name="_Toc13699922"/>
      <w:bookmarkStart w:id="119" w:name="_Toc14819118"/>
      <w:r>
        <w:rPr>
          <w:rFonts w:eastAsia="Times New Roman" w:cs="Times New Roman"/>
          <w:b/>
          <w:i/>
          <w:color w:val="000000"/>
          <w:szCs w:val="24"/>
          <w:lang w:eastAsia="ru-RU"/>
        </w:rPr>
        <w:t>Доходный</w:t>
      </w:r>
      <w:r w:rsidRPr="00340D04">
        <w:rPr>
          <w:rFonts w:eastAsia="Times New Roman" w:cs="Times New Roman"/>
          <w:b/>
          <w:i/>
          <w:color w:val="000000"/>
          <w:szCs w:val="24"/>
          <w:lang w:eastAsia="ru-RU"/>
        </w:rPr>
        <w:t xml:space="preserve"> подход</w:t>
      </w:r>
      <w:bookmarkEnd w:id="116"/>
      <w:bookmarkEnd w:id="117"/>
      <w:bookmarkEnd w:id="118"/>
      <w:bookmarkEnd w:id="119"/>
    </w:p>
    <w:p w14:paraId="5E02E869" w14:textId="77777777" w:rsidR="0000065A" w:rsidRPr="0000065A" w:rsidRDefault="0000065A" w:rsidP="0000065A">
      <w:pPr>
        <w:widowControl w:val="0"/>
        <w:tabs>
          <w:tab w:val="left" w:pos="567"/>
        </w:tabs>
        <w:ind w:firstLine="709"/>
        <w:rPr>
          <w:rFonts w:eastAsia="Times New Roman" w:cs="Times New Roman"/>
          <w:szCs w:val="24"/>
          <w:lang w:eastAsia="ru-RU"/>
        </w:rPr>
      </w:pPr>
      <w:r w:rsidRPr="0000065A">
        <w:rPr>
          <w:rFonts w:eastAsia="Times New Roman" w:cs="Times New Roman"/>
          <w:szCs w:val="24"/>
          <w:lang w:eastAsia="ru-RU"/>
        </w:rPr>
        <w:t xml:space="preserve">Использование доходного подхода при оценке объекта оценки возможно при наличии информации, позволяющей определить ожидаемые доходы и расходы при его функционировании. Отсутствие достоверной информации, позволяющей прогнозировать будущие доходы, которые объект оценки способен приносить, а также связанные с объектом оценки расходы, не позволяет работникам бюджетного учреждения, осуществляющим определение кадастровой стоимости, применить для целей настоящей оценки методы доходного подхода. </w:t>
      </w:r>
    </w:p>
    <w:p w14:paraId="309AF4FD" w14:textId="77777777" w:rsidR="0000065A" w:rsidRPr="0000065A" w:rsidRDefault="0000065A" w:rsidP="0000065A">
      <w:pPr>
        <w:widowControl w:val="0"/>
        <w:tabs>
          <w:tab w:val="left" w:pos="567"/>
        </w:tabs>
        <w:ind w:firstLine="709"/>
        <w:rPr>
          <w:rFonts w:eastAsia="Times New Roman" w:cs="Times New Roman"/>
          <w:szCs w:val="24"/>
          <w:lang w:eastAsia="ru-RU"/>
        </w:rPr>
      </w:pPr>
    </w:p>
    <w:p w14:paraId="43B55684" w14:textId="62238DFB" w:rsidR="0000065A" w:rsidRPr="0000065A" w:rsidRDefault="0000065A" w:rsidP="0000065A">
      <w:pPr>
        <w:widowControl w:val="0"/>
        <w:ind w:firstLine="720"/>
        <w:rPr>
          <w:rFonts w:eastAsia="Times New Roman" w:cs="Times New Roman"/>
          <w:szCs w:val="24"/>
          <w:lang w:eastAsia="ru-RU"/>
        </w:rPr>
      </w:pPr>
      <w:r w:rsidRPr="0000065A">
        <w:rPr>
          <w:rFonts w:eastAsia="Times New Roman" w:cs="Times New Roman"/>
          <w:szCs w:val="24"/>
          <w:lang w:eastAsia="ru-RU"/>
        </w:rPr>
        <w:t xml:space="preserve">На основе анализа рынка недвижимости и собранной рыночной информации, а также в соответствии с Методическими указаниями выбраны подходы определения кадастровой стоимости, сводные данные о которых, представлены в Таблице </w:t>
      </w:r>
      <w:r w:rsidR="00877D91">
        <w:rPr>
          <w:rFonts w:eastAsia="Times New Roman" w:cs="Times New Roman"/>
          <w:szCs w:val="24"/>
          <w:lang w:eastAsia="ru-RU"/>
        </w:rPr>
        <w:t>ниже</w:t>
      </w:r>
      <w:r w:rsidRPr="0000065A">
        <w:rPr>
          <w:rFonts w:eastAsia="Times New Roman" w:cs="Times New Roman"/>
          <w:szCs w:val="24"/>
          <w:lang w:eastAsia="ru-RU"/>
        </w:rPr>
        <w:t>.</w:t>
      </w:r>
      <w:r w:rsidR="00465393">
        <w:rPr>
          <w:rFonts w:eastAsia="Times New Roman" w:cs="Times New Roman"/>
          <w:szCs w:val="24"/>
          <w:lang w:eastAsia="ru-RU"/>
        </w:rPr>
        <w:t xml:space="preserve"> Данная таблица также приведена в Приложении 2.2. к Отчету.</w:t>
      </w:r>
    </w:p>
    <w:p w14:paraId="1EC4E02B" w14:textId="77777777" w:rsidR="0000065A" w:rsidRPr="0000065A" w:rsidRDefault="0000065A" w:rsidP="0000065A">
      <w:pPr>
        <w:widowControl w:val="0"/>
        <w:tabs>
          <w:tab w:val="left" w:pos="567"/>
        </w:tabs>
        <w:ind w:firstLine="709"/>
        <w:rPr>
          <w:rFonts w:eastAsia="Times New Roman" w:cs="Times New Roman"/>
          <w:szCs w:val="24"/>
          <w:lang w:eastAsia="ru-RU"/>
        </w:rPr>
      </w:pPr>
    </w:p>
    <w:p w14:paraId="01D89FC7" w14:textId="77777777" w:rsidR="0000065A" w:rsidRPr="0000065A" w:rsidRDefault="0000065A" w:rsidP="0000065A">
      <w:pPr>
        <w:widowControl w:val="0"/>
        <w:ind w:firstLine="709"/>
        <w:jc w:val="center"/>
        <w:rPr>
          <w:rFonts w:eastAsia="Times New Roman" w:cs="Times New Roman"/>
          <w:b/>
          <w:i/>
          <w:szCs w:val="24"/>
          <w:highlight w:val="yellow"/>
          <w:lang w:eastAsia="ru-RU"/>
        </w:rPr>
      </w:pPr>
    </w:p>
    <w:p w14:paraId="6E7633B6" w14:textId="77777777" w:rsidR="0000065A" w:rsidRPr="0000065A" w:rsidRDefault="0000065A" w:rsidP="0000065A">
      <w:pPr>
        <w:keepNext/>
        <w:widowControl w:val="0"/>
        <w:ind w:firstLine="709"/>
        <w:jc w:val="center"/>
        <w:outlineLvl w:val="1"/>
        <w:rPr>
          <w:rFonts w:eastAsia="Times New Roman" w:cs="Times New Roman"/>
          <w:b/>
          <w:bCs/>
          <w:i/>
          <w:iCs/>
          <w:szCs w:val="24"/>
          <w:lang w:eastAsia="x-none"/>
        </w:rPr>
        <w:sectPr w:rsidR="0000065A" w:rsidRPr="0000065A">
          <w:pgSz w:w="11906" w:h="16838"/>
          <w:pgMar w:top="1134" w:right="850" w:bottom="1134" w:left="1701" w:header="708" w:footer="708" w:gutter="0"/>
          <w:cols w:space="708"/>
          <w:docGrid w:linePitch="360"/>
        </w:sectPr>
      </w:pPr>
      <w:bookmarkStart w:id="120" w:name="_Toc516588270"/>
    </w:p>
    <w:bookmarkEnd w:id="120"/>
    <w:p w14:paraId="47AAC395" w14:textId="5DDBBC84" w:rsidR="0000065A" w:rsidRDefault="0000065A" w:rsidP="0000065A">
      <w:pPr>
        <w:keepNext/>
        <w:widowControl w:val="0"/>
        <w:ind w:firstLine="0"/>
        <w:jc w:val="center"/>
        <w:rPr>
          <w:rFonts w:eastAsia="Times New Roman" w:cs="Times New Roman"/>
          <w:bCs/>
          <w:i/>
          <w:szCs w:val="24"/>
          <w:lang w:eastAsia="x-none"/>
        </w:rPr>
      </w:pPr>
      <w:r w:rsidRPr="0000065A">
        <w:rPr>
          <w:rFonts w:eastAsia="Times New Roman" w:cs="Times New Roman"/>
          <w:bCs/>
          <w:i/>
          <w:szCs w:val="24"/>
          <w:lang w:val="x-none" w:eastAsia="x-none"/>
        </w:rPr>
        <w:t xml:space="preserve">Таблица </w:t>
      </w:r>
      <w:r w:rsidRPr="0000065A">
        <w:rPr>
          <w:rFonts w:eastAsia="Times New Roman" w:cs="Times New Roman"/>
          <w:bCs/>
          <w:i/>
          <w:szCs w:val="24"/>
          <w:lang w:val="x-none" w:eastAsia="x-none"/>
        </w:rPr>
        <w:fldChar w:fldCharType="begin"/>
      </w:r>
      <w:r w:rsidRPr="0000065A">
        <w:rPr>
          <w:rFonts w:eastAsia="Times New Roman" w:cs="Times New Roman"/>
          <w:bCs/>
          <w:i/>
          <w:szCs w:val="24"/>
          <w:lang w:val="x-none" w:eastAsia="x-none"/>
        </w:rPr>
        <w:instrText xml:space="preserve"> SEQ Таблица \* ARABIC </w:instrText>
      </w:r>
      <w:r w:rsidRPr="0000065A">
        <w:rPr>
          <w:rFonts w:eastAsia="Times New Roman" w:cs="Times New Roman"/>
          <w:bCs/>
          <w:i/>
          <w:szCs w:val="24"/>
          <w:lang w:val="x-none" w:eastAsia="x-none"/>
        </w:rPr>
        <w:fldChar w:fldCharType="separate"/>
      </w:r>
      <w:r w:rsidR="00FD2769">
        <w:rPr>
          <w:rFonts w:eastAsia="Times New Roman" w:cs="Times New Roman"/>
          <w:bCs/>
          <w:i/>
          <w:noProof/>
          <w:szCs w:val="24"/>
          <w:lang w:val="x-none" w:eastAsia="x-none"/>
        </w:rPr>
        <w:t>47</w:t>
      </w:r>
      <w:r w:rsidRPr="0000065A">
        <w:rPr>
          <w:rFonts w:eastAsia="Times New Roman" w:cs="Times New Roman"/>
          <w:bCs/>
          <w:i/>
          <w:noProof/>
          <w:szCs w:val="24"/>
          <w:lang w:val="x-none" w:eastAsia="x-none"/>
        </w:rPr>
        <w:fldChar w:fldCharType="end"/>
      </w:r>
      <w:r w:rsidRPr="0000065A">
        <w:rPr>
          <w:rFonts w:eastAsia="Times New Roman" w:cs="Times New Roman"/>
          <w:bCs/>
          <w:i/>
          <w:szCs w:val="24"/>
          <w:lang w:eastAsia="x-none"/>
        </w:rPr>
        <w:t xml:space="preserve"> Подходы и методы используемые для определения государственной кадастровой оценки для объектов капитального строительства на территории Республики Саха (Якутия).</w:t>
      </w:r>
    </w:p>
    <w:tbl>
      <w:tblPr>
        <w:tblW w:w="5158" w:type="pct"/>
        <w:tblLayout w:type="fixed"/>
        <w:tblLook w:val="04A0" w:firstRow="1" w:lastRow="0" w:firstColumn="1" w:lastColumn="0" w:noHBand="0" w:noVBand="1"/>
      </w:tblPr>
      <w:tblGrid>
        <w:gridCol w:w="722"/>
        <w:gridCol w:w="2367"/>
        <w:gridCol w:w="1111"/>
        <w:gridCol w:w="1679"/>
        <w:gridCol w:w="1586"/>
        <w:gridCol w:w="1835"/>
        <w:gridCol w:w="1042"/>
        <w:gridCol w:w="1415"/>
        <w:gridCol w:w="1136"/>
        <w:gridCol w:w="2127"/>
      </w:tblGrid>
      <w:tr w:rsidR="001E4B2F" w:rsidRPr="001E4B2F" w14:paraId="2384BA67" w14:textId="77777777" w:rsidTr="001E4B2F">
        <w:trPr>
          <w:trHeight w:val="765"/>
          <w:tblHeader/>
        </w:trPr>
        <w:tc>
          <w:tcPr>
            <w:tcW w:w="240" w:type="pct"/>
            <w:tcBorders>
              <w:top w:val="single" w:sz="4" w:space="0" w:color="000000"/>
              <w:left w:val="single" w:sz="4" w:space="0" w:color="000000"/>
              <w:bottom w:val="single" w:sz="4" w:space="0" w:color="000000"/>
              <w:right w:val="single" w:sz="4" w:space="0" w:color="000000"/>
            </w:tcBorders>
            <w:shd w:val="clear" w:color="BFBFBF" w:fill="BFBFBF"/>
            <w:noWrap/>
            <w:vAlign w:val="center"/>
            <w:hideMark/>
          </w:tcPr>
          <w:p w14:paraId="31344CFD" w14:textId="77777777" w:rsidR="001E4B2F" w:rsidRPr="001E4B2F" w:rsidRDefault="001E4B2F" w:rsidP="001E4B2F">
            <w:pPr>
              <w:ind w:firstLine="0"/>
              <w:jc w:val="center"/>
              <w:rPr>
                <w:rFonts w:eastAsia="Times New Roman" w:cs="Times New Roman"/>
                <w:b/>
                <w:bCs/>
                <w:color w:val="000000"/>
                <w:sz w:val="20"/>
                <w:szCs w:val="20"/>
                <w:lang w:eastAsia="ru-RU"/>
              </w:rPr>
            </w:pPr>
            <w:r w:rsidRPr="001E4B2F">
              <w:rPr>
                <w:rFonts w:eastAsia="Times New Roman" w:cs="Times New Roman"/>
                <w:b/>
                <w:bCs/>
                <w:color w:val="000000"/>
                <w:sz w:val="20"/>
                <w:szCs w:val="20"/>
                <w:lang w:eastAsia="ru-RU"/>
              </w:rPr>
              <w:t>Группа</w:t>
            </w:r>
          </w:p>
        </w:tc>
        <w:tc>
          <w:tcPr>
            <w:tcW w:w="788" w:type="pct"/>
            <w:tcBorders>
              <w:top w:val="single" w:sz="4" w:space="0" w:color="000000"/>
              <w:left w:val="nil"/>
              <w:bottom w:val="single" w:sz="4" w:space="0" w:color="000000"/>
              <w:right w:val="single" w:sz="4" w:space="0" w:color="000000"/>
            </w:tcBorders>
            <w:shd w:val="clear" w:color="BFBFBF" w:fill="BFBFBF"/>
            <w:vAlign w:val="center"/>
            <w:hideMark/>
          </w:tcPr>
          <w:p w14:paraId="3E7A5A34" w14:textId="77777777" w:rsidR="001E4B2F" w:rsidRPr="001E4B2F" w:rsidRDefault="001E4B2F" w:rsidP="001E4B2F">
            <w:pPr>
              <w:ind w:firstLine="0"/>
              <w:jc w:val="center"/>
              <w:rPr>
                <w:rFonts w:eastAsia="Times New Roman" w:cs="Times New Roman"/>
                <w:b/>
                <w:bCs/>
                <w:color w:val="000000"/>
                <w:sz w:val="20"/>
                <w:szCs w:val="20"/>
                <w:lang w:eastAsia="ru-RU"/>
              </w:rPr>
            </w:pPr>
            <w:r w:rsidRPr="001E4B2F">
              <w:rPr>
                <w:rFonts w:eastAsia="Times New Roman" w:cs="Times New Roman"/>
                <w:b/>
                <w:bCs/>
                <w:color w:val="000000"/>
                <w:sz w:val="20"/>
                <w:szCs w:val="20"/>
                <w:lang w:eastAsia="ru-RU"/>
              </w:rPr>
              <w:t>Наименовании группы</w:t>
            </w:r>
          </w:p>
        </w:tc>
        <w:tc>
          <w:tcPr>
            <w:tcW w:w="370" w:type="pct"/>
            <w:tcBorders>
              <w:top w:val="single" w:sz="4" w:space="0" w:color="000000"/>
              <w:left w:val="nil"/>
              <w:bottom w:val="single" w:sz="4" w:space="0" w:color="000000"/>
              <w:right w:val="single" w:sz="4" w:space="0" w:color="000000"/>
            </w:tcBorders>
            <w:shd w:val="clear" w:color="BFBFBF" w:fill="BFBFBF"/>
            <w:noWrap/>
            <w:vAlign w:val="center"/>
            <w:hideMark/>
          </w:tcPr>
          <w:p w14:paraId="76E363FD" w14:textId="77777777" w:rsidR="001E4B2F" w:rsidRPr="001E4B2F" w:rsidRDefault="001E4B2F" w:rsidP="001E4B2F">
            <w:pPr>
              <w:ind w:firstLine="0"/>
              <w:jc w:val="center"/>
              <w:rPr>
                <w:rFonts w:eastAsia="Times New Roman" w:cs="Times New Roman"/>
                <w:b/>
                <w:bCs/>
                <w:color w:val="000000"/>
                <w:sz w:val="20"/>
                <w:szCs w:val="20"/>
                <w:lang w:eastAsia="ru-RU"/>
              </w:rPr>
            </w:pPr>
            <w:r w:rsidRPr="001E4B2F">
              <w:rPr>
                <w:rFonts w:eastAsia="Times New Roman" w:cs="Times New Roman"/>
                <w:b/>
                <w:bCs/>
                <w:color w:val="000000"/>
                <w:sz w:val="20"/>
                <w:szCs w:val="20"/>
                <w:lang w:eastAsia="ru-RU"/>
              </w:rPr>
              <w:t xml:space="preserve">Подгруппы </w:t>
            </w:r>
          </w:p>
        </w:tc>
        <w:tc>
          <w:tcPr>
            <w:tcW w:w="559" w:type="pct"/>
            <w:tcBorders>
              <w:top w:val="single" w:sz="4" w:space="0" w:color="000000"/>
              <w:left w:val="nil"/>
              <w:bottom w:val="single" w:sz="4" w:space="0" w:color="000000"/>
              <w:right w:val="single" w:sz="4" w:space="0" w:color="000000"/>
            </w:tcBorders>
            <w:shd w:val="clear" w:color="BFBFBF" w:fill="BFBFBF"/>
            <w:vAlign w:val="center"/>
            <w:hideMark/>
          </w:tcPr>
          <w:p w14:paraId="0C7FDEB8" w14:textId="77777777" w:rsidR="001E4B2F" w:rsidRPr="001E4B2F" w:rsidRDefault="001E4B2F" w:rsidP="001E4B2F">
            <w:pPr>
              <w:ind w:firstLine="0"/>
              <w:jc w:val="center"/>
              <w:rPr>
                <w:rFonts w:eastAsia="Times New Roman" w:cs="Times New Roman"/>
                <w:b/>
                <w:bCs/>
                <w:color w:val="000000"/>
                <w:sz w:val="20"/>
                <w:szCs w:val="20"/>
                <w:lang w:eastAsia="ru-RU"/>
              </w:rPr>
            </w:pPr>
            <w:r w:rsidRPr="001E4B2F">
              <w:rPr>
                <w:rFonts w:eastAsia="Times New Roman" w:cs="Times New Roman"/>
                <w:b/>
                <w:bCs/>
                <w:color w:val="000000"/>
                <w:sz w:val="20"/>
                <w:szCs w:val="20"/>
                <w:lang w:eastAsia="ru-RU"/>
              </w:rPr>
              <w:t>Вид объекта недвижимости</w:t>
            </w:r>
          </w:p>
        </w:tc>
        <w:tc>
          <w:tcPr>
            <w:tcW w:w="528" w:type="pct"/>
            <w:tcBorders>
              <w:top w:val="single" w:sz="4" w:space="0" w:color="000000"/>
              <w:left w:val="nil"/>
              <w:bottom w:val="single" w:sz="4" w:space="0" w:color="000000"/>
              <w:right w:val="single" w:sz="4" w:space="0" w:color="000000"/>
            </w:tcBorders>
            <w:shd w:val="clear" w:color="BFBFBF" w:fill="BFBFBF"/>
            <w:vAlign w:val="center"/>
            <w:hideMark/>
          </w:tcPr>
          <w:p w14:paraId="208FEB6C" w14:textId="77777777" w:rsidR="001E4B2F" w:rsidRPr="001E4B2F" w:rsidRDefault="001E4B2F" w:rsidP="001E4B2F">
            <w:pPr>
              <w:ind w:firstLine="0"/>
              <w:jc w:val="center"/>
              <w:rPr>
                <w:rFonts w:eastAsia="Times New Roman" w:cs="Times New Roman"/>
                <w:b/>
                <w:bCs/>
                <w:color w:val="000000"/>
                <w:sz w:val="20"/>
                <w:szCs w:val="20"/>
                <w:lang w:eastAsia="ru-RU"/>
              </w:rPr>
            </w:pPr>
            <w:r w:rsidRPr="001E4B2F">
              <w:rPr>
                <w:rFonts w:eastAsia="Times New Roman" w:cs="Times New Roman"/>
                <w:b/>
                <w:bCs/>
                <w:color w:val="000000"/>
                <w:sz w:val="20"/>
                <w:szCs w:val="20"/>
                <w:lang w:eastAsia="ru-RU"/>
              </w:rPr>
              <w:t>Местонахождение</w:t>
            </w:r>
          </w:p>
        </w:tc>
        <w:tc>
          <w:tcPr>
            <w:tcW w:w="611" w:type="pct"/>
            <w:tcBorders>
              <w:top w:val="single" w:sz="4" w:space="0" w:color="000000"/>
              <w:left w:val="nil"/>
              <w:bottom w:val="single" w:sz="4" w:space="0" w:color="000000"/>
              <w:right w:val="single" w:sz="4" w:space="0" w:color="000000"/>
            </w:tcBorders>
            <w:shd w:val="clear" w:color="BFBFBF" w:fill="BFBFBF"/>
            <w:vAlign w:val="center"/>
            <w:hideMark/>
          </w:tcPr>
          <w:p w14:paraId="4C475903" w14:textId="77777777" w:rsidR="001E4B2F" w:rsidRPr="001E4B2F" w:rsidRDefault="001E4B2F" w:rsidP="001E4B2F">
            <w:pPr>
              <w:ind w:firstLine="0"/>
              <w:jc w:val="center"/>
              <w:rPr>
                <w:rFonts w:eastAsia="Times New Roman" w:cs="Times New Roman"/>
                <w:b/>
                <w:bCs/>
                <w:color w:val="000000"/>
                <w:sz w:val="20"/>
                <w:szCs w:val="20"/>
                <w:lang w:eastAsia="ru-RU"/>
              </w:rPr>
            </w:pPr>
            <w:r w:rsidRPr="001E4B2F">
              <w:rPr>
                <w:rFonts w:eastAsia="Times New Roman" w:cs="Times New Roman"/>
                <w:b/>
                <w:bCs/>
                <w:color w:val="000000"/>
                <w:sz w:val="20"/>
                <w:szCs w:val="20"/>
                <w:lang w:eastAsia="ru-RU"/>
              </w:rPr>
              <w:t>Наличие характеристик</w:t>
            </w:r>
          </w:p>
        </w:tc>
        <w:tc>
          <w:tcPr>
            <w:tcW w:w="347" w:type="pct"/>
            <w:tcBorders>
              <w:top w:val="single" w:sz="4" w:space="0" w:color="000000"/>
              <w:left w:val="nil"/>
              <w:bottom w:val="single" w:sz="4" w:space="0" w:color="000000"/>
              <w:right w:val="single" w:sz="4" w:space="0" w:color="000000"/>
            </w:tcBorders>
            <w:shd w:val="clear" w:color="BFBFBF" w:fill="BFBFBF"/>
            <w:vAlign w:val="center"/>
            <w:hideMark/>
          </w:tcPr>
          <w:p w14:paraId="682EAC91" w14:textId="77777777" w:rsidR="001E4B2F" w:rsidRPr="001E4B2F" w:rsidRDefault="001E4B2F" w:rsidP="001E4B2F">
            <w:pPr>
              <w:ind w:firstLine="0"/>
              <w:jc w:val="center"/>
              <w:rPr>
                <w:rFonts w:eastAsia="Times New Roman" w:cs="Times New Roman"/>
                <w:b/>
                <w:bCs/>
                <w:color w:val="000000"/>
                <w:sz w:val="20"/>
                <w:szCs w:val="20"/>
                <w:lang w:eastAsia="ru-RU"/>
              </w:rPr>
            </w:pPr>
            <w:r w:rsidRPr="001E4B2F">
              <w:rPr>
                <w:rFonts w:eastAsia="Times New Roman" w:cs="Times New Roman"/>
                <w:b/>
                <w:bCs/>
                <w:color w:val="000000"/>
                <w:sz w:val="20"/>
                <w:szCs w:val="20"/>
                <w:lang w:eastAsia="ru-RU"/>
              </w:rPr>
              <w:t>Подгруппа расчета</w:t>
            </w:r>
          </w:p>
        </w:tc>
        <w:tc>
          <w:tcPr>
            <w:tcW w:w="471" w:type="pct"/>
            <w:tcBorders>
              <w:top w:val="single" w:sz="4" w:space="0" w:color="000000"/>
              <w:left w:val="nil"/>
              <w:bottom w:val="single" w:sz="4" w:space="0" w:color="000000"/>
              <w:right w:val="single" w:sz="4" w:space="0" w:color="000000"/>
            </w:tcBorders>
            <w:shd w:val="clear" w:color="BFBFBF" w:fill="BFBFBF"/>
            <w:noWrap/>
            <w:vAlign w:val="center"/>
            <w:hideMark/>
          </w:tcPr>
          <w:p w14:paraId="619F26C4" w14:textId="77777777" w:rsidR="001E4B2F" w:rsidRPr="001E4B2F" w:rsidRDefault="001E4B2F" w:rsidP="001E4B2F">
            <w:pPr>
              <w:ind w:firstLine="0"/>
              <w:jc w:val="center"/>
              <w:rPr>
                <w:rFonts w:eastAsia="Times New Roman" w:cs="Times New Roman"/>
                <w:b/>
                <w:bCs/>
                <w:color w:val="000000"/>
                <w:sz w:val="20"/>
                <w:szCs w:val="20"/>
                <w:lang w:eastAsia="ru-RU"/>
              </w:rPr>
            </w:pPr>
            <w:r w:rsidRPr="001E4B2F">
              <w:rPr>
                <w:rFonts w:eastAsia="Times New Roman" w:cs="Times New Roman"/>
                <w:b/>
                <w:bCs/>
                <w:color w:val="000000"/>
                <w:sz w:val="20"/>
                <w:szCs w:val="20"/>
                <w:lang w:eastAsia="ru-RU"/>
              </w:rPr>
              <w:t>Подход</w:t>
            </w:r>
          </w:p>
        </w:tc>
        <w:tc>
          <w:tcPr>
            <w:tcW w:w="378" w:type="pct"/>
            <w:tcBorders>
              <w:top w:val="single" w:sz="4" w:space="0" w:color="000000"/>
              <w:left w:val="nil"/>
              <w:bottom w:val="single" w:sz="4" w:space="0" w:color="000000"/>
              <w:right w:val="single" w:sz="4" w:space="0" w:color="000000"/>
            </w:tcBorders>
            <w:shd w:val="clear" w:color="BFBFBF" w:fill="BFBFBF"/>
            <w:noWrap/>
            <w:vAlign w:val="center"/>
            <w:hideMark/>
          </w:tcPr>
          <w:p w14:paraId="319F2337" w14:textId="77777777" w:rsidR="001E4B2F" w:rsidRPr="001E4B2F" w:rsidRDefault="001E4B2F" w:rsidP="001E4B2F">
            <w:pPr>
              <w:ind w:firstLine="0"/>
              <w:jc w:val="center"/>
              <w:rPr>
                <w:rFonts w:eastAsia="Times New Roman" w:cs="Times New Roman"/>
                <w:b/>
                <w:bCs/>
                <w:color w:val="000000"/>
                <w:sz w:val="20"/>
                <w:szCs w:val="20"/>
                <w:lang w:eastAsia="ru-RU"/>
              </w:rPr>
            </w:pPr>
            <w:r w:rsidRPr="001E4B2F">
              <w:rPr>
                <w:rFonts w:eastAsia="Times New Roman" w:cs="Times New Roman"/>
                <w:b/>
                <w:bCs/>
                <w:color w:val="000000"/>
                <w:sz w:val="20"/>
                <w:szCs w:val="20"/>
                <w:lang w:eastAsia="ru-RU"/>
              </w:rPr>
              <w:t>Способ</w:t>
            </w:r>
          </w:p>
        </w:tc>
        <w:tc>
          <w:tcPr>
            <w:tcW w:w="708" w:type="pct"/>
            <w:tcBorders>
              <w:top w:val="single" w:sz="4" w:space="0" w:color="000000"/>
              <w:left w:val="nil"/>
              <w:bottom w:val="single" w:sz="4" w:space="0" w:color="000000"/>
              <w:right w:val="single" w:sz="4" w:space="0" w:color="000000"/>
            </w:tcBorders>
            <w:shd w:val="clear" w:color="BFBFBF" w:fill="BFBFBF"/>
            <w:vAlign w:val="center"/>
            <w:hideMark/>
          </w:tcPr>
          <w:p w14:paraId="4116D20B" w14:textId="77777777" w:rsidR="001E4B2F" w:rsidRPr="001E4B2F" w:rsidRDefault="001E4B2F" w:rsidP="001E4B2F">
            <w:pPr>
              <w:ind w:firstLine="0"/>
              <w:jc w:val="center"/>
              <w:rPr>
                <w:rFonts w:eastAsia="Times New Roman" w:cs="Times New Roman"/>
                <w:b/>
                <w:bCs/>
                <w:color w:val="000000"/>
                <w:sz w:val="20"/>
                <w:szCs w:val="20"/>
                <w:lang w:eastAsia="ru-RU"/>
              </w:rPr>
            </w:pPr>
            <w:r w:rsidRPr="001E4B2F">
              <w:rPr>
                <w:rFonts w:eastAsia="Times New Roman" w:cs="Times New Roman"/>
                <w:b/>
                <w:bCs/>
                <w:color w:val="000000"/>
                <w:sz w:val="20"/>
                <w:szCs w:val="20"/>
                <w:lang w:eastAsia="ru-RU"/>
              </w:rPr>
              <w:t>Метод</w:t>
            </w:r>
          </w:p>
        </w:tc>
      </w:tr>
      <w:tr w:rsidR="00272AAC" w:rsidRPr="001E4B2F" w14:paraId="1E0ED184" w14:textId="77777777" w:rsidTr="00AA2A17">
        <w:trPr>
          <w:trHeight w:val="510"/>
        </w:trPr>
        <w:tc>
          <w:tcPr>
            <w:tcW w:w="240" w:type="pct"/>
            <w:vMerge w:val="restart"/>
            <w:tcBorders>
              <w:top w:val="nil"/>
              <w:left w:val="single" w:sz="4" w:space="0" w:color="000000"/>
              <w:right w:val="single" w:sz="4" w:space="0" w:color="000000"/>
            </w:tcBorders>
            <w:shd w:val="clear" w:color="auto" w:fill="auto"/>
            <w:noWrap/>
            <w:vAlign w:val="center"/>
            <w:hideMark/>
          </w:tcPr>
          <w:p w14:paraId="35EFC30E" w14:textId="77777777" w:rsidR="00272AAC" w:rsidRPr="001E4B2F" w:rsidRDefault="00272AAC" w:rsidP="001E4B2F">
            <w:pPr>
              <w:ind w:firstLine="0"/>
              <w:jc w:val="center"/>
              <w:rPr>
                <w:rFonts w:eastAsia="Times New Roman" w:cs="Times New Roman"/>
                <w:color w:val="000000"/>
                <w:sz w:val="20"/>
                <w:szCs w:val="20"/>
                <w:lang w:eastAsia="ru-RU"/>
              </w:rPr>
            </w:pPr>
            <w:r w:rsidRPr="001E4B2F">
              <w:rPr>
                <w:rFonts w:eastAsia="Times New Roman" w:cs="Times New Roman"/>
                <w:color w:val="000000"/>
                <w:sz w:val="20"/>
                <w:szCs w:val="20"/>
                <w:lang w:eastAsia="ru-RU"/>
              </w:rPr>
              <w:t>1</w:t>
            </w:r>
          </w:p>
        </w:tc>
        <w:tc>
          <w:tcPr>
            <w:tcW w:w="788" w:type="pct"/>
            <w:vMerge w:val="restart"/>
            <w:tcBorders>
              <w:top w:val="nil"/>
              <w:left w:val="single" w:sz="4" w:space="0" w:color="000000"/>
              <w:right w:val="single" w:sz="4" w:space="0" w:color="000000"/>
            </w:tcBorders>
            <w:shd w:val="clear" w:color="auto" w:fill="auto"/>
            <w:vAlign w:val="center"/>
            <w:hideMark/>
          </w:tcPr>
          <w:p w14:paraId="4A1ACE6C" w14:textId="77777777" w:rsidR="00272AAC" w:rsidRPr="001E4B2F" w:rsidRDefault="00272AAC" w:rsidP="001E4B2F">
            <w:pPr>
              <w:ind w:firstLine="0"/>
              <w:jc w:val="center"/>
              <w:rPr>
                <w:rFonts w:eastAsia="Times New Roman" w:cs="Times New Roman"/>
                <w:color w:val="000000"/>
                <w:sz w:val="20"/>
                <w:szCs w:val="20"/>
                <w:lang w:eastAsia="ru-RU"/>
              </w:rPr>
            </w:pPr>
            <w:r w:rsidRPr="001E4B2F">
              <w:rPr>
                <w:rFonts w:eastAsia="Times New Roman" w:cs="Times New Roman"/>
                <w:color w:val="000000"/>
                <w:sz w:val="20"/>
                <w:szCs w:val="20"/>
                <w:lang w:eastAsia="ru-RU"/>
              </w:rPr>
              <w:t>Многоквартирные дома (дома средне- и многоэтажной жилой застройки)</w:t>
            </w:r>
          </w:p>
        </w:tc>
        <w:tc>
          <w:tcPr>
            <w:tcW w:w="370" w:type="pct"/>
            <w:vMerge w:val="restart"/>
            <w:tcBorders>
              <w:top w:val="nil"/>
              <w:left w:val="single" w:sz="4" w:space="0" w:color="000000"/>
              <w:right w:val="single" w:sz="4" w:space="0" w:color="000000"/>
            </w:tcBorders>
            <w:shd w:val="clear" w:color="auto" w:fill="auto"/>
            <w:noWrap/>
            <w:vAlign w:val="center"/>
            <w:hideMark/>
          </w:tcPr>
          <w:p w14:paraId="016DD304" w14:textId="77777777" w:rsidR="00272AAC" w:rsidRPr="001E4B2F" w:rsidRDefault="00272AAC" w:rsidP="001E4B2F">
            <w:pPr>
              <w:ind w:firstLine="0"/>
              <w:jc w:val="center"/>
              <w:rPr>
                <w:rFonts w:eastAsia="Times New Roman" w:cs="Times New Roman"/>
                <w:color w:val="000000"/>
                <w:sz w:val="20"/>
                <w:szCs w:val="20"/>
                <w:lang w:eastAsia="ru-RU"/>
              </w:rPr>
            </w:pPr>
            <w:r w:rsidRPr="001E4B2F">
              <w:rPr>
                <w:rFonts w:eastAsia="Times New Roman" w:cs="Times New Roman"/>
                <w:color w:val="000000"/>
                <w:sz w:val="20"/>
                <w:szCs w:val="20"/>
                <w:lang w:eastAsia="ru-RU"/>
              </w:rPr>
              <w:t>101, 102</w:t>
            </w:r>
          </w:p>
        </w:tc>
        <w:tc>
          <w:tcPr>
            <w:tcW w:w="559" w:type="pct"/>
            <w:tcBorders>
              <w:top w:val="nil"/>
              <w:left w:val="nil"/>
              <w:bottom w:val="single" w:sz="4" w:space="0" w:color="000000"/>
              <w:right w:val="single" w:sz="4" w:space="0" w:color="000000"/>
            </w:tcBorders>
            <w:shd w:val="clear" w:color="auto" w:fill="auto"/>
            <w:vAlign w:val="center"/>
            <w:hideMark/>
          </w:tcPr>
          <w:p w14:paraId="6D44E265" w14:textId="77777777" w:rsidR="00272AAC" w:rsidRPr="001E4B2F" w:rsidRDefault="00272AAC" w:rsidP="001E4B2F">
            <w:pPr>
              <w:ind w:firstLine="0"/>
              <w:jc w:val="center"/>
              <w:rPr>
                <w:rFonts w:eastAsia="Times New Roman" w:cs="Times New Roman"/>
                <w:color w:val="000000"/>
                <w:sz w:val="20"/>
                <w:szCs w:val="20"/>
                <w:lang w:eastAsia="ru-RU"/>
              </w:rPr>
            </w:pPr>
            <w:r w:rsidRPr="001E4B2F">
              <w:rPr>
                <w:rFonts w:eastAsia="Times New Roman" w:cs="Times New Roman"/>
                <w:color w:val="000000"/>
                <w:sz w:val="20"/>
                <w:szCs w:val="20"/>
                <w:lang w:eastAsia="ru-RU"/>
              </w:rPr>
              <w:t>Здание, сооружения</w:t>
            </w:r>
          </w:p>
        </w:tc>
        <w:tc>
          <w:tcPr>
            <w:tcW w:w="528" w:type="pct"/>
            <w:vMerge w:val="restart"/>
            <w:tcBorders>
              <w:top w:val="nil"/>
              <w:left w:val="single" w:sz="4" w:space="0" w:color="000000"/>
              <w:bottom w:val="single" w:sz="4" w:space="0" w:color="000000"/>
              <w:right w:val="single" w:sz="4" w:space="0" w:color="000000"/>
            </w:tcBorders>
            <w:shd w:val="clear" w:color="auto" w:fill="auto"/>
            <w:vAlign w:val="center"/>
            <w:hideMark/>
          </w:tcPr>
          <w:p w14:paraId="06AE2166" w14:textId="77777777" w:rsidR="00272AAC" w:rsidRPr="001E4B2F" w:rsidRDefault="00272AAC" w:rsidP="001E4B2F">
            <w:pPr>
              <w:ind w:firstLine="0"/>
              <w:jc w:val="center"/>
              <w:rPr>
                <w:rFonts w:eastAsia="Times New Roman" w:cs="Times New Roman"/>
                <w:color w:val="000000"/>
                <w:sz w:val="20"/>
                <w:szCs w:val="20"/>
                <w:lang w:eastAsia="ru-RU"/>
              </w:rPr>
            </w:pPr>
            <w:r w:rsidRPr="001E4B2F">
              <w:rPr>
                <w:rFonts w:eastAsia="Times New Roman" w:cs="Times New Roman"/>
                <w:color w:val="000000"/>
                <w:sz w:val="20"/>
                <w:szCs w:val="20"/>
                <w:lang w:eastAsia="ru-RU"/>
              </w:rPr>
              <w:t>ГНП, СНП, МР</w:t>
            </w:r>
          </w:p>
        </w:tc>
        <w:tc>
          <w:tcPr>
            <w:tcW w:w="611" w:type="pct"/>
            <w:tcBorders>
              <w:top w:val="nil"/>
              <w:left w:val="nil"/>
              <w:bottom w:val="single" w:sz="4" w:space="0" w:color="000000"/>
              <w:right w:val="single" w:sz="4" w:space="0" w:color="000000"/>
            </w:tcBorders>
            <w:shd w:val="clear" w:color="auto" w:fill="auto"/>
            <w:vAlign w:val="center"/>
            <w:hideMark/>
          </w:tcPr>
          <w:p w14:paraId="614409DD" w14:textId="77777777" w:rsidR="00272AAC" w:rsidRPr="001E4B2F" w:rsidRDefault="00272AAC" w:rsidP="001E4B2F">
            <w:pPr>
              <w:ind w:firstLine="0"/>
              <w:jc w:val="center"/>
              <w:rPr>
                <w:rFonts w:eastAsia="Times New Roman" w:cs="Times New Roman"/>
                <w:color w:val="000000"/>
                <w:sz w:val="20"/>
                <w:szCs w:val="20"/>
                <w:lang w:eastAsia="ru-RU"/>
              </w:rPr>
            </w:pPr>
            <w:r w:rsidRPr="001E4B2F">
              <w:rPr>
                <w:rFonts w:eastAsia="Times New Roman" w:cs="Times New Roman"/>
                <w:color w:val="000000"/>
                <w:sz w:val="20"/>
                <w:szCs w:val="20"/>
                <w:lang w:eastAsia="ru-RU"/>
              </w:rPr>
              <w:t> </w:t>
            </w:r>
          </w:p>
        </w:tc>
        <w:tc>
          <w:tcPr>
            <w:tcW w:w="347" w:type="pct"/>
            <w:tcBorders>
              <w:top w:val="nil"/>
              <w:left w:val="nil"/>
              <w:bottom w:val="single" w:sz="4" w:space="0" w:color="000000"/>
              <w:right w:val="single" w:sz="4" w:space="0" w:color="000000"/>
            </w:tcBorders>
            <w:shd w:val="clear" w:color="auto" w:fill="auto"/>
            <w:vAlign w:val="center"/>
            <w:hideMark/>
          </w:tcPr>
          <w:p w14:paraId="0A3B4BE3" w14:textId="77777777" w:rsidR="00272AAC" w:rsidRPr="001E4B2F" w:rsidRDefault="00272AAC" w:rsidP="001E4B2F">
            <w:pPr>
              <w:ind w:firstLine="0"/>
              <w:jc w:val="center"/>
              <w:rPr>
                <w:rFonts w:eastAsia="Times New Roman" w:cs="Times New Roman"/>
                <w:color w:val="000000"/>
                <w:sz w:val="20"/>
                <w:szCs w:val="20"/>
                <w:lang w:eastAsia="ru-RU"/>
              </w:rPr>
            </w:pPr>
            <w:r w:rsidRPr="001E4B2F">
              <w:rPr>
                <w:rFonts w:eastAsia="Times New Roman" w:cs="Times New Roman"/>
                <w:color w:val="000000"/>
                <w:sz w:val="20"/>
                <w:szCs w:val="20"/>
                <w:lang w:eastAsia="ru-RU"/>
              </w:rPr>
              <w:t>1.1.</w:t>
            </w:r>
          </w:p>
        </w:tc>
        <w:tc>
          <w:tcPr>
            <w:tcW w:w="471" w:type="pct"/>
            <w:tcBorders>
              <w:top w:val="nil"/>
              <w:left w:val="nil"/>
              <w:bottom w:val="single" w:sz="4" w:space="0" w:color="000000"/>
              <w:right w:val="single" w:sz="4" w:space="0" w:color="000000"/>
            </w:tcBorders>
            <w:shd w:val="clear" w:color="auto" w:fill="auto"/>
            <w:noWrap/>
            <w:vAlign w:val="bottom"/>
            <w:hideMark/>
          </w:tcPr>
          <w:p w14:paraId="1FDB0CD2" w14:textId="77777777" w:rsidR="00272AAC" w:rsidRPr="001E4B2F" w:rsidRDefault="00272AAC" w:rsidP="001E4B2F">
            <w:pPr>
              <w:ind w:firstLine="0"/>
              <w:jc w:val="left"/>
              <w:rPr>
                <w:rFonts w:eastAsia="Times New Roman" w:cs="Times New Roman"/>
                <w:color w:val="000000"/>
                <w:sz w:val="20"/>
                <w:szCs w:val="20"/>
                <w:lang w:eastAsia="ru-RU"/>
              </w:rPr>
            </w:pPr>
            <w:r w:rsidRPr="001E4B2F">
              <w:rPr>
                <w:rFonts w:eastAsia="Times New Roman" w:cs="Times New Roman"/>
                <w:color w:val="000000"/>
                <w:sz w:val="20"/>
                <w:szCs w:val="20"/>
                <w:lang w:eastAsia="ru-RU"/>
              </w:rPr>
              <w:t>Сравнительный</w:t>
            </w:r>
          </w:p>
        </w:tc>
        <w:tc>
          <w:tcPr>
            <w:tcW w:w="378" w:type="pct"/>
            <w:tcBorders>
              <w:top w:val="nil"/>
              <w:left w:val="nil"/>
              <w:bottom w:val="single" w:sz="4" w:space="0" w:color="000000"/>
              <w:right w:val="single" w:sz="4" w:space="0" w:color="000000"/>
            </w:tcBorders>
            <w:shd w:val="clear" w:color="auto" w:fill="auto"/>
            <w:noWrap/>
            <w:vAlign w:val="bottom"/>
            <w:hideMark/>
          </w:tcPr>
          <w:p w14:paraId="3187A776" w14:textId="77777777" w:rsidR="00272AAC" w:rsidRPr="001E4B2F" w:rsidRDefault="00272AAC" w:rsidP="001E4B2F">
            <w:pPr>
              <w:ind w:firstLine="0"/>
              <w:jc w:val="left"/>
              <w:rPr>
                <w:rFonts w:eastAsia="Times New Roman" w:cs="Times New Roman"/>
                <w:color w:val="000000"/>
                <w:sz w:val="20"/>
                <w:szCs w:val="20"/>
                <w:lang w:eastAsia="ru-RU"/>
              </w:rPr>
            </w:pPr>
            <w:r w:rsidRPr="001E4B2F">
              <w:rPr>
                <w:rFonts w:eastAsia="Times New Roman" w:cs="Times New Roman"/>
                <w:color w:val="000000"/>
                <w:sz w:val="20"/>
                <w:szCs w:val="20"/>
                <w:lang w:eastAsia="ru-RU"/>
              </w:rPr>
              <w:t>Массовый</w:t>
            </w:r>
          </w:p>
        </w:tc>
        <w:tc>
          <w:tcPr>
            <w:tcW w:w="708" w:type="pct"/>
            <w:tcBorders>
              <w:top w:val="nil"/>
              <w:left w:val="nil"/>
              <w:bottom w:val="single" w:sz="4" w:space="0" w:color="000000"/>
              <w:right w:val="single" w:sz="4" w:space="0" w:color="000000"/>
            </w:tcBorders>
            <w:shd w:val="clear" w:color="auto" w:fill="auto"/>
            <w:noWrap/>
            <w:vAlign w:val="bottom"/>
            <w:hideMark/>
          </w:tcPr>
          <w:p w14:paraId="3C30252C" w14:textId="77777777" w:rsidR="00272AAC" w:rsidRPr="001E4B2F" w:rsidRDefault="00272AAC" w:rsidP="001E4B2F">
            <w:pPr>
              <w:ind w:firstLine="0"/>
              <w:jc w:val="left"/>
              <w:rPr>
                <w:rFonts w:eastAsia="Times New Roman" w:cs="Times New Roman"/>
                <w:color w:val="000000"/>
                <w:sz w:val="20"/>
                <w:szCs w:val="20"/>
                <w:lang w:eastAsia="ru-RU"/>
              </w:rPr>
            </w:pPr>
            <w:r w:rsidRPr="001E4B2F">
              <w:rPr>
                <w:rFonts w:eastAsia="Times New Roman" w:cs="Times New Roman"/>
                <w:color w:val="000000"/>
                <w:sz w:val="20"/>
                <w:szCs w:val="20"/>
                <w:lang w:eastAsia="ru-RU"/>
              </w:rPr>
              <w:t>Метод УПКС (минимальное)</w:t>
            </w:r>
          </w:p>
        </w:tc>
      </w:tr>
      <w:tr w:rsidR="00272AAC" w:rsidRPr="001E4B2F" w14:paraId="0111F490" w14:textId="77777777" w:rsidTr="00AA2A17">
        <w:trPr>
          <w:trHeight w:val="510"/>
        </w:trPr>
        <w:tc>
          <w:tcPr>
            <w:tcW w:w="240" w:type="pct"/>
            <w:vMerge/>
            <w:tcBorders>
              <w:left w:val="single" w:sz="4" w:space="0" w:color="000000"/>
              <w:right w:val="single" w:sz="4" w:space="0" w:color="000000"/>
            </w:tcBorders>
            <w:vAlign w:val="center"/>
            <w:hideMark/>
          </w:tcPr>
          <w:p w14:paraId="39888833" w14:textId="77777777" w:rsidR="00272AAC" w:rsidRPr="001E4B2F" w:rsidRDefault="00272AAC" w:rsidP="001E4B2F">
            <w:pPr>
              <w:ind w:firstLine="0"/>
              <w:jc w:val="left"/>
              <w:rPr>
                <w:rFonts w:eastAsia="Times New Roman" w:cs="Times New Roman"/>
                <w:color w:val="000000"/>
                <w:sz w:val="20"/>
                <w:szCs w:val="20"/>
                <w:lang w:eastAsia="ru-RU"/>
              </w:rPr>
            </w:pPr>
          </w:p>
        </w:tc>
        <w:tc>
          <w:tcPr>
            <w:tcW w:w="788" w:type="pct"/>
            <w:vMerge/>
            <w:tcBorders>
              <w:left w:val="single" w:sz="4" w:space="0" w:color="000000"/>
              <w:right w:val="single" w:sz="4" w:space="0" w:color="000000"/>
            </w:tcBorders>
            <w:vAlign w:val="center"/>
            <w:hideMark/>
          </w:tcPr>
          <w:p w14:paraId="45DDDECC" w14:textId="77777777" w:rsidR="00272AAC" w:rsidRPr="001E4B2F" w:rsidRDefault="00272AAC" w:rsidP="001E4B2F">
            <w:pPr>
              <w:ind w:firstLine="0"/>
              <w:jc w:val="left"/>
              <w:rPr>
                <w:rFonts w:eastAsia="Times New Roman" w:cs="Times New Roman"/>
                <w:color w:val="000000"/>
                <w:sz w:val="20"/>
                <w:szCs w:val="20"/>
                <w:lang w:eastAsia="ru-RU"/>
              </w:rPr>
            </w:pPr>
          </w:p>
        </w:tc>
        <w:tc>
          <w:tcPr>
            <w:tcW w:w="370" w:type="pct"/>
            <w:vMerge/>
            <w:tcBorders>
              <w:left w:val="single" w:sz="4" w:space="0" w:color="000000"/>
              <w:right w:val="single" w:sz="4" w:space="0" w:color="000000"/>
            </w:tcBorders>
            <w:vAlign w:val="center"/>
            <w:hideMark/>
          </w:tcPr>
          <w:p w14:paraId="6BB922E1" w14:textId="77777777" w:rsidR="00272AAC" w:rsidRPr="001E4B2F" w:rsidRDefault="00272AAC" w:rsidP="001E4B2F">
            <w:pPr>
              <w:ind w:firstLine="0"/>
              <w:jc w:val="left"/>
              <w:rPr>
                <w:rFonts w:eastAsia="Times New Roman" w:cs="Times New Roman"/>
                <w:color w:val="000000"/>
                <w:sz w:val="20"/>
                <w:szCs w:val="20"/>
                <w:lang w:eastAsia="ru-RU"/>
              </w:rPr>
            </w:pPr>
          </w:p>
        </w:tc>
        <w:tc>
          <w:tcPr>
            <w:tcW w:w="559" w:type="pct"/>
            <w:tcBorders>
              <w:top w:val="nil"/>
              <w:left w:val="nil"/>
              <w:bottom w:val="single" w:sz="4" w:space="0" w:color="000000"/>
              <w:right w:val="single" w:sz="4" w:space="0" w:color="000000"/>
            </w:tcBorders>
            <w:shd w:val="clear" w:color="auto" w:fill="auto"/>
            <w:vAlign w:val="center"/>
            <w:hideMark/>
          </w:tcPr>
          <w:p w14:paraId="387C0BB9" w14:textId="77777777" w:rsidR="00272AAC" w:rsidRPr="001E4B2F" w:rsidRDefault="00272AAC" w:rsidP="001E4B2F">
            <w:pPr>
              <w:ind w:firstLine="0"/>
              <w:jc w:val="center"/>
              <w:rPr>
                <w:rFonts w:eastAsia="Times New Roman" w:cs="Times New Roman"/>
                <w:color w:val="000000"/>
                <w:sz w:val="20"/>
                <w:szCs w:val="20"/>
                <w:lang w:eastAsia="ru-RU"/>
              </w:rPr>
            </w:pPr>
            <w:r w:rsidRPr="001E4B2F">
              <w:rPr>
                <w:rFonts w:eastAsia="Times New Roman" w:cs="Times New Roman"/>
                <w:color w:val="000000"/>
                <w:sz w:val="20"/>
                <w:szCs w:val="20"/>
                <w:lang w:eastAsia="ru-RU"/>
              </w:rPr>
              <w:t>ОНС</w:t>
            </w:r>
          </w:p>
        </w:tc>
        <w:tc>
          <w:tcPr>
            <w:tcW w:w="528" w:type="pct"/>
            <w:vMerge/>
            <w:tcBorders>
              <w:top w:val="nil"/>
              <w:left w:val="single" w:sz="4" w:space="0" w:color="000000"/>
              <w:bottom w:val="single" w:sz="4" w:space="0" w:color="000000"/>
              <w:right w:val="single" w:sz="4" w:space="0" w:color="000000"/>
            </w:tcBorders>
            <w:vAlign w:val="center"/>
            <w:hideMark/>
          </w:tcPr>
          <w:p w14:paraId="09DA86F6" w14:textId="77777777" w:rsidR="00272AAC" w:rsidRPr="001E4B2F" w:rsidRDefault="00272AAC" w:rsidP="001E4B2F">
            <w:pPr>
              <w:ind w:firstLine="0"/>
              <w:jc w:val="left"/>
              <w:rPr>
                <w:rFonts w:eastAsia="Times New Roman" w:cs="Times New Roman"/>
                <w:color w:val="000000"/>
                <w:sz w:val="20"/>
                <w:szCs w:val="20"/>
                <w:lang w:eastAsia="ru-RU"/>
              </w:rPr>
            </w:pPr>
          </w:p>
        </w:tc>
        <w:tc>
          <w:tcPr>
            <w:tcW w:w="611" w:type="pct"/>
            <w:tcBorders>
              <w:top w:val="nil"/>
              <w:left w:val="nil"/>
              <w:bottom w:val="single" w:sz="4" w:space="0" w:color="000000"/>
              <w:right w:val="single" w:sz="4" w:space="0" w:color="000000"/>
            </w:tcBorders>
            <w:shd w:val="clear" w:color="auto" w:fill="auto"/>
            <w:vAlign w:val="center"/>
            <w:hideMark/>
          </w:tcPr>
          <w:p w14:paraId="1F783B2C" w14:textId="77777777" w:rsidR="00272AAC" w:rsidRPr="001E4B2F" w:rsidRDefault="00272AAC" w:rsidP="001E4B2F">
            <w:pPr>
              <w:ind w:firstLine="0"/>
              <w:jc w:val="center"/>
              <w:rPr>
                <w:rFonts w:eastAsia="Times New Roman" w:cs="Times New Roman"/>
                <w:color w:val="000000"/>
                <w:sz w:val="20"/>
                <w:szCs w:val="20"/>
                <w:lang w:eastAsia="ru-RU"/>
              </w:rPr>
            </w:pPr>
            <w:r w:rsidRPr="001E4B2F">
              <w:rPr>
                <w:rFonts w:eastAsia="Times New Roman" w:cs="Times New Roman"/>
                <w:color w:val="000000"/>
                <w:sz w:val="20"/>
                <w:szCs w:val="20"/>
                <w:lang w:eastAsia="ru-RU"/>
              </w:rPr>
              <w:t> </w:t>
            </w:r>
          </w:p>
        </w:tc>
        <w:tc>
          <w:tcPr>
            <w:tcW w:w="347" w:type="pct"/>
            <w:tcBorders>
              <w:top w:val="nil"/>
              <w:left w:val="nil"/>
              <w:bottom w:val="single" w:sz="4" w:space="0" w:color="000000"/>
              <w:right w:val="single" w:sz="4" w:space="0" w:color="000000"/>
            </w:tcBorders>
            <w:shd w:val="clear" w:color="auto" w:fill="auto"/>
            <w:vAlign w:val="center"/>
            <w:hideMark/>
          </w:tcPr>
          <w:p w14:paraId="6282DC7A" w14:textId="77777777" w:rsidR="00272AAC" w:rsidRPr="001E4B2F" w:rsidRDefault="00272AAC" w:rsidP="001E4B2F">
            <w:pPr>
              <w:ind w:firstLine="0"/>
              <w:jc w:val="center"/>
              <w:rPr>
                <w:rFonts w:eastAsia="Times New Roman" w:cs="Times New Roman"/>
                <w:color w:val="000000"/>
                <w:sz w:val="20"/>
                <w:szCs w:val="20"/>
                <w:lang w:eastAsia="ru-RU"/>
              </w:rPr>
            </w:pPr>
            <w:r w:rsidRPr="001E4B2F">
              <w:rPr>
                <w:rFonts w:eastAsia="Times New Roman" w:cs="Times New Roman"/>
                <w:color w:val="000000"/>
                <w:sz w:val="20"/>
                <w:szCs w:val="20"/>
                <w:lang w:eastAsia="ru-RU"/>
              </w:rPr>
              <w:t>1.3.</w:t>
            </w:r>
          </w:p>
        </w:tc>
        <w:tc>
          <w:tcPr>
            <w:tcW w:w="471" w:type="pct"/>
            <w:tcBorders>
              <w:top w:val="nil"/>
              <w:left w:val="nil"/>
              <w:bottom w:val="single" w:sz="4" w:space="0" w:color="000000"/>
              <w:right w:val="single" w:sz="4" w:space="0" w:color="000000"/>
            </w:tcBorders>
            <w:shd w:val="clear" w:color="auto" w:fill="auto"/>
            <w:noWrap/>
            <w:vAlign w:val="bottom"/>
            <w:hideMark/>
          </w:tcPr>
          <w:p w14:paraId="515117D3" w14:textId="77777777" w:rsidR="00272AAC" w:rsidRPr="001E4B2F" w:rsidRDefault="00272AAC" w:rsidP="001E4B2F">
            <w:pPr>
              <w:ind w:firstLine="0"/>
              <w:jc w:val="left"/>
              <w:rPr>
                <w:rFonts w:eastAsia="Times New Roman" w:cs="Times New Roman"/>
                <w:color w:val="000000"/>
                <w:sz w:val="20"/>
                <w:szCs w:val="20"/>
                <w:lang w:eastAsia="ru-RU"/>
              </w:rPr>
            </w:pPr>
            <w:r w:rsidRPr="001E4B2F">
              <w:rPr>
                <w:rFonts w:eastAsia="Times New Roman" w:cs="Times New Roman"/>
                <w:color w:val="000000"/>
                <w:sz w:val="20"/>
                <w:szCs w:val="20"/>
                <w:lang w:eastAsia="ru-RU"/>
              </w:rPr>
              <w:t>Сравнительный</w:t>
            </w:r>
          </w:p>
        </w:tc>
        <w:tc>
          <w:tcPr>
            <w:tcW w:w="378" w:type="pct"/>
            <w:tcBorders>
              <w:top w:val="nil"/>
              <w:left w:val="nil"/>
              <w:bottom w:val="single" w:sz="4" w:space="0" w:color="000000"/>
              <w:right w:val="single" w:sz="4" w:space="0" w:color="000000"/>
            </w:tcBorders>
            <w:shd w:val="clear" w:color="auto" w:fill="auto"/>
            <w:noWrap/>
            <w:vAlign w:val="bottom"/>
            <w:hideMark/>
          </w:tcPr>
          <w:p w14:paraId="2F0BDBE2" w14:textId="77777777" w:rsidR="00272AAC" w:rsidRPr="001E4B2F" w:rsidRDefault="00272AAC" w:rsidP="001E4B2F">
            <w:pPr>
              <w:ind w:firstLine="0"/>
              <w:jc w:val="left"/>
              <w:rPr>
                <w:rFonts w:eastAsia="Times New Roman" w:cs="Times New Roman"/>
                <w:color w:val="000000"/>
                <w:sz w:val="20"/>
                <w:szCs w:val="20"/>
                <w:lang w:eastAsia="ru-RU"/>
              </w:rPr>
            </w:pPr>
            <w:r w:rsidRPr="001E4B2F">
              <w:rPr>
                <w:rFonts w:eastAsia="Times New Roman" w:cs="Times New Roman"/>
                <w:color w:val="000000"/>
                <w:sz w:val="20"/>
                <w:szCs w:val="20"/>
                <w:lang w:eastAsia="ru-RU"/>
              </w:rPr>
              <w:t>Массовый</w:t>
            </w:r>
          </w:p>
        </w:tc>
        <w:tc>
          <w:tcPr>
            <w:tcW w:w="708" w:type="pct"/>
            <w:tcBorders>
              <w:top w:val="nil"/>
              <w:left w:val="nil"/>
              <w:bottom w:val="single" w:sz="4" w:space="0" w:color="000000"/>
              <w:right w:val="single" w:sz="4" w:space="0" w:color="000000"/>
            </w:tcBorders>
            <w:shd w:val="clear" w:color="auto" w:fill="auto"/>
            <w:noWrap/>
            <w:vAlign w:val="bottom"/>
            <w:hideMark/>
          </w:tcPr>
          <w:p w14:paraId="74FF4BF5" w14:textId="77777777" w:rsidR="00272AAC" w:rsidRPr="001E4B2F" w:rsidRDefault="00272AAC" w:rsidP="001E4B2F">
            <w:pPr>
              <w:ind w:firstLine="0"/>
              <w:jc w:val="left"/>
              <w:rPr>
                <w:rFonts w:eastAsia="Times New Roman" w:cs="Times New Roman"/>
                <w:color w:val="000000"/>
                <w:sz w:val="20"/>
                <w:szCs w:val="20"/>
                <w:lang w:eastAsia="ru-RU"/>
              </w:rPr>
            </w:pPr>
            <w:r w:rsidRPr="001E4B2F">
              <w:rPr>
                <w:rFonts w:eastAsia="Times New Roman" w:cs="Times New Roman"/>
                <w:color w:val="000000"/>
                <w:sz w:val="20"/>
                <w:szCs w:val="20"/>
                <w:lang w:eastAsia="ru-RU"/>
              </w:rPr>
              <w:t>Метод УПКС (минимальное)</w:t>
            </w:r>
          </w:p>
        </w:tc>
      </w:tr>
      <w:tr w:rsidR="00272AAC" w:rsidRPr="001E4B2F" w14:paraId="34835E49" w14:textId="77777777" w:rsidTr="00AA2A17">
        <w:trPr>
          <w:trHeight w:val="510"/>
        </w:trPr>
        <w:tc>
          <w:tcPr>
            <w:tcW w:w="240" w:type="pct"/>
            <w:vMerge/>
            <w:tcBorders>
              <w:left w:val="single" w:sz="4" w:space="0" w:color="000000"/>
              <w:right w:val="single" w:sz="4" w:space="0" w:color="000000"/>
            </w:tcBorders>
            <w:vAlign w:val="center"/>
            <w:hideMark/>
          </w:tcPr>
          <w:p w14:paraId="28DFE3D9" w14:textId="77777777" w:rsidR="00272AAC" w:rsidRPr="001E4B2F" w:rsidRDefault="00272AAC" w:rsidP="001E4B2F">
            <w:pPr>
              <w:ind w:firstLine="0"/>
              <w:jc w:val="left"/>
              <w:rPr>
                <w:rFonts w:eastAsia="Times New Roman" w:cs="Times New Roman"/>
                <w:color w:val="000000"/>
                <w:sz w:val="20"/>
                <w:szCs w:val="20"/>
                <w:lang w:eastAsia="ru-RU"/>
              </w:rPr>
            </w:pPr>
          </w:p>
        </w:tc>
        <w:tc>
          <w:tcPr>
            <w:tcW w:w="788" w:type="pct"/>
            <w:vMerge/>
            <w:tcBorders>
              <w:left w:val="single" w:sz="4" w:space="0" w:color="000000"/>
              <w:right w:val="single" w:sz="4" w:space="0" w:color="000000"/>
            </w:tcBorders>
            <w:vAlign w:val="center"/>
            <w:hideMark/>
          </w:tcPr>
          <w:p w14:paraId="3034C3C4" w14:textId="77777777" w:rsidR="00272AAC" w:rsidRPr="001E4B2F" w:rsidRDefault="00272AAC" w:rsidP="001E4B2F">
            <w:pPr>
              <w:ind w:firstLine="0"/>
              <w:jc w:val="left"/>
              <w:rPr>
                <w:rFonts w:eastAsia="Times New Roman" w:cs="Times New Roman"/>
                <w:color w:val="000000"/>
                <w:sz w:val="20"/>
                <w:szCs w:val="20"/>
                <w:lang w:eastAsia="ru-RU"/>
              </w:rPr>
            </w:pPr>
          </w:p>
        </w:tc>
        <w:tc>
          <w:tcPr>
            <w:tcW w:w="370" w:type="pct"/>
            <w:vMerge/>
            <w:tcBorders>
              <w:left w:val="single" w:sz="4" w:space="0" w:color="000000"/>
              <w:right w:val="single" w:sz="4" w:space="0" w:color="000000"/>
            </w:tcBorders>
            <w:vAlign w:val="center"/>
            <w:hideMark/>
          </w:tcPr>
          <w:p w14:paraId="73470390" w14:textId="77777777" w:rsidR="00272AAC" w:rsidRPr="001E4B2F" w:rsidRDefault="00272AAC" w:rsidP="001E4B2F">
            <w:pPr>
              <w:ind w:firstLine="0"/>
              <w:jc w:val="left"/>
              <w:rPr>
                <w:rFonts w:eastAsia="Times New Roman" w:cs="Times New Roman"/>
                <w:color w:val="000000"/>
                <w:sz w:val="20"/>
                <w:szCs w:val="20"/>
                <w:lang w:eastAsia="ru-RU"/>
              </w:rPr>
            </w:pPr>
          </w:p>
        </w:tc>
        <w:tc>
          <w:tcPr>
            <w:tcW w:w="559" w:type="pct"/>
            <w:vMerge w:val="restart"/>
            <w:tcBorders>
              <w:top w:val="nil"/>
              <w:left w:val="single" w:sz="4" w:space="0" w:color="000000"/>
              <w:right w:val="single" w:sz="4" w:space="0" w:color="000000"/>
            </w:tcBorders>
            <w:shd w:val="clear" w:color="auto" w:fill="auto"/>
            <w:vAlign w:val="center"/>
            <w:hideMark/>
          </w:tcPr>
          <w:p w14:paraId="0660AD34" w14:textId="77777777" w:rsidR="00272AAC" w:rsidRPr="001E4B2F" w:rsidRDefault="00272AAC" w:rsidP="001E4B2F">
            <w:pPr>
              <w:ind w:firstLine="0"/>
              <w:jc w:val="center"/>
              <w:rPr>
                <w:rFonts w:eastAsia="Times New Roman" w:cs="Times New Roman"/>
                <w:color w:val="000000"/>
                <w:sz w:val="20"/>
                <w:szCs w:val="20"/>
                <w:lang w:eastAsia="ru-RU"/>
              </w:rPr>
            </w:pPr>
            <w:r w:rsidRPr="001E4B2F">
              <w:rPr>
                <w:rFonts w:eastAsia="Times New Roman" w:cs="Times New Roman"/>
                <w:color w:val="000000"/>
                <w:sz w:val="20"/>
                <w:szCs w:val="20"/>
                <w:lang w:eastAsia="ru-RU"/>
              </w:rPr>
              <w:t>Помещения</w:t>
            </w:r>
          </w:p>
        </w:tc>
        <w:tc>
          <w:tcPr>
            <w:tcW w:w="528" w:type="pct"/>
            <w:tcBorders>
              <w:top w:val="nil"/>
              <w:left w:val="nil"/>
              <w:bottom w:val="single" w:sz="4" w:space="0" w:color="000000"/>
              <w:right w:val="single" w:sz="4" w:space="0" w:color="000000"/>
            </w:tcBorders>
            <w:shd w:val="clear" w:color="auto" w:fill="auto"/>
            <w:vAlign w:val="center"/>
            <w:hideMark/>
          </w:tcPr>
          <w:p w14:paraId="45E165C1" w14:textId="77777777" w:rsidR="00272AAC" w:rsidRPr="001E4B2F" w:rsidRDefault="00272AAC" w:rsidP="001E4B2F">
            <w:pPr>
              <w:ind w:firstLine="0"/>
              <w:jc w:val="center"/>
              <w:rPr>
                <w:rFonts w:eastAsia="Times New Roman" w:cs="Times New Roman"/>
                <w:color w:val="000000"/>
                <w:sz w:val="20"/>
                <w:szCs w:val="20"/>
                <w:lang w:eastAsia="ru-RU"/>
              </w:rPr>
            </w:pPr>
            <w:r w:rsidRPr="001E4B2F">
              <w:rPr>
                <w:rFonts w:eastAsia="Times New Roman" w:cs="Times New Roman"/>
                <w:color w:val="000000"/>
                <w:sz w:val="20"/>
                <w:szCs w:val="20"/>
                <w:lang w:eastAsia="ru-RU"/>
              </w:rPr>
              <w:t>МР</w:t>
            </w:r>
          </w:p>
        </w:tc>
        <w:tc>
          <w:tcPr>
            <w:tcW w:w="611" w:type="pct"/>
            <w:tcBorders>
              <w:top w:val="nil"/>
              <w:left w:val="nil"/>
              <w:bottom w:val="single" w:sz="4" w:space="0" w:color="000000"/>
              <w:right w:val="single" w:sz="4" w:space="0" w:color="000000"/>
            </w:tcBorders>
            <w:shd w:val="clear" w:color="auto" w:fill="auto"/>
            <w:vAlign w:val="center"/>
            <w:hideMark/>
          </w:tcPr>
          <w:p w14:paraId="730969FD" w14:textId="77777777" w:rsidR="00272AAC" w:rsidRPr="001E4B2F" w:rsidRDefault="00272AAC" w:rsidP="001E4B2F">
            <w:pPr>
              <w:ind w:firstLine="0"/>
              <w:jc w:val="center"/>
              <w:rPr>
                <w:rFonts w:eastAsia="Times New Roman" w:cs="Times New Roman"/>
                <w:color w:val="000000"/>
                <w:sz w:val="20"/>
                <w:szCs w:val="20"/>
                <w:lang w:eastAsia="ru-RU"/>
              </w:rPr>
            </w:pPr>
            <w:r w:rsidRPr="001E4B2F">
              <w:rPr>
                <w:rFonts w:eastAsia="Times New Roman" w:cs="Times New Roman"/>
                <w:color w:val="000000"/>
                <w:sz w:val="20"/>
                <w:szCs w:val="20"/>
                <w:lang w:eastAsia="ru-RU"/>
              </w:rPr>
              <w:t> </w:t>
            </w:r>
          </w:p>
        </w:tc>
        <w:tc>
          <w:tcPr>
            <w:tcW w:w="347" w:type="pct"/>
            <w:tcBorders>
              <w:top w:val="nil"/>
              <w:left w:val="nil"/>
              <w:bottom w:val="single" w:sz="4" w:space="0" w:color="000000"/>
              <w:right w:val="single" w:sz="4" w:space="0" w:color="000000"/>
            </w:tcBorders>
            <w:shd w:val="clear" w:color="auto" w:fill="auto"/>
            <w:vAlign w:val="center"/>
            <w:hideMark/>
          </w:tcPr>
          <w:p w14:paraId="4B33F6AF" w14:textId="77777777" w:rsidR="00272AAC" w:rsidRPr="001E4B2F" w:rsidRDefault="00272AAC" w:rsidP="001E4B2F">
            <w:pPr>
              <w:ind w:firstLine="0"/>
              <w:jc w:val="center"/>
              <w:rPr>
                <w:rFonts w:eastAsia="Times New Roman" w:cs="Times New Roman"/>
                <w:color w:val="000000"/>
                <w:sz w:val="20"/>
                <w:szCs w:val="20"/>
                <w:lang w:eastAsia="ru-RU"/>
              </w:rPr>
            </w:pPr>
            <w:r w:rsidRPr="001E4B2F">
              <w:rPr>
                <w:rFonts w:eastAsia="Times New Roman" w:cs="Times New Roman"/>
                <w:color w:val="000000"/>
                <w:sz w:val="20"/>
                <w:szCs w:val="20"/>
                <w:lang w:eastAsia="ru-RU"/>
              </w:rPr>
              <w:t>1.2.</w:t>
            </w:r>
          </w:p>
        </w:tc>
        <w:tc>
          <w:tcPr>
            <w:tcW w:w="471" w:type="pct"/>
            <w:tcBorders>
              <w:top w:val="nil"/>
              <w:left w:val="nil"/>
              <w:bottom w:val="single" w:sz="4" w:space="0" w:color="000000"/>
              <w:right w:val="single" w:sz="4" w:space="0" w:color="000000"/>
            </w:tcBorders>
            <w:shd w:val="clear" w:color="auto" w:fill="auto"/>
            <w:noWrap/>
            <w:vAlign w:val="bottom"/>
            <w:hideMark/>
          </w:tcPr>
          <w:p w14:paraId="238B8772" w14:textId="77777777" w:rsidR="00272AAC" w:rsidRPr="001E4B2F" w:rsidRDefault="00272AAC" w:rsidP="001E4B2F">
            <w:pPr>
              <w:ind w:firstLine="0"/>
              <w:jc w:val="left"/>
              <w:rPr>
                <w:rFonts w:eastAsia="Times New Roman" w:cs="Times New Roman"/>
                <w:color w:val="000000"/>
                <w:sz w:val="20"/>
                <w:szCs w:val="20"/>
                <w:lang w:eastAsia="ru-RU"/>
              </w:rPr>
            </w:pPr>
            <w:r w:rsidRPr="001E4B2F">
              <w:rPr>
                <w:rFonts w:eastAsia="Times New Roman" w:cs="Times New Roman"/>
                <w:color w:val="000000"/>
                <w:sz w:val="20"/>
                <w:szCs w:val="20"/>
                <w:lang w:eastAsia="ru-RU"/>
              </w:rPr>
              <w:t>Сравнительный</w:t>
            </w:r>
          </w:p>
        </w:tc>
        <w:tc>
          <w:tcPr>
            <w:tcW w:w="378" w:type="pct"/>
            <w:tcBorders>
              <w:top w:val="nil"/>
              <w:left w:val="nil"/>
              <w:bottom w:val="single" w:sz="4" w:space="0" w:color="000000"/>
              <w:right w:val="single" w:sz="4" w:space="0" w:color="000000"/>
            </w:tcBorders>
            <w:shd w:val="clear" w:color="auto" w:fill="auto"/>
            <w:noWrap/>
            <w:vAlign w:val="bottom"/>
            <w:hideMark/>
          </w:tcPr>
          <w:p w14:paraId="3AD7DB29" w14:textId="77777777" w:rsidR="00272AAC" w:rsidRPr="001E4B2F" w:rsidRDefault="00272AAC" w:rsidP="001E4B2F">
            <w:pPr>
              <w:ind w:firstLine="0"/>
              <w:jc w:val="left"/>
              <w:rPr>
                <w:rFonts w:eastAsia="Times New Roman" w:cs="Times New Roman"/>
                <w:color w:val="000000"/>
                <w:sz w:val="20"/>
                <w:szCs w:val="20"/>
                <w:lang w:eastAsia="ru-RU"/>
              </w:rPr>
            </w:pPr>
            <w:r w:rsidRPr="001E4B2F">
              <w:rPr>
                <w:rFonts w:eastAsia="Times New Roman" w:cs="Times New Roman"/>
                <w:color w:val="000000"/>
                <w:sz w:val="20"/>
                <w:szCs w:val="20"/>
                <w:lang w:eastAsia="ru-RU"/>
              </w:rPr>
              <w:t>Массовый</w:t>
            </w:r>
          </w:p>
        </w:tc>
        <w:tc>
          <w:tcPr>
            <w:tcW w:w="708" w:type="pct"/>
            <w:tcBorders>
              <w:top w:val="nil"/>
              <w:left w:val="nil"/>
              <w:bottom w:val="single" w:sz="4" w:space="0" w:color="000000"/>
              <w:right w:val="single" w:sz="4" w:space="0" w:color="000000"/>
            </w:tcBorders>
            <w:shd w:val="clear" w:color="auto" w:fill="auto"/>
            <w:noWrap/>
            <w:vAlign w:val="bottom"/>
            <w:hideMark/>
          </w:tcPr>
          <w:p w14:paraId="05FF76F6" w14:textId="77777777" w:rsidR="00272AAC" w:rsidRPr="001E4B2F" w:rsidRDefault="00272AAC" w:rsidP="001E4B2F">
            <w:pPr>
              <w:ind w:firstLine="0"/>
              <w:jc w:val="left"/>
              <w:rPr>
                <w:rFonts w:eastAsia="Times New Roman" w:cs="Times New Roman"/>
                <w:color w:val="000000"/>
                <w:sz w:val="20"/>
                <w:szCs w:val="20"/>
                <w:lang w:eastAsia="ru-RU"/>
              </w:rPr>
            </w:pPr>
            <w:r w:rsidRPr="001E4B2F">
              <w:rPr>
                <w:rFonts w:eastAsia="Times New Roman" w:cs="Times New Roman"/>
                <w:color w:val="000000"/>
                <w:sz w:val="20"/>
                <w:szCs w:val="20"/>
                <w:lang w:eastAsia="ru-RU"/>
              </w:rPr>
              <w:t>Метод УПКС (минимальное)</w:t>
            </w:r>
          </w:p>
        </w:tc>
      </w:tr>
      <w:tr w:rsidR="00272AAC" w:rsidRPr="001E4B2F" w14:paraId="743CD83C" w14:textId="77777777" w:rsidTr="00AA2A17">
        <w:trPr>
          <w:trHeight w:val="510"/>
        </w:trPr>
        <w:tc>
          <w:tcPr>
            <w:tcW w:w="240" w:type="pct"/>
            <w:vMerge/>
            <w:tcBorders>
              <w:left w:val="single" w:sz="4" w:space="0" w:color="000000"/>
              <w:right w:val="single" w:sz="4" w:space="0" w:color="000000"/>
            </w:tcBorders>
            <w:vAlign w:val="center"/>
            <w:hideMark/>
          </w:tcPr>
          <w:p w14:paraId="2EC4E2B9" w14:textId="77777777" w:rsidR="00272AAC" w:rsidRPr="001E4B2F" w:rsidRDefault="00272AAC" w:rsidP="001E4B2F">
            <w:pPr>
              <w:ind w:firstLine="0"/>
              <w:jc w:val="left"/>
              <w:rPr>
                <w:rFonts w:eastAsia="Times New Roman" w:cs="Times New Roman"/>
                <w:color w:val="000000"/>
                <w:sz w:val="20"/>
                <w:szCs w:val="20"/>
                <w:lang w:eastAsia="ru-RU"/>
              </w:rPr>
            </w:pPr>
          </w:p>
        </w:tc>
        <w:tc>
          <w:tcPr>
            <w:tcW w:w="788" w:type="pct"/>
            <w:vMerge/>
            <w:tcBorders>
              <w:left w:val="single" w:sz="4" w:space="0" w:color="000000"/>
              <w:right w:val="single" w:sz="4" w:space="0" w:color="000000"/>
            </w:tcBorders>
            <w:vAlign w:val="center"/>
            <w:hideMark/>
          </w:tcPr>
          <w:p w14:paraId="523AA2A1" w14:textId="77777777" w:rsidR="00272AAC" w:rsidRPr="001E4B2F" w:rsidRDefault="00272AAC" w:rsidP="001E4B2F">
            <w:pPr>
              <w:ind w:firstLine="0"/>
              <w:jc w:val="left"/>
              <w:rPr>
                <w:rFonts w:eastAsia="Times New Roman" w:cs="Times New Roman"/>
                <w:color w:val="000000"/>
                <w:sz w:val="20"/>
                <w:szCs w:val="20"/>
                <w:lang w:eastAsia="ru-RU"/>
              </w:rPr>
            </w:pPr>
          </w:p>
        </w:tc>
        <w:tc>
          <w:tcPr>
            <w:tcW w:w="370" w:type="pct"/>
            <w:vMerge/>
            <w:tcBorders>
              <w:left w:val="single" w:sz="4" w:space="0" w:color="000000"/>
              <w:right w:val="single" w:sz="4" w:space="0" w:color="000000"/>
            </w:tcBorders>
            <w:vAlign w:val="center"/>
            <w:hideMark/>
          </w:tcPr>
          <w:p w14:paraId="2E7DE902" w14:textId="77777777" w:rsidR="00272AAC" w:rsidRPr="001E4B2F" w:rsidRDefault="00272AAC" w:rsidP="001E4B2F">
            <w:pPr>
              <w:ind w:firstLine="0"/>
              <w:jc w:val="left"/>
              <w:rPr>
                <w:rFonts w:eastAsia="Times New Roman" w:cs="Times New Roman"/>
                <w:color w:val="000000"/>
                <w:sz w:val="20"/>
                <w:szCs w:val="20"/>
                <w:lang w:eastAsia="ru-RU"/>
              </w:rPr>
            </w:pPr>
          </w:p>
        </w:tc>
        <w:tc>
          <w:tcPr>
            <w:tcW w:w="559" w:type="pct"/>
            <w:vMerge/>
            <w:tcBorders>
              <w:left w:val="single" w:sz="4" w:space="0" w:color="000000"/>
              <w:right w:val="single" w:sz="4" w:space="0" w:color="000000"/>
            </w:tcBorders>
            <w:vAlign w:val="center"/>
            <w:hideMark/>
          </w:tcPr>
          <w:p w14:paraId="2F60C87F" w14:textId="77777777" w:rsidR="00272AAC" w:rsidRPr="001E4B2F" w:rsidRDefault="00272AAC" w:rsidP="001E4B2F">
            <w:pPr>
              <w:ind w:firstLine="0"/>
              <w:jc w:val="left"/>
              <w:rPr>
                <w:rFonts w:eastAsia="Times New Roman" w:cs="Times New Roman"/>
                <w:color w:val="000000"/>
                <w:sz w:val="20"/>
                <w:szCs w:val="20"/>
                <w:lang w:eastAsia="ru-RU"/>
              </w:rPr>
            </w:pPr>
          </w:p>
        </w:tc>
        <w:tc>
          <w:tcPr>
            <w:tcW w:w="528" w:type="pct"/>
            <w:vMerge w:val="restart"/>
            <w:tcBorders>
              <w:top w:val="nil"/>
              <w:left w:val="single" w:sz="4" w:space="0" w:color="000000"/>
              <w:bottom w:val="single" w:sz="4" w:space="0" w:color="000000"/>
              <w:right w:val="single" w:sz="4" w:space="0" w:color="000000"/>
            </w:tcBorders>
            <w:shd w:val="clear" w:color="auto" w:fill="auto"/>
            <w:vAlign w:val="center"/>
            <w:hideMark/>
          </w:tcPr>
          <w:p w14:paraId="2EF870A7" w14:textId="1E210F1B" w:rsidR="00272AAC" w:rsidRPr="001E4B2F" w:rsidRDefault="00272AAC" w:rsidP="001E4B2F">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Иные</w:t>
            </w:r>
            <w:r w:rsidRPr="001E4B2F">
              <w:rPr>
                <w:rFonts w:eastAsia="Times New Roman" w:cs="Times New Roman"/>
                <w:color w:val="000000"/>
                <w:sz w:val="20"/>
                <w:szCs w:val="20"/>
                <w:lang w:eastAsia="ru-RU"/>
              </w:rPr>
              <w:t xml:space="preserve"> ГНП</w:t>
            </w:r>
          </w:p>
        </w:tc>
        <w:tc>
          <w:tcPr>
            <w:tcW w:w="611" w:type="pct"/>
            <w:tcBorders>
              <w:top w:val="nil"/>
              <w:left w:val="nil"/>
              <w:bottom w:val="single" w:sz="4" w:space="0" w:color="000000"/>
              <w:right w:val="single" w:sz="4" w:space="0" w:color="000000"/>
            </w:tcBorders>
            <w:shd w:val="clear" w:color="auto" w:fill="auto"/>
            <w:vAlign w:val="center"/>
            <w:hideMark/>
          </w:tcPr>
          <w:p w14:paraId="0C067935" w14:textId="77777777" w:rsidR="00272AAC" w:rsidRPr="001E4B2F" w:rsidRDefault="00272AAC" w:rsidP="001E4B2F">
            <w:pPr>
              <w:ind w:firstLine="0"/>
              <w:jc w:val="center"/>
              <w:rPr>
                <w:rFonts w:eastAsia="Times New Roman" w:cs="Times New Roman"/>
                <w:color w:val="000000"/>
                <w:sz w:val="20"/>
                <w:szCs w:val="20"/>
                <w:lang w:eastAsia="ru-RU"/>
              </w:rPr>
            </w:pPr>
            <w:r w:rsidRPr="001E4B2F">
              <w:rPr>
                <w:rFonts w:eastAsia="Times New Roman" w:cs="Times New Roman"/>
                <w:color w:val="000000"/>
                <w:sz w:val="20"/>
                <w:szCs w:val="20"/>
                <w:lang w:eastAsia="ru-RU"/>
              </w:rPr>
              <w:t>Объекты с неполными харкетристиками</w:t>
            </w:r>
          </w:p>
        </w:tc>
        <w:tc>
          <w:tcPr>
            <w:tcW w:w="347" w:type="pct"/>
            <w:tcBorders>
              <w:top w:val="nil"/>
              <w:left w:val="nil"/>
              <w:bottom w:val="single" w:sz="4" w:space="0" w:color="000000"/>
              <w:right w:val="single" w:sz="4" w:space="0" w:color="000000"/>
            </w:tcBorders>
            <w:shd w:val="clear" w:color="auto" w:fill="auto"/>
            <w:vAlign w:val="center"/>
            <w:hideMark/>
          </w:tcPr>
          <w:p w14:paraId="6F64A51E" w14:textId="77777777" w:rsidR="00272AAC" w:rsidRPr="001E4B2F" w:rsidRDefault="00272AAC" w:rsidP="001E4B2F">
            <w:pPr>
              <w:ind w:firstLine="0"/>
              <w:jc w:val="center"/>
              <w:rPr>
                <w:rFonts w:eastAsia="Times New Roman" w:cs="Times New Roman"/>
                <w:color w:val="000000"/>
                <w:sz w:val="20"/>
                <w:szCs w:val="20"/>
                <w:lang w:eastAsia="ru-RU"/>
              </w:rPr>
            </w:pPr>
            <w:r w:rsidRPr="001E4B2F">
              <w:rPr>
                <w:rFonts w:eastAsia="Times New Roman" w:cs="Times New Roman"/>
                <w:color w:val="000000"/>
                <w:sz w:val="20"/>
                <w:szCs w:val="20"/>
                <w:lang w:eastAsia="ru-RU"/>
              </w:rPr>
              <w:t>1.4.</w:t>
            </w:r>
          </w:p>
        </w:tc>
        <w:tc>
          <w:tcPr>
            <w:tcW w:w="471" w:type="pct"/>
            <w:tcBorders>
              <w:top w:val="nil"/>
              <w:left w:val="nil"/>
              <w:bottom w:val="single" w:sz="4" w:space="0" w:color="000000"/>
              <w:right w:val="single" w:sz="4" w:space="0" w:color="000000"/>
            </w:tcBorders>
            <w:shd w:val="clear" w:color="auto" w:fill="auto"/>
            <w:noWrap/>
            <w:vAlign w:val="bottom"/>
            <w:hideMark/>
          </w:tcPr>
          <w:p w14:paraId="031F58F4" w14:textId="77777777" w:rsidR="00272AAC" w:rsidRPr="001E4B2F" w:rsidRDefault="00272AAC" w:rsidP="001E4B2F">
            <w:pPr>
              <w:ind w:firstLine="0"/>
              <w:jc w:val="left"/>
              <w:rPr>
                <w:rFonts w:eastAsia="Times New Roman" w:cs="Times New Roman"/>
                <w:color w:val="000000"/>
                <w:sz w:val="20"/>
                <w:szCs w:val="20"/>
                <w:lang w:eastAsia="ru-RU"/>
              </w:rPr>
            </w:pPr>
            <w:r w:rsidRPr="001E4B2F">
              <w:rPr>
                <w:rFonts w:eastAsia="Times New Roman" w:cs="Times New Roman"/>
                <w:color w:val="000000"/>
                <w:sz w:val="20"/>
                <w:szCs w:val="20"/>
                <w:lang w:eastAsia="ru-RU"/>
              </w:rPr>
              <w:t>Сравнительный</w:t>
            </w:r>
          </w:p>
        </w:tc>
        <w:tc>
          <w:tcPr>
            <w:tcW w:w="378" w:type="pct"/>
            <w:tcBorders>
              <w:top w:val="nil"/>
              <w:left w:val="nil"/>
              <w:bottom w:val="single" w:sz="4" w:space="0" w:color="000000"/>
              <w:right w:val="single" w:sz="4" w:space="0" w:color="000000"/>
            </w:tcBorders>
            <w:shd w:val="clear" w:color="auto" w:fill="auto"/>
            <w:noWrap/>
            <w:vAlign w:val="bottom"/>
            <w:hideMark/>
          </w:tcPr>
          <w:p w14:paraId="64A42F3A" w14:textId="77777777" w:rsidR="00272AAC" w:rsidRPr="001E4B2F" w:rsidRDefault="00272AAC" w:rsidP="001E4B2F">
            <w:pPr>
              <w:ind w:firstLine="0"/>
              <w:jc w:val="left"/>
              <w:rPr>
                <w:rFonts w:eastAsia="Times New Roman" w:cs="Times New Roman"/>
                <w:color w:val="000000"/>
                <w:sz w:val="20"/>
                <w:szCs w:val="20"/>
                <w:lang w:eastAsia="ru-RU"/>
              </w:rPr>
            </w:pPr>
            <w:r w:rsidRPr="001E4B2F">
              <w:rPr>
                <w:rFonts w:eastAsia="Times New Roman" w:cs="Times New Roman"/>
                <w:color w:val="000000"/>
                <w:sz w:val="20"/>
                <w:szCs w:val="20"/>
                <w:lang w:eastAsia="ru-RU"/>
              </w:rPr>
              <w:t>Массовый</w:t>
            </w:r>
          </w:p>
        </w:tc>
        <w:tc>
          <w:tcPr>
            <w:tcW w:w="708" w:type="pct"/>
            <w:tcBorders>
              <w:top w:val="nil"/>
              <w:left w:val="nil"/>
              <w:bottom w:val="single" w:sz="4" w:space="0" w:color="000000"/>
              <w:right w:val="single" w:sz="4" w:space="0" w:color="000000"/>
            </w:tcBorders>
            <w:shd w:val="clear" w:color="auto" w:fill="auto"/>
            <w:noWrap/>
            <w:vAlign w:val="bottom"/>
            <w:hideMark/>
          </w:tcPr>
          <w:p w14:paraId="09B4B2D2" w14:textId="77777777" w:rsidR="00272AAC" w:rsidRPr="001E4B2F" w:rsidRDefault="00272AAC" w:rsidP="001E4B2F">
            <w:pPr>
              <w:ind w:firstLine="0"/>
              <w:jc w:val="left"/>
              <w:rPr>
                <w:rFonts w:eastAsia="Times New Roman" w:cs="Times New Roman"/>
                <w:color w:val="000000"/>
                <w:sz w:val="20"/>
                <w:szCs w:val="20"/>
                <w:lang w:eastAsia="ru-RU"/>
              </w:rPr>
            </w:pPr>
            <w:r w:rsidRPr="001E4B2F">
              <w:rPr>
                <w:rFonts w:eastAsia="Times New Roman" w:cs="Times New Roman"/>
                <w:color w:val="000000"/>
                <w:sz w:val="20"/>
                <w:szCs w:val="20"/>
                <w:lang w:eastAsia="ru-RU"/>
              </w:rPr>
              <w:t>Метод УПКС (минимальное)</w:t>
            </w:r>
          </w:p>
        </w:tc>
      </w:tr>
      <w:tr w:rsidR="00272AAC" w:rsidRPr="001E4B2F" w14:paraId="548F4CC7" w14:textId="77777777" w:rsidTr="00AA2A17">
        <w:trPr>
          <w:trHeight w:val="510"/>
        </w:trPr>
        <w:tc>
          <w:tcPr>
            <w:tcW w:w="240" w:type="pct"/>
            <w:vMerge/>
            <w:tcBorders>
              <w:left w:val="single" w:sz="4" w:space="0" w:color="000000"/>
              <w:right w:val="single" w:sz="4" w:space="0" w:color="000000"/>
            </w:tcBorders>
            <w:vAlign w:val="center"/>
            <w:hideMark/>
          </w:tcPr>
          <w:p w14:paraId="5D406D9B" w14:textId="77777777" w:rsidR="00272AAC" w:rsidRPr="001E4B2F" w:rsidRDefault="00272AAC" w:rsidP="001E4B2F">
            <w:pPr>
              <w:ind w:firstLine="0"/>
              <w:jc w:val="left"/>
              <w:rPr>
                <w:rFonts w:eastAsia="Times New Roman" w:cs="Times New Roman"/>
                <w:color w:val="000000"/>
                <w:sz w:val="20"/>
                <w:szCs w:val="20"/>
                <w:lang w:eastAsia="ru-RU"/>
              </w:rPr>
            </w:pPr>
          </w:p>
        </w:tc>
        <w:tc>
          <w:tcPr>
            <w:tcW w:w="788" w:type="pct"/>
            <w:vMerge/>
            <w:tcBorders>
              <w:left w:val="single" w:sz="4" w:space="0" w:color="000000"/>
              <w:right w:val="single" w:sz="4" w:space="0" w:color="000000"/>
            </w:tcBorders>
            <w:vAlign w:val="center"/>
            <w:hideMark/>
          </w:tcPr>
          <w:p w14:paraId="0BB9BE3C" w14:textId="77777777" w:rsidR="00272AAC" w:rsidRPr="001E4B2F" w:rsidRDefault="00272AAC" w:rsidP="001E4B2F">
            <w:pPr>
              <w:ind w:firstLine="0"/>
              <w:jc w:val="left"/>
              <w:rPr>
                <w:rFonts w:eastAsia="Times New Roman" w:cs="Times New Roman"/>
                <w:color w:val="000000"/>
                <w:sz w:val="20"/>
                <w:szCs w:val="20"/>
                <w:lang w:eastAsia="ru-RU"/>
              </w:rPr>
            </w:pPr>
          </w:p>
        </w:tc>
        <w:tc>
          <w:tcPr>
            <w:tcW w:w="370" w:type="pct"/>
            <w:vMerge/>
            <w:tcBorders>
              <w:left w:val="single" w:sz="4" w:space="0" w:color="000000"/>
              <w:right w:val="single" w:sz="4" w:space="0" w:color="000000"/>
            </w:tcBorders>
            <w:vAlign w:val="center"/>
            <w:hideMark/>
          </w:tcPr>
          <w:p w14:paraId="6FC3BEFD" w14:textId="77777777" w:rsidR="00272AAC" w:rsidRPr="001E4B2F" w:rsidRDefault="00272AAC" w:rsidP="001E4B2F">
            <w:pPr>
              <w:ind w:firstLine="0"/>
              <w:jc w:val="left"/>
              <w:rPr>
                <w:rFonts w:eastAsia="Times New Roman" w:cs="Times New Roman"/>
                <w:color w:val="000000"/>
                <w:sz w:val="20"/>
                <w:szCs w:val="20"/>
                <w:lang w:eastAsia="ru-RU"/>
              </w:rPr>
            </w:pPr>
          </w:p>
        </w:tc>
        <w:tc>
          <w:tcPr>
            <w:tcW w:w="559" w:type="pct"/>
            <w:vMerge/>
            <w:tcBorders>
              <w:left w:val="single" w:sz="4" w:space="0" w:color="000000"/>
              <w:right w:val="single" w:sz="4" w:space="0" w:color="000000"/>
            </w:tcBorders>
            <w:vAlign w:val="center"/>
            <w:hideMark/>
          </w:tcPr>
          <w:p w14:paraId="4382DCC8" w14:textId="77777777" w:rsidR="00272AAC" w:rsidRPr="001E4B2F" w:rsidRDefault="00272AAC" w:rsidP="001E4B2F">
            <w:pPr>
              <w:ind w:firstLine="0"/>
              <w:jc w:val="left"/>
              <w:rPr>
                <w:rFonts w:eastAsia="Times New Roman" w:cs="Times New Roman"/>
                <w:color w:val="000000"/>
                <w:sz w:val="20"/>
                <w:szCs w:val="20"/>
                <w:lang w:eastAsia="ru-RU"/>
              </w:rPr>
            </w:pPr>
          </w:p>
        </w:tc>
        <w:tc>
          <w:tcPr>
            <w:tcW w:w="528" w:type="pct"/>
            <w:vMerge/>
            <w:tcBorders>
              <w:top w:val="nil"/>
              <w:left w:val="single" w:sz="4" w:space="0" w:color="000000"/>
              <w:bottom w:val="single" w:sz="4" w:space="0" w:color="000000"/>
              <w:right w:val="single" w:sz="4" w:space="0" w:color="000000"/>
            </w:tcBorders>
            <w:vAlign w:val="center"/>
            <w:hideMark/>
          </w:tcPr>
          <w:p w14:paraId="0E5CBBA7" w14:textId="77777777" w:rsidR="00272AAC" w:rsidRPr="001E4B2F" w:rsidRDefault="00272AAC" w:rsidP="001E4B2F">
            <w:pPr>
              <w:ind w:firstLine="0"/>
              <w:jc w:val="left"/>
              <w:rPr>
                <w:rFonts w:eastAsia="Times New Roman" w:cs="Times New Roman"/>
                <w:color w:val="000000"/>
                <w:sz w:val="20"/>
                <w:szCs w:val="20"/>
                <w:lang w:eastAsia="ru-RU"/>
              </w:rPr>
            </w:pPr>
          </w:p>
        </w:tc>
        <w:tc>
          <w:tcPr>
            <w:tcW w:w="611" w:type="pct"/>
            <w:tcBorders>
              <w:top w:val="nil"/>
              <w:left w:val="nil"/>
              <w:bottom w:val="single" w:sz="4" w:space="0" w:color="000000"/>
              <w:right w:val="single" w:sz="4" w:space="0" w:color="000000"/>
            </w:tcBorders>
            <w:shd w:val="clear" w:color="auto" w:fill="auto"/>
            <w:vAlign w:val="center"/>
            <w:hideMark/>
          </w:tcPr>
          <w:p w14:paraId="1697A4BA" w14:textId="77777777" w:rsidR="00272AAC" w:rsidRPr="001E4B2F" w:rsidRDefault="00272AAC" w:rsidP="001E4B2F">
            <w:pPr>
              <w:ind w:firstLine="0"/>
              <w:jc w:val="center"/>
              <w:rPr>
                <w:rFonts w:eastAsia="Times New Roman" w:cs="Times New Roman"/>
                <w:color w:val="000000"/>
                <w:sz w:val="20"/>
                <w:szCs w:val="20"/>
                <w:lang w:eastAsia="ru-RU"/>
              </w:rPr>
            </w:pPr>
            <w:r w:rsidRPr="001E4B2F">
              <w:rPr>
                <w:rFonts w:eastAsia="Times New Roman" w:cs="Times New Roman"/>
                <w:color w:val="000000"/>
                <w:sz w:val="20"/>
                <w:szCs w:val="20"/>
                <w:lang w:eastAsia="ru-RU"/>
              </w:rPr>
              <w:t>Объекты с полными характеристиками</w:t>
            </w:r>
          </w:p>
        </w:tc>
        <w:tc>
          <w:tcPr>
            <w:tcW w:w="347" w:type="pct"/>
            <w:tcBorders>
              <w:top w:val="nil"/>
              <w:left w:val="nil"/>
              <w:bottom w:val="single" w:sz="4" w:space="0" w:color="000000"/>
              <w:right w:val="single" w:sz="4" w:space="0" w:color="000000"/>
            </w:tcBorders>
            <w:shd w:val="clear" w:color="auto" w:fill="auto"/>
            <w:vAlign w:val="center"/>
            <w:hideMark/>
          </w:tcPr>
          <w:p w14:paraId="529729BE" w14:textId="77777777" w:rsidR="00272AAC" w:rsidRPr="001E4B2F" w:rsidRDefault="00272AAC" w:rsidP="001E4B2F">
            <w:pPr>
              <w:ind w:firstLine="0"/>
              <w:jc w:val="center"/>
              <w:rPr>
                <w:rFonts w:eastAsia="Times New Roman" w:cs="Times New Roman"/>
                <w:color w:val="000000"/>
                <w:sz w:val="20"/>
                <w:szCs w:val="20"/>
                <w:lang w:eastAsia="ru-RU"/>
              </w:rPr>
            </w:pPr>
            <w:r w:rsidRPr="001E4B2F">
              <w:rPr>
                <w:rFonts w:eastAsia="Times New Roman" w:cs="Times New Roman"/>
                <w:color w:val="000000"/>
                <w:sz w:val="20"/>
                <w:szCs w:val="20"/>
                <w:lang w:eastAsia="ru-RU"/>
              </w:rPr>
              <w:t>1.5.</w:t>
            </w:r>
          </w:p>
        </w:tc>
        <w:tc>
          <w:tcPr>
            <w:tcW w:w="471" w:type="pct"/>
            <w:tcBorders>
              <w:top w:val="nil"/>
              <w:left w:val="nil"/>
              <w:bottom w:val="single" w:sz="4" w:space="0" w:color="000000"/>
              <w:right w:val="single" w:sz="4" w:space="0" w:color="000000"/>
            </w:tcBorders>
            <w:shd w:val="clear" w:color="auto" w:fill="auto"/>
            <w:noWrap/>
            <w:vAlign w:val="bottom"/>
            <w:hideMark/>
          </w:tcPr>
          <w:p w14:paraId="0C294461" w14:textId="77777777" w:rsidR="00272AAC" w:rsidRPr="001E4B2F" w:rsidRDefault="00272AAC" w:rsidP="001E4B2F">
            <w:pPr>
              <w:ind w:firstLine="0"/>
              <w:jc w:val="left"/>
              <w:rPr>
                <w:rFonts w:eastAsia="Times New Roman" w:cs="Times New Roman"/>
                <w:color w:val="000000"/>
                <w:sz w:val="20"/>
                <w:szCs w:val="20"/>
                <w:lang w:eastAsia="ru-RU"/>
              </w:rPr>
            </w:pPr>
            <w:r w:rsidRPr="001E4B2F">
              <w:rPr>
                <w:rFonts w:eastAsia="Times New Roman" w:cs="Times New Roman"/>
                <w:color w:val="000000"/>
                <w:sz w:val="20"/>
                <w:szCs w:val="20"/>
                <w:lang w:eastAsia="ru-RU"/>
              </w:rPr>
              <w:t>Сравнительный</w:t>
            </w:r>
          </w:p>
        </w:tc>
        <w:tc>
          <w:tcPr>
            <w:tcW w:w="378" w:type="pct"/>
            <w:tcBorders>
              <w:top w:val="nil"/>
              <w:left w:val="nil"/>
              <w:bottom w:val="single" w:sz="4" w:space="0" w:color="000000"/>
              <w:right w:val="single" w:sz="4" w:space="0" w:color="000000"/>
            </w:tcBorders>
            <w:shd w:val="clear" w:color="auto" w:fill="auto"/>
            <w:noWrap/>
            <w:vAlign w:val="bottom"/>
            <w:hideMark/>
          </w:tcPr>
          <w:p w14:paraId="2630F55D" w14:textId="77777777" w:rsidR="00272AAC" w:rsidRPr="001E4B2F" w:rsidRDefault="00272AAC" w:rsidP="001E4B2F">
            <w:pPr>
              <w:ind w:firstLine="0"/>
              <w:jc w:val="left"/>
              <w:rPr>
                <w:rFonts w:eastAsia="Times New Roman" w:cs="Times New Roman"/>
                <w:color w:val="000000"/>
                <w:sz w:val="20"/>
                <w:szCs w:val="20"/>
                <w:lang w:eastAsia="ru-RU"/>
              </w:rPr>
            </w:pPr>
            <w:r w:rsidRPr="001E4B2F">
              <w:rPr>
                <w:rFonts w:eastAsia="Times New Roman" w:cs="Times New Roman"/>
                <w:color w:val="000000"/>
                <w:sz w:val="20"/>
                <w:szCs w:val="20"/>
                <w:lang w:eastAsia="ru-RU"/>
              </w:rPr>
              <w:t>Массовый</w:t>
            </w:r>
          </w:p>
        </w:tc>
        <w:tc>
          <w:tcPr>
            <w:tcW w:w="708" w:type="pct"/>
            <w:tcBorders>
              <w:top w:val="nil"/>
              <w:left w:val="nil"/>
              <w:bottom w:val="single" w:sz="4" w:space="0" w:color="000000"/>
              <w:right w:val="single" w:sz="4" w:space="0" w:color="000000"/>
            </w:tcBorders>
            <w:shd w:val="clear" w:color="auto" w:fill="auto"/>
            <w:noWrap/>
            <w:vAlign w:val="bottom"/>
            <w:hideMark/>
          </w:tcPr>
          <w:p w14:paraId="3F41A622" w14:textId="77777777" w:rsidR="00272AAC" w:rsidRPr="001E4B2F" w:rsidRDefault="00272AAC" w:rsidP="001E4B2F">
            <w:pPr>
              <w:ind w:firstLine="0"/>
              <w:jc w:val="left"/>
              <w:rPr>
                <w:rFonts w:eastAsia="Times New Roman" w:cs="Times New Roman"/>
                <w:color w:val="000000"/>
                <w:sz w:val="20"/>
                <w:szCs w:val="20"/>
                <w:lang w:eastAsia="ru-RU"/>
              </w:rPr>
            </w:pPr>
            <w:r w:rsidRPr="001E4B2F">
              <w:rPr>
                <w:rFonts w:eastAsia="Times New Roman" w:cs="Times New Roman"/>
                <w:color w:val="000000"/>
                <w:sz w:val="20"/>
                <w:szCs w:val="20"/>
                <w:lang w:eastAsia="ru-RU"/>
              </w:rPr>
              <w:t>Метод статистического (регрессионного) моделирования</w:t>
            </w:r>
          </w:p>
        </w:tc>
      </w:tr>
      <w:tr w:rsidR="00272AAC" w:rsidRPr="001E4B2F" w14:paraId="0956324F" w14:textId="77777777" w:rsidTr="00AA2A17">
        <w:trPr>
          <w:trHeight w:val="255"/>
        </w:trPr>
        <w:tc>
          <w:tcPr>
            <w:tcW w:w="240" w:type="pct"/>
            <w:vMerge/>
            <w:tcBorders>
              <w:left w:val="single" w:sz="4" w:space="0" w:color="000000"/>
              <w:right w:val="single" w:sz="4" w:space="0" w:color="000000"/>
            </w:tcBorders>
            <w:vAlign w:val="center"/>
            <w:hideMark/>
          </w:tcPr>
          <w:p w14:paraId="188153C0" w14:textId="77777777" w:rsidR="00272AAC" w:rsidRPr="001E4B2F" w:rsidRDefault="00272AAC" w:rsidP="001E4B2F">
            <w:pPr>
              <w:ind w:firstLine="0"/>
              <w:jc w:val="left"/>
              <w:rPr>
                <w:rFonts w:eastAsia="Times New Roman" w:cs="Times New Roman"/>
                <w:color w:val="000000"/>
                <w:sz w:val="20"/>
                <w:szCs w:val="20"/>
                <w:lang w:eastAsia="ru-RU"/>
              </w:rPr>
            </w:pPr>
          </w:p>
        </w:tc>
        <w:tc>
          <w:tcPr>
            <w:tcW w:w="788" w:type="pct"/>
            <w:vMerge/>
            <w:tcBorders>
              <w:left w:val="single" w:sz="4" w:space="0" w:color="000000"/>
              <w:right w:val="single" w:sz="4" w:space="0" w:color="000000"/>
            </w:tcBorders>
            <w:vAlign w:val="center"/>
            <w:hideMark/>
          </w:tcPr>
          <w:p w14:paraId="34769DFB" w14:textId="77777777" w:rsidR="00272AAC" w:rsidRPr="001E4B2F" w:rsidRDefault="00272AAC" w:rsidP="001E4B2F">
            <w:pPr>
              <w:ind w:firstLine="0"/>
              <w:jc w:val="left"/>
              <w:rPr>
                <w:rFonts w:eastAsia="Times New Roman" w:cs="Times New Roman"/>
                <w:color w:val="000000"/>
                <w:sz w:val="20"/>
                <w:szCs w:val="20"/>
                <w:lang w:eastAsia="ru-RU"/>
              </w:rPr>
            </w:pPr>
          </w:p>
        </w:tc>
        <w:tc>
          <w:tcPr>
            <w:tcW w:w="370" w:type="pct"/>
            <w:vMerge/>
            <w:tcBorders>
              <w:left w:val="single" w:sz="4" w:space="0" w:color="000000"/>
              <w:right w:val="single" w:sz="4" w:space="0" w:color="000000"/>
            </w:tcBorders>
            <w:vAlign w:val="center"/>
            <w:hideMark/>
          </w:tcPr>
          <w:p w14:paraId="4597669F" w14:textId="77777777" w:rsidR="00272AAC" w:rsidRPr="001E4B2F" w:rsidRDefault="00272AAC" w:rsidP="001E4B2F">
            <w:pPr>
              <w:ind w:firstLine="0"/>
              <w:jc w:val="left"/>
              <w:rPr>
                <w:rFonts w:eastAsia="Times New Roman" w:cs="Times New Roman"/>
                <w:color w:val="000000"/>
                <w:sz w:val="20"/>
                <w:szCs w:val="20"/>
                <w:lang w:eastAsia="ru-RU"/>
              </w:rPr>
            </w:pPr>
          </w:p>
        </w:tc>
        <w:tc>
          <w:tcPr>
            <w:tcW w:w="559" w:type="pct"/>
            <w:vMerge/>
            <w:tcBorders>
              <w:left w:val="single" w:sz="4" w:space="0" w:color="000000"/>
              <w:right w:val="single" w:sz="4" w:space="0" w:color="000000"/>
            </w:tcBorders>
            <w:vAlign w:val="center"/>
            <w:hideMark/>
          </w:tcPr>
          <w:p w14:paraId="5C48C3B1" w14:textId="77777777" w:rsidR="00272AAC" w:rsidRPr="001E4B2F" w:rsidRDefault="00272AAC" w:rsidP="001E4B2F">
            <w:pPr>
              <w:ind w:firstLine="0"/>
              <w:jc w:val="left"/>
              <w:rPr>
                <w:rFonts w:eastAsia="Times New Roman" w:cs="Times New Roman"/>
                <w:color w:val="000000"/>
                <w:sz w:val="20"/>
                <w:szCs w:val="20"/>
                <w:lang w:eastAsia="ru-RU"/>
              </w:rPr>
            </w:pPr>
          </w:p>
        </w:tc>
        <w:tc>
          <w:tcPr>
            <w:tcW w:w="528" w:type="pct"/>
            <w:tcBorders>
              <w:top w:val="nil"/>
              <w:left w:val="nil"/>
              <w:bottom w:val="single" w:sz="4" w:space="0" w:color="000000"/>
              <w:right w:val="single" w:sz="4" w:space="0" w:color="000000"/>
            </w:tcBorders>
            <w:shd w:val="clear" w:color="auto" w:fill="auto"/>
            <w:vAlign w:val="center"/>
            <w:hideMark/>
          </w:tcPr>
          <w:p w14:paraId="6E8846A6" w14:textId="77777777" w:rsidR="00272AAC" w:rsidRPr="001E4B2F" w:rsidRDefault="00272AAC" w:rsidP="001E4B2F">
            <w:pPr>
              <w:ind w:firstLine="0"/>
              <w:jc w:val="center"/>
              <w:rPr>
                <w:rFonts w:eastAsia="Times New Roman" w:cs="Times New Roman"/>
                <w:color w:val="000000"/>
                <w:sz w:val="20"/>
                <w:szCs w:val="20"/>
                <w:lang w:eastAsia="ru-RU"/>
              </w:rPr>
            </w:pPr>
            <w:r w:rsidRPr="001E4B2F">
              <w:rPr>
                <w:rFonts w:eastAsia="Times New Roman" w:cs="Times New Roman"/>
                <w:color w:val="000000"/>
                <w:sz w:val="20"/>
                <w:szCs w:val="20"/>
                <w:lang w:eastAsia="ru-RU"/>
              </w:rPr>
              <w:t>СНП</w:t>
            </w:r>
          </w:p>
        </w:tc>
        <w:tc>
          <w:tcPr>
            <w:tcW w:w="611" w:type="pct"/>
            <w:tcBorders>
              <w:top w:val="nil"/>
              <w:left w:val="nil"/>
              <w:bottom w:val="single" w:sz="4" w:space="0" w:color="000000"/>
              <w:right w:val="single" w:sz="4" w:space="0" w:color="000000"/>
            </w:tcBorders>
            <w:shd w:val="clear" w:color="auto" w:fill="auto"/>
            <w:vAlign w:val="center"/>
            <w:hideMark/>
          </w:tcPr>
          <w:p w14:paraId="7D0B36FA" w14:textId="77777777" w:rsidR="00272AAC" w:rsidRPr="001E4B2F" w:rsidRDefault="00272AAC" w:rsidP="001E4B2F">
            <w:pPr>
              <w:ind w:firstLine="0"/>
              <w:jc w:val="center"/>
              <w:rPr>
                <w:rFonts w:eastAsia="Times New Roman" w:cs="Times New Roman"/>
                <w:color w:val="000000"/>
                <w:sz w:val="20"/>
                <w:szCs w:val="20"/>
                <w:lang w:eastAsia="ru-RU"/>
              </w:rPr>
            </w:pPr>
            <w:r w:rsidRPr="001E4B2F">
              <w:rPr>
                <w:rFonts w:eastAsia="Times New Roman" w:cs="Times New Roman"/>
                <w:color w:val="000000"/>
                <w:sz w:val="20"/>
                <w:szCs w:val="20"/>
                <w:lang w:eastAsia="ru-RU"/>
              </w:rPr>
              <w:t> </w:t>
            </w:r>
          </w:p>
        </w:tc>
        <w:tc>
          <w:tcPr>
            <w:tcW w:w="347" w:type="pct"/>
            <w:tcBorders>
              <w:top w:val="nil"/>
              <w:left w:val="nil"/>
              <w:bottom w:val="single" w:sz="4" w:space="0" w:color="000000"/>
              <w:right w:val="single" w:sz="4" w:space="0" w:color="000000"/>
            </w:tcBorders>
            <w:shd w:val="clear" w:color="auto" w:fill="auto"/>
            <w:vAlign w:val="center"/>
            <w:hideMark/>
          </w:tcPr>
          <w:p w14:paraId="32490B95" w14:textId="77777777" w:rsidR="00272AAC" w:rsidRPr="001E4B2F" w:rsidRDefault="00272AAC" w:rsidP="001E4B2F">
            <w:pPr>
              <w:ind w:firstLine="0"/>
              <w:jc w:val="center"/>
              <w:rPr>
                <w:rFonts w:eastAsia="Times New Roman" w:cs="Times New Roman"/>
                <w:color w:val="000000"/>
                <w:sz w:val="20"/>
                <w:szCs w:val="20"/>
                <w:lang w:eastAsia="ru-RU"/>
              </w:rPr>
            </w:pPr>
            <w:r w:rsidRPr="001E4B2F">
              <w:rPr>
                <w:rFonts w:eastAsia="Times New Roman" w:cs="Times New Roman"/>
                <w:color w:val="000000"/>
                <w:sz w:val="20"/>
                <w:szCs w:val="20"/>
                <w:lang w:eastAsia="ru-RU"/>
              </w:rPr>
              <w:t>1.6.</w:t>
            </w:r>
          </w:p>
        </w:tc>
        <w:tc>
          <w:tcPr>
            <w:tcW w:w="471" w:type="pct"/>
            <w:tcBorders>
              <w:top w:val="nil"/>
              <w:left w:val="nil"/>
              <w:bottom w:val="single" w:sz="4" w:space="0" w:color="000000"/>
              <w:right w:val="single" w:sz="4" w:space="0" w:color="000000"/>
            </w:tcBorders>
            <w:shd w:val="clear" w:color="auto" w:fill="auto"/>
            <w:noWrap/>
            <w:vAlign w:val="bottom"/>
            <w:hideMark/>
          </w:tcPr>
          <w:p w14:paraId="374E2939" w14:textId="77777777" w:rsidR="00272AAC" w:rsidRPr="001E4B2F" w:rsidRDefault="00272AAC" w:rsidP="001E4B2F">
            <w:pPr>
              <w:ind w:firstLine="0"/>
              <w:jc w:val="left"/>
              <w:rPr>
                <w:rFonts w:eastAsia="Times New Roman" w:cs="Times New Roman"/>
                <w:color w:val="000000"/>
                <w:sz w:val="20"/>
                <w:szCs w:val="20"/>
                <w:lang w:eastAsia="ru-RU"/>
              </w:rPr>
            </w:pPr>
            <w:r w:rsidRPr="001E4B2F">
              <w:rPr>
                <w:rFonts w:eastAsia="Times New Roman" w:cs="Times New Roman"/>
                <w:color w:val="000000"/>
                <w:sz w:val="20"/>
                <w:szCs w:val="20"/>
                <w:lang w:eastAsia="ru-RU"/>
              </w:rPr>
              <w:t>Сравнительный</w:t>
            </w:r>
          </w:p>
        </w:tc>
        <w:tc>
          <w:tcPr>
            <w:tcW w:w="378" w:type="pct"/>
            <w:tcBorders>
              <w:top w:val="nil"/>
              <w:left w:val="nil"/>
              <w:bottom w:val="single" w:sz="4" w:space="0" w:color="000000"/>
              <w:right w:val="single" w:sz="4" w:space="0" w:color="000000"/>
            </w:tcBorders>
            <w:shd w:val="clear" w:color="auto" w:fill="auto"/>
            <w:noWrap/>
            <w:vAlign w:val="bottom"/>
            <w:hideMark/>
          </w:tcPr>
          <w:p w14:paraId="4C903E3B" w14:textId="77777777" w:rsidR="00272AAC" w:rsidRPr="001E4B2F" w:rsidRDefault="00272AAC" w:rsidP="001E4B2F">
            <w:pPr>
              <w:ind w:firstLine="0"/>
              <w:jc w:val="left"/>
              <w:rPr>
                <w:rFonts w:eastAsia="Times New Roman" w:cs="Times New Roman"/>
                <w:color w:val="000000"/>
                <w:sz w:val="20"/>
                <w:szCs w:val="20"/>
                <w:lang w:eastAsia="ru-RU"/>
              </w:rPr>
            </w:pPr>
            <w:r w:rsidRPr="001E4B2F">
              <w:rPr>
                <w:rFonts w:eastAsia="Times New Roman" w:cs="Times New Roman"/>
                <w:color w:val="000000"/>
                <w:sz w:val="20"/>
                <w:szCs w:val="20"/>
                <w:lang w:eastAsia="ru-RU"/>
              </w:rPr>
              <w:t>Массовый</w:t>
            </w:r>
          </w:p>
        </w:tc>
        <w:tc>
          <w:tcPr>
            <w:tcW w:w="708" w:type="pct"/>
            <w:tcBorders>
              <w:top w:val="nil"/>
              <w:left w:val="nil"/>
              <w:bottom w:val="single" w:sz="4" w:space="0" w:color="000000"/>
              <w:right w:val="single" w:sz="4" w:space="0" w:color="000000"/>
            </w:tcBorders>
            <w:shd w:val="clear" w:color="auto" w:fill="auto"/>
            <w:noWrap/>
            <w:vAlign w:val="bottom"/>
            <w:hideMark/>
          </w:tcPr>
          <w:p w14:paraId="54B0450F" w14:textId="77777777" w:rsidR="00272AAC" w:rsidRPr="001E4B2F" w:rsidRDefault="00272AAC" w:rsidP="001E4B2F">
            <w:pPr>
              <w:ind w:firstLine="0"/>
              <w:jc w:val="left"/>
              <w:rPr>
                <w:rFonts w:eastAsia="Times New Roman" w:cs="Times New Roman"/>
                <w:color w:val="000000"/>
                <w:sz w:val="20"/>
                <w:szCs w:val="20"/>
                <w:lang w:eastAsia="ru-RU"/>
              </w:rPr>
            </w:pPr>
            <w:r w:rsidRPr="001E4B2F">
              <w:rPr>
                <w:rFonts w:eastAsia="Times New Roman" w:cs="Times New Roman"/>
                <w:color w:val="000000"/>
                <w:sz w:val="20"/>
                <w:szCs w:val="20"/>
                <w:lang w:eastAsia="ru-RU"/>
              </w:rPr>
              <w:t>Метод УПКС (минимальное)</w:t>
            </w:r>
          </w:p>
        </w:tc>
      </w:tr>
      <w:tr w:rsidR="00272AAC" w:rsidRPr="001E4B2F" w14:paraId="12C9DB33" w14:textId="77777777" w:rsidTr="00DA2025">
        <w:trPr>
          <w:trHeight w:val="510"/>
        </w:trPr>
        <w:tc>
          <w:tcPr>
            <w:tcW w:w="240" w:type="pct"/>
            <w:vMerge/>
            <w:tcBorders>
              <w:left w:val="single" w:sz="4" w:space="0" w:color="000000"/>
              <w:right w:val="single" w:sz="4" w:space="0" w:color="000000"/>
            </w:tcBorders>
            <w:vAlign w:val="center"/>
            <w:hideMark/>
          </w:tcPr>
          <w:p w14:paraId="4AD4BCB7" w14:textId="77777777" w:rsidR="00272AAC" w:rsidRPr="001E4B2F" w:rsidRDefault="00272AAC" w:rsidP="001E4B2F">
            <w:pPr>
              <w:ind w:firstLine="0"/>
              <w:jc w:val="left"/>
              <w:rPr>
                <w:rFonts w:eastAsia="Times New Roman" w:cs="Times New Roman"/>
                <w:color w:val="000000"/>
                <w:sz w:val="20"/>
                <w:szCs w:val="20"/>
                <w:lang w:eastAsia="ru-RU"/>
              </w:rPr>
            </w:pPr>
          </w:p>
        </w:tc>
        <w:tc>
          <w:tcPr>
            <w:tcW w:w="788" w:type="pct"/>
            <w:vMerge/>
            <w:tcBorders>
              <w:left w:val="single" w:sz="4" w:space="0" w:color="000000"/>
              <w:right w:val="single" w:sz="4" w:space="0" w:color="000000"/>
            </w:tcBorders>
            <w:vAlign w:val="center"/>
            <w:hideMark/>
          </w:tcPr>
          <w:p w14:paraId="5E58A546" w14:textId="77777777" w:rsidR="00272AAC" w:rsidRPr="001E4B2F" w:rsidRDefault="00272AAC" w:rsidP="001E4B2F">
            <w:pPr>
              <w:ind w:firstLine="0"/>
              <w:jc w:val="left"/>
              <w:rPr>
                <w:rFonts w:eastAsia="Times New Roman" w:cs="Times New Roman"/>
                <w:color w:val="000000"/>
                <w:sz w:val="20"/>
                <w:szCs w:val="20"/>
                <w:lang w:eastAsia="ru-RU"/>
              </w:rPr>
            </w:pPr>
          </w:p>
        </w:tc>
        <w:tc>
          <w:tcPr>
            <w:tcW w:w="370" w:type="pct"/>
            <w:vMerge/>
            <w:tcBorders>
              <w:left w:val="single" w:sz="4" w:space="0" w:color="000000"/>
              <w:right w:val="single" w:sz="4" w:space="0" w:color="000000"/>
            </w:tcBorders>
            <w:vAlign w:val="center"/>
            <w:hideMark/>
          </w:tcPr>
          <w:p w14:paraId="09C964BF" w14:textId="77777777" w:rsidR="00272AAC" w:rsidRPr="001E4B2F" w:rsidRDefault="00272AAC" w:rsidP="001E4B2F">
            <w:pPr>
              <w:ind w:firstLine="0"/>
              <w:jc w:val="left"/>
              <w:rPr>
                <w:rFonts w:eastAsia="Times New Roman" w:cs="Times New Roman"/>
                <w:color w:val="000000"/>
                <w:sz w:val="20"/>
                <w:szCs w:val="20"/>
                <w:lang w:eastAsia="ru-RU"/>
              </w:rPr>
            </w:pPr>
          </w:p>
        </w:tc>
        <w:tc>
          <w:tcPr>
            <w:tcW w:w="559" w:type="pct"/>
            <w:vMerge/>
            <w:tcBorders>
              <w:left w:val="single" w:sz="4" w:space="0" w:color="000000"/>
              <w:right w:val="single" w:sz="4" w:space="0" w:color="000000"/>
            </w:tcBorders>
            <w:vAlign w:val="center"/>
            <w:hideMark/>
          </w:tcPr>
          <w:p w14:paraId="0E2A9F99" w14:textId="77777777" w:rsidR="00272AAC" w:rsidRPr="001E4B2F" w:rsidRDefault="00272AAC" w:rsidP="001E4B2F">
            <w:pPr>
              <w:ind w:firstLine="0"/>
              <w:jc w:val="left"/>
              <w:rPr>
                <w:rFonts w:eastAsia="Times New Roman" w:cs="Times New Roman"/>
                <w:color w:val="000000"/>
                <w:sz w:val="20"/>
                <w:szCs w:val="20"/>
                <w:lang w:eastAsia="ru-RU"/>
              </w:rPr>
            </w:pPr>
          </w:p>
        </w:tc>
        <w:tc>
          <w:tcPr>
            <w:tcW w:w="528" w:type="pct"/>
            <w:vMerge w:val="restart"/>
            <w:tcBorders>
              <w:top w:val="nil"/>
              <w:left w:val="single" w:sz="4" w:space="0" w:color="000000"/>
              <w:right w:val="single" w:sz="4" w:space="0" w:color="000000"/>
            </w:tcBorders>
            <w:shd w:val="clear" w:color="auto" w:fill="auto"/>
            <w:vAlign w:val="center"/>
            <w:hideMark/>
          </w:tcPr>
          <w:p w14:paraId="14396A81" w14:textId="77777777" w:rsidR="00272AAC" w:rsidRPr="001E4B2F" w:rsidRDefault="00272AAC" w:rsidP="001E4B2F">
            <w:pPr>
              <w:ind w:firstLine="0"/>
              <w:jc w:val="center"/>
              <w:rPr>
                <w:rFonts w:eastAsia="Times New Roman" w:cs="Times New Roman"/>
                <w:color w:val="000000"/>
                <w:sz w:val="20"/>
                <w:szCs w:val="20"/>
                <w:lang w:eastAsia="ru-RU"/>
              </w:rPr>
            </w:pPr>
            <w:r w:rsidRPr="001E4B2F">
              <w:rPr>
                <w:rFonts w:eastAsia="Times New Roman" w:cs="Times New Roman"/>
                <w:color w:val="000000"/>
                <w:sz w:val="20"/>
                <w:szCs w:val="20"/>
                <w:lang w:eastAsia="ru-RU"/>
              </w:rPr>
              <w:t>г.Якутск</w:t>
            </w:r>
          </w:p>
        </w:tc>
        <w:tc>
          <w:tcPr>
            <w:tcW w:w="611" w:type="pct"/>
            <w:tcBorders>
              <w:top w:val="nil"/>
              <w:left w:val="nil"/>
              <w:bottom w:val="single" w:sz="4" w:space="0" w:color="000000"/>
              <w:right w:val="single" w:sz="4" w:space="0" w:color="000000"/>
            </w:tcBorders>
            <w:shd w:val="clear" w:color="auto" w:fill="auto"/>
            <w:vAlign w:val="center"/>
            <w:hideMark/>
          </w:tcPr>
          <w:p w14:paraId="79B799FF" w14:textId="77777777" w:rsidR="00272AAC" w:rsidRPr="001E4B2F" w:rsidRDefault="00272AAC" w:rsidP="001E4B2F">
            <w:pPr>
              <w:ind w:firstLine="0"/>
              <w:jc w:val="center"/>
              <w:rPr>
                <w:rFonts w:eastAsia="Times New Roman" w:cs="Times New Roman"/>
                <w:color w:val="000000"/>
                <w:sz w:val="20"/>
                <w:szCs w:val="20"/>
                <w:lang w:eastAsia="ru-RU"/>
              </w:rPr>
            </w:pPr>
            <w:r w:rsidRPr="001E4B2F">
              <w:rPr>
                <w:rFonts w:eastAsia="Times New Roman" w:cs="Times New Roman"/>
                <w:color w:val="000000"/>
                <w:sz w:val="20"/>
                <w:szCs w:val="20"/>
                <w:lang w:eastAsia="ru-RU"/>
              </w:rPr>
              <w:t>Объекты с неполными харкетристиками</w:t>
            </w:r>
          </w:p>
        </w:tc>
        <w:tc>
          <w:tcPr>
            <w:tcW w:w="347" w:type="pct"/>
            <w:tcBorders>
              <w:top w:val="nil"/>
              <w:left w:val="nil"/>
              <w:bottom w:val="single" w:sz="4" w:space="0" w:color="000000"/>
              <w:right w:val="single" w:sz="4" w:space="0" w:color="000000"/>
            </w:tcBorders>
            <w:shd w:val="clear" w:color="auto" w:fill="auto"/>
            <w:vAlign w:val="center"/>
            <w:hideMark/>
          </w:tcPr>
          <w:p w14:paraId="139BC240" w14:textId="77777777" w:rsidR="00272AAC" w:rsidRPr="001E4B2F" w:rsidRDefault="00272AAC" w:rsidP="001E4B2F">
            <w:pPr>
              <w:ind w:firstLine="0"/>
              <w:jc w:val="center"/>
              <w:rPr>
                <w:rFonts w:eastAsia="Times New Roman" w:cs="Times New Roman"/>
                <w:color w:val="000000"/>
                <w:sz w:val="20"/>
                <w:szCs w:val="20"/>
                <w:lang w:eastAsia="ru-RU"/>
              </w:rPr>
            </w:pPr>
            <w:r w:rsidRPr="001E4B2F">
              <w:rPr>
                <w:rFonts w:eastAsia="Times New Roman" w:cs="Times New Roman"/>
                <w:color w:val="000000"/>
                <w:sz w:val="20"/>
                <w:szCs w:val="20"/>
                <w:lang w:eastAsia="ru-RU"/>
              </w:rPr>
              <w:t>1.7.</w:t>
            </w:r>
          </w:p>
        </w:tc>
        <w:tc>
          <w:tcPr>
            <w:tcW w:w="471" w:type="pct"/>
            <w:tcBorders>
              <w:top w:val="nil"/>
              <w:left w:val="nil"/>
              <w:bottom w:val="single" w:sz="4" w:space="0" w:color="000000"/>
              <w:right w:val="single" w:sz="4" w:space="0" w:color="000000"/>
            </w:tcBorders>
            <w:shd w:val="clear" w:color="auto" w:fill="auto"/>
            <w:noWrap/>
            <w:vAlign w:val="bottom"/>
            <w:hideMark/>
          </w:tcPr>
          <w:p w14:paraId="5977D968" w14:textId="77777777" w:rsidR="00272AAC" w:rsidRPr="001E4B2F" w:rsidRDefault="00272AAC" w:rsidP="001E4B2F">
            <w:pPr>
              <w:ind w:firstLine="0"/>
              <w:jc w:val="left"/>
              <w:rPr>
                <w:rFonts w:eastAsia="Times New Roman" w:cs="Times New Roman"/>
                <w:color w:val="000000"/>
                <w:sz w:val="20"/>
                <w:szCs w:val="20"/>
                <w:lang w:eastAsia="ru-RU"/>
              </w:rPr>
            </w:pPr>
            <w:r w:rsidRPr="001E4B2F">
              <w:rPr>
                <w:rFonts w:eastAsia="Times New Roman" w:cs="Times New Roman"/>
                <w:color w:val="000000"/>
                <w:sz w:val="20"/>
                <w:szCs w:val="20"/>
                <w:lang w:eastAsia="ru-RU"/>
              </w:rPr>
              <w:t>Сравнительный</w:t>
            </w:r>
          </w:p>
        </w:tc>
        <w:tc>
          <w:tcPr>
            <w:tcW w:w="378" w:type="pct"/>
            <w:tcBorders>
              <w:top w:val="nil"/>
              <w:left w:val="nil"/>
              <w:bottom w:val="single" w:sz="4" w:space="0" w:color="000000"/>
              <w:right w:val="single" w:sz="4" w:space="0" w:color="000000"/>
            </w:tcBorders>
            <w:shd w:val="clear" w:color="auto" w:fill="auto"/>
            <w:noWrap/>
            <w:vAlign w:val="bottom"/>
            <w:hideMark/>
          </w:tcPr>
          <w:p w14:paraId="65DC418C" w14:textId="77777777" w:rsidR="00272AAC" w:rsidRPr="001E4B2F" w:rsidRDefault="00272AAC" w:rsidP="001E4B2F">
            <w:pPr>
              <w:ind w:firstLine="0"/>
              <w:jc w:val="left"/>
              <w:rPr>
                <w:rFonts w:eastAsia="Times New Roman" w:cs="Times New Roman"/>
                <w:color w:val="000000"/>
                <w:sz w:val="20"/>
                <w:szCs w:val="20"/>
                <w:lang w:eastAsia="ru-RU"/>
              </w:rPr>
            </w:pPr>
            <w:r w:rsidRPr="001E4B2F">
              <w:rPr>
                <w:rFonts w:eastAsia="Times New Roman" w:cs="Times New Roman"/>
                <w:color w:val="000000"/>
                <w:sz w:val="20"/>
                <w:szCs w:val="20"/>
                <w:lang w:eastAsia="ru-RU"/>
              </w:rPr>
              <w:t>Массовый</w:t>
            </w:r>
          </w:p>
        </w:tc>
        <w:tc>
          <w:tcPr>
            <w:tcW w:w="708" w:type="pct"/>
            <w:tcBorders>
              <w:top w:val="nil"/>
              <w:left w:val="nil"/>
              <w:bottom w:val="single" w:sz="4" w:space="0" w:color="000000"/>
              <w:right w:val="single" w:sz="4" w:space="0" w:color="000000"/>
            </w:tcBorders>
            <w:shd w:val="clear" w:color="auto" w:fill="auto"/>
            <w:noWrap/>
            <w:vAlign w:val="bottom"/>
            <w:hideMark/>
          </w:tcPr>
          <w:p w14:paraId="4DCB7EBC" w14:textId="77777777" w:rsidR="00272AAC" w:rsidRPr="001E4B2F" w:rsidRDefault="00272AAC" w:rsidP="001E4B2F">
            <w:pPr>
              <w:ind w:firstLine="0"/>
              <w:jc w:val="left"/>
              <w:rPr>
                <w:rFonts w:eastAsia="Times New Roman" w:cs="Times New Roman"/>
                <w:color w:val="000000"/>
                <w:sz w:val="20"/>
                <w:szCs w:val="20"/>
                <w:lang w:eastAsia="ru-RU"/>
              </w:rPr>
            </w:pPr>
            <w:r w:rsidRPr="001E4B2F">
              <w:rPr>
                <w:rFonts w:eastAsia="Times New Roman" w:cs="Times New Roman"/>
                <w:color w:val="000000"/>
                <w:sz w:val="20"/>
                <w:szCs w:val="20"/>
                <w:lang w:eastAsia="ru-RU"/>
              </w:rPr>
              <w:t>Метод УПКС (минимальное)</w:t>
            </w:r>
          </w:p>
        </w:tc>
      </w:tr>
      <w:tr w:rsidR="00272AAC" w:rsidRPr="001E4B2F" w14:paraId="6D9884EA" w14:textId="77777777" w:rsidTr="00DA2025">
        <w:trPr>
          <w:trHeight w:val="510"/>
        </w:trPr>
        <w:tc>
          <w:tcPr>
            <w:tcW w:w="240" w:type="pct"/>
            <w:vMerge/>
            <w:tcBorders>
              <w:left w:val="single" w:sz="4" w:space="0" w:color="000000"/>
              <w:right w:val="single" w:sz="4" w:space="0" w:color="000000"/>
            </w:tcBorders>
            <w:vAlign w:val="center"/>
            <w:hideMark/>
          </w:tcPr>
          <w:p w14:paraId="64EAF264" w14:textId="77777777" w:rsidR="00272AAC" w:rsidRPr="001E4B2F" w:rsidRDefault="00272AAC" w:rsidP="001E4B2F">
            <w:pPr>
              <w:ind w:firstLine="0"/>
              <w:jc w:val="left"/>
              <w:rPr>
                <w:rFonts w:eastAsia="Times New Roman" w:cs="Times New Roman"/>
                <w:color w:val="000000"/>
                <w:sz w:val="20"/>
                <w:szCs w:val="20"/>
                <w:lang w:eastAsia="ru-RU"/>
              </w:rPr>
            </w:pPr>
          </w:p>
        </w:tc>
        <w:tc>
          <w:tcPr>
            <w:tcW w:w="788" w:type="pct"/>
            <w:vMerge/>
            <w:tcBorders>
              <w:left w:val="single" w:sz="4" w:space="0" w:color="000000"/>
              <w:right w:val="single" w:sz="4" w:space="0" w:color="000000"/>
            </w:tcBorders>
            <w:vAlign w:val="center"/>
            <w:hideMark/>
          </w:tcPr>
          <w:p w14:paraId="2461CF61" w14:textId="77777777" w:rsidR="00272AAC" w:rsidRPr="001E4B2F" w:rsidRDefault="00272AAC" w:rsidP="001E4B2F">
            <w:pPr>
              <w:ind w:firstLine="0"/>
              <w:jc w:val="left"/>
              <w:rPr>
                <w:rFonts w:eastAsia="Times New Roman" w:cs="Times New Roman"/>
                <w:color w:val="000000"/>
                <w:sz w:val="20"/>
                <w:szCs w:val="20"/>
                <w:lang w:eastAsia="ru-RU"/>
              </w:rPr>
            </w:pPr>
          </w:p>
        </w:tc>
        <w:tc>
          <w:tcPr>
            <w:tcW w:w="370" w:type="pct"/>
            <w:vMerge/>
            <w:tcBorders>
              <w:left w:val="single" w:sz="4" w:space="0" w:color="000000"/>
              <w:right w:val="single" w:sz="4" w:space="0" w:color="000000"/>
            </w:tcBorders>
            <w:vAlign w:val="center"/>
            <w:hideMark/>
          </w:tcPr>
          <w:p w14:paraId="575D890A" w14:textId="77777777" w:rsidR="00272AAC" w:rsidRPr="001E4B2F" w:rsidRDefault="00272AAC" w:rsidP="001E4B2F">
            <w:pPr>
              <w:ind w:firstLine="0"/>
              <w:jc w:val="left"/>
              <w:rPr>
                <w:rFonts w:eastAsia="Times New Roman" w:cs="Times New Roman"/>
                <w:color w:val="000000"/>
                <w:sz w:val="20"/>
                <w:szCs w:val="20"/>
                <w:lang w:eastAsia="ru-RU"/>
              </w:rPr>
            </w:pPr>
          </w:p>
        </w:tc>
        <w:tc>
          <w:tcPr>
            <w:tcW w:w="559" w:type="pct"/>
            <w:vMerge/>
            <w:tcBorders>
              <w:left w:val="single" w:sz="4" w:space="0" w:color="000000"/>
              <w:right w:val="single" w:sz="4" w:space="0" w:color="000000"/>
            </w:tcBorders>
            <w:vAlign w:val="center"/>
            <w:hideMark/>
          </w:tcPr>
          <w:p w14:paraId="3A5F2571" w14:textId="77777777" w:rsidR="00272AAC" w:rsidRPr="001E4B2F" w:rsidRDefault="00272AAC" w:rsidP="001E4B2F">
            <w:pPr>
              <w:ind w:firstLine="0"/>
              <w:jc w:val="left"/>
              <w:rPr>
                <w:rFonts w:eastAsia="Times New Roman" w:cs="Times New Roman"/>
                <w:color w:val="000000"/>
                <w:sz w:val="20"/>
                <w:szCs w:val="20"/>
                <w:lang w:eastAsia="ru-RU"/>
              </w:rPr>
            </w:pPr>
          </w:p>
        </w:tc>
        <w:tc>
          <w:tcPr>
            <w:tcW w:w="528" w:type="pct"/>
            <w:vMerge/>
            <w:tcBorders>
              <w:left w:val="single" w:sz="4" w:space="0" w:color="000000"/>
              <w:right w:val="single" w:sz="4" w:space="0" w:color="000000"/>
            </w:tcBorders>
            <w:vAlign w:val="center"/>
            <w:hideMark/>
          </w:tcPr>
          <w:p w14:paraId="6F2C2D99" w14:textId="77777777" w:rsidR="00272AAC" w:rsidRPr="001E4B2F" w:rsidRDefault="00272AAC" w:rsidP="001E4B2F">
            <w:pPr>
              <w:ind w:firstLine="0"/>
              <w:jc w:val="left"/>
              <w:rPr>
                <w:rFonts w:eastAsia="Times New Roman" w:cs="Times New Roman"/>
                <w:color w:val="000000"/>
                <w:sz w:val="20"/>
                <w:szCs w:val="20"/>
                <w:lang w:eastAsia="ru-RU"/>
              </w:rPr>
            </w:pPr>
          </w:p>
        </w:tc>
        <w:tc>
          <w:tcPr>
            <w:tcW w:w="611" w:type="pct"/>
            <w:tcBorders>
              <w:top w:val="nil"/>
              <w:left w:val="nil"/>
              <w:bottom w:val="single" w:sz="4" w:space="0" w:color="000000"/>
              <w:right w:val="single" w:sz="4" w:space="0" w:color="000000"/>
            </w:tcBorders>
            <w:shd w:val="clear" w:color="auto" w:fill="auto"/>
            <w:vAlign w:val="center"/>
            <w:hideMark/>
          </w:tcPr>
          <w:p w14:paraId="0CDE46B6" w14:textId="161C3900" w:rsidR="00272AAC" w:rsidRPr="001E4B2F" w:rsidRDefault="00272AAC" w:rsidP="001E4B2F">
            <w:pPr>
              <w:ind w:firstLine="0"/>
              <w:jc w:val="center"/>
              <w:rPr>
                <w:rFonts w:eastAsia="Times New Roman" w:cs="Times New Roman"/>
                <w:color w:val="000000"/>
                <w:sz w:val="20"/>
                <w:szCs w:val="20"/>
                <w:lang w:eastAsia="ru-RU"/>
              </w:rPr>
            </w:pPr>
            <w:r w:rsidRPr="001E4B2F">
              <w:rPr>
                <w:rFonts w:eastAsia="Times New Roman" w:cs="Times New Roman"/>
                <w:color w:val="000000"/>
                <w:sz w:val="20"/>
                <w:szCs w:val="20"/>
                <w:lang w:eastAsia="ru-RU"/>
              </w:rPr>
              <w:t>Объекты с полными характеристиками</w:t>
            </w:r>
            <w:r>
              <w:rPr>
                <w:rFonts w:eastAsia="Times New Roman" w:cs="Times New Roman"/>
                <w:color w:val="000000"/>
                <w:sz w:val="20"/>
                <w:szCs w:val="20"/>
                <w:lang w:eastAsia="ru-RU"/>
              </w:rPr>
              <w:t xml:space="preserve"> до 60 кв.м.</w:t>
            </w:r>
          </w:p>
        </w:tc>
        <w:tc>
          <w:tcPr>
            <w:tcW w:w="347" w:type="pct"/>
            <w:tcBorders>
              <w:top w:val="nil"/>
              <w:left w:val="nil"/>
              <w:bottom w:val="single" w:sz="4" w:space="0" w:color="000000"/>
              <w:right w:val="single" w:sz="4" w:space="0" w:color="000000"/>
            </w:tcBorders>
            <w:shd w:val="clear" w:color="auto" w:fill="auto"/>
            <w:vAlign w:val="center"/>
            <w:hideMark/>
          </w:tcPr>
          <w:p w14:paraId="464B7EF8" w14:textId="77777777" w:rsidR="00272AAC" w:rsidRPr="001E4B2F" w:rsidRDefault="00272AAC" w:rsidP="001E4B2F">
            <w:pPr>
              <w:ind w:firstLine="0"/>
              <w:jc w:val="center"/>
              <w:rPr>
                <w:rFonts w:eastAsia="Times New Roman" w:cs="Times New Roman"/>
                <w:color w:val="000000"/>
                <w:sz w:val="20"/>
                <w:szCs w:val="20"/>
                <w:lang w:eastAsia="ru-RU"/>
              </w:rPr>
            </w:pPr>
            <w:r w:rsidRPr="001E4B2F">
              <w:rPr>
                <w:rFonts w:eastAsia="Times New Roman" w:cs="Times New Roman"/>
                <w:color w:val="000000"/>
                <w:sz w:val="20"/>
                <w:szCs w:val="20"/>
                <w:lang w:eastAsia="ru-RU"/>
              </w:rPr>
              <w:t>1.8.</w:t>
            </w:r>
          </w:p>
        </w:tc>
        <w:tc>
          <w:tcPr>
            <w:tcW w:w="471" w:type="pct"/>
            <w:tcBorders>
              <w:top w:val="nil"/>
              <w:left w:val="nil"/>
              <w:bottom w:val="single" w:sz="4" w:space="0" w:color="000000"/>
              <w:right w:val="single" w:sz="4" w:space="0" w:color="000000"/>
            </w:tcBorders>
            <w:shd w:val="clear" w:color="auto" w:fill="auto"/>
            <w:noWrap/>
            <w:vAlign w:val="bottom"/>
            <w:hideMark/>
          </w:tcPr>
          <w:p w14:paraId="5952DB8A" w14:textId="77777777" w:rsidR="00272AAC" w:rsidRPr="001E4B2F" w:rsidRDefault="00272AAC" w:rsidP="001E4B2F">
            <w:pPr>
              <w:ind w:firstLine="0"/>
              <w:jc w:val="left"/>
              <w:rPr>
                <w:rFonts w:eastAsia="Times New Roman" w:cs="Times New Roman"/>
                <w:color w:val="000000"/>
                <w:sz w:val="20"/>
                <w:szCs w:val="20"/>
                <w:lang w:eastAsia="ru-RU"/>
              </w:rPr>
            </w:pPr>
            <w:r w:rsidRPr="001E4B2F">
              <w:rPr>
                <w:rFonts w:eastAsia="Times New Roman" w:cs="Times New Roman"/>
                <w:color w:val="000000"/>
                <w:sz w:val="20"/>
                <w:szCs w:val="20"/>
                <w:lang w:eastAsia="ru-RU"/>
              </w:rPr>
              <w:t>Сравнительный</w:t>
            </w:r>
          </w:p>
        </w:tc>
        <w:tc>
          <w:tcPr>
            <w:tcW w:w="378" w:type="pct"/>
            <w:tcBorders>
              <w:top w:val="nil"/>
              <w:left w:val="nil"/>
              <w:bottom w:val="single" w:sz="4" w:space="0" w:color="000000"/>
              <w:right w:val="single" w:sz="4" w:space="0" w:color="000000"/>
            </w:tcBorders>
            <w:shd w:val="clear" w:color="auto" w:fill="auto"/>
            <w:noWrap/>
            <w:vAlign w:val="bottom"/>
            <w:hideMark/>
          </w:tcPr>
          <w:p w14:paraId="5ABD291A" w14:textId="77777777" w:rsidR="00272AAC" w:rsidRPr="001E4B2F" w:rsidRDefault="00272AAC" w:rsidP="001E4B2F">
            <w:pPr>
              <w:ind w:firstLine="0"/>
              <w:jc w:val="left"/>
              <w:rPr>
                <w:rFonts w:eastAsia="Times New Roman" w:cs="Times New Roman"/>
                <w:color w:val="000000"/>
                <w:sz w:val="20"/>
                <w:szCs w:val="20"/>
                <w:lang w:eastAsia="ru-RU"/>
              </w:rPr>
            </w:pPr>
            <w:r w:rsidRPr="001E4B2F">
              <w:rPr>
                <w:rFonts w:eastAsia="Times New Roman" w:cs="Times New Roman"/>
                <w:color w:val="000000"/>
                <w:sz w:val="20"/>
                <w:szCs w:val="20"/>
                <w:lang w:eastAsia="ru-RU"/>
              </w:rPr>
              <w:t>Массовый</w:t>
            </w:r>
          </w:p>
        </w:tc>
        <w:tc>
          <w:tcPr>
            <w:tcW w:w="708" w:type="pct"/>
            <w:tcBorders>
              <w:top w:val="nil"/>
              <w:left w:val="nil"/>
              <w:bottom w:val="single" w:sz="4" w:space="0" w:color="000000"/>
              <w:right w:val="single" w:sz="4" w:space="0" w:color="000000"/>
            </w:tcBorders>
            <w:shd w:val="clear" w:color="auto" w:fill="auto"/>
            <w:noWrap/>
            <w:vAlign w:val="bottom"/>
            <w:hideMark/>
          </w:tcPr>
          <w:p w14:paraId="25DEC0D5" w14:textId="77777777" w:rsidR="00272AAC" w:rsidRPr="001E4B2F" w:rsidRDefault="00272AAC" w:rsidP="001E4B2F">
            <w:pPr>
              <w:ind w:firstLine="0"/>
              <w:jc w:val="left"/>
              <w:rPr>
                <w:rFonts w:eastAsia="Times New Roman" w:cs="Times New Roman"/>
                <w:color w:val="000000"/>
                <w:sz w:val="20"/>
                <w:szCs w:val="20"/>
                <w:lang w:eastAsia="ru-RU"/>
              </w:rPr>
            </w:pPr>
            <w:r w:rsidRPr="001E4B2F">
              <w:rPr>
                <w:rFonts w:eastAsia="Times New Roman" w:cs="Times New Roman"/>
                <w:color w:val="000000"/>
                <w:sz w:val="20"/>
                <w:szCs w:val="20"/>
                <w:lang w:eastAsia="ru-RU"/>
              </w:rPr>
              <w:t>Метод статистического (регрессионного) моделирования</w:t>
            </w:r>
          </w:p>
        </w:tc>
      </w:tr>
      <w:tr w:rsidR="00272AAC" w:rsidRPr="001E4B2F" w14:paraId="12485B26" w14:textId="77777777" w:rsidTr="00DA2025">
        <w:trPr>
          <w:trHeight w:val="510"/>
        </w:trPr>
        <w:tc>
          <w:tcPr>
            <w:tcW w:w="240" w:type="pct"/>
            <w:vMerge/>
            <w:tcBorders>
              <w:left w:val="single" w:sz="4" w:space="0" w:color="000000"/>
              <w:bottom w:val="single" w:sz="4" w:space="0" w:color="000000"/>
              <w:right w:val="single" w:sz="4" w:space="0" w:color="000000"/>
            </w:tcBorders>
            <w:vAlign w:val="center"/>
          </w:tcPr>
          <w:p w14:paraId="2B84F329" w14:textId="77777777" w:rsidR="00272AAC" w:rsidRPr="001E4B2F" w:rsidRDefault="00272AAC" w:rsidP="00272AAC">
            <w:pPr>
              <w:ind w:firstLine="0"/>
              <w:jc w:val="left"/>
              <w:rPr>
                <w:rFonts w:eastAsia="Times New Roman" w:cs="Times New Roman"/>
                <w:color w:val="000000"/>
                <w:sz w:val="20"/>
                <w:szCs w:val="20"/>
                <w:lang w:eastAsia="ru-RU"/>
              </w:rPr>
            </w:pPr>
          </w:p>
        </w:tc>
        <w:tc>
          <w:tcPr>
            <w:tcW w:w="788" w:type="pct"/>
            <w:vMerge/>
            <w:tcBorders>
              <w:left w:val="single" w:sz="4" w:space="0" w:color="000000"/>
              <w:bottom w:val="single" w:sz="4" w:space="0" w:color="000000"/>
              <w:right w:val="single" w:sz="4" w:space="0" w:color="000000"/>
            </w:tcBorders>
            <w:vAlign w:val="center"/>
          </w:tcPr>
          <w:p w14:paraId="26712537" w14:textId="77777777" w:rsidR="00272AAC" w:rsidRPr="001E4B2F" w:rsidRDefault="00272AAC" w:rsidP="00272AAC">
            <w:pPr>
              <w:ind w:firstLine="0"/>
              <w:jc w:val="left"/>
              <w:rPr>
                <w:rFonts w:eastAsia="Times New Roman" w:cs="Times New Roman"/>
                <w:color w:val="000000"/>
                <w:sz w:val="20"/>
                <w:szCs w:val="20"/>
                <w:lang w:eastAsia="ru-RU"/>
              </w:rPr>
            </w:pPr>
          </w:p>
        </w:tc>
        <w:tc>
          <w:tcPr>
            <w:tcW w:w="370" w:type="pct"/>
            <w:vMerge/>
            <w:tcBorders>
              <w:left w:val="single" w:sz="4" w:space="0" w:color="000000"/>
              <w:bottom w:val="single" w:sz="4" w:space="0" w:color="000000"/>
              <w:right w:val="single" w:sz="4" w:space="0" w:color="000000"/>
            </w:tcBorders>
            <w:vAlign w:val="center"/>
          </w:tcPr>
          <w:p w14:paraId="5DAD8718" w14:textId="77777777" w:rsidR="00272AAC" w:rsidRPr="001E4B2F" w:rsidRDefault="00272AAC" w:rsidP="00272AAC">
            <w:pPr>
              <w:ind w:firstLine="0"/>
              <w:jc w:val="left"/>
              <w:rPr>
                <w:rFonts w:eastAsia="Times New Roman" w:cs="Times New Roman"/>
                <w:color w:val="000000"/>
                <w:sz w:val="20"/>
                <w:szCs w:val="20"/>
                <w:lang w:eastAsia="ru-RU"/>
              </w:rPr>
            </w:pPr>
          </w:p>
        </w:tc>
        <w:tc>
          <w:tcPr>
            <w:tcW w:w="559" w:type="pct"/>
            <w:vMerge/>
            <w:tcBorders>
              <w:left w:val="single" w:sz="4" w:space="0" w:color="000000"/>
              <w:bottom w:val="single" w:sz="4" w:space="0" w:color="000000"/>
              <w:right w:val="single" w:sz="4" w:space="0" w:color="000000"/>
            </w:tcBorders>
            <w:vAlign w:val="center"/>
          </w:tcPr>
          <w:p w14:paraId="652494EF" w14:textId="77777777" w:rsidR="00272AAC" w:rsidRPr="001E4B2F" w:rsidRDefault="00272AAC" w:rsidP="00272AAC">
            <w:pPr>
              <w:ind w:firstLine="0"/>
              <w:jc w:val="left"/>
              <w:rPr>
                <w:rFonts w:eastAsia="Times New Roman" w:cs="Times New Roman"/>
                <w:color w:val="000000"/>
                <w:sz w:val="20"/>
                <w:szCs w:val="20"/>
                <w:lang w:eastAsia="ru-RU"/>
              </w:rPr>
            </w:pPr>
          </w:p>
        </w:tc>
        <w:tc>
          <w:tcPr>
            <w:tcW w:w="528" w:type="pct"/>
            <w:vMerge/>
            <w:tcBorders>
              <w:left w:val="single" w:sz="4" w:space="0" w:color="000000"/>
              <w:bottom w:val="single" w:sz="4" w:space="0" w:color="000000"/>
              <w:right w:val="single" w:sz="4" w:space="0" w:color="000000"/>
            </w:tcBorders>
            <w:vAlign w:val="center"/>
          </w:tcPr>
          <w:p w14:paraId="47728045" w14:textId="77777777" w:rsidR="00272AAC" w:rsidRPr="001E4B2F" w:rsidRDefault="00272AAC" w:rsidP="00272AAC">
            <w:pPr>
              <w:ind w:firstLine="0"/>
              <w:jc w:val="left"/>
              <w:rPr>
                <w:rFonts w:eastAsia="Times New Roman" w:cs="Times New Roman"/>
                <w:color w:val="000000"/>
                <w:sz w:val="20"/>
                <w:szCs w:val="20"/>
                <w:lang w:eastAsia="ru-RU"/>
              </w:rPr>
            </w:pPr>
          </w:p>
        </w:tc>
        <w:tc>
          <w:tcPr>
            <w:tcW w:w="611" w:type="pct"/>
            <w:tcBorders>
              <w:top w:val="nil"/>
              <w:left w:val="nil"/>
              <w:bottom w:val="single" w:sz="4" w:space="0" w:color="000000"/>
              <w:right w:val="single" w:sz="4" w:space="0" w:color="000000"/>
            </w:tcBorders>
            <w:shd w:val="clear" w:color="auto" w:fill="auto"/>
            <w:vAlign w:val="center"/>
          </w:tcPr>
          <w:p w14:paraId="0EAFC30B" w14:textId="2219D9E4" w:rsidR="00272AAC" w:rsidRPr="001E4B2F" w:rsidRDefault="00272AAC" w:rsidP="00272AAC">
            <w:pPr>
              <w:ind w:firstLine="0"/>
              <w:jc w:val="center"/>
              <w:rPr>
                <w:rFonts w:eastAsia="Times New Roman" w:cs="Times New Roman"/>
                <w:color w:val="000000"/>
                <w:sz w:val="20"/>
                <w:szCs w:val="20"/>
                <w:lang w:eastAsia="ru-RU"/>
              </w:rPr>
            </w:pPr>
            <w:r w:rsidRPr="001E4B2F">
              <w:rPr>
                <w:rFonts w:eastAsia="Times New Roman" w:cs="Times New Roman"/>
                <w:color w:val="000000"/>
                <w:sz w:val="20"/>
                <w:szCs w:val="20"/>
                <w:lang w:eastAsia="ru-RU"/>
              </w:rPr>
              <w:t>Объекты с полными характеристиками</w:t>
            </w:r>
            <w:r>
              <w:rPr>
                <w:rFonts w:eastAsia="Times New Roman" w:cs="Times New Roman"/>
                <w:color w:val="000000"/>
                <w:sz w:val="20"/>
                <w:szCs w:val="20"/>
                <w:lang w:eastAsia="ru-RU"/>
              </w:rPr>
              <w:t xml:space="preserve"> более 60 кв.м.</w:t>
            </w:r>
          </w:p>
        </w:tc>
        <w:tc>
          <w:tcPr>
            <w:tcW w:w="347" w:type="pct"/>
            <w:tcBorders>
              <w:top w:val="nil"/>
              <w:left w:val="nil"/>
              <w:bottom w:val="single" w:sz="4" w:space="0" w:color="000000"/>
              <w:right w:val="single" w:sz="4" w:space="0" w:color="000000"/>
            </w:tcBorders>
            <w:shd w:val="clear" w:color="auto" w:fill="auto"/>
            <w:vAlign w:val="center"/>
          </w:tcPr>
          <w:p w14:paraId="07DA26A9" w14:textId="235D3FAF" w:rsidR="00272AAC" w:rsidRPr="001E4B2F" w:rsidRDefault="00272AAC" w:rsidP="00272AAC">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1.9.</w:t>
            </w:r>
          </w:p>
        </w:tc>
        <w:tc>
          <w:tcPr>
            <w:tcW w:w="471" w:type="pct"/>
            <w:tcBorders>
              <w:top w:val="nil"/>
              <w:left w:val="nil"/>
              <w:bottom w:val="single" w:sz="4" w:space="0" w:color="000000"/>
              <w:right w:val="single" w:sz="4" w:space="0" w:color="000000"/>
            </w:tcBorders>
            <w:shd w:val="clear" w:color="auto" w:fill="auto"/>
            <w:noWrap/>
            <w:vAlign w:val="bottom"/>
          </w:tcPr>
          <w:p w14:paraId="5709D492" w14:textId="4BD8F869" w:rsidR="00272AAC" w:rsidRPr="001E4B2F" w:rsidRDefault="00272AAC" w:rsidP="00272AAC">
            <w:pPr>
              <w:ind w:firstLine="0"/>
              <w:jc w:val="left"/>
              <w:rPr>
                <w:rFonts w:eastAsia="Times New Roman" w:cs="Times New Roman"/>
                <w:color w:val="000000"/>
                <w:sz w:val="20"/>
                <w:szCs w:val="20"/>
                <w:lang w:eastAsia="ru-RU"/>
              </w:rPr>
            </w:pPr>
            <w:r w:rsidRPr="001E4B2F">
              <w:rPr>
                <w:rFonts w:eastAsia="Times New Roman" w:cs="Times New Roman"/>
                <w:color w:val="000000"/>
                <w:sz w:val="20"/>
                <w:szCs w:val="20"/>
                <w:lang w:eastAsia="ru-RU"/>
              </w:rPr>
              <w:t>Сравнительный</w:t>
            </w:r>
          </w:p>
        </w:tc>
        <w:tc>
          <w:tcPr>
            <w:tcW w:w="378" w:type="pct"/>
            <w:tcBorders>
              <w:top w:val="nil"/>
              <w:left w:val="nil"/>
              <w:bottom w:val="single" w:sz="4" w:space="0" w:color="000000"/>
              <w:right w:val="single" w:sz="4" w:space="0" w:color="000000"/>
            </w:tcBorders>
            <w:shd w:val="clear" w:color="auto" w:fill="auto"/>
            <w:noWrap/>
            <w:vAlign w:val="bottom"/>
          </w:tcPr>
          <w:p w14:paraId="2F2CC134" w14:textId="5DBEAA9C" w:rsidR="00272AAC" w:rsidRPr="001E4B2F" w:rsidRDefault="00272AAC" w:rsidP="00272AAC">
            <w:pPr>
              <w:ind w:firstLine="0"/>
              <w:jc w:val="left"/>
              <w:rPr>
                <w:rFonts w:eastAsia="Times New Roman" w:cs="Times New Roman"/>
                <w:color w:val="000000"/>
                <w:sz w:val="20"/>
                <w:szCs w:val="20"/>
                <w:lang w:eastAsia="ru-RU"/>
              </w:rPr>
            </w:pPr>
            <w:r w:rsidRPr="001E4B2F">
              <w:rPr>
                <w:rFonts w:eastAsia="Times New Roman" w:cs="Times New Roman"/>
                <w:color w:val="000000"/>
                <w:sz w:val="20"/>
                <w:szCs w:val="20"/>
                <w:lang w:eastAsia="ru-RU"/>
              </w:rPr>
              <w:t>Массовый</w:t>
            </w:r>
          </w:p>
        </w:tc>
        <w:tc>
          <w:tcPr>
            <w:tcW w:w="708" w:type="pct"/>
            <w:tcBorders>
              <w:top w:val="nil"/>
              <w:left w:val="nil"/>
              <w:bottom w:val="single" w:sz="4" w:space="0" w:color="000000"/>
              <w:right w:val="single" w:sz="4" w:space="0" w:color="000000"/>
            </w:tcBorders>
            <w:shd w:val="clear" w:color="auto" w:fill="auto"/>
            <w:noWrap/>
            <w:vAlign w:val="bottom"/>
          </w:tcPr>
          <w:p w14:paraId="62FCAB66" w14:textId="76A41409" w:rsidR="00272AAC" w:rsidRPr="001E4B2F" w:rsidRDefault="00272AAC" w:rsidP="00272AAC">
            <w:pPr>
              <w:ind w:firstLine="0"/>
              <w:jc w:val="left"/>
              <w:rPr>
                <w:rFonts w:eastAsia="Times New Roman" w:cs="Times New Roman"/>
                <w:color w:val="000000"/>
                <w:sz w:val="20"/>
                <w:szCs w:val="20"/>
                <w:lang w:eastAsia="ru-RU"/>
              </w:rPr>
            </w:pPr>
            <w:r w:rsidRPr="001E4B2F">
              <w:rPr>
                <w:rFonts w:eastAsia="Times New Roman" w:cs="Times New Roman"/>
                <w:color w:val="000000"/>
                <w:sz w:val="20"/>
                <w:szCs w:val="20"/>
                <w:lang w:eastAsia="ru-RU"/>
              </w:rPr>
              <w:t>Метод статистического (регрессионного) моделирования</w:t>
            </w:r>
          </w:p>
        </w:tc>
      </w:tr>
      <w:tr w:rsidR="001E4B2F" w:rsidRPr="001E4B2F" w14:paraId="452DDB03" w14:textId="77777777" w:rsidTr="001E4B2F">
        <w:trPr>
          <w:trHeight w:val="1785"/>
        </w:trPr>
        <w:tc>
          <w:tcPr>
            <w:tcW w:w="240"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14:paraId="0F300789" w14:textId="77777777" w:rsidR="001E4B2F" w:rsidRPr="001E4B2F" w:rsidRDefault="001E4B2F" w:rsidP="001E4B2F">
            <w:pPr>
              <w:ind w:firstLine="0"/>
              <w:jc w:val="center"/>
              <w:rPr>
                <w:rFonts w:eastAsia="Times New Roman" w:cs="Times New Roman"/>
                <w:color w:val="000000"/>
                <w:sz w:val="20"/>
                <w:szCs w:val="20"/>
                <w:lang w:eastAsia="ru-RU"/>
              </w:rPr>
            </w:pPr>
            <w:r w:rsidRPr="001E4B2F">
              <w:rPr>
                <w:rFonts w:eastAsia="Times New Roman" w:cs="Times New Roman"/>
                <w:color w:val="000000"/>
                <w:sz w:val="20"/>
                <w:szCs w:val="20"/>
                <w:lang w:eastAsia="ru-RU"/>
              </w:rPr>
              <w:t>2</w:t>
            </w:r>
          </w:p>
        </w:tc>
        <w:tc>
          <w:tcPr>
            <w:tcW w:w="788" w:type="pct"/>
            <w:tcBorders>
              <w:top w:val="nil"/>
              <w:left w:val="nil"/>
              <w:bottom w:val="single" w:sz="4" w:space="0" w:color="000000"/>
              <w:right w:val="single" w:sz="4" w:space="0" w:color="000000"/>
            </w:tcBorders>
            <w:shd w:val="clear" w:color="auto" w:fill="auto"/>
            <w:vAlign w:val="center"/>
            <w:hideMark/>
          </w:tcPr>
          <w:p w14:paraId="409DD66E" w14:textId="77777777" w:rsidR="001E4B2F" w:rsidRPr="001E4B2F" w:rsidRDefault="001E4B2F" w:rsidP="001E4B2F">
            <w:pPr>
              <w:ind w:firstLine="0"/>
              <w:jc w:val="center"/>
              <w:rPr>
                <w:rFonts w:eastAsia="Times New Roman" w:cs="Times New Roman"/>
                <w:color w:val="000000"/>
                <w:sz w:val="20"/>
                <w:szCs w:val="20"/>
                <w:lang w:eastAsia="ru-RU"/>
              </w:rPr>
            </w:pPr>
            <w:r w:rsidRPr="001E4B2F">
              <w:rPr>
                <w:rFonts w:eastAsia="Times New Roman" w:cs="Times New Roman"/>
                <w:color w:val="000000"/>
                <w:sz w:val="20"/>
                <w:szCs w:val="20"/>
                <w:lang w:eastAsia="ru-RU"/>
              </w:rPr>
              <w:t>Дома малоэтажной жилой застройки, в том числе индивидуальной жилой застройки - индивидуальные, малоэтажные блокированные (таунхаусы), дачных объединений, садоводческих товариществ, в том числе:</w:t>
            </w:r>
          </w:p>
        </w:tc>
        <w:tc>
          <w:tcPr>
            <w:tcW w:w="370" w:type="pct"/>
            <w:tcBorders>
              <w:top w:val="nil"/>
              <w:left w:val="nil"/>
              <w:bottom w:val="single" w:sz="4" w:space="0" w:color="000000"/>
              <w:right w:val="single" w:sz="4" w:space="0" w:color="000000"/>
            </w:tcBorders>
            <w:shd w:val="clear" w:color="auto" w:fill="auto"/>
            <w:vAlign w:val="center"/>
            <w:hideMark/>
          </w:tcPr>
          <w:p w14:paraId="023814A1" w14:textId="77777777" w:rsidR="001E4B2F" w:rsidRPr="001E4B2F" w:rsidRDefault="001E4B2F" w:rsidP="001E4B2F">
            <w:pPr>
              <w:ind w:firstLine="0"/>
              <w:jc w:val="center"/>
              <w:rPr>
                <w:rFonts w:eastAsia="Times New Roman" w:cs="Times New Roman"/>
                <w:color w:val="000000"/>
                <w:sz w:val="20"/>
                <w:szCs w:val="20"/>
                <w:lang w:eastAsia="ru-RU"/>
              </w:rPr>
            </w:pPr>
            <w:r w:rsidRPr="001E4B2F">
              <w:rPr>
                <w:rFonts w:eastAsia="Times New Roman" w:cs="Times New Roman"/>
                <w:color w:val="000000"/>
                <w:sz w:val="20"/>
                <w:szCs w:val="20"/>
                <w:lang w:eastAsia="ru-RU"/>
              </w:rPr>
              <w:t> </w:t>
            </w:r>
          </w:p>
        </w:tc>
        <w:tc>
          <w:tcPr>
            <w:tcW w:w="559" w:type="pct"/>
            <w:tcBorders>
              <w:top w:val="nil"/>
              <w:left w:val="nil"/>
              <w:bottom w:val="single" w:sz="4" w:space="0" w:color="000000"/>
              <w:right w:val="single" w:sz="4" w:space="0" w:color="000000"/>
            </w:tcBorders>
            <w:shd w:val="clear" w:color="auto" w:fill="auto"/>
            <w:vAlign w:val="center"/>
            <w:hideMark/>
          </w:tcPr>
          <w:p w14:paraId="3C7C0FB9" w14:textId="77777777" w:rsidR="001E4B2F" w:rsidRPr="001E4B2F" w:rsidRDefault="001E4B2F" w:rsidP="001E4B2F">
            <w:pPr>
              <w:ind w:firstLine="0"/>
              <w:jc w:val="center"/>
              <w:rPr>
                <w:rFonts w:eastAsia="Times New Roman" w:cs="Times New Roman"/>
                <w:color w:val="000000"/>
                <w:sz w:val="20"/>
                <w:szCs w:val="20"/>
                <w:lang w:eastAsia="ru-RU"/>
              </w:rPr>
            </w:pPr>
            <w:r w:rsidRPr="001E4B2F">
              <w:rPr>
                <w:rFonts w:eastAsia="Times New Roman" w:cs="Times New Roman"/>
                <w:color w:val="000000"/>
                <w:sz w:val="20"/>
                <w:szCs w:val="20"/>
                <w:lang w:eastAsia="ru-RU"/>
              </w:rPr>
              <w:t> </w:t>
            </w:r>
          </w:p>
        </w:tc>
        <w:tc>
          <w:tcPr>
            <w:tcW w:w="528" w:type="pct"/>
            <w:tcBorders>
              <w:top w:val="nil"/>
              <w:left w:val="nil"/>
              <w:bottom w:val="single" w:sz="4" w:space="0" w:color="000000"/>
              <w:right w:val="single" w:sz="4" w:space="0" w:color="000000"/>
            </w:tcBorders>
            <w:shd w:val="clear" w:color="auto" w:fill="auto"/>
            <w:vAlign w:val="center"/>
            <w:hideMark/>
          </w:tcPr>
          <w:p w14:paraId="7E73FEA1" w14:textId="77777777" w:rsidR="001E4B2F" w:rsidRPr="001E4B2F" w:rsidRDefault="001E4B2F" w:rsidP="001E4B2F">
            <w:pPr>
              <w:ind w:firstLine="0"/>
              <w:jc w:val="center"/>
              <w:rPr>
                <w:rFonts w:eastAsia="Times New Roman" w:cs="Times New Roman"/>
                <w:color w:val="000000"/>
                <w:sz w:val="20"/>
                <w:szCs w:val="20"/>
                <w:lang w:eastAsia="ru-RU"/>
              </w:rPr>
            </w:pPr>
            <w:r w:rsidRPr="001E4B2F">
              <w:rPr>
                <w:rFonts w:eastAsia="Times New Roman" w:cs="Times New Roman"/>
                <w:color w:val="000000"/>
                <w:sz w:val="20"/>
                <w:szCs w:val="20"/>
                <w:lang w:eastAsia="ru-RU"/>
              </w:rPr>
              <w:t> </w:t>
            </w:r>
          </w:p>
        </w:tc>
        <w:tc>
          <w:tcPr>
            <w:tcW w:w="611" w:type="pct"/>
            <w:tcBorders>
              <w:top w:val="nil"/>
              <w:left w:val="nil"/>
              <w:bottom w:val="single" w:sz="4" w:space="0" w:color="000000"/>
              <w:right w:val="single" w:sz="4" w:space="0" w:color="000000"/>
            </w:tcBorders>
            <w:shd w:val="clear" w:color="auto" w:fill="auto"/>
            <w:vAlign w:val="center"/>
            <w:hideMark/>
          </w:tcPr>
          <w:p w14:paraId="42FC4FD6" w14:textId="77777777" w:rsidR="001E4B2F" w:rsidRPr="001E4B2F" w:rsidRDefault="001E4B2F" w:rsidP="001E4B2F">
            <w:pPr>
              <w:ind w:firstLine="0"/>
              <w:jc w:val="center"/>
              <w:rPr>
                <w:rFonts w:eastAsia="Times New Roman" w:cs="Times New Roman"/>
                <w:color w:val="000000"/>
                <w:sz w:val="20"/>
                <w:szCs w:val="20"/>
                <w:lang w:eastAsia="ru-RU"/>
              </w:rPr>
            </w:pPr>
            <w:r w:rsidRPr="001E4B2F">
              <w:rPr>
                <w:rFonts w:eastAsia="Times New Roman" w:cs="Times New Roman"/>
                <w:color w:val="000000"/>
                <w:sz w:val="20"/>
                <w:szCs w:val="20"/>
                <w:lang w:eastAsia="ru-RU"/>
              </w:rPr>
              <w:t> </w:t>
            </w:r>
          </w:p>
        </w:tc>
        <w:tc>
          <w:tcPr>
            <w:tcW w:w="347" w:type="pct"/>
            <w:tcBorders>
              <w:top w:val="nil"/>
              <w:left w:val="nil"/>
              <w:bottom w:val="single" w:sz="4" w:space="0" w:color="000000"/>
              <w:right w:val="single" w:sz="4" w:space="0" w:color="000000"/>
            </w:tcBorders>
            <w:shd w:val="clear" w:color="auto" w:fill="auto"/>
            <w:vAlign w:val="center"/>
            <w:hideMark/>
          </w:tcPr>
          <w:p w14:paraId="648FAD91" w14:textId="77777777" w:rsidR="001E4B2F" w:rsidRPr="001E4B2F" w:rsidRDefault="001E4B2F" w:rsidP="001E4B2F">
            <w:pPr>
              <w:ind w:firstLine="0"/>
              <w:jc w:val="center"/>
              <w:rPr>
                <w:rFonts w:eastAsia="Times New Roman" w:cs="Times New Roman"/>
                <w:color w:val="000000"/>
                <w:sz w:val="20"/>
                <w:szCs w:val="20"/>
                <w:lang w:eastAsia="ru-RU"/>
              </w:rPr>
            </w:pPr>
            <w:r w:rsidRPr="001E4B2F">
              <w:rPr>
                <w:rFonts w:eastAsia="Times New Roman" w:cs="Times New Roman"/>
                <w:color w:val="000000"/>
                <w:sz w:val="20"/>
                <w:szCs w:val="20"/>
                <w:lang w:eastAsia="ru-RU"/>
              </w:rPr>
              <w:t> </w:t>
            </w:r>
          </w:p>
        </w:tc>
        <w:tc>
          <w:tcPr>
            <w:tcW w:w="471" w:type="pct"/>
            <w:tcBorders>
              <w:top w:val="nil"/>
              <w:left w:val="nil"/>
              <w:bottom w:val="single" w:sz="4" w:space="0" w:color="000000"/>
              <w:right w:val="single" w:sz="4" w:space="0" w:color="000000"/>
            </w:tcBorders>
            <w:shd w:val="clear" w:color="auto" w:fill="auto"/>
            <w:noWrap/>
            <w:vAlign w:val="center"/>
            <w:hideMark/>
          </w:tcPr>
          <w:p w14:paraId="770271EF" w14:textId="77777777" w:rsidR="001E4B2F" w:rsidRPr="001E4B2F" w:rsidRDefault="001E4B2F" w:rsidP="001E4B2F">
            <w:pPr>
              <w:ind w:firstLine="0"/>
              <w:jc w:val="left"/>
              <w:rPr>
                <w:rFonts w:eastAsia="Times New Roman" w:cs="Times New Roman"/>
                <w:color w:val="000000"/>
                <w:sz w:val="20"/>
                <w:szCs w:val="20"/>
                <w:lang w:eastAsia="ru-RU"/>
              </w:rPr>
            </w:pPr>
            <w:r w:rsidRPr="001E4B2F">
              <w:rPr>
                <w:rFonts w:eastAsia="Times New Roman" w:cs="Times New Roman"/>
                <w:color w:val="000000"/>
                <w:sz w:val="20"/>
                <w:szCs w:val="20"/>
                <w:lang w:eastAsia="ru-RU"/>
              </w:rPr>
              <w:t> </w:t>
            </w:r>
          </w:p>
        </w:tc>
        <w:tc>
          <w:tcPr>
            <w:tcW w:w="378" w:type="pct"/>
            <w:tcBorders>
              <w:top w:val="nil"/>
              <w:left w:val="nil"/>
              <w:bottom w:val="single" w:sz="4" w:space="0" w:color="000000"/>
              <w:right w:val="single" w:sz="4" w:space="0" w:color="000000"/>
            </w:tcBorders>
            <w:shd w:val="clear" w:color="auto" w:fill="auto"/>
            <w:noWrap/>
            <w:vAlign w:val="center"/>
            <w:hideMark/>
          </w:tcPr>
          <w:p w14:paraId="33D9CAFF" w14:textId="77777777" w:rsidR="001E4B2F" w:rsidRPr="001E4B2F" w:rsidRDefault="001E4B2F" w:rsidP="001E4B2F">
            <w:pPr>
              <w:ind w:firstLine="0"/>
              <w:jc w:val="left"/>
              <w:rPr>
                <w:rFonts w:eastAsia="Times New Roman" w:cs="Times New Roman"/>
                <w:color w:val="000000"/>
                <w:sz w:val="20"/>
                <w:szCs w:val="20"/>
                <w:lang w:eastAsia="ru-RU"/>
              </w:rPr>
            </w:pPr>
            <w:r w:rsidRPr="001E4B2F">
              <w:rPr>
                <w:rFonts w:eastAsia="Times New Roman" w:cs="Times New Roman"/>
                <w:color w:val="000000"/>
                <w:sz w:val="20"/>
                <w:szCs w:val="20"/>
                <w:lang w:eastAsia="ru-RU"/>
              </w:rPr>
              <w:t> </w:t>
            </w:r>
          </w:p>
        </w:tc>
        <w:tc>
          <w:tcPr>
            <w:tcW w:w="708" w:type="pct"/>
            <w:tcBorders>
              <w:top w:val="nil"/>
              <w:left w:val="nil"/>
              <w:bottom w:val="single" w:sz="4" w:space="0" w:color="000000"/>
              <w:right w:val="single" w:sz="4" w:space="0" w:color="000000"/>
            </w:tcBorders>
            <w:shd w:val="clear" w:color="auto" w:fill="auto"/>
            <w:vAlign w:val="center"/>
            <w:hideMark/>
          </w:tcPr>
          <w:p w14:paraId="454D6523" w14:textId="77777777" w:rsidR="001E4B2F" w:rsidRPr="001E4B2F" w:rsidRDefault="001E4B2F" w:rsidP="001E4B2F">
            <w:pPr>
              <w:ind w:firstLine="0"/>
              <w:jc w:val="left"/>
              <w:rPr>
                <w:rFonts w:eastAsia="Times New Roman" w:cs="Times New Roman"/>
                <w:color w:val="000000"/>
                <w:sz w:val="20"/>
                <w:szCs w:val="20"/>
                <w:lang w:eastAsia="ru-RU"/>
              </w:rPr>
            </w:pPr>
            <w:r w:rsidRPr="001E4B2F">
              <w:rPr>
                <w:rFonts w:eastAsia="Times New Roman" w:cs="Times New Roman"/>
                <w:color w:val="000000"/>
                <w:sz w:val="20"/>
                <w:szCs w:val="20"/>
                <w:lang w:eastAsia="ru-RU"/>
              </w:rPr>
              <w:t> </w:t>
            </w:r>
          </w:p>
        </w:tc>
      </w:tr>
      <w:tr w:rsidR="001E4B2F" w:rsidRPr="001E4B2F" w14:paraId="1D90F28E" w14:textId="77777777" w:rsidTr="001E4B2F">
        <w:trPr>
          <w:trHeight w:val="510"/>
        </w:trPr>
        <w:tc>
          <w:tcPr>
            <w:tcW w:w="240" w:type="pct"/>
            <w:vMerge/>
            <w:tcBorders>
              <w:top w:val="nil"/>
              <w:left w:val="single" w:sz="4" w:space="0" w:color="000000"/>
              <w:bottom w:val="single" w:sz="4" w:space="0" w:color="000000"/>
              <w:right w:val="single" w:sz="4" w:space="0" w:color="000000"/>
            </w:tcBorders>
            <w:vAlign w:val="center"/>
            <w:hideMark/>
          </w:tcPr>
          <w:p w14:paraId="0B37E021" w14:textId="77777777" w:rsidR="001E4B2F" w:rsidRPr="001E4B2F" w:rsidRDefault="001E4B2F" w:rsidP="001E4B2F">
            <w:pPr>
              <w:ind w:firstLine="0"/>
              <w:jc w:val="left"/>
              <w:rPr>
                <w:rFonts w:eastAsia="Times New Roman" w:cs="Times New Roman"/>
                <w:color w:val="000000"/>
                <w:sz w:val="20"/>
                <w:szCs w:val="20"/>
                <w:lang w:eastAsia="ru-RU"/>
              </w:rPr>
            </w:pPr>
          </w:p>
        </w:tc>
        <w:tc>
          <w:tcPr>
            <w:tcW w:w="788" w:type="pct"/>
            <w:vMerge w:val="restart"/>
            <w:tcBorders>
              <w:top w:val="nil"/>
              <w:left w:val="single" w:sz="4" w:space="0" w:color="000000"/>
              <w:bottom w:val="single" w:sz="4" w:space="0" w:color="000000"/>
              <w:right w:val="single" w:sz="4" w:space="0" w:color="000000"/>
            </w:tcBorders>
            <w:shd w:val="clear" w:color="auto" w:fill="auto"/>
            <w:vAlign w:val="center"/>
            <w:hideMark/>
          </w:tcPr>
          <w:p w14:paraId="799E03E3" w14:textId="77777777" w:rsidR="001E4B2F" w:rsidRPr="001E4B2F" w:rsidRDefault="001E4B2F" w:rsidP="001E4B2F">
            <w:pPr>
              <w:ind w:firstLine="0"/>
              <w:jc w:val="center"/>
              <w:rPr>
                <w:rFonts w:eastAsia="Times New Roman" w:cs="Times New Roman"/>
                <w:i/>
                <w:iCs/>
                <w:color w:val="000000"/>
                <w:sz w:val="20"/>
                <w:szCs w:val="20"/>
                <w:lang w:eastAsia="ru-RU"/>
              </w:rPr>
            </w:pPr>
            <w:r w:rsidRPr="001E4B2F">
              <w:rPr>
                <w:rFonts w:eastAsia="Times New Roman" w:cs="Times New Roman"/>
                <w:i/>
                <w:iCs/>
                <w:color w:val="000000"/>
                <w:sz w:val="20"/>
                <w:szCs w:val="20"/>
                <w:lang w:eastAsia="ru-RU"/>
              </w:rPr>
              <w:t>Многоквартирные дома (дома малоэтажной жилой застройки)</w:t>
            </w:r>
          </w:p>
        </w:tc>
        <w:tc>
          <w:tcPr>
            <w:tcW w:w="370"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14:paraId="3E081A9E" w14:textId="77777777" w:rsidR="001E4B2F" w:rsidRPr="001E4B2F" w:rsidRDefault="001E4B2F" w:rsidP="001E4B2F">
            <w:pPr>
              <w:ind w:firstLine="0"/>
              <w:jc w:val="center"/>
              <w:rPr>
                <w:rFonts w:eastAsia="Times New Roman" w:cs="Times New Roman"/>
                <w:color w:val="000000"/>
                <w:sz w:val="20"/>
                <w:szCs w:val="20"/>
                <w:lang w:eastAsia="ru-RU"/>
              </w:rPr>
            </w:pPr>
            <w:r w:rsidRPr="001E4B2F">
              <w:rPr>
                <w:rFonts w:eastAsia="Times New Roman" w:cs="Times New Roman"/>
                <w:color w:val="000000"/>
                <w:sz w:val="20"/>
                <w:szCs w:val="20"/>
                <w:lang w:eastAsia="ru-RU"/>
              </w:rPr>
              <w:t>205</w:t>
            </w:r>
          </w:p>
        </w:tc>
        <w:tc>
          <w:tcPr>
            <w:tcW w:w="559" w:type="pct"/>
            <w:tcBorders>
              <w:top w:val="nil"/>
              <w:left w:val="nil"/>
              <w:bottom w:val="single" w:sz="4" w:space="0" w:color="000000"/>
              <w:right w:val="single" w:sz="4" w:space="0" w:color="000000"/>
            </w:tcBorders>
            <w:shd w:val="clear" w:color="auto" w:fill="auto"/>
            <w:vAlign w:val="center"/>
            <w:hideMark/>
          </w:tcPr>
          <w:p w14:paraId="57F202AD" w14:textId="77777777" w:rsidR="001E4B2F" w:rsidRPr="001E4B2F" w:rsidRDefault="001E4B2F" w:rsidP="001E4B2F">
            <w:pPr>
              <w:ind w:firstLine="0"/>
              <w:jc w:val="center"/>
              <w:rPr>
                <w:rFonts w:eastAsia="Times New Roman" w:cs="Times New Roman"/>
                <w:color w:val="000000"/>
                <w:sz w:val="20"/>
                <w:szCs w:val="20"/>
                <w:lang w:eastAsia="ru-RU"/>
              </w:rPr>
            </w:pPr>
            <w:r w:rsidRPr="001E4B2F">
              <w:rPr>
                <w:rFonts w:eastAsia="Times New Roman" w:cs="Times New Roman"/>
                <w:color w:val="000000"/>
                <w:sz w:val="20"/>
                <w:szCs w:val="20"/>
                <w:lang w:eastAsia="ru-RU"/>
              </w:rPr>
              <w:t>Здания</w:t>
            </w:r>
          </w:p>
        </w:tc>
        <w:tc>
          <w:tcPr>
            <w:tcW w:w="528" w:type="pct"/>
            <w:vMerge w:val="restart"/>
            <w:tcBorders>
              <w:top w:val="nil"/>
              <w:left w:val="single" w:sz="4" w:space="0" w:color="000000"/>
              <w:bottom w:val="single" w:sz="4" w:space="0" w:color="000000"/>
              <w:right w:val="single" w:sz="4" w:space="0" w:color="000000"/>
            </w:tcBorders>
            <w:shd w:val="clear" w:color="auto" w:fill="auto"/>
            <w:vAlign w:val="center"/>
            <w:hideMark/>
          </w:tcPr>
          <w:p w14:paraId="7A5D9A89" w14:textId="77777777" w:rsidR="001E4B2F" w:rsidRPr="001E4B2F" w:rsidRDefault="001E4B2F" w:rsidP="001E4B2F">
            <w:pPr>
              <w:ind w:firstLine="0"/>
              <w:jc w:val="center"/>
              <w:rPr>
                <w:rFonts w:eastAsia="Times New Roman" w:cs="Times New Roman"/>
                <w:color w:val="000000"/>
                <w:sz w:val="20"/>
                <w:szCs w:val="20"/>
                <w:lang w:eastAsia="ru-RU"/>
              </w:rPr>
            </w:pPr>
            <w:r w:rsidRPr="001E4B2F">
              <w:rPr>
                <w:rFonts w:eastAsia="Times New Roman" w:cs="Times New Roman"/>
                <w:color w:val="000000"/>
                <w:sz w:val="20"/>
                <w:szCs w:val="20"/>
                <w:lang w:eastAsia="ru-RU"/>
              </w:rPr>
              <w:t>ГНП, СНП, МР</w:t>
            </w:r>
          </w:p>
        </w:tc>
        <w:tc>
          <w:tcPr>
            <w:tcW w:w="611" w:type="pct"/>
            <w:tcBorders>
              <w:top w:val="nil"/>
              <w:left w:val="nil"/>
              <w:bottom w:val="single" w:sz="4" w:space="0" w:color="000000"/>
              <w:right w:val="single" w:sz="4" w:space="0" w:color="000000"/>
            </w:tcBorders>
            <w:shd w:val="clear" w:color="auto" w:fill="auto"/>
            <w:vAlign w:val="center"/>
            <w:hideMark/>
          </w:tcPr>
          <w:p w14:paraId="73FE64FD" w14:textId="77777777" w:rsidR="001E4B2F" w:rsidRPr="001E4B2F" w:rsidRDefault="001E4B2F" w:rsidP="001E4B2F">
            <w:pPr>
              <w:ind w:firstLine="0"/>
              <w:jc w:val="center"/>
              <w:rPr>
                <w:rFonts w:eastAsia="Times New Roman" w:cs="Times New Roman"/>
                <w:color w:val="000000"/>
                <w:sz w:val="20"/>
                <w:szCs w:val="20"/>
                <w:lang w:eastAsia="ru-RU"/>
              </w:rPr>
            </w:pPr>
            <w:r w:rsidRPr="001E4B2F">
              <w:rPr>
                <w:rFonts w:eastAsia="Times New Roman" w:cs="Times New Roman"/>
                <w:color w:val="000000"/>
                <w:sz w:val="20"/>
                <w:szCs w:val="20"/>
                <w:lang w:eastAsia="ru-RU"/>
              </w:rPr>
              <w:t> </w:t>
            </w:r>
          </w:p>
        </w:tc>
        <w:tc>
          <w:tcPr>
            <w:tcW w:w="347" w:type="pct"/>
            <w:tcBorders>
              <w:top w:val="nil"/>
              <w:left w:val="nil"/>
              <w:bottom w:val="single" w:sz="4" w:space="0" w:color="000000"/>
              <w:right w:val="single" w:sz="4" w:space="0" w:color="000000"/>
            </w:tcBorders>
            <w:shd w:val="clear" w:color="auto" w:fill="auto"/>
            <w:vAlign w:val="center"/>
            <w:hideMark/>
          </w:tcPr>
          <w:p w14:paraId="01753B6B" w14:textId="77777777" w:rsidR="001E4B2F" w:rsidRPr="001E4B2F" w:rsidRDefault="001E4B2F" w:rsidP="001E4B2F">
            <w:pPr>
              <w:ind w:firstLine="0"/>
              <w:jc w:val="center"/>
              <w:rPr>
                <w:rFonts w:eastAsia="Times New Roman" w:cs="Times New Roman"/>
                <w:color w:val="000000"/>
                <w:sz w:val="20"/>
                <w:szCs w:val="20"/>
                <w:lang w:eastAsia="ru-RU"/>
              </w:rPr>
            </w:pPr>
            <w:r w:rsidRPr="001E4B2F">
              <w:rPr>
                <w:rFonts w:eastAsia="Times New Roman" w:cs="Times New Roman"/>
                <w:color w:val="000000"/>
                <w:sz w:val="20"/>
                <w:szCs w:val="20"/>
                <w:lang w:eastAsia="ru-RU"/>
              </w:rPr>
              <w:t>2.1.</w:t>
            </w:r>
          </w:p>
        </w:tc>
        <w:tc>
          <w:tcPr>
            <w:tcW w:w="471" w:type="pct"/>
            <w:tcBorders>
              <w:top w:val="nil"/>
              <w:left w:val="nil"/>
              <w:bottom w:val="single" w:sz="4" w:space="0" w:color="000000"/>
              <w:right w:val="single" w:sz="4" w:space="0" w:color="000000"/>
            </w:tcBorders>
            <w:shd w:val="clear" w:color="auto" w:fill="auto"/>
            <w:noWrap/>
            <w:vAlign w:val="center"/>
            <w:hideMark/>
          </w:tcPr>
          <w:p w14:paraId="097534F1" w14:textId="77777777" w:rsidR="001E4B2F" w:rsidRPr="001E4B2F" w:rsidRDefault="001E4B2F" w:rsidP="001E4B2F">
            <w:pPr>
              <w:ind w:firstLine="0"/>
              <w:jc w:val="left"/>
              <w:rPr>
                <w:rFonts w:eastAsia="Times New Roman" w:cs="Times New Roman"/>
                <w:color w:val="000000"/>
                <w:sz w:val="20"/>
                <w:szCs w:val="20"/>
                <w:lang w:eastAsia="ru-RU"/>
              </w:rPr>
            </w:pPr>
            <w:r w:rsidRPr="001E4B2F">
              <w:rPr>
                <w:rFonts w:eastAsia="Times New Roman" w:cs="Times New Roman"/>
                <w:color w:val="000000"/>
                <w:sz w:val="20"/>
                <w:szCs w:val="20"/>
                <w:lang w:eastAsia="ru-RU"/>
              </w:rPr>
              <w:t>Сравнительный</w:t>
            </w:r>
          </w:p>
        </w:tc>
        <w:tc>
          <w:tcPr>
            <w:tcW w:w="378" w:type="pct"/>
            <w:tcBorders>
              <w:top w:val="nil"/>
              <w:left w:val="nil"/>
              <w:bottom w:val="single" w:sz="4" w:space="0" w:color="000000"/>
              <w:right w:val="single" w:sz="4" w:space="0" w:color="000000"/>
            </w:tcBorders>
            <w:shd w:val="clear" w:color="auto" w:fill="auto"/>
            <w:noWrap/>
            <w:vAlign w:val="bottom"/>
            <w:hideMark/>
          </w:tcPr>
          <w:p w14:paraId="707CB673" w14:textId="77777777" w:rsidR="001E4B2F" w:rsidRPr="001E4B2F" w:rsidRDefault="001E4B2F" w:rsidP="001E4B2F">
            <w:pPr>
              <w:ind w:firstLine="0"/>
              <w:jc w:val="left"/>
              <w:rPr>
                <w:rFonts w:eastAsia="Times New Roman" w:cs="Times New Roman"/>
                <w:color w:val="000000"/>
                <w:sz w:val="20"/>
                <w:szCs w:val="20"/>
                <w:lang w:eastAsia="ru-RU"/>
              </w:rPr>
            </w:pPr>
            <w:r w:rsidRPr="001E4B2F">
              <w:rPr>
                <w:rFonts w:eastAsia="Times New Roman" w:cs="Times New Roman"/>
                <w:color w:val="000000"/>
                <w:sz w:val="20"/>
                <w:szCs w:val="20"/>
                <w:lang w:eastAsia="ru-RU"/>
              </w:rPr>
              <w:t>Массовый</w:t>
            </w:r>
          </w:p>
        </w:tc>
        <w:tc>
          <w:tcPr>
            <w:tcW w:w="708" w:type="pct"/>
            <w:tcBorders>
              <w:top w:val="nil"/>
              <w:left w:val="nil"/>
              <w:bottom w:val="single" w:sz="4" w:space="0" w:color="000000"/>
              <w:right w:val="single" w:sz="4" w:space="0" w:color="000000"/>
            </w:tcBorders>
            <w:shd w:val="clear" w:color="auto" w:fill="auto"/>
            <w:noWrap/>
            <w:vAlign w:val="center"/>
            <w:hideMark/>
          </w:tcPr>
          <w:p w14:paraId="7B704841" w14:textId="77777777" w:rsidR="001E4B2F" w:rsidRPr="001E4B2F" w:rsidRDefault="001E4B2F" w:rsidP="001E4B2F">
            <w:pPr>
              <w:ind w:firstLine="0"/>
              <w:jc w:val="left"/>
              <w:rPr>
                <w:rFonts w:eastAsia="Times New Roman" w:cs="Times New Roman"/>
                <w:color w:val="000000"/>
                <w:sz w:val="20"/>
                <w:szCs w:val="20"/>
                <w:lang w:eastAsia="ru-RU"/>
              </w:rPr>
            </w:pPr>
            <w:r w:rsidRPr="001E4B2F">
              <w:rPr>
                <w:rFonts w:eastAsia="Times New Roman" w:cs="Times New Roman"/>
                <w:color w:val="000000"/>
                <w:sz w:val="20"/>
                <w:szCs w:val="20"/>
                <w:lang w:eastAsia="ru-RU"/>
              </w:rPr>
              <w:t>Метод УПКС (минимальное)</w:t>
            </w:r>
          </w:p>
        </w:tc>
      </w:tr>
      <w:tr w:rsidR="001E4B2F" w:rsidRPr="001E4B2F" w14:paraId="51F1B6AE" w14:textId="77777777" w:rsidTr="001E4B2F">
        <w:trPr>
          <w:trHeight w:val="510"/>
        </w:trPr>
        <w:tc>
          <w:tcPr>
            <w:tcW w:w="240" w:type="pct"/>
            <w:vMerge/>
            <w:tcBorders>
              <w:top w:val="nil"/>
              <w:left w:val="single" w:sz="4" w:space="0" w:color="000000"/>
              <w:bottom w:val="single" w:sz="4" w:space="0" w:color="000000"/>
              <w:right w:val="single" w:sz="4" w:space="0" w:color="000000"/>
            </w:tcBorders>
            <w:vAlign w:val="center"/>
            <w:hideMark/>
          </w:tcPr>
          <w:p w14:paraId="5CB5FEB0" w14:textId="77777777" w:rsidR="001E4B2F" w:rsidRPr="001E4B2F" w:rsidRDefault="001E4B2F" w:rsidP="001E4B2F">
            <w:pPr>
              <w:ind w:firstLine="0"/>
              <w:jc w:val="left"/>
              <w:rPr>
                <w:rFonts w:eastAsia="Times New Roman" w:cs="Times New Roman"/>
                <w:color w:val="000000"/>
                <w:sz w:val="20"/>
                <w:szCs w:val="20"/>
                <w:lang w:eastAsia="ru-RU"/>
              </w:rPr>
            </w:pPr>
          </w:p>
        </w:tc>
        <w:tc>
          <w:tcPr>
            <w:tcW w:w="788" w:type="pct"/>
            <w:vMerge/>
            <w:tcBorders>
              <w:top w:val="nil"/>
              <w:left w:val="single" w:sz="4" w:space="0" w:color="000000"/>
              <w:bottom w:val="single" w:sz="4" w:space="0" w:color="000000"/>
              <w:right w:val="single" w:sz="4" w:space="0" w:color="000000"/>
            </w:tcBorders>
            <w:vAlign w:val="center"/>
            <w:hideMark/>
          </w:tcPr>
          <w:p w14:paraId="4CF87C41" w14:textId="77777777" w:rsidR="001E4B2F" w:rsidRPr="001E4B2F" w:rsidRDefault="001E4B2F" w:rsidP="001E4B2F">
            <w:pPr>
              <w:ind w:firstLine="0"/>
              <w:jc w:val="left"/>
              <w:rPr>
                <w:rFonts w:eastAsia="Times New Roman" w:cs="Times New Roman"/>
                <w:i/>
                <w:iCs/>
                <w:color w:val="000000"/>
                <w:sz w:val="20"/>
                <w:szCs w:val="20"/>
                <w:lang w:eastAsia="ru-RU"/>
              </w:rPr>
            </w:pPr>
          </w:p>
        </w:tc>
        <w:tc>
          <w:tcPr>
            <w:tcW w:w="370" w:type="pct"/>
            <w:vMerge/>
            <w:tcBorders>
              <w:top w:val="nil"/>
              <w:left w:val="single" w:sz="4" w:space="0" w:color="000000"/>
              <w:bottom w:val="single" w:sz="4" w:space="0" w:color="000000"/>
              <w:right w:val="single" w:sz="4" w:space="0" w:color="000000"/>
            </w:tcBorders>
            <w:vAlign w:val="center"/>
            <w:hideMark/>
          </w:tcPr>
          <w:p w14:paraId="73C3AD0A" w14:textId="77777777" w:rsidR="001E4B2F" w:rsidRPr="001E4B2F" w:rsidRDefault="001E4B2F" w:rsidP="001E4B2F">
            <w:pPr>
              <w:ind w:firstLine="0"/>
              <w:jc w:val="left"/>
              <w:rPr>
                <w:rFonts w:eastAsia="Times New Roman" w:cs="Times New Roman"/>
                <w:color w:val="000000"/>
                <w:sz w:val="20"/>
                <w:szCs w:val="20"/>
                <w:lang w:eastAsia="ru-RU"/>
              </w:rPr>
            </w:pPr>
          </w:p>
        </w:tc>
        <w:tc>
          <w:tcPr>
            <w:tcW w:w="559" w:type="pct"/>
            <w:tcBorders>
              <w:top w:val="nil"/>
              <w:left w:val="nil"/>
              <w:bottom w:val="single" w:sz="4" w:space="0" w:color="000000"/>
              <w:right w:val="single" w:sz="4" w:space="0" w:color="000000"/>
            </w:tcBorders>
            <w:shd w:val="clear" w:color="auto" w:fill="auto"/>
            <w:vAlign w:val="center"/>
            <w:hideMark/>
          </w:tcPr>
          <w:p w14:paraId="34D25A43" w14:textId="77777777" w:rsidR="001E4B2F" w:rsidRPr="001E4B2F" w:rsidRDefault="001E4B2F" w:rsidP="001E4B2F">
            <w:pPr>
              <w:ind w:firstLine="0"/>
              <w:jc w:val="center"/>
              <w:rPr>
                <w:rFonts w:eastAsia="Times New Roman" w:cs="Times New Roman"/>
                <w:color w:val="000000"/>
                <w:sz w:val="20"/>
                <w:szCs w:val="20"/>
                <w:lang w:eastAsia="ru-RU"/>
              </w:rPr>
            </w:pPr>
            <w:r w:rsidRPr="001E4B2F">
              <w:rPr>
                <w:rFonts w:eastAsia="Times New Roman" w:cs="Times New Roman"/>
                <w:color w:val="000000"/>
                <w:sz w:val="20"/>
                <w:szCs w:val="20"/>
                <w:lang w:eastAsia="ru-RU"/>
              </w:rPr>
              <w:t>ОНС, сооружения</w:t>
            </w:r>
          </w:p>
        </w:tc>
        <w:tc>
          <w:tcPr>
            <w:tcW w:w="528" w:type="pct"/>
            <w:vMerge/>
            <w:tcBorders>
              <w:top w:val="nil"/>
              <w:left w:val="single" w:sz="4" w:space="0" w:color="000000"/>
              <w:bottom w:val="single" w:sz="4" w:space="0" w:color="000000"/>
              <w:right w:val="single" w:sz="4" w:space="0" w:color="000000"/>
            </w:tcBorders>
            <w:vAlign w:val="center"/>
            <w:hideMark/>
          </w:tcPr>
          <w:p w14:paraId="04DD791C" w14:textId="77777777" w:rsidR="001E4B2F" w:rsidRPr="001E4B2F" w:rsidRDefault="001E4B2F" w:rsidP="001E4B2F">
            <w:pPr>
              <w:ind w:firstLine="0"/>
              <w:jc w:val="left"/>
              <w:rPr>
                <w:rFonts w:eastAsia="Times New Roman" w:cs="Times New Roman"/>
                <w:color w:val="000000"/>
                <w:sz w:val="20"/>
                <w:szCs w:val="20"/>
                <w:lang w:eastAsia="ru-RU"/>
              </w:rPr>
            </w:pPr>
          </w:p>
        </w:tc>
        <w:tc>
          <w:tcPr>
            <w:tcW w:w="611" w:type="pct"/>
            <w:tcBorders>
              <w:top w:val="nil"/>
              <w:left w:val="nil"/>
              <w:bottom w:val="single" w:sz="4" w:space="0" w:color="000000"/>
              <w:right w:val="single" w:sz="4" w:space="0" w:color="000000"/>
            </w:tcBorders>
            <w:shd w:val="clear" w:color="auto" w:fill="auto"/>
            <w:vAlign w:val="center"/>
            <w:hideMark/>
          </w:tcPr>
          <w:p w14:paraId="3F7BE690" w14:textId="77777777" w:rsidR="001E4B2F" w:rsidRPr="001E4B2F" w:rsidRDefault="001E4B2F" w:rsidP="001E4B2F">
            <w:pPr>
              <w:ind w:firstLine="0"/>
              <w:jc w:val="center"/>
              <w:rPr>
                <w:rFonts w:eastAsia="Times New Roman" w:cs="Times New Roman"/>
                <w:color w:val="000000"/>
                <w:sz w:val="20"/>
                <w:szCs w:val="20"/>
                <w:lang w:eastAsia="ru-RU"/>
              </w:rPr>
            </w:pPr>
            <w:r w:rsidRPr="001E4B2F">
              <w:rPr>
                <w:rFonts w:eastAsia="Times New Roman" w:cs="Times New Roman"/>
                <w:color w:val="000000"/>
                <w:sz w:val="20"/>
                <w:szCs w:val="20"/>
                <w:lang w:eastAsia="ru-RU"/>
              </w:rPr>
              <w:t> </w:t>
            </w:r>
          </w:p>
        </w:tc>
        <w:tc>
          <w:tcPr>
            <w:tcW w:w="347" w:type="pct"/>
            <w:tcBorders>
              <w:top w:val="nil"/>
              <w:left w:val="nil"/>
              <w:bottom w:val="single" w:sz="4" w:space="0" w:color="000000"/>
              <w:right w:val="single" w:sz="4" w:space="0" w:color="000000"/>
            </w:tcBorders>
            <w:shd w:val="clear" w:color="auto" w:fill="auto"/>
            <w:vAlign w:val="center"/>
            <w:hideMark/>
          </w:tcPr>
          <w:p w14:paraId="0F48EF6B" w14:textId="77777777" w:rsidR="001E4B2F" w:rsidRPr="001E4B2F" w:rsidRDefault="001E4B2F" w:rsidP="001E4B2F">
            <w:pPr>
              <w:ind w:firstLine="0"/>
              <w:jc w:val="center"/>
              <w:rPr>
                <w:rFonts w:eastAsia="Times New Roman" w:cs="Times New Roman"/>
                <w:color w:val="000000"/>
                <w:sz w:val="20"/>
                <w:szCs w:val="20"/>
                <w:lang w:eastAsia="ru-RU"/>
              </w:rPr>
            </w:pPr>
            <w:r w:rsidRPr="001E4B2F">
              <w:rPr>
                <w:rFonts w:eastAsia="Times New Roman" w:cs="Times New Roman"/>
                <w:color w:val="000000"/>
                <w:sz w:val="20"/>
                <w:szCs w:val="20"/>
                <w:lang w:eastAsia="ru-RU"/>
              </w:rPr>
              <w:t>2.4.</w:t>
            </w:r>
          </w:p>
        </w:tc>
        <w:tc>
          <w:tcPr>
            <w:tcW w:w="471" w:type="pct"/>
            <w:tcBorders>
              <w:top w:val="nil"/>
              <w:left w:val="nil"/>
              <w:bottom w:val="single" w:sz="4" w:space="0" w:color="000000"/>
              <w:right w:val="single" w:sz="4" w:space="0" w:color="000000"/>
            </w:tcBorders>
            <w:shd w:val="clear" w:color="auto" w:fill="auto"/>
            <w:noWrap/>
            <w:vAlign w:val="center"/>
            <w:hideMark/>
          </w:tcPr>
          <w:p w14:paraId="7C158BD2" w14:textId="77777777" w:rsidR="001E4B2F" w:rsidRPr="001E4B2F" w:rsidRDefault="001E4B2F" w:rsidP="001E4B2F">
            <w:pPr>
              <w:ind w:firstLine="0"/>
              <w:jc w:val="left"/>
              <w:rPr>
                <w:rFonts w:eastAsia="Times New Roman" w:cs="Times New Roman"/>
                <w:color w:val="000000"/>
                <w:sz w:val="20"/>
                <w:szCs w:val="20"/>
                <w:lang w:eastAsia="ru-RU"/>
              </w:rPr>
            </w:pPr>
            <w:r w:rsidRPr="001E4B2F">
              <w:rPr>
                <w:rFonts w:eastAsia="Times New Roman" w:cs="Times New Roman"/>
                <w:color w:val="000000"/>
                <w:sz w:val="20"/>
                <w:szCs w:val="20"/>
                <w:lang w:eastAsia="ru-RU"/>
              </w:rPr>
              <w:t>Сравнительный</w:t>
            </w:r>
          </w:p>
        </w:tc>
        <w:tc>
          <w:tcPr>
            <w:tcW w:w="378" w:type="pct"/>
            <w:tcBorders>
              <w:top w:val="nil"/>
              <w:left w:val="nil"/>
              <w:bottom w:val="single" w:sz="4" w:space="0" w:color="000000"/>
              <w:right w:val="single" w:sz="4" w:space="0" w:color="000000"/>
            </w:tcBorders>
            <w:shd w:val="clear" w:color="auto" w:fill="auto"/>
            <w:noWrap/>
            <w:vAlign w:val="bottom"/>
            <w:hideMark/>
          </w:tcPr>
          <w:p w14:paraId="61A20115" w14:textId="77777777" w:rsidR="001E4B2F" w:rsidRPr="001E4B2F" w:rsidRDefault="001E4B2F" w:rsidP="001E4B2F">
            <w:pPr>
              <w:ind w:firstLine="0"/>
              <w:jc w:val="left"/>
              <w:rPr>
                <w:rFonts w:eastAsia="Times New Roman" w:cs="Times New Roman"/>
                <w:color w:val="000000"/>
                <w:sz w:val="20"/>
                <w:szCs w:val="20"/>
                <w:lang w:eastAsia="ru-RU"/>
              </w:rPr>
            </w:pPr>
            <w:r w:rsidRPr="001E4B2F">
              <w:rPr>
                <w:rFonts w:eastAsia="Times New Roman" w:cs="Times New Roman"/>
                <w:color w:val="000000"/>
                <w:sz w:val="20"/>
                <w:szCs w:val="20"/>
                <w:lang w:eastAsia="ru-RU"/>
              </w:rPr>
              <w:t>Массовый</w:t>
            </w:r>
          </w:p>
        </w:tc>
        <w:tc>
          <w:tcPr>
            <w:tcW w:w="708" w:type="pct"/>
            <w:tcBorders>
              <w:top w:val="nil"/>
              <w:left w:val="nil"/>
              <w:bottom w:val="single" w:sz="4" w:space="0" w:color="000000"/>
              <w:right w:val="single" w:sz="4" w:space="0" w:color="000000"/>
            </w:tcBorders>
            <w:shd w:val="clear" w:color="auto" w:fill="auto"/>
            <w:noWrap/>
            <w:vAlign w:val="center"/>
            <w:hideMark/>
          </w:tcPr>
          <w:p w14:paraId="1F105DF8" w14:textId="77777777" w:rsidR="001E4B2F" w:rsidRPr="001E4B2F" w:rsidRDefault="001E4B2F" w:rsidP="001E4B2F">
            <w:pPr>
              <w:ind w:firstLine="0"/>
              <w:jc w:val="left"/>
              <w:rPr>
                <w:rFonts w:eastAsia="Times New Roman" w:cs="Times New Roman"/>
                <w:color w:val="000000"/>
                <w:sz w:val="20"/>
                <w:szCs w:val="20"/>
                <w:lang w:eastAsia="ru-RU"/>
              </w:rPr>
            </w:pPr>
            <w:r w:rsidRPr="001E4B2F">
              <w:rPr>
                <w:rFonts w:eastAsia="Times New Roman" w:cs="Times New Roman"/>
                <w:color w:val="000000"/>
                <w:sz w:val="20"/>
                <w:szCs w:val="20"/>
                <w:lang w:eastAsia="ru-RU"/>
              </w:rPr>
              <w:t>Метод УПКС (минимальное)</w:t>
            </w:r>
          </w:p>
        </w:tc>
      </w:tr>
      <w:tr w:rsidR="001E4B2F" w:rsidRPr="001E4B2F" w14:paraId="27F4A7AB" w14:textId="77777777" w:rsidTr="001E4B2F">
        <w:trPr>
          <w:trHeight w:val="510"/>
        </w:trPr>
        <w:tc>
          <w:tcPr>
            <w:tcW w:w="240" w:type="pct"/>
            <w:vMerge/>
            <w:tcBorders>
              <w:top w:val="nil"/>
              <w:left w:val="single" w:sz="4" w:space="0" w:color="000000"/>
              <w:bottom w:val="single" w:sz="4" w:space="0" w:color="000000"/>
              <w:right w:val="single" w:sz="4" w:space="0" w:color="000000"/>
            </w:tcBorders>
            <w:vAlign w:val="center"/>
            <w:hideMark/>
          </w:tcPr>
          <w:p w14:paraId="40FA04E8" w14:textId="77777777" w:rsidR="001E4B2F" w:rsidRPr="001E4B2F" w:rsidRDefault="001E4B2F" w:rsidP="001E4B2F">
            <w:pPr>
              <w:ind w:firstLine="0"/>
              <w:jc w:val="left"/>
              <w:rPr>
                <w:rFonts w:eastAsia="Times New Roman" w:cs="Times New Roman"/>
                <w:color w:val="000000"/>
                <w:sz w:val="20"/>
                <w:szCs w:val="20"/>
                <w:lang w:eastAsia="ru-RU"/>
              </w:rPr>
            </w:pPr>
          </w:p>
        </w:tc>
        <w:tc>
          <w:tcPr>
            <w:tcW w:w="788" w:type="pct"/>
            <w:vMerge/>
            <w:tcBorders>
              <w:top w:val="nil"/>
              <w:left w:val="single" w:sz="4" w:space="0" w:color="000000"/>
              <w:bottom w:val="single" w:sz="4" w:space="0" w:color="000000"/>
              <w:right w:val="single" w:sz="4" w:space="0" w:color="000000"/>
            </w:tcBorders>
            <w:vAlign w:val="center"/>
            <w:hideMark/>
          </w:tcPr>
          <w:p w14:paraId="529B0E00" w14:textId="77777777" w:rsidR="001E4B2F" w:rsidRPr="001E4B2F" w:rsidRDefault="001E4B2F" w:rsidP="001E4B2F">
            <w:pPr>
              <w:ind w:firstLine="0"/>
              <w:jc w:val="left"/>
              <w:rPr>
                <w:rFonts w:eastAsia="Times New Roman" w:cs="Times New Roman"/>
                <w:i/>
                <w:iCs/>
                <w:color w:val="000000"/>
                <w:sz w:val="20"/>
                <w:szCs w:val="20"/>
                <w:lang w:eastAsia="ru-RU"/>
              </w:rPr>
            </w:pPr>
          </w:p>
        </w:tc>
        <w:tc>
          <w:tcPr>
            <w:tcW w:w="370" w:type="pct"/>
            <w:vMerge/>
            <w:tcBorders>
              <w:top w:val="nil"/>
              <w:left w:val="single" w:sz="4" w:space="0" w:color="000000"/>
              <w:bottom w:val="single" w:sz="4" w:space="0" w:color="000000"/>
              <w:right w:val="single" w:sz="4" w:space="0" w:color="000000"/>
            </w:tcBorders>
            <w:vAlign w:val="center"/>
            <w:hideMark/>
          </w:tcPr>
          <w:p w14:paraId="2174E80C" w14:textId="77777777" w:rsidR="001E4B2F" w:rsidRPr="001E4B2F" w:rsidRDefault="001E4B2F" w:rsidP="001E4B2F">
            <w:pPr>
              <w:ind w:firstLine="0"/>
              <w:jc w:val="left"/>
              <w:rPr>
                <w:rFonts w:eastAsia="Times New Roman" w:cs="Times New Roman"/>
                <w:color w:val="000000"/>
                <w:sz w:val="20"/>
                <w:szCs w:val="20"/>
                <w:lang w:eastAsia="ru-RU"/>
              </w:rPr>
            </w:pPr>
          </w:p>
        </w:tc>
        <w:tc>
          <w:tcPr>
            <w:tcW w:w="559" w:type="pct"/>
            <w:vMerge w:val="restart"/>
            <w:tcBorders>
              <w:top w:val="nil"/>
              <w:left w:val="single" w:sz="4" w:space="0" w:color="000000"/>
              <w:bottom w:val="single" w:sz="4" w:space="0" w:color="000000"/>
              <w:right w:val="single" w:sz="4" w:space="0" w:color="000000"/>
            </w:tcBorders>
            <w:shd w:val="clear" w:color="auto" w:fill="auto"/>
            <w:vAlign w:val="center"/>
            <w:hideMark/>
          </w:tcPr>
          <w:p w14:paraId="1CF6EA3B" w14:textId="77777777" w:rsidR="001E4B2F" w:rsidRPr="001E4B2F" w:rsidRDefault="001E4B2F" w:rsidP="001E4B2F">
            <w:pPr>
              <w:ind w:firstLine="0"/>
              <w:jc w:val="center"/>
              <w:rPr>
                <w:rFonts w:eastAsia="Times New Roman" w:cs="Times New Roman"/>
                <w:color w:val="000000"/>
                <w:sz w:val="20"/>
                <w:szCs w:val="20"/>
                <w:lang w:eastAsia="ru-RU"/>
              </w:rPr>
            </w:pPr>
            <w:r w:rsidRPr="001E4B2F">
              <w:rPr>
                <w:rFonts w:eastAsia="Times New Roman" w:cs="Times New Roman"/>
                <w:color w:val="000000"/>
                <w:sz w:val="20"/>
                <w:szCs w:val="20"/>
                <w:lang w:eastAsia="ru-RU"/>
              </w:rPr>
              <w:t>Помещения</w:t>
            </w:r>
          </w:p>
        </w:tc>
        <w:tc>
          <w:tcPr>
            <w:tcW w:w="528" w:type="pct"/>
            <w:tcBorders>
              <w:top w:val="nil"/>
              <w:left w:val="nil"/>
              <w:bottom w:val="single" w:sz="4" w:space="0" w:color="000000"/>
              <w:right w:val="single" w:sz="4" w:space="0" w:color="000000"/>
            </w:tcBorders>
            <w:shd w:val="clear" w:color="auto" w:fill="auto"/>
            <w:vAlign w:val="center"/>
            <w:hideMark/>
          </w:tcPr>
          <w:p w14:paraId="4784930E" w14:textId="77777777" w:rsidR="001E4B2F" w:rsidRPr="001E4B2F" w:rsidRDefault="001E4B2F" w:rsidP="001E4B2F">
            <w:pPr>
              <w:ind w:firstLine="0"/>
              <w:jc w:val="center"/>
              <w:rPr>
                <w:rFonts w:eastAsia="Times New Roman" w:cs="Times New Roman"/>
                <w:color w:val="000000"/>
                <w:sz w:val="20"/>
                <w:szCs w:val="20"/>
                <w:lang w:eastAsia="ru-RU"/>
              </w:rPr>
            </w:pPr>
            <w:r w:rsidRPr="001E4B2F">
              <w:rPr>
                <w:rFonts w:eastAsia="Times New Roman" w:cs="Times New Roman"/>
                <w:color w:val="000000"/>
                <w:sz w:val="20"/>
                <w:szCs w:val="20"/>
                <w:lang w:eastAsia="ru-RU"/>
              </w:rPr>
              <w:t>МР</w:t>
            </w:r>
          </w:p>
        </w:tc>
        <w:tc>
          <w:tcPr>
            <w:tcW w:w="611" w:type="pct"/>
            <w:tcBorders>
              <w:top w:val="nil"/>
              <w:left w:val="nil"/>
              <w:bottom w:val="single" w:sz="4" w:space="0" w:color="000000"/>
              <w:right w:val="single" w:sz="4" w:space="0" w:color="000000"/>
            </w:tcBorders>
            <w:shd w:val="clear" w:color="auto" w:fill="auto"/>
            <w:vAlign w:val="center"/>
            <w:hideMark/>
          </w:tcPr>
          <w:p w14:paraId="440A4DB6" w14:textId="77777777" w:rsidR="001E4B2F" w:rsidRPr="001E4B2F" w:rsidRDefault="001E4B2F" w:rsidP="001E4B2F">
            <w:pPr>
              <w:ind w:firstLine="0"/>
              <w:jc w:val="center"/>
              <w:rPr>
                <w:rFonts w:eastAsia="Times New Roman" w:cs="Times New Roman"/>
                <w:color w:val="000000"/>
                <w:sz w:val="20"/>
                <w:szCs w:val="20"/>
                <w:lang w:eastAsia="ru-RU"/>
              </w:rPr>
            </w:pPr>
            <w:r w:rsidRPr="001E4B2F">
              <w:rPr>
                <w:rFonts w:eastAsia="Times New Roman" w:cs="Times New Roman"/>
                <w:color w:val="000000"/>
                <w:sz w:val="20"/>
                <w:szCs w:val="20"/>
                <w:lang w:eastAsia="ru-RU"/>
              </w:rPr>
              <w:t> </w:t>
            </w:r>
          </w:p>
        </w:tc>
        <w:tc>
          <w:tcPr>
            <w:tcW w:w="347" w:type="pct"/>
            <w:tcBorders>
              <w:top w:val="nil"/>
              <w:left w:val="nil"/>
              <w:bottom w:val="single" w:sz="4" w:space="0" w:color="000000"/>
              <w:right w:val="single" w:sz="4" w:space="0" w:color="000000"/>
            </w:tcBorders>
            <w:shd w:val="clear" w:color="auto" w:fill="auto"/>
            <w:vAlign w:val="center"/>
            <w:hideMark/>
          </w:tcPr>
          <w:p w14:paraId="5A541FD9" w14:textId="77777777" w:rsidR="001E4B2F" w:rsidRPr="001E4B2F" w:rsidRDefault="001E4B2F" w:rsidP="001E4B2F">
            <w:pPr>
              <w:ind w:firstLine="0"/>
              <w:jc w:val="center"/>
              <w:rPr>
                <w:rFonts w:eastAsia="Times New Roman" w:cs="Times New Roman"/>
                <w:color w:val="000000"/>
                <w:sz w:val="20"/>
                <w:szCs w:val="20"/>
                <w:lang w:eastAsia="ru-RU"/>
              </w:rPr>
            </w:pPr>
            <w:r w:rsidRPr="001E4B2F">
              <w:rPr>
                <w:rFonts w:eastAsia="Times New Roman" w:cs="Times New Roman"/>
                <w:color w:val="000000"/>
                <w:sz w:val="20"/>
                <w:szCs w:val="20"/>
                <w:lang w:eastAsia="ru-RU"/>
              </w:rPr>
              <w:t>2.3.</w:t>
            </w:r>
          </w:p>
        </w:tc>
        <w:tc>
          <w:tcPr>
            <w:tcW w:w="471" w:type="pct"/>
            <w:tcBorders>
              <w:top w:val="nil"/>
              <w:left w:val="nil"/>
              <w:bottom w:val="single" w:sz="4" w:space="0" w:color="000000"/>
              <w:right w:val="single" w:sz="4" w:space="0" w:color="000000"/>
            </w:tcBorders>
            <w:shd w:val="clear" w:color="auto" w:fill="auto"/>
            <w:noWrap/>
            <w:vAlign w:val="center"/>
            <w:hideMark/>
          </w:tcPr>
          <w:p w14:paraId="6856B4C7" w14:textId="77777777" w:rsidR="001E4B2F" w:rsidRPr="001E4B2F" w:rsidRDefault="001E4B2F" w:rsidP="001E4B2F">
            <w:pPr>
              <w:ind w:firstLine="0"/>
              <w:jc w:val="left"/>
              <w:rPr>
                <w:rFonts w:eastAsia="Times New Roman" w:cs="Times New Roman"/>
                <w:color w:val="000000"/>
                <w:sz w:val="20"/>
                <w:szCs w:val="20"/>
                <w:lang w:eastAsia="ru-RU"/>
              </w:rPr>
            </w:pPr>
            <w:r w:rsidRPr="001E4B2F">
              <w:rPr>
                <w:rFonts w:eastAsia="Times New Roman" w:cs="Times New Roman"/>
                <w:color w:val="000000"/>
                <w:sz w:val="20"/>
                <w:szCs w:val="20"/>
                <w:lang w:eastAsia="ru-RU"/>
              </w:rPr>
              <w:t>Сравнительный</w:t>
            </w:r>
          </w:p>
        </w:tc>
        <w:tc>
          <w:tcPr>
            <w:tcW w:w="378" w:type="pct"/>
            <w:tcBorders>
              <w:top w:val="nil"/>
              <w:left w:val="nil"/>
              <w:bottom w:val="single" w:sz="4" w:space="0" w:color="000000"/>
              <w:right w:val="single" w:sz="4" w:space="0" w:color="000000"/>
            </w:tcBorders>
            <w:shd w:val="clear" w:color="auto" w:fill="auto"/>
            <w:noWrap/>
            <w:vAlign w:val="bottom"/>
            <w:hideMark/>
          </w:tcPr>
          <w:p w14:paraId="6162142D" w14:textId="77777777" w:rsidR="001E4B2F" w:rsidRPr="001E4B2F" w:rsidRDefault="001E4B2F" w:rsidP="001E4B2F">
            <w:pPr>
              <w:ind w:firstLine="0"/>
              <w:jc w:val="left"/>
              <w:rPr>
                <w:rFonts w:eastAsia="Times New Roman" w:cs="Times New Roman"/>
                <w:color w:val="000000"/>
                <w:sz w:val="20"/>
                <w:szCs w:val="20"/>
                <w:lang w:eastAsia="ru-RU"/>
              </w:rPr>
            </w:pPr>
            <w:r w:rsidRPr="001E4B2F">
              <w:rPr>
                <w:rFonts w:eastAsia="Times New Roman" w:cs="Times New Roman"/>
                <w:color w:val="000000"/>
                <w:sz w:val="20"/>
                <w:szCs w:val="20"/>
                <w:lang w:eastAsia="ru-RU"/>
              </w:rPr>
              <w:t>Массовый</w:t>
            </w:r>
          </w:p>
        </w:tc>
        <w:tc>
          <w:tcPr>
            <w:tcW w:w="708" w:type="pct"/>
            <w:tcBorders>
              <w:top w:val="nil"/>
              <w:left w:val="nil"/>
              <w:bottom w:val="single" w:sz="4" w:space="0" w:color="000000"/>
              <w:right w:val="single" w:sz="4" w:space="0" w:color="000000"/>
            </w:tcBorders>
            <w:shd w:val="clear" w:color="auto" w:fill="auto"/>
            <w:noWrap/>
            <w:vAlign w:val="center"/>
            <w:hideMark/>
          </w:tcPr>
          <w:p w14:paraId="0AACF30B" w14:textId="77777777" w:rsidR="001E4B2F" w:rsidRPr="001E4B2F" w:rsidRDefault="001E4B2F" w:rsidP="001E4B2F">
            <w:pPr>
              <w:ind w:firstLine="0"/>
              <w:jc w:val="left"/>
              <w:rPr>
                <w:rFonts w:eastAsia="Times New Roman" w:cs="Times New Roman"/>
                <w:color w:val="000000"/>
                <w:sz w:val="20"/>
                <w:szCs w:val="20"/>
                <w:lang w:eastAsia="ru-RU"/>
              </w:rPr>
            </w:pPr>
            <w:r w:rsidRPr="001E4B2F">
              <w:rPr>
                <w:rFonts w:eastAsia="Times New Roman" w:cs="Times New Roman"/>
                <w:color w:val="000000"/>
                <w:sz w:val="20"/>
                <w:szCs w:val="20"/>
                <w:lang w:eastAsia="ru-RU"/>
              </w:rPr>
              <w:t>Метод УПКС (минимальное)</w:t>
            </w:r>
          </w:p>
        </w:tc>
      </w:tr>
      <w:tr w:rsidR="001E4B2F" w:rsidRPr="001E4B2F" w14:paraId="594CD418" w14:textId="77777777" w:rsidTr="001E4B2F">
        <w:trPr>
          <w:trHeight w:val="255"/>
        </w:trPr>
        <w:tc>
          <w:tcPr>
            <w:tcW w:w="240" w:type="pct"/>
            <w:vMerge/>
            <w:tcBorders>
              <w:top w:val="nil"/>
              <w:left w:val="single" w:sz="4" w:space="0" w:color="000000"/>
              <w:bottom w:val="single" w:sz="4" w:space="0" w:color="000000"/>
              <w:right w:val="single" w:sz="4" w:space="0" w:color="000000"/>
            </w:tcBorders>
            <w:vAlign w:val="center"/>
            <w:hideMark/>
          </w:tcPr>
          <w:p w14:paraId="6FD10736" w14:textId="77777777" w:rsidR="001E4B2F" w:rsidRPr="001E4B2F" w:rsidRDefault="001E4B2F" w:rsidP="001E4B2F">
            <w:pPr>
              <w:ind w:firstLine="0"/>
              <w:jc w:val="left"/>
              <w:rPr>
                <w:rFonts w:eastAsia="Times New Roman" w:cs="Times New Roman"/>
                <w:color w:val="000000"/>
                <w:sz w:val="20"/>
                <w:szCs w:val="20"/>
                <w:lang w:eastAsia="ru-RU"/>
              </w:rPr>
            </w:pPr>
          </w:p>
        </w:tc>
        <w:tc>
          <w:tcPr>
            <w:tcW w:w="788" w:type="pct"/>
            <w:vMerge/>
            <w:tcBorders>
              <w:top w:val="nil"/>
              <w:left w:val="single" w:sz="4" w:space="0" w:color="000000"/>
              <w:bottom w:val="single" w:sz="4" w:space="0" w:color="000000"/>
              <w:right w:val="single" w:sz="4" w:space="0" w:color="000000"/>
            </w:tcBorders>
            <w:vAlign w:val="center"/>
            <w:hideMark/>
          </w:tcPr>
          <w:p w14:paraId="410E9662" w14:textId="77777777" w:rsidR="001E4B2F" w:rsidRPr="001E4B2F" w:rsidRDefault="001E4B2F" w:rsidP="001E4B2F">
            <w:pPr>
              <w:ind w:firstLine="0"/>
              <w:jc w:val="left"/>
              <w:rPr>
                <w:rFonts w:eastAsia="Times New Roman" w:cs="Times New Roman"/>
                <w:i/>
                <w:iCs/>
                <w:color w:val="000000"/>
                <w:sz w:val="20"/>
                <w:szCs w:val="20"/>
                <w:lang w:eastAsia="ru-RU"/>
              </w:rPr>
            </w:pPr>
          </w:p>
        </w:tc>
        <w:tc>
          <w:tcPr>
            <w:tcW w:w="370" w:type="pct"/>
            <w:vMerge/>
            <w:tcBorders>
              <w:top w:val="nil"/>
              <w:left w:val="single" w:sz="4" w:space="0" w:color="000000"/>
              <w:bottom w:val="single" w:sz="4" w:space="0" w:color="000000"/>
              <w:right w:val="single" w:sz="4" w:space="0" w:color="000000"/>
            </w:tcBorders>
            <w:vAlign w:val="center"/>
            <w:hideMark/>
          </w:tcPr>
          <w:p w14:paraId="67ABF980" w14:textId="77777777" w:rsidR="001E4B2F" w:rsidRPr="001E4B2F" w:rsidRDefault="001E4B2F" w:rsidP="001E4B2F">
            <w:pPr>
              <w:ind w:firstLine="0"/>
              <w:jc w:val="left"/>
              <w:rPr>
                <w:rFonts w:eastAsia="Times New Roman" w:cs="Times New Roman"/>
                <w:color w:val="000000"/>
                <w:sz w:val="20"/>
                <w:szCs w:val="20"/>
                <w:lang w:eastAsia="ru-RU"/>
              </w:rPr>
            </w:pPr>
          </w:p>
        </w:tc>
        <w:tc>
          <w:tcPr>
            <w:tcW w:w="559" w:type="pct"/>
            <w:vMerge/>
            <w:tcBorders>
              <w:top w:val="nil"/>
              <w:left w:val="single" w:sz="4" w:space="0" w:color="000000"/>
              <w:bottom w:val="single" w:sz="4" w:space="0" w:color="000000"/>
              <w:right w:val="single" w:sz="4" w:space="0" w:color="000000"/>
            </w:tcBorders>
            <w:vAlign w:val="center"/>
            <w:hideMark/>
          </w:tcPr>
          <w:p w14:paraId="4B8FA3C7" w14:textId="77777777" w:rsidR="001E4B2F" w:rsidRPr="001E4B2F" w:rsidRDefault="001E4B2F" w:rsidP="001E4B2F">
            <w:pPr>
              <w:ind w:firstLine="0"/>
              <w:jc w:val="left"/>
              <w:rPr>
                <w:rFonts w:eastAsia="Times New Roman" w:cs="Times New Roman"/>
                <w:color w:val="000000"/>
                <w:sz w:val="20"/>
                <w:szCs w:val="20"/>
                <w:lang w:eastAsia="ru-RU"/>
              </w:rPr>
            </w:pPr>
          </w:p>
        </w:tc>
        <w:tc>
          <w:tcPr>
            <w:tcW w:w="528" w:type="pct"/>
            <w:tcBorders>
              <w:top w:val="nil"/>
              <w:left w:val="nil"/>
              <w:bottom w:val="single" w:sz="4" w:space="0" w:color="000000"/>
              <w:right w:val="single" w:sz="4" w:space="0" w:color="000000"/>
            </w:tcBorders>
            <w:shd w:val="clear" w:color="auto" w:fill="auto"/>
            <w:vAlign w:val="center"/>
            <w:hideMark/>
          </w:tcPr>
          <w:p w14:paraId="608AE1EE" w14:textId="649B5492" w:rsidR="001E4B2F" w:rsidRPr="001E4B2F" w:rsidRDefault="004D5078" w:rsidP="001E4B2F">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Иные</w:t>
            </w:r>
            <w:r w:rsidR="001E4B2F" w:rsidRPr="001E4B2F">
              <w:rPr>
                <w:rFonts w:eastAsia="Times New Roman" w:cs="Times New Roman"/>
                <w:color w:val="000000"/>
                <w:sz w:val="20"/>
                <w:szCs w:val="20"/>
                <w:lang w:eastAsia="ru-RU"/>
              </w:rPr>
              <w:t xml:space="preserve"> ГНП</w:t>
            </w:r>
          </w:p>
        </w:tc>
        <w:tc>
          <w:tcPr>
            <w:tcW w:w="611" w:type="pct"/>
            <w:tcBorders>
              <w:top w:val="nil"/>
              <w:left w:val="nil"/>
              <w:bottom w:val="single" w:sz="4" w:space="0" w:color="000000"/>
              <w:right w:val="single" w:sz="4" w:space="0" w:color="000000"/>
            </w:tcBorders>
            <w:shd w:val="clear" w:color="auto" w:fill="auto"/>
            <w:vAlign w:val="center"/>
            <w:hideMark/>
          </w:tcPr>
          <w:p w14:paraId="4B0A6318" w14:textId="77777777" w:rsidR="001E4B2F" w:rsidRPr="001E4B2F" w:rsidRDefault="001E4B2F" w:rsidP="001E4B2F">
            <w:pPr>
              <w:ind w:firstLine="0"/>
              <w:jc w:val="center"/>
              <w:rPr>
                <w:rFonts w:eastAsia="Times New Roman" w:cs="Times New Roman"/>
                <w:color w:val="000000"/>
                <w:sz w:val="20"/>
                <w:szCs w:val="20"/>
                <w:lang w:eastAsia="ru-RU"/>
              </w:rPr>
            </w:pPr>
            <w:r w:rsidRPr="001E4B2F">
              <w:rPr>
                <w:rFonts w:eastAsia="Times New Roman" w:cs="Times New Roman"/>
                <w:color w:val="000000"/>
                <w:sz w:val="20"/>
                <w:szCs w:val="20"/>
                <w:lang w:eastAsia="ru-RU"/>
              </w:rPr>
              <w:t> </w:t>
            </w:r>
          </w:p>
        </w:tc>
        <w:tc>
          <w:tcPr>
            <w:tcW w:w="347" w:type="pct"/>
            <w:tcBorders>
              <w:top w:val="nil"/>
              <w:left w:val="nil"/>
              <w:bottom w:val="single" w:sz="4" w:space="0" w:color="000000"/>
              <w:right w:val="single" w:sz="4" w:space="0" w:color="000000"/>
            </w:tcBorders>
            <w:shd w:val="clear" w:color="auto" w:fill="auto"/>
            <w:vAlign w:val="center"/>
            <w:hideMark/>
          </w:tcPr>
          <w:p w14:paraId="68885E51" w14:textId="77777777" w:rsidR="001E4B2F" w:rsidRPr="001E4B2F" w:rsidRDefault="001E4B2F" w:rsidP="001E4B2F">
            <w:pPr>
              <w:ind w:firstLine="0"/>
              <w:jc w:val="center"/>
              <w:rPr>
                <w:rFonts w:eastAsia="Times New Roman" w:cs="Times New Roman"/>
                <w:color w:val="000000"/>
                <w:sz w:val="20"/>
                <w:szCs w:val="20"/>
                <w:lang w:eastAsia="ru-RU"/>
              </w:rPr>
            </w:pPr>
            <w:r w:rsidRPr="001E4B2F">
              <w:rPr>
                <w:rFonts w:eastAsia="Times New Roman" w:cs="Times New Roman"/>
                <w:color w:val="000000"/>
                <w:sz w:val="20"/>
                <w:szCs w:val="20"/>
                <w:lang w:eastAsia="ru-RU"/>
              </w:rPr>
              <w:t>2.7.</w:t>
            </w:r>
          </w:p>
        </w:tc>
        <w:tc>
          <w:tcPr>
            <w:tcW w:w="471" w:type="pct"/>
            <w:tcBorders>
              <w:top w:val="nil"/>
              <w:left w:val="nil"/>
              <w:bottom w:val="single" w:sz="4" w:space="0" w:color="000000"/>
              <w:right w:val="single" w:sz="4" w:space="0" w:color="000000"/>
            </w:tcBorders>
            <w:shd w:val="clear" w:color="auto" w:fill="auto"/>
            <w:noWrap/>
            <w:vAlign w:val="center"/>
            <w:hideMark/>
          </w:tcPr>
          <w:p w14:paraId="52973805" w14:textId="77777777" w:rsidR="001E4B2F" w:rsidRPr="001E4B2F" w:rsidRDefault="001E4B2F" w:rsidP="001E4B2F">
            <w:pPr>
              <w:ind w:firstLine="0"/>
              <w:jc w:val="left"/>
              <w:rPr>
                <w:rFonts w:eastAsia="Times New Roman" w:cs="Times New Roman"/>
                <w:color w:val="000000"/>
                <w:sz w:val="20"/>
                <w:szCs w:val="20"/>
                <w:lang w:eastAsia="ru-RU"/>
              </w:rPr>
            </w:pPr>
            <w:r w:rsidRPr="001E4B2F">
              <w:rPr>
                <w:rFonts w:eastAsia="Times New Roman" w:cs="Times New Roman"/>
                <w:color w:val="000000"/>
                <w:sz w:val="20"/>
                <w:szCs w:val="20"/>
                <w:lang w:eastAsia="ru-RU"/>
              </w:rPr>
              <w:t>Сравнительный</w:t>
            </w:r>
          </w:p>
        </w:tc>
        <w:tc>
          <w:tcPr>
            <w:tcW w:w="378" w:type="pct"/>
            <w:tcBorders>
              <w:top w:val="nil"/>
              <w:left w:val="nil"/>
              <w:bottom w:val="single" w:sz="4" w:space="0" w:color="000000"/>
              <w:right w:val="single" w:sz="4" w:space="0" w:color="000000"/>
            </w:tcBorders>
            <w:shd w:val="clear" w:color="auto" w:fill="auto"/>
            <w:noWrap/>
            <w:vAlign w:val="bottom"/>
            <w:hideMark/>
          </w:tcPr>
          <w:p w14:paraId="0E4CF58E" w14:textId="77777777" w:rsidR="001E4B2F" w:rsidRPr="001E4B2F" w:rsidRDefault="001E4B2F" w:rsidP="001E4B2F">
            <w:pPr>
              <w:ind w:firstLine="0"/>
              <w:jc w:val="left"/>
              <w:rPr>
                <w:rFonts w:eastAsia="Times New Roman" w:cs="Times New Roman"/>
                <w:color w:val="000000"/>
                <w:sz w:val="20"/>
                <w:szCs w:val="20"/>
                <w:lang w:eastAsia="ru-RU"/>
              </w:rPr>
            </w:pPr>
            <w:r w:rsidRPr="001E4B2F">
              <w:rPr>
                <w:rFonts w:eastAsia="Times New Roman" w:cs="Times New Roman"/>
                <w:color w:val="000000"/>
                <w:sz w:val="20"/>
                <w:szCs w:val="20"/>
                <w:lang w:eastAsia="ru-RU"/>
              </w:rPr>
              <w:t>Массовый</w:t>
            </w:r>
          </w:p>
        </w:tc>
        <w:tc>
          <w:tcPr>
            <w:tcW w:w="708" w:type="pct"/>
            <w:tcBorders>
              <w:top w:val="nil"/>
              <w:left w:val="nil"/>
              <w:bottom w:val="single" w:sz="4" w:space="0" w:color="000000"/>
              <w:right w:val="single" w:sz="4" w:space="0" w:color="000000"/>
            </w:tcBorders>
            <w:shd w:val="clear" w:color="auto" w:fill="auto"/>
            <w:noWrap/>
            <w:vAlign w:val="center"/>
            <w:hideMark/>
          </w:tcPr>
          <w:p w14:paraId="397504FB" w14:textId="77777777" w:rsidR="001E4B2F" w:rsidRPr="001E4B2F" w:rsidRDefault="001E4B2F" w:rsidP="001E4B2F">
            <w:pPr>
              <w:ind w:firstLine="0"/>
              <w:jc w:val="left"/>
              <w:rPr>
                <w:rFonts w:eastAsia="Times New Roman" w:cs="Times New Roman"/>
                <w:color w:val="000000"/>
                <w:sz w:val="20"/>
                <w:szCs w:val="20"/>
                <w:lang w:eastAsia="ru-RU"/>
              </w:rPr>
            </w:pPr>
            <w:r w:rsidRPr="001E4B2F">
              <w:rPr>
                <w:rFonts w:eastAsia="Times New Roman" w:cs="Times New Roman"/>
                <w:color w:val="000000"/>
                <w:sz w:val="20"/>
                <w:szCs w:val="20"/>
                <w:lang w:eastAsia="ru-RU"/>
              </w:rPr>
              <w:t>Метод УПКС (минимальное)</w:t>
            </w:r>
          </w:p>
        </w:tc>
      </w:tr>
      <w:tr w:rsidR="001E4B2F" w:rsidRPr="001E4B2F" w14:paraId="26ED5637" w14:textId="77777777" w:rsidTr="001E4B2F">
        <w:trPr>
          <w:trHeight w:val="255"/>
        </w:trPr>
        <w:tc>
          <w:tcPr>
            <w:tcW w:w="240" w:type="pct"/>
            <w:vMerge/>
            <w:tcBorders>
              <w:top w:val="nil"/>
              <w:left w:val="single" w:sz="4" w:space="0" w:color="000000"/>
              <w:bottom w:val="single" w:sz="4" w:space="0" w:color="000000"/>
              <w:right w:val="single" w:sz="4" w:space="0" w:color="000000"/>
            </w:tcBorders>
            <w:vAlign w:val="center"/>
            <w:hideMark/>
          </w:tcPr>
          <w:p w14:paraId="73717E6C" w14:textId="77777777" w:rsidR="001E4B2F" w:rsidRPr="001E4B2F" w:rsidRDefault="001E4B2F" w:rsidP="001E4B2F">
            <w:pPr>
              <w:ind w:firstLine="0"/>
              <w:jc w:val="left"/>
              <w:rPr>
                <w:rFonts w:eastAsia="Times New Roman" w:cs="Times New Roman"/>
                <w:color w:val="000000"/>
                <w:sz w:val="20"/>
                <w:szCs w:val="20"/>
                <w:lang w:eastAsia="ru-RU"/>
              </w:rPr>
            </w:pPr>
          </w:p>
        </w:tc>
        <w:tc>
          <w:tcPr>
            <w:tcW w:w="788" w:type="pct"/>
            <w:vMerge/>
            <w:tcBorders>
              <w:top w:val="nil"/>
              <w:left w:val="single" w:sz="4" w:space="0" w:color="000000"/>
              <w:bottom w:val="single" w:sz="4" w:space="0" w:color="000000"/>
              <w:right w:val="single" w:sz="4" w:space="0" w:color="000000"/>
            </w:tcBorders>
            <w:vAlign w:val="center"/>
            <w:hideMark/>
          </w:tcPr>
          <w:p w14:paraId="640BF00A" w14:textId="77777777" w:rsidR="001E4B2F" w:rsidRPr="001E4B2F" w:rsidRDefault="001E4B2F" w:rsidP="001E4B2F">
            <w:pPr>
              <w:ind w:firstLine="0"/>
              <w:jc w:val="left"/>
              <w:rPr>
                <w:rFonts w:eastAsia="Times New Roman" w:cs="Times New Roman"/>
                <w:i/>
                <w:iCs/>
                <w:color w:val="000000"/>
                <w:sz w:val="20"/>
                <w:szCs w:val="20"/>
                <w:lang w:eastAsia="ru-RU"/>
              </w:rPr>
            </w:pPr>
          </w:p>
        </w:tc>
        <w:tc>
          <w:tcPr>
            <w:tcW w:w="370" w:type="pct"/>
            <w:vMerge/>
            <w:tcBorders>
              <w:top w:val="nil"/>
              <w:left w:val="single" w:sz="4" w:space="0" w:color="000000"/>
              <w:bottom w:val="single" w:sz="4" w:space="0" w:color="000000"/>
              <w:right w:val="single" w:sz="4" w:space="0" w:color="000000"/>
            </w:tcBorders>
            <w:vAlign w:val="center"/>
            <w:hideMark/>
          </w:tcPr>
          <w:p w14:paraId="3904A4BF" w14:textId="77777777" w:rsidR="001E4B2F" w:rsidRPr="001E4B2F" w:rsidRDefault="001E4B2F" w:rsidP="001E4B2F">
            <w:pPr>
              <w:ind w:firstLine="0"/>
              <w:jc w:val="left"/>
              <w:rPr>
                <w:rFonts w:eastAsia="Times New Roman" w:cs="Times New Roman"/>
                <w:color w:val="000000"/>
                <w:sz w:val="20"/>
                <w:szCs w:val="20"/>
                <w:lang w:eastAsia="ru-RU"/>
              </w:rPr>
            </w:pPr>
          </w:p>
        </w:tc>
        <w:tc>
          <w:tcPr>
            <w:tcW w:w="559" w:type="pct"/>
            <w:vMerge/>
            <w:tcBorders>
              <w:top w:val="nil"/>
              <w:left w:val="single" w:sz="4" w:space="0" w:color="000000"/>
              <w:bottom w:val="single" w:sz="4" w:space="0" w:color="000000"/>
              <w:right w:val="single" w:sz="4" w:space="0" w:color="000000"/>
            </w:tcBorders>
            <w:vAlign w:val="center"/>
            <w:hideMark/>
          </w:tcPr>
          <w:p w14:paraId="0231098F" w14:textId="77777777" w:rsidR="001E4B2F" w:rsidRPr="001E4B2F" w:rsidRDefault="001E4B2F" w:rsidP="001E4B2F">
            <w:pPr>
              <w:ind w:firstLine="0"/>
              <w:jc w:val="left"/>
              <w:rPr>
                <w:rFonts w:eastAsia="Times New Roman" w:cs="Times New Roman"/>
                <w:color w:val="000000"/>
                <w:sz w:val="20"/>
                <w:szCs w:val="20"/>
                <w:lang w:eastAsia="ru-RU"/>
              </w:rPr>
            </w:pPr>
          </w:p>
        </w:tc>
        <w:tc>
          <w:tcPr>
            <w:tcW w:w="528" w:type="pct"/>
            <w:tcBorders>
              <w:top w:val="nil"/>
              <w:left w:val="nil"/>
              <w:bottom w:val="single" w:sz="4" w:space="0" w:color="000000"/>
              <w:right w:val="single" w:sz="4" w:space="0" w:color="000000"/>
            </w:tcBorders>
            <w:shd w:val="clear" w:color="auto" w:fill="auto"/>
            <w:vAlign w:val="center"/>
            <w:hideMark/>
          </w:tcPr>
          <w:p w14:paraId="2E486215" w14:textId="77777777" w:rsidR="001E4B2F" w:rsidRPr="001E4B2F" w:rsidRDefault="001E4B2F" w:rsidP="001E4B2F">
            <w:pPr>
              <w:ind w:firstLine="0"/>
              <w:jc w:val="center"/>
              <w:rPr>
                <w:rFonts w:eastAsia="Times New Roman" w:cs="Times New Roman"/>
                <w:color w:val="000000"/>
                <w:sz w:val="20"/>
                <w:szCs w:val="20"/>
                <w:lang w:eastAsia="ru-RU"/>
              </w:rPr>
            </w:pPr>
            <w:r w:rsidRPr="001E4B2F">
              <w:rPr>
                <w:rFonts w:eastAsia="Times New Roman" w:cs="Times New Roman"/>
                <w:color w:val="000000"/>
                <w:sz w:val="20"/>
                <w:szCs w:val="20"/>
                <w:lang w:eastAsia="ru-RU"/>
              </w:rPr>
              <w:t>СНП</w:t>
            </w:r>
          </w:p>
        </w:tc>
        <w:tc>
          <w:tcPr>
            <w:tcW w:w="611" w:type="pct"/>
            <w:tcBorders>
              <w:top w:val="nil"/>
              <w:left w:val="nil"/>
              <w:bottom w:val="single" w:sz="4" w:space="0" w:color="000000"/>
              <w:right w:val="single" w:sz="4" w:space="0" w:color="000000"/>
            </w:tcBorders>
            <w:shd w:val="clear" w:color="auto" w:fill="auto"/>
            <w:vAlign w:val="center"/>
            <w:hideMark/>
          </w:tcPr>
          <w:p w14:paraId="29E77CC6" w14:textId="77777777" w:rsidR="001E4B2F" w:rsidRPr="001E4B2F" w:rsidRDefault="001E4B2F" w:rsidP="001E4B2F">
            <w:pPr>
              <w:ind w:firstLine="0"/>
              <w:jc w:val="center"/>
              <w:rPr>
                <w:rFonts w:eastAsia="Times New Roman" w:cs="Times New Roman"/>
                <w:color w:val="000000"/>
                <w:sz w:val="20"/>
                <w:szCs w:val="20"/>
                <w:lang w:eastAsia="ru-RU"/>
              </w:rPr>
            </w:pPr>
            <w:r w:rsidRPr="001E4B2F">
              <w:rPr>
                <w:rFonts w:eastAsia="Times New Roman" w:cs="Times New Roman"/>
                <w:color w:val="000000"/>
                <w:sz w:val="20"/>
                <w:szCs w:val="20"/>
                <w:lang w:eastAsia="ru-RU"/>
              </w:rPr>
              <w:t> </w:t>
            </w:r>
          </w:p>
        </w:tc>
        <w:tc>
          <w:tcPr>
            <w:tcW w:w="347" w:type="pct"/>
            <w:tcBorders>
              <w:top w:val="nil"/>
              <w:left w:val="nil"/>
              <w:bottom w:val="single" w:sz="4" w:space="0" w:color="000000"/>
              <w:right w:val="single" w:sz="4" w:space="0" w:color="000000"/>
            </w:tcBorders>
            <w:shd w:val="clear" w:color="auto" w:fill="auto"/>
            <w:vAlign w:val="center"/>
            <w:hideMark/>
          </w:tcPr>
          <w:p w14:paraId="30AA8ACD" w14:textId="77777777" w:rsidR="001E4B2F" w:rsidRPr="001E4B2F" w:rsidRDefault="001E4B2F" w:rsidP="001E4B2F">
            <w:pPr>
              <w:ind w:firstLine="0"/>
              <w:jc w:val="center"/>
              <w:rPr>
                <w:rFonts w:eastAsia="Times New Roman" w:cs="Times New Roman"/>
                <w:color w:val="000000"/>
                <w:sz w:val="20"/>
                <w:szCs w:val="20"/>
                <w:lang w:eastAsia="ru-RU"/>
              </w:rPr>
            </w:pPr>
            <w:r w:rsidRPr="001E4B2F">
              <w:rPr>
                <w:rFonts w:eastAsia="Times New Roman" w:cs="Times New Roman"/>
                <w:color w:val="000000"/>
                <w:sz w:val="20"/>
                <w:szCs w:val="20"/>
                <w:lang w:eastAsia="ru-RU"/>
              </w:rPr>
              <w:t>2.8.</w:t>
            </w:r>
          </w:p>
        </w:tc>
        <w:tc>
          <w:tcPr>
            <w:tcW w:w="471" w:type="pct"/>
            <w:tcBorders>
              <w:top w:val="nil"/>
              <w:left w:val="nil"/>
              <w:bottom w:val="single" w:sz="4" w:space="0" w:color="000000"/>
              <w:right w:val="single" w:sz="4" w:space="0" w:color="000000"/>
            </w:tcBorders>
            <w:shd w:val="clear" w:color="auto" w:fill="auto"/>
            <w:noWrap/>
            <w:vAlign w:val="center"/>
            <w:hideMark/>
          </w:tcPr>
          <w:p w14:paraId="199BB045" w14:textId="77777777" w:rsidR="001E4B2F" w:rsidRPr="001E4B2F" w:rsidRDefault="001E4B2F" w:rsidP="001E4B2F">
            <w:pPr>
              <w:ind w:firstLine="0"/>
              <w:jc w:val="left"/>
              <w:rPr>
                <w:rFonts w:eastAsia="Times New Roman" w:cs="Times New Roman"/>
                <w:color w:val="000000"/>
                <w:sz w:val="20"/>
                <w:szCs w:val="20"/>
                <w:lang w:eastAsia="ru-RU"/>
              </w:rPr>
            </w:pPr>
            <w:r w:rsidRPr="001E4B2F">
              <w:rPr>
                <w:rFonts w:eastAsia="Times New Roman" w:cs="Times New Roman"/>
                <w:color w:val="000000"/>
                <w:sz w:val="20"/>
                <w:szCs w:val="20"/>
                <w:lang w:eastAsia="ru-RU"/>
              </w:rPr>
              <w:t>Сравнительный</w:t>
            </w:r>
          </w:p>
        </w:tc>
        <w:tc>
          <w:tcPr>
            <w:tcW w:w="378" w:type="pct"/>
            <w:tcBorders>
              <w:top w:val="nil"/>
              <w:left w:val="nil"/>
              <w:bottom w:val="single" w:sz="4" w:space="0" w:color="000000"/>
              <w:right w:val="single" w:sz="4" w:space="0" w:color="000000"/>
            </w:tcBorders>
            <w:shd w:val="clear" w:color="auto" w:fill="auto"/>
            <w:noWrap/>
            <w:vAlign w:val="bottom"/>
            <w:hideMark/>
          </w:tcPr>
          <w:p w14:paraId="04C5F9B9" w14:textId="77777777" w:rsidR="001E4B2F" w:rsidRPr="001E4B2F" w:rsidRDefault="001E4B2F" w:rsidP="001E4B2F">
            <w:pPr>
              <w:ind w:firstLine="0"/>
              <w:jc w:val="left"/>
              <w:rPr>
                <w:rFonts w:eastAsia="Times New Roman" w:cs="Times New Roman"/>
                <w:color w:val="000000"/>
                <w:sz w:val="20"/>
                <w:szCs w:val="20"/>
                <w:lang w:eastAsia="ru-RU"/>
              </w:rPr>
            </w:pPr>
            <w:r w:rsidRPr="001E4B2F">
              <w:rPr>
                <w:rFonts w:eastAsia="Times New Roman" w:cs="Times New Roman"/>
                <w:color w:val="000000"/>
                <w:sz w:val="20"/>
                <w:szCs w:val="20"/>
                <w:lang w:eastAsia="ru-RU"/>
              </w:rPr>
              <w:t>Массовый</w:t>
            </w:r>
          </w:p>
        </w:tc>
        <w:tc>
          <w:tcPr>
            <w:tcW w:w="708" w:type="pct"/>
            <w:tcBorders>
              <w:top w:val="nil"/>
              <w:left w:val="nil"/>
              <w:bottom w:val="single" w:sz="4" w:space="0" w:color="000000"/>
              <w:right w:val="single" w:sz="4" w:space="0" w:color="000000"/>
            </w:tcBorders>
            <w:shd w:val="clear" w:color="auto" w:fill="auto"/>
            <w:noWrap/>
            <w:vAlign w:val="center"/>
            <w:hideMark/>
          </w:tcPr>
          <w:p w14:paraId="3A09D997" w14:textId="77777777" w:rsidR="001E4B2F" w:rsidRPr="001E4B2F" w:rsidRDefault="001E4B2F" w:rsidP="001E4B2F">
            <w:pPr>
              <w:ind w:firstLine="0"/>
              <w:jc w:val="left"/>
              <w:rPr>
                <w:rFonts w:eastAsia="Times New Roman" w:cs="Times New Roman"/>
                <w:color w:val="000000"/>
                <w:sz w:val="20"/>
                <w:szCs w:val="20"/>
                <w:lang w:eastAsia="ru-RU"/>
              </w:rPr>
            </w:pPr>
            <w:r w:rsidRPr="001E4B2F">
              <w:rPr>
                <w:rFonts w:eastAsia="Times New Roman" w:cs="Times New Roman"/>
                <w:color w:val="000000"/>
                <w:sz w:val="20"/>
                <w:szCs w:val="20"/>
                <w:lang w:eastAsia="ru-RU"/>
              </w:rPr>
              <w:t>Метод УПКС (минимальное)</w:t>
            </w:r>
          </w:p>
        </w:tc>
      </w:tr>
      <w:tr w:rsidR="001E4B2F" w:rsidRPr="001E4B2F" w14:paraId="4CC6D0AE" w14:textId="77777777" w:rsidTr="001E4B2F">
        <w:trPr>
          <w:trHeight w:val="510"/>
        </w:trPr>
        <w:tc>
          <w:tcPr>
            <w:tcW w:w="240" w:type="pct"/>
            <w:vMerge/>
            <w:tcBorders>
              <w:top w:val="nil"/>
              <w:left w:val="single" w:sz="4" w:space="0" w:color="000000"/>
              <w:bottom w:val="single" w:sz="4" w:space="0" w:color="000000"/>
              <w:right w:val="single" w:sz="4" w:space="0" w:color="000000"/>
            </w:tcBorders>
            <w:vAlign w:val="center"/>
            <w:hideMark/>
          </w:tcPr>
          <w:p w14:paraId="7A114615" w14:textId="77777777" w:rsidR="001E4B2F" w:rsidRPr="001E4B2F" w:rsidRDefault="001E4B2F" w:rsidP="001E4B2F">
            <w:pPr>
              <w:ind w:firstLine="0"/>
              <w:jc w:val="left"/>
              <w:rPr>
                <w:rFonts w:eastAsia="Times New Roman" w:cs="Times New Roman"/>
                <w:color w:val="000000"/>
                <w:sz w:val="20"/>
                <w:szCs w:val="20"/>
                <w:lang w:eastAsia="ru-RU"/>
              </w:rPr>
            </w:pPr>
          </w:p>
        </w:tc>
        <w:tc>
          <w:tcPr>
            <w:tcW w:w="788" w:type="pct"/>
            <w:vMerge/>
            <w:tcBorders>
              <w:top w:val="nil"/>
              <w:left w:val="single" w:sz="4" w:space="0" w:color="000000"/>
              <w:bottom w:val="single" w:sz="4" w:space="0" w:color="000000"/>
              <w:right w:val="single" w:sz="4" w:space="0" w:color="000000"/>
            </w:tcBorders>
            <w:vAlign w:val="center"/>
            <w:hideMark/>
          </w:tcPr>
          <w:p w14:paraId="03BA8620" w14:textId="77777777" w:rsidR="001E4B2F" w:rsidRPr="001E4B2F" w:rsidRDefault="001E4B2F" w:rsidP="001E4B2F">
            <w:pPr>
              <w:ind w:firstLine="0"/>
              <w:jc w:val="left"/>
              <w:rPr>
                <w:rFonts w:eastAsia="Times New Roman" w:cs="Times New Roman"/>
                <w:i/>
                <w:iCs/>
                <w:color w:val="000000"/>
                <w:sz w:val="20"/>
                <w:szCs w:val="20"/>
                <w:lang w:eastAsia="ru-RU"/>
              </w:rPr>
            </w:pPr>
          </w:p>
        </w:tc>
        <w:tc>
          <w:tcPr>
            <w:tcW w:w="370" w:type="pct"/>
            <w:vMerge/>
            <w:tcBorders>
              <w:top w:val="nil"/>
              <w:left w:val="single" w:sz="4" w:space="0" w:color="000000"/>
              <w:bottom w:val="single" w:sz="4" w:space="0" w:color="000000"/>
              <w:right w:val="single" w:sz="4" w:space="0" w:color="000000"/>
            </w:tcBorders>
            <w:vAlign w:val="center"/>
            <w:hideMark/>
          </w:tcPr>
          <w:p w14:paraId="25B81BB8" w14:textId="77777777" w:rsidR="001E4B2F" w:rsidRPr="001E4B2F" w:rsidRDefault="001E4B2F" w:rsidP="001E4B2F">
            <w:pPr>
              <w:ind w:firstLine="0"/>
              <w:jc w:val="left"/>
              <w:rPr>
                <w:rFonts w:eastAsia="Times New Roman" w:cs="Times New Roman"/>
                <w:color w:val="000000"/>
                <w:sz w:val="20"/>
                <w:szCs w:val="20"/>
                <w:lang w:eastAsia="ru-RU"/>
              </w:rPr>
            </w:pPr>
          </w:p>
        </w:tc>
        <w:tc>
          <w:tcPr>
            <w:tcW w:w="559" w:type="pct"/>
            <w:vMerge/>
            <w:tcBorders>
              <w:top w:val="nil"/>
              <w:left w:val="single" w:sz="4" w:space="0" w:color="000000"/>
              <w:bottom w:val="single" w:sz="4" w:space="0" w:color="000000"/>
              <w:right w:val="single" w:sz="4" w:space="0" w:color="000000"/>
            </w:tcBorders>
            <w:vAlign w:val="center"/>
            <w:hideMark/>
          </w:tcPr>
          <w:p w14:paraId="230C2E1F" w14:textId="77777777" w:rsidR="001E4B2F" w:rsidRPr="001E4B2F" w:rsidRDefault="001E4B2F" w:rsidP="001E4B2F">
            <w:pPr>
              <w:ind w:firstLine="0"/>
              <w:jc w:val="left"/>
              <w:rPr>
                <w:rFonts w:eastAsia="Times New Roman" w:cs="Times New Roman"/>
                <w:color w:val="000000"/>
                <w:sz w:val="20"/>
                <w:szCs w:val="20"/>
                <w:lang w:eastAsia="ru-RU"/>
              </w:rPr>
            </w:pPr>
          </w:p>
        </w:tc>
        <w:tc>
          <w:tcPr>
            <w:tcW w:w="528" w:type="pct"/>
            <w:vMerge w:val="restart"/>
            <w:tcBorders>
              <w:top w:val="nil"/>
              <w:left w:val="single" w:sz="4" w:space="0" w:color="000000"/>
              <w:bottom w:val="single" w:sz="4" w:space="0" w:color="000000"/>
              <w:right w:val="single" w:sz="4" w:space="0" w:color="000000"/>
            </w:tcBorders>
            <w:shd w:val="clear" w:color="auto" w:fill="auto"/>
            <w:vAlign w:val="center"/>
            <w:hideMark/>
          </w:tcPr>
          <w:p w14:paraId="255231A8" w14:textId="77777777" w:rsidR="001E4B2F" w:rsidRPr="001E4B2F" w:rsidRDefault="001E4B2F" w:rsidP="001E4B2F">
            <w:pPr>
              <w:ind w:firstLine="0"/>
              <w:jc w:val="center"/>
              <w:rPr>
                <w:rFonts w:eastAsia="Times New Roman" w:cs="Times New Roman"/>
                <w:color w:val="000000"/>
                <w:sz w:val="20"/>
                <w:szCs w:val="20"/>
                <w:lang w:eastAsia="ru-RU"/>
              </w:rPr>
            </w:pPr>
            <w:r w:rsidRPr="001E4B2F">
              <w:rPr>
                <w:rFonts w:eastAsia="Times New Roman" w:cs="Times New Roman"/>
                <w:color w:val="000000"/>
                <w:sz w:val="20"/>
                <w:szCs w:val="20"/>
                <w:lang w:eastAsia="ru-RU"/>
              </w:rPr>
              <w:t>г.Якутск</w:t>
            </w:r>
          </w:p>
        </w:tc>
        <w:tc>
          <w:tcPr>
            <w:tcW w:w="611" w:type="pct"/>
            <w:tcBorders>
              <w:top w:val="nil"/>
              <w:left w:val="nil"/>
              <w:bottom w:val="single" w:sz="4" w:space="0" w:color="000000"/>
              <w:right w:val="single" w:sz="4" w:space="0" w:color="000000"/>
            </w:tcBorders>
            <w:shd w:val="clear" w:color="auto" w:fill="auto"/>
            <w:vAlign w:val="center"/>
            <w:hideMark/>
          </w:tcPr>
          <w:p w14:paraId="5D47BE11" w14:textId="77777777" w:rsidR="001E4B2F" w:rsidRPr="001E4B2F" w:rsidRDefault="001E4B2F" w:rsidP="001E4B2F">
            <w:pPr>
              <w:ind w:firstLine="0"/>
              <w:jc w:val="center"/>
              <w:rPr>
                <w:rFonts w:eastAsia="Times New Roman" w:cs="Times New Roman"/>
                <w:color w:val="000000"/>
                <w:sz w:val="20"/>
                <w:szCs w:val="20"/>
                <w:lang w:eastAsia="ru-RU"/>
              </w:rPr>
            </w:pPr>
            <w:r w:rsidRPr="001E4B2F">
              <w:rPr>
                <w:rFonts w:eastAsia="Times New Roman" w:cs="Times New Roman"/>
                <w:color w:val="000000"/>
                <w:sz w:val="20"/>
                <w:szCs w:val="20"/>
                <w:lang w:eastAsia="ru-RU"/>
              </w:rPr>
              <w:t>Объекты с неполными харкетристиками</w:t>
            </w:r>
          </w:p>
        </w:tc>
        <w:tc>
          <w:tcPr>
            <w:tcW w:w="347" w:type="pct"/>
            <w:tcBorders>
              <w:top w:val="nil"/>
              <w:left w:val="nil"/>
              <w:bottom w:val="single" w:sz="4" w:space="0" w:color="000000"/>
              <w:right w:val="single" w:sz="4" w:space="0" w:color="000000"/>
            </w:tcBorders>
            <w:shd w:val="clear" w:color="auto" w:fill="auto"/>
            <w:vAlign w:val="center"/>
            <w:hideMark/>
          </w:tcPr>
          <w:p w14:paraId="24536952" w14:textId="77777777" w:rsidR="001E4B2F" w:rsidRPr="001E4B2F" w:rsidRDefault="001E4B2F" w:rsidP="001E4B2F">
            <w:pPr>
              <w:ind w:firstLine="0"/>
              <w:jc w:val="center"/>
              <w:rPr>
                <w:rFonts w:eastAsia="Times New Roman" w:cs="Times New Roman"/>
                <w:color w:val="000000"/>
                <w:sz w:val="20"/>
                <w:szCs w:val="20"/>
                <w:lang w:eastAsia="ru-RU"/>
              </w:rPr>
            </w:pPr>
            <w:r w:rsidRPr="001E4B2F">
              <w:rPr>
                <w:rFonts w:eastAsia="Times New Roman" w:cs="Times New Roman"/>
                <w:color w:val="000000"/>
                <w:sz w:val="20"/>
                <w:szCs w:val="20"/>
                <w:lang w:eastAsia="ru-RU"/>
              </w:rPr>
              <w:t>2.9.</w:t>
            </w:r>
          </w:p>
        </w:tc>
        <w:tc>
          <w:tcPr>
            <w:tcW w:w="471" w:type="pct"/>
            <w:tcBorders>
              <w:top w:val="nil"/>
              <w:left w:val="nil"/>
              <w:bottom w:val="single" w:sz="4" w:space="0" w:color="000000"/>
              <w:right w:val="single" w:sz="4" w:space="0" w:color="000000"/>
            </w:tcBorders>
            <w:shd w:val="clear" w:color="auto" w:fill="auto"/>
            <w:noWrap/>
            <w:vAlign w:val="center"/>
            <w:hideMark/>
          </w:tcPr>
          <w:p w14:paraId="2EFC2BC8" w14:textId="77777777" w:rsidR="001E4B2F" w:rsidRPr="001E4B2F" w:rsidRDefault="001E4B2F" w:rsidP="001E4B2F">
            <w:pPr>
              <w:ind w:firstLine="0"/>
              <w:jc w:val="left"/>
              <w:rPr>
                <w:rFonts w:eastAsia="Times New Roman" w:cs="Times New Roman"/>
                <w:color w:val="000000"/>
                <w:sz w:val="20"/>
                <w:szCs w:val="20"/>
                <w:lang w:eastAsia="ru-RU"/>
              </w:rPr>
            </w:pPr>
            <w:r w:rsidRPr="001E4B2F">
              <w:rPr>
                <w:rFonts w:eastAsia="Times New Roman" w:cs="Times New Roman"/>
                <w:color w:val="000000"/>
                <w:sz w:val="20"/>
                <w:szCs w:val="20"/>
                <w:lang w:eastAsia="ru-RU"/>
              </w:rPr>
              <w:t>Сравнительный</w:t>
            </w:r>
          </w:p>
        </w:tc>
        <w:tc>
          <w:tcPr>
            <w:tcW w:w="378" w:type="pct"/>
            <w:tcBorders>
              <w:top w:val="nil"/>
              <w:left w:val="nil"/>
              <w:bottom w:val="single" w:sz="4" w:space="0" w:color="000000"/>
              <w:right w:val="single" w:sz="4" w:space="0" w:color="000000"/>
            </w:tcBorders>
            <w:shd w:val="clear" w:color="auto" w:fill="auto"/>
            <w:noWrap/>
            <w:vAlign w:val="bottom"/>
            <w:hideMark/>
          </w:tcPr>
          <w:p w14:paraId="1B286BF4" w14:textId="77777777" w:rsidR="001E4B2F" w:rsidRPr="001E4B2F" w:rsidRDefault="001E4B2F" w:rsidP="001E4B2F">
            <w:pPr>
              <w:ind w:firstLine="0"/>
              <w:jc w:val="left"/>
              <w:rPr>
                <w:rFonts w:eastAsia="Times New Roman" w:cs="Times New Roman"/>
                <w:color w:val="000000"/>
                <w:sz w:val="20"/>
                <w:szCs w:val="20"/>
                <w:lang w:eastAsia="ru-RU"/>
              </w:rPr>
            </w:pPr>
            <w:r w:rsidRPr="001E4B2F">
              <w:rPr>
                <w:rFonts w:eastAsia="Times New Roman" w:cs="Times New Roman"/>
                <w:color w:val="000000"/>
                <w:sz w:val="20"/>
                <w:szCs w:val="20"/>
                <w:lang w:eastAsia="ru-RU"/>
              </w:rPr>
              <w:t>Массовый</w:t>
            </w:r>
          </w:p>
        </w:tc>
        <w:tc>
          <w:tcPr>
            <w:tcW w:w="708" w:type="pct"/>
            <w:tcBorders>
              <w:top w:val="nil"/>
              <w:left w:val="nil"/>
              <w:bottom w:val="single" w:sz="4" w:space="0" w:color="000000"/>
              <w:right w:val="single" w:sz="4" w:space="0" w:color="000000"/>
            </w:tcBorders>
            <w:shd w:val="clear" w:color="auto" w:fill="auto"/>
            <w:noWrap/>
            <w:vAlign w:val="center"/>
            <w:hideMark/>
          </w:tcPr>
          <w:p w14:paraId="78C23060" w14:textId="77777777" w:rsidR="001E4B2F" w:rsidRPr="001E4B2F" w:rsidRDefault="001E4B2F" w:rsidP="001E4B2F">
            <w:pPr>
              <w:ind w:firstLine="0"/>
              <w:jc w:val="left"/>
              <w:rPr>
                <w:rFonts w:eastAsia="Times New Roman" w:cs="Times New Roman"/>
                <w:color w:val="000000"/>
                <w:sz w:val="20"/>
                <w:szCs w:val="20"/>
                <w:lang w:eastAsia="ru-RU"/>
              </w:rPr>
            </w:pPr>
            <w:r w:rsidRPr="001E4B2F">
              <w:rPr>
                <w:rFonts w:eastAsia="Times New Roman" w:cs="Times New Roman"/>
                <w:color w:val="000000"/>
                <w:sz w:val="20"/>
                <w:szCs w:val="20"/>
                <w:lang w:eastAsia="ru-RU"/>
              </w:rPr>
              <w:t>Метод УПКС (минимальное)</w:t>
            </w:r>
          </w:p>
        </w:tc>
      </w:tr>
      <w:tr w:rsidR="001E4B2F" w:rsidRPr="001E4B2F" w14:paraId="41D34722" w14:textId="77777777" w:rsidTr="001E4B2F">
        <w:trPr>
          <w:trHeight w:val="510"/>
        </w:trPr>
        <w:tc>
          <w:tcPr>
            <w:tcW w:w="240" w:type="pct"/>
            <w:vMerge/>
            <w:tcBorders>
              <w:top w:val="nil"/>
              <w:left w:val="single" w:sz="4" w:space="0" w:color="000000"/>
              <w:bottom w:val="single" w:sz="4" w:space="0" w:color="000000"/>
              <w:right w:val="single" w:sz="4" w:space="0" w:color="000000"/>
            </w:tcBorders>
            <w:vAlign w:val="center"/>
            <w:hideMark/>
          </w:tcPr>
          <w:p w14:paraId="02407C28" w14:textId="77777777" w:rsidR="001E4B2F" w:rsidRPr="001E4B2F" w:rsidRDefault="001E4B2F" w:rsidP="001E4B2F">
            <w:pPr>
              <w:ind w:firstLine="0"/>
              <w:jc w:val="left"/>
              <w:rPr>
                <w:rFonts w:eastAsia="Times New Roman" w:cs="Times New Roman"/>
                <w:color w:val="000000"/>
                <w:sz w:val="20"/>
                <w:szCs w:val="20"/>
                <w:lang w:eastAsia="ru-RU"/>
              </w:rPr>
            </w:pPr>
          </w:p>
        </w:tc>
        <w:tc>
          <w:tcPr>
            <w:tcW w:w="788" w:type="pct"/>
            <w:vMerge/>
            <w:tcBorders>
              <w:top w:val="nil"/>
              <w:left w:val="single" w:sz="4" w:space="0" w:color="000000"/>
              <w:bottom w:val="single" w:sz="4" w:space="0" w:color="000000"/>
              <w:right w:val="single" w:sz="4" w:space="0" w:color="000000"/>
            </w:tcBorders>
            <w:vAlign w:val="center"/>
            <w:hideMark/>
          </w:tcPr>
          <w:p w14:paraId="7EE7AEF1" w14:textId="77777777" w:rsidR="001E4B2F" w:rsidRPr="001E4B2F" w:rsidRDefault="001E4B2F" w:rsidP="001E4B2F">
            <w:pPr>
              <w:ind w:firstLine="0"/>
              <w:jc w:val="left"/>
              <w:rPr>
                <w:rFonts w:eastAsia="Times New Roman" w:cs="Times New Roman"/>
                <w:i/>
                <w:iCs/>
                <w:color w:val="000000"/>
                <w:sz w:val="20"/>
                <w:szCs w:val="20"/>
                <w:lang w:eastAsia="ru-RU"/>
              </w:rPr>
            </w:pPr>
          </w:p>
        </w:tc>
        <w:tc>
          <w:tcPr>
            <w:tcW w:w="370" w:type="pct"/>
            <w:vMerge/>
            <w:tcBorders>
              <w:top w:val="nil"/>
              <w:left w:val="single" w:sz="4" w:space="0" w:color="000000"/>
              <w:bottom w:val="single" w:sz="4" w:space="0" w:color="000000"/>
              <w:right w:val="single" w:sz="4" w:space="0" w:color="000000"/>
            </w:tcBorders>
            <w:vAlign w:val="center"/>
            <w:hideMark/>
          </w:tcPr>
          <w:p w14:paraId="192F5E66" w14:textId="77777777" w:rsidR="001E4B2F" w:rsidRPr="001E4B2F" w:rsidRDefault="001E4B2F" w:rsidP="001E4B2F">
            <w:pPr>
              <w:ind w:firstLine="0"/>
              <w:jc w:val="left"/>
              <w:rPr>
                <w:rFonts w:eastAsia="Times New Roman" w:cs="Times New Roman"/>
                <w:color w:val="000000"/>
                <w:sz w:val="20"/>
                <w:szCs w:val="20"/>
                <w:lang w:eastAsia="ru-RU"/>
              </w:rPr>
            </w:pPr>
          </w:p>
        </w:tc>
        <w:tc>
          <w:tcPr>
            <w:tcW w:w="559" w:type="pct"/>
            <w:vMerge/>
            <w:tcBorders>
              <w:top w:val="nil"/>
              <w:left w:val="single" w:sz="4" w:space="0" w:color="000000"/>
              <w:bottom w:val="single" w:sz="4" w:space="0" w:color="000000"/>
              <w:right w:val="single" w:sz="4" w:space="0" w:color="000000"/>
            </w:tcBorders>
            <w:vAlign w:val="center"/>
            <w:hideMark/>
          </w:tcPr>
          <w:p w14:paraId="4945296C" w14:textId="77777777" w:rsidR="001E4B2F" w:rsidRPr="001E4B2F" w:rsidRDefault="001E4B2F" w:rsidP="001E4B2F">
            <w:pPr>
              <w:ind w:firstLine="0"/>
              <w:jc w:val="left"/>
              <w:rPr>
                <w:rFonts w:eastAsia="Times New Roman" w:cs="Times New Roman"/>
                <w:color w:val="000000"/>
                <w:sz w:val="20"/>
                <w:szCs w:val="20"/>
                <w:lang w:eastAsia="ru-RU"/>
              </w:rPr>
            </w:pPr>
          </w:p>
        </w:tc>
        <w:tc>
          <w:tcPr>
            <w:tcW w:w="528" w:type="pct"/>
            <w:vMerge/>
            <w:tcBorders>
              <w:top w:val="nil"/>
              <w:left w:val="single" w:sz="4" w:space="0" w:color="000000"/>
              <w:bottom w:val="single" w:sz="4" w:space="0" w:color="000000"/>
              <w:right w:val="single" w:sz="4" w:space="0" w:color="000000"/>
            </w:tcBorders>
            <w:vAlign w:val="center"/>
            <w:hideMark/>
          </w:tcPr>
          <w:p w14:paraId="7D53012D" w14:textId="77777777" w:rsidR="001E4B2F" w:rsidRPr="001E4B2F" w:rsidRDefault="001E4B2F" w:rsidP="001E4B2F">
            <w:pPr>
              <w:ind w:firstLine="0"/>
              <w:jc w:val="left"/>
              <w:rPr>
                <w:rFonts w:eastAsia="Times New Roman" w:cs="Times New Roman"/>
                <w:color w:val="000000"/>
                <w:sz w:val="20"/>
                <w:szCs w:val="20"/>
                <w:lang w:eastAsia="ru-RU"/>
              </w:rPr>
            </w:pPr>
          </w:p>
        </w:tc>
        <w:tc>
          <w:tcPr>
            <w:tcW w:w="611" w:type="pct"/>
            <w:tcBorders>
              <w:top w:val="nil"/>
              <w:left w:val="nil"/>
              <w:bottom w:val="single" w:sz="4" w:space="0" w:color="000000"/>
              <w:right w:val="single" w:sz="4" w:space="0" w:color="000000"/>
            </w:tcBorders>
            <w:shd w:val="clear" w:color="auto" w:fill="auto"/>
            <w:vAlign w:val="center"/>
            <w:hideMark/>
          </w:tcPr>
          <w:p w14:paraId="74611F98" w14:textId="77777777" w:rsidR="001E4B2F" w:rsidRPr="001E4B2F" w:rsidRDefault="001E4B2F" w:rsidP="001E4B2F">
            <w:pPr>
              <w:ind w:firstLine="0"/>
              <w:jc w:val="center"/>
              <w:rPr>
                <w:rFonts w:eastAsia="Times New Roman" w:cs="Times New Roman"/>
                <w:color w:val="000000"/>
                <w:sz w:val="20"/>
                <w:szCs w:val="20"/>
                <w:lang w:eastAsia="ru-RU"/>
              </w:rPr>
            </w:pPr>
            <w:r w:rsidRPr="001E4B2F">
              <w:rPr>
                <w:rFonts w:eastAsia="Times New Roman" w:cs="Times New Roman"/>
                <w:color w:val="000000"/>
                <w:sz w:val="20"/>
                <w:szCs w:val="20"/>
                <w:lang w:eastAsia="ru-RU"/>
              </w:rPr>
              <w:t>Объекты с полными характеристиками</w:t>
            </w:r>
          </w:p>
        </w:tc>
        <w:tc>
          <w:tcPr>
            <w:tcW w:w="347" w:type="pct"/>
            <w:tcBorders>
              <w:top w:val="nil"/>
              <w:left w:val="nil"/>
              <w:bottom w:val="single" w:sz="4" w:space="0" w:color="000000"/>
              <w:right w:val="single" w:sz="4" w:space="0" w:color="000000"/>
            </w:tcBorders>
            <w:shd w:val="clear" w:color="auto" w:fill="auto"/>
            <w:vAlign w:val="center"/>
            <w:hideMark/>
          </w:tcPr>
          <w:p w14:paraId="4D05FAFC" w14:textId="77777777" w:rsidR="001E4B2F" w:rsidRPr="001E4B2F" w:rsidRDefault="001E4B2F" w:rsidP="001E4B2F">
            <w:pPr>
              <w:ind w:firstLine="0"/>
              <w:jc w:val="center"/>
              <w:rPr>
                <w:rFonts w:eastAsia="Times New Roman" w:cs="Times New Roman"/>
                <w:color w:val="000000"/>
                <w:sz w:val="20"/>
                <w:szCs w:val="20"/>
                <w:lang w:eastAsia="ru-RU"/>
              </w:rPr>
            </w:pPr>
            <w:r w:rsidRPr="001E4B2F">
              <w:rPr>
                <w:rFonts w:eastAsia="Times New Roman" w:cs="Times New Roman"/>
                <w:color w:val="000000"/>
                <w:sz w:val="20"/>
                <w:szCs w:val="20"/>
                <w:lang w:eastAsia="ru-RU"/>
              </w:rPr>
              <w:t>2.10.</w:t>
            </w:r>
          </w:p>
        </w:tc>
        <w:tc>
          <w:tcPr>
            <w:tcW w:w="471" w:type="pct"/>
            <w:tcBorders>
              <w:top w:val="nil"/>
              <w:left w:val="nil"/>
              <w:bottom w:val="single" w:sz="4" w:space="0" w:color="000000"/>
              <w:right w:val="single" w:sz="4" w:space="0" w:color="000000"/>
            </w:tcBorders>
            <w:shd w:val="clear" w:color="auto" w:fill="auto"/>
            <w:noWrap/>
            <w:vAlign w:val="center"/>
            <w:hideMark/>
          </w:tcPr>
          <w:p w14:paraId="797A7D9E" w14:textId="77777777" w:rsidR="001E4B2F" w:rsidRPr="001E4B2F" w:rsidRDefault="001E4B2F" w:rsidP="001E4B2F">
            <w:pPr>
              <w:ind w:firstLine="0"/>
              <w:jc w:val="left"/>
              <w:rPr>
                <w:rFonts w:eastAsia="Times New Roman" w:cs="Times New Roman"/>
                <w:color w:val="000000"/>
                <w:sz w:val="20"/>
                <w:szCs w:val="20"/>
                <w:lang w:eastAsia="ru-RU"/>
              </w:rPr>
            </w:pPr>
            <w:r w:rsidRPr="001E4B2F">
              <w:rPr>
                <w:rFonts w:eastAsia="Times New Roman" w:cs="Times New Roman"/>
                <w:color w:val="000000"/>
                <w:sz w:val="20"/>
                <w:szCs w:val="20"/>
                <w:lang w:eastAsia="ru-RU"/>
              </w:rPr>
              <w:t>Сравнительный</w:t>
            </w:r>
          </w:p>
        </w:tc>
        <w:tc>
          <w:tcPr>
            <w:tcW w:w="378" w:type="pct"/>
            <w:tcBorders>
              <w:top w:val="nil"/>
              <w:left w:val="nil"/>
              <w:bottom w:val="single" w:sz="4" w:space="0" w:color="000000"/>
              <w:right w:val="single" w:sz="4" w:space="0" w:color="000000"/>
            </w:tcBorders>
            <w:shd w:val="clear" w:color="auto" w:fill="auto"/>
            <w:noWrap/>
            <w:vAlign w:val="bottom"/>
            <w:hideMark/>
          </w:tcPr>
          <w:p w14:paraId="6B322210" w14:textId="77777777" w:rsidR="001E4B2F" w:rsidRPr="001E4B2F" w:rsidRDefault="001E4B2F" w:rsidP="001E4B2F">
            <w:pPr>
              <w:ind w:firstLine="0"/>
              <w:jc w:val="left"/>
              <w:rPr>
                <w:rFonts w:eastAsia="Times New Roman" w:cs="Times New Roman"/>
                <w:color w:val="000000"/>
                <w:sz w:val="20"/>
                <w:szCs w:val="20"/>
                <w:lang w:eastAsia="ru-RU"/>
              </w:rPr>
            </w:pPr>
            <w:r w:rsidRPr="001E4B2F">
              <w:rPr>
                <w:rFonts w:eastAsia="Times New Roman" w:cs="Times New Roman"/>
                <w:color w:val="000000"/>
                <w:sz w:val="20"/>
                <w:szCs w:val="20"/>
                <w:lang w:eastAsia="ru-RU"/>
              </w:rPr>
              <w:t>Массовый</w:t>
            </w:r>
          </w:p>
        </w:tc>
        <w:tc>
          <w:tcPr>
            <w:tcW w:w="708" w:type="pct"/>
            <w:tcBorders>
              <w:top w:val="nil"/>
              <w:left w:val="nil"/>
              <w:bottom w:val="single" w:sz="4" w:space="0" w:color="000000"/>
              <w:right w:val="single" w:sz="4" w:space="0" w:color="000000"/>
            </w:tcBorders>
            <w:shd w:val="clear" w:color="auto" w:fill="auto"/>
            <w:noWrap/>
            <w:vAlign w:val="bottom"/>
            <w:hideMark/>
          </w:tcPr>
          <w:p w14:paraId="7D51AFD4" w14:textId="77777777" w:rsidR="001E4B2F" w:rsidRPr="001E4B2F" w:rsidRDefault="001E4B2F" w:rsidP="001E4B2F">
            <w:pPr>
              <w:ind w:firstLine="0"/>
              <w:jc w:val="left"/>
              <w:rPr>
                <w:rFonts w:eastAsia="Times New Roman" w:cs="Times New Roman"/>
                <w:color w:val="000000"/>
                <w:sz w:val="20"/>
                <w:szCs w:val="20"/>
                <w:lang w:eastAsia="ru-RU"/>
              </w:rPr>
            </w:pPr>
            <w:r w:rsidRPr="001E4B2F">
              <w:rPr>
                <w:rFonts w:eastAsia="Times New Roman" w:cs="Times New Roman"/>
                <w:color w:val="000000"/>
                <w:sz w:val="20"/>
                <w:szCs w:val="20"/>
                <w:lang w:eastAsia="ru-RU"/>
              </w:rPr>
              <w:t>Метод статистического (регрессионного) моделирования</w:t>
            </w:r>
          </w:p>
        </w:tc>
      </w:tr>
      <w:tr w:rsidR="001E4B2F" w:rsidRPr="001E4B2F" w14:paraId="19297852" w14:textId="77777777" w:rsidTr="001E4B2F">
        <w:trPr>
          <w:trHeight w:val="510"/>
        </w:trPr>
        <w:tc>
          <w:tcPr>
            <w:tcW w:w="240" w:type="pct"/>
            <w:vMerge/>
            <w:tcBorders>
              <w:top w:val="nil"/>
              <w:left w:val="single" w:sz="4" w:space="0" w:color="000000"/>
              <w:bottom w:val="single" w:sz="4" w:space="0" w:color="000000"/>
              <w:right w:val="single" w:sz="4" w:space="0" w:color="000000"/>
            </w:tcBorders>
            <w:vAlign w:val="center"/>
            <w:hideMark/>
          </w:tcPr>
          <w:p w14:paraId="615CCB93" w14:textId="77777777" w:rsidR="001E4B2F" w:rsidRPr="001E4B2F" w:rsidRDefault="001E4B2F" w:rsidP="001E4B2F">
            <w:pPr>
              <w:ind w:firstLine="0"/>
              <w:jc w:val="left"/>
              <w:rPr>
                <w:rFonts w:eastAsia="Times New Roman" w:cs="Times New Roman"/>
                <w:color w:val="000000"/>
                <w:sz w:val="20"/>
                <w:szCs w:val="20"/>
                <w:lang w:eastAsia="ru-RU"/>
              </w:rPr>
            </w:pPr>
          </w:p>
        </w:tc>
        <w:tc>
          <w:tcPr>
            <w:tcW w:w="788" w:type="pct"/>
            <w:vMerge w:val="restart"/>
            <w:tcBorders>
              <w:top w:val="nil"/>
              <w:left w:val="single" w:sz="4" w:space="0" w:color="000000"/>
              <w:bottom w:val="single" w:sz="4" w:space="0" w:color="000000"/>
              <w:right w:val="single" w:sz="4" w:space="0" w:color="000000"/>
            </w:tcBorders>
            <w:shd w:val="clear" w:color="auto" w:fill="auto"/>
            <w:vAlign w:val="center"/>
            <w:hideMark/>
          </w:tcPr>
          <w:p w14:paraId="3FFAB9A4" w14:textId="77777777" w:rsidR="001E4B2F" w:rsidRPr="001E4B2F" w:rsidRDefault="001E4B2F" w:rsidP="001E4B2F">
            <w:pPr>
              <w:ind w:firstLine="0"/>
              <w:jc w:val="center"/>
              <w:rPr>
                <w:rFonts w:eastAsia="Times New Roman" w:cs="Times New Roman"/>
                <w:i/>
                <w:iCs/>
                <w:color w:val="000000"/>
                <w:sz w:val="20"/>
                <w:szCs w:val="20"/>
                <w:lang w:eastAsia="ru-RU"/>
              </w:rPr>
            </w:pPr>
            <w:r w:rsidRPr="001E4B2F">
              <w:rPr>
                <w:rFonts w:eastAsia="Times New Roman" w:cs="Times New Roman"/>
                <w:i/>
                <w:iCs/>
                <w:color w:val="000000"/>
                <w:sz w:val="20"/>
                <w:szCs w:val="20"/>
                <w:lang w:eastAsia="ru-RU"/>
              </w:rPr>
              <w:t>Индивидуальная жилая застройка, в том числе таунхаусы</w:t>
            </w:r>
          </w:p>
        </w:tc>
        <w:tc>
          <w:tcPr>
            <w:tcW w:w="370" w:type="pct"/>
            <w:vMerge w:val="restart"/>
            <w:tcBorders>
              <w:top w:val="nil"/>
              <w:left w:val="single" w:sz="4" w:space="0" w:color="000000"/>
              <w:bottom w:val="single" w:sz="4" w:space="0" w:color="000000"/>
              <w:right w:val="single" w:sz="4" w:space="0" w:color="000000"/>
            </w:tcBorders>
            <w:shd w:val="clear" w:color="auto" w:fill="auto"/>
            <w:vAlign w:val="center"/>
            <w:hideMark/>
          </w:tcPr>
          <w:p w14:paraId="10B0B05B" w14:textId="77777777" w:rsidR="001E4B2F" w:rsidRPr="001E4B2F" w:rsidRDefault="001E4B2F" w:rsidP="001E4B2F">
            <w:pPr>
              <w:ind w:firstLine="0"/>
              <w:jc w:val="center"/>
              <w:rPr>
                <w:rFonts w:eastAsia="Times New Roman" w:cs="Times New Roman"/>
                <w:color w:val="000000"/>
                <w:sz w:val="20"/>
                <w:szCs w:val="20"/>
                <w:lang w:eastAsia="ru-RU"/>
              </w:rPr>
            </w:pPr>
            <w:r w:rsidRPr="001E4B2F">
              <w:rPr>
                <w:rFonts w:eastAsia="Times New Roman" w:cs="Times New Roman"/>
                <w:color w:val="000000"/>
                <w:sz w:val="20"/>
                <w:szCs w:val="20"/>
                <w:lang w:eastAsia="ru-RU"/>
              </w:rPr>
              <w:t>201, 202, 203, 204, 206</w:t>
            </w:r>
          </w:p>
        </w:tc>
        <w:tc>
          <w:tcPr>
            <w:tcW w:w="559" w:type="pct"/>
            <w:tcBorders>
              <w:top w:val="nil"/>
              <w:left w:val="nil"/>
              <w:bottom w:val="single" w:sz="4" w:space="0" w:color="000000"/>
              <w:right w:val="single" w:sz="4" w:space="0" w:color="000000"/>
            </w:tcBorders>
            <w:shd w:val="clear" w:color="auto" w:fill="auto"/>
            <w:vAlign w:val="center"/>
            <w:hideMark/>
          </w:tcPr>
          <w:p w14:paraId="656A5C7D" w14:textId="77777777" w:rsidR="001E4B2F" w:rsidRPr="001E4B2F" w:rsidRDefault="001E4B2F" w:rsidP="001E4B2F">
            <w:pPr>
              <w:ind w:firstLine="0"/>
              <w:jc w:val="center"/>
              <w:rPr>
                <w:rFonts w:eastAsia="Times New Roman" w:cs="Times New Roman"/>
                <w:color w:val="000000"/>
                <w:sz w:val="20"/>
                <w:szCs w:val="20"/>
                <w:lang w:eastAsia="ru-RU"/>
              </w:rPr>
            </w:pPr>
            <w:r w:rsidRPr="001E4B2F">
              <w:rPr>
                <w:rFonts w:eastAsia="Times New Roman" w:cs="Times New Roman"/>
                <w:color w:val="000000"/>
                <w:sz w:val="20"/>
                <w:szCs w:val="20"/>
                <w:lang w:eastAsia="ru-RU"/>
              </w:rPr>
              <w:t>Здания, помещения</w:t>
            </w:r>
          </w:p>
        </w:tc>
        <w:tc>
          <w:tcPr>
            <w:tcW w:w="528" w:type="pct"/>
            <w:vMerge w:val="restart"/>
            <w:tcBorders>
              <w:top w:val="nil"/>
              <w:left w:val="single" w:sz="4" w:space="0" w:color="000000"/>
              <w:bottom w:val="single" w:sz="4" w:space="0" w:color="000000"/>
              <w:right w:val="single" w:sz="4" w:space="0" w:color="000000"/>
            </w:tcBorders>
            <w:shd w:val="clear" w:color="auto" w:fill="auto"/>
            <w:vAlign w:val="center"/>
            <w:hideMark/>
          </w:tcPr>
          <w:p w14:paraId="3C6B018D" w14:textId="77777777" w:rsidR="001E4B2F" w:rsidRPr="001E4B2F" w:rsidRDefault="001E4B2F" w:rsidP="001E4B2F">
            <w:pPr>
              <w:ind w:firstLine="0"/>
              <w:jc w:val="center"/>
              <w:rPr>
                <w:rFonts w:eastAsia="Times New Roman" w:cs="Times New Roman"/>
                <w:color w:val="000000"/>
                <w:sz w:val="20"/>
                <w:szCs w:val="20"/>
                <w:lang w:eastAsia="ru-RU"/>
              </w:rPr>
            </w:pPr>
            <w:r w:rsidRPr="001E4B2F">
              <w:rPr>
                <w:rFonts w:eastAsia="Times New Roman" w:cs="Times New Roman"/>
                <w:color w:val="000000"/>
                <w:sz w:val="20"/>
                <w:szCs w:val="20"/>
                <w:lang w:eastAsia="ru-RU"/>
              </w:rPr>
              <w:t>ГНП, СНП, МР</w:t>
            </w:r>
          </w:p>
        </w:tc>
        <w:tc>
          <w:tcPr>
            <w:tcW w:w="611" w:type="pct"/>
            <w:vMerge w:val="restart"/>
            <w:tcBorders>
              <w:top w:val="nil"/>
              <w:left w:val="single" w:sz="4" w:space="0" w:color="000000"/>
              <w:bottom w:val="single" w:sz="4" w:space="0" w:color="000000"/>
              <w:right w:val="single" w:sz="4" w:space="0" w:color="000000"/>
            </w:tcBorders>
            <w:shd w:val="clear" w:color="auto" w:fill="auto"/>
            <w:vAlign w:val="center"/>
            <w:hideMark/>
          </w:tcPr>
          <w:p w14:paraId="70274567" w14:textId="77777777" w:rsidR="001E4B2F" w:rsidRPr="001E4B2F" w:rsidRDefault="001E4B2F" w:rsidP="001E4B2F">
            <w:pPr>
              <w:ind w:firstLine="0"/>
              <w:jc w:val="center"/>
              <w:rPr>
                <w:rFonts w:eastAsia="Times New Roman" w:cs="Times New Roman"/>
                <w:color w:val="000000"/>
                <w:sz w:val="20"/>
                <w:szCs w:val="20"/>
                <w:lang w:eastAsia="ru-RU"/>
              </w:rPr>
            </w:pPr>
            <w:r w:rsidRPr="001E4B2F">
              <w:rPr>
                <w:rFonts w:eastAsia="Times New Roman" w:cs="Times New Roman"/>
                <w:color w:val="000000"/>
                <w:sz w:val="20"/>
                <w:szCs w:val="20"/>
                <w:lang w:eastAsia="ru-RU"/>
              </w:rPr>
              <w:t>Объекты с неполными харкетристиками</w:t>
            </w:r>
          </w:p>
        </w:tc>
        <w:tc>
          <w:tcPr>
            <w:tcW w:w="347" w:type="pct"/>
            <w:tcBorders>
              <w:top w:val="nil"/>
              <w:left w:val="nil"/>
              <w:bottom w:val="single" w:sz="4" w:space="0" w:color="000000"/>
              <w:right w:val="single" w:sz="4" w:space="0" w:color="000000"/>
            </w:tcBorders>
            <w:shd w:val="clear" w:color="auto" w:fill="auto"/>
            <w:vAlign w:val="center"/>
            <w:hideMark/>
          </w:tcPr>
          <w:p w14:paraId="2D9E6FB0" w14:textId="77777777" w:rsidR="001E4B2F" w:rsidRPr="001E4B2F" w:rsidRDefault="001E4B2F" w:rsidP="001E4B2F">
            <w:pPr>
              <w:ind w:firstLine="0"/>
              <w:jc w:val="center"/>
              <w:rPr>
                <w:rFonts w:eastAsia="Times New Roman" w:cs="Times New Roman"/>
                <w:color w:val="000000"/>
                <w:sz w:val="20"/>
                <w:szCs w:val="20"/>
                <w:lang w:eastAsia="ru-RU"/>
              </w:rPr>
            </w:pPr>
            <w:r w:rsidRPr="001E4B2F">
              <w:rPr>
                <w:rFonts w:eastAsia="Times New Roman" w:cs="Times New Roman"/>
                <w:color w:val="000000"/>
                <w:sz w:val="20"/>
                <w:szCs w:val="20"/>
                <w:lang w:eastAsia="ru-RU"/>
              </w:rPr>
              <w:t>2.2.</w:t>
            </w:r>
          </w:p>
        </w:tc>
        <w:tc>
          <w:tcPr>
            <w:tcW w:w="471" w:type="pct"/>
            <w:tcBorders>
              <w:top w:val="nil"/>
              <w:left w:val="nil"/>
              <w:bottom w:val="single" w:sz="4" w:space="0" w:color="000000"/>
              <w:right w:val="single" w:sz="4" w:space="0" w:color="000000"/>
            </w:tcBorders>
            <w:shd w:val="clear" w:color="auto" w:fill="auto"/>
            <w:noWrap/>
            <w:vAlign w:val="center"/>
            <w:hideMark/>
          </w:tcPr>
          <w:p w14:paraId="322F82BD" w14:textId="77777777" w:rsidR="001E4B2F" w:rsidRPr="001E4B2F" w:rsidRDefault="001E4B2F" w:rsidP="001E4B2F">
            <w:pPr>
              <w:ind w:firstLine="0"/>
              <w:jc w:val="left"/>
              <w:rPr>
                <w:rFonts w:eastAsia="Times New Roman" w:cs="Times New Roman"/>
                <w:color w:val="000000"/>
                <w:sz w:val="20"/>
                <w:szCs w:val="20"/>
                <w:lang w:eastAsia="ru-RU"/>
              </w:rPr>
            </w:pPr>
            <w:r w:rsidRPr="001E4B2F">
              <w:rPr>
                <w:rFonts w:eastAsia="Times New Roman" w:cs="Times New Roman"/>
                <w:color w:val="000000"/>
                <w:sz w:val="20"/>
                <w:szCs w:val="20"/>
                <w:lang w:eastAsia="ru-RU"/>
              </w:rPr>
              <w:t>Сравнительный</w:t>
            </w:r>
          </w:p>
        </w:tc>
        <w:tc>
          <w:tcPr>
            <w:tcW w:w="378" w:type="pct"/>
            <w:tcBorders>
              <w:top w:val="nil"/>
              <w:left w:val="nil"/>
              <w:bottom w:val="single" w:sz="4" w:space="0" w:color="000000"/>
              <w:right w:val="single" w:sz="4" w:space="0" w:color="000000"/>
            </w:tcBorders>
            <w:shd w:val="clear" w:color="auto" w:fill="auto"/>
            <w:noWrap/>
            <w:vAlign w:val="bottom"/>
            <w:hideMark/>
          </w:tcPr>
          <w:p w14:paraId="63B7514B" w14:textId="77777777" w:rsidR="001E4B2F" w:rsidRPr="001E4B2F" w:rsidRDefault="001E4B2F" w:rsidP="001E4B2F">
            <w:pPr>
              <w:ind w:firstLine="0"/>
              <w:jc w:val="left"/>
              <w:rPr>
                <w:rFonts w:eastAsia="Times New Roman" w:cs="Times New Roman"/>
                <w:color w:val="000000"/>
                <w:sz w:val="20"/>
                <w:szCs w:val="20"/>
                <w:lang w:eastAsia="ru-RU"/>
              </w:rPr>
            </w:pPr>
            <w:r w:rsidRPr="001E4B2F">
              <w:rPr>
                <w:rFonts w:eastAsia="Times New Roman" w:cs="Times New Roman"/>
                <w:color w:val="000000"/>
                <w:sz w:val="20"/>
                <w:szCs w:val="20"/>
                <w:lang w:eastAsia="ru-RU"/>
              </w:rPr>
              <w:t>Массовый</w:t>
            </w:r>
          </w:p>
        </w:tc>
        <w:tc>
          <w:tcPr>
            <w:tcW w:w="708" w:type="pct"/>
            <w:tcBorders>
              <w:top w:val="nil"/>
              <w:left w:val="nil"/>
              <w:bottom w:val="single" w:sz="4" w:space="0" w:color="000000"/>
              <w:right w:val="single" w:sz="4" w:space="0" w:color="000000"/>
            </w:tcBorders>
            <w:shd w:val="clear" w:color="auto" w:fill="auto"/>
            <w:noWrap/>
            <w:vAlign w:val="center"/>
            <w:hideMark/>
          </w:tcPr>
          <w:p w14:paraId="0AB692C6" w14:textId="77777777" w:rsidR="001E4B2F" w:rsidRPr="001E4B2F" w:rsidRDefault="001E4B2F" w:rsidP="001E4B2F">
            <w:pPr>
              <w:ind w:firstLine="0"/>
              <w:jc w:val="left"/>
              <w:rPr>
                <w:rFonts w:eastAsia="Times New Roman" w:cs="Times New Roman"/>
                <w:color w:val="000000"/>
                <w:sz w:val="20"/>
                <w:szCs w:val="20"/>
                <w:lang w:eastAsia="ru-RU"/>
              </w:rPr>
            </w:pPr>
            <w:r w:rsidRPr="001E4B2F">
              <w:rPr>
                <w:rFonts w:eastAsia="Times New Roman" w:cs="Times New Roman"/>
                <w:color w:val="000000"/>
                <w:sz w:val="20"/>
                <w:szCs w:val="20"/>
                <w:lang w:eastAsia="ru-RU"/>
              </w:rPr>
              <w:t>Метод УПКС (минимальное)</w:t>
            </w:r>
          </w:p>
        </w:tc>
      </w:tr>
      <w:tr w:rsidR="001E4B2F" w:rsidRPr="001E4B2F" w14:paraId="7F68BDD3" w14:textId="77777777" w:rsidTr="001E4B2F">
        <w:trPr>
          <w:trHeight w:val="510"/>
        </w:trPr>
        <w:tc>
          <w:tcPr>
            <w:tcW w:w="240" w:type="pct"/>
            <w:vMerge/>
            <w:tcBorders>
              <w:top w:val="nil"/>
              <w:left w:val="single" w:sz="4" w:space="0" w:color="000000"/>
              <w:bottom w:val="single" w:sz="4" w:space="0" w:color="000000"/>
              <w:right w:val="single" w:sz="4" w:space="0" w:color="000000"/>
            </w:tcBorders>
            <w:vAlign w:val="center"/>
            <w:hideMark/>
          </w:tcPr>
          <w:p w14:paraId="66F992B7" w14:textId="77777777" w:rsidR="001E4B2F" w:rsidRPr="001E4B2F" w:rsidRDefault="001E4B2F" w:rsidP="001E4B2F">
            <w:pPr>
              <w:ind w:firstLine="0"/>
              <w:jc w:val="left"/>
              <w:rPr>
                <w:rFonts w:eastAsia="Times New Roman" w:cs="Times New Roman"/>
                <w:color w:val="000000"/>
                <w:sz w:val="20"/>
                <w:szCs w:val="20"/>
                <w:lang w:eastAsia="ru-RU"/>
              </w:rPr>
            </w:pPr>
          </w:p>
        </w:tc>
        <w:tc>
          <w:tcPr>
            <w:tcW w:w="788" w:type="pct"/>
            <w:vMerge/>
            <w:tcBorders>
              <w:top w:val="nil"/>
              <w:left w:val="single" w:sz="4" w:space="0" w:color="000000"/>
              <w:bottom w:val="single" w:sz="4" w:space="0" w:color="000000"/>
              <w:right w:val="single" w:sz="4" w:space="0" w:color="000000"/>
            </w:tcBorders>
            <w:vAlign w:val="center"/>
            <w:hideMark/>
          </w:tcPr>
          <w:p w14:paraId="0F7E67C6" w14:textId="77777777" w:rsidR="001E4B2F" w:rsidRPr="001E4B2F" w:rsidRDefault="001E4B2F" w:rsidP="001E4B2F">
            <w:pPr>
              <w:ind w:firstLine="0"/>
              <w:jc w:val="left"/>
              <w:rPr>
                <w:rFonts w:eastAsia="Times New Roman" w:cs="Times New Roman"/>
                <w:i/>
                <w:iCs/>
                <w:color w:val="000000"/>
                <w:sz w:val="20"/>
                <w:szCs w:val="20"/>
                <w:lang w:eastAsia="ru-RU"/>
              </w:rPr>
            </w:pPr>
          </w:p>
        </w:tc>
        <w:tc>
          <w:tcPr>
            <w:tcW w:w="370" w:type="pct"/>
            <w:vMerge/>
            <w:tcBorders>
              <w:top w:val="nil"/>
              <w:left w:val="single" w:sz="4" w:space="0" w:color="000000"/>
              <w:bottom w:val="single" w:sz="4" w:space="0" w:color="000000"/>
              <w:right w:val="single" w:sz="4" w:space="0" w:color="000000"/>
            </w:tcBorders>
            <w:vAlign w:val="center"/>
            <w:hideMark/>
          </w:tcPr>
          <w:p w14:paraId="7F5FE2FA" w14:textId="77777777" w:rsidR="001E4B2F" w:rsidRPr="001E4B2F" w:rsidRDefault="001E4B2F" w:rsidP="001E4B2F">
            <w:pPr>
              <w:ind w:firstLine="0"/>
              <w:jc w:val="left"/>
              <w:rPr>
                <w:rFonts w:eastAsia="Times New Roman" w:cs="Times New Roman"/>
                <w:color w:val="000000"/>
                <w:sz w:val="20"/>
                <w:szCs w:val="20"/>
                <w:lang w:eastAsia="ru-RU"/>
              </w:rPr>
            </w:pPr>
          </w:p>
        </w:tc>
        <w:tc>
          <w:tcPr>
            <w:tcW w:w="559" w:type="pct"/>
            <w:tcBorders>
              <w:top w:val="nil"/>
              <w:left w:val="nil"/>
              <w:bottom w:val="single" w:sz="4" w:space="0" w:color="000000"/>
              <w:right w:val="single" w:sz="4" w:space="0" w:color="000000"/>
            </w:tcBorders>
            <w:shd w:val="clear" w:color="auto" w:fill="auto"/>
            <w:vAlign w:val="center"/>
            <w:hideMark/>
          </w:tcPr>
          <w:p w14:paraId="1C939F09" w14:textId="77777777" w:rsidR="001E4B2F" w:rsidRPr="001E4B2F" w:rsidRDefault="001E4B2F" w:rsidP="001E4B2F">
            <w:pPr>
              <w:ind w:firstLine="0"/>
              <w:jc w:val="center"/>
              <w:rPr>
                <w:rFonts w:eastAsia="Times New Roman" w:cs="Times New Roman"/>
                <w:color w:val="000000"/>
                <w:sz w:val="20"/>
                <w:szCs w:val="20"/>
                <w:lang w:eastAsia="ru-RU"/>
              </w:rPr>
            </w:pPr>
            <w:r w:rsidRPr="001E4B2F">
              <w:rPr>
                <w:rFonts w:eastAsia="Times New Roman" w:cs="Times New Roman"/>
                <w:color w:val="000000"/>
                <w:sz w:val="20"/>
                <w:szCs w:val="20"/>
                <w:lang w:eastAsia="ru-RU"/>
              </w:rPr>
              <w:t>ОНС, сооружения</w:t>
            </w:r>
          </w:p>
        </w:tc>
        <w:tc>
          <w:tcPr>
            <w:tcW w:w="528" w:type="pct"/>
            <w:vMerge/>
            <w:tcBorders>
              <w:top w:val="nil"/>
              <w:left w:val="single" w:sz="4" w:space="0" w:color="000000"/>
              <w:bottom w:val="single" w:sz="4" w:space="0" w:color="000000"/>
              <w:right w:val="single" w:sz="4" w:space="0" w:color="000000"/>
            </w:tcBorders>
            <w:vAlign w:val="center"/>
            <w:hideMark/>
          </w:tcPr>
          <w:p w14:paraId="6648ECD1" w14:textId="77777777" w:rsidR="001E4B2F" w:rsidRPr="001E4B2F" w:rsidRDefault="001E4B2F" w:rsidP="001E4B2F">
            <w:pPr>
              <w:ind w:firstLine="0"/>
              <w:jc w:val="left"/>
              <w:rPr>
                <w:rFonts w:eastAsia="Times New Roman" w:cs="Times New Roman"/>
                <w:color w:val="000000"/>
                <w:sz w:val="20"/>
                <w:szCs w:val="20"/>
                <w:lang w:eastAsia="ru-RU"/>
              </w:rPr>
            </w:pPr>
          </w:p>
        </w:tc>
        <w:tc>
          <w:tcPr>
            <w:tcW w:w="611" w:type="pct"/>
            <w:vMerge/>
            <w:tcBorders>
              <w:top w:val="nil"/>
              <w:left w:val="single" w:sz="4" w:space="0" w:color="000000"/>
              <w:bottom w:val="single" w:sz="4" w:space="0" w:color="000000"/>
              <w:right w:val="single" w:sz="4" w:space="0" w:color="000000"/>
            </w:tcBorders>
            <w:vAlign w:val="center"/>
            <w:hideMark/>
          </w:tcPr>
          <w:p w14:paraId="16B1F1E2" w14:textId="77777777" w:rsidR="001E4B2F" w:rsidRPr="001E4B2F" w:rsidRDefault="001E4B2F" w:rsidP="001E4B2F">
            <w:pPr>
              <w:ind w:firstLine="0"/>
              <w:jc w:val="left"/>
              <w:rPr>
                <w:rFonts w:eastAsia="Times New Roman" w:cs="Times New Roman"/>
                <w:color w:val="000000"/>
                <w:sz w:val="20"/>
                <w:szCs w:val="20"/>
                <w:lang w:eastAsia="ru-RU"/>
              </w:rPr>
            </w:pPr>
          </w:p>
        </w:tc>
        <w:tc>
          <w:tcPr>
            <w:tcW w:w="347" w:type="pct"/>
            <w:tcBorders>
              <w:top w:val="nil"/>
              <w:left w:val="nil"/>
              <w:bottom w:val="single" w:sz="4" w:space="0" w:color="000000"/>
              <w:right w:val="single" w:sz="4" w:space="0" w:color="000000"/>
            </w:tcBorders>
            <w:shd w:val="clear" w:color="auto" w:fill="auto"/>
            <w:vAlign w:val="center"/>
            <w:hideMark/>
          </w:tcPr>
          <w:p w14:paraId="43992A6B" w14:textId="77777777" w:rsidR="001E4B2F" w:rsidRPr="001E4B2F" w:rsidRDefault="001E4B2F" w:rsidP="001E4B2F">
            <w:pPr>
              <w:ind w:firstLine="0"/>
              <w:jc w:val="center"/>
              <w:rPr>
                <w:rFonts w:eastAsia="Times New Roman" w:cs="Times New Roman"/>
                <w:color w:val="000000"/>
                <w:sz w:val="20"/>
                <w:szCs w:val="20"/>
                <w:lang w:eastAsia="ru-RU"/>
              </w:rPr>
            </w:pPr>
            <w:r w:rsidRPr="001E4B2F">
              <w:rPr>
                <w:rFonts w:eastAsia="Times New Roman" w:cs="Times New Roman"/>
                <w:color w:val="000000"/>
                <w:sz w:val="20"/>
                <w:szCs w:val="20"/>
                <w:lang w:eastAsia="ru-RU"/>
              </w:rPr>
              <w:t>2.5.</w:t>
            </w:r>
          </w:p>
        </w:tc>
        <w:tc>
          <w:tcPr>
            <w:tcW w:w="471" w:type="pct"/>
            <w:tcBorders>
              <w:top w:val="nil"/>
              <w:left w:val="nil"/>
              <w:bottom w:val="single" w:sz="4" w:space="0" w:color="000000"/>
              <w:right w:val="single" w:sz="4" w:space="0" w:color="000000"/>
            </w:tcBorders>
            <w:shd w:val="clear" w:color="auto" w:fill="auto"/>
            <w:noWrap/>
            <w:vAlign w:val="center"/>
            <w:hideMark/>
          </w:tcPr>
          <w:p w14:paraId="65FD1101" w14:textId="77777777" w:rsidR="001E4B2F" w:rsidRPr="001E4B2F" w:rsidRDefault="001E4B2F" w:rsidP="001E4B2F">
            <w:pPr>
              <w:ind w:firstLine="0"/>
              <w:jc w:val="left"/>
              <w:rPr>
                <w:rFonts w:eastAsia="Times New Roman" w:cs="Times New Roman"/>
                <w:color w:val="000000"/>
                <w:sz w:val="20"/>
                <w:szCs w:val="20"/>
                <w:lang w:eastAsia="ru-RU"/>
              </w:rPr>
            </w:pPr>
            <w:r w:rsidRPr="001E4B2F">
              <w:rPr>
                <w:rFonts w:eastAsia="Times New Roman" w:cs="Times New Roman"/>
                <w:color w:val="000000"/>
                <w:sz w:val="20"/>
                <w:szCs w:val="20"/>
                <w:lang w:eastAsia="ru-RU"/>
              </w:rPr>
              <w:t>Сравнительный</w:t>
            </w:r>
          </w:p>
        </w:tc>
        <w:tc>
          <w:tcPr>
            <w:tcW w:w="378" w:type="pct"/>
            <w:tcBorders>
              <w:top w:val="nil"/>
              <w:left w:val="nil"/>
              <w:bottom w:val="single" w:sz="4" w:space="0" w:color="000000"/>
              <w:right w:val="single" w:sz="4" w:space="0" w:color="000000"/>
            </w:tcBorders>
            <w:shd w:val="clear" w:color="auto" w:fill="auto"/>
            <w:noWrap/>
            <w:vAlign w:val="bottom"/>
            <w:hideMark/>
          </w:tcPr>
          <w:p w14:paraId="38822DCD" w14:textId="77777777" w:rsidR="001E4B2F" w:rsidRPr="001E4B2F" w:rsidRDefault="001E4B2F" w:rsidP="001E4B2F">
            <w:pPr>
              <w:ind w:firstLine="0"/>
              <w:jc w:val="left"/>
              <w:rPr>
                <w:rFonts w:eastAsia="Times New Roman" w:cs="Times New Roman"/>
                <w:color w:val="000000"/>
                <w:sz w:val="20"/>
                <w:szCs w:val="20"/>
                <w:lang w:eastAsia="ru-RU"/>
              </w:rPr>
            </w:pPr>
            <w:r w:rsidRPr="001E4B2F">
              <w:rPr>
                <w:rFonts w:eastAsia="Times New Roman" w:cs="Times New Roman"/>
                <w:color w:val="000000"/>
                <w:sz w:val="20"/>
                <w:szCs w:val="20"/>
                <w:lang w:eastAsia="ru-RU"/>
              </w:rPr>
              <w:t>Массовый</w:t>
            </w:r>
          </w:p>
        </w:tc>
        <w:tc>
          <w:tcPr>
            <w:tcW w:w="708" w:type="pct"/>
            <w:tcBorders>
              <w:top w:val="nil"/>
              <w:left w:val="nil"/>
              <w:bottom w:val="single" w:sz="4" w:space="0" w:color="000000"/>
              <w:right w:val="single" w:sz="4" w:space="0" w:color="000000"/>
            </w:tcBorders>
            <w:shd w:val="clear" w:color="auto" w:fill="auto"/>
            <w:noWrap/>
            <w:vAlign w:val="center"/>
            <w:hideMark/>
          </w:tcPr>
          <w:p w14:paraId="7523F486" w14:textId="77777777" w:rsidR="001E4B2F" w:rsidRPr="001E4B2F" w:rsidRDefault="001E4B2F" w:rsidP="001E4B2F">
            <w:pPr>
              <w:ind w:firstLine="0"/>
              <w:jc w:val="left"/>
              <w:rPr>
                <w:rFonts w:eastAsia="Times New Roman" w:cs="Times New Roman"/>
                <w:color w:val="000000"/>
                <w:sz w:val="20"/>
                <w:szCs w:val="20"/>
                <w:lang w:eastAsia="ru-RU"/>
              </w:rPr>
            </w:pPr>
            <w:r w:rsidRPr="001E4B2F">
              <w:rPr>
                <w:rFonts w:eastAsia="Times New Roman" w:cs="Times New Roman"/>
                <w:color w:val="000000"/>
                <w:sz w:val="20"/>
                <w:szCs w:val="20"/>
                <w:lang w:eastAsia="ru-RU"/>
              </w:rPr>
              <w:t>Метод УПКС (минимальное)</w:t>
            </w:r>
          </w:p>
        </w:tc>
      </w:tr>
      <w:tr w:rsidR="001E4B2F" w:rsidRPr="001E4B2F" w14:paraId="5C876128" w14:textId="77777777" w:rsidTr="001E4B2F">
        <w:trPr>
          <w:trHeight w:val="765"/>
        </w:trPr>
        <w:tc>
          <w:tcPr>
            <w:tcW w:w="240" w:type="pct"/>
            <w:vMerge/>
            <w:tcBorders>
              <w:top w:val="nil"/>
              <w:left w:val="single" w:sz="4" w:space="0" w:color="000000"/>
              <w:bottom w:val="single" w:sz="4" w:space="0" w:color="000000"/>
              <w:right w:val="single" w:sz="4" w:space="0" w:color="000000"/>
            </w:tcBorders>
            <w:vAlign w:val="center"/>
            <w:hideMark/>
          </w:tcPr>
          <w:p w14:paraId="70473F4F" w14:textId="77777777" w:rsidR="001E4B2F" w:rsidRPr="001E4B2F" w:rsidRDefault="001E4B2F" w:rsidP="001E4B2F">
            <w:pPr>
              <w:ind w:firstLine="0"/>
              <w:jc w:val="left"/>
              <w:rPr>
                <w:rFonts w:eastAsia="Times New Roman" w:cs="Times New Roman"/>
                <w:color w:val="000000"/>
                <w:sz w:val="20"/>
                <w:szCs w:val="20"/>
                <w:lang w:eastAsia="ru-RU"/>
              </w:rPr>
            </w:pPr>
          </w:p>
        </w:tc>
        <w:tc>
          <w:tcPr>
            <w:tcW w:w="788" w:type="pct"/>
            <w:vMerge/>
            <w:tcBorders>
              <w:top w:val="nil"/>
              <w:left w:val="single" w:sz="4" w:space="0" w:color="000000"/>
              <w:bottom w:val="single" w:sz="4" w:space="0" w:color="000000"/>
              <w:right w:val="single" w:sz="4" w:space="0" w:color="000000"/>
            </w:tcBorders>
            <w:vAlign w:val="center"/>
            <w:hideMark/>
          </w:tcPr>
          <w:p w14:paraId="7854BD0C" w14:textId="77777777" w:rsidR="001E4B2F" w:rsidRPr="001E4B2F" w:rsidRDefault="001E4B2F" w:rsidP="001E4B2F">
            <w:pPr>
              <w:ind w:firstLine="0"/>
              <w:jc w:val="left"/>
              <w:rPr>
                <w:rFonts w:eastAsia="Times New Roman" w:cs="Times New Roman"/>
                <w:i/>
                <w:iCs/>
                <w:color w:val="000000"/>
                <w:sz w:val="20"/>
                <w:szCs w:val="20"/>
                <w:lang w:eastAsia="ru-RU"/>
              </w:rPr>
            </w:pPr>
          </w:p>
        </w:tc>
        <w:tc>
          <w:tcPr>
            <w:tcW w:w="370" w:type="pct"/>
            <w:vMerge/>
            <w:tcBorders>
              <w:top w:val="nil"/>
              <w:left w:val="single" w:sz="4" w:space="0" w:color="000000"/>
              <w:bottom w:val="single" w:sz="4" w:space="0" w:color="000000"/>
              <w:right w:val="single" w:sz="4" w:space="0" w:color="000000"/>
            </w:tcBorders>
            <w:vAlign w:val="center"/>
            <w:hideMark/>
          </w:tcPr>
          <w:p w14:paraId="65E55F3B" w14:textId="77777777" w:rsidR="001E4B2F" w:rsidRPr="001E4B2F" w:rsidRDefault="001E4B2F" w:rsidP="001E4B2F">
            <w:pPr>
              <w:ind w:firstLine="0"/>
              <w:jc w:val="left"/>
              <w:rPr>
                <w:rFonts w:eastAsia="Times New Roman" w:cs="Times New Roman"/>
                <w:color w:val="000000"/>
                <w:sz w:val="20"/>
                <w:szCs w:val="20"/>
                <w:lang w:eastAsia="ru-RU"/>
              </w:rPr>
            </w:pPr>
          </w:p>
        </w:tc>
        <w:tc>
          <w:tcPr>
            <w:tcW w:w="559" w:type="pct"/>
            <w:tcBorders>
              <w:top w:val="nil"/>
              <w:left w:val="nil"/>
              <w:bottom w:val="single" w:sz="4" w:space="0" w:color="000000"/>
              <w:right w:val="single" w:sz="4" w:space="0" w:color="000000"/>
            </w:tcBorders>
            <w:shd w:val="clear" w:color="auto" w:fill="auto"/>
            <w:vAlign w:val="center"/>
            <w:hideMark/>
          </w:tcPr>
          <w:p w14:paraId="2B834D9A" w14:textId="77777777" w:rsidR="001E4B2F" w:rsidRPr="001E4B2F" w:rsidRDefault="001E4B2F" w:rsidP="001E4B2F">
            <w:pPr>
              <w:ind w:firstLine="0"/>
              <w:jc w:val="center"/>
              <w:rPr>
                <w:rFonts w:eastAsia="Times New Roman" w:cs="Times New Roman"/>
                <w:color w:val="000000"/>
                <w:sz w:val="20"/>
                <w:szCs w:val="20"/>
                <w:lang w:eastAsia="ru-RU"/>
              </w:rPr>
            </w:pPr>
            <w:r w:rsidRPr="001E4B2F">
              <w:rPr>
                <w:rFonts w:eastAsia="Times New Roman" w:cs="Times New Roman"/>
                <w:color w:val="000000"/>
                <w:sz w:val="20"/>
                <w:szCs w:val="20"/>
                <w:lang w:eastAsia="ru-RU"/>
              </w:rPr>
              <w:t>Здания, помещения, сооружения, ОНС</w:t>
            </w:r>
          </w:p>
        </w:tc>
        <w:tc>
          <w:tcPr>
            <w:tcW w:w="528" w:type="pct"/>
            <w:vMerge/>
            <w:tcBorders>
              <w:top w:val="nil"/>
              <w:left w:val="single" w:sz="4" w:space="0" w:color="000000"/>
              <w:bottom w:val="single" w:sz="4" w:space="0" w:color="000000"/>
              <w:right w:val="single" w:sz="4" w:space="0" w:color="000000"/>
            </w:tcBorders>
            <w:vAlign w:val="center"/>
            <w:hideMark/>
          </w:tcPr>
          <w:p w14:paraId="6744C763" w14:textId="77777777" w:rsidR="001E4B2F" w:rsidRPr="001E4B2F" w:rsidRDefault="001E4B2F" w:rsidP="001E4B2F">
            <w:pPr>
              <w:ind w:firstLine="0"/>
              <w:jc w:val="left"/>
              <w:rPr>
                <w:rFonts w:eastAsia="Times New Roman" w:cs="Times New Roman"/>
                <w:color w:val="000000"/>
                <w:sz w:val="20"/>
                <w:szCs w:val="20"/>
                <w:lang w:eastAsia="ru-RU"/>
              </w:rPr>
            </w:pPr>
          </w:p>
        </w:tc>
        <w:tc>
          <w:tcPr>
            <w:tcW w:w="611" w:type="pct"/>
            <w:tcBorders>
              <w:top w:val="nil"/>
              <w:left w:val="nil"/>
              <w:bottom w:val="single" w:sz="4" w:space="0" w:color="000000"/>
              <w:right w:val="single" w:sz="4" w:space="0" w:color="000000"/>
            </w:tcBorders>
            <w:shd w:val="clear" w:color="auto" w:fill="auto"/>
            <w:vAlign w:val="center"/>
            <w:hideMark/>
          </w:tcPr>
          <w:p w14:paraId="54A214E1" w14:textId="77777777" w:rsidR="001E4B2F" w:rsidRPr="001E4B2F" w:rsidRDefault="001E4B2F" w:rsidP="001E4B2F">
            <w:pPr>
              <w:ind w:firstLine="0"/>
              <w:jc w:val="center"/>
              <w:rPr>
                <w:rFonts w:eastAsia="Times New Roman" w:cs="Times New Roman"/>
                <w:color w:val="000000"/>
                <w:sz w:val="20"/>
                <w:szCs w:val="20"/>
                <w:lang w:eastAsia="ru-RU"/>
              </w:rPr>
            </w:pPr>
            <w:r w:rsidRPr="001E4B2F">
              <w:rPr>
                <w:rFonts w:eastAsia="Times New Roman" w:cs="Times New Roman"/>
                <w:color w:val="000000"/>
                <w:sz w:val="20"/>
                <w:szCs w:val="20"/>
                <w:lang w:eastAsia="ru-RU"/>
              </w:rPr>
              <w:t>Объекты с полными характеристиками</w:t>
            </w:r>
          </w:p>
        </w:tc>
        <w:tc>
          <w:tcPr>
            <w:tcW w:w="347" w:type="pct"/>
            <w:tcBorders>
              <w:top w:val="nil"/>
              <w:left w:val="nil"/>
              <w:bottom w:val="single" w:sz="4" w:space="0" w:color="000000"/>
              <w:right w:val="single" w:sz="4" w:space="0" w:color="000000"/>
            </w:tcBorders>
            <w:shd w:val="clear" w:color="auto" w:fill="auto"/>
            <w:vAlign w:val="center"/>
            <w:hideMark/>
          </w:tcPr>
          <w:p w14:paraId="6907D580" w14:textId="77777777" w:rsidR="001E4B2F" w:rsidRPr="001E4B2F" w:rsidRDefault="001E4B2F" w:rsidP="001E4B2F">
            <w:pPr>
              <w:ind w:firstLine="0"/>
              <w:jc w:val="center"/>
              <w:rPr>
                <w:rFonts w:eastAsia="Times New Roman" w:cs="Times New Roman"/>
                <w:color w:val="000000"/>
                <w:sz w:val="20"/>
                <w:szCs w:val="20"/>
                <w:lang w:eastAsia="ru-RU"/>
              </w:rPr>
            </w:pPr>
            <w:r w:rsidRPr="001E4B2F">
              <w:rPr>
                <w:rFonts w:eastAsia="Times New Roman" w:cs="Times New Roman"/>
                <w:color w:val="000000"/>
                <w:sz w:val="20"/>
                <w:szCs w:val="20"/>
                <w:lang w:eastAsia="ru-RU"/>
              </w:rPr>
              <w:t>2.6.</w:t>
            </w:r>
          </w:p>
        </w:tc>
        <w:tc>
          <w:tcPr>
            <w:tcW w:w="471" w:type="pct"/>
            <w:tcBorders>
              <w:top w:val="nil"/>
              <w:left w:val="nil"/>
              <w:bottom w:val="single" w:sz="4" w:space="0" w:color="000000"/>
              <w:right w:val="single" w:sz="4" w:space="0" w:color="000000"/>
            </w:tcBorders>
            <w:shd w:val="clear" w:color="auto" w:fill="auto"/>
            <w:noWrap/>
            <w:vAlign w:val="center"/>
            <w:hideMark/>
          </w:tcPr>
          <w:p w14:paraId="6C968090" w14:textId="77777777" w:rsidR="001E4B2F" w:rsidRPr="001E4B2F" w:rsidRDefault="001E4B2F" w:rsidP="001E4B2F">
            <w:pPr>
              <w:ind w:firstLine="0"/>
              <w:jc w:val="left"/>
              <w:rPr>
                <w:rFonts w:eastAsia="Times New Roman" w:cs="Times New Roman"/>
                <w:color w:val="000000"/>
                <w:sz w:val="20"/>
                <w:szCs w:val="20"/>
                <w:lang w:eastAsia="ru-RU"/>
              </w:rPr>
            </w:pPr>
            <w:r w:rsidRPr="001E4B2F">
              <w:rPr>
                <w:rFonts w:eastAsia="Times New Roman" w:cs="Times New Roman"/>
                <w:color w:val="000000"/>
                <w:sz w:val="20"/>
                <w:szCs w:val="20"/>
                <w:lang w:eastAsia="ru-RU"/>
              </w:rPr>
              <w:t>Затратный</w:t>
            </w:r>
          </w:p>
        </w:tc>
        <w:tc>
          <w:tcPr>
            <w:tcW w:w="378" w:type="pct"/>
            <w:tcBorders>
              <w:top w:val="nil"/>
              <w:left w:val="nil"/>
              <w:bottom w:val="single" w:sz="4" w:space="0" w:color="000000"/>
              <w:right w:val="single" w:sz="4" w:space="0" w:color="000000"/>
            </w:tcBorders>
            <w:shd w:val="clear" w:color="auto" w:fill="auto"/>
            <w:noWrap/>
            <w:vAlign w:val="center"/>
            <w:hideMark/>
          </w:tcPr>
          <w:p w14:paraId="64CF182F" w14:textId="77777777" w:rsidR="001E4B2F" w:rsidRPr="001E4B2F" w:rsidRDefault="001E4B2F" w:rsidP="001E4B2F">
            <w:pPr>
              <w:ind w:firstLine="0"/>
              <w:jc w:val="left"/>
              <w:rPr>
                <w:rFonts w:eastAsia="Times New Roman" w:cs="Times New Roman"/>
                <w:color w:val="000000"/>
                <w:sz w:val="20"/>
                <w:szCs w:val="20"/>
                <w:lang w:eastAsia="ru-RU"/>
              </w:rPr>
            </w:pPr>
            <w:r w:rsidRPr="001E4B2F">
              <w:rPr>
                <w:rFonts w:eastAsia="Times New Roman" w:cs="Times New Roman"/>
                <w:color w:val="000000"/>
                <w:sz w:val="20"/>
                <w:szCs w:val="20"/>
                <w:lang w:eastAsia="ru-RU"/>
              </w:rPr>
              <w:t>Массовый</w:t>
            </w:r>
          </w:p>
        </w:tc>
        <w:tc>
          <w:tcPr>
            <w:tcW w:w="708" w:type="pct"/>
            <w:tcBorders>
              <w:top w:val="nil"/>
              <w:left w:val="nil"/>
              <w:bottom w:val="single" w:sz="4" w:space="0" w:color="000000"/>
              <w:right w:val="single" w:sz="4" w:space="0" w:color="000000"/>
            </w:tcBorders>
            <w:shd w:val="clear" w:color="auto" w:fill="auto"/>
            <w:noWrap/>
            <w:vAlign w:val="center"/>
            <w:hideMark/>
          </w:tcPr>
          <w:p w14:paraId="77DFB749" w14:textId="77777777" w:rsidR="001E4B2F" w:rsidRPr="001E4B2F" w:rsidRDefault="001E4B2F" w:rsidP="001E4B2F">
            <w:pPr>
              <w:ind w:firstLine="0"/>
              <w:jc w:val="left"/>
              <w:rPr>
                <w:rFonts w:eastAsia="Times New Roman" w:cs="Times New Roman"/>
                <w:color w:val="000000"/>
                <w:sz w:val="20"/>
                <w:szCs w:val="20"/>
                <w:lang w:eastAsia="ru-RU"/>
              </w:rPr>
            </w:pPr>
            <w:r w:rsidRPr="001E4B2F">
              <w:rPr>
                <w:rFonts w:eastAsia="Times New Roman" w:cs="Times New Roman"/>
                <w:color w:val="000000"/>
                <w:sz w:val="20"/>
                <w:szCs w:val="20"/>
                <w:lang w:eastAsia="ru-RU"/>
              </w:rPr>
              <w:t>Метод сравнительной единицы (УПСС)</w:t>
            </w:r>
          </w:p>
        </w:tc>
      </w:tr>
      <w:tr w:rsidR="001E4B2F" w:rsidRPr="001E4B2F" w14:paraId="3A50385E" w14:textId="77777777" w:rsidTr="001E4B2F">
        <w:trPr>
          <w:trHeight w:val="510"/>
        </w:trPr>
        <w:tc>
          <w:tcPr>
            <w:tcW w:w="240"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14:paraId="50A71C43" w14:textId="77777777" w:rsidR="001E4B2F" w:rsidRPr="001E4B2F" w:rsidRDefault="001E4B2F" w:rsidP="001E4B2F">
            <w:pPr>
              <w:ind w:firstLine="0"/>
              <w:jc w:val="center"/>
              <w:rPr>
                <w:rFonts w:eastAsia="Times New Roman" w:cs="Times New Roman"/>
                <w:color w:val="000000"/>
                <w:sz w:val="20"/>
                <w:szCs w:val="20"/>
                <w:lang w:eastAsia="ru-RU"/>
              </w:rPr>
            </w:pPr>
            <w:r w:rsidRPr="001E4B2F">
              <w:rPr>
                <w:rFonts w:eastAsia="Times New Roman" w:cs="Times New Roman"/>
                <w:color w:val="000000"/>
                <w:sz w:val="20"/>
                <w:szCs w:val="20"/>
                <w:lang w:eastAsia="ru-RU"/>
              </w:rPr>
              <w:t>3</w:t>
            </w:r>
          </w:p>
        </w:tc>
        <w:tc>
          <w:tcPr>
            <w:tcW w:w="788" w:type="pct"/>
            <w:tcBorders>
              <w:top w:val="nil"/>
              <w:left w:val="nil"/>
              <w:bottom w:val="single" w:sz="4" w:space="0" w:color="000000"/>
              <w:right w:val="single" w:sz="4" w:space="0" w:color="000000"/>
            </w:tcBorders>
            <w:shd w:val="clear" w:color="auto" w:fill="auto"/>
            <w:vAlign w:val="center"/>
            <w:hideMark/>
          </w:tcPr>
          <w:p w14:paraId="35F42349" w14:textId="77777777" w:rsidR="001E4B2F" w:rsidRPr="001E4B2F" w:rsidRDefault="001E4B2F" w:rsidP="001E4B2F">
            <w:pPr>
              <w:ind w:firstLine="0"/>
              <w:jc w:val="center"/>
              <w:rPr>
                <w:rFonts w:eastAsia="Times New Roman" w:cs="Times New Roman"/>
                <w:color w:val="000000"/>
                <w:sz w:val="20"/>
                <w:szCs w:val="20"/>
                <w:lang w:eastAsia="ru-RU"/>
              </w:rPr>
            </w:pPr>
            <w:r w:rsidRPr="001E4B2F">
              <w:rPr>
                <w:rFonts w:eastAsia="Times New Roman" w:cs="Times New Roman"/>
                <w:color w:val="000000"/>
                <w:sz w:val="20"/>
                <w:szCs w:val="20"/>
                <w:lang w:eastAsia="ru-RU"/>
              </w:rPr>
              <w:t xml:space="preserve"> Объекты, предназначенные для хранения транспорта, в том числе:</w:t>
            </w:r>
          </w:p>
        </w:tc>
        <w:tc>
          <w:tcPr>
            <w:tcW w:w="370" w:type="pct"/>
            <w:tcBorders>
              <w:top w:val="nil"/>
              <w:left w:val="nil"/>
              <w:bottom w:val="single" w:sz="4" w:space="0" w:color="000000"/>
              <w:right w:val="single" w:sz="4" w:space="0" w:color="000000"/>
            </w:tcBorders>
            <w:shd w:val="clear" w:color="auto" w:fill="auto"/>
            <w:noWrap/>
            <w:vAlign w:val="center"/>
            <w:hideMark/>
          </w:tcPr>
          <w:p w14:paraId="71FA8567" w14:textId="77777777" w:rsidR="001E4B2F" w:rsidRPr="001E4B2F" w:rsidRDefault="001E4B2F" w:rsidP="001E4B2F">
            <w:pPr>
              <w:ind w:firstLine="0"/>
              <w:jc w:val="center"/>
              <w:rPr>
                <w:rFonts w:eastAsia="Times New Roman" w:cs="Times New Roman"/>
                <w:color w:val="000000"/>
                <w:sz w:val="20"/>
                <w:szCs w:val="20"/>
                <w:lang w:eastAsia="ru-RU"/>
              </w:rPr>
            </w:pPr>
            <w:r w:rsidRPr="001E4B2F">
              <w:rPr>
                <w:rFonts w:eastAsia="Times New Roman" w:cs="Times New Roman"/>
                <w:color w:val="000000"/>
                <w:sz w:val="20"/>
                <w:szCs w:val="20"/>
                <w:lang w:eastAsia="ru-RU"/>
              </w:rPr>
              <w:t> </w:t>
            </w:r>
          </w:p>
        </w:tc>
        <w:tc>
          <w:tcPr>
            <w:tcW w:w="559" w:type="pct"/>
            <w:tcBorders>
              <w:top w:val="nil"/>
              <w:left w:val="nil"/>
              <w:bottom w:val="single" w:sz="4" w:space="0" w:color="000000"/>
              <w:right w:val="single" w:sz="4" w:space="0" w:color="000000"/>
            </w:tcBorders>
            <w:shd w:val="clear" w:color="auto" w:fill="auto"/>
            <w:vAlign w:val="center"/>
            <w:hideMark/>
          </w:tcPr>
          <w:p w14:paraId="32DCB11C" w14:textId="77777777" w:rsidR="001E4B2F" w:rsidRPr="001E4B2F" w:rsidRDefault="001E4B2F" w:rsidP="001E4B2F">
            <w:pPr>
              <w:ind w:firstLine="0"/>
              <w:jc w:val="center"/>
              <w:rPr>
                <w:rFonts w:eastAsia="Times New Roman" w:cs="Times New Roman"/>
                <w:color w:val="000000"/>
                <w:sz w:val="20"/>
                <w:szCs w:val="20"/>
                <w:lang w:eastAsia="ru-RU"/>
              </w:rPr>
            </w:pPr>
            <w:r w:rsidRPr="001E4B2F">
              <w:rPr>
                <w:rFonts w:eastAsia="Times New Roman" w:cs="Times New Roman"/>
                <w:color w:val="000000"/>
                <w:sz w:val="20"/>
                <w:szCs w:val="20"/>
                <w:lang w:eastAsia="ru-RU"/>
              </w:rPr>
              <w:t> </w:t>
            </w:r>
          </w:p>
        </w:tc>
        <w:tc>
          <w:tcPr>
            <w:tcW w:w="528" w:type="pct"/>
            <w:tcBorders>
              <w:top w:val="nil"/>
              <w:left w:val="nil"/>
              <w:bottom w:val="single" w:sz="4" w:space="0" w:color="000000"/>
              <w:right w:val="single" w:sz="4" w:space="0" w:color="000000"/>
            </w:tcBorders>
            <w:shd w:val="clear" w:color="auto" w:fill="auto"/>
            <w:vAlign w:val="center"/>
            <w:hideMark/>
          </w:tcPr>
          <w:p w14:paraId="57836034" w14:textId="77777777" w:rsidR="001E4B2F" w:rsidRPr="001E4B2F" w:rsidRDefault="001E4B2F" w:rsidP="001E4B2F">
            <w:pPr>
              <w:ind w:firstLine="0"/>
              <w:jc w:val="center"/>
              <w:rPr>
                <w:rFonts w:eastAsia="Times New Roman" w:cs="Times New Roman"/>
                <w:color w:val="000000"/>
                <w:sz w:val="20"/>
                <w:szCs w:val="20"/>
                <w:lang w:eastAsia="ru-RU"/>
              </w:rPr>
            </w:pPr>
            <w:r w:rsidRPr="001E4B2F">
              <w:rPr>
                <w:rFonts w:eastAsia="Times New Roman" w:cs="Times New Roman"/>
                <w:color w:val="000000"/>
                <w:sz w:val="20"/>
                <w:szCs w:val="20"/>
                <w:lang w:eastAsia="ru-RU"/>
              </w:rPr>
              <w:t> </w:t>
            </w:r>
          </w:p>
        </w:tc>
        <w:tc>
          <w:tcPr>
            <w:tcW w:w="611" w:type="pct"/>
            <w:tcBorders>
              <w:top w:val="nil"/>
              <w:left w:val="nil"/>
              <w:bottom w:val="single" w:sz="4" w:space="0" w:color="000000"/>
              <w:right w:val="single" w:sz="4" w:space="0" w:color="000000"/>
            </w:tcBorders>
            <w:shd w:val="clear" w:color="auto" w:fill="auto"/>
            <w:vAlign w:val="center"/>
            <w:hideMark/>
          </w:tcPr>
          <w:p w14:paraId="660E8D58" w14:textId="77777777" w:rsidR="001E4B2F" w:rsidRPr="001E4B2F" w:rsidRDefault="001E4B2F" w:rsidP="001E4B2F">
            <w:pPr>
              <w:ind w:firstLine="0"/>
              <w:jc w:val="center"/>
              <w:rPr>
                <w:rFonts w:eastAsia="Times New Roman" w:cs="Times New Roman"/>
                <w:color w:val="000000"/>
                <w:sz w:val="20"/>
                <w:szCs w:val="20"/>
                <w:lang w:eastAsia="ru-RU"/>
              </w:rPr>
            </w:pPr>
            <w:r w:rsidRPr="001E4B2F">
              <w:rPr>
                <w:rFonts w:eastAsia="Times New Roman" w:cs="Times New Roman"/>
                <w:color w:val="000000"/>
                <w:sz w:val="20"/>
                <w:szCs w:val="20"/>
                <w:lang w:eastAsia="ru-RU"/>
              </w:rPr>
              <w:t> </w:t>
            </w:r>
          </w:p>
        </w:tc>
        <w:tc>
          <w:tcPr>
            <w:tcW w:w="347" w:type="pct"/>
            <w:tcBorders>
              <w:top w:val="nil"/>
              <w:left w:val="nil"/>
              <w:bottom w:val="single" w:sz="4" w:space="0" w:color="000000"/>
              <w:right w:val="single" w:sz="4" w:space="0" w:color="000000"/>
            </w:tcBorders>
            <w:shd w:val="clear" w:color="auto" w:fill="auto"/>
            <w:vAlign w:val="center"/>
            <w:hideMark/>
          </w:tcPr>
          <w:p w14:paraId="57515CBB" w14:textId="77777777" w:rsidR="001E4B2F" w:rsidRPr="001E4B2F" w:rsidRDefault="001E4B2F" w:rsidP="001E4B2F">
            <w:pPr>
              <w:ind w:firstLine="0"/>
              <w:jc w:val="center"/>
              <w:rPr>
                <w:rFonts w:eastAsia="Times New Roman" w:cs="Times New Roman"/>
                <w:color w:val="000000"/>
                <w:sz w:val="20"/>
                <w:szCs w:val="20"/>
                <w:lang w:eastAsia="ru-RU"/>
              </w:rPr>
            </w:pPr>
            <w:r w:rsidRPr="001E4B2F">
              <w:rPr>
                <w:rFonts w:eastAsia="Times New Roman" w:cs="Times New Roman"/>
                <w:color w:val="000000"/>
                <w:sz w:val="20"/>
                <w:szCs w:val="20"/>
                <w:lang w:eastAsia="ru-RU"/>
              </w:rPr>
              <w:t> </w:t>
            </w:r>
          </w:p>
        </w:tc>
        <w:tc>
          <w:tcPr>
            <w:tcW w:w="471" w:type="pct"/>
            <w:tcBorders>
              <w:top w:val="nil"/>
              <w:left w:val="nil"/>
              <w:bottom w:val="single" w:sz="4" w:space="0" w:color="000000"/>
              <w:right w:val="single" w:sz="4" w:space="0" w:color="000000"/>
            </w:tcBorders>
            <w:shd w:val="clear" w:color="auto" w:fill="auto"/>
            <w:noWrap/>
            <w:vAlign w:val="center"/>
            <w:hideMark/>
          </w:tcPr>
          <w:p w14:paraId="675F641F" w14:textId="77777777" w:rsidR="001E4B2F" w:rsidRPr="001E4B2F" w:rsidRDefault="001E4B2F" w:rsidP="001E4B2F">
            <w:pPr>
              <w:ind w:firstLine="0"/>
              <w:jc w:val="left"/>
              <w:rPr>
                <w:rFonts w:eastAsia="Times New Roman" w:cs="Times New Roman"/>
                <w:color w:val="000000"/>
                <w:sz w:val="20"/>
                <w:szCs w:val="20"/>
                <w:lang w:eastAsia="ru-RU"/>
              </w:rPr>
            </w:pPr>
            <w:r w:rsidRPr="001E4B2F">
              <w:rPr>
                <w:rFonts w:eastAsia="Times New Roman" w:cs="Times New Roman"/>
                <w:color w:val="000000"/>
                <w:sz w:val="20"/>
                <w:szCs w:val="20"/>
                <w:lang w:eastAsia="ru-RU"/>
              </w:rPr>
              <w:t> </w:t>
            </w:r>
          </w:p>
        </w:tc>
        <w:tc>
          <w:tcPr>
            <w:tcW w:w="378" w:type="pct"/>
            <w:tcBorders>
              <w:top w:val="nil"/>
              <w:left w:val="nil"/>
              <w:bottom w:val="single" w:sz="4" w:space="0" w:color="000000"/>
              <w:right w:val="single" w:sz="4" w:space="0" w:color="000000"/>
            </w:tcBorders>
            <w:shd w:val="clear" w:color="auto" w:fill="auto"/>
            <w:noWrap/>
            <w:vAlign w:val="center"/>
            <w:hideMark/>
          </w:tcPr>
          <w:p w14:paraId="5190F292" w14:textId="77777777" w:rsidR="001E4B2F" w:rsidRPr="001E4B2F" w:rsidRDefault="001E4B2F" w:rsidP="001E4B2F">
            <w:pPr>
              <w:ind w:firstLine="0"/>
              <w:jc w:val="left"/>
              <w:rPr>
                <w:rFonts w:eastAsia="Times New Roman" w:cs="Times New Roman"/>
                <w:color w:val="000000"/>
                <w:sz w:val="20"/>
                <w:szCs w:val="20"/>
                <w:lang w:eastAsia="ru-RU"/>
              </w:rPr>
            </w:pPr>
            <w:r w:rsidRPr="001E4B2F">
              <w:rPr>
                <w:rFonts w:eastAsia="Times New Roman" w:cs="Times New Roman"/>
                <w:color w:val="000000"/>
                <w:sz w:val="20"/>
                <w:szCs w:val="20"/>
                <w:lang w:eastAsia="ru-RU"/>
              </w:rPr>
              <w:t> </w:t>
            </w:r>
          </w:p>
        </w:tc>
        <w:tc>
          <w:tcPr>
            <w:tcW w:w="708" w:type="pct"/>
            <w:tcBorders>
              <w:top w:val="nil"/>
              <w:left w:val="nil"/>
              <w:bottom w:val="single" w:sz="4" w:space="0" w:color="000000"/>
              <w:right w:val="single" w:sz="4" w:space="0" w:color="000000"/>
            </w:tcBorders>
            <w:shd w:val="clear" w:color="auto" w:fill="auto"/>
            <w:vAlign w:val="center"/>
            <w:hideMark/>
          </w:tcPr>
          <w:p w14:paraId="40B6A7CD" w14:textId="77777777" w:rsidR="001E4B2F" w:rsidRPr="001E4B2F" w:rsidRDefault="001E4B2F" w:rsidP="001E4B2F">
            <w:pPr>
              <w:ind w:firstLine="0"/>
              <w:jc w:val="left"/>
              <w:rPr>
                <w:rFonts w:eastAsia="Times New Roman" w:cs="Times New Roman"/>
                <w:color w:val="000000"/>
                <w:sz w:val="20"/>
                <w:szCs w:val="20"/>
                <w:lang w:eastAsia="ru-RU"/>
              </w:rPr>
            </w:pPr>
            <w:r w:rsidRPr="001E4B2F">
              <w:rPr>
                <w:rFonts w:eastAsia="Times New Roman" w:cs="Times New Roman"/>
                <w:color w:val="000000"/>
                <w:sz w:val="20"/>
                <w:szCs w:val="20"/>
                <w:lang w:eastAsia="ru-RU"/>
              </w:rPr>
              <w:t> </w:t>
            </w:r>
          </w:p>
        </w:tc>
      </w:tr>
      <w:tr w:rsidR="001E4B2F" w:rsidRPr="001E4B2F" w14:paraId="74E4C973" w14:textId="77777777" w:rsidTr="001E4B2F">
        <w:trPr>
          <w:trHeight w:val="765"/>
        </w:trPr>
        <w:tc>
          <w:tcPr>
            <w:tcW w:w="240" w:type="pct"/>
            <w:vMerge/>
            <w:tcBorders>
              <w:top w:val="nil"/>
              <w:left w:val="single" w:sz="4" w:space="0" w:color="000000"/>
              <w:bottom w:val="single" w:sz="4" w:space="0" w:color="000000"/>
              <w:right w:val="single" w:sz="4" w:space="0" w:color="000000"/>
            </w:tcBorders>
            <w:vAlign w:val="center"/>
            <w:hideMark/>
          </w:tcPr>
          <w:p w14:paraId="328F4045" w14:textId="77777777" w:rsidR="001E4B2F" w:rsidRPr="001E4B2F" w:rsidRDefault="001E4B2F" w:rsidP="001E4B2F">
            <w:pPr>
              <w:ind w:firstLine="0"/>
              <w:jc w:val="left"/>
              <w:rPr>
                <w:rFonts w:eastAsia="Times New Roman" w:cs="Times New Roman"/>
                <w:color w:val="000000"/>
                <w:sz w:val="20"/>
                <w:szCs w:val="20"/>
                <w:lang w:eastAsia="ru-RU"/>
              </w:rPr>
            </w:pPr>
          </w:p>
        </w:tc>
        <w:tc>
          <w:tcPr>
            <w:tcW w:w="788" w:type="pct"/>
            <w:tcBorders>
              <w:top w:val="nil"/>
              <w:left w:val="nil"/>
              <w:bottom w:val="single" w:sz="4" w:space="0" w:color="000000"/>
              <w:right w:val="single" w:sz="4" w:space="0" w:color="000000"/>
            </w:tcBorders>
            <w:shd w:val="clear" w:color="auto" w:fill="auto"/>
            <w:vAlign w:val="center"/>
            <w:hideMark/>
          </w:tcPr>
          <w:p w14:paraId="3CA173E7" w14:textId="77777777" w:rsidR="001E4B2F" w:rsidRPr="001E4B2F" w:rsidRDefault="001E4B2F" w:rsidP="001E4B2F">
            <w:pPr>
              <w:ind w:firstLine="0"/>
              <w:jc w:val="center"/>
              <w:rPr>
                <w:rFonts w:eastAsia="Times New Roman" w:cs="Times New Roman"/>
                <w:i/>
                <w:iCs/>
                <w:color w:val="000000"/>
                <w:sz w:val="20"/>
                <w:szCs w:val="20"/>
                <w:lang w:eastAsia="ru-RU"/>
              </w:rPr>
            </w:pPr>
            <w:r w:rsidRPr="001E4B2F">
              <w:rPr>
                <w:rFonts w:eastAsia="Times New Roman" w:cs="Times New Roman"/>
                <w:i/>
                <w:iCs/>
                <w:color w:val="000000"/>
                <w:sz w:val="20"/>
                <w:szCs w:val="20"/>
                <w:lang w:eastAsia="ru-RU"/>
              </w:rPr>
              <w:t>Производственные гаражи</w:t>
            </w:r>
          </w:p>
        </w:tc>
        <w:tc>
          <w:tcPr>
            <w:tcW w:w="370" w:type="pct"/>
            <w:tcBorders>
              <w:top w:val="nil"/>
              <w:left w:val="nil"/>
              <w:bottom w:val="single" w:sz="4" w:space="0" w:color="000000"/>
              <w:right w:val="single" w:sz="4" w:space="0" w:color="000000"/>
            </w:tcBorders>
            <w:shd w:val="clear" w:color="auto" w:fill="auto"/>
            <w:vAlign w:val="center"/>
            <w:hideMark/>
          </w:tcPr>
          <w:p w14:paraId="18E840C8" w14:textId="77777777" w:rsidR="001E4B2F" w:rsidRPr="001E4B2F" w:rsidRDefault="001E4B2F" w:rsidP="001E4B2F">
            <w:pPr>
              <w:ind w:firstLine="0"/>
              <w:jc w:val="center"/>
              <w:rPr>
                <w:rFonts w:eastAsia="Times New Roman" w:cs="Times New Roman"/>
                <w:color w:val="000000"/>
                <w:sz w:val="20"/>
                <w:szCs w:val="20"/>
                <w:lang w:eastAsia="ru-RU"/>
              </w:rPr>
            </w:pPr>
            <w:r w:rsidRPr="001E4B2F">
              <w:rPr>
                <w:rFonts w:eastAsia="Times New Roman" w:cs="Times New Roman"/>
                <w:color w:val="000000"/>
                <w:sz w:val="20"/>
                <w:szCs w:val="20"/>
                <w:lang w:eastAsia="ru-RU"/>
              </w:rPr>
              <w:t>301, 304, 305, 306, 307, 308, 308, 309, 310, 311</w:t>
            </w:r>
          </w:p>
        </w:tc>
        <w:tc>
          <w:tcPr>
            <w:tcW w:w="559" w:type="pct"/>
            <w:tcBorders>
              <w:top w:val="nil"/>
              <w:left w:val="nil"/>
              <w:bottom w:val="single" w:sz="4" w:space="0" w:color="000000"/>
              <w:right w:val="single" w:sz="4" w:space="0" w:color="000000"/>
            </w:tcBorders>
            <w:shd w:val="clear" w:color="auto" w:fill="auto"/>
            <w:vAlign w:val="center"/>
            <w:hideMark/>
          </w:tcPr>
          <w:p w14:paraId="210A06A9" w14:textId="77777777" w:rsidR="001E4B2F" w:rsidRPr="001E4B2F" w:rsidRDefault="001E4B2F" w:rsidP="001E4B2F">
            <w:pPr>
              <w:ind w:firstLine="0"/>
              <w:jc w:val="center"/>
              <w:rPr>
                <w:rFonts w:eastAsia="Times New Roman" w:cs="Times New Roman"/>
                <w:color w:val="000000"/>
                <w:sz w:val="20"/>
                <w:szCs w:val="20"/>
                <w:lang w:eastAsia="ru-RU"/>
              </w:rPr>
            </w:pPr>
            <w:r w:rsidRPr="001E4B2F">
              <w:rPr>
                <w:rFonts w:eastAsia="Times New Roman" w:cs="Times New Roman"/>
                <w:color w:val="000000"/>
                <w:sz w:val="20"/>
                <w:szCs w:val="20"/>
                <w:lang w:eastAsia="ru-RU"/>
              </w:rPr>
              <w:t>Здания, помещения, сооружения, ОНС, машино-места</w:t>
            </w:r>
          </w:p>
        </w:tc>
        <w:tc>
          <w:tcPr>
            <w:tcW w:w="528" w:type="pct"/>
            <w:tcBorders>
              <w:top w:val="nil"/>
              <w:left w:val="nil"/>
              <w:bottom w:val="single" w:sz="4" w:space="0" w:color="000000"/>
              <w:right w:val="single" w:sz="4" w:space="0" w:color="000000"/>
            </w:tcBorders>
            <w:shd w:val="clear" w:color="auto" w:fill="auto"/>
            <w:vAlign w:val="center"/>
            <w:hideMark/>
          </w:tcPr>
          <w:p w14:paraId="18AE383F" w14:textId="77777777" w:rsidR="001E4B2F" w:rsidRPr="001E4B2F" w:rsidRDefault="001E4B2F" w:rsidP="001E4B2F">
            <w:pPr>
              <w:ind w:firstLine="0"/>
              <w:jc w:val="center"/>
              <w:rPr>
                <w:rFonts w:eastAsia="Times New Roman" w:cs="Times New Roman"/>
                <w:color w:val="000000"/>
                <w:sz w:val="20"/>
                <w:szCs w:val="20"/>
                <w:lang w:eastAsia="ru-RU"/>
              </w:rPr>
            </w:pPr>
            <w:r w:rsidRPr="001E4B2F">
              <w:rPr>
                <w:rFonts w:eastAsia="Times New Roman" w:cs="Times New Roman"/>
                <w:color w:val="000000"/>
                <w:sz w:val="20"/>
                <w:szCs w:val="20"/>
                <w:lang w:eastAsia="ru-RU"/>
              </w:rPr>
              <w:t>ГНП, СНП, МР</w:t>
            </w:r>
          </w:p>
        </w:tc>
        <w:tc>
          <w:tcPr>
            <w:tcW w:w="611" w:type="pct"/>
            <w:tcBorders>
              <w:top w:val="nil"/>
              <w:left w:val="nil"/>
              <w:bottom w:val="single" w:sz="4" w:space="0" w:color="000000"/>
              <w:right w:val="single" w:sz="4" w:space="0" w:color="000000"/>
            </w:tcBorders>
            <w:shd w:val="clear" w:color="auto" w:fill="auto"/>
            <w:vAlign w:val="center"/>
            <w:hideMark/>
          </w:tcPr>
          <w:p w14:paraId="6EB07ADD" w14:textId="77777777" w:rsidR="001E4B2F" w:rsidRPr="001E4B2F" w:rsidRDefault="001E4B2F" w:rsidP="001E4B2F">
            <w:pPr>
              <w:ind w:firstLine="0"/>
              <w:jc w:val="center"/>
              <w:rPr>
                <w:rFonts w:eastAsia="Times New Roman" w:cs="Times New Roman"/>
                <w:color w:val="000000"/>
                <w:sz w:val="20"/>
                <w:szCs w:val="20"/>
                <w:lang w:eastAsia="ru-RU"/>
              </w:rPr>
            </w:pPr>
            <w:r w:rsidRPr="001E4B2F">
              <w:rPr>
                <w:rFonts w:eastAsia="Times New Roman" w:cs="Times New Roman"/>
                <w:color w:val="000000"/>
                <w:sz w:val="20"/>
                <w:szCs w:val="20"/>
                <w:lang w:eastAsia="ru-RU"/>
              </w:rPr>
              <w:t> </w:t>
            </w:r>
          </w:p>
        </w:tc>
        <w:tc>
          <w:tcPr>
            <w:tcW w:w="347" w:type="pct"/>
            <w:tcBorders>
              <w:top w:val="nil"/>
              <w:left w:val="nil"/>
              <w:bottom w:val="single" w:sz="4" w:space="0" w:color="000000"/>
              <w:right w:val="single" w:sz="4" w:space="0" w:color="000000"/>
            </w:tcBorders>
            <w:shd w:val="clear" w:color="auto" w:fill="auto"/>
            <w:vAlign w:val="center"/>
            <w:hideMark/>
          </w:tcPr>
          <w:p w14:paraId="0366500C" w14:textId="77777777" w:rsidR="001E4B2F" w:rsidRPr="001E4B2F" w:rsidRDefault="001E4B2F" w:rsidP="001E4B2F">
            <w:pPr>
              <w:ind w:firstLine="0"/>
              <w:jc w:val="center"/>
              <w:rPr>
                <w:rFonts w:eastAsia="Times New Roman" w:cs="Times New Roman"/>
                <w:color w:val="000000"/>
                <w:sz w:val="20"/>
                <w:szCs w:val="20"/>
                <w:lang w:eastAsia="ru-RU"/>
              </w:rPr>
            </w:pPr>
            <w:r w:rsidRPr="001E4B2F">
              <w:rPr>
                <w:rFonts w:eastAsia="Times New Roman" w:cs="Times New Roman"/>
                <w:color w:val="000000"/>
                <w:sz w:val="20"/>
                <w:szCs w:val="20"/>
                <w:lang w:eastAsia="ru-RU"/>
              </w:rPr>
              <w:t>3.4.</w:t>
            </w:r>
          </w:p>
        </w:tc>
        <w:tc>
          <w:tcPr>
            <w:tcW w:w="471" w:type="pct"/>
            <w:tcBorders>
              <w:top w:val="nil"/>
              <w:left w:val="nil"/>
              <w:bottom w:val="single" w:sz="4" w:space="0" w:color="000000"/>
              <w:right w:val="single" w:sz="4" w:space="0" w:color="000000"/>
            </w:tcBorders>
            <w:shd w:val="clear" w:color="auto" w:fill="auto"/>
            <w:noWrap/>
            <w:vAlign w:val="center"/>
            <w:hideMark/>
          </w:tcPr>
          <w:p w14:paraId="0719953C" w14:textId="77777777" w:rsidR="001E4B2F" w:rsidRPr="001E4B2F" w:rsidRDefault="001E4B2F" w:rsidP="001E4B2F">
            <w:pPr>
              <w:ind w:firstLine="0"/>
              <w:jc w:val="left"/>
              <w:rPr>
                <w:rFonts w:eastAsia="Times New Roman" w:cs="Times New Roman"/>
                <w:color w:val="000000"/>
                <w:sz w:val="20"/>
                <w:szCs w:val="20"/>
                <w:lang w:eastAsia="ru-RU"/>
              </w:rPr>
            </w:pPr>
            <w:r w:rsidRPr="001E4B2F">
              <w:rPr>
                <w:rFonts w:eastAsia="Times New Roman" w:cs="Times New Roman"/>
                <w:color w:val="000000"/>
                <w:sz w:val="20"/>
                <w:szCs w:val="20"/>
                <w:lang w:eastAsia="ru-RU"/>
              </w:rPr>
              <w:t>Затратный</w:t>
            </w:r>
          </w:p>
        </w:tc>
        <w:tc>
          <w:tcPr>
            <w:tcW w:w="378" w:type="pct"/>
            <w:tcBorders>
              <w:top w:val="nil"/>
              <w:left w:val="nil"/>
              <w:bottom w:val="single" w:sz="4" w:space="0" w:color="000000"/>
              <w:right w:val="single" w:sz="4" w:space="0" w:color="000000"/>
            </w:tcBorders>
            <w:shd w:val="clear" w:color="auto" w:fill="auto"/>
            <w:noWrap/>
            <w:vAlign w:val="center"/>
            <w:hideMark/>
          </w:tcPr>
          <w:p w14:paraId="7B7ECD19" w14:textId="77777777" w:rsidR="001E4B2F" w:rsidRPr="001E4B2F" w:rsidRDefault="001E4B2F" w:rsidP="001E4B2F">
            <w:pPr>
              <w:ind w:firstLine="0"/>
              <w:jc w:val="left"/>
              <w:rPr>
                <w:rFonts w:eastAsia="Times New Roman" w:cs="Times New Roman"/>
                <w:color w:val="000000"/>
                <w:sz w:val="20"/>
                <w:szCs w:val="20"/>
                <w:lang w:eastAsia="ru-RU"/>
              </w:rPr>
            </w:pPr>
            <w:r w:rsidRPr="001E4B2F">
              <w:rPr>
                <w:rFonts w:eastAsia="Times New Roman" w:cs="Times New Roman"/>
                <w:color w:val="000000"/>
                <w:sz w:val="20"/>
                <w:szCs w:val="20"/>
                <w:lang w:eastAsia="ru-RU"/>
              </w:rPr>
              <w:t>Массовый</w:t>
            </w:r>
          </w:p>
        </w:tc>
        <w:tc>
          <w:tcPr>
            <w:tcW w:w="708" w:type="pct"/>
            <w:tcBorders>
              <w:top w:val="nil"/>
              <w:left w:val="nil"/>
              <w:bottom w:val="single" w:sz="4" w:space="0" w:color="000000"/>
              <w:right w:val="single" w:sz="4" w:space="0" w:color="000000"/>
            </w:tcBorders>
            <w:shd w:val="clear" w:color="auto" w:fill="auto"/>
            <w:noWrap/>
            <w:vAlign w:val="center"/>
            <w:hideMark/>
          </w:tcPr>
          <w:p w14:paraId="4A8F4206" w14:textId="77777777" w:rsidR="001E4B2F" w:rsidRPr="001E4B2F" w:rsidRDefault="001E4B2F" w:rsidP="001E4B2F">
            <w:pPr>
              <w:ind w:firstLine="0"/>
              <w:jc w:val="left"/>
              <w:rPr>
                <w:rFonts w:eastAsia="Times New Roman" w:cs="Times New Roman"/>
                <w:color w:val="000000"/>
                <w:sz w:val="20"/>
                <w:szCs w:val="20"/>
                <w:lang w:eastAsia="ru-RU"/>
              </w:rPr>
            </w:pPr>
            <w:r w:rsidRPr="001E4B2F">
              <w:rPr>
                <w:rFonts w:eastAsia="Times New Roman" w:cs="Times New Roman"/>
                <w:color w:val="000000"/>
                <w:sz w:val="20"/>
                <w:szCs w:val="20"/>
                <w:lang w:eastAsia="ru-RU"/>
              </w:rPr>
              <w:t>Метод сравнительной единицы (УПСС)</w:t>
            </w:r>
          </w:p>
        </w:tc>
      </w:tr>
      <w:tr w:rsidR="001E4B2F" w:rsidRPr="001E4B2F" w14:paraId="227CB46F" w14:textId="77777777" w:rsidTr="001E4B2F">
        <w:trPr>
          <w:trHeight w:val="510"/>
        </w:trPr>
        <w:tc>
          <w:tcPr>
            <w:tcW w:w="240" w:type="pct"/>
            <w:vMerge/>
            <w:tcBorders>
              <w:top w:val="nil"/>
              <w:left w:val="single" w:sz="4" w:space="0" w:color="000000"/>
              <w:bottom w:val="single" w:sz="4" w:space="0" w:color="000000"/>
              <w:right w:val="single" w:sz="4" w:space="0" w:color="000000"/>
            </w:tcBorders>
            <w:vAlign w:val="center"/>
            <w:hideMark/>
          </w:tcPr>
          <w:p w14:paraId="081148DA" w14:textId="77777777" w:rsidR="001E4B2F" w:rsidRPr="001E4B2F" w:rsidRDefault="001E4B2F" w:rsidP="001E4B2F">
            <w:pPr>
              <w:ind w:firstLine="0"/>
              <w:jc w:val="left"/>
              <w:rPr>
                <w:rFonts w:eastAsia="Times New Roman" w:cs="Times New Roman"/>
                <w:color w:val="000000"/>
                <w:sz w:val="20"/>
                <w:szCs w:val="20"/>
                <w:lang w:eastAsia="ru-RU"/>
              </w:rPr>
            </w:pPr>
          </w:p>
        </w:tc>
        <w:tc>
          <w:tcPr>
            <w:tcW w:w="788" w:type="pct"/>
            <w:vMerge w:val="restart"/>
            <w:tcBorders>
              <w:top w:val="nil"/>
              <w:left w:val="single" w:sz="4" w:space="0" w:color="000000"/>
              <w:bottom w:val="single" w:sz="4" w:space="0" w:color="000000"/>
              <w:right w:val="single" w:sz="4" w:space="0" w:color="000000"/>
            </w:tcBorders>
            <w:shd w:val="clear" w:color="auto" w:fill="auto"/>
            <w:vAlign w:val="center"/>
            <w:hideMark/>
          </w:tcPr>
          <w:p w14:paraId="1A248147" w14:textId="77777777" w:rsidR="001E4B2F" w:rsidRPr="001E4B2F" w:rsidRDefault="001E4B2F" w:rsidP="001E4B2F">
            <w:pPr>
              <w:ind w:firstLine="0"/>
              <w:jc w:val="center"/>
              <w:rPr>
                <w:rFonts w:eastAsia="Times New Roman" w:cs="Times New Roman"/>
                <w:i/>
                <w:iCs/>
                <w:color w:val="000000"/>
                <w:sz w:val="20"/>
                <w:szCs w:val="20"/>
                <w:lang w:eastAsia="ru-RU"/>
              </w:rPr>
            </w:pPr>
            <w:r w:rsidRPr="001E4B2F">
              <w:rPr>
                <w:rFonts w:eastAsia="Times New Roman" w:cs="Times New Roman"/>
                <w:i/>
                <w:iCs/>
                <w:color w:val="000000"/>
                <w:sz w:val="20"/>
                <w:szCs w:val="20"/>
                <w:lang w:eastAsia="ru-RU"/>
              </w:rPr>
              <w:t>Индивидуальные гаражи</w:t>
            </w:r>
          </w:p>
        </w:tc>
        <w:tc>
          <w:tcPr>
            <w:tcW w:w="370"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14:paraId="05804F79" w14:textId="77777777" w:rsidR="001E4B2F" w:rsidRPr="001E4B2F" w:rsidRDefault="001E4B2F" w:rsidP="001E4B2F">
            <w:pPr>
              <w:ind w:firstLine="0"/>
              <w:jc w:val="center"/>
              <w:rPr>
                <w:rFonts w:eastAsia="Times New Roman" w:cs="Times New Roman"/>
                <w:color w:val="000000"/>
                <w:sz w:val="20"/>
                <w:szCs w:val="20"/>
                <w:lang w:eastAsia="ru-RU"/>
              </w:rPr>
            </w:pPr>
            <w:r w:rsidRPr="001E4B2F">
              <w:rPr>
                <w:rFonts w:eastAsia="Times New Roman" w:cs="Times New Roman"/>
                <w:color w:val="000000"/>
                <w:sz w:val="20"/>
                <w:szCs w:val="20"/>
                <w:lang w:eastAsia="ru-RU"/>
              </w:rPr>
              <w:t>302,303</w:t>
            </w:r>
          </w:p>
        </w:tc>
        <w:tc>
          <w:tcPr>
            <w:tcW w:w="559" w:type="pct"/>
            <w:tcBorders>
              <w:top w:val="nil"/>
              <w:left w:val="nil"/>
              <w:bottom w:val="single" w:sz="4" w:space="0" w:color="000000"/>
              <w:right w:val="single" w:sz="4" w:space="0" w:color="000000"/>
            </w:tcBorders>
            <w:shd w:val="clear" w:color="auto" w:fill="auto"/>
            <w:vAlign w:val="center"/>
            <w:hideMark/>
          </w:tcPr>
          <w:p w14:paraId="26757DCB" w14:textId="77777777" w:rsidR="001E4B2F" w:rsidRPr="001E4B2F" w:rsidRDefault="001E4B2F" w:rsidP="001E4B2F">
            <w:pPr>
              <w:ind w:firstLine="0"/>
              <w:jc w:val="center"/>
              <w:rPr>
                <w:rFonts w:eastAsia="Times New Roman" w:cs="Times New Roman"/>
                <w:color w:val="000000"/>
                <w:sz w:val="20"/>
                <w:szCs w:val="20"/>
                <w:lang w:eastAsia="ru-RU"/>
              </w:rPr>
            </w:pPr>
            <w:r w:rsidRPr="001E4B2F">
              <w:rPr>
                <w:rFonts w:eastAsia="Times New Roman" w:cs="Times New Roman"/>
                <w:color w:val="000000"/>
                <w:sz w:val="20"/>
                <w:szCs w:val="20"/>
                <w:lang w:eastAsia="ru-RU"/>
              </w:rPr>
              <w:t>ОНС, сооружения</w:t>
            </w:r>
          </w:p>
        </w:tc>
        <w:tc>
          <w:tcPr>
            <w:tcW w:w="528" w:type="pct"/>
            <w:tcBorders>
              <w:top w:val="nil"/>
              <w:left w:val="nil"/>
              <w:bottom w:val="single" w:sz="4" w:space="0" w:color="000000"/>
              <w:right w:val="single" w:sz="4" w:space="0" w:color="000000"/>
            </w:tcBorders>
            <w:shd w:val="clear" w:color="auto" w:fill="auto"/>
            <w:vAlign w:val="center"/>
            <w:hideMark/>
          </w:tcPr>
          <w:p w14:paraId="0467AE5D" w14:textId="77777777" w:rsidR="001E4B2F" w:rsidRPr="001E4B2F" w:rsidRDefault="001E4B2F" w:rsidP="001E4B2F">
            <w:pPr>
              <w:ind w:firstLine="0"/>
              <w:jc w:val="center"/>
              <w:rPr>
                <w:rFonts w:eastAsia="Times New Roman" w:cs="Times New Roman"/>
                <w:color w:val="000000"/>
                <w:sz w:val="20"/>
                <w:szCs w:val="20"/>
                <w:lang w:eastAsia="ru-RU"/>
              </w:rPr>
            </w:pPr>
            <w:r w:rsidRPr="001E4B2F">
              <w:rPr>
                <w:rFonts w:eastAsia="Times New Roman" w:cs="Times New Roman"/>
                <w:color w:val="000000"/>
                <w:sz w:val="20"/>
                <w:szCs w:val="20"/>
                <w:lang w:eastAsia="ru-RU"/>
              </w:rPr>
              <w:t>ГНП, СНП, МР</w:t>
            </w:r>
          </w:p>
        </w:tc>
        <w:tc>
          <w:tcPr>
            <w:tcW w:w="611" w:type="pct"/>
            <w:tcBorders>
              <w:top w:val="nil"/>
              <w:left w:val="nil"/>
              <w:bottom w:val="single" w:sz="4" w:space="0" w:color="000000"/>
              <w:right w:val="single" w:sz="4" w:space="0" w:color="000000"/>
            </w:tcBorders>
            <w:shd w:val="clear" w:color="auto" w:fill="auto"/>
            <w:vAlign w:val="center"/>
            <w:hideMark/>
          </w:tcPr>
          <w:p w14:paraId="1898E28E" w14:textId="77777777" w:rsidR="001E4B2F" w:rsidRPr="001E4B2F" w:rsidRDefault="001E4B2F" w:rsidP="001E4B2F">
            <w:pPr>
              <w:ind w:firstLine="0"/>
              <w:jc w:val="center"/>
              <w:rPr>
                <w:rFonts w:eastAsia="Times New Roman" w:cs="Times New Roman"/>
                <w:color w:val="000000"/>
                <w:sz w:val="20"/>
                <w:szCs w:val="20"/>
                <w:lang w:eastAsia="ru-RU"/>
              </w:rPr>
            </w:pPr>
            <w:r w:rsidRPr="001E4B2F">
              <w:rPr>
                <w:rFonts w:eastAsia="Times New Roman" w:cs="Times New Roman"/>
                <w:color w:val="000000"/>
                <w:sz w:val="20"/>
                <w:szCs w:val="20"/>
                <w:lang w:eastAsia="ru-RU"/>
              </w:rPr>
              <w:t> </w:t>
            </w:r>
          </w:p>
        </w:tc>
        <w:tc>
          <w:tcPr>
            <w:tcW w:w="347" w:type="pct"/>
            <w:tcBorders>
              <w:top w:val="nil"/>
              <w:left w:val="nil"/>
              <w:bottom w:val="single" w:sz="4" w:space="0" w:color="000000"/>
              <w:right w:val="single" w:sz="4" w:space="0" w:color="000000"/>
            </w:tcBorders>
            <w:shd w:val="clear" w:color="auto" w:fill="auto"/>
            <w:vAlign w:val="center"/>
            <w:hideMark/>
          </w:tcPr>
          <w:p w14:paraId="3C3820FA" w14:textId="77777777" w:rsidR="001E4B2F" w:rsidRPr="001E4B2F" w:rsidRDefault="001E4B2F" w:rsidP="001E4B2F">
            <w:pPr>
              <w:ind w:firstLine="0"/>
              <w:jc w:val="center"/>
              <w:rPr>
                <w:rFonts w:eastAsia="Times New Roman" w:cs="Times New Roman"/>
                <w:color w:val="000000"/>
                <w:sz w:val="20"/>
                <w:szCs w:val="20"/>
                <w:lang w:eastAsia="ru-RU"/>
              </w:rPr>
            </w:pPr>
            <w:r w:rsidRPr="001E4B2F">
              <w:rPr>
                <w:rFonts w:eastAsia="Times New Roman" w:cs="Times New Roman"/>
                <w:color w:val="000000"/>
                <w:sz w:val="20"/>
                <w:szCs w:val="20"/>
                <w:lang w:eastAsia="ru-RU"/>
              </w:rPr>
              <w:t>3.2.</w:t>
            </w:r>
          </w:p>
        </w:tc>
        <w:tc>
          <w:tcPr>
            <w:tcW w:w="471" w:type="pct"/>
            <w:tcBorders>
              <w:top w:val="nil"/>
              <w:left w:val="nil"/>
              <w:bottom w:val="single" w:sz="4" w:space="0" w:color="000000"/>
              <w:right w:val="single" w:sz="4" w:space="0" w:color="000000"/>
            </w:tcBorders>
            <w:shd w:val="clear" w:color="auto" w:fill="auto"/>
            <w:noWrap/>
            <w:vAlign w:val="center"/>
            <w:hideMark/>
          </w:tcPr>
          <w:p w14:paraId="5055E3EC" w14:textId="77777777" w:rsidR="001E4B2F" w:rsidRPr="001E4B2F" w:rsidRDefault="001E4B2F" w:rsidP="001E4B2F">
            <w:pPr>
              <w:ind w:firstLine="0"/>
              <w:jc w:val="left"/>
              <w:rPr>
                <w:rFonts w:eastAsia="Times New Roman" w:cs="Times New Roman"/>
                <w:color w:val="000000"/>
                <w:sz w:val="20"/>
                <w:szCs w:val="20"/>
                <w:lang w:eastAsia="ru-RU"/>
              </w:rPr>
            </w:pPr>
            <w:r w:rsidRPr="001E4B2F">
              <w:rPr>
                <w:rFonts w:eastAsia="Times New Roman" w:cs="Times New Roman"/>
                <w:color w:val="000000"/>
                <w:sz w:val="20"/>
                <w:szCs w:val="20"/>
                <w:lang w:eastAsia="ru-RU"/>
              </w:rPr>
              <w:t>Сравнительный</w:t>
            </w:r>
          </w:p>
        </w:tc>
        <w:tc>
          <w:tcPr>
            <w:tcW w:w="378" w:type="pct"/>
            <w:tcBorders>
              <w:top w:val="nil"/>
              <w:left w:val="nil"/>
              <w:bottom w:val="single" w:sz="4" w:space="0" w:color="000000"/>
              <w:right w:val="single" w:sz="4" w:space="0" w:color="000000"/>
            </w:tcBorders>
            <w:shd w:val="clear" w:color="auto" w:fill="auto"/>
            <w:noWrap/>
            <w:vAlign w:val="bottom"/>
            <w:hideMark/>
          </w:tcPr>
          <w:p w14:paraId="0A15AB0E" w14:textId="77777777" w:rsidR="001E4B2F" w:rsidRPr="001E4B2F" w:rsidRDefault="001E4B2F" w:rsidP="001E4B2F">
            <w:pPr>
              <w:ind w:firstLine="0"/>
              <w:jc w:val="left"/>
              <w:rPr>
                <w:rFonts w:eastAsia="Times New Roman" w:cs="Times New Roman"/>
                <w:color w:val="000000"/>
                <w:sz w:val="20"/>
                <w:szCs w:val="20"/>
                <w:lang w:eastAsia="ru-RU"/>
              </w:rPr>
            </w:pPr>
            <w:r w:rsidRPr="001E4B2F">
              <w:rPr>
                <w:rFonts w:eastAsia="Times New Roman" w:cs="Times New Roman"/>
                <w:color w:val="000000"/>
                <w:sz w:val="20"/>
                <w:szCs w:val="20"/>
                <w:lang w:eastAsia="ru-RU"/>
              </w:rPr>
              <w:t>Массовый</w:t>
            </w:r>
          </w:p>
        </w:tc>
        <w:tc>
          <w:tcPr>
            <w:tcW w:w="708" w:type="pct"/>
            <w:tcBorders>
              <w:top w:val="nil"/>
              <w:left w:val="nil"/>
              <w:bottom w:val="single" w:sz="4" w:space="0" w:color="000000"/>
              <w:right w:val="single" w:sz="4" w:space="0" w:color="000000"/>
            </w:tcBorders>
            <w:shd w:val="clear" w:color="auto" w:fill="auto"/>
            <w:noWrap/>
            <w:vAlign w:val="center"/>
            <w:hideMark/>
          </w:tcPr>
          <w:p w14:paraId="7C4FF526" w14:textId="77777777" w:rsidR="001E4B2F" w:rsidRPr="001E4B2F" w:rsidRDefault="001E4B2F" w:rsidP="001E4B2F">
            <w:pPr>
              <w:ind w:firstLine="0"/>
              <w:jc w:val="left"/>
              <w:rPr>
                <w:rFonts w:eastAsia="Times New Roman" w:cs="Times New Roman"/>
                <w:color w:val="000000"/>
                <w:sz w:val="20"/>
                <w:szCs w:val="20"/>
                <w:lang w:eastAsia="ru-RU"/>
              </w:rPr>
            </w:pPr>
            <w:r w:rsidRPr="001E4B2F">
              <w:rPr>
                <w:rFonts w:eastAsia="Times New Roman" w:cs="Times New Roman"/>
                <w:color w:val="000000"/>
                <w:sz w:val="20"/>
                <w:szCs w:val="20"/>
                <w:lang w:eastAsia="ru-RU"/>
              </w:rPr>
              <w:t>Метод УПКС (минимальное)</w:t>
            </w:r>
          </w:p>
        </w:tc>
      </w:tr>
      <w:tr w:rsidR="001E4B2F" w:rsidRPr="001E4B2F" w14:paraId="7517E26A" w14:textId="77777777" w:rsidTr="001E4B2F">
        <w:trPr>
          <w:trHeight w:val="510"/>
        </w:trPr>
        <w:tc>
          <w:tcPr>
            <w:tcW w:w="240" w:type="pct"/>
            <w:vMerge/>
            <w:tcBorders>
              <w:top w:val="nil"/>
              <w:left w:val="single" w:sz="4" w:space="0" w:color="000000"/>
              <w:bottom w:val="single" w:sz="4" w:space="0" w:color="000000"/>
              <w:right w:val="single" w:sz="4" w:space="0" w:color="000000"/>
            </w:tcBorders>
            <w:vAlign w:val="center"/>
            <w:hideMark/>
          </w:tcPr>
          <w:p w14:paraId="2522C318" w14:textId="77777777" w:rsidR="001E4B2F" w:rsidRPr="001E4B2F" w:rsidRDefault="001E4B2F" w:rsidP="001E4B2F">
            <w:pPr>
              <w:ind w:firstLine="0"/>
              <w:jc w:val="left"/>
              <w:rPr>
                <w:rFonts w:eastAsia="Times New Roman" w:cs="Times New Roman"/>
                <w:color w:val="000000"/>
                <w:sz w:val="20"/>
                <w:szCs w:val="20"/>
                <w:lang w:eastAsia="ru-RU"/>
              </w:rPr>
            </w:pPr>
          </w:p>
        </w:tc>
        <w:tc>
          <w:tcPr>
            <w:tcW w:w="788" w:type="pct"/>
            <w:vMerge/>
            <w:tcBorders>
              <w:top w:val="nil"/>
              <w:left w:val="single" w:sz="4" w:space="0" w:color="000000"/>
              <w:bottom w:val="single" w:sz="4" w:space="0" w:color="000000"/>
              <w:right w:val="single" w:sz="4" w:space="0" w:color="000000"/>
            </w:tcBorders>
            <w:vAlign w:val="center"/>
            <w:hideMark/>
          </w:tcPr>
          <w:p w14:paraId="41A32F1C" w14:textId="77777777" w:rsidR="001E4B2F" w:rsidRPr="001E4B2F" w:rsidRDefault="001E4B2F" w:rsidP="001E4B2F">
            <w:pPr>
              <w:ind w:firstLine="0"/>
              <w:jc w:val="left"/>
              <w:rPr>
                <w:rFonts w:eastAsia="Times New Roman" w:cs="Times New Roman"/>
                <w:i/>
                <w:iCs/>
                <w:color w:val="000000"/>
                <w:sz w:val="20"/>
                <w:szCs w:val="20"/>
                <w:lang w:eastAsia="ru-RU"/>
              </w:rPr>
            </w:pPr>
          </w:p>
        </w:tc>
        <w:tc>
          <w:tcPr>
            <w:tcW w:w="370" w:type="pct"/>
            <w:vMerge/>
            <w:tcBorders>
              <w:top w:val="nil"/>
              <w:left w:val="single" w:sz="4" w:space="0" w:color="000000"/>
              <w:bottom w:val="single" w:sz="4" w:space="0" w:color="000000"/>
              <w:right w:val="single" w:sz="4" w:space="0" w:color="000000"/>
            </w:tcBorders>
            <w:vAlign w:val="center"/>
            <w:hideMark/>
          </w:tcPr>
          <w:p w14:paraId="2C531246" w14:textId="77777777" w:rsidR="001E4B2F" w:rsidRPr="001E4B2F" w:rsidRDefault="001E4B2F" w:rsidP="001E4B2F">
            <w:pPr>
              <w:ind w:firstLine="0"/>
              <w:jc w:val="left"/>
              <w:rPr>
                <w:rFonts w:eastAsia="Times New Roman" w:cs="Times New Roman"/>
                <w:color w:val="000000"/>
                <w:sz w:val="20"/>
                <w:szCs w:val="20"/>
                <w:lang w:eastAsia="ru-RU"/>
              </w:rPr>
            </w:pPr>
          </w:p>
        </w:tc>
        <w:tc>
          <w:tcPr>
            <w:tcW w:w="559" w:type="pct"/>
            <w:vMerge w:val="restart"/>
            <w:tcBorders>
              <w:top w:val="nil"/>
              <w:left w:val="single" w:sz="4" w:space="0" w:color="000000"/>
              <w:bottom w:val="single" w:sz="4" w:space="0" w:color="000000"/>
              <w:right w:val="single" w:sz="4" w:space="0" w:color="000000"/>
            </w:tcBorders>
            <w:shd w:val="clear" w:color="auto" w:fill="auto"/>
            <w:vAlign w:val="center"/>
            <w:hideMark/>
          </w:tcPr>
          <w:p w14:paraId="09F0DDC0" w14:textId="77777777" w:rsidR="001E4B2F" w:rsidRPr="001E4B2F" w:rsidRDefault="001E4B2F" w:rsidP="001E4B2F">
            <w:pPr>
              <w:ind w:firstLine="0"/>
              <w:jc w:val="center"/>
              <w:rPr>
                <w:rFonts w:eastAsia="Times New Roman" w:cs="Times New Roman"/>
                <w:color w:val="000000"/>
                <w:sz w:val="20"/>
                <w:szCs w:val="20"/>
                <w:lang w:eastAsia="ru-RU"/>
              </w:rPr>
            </w:pPr>
            <w:r w:rsidRPr="001E4B2F">
              <w:rPr>
                <w:rFonts w:eastAsia="Times New Roman" w:cs="Times New Roman"/>
                <w:color w:val="000000"/>
                <w:sz w:val="20"/>
                <w:szCs w:val="20"/>
                <w:lang w:eastAsia="ru-RU"/>
              </w:rPr>
              <w:t>Здания, помещения</w:t>
            </w:r>
          </w:p>
        </w:tc>
        <w:tc>
          <w:tcPr>
            <w:tcW w:w="528" w:type="pct"/>
            <w:tcBorders>
              <w:top w:val="nil"/>
              <w:left w:val="nil"/>
              <w:bottom w:val="single" w:sz="4" w:space="0" w:color="000000"/>
              <w:right w:val="single" w:sz="4" w:space="0" w:color="000000"/>
            </w:tcBorders>
            <w:shd w:val="clear" w:color="auto" w:fill="auto"/>
            <w:vAlign w:val="center"/>
            <w:hideMark/>
          </w:tcPr>
          <w:p w14:paraId="7877CBD0" w14:textId="77777777" w:rsidR="001E4B2F" w:rsidRPr="001E4B2F" w:rsidRDefault="001E4B2F" w:rsidP="001E4B2F">
            <w:pPr>
              <w:ind w:firstLine="0"/>
              <w:jc w:val="center"/>
              <w:rPr>
                <w:rFonts w:eastAsia="Times New Roman" w:cs="Times New Roman"/>
                <w:color w:val="000000"/>
                <w:sz w:val="20"/>
                <w:szCs w:val="20"/>
                <w:lang w:eastAsia="ru-RU"/>
              </w:rPr>
            </w:pPr>
            <w:r w:rsidRPr="001E4B2F">
              <w:rPr>
                <w:rFonts w:eastAsia="Times New Roman" w:cs="Times New Roman"/>
                <w:color w:val="000000"/>
                <w:sz w:val="20"/>
                <w:szCs w:val="20"/>
                <w:lang w:eastAsia="ru-RU"/>
              </w:rPr>
              <w:t>МР</w:t>
            </w:r>
          </w:p>
        </w:tc>
        <w:tc>
          <w:tcPr>
            <w:tcW w:w="611" w:type="pct"/>
            <w:tcBorders>
              <w:top w:val="nil"/>
              <w:left w:val="nil"/>
              <w:bottom w:val="single" w:sz="4" w:space="0" w:color="000000"/>
              <w:right w:val="single" w:sz="4" w:space="0" w:color="000000"/>
            </w:tcBorders>
            <w:shd w:val="clear" w:color="auto" w:fill="auto"/>
            <w:vAlign w:val="center"/>
            <w:hideMark/>
          </w:tcPr>
          <w:p w14:paraId="26D2EC31" w14:textId="77777777" w:rsidR="001E4B2F" w:rsidRPr="001E4B2F" w:rsidRDefault="001E4B2F" w:rsidP="001E4B2F">
            <w:pPr>
              <w:ind w:firstLine="0"/>
              <w:jc w:val="center"/>
              <w:rPr>
                <w:rFonts w:eastAsia="Times New Roman" w:cs="Times New Roman"/>
                <w:color w:val="000000"/>
                <w:sz w:val="20"/>
                <w:szCs w:val="20"/>
                <w:lang w:eastAsia="ru-RU"/>
              </w:rPr>
            </w:pPr>
            <w:r w:rsidRPr="001E4B2F">
              <w:rPr>
                <w:rFonts w:eastAsia="Times New Roman" w:cs="Times New Roman"/>
                <w:color w:val="000000"/>
                <w:sz w:val="20"/>
                <w:szCs w:val="20"/>
                <w:lang w:eastAsia="ru-RU"/>
              </w:rPr>
              <w:t> </w:t>
            </w:r>
          </w:p>
        </w:tc>
        <w:tc>
          <w:tcPr>
            <w:tcW w:w="347" w:type="pct"/>
            <w:tcBorders>
              <w:top w:val="nil"/>
              <w:left w:val="nil"/>
              <w:bottom w:val="single" w:sz="4" w:space="0" w:color="000000"/>
              <w:right w:val="single" w:sz="4" w:space="0" w:color="000000"/>
            </w:tcBorders>
            <w:shd w:val="clear" w:color="auto" w:fill="auto"/>
            <w:vAlign w:val="center"/>
            <w:hideMark/>
          </w:tcPr>
          <w:p w14:paraId="04BBD092" w14:textId="77777777" w:rsidR="001E4B2F" w:rsidRPr="001E4B2F" w:rsidRDefault="001E4B2F" w:rsidP="001E4B2F">
            <w:pPr>
              <w:ind w:firstLine="0"/>
              <w:jc w:val="center"/>
              <w:rPr>
                <w:rFonts w:eastAsia="Times New Roman" w:cs="Times New Roman"/>
                <w:color w:val="000000"/>
                <w:sz w:val="20"/>
                <w:szCs w:val="20"/>
                <w:lang w:eastAsia="ru-RU"/>
              </w:rPr>
            </w:pPr>
            <w:r w:rsidRPr="001E4B2F">
              <w:rPr>
                <w:rFonts w:eastAsia="Times New Roman" w:cs="Times New Roman"/>
                <w:color w:val="000000"/>
                <w:sz w:val="20"/>
                <w:szCs w:val="20"/>
                <w:lang w:eastAsia="ru-RU"/>
              </w:rPr>
              <w:t>3.1.</w:t>
            </w:r>
          </w:p>
        </w:tc>
        <w:tc>
          <w:tcPr>
            <w:tcW w:w="471" w:type="pct"/>
            <w:tcBorders>
              <w:top w:val="nil"/>
              <w:left w:val="nil"/>
              <w:bottom w:val="single" w:sz="4" w:space="0" w:color="000000"/>
              <w:right w:val="single" w:sz="4" w:space="0" w:color="000000"/>
            </w:tcBorders>
            <w:shd w:val="clear" w:color="auto" w:fill="auto"/>
            <w:noWrap/>
            <w:vAlign w:val="center"/>
            <w:hideMark/>
          </w:tcPr>
          <w:p w14:paraId="343D306E" w14:textId="77777777" w:rsidR="001E4B2F" w:rsidRPr="001E4B2F" w:rsidRDefault="001E4B2F" w:rsidP="001E4B2F">
            <w:pPr>
              <w:ind w:firstLine="0"/>
              <w:jc w:val="left"/>
              <w:rPr>
                <w:rFonts w:eastAsia="Times New Roman" w:cs="Times New Roman"/>
                <w:color w:val="000000"/>
                <w:sz w:val="20"/>
                <w:szCs w:val="20"/>
                <w:lang w:eastAsia="ru-RU"/>
              </w:rPr>
            </w:pPr>
            <w:r w:rsidRPr="001E4B2F">
              <w:rPr>
                <w:rFonts w:eastAsia="Times New Roman" w:cs="Times New Roman"/>
                <w:color w:val="000000"/>
                <w:sz w:val="20"/>
                <w:szCs w:val="20"/>
                <w:lang w:eastAsia="ru-RU"/>
              </w:rPr>
              <w:t>Сравнительный</w:t>
            </w:r>
          </w:p>
        </w:tc>
        <w:tc>
          <w:tcPr>
            <w:tcW w:w="378" w:type="pct"/>
            <w:tcBorders>
              <w:top w:val="nil"/>
              <w:left w:val="nil"/>
              <w:bottom w:val="single" w:sz="4" w:space="0" w:color="000000"/>
              <w:right w:val="single" w:sz="4" w:space="0" w:color="000000"/>
            </w:tcBorders>
            <w:shd w:val="clear" w:color="auto" w:fill="auto"/>
            <w:noWrap/>
            <w:vAlign w:val="bottom"/>
            <w:hideMark/>
          </w:tcPr>
          <w:p w14:paraId="2A77B910" w14:textId="77777777" w:rsidR="001E4B2F" w:rsidRPr="001E4B2F" w:rsidRDefault="001E4B2F" w:rsidP="001E4B2F">
            <w:pPr>
              <w:ind w:firstLine="0"/>
              <w:jc w:val="left"/>
              <w:rPr>
                <w:rFonts w:eastAsia="Times New Roman" w:cs="Times New Roman"/>
                <w:color w:val="000000"/>
                <w:sz w:val="20"/>
                <w:szCs w:val="20"/>
                <w:lang w:eastAsia="ru-RU"/>
              </w:rPr>
            </w:pPr>
            <w:r w:rsidRPr="001E4B2F">
              <w:rPr>
                <w:rFonts w:eastAsia="Times New Roman" w:cs="Times New Roman"/>
                <w:color w:val="000000"/>
                <w:sz w:val="20"/>
                <w:szCs w:val="20"/>
                <w:lang w:eastAsia="ru-RU"/>
              </w:rPr>
              <w:t>Массовый</w:t>
            </w:r>
          </w:p>
        </w:tc>
        <w:tc>
          <w:tcPr>
            <w:tcW w:w="708" w:type="pct"/>
            <w:tcBorders>
              <w:top w:val="nil"/>
              <w:left w:val="nil"/>
              <w:bottom w:val="single" w:sz="4" w:space="0" w:color="000000"/>
              <w:right w:val="single" w:sz="4" w:space="0" w:color="000000"/>
            </w:tcBorders>
            <w:shd w:val="clear" w:color="auto" w:fill="auto"/>
            <w:noWrap/>
            <w:vAlign w:val="center"/>
            <w:hideMark/>
          </w:tcPr>
          <w:p w14:paraId="4E037121" w14:textId="77777777" w:rsidR="001E4B2F" w:rsidRPr="001E4B2F" w:rsidRDefault="001E4B2F" w:rsidP="001E4B2F">
            <w:pPr>
              <w:ind w:firstLine="0"/>
              <w:jc w:val="left"/>
              <w:rPr>
                <w:rFonts w:eastAsia="Times New Roman" w:cs="Times New Roman"/>
                <w:color w:val="000000"/>
                <w:sz w:val="20"/>
                <w:szCs w:val="20"/>
                <w:lang w:eastAsia="ru-RU"/>
              </w:rPr>
            </w:pPr>
            <w:r w:rsidRPr="001E4B2F">
              <w:rPr>
                <w:rFonts w:eastAsia="Times New Roman" w:cs="Times New Roman"/>
                <w:color w:val="000000"/>
                <w:sz w:val="20"/>
                <w:szCs w:val="20"/>
                <w:lang w:eastAsia="ru-RU"/>
              </w:rPr>
              <w:t>Метод УПКС (минимальное)</w:t>
            </w:r>
          </w:p>
        </w:tc>
      </w:tr>
      <w:tr w:rsidR="001E4B2F" w:rsidRPr="001E4B2F" w14:paraId="3B850124" w14:textId="77777777" w:rsidTr="001E4B2F">
        <w:trPr>
          <w:trHeight w:val="255"/>
        </w:trPr>
        <w:tc>
          <w:tcPr>
            <w:tcW w:w="240" w:type="pct"/>
            <w:vMerge/>
            <w:tcBorders>
              <w:top w:val="nil"/>
              <w:left w:val="single" w:sz="4" w:space="0" w:color="000000"/>
              <w:bottom w:val="single" w:sz="4" w:space="0" w:color="000000"/>
              <w:right w:val="single" w:sz="4" w:space="0" w:color="000000"/>
            </w:tcBorders>
            <w:vAlign w:val="center"/>
            <w:hideMark/>
          </w:tcPr>
          <w:p w14:paraId="3055FE23" w14:textId="77777777" w:rsidR="001E4B2F" w:rsidRPr="001E4B2F" w:rsidRDefault="001E4B2F" w:rsidP="001E4B2F">
            <w:pPr>
              <w:ind w:firstLine="0"/>
              <w:jc w:val="left"/>
              <w:rPr>
                <w:rFonts w:eastAsia="Times New Roman" w:cs="Times New Roman"/>
                <w:color w:val="000000"/>
                <w:sz w:val="20"/>
                <w:szCs w:val="20"/>
                <w:lang w:eastAsia="ru-RU"/>
              </w:rPr>
            </w:pPr>
          </w:p>
        </w:tc>
        <w:tc>
          <w:tcPr>
            <w:tcW w:w="788" w:type="pct"/>
            <w:vMerge/>
            <w:tcBorders>
              <w:top w:val="nil"/>
              <w:left w:val="single" w:sz="4" w:space="0" w:color="000000"/>
              <w:bottom w:val="single" w:sz="4" w:space="0" w:color="000000"/>
              <w:right w:val="single" w:sz="4" w:space="0" w:color="000000"/>
            </w:tcBorders>
            <w:vAlign w:val="center"/>
            <w:hideMark/>
          </w:tcPr>
          <w:p w14:paraId="6E03417B" w14:textId="77777777" w:rsidR="001E4B2F" w:rsidRPr="001E4B2F" w:rsidRDefault="001E4B2F" w:rsidP="001E4B2F">
            <w:pPr>
              <w:ind w:firstLine="0"/>
              <w:jc w:val="left"/>
              <w:rPr>
                <w:rFonts w:eastAsia="Times New Roman" w:cs="Times New Roman"/>
                <w:i/>
                <w:iCs/>
                <w:color w:val="000000"/>
                <w:sz w:val="20"/>
                <w:szCs w:val="20"/>
                <w:lang w:eastAsia="ru-RU"/>
              </w:rPr>
            </w:pPr>
          </w:p>
        </w:tc>
        <w:tc>
          <w:tcPr>
            <w:tcW w:w="370" w:type="pct"/>
            <w:vMerge/>
            <w:tcBorders>
              <w:top w:val="nil"/>
              <w:left w:val="single" w:sz="4" w:space="0" w:color="000000"/>
              <w:bottom w:val="single" w:sz="4" w:space="0" w:color="000000"/>
              <w:right w:val="single" w:sz="4" w:space="0" w:color="000000"/>
            </w:tcBorders>
            <w:vAlign w:val="center"/>
            <w:hideMark/>
          </w:tcPr>
          <w:p w14:paraId="0DF3F171" w14:textId="77777777" w:rsidR="001E4B2F" w:rsidRPr="001E4B2F" w:rsidRDefault="001E4B2F" w:rsidP="001E4B2F">
            <w:pPr>
              <w:ind w:firstLine="0"/>
              <w:jc w:val="left"/>
              <w:rPr>
                <w:rFonts w:eastAsia="Times New Roman" w:cs="Times New Roman"/>
                <w:color w:val="000000"/>
                <w:sz w:val="20"/>
                <w:szCs w:val="20"/>
                <w:lang w:eastAsia="ru-RU"/>
              </w:rPr>
            </w:pPr>
          </w:p>
        </w:tc>
        <w:tc>
          <w:tcPr>
            <w:tcW w:w="559" w:type="pct"/>
            <w:vMerge/>
            <w:tcBorders>
              <w:top w:val="nil"/>
              <w:left w:val="single" w:sz="4" w:space="0" w:color="000000"/>
              <w:bottom w:val="single" w:sz="4" w:space="0" w:color="000000"/>
              <w:right w:val="single" w:sz="4" w:space="0" w:color="000000"/>
            </w:tcBorders>
            <w:vAlign w:val="center"/>
            <w:hideMark/>
          </w:tcPr>
          <w:p w14:paraId="628222F0" w14:textId="77777777" w:rsidR="001E4B2F" w:rsidRPr="001E4B2F" w:rsidRDefault="001E4B2F" w:rsidP="001E4B2F">
            <w:pPr>
              <w:ind w:firstLine="0"/>
              <w:jc w:val="left"/>
              <w:rPr>
                <w:rFonts w:eastAsia="Times New Roman" w:cs="Times New Roman"/>
                <w:color w:val="000000"/>
                <w:sz w:val="20"/>
                <w:szCs w:val="20"/>
                <w:lang w:eastAsia="ru-RU"/>
              </w:rPr>
            </w:pPr>
          </w:p>
        </w:tc>
        <w:tc>
          <w:tcPr>
            <w:tcW w:w="528" w:type="pct"/>
            <w:tcBorders>
              <w:top w:val="nil"/>
              <w:left w:val="nil"/>
              <w:bottom w:val="single" w:sz="4" w:space="0" w:color="000000"/>
              <w:right w:val="single" w:sz="4" w:space="0" w:color="000000"/>
            </w:tcBorders>
            <w:shd w:val="clear" w:color="auto" w:fill="auto"/>
            <w:vAlign w:val="center"/>
            <w:hideMark/>
          </w:tcPr>
          <w:p w14:paraId="35833571" w14:textId="4C390255" w:rsidR="001E4B2F" w:rsidRPr="001E4B2F" w:rsidRDefault="004D5078" w:rsidP="001E4B2F">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Иные</w:t>
            </w:r>
            <w:r w:rsidR="001E4B2F" w:rsidRPr="001E4B2F">
              <w:rPr>
                <w:rFonts w:eastAsia="Times New Roman" w:cs="Times New Roman"/>
                <w:color w:val="000000"/>
                <w:sz w:val="20"/>
                <w:szCs w:val="20"/>
                <w:lang w:eastAsia="ru-RU"/>
              </w:rPr>
              <w:t xml:space="preserve"> ГНП</w:t>
            </w:r>
          </w:p>
        </w:tc>
        <w:tc>
          <w:tcPr>
            <w:tcW w:w="611" w:type="pct"/>
            <w:tcBorders>
              <w:top w:val="nil"/>
              <w:left w:val="nil"/>
              <w:bottom w:val="single" w:sz="4" w:space="0" w:color="000000"/>
              <w:right w:val="single" w:sz="4" w:space="0" w:color="000000"/>
            </w:tcBorders>
            <w:shd w:val="clear" w:color="auto" w:fill="auto"/>
            <w:vAlign w:val="center"/>
            <w:hideMark/>
          </w:tcPr>
          <w:p w14:paraId="05A60B3E" w14:textId="77777777" w:rsidR="001E4B2F" w:rsidRPr="001E4B2F" w:rsidRDefault="001E4B2F" w:rsidP="001E4B2F">
            <w:pPr>
              <w:ind w:firstLine="0"/>
              <w:jc w:val="center"/>
              <w:rPr>
                <w:rFonts w:eastAsia="Times New Roman" w:cs="Times New Roman"/>
                <w:color w:val="000000"/>
                <w:sz w:val="20"/>
                <w:szCs w:val="20"/>
                <w:lang w:eastAsia="ru-RU"/>
              </w:rPr>
            </w:pPr>
            <w:r w:rsidRPr="001E4B2F">
              <w:rPr>
                <w:rFonts w:eastAsia="Times New Roman" w:cs="Times New Roman"/>
                <w:color w:val="000000"/>
                <w:sz w:val="20"/>
                <w:szCs w:val="20"/>
                <w:lang w:eastAsia="ru-RU"/>
              </w:rPr>
              <w:t> </w:t>
            </w:r>
          </w:p>
        </w:tc>
        <w:tc>
          <w:tcPr>
            <w:tcW w:w="347" w:type="pct"/>
            <w:tcBorders>
              <w:top w:val="nil"/>
              <w:left w:val="nil"/>
              <w:bottom w:val="single" w:sz="4" w:space="0" w:color="000000"/>
              <w:right w:val="single" w:sz="4" w:space="0" w:color="000000"/>
            </w:tcBorders>
            <w:shd w:val="clear" w:color="auto" w:fill="auto"/>
            <w:vAlign w:val="center"/>
            <w:hideMark/>
          </w:tcPr>
          <w:p w14:paraId="4E09FF2C" w14:textId="77777777" w:rsidR="001E4B2F" w:rsidRPr="001E4B2F" w:rsidRDefault="001E4B2F" w:rsidP="001E4B2F">
            <w:pPr>
              <w:ind w:firstLine="0"/>
              <w:jc w:val="center"/>
              <w:rPr>
                <w:rFonts w:eastAsia="Times New Roman" w:cs="Times New Roman"/>
                <w:color w:val="000000"/>
                <w:sz w:val="20"/>
                <w:szCs w:val="20"/>
                <w:lang w:eastAsia="ru-RU"/>
              </w:rPr>
            </w:pPr>
            <w:r w:rsidRPr="001E4B2F">
              <w:rPr>
                <w:rFonts w:eastAsia="Times New Roman" w:cs="Times New Roman"/>
                <w:color w:val="000000"/>
                <w:sz w:val="20"/>
                <w:szCs w:val="20"/>
                <w:lang w:eastAsia="ru-RU"/>
              </w:rPr>
              <w:t>3.3.</w:t>
            </w:r>
          </w:p>
        </w:tc>
        <w:tc>
          <w:tcPr>
            <w:tcW w:w="471" w:type="pct"/>
            <w:tcBorders>
              <w:top w:val="nil"/>
              <w:left w:val="nil"/>
              <w:bottom w:val="single" w:sz="4" w:space="0" w:color="000000"/>
              <w:right w:val="single" w:sz="4" w:space="0" w:color="000000"/>
            </w:tcBorders>
            <w:shd w:val="clear" w:color="auto" w:fill="auto"/>
            <w:noWrap/>
            <w:vAlign w:val="center"/>
            <w:hideMark/>
          </w:tcPr>
          <w:p w14:paraId="708F16EB" w14:textId="77777777" w:rsidR="001E4B2F" w:rsidRPr="001E4B2F" w:rsidRDefault="001E4B2F" w:rsidP="001E4B2F">
            <w:pPr>
              <w:ind w:firstLine="0"/>
              <w:jc w:val="left"/>
              <w:rPr>
                <w:rFonts w:eastAsia="Times New Roman" w:cs="Times New Roman"/>
                <w:color w:val="000000"/>
                <w:sz w:val="20"/>
                <w:szCs w:val="20"/>
                <w:lang w:eastAsia="ru-RU"/>
              </w:rPr>
            </w:pPr>
            <w:r w:rsidRPr="001E4B2F">
              <w:rPr>
                <w:rFonts w:eastAsia="Times New Roman" w:cs="Times New Roman"/>
                <w:color w:val="000000"/>
                <w:sz w:val="20"/>
                <w:szCs w:val="20"/>
                <w:lang w:eastAsia="ru-RU"/>
              </w:rPr>
              <w:t>Сравнительный</w:t>
            </w:r>
          </w:p>
        </w:tc>
        <w:tc>
          <w:tcPr>
            <w:tcW w:w="378" w:type="pct"/>
            <w:tcBorders>
              <w:top w:val="nil"/>
              <w:left w:val="nil"/>
              <w:bottom w:val="single" w:sz="4" w:space="0" w:color="000000"/>
              <w:right w:val="single" w:sz="4" w:space="0" w:color="000000"/>
            </w:tcBorders>
            <w:shd w:val="clear" w:color="auto" w:fill="auto"/>
            <w:noWrap/>
            <w:vAlign w:val="bottom"/>
            <w:hideMark/>
          </w:tcPr>
          <w:p w14:paraId="3C6F30B4" w14:textId="77777777" w:rsidR="001E4B2F" w:rsidRPr="001E4B2F" w:rsidRDefault="001E4B2F" w:rsidP="001E4B2F">
            <w:pPr>
              <w:ind w:firstLine="0"/>
              <w:jc w:val="left"/>
              <w:rPr>
                <w:rFonts w:eastAsia="Times New Roman" w:cs="Times New Roman"/>
                <w:color w:val="000000"/>
                <w:sz w:val="20"/>
                <w:szCs w:val="20"/>
                <w:lang w:eastAsia="ru-RU"/>
              </w:rPr>
            </w:pPr>
            <w:r w:rsidRPr="001E4B2F">
              <w:rPr>
                <w:rFonts w:eastAsia="Times New Roman" w:cs="Times New Roman"/>
                <w:color w:val="000000"/>
                <w:sz w:val="20"/>
                <w:szCs w:val="20"/>
                <w:lang w:eastAsia="ru-RU"/>
              </w:rPr>
              <w:t>Массовый</w:t>
            </w:r>
          </w:p>
        </w:tc>
        <w:tc>
          <w:tcPr>
            <w:tcW w:w="708" w:type="pct"/>
            <w:tcBorders>
              <w:top w:val="nil"/>
              <w:left w:val="nil"/>
              <w:bottom w:val="single" w:sz="4" w:space="0" w:color="000000"/>
              <w:right w:val="single" w:sz="4" w:space="0" w:color="000000"/>
            </w:tcBorders>
            <w:shd w:val="clear" w:color="auto" w:fill="auto"/>
            <w:noWrap/>
            <w:vAlign w:val="center"/>
            <w:hideMark/>
          </w:tcPr>
          <w:p w14:paraId="10AC42A2" w14:textId="77777777" w:rsidR="001E4B2F" w:rsidRPr="001E4B2F" w:rsidRDefault="001E4B2F" w:rsidP="001E4B2F">
            <w:pPr>
              <w:ind w:firstLine="0"/>
              <w:jc w:val="left"/>
              <w:rPr>
                <w:rFonts w:eastAsia="Times New Roman" w:cs="Times New Roman"/>
                <w:color w:val="000000"/>
                <w:sz w:val="20"/>
                <w:szCs w:val="20"/>
                <w:lang w:eastAsia="ru-RU"/>
              </w:rPr>
            </w:pPr>
            <w:r w:rsidRPr="001E4B2F">
              <w:rPr>
                <w:rFonts w:eastAsia="Times New Roman" w:cs="Times New Roman"/>
                <w:color w:val="000000"/>
                <w:sz w:val="20"/>
                <w:szCs w:val="20"/>
                <w:lang w:eastAsia="ru-RU"/>
              </w:rPr>
              <w:t>Метод УПКС (минимальное)</w:t>
            </w:r>
          </w:p>
        </w:tc>
      </w:tr>
      <w:tr w:rsidR="001E4B2F" w:rsidRPr="001E4B2F" w14:paraId="0AFA109E" w14:textId="77777777" w:rsidTr="001E4B2F">
        <w:trPr>
          <w:trHeight w:val="255"/>
        </w:trPr>
        <w:tc>
          <w:tcPr>
            <w:tcW w:w="240" w:type="pct"/>
            <w:vMerge/>
            <w:tcBorders>
              <w:top w:val="nil"/>
              <w:left w:val="single" w:sz="4" w:space="0" w:color="000000"/>
              <w:bottom w:val="single" w:sz="4" w:space="0" w:color="000000"/>
              <w:right w:val="single" w:sz="4" w:space="0" w:color="000000"/>
            </w:tcBorders>
            <w:vAlign w:val="center"/>
            <w:hideMark/>
          </w:tcPr>
          <w:p w14:paraId="78899612" w14:textId="77777777" w:rsidR="001E4B2F" w:rsidRPr="001E4B2F" w:rsidRDefault="001E4B2F" w:rsidP="001E4B2F">
            <w:pPr>
              <w:ind w:firstLine="0"/>
              <w:jc w:val="left"/>
              <w:rPr>
                <w:rFonts w:eastAsia="Times New Roman" w:cs="Times New Roman"/>
                <w:color w:val="000000"/>
                <w:sz w:val="20"/>
                <w:szCs w:val="20"/>
                <w:lang w:eastAsia="ru-RU"/>
              </w:rPr>
            </w:pPr>
          </w:p>
        </w:tc>
        <w:tc>
          <w:tcPr>
            <w:tcW w:w="788" w:type="pct"/>
            <w:vMerge/>
            <w:tcBorders>
              <w:top w:val="nil"/>
              <w:left w:val="single" w:sz="4" w:space="0" w:color="000000"/>
              <w:bottom w:val="single" w:sz="4" w:space="0" w:color="000000"/>
              <w:right w:val="single" w:sz="4" w:space="0" w:color="000000"/>
            </w:tcBorders>
            <w:vAlign w:val="center"/>
            <w:hideMark/>
          </w:tcPr>
          <w:p w14:paraId="514F2221" w14:textId="77777777" w:rsidR="001E4B2F" w:rsidRPr="001E4B2F" w:rsidRDefault="001E4B2F" w:rsidP="001E4B2F">
            <w:pPr>
              <w:ind w:firstLine="0"/>
              <w:jc w:val="left"/>
              <w:rPr>
                <w:rFonts w:eastAsia="Times New Roman" w:cs="Times New Roman"/>
                <w:i/>
                <w:iCs/>
                <w:color w:val="000000"/>
                <w:sz w:val="20"/>
                <w:szCs w:val="20"/>
                <w:lang w:eastAsia="ru-RU"/>
              </w:rPr>
            </w:pPr>
          </w:p>
        </w:tc>
        <w:tc>
          <w:tcPr>
            <w:tcW w:w="370" w:type="pct"/>
            <w:vMerge/>
            <w:tcBorders>
              <w:top w:val="nil"/>
              <w:left w:val="single" w:sz="4" w:space="0" w:color="000000"/>
              <w:bottom w:val="single" w:sz="4" w:space="0" w:color="000000"/>
              <w:right w:val="single" w:sz="4" w:space="0" w:color="000000"/>
            </w:tcBorders>
            <w:vAlign w:val="center"/>
            <w:hideMark/>
          </w:tcPr>
          <w:p w14:paraId="63DD33E9" w14:textId="77777777" w:rsidR="001E4B2F" w:rsidRPr="001E4B2F" w:rsidRDefault="001E4B2F" w:rsidP="001E4B2F">
            <w:pPr>
              <w:ind w:firstLine="0"/>
              <w:jc w:val="left"/>
              <w:rPr>
                <w:rFonts w:eastAsia="Times New Roman" w:cs="Times New Roman"/>
                <w:color w:val="000000"/>
                <w:sz w:val="20"/>
                <w:szCs w:val="20"/>
                <w:lang w:eastAsia="ru-RU"/>
              </w:rPr>
            </w:pPr>
          </w:p>
        </w:tc>
        <w:tc>
          <w:tcPr>
            <w:tcW w:w="559" w:type="pct"/>
            <w:vMerge/>
            <w:tcBorders>
              <w:top w:val="nil"/>
              <w:left w:val="single" w:sz="4" w:space="0" w:color="000000"/>
              <w:bottom w:val="single" w:sz="4" w:space="0" w:color="000000"/>
              <w:right w:val="single" w:sz="4" w:space="0" w:color="000000"/>
            </w:tcBorders>
            <w:vAlign w:val="center"/>
            <w:hideMark/>
          </w:tcPr>
          <w:p w14:paraId="381D6F60" w14:textId="77777777" w:rsidR="001E4B2F" w:rsidRPr="001E4B2F" w:rsidRDefault="001E4B2F" w:rsidP="001E4B2F">
            <w:pPr>
              <w:ind w:firstLine="0"/>
              <w:jc w:val="left"/>
              <w:rPr>
                <w:rFonts w:eastAsia="Times New Roman" w:cs="Times New Roman"/>
                <w:color w:val="000000"/>
                <w:sz w:val="20"/>
                <w:szCs w:val="20"/>
                <w:lang w:eastAsia="ru-RU"/>
              </w:rPr>
            </w:pPr>
          </w:p>
        </w:tc>
        <w:tc>
          <w:tcPr>
            <w:tcW w:w="528" w:type="pct"/>
            <w:tcBorders>
              <w:top w:val="nil"/>
              <w:left w:val="nil"/>
              <w:bottom w:val="single" w:sz="4" w:space="0" w:color="000000"/>
              <w:right w:val="single" w:sz="4" w:space="0" w:color="000000"/>
            </w:tcBorders>
            <w:shd w:val="clear" w:color="auto" w:fill="auto"/>
            <w:vAlign w:val="center"/>
            <w:hideMark/>
          </w:tcPr>
          <w:p w14:paraId="5C4687C5" w14:textId="77777777" w:rsidR="001E4B2F" w:rsidRPr="001E4B2F" w:rsidRDefault="001E4B2F" w:rsidP="001E4B2F">
            <w:pPr>
              <w:ind w:firstLine="0"/>
              <w:jc w:val="center"/>
              <w:rPr>
                <w:rFonts w:eastAsia="Times New Roman" w:cs="Times New Roman"/>
                <w:color w:val="000000"/>
                <w:sz w:val="20"/>
                <w:szCs w:val="20"/>
                <w:lang w:eastAsia="ru-RU"/>
              </w:rPr>
            </w:pPr>
            <w:r w:rsidRPr="001E4B2F">
              <w:rPr>
                <w:rFonts w:eastAsia="Times New Roman" w:cs="Times New Roman"/>
                <w:color w:val="000000"/>
                <w:sz w:val="20"/>
                <w:szCs w:val="20"/>
                <w:lang w:eastAsia="ru-RU"/>
              </w:rPr>
              <w:t>СНП</w:t>
            </w:r>
          </w:p>
        </w:tc>
        <w:tc>
          <w:tcPr>
            <w:tcW w:w="611" w:type="pct"/>
            <w:tcBorders>
              <w:top w:val="nil"/>
              <w:left w:val="nil"/>
              <w:bottom w:val="single" w:sz="4" w:space="0" w:color="000000"/>
              <w:right w:val="single" w:sz="4" w:space="0" w:color="000000"/>
            </w:tcBorders>
            <w:shd w:val="clear" w:color="auto" w:fill="auto"/>
            <w:vAlign w:val="center"/>
            <w:hideMark/>
          </w:tcPr>
          <w:p w14:paraId="18D37EDD" w14:textId="77777777" w:rsidR="001E4B2F" w:rsidRPr="001E4B2F" w:rsidRDefault="001E4B2F" w:rsidP="001E4B2F">
            <w:pPr>
              <w:ind w:firstLine="0"/>
              <w:jc w:val="center"/>
              <w:rPr>
                <w:rFonts w:eastAsia="Times New Roman" w:cs="Times New Roman"/>
                <w:color w:val="000000"/>
                <w:sz w:val="20"/>
                <w:szCs w:val="20"/>
                <w:lang w:eastAsia="ru-RU"/>
              </w:rPr>
            </w:pPr>
            <w:r w:rsidRPr="001E4B2F">
              <w:rPr>
                <w:rFonts w:eastAsia="Times New Roman" w:cs="Times New Roman"/>
                <w:color w:val="000000"/>
                <w:sz w:val="20"/>
                <w:szCs w:val="20"/>
                <w:lang w:eastAsia="ru-RU"/>
              </w:rPr>
              <w:t> </w:t>
            </w:r>
          </w:p>
        </w:tc>
        <w:tc>
          <w:tcPr>
            <w:tcW w:w="347" w:type="pct"/>
            <w:tcBorders>
              <w:top w:val="nil"/>
              <w:left w:val="nil"/>
              <w:bottom w:val="single" w:sz="4" w:space="0" w:color="000000"/>
              <w:right w:val="single" w:sz="4" w:space="0" w:color="000000"/>
            </w:tcBorders>
            <w:shd w:val="clear" w:color="auto" w:fill="auto"/>
            <w:vAlign w:val="center"/>
            <w:hideMark/>
          </w:tcPr>
          <w:p w14:paraId="04B6A627" w14:textId="77777777" w:rsidR="001E4B2F" w:rsidRPr="001E4B2F" w:rsidRDefault="001E4B2F" w:rsidP="001E4B2F">
            <w:pPr>
              <w:ind w:firstLine="0"/>
              <w:jc w:val="center"/>
              <w:rPr>
                <w:rFonts w:eastAsia="Times New Roman" w:cs="Times New Roman"/>
                <w:color w:val="000000"/>
                <w:sz w:val="20"/>
                <w:szCs w:val="20"/>
                <w:lang w:eastAsia="ru-RU"/>
              </w:rPr>
            </w:pPr>
            <w:r w:rsidRPr="001E4B2F">
              <w:rPr>
                <w:rFonts w:eastAsia="Times New Roman" w:cs="Times New Roman"/>
                <w:color w:val="000000"/>
                <w:sz w:val="20"/>
                <w:szCs w:val="20"/>
                <w:lang w:eastAsia="ru-RU"/>
              </w:rPr>
              <w:t>3.5.</w:t>
            </w:r>
          </w:p>
        </w:tc>
        <w:tc>
          <w:tcPr>
            <w:tcW w:w="471" w:type="pct"/>
            <w:tcBorders>
              <w:top w:val="nil"/>
              <w:left w:val="nil"/>
              <w:bottom w:val="single" w:sz="4" w:space="0" w:color="000000"/>
              <w:right w:val="single" w:sz="4" w:space="0" w:color="000000"/>
            </w:tcBorders>
            <w:shd w:val="clear" w:color="auto" w:fill="auto"/>
            <w:noWrap/>
            <w:vAlign w:val="center"/>
            <w:hideMark/>
          </w:tcPr>
          <w:p w14:paraId="6E10CCAE" w14:textId="77777777" w:rsidR="001E4B2F" w:rsidRPr="001E4B2F" w:rsidRDefault="001E4B2F" w:rsidP="001E4B2F">
            <w:pPr>
              <w:ind w:firstLine="0"/>
              <w:jc w:val="left"/>
              <w:rPr>
                <w:rFonts w:eastAsia="Times New Roman" w:cs="Times New Roman"/>
                <w:color w:val="000000"/>
                <w:sz w:val="20"/>
                <w:szCs w:val="20"/>
                <w:lang w:eastAsia="ru-RU"/>
              </w:rPr>
            </w:pPr>
            <w:r w:rsidRPr="001E4B2F">
              <w:rPr>
                <w:rFonts w:eastAsia="Times New Roman" w:cs="Times New Roman"/>
                <w:color w:val="000000"/>
                <w:sz w:val="20"/>
                <w:szCs w:val="20"/>
                <w:lang w:eastAsia="ru-RU"/>
              </w:rPr>
              <w:t>Сравнительный</w:t>
            </w:r>
          </w:p>
        </w:tc>
        <w:tc>
          <w:tcPr>
            <w:tcW w:w="378" w:type="pct"/>
            <w:tcBorders>
              <w:top w:val="nil"/>
              <w:left w:val="nil"/>
              <w:bottom w:val="single" w:sz="4" w:space="0" w:color="000000"/>
              <w:right w:val="single" w:sz="4" w:space="0" w:color="000000"/>
            </w:tcBorders>
            <w:shd w:val="clear" w:color="auto" w:fill="auto"/>
            <w:noWrap/>
            <w:vAlign w:val="bottom"/>
            <w:hideMark/>
          </w:tcPr>
          <w:p w14:paraId="158916FD" w14:textId="77777777" w:rsidR="001E4B2F" w:rsidRPr="001E4B2F" w:rsidRDefault="001E4B2F" w:rsidP="001E4B2F">
            <w:pPr>
              <w:ind w:firstLine="0"/>
              <w:jc w:val="left"/>
              <w:rPr>
                <w:rFonts w:eastAsia="Times New Roman" w:cs="Times New Roman"/>
                <w:color w:val="000000"/>
                <w:sz w:val="20"/>
                <w:szCs w:val="20"/>
                <w:lang w:eastAsia="ru-RU"/>
              </w:rPr>
            </w:pPr>
            <w:r w:rsidRPr="001E4B2F">
              <w:rPr>
                <w:rFonts w:eastAsia="Times New Roman" w:cs="Times New Roman"/>
                <w:color w:val="000000"/>
                <w:sz w:val="20"/>
                <w:szCs w:val="20"/>
                <w:lang w:eastAsia="ru-RU"/>
              </w:rPr>
              <w:t>Массовый</w:t>
            </w:r>
          </w:p>
        </w:tc>
        <w:tc>
          <w:tcPr>
            <w:tcW w:w="708" w:type="pct"/>
            <w:tcBorders>
              <w:top w:val="nil"/>
              <w:left w:val="nil"/>
              <w:bottom w:val="single" w:sz="4" w:space="0" w:color="000000"/>
              <w:right w:val="single" w:sz="4" w:space="0" w:color="000000"/>
            </w:tcBorders>
            <w:shd w:val="clear" w:color="auto" w:fill="auto"/>
            <w:noWrap/>
            <w:vAlign w:val="center"/>
            <w:hideMark/>
          </w:tcPr>
          <w:p w14:paraId="4743B16A" w14:textId="77777777" w:rsidR="001E4B2F" w:rsidRPr="001E4B2F" w:rsidRDefault="001E4B2F" w:rsidP="001E4B2F">
            <w:pPr>
              <w:ind w:firstLine="0"/>
              <w:jc w:val="left"/>
              <w:rPr>
                <w:rFonts w:eastAsia="Times New Roman" w:cs="Times New Roman"/>
                <w:color w:val="000000"/>
                <w:sz w:val="20"/>
                <w:szCs w:val="20"/>
                <w:lang w:eastAsia="ru-RU"/>
              </w:rPr>
            </w:pPr>
            <w:r w:rsidRPr="001E4B2F">
              <w:rPr>
                <w:rFonts w:eastAsia="Times New Roman" w:cs="Times New Roman"/>
                <w:color w:val="000000"/>
                <w:sz w:val="20"/>
                <w:szCs w:val="20"/>
                <w:lang w:eastAsia="ru-RU"/>
              </w:rPr>
              <w:t>Метод УПКС (минимальное)</w:t>
            </w:r>
          </w:p>
        </w:tc>
      </w:tr>
      <w:tr w:rsidR="001E4B2F" w:rsidRPr="001E4B2F" w14:paraId="299047FE" w14:textId="77777777" w:rsidTr="001E4B2F">
        <w:trPr>
          <w:trHeight w:val="510"/>
        </w:trPr>
        <w:tc>
          <w:tcPr>
            <w:tcW w:w="240" w:type="pct"/>
            <w:vMerge/>
            <w:tcBorders>
              <w:top w:val="nil"/>
              <w:left w:val="single" w:sz="4" w:space="0" w:color="000000"/>
              <w:bottom w:val="single" w:sz="4" w:space="0" w:color="000000"/>
              <w:right w:val="single" w:sz="4" w:space="0" w:color="000000"/>
            </w:tcBorders>
            <w:vAlign w:val="center"/>
            <w:hideMark/>
          </w:tcPr>
          <w:p w14:paraId="365C4076" w14:textId="77777777" w:rsidR="001E4B2F" w:rsidRPr="001E4B2F" w:rsidRDefault="001E4B2F" w:rsidP="001E4B2F">
            <w:pPr>
              <w:ind w:firstLine="0"/>
              <w:jc w:val="left"/>
              <w:rPr>
                <w:rFonts w:eastAsia="Times New Roman" w:cs="Times New Roman"/>
                <w:color w:val="000000"/>
                <w:sz w:val="20"/>
                <w:szCs w:val="20"/>
                <w:lang w:eastAsia="ru-RU"/>
              </w:rPr>
            </w:pPr>
          </w:p>
        </w:tc>
        <w:tc>
          <w:tcPr>
            <w:tcW w:w="788" w:type="pct"/>
            <w:vMerge/>
            <w:tcBorders>
              <w:top w:val="nil"/>
              <w:left w:val="single" w:sz="4" w:space="0" w:color="000000"/>
              <w:bottom w:val="single" w:sz="4" w:space="0" w:color="000000"/>
              <w:right w:val="single" w:sz="4" w:space="0" w:color="000000"/>
            </w:tcBorders>
            <w:vAlign w:val="center"/>
            <w:hideMark/>
          </w:tcPr>
          <w:p w14:paraId="0C21B827" w14:textId="77777777" w:rsidR="001E4B2F" w:rsidRPr="001E4B2F" w:rsidRDefault="001E4B2F" w:rsidP="001E4B2F">
            <w:pPr>
              <w:ind w:firstLine="0"/>
              <w:jc w:val="left"/>
              <w:rPr>
                <w:rFonts w:eastAsia="Times New Roman" w:cs="Times New Roman"/>
                <w:i/>
                <w:iCs/>
                <w:color w:val="000000"/>
                <w:sz w:val="20"/>
                <w:szCs w:val="20"/>
                <w:lang w:eastAsia="ru-RU"/>
              </w:rPr>
            </w:pPr>
          </w:p>
        </w:tc>
        <w:tc>
          <w:tcPr>
            <w:tcW w:w="370" w:type="pct"/>
            <w:vMerge/>
            <w:tcBorders>
              <w:top w:val="nil"/>
              <w:left w:val="single" w:sz="4" w:space="0" w:color="000000"/>
              <w:bottom w:val="single" w:sz="4" w:space="0" w:color="000000"/>
              <w:right w:val="single" w:sz="4" w:space="0" w:color="000000"/>
            </w:tcBorders>
            <w:vAlign w:val="center"/>
            <w:hideMark/>
          </w:tcPr>
          <w:p w14:paraId="04A25603" w14:textId="77777777" w:rsidR="001E4B2F" w:rsidRPr="001E4B2F" w:rsidRDefault="001E4B2F" w:rsidP="001E4B2F">
            <w:pPr>
              <w:ind w:firstLine="0"/>
              <w:jc w:val="left"/>
              <w:rPr>
                <w:rFonts w:eastAsia="Times New Roman" w:cs="Times New Roman"/>
                <w:color w:val="000000"/>
                <w:sz w:val="20"/>
                <w:szCs w:val="20"/>
                <w:lang w:eastAsia="ru-RU"/>
              </w:rPr>
            </w:pPr>
          </w:p>
        </w:tc>
        <w:tc>
          <w:tcPr>
            <w:tcW w:w="559" w:type="pct"/>
            <w:vMerge/>
            <w:tcBorders>
              <w:top w:val="nil"/>
              <w:left w:val="single" w:sz="4" w:space="0" w:color="000000"/>
              <w:bottom w:val="single" w:sz="4" w:space="0" w:color="000000"/>
              <w:right w:val="single" w:sz="4" w:space="0" w:color="000000"/>
            </w:tcBorders>
            <w:vAlign w:val="center"/>
            <w:hideMark/>
          </w:tcPr>
          <w:p w14:paraId="62CA5A26" w14:textId="77777777" w:rsidR="001E4B2F" w:rsidRPr="001E4B2F" w:rsidRDefault="001E4B2F" w:rsidP="001E4B2F">
            <w:pPr>
              <w:ind w:firstLine="0"/>
              <w:jc w:val="left"/>
              <w:rPr>
                <w:rFonts w:eastAsia="Times New Roman" w:cs="Times New Roman"/>
                <w:color w:val="000000"/>
                <w:sz w:val="20"/>
                <w:szCs w:val="20"/>
                <w:lang w:eastAsia="ru-RU"/>
              </w:rPr>
            </w:pPr>
          </w:p>
        </w:tc>
        <w:tc>
          <w:tcPr>
            <w:tcW w:w="528" w:type="pct"/>
            <w:vMerge w:val="restart"/>
            <w:tcBorders>
              <w:top w:val="nil"/>
              <w:left w:val="single" w:sz="4" w:space="0" w:color="000000"/>
              <w:bottom w:val="single" w:sz="4" w:space="0" w:color="000000"/>
              <w:right w:val="single" w:sz="4" w:space="0" w:color="000000"/>
            </w:tcBorders>
            <w:shd w:val="clear" w:color="auto" w:fill="auto"/>
            <w:vAlign w:val="center"/>
            <w:hideMark/>
          </w:tcPr>
          <w:p w14:paraId="07F15254" w14:textId="77777777" w:rsidR="001E4B2F" w:rsidRPr="001E4B2F" w:rsidRDefault="001E4B2F" w:rsidP="001E4B2F">
            <w:pPr>
              <w:ind w:firstLine="0"/>
              <w:jc w:val="center"/>
              <w:rPr>
                <w:rFonts w:eastAsia="Times New Roman" w:cs="Times New Roman"/>
                <w:color w:val="000000"/>
                <w:sz w:val="20"/>
                <w:szCs w:val="20"/>
                <w:lang w:eastAsia="ru-RU"/>
              </w:rPr>
            </w:pPr>
            <w:r w:rsidRPr="001E4B2F">
              <w:rPr>
                <w:rFonts w:eastAsia="Times New Roman" w:cs="Times New Roman"/>
                <w:color w:val="000000"/>
                <w:sz w:val="20"/>
                <w:szCs w:val="20"/>
                <w:lang w:eastAsia="ru-RU"/>
              </w:rPr>
              <w:t>г.Якутск</w:t>
            </w:r>
          </w:p>
        </w:tc>
        <w:tc>
          <w:tcPr>
            <w:tcW w:w="611" w:type="pct"/>
            <w:tcBorders>
              <w:top w:val="nil"/>
              <w:left w:val="nil"/>
              <w:bottom w:val="single" w:sz="4" w:space="0" w:color="000000"/>
              <w:right w:val="single" w:sz="4" w:space="0" w:color="000000"/>
            </w:tcBorders>
            <w:shd w:val="clear" w:color="auto" w:fill="auto"/>
            <w:vAlign w:val="center"/>
            <w:hideMark/>
          </w:tcPr>
          <w:p w14:paraId="4FF010EB" w14:textId="77777777" w:rsidR="001E4B2F" w:rsidRPr="001E4B2F" w:rsidRDefault="001E4B2F" w:rsidP="001E4B2F">
            <w:pPr>
              <w:ind w:firstLine="0"/>
              <w:jc w:val="center"/>
              <w:rPr>
                <w:rFonts w:eastAsia="Times New Roman" w:cs="Times New Roman"/>
                <w:color w:val="000000"/>
                <w:sz w:val="20"/>
                <w:szCs w:val="20"/>
                <w:lang w:eastAsia="ru-RU"/>
              </w:rPr>
            </w:pPr>
            <w:r w:rsidRPr="001E4B2F">
              <w:rPr>
                <w:rFonts w:eastAsia="Times New Roman" w:cs="Times New Roman"/>
                <w:color w:val="000000"/>
                <w:sz w:val="20"/>
                <w:szCs w:val="20"/>
                <w:lang w:eastAsia="ru-RU"/>
              </w:rPr>
              <w:t>Объекты с полными характеристиками</w:t>
            </w:r>
          </w:p>
        </w:tc>
        <w:tc>
          <w:tcPr>
            <w:tcW w:w="347" w:type="pct"/>
            <w:tcBorders>
              <w:top w:val="nil"/>
              <w:left w:val="nil"/>
              <w:bottom w:val="single" w:sz="4" w:space="0" w:color="000000"/>
              <w:right w:val="single" w:sz="4" w:space="0" w:color="000000"/>
            </w:tcBorders>
            <w:shd w:val="clear" w:color="auto" w:fill="auto"/>
            <w:vAlign w:val="center"/>
            <w:hideMark/>
          </w:tcPr>
          <w:p w14:paraId="47C5EE3F" w14:textId="77777777" w:rsidR="001E4B2F" w:rsidRPr="001E4B2F" w:rsidRDefault="001E4B2F" w:rsidP="001E4B2F">
            <w:pPr>
              <w:ind w:firstLine="0"/>
              <w:jc w:val="center"/>
              <w:rPr>
                <w:rFonts w:eastAsia="Times New Roman" w:cs="Times New Roman"/>
                <w:color w:val="000000"/>
                <w:sz w:val="20"/>
                <w:szCs w:val="20"/>
                <w:lang w:eastAsia="ru-RU"/>
              </w:rPr>
            </w:pPr>
            <w:r w:rsidRPr="001E4B2F">
              <w:rPr>
                <w:rFonts w:eastAsia="Times New Roman" w:cs="Times New Roman"/>
                <w:color w:val="000000"/>
                <w:sz w:val="20"/>
                <w:szCs w:val="20"/>
                <w:lang w:eastAsia="ru-RU"/>
              </w:rPr>
              <w:t>3.6.</w:t>
            </w:r>
          </w:p>
        </w:tc>
        <w:tc>
          <w:tcPr>
            <w:tcW w:w="471" w:type="pct"/>
            <w:tcBorders>
              <w:top w:val="nil"/>
              <w:left w:val="nil"/>
              <w:bottom w:val="single" w:sz="4" w:space="0" w:color="000000"/>
              <w:right w:val="single" w:sz="4" w:space="0" w:color="000000"/>
            </w:tcBorders>
            <w:shd w:val="clear" w:color="auto" w:fill="auto"/>
            <w:noWrap/>
            <w:vAlign w:val="bottom"/>
            <w:hideMark/>
          </w:tcPr>
          <w:p w14:paraId="0F51CFCA" w14:textId="77777777" w:rsidR="001E4B2F" w:rsidRPr="001E4B2F" w:rsidRDefault="001E4B2F" w:rsidP="001E4B2F">
            <w:pPr>
              <w:ind w:firstLine="0"/>
              <w:jc w:val="left"/>
              <w:rPr>
                <w:rFonts w:eastAsia="Times New Roman" w:cs="Times New Roman"/>
                <w:color w:val="000000"/>
                <w:sz w:val="20"/>
                <w:szCs w:val="20"/>
                <w:lang w:eastAsia="ru-RU"/>
              </w:rPr>
            </w:pPr>
            <w:r w:rsidRPr="001E4B2F">
              <w:rPr>
                <w:rFonts w:eastAsia="Times New Roman" w:cs="Times New Roman"/>
                <w:color w:val="000000"/>
                <w:sz w:val="20"/>
                <w:szCs w:val="20"/>
                <w:lang w:eastAsia="ru-RU"/>
              </w:rPr>
              <w:t>Сравнительный</w:t>
            </w:r>
          </w:p>
        </w:tc>
        <w:tc>
          <w:tcPr>
            <w:tcW w:w="378" w:type="pct"/>
            <w:tcBorders>
              <w:top w:val="nil"/>
              <w:left w:val="nil"/>
              <w:bottom w:val="single" w:sz="4" w:space="0" w:color="000000"/>
              <w:right w:val="single" w:sz="4" w:space="0" w:color="000000"/>
            </w:tcBorders>
            <w:shd w:val="clear" w:color="auto" w:fill="auto"/>
            <w:noWrap/>
            <w:vAlign w:val="bottom"/>
            <w:hideMark/>
          </w:tcPr>
          <w:p w14:paraId="509D373F" w14:textId="77777777" w:rsidR="001E4B2F" w:rsidRPr="001E4B2F" w:rsidRDefault="001E4B2F" w:rsidP="001E4B2F">
            <w:pPr>
              <w:ind w:firstLine="0"/>
              <w:jc w:val="left"/>
              <w:rPr>
                <w:rFonts w:eastAsia="Times New Roman" w:cs="Times New Roman"/>
                <w:color w:val="000000"/>
                <w:sz w:val="20"/>
                <w:szCs w:val="20"/>
                <w:lang w:eastAsia="ru-RU"/>
              </w:rPr>
            </w:pPr>
            <w:r w:rsidRPr="001E4B2F">
              <w:rPr>
                <w:rFonts w:eastAsia="Times New Roman" w:cs="Times New Roman"/>
                <w:color w:val="000000"/>
                <w:sz w:val="20"/>
                <w:szCs w:val="20"/>
                <w:lang w:eastAsia="ru-RU"/>
              </w:rPr>
              <w:t>Массовый</w:t>
            </w:r>
          </w:p>
        </w:tc>
        <w:tc>
          <w:tcPr>
            <w:tcW w:w="708" w:type="pct"/>
            <w:tcBorders>
              <w:top w:val="nil"/>
              <w:left w:val="nil"/>
              <w:bottom w:val="single" w:sz="4" w:space="0" w:color="000000"/>
              <w:right w:val="single" w:sz="4" w:space="0" w:color="000000"/>
            </w:tcBorders>
            <w:shd w:val="clear" w:color="auto" w:fill="auto"/>
            <w:noWrap/>
            <w:vAlign w:val="bottom"/>
            <w:hideMark/>
          </w:tcPr>
          <w:p w14:paraId="3A5D54F0" w14:textId="77777777" w:rsidR="001E4B2F" w:rsidRPr="001E4B2F" w:rsidRDefault="001E4B2F" w:rsidP="001E4B2F">
            <w:pPr>
              <w:ind w:firstLine="0"/>
              <w:jc w:val="left"/>
              <w:rPr>
                <w:rFonts w:eastAsia="Times New Roman" w:cs="Times New Roman"/>
                <w:color w:val="000000"/>
                <w:sz w:val="20"/>
                <w:szCs w:val="20"/>
                <w:lang w:eastAsia="ru-RU"/>
              </w:rPr>
            </w:pPr>
            <w:r w:rsidRPr="001E4B2F">
              <w:rPr>
                <w:rFonts w:eastAsia="Times New Roman" w:cs="Times New Roman"/>
                <w:color w:val="000000"/>
                <w:sz w:val="20"/>
                <w:szCs w:val="20"/>
                <w:lang w:eastAsia="ru-RU"/>
              </w:rPr>
              <w:t>Метод статистического (регрессионного) моделирования</w:t>
            </w:r>
          </w:p>
        </w:tc>
      </w:tr>
      <w:tr w:rsidR="001E4B2F" w:rsidRPr="001E4B2F" w14:paraId="6AE1D70C" w14:textId="77777777" w:rsidTr="001E4B2F">
        <w:trPr>
          <w:trHeight w:val="510"/>
        </w:trPr>
        <w:tc>
          <w:tcPr>
            <w:tcW w:w="240" w:type="pct"/>
            <w:vMerge/>
            <w:tcBorders>
              <w:top w:val="nil"/>
              <w:left w:val="single" w:sz="4" w:space="0" w:color="000000"/>
              <w:bottom w:val="single" w:sz="4" w:space="0" w:color="000000"/>
              <w:right w:val="single" w:sz="4" w:space="0" w:color="000000"/>
            </w:tcBorders>
            <w:vAlign w:val="center"/>
            <w:hideMark/>
          </w:tcPr>
          <w:p w14:paraId="1F2695B8" w14:textId="77777777" w:rsidR="001E4B2F" w:rsidRPr="001E4B2F" w:rsidRDefault="001E4B2F" w:rsidP="001E4B2F">
            <w:pPr>
              <w:ind w:firstLine="0"/>
              <w:jc w:val="left"/>
              <w:rPr>
                <w:rFonts w:eastAsia="Times New Roman" w:cs="Times New Roman"/>
                <w:color w:val="000000"/>
                <w:sz w:val="20"/>
                <w:szCs w:val="20"/>
                <w:lang w:eastAsia="ru-RU"/>
              </w:rPr>
            </w:pPr>
          </w:p>
        </w:tc>
        <w:tc>
          <w:tcPr>
            <w:tcW w:w="788" w:type="pct"/>
            <w:vMerge/>
            <w:tcBorders>
              <w:top w:val="nil"/>
              <w:left w:val="single" w:sz="4" w:space="0" w:color="000000"/>
              <w:bottom w:val="single" w:sz="4" w:space="0" w:color="000000"/>
              <w:right w:val="single" w:sz="4" w:space="0" w:color="000000"/>
            </w:tcBorders>
            <w:vAlign w:val="center"/>
            <w:hideMark/>
          </w:tcPr>
          <w:p w14:paraId="264A8165" w14:textId="77777777" w:rsidR="001E4B2F" w:rsidRPr="001E4B2F" w:rsidRDefault="001E4B2F" w:rsidP="001E4B2F">
            <w:pPr>
              <w:ind w:firstLine="0"/>
              <w:jc w:val="left"/>
              <w:rPr>
                <w:rFonts w:eastAsia="Times New Roman" w:cs="Times New Roman"/>
                <w:i/>
                <w:iCs/>
                <w:color w:val="000000"/>
                <w:sz w:val="20"/>
                <w:szCs w:val="20"/>
                <w:lang w:eastAsia="ru-RU"/>
              </w:rPr>
            </w:pPr>
          </w:p>
        </w:tc>
        <w:tc>
          <w:tcPr>
            <w:tcW w:w="370" w:type="pct"/>
            <w:vMerge/>
            <w:tcBorders>
              <w:top w:val="nil"/>
              <w:left w:val="single" w:sz="4" w:space="0" w:color="000000"/>
              <w:bottom w:val="single" w:sz="4" w:space="0" w:color="000000"/>
              <w:right w:val="single" w:sz="4" w:space="0" w:color="000000"/>
            </w:tcBorders>
            <w:vAlign w:val="center"/>
            <w:hideMark/>
          </w:tcPr>
          <w:p w14:paraId="1352D975" w14:textId="77777777" w:rsidR="001E4B2F" w:rsidRPr="001E4B2F" w:rsidRDefault="001E4B2F" w:rsidP="001E4B2F">
            <w:pPr>
              <w:ind w:firstLine="0"/>
              <w:jc w:val="left"/>
              <w:rPr>
                <w:rFonts w:eastAsia="Times New Roman" w:cs="Times New Roman"/>
                <w:color w:val="000000"/>
                <w:sz w:val="20"/>
                <w:szCs w:val="20"/>
                <w:lang w:eastAsia="ru-RU"/>
              </w:rPr>
            </w:pPr>
          </w:p>
        </w:tc>
        <w:tc>
          <w:tcPr>
            <w:tcW w:w="559" w:type="pct"/>
            <w:vMerge/>
            <w:tcBorders>
              <w:top w:val="nil"/>
              <w:left w:val="single" w:sz="4" w:space="0" w:color="000000"/>
              <w:bottom w:val="single" w:sz="4" w:space="0" w:color="000000"/>
              <w:right w:val="single" w:sz="4" w:space="0" w:color="000000"/>
            </w:tcBorders>
            <w:vAlign w:val="center"/>
            <w:hideMark/>
          </w:tcPr>
          <w:p w14:paraId="6C6D2834" w14:textId="77777777" w:rsidR="001E4B2F" w:rsidRPr="001E4B2F" w:rsidRDefault="001E4B2F" w:rsidP="001E4B2F">
            <w:pPr>
              <w:ind w:firstLine="0"/>
              <w:jc w:val="left"/>
              <w:rPr>
                <w:rFonts w:eastAsia="Times New Roman" w:cs="Times New Roman"/>
                <w:color w:val="000000"/>
                <w:sz w:val="20"/>
                <w:szCs w:val="20"/>
                <w:lang w:eastAsia="ru-RU"/>
              </w:rPr>
            </w:pPr>
          </w:p>
        </w:tc>
        <w:tc>
          <w:tcPr>
            <w:tcW w:w="528" w:type="pct"/>
            <w:vMerge/>
            <w:tcBorders>
              <w:top w:val="nil"/>
              <w:left w:val="single" w:sz="4" w:space="0" w:color="000000"/>
              <w:bottom w:val="single" w:sz="4" w:space="0" w:color="000000"/>
              <w:right w:val="single" w:sz="4" w:space="0" w:color="000000"/>
            </w:tcBorders>
            <w:vAlign w:val="center"/>
            <w:hideMark/>
          </w:tcPr>
          <w:p w14:paraId="32AC56C4" w14:textId="77777777" w:rsidR="001E4B2F" w:rsidRPr="001E4B2F" w:rsidRDefault="001E4B2F" w:rsidP="001E4B2F">
            <w:pPr>
              <w:ind w:firstLine="0"/>
              <w:jc w:val="left"/>
              <w:rPr>
                <w:rFonts w:eastAsia="Times New Roman" w:cs="Times New Roman"/>
                <w:color w:val="000000"/>
                <w:sz w:val="20"/>
                <w:szCs w:val="20"/>
                <w:lang w:eastAsia="ru-RU"/>
              </w:rPr>
            </w:pPr>
          </w:p>
        </w:tc>
        <w:tc>
          <w:tcPr>
            <w:tcW w:w="611" w:type="pct"/>
            <w:tcBorders>
              <w:top w:val="nil"/>
              <w:left w:val="nil"/>
              <w:bottom w:val="single" w:sz="4" w:space="0" w:color="000000"/>
              <w:right w:val="single" w:sz="4" w:space="0" w:color="000000"/>
            </w:tcBorders>
            <w:shd w:val="clear" w:color="auto" w:fill="auto"/>
            <w:vAlign w:val="center"/>
            <w:hideMark/>
          </w:tcPr>
          <w:p w14:paraId="18896B0E" w14:textId="77777777" w:rsidR="001E4B2F" w:rsidRPr="001E4B2F" w:rsidRDefault="001E4B2F" w:rsidP="001E4B2F">
            <w:pPr>
              <w:ind w:firstLine="0"/>
              <w:jc w:val="center"/>
              <w:rPr>
                <w:rFonts w:eastAsia="Times New Roman" w:cs="Times New Roman"/>
                <w:color w:val="000000"/>
                <w:sz w:val="20"/>
                <w:szCs w:val="20"/>
                <w:lang w:eastAsia="ru-RU"/>
              </w:rPr>
            </w:pPr>
            <w:r w:rsidRPr="001E4B2F">
              <w:rPr>
                <w:rFonts w:eastAsia="Times New Roman" w:cs="Times New Roman"/>
                <w:color w:val="000000"/>
                <w:sz w:val="20"/>
                <w:szCs w:val="20"/>
                <w:lang w:eastAsia="ru-RU"/>
              </w:rPr>
              <w:t>Объекты с неполными харкетристиками</w:t>
            </w:r>
          </w:p>
        </w:tc>
        <w:tc>
          <w:tcPr>
            <w:tcW w:w="347" w:type="pct"/>
            <w:tcBorders>
              <w:top w:val="nil"/>
              <w:left w:val="nil"/>
              <w:bottom w:val="single" w:sz="4" w:space="0" w:color="000000"/>
              <w:right w:val="single" w:sz="4" w:space="0" w:color="000000"/>
            </w:tcBorders>
            <w:shd w:val="clear" w:color="auto" w:fill="auto"/>
            <w:vAlign w:val="center"/>
            <w:hideMark/>
          </w:tcPr>
          <w:p w14:paraId="6ADCC75C" w14:textId="77777777" w:rsidR="001E4B2F" w:rsidRPr="001E4B2F" w:rsidRDefault="001E4B2F" w:rsidP="001E4B2F">
            <w:pPr>
              <w:ind w:firstLine="0"/>
              <w:jc w:val="center"/>
              <w:rPr>
                <w:rFonts w:eastAsia="Times New Roman" w:cs="Times New Roman"/>
                <w:color w:val="000000"/>
                <w:sz w:val="20"/>
                <w:szCs w:val="20"/>
                <w:lang w:eastAsia="ru-RU"/>
              </w:rPr>
            </w:pPr>
            <w:r w:rsidRPr="001E4B2F">
              <w:rPr>
                <w:rFonts w:eastAsia="Times New Roman" w:cs="Times New Roman"/>
                <w:color w:val="000000"/>
                <w:sz w:val="20"/>
                <w:szCs w:val="20"/>
                <w:lang w:eastAsia="ru-RU"/>
              </w:rPr>
              <w:t>3.7.</w:t>
            </w:r>
          </w:p>
        </w:tc>
        <w:tc>
          <w:tcPr>
            <w:tcW w:w="471" w:type="pct"/>
            <w:tcBorders>
              <w:top w:val="nil"/>
              <w:left w:val="nil"/>
              <w:bottom w:val="single" w:sz="4" w:space="0" w:color="000000"/>
              <w:right w:val="single" w:sz="4" w:space="0" w:color="000000"/>
            </w:tcBorders>
            <w:shd w:val="clear" w:color="auto" w:fill="auto"/>
            <w:noWrap/>
            <w:vAlign w:val="center"/>
            <w:hideMark/>
          </w:tcPr>
          <w:p w14:paraId="32D8F501" w14:textId="77777777" w:rsidR="001E4B2F" w:rsidRPr="001E4B2F" w:rsidRDefault="001E4B2F" w:rsidP="001E4B2F">
            <w:pPr>
              <w:ind w:firstLine="0"/>
              <w:jc w:val="left"/>
              <w:rPr>
                <w:rFonts w:eastAsia="Times New Roman" w:cs="Times New Roman"/>
                <w:color w:val="000000"/>
                <w:sz w:val="20"/>
                <w:szCs w:val="20"/>
                <w:lang w:eastAsia="ru-RU"/>
              </w:rPr>
            </w:pPr>
            <w:r w:rsidRPr="001E4B2F">
              <w:rPr>
                <w:rFonts w:eastAsia="Times New Roman" w:cs="Times New Roman"/>
                <w:color w:val="000000"/>
                <w:sz w:val="20"/>
                <w:szCs w:val="20"/>
                <w:lang w:eastAsia="ru-RU"/>
              </w:rPr>
              <w:t>Сравнительный</w:t>
            </w:r>
          </w:p>
        </w:tc>
        <w:tc>
          <w:tcPr>
            <w:tcW w:w="378" w:type="pct"/>
            <w:tcBorders>
              <w:top w:val="nil"/>
              <w:left w:val="nil"/>
              <w:bottom w:val="single" w:sz="4" w:space="0" w:color="000000"/>
              <w:right w:val="single" w:sz="4" w:space="0" w:color="000000"/>
            </w:tcBorders>
            <w:shd w:val="clear" w:color="auto" w:fill="auto"/>
            <w:noWrap/>
            <w:vAlign w:val="bottom"/>
            <w:hideMark/>
          </w:tcPr>
          <w:p w14:paraId="483C0672" w14:textId="77777777" w:rsidR="001E4B2F" w:rsidRPr="001E4B2F" w:rsidRDefault="001E4B2F" w:rsidP="001E4B2F">
            <w:pPr>
              <w:ind w:firstLine="0"/>
              <w:jc w:val="left"/>
              <w:rPr>
                <w:rFonts w:eastAsia="Times New Roman" w:cs="Times New Roman"/>
                <w:color w:val="000000"/>
                <w:sz w:val="20"/>
                <w:szCs w:val="20"/>
                <w:lang w:eastAsia="ru-RU"/>
              </w:rPr>
            </w:pPr>
            <w:r w:rsidRPr="001E4B2F">
              <w:rPr>
                <w:rFonts w:eastAsia="Times New Roman" w:cs="Times New Roman"/>
                <w:color w:val="000000"/>
                <w:sz w:val="20"/>
                <w:szCs w:val="20"/>
                <w:lang w:eastAsia="ru-RU"/>
              </w:rPr>
              <w:t>Массовый</w:t>
            </w:r>
          </w:p>
        </w:tc>
        <w:tc>
          <w:tcPr>
            <w:tcW w:w="708" w:type="pct"/>
            <w:tcBorders>
              <w:top w:val="nil"/>
              <w:left w:val="nil"/>
              <w:bottom w:val="single" w:sz="4" w:space="0" w:color="000000"/>
              <w:right w:val="single" w:sz="4" w:space="0" w:color="000000"/>
            </w:tcBorders>
            <w:shd w:val="clear" w:color="auto" w:fill="auto"/>
            <w:noWrap/>
            <w:vAlign w:val="center"/>
            <w:hideMark/>
          </w:tcPr>
          <w:p w14:paraId="41D03083" w14:textId="77777777" w:rsidR="001E4B2F" w:rsidRPr="001E4B2F" w:rsidRDefault="001E4B2F" w:rsidP="001E4B2F">
            <w:pPr>
              <w:ind w:firstLine="0"/>
              <w:jc w:val="left"/>
              <w:rPr>
                <w:rFonts w:eastAsia="Times New Roman" w:cs="Times New Roman"/>
                <w:color w:val="000000"/>
                <w:sz w:val="20"/>
                <w:szCs w:val="20"/>
                <w:lang w:eastAsia="ru-RU"/>
              </w:rPr>
            </w:pPr>
            <w:r w:rsidRPr="001E4B2F">
              <w:rPr>
                <w:rFonts w:eastAsia="Times New Roman" w:cs="Times New Roman"/>
                <w:color w:val="000000"/>
                <w:sz w:val="20"/>
                <w:szCs w:val="20"/>
                <w:lang w:eastAsia="ru-RU"/>
              </w:rPr>
              <w:t>Метод УПКС (минимальное)</w:t>
            </w:r>
          </w:p>
        </w:tc>
      </w:tr>
      <w:tr w:rsidR="001E4B2F" w:rsidRPr="001E4B2F" w14:paraId="59C90533" w14:textId="77777777" w:rsidTr="001E4B2F">
        <w:trPr>
          <w:trHeight w:val="510"/>
        </w:trPr>
        <w:tc>
          <w:tcPr>
            <w:tcW w:w="240" w:type="pct"/>
            <w:vMerge w:val="restart"/>
            <w:tcBorders>
              <w:top w:val="nil"/>
              <w:left w:val="single" w:sz="4" w:space="0" w:color="000000"/>
              <w:bottom w:val="single" w:sz="4" w:space="0" w:color="000000"/>
              <w:right w:val="single" w:sz="4" w:space="0" w:color="000000"/>
            </w:tcBorders>
            <w:shd w:val="clear" w:color="auto" w:fill="auto"/>
            <w:vAlign w:val="center"/>
            <w:hideMark/>
          </w:tcPr>
          <w:p w14:paraId="7503CFCE" w14:textId="77777777" w:rsidR="001E4B2F" w:rsidRPr="001E4B2F" w:rsidRDefault="001E4B2F" w:rsidP="001E4B2F">
            <w:pPr>
              <w:ind w:firstLine="0"/>
              <w:jc w:val="center"/>
              <w:rPr>
                <w:rFonts w:eastAsia="Times New Roman" w:cs="Times New Roman"/>
                <w:color w:val="000000"/>
                <w:sz w:val="20"/>
                <w:szCs w:val="20"/>
                <w:lang w:eastAsia="ru-RU"/>
              </w:rPr>
            </w:pPr>
            <w:r w:rsidRPr="001E4B2F">
              <w:rPr>
                <w:rFonts w:eastAsia="Times New Roman" w:cs="Times New Roman"/>
                <w:color w:val="000000"/>
                <w:sz w:val="20"/>
                <w:szCs w:val="20"/>
                <w:lang w:eastAsia="ru-RU"/>
              </w:rPr>
              <w:t>4</w:t>
            </w:r>
          </w:p>
        </w:tc>
        <w:tc>
          <w:tcPr>
            <w:tcW w:w="788" w:type="pct"/>
            <w:vMerge w:val="restart"/>
            <w:tcBorders>
              <w:top w:val="nil"/>
              <w:left w:val="single" w:sz="4" w:space="0" w:color="000000"/>
              <w:bottom w:val="single" w:sz="4" w:space="0" w:color="000000"/>
              <w:right w:val="single" w:sz="4" w:space="0" w:color="000000"/>
            </w:tcBorders>
            <w:shd w:val="clear" w:color="auto" w:fill="auto"/>
            <w:vAlign w:val="center"/>
            <w:hideMark/>
          </w:tcPr>
          <w:p w14:paraId="2E481A22" w14:textId="77777777" w:rsidR="001E4B2F" w:rsidRPr="001E4B2F" w:rsidRDefault="001E4B2F" w:rsidP="001E4B2F">
            <w:pPr>
              <w:ind w:firstLine="0"/>
              <w:jc w:val="center"/>
              <w:rPr>
                <w:rFonts w:eastAsia="Times New Roman" w:cs="Times New Roman"/>
                <w:color w:val="000000"/>
                <w:sz w:val="20"/>
                <w:szCs w:val="20"/>
                <w:lang w:eastAsia="ru-RU"/>
              </w:rPr>
            </w:pPr>
            <w:r w:rsidRPr="001E4B2F">
              <w:rPr>
                <w:rFonts w:eastAsia="Times New Roman" w:cs="Times New Roman"/>
                <w:color w:val="000000"/>
                <w:sz w:val="20"/>
                <w:szCs w:val="20"/>
                <w:lang w:eastAsia="ru-RU"/>
              </w:rPr>
              <w:t>Объекты коммерческого назначения, предназначенные для оказания услуг населению, включая многофункционального назначения</w:t>
            </w:r>
          </w:p>
        </w:tc>
        <w:tc>
          <w:tcPr>
            <w:tcW w:w="370"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14:paraId="1F1F4D6A" w14:textId="77777777" w:rsidR="001E4B2F" w:rsidRPr="001E4B2F" w:rsidRDefault="001E4B2F" w:rsidP="001E4B2F">
            <w:pPr>
              <w:ind w:firstLine="0"/>
              <w:jc w:val="center"/>
              <w:rPr>
                <w:rFonts w:eastAsia="Times New Roman" w:cs="Times New Roman"/>
                <w:color w:val="000000"/>
                <w:sz w:val="20"/>
                <w:szCs w:val="20"/>
                <w:lang w:eastAsia="ru-RU"/>
              </w:rPr>
            </w:pPr>
            <w:r w:rsidRPr="001E4B2F">
              <w:rPr>
                <w:rFonts w:eastAsia="Times New Roman" w:cs="Times New Roman"/>
                <w:color w:val="000000"/>
                <w:sz w:val="20"/>
                <w:szCs w:val="20"/>
                <w:lang w:eastAsia="ru-RU"/>
              </w:rPr>
              <w:t>401-413</w:t>
            </w:r>
          </w:p>
        </w:tc>
        <w:tc>
          <w:tcPr>
            <w:tcW w:w="559" w:type="pct"/>
            <w:tcBorders>
              <w:top w:val="nil"/>
              <w:left w:val="nil"/>
              <w:bottom w:val="single" w:sz="4" w:space="0" w:color="000000"/>
              <w:right w:val="single" w:sz="4" w:space="0" w:color="000000"/>
            </w:tcBorders>
            <w:shd w:val="clear" w:color="auto" w:fill="auto"/>
            <w:vAlign w:val="center"/>
            <w:hideMark/>
          </w:tcPr>
          <w:p w14:paraId="0EE9A4CA" w14:textId="77777777" w:rsidR="001E4B2F" w:rsidRPr="001E4B2F" w:rsidRDefault="001E4B2F" w:rsidP="001E4B2F">
            <w:pPr>
              <w:ind w:firstLine="0"/>
              <w:jc w:val="center"/>
              <w:rPr>
                <w:rFonts w:eastAsia="Times New Roman" w:cs="Times New Roman"/>
                <w:color w:val="000000"/>
                <w:sz w:val="20"/>
                <w:szCs w:val="20"/>
                <w:lang w:eastAsia="ru-RU"/>
              </w:rPr>
            </w:pPr>
            <w:r w:rsidRPr="001E4B2F">
              <w:rPr>
                <w:rFonts w:eastAsia="Times New Roman" w:cs="Times New Roman"/>
                <w:color w:val="000000"/>
                <w:sz w:val="20"/>
                <w:szCs w:val="20"/>
                <w:lang w:eastAsia="ru-RU"/>
              </w:rPr>
              <w:t>Здания, помещения</w:t>
            </w:r>
          </w:p>
        </w:tc>
        <w:tc>
          <w:tcPr>
            <w:tcW w:w="528" w:type="pct"/>
            <w:vMerge w:val="restart"/>
            <w:tcBorders>
              <w:top w:val="nil"/>
              <w:left w:val="single" w:sz="4" w:space="0" w:color="000000"/>
              <w:bottom w:val="single" w:sz="4" w:space="0" w:color="000000"/>
              <w:right w:val="single" w:sz="4" w:space="0" w:color="000000"/>
            </w:tcBorders>
            <w:shd w:val="clear" w:color="auto" w:fill="auto"/>
            <w:vAlign w:val="center"/>
            <w:hideMark/>
          </w:tcPr>
          <w:p w14:paraId="3463A596" w14:textId="77777777" w:rsidR="001E4B2F" w:rsidRPr="001E4B2F" w:rsidRDefault="001E4B2F" w:rsidP="001E4B2F">
            <w:pPr>
              <w:ind w:firstLine="0"/>
              <w:jc w:val="center"/>
              <w:rPr>
                <w:rFonts w:eastAsia="Times New Roman" w:cs="Times New Roman"/>
                <w:color w:val="000000"/>
                <w:sz w:val="20"/>
                <w:szCs w:val="20"/>
                <w:lang w:eastAsia="ru-RU"/>
              </w:rPr>
            </w:pPr>
            <w:r w:rsidRPr="001E4B2F">
              <w:rPr>
                <w:rFonts w:eastAsia="Times New Roman" w:cs="Times New Roman"/>
                <w:color w:val="000000"/>
                <w:sz w:val="20"/>
                <w:szCs w:val="20"/>
                <w:lang w:eastAsia="ru-RU"/>
              </w:rPr>
              <w:t>ГНП, СНП, МР</w:t>
            </w:r>
          </w:p>
        </w:tc>
        <w:tc>
          <w:tcPr>
            <w:tcW w:w="611" w:type="pct"/>
            <w:vMerge w:val="restart"/>
            <w:tcBorders>
              <w:top w:val="nil"/>
              <w:left w:val="single" w:sz="4" w:space="0" w:color="000000"/>
              <w:bottom w:val="single" w:sz="4" w:space="0" w:color="000000"/>
              <w:right w:val="single" w:sz="4" w:space="0" w:color="000000"/>
            </w:tcBorders>
            <w:shd w:val="clear" w:color="auto" w:fill="auto"/>
            <w:vAlign w:val="center"/>
            <w:hideMark/>
          </w:tcPr>
          <w:p w14:paraId="6DD43AEA" w14:textId="77777777" w:rsidR="001E4B2F" w:rsidRPr="001E4B2F" w:rsidRDefault="001E4B2F" w:rsidP="001E4B2F">
            <w:pPr>
              <w:ind w:firstLine="0"/>
              <w:jc w:val="center"/>
              <w:rPr>
                <w:rFonts w:eastAsia="Times New Roman" w:cs="Times New Roman"/>
                <w:color w:val="000000"/>
                <w:sz w:val="20"/>
                <w:szCs w:val="20"/>
                <w:lang w:eastAsia="ru-RU"/>
              </w:rPr>
            </w:pPr>
            <w:r w:rsidRPr="001E4B2F">
              <w:rPr>
                <w:rFonts w:eastAsia="Times New Roman" w:cs="Times New Roman"/>
                <w:color w:val="000000"/>
                <w:sz w:val="20"/>
                <w:szCs w:val="20"/>
                <w:lang w:eastAsia="ru-RU"/>
              </w:rPr>
              <w:t>Объекты с неполными харкетристиками</w:t>
            </w:r>
          </w:p>
        </w:tc>
        <w:tc>
          <w:tcPr>
            <w:tcW w:w="347" w:type="pct"/>
            <w:tcBorders>
              <w:top w:val="nil"/>
              <w:left w:val="nil"/>
              <w:bottom w:val="single" w:sz="4" w:space="0" w:color="000000"/>
              <w:right w:val="single" w:sz="4" w:space="0" w:color="000000"/>
            </w:tcBorders>
            <w:shd w:val="clear" w:color="auto" w:fill="auto"/>
            <w:vAlign w:val="center"/>
            <w:hideMark/>
          </w:tcPr>
          <w:p w14:paraId="01E51188" w14:textId="77777777" w:rsidR="001E4B2F" w:rsidRPr="001E4B2F" w:rsidRDefault="001E4B2F" w:rsidP="001E4B2F">
            <w:pPr>
              <w:ind w:firstLine="0"/>
              <w:jc w:val="center"/>
              <w:rPr>
                <w:rFonts w:eastAsia="Times New Roman" w:cs="Times New Roman"/>
                <w:color w:val="000000"/>
                <w:sz w:val="20"/>
                <w:szCs w:val="20"/>
                <w:lang w:eastAsia="ru-RU"/>
              </w:rPr>
            </w:pPr>
            <w:r w:rsidRPr="001E4B2F">
              <w:rPr>
                <w:rFonts w:eastAsia="Times New Roman" w:cs="Times New Roman"/>
                <w:color w:val="000000"/>
                <w:sz w:val="20"/>
                <w:szCs w:val="20"/>
                <w:lang w:eastAsia="ru-RU"/>
              </w:rPr>
              <w:t>4.1.</w:t>
            </w:r>
          </w:p>
        </w:tc>
        <w:tc>
          <w:tcPr>
            <w:tcW w:w="471" w:type="pct"/>
            <w:tcBorders>
              <w:top w:val="nil"/>
              <w:left w:val="nil"/>
              <w:bottom w:val="single" w:sz="4" w:space="0" w:color="000000"/>
              <w:right w:val="single" w:sz="4" w:space="0" w:color="000000"/>
            </w:tcBorders>
            <w:shd w:val="clear" w:color="auto" w:fill="auto"/>
            <w:noWrap/>
            <w:vAlign w:val="center"/>
            <w:hideMark/>
          </w:tcPr>
          <w:p w14:paraId="4BDE3EE2" w14:textId="77777777" w:rsidR="001E4B2F" w:rsidRPr="001E4B2F" w:rsidRDefault="001E4B2F" w:rsidP="001E4B2F">
            <w:pPr>
              <w:ind w:firstLine="0"/>
              <w:jc w:val="left"/>
              <w:rPr>
                <w:rFonts w:eastAsia="Times New Roman" w:cs="Times New Roman"/>
                <w:color w:val="000000"/>
                <w:sz w:val="20"/>
                <w:szCs w:val="20"/>
                <w:lang w:eastAsia="ru-RU"/>
              </w:rPr>
            </w:pPr>
            <w:r w:rsidRPr="001E4B2F">
              <w:rPr>
                <w:rFonts w:eastAsia="Times New Roman" w:cs="Times New Roman"/>
                <w:color w:val="000000"/>
                <w:sz w:val="20"/>
                <w:szCs w:val="20"/>
                <w:lang w:eastAsia="ru-RU"/>
              </w:rPr>
              <w:t>Сравнительный</w:t>
            </w:r>
          </w:p>
        </w:tc>
        <w:tc>
          <w:tcPr>
            <w:tcW w:w="378" w:type="pct"/>
            <w:tcBorders>
              <w:top w:val="nil"/>
              <w:left w:val="nil"/>
              <w:bottom w:val="single" w:sz="4" w:space="0" w:color="000000"/>
              <w:right w:val="single" w:sz="4" w:space="0" w:color="000000"/>
            </w:tcBorders>
            <w:shd w:val="clear" w:color="auto" w:fill="auto"/>
            <w:noWrap/>
            <w:vAlign w:val="bottom"/>
            <w:hideMark/>
          </w:tcPr>
          <w:p w14:paraId="281F51F3" w14:textId="77777777" w:rsidR="001E4B2F" w:rsidRPr="001E4B2F" w:rsidRDefault="001E4B2F" w:rsidP="001E4B2F">
            <w:pPr>
              <w:ind w:firstLine="0"/>
              <w:jc w:val="left"/>
              <w:rPr>
                <w:rFonts w:eastAsia="Times New Roman" w:cs="Times New Roman"/>
                <w:color w:val="000000"/>
                <w:sz w:val="20"/>
                <w:szCs w:val="20"/>
                <w:lang w:eastAsia="ru-RU"/>
              </w:rPr>
            </w:pPr>
            <w:r w:rsidRPr="001E4B2F">
              <w:rPr>
                <w:rFonts w:eastAsia="Times New Roman" w:cs="Times New Roman"/>
                <w:color w:val="000000"/>
                <w:sz w:val="20"/>
                <w:szCs w:val="20"/>
                <w:lang w:eastAsia="ru-RU"/>
              </w:rPr>
              <w:t>Массовый</w:t>
            </w:r>
          </w:p>
        </w:tc>
        <w:tc>
          <w:tcPr>
            <w:tcW w:w="708" w:type="pct"/>
            <w:tcBorders>
              <w:top w:val="nil"/>
              <w:left w:val="nil"/>
              <w:bottom w:val="single" w:sz="4" w:space="0" w:color="000000"/>
              <w:right w:val="single" w:sz="4" w:space="0" w:color="000000"/>
            </w:tcBorders>
            <w:shd w:val="clear" w:color="auto" w:fill="auto"/>
            <w:noWrap/>
            <w:vAlign w:val="center"/>
            <w:hideMark/>
          </w:tcPr>
          <w:p w14:paraId="5497ACB2" w14:textId="77777777" w:rsidR="001E4B2F" w:rsidRPr="001E4B2F" w:rsidRDefault="001E4B2F" w:rsidP="001E4B2F">
            <w:pPr>
              <w:ind w:firstLine="0"/>
              <w:jc w:val="left"/>
              <w:rPr>
                <w:rFonts w:eastAsia="Times New Roman" w:cs="Times New Roman"/>
                <w:color w:val="000000"/>
                <w:sz w:val="20"/>
                <w:szCs w:val="20"/>
                <w:lang w:eastAsia="ru-RU"/>
              </w:rPr>
            </w:pPr>
            <w:r w:rsidRPr="001E4B2F">
              <w:rPr>
                <w:rFonts w:eastAsia="Times New Roman" w:cs="Times New Roman"/>
                <w:color w:val="000000"/>
                <w:sz w:val="20"/>
                <w:szCs w:val="20"/>
                <w:lang w:eastAsia="ru-RU"/>
              </w:rPr>
              <w:t>Метод УПКС (минимальное)</w:t>
            </w:r>
          </w:p>
        </w:tc>
      </w:tr>
      <w:tr w:rsidR="001E4B2F" w:rsidRPr="001E4B2F" w14:paraId="076A226C" w14:textId="77777777" w:rsidTr="001E4B2F">
        <w:trPr>
          <w:trHeight w:val="510"/>
        </w:trPr>
        <w:tc>
          <w:tcPr>
            <w:tcW w:w="240" w:type="pct"/>
            <w:vMerge/>
            <w:tcBorders>
              <w:top w:val="nil"/>
              <w:left w:val="single" w:sz="4" w:space="0" w:color="000000"/>
              <w:bottom w:val="single" w:sz="4" w:space="0" w:color="000000"/>
              <w:right w:val="single" w:sz="4" w:space="0" w:color="000000"/>
            </w:tcBorders>
            <w:vAlign w:val="center"/>
            <w:hideMark/>
          </w:tcPr>
          <w:p w14:paraId="0FD95BE2" w14:textId="77777777" w:rsidR="001E4B2F" w:rsidRPr="001E4B2F" w:rsidRDefault="001E4B2F" w:rsidP="001E4B2F">
            <w:pPr>
              <w:ind w:firstLine="0"/>
              <w:jc w:val="left"/>
              <w:rPr>
                <w:rFonts w:eastAsia="Times New Roman" w:cs="Times New Roman"/>
                <w:color w:val="000000"/>
                <w:sz w:val="20"/>
                <w:szCs w:val="20"/>
                <w:lang w:eastAsia="ru-RU"/>
              </w:rPr>
            </w:pPr>
          </w:p>
        </w:tc>
        <w:tc>
          <w:tcPr>
            <w:tcW w:w="788" w:type="pct"/>
            <w:vMerge/>
            <w:tcBorders>
              <w:top w:val="nil"/>
              <w:left w:val="single" w:sz="4" w:space="0" w:color="000000"/>
              <w:bottom w:val="single" w:sz="4" w:space="0" w:color="000000"/>
              <w:right w:val="single" w:sz="4" w:space="0" w:color="000000"/>
            </w:tcBorders>
            <w:vAlign w:val="center"/>
            <w:hideMark/>
          </w:tcPr>
          <w:p w14:paraId="20A6A53A" w14:textId="77777777" w:rsidR="001E4B2F" w:rsidRPr="001E4B2F" w:rsidRDefault="001E4B2F" w:rsidP="001E4B2F">
            <w:pPr>
              <w:ind w:firstLine="0"/>
              <w:jc w:val="left"/>
              <w:rPr>
                <w:rFonts w:eastAsia="Times New Roman" w:cs="Times New Roman"/>
                <w:color w:val="000000"/>
                <w:sz w:val="20"/>
                <w:szCs w:val="20"/>
                <w:lang w:eastAsia="ru-RU"/>
              </w:rPr>
            </w:pPr>
          </w:p>
        </w:tc>
        <w:tc>
          <w:tcPr>
            <w:tcW w:w="370" w:type="pct"/>
            <w:vMerge/>
            <w:tcBorders>
              <w:top w:val="nil"/>
              <w:left w:val="single" w:sz="4" w:space="0" w:color="000000"/>
              <w:bottom w:val="single" w:sz="4" w:space="0" w:color="000000"/>
              <w:right w:val="single" w:sz="4" w:space="0" w:color="000000"/>
            </w:tcBorders>
            <w:vAlign w:val="center"/>
            <w:hideMark/>
          </w:tcPr>
          <w:p w14:paraId="341D576C" w14:textId="77777777" w:rsidR="001E4B2F" w:rsidRPr="001E4B2F" w:rsidRDefault="001E4B2F" w:rsidP="001E4B2F">
            <w:pPr>
              <w:ind w:firstLine="0"/>
              <w:jc w:val="left"/>
              <w:rPr>
                <w:rFonts w:eastAsia="Times New Roman" w:cs="Times New Roman"/>
                <w:color w:val="000000"/>
                <w:sz w:val="20"/>
                <w:szCs w:val="20"/>
                <w:lang w:eastAsia="ru-RU"/>
              </w:rPr>
            </w:pPr>
          </w:p>
        </w:tc>
        <w:tc>
          <w:tcPr>
            <w:tcW w:w="559" w:type="pct"/>
            <w:tcBorders>
              <w:top w:val="nil"/>
              <w:left w:val="nil"/>
              <w:bottom w:val="single" w:sz="4" w:space="0" w:color="000000"/>
              <w:right w:val="single" w:sz="4" w:space="0" w:color="000000"/>
            </w:tcBorders>
            <w:shd w:val="clear" w:color="auto" w:fill="auto"/>
            <w:vAlign w:val="center"/>
            <w:hideMark/>
          </w:tcPr>
          <w:p w14:paraId="64AF8A4C" w14:textId="77777777" w:rsidR="001E4B2F" w:rsidRPr="001E4B2F" w:rsidRDefault="001E4B2F" w:rsidP="001E4B2F">
            <w:pPr>
              <w:ind w:firstLine="0"/>
              <w:jc w:val="center"/>
              <w:rPr>
                <w:rFonts w:eastAsia="Times New Roman" w:cs="Times New Roman"/>
                <w:color w:val="000000"/>
                <w:sz w:val="20"/>
                <w:szCs w:val="20"/>
                <w:lang w:eastAsia="ru-RU"/>
              </w:rPr>
            </w:pPr>
            <w:r w:rsidRPr="001E4B2F">
              <w:rPr>
                <w:rFonts w:eastAsia="Times New Roman" w:cs="Times New Roman"/>
                <w:color w:val="000000"/>
                <w:sz w:val="20"/>
                <w:szCs w:val="20"/>
                <w:lang w:eastAsia="ru-RU"/>
              </w:rPr>
              <w:t>ОНС, сооружения</w:t>
            </w:r>
          </w:p>
        </w:tc>
        <w:tc>
          <w:tcPr>
            <w:tcW w:w="528" w:type="pct"/>
            <w:vMerge/>
            <w:tcBorders>
              <w:top w:val="nil"/>
              <w:left w:val="single" w:sz="4" w:space="0" w:color="000000"/>
              <w:bottom w:val="single" w:sz="4" w:space="0" w:color="000000"/>
              <w:right w:val="single" w:sz="4" w:space="0" w:color="000000"/>
            </w:tcBorders>
            <w:vAlign w:val="center"/>
            <w:hideMark/>
          </w:tcPr>
          <w:p w14:paraId="3D596B10" w14:textId="77777777" w:rsidR="001E4B2F" w:rsidRPr="001E4B2F" w:rsidRDefault="001E4B2F" w:rsidP="001E4B2F">
            <w:pPr>
              <w:ind w:firstLine="0"/>
              <w:jc w:val="left"/>
              <w:rPr>
                <w:rFonts w:eastAsia="Times New Roman" w:cs="Times New Roman"/>
                <w:color w:val="000000"/>
                <w:sz w:val="20"/>
                <w:szCs w:val="20"/>
                <w:lang w:eastAsia="ru-RU"/>
              </w:rPr>
            </w:pPr>
          </w:p>
        </w:tc>
        <w:tc>
          <w:tcPr>
            <w:tcW w:w="611" w:type="pct"/>
            <w:vMerge/>
            <w:tcBorders>
              <w:top w:val="nil"/>
              <w:left w:val="single" w:sz="4" w:space="0" w:color="000000"/>
              <w:bottom w:val="single" w:sz="4" w:space="0" w:color="000000"/>
              <w:right w:val="single" w:sz="4" w:space="0" w:color="000000"/>
            </w:tcBorders>
            <w:vAlign w:val="center"/>
            <w:hideMark/>
          </w:tcPr>
          <w:p w14:paraId="2A6D1C68" w14:textId="77777777" w:rsidR="001E4B2F" w:rsidRPr="001E4B2F" w:rsidRDefault="001E4B2F" w:rsidP="001E4B2F">
            <w:pPr>
              <w:ind w:firstLine="0"/>
              <w:jc w:val="left"/>
              <w:rPr>
                <w:rFonts w:eastAsia="Times New Roman" w:cs="Times New Roman"/>
                <w:color w:val="000000"/>
                <w:sz w:val="20"/>
                <w:szCs w:val="20"/>
                <w:lang w:eastAsia="ru-RU"/>
              </w:rPr>
            </w:pPr>
          </w:p>
        </w:tc>
        <w:tc>
          <w:tcPr>
            <w:tcW w:w="347" w:type="pct"/>
            <w:tcBorders>
              <w:top w:val="nil"/>
              <w:left w:val="nil"/>
              <w:bottom w:val="single" w:sz="4" w:space="0" w:color="000000"/>
              <w:right w:val="single" w:sz="4" w:space="0" w:color="000000"/>
            </w:tcBorders>
            <w:shd w:val="clear" w:color="auto" w:fill="auto"/>
            <w:vAlign w:val="center"/>
            <w:hideMark/>
          </w:tcPr>
          <w:p w14:paraId="36E78238" w14:textId="77777777" w:rsidR="001E4B2F" w:rsidRPr="001E4B2F" w:rsidRDefault="001E4B2F" w:rsidP="001E4B2F">
            <w:pPr>
              <w:ind w:firstLine="0"/>
              <w:jc w:val="center"/>
              <w:rPr>
                <w:rFonts w:eastAsia="Times New Roman" w:cs="Times New Roman"/>
                <w:color w:val="000000"/>
                <w:sz w:val="20"/>
                <w:szCs w:val="20"/>
                <w:lang w:eastAsia="ru-RU"/>
              </w:rPr>
            </w:pPr>
            <w:r w:rsidRPr="001E4B2F">
              <w:rPr>
                <w:rFonts w:eastAsia="Times New Roman" w:cs="Times New Roman"/>
                <w:color w:val="000000"/>
                <w:sz w:val="20"/>
                <w:szCs w:val="20"/>
                <w:lang w:eastAsia="ru-RU"/>
              </w:rPr>
              <w:t>4.2.</w:t>
            </w:r>
          </w:p>
        </w:tc>
        <w:tc>
          <w:tcPr>
            <w:tcW w:w="471" w:type="pct"/>
            <w:tcBorders>
              <w:top w:val="nil"/>
              <w:left w:val="nil"/>
              <w:bottom w:val="single" w:sz="4" w:space="0" w:color="000000"/>
              <w:right w:val="single" w:sz="4" w:space="0" w:color="000000"/>
            </w:tcBorders>
            <w:shd w:val="clear" w:color="auto" w:fill="auto"/>
            <w:noWrap/>
            <w:vAlign w:val="center"/>
            <w:hideMark/>
          </w:tcPr>
          <w:p w14:paraId="6A7B8046" w14:textId="77777777" w:rsidR="001E4B2F" w:rsidRPr="001E4B2F" w:rsidRDefault="001E4B2F" w:rsidP="001E4B2F">
            <w:pPr>
              <w:ind w:firstLine="0"/>
              <w:jc w:val="left"/>
              <w:rPr>
                <w:rFonts w:eastAsia="Times New Roman" w:cs="Times New Roman"/>
                <w:color w:val="000000"/>
                <w:sz w:val="20"/>
                <w:szCs w:val="20"/>
                <w:lang w:eastAsia="ru-RU"/>
              </w:rPr>
            </w:pPr>
            <w:r w:rsidRPr="001E4B2F">
              <w:rPr>
                <w:rFonts w:eastAsia="Times New Roman" w:cs="Times New Roman"/>
                <w:color w:val="000000"/>
                <w:sz w:val="20"/>
                <w:szCs w:val="20"/>
                <w:lang w:eastAsia="ru-RU"/>
              </w:rPr>
              <w:t>Сравнительный</w:t>
            </w:r>
          </w:p>
        </w:tc>
        <w:tc>
          <w:tcPr>
            <w:tcW w:w="378" w:type="pct"/>
            <w:tcBorders>
              <w:top w:val="nil"/>
              <w:left w:val="nil"/>
              <w:bottom w:val="single" w:sz="4" w:space="0" w:color="000000"/>
              <w:right w:val="single" w:sz="4" w:space="0" w:color="000000"/>
            </w:tcBorders>
            <w:shd w:val="clear" w:color="auto" w:fill="auto"/>
            <w:noWrap/>
            <w:vAlign w:val="bottom"/>
            <w:hideMark/>
          </w:tcPr>
          <w:p w14:paraId="1EF4E6C8" w14:textId="77777777" w:rsidR="001E4B2F" w:rsidRPr="001E4B2F" w:rsidRDefault="001E4B2F" w:rsidP="001E4B2F">
            <w:pPr>
              <w:ind w:firstLine="0"/>
              <w:jc w:val="left"/>
              <w:rPr>
                <w:rFonts w:eastAsia="Times New Roman" w:cs="Times New Roman"/>
                <w:color w:val="000000"/>
                <w:sz w:val="20"/>
                <w:szCs w:val="20"/>
                <w:lang w:eastAsia="ru-RU"/>
              </w:rPr>
            </w:pPr>
            <w:r w:rsidRPr="001E4B2F">
              <w:rPr>
                <w:rFonts w:eastAsia="Times New Roman" w:cs="Times New Roman"/>
                <w:color w:val="000000"/>
                <w:sz w:val="20"/>
                <w:szCs w:val="20"/>
                <w:lang w:eastAsia="ru-RU"/>
              </w:rPr>
              <w:t>Массовый</w:t>
            </w:r>
          </w:p>
        </w:tc>
        <w:tc>
          <w:tcPr>
            <w:tcW w:w="708" w:type="pct"/>
            <w:tcBorders>
              <w:top w:val="nil"/>
              <w:left w:val="nil"/>
              <w:bottom w:val="single" w:sz="4" w:space="0" w:color="000000"/>
              <w:right w:val="single" w:sz="4" w:space="0" w:color="000000"/>
            </w:tcBorders>
            <w:shd w:val="clear" w:color="auto" w:fill="auto"/>
            <w:noWrap/>
            <w:vAlign w:val="center"/>
            <w:hideMark/>
          </w:tcPr>
          <w:p w14:paraId="344648F8" w14:textId="77777777" w:rsidR="001E4B2F" w:rsidRPr="001E4B2F" w:rsidRDefault="001E4B2F" w:rsidP="001E4B2F">
            <w:pPr>
              <w:ind w:firstLine="0"/>
              <w:jc w:val="left"/>
              <w:rPr>
                <w:rFonts w:eastAsia="Times New Roman" w:cs="Times New Roman"/>
                <w:color w:val="000000"/>
                <w:sz w:val="20"/>
                <w:szCs w:val="20"/>
                <w:lang w:eastAsia="ru-RU"/>
              </w:rPr>
            </w:pPr>
            <w:r w:rsidRPr="001E4B2F">
              <w:rPr>
                <w:rFonts w:eastAsia="Times New Roman" w:cs="Times New Roman"/>
                <w:color w:val="000000"/>
                <w:sz w:val="20"/>
                <w:szCs w:val="20"/>
                <w:lang w:eastAsia="ru-RU"/>
              </w:rPr>
              <w:t>Метод УПКС (минимальное)</w:t>
            </w:r>
          </w:p>
        </w:tc>
      </w:tr>
      <w:tr w:rsidR="001E4B2F" w:rsidRPr="001E4B2F" w14:paraId="4D002582" w14:textId="77777777" w:rsidTr="001E4B2F">
        <w:trPr>
          <w:trHeight w:val="765"/>
        </w:trPr>
        <w:tc>
          <w:tcPr>
            <w:tcW w:w="240" w:type="pct"/>
            <w:vMerge/>
            <w:tcBorders>
              <w:top w:val="nil"/>
              <w:left w:val="single" w:sz="4" w:space="0" w:color="000000"/>
              <w:bottom w:val="single" w:sz="4" w:space="0" w:color="000000"/>
              <w:right w:val="single" w:sz="4" w:space="0" w:color="000000"/>
            </w:tcBorders>
            <w:vAlign w:val="center"/>
            <w:hideMark/>
          </w:tcPr>
          <w:p w14:paraId="0DB731ED" w14:textId="77777777" w:rsidR="001E4B2F" w:rsidRPr="001E4B2F" w:rsidRDefault="001E4B2F" w:rsidP="001E4B2F">
            <w:pPr>
              <w:ind w:firstLine="0"/>
              <w:jc w:val="left"/>
              <w:rPr>
                <w:rFonts w:eastAsia="Times New Roman" w:cs="Times New Roman"/>
                <w:color w:val="000000"/>
                <w:sz w:val="20"/>
                <w:szCs w:val="20"/>
                <w:lang w:eastAsia="ru-RU"/>
              </w:rPr>
            </w:pPr>
          </w:p>
        </w:tc>
        <w:tc>
          <w:tcPr>
            <w:tcW w:w="788" w:type="pct"/>
            <w:vMerge/>
            <w:tcBorders>
              <w:top w:val="nil"/>
              <w:left w:val="single" w:sz="4" w:space="0" w:color="000000"/>
              <w:bottom w:val="single" w:sz="4" w:space="0" w:color="000000"/>
              <w:right w:val="single" w:sz="4" w:space="0" w:color="000000"/>
            </w:tcBorders>
            <w:vAlign w:val="center"/>
            <w:hideMark/>
          </w:tcPr>
          <w:p w14:paraId="4802F669" w14:textId="77777777" w:rsidR="001E4B2F" w:rsidRPr="001E4B2F" w:rsidRDefault="001E4B2F" w:rsidP="001E4B2F">
            <w:pPr>
              <w:ind w:firstLine="0"/>
              <w:jc w:val="left"/>
              <w:rPr>
                <w:rFonts w:eastAsia="Times New Roman" w:cs="Times New Roman"/>
                <w:color w:val="000000"/>
                <w:sz w:val="20"/>
                <w:szCs w:val="20"/>
                <w:lang w:eastAsia="ru-RU"/>
              </w:rPr>
            </w:pPr>
          </w:p>
        </w:tc>
        <w:tc>
          <w:tcPr>
            <w:tcW w:w="370" w:type="pct"/>
            <w:vMerge/>
            <w:tcBorders>
              <w:top w:val="nil"/>
              <w:left w:val="single" w:sz="4" w:space="0" w:color="000000"/>
              <w:bottom w:val="single" w:sz="4" w:space="0" w:color="000000"/>
              <w:right w:val="single" w:sz="4" w:space="0" w:color="000000"/>
            </w:tcBorders>
            <w:vAlign w:val="center"/>
            <w:hideMark/>
          </w:tcPr>
          <w:p w14:paraId="34B40585" w14:textId="77777777" w:rsidR="001E4B2F" w:rsidRPr="001E4B2F" w:rsidRDefault="001E4B2F" w:rsidP="001E4B2F">
            <w:pPr>
              <w:ind w:firstLine="0"/>
              <w:jc w:val="left"/>
              <w:rPr>
                <w:rFonts w:eastAsia="Times New Roman" w:cs="Times New Roman"/>
                <w:color w:val="000000"/>
                <w:sz w:val="20"/>
                <w:szCs w:val="20"/>
                <w:lang w:eastAsia="ru-RU"/>
              </w:rPr>
            </w:pPr>
          </w:p>
        </w:tc>
        <w:tc>
          <w:tcPr>
            <w:tcW w:w="559" w:type="pct"/>
            <w:tcBorders>
              <w:top w:val="nil"/>
              <w:left w:val="nil"/>
              <w:bottom w:val="single" w:sz="4" w:space="0" w:color="000000"/>
              <w:right w:val="single" w:sz="4" w:space="0" w:color="000000"/>
            </w:tcBorders>
            <w:shd w:val="clear" w:color="auto" w:fill="auto"/>
            <w:vAlign w:val="center"/>
            <w:hideMark/>
          </w:tcPr>
          <w:p w14:paraId="79447DF4" w14:textId="77777777" w:rsidR="001E4B2F" w:rsidRPr="001E4B2F" w:rsidRDefault="001E4B2F" w:rsidP="001E4B2F">
            <w:pPr>
              <w:ind w:firstLine="0"/>
              <w:jc w:val="center"/>
              <w:rPr>
                <w:rFonts w:eastAsia="Times New Roman" w:cs="Times New Roman"/>
                <w:color w:val="000000"/>
                <w:sz w:val="20"/>
                <w:szCs w:val="20"/>
                <w:lang w:eastAsia="ru-RU"/>
              </w:rPr>
            </w:pPr>
            <w:r w:rsidRPr="001E4B2F">
              <w:rPr>
                <w:rFonts w:eastAsia="Times New Roman" w:cs="Times New Roman"/>
                <w:color w:val="000000"/>
                <w:sz w:val="20"/>
                <w:szCs w:val="20"/>
                <w:lang w:eastAsia="ru-RU"/>
              </w:rPr>
              <w:t>Здания, помещения, сооружения, ОНС</w:t>
            </w:r>
          </w:p>
        </w:tc>
        <w:tc>
          <w:tcPr>
            <w:tcW w:w="528" w:type="pct"/>
            <w:vMerge/>
            <w:tcBorders>
              <w:top w:val="nil"/>
              <w:left w:val="single" w:sz="4" w:space="0" w:color="000000"/>
              <w:bottom w:val="single" w:sz="4" w:space="0" w:color="000000"/>
              <w:right w:val="single" w:sz="4" w:space="0" w:color="000000"/>
            </w:tcBorders>
            <w:vAlign w:val="center"/>
            <w:hideMark/>
          </w:tcPr>
          <w:p w14:paraId="53A0F426" w14:textId="77777777" w:rsidR="001E4B2F" w:rsidRPr="001E4B2F" w:rsidRDefault="001E4B2F" w:rsidP="001E4B2F">
            <w:pPr>
              <w:ind w:firstLine="0"/>
              <w:jc w:val="left"/>
              <w:rPr>
                <w:rFonts w:eastAsia="Times New Roman" w:cs="Times New Roman"/>
                <w:color w:val="000000"/>
                <w:sz w:val="20"/>
                <w:szCs w:val="20"/>
                <w:lang w:eastAsia="ru-RU"/>
              </w:rPr>
            </w:pPr>
          </w:p>
        </w:tc>
        <w:tc>
          <w:tcPr>
            <w:tcW w:w="611" w:type="pct"/>
            <w:tcBorders>
              <w:top w:val="nil"/>
              <w:left w:val="nil"/>
              <w:bottom w:val="single" w:sz="4" w:space="0" w:color="000000"/>
              <w:right w:val="single" w:sz="4" w:space="0" w:color="000000"/>
            </w:tcBorders>
            <w:shd w:val="clear" w:color="auto" w:fill="auto"/>
            <w:vAlign w:val="center"/>
            <w:hideMark/>
          </w:tcPr>
          <w:p w14:paraId="60C32F0B" w14:textId="77777777" w:rsidR="001E4B2F" w:rsidRPr="001E4B2F" w:rsidRDefault="001E4B2F" w:rsidP="001E4B2F">
            <w:pPr>
              <w:ind w:firstLine="0"/>
              <w:jc w:val="center"/>
              <w:rPr>
                <w:rFonts w:eastAsia="Times New Roman" w:cs="Times New Roman"/>
                <w:color w:val="000000"/>
                <w:sz w:val="20"/>
                <w:szCs w:val="20"/>
                <w:lang w:eastAsia="ru-RU"/>
              </w:rPr>
            </w:pPr>
            <w:r w:rsidRPr="001E4B2F">
              <w:rPr>
                <w:rFonts w:eastAsia="Times New Roman" w:cs="Times New Roman"/>
                <w:color w:val="000000"/>
                <w:sz w:val="20"/>
                <w:szCs w:val="20"/>
                <w:lang w:eastAsia="ru-RU"/>
              </w:rPr>
              <w:t>Объекты с полными характеристиками</w:t>
            </w:r>
          </w:p>
        </w:tc>
        <w:tc>
          <w:tcPr>
            <w:tcW w:w="347" w:type="pct"/>
            <w:tcBorders>
              <w:top w:val="nil"/>
              <w:left w:val="nil"/>
              <w:bottom w:val="single" w:sz="4" w:space="0" w:color="000000"/>
              <w:right w:val="single" w:sz="4" w:space="0" w:color="000000"/>
            </w:tcBorders>
            <w:shd w:val="clear" w:color="auto" w:fill="auto"/>
            <w:vAlign w:val="center"/>
            <w:hideMark/>
          </w:tcPr>
          <w:p w14:paraId="3AF09FA6" w14:textId="77777777" w:rsidR="001E4B2F" w:rsidRPr="001E4B2F" w:rsidRDefault="001E4B2F" w:rsidP="001E4B2F">
            <w:pPr>
              <w:ind w:firstLine="0"/>
              <w:jc w:val="center"/>
              <w:rPr>
                <w:rFonts w:eastAsia="Times New Roman" w:cs="Times New Roman"/>
                <w:color w:val="000000"/>
                <w:sz w:val="20"/>
                <w:szCs w:val="20"/>
                <w:lang w:eastAsia="ru-RU"/>
              </w:rPr>
            </w:pPr>
            <w:r w:rsidRPr="001E4B2F">
              <w:rPr>
                <w:rFonts w:eastAsia="Times New Roman" w:cs="Times New Roman"/>
                <w:color w:val="000000"/>
                <w:sz w:val="20"/>
                <w:szCs w:val="20"/>
                <w:lang w:eastAsia="ru-RU"/>
              </w:rPr>
              <w:t>4.3.</w:t>
            </w:r>
          </w:p>
        </w:tc>
        <w:tc>
          <w:tcPr>
            <w:tcW w:w="471" w:type="pct"/>
            <w:tcBorders>
              <w:top w:val="nil"/>
              <w:left w:val="nil"/>
              <w:bottom w:val="single" w:sz="4" w:space="0" w:color="000000"/>
              <w:right w:val="single" w:sz="4" w:space="0" w:color="000000"/>
            </w:tcBorders>
            <w:shd w:val="clear" w:color="auto" w:fill="auto"/>
            <w:noWrap/>
            <w:vAlign w:val="center"/>
            <w:hideMark/>
          </w:tcPr>
          <w:p w14:paraId="3C29774D" w14:textId="77777777" w:rsidR="001E4B2F" w:rsidRPr="001E4B2F" w:rsidRDefault="001E4B2F" w:rsidP="001E4B2F">
            <w:pPr>
              <w:ind w:firstLine="0"/>
              <w:jc w:val="left"/>
              <w:rPr>
                <w:rFonts w:eastAsia="Times New Roman" w:cs="Times New Roman"/>
                <w:color w:val="000000"/>
                <w:sz w:val="20"/>
                <w:szCs w:val="20"/>
                <w:lang w:eastAsia="ru-RU"/>
              </w:rPr>
            </w:pPr>
            <w:r w:rsidRPr="001E4B2F">
              <w:rPr>
                <w:rFonts w:eastAsia="Times New Roman" w:cs="Times New Roman"/>
                <w:color w:val="000000"/>
                <w:sz w:val="20"/>
                <w:szCs w:val="20"/>
                <w:lang w:eastAsia="ru-RU"/>
              </w:rPr>
              <w:t>Затратный</w:t>
            </w:r>
          </w:p>
        </w:tc>
        <w:tc>
          <w:tcPr>
            <w:tcW w:w="378" w:type="pct"/>
            <w:tcBorders>
              <w:top w:val="nil"/>
              <w:left w:val="nil"/>
              <w:bottom w:val="single" w:sz="4" w:space="0" w:color="000000"/>
              <w:right w:val="single" w:sz="4" w:space="0" w:color="000000"/>
            </w:tcBorders>
            <w:shd w:val="clear" w:color="auto" w:fill="auto"/>
            <w:noWrap/>
            <w:vAlign w:val="center"/>
            <w:hideMark/>
          </w:tcPr>
          <w:p w14:paraId="1DD29034" w14:textId="77777777" w:rsidR="001E4B2F" w:rsidRPr="001E4B2F" w:rsidRDefault="001E4B2F" w:rsidP="001E4B2F">
            <w:pPr>
              <w:ind w:firstLine="0"/>
              <w:jc w:val="left"/>
              <w:rPr>
                <w:rFonts w:eastAsia="Times New Roman" w:cs="Times New Roman"/>
                <w:color w:val="000000"/>
                <w:sz w:val="20"/>
                <w:szCs w:val="20"/>
                <w:lang w:eastAsia="ru-RU"/>
              </w:rPr>
            </w:pPr>
            <w:r w:rsidRPr="001E4B2F">
              <w:rPr>
                <w:rFonts w:eastAsia="Times New Roman" w:cs="Times New Roman"/>
                <w:color w:val="000000"/>
                <w:sz w:val="20"/>
                <w:szCs w:val="20"/>
                <w:lang w:eastAsia="ru-RU"/>
              </w:rPr>
              <w:t>Массовый</w:t>
            </w:r>
          </w:p>
        </w:tc>
        <w:tc>
          <w:tcPr>
            <w:tcW w:w="708" w:type="pct"/>
            <w:tcBorders>
              <w:top w:val="nil"/>
              <w:left w:val="nil"/>
              <w:bottom w:val="single" w:sz="4" w:space="0" w:color="000000"/>
              <w:right w:val="single" w:sz="4" w:space="0" w:color="000000"/>
            </w:tcBorders>
            <w:shd w:val="clear" w:color="auto" w:fill="auto"/>
            <w:noWrap/>
            <w:vAlign w:val="center"/>
            <w:hideMark/>
          </w:tcPr>
          <w:p w14:paraId="31F2DC74" w14:textId="77777777" w:rsidR="001E4B2F" w:rsidRPr="001E4B2F" w:rsidRDefault="001E4B2F" w:rsidP="001E4B2F">
            <w:pPr>
              <w:ind w:firstLine="0"/>
              <w:jc w:val="left"/>
              <w:rPr>
                <w:rFonts w:eastAsia="Times New Roman" w:cs="Times New Roman"/>
                <w:color w:val="000000"/>
                <w:sz w:val="20"/>
                <w:szCs w:val="20"/>
                <w:lang w:eastAsia="ru-RU"/>
              </w:rPr>
            </w:pPr>
            <w:r w:rsidRPr="001E4B2F">
              <w:rPr>
                <w:rFonts w:eastAsia="Times New Roman" w:cs="Times New Roman"/>
                <w:color w:val="000000"/>
                <w:sz w:val="20"/>
                <w:szCs w:val="20"/>
                <w:lang w:eastAsia="ru-RU"/>
              </w:rPr>
              <w:t>Метод сравнительной единицы (УПСС)</w:t>
            </w:r>
          </w:p>
        </w:tc>
      </w:tr>
      <w:tr w:rsidR="001E4B2F" w:rsidRPr="001E4B2F" w14:paraId="41FE7D15" w14:textId="77777777" w:rsidTr="001E4B2F">
        <w:trPr>
          <w:trHeight w:val="510"/>
        </w:trPr>
        <w:tc>
          <w:tcPr>
            <w:tcW w:w="240" w:type="pct"/>
            <w:vMerge w:val="restart"/>
            <w:tcBorders>
              <w:top w:val="nil"/>
              <w:left w:val="single" w:sz="4" w:space="0" w:color="000000"/>
              <w:bottom w:val="single" w:sz="4" w:space="0" w:color="000000"/>
              <w:right w:val="single" w:sz="4" w:space="0" w:color="000000"/>
            </w:tcBorders>
            <w:shd w:val="clear" w:color="auto" w:fill="auto"/>
            <w:vAlign w:val="center"/>
            <w:hideMark/>
          </w:tcPr>
          <w:p w14:paraId="19ABBE20" w14:textId="77777777" w:rsidR="001E4B2F" w:rsidRPr="001E4B2F" w:rsidRDefault="001E4B2F" w:rsidP="001E4B2F">
            <w:pPr>
              <w:ind w:firstLine="0"/>
              <w:jc w:val="center"/>
              <w:rPr>
                <w:rFonts w:eastAsia="Times New Roman" w:cs="Times New Roman"/>
                <w:color w:val="000000"/>
                <w:sz w:val="20"/>
                <w:szCs w:val="20"/>
                <w:lang w:eastAsia="ru-RU"/>
              </w:rPr>
            </w:pPr>
            <w:r w:rsidRPr="001E4B2F">
              <w:rPr>
                <w:rFonts w:eastAsia="Times New Roman" w:cs="Times New Roman"/>
                <w:color w:val="000000"/>
                <w:sz w:val="20"/>
                <w:szCs w:val="20"/>
                <w:lang w:eastAsia="ru-RU"/>
              </w:rPr>
              <w:t>5</w:t>
            </w:r>
          </w:p>
        </w:tc>
        <w:tc>
          <w:tcPr>
            <w:tcW w:w="788" w:type="pct"/>
            <w:vMerge w:val="restart"/>
            <w:tcBorders>
              <w:top w:val="nil"/>
              <w:left w:val="single" w:sz="4" w:space="0" w:color="000000"/>
              <w:bottom w:val="single" w:sz="4" w:space="0" w:color="000000"/>
              <w:right w:val="single" w:sz="4" w:space="0" w:color="000000"/>
            </w:tcBorders>
            <w:shd w:val="clear" w:color="auto" w:fill="auto"/>
            <w:vAlign w:val="center"/>
            <w:hideMark/>
          </w:tcPr>
          <w:p w14:paraId="6CA9998E" w14:textId="77777777" w:rsidR="001E4B2F" w:rsidRPr="001E4B2F" w:rsidRDefault="001E4B2F" w:rsidP="001E4B2F">
            <w:pPr>
              <w:ind w:firstLine="0"/>
              <w:jc w:val="center"/>
              <w:rPr>
                <w:rFonts w:eastAsia="Times New Roman" w:cs="Times New Roman"/>
                <w:color w:val="000000"/>
                <w:sz w:val="20"/>
                <w:szCs w:val="20"/>
                <w:lang w:eastAsia="ru-RU"/>
              </w:rPr>
            </w:pPr>
            <w:r w:rsidRPr="001E4B2F">
              <w:rPr>
                <w:rFonts w:eastAsia="Times New Roman" w:cs="Times New Roman"/>
                <w:color w:val="000000"/>
                <w:sz w:val="20"/>
                <w:szCs w:val="20"/>
                <w:lang w:eastAsia="ru-RU"/>
              </w:rPr>
              <w:t>Объекты временного проживания, включая объекты рекреационно-оздоровительного значения</w:t>
            </w:r>
          </w:p>
        </w:tc>
        <w:tc>
          <w:tcPr>
            <w:tcW w:w="370"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14:paraId="4174C4D0" w14:textId="77777777" w:rsidR="001E4B2F" w:rsidRPr="001E4B2F" w:rsidRDefault="001E4B2F" w:rsidP="001E4B2F">
            <w:pPr>
              <w:ind w:firstLine="0"/>
              <w:jc w:val="center"/>
              <w:rPr>
                <w:rFonts w:eastAsia="Times New Roman" w:cs="Times New Roman"/>
                <w:color w:val="000000"/>
                <w:sz w:val="20"/>
                <w:szCs w:val="20"/>
                <w:lang w:eastAsia="ru-RU"/>
              </w:rPr>
            </w:pPr>
            <w:r w:rsidRPr="001E4B2F">
              <w:rPr>
                <w:rFonts w:eastAsia="Times New Roman" w:cs="Times New Roman"/>
                <w:color w:val="000000"/>
                <w:sz w:val="20"/>
                <w:szCs w:val="20"/>
                <w:lang w:eastAsia="ru-RU"/>
              </w:rPr>
              <w:t>501-517</w:t>
            </w:r>
          </w:p>
        </w:tc>
        <w:tc>
          <w:tcPr>
            <w:tcW w:w="559" w:type="pct"/>
            <w:tcBorders>
              <w:top w:val="nil"/>
              <w:left w:val="nil"/>
              <w:bottom w:val="single" w:sz="4" w:space="0" w:color="000000"/>
              <w:right w:val="single" w:sz="4" w:space="0" w:color="000000"/>
            </w:tcBorders>
            <w:shd w:val="clear" w:color="auto" w:fill="auto"/>
            <w:vAlign w:val="center"/>
            <w:hideMark/>
          </w:tcPr>
          <w:p w14:paraId="37AF2C84" w14:textId="77777777" w:rsidR="001E4B2F" w:rsidRPr="001E4B2F" w:rsidRDefault="001E4B2F" w:rsidP="001E4B2F">
            <w:pPr>
              <w:ind w:firstLine="0"/>
              <w:jc w:val="center"/>
              <w:rPr>
                <w:rFonts w:eastAsia="Times New Roman" w:cs="Times New Roman"/>
                <w:color w:val="000000"/>
                <w:sz w:val="20"/>
                <w:szCs w:val="20"/>
                <w:lang w:eastAsia="ru-RU"/>
              </w:rPr>
            </w:pPr>
            <w:r w:rsidRPr="001E4B2F">
              <w:rPr>
                <w:rFonts w:eastAsia="Times New Roman" w:cs="Times New Roman"/>
                <w:color w:val="000000"/>
                <w:sz w:val="20"/>
                <w:szCs w:val="20"/>
                <w:lang w:eastAsia="ru-RU"/>
              </w:rPr>
              <w:t>Здания, помещения</w:t>
            </w:r>
          </w:p>
        </w:tc>
        <w:tc>
          <w:tcPr>
            <w:tcW w:w="528" w:type="pct"/>
            <w:vMerge w:val="restart"/>
            <w:tcBorders>
              <w:top w:val="nil"/>
              <w:left w:val="single" w:sz="4" w:space="0" w:color="000000"/>
              <w:bottom w:val="single" w:sz="4" w:space="0" w:color="000000"/>
              <w:right w:val="single" w:sz="4" w:space="0" w:color="000000"/>
            </w:tcBorders>
            <w:shd w:val="clear" w:color="auto" w:fill="auto"/>
            <w:vAlign w:val="center"/>
            <w:hideMark/>
          </w:tcPr>
          <w:p w14:paraId="564B8C55" w14:textId="77777777" w:rsidR="001E4B2F" w:rsidRPr="001E4B2F" w:rsidRDefault="001E4B2F" w:rsidP="001E4B2F">
            <w:pPr>
              <w:ind w:firstLine="0"/>
              <w:jc w:val="center"/>
              <w:rPr>
                <w:rFonts w:eastAsia="Times New Roman" w:cs="Times New Roman"/>
                <w:color w:val="000000"/>
                <w:sz w:val="20"/>
                <w:szCs w:val="20"/>
                <w:lang w:eastAsia="ru-RU"/>
              </w:rPr>
            </w:pPr>
            <w:r w:rsidRPr="001E4B2F">
              <w:rPr>
                <w:rFonts w:eastAsia="Times New Roman" w:cs="Times New Roman"/>
                <w:color w:val="000000"/>
                <w:sz w:val="20"/>
                <w:szCs w:val="20"/>
                <w:lang w:eastAsia="ru-RU"/>
              </w:rPr>
              <w:t>ГНП, СНП, МР</w:t>
            </w:r>
          </w:p>
        </w:tc>
        <w:tc>
          <w:tcPr>
            <w:tcW w:w="611" w:type="pct"/>
            <w:vMerge w:val="restart"/>
            <w:tcBorders>
              <w:top w:val="nil"/>
              <w:left w:val="single" w:sz="4" w:space="0" w:color="000000"/>
              <w:bottom w:val="single" w:sz="4" w:space="0" w:color="000000"/>
              <w:right w:val="single" w:sz="4" w:space="0" w:color="000000"/>
            </w:tcBorders>
            <w:shd w:val="clear" w:color="auto" w:fill="auto"/>
            <w:vAlign w:val="center"/>
            <w:hideMark/>
          </w:tcPr>
          <w:p w14:paraId="2B53848D" w14:textId="77777777" w:rsidR="001E4B2F" w:rsidRPr="001E4B2F" w:rsidRDefault="001E4B2F" w:rsidP="001E4B2F">
            <w:pPr>
              <w:ind w:firstLine="0"/>
              <w:jc w:val="center"/>
              <w:rPr>
                <w:rFonts w:eastAsia="Times New Roman" w:cs="Times New Roman"/>
                <w:color w:val="000000"/>
                <w:sz w:val="20"/>
                <w:szCs w:val="20"/>
                <w:lang w:eastAsia="ru-RU"/>
              </w:rPr>
            </w:pPr>
            <w:r w:rsidRPr="001E4B2F">
              <w:rPr>
                <w:rFonts w:eastAsia="Times New Roman" w:cs="Times New Roman"/>
                <w:color w:val="000000"/>
                <w:sz w:val="20"/>
                <w:szCs w:val="20"/>
                <w:lang w:eastAsia="ru-RU"/>
              </w:rPr>
              <w:t>Объекты с неполными харкетристиками</w:t>
            </w:r>
          </w:p>
        </w:tc>
        <w:tc>
          <w:tcPr>
            <w:tcW w:w="347" w:type="pct"/>
            <w:tcBorders>
              <w:top w:val="nil"/>
              <w:left w:val="nil"/>
              <w:bottom w:val="single" w:sz="4" w:space="0" w:color="000000"/>
              <w:right w:val="single" w:sz="4" w:space="0" w:color="000000"/>
            </w:tcBorders>
            <w:shd w:val="clear" w:color="auto" w:fill="auto"/>
            <w:vAlign w:val="center"/>
            <w:hideMark/>
          </w:tcPr>
          <w:p w14:paraId="3E10EFBD" w14:textId="77777777" w:rsidR="001E4B2F" w:rsidRPr="001E4B2F" w:rsidRDefault="001E4B2F" w:rsidP="001E4B2F">
            <w:pPr>
              <w:ind w:firstLine="0"/>
              <w:jc w:val="center"/>
              <w:rPr>
                <w:rFonts w:eastAsia="Times New Roman" w:cs="Times New Roman"/>
                <w:color w:val="000000"/>
                <w:sz w:val="20"/>
                <w:szCs w:val="20"/>
                <w:lang w:eastAsia="ru-RU"/>
              </w:rPr>
            </w:pPr>
            <w:r w:rsidRPr="001E4B2F">
              <w:rPr>
                <w:rFonts w:eastAsia="Times New Roman" w:cs="Times New Roman"/>
                <w:color w:val="000000"/>
                <w:sz w:val="20"/>
                <w:szCs w:val="20"/>
                <w:lang w:eastAsia="ru-RU"/>
              </w:rPr>
              <w:t>5.1.</w:t>
            </w:r>
          </w:p>
        </w:tc>
        <w:tc>
          <w:tcPr>
            <w:tcW w:w="471" w:type="pct"/>
            <w:tcBorders>
              <w:top w:val="nil"/>
              <w:left w:val="nil"/>
              <w:bottom w:val="single" w:sz="4" w:space="0" w:color="000000"/>
              <w:right w:val="single" w:sz="4" w:space="0" w:color="000000"/>
            </w:tcBorders>
            <w:shd w:val="clear" w:color="auto" w:fill="auto"/>
            <w:noWrap/>
            <w:vAlign w:val="center"/>
            <w:hideMark/>
          </w:tcPr>
          <w:p w14:paraId="2AC9E952" w14:textId="77777777" w:rsidR="001E4B2F" w:rsidRPr="001E4B2F" w:rsidRDefault="001E4B2F" w:rsidP="001E4B2F">
            <w:pPr>
              <w:ind w:firstLine="0"/>
              <w:jc w:val="left"/>
              <w:rPr>
                <w:rFonts w:eastAsia="Times New Roman" w:cs="Times New Roman"/>
                <w:color w:val="000000"/>
                <w:sz w:val="20"/>
                <w:szCs w:val="20"/>
                <w:lang w:eastAsia="ru-RU"/>
              </w:rPr>
            </w:pPr>
            <w:r w:rsidRPr="001E4B2F">
              <w:rPr>
                <w:rFonts w:eastAsia="Times New Roman" w:cs="Times New Roman"/>
                <w:color w:val="000000"/>
                <w:sz w:val="20"/>
                <w:szCs w:val="20"/>
                <w:lang w:eastAsia="ru-RU"/>
              </w:rPr>
              <w:t>Сравнительный</w:t>
            </w:r>
          </w:p>
        </w:tc>
        <w:tc>
          <w:tcPr>
            <w:tcW w:w="378" w:type="pct"/>
            <w:tcBorders>
              <w:top w:val="nil"/>
              <w:left w:val="nil"/>
              <w:bottom w:val="single" w:sz="4" w:space="0" w:color="000000"/>
              <w:right w:val="single" w:sz="4" w:space="0" w:color="000000"/>
            </w:tcBorders>
            <w:shd w:val="clear" w:color="auto" w:fill="auto"/>
            <w:noWrap/>
            <w:vAlign w:val="bottom"/>
            <w:hideMark/>
          </w:tcPr>
          <w:p w14:paraId="1F08C974" w14:textId="77777777" w:rsidR="001E4B2F" w:rsidRPr="001E4B2F" w:rsidRDefault="001E4B2F" w:rsidP="001E4B2F">
            <w:pPr>
              <w:ind w:firstLine="0"/>
              <w:jc w:val="left"/>
              <w:rPr>
                <w:rFonts w:eastAsia="Times New Roman" w:cs="Times New Roman"/>
                <w:color w:val="000000"/>
                <w:sz w:val="20"/>
                <w:szCs w:val="20"/>
                <w:lang w:eastAsia="ru-RU"/>
              </w:rPr>
            </w:pPr>
            <w:r w:rsidRPr="001E4B2F">
              <w:rPr>
                <w:rFonts w:eastAsia="Times New Roman" w:cs="Times New Roman"/>
                <w:color w:val="000000"/>
                <w:sz w:val="20"/>
                <w:szCs w:val="20"/>
                <w:lang w:eastAsia="ru-RU"/>
              </w:rPr>
              <w:t>Массовый</w:t>
            </w:r>
          </w:p>
        </w:tc>
        <w:tc>
          <w:tcPr>
            <w:tcW w:w="708" w:type="pct"/>
            <w:tcBorders>
              <w:top w:val="nil"/>
              <w:left w:val="nil"/>
              <w:bottom w:val="single" w:sz="4" w:space="0" w:color="000000"/>
              <w:right w:val="single" w:sz="4" w:space="0" w:color="000000"/>
            </w:tcBorders>
            <w:shd w:val="clear" w:color="auto" w:fill="auto"/>
            <w:noWrap/>
            <w:vAlign w:val="center"/>
            <w:hideMark/>
          </w:tcPr>
          <w:p w14:paraId="2F2538BD" w14:textId="77777777" w:rsidR="001E4B2F" w:rsidRPr="001E4B2F" w:rsidRDefault="001E4B2F" w:rsidP="001E4B2F">
            <w:pPr>
              <w:ind w:firstLine="0"/>
              <w:jc w:val="left"/>
              <w:rPr>
                <w:rFonts w:eastAsia="Times New Roman" w:cs="Times New Roman"/>
                <w:color w:val="000000"/>
                <w:sz w:val="20"/>
                <w:szCs w:val="20"/>
                <w:lang w:eastAsia="ru-RU"/>
              </w:rPr>
            </w:pPr>
            <w:r w:rsidRPr="001E4B2F">
              <w:rPr>
                <w:rFonts w:eastAsia="Times New Roman" w:cs="Times New Roman"/>
                <w:color w:val="000000"/>
                <w:sz w:val="20"/>
                <w:szCs w:val="20"/>
                <w:lang w:eastAsia="ru-RU"/>
              </w:rPr>
              <w:t>Метод УПКС (минимальное)</w:t>
            </w:r>
          </w:p>
        </w:tc>
      </w:tr>
      <w:tr w:rsidR="001E4B2F" w:rsidRPr="001E4B2F" w14:paraId="4963F62E" w14:textId="77777777" w:rsidTr="001E4B2F">
        <w:trPr>
          <w:trHeight w:val="510"/>
        </w:trPr>
        <w:tc>
          <w:tcPr>
            <w:tcW w:w="240" w:type="pct"/>
            <w:vMerge/>
            <w:tcBorders>
              <w:top w:val="nil"/>
              <w:left w:val="single" w:sz="4" w:space="0" w:color="000000"/>
              <w:bottom w:val="single" w:sz="4" w:space="0" w:color="000000"/>
              <w:right w:val="single" w:sz="4" w:space="0" w:color="000000"/>
            </w:tcBorders>
            <w:vAlign w:val="center"/>
            <w:hideMark/>
          </w:tcPr>
          <w:p w14:paraId="5B1160F9" w14:textId="77777777" w:rsidR="001E4B2F" w:rsidRPr="001E4B2F" w:rsidRDefault="001E4B2F" w:rsidP="001E4B2F">
            <w:pPr>
              <w:ind w:firstLine="0"/>
              <w:jc w:val="left"/>
              <w:rPr>
                <w:rFonts w:eastAsia="Times New Roman" w:cs="Times New Roman"/>
                <w:color w:val="000000"/>
                <w:sz w:val="20"/>
                <w:szCs w:val="20"/>
                <w:lang w:eastAsia="ru-RU"/>
              </w:rPr>
            </w:pPr>
          </w:p>
        </w:tc>
        <w:tc>
          <w:tcPr>
            <w:tcW w:w="788" w:type="pct"/>
            <w:vMerge/>
            <w:tcBorders>
              <w:top w:val="nil"/>
              <w:left w:val="single" w:sz="4" w:space="0" w:color="000000"/>
              <w:bottom w:val="single" w:sz="4" w:space="0" w:color="000000"/>
              <w:right w:val="single" w:sz="4" w:space="0" w:color="000000"/>
            </w:tcBorders>
            <w:vAlign w:val="center"/>
            <w:hideMark/>
          </w:tcPr>
          <w:p w14:paraId="44C22233" w14:textId="77777777" w:rsidR="001E4B2F" w:rsidRPr="001E4B2F" w:rsidRDefault="001E4B2F" w:rsidP="001E4B2F">
            <w:pPr>
              <w:ind w:firstLine="0"/>
              <w:jc w:val="left"/>
              <w:rPr>
                <w:rFonts w:eastAsia="Times New Roman" w:cs="Times New Roman"/>
                <w:color w:val="000000"/>
                <w:sz w:val="20"/>
                <w:szCs w:val="20"/>
                <w:lang w:eastAsia="ru-RU"/>
              </w:rPr>
            </w:pPr>
          </w:p>
        </w:tc>
        <w:tc>
          <w:tcPr>
            <w:tcW w:w="370" w:type="pct"/>
            <w:vMerge/>
            <w:tcBorders>
              <w:top w:val="nil"/>
              <w:left w:val="single" w:sz="4" w:space="0" w:color="000000"/>
              <w:bottom w:val="single" w:sz="4" w:space="0" w:color="000000"/>
              <w:right w:val="single" w:sz="4" w:space="0" w:color="000000"/>
            </w:tcBorders>
            <w:vAlign w:val="center"/>
            <w:hideMark/>
          </w:tcPr>
          <w:p w14:paraId="66A6CE06" w14:textId="77777777" w:rsidR="001E4B2F" w:rsidRPr="001E4B2F" w:rsidRDefault="001E4B2F" w:rsidP="001E4B2F">
            <w:pPr>
              <w:ind w:firstLine="0"/>
              <w:jc w:val="left"/>
              <w:rPr>
                <w:rFonts w:eastAsia="Times New Roman" w:cs="Times New Roman"/>
                <w:color w:val="000000"/>
                <w:sz w:val="20"/>
                <w:szCs w:val="20"/>
                <w:lang w:eastAsia="ru-RU"/>
              </w:rPr>
            </w:pPr>
          </w:p>
        </w:tc>
        <w:tc>
          <w:tcPr>
            <w:tcW w:w="559" w:type="pct"/>
            <w:tcBorders>
              <w:top w:val="nil"/>
              <w:left w:val="nil"/>
              <w:bottom w:val="single" w:sz="4" w:space="0" w:color="000000"/>
              <w:right w:val="single" w:sz="4" w:space="0" w:color="000000"/>
            </w:tcBorders>
            <w:shd w:val="clear" w:color="auto" w:fill="auto"/>
            <w:vAlign w:val="center"/>
            <w:hideMark/>
          </w:tcPr>
          <w:p w14:paraId="283AB1AB" w14:textId="77777777" w:rsidR="001E4B2F" w:rsidRPr="001E4B2F" w:rsidRDefault="001E4B2F" w:rsidP="001E4B2F">
            <w:pPr>
              <w:ind w:firstLine="0"/>
              <w:jc w:val="center"/>
              <w:rPr>
                <w:rFonts w:eastAsia="Times New Roman" w:cs="Times New Roman"/>
                <w:color w:val="000000"/>
                <w:sz w:val="20"/>
                <w:szCs w:val="20"/>
                <w:lang w:eastAsia="ru-RU"/>
              </w:rPr>
            </w:pPr>
            <w:r w:rsidRPr="001E4B2F">
              <w:rPr>
                <w:rFonts w:eastAsia="Times New Roman" w:cs="Times New Roman"/>
                <w:color w:val="000000"/>
                <w:sz w:val="20"/>
                <w:szCs w:val="20"/>
                <w:lang w:eastAsia="ru-RU"/>
              </w:rPr>
              <w:t>ОНС, сооружения</w:t>
            </w:r>
          </w:p>
        </w:tc>
        <w:tc>
          <w:tcPr>
            <w:tcW w:w="528" w:type="pct"/>
            <w:vMerge/>
            <w:tcBorders>
              <w:top w:val="nil"/>
              <w:left w:val="single" w:sz="4" w:space="0" w:color="000000"/>
              <w:bottom w:val="single" w:sz="4" w:space="0" w:color="000000"/>
              <w:right w:val="single" w:sz="4" w:space="0" w:color="000000"/>
            </w:tcBorders>
            <w:vAlign w:val="center"/>
            <w:hideMark/>
          </w:tcPr>
          <w:p w14:paraId="6EBEBFC4" w14:textId="77777777" w:rsidR="001E4B2F" w:rsidRPr="001E4B2F" w:rsidRDefault="001E4B2F" w:rsidP="001E4B2F">
            <w:pPr>
              <w:ind w:firstLine="0"/>
              <w:jc w:val="left"/>
              <w:rPr>
                <w:rFonts w:eastAsia="Times New Roman" w:cs="Times New Roman"/>
                <w:color w:val="000000"/>
                <w:sz w:val="20"/>
                <w:szCs w:val="20"/>
                <w:lang w:eastAsia="ru-RU"/>
              </w:rPr>
            </w:pPr>
          </w:p>
        </w:tc>
        <w:tc>
          <w:tcPr>
            <w:tcW w:w="611" w:type="pct"/>
            <w:vMerge/>
            <w:tcBorders>
              <w:top w:val="nil"/>
              <w:left w:val="single" w:sz="4" w:space="0" w:color="000000"/>
              <w:bottom w:val="single" w:sz="4" w:space="0" w:color="000000"/>
              <w:right w:val="single" w:sz="4" w:space="0" w:color="000000"/>
            </w:tcBorders>
            <w:vAlign w:val="center"/>
            <w:hideMark/>
          </w:tcPr>
          <w:p w14:paraId="26CFA975" w14:textId="77777777" w:rsidR="001E4B2F" w:rsidRPr="001E4B2F" w:rsidRDefault="001E4B2F" w:rsidP="001E4B2F">
            <w:pPr>
              <w:ind w:firstLine="0"/>
              <w:jc w:val="left"/>
              <w:rPr>
                <w:rFonts w:eastAsia="Times New Roman" w:cs="Times New Roman"/>
                <w:color w:val="000000"/>
                <w:sz w:val="20"/>
                <w:szCs w:val="20"/>
                <w:lang w:eastAsia="ru-RU"/>
              </w:rPr>
            </w:pPr>
          </w:p>
        </w:tc>
        <w:tc>
          <w:tcPr>
            <w:tcW w:w="347" w:type="pct"/>
            <w:tcBorders>
              <w:top w:val="nil"/>
              <w:left w:val="nil"/>
              <w:bottom w:val="single" w:sz="4" w:space="0" w:color="000000"/>
              <w:right w:val="single" w:sz="4" w:space="0" w:color="000000"/>
            </w:tcBorders>
            <w:shd w:val="clear" w:color="auto" w:fill="auto"/>
            <w:vAlign w:val="center"/>
            <w:hideMark/>
          </w:tcPr>
          <w:p w14:paraId="07A4ACAC" w14:textId="77777777" w:rsidR="001E4B2F" w:rsidRPr="001E4B2F" w:rsidRDefault="001E4B2F" w:rsidP="001E4B2F">
            <w:pPr>
              <w:ind w:firstLine="0"/>
              <w:jc w:val="center"/>
              <w:rPr>
                <w:rFonts w:eastAsia="Times New Roman" w:cs="Times New Roman"/>
                <w:color w:val="000000"/>
                <w:sz w:val="20"/>
                <w:szCs w:val="20"/>
                <w:lang w:eastAsia="ru-RU"/>
              </w:rPr>
            </w:pPr>
            <w:r w:rsidRPr="001E4B2F">
              <w:rPr>
                <w:rFonts w:eastAsia="Times New Roman" w:cs="Times New Roman"/>
                <w:color w:val="000000"/>
                <w:sz w:val="20"/>
                <w:szCs w:val="20"/>
                <w:lang w:eastAsia="ru-RU"/>
              </w:rPr>
              <w:t>5.2.</w:t>
            </w:r>
          </w:p>
        </w:tc>
        <w:tc>
          <w:tcPr>
            <w:tcW w:w="471" w:type="pct"/>
            <w:tcBorders>
              <w:top w:val="nil"/>
              <w:left w:val="nil"/>
              <w:bottom w:val="single" w:sz="4" w:space="0" w:color="000000"/>
              <w:right w:val="single" w:sz="4" w:space="0" w:color="000000"/>
            </w:tcBorders>
            <w:shd w:val="clear" w:color="auto" w:fill="auto"/>
            <w:noWrap/>
            <w:vAlign w:val="center"/>
            <w:hideMark/>
          </w:tcPr>
          <w:p w14:paraId="5380FAAE" w14:textId="77777777" w:rsidR="001E4B2F" w:rsidRPr="001E4B2F" w:rsidRDefault="001E4B2F" w:rsidP="001E4B2F">
            <w:pPr>
              <w:ind w:firstLine="0"/>
              <w:jc w:val="left"/>
              <w:rPr>
                <w:rFonts w:eastAsia="Times New Roman" w:cs="Times New Roman"/>
                <w:color w:val="000000"/>
                <w:sz w:val="20"/>
                <w:szCs w:val="20"/>
                <w:lang w:eastAsia="ru-RU"/>
              </w:rPr>
            </w:pPr>
            <w:r w:rsidRPr="001E4B2F">
              <w:rPr>
                <w:rFonts w:eastAsia="Times New Roman" w:cs="Times New Roman"/>
                <w:color w:val="000000"/>
                <w:sz w:val="20"/>
                <w:szCs w:val="20"/>
                <w:lang w:eastAsia="ru-RU"/>
              </w:rPr>
              <w:t>Сравнительный</w:t>
            </w:r>
          </w:p>
        </w:tc>
        <w:tc>
          <w:tcPr>
            <w:tcW w:w="378" w:type="pct"/>
            <w:tcBorders>
              <w:top w:val="nil"/>
              <w:left w:val="nil"/>
              <w:bottom w:val="single" w:sz="4" w:space="0" w:color="000000"/>
              <w:right w:val="single" w:sz="4" w:space="0" w:color="000000"/>
            </w:tcBorders>
            <w:shd w:val="clear" w:color="auto" w:fill="auto"/>
            <w:noWrap/>
            <w:vAlign w:val="bottom"/>
            <w:hideMark/>
          </w:tcPr>
          <w:p w14:paraId="161DC7E5" w14:textId="77777777" w:rsidR="001E4B2F" w:rsidRPr="001E4B2F" w:rsidRDefault="001E4B2F" w:rsidP="001E4B2F">
            <w:pPr>
              <w:ind w:firstLine="0"/>
              <w:jc w:val="left"/>
              <w:rPr>
                <w:rFonts w:eastAsia="Times New Roman" w:cs="Times New Roman"/>
                <w:color w:val="000000"/>
                <w:sz w:val="20"/>
                <w:szCs w:val="20"/>
                <w:lang w:eastAsia="ru-RU"/>
              </w:rPr>
            </w:pPr>
            <w:r w:rsidRPr="001E4B2F">
              <w:rPr>
                <w:rFonts w:eastAsia="Times New Roman" w:cs="Times New Roman"/>
                <w:color w:val="000000"/>
                <w:sz w:val="20"/>
                <w:szCs w:val="20"/>
                <w:lang w:eastAsia="ru-RU"/>
              </w:rPr>
              <w:t>Массовый</w:t>
            </w:r>
          </w:p>
        </w:tc>
        <w:tc>
          <w:tcPr>
            <w:tcW w:w="708" w:type="pct"/>
            <w:tcBorders>
              <w:top w:val="nil"/>
              <w:left w:val="nil"/>
              <w:bottom w:val="single" w:sz="4" w:space="0" w:color="000000"/>
              <w:right w:val="single" w:sz="4" w:space="0" w:color="000000"/>
            </w:tcBorders>
            <w:shd w:val="clear" w:color="auto" w:fill="auto"/>
            <w:noWrap/>
            <w:vAlign w:val="center"/>
            <w:hideMark/>
          </w:tcPr>
          <w:p w14:paraId="0F8A5823" w14:textId="77777777" w:rsidR="001E4B2F" w:rsidRPr="001E4B2F" w:rsidRDefault="001E4B2F" w:rsidP="001E4B2F">
            <w:pPr>
              <w:ind w:firstLine="0"/>
              <w:jc w:val="left"/>
              <w:rPr>
                <w:rFonts w:eastAsia="Times New Roman" w:cs="Times New Roman"/>
                <w:color w:val="000000"/>
                <w:sz w:val="20"/>
                <w:szCs w:val="20"/>
                <w:lang w:eastAsia="ru-RU"/>
              </w:rPr>
            </w:pPr>
            <w:r w:rsidRPr="001E4B2F">
              <w:rPr>
                <w:rFonts w:eastAsia="Times New Roman" w:cs="Times New Roman"/>
                <w:color w:val="000000"/>
                <w:sz w:val="20"/>
                <w:szCs w:val="20"/>
                <w:lang w:eastAsia="ru-RU"/>
              </w:rPr>
              <w:t>Метод УПКС (минимальное)</w:t>
            </w:r>
          </w:p>
        </w:tc>
      </w:tr>
      <w:tr w:rsidR="001E4B2F" w:rsidRPr="001E4B2F" w14:paraId="2D3CD1F0" w14:textId="77777777" w:rsidTr="001E4B2F">
        <w:trPr>
          <w:trHeight w:val="765"/>
        </w:trPr>
        <w:tc>
          <w:tcPr>
            <w:tcW w:w="240" w:type="pct"/>
            <w:vMerge/>
            <w:tcBorders>
              <w:top w:val="nil"/>
              <w:left w:val="single" w:sz="4" w:space="0" w:color="000000"/>
              <w:bottom w:val="single" w:sz="4" w:space="0" w:color="000000"/>
              <w:right w:val="single" w:sz="4" w:space="0" w:color="000000"/>
            </w:tcBorders>
            <w:vAlign w:val="center"/>
            <w:hideMark/>
          </w:tcPr>
          <w:p w14:paraId="1AE816C8" w14:textId="77777777" w:rsidR="001E4B2F" w:rsidRPr="001E4B2F" w:rsidRDefault="001E4B2F" w:rsidP="001E4B2F">
            <w:pPr>
              <w:ind w:firstLine="0"/>
              <w:jc w:val="left"/>
              <w:rPr>
                <w:rFonts w:eastAsia="Times New Roman" w:cs="Times New Roman"/>
                <w:color w:val="000000"/>
                <w:sz w:val="20"/>
                <w:szCs w:val="20"/>
                <w:lang w:eastAsia="ru-RU"/>
              </w:rPr>
            </w:pPr>
          </w:p>
        </w:tc>
        <w:tc>
          <w:tcPr>
            <w:tcW w:w="788" w:type="pct"/>
            <w:vMerge/>
            <w:tcBorders>
              <w:top w:val="nil"/>
              <w:left w:val="single" w:sz="4" w:space="0" w:color="000000"/>
              <w:bottom w:val="single" w:sz="4" w:space="0" w:color="000000"/>
              <w:right w:val="single" w:sz="4" w:space="0" w:color="000000"/>
            </w:tcBorders>
            <w:vAlign w:val="center"/>
            <w:hideMark/>
          </w:tcPr>
          <w:p w14:paraId="54BEC8DA" w14:textId="77777777" w:rsidR="001E4B2F" w:rsidRPr="001E4B2F" w:rsidRDefault="001E4B2F" w:rsidP="001E4B2F">
            <w:pPr>
              <w:ind w:firstLine="0"/>
              <w:jc w:val="left"/>
              <w:rPr>
                <w:rFonts w:eastAsia="Times New Roman" w:cs="Times New Roman"/>
                <w:color w:val="000000"/>
                <w:sz w:val="20"/>
                <w:szCs w:val="20"/>
                <w:lang w:eastAsia="ru-RU"/>
              </w:rPr>
            </w:pPr>
          </w:p>
        </w:tc>
        <w:tc>
          <w:tcPr>
            <w:tcW w:w="370" w:type="pct"/>
            <w:vMerge/>
            <w:tcBorders>
              <w:top w:val="nil"/>
              <w:left w:val="single" w:sz="4" w:space="0" w:color="000000"/>
              <w:bottom w:val="single" w:sz="4" w:space="0" w:color="000000"/>
              <w:right w:val="single" w:sz="4" w:space="0" w:color="000000"/>
            </w:tcBorders>
            <w:vAlign w:val="center"/>
            <w:hideMark/>
          </w:tcPr>
          <w:p w14:paraId="362C3700" w14:textId="77777777" w:rsidR="001E4B2F" w:rsidRPr="001E4B2F" w:rsidRDefault="001E4B2F" w:rsidP="001E4B2F">
            <w:pPr>
              <w:ind w:firstLine="0"/>
              <w:jc w:val="left"/>
              <w:rPr>
                <w:rFonts w:eastAsia="Times New Roman" w:cs="Times New Roman"/>
                <w:color w:val="000000"/>
                <w:sz w:val="20"/>
                <w:szCs w:val="20"/>
                <w:lang w:eastAsia="ru-RU"/>
              </w:rPr>
            </w:pPr>
          </w:p>
        </w:tc>
        <w:tc>
          <w:tcPr>
            <w:tcW w:w="559" w:type="pct"/>
            <w:tcBorders>
              <w:top w:val="nil"/>
              <w:left w:val="nil"/>
              <w:bottom w:val="single" w:sz="4" w:space="0" w:color="000000"/>
              <w:right w:val="single" w:sz="4" w:space="0" w:color="000000"/>
            </w:tcBorders>
            <w:shd w:val="clear" w:color="auto" w:fill="auto"/>
            <w:vAlign w:val="center"/>
            <w:hideMark/>
          </w:tcPr>
          <w:p w14:paraId="5946D2BD" w14:textId="77777777" w:rsidR="001E4B2F" w:rsidRPr="001E4B2F" w:rsidRDefault="001E4B2F" w:rsidP="001E4B2F">
            <w:pPr>
              <w:ind w:firstLine="0"/>
              <w:jc w:val="center"/>
              <w:rPr>
                <w:rFonts w:eastAsia="Times New Roman" w:cs="Times New Roman"/>
                <w:color w:val="000000"/>
                <w:sz w:val="20"/>
                <w:szCs w:val="20"/>
                <w:lang w:eastAsia="ru-RU"/>
              </w:rPr>
            </w:pPr>
            <w:r w:rsidRPr="001E4B2F">
              <w:rPr>
                <w:rFonts w:eastAsia="Times New Roman" w:cs="Times New Roman"/>
                <w:color w:val="000000"/>
                <w:sz w:val="20"/>
                <w:szCs w:val="20"/>
                <w:lang w:eastAsia="ru-RU"/>
              </w:rPr>
              <w:t>Здания, помещения, сооружения, ОНС</w:t>
            </w:r>
          </w:p>
        </w:tc>
        <w:tc>
          <w:tcPr>
            <w:tcW w:w="528" w:type="pct"/>
            <w:vMerge/>
            <w:tcBorders>
              <w:top w:val="nil"/>
              <w:left w:val="single" w:sz="4" w:space="0" w:color="000000"/>
              <w:bottom w:val="single" w:sz="4" w:space="0" w:color="000000"/>
              <w:right w:val="single" w:sz="4" w:space="0" w:color="000000"/>
            </w:tcBorders>
            <w:vAlign w:val="center"/>
            <w:hideMark/>
          </w:tcPr>
          <w:p w14:paraId="0D0F9167" w14:textId="77777777" w:rsidR="001E4B2F" w:rsidRPr="001E4B2F" w:rsidRDefault="001E4B2F" w:rsidP="001E4B2F">
            <w:pPr>
              <w:ind w:firstLine="0"/>
              <w:jc w:val="left"/>
              <w:rPr>
                <w:rFonts w:eastAsia="Times New Roman" w:cs="Times New Roman"/>
                <w:color w:val="000000"/>
                <w:sz w:val="20"/>
                <w:szCs w:val="20"/>
                <w:lang w:eastAsia="ru-RU"/>
              </w:rPr>
            </w:pPr>
          </w:p>
        </w:tc>
        <w:tc>
          <w:tcPr>
            <w:tcW w:w="611" w:type="pct"/>
            <w:tcBorders>
              <w:top w:val="nil"/>
              <w:left w:val="nil"/>
              <w:bottom w:val="single" w:sz="4" w:space="0" w:color="000000"/>
              <w:right w:val="single" w:sz="4" w:space="0" w:color="000000"/>
            </w:tcBorders>
            <w:shd w:val="clear" w:color="auto" w:fill="auto"/>
            <w:vAlign w:val="center"/>
            <w:hideMark/>
          </w:tcPr>
          <w:p w14:paraId="2949CFBF" w14:textId="77777777" w:rsidR="001E4B2F" w:rsidRPr="001E4B2F" w:rsidRDefault="001E4B2F" w:rsidP="001E4B2F">
            <w:pPr>
              <w:ind w:firstLine="0"/>
              <w:jc w:val="center"/>
              <w:rPr>
                <w:rFonts w:eastAsia="Times New Roman" w:cs="Times New Roman"/>
                <w:color w:val="000000"/>
                <w:sz w:val="20"/>
                <w:szCs w:val="20"/>
                <w:lang w:eastAsia="ru-RU"/>
              </w:rPr>
            </w:pPr>
            <w:r w:rsidRPr="001E4B2F">
              <w:rPr>
                <w:rFonts w:eastAsia="Times New Roman" w:cs="Times New Roman"/>
                <w:color w:val="000000"/>
                <w:sz w:val="20"/>
                <w:szCs w:val="20"/>
                <w:lang w:eastAsia="ru-RU"/>
              </w:rPr>
              <w:t>Объекты с полными характеристиками</w:t>
            </w:r>
          </w:p>
        </w:tc>
        <w:tc>
          <w:tcPr>
            <w:tcW w:w="347" w:type="pct"/>
            <w:tcBorders>
              <w:top w:val="nil"/>
              <w:left w:val="nil"/>
              <w:bottom w:val="single" w:sz="4" w:space="0" w:color="000000"/>
              <w:right w:val="single" w:sz="4" w:space="0" w:color="000000"/>
            </w:tcBorders>
            <w:shd w:val="clear" w:color="auto" w:fill="auto"/>
            <w:vAlign w:val="center"/>
            <w:hideMark/>
          </w:tcPr>
          <w:p w14:paraId="0FB39620" w14:textId="77777777" w:rsidR="001E4B2F" w:rsidRPr="001E4B2F" w:rsidRDefault="001E4B2F" w:rsidP="001E4B2F">
            <w:pPr>
              <w:ind w:firstLine="0"/>
              <w:jc w:val="center"/>
              <w:rPr>
                <w:rFonts w:eastAsia="Times New Roman" w:cs="Times New Roman"/>
                <w:color w:val="000000"/>
                <w:sz w:val="20"/>
                <w:szCs w:val="20"/>
                <w:lang w:eastAsia="ru-RU"/>
              </w:rPr>
            </w:pPr>
            <w:r w:rsidRPr="001E4B2F">
              <w:rPr>
                <w:rFonts w:eastAsia="Times New Roman" w:cs="Times New Roman"/>
                <w:color w:val="000000"/>
                <w:sz w:val="20"/>
                <w:szCs w:val="20"/>
                <w:lang w:eastAsia="ru-RU"/>
              </w:rPr>
              <w:t>5.3.</w:t>
            </w:r>
          </w:p>
        </w:tc>
        <w:tc>
          <w:tcPr>
            <w:tcW w:w="471" w:type="pct"/>
            <w:tcBorders>
              <w:top w:val="nil"/>
              <w:left w:val="nil"/>
              <w:bottom w:val="single" w:sz="4" w:space="0" w:color="000000"/>
              <w:right w:val="single" w:sz="4" w:space="0" w:color="000000"/>
            </w:tcBorders>
            <w:shd w:val="clear" w:color="auto" w:fill="auto"/>
            <w:noWrap/>
            <w:vAlign w:val="center"/>
            <w:hideMark/>
          </w:tcPr>
          <w:p w14:paraId="779304E4" w14:textId="77777777" w:rsidR="001E4B2F" w:rsidRPr="001E4B2F" w:rsidRDefault="001E4B2F" w:rsidP="001E4B2F">
            <w:pPr>
              <w:ind w:firstLine="0"/>
              <w:jc w:val="left"/>
              <w:rPr>
                <w:rFonts w:eastAsia="Times New Roman" w:cs="Times New Roman"/>
                <w:color w:val="000000"/>
                <w:sz w:val="20"/>
                <w:szCs w:val="20"/>
                <w:lang w:eastAsia="ru-RU"/>
              </w:rPr>
            </w:pPr>
            <w:r w:rsidRPr="001E4B2F">
              <w:rPr>
                <w:rFonts w:eastAsia="Times New Roman" w:cs="Times New Roman"/>
                <w:color w:val="000000"/>
                <w:sz w:val="20"/>
                <w:szCs w:val="20"/>
                <w:lang w:eastAsia="ru-RU"/>
              </w:rPr>
              <w:t>Затратный</w:t>
            </w:r>
          </w:p>
        </w:tc>
        <w:tc>
          <w:tcPr>
            <w:tcW w:w="378" w:type="pct"/>
            <w:tcBorders>
              <w:top w:val="nil"/>
              <w:left w:val="nil"/>
              <w:bottom w:val="single" w:sz="4" w:space="0" w:color="000000"/>
              <w:right w:val="single" w:sz="4" w:space="0" w:color="000000"/>
            </w:tcBorders>
            <w:shd w:val="clear" w:color="auto" w:fill="auto"/>
            <w:noWrap/>
            <w:vAlign w:val="center"/>
            <w:hideMark/>
          </w:tcPr>
          <w:p w14:paraId="5E2F92AA" w14:textId="77777777" w:rsidR="001E4B2F" w:rsidRPr="001E4B2F" w:rsidRDefault="001E4B2F" w:rsidP="001E4B2F">
            <w:pPr>
              <w:ind w:firstLine="0"/>
              <w:jc w:val="left"/>
              <w:rPr>
                <w:rFonts w:eastAsia="Times New Roman" w:cs="Times New Roman"/>
                <w:color w:val="000000"/>
                <w:sz w:val="20"/>
                <w:szCs w:val="20"/>
                <w:lang w:eastAsia="ru-RU"/>
              </w:rPr>
            </w:pPr>
            <w:r w:rsidRPr="001E4B2F">
              <w:rPr>
                <w:rFonts w:eastAsia="Times New Roman" w:cs="Times New Roman"/>
                <w:color w:val="000000"/>
                <w:sz w:val="20"/>
                <w:szCs w:val="20"/>
                <w:lang w:eastAsia="ru-RU"/>
              </w:rPr>
              <w:t>Массовый</w:t>
            </w:r>
          </w:p>
        </w:tc>
        <w:tc>
          <w:tcPr>
            <w:tcW w:w="708" w:type="pct"/>
            <w:tcBorders>
              <w:top w:val="nil"/>
              <w:left w:val="nil"/>
              <w:bottom w:val="single" w:sz="4" w:space="0" w:color="000000"/>
              <w:right w:val="single" w:sz="4" w:space="0" w:color="000000"/>
            </w:tcBorders>
            <w:shd w:val="clear" w:color="auto" w:fill="auto"/>
            <w:noWrap/>
            <w:vAlign w:val="center"/>
            <w:hideMark/>
          </w:tcPr>
          <w:p w14:paraId="621A7D11" w14:textId="77777777" w:rsidR="001E4B2F" w:rsidRPr="001E4B2F" w:rsidRDefault="001E4B2F" w:rsidP="001E4B2F">
            <w:pPr>
              <w:ind w:firstLine="0"/>
              <w:jc w:val="left"/>
              <w:rPr>
                <w:rFonts w:eastAsia="Times New Roman" w:cs="Times New Roman"/>
                <w:color w:val="000000"/>
                <w:sz w:val="20"/>
                <w:szCs w:val="20"/>
                <w:lang w:eastAsia="ru-RU"/>
              </w:rPr>
            </w:pPr>
            <w:r w:rsidRPr="001E4B2F">
              <w:rPr>
                <w:rFonts w:eastAsia="Times New Roman" w:cs="Times New Roman"/>
                <w:color w:val="000000"/>
                <w:sz w:val="20"/>
                <w:szCs w:val="20"/>
                <w:lang w:eastAsia="ru-RU"/>
              </w:rPr>
              <w:t>Метод сравнительной единицы (УПСС)</w:t>
            </w:r>
          </w:p>
        </w:tc>
      </w:tr>
      <w:tr w:rsidR="001E4B2F" w:rsidRPr="001E4B2F" w14:paraId="71873E81" w14:textId="77777777" w:rsidTr="001E4B2F">
        <w:trPr>
          <w:trHeight w:val="510"/>
        </w:trPr>
        <w:tc>
          <w:tcPr>
            <w:tcW w:w="240" w:type="pct"/>
            <w:vMerge w:val="restart"/>
            <w:tcBorders>
              <w:top w:val="nil"/>
              <w:left w:val="single" w:sz="4" w:space="0" w:color="000000"/>
              <w:bottom w:val="single" w:sz="4" w:space="0" w:color="000000"/>
              <w:right w:val="single" w:sz="4" w:space="0" w:color="000000"/>
            </w:tcBorders>
            <w:shd w:val="clear" w:color="auto" w:fill="auto"/>
            <w:vAlign w:val="center"/>
            <w:hideMark/>
          </w:tcPr>
          <w:p w14:paraId="114EB916" w14:textId="77777777" w:rsidR="001E4B2F" w:rsidRPr="001E4B2F" w:rsidRDefault="001E4B2F" w:rsidP="001E4B2F">
            <w:pPr>
              <w:ind w:firstLine="0"/>
              <w:jc w:val="center"/>
              <w:rPr>
                <w:rFonts w:eastAsia="Times New Roman" w:cs="Times New Roman"/>
                <w:color w:val="000000"/>
                <w:sz w:val="20"/>
                <w:szCs w:val="20"/>
                <w:lang w:eastAsia="ru-RU"/>
              </w:rPr>
            </w:pPr>
            <w:r w:rsidRPr="001E4B2F">
              <w:rPr>
                <w:rFonts w:eastAsia="Times New Roman" w:cs="Times New Roman"/>
                <w:color w:val="000000"/>
                <w:sz w:val="20"/>
                <w:szCs w:val="20"/>
                <w:lang w:eastAsia="ru-RU"/>
              </w:rPr>
              <w:t>6</w:t>
            </w:r>
          </w:p>
        </w:tc>
        <w:tc>
          <w:tcPr>
            <w:tcW w:w="788" w:type="pct"/>
            <w:vMerge w:val="restart"/>
            <w:tcBorders>
              <w:top w:val="nil"/>
              <w:left w:val="single" w:sz="4" w:space="0" w:color="000000"/>
              <w:bottom w:val="single" w:sz="4" w:space="0" w:color="000000"/>
              <w:right w:val="single" w:sz="4" w:space="0" w:color="000000"/>
            </w:tcBorders>
            <w:shd w:val="clear" w:color="auto" w:fill="auto"/>
            <w:vAlign w:val="center"/>
            <w:hideMark/>
          </w:tcPr>
          <w:p w14:paraId="141F2CC1" w14:textId="77777777" w:rsidR="001E4B2F" w:rsidRPr="001E4B2F" w:rsidRDefault="001E4B2F" w:rsidP="001E4B2F">
            <w:pPr>
              <w:ind w:firstLine="0"/>
              <w:jc w:val="center"/>
              <w:rPr>
                <w:rFonts w:eastAsia="Times New Roman" w:cs="Times New Roman"/>
                <w:color w:val="000000"/>
                <w:sz w:val="20"/>
                <w:szCs w:val="20"/>
                <w:lang w:eastAsia="ru-RU"/>
              </w:rPr>
            </w:pPr>
            <w:r w:rsidRPr="001E4B2F">
              <w:rPr>
                <w:rFonts w:eastAsia="Times New Roman" w:cs="Times New Roman"/>
                <w:color w:val="000000"/>
                <w:sz w:val="20"/>
                <w:szCs w:val="20"/>
                <w:lang w:eastAsia="ru-RU"/>
              </w:rPr>
              <w:t>Административные и бытовые объекты</w:t>
            </w:r>
          </w:p>
        </w:tc>
        <w:tc>
          <w:tcPr>
            <w:tcW w:w="370"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14:paraId="0B049E97" w14:textId="77777777" w:rsidR="001E4B2F" w:rsidRPr="001E4B2F" w:rsidRDefault="001E4B2F" w:rsidP="001E4B2F">
            <w:pPr>
              <w:ind w:firstLine="0"/>
              <w:jc w:val="center"/>
              <w:rPr>
                <w:rFonts w:eastAsia="Times New Roman" w:cs="Times New Roman"/>
                <w:color w:val="000000"/>
                <w:sz w:val="20"/>
                <w:szCs w:val="20"/>
                <w:lang w:eastAsia="ru-RU"/>
              </w:rPr>
            </w:pPr>
            <w:r w:rsidRPr="001E4B2F">
              <w:rPr>
                <w:rFonts w:eastAsia="Times New Roman" w:cs="Times New Roman"/>
                <w:color w:val="000000"/>
                <w:sz w:val="20"/>
                <w:szCs w:val="20"/>
                <w:lang w:eastAsia="ru-RU"/>
              </w:rPr>
              <w:t>601-609</w:t>
            </w:r>
          </w:p>
        </w:tc>
        <w:tc>
          <w:tcPr>
            <w:tcW w:w="559" w:type="pct"/>
            <w:tcBorders>
              <w:top w:val="nil"/>
              <w:left w:val="nil"/>
              <w:bottom w:val="single" w:sz="4" w:space="0" w:color="000000"/>
              <w:right w:val="single" w:sz="4" w:space="0" w:color="000000"/>
            </w:tcBorders>
            <w:shd w:val="clear" w:color="auto" w:fill="auto"/>
            <w:vAlign w:val="center"/>
            <w:hideMark/>
          </w:tcPr>
          <w:p w14:paraId="4B44BC5B" w14:textId="77777777" w:rsidR="001E4B2F" w:rsidRPr="001E4B2F" w:rsidRDefault="001E4B2F" w:rsidP="001E4B2F">
            <w:pPr>
              <w:ind w:firstLine="0"/>
              <w:jc w:val="center"/>
              <w:rPr>
                <w:rFonts w:eastAsia="Times New Roman" w:cs="Times New Roman"/>
                <w:color w:val="000000"/>
                <w:sz w:val="20"/>
                <w:szCs w:val="20"/>
                <w:lang w:eastAsia="ru-RU"/>
              </w:rPr>
            </w:pPr>
            <w:r w:rsidRPr="001E4B2F">
              <w:rPr>
                <w:rFonts w:eastAsia="Times New Roman" w:cs="Times New Roman"/>
                <w:color w:val="000000"/>
                <w:sz w:val="20"/>
                <w:szCs w:val="20"/>
                <w:lang w:eastAsia="ru-RU"/>
              </w:rPr>
              <w:t>Здания, помещения</w:t>
            </w:r>
          </w:p>
        </w:tc>
        <w:tc>
          <w:tcPr>
            <w:tcW w:w="528" w:type="pct"/>
            <w:vMerge w:val="restart"/>
            <w:tcBorders>
              <w:top w:val="nil"/>
              <w:left w:val="single" w:sz="4" w:space="0" w:color="000000"/>
              <w:bottom w:val="single" w:sz="4" w:space="0" w:color="000000"/>
              <w:right w:val="single" w:sz="4" w:space="0" w:color="000000"/>
            </w:tcBorders>
            <w:shd w:val="clear" w:color="auto" w:fill="auto"/>
            <w:vAlign w:val="center"/>
            <w:hideMark/>
          </w:tcPr>
          <w:p w14:paraId="26FABD10" w14:textId="77777777" w:rsidR="001E4B2F" w:rsidRPr="001E4B2F" w:rsidRDefault="001E4B2F" w:rsidP="001E4B2F">
            <w:pPr>
              <w:ind w:firstLine="0"/>
              <w:jc w:val="center"/>
              <w:rPr>
                <w:rFonts w:eastAsia="Times New Roman" w:cs="Times New Roman"/>
                <w:color w:val="000000"/>
                <w:sz w:val="20"/>
                <w:szCs w:val="20"/>
                <w:lang w:eastAsia="ru-RU"/>
              </w:rPr>
            </w:pPr>
            <w:r w:rsidRPr="001E4B2F">
              <w:rPr>
                <w:rFonts w:eastAsia="Times New Roman" w:cs="Times New Roman"/>
                <w:color w:val="000000"/>
                <w:sz w:val="20"/>
                <w:szCs w:val="20"/>
                <w:lang w:eastAsia="ru-RU"/>
              </w:rPr>
              <w:t>ГНП, СНП, МР</w:t>
            </w:r>
          </w:p>
        </w:tc>
        <w:tc>
          <w:tcPr>
            <w:tcW w:w="611" w:type="pct"/>
            <w:vMerge w:val="restart"/>
            <w:tcBorders>
              <w:top w:val="nil"/>
              <w:left w:val="single" w:sz="4" w:space="0" w:color="000000"/>
              <w:bottom w:val="single" w:sz="4" w:space="0" w:color="000000"/>
              <w:right w:val="single" w:sz="4" w:space="0" w:color="000000"/>
            </w:tcBorders>
            <w:shd w:val="clear" w:color="auto" w:fill="auto"/>
            <w:vAlign w:val="center"/>
            <w:hideMark/>
          </w:tcPr>
          <w:p w14:paraId="7C33C5A8" w14:textId="77777777" w:rsidR="001E4B2F" w:rsidRPr="001E4B2F" w:rsidRDefault="001E4B2F" w:rsidP="001E4B2F">
            <w:pPr>
              <w:ind w:firstLine="0"/>
              <w:jc w:val="center"/>
              <w:rPr>
                <w:rFonts w:eastAsia="Times New Roman" w:cs="Times New Roman"/>
                <w:color w:val="000000"/>
                <w:sz w:val="20"/>
                <w:szCs w:val="20"/>
                <w:lang w:eastAsia="ru-RU"/>
              </w:rPr>
            </w:pPr>
            <w:r w:rsidRPr="001E4B2F">
              <w:rPr>
                <w:rFonts w:eastAsia="Times New Roman" w:cs="Times New Roman"/>
                <w:color w:val="000000"/>
                <w:sz w:val="20"/>
                <w:szCs w:val="20"/>
                <w:lang w:eastAsia="ru-RU"/>
              </w:rPr>
              <w:t>Объекты с неполными харкетристиками</w:t>
            </w:r>
          </w:p>
        </w:tc>
        <w:tc>
          <w:tcPr>
            <w:tcW w:w="347" w:type="pct"/>
            <w:tcBorders>
              <w:top w:val="nil"/>
              <w:left w:val="nil"/>
              <w:bottom w:val="single" w:sz="4" w:space="0" w:color="000000"/>
              <w:right w:val="single" w:sz="4" w:space="0" w:color="000000"/>
            </w:tcBorders>
            <w:shd w:val="clear" w:color="auto" w:fill="auto"/>
            <w:vAlign w:val="center"/>
            <w:hideMark/>
          </w:tcPr>
          <w:p w14:paraId="6932BCBC" w14:textId="77777777" w:rsidR="001E4B2F" w:rsidRPr="001E4B2F" w:rsidRDefault="001E4B2F" w:rsidP="001E4B2F">
            <w:pPr>
              <w:ind w:firstLine="0"/>
              <w:jc w:val="center"/>
              <w:rPr>
                <w:rFonts w:eastAsia="Times New Roman" w:cs="Times New Roman"/>
                <w:color w:val="000000"/>
                <w:sz w:val="20"/>
                <w:szCs w:val="20"/>
                <w:lang w:eastAsia="ru-RU"/>
              </w:rPr>
            </w:pPr>
            <w:r w:rsidRPr="001E4B2F">
              <w:rPr>
                <w:rFonts w:eastAsia="Times New Roman" w:cs="Times New Roman"/>
                <w:color w:val="000000"/>
                <w:sz w:val="20"/>
                <w:szCs w:val="20"/>
                <w:lang w:eastAsia="ru-RU"/>
              </w:rPr>
              <w:t>6.1.</w:t>
            </w:r>
          </w:p>
        </w:tc>
        <w:tc>
          <w:tcPr>
            <w:tcW w:w="471" w:type="pct"/>
            <w:tcBorders>
              <w:top w:val="nil"/>
              <w:left w:val="nil"/>
              <w:bottom w:val="single" w:sz="4" w:space="0" w:color="000000"/>
              <w:right w:val="single" w:sz="4" w:space="0" w:color="000000"/>
            </w:tcBorders>
            <w:shd w:val="clear" w:color="auto" w:fill="auto"/>
            <w:noWrap/>
            <w:vAlign w:val="center"/>
            <w:hideMark/>
          </w:tcPr>
          <w:p w14:paraId="5A7F5821" w14:textId="77777777" w:rsidR="001E4B2F" w:rsidRPr="001E4B2F" w:rsidRDefault="001E4B2F" w:rsidP="001E4B2F">
            <w:pPr>
              <w:ind w:firstLine="0"/>
              <w:jc w:val="left"/>
              <w:rPr>
                <w:rFonts w:eastAsia="Times New Roman" w:cs="Times New Roman"/>
                <w:color w:val="000000"/>
                <w:sz w:val="20"/>
                <w:szCs w:val="20"/>
                <w:lang w:eastAsia="ru-RU"/>
              </w:rPr>
            </w:pPr>
            <w:r w:rsidRPr="001E4B2F">
              <w:rPr>
                <w:rFonts w:eastAsia="Times New Roman" w:cs="Times New Roman"/>
                <w:color w:val="000000"/>
                <w:sz w:val="20"/>
                <w:szCs w:val="20"/>
                <w:lang w:eastAsia="ru-RU"/>
              </w:rPr>
              <w:t>Сравнительный</w:t>
            </w:r>
          </w:p>
        </w:tc>
        <w:tc>
          <w:tcPr>
            <w:tcW w:w="378" w:type="pct"/>
            <w:tcBorders>
              <w:top w:val="nil"/>
              <w:left w:val="nil"/>
              <w:bottom w:val="single" w:sz="4" w:space="0" w:color="000000"/>
              <w:right w:val="single" w:sz="4" w:space="0" w:color="000000"/>
            </w:tcBorders>
            <w:shd w:val="clear" w:color="auto" w:fill="auto"/>
            <w:noWrap/>
            <w:vAlign w:val="bottom"/>
            <w:hideMark/>
          </w:tcPr>
          <w:p w14:paraId="6264D00A" w14:textId="77777777" w:rsidR="001E4B2F" w:rsidRPr="001E4B2F" w:rsidRDefault="001E4B2F" w:rsidP="001E4B2F">
            <w:pPr>
              <w:ind w:firstLine="0"/>
              <w:jc w:val="left"/>
              <w:rPr>
                <w:rFonts w:eastAsia="Times New Roman" w:cs="Times New Roman"/>
                <w:color w:val="000000"/>
                <w:sz w:val="20"/>
                <w:szCs w:val="20"/>
                <w:lang w:eastAsia="ru-RU"/>
              </w:rPr>
            </w:pPr>
            <w:r w:rsidRPr="001E4B2F">
              <w:rPr>
                <w:rFonts w:eastAsia="Times New Roman" w:cs="Times New Roman"/>
                <w:color w:val="000000"/>
                <w:sz w:val="20"/>
                <w:szCs w:val="20"/>
                <w:lang w:eastAsia="ru-RU"/>
              </w:rPr>
              <w:t>Массовый</w:t>
            </w:r>
          </w:p>
        </w:tc>
        <w:tc>
          <w:tcPr>
            <w:tcW w:w="708" w:type="pct"/>
            <w:tcBorders>
              <w:top w:val="nil"/>
              <w:left w:val="nil"/>
              <w:bottom w:val="single" w:sz="4" w:space="0" w:color="000000"/>
              <w:right w:val="single" w:sz="4" w:space="0" w:color="000000"/>
            </w:tcBorders>
            <w:shd w:val="clear" w:color="auto" w:fill="auto"/>
            <w:noWrap/>
            <w:vAlign w:val="center"/>
            <w:hideMark/>
          </w:tcPr>
          <w:p w14:paraId="508DF89B" w14:textId="77777777" w:rsidR="001E4B2F" w:rsidRPr="001E4B2F" w:rsidRDefault="001E4B2F" w:rsidP="001E4B2F">
            <w:pPr>
              <w:ind w:firstLine="0"/>
              <w:jc w:val="left"/>
              <w:rPr>
                <w:rFonts w:eastAsia="Times New Roman" w:cs="Times New Roman"/>
                <w:color w:val="000000"/>
                <w:sz w:val="20"/>
                <w:szCs w:val="20"/>
                <w:lang w:eastAsia="ru-RU"/>
              </w:rPr>
            </w:pPr>
            <w:r w:rsidRPr="001E4B2F">
              <w:rPr>
                <w:rFonts w:eastAsia="Times New Roman" w:cs="Times New Roman"/>
                <w:color w:val="000000"/>
                <w:sz w:val="20"/>
                <w:szCs w:val="20"/>
                <w:lang w:eastAsia="ru-RU"/>
              </w:rPr>
              <w:t>Метод УПКС (минимальное)</w:t>
            </w:r>
          </w:p>
        </w:tc>
      </w:tr>
      <w:tr w:rsidR="001E4B2F" w:rsidRPr="001E4B2F" w14:paraId="3660B8CC" w14:textId="77777777" w:rsidTr="001E4B2F">
        <w:trPr>
          <w:trHeight w:val="510"/>
        </w:trPr>
        <w:tc>
          <w:tcPr>
            <w:tcW w:w="240" w:type="pct"/>
            <w:vMerge/>
            <w:tcBorders>
              <w:top w:val="nil"/>
              <w:left w:val="single" w:sz="4" w:space="0" w:color="000000"/>
              <w:bottom w:val="single" w:sz="4" w:space="0" w:color="000000"/>
              <w:right w:val="single" w:sz="4" w:space="0" w:color="000000"/>
            </w:tcBorders>
            <w:vAlign w:val="center"/>
            <w:hideMark/>
          </w:tcPr>
          <w:p w14:paraId="6C75BFCA" w14:textId="77777777" w:rsidR="001E4B2F" w:rsidRPr="001E4B2F" w:rsidRDefault="001E4B2F" w:rsidP="001E4B2F">
            <w:pPr>
              <w:ind w:firstLine="0"/>
              <w:jc w:val="left"/>
              <w:rPr>
                <w:rFonts w:eastAsia="Times New Roman" w:cs="Times New Roman"/>
                <w:color w:val="000000"/>
                <w:sz w:val="20"/>
                <w:szCs w:val="20"/>
                <w:lang w:eastAsia="ru-RU"/>
              </w:rPr>
            </w:pPr>
          </w:p>
        </w:tc>
        <w:tc>
          <w:tcPr>
            <w:tcW w:w="788" w:type="pct"/>
            <w:vMerge/>
            <w:tcBorders>
              <w:top w:val="nil"/>
              <w:left w:val="single" w:sz="4" w:space="0" w:color="000000"/>
              <w:bottom w:val="single" w:sz="4" w:space="0" w:color="000000"/>
              <w:right w:val="single" w:sz="4" w:space="0" w:color="000000"/>
            </w:tcBorders>
            <w:vAlign w:val="center"/>
            <w:hideMark/>
          </w:tcPr>
          <w:p w14:paraId="7C4B9BFE" w14:textId="77777777" w:rsidR="001E4B2F" w:rsidRPr="001E4B2F" w:rsidRDefault="001E4B2F" w:rsidP="001E4B2F">
            <w:pPr>
              <w:ind w:firstLine="0"/>
              <w:jc w:val="left"/>
              <w:rPr>
                <w:rFonts w:eastAsia="Times New Roman" w:cs="Times New Roman"/>
                <w:color w:val="000000"/>
                <w:sz w:val="20"/>
                <w:szCs w:val="20"/>
                <w:lang w:eastAsia="ru-RU"/>
              </w:rPr>
            </w:pPr>
          </w:p>
        </w:tc>
        <w:tc>
          <w:tcPr>
            <w:tcW w:w="370" w:type="pct"/>
            <w:vMerge/>
            <w:tcBorders>
              <w:top w:val="nil"/>
              <w:left w:val="single" w:sz="4" w:space="0" w:color="000000"/>
              <w:bottom w:val="single" w:sz="4" w:space="0" w:color="000000"/>
              <w:right w:val="single" w:sz="4" w:space="0" w:color="000000"/>
            </w:tcBorders>
            <w:vAlign w:val="center"/>
            <w:hideMark/>
          </w:tcPr>
          <w:p w14:paraId="7BAC69F6" w14:textId="77777777" w:rsidR="001E4B2F" w:rsidRPr="001E4B2F" w:rsidRDefault="001E4B2F" w:rsidP="001E4B2F">
            <w:pPr>
              <w:ind w:firstLine="0"/>
              <w:jc w:val="left"/>
              <w:rPr>
                <w:rFonts w:eastAsia="Times New Roman" w:cs="Times New Roman"/>
                <w:color w:val="000000"/>
                <w:sz w:val="20"/>
                <w:szCs w:val="20"/>
                <w:lang w:eastAsia="ru-RU"/>
              </w:rPr>
            </w:pPr>
          </w:p>
        </w:tc>
        <w:tc>
          <w:tcPr>
            <w:tcW w:w="559" w:type="pct"/>
            <w:tcBorders>
              <w:top w:val="nil"/>
              <w:left w:val="nil"/>
              <w:bottom w:val="single" w:sz="4" w:space="0" w:color="000000"/>
              <w:right w:val="single" w:sz="4" w:space="0" w:color="000000"/>
            </w:tcBorders>
            <w:shd w:val="clear" w:color="auto" w:fill="auto"/>
            <w:vAlign w:val="center"/>
            <w:hideMark/>
          </w:tcPr>
          <w:p w14:paraId="206A0AF7" w14:textId="77777777" w:rsidR="001E4B2F" w:rsidRPr="001E4B2F" w:rsidRDefault="001E4B2F" w:rsidP="001E4B2F">
            <w:pPr>
              <w:ind w:firstLine="0"/>
              <w:jc w:val="center"/>
              <w:rPr>
                <w:rFonts w:eastAsia="Times New Roman" w:cs="Times New Roman"/>
                <w:color w:val="000000"/>
                <w:sz w:val="20"/>
                <w:szCs w:val="20"/>
                <w:lang w:eastAsia="ru-RU"/>
              </w:rPr>
            </w:pPr>
            <w:r w:rsidRPr="001E4B2F">
              <w:rPr>
                <w:rFonts w:eastAsia="Times New Roman" w:cs="Times New Roman"/>
                <w:color w:val="000000"/>
                <w:sz w:val="20"/>
                <w:szCs w:val="20"/>
                <w:lang w:eastAsia="ru-RU"/>
              </w:rPr>
              <w:t>ОНС, сооружения</w:t>
            </w:r>
          </w:p>
        </w:tc>
        <w:tc>
          <w:tcPr>
            <w:tcW w:w="528" w:type="pct"/>
            <w:vMerge/>
            <w:tcBorders>
              <w:top w:val="nil"/>
              <w:left w:val="single" w:sz="4" w:space="0" w:color="000000"/>
              <w:bottom w:val="single" w:sz="4" w:space="0" w:color="000000"/>
              <w:right w:val="single" w:sz="4" w:space="0" w:color="000000"/>
            </w:tcBorders>
            <w:vAlign w:val="center"/>
            <w:hideMark/>
          </w:tcPr>
          <w:p w14:paraId="1F335E4E" w14:textId="77777777" w:rsidR="001E4B2F" w:rsidRPr="001E4B2F" w:rsidRDefault="001E4B2F" w:rsidP="001E4B2F">
            <w:pPr>
              <w:ind w:firstLine="0"/>
              <w:jc w:val="left"/>
              <w:rPr>
                <w:rFonts w:eastAsia="Times New Roman" w:cs="Times New Roman"/>
                <w:color w:val="000000"/>
                <w:sz w:val="20"/>
                <w:szCs w:val="20"/>
                <w:lang w:eastAsia="ru-RU"/>
              </w:rPr>
            </w:pPr>
          </w:p>
        </w:tc>
        <w:tc>
          <w:tcPr>
            <w:tcW w:w="611" w:type="pct"/>
            <w:vMerge/>
            <w:tcBorders>
              <w:top w:val="nil"/>
              <w:left w:val="single" w:sz="4" w:space="0" w:color="000000"/>
              <w:bottom w:val="single" w:sz="4" w:space="0" w:color="000000"/>
              <w:right w:val="single" w:sz="4" w:space="0" w:color="000000"/>
            </w:tcBorders>
            <w:vAlign w:val="center"/>
            <w:hideMark/>
          </w:tcPr>
          <w:p w14:paraId="10B58F23" w14:textId="77777777" w:rsidR="001E4B2F" w:rsidRPr="001E4B2F" w:rsidRDefault="001E4B2F" w:rsidP="001E4B2F">
            <w:pPr>
              <w:ind w:firstLine="0"/>
              <w:jc w:val="left"/>
              <w:rPr>
                <w:rFonts w:eastAsia="Times New Roman" w:cs="Times New Roman"/>
                <w:color w:val="000000"/>
                <w:sz w:val="20"/>
                <w:szCs w:val="20"/>
                <w:lang w:eastAsia="ru-RU"/>
              </w:rPr>
            </w:pPr>
          </w:p>
        </w:tc>
        <w:tc>
          <w:tcPr>
            <w:tcW w:w="347" w:type="pct"/>
            <w:tcBorders>
              <w:top w:val="nil"/>
              <w:left w:val="nil"/>
              <w:bottom w:val="single" w:sz="4" w:space="0" w:color="000000"/>
              <w:right w:val="single" w:sz="4" w:space="0" w:color="000000"/>
            </w:tcBorders>
            <w:shd w:val="clear" w:color="auto" w:fill="auto"/>
            <w:vAlign w:val="center"/>
            <w:hideMark/>
          </w:tcPr>
          <w:p w14:paraId="2040D90E" w14:textId="77777777" w:rsidR="001E4B2F" w:rsidRPr="001E4B2F" w:rsidRDefault="001E4B2F" w:rsidP="001E4B2F">
            <w:pPr>
              <w:ind w:firstLine="0"/>
              <w:jc w:val="center"/>
              <w:rPr>
                <w:rFonts w:eastAsia="Times New Roman" w:cs="Times New Roman"/>
                <w:color w:val="000000"/>
                <w:sz w:val="20"/>
                <w:szCs w:val="20"/>
                <w:lang w:eastAsia="ru-RU"/>
              </w:rPr>
            </w:pPr>
            <w:r w:rsidRPr="001E4B2F">
              <w:rPr>
                <w:rFonts w:eastAsia="Times New Roman" w:cs="Times New Roman"/>
                <w:color w:val="000000"/>
                <w:sz w:val="20"/>
                <w:szCs w:val="20"/>
                <w:lang w:eastAsia="ru-RU"/>
              </w:rPr>
              <w:t>6.2.</w:t>
            </w:r>
          </w:p>
        </w:tc>
        <w:tc>
          <w:tcPr>
            <w:tcW w:w="471" w:type="pct"/>
            <w:tcBorders>
              <w:top w:val="nil"/>
              <w:left w:val="nil"/>
              <w:bottom w:val="single" w:sz="4" w:space="0" w:color="000000"/>
              <w:right w:val="single" w:sz="4" w:space="0" w:color="000000"/>
            </w:tcBorders>
            <w:shd w:val="clear" w:color="auto" w:fill="auto"/>
            <w:noWrap/>
            <w:vAlign w:val="center"/>
            <w:hideMark/>
          </w:tcPr>
          <w:p w14:paraId="72D3AF6C" w14:textId="77777777" w:rsidR="001E4B2F" w:rsidRPr="001E4B2F" w:rsidRDefault="001E4B2F" w:rsidP="001E4B2F">
            <w:pPr>
              <w:ind w:firstLine="0"/>
              <w:jc w:val="left"/>
              <w:rPr>
                <w:rFonts w:eastAsia="Times New Roman" w:cs="Times New Roman"/>
                <w:color w:val="000000"/>
                <w:sz w:val="20"/>
                <w:szCs w:val="20"/>
                <w:lang w:eastAsia="ru-RU"/>
              </w:rPr>
            </w:pPr>
            <w:r w:rsidRPr="001E4B2F">
              <w:rPr>
                <w:rFonts w:eastAsia="Times New Roman" w:cs="Times New Roman"/>
                <w:color w:val="000000"/>
                <w:sz w:val="20"/>
                <w:szCs w:val="20"/>
                <w:lang w:eastAsia="ru-RU"/>
              </w:rPr>
              <w:t>Сравнительный</w:t>
            </w:r>
          </w:p>
        </w:tc>
        <w:tc>
          <w:tcPr>
            <w:tcW w:w="378" w:type="pct"/>
            <w:tcBorders>
              <w:top w:val="nil"/>
              <w:left w:val="nil"/>
              <w:bottom w:val="single" w:sz="4" w:space="0" w:color="000000"/>
              <w:right w:val="single" w:sz="4" w:space="0" w:color="000000"/>
            </w:tcBorders>
            <w:shd w:val="clear" w:color="auto" w:fill="auto"/>
            <w:noWrap/>
            <w:vAlign w:val="bottom"/>
            <w:hideMark/>
          </w:tcPr>
          <w:p w14:paraId="3DFDAB0F" w14:textId="77777777" w:rsidR="001E4B2F" w:rsidRPr="001E4B2F" w:rsidRDefault="001E4B2F" w:rsidP="001E4B2F">
            <w:pPr>
              <w:ind w:firstLine="0"/>
              <w:jc w:val="left"/>
              <w:rPr>
                <w:rFonts w:eastAsia="Times New Roman" w:cs="Times New Roman"/>
                <w:color w:val="000000"/>
                <w:sz w:val="20"/>
                <w:szCs w:val="20"/>
                <w:lang w:eastAsia="ru-RU"/>
              </w:rPr>
            </w:pPr>
            <w:r w:rsidRPr="001E4B2F">
              <w:rPr>
                <w:rFonts w:eastAsia="Times New Roman" w:cs="Times New Roman"/>
                <w:color w:val="000000"/>
                <w:sz w:val="20"/>
                <w:szCs w:val="20"/>
                <w:lang w:eastAsia="ru-RU"/>
              </w:rPr>
              <w:t>Массовый</w:t>
            </w:r>
          </w:p>
        </w:tc>
        <w:tc>
          <w:tcPr>
            <w:tcW w:w="708" w:type="pct"/>
            <w:tcBorders>
              <w:top w:val="nil"/>
              <w:left w:val="nil"/>
              <w:bottom w:val="single" w:sz="4" w:space="0" w:color="000000"/>
              <w:right w:val="single" w:sz="4" w:space="0" w:color="000000"/>
            </w:tcBorders>
            <w:shd w:val="clear" w:color="auto" w:fill="auto"/>
            <w:noWrap/>
            <w:vAlign w:val="center"/>
            <w:hideMark/>
          </w:tcPr>
          <w:p w14:paraId="47983CC9" w14:textId="77777777" w:rsidR="001E4B2F" w:rsidRPr="001E4B2F" w:rsidRDefault="001E4B2F" w:rsidP="001E4B2F">
            <w:pPr>
              <w:ind w:firstLine="0"/>
              <w:jc w:val="left"/>
              <w:rPr>
                <w:rFonts w:eastAsia="Times New Roman" w:cs="Times New Roman"/>
                <w:color w:val="000000"/>
                <w:sz w:val="20"/>
                <w:szCs w:val="20"/>
                <w:lang w:eastAsia="ru-RU"/>
              </w:rPr>
            </w:pPr>
            <w:r w:rsidRPr="001E4B2F">
              <w:rPr>
                <w:rFonts w:eastAsia="Times New Roman" w:cs="Times New Roman"/>
                <w:color w:val="000000"/>
                <w:sz w:val="20"/>
                <w:szCs w:val="20"/>
                <w:lang w:eastAsia="ru-RU"/>
              </w:rPr>
              <w:t>Метод УПКС (минимальное)</w:t>
            </w:r>
          </w:p>
        </w:tc>
      </w:tr>
      <w:tr w:rsidR="001E4B2F" w:rsidRPr="001E4B2F" w14:paraId="4C3E840B" w14:textId="77777777" w:rsidTr="001E4B2F">
        <w:trPr>
          <w:trHeight w:val="765"/>
        </w:trPr>
        <w:tc>
          <w:tcPr>
            <w:tcW w:w="240" w:type="pct"/>
            <w:vMerge/>
            <w:tcBorders>
              <w:top w:val="nil"/>
              <w:left w:val="single" w:sz="4" w:space="0" w:color="000000"/>
              <w:bottom w:val="single" w:sz="4" w:space="0" w:color="000000"/>
              <w:right w:val="single" w:sz="4" w:space="0" w:color="000000"/>
            </w:tcBorders>
            <w:vAlign w:val="center"/>
            <w:hideMark/>
          </w:tcPr>
          <w:p w14:paraId="379E326B" w14:textId="77777777" w:rsidR="001E4B2F" w:rsidRPr="001E4B2F" w:rsidRDefault="001E4B2F" w:rsidP="001E4B2F">
            <w:pPr>
              <w:ind w:firstLine="0"/>
              <w:jc w:val="left"/>
              <w:rPr>
                <w:rFonts w:eastAsia="Times New Roman" w:cs="Times New Roman"/>
                <w:color w:val="000000"/>
                <w:sz w:val="20"/>
                <w:szCs w:val="20"/>
                <w:lang w:eastAsia="ru-RU"/>
              </w:rPr>
            </w:pPr>
          </w:p>
        </w:tc>
        <w:tc>
          <w:tcPr>
            <w:tcW w:w="788" w:type="pct"/>
            <w:vMerge/>
            <w:tcBorders>
              <w:top w:val="nil"/>
              <w:left w:val="single" w:sz="4" w:space="0" w:color="000000"/>
              <w:bottom w:val="single" w:sz="4" w:space="0" w:color="000000"/>
              <w:right w:val="single" w:sz="4" w:space="0" w:color="000000"/>
            </w:tcBorders>
            <w:vAlign w:val="center"/>
            <w:hideMark/>
          </w:tcPr>
          <w:p w14:paraId="4B00F136" w14:textId="77777777" w:rsidR="001E4B2F" w:rsidRPr="001E4B2F" w:rsidRDefault="001E4B2F" w:rsidP="001E4B2F">
            <w:pPr>
              <w:ind w:firstLine="0"/>
              <w:jc w:val="left"/>
              <w:rPr>
                <w:rFonts w:eastAsia="Times New Roman" w:cs="Times New Roman"/>
                <w:color w:val="000000"/>
                <w:sz w:val="20"/>
                <w:szCs w:val="20"/>
                <w:lang w:eastAsia="ru-RU"/>
              </w:rPr>
            </w:pPr>
          </w:p>
        </w:tc>
        <w:tc>
          <w:tcPr>
            <w:tcW w:w="370" w:type="pct"/>
            <w:vMerge/>
            <w:tcBorders>
              <w:top w:val="nil"/>
              <w:left w:val="single" w:sz="4" w:space="0" w:color="000000"/>
              <w:bottom w:val="single" w:sz="4" w:space="0" w:color="000000"/>
              <w:right w:val="single" w:sz="4" w:space="0" w:color="000000"/>
            </w:tcBorders>
            <w:vAlign w:val="center"/>
            <w:hideMark/>
          </w:tcPr>
          <w:p w14:paraId="7E328340" w14:textId="77777777" w:rsidR="001E4B2F" w:rsidRPr="001E4B2F" w:rsidRDefault="001E4B2F" w:rsidP="001E4B2F">
            <w:pPr>
              <w:ind w:firstLine="0"/>
              <w:jc w:val="left"/>
              <w:rPr>
                <w:rFonts w:eastAsia="Times New Roman" w:cs="Times New Roman"/>
                <w:color w:val="000000"/>
                <w:sz w:val="20"/>
                <w:szCs w:val="20"/>
                <w:lang w:eastAsia="ru-RU"/>
              </w:rPr>
            </w:pPr>
          </w:p>
        </w:tc>
        <w:tc>
          <w:tcPr>
            <w:tcW w:w="559" w:type="pct"/>
            <w:tcBorders>
              <w:top w:val="nil"/>
              <w:left w:val="nil"/>
              <w:bottom w:val="single" w:sz="4" w:space="0" w:color="000000"/>
              <w:right w:val="single" w:sz="4" w:space="0" w:color="000000"/>
            </w:tcBorders>
            <w:shd w:val="clear" w:color="auto" w:fill="auto"/>
            <w:vAlign w:val="center"/>
            <w:hideMark/>
          </w:tcPr>
          <w:p w14:paraId="72E217E5" w14:textId="77777777" w:rsidR="001E4B2F" w:rsidRPr="001E4B2F" w:rsidRDefault="001E4B2F" w:rsidP="001E4B2F">
            <w:pPr>
              <w:ind w:firstLine="0"/>
              <w:jc w:val="center"/>
              <w:rPr>
                <w:rFonts w:eastAsia="Times New Roman" w:cs="Times New Roman"/>
                <w:color w:val="000000"/>
                <w:sz w:val="20"/>
                <w:szCs w:val="20"/>
                <w:lang w:eastAsia="ru-RU"/>
              </w:rPr>
            </w:pPr>
            <w:r w:rsidRPr="001E4B2F">
              <w:rPr>
                <w:rFonts w:eastAsia="Times New Roman" w:cs="Times New Roman"/>
                <w:color w:val="000000"/>
                <w:sz w:val="20"/>
                <w:szCs w:val="20"/>
                <w:lang w:eastAsia="ru-RU"/>
              </w:rPr>
              <w:t>Здания, помещения, сооружения, ОНС</w:t>
            </w:r>
          </w:p>
        </w:tc>
        <w:tc>
          <w:tcPr>
            <w:tcW w:w="528" w:type="pct"/>
            <w:vMerge/>
            <w:tcBorders>
              <w:top w:val="nil"/>
              <w:left w:val="single" w:sz="4" w:space="0" w:color="000000"/>
              <w:bottom w:val="single" w:sz="4" w:space="0" w:color="000000"/>
              <w:right w:val="single" w:sz="4" w:space="0" w:color="000000"/>
            </w:tcBorders>
            <w:vAlign w:val="center"/>
            <w:hideMark/>
          </w:tcPr>
          <w:p w14:paraId="66BBB0E3" w14:textId="77777777" w:rsidR="001E4B2F" w:rsidRPr="001E4B2F" w:rsidRDefault="001E4B2F" w:rsidP="001E4B2F">
            <w:pPr>
              <w:ind w:firstLine="0"/>
              <w:jc w:val="left"/>
              <w:rPr>
                <w:rFonts w:eastAsia="Times New Roman" w:cs="Times New Roman"/>
                <w:color w:val="000000"/>
                <w:sz w:val="20"/>
                <w:szCs w:val="20"/>
                <w:lang w:eastAsia="ru-RU"/>
              </w:rPr>
            </w:pPr>
          </w:p>
        </w:tc>
        <w:tc>
          <w:tcPr>
            <w:tcW w:w="611" w:type="pct"/>
            <w:tcBorders>
              <w:top w:val="nil"/>
              <w:left w:val="nil"/>
              <w:bottom w:val="single" w:sz="4" w:space="0" w:color="000000"/>
              <w:right w:val="single" w:sz="4" w:space="0" w:color="000000"/>
            </w:tcBorders>
            <w:shd w:val="clear" w:color="auto" w:fill="auto"/>
            <w:vAlign w:val="center"/>
            <w:hideMark/>
          </w:tcPr>
          <w:p w14:paraId="497DE8AE" w14:textId="77777777" w:rsidR="001E4B2F" w:rsidRPr="001E4B2F" w:rsidRDefault="001E4B2F" w:rsidP="001E4B2F">
            <w:pPr>
              <w:ind w:firstLine="0"/>
              <w:jc w:val="center"/>
              <w:rPr>
                <w:rFonts w:eastAsia="Times New Roman" w:cs="Times New Roman"/>
                <w:color w:val="000000"/>
                <w:sz w:val="20"/>
                <w:szCs w:val="20"/>
                <w:lang w:eastAsia="ru-RU"/>
              </w:rPr>
            </w:pPr>
            <w:r w:rsidRPr="001E4B2F">
              <w:rPr>
                <w:rFonts w:eastAsia="Times New Roman" w:cs="Times New Roman"/>
                <w:color w:val="000000"/>
                <w:sz w:val="20"/>
                <w:szCs w:val="20"/>
                <w:lang w:eastAsia="ru-RU"/>
              </w:rPr>
              <w:t>Объекты с полными характеристиками</w:t>
            </w:r>
          </w:p>
        </w:tc>
        <w:tc>
          <w:tcPr>
            <w:tcW w:w="347" w:type="pct"/>
            <w:tcBorders>
              <w:top w:val="nil"/>
              <w:left w:val="nil"/>
              <w:bottom w:val="single" w:sz="4" w:space="0" w:color="000000"/>
              <w:right w:val="single" w:sz="4" w:space="0" w:color="000000"/>
            </w:tcBorders>
            <w:shd w:val="clear" w:color="auto" w:fill="auto"/>
            <w:vAlign w:val="center"/>
            <w:hideMark/>
          </w:tcPr>
          <w:p w14:paraId="7E542A7B" w14:textId="77777777" w:rsidR="001E4B2F" w:rsidRPr="001E4B2F" w:rsidRDefault="001E4B2F" w:rsidP="001E4B2F">
            <w:pPr>
              <w:ind w:firstLine="0"/>
              <w:jc w:val="center"/>
              <w:rPr>
                <w:rFonts w:eastAsia="Times New Roman" w:cs="Times New Roman"/>
                <w:color w:val="000000"/>
                <w:sz w:val="20"/>
                <w:szCs w:val="20"/>
                <w:lang w:eastAsia="ru-RU"/>
              </w:rPr>
            </w:pPr>
            <w:r w:rsidRPr="001E4B2F">
              <w:rPr>
                <w:rFonts w:eastAsia="Times New Roman" w:cs="Times New Roman"/>
                <w:color w:val="000000"/>
                <w:sz w:val="20"/>
                <w:szCs w:val="20"/>
                <w:lang w:eastAsia="ru-RU"/>
              </w:rPr>
              <w:t>6.3.</w:t>
            </w:r>
          </w:p>
        </w:tc>
        <w:tc>
          <w:tcPr>
            <w:tcW w:w="471" w:type="pct"/>
            <w:tcBorders>
              <w:top w:val="nil"/>
              <w:left w:val="nil"/>
              <w:bottom w:val="single" w:sz="4" w:space="0" w:color="000000"/>
              <w:right w:val="single" w:sz="4" w:space="0" w:color="000000"/>
            </w:tcBorders>
            <w:shd w:val="clear" w:color="auto" w:fill="auto"/>
            <w:noWrap/>
            <w:vAlign w:val="center"/>
            <w:hideMark/>
          </w:tcPr>
          <w:p w14:paraId="7DEEB7A0" w14:textId="77777777" w:rsidR="001E4B2F" w:rsidRPr="001E4B2F" w:rsidRDefault="001E4B2F" w:rsidP="001E4B2F">
            <w:pPr>
              <w:ind w:firstLine="0"/>
              <w:jc w:val="left"/>
              <w:rPr>
                <w:rFonts w:eastAsia="Times New Roman" w:cs="Times New Roman"/>
                <w:color w:val="000000"/>
                <w:sz w:val="20"/>
                <w:szCs w:val="20"/>
                <w:lang w:eastAsia="ru-RU"/>
              </w:rPr>
            </w:pPr>
            <w:r w:rsidRPr="001E4B2F">
              <w:rPr>
                <w:rFonts w:eastAsia="Times New Roman" w:cs="Times New Roman"/>
                <w:color w:val="000000"/>
                <w:sz w:val="20"/>
                <w:szCs w:val="20"/>
                <w:lang w:eastAsia="ru-RU"/>
              </w:rPr>
              <w:t>Затратный</w:t>
            </w:r>
          </w:p>
        </w:tc>
        <w:tc>
          <w:tcPr>
            <w:tcW w:w="378" w:type="pct"/>
            <w:tcBorders>
              <w:top w:val="nil"/>
              <w:left w:val="nil"/>
              <w:bottom w:val="single" w:sz="4" w:space="0" w:color="000000"/>
              <w:right w:val="single" w:sz="4" w:space="0" w:color="000000"/>
            </w:tcBorders>
            <w:shd w:val="clear" w:color="auto" w:fill="auto"/>
            <w:noWrap/>
            <w:vAlign w:val="center"/>
            <w:hideMark/>
          </w:tcPr>
          <w:p w14:paraId="4A077A92" w14:textId="77777777" w:rsidR="001E4B2F" w:rsidRPr="001E4B2F" w:rsidRDefault="001E4B2F" w:rsidP="001E4B2F">
            <w:pPr>
              <w:ind w:firstLine="0"/>
              <w:jc w:val="left"/>
              <w:rPr>
                <w:rFonts w:eastAsia="Times New Roman" w:cs="Times New Roman"/>
                <w:color w:val="000000"/>
                <w:sz w:val="20"/>
                <w:szCs w:val="20"/>
                <w:lang w:eastAsia="ru-RU"/>
              </w:rPr>
            </w:pPr>
            <w:r w:rsidRPr="001E4B2F">
              <w:rPr>
                <w:rFonts w:eastAsia="Times New Roman" w:cs="Times New Roman"/>
                <w:color w:val="000000"/>
                <w:sz w:val="20"/>
                <w:szCs w:val="20"/>
                <w:lang w:eastAsia="ru-RU"/>
              </w:rPr>
              <w:t>Массовый</w:t>
            </w:r>
          </w:p>
        </w:tc>
        <w:tc>
          <w:tcPr>
            <w:tcW w:w="708" w:type="pct"/>
            <w:tcBorders>
              <w:top w:val="nil"/>
              <w:left w:val="nil"/>
              <w:bottom w:val="single" w:sz="4" w:space="0" w:color="000000"/>
              <w:right w:val="single" w:sz="4" w:space="0" w:color="000000"/>
            </w:tcBorders>
            <w:shd w:val="clear" w:color="auto" w:fill="auto"/>
            <w:noWrap/>
            <w:vAlign w:val="center"/>
            <w:hideMark/>
          </w:tcPr>
          <w:p w14:paraId="1BF62036" w14:textId="77777777" w:rsidR="001E4B2F" w:rsidRPr="001E4B2F" w:rsidRDefault="001E4B2F" w:rsidP="001E4B2F">
            <w:pPr>
              <w:ind w:firstLine="0"/>
              <w:jc w:val="left"/>
              <w:rPr>
                <w:rFonts w:eastAsia="Times New Roman" w:cs="Times New Roman"/>
                <w:color w:val="000000"/>
                <w:sz w:val="20"/>
                <w:szCs w:val="20"/>
                <w:lang w:eastAsia="ru-RU"/>
              </w:rPr>
            </w:pPr>
            <w:r w:rsidRPr="001E4B2F">
              <w:rPr>
                <w:rFonts w:eastAsia="Times New Roman" w:cs="Times New Roman"/>
                <w:color w:val="000000"/>
                <w:sz w:val="20"/>
                <w:szCs w:val="20"/>
                <w:lang w:eastAsia="ru-RU"/>
              </w:rPr>
              <w:t>Метод сравнительной единицы (УПСС)</w:t>
            </w:r>
          </w:p>
        </w:tc>
      </w:tr>
      <w:tr w:rsidR="001E4B2F" w:rsidRPr="001E4B2F" w14:paraId="12A79C79" w14:textId="77777777" w:rsidTr="001E4B2F">
        <w:trPr>
          <w:trHeight w:val="510"/>
        </w:trPr>
        <w:tc>
          <w:tcPr>
            <w:tcW w:w="240" w:type="pct"/>
            <w:vMerge w:val="restart"/>
            <w:tcBorders>
              <w:top w:val="nil"/>
              <w:left w:val="single" w:sz="4" w:space="0" w:color="000000"/>
              <w:bottom w:val="single" w:sz="4" w:space="0" w:color="000000"/>
              <w:right w:val="single" w:sz="4" w:space="0" w:color="000000"/>
            </w:tcBorders>
            <w:shd w:val="clear" w:color="auto" w:fill="auto"/>
            <w:vAlign w:val="center"/>
            <w:hideMark/>
          </w:tcPr>
          <w:p w14:paraId="155C7E54" w14:textId="77777777" w:rsidR="001E4B2F" w:rsidRPr="001E4B2F" w:rsidRDefault="001E4B2F" w:rsidP="001E4B2F">
            <w:pPr>
              <w:ind w:firstLine="0"/>
              <w:jc w:val="center"/>
              <w:rPr>
                <w:rFonts w:eastAsia="Times New Roman" w:cs="Times New Roman"/>
                <w:color w:val="000000"/>
                <w:sz w:val="20"/>
                <w:szCs w:val="20"/>
                <w:lang w:eastAsia="ru-RU"/>
              </w:rPr>
            </w:pPr>
            <w:r w:rsidRPr="001E4B2F">
              <w:rPr>
                <w:rFonts w:eastAsia="Times New Roman" w:cs="Times New Roman"/>
                <w:color w:val="000000"/>
                <w:sz w:val="20"/>
                <w:szCs w:val="20"/>
                <w:lang w:eastAsia="ru-RU"/>
              </w:rPr>
              <w:t>7</w:t>
            </w:r>
          </w:p>
        </w:tc>
        <w:tc>
          <w:tcPr>
            <w:tcW w:w="788" w:type="pct"/>
            <w:vMerge w:val="restart"/>
            <w:tcBorders>
              <w:top w:val="nil"/>
              <w:left w:val="single" w:sz="4" w:space="0" w:color="000000"/>
              <w:bottom w:val="single" w:sz="4" w:space="0" w:color="000000"/>
              <w:right w:val="single" w:sz="4" w:space="0" w:color="000000"/>
            </w:tcBorders>
            <w:shd w:val="clear" w:color="auto" w:fill="auto"/>
            <w:vAlign w:val="center"/>
            <w:hideMark/>
          </w:tcPr>
          <w:p w14:paraId="18671850" w14:textId="77777777" w:rsidR="001E4B2F" w:rsidRPr="001E4B2F" w:rsidRDefault="001E4B2F" w:rsidP="001E4B2F">
            <w:pPr>
              <w:ind w:firstLine="0"/>
              <w:jc w:val="center"/>
              <w:rPr>
                <w:rFonts w:eastAsia="Times New Roman" w:cs="Times New Roman"/>
                <w:color w:val="000000"/>
                <w:sz w:val="20"/>
                <w:szCs w:val="20"/>
                <w:lang w:eastAsia="ru-RU"/>
              </w:rPr>
            </w:pPr>
            <w:r w:rsidRPr="001E4B2F">
              <w:rPr>
                <w:rFonts w:eastAsia="Times New Roman" w:cs="Times New Roman"/>
                <w:color w:val="000000"/>
                <w:sz w:val="20"/>
                <w:szCs w:val="20"/>
                <w:lang w:eastAsia="ru-RU"/>
              </w:rPr>
              <w:t>Объекты производственного назначения, за исключением передаточных устройств и сооружений</w:t>
            </w:r>
          </w:p>
        </w:tc>
        <w:tc>
          <w:tcPr>
            <w:tcW w:w="370"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14:paraId="461C6697" w14:textId="77777777" w:rsidR="001E4B2F" w:rsidRPr="001E4B2F" w:rsidRDefault="001E4B2F" w:rsidP="001E4B2F">
            <w:pPr>
              <w:ind w:firstLine="0"/>
              <w:jc w:val="center"/>
              <w:rPr>
                <w:rFonts w:eastAsia="Times New Roman" w:cs="Times New Roman"/>
                <w:color w:val="000000"/>
                <w:sz w:val="20"/>
                <w:szCs w:val="20"/>
                <w:lang w:eastAsia="ru-RU"/>
              </w:rPr>
            </w:pPr>
            <w:r w:rsidRPr="001E4B2F">
              <w:rPr>
                <w:rFonts w:eastAsia="Times New Roman" w:cs="Times New Roman"/>
                <w:color w:val="000000"/>
                <w:sz w:val="20"/>
                <w:szCs w:val="20"/>
                <w:lang w:eastAsia="ru-RU"/>
              </w:rPr>
              <w:t>701-732</w:t>
            </w:r>
          </w:p>
        </w:tc>
        <w:tc>
          <w:tcPr>
            <w:tcW w:w="559" w:type="pct"/>
            <w:tcBorders>
              <w:top w:val="nil"/>
              <w:left w:val="nil"/>
              <w:bottom w:val="single" w:sz="4" w:space="0" w:color="000000"/>
              <w:right w:val="single" w:sz="4" w:space="0" w:color="000000"/>
            </w:tcBorders>
            <w:shd w:val="clear" w:color="auto" w:fill="auto"/>
            <w:vAlign w:val="center"/>
            <w:hideMark/>
          </w:tcPr>
          <w:p w14:paraId="4A988B2B" w14:textId="77777777" w:rsidR="001E4B2F" w:rsidRPr="001E4B2F" w:rsidRDefault="001E4B2F" w:rsidP="001E4B2F">
            <w:pPr>
              <w:ind w:firstLine="0"/>
              <w:jc w:val="center"/>
              <w:rPr>
                <w:rFonts w:eastAsia="Times New Roman" w:cs="Times New Roman"/>
                <w:color w:val="000000"/>
                <w:sz w:val="20"/>
                <w:szCs w:val="20"/>
                <w:lang w:eastAsia="ru-RU"/>
              </w:rPr>
            </w:pPr>
            <w:r w:rsidRPr="001E4B2F">
              <w:rPr>
                <w:rFonts w:eastAsia="Times New Roman" w:cs="Times New Roman"/>
                <w:color w:val="000000"/>
                <w:sz w:val="20"/>
                <w:szCs w:val="20"/>
                <w:lang w:eastAsia="ru-RU"/>
              </w:rPr>
              <w:t>Здания, помещения</w:t>
            </w:r>
          </w:p>
        </w:tc>
        <w:tc>
          <w:tcPr>
            <w:tcW w:w="528" w:type="pct"/>
            <w:vMerge w:val="restart"/>
            <w:tcBorders>
              <w:top w:val="nil"/>
              <w:left w:val="single" w:sz="4" w:space="0" w:color="000000"/>
              <w:bottom w:val="single" w:sz="4" w:space="0" w:color="000000"/>
              <w:right w:val="single" w:sz="4" w:space="0" w:color="000000"/>
            </w:tcBorders>
            <w:shd w:val="clear" w:color="auto" w:fill="auto"/>
            <w:vAlign w:val="center"/>
            <w:hideMark/>
          </w:tcPr>
          <w:p w14:paraId="591FC211" w14:textId="77777777" w:rsidR="001E4B2F" w:rsidRPr="001E4B2F" w:rsidRDefault="001E4B2F" w:rsidP="001E4B2F">
            <w:pPr>
              <w:ind w:firstLine="0"/>
              <w:jc w:val="center"/>
              <w:rPr>
                <w:rFonts w:eastAsia="Times New Roman" w:cs="Times New Roman"/>
                <w:color w:val="000000"/>
                <w:sz w:val="20"/>
                <w:szCs w:val="20"/>
                <w:lang w:eastAsia="ru-RU"/>
              </w:rPr>
            </w:pPr>
            <w:r w:rsidRPr="001E4B2F">
              <w:rPr>
                <w:rFonts w:eastAsia="Times New Roman" w:cs="Times New Roman"/>
                <w:color w:val="000000"/>
                <w:sz w:val="20"/>
                <w:szCs w:val="20"/>
                <w:lang w:eastAsia="ru-RU"/>
              </w:rPr>
              <w:t>ГНП, СНП, МР</w:t>
            </w:r>
          </w:p>
        </w:tc>
        <w:tc>
          <w:tcPr>
            <w:tcW w:w="611" w:type="pct"/>
            <w:vMerge w:val="restart"/>
            <w:tcBorders>
              <w:top w:val="nil"/>
              <w:left w:val="single" w:sz="4" w:space="0" w:color="000000"/>
              <w:bottom w:val="single" w:sz="4" w:space="0" w:color="000000"/>
              <w:right w:val="single" w:sz="4" w:space="0" w:color="000000"/>
            </w:tcBorders>
            <w:shd w:val="clear" w:color="auto" w:fill="auto"/>
            <w:vAlign w:val="center"/>
            <w:hideMark/>
          </w:tcPr>
          <w:p w14:paraId="3264F106" w14:textId="77777777" w:rsidR="001E4B2F" w:rsidRPr="001E4B2F" w:rsidRDefault="001E4B2F" w:rsidP="001E4B2F">
            <w:pPr>
              <w:ind w:firstLine="0"/>
              <w:jc w:val="center"/>
              <w:rPr>
                <w:rFonts w:eastAsia="Times New Roman" w:cs="Times New Roman"/>
                <w:color w:val="000000"/>
                <w:sz w:val="20"/>
                <w:szCs w:val="20"/>
                <w:lang w:eastAsia="ru-RU"/>
              </w:rPr>
            </w:pPr>
            <w:r w:rsidRPr="001E4B2F">
              <w:rPr>
                <w:rFonts w:eastAsia="Times New Roman" w:cs="Times New Roman"/>
                <w:color w:val="000000"/>
                <w:sz w:val="20"/>
                <w:szCs w:val="20"/>
                <w:lang w:eastAsia="ru-RU"/>
              </w:rPr>
              <w:t>Объекты с неполными харкетристиками</w:t>
            </w:r>
          </w:p>
        </w:tc>
        <w:tc>
          <w:tcPr>
            <w:tcW w:w="347" w:type="pct"/>
            <w:tcBorders>
              <w:top w:val="nil"/>
              <w:left w:val="nil"/>
              <w:bottom w:val="single" w:sz="4" w:space="0" w:color="000000"/>
              <w:right w:val="single" w:sz="4" w:space="0" w:color="000000"/>
            </w:tcBorders>
            <w:shd w:val="clear" w:color="auto" w:fill="auto"/>
            <w:vAlign w:val="center"/>
            <w:hideMark/>
          </w:tcPr>
          <w:p w14:paraId="657F4DC4" w14:textId="77777777" w:rsidR="001E4B2F" w:rsidRPr="001E4B2F" w:rsidRDefault="001E4B2F" w:rsidP="001E4B2F">
            <w:pPr>
              <w:ind w:firstLine="0"/>
              <w:jc w:val="center"/>
              <w:rPr>
                <w:rFonts w:eastAsia="Times New Roman" w:cs="Times New Roman"/>
                <w:color w:val="000000"/>
                <w:sz w:val="20"/>
                <w:szCs w:val="20"/>
                <w:lang w:eastAsia="ru-RU"/>
              </w:rPr>
            </w:pPr>
            <w:r w:rsidRPr="001E4B2F">
              <w:rPr>
                <w:rFonts w:eastAsia="Times New Roman" w:cs="Times New Roman"/>
                <w:color w:val="000000"/>
                <w:sz w:val="20"/>
                <w:szCs w:val="20"/>
                <w:lang w:eastAsia="ru-RU"/>
              </w:rPr>
              <w:t>7.1.</w:t>
            </w:r>
          </w:p>
        </w:tc>
        <w:tc>
          <w:tcPr>
            <w:tcW w:w="471" w:type="pct"/>
            <w:tcBorders>
              <w:top w:val="nil"/>
              <w:left w:val="nil"/>
              <w:bottom w:val="single" w:sz="4" w:space="0" w:color="000000"/>
              <w:right w:val="single" w:sz="4" w:space="0" w:color="000000"/>
            </w:tcBorders>
            <w:shd w:val="clear" w:color="auto" w:fill="auto"/>
            <w:noWrap/>
            <w:vAlign w:val="center"/>
            <w:hideMark/>
          </w:tcPr>
          <w:p w14:paraId="5FD74932" w14:textId="77777777" w:rsidR="001E4B2F" w:rsidRPr="001E4B2F" w:rsidRDefault="001E4B2F" w:rsidP="001E4B2F">
            <w:pPr>
              <w:ind w:firstLine="0"/>
              <w:jc w:val="left"/>
              <w:rPr>
                <w:rFonts w:eastAsia="Times New Roman" w:cs="Times New Roman"/>
                <w:color w:val="000000"/>
                <w:sz w:val="20"/>
                <w:szCs w:val="20"/>
                <w:lang w:eastAsia="ru-RU"/>
              </w:rPr>
            </w:pPr>
            <w:r w:rsidRPr="001E4B2F">
              <w:rPr>
                <w:rFonts w:eastAsia="Times New Roman" w:cs="Times New Roman"/>
                <w:color w:val="000000"/>
                <w:sz w:val="20"/>
                <w:szCs w:val="20"/>
                <w:lang w:eastAsia="ru-RU"/>
              </w:rPr>
              <w:t>Сравнительный</w:t>
            </w:r>
          </w:p>
        </w:tc>
        <w:tc>
          <w:tcPr>
            <w:tcW w:w="378" w:type="pct"/>
            <w:tcBorders>
              <w:top w:val="nil"/>
              <w:left w:val="nil"/>
              <w:bottom w:val="single" w:sz="4" w:space="0" w:color="000000"/>
              <w:right w:val="single" w:sz="4" w:space="0" w:color="000000"/>
            </w:tcBorders>
            <w:shd w:val="clear" w:color="auto" w:fill="auto"/>
            <w:noWrap/>
            <w:vAlign w:val="bottom"/>
            <w:hideMark/>
          </w:tcPr>
          <w:p w14:paraId="611FD9B4" w14:textId="77777777" w:rsidR="001E4B2F" w:rsidRPr="001E4B2F" w:rsidRDefault="001E4B2F" w:rsidP="001E4B2F">
            <w:pPr>
              <w:ind w:firstLine="0"/>
              <w:jc w:val="left"/>
              <w:rPr>
                <w:rFonts w:eastAsia="Times New Roman" w:cs="Times New Roman"/>
                <w:color w:val="000000"/>
                <w:sz w:val="20"/>
                <w:szCs w:val="20"/>
                <w:lang w:eastAsia="ru-RU"/>
              </w:rPr>
            </w:pPr>
            <w:r w:rsidRPr="001E4B2F">
              <w:rPr>
                <w:rFonts w:eastAsia="Times New Roman" w:cs="Times New Roman"/>
                <w:color w:val="000000"/>
                <w:sz w:val="20"/>
                <w:szCs w:val="20"/>
                <w:lang w:eastAsia="ru-RU"/>
              </w:rPr>
              <w:t>Массовый</w:t>
            </w:r>
          </w:p>
        </w:tc>
        <w:tc>
          <w:tcPr>
            <w:tcW w:w="708" w:type="pct"/>
            <w:tcBorders>
              <w:top w:val="nil"/>
              <w:left w:val="nil"/>
              <w:bottom w:val="single" w:sz="4" w:space="0" w:color="000000"/>
              <w:right w:val="single" w:sz="4" w:space="0" w:color="000000"/>
            </w:tcBorders>
            <w:shd w:val="clear" w:color="auto" w:fill="auto"/>
            <w:noWrap/>
            <w:vAlign w:val="center"/>
            <w:hideMark/>
          </w:tcPr>
          <w:p w14:paraId="1DEFC6BA" w14:textId="77777777" w:rsidR="001E4B2F" w:rsidRPr="001E4B2F" w:rsidRDefault="001E4B2F" w:rsidP="001E4B2F">
            <w:pPr>
              <w:ind w:firstLine="0"/>
              <w:jc w:val="left"/>
              <w:rPr>
                <w:rFonts w:eastAsia="Times New Roman" w:cs="Times New Roman"/>
                <w:color w:val="000000"/>
                <w:sz w:val="20"/>
                <w:szCs w:val="20"/>
                <w:lang w:eastAsia="ru-RU"/>
              </w:rPr>
            </w:pPr>
            <w:r w:rsidRPr="001E4B2F">
              <w:rPr>
                <w:rFonts w:eastAsia="Times New Roman" w:cs="Times New Roman"/>
                <w:color w:val="000000"/>
                <w:sz w:val="20"/>
                <w:szCs w:val="20"/>
                <w:lang w:eastAsia="ru-RU"/>
              </w:rPr>
              <w:t>Метод УПКС (минимальное)</w:t>
            </w:r>
          </w:p>
        </w:tc>
      </w:tr>
      <w:tr w:rsidR="001E4B2F" w:rsidRPr="001E4B2F" w14:paraId="657217A9" w14:textId="77777777" w:rsidTr="001E4B2F">
        <w:trPr>
          <w:trHeight w:val="510"/>
        </w:trPr>
        <w:tc>
          <w:tcPr>
            <w:tcW w:w="240" w:type="pct"/>
            <w:vMerge/>
            <w:tcBorders>
              <w:top w:val="nil"/>
              <w:left w:val="single" w:sz="4" w:space="0" w:color="000000"/>
              <w:bottom w:val="single" w:sz="4" w:space="0" w:color="000000"/>
              <w:right w:val="single" w:sz="4" w:space="0" w:color="000000"/>
            </w:tcBorders>
            <w:vAlign w:val="center"/>
            <w:hideMark/>
          </w:tcPr>
          <w:p w14:paraId="432A8BB3" w14:textId="77777777" w:rsidR="001E4B2F" w:rsidRPr="001E4B2F" w:rsidRDefault="001E4B2F" w:rsidP="001E4B2F">
            <w:pPr>
              <w:ind w:firstLine="0"/>
              <w:jc w:val="left"/>
              <w:rPr>
                <w:rFonts w:eastAsia="Times New Roman" w:cs="Times New Roman"/>
                <w:color w:val="000000"/>
                <w:sz w:val="20"/>
                <w:szCs w:val="20"/>
                <w:lang w:eastAsia="ru-RU"/>
              </w:rPr>
            </w:pPr>
          </w:p>
        </w:tc>
        <w:tc>
          <w:tcPr>
            <w:tcW w:w="788" w:type="pct"/>
            <w:vMerge/>
            <w:tcBorders>
              <w:top w:val="nil"/>
              <w:left w:val="single" w:sz="4" w:space="0" w:color="000000"/>
              <w:bottom w:val="single" w:sz="4" w:space="0" w:color="000000"/>
              <w:right w:val="single" w:sz="4" w:space="0" w:color="000000"/>
            </w:tcBorders>
            <w:vAlign w:val="center"/>
            <w:hideMark/>
          </w:tcPr>
          <w:p w14:paraId="523E1F47" w14:textId="77777777" w:rsidR="001E4B2F" w:rsidRPr="001E4B2F" w:rsidRDefault="001E4B2F" w:rsidP="001E4B2F">
            <w:pPr>
              <w:ind w:firstLine="0"/>
              <w:jc w:val="left"/>
              <w:rPr>
                <w:rFonts w:eastAsia="Times New Roman" w:cs="Times New Roman"/>
                <w:color w:val="000000"/>
                <w:sz w:val="20"/>
                <w:szCs w:val="20"/>
                <w:lang w:eastAsia="ru-RU"/>
              </w:rPr>
            </w:pPr>
          </w:p>
        </w:tc>
        <w:tc>
          <w:tcPr>
            <w:tcW w:w="370" w:type="pct"/>
            <w:vMerge/>
            <w:tcBorders>
              <w:top w:val="nil"/>
              <w:left w:val="single" w:sz="4" w:space="0" w:color="000000"/>
              <w:bottom w:val="single" w:sz="4" w:space="0" w:color="000000"/>
              <w:right w:val="single" w:sz="4" w:space="0" w:color="000000"/>
            </w:tcBorders>
            <w:vAlign w:val="center"/>
            <w:hideMark/>
          </w:tcPr>
          <w:p w14:paraId="3442CB0C" w14:textId="77777777" w:rsidR="001E4B2F" w:rsidRPr="001E4B2F" w:rsidRDefault="001E4B2F" w:rsidP="001E4B2F">
            <w:pPr>
              <w:ind w:firstLine="0"/>
              <w:jc w:val="left"/>
              <w:rPr>
                <w:rFonts w:eastAsia="Times New Roman" w:cs="Times New Roman"/>
                <w:color w:val="000000"/>
                <w:sz w:val="20"/>
                <w:szCs w:val="20"/>
                <w:lang w:eastAsia="ru-RU"/>
              </w:rPr>
            </w:pPr>
          </w:p>
        </w:tc>
        <w:tc>
          <w:tcPr>
            <w:tcW w:w="559" w:type="pct"/>
            <w:tcBorders>
              <w:top w:val="nil"/>
              <w:left w:val="nil"/>
              <w:bottom w:val="single" w:sz="4" w:space="0" w:color="000000"/>
              <w:right w:val="single" w:sz="4" w:space="0" w:color="000000"/>
            </w:tcBorders>
            <w:shd w:val="clear" w:color="auto" w:fill="auto"/>
            <w:vAlign w:val="center"/>
            <w:hideMark/>
          </w:tcPr>
          <w:p w14:paraId="0174668D" w14:textId="77777777" w:rsidR="001E4B2F" w:rsidRPr="001E4B2F" w:rsidRDefault="001E4B2F" w:rsidP="001E4B2F">
            <w:pPr>
              <w:ind w:firstLine="0"/>
              <w:jc w:val="center"/>
              <w:rPr>
                <w:rFonts w:eastAsia="Times New Roman" w:cs="Times New Roman"/>
                <w:color w:val="000000"/>
                <w:sz w:val="20"/>
                <w:szCs w:val="20"/>
                <w:lang w:eastAsia="ru-RU"/>
              </w:rPr>
            </w:pPr>
            <w:r w:rsidRPr="001E4B2F">
              <w:rPr>
                <w:rFonts w:eastAsia="Times New Roman" w:cs="Times New Roman"/>
                <w:color w:val="000000"/>
                <w:sz w:val="20"/>
                <w:szCs w:val="20"/>
                <w:lang w:eastAsia="ru-RU"/>
              </w:rPr>
              <w:t>ОНС, сооружения</w:t>
            </w:r>
          </w:p>
        </w:tc>
        <w:tc>
          <w:tcPr>
            <w:tcW w:w="528" w:type="pct"/>
            <w:vMerge/>
            <w:tcBorders>
              <w:top w:val="nil"/>
              <w:left w:val="single" w:sz="4" w:space="0" w:color="000000"/>
              <w:bottom w:val="single" w:sz="4" w:space="0" w:color="000000"/>
              <w:right w:val="single" w:sz="4" w:space="0" w:color="000000"/>
            </w:tcBorders>
            <w:vAlign w:val="center"/>
            <w:hideMark/>
          </w:tcPr>
          <w:p w14:paraId="698EE4DE" w14:textId="77777777" w:rsidR="001E4B2F" w:rsidRPr="001E4B2F" w:rsidRDefault="001E4B2F" w:rsidP="001E4B2F">
            <w:pPr>
              <w:ind w:firstLine="0"/>
              <w:jc w:val="left"/>
              <w:rPr>
                <w:rFonts w:eastAsia="Times New Roman" w:cs="Times New Roman"/>
                <w:color w:val="000000"/>
                <w:sz w:val="20"/>
                <w:szCs w:val="20"/>
                <w:lang w:eastAsia="ru-RU"/>
              </w:rPr>
            </w:pPr>
          </w:p>
        </w:tc>
        <w:tc>
          <w:tcPr>
            <w:tcW w:w="611" w:type="pct"/>
            <w:vMerge/>
            <w:tcBorders>
              <w:top w:val="nil"/>
              <w:left w:val="single" w:sz="4" w:space="0" w:color="000000"/>
              <w:bottom w:val="single" w:sz="4" w:space="0" w:color="000000"/>
              <w:right w:val="single" w:sz="4" w:space="0" w:color="000000"/>
            </w:tcBorders>
            <w:vAlign w:val="center"/>
            <w:hideMark/>
          </w:tcPr>
          <w:p w14:paraId="29EF1AF4" w14:textId="77777777" w:rsidR="001E4B2F" w:rsidRPr="001E4B2F" w:rsidRDefault="001E4B2F" w:rsidP="001E4B2F">
            <w:pPr>
              <w:ind w:firstLine="0"/>
              <w:jc w:val="left"/>
              <w:rPr>
                <w:rFonts w:eastAsia="Times New Roman" w:cs="Times New Roman"/>
                <w:color w:val="000000"/>
                <w:sz w:val="20"/>
                <w:szCs w:val="20"/>
                <w:lang w:eastAsia="ru-RU"/>
              </w:rPr>
            </w:pPr>
          </w:p>
        </w:tc>
        <w:tc>
          <w:tcPr>
            <w:tcW w:w="347" w:type="pct"/>
            <w:tcBorders>
              <w:top w:val="nil"/>
              <w:left w:val="nil"/>
              <w:bottom w:val="single" w:sz="4" w:space="0" w:color="000000"/>
              <w:right w:val="single" w:sz="4" w:space="0" w:color="000000"/>
            </w:tcBorders>
            <w:shd w:val="clear" w:color="auto" w:fill="auto"/>
            <w:vAlign w:val="center"/>
            <w:hideMark/>
          </w:tcPr>
          <w:p w14:paraId="54E9BCB6" w14:textId="77777777" w:rsidR="001E4B2F" w:rsidRPr="001E4B2F" w:rsidRDefault="001E4B2F" w:rsidP="001E4B2F">
            <w:pPr>
              <w:ind w:firstLine="0"/>
              <w:jc w:val="center"/>
              <w:rPr>
                <w:rFonts w:eastAsia="Times New Roman" w:cs="Times New Roman"/>
                <w:color w:val="000000"/>
                <w:sz w:val="20"/>
                <w:szCs w:val="20"/>
                <w:lang w:eastAsia="ru-RU"/>
              </w:rPr>
            </w:pPr>
            <w:r w:rsidRPr="001E4B2F">
              <w:rPr>
                <w:rFonts w:eastAsia="Times New Roman" w:cs="Times New Roman"/>
                <w:color w:val="000000"/>
                <w:sz w:val="20"/>
                <w:szCs w:val="20"/>
                <w:lang w:eastAsia="ru-RU"/>
              </w:rPr>
              <w:t>7.2.</w:t>
            </w:r>
          </w:p>
        </w:tc>
        <w:tc>
          <w:tcPr>
            <w:tcW w:w="471" w:type="pct"/>
            <w:tcBorders>
              <w:top w:val="nil"/>
              <w:left w:val="nil"/>
              <w:bottom w:val="single" w:sz="4" w:space="0" w:color="000000"/>
              <w:right w:val="single" w:sz="4" w:space="0" w:color="000000"/>
            </w:tcBorders>
            <w:shd w:val="clear" w:color="auto" w:fill="auto"/>
            <w:noWrap/>
            <w:vAlign w:val="center"/>
            <w:hideMark/>
          </w:tcPr>
          <w:p w14:paraId="25F96331" w14:textId="77777777" w:rsidR="001E4B2F" w:rsidRPr="001E4B2F" w:rsidRDefault="001E4B2F" w:rsidP="001E4B2F">
            <w:pPr>
              <w:ind w:firstLine="0"/>
              <w:jc w:val="left"/>
              <w:rPr>
                <w:rFonts w:eastAsia="Times New Roman" w:cs="Times New Roman"/>
                <w:color w:val="000000"/>
                <w:sz w:val="20"/>
                <w:szCs w:val="20"/>
                <w:lang w:eastAsia="ru-RU"/>
              </w:rPr>
            </w:pPr>
            <w:r w:rsidRPr="001E4B2F">
              <w:rPr>
                <w:rFonts w:eastAsia="Times New Roman" w:cs="Times New Roman"/>
                <w:color w:val="000000"/>
                <w:sz w:val="20"/>
                <w:szCs w:val="20"/>
                <w:lang w:eastAsia="ru-RU"/>
              </w:rPr>
              <w:t>Сравнительный</w:t>
            </w:r>
          </w:p>
        </w:tc>
        <w:tc>
          <w:tcPr>
            <w:tcW w:w="378" w:type="pct"/>
            <w:tcBorders>
              <w:top w:val="nil"/>
              <w:left w:val="nil"/>
              <w:bottom w:val="single" w:sz="4" w:space="0" w:color="000000"/>
              <w:right w:val="single" w:sz="4" w:space="0" w:color="000000"/>
            </w:tcBorders>
            <w:shd w:val="clear" w:color="auto" w:fill="auto"/>
            <w:noWrap/>
            <w:vAlign w:val="bottom"/>
            <w:hideMark/>
          </w:tcPr>
          <w:p w14:paraId="6B5F16CE" w14:textId="77777777" w:rsidR="001E4B2F" w:rsidRPr="001E4B2F" w:rsidRDefault="001E4B2F" w:rsidP="001E4B2F">
            <w:pPr>
              <w:ind w:firstLine="0"/>
              <w:jc w:val="left"/>
              <w:rPr>
                <w:rFonts w:eastAsia="Times New Roman" w:cs="Times New Roman"/>
                <w:color w:val="000000"/>
                <w:sz w:val="20"/>
                <w:szCs w:val="20"/>
                <w:lang w:eastAsia="ru-RU"/>
              </w:rPr>
            </w:pPr>
            <w:r w:rsidRPr="001E4B2F">
              <w:rPr>
                <w:rFonts w:eastAsia="Times New Roman" w:cs="Times New Roman"/>
                <w:color w:val="000000"/>
                <w:sz w:val="20"/>
                <w:szCs w:val="20"/>
                <w:lang w:eastAsia="ru-RU"/>
              </w:rPr>
              <w:t>Массовый</w:t>
            </w:r>
          </w:p>
        </w:tc>
        <w:tc>
          <w:tcPr>
            <w:tcW w:w="708" w:type="pct"/>
            <w:tcBorders>
              <w:top w:val="nil"/>
              <w:left w:val="nil"/>
              <w:bottom w:val="single" w:sz="4" w:space="0" w:color="000000"/>
              <w:right w:val="single" w:sz="4" w:space="0" w:color="000000"/>
            </w:tcBorders>
            <w:shd w:val="clear" w:color="auto" w:fill="auto"/>
            <w:noWrap/>
            <w:vAlign w:val="center"/>
            <w:hideMark/>
          </w:tcPr>
          <w:p w14:paraId="39FACC08" w14:textId="77777777" w:rsidR="001E4B2F" w:rsidRPr="001E4B2F" w:rsidRDefault="001E4B2F" w:rsidP="001E4B2F">
            <w:pPr>
              <w:ind w:firstLine="0"/>
              <w:jc w:val="left"/>
              <w:rPr>
                <w:rFonts w:eastAsia="Times New Roman" w:cs="Times New Roman"/>
                <w:color w:val="000000"/>
                <w:sz w:val="20"/>
                <w:szCs w:val="20"/>
                <w:lang w:eastAsia="ru-RU"/>
              </w:rPr>
            </w:pPr>
            <w:r w:rsidRPr="001E4B2F">
              <w:rPr>
                <w:rFonts w:eastAsia="Times New Roman" w:cs="Times New Roman"/>
                <w:color w:val="000000"/>
                <w:sz w:val="20"/>
                <w:szCs w:val="20"/>
                <w:lang w:eastAsia="ru-RU"/>
              </w:rPr>
              <w:t>Метод УПКС (минимальное)</w:t>
            </w:r>
          </w:p>
        </w:tc>
      </w:tr>
      <w:tr w:rsidR="001E4B2F" w:rsidRPr="001E4B2F" w14:paraId="38ED879F" w14:textId="77777777" w:rsidTr="001E4B2F">
        <w:trPr>
          <w:trHeight w:val="765"/>
        </w:trPr>
        <w:tc>
          <w:tcPr>
            <w:tcW w:w="240" w:type="pct"/>
            <w:vMerge/>
            <w:tcBorders>
              <w:top w:val="nil"/>
              <w:left w:val="single" w:sz="4" w:space="0" w:color="000000"/>
              <w:bottom w:val="single" w:sz="4" w:space="0" w:color="000000"/>
              <w:right w:val="single" w:sz="4" w:space="0" w:color="000000"/>
            </w:tcBorders>
            <w:vAlign w:val="center"/>
            <w:hideMark/>
          </w:tcPr>
          <w:p w14:paraId="6502968B" w14:textId="77777777" w:rsidR="001E4B2F" w:rsidRPr="001E4B2F" w:rsidRDefault="001E4B2F" w:rsidP="001E4B2F">
            <w:pPr>
              <w:ind w:firstLine="0"/>
              <w:jc w:val="left"/>
              <w:rPr>
                <w:rFonts w:eastAsia="Times New Roman" w:cs="Times New Roman"/>
                <w:color w:val="000000"/>
                <w:sz w:val="20"/>
                <w:szCs w:val="20"/>
                <w:lang w:eastAsia="ru-RU"/>
              </w:rPr>
            </w:pPr>
          </w:p>
        </w:tc>
        <w:tc>
          <w:tcPr>
            <w:tcW w:w="788" w:type="pct"/>
            <w:vMerge/>
            <w:tcBorders>
              <w:top w:val="nil"/>
              <w:left w:val="single" w:sz="4" w:space="0" w:color="000000"/>
              <w:bottom w:val="single" w:sz="4" w:space="0" w:color="000000"/>
              <w:right w:val="single" w:sz="4" w:space="0" w:color="000000"/>
            </w:tcBorders>
            <w:vAlign w:val="center"/>
            <w:hideMark/>
          </w:tcPr>
          <w:p w14:paraId="2F563EC5" w14:textId="77777777" w:rsidR="001E4B2F" w:rsidRPr="001E4B2F" w:rsidRDefault="001E4B2F" w:rsidP="001E4B2F">
            <w:pPr>
              <w:ind w:firstLine="0"/>
              <w:jc w:val="left"/>
              <w:rPr>
                <w:rFonts w:eastAsia="Times New Roman" w:cs="Times New Roman"/>
                <w:color w:val="000000"/>
                <w:sz w:val="20"/>
                <w:szCs w:val="20"/>
                <w:lang w:eastAsia="ru-RU"/>
              </w:rPr>
            </w:pPr>
          </w:p>
        </w:tc>
        <w:tc>
          <w:tcPr>
            <w:tcW w:w="370" w:type="pct"/>
            <w:vMerge/>
            <w:tcBorders>
              <w:top w:val="nil"/>
              <w:left w:val="single" w:sz="4" w:space="0" w:color="000000"/>
              <w:bottom w:val="single" w:sz="4" w:space="0" w:color="000000"/>
              <w:right w:val="single" w:sz="4" w:space="0" w:color="000000"/>
            </w:tcBorders>
            <w:vAlign w:val="center"/>
            <w:hideMark/>
          </w:tcPr>
          <w:p w14:paraId="1AB2D11A" w14:textId="77777777" w:rsidR="001E4B2F" w:rsidRPr="001E4B2F" w:rsidRDefault="001E4B2F" w:rsidP="001E4B2F">
            <w:pPr>
              <w:ind w:firstLine="0"/>
              <w:jc w:val="left"/>
              <w:rPr>
                <w:rFonts w:eastAsia="Times New Roman" w:cs="Times New Roman"/>
                <w:color w:val="000000"/>
                <w:sz w:val="20"/>
                <w:szCs w:val="20"/>
                <w:lang w:eastAsia="ru-RU"/>
              </w:rPr>
            </w:pPr>
          </w:p>
        </w:tc>
        <w:tc>
          <w:tcPr>
            <w:tcW w:w="559" w:type="pct"/>
            <w:tcBorders>
              <w:top w:val="nil"/>
              <w:left w:val="nil"/>
              <w:bottom w:val="single" w:sz="4" w:space="0" w:color="000000"/>
              <w:right w:val="single" w:sz="4" w:space="0" w:color="000000"/>
            </w:tcBorders>
            <w:shd w:val="clear" w:color="auto" w:fill="auto"/>
            <w:vAlign w:val="center"/>
            <w:hideMark/>
          </w:tcPr>
          <w:p w14:paraId="590C9B80" w14:textId="77777777" w:rsidR="001E4B2F" w:rsidRPr="001E4B2F" w:rsidRDefault="001E4B2F" w:rsidP="001E4B2F">
            <w:pPr>
              <w:ind w:firstLine="0"/>
              <w:jc w:val="center"/>
              <w:rPr>
                <w:rFonts w:eastAsia="Times New Roman" w:cs="Times New Roman"/>
                <w:color w:val="000000"/>
                <w:sz w:val="20"/>
                <w:szCs w:val="20"/>
                <w:lang w:eastAsia="ru-RU"/>
              </w:rPr>
            </w:pPr>
            <w:r w:rsidRPr="001E4B2F">
              <w:rPr>
                <w:rFonts w:eastAsia="Times New Roman" w:cs="Times New Roman"/>
                <w:color w:val="000000"/>
                <w:sz w:val="20"/>
                <w:szCs w:val="20"/>
                <w:lang w:eastAsia="ru-RU"/>
              </w:rPr>
              <w:t>Здания, помещения, сооружения, ОНС</w:t>
            </w:r>
          </w:p>
        </w:tc>
        <w:tc>
          <w:tcPr>
            <w:tcW w:w="528" w:type="pct"/>
            <w:vMerge/>
            <w:tcBorders>
              <w:top w:val="nil"/>
              <w:left w:val="single" w:sz="4" w:space="0" w:color="000000"/>
              <w:bottom w:val="single" w:sz="4" w:space="0" w:color="000000"/>
              <w:right w:val="single" w:sz="4" w:space="0" w:color="000000"/>
            </w:tcBorders>
            <w:vAlign w:val="center"/>
            <w:hideMark/>
          </w:tcPr>
          <w:p w14:paraId="53B65B29" w14:textId="77777777" w:rsidR="001E4B2F" w:rsidRPr="001E4B2F" w:rsidRDefault="001E4B2F" w:rsidP="001E4B2F">
            <w:pPr>
              <w:ind w:firstLine="0"/>
              <w:jc w:val="left"/>
              <w:rPr>
                <w:rFonts w:eastAsia="Times New Roman" w:cs="Times New Roman"/>
                <w:color w:val="000000"/>
                <w:sz w:val="20"/>
                <w:szCs w:val="20"/>
                <w:lang w:eastAsia="ru-RU"/>
              </w:rPr>
            </w:pPr>
          </w:p>
        </w:tc>
        <w:tc>
          <w:tcPr>
            <w:tcW w:w="611" w:type="pct"/>
            <w:tcBorders>
              <w:top w:val="nil"/>
              <w:left w:val="nil"/>
              <w:bottom w:val="single" w:sz="4" w:space="0" w:color="000000"/>
              <w:right w:val="single" w:sz="4" w:space="0" w:color="000000"/>
            </w:tcBorders>
            <w:shd w:val="clear" w:color="auto" w:fill="auto"/>
            <w:vAlign w:val="center"/>
            <w:hideMark/>
          </w:tcPr>
          <w:p w14:paraId="15D40FAF" w14:textId="77777777" w:rsidR="001E4B2F" w:rsidRPr="001E4B2F" w:rsidRDefault="001E4B2F" w:rsidP="001E4B2F">
            <w:pPr>
              <w:ind w:firstLine="0"/>
              <w:jc w:val="center"/>
              <w:rPr>
                <w:rFonts w:eastAsia="Times New Roman" w:cs="Times New Roman"/>
                <w:color w:val="000000"/>
                <w:sz w:val="20"/>
                <w:szCs w:val="20"/>
                <w:lang w:eastAsia="ru-RU"/>
              </w:rPr>
            </w:pPr>
            <w:r w:rsidRPr="001E4B2F">
              <w:rPr>
                <w:rFonts w:eastAsia="Times New Roman" w:cs="Times New Roman"/>
                <w:color w:val="000000"/>
                <w:sz w:val="20"/>
                <w:szCs w:val="20"/>
                <w:lang w:eastAsia="ru-RU"/>
              </w:rPr>
              <w:t>Объекты с полными характеристиками</w:t>
            </w:r>
          </w:p>
        </w:tc>
        <w:tc>
          <w:tcPr>
            <w:tcW w:w="347" w:type="pct"/>
            <w:tcBorders>
              <w:top w:val="nil"/>
              <w:left w:val="nil"/>
              <w:bottom w:val="single" w:sz="4" w:space="0" w:color="000000"/>
              <w:right w:val="single" w:sz="4" w:space="0" w:color="000000"/>
            </w:tcBorders>
            <w:shd w:val="clear" w:color="auto" w:fill="auto"/>
            <w:vAlign w:val="center"/>
            <w:hideMark/>
          </w:tcPr>
          <w:p w14:paraId="036A739C" w14:textId="77777777" w:rsidR="001E4B2F" w:rsidRPr="001E4B2F" w:rsidRDefault="001E4B2F" w:rsidP="001E4B2F">
            <w:pPr>
              <w:ind w:firstLine="0"/>
              <w:jc w:val="center"/>
              <w:rPr>
                <w:rFonts w:eastAsia="Times New Roman" w:cs="Times New Roman"/>
                <w:color w:val="000000"/>
                <w:sz w:val="20"/>
                <w:szCs w:val="20"/>
                <w:lang w:eastAsia="ru-RU"/>
              </w:rPr>
            </w:pPr>
            <w:r w:rsidRPr="001E4B2F">
              <w:rPr>
                <w:rFonts w:eastAsia="Times New Roman" w:cs="Times New Roman"/>
                <w:color w:val="000000"/>
                <w:sz w:val="20"/>
                <w:szCs w:val="20"/>
                <w:lang w:eastAsia="ru-RU"/>
              </w:rPr>
              <w:t>7.3.</w:t>
            </w:r>
          </w:p>
        </w:tc>
        <w:tc>
          <w:tcPr>
            <w:tcW w:w="471" w:type="pct"/>
            <w:tcBorders>
              <w:top w:val="nil"/>
              <w:left w:val="nil"/>
              <w:bottom w:val="single" w:sz="4" w:space="0" w:color="000000"/>
              <w:right w:val="single" w:sz="4" w:space="0" w:color="000000"/>
            </w:tcBorders>
            <w:shd w:val="clear" w:color="auto" w:fill="auto"/>
            <w:noWrap/>
            <w:vAlign w:val="center"/>
            <w:hideMark/>
          </w:tcPr>
          <w:p w14:paraId="25E1E2A4" w14:textId="77777777" w:rsidR="001E4B2F" w:rsidRPr="001E4B2F" w:rsidRDefault="001E4B2F" w:rsidP="001E4B2F">
            <w:pPr>
              <w:ind w:firstLine="0"/>
              <w:jc w:val="left"/>
              <w:rPr>
                <w:rFonts w:eastAsia="Times New Roman" w:cs="Times New Roman"/>
                <w:color w:val="000000"/>
                <w:sz w:val="20"/>
                <w:szCs w:val="20"/>
                <w:lang w:eastAsia="ru-RU"/>
              </w:rPr>
            </w:pPr>
            <w:r w:rsidRPr="001E4B2F">
              <w:rPr>
                <w:rFonts w:eastAsia="Times New Roman" w:cs="Times New Roman"/>
                <w:color w:val="000000"/>
                <w:sz w:val="20"/>
                <w:szCs w:val="20"/>
                <w:lang w:eastAsia="ru-RU"/>
              </w:rPr>
              <w:t>Затратный</w:t>
            </w:r>
          </w:p>
        </w:tc>
        <w:tc>
          <w:tcPr>
            <w:tcW w:w="378" w:type="pct"/>
            <w:tcBorders>
              <w:top w:val="nil"/>
              <w:left w:val="nil"/>
              <w:bottom w:val="single" w:sz="4" w:space="0" w:color="000000"/>
              <w:right w:val="single" w:sz="4" w:space="0" w:color="000000"/>
            </w:tcBorders>
            <w:shd w:val="clear" w:color="auto" w:fill="auto"/>
            <w:noWrap/>
            <w:vAlign w:val="center"/>
            <w:hideMark/>
          </w:tcPr>
          <w:p w14:paraId="65C0858B" w14:textId="77777777" w:rsidR="001E4B2F" w:rsidRPr="001E4B2F" w:rsidRDefault="001E4B2F" w:rsidP="001E4B2F">
            <w:pPr>
              <w:ind w:firstLine="0"/>
              <w:jc w:val="left"/>
              <w:rPr>
                <w:rFonts w:eastAsia="Times New Roman" w:cs="Times New Roman"/>
                <w:color w:val="000000"/>
                <w:sz w:val="20"/>
                <w:szCs w:val="20"/>
                <w:lang w:eastAsia="ru-RU"/>
              </w:rPr>
            </w:pPr>
            <w:r w:rsidRPr="001E4B2F">
              <w:rPr>
                <w:rFonts w:eastAsia="Times New Roman" w:cs="Times New Roman"/>
                <w:color w:val="000000"/>
                <w:sz w:val="20"/>
                <w:szCs w:val="20"/>
                <w:lang w:eastAsia="ru-RU"/>
              </w:rPr>
              <w:t>Массовый</w:t>
            </w:r>
          </w:p>
        </w:tc>
        <w:tc>
          <w:tcPr>
            <w:tcW w:w="708" w:type="pct"/>
            <w:tcBorders>
              <w:top w:val="nil"/>
              <w:left w:val="nil"/>
              <w:bottom w:val="single" w:sz="4" w:space="0" w:color="000000"/>
              <w:right w:val="single" w:sz="4" w:space="0" w:color="000000"/>
            </w:tcBorders>
            <w:shd w:val="clear" w:color="auto" w:fill="auto"/>
            <w:noWrap/>
            <w:vAlign w:val="center"/>
            <w:hideMark/>
          </w:tcPr>
          <w:p w14:paraId="25D008C7" w14:textId="77777777" w:rsidR="001E4B2F" w:rsidRPr="001E4B2F" w:rsidRDefault="001E4B2F" w:rsidP="001E4B2F">
            <w:pPr>
              <w:ind w:firstLine="0"/>
              <w:jc w:val="left"/>
              <w:rPr>
                <w:rFonts w:eastAsia="Times New Roman" w:cs="Times New Roman"/>
                <w:color w:val="000000"/>
                <w:sz w:val="20"/>
                <w:szCs w:val="20"/>
                <w:lang w:eastAsia="ru-RU"/>
              </w:rPr>
            </w:pPr>
            <w:r w:rsidRPr="001E4B2F">
              <w:rPr>
                <w:rFonts w:eastAsia="Times New Roman" w:cs="Times New Roman"/>
                <w:color w:val="000000"/>
                <w:sz w:val="20"/>
                <w:szCs w:val="20"/>
                <w:lang w:eastAsia="ru-RU"/>
              </w:rPr>
              <w:t>Метод сравнительной единицы (УПСС)</w:t>
            </w:r>
          </w:p>
        </w:tc>
      </w:tr>
      <w:tr w:rsidR="001E4B2F" w:rsidRPr="001E4B2F" w14:paraId="79A7D647" w14:textId="77777777" w:rsidTr="001E4B2F">
        <w:trPr>
          <w:trHeight w:val="510"/>
        </w:trPr>
        <w:tc>
          <w:tcPr>
            <w:tcW w:w="240"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14:paraId="0B78A3A0" w14:textId="77777777" w:rsidR="001E4B2F" w:rsidRPr="001E4B2F" w:rsidRDefault="001E4B2F" w:rsidP="001E4B2F">
            <w:pPr>
              <w:ind w:firstLine="0"/>
              <w:jc w:val="center"/>
              <w:rPr>
                <w:rFonts w:eastAsia="Times New Roman" w:cs="Times New Roman"/>
                <w:color w:val="000000"/>
                <w:sz w:val="20"/>
                <w:szCs w:val="20"/>
                <w:lang w:eastAsia="ru-RU"/>
              </w:rPr>
            </w:pPr>
            <w:r w:rsidRPr="001E4B2F">
              <w:rPr>
                <w:rFonts w:eastAsia="Times New Roman" w:cs="Times New Roman"/>
                <w:color w:val="000000"/>
                <w:sz w:val="20"/>
                <w:szCs w:val="20"/>
                <w:lang w:eastAsia="ru-RU"/>
              </w:rPr>
              <w:t>8</w:t>
            </w:r>
          </w:p>
        </w:tc>
        <w:tc>
          <w:tcPr>
            <w:tcW w:w="788" w:type="pct"/>
            <w:vMerge w:val="restart"/>
            <w:tcBorders>
              <w:top w:val="nil"/>
              <w:left w:val="single" w:sz="4" w:space="0" w:color="000000"/>
              <w:bottom w:val="single" w:sz="4" w:space="0" w:color="000000"/>
              <w:right w:val="single" w:sz="4" w:space="0" w:color="000000"/>
            </w:tcBorders>
            <w:shd w:val="clear" w:color="auto" w:fill="auto"/>
            <w:vAlign w:val="center"/>
            <w:hideMark/>
          </w:tcPr>
          <w:p w14:paraId="2E29E1D4" w14:textId="77777777" w:rsidR="001E4B2F" w:rsidRPr="001E4B2F" w:rsidRDefault="001E4B2F" w:rsidP="001E4B2F">
            <w:pPr>
              <w:ind w:firstLine="0"/>
              <w:jc w:val="center"/>
              <w:rPr>
                <w:rFonts w:eastAsia="Times New Roman" w:cs="Times New Roman"/>
                <w:color w:val="000000"/>
                <w:sz w:val="20"/>
                <w:szCs w:val="20"/>
                <w:lang w:eastAsia="ru-RU"/>
              </w:rPr>
            </w:pPr>
            <w:r w:rsidRPr="001E4B2F">
              <w:rPr>
                <w:rFonts w:eastAsia="Times New Roman" w:cs="Times New Roman"/>
                <w:color w:val="000000"/>
                <w:sz w:val="20"/>
                <w:szCs w:val="20"/>
                <w:lang w:eastAsia="ru-RU"/>
              </w:rPr>
              <w:t>Учебные, спортивные объекты, объекты культуры и искусства, культовые объекты, музеи, лечебно-оздоровительные и общественного назначения объекты</w:t>
            </w:r>
          </w:p>
        </w:tc>
        <w:tc>
          <w:tcPr>
            <w:tcW w:w="370"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14:paraId="17C95E68" w14:textId="77777777" w:rsidR="001E4B2F" w:rsidRPr="001E4B2F" w:rsidRDefault="001E4B2F" w:rsidP="001E4B2F">
            <w:pPr>
              <w:ind w:firstLine="0"/>
              <w:jc w:val="center"/>
              <w:rPr>
                <w:rFonts w:eastAsia="Times New Roman" w:cs="Times New Roman"/>
                <w:color w:val="000000"/>
                <w:sz w:val="20"/>
                <w:szCs w:val="20"/>
                <w:lang w:eastAsia="ru-RU"/>
              </w:rPr>
            </w:pPr>
            <w:r w:rsidRPr="001E4B2F">
              <w:rPr>
                <w:rFonts w:eastAsia="Times New Roman" w:cs="Times New Roman"/>
                <w:color w:val="000000"/>
                <w:sz w:val="20"/>
                <w:szCs w:val="20"/>
                <w:lang w:eastAsia="ru-RU"/>
              </w:rPr>
              <w:t>801-852</w:t>
            </w:r>
          </w:p>
        </w:tc>
        <w:tc>
          <w:tcPr>
            <w:tcW w:w="559" w:type="pct"/>
            <w:tcBorders>
              <w:top w:val="nil"/>
              <w:left w:val="nil"/>
              <w:bottom w:val="single" w:sz="4" w:space="0" w:color="000000"/>
              <w:right w:val="single" w:sz="4" w:space="0" w:color="000000"/>
            </w:tcBorders>
            <w:shd w:val="clear" w:color="auto" w:fill="auto"/>
            <w:vAlign w:val="center"/>
            <w:hideMark/>
          </w:tcPr>
          <w:p w14:paraId="23376DD6" w14:textId="77777777" w:rsidR="001E4B2F" w:rsidRPr="001E4B2F" w:rsidRDefault="001E4B2F" w:rsidP="001E4B2F">
            <w:pPr>
              <w:ind w:firstLine="0"/>
              <w:jc w:val="center"/>
              <w:rPr>
                <w:rFonts w:eastAsia="Times New Roman" w:cs="Times New Roman"/>
                <w:color w:val="000000"/>
                <w:sz w:val="20"/>
                <w:szCs w:val="20"/>
                <w:lang w:eastAsia="ru-RU"/>
              </w:rPr>
            </w:pPr>
            <w:r w:rsidRPr="001E4B2F">
              <w:rPr>
                <w:rFonts w:eastAsia="Times New Roman" w:cs="Times New Roman"/>
                <w:color w:val="000000"/>
                <w:sz w:val="20"/>
                <w:szCs w:val="20"/>
                <w:lang w:eastAsia="ru-RU"/>
              </w:rPr>
              <w:t>Здания, помещения</w:t>
            </w:r>
          </w:p>
        </w:tc>
        <w:tc>
          <w:tcPr>
            <w:tcW w:w="528" w:type="pct"/>
            <w:vMerge w:val="restart"/>
            <w:tcBorders>
              <w:top w:val="nil"/>
              <w:left w:val="single" w:sz="4" w:space="0" w:color="000000"/>
              <w:bottom w:val="single" w:sz="4" w:space="0" w:color="000000"/>
              <w:right w:val="single" w:sz="4" w:space="0" w:color="000000"/>
            </w:tcBorders>
            <w:shd w:val="clear" w:color="auto" w:fill="auto"/>
            <w:vAlign w:val="center"/>
            <w:hideMark/>
          </w:tcPr>
          <w:p w14:paraId="207D6B1C" w14:textId="77777777" w:rsidR="001E4B2F" w:rsidRPr="001E4B2F" w:rsidRDefault="001E4B2F" w:rsidP="001E4B2F">
            <w:pPr>
              <w:ind w:firstLine="0"/>
              <w:jc w:val="center"/>
              <w:rPr>
                <w:rFonts w:eastAsia="Times New Roman" w:cs="Times New Roman"/>
                <w:color w:val="000000"/>
                <w:sz w:val="20"/>
                <w:szCs w:val="20"/>
                <w:lang w:eastAsia="ru-RU"/>
              </w:rPr>
            </w:pPr>
            <w:r w:rsidRPr="001E4B2F">
              <w:rPr>
                <w:rFonts w:eastAsia="Times New Roman" w:cs="Times New Roman"/>
                <w:color w:val="000000"/>
                <w:sz w:val="20"/>
                <w:szCs w:val="20"/>
                <w:lang w:eastAsia="ru-RU"/>
              </w:rPr>
              <w:t>ГНП, СНП, МР</w:t>
            </w:r>
          </w:p>
        </w:tc>
        <w:tc>
          <w:tcPr>
            <w:tcW w:w="611" w:type="pct"/>
            <w:vMerge w:val="restart"/>
            <w:tcBorders>
              <w:top w:val="nil"/>
              <w:left w:val="single" w:sz="4" w:space="0" w:color="000000"/>
              <w:bottom w:val="single" w:sz="4" w:space="0" w:color="000000"/>
              <w:right w:val="single" w:sz="4" w:space="0" w:color="000000"/>
            </w:tcBorders>
            <w:shd w:val="clear" w:color="auto" w:fill="auto"/>
            <w:vAlign w:val="center"/>
            <w:hideMark/>
          </w:tcPr>
          <w:p w14:paraId="0682C5C6" w14:textId="77777777" w:rsidR="001E4B2F" w:rsidRPr="001E4B2F" w:rsidRDefault="001E4B2F" w:rsidP="001E4B2F">
            <w:pPr>
              <w:ind w:firstLine="0"/>
              <w:jc w:val="center"/>
              <w:rPr>
                <w:rFonts w:eastAsia="Times New Roman" w:cs="Times New Roman"/>
                <w:color w:val="000000"/>
                <w:sz w:val="20"/>
                <w:szCs w:val="20"/>
                <w:lang w:eastAsia="ru-RU"/>
              </w:rPr>
            </w:pPr>
            <w:r w:rsidRPr="001E4B2F">
              <w:rPr>
                <w:rFonts w:eastAsia="Times New Roman" w:cs="Times New Roman"/>
                <w:color w:val="000000"/>
                <w:sz w:val="20"/>
                <w:szCs w:val="20"/>
                <w:lang w:eastAsia="ru-RU"/>
              </w:rPr>
              <w:t>Объекты с неполными харкетристиками</w:t>
            </w:r>
          </w:p>
        </w:tc>
        <w:tc>
          <w:tcPr>
            <w:tcW w:w="347" w:type="pct"/>
            <w:tcBorders>
              <w:top w:val="nil"/>
              <w:left w:val="nil"/>
              <w:bottom w:val="single" w:sz="4" w:space="0" w:color="000000"/>
              <w:right w:val="single" w:sz="4" w:space="0" w:color="000000"/>
            </w:tcBorders>
            <w:shd w:val="clear" w:color="auto" w:fill="auto"/>
            <w:vAlign w:val="center"/>
            <w:hideMark/>
          </w:tcPr>
          <w:p w14:paraId="61EA0409" w14:textId="77777777" w:rsidR="001E4B2F" w:rsidRPr="001E4B2F" w:rsidRDefault="001E4B2F" w:rsidP="001E4B2F">
            <w:pPr>
              <w:ind w:firstLine="0"/>
              <w:jc w:val="center"/>
              <w:rPr>
                <w:rFonts w:eastAsia="Times New Roman" w:cs="Times New Roman"/>
                <w:color w:val="000000"/>
                <w:sz w:val="20"/>
                <w:szCs w:val="20"/>
                <w:lang w:eastAsia="ru-RU"/>
              </w:rPr>
            </w:pPr>
            <w:r w:rsidRPr="001E4B2F">
              <w:rPr>
                <w:rFonts w:eastAsia="Times New Roman" w:cs="Times New Roman"/>
                <w:color w:val="000000"/>
                <w:sz w:val="20"/>
                <w:szCs w:val="20"/>
                <w:lang w:eastAsia="ru-RU"/>
              </w:rPr>
              <w:t>8.1.</w:t>
            </w:r>
          </w:p>
        </w:tc>
        <w:tc>
          <w:tcPr>
            <w:tcW w:w="471" w:type="pct"/>
            <w:tcBorders>
              <w:top w:val="nil"/>
              <w:left w:val="nil"/>
              <w:bottom w:val="single" w:sz="4" w:space="0" w:color="000000"/>
              <w:right w:val="single" w:sz="4" w:space="0" w:color="000000"/>
            </w:tcBorders>
            <w:shd w:val="clear" w:color="auto" w:fill="auto"/>
            <w:noWrap/>
            <w:vAlign w:val="center"/>
            <w:hideMark/>
          </w:tcPr>
          <w:p w14:paraId="69A9B591" w14:textId="77777777" w:rsidR="001E4B2F" w:rsidRPr="001E4B2F" w:rsidRDefault="001E4B2F" w:rsidP="001E4B2F">
            <w:pPr>
              <w:ind w:firstLine="0"/>
              <w:jc w:val="left"/>
              <w:rPr>
                <w:rFonts w:eastAsia="Times New Roman" w:cs="Times New Roman"/>
                <w:color w:val="000000"/>
                <w:sz w:val="20"/>
                <w:szCs w:val="20"/>
                <w:lang w:eastAsia="ru-RU"/>
              </w:rPr>
            </w:pPr>
            <w:r w:rsidRPr="001E4B2F">
              <w:rPr>
                <w:rFonts w:eastAsia="Times New Roman" w:cs="Times New Roman"/>
                <w:color w:val="000000"/>
                <w:sz w:val="20"/>
                <w:szCs w:val="20"/>
                <w:lang w:eastAsia="ru-RU"/>
              </w:rPr>
              <w:t>Сравнительный</w:t>
            </w:r>
          </w:p>
        </w:tc>
        <w:tc>
          <w:tcPr>
            <w:tcW w:w="378" w:type="pct"/>
            <w:tcBorders>
              <w:top w:val="nil"/>
              <w:left w:val="nil"/>
              <w:bottom w:val="single" w:sz="4" w:space="0" w:color="000000"/>
              <w:right w:val="single" w:sz="4" w:space="0" w:color="000000"/>
            </w:tcBorders>
            <w:shd w:val="clear" w:color="auto" w:fill="auto"/>
            <w:noWrap/>
            <w:vAlign w:val="bottom"/>
            <w:hideMark/>
          </w:tcPr>
          <w:p w14:paraId="2EA775E3" w14:textId="77777777" w:rsidR="001E4B2F" w:rsidRPr="001E4B2F" w:rsidRDefault="001E4B2F" w:rsidP="001E4B2F">
            <w:pPr>
              <w:ind w:firstLine="0"/>
              <w:jc w:val="left"/>
              <w:rPr>
                <w:rFonts w:eastAsia="Times New Roman" w:cs="Times New Roman"/>
                <w:color w:val="000000"/>
                <w:sz w:val="20"/>
                <w:szCs w:val="20"/>
                <w:lang w:eastAsia="ru-RU"/>
              </w:rPr>
            </w:pPr>
            <w:r w:rsidRPr="001E4B2F">
              <w:rPr>
                <w:rFonts w:eastAsia="Times New Roman" w:cs="Times New Roman"/>
                <w:color w:val="000000"/>
                <w:sz w:val="20"/>
                <w:szCs w:val="20"/>
                <w:lang w:eastAsia="ru-RU"/>
              </w:rPr>
              <w:t>Массовый</w:t>
            </w:r>
          </w:p>
        </w:tc>
        <w:tc>
          <w:tcPr>
            <w:tcW w:w="708" w:type="pct"/>
            <w:tcBorders>
              <w:top w:val="nil"/>
              <w:left w:val="nil"/>
              <w:bottom w:val="single" w:sz="4" w:space="0" w:color="000000"/>
              <w:right w:val="single" w:sz="4" w:space="0" w:color="000000"/>
            </w:tcBorders>
            <w:shd w:val="clear" w:color="auto" w:fill="auto"/>
            <w:noWrap/>
            <w:vAlign w:val="center"/>
            <w:hideMark/>
          </w:tcPr>
          <w:p w14:paraId="696242C1" w14:textId="77777777" w:rsidR="001E4B2F" w:rsidRPr="001E4B2F" w:rsidRDefault="001E4B2F" w:rsidP="001E4B2F">
            <w:pPr>
              <w:ind w:firstLine="0"/>
              <w:jc w:val="left"/>
              <w:rPr>
                <w:rFonts w:eastAsia="Times New Roman" w:cs="Times New Roman"/>
                <w:color w:val="000000"/>
                <w:sz w:val="20"/>
                <w:szCs w:val="20"/>
                <w:lang w:eastAsia="ru-RU"/>
              </w:rPr>
            </w:pPr>
            <w:r w:rsidRPr="001E4B2F">
              <w:rPr>
                <w:rFonts w:eastAsia="Times New Roman" w:cs="Times New Roman"/>
                <w:color w:val="000000"/>
                <w:sz w:val="20"/>
                <w:szCs w:val="20"/>
                <w:lang w:eastAsia="ru-RU"/>
              </w:rPr>
              <w:t>Метод УПКС (минимальное)</w:t>
            </w:r>
          </w:p>
        </w:tc>
      </w:tr>
      <w:tr w:rsidR="001E4B2F" w:rsidRPr="001E4B2F" w14:paraId="4E2E1D02" w14:textId="77777777" w:rsidTr="001E4B2F">
        <w:trPr>
          <w:trHeight w:val="510"/>
        </w:trPr>
        <w:tc>
          <w:tcPr>
            <w:tcW w:w="240" w:type="pct"/>
            <w:vMerge/>
            <w:tcBorders>
              <w:top w:val="nil"/>
              <w:left w:val="single" w:sz="4" w:space="0" w:color="000000"/>
              <w:bottom w:val="single" w:sz="4" w:space="0" w:color="000000"/>
              <w:right w:val="single" w:sz="4" w:space="0" w:color="000000"/>
            </w:tcBorders>
            <w:vAlign w:val="center"/>
            <w:hideMark/>
          </w:tcPr>
          <w:p w14:paraId="36D45EC6" w14:textId="77777777" w:rsidR="001E4B2F" w:rsidRPr="001E4B2F" w:rsidRDefault="001E4B2F" w:rsidP="001E4B2F">
            <w:pPr>
              <w:ind w:firstLine="0"/>
              <w:jc w:val="left"/>
              <w:rPr>
                <w:rFonts w:eastAsia="Times New Roman" w:cs="Times New Roman"/>
                <w:color w:val="000000"/>
                <w:sz w:val="20"/>
                <w:szCs w:val="20"/>
                <w:lang w:eastAsia="ru-RU"/>
              </w:rPr>
            </w:pPr>
          </w:p>
        </w:tc>
        <w:tc>
          <w:tcPr>
            <w:tcW w:w="788" w:type="pct"/>
            <w:vMerge/>
            <w:tcBorders>
              <w:top w:val="nil"/>
              <w:left w:val="single" w:sz="4" w:space="0" w:color="000000"/>
              <w:bottom w:val="single" w:sz="4" w:space="0" w:color="000000"/>
              <w:right w:val="single" w:sz="4" w:space="0" w:color="000000"/>
            </w:tcBorders>
            <w:vAlign w:val="center"/>
            <w:hideMark/>
          </w:tcPr>
          <w:p w14:paraId="0C44AAE0" w14:textId="77777777" w:rsidR="001E4B2F" w:rsidRPr="001E4B2F" w:rsidRDefault="001E4B2F" w:rsidP="001E4B2F">
            <w:pPr>
              <w:ind w:firstLine="0"/>
              <w:jc w:val="left"/>
              <w:rPr>
                <w:rFonts w:eastAsia="Times New Roman" w:cs="Times New Roman"/>
                <w:color w:val="000000"/>
                <w:sz w:val="20"/>
                <w:szCs w:val="20"/>
                <w:lang w:eastAsia="ru-RU"/>
              </w:rPr>
            </w:pPr>
          </w:p>
        </w:tc>
        <w:tc>
          <w:tcPr>
            <w:tcW w:w="370" w:type="pct"/>
            <w:vMerge/>
            <w:tcBorders>
              <w:top w:val="nil"/>
              <w:left w:val="single" w:sz="4" w:space="0" w:color="000000"/>
              <w:bottom w:val="single" w:sz="4" w:space="0" w:color="000000"/>
              <w:right w:val="single" w:sz="4" w:space="0" w:color="000000"/>
            </w:tcBorders>
            <w:vAlign w:val="center"/>
            <w:hideMark/>
          </w:tcPr>
          <w:p w14:paraId="415BF7CA" w14:textId="77777777" w:rsidR="001E4B2F" w:rsidRPr="001E4B2F" w:rsidRDefault="001E4B2F" w:rsidP="001E4B2F">
            <w:pPr>
              <w:ind w:firstLine="0"/>
              <w:jc w:val="left"/>
              <w:rPr>
                <w:rFonts w:eastAsia="Times New Roman" w:cs="Times New Roman"/>
                <w:color w:val="000000"/>
                <w:sz w:val="20"/>
                <w:szCs w:val="20"/>
                <w:lang w:eastAsia="ru-RU"/>
              </w:rPr>
            </w:pPr>
          </w:p>
        </w:tc>
        <w:tc>
          <w:tcPr>
            <w:tcW w:w="559" w:type="pct"/>
            <w:tcBorders>
              <w:top w:val="nil"/>
              <w:left w:val="nil"/>
              <w:bottom w:val="single" w:sz="4" w:space="0" w:color="000000"/>
              <w:right w:val="single" w:sz="4" w:space="0" w:color="000000"/>
            </w:tcBorders>
            <w:shd w:val="clear" w:color="auto" w:fill="auto"/>
            <w:vAlign w:val="center"/>
            <w:hideMark/>
          </w:tcPr>
          <w:p w14:paraId="003DE4DE" w14:textId="77777777" w:rsidR="001E4B2F" w:rsidRPr="001E4B2F" w:rsidRDefault="001E4B2F" w:rsidP="001E4B2F">
            <w:pPr>
              <w:ind w:firstLine="0"/>
              <w:jc w:val="center"/>
              <w:rPr>
                <w:rFonts w:eastAsia="Times New Roman" w:cs="Times New Roman"/>
                <w:color w:val="000000"/>
                <w:sz w:val="20"/>
                <w:szCs w:val="20"/>
                <w:lang w:eastAsia="ru-RU"/>
              </w:rPr>
            </w:pPr>
            <w:r w:rsidRPr="001E4B2F">
              <w:rPr>
                <w:rFonts w:eastAsia="Times New Roman" w:cs="Times New Roman"/>
                <w:color w:val="000000"/>
                <w:sz w:val="20"/>
                <w:szCs w:val="20"/>
                <w:lang w:eastAsia="ru-RU"/>
              </w:rPr>
              <w:t>ОНС, сооружения</w:t>
            </w:r>
          </w:p>
        </w:tc>
        <w:tc>
          <w:tcPr>
            <w:tcW w:w="528" w:type="pct"/>
            <w:vMerge/>
            <w:tcBorders>
              <w:top w:val="nil"/>
              <w:left w:val="single" w:sz="4" w:space="0" w:color="000000"/>
              <w:bottom w:val="single" w:sz="4" w:space="0" w:color="000000"/>
              <w:right w:val="single" w:sz="4" w:space="0" w:color="000000"/>
            </w:tcBorders>
            <w:vAlign w:val="center"/>
            <w:hideMark/>
          </w:tcPr>
          <w:p w14:paraId="6181BC03" w14:textId="77777777" w:rsidR="001E4B2F" w:rsidRPr="001E4B2F" w:rsidRDefault="001E4B2F" w:rsidP="001E4B2F">
            <w:pPr>
              <w:ind w:firstLine="0"/>
              <w:jc w:val="left"/>
              <w:rPr>
                <w:rFonts w:eastAsia="Times New Roman" w:cs="Times New Roman"/>
                <w:color w:val="000000"/>
                <w:sz w:val="20"/>
                <w:szCs w:val="20"/>
                <w:lang w:eastAsia="ru-RU"/>
              </w:rPr>
            </w:pPr>
          </w:p>
        </w:tc>
        <w:tc>
          <w:tcPr>
            <w:tcW w:w="611" w:type="pct"/>
            <w:vMerge/>
            <w:tcBorders>
              <w:top w:val="nil"/>
              <w:left w:val="single" w:sz="4" w:space="0" w:color="000000"/>
              <w:bottom w:val="single" w:sz="4" w:space="0" w:color="000000"/>
              <w:right w:val="single" w:sz="4" w:space="0" w:color="000000"/>
            </w:tcBorders>
            <w:vAlign w:val="center"/>
            <w:hideMark/>
          </w:tcPr>
          <w:p w14:paraId="4916B51A" w14:textId="77777777" w:rsidR="001E4B2F" w:rsidRPr="001E4B2F" w:rsidRDefault="001E4B2F" w:rsidP="001E4B2F">
            <w:pPr>
              <w:ind w:firstLine="0"/>
              <w:jc w:val="left"/>
              <w:rPr>
                <w:rFonts w:eastAsia="Times New Roman" w:cs="Times New Roman"/>
                <w:color w:val="000000"/>
                <w:sz w:val="20"/>
                <w:szCs w:val="20"/>
                <w:lang w:eastAsia="ru-RU"/>
              </w:rPr>
            </w:pPr>
          </w:p>
        </w:tc>
        <w:tc>
          <w:tcPr>
            <w:tcW w:w="347" w:type="pct"/>
            <w:tcBorders>
              <w:top w:val="nil"/>
              <w:left w:val="nil"/>
              <w:bottom w:val="single" w:sz="4" w:space="0" w:color="000000"/>
              <w:right w:val="single" w:sz="4" w:space="0" w:color="000000"/>
            </w:tcBorders>
            <w:shd w:val="clear" w:color="auto" w:fill="auto"/>
            <w:vAlign w:val="center"/>
            <w:hideMark/>
          </w:tcPr>
          <w:p w14:paraId="072E91E5" w14:textId="77777777" w:rsidR="001E4B2F" w:rsidRPr="001E4B2F" w:rsidRDefault="001E4B2F" w:rsidP="001E4B2F">
            <w:pPr>
              <w:ind w:firstLine="0"/>
              <w:jc w:val="center"/>
              <w:rPr>
                <w:rFonts w:eastAsia="Times New Roman" w:cs="Times New Roman"/>
                <w:color w:val="000000"/>
                <w:sz w:val="20"/>
                <w:szCs w:val="20"/>
                <w:lang w:eastAsia="ru-RU"/>
              </w:rPr>
            </w:pPr>
            <w:r w:rsidRPr="001E4B2F">
              <w:rPr>
                <w:rFonts w:eastAsia="Times New Roman" w:cs="Times New Roman"/>
                <w:color w:val="000000"/>
                <w:sz w:val="20"/>
                <w:szCs w:val="20"/>
                <w:lang w:eastAsia="ru-RU"/>
              </w:rPr>
              <w:t>8.2.</w:t>
            </w:r>
          </w:p>
        </w:tc>
        <w:tc>
          <w:tcPr>
            <w:tcW w:w="471" w:type="pct"/>
            <w:tcBorders>
              <w:top w:val="nil"/>
              <w:left w:val="nil"/>
              <w:bottom w:val="single" w:sz="4" w:space="0" w:color="000000"/>
              <w:right w:val="single" w:sz="4" w:space="0" w:color="000000"/>
            </w:tcBorders>
            <w:shd w:val="clear" w:color="auto" w:fill="auto"/>
            <w:noWrap/>
            <w:vAlign w:val="center"/>
            <w:hideMark/>
          </w:tcPr>
          <w:p w14:paraId="209FC3CD" w14:textId="77777777" w:rsidR="001E4B2F" w:rsidRPr="001E4B2F" w:rsidRDefault="001E4B2F" w:rsidP="001E4B2F">
            <w:pPr>
              <w:ind w:firstLine="0"/>
              <w:jc w:val="left"/>
              <w:rPr>
                <w:rFonts w:eastAsia="Times New Roman" w:cs="Times New Roman"/>
                <w:color w:val="000000"/>
                <w:sz w:val="20"/>
                <w:szCs w:val="20"/>
                <w:lang w:eastAsia="ru-RU"/>
              </w:rPr>
            </w:pPr>
            <w:r w:rsidRPr="001E4B2F">
              <w:rPr>
                <w:rFonts w:eastAsia="Times New Roman" w:cs="Times New Roman"/>
                <w:color w:val="000000"/>
                <w:sz w:val="20"/>
                <w:szCs w:val="20"/>
                <w:lang w:eastAsia="ru-RU"/>
              </w:rPr>
              <w:t>Сравнительный</w:t>
            </w:r>
          </w:p>
        </w:tc>
        <w:tc>
          <w:tcPr>
            <w:tcW w:w="378" w:type="pct"/>
            <w:tcBorders>
              <w:top w:val="nil"/>
              <w:left w:val="nil"/>
              <w:bottom w:val="single" w:sz="4" w:space="0" w:color="000000"/>
              <w:right w:val="single" w:sz="4" w:space="0" w:color="000000"/>
            </w:tcBorders>
            <w:shd w:val="clear" w:color="auto" w:fill="auto"/>
            <w:noWrap/>
            <w:vAlign w:val="bottom"/>
            <w:hideMark/>
          </w:tcPr>
          <w:p w14:paraId="2C275F7F" w14:textId="77777777" w:rsidR="001E4B2F" w:rsidRPr="001E4B2F" w:rsidRDefault="001E4B2F" w:rsidP="001E4B2F">
            <w:pPr>
              <w:ind w:firstLine="0"/>
              <w:jc w:val="left"/>
              <w:rPr>
                <w:rFonts w:eastAsia="Times New Roman" w:cs="Times New Roman"/>
                <w:color w:val="000000"/>
                <w:sz w:val="20"/>
                <w:szCs w:val="20"/>
                <w:lang w:eastAsia="ru-RU"/>
              </w:rPr>
            </w:pPr>
            <w:r w:rsidRPr="001E4B2F">
              <w:rPr>
                <w:rFonts w:eastAsia="Times New Roman" w:cs="Times New Roman"/>
                <w:color w:val="000000"/>
                <w:sz w:val="20"/>
                <w:szCs w:val="20"/>
                <w:lang w:eastAsia="ru-RU"/>
              </w:rPr>
              <w:t>Массовый</w:t>
            </w:r>
          </w:p>
        </w:tc>
        <w:tc>
          <w:tcPr>
            <w:tcW w:w="708" w:type="pct"/>
            <w:tcBorders>
              <w:top w:val="nil"/>
              <w:left w:val="nil"/>
              <w:bottom w:val="single" w:sz="4" w:space="0" w:color="000000"/>
              <w:right w:val="single" w:sz="4" w:space="0" w:color="000000"/>
            </w:tcBorders>
            <w:shd w:val="clear" w:color="auto" w:fill="auto"/>
            <w:noWrap/>
            <w:vAlign w:val="center"/>
            <w:hideMark/>
          </w:tcPr>
          <w:p w14:paraId="7D8764AC" w14:textId="77777777" w:rsidR="001E4B2F" w:rsidRPr="001E4B2F" w:rsidRDefault="001E4B2F" w:rsidP="001E4B2F">
            <w:pPr>
              <w:ind w:firstLine="0"/>
              <w:jc w:val="left"/>
              <w:rPr>
                <w:rFonts w:eastAsia="Times New Roman" w:cs="Times New Roman"/>
                <w:color w:val="000000"/>
                <w:sz w:val="20"/>
                <w:szCs w:val="20"/>
                <w:lang w:eastAsia="ru-RU"/>
              </w:rPr>
            </w:pPr>
            <w:r w:rsidRPr="001E4B2F">
              <w:rPr>
                <w:rFonts w:eastAsia="Times New Roman" w:cs="Times New Roman"/>
                <w:color w:val="000000"/>
                <w:sz w:val="20"/>
                <w:szCs w:val="20"/>
                <w:lang w:eastAsia="ru-RU"/>
              </w:rPr>
              <w:t>Метод УПКС (минимальное)</w:t>
            </w:r>
          </w:p>
        </w:tc>
      </w:tr>
      <w:tr w:rsidR="001E4B2F" w:rsidRPr="001E4B2F" w14:paraId="5001FCD7" w14:textId="77777777" w:rsidTr="001E4B2F">
        <w:trPr>
          <w:trHeight w:val="765"/>
        </w:trPr>
        <w:tc>
          <w:tcPr>
            <w:tcW w:w="240" w:type="pct"/>
            <w:vMerge/>
            <w:tcBorders>
              <w:top w:val="nil"/>
              <w:left w:val="single" w:sz="4" w:space="0" w:color="000000"/>
              <w:bottom w:val="single" w:sz="4" w:space="0" w:color="000000"/>
              <w:right w:val="single" w:sz="4" w:space="0" w:color="000000"/>
            </w:tcBorders>
            <w:vAlign w:val="center"/>
            <w:hideMark/>
          </w:tcPr>
          <w:p w14:paraId="5A1BBFC0" w14:textId="77777777" w:rsidR="001E4B2F" w:rsidRPr="001E4B2F" w:rsidRDefault="001E4B2F" w:rsidP="001E4B2F">
            <w:pPr>
              <w:ind w:firstLine="0"/>
              <w:jc w:val="left"/>
              <w:rPr>
                <w:rFonts w:eastAsia="Times New Roman" w:cs="Times New Roman"/>
                <w:color w:val="000000"/>
                <w:sz w:val="20"/>
                <w:szCs w:val="20"/>
                <w:lang w:eastAsia="ru-RU"/>
              </w:rPr>
            </w:pPr>
          </w:p>
        </w:tc>
        <w:tc>
          <w:tcPr>
            <w:tcW w:w="788" w:type="pct"/>
            <w:vMerge/>
            <w:tcBorders>
              <w:top w:val="nil"/>
              <w:left w:val="single" w:sz="4" w:space="0" w:color="000000"/>
              <w:bottom w:val="single" w:sz="4" w:space="0" w:color="000000"/>
              <w:right w:val="single" w:sz="4" w:space="0" w:color="000000"/>
            </w:tcBorders>
            <w:vAlign w:val="center"/>
            <w:hideMark/>
          </w:tcPr>
          <w:p w14:paraId="75980369" w14:textId="77777777" w:rsidR="001E4B2F" w:rsidRPr="001E4B2F" w:rsidRDefault="001E4B2F" w:rsidP="001E4B2F">
            <w:pPr>
              <w:ind w:firstLine="0"/>
              <w:jc w:val="left"/>
              <w:rPr>
                <w:rFonts w:eastAsia="Times New Roman" w:cs="Times New Roman"/>
                <w:color w:val="000000"/>
                <w:sz w:val="20"/>
                <w:szCs w:val="20"/>
                <w:lang w:eastAsia="ru-RU"/>
              </w:rPr>
            </w:pPr>
          </w:p>
        </w:tc>
        <w:tc>
          <w:tcPr>
            <w:tcW w:w="370" w:type="pct"/>
            <w:vMerge/>
            <w:tcBorders>
              <w:top w:val="nil"/>
              <w:left w:val="single" w:sz="4" w:space="0" w:color="000000"/>
              <w:bottom w:val="single" w:sz="4" w:space="0" w:color="000000"/>
              <w:right w:val="single" w:sz="4" w:space="0" w:color="000000"/>
            </w:tcBorders>
            <w:vAlign w:val="center"/>
            <w:hideMark/>
          </w:tcPr>
          <w:p w14:paraId="63C7CB1A" w14:textId="77777777" w:rsidR="001E4B2F" w:rsidRPr="001E4B2F" w:rsidRDefault="001E4B2F" w:rsidP="001E4B2F">
            <w:pPr>
              <w:ind w:firstLine="0"/>
              <w:jc w:val="left"/>
              <w:rPr>
                <w:rFonts w:eastAsia="Times New Roman" w:cs="Times New Roman"/>
                <w:color w:val="000000"/>
                <w:sz w:val="20"/>
                <w:szCs w:val="20"/>
                <w:lang w:eastAsia="ru-RU"/>
              </w:rPr>
            </w:pPr>
          </w:p>
        </w:tc>
        <w:tc>
          <w:tcPr>
            <w:tcW w:w="559" w:type="pct"/>
            <w:tcBorders>
              <w:top w:val="nil"/>
              <w:left w:val="nil"/>
              <w:bottom w:val="single" w:sz="4" w:space="0" w:color="000000"/>
              <w:right w:val="single" w:sz="4" w:space="0" w:color="000000"/>
            </w:tcBorders>
            <w:shd w:val="clear" w:color="auto" w:fill="auto"/>
            <w:vAlign w:val="center"/>
            <w:hideMark/>
          </w:tcPr>
          <w:p w14:paraId="02C79D4F" w14:textId="77777777" w:rsidR="001E4B2F" w:rsidRPr="001E4B2F" w:rsidRDefault="001E4B2F" w:rsidP="001E4B2F">
            <w:pPr>
              <w:ind w:firstLine="0"/>
              <w:jc w:val="center"/>
              <w:rPr>
                <w:rFonts w:eastAsia="Times New Roman" w:cs="Times New Roman"/>
                <w:color w:val="000000"/>
                <w:sz w:val="20"/>
                <w:szCs w:val="20"/>
                <w:lang w:eastAsia="ru-RU"/>
              </w:rPr>
            </w:pPr>
            <w:r w:rsidRPr="001E4B2F">
              <w:rPr>
                <w:rFonts w:eastAsia="Times New Roman" w:cs="Times New Roman"/>
                <w:color w:val="000000"/>
                <w:sz w:val="20"/>
                <w:szCs w:val="20"/>
                <w:lang w:eastAsia="ru-RU"/>
              </w:rPr>
              <w:t>Здания, помещения, сооружения, ОНС</w:t>
            </w:r>
          </w:p>
        </w:tc>
        <w:tc>
          <w:tcPr>
            <w:tcW w:w="528" w:type="pct"/>
            <w:vMerge/>
            <w:tcBorders>
              <w:top w:val="nil"/>
              <w:left w:val="single" w:sz="4" w:space="0" w:color="000000"/>
              <w:bottom w:val="single" w:sz="4" w:space="0" w:color="000000"/>
              <w:right w:val="single" w:sz="4" w:space="0" w:color="000000"/>
            </w:tcBorders>
            <w:vAlign w:val="center"/>
            <w:hideMark/>
          </w:tcPr>
          <w:p w14:paraId="3EEA92A7" w14:textId="77777777" w:rsidR="001E4B2F" w:rsidRPr="001E4B2F" w:rsidRDefault="001E4B2F" w:rsidP="001E4B2F">
            <w:pPr>
              <w:ind w:firstLine="0"/>
              <w:jc w:val="left"/>
              <w:rPr>
                <w:rFonts w:eastAsia="Times New Roman" w:cs="Times New Roman"/>
                <w:color w:val="000000"/>
                <w:sz w:val="20"/>
                <w:szCs w:val="20"/>
                <w:lang w:eastAsia="ru-RU"/>
              </w:rPr>
            </w:pPr>
          </w:p>
        </w:tc>
        <w:tc>
          <w:tcPr>
            <w:tcW w:w="611" w:type="pct"/>
            <w:tcBorders>
              <w:top w:val="nil"/>
              <w:left w:val="nil"/>
              <w:bottom w:val="single" w:sz="4" w:space="0" w:color="000000"/>
              <w:right w:val="single" w:sz="4" w:space="0" w:color="000000"/>
            </w:tcBorders>
            <w:shd w:val="clear" w:color="auto" w:fill="auto"/>
            <w:vAlign w:val="center"/>
            <w:hideMark/>
          </w:tcPr>
          <w:p w14:paraId="4808D7ED" w14:textId="77777777" w:rsidR="001E4B2F" w:rsidRPr="001E4B2F" w:rsidRDefault="001E4B2F" w:rsidP="001E4B2F">
            <w:pPr>
              <w:ind w:firstLine="0"/>
              <w:jc w:val="center"/>
              <w:rPr>
                <w:rFonts w:eastAsia="Times New Roman" w:cs="Times New Roman"/>
                <w:color w:val="000000"/>
                <w:sz w:val="20"/>
                <w:szCs w:val="20"/>
                <w:lang w:eastAsia="ru-RU"/>
              </w:rPr>
            </w:pPr>
            <w:r w:rsidRPr="001E4B2F">
              <w:rPr>
                <w:rFonts w:eastAsia="Times New Roman" w:cs="Times New Roman"/>
                <w:color w:val="000000"/>
                <w:sz w:val="20"/>
                <w:szCs w:val="20"/>
                <w:lang w:eastAsia="ru-RU"/>
              </w:rPr>
              <w:t>Объекты с полными характеристиками</w:t>
            </w:r>
          </w:p>
        </w:tc>
        <w:tc>
          <w:tcPr>
            <w:tcW w:w="347" w:type="pct"/>
            <w:tcBorders>
              <w:top w:val="nil"/>
              <w:left w:val="nil"/>
              <w:bottom w:val="single" w:sz="4" w:space="0" w:color="000000"/>
              <w:right w:val="single" w:sz="4" w:space="0" w:color="000000"/>
            </w:tcBorders>
            <w:shd w:val="clear" w:color="auto" w:fill="auto"/>
            <w:vAlign w:val="center"/>
            <w:hideMark/>
          </w:tcPr>
          <w:p w14:paraId="165085FA" w14:textId="77777777" w:rsidR="001E4B2F" w:rsidRPr="001E4B2F" w:rsidRDefault="001E4B2F" w:rsidP="001E4B2F">
            <w:pPr>
              <w:ind w:firstLine="0"/>
              <w:jc w:val="center"/>
              <w:rPr>
                <w:rFonts w:eastAsia="Times New Roman" w:cs="Times New Roman"/>
                <w:color w:val="000000"/>
                <w:sz w:val="20"/>
                <w:szCs w:val="20"/>
                <w:lang w:eastAsia="ru-RU"/>
              </w:rPr>
            </w:pPr>
            <w:r w:rsidRPr="001E4B2F">
              <w:rPr>
                <w:rFonts w:eastAsia="Times New Roman" w:cs="Times New Roman"/>
                <w:color w:val="000000"/>
                <w:sz w:val="20"/>
                <w:szCs w:val="20"/>
                <w:lang w:eastAsia="ru-RU"/>
              </w:rPr>
              <w:t>8.3.</w:t>
            </w:r>
          </w:p>
        </w:tc>
        <w:tc>
          <w:tcPr>
            <w:tcW w:w="471" w:type="pct"/>
            <w:tcBorders>
              <w:top w:val="nil"/>
              <w:left w:val="nil"/>
              <w:bottom w:val="single" w:sz="4" w:space="0" w:color="000000"/>
              <w:right w:val="single" w:sz="4" w:space="0" w:color="000000"/>
            </w:tcBorders>
            <w:shd w:val="clear" w:color="auto" w:fill="auto"/>
            <w:noWrap/>
            <w:vAlign w:val="center"/>
            <w:hideMark/>
          </w:tcPr>
          <w:p w14:paraId="2A308A5C" w14:textId="77777777" w:rsidR="001E4B2F" w:rsidRPr="001E4B2F" w:rsidRDefault="001E4B2F" w:rsidP="001E4B2F">
            <w:pPr>
              <w:ind w:firstLine="0"/>
              <w:jc w:val="left"/>
              <w:rPr>
                <w:rFonts w:eastAsia="Times New Roman" w:cs="Times New Roman"/>
                <w:color w:val="000000"/>
                <w:sz w:val="20"/>
                <w:szCs w:val="20"/>
                <w:lang w:eastAsia="ru-RU"/>
              </w:rPr>
            </w:pPr>
            <w:r w:rsidRPr="001E4B2F">
              <w:rPr>
                <w:rFonts w:eastAsia="Times New Roman" w:cs="Times New Roman"/>
                <w:color w:val="000000"/>
                <w:sz w:val="20"/>
                <w:szCs w:val="20"/>
                <w:lang w:eastAsia="ru-RU"/>
              </w:rPr>
              <w:t>Затратный</w:t>
            </w:r>
          </w:p>
        </w:tc>
        <w:tc>
          <w:tcPr>
            <w:tcW w:w="378" w:type="pct"/>
            <w:tcBorders>
              <w:top w:val="nil"/>
              <w:left w:val="nil"/>
              <w:bottom w:val="single" w:sz="4" w:space="0" w:color="000000"/>
              <w:right w:val="single" w:sz="4" w:space="0" w:color="000000"/>
            </w:tcBorders>
            <w:shd w:val="clear" w:color="auto" w:fill="auto"/>
            <w:noWrap/>
            <w:vAlign w:val="center"/>
            <w:hideMark/>
          </w:tcPr>
          <w:p w14:paraId="2338AA4A" w14:textId="77777777" w:rsidR="001E4B2F" w:rsidRPr="001E4B2F" w:rsidRDefault="001E4B2F" w:rsidP="001E4B2F">
            <w:pPr>
              <w:ind w:firstLine="0"/>
              <w:jc w:val="left"/>
              <w:rPr>
                <w:rFonts w:eastAsia="Times New Roman" w:cs="Times New Roman"/>
                <w:color w:val="000000"/>
                <w:sz w:val="20"/>
                <w:szCs w:val="20"/>
                <w:lang w:eastAsia="ru-RU"/>
              </w:rPr>
            </w:pPr>
            <w:r w:rsidRPr="001E4B2F">
              <w:rPr>
                <w:rFonts w:eastAsia="Times New Roman" w:cs="Times New Roman"/>
                <w:color w:val="000000"/>
                <w:sz w:val="20"/>
                <w:szCs w:val="20"/>
                <w:lang w:eastAsia="ru-RU"/>
              </w:rPr>
              <w:t>Массовый</w:t>
            </w:r>
          </w:p>
        </w:tc>
        <w:tc>
          <w:tcPr>
            <w:tcW w:w="708" w:type="pct"/>
            <w:tcBorders>
              <w:top w:val="nil"/>
              <w:left w:val="nil"/>
              <w:bottom w:val="single" w:sz="4" w:space="0" w:color="000000"/>
              <w:right w:val="single" w:sz="4" w:space="0" w:color="000000"/>
            </w:tcBorders>
            <w:shd w:val="clear" w:color="auto" w:fill="auto"/>
            <w:noWrap/>
            <w:vAlign w:val="center"/>
            <w:hideMark/>
          </w:tcPr>
          <w:p w14:paraId="4FE99B91" w14:textId="77777777" w:rsidR="001E4B2F" w:rsidRPr="001E4B2F" w:rsidRDefault="001E4B2F" w:rsidP="001E4B2F">
            <w:pPr>
              <w:ind w:firstLine="0"/>
              <w:jc w:val="left"/>
              <w:rPr>
                <w:rFonts w:eastAsia="Times New Roman" w:cs="Times New Roman"/>
                <w:color w:val="000000"/>
                <w:sz w:val="20"/>
                <w:szCs w:val="20"/>
                <w:lang w:eastAsia="ru-RU"/>
              </w:rPr>
            </w:pPr>
            <w:r w:rsidRPr="001E4B2F">
              <w:rPr>
                <w:rFonts w:eastAsia="Times New Roman" w:cs="Times New Roman"/>
                <w:color w:val="000000"/>
                <w:sz w:val="20"/>
                <w:szCs w:val="20"/>
                <w:lang w:eastAsia="ru-RU"/>
              </w:rPr>
              <w:t>Метод сравнительной единицы (УПСС)</w:t>
            </w:r>
          </w:p>
        </w:tc>
      </w:tr>
      <w:tr w:rsidR="001E4B2F" w:rsidRPr="001E4B2F" w14:paraId="440CF40F" w14:textId="77777777" w:rsidTr="001E4B2F">
        <w:trPr>
          <w:trHeight w:val="510"/>
        </w:trPr>
        <w:tc>
          <w:tcPr>
            <w:tcW w:w="240" w:type="pct"/>
            <w:vMerge w:val="restart"/>
            <w:tcBorders>
              <w:top w:val="nil"/>
              <w:left w:val="single" w:sz="4" w:space="0" w:color="000000"/>
              <w:bottom w:val="single" w:sz="4" w:space="0" w:color="000000"/>
              <w:right w:val="single" w:sz="4" w:space="0" w:color="000000"/>
            </w:tcBorders>
            <w:shd w:val="clear" w:color="auto" w:fill="auto"/>
            <w:vAlign w:val="center"/>
            <w:hideMark/>
          </w:tcPr>
          <w:p w14:paraId="774DA4E9" w14:textId="77777777" w:rsidR="001E4B2F" w:rsidRPr="001E4B2F" w:rsidRDefault="001E4B2F" w:rsidP="001E4B2F">
            <w:pPr>
              <w:ind w:firstLine="0"/>
              <w:jc w:val="center"/>
              <w:rPr>
                <w:rFonts w:eastAsia="Times New Roman" w:cs="Times New Roman"/>
                <w:color w:val="000000"/>
                <w:sz w:val="20"/>
                <w:szCs w:val="20"/>
                <w:lang w:eastAsia="ru-RU"/>
              </w:rPr>
            </w:pPr>
            <w:r w:rsidRPr="001E4B2F">
              <w:rPr>
                <w:rFonts w:eastAsia="Times New Roman" w:cs="Times New Roman"/>
                <w:color w:val="000000"/>
                <w:sz w:val="20"/>
                <w:szCs w:val="20"/>
                <w:lang w:eastAsia="ru-RU"/>
              </w:rPr>
              <w:t>9</w:t>
            </w:r>
          </w:p>
        </w:tc>
        <w:tc>
          <w:tcPr>
            <w:tcW w:w="788" w:type="pct"/>
            <w:vMerge w:val="restart"/>
            <w:tcBorders>
              <w:top w:val="nil"/>
              <w:left w:val="single" w:sz="4" w:space="0" w:color="000000"/>
              <w:bottom w:val="single" w:sz="4" w:space="0" w:color="000000"/>
              <w:right w:val="single" w:sz="4" w:space="0" w:color="000000"/>
            </w:tcBorders>
            <w:shd w:val="clear" w:color="auto" w:fill="auto"/>
            <w:vAlign w:val="center"/>
            <w:hideMark/>
          </w:tcPr>
          <w:p w14:paraId="78BC728E" w14:textId="77777777" w:rsidR="001E4B2F" w:rsidRPr="001E4B2F" w:rsidRDefault="001E4B2F" w:rsidP="001E4B2F">
            <w:pPr>
              <w:ind w:firstLine="0"/>
              <w:jc w:val="center"/>
              <w:rPr>
                <w:rFonts w:eastAsia="Times New Roman" w:cs="Times New Roman"/>
                <w:color w:val="000000"/>
                <w:sz w:val="20"/>
                <w:szCs w:val="20"/>
                <w:lang w:eastAsia="ru-RU"/>
              </w:rPr>
            </w:pPr>
            <w:r w:rsidRPr="001E4B2F">
              <w:rPr>
                <w:rFonts w:eastAsia="Times New Roman" w:cs="Times New Roman"/>
                <w:color w:val="000000"/>
                <w:sz w:val="20"/>
                <w:szCs w:val="20"/>
                <w:lang w:eastAsia="ru-RU"/>
              </w:rPr>
              <w:t>Прочие объекты</w:t>
            </w:r>
          </w:p>
        </w:tc>
        <w:tc>
          <w:tcPr>
            <w:tcW w:w="370"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14:paraId="7083B1C9" w14:textId="77777777" w:rsidR="001E4B2F" w:rsidRPr="001E4B2F" w:rsidRDefault="001E4B2F" w:rsidP="001E4B2F">
            <w:pPr>
              <w:ind w:firstLine="0"/>
              <w:jc w:val="center"/>
              <w:rPr>
                <w:rFonts w:eastAsia="Times New Roman" w:cs="Times New Roman"/>
                <w:color w:val="000000"/>
                <w:sz w:val="20"/>
                <w:szCs w:val="20"/>
                <w:lang w:eastAsia="ru-RU"/>
              </w:rPr>
            </w:pPr>
            <w:r w:rsidRPr="001E4B2F">
              <w:rPr>
                <w:rFonts w:eastAsia="Times New Roman" w:cs="Times New Roman"/>
                <w:color w:val="000000"/>
                <w:sz w:val="20"/>
                <w:szCs w:val="20"/>
                <w:lang w:eastAsia="ru-RU"/>
              </w:rPr>
              <w:t>901-907</w:t>
            </w:r>
          </w:p>
        </w:tc>
        <w:tc>
          <w:tcPr>
            <w:tcW w:w="559" w:type="pct"/>
            <w:tcBorders>
              <w:top w:val="nil"/>
              <w:left w:val="nil"/>
              <w:bottom w:val="single" w:sz="4" w:space="0" w:color="000000"/>
              <w:right w:val="single" w:sz="4" w:space="0" w:color="000000"/>
            </w:tcBorders>
            <w:shd w:val="clear" w:color="auto" w:fill="auto"/>
            <w:vAlign w:val="center"/>
            <w:hideMark/>
          </w:tcPr>
          <w:p w14:paraId="07486422" w14:textId="77777777" w:rsidR="001E4B2F" w:rsidRPr="001E4B2F" w:rsidRDefault="001E4B2F" w:rsidP="001E4B2F">
            <w:pPr>
              <w:ind w:firstLine="0"/>
              <w:jc w:val="center"/>
              <w:rPr>
                <w:rFonts w:eastAsia="Times New Roman" w:cs="Times New Roman"/>
                <w:color w:val="000000"/>
                <w:sz w:val="20"/>
                <w:szCs w:val="20"/>
                <w:lang w:eastAsia="ru-RU"/>
              </w:rPr>
            </w:pPr>
            <w:r w:rsidRPr="001E4B2F">
              <w:rPr>
                <w:rFonts w:eastAsia="Times New Roman" w:cs="Times New Roman"/>
                <w:color w:val="000000"/>
                <w:sz w:val="20"/>
                <w:szCs w:val="20"/>
                <w:lang w:eastAsia="ru-RU"/>
              </w:rPr>
              <w:t>Здания</w:t>
            </w:r>
          </w:p>
        </w:tc>
        <w:tc>
          <w:tcPr>
            <w:tcW w:w="528" w:type="pct"/>
            <w:vMerge w:val="restart"/>
            <w:tcBorders>
              <w:top w:val="nil"/>
              <w:left w:val="single" w:sz="4" w:space="0" w:color="000000"/>
              <w:bottom w:val="single" w:sz="4" w:space="0" w:color="000000"/>
              <w:right w:val="single" w:sz="4" w:space="0" w:color="000000"/>
            </w:tcBorders>
            <w:shd w:val="clear" w:color="auto" w:fill="auto"/>
            <w:vAlign w:val="center"/>
            <w:hideMark/>
          </w:tcPr>
          <w:p w14:paraId="7F36266B" w14:textId="77777777" w:rsidR="001E4B2F" w:rsidRPr="001E4B2F" w:rsidRDefault="001E4B2F" w:rsidP="001E4B2F">
            <w:pPr>
              <w:ind w:firstLine="0"/>
              <w:jc w:val="center"/>
              <w:rPr>
                <w:rFonts w:eastAsia="Times New Roman" w:cs="Times New Roman"/>
                <w:color w:val="000000"/>
                <w:sz w:val="20"/>
                <w:szCs w:val="20"/>
                <w:lang w:eastAsia="ru-RU"/>
              </w:rPr>
            </w:pPr>
            <w:r w:rsidRPr="001E4B2F">
              <w:rPr>
                <w:rFonts w:eastAsia="Times New Roman" w:cs="Times New Roman"/>
                <w:color w:val="000000"/>
                <w:sz w:val="20"/>
                <w:szCs w:val="20"/>
                <w:lang w:eastAsia="ru-RU"/>
              </w:rPr>
              <w:t>ГНП, СНП, МР</w:t>
            </w:r>
          </w:p>
        </w:tc>
        <w:tc>
          <w:tcPr>
            <w:tcW w:w="611" w:type="pct"/>
            <w:vMerge w:val="restart"/>
            <w:tcBorders>
              <w:top w:val="nil"/>
              <w:left w:val="single" w:sz="4" w:space="0" w:color="000000"/>
              <w:bottom w:val="single" w:sz="4" w:space="0" w:color="000000"/>
              <w:right w:val="single" w:sz="4" w:space="0" w:color="000000"/>
            </w:tcBorders>
            <w:shd w:val="clear" w:color="auto" w:fill="auto"/>
            <w:vAlign w:val="center"/>
            <w:hideMark/>
          </w:tcPr>
          <w:p w14:paraId="5B6CCE4E" w14:textId="77777777" w:rsidR="001E4B2F" w:rsidRPr="001E4B2F" w:rsidRDefault="001E4B2F" w:rsidP="001E4B2F">
            <w:pPr>
              <w:ind w:firstLine="0"/>
              <w:jc w:val="center"/>
              <w:rPr>
                <w:rFonts w:eastAsia="Times New Roman" w:cs="Times New Roman"/>
                <w:color w:val="000000"/>
                <w:sz w:val="20"/>
                <w:szCs w:val="20"/>
                <w:lang w:eastAsia="ru-RU"/>
              </w:rPr>
            </w:pPr>
            <w:r w:rsidRPr="001E4B2F">
              <w:rPr>
                <w:rFonts w:eastAsia="Times New Roman" w:cs="Times New Roman"/>
                <w:color w:val="000000"/>
                <w:sz w:val="20"/>
                <w:szCs w:val="20"/>
                <w:lang w:eastAsia="ru-RU"/>
              </w:rPr>
              <w:t>Объекты с неполными харкетристиками</w:t>
            </w:r>
          </w:p>
        </w:tc>
        <w:tc>
          <w:tcPr>
            <w:tcW w:w="347" w:type="pct"/>
            <w:tcBorders>
              <w:top w:val="nil"/>
              <w:left w:val="nil"/>
              <w:bottom w:val="single" w:sz="4" w:space="0" w:color="000000"/>
              <w:right w:val="single" w:sz="4" w:space="0" w:color="000000"/>
            </w:tcBorders>
            <w:shd w:val="clear" w:color="auto" w:fill="auto"/>
            <w:vAlign w:val="center"/>
            <w:hideMark/>
          </w:tcPr>
          <w:p w14:paraId="783374DA" w14:textId="77777777" w:rsidR="001E4B2F" w:rsidRPr="001E4B2F" w:rsidRDefault="001E4B2F" w:rsidP="001E4B2F">
            <w:pPr>
              <w:ind w:firstLine="0"/>
              <w:jc w:val="center"/>
              <w:rPr>
                <w:rFonts w:eastAsia="Times New Roman" w:cs="Times New Roman"/>
                <w:color w:val="000000"/>
                <w:sz w:val="20"/>
                <w:szCs w:val="20"/>
                <w:lang w:eastAsia="ru-RU"/>
              </w:rPr>
            </w:pPr>
            <w:r w:rsidRPr="001E4B2F">
              <w:rPr>
                <w:rFonts w:eastAsia="Times New Roman" w:cs="Times New Roman"/>
                <w:color w:val="000000"/>
                <w:sz w:val="20"/>
                <w:szCs w:val="20"/>
                <w:lang w:eastAsia="ru-RU"/>
              </w:rPr>
              <w:t>9.1.</w:t>
            </w:r>
          </w:p>
        </w:tc>
        <w:tc>
          <w:tcPr>
            <w:tcW w:w="471" w:type="pct"/>
            <w:tcBorders>
              <w:top w:val="nil"/>
              <w:left w:val="nil"/>
              <w:bottom w:val="single" w:sz="4" w:space="0" w:color="000000"/>
              <w:right w:val="single" w:sz="4" w:space="0" w:color="000000"/>
            </w:tcBorders>
            <w:shd w:val="clear" w:color="auto" w:fill="auto"/>
            <w:noWrap/>
            <w:vAlign w:val="center"/>
            <w:hideMark/>
          </w:tcPr>
          <w:p w14:paraId="6916CC53" w14:textId="77777777" w:rsidR="001E4B2F" w:rsidRPr="001E4B2F" w:rsidRDefault="001E4B2F" w:rsidP="001E4B2F">
            <w:pPr>
              <w:ind w:firstLine="0"/>
              <w:jc w:val="left"/>
              <w:rPr>
                <w:rFonts w:eastAsia="Times New Roman" w:cs="Times New Roman"/>
                <w:color w:val="000000"/>
                <w:sz w:val="20"/>
                <w:szCs w:val="20"/>
                <w:lang w:eastAsia="ru-RU"/>
              </w:rPr>
            </w:pPr>
            <w:r w:rsidRPr="001E4B2F">
              <w:rPr>
                <w:rFonts w:eastAsia="Times New Roman" w:cs="Times New Roman"/>
                <w:color w:val="000000"/>
                <w:sz w:val="20"/>
                <w:szCs w:val="20"/>
                <w:lang w:eastAsia="ru-RU"/>
              </w:rPr>
              <w:t>Сравнительный</w:t>
            </w:r>
          </w:p>
        </w:tc>
        <w:tc>
          <w:tcPr>
            <w:tcW w:w="378" w:type="pct"/>
            <w:tcBorders>
              <w:top w:val="nil"/>
              <w:left w:val="nil"/>
              <w:bottom w:val="single" w:sz="4" w:space="0" w:color="000000"/>
              <w:right w:val="single" w:sz="4" w:space="0" w:color="000000"/>
            </w:tcBorders>
            <w:shd w:val="clear" w:color="auto" w:fill="auto"/>
            <w:noWrap/>
            <w:vAlign w:val="bottom"/>
            <w:hideMark/>
          </w:tcPr>
          <w:p w14:paraId="2AA9732E" w14:textId="77777777" w:rsidR="001E4B2F" w:rsidRPr="001E4B2F" w:rsidRDefault="001E4B2F" w:rsidP="001E4B2F">
            <w:pPr>
              <w:ind w:firstLine="0"/>
              <w:jc w:val="left"/>
              <w:rPr>
                <w:rFonts w:eastAsia="Times New Roman" w:cs="Times New Roman"/>
                <w:color w:val="000000"/>
                <w:sz w:val="20"/>
                <w:szCs w:val="20"/>
                <w:lang w:eastAsia="ru-RU"/>
              </w:rPr>
            </w:pPr>
            <w:r w:rsidRPr="001E4B2F">
              <w:rPr>
                <w:rFonts w:eastAsia="Times New Roman" w:cs="Times New Roman"/>
                <w:color w:val="000000"/>
                <w:sz w:val="20"/>
                <w:szCs w:val="20"/>
                <w:lang w:eastAsia="ru-RU"/>
              </w:rPr>
              <w:t>Массовый</w:t>
            </w:r>
          </w:p>
        </w:tc>
        <w:tc>
          <w:tcPr>
            <w:tcW w:w="708" w:type="pct"/>
            <w:tcBorders>
              <w:top w:val="nil"/>
              <w:left w:val="nil"/>
              <w:bottom w:val="single" w:sz="4" w:space="0" w:color="000000"/>
              <w:right w:val="single" w:sz="4" w:space="0" w:color="000000"/>
            </w:tcBorders>
            <w:shd w:val="clear" w:color="auto" w:fill="auto"/>
            <w:noWrap/>
            <w:vAlign w:val="center"/>
            <w:hideMark/>
          </w:tcPr>
          <w:p w14:paraId="41B47C2F" w14:textId="77777777" w:rsidR="001E4B2F" w:rsidRPr="001E4B2F" w:rsidRDefault="001E4B2F" w:rsidP="001E4B2F">
            <w:pPr>
              <w:ind w:firstLine="0"/>
              <w:jc w:val="left"/>
              <w:rPr>
                <w:rFonts w:eastAsia="Times New Roman" w:cs="Times New Roman"/>
                <w:color w:val="000000"/>
                <w:sz w:val="20"/>
                <w:szCs w:val="20"/>
                <w:lang w:eastAsia="ru-RU"/>
              </w:rPr>
            </w:pPr>
            <w:r w:rsidRPr="001E4B2F">
              <w:rPr>
                <w:rFonts w:eastAsia="Times New Roman" w:cs="Times New Roman"/>
                <w:color w:val="000000"/>
                <w:sz w:val="20"/>
                <w:szCs w:val="20"/>
                <w:lang w:eastAsia="ru-RU"/>
              </w:rPr>
              <w:t>Метод УПКС (минимальное)</w:t>
            </w:r>
          </w:p>
        </w:tc>
      </w:tr>
      <w:tr w:rsidR="001E4B2F" w:rsidRPr="001E4B2F" w14:paraId="773A3A7E" w14:textId="77777777" w:rsidTr="001E4B2F">
        <w:trPr>
          <w:trHeight w:val="510"/>
        </w:trPr>
        <w:tc>
          <w:tcPr>
            <w:tcW w:w="240" w:type="pct"/>
            <w:vMerge/>
            <w:tcBorders>
              <w:top w:val="nil"/>
              <w:left w:val="single" w:sz="4" w:space="0" w:color="000000"/>
              <w:bottom w:val="single" w:sz="4" w:space="0" w:color="000000"/>
              <w:right w:val="single" w:sz="4" w:space="0" w:color="000000"/>
            </w:tcBorders>
            <w:vAlign w:val="center"/>
            <w:hideMark/>
          </w:tcPr>
          <w:p w14:paraId="3FFBCD40" w14:textId="77777777" w:rsidR="001E4B2F" w:rsidRPr="001E4B2F" w:rsidRDefault="001E4B2F" w:rsidP="001E4B2F">
            <w:pPr>
              <w:ind w:firstLine="0"/>
              <w:jc w:val="left"/>
              <w:rPr>
                <w:rFonts w:eastAsia="Times New Roman" w:cs="Times New Roman"/>
                <w:color w:val="000000"/>
                <w:sz w:val="20"/>
                <w:szCs w:val="20"/>
                <w:lang w:eastAsia="ru-RU"/>
              </w:rPr>
            </w:pPr>
          </w:p>
        </w:tc>
        <w:tc>
          <w:tcPr>
            <w:tcW w:w="788" w:type="pct"/>
            <w:vMerge/>
            <w:tcBorders>
              <w:top w:val="nil"/>
              <w:left w:val="single" w:sz="4" w:space="0" w:color="000000"/>
              <w:bottom w:val="single" w:sz="4" w:space="0" w:color="000000"/>
              <w:right w:val="single" w:sz="4" w:space="0" w:color="000000"/>
            </w:tcBorders>
            <w:vAlign w:val="center"/>
            <w:hideMark/>
          </w:tcPr>
          <w:p w14:paraId="39FDD602" w14:textId="77777777" w:rsidR="001E4B2F" w:rsidRPr="001E4B2F" w:rsidRDefault="001E4B2F" w:rsidP="001E4B2F">
            <w:pPr>
              <w:ind w:firstLine="0"/>
              <w:jc w:val="left"/>
              <w:rPr>
                <w:rFonts w:eastAsia="Times New Roman" w:cs="Times New Roman"/>
                <w:color w:val="000000"/>
                <w:sz w:val="20"/>
                <w:szCs w:val="20"/>
                <w:lang w:eastAsia="ru-RU"/>
              </w:rPr>
            </w:pPr>
          </w:p>
        </w:tc>
        <w:tc>
          <w:tcPr>
            <w:tcW w:w="370" w:type="pct"/>
            <w:vMerge/>
            <w:tcBorders>
              <w:top w:val="nil"/>
              <w:left w:val="single" w:sz="4" w:space="0" w:color="000000"/>
              <w:bottom w:val="single" w:sz="4" w:space="0" w:color="000000"/>
              <w:right w:val="single" w:sz="4" w:space="0" w:color="000000"/>
            </w:tcBorders>
            <w:vAlign w:val="center"/>
            <w:hideMark/>
          </w:tcPr>
          <w:p w14:paraId="5A07E8AF" w14:textId="77777777" w:rsidR="001E4B2F" w:rsidRPr="001E4B2F" w:rsidRDefault="001E4B2F" w:rsidP="001E4B2F">
            <w:pPr>
              <w:ind w:firstLine="0"/>
              <w:jc w:val="left"/>
              <w:rPr>
                <w:rFonts w:eastAsia="Times New Roman" w:cs="Times New Roman"/>
                <w:color w:val="000000"/>
                <w:sz w:val="20"/>
                <w:szCs w:val="20"/>
                <w:lang w:eastAsia="ru-RU"/>
              </w:rPr>
            </w:pPr>
          </w:p>
        </w:tc>
        <w:tc>
          <w:tcPr>
            <w:tcW w:w="559" w:type="pct"/>
            <w:tcBorders>
              <w:top w:val="nil"/>
              <w:left w:val="nil"/>
              <w:bottom w:val="single" w:sz="4" w:space="0" w:color="000000"/>
              <w:right w:val="single" w:sz="4" w:space="0" w:color="000000"/>
            </w:tcBorders>
            <w:shd w:val="clear" w:color="auto" w:fill="auto"/>
            <w:vAlign w:val="center"/>
            <w:hideMark/>
          </w:tcPr>
          <w:p w14:paraId="7C76793B" w14:textId="77777777" w:rsidR="001E4B2F" w:rsidRPr="001E4B2F" w:rsidRDefault="001E4B2F" w:rsidP="001E4B2F">
            <w:pPr>
              <w:ind w:firstLine="0"/>
              <w:jc w:val="center"/>
              <w:rPr>
                <w:rFonts w:eastAsia="Times New Roman" w:cs="Times New Roman"/>
                <w:color w:val="000000"/>
                <w:sz w:val="20"/>
                <w:szCs w:val="20"/>
                <w:lang w:eastAsia="ru-RU"/>
              </w:rPr>
            </w:pPr>
            <w:r w:rsidRPr="001E4B2F">
              <w:rPr>
                <w:rFonts w:eastAsia="Times New Roman" w:cs="Times New Roman"/>
                <w:color w:val="000000"/>
                <w:sz w:val="20"/>
                <w:szCs w:val="20"/>
                <w:lang w:eastAsia="ru-RU"/>
              </w:rPr>
              <w:t>ОНС, сооружения</w:t>
            </w:r>
          </w:p>
        </w:tc>
        <w:tc>
          <w:tcPr>
            <w:tcW w:w="528" w:type="pct"/>
            <w:vMerge/>
            <w:tcBorders>
              <w:top w:val="nil"/>
              <w:left w:val="single" w:sz="4" w:space="0" w:color="000000"/>
              <w:bottom w:val="single" w:sz="4" w:space="0" w:color="000000"/>
              <w:right w:val="single" w:sz="4" w:space="0" w:color="000000"/>
            </w:tcBorders>
            <w:vAlign w:val="center"/>
            <w:hideMark/>
          </w:tcPr>
          <w:p w14:paraId="6815CFB5" w14:textId="77777777" w:rsidR="001E4B2F" w:rsidRPr="001E4B2F" w:rsidRDefault="001E4B2F" w:rsidP="001E4B2F">
            <w:pPr>
              <w:ind w:firstLine="0"/>
              <w:jc w:val="left"/>
              <w:rPr>
                <w:rFonts w:eastAsia="Times New Roman" w:cs="Times New Roman"/>
                <w:color w:val="000000"/>
                <w:sz w:val="20"/>
                <w:szCs w:val="20"/>
                <w:lang w:eastAsia="ru-RU"/>
              </w:rPr>
            </w:pPr>
          </w:p>
        </w:tc>
        <w:tc>
          <w:tcPr>
            <w:tcW w:w="611" w:type="pct"/>
            <w:vMerge/>
            <w:tcBorders>
              <w:top w:val="nil"/>
              <w:left w:val="single" w:sz="4" w:space="0" w:color="000000"/>
              <w:bottom w:val="single" w:sz="4" w:space="0" w:color="000000"/>
              <w:right w:val="single" w:sz="4" w:space="0" w:color="000000"/>
            </w:tcBorders>
            <w:vAlign w:val="center"/>
            <w:hideMark/>
          </w:tcPr>
          <w:p w14:paraId="27CE3596" w14:textId="77777777" w:rsidR="001E4B2F" w:rsidRPr="001E4B2F" w:rsidRDefault="001E4B2F" w:rsidP="001E4B2F">
            <w:pPr>
              <w:ind w:firstLine="0"/>
              <w:jc w:val="left"/>
              <w:rPr>
                <w:rFonts w:eastAsia="Times New Roman" w:cs="Times New Roman"/>
                <w:color w:val="000000"/>
                <w:sz w:val="20"/>
                <w:szCs w:val="20"/>
                <w:lang w:eastAsia="ru-RU"/>
              </w:rPr>
            </w:pPr>
          </w:p>
        </w:tc>
        <w:tc>
          <w:tcPr>
            <w:tcW w:w="347" w:type="pct"/>
            <w:tcBorders>
              <w:top w:val="nil"/>
              <w:left w:val="nil"/>
              <w:bottom w:val="single" w:sz="4" w:space="0" w:color="000000"/>
              <w:right w:val="single" w:sz="4" w:space="0" w:color="000000"/>
            </w:tcBorders>
            <w:shd w:val="clear" w:color="auto" w:fill="auto"/>
            <w:vAlign w:val="center"/>
            <w:hideMark/>
          </w:tcPr>
          <w:p w14:paraId="2CEA855F" w14:textId="77777777" w:rsidR="001E4B2F" w:rsidRPr="001E4B2F" w:rsidRDefault="001E4B2F" w:rsidP="001E4B2F">
            <w:pPr>
              <w:ind w:firstLine="0"/>
              <w:jc w:val="center"/>
              <w:rPr>
                <w:rFonts w:eastAsia="Times New Roman" w:cs="Times New Roman"/>
                <w:color w:val="000000"/>
                <w:sz w:val="20"/>
                <w:szCs w:val="20"/>
                <w:lang w:eastAsia="ru-RU"/>
              </w:rPr>
            </w:pPr>
            <w:r w:rsidRPr="001E4B2F">
              <w:rPr>
                <w:rFonts w:eastAsia="Times New Roman" w:cs="Times New Roman"/>
                <w:color w:val="000000"/>
                <w:sz w:val="20"/>
                <w:szCs w:val="20"/>
                <w:lang w:eastAsia="ru-RU"/>
              </w:rPr>
              <w:t>9.2.</w:t>
            </w:r>
          </w:p>
        </w:tc>
        <w:tc>
          <w:tcPr>
            <w:tcW w:w="471" w:type="pct"/>
            <w:tcBorders>
              <w:top w:val="nil"/>
              <w:left w:val="nil"/>
              <w:bottom w:val="single" w:sz="4" w:space="0" w:color="000000"/>
              <w:right w:val="single" w:sz="4" w:space="0" w:color="000000"/>
            </w:tcBorders>
            <w:shd w:val="clear" w:color="auto" w:fill="auto"/>
            <w:noWrap/>
            <w:vAlign w:val="center"/>
            <w:hideMark/>
          </w:tcPr>
          <w:p w14:paraId="3C0B6B19" w14:textId="77777777" w:rsidR="001E4B2F" w:rsidRPr="001E4B2F" w:rsidRDefault="001E4B2F" w:rsidP="001E4B2F">
            <w:pPr>
              <w:ind w:firstLine="0"/>
              <w:jc w:val="left"/>
              <w:rPr>
                <w:rFonts w:eastAsia="Times New Roman" w:cs="Times New Roman"/>
                <w:color w:val="000000"/>
                <w:sz w:val="20"/>
                <w:szCs w:val="20"/>
                <w:lang w:eastAsia="ru-RU"/>
              </w:rPr>
            </w:pPr>
            <w:r w:rsidRPr="001E4B2F">
              <w:rPr>
                <w:rFonts w:eastAsia="Times New Roman" w:cs="Times New Roman"/>
                <w:color w:val="000000"/>
                <w:sz w:val="20"/>
                <w:szCs w:val="20"/>
                <w:lang w:eastAsia="ru-RU"/>
              </w:rPr>
              <w:t>Сравнительный</w:t>
            </w:r>
          </w:p>
        </w:tc>
        <w:tc>
          <w:tcPr>
            <w:tcW w:w="378" w:type="pct"/>
            <w:tcBorders>
              <w:top w:val="nil"/>
              <w:left w:val="nil"/>
              <w:bottom w:val="single" w:sz="4" w:space="0" w:color="000000"/>
              <w:right w:val="single" w:sz="4" w:space="0" w:color="000000"/>
            </w:tcBorders>
            <w:shd w:val="clear" w:color="auto" w:fill="auto"/>
            <w:noWrap/>
            <w:vAlign w:val="bottom"/>
            <w:hideMark/>
          </w:tcPr>
          <w:p w14:paraId="1D1872E7" w14:textId="77777777" w:rsidR="001E4B2F" w:rsidRPr="001E4B2F" w:rsidRDefault="001E4B2F" w:rsidP="001E4B2F">
            <w:pPr>
              <w:ind w:firstLine="0"/>
              <w:jc w:val="left"/>
              <w:rPr>
                <w:rFonts w:eastAsia="Times New Roman" w:cs="Times New Roman"/>
                <w:color w:val="000000"/>
                <w:sz w:val="20"/>
                <w:szCs w:val="20"/>
                <w:lang w:eastAsia="ru-RU"/>
              </w:rPr>
            </w:pPr>
            <w:r w:rsidRPr="001E4B2F">
              <w:rPr>
                <w:rFonts w:eastAsia="Times New Roman" w:cs="Times New Roman"/>
                <w:color w:val="000000"/>
                <w:sz w:val="20"/>
                <w:szCs w:val="20"/>
                <w:lang w:eastAsia="ru-RU"/>
              </w:rPr>
              <w:t>Массовый</w:t>
            </w:r>
          </w:p>
        </w:tc>
        <w:tc>
          <w:tcPr>
            <w:tcW w:w="708" w:type="pct"/>
            <w:tcBorders>
              <w:top w:val="nil"/>
              <w:left w:val="nil"/>
              <w:bottom w:val="single" w:sz="4" w:space="0" w:color="000000"/>
              <w:right w:val="single" w:sz="4" w:space="0" w:color="000000"/>
            </w:tcBorders>
            <w:shd w:val="clear" w:color="auto" w:fill="auto"/>
            <w:noWrap/>
            <w:vAlign w:val="center"/>
            <w:hideMark/>
          </w:tcPr>
          <w:p w14:paraId="4DFCD312" w14:textId="77777777" w:rsidR="001E4B2F" w:rsidRPr="001E4B2F" w:rsidRDefault="001E4B2F" w:rsidP="001E4B2F">
            <w:pPr>
              <w:ind w:firstLine="0"/>
              <w:jc w:val="left"/>
              <w:rPr>
                <w:rFonts w:eastAsia="Times New Roman" w:cs="Times New Roman"/>
                <w:color w:val="000000"/>
                <w:sz w:val="20"/>
                <w:szCs w:val="20"/>
                <w:lang w:eastAsia="ru-RU"/>
              </w:rPr>
            </w:pPr>
            <w:r w:rsidRPr="001E4B2F">
              <w:rPr>
                <w:rFonts w:eastAsia="Times New Roman" w:cs="Times New Roman"/>
                <w:color w:val="000000"/>
                <w:sz w:val="20"/>
                <w:szCs w:val="20"/>
                <w:lang w:eastAsia="ru-RU"/>
              </w:rPr>
              <w:t>Метод УПКС (минимальное)</w:t>
            </w:r>
          </w:p>
        </w:tc>
      </w:tr>
      <w:tr w:rsidR="001E4B2F" w:rsidRPr="001E4B2F" w14:paraId="621823C4" w14:textId="77777777" w:rsidTr="001E4B2F">
        <w:trPr>
          <w:trHeight w:val="765"/>
        </w:trPr>
        <w:tc>
          <w:tcPr>
            <w:tcW w:w="240" w:type="pct"/>
            <w:vMerge/>
            <w:tcBorders>
              <w:top w:val="nil"/>
              <w:left w:val="single" w:sz="4" w:space="0" w:color="000000"/>
              <w:bottom w:val="single" w:sz="4" w:space="0" w:color="000000"/>
              <w:right w:val="single" w:sz="4" w:space="0" w:color="000000"/>
            </w:tcBorders>
            <w:vAlign w:val="center"/>
            <w:hideMark/>
          </w:tcPr>
          <w:p w14:paraId="0FE2F5A1" w14:textId="77777777" w:rsidR="001E4B2F" w:rsidRPr="001E4B2F" w:rsidRDefault="001E4B2F" w:rsidP="001E4B2F">
            <w:pPr>
              <w:ind w:firstLine="0"/>
              <w:jc w:val="left"/>
              <w:rPr>
                <w:rFonts w:eastAsia="Times New Roman" w:cs="Times New Roman"/>
                <w:color w:val="000000"/>
                <w:sz w:val="20"/>
                <w:szCs w:val="20"/>
                <w:lang w:eastAsia="ru-RU"/>
              </w:rPr>
            </w:pPr>
          </w:p>
        </w:tc>
        <w:tc>
          <w:tcPr>
            <w:tcW w:w="788" w:type="pct"/>
            <w:vMerge/>
            <w:tcBorders>
              <w:top w:val="nil"/>
              <w:left w:val="single" w:sz="4" w:space="0" w:color="000000"/>
              <w:bottom w:val="single" w:sz="4" w:space="0" w:color="000000"/>
              <w:right w:val="single" w:sz="4" w:space="0" w:color="000000"/>
            </w:tcBorders>
            <w:vAlign w:val="center"/>
            <w:hideMark/>
          </w:tcPr>
          <w:p w14:paraId="10F5CCBA" w14:textId="77777777" w:rsidR="001E4B2F" w:rsidRPr="001E4B2F" w:rsidRDefault="001E4B2F" w:rsidP="001E4B2F">
            <w:pPr>
              <w:ind w:firstLine="0"/>
              <w:jc w:val="left"/>
              <w:rPr>
                <w:rFonts w:eastAsia="Times New Roman" w:cs="Times New Roman"/>
                <w:color w:val="000000"/>
                <w:sz w:val="20"/>
                <w:szCs w:val="20"/>
                <w:lang w:eastAsia="ru-RU"/>
              </w:rPr>
            </w:pPr>
          </w:p>
        </w:tc>
        <w:tc>
          <w:tcPr>
            <w:tcW w:w="370" w:type="pct"/>
            <w:vMerge/>
            <w:tcBorders>
              <w:top w:val="nil"/>
              <w:left w:val="single" w:sz="4" w:space="0" w:color="000000"/>
              <w:bottom w:val="single" w:sz="4" w:space="0" w:color="000000"/>
              <w:right w:val="single" w:sz="4" w:space="0" w:color="000000"/>
            </w:tcBorders>
            <w:vAlign w:val="center"/>
            <w:hideMark/>
          </w:tcPr>
          <w:p w14:paraId="40BBA7A1" w14:textId="77777777" w:rsidR="001E4B2F" w:rsidRPr="001E4B2F" w:rsidRDefault="001E4B2F" w:rsidP="001E4B2F">
            <w:pPr>
              <w:ind w:firstLine="0"/>
              <w:jc w:val="left"/>
              <w:rPr>
                <w:rFonts w:eastAsia="Times New Roman" w:cs="Times New Roman"/>
                <w:color w:val="000000"/>
                <w:sz w:val="20"/>
                <w:szCs w:val="20"/>
                <w:lang w:eastAsia="ru-RU"/>
              </w:rPr>
            </w:pPr>
          </w:p>
        </w:tc>
        <w:tc>
          <w:tcPr>
            <w:tcW w:w="559" w:type="pct"/>
            <w:tcBorders>
              <w:top w:val="nil"/>
              <w:left w:val="nil"/>
              <w:bottom w:val="single" w:sz="4" w:space="0" w:color="000000"/>
              <w:right w:val="single" w:sz="4" w:space="0" w:color="000000"/>
            </w:tcBorders>
            <w:shd w:val="clear" w:color="auto" w:fill="auto"/>
            <w:vAlign w:val="center"/>
            <w:hideMark/>
          </w:tcPr>
          <w:p w14:paraId="7A1A9DD5" w14:textId="77777777" w:rsidR="001E4B2F" w:rsidRPr="001E4B2F" w:rsidRDefault="001E4B2F" w:rsidP="001E4B2F">
            <w:pPr>
              <w:ind w:firstLine="0"/>
              <w:jc w:val="center"/>
              <w:rPr>
                <w:rFonts w:eastAsia="Times New Roman" w:cs="Times New Roman"/>
                <w:color w:val="000000"/>
                <w:sz w:val="20"/>
                <w:szCs w:val="20"/>
                <w:lang w:eastAsia="ru-RU"/>
              </w:rPr>
            </w:pPr>
            <w:r w:rsidRPr="001E4B2F">
              <w:rPr>
                <w:rFonts w:eastAsia="Times New Roman" w:cs="Times New Roman"/>
                <w:color w:val="000000"/>
                <w:sz w:val="20"/>
                <w:szCs w:val="20"/>
                <w:lang w:eastAsia="ru-RU"/>
              </w:rPr>
              <w:t>Здания, помещения, сооружения, ОНС</w:t>
            </w:r>
          </w:p>
        </w:tc>
        <w:tc>
          <w:tcPr>
            <w:tcW w:w="528" w:type="pct"/>
            <w:vMerge/>
            <w:tcBorders>
              <w:top w:val="nil"/>
              <w:left w:val="single" w:sz="4" w:space="0" w:color="000000"/>
              <w:bottom w:val="single" w:sz="4" w:space="0" w:color="000000"/>
              <w:right w:val="single" w:sz="4" w:space="0" w:color="000000"/>
            </w:tcBorders>
            <w:vAlign w:val="center"/>
            <w:hideMark/>
          </w:tcPr>
          <w:p w14:paraId="6A25E61E" w14:textId="77777777" w:rsidR="001E4B2F" w:rsidRPr="001E4B2F" w:rsidRDefault="001E4B2F" w:rsidP="001E4B2F">
            <w:pPr>
              <w:ind w:firstLine="0"/>
              <w:jc w:val="left"/>
              <w:rPr>
                <w:rFonts w:eastAsia="Times New Roman" w:cs="Times New Roman"/>
                <w:color w:val="000000"/>
                <w:sz w:val="20"/>
                <w:szCs w:val="20"/>
                <w:lang w:eastAsia="ru-RU"/>
              </w:rPr>
            </w:pPr>
          </w:p>
        </w:tc>
        <w:tc>
          <w:tcPr>
            <w:tcW w:w="611" w:type="pct"/>
            <w:tcBorders>
              <w:top w:val="nil"/>
              <w:left w:val="nil"/>
              <w:bottom w:val="single" w:sz="4" w:space="0" w:color="000000"/>
              <w:right w:val="single" w:sz="4" w:space="0" w:color="000000"/>
            </w:tcBorders>
            <w:shd w:val="clear" w:color="auto" w:fill="auto"/>
            <w:vAlign w:val="center"/>
            <w:hideMark/>
          </w:tcPr>
          <w:p w14:paraId="4AFA02E9" w14:textId="77777777" w:rsidR="001E4B2F" w:rsidRPr="001E4B2F" w:rsidRDefault="001E4B2F" w:rsidP="001E4B2F">
            <w:pPr>
              <w:ind w:firstLine="0"/>
              <w:jc w:val="center"/>
              <w:rPr>
                <w:rFonts w:eastAsia="Times New Roman" w:cs="Times New Roman"/>
                <w:color w:val="000000"/>
                <w:sz w:val="20"/>
                <w:szCs w:val="20"/>
                <w:lang w:eastAsia="ru-RU"/>
              </w:rPr>
            </w:pPr>
            <w:r w:rsidRPr="001E4B2F">
              <w:rPr>
                <w:rFonts w:eastAsia="Times New Roman" w:cs="Times New Roman"/>
                <w:color w:val="000000"/>
                <w:sz w:val="20"/>
                <w:szCs w:val="20"/>
                <w:lang w:eastAsia="ru-RU"/>
              </w:rPr>
              <w:t>Объекты с полными характеристиками</w:t>
            </w:r>
          </w:p>
        </w:tc>
        <w:tc>
          <w:tcPr>
            <w:tcW w:w="347" w:type="pct"/>
            <w:tcBorders>
              <w:top w:val="nil"/>
              <w:left w:val="nil"/>
              <w:bottom w:val="single" w:sz="4" w:space="0" w:color="000000"/>
              <w:right w:val="single" w:sz="4" w:space="0" w:color="000000"/>
            </w:tcBorders>
            <w:shd w:val="clear" w:color="auto" w:fill="auto"/>
            <w:vAlign w:val="center"/>
            <w:hideMark/>
          </w:tcPr>
          <w:p w14:paraId="744E81B4" w14:textId="77777777" w:rsidR="001E4B2F" w:rsidRPr="001E4B2F" w:rsidRDefault="001E4B2F" w:rsidP="001E4B2F">
            <w:pPr>
              <w:ind w:firstLine="0"/>
              <w:jc w:val="center"/>
              <w:rPr>
                <w:rFonts w:eastAsia="Times New Roman" w:cs="Times New Roman"/>
                <w:color w:val="000000"/>
                <w:sz w:val="20"/>
                <w:szCs w:val="20"/>
                <w:lang w:eastAsia="ru-RU"/>
              </w:rPr>
            </w:pPr>
            <w:r w:rsidRPr="001E4B2F">
              <w:rPr>
                <w:rFonts w:eastAsia="Times New Roman" w:cs="Times New Roman"/>
                <w:color w:val="000000"/>
                <w:sz w:val="20"/>
                <w:szCs w:val="20"/>
                <w:lang w:eastAsia="ru-RU"/>
              </w:rPr>
              <w:t>9.3.</w:t>
            </w:r>
          </w:p>
        </w:tc>
        <w:tc>
          <w:tcPr>
            <w:tcW w:w="471" w:type="pct"/>
            <w:tcBorders>
              <w:top w:val="nil"/>
              <w:left w:val="nil"/>
              <w:bottom w:val="single" w:sz="4" w:space="0" w:color="000000"/>
              <w:right w:val="single" w:sz="4" w:space="0" w:color="000000"/>
            </w:tcBorders>
            <w:shd w:val="clear" w:color="auto" w:fill="auto"/>
            <w:noWrap/>
            <w:vAlign w:val="center"/>
            <w:hideMark/>
          </w:tcPr>
          <w:p w14:paraId="02D2C729" w14:textId="77777777" w:rsidR="001E4B2F" w:rsidRPr="001E4B2F" w:rsidRDefault="001E4B2F" w:rsidP="001E4B2F">
            <w:pPr>
              <w:ind w:firstLine="0"/>
              <w:jc w:val="left"/>
              <w:rPr>
                <w:rFonts w:eastAsia="Times New Roman" w:cs="Times New Roman"/>
                <w:color w:val="000000"/>
                <w:sz w:val="20"/>
                <w:szCs w:val="20"/>
                <w:lang w:eastAsia="ru-RU"/>
              </w:rPr>
            </w:pPr>
            <w:r w:rsidRPr="001E4B2F">
              <w:rPr>
                <w:rFonts w:eastAsia="Times New Roman" w:cs="Times New Roman"/>
                <w:color w:val="000000"/>
                <w:sz w:val="20"/>
                <w:szCs w:val="20"/>
                <w:lang w:eastAsia="ru-RU"/>
              </w:rPr>
              <w:t>Затратный</w:t>
            </w:r>
          </w:p>
        </w:tc>
        <w:tc>
          <w:tcPr>
            <w:tcW w:w="378" w:type="pct"/>
            <w:tcBorders>
              <w:top w:val="nil"/>
              <w:left w:val="nil"/>
              <w:bottom w:val="single" w:sz="4" w:space="0" w:color="000000"/>
              <w:right w:val="single" w:sz="4" w:space="0" w:color="000000"/>
            </w:tcBorders>
            <w:shd w:val="clear" w:color="auto" w:fill="auto"/>
            <w:noWrap/>
            <w:vAlign w:val="center"/>
            <w:hideMark/>
          </w:tcPr>
          <w:p w14:paraId="6B2F319B" w14:textId="77777777" w:rsidR="001E4B2F" w:rsidRPr="001E4B2F" w:rsidRDefault="001E4B2F" w:rsidP="001E4B2F">
            <w:pPr>
              <w:ind w:firstLine="0"/>
              <w:jc w:val="left"/>
              <w:rPr>
                <w:rFonts w:eastAsia="Times New Roman" w:cs="Times New Roman"/>
                <w:color w:val="000000"/>
                <w:sz w:val="20"/>
                <w:szCs w:val="20"/>
                <w:lang w:eastAsia="ru-RU"/>
              </w:rPr>
            </w:pPr>
            <w:r w:rsidRPr="001E4B2F">
              <w:rPr>
                <w:rFonts w:eastAsia="Times New Roman" w:cs="Times New Roman"/>
                <w:color w:val="000000"/>
                <w:sz w:val="20"/>
                <w:szCs w:val="20"/>
                <w:lang w:eastAsia="ru-RU"/>
              </w:rPr>
              <w:t>Массовый</w:t>
            </w:r>
          </w:p>
        </w:tc>
        <w:tc>
          <w:tcPr>
            <w:tcW w:w="708" w:type="pct"/>
            <w:tcBorders>
              <w:top w:val="nil"/>
              <w:left w:val="nil"/>
              <w:bottom w:val="single" w:sz="4" w:space="0" w:color="000000"/>
              <w:right w:val="single" w:sz="4" w:space="0" w:color="000000"/>
            </w:tcBorders>
            <w:shd w:val="clear" w:color="auto" w:fill="auto"/>
            <w:noWrap/>
            <w:vAlign w:val="center"/>
            <w:hideMark/>
          </w:tcPr>
          <w:p w14:paraId="0C8EEC9E" w14:textId="77777777" w:rsidR="001E4B2F" w:rsidRPr="001E4B2F" w:rsidRDefault="001E4B2F" w:rsidP="001E4B2F">
            <w:pPr>
              <w:ind w:firstLine="0"/>
              <w:jc w:val="left"/>
              <w:rPr>
                <w:rFonts w:eastAsia="Times New Roman" w:cs="Times New Roman"/>
                <w:color w:val="000000"/>
                <w:sz w:val="20"/>
                <w:szCs w:val="20"/>
                <w:lang w:eastAsia="ru-RU"/>
              </w:rPr>
            </w:pPr>
            <w:r w:rsidRPr="001E4B2F">
              <w:rPr>
                <w:rFonts w:eastAsia="Times New Roman" w:cs="Times New Roman"/>
                <w:color w:val="000000"/>
                <w:sz w:val="20"/>
                <w:szCs w:val="20"/>
                <w:lang w:eastAsia="ru-RU"/>
              </w:rPr>
              <w:t>Метод сравнительной единицы (УПСС)</w:t>
            </w:r>
          </w:p>
        </w:tc>
      </w:tr>
      <w:tr w:rsidR="001E4B2F" w:rsidRPr="001E4B2F" w14:paraId="28ADD8EB" w14:textId="77777777" w:rsidTr="001E4B2F">
        <w:trPr>
          <w:trHeight w:val="510"/>
        </w:trPr>
        <w:tc>
          <w:tcPr>
            <w:tcW w:w="240" w:type="pct"/>
            <w:vMerge w:val="restart"/>
            <w:tcBorders>
              <w:top w:val="nil"/>
              <w:left w:val="single" w:sz="4" w:space="0" w:color="000000"/>
              <w:bottom w:val="single" w:sz="4" w:space="0" w:color="000000"/>
              <w:right w:val="single" w:sz="4" w:space="0" w:color="000000"/>
            </w:tcBorders>
            <w:shd w:val="clear" w:color="auto" w:fill="auto"/>
            <w:vAlign w:val="center"/>
            <w:hideMark/>
          </w:tcPr>
          <w:p w14:paraId="53210326" w14:textId="77777777" w:rsidR="001E4B2F" w:rsidRPr="001E4B2F" w:rsidRDefault="001E4B2F" w:rsidP="001E4B2F">
            <w:pPr>
              <w:ind w:firstLine="0"/>
              <w:jc w:val="center"/>
              <w:rPr>
                <w:rFonts w:eastAsia="Times New Roman" w:cs="Times New Roman"/>
                <w:color w:val="000000"/>
                <w:sz w:val="20"/>
                <w:szCs w:val="20"/>
                <w:lang w:eastAsia="ru-RU"/>
              </w:rPr>
            </w:pPr>
            <w:r w:rsidRPr="001E4B2F">
              <w:rPr>
                <w:rFonts w:eastAsia="Times New Roman" w:cs="Times New Roman"/>
                <w:color w:val="000000"/>
                <w:sz w:val="20"/>
                <w:szCs w:val="20"/>
                <w:lang w:eastAsia="ru-RU"/>
              </w:rPr>
              <w:t>10</w:t>
            </w:r>
          </w:p>
        </w:tc>
        <w:tc>
          <w:tcPr>
            <w:tcW w:w="788" w:type="pct"/>
            <w:vMerge w:val="restart"/>
            <w:tcBorders>
              <w:top w:val="nil"/>
              <w:left w:val="single" w:sz="4" w:space="0" w:color="000000"/>
              <w:bottom w:val="single" w:sz="4" w:space="0" w:color="000000"/>
              <w:right w:val="single" w:sz="4" w:space="0" w:color="000000"/>
            </w:tcBorders>
            <w:shd w:val="clear" w:color="auto" w:fill="auto"/>
            <w:vAlign w:val="center"/>
            <w:hideMark/>
          </w:tcPr>
          <w:p w14:paraId="3482A6B1" w14:textId="77777777" w:rsidR="001E4B2F" w:rsidRPr="001E4B2F" w:rsidRDefault="001E4B2F" w:rsidP="001E4B2F">
            <w:pPr>
              <w:ind w:firstLine="0"/>
              <w:jc w:val="center"/>
              <w:rPr>
                <w:rFonts w:eastAsia="Times New Roman" w:cs="Times New Roman"/>
                <w:color w:val="000000"/>
                <w:sz w:val="20"/>
                <w:szCs w:val="20"/>
                <w:lang w:eastAsia="ru-RU"/>
              </w:rPr>
            </w:pPr>
            <w:r w:rsidRPr="001E4B2F">
              <w:rPr>
                <w:rFonts w:eastAsia="Times New Roman" w:cs="Times New Roman"/>
                <w:color w:val="000000"/>
                <w:sz w:val="20"/>
                <w:szCs w:val="20"/>
                <w:lang w:eastAsia="ru-RU"/>
              </w:rPr>
              <w:t xml:space="preserve"> Сооружения</w:t>
            </w:r>
          </w:p>
        </w:tc>
        <w:tc>
          <w:tcPr>
            <w:tcW w:w="370"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14:paraId="13419EA2" w14:textId="77777777" w:rsidR="001E4B2F" w:rsidRPr="001E4B2F" w:rsidRDefault="001E4B2F" w:rsidP="001E4B2F">
            <w:pPr>
              <w:ind w:firstLine="0"/>
              <w:jc w:val="center"/>
              <w:rPr>
                <w:rFonts w:eastAsia="Times New Roman" w:cs="Times New Roman"/>
                <w:color w:val="000000"/>
                <w:sz w:val="20"/>
                <w:szCs w:val="20"/>
                <w:lang w:eastAsia="ru-RU"/>
              </w:rPr>
            </w:pPr>
            <w:r w:rsidRPr="001E4B2F">
              <w:rPr>
                <w:rFonts w:eastAsia="Times New Roman" w:cs="Times New Roman"/>
                <w:color w:val="000000"/>
                <w:sz w:val="20"/>
                <w:szCs w:val="20"/>
                <w:lang w:eastAsia="ru-RU"/>
              </w:rPr>
              <w:t>1001-1037</w:t>
            </w:r>
          </w:p>
        </w:tc>
        <w:tc>
          <w:tcPr>
            <w:tcW w:w="559" w:type="pct"/>
            <w:tcBorders>
              <w:top w:val="nil"/>
              <w:left w:val="nil"/>
              <w:bottom w:val="single" w:sz="4" w:space="0" w:color="000000"/>
              <w:right w:val="single" w:sz="4" w:space="0" w:color="000000"/>
            </w:tcBorders>
            <w:shd w:val="clear" w:color="auto" w:fill="auto"/>
            <w:vAlign w:val="center"/>
            <w:hideMark/>
          </w:tcPr>
          <w:p w14:paraId="576F6785" w14:textId="77777777" w:rsidR="001E4B2F" w:rsidRPr="001E4B2F" w:rsidRDefault="001E4B2F" w:rsidP="001E4B2F">
            <w:pPr>
              <w:ind w:firstLine="0"/>
              <w:jc w:val="center"/>
              <w:rPr>
                <w:rFonts w:eastAsia="Times New Roman" w:cs="Times New Roman"/>
                <w:color w:val="000000"/>
                <w:sz w:val="20"/>
                <w:szCs w:val="20"/>
                <w:lang w:eastAsia="ru-RU"/>
              </w:rPr>
            </w:pPr>
            <w:r w:rsidRPr="001E4B2F">
              <w:rPr>
                <w:rFonts w:eastAsia="Times New Roman" w:cs="Times New Roman"/>
                <w:color w:val="000000"/>
                <w:sz w:val="20"/>
                <w:szCs w:val="20"/>
                <w:lang w:eastAsia="ru-RU"/>
              </w:rPr>
              <w:t>Здания</w:t>
            </w:r>
          </w:p>
        </w:tc>
        <w:tc>
          <w:tcPr>
            <w:tcW w:w="528" w:type="pct"/>
            <w:vMerge w:val="restart"/>
            <w:tcBorders>
              <w:top w:val="nil"/>
              <w:left w:val="single" w:sz="4" w:space="0" w:color="000000"/>
              <w:bottom w:val="single" w:sz="4" w:space="0" w:color="000000"/>
              <w:right w:val="single" w:sz="4" w:space="0" w:color="000000"/>
            </w:tcBorders>
            <w:shd w:val="clear" w:color="auto" w:fill="auto"/>
            <w:vAlign w:val="center"/>
            <w:hideMark/>
          </w:tcPr>
          <w:p w14:paraId="67E33BC5" w14:textId="77777777" w:rsidR="001E4B2F" w:rsidRPr="001E4B2F" w:rsidRDefault="001E4B2F" w:rsidP="001E4B2F">
            <w:pPr>
              <w:ind w:firstLine="0"/>
              <w:jc w:val="center"/>
              <w:rPr>
                <w:rFonts w:eastAsia="Times New Roman" w:cs="Times New Roman"/>
                <w:color w:val="000000"/>
                <w:sz w:val="20"/>
                <w:szCs w:val="20"/>
                <w:lang w:eastAsia="ru-RU"/>
              </w:rPr>
            </w:pPr>
            <w:r w:rsidRPr="001E4B2F">
              <w:rPr>
                <w:rFonts w:eastAsia="Times New Roman" w:cs="Times New Roman"/>
                <w:color w:val="000000"/>
                <w:sz w:val="20"/>
                <w:szCs w:val="20"/>
                <w:lang w:eastAsia="ru-RU"/>
              </w:rPr>
              <w:t>ГНП, СНП, МР</w:t>
            </w:r>
          </w:p>
        </w:tc>
        <w:tc>
          <w:tcPr>
            <w:tcW w:w="611" w:type="pct"/>
            <w:vMerge w:val="restart"/>
            <w:tcBorders>
              <w:top w:val="nil"/>
              <w:left w:val="single" w:sz="4" w:space="0" w:color="000000"/>
              <w:bottom w:val="single" w:sz="4" w:space="0" w:color="000000"/>
              <w:right w:val="single" w:sz="4" w:space="0" w:color="000000"/>
            </w:tcBorders>
            <w:shd w:val="clear" w:color="auto" w:fill="auto"/>
            <w:vAlign w:val="center"/>
            <w:hideMark/>
          </w:tcPr>
          <w:p w14:paraId="1378E855" w14:textId="77777777" w:rsidR="001E4B2F" w:rsidRPr="001E4B2F" w:rsidRDefault="001E4B2F" w:rsidP="001E4B2F">
            <w:pPr>
              <w:ind w:firstLine="0"/>
              <w:jc w:val="center"/>
              <w:rPr>
                <w:rFonts w:eastAsia="Times New Roman" w:cs="Times New Roman"/>
                <w:color w:val="000000"/>
                <w:sz w:val="20"/>
                <w:szCs w:val="20"/>
                <w:lang w:eastAsia="ru-RU"/>
              </w:rPr>
            </w:pPr>
            <w:r w:rsidRPr="001E4B2F">
              <w:rPr>
                <w:rFonts w:eastAsia="Times New Roman" w:cs="Times New Roman"/>
                <w:color w:val="000000"/>
                <w:sz w:val="20"/>
                <w:szCs w:val="20"/>
                <w:lang w:eastAsia="ru-RU"/>
              </w:rPr>
              <w:t>Объекты с неполными харкетристиками</w:t>
            </w:r>
          </w:p>
        </w:tc>
        <w:tc>
          <w:tcPr>
            <w:tcW w:w="347" w:type="pct"/>
            <w:tcBorders>
              <w:top w:val="nil"/>
              <w:left w:val="nil"/>
              <w:bottom w:val="single" w:sz="4" w:space="0" w:color="000000"/>
              <w:right w:val="single" w:sz="4" w:space="0" w:color="000000"/>
            </w:tcBorders>
            <w:shd w:val="clear" w:color="auto" w:fill="auto"/>
            <w:vAlign w:val="center"/>
            <w:hideMark/>
          </w:tcPr>
          <w:p w14:paraId="2075D0B5" w14:textId="77777777" w:rsidR="001E4B2F" w:rsidRPr="001E4B2F" w:rsidRDefault="001E4B2F" w:rsidP="001E4B2F">
            <w:pPr>
              <w:ind w:firstLine="0"/>
              <w:jc w:val="center"/>
              <w:rPr>
                <w:rFonts w:eastAsia="Times New Roman" w:cs="Times New Roman"/>
                <w:color w:val="000000"/>
                <w:sz w:val="20"/>
                <w:szCs w:val="20"/>
                <w:lang w:eastAsia="ru-RU"/>
              </w:rPr>
            </w:pPr>
            <w:r w:rsidRPr="001E4B2F">
              <w:rPr>
                <w:rFonts w:eastAsia="Times New Roman" w:cs="Times New Roman"/>
                <w:color w:val="000000"/>
                <w:sz w:val="20"/>
                <w:szCs w:val="20"/>
                <w:lang w:eastAsia="ru-RU"/>
              </w:rPr>
              <w:t>10.1.</w:t>
            </w:r>
          </w:p>
        </w:tc>
        <w:tc>
          <w:tcPr>
            <w:tcW w:w="471" w:type="pct"/>
            <w:tcBorders>
              <w:top w:val="nil"/>
              <w:left w:val="nil"/>
              <w:bottom w:val="single" w:sz="4" w:space="0" w:color="000000"/>
              <w:right w:val="single" w:sz="4" w:space="0" w:color="000000"/>
            </w:tcBorders>
            <w:shd w:val="clear" w:color="auto" w:fill="auto"/>
            <w:noWrap/>
            <w:vAlign w:val="center"/>
            <w:hideMark/>
          </w:tcPr>
          <w:p w14:paraId="62D482B3" w14:textId="77777777" w:rsidR="001E4B2F" w:rsidRPr="001E4B2F" w:rsidRDefault="001E4B2F" w:rsidP="001E4B2F">
            <w:pPr>
              <w:ind w:firstLine="0"/>
              <w:jc w:val="left"/>
              <w:rPr>
                <w:rFonts w:eastAsia="Times New Roman" w:cs="Times New Roman"/>
                <w:color w:val="000000"/>
                <w:sz w:val="20"/>
                <w:szCs w:val="20"/>
                <w:lang w:eastAsia="ru-RU"/>
              </w:rPr>
            </w:pPr>
            <w:r w:rsidRPr="001E4B2F">
              <w:rPr>
                <w:rFonts w:eastAsia="Times New Roman" w:cs="Times New Roman"/>
                <w:color w:val="000000"/>
                <w:sz w:val="20"/>
                <w:szCs w:val="20"/>
                <w:lang w:eastAsia="ru-RU"/>
              </w:rPr>
              <w:t>Сравнительный</w:t>
            </w:r>
          </w:p>
        </w:tc>
        <w:tc>
          <w:tcPr>
            <w:tcW w:w="378" w:type="pct"/>
            <w:tcBorders>
              <w:top w:val="nil"/>
              <w:left w:val="nil"/>
              <w:bottom w:val="single" w:sz="4" w:space="0" w:color="000000"/>
              <w:right w:val="single" w:sz="4" w:space="0" w:color="000000"/>
            </w:tcBorders>
            <w:shd w:val="clear" w:color="auto" w:fill="auto"/>
            <w:noWrap/>
            <w:vAlign w:val="bottom"/>
            <w:hideMark/>
          </w:tcPr>
          <w:p w14:paraId="0DA6E9CB" w14:textId="77777777" w:rsidR="001E4B2F" w:rsidRPr="001E4B2F" w:rsidRDefault="001E4B2F" w:rsidP="001E4B2F">
            <w:pPr>
              <w:ind w:firstLine="0"/>
              <w:jc w:val="left"/>
              <w:rPr>
                <w:rFonts w:eastAsia="Times New Roman" w:cs="Times New Roman"/>
                <w:color w:val="000000"/>
                <w:sz w:val="20"/>
                <w:szCs w:val="20"/>
                <w:lang w:eastAsia="ru-RU"/>
              </w:rPr>
            </w:pPr>
            <w:r w:rsidRPr="001E4B2F">
              <w:rPr>
                <w:rFonts w:eastAsia="Times New Roman" w:cs="Times New Roman"/>
                <w:color w:val="000000"/>
                <w:sz w:val="20"/>
                <w:szCs w:val="20"/>
                <w:lang w:eastAsia="ru-RU"/>
              </w:rPr>
              <w:t>Массовый</w:t>
            </w:r>
          </w:p>
        </w:tc>
        <w:tc>
          <w:tcPr>
            <w:tcW w:w="708" w:type="pct"/>
            <w:tcBorders>
              <w:top w:val="nil"/>
              <w:left w:val="nil"/>
              <w:bottom w:val="single" w:sz="4" w:space="0" w:color="000000"/>
              <w:right w:val="single" w:sz="4" w:space="0" w:color="000000"/>
            </w:tcBorders>
            <w:shd w:val="clear" w:color="auto" w:fill="auto"/>
            <w:noWrap/>
            <w:vAlign w:val="center"/>
            <w:hideMark/>
          </w:tcPr>
          <w:p w14:paraId="5763BF47" w14:textId="77777777" w:rsidR="001E4B2F" w:rsidRPr="001E4B2F" w:rsidRDefault="001E4B2F" w:rsidP="001E4B2F">
            <w:pPr>
              <w:ind w:firstLine="0"/>
              <w:jc w:val="left"/>
              <w:rPr>
                <w:rFonts w:eastAsia="Times New Roman" w:cs="Times New Roman"/>
                <w:color w:val="000000"/>
                <w:sz w:val="20"/>
                <w:szCs w:val="20"/>
                <w:lang w:eastAsia="ru-RU"/>
              </w:rPr>
            </w:pPr>
            <w:r w:rsidRPr="001E4B2F">
              <w:rPr>
                <w:rFonts w:eastAsia="Times New Roman" w:cs="Times New Roman"/>
                <w:color w:val="000000"/>
                <w:sz w:val="20"/>
                <w:szCs w:val="20"/>
                <w:lang w:eastAsia="ru-RU"/>
              </w:rPr>
              <w:t>Метод УПКС (минимальное)</w:t>
            </w:r>
          </w:p>
        </w:tc>
      </w:tr>
      <w:tr w:rsidR="001E4B2F" w:rsidRPr="001E4B2F" w14:paraId="49BCB916" w14:textId="77777777" w:rsidTr="001E4B2F">
        <w:trPr>
          <w:trHeight w:val="510"/>
        </w:trPr>
        <w:tc>
          <w:tcPr>
            <w:tcW w:w="240" w:type="pct"/>
            <w:vMerge/>
            <w:tcBorders>
              <w:top w:val="nil"/>
              <w:left w:val="single" w:sz="4" w:space="0" w:color="000000"/>
              <w:bottom w:val="single" w:sz="4" w:space="0" w:color="000000"/>
              <w:right w:val="single" w:sz="4" w:space="0" w:color="000000"/>
            </w:tcBorders>
            <w:vAlign w:val="center"/>
            <w:hideMark/>
          </w:tcPr>
          <w:p w14:paraId="306765D8" w14:textId="77777777" w:rsidR="001E4B2F" w:rsidRPr="001E4B2F" w:rsidRDefault="001E4B2F" w:rsidP="001E4B2F">
            <w:pPr>
              <w:ind w:firstLine="0"/>
              <w:jc w:val="left"/>
              <w:rPr>
                <w:rFonts w:eastAsia="Times New Roman" w:cs="Times New Roman"/>
                <w:color w:val="000000"/>
                <w:sz w:val="20"/>
                <w:szCs w:val="20"/>
                <w:lang w:eastAsia="ru-RU"/>
              </w:rPr>
            </w:pPr>
          </w:p>
        </w:tc>
        <w:tc>
          <w:tcPr>
            <w:tcW w:w="788" w:type="pct"/>
            <w:vMerge/>
            <w:tcBorders>
              <w:top w:val="nil"/>
              <w:left w:val="single" w:sz="4" w:space="0" w:color="000000"/>
              <w:bottom w:val="single" w:sz="4" w:space="0" w:color="000000"/>
              <w:right w:val="single" w:sz="4" w:space="0" w:color="000000"/>
            </w:tcBorders>
            <w:vAlign w:val="center"/>
            <w:hideMark/>
          </w:tcPr>
          <w:p w14:paraId="09BAEB56" w14:textId="77777777" w:rsidR="001E4B2F" w:rsidRPr="001E4B2F" w:rsidRDefault="001E4B2F" w:rsidP="001E4B2F">
            <w:pPr>
              <w:ind w:firstLine="0"/>
              <w:jc w:val="left"/>
              <w:rPr>
                <w:rFonts w:eastAsia="Times New Roman" w:cs="Times New Roman"/>
                <w:color w:val="000000"/>
                <w:sz w:val="20"/>
                <w:szCs w:val="20"/>
                <w:lang w:eastAsia="ru-RU"/>
              </w:rPr>
            </w:pPr>
          </w:p>
        </w:tc>
        <w:tc>
          <w:tcPr>
            <w:tcW w:w="370" w:type="pct"/>
            <w:vMerge/>
            <w:tcBorders>
              <w:top w:val="nil"/>
              <w:left w:val="single" w:sz="4" w:space="0" w:color="000000"/>
              <w:bottom w:val="single" w:sz="4" w:space="0" w:color="000000"/>
              <w:right w:val="single" w:sz="4" w:space="0" w:color="000000"/>
            </w:tcBorders>
            <w:vAlign w:val="center"/>
            <w:hideMark/>
          </w:tcPr>
          <w:p w14:paraId="62E2E9E1" w14:textId="77777777" w:rsidR="001E4B2F" w:rsidRPr="001E4B2F" w:rsidRDefault="001E4B2F" w:rsidP="001E4B2F">
            <w:pPr>
              <w:ind w:firstLine="0"/>
              <w:jc w:val="left"/>
              <w:rPr>
                <w:rFonts w:eastAsia="Times New Roman" w:cs="Times New Roman"/>
                <w:color w:val="000000"/>
                <w:sz w:val="20"/>
                <w:szCs w:val="20"/>
                <w:lang w:eastAsia="ru-RU"/>
              </w:rPr>
            </w:pPr>
          </w:p>
        </w:tc>
        <w:tc>
          <w:tcPr>
            <w:tcW w:w="559" w:type="pct"/>
            <w:tcBorders>
              <w:top w:val="nil"/>
              <w:left w:val="nil"/>
              <w:bottom w:val="single" w:sz="4" w:space="0" w:color="000000"/>
              <w:right w:val="single" w:sz="4" w:space="0" w:color="000000"/>
            </w:tcBorders>
            <w:shd w:val="clear" w:color="auto" w:fill="auto"/>
            <w:vAlign w:val="center"/>
            <w:hideMark/>
          </w:tcPr>
          <w:p w14:paraId="363339F3" w14:textId="77777777" w:rsidR="001E4B2F" w:rsidRPr="001E4B2F" w:rsidRDefault="001E4B2F" w:rsidP="001E4B2F">
            <w:pPr>
              <w:ind w:firstLine="0"/>
              <w:jc w:val="center"/>
              <w:rPr>
                <w:rFonts w:eastAsia="Times New Roman" w:cs="Times New Roman"/>
                <w:color w:val="000000"/>
                <w:sz w:val="20"/>
                <w:szCs w:val="20"/>
                <w:lang w:eastAsia="ru-RU"/>
              </w:rPr>
            </w:pPr>
            <w:r w:rsidRPr="001E4B2F">
              <w:rPr>
                <w:rFonts w:eastAsia="Times New Roman" w:cs="Times New Roman"/>
                <w:color w:val="000000"/>
                <w:sz w:val="20"/>
                <w:szCs w:val="20"/>
                <w:lang w:eastAsia="ru-RU"/>
              </w:rPr>
              <w:t>ОНС, сооружения</w:t>
            </w:r>
          </w:p>
        </w:tc>
        <w:tc>
          <w:tcPr>
            <w:tcW w:w="528" w:type="pct"/>
            <w:vMerge/>
            <w:tcBorders>
              <w:top w:val="nil"/>
              <w:left w:val="single" w:sz="4" w:space="0" w:color="000000"/>
              <w:bottom w:val="single" w:sz="4" w:space="0" w:color="000000"/>
              <w:right w:val="single" w:sz="4" w:space="0" w:color="000000"/>
            </w:tcBorders>
            <w:vAlign w:val="center"/>
            <w:hideMark/>
          </w:tcPr>
          <w:p w14:paraId="6642F79E" w14:textId="77777777" w:rsidR="001E4B2F" w:rsidRPr="001E4B2F" w:rsidRDefault="001E4B2F" w:rsidP="001E4B2F">
            <w:pPr>
              <w:ind w:firstLine="0"/>
              <w:jc w:val="left"/>
              <w:rPr>
                <w:rFonts w:eastAsia="Times New Roman" w:cs="Times New Roman"/>
                <w:color w:val="000000"/>
                <w:sz w:val="20"/>
                <w:szCs w:val="20"/>
                <w:lang w:eastAsia="ru-RU"/>
              </w:rPr>
            </w:pPr>
          </w:p>
        </w:tc>
        <w:tc>
          <w:tcPr>
            <w:tcW w:w="611" w:type="pct"/>
            <w:vMerge/>
            <w:tcBorders>
              <w:top w:val="nil"/>
              <w:left w:val="single" w:sz="4" w:space="0" w:color="000000"/>
              <w:bottom w:val="single" w:sz="4" w:space="0" w:color="000000"/>
              <w:right w:val="single" w:sz="4" w:space="0" w:color="000000"/>
            </w:tcBorders>
            <w:vAlign w:val="center"/>
            <w:hideMark/>
          </w:tcPr>
          <w:p w14:paraId="32224828" w14:textId="77777777" w:rsidR="001E4B2F" w:rsidRPr="001E4B2F" w:rsidRDefault="001E4B2F" w:rsidP="001E4B2F">
            <w:pPr>
              <w:ind w:firstLine="0"/>
              <w:jc w:val="left"/>
              <w:rPr>
                <w:rFonts w:eastAsia="Times New Roman" w:cs="Times New Roman"/>
                <w:color w:val="000000"/>
                <w:sz w:val="20"/>
                <w:szCs w:val="20"/>
                <w:lang w:eastAsia="ru-RU"/>
              </w:rPr>
            </w:pPr>
          </w:p>
        </w:tc>
        <w:tc>
          <w:tcPr>
            <w:tcW w:w="347" w:type="pct"/>
            <w:tcBorders>
              <w:top w:val="nil"/>
              <w:left w:val="nil"/>
              <w:bottom w:val="single" w:sz="4" w:space="0" w:color="000000"/>
              <w:right w:val="single" w:sz="4" w:space="0" w:color="000000"/>
            </w:tcBorders>
            <w:shd w:val="clear" w:color="auto" w:fill="auto"/>
            <w:vAlign w:val="center"/>
            <w:hideMark/>
          </w:tcPr>
          <w:p w14:paraId="6837059D" w14:textId="77777777" w:rsidR="001E4B2F" w:rsidRPr="001E4B2F" w:rsidRDefault="001E4B2F" w:rsidP="001E4B2F">
            <w:pPr>
              <w:ind w:firstLine="0"/>
              <w:jc w:val="center"/>
              <w:rPr>
                <w:rFonts w:eastAsia="Times New Roman" w:cs="Times New Roman"/>
                <w:color w:val="000000"/>
                <w:sz w:val="20"/>
                <w:szCs w:val="20"/>
                <w:lang w:eastAsia="ru-RU"/>
              </w:rPr>
            </w:pPr>
            <w:r w:rsidRPr="001E4B2F">
              <w:rPr>
                <w:rFonts w:eastAsia="Times New Roman" w:cs="Times New Roman"/>
                <w:color w:val="000000"/>
                <w:sz w:val="20"/>
                <w:szCs w:val="20"/>
                <w:lang w:eastAsia="ru-RU"/>
              </w:rPr>
              <w:t>10.3.</w:t>
            </w:r>
          </w:p>
        </w:tc>
        <w:tc>
          <w:tcPr>
            <w:tcW w:w="471" w:type="pct"/>
            <w:tcBorders>
              <w:top w:val="nil"/>
              <w:left w:val="nil"/>
              <w:bottom w:val="single" w:sz="4" w:space="0" w:color="000000"/>
              <w:right w:val="single" w:sz="4" w:space="0" w:color="000000"/>
            </w:tcBorders>
            <w:shd w:val="clear" w:color="auto" w:fill="auto"/>
            <w:noWrap/>
            <w:vAlign w:val="center"/>
            <w:hideMark/>
          </w:tcPr>
          <w:p w14:paraId="21DF4522" w14:textId="77777777" w:rsidR="001E4B2F" w:rsidRPr="001E4B2F" w:rsidRDefault="001E4B2F" w:rsidP="001E4B2F">
            <w:pPr>
              <w:ind w:firstLine="0"/>
              <w:jc w:val="left"/>
              <w:rPr>
                <w:rFonts w:eastAsia="Times New Roman" w:cs="Times New Roman"/>
                <w:color w:val="000000"/>
                <w:sz w:val="20"/>
                <w:szCs w:val="20"/>
                <w:lang w:eastAsia="ru-RU"/>
              </w:rPr>
            </w:pPr>
            <w:r w:rsidRPr="001E4B2F">
              <w:rPr>
                <w:rFonts w:eastAsia="Times New Roman" w:cs="Times New Roman"/>
                <w:color w:val="000000"/>
                <w:sz w:val="20"/>
                <w:szCs w:val="20"/>
                <w:lang w:eastAsia="ru-RU"/>
              </w:rPr>
              <w:t>Сравнительный</w:t>
            </w:r>
          </w:p>
        </w:tc>
        <w:tc>
          <w:tcPr>
            <w:tcW w:w="378" w:type="pct"/>
            <w:tcBorders>
              <w:top w:val="nil"/>
              <w:left w:val="nil"/>
              <w:bottom w:val="single" w:sz="4" w:space="0" w:color="000000"/>
              <w:right w:val="single" w:sz="4" w:space="0" w:color="000000"/>
            </w:tcBorders>
            <w:shd w:val="clear" w:color="auto" w:fill="auto"/>
            <w:noWrap/>
            <w:vAlign w:val="bottom"/>
            <w:hideMark/>
          </w:tcPr>
          <w:p w14:paraId="0D6BEED0" w14:textId="77777777" w:rsidR="001E4B2F" w:rsidRPr="001E4B2F" w:rsidRDefault="001E4B2F" w:rsidP="001E4B2F">
            <w:pPr>
              <w:ind w:firstLine="0"/>
              <w:jc w:val="left"/>
              <w:rPr>
                <w:rFonts w:eastAsia="Times New Roman" w:cs="Times New Roman"/>
                <w:color w:val="000000"/>
                <w:sz w:val="20"/>
                <w:szCs w:val="20"/>
                <w:lang w:eastAsia="ru-RU"/>
              </w:rPr>
            </w:pPr>
            <w:r w:rsidRPr="001E4B2F">
              <w:rPr>
                <w:rFonts w:eastAsia="Times New Roman" w:cs="Times New Roman"/>
                <w:color w:val="000000"/>
                <w:sz w:val="20"/>
                <w:szCs w:val="20"/>
                <w:lang w:eastAsia="ru-RU"/>
              </w:rPr>
              <w:t>Массовый</w:t>
            </w:r>
          </w:p>
        </w:tc>
        <w:tc>
          <w:tcPr>
            <w:tcW w:w="708" w:type="pct"/>
            <w:tcBorders>
              <w:top w:val="nil"/>
              <w:left w:val="nil"/>
              <w:bottom w:val="single" w:sz="4" w:space="0" w:color="000000"/>
              <w:right w:val="single" w:sz="4" w:space="0" w:color="000000"/>
            </w:tcBorders>
            <w:shd w:val="clear" w:color="auto" w:fill="auto"/>
            <w:noWrap/>
            <w:vAlign w:val="center"/>
            <w:hideMark/>
          </w:tcPr>
          <w:p w14:paraId="00B563A7" w14:textId="77777777" w:rsidR="001E4B2F" w:rsidRPr="001E4B2F" w:rsidRDefault="001E4B2F" w:rsidP="001E4B2F">
            <w:pPr>
              <w:ind w:firstLine="0"/>
              <w:jc w:val="left"/>
              <w:rPr>
                <w:rFonts w:eastAsia="Times New Roman" w:cs="Times New Roman"/>
                <w:color w:val="000000"/>
                <w:sz w:val="20"/>
                <w:szCs w:val="20"/>
                <w:lang w:eastAsia="ru-RU"/>
              </w:rPr>
            </w:pPr>
            <w:r w:rsidRPr="001E4B2F">
              <w:rPr>
                <w:rFonts w:eastAsia="Times New Roman" w:cs="Times New Roman"/>
                <w:color w:val="000000"/>
                <w:sz w:val="20"/>
                <w:szCs w:val="20"/>
                <w:lang w:eastAsia="ru-RU"/>
              </w:rPr>
              <w:t>Метод УПКС (минимальное)</w:t>
            </w:r>
          </w:p>
        </w:tc>
      </w:tr>
      <w:tr w:rsidR="001E4B2F" w:rsidRPr="001E4B2F" w14:paraId="063610DA" w14:textId="77777777" w:rsidTr="001E4B2F">
        <w:trPr>
          <w:trHeight w:val="765"/>
        </w:trPr>
        <w:tc>
          <w:tcPr>
            <w:tcW w:w="240" w:type="pct"/>
            <w:vMerge/>
            <w:tcBorders>
              <w:top w:val="nil"/>
              <w:left w:val="single" w:sz="4" w:space="0" w:color="000000"/>
              <w:bottom w:val="single" w:sz="4" w:space="0" w:color="000000"/>
              <w:right w:val="single" w:sz="4" w:space="0" w:color="000000"/>
            </w:tcBorders>
            <w:vAlign w:val="center"/>
            <w:hideMark/>
          </w:tcPr>
          <w:p w14:paraId="68155C67" w14:textId="77777777" w:rsidR="001E4B2F" w:rsidRPr="001E4B2F" w:rsidRDefault="001E4B2F" w:rsidP="001E4B2F">
            <w:pPr>
              <w:ind w:firstLine="0"/>
              <w:jc w:val="left"/>
              <w:rPr>
                <w:rFonts w:eastAsia="Times New Roman" w:cs="Times New Roman"/>
                <w:color w:val="000000"/>
                <w:sz w:val="20"/>
                <w:szCs w:val="20"/>
                <w:lang w:eastAsia="ru-RU"/>
              </w:rPr>
            </w:pPr>
          </w:p>
        </w:tc>
        <w:tc>
          <w:tcPr>
            <w:tcW w:w="788" w:type="pct"/>
            <w:vMerge/>
            <w:tcBorders>
              <w:top w:val="nil"/>
              <w:left w:val="single" w:sz="4" w:space="0" w:color="000000"/>
              <w:bottom w:val="single" w:sz="4" w:space="0" w:color="000000"/>
              <w:right w:val="single" w:sz="4" w:space="0" w:color="000000"/>
            </w:tcBorders>
            <w:vAlign w:val="center"/>
            <w:hideMark/>
          </w:tcPr>
          <w:p w14:paraId="1686D7CD" w14:textId="77777777" w:rsidR="001E4B2F" w:rsidRPr="001E4B2F" w:rsidRDefault="001E4B2F" w:rsidP="001E4B2F">
            <w:pPr>
              <w:ind w:firstLine="0"/>
              <w:jc w:val="left"/>
              <w:rPr>
                <w:rFonts w:eastAsia="Times New Roman" w:cs="Times New Roman"/>
                <w:color w:val="000000"/>
                <w:sz w:val="20"/>
                <w:szCs w:val="20"/>
                <w:lang w:eastAsia="ru-RU"/>
              </w:rPr>
            </w:pPr>
          </w:p>
        </w:tc>
        <w:tc>
          <w:tcPr>
            <w:tcW w:w="370" w:type="pct"/>
            <w:vMerge/>
            <w:tcBorders>
              <w:top w:val="nil"/>
              <w:left w:val="single" w:sz="4" w:space="0" w:color="000000"/>
              <w:bottom w:val="single" w:sz="4" w:space="0" w:color="000000"/>
              <w:right w:val="single" w:sz="4" w:space="0" w:color="000000"/>
            </w:tcBorders>
            <w:vAlign w:val="center"/>
            <w:hideMark/>
          </w:tcPr>
          <w:p w14:paraId="4E119B07" w14:textId="77777777" w:rsidR="001E4B2F" w:rsidRPr="001E4B2F" w:rsidRDefault="001E4B2F" w:rsidP="001E4B2F">
            <w:pPr>
              <w:ind w:firstLine="0"/>
              <w:jc w:val="left"/>
              <w:rPr>
                <w:rFonts w:eastAsia="Times New Roman" w:cs="Times New Roman"/>
                <w:color w:val="000000"/>
                <w:sz w:val="20"/>
                <w:szCs w:val="20"/>
                <w:lang w:eastAsia="ru-RU"/>
              </w:rPr>
            </w:pPr>
          </w:p>
        </w:tc>
        <w:tc>
          <w:tcPr>
            <w:tcW w:w="559" w:type="pct"/>
            <w:tcBorders>
              <w:top w:val="nil"/>
              <w:left w:val="nil"/>
              <w:bottom w:val="single" w:sz="4" w:space="0" w:color="000000"/>
              <w:right w:val="single" w:sz="4" w:space="0" w:color="000000"/>
            </w:tcBorders>
            <w:shd w:val="clear" w:color="auto" w:fill="auto"/>
            <w:vAlign w:val="center"/>
            <w:hideMark/>
          </w:tcPr>
          <w:p w14:paraId="1475474B" w14:textId="77777777" w:rsidR="001E4B2F" w:rsidRPr="001E4B2F" w:rsidRDefault="001E4B2F" w:rsidP="001E4B2F">
            <w:pPr>
              <w:ind w:firstLine="0"/>
              <w:jc w:val="center"/>
              <w:rPr>
                <w:rFonts w:eastAsia="Times New Roman" w:cs="Times New Roman"/>
                <w:color w:val="000000"/>
                <w:sz w:val="20"/>
                <w:szCs w:val="20"/>
                <w:lang w:eastAsia="ru-RU"/>
              </w:rPr>
            </w:pPr>
            <w:r w:rsidRPr="001E4B2F">
              <w:rPr>
                <w:rFonts w:eastAsia="Times New Roman" w:cs="Times New Roman"/>
                <w:color w:val="000000"/>
                <w:sz w:val="20"/>
                <w:szCs w:val="20"/>
                <w:lang w:eastAsia="ru-RU"/>
              </w:rPr>
              <w:t>Здания, помещения, сооружения, ОНС</w:t>
            </w:r>
          </w:p>
        </w:tc>
        <w:tc>
          <w:tcPr>
            <w:tcW w:w="528" w:type="pct"/>
            <w:vMerge/>
            <w:tcBorders>
              <w:top w:val="nil"/>
              <w:left w:val="single" w:sz="4" w:space="0" w:color="000000"/>
              <w:bottom w:val="single" w:sz="4" w:space="0" w:color="000000"/>
              <w:right w:val="single" w:sz="4" w:space="0" w:color="000000"/>
            </w:tcBorders>
            <w:vAlign w:val="center"/>
            <w:hideMark/>
          </w:tcPr>
          <w:p w14:paraId="723CC35D" w14:textId="77777777" w:rsidR="001E4B2F" w:rsidRPr="001E4B2F" w:rsidRDefault="001E4B2F" w:rsidP="001E4B2F">
            <w:pPr>
              <w:ind w:firstLine="0"/>
              <w:jc w:val="left"/>
              <w:rPr>
                <w:rFonts w:eastAsia="Times New Roman" w:cs="Times New Roman"/>
                <w:color w:val="000000"/>
                <w:sz w:val="20"/>
                <w:szCs w:val="20"/>
                <w:lang w:eastAsia="ru-RU"/>
              </w:rPr>
            </w:pPr>
          </w:p>
        </w:tc>
        <w:tc>
          <w:tcPr>
            <w:tcW w:w="611" w:type="pct"/>
            <w:tcBorders>
              <w:top w:val="nil"/>
              <w:left w:val="nil"/>
              <w:bottom w:val="single" w:sz="4" w:space="0" w:color="000000"/>
              <w:right w:val="single" w:sz="4" w:space="0" w:color="000000"/>
            </w:tcBorders>
            <w:shd w:val="clear" w:color="auto" w:fill="auto"/>
            <w:vAlign w:val="center"/>
            <w:hideMark/>
          </w:tcPr>
          <w:p w14:paraId="201FACB1" w14:textId="77777777" w:rsidR="001E4B2F" w:rsidRPr="001E4B2F" w:rsidRDefault="001E4B2F" w:rsidP="001E4B2F">
            <w:pPr>
              <w:ind w:firstLine="0"/>
              <w:jc w:val="center"/>
              <w:rPr>
                <w:rFonts w:eastAsia="Times New Roman" w:cs="Times New Roman"/>
                <w:color w:val="000000"/>
                <w:sz w:val="20"/>
                <w:szCs w:val="20"/>
                <w:lang w:eastAsia="ru-RU"/>
              </w:rPr>
            </w:pPr>
            <w:r w:rsidRPr="001E4B2F">
              <w:rPr>
                <w:rFonts w:eastAsia="Times New Roman" w:cs="Times New Roman"/>
                <w:color w:val="000000"/>
                <w:sz w:val="20"/>
                <w:szCs w:val="20"/>
                <w:lang w:eastAsia="ru-RU"/>
              </w:rPr>
              <w:t>Объекты с полными характеристиками</w:t>
            </w:r>
          </w:p>
        </w:tc>
        <w:tc>
          <w:tcPr>
            <w:tcW w:w="347" w:type="pct"/>
            <w:tcBorders>
              <w:top w:val="nil"/>
              <w:left w:val="nil"/>
              <w:bottom w:val="single" w:sz="4" w:space="0" w:color="000000"/>
              <w:right w:val="single" w:sz="4" w:space="0" w:color="000000"/>
            </w:tcBorders>
            <w:shd w:val="clear" w:color="auto" w:fill="auto"/>
            <w:vAlign w:val="center"/>
            <w:hideMark/>
          </w:tcPr>
          <w:p w14:paraId="7A30B6F9" w14:textId="77777777" w:rsidR="001E4B2F" w:rsidRPr="001E4B2F" w:rsidRDefault="001E4B2F" w:rsidP="001E4B2F">
            <w:pPr>
              <w:ind w:firstLine="0"/>
              <w:jc w:val="center"/>
              <w:rPr>
                <w:rFonts w:eastAsia="Times New Roman" w:cs="Times New Roman"/>
                <w:color w:val="000000"/>
                <w:sz w:val="20"/>
                <w:szCs w:val="20"/>
                <w:lang w:eastAsia="ru-RU"/>
              </w:rPr>
            </w:pPr>
            <w:r w:rsidRPr="001E4B2F">
              <w:rPr>
                <w:rFonts w:eastAsia="Times New Roman" w:cs="Times New Roman"/>
                <w:color w:val="000000"/>
                <w:sz w:val="20"/>
                <w:szCs w:val="20"/>
                <w:lang w:eastAsia="ru-RU"/>
              </w:rPr>
              <w:t>10.2.</w:t>
            </w:r>
          </w:p>
        </w:tc>
        <w:tc>
          <w:tcPr>
            <w:tcW w:w="471" w:type="pct"/>
            <w:tcBorders>
              <w:top w:val="nil"/>
              <w:left w:val="nil"/>
              <w:bottom w:val="single" w:sz="4" w:space="0" w:color="000000"/>
              <w:right w:val="single" w:sz="4" w:space="0" w:color="000000"/>
            </w:tcBorders>
            <w:shd w:val="clear" w:color="auto" w:fill="auto"/>
            <w:noWrap/>
            <w:vAlign w:val="center"/>
            <w:hideMark/>
          </w:tcPr>
          <w:p w14:paraId="39E862E5" w14:textId="77777777" w:rsidR="001E4B2F" w:rsidRPr="001E4B2F" w:rsidRDefault="001E4B2F" w:rsidP="001E4B2F">
            <w:pPr>
              <w:ind w:firstLine="0"/>
              <w:jc w:val="left"/>
              <w:rPr>
                <w:rFonts w:eastAsia="Times New Roman" w:cs="Times New Roman"/>
                <w:color w:val="000000"/>
                <w:sz w:val="20"/>
                <w:szCs w:val="20"/>
                <w:lang w:eastAsia="ru-RU"/>
              </w:rPr>
            </w:pPr>
            <w:r w:rsidRPr="001E4B2F">
              <w:rPr>
                <w:rFonts w:eastAsia="Times New Roman" w:cs="Times New Roman"/>
                <w:color w:val="000000"/>
                <w:sz w:val="20"/>
                <w:szCs w:val="20"/>
                <w:lang w:eastAsia="ru-RU"/>
              </w:rPr>
              <w:t>Затратный</w:t>
            </w:r>
          </w:p>
        </w:tc>
        <w:tc>
          <w:tcPr>
            <w:tcW w:w="378" w:type="pct"/>
            <w:tcBorders>
              <w:top w:val="nil"/>
              <w:left w:val="nil"/>
              <w:bottom w:val="single" w:sz="4" w:space="0" w:color="000000"/>
              <w:right w:val="single" w:sz="4" w:space="0" w:color="000000"/>
            </w:tcBorders>
            <w:shd w:val="clear" w:color="auto" w:fill="auto"/>
            <w:noWrap/>
            <w:vAlign w:val="center"/>
            <w:hideMark/>
          </w:tcPr>
          <w:p w14:paraId="2326CF86" w14:textId="77777777" w:rsidR="001E4B2F" w:rsidRPr="001E4B2F" w:rsidRDefault="001E4B2F" w:rsidP="001E4B2F">
            <w:pPr>
              <w:ind w:firstLine="0"/>
              <w:jc w:val="left"/>
              <w:rPr>
                <w:rFonts w:eastAsia="Times New Roman" w:cs="Times New Roman"/>
                <w:color w:val="000000"/>
                <w:sz w:val="20"/>
                <w:szCs w:val="20"/>
                <w:lang w:eastAsia="ru-RU"/>
              </w:rPr>
            </w:pPr>
            <w:r w:rsidRPr="001E4B2F">
              <w:rPr>
                <w:rFonts w:eastAsia="Times New Roman" w:cs="Times New Roman"/>
                <w:color w:val="000000"/>
                <w:sz w:val="20"/>
                <w:szCs w:val="20"/>
                <w:lang w:eastAsia="ru-RU"/>
              </w:rPr>
              <w:t>Массовый</w:t>
            </w:r>
          </w:p>
        </w:tc>
        <w:tc>
          <w:tcPr>
            <w:tcW w:w="708" w:type="pct"/>
            <w:tcBorders>
              <w:top w:val="nil"/>
              <w:left w:val="nil"/>
              <w:bottom w:val="single" w:sz="4" w:space="0" w:color="000000"/>
              <w:right w:val="single" w:sz="4" w:space="0" w:color="000000"/>
            </w:tcBorders>
            <w:shd w:val="clear" w:color="auto" w:fill="auto"/>
            <w:noWrap/>
            <w:vAlign w:val="center"/>
            <w:hideMark/>
          </w:tcPr>
          <w:p w14:paraId="22F40379" w14:textId="77777777" w:rsidR="001E4B2F" w:rsidRPr="001E4B2F" w:rsidRDefault="001E4B2F" w:rsidP="001E4B2F">
            <w:pPr>
              <w:ind w:firstLine="0"/>
              <w:jc w:val="left"/>
              <w:rPr>
                <w:rFonts w:eastAsia="Times New Roman" w:cs="Times New Roman"/>
                <w:color w:val="000000"/>
                <w:sz w:val="20"/>
                <w:szCs w:val="20"/>
                <w:lang w:eastAsia="ru-RU"/>
              </w:rPr>
            </w:pPr>
            <w:r w:rsidRPr="001E4B2F">
              <w:rPr>
                <w:rFonts w:eastAsia="Times New Roman" w:cs="Times New Roman"/>
                <w:color w:val="000000"/>
                <w:sz w:val="20"/>
                <w:szCs w:val="20"/>
                <w:lang w:eastAsia="ru-RU"/>
              </w:rPr>
              <w:t>Метод сравнительной единицы (УПСС)</w:t>
            </w:r>
          </w:p>
        </w:tc>
      </w:tr>
    </w:tbl>
    <w:p w14:paraId="54294720" w14:textId="018A6FAC" w:rsidR="001E4B2F" w:rsidRDefault="001E4B2F" w:rsidP="0000065A">
      <w:pPr>
        <w:keepNext/>
        <w:widowControl w:val="0"/>
        <w:ind w:firstLine="0"/>
        <w:jc w:val="center"/>
        <w:rPr>
          <w:rFonts w:eastAsia="Times New Roman" w:cs="Times New Roman"/>
          <w:bCs/>
          <w:i/>
          <w:szCs w:val="24"/>
          <w:lang w:eastAsia="x-none"/>
        </w:rPr>
      </w:pPr>
    </w:p>
    <w:p w14:paraId="02EAFCF6" w14:textId="1851955F" w:rsidR="00465393" w:rsidRPr="00727235" w:rsidRDefault="00465393" w:rsidP="00465393">
      <w:r>
        <w:t>Детальная разбивка по каждому объекту оценки по подгруппе расчета приведена в Приложении 2.2. к Отчету по каждой группе</w:t>
      </w:r>
      <w:r w:rsidRPr="00727235">
        <w:t xml:space="preserve">. </w:t>
      </w:r>
    </w:p>
    <w:p w14:paraId="67870686" w14:textId="77777777" w:rsidR="00465393" w:rsidRPr="0000065A" w:rsidRDefault="00465393" w:rsidP="0000065A">
      <w:pPr>
        <w:widowControl w:val="0"/>
        <w:ind w:firstLine="709"/>
        <w:jc w:val="right"/>
        <w:rPr>
          <w:rFonts w:eastAsia="Times New Roman" w:cs="Times New Roman"/>
          <w:szCs w:val="24"/>
          <w:lang w:eastAsia="ru-RU"/>
        </w:rPr>
      </w:pPr>
    </w:p>
    <w:p w14:paraId="10070C0F" w14:textId="77777777" w:rsidR="0000065A" w:rsidRPr="0000065A" w:rsidRDefault="0000065A" w:rsidP="0000065A">
      <w:pPr>
        <w:widowControl w:val="0"/>
        <w:ind w:firstLine="0"/>
        <w:jc w:val="center"/>
        <w:rPr>
          <w:rFonts w:eastAsia="Times New Roman" w:cs="Times New Roman"/>
          <w:sz w:val="20"/>
          <w:szCs w:val="20"/>
          <w:lang w:eastAsia="ru-RU"/>
        </w:rPr>
      </w:pPr>
      <w:r w:rsidRPr="0000065A">
        <w:rPr>
          <w:rFonts w:eastAsia="Times New Roman" w:cs="Times New Roman"/>
          <w:sz w:val="20"/>
          <w:szCs w:val="20"/>
          <w:lang w:eastAsia="ru-RU"/>
        </w:rPr>
        <w:br w:type="page"/>
      </w:r>
    </w:p>
    <w:p w14:paraId="796649AD" w14:textId="77777777" w:rsidR="0000065A" w:rsidRPr="0000065A" w:rsidRDefault="0000065A" w:rsidP="0000065A">
      <w:pPr>
        <w:widowControl w:val="0"/>
        <w:ind w:firstLine="709"/>
        <w:jc w:val="right"/>
        <w:rPr>
          <w:rFonts w:eastAsia="Times New Roman" w:cs="Times New Roman"/>
          <w:szCs w:val="24"/>
          <w:lang w:eastAsia="ru-RU"/>
        </w:rPr>
        <w:sectPr w:rsidR="0000065A" w:rsidRPr="0000065A" w:rsidSect="0000065A">
          <w:pgSz w:w="16838" w:h="11906" w:orient="landscape"/>
          <w:pgMar w:top="1701" w:right="1134" w:bottom="851" w:left="1134" w:header="709" w:footer="709" w:gutter="0"/>
          <w:cols w:space="708"/>
          <w:docGrid w:linePitch="360"/>
        </w:sectPr>
      </w:pPr>
    </w:p>
    <w:p w14:paraId="6C2EB86C" w14:textId="038F6262" w:rsidR="003D4020" w:rsidRPr="0027086D" w:rsidRDefault="00727235" w:rsidP="003C4C7D">
      <w:pPr>
        <w:pStyle w:val="10"/>
        <w:numPr>
          <w:ilvl w:val="1"/>
          <w:numId w:val="100"/>
        </w:numPr>
        <w:jc w:val="both"/>
      </w:pPr>
      <w:bookmarkStart w:id="121" w:name="_Toc14819119"/>
      <w:r w:rsidRPr="00727235">
        <w:t>Описание процесса оценки объектов оценки в части применения подходов к оценке</w:t>
      </w:r>
      <w:r w:rsidR="007575B9" w:rsidRPr="0027086D">
        <w:t>.</w:t>
      </w:r>
      <w:bookmarkEnd w:id="121"/>
    </w:p>
    <w:p w14:paraId="4EEC148D" w14:textId="78644C48" w:rsidR="00727235" w:rsidRPr="00355207" w:rsidRDefault="00727235" w:rsidP="00FD2769">
      <w:pPr>
        <w:pStyle w:val="3"/>
        <w:rPr>
          <w:rFonts w:eastAsia="Times New Roman"/>
          <w:lang w:eastAsia="ru-RU"/>
        </w:rPr>
      </w:pPr>
      <w:bookmarkStart w:id="122" w:name="_Toc14819120"/>
      <w:bookmarkStart w:id="123" w:name="_Toc525310202"/>
      <w:bookmarkStart w:id="124" w:name="_Ref499715400"/>
      <w:bookmarkStart w:id="125" w:name="_Ref499730217"/>
      <w:r w:rsidRPr="00355207">
        <w:rPr>
          <w:rFonts w:eastAsia="Times New Roman"/>
          <w:lang w:eastAsia="ru-RU"/>
        </w:rPr>
        <w:t>Определение кадастровой стоимости методами статистического моделирования</w:t>
      </w:r>
      <w:bookmarkEnd w:id="122"/>
    </w:p>
    <w:p w14:paraId="6F22A603" w14:textId="77777777" w:rsidR="00465393" w:rsidRPr="00727235" w:rsidRDefault="00465393" w:rsidP="00465393">
      <w:r w:rsidRPr="00727235">
        <w:t xml:space="preserve">Под статистической моделью оценки понимается математическая формула, отображающая связь между зависимой переменной (кадастровая стоимость) и значениями независимых переменных (ценообразующих факторов объектов недвижимости). </w:t>
      </w:r>
    </w:p>
    <w:p w14:paraId="4A37F999" w14:textId="77777777" w:rsidR="00727235" w:rsidRPr="00727235" w:rsidRDefault="00727235" w:rsidP="00727235">
      <w:r w:rsidRPr="00727235">
        <w:t>Порядок подготовки и построения модели оценки кадастровой стоимости включает:</w:t>
      </w:r>
    </w:p>
    <w:p w14:paraId="606F42F0" w14:textId="77777777" w:rsidR="00727235" w:rsidRPr="00727235" w:rsidRDefault="00727235" w:rsidP="00727235">
      <w:r w:rsidRPr="00727235">
        <w:t>1) определение перечня ценообразующих факторов, описывающих влияние местоположения объектов недвижимости как составного фактора;</w:t>
      </w:r>
    </w:p>
    <w:p w14:paraId="2767E1A8" w14:textId="77777777" w:rsidR="00727235" w:rsidRPr="00727235" w:rsidRDefault="00727235" w:rsidP="00727235">
      <w:r w:rsidRPr="00727235">
        <w:t>2) определение состава ценообразующих факторов, включаемых в статистическую модель, с учетом местоположения объектов недвижимости;</w:t>
      </w:r>
    </w:p>
    <w:p w14:paraId="5748B628" w14:textId="77777777" w:rsidR="00727235" w:rsidRPr="00727235" w:rsidRDefault="00727235" w:rsidP="00727235">
      <w:r w:rsidRPr="00727235">
        <w:t>3) определение общего вида функций, связывающих зависимую переменную с каждым из ценообразующих факторов;</w:t>
      </w:r>
    </w:p>
    <w:p w14:paraId="1B810B5A" w14:textId="4C8D33A0" w:rsidR="00727235" w:rsidRPr="00727235" w:rsidRDefault="00727235" w:rsidP="00727235">
      <w:r w:rsidRPr="00727235">
        <w:t>4) определение конкретного вида зависимостей переменной от ценообразующих факто</w:t>
      </w:r>
      <w:r w:rsidR="00942A53">
        <w:t xml:space="preserve">ров (с построением графиков) и </w:t>
      </w:r>
      <w:r w:rsidRPr="00727235">
        <w:t>расчет коэффициентов статистической модели;</w:t>
      </w:r>
    </w:p>
    <w:p w14:paraId="409D47F9" w14:textId="77777777" w:rsidR="00727235" w:rsidRPr="00727235" w:rsidRDefault="00727235" w:rsidP="00727235">
      <w:r w:rsidRPr="00727235">
        <w:t>5) анализ показателей качества статистической модели.</w:t>
      </w:r>
    </w:p>
    <w:p w14:paraId="6CDEF1D9" w14:textId="2E8AB2E9" w:rsidR="00727235" w:rsidRPr="00727235" w:rsidRDefault="00727235" w:rsidP="00727235">
      <w:r w:rsidRPr="00727235">
        <w:t>Для определения кадастровой стоимости для каждой сформированной группы (подгруппы) объектов недвижимости осуществляется построение статистической модели, отражающей сложившиеся на рассматриваемом рынке закономерности ценообразования. Учитывая нелинейный характер большинства зависимостей на больших пространственных рынках, необходимо строить статистические моде</w:t>
      </w:r>
      <w:r w:rsidR="00942A53">
        <w:t>ли с индивидуально определенным</w:t>
      </w:r>
      <w:r w:rsidRPr="00727235">
        <w:t xml:space="preserve"> для каждого ценообразующего фактора видом функции влияния. Полученные функции влияния каждого ценообразующего фактора подвергаются анализу их общего вида на соответствие выявленным закономерностям ценообразования. </w:t>
      </w:r>
    </w:p>
    <w:p w14:paraId="3FF0FC3B" w14:textId="77777777" w:rsidR="00727235" w:rsidRPr="00727235" w:rsidRDefault="00727235" w:rsidP="00727235">
      <w:r w:rsidRPr="00727235">
        <w:t>Выбранная для определения кадастровой стоимости статистическая модель должна быть объяснимой с точки зрения рыночных данных и закономерностей ценообразования, а также обладать свойством статистической устойчивости (сбалансированности), то есть не изменять существенно своих результатов при удалении из обрабатываемой выборки отдельных объектов недвижимости.</w:t>
      </w:r>
    </w:p>
    <w:p w14:paraId="1B093A94" w14:textId="77777777" w:rsidR="00727235" w:rsidRPr="00727235" w:rsidRDefault="00727235" w:rsidP="00727235">
      <w:r w:rsidRPr="00727235">
        <w:t>В рамках настоящего отчета кадастровая стоимость помещений подгрупп 0101, 0102 группы 1 «Многоквартирные дома (дома средне- и многоэтажной жилой застройки), подгрупп 0205 группы 2 «Дома малоэтажной жилой застройки», подгрупп 0302, 0303 группы 3 «Объекты, предназначенные для хранения транспорта», (наименования подгрупп указаны в пп. 1.2.2.7 настоящего Отчета) рассчитана на основе статистического моделирования зависимости рыночной стоимости от ценообразующих факторов.</w:t>
      </w:r>
    </w:p>
    <w:p w14:paraId="4C18FCC2" w14:textId="3F43101C" w:rsidR="00727235" w:rsidRPr="00727235" w:rsidRDefault="00727235" w:rsidP="00727235">
      <w:r w:rsidRPr="00727235">
        <w:t xml:space="preserve">Осуществляется сбор достаточной и достоверной рыночной информации об объектах недвижимости. Результаты сбора рыночной информации представлена в Приложении </w:t>
      </w:r>
      <w:r w:rsidR="00334FFE">
        <w:t>1.5.1</w:t>
      </w:r>
      <w:r w:rsidRPr="00727235">
        <w:t>.</w:t>
      </w:r>
    </w:p>
    <w:p w14:paraId="75A572C5" w14:textId="77777777" w:rsidR="00727235" w:rsidRPr="00727235" w:rsidRDefault="00727235" w:rsidP="00727235">
      <w:r w:rsidRPr="00727235">
        <w:t xml:space="preserve">Далее проводится кодирование значений ценообразующих факторов объектов оценки и объектов-аналогов для представления значений качественных факторов в числовой форме. При построении списка значений фактора просматриваются значения кодируемого фактора как объектов оценки, так и объектов-аналогов. </w:t>
      </w:r>
    </w:p>
    <w:p w14:paraId="6730D6AA" w14:textId="77777777" w:rsidR="00727235" w:rsidRPr="00727235" w:rsidRDefault="00727235" w:rsidP="00727235">
      <w:r w:rsidRPr="00727235">
        <w:t>Рассмотрим общие принципы статистического моделирования в рамках сравнительного подхода.</w:t>
      </w:r>
    </w:p>
    <w:p w14:paraId="57A83590" w14:textId="77777777" w:rsidR="00727235" w:rsidRPr="00727235" w:rsidRDefault="00727235" w:rsidP="00727235">
      <w:r w:rsidRPr="00727235">
        <w:t>Определение кадастровой стоимости осуществляется с применением статистических моделей, в том числе:</w:t>
      </w:r>
    </w:p>
    <w:p w14:paraId="6B1BAE2D" w14:textId="77777777" w:rsidR="00727235" w:rsidRPr="00727235" w:rsidRDefault="00727235" w:rsidP="00727235">
      <w:r w:rsidRPr="00727235">
        <w:t>1) линейной:</w:t>
      </w:r>
    </w:p>
    <w:p w14:paraId="1FF5DE86" w14:textId="77777777" w:rsidR="00727235" w:rsidRPr="00727235" w:rsidRDefault="00727235" w:rsidP="00727235">
      <w:pPr>
        <w:rPr>
          <w:lang w:eastAsia="ru-RU"/>
        </w:rPr>
      </w:pPr>
      <w:r w:rsidRPr="00727235">
        <w:rPr>
          <w:noProof/>
          <w:lang w:eastAsia="ru-RU"/>
        </w:rPr>
        <w:drawing>
          <wp:inline distT="0" distB="0" distL="0" distR="0" wp14:anchorId="1AD8D0C5" wp14:editId="0ACDE897">
            <wp:extent cx="2009775" cy="228600"/>
            <wp:effectExtent l="0" t="0" r="9525"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59"/>
                    <pic:cNvPicPr>
                      <a:picLocks noChangeAspect="1" noChangeArrowheads="1"/>
                    </pic:cNvPicPr>
                  </pic:nvPicPr>
                  <pic:blipFill>
                    <a:blip r:embed="rId268" cstate="print">
                      <a:extLst>
                        <a:ext uri="{28A0092B-C50C-407E-A947-70E740481C1C}">
                          <a14:useLocalDpi xmlns:a14="http://schemas.microsoft.com/office/drawing/2010/main" val="0"/>
                        </a:ext>
                      </a:extLst>
                    </a:blip>
                    <a:srcRect/>
                    <a:stretch>
                      <a:fillRect/>
                    </a:stretch>
                  </pic:blipFill>
                  <pic:spPr bwMode="auto">
                    <a:xfrm>
                      <a:off x="0" y="0"/>
                      <a:ext cx="2009775" cy="228600"/>
                    </a:xfrm>
                    <a:prstGeom prst="rect">
                      <a:avLst/>
                    </a:prstGeom>
                    <a:noFill/>
                    <a:ln>
                      <a:noFill/>
                    </a:ln>
                  </pic:spPr>
                </pic:pic>
              </a:graphicData>
            </a:graphic>
          </wp:inline>
        </w:drawing>
      </w:r>
      <w:r w:rsidRPr="00727235">
        <w:rPr>
          <w:lang w:eastAsia="ru-RU"/>
        </w:rPr>
        <w:t>;</w:t>
      </w:r>
    </w:p>
    <w:p w14:paraId="36667CFE" w14:textId="77777777" w:rsidR="00727235" w:rsidRPr="00727235" w:rsidRDefault="00727235" w:rsidP="00727235">
      <w:pPr>
        <w:rPr>
          <w:lang w:eastAsia="ru-RU"/>
        </w:rPr>
      </w:pPr>
      <w:r w:rsidRPr="00727235">
        <w:rPr>
          <w:lang w:eastAsia="ru-RU"/>
        </w:rPr>
        <w:t>2) мультипликативной степенной (без выделения двоичных факторов):</w:t>
      </w:r>
    </w:p>
    <w:p w14:paraId="14D5EC99" w14:textId="77777777" w:rsidR="00727235" w:rsidRPr="00727235" w:rsidRDefault="00727235" w:rsidP="00727235">
      <w:pPr>
        <w:rPr>
          <w:lang w:eastAsia="ru-RU"/>
        </w:rPr>
      </w:pPr>
      <w:r w:rsidRPr="00727235">
        <w:rPr>
          <w:noProof/>
          <w:lang w:eastAsia="ru-RU"/>
        </w:rPr>
        <w:drawing>
          <wp:inline distT="0" distB="0" distL="0" distR="0" wp14:anchorId="1860A639" wp14:editId="4ED5A97B">
            <wp:extent cx="1228725" cy="238125"/>
            <wp:effectExtent l="0" t="0" r="0" b="952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60"/>
                    <pic:cNvPicPr>
                      <a:picLocks noChangeAspect="1" noChangeArrowheads="1"/>
                    </pic:cNvPicPr>
                  </pic:nvPicPr>
                  <pic:blipFill>
                    <a:blip r:embed="rId269" cstate="print">
                      <a:extLst>
                        <a:ext uri="{28A0092B-C50C-407E-A947-70E740481C1C}">
                          <a14:useLocalDpi xmlns:a14="http://schemas.microsoft.com/office/drawing/2010/main" val="0"/>
                        </a:ext>
                      </a:extLst>
                    </a:blip>
                    <a:srcRect/>
                    <a:stretch>
                      <a:fillRect/>
                    </a:stretch>
                  </pic:blipFill>
                  <pic:spPr bwMode="auto">
                    <a:xfrm>
                      <a:off x="0" y="0"/>
                      <a:ext cx="1228725" cy="238125"/>
                    </a:xfrm>
                    <a:prstGeom prst="rect">
                      <a:avLst/>
                    </a:prstGeom>
                    <a:noFill/>
                    <a:ln>
                      <a:noFill/>
                    </a:ln>
                  </pic:spPr>
                </pic:pic>
              </a:graphicData>
            </a:graphic>
          </wp:inline>
        </w:drawing>
      </w:r>
      <w:r w:rsidRPr="00727235">
        <w:rPr>
          <w:lang w:eastAsia="ru-RU"/>
        </w:rPr>
        <w:t>;</w:t>
      </w:r>
    </w:p>
    <w:p w14:paraId="6DE278A1" w14:textId="77777777" w:rsidR="00727235" w:rsidRPr="00727235" w:rsidRDefault="00727235" w:rsidP="00727235">
      <w:pPr>
        <w:rPr>
          <w:lang w:eastAsia="ru-RU"/>
        </w:rPr>
      </w:pPr>
      <w:r w:rsidRPr="00727235">
        <w:rPr>
          <w:lang w:eastAsia="ru-RU"/>
        </w:rPr>
        <w:t>3) экспоненциальной:</w:t>
      </w:r>
    </w:p>
    <w:p w14:paraId="243AAA88" w14:textId="77777777" w:rsidR="00727235" w:rsidRPr="00727235" w:rsidRDefault="00727235" w:rsidP="00727235">
      <w:pPr>
        <w:rPr>
          <w:lang w:eastAsia="ru-RU"/>
        </w:rPr>
      </w:pPr>
      <w:r w:rsidRPr="00727235">
        <w:rPr>
          <w:noProof/>
          <w:lang w:eastAsia="ru-RU"/>
        </w:rPr>
        <w:drawing>
          <wp:inline distT="0" distB="0" distL="0" distR="0" wp14:anchorId="75D3A62D" wp14:editId="539B0C06">
            <wp:extent cx="1152525" cy="238125"/>
            <wp:effectExtent l="0" t="0" r="9525" b="952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61"/>
                    <pic:cNvPicPr>
                      <a:picLocks noChangeAspect="1" noChangeArrowheads="1"/>
                    </pic:cNvPicPr>
                  </pic:nvPicPr>
                  <pic:blipFill>
                    <a:blip r:embed="rId270" cstate="print">
                      <a:extLst>
                        <a:ext uri="{28A0092B-C50C-407E-A947-70E740481C1C}">
                          <a14:useLocalDpi xmlns:a14="http://schemas.microsoft.com/office/drawing/2010/main" val="0"/>
                        </a:ext>
                      </a:extLst>
                    </a:blip>
                    <a:srcRect/>
                    <a:stretch>
                      <a:fillRect/>
                    </a:stretch>
                  </pic:blipFill>
                  <pic:spPr bwMode="auto">
                    <a:xfrm>
                      <a:off x="0" y="0"/>
                      <a:ext cx="1152525" cy="238125"/>
                    </a:xfrm>
                    <a:prstGeom prst="rect">
                      <a:avLst/>
                    </a:prstGeom>
                    <a:noFill/>
                    <a:ln>
                      <a:noFill/>
                    </a:ln>
                  </pic:spPr>
                </pic:pic>
              </a:graphicData>
            </a:graphic>
          </wp:inline>
        </w:drawing>
      </w:r>
      <w:r w:rsidRPr="00727235">
        <w:rPr>
          <w:lang w:eastAsia="ru-RU"/>
        </w:rPr>
        <w:t>, где</w:t>
      </w:r>
    </w:p>
    <w:p w14:paraId="79ACE890" w14:textId="77777777" w:rsidR="00727235" w:rsidRPr="00727235" w:rsidRDefault="00727235" w:rsidP="00727235">
      <w:pPr>
        <w:rPr>
          <w:lang w:eastAsia="ru-RU"/>
        </w:rPr>
      </w:pPr>
      <w:r w:rsidRPr="00727235">
        <w:rPr>
          <w:lang w:eastAsia="ru-RU"/>
        </w:rPr>
        <w:t>Y - модельное значение зависимой переменной;</w:t>
      </w:r>
    </w:p>
    <w:p w14:paraId="7962CF40" w14:textId="77777777" w:rsidR="00727235" w:rsidRPr="00727235" w:rsidRDefault="00727235" w:rsidP="00727235">
      <w:pPr>
        <w:rPr>
          <w:lang w:eastAsia="ru-RU"/>
        </w:rPr>
      </w:pPr>
      <w:r w:rsidRPr="00727235">
        <w:rPr>
          <w:lang w:eastAsia="ru-RU"/>
        </w:rPr>
        <w:t>X1, ..., Xn - ценообразующие факторы объектов недвижимости;</w:t>
      </w:r>
    </w:p>
    <w:p w14:paraId="5EB5BCAA" w14:textId="77777777" w:rsidR="00727235" w:rsidRPr="00727235" w:rsidRDefault="00727235" w:rsidP="00727235">
      <w:pPr>
        <w:rPr>
          <w:lang w:eastAsia="ru-RU"/>
        </w:rPr>
      </w:pPr>
      <w:r w:rsidRPr="00727235">
        <w:rPr>
          <w:noProof/>
          <w:lang w:eastAsia="ru-RU"/>
        </w:rPr>
        <w:drawing>
          <wp:inline distT="0" distB="0" distL="0" distR="0" wp14:anchorId="7E292FCC" wp14:editId="0D1B9B5A">
            <wp:extent cx="190500" cy="228600"/>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62"/>
                    <pic:cNvPicPr>
                      <a:picLocks noChangeAspect="1" noChangeArrowheads="1"/>
                    </pic:cNvPicPr>
                  </pic:nvPicPr>
                  <pic:blipFill>
                    <a:blip r:embed="rId271" cstate="print">
                      <a:extLst>
                        <a:ext uri="{28A0092B-C50C-407E-A947-70E740481C1C}">
                          <a14:useLocalDpi xmlns:a14="http://schemas.microsoft.com/office/drawing/2010/main" val="0"/>
                        </a:ext>
                      </a:extLst>
                    </a:blip>
                    <a:srcRect/>
                    <a:stretch>
                      <a:fillRect/>
                    </a:stretch>
                  </pic:blipFill>
                  <pic:spPr bwMode="auto">
                    <a:xfrm>
                      <a:off x="0" y="0"/>
                      <a:ext cx="190500" cy="228600"/>
                    </a:xfrm>
                    <a:prstGeom prst="rect">
                      <a:avLst/>
                    </a:prstGeom>
                    <a:noFill/>
                    <a:ln>
                      <a:noFill/>
                    </a:ln>
                  </pic:spPr>
                </pic:pic>
              </a:graphicData>
            </a:graphic>
          </wp:inline>
        </w:drawing>
      </w:r>
      <w:r w:rsidRPr="00727235">
        <w:rPr>
          <w:lang w:eastAsia="ru-RU"/>
        </w:rPr>
        <w:t xml:space="preserve">, </w:t>
      </w:r>
      <w:r w:rsidRPr="00727235">
        <w:rPr>
          <w:noProof/>
          <w:lang w:eastAsia="ru-RU"/>
        </w:rPr>
        <w:drawing>
          <wp:inline distT="0" distB="0" distL="0" distR="0" wp14:anchorId="77237115" wp14:editId="25B624F9">
            <wp:extent cx="180975" cy="228600"/>
            <wp:effectExtent l="0" t="0" r="9525"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63"/>
                    <pic:cNvPicPr>
                      <a:picLocks noChangeAspect="1" noChangeArrowheads="1"/>
                    </pic:cNvPicPr>
                  </pic:nvPicPr>
                  <pic:blipFill>
                    <a:blip r:embed="rId272" cstate="print">
                      <a:extLst>
                        <a:ext uri="{28A0092B-C50C-407E-A947-70E740481C1C}">
                          <a14:useLocalDpi xmlns:a14="http://schemas.microsoft.com/office/drawing/2010/main" val="0"/>
                        </a:ext>
                      </a:extLst>
                    </a:blip>
                    <a:srcRect/>
                    <a:stretch>
                      <a:fillRect/>
                    </a:stretch>
                  </pic:blipFill>
                  <pic:spPr bwMode="auto">
                    <a:xfrm>
                      <a:off x="0" y="0"/>
                      <a:ext cx="180975" cy="228600"/>
                    </a:xfrm>
                    <a:prstGeom prst="rect">
                      <a:avLst/>
                    </a:prstGeom>
                    <a:noFill/>
                    <a:ln>
                      <a:noFill/>
                    </a:ln>
                  </pic:spPr>
                </pic:pic>
              </a:graphicData>
            </a:graphic>
          </wp:inline>
        </w:drawing>
      </w:r>
      <w:r w:rsidRPr="00727235">
        <w:rPr>
          <w:lang w:eastAsia="ru-RU"/>
        </w:rPr>
        <w:t xml:space="preserve">, ..., </w:t>
      </w:r>
      <w:r w:rsidRPr="00727235">
        <w:rPr>
          <w:noProof/>
          <w:lang w:eastAsia="ru-RU"/>
        </w:rPr>
        <w:drawing>
          <wp:inline distT="0" distB="0" distL="0" distR="0" wp14:anchorId="57B51F20" wp14:editId="5A77F114">
            <wp:extent cx="190500" cy="228600"/>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64"/>
                    <pic:cNvPicPr>
                      <a:picLocks noChangeAspect="1" noChangeArrowheads="1"/>
                    </pic:cNvPicPr>
                  </pic:nvPicPr>
                  <pic:blipFill>
                    <a:blip r:embed="rId273" cstate="print">
                      <a:extLst>
                        <a:ext uri="{28A0092B-C50C-407E-A947-70E740481C1C}">
                          <a14:useLocalDpi xmlns:a14="http://schemas.microsoft.com/office/drawing/2010/main" val="0"/>
                        </a:ext>
                      </a:extLst>
                    </a:blip>
                    <a:srcRect/>
                    <a:stretch>
                      <a:fillRect/>
                    </a:stretch>
                  </pic:blipFill>
                  <pic:spPr bwMode="auto">
                    <a:xfrm>
                      <a:off x="0" y="0"/>
                      <a:ext cx="190500" cy="228600"/>
                    </a:xfrm>
                    <a:prstGeom prst="rect">
                      <a:avLst/>
                    </a:prstGeom>
                    <a:noFill/>
                    <a:ln>
                      <a:noFill/>
                    </a:ln>
                  </pic:spPr>
                </pic:pic>
              </a:graphicData>
            </a:graphic>
          </wp:inline>
        </w:drawing>
      </w:r>
      <w:r w:rsidRPr="00727235">
        <w:rPr>
          <w:lang w:eastAsia="ru-RU"/>
        </w:rPr>
        <w:t xml:space="preserve"> - коэффициенты модели.</w:t>
      </w:r>
    </w:p>
    <w:p w14:paraId="7D13ADAE" w14:textId="77777777" w:rsidR="00727235" w:rsidRPr="00727235" w:rsidRDefault="00727235" w:rsidP="00727235">
      <w:r w:rsidRPr="00727235">
        <w:t>В целях построения статистической модели из совокупной выборки объектов-аналогов формируются обучающая выборка, на которой проводится построение моделей, и контрольная выборка, на которой проверяется качество построенных моделей.</w:t>
      </w:r>
    </w:p>
    <w:p w14:paraId="76FAE9F0" w14:textId="77777777" w:rsidR="00727235" w:rsidRPr="00727235" w:rsidRDefault="00727235" w:rsidP="00727235">
      <w:r w:rsidRPr="00727235">
        <w:t>Формирование обучающей выборки и контрольной выборки производится следующим образом:</w:t>
      </w:r>
    </w:p>
    <w:p w14:paraId="12ED949A" w14:textId="77777777" w:rsidR="00727235" w:rsidRPr="00727235" w:rsidRDefault="00727235" w:rsidP="00727235">
      <w:pPr>
        <w:rPr>
          <w:lang w:eastAsia="ru-RU"/>
        </w:rPr>
      </w:pPr>
      <w:r w:rsidRPr="00727235">
        <w:rPr>
          <w:lang w:eastAsia="ru-RU"/>
        </w:rPr>
        <w:t>объекты исходной выборки упорядочиваются по возрастанию их зависимой переменной;</w:t>
      </w:r>
    </w:p>
    <w:p w14:paraId="3F6A8786" w14:textId="77777777" w:rsidR="00727235" w:rsidRPr="00727235" w:rsidRDefault="00727235" w:rsidP="00727235">
      <w:pPr>
        <w:rPr>
          <w:lang w:eastAsia="ru-RU"/>
        </w:rPr>
      </w:pPr>
      <w:r w:rsidRPr="00727235">
        <w:rPr>
          <w:lang w:eastAsia="ru-RU"/>
        </w:rPr>
        <w:t>из упорядоченной подобным образом выборки объекты поочередно относятся к обучающей и к контрольной выборкам.</w:t>
      </w:r>
    </w:p>
    <w:p w14:paraId="74DE06A1" w14:textId="13A9B2CB" w:rsidR="00727235" w:rsidRPr="00727235" w:rsidRDefault="00727235" w:rsidP="00727235">
      <w:r w:rsidRPr="00727235">
        <w:t xml:space="preserve">Объекты обучающей и контрольной выборок отображены в таблицах «Обучающая выборка» и «Контрольная выборка» Приложения </w:t>
      </w:r>
      <w:r w:rsidR="00334FFE">
        <w:t>2.2</w:t>
      </w:r>
      <w:r w:rsidRPr="00727235">
        <w:t xml:space="preserve"> для каждой подгруппы.</w:t>
      </w:r>
    </w:p>
    <w:p w14:paraId="04B13E5C" w14:textId="77777777" w:rsidR="00727235" w:rsidRPr="00727235" w:rsidRDefault="00727235" w:rsidP="00727235">
      <w:r w:rsidRPr="00727235">
        <w:t xml:space="preserve">В целях построения качественной статистической модели расчета кадастровой стоимости проводился статистический анализ рыночной информации. </w:t>
      </w:r>
    </w:p>
    <w:p w14:paraId="1EB20A3E" w14:textId="77777777" w:rsidR="00727235" w:rsidRPr="00727235" w:rsidRDefault="00727235" w:rsidP="00727235">
      <w:r w:rsidRPr="00727235">
        <w:t>При проведении статического анализа осуществляется:</w:t>
      </w:r>
    </w:p>
    <w:p w14:paraId="2F3FB68E" w14:textId="77777777" w:rsidR="00727235" w:rsidRPr="00727235" w:rsidRDefault="00727235" w:rsidP="00727235">
      <w:pPr>
        <w:rPr>
          <w:lang w:eastAsia="ru-RU"/>
        </w:rPr>
      </w:pPr>
      <w:r w:rsidRPr="00727235">
        <w:rPr>
          <w:lang w:eastAsia="ru-RU"/>
        </w:rPr>
        <w:t>приведение данных к сопоставимому виду;</w:t>
      </w:r>
    </w:p>
    <w:p w14:paraId="3A4B2ABF" w14:textId="77777777" w:rsidR="00727235" w:rsidRPr="00727235" w:rsidRDefault="00727235" w:rsidP="00727235">
      <w:pPr>
        <w:rPr>
          <w:lang w:eastAsia="ru-RU"/>
        </w:rPr>
      </w:pPr>
      <w:r w:rsidRPr="00727235">
        <w:rPr>
          <w:lang w:eastAsia="ru-RU"/>
        </w:rPr>
        <w:t>проверка данных на полноту по географическому признаку;</w:t>
      </w:r>
    </w:p>
    <w:p w14:paraId="70B3ADF6" w14:textId="77777777" w:rsidR="00727235" w:rsidRPr="00727235" w:rsidRDefault="00727235" w:rsidP="00727235">
      <w:pPr>
        <w:rPr>
          <w:lang w:eastAsia="ru-RU"/>
        </w:rPr>
      </w:pPr>
      <w:r w:rsidRPr="00727235">
        <w:rPr>
          <w:lang w:eastAsia="ru-RU"/>
        </w:rPr>
        <w:t>проверка данных на полноту заполнения;</w:t>
      </w:r>
    </w:p>
    <w:p w14:paraId="3825A8A2" w14:textId="77777777" w:rsidR="00727235" w:rsidRPr="00727235" w:rsidRDefault="00727235" w:rsidP="00727235">
      <w:pPr>
        <w:rPr>
          <w:lang w:eastAsia="ru-RU"/>
        </w:rPr>
      </w:pPr>
      <w:r w:rsidRPr="00727235">
        <w:rPr>
          <w:lang w:eastAsia="ru-RU"/>
        </w:rPr>
        <w:t>логический контроль: проверка данных на непротиворечивость и интерпретируемость;</w:t>
      </w:r>
    </w:p>
    <w:p w14:paraId="17C328D8" w14:textId="77777777" w:rsidR="00727235" w:rsidRPr="00727235" w:rsidRDefault="00727235" w:rsidP="00727235">
      <w:pPr>
        <w:rPr>
          <w:lang w:eastAsia="ru-RU"/>
        </w:rPr>
      </w:pPr>
      <w:r w:rsidRPr="00727235">
        <w:rPr>
          <w:lang w:eastAsia="ru-RU"/>
        </w:rPr>
        <w:t>удаление некорректных данных;</w:t>
      </w:r>
    </w:p>
    <w:p w14:paraId="35029FB7" w14:textId="77777777" w:rsidR="00727235" w:rsidRPr="00727235" w:rsidRDefault="00727235" w:rsidP="00727235">
      <w:pPr>
        <w:rPr>
          <w:lang w:eastAsia="ru-RU"/>
        </w:rPr>
      </w:pPr>
      <w:r w:rsidRPr="00727235">
        <w:rPr>
          <w:lang w:eastAsia="ru-RU"/>
        </w:rPr>
        <w:t>удаление выбросов в значениях стоимостных показателей объектов недвижимости и в значениях ценообразующих факторов;</w:t>
      </w:r>
    </w:p>
    <w:p w14:paraId="40B600A1" w14:textId="77777777" w:rsidR="00727235" w:rsidRPr="00727235" w:rsidRDefault="00727235" w:rsidP="00727235">
      <w:pPr>
        <w:rPr>
          <w:lang w:eastAsia="ru-RU"/>
        </w:rPr>
      </w:pPr>
      <w:r w:rsidRPr="00727235">
        <w:rPr>
          <w:lang w:eastAsia="ru-RU"/>
        </w:rPr>
        <w:t>проверка репрезентативности данных.</w:t>
      </w:r>
    </w:p>
    <w:p w14:paraId="2142EF77" w14:textId="77777777" w:rsidR="00727235" w:rsidRPr="00727235" w:rsidRDefault="00727235" w:rsidP="00727235">
      <w:r w:rsidRPr="00727235">
        <w:t>На основании статистического анализа определяется и устраняется информация об объектах-аналогах с выбросами в значениях рыночной стоимости и (или) значениях ценообразующих факторов, обеспечивается непротиворечивость и интерпретируемость рыночной информации, используемой для построения статистической модели расчета кадастровой стоимости объектов недвижимости, проверяется репрезентативность выборки и выбираются ценообразующие факторы для построения статистических моделей. Таким образом, в процессе моделирования выявляются объекты с недостоверной рыночной информацией (например, дешевые объекты расположены в центре города) и определяются как выбросы.</w:t>
      </w:r>
    </w:p>
    <w:p w14:paraId="1FE96CF1" w14:textId="77777777" w:rsidR="00727235" w:rsidRPr="00727235" w:rsidRDefault="00727235" w:rsidP="00727235">
      <w:r w:rsidRPr="00727235">
        <w:t>Наличие в исходной рыночной информации выбросов обусловлено рядом причин. Одна из них – недостоверные сведения об объектах-аналогах в источниках, это приводит к снижению точности рыночной информации и, как следствие, расширению диапазона значений стоимости объектов-аналогов (появляются как очень дешевые, так и очень дорогие объекты без видимых на то причин).</w:t>
      </w:r>
    </w:p>
    <w:p w14:paraId="590522AE" w14:textId="77777777" w:rsidR="00727235" w:rsidRPr="00727235" w:rsidRDefault="00727235" w:rsidP="00727235">
      <w:r w:rsidRPr="00727235">
        <w:t>Как правило, выбросы определяются в несколько этапов. Сначала на основе анализа рынка определяются верхний и нижний пределы стоимости. После этого выборка приводится к требованию репрезентативности. Одно из требований репрезентативности – равномерное распределение объектов-аналогов в ценовом диапазоне. При построении модели также удаляются из рассмотрения те объекты-аналоги, которые вносят наибольший вклад в ухудшение качества моделей.</w:t>
      </w:r>
    </w:p>
    <w:p w14:paraId="351051D7" w14:textId="77777777" w:rsidR="00727235" w:rsidRPr="00727235" w:rsidRDefault="00727235" w:rsidP="00727235">
      <w:r w:rsidRPr="00727235">
        <w:t>Также, в рамках статистического анализа выполнен анализ интерпретируемости рыночной информации на предмет соответствия характеристик объекта к его стоимости, т.е. объекты-аналоги с лучшими характеристиками местоположения, окружения и др. имеют большую стоимость, нежели объекты-аналоги с худшими аналогичными параметрами. Наличие в выборке противоречивой информации приводит к отсеву некоторых сделок. Противоречивой можно считать информацию о схожих объектах по значениям ценообразующих факторов, но существенно различающейся по цене.</w:t>
      </w:r>
    </w:p>
    <w:p w14:paraId="4E207CC5" w14:textId="77777777" w:rsidR="00727235" w:rsidRPr="00727235" w:rsidRDefault="00727235" w:rsidP="00727235">
      <w:r w:rsidRPr="00727235">
        <w:t>Результаты статистического анализа рыночной информации оформлены отчетом по форме Таблиц «Стат. анализ рынка» Приложения 4 для каждой подгруппы.</w:t>
      </w:r>
    </w:p>
    <w:p w14:paraId="4F5F7F56" w14:textId="77777777" w:rsidR="00727235" w:rsidRPr="00727235" w:rsidRDefault="00727235" w:rsidP="00727235">
      <w:r w:rsidRPr="00727235">
        <w:t>Построение статистических моделей расчета кадастровой стоимости осуществляется в следующей последовательности:</w:t>
      </w:r>
    </w:p>
    <w:p w14:paraId="1DA4E40E" w14:textId="77777777" w:rsidR="00727235" w:rsidRPr="00727235" w:rsidRDefault="00727235" w:rsidP="00727235">
      <w:pPr>
        <w:rPr>
          <w:lang w:eastAsia="ru-RU"/>
        </w:rPr>
      </w:pPr>
      <w:r w:rsidRPr="00727235">
        <w:rPr>
          <w:lang w:eastAsia="ru-RU"/>
        </w:rPr>
        <w:t>выбор ценообразующих факторов для построения моделей;</w:t>
      </w:r>
    </w:p>
    <w:p w14:paraId="59CDB072" w14:textId="77777777" w:rsidR="00727235" w:rsidRPr="00727235" w:rsidRDefault="00727235" w:rsidP="00727235">
      <w:pPr>
        <w:rPr>
          <w:lang w:eastAsia="ru-RU"/>
        </w:rPr>
      </w:pPr>
      <w:r w:rsidRPr="00727235">
        <w:rPr>
          <w:lang w:eastAsia="ru-RU"/>
        </w:rPr>
        <w:t>построение моделей расчета кадастровой стоимости объектов недвижимости каждой сформированной группы;</w:t>
      </w:r>
    </w:p>
    <w:p w14:paraId="42F6EA91" w14:textId="77777777" w:rsidR="00727235" w:rsidRPr="00727235" w:rsidRDefault="00727235" w:rsidP="00727235">
      <w:pPr>
        <w:rPr>
          <w:lang w:eastAsia="ru-RU"/>
        </w:rPr>
      </w:pPr>
      <w:r w:rsidRPr="00727235">
        <w:rPr>
          <w:lang w:eastAsia="ru-RU"/>
        </w:rPr>
        <w:t>анализ качества статистических моделей расчета кадастровой стоимости объектов недвижимости.</w:t>
      </w:r>
    </w:p>
    <w:p w14:paraId="15919EC3" w14:textId="77777777" w:rsidR="00727235" w:rsidRPr="00727235" w:rsidRDefault="00727235" w:rsidP="00727235">
      <w:r w:rsidRPr="00727235">
        <w:t>Выбор ценообразующих факторов для построения моделей может осуществляться двумя методами: экспертным и (или) корреляционно-регрессионным.</w:t>
      </w:r>
    </w:p>
    <w:p w14:paraId="0E844967" w14:textId="77777777" w:rsidR="00727235" w:rsidRPr="00727235" w:rsidRDefault="00727235" w:rsidP="00727235">
      <w:r w:rsidRPr="00727235">
        <w:t xml:space="preserve">Экспертный метод предполагает выбор ценообразующих факторов объектов оценки группы на основе экспертного мнения. </w:t>
      </w:r>
    </w:p>
    <w:p w14:paraId="0400AE7E" w14:textId="77777777" w:rsidR="00727235" w:rsidRPr="00727235" w:rsidRDefault="00727235" w:rsidP="00727235">
      <w:r w:rsidRPr="00727235">
        <w:t>Корреляционно-регрессионный метод предполагает выбор в качестве ценообразующих факторов для построения моделей тех факторов, которые в основном формируют стоимость.</w:t>
      </w:r>
    </w:p>
    <w:p w14:paraId="2932C27C" w14:textId="77777777" w:rsidR="00727235" w:rsidRPr="00727235" w:rsidRDefault="00727235" w:rsidP="00727235">
      <w:r w:rsidRPr="00727235">
        <w:t>Для построения модели ценообразующие факторы выбирались исходя из совокупности следующих критериев:</w:t>
      </w:r>
    </w:p>
    <w:p w14:paraId="1B5BD70E" w14:textId="77777777" w:rsidR="00727235" w:rsidRPr="00727235" w:rsidRDefault="00727235" w:rsidP="00727235">
      <w:r w:rsidRPr="00727235">
        <w:t>Знак коэффициента корреляции ценообразующего фактора и знак коэффициента модели не противоречат логике направления влияния ценообразующего фактора. Например, для ценообразующего фактора, характеризующего удаленность объекта от центра города коэффициент корреляции должен быть со знаком «минус», а коэффициент модели со знаком «плюс», так как существует обратная взаимосвязь между расстоянием до центра и стоимостью объекта оценки (т.е. чем больше величина данного фактора, тем ниже стоимость).</w:t>
      </w:r>
    </w:p>
    <w:p w14:paraId="2D55FCEB" w14:textId="77777777" w:rsidR="00727235" w:rsidRPr="00727235" w:rsidRDefault="00727235" w:rsidP="00727235">
      <w:r w:rsidRPr="00727235">
        <w:t xml:space="preserve">В модель включались ценообразующие факторы с коэффициентами значимости более 0,2. При этом экспертный выбор в ряде единичных случаев ценообразующих факторов с низкими значениями коэффициентов значимости обосновывается важностью учета данных факторов, влияние которых на объекты оценки было определено в процессе работ по предыдущим турам кадастровых оценок, а также на основании анализа современного рынка недвижимости. </w:t>
      </w:r>
    </w:p>
    <w:p w14:paraId="56D48C20" w14:textId="77777777" w:rsidR="00727235" w:rsidRPr="00727235" w:rsidRDefault="00727235" w:rsidP="00727235">
      <w:r w:rsidRPr="00727235">
        <w:t xml:space="preserve">Ценообразующий фактор прошел проверку на репрезентативность. Экспертный выбор в ряде случаев ценообразующих факторов обосновывается важностью учета данных факторов наряду с объективной невозможностью проведения дополнительного сбора рыночной информации или перегруппировки. </w:t>
      </w:r>
    </w:p>
    <w:p w14:paraId="33108FC7" w14:textId="77777777" w:rsidR="00727235" w:rsidRPr="00727235" w:rsidRDefault="00727235" w:rsidP="00727235">
      <w:r w:rsidRPr="00727235">
        <w:t xml:space="preserve">В случае, когда диапазон значений фактора в рыночной выборке объектов-аналогов шире диапазона значений фактора в исходной выборке объектов оценки, а также распределение значений фактора в рыночной и исходной выборках (в диапазоне их пересечения) различается незначительно, данный фактор безусловно принимается для расчетов. Это обосновывается тем, что, чем более широко представлены значения какого-либо ценообразующего фактора в рыночной выборке, тем более точно определяется функциональная зависимость стоимости земель от данного фактора. </w:t>
      </w:r>
    </w:p>
    <w:p w14:paraId="1D688B34" w14:textId="77777777" w:rsidR="00727235" w:rsidRPr="00727235" w:rsidRDefault="00727235" w:rsidP="00727235">
      <w:r w:rsidRPr="00727235">
        <w:t>Выбранный состав ценообразующих факторов приводит к максимальному значению коэффициента детерминации, с соблюдением пороговых значений остальных статистических показателей, таких как среднеквадратичная ошибка, средняя относительная погрешность, отношение суммы невязок к средней стоимости, критерий Фишера.</w:t>
      </w:r>
    </w:p>
    <w:p w14:paraId="4EB10F6C" w14:textId="77777777" w:rsidR="00727235" w:rsidRPr="00727235" w:rsidRDefault="00727235" w:rsidP="00727235">
      <w:r w:rsidRPr="00727235">
        <w:t xml:space="preserve">Проверка статистической значимости моделей на обучающей выборке (критерий Фишера). Статистическая значимость модели определяется на обучающей выборке с использованием следующей формулы (критерий Фишера): </w:t>
      </w:r>
    </w:p>
    <w:tbl>
      <w:tblPr>
        <w:tblW w:w="2574" w:type="pct"/>
        <w:jc w:val="center"/>
        <w:tblLook w:val="04A0" w:firstRow="1" w:lastRow="0" w:firstColumn="1" w:lastColumn="0" w:noHBand="0" w:noVBand="1"/>
      </w:tblPr>
      <w:tblGrid>
        <w:gridCol w:w="4962"/>
      </w:tblGrid>
      <w:tr w:rsidR="00727235" w:rsidRPr="00727235" w14:paraId="79459153" w14:textId="77777777" w:rsidTr="00727235">
        <w:trPr>
          <w:jc w:val="center"/>
        </w:trPr>
        <w:tc>
          <w:tcPr>
            <w:tcW w:w="5000" w:type="pct"/>
            <w:vAlign w:val="center"/>
          </w:tcPr>
          <w:p w14:paraId="79A991A6" w14:textId="77777777" w:rsidR="00727235" w:rsidRPr="00727235" w:rsidRDefault="00727235" w:rsidP="00727235">
            <w:r w:rsidRPr="00727235">
              <w:object w:dxaOrig="1880" w:dyaOrig="720" w14:anchorId="01496B57">
                <v:shape id="_x0000_i1027" type="#_x0000_t75" style="width:79.45pt;height:37.25pt" o:ole="">
                  <v:imagedata r:id="rId274" o:title=""/>
                </v:shape>
                <o:OLEObject Type="Embed" ProgID="Equation.3" ShapeID="_x0000_i1027" DrawAspect="Content" ObjectID="_1632071391" r:id="rId275"/>
              </w:object>
            </w:r>
            <w:r w:rsidRPr="00727235">
              <w:t>,</w:t>
            </w:r>
          </w:p>
        </w:tc>
      </w:tr>
    </w:tbl>
    <w:p w14:paraId="7CE51F73" w14:textId="77777777" w:rsidR="00727235" w:rsidRPr="00727235" w:rsidRDefault="00727235" w:rsidP="00727235">
      <w:r w:rsidRPr="00727235">
        <w:t>где N – количество объектов в обучающей выборке, m – количество ценообразующих факторов, используемых в построенной модели, R2 – коэффициент детерминации, определяемый по формуле:</w:t>
      </w:r>
    </w:p>
    <w:tbl>
      <w:tblPr>
        <w:tblW w:w="2500" w:type="pct"/>
        <w:jc w:val="center"/>
        <w:tblLook w:val="04A0" w:firstRow="1" w:lastRow="0" w:firstColumn="1" w:lastColumn="0" w:noHBand="0" w:noVBand="1"/>
      </w:tblPr>
      <w:tblGrid>
        <w:gridCol w:w="4820"/>
      </w:tblGrid>
      <w:tr w:rsidR="00727235" w:rsidRPr="00727235" w14:paraId="4A003D35" w14:textId="77777777" w:rsidTr="00727235">
        <w:trPr>
          <w:jc w:val="center"/>
        </w:trPr>
        <w:tc>
          <w:tcPr>
            <w:tcW w:w="5000" w:type="pct"/>
            <w:vAlign w:val="center"/>
          </w:tcPr>
          <w:p w14:paraId="7CF47A2E" w14:textId="77777777" w:rsidR="00727235" w:rsidRPr="00727235" w:rsidRDefault="00727235" w:rsidP="00727235">
            <w:r w:rsidRPr="00727235">
              <w:object w:dxaOrig="2360" w:dyaOrig="1359" w14:anchorId="78A7A73E">
                <v:shape id="_x0000_i1028" type="#_x0000_t75" style="width:116.7pt;height:65.8pt" o:ole="">
                  <v:imagedata r:id="rId276" o:title=""/>
                </v:shape>
                <o:OLEObject Type="Embed" ProgID="Equation.3" ShapeID="_x0000_i1028" DrawAspect="Content" ObjectID="_1632071392" r:id="rId277"/>
              </w:object>
            </w:r>
            <w:r w:rsidRPr="00727235">
              <w:t>,</w:t>
            </w:r>
          </w:p>
        </w:tc>
      </w:tr>
    </w:tbl>
    <w:p w14:paraId="0638F5E5" w14:textId="77777777" w:rsidR="00727235" w:rsidRPr="00727235" w:rsidRDefault="00727235" w:rsidP="00727235">
      <w:r w:rsidRPr="00727235">
        <w:t xml:space="preserve">где Yi – рыночная (удельная ) цена i-го объекта оценки,  </w:t>
      </w:r>
      <w:r w:rsidRPr="00727235">
        <w:object w:dxaOrig="279" w:dyaOrig="360" w14:anchorId="52C7F008">
          <v:shape id="_x0000_i1029" type="#_x0000_t75" style="width:13.65pt;height:19.85pt" o:ole="" o:bullet="t">
            <v:imagedata r:id="rId278" o:title=""/>
          </v:shape>
          <o:OLEObject Type="Embed" ProgID="Equation.3" ShapeID="_x0000_i1029" DrawAspect="Content" ObjectID="_1632071393" r:id="rId279"/>
        </w:object>
      </w:r>
      <w:r w:rsidRPr="00727235">
        <w:t>-модельная (удельная) стоимость i-го объекта оценки, Ycp – средняя рыночная цена объектов на рассматриваемой (обучающей) выборке. Модель считается статистически значимой, если найденное значение F–критерия превышает пороговое значение Fкрα; m, N-m-1 при заданном уровне значимости α=0,05 (или α=0,01). Пороговые значения F–критерия для заданных параметров α, m, N приводятся в специальных статистических таблицах</w:t>
      </w:r>
      <w:r w:rsidRPr="00727235">
        <w:footnoteReference w:id="23"/>
      </w:r>
      <w:r w:rsidRPr="00727235">
        <w:t>.</w:t>
      </w:r>
    </w:p>
    <w:p w14:paraId="523E0B49" w14:textId="77777777" w:rsidR="00727235" w:rsidRPr="00727235" w:rsidRDefault="00727235" w:rsidP="00727235">
      <w:r w:rsidRPr="00727235">
        <w:t xml:space="preserve">Статистически незначимая модель удаляется из последующего рассмотрения. </w:t>
      </w:r>
    </w:p>
    <w:p w14:paraId="3143D918" w14:textId="77777777" w:rsidR="00727235" w:rsidRPr="00727235" w:rsidRDefault="00727235" w:rsidP="00727235">
      <w:r w:rsidRPr="00727235">
        <w:t>В случае если все используемые модели оказались статистически незначимыми для данной подгруппы объектов оценки, проводится сбор дополнительной рыночной информации, и (или) перегруппировка объектов оценки на основании близости значений ценообразующих факторов и уровня цен, и (или) оценка рыночной стоимости объектов оценки рассматриваемой группы.</w:t>
      </w:r>
    </w:p>
    <w:p w14:paraId="12EC44F0" w14:textId="77777777" w:rsidR="00727235" w:rsidRPr="00727235" w:rsidRDefault="00727235" w:rsidP="00727235">
      <w:r w:rsidRPr="00727235">
        <w:t>Приведенный коэффициент детерминации R2. Значение коэффициента детерминации, R2, определенное выше, показывает долю дисперсии зависимой переменной (стоимости), объясняемую (обусловленную) используемой моделью. Считается, что чем ближе значения коэффициента детерминации к 1, тем лучше построенная модель описывает реальную зависимость стоимости от ценообразующих факторов. Известно, что увеличение количества ценообразующих факторов в модели приводит к росту значения R2 на обучающей выборке с ухудшением качества оценки на контрольной выборке (так называемый эффект переопределения модели). Чтобы избежать переопределения модели, используют так называемый приведенный коэффициент детерминации, определяемый по формуле:</w:t>
      </w:r>
    </w:p>
    <w:tbl>
      <w:tblPr>
        <w:tblW w:w="2500" w:type="pct"/>
        <w:jc w:val="center"/>
        <w:tblLook w:val="04A0" w:firstRow="1" w:lastRow="0" w:firstColumn="1" w:lastColumn="0" w:noHBand="0" w:noVBand="1"/>
      </w:tblPr>
      <w:tblGrid>
        <w:gridCol w:w="4820"/>
      </w:tblGrid>
      <w:tr w:rsidR="00727235" w:rsidRPr="00727235" w14:paraId="3D3DD4FA" w14:textId="77777777" w:rsidTr="00727235">
        <w:trPr>
          <w:jc w:val="center"/>
        </w:trPr>
        <w:tc>
          <w:tcPr>
            <w:tcW w:w="5000" w:type="pct"/>
            <w:vAlign w:val="center"/>
          </w:tcPr>
          <w:p w14:paraId="0D1D6F27" w14:textId="77777777" w:rsidR="00727235" w:rsidRPr="00727235" w:rsidRDefault="00727235" w:rsidP="00727235">
            <w:r w:rsidRPr="00727235">
              <w:object w:dxaOrig="3480" w:dyaOrig="1320" w14:anchorId="5B5047AF">
                <v:shape id="_x0000_i1030" type="#_x0000_t75" style="width:2in;height:58.35pt" o:ole="">
                  <v:imagedata r:id="rId280" o:title=""/>
                </v:shape>
                <o:OLEObject Type="Embed" ProgID="Equation.3" ShapeID="_x0000_i1030" DrawAspect="Content" ObjectID="_1632071394" r:id="rId281"/>
              </w:object>
            </w:r>
            <w:r w:rsidRPr="00727235">
              <w:t>,</w:t>
            </w:r>
          </w:p>
        </w:tc>
      </w:tr>
    </w:tbl>
    <w:p w14:paraId="0820624D" w14:textId="77777777" w:rsidR="00727235" w:rsidRPr="00727235" w:rsidRDefault="00727235" w:rsidP="00727235">
      <w:r w:rsidRPr="00727235">
        <w:t xml:space="preserve">где значения всех параметров те же, что и описано выше. </w:t>
      </w:r>
    </w:p>
    <w:p w14:paraId="5D67D187" w14:textId="77777777" w:rsidR="00727235" w:rsidRPr="00727235" w:rsidRDefault="00727235" w:rsidP="00727235">
      <w:r w:rsidRPr="00727235">
        <w:t xml:space="preserve">При оценке объектов для всех оцениваемых подгрупп приемлемыми значениями для приведенного R2 являются значения, не меньшие 0,6 для обучающей выборки и 0,6 для контрольной выборки. Волатильность значения существенно зависит от развитости соответствующего рынка недвижимости и/или наличия ценообразующих факторов, которые не могут быть учтены в рамках кадастровой (массовой) оценки. </w:t>
      </w:r>
    </w:p>
    <w:p w14:paraId="72DE12AA" w14:textId="77777777" w:rsidR="00727235" w:rsidRPr="00727235" w:rsidRDefault="00727235" w:rsidP="00727235">
      <w:r w:rsidRPr="00727235">
        <w:t>Средняя относительная погрешность оценки определяется по формуле:</w:t>
      </w:r>
    </w:p>
    <w:tbl>
      <w:tblPr>
        <w:tblW w:w="0" w:type="auto"/>
        <w:jc w:val="center"/>
        <w:tblLook w:val="04A0" w:firstRow="1" w:lastRow="0" w:firstColumn="1" w:lastColumn="0" w:noHBand="0" w:noVBand="1"/>
      </w:tblPr>
      <w:tblGrid>
        <w:gridCol w:w="991"/>
        <w:gridCol w:w="2343"/>
      </w:tblGrid>
      <w:tr w:rsidR="00727235" w:rsidRPr="00727235" w14:paraId="0E0DC22E" w14:textId="77777777" w:rsidTr="00727235">
        <w:trPr>
          <w:jc w:val="center"/>
        </w:trPr>
        <w:tc>
          <w:tcPr>
            <w:tcW w:w="991" w:type="dxa"/>
            <w:vAlign w:val="center"/>
          </w:tcPr>
          <w:p w14:paraId="4C7EEFCE" w14:textId="77777777" w:rsidR="00727235" w:rsidRPr="00727235" w:rsidRDefault="00727235" w:rsidP="00727235">
            <w:r w:rsidRPr="00727235">
              <w:sym w:font="Symbol" w:char="F064"/>
            </w:r>
            <w:r w:rsidRPr="00727235">
              <w:t>ср =</w:t>
            </w:r>
          </w:p>
        </w:tc>
        <w:tc>
          <w:tcPr>
            <w:tcW w:w="2127" w:type="dxa"/>
            <w:vAlign w:val="center"/>
          </w:tcPr>
          <w:p w14:paraId="3CC288FA" w14:textId="77777777" w:rsidR="00727235" w:rsidRPr="00727235" w:rsidRDefault="00727235" w:rsidP="00727235">
            <w:r w:rsidRPr="00727235">
              <w:object w:dxaOrig="1780" w:dyaOrig="800" w14:anchorId="31DAEA2E">
                <v:shape id="_x0000_i1031" type="#_x0000_t75" style="width:85.65pt;height:36pt" o:ole="">
                  <v:imagedata r:id="rId282" o:title=""/>
                </v:shape>
                <o:OLEObject Type="Embed" ProgID="Equation.DSMT4" ShapeID="_x0000_i1031" DrawAspect="Content" ObjectID="_1632071395" r:id="rId283"/>
              </w:object>
            </w:r>
          </w:p>
        </w:tc>
      </w:tr>
    </w:tbl>
    <w:p w14:paraId="40DF0CA4" w14:textId="77777777" w:rsidR="00727235" w:rsidRPr="00727235" w:rsidRDefault="00727235" w:rsidP="00727235">
      <w:r w:rsidRPr="00727235">
        <w:t xml:space="preserve">где N – количество объектов в рассматриваемой выборке. </w:t>
      </w:r>
    </w:p>
    <w:p w14:paraId="47F4D6AE" w14:textId="77777777" w:rsidR="00727235" w:rsidRPr="00727235" w:rsidRDefault="00727235" w:rsidP="00727235">
      <w:r w:rsidRPr="00727235">
        <w:t xml:space="preserve">Значение </w:t>
      </w:r>
      <w:r w:rsidRPr="00727235">
        <w:sym w:font="Symbol" w:char="F064"/>
      </w:r>
      <w:r w:rsidRPr="00727235">
        <w:t xml:space="preserve">ср существенно зависит от качества выборки (т.е. от дисперсии значений стоимости), которая, в свою очередь, завит от степени развитости соответствующего рынка объектов недвижимости. Так, согласно данным С.В. Грибовского, значение </w:t>
      </w:r>
      <w:r w:rsidRPr="00727235">
        <w:sym w:font="Symbol" w:char="F064"/>
      </w:r>
      <w:r w:rsidRPr="00727235">
        <w:t xml:space="preserve">ср при оценке квартир не превышает 15% для обучающей выборки и 20% для контрольной выборки. Волатильность значения </w:t>
      </w:r>
      <w:r w:rsidRPr="00727235">
        <w:sym w:font="Symbol" w:char="F064"/>
      </w:r>
      <w:r w:rsidRPr="00727235">
        <w:t xml:space="preserve">ср может существенно возрастать для различных групп объектов. Выбор порогового значения для </w:t>
      </w:r>
      <w:r w:rsidRPr="00727235">
        <w:sym w:font="Symbol" w:char="F064"/>
      </w:r>
      <w:r w:rsidRPr="00727235">
        <w:t>ср производится по результатам анализа рынка недвижимости на этапе построения статистических моделей оценки на рассматриваемом сегменте.</w:t>
      </w:r>
    </w:p>
    <w:p w14:paraId="16DCA8A8" w14:textId="77777777" w:rsidR="00727235" w:rsidRPr="00727235" w:rsidRDefault="00727235" w:rsidP="00727235">
      <w:r w:rsidRPr="00727235">
        <w:t>Для целей построения моделей для оцениваемых объектов были определены пороговые значения средней относительной погрешности оценки – не более 15% для обучающей выборки и 20% для контрольной выборки, что соответствует типичным для данной группы значениям.</w:t>
      </w:r>
    </w:p>
    <w:p w14:paraId="2A3EE789" w14:textId="77777777" w:rsidR="00727235" w:rsidRPr="00727235" w:rsidRDefault="00727235" w:rsidP="00727235">
      <w:r w:rsidRPr="00727235">
        <w:t xml:space="preserve">Среднеквадратичная ошибка оценки (standard error </w:t>
      </w:r>
      <w:r w:rsidRPr="00727235">
        <w:rPr>
          <w:lang w:val="en-US"/>
        </w:rPr>
        <w:t>of</w:t>
      </w:r>
      <w:r w:rsidRPr="00727235">
        <w:t xml:space="preserve"> estimation – SEE) определяется как:</w:t>
      </w:r>
    </w:p>
    <w:tbl>
      <w:tblPr>
        <w:tblW w:w="0" w:type="auto"/>
        <w:jc w:val="center"/>
        <w:tblLook w:val="04A0" w:firstRow="1" w:lastRow="0" w:firstColumn="1" w:lastColumn="0" w:noHBand="0" w:noVBand="1"/>
      </w:tblPr>
      <w:tblGrid>
        <w:gridCol w:w="1068"/>
        <w:gridCol w:w="2232"/>
      </w:tblGrid>
      <w:tr w:rsidR="00727235" w:rsidRPr="00727235" w14:paraId="5F534380" w14:textId="77777777" w:rsidTr="00727235">
        <w:trPr>
          <w:jc w:val="center"/>
        </w:trPr>
        <w:tc>
          <w:tcPr>
            <w:tcW w:w="991" w:type="dxa"/>
            <w:vAlign w:val="center"/>
          </w:tcPr>
          <w:p w14:paraId="4A453694" w14:textId="77777777" w:rsidR="00727235" w:rsidRPr="00727235" w:rsidRDefault="00727235" w:rsidP="00727235">
            <w:r w:rsidRPr="00727235">
              <w:t>SEE =</w:t>
            </w:r>
          </w:p>
        </w:tc>
        <w:tc>
          <w:tcPr>
            <w:tcW w:w="1844" w:type="dxa"/>
          </w:tcPr>
          <w:p w14:paraId="5C4BB45D" w14:textId="77777777" w:rsidR="00727235" w:rsidRPr="00727235" w:rsidRDefault="00727235" w:rsidP="00727235">
            <w:r w:rsidRPr="00727235">
              <w:object w:dxaOrig="1579" w:dyaOrig="1040" w14:anchorId="3656A5E0">
                <v:shape id="_x0000_i1032" type="#_x0000_t75" style="width:79.45pt;height:52.15pt" o:ole="">
                  <v:imagedata r:id="rId284" o:title=""/>
                </v:shape>
                <o:OLEObject Type="Embed" ProgID="Equation.3" ShapeID="_x0000_i1032" DrawAspect="Content" ObjectID="_1632071396" r:id="rId285"/>
              </w:object>
            </w:r>
          </w:p>
        </w:tc>
      </w:tr>
    </w:tbl>
    <w:p w14:paraId="18517F09" w14:textId="77777777" w:rsidR="00727235" w:rsidRPr="00727235" w:rsidRDefault="00727235" w:rsidP="00727235">
      <w:r w:rsidRPr="00727235">
        <w:t xml:space="preserve">По определению, если распределение невязок </w:t>
      </w:r>
      <w:r w:rsidRPr="00727235">
        <w:object w:dxaOrig="800" w:dyaOrig="380" w14:anchorId="352660EF">
          <v:shape id="_x0000_i1033" type="#_x0000_t75" style="width:43.45pt;height:19.85pt" o:ole="">
            <v:imagedata r:id="rId286" o:title=""/>
          </v:shape>
          <o:OLEObject Type="Embed" ProgID="Equation.3" ShapeID="_x0000_i1033" DrawAspect="Content" ObjectID="_1632071397" r:id="rId287"/>
        </w:object>
      </w:r>
      <w:r w:rsidRPr="00727235">
        <w:t xml:space="preserve"> в линейной модели является нормальным, до 67% модельных оценок (удельной) стоимости принадлежат «коридору» (Yср </w:t>
      </w:r>
      <w:r w:rsidRPr="00727235">
        <w:sym w:font="Symbol" w:char="F0B1"/>
      </w:r>
      <w:r w:rsidRPr="00727235">
        <w:t xml:space="preserve"> SEE). </w:t>
      </w:r>
    </w:p>
    <w:p w14:paraId="09834793" w14:textId="77777777" w:rsidR="00727235" w:rsidRPr="00727235" w:rsidRDefault="00727235" w:rsidP="00727235">
      <w:r w:rsidRPr="00727235">
        <w:t xml:space="preserve">Модель считается хорошей, если значение отношения среднеквадратичной ошибки оценки к средней стоимости удовлетворяет условию SEE/Ycp </w:t>
      </w:r>
      <w:r w:rsidRPr="00727235">
        <w:sym w:font="Symbol" w:char="F0A3"/>
      </w:r>
      <w:r w:rsidRPr="00727235">
        <w:t xml:space="preserve"> 0,2*100%.</w:t>
      </w:r>
      <w:r w:rsidRPr="00727235">
        <w:footnoteReference w:id="24"/>
      </w:r>
    </w:p>
    <w:p w14:paraId="0C5D9AF0" w14:textId="77777777" w:rsidR="00727235" w:rsidRPr="00727235" w:rsidRDefault="00727235" w:rsidP="00727235">
      <w:r w:rsidRPr="00727235">
        <w:t>Для целей построения моделей для оцениваемых объектов были определены пороговые значения среднеквадратичной ошибки оценки – не более 20% для обучающей выборки и 25% для контрольной выборки.</w:t>
      </w:r>
    </w:p>
    <w:p w14:paraId="7E0D9611" w14:textId="77777777" w:rsidR="00727235" w:rsidRPr="00727235" w:rsidRDefault="00727235" w:rsidP="00727235">
      <w:r w:rsidRPr="00727235">
        <w:t xml:space="preserve">Важным свойством указанных выше критериев качества является их взаимная зависимость, т.е. результатом выхода одного из них за допустимые пределы является в итоге ухудшение значений остальных критериев. </w:t>
      </w:r>
    </w:p>
    <w:p w14:paraId="6A4302CF" w14:textId="77777777" w:rsidR="00727235" w:rsidRPr="00727235" w:rsidRDefault="00727235" w:rsidP="00727235">
      <w:r w:rsidRPr="00727235">
        <w:t>В случае построения модели на слабо развитых рынках пороговые значения критериев могут быть ослаблены.</w:t>
      </w:r>
    </w:p>
    <w:p w14:paraId="27CFAA20" w14:textId="77777777" w:rsidR="00727235" w:rsidRPr="00727235" w:rsidRDefault="00727235" w:rsidP="00727235">
      <w:r w:rsidRPr="00727235">
        <w:t>Характеристики равномерности оценивания</w:t>
      </w:r>
    </w:p>
    <w:p w14:paraId="64BE48D1" w14:textId="77777777" w:rsidR="00727235" w:rsidRPr="00727235" w:rsidRDefault="00727235" w:rsidP="00727235">
      <w:r w:rsidRPr="00727235">
        <w:t>Коэффициент дисперсии (COD). Коэффициент дисперсии отражает среднее отклонение в процентах значений отношений стоимостей от их медианного значения и вычисляется по формуле:</w:t>
      </w:r>
    </w:p>
    <w:tbl>
      <w:tblPr>
        <w:tblW w:w="0" w:type="auto"/>
        <w:jc w:val="center"/>
        <w:tblLayout w:type="fixed"/>
        <w:tblLook w:val="04A0" w:firstRow="1" w:lastRow="0" w:firstColumn="1" w:lastColumn="0" w:noHBand="0" w:noVBand="1"/>
      </w:tblPr>
      <w:tblGrid>
        <w:gridCol w:w="993"/>
        <w:gridCol w:w="2693"/>
      </w:tblGrid>
      <w:tr w:rsidR="00727235" w:rsidRPr="00727235" w14:paraId="24E315FF" w14:textId="77777777" w:rsidTr="00727235">
        <w:trPr>
          <w:jc w:val="center"/>
        </w:trPr>
        <w:tc>
          <w:tcPr>
            <w:tcW w:w="993" w:type="dxa"/>
            <w:vAlign w:val="center"/>
          </w:tcPr>
          <w:p w14:paraId="72FC66CB" w14:textId="77777777" w:rsidR="00727235" w:rsidRPr="00727235" w:rsidRDefault="00727235" w:rsidP="00727235">
            <w:r w:rsidRPr="00727235">
              <w:t xml:space="preserve">COD =  </w:t>
            </w:r>
          </w:p>
        </w:tc>
        <w:tc>
          <w:tcPr>
            <w:tcW w:w="2693" w:type="dxa"/>
          </w:tcPr>
          <w:p w14:paraId="58007706" w14:textId="77777777" w:rsidR="00727235" w:rsidRPr="00727235" w:rsidRDefault="00727235" w:rsidP="00727235">
            <w:r w:rsidRPr="00727235">
              <w:object w:dxaOrig="2520" w:dyaOrig="1400" w14:anchorId="1C619382">
                <v:shape id="_x0000_i1034" type="#_x0000_t75" style="width:132.85pt;height:1in" o:ole="">
                  <v:imagedata r:id="rId288" o:title=""/>
                </v:shape>
                <o:OLEObject Type="Embed" ProgID="Equation.DSMT4" ShapeID="_x0000_i1034" DrawAspect="Content" ObjectID="_1632071398" r:id="rId289"/>
              </w:object>
            </w:r>
          </w:p>
        </w:tc>
      </w:tr>
    </w:tbl>
    <w:p w14:paraId="36CF91EF" w14:textId="77777777" w:rsidR="00727235" w:rsidRPr="00727235" w:rsidRDefault="00727235" w:rsidP="00727235">
      <w:r w:rsidRPr="00727235">
        <w:t>Важным свойством коэффициента дисперсии является тот факт, что его интерпретация не зависит от допущения, что отношения стоимостей имеют нормальное распределение.</w:t>
      </w:r>
    </w:p>
    <w:p w14:paraId="541E3D70" w14:textId="77777777" w:rsidR="00727235" w:rsidRPr="00727235" w:rsidRDefault="00727235" w:rsidP="00727235">
      <w:r w:rsidRPr="00727235">
        <w:t>Деление среднего абсолютного отклонения на медианное соотношение предоставляет меру разброса в процентах и, следовательно, обеспечивает относительный показатель, подходящий для сравнения с другими подобными показателями. Он также может быть сравнен со стандартными разбросами, пределы которых устанавливаются для различных типов имущества Международной ассоциацией налоговых оценщиков.</w:t>
      </w:r>
    </w:p>
    <w:p w14:paraId="2727D3B2" w14:textId="77777777" w:rsidR="00727235" w:rsidRPr="00727235" w:rsidRDefault="00727235" w:rsidP="00727235">
      <w:r w:rsidRPr="00727235">
        <w:t>Предельные значения коэффициентов разброса приведены в таблице ниже.</w:t>
      </w:r>
    </w:p>
    <w:p w14:paraId="3DF11D9E" w14:textId="77777777" w:rsidR="00727235" w:rsidRPr="00727235" w:rsidRDefault="00727235" w:rsidP="00727235"/>
    <w:p w14:paraId="660A1AF3" w14:textId="12618C1C" w:rsidR="00727235" w:rsidRPr="00727235" w:rsidRDefault="00727235" w:rsidP="00727235">
      <w:r w:rsidRPr="00727235">
        <w:t xml:space="preserve">Таблица </w:t>
      </w:r>
      <w:r w:rsidR="00A90944">
        <w:fldChar w:fldCharType="begin"/>
      </w:r>
      <w:r w:rsidR="00A90944">
        <w:instrText xml:space="preserve"> SEQ Таблица \* ARABIC </w:instrText>
      </w:r>
      <w:r w:rsidR="00A90944">
        <w:fldChar w:fldCharType="separate"/>
      </w:r>
      <w:r w:rsidR="00FD2769">
        <w:rPr>
          <w:noProof/>
        </w:rPr>
        <w:t>48</w:t>
      </w:r>
      <w:r w:rsidR="00A90944">
        <w:rPr>
          <w:noProof/>
        </w:rPr>
        <w:fldChar w:fldCharType="end"/>
      </w:r>
      <w:r w:rsidRPr="00727235">
        <w:t xml:space="preserve"> Предельные значения коэффициента разброса</w:t>
      </w:r>
      <w:r w:rsidRPr="00727235">
        <w:footnoteReference w:id="25"/>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980"/>
        <w:gridCol w:w="4819"/>
        <w:gridCol w:w="1985"/>
      </w:tblGrid>
      <w:tr w:rsidR="00727235" w:rsidRPr="00334FFE" w14:paraId="0D0C6945" w14:textId="77777777" w:rsidTr="00727235">
        <w:trPr>
          <w:tblHeader/>
          <w:jc w:val="center"/>
        </w:trPr>
        <w:tc>
          <w:tcPr>
            <w:tcW w:w="1980" w:type="dxa"/>
            <w:shd w:val="clear" w:color="auto" w:fill="BFBFBF" w:themeFill="background1" w:themeFillShade="BF"/>
            <w:vAlign w:val="center"/>
          </w:tcPr>
          <w:p w14:paraId="2CB8D357" w14:textId="77777777" w:rsidR="00727235" w:rsidRPr="00334FFE" w:rsidRDefault="00727235" w:rsidP="00334FFE">
            <w:pPr>
              <w:ind w:firstLine="0"/>
              <w:jc w:val="center"/>
              <w:rPr>
                <w:b/>
                <w:i/>
              </w:rPr>
            </w:pPr>
            <w:r w:rsidRPr="00334FFE">
              <w:rPr>
                <w:b/>
                <w:i/>
              </w:rPr>
              <w:t>Общий класс имущества</w:t>
            </w:r>
          </w:p>
        </w:tc>
        <w:tc>
          <w:tcPr>
            <w:tcW w:w="4819" w:type="dxa"/>
            <w:shd w:val="clear" w:color="auto" w:fill="BFBFBF" w:themeFill="background1" w:themeFillShade="BF"/>
            <w:vAlign w:val="center"/>
          </w:tcPr>
          <w:p w14:paraId="49907C22" w14:textId="77777777" w:rsidR="00727235" w:rsidRPr="00334FFE" w:rsidRDefault="00727235" w:rsidP="00334FFE">
            <w:pPr>
              <w:ind w:firstLine="0"/>
              <w:jc w:val="center"/>
              <w:rPr>
                <w:b/>
                <w:i/>
              </w:rPr>
            </w:pPr>
            <w:r w:rsidRPr="00334FFE">
              <w:rPr>
                <w:b/>
                <w:i/>
              </w:rPr>
              <w:t>Размер территориального образования</w:t>
            </w:r>
          </w:p>
        </w:tc>
        <w:tc>
          <w:tcPr>
            <w:tcW w:w="1985" w:type="dxa"/>
            <w:shd w:val="clear" w:color="auto" w:fill="BFBFBF" w:themeFill="background1" w:themeFillShade="BF"/>
            <w:vAlign w:val="center"/>
          </w:tcPr>
          <w:p w14:paraId="46F701C9" w14:textId="77777777" w:rsidR="00727235" w:rsidRPr="00334FFE" w:rsidRDefault="00727235" w:rsidP="00334FFE">
            <w:pPr>
              <w:ind w:firstLine="0"/>
              <w:jc w:val="center"/>
              <w:rPr>
                <w:b/>
                <w:i/>
              </w:rPr>
            </w:pPr>
            <w:r w:rsidRPr="00334FFE">
              <w:rPr>
                <w:b/>
                <w:i/>
              </w:rPr>
              <w:t>Диапазон значений коэффициента разброса</w:t>
            </w:r>
          </w:p>
        </w:tc>
      </w:tr>
      <w:tr w:rsidR="00727235" w:rsidRPr="00727235" w14:paraId="3C2BCFE1" w14:textId="77777777" w:rsidTr="00727235">
        <w:trPr>
          <w:jc w:val="center"/>
        </w:trPr>
        <w:tc>
          <w:tcPr>
            <w:tcW w:w="1980" w:type="dxa"/>
            <w:vMerge w:val="restart"/>
          </w:tcPr>
          <w:p w14:paraId="302F2919" w14:textId="77777777" w:rsidR="00727235" w:rsidRPr="00727235" w:rsidRDefault="00727235" w:rsidP="00727235">
            <w:r w:rsidRPr="00727235">
              <w:t>Улучшенное жилье (жилые дома на одну семью, кондоминиумы, передвижные [промышленно-произведенные] дома, жилье на 2-4 семьи)</w:t>
            </w:r>
          </w:p>
        </w:tc>
        <w:tc>
          <w:tcPr>
            <w:tcW w:w="4819" w:type="dxa"/>
          </w:tcPr>
          <w:p w14:paraId="1C48844B" w14:textId="77777777" w:rsidR="00727235" w:rsidRPr="00727235" w:rsidRDefault="00727235" w:rsidP="00727235">
            <w:r w:rsidRPr="00727235">
              <w:t>Очень крупные территориальные образования / густонаселенные / более новое имущество / активные рынки</w:t>
            </w:r>
          </w:p>
        </w:tc>
        <w:tc>
          <w:tcPr>
            <w:tcW w:w="1985" w:type="dxa"/>
          </w:tcPr>
          <w:p w14:paraId="2507ED6A" w14:textId="77777777" w:rsidR="00727235" w:rsidRPr="00727235" w:rsidRDefault="00727235" w:rsidP="00334FFE">
            <w:pPr>
              <w:ind w:firstLine="0"/>
              <w:jc w:val="center"/>
            </w:pPr>
            <w:r w:rsidRPr="00727235">
              <w:t>от 5,0 до 10,0</w:t>
            </w:r>
          </w:p>
        </w:tc>
      </w:tr>
      <w:tr w:rsidR="00727235" w:rsidRPr="00727235" w14:paraId="2EB6E16C" w14:textId="77777777" w:rsidTr="00727235">
        <w:trPr>
          <w:jc w:val="center"/>
        </w:trPr>
        <w:tc>
          <w:tcPr>
            <w:tcW w:w="1980" w:type="dxa"/>
            <w:vMerge/>
          </w:tcPr>
          <w:p w14:paraId="77D2B271" w14:textId="77777777" w:rsidR="00727235" w:rsidRPr="00727235" w:rsidRDefault="00727235" w:rsidP="00727235"/>
        </w:tc>
        <w:tc>
          <w:tcPr>
            <w:tcW w:w="4819" w:type="dxa"/>
          </w:tcPr>
          <w:p w14:paraId="691492BB" w14:textId="77777777" w:rsidR="00727235" w:rsidRPr="00727235" w:rsidRDefault="00727235" w:rsidP="00727235">
            <w:r w:rsidRPr="00727235">
              <w:t>Территориальные образования от крупных до средних / более старые и более новые объекты имущества / менее активные рынки</w:t>
            </w:r>
          </w:p>
        </w:tc>
        <w:tc>
          <w:tcPr>
            <w:tcW w:w="1985" w:type="dxa"/>
          </w:tcPr>
          <w:p w14:paraId="554E0F89" w14:textId="77777777" w:rsidR="00727235" w:rsidRPr="00727235" w:rsidRDefault="00727235" w:rsidP="00334FFE">
            <w:pPr>
              <w:ind w:firstLine="0"/>
              <w:jc w:val="center"/>
            </w:pPr>
            <w:r w:rsidRPr="00727235">
              <w:t>от 5,0 до 15,0</w:t>
            </w:r>
          </w:p>
        </w:tc>
      </w:tr>
      <w:tr w:rsidR="00727235" w:rsidRPr="00727235" w14:paraId="42128228" w14:textId="77777777" w:rsidTr="00727235">
        <w:trPr>
          <w:jc w:val="center"/>
        </w:trPr>
        <w:tc>
          <w:tcPr>
            <w:tcW w:w="1980" w:type="dxa"/>
            <w:vMerge/>
          </w:tcPr>
          <w:p w14:paraId="38F2C03B" w14:textId="77777777" w:rsidR="00727235" w:rsidRPr="00727235" w:rsidRDefault="00727235" w:rsidP="00727235"/>
        </w:tc>
        <w:tc>
          <w:tcPr>
            <w:tcW w:w="4819" w:type="dxa"/>
          </w:tcPr>
          <w:p w14:paraId="53C562A9" w14:textId="77777777" w:rsidR="00727235" w:rsidRPr="00727235" w:rsidRDefault="00727235" w:rsidP="00727235">
            <w:r w:rsidRPr="00727235">
              <w:t>Сельские или мелкие территориальные образования / более старое имущество / районы с депрессивными рынками</w:t>
            </w:r>
          </w:p>
        </w:tc>
        <w:tc>
          <w:tcPr>
            <w:tcW w:w="1985" w:type="dxa"/>
          </w:tcPr>
          <w:p w14:paraId="5666D552" w14:textId="77777777" w:rsidR="00727235" w:rsidRPr="00727235" w:rsidRDefault="00727235" w:rsidP="00334FFE">
            <w:pPr>
              <w:ind w:firstLine="0"/>
              <w:jc w:val="center"/>
            </w:pPr>
            <w:r w:rsidRPr="00727235">
              <w:t>от 5,0 до 20,0</w:t>
            </w:r>
          </w:p>
        </w:tc>
      </w:tr>
    </w:tbl>
    <w:p w14:paraId="5B180A6D" w14:textId="77777777" w:rsidR="00727235" w:rsidRPr="00727235" w:rsidRDefault="00727235" w:rsidP="00727235">
      <w:r w:rsidRPr="00727235">
        <w:t>Для целей построения моделей для оцениваемых объектов были определены пороговые значения коэффициента дисперсии (COD) в размере не более 20,0 для обучающей и контрольной выборок, что соответствует типичным для данной группы значениям.</w:t>
      </w:r>
    </w:p>
    <w:p w14:paraId="4454E5E4" w14:textId="77777777" w:rsidR="00727235" w:rsidRPr="00727235" w:rsidRDefault="00727235" w:rsidP="00727235">
      <w:r w:rsidRPr="00727235">
        <w:t>Дифференциал отношения стоимостей (price related differential, PRD) вычисляется по формуле:</w:t>
      </w:r>
    </w:p>
    <w:tbl>
      <w:tblPr>
        <w:tblW w:w="0" w:type="auto"/>
        <w:jc w:val="center"/>
        <w:tblLook w:val="04A0" w:firstRow="1" w:lastRow="0" w:firstColumn="1" w:lastColumn="0" w:noHBand="0" w:noVBand="1"/>
      </w:tblPr>
      <w:tblGrid>
        <w:gridCol w:w="1108"/>
        <w:gridCol w:w="1521"/>
      </w:tblGrid>
      <w:tr w:rsidR="00727235" w:rsidRPr="00727235" w14:paraId="53265A24" w14:textId="77777777" w:rsidTr="00727235">
        <w:trPr>
          <w:jc w:val="center"/>
        </w:trPr>
        <w:tc>
          <w:tcPr>
            <w:tcW w:w="991" w:type="dxa"/>
            <w:vAlign w:val="center"/>
          </w:tcPr>
          <w:p w14:paraId="0804440F" w14:textId="77777777" w:rsidR="00727235" w:rsidRPr="00727235" w:rsidRDefault="00727235" w:rsidP="00727235">
            <w:r w:rsidRPr="00727235">
              <w:t>PRD =</w:t>
            </w:r>
          </w:p>
        </w:tc>
        <w:tc>
          <w:tcPr>
            <w:tcW w:w="1135" w:type="dxa"/>
          </w:tcPr>
          <w:p w14:paraId="26B399F7" w14:textId="77777777" w:rsidR="00727235" w:rsidRPr="00727235" w:rsidRDefault="00727235" w:rsidP="00727235">
            <w:r w:rsidRPr="00727235">
              <w:object w:dxaOrig="800" w:dyaOrig="999" w14:anchorId="66649E2B">
                <v:shape id="_x0000_i1035" type="#_x0000_t75" style="width:43.45pt;height:52.15pt" o:ole="">
                  <v:imagedata r:id="rId290" o:title=""/>
                </v:shape>
                <o:OLEObject Type="Embed" ProgID="Equation.3" ShapeID="_x0000_i1035" DrawAspect="Content" ObjectID="_1632071399" r:id="rId291"/>
              </w:object>
            </w:r>
          </w:p>
        </w:tc>
      </w:tr>
    </w:tbl>
    <w:p w14:paraId="015D06E0" w14:textId="77777777" w:rsidR="00727235" w:rsidRPr="00727235" w:rsidRDefault="00727235" w:rsidP="00727235">
      <w:r w:rsidRPr="00727235">
        <w:t>Эта статистическая характеристика показывает относительный уровень смещений в налоговой оценке. PRD называется регрессивным (PRD&gt;1) при недооценке дорогих объектов по сравнению с недорогими объектами. PRD называется прогрессивным (</w:t>
      </w:r>
      <w:proofErr w:type="gramStart"/>
      <w:r w:rsidRPr="00727235">
        <w:t>PRD&lt;</w:t>
      </w:r>
      <w:proofErr w:type="gramEnd"/>
      <w:r w:rsidRPr="00727235">
        <w:t xml:space="preserve">1) при переоценке дорогих объектов. Таким образом, PRD является мерой регрессивности/прогрессивности при оценке объектов недвижимости. </w:t>
      </w:r>
    </w:p>
    <w:p w14:paraId="68DD7326" w14:textId="77777777" w:rsidR="00727235" w:rsidRPr="00727235" w:rsidRDefault="00727235" w:rsidP="00727235">
      <w:r w:rsidRPr="00727235">
        <w:t>Стандарты Международной ассоциациии налоговых оценщиков устанавливают для всех видов имущества приемлемый диапазон коэффициента дифференциации цен на уровне от 0,98 до 1,03</w:t>
      </w:r>
      <w:r w:rsidRPr="00727235">
        <w:footnoteReference w:id="26"/>
      </w:r>
      <w:r w:rsidRPr="00727235">
        <w:t>. PRD должно стремиться к 1,00. В связи с большим разбросом цен для некоторых сегментов пороговые значения PRD могут возрастать.</w:t>
      </w:r>
    </w:p>
    <w:p w14:paraId="1297665B" w14:textId="77777777" w:rsidR="00727235" w:rsidRPr="00727235" w:rsidRDefault="00727235" w:rsidP="00727235">
      <w:r w:rsidRPr="00727235">
        <w:t>Для целей построения моделей для оцениваемых объектов определено пороговое значение дифференциала отношения стоимостей в размере 1,03.</w:t>
      </w:r>
    </w:p>
    <w:p w14:paraId="553E5F10" w14:textId="77777777" w:rsidR="00727235" w:rsidRPr="00727235" w:rsidRDefault="00727235" w:rsidP="00727235">
      <w:r w:rsidRPr="00727235">
        <w:t>Однако в тех случаях, когда выборка мала или, когда на средневзвешенное значение отношения стоимостей существенное влияние оказывают несколько продажных цен, величины которых крайне резко отличаются от средних, PRD не может служить надежным критерием оценки.</w:t>
      </w:r>
    </w:p>
    <w:p w14:paraId="54D1D6E2" w14:textId="77777777" w:rsidR="00727235" w:rsidRPr="00727235" w:rsidRDefault="00727235" w:rsidP="00727235">
      <w:r w:rsidRPr="00727235">
        <w:t>Таким образом, анализ качества модели проводится на основе следующих показателей:</w:t>
      </w:r>
    </w:p>
    <w:p w14:paraId="112D6F6D" w14:textId="77777777" w:rsidR="00727235" w:rsidRPr="00727235" w:rsidRDefault="00727235" w:rsidP="00727235">
      <w:r w:rsidRPr="00727235">
        <w:t>коэффициент детерминации;</w:t>
      </w:r>
    </w:p>
    <w:p w14:paraId="17185B7A" w14:textId="77777777" w:rsidR="00727235" w:rsidRPr="00727235" w:rsidRDefault="00727235" w:rsidP="00727235">
      <w:r w:rsidRPr="00727235">
        <w:t>по коэффициенту дисперсии (COD);</w:t>
      </w:r>
    </w:p>
    <w:p w14:paraId="1C7A179C" w14:textId="77777777" w:rsidR="00727235" w:rsidRPr="00727235" w:rsidRDefault="00727235" w:rsidP="00727235">
      <w:r w:rsidRPr="00727235">
        <w:t>по среднеквадратичной ошибке оценки;</w:t>
      </w:r>
    </w:p>
    <w:p w14:paraId="12E88FAB" w14:textId="77777777" w:rsidR="00727235" w:rsidRPr="00727235" w:rsidRDefault="00727235" w:rsidP="00727235">
      <w:r w:rsidRPr="00727235">
        <w:t>по средней относительной погрешности оценки;</w:t>
      </w:r>
    </w:p>
    <w:p w14:paraId="7EDC5E58" w14:textId="77777777" w:rsidR="00727235" w:rsidRPr="00727235" w:rsidRDefault="00727235" w:rsidP="00727235">
      <w:r w:rsidRPr="00727235">
        <w:t>по ценовому дифференциалу (PRD).</w:t>
      </w:r>
    </w:p>
    <w:p w14:paraId="671C6441" w14:textId="77777777" w:rsidR="00727235" w:rsidRPr="00727235" w:rsidRDefault="00727235" w:rsidP="00727235">
      <w:r w:rsidRPr="00727235">
        <w:t>Пороговые значения критериев качества для каждой группы определяются в зависимости от:</w:t>
      </w:r>
    </w:p>
    <w:p w14:paraId="473F0F6B" w14:textId="77777777" w:rsidR="00727235" w:rsidRPr="00727235" w:rsidRDefault="00727235" w:rsidP="00727235">
      <w:r w:rsidRPr="00727235">
        <w:t>однородности объектов недвижимости в рассматриваемом сегменте;</w:t>
      </w:r>
    </w:p>
    <w:p w14:paraId="593F54BC" w14:textId="77777777" w:rsidR="00727235" w:rsidRPr="00727235" w:rsidRDefault="00727235" w:rsidP="00727235">
      <w:r w:rsidRPr="00727235">
        <w:t>количества ценообразующих факторов, которые не могут быть учтены в рамках кадастровой (массовой) оценке объектов недвижимости.</w:t>
      </w:r>
    </w:p>
    <w:p w14:paraId="6DA29A78" w14:textId="77777777" w:rsidR="00727235" w:rsidRPr="00727235" w:rsidRDefault="00727235" w:rsidP="00727235">
      <w:r w:rsidRPr="00727235">
        <w:t>В случае, если в результате отбора моделей по пороговым значениям критериев качества была отобрана более чем одна модель, то выбор модели, обладающей наилучшим качеством, может осуществляться экспертным методом или на основе приоритетов критериев качества.</w:t>
      </w:r>
    </w:p>
    <w:p w14:paraId="120CD632" w14:textId="77777777" w:rsidR="00727235" w:rsidRPr="00727235" w:rsidRDefault="00727235" w:rsidP="00727235">
      <w:r w:rsidRPr="00727235">
        <w:t>Выбор модели, обладающей наилучшим качеством, на основе приоритетов критериев качества заключается в следующем:</w:t>
      </w:r>
    </w:p>
    <w:p w14:paraId="11820586" w14:textId="77777777" w:rsidR="00727235" w:rsidRPr="00727235" w:rsidRDefault="00727235" w:rsidP="00727235">
      <w:r w:rsidRPr="00727235">
        <w:t xml:space="preserve">среди отобранных моделей находят модель с наименьшим значением средней относительной погрешности оценки </w:t>
      </w:r>
      <w:r w:rsidRPr="00727235">
        <w:object w:dxaOrig="340" w:dyaOrig="380" w14:anchorId="3D14BD73">
          <v:shape id="_x0000_i1036" type="#_x0000_t75" style="width:19.85pt;height:13.65pt" o:ole="">
            <v:imagedata r:id="rId292" o:title=""/>
          </v:shape>
          <o:OLEObject Type="Embed" ProgID="Equation.3" ShapeID="_x0000_i1036" DrawAspect="Content" ObjectID="_1632071400" r:id="rId293"/>
        </w:object>
      </w:r>
      <w:r w:rsidRPr="00727235">
        <w:t xml:space="preserve">для обучающей выборки и модели с показателем </w:t>
      </w:r>
      <w:r w:rsidRPr="00727235">
        <w:object w:dxaOrig="340" w:dyaOrig="380" w14:anchorId="5FB4B8D8">
          <v:shape id="_x0000_i1037" type="#_x0000_t75" style="width:19.85pt;height:13.65pt" o:ole="">
            <v:imagedata r:id="rId292" o:title=""/>
          </v:shape>
          <o:OLEObject Type="Embed" ProgID="Equation.3" ShapeID="_x0000_i1037" DrawAspect="Content" ObjectID="_1632071401" r:id="rId294"/>
        </w:object>
      </w:r>
      <w:r w:rsidRPr="00727235">
        <w:t xml:space="preserve"> для контрольной выборки, отличающихся от минимального не более чем на 15%;</w:t>
      </w:r>
    </w:p>
    <w:p w14:paraId="441A927D" w14:textId="77777777" w:rsidR="00727235" w:rsidRPr="00727235" w:rsidRDefault="00727235" w:rsidP="00727235">
      <w:r w:rsidRPr="00727235">
        <w:t>далее, в случае если была отобрана более чем одна модель, отбирают модель с наибольшим значением критерия Фишера для контрольной выборки, а также модели, критерий Фишера которых для контрольной выборки отличается от наибольшего не более чем на 15%;</w:t>
      </w:r>
    </w:p>
    <w:p w14:paraId="4A7290B6" w14:textId="77777777" w:rsidR="00727235" w:rsidRPr="00727235" w:rsidRDefault="00727235" w:rsidP="00727235">
      <w:r w:rsidRPr="00727235">
        <w:t>далее в случае если была отобрана более чем одна модель, отбирается модель с меньшим значением отношения среднеквадратичной ошибки оценки SEE к средней стоимости для контрольной выборки.</w:t>
      </w:r>
    </w:p>
    <w:p w14:paraId="28268503" w14:textId="77777777" w:rsidR="00727235" w:rsidRPr="00727235" w:rsidRDefault="00727235" w:rsidP="00727235">
      <w:r w:rsidRPr="00727235">
        <w:t>Экспертный метод выбора модели, обладающей наилучшим качеством, может осуществляться в том случае, если выбранная модель на основе приоритетов критериев качества не позволяет рассчитать кадастровую стоимость, соответствующую тенденциям рынка недвижимости. К таким несоответствиям могут относиться:</w:t>
      </w:r>
    </w:p>
    <w:p w14:paraId="68C99755" w14:textId="77777777" w:rsidR="00727235" w:rsidRPr="00727235" w:rsidRDefault="00727235" w:rsidP="00727235">
      <w:r w:rsidRPr="00727235">
        <w:t>отрицательная стоимость;</w:t>
      </w:r>
    </w:p>
    <w:p w14:paraId="18BF9084" w14:textId="77777777" w:rsidR="00727235" w:rsidRPr="00727235" w:rsidRDefault="00727235" w:rsidP="00727235">
      <w:r w:rsidRPr="00727235">
        <w:t>резкое изменение кадастровой стоимости в приграничных значениях ценообразующих факторов;</w:t>
      </w:r>
    </w:p>
    <w:p w14:paraId="0817DC5E" w14:textId="77777777" w:rsidR="00727235" w:rsidRPr="00727235" w:rsidRDefault="00727235" w:rsidP="00727235">
      <w:r w:rsidRPr="00727235">
        <w:t>несоответствие влияния ценообразующего фактора на стоимость.</w:t>
      </w:r>
    </w:p>
    <w:p w14:paraId="166DAF68" w14:textId="77777777" w:rsidR="00727235" w:rsidRPr="00727235" w:rsidRDefault="00727235" w:rsidP="00727235">
      <w:r w:rsidRPr="00727235">
        <w:t>Также, в случае если улучшение показателей качества модели может быть достигнуто только путем удаления из рассмотрения значительного количества объектов-аналогов и так, что репрезентативность рыночной информации по ценообразующим факторам теряется, пороговые значения критериев качества определяются экспертно и для каждой из групп индивидуально.</w:t>
      </w:r>
    </w:p>
    <w:p w14:paraId="08EEF789" w14:textId="77777777" w:rsidR="00727235" w:rsidRPr="00727235" w:rsidRDefault="00727235" w:rsidP="00727235">
      <w:r w:rsidRPr="00727235">
        <w:t>Вместе с формальным анализом качества (на основе вышеуказанных статистических показателей) проводится логический анализ, заключающийся в:</w:t>
      </w:r>
    </w:p>
    <w:p w14:paraId="529AF293" w14:textId="77777777" w:rsidR="00727235" w:rsidRPr="00727235" w:rsidRDefault="00727235" w:rsidP="00727235">
      <w:r w:rsidRPr="00727235">
        <w:t>проверке интерпретирумости влияния факторов в модели;</w:t>
      </w:r>
    </w:p>
    <w:p w14:paraId="1D58C6E6" w14:textId="77777777" w:rsidR="00727235" w:rsidRPr="00727235" w:rsidRDefault="00727235" w:rsidP="00727235">
      <w:r w:rsidRPr="00727235">
        <w:t>сравнении средних кадастровых и рыночных стоимостей.</w:t>
      </w:r>
    </w:p>
    <w:p w14:paraId="71D322B2" w14:textId="77777777" w:rsidR="00727235" w:rsidRPr="00727235" w:rsidRDefault="00727235" w:rsidP="00727235">
      <w:r w:rsidRPr="00727235">
        <w:t xml:space="preserve">В соответствии с вышеизложенным порядком выполнено построение статистических моделей. </w:t>
      </w:r>
    </w:p>
    <w:p w14:paraId="4BE6E8E5" w14:textId="77777777" w:rsidR="00727235" w:rsidRPr="00727235" w:rsidRDefault="00727235" w:rsidP="00727235">
      <w:r w:rsidRPr="00727235">
        <w:t>На основе построенных статистических моделей, прошедших анализ качества, выполнен расчет кадастровой стоимости.</w:t>
      </w:r>
    </w:p>
    <w:p w14:paraId="7481781F" w14:textId="77777777" w:rsidR="00727235" w:rsidRPr="00727235" w:rsidRDefault="00727235" w:rsidP="00727235">
      <w:r w:rsidRPr="00727235">
        <w:t>Описание построенных статистических моделей для каждой подгруппы представлено ниже</w:t>
      </w:r>
      <w:r w:rsidRPr="00727235">
        <w:footnoteReference w:id="27"/>
      </w:r>
      <w:r w:rsidRPr="00727235">
        <w:t>.</w:t>
      </w:r>
    </w:p>
    <w:p w14:paraId="25EA42C9" w14:textId="77777777" w:rsidR="00727235" w:rsidRPr="00727235" w:rsidRDefault="00727235" w:rsidP="00727235">
      <w:bookmarkStart w:id="126" w:name="_Toc530400488"/>
      <w:r w:rsidRPr="00727235">
        <w:t>Определение ценообразующих факторов, оказывающих влияние на стоимость объектов недвижимости группы 1</w:t>
      </w:r>
      <w:bookmarkEnd w:id="126"/>
      <w:r w:rsidRPr="00727235">
        <w:t>-3</w:t>
      </w:r>
    </w:p>
    <w:p w14:paraId="2710E6DF" w14:textId="77777777" w:rsidR="00727235" w:rsidRPr="00727235" w:rsidRDefault="00727235" w:rsidP="00727235"/>
    <w:p w14:paraId="4E75C849" w14:textId="77777777" w:rsidR="00727235" w:rsidRPr="00727235" w:rsidRDefault="00727235" w:rsidP="00727235">
      <w:r w:rsidRPr="00727235">
        <w:t>В соответствии с анализом рынка недвижимости стоимость объектов недвижимости определяется исходя из целого ряда факторов. Учитываются характеристики физических, экономических, социальных, политических, административных, юридических факторов.</w:t>
      </w:r>
    </w:p>
    <w:p w14:paraId="1791791B" w14:textId="77777777" w:rsidR="00727235" w:rsidRPr="00727235" w:rsidRDefault="00727235" w:rsidP="00727235">
      <w:r w:rsidRPr="00727235">
        <w:t xml:space="preserve">Существует множество ценообразующих факторов, одни из которых уменьшают или увеличивают стоимость квадратного метра незначительно, а другие имеют существенное влияние. </w:t>
      </w:r>
    </w:p>
    <w:p w14:paraId="42DFB974" w14:textId="77777777" w:rsidR="00727235" w:rsidRPr="00727235" w:rsidRDefault="00727235" w:rsidP="00727235">
      <w:r w:rsidRPr="00727235">
        <w:t xml:space="preserve">Примерный перечень ценообразующих факторов для объектов капитального строительства приведен в Приложении 3 Методических указаний. </w:t>
      </w:r>
    </w:p>
    <w:p w14:paraId="1BDA7D45" w14:textId="77777777" w:rsidR="00727235" w:rsidRPr="00727235" w:rsidRDefault="00727235" w:rsidP="00727235">
      <w:r w:rsidRPr="00727235">
        <w:t>В соответствии с Методическими указаниями и проведенным анализом рынка для оцениваемых подгрупп выбраны следующие ценообразующие факторы, оказывающие влияние на стоимость оцениваемых объектов недвижимости:</w:t>
      </w:r>
    </w:p>
    <w:p w14:paraId="280489A6" w14:textId="77777777" w:rsidR="00727235" w:rsidRPr="00727235" w:rsidRDefault="00727235" w:rsidP="00727235"/>
    <w:p w14:paraId="51216704" w14:textId="199ACEA1" w:rsidR="00727235" w:rsidRPr="00A036DD" w:rsidRDefault="00727235" w:rsidP="00727235">
      <w:pPr>
        <w:rPr>
          <w:lang w:eastAsia="ru-RU"/>
        </w:rPr>
      </w:pPr>
      <w:r w:rsidRPr="00A036DD">
        <w:rPr>
          <w:lang w:eastAsia="ru-RU"/>
        </w:rPr>
        <w:t xml:space="preserve">Таблица </w:t>
      </w:r>
      <w:r w:rsidRPr="00A036DD">
        <w:rPr>
          <w:lang w:eastAsia="ru-RU"/>
        </w:rPr>
        <w:fldChar w:fldCharType="begin"/>
      </w:r>
      <w:r w:rsidRPr="00A036DD">
        <w:rPr>
          <w:lang w:eastAsia="ru-RU"/>
        </w:rPr>
        <w:instrText xml:space="preserve"> SEQ Таблица \* ARABIC </w:instrText>
      </w:r>
      <w:r w:rsidRPr="00A036DD">
        <w:rPr>
          <w:lang w:eastAsia="ru-RU"/>
        </w:rPr>
        <w:fldChar w:fldCharType="separate"/>
      </w:r>
      <w:r w:rsidR="00FD2769">
        <w:rPr>
          <w:noProof/>
          <w:lang w:eastAsia="ru-RU"/>
        </w:rPr>
        <w:t>49</w:t>
      </w:r>
      <w:r w:rsidRPr="00A036DD">
        <w:rPr>
          <w:lang w:eastAsia="ru-RU"/>
        </w:rPr>
        <w:fldChar w:fldCharType="end"/>
      </w:r>
      <w:r w:rsidRPr="00A036DD">
        <w:rPr>
          <w:lang w:eastAsia="ru-RU"/>
        </w:rPr>
        <w:t xml:space="preserve"> Перечень ценообразующих факторов, оказывающих влияние на стоимость объектов не</w:t>
      </w:r>
      <w:r w:rsidR="00960A20" w:rsidRPr="00A036DD">
        <w:rPr>
          <w:lang w:eastAsia="ru-RU"/>
        </w:rPr>
        <w:t>движимости оцениваемых подгрупп</w:t>
      </w:r>
    </w:p>
    <w:tbl>
      <w:tblPr>
        <w:tblW w:w="9639" w:type="dxa"/>
        <w:tblInd w:w="-5" w:type="dxa"/>
        <w:tblLook w:val="04A0" w:firstRow="1" w:lastRow="0" w:firstColumn="1" w:lastColumn="0" w:noHBand="0" w:noVBand="1"/>
      </w:tblPr>
      <w:tblGrid>
        <w:gridCol w:w="993"/>
        <w:gridCol w:w="8646"/>
      </w:tblGrid>
      <w:tr w:rsidR="00960A20" w:rsidRPr="00CF4825" w14:paraId="60AD1C65" w14:textId="77777777" w:rsidTr="00960A20">
        <w:trPr>
          <w:trHeight w:val="20"/>
          <w:tblHeader/>
        </w:trPr>
        <w:tc>
          <w:tcPr>
            <w:tcW w:w="993"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64002EE1" w14:textId="77777777" w:rsidR="00960A20" w:rsidRPr="00CF779D" w:rsidRDefault="00960A20" w:rsidP="00877D91">
            <w:pPr>
              <w:ind w:firstLine="30"/>
              <w:rPr>
                <w:b/>
                <w:lang w:eastAsia="ru-RU"/>
              </w:rPr>
            </w:pPr>
            <w:r w:rsidRPr="00CF779D">
              <w:rPr>
                <w:b/>
                <w:lang w:eastAsia="ru-RU"/>
              </w:rPr>
              <w:t>№ п/п</w:t>
            </w:r>
          </w:p>
        </w:tc>
        <w:tc>
          <w:tcPr>
            <w:tcW w:w="8646" w:type="dxa"/>
            <w:tcBorders>
              <w:top w:val="single" w:sz="4" w:space="0" w:color="000000"/>
              <w:left w:val="nil"/>
              <w:bottom w:val="single" w:sz="4" w:space="0" w:color="000000"/>
              <w:right w:val="single" w:sz="4" w:space="0" w:color="000000"/>
            </w:tcBorders>
            <w:shd w:val="clear" w:color="auto" w:fill="auto"/>
            <w:vAlign w:val="center"/>
            <w:hideMark/>
          </w:tcPr>
          <w:p w14:paraId="76136240" w14:textId="77777777" w:rsidR="00960A20" w:rsidRPr="00CF779D" w:rsidRDefault="00960A20" w:rsidP="00877D91">
            <w:pPr>
              <w:ind w:firstLine="30"/>
              <w:rPr>
                <w:b/>
                <w:lang w:eastAsia="ru-RU"/>
              </w:rPr>
            </w:pPr>
            <w:r w:rsidRPr="00CF779D">
              <w:rPr>
                <w:b/>
                <w:lang w:eastAsia="ru-RU"/>
              </w:rPr>
              <w:t>Наименование фактора стоимости</w:t>
            </w:r>
          </w:p>
        </w:tc>
      </w:tr>
      <w:tr w:rsidR="00960A20" w:rsidRPr="00727235" w14:paraId="78969DD1" w14:textId="77777777" w:rsidTr="00960A20">
        <w:trPr>
          <w:trHeight w:val="20"/>
        </w:trPr>
        <w:tc>
          <w:tcPr>
            <w:tcW w:w="993" w:type="dxa"/>
            <w:tcBorders>
              <w:top w:val="nil"/>
              <w:left w:val="single" w:sz="4" w:space="0" w:color="000000"/>
              <w:bottom w:val="single" w:sz="4" w:space="0" w:color="000000"/>
              <w:right w:val="single" w:sz="4" w:space="0" w:color="000000"/>
            </w:tcBorders>
            <w:shd w:val="clear" w:color="auto" w:fill="auto"/>
            <w:vAlign w:val="center"/>
            <w:hideMark/>
          </w:tcPr>
          <w:p w14:paraId="6C27454D" w14:textId="4773F22C" w:rsidR="00960A20" w:rsidRPr="00CF779D" w:rsidRDefault="00960A20" w:rsidP="00960A20">
            <w:pPr>
              <w:rPr>
                <w:lang w:eastAsia="ru-RU"/>
              </w:rPr>
            </w:pPr>
          </w:p>
        </w:tc>
        <w:tc>
          <w:tcPr>
            <w:tcW w:w="8646" w:type="dxa"/>
            <w:tcBorders>
              <w:top w:val="nil"/>
              <w:left w:val="nil"/>
              <w:bottom w:val="single" w:sz="4" w:space="0" w:color="000000"/>
              <w:right w:val="single" w:sz="4" w:space="0" w:color="000000"/>
            </w:tcBorders>
            <w:shd w:val="clear" w:color="auto" w:fill="auto"/>
            <w:vAlign w:val="center"/>
            <w:hideMark/>
          </w:tcPr>
          <w:p w14:paraId="399A896B" w14:textId="2BEE8FDE" w:rsidR="00960A20" w:rsidRPr="00CF779D" w:rsidRDefault="00960A20" w:rsidP="00960A20">
            <w:pPr>
              <w:ind w:firstLine="0"/>
              <w:rPr>
                <w:i/>
                <w:lang w:eastAsia="ru-RU"/>
              </w:rPr>
            </w:pPr>
            <w:r w:rsidRPr="00CF779D">
              <w:rPr>
                <w:i/>
                <w:lang w:eastAsia="ru-RU"/>
              </w:rPr>
              <w:t>Группа 1 код подгруппы 1.8</w:t>
            </w:r>
          </w:p>
        </w:tc>
      </w:tr>
      <w:tr w:rsidR="00454437" w:rsidRPr="00727235" w14:paraId="73D31721" w14:textId="77777777" w:rsidTr="00960A20">
        <w:trPr>
          <w:trHeight w:val="20"/>
        </w:trPr>
        <w:tc>
          <w:tcPr>
            <w:tcW w:w="993" w:type="dxa"/>
            <w:tcBorders>
              <w:top w:val="nil"/>
              <w:left w:val="single" w:sz="4" w:space="0" w:color="000000"/>
              <w:bottom w:val="single" w:sz="4" w:space="0" w:color="000000"/>
              <w:right w:val="single" w:sz="4" w:space="0" w:color="000000"/>
            </w:tcBorders>
            <w:shd w:val="clear" w:color="auto" w:fill="auto"/>
            <w:vAlign w:val="center"/>
          </w:tcPr>
          <w:p w14:paraId="453153DC" w14:textId="1F501B73" w:rsidR="00454437" w:rsidRPr="00CF779D" w:rsidRDefault="00454437" w:rsidP="00454437">
            <w:pPr>
              <w:rPr>
                <w:lang w:eastAsia="ru-RU"/>
              </w:rPr>
            </w:pPr>
            <w:r w:rsidRPr="00CF779D">
              <w:rPr>
                <w:lang w:eastAsia="ru-RU"/>
              </w:rPr>
              <w:t>1</w:t>
            </w:r>
          </w:p>
        </w:tc>
        <w:tc>
          <w:tcPr>
            <w:tcW w:w="8646" w:type="dxa"/>
            <w:tcBorders>
              <w:top w:val="nil"/>
              <w:left w:val="nil"/>
              <w:bottom w:val="single" w:sz="4" w:space="0" w:color="000000"/>
              <w:right w:val="single" w:sz="4" w:space="0" w:color="000000"/>
            </w:tcBorders>
            <w:shd w:val="clear" w:color="auto" w:fill="auto"/>
            <w:vAlign w:val="center"/>
            <w:hideMark/>
          </w:tcPr>
          <w:p w14:paraId="106AFF5C" w14:textId="4A755179" w:rsidR="00454437" w:rsidRPr="00CF779D" w:rsidRDefault="00454437" w:rsidP="00454437">
            <w:pPr>
              <w:ind w:firstLine="0"/>
              <w:rPr>
                <w:lang w:eastAsia="ru-RU"/>
              </w:rPr>
            </w:pPr>
            <w:r w:rsidRPr="00CF779D">
              <w:t>Газоснабжение</w:t>
            </w:r>
          </w:p>
        </w:tc>
      </w:tr>
      <w:tr w:rsidR="00454437" w:rsidRPr="00727235" w14:paraId="1AECC33E" w14:textId="77777777" w:rsidTr="00960A20">
        <w:trPr>
          <w:trHeight w:val="20"/>
        </w:trPr>
        <w:tc>
          <w:tcPr>
            <w:tcW w:w="993" w:type="dxa"/>
            <w:tcBorders>
              <w:top w:val="nil"/>
              <w:left w:val="single" w:sz="4" w:space="0" w:color="000000"/>
              <w:bottom w:val="single" w:sz="4" w:space="0" w:color="000000"/>
              <w:right w:val="single" w:sz="4" w:space="0" w:color="000000"/>
            </w:tcBorders>
            <w:shd w:val="clear" w:color="auto" w:fill="auto"/>
            <w:vAlign w:val="center"/>
          </w:tcPr>
          <w:p w14:paraId="042B3B5D" w14:textId="4DD483DD" w:rsidR="00454437" w:rsidRPr="00CF779D" w:rsidRDefault="00454437" w:rsidP="00454437">
            <w:pPr>
              <w:rPr>
                <w:lang w:eastAsia="ru-RU"/>
              </w:rPr>
            </w:pPr>
            <w:r w:rsidRPr="00CF779D">
              <w:rPr>
                <w:lang w:eastAsia="ru-RU"/>
              </w:rPr>
              <w:t>2</w:t>
            </w:r>
          </w:p>
        </w:tc>
        <w:tc>
          <w:tcPr>
            <w:tcW w:w="8646" w:type="dxa"/>
            <w:tcBorders>
              <w:top w:val="nil"/>
              <w:left w:val="nil"/>
              <w:bottom w:val="single" w:sz="4" w:space="0" w:color="000000"/>
              <w:right w:val="single" w:sz="4" w:space="0" w:color="000000"/>
            </w:tcBorders>
            <w:shd w:val="clear" w:color="auto" w:fill="auto"/>
            <w:vAlign w:val="center"/>
            <w:hideMark/>
          </w:tcPr>
          <w:p w14:paraId="09910155" w14:textId="13B467F6" w:rsidR="00454437" w:rsidRPr="00CF779D" w:rsidRDefault="00454437" w:rsidP="00454437">
            <w:pPr>
              <w:ind w:firstLine="0"/>
              <w:rPr>
                <w:lang w:eastAsia="ru-RU"/>
              </w:rPr>
            </w:pPr>
            <w:r w:rsidRPr="00CF779D">
              <w:t>Канализация</w:t>
            </w:r>
          </w:p>
        </w:tc>
      </w:tr>
      <w:tr w:rsidR="00454437" w:rsidRPr="00727235" w14:paraId="25FF0B02" w14:textId="77777777" w:rsidTr="00960A20">
        <w:trPr>
          <w:trHeight w:val="20"/>
        </w:trPr>
        <w:tc>
          <w:tcPr>
            <w:tcW w:w="993" w:type="dxa"/>
            <w:tcBorders>
              <w:top w:val="nil"/>
              <w:left w:val="single" w:sz="4" w:space="0" w:color="000000"/>
              <w:bottom w:val="single" w:sz="4" w:space="0" w:color="000000"/>
              <w:right w:val="single" w:sz="4" w:space="0" w:color="000000"/>
            </w:tcBorders>
            <w:shd w:val="clear" w:color="auto" w:fill="auto"/>
            <w:vAlign w:val="center"/>
          </w:tcPr>
          <w:p w14:paraId="080ADF31" w14:textId="12F3C3CD" w:rsidR="00454437" w:rsidRPr="00CF779D" w:rsidRDefault="00454437" w:rsidP="00454437">
            <w:pPr>
              <w:rPr>
                <w:lang w:eastAsia="ru-RU"/>
              </w:rPr>
            </w:pPr>
            <w:r w:rsidRPr="00CF779D">
              <w:rPr>
                <w:lang w:eastAsia="ru-RU"/>
              </w:rPr>
              <w:t>3</w:t>
            </w:r>
          </w:p>
        </w:tc>
        <w:tc>
          <w:tcPr>
            <w:tcW w:w="8646" w:type="dxa"/>
            <w:tcBorders>
              <w:top w:val="nil"/>
              <w:left w:val="nil"/>
              <w:bottom w:val="single" w:sz="4" w:space="0" w:color="000000"/>
              <w:right w:val="single" w:sz="4" w:space="0" w:color="000000"/>
            </w:tcBorders>
            <w:shd w:val="clear" w:color="auto" w:fill="auto"/>
            <w:vAlign w:val="center"/>
            <w:hideMark/>
          </w:tcPr>
          <w:p w14:paraId="24212116" w14:textId="5A946FC0" w:rsidR="00454437" w:rsidRPr="00CF779D" w:rsidRDefault="00454437" w:rsidP="00454437">
            <w:pPr>
              <w:ind w:firstLine="0"/>
              <w:rPr>
                <w:lang w:eastAsia="ru-RU"/>
              </w:rPr>
            </w:pPr>
            <w:r w:rsidRPr="00CF779D">
              <w:t>Материал стен</w:t>
            </w:r>
          </w:p>
        </w:tc>
      </w:tr>
      <w:tr w:rsidR="00454437" w:rsidRPr="00727235" w14:paraId="0022B149" w14:textId="77777777" w:rsidTr="00960A20">
        <w:trPr>
          <w:trHeight w:val="20"/>
        </w:trPr>
        <w:tc>
          <w:tcPr>
            <w:tcW w:w="993" w:type="dxa"/>
            <w:tcBorders>
              <w:top w:val="nil"/>
              <w:left w:val="single" w:sz="4" w:space="0" w:color="000000"/>
              <w:bottom w:val="single" w:sz="4" w:space="0" w:color="000000"/>
              <w:right w:val="single" w:sz="4" w:space="0" w:color="000000"/>
            </w:tcBorders>
            <w:shd w:val="clear" w:color="auto" w:fill="auto"/>
            <w:vAlign w:val="center"/>
          </w:tcPr>
          <w:p w14:paraId="4456002D" w14:textId="47A0F5C6" w:rsidR="00454437" w:rsidRPr="00CF779D" w:rsidRDefault="00454437" w:rsidP="00454437">
            <w:pPr>
              <w:rPr>
                <w:lang w:eastAsia="ru-RU"/>
              </w:rPr>
            </w:pPr>
            <w:r w:rsidRPr="00CF779D">
              <w:rPr>
                <w:lang w:eastAsia="ru-RU"/>
              </w:rPr>
              <w:t>4</w:t>
            </w:r>
          </w:p>
        </w:tc>
        <w:tc>
          <w:tcPr>
            <w:tcW w:w="8646" w:type="dxa"/>
            <w:tcBorders>
              <w:top w:val="nil"/>
              <w:left w:val="nil"/>
              <w:bottom w:val="single" w:sz="4" w:space="0" w:color="000000"/>
              <w:right w:val="single" w:sz="4" w:space="0" w:color="000000"/>
            </w:tcBorders>
            <w:shd w:val="clear" w:color="auto" w:fill="auto"/>
            <w:vAlign w:val="center"/>
            <w:hideMark/>
          </w:tcPr>
          <w:p w14:paraId="32519DE2" w14:textId="2D882EF3" w:rsidR="00454437" w:rsidRPr="00CF779D" w:rsidRDefault="00454437" w:rsidP="00454437">
            <w:pPr>
              <w:ind w:firstLine="0"/>
              <w:rPr>
                <w:lang w:eastAsia="ru-RU"/>
              </w:rPr>
            </w:pPr>
            <w:r w:rsidRPr="00CF779D">
              <w:t>Номер этажа</w:t>
            </w:r>
          </w:p>
        </w:tc>
      </w:tr>
      <w:tr w:rsidR="00454437" w:rsidRPr="00727235" w14:paraId="1EECDC51" w14:textId="77777777" w:rsidTr="00960A20">
        <w:trPr>
          <w:trHeight w:val="20"/>
        </w:trPr>
        <w:tc>
          <w:tcPr>
            <w:tcW w:w="993" w:type="dxa"/>
            <w:tcBorders>
              <w:top w:val="nil"/>
              <w:left w:val="single" w:sz="4" w:space="0" w:color="000000"/>
              <w:bottom w:val="single" w:sz="4" w:space="0" w:color="000000"/>
              <w:right w:val="single" w:sz="4" w:space="0" w:color="000000"/>
            </w:tcBorders>
            <w:shd w:val="clear" w:color="auto" w:fill="auto"/>
            <w:vAlign w:val="center"/>
          </w:tcPr>
          <w:p w14:paraId="4DF7EA40" w14:textId="1459C71C" w:rsidR="00454437" w:rsidRPr="00CF779D" w:rsidRDefault="00454437" w:rsidP="00454437">
            <w:pPr>
              <w:rPr>
                <w:lang w:eastAsia="ru-RU"/>
              </w:rPr>
            </w:pPr>
            <w:r w:rsidRPr="00CF779D">
              <w:rPr>
                <w:lang w:eastAsia="ru-RU"/>
              </w:rPr>
              <w:t>5</w:t>
            </w:r>
          </w:p>
        </w:tc>
        <w:tc>
          <w:tcPr>
            <w:tcW w:w="8646" w:type="dxa"/>
            <w:tcBorders>
              <w:top w:val="nil"/>
              <w:left w:val="nil"/>
              <w:bottom w:val="single" w:sz="4" w:space="0" w:color="000000"/>
              <w:right w:val="single" w:sz="4" w:space="0" w:color="000000"/>
            </w:tcBorders>
            <w:shd w:val="clear" w:color="auto" w:fill="auto"/>
            <w:vAlign w:val="center"/>
            <w:hideMark/>
          </w:tcPr>
          <w:p w14:paraId="3AE283F3" w14:textId="6644D5D6" w:rsidR="00454437" w:rsidRPr="00CF779D" w:rsidRDefault="00454437" w:rsidP="00454437">
            <w:pPr>
              <w:ind w:firstLine="0"/>
              <w:rPr>
                <w:lang w:eastAsia="ru-RU"/>
              </w:rPr>
            </w:pPr>
            <w:r w:rsidRPr="00CF779D">
              <w:t>Расстояние до ближайшей из основных дорог города</w:t>
            </w:r>
          </w:p>
        </w:tc>
      </w:tr>
      <w:tr w:rsidR="00454437" w:rsidRPr="00727235" w14:paraId="327BF682" w14:textId="77777777" w:rsidTr="00960A20">
        <w:trPr>
          <w:trHeight w:val="20"/>
        </w:trPr>
        <w:tc>
          <w:tcPr>
            <w:tcW w:w="993" w:type="dxa"/>
            <w:tcBorders>
              <w:top w:val="nil"/>
              <w:left w:val="single" w:sz="4" w:space="0" w:color="000000"/>
              <w:bottom w:val="single" w:sz="4" w:space="0" w:color="000000"/>
              <w:right w:val="single" w:sz="4" w:space="0" w:color="000000"/>
            </w:tcBorders>
            <w:shd w:val="clear" w:color="auto" w:fill="auto"/>
            <w:vAlign w:val="center"/>
          </w:tcPr>
          <w:p w14:paraId="7FCCDD7F" w14:textId="575127CD" w:rsidR="00454437" w:rsidRPr="00CF779D" w:rsidRDefault="00454437" w:rsidP="00454437">
            <w:pPr>
              <w:rPr>
                <w:lang w:eastAsia="ru-RU"/>
              </w:rPr>
            </w:pPr>
            <w:r w:rsidRPr="00CF779D">
              <w:rPr>
                <w:lang w:eastAsia="ru-RU"/>
              </w:rPr>
              <w:t>6</w:t>
            </w:r>
          </w:p>
        </w:tc>
        <w:tc>
          <w:tcPr>
            <w:tcW w:w="8646" w:type="dxa"/>
            <w:tcBorders>
              <w:top w:val="nil"/>
              <w:left w:val="nil"/>
              <w:bottom w:val="single" w:sz="4" w:space="0" w:color="000000"/>
              <w:right w:val="single" w:sz="4" w:space="0" w:color="000000"/>
            </w:tcBorders>
            <w:shd w:val="clear" w:color="auto" w:fill="auto"/>
            <w:vAlign w:val="center"/>
            <w:hideMark/>
          </w:tcPr>
          <w:p w14:paraId="715A5BAD" w14:textId="3359DFFA" w:rsidR="00454437" w:rsidRPr="00CF779D" w:rsidRDefault="00454437" w:rsidP="00454437">
            <w:pPr>
              <w:ind w:firstLine="0"/>
              <w:rPr>
                <w:lang w:eastAsia="ru-RU"/>
              </w:rPr>
            </w:pPr>
            <w:r w:rsidRPr="00CF779D">
              <w:t>Расстояние до остановок общественного транспорта (в т.ч. автовокзалы, автостанции, автобусные остано</w:t>
            </w:r>
          </w:p>
        </w:tc>
      </w:tr>
      <w:tr w:rsidR="00454437" w:rsidRPr="00727235" w14:paraId="04718ABE" w14:textId="77777777" w:rsidTr="00960A20">
        <w:trPr>
          <w:trHeight w:val="20"/>
        </w:trPr>
        <w:tc>
          <w:tcPr>
            <w:tcW w:w="993" w:type="dxa"/>
            <w:tcBorders>
              <w:top w:val="nil"/>
              <w:left w:val="single" w:sz="4" w:space="0" w:color="000000"/>
              <w:bottom w:val="single" w:sz="4" w:space="0" w:color="000000"/>
              <w:right w:val="single" w:sz="4" w:space="0" w:color="000000"/>
            </w:tcBorders>
            <w:shd w:val="clear" w:color="auto" w:fill="auto"/>
            <w:vAlign w:val="center"/>
          </w:tcPr>
          <w:p w14:paraId="58AC9A0A" w14:textId="27EDD77E" w:rsidR="00454437" w:rsidRPr="00CF779D" w:rsidRDefault="00454437" w:rsidP="00454437">
            <w:pPr>
              <w:rPr>
                <w:lang w:eastAsia="ru-RU"/>
              </w:rPr>
            </w:pPr>
            <w:r w:rsidRPr="00CF779D">
              <w:rPr>
                <w:lang w:eastAsia="ru-RU"/>
              </w:rPr>
              <w:t>7</w:t>
            </w:r>
          </w:p>
        </w:tc>
        <w:tc>
          <w:tcPr>
            <w:tcW w:w="8646" w:type="dxa"/>
            <w:tcBorders>
              <w:top w:val="nil"/>
              <w:left w:val="nil"/>
              <w:bottom w:val="single" w:sz="4" w:space="0" w:color="000000"/>
              <w:right w:val="single" w:sz="4" w:space="0" w:color="000000"/>
            </w:tcBorders>
            <w:shd w:val="clear" w:color="auto" w:fill="auto"/>
            <w:vAlign w:val="center"/>
            <w:hideMark/>
          </w:tcPr>
          <w:p w14:paraId="709E500A" w14:textId="7C8C7996" w:rsidR="00454437" w:rsidRPr="00CF779D" w:rsidRDefault="00454437" w:rsidP="00454437">
            <w:pPr>
              <w:ind w:firstLine="0"/>
              <w:rPr>
                <w:lang w:eastAsia="ru-RU"/>
              </w:rPr>
            </w:pPr>
            <w:r w:rsidRPr="00CF779D">
              <w:t>Расстояние объекта до общественно-делового центра населенного пункта</w:t>
            </w:r>
          </w:p>
        </w:tc>
      </w:tr>
      <w:tr w:rsidR="00454437" w:rsidRPr="00727235" w14:paraId="482756E2" w14:textId="77777777" w:rsidTr="00960A20">
        <w:trPr>
          <w:trHeight w:val="20"/>
        </w:trPr>
        <w:tc>
          <w:tcPr>
            <w:tcW w:w="993" w:type="dxa"/>
            <w:tcBorders>
              <w:top w:val="nil"/>
              <w:left w:val="single" w:sz="4" w:space="0" w:color="000000"/>
              <w:bottom w:val="single" w:sz="4" w:space="0" w:color="000000"/>
              <w:right w:val="single" w:sz="4" w:space="0" w:color="000000"/>
            </w:tcBorders>
            <w:shd w:val="clear" w:color="auto" w:fill="auto"/>
            <w:vAlign w:val="center"/>
          </w:tcPr>
          <w:p w14:paraId="12E45F49" w14:textId="6D6C776E" w:rsidR="00454437" w:rsidRPr="00CF779D" w:rsidRDefault="00454437" w:rsidP="00454437">
            <w:pPr>
              <w:rPr>
                <w:lang w:eastAsia="ru-RU"/>
              </w:rPr>
            </w:pPr>
            <w:r w:rsidRPr="00CF779D">
              <w:rPr>
                <w:lang w:eastAsia="ru-RU"/>
              </w:rPr>
              <w:t>8</w:t>
            </w:r>
          </w:p>
        </w:tc>
        <w:tc>
          <w:tcPr>
            <w:tcW w:w="8646" w:type="dxa"/>
            <w:tcBorders>
              <w:top w:val="nil"/>
              <w:left w:val="nil"/>
              <w:bottom w:val="single" w:sz="4" w:space="0" w:color="000000"/>
              <w:right w:val="single" w:sz="4" w:space="0" w:color="000000"/>
            </w:tcBorders>
            <w:shd w:val="clear" w:color="auto" w:fill="auto"/>
            <w:vAlign w:val="center"/>
            <w:hideMark/>
          </w:tcPr>
          <w:p w14:paraId="5E283934" w14:textId="00A19E9B" w:rsidR="00454437" w:rsidRPr="00CF779D" w:rsidRDefault="00454437" w:rsidP="00454437">
            <w:pPr>
              <w:ind w:firstLine="0"/>
              <w:rPr>
                <w:lang w:eastAsia="ru-RU"/>
              </w:rPr>
            </w:pPr>
            <w:r w:rsidRPr="00CF779D">
              <w:t>Расстояние от объекта до административного центра населенного пункта</w:t>
            </w:r>
          </w:p>
        </w:tc>
      </w:tr>
      <w:tr w:rsidR="00454437" w:rsidRPr="00727235" w14:paraId="38D92C8C" w14:textId="77777777" w:rsidTr="00960A20">
        <w:trPr>
          <w:trHeight w:val="20"/>
        </w:trPr>
        <w:tc>
          <w:tcPr>
            <w:tcW w:w="993" w:type="dxa"/>
            <w:tcBorders>
              <w:top w:val="nil"/>
              <w:left w:val="single" w:sz="4" w:space="0" w:color="000000"/>
              <w:bottom w:val="single" w:sz="4" w:space="0" w:color="000000"/>
              <w:right w:val="single" w:sz="4" w:space="0" w:color="000000"/>
            </w:tcBorders>
            <w:shd w:val="clear" w:color="auto" w:fill="auto"/>
            <w:vAlign w:val="center"/>
          </w:tcPr>
          <w:p w14:paraId="283CF186" w14:textId="42F54AA1" w:rsidR="00454437" w:rsidRPr="00CF779D" w:rsidRDefault="00454437" w:rsidP="00454437">
            <w:pPr>
              <w:rPr>
                <w:lang w:eastAsia="ru-RU"/>
              </w:rPr>
            </w:pPr>
            <w:r w:rsidRPr="00CF779D">
              <w:rPr>
                <w:lang w:eastAsia="ru-RU"/>
              </w:rPr>
              <w:t>9</w:t>
            </w:r>
          </w:p>
        </w:tc>
        <w:tc>
          <w:tcPr>
            <w:tcW w:w="8646" w:type="dxa"/>
            <w:tcBorders>
              <w:top w:val="nil"/>
              <w:left w:val="nil"/>
              <w:bottom w:val="single" w:sz="4" w:space="0" w:color="000000"/>
              <w:right w:val="single" w:sz="4" w:space="0" w:color="000000"/>
            </w:tcBorders>
            <w:shd w:val="clear" w:color="auto" w:fill="auto"/>
            <w:vAlign w:val="center"/>
            <w:hideMark/>
          </w:tcPr>
          <w:p w14:paraId="450A57DA" w14:textId="7FABEF48" w:rsidR="00454437" w:rsidRPr="00CF779D" w:rsidRDefault="00454437" w:rsidP="00454437">
            <w:pPr>
              <w:ind w:firstLine="0"/>
              <w:rPr>
                <w:lang w:eastAsia="ru-RU"/>
              </w:rPr>
            </w:pPr>
            <w:r w:rsidRPr="00CF779D">
              <w:t>Расстояние от объекта до историко-культурного центра населенного пункта</w:t>
            </w:r>
          </w:p>
        </w:tc>
      </w:tr>
      <w:tr w:rsidR="00454437" w:rsidRPr="00727235" w14:paraId="0DA535A4" w14:textId="77777777" w:rsidTr="00960A20">
        <w:trPr>
          <w:trHeight w:val="20"/>
        </w:trPr>
        <w:tc>
          <w:tcPr>
            <w:tcW w:w="993" w:type="dxa"/>
            <w:tcBorders>
              <w:top w:val="nil"/>
              <w:left w:val="single" w:sz="4" w:space="0" w:color="000000"/>
              <w:bottom w:val="single" w:sz="4" w:space="0" w:color="000000"/>
              <w:right w:val="single" w:sz="4" w:space="0" w:color="000000"/>
            </w:tcBorders>
            <w:shd w:val="clear" w:color="auto" w:fill="auto"/>
            <w:vAlign w:val="center"/>
          </w:tcPr>
          <w:p w14:paraId="7E8ED557" w14:textId="3A48E387" w:rsidR="00454437" w:rsidRPr="00CF779D" w:rsidRDefault="00454437" w:rsidP="00454437">
            <w:pPr>
              <w:rPr>
                <w:lang w:eastAsia="ru-RU"/>
              </w:rPr>
            </w:pPr>
            <w:r w:rsidRPr="00CF779D">
              <w:rPr>
                <w:lang w:eastAsia="ru-RU"/>
              </w:rPr>
              <w:t>10</w:t>
            </w:r>
          </w:p>
        </w:tc>
        <w:tc>
          <w:tcPr>
            <w:tcW w:w="8646" w:type="dxa"/>
            <w:tcBorders>
              <w:top w:val="nil"/>
              <w:left w:val="nil"/>
              <w:bottom w:val="single" w:sz="4" w:space="0" w:color="000000"/>
              <w:right w:val="single" w:sz="4" w:space="0" w:color="000000"/>
            </w:tcBorders>
            <w:shd w:val="clear" w:color="auto" w:fill="auto"/>
            <w:vAlign w:val="center"/>
            <w:hideMark/>
          </w:tcPr>
          <w:p w14:paraId="489B6CAE" w14:textId="7AED0FFE" w:rsidR="00454437" w:rsidRPr="00CF779D" w:rsidRDefault="00454437" w:rsidP="00454437">
            <w:pPr>
              <w:ind w:firstLine="0"/>
              <w:rPr>
                <w:lang w:eastAsia="ru-RU"/>
              </w:rPr>
            </w:pPr>
            <w:r w:rsidRPr="00CF779D">
              <w:t>Расстояние от объекта до локального(-ых) центра(-ов), отрицательно влияющего(-их) на стоимость объек</w:t>
            </w:r>
          </w:p>
        </w:tc>
      </w:tr>
      <w:tr w:rsidR="00454437" w:rsidRPr="00727235" w14:paraId="3E44D2EB" w14:textId="77777777" w:rsidTr="00960A20">
        <w:trPr>
          <w:trHeight w:val="20"/>
        </w:trPr>
        <w:tc>
          <w:tcPr>
            <w:tcW w:w="993" w:type="dxa"/>
            <w:tcBorders>
              <w:top w:val="nil"/>
              <w:left w:val="single" w:sz="4" w:space="0" w:color="000000"/>
              <w:bottom w:val="single" w:sz="4" w:space="0" w:color="000000"/>
              <w:right w:val="single" w:sz="4" w:space="0" w:color="000000"/>
            </w:tcBorders>
            <w:shd w:val="clear" w:color="auto" w:fill="auto"/>
            <w:vAlign w:val="center"/>
          </w:tcPr>
          <w:p w14:paraId="160793AC" w14:textId="5E888899" w:rsidR="00454437" w:rsidRPr="00CF779D" w:rsidRDefault="00454437" w:rsidP="00454437">
            <w:pPr>
              <w:rPr>
                <w:lang w:eastAsia="ru-RU"/>
              </w:rPr>
            </w:pPr>
            <w:r w:rsidRPr="00CF779D">
              <w:rPr>
                <w:lang w:eastAsia="ru-RU"/>
              </w:rPr>
              <w:t>11</w:t>
            </w:r>
          </w:p>
        </w:tc>
        <w:tc>
          <w:tcPr>
            <w:tcW w:w="8646" w:type="dxa"/>
            <w:tcBorders>
              <w:top w:val="nil"/>
              <w:left w:val="nil"/>
              <w:bottom w:val="single" w:sz="4" w:space="0" w:color="000000"/>
              <w:right w:val="single" w:sz="4" w:space="0" w:color="000000"/>
            </w:tcBorders>
            <w:shd w:val="clear" w:color="auto" w:fill="auto"/>
            <w:vAlign w:val="center"/>
            <w:hideMark/>
          </w:tcPr>
          <w:p w14:paraId="3BB8DEB6" w14:textId="46DE8EFF" w:rsidR="00454437" w:rsidRPr="00CF779D" w:rsidRDefault="00454437" w:rsidP="00454437">
            <w:pPr>
              <w:ind w:firstLine="0"/>
              <w:rPr>
                <w:lang w:eastAsia="ru-RU"/>
              </w:rPr>
            </w:pPr>
            <w:r w:rsidRPr="00CF779D">
              <w:t>Расстояние от объекта до локального(-ых) центра(-ов), положительно влияющего(-их) на стоимость объек</w:t>
            </w:r>
          </w:p>
        </w:tc>
      </w:tr>
      <w:tr w:rsidR="00454437" w:rsidRPr="00727235" w14:paraId="27ADB49E" w14:textId="77777777" w:rsidTr="00960A20">
        <w:trPr>
          <w:trHeight w:val="20"/>
        </w:trPr>
        <w:tc>
          <w:tcPr>
            <w:tcW w:w="993" w:type="dxa"/>
            <w:tcBorders>
              <w:top w:val="nil"/>
              <w:left w:val="single" w:sz="4" w:space="0" w:color="000000"/>
              <w:bottom w:val="single" w:sz="4" w:space="0" w:color="000000"/>
              <w:right w:val="single" w:sz="4" w:space="0" w:color="000000"/>
            </w:tcBorders>
            <w:shd w:val="clear" w:color="auto" w:fill="auto"/>
            <w:vAlign w:val="center"/>
          </w:tcPr>
          <w:p w14:paraId="715C634D" w14:textId="0348127C" w:rsidR="00454437" w:rsidRPr="00CF779D" w:rsidRDefault="00454437" w:rsidP="00454437">
            <w:pPr>
              <w:rPr>
                <w:lang w:eastAsia="ru-RU"/>
              </w:rPr>
            </w:pPr>
            <w:r w:rsidRPr="00CF779D">
              <w:rPr>
                <w:lang w:eastAsia="ru-RU"/>
              </w:rPr>
              <w:t>12</w:t>
            </w:r>
          </w:p>
        </w:tc>
        <w:tc>
          <w:tcPr>
            <w:tcW w:w="8646" w:type="dxa"/>
            <w:tcBorders>
              <w:top w:val="nil"/>
              <w:left w:val="nil"/>
              <w:bottom w:val="single" w:sz="4" w:space="0" w:color="000000"/>
              <w:right w:val="single" w:sz="4" w:space="0" w:color="000000"/>
            </w:tcBorders>
            <w:shd w:val="clear" w:color="auto" w:fill="auto"/>
            <w:vAlign w:val="center"/>
            <w:hideMark/>
          </w:tcPr>
          <w:p w14:paraId="005A6A53" w14:textId="782C1624" w:rsidR="00454437" w:rsidRPr="00CF779D" w:rsidRDefault="00454437" w:rsidP="00454437">
            <w:pPr>
              <w:ind w:firstLine="0"/>
              <w:rPr>
                <w:lang w:eastAsia="ru-RU"/>
              </w:rPr>
            </w:pPr>
            <w:r w:rsidRPr="00CF779D">
              <w:t>Теплоснабжение</w:t>
            </w:r>
          </w:p>
        </w:tc>
      </w:tr>
      <w:tr w:rsidR="00454437" w:rsidRPr="00727235" w14:paraId="6B70CF77" w14:textId="77777777" w:rsidTr="00960A20">
        <w:trPr>
          <w:trHeight w:val="20"/>
        </w:trPr>
        <w:tc>
          <w:tcPr>
            <w:tcW w:w="993" w:type="dxa"/>
            <w:tcBorders>
              <w:top w:val="nil"/>
              <w:left w:val="single" w:sz="4" w:space="0" w:color="000000"/>
              <w:bottom w:val="single" w:sz="4" w:space="0" w:color="000000"/>
              <w:right w:val="single" w:sz="4" w:space="0" w:color="000000"/>
            </w:tcBorders>
            <w:shd w:val="clear" w:color="auto" w:fill="auto"/>
            <w:vAlign w:val="center"/>
          </w:tcPr>
          <w:p w14:paraId="4DF6C94C" w14:textId="7919E397" w:rsidR="00454437" w:rsidRPr="00CF779D" w:rsidRDefault="00454437" w:rsidP="00454437">
            <w:pPr>
              <w:rPr>
                <w:lang w:eastAsia="ru-RU"/>
              </w:rPr>
            </w:pPr>
            <w:r w:rsidRPr="00CF779D">
              <w:rPr>
                <w:lang w:eastAsia="ru-RU"/>
              </w:rPr>
              <w:t>13</w:t>
            </w:r>
          </w:p>
        </w:tc>
        <w:tc>
          <w:tcPr>
            <w:tcW w:w="8646" w:type="dxa"/>
            <w:tcBorders>
              <w:top w:val="nil"/>
              <w:left w:val="nil"/>
              <w:bottom w:val="single" w:sz="4" w:space="0" w:color="000000"/>
              <w:right w:val="single" w:sz="4" w:space="0" w:color="000000"/>
            </w:tcBorders>
            <w:shd w:val="clear" w:color="auto" w:fill="auto"/>
            <w:vAlign w:val="center"/>
            <w:hideMark/>
          </w:tcPr>
          <w:p w14:paraId="0F953DCE" w14:textId="7D910809" w:rsidR="00454437" w:rsidRPr="00CF779D" w:rsidRDefault="00454437" w:rsidP="00454437">
            <w:pPr>
              <w:ind w:firstLine="0"/>
              <w:rPr>
                <w:lang w:eastAsia="ru-RU"/>
              </w:rPr>
            </w:pPr>
            <w:r w:rsidRPr="00CF779D">
              <w:t>Физический износ_ЗП</w:t>
            </w:r>
          </w:p>
        </w:tc>
      </w:tr>
      <w:tr w:rsidR="00454437" w:rsidRPr="00727235" w14:paraId="1BDA8A94" w14:textId="77777777" w:rsidTr="00960A20">
        <w:trPr>
          <w:trHeight w:val="20"/>
        </w:trPr>
        <w:tc>
          <w:tcPr>
            <w:tcW w:w="993" w:type="dxa"/>
            <w:tcBorders>
              <w:top w:val="nil"/>
              <w:left w:val="single" w:sz="4" w:space="0" w:color="000000"/>
              <w:bottom w:val="single" w:sz="4" w:space="0" w:color="000000"/>
              <w:right w:val="single" w:sz="4" w:space="0" w:color="000000"/>
            </w:tcBorders>
            <w:shd w:val="clear" w:color="auto" w:fill="auto"/>
            <w:vAlign w:val="center"/>
          </w:tcPr>
          <w:p w14:paraId="61D3FAF2" w14:textId="029E4AAC" w:rsidR="00454437" w:rsidRPr="00CF779D" w:rsidRDefault="00454437" w:rsidP="00454437">
            <w:pPr>
              <w:rPr>
                <w:lang w:eastAsia="ru-RU"/>
              </w:rPr>
            </w:pPr>
            <w:r w:rsidRPr="00CF779D">
              <w:rPr>
                <w:lang w:eastAsia="ru-RU"/>
              </w:rPr>
              <w:t>14</w:t>
            </w:r>
          </w:p>
        </w:tc>
        <w:tc>
          <w:tcPr>
            <w:tcW w:w="8646" w:type="dxa"/>
            <w:tcBorders>
              <w:top w:val="nil"/>
              <w:left w:val="nil"/>
              <w:bottom w:val="single" w:sz="4" w:space="0" w:color="000000"/>
              <w:right w:val="single" w:sz="4" w:space="0" w:color="000000"/>
            </w:tcBorders>
            <w:shd w:val="clear" w:color="auto" w:fill="auto"/>
            <w:vAlign w:val="center"/>
            <w:hideMark/>
          </w:tcPr>
          <w:p w14:paraId="1C4EF35A" w14:textId="332A2715" w:rsidR="00454437" w:rsidRPr="00CF779D" w:rsidRDefault="00454437" w:rsidP="00454437">
            <w:pPr>
              <w:ind w:firstLine="0"/>
              <w:rPr>
                <w:lang w:eastAsia="ru-RU"/>
              </w:rPr>
            </w:pPr>
            <w:r w:rsidRPr="00CF779D">
              <w:t>ЦГКО_уточнение Год постройки</w:t>
            </w:r>
          </w:p>
        </w:tc>
      </w:tr>
      <w:tr w:rsidR="00454437" w:rsidRPr="00727235" w14:paraId="2E0513FA" w14:textId="77777777" w:rsidTr="00960A20">
        <w:trPr>
          <w:trHeight w:val="20"/>
        </w:trPr>
        <w:tc>
          <w:tcPr>
            <w:tcW w:w="993" w:type="dxa"/>
            <w:tcBorders>
              <w:top w:val="nil"/>
              <w:left w:val="single" w:sz="4" w:space="0" w:color="000000"/>
              <w:bottom w:val="single" w:sz="4" w:space="0" w:color="000000"/>
              <w:right w:val="single" w:sz="4" w:space="0" w:color="000000"/>
            </w:tcBorders>
            <w:shd w:val="clear" w:color="auto" w:fill="auto"/>
            <w:vAlign w:val="center"/>
          </w:tcPr>
          <w:p w14:paraId="2A03232A" w14:textId="0AD20F4D" w:rsidR="00454437" w:rsidRPr="00727235" w:rsidRDefault="00454437" w:rsidP="00454437">
            <w:pPr>
              <w:rPr>
                <w:lang w:eastAsia="ru-RU"/>
              </w:rPr>
            </w:pPr>
            <w:r w:rsidRPr="00727235">
              <w:rPr>
                <w:lang w:eastAsia="ru-RU"/>
              </w:rPr>
              <w:t>15</w:t>
            </w:r>
          </w:p>
        </w:tc>
        <w:tc>
          <w:tcPr>
            <w:tcW w:w="8646" w:type="dxa"/>
            <w:tcBorders>
              <w:top w:val="nil"/>
              <w:left w:val="nil"/>
              <w:bottom w:val="single" w:sz="4" w:space="0" w:color="000000"/>
              <w:right w:val="single" w:sz="4" w:space="0" w:color="000000"/>
            </w:tcBorders>
            <w:shd w:val="clear" w:color="auto" w:fill="auto"/>
            <w:vAlign w:val="center"/>
            <w:hideMark/>
          </w:tcPr>
          <w:p w14:paraId="5568BC1A" w14:textId="2F9E5DF4" w:rsidR="00454437" w:rsidRPr="00727235" w:rsidRDefault="00454437" w:rsidP="00454437">
            <w:pPr>
              <w:ind w:firstLine="0"/>
              <w:rPr>
                <w:lang w:eastAsia="ru-RU"/>
              </w:rPr>
            </w:pPr>
            <w:r>
              <w:rPr>
                <w:color w:val="000000"/>
              </w:rPr>
              <w:t>Центральное водоснабжение</w:t>
            </w:r>
          </w:p>
        </w:tc>
      </w:tr>
      <w:tr w:rsidR="00454437" w:rsidRPr="00727235" w14:paraId="4177B4AB" w14:textId="77777777" w:rsidTr="00960A20">
        <w:trPr>
          <w:trHeight w:val="20"/>
        </w:trPr>
        <w:tc>
          <w:tcPr>
            <w:tcW w:w="993" w:type="dxa"/>
            <w:tcBorders>
              <w:top w:val="nil"/>
              <w:left w:val="single" w:sz="4" w:space="0" w:color="000000"/>
              <w:bottom w:val="single" w:sz="4" w:space="0" w:color="000000"/>
              <w:right w:val="single" w:sz="4" w:space="0" w:color="000000"/>
            </w:tcBorders>
            <w:shd w:val="clear" w:color="auto" w:fill="auto"/>
            <w:vAlign w:val="center"/>
          </w:tcPr>
          <w:p w14:paraId="26792FA4" w14:textId="6BE1F7D5" w:rsidR="00454437" w:rsidRPr="00454437" w:rsidRDefault="00454437" w:rsidP="00454437">
            <w:pPr>
              <w:rPr>
                <w:lang w:val="en-US" w:eastAsia="ru-RU"/>
              </w:rPr>
            </w:pPr>
            <w:r>
              <w:rPr>
                <w:lang w:val="en-US" w:eastAsia="ru-RU"/>
              </w:rPr>
              <w:t>16</w:t>
            </w:r>
          </w:p>
        </w:tc>
        <w:tc>
          <w:tcPr>
            <w:tcW w:w="8646" w:type="dxa"/>
            <w:tcBorders>
              <w:top w:val="nil"/>
              <w:left w:val="nil"/>
              <w:bottom w:val="single" w:sz="4" w:space="0" w:color="000000"/>
              <w:right w:val="single" w:sz="4" w:space="0" w:color="000000"/>
            </w:tcBorders>
            <w:shd w:val="clear" w:color="auto" w:fill="auto"/>
            <w:vAlign w:val="center"/>
          </w:tcPr>
          <w:p w14:paraId="12257149" w14:textId="017B969F" w:rsidR="00454437" w:rsidRPr="00727235" w:rsidRDefault="00454437" w:rsidP="00454437">
            <w:pPr>
              <w:ind w:firstLine="0"/>
              <w:rPr>
                <w:lang w:eastAsia="ru-RU"/>
              </w:rPr>
            </w:pPr>
            <w:r>
              <w:rPr>
                <w:color w:val="000000"/>
              </w:rPr>
              <w:t>Электричество</w:t>
            </w:r>
          </w:p>
        </w:tc>
      </w:tr>
      <w:tr w:rsidR="00072B3A" w:rsidRPr="00727235" w14:paraId="4980F391" w14:textId="77777777" w:rsidTr="00960A20">
        <w:trPr>
          <w:trHeight w:val="20"/>
        </w:trPr>
        <w:tc>
          <w:tcPr>
            <w:tcW w:w="993" w:type="dxa"/>
            <w:tcBorders>
              <w:top w:val="nil"/>
              <w:left w:val="single" w:sz="4" w:space="0" w:color="000000"/>
              <w:bottom w:val="single" w:sz="4" w:space="0" w:color="000000"/>
              <w:right w:val="single" w:sz="4" w:space="0" w:color="000000"/>
            </w:tcBorders>
            <w:shd w:val="clear" w:color="auto" w:fill="auto"/>
            <w:vAlign w:val="center"/>
          </w:tcPr>
          <w:p w14:paraId="08135D99" w14:textId="77777777" w:rsidR="00072B3A" w:rsidRPr="00727235" w:rsidRDefault="00072B3A" w:rsidP="00072B3A">
            <w:pPr>
              <w:rPr>
                <w:lang w:eastAsia="ru-RU"/>
              </w:rPr>
            </w:pPr>
          </w:p>
        </w:tc>
        <w:tc>
          <w:tcPr>
            <w:tcW w:w="8646" w:type="dxa"/>
            <w:tcBorders>
              <w:top w:val="nil"/>
              <w:left w:val="nil"/>
              <w:bottom w:val="single" w:sz="4" w:space="0" w:color="000000"/>
              <w:right w:val="single" w:sz="4" w:space="0" w:color="000000"/>
            </w:tcBorders>
            <w:shd w:val="clear" w:color="auto" w:fill="auto"/>
            <w:vAlign w:val="center"/>
          </w:tcPr>
          <w:p w14:paraId="69FA7C57" w14:textId="2F97D250" w:rsidR="00072B3A" w:rsidRPr="00727235" w:rsidRDefault="00072B3A" w:rsidP="00072B3A">
            <w:pPr>
              <w:ind w:firstLine="0"/>
              <w:rPr>
                <w:lang w:eastAsia="ru-RU"/>
              </w:rPr>
            </w:pPr>
            <w:r w:rsidRPr="00960A20">
              <w:rPr>
                <w:i/>
                <w:lang w:eastAsia="ru-RU"/>
              </w:rPr>
              <w:t>Группа 1 код подгруппы 1.</w:t>
            </w:r>
            <w:r>
              <w:rPr>
                <w:i/>
                <w:lang w:eastAsia="ru-RU"/>
              </w:rPr>
              <w:t>9</w:t>
            </w:r>
          </w:p>
        </w:tc>
      </w:tr>
      <w:tr w:rsidR="00454437" w:rsidRPr="00727235" w14:paraId="2FEDC6FB" w14:textId="77777777" w:rsidTr="00960A20">
        <w:trPr>
          <w:trHeight w:val="20"/>
        </w:trPr>
        <w:tc>
          <w:tcPr>
            <w:tcW w:w="993" w:type="dxa"/>
            <w:tcBorders>
              <w:top w:val="nil"/>
              <w:left w:val="single" w:sz="4" w:space="0" w:color="000000"/>
              <w:bottom w:val="single" w:sz="4" w:space="0" w:color="000000"/>
              <w:right w:val="single" w:sz="4" w:space="0" w:color="000000"/>
            </w:tcBorders>
            <w:shd w:val="clear" w:color="auto" w:fill="auto"/>
            <w:vAlign w:val="center"/>
          </w:tcPr>
          <w:p w14:paraId="0C1E4AD5" w14:textId="783D42A1" w:rsidR="00454437" w:rsidRPr="00727235" w:rsidRDefault="00454437" w:rsidP="00454437">
            <w:pPr>
              <w:rPr>
                <w:lang w:eastAsia="ru-RU"/>
              </w:rPr>
            </w:pPr>
            <w:r w:rsidRPr="00727235">
              <w:rPr>
                <w:lang w:eastAsia="ru-RU"/>
              </w:rPr>
              <w:t>1</w:t>
            </w:r>
          </w:p>
        </w:tc>
        <w:tc>
          <w:tcPr>
            <w:tcW w:w="8646" w:type="dxa"/>
            <w:tcBorders>
              <w:top w:val="nil"/>
              <w:left w:val="nil"/>
              <w:bottom w:val="single" w:sz="4" w:space="0" w:color="000000"/>
              <w:right w:val="single" w:sz="4" w:space="0" w:color="000000"/>
            </w:tcBorders>
            <w:shd w:val="clear" w:color="auto" w:fill="auto"/>
            <w:vAlign w:val="center"/>
          </w:tcPr>
          <w:p w14:paraId="01297EB0" w14:textId="2B5C0508" w:rsidR="00454437" w:rsidRPr="00727235" w:rsidRDefault="00454437" w:rsidP="00454437">
            <w:pPr>
              <w:ind w:firstLine="0"/>
              <w:rPr>
                <w:lang w:eastAsia="ru-RU"/>
              </w:rPr>
            </w:pPr>
            <w:r>
              <w:rPr>
                <w:color w:val="000000"/>
              </w:rPr>
              <w:t>Газоснабжение</w:t>
            </w:r>
          </w:p>
        </w:tc>
      </w:tr>
      <w:tr w:rsidR="00454437" w:rsidRPr="00727235" w14:paraId="3D31D7B9" w14:textId="77777777" w:rsidTr="00960A20">
        <w:trPr>
          <w:trHeight w:val="20"/>
        </w:trPr>
        <w:tc>
          <w:tcPr>
            <w:tcW w:w="993" w:type="dxa"/>
            <w:tcBorders>
              <w:top w:val="nil"/>
              <w:left w:val="single" w:sz="4" w:space="0" w:color="000000"/>
              <w:bottom w:val="single" w:sz="4" w:space="0" w:color="000000"/>
              <w:right w:val="single" w:sz="4" w:space="0" w:color="000000"/>
            </w:tcBorders>
            <w:shd w:val="clear" w:color="auto" w:fill="auto"/>
            <w:vAlign w:val="center"/>
          </w:tcPr>
          <w:p w14:paraId="4BA1B3CC" w14:textId="5AAF849D" w:rsidR="00454437" w:rsidRPr="00727235" w:rsidRDefault="00454437" w:rsidP="00454437">
            <w:pPr>
              <w:rPr>
                <w:lang w:eastAsia="ru-RU"/>
              </w:rPr>
            </w:pPr>
            <w:r w:rsidRPr="00727235">
              <w:rPr>
                <w:lang w:eastAsia="ru-RU"/>
              </w:rPr>
              <w:t>2</w:t>
            </w:r>
          </w:p>
        </w:tc>
        <w:tc>
          <w:tcPr>
            <w:tcW w:w="8646" w:type="dxa"/>
            <w:tcBorders>
              <w:top w:val="nil"/>
              <w:left w:val="nil"/>
              <w:bottom w:val="single" w:sz="4" w:space="0" w:color="000000"/>
              <w:right w:val="single" w:sz="4" w:space="0" w:color="000000"/>
            </w:tcBorders>
            <w:shd w:val="clear" w:color="auto" w:fill="auto"/>
            <w:vAlign w:val="center"/>
          </w:tcPr>
          <w:p w14:paraId="157B7B32" w14:textId="39506D54" w:rsidR="00454437" w:rsidRPr="00727235" w:rsidRDefault="00454437" w:rsidP="00454437">
            <w:pPr>
              <w:ind w:firstLine="0"/>
              <w:rPr>
                <w:lang w:eastAsia="ru-RU"/>
              </w:rPr>
            </w:pPr>
            <w:r>
              <w:rPr>
                <w:color w:val="000000"/>
              </w:rPr>
              <w:t>Канализация</w:t>
            </w:r>
          </w:p>
        </w:tc>
      </w:tr>
      <w:tr w:rsidR="00454437" w:rsidRPr="00727235" w14:paraId="5C1BC744" w14:textId="77777777" w:rsidTr="00960A20">
        <w:trPr>
          <w:trHeight w:val="20"/>
        </w:trPr>
        <w:tc>
          <w:tcPr>
            <w:tcW w:w="993" w:type="dxa"/>
            <w:tcBorders>
              <w:top w:val="nil"/>
              <w:left w:val="single" w:sz="4" w:space="0" w:color="000000"/>
              <w:bottom w:val="single" w:sz="4" w:space="0" w:color="000000"/>
              <w:right w:val="single" w:sz="4" w:space="0" w:color="000000"/>
            </w:tcBorders>
            <w:shd w:val="clear" w:color="auto" w:fill="auto"/>
            <w:vAlign w:val="center"/>
          </w:tcPr>
          <w:p w14:paraId="4034BAAE" w14:textId="25B09B77" w:rsidR="00454437" w:rsidRPr="00727235" w:rsidRDefault="00454437" w:rsidP="00454437">
            <w:pPr>
              <w:rPr>
                <w:lang w:eastAsia="ru-RU"/>
              </w:rPr>
            </w:pPr>
            <w:r w:rsidRPr="00727235">
              <w:rPr>
                <w:lang w:eastAsia="ru-RU"/>
              </w:rPr>
              <w:t>3</w:t>
            </w:r>
          </w:p>
        </w:tc>
        <w:tc>
          <w:tcPr>
            <w:tcW w:w="8646" w:type="dxa"/>
            <w:tcBorders>
              <w:top w:val="nil"/>
              <w:left w:val="nil"/>
              <w:bottom w:val="single" w:sz="4" w:space="0" w:color="000000"/>
              <w:right w:val="single" w:sz="4" w:space="0" w:color="000000"/>
            </w:tcBorders>
            <w:shd w:val="clear" w:color="auto" w:fill="auto"/>
            <w:vAlign w:val="center"/>
          </w:tcPr>
          <w:p w14:paraId="41EA7F20" w14:textId="6D8E1A1E" w:rsidR="00454437" w:rsidRPr="00727235" w:rsidRDefault="00454437" w:rsidP="00454437">
            <w:pPr>
              <w:ind w:firstLine="0"/>
              <w:rPr>
                <w:lang w:eastAsia="ru-RU"/>
              </w:rPr>
            </w:pPr>
            <w:r>
              <w:rPr>
                <w:color w:val="000000"/>
              </w:rPr>
              <w:t>Материал стен</w:t>
            </w:r>
          </w:p>
        </w:tc>
      </w:tr>
      <w:tr w:rsidR="00454437" w:rsidRPr="00727235" w14:paraId="437F002A" w14:textId="77777777" w:rsidTr="00960A20">
        <w:trPr>
          <w:trHeight w:val="20"/>
        </w:trPr>
        <w:tc>
          <w:tcPr>
            <w:tcW w:w="993" w:type="dxa"/>
            <w:tcBorders>
              <w:top w:val="nil"/>
              <w:left w:val="single" w:sz="4" w:space="0" w:color="000000"/>
              <w:bottom w:val="single" w:sz="4" w:space="0" w:color="000000"/>
              <w:right w:val="single" w:sz="4" w:space="0" w:color="000000"/>
            </w:tcBorders>
            <w:shd w:val="clear" w:color="auto" w:fill="auto"/>
            <w:vAlign w:val="center"/>
          </w:tcPr>
          <w:p w14:paraId="14408108" w14:textId="210E784F" w:rsidR="00454437" w:rsidRPr="00727235" w:rsidRDefault="00454437" w:rsidP="00454437">
            <w:pPr>
              <w:rPr>
                <w:lang w:eastAsia="ru-RU"/>
              </w:rPr>
            </w:pPr>
            <w:r w:rsidRPr="00727235">
              <w:rPr>
                <w:lang w:eastAsia="ru-RU"/>
              </w:rPr>
              <w:t>4</w:t>
            </w:r>
          </w:p>
        </w:tc>
        <w:tc>
          <w:tcPr>
            <w:tcW w:w="8646" w:type="dxa"/>
            <w:tcBorders>
              <w:top w:val="nil"/>
              <w:left w:val="nil"/>
              <w:bottom w:val="single" w:sz="4" w:space="0" w:color="000000"/>
              <w:right w:val="single" w:sz="4" w:space="0" w:color="000000"/>
            </w:tcBorders>
            <w:shd w:val="clear" w:color="auto" w:fill="auto"/>
            <w:vAlign w:val="center"/>
          </w:tcPr>
          <w:p w14:paraId="09A2BED1" w14:textId="591391EB" w:rsidR="00454437" w:rsidRPr="00727235" w:rsidRDefault="00454437" w:rsidP="00454437">
            <w:pPr>
              <w:ind w:firstLine="0"/>
              <w:rPr>
                <w:lang w:eastAsia="ru-RU"/>
              </w:rPr>
            </w:pPr>
            <w:r>
              <w:rPr>
                <w:color w:val="000000"/>
              </w:rPr>
              <w:t>Номер этажа</w:t>
            </w:r>
          </w:p>
        </w:tc>
      </w:tr>
      <w:tr w:rsidR="00454437" w:rsidRPr="00727235" w14:paraId="1CA74236" w14:textId="77777777" w:rsidTr="00960A20">
        <w:trPr>
          <w:trHeight w:val="20"/>
        </w:trPr>
        <w:tc>
          <w:tcPr>
            <w:tcW w:w="993" w:type="dxa"/>
            <w:tcBorders>
              <w:top w:val="nil"/>
              <w:left w:val="single" w:sz="4" w:space="0" w:color="000000"/>
              <w:bottom w:val="single" w:sz="4" w:space="0" w:color="000000"/>
              <w:right w:val="single" w:sz="4" w:space="0" w:color="000000"/>
            </w:tcBorders>
            <w:shd w:val="clear" w:color="auto" w:fill="auto"/>
            <w:vAlign w:val="center"/>
          </w:tcPr>
          <w:p w14:paraId="5DB85DE7" w14:textId="467032DA" w:rsidR="00454437" w:rsidRPr="00727235" w:rsidRDefault="00454437" w:rsidP="00454437">
            <w:pPr>
              <w:rPr>
                <w:lang w:eastAsia="ru-RU"/>
              </w:rPr>
            </w:pPr>
            <w:r w:rsidRPr="00727235">
              <w:rPr>
                <w:lang w:eastAsia="ru-RU"/>
              </w:rPr>
              <w:t>5</w:t>
            </w:r>
          </w:p>
        </w:tc>
        <w:tc>
          <w:tcPr>
            <w:tcW w:w="8646" w:type="dxa"/>
            <w:tcBorders>
              <w:top w:val="nil"/>
              <w:left w:val="nil"/>
              <w:bottom w:val="single" w:sz="4" w:space="0" w:color="000000"/>
              <w:right w:val="single" w:sz="4" w:space="0" w:color="000000"/>
            </w:tcBorders>
            <w:shd w:val="clear" w:color="auto" w:fill="auto"/>
            <w:vAlign w:val="center"/>
          </w:tcPr>
          <w:p w14:paraId="04F741E3" w14:textId="310D5D2F" w:rsidR="00454437" w:rsidRPr="00727235" w:rsidRDefault="00454437" w:rsidP="00454437">
            <w:pPr>
              <w:ind w:firstLine="0"/>
              <w:rPr>
                <w:lang w:eastAsia="ru-RU"/>
              </w:rPr>
            </w:pPr>
            <w:r>
              <w:rPr>
                <w:color w:val="000000"/>
              </w:rPr>
              <w:t>Расстояние до ближайшей из основных дорог города</w:t>
            </w:r>
          </w:p>
        </w:tc>
      </w:tr>
      <w:tr w:rsidR="00454437" w:rsidRPr="00727235" w14:paraId="4B92CD0C" w14:textId="77777777" w:rsidTr="00960A20">
        <w:trPr>
          <w:trHeight w:val="20"/>
        </w:trPr>
        <w:tc>
          <w:tcPr>
            <w:tcW w:w="993" w:type="dxa"/>
            <w:tcBorders>
              <w:top w:val="nil"/>
              <w:left w:val="single" w:sz="4" w:space="0" w:color="000000"/>
              <w:bottom w:val="single" w:sz="4" w:space="0" w:color="000000"/>
              <w:right w:val="single" w:sz="4" w:space="0" w:color="000000"/>
            </w:tcBorders>
            <w:shd w:val="clear" w:color="auto" w:fill="auto"/>
            <w:vAlign w:val="center"/>
          </w:tcPr>
          <w:p w14:paraId="51286EAA" w14:textId="2FA6E34D" w:rsidR="00454437" w:rsidRPr="00727235" w:rsidRDefault="00454437" w:rsidP="00454437">
            <w:pPr>
              <w:rPr>
                <w:lang w:eastAsia="ru-RU"/>
              </w:rPr>
            </w:pPr>
            <w:r w:rsidRPr="00727235">
              <w:rPr>
                <w:lang w:eastAsia="ru-RU"/>
              </w:rPr>
              <w:t>6</w:t>
            </w:r>
          </w:p>
        </w:tc>
        <w:tc>
          <w:tcPr>
            <w:tcW w:w="8646" w:type="dxa"/>
            <w:tcBorders>
              <w:top w:val="nil"/>
              <w:left w:val="nil"/>
              <w:bottom w:val="single" w:sz="4" w:space="0" w:color="000000"/>
              <w:right w:val="single" w:sz="4" w:space="0" w:color="000000"/>
            </w:tcBorders>
            <w:shd w:val="clear" w:color="auto" w:fill="auto"/>
            <w:vAlign w:val="center"/>
          </w:tcPr>
          <w:p w14:paraId="172A4481" w14:textId="291DFF0B" w:rsidR="00454437" w:rsidRPr="00727235" w:rsidRDefault="00454437" w:rsidP="00454437">
            <w:pPr>
              <w:ind w:firstLine="0"/>
              <w:rPr>
                <w:lang w:eastAsia="ru-RU"/>
              </w:rPr>
            </w:pPr>
            <w:r>
              <w:rPr>
                <w:color w:val="000000"/>
              </w:rPr>
              <w:t>Расстояние до остановок общественного транспорта (в т.ч. автовокзалы, автостанции, автобусные остано</w:t>
            </w:r>
          </w:p>
        </w:tc>
      </w:tr>
      <w:tr w:rsidR="00454437" w:rsidRPr="00727235" w14:paraId="708C8494" w14:textId="77777777" w:rsidTr="00960A20">
        <w:trPr>
          <w:trHeight w:val="20"/>
        </w:trPr>
        <w:tc>
          <w:tcPr>
            <w:tcW w:w="993" w:type="dxa"/>
            <w:tcBorders>
              <w:top w:val="nil"/>
              <w:left w:val="single" w:sz="4" w:space="0" w:color="000000"/>
              <w:bottom w:val="single" w:sz="4" w:space="0" w:color="000000"/>
              <w:right w:val="single" w:sz="4" w:space="0" w:color="000000"/>
            </w:tcBorders>
            <w:shd w:val="clear" w:color="auto" w:fill="auto"/>
            <w:vAlign w:val="center"/>
          </w:tcPr>
          <w:p w14:paraId="69F81251" w14:textId="0D8A388D" w:rsidR="00454437" w:rsidRPr="00727235" w:rsidRDefault="00454437" w:rsidP="00454437">
            <w:pPr>
              <w:rPr>
                <w:lang w:eastAsia="ru-RU"/>
              </w:rPr>
            </w:pPr>
            <w:r w:rsidRPr="00727235">
              <w:rPr>
                <w:lang w:eastAsia="ru-RU"/>
              </w:rPr>
              <w:t>7</w:t>
            </w:r>
          </w:p>
        </w:tc>
        <w:tc>
          <w:tcPr>
            <w:tcW w:w="8646" w:type="dxa"/>
            <w:tcBorders>
              <w:top w:val="nil"/>
              <w:left w:val="nil"/>
              <w:bottom w:val="single" w:sz="4" w:space="0" w:color="000000"/>
              <w:right w:val="single" w:sz="4" w:space="0" w:color="000000"/>
            </w:tcBorders>
            <w:shd w:val="clear" w:color="auto" w:fill="auto"/>
            <w:vAlign w:val="center"/>
          </w:tcPr>
          <w:p w14:paraId="6CE38C5C" w14:textId="43D94BE6" w:rsidR="00454437" w:rsidRPr="00727235" w:rsidRDefault="00454437" w:rsidP="00454437">
            <w:pPr>
              <w:ind w:firstLine="0"/>
              <w:rPr>
                <w:lang w:eastAsia="ru-RU"/>
              </w:rPr>
            </w:pPr>
            <w:r>
              <w:rPr>
                <w:color w:val="000000"/>
              </w:rPr>
              <w:t>Расстояние объекта до общественно-делового центра населенного пункта</w:t>
            </w:r>
          </w:p>
        </w:tc>
      </w:tr>
      <w:tr w:rsidR="00454437" w:rsidRPr="00727235" w14:paraId="37526CE4" w14:textId="77777777" w:rsidTr="00960A20">
        <w:trPr>
          <w:trHeight w:val="20"/>
        </w:trPr>
        <w:tc>
          <w:tcPr>
            <w:tcW w:w="993" w:type="dxa"/>
            <w:tcBorders>
              <w:top w:val="nil"/>
              <w:left w:val="single" w:sz="4" w:space="0" w:color="000000"/>
              <w:bottom w:val="single" w:sz="4" w:space="0" w:color="000000"/>
              <w:right w:val="single" w:sz="4" w:space="0" w:color="000000"/>
            </w:tcBorders>
            <w:shd w:val="clear" w:color="auto" w:fill="auto"/>
            <w:vAlign w:val="center"/>
          </w:tcPr>
          <w:p w14:paraId="5DCDCD3B" w14:textId="6F2F7310" w:rsidR="00454437" w:rsidRPr="00727235" w:rsidRDefault="00454437" w:rsidP="00454437">
            <w:pPr>
              <w:rPr>
                <w:lang w:eastAsia="ru-RU"/>
              </w:rPr>
            </w:pPr>
            <w:r w:rsidRPr="00727235">
              <w:rPr>
                <w:lang w:eastAsia="ru-RU"/>
              </w:rPr>
              <w:t>8</w:t>
            </w:r>
          </w:p>
        </w:tc>
        <w:tc>
          <w:tcPr>
            <w:tcW w:w="8646" w:type="dxa"/>
            <w:tcBorders>
              <w:top w:val="nil"/>
              <w:left w:val="nil"/>
              <w:bottom w:val="single" w:sz="4" w:space="0" w:color="000000"/>
              <w:right w:val="single" w:sz="4" w:space="0" w:color="000000"/>
            </w:tcBorders>
            <w:shd w:val="clear" w:color="auto" w:fill="auto"/>
            <w:vAlign w:val="center"/>
          </w:tcPr>
          <w:p w14:paraId="3B473F41" w14:textId="286FC2D0" w:rsidR="00454437" w:rsidRPr="00727235" w:rsidRDefault="00454437" w:rsidP="00454437">
            <w:pPr>
              <w:ind w:firstLine="0"/>
              <w:rPr>
                <w:lang w:eastAsia="ru-RU"/>
              </w:rPr>
            </w:pPr>
            <w:r>
              <w:rPr>
                <w:color w:val="000000"/>
              </w:rPr>
              <w:t>Расстояние от объекта до административного центра населенного пункта</w:t>
            </w:r>
          </w:p>
        </w:tc>
      </w:tr>
      <w:tr w:rsidR="00454437" w:rsidRPr="00727235" w14:paraId="314ACF6D" w14:textId="77777777" w:rsidTr="00960A20">
        <w:trPr>
          <w:trHeight w:val="20"/>
        </w:trPr>
        <w:tc>
          <w:tcPr>
            <w:tcW w:w="993" w:type="dxa"/>
            <w:tcBorders>
              <w:top w:val="nil"/>
              <w:left w:val="single" w:sz="4" w:space="0" w:color="000000"/>
              <w:bottom w:val="single" w:sz="4" w:space="0" w:color="000000"/>
              <w:right w:val="single" w:sz="4" w:space="0" w:color="000000"/>
            </w:tcBorders>
            <w:shd w:val="clear" w:color="auto" w:fill="auto"/>
            <w:vAlign w:val="center"/>
          </w:tcPr>
          <w:p w14:paraId="549162F5" w14:textId="55967661" w:rsidR="00454437" w:rsidRPr="00727235" w:rsidRDefault="00454437" w:rsidP="00454437">
            <w:pPr>
              <w:rPr>
                <w:lang w:eastAsia="ru-RU"/>
              </w:rPr>
            </w:pPr>
            <w:r w:rsidRPr="00727235">
              <w:rPr>
                <w:lang w:eastAsia="ru-RU"/>
              </w:rPr>
              <w:t>9</w:t>
            </w:r>
          </w:p>
        </w:tc>
        <w:tc>
          <w:tcPr>
            <w:tcW w:w="8646" w:type="dxa"/>
            <w:tcBorders>
              <w:top w:val="nil"/>
              <w:left w:val="nil"/>
              <w:bottom w:val="single" w:sz="4" w:space="0" w:color="000000"/>
              <w:right w:val="single" w:sz="4" w:space="0" w:color="000000"/>
            </w:tcBorders>
            <w:shd w:val="clear" w:color="auto" w:fill="auto"/>
            <w:vAlign w:val="center"/>
          </w:tcPr>
          <w:p w14:paraId="688E2C6A" w14:textId="0116CF03" w:rsidR="00454437" w:rsidRPr="00727235" w:rsidRDefault="00454437" w:rsidP="00454437">
            <w:pPr>
              <w:ind w:firstLine="0"/>
              <w:rPr>
                <w:lang w:eastAsia="ru-RU"/>
              </w:rPr>
            </w:pPr>
            <w:r>
              <w:rPr>
                <w:color w:val="000000"/>
              </w:rPr>
              <w:t>Расстояние от объекта до историко-культурного центра населенного пункта</w:t>
            </w:r>
          </w:p>
        </w:tc>
      </w:tr>
      <w:tr w:rsidR="00454437" w:rsidRPr="00727235" w14:paraId="7055A6FB" w14:textId="77777777" w:rsidTr="00960A20">
        <w:trPr>
          <w:trHeight w:val="20"/>
        </w:trPr>
        <w:tc>
          <w:tcPr>
            <w:tcW w:w="993" w:type="dxa"/>
            <w:tcBorders>
              <w:top w:val="nil"/>
              <w:left w:val="single" w:sz="4" w:space="0" w:color="000000"/>
              <w:bottom w:val="single" w:sz="4" w:space="0" w:color="000000"/>
              <w:right w:val="single" w:sz="4" w:space="0" w:color="000000"/>
            </w:tcBorders>
            <w:shd w:val="clear" w:color="auto" w:fill="auto"/>
            <w:vAlign w:val="center"/>
          </w:tcPr>
          <w:p w14:paraId="75C5CCD9" w14:textId="561817E5" w:rsidR="00454437" w:rsidRPr="00727235" w:rsidRDefault="00454437" w:rsidP="00454437">
            <w:pPr>
              <w:rPr>
                <w:lang w:eastAsia="ru-RU"/>
              </w:rPr>
            </w:pPr>
            <w:r w:rsidRPr="00727235">
              <w:rPr>
                <w:lang w:eastAsia="ru-RU"/>
              </w:rPr>
              <w:t>10</w:t>
            </w:r>
          </w:p>
        </w:tc>
        <w:tc>
          <w:tcPr>
            <w:tcW w:w="8646" w:type="dxa"/>
            <w:tcBorders>
              <w:top w:val="nil"/>
              <w:left w:val="nil"/>
              <w:bottom w:val="single" w:sz="4" w:space="0" w:color="000000"/>
              <w:right w:val="single" w:sz="4" w:space="0" w:color="000000"/>
            </w:tcBorders>
            <w:shd w:val="clear" w:color="auto" w:fill="auto"/>
            <w:vAlign w:val="center"/>
          </w:tcPr>
          <w:p w14:paraId="4050A1A2" w14:textId="06FAEDD3" w:rsidR="00454437" w:rsidRPr="00727235" w:rsidRDefault="00454437" w:rsidP="00454437">
            <w:pPr>
              <w:ind w:firstLine="0"/>
              <w:rPr>
                <w:lang w:eastAsia="ru-RU"/>
              </w:rPr>
            </w:pPr>
            <w:r>
              <w:rPr>
                <w:color w:val="000000"/>
              </w:rPr>
              <w:t>Расстояние от объекта до локального(-ых) центра(-ов), отрицательно влияющего(-их) на стоимость объек</w:t>
            </w:r>
          </w:p>
        </w:tc>
      </w:tr>
      <w:tr w:rsidR="00454437" w:rsidRPr="00727235" w14:paraId="539B54D2" w14:textId="77777777" w:rsidTr="00960A20">
        <w:trPr>
          <w:trHeight w:val="20"/>
        </w:trPr>
        <w:tc>
          <w:tcPr>
            <w:tcW w:w="993" w:type="dxa"/>
            <w:tcBorders>
              <w:top w:val="nil"/>
              <w:left w:val="single" w:sz="4" w:space="0" w:color="000000"/>
              <w:bottom w:val="single" w:sz="4" w:space="0" w:color="000000"/>
              <w:right w:val="single" w:sz="4" w:space="0" w:color="000000"/>
            </w:tcBorders>
            <w:shd w:val="clear" w:color="auto" w:fill="auto"/>
            <w:vAlign w:val="center"/>
          </w:tcPr>
          <w:p w14:paraId="33DAF525" w14:textId="07F60162" w:rsidR="00454437" w:rsidRPr="00727235" w:rsidRDefault="00454437" w:rsidP="00454437">
            <w:pPr>
              <w:rPr>
                <w:lang w:eastAsia="ru-RU"/>
              </w:rPr>
            </w:pPr>
            <w:r w:rsidRPr="00727235">
              <w:rPr>
                <w:lang w:eastAsia="ru-RU"/>
              </w:rPr>
              <w:t>11</w:t>
            </w:r>
          </w:p>
        </w:tc>
        <w:tc>
          <w:tcPr>
            <w:tcW w:w="8646" w:type="dxa"/>
            <w:tcBorders>
              <w:top w:val="nil"/>
              <w:left w:val="nil"/>
              <w:bottom w:val="single" w:sz="4" w:space="0" w:color="000000"/>
              <w:right w:val="single" w:sz="4" w:space="0" w:color="000000"/>
            </w:tcBorders>
            <w:shd w:val="clear" w:color="auto" w:fill="auto"/>
            <w:vAlign w:val="center"/>
          </w:tcPr>
          <w:p w14:paraId="71FB5FE9" w14:textId="1DB65E44" w:rsidR="00454437" w:rsidRPr="00727235" w:rsidRDefault="00454437" w:rsidP="00454437">
            <w:pPr>
              <w:ind w:firstLine="0"/>
              <w:rPr>
                <w:lang w:eastAsia="ru-RU"/>
              </w:rPr>
            </w:pPr>
            <w:r>
              <w:rPr>
                <w:color w:val="000000"/>
              </w:rPr>
              <w:t>Расстояние от объекта до локального(-ых) центра(-ов), положительно влияющего(-их) на стоимость объек</w:t>
            </w:r>
          </w:p>
        </w:tc>
      </w:tr>
      <w:tr w:rsidR="00454437" w:rsidRPr="00727235" w14:paraId="0147F8D5" w14:textId="77777777" w:rsidTr="00960A20">
        <w:trPr>
          <w:trHeight w:val="20"/>
        </w:trPr>
        <w:tc>
          <w:tcPr>
            <w:tcW w:w="993" w:type="dxa"/>
            <w:tcBorders>
              <w:top w:val="nil"/>
              <w:left w:val="single" w:sz="4" w:space="0" w:color="000000"/>
              <w:bottom w:val="single" w:sz="4" w:space="0" w:color="000000"/>
              <w:right w:val="single" w:sz="4" w:space="0" w:color="000000"/>
            </w:tcBorders>
            <w:shd w:val="clear" w:color="auto" w:fill="auto"/>
            <w:vAlign w:val="center"/>
          </w:tcPr>
          <w:p w14:paraId="4B855370" w14:textId="20E3A499" w:rsidR="00454437" w:rsidRPr="00727235" w:rsidRDefault="00454437" w:rsidP="00454437">
            <w:pPr>
              <w:rPr>
                <w:lang w:eastAsia="ru-RU"/>
              </w:rPr>
            </w:pPr>
            <w:r w:rsidRPr="00727235">
              <w:rPr>
                <w:lang w:eastAsia="ru-RU"/>
              </w:rPr>
              <w:t>12</w:t>
            </w:r>
          </w:p>
        </w:tc>
        <w:tc>
          <w:tcPr>
            <w:tcW w:w="8646" w:type="dxa"/>
            <w:tcBorders>
              <w:top w:val="nil"/>
              <w:left w:val="nil"/>
              <w:bottom w:val="single" w:sz="4" w:space="0" w:color="000000"/>
              <w:right w:val="single" w:sz="4" w:space="0" w:color="000000"/>
            </w:tcBorders>
            <w:shd w:val="clear" w:color="auto" w:fill="auto"/>
            <w:vAlign w:val="center"/>
          </w:tcPr>
          <w:p w14:paraId="54DEC568" w14:textId="73C0C223" w:rsidR="00454437" w:rsidRPr="00727235" w:rsidRDefault="00454437" w:rsidP="00454437">
            <w:pPr>
              <w:ind w:firstLine="0"/>
              <w:rPr>
                <w:lang w:eastAsia="ru-RU"/>
              </w:rPr>
            </w:pPr>
            <w:r>
              <w:rPr>
                <w:color w:val="000000"/>
              </w:rPr>
              <w:t>Теплоснабжение</w:t>
            </w:r>
          </w:p>
        </w:tc>
      </w:tr>
      <w:tr w:rsidR="00454437" w:rsidRPr="00727235" w14:paraId="2638A01C" w14:textId="77777777" w:rsidTr="00960A20">
        <w:trPr>
          <w:trHeight w:val="20"/>
        </w:trPr>
        <w:tc>
          <w:tcPr>
            <w:tcW w:w="993" w:type="dxa"/>
            <w:tcBorders>
              <w:top w:val="nil"/>
              <w:left w:val="single" w:sz="4" w:space="0" w:color="000000"/>
              <w:bottom w:val="single" w:sz="4" w:space="0" w:color="000000"/>
              <w:right w:val="single" w:sz="4" w:space="0" w:color="000000"/>
            </w:tcBorders>
            <w:shd w:val="clear" w:color="auto" w:fill="auto"/>
            <w:vAlign w:val="center"/>
          </w:tcPr>
          <w:p w14:paraId="71853523" w14:textId="0187FD2D" w:rsidR="00454437" w:rsidRPr="00727235" w:rsidRDefault="00454437" w:rsidP="00454437">
            <w:pPr>
              <w:rPr>
                <w:lang w:eastAsia="ru-RU"/>
              </w:rPr>
            </w:pPr>
            <w:r w:rsidRPr="00727235">
              <w:rPr>
                <w:lang w:eastAsia="ru-RU"/>
              </w:rPr>
              <w:t>13</w:t>
            </w:r>
          </w:p>
        </w:tc>
        <w:tc>
          <w:tcPr>
            <w:tcW w:w="8646" w:type="dxa"/>
            <w:tcBorders>
              <w:top w:val="nil"/>
              <w:left w:val="nil"/>
              <w:bottom w:val="single" w:sz="4" w:space="0" w:color="000000"/>
              <w:right w:val="single" w:sz="4" w:space="0" w:color="000000"/>
            </w:tcBorders>
            <w:shd w:val="clear" w:color="auto" w:fill="auto"/>
            <w:vAlign w:val="center"/>
          </w:tcPr>
          <w:p w14:paraId="1E5461CC" w14:textId="12CE0132" w:rsidR="00454437" w:rsidRPr="00727235" w:rsidRDefault="00454437" w:rsidP="00454437">
            <w:pPr>
              <w:ind w:firstLine="0"/>
              <w:rPr>
                <w:lang w:eastAsia="ru-RU"/>
              </w:rPr>
            </w:pPr>
            <w:r>
              <w:rPr>
                <w:color w:val="000000"/>
              </w:rPr>
              <w:t>Физический износ_ЗП</w:t>
            </w:r>
          </w:p>
        </w:tc>
      </w:tr>
      <w:tr w:rsidR="00454437" w:rsidRPr="00727235" w14:paraId="572791E0" w14:textId="77777777" w:rsidTr="00960A20">
        <w:trPr>
          <w:trHeight w:val="20"/>
        </w:trPr>
        <w:tc>
          <w:tcPr>
            <w:tcW w:w="993" w:type="dxa"/>
            <w:tcBorders>
              <w:top w:val="nil"/>
              <w:left w:val="single" w:sz="4" w:space="0" w:color="000000"/>
              <w:bottom w:val="single" w:sz="4" w:space="0" w:color="000000"/>
              <w:right w:val="single" w:sz="4" w:space="0" w:color="000000"/>
            </w:tcBorders>
            <w:shd w:val="clear" w:color="auto" w:fill="auto"/>
            <w:vAlign w:val="center"/>
          </w:tcPr>
          <w:p w14:paraId="1B58521D" w14:textId="2E2FBDBE" w:rsidR="00454437" w:rsidRPr="00727235" w:rsidRDefault="00454437" w:rsidP="00454437">
            <w:pPr>
              <w:rPr>
                <w:lang w:eastAsia="ru-RU"/>
              </w:rPr>
            </w:pPr>
            <w:r w:rsidRPr="00727235">
              <w:rPr>
                <w:lang w:eastAsia="ru-RU"/>
              </w:rPr>
              <w:t>14</w:t>
            </w:r>
          </w:p>
        </w:tc>
        <w:tc>
          <w:tcPr>
            <w:tcW w:w="8646" w:type="dxa"/>
            <w:tcBorders>
              <w:top w:val="nil"/>
              <w:left w:val="nil"/>
              <w:bottom w:val="single" w:sz="4" w:space="0" w:color="000000"/>
              <w:right w:val="single" w:sz="4" w:space="0" w:color="000000"/>
            </w:tcBorders>
            <w:shd w:val="clear" w:color="auto" w:fill="auto"/>
            <w:vAlign w:val="center"/>
          </w:tcPr>
          <w:p w14:paraId="2652F256" w14:textId="092627CC" w:rsidR="00454437" w:rsidRPr="00727235" w:rsidRDefault="00454437" w:rsidP="00454437">
            <w:pPr>
              <w:ind w:firstLine="0"/>
              <w:rPr>
                <w:lang w:eastAsia="ru-RU"/>
              </w:rPr>
            </w:pPr>
            <w:r>
              <w:rPr>
                <w:color w:val="000000"/>
              </w:rPr>
              <w:t>ЦГКО_уточнение Год постройки</w:t>
            </w:r>
          </w:p>
        </w:tc>
      </w:tr>
      <w:tr w:rsidR="00454437" w:rsidRPr="00727235" w14:paraId="3F641985" w14:textId="77777777" w:rsidTr="00960A20">
        <w:trPr>
          <w:trHeight w:val="20"/>
        </w:trPr>
        <w:tc>
          <w:tcPr>
            <w:tcW w:w="993" w:type="dxa"/>
            <w:tcBorders>
              <w:top w:val="nil"/>
              <w:left w:val="single" w:sz="4" w:space="0" w:color="000000"/>
              <w:bottom w:val="single" w:sz="4" w:space="0" w:color="000000"/>
              <w:right w:val="single" w:sz="4" w:space="0" w:color="000000"/>
            </w:tcBorders>
            <w:shd w:val="clear" w:color="auto" w:fill="auto"/>
            <w:vAlign w:val="center"/>
          </w:tcPr>
          <w:p w14:paraId="63B5BFF2" w14:textId="20BA3AF3" w:rsidR="00454437" w:rsidRPr="00727235" w:rsidRDefault="00454437" w:rsidP="00454437">
            <w:pPr>
              <w:rPr>
                <w:lang w:eastAsia="ru-RU"/>
              </w:rPr>
            </w:pPr>
            <w:r w:rsidRPr="00727235">
              <w:rPr>
                <w:lang w:eastAsia="ru-RU"/>
              </w:rPr>
              <w:t>15</w:t>
            </w:r>
          </w:p>
        </w:tc>
        <w:tc>
          <w:tcPr>
            <w:tcW w:w="8646" w:type="dxa"/>
            <w:tcBorders>
              <w:top w:val="nil"/>
              <w:left w:val="nil"/>
              <w:bottom w:val="single" w:sz="4" w:space="0" w:color="000000"/>
              <w:right w:val="single" w:sz="4" w:space="0" w:color="000000"/>
            </w:tcBorders>
            <w:shd w:val="clear" w:color="auto" w:fill="auto"/>
            <w:vAlign w:val="center"/>
          </w:tcPr>
          <w:p w14:paraId="4E91833A" w14:textId="5B31C122" w:rsidR="00454437" w:rsidRPr="00727235" w:rsidRDefault="00454437" w:rsidP="00454437">
            <w:pPr>
              <w:ind w:firstLine="0"/>
              <w:rPr>
                <w:lang w:eastAsia="ru-RU"/>
              </w:rPr>
            </w:pPr>
            <w:r>
              <w:rPr>
                <w:color w:val="000000"/>
              </w:rPr>
              <w:t>Центральное водоснабжение</w:t>
            </w:r>
          </w:p>
        </w:tc>
      </w:tr>
      <w:tr w:rsidR="00454437" w:rsidRPr="00727235" w14:paraId="26777F4A" w14:textId="77777777" w:rsidTr="00960A20">
        <w:trPr>
          <w:trHeight w:val="20"/>
        </w:trPr>
        <w:tc>
          <w:tcPr>
            <w:tcW w:w="993" w:type="dxa"/>
            <w:tcBorders>
              <w:top w:val="nil"/>
              <w:left w:val="single" w:sz="4" w:space="0" w:color="000000"/>
              <w:bottom w:val="single" w:sz="4" w:space="0" w:color="000000"/>
              <w:right w:val="single" w:sz="4" w:space="0" w:color="000000"/>
            </w:tcBorders>
            <w:shd w:val="clear" w:color="auto" w:fill="auto"/>
            <w:vAlign w:val="center"/>
          </w:tcPr>
          <w:p w14:paraId="3B50520C" w14:textId="7887CEF3" w:rsidR="00454437" w:rsidRPr="00454437" w:rsidRDefault="00454437" w:rsidP="00454437">
            <w:pPr>
              <w:rPr>
                <w:lang w:val="en-US" w:eastAsia="ru-RU"/>
              </w:rPr>
            </w:pPr>
            <w:r>
              <w:rPr>
                <w:lang w:val="en-US" w:eastAsia="ru-RU"/>
              </w:rPr>
              <w:t>16</w:t>
            </w:r>
          </w:p>
        </w:tc>
        <w:tc>
          <w:tcPr>
            <w:tcW w:w="8646" w:type="dxa"/>
            <w:tcBorders>
              <w:top w:val="nil"/>
              <w:left w:val="nil"/>
              <w:bottom w:val="single" w:sz="4" w:space="0" w:color="000000"/>
              <w:right w:val="single" w:sz="4" w:space="0" w:color="000000"/>
            </w:tcBorders>
            <w:shd w:val="clear" w:color="auto" w:fill="auto"/>
            <w:vAlign w:val="center"/>
          </w:tcPr>
          <w:p w14:paraId="136861AA" w14:textId="722918E8" w:rsidR="00454437" w:rsidRDefault="00454437" w:rsidP="00454437">
            <w:pPr>
              <w:ind w:firstLine="0"/>
              <w:rPr>
                <w:color w:val="000000"/>
              </w:rPr>
            </w:pPr>
            <w:r>
              <w:rPr>
                <w:color w:val="000000"/>
              </w:rPr>
              <w:t>Электричество</w:t>
            </w:r>
          </w:p>
        </w:tc>
      </w:tr>
      <w:tr w:rsidR="00960A20" w:rsidRPr="00727235" w14:paraId="78AF3510" w14:textId="77777777" w:rsidTr="00960A20">
        <w:trPr>
          <w:trHeight w:val="20"/>
        </w:trPr>
        <w:tc>
          <w:tcPr>
            <w:tcW w:w="993" w:type="dxa"/>
            <w:tcBorders>
              <w:top w:val="nil"/>
              <w:left w:val="single" w:sz="4" w:space="0" w:color="000000"/>
              <w:bottom w:val="single" w:sz="4" w:space="0" w:color="auto"/>
              <w:right w:val="single" w:sz="4" w:space="0" w:color="000000"/>
            </w:tcBorders>
            <w:shd w:val="clear" w:color="auto" w:fill="auto"/>
            <w:vAlign w:val="center"/>
          </w:tcPr>
          <w:p w14:paraId="67D2F07D" w14:textId="77777777" w:rsidR="00960A20" w:rsidRPr="00727235" w:rsidRDefault="00960A20" w:rsidP="00877D91">
            <w:pPr>
              <w:rPr>
                <w:lang w:eastAsia="ru-RU"/>
              </w:rPr>
            </w:pPr>
          </w:p>
        </w:tc>
        <w:tc>
          <w:tcPr>
            <w:tcW w:w="8646" w:type="dxa"/>
            <w:tcBorders>
              <w:top w:val="nil"/>
              <w:left w:val="nil"/>
              <w:bottom w:val="single" w:sz="4" w:space="0" w:color="auto"/>
              <w:right w:val="single" w:sz="4" w:space="0" w:color="000000"/>
            </w:tcBorders>
            <w:shd w:val="clear" w:color="auto" w:fill="auto"/>
            <w:vAlign w:val="center"/>
            <w:hideMark/>
          </w:tcPr>
          <w:p w14:paraId="2260DA9B" w14:textId="55CE2BE2" w:rsidR="00960A20" w:rsidRPr="00960A20" w:rsidRDefault="00960A20" w:rsidP="00960A20">
            <w:pPr>
              <w:ind w:firstLine="0"/>
              <w:rPr>
                <w:i/>
                <w:lang w:eastAsia="ru-RU"/>
              </w:rPr>
            </w:pPr>
            <w:r w:rsidRPr="00960A20">
              <w:rPr>
                <w:i/>
                <w:lang w:eastAsia="ru-RU"/>
              </w:rPr>
              <w:t>Группа 1 код подгруппы 1.5</w:t>
            </w:r>
          </w:p>
        </w:tc>
      </w:tr>
      <w:tr w:rsidR="00454437" w:rsidRPr="00727235" w14:paraId="49C79BED" w14:textId="77777777" w:rsidTr="00960A20">
        <w:trPr>
          <w:trHeight w:val="20"/>
        </w:trPr>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14:paraId="74938EF6" w14:textId="0843F208" w:rsidR="00454437" w:rsidRPr="00727235" w:rsidRDefault="00454437" w:rsidP="00454437">
            <w:pPr>
              <w:rPr>
                <w:lang w:eastAsia="ru-RU"/>
              </w:rPr>
            </w:pPr>
            <w:r w:rsidRPr="00727235">
              <w:rPr>
                <w:lang w:eastAsia="ru-RU"/>
              </w:rPr>
              <w:t>1</w:t>
            </w:r>
          </w:p>
        </w:tc>
        <w:tc>
          <w:tcPr>
            <w:tcW w:w="864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BE05FC9" w14:textId="168860E2" w:rsidR="00454437" w:rsidRPr="00727235" w:rsidRDefault="00454437" w:rsidP="00454437">
            <w:pPr>
              <w:ind w:firstLine="0"/>
              <w:rPr>
                <w:lang w:eastAsia="ru-RU"/>
              </w:rPr>
            </w:pPr>
            <w:r>
              <w:rPr>
                <w:color w:val="000000"/>
              </w:rPr>
              <w:t>Канализация</w:t>
            </w:r>
          </w:p>
        </w:tc>
      </w:tr>
      <w:tr w:rsidR="00454437" w:rsidRPr="00727235" w14:paraId="09C09DAF" w14:textId="77777777" w:rsidTr="00960A20">
        <w:trPr>
          <w:trHeight w:val="20"/>
        </w:trPr>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14:paraId="09B5C13F" w14:textId="21220EF0" w:rsidR="00454437" w:rsidRPr="00727235" w:rsidRDefault="00454437" w:rsidP="00454437">
            <w:pPr>
              <w:rPr>
                <w:lang w:eastAsia="ru-RU"/>
              </w:rPr>
            </w:pPr>
            <w:r w:rsidRPr="00727235">
              <w:rPr>
                <w:lang w:eastAsia="ru-RU"/>
              </w:rPr>
              <w:t>2</w:t>
            </w:r>
          </w:p>
        </w:tc>
        <w:tc>
          <w:tcPr>
            <w:tcW w:w="864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CC341D1" w14:textId="653384AD" w:rsidR="00454437" w:rsidRPr="00727235" w:rsidRDefault="00454437" w:rsidP="00454437">
            <w:pPr>
              <w:ind w:firstLine="0"/>
              <w:rPr>
                <w:lang w:eastAsia="ru-RU"/>
              </w:rPr>
            </w:pPr>
            <w:r>
              <w:rPr>
                <w:color w:val="000000"/>
              </w:rPr>
              <w:t>Количество надземных этажей</w:t>
            </w:r>
          </w:p>
        </w:tc>
      </w:tr>
      <w:tr w:rsidR="00454437" w:rsidRPr="00727235" w14:paraId="64EE22D6" w14:textId="77777777" w:rsidTr="00960A20">
        <w:trPr>
          <w:trHeight w:val="20"/>
        </w:trPr>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14:paraId="3D6E033D" w14:textId="75853DE7" w:rsidR="00454437" w:rsidRPr="00727235" w:rsidRDefault="00454437" w:rsidP="00454437">
            <w:pPr>
              <w:rPr>
                <w:lang w:eastAsia="ru-RU"/>
              </w:rPr>
            </w:pPr>
            <w:r w:rsidRPr="00727235">
              <w:rPr>
                <w:lang w:eastAsia="ru-RU"/>
              </w:rPr>
              <w:t>3</w:t>
            </w:r>
          </w:p>
        </w:tc>
        <w:tc>
          <w:tcPr>
            <w:tcW w:w="864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07F0BA2" w14:textId="36A6DFA8" w:rsidR="00454437" w:rsidRPr="00727235" w:rsidRDefault="00454437" w:rsidP="00454437">
            <w:pPr>
              <w:ind w:firstLine="0"/>
              <w:rPr>
                <w:lang w:eastAsia="ru-RU"/>
              </w:rPr>
            </w:pPr>
            <w:r>
              <w:rPr>
                <w:color w:val="000000"/>
              </w:rPr>
              <w:t>Материал стен</w:t>
            </w:r>
          </w:p>
        </w:tc>
      </w:tr>
      <w:tr w:rsidR="00454437" w:rsidRPr="00727235" w14:paraId="4CFE4A93" w14:textId="77777777" w:rsidTr="00960A20">
        <w:trPr>
          <w:trHeight w:val="20"/>
        </w:trPr>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14:paraId="1EBB558B" w14:textId="7E11E483" w:rsidR="00454437" w:rsidRPr="00727235" w:rsidRDefault="00454437" w:rsidP="00454437">
            <w:pPr>
              <w:rPr>
                <w:lang w:eastAsia="ru-RU"/>
              </w:rPr>
            </w:pPr>
            <w:r w:rsidRPr="00727235">
              <w:rPr>
                <w:lang w:eastAsia="ru-RU"/>
              </w:rPr>
              <w:t>4</w:t>
            </w:r>
          </w:p>
        </w:tc>
        <w:tc>
          <w:tcPr>
            <w:tcW w:w="864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3CD7B42" w14:textId="1A427969" w:rsidR="00454437" w:rsidRPr="00727235" w:rsidRDefault="00454437" w:rsidP="00454437">
            <w:pPr>
              <w:ind w:firstLine="0"/>
              <w:rPr>
                <w:lang w:eastAsia="ru-RU"/>
              </w:rPr>
            </w:pPr>
            <w:r>
              <w:rPr>
                <w:color w:val="000000"/>
              </w:rPr>
              <w:t>Муниципальный район, городской округ</w:t>
            </w:r>
          </w:p>
        </w:tc>
      </w:tr>
      <w:tr w:rsidR="00454437" w:rsidRPr="00727235" w14:paraId="35307705" w14:textId="77777777" w:rsidTr="00960A20">
        <w:trPr>
          <w:trHeight w:val="20"/>
        </w:trPr>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14:paraId="527FBAB3" w14:textId="147153A6" w:rsidR="00454437" w:rsidRPr="00727235" w:rsidRDefault="00454437" w:rsidP="00454437">
            <w:pPr>
              <w:rPr>
                <w:lang w:eastAsia="ru-RU"/>
              </w:rPr>
            </w:pPr>
            <w:r w:rsidRPr="00727235">
              <w:rPr>
                <w:lang w:eastAsia="ru-RU"/>
              </w:rPr>
              <w:t>5</w:t>
            </w:r>
          </w:p>
        </w:tc>
        <w:tc>
          <w:tcPr>
            <w:tcW w:w="864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92A41F1" w14:textId="261FB1EF" w:rsidR="00454437" w:rsidRPr="00727235" w:rsidRDefault="00454437" w:rsidP="00454437">
            <w:pPr>
              <w:ind w:firstLine="0"/>
              <w:rPr>
                <w:lang w:eastAsia="ru-RU"/>
              </w:rPr>
            </w:pPr>
            <w:r>
              <w:rPr>
                <w:color w:val="000000"/>
              </w:rPr>
              <w:t>Населенный пункт</w:t>
            </w:r>
          </w:p>
        </w:tc>
      </w:tr>
      <w:tr w:rsidR="00454437" w:rsidRPr="00727235" w14:paraId="459F7212" w14:textId="77777777" w:rsidTr="00960A20">
        <w:trPr>
          <w:trHeight w:val="20"/>
        </w:trPr>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14:paraId="1F52C4B3" w14:textId="6D4357C1" w:rsidR="00454437" w:rsidRPr="00727235" w:rsidRDefault="00454437" w:rsidP="00454437">
            <w:pPr>
              <w:rPr>
                <w:lang w:eastAsia="ru-RU"/>
              </w:rPr>
            </w:pPr>
            <w:r w:rsidRPr="00727235">
              <w:rPr>
                <w:lang w:eastAsia="ru-RU"/>
              </w:rPr>
              <w:t>6</w:t>
            </w:r>
          </w:p>
        </w:tc>
        <w:tc>
          <w:tcPr>
            <w:tcW w:w="864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550BE40" w14:textId="173AAD79" w:rsidR="00454437" w:rsidRPr="00727235" w:rsidRDefault="00454437" w:rsidP="00454437">
            <w:pPr>
              <w:ind w:firstLine="0"/>
              <w:rPr>
                <w:lang w:eastAsia="ru-RU"/>
              </w:rPr>
            </w:pPr>
            <w:r>
              <w:rPr>
                <w:color w:val="000000"/>
              </w:rPr>
              <w:t>Номер этажа</w:t>
            </w:r>
          </w:p>
        </w:tc>
      </w:tr>
      <w:tr w:rsidR="00454437" w:rsidRPr="00727235" w14:paraId="26508977" w14:textId="77777777" w:rsidTr="00960A20">
        <w:trPr>
          <w:trHeight w:val="20"/>
        </w:trPr>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14:paraId="10E7E7B2" w14:textId="30266E94" w:rsidR="00454437" w:rsidRPr="00727235" w:rsidRDefault="00454437" w:rsidP="00454437">
            <w:pPr>
              <w:rPr>
                <w:lang w:eastAsia="ru-RU"/>
              </w:rPr>
            </w:pPr>
            <w:r w:rsidRPr="00727235">
              <w:rPr>
                <w:lang w:eastAsia="ru-RU"/>
              </w:rPr>
              <w:t>7</w:t>
            </w:r>
          </w:p>
        </w:tc>
        <w:tc>
          <w:tcPr>
            <w:tcW w:w="864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BB05242" w14:textId="2B240536" w:rsidR="00454437" w:rsidRPr="00727235" w:rsidRDefault="00454437" w:rsidP="00454437">
            <w:pPr>
              <w:ind w:firstLine="0"/>
              <w:rPr>
                <w:lang w:eastAsia="ru-RU"/>
              </w:rPr>
            </w:pPr>
            <w:r>
              <w:rPr>
                <w:color w:val="000000"/>
              </w:rPr>
              <w:t>Расстояние до ближайшей из основных дорог города</w:t>
            </w:r>
          </w:p>
        </w:tc>
      </w:tr>
      <w:tr w:rsidR="00454437" w:rsidRPr="00727235" w14:paraId="05AD0F39" w14:textId="77777777" w:rsidTr="00960A20">
        <w:trPr>
          <w:trHeight w:val="20"/>
        </w:trPr>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14:paraId="7AB66BC0" w14:textId="7E5512F6" w:rsidR="00454437" w:rsidRPr="00727235" w:rsidRDefault="00454437" w:rsidP="00454437">
            <w:pPr>
              <w:rPr>
                <w:lang w:eastAsia="ru-RU"/>
              </w:rPr>
            </w:pPr>
            <w:r w:rsidRPr="00727235">
              <w:rPr>
                <w:lang w:eastAsia="ru-RU"/>
              </w:rPr>
              <w:t>8</w:t>
            </w:r>
          </w:p>
        </w:tc>
        <w:tc>
          <w:tcPr>
            <w:tcW w:w="864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3509691" w14:textId="3F8CF345" w:rsidR="00454437" w:rsidRPr="00727235" w:rsidRDefault="00454437" w:rsidP="00454437">
            <w:pPr>
              <w:ind w:firstLine="0"/>
              <w:rPr>
                <w:lang w:eastAsia="ru-RU"/>
              </w:rPr>
            </w:pPr>
            <w:r>
              <w:rPr>
                <w:color w:val="000000"/>
              </w:rPr>
              <w:t>Расстояние до остановок общественного транспорта (в т.ч. автовокзалы, автостанции, автобусные остано</w:t>
            </w:r>
          </w:p>
        </w:tc>
      </w:tr>
      <w:tr w:rsidR="00454437" w:rsidRPr="00727235" w14:paraId="0AB3EF43" w14:textId="77777777" w:rsidTr="00960A20">
        <w:trPr>
          <w:trHeight w:val="20"/>
        </w:trPr>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14:paraId="5B2DA950" w14:textId="29CE00FC" w:rsidR="00454437" w:rsidRPr="00727235" w:rsidRDefault="00454437" w:rsidP="00454437">
            <w:pPr>
              <w:rPr>
                <w:lang w:eastAsia="ru-RU"/>
              </w:rPr>
            </w:pPr>
            <w:r w:rsidRPr="00727235">
              <w:rPr>
                <w:lang w:eastAsia="ru-RU"/>
              </w:rPr>
              <w:t>9</w:t>
            </w:r>
          </w:p>
        </w:tc>
        <w:tc>
          <w:tcPr>
            <w:tcW w:w="864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1C55754" w14:textId="2729A14E" w:rsidR="00454437" w:rsidRPr="00727235" w:rsidRDefault="00454437" w:rsidP="00454437">
            <w:pPr>
              <w:ind w:firstLine="0"/>
              <w:rPr>
                <w:lang w:eastAsia="ru-RU"/>
              </w:rPr>
            </w:pPr>
            <w:r>
              <w:rPr>
                <w:color w:val="000000"/>
              </w:rPr>
              <w:t>Расстояние объекта до общественно-делового центра населенного пункта</w:t>
            </w:r>
          </w:p>
        </w:tc>
      </w:tr>
      <w:tr w:rsidR="00454437" w:rsidRPr="00727235" w14:paraId="033A2CAB" w14:textId="77777777" w:rsidTr="00960A20">
        <w:trPr>
          <w:trHeight w:val="20"/>
        </w:trPr>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14:paraId="33EE843B" w14:textId="0082FABE" w:rsidR="00454437" w:rsidRPr="00727235" w:rsidRDefault="00454437" w:rsidP="00454437">
            <w:pPr>
              <w:rPr>
                <w:lang w:eastAsia="ru-RU"/>
              </w:rPr>
            </w:pPr>
            <w:r w:rsidRPr="00727235">
              <w:rPr>
                <w:lang w:eastAsia="ru-RU"/>
              </w:rPr>
              <w:t>10</w:t>
            </w:r>
          </w:p>
        </w:tc>
        <w:tc>
          <w:tcPr>
            <w:tcW w:w="864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053A051" w14:textId="31F7BBAB" w:rsidR="00454437" w:rsidRPr="00727235" w:rsidRDefault="00454437" w:rsidP="00454437">
            <w:pPr>
              <w:ind w:firstLine="0"/>
              <w:rPr>
                <w:lang w:eastAsia="ru-RU"/>
              </w:rPr>
            </w:pPr>
            <w:r>
              <w:rPr>
                <w:color w:val="000000"/>
              </w:rPr>
              <w:t>Расстояние от населенного пункта до ближайших ж/д вокзала, станции, платформы</w:t>
            </w:r>
          </w:p>
        </w:tc>
      </w:tr>
      <w:tr w:rsidR="00454437" w:rsidRPr="00727235" w14:paraId="391E9B8C" w14:textId="77777777" w:rsidTr="00960A20">
        <w:trPr>
          <w:trHeight w:val="20"/>
        </w:trPr>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14:paraId="69D040D5" w14:textId="0734885B" w:rsidR="00454437" w:rsidRPr="00727235" w:rsidRDefault="00454437" w:rsidP="00454437">
            <w:pPr>
              <w:rPr>
                <w:lang w:eastAsia="ru-RU"/>
              </w:rPr>
            </w:pPr>
            <w:r w:rsidRPr="00727235">
              <w:rPr>
                <w:lang w:eastAsia="ru-RU"/>
              </w:rPr>
              <w:t>11</w:t>
            </w:r>
          </w:p>
        </w:tc>
        <w:tc>
          <w:tcPr>
            <w:tcW w:w="864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5542BBB" w14:textId="50F80D78" w:rsidR="00454437" w:rsidRPr="00727235" w:rsidRDefault="00454437" w:rsidP="00454437">
            <w:pPr>
              <w:ind w:firstLine="0"/>
              <w:rPr>
                <w:lang w:eastAsia="ru-RU"/>
              </w:rPr>
            </w:pPr>
            <w:r>
              <w:rPr>
                <w:color w:val="000000"/>
              </w:rPr>
              <w:t>Расстояние от населенного пункта до столицы субъекта РФ</w:t>
            </w:r>
          </w:p>
        </w:tc>
      </w:tr>
      <w:tr w:rsidR="00454437" w:rsidRPr="00727235" w14:paraId="6CC11D38" w14:textId="77777777" w:rsidTr="00960A20">
        <w:trPr>
          <w:trHeight w:val="20"/>
        </w:trPr>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14:paraId="66421203" w14:textId="20931BD1" w:rsidR="00454437" w:rsidRPr="00727235" w:rsidRDefault="00454437" w:rsidP="00454437">
            <w:pPr>
              <w:rPr>
                <w:lang w:eastAsia="ru-RU"/>
              </w:rPr>
            </w:pPr>
            <w:r w:rsidRPr="00727235">
              <w:rPr>
                <w:lang w:eastAsia="ru-RU"/>
              </w:rPr>
              <w:t>12</w:t>
            </w:r>
          </w:p>
        </w:tc>
        <w:tc>
          <w:tcPr>
            <w:tcW w:w="864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FB9FA39" w14:textId="6F755390" w:rsidR="00454437" w:rsidRPr="00727235" w:rsidRDefault="00454437" w:rsidP="00454437">
            <w:pPr>
              <w:ind w:firstLine="0"/>
              <w:rPr>
                <w:lang w:eastAsia="ru-RU"/>
              </w:rPr>
            </w:pPr>
            <w:r>
              <w:rPr>
                <w:color w:val="000000"/>
              </w:rPr>
              <w:t>Расстояние от населенного пункта до центра муниципального района, городского округа</w:t>
            </w:r>
          </w:p>
        </w:tc>
      </w:tr>
      <w:tr w:rsidR="00454437" w:rsidRPr="00727235" w14:paraId="1332C7CD" w14:textId="77777777" w:rsidTr="00960A20">
        <w:trPr>
          <w:trHeight w:val="20"/>
        </w:trPr>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14:paraId="478AD63E" w14:textId="7874A505" w:rsidR="00454437" w:rsidRPr="00727235" w:rsidRDefault="00454437" w:rsidP="00454437">
            <w:pPr>
              <w:rPr>
                <w:lang w:eastAsia="ru-RU"/>
              </w:rPr>
            </w:pPr>
            <w:r w:rsidRPr="00727235">
              <w:rPr>
                <w:lang w:eastAsia="ru-RU"/>
              </w:rPr>
              <w:t>13</w:t>
            </w:r>
          </w:p>
        </w:tc>
        <w:tc>
          <w:tcPr>
            <w:tcW w:w="864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449EDC1" w14:textId="26B18CD7" w:rsidR="00454437" w:rsidRPr="00727235" w:rsidRDefault="00454437" w:rsidP="00454437">
            <w:pPr>
              <w:ind w:firstLine="0"/>
              <w:rPr>
                <w:lang w:eastAsia="ru-RU"/>
              </w:rPr>
            </w:pPr>
            <w:r>
              <w:rPr>
                <w:color w:val="000000"/>
              </w:rPr>
              <w:t>Расстояние от объекта до административного центра населенного пункта</w:t>
            </w:r>
          </w:p>
        </w:tc>
      </w:tr>
      <w:tr w:rsidR="00454437" w:rsidRPr="00727235" w14:paraId="2C5967B6" w14:textId="77777777" w:rsidTr="00960A20">
        <w:trPr>
          <w:trHeight w:val="20"/>
        </w:trPr>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14:paraId="1E27D047" w14:textId="43F44D53" w:rsidR="00454437" w:rsidRPr="00727235" w:rsidRDefault="00454437" w:rsidP="00454437">
            <w:pPr>
              <w:rPr>
                <w:lang w:eastAsia="ru-RU"/>
              </w:rPr>
            </w:pPr>
            <w:r w:rsidRPr="00727235">
              <w:rPr>
                <w:lang w:eastAsia="ru-RU"/>
              </w:rPr>
              <w:t>14</w:t>
            </w:r>
          </w:p>
        </w:tc>
        <w:tc>
          <w:tcPr>
            <w:tcW w:w="864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86DEE3C" w14:textId="12977F96" w:rsidR="00454437" w:rsidRPr="00727235" w:rsidRDefault="00454437" w:rsidP="00454437">
            <w:pPr>
              <w:ind w:firstLine="0"/>
              <w:rPr>
                <w:lang w:eastAsia="ru-RU"/>
              </w:rPr>
            </w:pPr>
            <w:r>
              <w:rPr>
                <w:color w:val="000000"/>
              </w:rPr>
              <w:t>Расстояние от объекта до историко-культурного центра населенного пункта</w:t>
            </w:r>
          </w:p>
        </w:tc>
      </w:tr>
      <w:tr w:rsidR="00454437" w:rsidRPr="00727235" w14:paraId="03EF8864" w14:textId="77777777" w:rsidTr="00960A20">
        <w:trPr>
          <w:trHeight w:val="20"/>
        </w:trPr>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14:paraId="7CEC8AF4" w14:textId="14220D33" w:rsidR="00454437" w:rsidRPr="00727235" w:rsidRDefault="00454437" w:rsidP="00454437">
            <w:pPr>
              <w:rPr>
                <w:lang w:eastAsia="ru-RU"/>
              </w:rPr>
            </w:pPr>
            <w:r w:rsidRPr="00727235">
              <w:rPr>
                <w:lang w:eastAsia="ru-RU"/>
              </w:rPr>
              <w:t>15</w:t>
            </w:r>
          </w:p>
        </w:tc>
        <w:tc>
          <w:tcPr>
            <w:tcW w:w="864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99BAAAE" w14:textId="6456F501" w:rsidR="00454437" w:rsidRPr="00727235" w:rsidRDefault="00454437" w:rsidP="00454437">
            <w:pPr>
              <w:ind w:firstLine="0"/>
              <w:rPr>
                <w:lang w:eastAsia="ru-RU"/>
              </w:rPr>
            </w:pPr>
            <w:r>
              <w:rPr>
                <w:color w:val="000000"/>
              </w:rPr>
              <w:t>Расстояние от объекта до локального(-ых) центра(-ов), отрицательно влияющего(-их) на стоимость объек</w:t>
            </w:r>
          </w:p>
        </w:tc>
      </w:tr>
      <w:tr w:rsidR="00454437" w:rsidRPr="00727235" w14:paraId="1961801F" w14:textId="77777777" w:rsidTr="00960A20">
        <w:trPr>
          <w:trHeight w:val="20"/>
        </w:trPr>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14:paraId="4E34DDC6" w14:textId="6D3AB521" w:rsidR="00454437" w:rsidRPr="00727235" w:rsidRDefault="00454437" w:rsidP="00454437">
            <w:pPr>
              <w:rPr>
                <w:lang w:eastAsia="ru-RU"/>
              </w:rPr>
            </w:pPr>
            <w:r w:rsidRPr="00727235">
              <w:rPr>
                <w:lang w:eastAsia="ru-RU"/>
              </w:rPr>
              <w:t>16</w:t>
            </w:r>
          </w:p>
        </w:tc>
        <w:tc>
          <w:tcPr>
            <w:tcW w:w="8646" w:type="dxa"/>
            <w:tcBorders>
              <w:top w:val="single" w:sz="4" w:space="0" w:color="auto"/>
              <w:left w:val="single" w:sz="4" w:space="0" w:color="auto"/>
              <w:bottom w:val="single" w:sz="4" w:space="0" w:color="auto"/>
              <w:right w:val="single" w:sz="4" w:space="0" w:color="auto"/>
            </w:tcBorders>
            <w:shd w:val="clear" w:color="auto" w:fill="auto"/>
            <w:vAlign w:val="center"/>
          </w:tcPr>
          <w:p w14:paraId="5D2CC3D4" w14:textId="236DB422" w:rsidR="00454437" w:rsidRPr="00727235" w:rsidRDefault="00454437" w:rsidP="00454437">
            <w:pPr>
              <w:ind w:firstLine="0"/>
              <w:rPr>
                <w:lang w:eastAsia="ru-RU"/>
              </w:rPr>
            </w:pPr>
            <w:r>
              <w:rPr>
                <w:color w:val="000000"/>
              </w:rPr>
              <w:t>Расстояние от объекта до локального(-ых) центра(-ов), положительно влияющего(-их) на стоимость объек</w:t>
            </w:r>
          </w:p>
        </w:tc>
      </w:tr>
      <w:tr w:rsidR="00454437" w:rsidRPr="00727235" w14:paraId="70A8C1F9" w14:textId="77777777" w:rsidTr="00960A20">
        <w:trPr>
          <w:trHeight w:val="20"/>
        </w:trPr>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14:paraId="6B108C7F" w14:textId="40AE4B94" w:rsidR="00454437" w:rsidRPr="00727235" w:rsidRDefault="00454437" w:rsidP="00454437">
            <w:pPr>
              <w:rPr>
                <w:lang w:eastAsia="ru-RU"/>
              </w:rPr>
            </w:pPr>
            <w:r w:rsidRPr="00727235">
              <w:rPr>
                <w:lang w:eastAsia="ru-RU"/>
              </w:rPr>
              <w:t>17</w:t>
            </w:r>
          </w:p>
        </w:tc>
        <w:tc>
          <w:tcPr>
            <w:tcW w:w="8646" w:type="dxa"/>
            <w:tcBorders>
              <w:top w:val="single" w:sz="4" w:space="0" w:color="auto"/>
              <w:left w:val="single" w:sz="4" w:space="0" w:color="auto"/>
              <w:bottom w:val="single" w:sz="4" w:space="0" w:color="auto"/>
              <w:right w:val="single" w:sz="4" w:space="0" w:color="auto"/>
            </w:tcBorders>
            <w:shd w:val="clear" w:color="auto" w:fill="auto"/>
            <w:vAlign w:val="center"/>
          </w:tcPr>
          <w:p w14:paraId="74EAD98C" w14:textId="32890A22" w:rsidR="00454437" w:rsidRPr="00727235" w:rsidRDefault="00454437" w:rsidP="00454437">
            <w:pPr>
              <w:ind w:firstLine="0"/>
              <w:rPr>
                <w:lang w:eastAsia="ru-RU"/>
              </w:rPr>
            </w:pPr>
            <w:r>
              <w:rPr>
                <w:color w:val="000000"/>
              </w:rPr>
              <w:t>Среднемесячная заработная плата в муниципальном районе, городском округе</w:t>
            </w:r>
          </w:p>
        </w:tc>
      </w:tr>
      <w:tr w:rsidR="00454437" w:rsidRPr="00727235" w14:paraId="207F9B23" w14:textId="77777777" w:rsidTr="00960A20">
        <w:trPr>
          <w:trHeight w:val="20"/>
        </w:trPr>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14:paraId="4C23248F" w14:textId="05D68CD9" w:rsidR="00454437" w:rsidRPr="00454437" w:rsidRDefault="00454437" w:rsidP="00454437">
            <w:pPr>
              <w:rPr>
                <w:lang w:val="en-US" w:eastAsia="ru-RU"/>
              </w:rPr>
            </w:pPr>
            <w:r>
              <w:rPr>
                <w:lang w:val="en-US" w:eastAsia="ru-RU"/>
              </w:rPr>
              <w:t>18</w:t>
            </w:r>
          </w:p>
        </w:tc>
        <w:tc>
          <w:tcPr>
            <w:tcW w:w="8646" w:type="dxa"/>
            <w:tcBorders>
              <w:top w:val="single" w:sz="4" w:space="0" w:color="auto"/>
              <w:left w:val="single" w:sz="4" w:space="0" w:color="auto"/>
              <w:bottom w:val="single" w:sz="4" w:space="0" w:color="auto"/>
              <w:right w:val="single" w:sz="4" w:space="0" w:color="auto"/>
            </w:tcBorders>
            <w:shd w:val="clear" w:color="auto" w:fill="auto"/>
            <w:vAlign w:val="center"/>
          </w:tcPr>
          <w:p w14:paraId="7B3E4F92" w14:textId="4E568BA6" w:rsidR="00454437" w:rsidRPr="00727235" w:rsidRDefault="00454437" w:rsidP="00454437">
            <w:pPr>
              <w:ind w:firstLine="0"/>
              <w:rPr>
                <w:lang w:eastAsia="ru-RU"/>
              </w:rPr>
            </w:pPr>
            <w:r>
              <w:rPr>
                <w:color w:val="000000"/>
              </w:rPr>
              <w:t>Физический износ_ЗП</w:t>
            </w:r>
          </w:p>
        </w:tc>
      </w:tr>
      <w:tr w:rsidR="00454437" w:rsidRPr="00727235" w14:paraId="41202FF4" w14:textId="77777777" w:rsidTr="00960A20">
        <w:trPr>
          <w:trHeight w:val="20"/>
        </w:trPr>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14:paraId="7CF44F15" w14:textId="7A99EFF2" w:rsidR="00454437" w:rsidRPr="00454437" w:rsidRDefault="00454437" w:rsidP="00454437">
            <w:pPr>
              <w:rPr>
                <w:lang w:val="en-US" w:eastAsia="ru-RU"/>
              </w:rPr>
            </w:pPr>
            <w:r>
              <w:rPr>
                <w:lang w:val="en-US" w:eastAsia="ru-RU"/>
              </w:rPr>
              <w:t>19</w:t>
            </w:r>
          </w:p>
        </w:tc>
        <w:tc>
          <w:tcPr>
            <w:tcW w:w="8646" w:type="dxa"/>
            <w:tcBorders>
              <w:top w:val="single" w:sz="4" w:space="0" w:color="auto"/>
              <w:left w:val="single" w:sz="4" w:space="0" w:color="auto"/>
              <w:bottom w:val="single" w:sz="4" w:space="0" w:color="auto"/>
              <w:right w:val="single" w:sz="4" w:space="0" w:color="auto"/>
            </w:tcBorders>
            <w:shd w:val="clear" w:color="auto" w:fill="auto"/>
            <w:vAlign w:val="center"/>
          </w:tcPr>
          <w:p w14:paraId="438ADBD4" w14:textId="69383C37" w:rsidR="00454437" w:rsidRPr="00727235" w:rsidRDefault="00454437" w:rsidP="00454437">
            <w:pPr>
              <w:ind w:firstLine="0"/>
              <w:rPr>
                <w:lang w:eastAsia="ru-RU"/>
              </w:rPr>
            </w:pPr>
            <w:r>
              <w:rPr>
                <w:color w:val="000000"/>
              </w:rPr>
              <w:t>ЦГКО_уточнение Год постройки</w:t>
            </w:r>
          </w:p>
        </w:tc>
      </w:tr>
      <w:tr w:rsidR="00454437" w:rsidRPr="00727235" w14:paraId="4C4EFB47" w14:textId="77777777" w:rsidTr="00960A20">
        <w:trPr>
          <w:trHeight w:val="20"/>
        </w:trPr>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14:paraId="09D2D3D1" w14:textId="6AEA6B88" w:rsidR="00454437" w:rsidRPr="00454437" w:rsidRDefault="00454437" w:rsidP="00454437">
            <w:pPr>
              <w:rPr>
                <w:lang w:val="en-US" w:eastAsia="ru-RU"/>
              </w:rPr>
            </w:pPr>
            <w:r>
              <w:rPr>
                <w:lang w:val="en-US" w:eastAsia="ru-RU"/>
              </w:rPr>
              <w:t>20</w:t>
            </w:r>
          </w:p>
        </w:tc>
        <w:tc>
          <w:tcPr>
            <w:tcW w:w="8646" w:type="dxa"/>
            <w:tcBorders>
              <w:top w:val="single" w:sz="4" w:space="0" w:color="auto"/>
              <w:left w:val="single" w:sz="4" w:space="0" w:color="auto"/>
              <w:bottom w:val="single" w:sz="4" w:space="0" w:color="auto"/>
              <w:right w:val="single" w:sz="4" w:space="0" w:color="auto"/>
            </w:tcBorders>
            <w:shd w:val="clear" w:color="auto" w:fill="auto"/>
            <w:vAlign w:val="center"/>
          </w:tcPr>
          <w:p w14:paraId="7814AD73" w14:textId="2D6AECD0" w:rsidR="00454437" w:rsidRPr="00727235" w:rsidRDefault="00454437" w:rsidP="00454437">
            <w:pPr>
              <w:ind w:firstLine="0"/>
              <w:rPr>
                <w:lang w:eastAsia="ru-RU"/>
              </w:rPr>
            </w:pPr>
            <w:r>
              <w:rPr>
                <w:color w:val="000000"/>
              </w:rPr>
              <w:t>Численность населения в муниципальном районе, городском округе</w:t>
            </w:r>
          </w:p>
        </w:tc>
      </w:tr>
      <w:tr w:rsidR="00454437" w:rsidRPr="00727235" w14:paraId="50656183" w14:textId="77777777" w:rsidTr="00960A20">
        <w:trPr>
          <w:trHeight w:val="20"/>
        </w:trPr>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14:paraId="1C3328FF" w14:textId="7239BFC5" w:rsidR="00454437" w:rsidRPr="00454437" w:rsidRDefault="00454437" w:rsidP="00454437">
            <w:pPr>
              <w:rPr>
                <w:lang w:val="en-US" w:eastAsia="ru-RU"/>
              </w:rPr>
            </w:pPr>
            <w:r>
              <w:rPr>
                <w:lang w:val="en-US" w:eastAsia="ru-RU"/>
              </w:rPr>
              <w:t>21</w:t>
            </w:r>
          </w:p>
        </w:tc>
        <w:tc>
          <w:tcPr>
            <w:tcW w:w="8646" w:type="dxa"/>
            <w:tcBorders>
              <w:top w:val="single" w:sz="4" w:space="0" w:color="auto"/>
              <w:left w:val="single" w:sz="4" w:space="0" w:color="auto"/>
              <w:bottom w:val="single" w:sz="4" w:space="0" w:color="auto"/>
              <w:right w:val="single" w:sz="4" w:space="0" w:color="auto"/>
            </w:tcBorders>
            <w:shd w:val="clear" w:color="auto" w:fill="auto"/>
            <w:vAlign w:val="center"/>
          </w:tcPr>
          <w:p w14:paraId="71B88F7B" w14:textId="7A0BB170" w:rsidR="00454437" w:rsidRPr="00727235" w:rsidRDefault="00454437" w:rsidP="00454437">
            <w:pPr>
              <w:ind w:firstLine="0"/>
              <w:rPr>
                <w:lang w:eastAsia="ru-RU"/>
              </w:rPr>
            </w:pPr>
            <w:r>
              <w:rPr>
                <w:color w:val="000000"/>
              </w:rPr>
              <w:t>Численность населения в населенном пункте</w:t>
            </w:r>
          </w:p>
        </w:tc>
      </w:tr>
      <w:tr w:rsidR="00A036DD" w:rsidRPr="00960A20" w14:paraId="0586910C" w14:textId="77777777" w:rsidTr="00A036DD">
        <w:trPr>
          <w:trHeight w:val="20"/>
        </w:trPr>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14:paraId="5D03D05F" w14:textId="77777777" w:rsidR="00A036DD" w:rsidRPr="00727235" w:rsidRDefault="00A036DD" w:rsidP="00877D91">
            <w:pPr>
              <w:rPr>
                <w:lang w:eastAsia="ru-RU"/>
              </w:rPr>
            </w:pPr>
          </w:p>
        </w:tc>
        <w:tc>
          <w:tcPr>
            <w:tcW w:w="8646" w:type="dxa"/>
            <w:tcBorders>
              <w:top w:val="single" w:sz="4" w:space="0" w:color="auto"/>
              <w:left w:val="single" w:sz="4" w:space="0" w:color="auto"/>
              <w:bottom w:val="single" w:sz="4" w:space="0" w:color="auto"/>
              <w:right w:val="single" w:sz="4" w:space="0" w:color="auto"/>
            </w:tcBorders>
            <w:shd w:val="clear" w:color="auto" w:fill="auto"/>
            <w:vAlign w:val="center"/>
          </w:tcPr>
          <w:p w14:paraId="765DBF73" w14:textId="226E05D5" w:rsidR="00A036DD" w:rsidRPr="00A036DD" w:rsidRDefault="00A036DD" w:rsidP="00A036DD">
            <w:pPr>
              <w:ind w:firstLine="0"/>
              <w:rPr>
                <w:i/>
                <w:lang w:eastAsia="ru-RU"/>
              </w:rPr>
            </w:pPr>
            <w:r w:rsidRPr="00A036DD">
              <w:rPr>
                <w:i/>
                <w:lang w:eastAsia="ru-RU"/>
              </w:rPr>
              <w:t>Группа 2 код подгруппы 2.10</w:t>
            </w:r>
          </w:p>
        </w:tc>
      </w:tr>
      <w:tr w:rsidR="002F4FAF" w:rsidRPr="00727235" w14:paraId="73B792AD" w14:textId="77777777" w:rsidTr="00A036DD">
        <w:trPr>
          <w:trHeight w:val="20"/>
        </w:trPr>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14:paraId="16772CFD" w14:textId="4C90FBD8" w:rsidR="002F4FAF" w:rsidRPr="00727235" w:rsidRDefault="002F4FAF" w:rsidP="002F4FAF">
            <w:pPr>
              <w:rPr>
                <w:lang w:eastAsia="ru-RU"/>
              </w:rPr>
            </w:pPr>
            <w:r>
              <w:t>1</w:t>
            </w:r>
          </w:p>
        </w:tc>
        <w:tc>
          <w:tcPr>
            <w:tcW w:w="8646" w:type="dxa"/>
            <w:tcBorders>
              <w:top w:val="single" w:sz="4" w:space="0" w:color="auto"/>
              <w:left w:val="single" w:sz="4" w:space="0" w:color="auto"/>
              <w:bottom w:val="single" w:sz="4" w:space="0" w:color="auto"/>
              <w:right w:val="single" w:sz="4" w:space="0" w:color="auto"/>
            </w:tcBorders>
            <w:shd w:val="clear" w:color="auto" w:fill="auto"/>
            <w:vAlign w:val="center"/>
          </w:tcPr>
          <w:p w14:paraId="75059F27" w14:textId="1D0EFE16" w:rsidR="002F4FAF" w:rsidRPr="00727235" w:rsidRDefault="002F4FAF" w:rsidP="002F4FAF">
            <w:pPr>
              <w:ind w:firstLine="0"/>
              <w:rPr>
                <w:lang w:eastAsia="ru-RU"/>
              </w:rPr>
            </w:pPr>
            <w:r>
              <w:rPr>
                <w:color w:val="000000"/>
              </w:rPr>
              <w:t>Газоснабжение</w:t>
            </w:r>
          </w:p>
        </w:tc>
      </w:tr>
      <w:tr w:rsidR="002F4FAF" w:rsidRPr="00727235" w14:paraId="7D276EB1" w14:textId="77777777" w:rsidTr="00A036DD">
        <w:trPr>
          <w:trHeight w:val="20"/>
        </w:trPr>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14:paraId="6482EC42" w14:textId="0E62C81C" w:rsidR="002F4FAF" w:rsidRPr="00727235" w:rsidRDefault="002F4FAF" w:rsidP="002F4FAF">
            <w:pPr>
              <w:rPr>
                <w:lang w:eastAsia="ru-RU"/>
              </w:rPr>
            </w:pPr>
            <w:r>
              <w:t>2</w:t>
            </w:r>
          </w:p>
        </w:tc>
        <w:tc>
          <w:tcPr>
            <w:tcW w:w="8646" w:type="dxa"/>
            <w:tcBorders>
              <w:top w:val="single" w:sz="4" w:space="0" w:color="auto"/>
              <w:left w:val="single" w:sz="4" w:space="0" w:color="auto"/>
              <w:bottom w:val="single" w:sz="4" w:space="0" w:color="auto"/>
              <w:right w:val="single" w:sz="4" w:space="0" w:color="auto"/>
            </w:tcBorders>
            <w:shd w:val="clear" w:color="auto" w:fill="auto"/>
            <w:vAlign w:val="center"/>
          </w:tcPr>
          <w:p w14:paraId="0DAE9219" w14:textId="3544908F" w:rsidR="002F4FAF" w:rsidRPr="00727235" w:rsidRDefault="002F4FAF" w:rsidP="002F4FAF">
            <w:pPr>
              <w:ind w:firstLine="0"/>
              <w:rPr>
                <w:lang w:eastAsia="ru-RU"/>
              </w:rPr>
            </w:pPr>
            <w:r>
              <w:rPr>
                <w:color w:val="000000"/>
              </w:rPr>
              <w:t>Группа капитальности_ЗП</w:t>
            </w:r>
          </w:p>
        </w:tc>
      </w:tr>
      <w:tr w:rsidR="002F4FAF" w:rsidRPr="00727235" w14:paraId="1CFC4CD4" w14:textId="77777777" w:rsidTr="00A036DD">
        <w:trPr>
          <w:trHeight w:val="20"/>
        </w:trPr>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14:paraId="6CCE838B" w14:textId="1B2E978D" w:rsidR="002F4FAF" w:rsidRPr="00727235" w:rsidRDefault="002F4FAF" w:rsidP="002F4FAF">
            <w:pPr>
              <w:rPr>
                <w:lang w:eastAsia="ru-RU"/>
              </w:rPr>
            </w:pPr>
            <w:r>
              <w:t>3</w:t>
            </w:r>
          </w:p>
        </w:tc>
        <w:tc>
          <w:tcPr>
            <w:tcW w:w="8646" w:type="dxa"/>
            <w:tcBorders>
              <w:top w:val="single" w:sz="4" w:space="0" w:color="auto"/>
              <w:left w:val="single" w:sz="4" w:space="0" w:color="auto"/>
              <w:bottom w:val="single" w:sz="4" w:space="0" w:color="auto"/>
              <w:right w:val="single" w:sz="4" w:space="0" w:color="auto"/>
            </w:tcBorders>
            <w:shd w:val="clear" w:color="auto" w:fill="auto"/>
            <w:vAlign w:val="center"/>
          </w:tcPr>
          <w:p w14:paraId="49996674" w14:textId="6C038C6F" w:rsidR="002F4FAF" w:rsidRPr="00727235" w:rsidRDefault="002F4FAF" w:rsidP="002F4FAF">
            <w:pPr>
              <w:ind w:firstLine="0"/>
              <w:rPr>
                <w:lang w:eastAsia="ru-RU"/>
              </w:rPr>
            </w:pPr>
            <w:r>
              <w:rPr>
                <w:color w:val="000000"/>
              </w:rPr>
              <w:t>Канализация</w:t>
            </w:r>
          </w:p>
        </w:tc>
      </w:tr>
      <w:tr w:rsidR="002F4FAF" w:rsidRPr="00727235" w14:paraId="3C1BAD35" w14:textId="77777777" w:rsidTr="00A036DD">
        <w:trPr>
          <w:trHeight w:val="20"/>
        </w:trPr>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14:paraId="161C2EF2" w14:textId="4364B11A" w:rsidR="002F4FAF" w:rsidRPr="00727235" w:rsidRDefault="002F4FAF" w:rsidP="002F4FAF">
            <w:pPr>
              <w:rPr>
                <w:lang w:eastAsia="ru-RU"/>
              </w:rPr>
            </w:pPr>
            <w:r>
              <w:t>4</w:t>
            </w:r>
          </w:p>
        </w:tc>
        <w:tc>
          <w:tcPr>
            <w:tcW w:w="8646" w:type="dxa"/>
            <w:tcBorders>
              <w:top w:val="single" w:sz="4" w:space="0" w:color="auto"/>
              <w:left w:val="single" w:sz="4" w:space="0" w:color="auto"/>
              <w:bottom w:val="single" w:sz="4" w:space="0" w:color="auto"/>
              <w:right w:val="single" w:sz="4" w:space="0" w:color="auto"/>
            </w:tcBorders>
            <w:shd w:val="clear" w:color="auto" w:fill="auto"/>
            <w:vAlign w:val="center"/>
          </w:tcPr>
          <w:p w14:paraId="5241A9CB" w14:textId="3B861942" w:rsidR="002F4FAF" w:rsidRPr="00727235" w:rsidRDefault="002F4FAF" w:rsidP="002F4FAF">
            <w:pPr>
              <w:ind w:firstLine="0"/>
              <w:rPr>
                <w:lang w:eastAsia="ru-RU"/>
              </w:rPr>
            </w:pPr>
            <w:r>
              <w:rPr>
                <w:color w:val="000000"/>
              </w:rPr>
              <w:t>Наименование</w:t>
            </w:r>
          </w:p>
        </w:tc>
      </w:tr>
      <w:tr w:rsidR="002F4FAF" w:rsidRPr="00727235" w14:paraId="350DB7A1" w14:textId="77777777" w:rsidTr="00A036DD">
        <w:trPr>
          <w:trHeight w:val="20"/>
        </w:trPr>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14:paraId="0CD0A9A4" w14:textId="2216D067" w:rsidR="002F4FAF" w:rsidRPr="00727235" w:rsidRDefault="002F4FAF" w:rsidP="002F4FAF">
            <w:pPr>
              <w:rPr>
                <w:lang w:eastAsia="ru-RU"/>
              </w:rPr>
            </w:pPr>
            <w:r>
              <w:t>5</w:t>
            </w:r>
          </w:p>
        </w:tc>
        <w:tc>
          <w:tcPr>
            <w:tcW w:w="8646" w:type="dxa"/>
            <w:tcBorders>
              <w:top w:val="single" w:sz="4" w:space="0" w:color="auto"/>
              <w:left w:val="single" w:sz="4" w:space="0" w:color="auto"/>
              <w:bottom w:val="single" w:sz="4" w:space="0" w:color="auto"/>
              <w:right w:val="single" w:sz="4" w:space="0" w:color="auto"/>
            </w:tcBorders>
            <w:shd w:val="clear" w:color="auto" w:fill="auto"/>
            <w:vAlign w:val="center"/>
          </w:tcPr>
          <w:p w14:paraId="3C08B4D2" w14:textId="3397EBFE" w:rsidR="002F4FAF" w:rsidRPr="00727235" w:rsidRDefault="002F4FAF" w:rsidP="002F4FAF">
            <w:pPr>
              <w:ind w:firstLine="0"/>
              <w:rPr>
                <w:lang w:eastAsia="ru-RU"/>
              </w:rPr>
            </w:pPr>
            <w:r>
              <w:rPr>
                <w:color w:val="000000"/>
              </w:rPr>
              <w:t>Номер этажа</w:t>
            </w:r>
          </w:p>
        </w:tc>
      </w:tr>
      <w:tr w:rsidR="002F4FAF" w:rsidRPr="00727235" w14:paraId="00E4D64E" w14:textId="77777777" w:rsidTr="00A036DD">
        <w:trPr>
          <w:trHeight w:val="20"/>
        </w:trPr>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14:paraId="6A4A5F12" w14:textId="687D52C6" w:rsidR="002F4FAF" w:rsidRPr="00727235" w:rsidRDefault="002F4FAF" w:rsidP="002F4FAF">
            <w:pPr>
              <w:rPr>
                <w:lang w:eastAsia="ru-RU"/>
              </w:rPr>
            </w:pPr>
            <w:r>
              <w:t>6</w:t>
            </w:r>
          </w:p>
        </w:tc>
        <w:tc>
          <w:tcPr>
            <w:tcW w:w="8646" w:type="dxa"/>
            <w:tcBorders>
              <w:top w:val="single" w:sz="4" w:space="0" w:color="auto"/>
              <w:left w:val="single" w:sz="4" w:space="0" w:color="auto"/>
              <w:bottom w:val="single" w:sz="4" w:space="0" w:color="auto"/>
              <w:right w:val="single" w:sz="4" w:space="0" w:color="auto"/>
            </w:tcBorders>
            <w:shd w:val="clear" w:color="auto" w:fill="auto"/>
            <w:vAlign w:val="center"/>
          </w:tcPr>
          <w:p w14:paraId="422E2F99" w14:textId="06A90209" w:rsidR="002F4FAF" w:rsidRPr="00727235" w:rsidRDefault="002F4FAF" w:rsidP="002F4FAF">
            <w:pPr>
              <w:ind w:firstLine="0"/>
              <w:rPr>
                <w:lang w:eastAsia="ru-RU"/>
              </w:rPr>
            </w:pPr>
            <w:r>
              <w:rPr>
                <w:color w:val="000000"/>
              </w:rPr>
              <w:t>Расстояние до ближайшей из основных дорог города</w:t>
            </w:r>
          </w:p>
        </w:tc>
      </w:tr>
      <w:tr w:rsidR="002F4FAF" w:rsidRPr="00727235" w14:paraId="06E8B006" w14:textId="77777777" w:rsidTr="00A036DD">
        <w:trPr>
          <w:trHeight w:val="20"/>
        </w:trPr>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14:paraId="65FE1A04" w14:textId="7302C040" w:rsidR="002F4FAF" w:rsidRPr="00727235" w:rsidRDefault="002F4FAF" w:rsidP="002F4FAF">
            <w:pPr>
              <w:rPr>
                <w:lang w:eastAsia="ru-RU"/>
              </w:rPr>
            </w:pPr>
            <w:r>
              <w:t>7</w:t>
            </w:r>
          </w:p>
        </w:tc>
        <w:tc>
          <w:tcPr>
            <w:tcW w:w="8646" w:type="dxa"/>
            <w:tcBorders>
              <w:top w:val="single" w:sz="4" w:space="0" w:color="auto"/>
              <w:left w:val="single" w:sz="4" w:space="0" w:color="auto"/>
              <w:bottom w:val="single" w:sz="4" w:space="0" w:color="auto"/>
              <w:right w:val="single" w:sz="4" w:space="0" w:color="auto"/>
            </w:tcBorders>
            <w:shd w:val="clear" w:color="auto" w:fill="auto"/>
            <w:vAlign w:val="center"/>
          </w:tcPr>
          <w:p w14:paraId="603907AF" w14:textId="0566317C" w:rsidR="002F4FAF" w:rsidRPr="00727235" w:rsidRDefault="002F4FAF" w:rsidP="002F4FAF">
            <w:pPr>
              <w:ind w:firstLine="0"/>
              <w:rPr>
                <w:lang w:eastAsia="ru-RU"/>
              </w:rPr>
            </w:pPr>
            <w:r>
              <w:rPr>
                <w:color w:val="000000"/>
              </w:rPr>
              <w:t>Расстояние до остановок общественного транспорта (в т.ч. автовокзалы, автостанции, автобусные остано</w:t>
            </w:r>
          </w:p>
        </w:tc>
      </w:tr>
      <w:tr w:rsidR="002F4FAF" w:rsidRPr="00727235" w14:paraId="44E6C352" w14:textId="77777777" w:rsidTr="00A036DD">
        <w:trPr>
          <w:trHeight w:val="20"/>
        </w:trPr>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14:paraId="27B59BCA" w14:textId="0FC2A30C" w:rsidR="002F4FAF" w:rsidRPr="00727235" w:rsidRDefault="002F4FAF" w:rsidP="002F4FAF">
            <w:pPr>
              <w:rPr>
                <w:lang w:eastAsia="ru-RU"/>
              </w:rPr>
            </w:pPr>
            <w:r>
              <w:t>8</w:t>
            </w:r>
          </w:p>
        </w:tc>
        <w:tc>
          <w:tcPr>
            <w:tcW w:w="8646" w:type="dxa"/>
            <w:tcBorders>
              <w:top w:val="single" w:sz="4" w:space="0" w:color="auto"/>
              <w:left w:val="single" w:sz="4" w:space="0" w:color="auto"/>
              <w:bottom w:val="single" w:sz="4" w:space="0" w:color="auto"/>
              <w:right w:val="single" w:sz="4" w:space="0" w:color="auto"/>
            </w:tcBorders>
            <w:shd w:val="clear" w:color="auto" w:fill="auto"/>
            <w:vAlign w:val="center"/>
          </w:tcPr>
          <w:p w14:paraId="7D266467" w14:textId="56EB3A9F" w:rsidR="002F4FAF" w:rsidRPr="00727235" w:rsidRDefault="002F4FAF" w:rsidP="002F4FAF">
            <w:pPr>
              <w:ind w:firstLine="0"/>
              <w:rPr>
                <w:lang w:eastAsia="ru-RU"/>
              </w:rPr>
            </w:pPr>
            <w:r>
              <w:rPr>
                <w:color w:val="000000"/>
              </w:rPr>
              <w:t>Расстояние объекта до общественно-делового центра населенного пункта</w:t>
            </w:r>
          </w:p>
        </w:tc>
      </w:tr>
      <w:tr w:rsidR="002F4FAF" w:rsidRPr="00727235" w14:paraId="08A56ECA" w14:textId="77777777" w:rsidTr="00A036DD">
        <w:trPr>
          <w:trHeight w:val="20"/>
        </w:trPr>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14:paraId="63DFFD06" w14:textId="07C49BC6" w:rsidR="002F4FAF" w:rsidRPr="00727235" w:rsidRDefault="002F4FAF" w:rsidP="002F4FAF">
            <w:pPr>
              <w:rPr>
                <w:lang w:eastAsia="ru-RU"/>
              </w:rPr>
            </w:pPr>
            <w:r>
              <w:t>9</w:t>
            </w:r>
          </w:p>
        </w:tc>
        <w:tc>
          <w:tcPr>
            <w:tcW w:w="8646" w:type="dxa"/>
            <w:tcBorders>
              <w:top w:val="single" w:sz="4" w:space="0" w:color="auto"/>
              <w:left w:val="single" w:sz="4" w:space="0" w:color="auto"/>
              <w:bottom w:val="single" w:sz="4" w:space="0" w:color="auto"/>
              <w:right w:val="single" w:sz="4" w:space="0" w:color="auto"/>
            </w:tcBorders>
            <w:shd w:val="clear" w:color="auto" w:fill="auto"/>
            <w:vAlign w:val="center"/>
          </w:tcPr>
          <w:p w14:paraId="22FAC006" w14:textId="179EA902" w:rsidR="002F4FAF" w:rsidRPr="00727235" w:rsidRDefault="002F4FAF" w:rsidP="002F4FAF">
            <w:pPr>
              <w:ind w:firstLine="0"/>
              <w:rPr>
                <w:lang w:eastAsia="ru-RU"/>
              </w:rPr>
            </w:pPr>
            <w:r>
              <w:rPr>
                <w:color w:val="000000"/>
              </w:rPr>
              <w:t>Расстояние от объекта до административного центра населенного пункта</w:t>
            </w:r>
          </w:p>
        </w:tc>
      </w:tr>
      <w:tr w:rsidR="002F4FAF" w:rsidRPr="00727235" w14:paraId="16FB9510" w14:textId="77777777" w:rsidTr="00A036DD">
        <w:trPr>
          <w:trHeight w:val="20"/>
        </w:trPr>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14:paraId="4D97EF3C" w14:textId="45BDD2A8" w:rsidR="002F4FAF" w:rsidRPr="00727235" w:rsidRDefault="002F4FAF" w:rsidP="002F4FAF">
            <w:pPr>
              <w:rPr>
                <w:lang w:eastAsia="ru-RU"/>
              </w:rPr>
            </w:pPr>
            <w:r>
              <w:t>10</w:t>
            </w:r>
          </w:p>
        </w:tc>
        <w:tc>
          <w:tcPr>
            <w:tcW w:w="8646" w:type="dxa"/>
            <w:tcBorders>
              <w:top w:val="single" w:sz="4" w:space="0" w:color="auto"/>
              <w:left w:val="single" w:sz="4" w:space="0" w:color="auto"/>
              <w:bottom w:val="single" w:sz="4" w:space="0" w:color="auto"/>
              <w:right w:val="single" w:sz="4" w:space="0" w:color="auto"/>
            </w:tcBorders>
            <w:shd w:val="clear" w:color="auto" w:fill="auto"/>
            <w:vAlign w:val="center"/>
          </w:tcPr>
          <w:p w14:paraId="58C19EF2" w14:textId="23EE5900" w:rsidR="002F4FAF" w:rsidRPr="00727235" w:rsidRDefault="002F4FAF" w:rsidP="002F4FAF">
            <w:pPr>
              <w:ind w:firstLine="0"/>
              <w:rPr>
                <w:lang w:eastAsia="ru-RU"/>
              </w:rPr>
            </w:pPr>
            <w:r>
              <w:rPr>
                <w:color w:val="000000"/>
              </w:rPr>
              <w:t>Расстояние от объекта до историко-культурного центра населенного пункта</w:t>
            </w:r>
          </w:p>
        </w:tc>
      </w:tr>
      <w:tr w:rsidR="002F4FAF" w:rsidRPr="00727235" w14:paraId="65F4F535" w14:textId="77777777" w:rsidTr="00A036DD">
        <w:trPr>
          <w:trHeight w:val="20"/>
        </w:trPr>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14:paraId="4C9256E9" w14:textId="08A6ED2D" w:rsidR="002F4FAF" w:rsidRPr="00727235" w:rsidRDefault="002F4FAF" w:rsidP="002F4FAF">
            <w:pPr>
              <w:rPr>
                <w:lang w:eastAsia="ru-RU"/>
              </w:rPr>
            </w:pPr>
            <w:r>
              <w:t>11</w:t>
            </w:r>
          </w:p>
        </w:tc>
        <w:tc>
          <w:tcPr>
            <w:tcW w:w="8646" w:type="dxa"/>
            <w:tcBorders>
              <w:top w:val="single" w:sz="4" w:space="0" w:color="auto"/>
              <w:left w:val="single" w:sz="4" w:space="0" w:color="auto"/>
              <w:bottom w:val="single" w:sz="4" w:space="0" w:color="auto"/>
              <w:right w:val="single" w:sz="4" w:space="0" w:color="auto"/>
            </w:tcBorders>
            <w:shd w:val="clear" w:color="auto" w:fill="auto"/>
            <w:vAlign w:val="center"/>
          </w:tcPr>
          <w:p w14:paraId="251D0927" w14:textId="6B5FA5DA" w:rsidR="002F4FAF" w:rsidRPr="00727235" w:rsidRDefault="002F4FAF" w:rsidP="002F4FAF">
            <w:pPr>
              <w:ind w:firstLine="0"/>
              <w:rPr>
                <w:lang w:eastAsia="ru-RU"/>
              </w:rPr>
            </w:pPr>
            <w:r>
              <w:rPr>
                <w:color w:val="000000"/>
              </w:rPr>
              <w:t>Расстояние от объекта до локального(-ых) центра(-ов), отрицательно влияющего(-их) на стоимость объек</w:t>
            </w:r>
          </w:p>
        </w:tc>
      </w:tr>
      <w:tr w:rsidR="002F4FAF" w:rsidRPr="00727235" w14:paraId="146E19C7" w14:textId="77777777" w:rsidTr="00A036DD">
        <w:trPr>
          <w:trHeight w:val="20"/>
        </w:trPr>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14:paraId="016FDC82" w14:textId="205319ED" w:rsidR="002F4FAF" w:rsidRPr="00727235" w:rsidRDefault="002F4FAF" w:rsidP="002F4FAF">
            <w:pPr>
              <w:rPr>
                <w:lang w:eastAsia="ru-RU"/>
              </w:rPr>
            </w:pPr>
            <w:r>
              <w:t>12</w:t>
            </w:r>
          </w:p>
        </w:tc>
        <w:tc>
          <w:tcPr>
            <w:tcW w:w="8646" w:type="dxa"/>
            <w:tcBorders>
              <w:top w:val="single" w:sz="4" w:space="0" w:color="auto"/>
              <w:left w:val="single" w:sz="4" w:space="0" w:color="auto"/>
              <w:bottom w:val="single" w:sz="4" w:space="0" w:color="auto"/>
              <w:right w:val="single" w:sz="4" w:space="0" w:color="auto"/>
            </w:tcBorders>
            <w:shd w:val="clear" w:color="auto" w:fill="auto"/>
            <w:vAlign w:val="center"/>
          </w:tcPr>
          <w:p w14:paraId="3B6B0A12" w14:textId="4835646B" w:rsidR="002F4FAF" w:rsidRPr="00727235" w:rsidRDefault="002F4FAF" w:rsidP="002F4FAF">
            <w:pPr>
              <w:ind w:firstLine="0"/>
              <w:rPr>
                <w:lang w:eastAsia="ru-RU"/>
              </w:rPr>
            </w:pPr>
            <w:r>
              <w:rPr>
                <w:color w:val="000000"/>
              </w:rPr>
              <w:t>Расстояние от объекта до локального(-ых) центра(-ов), положительно влияющего(-их) на стоимость объек</w:t>
            </w:r>
          </w:p>
        </w:tc>
      </w:tr>
      <w:tr w:rsidR="002F4FAF" w:rsidRPr="00727235" w14:paraId="739E0D01" w14:textId="77777777" w:rsidTr="00A036DD">
        <w:trPr>
          <w:trHeight w:val="20"/>
        </w:trPr>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14:paraId="5EDF9FF0" w14:textId="402B5AA3" w:rsidR="002F4FAF" w:rsidRPr="00727235" w:rsidRDefault="002F4FAF" w:rsidP="002F4FAF">
            <w:pPr>
              <w:rPr>
                <w:lang w:eastAsia="ru-RU"/>
              </w:rPr>
            </w:pPr>
            <w:r>
              <w:t>13</w:t>
            </w:r>
          </w:p>
        </w:tc>
        <w:tc>
          <w:tcPr>
            <w:tcW w:w="8646" w:type="dxa"/>
            <w:tcBorders>
              <w:top w:val="single" w:sz="4" w:space="0" w:color="auto"/>
              <w:left w:val="single" w:sz="4" w:space="0" w:color="auto"/>
              <w:bottom w:val="single" w:sz="4" w:space="0" w:color="auto"/>
              <w:right w:val="single" w:sz="4" w:space="0" w:color="auto"/>
            </w:tcBorders>
            <w:shd w:val="clear" w:color="auto" w:fill="auto"/>
            <w:vAlign w:val="center"/>
          </w:tcPr>
          <w:p w14:paraId="4407A051" w14:textId="78BAC139" w:rsidR="002F4FAF" w:rsidRPr="00727235" w:rsidRDefault="002F4FAF" w:rsidP="002F4FAF">
            <w:pPr>
              <w:ind w:firstLine="0"/>
              <w:rPr>
                <w:lang w:eastAsia="ru-RU"/>
              </w:rPr>
            </w:pPr>
            <w:r>
              <w:rPr>
                <w:color w:val="000000"/>
              </w:rPr>
              <w:t>Теплоснабжение</w:t>
            </w:r>
          </w:p>
        </w:tc>
      </w:tr>
      <w:tr w:rsidR="002F4FAF" w:rsidRPr="00727235" w14:paraId="227FD1CD" w14:textId="77777777" w:rsidTr="00A036DD">
        <w:trPr>
          <w:trHeight w:val="20"/>
        </w:trPr>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14:paraId="1165C771" w14:textId="24DBEE2B" w:rsidR="002F4FAF" w:rsidRPr="00727235" w:rsidRDefault="002F4FAF" w:rsidP="002F4FAF">
            <w:pPr>
              <w:rPr>
                <w:lang w:eastAsia="ru-RU"/>
              </w:rPr>
            </w:pPr>
            <w:r w:rsidRPr="00727235">
              <w:t>14</w:t>
            </w:r>
          </w:p>
        </w:tc>
        <w:tc>
          <w:tcPr>
            <w:tcW w:w="8646" w:type="dxa"/>
            <w:tcBorders>
              <w:top w:val="single" w:sz="4" w:space="0" w:color="auto"/>
              <w:left w:val="single" w:sz="4" w:space="0" w:color="auto"/>
              <w:bottom w:val="single" w:sz="4" w:space="0" w:color="auto"/>
              <w:right w:val="single" w:sz="4" w:space="0" w:color="auto"/>
            </w:tcBorders>
            <w:shd w:val="clear" w:color="auto" w:fill="auto"/>
            <w:vAlign w:val="center"/>
          </w:tcPr>
          <w:p w14:paraId="08A0F912" w14:textId="4E164D65" w:rsidR="002F4FAF" w:rsidRPr="00727235" w:rsidRDefault="002F4FAF" w:rsidP="002F4FAF">
            <w:pPr>
              <w:ind w:firstLine="0"/>
              <w:rPr>
                <w:lang w:eastAsia="ru-RU"/>
              </w:rPr>
            </w:pPr>
            <w:r>
              <w:rPr>
                <w:color w:val="000000"/>
              </w:rPr>
              <w:t>Физический износ_ЗП</w:t>
            </w:r>
          </w:p>
        </w:tc>
      </w:tr>
      <w:tr w:rsidR="002F4FAF" w:rsidRPr="00727235" w14:paraId="5B3491C1" w14:textId="77777777" w:rsidTr="00A036DD">
        <w:trPr>
          <w:trHeight w:val="20"/>
        </w:trPr>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14:paraId="1C653C7A" w14:textId="516C08A5" w:rsidR="002F4FAF" w:rsidRPr="00454437" w:rsidRDefault="002F4FAF" w:rsidP="002F4FAF">
            <w:pPr>
              <w:rPr>
                <w:lang w:val="en-US"/>
              </w:rPr>
            </w:pPr>
            <w:r>
              <w:rPr>
                <w:lang w:val="en-US"/>
              </w:rPr>
              <w:t>15</w:t>
            </w:r>
          </w:p>
        </w:tc>
        <w:tc>
          <w:tcPr>
            <w:tcW w:w="8646" w:type="dxa"/>
            <w:tcBorders>
              <w:top w:val="single" w:sz="4" w:space="0" w:color="auto"/>
              <w:left w:val="single" w:sz="4" w:space="0" w:color="auto"/>
              <w:bottom w:val="single" w:sz="4" w:space="0" w:color="auto"/>
              <w:right w:val="single" w:sz="4" w:space="0" w:color="auto"/>
            </w:tcBorders>
            <w:shd w:val="clear" w:color="auto" w:fill="auto"/>
            <w:vAlign w:val="center"/>
          </w:tcPr>
          <w:p w14:paraId="72CDC612" w14:textId="5545D19F" w:rsidR="002F4FAF" w:rsidRPr="00727235" w:rsidRDefault="002F4FAF" w:rsidP="002F4FAF">
            <w:pPr>
              <w:ind w:firstLine="0"/>
            </w:pPr>
            <w:r>
              <w:rPr>
                <w:color w:val="000000"/>
              </w:rPr>
              <w:t>ЦГКО_уточнение Год постройки</w:t>
            </w:r>
          </w:p>
        </w:tc>
      </w:tr>
      <w:tr w:rsidR="002F4FAF" w:rsidRPr="00727235" w14:paraId="6D687BBE" w14:textId="77777777" w:rsidTr="00A036DD">
        <w:trPr>
          <w:trHeight w:val="20"/>
        </w:trPr>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14:paraId="71ACEC1A" w14:textId="2C4EC44D" w:rsidR="002F4FAF" w:rsidRPr="00454437" w:rsidRDefault="002F4FAF" w:rsidP="002F4FAF">
            <w:pPr>
              <w:rPr>
                <w:lang w:val="en-US"/>
              </w:rPr>
            </w:pPr>
            <w:r>
              <w:rPr>
                <w:lang w:val="en-US"/>
              </w:rPr>
              <w:t>16</w:t>
            </w:r>
          </w:p>
        </w:tc>
        <w:tc>
          <w:tcPr>
            <w:tcW w:w="8646" w:type="dxa"/>
            <w:tcBorders>
              <w:top w:val="single" w:sz="4" w:space="0" w:color="auto"/>
              <w:left w:val="single" w:sz="4" w:space="0" w:color="auto"/>
              <w:bottom w:val="single" w:sz="4" w:space="0" w:color="auto"/>
              <w:right w:val="single" w:sz="4" w:space="0" w:color="auto"/>
            </w:tcBorders>
            <w:shd w:val="clear" w:color="auto" w:fill="auto"/>
            <w:vAlign w:val="center"/>
          </w:tcPr>
          <w:p w14:paraId="11EA87CD" w14:textId="56F53B1C" w:rsidR="002F4FAF" w:rsidRPr="00727235" w:rsidRDefault="002F4FAF" w:rsidP="002F4FAF">
            <w:pPr>
              <w:ind w:firstLine="0"/>
            </w:pPr>
            <w:r>
              <w:rPr>
                <w:color w:val="000000"/>
              </w:rPr>
              <w:t>Электричество</w:t>
            </w:r>
          </w:p>
        </w:tc>
      </w:tr>
      <w:tr w:rsidR="00A036DD" w:rsidRPr="00960A20" w14:paraId="6E5AE870" w14:textId="77777777" w:rsidTr="00A036DD">
        <w:trPr>
          <w:trHeight w:val="20"/>
        </w:trPr>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14:paraId="54A45CFB" w14:textId="77777777" w:rsidR="00A036DD" w:rsidRPr="00727235" w:rsidRDefault="00A036DD" w:rsidP="00877D91"/>
        </w:tc>
        <w:tc>
          <w:tcPr>
            <w:tcW w:w="8646" w:type="dxa"/>
            <w:tcBorders>
              <w:top w:val="single" w:sz="4" w:space="0" w:color="auto"/>
              <w:left w:val="single" w:sz="4" w:space="0" w:color="auto"/>
              <w:bottom w:val="single" w:sz="4" w:space="0" w:color="auto"/>
              <w:right w:val="single" w:sz="4" w:space="0" w:color="auto"/>
            </w:tcBorders>
            <w:shd w:val="clear" w:color="auto" w:fill="auto"/>
            <w:vAlign w:val="center"/>
          </w:tcPr>
          <w:p w14:paraId="408FF947" w14:textId="2D444975" w:rsidR="00A036DD" w:rsidRPr="00A036DD" w:rsidRDefault="00A036DD" w:rsidP="00A036DD">
            <w:pPr>
              <w:ind w:firstLine="0"/>
              <w:rPr>
                <w:i/>
              </w:rPr>
            </w:pPr>
            <w:r w:rsidRPr="00A036DD">
              <w:rPr>
                <w:i/>
              </w:rPr>
              <w:t>Группа 3 код подгруппы 3.6</w:t>
            </w:r>
          </w:p>
        </w:tc>
      </w:tr>
      <w:tr w:rsidR="00DB758B" w:rsidRPr="00727235" w14:paraId="5E83ACEE" w14:textId="77777777" w:rsidTr="00A036DD">
        <w:trPr>
          <w:trHeight w:val="20"/>
        </w:trPr>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14:paraId="3094141D" w14:textId="7CA6328A" w:rsidR="00DB758B" w:rsidRPr="00727235" w:rsidRDefault="00DB758B" w:rsidP="00DB758B">
            <w:r w:rsidRPr="00727235">
              <w:t>1</w:t>
            </w:r>
          </w:p>
        </w:tc>
        <w:tc>
          <w:tcPr>
            <w:tcW w:w="8646" w:type="dxa"/>
            <w:tcBorders>
              <w:top w:val="single" w:sz="4" w:space="0" w:color="auto"/>
              <w:left w:val="single" w:sz="4" w:space="0" w:color="auto"/>
              <w:bottom w:val="single" w:sz="4" w:space="0" w:color="auto"/>
              <w:right w:val="single" w:sz="4" w:space="0" w:color="auto"/>
            </w:tcBorders>
            <w:shd w:val="clear" w:color="auto" w:fill="auto"/>
            <w:vAlign w:val="center"/>
          </w:tcPr>
          <w:p w14:paraId="3BD46717" w14:textId="67ABAAE3" w:rsidR="00DB758B" w:rsidRPr="00727235" w:rsidRDefault="00DB758B" w:rsidP="00DB758B">
            <w:pPr>
              <w:ind w:firstLine="0"/>
            </w:pPr>
            <w:r>
              <w:rPr>
                <w:color w:val="000000"/>
              </w:rPr>
              <w:t>Газоснабжение</w:t>
            </w:r>
          </w:p>
        </w:tc>
      </w:tr>
      <w:tr w:rsidR="00DB758B" w:rsidRPr="00727235" w14:paraId="283DF3CD" w14:textId="77777777" w:rsidTr="00A036DD">
        <w:trPr>
          <w:trHeight w:val="20"/>
        </w:trPr>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14:paraId="7C8DFC8D" w14:textId="543C4C78" w:rsidR="00DB758B" w:rsidRPr="00727235" w:rsidRDefault="00DB758B" w:rsidP="00DB758B">
            <w:r w:rsidRPr="00727235">
              <w:t>2</w:t>
            </w:r>
          </w:p>
        </w:tc>
        <w:tc>
          <w:tcPr>
            <w:tcW w:w="8646" w:type="dxa"/>
            <w:tcBorders>
              <w:top w:val="single" w:sz="4" w:space="0" w:color="auto"/>
              <w:left w:val="single" w:sz="4" w:space="0" w:color="auto"/>
              <w:bottom w:val="single" w:sz="4" w:space="0" w:color="auto"/>
              <w:right w:val="single" w:sz="4" w:space="0" w:color="auto"/>
            </w:tcBorders>
            <w:shd w:val="clear" w:color="auto" w:fill="auto"/>
            <w:vAlign w:val="center"/>
          </w:tcPr>
          <w:p w14:paraId="6E1EA21C" w14:textId="69C7D1B6" w:rsidR="00DB758B" w:rsidRPr="00727235" w:rsidRDefault="00DB758B" w:rsidP="00DB758B">
            <w:pPr>
              <w:ind w:firstLine="0"/>
            </w:pPr>
            <w:r>
              <w:rPr>
                <w:color w:val="000000"/>
              </w:rPr>
              <w:t>Группа капитальности_ЗП</w:t>
            </w:r>
          </w:p>
        </w:tc>
      </w:tr>
      <w:tr w:rsidR="00DB758B" w:rsidRPr="00727235" w14:paraId="00AE2103" w14:textId="77777777" w:rsidTr="00A036DD">
        <w:trPr>
          <w:trHeight w:val="20"/>
        </w:trPr>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14:paraId="6BBEBB0A" w14:textId="70D201E1" w:rsidR="00DB758B" w:rsidRPr="00727235" w:rsidRDefault="00DB758B" w:rsidP="00DB758B">
            <w:r w:rsidRPr="00727235">
              <w:t>3</w:t>
            </w:r>
          </w:p>
        </w:tc>
        <w:tc>
          <w:tcPr>
            <w:tcW w:w="8646" w:type="dxa"/>
            <w:tcBorders>
              <w:top w:val="single" w:sz="4" w:space="0" w:color="auto"/>
              <w:left w:val="single" w:sz="4" w:space="0" w:color="auto"/>
              <w:bottom w:val="single" w:sz="4" w:space="0" w:color="auto"/>
              <w:right w:val="single" w:sz="4" w:space="0" w:color="auto"/>
            </w:tcBorders>
            <w:shd w:val="clear" w:color="auto" w:fill="auto"/>
            <w:vAlign w:val="center"/>
          </w:tcPr>
          <w:p w14:paraId="0F1A57FC" w14:textId="7229C6AB" w:rsidR="00DB758B" w:rsidRPr="00727235" w:rsidRDefault="00DB758B" w:rsidP="00DB758B">
            <w:pPr>
              <w:ind w:firstLine="0"/>
            </w:pPr>
            <w:r>
              <w:rPr>
                <w:color w:val="000000"/>
              </w:rPr>
              <w:t>Канализация</w:t>
            </w:r>
          </w:p>
        </w:tc>
      </w:tr>
      <w:tr w:rsidR="00DB758B" w:rsidRPr="00727235" w14:paraId="0E38F9C7" w14:textId="77777777" w:rsidTr="00A036DD">
        <w:trPr>
          <w:trHeight w:val="20"/>
        </w:trPr>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14:paraId="333527FD" w14:textId="473B0395" w:rsidR="00DB758B" w:rsidRPr="00727235" w:rsidRDefault="00DB758B" w:rsidP="00DB758B">
            <w:r w:rsidRPr="00727235">
              <w:t>4</w:t>
            </w:r>
          </w:p>
        </w:tc>
        <w:tc>
          <w:tcPr>
            <w:tcW w:w="8646" w:type="dxa"/>
            <w:tcBorders>
              <w:top w:val="single" w:sz="4" w:space="0" w:color="auto"/>
              <w:left w:val="single" w:sz="4" w:space="0" w:color="auto"/>
              <w:bottom w:val="single" w:sz="4" w:space="0" w:color="auto"/>
              <w:right w:val="single" w:sz="4" w:space="0" w:color="auto"/>
            </w:tcBorders>
            <w:shd w:val="clear" w:color="auto" w:fill="auto"/>
            <w:vAlign w:val="center"/>
          </w:tcPr>
          <w:p w14:paraId="194BDBB9" w14:textId="683D9380" w:rsidR="00DB758B" w:rsidRPr="00727235" w:rsidRDefault="00DB758B" w:rsidP="00DB758B">
            <w:pPr>
              <w:ind w:firstLine="0"/>
            </w:pPr>
            <w:r>
              <w:rPr>
                <w:color w:val="000000"/>
              </w:rPr>
              <w:t>Класс конструктивных элементов_ЗП</w:t>
            </w:r>
          </w:p>
        </w:tc>
      </w:tr>
      <w:tr w:rsidR="00DB758B" w:rsidRPr="00727235" w14:paraId="330DE0D0" w14:textId="77777777" w:rsidTr="00A036DD">
        <w:trPr>
          <w:trHeight w:val="20"/>
        </w:trPr>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14:paraId="3AD2ED8B" w14:textId="64129941" w:rsidR="00DB758B" w:rsidRPr="00727235" w:rsidRDefault="00DB758B" w:rsidP="00DB758B">
            <w:r w:rsidRPr="00727235">
              <w:t>5</w:t>
            </w:r>
          </w:p>
        </w:tc>
        <w:tc>
          <w:tcPr>
            <w:tcW w:w="8646" w:type="dxa"/>
            <w:tcBorders>
              <w:top w:val="single" w:sz="4" w:space="0" w:color="auto"/>
              <w:left w:val="single" w:sz="4" w:space="0" w:color="auto"/>
              <w:bottom w:val="single" w:sz="4" w:space="0" w:color="auto"/>
              <w:right w:val="single" w:sz="4" w:space="0" w:color="auto"/>
            </w:tcBorders>
            <w:shd w:val="clear" w:color="auto" w:fill="auto"/>
            <w:vAlign w:val="center"/>
          </w:tcPr>
          <w:p w14:paraId="48EFD010" w14:textId="34C5EC02" w:rsidR="00DB758B" w:rsidRPr="00727235" w:rsidRDefault="00DB758B" w:rsidP="00DB758B">
            <w:pPr>
              <w:ind w:firstLine="0"/>
            </w:pPr>
            <w:r>
              <w:rPr>
                <w:color w:val="000000"/>
              </w:rPr>
              <w:t>Расстояние до ближайшей из основных дорог города</w:t>
            </w:r>
          </w:p>
        </w:tc>
      </w:tr>
      <w:tr w:rsidR="00DB758B" w:rsidRPr="00727235" w14:paraId="0D95804C" w14:textId="77777777" w:rsidTr="00A036DD">
        <w:trPr>
          <w:trHeight w:val="20"/>
        </w:trPr>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14:paraId="36764DBA" w14:textId="53E8CD55" w:rsidR="00DB758B" w:rsidRPr="00727235" w:rsidRDefault="00DB758B" w:rsidP="00DB758B">
            <w:r w:rsidRPr="00727235">
              <w:t>6</w:t>
            </w:r>
          </w:p>
        </w:tc>
        <w:tc>
          <w:tcPr>
            <w:tcW w:w="8646" w:type="dxa"/>
            <w:tcBorders>
              <w:top w:val="single" w:sz="4" w:space="0" w:color="auto"/>
              <w:left w:val="single" w:sz="4" w:space="0" w:color="auto"/>
              <w:bottom w:val="single" w:sz="4" w:space="0" w:color="auto"/>
              <w:right w:val="single" w:sz="4" w:space="0" w:color="auto"/>
            </w:tcBorders>
            <w:shd w:val="clear" w:color="auto" w:fill="auto"/>
            <w:vAlign w:val="center"/>
          </w:tcPr>
          <w:p w14:paraId="73909AF4" w14:textId="026F6609" w:rsidR="00DB758B" w:rsidRPr="00727235" w:rsidRDefault="00DB758B" w:rsidP="00DB758B">
            <w:pPr>
              <w:ind w:firstLine="0"/>
            </w:pPr>
            <w:r>
              <w:rPr>
                <w:color w:val="000000"/>
              </w:rPr>
              <w:t>Расстояние до остановок общественного транспорта (в т.ч. автовокзалы, автостанции, автобусные остано</w:t>
            </w:r>
          </w:p>
        </w:tc>
      </w:tr>
      <w:tr w:rsidR="00DB758B" w:rsidRPr="00727235" w14:paraId="5E7D4CD0" w14:textId="77777777" w:rsidTr="00A036DD">
        <w:trPr>
          <w:trHeight w:val="20"/>
        </w:trPr>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14:paraId="3B67AE9D" w14:textId="5132779D" w:rsidR="00DB758B" w:rsidRPr="00727235" w:rsidRDefault="00DB758B" w:rsidP="00DB758B">
            <w:r w:rsidRPr="00727235">
              <w:t>7</w:t>
            </w:r>
          </w:p>
        </w:tc>
        <w:tc>
          <w:tcPr>
            <w:tcW w:w="8646" w:type="dxa"/>
            <w:tcBorders>
              <w:top w:val="single" w:sz="4" w:space="0" w:color="auto"/>
              <w:left w:val="single" w:sz="4" w:space="0" w:color="auto"/>
              <w:bottom w:val="single" w:sz="4" w:space="0" w:color="auto"/>
              <w:right w:val="single" w:sz="4" w:space="0" w:color="auto"/>
            </w:tcBorders>
            <w:shd w:val="clear" w:color="auto" w:fill="auto"/>
            <w:vAlign w:val="center"/>
          </w:tcPr>
          <w:p w14:paraId="13A2900F" w14:textId="48942EC2" w:rsidR="00DB758B" w:rsidRPr="00727235" w:rsidRDefault="00DB758B" w:rsidP="00DB758B">
            <w:pPr>
              <w:ind w:firstLine="0"/>
            </w:pPr>
            <w:r>
              <w:rPr>
                <w:color w:val="000000"/>
              </w:rPr>
              <w:t>Расстояние объекта до общественно-делового центра населенного пункта</w:t>
            </w:r>
          </w:p>
        </w:tc>
      </w:tr>
      <w:tr w:rsidR="00DB758B" w:rsidRPr="00727235" w14:paraId="03990D00" w14:textId="77777777" w:rsidTr="00A036DD">
        <w:trPr>
          <w:trHeight w:val="20"/>
        </w:trPr>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14:paraId="07F8BEB4" w14:textId="50EBF1F1" w:rsidR="00DB758B" w:rsidRPr="00727235" w:rsidRDefault="00DB758B" w:rsidP="00DB758B">
            <w:r w:rsidRPr="00727235">
              <w:t>8</w:t>
            </w:r>
          </w:p>
        </w:tc>
        <w:tc>
          <w:tcPr>
            <w:tcW w:w="8646" w:type="dxa"/>
            <w:tcBorders>
              <w:top w:val="single" w:sz="4" w:space="0" w:color="auto"/>
              <w:left w:val="single" w:sz="4" w:space="0" w:color="auto"/>
              <w:bottom w:val="single" w:sz="4" w:space="0" w:color="auto"/>
              <w:right w:val="single" w:sz="4" w:space="0" w:color="auto"/>
            </w:tcBorders>
            <w:shd w:val="clear" w:color="auto" w:fill="auto"/>
            <w:vAlign w:val="center"/>
          </w:tcPr>
          <w:p w14:paraId="6CB8AB85" w14:textId="65114573" w:rsidR="00DB758B" w:rsidRPr="00727235" w:rsidRDefault="00DB758B" w:rsidP="00DB758B">
            <w:pPr>
              <w:ind w:firstLine="0"/>
            </w:pPr>
            <w:r>
              <w:rPr>
                <w:color w:val="000000"/>
              </w:rPr>
              <w:t>Расстояние от объекта до административного центра населенного пункта</w:t>
            </w:r>
          </w:p>
        </w:tc>
      </w:tr>
      <w:tr w:rsidR="00DB758B" w:rsidRPr="00727235" w14:paraId="444335C7" w14:textId="77777777" w:rsidTr="00A036DD">
        <w:trPr>
          <w:trHeight w:val="20"/>
        </w:trPr>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14:paraId="219459E5" w14:textId="211AED8E" w:rsidR="00DB758B" w:rsidRPr="00727235" w:rsidRDefault="00DB758B" w:rsidP="00DB758B">
            <w:r w:rsidRPr="00727235">
              <w:t>9</w:t>
            </w:r>
          </w:p>
        </w:tc>
        <w:tc>
          <w:tcPr>
            <w:tcW w:w="8646" w:type="dxa"/>
            <w:tcBorders>
              <w:top w:val="single" w:sz="4" w:space="0" w:color="auto"/>
              <w:left w:val="single" w:sz="4" w:space="0" w:color="auto"/>
              <w:bottom w:val="single" w:sz="4" w:space="0" w:color="auto"/>
              <w:right w:val="single" w:sz="4" w:space="0" w:color="auto"/>
            </w:tcBorders>
            <w:shd w:val="clear" w:color="auto" w:fill="auto"/>
            <w:vAlign w:val="center"/>
          </w:tcPr>
          <w:p w14:paraId="53497610" w14:textId="02C440A9" w:rsidR="00DB758B" w:rsidRPr="00727235" w:rsidRDefault="00DB758B" w:rsidP="00DB758B">
            <w:pPr>
              <w:ind w:firstLine="0"/>
            </w:pPr>
            <w:r>
              <w:rPr>
                <w:color w:val="000000"/>
              </w:rPr>
              <w:t>Расстояние от объекта до историко-культурного центра населенного пункта</w:t>
            </w:r>
          </w:p>
        </w:tc>
      </w:tr>
      <w:tr w:rsidR="00DB758B" w:rsidRPr="00727235" w14:paraId="05492928" w14:textId="77777777" w:rsidTr="00A036DD">
        <w:trPr>
          <w:trHeight w:val="20"/>
        </w:trPr>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14:paraId="6172F7B2" w14:textId="485079EC" w:rsidR="00DB758B" w:rsidRPr="00727235" w:rsidRDefault="00DB758B" w:rsidP="00DB758B">
            <w:r w:rsidRPr="00727235">
              <w:t>10</w:t>
            </w:r>
          </w:p>
        </w:tc>
        <w:tc>
          <w:tcPr>
            <w:tcW w:w="8646" w:type="dxa"/>
            <w:tcBorders>
              <w:top w:val="single" w:sz="4" w:space="0" w:color="auto"/>
              <w:left w:val="single" w:sz="4" w:space="0" w:color="auto"/>
              <w:bottom w:val="single" w:sz="4" w:space="0" w:color="auto"/>
              <w:right w:val="single" w:sz="4" w:space="0" w:color="auto"/>
            </w:tcBorders>
            <w:shd w:val="clear" w:color="auto" w:fill="auto"/>
            <w:vAlign w:val="center"/>
          </w:tcPr>
          <w:p w14:paraId="129550CB" w14:textId="6A5B8027" w:rsidR="00DB758B" w:rsidRPr="00727235" w:rsidRDefault="00DB758B" w:rsidP="00DB758B">
            <w:pPr>
              <w:ind w:firstLine="0"/>
            </w:pPr>
            <w:r>
              <w:rPr>
                <w:color w:val="000000"/>
              </w:rPr>
              <w:t>Расстояние от объекта до локального(-ых) центра(-ов), отрицательно влияющего(-их) на стоимость объек</w:t>
            </w:r>
          </w:p>
        </w:tc>
      </w:tr>
      <w:tr w:rsidR="00DB758B" w:rsidRPr="00727235" w14:paraId="2A554F4A" w14:textId="77777777" w:rsidTr="00A036DD">
        <w:trPr>
          <w:trHeight w:val="20"/>
        </w:trPr>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14:paraId="62BC99DA" w14:textId="1C744FA7" w:rsidR="00DB758B" w:rsidRPr="00727235" w:rsidRDefault="00DB758B" w:rsidP="00DB758B">
            <w:r w:rsidRPr="00727235">
              <w:t>11</w:t>
            </w:r>
          </w:p>
        </w:tc>
        <w:tc>
          <w:tcPr>
            <w:tcW w:w="8646" w:type="dxa"/>
            <w:tcBorders>
              <w:top w:val="single" w:sz="4" w:space="0" w:color="auto"/>
              <w:left w:val="single" w:sz="4" w:space="0" w:color="auto"/>
              <w:bottom w:val="single" w:sz="4" w:space="0" w:color="auto"/>
              <w:right w:val="single" w:sz="4" w:space="0" w:color="auto"/>
            </w:tcBorders>
            <w:shd w:val="clear" w:color="auto" w:fill="auto"/>
            <w:vAlign w:val="center"/>
          </w:tcPr>
          <w:p w14:paraId="7867347B" w14:textId="49054C98" w:rsidR="00DB758B" w:rsidRPr="00727235" w:rsidRDefault="00DB758B" w:rsidP="00DB758B">
            <w:pPr>
              <w:ind w:firstLine="0"/>
            </w:pPr>
            <w:r>
              <w:rPr>
                <w:color w:val="000000"/>
              </w:rPr>
              <w:t>Расстояние от объекта до локального(-ых) центра(-ов), положительно влияющего(-их) на стоимость объек</w:t>
            </w:r>
          </w:p>
        </w:tc>
      </w:tr>
      <w:tr w:rsidR="00DB758B" w:rsidRPr="00727235" w14:paraId="17A99232" w14:textId="77777777" w:rsidTr="00A036DD">
        <w:trPr>
          <w:trHeight w:val="20"/>
        </w:trPr>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14:paraId="25CFA66C" w14:textId="4B3A1A77" w:rsidR="00DB758B" w:rsidRPr="00727235" w:rsidRDefault="00DB758B" w:rsidP="00DB758B">
            <w:r w:rsidRPr="00727235">
              <w:t>12</w:t>
            </w:r>
          </w:p>
        </w:tc>
        <w:tc>
          <w:tcPr>
            <w:tcW w:w="8646" w:type="dxa"/>
            <w:tcBorders>
              <w:top w:val="single" w:sz="4" w:space="0" w:color="auto"/>
              <w:left w:val="single" w:sz="4" w:space="0" w:color="auto"/>
              <w:bottom w:val="single" w:sz="4" w:space="0" w:color="auto"/>
              <w:right w:val="single" w:sz="4" w:space="0" w:color="auto"/>
            </w:tcBorders>
            <w:shd w:val="clear" w:color="auto" w:fill="auto"/>
            <w:vAlign w:val="center"/>
          </w:tcPr>
          <w:p w14:paraId="2A303D3A" w14:textId="328D213C" w:rsidR="00DB758B" w:rsidRPr="00727235" w:rsidRDefault="00DB758B" w:rsidP="00DB758B">
            <w:pPr>
              <w:ind w:firstLine="0"/>
            </w:pPr>
            <w:r>
              <w:rPr>
                <w:color w:val="000000"/>
              </w:rPr>
              <w:t>Теплоснабжение</w:t>
            </w:r>
          </w:p>
        </w:tc>
      </w:tr>
      <w:tr w:rsidR="00DB758B" w:rsidRPr="00727235" w14:paraId="49F1CBE8" w14:textId="77777777" w:rsidTr="00A036DD">
        <w:trPr>
          <w:trHeight w:val="20"/>
        </w:trPr>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14:paraId="5F5A3D83" w14:textId="32A8E338" w:rsidR="00DB758B" w:rsidRPr="00727235" w:rsidRDefault="00DB758B" w:rsidP="00DB758B">
            <w:r w:rsidRPr="00727235">
              <w:t>13</w:t>
            </w:r>
          </w:p>
        </w:tc>
        <w:tc>
          <w:tcPr>
            <w:tcW w:w="8646" w:type="dxa"/>
            <w:tcBorders>
              <w:top w:val="single" w:sz="4" w:space="0" w:color="auto"/>
              <w:left w:val="single" w:sz="4" w:space="0" w:color="auto"/>
              <w:bottom w:val="single" w:sz="4" w:space="0" w:color="auto"/>
              <w:right w:val="single" w:sz="4" w:space="0" w:color="auto"/>
            </w:tcBorders>
            <w:shd w:val="clear" w:color="auto" w:fill="auto"/>
            <w:vAlign w:val="center"/>
          </w:tcPr>
          <w:p w14:paraId="23F6B105" w14:textId="3094C99D" w:rsidR="00DB758B" w:rsidRPr="00727235" w:rsidRDefault="00DB758B" w:rsidP="00DB758B">
            <w:pPr>
              <w:ind w:firstLine="0"/>
            </w:pPr>
            <w:r>
              <w:rPr>
                <w:color w:val="000000"/>
              </w:rPr>
              <w:t>ЦГКО_уточнение Год постройки</w:t>
            </w:r>
          </w:p>
        </w:tc>
      </w:tr>
      <w:tr w:rsidR="00DB758B" w:rsidRPr="00727235" w14:paraId="2726247F" w14:textId="77777777" w:rsidTr="00A036DD">
        <w:trPr>
          <w:trHeight w:val="20"/>
        </w:trPr>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14:paraId="5C285ADF" w14:textId="634E9A09" w:rsidR="00DB758B" w:rsidRPr="00727235" w:rsidRDefault="00DB758B" w:rsidP="00DB758B">
            <w:r w:rsidRPr="00727235">
              <w:t>14</w:t>
            </w:r>
          </w:p>
        </w:tc>
        <w:tc>
          <w:tcPr>
            <w:tcW w:w="8646" w:type="dxa"/>
            <w:tcBorders>
              <w:top w:val="single" w:sz="4" w:space="0" w:color="auto"/>
              <w:left w:val="single" w:sz="4" w:space="0" w:color="auto"/>
              <w:bottom w:val="single" w:sz="4" w:space="0" w:color="auto"/>
              <w:right w:val="single" w:sz="4" w:space="0" w:color="auto"/>
            </w:tcBorders>
            <w:shd w:val="clear" w:color="auto" w:fill="auto"/>
            <w:vAlign w:val="center"/>
          </w:tcPr>
          <w:p w14:paraId="133303D1" w14:textId="4F6F2FFB" w:rsidR="00DB758B" w:rsidRPr="00727235" w:rsidRDefault="00DB758B" w:rsidP="00DB758B">
            <w:pPr>
              <w:ind w:firstLine="0"/>
            </w:pPr>
            <w:r>
              <w:rPr>
                <w:color w:val="000000"/>
              </w:rPr>
              <w:t>Центральное водоснабжение</w:t>
            </w:r>
          </w:p>
        </w:tc>
      </w:tr>
      <w:tr w:rsidR="00DB758B" w:rsidRPr="00727235" w14:paraId="552DE3E8" w14:textId="77777777" w:rsidTr="00A036DD">
        <w:trPr>
          <w:trHeight w:val="20"/>
        </w:trPr>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14:paraId="0760A601" w14:textId="37C94D19" w:rsidR="00DB758B" w:rsidRPr="00727235" w:rsidRDefault="00DB758B" w:rsidP="00DB758B">
            <w:r>
              <w:t>15</w:t>
            </w:r>
          </w:p>
        </w:tc>
        <w:tc>
          <w:tcPr>
            <w:tcW w:w="8646" w:type="dxa"/>
            <w:tcBorders>
              <w:top w:val="single" w:sz="4" w:space="0" w:color="auto"/>
              <w:left w:val="single" w:sz="4" w:space="0" w:color="auto"/>
              <w:bottom w:val="single" w:sz="4" w:space="0" w:color="auto"/>
              <w:right w:val="single" w:sz="4" w:space="0" w:color="auto"/>
            </w:tcBorders>
            <w:shd w:val="clear" w:color="auto" w:fill="auto"/>
            <w:vAlign w:val="center"/>
          </w:tcPr>
          <w:p w14:paraId="21CD1F13" w14:textId="7790915D" w:rsidR="00DB758B" w:rsidRPr="00727235" w:rsidRDefault="00DB758B" w:rsidP="00DB758B">
            <w:pPr>
              <w:ind w:firstLine="0"/>
            </w:pPr>
            <w:r>
              <w:rPr>
                <w:color w:val="000000"/>
              </w:rPr>
              <w:t>Электричество</w:t>
            </w:r>
          </w:p>
        </w:tc>
      </w:tr>
    </w:tbl>
    <w:p w14:paraId="1298834D" w14:textId="77777777" w:rsidR="00960A20" w:rsidRDefault="00960A20" w:rsidP="00727235"/>
    <w:p w14:paraId="24ABDA44" w14:textId="76E28BEE" w:rsidR="00727235" w:rsidRPr="00727235" w:rsidRDefault="00727235" w:rsidP="00727235">
      <w:r w:rsidRPr="00727235">
        <w:t xml:space="preserve">В рамках проведенного анализа рынка объектов недвижимости были выявлены факторы, оказывающие влияние на стоимость объектов недвижимости различного функционального использования. Данные факторы характеризуют внешнюю среду объектов недвижимости и непосредственное окружение рассматривамых объектов недвижимости. </w:t>
      </w:r>
    </w:p>
    <w:p w14:paraId="6FE133D9" w14:textId="4AE098E6" w:rsidR="00727235" w:rsidRPr="00727235" w:rsidRDefault="00727235" w:rsidP="00727235">
      <w:pPr>
        <w:rPr>
          <w:lang w:eastAsia="ru-RU"/>
        </w:rPr>
      </w:pPr>
      <w:r w:rsidRPr="00727235">
        <w:rPr>
          <w:lang w:eastAsia="ru-RU"/>
        </w:rPr>
        <w:t xml:space="preserve">Количественная оценка степени </w:t>
      </w:r>
      <w:r w:rsidR="005376A2">
        <w:rPr>
          <w:lang w:eastAsia="ru-RU"/>
        </w:rPr>
        <w:t>влияния каждого из приведенных</w:t>
      </w:r>
      <w:r w:rsidRPr="00727235">
        <w:rPr>
          <w:lang w:eastAsia="ru-RU"/>
        </w:rPr>
        <w:t xml:space="preserve"> выше факторов, которая определяет обоснованность включения ценообразующего фактора в соответствующую модель, осуществлялась в процессе построения статистических моделей оценки стоимости земельных участков. При этом наличие статистически значимой связи между ценообразующим фактором и удельной ценой участвующих в моделировании объектов-аналогов определяется на основании корреляционного анализа, результаты которого приведены ниже в разделах, содержащих описание расчета кадастровой стоимости земельных участков с использованием статистических (регрессионных) моделей.</w:t>
      </w:r>
    </w:p>
    <w:p w14:paraId="2D8F012C" w14:textId="77777777" w:rsidR="00727235" w:rsidRPr="00727235" w:rsidRDefault="00727235" w:rsidP="00727235">
      <w:pPr>
        <w:rPr>
          <w:lang w:eastAsia="ru-RU"/>
        </w:rPr>
      </w:pPr>
    </w:p>
    <w:p w14:paraId="622CB9D7" w14:textId="77777777" w:rsidR="00727235" w:rsidRPr="00AE0EE4" w:rsidRDefault="00727235" w:rsidP="00727235">
      <w:pPr>
        <w:rPr>
          <w:b/>
        </w:rPr>
      </w:pPr>
      <w:bookmarkStart w:id="127" w:name="_Toc530400489"/>
      <w:r w:rsidRPr="00AE0EE4">
        <w:rPr>
          <w:b/>
        </w:rPr>
        <w:t>Построение статистических моделей по каждой подгруппе</w:t>
      </w:r>
      <w:bookmarkEnd w:id="127"/>
    </w:p>
    <w:p w14:paraId="68E26A89" w14:textId="77777777" w:rsidR="00727235" w:rsidRPr="00727235" w:rsidRDefault="00727235" w:rsidP="00727235">
      <w:r w:rsidRPr="00727235">
        <w:t>После выбора ценообразующих факторов для каждой оцениваемой подгруппы строится статистическая модель.</w:t>
      </w:r>
    </w:p>
    <w:p w14:paraId="511DE628" w14:textId="77777777" w:rsidR="00727235" w:rsidRPr="00727235" w:rsidRDefault="00727235" w:rsidP="00727235">
      <w:r w:rsidRPr="00727235">
        <w:t xml:space="preserve">Для представления значений качественных факторов в числовой форме, а также для идентификации диапазонов значений количественных факторов производится кодирование значений ценообразующих факторов объектов оценки и объектов аналогов. Для оценки параметров регрессионных уравнений вместо исходных значений ценообразующих факторов используются их метки, алгоритм расчета которых в зависимости от типа кодирования значений ценообразующих факторов описан ниже. </w:t>
      </w:r>
    </w:p>
    <w:p w14:paraId="031364F3" w14:textId="77777777" w:rsidR="00727235" w:rsidRPr="00727235" w:rsidRDefault="00727235" w:rsidP="00727235">
      <w:r w:rsidRPr="00727235">
        <w:t>Таким образом, первоначальный набор данных для расчета меток включает в себя перечень соответствий между значениями каждого ценообразующего фактора и его закодированным представлением.</w:t>
      </w:r>
    </w:p>
    <w:p w14:paraId="1A147EA5" w14:textId="77777777" w:rsidR="00727235" w:rsidRPr="00727235" w:rsidRDefault="00727235" w:rsidP="00727235">
      <w:r w:rsidRPr="00727235">
        <w:t xml:space="preserve">Кодирование значений качественных ценообразующих факторов позволяет назначать одинаковые метки тем значениям фактора, которые оказывают одинаковое влияние на рыночную стоимость (разным значениям фактора может быть сопоставлено одно и тоже кодированное значение). </w:t>
      </w:r>
    </w:p>
    <w:p w14:paraId="1F4B348C" w14:textId="77777777" w:rsidR="00727235" w:rsidRPr="00727235" w:rsidRDefault="00727235" w:rsidP="00727235">
      <w:r w:rsidRPr="00727235">
        <w:t>На первом этапе формируется список факторов, которые классифицируются по виду кодирования и виду меток. При этом для числовых факторов осуществляется выбор вида меток в зависимости от направленности влияния фактора на рыночную стоимость с целью получения положительного значения коэффициента при данном факторе в соответствующей статистической модели. Выделяются следующие виды кодированных факторов:</w:t>
      </w:r>
    </w:p>
    <w:p w14:paraId="232B969C" w14:textId="77777777" w:rsidR="00727235" w:rsidRPr="00727235" w:rsidRDefault="00727235" w:rsidP="00727235">
      <w:r w:rsidRPr="00727235">
        <w:t>некодированный числовой (для числовых ценообразующих факторов);</w:t>
      </w:r>
    </w:p>
    <w:p w14:paraId="5A3D978B" w14:textId="77777777" w:rsidR="00727235" w:rsidRPr="00727235" w:rsidRDefault="00727235" w:rsidP="00727235">
      <w:r w:rsidRPr="00727235">
        <w:t>кодированный числовой (для диапазонов значений числовых ценообразующих факторов);</w:t>
      </w:r>
    </w:p>
    <w:p w14:paraId="07EB842B" w14:textId="77777777" w:rsidR="00727235" w:rsidRPr="00727235" w:rsidRDefault="00727235" w:rsidP="00727235">
      <w:r w:rsidRPr="00727235">
        <w:t>кодированный качественный (для качественных ценообразующих факторов).</w:t>
      </w:r>
    </w:p>
    <w:p w14:paraId="713A22D6" w14:textId="77777777" w:rsidR="00727235" w:rsidRPr="00727235" w:rsidRDefault="00727235" w:rsidP="00727235">
      <w:r w:rsidRPr="00727235">
        <w:t>На следующем этапе по полученному списку определяется процедура, по которой производится дальнейший расчет:</w:t>
      </w:r>
    </w:p>
    <w:p w14:paraId="5E5754F1" w14:textId="77777777" w:rsidR="00727235" w:rsidRPr="00727235" w:rsidRDefault="00727235" w:rsidP="00727235">
      <w:r w:rsidRPr="00727235">
        <w:t>В том случае, если ценообразующий фактор является кодированным (числовым или качественным), то метка рассчитывается по следующей формуле:</w:t>
      </w:r>
    </w:p>
    <w:p w14:paraId="57627C4A" w14:textId="77777777" w:rsidR="00727235" w:rsidRPr="00727235" w:rsidRDefault="00727235" w:rsidP="00727235">
      <m:oMathPara>
        <m:oMath>
          <m:r>
            <w:rPr>
              <w:rFonts w:ascii="Cambria Math" w:hAnsi="Cambria Math"/>
            </w:rPr>
            <m:t>Метка</m:t>
          </m:r>
          <m:d>
            <m:dPr>
              <m:ctrlPr>
                <w:rPr>
                  <w:rFonts w:ascii="Cambria Math" w:hAnsi="Cambria Math"/>
                </w:rPr>
              </m:ctrlPr>
            </m:dPr>
            <m:e>
              <m:r>
                <w:rPr>
                  <w:rFonts w:ascii="Cambria Math" w:hAnsi="Cambria Math"/>
                  <w:lang w:val="en-US"/>
                </w:rPr>
                <m:t>Z=</m:t>
              </m:r>
              <m:sSub>
                <m:sSubPr>
                  <m:ctrlPr>
                    <w:rPr>
                      <w:rFonts w:ascii="Cambria Math" w:hAnsi="Cambria Math"/>
                      <w:lang w:val="en-US"/>
                    </w:rPr>
                  </m:ctrlPr>
                </m:sSubPr>
                <m:e>
                  <m:r>
                    <w:rPr>
                      <w:rFonts w:ascii="Cambria Math" w:hAnsi="Cambria Math"/>
                      <w:lang w:val="en-US"/>
                    </w:rPr>
                    <m:t>Z</m:t>
                  </m:r>
                </m:e>
                <m:sub>
                  <m:r>
                    <w:rPr>
                      <w:rFonts w:ascii="Cambria Math" w:hAnsi="Cambria Math"/>
                      <w:lang w:val="en-US"/>
                    </w:rPr>
                    <m:t>k</m:t>
                  </m:r>
                </m:sub>
              </m:sSub>
              <m:ctrlPr>
                <w:rPr>
                  <w:rFonts w:ascii="Cambria Math" w:hAnsi="Cambria Math"/>
                  <w:lang w:val="en-US"/>
                </w:rPr>
              </m:ctrlPr>
            </m:e>
          </m:d>
          <m:r>
            <w:rPr>
              <w:rFonts w:ascii="Cambria Math" w:hAnsi="Cambria Math"/>
              <w:lang w:val="en-US"/>
            </w:rPr>
            <m:t>=</m:t>
          </m:r>
          <m:f>
            <m:fPr>
              <m:ctrlPr>
                <w:rPr>
                  <w:rFonts w:ascii="Cambria Math" w:hAnsi="Cambria Math"/>
                  <w:lang w:val="en-US"/>
                </w:rPr>
              </m:ctrlPr>
            </m:fPr>
            <m:num>
              <m:sSub>
                <m:sSubPr>
                  <m:ctrlPr>
                    <w:rPr>
                      <w:rFonts w:ascii="Cambria Math" w:hAnsi="Cambria Math"/>
                      <w:lang w:val="en-US"/>
                    </w:rPr>
                  </m:ctrlPr>
                </m:sSubPr>
                <m:e>
                  <m:r>
                    <w:rPr>
                      <w:rFonts w:ascii="Cambria Math" w:hAnsi="Cambria Math"/>
                      <w:lang w:val="en-US"/>
                    </w:rPr>
                    <m:t>A</m:t>
                  </m:r>
                </m:e>
                <m:sub>
                  <m:r>
                    <w:rPr>
                      <w:rFonts w:ascii="Cambria Math" w:hAnsi="Cambria Math"/>
                      <w:lang w:val="en-US"/>
                    </w:rPr>
                    <m:t>k</m:t>
                  </m:r>
                </m:sub>
              </m:sSub>
            </m:num>
            <m:den>
              <m:r>
                <w:rPr>
                  <w:rFonts w:ascii="Cambria Math" w:hAnsi="Cambria Math"/>
                  <w:lang w:val="en-US"/>
                </w:rPr>
                <m:t>M</m:t>
              </m:r>
            </m:den>
          </m:f>
        </m:oMath>
      </m:oMathPara>
    </w:p>
    <w:p w14:paraId="7846FB72" w14:textId="77777777" w:rsidR="00727235" w:rsidRPr="00727235" w:rsidRDefault="00727235" w:rsidP="00727235">
      <w:r w:rsidRPr="00727235">
        <w:t xml:space="preserve">где </w:t>
      </w:r>
    </w:p>
    <w:p w14:paraId="56293914" w14:textId="77777777" w:rsidR="00727235" w:rsidRPr="00727235" w:rsidRDefault="00727235" w:rsidP="00727235">
      <m:oMath>
        <m:r>
          <w:rPr>
            <w:rFonts w:ascii="Cambria Math" w:hAnsi="Cambria Math"/>
          </w:rPr>
          <m:t>Метка</m:t>
        </m:r>
        <m:d>
          <m:dPr>
            <m:ctrlPr>
              <w:rPr>
                <w:rFonts w:ascii="Cambria Math" w:hAnsi="Cambria Math"/>
              </w:rPr>
            </m:ctrlPr>
          </m:dPr>
          <m:e>
            <m:r>
              <w:rPr>
                <w:rFonts w:ascii="Cambria Math" w:hAnsi="Cambria Math"/>
                <w:lang w:val="en-US"/>
              </w:rPr>
              <m:t>Z</m:t>
            </m:r>
            <m:r>
              <w:rPr>
                <w:rFonts w:ascii="Cambria Math" w:hAnsi="Cambria Math"/>
              </w:rPr>
              <m:t>=</m:t>
            </m:r>
            <m:sSub>
              <m:sSubPr>
                <m:ctrlPr>
                  <w:rPr>
                    <w:rFonts w:ascii="Cambria Math" w:hAnsi="Cambria Math"/>
                    <w:lang w:val="en-US"/>
                  </w:rPr>
                </m:ctrlPr>
              </m:sSubPr>
              <m:e>
                <m:r>
                  <w:rPr>
                    <w:rFonts w:ascii="Cambria Math" w:hAnsi="Cambria Math"/>
                    <w:lang w:val="en-US"/>
                  </w:rPr>
                  <m:t>Z</m:t>
                </m:r>
              </m:e>
              <m:sub>
                <m:r>
                  <w:rPr>
                    <w:rFonts w:ascii="Cambria Math" w:hAnsi="Cambria Math"/>
                    <w:lang w:val="en-US"/>
                  </w:rPr>
                  <m:t>k</m:t>
                </m:r>
              </m:sub>
            </m:sSub>
            <m:ctrlPr>
              <w:rPr>
                <w:rFonts w:ascii="Cambria Math" w:hAnsi="Cambria Math"/>
                <w:lang w:val="en-US"/>
              </w:rPr>
            </m:ctrlPr>
          </m:e>
        </m:d>
      </m:oMath>
      <w:r w:rsidRPr="00727235">
        <w:t xml:space="preserve"> — числовая метка, соответствующая </w:t>
      </w:r>
      <m:oMath>
        <m:r>
          <w:rPr>
            <w:rFonts w:ascii="Cambria Math" w:hAnsi="Cambria Math"/>
          </w:rPr>
          <m:t>k</m:t>
        </m:r>
      </m:oMath>
      <w:r w:rsidRPr="00727235">
        <w:t xml:space="preserve">-му закодированному значению фактора стоимости </w:t>
      </w:r>
      <m:oMath>
        <m:r>
          <w:rPr>
            <w:rFonts w:ascii="Cambria Math" w:hAnsi="Cambria Math"/>
          </w:rPr>
          <m:t>Z</m:t>
        </m:r>
      </m:oMath>
      <w:r w:rsidRPr="00727235">
        <w:t xml:space="preserve"> (</w:t>
      </w:r>
      <m:oMath>
        <m:r>
          <w:rPr>
            <w:rFonts w:ascii="Cambria Math" w:hAnsi="Cambria Math"/>
          </w:rPr>
          <m:t>k=1,…,</m:t>
        </m:r>
        <m:sSub>
          <m:sSubPr>
            <m:ctrlPr>
              <w:rPr>
                <w:rFonts w:ascii="Cambria Math" w:hAnsi="Cambria Math"/>
              </w:rPr>
            </m:ctrlPr>
          </m:sSubPr>
          <m:e>
            <m:r>
              <w:rPr>
                <w:rFonts w:ascii="Cambria Math" w:hAnsi="Cambria Math"/>
              </w:rPr>
              <m:t>m</m:t>
            </m:r>
          </m:e>
          <m:sub>
            <m:r>
              <w:rPr>
                <w:rFonts w:ascii="Cambria Math" w:hAnsi="Cambria Math"/>
              </w:rPr>
              <m:t>Z</m:t>
            </m:r>
          </m:sub>
        </m:sSub>
      </m:oMath>
      <w:r w:rsidRPr="00727235">
        <w:t xml:space="preserve">), </w:t>
      </w:r>
      <m:oMath>
        <m:sSub>
          <m:sSubPr>
            <m:ctrlPr>
              <w:rPr>
                <w:rFonts w:ascii="Cambria Math" w:hAnsi="Cambria Math"/>
              </w:rPr>
            </m:ctrlPr>
          </m:sSubPr>
          <m:e>
            <m:r>
              <w:rPr>
                <w:rFonts w:ascii="Cambria Math" w:hAnsi="Cambria Math"/>
                <w:lang w:val="en-US"/>
              </w:rPr>
              <m:t>m</m:t>
            </m:r>
          </m:e>
          <m:sub>
            <m:r>
              <w:rPr>
                <w:rFonts w:ascii="Cambria Math" w:hAnsi="Cambria Math"/>
              </w:rPr>
              <m:t>z</m:t>
            </m:r>
          </m:sub>
        </m:sSub>
      </m:oMath>
      <w:r w:rsidRPr="00727235">
        <w:t xml:space="preserve"> — количество уникальных закодированных значений ценообразующего фактора </w:t>
      </w:r>
      <m:oMath>
        <m:r>
          <w:rPr>
            <w:rFonts w:ascii="Cambria Math" w:hAnsi="Cambria Math"/>
          </w:rPr>
          <m:t>Z;</m:t>
        </m:r>
      </m:oMath>
    </w:p>
    <w:p w14:paraId="067F8711" w14:textId="77777777" w:rsidR="00727235" w:rsidRPr="00727235" w:rsidRDefault="00A90944" w:rsidP="00727235">
      <m:oMath>
        <m:sSub>
          <m:sSubPr>
            <m:ctrlPr>
              <w:rPr>
                <w:rFonts w:ascii="Cambria Math" w:hAnsi="Cambria Math"/>
              </w:rPr>
            </m:ctrlPr>
          </m:sSubPr>
          <m:e>
            <m:r>
              <w:rPr>
                <w:rFonts w:ascii="Cambria Math" w:hAnsi="Cambria Math"/>
              </w:rPr>
              <m:t>A</m:t>
            </m:r>
          </m:e>
          <m:sub>
            <m:r>
              <w:rPr>
                <w:rFonts w:ascii="Cambria Math" w:hAnsi="Cambria Math"/>
              </w:rPr>
              <m:t>k</m:t>
            </m:r>
          </m:sub>
        </m:sSub>
      </m:oMath>
      <w:r w:rsidR="00727235" w:rsidRPr="00727235">
        <w:t xml:space="preserve"> — среднее арифметическое значение удельных цен тех объектов-аналогов, значение фактора стоимости которых соответствует кодированному значению </w:t>
      </w:r>
      <m:oMath>
        <m:sSub>
          <m:sSubPr>
            <m:ctrlPr>
              <w:rPr>
                <w:rFonts w:ascii="Cambria Math" w:hAnsi="Cambria Math"/>
              </w:rPr>
            </m:ctrlPr>
          </m:sSubPr>
          <m:e>
            <m:r>
              <w:rPr>
                <w:rFonts w:ascii="Cambria Math" w:hAnsi="Cambria Math"/>
              </w:rPr>
              <m:t>Z</m:t>
            </m:r>
          </m:e>
          <m:sub>
            <m:r>
              <w:rPr>
                <w:rFonts w:ascii="Cambria Math" w:hAnsi="Cambria Math"/>
              </w:rPr>
              <m:t>k</m:t>
            </m:r>
          </m:sub>
        </m:sSub>
      </m:oMath>
      <w:r w:rsidR="00727235" w:rsidRPr="00727235">
        <w:t xml:space="preserve"> (</w:t>
      </w:r>
      <m:oMath>
        <m:r>
          <w:rPr>
            <w:rFonts w:ascii="Cambria Math" w:hAnsi="Cambria Math"/>
          </w:rPr>
          <m:t>k=1,…,</m:t>
        </m:r>
        <m:sSub>
          <m:sSubPr>
            <m:ctrlPr>
              <w:rPr>
                <w:rFonts w:ascii="Cambria Math" w:hAnsi="Cambria Math"/>
              </w:rPr>
            </m:ctrlPr>
          </m:sSubPr>
          <m:e>
            <m:r>
              <w:rPr>
                <w:rFonts w:ascii="Cambria Math" w:hAnsi="Cambria Math"/>
              </w:rPr>
              <m:t>m</m:t>
            </m:r>
          </m:e>
          <m:sub>
            <m:r>
              <w:rPr>
                <w:rFonts w:ascii="Cambria Math" w:hAnsi="Cambria Math"/>
              </w:rPr>
              <m:t>Z</m:t>
            </m:r>
          </m:sub>
        </m:sSub>
      </m:oMath>
      <w:r w:rsidR="00727235" w:rsidRPr="00727235">
        <w:t>);</w:t>
      </w:r>
    </w:p>
    <w:p w14:paraId="656D3FA3" w14:textId="77777777" w:rsidR="00727235" w:rsidRPr="00727235" w:rsidRDefault="00727235" w:rsidP="00727235">
      <m:oMath>
        <m:r>
          <w:rPr>
            <w:rFonts w:ascii="Cambria Math" w:hAnsi="Cambria Math"/>
          </w:rPr>
          <m:t>M=Медиана(</m:t>
        </m:r>
        <m:sSub>
          <m:sSubPr>
            <m:ctrlPr>
              <w:rPr>
                <w:rFonts w:ascii="Cambria Math" w:hAnsi="Cambria Math"/>
                <w:lang w:val="en-US"/>
              </w:rPr>
            </m:ctrlPr>
          </m:sSubPr>
          <m:e>
            <m:r>
              <w:rPr>
                <w:rFonts w:ascii="Cambria Math" w:hAnsi="Cambria Math"/>
                <w:lang w:val="en-US"/>
              </w:rPr>
              <m:t>A</m:t>
            </m:r>
          </m:e>
          <m:sub>
            <m:r>
              <w:rPr>
                <w:rFonts w:ascii="Cambria Math" w:hAnsi="Cambria Math"/>
              </w:rPr>
              <m:t>1</m:t>
            </m:r>
          </m:sub>
        </m:sSub>
        <m:r>
          <w:rPr>
            <w:rFonts w:ascii="Cambria Math" w:hAnsi="Cambria Math"/>
          </w:rPr>
          <m:t>,</m:t>
        </m:r>
        <m:sSub>
          <m:sSubPr>
            <m:ctrlPr>
              <w:rPr>
                <w:rFonts w:ascii="Cambria Math" w:hAnsi="Cambria Math"/>
                <w:lang w:val="en-US"/>
              </w:rPr>
            </m:ctrlPr>
          </m:sSubPr>
          <m:e>
            <m:r>
              <w:rPr>
                <w:rFonts w:ascii="Cambria Math" w:hAnsi="Cambria Math"/>
                <w:lang w:val="en-US"/>
              </w:rPr>
              <m:t>A</m:t>
            </m:r>
          </m:e>
          <m:sub>
            <m:r>
              <w:rPr>
                <w:rFonts w:ascii="Cambria Math" w:hAnsi="Cambria Math"/>
              </w:rPr>
              <m:t>2</m:t>
            </m:r>
          </m:sub>
        </m:sSub>
        <m:r>
          <w:rPr>
            <w:rFonts w:ascii="Cambria Math" w:hAnsi="Cambria Math"/>
          </w:rPr>
          <m:t>,…,</m:t>
        </m:r>
        <m:sSub>
          <m:sSubPr>
            <m:ctrlPr>
              <w:rPr>
                <w:rFonts w:ascii="Cambria Math" w:hAnsi="Cambria Math"/>
                <w:lang w:val="en-US"/>
              </w:rPr>
            </m:ctrlPr>
          </m:sSubPr>
          <m:e>
            <m:r>
              <w:rPr>
                <w:rFonts w:ascii="Cambria Math" w:hAnsi="Cambria Math"/>
                <w:lang w:val="en-US"/>
              </w:rPr>
              <m:t>A</m:t>
            </m:r>
          </m:e>
          <m:sub>
            <m:sSub>
              <m:sSubPr>
                <m:ctrlPr>
                  <w:rPr>
                    <w:rFonts w:ascii="Cambria Math" w:hAnsi="Cambria Math"/>
                    <w:lang w:val="en-US"/>
                  </w:rPr>
                </m:ctrlPr>
              </m:sSubPr>
              <m:e>
                <m:r>
                  <w:rPr>
                    <w:rFonts w:ascii="Cambria Math" w:hAnsi="Cambria Math"/>
                    <w:lang w:val="en-US"/>
                  </w:rPr>
                  <m:t>m</m:t>
                </m:r>
              </m:e>
              <m:sub>
                <m:r>
                  <w:rPr>
                    <w:rFonts w:ascii="Cambria Math" w:hAnsi="Cambria Math"/>
                    <w:lang w:val="en-US"/>
                  </w:rPr>
                  <m:t>z</m:t>
                </m:r>
              </m:sub>
            </m:sSub>
          </m:sub>
        </m:sSub>
        <m:r>
          <w:rPr>
            <w:rFonts w:ascii="Cambria Math" w:hAnsi="Cambria Math"/>
          </w:rPr>
          <m:t>)</m:t>
        </m:r>
      </m:oMath>
      <w:r w:rsidRPr="00727235">
        <w:t xml:space="preserve"> — медианное значение среди рассчитанных на предыдущем шаге средних арифметических значений </w:t>
      </w:r>
      <m:oMath>
        <m:sSub>
          <m:sSubPr>
            <m:ctrlPr>
              <w:rPr>
                <w:rFonts w:ascii="Cambria Math" w:hAnsi="Cambria Math"/>
              </w:rPr>
            </m:ctrlPr>
          </m:sSubPr>
          <m:e>
            <m:r>
              <w:rPr>
                <w:rFonts w:ascii="Cambria Math" w:hAnsi="Cambria Math"/>
              </w:rPr>
              <m:t>A</m:t>
            </m:r>
          </m:e>
          <m:sub>
            <m:r>
              <w:rPr>
                <w:rFonts w:ascii="Cambria Math" w:hAnsi="Cambria Math"/>
              </w:rPr>
              <m:t>k</m:t>
            </m:r>
          </m:sub>
        </m:sSub>
      </m:oMath>
      <w:r w:rsidRPr="00727235">
        <w:t xml:space="preserve"> </w:t>
      </w:r>
      <m:oMath>
        <m:r>
          <w:rPr>
            <w:rFonts w:ascii="Cambria Math" w:hAnsi="Cambria Math"/>
          </w:rPr>
          <m:t>(k=1,…,</m:t>
        </m:r>
        <m:sSub>
          <m:sSubPr>
            <m:ctrlPr>
              <w:rPr>
                <w:rFonts w:ascii="Cambria Math" w:hAnsi="Cambria Math"/>
              </w:rPr>
            </m:ctrlPr>
          </m:sSubPr>
          <m:e>
            <m:r>
              <w:rPr>
                <w:rFonts w:ascii="Cambria Math" w:hAnsi="Cambria Math"/>
              </w:rPr>
              <m:t>m</m:t>
            </m:r>
          </m:e>
          <m:sub>
            <m:r>
              <w:rPr>
                <w:rFonts w:ascii="Cambria Math" w:hAnsi="Cambria Math"/>
              </w:rPr>
              <m:t>Z</m:t>
            </m:r>
          </m:sub>
        </m:sSub>
      </m:oMath>
      <w:r w:rsidRPr="00727235">
        <w:t>).</w:t>
      </w:r>
    </w:p>
    <w:p w14:paraId="2B2F2D5A" w14:textId="77777777" w:rsidR="00727235" w:rsidRPr="00727235" w:rsidRDefault="00727235" w:rsidP="00727235">
      <w:r w:rsidRPr="00727235">
        <w:t>В случае, если ценообразующий фактор является некодированным (числовым), то в зависимости от вида метка рассчитывается по одной из следующих формул:</w:t>
      </w:r>
    </w:p>
    <w:p w14:paraId="4BEBA711" w14:textId="77777777" w:rsidR="00727235" w:rsidRPr="00727235" w:rsidRDefault="00727235" w:rsidP="00727235">
      <w:r w:rsidRPr="00727235">
        <w:t>Прямая метка = (P + Z) / K + Поправка,</w:t>
      </w:r>
    </w:p>
    <w:p w14:paraId="2A751B0F" w14:textId="77777777" w:rsidR="00727235" w:rsidRPr="00727235" w:rsidRDefault="00727235" w:rsidP="00727235">
      <w:r w:rsidRPr="00727235">
        <w:t>Обратная метка = K / (P + Z) + Поправка,</w:t>
      </w:r>
    </w:p>
    <w:p w14:paraId="699BC6CB" w14:textId="77777777" w:rsidR="00727235" w:rsidRPr="00727235" w:rsidRDefault="00727235" w:rsidP="00727235">
      <w:r w:rsidRPr="00727235">
        <w:t xml:space="preserve">где </w:t>
      </w:r>
    </w:p>
    <w:p w14:paraId="18264A5E" w14:textId="77777777" w:rsidR="00727235" w:rsidRPr="00727235" w:rsidRDefault="00727235" w:rsidP="00727235">
      <w:r w:rsidRPr="00727235">
        <w:rPr>
          <w:lang w:val="en-US"/>
        </w:rPr>
        <w:t>Z</w:t>
      </w:r>
      <w:r w:rsidRPr="00727235">
        <w:t xml:space="preserve"> — исходное значение количественного ценообразующего фактора;</w:t>
      </w:r>
    </w:p>
    <w:p w14:paraId="0FFFABDA" w14:textId="77777777" w:rsidR="00727235" w:rsidRPr="00727235" w:rsidRDefault="00727235" w:rsidP="00727235">
      <m:oMath>
        <m:r>
          <w:rPr>
            <w:rFonts w:ascii="Cambria Math" w:hAnsi="Cambria Math"/>
            <w:lang w:val="en-US"/>
          </w:rPr>
          <m:t>K</m:t>
        </m:r>
        <m:r>
          <w:rPr>
            <w:rFonts w:ascii="Cambria Math" w:hAnsi="Cambria Math"/>
          </w:rPr>
          <m:t>=(A+M)/2</m:t>
        </m:r>
      </m:oMath>
      <w:r w:rsidRPr="00727235">
        <w:t>,</w:t>
      </w:r>
    </w:p>
    <w:p w14:paraId="5E708A68" w14:textId="77777777" w:rsidR="00727235" w:rsidRPr="00727235" w:rsidRDefault="00727235" w:rsidP="00727235">
      <w:r w:rsidRPr="00727235">
        <w:rPr>
          <w:lang w:val="en-US"/>
        </w:rPr>
        <w:t>A</w:t>
      </w:r>
      <w:r w:rsidRPr="00727235">
        <w:t xml:space="preserve"> — среднее арифместическое ряда значений ценообразующего фактора по объектам-аналогам, участвующим в расчете параметров модели;</w:t>
      </w:r>
    </w:p>
    <w:p w14:paraId="1E7AAB2C" w14:textId="77777777" w:rsidR="00727235" w:rsidRPr="00727235" w:rsidRDefault="00727235" w:rsidP="00727235">
      <w:r w:rsidRPr="00727235">
        <w:rPr>
          <w:lang w:val="en-US"/>
        </w:rPr>
        <w:t>M</w:t>
      </w:r>
      <w:r w:rsidRPr="00727235">
        <w:t xml:space="preserve"> — медианна ряда значений ценообразующего фактора по объектам-аналогам, участвующим в расчете параметров модели;</w:t>
      </w:r>
    </w:p>
    <w:p w14:paraId="63058655" w14:textId="77777777" w:rsidR="00727235" w:rsidRPr="00727235" w:rsidRDefault="00727235" w:rsidP="00727235">
      <m:oMath>
        <m:r>
          <w:rPr>
            <w:rFonts w:ascii="Cambria Math" w:hAnsi="Cambria Math"/>
          </w:rPr>
          <m:t>P=0,2*(Макс-Мин)</m:t>
        </m:r>
      </m:oMath>
      <w:r w:rsidRPr="00727235">
        <w:t xml:space="preserve"> — корректирующее слагаемое;</w:t>
      </w:r>
    </w:p>
    <w:p w14:paraId="65FF526E" w14:textId="77777777" w:rsidR="00727235" w:rsidRPr="00727235" w:rsidRDefault="00727235" w:rsidP="00727235">
      <w:r w:rsidRPr="00727235">
        <w:t>Мин, Макс — минимальное и максимальное значение ряда значений ценообразующего фактора по объектам-аналогам, участвующим в расчете параметров модели.</w:t>
      </w:r>
    </w:p>
    <w:p w14:paraId="0F0A20DA" w14:textId="77777777" w:rsidR="00727235" w:rsidRPr="00727235" w:rsidRDefault="00727235" w:rsidP="00727235">
      <w:r w:rsidRPr="00727235">
        <w:t>Поправка – постоянное слагаемое (константа), применяемая в мультипликативных моделях для исключения возможности негативного влияния малых значений количественных факторов стоимости. Величина поправки составляет 0,5.</w:t>
      </w:r>
    </w:p>
    <w:p w14:paraId="129B0B56" w14:textId="77777777" w:rsidR="00727235" w:rsidRPr="00727235" w:rsidRDefault="00727235" w:rsidP="00727235">
      <w:r w:rsidRPr="00727235">
        <w:t>Далее приведено описание построения моделей и расчета кадастровой стоимости для каждой оцениваемой подгруппы в отдельности</w:t>
      </w:r>
      <w:r w:rsidRPr="00727235">
        <w:footnoteReference w:id="28"/>
      </w:r>
      <w:r w:rsidRPr="00727235">
        <w:t>.</w:t>
      </w:r>
    </w:p>
    <w:p w14:paraId="610EA84C" w14:textId="77777777" w:rsidR="00727235" w:rsidRPr="00727235" w:rsidRDefault="00727235" w:rsidP="00727235">
      <w:bookmarkStart w:id="128" w:name="_Toc530400490"/>
      <w:r w:rsidRPr="00727235">
        <w:t>Группа 1 «Многоквартирные дома (дома средне- и многоэтажной жилой застройки)»</w:t>
      </w:r>
      <w:bookmarkEnd w:id="128"/>
    </w:p>
    <w:p w14:paraId="0A5B6572" w14:textId="77777777" w:rsidR="00727235" w:rsidRPr="00727235" w:rsidRDefault="00727235" w:rsidP="00727235">
      <w:r w:rsidRPr="00727235">
        <w:t xml:space="preserve">В рамках проведения работ в рамках группы 1 </w:t>
      </w:r>
      <w:r w:rsidRPr="00727235">
        <w:rPr>
          <w:lang w:eastAsia="ru-RU"/>
        </w:rPr>
        <w:t>«Многоквартирные дома (дома средне- и многоэтажной жилой застройки)»</w:t>
      </w:r>
      <w:r w:rsidRPr="00727235">
        <w:t xml:space="preserve"> для целей моделирования выделено 3 подгруппы объектов оценки, в т.ч.: </w:t>
      </w:r>
    </w:p>
    <w:p w14:paraId="6F4F8739" w14:textId="1AC4FFF5" w:rsidR="00727235" w:rsidRPr="00727235" w:rsidRDefault="00727235" w:rsidP="00727235">
      <w:r w:rsidRPr="00727235">
        <w:t>подгруппа 1.</w:t>
      </w:r>
      <w:r w:rsidR="00AE0EE4">
        <w:t>8</w:t>
      </w:r>
      <w:r w:rsidRPr="00727235">
        <w:t>. «Помещение в г.Якутске</w:t>
      </w:r>
      <w:r w:rsidR="00AE0EE4">
        <w:t xml:space="preserve"> с полными характеристиками</w:t>
      </w:r>
      <w:r w:rsidRPr="00727235">
        <w:t>»,</w:t>
      </w:r>
    </w:p>
    <w:p w14:paraId="59039A7B" w14:textId="4AEE0452" w:rsidR="00727235" w:rsidRPr="00727235" w:rsidRDefault="00727235" w:rsidP="00727235">
      <w:r w:rsidRPr="00727235">
        <w:t>подгруппа 1.</w:t>
      </w:r>
      <w:r w:rsidR="00AE0EE4">
        <w:t>5</w:t>
      </w:r>
      <w:r w:rsidRPr="00727235">
        <w:t>. «Помещение в остальных ГНП</w:t>
      </w:r>
      <w:r w:rsidR="00AE0EE4">
        <w:t xml:space="preserve"> с полными характеристиками</w:t>
      </w:r>
      <w:r w:rsidRPr="00727235">
        <w:t>»,</w:t>
      </w:r>
    </w:p>
    <w:p w14:paraId="7A4A356D" w14:textId="77777777" w:rsidR="00727235" w:rsidRPr="00727235" w:rsidRDefault="00727235" w:rsidP="00727235">
      <w:pPr>
        <w:sectPr w:rsidR="00727235" w:rsidRPr="00727235" w:rsidSect="00727235">
          <w:pgSz w:w="11906" w:h="16838"/>
          <w:pgMar w:top="1134" w:right="566" w:bottom="1134" w:left="1701" w:header="708" w:footer="708" w:gutter="0"/>
          <w:cols w:space="708"/>
          <w:docGrid w:linePitch="360"/>
        </w:sectPr>
      </w:pPr>
      <w:r w:rsidRPr="00727235">
        <w:t>Кадастровая стоимость объектов недвижимости в составе данных подгрупп определялась в соответствии с пп. 7.2.1 Методических указаний.</w:t>
      </w:r>
    </w:p>
    <w:p w14:paraId="0BF08126" w14:textId="51F96058" w:rsidR="00727235" w:rsidRPr="00727235" w:rsidRDefault="00727235" w:rsidP="00727235">
      <w:r w:rsidRPr="00727235">
        <w:t>Подгруппа 1.</w:t>
      </w:r>
      <w:r w:rsidR="00AE0EE4">
        <w:t>8</w:t>
      </w:r>
      <w:r w:rsidRPr="00727235">
        <w:t>. «Помещение в г.Якутске</w:t>
      </w:r>
      <w:r w:rsidR="00AE0EE4">
        <w:t xml:space="preserve"> с полными характеристиками</w:t>
      </w:r>
      <w:r w:rsidRPr="00727235">
        <w:t>»</w:t>
      </w:r>
    </w:p>
    <w:p w14:paraId="24974DAC" w14:textId="77777777" w:rsidR="00727235" w:rsidRPr="00727235" w:rsidRDefault="00727235" w:rsidP="00727235">
      <w:r w:rsidRPr="00727235">
        <w:t>Для целей построения статистической моделей произведен выбор ценообразующих факторов, исходя из критериев, описанных в данном пункте Отчета выше. Обоснование использования ценообразующих факторов в статистической модели оценки объектов недвижимости приведено в нижеуказанной таблице.</w:t>
      </w:r>
    </w:p>
    <w:p w14:paraId="5B8B822B" w14:textId="77777777" w:rsidR="00727235" w:rsidRPr="00727235" w:rsidRDefault="00727235" w:rsidP="00727235"/>
    <w:p w14:paraId="3EFCCBC6" w14:textId="1CE22101" w:rsidR="00727235" w:rsidRPr="00727235" w:rsidRDefault="00727235" w:rsidP="00AA34D8">
      <w:pPr>
        <w:rPr>
          <w:lang w:eastAsia="ru-RU"/>
        </w:rPr>
      </w:pPr>
      <w:r w:rsidRPr="00727235">
        <w:rPr>
          <w:lang w:eastAsia="ru-RU"/>
        </w:rPr>
        <w:t xml:space="preserve">Таблица </w:t>
      </w:r>
      <w:r w:rsidRPr="00727235">
        <w:rPr>
          <w:lang w:eastAsia="ru-RU"/>
        </w:rPr>
        <w:fldChar w:fldCharType="begin"/>
      </w:r>
      <w:r w:rsidRPr="00727235">
        <w:rPr>
          <w:lang w:eastAsia="ru-RU"/>
        </w:rPr>
        <w:instrText xml:space="preserve"> SEQ Таблица \* ARABIC </w:instrText>
      </w:r>
      <w:r w:rsidRPr="00727235">
        <w:rPr>
          <w:lang w:eastAsia="ru-RU"/>
        </w:rPr>
        <w:fldChar w:fldCharType="separate"/>
      </w:r>
      <w:r w:rsidR="00FD2769">
        <w:rPr>
          <w:noProof/>
          <w:lang w:eastAsia="ru-RU"/>
        </w:rPr>
        <w:t>50</w:t>
      </w:r>
      <w:r w:rsidRPr="00727235">
        <w:rPr>
          <w:lang w:eastAsia="ru-RU"/>
        </w:rPr>
        <w:fldChar w:fldCharType="end"/>
      </w:r>
      <w:r w:rsidRPr="00727235">
        <w:rPr>
          <w:lang w:eastAsia="ru-RU"/>
        </w:rPr>
        <w:t xml:space="preserve"> </w:t>
      </w:r>
      <w:r w:rsidR="00AA34D8" w:rsidRPr="00AA34D8">
        <w:rPr>
          <w:rFonts w:eastAsia="Times New Roman" w:cs="Times New Roman"/>
          <w:bCs/>
          <w:color w:val="000000"/>
          <w:szCs w:val="24"/>
          <w:lang w:eastAsia="ru-RU"/>
        </w:rPr>
        <w:t>Факторы стоимости, выбранные для построения моделей группы "1. Многоквартирные дома (дома средне- и многоэтажной жилой застройки)", подгруппа "</w:t>
      </w:r>
      <w:r w:rsidR="000470FD">
        <w:rPr>
          <w:rFonts w:eastAsia="Times New Roman" w:cs="Times New Roman"/>
          <w:bCs/>
          <w:color w:val="000000"/>
          <w:szCs w:val="24"/>
          <w:lang w:eastAsia="ru-RU"/>
        </w:rPr>
        <w:t>Помещения г.Якутск с п/х более 60 кв.м. 1.9</w:t>
      </w:r>
      <w:r w:rsidR="00AA34D8" w:rsidRPr="00AA34D8">
        <w:rPr>
          <w:rFonts w:eastAsia="Times New Roman" w:cs="Times New Roman"/>
          <w:bCs/>
          <w:color w:val="000000"/>
          <w:szCs w:val="24"/>
          <w:lang w:eastAsia="ru-RU"/>
        </w:rPr>
        <w:t>". Тип расчета: по удельной стоимости.</w:t>
      </w:r>
    </w:p>
    <w:p w14:paraId="03223CD5" w14:textId="2AA81977" w:rsidR="00727235" w:rsidRDefault="00727235" w:rsidP="00727235"/>
    <w:tbl>
      <w:tblPr>
        <w:tblW w:w="5000" w:type="pct"/>
        <w:tblLook w:val="04A0" w:firstRow="1" w:lastRow="0" w:firstColumn="1" w:lastColumn="0" w:noHBand="0" w:noVBand="1"/>
      </w:tblPr>
      <w:tblGrid>
        <w:gridCol w:w="540"/>
        <w:gridCol w:w="3099"/>
        <w:gridCol w:w="1636"/>
        <w:gridCol w:w="1636"/>
        <w:gridCol w:w="1772"/>
        <w:gridCol w:w="5877"/>
      </w:tblGrid>
      <w:tr w:rsidR="00AA34D8" w:rsidRPr="00AA34D8" w14:paraId="1660796E" w14:textId="77777777" w:rsidTr="00AA34D8">
        <w:trPr>
          <w:trHeight w:val="1560"/>
          <w:tblHeader/>
        </w:trPr>
        <w:tc>
          <w:tcPr>
            <w:tcW w:w="136"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1B9F7D8F" w14:textId="77777777" w:rsidR="00AA34D8" w:rsidRPr="005376A2" w:rsidRDefault="00AA34D8" w:rsidP="00AA34D8">
            <w:pPr>
              <w:ind w:firstLine="0"/>
              <w:jc w:val="center"/>
              <w:rPr>
                <w:rFonts w:eastAsia="Times New Roman" w:cs="Times New Roman"/>
                <w:color w:val="000000"/>
                <w:szCs w:val="24"/>
                <w:lang w:eastAsia="ru-RU"/>
              </w:rPr>
            </w:pPr>
            <w:r w:rsidRPr="005376A2">
              <w:rPr>
                <w:rFonts w:eastAsia="Times New Roman" w:cs="Times New Roman"/>
                <w:color w:val="000000"/>
                <w:szCs w:val="24"/>
                <w:lang w:eastAsia="ru-RU"/>
              </w:rPr>
              <w:t>№ п/п</w:t>
            </w:r>
          </w:p>
        </w:tc>
        <w:tc>
          <w:tcPr>
            <w:tcW w:w="1170" w:type="pct"/>
            <w:tcBorders>
              <w:top w:val="single" w:sz="4" w:space="0" w:color="000000"/>
              <w:left w:val="nil"/>
              <w:bottom w:val="single" w:sz="4" w:space="0" w:color="000000"/>
              <w:right w:val="single" w:sz="4" w:space="0" w:color="000000"/>
            </w:tcBorders>
            <w:shd w:val="clear" w:color="auto" w:fill="auto"/>
            <w:vAlign w:val="center"/>
            <w:hideMark/>
          </w:tcPr>
          <w:p w14:paraId="50A0851B" w14:textId="77777777" w:rsidR="00AA34D8" w:rsidRPr="005376A2" w:rsidRDefault="00AA34D8" w:rsidP="00AA34D8">
            <w:pPr>
              <w:ind w:firstLine="0"/>
              <w:jc w:val="center"/>
              <w:rPr>
                <w:rFonts w:eastAsia="Times New Roman" w:cs="Times New Roman"/>
                <w:color w:val="000000"/>
                <w:szCs w:val="24"/>
                <w:lang w:eastAsia="ru-RU"/>
              </w:rPr>
            </w:pPr>
            <w:r w:rsidRPr="005376A2">
              <w:rPr>
                <w:rFonts w:eastAsia="Times New Roman" w:cs="Times New Roman"/>
                <w:color w:val="000000"/>
                <w:szCs w:val="24"/>
                <w:lang w:eastAsia="ru-RU"/>
              </w:rPr>
              <w:t>Наименование фактора стоимости</w:t>
            </w:r>
          </w:p>
        </w:tc>
        <w:tc>
          <w:tcPr>
            <w:tcW w:w="443" w:type="pct"/>
            <w:tcBorders>
              <w:top w:val="single" w:sz="4" w:space="0" w:color="000000"/>
              <w:left w:val="nil"/>
              <w:bottom w:val="single" w:sz="4" w:space="0" w:color="000000"/>
              <w:right w:val="single" w:sz="4" w:space="0" w:color="000000"/>
            </w:tcBorders>
            <w:shd w:val="clear" w:color="auto" w:fill="auto"/>
            <w:vAlign w:val="center"/>
            <w:hideMark/>
          </w:tcPr>
          <w:p w14:paraId="391F3274" w14:textId="77777777" w:rsidR="00AA34D8" w:rsidRPr="005376A2" w:rsidRDefault="00AA34D8" w:rsidP="00AA34D8">
            <w:pPr>
              <w:ind w:firstLine="0"/>
              <w:jc w:val="center"/>
              <w:rPr>
                <w:rFonts w:eastAsia="Times New Roman" w:cs="Times New Roman"/>
                <w:color w:val="000000"/>
                <w:szCs w:val="24"/>
                <w:lang w:eastAsia="ru-RU"/>
              </w:rPr>
            </w:pPr>
            <w:r w:rsidRPr="005376A2">
              <w:rPr>
                <w:rFonts w:eastAsia="Times New Roman" w:cs="Times New Roman"/>
                <w:color w:val="000000"/>
                <w:szCs w:val="24"/>
                <w:lang w:eastAsia="ru-RU"/>
              </w:rPr>
              <w:t>Коэффициент корреляции, r</w:t>
            </w:r>
          </w:p>
        </w:tc>
        <w:tc>
          <w:tcPr>
            <w:tcW w:w="412" w:type="pct"/>
            <w:tcBorders>
              <w:top w:val="single" w:sz="4" w:space="0" w:color="000000"/>
              <w:left w:val="nil"/>
              <w:bottom w:val="single" w:sz="4" w:space="0" w:color="000000"/>
              <w:right w:val="single" w:sz="4" w:space="0" w:color="000000"/>
            </w:tcBorders>
            <w:shd w:val="clear" w:color="auto" w:fill="auto"/>
            <w:vAlign w:val="center"/>
            <w:hideMark/>
          </w:tcPr>
          <w:p w14:paraId="7CDF5737" w14:textId="77777777" w:rsidR="00AA34D8" w:rsidRPr="005376A2" w:rsidRDefault="00AA34D8" w:rsidP="00AA34D8">
            <w:pPr>
              <w:ind w:firstLine="0"/>
              <w:jc w:val="center"/>
              <w:rPr>
                <w:rFonts w:eastAsia="Times New Roman" w:cs="Times New Roman"/>
                <w:color w:val="000000"/>
                <w:szCs w:val="24"/>
                <w:lang w:eastAsia="ru-RU"/>
              </w:rPr>
            </w:pPr>
            <w:r w:rsidRPr="005376A2">
              <w:rPr>
                <w:rFonts w:eastAsia="Times New Roman" w:cs="Times New Roman"/>
                <w:color w:val="000000"/>
                <w:szCs w:val="24"/>
                <w:lang w:eastAsia="ru-RU"/>
              </w:rPr>
              <w:t>Коэффициент значимости, R</w:t>
            </w:r>
          </w:p>
        </w:tc>
        <w:tc>
          <w:tcPr>
            <w:tcW w:w="652" w:type="pct"/>
            <w:tcBorders>
              <w:top w:val="single" w:sz="4" w:space="0" w:color="000000"/>
              <w:left w:val="nil"/>
              <w:bottom w:val="single" w:sz="4" w:space="0" w:color="000000"/>
              <w:right w:val="single" w:sz="4" w:space="0" w:color="000000"/>
            </w:tcBorders>
            <w:shd w:val="clear" w:color="auto" w:fill="auto"/>
            <w:vAlign w:val="center"/>
            <w:hideMark/>
          </w:tcPr>
          <w:p w14:paraId="1F21D956" w14:textId="77777777" w:rsidR="00AA34D8" w:rsidRPr="005376A2" w:rsidRDefault="00AA34D8" w:rsidP="00AA34D8">
            <w:pPr>
              <w:ind w:firstLine="0"/>
              <w:jc w:val="center"/>
              <w:rPr>
                <w:rFonts w:eastAsia="Times New Roman" w:cs="Times New Roman"/>
                <w:color w:val="000000"/>
                <w:szCs w:val="24"/>
                <w:lang w:eastAsia="ru-RU"/>
              </w:rPr>
            </w:pPr>
            <w:r w:rsidRPr="005376A2">
              <w:rPr>
                <w:rFonts w:eastAsia="Times New Roman" w:cs="Times New Roman"/>
                <w:color w:val="000000"/>
                <w:szCs w:val="24"/>
                <w:lang w:eastAsia="ru-RU"/>
              </w:rPr>
              <w:t>Использование фактора для построения модели (да/нет)</w:t>
            </w:r>
          </w:p>
        </w:tc>
        <w:tc>
          <w:tcPr>
            <w:tcW w:w="2186" w:type="pct"/>
            <w:tcBorders>
              <w:top w:val="single" w:sz="4" w:space="0" w:color="000000"/>
              <w:left w:val="nil"/>
              <w:bottom w:val="single" w:sz="4" w:space="0" w:color="000000"/>
              <w:right w:val="single" w:sz="4" w:space="0" w:color="000000"/>
            </w:tcBorders>
            <w:shd w:val="clear" w:color="auto" w:fill="auto"/>
            <w:vAlign w:val="center"/>
            <w:hideMark/>
          </w:tcPr>
          <w:p w14:paraId="709B718F" w14:textId="77777777" w:rsidR="00AA34D8" w:rsidRPr="005376A2" w:rsidRDefault="00AA34D8" w:rsidP="00AA34D8">
            <w:pPr>
              <w:ind w:firstLine="0"/>
              <w:jc w:val="center"/>
              <w:rPr>
                <w:rFonts w:eastAsia="Times New Roman" w:cs="Times New Roman"/>
                <w:color w:val="000000"/>
                <w:szCs w:val="24"/>
                <w:lang w:eastAsia="ru-RU"/>
              </w:rPr>
            </w:pPr>
            <w:r w:rsidRPr="005376A2">
              <w:rPr>
                <w:rFonts w:eastAsia="Times New Roman" w:cs="Times New Roman"/>
                <w:color w:val="000000"/>
                <w:szCs w:val="24"/>
                <w:lang w:eastAsia="ru-RU"/>
              </w:rPr>
              <w:t>Пояснения по применению ценообразующего фактора для построения модели</w:t>
            </w:r>
          </w:p>
        </w:tc>
      </w:tr>
      <w:tr w:rsidR="00AA34D8" w:rsidRPr="00AA34D8" w14:paraId="09F2C761" w14:textId="77777777" w:rsidTr="00AA34D8">
        <w:trPr>
          <w:trHeight w:val="360"/>
        </w:trPr>
        <w:tc>
          <w:tcPr>
            <w:tcW w:w="136" w:type="pct"/>
            <w:tcBorders>
              <w:top w:val="nil"/>
              <w:left w:val="single" w:sz="4" w:space="0" w:color="000000"/>
              <w:bottom w:val="single" w:sz="4" w:space="0" w:color="000000"/>
              <w:right w:val="single" w:sz="4" w:space="0" w:color="000000"/>
            </w:tcBorders>
            <w:shd w:val="clear" w:color="auto" w:fill="auto"/>
            <w:vAlign w:val="center"/>
            <w:hideMark/>
          </w:tcPr>
          <w:p w14:paraId="0E1F3BD1" w14:textId="77777777" w:rsidR="00AA34D8" w:rsidRPr="005376A2" w:rsidRDefault="00AA34D8" w:rsidP="00AA34D8">
            <w:pPr>
              <w:ind w:firstLine="0"/>
              <w:jc w:val="center"/>
              <w:rPr>
                <w:rFonts w:eastAsia="Times New Roman" w:cs="Times New Roman"/>
                <w:color w:val="000000"/>
                <w:szCs w:val="24"/>
                <w:lang w:eastAsia="ru-RU"/>
              </w:rPr>
            </w:pPr>
            <w:r w:rsidRPr="005376A2">
              <w:rPr>
                <w:rFonts w:eastAsia="Times New Roman" w:cs="Times New Roman"/>
                <w:color w:val="000000"/>
                <w:szCs w:val="24"/>
                <w:lang w:eastAsia="ru-RU"/>
              </w:rPr>
              <w:t>1</w:t>
            </w:r>
          </w:p>
        </w:tc>
        <w:tc>
          <w:tcPr>
            <w:tcW w:w="1170" w:type="pct"/>
            <w:tcBorders>
              <w:top w:val="nil"/>
              <w:left w:val="nil"/>
              <w:bottom w:val="single" w:sz="4" w:space="0" w:color="000000"/>
              <w:right w:val="single" w:sz="4" w:space="0" w:color="000000"/>
            </w:tcBorders>
            <w:shd w:val="clear" w:color="auto" w:fill="auto"/>
            <w:vAlign w:val="center"/>
            <w:hideMark/>
          </w:tcPr>
          <w:p w14:paraId="5F468602" w14:textId="77777777" w:rsidR="00AA34D8" w:rsidRPr="005376A2" w:rsidRDefault="00AA34D8" w:rsidP="00AA34D8">
            <w:pPr>
              <w:ind w:firstLine="0"/>
              <w:jc w:val="center"/>
              <w:rPr>
                <w:rFonts w:eastAsia="Times New Roman" w:cs="Times New Roman"/>
                <w:color w:val="000000"/>
                <w:szCs w:val="24"/>
                <w:lang w:eastAsia="ru-RU"/>
              </w:rPr>
            </w:pPr>
            <w:r w:rsidRPr="005376A2">
              <w:rPr>
                <w:rFonts w:eastAsia="Times New Roman" w:cs="Times New Roman"/>
                <w:color w:val="000000"/>
                <w:szCs w:val="24"/>
                <w:lang w:eastAsia="ru-RU"/>
              </w:rPr>
              <w:t>2</w:t>
            </w:r>
          </w:p>
        </w:tc>
        <w:tc>
          <w:tcPr>
            <w:tcW w:w="443" w:type="pct"/>
            <w:tcBorders>
              <w:top w:val="nil"/>
              <w:left w:val="nil"/>
              <w:bottom w:val="single" w:sz="4" w:space="0" w:color="000000"/>
              <w:right w:val="single" w:sz="4" w:space="0" w:color="000000"/>
            </w:tcBorders>
            <w:shd w:val="clear" w:color="auto" w:fill="auto"/>
            <w:vAlign w:val="center"/>
            <w:hideMark/>
          </w:tcPr>
          <w:p w14:paraId="2F8FE6B3" w14:textId="77777777" w:rsidR="00AA34D8" w:rsidRPr="005376A2" w:rsidRDefault="00AA34D8" w:rsidP="00AA34D8">
            <w:pPr>
              <w:ind w:firstLine="0"/>
              <w:jc w:val="center"/>
              <w:rPr>
                <w:rFonts w:eastAsia="Times New Roman" w:cs="Times New Roman"/>
                <w:color w:val="000000"/>
                <w:szCs w:val="24"/>
                <w:lang w:eastAsia="ru-RU"/>
              </w:rPr>
            </w:pPr>
            <w:r w:rsidRPr="005376A2">
              <w:rPr>
                <w:rFonts w:eastAsia="Times New Roman" w:cs="Times New Roman"/>
                <w:color w:val="000000"/>
                <w:szCs w:val="24"/>
                <w:lang w:eastAsia="ru-RU"/>
              </w:rPr>
              <w:t>3</w:t>
            </w:r>
          </w:p>
        </w:tc>
        <w:tc>
          <w:tcPr>
            <w:tcW w:w="412" w:type="pct"/>
            <w:tcBorders>
              <w:top w:val="nil"/>
              <w:left w:val="nil"/>
              <w:bottom w:val="single" w:sz="4" w:space="0" w:color="000000"/>
              <w:right w:val="single" w:sz="4" w:space="0" w:color="000000"/>
            </w:tcBorders>
            <w:shd w:val="clear" w:color="auto" w:fill="auto"/>
            <w:vAlign w:val="center"/>
            <w:hideMark/>
          </w:tcPr>
          <w:p w14:paraId="3E92310D" w14:textId="77777777" w:rsidR="00AA34D8" w:rsidRPr="005376A2" w:rsidRDefault="00AA34D8" w:rsidP="00AA34D8">
            <w:pPr>
              <w:ind w:firstLine="0"/>
              <w:jc w:val="center"/>
              <w:rPr>
                <w:rFonts w:eastAsia="Times New Roman" w:cs="Times New Roman"/>
                <w:color w:val="000000"/>
                <w:szCs w:val="24"/>
                <w:lang w:eastAsia="ru-RU"/>
              </w:rPr>
            </w:pPr>
            <w:r w:rsidRPr="005376A2">
              <w:rPr>
                <w:rFonts w:eastAsia="Times New Roman" w:cs="Times New Roman"/>
                <w:color w:val="000000"/>
                <w:szCs w:val="24"/>
                <w:lang w:eastAsia="ru-RU"/>
              </w:rPr>
              <w:t>4</w:t>
            </w:r>
          </w:p>
        </w:tc>
        <w:tc>
          <w:tcPr>
            <w:tcW w:w="652" w:type="pct"/>
            <w:tcBorders>
              <w:top w:val="nil"/>
              <w:left w:val="nil"/>
              <w:bottom w:val="single" w:sz="4" w:space="0" w:color="000000"/>
              <w:right w:val="single" w:sz="4" w:space="0" w:color="000000"/>
            </w:tcBorders>
            <w:shd w:val="clear" w:color="auto" w:fill="auto"/>
            <w:vAlign w:val="center"/>
            <w:hideMark/>
          </w:tcPr>
          <w:p w14:paraId="09709944" w14:textId="77777777" w:rsidR="00AA34D8" w:rsidRPr="005376A2" w:rsidRDefault="00AA34D8" w:rsidP="00AA34D8">
            <w:pPr>
              <w:ind w:firstLine="0"/>
              <w:jc w:val="center"/>
              <w:rPr>
                <w:rFonts w:eastAsia="Times New Roman" w:cs="Times New Roman"/>
                <w:color w:val="000000"/>
                <w:szCs w:val="24"/>
                <w:lang w:eastAsia="ru-RU"/>
              </w:rPr>
            </w:pPr>
            <w:r w:rsidRPr="005376A2">
              <w:rPr>
                <w:rFonts w:eastAsia="Times New Roman" w:cs="Times New Roman"/>
                <w:color w:val="000000"/>
                <w:szCs w:val="24"/>
                <w:lang w:eastAsia="ru-RU"/>
              </w:rPr>
              <w:t>5</w:t>
            </w:r>
          </w:p>
        </w:tc>
        <w:tc>
          <w:tcPr>
            <w:tcW w:w="2186" w:type="pct"/>
            <w:tcBorders>
              <w:top w:val="nil"/>
              <w:left w:val="nil"/>
              <w:bottom w:val="single" w:sz="4" w:space="0" w:color="000000"/>
              <w:right w:val="single" w:sz="4" w:space="0" w:color="000000"/>
            </w:tcBorders>
            <w:shd w:val="clear" w:color="auto" w:fill="auto"/>
            <w:vAlign w:val="center"/>
            <w:hideMark/>
          </w:tcPr>
          <w:p w14:paraId="3FB47B81" w14:textId="77777777" w:rsidR="00AA34D8" w:rsidRPr="005376A2" w:rsidRDefault="00AA34D8" w:rsidP="00AA34D8">
            <w:pPr>
              <w:ind w:firstLine="0"/>
              <w:jc w:val="center"/>
              <w:rPr>
                <w:rFonts w:eastAsia="Times New Roman" w:cs="Times New Roman"/>
                <w:color w:val="000000"/>
                <w:szCs w:val="24"/>
                <w:lang w:eastAsia="ru-RU"/>
              </w:rPr>
            </w:pPr>
            <w:r w:rsidRPr="005376A2">
              <w:rPr>
                <w:rFonts w:eastAsia="Times New Roman" w:cs="Times New Roman"/>
                <w:color w:val="000000"/>
                <w:szCs w:val="24"/>
                <w:lang w:eastAsia="ru-RU"/>
              </w:rPr>
              <w:t>6</w:t>
            </w:r>
          </w:p>
        </w:tc>
      </w:tr>
      <w:tr w:rsidR="00AA34D8" w:rsidRPr="00AA34D8" w14:paraId="29789A86" w14:textId="77777777" w:rsidTr="00AA34D8">
        <w:trPr>
          <w:trHeight w:val="510"/>
        </w:trPr>
        <w:tc>
          <w:tcPr>
            <w:tcW w:w="136" w:type="pct"/>
            <w:tcBorders>
              <w:top w:val="nil"/>
              <w:left w:val="single" w:sz="4" w:space="0" w:color="000000"/>
              <w:bottom w:val="single" w:sz="4" w:space="0" w:color="000000"/>
              <w:right w:val="single" w:sz="4" w:space="0" w:color="000000"/>
            </w:tcBorders>
            <w:shd w:val="clear" w:color="auto" w:fill="auto"/>
            <w:vAlign w:val="center"/>
            <w:hideMark/>
          </w:tcPr>
          <w:p w14:paraId="41D77A9A" w14:textId="77777777" w:rsidR="00AA34D8" w:rsidRPr="005376A2" w:rsidRDefault="00AA34D8" w:rsidP="00AA34D8">
            <w:pPr>
              <w:ind w:firstLine="0"/>
              <w:jc w:val="center"/>
              <w:rPr>
                <w:rFonts w:eastAsia="Times New Roman" w:cs="Times New Roman"/>
                <w:color w:val="000000"/>
                <w:szCs w:val="24"/>
                <w:lang w:eastAsia="ru-RU"/>
              </w:rPr>
            </w:pPr>
            <w:r w:rsidRPr="005376A2">
              <w:rPr>
                <w:rFonts w:eastAsia="Times New Roman" w:cs="Times New Roman"/>
                <w:color w:val="000000"/>
                <w:szCs w:val="24"/>
                <w:lang w:eastAsia="ru-RU"/>
              </w:rPr>
              <w:t>1</w:t>
            </w:r>
          </w:p>
        </w:tc>
        <w:tc>
          <w:tcPr>
            <w:tcW w:w="1170" w:type="pct"/>
            <w:tcBorders>
              <w:top w:val="nil"/>
              <w:left w:val="nil"/>
              <w:bottom w:val="single" w:sz="4" w:space="0" w:color="000000"/>
              <w:right w:val="single" w:sz="4" w:space="0" w:color="000000"/>
            </w:tcBorders>
            <w:shd w:val="clear" w:color="auto" w:fill="auto"/>
            <w:vAlign w:val="center"/>
            <w:hideMark/>
          </w:tcPr>
          <w:p w14:paraId="02873FCA" w14:textId="77777777" w:rsidR="00AA34D8" w:rsidRPr="005376A2" w:rsidRDefault="00AA34D8" w:rsidP="00AA34D8">
            <w:pPr>
              <w:ind w:firstLine="0"/>
              <w:jc w:val="center"/>
              <w:rPr>
                <w:rFonts w:eastAsia="Times New Roman" w:cs="Times New Roman"/>
                <w:color w:val="000000"/>
                <w:szCs w:val="24"/>
                <w:lang w:eastAsia="ru-RU"/>
              </w:rPr>
            </w:pPr>
            <w:r w:rsidRPr="005376A2">
              <w:rPr>
                <w:rFonts w:eastAsia="Times New Roman" w:cs="Times New Roman"/>
                <w:color w:val="000000"/>
                <w:szCs w:val="24"/>
                <w:lang w:eastAsia="ru-RU"/>
              </w:rPr>
              <w:t>Газоснабжение</w:t>
            </w:r>
          </w:p>
        </w:tc>
        <w:tc>
          <w:tcPr>
            <w:tcW w:w="443" w:type="pct"/>
            <w:tcBorders>
              <w:top w:val="nil"/>
              <w:left w:val="nil"/>
              <w:bottom w:val="single" w:sz="4" w:space="0" w:color="000000"/>
              <w:right w:val="single" w:sz="4" w:space="0" w:color="000000"/>
            </w:tcBorders>
            <w:shd w:val="clear" w:color="auto" w:fill="auto"/>
            <w:vAlign w:val="center"/>
            <w:hideMark/>
          </w:tcPr>
          <w:p w14:paraId="19A6D3B2" w14:textId="77777777" w:rsidR="00AA34D8" w:rsidRPr="005376A2" w:rsidRDefault="00AA34D8" w:rsidP="00AA34D8">
            <w:pPr>
              <w:ind w:firstLine="0"/>
              <w:jc w:val="center"/>
              <w:rPr>
                <w:rFonts w:eastAsia="Times New Roman" w:cs="Times New Roman"/>
                <w:color w:val="000000"/>
                <w:szCs w:val="24"/>
                <w:lang w:eastAsia="ru-RU"/>
              </w:rPr>
            </w:pPr>
            <w:r w:rsidRPr="005376A2">
              <w:rPr>
                <w:rFonts w:eastAsia="Times New Roman" w:cs="Times New Roman"/>
                <w:color w:val="000000"/>
                <w:szCs w:val="24"/>
                <w:lang w:eastAsia="ru-RU"/>
              </w:rPr>
              <w:t>0,62</w:t>
            </w:r>
          </w:p>
        </w:tc>
        <w:tc>
          <w:tcPr>
            <w:tcW w:w="412" w:type="pct"/>
            <w:tcBorders>
              <w:top w:val="nil"/>
              <w:left w:val="nil"/>
              <w:bottom w:val="single" w:sz="4" w:space="0" w:color="000000"/>
              <w:right w:val="single" w:sz="4" w:space="0" w:color="000000"/>
            </w:tcBorders>
            <w:shd w:val="clear" w:color="auto" w:fill="auto"/>
            <w:vAlign w:val="center"/>
            <w:hideMark/>
          </w:tcPr>
          <w:p w14:paraId="301406B2" w14:textId="77777777" w:rsidR="00AA34D8" w:rsidRPr="005376A2" w:rsidRDefault="00AA34D8" w:rsidP="00AA34D8">
            <w:pPr>
              <w:ind w:firstLine="0"/>
              <w:jc w:val="center"/>
              <w:rPr>
                <w:rFonts w:eastAsia="Times New Roman" w:cs="Times New Roman"/>
                <w:color w:val="000000"/>
                <w:szCs w:val="24"/>
                <w:lang w:eastAsia="ru-RU"/>
              </w:rPr>
            </w:pPr>
            <w:r w:rsidRPr="005376A2">
              <w:rPr>
                <w:rFonts w:eastAsia="Times New Roman" w:cs="Times New Roman"/>
                <w:color w:val="000000"/>
                <w:szCs w:val="24"/>
                <w:lang w:eastAsia="ru-RU"/>
              </w:rPr>
              <w:t>0,89</w:t>
            </w:r>
          </w:p>
        </w:tc>
        <w:tc>
          <w:tcPr>
            <w:tcW w:w="652" w:type="pct"/>
            <w:tcBorders>
              <w:top w:val="nil"/>
              <w:left w:val="nil"/>
              <w:bottom w:val="single" w:sz="4" w:space="0" w:color="000000"/>
              <w:right w:val="single" w:sz="4" w:space="0" w:color="000000"/>
            </w:tcBorders>
            <w:shd w:val="clear" w:color="auto" w:fill="auto"/>
            <w:vAlign w:val="center"/>
            <w:hideMark/>
          </w:tcPr>
          <w:p w14:paraId="0B519988" w14:textId="77777777" w:rsidR="00AA34D8" w:rsidRPr="005376A2" w:rsidRDefault="00AA34D8" w:rsidP="00AA34D8">
            <w:pPr>
              <w:ind w:firstLine="0"/>
              <w:jc w:val="center"/>
              <w:rPr>
                <w:rFonts w:eastAsia="Times New Roman" w:cs="Times New Roman"/>
                <w:color w:val="000000"/>
                <w:szCs w:val="24"/>
                <w:lang w:eastAsia="ru-RU"/>
              </w:rPr>
            </w:pPr>
            <w:r w:rsidRPr="005376A2">
              <w:rPr>
                <w:rFonts w:eastAsia="Times New Roman" w:cs="Times New Roman"/>
                <w:color w:val="000000"/>
                <w:szCs w:val="24"/>
                <w:lang w:eastAsia="ru-RU"/>
              </w:rPr>
              <w:t>да</w:t>
            </w:r>
          </w:p>
        </w:tc>
        <w:tc>
          <w:tcPr>
            <w:tcW w:w="2186" w:type="pct"/>
            <w:tcBorders>
              <w:top w:val="nil"/>
              <w:left w:val="nil"/>
              <w:bottom w:val="single" w:sz="4" w:space="0" w:color="auto"/>
              <w:right w:val="single" w:sz="4" w:space="0" w:color="auto"/>
            </w:tcBorders>
            <w:shd w:val="clear" w:color="auto" w:fill="auto"/>
            <w:vAlign w:val="center"/>
            <w:hideMark/>
          </w:tcPr>
          <w:p w14:paraId="547BB917" w14:textId="77777777" w:rsidR="00AA34D8" w:rsidRPr="005376A2" w:rsidRDefault="00AA34D8" w:rsidP="00AA34D8">
            <w:pPr>
              <w:ind w:firstLine="0"/>
              <w:jc w:val="left"/>
              <w:rPr>
                <w:rFonts w:eastAsia="Times New Roman" w:cs="Times New Roman"/>
                <w:color w:val="000000"/>
                <w:szCs w:val="24"/>
                <w:lang w:eastAsia="ru-RU"/>
              </w:rPr>
            </w:pPr>
            <w:r w:rsidRPr="005376A2">
              <w:rPr>
                <w:rFonts w:eastAsia="Times New Roman" w:cs="Times New Roman"/>
                <w:color w:val="000000"/>
                <w:szCs w:val="24"/>
                <w:lang w:eastAsia="ru-RU"/>
              </w:rPr>
              <w:t>Ценообразующий фактор соответствует критериям, описанным выше. Данный фактор оказывает существенное влияние на стоимость объектов недвижимости</w:t>
            </w:r>
          </w:p>
        </w:tc>
      </w:tr>
      <w:tr w:rsidR="00AA34D8" w:rsidRPr="00AA34D8" w14:paraId="14A9EE69" w14:textId="77777777" w:rsidTr="00AA34D8">
        <w:trPr>
          <w:trHeight w:val="510"/>
        </w:trPr>
        <w:tc>
          <w:tcPr>
            <w:tcW w:w="136" w:type="pct"/>
            <w:tcBorders>
              <w:top w:val="nil"/>
              <w:left w:val="single" w:sz="4" w:space="0" w:color="000000"/>
              <w:bottom w:val="single" w:sz="4" w:space="0" w:color="000000"/>
              <w:right w:val="single" w:sz="4" w:space="0" w:color="000000"/>
            </w:tcBorders>
            <w:shd w:val="clear" w:color="auto" w:fill="auto"/>
            <w:vAlign w:val="center"/>
            <w:hideMark/>
          </w:tcPr>
          <w:p w14:paraId="12CCC120" w14:textId="77777777" w:rsidR="00AA34D8" w:rsidRPr="005376A2" w:rsidRDefault="00AA34D8" w:rsidP="00AA34D8">
            <w:pPr>
              <w:ind w:firstLine="0"/>
              <w:jc w:val="center"/>
              <w:rPr>
                <w:rFonts w:eastAsia="Times New Roman" w:cs="Times New Roman"/>
                <w:color w:val="000000"/>
                <w:szCs w:val="24"/>
                <w:lang w:eastAsia="ru-RU"/>
              </w:rPr>
            </w:pPr>
            <w:r w:rsidRPr="005376A2">
              <w:rPr>
                <w:rFonts w:eastAsia="Times New Roman" w:cs="Times New Roman"/>
                <w:color w:val="000000"/>
                <w:szCs w:val="24"/>
                <w:lang w:eastAsia="ru-RU"/>
              </w:rPr>
              <w:t>2</w:t>
            </w:r>
          </w:p>
        </w:tc>
        <w:tc>
          <w:tcPr>
            <w:tcW w:w="1170" w:type="pct"/>
            <w:tcBorders>
              <w:top w:val="nil"/>
              <w:left w:val="nil"/>
              <w:bottom w:val="single" w:sz="4" w:space="0" w:color="000000"/>
              <w:right w:val="single" w:sz="4" w:space="0" w:color="000000"/>
            </w:tcBorders>
            <w:shd w:val="clear" w:color="auto" w:fill="auto"/>
            <w:vAlign w:val="center"/>
            <w:hideMark/>
          </w:tcPr>
          <w:p w14:paraId="5419B62D" w14:textId="77777777" w:rsidR="00AA34D8" w:rsidRPr="005376A2" w:rsidRDefault="00AA34D8" w:rsidP="00AA34D8">
            <w:pPr>
              <w:ind w:firstLine="0"/>
              <w:jc w:val="center"/>
              <w:rPr>
                <w:rFonts w:eastAsia="Times New Roman" w:cs="Times New Roman"/>
                <w:color w:val="000000"/>
                <w:szCs w:val="24"/>
                <w:lang w:eastAsia="ru-RU"/>
              </w:rPr>
            </w:pPr>
            <w:r w:rsidRPr="005376A2">
              <w:rPr>
                <w:rFonts w:eastAsia="Times New Roman" w:cs="Times New Roman"/>
                <w:color w:val="000000"/>
                <w:szCs w:val="24"/>
                <w:lang w:eastAsia="ru-RU"/>
              </w:rPr>
              <w:t>Канализация</w:t>
            </w:r>
          </w:p>
        </w:tc>
        <w:tc>
          <w:tcPr>
            <w:tcW w:w="443" w:type="pct"/>
            <w:tcBorders>
              <w:top w:val="nil"/>
              <w:left w:val="nil"/>
              <w:bottom w:val="single" w:sz="4" w:space="0" w:color="000000"/>
              <w:right w:val="single" w:sz="4" w:space="0" w:color="000000"/>
            </w:tcBorders>
            <w:shd w:val="clear" w:color="auto" w:fill="auto"/>
            <w:vAlign w:val="center"/>
            <w:hideMark/>
          </w:tcPr>
          <w:p w14:paraId="796EB61C" w14:textId="77777777" w:rsidR="00AA34D8" w:rsidRPr="005376A2" w:rsidRDefault="00AA34D8" w:rsidP="00AA34D8">
            <w:pPr>
              <w:ind w:firstLine="0"/>
              <w:jc w:val="center"/>
              <w:rPr>
                <w:rFonts w:eastAsia="Times New Roman" w:cs="Times New Roman"/>
                <w:color w:val="000000"/>
                <w:szCs w:val="24"/>
                <w:lang w:eastAsia="ru-RU"/>
              </w:rPr>
            </w:pPr>
            <w:r w:rsidRPr="005376A2">
              <w:rPr>
                <w:rFonts w:eastAsia="Times New Roman" w:cs="Times New Roman"/>
                <w:color w:val="000000"/>
                <w:szCs w:val="24"/>
                <w:lang w:eastAsia="ru-RU"/>
              </w:rPr>
              <w:t>0,43</w:t>
            </w:r>
          </w:p>
        </w:tc>
        <w:tc>
          <w:tcPr>
            <w:tcW w:w="412" w:type="pct"/>
            <w:tcBorders>
              <w:top w:val="nil"/>
              <w:left w:val="nil"/>
              <w:bottom w:val="single" w:sz="4" w:space="0" w:color="000000"/>
              <w:right w:val="single" w:sz="4" w:space="0" w:color="000000"/>
            </w:tcBorders>
            <w:shd w:val="clear" w:color="auto" w:fill="auto"/>
            <w:vAlign w:val="center"/>
            <w:hideMark/>
          </w:tcPr>
          <w:p w14:paraId="274D413E" w14:textId="77777777" w:rsidR="00AA34D8" w:rsidRPr="005376A2" w:rsidRDefault="00AA34D8" w:rsidP="00AA34D8">
            <w:pPr>
              <w:ind w:firstLine="0"/>
              <w:jc w:val="center"/>
              <w:rPr>
                <w:rFonts w:eastAsia="Times New Roman" w:cs="Times New Roman"/>
                <w:color w:val="000000"/>
                <w:szCs w:val="24"/>
                <w:lang w:eastAsia="ru-RU"/>
              </w:rPr>
            </w:pPr>
            <w:r w:rsidRPr="005376A2">
              <w:rPr>
                <w:rFonts w:eastAsia="Times New Roman" w:cs="Times New Roman"/>
                <w:color w:val="000000"/>
                <w:szCs w:val="24"/>
                <w:lang w:eastAsia="ru-RU"/>
              </w:rPr>
              <w:t>0,62</w:t>
            </w:r>
          </w:p>
        </w:tc>
        <w:tc>
          <w:tcPr>
            <w:tcW w:w="652" w:type="pct"/>
            <w:tcBorders>
              <w:top w:val="nil"/>
              <w:left w:val="nil"/>
              <w:bottom w:val="single" w:sz="4" w:space="0" w:color="000000"/>
              <w:right w:val="single" w:sz="4" w:space="0" w:color="000000"/>
            </w:tcBorders>
            <w:shd w:val="clear" w:color="auto" w:fill="auto"/>
            <w:vAlign w:val="center"/>
            <w:hideMark/>
          </w:tcPr>
          <w:p w14:paraId="59CC9EBF" w14:textId="77777777" w:rsidR="00AA34D8" w:rsidRPr="005376A2" w:rsidRDefault="00AA34D8" w:rsidP="00AA34D8">
            <w:pPr>
              <w:ind w:firstLine="0"/>
              <w:jc w:val="center"/>
              <w:rPr>
                <w:rFonts w:eastAsia="Times New Roman" w:cs="Times New Roman"/>
                <w:color w:val="000000"/>
                <w:szCs w:val="24"/>
                <w:lang w:eastAsia="ru-RU"/>
              </w:rPr>
            </w:pPr>
            <w:r w:rsidRPr="005376A2">
              <w:rPr>
                <w:rFonts w:eastAsia="Times New Roman" w:cs="Times New Roman"/>
                <w:color w:val="000000"/>
                <w:szCs w:val="24"/>
                <w:lang w:eastAsia="ru-RU"/>
              </w:rPr>
              <w:t>нет</w:t>
            </w:r>
          </w:p>
        </w:tc>
        <w:tc>
          <w:tcPr>
            <w:tcW w:w="2186" w:type="pct"/>
            <w:tcBorders>
              <w:top w:val="nil"/>
              <w:left w:val="nil"/>
              <w:bottom w:val="single" w:sz="4" w:space="0" w:color="auto"/>
              <w:right w:val="single" w:sz="4" w:space="0" w:color="auto"/>
            </w:tcBorders>
            <w:shd w:val="clear" w:color="auto" w:fill="auto"/>
            <w:vAlign w:val="center"/>
            <w:hideMark/>
          </w:tcPr>
          <w:p w14:paraId="19F2DA35" w14:textId="77777777" w:rsidR="00AA34D8" w:rsidRPr="005376A2" w:rsidRDefault="00AA34D8" w:rsidP="00AA34D8">
            <w:pPr>
              <w:ind w:firstLine="0"/>
              <w:jc w:val="left"/>
              <w:rPr>
                <w:rFonts w:eastAsia="Times New Roman" w:cs="Times New Roman"/>
                <w:color w:val="000000"/>
                <w:szCs w:val="24"/>
                <w:lang w:eastAsia="ru-RU"/>
              </w:rPr>
            </w:pPr>
            <w:r w:rsidRPr="005376A2">
              <w:rPr>
                <w:rFonts w:eastAsia="Times New Roman" w:cs="Times New Roman"/>
                <w:color w:val="000000"/>
                <w:szCs w:val="24"/>
                <w:lang w:eastAsia="ru-RU"/>
              </w:rPr>
              <w:t>Данный ценообразующий фактор сильно коррелирует с прочими ценообразующими факторами, определяющими локальное местоположение объекта</w:t>
            </w:r>
          </w:p>
        </w:tc>
      </w:tr>
      <w:tr w:rsidR="00AA34D8" w:rsidRPr="00AA34D8" w14:paraId="6CFBF372" w14:textId="77777777" w:rsidTr="00AA34D8">
        <w:trPr>
          <w:trHeight w:val="765"/>
        </w:trPr>
        <w:tc>
          <w:tcPr>
            <w:tcW w:w="136" w:type="pct"/>
            <w:tcBorders>
              <w:top w:val="nil"/>
              <w:left w:val="single" w:sz="4" w:space="0" w:color="000000"/>
              <w:bottom w:val="single" w:sz="4" w:space="0" w:color="000000"/>
              <w:right w:val="single" w:sz="4" w:space="0" w:color="000000"/>
            </w:tcBorders>
            <w:shd w:val="clear" w:color="auto" w:fill="auto"/>
            <w:vAlign w:val="center"/>
            <w:hideMark/>
          </w:tcPr>
          <w:p w14:paraId="562BECBD" w14:textId="77777777" w:rsidR="00AA34D8" w:rsidRPr="005376A2" w:rsidRDefault="00AA34D8" w:rsidP="00AA34D8">
            <w:pPr>
              <w:ind w:firstLine="0"/>
              <w:jc w:val="center"/>
              <w:rPr>
                <w:rFonts w:eastAsia="Times New Roman" w:cs="Times New Roman"/>
                <w:color w:val="000000"/>
                <w:szCs w:val="24"/>
                <w:lang w:eastAsia="ru-RU"/>
              </w:rPr>
            </w:pPr>
            <w:r w:rsidRPr="005376A2">
              <w:rPr>
                <w:rFonts w:eastAsia="Times New Roman" w:cs="Times New Roman"/>
                <w:color w:val="000000"/>
                <w:szCs w:val="24"/>
                <w:lang w:eastAsia="ru-RU"/>
              </w:rPr>
              <w:t>3</w:t>
            </w:r>
          </w:p>
        </w:tc>
        <w:tc>
          <w:tcPr>
            <w:tcW w:w="1170" w:type="pct"/>
            <w:tcBorders>
              <w:top w:val="nil"/>
              <w:left w:val="nil"/>
              <w:bottom w:val="single" w:sz="4" w:space="0" w:color="000000"/>
              <w:right w:val="single" w:sz="4" w:space="0" w:color="000000"/>
            </w:tcBorders>
            <w:shd w:val="clear" w:color="auto" w:fill="auto"/>
            <w:vAlign w:val="center"/>
            <w:hideMark/>
          </w:tcPr>
          <w:p w14:paraId="6E25EA25" w14:textId="77777777" w:rsidR="00AA34D8" w:rsidRPr="005376A2" w:rsidRDefault="00AA34D8" w:rsidP="00AA34D8">
            <w:pPr>
              <w:ind w:firstLine="0"/>
              <w:jc w:val="center"/>
              <w:rPr>
                <w:rFonts w:eastAsia="Times New Roman" w:cs="Times New Roman"/>
                <w:color w:val="000000"/>
                <w:szCs w:val="24"/>
                <w:lang w:eastAsia="ru-RU"/>
              </w:rPr>
            </w:pPr>
            <w:r w:rsidRPr="005376A2">
              <w:rPr>
                <w:rFonts w:eastAsia="Times New Roman" w:cs="Times New Roman"/>
                <w:color w:val="000000"/>
                <w:szCs w:val="24"/>
                <w:lang w:eastAsia="ru-RU"/>
              </w:rPr>
              <w:t>Материал стен</w:t>
            </w:r>
          </w:p>
        </w:tc>
        <w:tc>
          <w:tcPr>
            <w:tcW w:w="443" w:type="pct"/>
            <w:tcBorders>
              <w:top w:val="nil"/>
              <w:left w:val="nil"/>
              <w:bottom w:val="single" w:sz="4" w:space="0" w:color="000000"/>
              <w:right w:val="single" w:sz="4" w:space="0" w:color="000000"/>
            </w:tcBorders>
            <w:shd w:val="clear" w:color="auto" w:fill="auto"/>
            <w:vAlign w:val="center"/>
            <w:hideMark/>
          </w:tcPr>
          <w:p w14:paraId="3F948554" w14:textId="77777777" w:rsidR="00AA34D8" w:rsidRPr="005376A2" w:rsidRDefault="00AA34D8" w:rsidP="00AA34D8">
            <w:pPr>
              <w:ind w:firstLine="0"/>
              <w:jc w:val="center"/>
              <w:rPr>
                <w:rFonts w:eastAsia="Times New Roman" w:cs="Times New Roman"/>
                <w:color w:val="000000"/>
                <w:szCs w:val="24"/>
                <w:lang w:eastAsia="ru-RU"/>
              </w:rPr>
            </w:pPr>
            <w:r w:rsidRPr="005376A2">
              <w:rPr>
                <w:rFonts w:eastAsia="Times New Roman" w:cs="Times New Roman"/>
                <w:color w:val="000000"/>
                <w:szCs w:val="24"/>
                <w:lang w:eastAsia="ru-RU"/>
              </w:rPr>
              <w:t>0,24</w:t>
            </w:r>
          </w:p>
        </w:tc>
        <w:tc>
          <w:tcPr>
            <w:tcW w:w="412" w:type="pct"/>
            <w:tcBorders>
              <w:top w:val="nil"/>
              <w:left w:val="nil"/>
              <w:bottom w:val="single" w:sz="4" w:space="0" w:color="000000"/>
              <w:right w:val="single" w:sz="4" w:space="0" w:color="000000"/>
            </w:tcBorders>
            <w:shd w:val="clear" w:color="auto" w:fill="auto"/>
            <w:vAlign w:val="center"/>
            <w:hideMark/>
          </w:tcPr>
          <w:p w14:paraId="3FCBB2F8" w14:textId="77777777" w:rsidR="00AA34D8" w:rsidRPr="005376A2" w:rsidRDefault="00AA34D8" w:rsidP="00AA34D8">
            <w:pPr>
              <w:ind w:firstLine="0"/>
              <w:jc w:val="center"/>
              <w:rPr>
                <w:rFonts w:eastAsia="Times New Roman" w:cs="Times New Roman"/>
                <w:color w:val="000000"/>
                <w:szCs w:val="24"/>
                <w:lang w:eastAsia="ru-RU"/>
              </w:rPr>
            </w:pPr>
            <w:r w:rsidRPr="005376A2">
              <w:rPr>
                <w:rFonts w:eastAsia="Times New Roman" w:cs="Times New Roman"/>
                <w:color w:val="000000"/>
                <w:szCs w:val="24"/>
                <w:lang w:eastAsia="ru-RU"/>
              </w:rPr>
              <w:t>0,35</w:t>
            </w:r>
          </w:p>
        </w:tc>
        <w:tc>
          <w:tcPr>
            <w:tcW w:w="652" w:type="pct"/>
            <w:tcBorders>
              <w:top w:val="nil"/>
              <w:left w:val="nil"/>
              <w:bottom w:val="single" w:sz="4" w:space="0" w:color="000000"/>
              <w:right w:val="single" w:sz="4" w:space="0" w:color="000000"/>
            </w:tcBorders>
            <w:shd w:val="clear" w:color="auto" w:fill="auto"/>
            <w:vAlign w:val="center"/>
            <w:hideMark/>
          </w:tcPr>
          <w:p w14:paraId="049DAA91" w14:textId="77777777" w:rsidR="00AA34D8" w:rsidRPr="005376A2" w:rsidRDefault="00AA34D8" w:rsidP="00AA34D8">
            <w:pPr>
              <w:ind w:firstLine="0"/>
              <w:jc w:val="center"/>
              <w:rPr>
                <w:rFonts w:eastAsia="Times New Roman" w:cs="Times New Roman"/>
                <w:color w:val="000000"/>
                <w:szCs w:val="24"/>
                <w:lang w:eastAsia="ru-RU"/>
              </w:rPr>
            </w:pPr>
            <w:r w:rsidRPr="005376A2">
              <w:rPr>
                <w:rFonts w:eastAsia="Times New Roman" w:cs="Times New Roman"/>
                <w:color w:val="000000"/>
                <w:szCs w:val="24"/>
                <w:lang w:eastAsia="ru-RU"/>
              </w:rPr>
              <w:t>нет</w:t>
            </w:r>
          </w:p>
        </w:tc>
        <w:tc>
          <w:tcPr>
            <w:tcW w:w="2186" w:type="pct"/>
            <w:tcBorders>
              <w:top w:val="nil"/>
              <w:left w:val="nil"/>
              <w:bottom w:val="single" w:sz="4" w:space="0" w:color="auto"/>
              <w:right w:val="single" w:sz="4" w:space="0" w:color="auto"/>
            </w:tcBorders>
            <w:shd w:val="clear" w:color="auto" w:fill="auto"/>
            <w:vAlign w:val="center"/>
            <w:hideMark/>
          </w:tcPr>
          <w:p w14:paraId="2FA52151" w14:textId="77777777" w:rsidR="00AA34D8" w:rsidRPr="005376A2" w:rsidRDefault="00AA34D8" w:rsidP="00AA34D8">
            <w:pPr>
              <w:ind w:firstLine="0"/>
              <w:jc w:val="left"/>
              <w:rPr>
                <w:rFonts w:eastAsia="Times New Roman" w:cs="Times New Roman"/>
                <w:color w:val="000000"/>
                <w:szCs w:val="24"/>
                <w:lang w:eastAsia="ru-RU"/>
              </w:rPr>
            </w:pPr>
            <w:r w:rsidRPr="005376A2">
              <w:rPr>
                <w:rFonts w:eastAsia="Times New Roman" w:cs="Times New Roman"/>
                <w:color w:val="000000"/>
                <w:szCs w:val="24"/>
                <w:lang w:eastAsia="ru-RU"/>
              </w:rPr>
              <w:t>Направленность корреляционной зависимости между ценообразующим фактором и удельной ценой объектов-аналогов не соответствует экономической гипотезе о наблюдаемом на рынке характере влияния данного фактора на зависимую переменную</w:t>
            </w:r>
          </w:p>
        </w:tc>
      </w:tr>
      <w:tr w:rsidR="00AA34D8" w:rsidRPr="00AA34D8" w14:paraId="2CAA7BF7" w14:textId="77777777" w:rsidTr="00AA34D8">
        <w:trPr>
          <w:trHeight w:val="765"/>
        </w:trPr>
        <w:tc>
          <w:tcPr>
            <w:tcW w:w="136" w:type="pct"/>
            <w:tcBorders>
              <w:top w:val="nil"/>
              <w:left w:val="single" w:sz="4" w:space="0" w:color="000000"/>
              <w:bottom w:val="single" w:sz="4" w:space="0" w:color="000000"/>
              <w:right w:val="single" w:sz="4" w:space="0" w:color="000000"/>
            </w:tcBorders>
            <w:shd w:val="clear" w:color="auto" w:fill="auto"/>
            <w:vAlign w:val="center"/>
            <w:hideMark/>
          </w:tcPr>
          <w:p w14:paraId="18B74025" w14:textId="77777777" w:rsidR="00AA34D8" w:rsidRPr="005376A2" w:rsidRDefault="00AA34D8" w:rsidP="00AA34D8">
            <w:pPr>
              <w:ind w:firstLine="0"/>
              <w:jc w:val="center"/>
              <w:rPr>
                <w:rFonts w:eastAsia="Times New Roman" w:cs="Times New Roman"/>
                <w:color w:val="000000"/>
                <w:szCs w:val="24"/>
                <w:lang w:eastAsia="ru-RU"/>
              </w:rPr>
            </w:pPr>
            <w:r w:rsidRPr="005376A2">
              <w:rPr>
                <w:rFonts w:eastAsia="Times New Roman" w:cs="Times New Roman"/>
                <w:color w:val="000000"/>
                <w:szCs w:val="24"/>
                <w:lang w:eastAsia="ru-RU"/>
              </w:rPr>
              <w:t>4</w:t>
            </w:r>
          </w:p>
        </w:tc>
        <w:tc>
          <w:tcPr>
            <w:tcW w:w="1170" w:type="pct"/>
            <w:tcBorders>
              <w:top w:val="nil"/>
              <w:left w:val="nil"/>
              <w:bottom w:val="single" w:sz="4" w:space="0" w:color="000000"/>
              <w:right w:val="single" w:sz="4" w:space="0" w:color="000000"/>
            </w:tcBorders>
            <w:shd w:val="clear" w:color="auto" w:fill="auto"/>
            <w:vAlign w:val="center"/>
            <w:hideMark/>
          </w:tcPr>
          <w:p w14:paraId="49249C4A" w14:textId="77777777" w:rsidR="00AA34D8" w:rsidRPr="005376A2" w:rsidRDefault="00AA34D8" w:rsidP="00AA34D8">
            <w:pPr>
              <w:ind w:firstLine="0"/>
              <w:jc w:val="center"/>
              <w:rPr>
                <w:rFonts w:eastAsia="Times New Roman" w:cs="Times New Roman"/>
                <w:color w:val="000000"/>
                <w:szCs w:val="24"/>
                <w:lang w:eastAsia="ru-RU"/>
              </w:rPr>
            </w:pPr>
            <w:r w:rsidRPr="005376A2">
              <w:rPr>
                <w:rFonts w:eastAsia="Times New Roman" w:cs="Times New Roman"/>
                <w:color w:val="000000"/>
                <w:szCs w:val="24"/>
                <w:lang w:eastAsia="ru-RU"/>
              </w:rPr>
              <w:t>Номер этажа</w:t>
            </w:r>
          </w:p>
        </w:tc>
        <w:tc>
          <w:tcPr>
            <w:tcW w:w="443" w:type="pct"/>
            <w:tcBorders>
              <w:top w:val="nil"/>
              <w:left w:val="nil"/>
              <w:bottom w:val="single" w:sz="4" w:space="0" w:color="000000"/>
              <w:right w:val="single" w:sz="4" w:space="0" w:color="000000"/>
            </w:tcBorders>
            <w:shd w:val="clear" w:color="auto" w:fill="auto"/>
            <w:vAlign w:val="center"/>
            <w:hideMark/>
          </w:tcPr>
          <w:p w14:paraId="1C8C9C5A" w14:textId="77777777" w:rsidR="00AA34D8" w:rsidRPr="005376A2" w:rsidRDefault="00AA34D8" w:rsidP="00AA34D8">
            <w:pPr>
              <w:ind w:firstLine="0"/>
              <w:jc w:val="center"/>
              <w:rPr>
                <w:rFonts w:eastAsia="Times New Roman" w:cs="Times New Roman"/>
                <w:color w:val="000000"/>
                <w:szCs w:val="24"/>
                <w:lang w:eastAsia="ru-RU"/>
              </w:rPr>
            </w:pPr>
            <w:r w:rsidRPr="005376A2">
              <w:rPr>
                <w:rFonts w:eastAsia="Times New Roman" w:cs="Times New Roman"/>
                <w:color w:val="000000"/>
                <w:szCs w:val="24"/>
                <w:lang w:eastAsia="ru-RU"/>
              </w:rPr>
              <w:t>0,61</w:t>
            </w:r>
          </w:p>
        </w:tc>
        <w:tc>
          <w:tcPr>
            <w:tcW w:w="412" w:type="pct"/>
            <w:tcBorders>
              <w:top w:val="nil"/>
              <w:left w:val="nil"/>
              <w:bottom w:val="single" w:sz="4" w:space="0" w:color="000000"/>
              <w:right w:val="single" w:sz="4" w:space="0" w:color="000000"/>
            </w:tcBorders>
            <w:shd w:val="clear" w:color="auto" w:fill="auto"/>
            <w:vAlign w:val="center"/>
            <w:hideMark/>
          </w:tcPr>
          <w:p w14:paraId="5956D786" w14:textId="77777777" w:rsidR="00AA34D8" w:rsidRPr="005376A2" w:rsidRDefault="00AA34D8" w:rsidP="00AA34D8">
            <w:pPr>
              <w:ind w:firstLine="0"/>
              <w:jc w:val="center"/>
              <w:rPr>
                <w:rFonts w:eastAsia="Times New Roman" w:cs="Times New Roman"/>
                <w:color w:val="000000"/>
                <w:szCs w:val="24"/>
                <w:lang w:eastAsia="ru-RU"/>
              </w:rPr>
            </w:pPr>
            <w:r w:rsidRPr="005376A2">
              <w:rPr>
                <w:rFonts w:eastAsia="Times New Roman" w:cs="Times New Roman"/>
                <w:color w:val="000000"/>
                <w:szCs w:val="24"/>
                <w:lang w:eastAsia="ru-RU"/>
              </w:rPr>
              <w:t>0,88</w:t>
            </w:r>
          </w:p>
        </w:tc>
        <w:tc>
          <w:tcPr>
            <w:tcW w:w="652" w:type="pct"/>
            <w:tcBorders>
              <w:top w:val="nil"/>
              <w:left w:val="nil"/>
              <w:bottom w:val="single" w:sz="4" w:space="0" w:color="000000"/>
              <w:right w:val="single" w:sz="4" w:space="0" w:color="000000"/>
            </w:tcBorders>
            <w:shd w:val="clear" w:color="auto" w:fill="auto"/>
            <w:vAlign w:val="center"/>
            <w:hideMark/>
          </w:tcPr>
          <w:p w14:paraId="73971DAC" w14:textId="77777777" w:rsidR="00AA34D8" w:rsidRPr="005376A2" w:rsidRDefault="00AA34D8" w:rsidP="00AA34D8">
            <w:pPr>
              <w:ind w:firstLine="0"/>
              <w:jc w:val="center"/>
              <w:rPr>
                <w:rFonts w:eastAsia="Times New Roman" w:cs="Times New Roman"/>
                <w:color w:val="000000"/>
                <w:szCs w:val="24"/>
                <w:lang w:eastAsia="ru-RU"/>
              </w:rPr>
            </w:pPr>
            <w:r w:rsidRPr="005376A2">
              <w:rPr>
                <w:rFonts w:eastAsia="Times New Roman" w:cs="Times New Roman"/>
                <w:color w:val="000000"/>
                <w:szCs w:val="24"/>
                <w:lang w:eastAsia="ru-RU"/>
              </w:rPr>
              <w:t>нет</w:t>
            </w:r>
          </w:p>
        </w:tc>
        <w:tc>
          <w:tcPr>
            <w:tcW w:w="2186" w:type="pct"/>
            <w:tcBorders>
              <w:top w:val="nil"/>
              <w:left w:val="nil"/>
              <w:bottom w:val="single" w:sz="4" w:space="0" w:color="auto"/>
              <w:right w:val="single" w:sz="4" w:space="0" w:color="auto"/>
            </w:tcBorders>
            <w:shd w:val="clear" w:color="auto" w:fill="auto"/>
            <w:vAlign w:val="center"/>
            <w:hideMark/>
          </w:tcPr>
          <w:p w14:paraId="075A4234" w14:textId="77777777" w:rsidR="00AA34D8" w:rsidRPr="005376A2" w:rsidRDefault="00AA34D8" w:rsidP="00AA34D8">
            <w:pPr>
              <w:ind w:firstLine="0"/>
              <w:jc w:val="left"/>
              <w:rPr>
                <w:rFonts w:eastAsia="Times New Roman" w:cs="Times New Roman"/>
                <w:color w:val="000000"/>
                <w:szCs w:val="24"/>
                <w:lang w:eastAsia="ru-RU"/>
              </w:rPr>
            </w:pPr>
            <w:r w:rsidRPr="005376A2">
              <w:rPr>
                <w:rFonts w:eastAsia="Times New Roman" w:cs="Times New Roman"/>
                <w:color w:val="000000"/>
                <w:szCs w:val="24"/>
                <w:lang w:eastAsia="ru-RU"/>
              </w:rPr>
              <w:t>Направленность корреляционной зависимости между ценообразующим фактором и удельной ценой объектов-аналогов не соответствует экономической гипотезе о наблюдаемом на рынке характере влияния данного фактора на зависимую переменную</w:t>
            </w:r>
          </w:p>
        </w:tc>
      </w:tr>
      <w:tr w:rsidR="00AA34D8" w:rsidRPr="00AA34D8" w14:paraId="6F073B2A" w14:textId="77777777" w:rsidTr="00AA34D8">
        <w:trPr>
          <w:trHeight w:val="630"/>
        </w:trPr>
        <w:tc>
          <w:tcPr>
            <w:tcW w:w="136" w:type="pct"/>
            <w:tcBorders>
              <w:top w:val="nil"/>
              <w:left w:val="single" w:sz="4" w:space="0" w:color="000000"/>
              <w:bottom w:val="single" w:sz="4" w:space="0" w:color="000000"/>
              <w:right w:val="single" w:sz="4" w:space="0" w:color="000000"/>
            </w:tcBorders>
            <w:shd w:val="clear" w:color="auto" w:fill="auto"/>
            <w:vAlign w:val="center"/>
            <w:hideMark/>
          </w:tcPr>
          <w:p w14:paraId="2362799D" w14:textId="77777777" w:rsidR="00AA34D8" w:rsidRPr="005376A2" w:rsidRDefault="00AA34D8" w:rsidP="00AA34D8">
            <w:pPr>
              <w:ind w:firstLine="0"/>
              <w:jc w:val="center"/>
              <w:rPr>
                <w:rFonts w:eastAsia="Times New Roman" w:cs="Times New Roman"/>
                <w:color w:val="000000"/>
                <w:szCs w:val="24"/>
                <w:lang w:eastAsia="ru-RU"/>
              </w:rPr>
            </w:pPr>
            <w:r w:rsidRPr="005376A2">
              <w:rPr>
                <w:rFonts w:eastAsia="Times New Roman" w:cs="Times New Roman"/>
                <w:color w:val="000000"/>
                <w:szCs w:val="24"/>
                <w:lang w:eastAsia="ru-RU"/>
              </w:rPr>
              <w:t>5</w:t>
            </w:r>
          </w:p>
        </w:tc>
        <w:tc>
          <w:tcPr>
            <w:tcW w:w="1170" w:type="pct"/>
            <w:tcBorders>
              <w:top w:val="nil"/>
              <w:left w:val="nil"/>
              <w:bottom w:val="single" w:sz="4" w:space="0" w:color="000000"/>
              <w:right w:val="single" w:sz="4" w:space="0" w:color="000000"/>
            </w:tcBorders>
            <w:shd w:val="clear" w:color="auto" w:fill="auto"/>
            <w:vAlign w:val="center"/>
            <w:hideMark/>
          </w:tcPr>
          <w:p w14:paraId="13E04F6F" w14:textId="77777777" w:rsidR="00AA34D8" w:rsidRPr="005376A2" w:rsidRDefault="00AA34D8" w:rsidP="00AA34D8">
            <w:pPr>
              <w:ind w:firstLine="0"/>
              <w:jc w:val="center"/>
              <w:rPr>
                <w:rFonts w:eastAsia="Times New Roman" w:cs="Times New Roman"/>
                <w:color w:val="000000"/>
                <w:szCs w:val="24"/>
                <w:lang w:eastAsia="ru-RU"/>
              </w:rPr>
            </w:pPr>
            <w:r w:rsidRPr="005376A2">
              <w:rPr>
                <w:rFonts w:eastAsia="Times New Roman" w:cs="Times New Roman"/>
                <w:color w:val="000000"/>
                <w:szCs w:val="24"/>
                <w:lang w:eastAsia="ru-RU"/>
              </w:rPr>
              <w:t>Расстояние до ближайшей из основных дорог города</w:t>
            </w:r>
          </w:p>
        </w:tc>
        <w:tc>
          <w:tcPr>
            <w:tcW w:w="443" w:type="pct"/>
            <w:tcBorders>
              <w:top w:val="nil"/>
              <w:left w:val="nil"/>
              <w:bottom w:val="single" w:sz="4" w:space="0" w:color="000000"/>
              <w:right w:val="single" w:sz="4" w:space="0" w:color="000000"/>
            </w:tcBorders>
            <w:shd w:val="clear" w:color="auto" w:fill="auto"/>
            <w:vAlign w:val="center"/>
            <w:hideMark/>
          </w:tcPr>
          <w:p w14:paraId="1F540F2C" w14:textId="77777777" w:rsidR="00AA34D8" w:rsidRPr="005376A2" w:rsidRDefault="00AA34D8" w:rsidP="00AA34D8">
            <w:pPr>
              <w:ind w:firstLine="0"/>
              <w:jc w:val="center"/>
              <w:rPr>
                <w:rFonts w:eastAsia="Times New Roman" w:cs="Times New Roman"/>
                <w:color w:val="000000"/>
                <w:szCs w:val="24"/>
                <w:lang w:eastAsia="ru-RU"/>
              </w:rPr>
            </w:pPr>
            <w:r w:rsidRPr="005376A2">
              <w:rPr>
                <w:rFonts w:eastAsia="Times New Roman" w:cs="Times New Roman"/>
                <w:color w:val="000000"/>
                <w:szCs w:val="24"/>
                <w:lang w:eastAsia="ru-RU"/>
              </w:rPr>
              <w:t>0,49</w:t>
            </w:r>
          </w:p>
        </w:tc>
        <w:tc>
          <w:tcPr>
            <w:tcW w:w="412" w:type="pct"/>
            <w:tcBorders>
              <w:top w:val="nil"/>
              <w:left w:val="nil"/>
              <w:bottom w:val="single" w:sz="4" w:space="0" w:color="000000"/>
              <w:right w:val="single" w:sz="4" w:space="0" w:color="000000"/>
            </w:tcBorders>
            <w:shd w:val="clear" w:color="auto" w:fill="auto"/>
            <w:vAlign w:val="center"/>
            <w:hideMark/>
          </w:tcPr>
          <w:p w14:paraId="76D6C726" w14:textId="77777777" w:rsidR="00AA34D8" w:rsidRPr="005376A2" w:rsidRDefault="00AA34D8" w:rsidP="00AA34D8">
            <w:pPr>
              <w:ind w:firstLine="0"/>
              <w:jc w:val="center"/>
              <w:rPr>
                <w:rFonts w:eastAsia="Times New Roman" w:cs="Times New Roman"/>
                <w:color w:val="000000"/>
                <w:szCs w:val="24"/>
                <w:lang w:eastAsia="ru-RU"/>
              </w:rPr>
            </w:pPr>
            <w:r w:rsidRPr="005376A2">
              <w:rPr>
                <w:rFonts w:eastAsia="Times New Roman" w:cs="Times New Roman"/>
                <w:color w:val="000000"/>
                <w:szCs w:val="24"/>
                <w:lang w:eastAsia="ru-RU"/>
              </w:rPr>
              <w:t>0,71</w:t>
            </w:r>
          </w:p>
        </w:tc>
        <w:tc>
          <w:tcPr>
            <w:tcW w:w="652" w:type="pct"/>
            <w:tcBorders>
              <w:top w:val="nil"/>
              <w:left w:val="nil"/>
              <w:bottom w:val="single" w:sz="4" w:space="0" w:color="000000"/>
              <w:right w:val="single" w:sz="4" w:space="0" w:color="000000"/>
            </w:tcBorders>
            <w:shd w:val="clear" w:color="auto" w:fill="auto"/>
            <w:vAlign w:val="center"/>
            <w:hideMark/>
          </w:tcPr>
          <w:p w14:paraId="28A2F78A" w14:textId="77777777" w:rsidR="00AA34D8" w:rsidRPr="005376A2" w:rsidRDefault="00AA34D8" w:rsidP="00AA34D8">
            <w:pPr>
              <w:ind w:firstLine="0"/>
              <w:jc w:val="center"/>
              <w:rPr>
                <w:rFonts w:eastAsia="Times New Roman" w:cs="Times New Roman"/>
                <w:color w:val="000000"/>
                <w:szCs w:val="24"/>
                <w:lang w:eastAsia="ru-RU"/>
              </w:rPr>
            </w:pPr>
            <w:r w:rsidRPr="005376A2">
              <w:rPr>
                <w:rFonts w:eastAsia="Times New Roman" w:cs="Times New Roman"/>
                <w:color w:val="000000"/>
                <w:szCs w:val="24"/>
                <w:lang w:eastAsia="ru-RU"/>
              </w:rPr>
              <w:t>нет</w:t>
            </w:r>
          </w:p>
        </w:tc>
        <w:tc>
          <w:tcPr>
            <w:tcW w:w="2186" w:type="pct"/>
            <w:tcBorders>
              <w:top w:val="nil"/>
              <w:left w:val="nil"/>
              <w:bottom w:val="single" w:sz="4" w:space="0" w:color="auto"/>
              <w:right w:val="single" w:sz="4" w:space="0" w:color="auto"/>
            </w:tcBorders>
            <w:shd w:val="clear" w:color="auto" w:fill="auto"/>
            <w:vAlign w:val="center"/>
            <w:hideMark/>
          </w:tcPr>
          <w:p w14:paraId="0EFF30FE" w14:textId="77777777" w:rsidR="00AA34D8" w:rsidRPr="005376A2" w:rsidRDefault="00AA34D8" w:rsidP="00AA34D8">
            <w:pPr>
              <w:ind w:firstLine="0"/>
              <w:jc w:val="left"/>
              <w:rPr>
                <w:rFonts w:eastAsia="Times New Roman" w:cs="Times New Roman"/>
                <w:color w:val="000000"/>
                <w:szCs w:val="24"/>
                <w:lang w:eastAsia="ru-RU"/>
              </w:rPr>
            </w:pPr>
            <w:r w:rsidRPr="005376A2">
              <w:rPr>
                <w:rFonts w:eastAsia="Times New Roman" w:cs="Times New Roman"/>
                <w:color w:val="000000"/>
                <w:szCs w:val="24"/>
                <w:lang w:eastAsia="ru-RU"/>
              </w:rPr>
              <w:t>Данный ценообразующий фактор сильно коррелирует с прочими ценообразующими факторами, определяющими локальное местоположение объекта</w:t>
            </w:r>
          </w:p>
        </w:tc>
      </w:tr>
      <w:tr w:rsidR="00AA34D8" w:rsidRPr="00AA34D8" w14:paraId="1DF5D9EA" w14:textId="77777777" w:rsidTr="00AA34D8">
        <w:trPr>
          <w:trHeight w:val="945"/>
        </w:trPr>
        <w:tc>
          <w:tcPr>
            <w:tcW w:w="136" w:type="pct"/>
            <w:tcBorders>
              <w:top w:val="nil"/>
              <w:left w:val="single" w:sz="4" w:space="0" w:color="000000"/>
              <w:bottom w:val="single" w:sz="4" w:space="0" w:color="000000"/>
              <w:right w:val="single" w:sz="4" w:space="0" w:color="000000"/>
            </w:tcBorders>
            <w:shd w:val="clear" w:color="auto" w:fill="auto"/>
            <w:vAlign w:val="center"/>
            <w:hideMark/>
          </w:tcPr>
          <w:p w14:paraId="0375B19F" w14:textId="77777777" w:rsidR="00AA34D8" w:rsidRPr="005376A2" w:rsidRDefault="00AA34D8" w:rsidP="00AA34D8">
            <w:pPr>
              <w:ind w:firstLine="0"/>
              <w:jc w:val="center"/>
              <w:rPr>
                <w:rFonts w:eastAsia="Times New Roman" w:cs="Times New Roman"/>
                <w:color w:val="000000"/>
                <w:szCs w:val="24"/>
                <w:lang w:eastAsia="ru-RU"/>
              </w:rPr>
            </w:pPr>
            <w:r w:rsidRPr="005376A2">
              <w:rPr>
                <w:rFonts w:eastAsia="Times New Roman" w:cs="Times New Roman"/>
                <w:color w:val="000000"/>
                <w:szCs w:val="24"/>
                <w:lang w:eastAsia="ru-RU"/>
              </w:rPr>
              <w:t>6</w:t>
            </w:r>
          </w:p>
        </w:tc>
        <w:tc>
          <w:tcPr>
            <w:tcW w:w="1170" w:type="pct"/>
            <w:tcBorders>
              <w:top w:val="nil"/>
              <w:left w:val="nil"/>
              <w:bottom w:val="single" w:sz="4" w:space="0" w:color="000000"/>
              <w:right w:val="single" w:sz="4" w:space="0" w:color="000000"/>
            </w:tcBorders>
            <w:shd w:val="clear" w:color="auto" w:fill="auto"/>
            <w:vAlign w:val="center"/>
            <w:hideMark/>
          </w:tcPr>
          <w:p w14:paraId="552BE1E0" w14:textId="0BB35F3A" w:rsidR="00AA34D8" w:rsidRPr="005376A2" w:rsidRDefault="00AA34D8" w:rsidP="00AA34D8">
            <w:pPr>
              <w:ind w:firstLine="0"/>
              <w:jc w:val="center"/>
              <w:rPr>
                <w:rFonts w:eastAsia="Times New Roman" w:cs="Times New Roman"/>
                <w:color w:val="000000"/>
                <w:szCs w:val="24"/>
                <w:lang w:eastAsia="ru-RU"/>
              </w:rPr>
            </w:pPr>
            <w:r w:rsidRPr="005376A2">
              <w:rPr>
                <w:rFonts w:eastAsia="Times New Roman" w:cs="Times New Roman"/>
                <w:color w:val="000000"/>
                <w:szCs w:val="24"/>
                <w:lang w:eastAsia="ru-RU"/>
              </w:rPr>
              <w:t>Расстояние до остановок общественного транспорта (в т.ч. автовокзалы, автостанции, автобусные остано</w:t>
            </w:r>
            <w:r w:rsidR="005376A2">
              <w:rPr>
                <w:rFonts w:eastAsia="Times New Roman" w:cs="Times New Roman"/>
                <w:color w:val="000000"/>
                <w:szCs w:val="24"/>
                <w:lang w:eastAsia="ru-RU"/>
              </w:rPr>
              <w:t>вки)</w:t>
            </w:r>
          </w:p>
        </w:tc>
        <w:tc>
          <w:tcPr>
            <w:tcW w:w="443" w:type="pct"/>
            <w:tcBorders>
              <w:top w:val="nil"/>
              <w:left w:val="nil"/>
              <w:bottom w:val="single" w:sz="4" w:space="0" w:color="000000"/>
              <w:right w:val="single" w:sz="4" w:space="0" w:color="000000"/>
            </w:tcBorders>
            <w:shd w:val="clear" w:color="auto" w:fill="auto"/>
            <w:vAlign w:val="center"/>
            <w:hideMark/>
          </w:tcPr>
          <w:p w14:paraId="0F85224C" w14:textId="77777777" w:rsidR="00AA34D8" w:rsidRPr="005376A2" w:rsidRDefault="00AA34D8" w:rsidP="00AA34D8">
            <w:pPr>
              <w:ind w:firstLine="0"/>
              <w:jc w:val="center"/>
              <w:rPr>
                <w:rFonts w:eastAsia="Times New Roman" w:cs="Times New Roman"/>
                <w:color w:val="000000"/>
                <w:szCs w:val="24"/>
                <w:lang w:eastAsia="ru-RU"/>
              </w:rPr>
            </w:pPr>
            <w:r w:rsidRPr="005376A2">
              <w:rPr>
                <w:rFonts w:eastAsia="Times New Roman" w:cs="Times New Roman"/>
                <w:color w:val="000000"/>
                <w:szCs w:val="24"/>
                <w:lang w:eastAsia="ru-RU"/>
              </w:rPr>
              <w:t>0,42</w:t>
            </w:r>
          </w:p>
        </w:tc>
        <w:tc>
          <w:tcPr>
            <w:tcW w:w="412" w:type="pct"/>
            <w:tcBorders>
              <w:top w:val="nil"/>
              <w:left w:val="nil"/>
              <w:bottom w:val="single" w:sz="4" w:space="0" w:color="000000"/>
              <w:right w:val="single" w:sz="4" w:space="0" w:color="000000"/>
            </w:tcBorders>
            <w:shd w:val="clear" w:color="auto" w:fill="auto"/>
            <w:vAlign w:val="center"/>
            <w:hideMark/>
          </w:tcPr>
          <w:p w14:paraId="018181E0" w14:textId="77777777" w:rsidR="00AA34D8" w:rsidRPr="005376A2" w:rsidRDefault="00AA34D8" w:rsidP="00AA34D8">
            <w:pPr>
              <w:ind w:firstLine="0"/>
              <w:jc w:val="center"/>
              <w:rPr>
                <w:rFonts w:eastAsia="Times New Roman" w:cs="Times New Roman"/>
                <w:color w:val="000000"/>
                <w:szCs w:val="24"/>
                <w:lang w:eastAsia="ru-RU"/>
              </w:rPr>
            </w:pPr>
            <w:r w:rsidRPr="005376A2">
              <w:rPr>
                <w:rFonts w:eastAsia="Times New Roman" w:cs="Times New Roman"/>
                <w:color w:val="000000"/>
                <w:szCs w:val="24"/>
                <w:lang w:eastAsia="ru-RU"/>
              </w:rPr>
              <w:t>0,61</w:t>
            </w:r>
          </w:p>
        </w:tc>
        <w:tc>
          <w:tcPr>
            <w:tcW w:w="652" w:type="pct"/>
            <w:tcBorders>
              <w:top w:val="nil"/>
              <w:left w:val="nil"/>
              <w:bottom w:val="single" w:sz="4" w:space="0" w:color="000000"/>
              <w:right w:val="single" w:sz="4" w:space="0" w:color="000000"/>
            </w:tcBorders>
            <w:shd w:val="clear" w:color="auto" w:fill="auto"/>
            <w:vAlign w:val="center"/>
            <w:hideMark/>
          </w:tcPr>
          <w:p w14:paraId="60600DB2" w14:textId="77777777" w:rsidR="00AA34D8" w:rsidRPr="005376A2" w:rsidRDefault="00AA34D8" w:rsidP="00AA34D8">
            <w:pPr>
              <w:ind w:firstLine="0"/>
              <w:jc w:val="center"/>
              <w:rPr>
                <w:rFonts w:eastAsia="Times New Roman" w:cs="Times New Roman"/>
                <w:color w:val="000000"/>
                <w:szCs w:val="24"/>
                <w:lang w:eastAsia="ru-RU"/>
              </w:rPr>
            </w:pPr>
            <w:r w:rsidRPr="005376A2">
              <w:rPr>
                <w:rFonts w:eastAsia="Times New Roman" w:cs="Times New Roman"/>
                <w:color w:val="000000"/>
                <w:szCs w:val="24"/>
                <w:lang w:eastAsia="ru-RU"/>
              </w:rPr>
              <w:t>нет</w:t>
            </w:r>
          </w:p>
        </w:tc>
        <w:tc>
          <w:tcPr>
            <w:tcW w:w="2186" w:type="pct"/>
            <w:tcBorders>
              <w:top w:val="nil"/>
              <w:left w:val="nil"/>
              <w:bottom w:val="single" w:sz="4" w:space="0" w:color="auto"/>
              <w:right w:val="single" w:sz="4" w:space="0" w:color="auto"/>
            </w:tcBorders>
            <w:shd w:val="clear" w:color="auto" w:fill="auto"/>
            <w:vAlign w:val="center"/>
            <w:hideMark/>
          </w:tcPr>
          <w:p w14:paraId="5FFA3CA8" w14:textId="77777777" w:rsidR="00AA34D8" w:rsidRPr="005376A2" w:rsidRDefault="00AA34D8" w:rsidP="00AA34D8">
            <w:pPr>
              <w:ind w:firstLine="0"/>
              <w:jc w:val="left"/>
              <w:rPr>
                <w:rFonts w:eastAsia="Times New Roman" w:cs="Times New Roman"/>
                <w:color w:val="000000"/>
                <w:szCs w:val="24"/>
                <w:lang w:eastAsia="ru-RU"/>
              </w:rPr>
            </w:pPr>
            <w:r w:rsidRPr="005376A2">
              <w:rPr>
                <w:rFonts w:eastAsia="Times New Roman" w:cs="Times New Roman"/>
                <w:color w:val="000000"/>
                <w:szCs w:val="24"/>
                <w:lang w:eastAsia="ru-RU"/>
              </w:rPr>
              <w:t>Данный ценообразующий фактор сильно коррелирует с прочими ценообразующими факторами, определяющими локальное местоположение объекта</w:t>
            </w:r>
          </w:p>
        </w:tc>
      </w:tr>
      <w:tr w:rsidR="00AA34D8" w:rsidRPr="00AA34D8" w14:paraId="449C749F" w14:textId="77777777" w:rsidTr="00AA34D8">
        <w:trPr>
          <w:trHeight w:val="630"/>
        </w:trPr>
        <w:tc>
          <w:tcPr>
            <w:tcW w:w="136" w:type="pct"/>
            <w:tcBorders>
              <w:top w:val="nil"/>
              <w:left w:val="single" w:sz="4" w:space="0" w:color="000000"/>
              <w:bottom w:val="single" w:sz="4" w:space="0" w:color="000000"/>
              <w:right w:val="single" w:sz="4" w:space="0" w:color="000000"/>
            </w:tcBorders>
            <w:shd w:val="clear" w:color="auto" w:fill="auto"/>
            <w:vAlign w:val="center"/>
            <w:hideMark/>
          </w:tcPr>
          <w:p w14:paraId="7BB5BA86" w14:textId="77777777" w:rsidR="00AA34D8" w:rsidRPr="005376A2" w:rsidRDefault="00AA34D8" w:rsidP="00AA34D8">
            <w:pPr>
              <w:ind w:firstLine="0"/>
              <w:jc w:val="center"/>
              <w:rPr>
                <w:rFonts w:eastAsia="Times New Roman" w:cs="Times New Roman"/>
                <w:color w:val="000000"/>
                <w:szCs w:val="24"/>
                <w:lang w:eastAsia="ru-RU"/>
              </w:rPr>
            </w:pPr>
            <w:r w:rsidRPr="005376A2">
              <w:rPr>
                <w:rFonts w:eastAsia="Times New Roman" w:cs="Times New Roman"/>
                <w:color w:val="000000"/>
                <w:szCs w:val="24"/>
                <w:lang w:eastAsia="ru-RU"/>
              </w:rPr>
              <w:t>7</w:t>
            </w:r>
          </w:p>
        </w:tc>
        <w:tc>
          <w:tcPr>
            <w:tcW w:w="1170" w:type="pct"/>
            <w:tcBorders>
              <w:top w:val="nil"/>
              <w:left w:val="nil"/>
              <w:bottom w:val="single" w:sz="4" w:space="0" w:color="000000"/>
              <w:right w:val="single" w:sz="4" w:space="0" w:color="000000"/>
            </w:tcBorders>
            <w:shd w:val="clear" w:color="auto" w:fill="auto"/>
            <w:vAlign w:val="center"/>
            <w:hideMark/>
          </w:tcPr>
          <w:p w14:paraId="05C1A2B1" w14:textId="77777777" w:rsidR="00AA34D8" w:rsidRPr="005376A2" w:rsidRDefault="00AA34D8" w:rsidP="00AA34D8">
            <w:pPr>
              <w:ind w:firstLine="0"/>
              <w:jc w:val="center"/>
              <w:rPr>
                <w:rFonts w:eastAsia="Times New Roman" w:cs="Times New Roman"/>
                <w:color w:val="000000"/>
                <w:szCs w:val="24"/>
                <w:lang w:eastAsia="ru-RU"/>
              </w:rPr>
            </w:pPr>
            <w:r w:rsidRPr="005376A2">
              <w:rPr>
                <w:rFonts w:eastAsia="Times New Roman" w:cs="Times New Roman"/>
                <w:color w:val="000000"/>
                <w:szCs w:val="24"/>
                <w:lang w:eastAsia="ru-RU"/>
              </w:rPr>
              <w:t>Расстояние объекта до общественно-делового центра населенного пункта</w:t>
            </w:r>
          </w:p>
        </w:tc>
        <w:tc>
          <w:tcPr>
            <w:tcW w:w="443" w:type="pct"/>
            <w:tcBorders>
              <w:top w:val="nil"/>
              <w:left w:val="nil"/>
              <w:bottom w:val="single" w:sz="4" w:space="0" w:color="000000"/>
              <w:right w:val="single" w:sz="4" w:space="0" w:color="000000"/>
            </w:tcBorders>
            <w:shd w:val="clear" w:color="auto" w:fill="auto"/>
            <w:vAlign w:val="center"/>
            <w:hideMark/>
          </w:tcPr>
          <w:p w14:paraId="708B0517" w14:textId="77777777" w:rsidR="00AA34D8" w:rsidRPr="005376A2" w:rsidRDefault="00AA34D8" w:rsidP="00AA34D8">
            <w:pPr>
              <w:ind w:firstLine="0"/>
              <w:jc w:val="center"/>
              <w:rPr>
                <w:rFonts w:eastAsia="Times New Roman" w:cs="Times New Roman"/>
                <w:color w:val="000000"/>
                <w:szCs w:val="24"/>
                <w:lang w:eastAsia="ru-RU"/>
              </w:rPr>
            </w:pPr>
            <w:r w:rsidRPr="005376A2">
              <w:rPr>
                <w:rFonts w:eastAsia="Times New Roman" w:cs="Times New Roman"/>
                <w:color w:val="000000"/>
                <w:szCs w:val="24"/>
                <w:lang w:eastAsia="ru-RU"/>
              </w:rPr>
              <w:t>0,48</w:t>
            </w:r>
          </w:p>
        </w:tc>
        <w:tc>
          <w:tcPr>
            <w:tcW w:w="412" w:type="pct"/>
            <w:tcBorders>
              <w:top w:val="nil"/>
              <w:left w:val="nil"/>
              <w:bottom w:val="single" w:sz="4" w:space="0" w:color="000000"/>
              <w:right w:val="single" w:sz="4" w:space="0" w:color="000000"/>
            </w:tcBorders>
            <w:shd w:val="clear" w:color="auto" w:fill="auto"/>
            <w:vAlign w:val="center"/>
            <w:hideMark/>
          </w:tcPr>
          <w:p w14:paraId="204F2451" w14:textId="77777777" w:rsidR="00AA34D8" w:rsidRPr="005376A2" w:rsidRDefault="00AA34D8" w:rsidP="00AA34D8">
            <w:pPr>
              <w:ind w:firstLine="0"/>
              <w:jc w:val="center"/>
              <w:rPr>
                <w:rFonts w:eastAsia="Times New Roman" w:cs="Times New Roman"/>
                <w:color w:val="000000"/>
                <w:szCs w:val="24"/>
                <w:lang w:eastAsia="ru-RU"/>
              </w:rPr>
            </w:pPr>
            <w:r w:rsidRPr="005376A2">
              <w:rPr>
                <w:rFonts w:eastAsia="Times New Roman" w:cs="Times New Roman"/>
                <w:color w:val="000000"/>
                <w:szCs w:val="24"/>
                <w:lang w:eastAsia="ru-RU"/>
              </w:rPr>
              <w:t>0,69</w:t>
            </w:r>
          </w:p>
        </w:tc>
        <w:tc>
          <w:tcPr>
            <w:tcW w:w="652" w:type="pct"/>
            <w:tcBorders>
              <w:top w:val="nil"/>
              <w:left w:val="nil"/>
              <w:bottom w:val="single" w:sz="4" w:space="0" w:color="000000"/>
              <w:right w:val="single" w:sz="4" w:space="0" w:color="000000"/>
            </w:tcBorders>
            <w:shd w:val="clear" w:color="auto" w:fill="auto"/>
            <w:vAlign w:val="center"/>
            <w:hideMark/>
          </w:tcPr>
          <w:p w14:paraId="1730ECB4" w14:textId="77777777" w:rsidR="00AA34D8" w:rsidRPr="005376A2" w:rsidRDefault="00AA34D8" w:rsidP="00AA34D8">
            <w:pPr>
              <w:ind w:firstLine="0"/>
              <w:jc w:val="center"/>
              <w:rPr>
                <w:rFonts w:eastAsia="Times New Roman" w:cs="Times New Roman"/>
                <w:color w:val="000000"/>
                <w:szCs w:val="24"/>
                <w:lang w:eastAsia="ru-RU"/>
              </w:rPr>
            </w:pPr>
            <w:r w:rsidRPr="005376A2">
              <w:rPr>
                <w:rFonts w:eastAsia="Times New Roman" w:cs="Times New Roman"/>
                <w:color w:val="000000"/>
                <w:szCs w:val="24"/>
                <w:lang w:eastAsia="ru-RU"/>
              </w:rPr>
              <w:t>нет</w:t>
            </w:r>
          </w:p>
        </w:tc>
        <w:tc>
          <w:tcPr>
            <w:tcW w:w="2186" w:type="pct"/>
            <w:tcBorders>
              <w:top w:val="nil"/>
              <w:left w:val="nil"/>
              <w:bottom w:val="single" w:sz="4" w:space="0" w:color="auto"/>
              <w:right w:val="single" w:sz="4" w:space="0" w:color="auto"/>
            </w:tcBorders>
            <w:shd w:val="clear" w:color="auto" w:fill="auto"/>
            <w:vAlign w:val="center"/>
            <w:hideMark/>
          </w:tcPr>
          <w:p w14:paraId="4AF56E7C" w14:textId="77777777" w:rsidR="00AA34D8" w:rsidRPr="005376A2" w:rsidRDefault="00AA34D8" w:rsidP="00AA34D8">
            <w:pPr>
              <w:ind w:firstLine="0"/>
              <w:jc w:val="left"/>
              <w:rPr>
                <w:rFonts w:eastAsia="Times New Roman" w:cs="Times New Roman"/>
                <w:color w:val="000000"/>
                <w:szCs w:val="24"/>
                <w:lang w:eastAsia="ru-RU"/>
              </w:rPr>
            </w:pPr>
            <w:r w:rsidRPr="005376A2">
              <w:rPr>
                <w:rFonts w:eastAsia="Times New Roman" w:cs="Times New Roman"/>
                <w:color w:val="000000"/>
                <w:szCs w:val="24"/>
                <w:lang w:eastAsia="ru-RU"/>
              </w:rPr>
              <w:t>Данный ценообразующий фактор сильно коррелирует с прочими ценообразующими факторами, определяющими локальное местоположение объекта</w:t>
            </w:r>
          </w:p>
        </w:tc>
      </w:tr>
      <w:tr w:rsidR="00AA34D8" w:rsidRPr="00AA34D8" w14:paraId="1D425AE2" w14:textId="77777777" w:rsidTr="00AA34D8">
        <w:trPr>
          <w:trHeight w:val="945"/>
        </w:trPr>
        <w:tc>
          <w:tcPr>
            <w:tcW w:w="136" w:type="pct"/>
            <w:tcBorders>
              <w:top w:val="nil"/>
              <w:left w:val="single" w:sz="4" w:space="0" w:color="000000"/>
              <w:bottom w:val="single" w:sz="4" w:space="0" w:color="000000"/>
              <w:right w:val="single" w:sz="4" w:space="0" w:color="000000"/>
            </w:tcBorders>
            <w:shd w:val="clear" w:color="auto" w:fill="auto"/>
            <w:vAlign w:val="center"/>
            <w:hideMark/>
          </w:tcPr>
          <w:p w14:paraId="4132CEFA" w14:textId="77777777" w:rsidR="00AA34D8" w:rsidRPr="005376A2" w:rsidRDefault="00AA34D8" w:rsidP="00AA34D8">
            <w:pPr>
              <w:ind w:firstLine="0"/>
              <w:jc w:val="center"/>
              <w:rPr>
                <w:rFonts w:eastAsia="Times New Roman" w:cs="Times New Roman"/>
                <w:color w:val="000000"/>
                <w:szCs w:val="24"/>
                <w:lang w:eastAsia="ru-RU"/>
              </w:rPr>
            </w:pPr>
            <w:r w:rsidRPr="005376A2">
              <w:rPr>
                <w:rFonts w:eastAsia="Times New Roman" w:cs="Times New Roman"/>
                <w:color w:val="000000"/>
                <w:szCs w:val="24"/>
                <w:lang w:eastAsia="ru-RU"/>
              </w:rPr>
              <w:t>8</w:t>
            </w:r>
          </w:p>
        </w:tc>
        <w:tc>
          <w:tcPr>
            <w:tcW w:w="1170" w:type="pct"/>
            <w:tcBorders>
              <w:top w:val="nil"/>
              <w:left w:val="nil"/>
              <w:bottom w:val="single" w:sz="4" w:space="0" w:color="000000"/>
              <w:right w:val="single" w:sz="4" w:space="0" w:color="000000"/>
            </w:tcBorders>
            <w:shd w:val="clear" w:color="auto" w:fill="auto"/>
            <w:vAlign w:val="center"/>
            <w:hideMark/>
          </w:tcPr>
          <w:p w14:paraId="553B3725" w14:textId="77777777" w:rsidR="00AA34D8" w:rsidRPr="005376A2" w:rsidRDefault="00AA34D8" w:rsidP="00AA34D8">
            <w:pPr>
              <w:ind w:firstLine="0"/>
              <w:jc w:val="center"/>
              <w:rPr>
                <w:rFonts w:eastAsia="Times New Roman" w:cs="Times New Roman"/>
                <w:color w:val="000000"/>
                <w:szCs w:val="24"/>
                <w:lang w:eastAsia="ru-RU"/>
              </w:rPr>
            </w:pPr>
            <w:r w:rsidRPr="005376A2">
              <w:rPr>
                <w:rFonts w:eastAsia="Times New Roman" w:cs="Times New Roman"/>
                <w:color w:val="000000"/>
                <w:szCs w:val="24"/>
                <w:lang w:eastAsia="ru-RU"/>
              </w:rPr>
              <w:t>Расстояние от объекта до административного центра населенного пункта</w:t>
            </w:r>
          </w:p>
        </w:tc>
        <w:tc>
          <w:tcPr>
            <w:tcW w:w="443" w:type="pct"/>
            <w:tcBorders>
              <w:top w:val="nil"/>
              <w:left w:val="nil"/>
              <w:bottom w:val="single" w:sz="4" w:space="0" w:color="000000"/>
              <w:right w:val="single" w:sz="4" w:space="0" w:color="000000"/>
            </w:tcBorders>
            <w:shd w:val="clear" w:color="auto" w:fill="auto"/>
            <w:vAlign w:val="center"/>
            <w:hideMark/>
          </w:tcPr>
          <w:p w14:paraId="5BBF569D" w14:textId="77777777" w:rsidR="00AA34D8" w:rsidRPr="005376A2" w:rsidRDefault="00AA34D8" w:rsidP="00AA34D8">
            <w:pPr>
              <w:ind w:firstLine="0"/>
              <w:jc w:val="center"/>
              <w:rPr>
                <w:rFonts w:eastAsia="Times New Roman" w:cs="Times New Roman"/>
                <w:color w:val="000000"/>
                <w:szCs w:val="24"/>
                <w:lang w:eastAsia="ru-RU"/>
              </w:rPr>
            </w:pPr>
            <w:r w:rsidRPr="005376A2">
              <w:rPr>
                <w:rFonts w:eastAsia="Times New Roman" w:cs="Times New Roman"/>
                <w:color w:val="000000"/>
                <w:szCs w:val="24"/>
                <w:lang w:eastAsia="ru-RU"/>
              </w:rPr>
              <w:t>0,69</w:t>
            </w:r>
          </w:p>
        </w:tc>
        <w:tc>
          <w:tcPr>
            <w:tcW w:w="412" w:type="pct"/>
            <w:tcBorders>
              <w:top w:val="nil"/>
              <w:left w:val="nil"/>
              <w:bottom w:val="single" w:sz="4" w:space="0" w:color="000000"/>
              <w:right w:val="single" w:sz="4" w:space="0" w:color="000000"/>
            </w:tcBorders>
            <w:shd w:val="clear" w:color="auto" w:fill="auto"/>
            <w:vAlign w:val="center"/>
            <w:hideMark/>
          </w:tcPr>
          <w:p w14:paraId="566AAC83" w14:textId="77777777" w:rsidR="00AA34D8" w:rsidRPr="005376A2" w:rsidRDefault="00AA34D8" w:rsidP="00AA34D8">
            <w:pPr>
              <w:ind w:firstLine="0"/>
              <w:jc w:val="center"/>
              <w:rPr>
                <w:rFonts w:eastAsia="Times New Roman" w:cs="Times New Roman"/>
                <w:color w:val="000000"/>
                <w:szCs w:val="24"/>
                <w:lang w:eastAsia="ru-RU"/>
              </w:rPr>
            </w:pPr>
            <w:r w:rsidRPr="005376A2">
              <w:rPr>
                <w:rFonts w:eastAsia="Times New Roman" w:cs="Times New Roman"/>
                <w:color w:val="000000"/>
                <w:szCs w:val="24"/>
                <w:lang w:eastAsia="ru-RU"/>
              </w:rPr>
              <w:t>1</w:t>
            </w:r>
          </w:p>
        </w:tc>
        <w:tc>
          <w:tcPr>
            <w:tcW w:w="652" w:type="pct"/>
            <w:tcBorders>
              <w:top w:val="nil"/>
              <w:left w:val="nil"/>
              <w:bottom w:val="single" w:sz="4" w:space="0" w:color="000000"/>
              <w:right w:val="single" w:sz="4" w:space="0" w:color="000000"/>
            </w:tcBorders>
            <w:shd w:val="clear" w:color="auto" w:fill="auto"/>
            <w:vAlign w:val="center"/>
            <w:hideMark/>
          </w:tcPr>
          <w:p w14:paraId="5568F182" w14:textId="77777777" w:rsidR="00AA34D8" w:rsidRPr="005376A2" w:rsidRDefault="00AA34D8" w:rsidP="00AA34D8">
            <w:pPr>
              <w:ind w:firstLine="0"/>
              <w:jc w:val="center"/>
              <w:rPr>
                <w:rFonts w:eastAsia="Times New Roman" w:cs="Times New Roman"/>
                <w:color w:val="000000"/>
                <w:szCs w:val="24"/>
                <w:lang w:eastAsia="ru-RU"/>
              </w:rPr>
            </w:pPr>
            <w:r w:rsidRPr="005376A2">
              <w:rPr>
                <w:rFonts w:eastAsia="Times New Roman" w:cs="Times New Roman"/>
                <w:color w:val="000000"/>
                <w:szCs w:val="24"/>
                <w:lang w:eastAsia="ru-RU"/>
              </w:rPr>
              <w:t>да</w:t>
            </w:r>
          </w:p>
        </w:tc>
        <w:tc>
          <w:tcPr>
            <w:tcW w:w="2186" w:type="pct"/>
            <w:tcBorders>
              <w:top w:val="nil"/>
              <w:left w:val="nil"/>
              <w:bottom w:val="single" w:sz="4" w:space="0" w:color="auto"/>
              <w:right w:val="single" w:sz="4" w:space="0" w:color="auto"/>
            </w:tcBorders>
            <w:shd w:val="clear" w:color="auto" w:fill="auto"/>
            <w:vAlign w:val="center"/>
            <w:hideMark/>
          </w:tcPr>
          <w:p w14:paraId="3605F2DA" w14:textId="77777777" w:rsidR="00AA34D8" w:rsidRPr="005376A2" w:rsidRDefault="00AA34D8" w:rsidP="00AA34D8">
            <w:pPr>
              <w:ind w:firstLine="0"/>
              <w:jc w:val="left"/>
              <w:rPr>
                <w:rFonts w:eastAsia="Times New Roman" w:cs="Times New Roman"/>
                <w:color w:val="000000"/>
                <w:szCs w:val="24"/>
                <w:lang w:eastAsia="ru-RU"/>
              </w:rPr>
            </w:pPr>
            <w:r w:rsidRPr="005376A2">
              <w:rPr>
                <w:rFonts w:eastAsia="Times New Roman" w:cs="Times New Roman"/>
                <w:color w:val="000000"/>
                <w:szCs w:val="24"/>
                <w:lang w:eastAsia="ru-RU"/>
              </w:rPr>
              <w:t>Ценообразующий фактор соответствует критериям, описанным выше. Данный фактор оказывает существенное влияние на стоимость объектов недвижимости</w:t>
            </w:r>
          </w:p>
        </w:tc>
      </w:tr>
      <w:tr w:rsidR="00AA34D8" w:rsidRPr="00AA34D8" w14:paraId="59FAAC1B" w14:textId="77777777" w:rsidTr="00AA34D8">
        <w:trPr>
          <w:trHeight w:val="630"/>
        </w:trPr>
        <w:tc>
          <w:tcPr>
            <w:tcW w:w="136" w:type="pct"/>
            <w:tcBorders>
              <w:top w:val="nil"/>
              <w:left w:val="single" w:sz="4" w:space="0" w:color="000000"/>
              <w:bottom w:val="single" w:sz="4" w:space="0" w:color="000000"/>
              <w:right w:val="single" w:sz="4" w:space="0" w:color="000000"/>
            </w:tcBorders>
            <w:shd w:val="clear" w:color="auto" w:fill="auto"/>
            <w:vAlign w:val="center"/>
            <w:hideMark/>
          </w:tcPr>
          <w:p w14:paraId="15A540BC" w14:textId="77777777" w:rsidR="00AA34D8" w:rsidRPr="005376A2" w:rsidRDefault="00AA34D8" w:rsidP="00AA34D8">
            <w:pPr>
              <w:ind w:firstLine="0"/>
              <w:jc w:val="center"/>
              <w:rPr>
                <w:rFonts w:eastAsia="Times New Roman" w:cs="Times New Roman"/>
                <w:color w:val="000000"/>
                <w:szCs w:val="24"/>
                <w:lang w:eastAsia="ru-RU"/>
              </w:rPr>
            </w:pPr>
            <w:r w:rsidRPr="005376A2">
              <w:rPr>
                <w:rFonts w:eastAsia="Times New Roman" w:cs="Times New Roman"/>
                <w:color w:val="000000"/>
                <w:szCs w:val="24"/>
                <w:lang w:eastAsia="ru-RU"/>
              </w:rPr>
              <w:t>9</w:t>
            </w:r>
          </w:p>
        </w:tc>
        <w:tc>
          <w:tcPr>
            <w:tcW w:w="1170" w:type="pct"/>
            <w:tcBorders>
              <w:top w:val="nil"/>
              <w:left w:val="nil"/>
              <w:bottom w:val="single" w:sz="4" w:space="0" w:color="000000"/>
              <w:right w:val="single" w:sz="4" w:space="0" w:color="000000"/>
            </w:tcBorders>
            <w:shd w:val="clear" w:color="auto" w:fill="auto"/>
            <w:vAlign w:val="center"/>
            <w:hideMark/>
          </w:tcPr>
          <w:p w14:paraId="7FB11B59" w14:textId="77777777" w:rsidR="00AA34D8" w:rsidRPr="005376A2" w:rsidRDefault="00AA34D8" w:rsidP="00AA34D8">
            <w:pPr>
              <w:ind w:firstLine="0"/>
              <w:jc w:val="center"/>
              <w:rPr>
                <w:rFonts w:eastAsia="Times New Roman" w:cs="Times New Roman"/>
                <w:color w:val="000000"/>
                <w:szCs w:val="24"/>
                <w:lang w:eastAsia="ru-RU"/>
              </w:rPr>
            </w:pPr>
            <w:r w:rsidRPr="005376A2">
              <w:rPr>
                <w:rFonts w:eastAsia="Times New Roman" w:cs="Times New Roman"/>
                <w:color w:val="000000"/>
                <w:szCs w:val="24"/>
                <w:lang w:eastAsia="ru-RU"/>
              </w:rPr>
              <w:t>Расстояние от объекта до историко-культурного центра населенного пункта</w:t>
            </w:r>
          </w:p>
        </w:tc>
        <w:tc>
          <w:tcPr>
            <w:tcW w:w="443" w:type="pct"/>
            <w:tcBorders>
              <w:top w:val="nil"/>
              <w:left w:val="nil"/>
              <w:bottom w:val="single" w:sz="4" w:space="0" w:color="000000"/>
              <w:right w:val="single" w:sz="4" w:space="0" w:color="000000"/>
            </w:tcBorders>
            <w:shd w:val="clear" w:color="auto" w:fill="auto"/>
            <w:vAlign w:val="center"/>
            <w:hideMark/>
          </w:tcPr>
          <w:p w14:paraId="4873283B" w14:textId="77777777" w:rsidR="00AA34D8" w:rsidRPr="005376A2" w:rsidRDefault="00AA34D8" w:rsidP="00AA34D8">
            <w:pPr>
              <w:ind w:firstLine="0"/>
              <w:jc w:val="center"/>
              <w:rPr>
                <w:rFonts w:eastAsia="Times New Roman" w:cs="Times New Roman"/>
                <w:color w:val="000000"/>
                <w:szCs w:val="24"/>
                <w:lang w:eastAsia="ru-RU"/>
              </w:rPr>
            </w:pPr>
            <w:r w:rsidRPr="005376A2">
              <w:rPr>
                <w:rFonts w:eastAsia="Times New Roman" w:cs="Times New Roman"/>
                <w:color w:val="000000"/>
                <w:szCs w:val="24"/>
                <w:lang w:eastAsia="ru-RU"/>
              </w:rPr>
              <w:t>0,59</w:t>
            </w:r>
          </w:p>
        </w:tc>
        <w:tc>
          <w:tcPr>
            <w:tcW w:w="412" w:type="pct"/>
            <w:tcBorders>
              <w:top w:val="nil"/>
              <w:left w:val="nil"/>
              <w:bottom w:val="single" w:sz="4" w:space="0" w:color="000000"/>
              <w:right w:val="single" w:sz="4" w:space="0" w:color="000000"/>
            </w:tcBorders>
            <w:shd w:val="clear" w:color="auto" w:fill="auto"/>
            <w:vAlign w:val="center"/>
            <w:hideMark/>
          </w:tcPr>
          <w:p w14:paraId="04DB45DD" w14:textId="77777777" w:rsidR="00AA34D8" w:rsidRPr="005376A2" w:rsidRDefault="00AA34D8" w:rsidP="00AA34D8">
            <w:pPr>
              <w:ind w:firstLine="0"/>
              <w:jc w:val="center"/>
              <w:rPr>
                <w:rFonts w:eastAsia="Times New Roman" w:cs="Times New Roman"/>
                <w:color w:val="000000"/>
                <w:szCs w:val="24"/>
                <w:lang w:eastAsia="ru-RU"/>
              </w:rPr>
            </w:pPr>
            <w:r w:rsidRPr="005376A2">
              <w:rPr>
                <w:rFonts w:eastAsia="Times New Roman" w:cs="Times New Roman"/>
                <w:color w:val="000000"/>
                <w:szCs w:val="24"/>
                <w:lang w:eastAsia="ru-RU"/>
              </w:rPr>
              <w:t>0,85</w:t>
            </w:r>
          </w:p>
        </w:tc>
        <w:tc>
          <w:tcPr>
            <w:tcW w:w="652" w:type="pct"/>
            <w:tcBorders>
              <w:top w:val="nil"/>
              <w:left w:val="nil"/>
              <w:bottom w:val="single" w:sz="4" w:space="0" w:color="000000"/>
              <w:right w:val="single" w:sz="4" w:space="0" w:color="000000"/>
            </w:tcBorders>
            <w:shd w:val="clear" w:color="auto" w:fill="auto"/>
            <w:vAlign w:val="center"/>
            <w:hideMark/>
          </w:tcPr>
          <w:p w14:paraId="6B13EE5F" w14:textId="77777777" w:rsidR="00AA34D8" w:rsidRPr="005376A2" w:rsidRDefault="00AA34D8" w:rsidP="00AA34D8">
            <w:pPr>
              <w:ind w:firstLine="0"/>
              <w:jc w:val="center"/>
              <w:rPr>
                <w:rFonts w:eastAsia="Times New Roman" w:cs="Times New Roman"/>
                <w:color w:val="000000"/>
                <w:szCs w:val="24"/>
                <w:lang w:eastAsia="ru-RU"/>
              </w:rPr>
            </w:pPr>
            <w:r w:rsidRPr="005376A2">
              <w:rPr>
                <w:rFonts w:eastAsia="Times New Roman" w:cs="Times New Roman"/>
                <w:color w:val="000000"/>
                <w:szCs w:val="24"/>
                <w:lang w:eastAsia="ru-RU"/>
              </w:rPr>
              <w:t>нет</w:t>
            </w:r>
          </w:p>
        </w:tc>
        <w:tc>
          <w:tcPr>
            <w:tcW w:w="2186" w:type="pct"/>
            <w:tcBorders>
              <w:top w:val="nil"/>
              <w:left w:val="nil"/>
              <w:bottom w:val="single" w:sz="4" w:space="0" w:color="auto"/>
              <w:right w:val="single" w:sz="4" w:space="0" w:color="auto"/>
            </w:tcBorders>
            <w:shd w:val="clear" w:color="auto" w:fill="auto"/>
            <w:vAlign w:val="center"/>
            <w:hideMark/>
          </w:tcPr>
          <w:p w14:paraId="76ACB077" w14:textId="77777777" w:rsidR="00AA34D8" w:rsidRPr="005376A2" w:rsidRDefault="00AA34D8" w:rsidP="00AA34D8">
            <w:pPr>
              <w:ind w:firstLine="0"/>
              <w:jc w:val="left"/>
              <w:rPr>
                <w:rFonts w:eastAsia="Times New Roman" w:cs="Times New Roman"/>
                <w:color w:val="000000"/>
                <w:szCs w:val="24"/>
                <w:lang w:eastAsia="ru-RU"/>
              </w:rPr>
            </w:pPr>
            <w:r w:rsidRPr="005376A2">
              <w:rPr>
                <w:rFonts w:eastAsia="Times New Roman" w:cs="Times New Roman"/>
                <w:color w:val="000000"/>
                <w:szCs w:val="24"/>
                <w:lang w:eastAsia="ru-RU"/>
              </w:rPr>
              <w:t>Данный ценообразующий фактор сильно коррелирует с прочими ценообразующими факторами, определяющими локальное местоположение объекта</w:t>
            </w:r>
          </w:p>
        </w:tc>
      </w:tr>
      <w:tr w:rsidR="00AA34D8" w:rsidRPr="00AA34D8" w14:paraId="7C86A015" w14:textId="77777777" w:rsidTr="00AA34D8">
        <w:trPr>
          <w:trHeight w:val="945"/>
        </w:trPr>
        <w:tc>
          <w:tcPr>
            <w:tcW w:w="136" w:type="pct"/>
            <w:tcBorders>
              <w:top w:val="nil"/>
              <w:left w:val="single" w:sz="4" w:space="0" w:color="000000"/>
              <w:bottom w:val="single" w:sz="4" w:space="0" w:color="000000"/>
              <w:right w:val="single" w:sz="4" w:space="0" w:color="000000"/>
            </w:tcBorders>
            <w:shd w:val="clear" w:color="auto" w:fill="auto"/>
            <w:vAlign w:val="center"/>
            <w:hideMark/>
          </w:tcPr>
          <w:p w14:paraId="00A970CA" w14:textId="77777777" w:rsidR="00AA34D8" w:rsidRPr="005376A2" w:rsidRDefault="00AA34D8" w:rsidP="00AA34D8">
            <w:pPr>
              <w:ind w:firstLine="0"/>
              <w:jc w:val="center"/>
              <w:rPr>
                <w:rFonts w:eastAsia="Times New Roman" w:cs="Times New Roman"/>
                <w:color w:val="000000"/>
                <w:szCs w:val="24"/>
                <w:lang w:eastAsia="ru-RU"/>
              </w:rPr>
            </w:pPr>
            <w:r w:rsidRPr="005376A2">
              <w:rPr>
                <w:rFonts w:eastAsia="Times New Roman" w:cs="Times New Roman"/>
                <w:color w:val="000000"/>
                <w:szCs w:val="24"/>
                <w:lang w:eastAsia="ru-RU"/>
              </w:rPr>
              <w:t>10</w:t>
            </w:r>
          </w:p>
        </w:tc>
        <w:tc>
          <w:tcPr>
            <w:tcW w:w="1170" w:type="pct"/>
            <w:tcBorders>
              <w:top w:val="nil"/>
              <w:left w:val="nil"/>
              <w:bottom w:val="single" w:sz="4" w:space="0" w:color="000000"/>
              <w:right w:val="single" w:sz="4" w:space="0" w:color="000000"/>
            </w:tcBorders>
            <w:shd w:val="clear" w:color="auto" w:fill="auto"/>
            <w:vAlign w:val="center"/>
            <w:hideMark/>
          </w:tcPr>
          <w:p w14:paraId="7F5894D9" w14:textId="1C463124" w:rsidR="00AA34D8" w:rsidRPr="005376A2" w:rsidRDefault="00AA34D8" w:rsidP="00AA34D8">
            <w:pPr>
              <w:ind w:firstLine="0"/>
              <w:jc w:val="center"/>
              <w:rPr>
                <w:rFonts w:eastAsia="Times New Roman" w:cs="Times New Roman"/>
                <w:color w:val="000000"/>
                <w:szCs w:val="24"/>
                <w:lang w:eastAsia="ru-RU"/>
              </w:rPr>
            </w:pPr>
            <w:r w:rsidRPr="005376A2">
              <w:rPr>
                <w:rFonts w:eastAsia="Times New Roman" w:cs="Times New Roman"/>
                <w:color w:val="000000"/>
                <w:szCs w:val="24"/>
                <w:lang w:eastAsia="ru-RU"/>
              </w:rPr>
              <w:t>Расстояние от объекта до локального(-ых) центра(-ов), отрицательно влияющего(-их) на стоимость объек</w:t>
            </w:r>
            <w:r w:rsidR="005376A2">
              <w:rPr>
                <w:rFonts w:eastAsia="Times New Roman" w:cs="Times New Roman"/>
                <w:color w:val="000000"/>
                <w:szCs w:val="24"/>
                <w:lang w:eastAsia="ru-RU"/>
              </w:rPr>
              <w:t>та</w:t>
            </w:r>
          </w:p>
        </w:tc>
        <w:tc>
          <w:tcPr>
            <w:tcW w:w="443" w:type="pct"/>
            <w:tcBorders>
              <w:top w:val="nil"/>
              <w:left w:val="nil"/>
              <w:bottom w:val="single" w:sz="4" w:space="0" w:color="000000"/>
              <w:right w:val="single" w:sz="4" w:space="0" w:color="000000"/>
            </w:tcBorders>
            <w:shd w:val="clear" w:color="auto" w:fill="auto"/>
            <w:vAlign w:val="center"/>
            <w:hideMark/>
          </w:tcPr>
          <w:p w14:paraId="04535421" w14:textId="77777777" w:rsidR="00AA34D8" w:rsidRPr="005376A2" w:rsidRDefault="00AA34D8" w:rsidP="00AA34D8">
            <w:pPr>
              <w:ind w:firstLine="0"/>
              <w:jc w:val="center"/>
              <w:rPr>
                <w:rFonts w:eastAsia="Times New Roman" w:cs="Times New Roman"/>
                <w:color w:val="000000"/>
                <w:szCs w:val="24"/>
                <w:lang w:eastAsia="ru-RU"/>
              </w:rPr>
            </w:pPr>
            <w:r w:rsidRPr="005376A2">
              <w:rPr>
                <w:rFonts w:eastAsia="Times New Roman" w:cs="Times New Roman"/>
                <w:color w:val="000000"/>
                <w:szCs w:val="24"/>
                <w:lang w:eastAsia="ru-RU"/>
              </w:rPr>
              <w:t>0,46</w:t>
            </w:r>
          </w:p>
        </w:tc>
        <w:tc>
          <w:tcPr>
            <w:tcW w:w="412" w:type="pct"/>
            <w:tcBorders>
              <w:top w:val="nil"/>
              <w:left w:val="nil"/>
              <w:bottom w:val="single" w:sz="4" w:space="0" w:color="000000"/>
              <w:right w:val="single" w:sz="4" w:space="0" w:color="000000"/>
            </w:tcBorders>
            <w:shd w:val="clear" w:color="auto" w:fill="auto"/>
            <w:vAlign w:val="center"/>
            <w:hideMark/>
          </w:tcPr>
          <w:p w14:paraId="0BCF286B" w14:textId="77777777" w:rsidR="00AA34D8" w:rsidRPr="005376A2" w:rsidRDefault="00AA34D8" w:rsidP="00AA34D8">
            <w:pPr>
              <w:ind w:firstLine="0"/>
              <w:jc w:val="center"/>
              <w:rPr>
                <w:rFonts w:eastAsia="Times New Roman" w:cs="Times New Roman"/>
                <w:color w:val="000000"/>
                <w:szCs w:val="24"/>
                <w:lang w:eastAsia="ru-RU"/>
              </w:rPr>
            </w:pPr>
            <w:r w:rsidRPr="005376A2">
              <w:rPr>
                <w:rFonts w:eastAsia="Times New Roman" w:cs="Times New Roman"/>
                <w:color w:val="000000"/>
                <w:szCs w:val="24"/>
                <w:lang w:eastAsia="ru-RU"/>
              </w:rPr>
              <w:t>0,67</w:t>
            </w:r>
          </w:p>
        </w:tc>
        <w:tc>
          <w:tcPr>
            <w:tcW w:w="652" w:type="pct"/>
            <w:tcBorders>
              <w:top w:val="nil"/>
              <w:left w:val="nil"/>
              <w:bottom w:val="single" w:sz="4" w:space="0" w:color="000000"/>
              <w:right w:val="single" w:sz="4" w:space="0" w:color="000000"/>
            </w:tcBorders>
            <w:shd w:val="clear" w:color="auto" w:fill="auto"/>
            <w:vAlign w:val="center"/>
            <w:hideMark/>
          </w:tcPr>
          <w:p w14:paraId="254E4DB7" w14:textId="77777777" w:rsidR="00AA34D8" w:rsidRPr="005376A2" w:rsidRDefault="00AA34D8" w:rsidP="00AA34D8">
            <w:pPr>
              <w:ind w:firstLine="0"/>
              <w:jc w:val="center"/>
              <w:rPr>
                <w:rFonts w:eastAsia="Times New Roman" w:cs="Times New Roman"/>
                <w:color w:val="000000"/>
                <w:szCs w:val="24"/>
                <w:lang w:eastAsia="ru-RU"/>
              </w:rPr>
            </w:pPr>
            <w:r w:rsidRPr="005376A2">
              <w:rPr>
                <w:rFonts w:eastAsia="Times New Roman" w:cs="Times New Roman"/>
                <w:color w:val="000000"/>
                <w:szCs w:val="24"/>
                <w:lang w:eastAsia="ru-RU"/>
              </w:rPr>
              <w:t>нет</w:t>
            </w:r>
          </w:p>
        </w:tc>
        <w:tc>
          <w:tcPr>
            <w:tcW w:w="2186" w:type="pct"/>
            <w:tcBorders>
              <w:top w:val="nil"/>
              <w:left w:val="nil"/>
              <w:bottom w:val="single" w:sz="4" w:space="0" w:color="auto"/>
              <w:right w:val="single" w:sz="4" w:space="0" w:color="auto"/>
            </w:tcBorders>
            <w:shd w:val="clear" w:color="auto" w:fill="auto"/>
            <w:vAlign w:val="center"/>
            <w:hideMark/>
          </w:tcPr>
          <w:p w14:paraId="48082BD7" w14:textId="77777777" w:rsidR="00AA34D8" w:rsidRPr="005376A2" w:rsidRDefault="00AA34D8" w:rsidP="00AA34D8">
            <w:pPr>
              <w:ind w:firstLine="0"/>
              <w:jc w:val="left"/>
              <w:rPr>
                <w:rFonts w:eastAsia="Times New Roman" w:cs="Times New Roman"/>
                <w:color w:val="000000"/>
                <w:szCs w:val="24"/>
                <w:lang w:eastAsia="ru-RU"/>
              </w:rPr>
            </w:pPr>
            <w:r w:rsidRPr="005376A2">
              <w:rPr>
                <w:rFonts w:eastAsia="Times New Roman" w:cs="Times New Roman"/>
                <w:color w:val="000000"/>
                <w:szCs w:val="24"/>
                <w:lang w:eastAsia="ru-RU"/>
              </w:rPr>
              <w:t>Данный ценообразующий фактор сильно коррелирует с прочими ценообразующими факторами, определяющими локальное местоположение объекта</w:t>
            </w:r>
          </w:p>
        </w:tc>
      </w:tr>
      <w:tr w:rsidR="00AA34D8" w:rsidRPr="00AA34D8" w14:paraId="2C36A678" w14:textId="77777777" w:rsidTr="005376A2">
        <w:trPr>
          <w:trHeight w:val="698"/>
        </w:trPr>
        <w:tc>
          <w:tcPr>
            <w:tcW w:w="136" w:type="pct"/>
            <w:tcBorders>
              <w:top w:val="nil"/>
              <w:left w:val="single" w:sz="4" w:space="0" w:color="000000"/>
              <w:bottom w:val="single" w:sz="4" w:space="0" w:color="000000"/>
              <w:right w:val="single" w:sz="4" w:space="0" w:color="000000"/>
            </w:tcBorders>
            <w:shd w:val="clear" w:color="auto" w:fill="auto"/>
            <w:vAlign w:val="center"/>
            <w:hideMark/>
          </w:tcPr>
          <w:p w14:paraId="53B842AF" w14:textId="77777777" w:rsidR="00AA34D8" w:rsidRPr="005376A2" w:rsidRDefault="00AA34D8" w:rsidP="00AA34D8">
            <w:pPr>
              <w:ind w:firstLine="0"/>
              <w:jc w:val="center"/>
              <w:rPr>
                <w:rFonts w:eastAsia="Times New Roman" w:cs="Times New Roman"/>
                <w:color w:val="000000"/>
                <w:szCs w:val="24"/>
                <w:lang w:eastAsia="ru-RU"/>
              </w:rPr>
            </w:pPr>
            <w:r w:rsidRPr="005376A2">
              <w:rPr>
                <w:rFonts w:eastAsia="Times New Roman" w:cs="Times New Roman"/>
                <w:color w:val="000000"/>
                <w:szCs w:val="24"/>
                <w:lang w:eastAsia="ru-RU"/>
              </w:rPr>
              <w:t>11</w:t>
            </w:r>
          </w:p>
        </w:tc>
        <w:tc>
          <w:tcPr>
            <w:tcW w:w="1170" w:type="pct"/>
            <w:tcBorders>
              <w:top w:val="nil"/>
              <w:left w:val="nil"/>
              <w:bottom w:val="single" w:sz="4" w:space="0" w:color="000000"/>
              <w:right w:val="single" w:sz="4" w:space="0" w:color="000000"/>
            </w:tcBorders>
            <w:shd w:val="clear" w:color="auto" w:fill="auto"/>
            <w:vAlign w:val="center"/>
            <w:hideMark/>
          </w:tcPr>
          <w:p w14:paraId="5EE3138E" w14:textId="4F82E9BF" w:rsidR="00AA34D8" w:rsidRPr="005376A2" w:rsidRDefault="00AA34D8" w:rsidP="00AA34D8">
            <w:pPr>
              <w:ind w:firstLine="0"/>
              <w:jc w:val="center"/>
              <w:rPr>
                <w:rFonts w:eastAsia="Times New Roman" w:cs="Times New Roman"/>
                <w:color w:val="000000"/>
                <w:szCs w:val="24"/>
                <w:lang w:eastAsia="ru-RU"/>
              </w:rPr>
            </w:pPr>
            <w:r w:rsidRPr="005376A2">
              <w:rPr>
                <w:rFonts w:eastAsia="Times New Roman" w:cs="Times New Roman"/>
                <w:color w:val="000000"/>
                <w:szCs w:val="24"/>
                <w:lang w:eastAsia="ru-RU"/>
              </w:rPr>
              <w:t>Расстояние от объекта до локального(-ых) центра(-ов), положительно влияющего(-их) на стоимость объек</w:t>
            </w:r>
            <w:r w:rsidR="005376A2">
              <w:rPr>
                <w:rFonts w:eastAsia="Times New Roman" w:cs="Times New Roman"/>
                <w:color w:val="000000"/>
                <w:szCs w:val="24"/>
                <w:lang w:eastAsia="ru-RU"/>
              </w:rPr>
              <w:t>та</w:t>
            </w:r>
          </w:p>
        </w:tc>
        <w:tc>
          <w:tcPr>
            <w:tcW w:w="443" w:type="pct"/>
            <w:tcBorders>
              <w:top w:val="nil"/>
              <w:left w:val="nil"/>
              <w:bottom w:val="single" w:sz="4" w:space="0" w:color="000000"/>
              <w:right w:val="single" w:sz="4" w:space="0" w:color="000000"/>
            </w:tcBorders>
            <w:shd w:val="clear" w:color="auto" w:fill="auto"/>
            <w:vAlign w:val="center"/>
            <w:hideMark/>
          </w:tcPr>
          <w:p w14:paraId="48722293" w14:textId="77777777" w:rsidR="00AA34D8" w:rsidRPr="005376A2" w:rsidRDefault="00AA34D8" w:rsidP="00AA34D8">
            <w:pPr>
              <w:ind w:firstLine="0"/>
              <w:jc w:val="center"/>
              <w:rPr>
                <w:rFonts w:eastAsia="Times New Roman" w:cs="Times New Roman"/>
                <w:color w:val="000000"/>
                <w:szCs w:val="24"/>
                <w:lang w:eastAsia="ru-RU"/>
              </w:rPr>
            </w:pPr>
            <w:r w:rsidRPr="005376A2">
              <w:rPr>
                <w:rFonts w:eastAsia="Times New Roman" w:cs="Times New Roman"/>
                <w:color w:val="000000"/>
                <w:szCs w:val="24"/>
                <w:lang w:eastAsia="ru-RU"/>
              </w:rPr>
              <w:t>0,43</w:t>
            </w:r>
          </w:p>
        </w:tc>
        <w:tc>
          <w:tcPr>
            <w:tcW w:w="412" w:type="pct"/>
            <w:tcBorders>
              <w:top w:val="nil"/>
              <w:left w:val="nil"/>
              <w:bottom w:val="single" w:sz="4" w:space="0" w:color="000000"/>
              <w:right w:val="single" w:sz="4" w:space="0" w:color="000000"/>
            </w:tcBorders>
            <w:shd w:val="clear" w:color="auto" w:fill="auto"/>
            <w:vAlign w:val="center"/>
            <w:hideMark/>
          </w:tcPr>
          <w:p w14:paraId="5DA54222" w14:textId="77777777" w:rsidR="00AA34D8" w:rsidRPr="005376A2" w:rsidRDefault="00AA34D8" w:rsidP="00AA34D8">
            <w:pPr>
              <w:ind w:firstLine="0"/>
              <w:jc w:val="center"/>
              <w:rPr>
                <w:rFonts w:eastAsia="Times New Roman" w:cs="Times New Roman"/>
                <w:color w:val="000000"/>
                <w:szCs w:val="24"/>
                <w:lang w:eastAsia="ru-RU"/>
              </w:rPr>
            </w:pPr>
            <w:r w:rsidRPr="005376A2">
              <w:rPr>
                <w:rFonts w:eastAsia="Times New Roman" w:cs="Times New Roman"/>
                <w:color w:val="000000"/>
                <w:szCs w:val="24"/>
                <w:lang w:eastAsia="ru-RU"/>
              </w:rPr>
              <w:t>0,63</w:t>
            </w:r>
          </w:p>
        </w:tc>
        <w:tc>
          <w:tcPr>
            <w:tcW w:w="652" w:type="pct"/>
            <w:tcBorders>
              <w:top w:val="nil"/>
              <w:left w:val="nil"/>
              <w:bottom w:val="single" w:sz="4" w:space="0" w:color="000000"/>
              <w:right w:val="single" w:sz="4" w:space="0" w:color="000000"/>
            </w:tcBorders>
            <w:shd w:val="clear" w:color="auto" w:fill="auto"/>
            <w:vAlign w:val="center"/>
            <w:hideMark/>
          </w:tcPr>
          <w:p w14:paraId="27E6FF4D" w14:textId="77777777" w:rsidR="00AA34D8" w:rsidRPr="005376A2" w:rsidRDefault="00AA34D8" w:rsidP="00AA34D8">
            <w:pPr>
              <w:ind w:firstLine="0"/>
              <w:jc w:val="center"/>
              <w:rPr>
                <w:rFonts w:eastAsia="Times New Roman" w:cs="Times New Roman"/>
                <w:color w:val="000000"/>
                <w:szCs w:val="24"/>
                <w:lang w:eastAsia="ru-RU"/>
              </w:rPr>
            </w:pPr>
            <w:r w:rsidRPr="005376A2">
              <w:rPr>
                <w:rFonts w:eastAsia="Times New Roman" w:cs="Times New Roman"/>
                <w:color w:val="000000"/>
                <w:szCs w:val="24"/>
                <w:lang w:eastAsia="ru-RU"/>
              </w:rPr>
              <w:t>нет</w:t>
            </w:r>
          </w:p>
        </w:tc>
        <w:tc>
          <w:tcPr>
            <w:tcW w:w="2186" w:type="pct"/>
            <w:tcBorders>
              <w:top w:val="nil"/>
              <w:left w:val="nil"/>
              <w:bottom w:val="single" w:sz="4" w:space="0" w:color="auto"/>
              <w:right w:val="single" w:sz="4" w:space="0" w:color="auto"/>
            </w:tcBorders>
            <w:shd w:val="clear" w:color="auto" w:fill="auto"/>
            <w:vAlign w:val="center"/>
            <w:hideMark/>
          </w:tcPr>
          <w:p w14:paraId="63DCE47E" w14:textId="77777777" w:rsidR="00AA34D8" w:rsidRPr="005376A2" w:rsidRDefault="00AA34D8" w:rsidP="00AA34D8">
            <w:pPr>
              <w:ind w:firstLine="0"/>
              <w:jc w:val="left"/>
              <w:rPr>
                <w:rFonts w:eastAsia="Times New Roman" w:cs="Times New Roman"/>
                <w:color w:val="000000"/>
                <w:szCs w:val="24"/>
                <w:lang w:eastAsia="ru-RU"/>
              </w:rPr>
            </w:pPr>
            <w:r w:rsidRPr="005376A2">
              <w:rPr>
                <w:rFonts w:eastAsia="Times New Roman" w:cs="Times New Roman"/>
                <w:color w:val="000000"/>
                <w:szCs w:val="24"/>
                <w:lang w:eastAsia="ru-RU"/>
              </w:rPr>
              <w:t>Данный ценообразующий фактор сильно коррелирует с прочими ценообразующими факторами, определяющими локальное местоположение объекта</w:t>
            </w:r>
          </w:p>
        </w:tc>
      </w:tr>
      <w:tr w:rsidR="00AA34D8" w:rsidRPr="00AA34D8" w14:paraId="237B27ED" w14:textId="77777777" w:rsidTr="00AA34D8">
        <w:trPr>
          <w:trHeight w:val="525"/>
        </w:trPr>
        <w:tc>
          <w:tcPr>
            <w:tcW w:w="136" w:type="pct"/>
            <w:tcBorders>
              <w:top w:val="nil"/>
              <w:left w:val="single" w:sz="4" w:space="0" w:color="000000"/>
              <w:bottom w:val="single" w:sz="4" w:space="0" w:color="000000"/>
              <w:right w:val="single" w:sz="4" w:space="0" w:color="000000"/>
            </w:tcBorders>
            <w:shd w:val="clear" w:color="auto" w:fill="auto"/>
            <w:vAlign w:val="center"/>
            <w:hideMark/>
          </w:tcPr>
          <w:p w14:paraId="479D0443" w14:textId="77777777" w:rsidR="00AA34D8" w:rsidRPr="005376A2" w:rsidRDefault="00AA34D8" w:rsidP="00AA34D8">
            <w:pPr>
              <w:ind w:firstLine="0"/>
              <w:jc w:val="center"/>
              <w:rPr>
                <w:rFonts w:eastAsia="Times New Roman" w:cs="Times New Roman"/>
                <w:color w:val="000000"/>
                <w:szCs w:val="24"/>
                <w:lang w:eastAsia="ru-RU"/>
              </w:rPr>
            </w:pPr>
            <w:r w:rsidRPr="005376A2">
              <w:rPr>
                <w:rFonts w:eastAsia="Times New Roman" w:cs="Times New Roman"/>
                <w:color w:val="000000"/>
                <w:szCs w:val="24"/>
                <w:lang w:eastAsia="ru-RU"/>
              </w:rPr>
              <w:t>12</w:t>
            </w:r>
          </w:p>
        </w:tc>
        <w:tc>
          <w:tcPr>
            <w:tcW w:w="1170" w:type="pct"/>
            <w:tcBorders>
              <w:top w:val="nil"/>
              <w:left w:val="nil"/>
              <w:bottom w:val="single" w:sz="4" w:space="0" w:color="000000"/>
              <w:right w:val="single" w:sz="4" w:space="0" w:color="000000"/>
            </w:tcBorders>
            <w:shd w:val="clear" w:color="auto" w:fill="auto"/>
            <w:vAlign w:val="center"/>
            <w:hideMark/>
          </w:tcPr>
          <w:p w14:paraId="6DB960CB" w14:textId="77777777" w:rsidR="00AA34D8" w:rsidRPr="005376A2" w:rsidRDefault="00AA34D8" w:rsidP="00AA34D8">
            <w:pPr>
              <w:ind w:firstLine="0"/>
              <w:jc w:val="center"/>
              <w:rPr>
                <w:rFonts w:eastAsia="Times New Roman" w:cs="Times New Roman"/>
                <w:color w:val="000000"/>
                <w:szCs w:val="24"/>
                <w:lang w:eastAsia="ru-RU"/>
              </w:rPr>
            </w:pPr>
            <w:r w:rsidRPr="005376A2">
              <w:rPr>
                <w:rFonts w:eastAsia="Times New Roman" w:cs="Times New Roman"/>
                <w:color w:val="000000"/>
                <w:szCs w:val="24"/>
                <w:lang w:eastAsia="ru-RU"/>
              </w:rPr>
              <w:t>Теплоснабжение</w:t>
            </w:r>
          </w:p>
        </w:tc>
        <w:tc>
          <w:tcPr>
            <w:tcW w:w="443" w:type="pct"/>
            <w:tcBorders>
              <w:top w:val="nil"/>
              <w:left w:val="nil"/>
              <w:bottom w:val="single" w:sz="4" w:space="0" w:color="000000"/>
              <w:right w:val="single" w:sz="4" w:space="0" w:color="000000"/>
            </w:tcBorders>
            <w:shd w:val="clear" w:color="auto" w:fill="auto"/>
            <w:vAlign w:val="center"/>
            <w:hideMark/>
          </w:tcPr>
          <w:p w14:paraId="7BC33F82" w14:textId="77777777" w:rsidR="00AA34D8" w:rsidRPr="005376A2" w:rsidRDefault="00AA34D8" w:rsidP="00AA34D8">
            <w:pPr>
              <w:ind w:firstLine="0"/>
              <w:jc w:val="center"/>
              <w:rPr>
                <w:rFonts w:eastAsia="Times New Roman" w:cs="Times New Roman"/>
                <w:color w:val="000000"/>
                <w:szCs w:val="24"/>
                <w:lang w:eastAsia="ru-RU"/>
              </w:rPr>
            </w:pPr>
            <w:r w:rsidRPr="005376A2">
              <w:rPr>
                <w:rFonts w:eastAsia="Times New Roman" w:cs="Times New Roman"/>
                <w:color w:val="000000"/>
                <w:szCs w:val="24"/>
                <w:lang w:eastAsia="ru-RU"/>
              </w:rPr>
              <w:t>0,27</w:t>
            </w:r>
          </w:p>
        </w:tc>
        <w:tc>
          <w:tcPr>
            <w:tcW w:w="412" w:type="pct"/>
            <w:tcBorders>
              <w:top w:val="nil"/>
              <w:left w:val="nil"/>
              <w:bottom w:val="single" w:sz="4" w:space="0" w:color="000000"/>
              <w:right w:val="single" w:sz="4" w:space="0" w:color="000000"/>
            </w:tcBorders>
            <w:shd w:val="clear" w:color="auto" w:fill="auto"/>
            <w:vAlign w:val="center"/>
            <w:hideMark/>
          </w:tcPr>
          <w:p w14:paraId="0C68507F" w14:textId="77777777" w:rsidR="00AA34D8" w:rsidRPr="005376A2" w:rsidRDefault="00AA34D8" w:rsidP="00AA34D8">
            <w:pPr>
              <w:ind w:firstLine="0"/>
              <w:jc w:val="center"/>
              <w:rPr>
                <w:rFonts w:eastAsia="Times New Roman" w:cs="Times New Roman"/>
                <w:color w:val="000000"/>
                <w:szCs w:val="24"/>
                <w:lang w:eastAsia="ru-RU"/>
              </w:rPr>
            </w:pPr>
            <w:r w:rsidRPr="005376A2">
              <w:rPr>
                <w:rFonts w:eastAsia="Times New Roman" w:cs="Times New Roman"/>
                <w:color w:val="000000"/>
                <w:szCs w:val="24"/>
                <w:lang w:eastAsia="ru-RU"/>
              </w:rPr>
              <w:t>0,38</w:t>
            </w:r>
          </w:p>
        </w:tc>
        <w:tc>
          <w:tcPr>
            <w:tcW w:w="652" w:type="pct"/>
            <w:tcBorders>
              <w:top w:val="nil"/>
              <w:left w:val="nil"/>
              <w:bottom w:val="single" w:sz="4" w:space="0" w:color="000000"/>
              <w:right w:val="single" w:sz="4" w:space="0" w:color="000000"/>
            </w:tcBorders>
            <w:shd w:val="clear" w:color="auto" w:fill="auto"/>
            <w:vAlign w:val="center"/>
            <w:hideMark/>
          </w:tcPr>
          <w:p w14:paraId="18E4CBC4" w14:textId="77777777" w:rsidR="00AA34D8" w:rsidRPr="005376A2" w:rsidRDefault="00AA34D8" w:rsidP="00AA34D8">
            <w:pPr>
              <w:ind w:firstLine="0"/>
              <w:jc w:val="center"/>
              <w:rPr>
                <w:rFonts w:eastAsia="Times New Roman" w:cs="Times New Roman"/>
                <w:color w:val="000000"/>
                <w:szCs w:val="24"/>
                <w:lang w:eastAsia="ru-RU"/>
              </w:rPr>
            </w:pPr>
            <w:r w:rsidRPr="005376A2">
              <w:rPr>
                <w:rFonts w:eastAsia="Times New Roman" w:cs="Times New Roman"/>
                <w:color w:val="000000"/>
                <w:szCs w:val="24"/>
                <w:lang w:eastAsia="ru-RU"/>
              </w:rPr>
              <w:t>нет</w:t>
            </w:r>
          </w:p>
        </w:tc>
        <w:tc>
          <w:tcPr>
            <w:tcW w:w="2186" w:type="pct"/>
            <w:tcBorders>
              <w:top w:val="nil"/>
              <w:left w:val="nil"/>
              <w:bottom w:val="single" w:sz="4" w:space="0" w:color="auto"/>
              <w:right w:val="single" w:sz="4" w:space="0" w:color="auto"/>
            </w:tcBorders>
            <w:shd w:val="clear" w:color="auto" w:fill="auto"/>
            <w:vAlign w:val="bottom"/>
            <w:hideMark/>
          </w:tcPr>
          <w:p w14:paraId="1C69D773" w14:textId="77777777" w:rsidR="00AA34D8" w:rsidRPr="005376A2" w:rsidRDefault="00AA34D8" w:rsidP="00AA34D8">
            <w:pPr>
              <w:ind w:firstLine="0"/>
              <w:jc w:val="left"/>
              <w:rPr>
                <w:rFonts w:eastAsia="Times New Roman" w:cs="Times New Roman"/>
                <w:color w:val="000000"/>
                <w:szCs w:val="24"/>
                <w:lang w:eastAsia="ru-RU"/>
              </w:rPr>
            </w:pPr>
            <w:r w:rsidRPr="005376A2">
              <w:rPr>
                <w:rFonts w:eastAsia="Times New Roman" w:cs="Times New Roman"/>
                <w:color w:val="000000"/>
                <w:szCs w:val="24"/>
                <w:lang w:eastAsia="ru-RU"/>
              </w:rPr>
              <w:t>Данный ценообразующий фактор сильно коррелирует с прочими ценообразующими факторами, определяющими локальное местоположение объекта</w:t>
            </w:r>
          </w:p>
        </w:tc>
      </w:tr>
      <w:tr w:rsidR="00AA34D8" w:rsidRPr="00AA34D8" w14:paraId="60F19149" w14:textId="77777777" w:rsidTr="00AA34D8">
        <w:trPr>
          <w:trHeight w:val="525"/>
        </w:trPr>
        <w:tc>
          <w:tcPr>
            <w:tcW w:w="136" w:type="pct"/>
            <w:tcBorders>
              <w:top w:val="nil"/>
              <w:left w:val="single" w:sz="4" w:space="0" w:color="000000"/>
              <w:bottom w:val="single" w:sz="4" w:space="0" w:color="000000"/>
              <w:right w:val="single" w:sz="4" w:space="0" w:color="000000"/>
            </w:tcBorders>
            <w:shd w:val="clear" w:color="auto" w:fill="auto"/>
            <w:vAlign w:val="center"/>
            <w:hideMark/>
          </w:tcPr>
          <w:p w14:paraId="46B77E12" w14:textId="77777777" w:rsidR="00AA34D8" w:rsidRPr="005376A2" w:rsidRDefault="00AA34D8" w:rsidP="00AA34D8">
            <w:pPr>
              <w:ind w:firstLine="0"/>
              <w:jc w:val="center"/>
              <w:rPr>
                <w:rFonts w:eastAsia="Times New Roman" w:cs="Times New Roman"/>
                <w:color w:val="000000"/>
                <w:szCs w:val="24"/>
                <w:lang w:eastAsia="ru-RU"/>
              </w:rPr>
            </w:pPr>
            <w:r w:rsidRPr="005376A2">
              <w:rPr>
                <w:rFonts w:eastAsia="Times New Roman" w:cs="Times New Roman"/>
                <w:color w:val="000000"/>
                <w:szCs w:val="24"/>
                <w:lang w:eastAsia="ru-RU"/>
              </w:rPr>
              <w:t>13</w:t>
            </w:r>
          </w:p>
        </w:tc>
        <w:tc>
          <w:tcPr>
            <w:tcW w:w="1170" w:type="pct"/>
            <w:tcBorders>
              <w:top w:val="nil"/>
              <w:left w:val="nil"/>
              <w:bottom w:val="single" w:sz="4" w:space="0" w:color="000000"/>
              <w:right w:val="single" w:sz="4" w:space="0" w:color="000000"/>
            </w:tcBorders>
            <w:shd w:val="clear" w:color="auto" w:fill="auto"/>
            <w:vAlign w:val="center"/>
            <w:hideMark/>
          </w:tcPr>
          <w:p w14:paraId="086C639E" w14:textId="77777777" w:rsidR="00AA34D8" w:rsidRPr="005376A2" w:rsidRDefault="00AA34D8" w:rsidP="00AA34D8">
            <w:pPr>
              <w:ind w:firstLine="0"/>
              <w:jc w:val="center"/>
              <w:rPr>
                <w:rFonts w:eastAsia="Times New Roman" w:cs="Times New Roman"/>
                <w:color w:val="000000"/>
                <w:szCs w:val="24"/>
                <w:lang w:eastAsia="ru-RU"/>
              </w:rPr>
            </w:pPr>
            <w:r w:rsidRPr="005376A2">
              <w:rPr>
                <w:rFonts w:eastAsia="Times New Roman" w:cs="Times New Roman"/>
                <w:color w:val="000000"/>
                <w:szCs w:val="24"/>
                <w:lang w:eastAsia="ru-RU"/>
              </w:rPr>
              <w:t>Физический износ_ЗП</w:t>
            </w:r>
          </w:p>
        </w:tc>
        <w:tc>
          <w:tcPr>
            <w:tcW w:w="443" w:type="pct"/>
            <w:tcBorders>
              <w:top w:val="nil"/>
              <w:left w:val="nil"/>
              <w:bottom w:val="single" w:sz="4" w:space="0" w:color="000000"/>
              <w:right w:val="single" w:sz="4" w:space="0" w:color="000000"/>
            </w:tcBorders>
            <w:shd w:val="clear" w:color="auto" w:fill="auto"/>
            <w:vAlign w:val="center"/>
            <w:hideMark/>
          </w:tcPr>
          <w:p w14:paraId="4136472A" w14:textId="77777777" w:rsidR="00AA34D8" w:rsidRPr="005376A2" w:rsidRDefault="00AA34D8" w:rsidP="00AA34D8">
            <w:pPr>
              <w:ind w:firstLine="0"/>
              <w:jc w:val="center"/>
              <w:rPr>
                <w:rFonts w:eastAsia="Times New Roman" w:cs="Times New Roman"/>
                <w:color w:val="000000"/>
                <w:szCs w:val="24"/>
                <w:lang w:eastAsia="ru-RU"/>
              </w:rPr>
            </w:pPr>
            <w:r w:rsidRPr="005376A2">
              <w:rPr>
                <w:rFonts w:eastAsia="Times New Roman" w:cs="Times New Roman"/>
                <w:color w:val="000000"/>
                <w:szCs w:val="24"/>
                <w:lang w:eastAsia="ru-RU"/>
              </w:rPr>
              <w:t>0,23</w:t>
            </w:r>
          </w:p>
        </w:tc>
        <w:tc>
          <w:tcPr>
            <w:tcW w:w="412" w:type="pct"/>
            <w:tcBorders>
              <w:top w:val="nil"/>
              <w:left w:val="nil"/>
              <w:bottom w:val="single" w:sz="4" w:space="0" w:color="000000"/>
              <w:right w:val="single" w:sz="4" w:space="0" w:color="000000"/>
            </w:tcBorders>
            <w:shd w:val="clear" w:color="auto" w:fill="auto"/>
            <w:vAlign w:val="center"/>
            <w:hideMark/>
          </w:tcPr>
          <w:p w14:paraId="5A54FAE3" w14:textId="77777777" w:rsidR="00AA34D8" w:rsidRPr="005376A2" w:rsidRDefault="00AA34D8" w:rsidP="00AA34D8">
            <w:pPr>
              <w:ind w:firstLine="0"/>
              <w:jc w:val="center"/>
              <w:rPr>
                <w:rFonts w:eastAsia="Times New Roman" w:cs="Times New Roman"/>
                <w:color w:val="000000"/>
                <w:szCs w:val="24"/>
                <w:lang w:eastAsia="ru-RU"/>
              </w:rPr>
            </w:pPr>
            <w:r w:rsidRPr="005376A2">
              <w:rPr>
                <w:rFonts w:eastAsia="Times New Roman" w:cs="Times New Roman"/>
                <w:color w:val="000000"/>
                <w:szCs w:val="24"/>
                <w:lang w:eastAsia="ru-RU"/>
              </w:rPr>
              <w:t>0,34</w:t>
            </w:r>
          </w:p>
        </w:tc>
        <w:tc>
          <w:tcPr>
            <w:tcW w:w="652" w:type="pct"/>
            <w:tcBorders>
              <w:top w:val="nil"/>
              <w:left w:val="nil"/>
              <w:bottom w:val="single" w:sz="4" w:space="0" w:color="000000"/>
              <w:right w:val="single" w:sz="4" w:space="0" w:color="000000"/>
            </w:tcBorders>
            <w:shd w:val="clear" w:color="auto" w:fill="auto"/>
            <w:vAlign w:val="center"/>
            <w:hideMark/>
          </w:tcPr>
          <w:p w14:paraId="0929AE22" w14:textId="77777777" w:rsidR="00AA34D8" w:rsidRPr="005376A2" w:rsidRDefault="00AA34D8" w:rsidP="00AA34D8">
            <w:pPr>
              <w:ind w:firstLine="0"/>
              <w:jc w:val="center"/>
              <w:rPr>
                <w:rFonts w:eastAsia="Times New Roman" w:cs="Times New Roman"/>
                <w:color w:val="000000"/>
                <w:szCs w:val="24"/>
                <w:lang w:eastAsia="ru-RU"/>
              </w:rPr>
            </w:pPr>
            <w:r w:rsidRPr="005376A2">
              <w:rPr>
                <w:rFonts w:eastAsia="Times New Roman" w:cs="Times New Roman"/>
                <w:color w:val="000000"/>
                <w:szCs w:val="24"/>
                <w:lang w:eastAsia="ru-RU"/>
              </w:rPr>
              <w:t>да</w:t>
            </w:r>
          </w:p>
        </w:tc>
        <w:tc>
          <w:tcPr>
            <w:tcW w:w="2186" w:type="pct"/>
            <w:tcBorders>
              <w:top w:val="nil"/>
              <w:left w:val="nil"/>
              <w:bottom w:val="single" w:sz="4" w:space="0" w:color="auto"/>
              <w:right w:val="single" w:sz="4" w:space="0" w:color="auto"/>
            </w:tcBorders>
            <w:shd w:val="clear" w:color="auto" w:fill="auto"/>
            <w:vAlign w:val="bottom"/>
            <w:hideMark/>
          </w:tcPr>
          <w:p w14:paraId="1F0A15C3" w14:textId="77777777" w:rsidR="00AA34D8" w:rsidRPr="005376A2" w:rsidRDefault="00AA34D8" w:rsidP="00AA34D8">
            <w:pPr>
              <w:ind w:firstLine="0"/>
              <w:jc w:val="left"/>
              <w:rPr>
                <w:rFonts w:eastAsia="Times New Roman" w:cs="Times New Roman"/>
                <w:color w:val="000000"/>
                <w:szCs w:val="24"/>
                <w:lang w:eastAsia="ru-RU"/>
              </w:rPr>
            </w:pPr>
            <w:r w:rsidRPr="005376A2">
              <w:rPr>
                <w:rFonts w:eastAsia="Times New Roman" w:cs="Times New Roman"/>
                <w:color w:val="000000"/>
                <w:szCs w:val="24"/>
                <w:lang w:eastAsia="ru-RU"/>
              </w:rPr>
              <w:t>Ценообразующий фактор соответствует критериям, описанным выше. Данный фактор оказывает существенное влияние на стоимость объектов недвижимости</w:t>
            </w:r>
          </w:p>
        </w:tc>
      </w:tr>
      <w:tr w:rsidR="00AA34D8" w:rsidRPr="00AA34D8" w14:paraId="041B90FB" w14:textId="77777777" w:rsidTr="00AA34D8">
        <w:trPr>
          <w:trHeight w:val="525"/>
        </w:trPr>
        <w:tc>
          <w:tcPr>
            <w:tcW w:w="136" w:type="pct"/>
            <w:tcBorders>
              <w:top w:val="nil"/>
              <w:left w:val="single" w:sz="4" w:space="0" w:color="000000"/>
              <w:bottom w:val="single" w:sz="4" w:space="0" w:color="000000"/>
              <w:right w:val="single" w:sz="4" w:space="0" w:color="000000"/>
            </w:tcBorders>
            <w:shd w:val="clear" w:color="auto" w:fill="auto"/>
            <w:vAlign w:val="center"/>
            <w:hideMark/>
          </w:tcPr>
          <w:p w14:paraId="2E5F873F" w14:textId="77777777" w:rsidR="00AA34D8" w:rsidRPr="005376A2" w:rsidRDefault="00AA34D8" w:rsidP="00AA34D8">
            <w:pPr>
              <w:ind w:firstLine="0"/>
              <w:jc w:val="center"/>
              <w:rPr>
                <w:rFonts w:eastAsia="Times New Roman" w:cs="Times New Roman"/>
                <w:color w:val="000000"/>
                <w:szCs w:val="24"/>
                <w:lang w:eastAsia="ru-RU"/>
              </w:rPr>
            </w:pPr>
            <w:r w:rsidRPr="005376A2">
              <w:rPr>
                <w:rFonts w:eastAsia="Times New Roman" w:cs="Times New Roman"/>
                <w:color w:val="000000"/>
                <w:szCs w:val="24"/>
                <w:lang w:eastAsia="ru-RU"/>
              </w:rPr>
              <w:t>14</w:t>
            </w:r>
          </w:p>
        </w:tc>
        <w:tc>
          <w:tcPr>
            <w:tcW w:w="1170" w:type="pct"/>
            <w:tcBorders>
              <w:top w:val="nil"/>
              <w:left w:val="nil"/>
              <w:bottom w:val="single" w:sz="4" w:space="0" w:color="000000"/>
              <w:right w:val="single" w:sz="4" w:space="0" w:color="000000"/>
            </w:tcBorders>
            <w:shd w:val="clear" w:color="auto" w:fill="auto"/>
            <w:vAlign w:val="center"/>
            <w:hideMark/>
          </w:tcPr>
          <w:p w14:paraId="21D43AAE" w14:textId="77777777" w:rsidR="00AA34D8" w:rsidRPr="005376A2" w:rsidRDefault="00AA34D8" w:rsidP="00AA34D8">
            <w:pPr>
              <w:ind w:firstLine="0"/>
              <w:jc w:val="center"/>
              <w:rPr>
                <w:rFonts w:eastAsia="Times New Roman" w:cs="Times New Roman"/>
                <w:color w:val="000000"/>
                <w:szCs w:val="24"/>
                <w:lang w:eastAsia="ru-RU"/>
              </w:rPr>
            </w:pPr>
            <w:r w:rsidRPr="005376A2">
              <w:rPr>
                <w:rFonts w:eastAsia="Times New Roman" w:cs="Times New Roman"/>
                <w:color w:val="000000"/>
                <w:szCs w:val="24"/>
                <w:lang w:eastAsia="ru-RU"/>
              </w:rPr>
              <w:t>ЦГКО_уточнение Год постройки</w:t>
            </w:r>
          </w:p>
        </w:tc>
        <w:tc>
          <w:tcPr>
            <w:tcW w:w="443" w:type="pct"/>
            <w:tcBorders>
              <w:top w:val="nil"/>
              <w:left w:val="nil"/>
              <w:bottom w:val="single" w:sz="4" w:space="0" w:color="000000"/>
              <w:right w:val="single" w:sz="4" w:space="0" w:color="000000"/>
            </w:tcBorders>
            <w:shd w:val="clear" w:color="auto" w:fill="auto"/>
            <w:vAlign w:val="center"/>
            <w:hideMark/>
          </w:tcPr>
          <w:p w14:paraId="65DBE0ED" w14:textId="77777777" w:rsidR="00AA34D8" w:rsidRPr="005376A2" w:rsidRDefault="00AA34D8" w:rsidP="00AA34D8">
            <w:pPr>
              <w:ind w:firstLine="0"/>
              <w:jc w:val="center"/>
              <w:rPr>
                <w:rFonts w:eastAsia="Times New Roman" w:cs="Times New Roman"/>
                <w:color w:val="000000"/>
                <w:szCs w:val="24"/>
                <w:lang w:eastAsia="ru-RU"/>
              </w:rPr>
            </w:pPr>
            <w:r w:rsidRPr="005376A2">
              <w:rPr>
                <w:rFonts w:eastAsia="Times New Roman" w:cs="Times New Roman"/>
                <w:color w:val="000000"/>
                <w:szCs w:val="24"/>
                <w:lang w:eastAsia="ru-RU"/>
              </w:rPr>
              <w:t>0,53</w:t>
            </w:r>
          </w:p>
        </w:tc>
        <w:tc>
          <w:tcPr>
            <w:tcW w:w="412" w:type="pct"/>
            <w:tcBorders>
              <w:top w:val="nil"/>
              <w:left w:val="nil"/>
              <w:bottom w:val="single" w:sz="4" w:space="0" w:color="000000"/>
              <w:right w:val="single" w:sz="4" w:space="0" w:color="000000"/>
            </w:tcBorders>
            <w:shd w:val="clear" w:color="auto" w:fill="auto"/>
            <w:vAlign w:val="center"/>
            <w:hideMark/>
          </w:tcPr>
          <w:p w14:paraId="3F50DB62" w14:textId="77777777" w:rsidR="00AA34D8" w:rsidRPr="005376A2" w:rsidRDefault="00AA34D8" w:rsidP="00AA34D8">
            <w:pPr>
              <w:ind w:firstLine="0"/>
              <w:jc w:val="center"/>
              <w:rPr>
                <w:rFonts w:eastAsia="Times New Roman" w:cs="Times New Roman"/>
                <w:color w:val="000000"/>
                <w:szCs w:val="24"/>
                <w:lang w:eastAsia="ru-RU"/>
              </w:rPr>
            </w:pPr>
            <w:r w:rsidRPr="005376A2">
              <w:rPr>
                <w:rFonts w:eastAsia="Times New Roman" w:cs="Times New Roman"/>
                <w:color w:val="000000"/>
                <w:szCs w:val="24"/>
                <w:lang w:eastAsia="ru-RU"/>
              </w:rPr>
              <w:t>0,77</w:t>
            </w:r>
          </w:p>
        </w:tc>
        <w:tc>
          <w:tcPr>
            <w:tcW w:w="652" w:type="pct"/>
            <w:tcBorders>
              <w:top w:val="nil"/>
              <w:left w:val="nil"/>
              <w:bottom w:val="single" w:sz="4" w:space="0" w:color="000000"/>
              <w:right w:val="single" w:sz="4" w:space="0" w:color="000000"/>
            </w:tcBorders>
            <w:shd w:val="clear" w:color="auto" w:fill="auto"/>
            <w:vAlign w:val="center"/>
            <w:hideMark/>
          </w:tcPr>
          <w:p w14:paraId="1BFD1F09" w14:textId="77777777" w:rsidR="00AA34D8" w:rsidRPr="005376A2" w:rsidRDefault="00AA34D8" w:rsidP="00AA34D8">
            <w:pPr>
              <w:ind w:firstLine="0"/>
              <w:jc w:val="center"/>
              <w:rPr>
                <w:rFonts w:eastAsia="Times New Roman" w:cs="Times New Roman"/>
                <w:color w:val="000000"/>
                <w:szCs w:val="24"/>
                <w:lang w:eastAsia="ru-RU"/>
              </w:rPr>
            </w:pPr>
            <w:r w:rsidRPr="005376A2">
              <w:rPr>
                <w:rFonts w:eastAsia="Times New Roman" w:cs="Times New Roman"/>
                <w:color w:val="000000"/>
                <w:szCs w:val="24"/>
                <w:lang w:eastAsia="ru-RU"/>
              </w:rPr>
              <w:t>нет</w:t>
            </w:r>
          </w:p>
        </w:tc>
        <w:tc>
          <w:tcPr>
            <w:tcW w:w="2186" w:type="pct"/>
            <w:tcBorders>
              <w:top w:val="nil"/>
              <w:left w:val="nil"/>
              <w:bottom w:val="single" w:sz="4" w:space="0" w:color="auto"/>
              <w:right w:val="single" w:sz="4" w:space="0" w:color="auto"/>
            </w:tcBorders>
            <w:shd w:val="clear" w:color="auto" w:fill="auto"/>
            <w:vAlign w:val="bottom"/>
            <w:hideMark/>
          </w:tcPr>
          <w:p w14:paraId="589C6D57" w14:textId="77777777" w:rsidR="00AA34D8" w:rsidRPr="005376A2" w:rsidRDefault="00AA34D8" w:rsidP="00AA34D8">
            <w:pPr>
              <w:ind w:firstLine="0"/>
              <w:jc w:val="left"/>
              <w:rPr>
                <w:rFonts w:eastAsia="Times New Roman" w:cs="Times New Roman"/>
                <w:color w:val="000000"/>
                <w:szCs w:val="24"/>
                <w:lang w:eastAsia="ru-RU"/>
              </w:rPr>
            </w:pPr>
            <w:r w:rsidRPr="005376A2">
              <w:rPr>
                <w:rFonts w:eastAsia="Times New Roman" w:cs="Times New Roman"/>
                <w:color w:val="000000"/>
                <w:szCs w:val="24"/>
                <w:lang w:eastAsia="ru-RU"/>
              </w:rPr>
              <w:t>Данный ценообразующий фактор сильно коррелирует с прочими ценообразующими факторами, определяющими локальное местоположение объекта</w:t>
            </w:r>
          </w:p>
        </w:tc>
      </w:tr>
      <w:tr w:rsidR="00AA34D8" w:rsidRPr="00AA34D8" w14:paraId="03F84619" w14:textId="77777777" w:rsidTr="00AA34D8">
        <w:trPr>
          <w:trHeight w:val="780"/>
        </w:trPr>
        <w:tc>
          <w:tcPr>
            <w:tcW w:w="136" w:type="pct"/>
            <w:tcBorders>
              <w:top w:val="nil"/>
              <w:left w:val="single" w:sz="4" w:space="0" w:color="000000"/>
              <w:bottom w:val="single" w:sz="4" w:space="0" w:color="000000"/>
              <w:right w:val="single" w:sz="4" w:space="0" w:color="000000"/>
            </w:tcBorders>
            <w:shd w:val="clear" w:color="auto" w:fill="auto"/>
            <w:vAlign w:val="center"/>
            <w:hideMark/>
          </w:tcPr>
          <w:p w14:paraId="30958FA7" w14:textId="77777777" w:rsidR="00AA34D8" w:rsidRPr="005376A2" w:rsidRDefault="00AA34D8" w:rsidP="00AA34D8">
            <w:pPr>
              <w:ind w:firstLine="0"/>
              <w:jc w:val="center"/>
              <w:rPr>
                <w:rFonts w:eastAsia="Times New Roman" w:cs="Times New Roman"/>
                <w:color w:val="000000"/>
                <w:szCs w:val="24"/>
                <w:lang w:eastAsia="ru-RU"/>
              </w:rPr>
            </w:pPr>
            <w:r w:rsidRPr="005376A2">
              <w:rPr>
                <w:rFonts w:eastAsia="Times New Roman" w:cs="Times New Roman"/>
                <w:color w:val="000000"/>
                <w:szCs w:val="24"/>
                <w:lang w:eastAsia="ru-RU"/>
              </w:rPr>
              <w:t>15</w:t>
            </w:r>
          </w:p>
        </w:tc>
        <w:tc>
          <w:tcPr>
            <w:tcW w:w="1170" w:type="pct"/>
            <w:tcBorders>
              <w:top w:val="nil"/>
              <w:left w:val="nil"/>
              <w:bottom w:val="single" w:sz="4" w:space="0" w:color="000000"/>
              <w:right w:val="single" w:sz="4" w:space="0" w:color="000000"/>
            </w:tcBorders>
            <w:shd w:val="clear" w:color="auto" w:fill="auto"/>
            <w:vAlign w:val="center"/>
            <w:hideMark/>
          </w:tcPr>
          <w:p w14:paraId="74B4C26C" w14:textId="77777777" w:rsidR="00AA34D8" w:rsidRPr="005376A2" w:rsidRDefault="00AA34D8" w:rsidP="00AA34D8">
            <w:pPr>
              <w:ind w:firstLine="0"/>
              <w:jc w:val="center"/>
              <w:rPr>
                <w:rFonts w:eastAsia="Times New Roman" w:cs="Times New Roman"/>
                <w:color w:val="000000"/>
                <w:szCs w:val="24"/>
                <w:lang w:eastAsia="ru-RU"/>
              </w:rPr>
            </w:pPr>
            <w:r w:rsidRPr="005376A2">
              <w:rPr>
                <w:rFonts w:eastAsia="Times New Roman" w:cs="Times New Roman"/>
                <w:color w:val="000000"/>
                <w:szCs w:val="24"/>
                <w:lang w:eastAsia="ru-RU"/>
              </w:rPr>
              <w:t>Центральное водоснабжение</w:t>
            </w:r>
          </w:p>
        </w:tc>
        <w:tc>
          <w:tcPr>
            <w:tcW w:w="443" w:type="pct"/>
            <w:tcBorders>
              <w:top w:val="nil"/>
              <w:left w:val="nil"/>
              <w:bottom w:val="single" w:sz="4" w:space="0" w:color="000000"/>
              <w:right w:val="single" w:sz="4" w:space="0" w:color="000000"/>
            </w:tcBorders>
            <w:shd w:val="clear" w:color="auto" w:fill="auto"/>
            <w:vAlign w:val="center"/>
            <w:hideMark/>
          </w:tcPr>
          <w:p w14:paraId="55939162" w14:textId="77777777" w:rsidR="00AA34D8" w:rsidRPr="005376A2" w:rsidRDefault="00AA34D8" w:rsidP="00AA34D8">
            <w:pPr>
              <w:ind w:firstLine="0"/>
              <w:jc w:val="center"/>
              <w:rPr>
                <w:rFonts w:eastAsia="Times New Roman" w:cs="Times New Roman"/>
                <w:color w:val="000000"/>
                <w:szCs w:val="24"/>
                <w:lang w:eastAsia="ru-RU"/>
              </w:rPr>
            </w:pPr>
            <w:r w:rsidRPr="005376A2">
              <w:rPr>
                <w:rFonts w:eastAsia="Times New Roman" w:cs="Times New Roman"/>
                <w:color w:val="000000"/>
                <w:szCs w:val="24"/>
                <w:lang w:eastAsia="ru-RU"/>
              </w:rPr>
              <w:t>0,46</w:t>
            </w:r>
          </w:p>
        </w:tc>
        <w:tc>
          <w:tcPr>
            <w:tcW w:w="412" w:type="pct"/>
            <w:tcBorders>
              <w:top w:val="nil"/>
              <w:left w:val="nil"/>
              <w:bottom w:val="single" w:sz="4" w:space="0" w:color="000000"/>
              <w:right w:val="single" w:sz="4" w:space="0" w:color="000000"/>
            </w:tcBorders>
            <w:shd w:val="clear" w:color="auto" w:fill="auto"/>
            <w:vAlign w:val="center"/>
            <w:hideMark/>
          </w:tcPr>
          <w:p w14:paraId="193D4907" w14:textId="77777777" w:rsidR="00AA34D8" w:rsidRPr="005376A2" w:rsidRDefault="00AA34D8" w:rsidP="00AA34D8">
            <w:pPr>
              <w:ind w:firstLine="0"/>
              <w:jc w:val="center"/>
              <w:rPr>
                <w:rFonts w:eastAsia="Times New Roman" w:cs="Times New Roman"/>
                <w:color w:val="000000"/>
                <w:szCs w:val="24"/>
                <w:lang w:eastAsia="ru-RU"/>
              </w:rPr>
            </w:pPr>
            <w:r w:rsidRPr="005376A2">
              <w:rPr>
                <w:rFonts w:eastAsia="Times New Roman" w:cs="Times New Roman"/>
                <w:color w:val="000000"/>
                <w:szCs w:val="24"/>
                <w:lang w:eastAsia="ru-RU"/>
              </w:rPr>
              <w:t>0,67</w:t>
            </w:r>
          </w:p>
        </w:tc>
        <w:tc>
          <w:tcPr>
            <w:tcW w:w="652" w:type="pct"/>
            <w:tcBorders>
              <w:top w:val="nil"/>
              <w:left w:val="nil"/>
              <w:bottom w:val="single" w:sz="4" w:space="0" w:color="000000"/>
              <w:right w:val="single" w:sz="4" w:space="0" w:color="000000"/>
            </w:tcBorders>
            <w:shd w:val="clear" w:color="auto" w:fill="auto"/>
            <w:vAlign w:val="center"/>
            <w:hideMark/>
          </w:tcPr>
          <w:p w14:paraId="5F273EA6" w14:textId="77777777" w:rsidR="00AA34D8" w:rsidRPr="005376A2" w:rsidRDefault="00AA34D8" w:rsidP="00AA34D8">
            <w:pPr>
              <w:ind w:firstLine="0"/>
              <w:jc w:val="center"/>
              <w:rPr>
                <w:rFonts w:eastAsia="Times New Roman" w:cs="Times New Roman"/>
                <w:color w:val="000000"/>
                <w:szCs w:val="24"/>
                <w:lang w:eastAsia="ru-RU"/>
              </w:rPr>
            </w:pPr>
            <w:r w:rsidRPr="005376A2">
              <w:rPr>
                <w:rFonts w:eastAsia="Times New Roman" w:cs="Times New Roman"/>
                <w:color w:val="000000"/>
                <w:szCs w:val="24"/>
                <w:lang w:eastAsia="ru-RU"/>
              </w:rPr>
              <w:t>нет</w:t>
            </w:r>
          </w:p>
        </w:tc>
        <w:tc>
          <w:tcPr>
            <w:tcW w:w="2186" w:type="pct"/>
            <w:tcBorders>
              <w:top w:val="nil"/>
              <w:left w:val="nil"/>
              <w:bottom w:val="single" w:sz="4" w:space="0" w:color="auto"/>
              <w:right w:val="single" w:sz="4" w:space="0" w:color="auto"/>
            </w:tcBorders>
            <w:shd w:val="clear" w:color="auto" w:fill="auto"/>
            <w:vAlign w:val="bottom"/>
            <w:hideMark/>
          </w:tcPr>
          <w:p w14:paraId="7F9B4D7A" w14:textId="77777777" w:rsidR="00AA34D8" w:rsidRPr="005376A2" w:rsidRDefault="00AA34D8" w:rsidP="00AA34D8">
            <w:pPr>
              <w:ind w:firstLine="0"/>
              <w:jc w:val="left"/>
              <w:rPr>
                <w:rFonts w:eastAsia="Times New Roman" w:cs="Times New Roman"/>
                <w:color w:val="000000"/>
                <w:szCs w:val="24"/>
                <w:lang w:eastAsia="ru-RU"/>
              </w:rPr>
            </w:pPr>
            <w:r w:rsidRPr="005376A2">
              <w:rPr>
                <w:rFonts w:eastAsia="Times New Roman" w:cs="Times New Roman"/>
                <w:color w:val="000000"/>
                <w:szCs w:val="24"/>
                <w:lang w:eastAsia="ru-RU"/>
              </w:rPr>
              <w:t>Направленность корреляционной зависимости между ценообразующим фактором и удельной ценой объектов-аналогов не соответствует экономической гипотезе о наблюдаемом на рынке характере влияния данного фактора на зависимую переменную</w:t>
            </w:r>
          </w:p>
        </w:tc>
      </w:tr>
      <w:tr w:rsidR="00AA34D8" w:rsidRPr="00AA34D8" w14:paraId="65421BB5" w14:textId="77777777" w:rsidTr="00AA34D8">
        <w:trPr>
          <w:trHeight w:val="780"/>
        </w:trPr>
        <w:tc>
          <w:tcPr>
            <w:tcW w:w="136" w:type="pct"/>
            <w:tcBorders>
              <w:top w:val="nil"/>
              <w:left w:val="single" w:sz="4" w:space="0" w:color="000000"/>
              <w:bottom w:val="single" w:sz="4" w:space="0" w:color="000000"/>
              <w:right w:val="single" w:sz="4" w:space="0" w:color="000000"/>
            </w:tcBorders>
            <w:shd w:val="clear" w:color="auto" w:fill="auto"/>
            <w:vAlign w:val="center"/>
            <w:hideMark/>
          </w:tcPr>
          <w:p w14:paraId="66A5DB76" w14:textId="77777777" w:rsidR="00AA34D8" w:rsidRPr="005376A2" w:rsidRDefault="00AA34D8" w:rsidP="00AA34D8">
            <w:pPr>
              <w:ind w:firstLine="0"/>
              <w:jc w:val="center"/>
              <w:rPr>
                <w:rFonts w:eastAsia="Times New Roman" w:cs="Times New Roman"/>
                <w:color w:val="000000"/>
                <w:szCs w:val="24"/>
                <w:lang w:eastAsia="ru-RU"/>
              </w:rPr>
            </w:pPr>
            <w:r w:rsidRPr="005376A2">
              <w:rPr>
                <w:rFonts w:eastAsia="Times New Roman" w:cs="Times New Roman"/>
                <w:color w:val="000000"/>
                <w:szCs w:val="24"/>
                <w:lang w:eastAsia="ru-RU"/>
              </w:rPr>
              <w:t>16</w:t>
            </w:r>
          </w:p>
        </w:tc>
        <w:tc>
          <w:tcPr>
            <w:tcW w:w="1170" w:type="pct"/>
            <w:tcBorders>
              <w:top w:val="nil"/>
              <w:left w:val="nil"/>
              <w:bottom w:val="single" w:sz="4" w:space="0" w:color="000000"/>
              <w:right w:val="single" w:sz="4" w:space="0" w:color="000000"/>
            </w:tcBorders>
            <w:shd w:val="clear" w:color="auto" w:fill="auto"/>
            <w:vAlign w:val="center"/>
            <w:hideMark/>
          </w:tcPr>
          <w:p w14:paraId="03E1286B" w14:textId="77777777" w:rsidR="00AA34D8" w:rsidRPr="005376A2" w:rsidRDefault="00AA34D8" w:rsidP="00AA34D8">
            <w:pPr>
              <w:ind w:firstLine="0"/>
              <w:jc w:val="center"/>
              <w:rPr>
                <w:rFonts w:eastAsia="Times New Roman" w:cs="Times New Roman"/>
                <w:color w:val="000000"/>
                <w:szCs w:val="24"/>
                <w:lang w:eastAsia="ru-RU"/>
              </w:rPr>
            </w:pPr>
            <w:r w:rsidRPr="005376A2">
              <w:rPr>
                <w:rFonts w:eastAsia="Times New Roman" w:cs="Times New Roman"/>
                <w:color w:val="000000"/>
                <w:szCs w:val="24"/>
                <w:lang w:eastAsia="ru-RU"/>
              </w:rPr>
              <w:t>Электричество</w:t>
            </w:r>
          </w:p>
        </w:tc>
        <w:tc>
          <w:tcPr>
            <w:tcW w:w="443" w:type="pct"/>
            <w:tcBorders>
              <w:top w:val="nil"/>
              <w:left w:val="nil"/>
              <w:bottom w:val="single" w:sz="4" w:space="0" w:color="000000"/>
              <w:right w:val="single" w:sz="4" w:space="0" w:color="000000"/>
            </w:tcBorders>
            <w:shd w:val="clear" w:color="auto" w:fill="auto"/>
            <w:vAlign w:val="center"/>
            <w:hideMark/>
          </w:tcPr>
          <w:p w14:paraId="6FD84F95" w14:textId="77777777" w:rsidR="00AA34D8" w:rsidRPr="005376A2" w:rsidRDefault="00AA34D8" w:rsidP="00AA34D8">
            <w:pPr>
              <w:ind w:firstLine="0"/>
              <w:jc w:val="center"/>
              <w:rPr>
                <w:rFonts w:eastAsia="Times New Roman" w:cs="Times New Roman"/>
                <w:color w:val="000000"/>
                <w:szCs w:val="24"/>
                <w:lang w:eastAsia="ru-RU"/>
              </w:rPr>
            </w:pPr>
            <w:r w:rsidRPr="005376A2">
              <w:rPr>
                <w:rFonts w:eastAsia="Times New Roman" w:cs="Times New Roman"/>
                <w:color w:val="000000"/>
                <w:szCs w:val="24"/>
                <w:lang w:eastAsia="ru-RU"/>
              </w:rPr>
              <w:t>0,61</w:t>
            </w:r>
          </w:p>
        </w:tc>
        <w:tc>
          <w:tcPr>
            <w:tcW w:w="412" w:type="pct"/>
            <w:tcBorders>
              <w:top w:val="nil"/>
              <w:left w:val="nil"/>
              <w:bottom w:val="single" w:sz="4" w:space="0" w:color="000000"/>
              <w:right w:val="single" w:sz="4" w:space="0" w:color="000000"/>
            </w:tcBorders>
            <w:shd w:val="clear" w:color="auto" w:fill="auto"/>
            <w:vAlign w:val="center"/>
            <w:hideMark/>
          </w:tcPr>
          <w:p w14:paraId="5872089B" w14:textId="77777777" w:rsidR="00AA34D8" w:rsidRPr="005376A2" w:rsidRDefault="00AA34D8" w:rsidP="00AA34D8">
            <w:pPr>
              <w:ind w:firstLine="0"/>
              <w:jc w:val="center"/>
              <w:rPr>
                <w:rFonts w:eastAsia="Times New Roman" w:cs="Times New Roman"/>
                <w:color w:val="000000"/>
                <w:szCs w:val="24"/>
                <w:lang w:eastAsia="ru-RU"/>
              </w:rPr>
            </w:pPr>
            <w:r w:rsidRPr="005376A2">
              <w:rPr>
                <w:rFonts w:eastAsia="Times New Roman" w:cs="Times New Roman"/>
                <w:color w:val="000000"/>
                <w:szCs w:val="24"/>
                <w:lang w:eastAsia="ru-RU"/>
              </w:rPr>
              <w:t>0,88</w:t>
            </w:r>
          </w:p>
        </w:tc>
        <w:tc>
          <w:tcPr>
            <w:tcW w:w="652" w:type="pct"/>
            <w:tcBorders>
              <w:top w:val="nil"/>
              <w:left w:val="nil"/>
              <w:bottom w:val="single" w:sz="4" w:space="0" w:color="000000"/>
              <w:right w:val="single" w:sz="4" w:space="0" w:color="000000"/>
            </w:tcBorders>
            <w:shd w:val="clear" w:color="auto" w:fill="auto"/>
            <w:vAlign w:val="center"/>
            <w:hideMark/>
          </w:tcPr>
          <w:p w14:paraId="29C0F75B" w14:textId="77777777" w:rsidR="00AA34D8" w:rsidRPr="005376A2" w:rsidRDefault="00AA34D8" w:rsidP="00AA34D8">
            <w:pPr>
              <w:ind w:firstLine="0"/>
              <w:jc w:val="center"/>
              <w:rPr>
                <w:rFonts w:eastAsia="Times New Roman" w:cs="Times New Roman"/>
                <w:color w:val="000000"/>
                <w:szCs w:val="24"/>
                <w:lang w:eastAsia="ru-RU"/>
              </w:rPr>
            </w:pPr>
            <w:r w:rsidRPr="005376A2">
              <w:rPr>
                <w:rFonts w:eastAsia="Times New Roman" w:cs="Times New Roman"/>
                <w:color w:val="000000"/>
                <w:szCs w:val="24"/>
                <w:lang w:eastAsia="ru-RU"/>
              </w:rPr>
              <w:t>нет</w:t>
            </w:r>
          </w:p>
        </w:tc>
        <w:tc>
          <w:tcPr>
            <w:tcW w:w="2186" w:type="pct"/>
            <w:tcBorders>
              <w:top w:val="nil"/>
              <w:left w:val="nil"/>
              <w:bottom w:val="single" w:sz="4" w:space="0" w:color="auto"/>
              <w:right w:val="single" w:sz="4" w:space="0" w:color="auto"/>
            </w:tcBorders>
            <w:shd w:val="clear" w:color="auto" w:fill="auto"/>
            <w:vAlign w:val="bottom"/>
            <w:hideMark/>
          </w:tcPr>
          <w:p w14:paraId="6ADE17C0" w14:textId="77777777" w:rsidR="00AA34D8" w:rsidRPr="005376A2" w:rsidRDefault="00AA34D8" w:rsidP="00AA34D8">
            <w:pPr>
              <w:ind w:firstLine="0"/>
              <w:jc w:val="left"/>
              <w:rPr>
                <w:rFonts w:eastAsia="Times New Roman" w:cs="Times New Roman"/>
                <w:color w:val="000000"/>
                <w:szCs w:val="24"/>
                <w:lang w:eastAsia="ru-RU"/>
              </w:rPr>
            </w:pPr>
            <w:r w:rsidRPr="005376A2">
              <w:rPr>
                <w:rFonts w:eastAsia="Times New Roman" w:cs="Times New Roman"/>
                <w:color w:val="000000"/>
                <w:szCs w:val="24"/>
                <w:lang w:eastAsia="ru-RU"/>
              </w:rPr>
              <w:t>Направленность корреляционной зависимости между ценообразующим фактором и удельной ценой объектов-аналогов не соответствует экономической гипотезе о наблюдаемом на рынке характере влияния данного фактора на зависимую переменную</w:t>
            </w:r>
          </w:p>
        </w:tc>
      </w:tr>
    </w:tbl>
    <w:p w14:paraId="226E0769" w14:textId="379BA287" w:rsidR="00AA34D8" w:rsidRDefault="00AA34D8" w:rsidP="00727235"/>
    <w:p w14:paraId="68B6F7B9" w14:textId="77777777" w:rsidR="005376A2" w:rsidRDefault="005376A2" w:rsidP="00727235"/>
    <w:p w14:paraId="4FF2BE49" w14:textId="325E3536" w:rsidR="00F154AB" w:rsidRDefault="00F154AB" w:rsidP="00727235">
      <w:pPr>
        <w:rPr>
          <w:rFonts w:eastAsia="Times New Roman" w:cs="Times New Roman"/>
          <w:bCs/>
          <w:color w:val="000000"/>
          <w:szCs w:val="24"/>
          <w:lang w:eastAsia="ru-RU"/>
        </w:rPr>
      </w:pPr>
      <w:r w:rsidRPr="00727235">
        <w:rPr>
          <w:lang w:eastAsia="ru-RU"/>
        </w:rPr>
        <w:t xml:space="preserve">Таблица </w:t>
      </w:r>
      <w:r w:rsidRPr="00727235">
        <w:rPr>
          <w:lang w:eastAsia="ru-RU"/>
        </w:rPr>
        <w:fldChar w:fldCharType="begin"/>
      </w:r>
      <w:r w:rsidRPr="00727235">
        <w:rPr>
          <w:lang w:eastAsia="ru-RU"/>
        </w:rPr>
        <w:instrText xml:space="preserve"> SEQ Таблица \* ARABIC </w:instrText>
      </w:r>
      <w:r w:rsidRPr="00727235">
        <w:rPr>
          <w:lang w:eastAsia="ru-RU"/>
        </w:rPr>
        <w:fldChar w:fldCharType="separate"/>
      </w:r>
      <w:r w:rsidR="00FD2769">
        <w:rPr>
          <w:noProof/>
          <w:lang w:eastAsia="ru-RU"/>
        </w:rPr>
        <w:t>51</w:t>
      </w:r>
      <w:r w:rsidRPr="00727235">
        <w:rPr>
          <w:lang w:eastAsia="ru-RU"/>
        </w:rPr>
        <w:fldChar w:fldCharType="end"/>
      </w:r>
      <w:r w:rsidRPr="00F154AB">
        <w:rPr>
          <w:rFonts w:eastAsia="Times New Roman" w:cs="Times New Roman"/>
          <w:b/>
          <w:bCs/>
          <w:color w:val="000000"/>
          <w:szCs w:val="24"/>
          <w:lang w:eastAsia="ru-RU"/>
        </w:rPr>
        <w:t xml:space="preserve"> </w:t>
      </w:r>
      <w:r w:rsidRPr="00F154AB">
        <w:rPr>
          <w:rFonts w:eastAsia="Times New Roman" w:cs="Times New Roman"/>
          <w:bCs/>
          <w:color w:val="000000"/>
          <w:szCs w:val="24"/>
          <w:lang w:eastAsia="ru-RU"/>
        </w:rPr>
        <w:t>Факторы стоимости, выбранные для построения моделей группы "1. Многоквартирные дома (дома средне- и многоэтажной жилой застройки)", подгруппа "</w:t>
      </w:r>
      <w:r w:rsidR="000470FD">
        <w:rPr>
          <w:rFonts w:eastAsia="Times New Roman" w:cs="Times New Roman"/>
          <w:bCs/>
          <w:color w:val="000000"/>
          <w:szCs w:val="24"/>
          <w:lang w:eastAsia="ru-RU"/>
        </w:rPr>
        <w:t>Помещения г.Якутск с п/х до 60 кв.м. 1.8</w:t>
      </w:r>
      <w:r w:rsidRPr="00F154AB">
        <w:rPr>
          <w:rFonts w:eastAsia="Times New Roman" w:cs="Times New Roman"/>
          <w:bCs/>
          <w:color w:val="000000"/>
          <w:szCs w:val="24"/>
          <w:lang w:eastAsia="ru-RU"/>
        </w:rPr>
        <w:t>". Тип расчета: по удельной стоимости.</w:t>
      </w:r>
    </w:p>
    <w:p w14:paraId="25D5C838" w14:textId="244641DC" w:rsidR="00F154AB" w:rsidRDefault="00F154AB" w:rsidP="00727235"/>
    <w:tbl>
      <w:tblPr>
        <w:tblW w:w="5000" w:type="pct"/>
        <w:tblLook w:val="04A0" w:firstRow="1" w:lastRow="0" w:firstColumn="1" w:lastColumn="0" w:noHBand="0" w:noVBand="1"/>
      </w:tblPr>
      <w:tblGrid>
        <w:gridCol w:w="540"/>
        <w:gridCol w:w="3110"/>
        <w:gridCol w:w="1636"/>
        <w:gridCol w:w="1636"/>
        <w:gridCol w:w="1772"/>
        <w:gridCol w:w="5866"/>
      </w:tblGrid>
      <w:tr w:rsidR="00F154AB" w:rsidRPr="00F154AB" w14:paraId="2A90FE1F" w14:textId="77777777" w:rsidTr="00F154AB">
        <w:trPr>
          <w:trHeight w:val="1560"/>
          <w:tblHeader/>
        </w:trPr>
        <w:tc>
          <w:tcPr>
            <w:tcW w:w="138"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605F0519" w14:textId="77777777" w:rsidR="00F154AB" w:rsidRPr="00F154AB" w:rsidRDefault="00F154AB" w:rsidP="00F154AB">
            <w:pPr>
              <w:ind w:firstLine="0"/>
              <w:jc w:val="center"/>
              <w:rPr>
                <w:rFonts w:eastAsia="Times New Roman" w:cs="Times New Roman"/>
                <w:color w:val="000000"/>
                <w:szCs w:val="24"/>
                <w:lang w:eastAsia="ru-RU"/>
              </w:rPr>
            </w:pPr>
            <w:r w:rsidRPr="00F154AB">
              <w:rPr>
                <w:rFonts w:eastAsia="Times New Roman" w:cs="Times New Roman"/>
                <w:color w:val="000000"/>
                <w:szCs w:val="24"/>
                <w:lang w:eastAsia="ru-RU"/>
              </w:rPr>
              <w:t>№ п/п</w:t>
            </w:r>
          </w:p>
        </w:tc>
        <w:tc>
          <w:tcPr>
            <w:tcW w:w="1169" w:type="pct"/>
            <w:tcBorders>
              <w:top w:val="single" w:sz="4" w:space="0" w:color="000000"/>
              <w:left w:val="nil"/>
              <w:bottom w:val="single" w:sz="4" w:space="0" w:color="000000"/>
              <w:right w:val="single" w:sz="4" w:space="0" w:color="000000"/>
            </w:tcBorders>
            <w:shd w:val="clear" w:color="auto" w:fill="auto"/>
            <w:vAlign w:val="center"/>
            <w:hideMark/>
          </w:tcPr>
          <w:p w14:paraId="38537576" w14:textId="77777777" w:rsidR="00F154AB" w:rsidRPr="00F154AB" w:rsidRDefault="00F154AB" w:rsidP="00F154AB">
            <w:pPr>
              <w:ind w:firstLine="0"/>
              <w:jc w:val="center"/>
              <w:rPr>
                <w:rFonts w:eastAsia="Times New Roman" w:cs="Times New Roman"/>
                <w:color w:val="000000"/>
                <w:szCs w:val="24"/>
                <w:lang w:eastAsia="ru-RU"/>
              </w:rPr>
            </w:pPr>
            <w:r w:rsidRPr="00F154AB">
              <w:rPr>
                <w:rFonts w:eastAsia="Times New Roman" w:cs="Times New Roman"/>
                <w:color w:val="000000"/>
                <w:szCs w:val="24"/>
                <w:lang w:eastAsia="ru-RU"/>
              </w:rPr>
              <w:t>Наименование фактора стоимости</w:t>
            </w:r>
          </w:p>
        </w:tc>
        <w:tc>
          <w:tcPr>
            <w:tcW w:w="450" w:type="pct"/>
            <w:tcBorders>
              <w:top w:val="single" w:sz="4" w:space="0" w:color="000000"/>
              <w:left w:val="nil"/>
              <w:bottom w:val="single" w:sz="4" w:space="0" w:color="000000"/>
              <w:right w:val="single" w:sz="4" w:space="0" w:color="000000"/>
            </w:tcBorders>
            <w:shd w:val="clear" w:color="auto" w:fill="auto"/>
            <w:vAlign w:val="center"/>
            <w:hideMark/>
          </w:tcPr>
          <w:p w14:paraId="74CE007D" w14:textId="77777777" w:rsidR="00F154AB" w:rsidRPr="00F154AB" w:rsidRDefault="00F154AB" w:rsidP="00F154AB">
            <w:pPr>
              <w:ind w:firstLine="0"/>
              <w:jc w:val="center"/>
              <w:rPr>
                <w:rFonts w:eastAsia="Times New Roman" w:cs="Times New Roman"/>
                <w:color w:val="000000"/>
                <w:szCs w:val="24"/>
                <w:lang w:eastAsia="ru-RU"/>
              </w:rPr>
            </w:pPr>
            <w:r w:rsidRPr="00F154AB">
              <w:rPr>
                <w:rFonts w:eastAsia="Times New Roman" w:cs="Times New Roman"/>
                <w:color w:val="000000"/>
                <w:szCs w:val="24"/>
                <w:lang w:eastAsia="ru-RU"/>
              </w:rPr>
              <w:t>Коэффициент корреляции, r</w:t>
            </w:r>
          </w:p>
        </w:tc>
        <w:tc>
          <w:tcPr>
            <w:tcW w:w="419" w:type="pct"/>
            <w:tcBorders>
              <w:top w:val="single" w:sz="4" w:space="0" w:color="000000"/>
              <w:left w:val="nil"/>
              <w:bottom w:val="single" w:sz="4" w:space="0" w:color="000000"/>
              <w:right w:val="single" w:sz="4" w:space="0" w:color="000000"/>
            </w:tcBorders>
            <w:shd w:val="clear" w:color="auto" w:fill="auto"/>
            <w:vAlign w:val="center"/>
            <w:hideMark/>
          </w:tcPr>
          <w:p w14:paraId="1DF5A656" w14:textId="77777777" w:rsidR="00F154AB" w:rsidRPr="00F154AB" w:rsidRDefault="00F154AB" w:rsidP="00F154AB">
            <w:pPr>
              <w:ind w:firstLine="0"/>
              <w:jc w:val="center"/>
              <w:rPr>
                <w:rFonts w:eastAsia="Times New Roman" w:cs="Times New Roman"/>
                <w:color w:val="000000"/>
                <w:szCs w:val="24"/>
                <w:lang w:eastAsia="ru-RU"/>
              </w:rPr>
            </w:pPr>
            <w:r w:rsidRPr="00F154AB">
              <w:rPr>
                <w:rFonts w:eastAsia="Times New Roman" w:cs="Times New Roman"/>
                <w:color w:val="000000"/>
                <w:szCs w:val="24"/>
                <w:lang w:eastAsia="ru-RU"/>
              </w:rPr>
              <w:t>Коэффициент значимости, R</w:t>
            </w:r>
          </w:p>
        </w:tc>
        <w:tc>
          <w:tcPr>
            <w:tcW w:w="663" w:type="pct"/>
            <w:tcBorders>
              <w:top w:val="single" w:sz="4" w:space="0" w:color="000000"/>
              <w:left w:val="nil"/>
              <w:bottom w:val="single" w:sz="4" w:space="0" w:color="000000"/>
              <w:right w:val="single" w:sz="4" w:space="0" w:color="000000"/>
            </w:tcBorders>
            <w:shd w:val="clear" w:color="auto" w:fill="auto"/>
            <w:vAlign w:val="center"/>
            <w:hideMark/>
          </w:tcPr>
          <w:p w14:paraId="73FAEC82" w14:textId="77777777" w:rsidR="00F154AB" w:rsidRPr="00F154AB" w:rsidRDefault="00F154AB" w:rsidP="00F154AB">
            <w:pPr>
              <w:ind w:firstLine="0"/>
              <w:jc w:val="center"/>
              <w:rPr>
                <w:rFonts w:eastAsia="Times New Roman" w:cs="Times New Roman"/>
                <w:color w:val="000000"/>
                <w:szCs w:val="24"/>
                <w:lang w:eastAsia="ru-RU"/>
              </w:rPr>
            </w:pPr>
            <w:r w:rsidRPr="00F154AB">
              <w:rPr>
                <w:rFonts w:eastAsia="Times New Roman" w:cs="Times New Roman"/>
                <w:color w:val="000000"/>
                <w:szCs w:val="24"/>
                <w:lang w:eastAsia="ru-RU"/>
              </w:rPr>
              <w:t>Использование фактора для построения модели (да/нет)</w:t>
            </w:r>
          </w:p>
        </w:tc>
        <w:tc>
          <w:tcPr>
            <w:tcW w:w="2161" w:type="pct"/>
            <w:tcBorders>
              <w:top w:val="single" w:sz="4" w:space="0" w:color="000000"/>
              <w:left w:val="nil"/>
              <w:bottom w:val="single" w:sz="4" w:space="0" w:color="000000"/>
              <w:right w:val="single" w:sz="4" w:space="0" w:color="000000"/>
            </w:tcBorders>
            <w:shd w:val="clear" w:color="auto" w:fill="auto"/>
            <w:vAlign w:val="center"/>
            <w:hideMark/>
          </w:tcPr>
          <w:p w14:paraId="7C502B10" w14:textId="77777777" w:rsidR="00F154AB" w:rsidRPr="00F154AB" w:rsidRDefault="00F154AB" w:rsidP="00F154AB">
            <w:pPr>
              <w:ind w:firstLine="0"/>
              <w:jc w:val="center"/>
              <w:rPr>
                <w:rFonts w:eastAsia="Times New Roman" w:cs="Times New Roman"/>
                <w:color w:val="000000"/>
                <w:szCs w:val="24"/>
                <w:lang w:eastAsia="ru-RU"/>
              </w:rPr>
            </w:pPr>
            <w:r w:rsidRPr="00F154AB">
              <w:rPr>
                <w:rFonts w:eastAsia="Times New Roman" w:cs="Times New Roman"/>
                <w:color w:val="000000"/>
                <w:szCs w:val="24"/>
                <w:lang w:eastAsia="ru-RU"/>
              </w:rPr>
              <w:t>Пояснения по применению ценообразующего фактора для построения модели</w:t>
            </w:r>
          </w:p>
        </w:tc>
      </w:tr>
      <w:tr w:rsidR="00F154AB" w:rsidRPr="00F154AB" w14:paraId="707B8935" w14:textId="77777777" w:rsidTr="00F154AB">
        <w:trPr>
          <w:trHeight w:val="360"/>
        </w:trPr>
        <w:tc>
          <w:tcPr>
            <w:tcW w:w="138" w:type="pct"/>
            <w:tcBorders>
              <w:top w:val="nil"/>
              <w:left w:val="single" w:sz="4" w:space="0" w:color="000000"/>
              <w:bottom w:val="single" w:sz="4" w:space="0" w:color="000000"/>
              <w:right w:val="single" w:sz="4" w:space="0" w:color="000000"/>
            </w:tcBorders>
            <w:shd w:val="clear" w:color="auto" w:fill="auto"/>
            <w:vAlign w:val="center"/>
            <w:hideMark/>
          </w:tcPr>
          <w:p w14:paraId="1771C81A" w14:textId="77777777" w:rsidR="00F154AB" w:rsidRPr="00F154AB" w:rsidRDefault="00F154AB" w:rsidP="00F154AB">
            <w:pPr>
              <w:ind w:firstLine="0"/>
              <w:jc w:val="center"/>
              <w:rPr>
                <w:rFonts w:eastAsia="Times New Roman" w:cs="Times New Roman"/>
                <w:color w:val="000000"/>
                <w:szCs w:val="24"/>
                <w:lang w:eastAsia="ru-RU"/>
              </w:rPr>
            </w:pPr>
            <w:r w:rsidRPr="00F154AB">
              <w:rPr>
                <w:rFonts w:eastAsia="Times New Roman" w:cs="Times New Roman"/>
                <w:color w:val="000000"/>
                <w:szCs w:val="24"/>
                <w:lang w:eastAsia="ru-RU"/>
              </w:rPr>
              <w:t>1</w:t>
            </w:r>
          </w:p>
        </w:tc>
        <w:tc>
          <w:tcPr>
            <w:tcW w:w="1169" w:type="pct"/>
            <w:tcBorders>
              <w:top w:val="nil"/>
              <w:left w:val="nil"/>
              <w:bottom w:val="single" w:sz="4" w:space="0" w:color="000000"/>
              <w:right w:val="single" w:sz="4" w:space="0" w:color="000000"/>
            </w:tcBorders>
            <w:shd w:val="clear" w:color="auto" w:fill="auto"/>
            <w:vAlign w:val="center"/>
            <w:hideMark/>
          </w:tcPr>
          <w:p w14:paraId="031642F3" w14:textId="77777777" w:rsidR="00F154AB" w:rsidRPr="00F154AB" w:rsidRDefault="00F154AB" w:rsidP="00F154AB">
            <w:pPr>
              <w:ind w:firstLine="0"/>
              <w:jc w:val="center"/>
              <w:rPr>
                <w:rFonts w:eastAsia="Times New Roman" w:cs="Times New Roman"/>
                <w:color w:val="000000"/>
                <w:szCs w:val="24"/>
                <w:lang w:eastAsia="ru-RU"/>
              </w:rPr>
            </w:pPr>
            <w:r w:rsidRPr="00F154AB">
              <w:rPr>
                <w:rFonts w:eastAsia="Times New Roman" w:cs="Times New Roman"/>
                <w:color w:val="000000"/>
                <w:szCs w:val="24"/>
                <w:lang w:eastAsia="ru-RU"/>
              </w:rPr>
              <w:t>2</w:t>
            </w:r>
          </w:p>
        </w:tc>
        <w:tc>
          <w:tcPr>
            <w:tcW w:w="450" w:type="pct"/>
            <w:tcBorders>
              <w:top w:val="nil"/>
              <w:left w:val="nil"/>
              <w:bottom w:val="single" w:sz="4" w:space="0" w:color="000000"/>
              <w:right w:val="single" w:sz="4" w:space="0" w:color="000000"/>
            </w:tcBorders>
            <w:shd w:val="clear" w:color="auto" w:fill="auto"/>
            <w:vAlign w:val="center"/>
            <w:hideMark/>
          </w:tcPr>
          <w:p w14:paraId="08130BEB" w14:textId="77777777" w:rsidR="00F154AB" w:rsidRPr="00F154AB" w:rsidRDefault="00F154AB" w:rsidP="00F154AB">
            <w:pPr>
              <w:ind w:firstLine="0"/>
              <w:jc w:val="center"/>
              <w:rPr>
                <w:rFonts w:eastAsia="Times New Roman" w:cs="Times New Roman"/>
                <w:color w:val="000000"/>
                <w:szCs w:val="24"/>
                <w:lang w:eastAsia="ru-RU"/>
              </w:rPr>
            </w:pPr>
            <w:r w:rsidRPr="00F154AB">
              <w:rPr>
                <w:rFonts w:eastAsia="Times New Roman" w:cs="Times New Roman"/>
                <w:color w:val="000000"/>
                <w:szCs w:val="24"/>
                <w:lang w:eastAsia="ru-RU"/>
              </w:rPr>
              <w:t>3</w:t>
            </w:r>
          </w:p>
        </w:tc>
        <w:tc>
          <w:tcPr>
            <w:tcW w:w="419" w:type="pct"/>
            <w:tcBorders>
              <w:top w:val="nil"/>
              <w:left w:val="nil"/>
              <w:bottom w:val="single" w:sz="4" w:space="0" w:color="000000"/>
              <w:right w:val="single" w:sz="4" w:space="0" w:color="000000"/>
            </w:tcBorders>
            <w:shd w:val="clear" w:color="auto" w:fill="auto"/>
            <w:vAlign w:val="center"/>
            <w:hideMark/>
          </w:tcPr>
          <w:p w14:paraId="5DBCED38" w14:textId="77777777" w:rsidR="00F154AB" w:rsidRPr="00F154AB" w:rsidRDefault="00F154AB" w:rsidP="00F154AB">
            <w:pPr>
              <w:ind w:firstLine="0"/>
              <w:jc w:val="center"/>
              <w:rPr>
                <w:rFonts w:eastAsia="Times New Roman" w:cs="Times New Roman"/>
                <w:color w:val="000000"/>
                <w:szCs w:val="24"/>
                <w:lang w:eastAsia="ru-RU"/>
              </w:rPr>
            </w:pPr>
            <w:r w:rsidRPr="00F154AB">
              <w:rPr>
                <w:rFonts w:eastAsia="Times New Roman" w:cs="Times New Roman"/>
                <w:color w:val="000000"/>
                <w:szCs w:val="24"/>
                <w:lang w:eastAsia="ru-RU"/>
              </w:rPr>
              <w:t>4</w:t>
            </w:r>
          </w:p>
        </w:tc>
        <w:tc>
          <w:tcPr>
            <w:tcW w:w="663" w:type="pct"/>
            <w:tcBorders>
              <w:top w:val="nil"/>
              <w:left w:val="nil"/>
              <w:bottom w:val="single" w:sz="4" w:space="0" w:color="000000"/>
              <w:right w:val="single" w:sz="4" w:space="0" w:color="000000"/>
            </w:tcBorders>
            <w:shd w:val="clear" w:color="auto" w:fill="auto"/>
            <w:vAlign w:val="center"/>
            <w:hideMark/>
          </w:tcPr>
          <w:p w14:paraId="33E56CAE" w14:textId="77777777" w:rsidR="00F154AB" w:rsidRPr="00F154AB" w:rsidRDefault="00F154AB" w:rsidP="00F154AB">
            <w:pPr>
              <w:ind w:firstLine="0"/>
              <w:jc w:val="center"/>
              <w:rPr>
                <w:rFonts w:eastAsia="Times New Roman" w:cs="Times New Roman"/>
                <w:color w:val="000000"/>
                <w:szCs w:val="24"/>
                <w:lang w:eastAsia="ru-RU"/>
              </w:rPr>
            </w:pPr>
            <w:r w:rsidRPr="00F154AB">
              <w:rPr>
                <w:rFonts w:eastAsia="Times New Roman" w:cs="Times New Roman"/>
                <w:color w:val="000000"/>
                <w:szCs w:val="24"/>
                <w:lang w:eastAsia="ru-RU"/>
              </w:rPr>
              <w:t>5</w:t>
            </w:r>
          </w:p>
        </w:tc>
        <w:tc>
          <w:tcPr>
            <w:tcW w:w="2161" w:type="pct"/>
            <w:tcBorders>
              <w:top w:val="nil"/>
              <w:left w:val="nil"/>
              <w:bottom w:val="single" w:sz="4" w:space="0" w:color="000000"/>
              <w:right w:val="single" w:sz="4" w:space="0" w:color="000000"/>
            </w:tcBorders>
            <w:shd w:val="clear" w:color="auto" w:fill="auto"/>
            <w:vAlign w:val="center"/>
            <w:hideMark/>
          </w:tcPr>
          <w:p w14:paraId="0387169F" w14:textId="77777777" w:rsidR="00F154AB" w:rsidRPr="00F154AB" w:rsidRDefault="00F154AB" w:rsidP="00F154AB">
            <w:pPr>
              <w:ind w:firstLine="0"/>
              <w:jc w:val="center"/>
              <w:rPr>
                <w:rFonts w:eastAsia="Times New Roman" w:cs="Times New Roman"/>
                <w:color w:val="000000"/>
                <w:szCs w:val="24"/>
                <w:lang w:eastAsia="ru-RU"/>
              </w:rPr>
            </w:pPr>
            <w:r w:rsidRPr="00F154AB">
              <w:rPr>
                <w:rFonts w:eastAsia="Times New Roman" w:cs="Times New Roman"/>
                <w:color w:val="000000"/>
                <w:szCs w:val="24"/>
                <w:lang w:eastAsia="ru-RU"/>
              </w:rPr>
              <w:t>6</w:t>
            </w:r>
          </w:p>
        </w:tc>
      </w:tr>
      <w:tr w:rsidR="00F154AB" w:rsidRPr="00F154AB" w14:paraId="6854FE3D" w14:textId="77777777" w:rsidTr="00F154AB">
        <w:trPr>
          <w:trHeight w:val="630"/>
        </w:trPr>
        <w:tc>
          <w:tcPr>
            <w:tcW w:w="138" w:type="pct"/>
            <w:tcBorders>
              <w:top w:val="nil"/>
              <w:left w:val="single" w:sz="4" w:space="0" w:color="000000"/>
              <w:bottom w:val="single" w:sz="4" w:space="0" w:color="000000"/>
              <w:right w:val="single" w:sz="4" w:space="0" w:color="000000"/>
            </w:tcBorders>
            <w:shd w:val="clear" w:color="auto" w:fill="auto"/>
            <w:vAlign w:val="center"/>
            <w:hideMark/>
          </w:tcPr>
          <w:p w14:paraId="4E4B9FFA" w14:textId="77777777" w:rsidR="00F154AB" w:rsidRPr="00F154AB" w:rsidRDefault="00F154AB" w:rsidP="00F154AB">
            <w:pPr>
              <w:ind w:firstLine="0"/>
              <w:jc w:val="center"/>
              <w:rPr>
                <w:rFonts w:eastAsia="Times New Roman" w:cs="Times New Roman"/>
                <w:color w:val="000000"/>
                <w:szCs w:val="24"/>
                <w:lang w:eastAsia="ru-RU"/>
              </w:rPr>
            </w:pPr>
            <w:r w:rsidRPr="00F154AB">
              <w:rPr>
                <w:rFonts w:eastAsia="Times New Roman" w:cs="Times New Roman"/>
                <w:color w:val="000000"/>
                <w:szCs w:val="24"/>
                <w:lang w:eastAsia="ru-RU"/>
              </w:rPr>
              <w:t>1</w:t>
            </w:r>
          </w:p>
        </w:tc>
        <w:tc>
          <w:tcPr>
            <w:tcW w:w="1169" w:type="pct"/>
            <w:tcBorders>
              <w:top w:val="nil"/>
              <w:left w:val="nil"/>
              <w:bottom w:val="single" w:sz="4" w:space="0" w:color="000000"/>
              <w:right w:val="single" w:sz="4" w:space="0" w:color="000000"/>
            </w:tcBorders>
            <w:shd w:val="clear" w:color="auto" w:fill="auto"/>
            <w:vAlign w:val="center"/>
            <w:hideMark/>
          </w:tcPr>
          <w:p w14:paraId="46451F0C" w14:textId="77777777" w:rsidR="00F154AB" w:rsidRPr="00F154AB" w:rsidRDefault="00F154AB" w:rsidP="00F154AB">
            <w:pPr>
              <w:ind w:firstLine="0"/>
              <w:jc w:val="center"/>
              <w:rPr>
                <w:rFonts w:eastAsia="Times New Roman" w:cs="Times New Roman"/>
                <w:color w:val="000000"/>
                <w:szCs w:val="24"/>
                <w:lang w:eastAsia="ru-RU"/>
              </w:rPr>
            </w:pPr>
            <w:r w:rsidRPr="00F154AB">
              <w:rPr>
                <w:rFonts w:eastAsia="Times New Roman" w:cs="Times New Roman"/>
                <w:color w:val="000000"/>
                <w:szCs w:val="24"/>
                <w:lang w:eastAsia="ru-RU"/>
              </w:rPr>
              <w:t>Газоснабжение</w:t>
            </w:r>
          </w:p>
        </w:tc>
        <w:tc>
          <w:tcPr>
            <w:tcW w:w="450" w:type="pct"/>
            <w:tcBorders>
              <w:top w:val="nil"/>
              <w:left w:val="nil"/>
              <w:bottom w:val="single" w:sz="4" w:space="0" w:color="000000"/>
              <w:right w:val="single" w:sz="4" w:space="0" w:color="000000"/>
            </w:tcBorders>
            <w:shd w:val="clear" w:color="auto" w:fill="auto"/>
            <w:vAlign w:val="center"/>
            <w:hideMark/>
          </w:tcPr>
          <w:p w14:paraId="64C4F868" w14:textId="77777777" w:rsidR="00F154AB" w:rsidRPr="00F154AB" w:rsidRDefault="00F154AB" w:rsidP="00F154AB">
            <w:pPr>
              <w:ind w:firstLine="0"/>
              <w:jc w:val="center"/>
              <w:rPr>
                <w:rFonts w:eastAsia="Times New Roman" w:cs="Times New Roman"/>
                <w:color w:val="000000"/>
                <w:szCs w:val="24"/>
                <w:lang w:eastAsia="ru-RU"/>
              </w:rPr>
            </w:pPr>
            <w:r w:rsidRPr="00F154AB">
              <w:rPr>
                <w:rFonts w:eastAsia="Times New Roman" w:cs="Times New Roman"/>
                <w:color w:val="000000"/>
                <w:szCs w:val="24"/>
                <w:lang w:eastAsia="ru-RU"/>
              </w:rPr>
              <w:t>0,5</w:t>
            </w:r>
          </w:p>
        </w:tc>
        <w:tc>
          <w:tcPr>
            <w:tcW w:w="419" w:type="pct"/>
            <w:tcBorders>
              <w:top w:val="nil"/>
              <w:left w:val="nil"/>
              <w:bottom w:val="single" w:sz="4" w:space="0" w:color="000000"/>
              <w:right w:val="single" w:sz="4" w:space="0" w:color="000000"/>
            </w:tcBorders>
            <w:shd w:val="clear" w:color="auto" w:fill="auto"/>
            <w:vAlign w:val="center"/>
            <w:hideMark/>
          </w:tcPr>
          <w:p w14:paraId="737AA0F1" w14:textId="77777777" w:rsidR="00F154AB" w:rsidRPr="00F154AB" w:rsidRDefault="00F154AB" w:rsidP="00F154AB">
            <w:pPr>
              <w:ind w:firstLine="0"/>
              <w:jc w:val="center"/>
              <w:rPr>
                <w:rFonts w:eastAsia="Times New Roman" w:cs="Times New Roman"/>
                <w:color w:val="000000"/>
                <w:szCs w:val="24"/>
                <w:lang w:eastAsia="ru-RU"/>
              </w:rPr>
            </w:pPr>
            <w:r w:rsidRPr="00F154AB">
              <w:rPr>
                <w:rFonts w:eastAsia="Times New Roman" w:cs="Times New Roman"/>
                <w:color w:val="000000"/>
                <w:szCs w:val="24"/>
                <w:lang w:eastAsia="ru-RU"/>
              </w:rPr>
              <w:t>0,8</w:t>
            </w:r>
          </w:p>
        </w:tc>
        <w:tc>
          <w:tcPr>
            <w:tcW w:w="663" w:type="pct"/>
            <w:tcBorders>
              <w:top w:val="nil"/>
              <w:left w:val="nil"/>
              <w:bottom w:val="single" w:sz="4" w:space="0" w:color="000000"/>
              <w:right w:val="single" w:sz="4" w:space="0" w:color="000000"/>
            </w:tcBorders>
            <w:shd w:val="clear" w:color="auto" w:fill="auto"/>
            <w:vAlign w:val="center"/>
            <w:hideMark/>
          </w:tcPr>
          <w:p w14:paraId="427D44B9" w14:textId="77777777" w:rsidR="00F154AB" w:rsidRPr="00F154AB" w:rsidRDefault="00F154AB" w:rsidP="00F154AB">
            <w:pPr>
              <w:ind w:firstLine="0"/>
              <w:jc w:val="center"/>
              <w:rPr>
                <w:rFonts w:eastAsia="Times New Roman" w:cs="Times New Roman"/>
                <w:color w:val="000000"/>
                <w:szCs w:val="24"/>
                <w:lang w:eastAsia="ru-RU"/>
              </w:rPr>
            </w:pPr>
            <w:r w:rsidRPr="00F154AB">
              <w:rPr>
                <w:rFonts w:eastAsia="Times New Roman" w:cs="Times New Roman"/>
                <w:color w:val="000000"/>
                <w:szCs w:val="24"/>
                <w:lang w:eastAsia="ru-RU"/>
              </w:rPr>
              <w:t>да</w:t>
            </w:r>
          </w:p>
        </w:tc>
        <w:tc>
          <w:tcPr>
            <w:tcW w:w="2161" w:type="pct"/>
            <w:tcBorders>
              <w:top w:val="nil"/>
              <w:left w:val="nil"/>
              <w:bottom w:val="single" w:sz="4" w:space="0" w:color="000000"/>
              <w:right w:val="single" w:sz="4" w:space="0" w:color="000000"/>
            </w:tcBorders>
            <w:shd w:val="clear" w:color="auto" w:fill="auto"/>
            <w:vAlign w:val="center"/>
            <w:hideMark/>
          </w:tcPr>
          <w:p w14:paraId="5AC23AC2" w14:textId="77777777" w:rsidR="00F154AB" w:rsidRPr="00F154AB" w:rsidRDefault="00F154AB" w:rsidP="00F154AB">
            <w:pPr>
              <w:ind w:firstLine="0"/>
              <w:jc w:val="left"/>
              <w:rPr>
                <w:rFonts w:eastAsia="Times New Roman" w:cs="Times New Roman"/>
                <w:color w:val="000000"/>
                <w:szCs w:val="24"/>
                <w:lang w:eastAsia="ru-RU"/>
              </w:rPr>
            </w:pPr>
            <w:r w:rsidRPr="00F154AB">
              <w:rPr>
                <w:rFonts w:eastAsia="Times New Roman" w:cs="Times New Roman"/>
                <w:color w:val="000000"/>
                <w:szCs w:val="24"/>
                <w:lang w:eastAsia="ru-RU"/>
              </w:rPr>
              <w:t>Ценообразующий фактор соответствует критериям, описанным выше. Данный фактор оказывает существенное влияние на стоимость объектов недвижимости</w:t>
            </w:r>
          </w:p>
        </w:tc>
      </w:tr>
      <w:tr w:rsidR="00F154AB" w:rsidRPr="00F154AB" w14:paraId="79D45C20" w14:textId="77777777" w:rsidTr="00F154AB">
        <w:trPr>
          <w:trHeight w:val="630"/>
        </w:trPr>
        <w:tc>
          <w:tcPr>
            <w:tcW w:w="138" w:type="pct"/>
            <w:tcBorders>
              <w:top w:val="nil"/>
              <w:left w:val="single" w:sz="4" w:space="0" w:color="000000"/>
              <w:bottom w:val="single" w:sz="4" w:space="0" w:color="000000"/>
              <w:right w:val="single" w:sz="4" w:space="0" w:color="000000"/>
            </w:tcBorders>
            <w:shd w:val="clear" w:color="auto" w:fill="auto"/>
            <w:vAlign w:val="center"/>
            <w:hideMark/>
          </w:tcPr>
          <w:p w14:paraId="1FAA5B3B" w14:textId="77777777" w:rsidR="00F154AB" w:rsidRPr="00F154AB" w:rsidRDefault="00F154AB" w:rsidP="00F154AB">
            <w:pPr>
              <w:ind w:firstLine="0"/>
              <w:jc w:val="center"/>
              <w:rPr>
                <w:rFonts w:eastAsia="Times New Roman" w:cs="Times New Roman"/>
                <w:color w:val="000000"/>
                <w:szCs w:val="24"/>
                <w:lang w:eastAsia="ru-RU"/>
              </w:rPr>
            </w:pPr>
            <w:r w:rsidRPr="00F154AB">
              <w:rPr>
                <w:rFonts w:eastAsia="Times New Roman" w:cs="Times New Roman"/>
                <w:color w:val="000000"/>
                <w:szCs w:val="24"/>
                <w:lang w:eastAsia="ru-RU"/>
              </w:rPr>
              <w:t>2</w:t>
            </w:r>
          </w:p>
        </w:tc>
        <w:tc>
          <w:tcPr>
            <w:tcW w:w="1169" w:type="pct"/>
            <w:tcBorders>
              <w:top w:val="nil"/>
              <w:left w:val="nil"/>
              <w:bottom w:val="single" w:sz="4" w:space="0" w:color="000000"/>
              <w:right w:val="single" w:sz="4" w:space="0" w:color="000000"/>
            </w:tcBorders>
            <w:shd w:val="clear" w:color="auto" w:fill="auto"/>
            <w:vAlign w:val="center"/>
            <w:hideMark/>
          </w:tcPr>
          <w:p w14:paraId="657A9D94" w14:textId="77777777" w:rsidR="00F154AB" w:rsidRPr="00F154AB" w:rsidRDefault="00F154AB" w:rsidP="00F154AB">
            <w:pPr>
              <w:ind w:firstLine="0"/>
              <w:jc w:val="center"/>
              <w:rPr>
                <w:rFonts w:eastAsia="Times New Roman" w:cs="Times New Roman"/>
                <w:color w:val="000000"/>
                <w:szCs w:val="24"/>
                <w:lang w:eastAsia="ru-RU"/>
              </w:rPr>
            </w:pPr>
            <w:r w:rsidRPr="00F154AB">
              <w:rPr>
                <w:rFonts w:eastAsia="Times New Roman" w:cs="Times New Roman"/>
                <w:color w:val="000000"/>
                <w:szCs w:val="24"/>
                <w:lang w:eastAsia="ru-RU"/>
              </w:rPr>
              <w:t>Канализация</w:t>
            </w:r>
          </w:p>
        </w:tc>
        <w:tc>
          <w:tcPr>
            <w:tcW w:w="450" w:type="pct"/>
            <w:tcBorders>
              <w:top w:val="nil"/>
              <w:left w:val="nil"/>
              <w:bottom w:val="single" w:sz="4" w:space="0" w:color="000000"/>
              <w:right w:val="single" w:sz="4" w:space="0" w:color="000000"/>
            </w:tcBorders>
            <w:shd w:val="clear" w:color="auto" w:fill="auto"/>
            <w:vAlign w:val="center"/>
            <w:hideMark/>
          </w:tcPr>
          <w:p w14:paraId="2BFC2AFB" w14:textId="77777777" w:rsidR="00F154AB" w:rsidRPr="00F154AB" w:rsidRDefault="00F154AB" w:rsidP="00F154AB">
            <w:pPr>
              <w:ind w:firstLine="0"/>
              <w:jc w:val="center"/>
              <w:rPr>
                <w:rFonts w:eastAsia="Times New Roman" w:cs="Times New Roman"/>
                <w:color w:val="000000"/>
                <w:szCs w:val="24"/>
                <w:lang w:eastAsia="ru-RU"/>
              </w:rPr>
            </w:pPr>
            <w:r w:rsidRPr="00F154AB">
              <w:rPr>
                <w:rFonts w:eastAsia="Times New Roman" w:cs="Times New Roman"/>
                <w:color w:val="000000"/>
                <w:szCs w:val="24"/>
                <w:lang w:eastAsia="ru-RU"/>
              </w:rPr>
              <w:t>0,28</w:t>
            </w:r>
          </w:p>
        </w:tc>
        <w:tc>
          <w:tcPr>
            <w:tcW w:w="419" w:type="pct"/>
            <w:tcBorders>
              <w:top w:val="nil"/>
              <w:left w:val="nil"/>
              <w:bottom w:val="single" w:sz="4" w:space="0" w:color="000000"/>
              <w:right w:val="single" w:sz="4" w:space="0" w:color="000000"/>
            </w:tcBorders>
            <w:shd w:val="clear" w:color="auto" w:fill="auto"/>
            <w:vAlign w:val="center"/>
            <w:hideMark/>
          </w:tcPr>
          <w:p w14:paraId="0409AE76" w14:textId="77777777" w:rsidR="00F154AB" w:rsidRPr="00F154AB" w:rsidRDefault="00F154AB" w:rsidP="00F154AB">
            <w:pPr>
              <w:ind w:firstLine="0"/>
              <w:jc w:val="center"/>
              <w:rPr>
                <w:rFonts w:eastAsia="Times New Roman" w:cs="Times New Roman"/>
                <w:color w:val="000000"/>
                <w:szCs w:val="24"/>
                <w:lang w:eastAsia="ru-RU"/>
              </w:rPr>
            </w:pPr>
            <w:r w:rsidRPr="00F154AB">
              <w:rPr>
                <w:rFonts w:eastAsia="Times New Roman" w:cs="Times New Roman"/>
                <w:color w:val="000000"/>
                <w:szCs w:val="24"/>
                <w:lang w:eastAsia="ru-RU"/>
              </w:rPr>
              <w:t>0,45</w:t>
            </w:r>
          </w:p>
        </w:tc>
        <w:tc>
          <w:tcPr>
            <w:tcW w:w="663" w:type="pct"/>
            <w:tcBorders>
              <w:top w:val="nil"/>
              <w:left w:val="nil"/>
              <w:bottom w:val="single" w:sz="4" w:space="0" w:color="000000"/>
              <w:right w:val="single" w:sz="4" w:space="0" w:color="000000"/>
            </w:tcBorders>
            <w:shd w:val="clear" w:color="auto" w:fill="auto"/>
            <w:vAlign w:val="center"/>
            <w:hideMark/>
          </w:tcPr>
          <w:p w14:paraId="02769F17" w14:textId="77777777" w:rsidR="00F154AB" w:rsidRPr="00F154AB" w:rsidRDefault="00F154AB" w:rsidP="00F154AB">
            <w:pPr>
              <w:ind w:firstLine="0"/>
              <w:jc w:val="center"/>
              <w:rPr>
                <w:rFonts w:eastAsia="Times New Roman" w:cs="Times New Roman"/>
                <w:color w:val="000000"/>
                <w:szCs w:val="24"/>
                <w:lang w:eastAsia="ru-RU"/>
              </w:rPr>
            </w:pPr>
            <w:r w:rsidRPr="00F154AB">
              <w:rPr>
                <w:rFonts w:eastAsia="Times New Roman" w:cs="Times New Roman"/>
                <w:color w:val="000000"/>
                <w:szCs w:val="24"/>
                <w:lang w:eastAsia="ru-RU"/>
              </w:rPr>
              <w:t>нет</w:t>
            </w:r>
          </w:p>
        </w:tc>
        <w:tc>
          <w:tcPr>
            <w:tcW w:w="2161" w:type="pct"/>
            <w:tcBorders>
              <w:top w:val="nil"/>
              <w:left w:val="nil"/>
              <w:bottom w:val="single" w:sz="4" w:space="0" w:color="000000"/>
              <w:right w:val="single" w:sz="4" w:space="0" w:color="000000"/>
            </w:tcBorders>
            <w:shd w:val="clear" w:color="auto" w:fill="auto"/>
            <w:vAlign w:val="center"/>
            <w:hideMark/>
          </w:tcPr>
          <w:p w14:paraId="1BC1EE01" w14:textId="77777777" w:rsidR="00F154AB" w:rsidRPr="00F154AB" w:rsidRDefault="00F154AB" w:rsidP="00F154AB">
            <w:pPr>
              <w:ind w:firstLine="0"/>
              <w:jc w:val="left"/>
              <w:rPr>
                <w:rFonts w:eastAsia="Times New Roman" w:cs="Times New Roman"/>
                <w:color w:val="000000"/>
                <w:szCs w:val="24"/>
                <w:lang w:eastAsia="ru-RU"/>
              </w:rPr>
            </w:pPr>
            <w:r w:rsidRPr="00F154AB">
              <w:rPr>
                <w:rFonts w:eastAsia="Times New Roman" w:cs="Times New Roman"/>
                <w:color w:val="000000"/>
                <w:szCs w:val="24"/>
                <w:lang w:eastAsia="ru-RU"/>
              </w:rPr>
              <w:t>Коэффициент корреляции ценообразующего фактора очень мал и ценообразующий фактор статистически не значим в модели</w:t>
            </w:r>
          </w:p>
        </w:tc>
      </w:tr>
      <w:tr w:rsidR="00F154AB" w:rsidRPr="00F154AB" w14:paraId="2FD18CC2" w14:textId="77777777" w:rsidTr="00F154AB">
        <w:trPr>
          <w:trHeight w:val="630"/>
        </w:trPr>
        <w:tc>
          <w:tcPr>
            <w:tcW w:w="138" w:type="pct"/>
            <w:tcBorders>
              <w:top w:val="nil"/>
              <w:left w:val="single" w:sz="4" w:space="0" w:color="000000"/>
              <w:bottom w:val="single" w:sz="4" w:space="0" w:color="000000"/>
              <w:right w:val="single" w:sz="4" w:space="0" w:color="000000"/>
            </w:tcBorders>
            <w:shd w:val="clear" w:color="auto" w:fill="auto"/>
            <w:vAlign w:val="center"/>
            <w:hideMark/>
          </w:tcPr>
          <w:p w14:paraId="62DF3E92" w14:textId="77777777" w:rsidR="00F154AB" w:rsidRPr="00F154AB" w:rsidRDefault="00F154AB" w:rsidP="00F154AB">
            <w:pPr>
              <w:ind w:firstLine="0"/>
              <w:jc w:val="center"/>
              <w:rPr>
                <w:rFonts w:eastAsia="Times New Roman" w:cs="Times New Roman"/>
                <w:color w:val="000000"/>
                <w:szCs w:val="24"/>
                <w:lang w:eastAsia="ru-RU"/>
              </w:rPr>
            </w:pPr>
            <w:r w:rsidRPr="00F154AB">
              <w:rPr>
                <w:rFonts w:eastAsia="Times New Roman" w:cs="Times New Roman"/>
                <w:color w:val="000000"/>
                <w:szCs w:val="24"/>
                <w:lang w:eastAsia="ru-RU"/>
              </w:rPr>
              <w:t>3</w:t>
            </w:r>
          </w:p>
        </w:tc>
        <w:tc>
          <w:tcPr>
            <w:tcW w:w="1169" w:type="pct"/>
            <w:tcBorders>
              <w:top w:val="nil"/>
              <w:left w:val="nil"/>
              <w:bottom w:val="single" w:sz="4" w:space="0" w:color="000000"/>
              <w:right w:val="single" w:sz="4" w:space="0" w:color="000000"/>
            </w:tcBorders>
            <w:shd w:val="clear" w:color="auto" w:fill="auto"/>
            <w:vAlign w:val="center"/>
            <w:hideMark/>
          </w:tcPr>
          <w:p w14:paraId="29704620" w14:textId="77777777" w:rsidR="00F154AB" w:rsidRPr="00F154AB" w:rsidRDefault="00F154AB" w:rsidP="00F154AB">
            <w:pPr>
              <w:ind w:firstLine="0"/>
              <w:jc w:val="center"/>
              <w:rPr>
                <w:rFonts w:eastAsia="Times New Roman" w:cs="Times New Roman"/>
                <w:color w:val="000000"/>
                <w:szCs w:val="24"/>
                <w:lang w:eastAsia="ru-RU"/>
              </w:rPr>
            </w:pPr>
            <w:r w:rsidRPr="00F154AB">
              <w:rPr>
                <w:rFonts w:eastAsia="Times New Roman" w:cs="Times New Roman"/>
                <w:color w:val="000000"/>
                <w:szCs w:val="24"/>
                <w:lang w:eastAsia="ru-RU"/>
              </w:rPr>
              <w:t>Материал стен</w:t>
            </w:r>
          </w:p>
        </w:tc>
        <w:tc>
          <w:tcPr>
            <w:tcW w:w="450" w:type="pct"/>
            <w:tcBorders>
              <w:top w:val="nil"/>
              <w:left w:val="nil"/>
              <w:bottom w:val="single" w:sz="4" w:space="0" w:color="000000"/>
              <w:right w:val="single" w:sz="4" w:space="0" w:color="000000"/>
            </w:tcBorders>
            <w:shd w:val="clear" w:color="auto" w:fill="auto"/>
            <w:vAlign w:val="center"/>
            <w:hideMark/>
          </w:tcPr>
          <w:p w14:paraId="533F005B" w14:textId="77777777" w:rsidR="00F154AB" w:rsidRPr="00F154AB" w:rsidRDefault="00F154AB" w:rsidP="00F154AB">
            <w:pPr>
              <w:ind w:firstLine="0"/>
              <w:jc w:val="center"/>
              <w:rPr>
                <w:rFonts w:eastAsia="Times New Roman" w:cs="Times New Roman"/>
                <w:color w:val="000000"/>
                <w:szCs w:val="24"/>
                <w:lang w:eastAsia="ru-RU"/>
              </w:rPr>
            </w:pPr>
            <w:r w:rsidRPr="00F154AB">
              <w:rPr>
                <w:rFonts w:eastAsia="Times New Roman" w:cs="Times New Roman"/>
                <w:color w:val="000000"/>
                <w:szCs w:val="24"/>
                <w:lang w:eastAsia="ru-RU"/>
              </w:rPr>
              <w:t>0,33</w:t>
            </w:r>
          </w:p>
        </w:tc>
        <w:tc>
          <w:tcPr>
            <w:tcW w:w="419" w:type="pct"/>
            <w:tcBorders>
              <w:top w:val="nil"/>
              <w:left w:val="nil"/>
              <w:bottom w:val="single" w:sz="4" w:space="0" w:color="000000"/>
              <w:right w:val="single" w:sz="4" w:space="0" w:color="000000"/>
            </w:tcBorders>
            <w:shd w:val="clear" w:color="auto" w:fill="auto"/>
            <w:vAlign w:val="center"/>
            <w:hideMark/>
          </w:tcPr>
          <w:p w14:paraId="32FD8EE2" w14:textId="77777777" w:rsidR="00F154AB" w:rsidRPr="00F154AB" w:rsidRDefault="00F154AB" w:rsidP="00F154AB">
            <w:pPr>
              <w:ind w:firstLine="0"/>
              <w:jc w:val="center"/>
              <w:rPr>
                <w:rFonts w:eastAsia="Times New Roman" w:cs="Times New Roman"/>
                <w:color w:val="000000"/>
                <w:szCs w:val="24"/>
                <w:lang w:eastAsia="ru-RU"/>
              </w:rPr>
            </w:pPr>
            <w:r w:rsidRPr="00F154AB">
              <w:rPr>
                <w:rFonts w:eastAsia="Times New Roman" w:cs="Times New Roman"/>
                <w:color w:val="000000"/>
                <w:szCs w:val="24"/>
                <w:lang w:eastAsia="ru-RU"/>
              </w:rPr>
              <w:t>0,54</w:t>
            </w:r>
          </w:p>
        </w:tc>
        <w:tc>
          <w:tcPr>
            <w:tcW w:w="663" w:type="pct"/>
            <w:tcBorders>
              <w:top w:val="nil"/>
              <w:left w:val="nil"/>
              <w:bottom w:val="single" w:sz="4" w:space="0" w:color="000000"/>
              <w:right w:val="single" w:sz="4" w:space="0" w:color="000000"/>
            </w:tcBorders>
            <w:shd w:val="clear" w:color="auto" w:fill="auto"/>
            <w:vAlign w:val="center"/>
            <w:hideMark/>
          </w:tcPr>
          <w:p w14:paraId="445F3630" w14:textId="77777777" w:rsidR="00F154AB" w:rsidRPr="00F154AB" w:rsidRDefault="00F154AB" w:rsidP="00F154AB">
            <w:pPr>
              <w:ind w:firstLine="0"/>
              <w:jc w:val="center"/>
              <w:rPr>
                <w:rFonts w:eastAsia="Times New Roman" w:cs="Times New Roman"/>
                <w:color w:val="000000"/>
                <w:szCs w:val="24"/>
                <w:lang w:eastAsia="ru-RU"/>
              </w:rPr>
            </w:pPr>
            <w:r w:rsidRPr="00F154AB">
              <w:rPr>
                <w:rFonts w:eastAsia="Times New Roman" w:cs="Times New Roman"/>
                <w:color w:val="000000"/>
                <w:szCs w:val="24"/>
                <w:lang w:eastAsia="ru-RU"/>
              </w:rPr>
              <w:t>нет</w:t>
            </w:r>
          </w:p>
        </w:tc>
        <w:tc>
          <w:tcPr>
            <w:tcW w:w="2161" w:type="pct"/>
            <w:tcBorders>
              <w:top w:val="nil"/>
              <w:left w:val="nil"/>
              <w:bottom w:val="single" w:sz="4" w:space="0" w:color="000000"/>
              <w:right w:val="single" w:sz="4" w:space="0" w:color="000000"/>
            </w:tcBorders>
            <w:shd w:val="clear" w:color="auto" w:fill="auto"/>
            <w:vAlign w:val="center"/>
            <w:hideMark/>
          </w:tcPr>
          <w:p w14:paraId="13AEB139" w14:textId="77777777" w:rsidR="00F154AB" w:rsidRPr="00F154AB" w:rsidRDefault="00F154AB" w:rsidP="00F154AB">
            <w:pPr>
              <w:ind w:firstLine="0"/>
              <w:jc w:val="left"/>
              <w:rPr>
                <w:rFonts w:eastAsia="Times New Roman" w:cs="Times New Roman"/>
                <w:color w:val="000000"/>
                <w:szCs w:val="24"/>
                <w:lang w:eastAsia="ru-RU"/>
              </w:rPr>
            </w:pPr>
            <w:r w:rsidRPr="00F154AB">
              <w:rPr>
                <w:rFonts w:eastAsia="Times New Roman" w:cs="Times New Roman"/>
                <w:color w:val="000000"/>
                <w:szCs w:val="24"/>
                <w:lang w:eastAsia="ru-RU"/>
              </w:rPr>
              <w:t>Коэффициент корреляции ценообразующего фактора очень мал и ценообразующий фактор статистически не значим в модели</w:t>
            </w:r>
          </w:p>
        </w:tc>
      </w:tr>
      <w:tr w:rsidR="00F154AB" w:rsidRPr="00F154AB" w14:paraId="36DD48CC" w14:textId="77777777" w:rsidTr="00F154AB">
        <w:trPr>
          <w:trHeight w:val="1260"/>
        </w:trPr>
        <w:tc>
          <w:tcPr>
            <w:tcW w:w="138" w:type="pct"/>
            <w:tcBorders>
              <w:top w:val="nil"/>
              <w:left w:val="single" w:sz="4" w:space="0" w:color="000000"/>
              <w:bottom w:val="single" w:sz="4" w:space="0" w:color="000000"/>
              <w:right w:val="single" w:sz="4" w:space="0" w:color="000000"/>
            </w:tcBorders>
            <w:shd w:val="clear" w:color="auto" w:fill="auto"/>
            <w:vAlign w:val="center"/>
            <w:hideMark/>
          </w:tcPr>
          <w:p w14:paraId="1511B908" w14:textId="77777777" w:rsidR="00F154AB" w:rsidRPr="00F154AB" w:rsidRDefault="00F154AB" w:rsidP="00F154AB">
            <w:pPr>
              <w:ind w:firstLine="0"/>
              <w:jc w:val="center"/>
              <w:rPr>
                <w:rFonts w:eastAsia="Times New Roman" w:cs="Times New Roman"/>
                <w:color w:val="000000"/>
                <w:szCs w:val="24"/>
                <w:lang w:eastAsia="ru-RU"/>
              </w:rPr>
            </w:pPr>
            <w:r w:rsidRPr="00F154AB">
              <w:rPr>
                <w:rFonts w:eastAsia="Times New Roman" w:cs="Times New Roman"/>
                <w:color w:val="000000"/>
                <w:szCs w:val="24"/>
                <w:lang w:eastAsia="ru-RU"/>
              </w:rPr>
              <w:t>4</w:t>
            </w:r>
          </w:p>
        </w:tc>
        <w:tc>
          <w:tcPr>
            <w:tcW w:w="1169" w:type="pct"/>
            <w:tcBorders>
              <w:top w:val="nil"/>
              <w:left w:val="nil"/>
              <w:bottom w:val="single" w:sz="4" w:space="0" w:color="000000"/>
              <w:right w:val="single" w:sz="4" w:space="0" w:color="000000"/>
            </w:tcBorders>
            <w:shd w:val="clear" w:color="auto" w:fill="auto"/>
            <w:vAlign w:val="center"/>
            <w:hideMark/>
          </w:tcPr>
          <w:p w14:paraId="63F4377A" w14:textId="77777777" w:rsidR="00F154AB" w:rsidRPr="00F154AB" w:rsidRDefault="00F154AB" w:rsidP="00F154AB">
            <w:pPr>
              <w:ind w:firstLine="0"/>
              <w:jc w:val="center"/>
              <w:rPr>
                <w:rFonts w:eastAsia="Times New Roman" w:cs="Times New Roman"/>
                <w:color w:val="000000"/>
                <w:szCs w:val="24"/>
                <w:lang w:eastAsia="ru-RU"/>
              </w:rPr>
            </w:pPr>
            <w:r w:rsidRPr="00F154AB">
              <w:rPr>
                <w:rFonts w:eastAsia="Times New Roman" w:cs="Times New Roman"/>
                <w:color w:val="000000"/>
                <w:szCs w:val="24"/>
                <w:lang w:eastAsia="ru-RU"/>
              </w:rPr>
              <w:t>Номер этажа</w:t>
            </w:r>
          </w:p>
        </w:tc>
        <w:tc>
          <w:tcPr>
            <w:tcW w:w="450" w:type="pct"/>
            <w:tcBorders>
              <w:top w:val="nil"/>
              <w:left w:val="nil"/>
              <w:bottom w:val="single" w:sz="4" w:space="0" w:color="000000"/>
              <w:right w:val="single" w:sz="4" w:space="0" w:color="000000"/>
            </w:tcBorders>
            <w:shd w:val="clear" w:color="auto" w:fill="auto"/>
            <w:vAlign w:val="center"/>
            <w:hideMark/>
          </w:tcPr>
          <w:p w14:paraId="2B013FC7" w14:textId="77777777" w:rsidR="00F154AB" w:rsidRPr="00F154AB" w:rsidRDefault="00F154AB" w:rsidP="00F154AB">
            <w:pPr>
              <w:ind w:firstLine="0"/>
              <w:jc w:val="center"/>
              <w:rPr>
                <w:rFonts w:eastAsia="Times New Roman" w:cs="Times New Roman"/>
                <w:color w:val="000000"/>
                <w:szCs w:val="24"/>
                <w:lang w:eastAsia="ru-RU"/>
              </w:rPr>
            </w:pPr>
            <w:r w:rsidRPr="00F154AB">
              <w:rPr>
                <w:rFonts w:eastAsia="Times New Roman" w:cs="Times New Roman"/>
                <w:color w:val="000000"/>
                <w:szCs w:val="24"/>
                <w:lang w:eastAsia="ru-RU"/>
              </w:rPr>
              <w:t>0,49</w:t>
            </w:r>
          </w:p>
        </w:tc>
        <w:tc>
          <w:tcPr>
            <w:tcW w:w="419" w:type="pct"/>
            <w:tcBorders>
              <w:top w:val="nil"/>
              <w:left w:val="nil"/>
              <w:bottom w:val="single" w:sz="4" w:space="0" w:color="000000"/>
              <w:right w:val="single" w:sz="4" w:space="0" w:color="000000"/>
            </w:tcBorders>
            <w:shd w:val="clear" w:color="auto" w:fill="auto"/>
            <w:vAlign w:val="center"/>
            <w:hideMark/>
          </w:tcPr>
          <w:p w14:paraId="69F883D1" w14:textId="77777777" w:rsidR="00F154AB" w:rsidRPr="00F154AB" w:rsidRDefault="00F154AB" w:rsidP="00F154AB">
            <w:pPr>
              <w:ind w:firstLine="0"/>
              <w:jc w:val="center"/>
              <w:rPr>
                <w:rFonts w:eastAsia="Times New Roman" w:cs="Times New Roman"/>
                <w:color w:val="000000"/>
                <w:szCs w:val="24"/>
                <w:lang w:eastAsia="ru-RU"/>
              </w:rPr>
            </w:pPr>
            <w:r w:rsidRPr="00F154AB">
              <w:rPr>
                <w:rFonts w:eastAsia="Times New Roman" w:cs="Times New Roman"/>
                <w:color w:val="000000"/>
                <w:szCs w:val="24"/>
                <w:lang w:eastAsia="ru-RU"/>
              </w:rPr>
              <w:t>0,79</w:t>
            </w:r>
          </w:p>
        </w:tc>
        <w:tc>
          <w:tcPr>
            <w:tcW w:w="663" w:type="pct"/>
            <w:tcBorders>
              <w:top w:val="nil"/>
              <w:left w:val="nil"/>
              <w:bottom w:val="single" w:sz="4" w:space="0" w:color="000000"/>
              <w:right w:val="single" w:sz="4" w:space="0" w:color="000000"/>
            </w:tcBorders>
            <w:shd w:val="clear" w:color="auto" w:fill="auto"/>
            <w:vAlign w:val="center"/>
            <w:hideMark/>
          </w:tcPr>
          <w:p w14:paraId="7DE5D08C" w14:textId="77777777" w:rsidR="00F154AB" w:rsidRPr="00F154AB" w:rsidRDefault="00F154AB" w:rsidP="00F154AB">
            <w:pPr>
              <w:ind w:firstLine="0"/>
              <w:jc w:val="center"/>
              <w:rPr>
                <w:rFonts w:eastAsia="Times New Roman" w:cs="Times New Roman"/>
                <w:color w:val="000000"/>
                <w:szCs w:val="24"/>
                <w:lang w:eastAsia="ru-RU"/>
              </w:rPr>
            </w:pPr>
            <w:r w:rsidRPr="00F154AB">
              <w:rPr>
                <w:rFonts w:eastAsia="Times New Roman" w:cs="Times New Roman"/>
                <w:color w:val="000000"/>
                <w:szCs w:val="24"/>
                <w:lang w:eastAsia="ru-RU"/>
              </w:rPr>
              <w:t>нет</w:t>
            </w:r>
          </w:p>
        </w:tc>
        <w:tc>
          <w:tcPr>
            <w:tcW w:w="2161" w:type="pct"/>
            <w:tcBorders>
              <w:top w:val="nil"/>
              <w:left w:val="nil"/>
              <w:bottom w:val="single" w:sz="4" w:space="0" w:color="000000"/>
              <w:right w:val="single" w:sz="4" w:space="0" w:color="000000"/>
            </w:tcBorders>
            <w:shd w:val="clear" w:color="auto" w:fill="auto"/>
            <w:vAlign w:val="center"/>
            <w:hideMark/>
          </w:tcPr>
          <w:p w14:paraId="747E9313" w14:textId="77777777" w:rsidR="00F154AB" w:rsidRPr="00F154AB" w:rsidRDefault="00F154AB" w:rsidP="00F154AB">
            <w:pPr>
              <w:ind w:firstLine="0"/>
              <w:jc w:val="left"/>
              <w:rPr>
                <w:rFonts w:eastAsia="Times New Roman" w:cs="Times New Roman"/>
                <w:color w:val="000000"/>
                <w:szCs w:val="24"/>
                <w:lang w:eastAsia="ru-RU"/>
              </w:rPr>
            </w:pPr>
            <w:r w:rsidRPr="00F154AB">
              <w:rPr>
                <w:rFonts w:eastAsia="Times New Roman" w:cs="Times New Roman"/>
                <w:color w:val="000000"/>
                <w:szCs w:val="24"/>
                <w:lang w:eastAsia="ru-RU"/>
              </w:rPr>
              <w:t>Направленность корреляционной зависимости между ценообразующим фактором и удельной ценой объектов-аналогов не соответствует экономической гипотезе о наблюдаемом на рынке характере влияния данного фактора на зависимую переменную</w:t>
            </w:r>
          </w:p>
        </w:tc>
      </w:tr>
      <w:tr w:rsidR="00F154AB" w:rsidRPr="00F154AB" w14:paraId="7F8DDFDA" w14:textId="77777777" w:rsidTr="00F154AB">
        <w:trPr>
          <w:trHeight w:val="945"/>
        </w:trPr>
        <w:tc>
          <w:tcPr>
            <w:tcW w:w="138" w:type="pct"/>
            <w:tcBorders>
              <w:top w:val="nil"/>
              <w:left w:val="single" w:sz="4" w:space="0" w:color="000000"/>
              <w:bottom w:val="single" w:sz="4" w:space="0" w:color="000000"/>
              <w:right w:val="single" w:sz="4" w:space="0" w:color="000000"/>
            </w:tcBorders>
            <w:shd w:val="clear" w:color="auto" w:fill="auto"/>
            <w:vAlign w:val="center"/>
            <w:hideMark/>
          </w:tcPr>
          <w:p w14:paraId="623E8E8D" w14:textId="77777777" w:rsidR="00F154AB" w:rsidRPr="00F154AB" w:rsidRDefault="00F154AB" w:rsidP="00F154AB">
            <w:pPr>
              <w:ind w:firstLine="0"/>
              <w:jc w:val="center"/>
              <w:rPr>
                <w:rFonts w:eastAsia="Times New Roman" w:cs="Times New Roman"/>
                <w:color w:val="000000"/>
                <w:szCs w:val="24"/>
                <w:lang w:eastAsia="ru-RU"/>
              </w:rPr>
            </w:pPr>
            <w:r w:rsidRPr="00F154AB">
              <w:rPr>
                <w:rFonts w:eastAsia="Times New Roman" w:cs="Times New Roman"/>
                <w:color w:val="000000"/>
                <w:szCs w:val="24"/>
                <w:lang w:eastAsia="ru-RU"/>
              </w:rPr>
              <w:t>5</w:t>
            </w:r>
          </w:p>
        </w:tc>
        <w:tc>
          <w:tcPr>
            <w:tcW w:w="1169" w:type="pct"/>
            <w:tcBorders>
              <w:top w:val="nil"/>
              <w:left w:val="nil"/>
              <w:bottom w:val="single" w:sz="4" w:space="0" w:color="000000"/>
              <w:right w:val="single" w:sz="4" w:space="0" w:color="000000"/>
            </w:tcBorders>
            <w:shd w:val="clear" w:color="auto" w:fill="auto"/>
            <w:vAlign w:val="center"/>
            <w:hideMark/>
          </w:tcPr>
          <w:p w14:paraId="14EFAC43" w14:textId="77777777" w:rsidR="00F154AB" w:rsidRPr="00F154AB" w:rsidRDefault="00F154AB" w:rsidP="00F154AB">
            <w:pPr>
              <w:ind w:firstLine="0"/>
              <w:jc w:val="center"/>
              <w:rPr>
                <w:rFonts w:eastAsia="Times New Roman" w:cs="Times New Roman"/>
                <w:color w:val="000000"/>
                <w:szCs w:val="24"/>
                <w:lang w:eastAsia="ru-RU"/>
              </w:rPr>
            </w:pPr>
            <w:r w:rsidRPr="00F154AB">
              <w:rPr>
                <w:rFonts w:eastAsia="Times New Roman" w:cs="Times New Roman"/>
                <w:color w:val="000000"/>
                <w:szCs w:val="24"/>
                <w:lang w:eastAsia="ru-RU"/>
              </w:rPr>
              <w:t>Расстояние до ближайшей из основных дорог города</w:t>
            </w:r>
          </w:p>
        </w:tc>
        <w:tc>
          <w:tcPr>
            <w:tcW w:w="450" w:type="pct"/>
            <w:tcBorders>
              <w:top w:val="nil"/>
              <w:left w:val="nil"/>
              <w:bottom w:val="single" w:sz="4" w:space="0" w:color="000000"/>
              <w:right w:val="single" w:sz="4" w:space="0" w:color="000000"/>
            </w:tcBorders>
            <w:shd w:val="clear" w:color="auto" w:fill="auto"/>
            <w:vAlign w:val="center"/>
            <w:hideMark/>
          </w:tcPr>
          <w:p w14:paraId="49B0558A" w14:textId="77777777" w:rsidR="00F154AB" w:rsidRPr="00F154AB" w:rsidRDefault="00F154AB" w:rsidP="00F154AB">
            <w:pPr>
              <w:ind w:firstLine="0"/>
              <w:jc w:val="center"/>
              <w:rPr>
                <w:rFonts w:eastAsia="Times New Roman" w:cs="Times New Roman"/>
                <w:color w:val="000000"/>
                <w:szCs w:val="24"/>
                <w:lang w:eastAsia="ru-RU"/>
              </w:rPr>
            </w:pPr>
            <w:r w:rsidRPr="00F154AB">
              <w:rPr>
                <w:rFonts w:eastAsia="Times New Roman" w:cs="Times New Roman"/>
                <w:color w:val="000000"/>
                <w:szCs w:val="24"/>
                <w:lang w:eastAsia="ru-RU"/>
              </w:rPr>
              <w:t>0,53</w:t>
            </w:r>
          </w:p>
        </w:tc>
        <w:tc>
          <w:tcPr>
            <w:tcW w:w="419" w:type="pct"/>
            <w:tcBorders>
              <w:top w:val="nil"/>
              <w:left w:val="nil"/>
              <w:bottom w:val="single" w:sz="4" w:space="0" w:color="000000"/>
              <w:right w:val="single" w:sz="4" w:space="0" w:color="000000"/>
            </w:tcBorders>
            <w:shd w:val="clear" w:color="auto" w:fill="auto"/>
            <w:vAlign w:val="center"/>
            <w:hideMark/>
          </w:tcPr>
          <w:p w14:paraId="0CCE68C0" w14:textId="77777777" w:rsidR="00F154AB" w:rsidRPr="00F154AB" w:rsidRDefault="00F154AB" w:rsidP="00F154AB">
            <w:pPr>
              <w:ind w:firstLine="0"/>
              <w:jc w:val="center"/>
              <w:rPr>
                <w:rFonts w:eastAsia="Times New Roman" w:cs="Times New Roman"/>
                <w:color w:val="000000"/>
                <w:szCs w:val="24"/>
                <w:lang w:eastAsia="ru-RU"/>
              </w:rPr>
            </w:pPr>
            <w:r w:rsidRPr="00F154AB">
              <w:rPr>
                <w:rFonts w:eastAsia="Times New Roman" w:cs="Times New Roman"/>
                <w:color w:val="000000"/>
                <w:szCs w:val="24"/>
                <w:lang w:eastAsia="ru-RU"/>
              </w:rPr>
              <w:t>0,85</w:t>
            </w:r>
          </w:p>
        </w:tc>
        <w:tc>
          <w:tcPr>
            <w:tcW w:w="663" w:type="pct"/>
            <w:tcBorders>
              <w:top w:val="nil"/>
              <w:left w:val="nil"/>
              <w:bottom w:val="single" w:sz="4" w:space="0" w:color="000000"/>
              <w:right w:val="single" w:sz="4" w:space="0" w:color="000000"/>
            </w:tcBorders>
            <w:shd w:val="clear" w:color="auto" w:fill="auto"/>
            <w:vAlign w:val="center"/>
            <w:hideMark/>
          </w:tcPr>
          <w:p w14:paraId="65954A84" w14:textId="77777777" w:rsidR="00F154AB" w:rsidRPr="00F154AB" w:rsidRDefault="00F154AB" w:rsidP="00F154AB">
            <w:pPr>
              <w:ind w:firstLine="0"/>
              <w:jc w:val="center"/>
              <w:rPr>
                <w:rFonts w:eastAsia="Times New Roman" w:cs="Times New Roman"/>
                <w:color w:val="000000"/>
                <w:szCs w:val="24"/>
                <w:lang w:eastAsia="ru-RU"/>
              </w:rPr>
            </w:pPr>
            <w:r w:rsidRPr="00F154AB">
              <w:rPr>
                <w:rFonts w:eastAsia="Times New Roman" w:cs="Times New Roman"/>
                <w:color w:val="000000"/>
                <w:szCs w:val="24"/>
                <w:lang w:eastAsia="ru-RU"/>
              </w:rPr>
              <w:t>нет</w:t>
            </w:r>
          </w:p>
        </w:tc>
        <w:tc>
          <w:tcPr>
            <w:tcW w:w="2161" w:type="pct"/>
            <w:tcBorders>
              <w:top w:val="nil"/>
              <w:left w:val="nil"/>
              <w:bottom w:val="single" w:sz="4" w:space="0" w:color="000000"/>
              <w:right w:val="single" w:sz="4" w:space="0" w:color="000000"/>
            </w:tcBorders>
            <w:shd w:val="clear" w:color="auto" w:fill="auto"/>
            <w:vAlign w:val="center"/>
            <w:hideMark/>
          </w:tcPr>
          <w:p w14:paraId="2B588FB5" w14:textId="77777777" w:rsidR="00F154AB" w:rsidRPr="00F154AB" w:rsidRDefault="00F154AB" w:rsidP="00F154AB">
            <w:pPr>
              <w:ind w:firstLine="0"/>
              <w:jc w:val="left"/>
              <w:rPr>
                <w:rFonts w:eastAsia="Times New Roman" w:cs="Times New Roman"/>
                <w:color w:val="000000"/>
                <w:szCs w:val="24"/>
                <w:lang w:eastAsia="ru-RU"/>
              </w:rPr>
            </w:pPr>
            <w:r w:rsidRPr="00F154AB">
              <w:rPr>
                <w:rFonts w:eastAsia="Times New Roman" w:cs="Times New Roman"/>
                <w:color w:val="000000"/>
                <w:szCs w:val="24"/>
                <w:lang w:eastAsia="ru-RU"/>
              </w:rPr>
              <w:t>Данный ценообразующий фактор сильно коррелирует с прочими ценообразующими факторами, определяющими локальное местоположение объекта</w:t>
            </w:r>
          </w:p>
        </w:tc>
      </w:tr>
      <w:tr w:rsidR="00F154AB" w:rsidRPr="00F154AB" w14:paraId="258EC735" w14:textId="77777777" w:rsidTr="005376A2">
        <w:trPr>
          <w:trHeight w:val="556"/>
        </w:trPr>
        <w:tc>
          <w:tcPr>
            <w:tcW w:w="138" w:type="pct"/>
            <w:tcBorders>
              <w:top w:val="nil"/>
              <w:left w:val="single" w:sz="4" w:space="0" w:color="000000"/>
              <w:bottom w:val="single" w:sz="4" w:space="0" w:color="000000"/>
              <w:right w:val="single" w:sz="4" w:space="0" w:color="000000"/>
            </w:tcBorders>
            <w:shd w:val="clear" w:color="auto" w:fill="auto"/>
            <w:vAlign w:val="center"/>
            <w:hideMark/>
          </w:tcPr>
          <w:p w14:paraId="00D1AAE1" w14:textId="77777777" w:rsidR="00F154AB" w:rsidRPr="00F154AB" w:rsidRDefault="00F154AB" w:rsidP="00F154AB">
            <w:pPr>
              <w:ind w:firstLine="0"/>
              <w:jc w:val="center"/>
              <w:rPr>
                <w:rFonts w:eastAsia="Times New Roman" w:cs="Times New Roman"/>
                <w:color w:val="000000"/>
                <w:szCs w:val="24"/>
                <w:lang w:eastAsia="ru-RU"/>
              </w:rPr>
            </w:pPr>
            <w:r w:rsidRPr="00F154AB">
              <w:rPr>
                <w:rFonts w:eastAsia="Times New Roman" w:cs="Times New Roman"/>
                <w:color w:val="000000"/>
                <w:szCs w:val="24"/>
                <w:lang w:eastAsia="ru-RU"/>
              </w:rPr>
              <w:t>6</w:t>
            </w:r>
          </w:p>
        </w:tc>
        <w:tc>
          <w:tcPr>
            <w:tcW w:w="1169" w:type="pct"/>
            <w:tcBorders>
              <w:top w:val="nil"/>
              <w:left w:val="nil"/>
              <w:bottom w:val="single" w:sz="4" w:space="0" w:color="000000"/>
              <w:right w:val="single" w:sz="4" w:space="0" w:color="000000"/>
            </w:tcBorders>
            <w:shd w:val="clear" w:color="auto" w:fill="auto"/>
            <w:vAlign w:val="center"/>
            <w:hideMark/>
          </w:tcPr>
          <w:p w14:paraId="069536CF" w14:textId="78A2D83C" w:rsidR="00F154AB" w:rsidRPr="00F154AB" w:rsidRDefault="00F154AB" w:rsidP="00F154AB">
            <w:pPr>
              <w:ind w:firstLine="0"/>
              <w:jc w:val="center"/>
              <w:rPr>
                <w:rFonts w:eastAsia="Times New Roman" w:cs="Times New Roman"/>
                <w:color w:val="000000"/>
                <w:szCs w:val="24"/>
                <w:lang w:eastAsia="ru-RU"/>
              </w:rPr>
            </w:pPr>
            <w:r w:rsidRPr="00F154AB">
              <w:rPr>
                <w:rFonts w:eastAsia="Times New Roman" w:cs="Times New Roman"/>
                <w:color w:val="000000"/>
                <w:szCs w:val="24"/>
                <w:lang w:eastAsia="ru-RU"/>
              </w:rPr>
              <w:t>Расстояние до остановок общественного транспорта (в т.ч. автовокзалы, автостанции, автобусные остано</w:t>
            </w:r>
            <w:r w:rsidR="005376A2">
              <w:rPr>
                <w:rFonts w:eastAsia="Times New Roman" w:cs="Times New Roman"/>
                <w:color w:val="000000"/>
                <w:szCs w:val="24"/>
                <w:lang w:eastAsia="ru-RU"/>
              </w:rPr>
              <w:t>вки)</w:t>
            </w:r>
          </w:p>
        </w:tc>
        <w:tc>
          <w:tcPr>
            <w:tcW w:w="450" w:type="pct"/>
            <w:tcBorders>
              <w:top w:val="nil"/>
              <w:left w:val="nil"/>
              <w:bottom w:val="single" w:sz="4" w:space="0" w:color="000000"/>
              <w:right w:val="single" w:sz="4" w:space="0" w:color="000000"/>
            </w:tcBorders>
            <w:shd w:val="clear" w:color="auto" w:fill="auto"/>
            <w:vAlign w:val="center"/>
            <w:hideMark/>
          </w:tcPr>
          <w:p w14:paraId="2564581A" w14:textId="77777777" w:rsidR="00F154AB" w:rsidRPr="00F154AB" w:rsidRDefault="00F154AB" w:rsidP="00F154AB">
            <w:pPr>
              <w:ind w:firstLine="0"/>
              <w:jc w:val="center"/>
              <w:rPr>
                <w:rFonts w:eastAsia="Times New Roman" w:cs="Times New Roman"/>
                <w:color w:val="000000"/>
                <w:szCs w:val="24"/>
                <w:lang w:eastAsia="ru-RU"/>
              </w:rPr>
            </w:pPr>
            <w:r w:rsidRPr="00F154AB">
              <w:rPr>
                <w:rFonts w:eastAsia="Times New Roman" w:cs="Times New Roman"/>
                <w:color w:val="000000"/>
                <w:szCs w:val="24"/>
                <w:lang w:eastAsia="ru-RU"/>
              </w:rPr>
              <w:t>0,4</w:t>
            </w:r>
          </w:p>
        </w:tc>
        <w:tc>
          <w:tcPr>
            <w:tcW w:w="419" w:type="pct"/>
            <w:tcBorders>
              <w:top w:val="nil"/>
              <w:left w:val="nil"/>
              <w:bottom w:val="single" w:sz="4" w:space="0" w:color="000000"/>
              <w:right w:val="single" w:sz="4" w:space="0" w:color="000000"/>
            </w:tcBorders>
            <w:shd w:val="clear" w:color="auto" w:fill="auto"/>
            <w:vAlign w:val="center"/>
            <w:hideMark/>
          </w:tcPr>
          <w:p w14:paraId="1594A590" w14:textId="77777777" w:rsidR="00F154AB" w:rsidRPr="00F154AB" w:rsidRDefault="00F154AB" w:rsidP="00F154AB">
            <w:pPr>
              <w:ind w:firstLine="0"/>
              <w:jc w:val="center"/>
              <w:rPr>
                <w:rFonts w:eastAsia="Times New Roman" w:cs="Times New Roman"/>
                <w:color w:val="000000"/>
                <w:szCs w:val="24"/>
                <w:lang w:eastAsia="ru-RU"/>
              </w:rPr>
            </w:pPr>
            <w:r w:rsidRPr="00F154AB">
              <w:rPr>
                <w:rFonts w:eastAsia="Times New Roman" w:cs="Times New Roman"/>
                <w:color w:val="000000"/>
                <w:szCs w:val="24"/>
                <w:lang w:eastAsia="ru-RU"/>
              </w:rPr>
              <w:t>0,65</w:t>
            </w:r>
          </w:p>
        </w:tc>
        <w:tc>
          <w:tcPr>
            <w:tcW w:w="663" w:type="pct"/>
            <w:tcBorders>
              <w:top w:val="nil"/>
              <w:left w:val="nil"/>
              <w:bottom w:val="single" w:sz="4" w:space="0" w:color="000000"/>
              <w:right w:val="single" w:sz="4" w:space="0" w:color="000000"/>
            </w:tcBorders>
            <w:shd w:val="clear" w:color="auto" w:fill="auto"/>
            <w:vAlign w:val="center"/>
            <w:hideMark/>
          </w:tcPr>
          <w:p w14:paraId="02A03DC6" w14:textId="77777777" w:rsidR="00F154AB" w:rsidRPr="00F154AB" w:rsidRDefault="00F154AB" w:rsidP="00F154AB">
            <w:pPr>
              <w:ind w:firstLine="0"/>
              <w:jc w:val="center"/>
              <w:rPr>
                <w:rFonts w:eastAsia="Times New Roman" w:cs="Times New Roman"/>
                <w:color w:val="000000"/>
                <w:szCs w:val="24"/>
                <w:lang w:eastAsia="ru-RU"/>
              </w:rPr>
            </w:pPr>
            <w:r w:rsidRPr="00F154AB">
              <w:rPr>
                <w:rFonts w:eastAsia="Times New Roman" w:cs="Times New Roman"/>
                <w:color w:val="000000"/>
                <w:szCs w:val="24"/>
                <w:lang w:eastAsia="ru-RU"/>
              </w:rPr>
              <w:t>нет</w:t>
            </w:r>
          </w:p>
        </w:tc>
        <w:tc>
          <w:tcPr>
            <w:tcW w:w="2161" w:type="pct"/>
            <w:tcBorders>
              <w:top w:val="nil"/>
              <w:left w:val="nil"/>
              <w:bottom w:val="single" w:sz="4" w:space="0" w:color="000000"/>
              <w:right w:val="single" w:sz="4" w:space="0" w:color="000000"/>
            </w:tcBorders>
            <w:shd w:val="clear" w:color="auto" w:fill="auto"/>
            <w:vAlign w:val="center"/>
            <w:hideMark/>
          </w:tcPr>
          <w:p w14:paraId="586E9674" w14:textId="77777777" w:rsidR="00F154AB" w:rsidRPr="00F154AB" w:rsidRDefault="00F154AB" w:rsidP="00F154AB">
            <w:pPr>
              <w:ind w:firstLine="0"/>
              <w:jc w:val="left"/>
              <w:rPr>
                <w:rFonts w:eastAsia="Times New Roman" w:cs="Times New Roman"/>
                <w:color w:val="000000"/>
                <w:szCs w:val="24"/>
                <w:lang w:eastAsia="ru-RU"/>
              </w:rPr>
            </w:pPr>
            <w:r w:rsidRPr="00F154AB">
              <w:rPr>
                <w:rFonts w:eastAsia="Times New Roman" w:cs="Times New Roman"/>
                <w:color w:val="000000"/>
                <w:szCs w:val="24"/>
                <w:lang w:eastAsia="ru-RU"/>
              </w:rPr>
              <w:t>Данный ценообразующий фактор сильно коррелирует с прочими ценообразующими факторами, определяющими локальное местоположение объекта</w:t>
            </w:r>
          </w:p>
        </w:tc>
      </w:tr>
      <w:tr w:rsidR="00F154AB" w:rsidRPr="00F154AB" w14:paraId="14725B01" w14:textId="77777777" w:rsidTr="00F154AB">
        <w:trPr>
          <w:trHeight w:val="945"/>
        </w:trPr>
        <w:tc>
          <w:tcPr>
            <w:tcW w:w="138" w:type="pct"/>
            <w:tcBorders>
              <w:top w:val="nil"/>
              <w:left w:val="single" w:sz="4" w:space="0" w:color="000000"/>
              <w:bottom w:val="single" w:sz="4" w:space="0" w:color="000000"/>
              <w:right w:val="single" w:sz="4" w:space="0" w:color="000000"/>
            </w:tcBorders>
            <w:shd w:val="clear" w:color="auto" w:fill="auto"/>
            <w:vAlign w:val="center"/>
            <w:hideMark/>
          </w:tcPr>
          <w:p w14:paraId="717D13FE" w14:textId="77777777" w:rsidR="00F154AB" w:rsidRPr="00F154AB" w:rsidRDefault="00F154AB" w:rsidP="00F154AB">
            <w:pPr>
              <w:ind w:firstLine="0"/>
              <w:jc w:val="center"/>
              <w:rPr>
                <w:rFonts w:eastAsia="Times New Roman" w:cs="Times New Roman"/>
                <w:color w:val="000000"/>
                <w:szCs w:val="24"/>
                <w:lang w:eastAsia="ru-RU"/>
              </w:rPr>
            </w:pPr>
            <w:r w:rsidRPr="00F154AB">
              <w:rPr>
                <w:rFonts w:eastAsia="Times New Roman" w:cs="Times New Roman"/>
                <w:color w:val="000000"/>
                <w:szCs w:val="24"/>
                <w:lang w:eastAsia="ru-RU"/>
              </w:rPr>
              <w:t>7</w:t>
            </w:r>
          </w:p>
        </w:tc>
        <w:tc>
          <w:tcPr>
            <w:tcW w:w="1169" w:type="pct"/>
            <w:tcBorders>
              <w:top w:val="nil"/>
              <w:left w:val="nil"/>
              <w:bottom w:val="single" w:sz="4" w:space="0" w:color="000000"/>
              <w:right w:val="single" w:sz="4" w:space="0" w:color="000000"/>
            </w:tcBorders>
            <w:shd w:val="clear" w:color="auto" w:fill="auto"/>
            <w:vAlign w:val="center"/>
            <w:hideMark/>
          </w:tcPr>
          <w:p w14:paraId="6674EC02" w14:textId="77777777" w:rsidR="00F154AB" w:rsidRPr="00F154AB" w:rsidRDefault="00F154AB" w:rsidP="00F154AB">
            <w:pPr>
              <w:ind w:firstLine="0"/>
              <w:jc w:val="center"/>
              <w:rPr>
                <w:rFonts w:eastAsia="Times New Roman" w:cs="Times New Roman"/>
                <w:color w:val="000000"/>
                <w:szCs w:val="24"/>
                <w:lang w:eastAsia="ru-RU"/>
              </w:rPr>
            </w:pPr>
            <w:r w:rsidRPr="00F154AB">
              <w:rPr>
                <w:rFonts w:eastAsia="Times New Roman" w:cs="Times New Roman"/>
                <w:color w:val="000000"/>
                <w:szCs w:val="24"/>
                <w:lang w:eastAsia="ru-RU"/>
              </w:rPr>
              <w:t>Расстояние объекта до общественно-делового центра населенного пункта</w:t>
            </w:r>
          </w:p>
        </w:tc>
        <w:tc>
          <w:tcPr>
            <w:tcW w:w="450" w:type="pct"/>
            <w:tcBorders>
              <w:top w:val="nil"/>
              <w:left w:val="nil"/>
              <w:bottom w:val="single" w:sz="4" w:space="0" w:color="000000"/>
              <w:right w:val="single" w:sz="4" w:space="0" w:color="000000"/>
            </w:tcBorders>
            <w:shd w:val="clear" w:color="auto" w:fill="auto"/>
            <w:vAlign w:val="center"/>
            <w:hideMark/>
          </w:tcPr>
          <w:p w14:paraId="2E8F08EE" w14:textId="77777777" w:rsidR="00F154AB" w:rsidRPr="00F154AB" w:rsidRDefault="00F154AB" w:rsidP="00F154AB">
            <w:pPr>
              <w:ind w:firstLine="0"/>
              <w:jc w:val="center"/>
              <w:rPr>
                <w:rFonts w:eastAsia="Times New Roman" w:cs="Times New Roman"/>
                <w:color w:val="000000"/>
                <w:szCs w:val="24"/>
                <w:lang w:eastAsia="ru-RU"/>
              </w:rPr>
            </w:pPr>
            <w:r w:rsidRPr="00F154AB">
              <w:rPr>
                <w:rFonts w:eastAsia="Times New Roman" w:cs="Times New Roman"/>
                <w:color w:val="000000"/>
                <w:szCs w:val="24"/>
                <w:lang w:eastAsia="ru-RU"/>
              </w:rPr>
              <w:t>0,44</w:t>
            </w:r>
          </w:p>
        </w:tc>
        <w:tc>
          <w:tcPr>
            <w:tcW w:w="419" w:type="pct"/>
            <w:tcBorders>
              <w:top w:val="nil"/>
              <w:left w:val="nil"/>
              <w:bottom w:val="single" w:sz="4" w:space="0" w:color="000000"/>
              <w:right w:val="single" w:sz="4" w:space="0" w:color="000000"/>
            </w:tcBorders>
            <w:shd w:val="clear" w:color="auto" w:fill="auto"/>
            <w:vAlign w:val="center"/>
            <w:hideMark/>
          </w:tcPr>
          <w:p w14:paraId="40566422" w14:textId="77777777" w:rsidR="00F154AB" w:rsidRPr="00F154AB" w:rsidRDefault="00F154AB" w:rsidP="00F154AB">
            <w:pPr>
              <w:ind w:firstLine="0"/>
              <w:jc w:val="center"/>
              <w:rPr>
                <w:rFonts w:eastAsia="Times New Roman" w:cs="Times New Roman"/>
                <w:color w:val="000000"/>
                <w:szCs w:val="24"/>
                <w:lang w:eastAsia="ru-RU"/>
              </w:rPr>
            </w:pPr>
            <w:r w:rsidRPr="00F154AB">
              <w:rPr>
                <w:rFonts w:eastAsia="Times New Roman" w:cs="Times New Roman"/>
                <w:color w:val="000000"/>
                <w:szCs w:val="24"/>
                <w:lang w:eastAsia="ru-RU"/>
              </w:rPr>
              <w:t>0,72</w:t>
            </w:r>
          </w:p>
        </w:tc>
        <w:tc>
          <w:tcPr>
            <w:tcW w:w="663" w:type="pct"/>
            <w:tcBorders>
              <w:top w:val="nil"/>
              <w:left w:val="nil"/>
              <w:bottom w:val="single" w:sz="4" w:space="0" w:color="000000"/>
              <w:right w:val="single" w:sz="4" w:space="0" w:color="000000"/>
            </w:tcBorders>
            <w:shd w:val="clear" w:color="auto" w:fill="auto"/>
            <w:vAlign w:val="center"/>
            <w:hideMark/>
          </w:tcPr>
          <w:p w14:paraId="4D4C45BE" w14:textId="77777777" w:rsidR="00F154AB" w:rsidRPr="00F154AB" w:rsidRDefault="00F154AB" w:rsidP="00F154AB">
            <w:pPr>
              <w:ind w:firstLine="0"/>
              <w:jc w:val="center"/>
              <w:rPr>
                <w:rFonts w:eastAsia="Times New Roman" w:cs="Times New Roman"/>
                <w:color w:val="000000"/>
                <w:szCs w:val="24"/>
                <w:lang w:eastAsia="ru-RU"/>
              </w:rPr>
            </w:pPr>
            <w:r w:rsidRPr="00F154AB">
              <w:rPr>
                <w:rFonts w:eastAsia="Times New Roman" w:cs="Times New Roman"/>
                <w:color w:val="000000"/>
                <w:szCs w:val="24"/>
                <w:lang w:eastAsia="ru-RU"/>
              </w:rPr>
              <w:t>нет</w:t>
            </w:r>
          </w:p>
        </w:tc>
        <w:tc>
          <w:tcPr>
            <w:tcW w:w="2161" w:type="pct"/>
            <w:tcBorders>
              <w:top w:val="nil"/>
              <w:left w:val="nil"/>
              <w:bottom w:val="single" w:sz="4" w:space="0" w:color="000000"/>
              <w:right w:val="single" w:sz="4" w:space="0" w:color="000000"/>
            </w:tcBorders>
            <w:shd w:val="clear" w:color="auto" w:fill="auto"/>
            <w:vAlign w:val="center"/>
            <w:hideMark/>
          </w:tcPr>
          <w:p w14:paraId="021C5841" w14:textId="77777777" w:rsidR="00F154AB" w:rsidRPr="00F154AB" w:rsidRDefault="00F154AB" w:rsidP="00F154AB">
            <w:pPr>
              <w:ind w:firstLine="0"/>
              <w:jc w:val="left"/>
              <w:rPr>
                <w:rFonts w:eastAsia="Times New Roman" w:cs="Times New Roman"/>
                <w:color w:val="000000"/>
                <w:szCs w:val="24"/>
                <w:lang w:eastAsia="ru-RU"/>
              </w:rPr>
            </w:pPr>
            <w:r w:rsidRPr="00F154AB">
              <w:rPr>
                <w:rFonts w:eastAsia="Times New Roman" w:cs="Times New Roman"/>
                <w:color w:val="000000"/>
                <w:szCs w:val="24"/>
                <w:lang w:eastAsia="ru-RU"/>
              </w:rPr>
              <w:t>Данный ценообразующий фактор сильно коррелирует с прочими ценообразующими факторами, определяющими локальное местоположение объекта</w:t>
            </w:r>
          </w:p>
        </w:tc>
      </w:tr>
      <w:tr w:rsidR="00F154AB" w:rsidRPr="00F154AB" w14:paraId="37E45247" w14:textId="77777777" w:rsidTr="00F154AB">
        <w:trPr>
          <w:trHeight w:val="945"/>
        </w:trPr>
        <w:tc>
          <w:tcPr>
            <w:tcW w:w="138" w:type="pct"/>
            <w:tcBorders>
              <w:top w:val="nil"/>
              <w:left w:val="single" w:sz="4" w:space="0" w:color="000000"/>
              <w:bottom w:val="single" w:sz="4" w:space="0" w:color="000000"/>
              <w:right w:val="single" w:sz="4" w:space="0" w:color="000000"/>
            </w:tcBorders>
            <w:shd w:val="clear" w:color="auto" w:fill="auto"/>
            <w:vAlign w:val="center"/>
            <w:hideMark/>
          </w:tcPr>
          <w:p w14:paraId="021A0159" w14:textId="77777777" w:rsidR="00F154AB" w:rsidRPr="00F154AB" w:rsidRDefault="00F154AB" w:rsidP="00F154AB">
            <w:pPr>
              <w:ind w:firstLine="0"/>
              <w:jc w:val="center"/>
              <w:rPr>
                <w:rFonts w:eastAsia="Times New Roman" w:cs="Times New Roman"/>
                <w:color w:val="000000"/>
                <w:szCs w:val="24"/>
                <w:lang w:eastAsia="ru-RU"/>
              </w:rPr>
            </w:pPr>
            <w:r w:rsidRPr="00F154AB">
              <w:rPr>
                <w:rFonts w:eastAsia="Times New Roman" w:cs="Times New Roman"/>
                <w:color w:val="000000"/>
                <w:szCs w:val="24"/>
                <w:lang w:eastAsia="ru-RU"/>
              </w:rPr>
              <w:t>8</w:t>
            </w:r>
          </w:p>
        </w:tc>
        <w:tc>
          <w:tcPr>
            <w:tcW w:w="1169" w:type="pct"/>
            <w:tcBorders>
              <w:top w:val="nil"/>
              <w:left w:val="nil"/>
              <w:bottom w:val="single" w:sz="4" w:space="0" w:color="000000"/>
              <w:right w:val="single" w:sz="4" w:space="0" w:color="000000"/>
            </w:tcBorders>
            <w:shd w:val="clear" w:color="auto" w:fill="auto"/>
            <w:vAlign w:val="center"/>
            <w:hideMark/>
          </w:tcPr>
          <w:p w14:paraId="3AB25E7E" w14:textId="77777777" w:rsidR="00F154AB" w:rsidRPr="00F154AB" w:rsidRDefault="00F154AB" w:rsidP="00F154AB">
            <w:pPr>
              <w:ind w:firstLine="0"/>
              <w:jc w:val="center"/>
              <w:rPr>
                <w:rFonts w:eastAsia="Times New Roman" w:cs="Times New Roman"/>
                <w:color w:val="000000"/>
                <w:szCs w:val="24"/>
                <w:lang w:eastAsia="ru-RU"/>
              </w:rPr>
            </w:pPr>
            <w:r w:rsidRPr="00F154AB">
              <w:rPr>
                <w:rFonts w:eastAsia="Times New Roman" w:cs="Times New Roman"/>
                <w:color w:val="000000"/>
                <w:szCs w:val="24"/>
                <w:lang w:eastAsia="ru-RU"/>
              </w:rPr>
              <w:t>Расстояние от объекта до административного центра населенного пункта</w:t>
            </w:r>
          </w:p>
        </w:tc>
        <w:tc>
          <w:tcPr>
            <w:tcW w:w="450" w:type="pct"/>
            <w:tcBorders>
              <w:top w:val="nil"/>
              <w:left w:val="nil"/>
              <w:bottom w:val="single" w:sz="4" w:space="0" w:color="000000"/>
              <w:right w:val="single" w:sz="4" w:space="0" w:color="000000"/>
            </w:tcBorders>
            <w:shd w:val="clear" w:color="auto" w:fill="auto"/>
            <w:vAlign w:val="center"/>
            <w:hideMark/>
          </w:tcPr>
          <w:p w14:paraId="67DFD33A" w14:textId="77777777" w:rsidR="00F154AB" w:rsidRPr="00F154AB" w:rsidRDefault="00F154AB" w:rsidP="00F154AB">
            <w:pPr>
              <w:ind w:firstLine="0"/>
              <w:jc w:val="center"/>
              <w:rPr>
                <w:rFonts w:eastAsia="Times New Roman" w:cs="Times New Roman"/>
                <w:color w:val="000000"/>
                <w:szCs w:val="24"/>
                <w:lang w:eastAsia="ru-RU"/>
              </w:rPr>
            </w:pPr>
            <w:r w:rsidRPr="00F154AB">
              <w:rPr>
                <w:rFonts w:eastAsia="Times New Roman" w:cs="Times New Roman"/>
                <w:color w:val="000000"/>
                <w:szCs w:val="24"/>
                <w:lang w:eastAsia="ru-RU"/>
              </w:rPr>
              <w:t>0,62</w:t>
            </w:r>
          </w:p>
        </w:tc>
        <w:tc>
          <w:tcPr>
            <w:tcW w:w="419" w:type="pct"/>
            <w:tcBorders>
              <w:top w:val="nil"/>
              <w:left w:val="nil"/>
              <w:bottom w:val="single" w:sz="4" w:space="0" w:color="000000"/>
              <w:right w:val="single" w:sz="4" w:space="0" w:color="000000"/>
            </w:tcBorders>
            <w:shd w:val="clear" w:color="auto" w:fill="auto"/>
            <w:vAlign w:val="center"/>
            <w:hideMark/>
          </w:tcPr>
          <w:p w14:paraId="10B7458B" w14:textId="77777777" w:rsidR="00F154AB" w:rsidRPr="00F154AB" w:rsidRDefault="00F154AB" w:rsidP="00F154AB">
            <w:pPr>
              <w:ind w:firstLine="0"/>
              <w:jc w:val="center"/>
              <w:rPr>
                <w:rFonts w:eastAsia="Times New Roman" w:cs="Times New Roman"/>
                <w:color w:val="000000"/>
                <w:szCs w:val="24"/>
                <w:lang w:eastAsia="ru-RU"/>
              </w:rPr>
            </w:pPr>
            <w:r w:rsidRPr="00F154AB">
              <w:rPr>
                <w:rFonts w:eastAsia="Times New Roman" w:cs="Times New Roman"/>
                <w:color w:val="000000"/>
                <w:szCs w:val="24"/>
                <w:lang w:eastAsia="ru-RU"/>
              </w:rPr>
              <w:t>1</w:t>
            </w:r>
          </w:p>
        </w:tc>
        <w:tc>
          <w:tcPr>
            <w:tcW w:w="663" w:type="pct"/>
            <w:tcBorders>
              <w:top w:val="nil"/>
              <w:left w:val="nil"/>
              <w:bottom w:val="single" w:sz="4" w:space="0" w:color="000000"/>
              <w:right w:val="single" w:sz="4" w:space="0" w:color="000000"/>
            </w:tcBorders>
            <w:shd w:val="clear" w:color="auto" w:fill="auto"/>
            <w:vAlign w:val="center"/>
            <w:hideMark/>
          </w:tcPr>
          <w:p w14:paraId="61F3A76E" w14:textId="77777777" w:rsidR="00F154AB" w:rsidRPr="00F154AB" w:rsidRDefault="00F154AB" w:rsidP="00F154AB">
            <w:pPr>
              <w:ind w:firstLine="0"/>
              <w:jc w:val="center"/>
              <w:rPr>
                <w:rFonts w:eastAsia="Times New Roman" w:cs="Times New Roman"/>
                <w:color w:val="000000"/>
                <w:szCs w:val="24"/>
                <w:lang w:eastAsia="ru-RU"/>
              </w:rPr>
            </w:pPr>
            <w:r w:rsidRPr="00F154AB">
              <w:rPr>
                <w:rFonts w:eastAsia="Times New Roman" w:cs="Times New Roman"/>
                <w:color w:val="000000"/>
                <w:szCs w:val="24"/>
                <w:lang w:eastAsia="ru-RU"/>
              </w:rPr>
              <w:t>да</w:t>
            </w:r>
          </w:p>
        </w:tc>
        <w:tc>
          <w:tcPr>
            <w:tcW w:w="2161" w:type="pct"/>
            <w:tcBorders>
              <w:top w:val="nil"/>
              <w:left w:val="nil"/>
              <w:bottom w:val="single" w:sz="4" w:space="0" w:color="000000"/>
              <w:right w:val="single" w:sz="4" w:space="0" w:color="000000"/>
            </w:tcBorders>
            <w:shd w:val="clear" w:color="auto" w:fill="auto"/>
            <w:vAlign w:val="center"/>
            <w:hideMark/>
          </w:tcPr>
          <w:p w14:paraId="5B6B212B" w14:textId="77777777" w:rsidR="00F154AB" w:rsidRPr="00F154AB" w:rsidRDefault="00F154AB" w:rsidP="00F154AB">
            <w:pPr>
              <w:ind w:firstLine="0"/>
              <w:jc w:val="left"/>
              <w:rPr>
                <w:rFonts w:eastAsia="Times New Roman" w:cs="Times New Roman"/>
                <w:color w:val="000000"/>
                <w:szCs w:val="24"/>
                <w:lang w:eastAsia="ru-RU"/>
              </w:rPr>
            </w:pPr>
            <w:r w:rsidRPr="00F154AB">
              <w:rPr>
                <w:rFonts w:eastAsia="Times New Roman" w:cs="Times New Roman"/>
                <w:color w:val="000000"/>
                <w:szCs w:val="24"/>
                <w:lang w:eastAsia="ru-RU"/>
              </w:rPr>
              <w:t>Ценообразующий фактор соответствует критериям, описанным выше. Данный фактор оказывает существенное влияние на стоимость объектов недвижимости</w:t>
            </w:r>
          </w:p>
        </w:tc>
      </w:tr>
      <w:tr w:rsidR="00F154AB" w:rsidRPr="00F154AB" w14:paraId="6C0C0602" w14:textId="77777777" w:rsidTr="00F154AB">
        <w:trPr>
          <w:trHeight w:val="945"/>
        </w:trPr>
        <w:tc>
          <w:tcPr>
            <w:tcW w:w="138" w:type="pct"/>
            <w:tcBorders>
              <w:top w:val="nil"/>
              <w:left w:val="single" w:sz="4" w:space="0" w:color="000000"/>
              <w:bottom w:val="single" w:sz="4" w:space="0" w:color="000000"/>
              <w:right w:val="single" w:sz="4" w:space="0" w:color="000000"/>
            </w:tcBorders>
            <w:shd w:val="clear" w:color="auto" w:fill="auto"/>
            <w:vAlign w:val="center"/>
            <w:hideMark/>
          </w:tcPr>
          <w:p w14:paraId="4D353799" w14:textId="77777777" w:rsidR="00F154AB" w:rsidRPr="00F154AB" w:rsidRDefault="00F154AB" w:rsidP="00F154AB">
            <w:pPr>
              <w:ind w:firstLine="0"/>
              <w:jc w:val="center"/>
              <w:rPr>
                <w:rFonts w:eastAsia="Times New Roman" w:cs="Times New Roman"/>
                <w:color w:val="000000"/>
                <w:szCs w:val="24"/>
                <w:lang w:eastAsia="ru-RU"/>
              </w:rPr>
            </w:pPr>
            <w:r w:rsidRPr="00F154AB">
              <w:rPr>
                <w:rFonts w:eastAsia="Times New Roman" w:cs="Times New Roman"/>
                <w:color w:val="000000"/>
                <w:szCs w:val="24"/>
                <w:lang w:eastAsia="ru-RU"/>
              </w:rPr>
              <w:t>9</w:t>
            </w:r>
          </w:p>
        </w:tc>
        <w:tc>
          <w:tcPr>
            <w:tcW w:w="1169" w:type="pct"/>
            <w:tcBorders>
              <w:top w:val="nil"/>
              <w:left w:val="nil"/>
              <w:bottom w:val="single" w:sz="4" w:space="0" w:color="000000"/>
              <w:right w:val="single" w:sz="4" w:space="0" w:color="000000"/>
            </w:tcBorders>
            <w:shd w:val="clear" w:color="auto" w:fill="auto"/>
            <w:vAlign w:val="center"/>
            <w:hideMark/>
          </w:tcPr>
          <w:p w14:paraId="0DA2BF34" w14:textId="77777777" w:rsidR="00F154AB" w:rsidRPr="00F154AB" w:rsidRDefault="00F154AB" w:rsidP="00F154AB">
            <w:pPr>
              <w:ind w:firstLine="0"/>
              <w:jc w:val="center"/>
              <w:rPr>
                <w:rFonts w:eastAsia="Times New Roman" w:cs="Times New Roman"/>
                <w:color w:val="000000"/>
                <w:szCs w:val="24"/>
                <w:lang w:eastAsia="ru-RU"/>
              </w:rPr>
            </w:pPr>
            <w:r w:rsidRPr="00F154AB">
              <w:rPr>
                <w:rFonts w:eastAsia="Times New Roman" w:cs="Times New Roman"/>
                <w:color w:val="000000"/>
                <w:szCs w:val="24"/>
                <w:lang w:eastAsia="ru-RU"/>
              </w:rPr>
              <w:t>Расстояние от объекта до историко-культурного центра населенного пункта</w:t>
            </w:r>
          </w:p>
        </w:tc>
        <w:tc>
          <w:tcPr>
            <w:tcW w:w="450" w:type="pct"/>
            <w:tcBorders>
              <w:top w:val="nil"/>
              <w:left w:val="nil"/>
              <w:bottom w:val="single" w:sz="4" w:space="0" w:color="000000"/>
              <w:right w:val="single" w:sz="4" w:space="0" w:color="000000"/>
            </w:tcBorders>
            <w:shd w:val="clear" w:color="auto" w:fill="auto"/>
            <w:vAlign w:val="center"/>
            <w:hideMark/>
          </w:tcPr>
          <w:p w14:paraId="378DE078" w14:textId="77777777" w:rsidR="00F154AB" w:rsidRPr="00F154AB" w:rsidRDefault="00F154AB" w:rsidP="00F154AB">
            <w:pPr>
              <w:ind w:firstLine="0"/>
              <w:jc w:val="center"/>
              <w:rPr>
                <w:rFonts w:eastAsia="Times New Roman" w:cs="Times New Roman"/>
                <w:color w:val="000000"/>
                <w:szCs w:val="24"/>
                <w:lang w:eastAsia="ru-RU"/>
              </w:rPr>
            </w:pPr>
            <w:r w:rsidRPr="00F154AB">
              <w:rPr>
                <w:rFonts w:eastAsia="Times New Roman" w:cs="Times New Roman"/>
                <w:color w:val="000000"/>
                <w:szCs w:val="24"/>
                <w:lang w:eastAsia="ru-RU"/>
              </w:rPr>
              <w:t>0,55</w:t>
            </w:r>
          </w:p>
        </w:tc>
        <w:tc>
          <w:tcPr>
            <w:tcW w:w="419" w:type="pct"/>
            <w:tcBorders>
              <w:top w:val="nil"/>
              <w:left w:val="nil"/>
              <w:bottom w:val="single" w:sz="4" w:space="0" w:color="000000"/>
              <w:right w:val="single" w:sz="4" w:space="0" w:color="000000"/>
            </w:tcBorders>
            <w:shd w:val="clear" w:color="auto" w:fill="auto"/>
            <w:vAlign w:val="center"/>
            <w:hideMark/>
          </w:tcPr>
          <w:p w14:paraId="58E9265F" w14:textId="77777777" w:rsidR="00F154AB" w:rsidRPr="00F154AB" w:rsidRDefault="00F154AB" w:rsidP="00F154AB">
            <w:pPr>
              <w:ind w:firstLine="0"/>
              <w:jc w:val="center"/>
              <w:rPr>
                <w:rFonts w:eastAsia="Times New Roman" w:cs="Times New Roman"/>
                <w:color w:val="000000"/>
                <w:szCs w:val="24"/>
                <w:lang w:eastAsia="ru-RU"/>
              </w:rPr>
            </w:pPr>
            <w:r w:rsidRPr="00F154AB">
              <w:rPr>
                <w:rFonts w:eastAsia="Times New Roman" w:cs="Times New Roman"/>
                <w:color w:val="000000"/>
                <w:szCs w:val="24"/>
                <w:lang w:eastAsia="ru-RU"/>
              </w:rPr>
              <w:t>0,89</w:t>
            </w:r>
          </w:p>
        </w:tc>
        <w:tc>
          <w:tcPr>
            <w:tcW w:w="663" w:type="pct"/>
            <w:tcBorders>
              <w:top w:val="nil"/>
              <w:left w:val="nil"/>
              <w:bottom w:val="single" w:sz="4" w:space="0" w:color="000000"/>
              <w:right w:val="single" w:sz="4" w:space="0" w:color="000000"/>
            </w:tcBorders>
            <w:shd w:val="clear" w:color="auto" w:fill="auto"/>
            <w:vAlign w:val="center"/>
            <w:hideMark/>
          </w:tcPr>
          <w:p w14:paraId="0371EEFF" w14:textId="77777777" w:rsidR="00F154AB" w:rsidRPr="00F154AB" w:rsidRDefault="00F154AB" w:rsidP="00F154AB">
            <w:pPr>
              <w:ind w:firstLine="0"/>
              <w:jc w:val="center"/>
              <w:rPr>
                <w:rFonts w:eastAsia="Times New Roman" w:cs="Times New Roman"/>
                <w:color w:val="000000"/>
                <w:szCs w:val="24"/>
                <w:lang w:eastAsia="ru-RU"/>
              </w:rPr>
            </w:pPr>
            <w:r w:rsidRPr="00F154AB">
              <w:rPr>
                <w:rFonts w:eastAsia="Times New Roman" w:cs="Times New Roman"/>
                <w:color w:val="000000"/>
                <w:szCs w:val="24"/>
                <w:lang w:eastAsia="ru-RU"/>
              </w:rPr>
              <w:t>нет</w:t>
            </w:r>
          </w:p>
        </w:tc>
        <w:tc>
          <w:tcPr>
            <w:tcW w:w="2161" w:type="pct"/>
            <w:tcBorders>
              <w:top w:val="nil"/>
              <w:left w:val="nil"/>
              <w:bottom w:val="single" w:sz="4" w:space="0" w:color="000000"/>
              <w:right w:val="single" w:sz="4" w:space="0" w:color="000000"/>
            </w:tcBorders>
            <w:shd w:val="clear" w:color="auto" w:fill="auto"/>
            <w:vAlign w:val="center"/>
            <w:hideMark/>
          </w:tcPr>
          <w:p w14:paraId="44EA5001" w14:textId="77777777" w:rsidR="00F154AB" w:rsidRPr="00F154AB" w:rsidRDefault="00F154AB" w:rsidP="00F154AB">
            <w:pPr>
              <w:ind w:firstLine="0"/>
              <w:jc w:val="left"/>
              <w:rPr>
                <w:rFonts w:eastAsia="Times New Roman" w:cs="Times New Roman"/>
                <w:color w:val="000000"/>
                <w:szCs w:val="24"/>
                <w:lang w:eastAsia="ru-RU"/>
              </w:rPr>
            </w:pPr>
            <w:r w:rsidRPr="00F154AB">
              <w:rPr>
                <w:rFonts w:eastAsia="Times New Roman" w:cs="Times New Roman"/>
                <w:color w:val="000000"/>
                <w:szCs w:val="24"/>
                <w:lang w:eastAsia="ru-RU"/>
              </w:rPr>
              <w:t>Данный ценообразующий фактор сильно коррелирует с прочими ценообразующими факторами, определяющими локальное местоположение объекта</w:t>
            </w:r>
          </w:p>
        </w:tc>
      </w:tr>
      <w:tr w:rsidR="00F154AB" w:rsidRPr="00F154AB" w14:paraId="0E6635F2" w14:textId="77777777" w:rsidTr="00F154AB">
        <w:trPr>
          <w:trHeight w:val="945"/>
        </w:trPr>
        <w:tc>
          <w:tcPr>
            <w:tcW w:w="138" w:type="pct"/>
            <w:tcBorders>
              <w:top w:val="nil"/>
              <w:left w:val="single" w:sz="4" w:space="0" w:color="000000"/>
              <w:bottom w:val="single" w:sz="4" w:space="0" w:color="000000"/>
              <w:right w:val="single" w:sz="4" w:space="0" w:color="000000"/>
            </w:tcBorders>
            <w:shd w:val="clear" w:color="auto" w:fill="auto"/>
            <w:vAlign w:val="center"/>
            <w:hideMark/>
          </w:tcPr>
          <w:p w14:paraId="244F7E27" w14:textId="77777777" w:rsidR="00F154AB" w:rsidRPr="00F154AB" w:rsidRDefault="00F154AB" w:rsidP="00F154AB">
            <w:pPr>
              <w:ind w:firstLine="0"/>
              <w:jc w:val="center"/>
              <w:rPr>
                <w:rFonts w:eastAsia="Times New Roman" w:cs="Times New Roman"/>
                <w:color w:val="000000"/>
                <w:szCs w:val="24"/>
                <w:lang w:eastAsia="ru-RU"/>
              </w:rPr>
            </w:pPr>
            <w:r w:rsidRPr="00F154AB">
              <w:rPr>
                <w:rFonts w:eastAsia="Times New Roman" w:cs="Times New Roman"/>
                <w:color w:val="000000"/>
                <w:szCs w:val="24"/>
                <w:lang w:eastAsia="ru-RU"/>
              </w:rPr>
              <w:t>10</w:t>
            </w:r>
          </w:p>
        </w:tc>
        <w:tc>
          <w:tcPr>
            <w:tcW w:w="1169" w:type="pct"/>
            <w:tcBorders>
              <w:top w:val="nil"/>
              <w:left w:val="nil"/>
              <w:bottom w:val="single" w:sz="4" w:space="0" w:color="000000"/>
              <w:right w:val="single" w:sz="4" w:space="0" w:color="000000"/>
            </w:tcBorders>
            <w:shd w:val="clear" w:color="auto" w:fill="auto"/>
            <w:vAlign w:val="center"/>
            <w:hideMark/>
          </w:tcPr>
          <w:p w14:paraId="18A768B9" w14:textId="0C3DE53D" w:rsidR="00F154AB" w:rsidRPr="00F154AB" w:rsidRDefault="00F154AB" w:rsidP="00F154AB">
            <w:pPr>
              <w:ind w:firstLine="0"/>
              <w:jc w:val="center"/>
              <w:rPr>
                <w:rFonts w:eastAsia="Times New Roman" w:cs="Times New Roman"/>
                <w:color w:val="000000"/>
                <w:szCs w:val="24"/>
                <w:lang w:eastAsia="ru-RU"/>
              </w:rPr>
            </w:pPr>
            <w:r w:rsidRPr="00F154AB">
              <w:rPr>
                <w:rFonts w:eastAsia="Times New Roman" w:cs="Times New Roman"/>
                <w:color w:val="000000"/>
                <w:szCs w:val="24"/>
                <w:lang w:eastAsia="ru-RU"/>
              </w:rPr>
              <w:t>Расстояние от объекта до локального(-ых) центра(-ов), отрицательно влияющего(-их) на стоимость объек</w:t>
            </w:r>
            <w:r w:rsidR="005376A2">
              <w:rPr>
                <w:rFonts w:eastAsia="Times New Roman" w:cs="Times New Roman"/>
                <w:color w:val="000000"/>
                <w:szCs w:val="24"/>
                <w:lang w:eastAsia="ru-RU"/>
              </w:rPr>
              <w:t>та</w:t>
            </w:r>
          </w:p>
        </w:tc>
        <w:tc>
          <w:tcPr>
            <w:tcW w:w="450" w:type="pct"/>
            <w:tcBorders>
              <w:top w:val="nil"/>
              <w:left w:val="nil"/>
              <w:bottom w:val="single" w:sz="4" w:space="0" w:color="000000"/>
              <w:right w:val="single" w:sz="4" w:space="0" w:color="000000"/>
            </w:tcBorders>
            <w:shd w:val="clear" w:color="auto" w:fill="auto"/>
            <w:vAlign w:val="center"/>
            <w:hideMark/>
          </w:tcPr>
          <w:p w14:paraId="696950C7" w14:textId="77777777" w:rsidR="00F154AB" w:rsidRPr="00F154AB" w:rsidRDefault="00F154AB" w:rsidP="00F154AB">
            <w:pPr>
              <w:ind w:firstLine="0"/>
              <w:jc w:val="center"/>
              <w:rPr>
                <w:rFonts w:eastAsia="Times New Roman" w:cs="Times New Roman"/>
                <w:color w:val="000000"/>
                <w:szCs w:val="24"/>
                <w:lang w:eastAsia="ru-RU"/>
              </w:rPr>
            </w:pPr>
            <w:r w:rsidRPr="00F154AB">
              <w:rPr>
                <w:rFonts w:eastAsia="Times New Roman" w:cs="Times New Roman"/>
                <w:color w:val="000000"/>
                <w:szCs w:val="24"/>
                <w:lang w:eastAsia="ru-RU"/>
              </w:rPr>
              <w:t>0,41</w:t>
            </w:r>
          </w:p>
        </w:tc>
        <w:tc>
          <w:tcPr>
            <w:tcW w:w="419" w:type="pct"/>
            <w:tcBorders>
              <w:top w:val="nil"/>
              <w:left w:val="nil"/>
              <w:bottom w:val="single" w:sz="4" w:space="0" w:color="000000"/>
              <w:right w:val="single" w:sz="4" w:space="0" w:color="000000"/>
            </w:tcBorders>
            <w:shd w:val="clear" w:color="auto" w:fill="auto"/>
            <w:vAlign w:val="center"/>
            <w:hideMark/>
          </w:tcPr>
          <w:p w14:paraId="084CDEC1" w14:textId="77777777" w:rsidR="00F154AB" w:rsidRPr="00F154AB" w:rsidRDefault="00F154AB" w:rsidP="00F154AB">
            <w:pPr>
              <w:ind w:firstLine="0"/>
              <w:jc w:val="center"/>
              <w:rPr>
                <w:rFonts w:eastAsia="Times New Roman" w:cs="Times New Roman"/>
                <w:color w:val="000000"/>
                <w:szCs w:val="24"/>
                <w:lang w:eastAsia="ru-RU"/>
              </w:rPr>
            </w:pPr>
            <w:r w:rsidRPr="00F154AB">
              <w:rPr>
                <w:rFonts w:eastAsia="Times New Roman" w:cs="Times New Roman"/>
                <w:color w:val="000000"/>
                <w:szCs w:val="24"/>
                <w:lang w:eastAsia="ru-RU"/>
              </w:rPr>
              <w:t>0,67</w:t>
            </w:r>
          </w:p>
        </w:tc>
        <w:tc>
          <w:tcPr>
            <w:tcW w:w="663" w:type="pct"/>
            <w:tcBorders>
              <w:top w:val="nil"/>
              <w:left w:val="nil"/>
              <w:bottom w:val="single" w:sz="4" w:space="0" w:color="000000"/>
              <w:right w:val="single" w:sz="4" w:space="0" w:color="000000"/>
            </w:tcBorders>
            <w:shd w:val="clear" w:color="auto" w:fill="auto"/>
            <w:vAlign w:val="center"/>
            <w:hideMark/>
          </w:tcPr>
          <w:p w14:paraId="080A3A47" w14:textId="77777777" w:rsidR="00F154AB" w:rsidRPr="00F154AB" w:rsidRDefault="00F154AB" w:rsidP="00F154AB">
            <w:pPr>
              <w:ind w:firstLine="0"/>
              <w:jc w:val="center"/>
              <w:rPr>
                <w:rFonts w:eastAsia="Times New Roman" w:cs="Times New Roman"/>
                <w:color w:val="000000"/>
                <w:szCs w:val="24"/>
                <w:lang w:eastAsia="ru-RU"/>
              </w:rPr>
            </w:pPr>
            <w:r w:rsidRPr="00F154AB">
              <w:rPr>
                <w:rFonts w:eastAsia="Times New Roman" w:cs="Times New Roman"/>
                <w:color w:val="000000"/>
                <w:szCs w:val="24"/>
                <w:lang w:eastAsia="ru-RU"/>
              </w:rPr>
              <w:t>нет</w:t>
            </w:r>
          </w:p>
        </w:tc>
        <w:tc>
          <w:tcPr>
            <w:tcW w:w="2161" w:type="pct"/>
            <w:tcBorders>
              <w:top w:val="nil"/>
              <w:left w:val="nil"/>
              <w:bottom w:val="single" w:sz="4" w:space="0" w:color="000000"/>
              <w:right w:val="single" w:sz="4" w:space="0" w:color="000000"/>
            </w:tcBorders>
            <w:shd w:val="clear" w:color="auto" w:fill="auto"/>
            <w:vAlign w:val="center"/>
            <w:hideMark/>
          </w:tcPr>
          <w:p w14:paraId="0B6A770F" w14:textId="77777777" w:rsidR="00F154AB" w:rsidRPr="00F154AB" w:rsidRDefault="00F154AB" w:rsidP="00F154AB">
            <w:pPr>
              <w:ind w:firstLine="0"/>
              <w:jc w:val="left"/>
              <w:rPr>
                <w:rFonts w:eastAsia="Times New Roman" w:cs="Times New Roman"/>
                <w:color w:val="000000"/>
                <w:szCs w:val="24"/>
                <w:lang w:eastAsia="ru-RU"/>
              </w:rPr>
            </w:pPr>
            <w:r w:rsidRPr="00F154AB">
              <w:rPr>
                <w:rFonts w:eastAsia="Times New Roman" w:cs="Times New Roman"/>
                <w:color w:val="000000"/>
                <w:szCs w:val="24"/>
                <w:lang w:eastAsia="ru-RU"/>
              </w:rPr>
              <w:t>Данный ценообразующий фактор сильно коррелирует с прочими ценообразующими факторами, определяющими локальное местоположение объекта</w:t>
            </w:r>
          </w:p>
        </w:tc>
      </w:tr>
      <w:tr w:rsidR="00F154AB" w:rsidRPr="00F154AB" w14:paraId="500F89DE" w14:textId="77777777" w:rsidTr="00F154AB">
        <w:trPr>
          <w:trHeight w:val="945"/>
        </w:trPr>
        <w:tc>
          <w:tcPr>
            <w:tcW w:w="138" w:type="pct"/>
            <w:tcBorders>
              <w:top w:val="nil"/>
              <w:left w:val="single" w:sz="4" w:space="0" w:color="000000"/>
              <w:bottom w:val="single" w:sz="4" w:space="0" w:color="000000"/>
              <w:right w:val="single" w:sz="4" w:space="0" w:color="000000"/>
            </w:tcBorders>
            <w:shd w:val="clear" w:color="auto" w:fill="auto"/>
            <w:vAlign w:val="center"/>
            <w:hideMark/>
          </w:tcPr>
          <w:p w14:paraId="023040F0" w14:textId="77777777" w:rsidR="00F154AB" w:rsidRPr="00F154AB" w:rsidRDefault="00F154AB" w:rsidP="00F154AB">
            <w:pPr>
              <w:ind w:firstLine="0"/>
              <w:jc w:val="center"/>
              <w:rPr>
                <w:rFonts w:eastAsia="Times New Roman" w:cs="Times New Roman"/>
                <w:color w:val="000000"/>
                <w:szCs w:val="24"/>
                <w:lang w:eastAsia="ru-RU"/>
              </w:rPr>
            </w:pPr>
            <w:r w:rsidRPr="00F154AB">
              <w:rPr>
                <w:rFonts w:eastAsia="Times New Roman" w:cs="Times New Roman"/>
                <w:color w:val="000000"/>
                <w:szCs w:val="24"/>
                <w:lang w:eastAsia="ru-RU"/>
              </w:rPr>
              <w:t>11</w:t>
            </w:r>
          </w:p>
        </w:tc>
        <w:tc>
          <w:tcPr>
            <w:tcW w:w="1169" w:type="pct"/>
            <w:tcBorders>
              <w:top w:val="nil"/>
              <w:left w:val="nil"/>
              <w:bottom w:val="single" w:sz="4" w:space="0" w:color="000000"/>
              <w:right w:val="single" w:sz="4" w:space="0" w:color="000000"/>
            </w:tcBorders>
            <w:shd w:val="clear" w:color="auto" w:fill="auto"/>
            <w:vAlign w:val="center"/>
            <w:hideMark/>
          </w:tcPr>
          <w:p w14:paraId="1037D743" w14:textId="7D1F9079" w:rsidR="00F154AB" w:rsidRPr="00F154AB" w:rsidRDefault="00F154AB" w:rsidP="00F154AB">
            <w:pPr>
              <w:ind w:firstLine="0"/>
              <w:jc w:val="center"/>
              <w:rPr>
                <w:rFonts w:eastAsia="Times New Roman" w:cs="Times New Roman"/>
                <w:color w:val="000000"/>
                <w:szCs w:val="24"/>
                <w:lang w:eastAsia="ru-RU"/>
              </w:rPr>
            </w:pPr>
            <w:r w:rsidRPr="00F154AB">
              <w:rPr>
                <w:rFonts w:eastAsia="Times New Roman" w:cs="Times New Roman"/>
                <w:color w:val="000000"/>
                <w:szCs w:val="24"/>
                <w:lang w:eastAsia="ru-RU"/>
              </w:rPr>
              <w:t>Расстояние от объекта до локального(-ых) центра(-ов), положительно влияющего(-их) на стоимость объек</w:t>
            </w:r>
            <w:r w:rsidR="005376A2">
              <w:rPr>
                <w:rFonts w:eastAsia="Times New Roman" w:cs="Times New Roman"/>
                <w:color w:val="000000"/>
                <w:szCs w:val="24"/>
                <w:lang w:eastAsia="ru-RU"/>
              </w:rPr>
              <w:t>та</w:t>
            </w:r>
          </w:p>
        </w:tc>
        <w:tc>
          <w:tcPr>
            <w:tcW w:w="450" w:type="pct"/>
            <w:tcBorders>
              <w:top w:val="nil"/>
              <w:left w:val="nil"/>
              <w:bottom w:val="single" w:sz="4" w:space="0" w:color="000000"/>
              <w:right w:val="single" w:sz="4" w:space="0" w:color="000000"/>
            </w:tcBorders>
            <w:shd w:val="clear" w:color="auto" w:fill="auto"/>
            <w:vAlign w:val="center"/>
            <w:hideMark/>
          </w:tcPr>
          <w:p w14:paraId="4949CEED" w14:textId="77777777" w:rsidR="00F154AB" w:rsidRPr="00F154AB" w:rsidRDefault="00F154AB" w:rsidP="00F154AB">
            <w:pPr>
              <w:ind w:firstLine="0"/>
              <w:jc w:val="center"/>
              <w:rPr>
                <w:rFonts w:eastAsia="Times New Roman" w:cs="Times New Roman"/>
                <w:color w:val="000000"/>
                <w:szCs w:val="24"/>
                <w:lang w:eastAsia="ru-RU"/>
              </w:rPr>
            </w:pPr>
            <w:r w:rsidRPr="00F154AB">
              <w:rPr>
                <w:rFonts w:eastAsia="Times New Roman" w:cs="Times New Roman"/>
                <w:color w:val="000000"/>
                <w:szCs w:val="24"/>
                <w:lang w:eastAsia="ru-RU"/>
              </w:rPr>
              <w:t>0,5</w:t>
            </w:r>
          </w:p>
        </w:tc>
        <w:tc>
          <w:tcPr>
            <w:tcW w:w="419" w:type="pct"/>
            <w:tcBorders>
              <w:top w:val="nil"/>
              <w:left w:val="nil"/>
              <w:bottom w:val="single" w:sz="4" w:space="0" w:color="000000"/>
              <w:right w:val="single" w:sz="4" w:space="0" w:color="000000"/>
            </w:tcBorders>
            <w:shd w:val="clear" w:color="auto" w:fill="auto"/>
            <w:vAlign w:val="center"/>
            <w:hideMark/>
          </w:tcPr>
          <w:p w14:paraId="2F9443AC" w14:textId="77777777" w:rsidR="00F154AB" w:rsidRPr="00F154AB" w:rsidRDefault="00F154AB" w:rsidP="00F154AB">
            <w:pPr>
              <w:ind w:firstLine="0"/>
              <w:jc w:val="center"/>
              <w:rPr>
                <w:rFonts w:eastAsia="Times New Roman" w:cs="Times New Roman"/>
                <w:color w:val="000000"/>
                <w:szCs w:val="24"/>
                <w:lang w:eastAsia="ru-RU"/>
              </w:rPr>
            </w:pPr>
            <w:r w:rsidRPr="00F154AB">
              <w:rPr>
                <w:rFonts w:eastAsia="Times New Roman" w:cs="Times New Roman"/>
                <w:color w:val="000000"/>
                <w:szCs w:val="24"/>
                <w:lang w:eastAsia="ru-RU"/>
              </w:rPr>
              <w:t>0,81</w:t>
            </w:r>
          </w:p>
        </w:tc>
        <w:tc>
          <w:tcPr>
            <w:tcW w:w="663" w:type="pct"/>
            <w:tcBorders>
              <w:top w:val="nil"/>
              <w:left w:val="nil"/>
              <w:bottom w:val="single" w:sz="4" w:space="0" w:color="000000"/>
              <w:right w:val="single" w:sz="4" w:space="0" w:color="000000"/>
            </w:tcBorders>
            <w:shd w:val="clear" w:color="auto" w:fill="auto"/>
            <w:vAlign w:val="center"/>
            <w:hideMark/>
          </w:tcPr>
          <w:p w14:paraId="65F4F4B3" w14:textId="77777777" w:rsidR="00F154AB" w:rsidRPr="00F154AB" w:rsidRDefault="00F154AB" w:rsidP="00F154AB">
            <w:pPr>
              <w:ind w:firstLine="0"/>
              <w:jc w:val="center"/>
              <w:rPr>
                <w:rFonts w:eastAsia="Times New Roman" w:cs="Times New Roman"/>
                <w:color w:val="000000"/>
                <w:szCs w:val="24"/>
                <w:lang w:eastAsia="ru-RU"/>
              </w:rPr>
            </w:pPr>
            <w:r w:rsidRPr="00F154AB">
              <w:rPr>
                <w:rFonts w:eastAsia="Times New Roman" w:cs="Times New Roman"/>
                <w:color w:val="000000"/>
                <w:szCs w:val="24"/>
                <w:lang w:eastAsia="ru-RU"/>
              </w:rPr>
              <w:t>нет</w:t>
            </w:r>
          </w:p>
        </w:tc>
        <w:tc>
          <w:tcPr>
            <w:tcW w:w="2161" w:type="pct"/>
            <w:tcBorders>
              <w:top w:val="nil"/>
              <w:left w:val="nil"/>
              <w:bottom w:val="single" w:sz="4" w:space="0" w:color="000000"/>
              <w:right w:val="single" w:sz="4" w:space="0" w:color="000000"/>
            </w:tcBorders>
            <w:shd w:val="clear" w:color="auto" w:fill="auto"/>
            <w:vAlign w:val="center"/>
            <w:hideMark/>
          </w:tcPr>
          <w:p w14:paraId="015C615B" w14:textId="77777777" w:rsidR="00F154AB" w:rsidRPr="00F154AB" w:rsidRDefault="00F154AB" w:rsidP="00F154AB">
            <w:pPr>
              <w:ind w:firstLine="0"/>
              <w:jc w:val="left"/>
              <w:rPr>
                <w:rFonts w:eastAsia="Times New Roman" w:cs="Times New Roman"/>
                <w:color w:val="000000"/>
                <w:szCs w:val="24"/>
                <w:lang w:eastAsia="ru-RU"/>
              </w:rPr>
            </w:pPr>
            <w:r w:rsidRPr="00F154AB">
              <w:rPr>
                <w:rFonts w:eastAsia="Times New Roman" w:cs="Times New Roman"/>
                <w:color w:val="000000"/>
                <w:szCs w:val="24"/>
                <w:lang w:eastAsia="ru-RU"/>
              </w:rPr>
              <w:t>Данный ценообразующий фактор сильно коррелирует с прочими ценообразующими факторами, определяющими локальное местоположение объекта</w:t>
            </w:r>
          </w:p>
        </w:tc>
      </w:tr>
      <w:tr w:rsidR="00F154AB" w:rsidRPr="00F154AB" w14:paraId="68173F9E" w14:textId="77777777" w:rsidTr="00F154AB">
        <w:trPr>
          <w:trHeight w:val="630"/>
        </w:trPr>
        <w:tc>
          <w:tcPr>
            <w:tcW w:w="138" w:type="pct"/>
            <w:tcBorders>
              <w:top w:val="nil"/>
              <w:left w:val="single" w:sz="4" w:space="0" w:color="000000"/>
              <w:bottom w:val="single" w:sz="4" w:space="0" w:color="000000"/>
              <w:right w:val="single" w:sz="4" w:space="0" w:color="000000"/>
            </w:tcBorders>
            <w:shd w:val="clear" w:color="auto" w:fill="auto"/>
            <w:vAlign w:val="center"/>
            <w:hideMark/>
          </w:tcPr>
          <w:p w14:paraId="7F28F11F" w14:textId="77777777" w:rsidR="00F154AB" w:rsidRPr="00F154AB" w:rsidRDefault="00F154AB" w:rsidP="00F154AB">
            <w:pPr>
              <w:ind w:firstLine="0"/>
              <w:jc w:val="center"/>
              <w:rPr>
                <w:rFonts w:eastAsia="Times New Roman" w:cs="Times New Roman"/>
                <w:color w:val="000000"/>
                <w:szCs w:val="24"/>
                <w:lang w:eastAsia="ru-RU"/>
              </w:rPr>
            </w:pPr>
            <w:r w:rsidRPr="00F154AB">
              <w:rPr>
                <w:rFonts w:eastAsia="Times New Roman" w:cs="Times New Roman"/>
                <w:color w:val="000000"/>
                <w:szCs w:val="24"/>
                <w:lang w:eastAsia="ru-RU"/>
              </w:rPr>
              <w:t>12</w:t>
            </w:r>
          </w:p>
        </w:tc>
        <w:tc>
          <w:tcPr>
            <w:tcW w:w="1169" w:type="pct"/>
            <w:tcBorders>
              <w:top w:val="nil"/>
              <w:left w:val="nil"/>
              <w:bottom w:val="single" w:sz="4" w:space="0" w:color="000000"/>
              <w:right w:val="single" w:sz="4" w:space="0" w:color="000000"/>
            </w:tcBorders>
            <w:shd w:val="clear" w:color="auto" w:fill="auto"/>
            <w:vAlign w:val="center"/>
            <w:hideMark/>
          </w:tcPr>
          <w:p w14:paraId="60B73802" w14:textId="77777777" w:rsidR="00F154AB" w:rsidRPr="00F154AB" w:rsidRDefault="00F154AB" w:rsidP="00F154AB">
            <w:pPr>
              <w:ind w:firstLine="0"/>
              <w:jc w:val="center"/>
              <w:rPr>
                <w:rFonts w:eastAsia="Times New Roman" w:cs="Times New Roman"/>
                <w:color w:val="000000"/>
                <w:szCs w:val="24"/>
                <w:lang w:eastAsia="ru-RU"/>
              </w:rPr>
            </w:pPr>
            <w:r w:rsidRPr="00F154AB">
              <w:rPr>
                <w:rFonts w:eastAsia="Times New Roman" w:cs="Times New Roman"/>
                <w:color w:val="000000"/>
                <w:szCs w:val="24"/>
                <w:lang w:eastAsia="ru-RU"/>
              </w:rPr>
              <w:t>Теплоснабжение</w:t>
            </w:r>
          </w:p>
        </w:tc>
        <w:tc>
          <w:tcPr>
            <w:tcW w:w="450" w:type="pct"/>
            <w:tcBorders>
              <w:top w:val="nil"/>
              <w:left w:val="nil"/>
              <w:bottom w:val="single" w:sz="4" w:space="0" w:color="000000"/>
              <w:right w:val="single" w:sz="4" w:space="0" w:color="000000"/>
            </w:tcBorders>
            <w:shd w:val="clear" w:color="auto" w:fill="auto"/>
            <w:vAlign w:val="center"/>
            <w:hideMark/>
          </w:tcPr>
          <w:p w14:paraId="6FEC8768" w14:textId="77777777" w:rsidR="00F154AB" w:rsidRPr="00F154AB" w:rsidRDefault="00F154AB" w:rsidP="00F154AB">
            <w:pPr>
              <w:ind w:firstLine="0"/>
              <w:jc w:val="center"/>
              <w:rPr>
                <w:rFonts w:eastAsia="Times New Roman" w:cs="Times New Roman"/>
                <w:color w:val="000000"/>
                <w:szCs w:val="24"/>
                <w:lang w:eastAsia="ru-RU"/>
              </w:rPr>
            </w:pPr>
            <w:r w:rsidRPr="00F154AB">
              <w:rPr>
                <w:rFonts w:eastAsia="Times New Roman" w:cs="Times New Roman"/>
                <w:color w:val="000000"/>
                <w:szCs w:val="24"/>
                <w:lang w:eastAsia="ru-RU"/>
              </w:rPr>
              <w:t>0,25</w:t>
            </w:r>
          </w:p>
        </w:tc>
        <w:tc>
          <w:tcPr>
            <w:tcW w:w="419" w:type="pct"/>
            <w:tcBorders>
              <w:top w:val="nil"/>
              <w:left w:val="nil"/>
              <w:bottom w:val="single" w:sz="4" w:space="0" w:color="000000"/>
              <w:right w:val="single" w:sz="4" w:space="0" w:color="000000"/>
            </w:tcBorders>
            <w:shd w:val="clear" w:color="auto" w:fill="auto"/>
            <w:vAlign w:val="center"/>
            <w:hideMark/>
          </w:tcPr>
          <w:p w14:paraId="60138316" w14:textId="77777777" w:rsidR="00F154AB" w:rsidRPr="00F154AB" w:rsidRDefault="00F154AB" w:rsidP="00F154AB">
            <w:pPr>
              <w:ind w:firstLine="0"/>
              <w:jc w:val="center"/>
              <w:rPr>
                <w:rFonts w:eastAsia="Times New Roman" w:cs="Times New Roman"/>
                <w:color w:val="000000"/>
                <w:szCs w:val="24"/>
                <w:lang w:eastAsia="ru-RU"/>
              </w:rPr>
            </w:pPr>
            <w:r w:rsidRPr="00F154AB">
              <w:rPr>
                <w:rFonts w:eastAsia="Times New Roman" w:cs="Times New Roman"/>
                <w:color w:val="000000"/>
                <w:szCs w:val="24"/>
                <w:lang w:eastAsia="ru-RU"/>
              </w:rPr>
              <w:t>0,4</w:t>
            </w:r>
          </w:p>
        </w:tc>
        <w:tc>
          <w:tcPr>
            <w:tcW w:w="663" w:type="pct"/>
            <w:tcBorders>
              <w:top w:val="nil"/>
              <w:left w:val="nil"/>
              <w:bottom w:val="single" w:sz="4" w:space="0" w:color="000000"/>
              <w:right w:val="single" w:sz="4" w:space="0" w:color="000000"/>
            </w:tcBorders>
            <w:shd w:val="clear" w:color="auto" w:fill="auto"/>
            <w:vAlign w:val="center"/>
            <w:hideMark/>
          </w:tcPr>
          <w:p w14:paraId="6798C8D1" w14:textId="77777777" w:rsidR="00F154AB" w:rsidRPr="00F154AB" w:rsidRDefault="00F154AB" w:rsidP="00F154AB">
            <w:pPr>
              <w:ind w:firstLine="0"/>
              <w:jc w:val="center"/>
              <w:rPr>
                <w:rFonts w:eastAsia="Times New Roman" w:cs="Times New Roman"/>
                <w:color w:val="000000"/>
                <w:szCs w:val="24"/>
                <w:lang w:eastAsia="ru-RU"/>
              </w:rPr>
            </w:pPr>
            <w:r w:rsidRPr="00F154AB">
              <w:rPr>
                <w:rFonts w:eastAsia="Times New Roman" w:cs="Times New Roman"/>
                <w:color w:val="000000"/>
                <w:szCs w:val="24"/>
                <w:lang w:eastAsia="ru-RU"/>
              </w:rPr>
              <w:t>нет</w:t>
            </w:r>
          </w:p>
        </w:tc>
        <w:tc>
          <w:tcPr>
            <w:tcW w:w="2161" w:type="pct"/>
            <w:tcBorders>
              <w:top w:val="nil"/>
              <w:left w:val="nil"/>
              <w:bottom w:val="single" w:sz="4" w:space="0" w:color="000000"/>
              <w:right w:val="single" w:sz="4" w:space="0" w:color="000000"/>
            </w:tcBorders>
            <w:shd w:val="clear" w:color="auto" w:fill="auto"/>
            <w:vAlign w:val="center"/>
            <w:hideMark/>
          </w:tcPr>
          <w:p w14:paraId="6B5CF45B" w14:textId="77777777" w:rsidR="00F154AB" w:rsidRPr="00F154AB" w:rsidRDefault="00F154AB" w:rsidP="00F154AB">
            <w:pPr>
              <w:ind w:firstLine="0"/>
              <w:jc w:val="left"/>
              <w:rPr>
                <w:rFonts w:eastAsia="Times New Roman" w:cs="Times New Roman"/>
                <w:color w:val="000000"/>
                <w:szCs w:val="24"/>
                <w:lang w:eastAsia="ru-RU"/>
              </w:rPr>
            </w:pPr>
            <w:r w:rsidRPr="00F154AB">
              <w:rPr>
                <w:rFonts w:eastAsia="Times New Roman" w:cs="Times New Roman"/>
                <w:color w:val="000000"/>
                <w:szCs w:val="24"/>
                <w:lang w:eastAsia="ru-RU"/>
              </w:rPr>
              <w:t>Коэффициент корреляции ценообразующего фактора очень мал и ценообразующий фактор статистически не значим в модели</w:t>
            </w:r>
          </w:p>
        </w:tc>
      </w:tr>
      <w:tr w:rsidR="00F154AB" w:rsidRPr="00F154AB" w14:paraId="022C8CE7" w14:textId="77777777" w:rsidTr="00F154AB">
        <w:trPr>
          <w:trHeight w:val="630"/>
        </w:trPr>
        <w:tc>
          <w:tcPr>
            <w:tcW w:w="138" w:type="pct"/>
            <w:tcBorders>
              <w:top w:val="nil"/>
              <w:left w:val="single" w:sz="4" w:space="0" w:color="000000"/>
              <w:bottom w:val="single" w:sz="4" w:space="0" w:color="000000"/>
              <w:right w:val="single" w:sz="4" w:space="0" w:color="000000"/>
            </w:tcBorders>
            <w:shd w:val="clear" w:color="auto" w:fill="auto"/>
            <w:vAlign w:val="center"/>
            <w:hideMark/>
          </w:tcPr>
          <w:p w14:paraId="5EF07447" w14:textId="77777777" w:rsidR="00F154AB" w:rsidRPr="00F154AB" w:rsidRDefault="00F154AB" w:rsidP="00F154AB">
            <w:pPr>
              <w:ind w:firstLine="0"/>
              <w:jc w:val="center"/>
              <w:rPr>
                <w:rFonts w:eastAsia="Times New Roman" w:cs="Times New Roman"/>
                <w:color w:val="000000"/>
                <w:szCs w:val="24"/>
                <w:lang w:eastAsia="ru-RU"/>
              </w:rPr>
            </w:pPr>
            <w:r w:rsidRPr="00F154AB">
              <w:rPr>
                <w:rFonts w:eastAsia="Times New Roman" w:cs="Times New Roman"/>
                <w:color w:val="000000"/>
                <w:szCs w:val="24"/>
                <w:lang w:eastAsia="ru-RU"/>
              </w:rPr>
              <w:t>13</w:t>
            </w:r>
          </w:p>
        </w:tc>
        <w:tc>
          <w:tcPr>
            <w:tcW w:w="1169" w:type="pct"/>
            <w:tcBorders>
              <w:top w:val="nil"/>
              <w:left w:val="nil"/>
              <w:bottom w:val="single" w:sz="4" w:space="0" w:color="000000"/>
              <w:right w:val="single" w:sz="4" w:space="0" w:color="000000"/>
            </w:tcBorders>
            <w:shd w:val="clear" w:color="auto" w:fill="auto"/>
            <w:vAlign w:val="center"/>
            <w:hideMark/>
          </w:tcPr>
          <w:p w14:paraId="49A9A681" w14:textId="77777777" w:rsidR="00F154AB" w:rsidRPr="00F154AB" w:rsidRDefault="00F154AB" w:rsidP="00F154AB">
            <w:pPr>
              <w:ind w:firstLine="0"/>
              <w:jc w:val="center"/>
              <w:rPr>
                <w:rFonts w:eastAsia="Times New Roman" w:cs="Times New Roman"/>
                <w:color w:val="000000"/>
                <w:szCs w:val="24"/>
                <w:lang w:eastAsia="ru-RU"/>
              </w:rPr>
            </w:pPr>
            <w:r w:rsidRPr="00F154AB">
              <w:rPr>
                <w:rFonts w:eastAsia="Times New Roman" w:cs="Times New Roman"/>
                <w:color w:val="000000"/>
                <w:szCs w:val="24"/>
                <w:lang w:eastAsia="ru-RU"/>
              </w:rPr>
              <w:t>Физический износ_ЗП</w:t>
            </w:r>
          </w:p>
        </w:tc>
        <w:tc>
          <w:tcPr>
            <w:tcW w:w="450" w:type="pct"/>
            <w:tcBorders>
              <w:top w:val="nil"/>
              <w:left w:val="nil"/>
              <w:bottom w:val="single" w:sz="4" w:space="0" w:color="000000"/>
              <w:right w:val="single" w:sz="4" w:space="0" w:color="000000"/>
            </w:tcBorders>
            <w:shd w:val="clear" w:color="auto" w:fill="auto"/>
            <w:vAlign w:val="center"/>
            <w:hideMark/>
          </w:tcPr>
          <w:p w14:paraId="0C656D1F" w14:textId="77777777" w:rsidR="00F154AB" w:rsidRPr="00F154AB" w:rsidRDefault="00F154AB" w:rsidP="00F154AB">
            <w:pPr>
              <w:ind w:firstLine="0"/>
              <w:jc w:val="center"/>
              <w:rPr>
                <w:rFonts w:eastAsia="Times New Roman" w:cs="Times New Roman"/>
                <w:color w:val="000000"/>
                <w:szCs w:val="24"/>
                <w:lang w:eastAsia="ru-RU"/>
              </w:rPr>
            </w:pPr>
            <w:r w:rsidRPr="00F154AB">
              <w:rPr>
                <w:rFonts w:eastAsia="Times New Roman" w:cs="Times New Roman"/>
                <w:color w:val="000000"/>
                <w:szCs w:val="24"/>
                <w:lang w:eastAsia="ru-RU"/>
              </w:rPr>
              <w:t>0,39</w:t>
            </w:r>
          </w:p>
        </w:tc>
        <w:tc>
          <w:tcPr>
            <w:tcW w:w="419" w:type="pct"/>
            <w:tcBorders>
              <w:top w:val="nil"/>
              <w:left w:val="nil"/>
              <w:bottom w:val="single" w:sz="4" w:space="0" w:color="000000"/>
              <w:right w:val="single" w:sz="4" w:space="0" w:color="000000"/>
            </w:tcBorders>
            <w:shd w:val="clear" w:color="auto" w:fill="auto"/>
            <w:vAlign w:val="center"/>
            <w:hideMark/>
          </w:tcPr>
          <w:p w14:paraId="2A17F1F7" w14:textId="77777777" w:rsidR="00F154AB" w:rsidRPr="00F154AB" w:rsidRDefault="00F154AB" w:rsidP="00F154AB">
            <w:pPr>
              <w:ind w:firstLine="0"/>
              <w:jc w:val="center"/>
              <w:rPr>
                <w:rFonts w:eastAsia="Times New Roman" w:cs="Times New Roman"/>
                <w:color w:val="000000"/>
                <w:szCs w:val="24"/>
                <w:lang w:eastAsia="ru-RU"/>
              </w:rPr>
            </w:pPr>
            <w:r w:rsidRPr="00F154AB">
              <w:rPr>
                <w:rFonts w:eastAsia="Times New Roman" w:cs="Times New Roman"/>
                <w:color w:val="000000"/>
                <w:szCs w:val="24"/>
                <w:lang w:eastAsia="ru-RU"/>
              </w:rPr>
              <w:t>0,63</w:t>
            </w:r>
          </w:p>
        </w:tc>
        <w:tc>
          <w:tcPr>
            <w:tcW w:w="663" w:type="pct"/>
            <w:tcBorders>
              <w:top w:val="nil"/>
              <w:left w:val="nil"/>
              <w:bottom w:val="single" w:sz="4" w:space="0" w:color="000000"/>
              <w:right w:val="single" w:sz="4" w:space="0" w:color="000000"/>
            </w:tcBorders>
            <w:shd w:val="clear" w:color="auto" w:fill="auto"/>
            <w:vAlign w:val="center"/>
            <w:hideMark/>
          </w:tcPr>
          <w:p w14:paraId="73AA50F1" w14:textId="77777777" w:rsidR="00F154AB" w:rsidRPr="00F154AB" w:rsidRDefault="00F154AB" w:rsidP="00F154AB">
            <w:pPr>
              <w:ind w:firstLine="0"/>
              <w:jc w:val="center"/>
              <w:rPr>
                <w:rFonts w:eastAsia="Times New Roman" w:cs="Times New Roman"/>
                <w:color w:val="000000"/>
                <w:szCs w:val="24"/>
                <w:lang w:eastAsia="ru-RU"/>
              </w:rPr>
            </w:pPr>
            <w:r w:rsidRPr="00F154AB">
              <w:rPr>
                <w:rFonts w:eastAsia="Times New Roman" w:cs="Times New Roman"/>
                <w:color w:val="000000"/>
                <w:szCs w:val="24"/>
                <w:lang w:eastAsia="ru-RU"/>
              </w:rPr>
              <w:t>да</w:t>
            </w:r>
          </w:p>
        </w:tc>
        <w:tc>
          <w:tcPr>
            <w:tcW w:w="2161" w:type="pct"/>
            <w:tcBorders>
              <w:top w:val="nil"/>
              <w:left w:val="nil"/>
              <w:bottom w:val="single" w:sz="4" w:space="0" w:color="000000"/>
              <w:right w:val="single" w:sz="4" w:space="0" w:color="000000"/>
            </w:tcBorders>
            <w:shd w:val="clear" w:color="auto" w:fill="auto"/>
            <w:vAlign w:val="center"/>
            <w:hideMark/>
          </w:tcPr>
          <w:p w14:paraId="67F020F0" w14:textId="77777777" w:rsidR="00F154AB" w:rsidRPr="00F154AB" w:rsidRDefault="00F154AB" w:rsidP="00F154AB">
            <w:pPr>
              <w:ind w:firstLine="0"/>
              <w:jc w:val="left"/>
              <w:rPr>
                <w:rFonts w:eastAsia="Times New Roman" w:cs="Times New Roman"/>
                <w:color w:val="000000"/>
                <w:szCs w:val="24"/>
                <w:lang w:eastAsia="ru-RU"/>
              </w:rPr>
            </w:pPr>
            <w:r w:rsidRPr="00F154AB">
              <w:rPr>
                <w:rFonts w:eastAsia="Times New Roman" w:cs="Times New Roman"/>
                <w:color w:val="000000"/>
                <w:szCs w:val="24"/>
                <w:lang w:eastAsia="ru-RU"/>
              </w:rPr>
              <w:t>Ценообразующий фактор соответствует критериям, описанным выше. Данный фактор оказывает существенное влияние на стоимость объектов недвижимости</w:t>
            </w:r>
          </w:p>
        </w:tc>
      </w:tr>
      <w:tr w:rsidR="00F154AB" w:rsidRPr="00F154AB" w14:paraId="02D946BD" w14:textId="77777777" w:rsidTr="00F154AB">
        <w:trPr>
          <w:trHeight w:val="1260"/>
        </w:trPr>
        <w:tc>
          <w:tcPr>
            <w:tcW w:w="138" w:type="pct"/>
            <w:tcBorders>
              <w:top w:val="nil"/>
              <w:left w:val="single" w:sz="4" w:space="0" w:color="000000"/>
              <w:bottom w:val="single" w:sz="4" w:space="0" w:color="000000"/>
              <w:right w:val="single" w:sz="4" w:space="0" w:color="000000"/>
            </w:tcBorders>
            <w:shd w:val="clear" w:color="auto" w:fill="auto"/>
            <w:vAlign w:val="center"/>
            <w:hideMark/>
          </w:tcPr>
          <w:p w14:paraId="02263B1C" w14:textId="77777777" w:rsidR="00F154AB" w:rsidRPr="00F154AB" w:rsidRDefault="00F154AB" w:rsidP="00F154AB">
            <w:pPr>
              <w:ind w:firstLine="0"/>
              <w:jc w:val="center"/>
              <w:rPr>
                <w:rFonts w:eastAsia="Times New Roman" w:cs="Times New Roman"/>
                <w:color w:val="000000"/>
                <w:szCs w:val="24"/>
                <w:lang w:eastAsia="ru-RU"/>
              </w:rPr>
            </w:pPr>
            <w:r w:rsidRPr="00F154AB">
              <w:rPr>
                <w:rFonts w:eastAsia="Times New Roman" w:cs="Times New Roman"/>
                <w:color w:val="000000"/>
                <w:szCs w:val="24"/>
                <w:lang w:eastAsia="ru-RU"/>
              </w:rPr>
              <w:t>14</w:t>
            </w:r>
          </w:p>
        </w:tc>
        <w:tc>
          <w:tcPr>
            <w:tcW w:w="1169" w:type="pct"/>
            <w:tcBorders>
              <w:top w:val="nil"/>
              <w:left w:val="nil"/>
              <w:bottom w:val="single" w:sz="4" w:space="0" w:color="000000"/>
              <w:right w:val="single" w:sz="4" w:space="0" w:color="000000"/>
            </w:tcBorders>
            <w:shd w:val="clear" w:color="auto" w:fill="auto"/>
            <w:vAlign w:val="center"/>
            <w:hideMark/>
          </w:tcPr>
          <w:p w14:paraId="0FB655B4" w14:textId="77777777" w:rsidR="00F154AB" w:rsidRPr="00F154AB" w:rsidRDefault="00F154AB" w:rsidP="00F154AB">
            <w:pPr>
              <w:ind w:firstLine="0"/>
              <w:jc w:val="center"/>
              <w:rPr>
                <w:rFonts w:eastAsia="Times New Roman" w:cs="Times New Roman"/>
                <w:color w:val="000000"/>
                <w:szCs w:val="24"/>
                <w:lang w:eastAsia="ru-RU"/>
              </w:rPr>
            </w:pPr>
            <w:r w:rsidRPr="00F154AB">
              <w:rPr>
                <w:rFonts w:eastAsia="Times New Roman" w:cs="Times New Roman"/>
                <w:color w:val="000000"/>
                <w:szCs w:val="24"/>
                <w:lang w:eastAsia="ru-RU"/>
              </w:rPr>
              <w:t>ЦГКО_уточнение Год постройки</w:t>
            </w:r>
          </w:p>
        </w:tc>
        <w:tc>
          <w:tcPr>
            <w:tcW w:w="450" w:type="pct"/>
            <w:tcBorders>
              <w:top w:val="nil"/>
              <w:left w:val="nil"/>
              <w:bottom w:val="single" w:sz="4" w:space="0" w:color="000000"/>
              <w:right w:val="single" w:sz="4" w:space="0" w:color="000000"/>
            </w:tcBorders>
            <w:shd w:val="clear" w:color="auto" w:fill="auto"/>
            <w:vAlign w:val="center"/>
            <w:hideMark/>
          </w:tcPr>
          <w:p w14:paraId="61028B2A" w14:textId="77777777" w:rsidR="00F154AB" w:rsidRPr="00F154AB" w:rsidRDefault="00F154AB" w:rsidP="00F154AB">
            <w:pPr>
              <w:ind w:firstLine="0"/>
              <w:jc w:val="center"/>
              <w:rPr>
                <w:rFonts w:eastAsia="Times New Roman" w:cs="Times New Roman"/>
                <w:color w:val="000000"/>
                <w:szCs w:val="24"/>
                <w:lang w:eastAsia="ru-RU"/>
              </w:rPr>
            </w:pPr>
            <w:r w:rsidRPr="00F154AB">
              <w:rPr>
                <w:rFonts w:eastAsia="Times New Roman" w:cs="Times New Roman"/>
                <w:color w:val="000000"/>
                <w:szCs w:val="24"/>
                <w:lang w:eastAsia="ru-RU"/>
              </w:rPr>
              <w:t>0,55</w:t>
            </w:r>
          </w:p>
        </w:tc>
        <w:tc>
          <w:tcPr>
            <w:tcW w:w="419" w:type="pct"/>
            <w:tcBorders>
              <w:top w:val="nil"/>
              <w:left w:val="nil"/>
              <w:bottom w:val="single" w:sz="4" w:space="0" w:color="000000"/>
              <w:right w:val="single" w:sz="4" w:space="0" w:color="000000"/>
            </w:tcBorders>
            <w:shd w:val="clear" w:color="auto" w:fill="auto"/>
            <w:vAlign w:val="center"/>
            <w:hideMark/>
          </w:tcPr>
          <w:p w14:paraId="39A1A5FD" w14:textId="77777777" w:rsidR="00F154AB" w:rsidRPr="00F154AB" w:rsidRDefault="00F154AB" w:rsidP="00F154AB">
            <w:pPr>
              <w:ind w:firstLine="0"/>
              <w:jc w:val="center"/>
              <w:rPr>
                <w:rFonts w:eastAsia="Times New Roman" w:cs="Times New Roman"/>
                <w:color w:val="000000"/>
                <w:szCs w:val="24"/>
                <w:lang w:eastAsia="ru-RU"/>
              </w:rPr>
            </w:pPr>
            <w:r w:rsidRPr="00F154AB">
              <w:rPr>
                <w:rFonts w:eastAsia="Times New Roman" w:cs="Times New Roman"/>
                <w:color w:val="000000"/>
                <w:szCs w:val="24"/>
                <w:lang w:eastAsia="ru-RU"/>
              </w:rPr>
              <w:t>0,9</w:t>
            </w:r>
          </w:p>
        </w:tc>
        <w:tc>
          <w:tcPr>
            <w:tcW w:w="663" w:type="pct"/>
            <w:tcBorders>
              <w:top w:val="nil"/>
              <w:left w:val="nil"/>
              <w:bottom w:val="single" w:sz="4" w:space="0" w:color="000000"/>
              <w:right w:val="single" w:sz="4" w:space="0" w:color="000000"/>
            </w:tcBorders>
            <w:shd w:val="clear" w:color="auto" w:fill="auto"/>
            <w:vAlign w:val="center"/>
            <w:hideMark/>
          </w:tcPr>
          <w:p w14:paraId="0969B979" w14:textId="77777777" w:rsidR="00F154AB" w:rsidRPr="00F154AB" w:rsidRDefault="00F154AB" w:rsidP="00F154AB">
            <w:pPr>
              <w:ind w:firstLine="0"/>
              <w:jc w:val="center"/>
              <w:rPr>
                <w:rFonts w:eastAsia="Times New Roman" w:cs="Times New Roman"/>
                <w:color w:val="000000"/>
                <w:szCs w:val="24"/>
                <w:lang w:eastAsia="ru-RU"/>
              </w:rPr>
            </w:pPr>
            <w:r w:rsidRPr="00F154AB">
              <w:rPr>
                <w:rFonts w:eastAsia="Times New Roman" w:cs="Times New Roman"/>
                <w:color w:val="000000"/>
                <w:szCs w:val="24"/>
                <w:lang w:eastAsia="ru-RU"/>
              </w:rPr>
              <w:t>нет</w:t>
            </w:r>
          </w:p>
        </w:tc>
        <w:tc>
          <w:tcPr>
            <w:tcW w:w="2161" w:type="pct"/>
            <w:tcBorders>
              <w:top w:val="nil"/>
              <w:left w:val="nil"/>
              <w:bottom w:val="single" w:sz="4" w:space="0" w:color="000000"/>
              <w:right w:val="single" w:sz="4" w:space="0" w:color="000000"/>
            </w:tcBorders>
            <w:shd w:val="clear" w:color="auto" w:fill="auto"/>
            <w:vAlign w:val="center"/>
            <w:hideMark/>
          </w:tcPr>
          <w:p w14:paraId="37FD1346" w14:textId="77777777" w:rsidR="00F154AB" w:rsidRPr="00F154AB" w:rsidRDefault="00F154AB" w:rsidP="00F154AB">
            <w:pPr>
              <w:ind w:firstLine="0"/>
              <w:jc w:val="left"/>
              <w:rPr>
                <w:rFonts w:eastAsia="Times New Roman" w:cs="Times New Roman"/>
                <w:color w:val="000000"/>
                <w:szCs w:val="24"/>
                <w:lang w:eastAsia="ru-RU"/>
              </w:rPr>
            </w:pPr>
            <w:r w:rsidRPr="00F154AB">
              <w:rPr>
                <w:rFonts w:eastAsia="Times New Roman" w:cs="Times New Roman"/>
                <w:color w:val="000000"/>
                <w:szCs w:val="24"/>
                <w:lang w:eastAsia="ru-RU"/>
              </w:rPr>
              <w:t>Направленность корреляционной зависимости между ценообразующим фактором и удельной ценой объектов-аналогов не соответствует экономической гипотезе о наблюдаемом на рынке характере влияния данного фактора на зависимую переменную</w:t>
            </w:r>
          </w:p>
        </w:tc>
      </w:tr>
      <w:tr w:rsidR="00F154AB" w:rsidRPr="00F154AB" w14:paraId="64472EA8" w14:textId="77777777" w:rsidTr="00F154AB">
        <w:trPr>
          <w:trHeight w:val="630"/>
        </w:trPr>
        <w:tc>
          <w:tcPr>
            <w:tcW w:w="138" w:type="pct"/>
            <w:tcBorders>
              <w:top w:val="nil"/>
              <w:left w:val="single" w:sz="4" w:space="0" w:color="000000"/>
              <w:bottom w:val="single" w:sz="4" w:space="0" w:color="000000"/>
              <w:right w:val="single" w:sz="4" w:space="0" w:color="000000"/>
            </w:tcBorders>
            <w:shd w:val="clear" w:color="auto" w:fill="auto"/>
            <w:vAlign w:val="center"/>
            <w:hideMark/>
          </w:tcPr>
          <w:p w14:paraId="647B801F" w14:textId="77777777" w:rsidR="00F154AB" w:rsidRPr="00F154AB" w:rsidRDefault="00F154AB" w:rsidP="00F154AB">
            <w:pPr>
              <w:ind w:firstLine="0"/>
              <w:jc w:val="center"/>
              <w:rPr>
                <w:rFonts w:eastAsia="Times New Roman" w:cs="Times New Roman"/>
                <w:color w:val="000000"/>
                <w:szCs w:val="24"/>
                <w:lang w:eastAsia="ru-RU"/>
              </w:rPr>
            </w:pPr>
            <w:r w:rsidRPr="00F154AB">
              <w:rPr>
                <w:rFonts w:eastAsia="Times New Roman" w:cs="Times New Roman"/>
                <w:color w:val="000000"/>
                <w:szCs w:val="24"/>
                <w:lang w:eastAsia="ru-RU"/>
              </w:rPr>
              <w:t>15</w:t>
            </w:r>
          </w:p>
        </w:tc>
        <w:tc>
          <w:tcPr>
            <w:tcW w:w="1169" w:type="pct"/>
            <w:tcBorders>
              <w:top w:val="nil"/>
              <w:left w:val="nil"/>
              <w:bottom w:val="single" w:sz="4" w:space="0" w:color="000000"/>
              <w:right w:val="single" w:sz="4" w:space="0" w:color="000000"/>
            </w:tcBorders>
            <w:shd w:val="clear" w:color="auto" w:fill="auto"/>
            <w:vAlign w:val="center"/>
            <w:hideMark/>
          </w:tcPr>
          <w:p w14:paraId="70EF1FB2" w14:textId="77777777" w:rsidR="00F154AB" w:rsidRPr="00F154AB" w:rsidRDefault="00F154AB" w:rsidP="00F154AB">
            <w:pPr>
              <w:ind w:firstLine="0"/>
              <w:jc w:val="center"/>
              <w:rPr>
                <w:rFonts w:eastAsia="Times New Roman" w:cs="Times New Roman"/>
                <w:color w:val="000000"/>
                <w:szCs w:val="24"/>
                <w:lang w:eastAsia="ru-RU"/>
              </w:rPr>
            </w:pPr>
            <w:r w:rsidRPr="00F154AB">
              <w:rPr>
                <w:rFonts w:eastAsia="Times New Roman" w:cs="Times New Roman"/>
                <w:color w:val="000000"/>
                <w:szCs w:val="24"/>
                <w:lang w:eastAsia="ru-RU"/>
              </w:rPr>
              <w:t>Центральное водоснабжение</w:t>
            </w:r>
          </w:p>
        </w:tc>
        <w:tc>
          <w:tcPr>
            <w:tcW w:w="450" w:type="pct"/>
            <w:tcBorders>
              <w:top w:val="nil"/>
              <w:left w:val="nil"/>
              <w:bottom w:val="single" w:sz="4" w:space="0" w:color="000000"/>
              <w:right w:val="single" w:sz="4" w:space="0" w:color="000000"/>
            </w:tcBorders>
            <w:shd w:val="clear" w:color="auto" w:fill="auto"/>
            <w:vAlign w:val="center"/>
            <w:hideMark/>
          </w:tcPr>
          <w:p w14:paraId="209FD8DE" w14:textId="77777777" w:rsidR="00F154AB" w:rsidRPr="00F154AB" w:rsidRDefault="00F154AB" w:rsidP="00F154AB">
            <w:pPr>
              <w:ind w:firstLine="0"/>
              <w:jc w:val="center"/>
              <w:rPr>
                <w:rFonts w:eastAsia="Times New Roman" w:cs="Times New Roman"/>
                <w:color w:val="000000"/>
                <w:szCs w:val="24"/>
                <w:lang w:eastAsia="ru-RU"/>
              </w:rPr>
            </w:pPr>
            <w:r w:rsidRPr="00F154AB">
              <w:rPr>
                <w:rFonts w:eastAsia="Times New Roman" w:cs="Times New Roman"/>
                <w:color w:val="000000"/>
                <w:szCs w:val="24"/>
                <w:lang w:eastAsia="ru-RU"/>
              </w:rPr>
              <w:t>0,33</w:t>
            </w:r>
          </w:p>
        </w:tc>
        <w:tc>
          <w:tcPr>
            <w:tcW w:w="419" w:type="pct"/>
            <w:tcBorders>
              <w:top w:val="nil"/>
              <w:left w:val="nil"/>
              <w:bottom w:val="single" w:sz="4" w:space="0" w:color="000000"/>
              <w:right w:val="single" w:sz="4" w:space="0" w:color="000000"/>
            </w:tcBorders>
            <w:shd w:val="clear" w:color="auto" w:fill="auto"/>
            <w:vAlign w:val="center"/>
            <w:hideMark/>
          </w:tcPr>
          <w:p w14:paraId="2F4F7106" w14:textId="77777777" w:rsidR="00F154AB" w:rsidRPr="00F154AB" w:rsidRDefault="00F154AB" w:rsidP="00F154AB">
            <w:pPr>
              <w:ind w:firstLine="0"/>
              <w:jc w:val="center"/>
              <w:rPr>
                <w:rFonts w:eastAsia="Times New Roman" w:cs="Times New Roman"/>
                <w:color w:val="000000"/>
                <w:szCs w:val="24"/>
                <w:lang w:eastAsia="ru-RU"/>
              </w:rPr>
            </w:pPr>
            <w:r w:rsidRPr="00F154AB">
              <w:rPr>
                <w:rFonts w:eastAsia="Times New Roman" w:cs="Times New Roman"/>
                <w:color w:val="000000"/>
                <w:szCs w:val="24"/>
                <w:lang w:eastAsia="ru-RU"/>
              </w:rPr>
              <w:t>0,53</w:t>
            </w:r>
          </w:p>
        </w:tc>
        <w:tc>
          <w:tcPr>
            <w:tcW w:w="663" w:type="pct"/>
            <w:tcBorders>
              <w:top w:val="nil"/>
              <w:left w:val="nil"/>
              <w:bottom w:val="single" w:sz="4" w:space="0" w:color="000000"/>
              <w:right w:val="single" w:sz="4" w:space="0" w:color="000000"/>
            </w:tcBorders>
            <w:shd w:val="clear" w:color="auto" w:fill="auto"/>
            <w:vAlign w:val="center"/>
            <w:hideMark/>
          </w:tcPr>
          <w:p w14:paraId="15AFCBBF" w14:textId="77777777" w:rsidR="00F154AB" w:rsidRPr="00F154AB" w:rsidRDefault="00F154AB" w:rsidP="00F154AB">
            <w:pPr>
              <w:ind w:firstLine="0"/>
              <w:jc w:val="center"/>
              <w:rPr>
                <w:rFonts w:eastAsia="Times New Roman" w:cs="Times New Roman"/>
                <w:color w:val="000000"/>
                <w:szCs w:val="24"/>
                <w:lang w:eastAsia="ru-RU"/>
              </w:rPr>
            </w:pPr>
            <w:r w:rsidRPr="00F154AB">
              <w:rPr>
                <w:rFonts w:eastAsia="Times New Roman" w:cs="Times New Roman"/>
                <w:color w:val="000000"/>
                <w:szCs w:val="24"/>
                <w:lang w:eastAsia="ru-RU"/>
              </w:rPr>
              <w:t>нет</w:t>
            </w:r>
          </w:p>
        </w:tc>
        <w:tc>
          <w:tcPr>
            <w:tcW w:w="2161" w:type="pct"/>
            <w:tcBorders>
              <w:top w:val="nil"/>
              <w:left w:val="nil"/>
              <w:bottom w:val="single" w:sz="4" w:space="0" w:color="000000"/>
              <w:right w:val="single" w:sz="4" w:space="0" w:color="000000"/>
            </w:tcBorders>
            <w:shd w:val="clear" w:color="auto" w:fill="auto"/>
            <w:vAlign w:val="center"/>
            <w:hideMark/>
          </w:tcPr>
          <w:p w14:paraId="14282CB1" w14:textId="77777777" w:rsidR="00F154AB" w:rsidRPr="00F154AB" w:rsidRDefault="00F154AB" w:rsidP="00F154AB">
            <w:pPr>
              <w:ind w:firstLine="0"/>
              <w:jc w:val="left"/>
              <w:rPr>
                <w:rFonts w:eastAsia="Times New Roman" w:cs="Times New Roman"/>
                <w:color w:val="000000"/>
                <w:szCs w:val="24"/>
                <w:lang w:eastAsia="ru-RU"/>
              </w:rPr>
            </w:pPr>
            <w:r w:rsidRPr="00F154AB">
              <w:rPr>
                <w:rFonts w:eastAsia="Times New Roman" w:cs="Times New Roman"/>
                <w:color w:val="000000"/>
                <w:szCs w:val="24"/>
                <w:lang w:eastAsia="ru-RU"/>
              </w:rPr>
              <w:t>Коэффициент корреляции ценообразующего фактора очень мал и ценообразующий фактор статистически не значим в модели</w:t>
            </w:r>
          </w:p>
        </w:tc>
      </w:tr>
      <w:tr w:rsidR="00F154AB" w:rsidRPr="00F154AB" w14:paraId="7511B3E7" w14:textId="77777777" w:rsidTr="00F154AB">
        <w:trPr>
          <w:trHeight w:val="945"/>
        </w:trPr>
        <w:tc>
          <w:tcPr>
            <w:tcW w:w="138" w:type="pct"/>
            <w:tcBorders>
              <w:top w:val="nil"/>
              <w:left w:val="single" w:sz="4" w:space="0" w:color="000000"/>
              <w:bottom w:val="single" w:sz="4" w:space="0" w:color="000000"/>
              <w:right w:val="single" w:sz="4" w:space="0" w:color="000000"/>
            </w:tcBorders>
            <w:shd w:val="clear" w:color="auto" w:fill="auto"/>
            <w:vAlign w:val="center"/>
            <w:hideMark/>
          </w:tcPr>
          <w:p w14:paraId="19D5D141" w14:textId="77777777" w:rsidR="00F154AB" w:rsidRPr="00F154AB" w:rsidRDefault="00F154AB" w:rsidP="00F154AB">
            <w:pPr>
              <w:ind w:firstLine="0"/>
              <w:jc w:val="center"/>
              <w:rPr>
                <w:rFonts w:eastAsia="Times New Roman" w:cs="Times New Roman"/>
                <w:color w:val="000000"/>
                <w:szCs w:val="24"/>
                <w:lang w:eastAsia="ru-RU"/>
              </w:rPr>
            </w:pPr>
            <w:r w:rsidRPr="00F154AB">
              <w:rPr>
                <w:rFonts w:eastAsia="Times New Roman" w:cs="Times New Roman"/>
                <w:color w:val="000000"/>
                <w:szCs w:val="24"/>
                <w:lang w:eastAsia="ru-RU"/>
              </w:rPr>
              <w:t>16</w:t>
            </w:r>
          </w:p>
        </w:tc>
        <w:tc>
          <w:tcPr>
            <w:tcW w:w="1169" w:type="pct"/>
            <w:tcBorders>
              <w:top w:val="nil"/>
              <w:left w:val="nil"/>
              <w:bottom w:val="single" w:sz="4" w:space="0" w:color="000000"/>
              <w:right w:val="single" w:sz="4" w:space="0" w:color="000000"/>
            </w:tcBorders>
            <w:shd w:val="clear" w:color="auto" w:fill="auto"/>
            <w:vAlign w:val="center"/>
            <w:hideMark/>
          </w:tcPr>
          <w:p w14:paraId="3AC96582" w14:textId="77777777" w:rsidR="00F154AB" w:rsidRPr="00F154AB" w:rsidRDefault="00F154AB" w:rsidP="00F154AB">
            <w:pPr>
              <w:ind w:firstLine="0"/>
              <w:jc w:val="center"/>
              <w:rPr>
                <w:rFonts w:eastAsia="Times New Roman" w:cs="Times New Roman"/>
                <w:color w:val="000000"/>
                <w:szCs w:val="24"/>
                <w:lang w:eastAsia="ru-RU"/>
              </w:rPr>
            </w:pPr>
            <w:r w:rsidRPr="00F154AB">
              <w:rPr>
                <w:rFonts w:eastAsia="Times New Roman" w:cs="Times New Roman"/>
                <w:color w:val="000000"/>
                <w:szCs w:val="24"/>
                <w:lang w:eastAsia="ru-RU"/>
              </w:rPr>
              <w:t>Электричество</w:t>
            </w:r>
          </w:p>
        </w:tc>
        <w:tc>
          <w:tcPr>
            <w:tcW w:w="450" w:type="pct"/>
            <w:tcBorders>
              <w:top w:val="nil"/>
              <w:left w:val="nil"/>
              <w:bottom w:val="single" w:sz="4" w:space="0" w:color="000000"/>
              <w:right w:val="single" w:sz="4" w:space="0" w:color="000000"/>
            </w:tcBorders>
            <w:shd w:val="clear" w:color="auto" w:fill="auto"/>
            <w:vAlign w:val="center"/>
            <w:hideMark/>
          </w:tcPr>
          <w:p w14:paraId="5B47FD39" w14:textId="77777777" w:rsidR="00F154AB" w:rsidRPr="00F154AB" w:rsidRDefault="00F154AB" w:rsidP="00F154AB">
            <w:pPr>
              <w:ind w:firstLine="0"/>
              <w:jc w:val="center"/>
              <w:rPr>
                <w:rFonts w:eastAsia="Times New Roman" w:cs="Times New Roman"/>
                <w:color w:val="000000"/>
                <w:szCs w:val="24"/>
                <w:lang w:eastAsia="ru-RU"/>
              </w:rPr>
            </w:pPr>
            <w:r w:rsidRPr="00F154AB">
              <w:rPr>
                <w:rFonts w:eastAsia="Times New Roman" w:cs="Times New Roman"/>
                <w:color w:val="000000"/>
                <w:szCs w:val="24"/>
                <w:lang w:eastAsia="ru-RU"/>
              </w:rPr>
              <w:t>0,6</w:t>
            </w:r>
          </w:p>
        </w:tc>
        <w:tc>
          <w:tcPr>
            <w:tcW w:w="419" w:type="pct"/>
            <w:tcBorders>
              <w:top w:val="nil"/>
              <w:left w:val="nil"/>
              <w:bottom w:val="single" w:sz="4" w:space="0" w:color="000000"/>
              <w:right w:val="single" w:sz="4" w:space="0" w:color="000000"/>
            </w:tcBorders>
            <w:shd w:val="clear" w:color="auto" w:fill="auto"/>
            <w:vAlign w:val="center"/>
            <w:hideMark/>
          </w:tcPr>
          <w:p w14:paraId="73CA5B1B" w14:textId="77777777" w:rsidR="00F154AB" w:rsidRPr="00F154AB" w:rsidRDefault="00F154AB" w:rsidP="00F154AB">
            <w:pPr>
              <w:ind w:firstLine="0"/>
              <w:jc w:val="center"/>
              <w:rPr>
                <w:rFonts w:eastAsia="Times New Roman" w:cs="Times New Roman"/>
                <w:color w:val="000000"/>
                <w:szCs w:val="24"/>
                <w:lang w:eastAsia="ru-RU"/>
              </w:rPr>
            </w:pPr>
            <w:r w:rsidRPr="00F154AB">
              <w:rPr>
                <w:rFonts w:eastAsia="Times New Roman" w:cs="Times New Roman"/>
                <w:color w:val="000000"/>
                <w:szCs w:val="24"/>
                <w:lang w:eastAsia="ru-RU"/>
              </w:rPr>
              <w:t>0,97</w:t>
            </w:r>
          </w:p>
        </w:tc>
        <w:tc>
          <w:tcPr>
            <w:tcW w:w="663" w:type="pct"/>
            <w:tcBorders>
              <w:top w:val="nil"/>
              <w:left w:val="nil"/>
              <w:bottom w:val="single" w:sz="4" w:space="0" w:color="000000"/>
              <w:right w:val="single" w:sz="4" w:space="0" w:color="000000"/>
            </w:tcBorders>
            <w:shd w:val="clear" w:color="auto" w:fill="auto"/>
            <w:vAlign w:val="center"/>
            <w:hideMark/>
          </w:tcPr>
          <w:p w14:paraId="35160E20" w14:textId="77777777" w:rsidR="00F154AB" w:rsidRPr="00F154AB" w:rsidRDefault="00F154AB" w:rsidP="00F154AB">
            <w:pPr>
              <w:ind w:firstLine="0"/>
              <w:jc w:val="center"/>
              <w:rPr>
                <w:rFonts w:eastAsia="Times New Roman" w:cs="Times New Roman"/>
                <w:color w:val="000000"/>
                <w:szCs w:val="24"/>
                <w:lang w:eastAsia="ru-RU"/>
              </w:rPr>
            </w:pPr>
            <w:r w:rsidRPr="00F154AB">
              <w:rPr>
                <w:rFonts w:eastAsia="Times New Roman" w:cs="Times New Roman"/>
                <w:color w:val="000000"/>
                <w:szCs w:val="24"/>
                <w:lang w:eastAsia="ru-RU"/>
              </w:rPr>
              <w:t>нет</w:t>
            </w:r>
          </w:p>
        </w:tc>
        <w:tc>
          <w:tcPr>
            <w:tcW w:w="2161" w:type="pct"/>
            <w:tcBorders>
              <w:top w:val="nil"/>
              <w:left w:val="nil"/>
              <w:bottom w:val="single" w:sz="4" w:space="0" w:color="000000"/>
              <w:right w:val="single" w:sz="4" w:space="0" w:color="000000"/>
            </w:tcBorders>
            <w:shd w:val="clear" w:color="auto" w:fill="auto"/>
            <w:vAlign w:val="center"/>
            <w:hideMark/>
          </w:tcPr>
          <w:p w14:paraId="2A28AA15" w14:textId="77777777" w:rsidR="00F154AB" w:rsidRPr="00F154AB" w:rsidRDefault="00F154AB" w:rsidP="00F154AB">
            <w:pPr>
              <w:ind w:firstLine="0"/>
              <w:jc w:val="left"/>
              <w:rPr>
                <w:rFonts w:eastAsia="Times New Roman" w:cs="Times New Roman"/>
                <w:color w:val="000000"/>
                <w:szCs w:val="24"/>
                <w:lang w:eastAsia="ru-RU"/>
              </w:rPr>
            </w:pPr>
            <w:r w:rsidRPr="00F154AB">
              <w:rPr>
                <w:rFonts w:eastAsia="Times New Roman" w:cs="Times New Roman"/>
                <w:color w:val="000000"/>
                <w:szCs w:val="24"/>
                <w:lang w:eastAsia="ru-RU"/>
              </w:rPr>
              <w:t>Данный ценообразующий фактор сильно коррелирует с прочими ценообразующими факторами, определяющими локальное местоположение объекта</w:t>
            </w:r>
          </w:p>
        </w:tc>
      </w:tr>
    </w:tbl>
    <w:p w14:paraId="4416E5E3" w14:textId="5FF6B53A" w:rsidR="00F154AB" w:rsidRDefault="00F154AB" w:rsidP="00727235"/>
    <w:p w14:paraId="169356A0" w14:textId="77777777" w:rsidR="00F154AB" w:rsidRPr="00727235" w:rsidRDefault="00F154AB" w:rsidP="00727235">
      <w:pPr>
        <w:sectPr w:rsidR="00F154AB" w:rsidRPr="00727235" w:rsidSect="00727235">
          <w:pgSz w:w="16838" w:h="11906" w:orient="landscape"/>
          <w:pgMar w:top="1701" w:right="1134" w:bottom="850" w:left="1134" w:header="708" w:footer="708" w:gutter="0"/>
          <w:cols w:space="708"/>
          <w:docGrid w:linePitch="360"/>
        </w:sectPr>
      </w:pPr>
    </w:p>
    <w:p w14:paraId="538458F2" w14:textId="77777777" w:rsidR="00727235" w:rsidRPr="00727235" w:rsidRDefault="00727235" w:rsidP="00727235">
      <w:r w:rsidRPr="00727235">
        <w:t xml:space="preserve">Таким образом, для моделирования выбраны указанные выше факторы. </w:t>
      </w:r>
    </w:p>
    <w:p w14:paraId="17552425" w14:textId="77777777" w:rsidR="00727235" w:rsidRPr="00727235" w:rsidRDefault="00727235" w:rsidP="00727235">
      <w:r w:rsidRPr="00727235">
        <w:t xml:space="preserve">В результате построены линейная, мультипликативная и экспоненциальная модели. </w:t>
      </w:r>
    </w:p>
    <w:p w14:paraId="38585CF5" w14:textId="77777777" w:rsidR="00727235" w:rsidRPr="00727235" w:rsidRDefault="00727235" w:rsidP="00727235">
      <w:r w:rsidRPr="00727235">
        <w:t>Далее проведена проверка статистической значимости моделей, результаты которой представлены в таблице ниже.</w:t>
      </w:r>
    </w:p>
    <w:p w14:paraId="30F301B7" w14:textId="77777777" w:rsidR="00727235" w:rsidRPr="00727235" w:rsidRDefault="00727235" w:rsidP="00727235"/>
    <w:p w14:paraId="759593BB" w14:textId="1B6D7C33" w:rsidR="00727235" w:rsidRPr="00727235" w:rsidRDefault="00727235" w:rsidP="00727235">
      <w:pPr>
        <w:rPr>
          <w:lang w:eastAsia="ru-RU"/>
        </w:rPr>
      </w:pPr>
      <w:r w:rsidRPr="00727235">
        <w:rPr>
          <w:lang w:eastAsia="ru-RU"/>
        </w:rPr>
        <w:t xml:space="preserve">Таблица </w:t>
      </w:r>
      <w:r w:rsidRPr="00727235">
        <w:rPr>
          <w:lang w:eastAsia="ru-RU"/>
        </w:rPr>
        <w:fldChar w:fldCharType="begin"/>
      </w:r>
      <w:r w:rsidRPr="00727235">
        <w:rPr>
          <w:lang w:eastAsia="ru-RU"/>
        </w:rPr>
        <w:instrText xml:space="preserve"> SEQ Таблица \* ARABIC </w:instrText>
      </w:r>
      <w:r w:rsidRPr="00727235">
        <w:rPr>
          <w:lang w:eastAsia="ru-RU"/>
        </w:rPr>
        <w:fldChar w:fldCharType="separate"/>
      </w:r>
      <w:r w:rsidR="00FD2769">
        <w:rPr>
          <w:noProof/>
          <w:lang w:eastAsia="ru-RU"/>
        </w:rPr>
        <w:t>52</w:t>
      </w:r>
      <w:r w:rsidRPr="00727235">
        <w:rPr>
          <w:lang w:eastAsia="ru-RU"/>
        </w:rPr>
        <w:fldChar w:fldCharType="end"/>
      </w:r>
      <w:r w:rsidRPr="00727235">
        <w:rPr>
          <w:lang w:eastAsia="ru-RU"/>
        </w:rPr>
        <w:t xml:space="preserve"> Проверка статистической значимости моделей на обучающ</w:t>
      </w:r>
      <w:r w:rsidR="00125C06">
        <w:rPr>
          <w:lang w:eastAsia="ru-RU"/>
        </w:rPr>
        <w:t xml:space="preserve">ей выборке группы </w:t>
      </w:r>
      <w:r w:rsidR="00125C06" w:rsidRPr="00AA34D8">
        <w:rPr>
          <w:rFonts w:eastAsia="Times New Roman" w:cs="Times New Roman"/>
          <w:bCs/>
          <w:color w:val="000000"/>
          <w:szCs w:val="24"/>
          <w:lang w:eastAsia="ru-RU"/>
        </w:rPr>
        <w:t>1. Многоквартирные дома (дома средне- и многоэтажной жилой застройки)", подгруппа "</w:t>
      </w:r>
      <w:r w:rsidR="000470FD">
        <w:rPr>
          <w:rFonts w:eastAsia="Times New Roman" w:cs="Times New Roman"/>
          <w:bCs/>
          <w:color w:val="000000"/>
          <w:szCs w:val="24"/>
          <w:lang w:eastAsia="ru-RU"/>
        </w:rPr>
        <w:t>Помещения г.Якутск с п/х более 60 кв.м. 1.9</w:t>
      </w:r>
      <w:r w:rsidR="00125C06" w:rsidRPr="00AA34D8">
        <w:rPr>
          <w:rFonts w:eastAsia="Times New Roman" w:cs="Times New Roman"/>
          <w:bCs/>
          <w:color w:val="000000"/>
          <w:szCs w:val="24"/>
          <w:lang w:eastAsia="ru-RU"/>
        </w:rPr>
        <w:t>". Тип расчета: по удельной стоимости.</w:t>
      </w:r>
    </w:p>
    <w:tbl>
      <w:tblPr>
        <w:tblW w:w="5000" w:type="pct"/>
        <w:tblLook w:val="04A0" w:firstRow="1" w:lastRow="0" w:firstColumn="1" w:lastColumn="0" w:noHBand="0" w:noVBand="1"/>
      </w:tblPr>
      <w:tblGrid>
        <w:gridCol w:w="629"/>
        <w:gridCol w:w="2415"/>
        <w:gridCol w:w="1679"/>
        <w:gridCol w:w="1808"/>
        <w:gridCol w:w="1463"/>
        <w:gridCol w:w="1035"/>
        <w:gridCol w:w="1808"/>
        <w:gridCol w:w="1723"/>
        <w:gridCol w:w="2000"/>
      </w:tblGrid>
      <w:tr w:rsidR="00727235" w:rsidRPr="00727235" w14:paraId="04E5181A" w14:textId="77777777" w:rsidTr="00C428B5">
        <w:trPr>
          <w:trHeight w:val="1185"/>
        </w:trPr>
        <w:tc>
          <w:tcPr>
            <w:tcW w:w="147"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06516D5D" w14:textId="77777777" w:rsidR="00727235" w:rsidRPr="00727235" w:rsidRDefault="00727235" w:rsidP="00C428B5">
            <w:pPr>
              <w:ind w:firstLine="172"/>
              <w:rPr>
                <w:lang w:eastAsia="ru-RU"/>
              </w:rPr>
            </w:pPr>
            <w:r w:rsidRPr="00727235">
              <w:rPr>
                <w:lang w:eastAsia="ru-RU"/>
              </w:rPr>
              <w:t>№ п/п</w:t>
            </w:r>
          </w:p>
        </w:tc>
        <w:tc>
          <w:tcPr>
            <w:tcW w:w="736" w:type="pct"/>
            <w:tcBorders>
              <w:top w:val="single" w:sz="4" w:space="0" w:color="000000"/>
              <w:left w:val="nil"/>
              <w:bottom w:val="single" w:sz="4" w:space="0" w:color="000000"/>
              <w:right w:val="single" w:sz="4" w:space="0" w:color="000000"/>
            </w:tcBorders>
            <w:shd w:val="clear" w:color="auto" w:fill="auto"/>
            <w:vAlign w:val="center"/>
            <w:hideMark/>
          </w:tcPr>
          <w:p w14:paraId="7CDD4925" w14:textId="77777777" w:rsidR="00727235" w:rsidRPr="00727235" w:rsidRDefault="00727235" w:rsidP="00C428B5">
            <w:pPr>
              <w:ind w:firstLine="172"/>
              <w:rPr>
                <w:lang w:eastAsia="ru-RU"/>
              </w:rPr>
            </w:pPr>
            <w:r w:rsidRPr="00727235">
              <w:rPr>
                <w:lang w:eastAsia="ru-RU"/>
              </w:rPr>
              <w:t>Название модели</w:t>
            </w:r>
          </w:p>
        </w:tc>
        <w:tc>
          <w:tcPr>
            <w:tcW w:w="662" w:type="pct"/>
            <w:tcBorders>
              <w:top w:val="single" w:sz="4" w:space="0" w:color="000000"/>
              <w:left w:val="nil"/>
              <w:bottom w:val="single" w:sz="4" w:space="0" w:color="000000"/>
              <w:right w:val="single" w:sz="4" w:space="0" w:color="000000"/>
            </w:tcBorders>
            <w:shd w:val="clear" w:color="auto" w:fill="auto"/>
            <w:vAlign w:val="center"/>
            <w:hideMark/>
          </w:tcPr>
          <w:p w14:paraId="504C11C4" w14:textId="77777777" w:rsidR="00727235" w:rsidRPr="00727235" w:rsidRDefault="00727235" w:rsidP="00C428B5">
            <w:pPr>
              <w:ind w:firstLine="172"/>
              <w:rPr>
                <w:lang w:eastAsia="ru-RU"/>
              </w:rPr>
            </w:pPr>
            <w:r w:rsidRPr="00727235">
              <w:rPr>
                <w:lang w:eastAsia="ru-RU"/>
              </w:rPr>
              <w:t>Количество факторов стоимости, m</w:t>
            </w:r>
          </w:p>
        </w:tc>
        <w:tc>
          <w:tcPr>
            <w:tcW w:w="588" w:type="pct"/>
            <w:tcBorders>
              <w:top w:val="single" w:sz="4" w:space="0" w:color="000000"/>
              <w:left w:val="nil"/>
              <w:bottom w:val="single" w:sz="4" w:space="0" w:color="000000"/>
              <w:right w:val="single" w:sz="4" w:space="0" w:color="000000"/>
            </w:tcBorders>
            <w:shd w:val="clear" w:color="auto" w:fill="auto"/>
            <w:vAlign w:val="center"/>
            <w:hideMark/>
          </w:tcPr>
          <w:p w14:paraId="115279D4" w14:textId="77777777" w:rsidR="00727235" w:rsidRPr="00727235" w:rsidRDefault="00727235" w:rsidP="00C428B5">
            <w:pPr>
              <w:ind w:firstLine="172"/>
              <w:rPr>
                <w:lang w:eastAsia="ru-RU"/>
              </w:rPr>
            </w:pPr>
            <w:r w:rsidRPr="00727235">
              <w:rPr>
                <w:lang w:eastAsia="ru-RU"/>
              </w:rPr>
              <w:t>Коэффициент детерминации, R2</w:t>
            </w:r>
          </w:p>
        </w:tc>
        <w:tc>
          <w:tcPr>
            <w:tcW w:w="588" w:type="pct"/>
            <w:tcBorders>
              <w:top w:val="single" w:sz="4" w:space="0" w:color="000000"/>
              <w:left w:val="nil"/>
              <w:bottom w:val="single" w:sz="4" w:space="0" w:color="000000"/>
              <w:right w:val="single" w:sz="4" w:space="0" w:color="000000"/>
            </w:tcBorders>
            <w:shd w:val="clear" w:color="auto" w:fill="auto"/>
            <w:vAlign w:val="center"/>
            <w:hideMark/>
          </w:tcPr>
          <w:p w14:paraId="24186387" w14:textId="77777777" w:rsidR="00727235" w:rsidRPr="00727235" w:rsidRDefault="00727235" w:rsidP="00C428B5">
            <w:pPr>
              <w:ind w:firstLine="172"/>
              <w:rPr>
                <w:lang w:eastAsia="ru-RU"/>
              </w:rPr>
            </w:pPr>
            <w:r w:rsidRPr="00727235">
              <w:rPr>
                <w:lang w:eastAsia="ru-RU"/>
              </w:rPr>
              <w:t>Критерий Фишера, Fрасч</w:t>
            </w:r>
          </w:p>
        </w:tc>
        <w:tc>
          <w:tcPr>
            <w:tcW w:w="441" w:type="pct"/>
            <w:tcBorders>
              <w:top w:val="single" w:sz="4" w:space="0" w:color="000000"/>
              <w:left w:val="nil"/>
              <w:bottom w:val="single" w:sz="4" w:space="0" w:color="000000"/>
              <w:right w:val="single" w:sz="4" w:space="0" w:color="000000"/>
            </w:tcBorders>
            <w:shd w:val="clear" w:color="auto" w:fill="auto"/>
            <w:vAlign w:val="center"/>
            <w:hideMark/>
          </w:tcPr>
          <w:p w14:paraId="56AEFDA5" w14:textId="77777777" w:rsidR="00727235" w:rsidRPr="00727235" w:rsidRDefault="00727235" w:rsidP="00C428B5">
            <w:pPr>
              <w:ind w:firstLine="172"/>
              <w:rPr>
                <w:lang w:eastAsia="ru-RU"/>
              </w:rPr>
            </w:pPr>
            <w:r w:rsidRPr="00727235">
              <w:rPr>
                <w:lang w:eastAsia="ru-RU"/>
              </w:rPr>
              <w:t>Fтабл</w:t>
            </w:r>
          </w:p>
        </w:tc>
        <w:tc>
          <w:tcPr>
            <w:tcW w:w="661" w:type="pct"/>
            <w:tcBorders>
              <w:top w:val="single" w:sz="4" w:space="0" w:color="000000"/>
              <w:left w:val="nil"/>
              <w:bottom w:val="single" w:sz="4" w:space="0" w:color="000000"/>
              <w:right w:val="single" w:sz="4" w:space="0" w:color="000000"/>
            </w:tcBorders>
            <w:shd w:val="clear" w:color="auto" w:fill="auto"/>
            <w:vAlign w:val="center"/>
            <w:hideMark/>
          </w:tcPr>
          <w:p w14:paraId="12458759" w14:textId="77777777" w:rsidR="00727235" w:rsidRPr="00727235" w:rsidRDefault="00727235" w:rsidP="00C428B5">
            <w:pPr>
              <w:ind w:firstLine="172"/>
              <w:rPr>
                <w:lang w:eastAsia="ru-RU"/>
              </w:rPr>
            </w:pPr>
            <w:r w:rsidRPr="00727235">
              <w:rPr>
                <w:lang w:eastAsia="ru-RU"/>
              </w:rPr>
              <w:t>Коэффициент дисперсии (COD)</w:t>
            </w:r>
          </w:p>
        </w:tc>
        <w:tc>
          <w:tcPr>
            <w:tcW w:w="515" w:type="pct"/>
            <w:tcBorders>
              <w:top w:val="single" w:sz="4" w:space="0" w:color="000000"/>
              <w:left w:val="nil"/>
              <w:bottom w:val="single" w:sz="4" w:space="0" w:color="000000"/>
              <w:right w:val="single" w:sz="4" w:space="0" w:color="000000"/>
            </w:tcBorders>
            <w:shd w:val="clear" w:color="auto" w:fill="auto"/>
            <w:vAlign w:val="center"/>
            <w:hideMark/>
          </w:tcPr>
          <w:p w14:paraId="10662419" w14:textId="77777777" w:rsidR="00727235" w:rsidRPr="00727235" w:rsidRDefault="00727235" w:rsidP="00C428B5">
            <w:pPr>
              <w:ind w:firstLine="172"/>
              <w:rPr>
                <w:lang w:eastAsia="ru-RU"/>
              </w:rPr>
            </w:pPr>
            <w:r w:rsidRPr="00727235">
              <w:rPr>
                <w:lang w:eastAsia="ru-RU"/>
              </w:rPr>
              <w:t>Ценовой дифференциал (PRD)</w:t>
            </w:r>
          </w:p>
        </w:tc>
        <w:tc>
          <w:tcPr>
            <w:tcW w:w="662" w:type="pct"/>
            <w:tcBorders>
              <w:top w:val="single" w:sz="4" w:space="0" w:color="000000"/>
              <w:left w:val="nil"/>
              <w:bottom w:val="single" w:sz="4" w:space="0" w:color="000000"/>
              <w:right w:val="single" w:sz="4" w:space="0" w:color="000000"/>
            </w:tcBorders>
            <w:shd w:val="clear" w:color="auto" w:fill="auto"/>
            <w:vAlign w:val="center"/>
            <w:hideMark/>
          </w:tcPr>
          <w:p w14:paraId="3983807D" w14:textId="77777777" w:rsidR="00727235" w:rsidRPr="00727235" w:rsidRDefault="00727235" w:rsidP="00C428B5">
            <w:pPr>
              <w:ind w:firstLine="172"/>
              <w:rPr>
                <w:lang w:eastAsia="ru-RU"/>
              </w:rPr>
            </w:pPr>
            <w:r w:rsidRPr="00727235">
              <w:rPr>
                <w:lang w:eastAsia="ru-RU"/>
              </w:rPr>
              <w:t>Статистическая значимость модели (да/нет)</w:t>
            </w:r>
          </w:p>
        </w:tc>
      </w:tr>
      <w:tr w:rsidR="00727235" w:rsidRPr="00727235" w14:paraId="0166D832" w14:textId="77777777" w:rsidTr="00C428B5">
        <w:trPr>
          <w:trHeight w:val="360"/>
        </w:trPr>
        <w:tc>
          <w:tcPr>
            <w:tcW w:w="147" w:type="pct"/>
            <w:tcBorders>
              <w:top w:val="nil"/>
              <w:left w:val="single" w:sz="4" w:space="0" w:color="000000"/>
              <w:bottom w:val="single" w:sz="4" w:space="0" w:color="000000"/>
              <w:right w:val="single" w:sz="4" w:space="0" w:color="000000"/>
            </w:tcBorders>
            <w:shd w:val="clear" w:color="auto" w:fill="auto"/>
            <w:vAlign w:val="center"/>
            <w:hideMark/>
          </w:tcPr>
          <w:p w14:paraId="63DA4501" w14:textId="77777777" w:rsidR="00727235" w:rsidRPr="00727235" w:rsidRDefault="00727235" w:rsidP="00C428B5">
            <w:pPr>
              <w:ind w:firstLine="172"/>
              <w:rPr>
                <w:lang w:eastAsia="ru-RU"/>
              </w:rPr>
            </w:pPr>
            <w:r w:rsidRPr="00727235">
              <w:rPr>
                <w:lang w:eastAsia="ru-RU"/>
              </w:rPr>
              <w:t>01</w:t>
            </w:r>
          </w:p>
        </w:tc>
        <w:tc>
          <w:tcPr>
            <w:tcW w:w="736" w:type="pct"/>
            <w:tcBorders>
              <w:top w:val="nil"/>
              <w:left w:val="nil"/>
              <w:bottom w:val="single" w:sz="4" w:space="0" w:color="000000"/>
              <w:right w:val="single" w:sz="4" w:space="0" w:color="000000"/>
            </w:tcBorders>
            <w:shd w:val="clear" w:color="auto" w:fill="auto"/>
            <w:vAlign w:val="center"/>
            <w:hideMark/>
          </w:tcPr>
          <w:p w14:paraId="479633F8" w14:textId="77777777" w:rsidR="00727235" w:rsidRPr="00727235" w:rsidRDefault="00727235" w:rsidP="00C428B5">
            <w:pPr>
              <w:ind w:firstLine="172"/>
              <w:rPr>
                <w:lang w:eastAsia="ru-RU"/>
              </w:rPr>
            </w:pPr>
            <w:r w:rsidRPr="00727235">
              <w:rPr>
                <w:lang w:eastAsia="ru-RU"/>
              </w:rPr>
              <w:t>02</w:t>
            </w:r>
          </w:p>
        </w:tc>
        <w:tc>
          <w:tcPr>
            <w:tcW w:w="662" w:type="pct"/>
            <w:tcBorders>
              <w:top w:val="nil"/>
              <w:left w:val="nil"/>
              <w:bottom w:val="single" w:sz="4" w:space="0" w:color="000000"/>
              <w:right w:val="single" w:sz="4" w:space="0" w:color="000000"/>
            </w:tcBorders>
            <w:shd w:val="clear" w:color="auto" w:fill="auto"/>
            <w:vAlign w:val="center"/>
            <w:hideMark/>
          </w:tcPr>
          <w:p w14:paraId="68548D8E" w14:textId="77777777" w:rsidR="00727235" w:rsidRPr="00727235" w:rsidRDefault="00727235" w:rsidP="00C428B5">
            <w:pPr>
              <w:ind w:firstLine="172"/>
              <w:rPr>
                <w:lang w:eastAsia="ru-RU"/>
              </w:rPr>
            </w:pPr>
            <w:r w:rsidRPr="00727235">
              <w:rPr>
                <w:lang w:eastAsia="ru-RU"/>
              </w:rPr>
              <w:t>03</w:t>
            </w:r>
          </w:p>
        </w:tc>
        <w:tc>
          <w:tcPr>
            <w:tcW w:w="588" w:type="pct"/>
            <w:tcBorders>
              <w:top w:val="nil"/>
              <w:left w:val="nil"/>
              <w:bottom w:val="single" w:sz="4" w:space="0" w:color="000000"/>
              <w:right w:val="single" w:sz="4" w:space="0" w:color="000000"/>
            </w:tcBorders>
            <w:shd w:val="clear" w:color="auto" w:fill="auto"/>
            <w:vAlign w:val="center"/>
            <w:hideMark/>
          </w:tcPr>
          <w:p w14:paraId="0EC75FF9" w14:textId="77777777" w:rsidR="00727235" w:rsidRPr="00727235" w:rsidRDefault="00727235" w:rsidP="00C428B5">
            <w:pPr>
              <w:ind w:firstLine="172"/>
              <w:rPr>
                <w:lang w:eastAsia="ru-RU"/>
              </w:rPr>
            </w:pPr>
            <w:r w:rsidRPr="00727235">
              <w:rPr>
                <w:lang w:eastAsia="ru-RU"/>
              </w:rPr>
              <w:t>04</w:t>
            </w:r>
          </w:p>
        </w:tc>
        <w:tc>
          <w:tcPr>
            <w:tcW w:w="588" w:type="pct"/>
            <w:tcBorders>
              <w:top w:val="nil"/>
              <w:left w:val="nil"/>
              <w:bottom w:val="single" w:sz="4" w:space="0" w:color="000000"/>
              <w:right w:val="single" w:sz="4" w:space="0" w:color="000000"/>
            </w:tcBorders>
            <w:shd w:val="clear" w:color="auto" w:fill="auto"/>
            <w:vAlign w:val="center"/>
            <w:hideMark/>
          </w:tcPr>
          <w:p w14:paraId="11B98FB4" w14:textId="77777777" w:rsidR="00727235" w:rsidRPr="00727235" w:rsidRDefault="00727235" w:rsidP="00C428B5">
            <w:pPr>
              <w:ind w:firstLine="172"/>
              <w:rPr>
                <w:lang w:eastAsia="ru-RU"/>
              </w:rPr>
            </w:pPr>
            <w:r w:rsidRPr="00727235">
              <w:rPr>
                <w:lang w:eastAsia="ru-RU"/>
              </w:rPr>
              <w:t>05</w:t>
            </w:r>
          </w:p>
        </w:tc>
        <w:tc>
          <w:tcPr>
            <w:tcW w:w="441" w:type="pct"/>
            <w:tcBorders>
              <w:top w:val="nil"/>
              <w:left w:val="nil"/>
              <w:bottom w:val="single" w:sz="4" w:space="0" w:color="000000"/>
              <w:right w:val="single" w:sz="4" w:space="0" w:color="000000"/>
            </w:tcBorders>
            <w:shd w:val="clear" w:color="auto" w:fill="auto"/>
            <w:vAlign w:val="center"/>
            <w:hideMark/>
          </w:tcPr>
          <w:p w14:paraId="16CAA15E" w14:textId="77777777" w:rsidR="00727235" w:rsidRPr="00727235" w:rsidRDefault="00727235" w:rsidP="00C428B5">
            <w:pPr>
              <w:ind w:firstLine="172"/>
              <w:rPr>
                <w:lang w:eastAsia="ru-RU"/>
              </w:rPr>
            </w:pPr>
            <w:r w:rsidRPr="00727235">
              <w:rPr>
                <w:lang w:eastAsia="ru-RU"/>
              </w:rPr>
              <w:t>06</w:t>
            </w:r>
          </w:p>
        </w:tc>
        <w:tc>
          <w:tcPr>
            <w:tcW w:w="661" w:type="pct"/>
            <w:tcBorders>
              <w:top w:val="nil"/>
              <w:left w:val="nil"/>
              <w:bottom w:val="single" w:sz="4" w:space="0" w:color="000000"/>
              <w:right w:val="single" w:sz="4" w:space="0" w:color="000000"/>
            </w:tcBorders>
            <w:shd w:val="clear" w:color="auto" w:fill="auto"/>
            <w:vAlign w:val="center"/>
            <w:hideMark/>
          </w:tcPr>
          <w:p w14:paraId="769D56BB" w14:textId="77777777" w:rsidR="00727235" w:rsidRPr="00727235" w:rsidRDefault="00727235" w:rsidP="00C428B5">
            <w:pPr>
              <w:ind w:firstLine="172"/>
              <w:rPr>
                <w:lang w:eastAsia="ru-RU"/>
              </w:rPr>
            </w:pPr>
            <w:r w:rsidRPr="00727235">
              <w:rPr>
                <w:lang w:eastAsia="ru-RU"/>
              </w:rPr>
              <w:t>07</w:t>
            </w:r>
          </w:p>
        </w:tc>
        <w:tc>
          <w:tcPr>
            <w:tcW w:w="515" w:type="pct"/>
            <w:tcBorders>
              <w:top w:val="nil"/>
              <w:left w:val="nil"/>
              <w:bottom w:val="single" w:sz="4" w:space="0" w:color="000000"/>
              <w:right w:val="single" w:sz="4" w:space="0" w:color="000000"/>
            </w:tcBorders>
            <w:shd w:val="clear" w:color="auto" w:fill="auto"/>
            <w:vAlign w:val="center"/>
            <w:hideMark/>
          </w:tcPr>
          <w:p w14:paraId="0D153DFF" w14:textId="77777777" w:rsidR="00727235" w:rsidRPr="00727235" w:rsidRDefault="00727235" w:rsidP="00C428B5">
            <w:pPr>
              <w:ind w:firstLine="172"/>
              <w:rPr>
                <w:lang w:eastAsia="ru-RU"/>
              </w:rPr>
            </w:pPr>
            <w:r w:rsidRPr="00727235">
              <w:rPr>
                <w:lang w:eastAsia="ru-RU"/>
              </w:rPr>
              <w:t>08</w:t>
            </w:r>
          </w:p>
        </w:tc>
        <w:tc>
          <w:tcPr>
            <w:tcW w:w="662" w:type="pct"/>
            <w:tcBorders>
              <w:top w:val="nil"/>
              <w:left w:val="nil"/>
              <w:bottom w:val="single" w:sz="4" w:space="0" w:color="000000"/>
              <w:right w:val="single" w:sz="4" w:space="0" w:color="000000"/>
            </w:tcBorders>
            <w:shd w:val="clear" w:color="auto" w:fill="auto"/>
            <w:vAlign w:val="center"/>
            <w:hideMark/>
          </w:tcPr>
          <w:p w14:paraId="02F80F12" w14:textId="77777777" w:rsidR="00727235" w:rsidRPr="00727235" w:rsidRDefault="00727235" w:rsidP="00C428B5">
            <w:pPr>
              <w:ind w:firstLine="172"/>
              <w:rPr>
                <w:lang w:eastAsia="ru-RU"/>
              </w:rPr>
            </w:pPr>
            <w:r w:rsidRPr="00727235">
              <w:rPr>
                <w:lang w:eastAsia="ru-RU"/>
              </w:rPr>
              <w:t>09</w:t>
            </w:r>
          </w:p>
        </w:tc>
      </w:tr>
      <w:tr w:rsidR="00727235" w:rsidRPr="00727235" w14:paraId="6A6CC252" w14:textId="77777777" w:rsidTr="00125C06">
        <w:trPr>
          <w:trHeight w:val="360"/>
        </w:trPr>
        <w:tc>
          <w:tcPr>
            <w:tcW w:w="147" w:type="pct"/>
            <w:tcBorders>
              <w:top w:val="nil"/>
              <w:left w:val="single" w:sz="4" w:space="0" w:color="000000"/>
              <w:bottom w:val="single" w:sz="4" w:space="0" w:color="000000"/>
              <w:right w:val="single" w:sz="4" w:space="0" w:color="000000"/>
            </w:tcBorders>
            <w:shd w:val="clear" w:color="auto" w:fill="auto"/>
            <w:vAlign w:val="center"/>
            <w:hideMark/>
          </w:tcPr>
          <w:p w14:paraId="6180A18C" w14:textId="77777777" w:rsidR="00727235" w:rsidRPr="00727235" w:rsidRDefault="00727235" w:rsidP="00C428B5">
            <w:pPr>
              <w:ind w:firstLine="172"/>
              <w:rPr>
                <w:lang w:eastAsia="ru-RU"/>
              </w:rPr>
            </w:pPr>
            <w:r w:rsidRPr="00727235">
              <w:rPr>
                <w:lang w:eastAsia="ru-RU"/>
              </w:rPr>
              <w:t>1</w:t>
            </w:r>
          </w:p>
        </w:tc>
        <w:tc>
          <w:tcPr>
            <w:tcW w:w="736" w:type="pct"/>
            <w:tcBorders>
              <w:top w:val="nil"/>
              <w:left w:val="nil"/>
              <w:bottom w:val="single" w:sz="4" w:space="0" w:color="000000"/>
              <w:right w:val="single" w:sz="4" w:space="0" w:color="000000"/>
            </w:tcBorders>
            <w:shd w:val="clear" w:color="auto" w:fill="auto"/>
            <w:vAlign w:val="center"/>
            <w:hideMark/>
          </w:tcPr>
          <w:p w14:paraId="1EC26F37" w14:textId="77777777" w:rsidR="00727235" w:rsidRPr="00727235" w:rsidRDefault="00727235" w:rsidP="00C428B5">
            <w:pPr>
              <w:ind w:firstLine="172"/>
              <w:rPr>
                <w:lang w:eastAsia="ru-RU"/>
              </w:rPr>
            </w:pPr>
            <w:r w:rsidRPr="00727235">
              <w:rPr>
                <w:lang w:eastAsia="ru-RU"/>
              </w:rPr>
              <w:t>линейная</w:t>
            </w:r>
          </w:p>
        </w:tc>
        <w:tc>
          <w:tcPr>
            <w:tcW w:w="662" w:type="pct"/>
            <w:tcBorders>
              <w:top w:val="nil"/>
              <w:left w:val="nil"/>
              <w:bottom w:val="single" w:sz="4" w:space="0" w:color="000000"/>
              <w:right w:val="single" w:sz="4" w:space="0" w:color="000000"/>
            </w:tcBorders>
            <w:shd w:val="clear" w:color="auto" w:fill="auto"/>
            <w:vAlign w:val="center"/>
          </w:tcPr>
          <w:p w14:paraId="24316547" w14:textId="15A02381" w:rsidR="00727235" w:rsidRPr="00727235" w:rsidRDefault="00125C06" w:rsidP="00C428B5">
            <w:pPr>
              <w:ind w:firstLine="172"/>
              <w:rPr>
                <w:lang w:eastAsia="ru-RU"/>
              </w:rPr>
            </w:pPr>
            <w:r>
              <w:rPr>
                <w:lang w:eastAsia="ru-RU"/>
              </w:rPr>
              <w:t>3</w:t>
            </w:r>
          </w:p>
        </w:tc>
        <w:tc>
          <w:tcPr>
            <w:tcW w:w="588" w:type="pct"/>
            <w:tcBorders>
              <w:top w:val="nil"/>
              <w:left w:val="nil"/>
              <w:bottom w:val="single" w:sz="4" w:space="0" w:color="000000"/>
              <w:right w:val="single" w:sz="4" w:space="0" w:color="000000"/>
            </w:tcBorders>
            <w:shd w:val="clear" w:color="auto" w:fill="auto"/>
            <w:vAlign w:val="center"/>
          </w:tcPr>
          <w:p w14:paraId="16071589" w14:textId="4B7C3CE0" w:rsidR="00727235" w:rsidRPr="00727235" w:rsidRDefault="00125C06" w:rsidP="00C428B5">
            <w:pPr>
              <w:ind w:firstLine="172"/>
              <w:rPr>
                <w:lang w:eastAsia="ru-RU"/>
              </w:rPr>
            </w:pPr>
            <w:r>
              <w:rPr>
                <w:lang w:eastAsia="ru-RU"/>
              </w:rPr>
              <w:t>0,76</w:t>
            </w:r>
          </w:p>
        </w:tc>
        <w:tc>
          <w:tcPr>
            <w:tcW w:w="588" w:type="pct"/>
            <w:tcBorders>
              <w:top w:val="nil"/>
              <w:left w:val="nil"/>
              <w:bottom w:val="single" w:sz="4" w:space="0" w:color="000000"/>
              <w:right w:val="single" w:sz="4" w:space="0" w:color="000000"/>
            </w:tcBorders>
            <w:shd w:val="clear" w:color="auto" w:fill="auto"/>
            <w:vAlign w:val="center"/>
          </w:tcPr>
          <w:p w14:paraId="28D1D9D9" w14:textId="55A2C6D2" w:rsidR="00727235" w:rsidRPr="00727235" w:rsidRDefault="00125C06" w:rsidP="00C428B5">
            <w:pPr>
              <w:ind w:firstLine="172"/>
              <w:rPr>
                <w:lang w:eastAsia="ru-RU"/>
              </w:rPr>
            </w:pPr>
            <w:r>
              <w:rPr>
                <w:lang w:eastAsia="ru-RU"/>
              </w:rPr>
              <w:t>193,89</w:t>
            </w:r>
          </w:p>
        </w:tc>
        <w:tc>
          <w:tcPr>
            <w:tcW w:w="441" w:type="pct"/>
            <w:tcBorders>
              <w:top w:val="nil"/>
              <w:left w:val="nil"/>
              <w:bottom w:val="single" w:sz="4" w:space="0" w:color="000000"/>
              <w:right w:val="single" w:sz="4" w:space="0" w:color="000000"/>
            </w:tcBorders>
            <w:shd w:val="clear" w:color="auto" w:fill="auto"/>
            <w:vAlign w:val="center"/>
            <w:hideMark/>
          </w:tcPr>
          <w:p w14:paraId="159F32B3" w14:textId="77777777" w:rsidR="00727235" w:rsidRPr="00727235" w:rsidRDefault="00727235" w:rsidP="00C428B5">
            <w:pPr>
              <w:ind w:firstLine="172"/>
              <w:rPr>
                <w:lang w:eastAsia="ru-RU"/>
              </w:rPr>
            </w:pPr>
            <w:r w:rsidRPr="00727235">
              <w:rPr>
                <w:lang w:eastAsia="ru-RU"/>
              </w:rPr>
              <w:t>3,1</w:t>
            </w:r>
          </w:p>
        </w:tc>
        <w:tc>
          <w:tcPr>
            <w:tcW w:w="661" w:type="pct"/>
            <w:tcBorders>
              <w:top w:val="nil"/>
              <w:left w:val="nil"/>
              <w:bottom w:val="single" w:sz="4" w:space="0" w:color="000000"/>
              <w:right w:val="single" w:sz="4" w:space="0" w:color="000000"/>
            </w:tcBorders>
            <w:shd w:val="clear" w:color="auto" w:fill="auto"/>
            <w:vAlign w:val="center"/>
            <w:hideMark/>
          </w:tcPr>
          <w:p w14:paraId="1768C0D7" w14:textId="77777777" w:rsidR="00727235" w:rsidRPr="00727235" w:rsidRDefault="00727235" w:rsidP="00C428B5">
            <w:pPr>
              <w:ind w:firstLine="172"/>
              <w:rPr>
                <w:lang w:eastAsia="ru-RU"/>
              </w:rPr>
            </w:pPr>
            <w:r w:rsidRPr="00727235">
              <w:rPr>
                <w:lang w:eastAsia="ru-RU"/>
              </w:rPr>
              <w:t>7,62</w:t>
            </w:r>
          </w:p>
        </w:tc>
        <w:tc>
          <w:tcPr>
            <w:tcW w:w="515" w:type="pct"/>
            <w:tcBorders>
              <w:top w:val="nil"/>
              <w:left w:val="nil"/>
              <w:bottom w:val="single" w:sz="4" w:space="0" w:color="000000"/>
              <w:right w:val="single" w:sz="4" w:space="0" w:color="000000"/>
            </w:tcBorders>
            <w:shd w:val="clear" w:color="auto" w:fill="auto"/>
            <w:vAlign w:val="center"/>
            <w:hideMark/>
          </w:tcPr>
          <w:p w14:paraId="28BABA58" w14:textId="543CE5BB" w:rsidR="00727235" w:rsidRPr="00727235" w:rsidRDefault="00125C06" w:rsidP="00C428B5">
            <w:pPr>
              <w:ind w:firstLine="172"/>
              <w:rPr>
                <w:lang w:eastAsia="ru-RU"/>
              </w:rPr>
            </w:pPr>
            <w:r>
              <w:rPr>
                <w:lang w:eastAsia="ru-RU"/>
              </w:rPr>
              <w:t>1,0</w:t>
            </w:r>
          </w:p>
        </w:tc>
        <w:tc>
          <w:tcPr>
            <w:tcW w:w="662" w:type="pct"/>
            <w:tcBorders>
              <w:top w:val="nil"/>
              <w:left w:val="nil"/>
              <w:bottom w:val="single" w:sz="4" w:space="0" w:color="000000"/>
              <w:right w:val="single" w:sz="4" w:space="0" w:color="000000"/>
            </w:tcBorders>
            <w:shd w:val="clear" w:color="auto" w:fill="auto"/>
            <w:vAlign w:val="center"/>
            <w:hideMark/>
          </w:tcPr>
          <w:p w14:paraId="1E8B8B53" w14:textId="77777777" w:rsidR="00727235" w:rsidRPr="00727235" w:rsidRDefault="00727235" w:rsidP="00C428B5">
            <w:pPr>
              <w:ind w:firstLine="172"/>
              <w:rPr>
                <w:lang w:eastAsia="ru-RU"/>
              </w:rPr>
            </w:pPr>
            <w:r w:rsidRPr="00727235">
              <w:rPr>
                <w:lang w:eastAsia="ru-RU"/>
              </w:rPr>
              <w:t>Соответствует</w:t>
            </w:r>
          </w:p>
        </w:tc>
      </w:tr>
      <w:tr w:rsidR="00727235" w:rsidRPr="00727235" w14:paraId="7C474D5B" w14:textId="77777777" w:rsidTr="00125C06">
        <w:trPr>
          <w:trHeight w:val="360"/>
        </w:trPr>
        <w:tc>
          <w:tcPr>
            <w:tcW w:w="147" w:type="pct"/>
            <w:tcBorders>
              <w:top w:val="nil"/>
              <w:left w:val="single" w:sz="4" w:space="0" w:color="000000"/>
              <w:bottom w:val="single" w:sz="4" w:space="0" w:color="000000"/>
              <w:right w:val="single" w:sz="4" w:space="0" w:color="000000"/>
            </w:tcBorders>
            <w:shd w:val="clear" w:color="auto" w:fill="auto"/>
            <w:vAlign w:val="center"/>
            <w:hideMark/>
          </w:tcPr>
          <w:p w14:paraId="6967B574" w14:textId="77777777" w:rsidR="00727235" w:rsidRPr="00727235" w:rsidRDefault="00727235" w:rsidP="00C428B5">
            <w:pPr>
              <w:ind w:firstLine="172"/>
              <w:rPr>
                <w:lang w:eastAsia="ru-RU"/>
              </w:rPr>
            </w:pPr>
            <w:r w:rsidRPr="00727235">
              <w:rPr>
                <w:lang w:eastAsia="ru-RU"/>
              </w:rPr>
              <w:t>2</w:t>
            </w:r>
          </w:p>
        </w:tc>
        <w:tc>
          <w:tcPr>
            <w:tcW w:w="736" w:type="pct"/>
            <w:tcBorders>
              <w:top w:val="nil"/>
              <w:left w:val="nil"/>
              <w:bottom w:val="single" w:sz="4" w:space="0" w:color="000000"/>
              <w:right w:val="single" w:sz="4" w:space="0" w:color="000000"/>
            </w:tcBorders>
            <w:shd w:val="clear" w:color="auto" w:fill="auto"/>
            <w:vAlign w:val="center"/>
            <w:hideMark/>
          </w:tcPr>
          <w:p w14:paraId="4AA91209" w14:textId="77777777" w:rsidR="00727235" w:rsidRPr="00727235" w:rsidRDefault="00727235" w:rsidP="00C428B5">
            <w:pPr>
              <w:ind w:firstLine="172"/>
              <w:rPr>
                <w:lang w:eastAsia="ru-RU"/>
              </w:rPr>
            </w:pPr>
            <w:r w:rsidRPr="00727235">
              <w:rPr>
                <w:lang w:eastAsia="ru-RU"/>
              </w:rPr>
              <w:t>мультипликативная</w:t>
            </w:r>
          </w:p>
        </w:tc>
        <w:tc>
          <w:tcPr>
            <w:tcW w:w="662" w:type="pct"/>
            <w:tcBorders>
              <w:top w:val="nil"/>
              <w:left w:val="nil"/>
              <w:bottom w:val="single" w:sz="4" w:space="0" w:color="000000"/>
              <w:right w:val="single" w:sz="4" w:space="0" w:color="000000"/>
            </w:tcBorders>
            <w:shd w:val="clear" w:color="auto" w:fill="auto"/>
            <w:vAlign w:val="center"/>
          </w:tcPr>
          <w:p w14:paraId="5325B684" w14:textId="77E38974" w:rsidR="00727235" w:rsidRPr="00727235" w:rsidRDefault="00125C06" w:rsidP="00C428B5">
            <w:pPr>
              <w:ind w:firstLine="172"/>
              <w:rPr>
                <w:lang w:eastAsia="ru-RU"/>
              </w:rPr>
            </w:pPr>
            <w:r>
              <w:rPr>
                <w:lang w:eastAsia="ru-RU"/>
              </w:rPr>
              <w:t>3</w:t>
            </w:r>
          </w:p>
        </w:tc>
        <w:tc>
          <w:tcPr>
            <w:tcW w:w="588" w:type="pct"/>
            <w:tcBorders>
              <w:top w:val="nil"/>
              <w:left w:val="nil"/>
              <w:bottom w:val="single" w:sz="4" w:space="0" w:color="000000"/>
              <w:right w:val="single" w:sz="4" w:space="0" w:color="000000"/>
            </w:tcBorders>
            <w:shd w:val="clear" w:color="auto" w:fill="auto"/>
            <w:vAlign w:val="center"/>
          </w:tcPr>
          <w:p w14:paraId="68D7B839" w14:textId="74DC33B9" w:rsidR="00727235" w:rsidRPr="00727235" w:rsidRDefault="00125C06" w:rsidP="00C428B5">
            <w:pPr>
              <w:ind w:firstLine="172"/>
              <w:rPr>
                <w:lang w:eastAsia="ru-RU"/>
              </w:rPr>
            </w:pPr>
            <w:r>
              <w:rPr>
                <w:lang w:eastAsia="ru-RU"/>
              </w:rPr>
              <w:t>0,78</w:t>
            </w:r>
          </w:p>
        </w:tc>
        <w:tc>
          <w:tcPr>
            <w:tcW w:w="588" w:type="pct"/>
            <w:tcBorders>
              <w:top w:val="nil"/>
              <w:left w:val="nil"/>
              <w:bottom w:val="single" w:sz="4" w:space="0" w:color="000000"/>
              <w:right w:val="single" w:sz="4" w:space="0" w:color="000000"/>
            </w:tcBorders>
            <w:shd w:val="clear" w:color="auto" w:fill="auto"/>
            <w:vAlign w:val="center"/>
          </w:tcPr>
          <w:p w14:paraId="36C34D7B" w14:textId="3F314281" w:rsidR="00727235" w:rsidRPr="00727235" w:rsidRDefault="00125C06" w:rsidP="00C428B5">
            <w:pPr>
              <w:ind w:firstLine="172"/>
              <w:rPr>
                <w:lang w:eastAsia="ru-RU"/>
              </w:rPr>
            </w:pPr>
            <w:r>
              <w:rPr>
                <w:lang w:eastAsia="ru-RU"/>
              </w:rPr>
              <w:t>215,84</w:t>
            </w:r>
          </w:p>
        </w:tc>
        <w:tc>
          <w:tcPr>
            <w:tcW w:w="441" w:type="pct"/>
            <w:tcBorders>
              <w:top w:val="nil"/>
              <w:left w:val="nil"/>
              <w:bottom w:val="single" w:sz="4" w:space="0" w:color="000000"/>
              <w:right w:val="single" w:sz="4" w:space="0" w:color="000000"/>
            </w:tcBorders>
            <w:shd w:val="clear" w:color="auto" w:fill="auto"/>
            <w:vAlign w:val="center"/>
            <w:hideMark/>
          </w:tcPr>
          <w:p w14:paraId="7D803B4D" w14:textId="77777777" w:rsidR="00727235" w:rsidRPr="00727235" w:rsidRDefault="00727235" w:rsidP="00C428B5">
            <w:pPr>
              <w:ind w:firstLine="172"/>
              <w:rPr>
                <w:lang w:eastAsia="ru-RU"/>
              </w:rPr>
            </w:pPr>
            <w:r w:rsidRPr="00727235">
              <w:rPr>
                <w:lang w:eastAsia="ru-RU"/>
              </w:rPr>
              <w:t>3,1</w:t>
            </w:r>
          </w:p>
        </w:tc>
        <w:tc>
          <w:tcPr>
            <w:tcW w:w="661" w:type="pct"/>
            <w:tcBorders>
              <w:top w:val="nil"/>
              <w:left w:val="nil"/>
              <w:bottom w:val="single" w:sz="4" w:space="0" w:color="000000"/>
              <w:right w:val="single" w:sz="4" w:space="0" w:color="000000"/>
            </w:tcBorders>
            <w:shd w:val="clear" w:color="auto" w:fill="auto"/>
            <w:vAlign w:val="center"/>
            <w:hideMark/>
          </w:tcPr>
          <w:p w14:paraId="3B6FEE16" w14:textId="77777777" w:rsidR="00727235" w:rsidRPr="00727235" w:rsidRDefault="00727235" w:rsidP="00C428B5">
            <w:pPr>
              <w:ind w:firstLine="172"/>
              <w:rPr>
                <w:lang w:eastAsia="ru-RU"/>
              </w:rPr>
            </w:pPr>
            <w:r w:rsidRPr="00727235">
              <w:rPr>
                <w:lang w:eastAsia="ru-RU"/>
              </w:rPr>
              <w:t>7,57</w:t>
            </w:r>
          </w:p>
        </w:tc>
        <w:tc>
          <w:tcPr>
            <w:tcW w:w="515" w:type="pct"/>
            <w:tcBorders>
              <w:top w:val="nil"/>
              <w:left w:val="nil"/>
              <w:bottom w:val="single" w:sz="4" w:space="0" w:color="000000"/>
              <w:right w:val="single" w:sz="4" w:space="0" w:color="000000"/>
            </w:tcBorders>
            <w:shd w:val="clear" w:color="auto" w:fill="auto"/>
            <w:vAlign w:val="center"/>
            <w:hideMark/>
          </w:tcPr>
          <w:p w14:paraId="500D983C" w14:textId="49C45D4D" w:rsidR="00727235" w:rsidRPr="00727235" w:rsidRDefault="00125C06" w:rsidP="00C428B5">
            <w:pPr>
              <w:ind w:firstLine="172"/>
              <w:rPr>
                <w:lang w:eastAsia="ru-RU"/>
              </w:rPr>
            </w:pPr>
            <w:r>
              <w:rPr>
                <w:lang w:eastAsia="ru-RU"/>
              </w:rPr>
              <w:t>1,0</w:t>
            </w:r>
          </w:p>
        </w:tc>
        <w:tc>
          <w:tcPr>
            <w:tcW w:w="662" w:type="pct"/>
            <w:tcBorders>
              <w:top w:val="nil"/>
              <w:left w:val="nil"/>
              <w:bottom w:val="single" w:sz="4" w:space="0" w:color="000000"/>
              <w:right w:val="single" w:sz="4" w:space="0" w:color="000000"/>
            </w:tcBorders>
            <w:shd w:val="clear" w:color="auto" w:fill="auto"/>
            <w:vAlign w:val="center"/>
            <w:hideMark/>
          </w:tcPr>
          <w:p w14:paraId="34961242" w14:textId="77777777" w:rsidR="00727235" w:rsidRPr="00727235" w:rsidRDefault="00727235" w:rsidP="00C428B5">
            <w:pPr>
              <w:ind w:firstLine="172"/>
              <w:rPr>
                <w:lang w:eastAsia="ru-RU"/>
              </w:rPr>
            </w:pPr>
            <w:r w:rsidRPr="00727235">
              <w:rPr>
                <w:lang w:eastAsia="ru-RU"/>
              </w:rPr>
              <w:t>Соответствует</w:t>
            </w:r>
          </w:p>
        </w:tc>
      </w:tr>
      <w:tr w:rsidR="00727235" w:rsidRPr="00727235" w14:paraId="5EFADD03" w14:textId="77777777" w:rsidTr="00125C06">
        <w:trPr>
          <w:trHeight w:val="360"/>
        </w:trPr>
        <w:tc>
          <w:tcPr>
            <w:tcW w:w="147" w:type="pct"/>
            <w:tcBorders>
              <w:top w:val="nil"/>
              <w:left w:val="single" w:sz="4" w:space="0" w:color="000000"/>
              <w:bottom w:val="single" w:sz="4" w:space="0" w:color="000000"/>
              <w:right w:val="single" w:sz="4" w:space="0" w:color="000000"/>
            </w:tcBorders>
            <w:shd w:val="clear" w:color="auto" w:fill="auto"/>
            <w:vAlign w:val="center"/>
            <w:hideMark/>
          </w:tcPr>
          <w:p w14:paraId="566FA507" w14:textId="77777777" w:rsidR="00727235" w:rsidRPr="00727235" w:rsidRDefault="00727235" w:rsidP="00C428B5">
            <w:pPr>
              <w:ind w:firstLine="172"/>
              <w:rPr>
                <w:lang w:eastAsia="ru-RU"/>
              </w:rPr>
            </w:pPr>
            <w:r w:rsidRPr="00727235">
              <w:rPr>
                <w:lang w:eastAsia="ru-RU"/>
              </w:rPr>
              <w:t>3</w:t>
            </w:r>
          </w:p>
        </w:tc>
        <w:tc>
          <w:tcPr>
            <w:tcW w:w="736" w:type="pct"/>
            <w:tcBorders>
              <w:top w:val="nil"/>
              <w:left w:val="nil"/>
              <w:bottom w:val="single" w:sz="4" w:space="0" w:color="000000"/>
              <w:right w:val="single" w:sz="4" w:space="0" w:color="000000"/>
            </w:tcBorders>
            <w:shd w:val="clear" w:color="auto" w:fill="auto"/>
            <w:vAlign w:val="center"/>
            <w:hideMark/>
          </w:tcPr>
          <w:p w14:paraId="141AD8E2" w14:textId="77777777" w:rsidR="00727235" w:rsidRPr="00727235" w:rsidRDefault="00727235" w:rsidP="00C428B5">
            <w:pPr>
              <w:ind w:firstLine="172"/>
              <w:rPr>
                <w:lang w:eastAsia="ru-RU"/>
              </w:rPr>
            </w:pPr>
            <w:r w:rsidRPr="00727235">
              <w:rPr>
                <w:lang w:eastAsia="ru-RU"/>
              </w:rPr>
              <w:t>экспоненциальная</w:t>
            </w:r>
          </w:p>
        </w:tc>
        <w:tc>
          <w:tcPr>
            <w:tcW w:w="662" w:type="pct"/>
            <w:tcBorders>
              <w:top w:val="nil"/>
              <w:left w:val="nil"/>
              <w:bottom w:val="single" w:sz="4" w:space="0" w:color="000000"/>
              <w:right w:val="single" w:sz="4" w:space="0" w:color="000000"/>
            </w:tcBorders>
            <w:shd w:val="clear" w:color="auto" w:fill="auto"/>
            <w:vAlign w:val="center"/>
          </w:tcPr>
          <w:p w14:paraId="64FF19AF" w14:textId="75ADF379" w:rsidR="00727235" w:rsidRPr="00727235" w:rsidRDefault="00125C06" w:rsidP="00C428B5">
            <w:pPr>
              <w:ind w:firstLine="172"/>
              <w:rPr>
                <w:lang w:eastAsia="ru-RU"/>
              </w:rPr>
            </w:pPr>
            <w:r>
              <w:rPr>
                <w:lang w:eastAsia="ru-RU"/>
              </w:rPr>
              <w:t>3</w:t>
            </w:r>
          </w:p>
        </w:tc>
        <w:tc>
          <w:tcPr>
            <w:tcW w:w="588" w:type="pct"/>
            <w:tcBorders>
              <w:top w:val="nil"/>
              <w:left w:val="nil"/>
              <w:bottom w:val="single" w:sz="4" w:space="0" w:color="000000"/>
              <w:right w:val="single" w:sz="4" w:space="0" w:color="000000"/>
            </w:tcBorders>
            <w:shd w:val="clear" w:color="auto" w:fill="auto"/>
            <w:vAlign w:val="center"/>
          </w:tcPr>
          <w:p w14:paraId="298948A2" w14:textId="6A08034F" w:rsidR="00727235" w:rsidRPr="00727235" w:rsidRDefault="00125C06" w:rsidP="00C428B5">
            <w:pPr>
              <w:ind w:firstLine="172"/>
              <w:rPr>
                <w:lang w:eastAsia="ru-RU"/>
              </w:rPr>
            </w:pPr>
            <w:r>
              <w:rPr>
                <w:lang w:eastAsia="ru-RU"/>
              </w:rPr>
              <w:t>0,78</w:t>
            </w:r>
          </w:p>
        </w:tc>
        <w:tc>
          <w:tcPr>
            <w:tcW w:w="588" w:type="pct"/>
            <w:tcBorders>
              <w:top w:val="nil"/>
              <w:left w:val="nil"/>
              <w:bottom w:val="single" w:sz="4" w:space="0" w:color="000000"/>
              <w:right w:val="single" w:sz="4" w:space="0" w:color="000000"/>
            </w:tcBorders>
            <w:shd w:val="clear" w:color="auto" w:fill="auto"/>
            <w:vAlign w:val="center"/>
          </w:tcPr>
          <w:p w14:paraId="12B44493" w14:textId="5B3E85E9" w:rsidR="00727235" w:rsidRPr="00727235" w:rsidRDefault="00125C06" w:rsidP="00C428B5">
            <w:pPr>
              <w:ind w:firstLine="172"/>
              <w:rPr>
                <w:lang w:eastAsia="ru-RU"/>
              </w:rPr>
            </w:pPr>
            <w:r>
              <w:rPr>
                <w:lang w:eastAsia="ru-RU"/>
              </w:rPr>
              <w:t>207,48</w:t>
            </w:r>
          </w:p>
        </w:tc>
        <w:tc>
          <w:tcPr>
            <w:tcW w:w="441" w:type="pct"/>
            <w:tcBorders>
              <w:top w:val="nil"/>
              <w:left w:val="nil"/>
              <w:bottom w:val="single" w:sz="4" w:space="0" w:color="000000"/>
              <w:right w:val="single" w:sz="4" w:space="0" w:color="000000"/>
            </w:tcBorders>
            <w:shd w:val="clear" w:color="auto" w:fill="auto"/>
            <w:vAlign w:val="center"/>
            <w:hideMark/>
          </w:tcPr>
          <w:p w14:paraId="28B76716" w14:textId="77777777" w:rsidR="00727235" w:rsidRPr="00727235" w:rsidRDefault="00727235" w:rsidP="00C428B5">
            <w:pPr>
              <w:ind w:firstLine="172"/>
              <w:rPr>
                <w:lang w:eastAsia="ru-RU"/>
              </w:rPr>
            </w:pPr>
            <w:r w:rsidRPr="00727235">
              <w:rPr>
                <w:lang w:eastAsia="ru-RU"/>
              </w:rPr>
              <w:t>3,1</w:t>
            </w:r>
          </w:p>
        </w:tc>
        <w:tc>
          <w:tcPr>
            <w:tcW w:w="661" w:type="pct"/>
            <w:tcBorders>
              <w:top w:val="nil"/>
              <w:left w:val="nil"/>
              <w:bottom w:val="single" w:sz="4" w:space="0" w:color="000000"/>
              <w:right w:val="single" w:sz="4" w:space="0" w:color="000000"/>
            </w:tcBorders>
            <w:shd w:val="clear" w:color="auto" w:fill="auto"/>
            <w:vAlign w:val="center"/>
            <w:hideMark/>
          </w:tcPr>
          <w:p w14:paraId="1EFA8CDD" w14:textId="77777777" w:rsidR="00727235" w:rsidRPr="00727235" w:rsidRDefault="00727235" w:rsidP="00C428B5">
            <w:pPr>
              <w:ind w:firstLine="172"/>
              <w:rPr>
                <w:lang w:eastAsia="ru-RU"/>
              </w:rPr>
            </w:pPr>
            <w:r w:rsidRPr="00727235">
              <w:rPr>
                <w:lang w:eastAsia="ru-RU"/>
              </w:rPr>
              <w:t>7,73</w:t>
            </w:r>
          </w:p>
        </w:tc>
        <w:tc>
          <w:tcPr>
            <w:tcW w:w="515" w:type="pct"/>
            <w:tcBorders>
              <w:top w:val="nil"/>
              <w:left w:val="nil"/>
              <w:bottom w:val="single" w:sz="4" w:space="0" w:color="000000"/>
              <w:right w:val="single" w:sz="4" w:space="0" w:color="000000"/>
            </w:tcBorders>
            <w:shd w:val="clear" w:color="auto" w:fill="auto"/>
            <w:vAlign w:val="center"/>
            <w:hideMark/>
          </w:tcPr>
          <w:p w14:paraId="0CFAB3E9" w14:textId="46AF846E" w:rsidR="00727235" w:rsidRPr="00727235" w:rsidRDefault="00125C06" w:rsidP="00C428B5">
            <w:pPr>
              <w:ind w:firstLine="172"/>
              <w:rPr>
                <w:lang w:eastAsia="ru-RU"/>
              </w:rPr>
            </w:pPr>
            <w:r>
              <w:rPr>
                <w:lang w:eastAsia="ru-RU"/>
              </w:rPr>
              <w:t>1,0</w:t>
            </w:r>
          </w:p>
        </w:tc>
        <w:tc>
          <w:tcPr>
            <w:tcW w:w="662" w:type="pct"/>
            <w:tcBorders>
              <w:top w:val="nil"/>
              <w:left w:val="nil"/>
              <w:bottom w:val="single" w:sz="4" w:space="0" w:color="000000"/>
              <w:right w:val="single" w:sz="4" w:space="0" w:color="000000"/>
            </w:tcBorders>
            <w:shd w:val="clear" w:color="auto" w:fill="auto"/>
            <w:vAlign w:val="center"/>
            <w:hideMark/>
          </w:tcPr>
          <w:p w14:paraId="08D498E9" w14:textId="77777777" w:rsidR="00727235" w:rsidRPr="00727235" w:rsidRDefault="00727235" w:rsidP="00C428B5">
            <w:pPr>
              <w:ind w:firstLine="172"/>
              <w:rPr>
                <w:lang w:eastAsia="ru-RU"/>
              </w:rPr>
            </w:pPr>
            <w:r w:rsidRPr="00727235">
              <w:rPr>
                <w:lang w:eastAsia="ru-RU"/>
              </w:rPr>
              <w:t>Соответствует</w:t>
            </w:r>
          </w:p>
        </w:tc>
      </w:tr>
    </w:tbl>
    <w:p w14:paraId="58FDA909" w14:textId="77777777" w:rsidR="00727235" w:rsidRPr="00727235" w:rsidRDefault="00727235" w:rsidP="00727235">
      <w:pPr>
        <w:rPr>
          <w:lang w:eastAsia="ru-RU"/>
        </w:rPr>
      </w:pPr>
    </w:p>
    <w:p w14:paraId="164A9C28" w14:textId="77777777" w:rsidR="00727235" w:rsidRPr="00727235" w:rsidRDefault="00727235" w:rsidP="00727235">
      <w:r w:rsidRPr="00727235">
        <w:t>Далее проведен анализ качества моделей для статистически значимых моделей.</w:t>
      </w:r>
    </w:p>
    <w:p w14:paraId="475574DC" w14:textId="77777777" w:rsidR="00727235" w:rsidRPr="00727235" w:rsidRDefault="00727235" w:rsidP="00727235">
      <w:pPr>
        <w:rPr>
          <w:lang w:eastAsia="ru-RU"/>
        </w:rPr>
      </w:pPr>
    </w:p>
    <w:p w14:paraId="3470FCF4" w14:textId="7CDB8989" w:rsidR="00727235" w:rsidRDefault="00727235" w:rsidP="00727235">
      <w:pPr>
        <w:rPr>
          <w:lang w:eastAsia="ru-RU"/>
        </w:rPr>
      </w:pPr>
      <w:r w:rsidRPr="00727235">
        <w:rPr>
          <w:lang w:eastAsia="ru-RU"/>
        </w:rPr>
        <w:t xml:space="preserve">Таблица </w:t>
      </w:r>
      <w:r w:rsidRPr="00727235">
        <w:rPr>
          <w:lang w:eastAsia="ru-RU"/>
        </w:rPr>
        <w:fldChar w:fldCharType="begin"/>
      </w:r>
      <w:r w:rsidRPr="00727235">
        <w:rPr>
          <w:lang w:eastAsia="ru-RU"/>
        </w:rPr>
        <w:instrText xml:space="preserve"> SEQ Таблица \* ARABIC </w:instrText>
      </w:r>
      <w:r w:rsidRPr="00727235">
        <w:rPr>
          <w:lang w:eastAsia="ru-RU"/>
        </w:rPr>
        <w:fldChar w:fldCharType="separate"/>
      </w:r>
      <w:r w:rsidR="00FD2769">
        <w:rPr>
          <w:noProof/>
          <w:lang w:eastAsia="ru-RU"/>
        </w:rPr>
        <w:t>53</w:t>
      </w:r>
      <w:r w:rsidRPr="00727235">
        <w:rPr>
          <w:lang w:eastAsia="ru-RU"/>
        </w:rPr>
        <w:fldChar w:fldCharType="end"/>
      </w:r>
      <w:r w:rsidRPr="00727235">
        <w:rPr>
          <w:lang w:eastAsia="ru-RU"/>
        </w:rPr>
        <w:t xml:space="preserve"> Анализ качества статистически значимых моделей </w:t>
      </w:r>
      <w:r w:rsidR="00311405">
        <w:rPr>
          <w:lang w:eastAsia="ru-RU"/>
        </w:rPr>
        <w:t xml:space="preserve">группы </w:t>
      </w:r>
      <w:r w:rsidR="00311405" w:rsidRPr="00AA34D8">
        <w:rPr>
          <w:rFonts w:eastAsia="Times New Roman" w:cs="Times New Roman"/>
          <w:bCs/>
          <w:color w:val="000000"/>
          <w:szCs w:val="24"/>
          <w:lang w:eastAsia="ru-RU"/>
        </w:rPr>
        <w:t>1. Многоквартирные дома (дома средне- и многоэтажной жилой застройки)", подгруппа "</w:t>
      </w:r>
      <w:r w:rsidR="000470FD">
        <w:rPr>
          <w:rFonts w:eastAsia="Times New Roman" w:cs="Times New Roman"/>
          <w:bCs/>
          <w:color w:val="000000"/>
          <w:szCs w:val="24"/>
          <w:lang w:eastAsia="ru-RU"/>
        </w:rPr>
        <w:t>Помещения г.Якутск с п/х более 60 кв.м. 1.9</w:t>
      </w:r>
      <w:r w:rsidR="00311405" w:rsidRPr="00AA34D8">
        <w:rPr>
          <w:rFonts w:eastAsia="Times New Roman" w:cs="Times New Roman"/>
          <w:bCs/>
          <w:color w:val="000000"/>
          <w:szCs w:val="24"/>
          <w:lang w:eastAsia="ru-RU"/>
        </w:rPr>
        <w:t xml:space="preserve">". </w:t>
      </w:r>
    </w:p>
    <w:p w14:paraId="4280B537" w14:textId="649C5C39" w:rsidR="00CF4825" w:rsidRDefault="00CF4825">
      <w:pPr>
        <w:spacing w:after="160" w:line="259" w:lineRule="auto"/>
        <w:ind w:firstLine="0"/>
        <w:jc w:val="left"/>
        <w:rPr>
          <w:lang w:eastAsia="ru-RU"/>
        </w:rPr>
      </w:pPr>
      <w:r>
        <w:rPr>
          <w:lang w:eastAsia="ru-RU"/>
        </w:rPr>
        <w:br w:type="page"/>
      </w:r>
    </w:p>
    <w:p w14:paraId="5D8AF03D" w14:textId="77777777" w:rsidR="00CF4825" w:rsidRPr="00727235" w:rsidRDefault="00CF4825" w:rsidP="00727235">
      <w:pPr>
        <w:rPr>
          <w:lang w:eastAsia="ru-RU"/>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7"/>
        <w:gridCol w:w="2345"/>
        <w:gridCol w:w="1520"/>
        <w:gridCol w:w="1544"/>
        <w:gridCol w:w="2003"/>
        <w:gridCol w:w="2117"/>
        <w:gridCol w:w="6"/>
        <w:gridCol w:w="1983"/>
        <w:gridCol w:w="2105"/>
      </w:tblGrid>
      <w:tr w:rsidR="00C428B5" w:rsidRPr="00727235" w14:paraId="3E334136" w14:textId="77777777" w:rsidTr="00C428B5">
        <w:trPr>
          <w:trHeight w:val="795"/>
        </w:trPr>
        <w:tc>
          <w:tcPr>
            <w:tcW w:w="322" w:type="pct"/>
            <w:vMerge w:val="restart"/>
            <w:shd w:val="clear" w:color="auto" w:fill="auto"/>
            <w:vAlign w:val="center"/>
            <w:hideMark/>
          </w:tcPr>
          <w:p w14:paraId="29A536A9" w14:textId="77777777" w:rsidR="00C428B5" w:rsidRPr="00727235" w:rsidRDefault="00C428B5" w:rsidP="00FA5B5E">
            <w:pPr>
              <w:ind w:firstLine="0"/>
              <w:rPr>
                <w:lang w:eastAsia="ru-RU"/>
              </w:rPr>
            </w:pPr>
            <w:r w:rsidRPr="00727235">
              <w:rPr>
                <w:lang w:eastAsia="ru-RU"/>
              </w:rPr>
              <w:t>№ п/п</w:t>
            </w:r>
          </w:p>
          <w:p w14:paraId="6DA4FF18" w14:textId="422EB7FA" w:rsidR="00C428B5" w:rsidRPr="00727235" w:rsidRDefault="00C428B5" w:rsidP="00FA5B5E">
            <w:pPr>
              <w:rPr>
                <w:lang w:eastAsia="ru-RU"/>
              </w:rPr>
            </w:pPr>
            <w:r w:rsidRPr="00727235">
              <w:rPr>
                <w:lang w:eastAsia="ru-RU"/>
              </w:rPr>
              <w:t> </w:t>
            </w:r>
          </w:p>
        </w:tc>
        <w:tc>
          <w:tcPr>
            <w:tcW w:w="805" w:type="pct"/>
            <w:vMerge w:val="restart"/>
            <w:shd w:val="clear" w:color="auto" w:fill="auto"/>
            <w:vAlign w:val="center"/>
            <w:hideMark/>
          </w:tcPr>
          <w:p w14:paraId="6DDB2F7B" w14:textId="26B8161F" w:rsidR="00C428B5" w:rsidRPr="00727235" w:rsidRDefault="00C428B5" w:rsidP="008739E1">
            <w:pPr>
              <w:ind w:firstLine="0"/>
              <w:rPr>
                <w:lang w:eastAsia="ru-RU"/>
              </w:rPr>
            </w:pPr>
            <w:r w:rsidRPr="00727235">
              <w:rPr>
                <w:lang w:eastAsia="ru-RU"/>
              </w:rPr>
              <w:t>Названи</w:t>
            </w:r>
            <w:r w:rsidR="008739E1">
              <w:rPr>
                <w:lang w:eastAsia="ru-RU"/>
              </w:rPr>
              <w:t>е статистически значимой модели</w:t>
            </w:r>
          </w:p>
        </w:tc>
        <w:tc>
          <w:tcPr>
            <w:tcW w:w="1052" w:type="pct"/>
            <w:gridSpan w:val="2"/>
            <w:shd w:val="clear" w:color="auto" w:fill="auto"/>
            <w:vAlign w:val="center"/>
            <w:hideMark/>
          </w:tcPr>
          <w:p w14:paraId="0CB973F4" w14:textId="77777777" w:rsidR="00C428B5" w:rsidRPr="00727235" w:rsidRDefault="00C428B5" w:rsidP="00FA5B5E">
            <w:pPr>
              <w:ind w:firstLine="0"/>
              <w:rPr>
                <w:lang w:eastAsia="ru-RU"/>
              </w:rPr>
            </w:pPr>
            <w:r w:rsidRPr="00727235">
              <w:rPr>
                <w:lang w:eastAsia="ru-RU"/>
              </w:rPr>
              <w:t>Линейная модель</w:t>
            </w:r>
          </w:p>
        </w:tc>
        <w:tc>
          <w:tcPr>
            <w:tcW w:w="1417" w:type="pct"/>
            <w:gridSpan w:val="3"/>
            <w:shd w:val="clear" w:color="auto" w:fill="auto"/>
            <w:vAlign w:val="center"/>
            <w:hideMark/>
          </w:tcPr>
          <w:p w14:paraId="41A20B44" w14:textId="77777777" w:rsidR="00C428B5" w:rsidRPr="00727235" w:rsidRDefault="00C428B5" w:rsidP="00FA5B5E">
            <w:pPr>
              <w:ind w:firstLine="0"/>
              <w:rPr>
                <w:lang w:eastAsia="ru-RU"/>
              </w:rPr>
            </w:pPr>
            <w:r w:rsidRPr="00727235">
              <w:rPr>
                <w:lang w:eastAsia="ru-RU"/>
              </w:rPr>
              <w:t>Мультипликативная модель</w:t>
            </w:r>
          </w:p>
        </w:tc>
        <w:tc>
          <w:tcPr>
            <w:tcW w:w="1404" w:type="pct"/>
            <w:gridSpan w:val="2"/>
            <w:shd w:val="clear" w:color="auto" w:fill="auto"/>
            <w:vAlign w:val="center"/>
            <w:hideMark/>
          </w:tcPr>
          <w:p w14:paraId="00970F51" w14:textId="77777777" w:rsidR="00C428B5" w:rsidRPr="00727235" w:rsidRDefault="00C428B5" w:rsidP="00FA5B5E">
            <w:pPr>
              <w:ind w:firstLine="0"/>
              <w:rPr>
                <w:lang w:eastAsia="ru-RU"/>
              </w:rPr>
            </w:pPr>
            <w:r w:rsidRPr="00727235">
              <w:rPr>
                <w:lang w:eastAsia="ru-RU"/>
              </w:rPr>
              <w:t>Экспоненциальная модель</w:t>
            </w:r>
          </w:p>
        </w:tc>
      </w:tr>
      <w:tr w:rsidR="00C428B5" w:rsidRPr="00727235" w14:paraId="26FD448F" w14:textId="77777777" w:rsidTr="00C428B5">
        <w:trPr>
          <w:trHeight w:val="765"/>
        </w:trPr>
        <w:tc>
          <w:tcPr>
            <w:tcW w:w="322" w:type="pct"/>
            <w:vMerge/>
            <w:shd w:val="clear" w:color="auto" w:fill="auto"/>
            <w:vAlign w:val="center"/>
            <w:hideMark/>
          </w:tcPr>
          <w:p w14:paraId="4F598398" w14:textId="5644D4D1" w:rsidR="00C428B5" w:rsidRPr="00727235" w:rsidRDefault="00C428B5" w:rsidP="00FA5B5E">
            <w:pPr>
              <w:ind w:firstLine="0"/>
              <w:rPr>
                <w:lang w:eastAsia="ru-RU"/>
              </w:rPr>
            </w:pPr>
          </w:p>
        </w:tc>
        <w:tc>
          <w:tcPr>
            <w:tcW w:w="805" w:type="pct"/>
            <w:vMerge/>
            <w:shd w:val="clear" w:color="auto" w:fill="auto"/>
            <w:vAlign w:val="center"/>
            <w:hideMark/>
          </w:tcPr>
          <w:p w14:paraId="381A2E65" w14:textId="5442A32B" w:rsidR="00C428B5" w:rsidRPr="00727235" w:rsidRDefault="00C428B5" w:rsidP="00FA5B5E">
            <w:pPr>
              <w:ind w:firstLine="0"/>
              <w:rPr>
                <w:lang w:eastAsia="ru-RU"/>
              </w:rPr>
            </w:pPr>
          </w:p>
        </w:tc>
        <w:tc>
          <w:tcPr>
            <w:tcW w:w="522" w:type="pct"/>
            <w:shd w:val="clear" w:color="auto" w:fill="auto"/>
            <w:vAlign w:val="center"/>
            <w:hideMark/>
          </w:tcPr>
          <w:p w14:paraId="5F7299CD" w14:textId="77777777" w:rsidR="00C428B5" w:rsidRPr="00727235" w:rsidRDefault="00C428B5" w:rsidP="00FA5B5E">
            <w:pPr>
              <w:ind w:firstLine="0"/>
              <w:rPr>
                <w:lang w:eastAsia="ru-RU"/>
              </w:rPr>
            </w:pPr>
            <w:r w:rsidRPr="00727235">
              <w:rPr>
                <w:lang w:eastAsia="ru-RU"/>
              </w:rPr>
              <w:t>Обучающая выборка</w:t>
            </w:r>
          </w:p>
        </w:tc>
        <w:tc>
          <w:tcPr>
            <w:tcW w:w="530" w:type="pct"/>
            <w:shd w:val="clear" w:color="auto" w:fill="auto"/>
            <w:vAlign w:val="center"/>
            <w:hideMark/>
          </w:tcPr>
          <w:p w14:paraId="4A8347C1" w14:textId="77777777" w:rsidR="00C428B5" w:rsidRPr="00727235" w:rsidRDefault="00C428B5" w:rsidP="00FA5B5E">
            <w:pPr>
              <w:ind w:firstLine="0"/>
              <w:rPr>
                <w:lang w:eastAsia="ru-RU"/>
              </w:rPr>
            </w:pPr>
            <w:r w:rsidRPr="00727235">
              <w:rPr>
                <w:lang w:eastAsia="ru-RU"/>
              </w:rPr>
              <w:t>Контрольная выборка</w:t>
            </w:r>
          </w:p>
        </w:tc>
        <w:tc>
          <w:tcPr>
            <w:tcW w:w="688" w:type="pct"/>
            <w:shd w:val="clear" w:color="auto" w:fill="auto"/>
            <w:vAlign w:val="center"/>
            <w:hideMark/>
          </w:tcPr>
          <w:p w14:paraId="2964A1BD" w14:textId="77777777" w:rsidR="00C428B5" w:rsidRPr="00727235" w:rsidRDefault="00C428B5" w:rsidP="00FA5B5E">
            <w:pPr>
              <w:ind w:firstLine="0"/>
              <w:rPr>
                <w:lang w:eastAsia="ru-RU"/>
              </w:rPr>
            </w:pPr>
            <w:r w:rsidRPr="00727235">
              <w:rPr>
                <w:lang w:eastAsia="ru-RU"/>
              </w:rPr>
              <w:t>Обучающая выборка</w:t>
            </w:r>
          </w:p>
        </w:tc>
        <w:tc>
          <w:tcPr>
            <w:tcW w:w="727" w:type="pct"/>
            <w:shd w:val="clear" w:color="auto" w:fill="auto"/>
            <w:vAlign w:val="center"/>
            <w:hideMark/>
          </w:tcPr>
          <w:p w14:paraId="149D9559" w14:textId="77777777" w:rsidR="00C428B5" w:rsidRPr="00727235" w:rsidRDefault="00C428B5" w:rsidP="00FA5B5E">
            <w:pPr>
              <w:ind w:firstLine="0"/>
              <w:rPr>
                <w:lang w:eastAsia="ru-RU"/>
              </w:rPr>
            </w:pPr>
            <w:r w:rsidRPr="00727235">
              <w:rPr>
                <w:lang w:eastAsia="ru-RU"/>
              </w:rPr>
              <w:t>Контрольная выборка</w:t>
            </w:r>
          </w:p>
        </w:tc>
        <w:tc>
          <w:tcPr>
            <w:tcW w:w="683" w:type="pct"/>
            <w:gridSpan w:val="2"/>
            <w:shd w:val="clear" w:color="auto" w:fill="auto"/>
            <w:vAlign w:val="center"/>
            <w:hideMark/>
          </w:tcPr>
          <w:p w14:paraId="7C7727F5" w14:textId="77777777" w:rsidR="00C428B5" w:rsidRPr="00727235" w:rsidRDefault="00C428B5" w:rsidP="00FA5B5E">
            <w:pPr>
              <w:ind w:firstLine="0"/>
              <w:rPr>
                <w:lang w:eastAsia="ru-RU"/>
              </w:rPr>
            </w:pPr>
            <w:r w:rsidRPr="00727235">
              <w:rPr>
                <w:lang w:eastAsia="ru-RU"/>
              </w:rPr>
              <w:t>Обучающая выборка</w:t>
            </w:r>
          </w:p>
        </w:tc>
        <w:tc>
          <w:tcPr>
            <w:tcW w:w="723" w:type="pct"/>
            <w:shd w:val="clear" w:color="auto" w:fill="auto"/>
            <w:vAlign w:val="center"/>
            <w:hideMark/>
          </w:tcPr>
          <w:p w14:paraId="0244DDCA" w14:textId="77777777" w:rsidR="00C428B5" w:rsidRPr="00727235" w:rsidRDefault="00C428B5" w:rsidP="00FA5B5E">
            <w:pPr>
              <w:ind w:firstLine="0"/>
              <w:rPr>
                <w:lang w:eastAsia="ru-RU"/>
              </w:rPr>
            </w:pPr>
            <w:r w:rsidRPr="00727235">
              <w:rPr>
                <w:lang w:eastAsia="ru-RU"/>
              </w:rPr>
              <w:t>Контрольная выборка</w:t>
            </w:r>
          </w:p>
        </w:tc>
      </w:tr>
      <w:tr w:rsidR="00727235" w:rsidRPr="00727235" w14:paraId="5B0B3D9B" w14:textId="77777777" w:rsidTr="00C428B5">
        <w:trPr>
          <w:trHeight w:val="360"/>
        </w:trPr>
        <w:tc>
          <w:tcPr>
            <w:tcW w:w="322" w:type="pct"/>
            <w:shd w:val="clear" w:color="auto" w:fill="auto"/>
            <w:hideMark/>
          </w:tcPr>
          <w:p w14:paraId="5D3BE1F0" w14:textId="77777777" w:rsidR="00727235" w:rsidRPr="00727235" w:rsidRDefault="00727235" w:rsidP="00FA5B5E">
            <w:pPr>
              <w:ind w:firstLine="0"/>
              <w:rPr>
                <w:lang w:eastAsia="ru-RU"/>
              </w:rPr>
            </w:pPr>
            <w:r w:rsidRPr="00727235">
              <w:rPr>
                <w:lang w:eastAsia="ru-RU"/>
              </w:rPr>
              <w:t>01</w:t>
            </w:r>
          </w:p>
        </w:tc>
        <w:tc>
          <w:tcPr>
            <w:tcW w:w="805" w:type="pct"/>
            <w:shd w:val="clear" w:color="auto" w:fill="auto"/>
            <w:vAlign w:val="center"/>
            <w:hideMark/>
          </w:tcPr>
          <w:p w14:paraId="5D57A9AC" w14:textId="77777777" w:rsidR="00727235" w:rsidRPr="00727235" w:rsidRDefault="00727235" w:rsidP="00FA5B5E">
            <w:pPr>
              <w:ind w:firstLine="0"/>
              <w:rPr>
                <w:lang w:eastAsia="ru-RU"/>
              </w:rPr>
            </w:pPr>
            <w:r w:rsidRPr="00727235">
              <w:rPr>
                <w:lang w:eastAsia="ru-RU"/>
              </w:rPr>
              <w:t>02</w:t>
            </w:r>
          </w:p>
        </w:tc>
        <w:tc>
          <w:tcPr>
            <w:tcW w:w="522" w:type="pct"/>
            <w:shd w:val="clear" w:color="auto" w:fill="auto"/>
            <w:vAlign w:val="center"/>
            <w:hideMark/>
          </w:tcPr>
          <w:p w14:paraId="0715247F" w14:textId="77777777" w:rsidR="00727235" w:rsidRPr="00727235" w:rsidRDefault="00727235" w:rsidP="00FA5B5E">
            <w:pPr>
              <w:ind w:firstLine="0"/>
              <w:rPr>
                <w:lang w:eastAsia="ru-RU"/>
              </w:rPr>
            </w:pPr>
            <w:r w:rsidRPr="00727235">
              <w:rPr>
                <w:lang w:eastAsia="ru-RU"/>
              </w:rPr>
              <w:t>03</w:t>
            </w:r>
          </w:p>
        </w:tc>
        <w:tc>
          <w:tcPr>
            <w:tcW w:w="530" w:type="pct"/>
            <w:shd w:val="clear" w:color="auto" w:fill="auto"/>
            <w:vAlign w:val="center"/>
            <w:hideMark/>
          </w:tcPr>
          <w:p w14:paraId="5125DD06" w14:textId="77777777" w:rsidR="00727235" w:rsidRPr="00727235" w:rsidRDefault="00727235" w:rsidP="00FA5B5E">
            <w:pPr>
              <w:ind w:firstLine="0"/>
              <w:rPr>
                <w:lang w:eastAsia="ru-RU"/>
              </w:rPr>
            </w:pPr>
            <w:r w:rsidRPr="00727235">
              <w:rPr>
                <w:lang w:eastAsia="ru-RU"/>
              </w:rPr>
              <w:t>04</w:t>
            </w:r>
          </w:p>
        </w:tc>
        <w:tc>
          <w:tcPr>
            <w:tcW w:w="688" w:type="pct"/>
            <w:shd w:val="clear" w:color="auto" w:fill="auto"/>
            <w:vAlign w:val="center"/>
            <w:hideMark/>
          </w:tcPr>
          <w:p w14:paraId="349D148F" w14:textId="77777777" w:rsidR="00727235" w:rsidRPr="00727235" w:rsidRDefault="00727235" w:rsidP="00FA5B5E">
            <w:pPr>
              <w:ind w:firstLine="0"/>
              <w:rPr>
                <w:lang w:eastAsia="ru-RU"/>
              </w:rPr>
            </w:pPr>
            <w:r w:rsidRPr="00727235">
              <w:rPr>
                <w:lang w:eastAsia="ru-RU"/>
              </w:rPr>
              <w:t>05</w:t>
            </w:r>
          </w:p>
        </w:tc>
        <w:tc>
          <w:tcPr>
            <w:tcW w:w="727" w:type="pct"/>
            <w:shd w:val="clear" w:color="auto" w:fill="auto"/>
            <w:vAlign w:val="center"/>
            <w:hideMark/>
          </w:tcPr>
          <w:p w14:paraId="092A8293" w14:textId="77777777" w:rsidR="00727235" w:rsidRPr="00727235" w:rsidRDefault="00727235" w:rsidP="00FA5B5E">
            <w:pPr>
              <w:ind w:firstLine="0"/>
              <w:rPr>
                <w:lang w:eastAsia="ru-RU"/>
              </w:rPr>
            </w:pPr>
            <w:r w:rsidRPr="00727235">
              <w:rPr>
                <w:lang w:eastAsia="ru-RU"/>
              </w:rPr>
              <w:t>06</w:t>
            </w:r>
          </w:p>
        </w:tc>
        <w:tc>
          <w:tcPr>
            <w:tcW w:w="683" w:type="pct"/>
            <w:gridSpan w:val="2"/>
            <w:shd w:val="clear" w:color="auto" w:fill="auto"/>
            <w:vAlign w:val="center"/>
            <w:hideMark/>
          </w:tcPr>
          <w:p w14:paraId="3EE005F6" w14:textId="77777777" w:rsidR="00727235" w:rsidRPr="00727235" w:rsidRDefault="00727235" w:rsidP="00FA5B5E">
            <w:pPr>
              <w:ind w:firstLine="0"/>
              <w:rPr>
                <w:lang w:eastAsia="ru-RU"/>
              </w:rPr>
            </w:pPr>
            <w:r w:rsidRPr="00727235">
              <w:rPr>
                <w:lang w:eastAsia="ru-RU"/>
              </w:rPr>
              <w:t>07</w:t>
            </w:r>
          </w:p>
        </w:tc>
        <w:tc>
          <w:tcPr>
            <w:tcW w:w="723" w:type="pct"/>
            <w:shd w:val="clear" w:color="auto" w:fill="auto"/>
            <w:vAlign w:val="center"/>
            <w:hideMark/>
          </w:tcPr>
          <w:p w14:paraId="33518FED" w14:textId="77777777" w:rsidR="00727235" w:rsidRPr="00727235" w:rsidRDefault="00727235" w:rsidP="00FA5B5E">
            <w:pPr>
              <w:ind w:firstLine="0"/>
              <w:rPr>
                <w:lang w:eastAsia="ru-RU"/>
              </w:rPr>
            </w:pPr>
            <w:r w:rsidRPr="00727235">
              <w:rPr>
                <w:lang w:eastAsia="ru-RU"/>
              </w:rPr>
              <w:t>08</w:t>
            </w:r>
          </w:p>
        </w:tc>
      </w:tr>
      <w:tr w:rsidR="001E4B2F" w:rsidRPr="00727235" w14:paraId="43C5B119" w14:textId="77777777" w:rsidTr="001E4B2F">
        <w:trPr>
          <w:trHeight w:val="600"/>
        </w:trPr>
        <w:tc>
          <w:tcPr>
            <w:tcW w:w="322" w:type="pct"/>
            <w:shd w:val="clear" w:color="auto" w:fill="auto"/>
            <w:vAlign w:val="center"/>
            <w:hideMark/>
          </w:tcPr>
          <w:p w14:paraId="59473A39" w14:textId="77777777" w:rsidR="001E4B2F" w:rsidRPr="00727235" w:rsidRDefault="001E4B2F" w:rsidP="001E4B2F">
            <w:pPr>
              <w:ind w:firstLine="0"/>
              <w:rPr>
                <w:lang w:eastAsia="ru-RU"/>
              </w:rPr>
            </w:pPr>
            <w:r w:rsidRPr="00727235">
              <w:rPr>
                <w:lang w:eastAsia="ru-RU"/>
              </w:rPr>
              <w:t>1</w:t>
            </w:r>
          </w:p>
        </w:tc>
        <w:tc>
          <w:tcPr>
            <w:tcW w:w="805" w:type="pct"/>
            <w:shd w:val="clear" w:color="auto" w:fill="auto"/>
            <w:vAlign w:val="center"/>
            <w:hideMark/>
          </w:tcPr>
          <w:p w14:paraId="1C919186" w14:textId="77777777" w:rsidR="001E4B2F" w:rsidRPr="00727235" w:rsidRDefault="001E4B2F" w:rsidP="001E4B2F">
            <w:pPr>
              <w:ind w:firstLine="0"/>
              <w:rPr>
                <w:lang w:eastAsia="ru-RU"/>
              </w:rPr>
            </w:pPr>
            <w:r w:rsidRPr="00727235">
              <w:rPr>
                <w:lang w:eastAsia="ru-RU"/>
              </w:rPr>
              <w:t>Средняя относительная погрешность оценки</w:t>
            </w:r>
          </w:p>
        </w:tc>
        <w:tc>
          <w:tcPr>
            <w:tcW w:w="522" w:type="pct"/>
            <w:shd w:val="clear" w:color="auto" w:fill="auto"/>
            <w:hideMark/>
          </w:tcPr>
          <w:p w14:paraId="17887BFA" w14:textId="7DC28C96" w:rsidR="001E4B2F" w:rsidRPr="00727235" w:rsidRDefault="001E4B2F" w:rsidP="001E4B2F">
            <w:pPr>
              <w:ind w:firstLine="0"/>
              <w:rPr>
                <w:lang w:eastAsia="ru-RU"/>
              </w:rPr>
            </w:pPr>
            <w:r w:rsidRPr="00A47F81">
              <w:t>5,3</w:t>
            </w:r>
          </w:p>
        </w:tc>
        <w:tc>
          <w:tcPr>
            <w:tcW w:w="530" w:type="pct"/>
            <w:shd w:val="clear" w:color="auto" w:fill="auto"/>
            <w:hideMark/>
          </w:tcPr>
          <w:p w14:paraId="6A08E56F" w14:textId="0C12358F" w:rsidR="001E4B2F" w:rsidRPr="00727235" w:rsidRDefault="001E4B2F" w:rsidP="001E4B2F">
            <w:pPr>
              <w:ind w:firstLine="0"/>
              <w:rPr>
                <w:lang w:eastAsia="ru-RU"/>
              </w:rPr>
            </w:pPr>
            <w:r w:rsidRPr="00A47F81">
              <w:t>5,05</w:t>
            </w:r>
          </w:p>
        </w:tc>
        <w:tc>
          <w:tcPr>
            <w:tcW w:w="688" w:type="pct"/>
            <w:shd w:val="clear" w:color="auto" w:fill="auto"/>
            <w:hideMark/>
          </w:tcPr>
          <w:p w14:paraId="7256B554" w14:textId="7D76E589" w:rsidR="001E4B2F" w:rsidRPr="00727235" w:rsidRDefault="001E4B2F" w:rsidP="001E4B2F">
            <w:pPr>
              <w:ind w:firstLine="0"/>
              <w:rPr>
                <w:lang w:eastAsia="ru-RU"/>
              </w:rPr>
            </w:pPr>
            <w:r w:rsidRPr="00A47F81">
              <w:t>5,19</w:t>
            </w:r>
          </w:p>
        </w:tc>
        <w:tc>
          <w:tcPr>
            <w:tcW w:w="727" w:type="pct"/>
            <w:shd w:val="clear" w:color="auto" w:fill="auto"/>
            <w:hideMark/>
          </w:tcPr>
          <w:p w14:paraId="037747D6" w14:textId="1225F90A" w:rsidR="001E4B2F" w:rsidRPr="00727235" w:rsidRDefault="001E4B2F" w:rsidP="001E4B2F">
            <w:pPr>
              <w:ind w:firstLine="0"/>
              <w:rPr>
                <w:lang w:eastAsia="ru-RU"/>
              </w:rPr>
            </w:pPr>
            <w:r w:rsidRPr="00A47F81">
              <w:t>4,86</w:t>
            </w:r>
          </w:p>
        </w:tc>
        <w:tc>
          <w:tcPr>
            <w:tcW w:w="683" w:type="pct"/>
            <w:gridSpan w:val="2"/>
            <w:shd w:val="clear" w:color="auto" w:fill="auto"/>
            <w:hideMark/>
          </w:tcPr>
          <w:p w14:paraId="120B9B03" w14:textId="1E3F8001" w:rsidR="001E4B2F" w:rsidRPr="00727235" w:rsidRDefault="001E4B2F" w:rsidP="001E4B2F">
            <w:pPr>
              <w:ind w:firstLine="0"/>
              <w:rPr>
                <w:lang w:eastAsia="ru-RU"/>
              </w:rPr>
            </w:pPr>
            <w:r w:rsidRPr="00A47F81">
              <w:t>5,24</w:t>
            </w:r>
          </w:p>
        </w:tc>
        <w:tc>
          <w:tcPr>
            <w:tcW w:w="723" w:type="pct"/>
            <w:shd w:val="clear" w:color="auto" w:fill="auto"/>
            <w:hideMark/>
          </w:tcPr>
          <w:p w14:paraId="62467364" w14:textId="7BB398E2" w:rsidR="001E4B2F" w:rsidRPr="00727235" w:rsidRDefault="001E4B2F" w:rsidP="001E4B2F">
            <w:pPr>
              <w:ind w:firstLine="0"/>
              <w:rPr>
                <w:lang w:eastAsia="ru-RU"/>
              </w:rPr>
            </w:pPr>
            <w:r w:rsidRPr="00A47F81">
              <w:t>4,92</w:t>
            </w:r>
          </w:p>
        </w:tc>
      </w:tr>
      <w:tr w:rsidR="001E4B2F" w:rsidRPr="00727235" w14:paraId="11691122" w14:textId="77777777" w:rsidTr="001E4B2F">
        <w:trPr>
          <w:trHeight w:val="360"/>
        </w:trPr>
        <w:tc>
          <w:tcPr>
            <w:tcW w:w="322" w:type="pct"/>
            <w:shd w:val="clear" w:color="auto" w:fill="auto"/>
            <w:vAlign w:val="center"/>
            <w:hideMark/>
          </w:tcPr>
          <w:p w14:paraId="1227E9E5" w14:textId="77777777" w:rsidR="001E4B2F" w:rsidRPr="00727235" w:rsidRDefault="001E4B2F" w:rsidP="001E4B2F">
            <w:pPr>
              <w:ind w:firstLine="0"/>
              <w:rPr>
                <w:lang w:eastAsia="ru-RU"/>
              </w:rPr>
            </w:pPr>
            <w:r w:rsidRPr="00727235">
              <w:rPr>
                <w:lang w:eastAsia="ru-RU"/>
              </w:rPr>
              <w:t>2</w:t>
            </w:r>
          </w:p>
        </w:tc>
        <w:tc>
          <w:tcPr>
            <w:tcW w:w="805" w:type="pct"/>
            <w:shd w:val="clear" w:color="auto" w:fill="auto"/>
            <w:vAlign w:val="center"/>
            <w:hideMark/>
          </w:tcPr>
          <w:p w14:paraId="2044B98E" w14:textId="77777777" w:rsidR="001E4B2F" w:rsidRPr="00727235" w:rsidRDefault="001E4B2F" w:rsidP="001E4B2F">
            <w:pPr>
              <w:ind w:firstLine="0"/>
              <w:rPr>
                <w:lang w:eastAsia="ru-RU"/>
              </w:rPr>
            </w:pPr>
            <w:r w:rsidRPr="00727235">
              <w:rPr>
                <w:lang w:eastAsia="ru-RU"/>
              </w:rPr>
              <w:t>Коэффициент детерминации</w:t>
            </w:r>
          </w:p>
        </w:tc>
        <w:tc>
          <w:tcPr>
            <w:tcW w:w="522" w:type="pct"/>
            <w:shd w:val="clear" w:color="auto" w:fill="auto"/>
            <w:hideMark/>
          </w:tcPr>
          <w:p w14:paraId="078F3B61" w14:textId="0C81C05D" w:rsidR="001E4B2F" w:rsidRPr="00727235" w:rsidRDefault="001E4B2F" w:rsidP="001E4B2F">
            <w:pPr>
              <w:ind w:firstLine="0"/>
              <w:rPr>
                <w:lang w:eastAsia="ru-RU"/>
              </w:rPr>
            </w:pPr>
            <w:r w:rsidRPr="00A47F81">
              <w:t>0,72</w:t>
            </w:r>
          </w:p>
        </w:tc>
        <w:tc>
          <w:tcPr>
            <w:tcW w:w="530" w:type="pct"/>
            <w:shd w:val="clear" w:color="auto" w:fill="auto"/>
            <w:hideMark/>
          </w:tcPr>
          <w:p w14:paraId="1CE5B3F5" w14:textId="45286C6B" w:rsidR="001E4B2F" w:rsidRPr="00727235" w:rsidRDefault="001E4B2F" w:rsidP="001E4B2F">
            <w:pPr>
              <w:ind w:firstLine="0"/>
              <w:rPr>
                <w:lang w:eastAsia="ru-RU"/>
              </w:rPr>
            </w:pPr>
            <w:r w:rsidRPr="00A47F81">
              <w:t>0,76</w:t>
            </w:r>
          </w:p>
        </w:tc>
        <w:tc>
          <w:tcPr>
            <w:tcW w:w="688" w:type="pct"/>
            <w:shd w:val="clear" w:color="auto" w:fill="auto"/>
            <w:hideMark/>
          </w:tcPr>
          <w:p w14:paraId="33358EED" w14:textId="73D97E3F" w:rsidR="001E4B2F" w:rsidRPr="00727235" w:rsidRDefault="001E4B2F" w:rsidP="001E4B2F">
            <w:pPr>
              <w:ind w:firstLine="0"/>
              <w:rPr>
                <w:lang w:eastAsia="ru-RU"/>
              </w:rPr>
            </w:pPr>
            <w:r w:rsidRPr="00A47F81">
              <w:t>0,73</w:t>
            </w:r>
          </w:p>
        </w:tc>
        <w:tc>
          <w:tcPr>
            <w:tcW w:w="727" w:type="pct"/>
            <w:shd w:val="clear" w:color="auto" w:fill="auto"/>
            <w:hideMark/>
          </w:tcPr>
          <w:p w14:paraId="28B8FA88" w14:textId="507F6269" w:rsidR="001E4B2F" w:rsidRPr="00727235" w:rsidRDefault="001E4B2F" w:rsidP="001E4B2F">
            <w:pPr>
              <w:ind w:firstLine="0"/>
              <w:rPr>
                <w:lang w:eastAsia="ru-RU"/>
              </w:rPr>
            </w:pPr>
            <w:r w:rsidRPr="00A47F81">
              <w:t>0,78</w:t>
            </w:r>
          </w:p>
        </w:tc>
        <w:tc>
          <w:tcPr>
            <w:tcW w:w="683" w:type="pct"/>
            <w:gridSpan w:val="2"/>
            <w:shd w:val="clear" w:color="auto" w:fill="auto"/>
            <w:hideMark/>
          </w:tcPr>
          <w:p w14:paraId="5B70047A" w14:textId="104A25A3" w:rsidR="001E4B2F" w:rsidRPr="00727235" w:rsidRDefault="001E4B2F" w:rsidP="001E4B2F">
            <w:pPr>
              <w:ind w:firstLine="0"/>
              <w:rPr>
                <w:lang w:eastAsia="ru-RU"/>
              </w:rPr>
            </w:pPr>
            <w:r w:rsidRPr="00A47F81">
              <w:t>0,72</w:t>
            </w:r>
          </w:p>
        </w:tc>
        <w:tc>
          <w:tcPr>
            <w:tcW w:w="723" w:type="pct"/>
            <w:shd w:val="clear" w:color="auto" w:fill="auto"/>
            <w:hideMark/>
          </w:tcPr>
          <w:p w14:paraId="7368AAB0" w14:textId="1C004F94" w:rsidR="001E4B2F" w:rsidRPr="00727235" w:rsidRDefault="001E4B2F" w:rsidP="001E4B2F">
            <w:pPr>
              <w:ind w:firstLine="0"/>
              <w:rPr>
                <w:lang w:eastAsia="ru-RU"/>
              </w:rPr>
            </w:pPr>
            <w:r w:rsidRPr="00A47F81">
              <w:t>0,78</w:t>
            </w:r>
          </w:p>
        </w:tc>
      </w:tr>
      <w:tr w:rsidR="001E4B2F" w:rsidRPr="00727235" w14:paraId="68AB608A" w14:textId="77777777" w:rsidTr="001E4B2F">
        <w:trPr>
          <w:trHeight w:val="360"/>
        </w:trPr>
        <w:tc>
          <w:tcPr>
            <w:tcW w:w="322" w:type="pct"/>
            <w:shd w:val="clear" w:color="auto" w:fill="auto"/>
            <w:vAlign w:val="center"/>
            <w:hideMark/>
          </w:tcPr>
          <w:p w14:paraId="06C30E1C" w14:textId="77777777" w:rsidR="001E4B2F" w:rsidRPr="00727235" w:rsidRDefault="001E4B2F" w:rsidP="001E4B2F">
            <w:pPr>
              <w:ind w:firstLine="0"/>
              <w:rPr>
                <w:lang w:eastAsia="ru-RU"/>
              </w:rPr>
            </w:pPr>
            <w:r w:rsidRPr="00727235">
              <w:rPr>
                <w:lang w:eastAsia="ru-RU"/>
              </w:rPr>
              <w:t>3</w:t>
            </w:r>
          </w:p>
        </w:tc>
        <w:tc>
          <w:tcPr>
            <w:tcW w:w="805" w:type="pct"/>
            <w:shd w:val="clear" w:color="auto" w:fill="auto"/>
            <w:vAlign w:val="center"/>
            <w:hideMark/>
          </w:tcPr>
          <w:p w14:paraId="040109F7" w14:textId="77777777" w:rsidR="001E4B2F" w:rsidRPr="00727235" w:rsidRDefault="001E4B2F" w:rsidP="001E4B2F">
            <w:pPr>
              <w:ind w:firstLine="0"/>
              <w:rPr>
                <w:lang w:eastAsia="ru-RU"/>
              </w:rPr>
            </w:pPr>
            <w:r w:rsidRPr="00727235">
              <w:rPr>
                <w:lang w:eastAsia="ru-RU"/>
              </w:rPr>
              <w:t>Среднеквадратичная ошибка оценки</w:t>
            </w:r>
          </w:p>
        </w:tc>
        <w:tc>
          <w:tcPr>
            <w:tcW w:w="522" w:type="pct"/>
            <w:shd w:val="clear" w:color="auto" w:fill="auto"/>
            <w:hideMark/>
          </w:tcPr>
          <w:p w14:paraId="36E7E847" w14:textId="504DAB6E" w:rsidR="001E4B2F" w:rsidRPr="00727235" w:rsidRDefault="001E4B2F" w:rsidP="001E4B2F">
            <w:pPr>
              <w:ind w:firstLine="0"/>
              <w:rPr>
                <w:lang w:eastAsia="ru-RU"/>
              </w:rPr>
            </w:pPr>
            <w:r w:rsidRPr="00A47F81">
              <w:t>6,51</w:t>
            </w:r>
          </w:p>
        </w:tc>
        <w:tc>
          <w:tcPr>
            <w:tcW w:w="530" w:type="pct"/>
            <w:shd w:val="clear" w:color="auto" w:fill="auto"/>
            <w:hideMark/>
          </w:tcPr>
          <w:p w14:paraId="79C6B153" w14:textId="4997638A" w:rsidR="001E4B2F" w:rsidRPr="00727235" w:rsidRDefault="001E4B2F" w:rsidP="001E4B2F">
            <w:pPr>
              <w:ind w:firstLine="0"/>
              <w:rPr>
                <w:lang w:eastAsia="ru-RU"/>
              </w:rPr>
            </w:pPr>
            <w:r w:rsidRPr="00A47F81">
              <w:t>6,12</w:t>
            </w:r>
          </w:p>
        </w:tc>
        <w:tc>
          <w:tcPr>
            <w:tcW w:w="688" w:type="pct"/>
            <w:shd w:val="clear" w:color="auto" w:fill="auto"/>
            <w:hideMark/>
          </w:tcPr>
          <w:p w14:paraId="568DAC92" w14:textId="5A665C3B" w:rsidR="001E4B2F" w:rsidRPr="00727235" w:rsidRDefault="001E4B2F" w:rsidP="001E4B2F">
            <w:pPr>
              <w:ind w:firstLine="0"/>
              <w:rPr>
                <w:lang w:eastAsia="ru-RU"/>
              </w:rPr>
            </w:pPr>
            <w:r w:rsidRPr="00A47F81">
              <w:t>6,34</w:t>
            </w:r>
          </w:p>
        </w:tc>
        <w:tc>
          <w:tcPr>
            <w:tcW w:w="727" w:type="pct"/>
            <w:shd w:val="clear" w:color="auto" w:fill="auto"/>
            <w:hideMark/>
          </w:tcPr>
          <w:p w14:paraId="14223AC7" w14:textId="5B24111E" w:rsidR="001E4B2F" w:rsidRPr="00727235" w:rsidRDefault="001E4B2F" w:rsidP="001E4B2F">
            <w:pPr>
              <w:ind w:firstLine="0"/>
              <w:rPr>
                <w:lang w:eastAsia="ru-RU"/>
              </w:rPr>
            </w:pPr>
            <w:r w:rsidRPr="00A47F81">
              <w:t>5,87</w:t>
            </w:r>
          </w:p>
        </w:tc>
        <w:tc>
          <w:tcPr>
            <w:tcW w:w="683" w:type="pct"/>
            <w:gridSpan w:val="2"/>
            <w:shd w:val="clear" w:color="auto" w:fill="auto"/>
            <w:hideMark/>
          </w:tcPr>
          <w:p w14:paraId="0035A0B0" w14:textId="637868EA" w:rsidR="001E4B2F" w:rsidRPr="00727235" w:rsidRDefault="001E4B2F" w:rsidP="001E4B2F">
            <w:pPr>
              <w:ind w:firstLine="0"/>
              <w:rPr>
                <w:lang w:eastAsia="ru-RU"/>
              </w:rPr>
            </w:pPr>
            <w:r w:rsidRPr="00A47F81">
              <w:t>6,46</w:t>
            </w:r>
          </w:p>
        </w:tc>
        <w:tc>
          <w:tcPr>
            <w:tcW w:w="723" w:type="pct"/>
            <w:shd w:val="clear" w:color="auto" w:fill="auto"/>
            <w:hideMark/>
          </w:tcPr>
          <w:p w14:paraId="246242DA" w14:textId="328593C2" w:rsidR="001E4B2F" w:rsidRPr="00727235" w:rsidRDefault="001E4B2F" w:rsidP="001E4B2F">
            <w:pPr>
              <w:ind w:firstLine="0"/>
              <w:rPr>
                <w:lang w:eastAsia="ru-RU"/>
              </w:rPr>
            </w:pPr>
            <w:r w:rsidRPr="00A47F81">
              <w:t>5,96</w:t>
            </w:r>
          </w:p>
        </w:tc>
      </w:tr>
      <w:tr w:rsidR="001E4B2F" w:rsidRPr="00727235" w14:paraId="0D0274F8" w14:textId="77777777" w:rsidTr="001E4B2F">
        <w:trPr>
          <w:trHeight w:val="360"/>
        </w:trPr>
        <w:tc>
          <w:tcPr>
            <w:tcW w:w="322" w:type="pct"/>
            <w:shd w:val="clear" w:color="auto" w:fill="auto"/>
            <w:vAlign w:val="center"/>
            <w:hideMark/>
          </w:tcPr>
          <w:p w14:paraId="031ECA50" w14:textId="322F8C5E" w:rsidR="001E4B2F" w:rsidRPr="00727235" w:rsidRDefault="001E4B2F" w:rsidP="001E4B2F">
            <w:pPr>
              <w:ind w:firstLine="0"/>
              <w:rPr>
                <w:lang w:eastAsia="ru-RU"/>
              </w:rPr>
            </w:pPr>
            <w:r>
              <w:rPr>
                <w:lang w:eastAsia="ru-RU"/>
              </w:rPr>
              <w:t>4</w:t>
            </w:r>
          </w:p>
        </w:tc>
        <w:tc>
          <w:tcPr>
            <w:tcW w:w="805" w:type="pct"/>
            <w:shd w:val="clear" w:color="auto" w:fill="auto"/>
            <w:vAlign w:val="center"/>
            <w:hideMark/>
          </w:tcPr>
          <w:p w14:paraId="4F4403B4" w14:textId="77777777" w:rsidR="001E4B2F" w:rsidRPr="00727235" w:rsidRDefault="001E4B2F" w:rsidP="001E4B2F">
            <w:pPr>
              <w:ind w:firstLine="0"/>
              <w:rPr>
                <w:lang w:eastAsia="ru-RU"/>
              </w:rPr>
            </w:pPr>
            <w:r w:rsidRPr="00727235">
              <w:rPr>
                <w:lang w:eastAsia="ru-RU"/>
              </w:rPr>
              <w:t>Коэффициент дисперсии (COD)</w:t>
            </w:r>
          </w:p>
        </w:tc>
        <w:tc>
          <w:tcPr>
            <w:tcW w:w="522" w:type="pct"/>
            <w:shd w:val="clear" w:color="auto" w:fill="auto"/>
            <w:hideMark/>
          </w:tcPr>
          <w:p w14:paraId="7F4EE369" w14:textId="26BAA7FF" w:rsidR="001E4B2F" w:rsidRPr="00727235" w:rsidRDefault="001E4B2F" w:rsidP="001E4B2F">
            <w:pPr>
              <w:ind w:firstLine="0"/>
              <w:rPr>
                <w:lang w:eastAsia="ru-RU"/>
              </w:rPr>
            </w:pPr>
            <w:r w:rsidRPr="00A47F81">
              <w:t>5,33</w:t>
            </w:r>
          </w:p>
        </w:tc>
        <w:tc>
          <w:tcPr>
            <w:tcW w:w="530" w:type="pct"/>
            <w:shd w:val="clear" w:color="auto" w:fill="auto"/>
            <w:hideMark/>
          </w:tcPr>
          <w:p w14:paraId="10772DE1" w14:textId="5F265187" w:rsidR="001E4B2F" w:rsidRPr="00727235" w:rsidRDefault="001E4B2F" w:rsidP="001E4B2F">
            <w:pPr>
              <w:ind w:firstLine="0"/>
              <w:rPr>
                <w:lang w:eastAsia="ru-RU"/>
              </w:rPr>
            </w:pPr>
            <w:r w:rsidRPr="00A47F81">
              <w:t>5,01</w:t>
            </w:r>
          </w:p>
        </w:tc>
        <w:tc>
          <w:tcPr>
            <w:tcW w:w="688" w:type="pct"/>
            <w:shd w:val="clear" w:color="auto" w:fill="auto"/>
            <w:hideMark/>
          </w:tcPr>
          <w:p w14:paraId="4727D898" w14:textId="4D80879A" w:rsidR="001E4B2F" w:rsidRPr="00727235" w:rsidRDefault="001E4B2F" w:rsidP="001E4B2F">
            <w:pPr>
              <w:ind w:firstLine="0"/>
              <w:rPr>
                <w:lang w:eastAsia="ru-RU"/>
              </w:rPr>
            </w:pPr>
            <w:r w:rsidRPr="00A47F81">
              <w:t>5,2</w:t>
            </w:r>
          </w:p>
        </w:tc>
        <w:tc>
          <w:tcPr>
            <w:tcW w:w="727" w:type="pct"/>
            <w:shd w:val="clear" w:color="auto" w:fill="auto"/>
            <w:hideMark/>
          </w:tcPr>
          <w:p w14:paraId="5EAD2079" w14:textId="4134DD20" w:rsidR="001E4B2F" w:rsidRPr="00727235" w:rsidRDefault="001E4B2F" w:rsidP="001E4B2F">
            <w:pPr>
              <w:ind w:firstLine="0"/>
              <w:rPr>
                <w:lang w:eastAsia="ru-RU"/>
              </w:rPr>
            </w:pPr>
            <w:r w:rsidRPr="00A47F81">
              <w:t>4,82</w:t>
            </w:r>
          </w:p>
        </w:tc>
        <w:tc>
          <w:tcPr>
            <w:tcW w:w="683" w:type="pct"/>
            <w:gridSpan w:val="2"/>
            <w:shd w:val="clear" w:color="auto" w:fill="auto"/>
            <w:hideMark/>
          </w:tcPr>
          <w:p w14:paraId="32C3B952" w14:textId="2B769F7E" w:rsidR="001E4B2F" w:rsidRPr="00727235" w:rsidRDefault="001E4B2F" w:rsidP="001E4B2F">
            <w:pPr>
              <w:ind w:firstLine="0"/>
              <w:rPr>
                <w:lang w:eastAsia="ru-RU"/>
              </w:rPr>
            </w:pPr>
            <w:r w:rsidRPr="00A47F81">
              <w:t>5,24</w:t>
            </w:r>
          </w:p>
        </w:tc>
        <w:tc>
          <w:tcPr>
            <w:tcW w:w="723" w:type="pct"/>
            <w:shd w:val="clear" w:color="auto" w:fill="auto"/>
            <w:hideMark/>
          </w:tcPr>
          <w:p w14:paraId="19A93FD4" w14:textId="7AFC97DE" w:rsidR="001E4B2F" w:rsidRPr="00727235" w:rsidRDefault="001E4B2F" w:rsidP="001E4B2F">
            <w:pPr>
              <w:ind w:firstLine="0"/>
              <w:rPr>
                <w:lang w:eastAsia="ru-RU"/>
              </w:rPr>
            </w:pPr>
            <w:r w:rsidRPr="00A47F81">
              <w:t>4,89</w:t>
            </w:r>
          </w:p>
        </w:tc>
      </w:tr>
      <w:tr w:rsidR="001E4B2F" w:rsidRPr="00727235" w14:paraId="1E4C6D23" w14:textId="77777777" w:rsidTr="001E4B2F">
        <w:trPr>
          <w:trHeight w:val="360"/>
        </w:trPr>
        <w:tc>
          <w:tcPr>
            <w:tcW w:w="322" w:type="pct"/>
            <w:shd w:val="clear" w:color="auto" w:fill="auto"/>
            <w:vAlign w:val="center"/>
            <w:hideMark/>
          </w:tcPr>
          <w:p w14:paraId="324E167A" w14:textId="6540B155" w:rsidR="001E4B2F" w:rsidRPr="00727235" w:rsidRDefault="001E4B2F" w:rsidP="001E4B2F">
            <w:pPr>
              <w:ind w:firstLine="0"/>
              <w:rPr>
                <w:lang w:eastAsia="ru-RU"/>
              </w:rPr>
            </w:pPr>
            <w:r>
              <w:rPr>
                <w:lang w:eastAsia="ru-RU"/>
              </w:rPr>
              <w:t>5</w:t>
            </w:r>
          </w:p>
        </w:tc>
        <w:tc>
          <w:tcPr>
            <w:tcW w:w="805" w:type="pct"/>
            <w:shd w:val="clear" w:color="auto" w:fill="auto"/>
            <w:vAlign w:val="center"/>
            <w:hideMark/>
          </w:tcPr>
          <w:p w14:paraId="78C10BA0" w14:textId="77777777" w:rsidR="001E4B2F" w:rsidRPr="00727235" w:rsidRDefault="001E4B2F" w:rsidP="001E4B2F">
            <w:pPr>
              <w:ind w:firstLine="0"/>
              <w:rPr>
                <w:lang w:eastAsia="ru-RU"/>
              </w:rPr>
            </w:pPr>
            <w:r w:rsidRPr="00727235">
              <w:rPr>
                <w:lang w:eastAsia="ru-RU"/>
              </w:rPr>
              <w:t>Ценовой дифференциал (PRD)</w:t>
            </w:r>
          </w:p>
        </w:tc>
        <w:tc>
          <w:tcPr>
            <w:tcW w:w="522" w:type="pct"/>
            <w:shd w:val="clear" w:color="auto" w:fill="auto"/>
            <w:hideMark/>
          </w:tcPr>
          <w:p w14:paraId="20E7FA01" w14:textId="0AD3EEA9" w:rsidR="001E4B2F" w:rsidRPr="00727235" w:rsidRDefault="001E4B2F" w:rsidP="001E4B2F">
            <w:pPr>
              <w:ind w:firstLine="0"/>
              <w:rPr>
                <w:lang w:eastAsia="ru-RU"/>
              </w:rPr>
            </w:pPr>
            <w:r w:rsidRPr="00A47F81">
              <w:t>1</w:t>
            </w:r>
          </w:p>
        </w:tc>
        <w:tc>
          <w:tcPr>
            <w:tcW w:w="530" w:type="pct"/>
            <w:shd w:val="clear" w:color="auto" w:fill="auto"/>
            <w:hideMark/>
          </w:tcPr>
          <w:p w14:paraId="7E6EBC05" w14:textId="281210C3" w:rsidR="001E4B2F" w:rsidRPr="00727235" w:rsidRDefault="001E4B2F" w:rsidP="001E4B2F">
            <w:pPr>
              <w:ind w:firstLine="0"/>
              <w:rPr>
                <w:lang w:eastAsia="ru-RU"/>
              </w:rPr>
            </w:pPr>
            <w:r w:rsidRPr="00A47F81">
              <w:t>1</w:t>
            </w:r>
          </w:p>
        </w:tc>
        <w:tc>
          <w:tcPr>
            <w:tcW w:w="688" w:type="pct"/>
            <w:shd w:val="clear" w:color="auto" w:fill="auto"/>
            <w:hideMark/>
          </w:tcPr>
          <w:p w14:paraId="79300CD7" w14:textId="6F06B956" w:rsidR="001E4B2F" w:rsidRPr="00727235" w:rsidRDefault="001E4B2F" w:rsidP="001E4B2F">
            <w:pPr>
              <w:ind w:firstLine="0"/>
              <w:rPr>
                <w:lang w:eastAsia="ru-RU"/>
              </w:rPr>
            </w:pPr>
            <w:r w:rsidRPr="00A47F81">
              <w:t>1</w:t>
            </w:r>
          </w:p>
        </w:tc>
        <w:tc>
          <w:tcPr>
            <w:tcW w:w="727" w:type="pct"/>
            <w:shd w:val="clear" w:color="auto" w:fill="auto"/>
            <w:hideMark/>
          </w:tcPr>
          <w:p w14:paraId="43698C37" w14:textId="7272FD6C" w:rsidR="001E4B2F" w:rsidRPr="00727235" w:rsidRDefault="001E4B2F" w:rsidP="001E4B2F">
            <w:pPr>
              <w:ind w:firstLine="0"/>
              <w:rPr>
                <w:lang w:eastAsia="ru-RU"/>
              </w:rPr>
            </w:pPr>
            <w:r w:rsidRPr="00A47F81">
              <w:t>1</w:t>
            </w:r>
          </w:p>
        </w:tc>
        <w:tc>
          <w:tcPr>
            <w:tcW w:w="683" w:type="pct"/>
            <w:gridSpan w:val="2"/>
            <w:shd w:val="clear" w:color="auto" w:fill="auto"/>
            <w:hideMark/>
          </w:tcPr>
          <w:p w14:paraId="4334FA6A" w14:textId="49C9C037" w:rsidR="001E4B2F" w:rsidRPr="00727235" w:rsidRDefault="001E4B2F" w:rsidP="001E4B2F">
            <w:pPr>
              <w:ind w:firstLine="0"/>
              <w:rPr>
                <w:lang w:eastAsia="ru-RU"/>
              </w:rPr>
            </w:pPr>
            <w:r w:rsidRPr="00A47F81">
              <w:t>1</w:t>
            </w:r>
          </w:p>
        </w:tc>
        <w:tc>
          <w:tcPr>
            <w:tcW w:w="723" w:type="pct"/>
            <w:shd w:val="clear" w:color="auto" w:fill="auto"/>
            <w:hideMark/>
          </w:tcPr>
          <w:p w14:paraId="62778594" w14:textId="3689B7E6" w:rsidR="001E4B2F" w:rsidRPr="00727235" w:rsidRDefault="001E4B2F" w:rsidP="001E4B2F">
            <w:pPr>
              <w:ind w:firstLine="0"/>
              <w:rPr>
                <w:lang w:eastAsia="ru-RU"/>
              </w:rPr>
            </w:pPr>
            <w:r w:rsidRPr="00A47F81">
              <w:t>1</w:t>
            </w:r>
          </w:p>
        </w:tc>
      </w:tr>
    </w:tbl>
    <w:p w14:paraId="40175076" w14:textId="77777777" w:rsidR="00C428B5" w:rsidRPr="00727235" w:rsidRDefault="00C428B5" w:rsidP="00C428B5">
      <w:r w:rsidRPr="00727235">
        <w:t>В результате была выбрана модель – экспоненциальная со следующими характеристиками.</w:t>
      </w:r>
    </w:p>
    <w:p w14:paraId="23AD14CE" w14:textId="77777777" w:rsidR="005376A2" w:rsidRDefault="005376A2" w:rsidP="00727235">
      <w:pPr>
        <w:rPr>
          <w:lang w:eastAsia="ru-RU"/>
        </w:rPr>
      </w:pPr>
    </w:p>
    <w:p w14:paraId="1D37ADC9" w14:textId="77777777" w:rsidR="005376A2" w:rsidRDefault="005376A2" w:rsidP="00727235">
      <w:pPr>
        <w:rPr>
          <w:lang w:eastAsia="ru-RU"/>
        </w:rPr>
      </w:pPr>
    </w:p>
    <w:p w14:paraId="1FCC6E4E" w14:textId="77777777" w:rsidR="005376A2" w:rsidRDefault="005376A2" w:rsidP="00727235">
      <w:pPr>
        <w:rPr>
          <w:lang w:eastAsia="ru-RU"/>
        </w:rPr>
      </w:pPr>
    </w:p>
    <w:p w14:paraId="5E63722D" w14:textId="77777777" w:rsidR="005376A2" w:rsidRDefault="005376A2" w:rsidP="00727235">
      <w:pPr>
        <w:rPr>
          <w:lang w:eastAsia="ru-RU"/>
        </w:rPr>
      </w:pPr>
    </w:p>
    <w:p w14:paraId="5DB15E43" w14:textId="77777777" w:rsidR="005376A2" w:rsidRDefault="005376A2" w:rsidP="00727235">
      <w:pPr>
        <w:rPr>
          <w:lang w:eastAsia="ru-RU"/>
        </w:rPr>
      </w:pPr>
    </w:p>
    <w:p w14:paraId="5461A6B2" w14:textId="77777777" w:rsidR="005376A2" w:rsidRDefault="005376A2" w:rsidP="00727235">
      <w:pPr>
        <w:rPr>
          <w:lang w:eastAsia="ru-RU"/>
        </w:rPr>
      </w:pPr>
    </w:p>
    <w:p w14:paraId="44419EC3" w14:textId="77777777" w:rsidR="005376A2" w:rsidRDefault="005376A2" w:rsidP="00727235">
      <w:pPr>
        <w:rPr>
          <w:lang w:eastAsia="ru-RU"/>
        </w:rPr>
      </w:pPr>
    </w:p>
    <w:p w14:paraId="0EB9C614" w14:textId="77777777" w:rsidR="005376A2" w:rsidRDefault="005376A2" w:rsidP="00727235">
      <w:pPr>
        <w:rPr>
          <w:lang w:eastAsia="ru-RU"/>
        </w:rPr>
      </w:pPr>
    </w:p>
    <w:p w14:paraId="56F366D2" w14:textId="77777777" w:rsidR="005376A2" w:rsidRDefault="005376A2" w:rsidP="00727235">
      <w:pPr>
        <w:rPr>
          <w:lang w:eastAsia="ru-RU"/>
        </w:rPr>
      </w:pPr>
    </w:p>
    <w:p w14:paraId="61B6E3B0" w14:textId="22C1FF50" w:rsidR="00727235" w:rsidRPr="00727235" w:rsidRDefault="00727235" w:rsidP="00727235">
      <w:pPr>
        <w:rPr>
          <w:lang w:eastAsia="ru-RU"/>
        </w:rPr>
      </w:pPr>
      <w:r w:rsidRPr="00727235">
        <w:rPr>
          <w:lang w:eastAsia="ru-RU"/>
        </w:rPr>
        <w:t xml:space="preserve">Таблица </w:t>
      </w:r>
      <w:r w:rsidRPr="00727235">
        <w:rPr>
          <w:lang w:eastAsia="ru-RU"/>
        </w:rPr>
        <w:fldChar w:fldCharType="begin"/>
      </w:r>
      <w:r w:rsidRPr="00727235">
        <w:rPr>
          <w:lang w:eastAsia="ru-RU"/>
        </w:rPr>
        <w:instrText xml:space="preserve"> SEQ Таблица \* ARABIC </w:instrText>
      </w:r>
      <w:r w:rsidRPr="00727235">
        <w:rPr>
          <w:lang w:eastAsia="ru-RU"/>
        </w:rPr>
        <w:fldChar w:fldCharType="separate"/>
      </w:r>
      <w:r w:rsidR="00FD2769">
        <w:rPr>
          <w:noProof/>
          <w:lang w:eastAsia="ru-RU"/>
        </w:rPr>
        <w:t>54</w:t>
      </w:r>
      <w:r w:rsidRPr="00727235">
        <w:rPr>
          <w:lang w:eastAsia="ru-RU"/>
        </w:rPr>
        <w:fldChar w:fldCharType="end"/>
      </w:r>
      <w:r w:rsidRPr="00727235">
        <w:rPr>
          <w:lang w:eastAsia="ru-RU"/>
        </w:rPr>
        <w:t xml:space="preserve"> Параметры модели, отобранной для расчета кадастровой стоимости объектов недвижимости </w:t>
      </w:r>
      <w:r w:rsidR="00311405">
        <w:rPr>
          <w:lang w:eastAsia="ru-RU"/>
        </w:rPr>
        <w:t xml:space="preserve">группы </w:t>
      </w:r>
      <w:r w:rsidR="00311405" w:rsidRPr="00AA34D8">
        <w:rPr>
          <w:rFonts w:eastAsia="Times New Roman" w:cs="Times New Roman"/>
          <w:bCs/>
          <w:color w:val="000000"/>
          <w:szCs w:val="24"/>
          <w:lang w:eastAsia="ru-RU"/>
        </w:rPr>
        <w:t>1. Многоквартирные дома (дома средне- и многоэтажной жилой застройки)", подгруппа "</w:t>
      </w:r>
      <w:r w:rsidR="000470FD">
        <w:rPr>
          <w:rFonts w:eastAsia="Times New Roman" w:cs="Times New Roman"/>
          <w:bCs/>
          <w:color w:val="000000"/>
          <w:szCs w:val="24"/>
          <w:lang w:eastAsia="ru-RU"/>
        </w:rPr>
        <w:t>Помещения г.Якутск с п/х более 60 кв.м. 1.9</w:t>
      </w:r>
      <w:r w:rsidR="00311405" w:rsidRPr="00AA34D8">
        <w:rPr>
          <w:rFonts w:eastAsia="Times New Roman" w:cs="Times New Roman"/>
          <w:bCs/>
          <w:color w:val="000000"/>
          <w:szCs w:val="24"/>
          <w:lang w:eastAsia="ru-RU"/>
        </w:rPr>
        <w:t>". Тип расчета: по удельной стоимости.</w:t>
      </w:r>
    </w:p>
    <w:tbl>
      <w:tblPr>
        <w:tblW w:w="14601" w:type="dxa"/>
        <w:tblInd w:w="-5" w:type="dxa"/>
        <w:tblLayout w:type="fixed"/>
        <w:tblLook w:val="04A0" w:firstRow="1" w:lastRow="0" w:firstColumn="1" w:lastColumn="0" w:noHBand="0" w:noVBand="1"/>
      </w:tblPr>
      <w:tblGrid>
        <w:gridCol w:w="1134"/>
        <w:gridCol w:w="2608"/>
        <w:gridCol w:w="2608"/>
        <w:gridCol w:w="2607"/>
        <w:gridCol w:w="1958"/>
        <w:gridCol w:w="1985"/>
        <w:gridCol w:w="1701"/>
      </w:tblGrid>
      <w:tr w:rsidR="00727235" w:rsidRPr="00727235" w14:paraId="3BAB226D" w14:textId="77777777" w:rsidTr="00727235">
        <w:trPr>
          <w:trHeight w:val="1575"/>
        </w:trPr>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049B400" w14:textId="77777777" w:rsidR="00727235" w:rsidRPr="000470FD" w:rsidRDefault="00727235" w:rsidP="004F3111">
            <w:pPr>
              <w:ind w:firstLine="37"/>
              <w:rPr>
                <w:lang w:eastAsia="ru-RU"/>
              </w:rPr>
            </w:pPr>
            <w:r w:rsidRPr="000470FD">
              <w:rPr>
                <w:lang w:eastAsia="ru-RU"/>
              </w:rPr>
              <w:t>№п/п</w:t>
            </w:r>
          </w:p>
        </w:tc>
        <w:tc>
          <w:tcPr>
            <w:tcW w:w="2608" w:type="dxa"/>
            <w:tcBorders>
              <w:top w:val="single" w:sz="4" w:space="0" w:color="auto"/>
              <w:left w:val="nil"/>
              <w:bottom w:val="single" w:sz="4" w:space="0" w:color="auto"/>
              <w:right w:val="single" w:sz="4" w:space="0" w:color="auto"/>
            </w:tcBorders>
            <w:shd w:val="clear" w:color="auto" w:fill="auto"/>
            <w:vAlign w:val="center"/>
            <w:hideMark/>
          </w:tcPr>
          <w:p w14:paraId="668B2E67" w14:textId="77777777" w:rsidR="00727235" w:rsidRPr="000470FD" w:rsidRDefault="00727235" w:rsidP="004F3111">
            <w:pPr>
              <w:ind w:firstLine="37"/>
              <w:rPr>
                <w:lang w:eastAsia="ru-RU"/>
              </w:rPr>
            </w:pPr>
            <w:r w:rsidRPr="000470FD">
              <w:rPr>
                <w:lang w:eastAsia="ru-RU"/>
              </w:rPr>
              <w:t>Название модели</w:t>
            </w:r>
          </w:p>
        </w:tc>
        <w:tc>
          <w:tcPr>
            <w:tcW w:w="2608" w:type="dxa"/>
            <w:tcBorders>
              <w:top w:val="single" w:sz="4" w:space="0" w:color="auto"/>
              <w:left w:val="nil"/>
              <w:bottom w:val="single" w:sz="4" w:space="0" w:color="auto"/>
              <w:right w:val="single" w:sz="4" w:space="0" w:color="auto"/>
            </w:tcBorders>
            <w:shd w:val="clear" w:color="auto" w:fill="auto"/>
            <w:vAlign w:val="center"/>
            <w:hideMark/>
          </w:tcPr>
          <w:p w14:paraId="04800D6C" w14:textId="77777777" w:rsidR="00727235" w:rsidRPr="000470FD" w:rsidRDefault="00727235" w:rsidP="004F3111">
            <w:pPr>
              <w:ind w:firstLine="37"/>
              <w:rPr>
                <w:lang w:eastAsia="ru-RU"/>
              </w:rPr>
            </w:pPr>
            <w:r w:rsidRPr="000470FD">
              <w:rPr>
                <w:lang w:eastAsia="ru-RU"/>
              </w:rPr>
              <w:t>Формула модели</w:t>
            </w:r>
          </w:p>
        </w:tc>
        <w:tc>
          <w:tcPr>
            <w:tcW w:w="2607" w:type="dxa"/>
            <w:tcBorders>
              <w:top w:val="single" w:sz="4" w:space="0" w:color="auto"/>
              <w:left w:val="nil"/>
              <w:bottom w:val="single" w:sz="4" w:space="0" w:color="auto"/>
              <w:right w:val="single" w:sz="4" w:space="0" w:color="auto"/>
            </w:tcBorders>
            <w:shd w:val="clear" w:color="auto" w:fill="auto"/>
            <w:vAlign w:val="center"/>
            <w:hideMark/>
          </w:tcPr>
          <w:p w14:paraId="3F8FA035" w14:textId="77777777" w:rsidR="00727235" w:rsidRPr="000470FD" w:rsidRDefault="00727235" w:rsidP="004F3111">
            <w:pPr>
              <w:ind w:firstLine="37"/>
              <w:rPr>
                <w:lang w:eastAsia="ru-RU"/>
              </w:rPr>
            </w:pPr>
            <w:r w:rsidRPr="000470FD">
              <w:rPr>
                <w:lang w:eastAsia="ru-RU"/>
              </w:rPr>
              <w:t>Ценообразующий фактор для построения моделей</w:t>
            </w:r>
          </w:p>
        </w:tc>
        <w:tc>
          <w:tcPr>
            <w:tcW w:w="1958" w:type="dxa"/>
            <w:tcBorders>
              <w:top w:val="single" w:sz="4" w:space="0" w:color="auto"/>
              <w:left w:val="nil"/>
              <w:bottom w:val="single" w:sz="4" w:space="0" w:color="auto"/>
              <w:right w:val="single" w:sz="4" w:space="0" w:color="auto"/>
            </w:tcBorders>
            <w:shd w:val="clear" w:color="auto" w:fill="auto"/>
            <w:vAlign w:val="center"/>
            <w:hideMark/>
          </w:tcPr>
          <w:p w14:paraId="0401DF09" w14:textId="77777777" w:rsidR="00727235" w:rsidRPr="000470FD" w:rsidRDefault="00727235" w:rsidP="004F3111">
            <w:pPr>
              <w:ind w:firstLine="37"/>
              <w:rPr>
                <w:lang w:eastAsia="ru-RU"/>
              </w:rPr>
            </w:pPr>
            <w:r w:rsidRPr="000470FD">
              <w:rPr>
                <w:lang w:eastAsia="ru-RU"/>
              </w:rPr>
              <w:t>Коэффициент при ценообразующем факторе в модели</w:t>
            </w:r>
          </w:p>
        </w:tc>
        <w:tc>
          <w:tcPr>
            <w:tcW w:w="1985" w:type="dxa"/>
            <w:tcBorders>
              <w:top w:val="single" w:sz="4" w:space="0" w:color="auto"/>
              <w:left w:val="nil"/>
              <w:bottom w:val="single" w:sz="4" w:space="0" w:color="auto"/>
              <w:right w:val="single" w:sz="4" w:space="0" w:color="auto"/>
            </w:tcBorders>
            <w:shd w:val="clear" w:color="auto" w:fill="auto"/>
            <w:vAlign w:val="center"/>
            <w:hideMark/>
          </w:tcPr>
          <w:p w14:paraId="56D5FE36" w14:textId="77777777" w:rsidR="00727235" w:rsidRPr="000470FD" w:rsidRDefault="00727235" w:rsidP="004F3111">
            <w:pPr>
              <w:ind w:firstLine="37"/>
              <w:rPr>
                <w:lang w:eastAsia="ru-RU"/>
              </w:rPr>
            </w:pPr>
            <w:r w:rsidRPr="000470FD">
              <w:rPr>
                <w:lang w:eastAsia="ru-RU"/>
              </w:rPr>
              <w:t>Значения ценообразующего фактора (диапазон значений)</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14:paraId="6A864252" w14:textId="77777777" w:rsidR="00727235" w:rsidRPr="000470FD" w:rsidRDefault="00727235" w:rsidP="004F3111">
            <w:pPr>
              <w:ind w:firstLine="37"/>
              <w:rPr>
                <w:lang w:eastAsia="ru-RU"/>
              </w:rPr>
            </w:pPr>
            <w:r w:rsidRPr="000470FD">
              <w:rPr>
                <w:lang w:eastAsia="ru-RU"/>
              </w:rPr>
              <w:t>Значения меток ценообразующего фактора</w:t>
            </w:r>
          </w:p>
        </w:tc>
      </w:tr>
      <w:tr w:rsidR="00727235" w:rsidRPr="00727235" w14:paraId="2A6D6BFC" w14:textId="77777777" w:rsidTr="00727235">
        <w:trPr>
          <w:trHeight w:val="315"/>
        </w:trPr>
        <w:tc>
          <w:tcPr>
            <w:tcW w:w="1134" w:type="dxa"/>
            <w:tcBorders>
              <w:top w:val="nil"/>
              <w:left w:val="single" w:sz="4" w:space="0" w:color="auto"/>
              <w:bottom w:val="single" w:sz="4" w:space="0" w:color="auto"/>
              <w:right w:val="single" w:sz="4" w:space="0" w:color="auto"/>
            </w:tcBorders>
            <w:shd w:val="clear" w:color="auto" w:fill="auto"/>
            <w:vAlign w:val="center"/>
            <w:hideMark/>
          </w:tcPr>
          <w:p w14:paraId="2F5472E2" w14:textId="77777777" w:rsidR="00727235" w:rsidRPr="000470FD" w:rsidRDefault="00727235" w:rsidP="004F3111">
            <w:pPr>
              <w:ind w:firstLine="37"/>
              <w:rPr>
                <w:lang w:eastAsia="ru-RU"/>
              </w:rPr>
            </w:pPr>
            <w:r w:rsidRPr="000470FD">
              <w:rPr>
                <w:lang w:eastAsia="ru-RU"/>
              </w:rPr>
              <w:t>01</w:t>
            </w:r>
          </w:p>
        </w:tc>
        <w:tc>
          <w:tcPr>
            <w:tcW w:w="2608" w:type="dxa"/>
            <w:tcBorders>
              <w:top w:val="nil"/>
              <w:left w:val="nil"/>
              <w:bottom w:val="single" w:sz="4" w:space="0" w:color="auto"/>
              <w:right w:val="single" w:sz="4" w:space="0" w:color="auto"/>
            </w:tcBorders>
            <w:shd w:val="clear" w:color="auto" w:fill="auto"/>
            <w:vAlign w:val="center"/>
            <w:hideMark/>
          </w:tcPr>
          <w:p w14:paraId="55C82649" w14:textId="77777777" w:rsidR="00727235" w:rsidRPr="000470FD" w:rsidRDefault="00727235" w:rsidP="004F3111">
            <w:pPr>
              <w:ind w:firstLine="37"/>
              <w:rPr>
                <w:lang w:eastAsia="ru-RU"/>
              </w:rPr>
            </w:pPr>
            <w:r w:rsidRPr="000470FD">
              <w:rPr>
                <w:lang w:eastAsia="ru-RU"/>
              </w:rPr>
              <w:t>02</w:t>
            </w:r>
          </w:p>
        </w:tc>
        <w:tc>
          <w:tcPr>
            <w:tcW w:w="2608" w:type="dxa"/>
            <w:tcBorders>
              <w:top w:val="nil"/>
              <w:left w:val="nil"/>
              <w:bottom w:val="single" w:sz="4" w:space="0" w:color="auto"/>
              <w:right w:val="single" w:sz="4" w:space="0" w:color="auto"/>
            </w:tcBorders>
            <w:shd w:val="clear" w:color="auto" w:fill="auto"/>
            <w:vAlign w:val="center"/>
            <w:hideMark/>
          </w:tcPr>
          <w:p w14:paraId="7A71A4B8" w14:textId="77777777" w:rsidR="00727235" w:rsidRPr="000470FD" w:rsidRDefault="00727235" w:rsidP="004F3111">
            <w:pPr>
              <w:ind w:firstLine="37"/>
              <w:rPr>
                <w:lang w:eastAsia="ru-RU"/>
              </w:rPr>
            </w:pPr>
            <w:r w:rsidRPr="000470FD">
              <w:rPr>
                <w:lang w:eastAsia="ru-RU"/>
              </w:rPr>
              <w:t>03</w:t>
            </w:r>
          </w:p>
        </w:tc>
        <w:tc>
          <w:tcPr>
            <w:tcW w:w="2607" w:type="dxa"/>
            <w:tcBorders>
              <w:top w:val="nil"/>
              <w:left w:val="nil"/>
              <w:bottom w:val="single" w:sz="4" w:space="0" w:color="auto"/>
              <w:right w:val="single" w:sz="4" w:space="0" w:color="auto"/>
            </w:tcBorders>
            <w:shd w:val="clear" w:color="auto" w:fill="auto"/>
            <w:vAlign w:val="center"/>
            <w:hideMark/>
          </w:tcPr>
          <w:p w14:paraId="74C91DC1" w14:textId="77777777" w:rsidR="00727235" w:rsidRPr="000470FD" w:rsidRDefault="00727235" w:rsidP="004F3111">
            <w:pPr>
              <w:ind w:firstLine="37"/>
              <w:rPr>
                <w:lang w:eastAsia="ru-RU"/>
              </w:rPr>
            </w:pPr>
            <w:r w:rsidRPr="000470FD">
              <w:rPr>
                <w:lang w:eastAsia="ru-RU"/>
              </w:rPr>
              <w:t>04</w:t>
            </w:r>
          </w:p>
        </w:tc>
        <w:tc>
          <w:tcPr>
            <w:tcW w:w="1958" w:type="dxa"/>
            <w:tcBorders>
              <w:top w:val="nil"/>
              <w:left w:val="nil"/>
              <w:bottom w:val="single" w:sz="4" w:space="0" w:color="auto"/>
              <w:right w:val="single" w:sz="4" w:space="0" w:color="auto"/>
            </w:tcBorders>
            <w:shd w:val="clear" w:color="auto" w:fill="auto"/>
            <w:vAlign w:val="center"/>
            <w:hideMark/>
          </w:tcPr>
          <w:p w14:paraId="62875924" w14:textId="77777777" w:rsidR="00727235" w:rsidRPr="000470FD" w:rsidRDefault="00727235" w:rsidP="004F3111">
            <w:pPr>
              <w:ind w:firstLine="37"/>
              <w:rPr>
                <w:lang w:eastAsia="ru-RU"/>
              </w:rPr>
            </w:pPr>
            <w:r w:rsidRPr="000470FD">
              <w:rPr>
                <w:lang w:eastAsia="ru-RU"/>
              </w:rPr>
              <w:t>05</w:t>
            </w:r>
          </w:p>
        </w:tc>
        <w:tc>
          <w:tcPr>
            <w:tcW w:w="1985" w:type="dxa"/>
            <w:tcBorders>
              <w:top w:val="nil"/>
              <w:left w:val="nil"/>
              <w:bottom w:val="single" w:sz="4" w:space="0" w:color="auto"/>
              <w:right w:val="single" w:sz="4" w:space="0" w:color="auto"/>
            </w:tcBorders>
            <w:shd w:val="clear" w:color="auto" w:fill="auto"/>
            <w:vAlign w:val="center"/>
            <w:hideMark/>
          </w:tcPr>
          <w:p w14:paraId="7D73A6CC" w14:textId="77777777" w:rsidR="00727235" w:rsidRPr="000470FD" w:rsidRDefault="00727235" w:rsidP="004F3111">
            <w:pPr>
              <w:ind w:firstLine="37"/>
              <w:rPr>
                <w:lang w:eastAsia="ru-RU"/>
              </w:rPr>
            </w:pPr>
            <w:r w:rsidRPr="000470FD">
              <w:rPr>
                <w:lang w:eastAsia="ru-RU"/>
              </w:rPr>
              <w:t>06</w:t>
            </w:r>
          </w:p>
        </w:tc>
        <w:tc>
          <w:tcPr>
            <w:tcW w:w="1701" w:type="dxa"/>
            <w:tcBorders>
              <w:top w:val="nil"/>
              <w:left w:val="nil"/>
              <w:bottom w:val="single" w:sz="4" w:space="0" w:color="auto"/>
              <w:right w:val="single" w:sz="4" w:space="0" w:color="auto"/>
            </w:tcBorders>
            <w:shd w:val="clear" w:color="auto" w:fill="auto"/>
            <w:vAlign w:val="center"/>
            <w:hideMark/>
          </w:tcPr>
          <w:p w14:paraId="58D2CF74" w14:textId="77777777" w:rsidR="00727235" w:rsidRPr="000470FD" w:rsidRDefault="00727235" w:rsidP="004F3111">
            <w:pPr>
              <w:ind w:firstLine="37"/>
              <w:rPr>
                <w:lang w:eastAsia="ru-RU"/>
              </w:rPr>
            </w:pPr>
            <w:r w:rsidRPr="000470FD">
              <w:rPr>
                <w:lang w:eastAsia="ru-RU"/>
              </w:rPr>
              <w:t>07</w:t>
            </w:r>
          </w:p>
        </w:tc>
      </w:tr>
      <w:tr w:rsidR="000470FD" w:rsidRPr="00727235" w14:paraId="1E40705E" w14:textId="77777777" w:rsidTr="00727235">
        <w:trPr>
          <w:trHeight w:val="630"/>
        </w:trPr>
        <w:tc>
          <w:tcPr>
            <w:tcW w:w="1134" w:type="dxa"/>
            <w:vMerge w:val="restart"/>
            <w:tcBorders>
              <w:top w:val="nil"/>
              <w:left w:val="single" w:sz="4" w:space="0" w:color="auto"/>
              <w:bottom w:val="single" w:sz="4" w:space="0" w:color="auto"/>
              <w:right w:val="single" w:sz="4" w:space="0" w:color="auto"/>
            </w:tcBorders>
            <w:shd w:val="clear" w:color="auto" w:fill="auto"/>
            <w:vAlign w:val="center"/>
            <w:hideMark/>
          </w:tcPr>
          <w:p w14:paraId="42D46A07" w14:textId="77777777" w:rsidR="000470FD" w:rsidRPr="000470FD" w:rsidRDefault="000470FD" w:rsidP="000470FD">
            <w:pPr>
              <w:ind w:firstLine="37"/>
              <w:rPr>
                <w:lang w:eastAsia="ru-RU"/>
              </w:rPr>
            </w:pPr>
            <w:r w:rsidRPr="000470FD">
              <w:rPr>
                <w:lang w:eastAsia="ru-RU"/>
              </w:rPr>
              <w:t>1</w:t>
            </w:r>
          </w:p>
        </w:tc>
        <w:tc>
          <w:tcPr>
            <w:tcW w:w="2608" w:type="dxa"/>
            <w:vMerge w:val="restart"/>
            <w:tcBorders>
              <w:top w:val="nil"/>
              <w:left w:val="single" w:sz="4" w:space="0" w:color="auto"/>
              <w:bottom w:val="single" w:sz="4" w:space="0" w:color="auto"/>
              <w:right w:val="single" w:sz="4" w:space="0" w:color="auto"/>
            </w:tcBorders>
            <w:shd w:val="clear" w:color="auto" w:fill="auto"/>
            <w:vAlign w:val="center"/>
            <w:hideMark/>
          </w:tcPr>
          <w:p w14:paraId="69F47352" w14:textId="77777777" w:rsidR="000470FD" w:rsidRPr="000470FD" w:rsidRDefault="000470FD" w:rsidP="000470FD">
            <w:pPr>
              <w:ind w:firstLine="37"/>
              <w:rPr>
                <w:lang w:eastAsia="ru-RU"/>
              </w:rPr>
            </w:pPr>
            <w:r w:rsidRPr="000470FD">
              <w:rPr>
                <w:lang w:eastAsia="ru-RU"/>
              </w:rPr>
              <w:t>мультипликативная</w:t>
            </w:r>
          </w:p>
        </w:tc>
        <w:tc>
          <w:tcPr>
            <w:tcW w:w="2608" w:type="dxa"/>
            <w:vMerge w:val="restart"/>
            <w:tcBorders>
              <w:top w:val="nil"/>
              <w:left w:val="single" w:sz="4" w:space="0" w:color="auto"/>
              <w:bottom w:val="single" w:sz="4" w:space="0" w:color="auto"/>
              <w:right w:val="single" w:sz="4" w:space="0" w:color="auto"/>
            </w:tcBorders>
            <w:shd w:val="clear" w:color="auto" w:fill="auto"/>
            <w:vAlign w:val="center"/>
            <w:hideMark/>
          </w:tcPr>
          <w:p w14:paraId="61F8F664" w14:textId="5F3921CE" w:rsidR="000470FD" w:rsidRPr="000470FD" w:rsidRDefault="000470FD" w:rsidP="000470FD">
            <w:pPr>
              <w:ind w:firstLine="37"/>
              <w:rPr>
                <w:lang w:eastAsia="ru-RU"/>
              </w:rPr>
            </w:pPr>
            <w:r w:rsidRPr="000470FD">
              <w:rPr>
                <w:lang w:eastAsia="ru-RU"/>
              </w:rPr>
              <w:t>Y=55015.5*((метка(Газоснабжение)+0)^0.512904)*((0.264332/(Физический износ_ЗП+0.114)+0.5)^0.211132)*((2763.35/(Расстояние от объекта до административного центра населенного пункта+3200)+0.5)^0.560837)</w:t>
            </w:r>
          </w:p>
        </w:tc>
        <w:tc>
          <w:tcPr>
            <w:tcW w:w="2607" w:type="dxa"/>
            <w:vMerge w:val="restart"/>
            <w:tcBorders>
              <w:top w:val="nil"/>
              <w:left w:val="single" w:sz="4" w:space="0" w:color="auto"/>
              <w:bottom w:val="single" w:sz="4" w:space="0" w:color="auto"/>
              <w:right w:val="single" w:sz="4" w:space="0" w:color="auto"/>
            </w:tcBorders>
            <w:shd w:val="clear" w:color="auto" w:fill="auto"/>
            <w:vAlign w:val="center"/>
            <w:hideMark/>
          </w:tcPr>
          <w:p w14:paraId="27113FDC" w14:textId="05A0078B" w:rsidR="000470FD" w:rsidRPr="000470FD" w:rsidRDefault="000470FD" w:rsidP="000470FD">
            <w:pPr>
              <w:ind w:firstLine="37"/>
              <w:rPr>
                <w:lang w:eastAsia="ru-RU"/>
              </w:rPr>
            </w:pPr>
            <w:r w:rsidRPr="000470FD">
              <w:t>Газоснабжение</w:t>
            </w:r>
          </w:p>
        </w:tc>
        <w:tc>
          <w:tcPr>
            <w:tcW w:w="1958" w:type="dxa"/>
            <w:vMerge w:val="restart"/>
            <w:tcBorders>
              <w:top w:val="nil"/>
              <w:left w:val="single" w:sz="4" w:space="0" w:color="auto"/>
              <w:bottom w:val="single" w:sz="4" w:space="0" w:color="auto"/>
              <w:right w:val="single" w:sz="4" w:space="0" w:color="auto"/>
            </w:tcBorders>
            <w:shd w:val="clear" w:color="auto" w:fill="auto"/>
            <w:vAlign w:val="center"/>
            <w:hideMark/>
          </w:tcPr>
          <w:p w14:paraId="5BCB931E" w14:textId="3674AC13" w:rsidR="000470FD" w:rsidRPr="000470FD" w:rsidRDefault="000470FD" w:rsidP="000470FD">
            <w:pPr>
              <w:ind w:firstLine="37"/>
              <w:rPr>
                <w:lang w:eastAsia="ru-RU"/>
              </w:rPr>
            </w:pPr>
            <w:r w:rsidRPr="000470FD">
              <w:t>0,512904</w:t>
            </w:r>
          </w:p>
        </w:tc>
        <w:tc>
          <w:tcPr>
            <w:tcW w:w="1985" w:type="dxa"/>
            <w:tcBorders>
              <w:top w:val="nil"/>
              <w:left w:val="nil"/>
              <w:bottom w:val="single" w:sz="4" w:space="0" w:color="auto"/>
              <w:right w:val="single" w:sz="4" w:space="0" w:color="auto"/>
            </w:tcBorders>
            <w:shd w:val="clear" w:color="auto" w:fill="auto"/>
            <w:vAlign w:val="center"/>
            <w:hideMark/>
          </w:tcPr>
          <w:p w14:paraId="2BD7C895" w14:textId="7A1FC060" w:rsidR="000470FD" w:rsidRPr="000470FD" w:rsidRDefault="000470FD" w:rsidP="000470FD">
            <w:pPr>
              <w:ind w:firstLine="37"/>
              <w:rPr>
                <w:lang w:eastAsia="ru-RU"/>
              </w:rPr>
            </w:pPr>
            <w:r w:rsidRPr="000470FD">
              <w:t>0</w:t>
            </w:r>
          </w:p>
        </w:tc>
        <w:tc>
          <w:tcPr>
            <w:tcW w:w="1701" w:type="dxa"/>
            <w:tcBorders>
              <w:top w:val="nil"/>
              <w:left w:val="nil"/>
              <w:bottom w:val="single" w:sz="4" w:space="0" w:color="auto"/>
              <w:right w:val="single" w:sz="4" w:space="0" w:color="auto"/>
            </w:tcBorders>
            <w:shd w:val="clear" w:color="auto" w:fill="auto"/>
            <w:vAlign w:val="center"/>
            <w:hideMark/>
          </w:tcPr>
          <w:p w14:paraId="1036B813" w14:textId="3353DCFE" w:rsidR="000470FD" w:rsidRPr="000470FD" w:rsidRDefault="000470FD" w:rsidP="000470FD">
            <w:pPr>
              <w:ind w:firstLine="37"/>
              <w:rPr>
                <w:lang w:eastAsia="ru-RU"/>
              </w:rPr>
            </w:pPr>
            <w:r w:rsidRPr="000470FD">
              <w:t>0,8227514659194198</w:t>
            </w:r>
          </w:p>
        </w:tc>
      </w:tr>
      <w:tr w:rsidR="000470FD" w:rsidRPr="00727235" w14:paraId="28045D15" w14:textId="77777777" w:rsidTr="00727235">
        <w:trPr>
          <w:trHeight w:val="630"/>
        </w:trPr>
        <w:tc>
          <w:tcPr>
            <w:tcW w:w="1134" w:type="dxa"/>
            <w:vMerge/>
            <w:tcBorders>
              <w:top w:val="nil"/>
              <w:left w:val="single" w:sz="4" w:space="0" w:color="auto"/>
              <w:bottom w:val="single" w:sz="4" w:space="0" w:color="auto"/>
              <w:right w:val="single" w:sz="4" w:space="0" w:color="auto"/>
            </w:tcBorders>
            <w:vAlign w:val="center"/>
            <w:hideMark/>
          </w:tcPr>
          <w:p w14:paraId="29239A38" w14:textId="77777777" w:rsidR="000470FD" w:rsidRPr="000470FD" w:rsidRDefault="000470FD" w:rsidP="000470FD">
            <w:pPr>
              <w:ind w:firstLine="37"/>
              <w:rPr>
                <w:lang w:eastAsia="ru-RU"/>
              </w:rPr>
            </w:pPr>
          </w:p>
        </w:tc>
        <w:tc>
          <w:tcPr>
            <w:tcW w:w="2608" w:type="dxa"/>
            <w:vMerge/>
            <w:tcBorders>
              <w:top w:val="nil"/>
              <w:left w:val="single" w:sz="4" w:space="0" w:color="auto"/>
              <w:bottom w:val="single" w:sz="4" w:space="0" w:color="auto"/>
              <w:right w:val="single" w:sz="4" w:space="0" w:color="auto"/>
            </w:tcBorders>
            <w:vAlign w:val="center"/>
            <w:hideMark/>
          </w:tcPr>
          <w:p w14:paraId="55E0288A" w14:textId="77777777" w:rsidR="000470FD" w:rsidRPr="000470FD" w:rsidRDefault="000470FD" w:rsidP="000470FD">
            <w:pPr>
              <w:ind w:firstLine="37"/>
              <w:rPr>
                <w:lang w:eastAsia="ru-RU"/>
              </w:rPr>
            </w:pPr>
          </w:p>
        </w:tc>
        <w:tc>
          <w:tcPr>
            <w:tcW w:w="2608" w:type="dxa"/>
            <w:vMerge/>
            <w:tcBorders>
              <w:top w:val="nil"/>
              <w:left w:val="single" w:sz="4" w:space="0" w:color="auto"/>
              <w:bottom w:val="single" w:sz="4" w:space="0" w:color="auto"/>
              <w:right w:val="single" w:sz="4" w:space="0" w:color="auto"/>
            </w:tcBorders>
            <w:vAlign w:val="center"/>
            <w:hideMark/>
          </w:tcPr>
          <w:p w14:paraId="138019F1" w14:textId="77777777" w:rsidR="000470FD" w:rsidRPr="000470FD" w:rsidRDefault="000470FD" w:rsidP="000470FD">
            <w:pPr>
              <w:ind w:firstLine="37"/>
              <w:rPr>
                <w:lang w:eastAsia="ru-RU"/>
              </w:rPr>
            </w:pPr>
          </w:p>
        </w:tc>
        <w:tc>
          <w:tcPr>
            <w:tcW w:w="2607" w:type="dxa"/>
            <w:vMerge/>
            <w:tcBorders>
              <w:top w:val="nil"/>
              <w:left w:val="single" w:sz="4" w:space="0" w:color="auto"/>
              <w:bottom w:val="single" w:sz="4" w:space="0" w:color="auto"/>
              <w:right w:val="single" w:sz="4" w:space="0" w:color="auto"/>
            </w:tcBorders>
            <w:vAlign w:val="center"/>
            <w:hideMark/>
          </w:tcPr>
          <w:p w14:paraId="346FE3EE" w14:textId="77777777" w:rsidR="000470FD" w:rsidRPr="000470FD" w:rsidRDefault="000470FD" w:rsidP="000470FD">
            <w:pPr>
              <w:ind w:firstLine="37"/>
              <w:rPr>
                <w:lang w:eastAsia="ru-RU"/>
              </w:rPr>
            </w:pPr>
          </w:p>
        </w:tc>
        <w:tc>
          <w:tcPr>
            <w:tcW w:w="1958" w:type="dxa"/>
            <w:vMerge/>
            <w:tcBorders>
              <w:top w:val="nil"/>
              <w:left w:val="single" w:sz="4" w:space="0" w:color="auto"/>
              <w:bottom w:val="single" w:sz="4" w:space="0" w:color="auto"/>
              <w:right w:val="single" w:sz="4" w:space="0" w:color="auto"/>
            </w:tcBorders>
            <w:vAlign w:val="center"/>
            <w:hideMark/>
          </w:tcPr>
          <w:p w14:paraId="4387EFD6" w14:textId="77777777" w:rsidR="000470FD" w:rsidRPr="000470FD" w:rsidRDefault="000470FD" w:rsidP="000470FD">
            <w:pPr>
              <w:ind w:firstLine="37"/>
              <w:rPr>
                <w:lang w:eastAsia="ru-RU"/>
              </w:rPr>
            </w:pPr>
          </w:p>
        </w:tc>
        <w:tc>
          <w:tcPr>
            <w:tcW w:w="1985" w:type="dxa"/>
            <w:tcBorders>
              <w:top w:val="nil"/>
              <w:left w:val="nil"/>
              <w:bottom w:val="single" w:sz="4" w:space="0" w:color="auto"/>
              <w:right w:val="single" w:sz="4" w:space="0" w:color="auto"/>
            </w:tcBorders>
            <w:shd w:val="clear" w:color="auto" w:fill="auto"/>
            <w:vAlign w:val="center"/>
            <w:hideMark/>
          </w:tcPr>
          <w:p w14:paraId="5108BE6E" w14:textId="1A25D3A3" w:rsidR="000470FD" w:rsidRPr="000470FD" w:rsidRDefault="000470FD" w:rsidP="000470FD">
            <w:pPr>
              <w:ind w:firstLine="37"/>
              <w:rPr>
                <w:lang w:eastAsia="ru-RU"/>
              </w:rPr>
            </w:pPr>
            <w:r w:rsidRPr="000470FD">
              <w:t>1</w:t>
            </w:r>
          </w:p>
        </w:tc>
        <w:tc>
          <w:tcPr>
            <w:tcW w:w="1701" w:type="dxa"/>
            <w:tcBorders>
              <w:top w:val="nil"/>
              <w:left w:val="nil"/>
              <w:bottom w:val="single" w:sz="4" w:space="0" w:color="auto"/>
              <w:right w:val="single" w:sz="4" w:space="0" w:color="auto"/>
            </w:tcBorders>
            <w:shd w:val="clear" w:color="auto" w:fill="auto"/>
            <w:vAlign w:val="center"/>
            <w:hideMark/>
          </w:tcPr>
          <w:p w14:paraId="577E6C0F" w14:textId="62C42868" w:rsidR="000470FD" w:rsidRPr="000470FD" w:rsidRDefault="000470FD" w:rsidP="000470FD">
            <w:pPr>
              <w:ind w:firstLine="37"/>
              <w:rPr>
                <w:lang w:eastAsia="ru-RU"/>
              </w:rPr>
            </w:pPr>
            <w:r w:rsidRPr="000470FD">
              <w:t>1,1772485340805801</w:t>
            </w:r>
          </w:p>
        </w:tc>
      </w:tr>
      <w:tr w:rsidR="000470FD" w:rsidRPr="00727235" w14:paraId="1FBF06B9" w14:textId="77777777" w:rsidTr="00727235">
        <w:trPr>
          <w:trHeight w:val="945"/>
        </w:trPr>
        <w:tc>
          <w:tcPr>
            <w:tcW w:w="1134" w:type="dxa"/>
            <w:vMerge/>
            <w:tcBorders>
              <w:top w:val="nil"/>
              <w:left w:val="single" w:sz="4" w:space="0" w:color="auto"/>
              <w:bottom w:val="single" w:sz="4" w:space="0" w:color="auto"/>
              <w:right w:val="single" w:sz="4" w:space="0" w:color="auto"/>
            </w:tcBorders>
            <w:vAlign w:val="center"/>
            <w:hideMark/>
          </w:tcPr>
          <w:p w14:paraId="4A73BC1B" w14:textId="77777777" w:rsidR="000470FD" w:rsidRPr="000470FD" w:rsidRDefault="000470FD" w:rsidP="000470FD">
            <w:pPr>
              <w:ind w:firstLine="37"/>
              <w:rPr>
                <w:lang w:eastAsia="ru-RU"/>
              </w:rPr>
            </w:pPr>
          </w:p>
        </w:tc>
        <w:tc>
          <w:tcPr>
            <w:tcW w:w="2608" w:type="dxa"/>
            <w:vMerge/>
            <w:tcBorders>
              <w:top w:val="nil"/>
              <w:left w:val="single" w:sz="4" w:space="0" w:color="auto"/>
              <w:bottom w:val="single" w:sz="4" w:space="0" w:color="auto"/>
              <w:right w:val="single" w:sz="4" w:space="0" w:color="auto"/>
            </w:tcBorders>
            <w:vAlign w:val="center"/>
            <w:hideMark/>
          </w:tcPr>
          <w:p w14:paraId="55042A9A" w14:textId="77777777" w:rsidR="000470FD" w:rsidRPr="000470FD" w:rsidRDefault="000470FD" w:rsidP="000470FD">
            <w:pPr>
              <w:ind w:firstLine="37"/>
              <w:rPr>
                <w:lang w:eastAsia="ru-RU"/>
              </w:rPr>
            </w:pPr>
          </w:p>
        </w:tc>
        <w:tc>
          <w:tcPr>
            <w:tcW w:w="2608" w:type="dxa"/>
            <w:vMerge/>
            <w:tcBorders>
              <w:top w:val="nil"/>
              <w:left w:val="single" w:sz="4" w:space="0" w:color="auto"/>
              <w:bottom w:val="single" w:sz="4" w:space="0" w:color="auto"/>
              <w:right w:val="single" w:sz="4" w:space="0" w:color="auto"/>
            </w:tcBorders>
            <w:vAlign w:val="center"/>
            <w:hideMark/>
          </w:tcPr>
          <w:p w14:paraId="1BE34B23" w14:textId="77777777" w:rsidR="000470FD" w:rsidRPr="000470FD" w:rsidRDefault="000470FD" w:rsidP="000470FD">
            <w:pPr>
              <w:ind w:firstLine="37"/>
              <w:rPr>
                <w:lang w:eastAsia="ru-RU"/>
              </w:rPr>
            </w:pPr>
          </w:p>
        </w:tc>
        <w:tc>
          <w:tcPr>
            <w:tcW w:w="2607" w:type="dxa"/>
            <w:tcBorders>
              <w:top w:val="nil"/>
              <w:left w:val="nil"/>
              <w:bottom w:val="single" w:sz="4" w:space="0" w:color="auto"/>
              <w:right w:val="single" w:sz="4" w:space="0" w:color="auto"/>
            </w:tcBorders>
            <w:shd w:val="clear" w:color="auto" w:fill="auto"/>
            <w:vAlign w:val="center"/>
            <w:hideMark/>
          </w:tcPr>
          <w:p w14:paraId="79C6347C" w14:textId="5C92BAD3" w:rsidR="000470FD" w:rsidRPr="000470FD" w:rsidRDefault="000470FD" w:rsidP="000470FD">
            <w:pPr>
              <w:ind w:firstLine="37"/>
              <w:rPr>
                <w:lang w:eastAsia="ru-RU"/>
              </w:rPr>
            </w:pPr>
            <w:r w:rsidRPr="000470FD">
              <w:t>Расстояние от объекта до административного центра населенного пункта</w:t>
            </w:r>
          </w:p>
        </w:tc>
        <w:tc>
          <w:tcPr>
            <w:tcW w:w="1958" w:type="dxa"/>
            <w:tcBorders>
              <w:top w:val="nil"/>
              <w:left w:val="nil"/>
              <w:bottom w:val="single" w:sz="4" w:space="0" w:color="auto"/>
              <w:right w:val="single" w:sz="4" w:space="0" w:color="auto"/>
            </w:tcBorders>
            <w:shd w:val="clear" w:color="auto" w:fill="auto"/>
            <w:vAlign w:val="center"/>
            <w:hideMark/>
          </w:tcPr>
          <w:p w14:paraId="43D870C8" w14:textId="5DE226D4" w:rsidR="000470FD" w:rsidRPr="000470FD" w:rsidRDefault="000470FD" w:rsidP="000470FD">
            <w:pPr>
              <w:ind w:firstLine="37"/>
              <w:rPr>
                <w:lang w:eastAsia="ru-RU"/>
              </w:rPr>
            </w:pPr>
            <w:r w:rsidRPr="000470FD">
              <w:t>0,560837</w:t>
            </w:r>
          </w:p>
        </w:tc>
        <w:tc>
          <w:tcPr>
            <w:tcW w:w="1985" w:type="dxa"/>
            <w:tcBorders>
              <w:top w:val="nil"/>
              <w:left w:val="nil"/>
              <w:bottom w:val="single" w:sz="4" w:space="0" w:color="auto"/>
              <w:right w:val="single" w:sz="4" w:space="0" w:color="auto"/>
            </w:tcBorders>
            <w:shd w:val="clear" w:color="auto" w:fill="auto"/>
            <w:vAlign w:val="center"/>
            <w:hideMark/>
          </w:tcPr>
          <w:p w14:paraId="616B8CAF" w14:textId="255746FA" w:rsidR="000470FD" w:rsidRPr="000470FD" w:rsidRDefault="000470FD" w:rsidP="000470FD">
            <w:pPr>
              <w:ind w:firstLine="37"/>
              <w:rPr>
                <w:lang w:eastAsia="ru-RU"/>
              </w:rPr>
            </w:pPr>
            <w:r w:rsidRPr="000470FD">
              <w:t>200 - 15350</w:t>
            </w:r>
          </w:p>
        </w:tc>
        <w:tc>
          <w:tcPr>
            <w:tcW w:w="1701" w:type="dxa"/>
            <w:tcBorders>
              <w:top w:val="nil"/>
              <w:left w:val="nil"/>
              <w:bottom w:val="single" w:sz="4" w:space="0" w:color="auto"/>
              <w:right w:val="single" w:sz="4" w:space="0" w:color="auto"/>
            </w:tcBorders>
            <w:shd w:val="clear" w:color="auto" w:fill="auto"/>
            <w:noWrap/>
            <w:vAlign w:val="bottom"/>
            <w:hideMark/>
          </w:tcPr>
          <w:p w14:paraId="76010238" w14:textId="77777777" w:rsidR="000470FD" w:rsidRPr="000470FD" w:rsidRDefault="000470FD" w:rsidP="000470FD">
            <w:pPr>
              <w:ind w:firstLine="37"/>
              <w:rPr>
                <w:lang w:eastAsia="ru-RU"/>
              </w:rPr>
            </w:pPr>
            <w:r w:rsidRPr="000470FD">
              <w:rPr>
                <w:lang w:eastAsia="ru-RU"/>
              </w:rPr>
              <w:t> </w:t>
            </w:r>
          </w:p>
        </w:tc>
      </w:tr>
      <w:tr w:rsidR="000470FD" w:rsidRPr="00727235" w14:paraId="2F9FD494" w14:textId="77777777" w:rsidTr="00727235">
        <w:trPr>
          <w:trHeight w:val="315"/>
        </w:trPr>
        <w:tc>
          <w:tcPr>
            <w:tcW w:w="1134" w:type="dxa"/>
            <w:vMerge/>
            <w:tcBorders>
              <w:top w:val="nil"/>
              <w:left w:val="single" w:sz="4" w:space="0" w:color="auto"/>
              <w:bottom w:val="single" w:sz="4" w:space="0" w:color="auto"/>
              <w:right w:val="single" w:sz="4" w:space="0" w:color="auto"/>
            </w:tcBorders>
            <w:vAlign w:val="center"/>
            <w:hideMark/>
          </w:tcPr>
          <w:p w14:paraId="7E719BBA" w14:textId="77777777" w:rsidR="000470FD" w:rsidRPr="000470FD" w:rsidRDefault="000470FD" w:rsidP="000470FD">
            <w:pPr>
              <w:ind w:firstLine="37"/>
              <w:rPr>
                <w:lang w:eastAsia="ru-RU"/>
              </w:rPr>
            </w:pPr>
          </w:p>
        </w:tc>
        <w:tc>
          <w:tcPr>
            <w:tcW w:w="2608" w:type="dxa"/>
            <w:vMerge/>
            <w:tcBorders>
              <w:top w:val="nil"/>
              <w:left w:val="single" w:sz="4" w:space="0" w:color="auto"/>
              <w:bottom w:val="single" w:sz="4" w:space="0" w:color="auto"/>
              <w:right w:val="single" w:sz="4" w:space="0" w:color="auto"/>
            </w:tcBorders>
            <w:vAlign w:val="center"/>
            <w:hideMark/>
          </w:tcPr>
          <w:p w14:paraId="67703B6F" w14:textId="77777777" w:rsidR="000470FD" w:rsidRPr="000470FD" w:rsidRDefault="000470FD" w:rsidP="000470FD">
            <w:pPr>
              <w:ind w:firstLine="37"/>
              <w:rPr>
                <w:lang w:eastAsia="ru-RU"/>
              </w:rPr>
            </w:pPr>
          </w:p>
        </w:tc>
        <w:tc>
          <w:tcPr>
            <w:tcW w:w="2608" w:type="dxa"/>
            <w:vMerge/>
            <w:tcBorders>
              <w:top w:val="nil"/>
              <w:left w:val="single" w:sz="4" w:space="0" w:color="auto"/>
              <w:bottom w:val="single" w:sz="4" w:space="0" w:color="auto"/>
              <w:right w:val="single" w:sz="4" w:space="0" w:color="auto"/>
            </w:tcBorders>
            <w:vAlign w:val="center"/>
            <w:hideMark/>
          </w:tcPr>
          <w:p w14:paraId="57A4FDBF" w14:textId="77777777" w:rsidR="000470FD" w:rsidRPr="000470FD" w:rsidRDefault="000470FD" w:rsidP="000470FD">
            <w:pPr>
              <w:ind w:firstLine="37"/>
              <w:rPr>
                <w:lang w:eastAsia="ru-RU"/>
              </w:rPr>
            </w:pPr>
          </w:p>
        </w:tc>
        <w:tc>
          <w:tcPr>
            <w:tcW w:w="2607" w:type="dxa"/>
            <w:tcBorders>
              <w:top w:val="nil"/>
              <w:left w:val="nil"/>
              <w:bottom w:val="single" w:sz="4" w:space="0" w:color="auto"/>
              <w:right w:val="single" w:sz="4" w:space="0" w:color="auto"/>
            </w:tcBorders>
            <w:shd w:val="clear" w:color="auto" w:fill="auto"/>
            <w:vAlign w:val="center"/>
            <w:hideMark/>
          </w:tcPr>
          <w:p w14:paraId="6FA75BDB" w14:textId="6A3FBC14" w:rsidR="000470FD" w:rsidRPr="000470FD" w:rsidRDefault="000470FD" w:rsidP="000470FD">
            <w:pPr>
              <w:ind w:firstLine="37"/>
              <w:rPr>
                <w:lang w:eastAsia="ru-RU"/>
              </w:rPr>
            </w:pPr>
            <w:r w:rsidRPr="000470FD">
              <w:t>Физический износ_ЗП</w:t>
            </w:r>
          </w:p>
        </w:tc>
        <w:tc>
          <w:tcPr>
            <w:tcW w:w="1958" w:type="dxa"/>
            <w:tcBorders>
              <w:top w:val="nil"/>
              <w:left w:val="nil"/>
              <w:bottom w:val="single" w:sz="4" w:space="0" w:color="auto"/>
              <w:right w:val="single" w:sz="4" w:space="0" w:color="auto"/>
            </w:tcBorders>
            <w:shd w:val="clear" w:color="auto" w:fill="auto"/>
            <w:vAlign w:val="center"/>
            <w:hideMark/>
          </w:tcPr>
          <w:p w14:paraId="027BC7BD" w14:textId="0BE7400E" w:rsidR="000470FD" w:rsidRPr="000470FD" w:rsidRDefault="000470FD" w:rsidP="000470FD">
            <w:pPr>
              <w:ind w:firstLine="37"/>
              <w:rPr>
                <w:lang w:eastAsia="ru-RU"/>
              </w:rPr>
            </w:pPr>
            <w:r w:rsidRPr="000470FD">
              <w:t>0,211132</w:t>
            </w:r>
          </w:p>
        </w:tc>
        <w:tc>
          <w:tcPr>
            <w:tcW w:w="1985" w:type="dxa"/>
            <w:tcBorders>
              <w:top w:val="nil"/>
              <w:left w:val="nil"/>
              <w:bottom w:val="single" w:sz="4" w:space="0" w:color="auto"/>
              <w:right w:val="single" w:sz="4" w:space="0" w:color="auto"/>
            </w:tcBorders>
            <w:shd w:val="clear" w:color="auto" w:fill="auto"/>
            <w:vAlign w:val="center"/>
            <w:hideMark/>
          </w:tcPr>
          <w:p w14:paraId="61AA55C8" w14:textId="770B85EB" w:rsidR="000470FD" w:rsidRPr="000470FD" w:rsidRDefault="000470FD" w:rsidP="000470FD">
            <w:pPr>
              <w:ind w:firstLine="37"/>
              <w:rPr>
                <w:lang w:eastAsia="ru-RU"/>
              </w:rPr>
            </w:pPr>
            <w:r w:rsidRPr="000470FD">
              <w:t>0.01 - 0.81</w:t>
            </w:r>
          </w:p>
        </w:tc>
        <w:tc>
          <w:tcPr>
            <w:tcW w:w="1701" w:type="dxa"/>
            <w:tcBorders>
              <w:top w:val="nil"/>
              <w:left w:val="nil"/>
              <w:bottom w:val="single" w:sz="4" w:space="0" w:color="auto"/>
              <w:right w:val="single" w:sz="4" w:space="0" w:color="auto"/>
            </w:tcBorders>
            <w:shd w:val="clear" w:color="auto" w:fill="auto"/>
            <w:noWrap/>
            <w:vAlign w:val="bottom"/>
            <w:hideMark/>
          </w:tcPr>
          <w:p w14:paraId="5EA9B55F" w14:textId="77777777" w:rsidR="000470FD" w:rsidRPr="000470FD" w:rsidRDefault="000470FD" w:rsidP="000470FD">
            <w:pPr>
              <w:ind w:firstLine="37"/>
              <w:rPr>
                <w:lang w:eastAsia="ru-RU"/>
              </w:rPr>
            </w:pPr>
            <w:r w:rsidRPr="000470FD">
              <w:rPr>
                <w:lang w:eastAsia="ru-RU"/>
              </w:rPr>
              <w:t> </w:t>
            </w:r>
          </w:p>
        </w:tc>
      </w:tr>
      <w:tr w:rsidR="000470FD" w:rsidRPr="00727235" w14:paraId="7E21ED81" w14:textId="77777777" w:rsidTr="00727235">
        <w:trPr>
          <w:trHeight w:val="315"/>
        </w:trPr>
        <w:tc>
          <w:tcPr>
            <w:tcW w:w="1134" w:type="dxa"/>
            <w:vMerge/>
            <w:tcBorders>
              <w:top w:val="nil"/>
              <w:left w:val="single" w:sz="4" w:space="0" w:color="auto"/>
              <w:bottom w:val="single" w:sz="4" w:space="0" w:color="auto"/>
              <w:right w:val="single" w:sz="4" w:space="0" w:color="auto"/>
            </w:tcBorders>
            <w:vAlign w:val="center"/>
            <w:hideMark/>
          </w:tcPr>
          <w:p w14:paraId="21AB0E28" w14:textId="77777777" w:rsidR="000470FD" w:rsidRPr="000470FD" w:rsidRDefault="000470FD" w:rsidP="000470FD">
            <w:pPr>
              <w:ind w:firstLine="37"/>
              <w:rPr>
                <w:lang w:eastAsia="ru-RU"/>
              </w:rPr>
            </w:pPr>
          </w:p>
        </w:tc>
        <w:tc>
          <w:tcPr>
            <w:tcW w:w="2608" w:type="dxa"/>
            <w:vMerge/>
            <w:tcBorders>
              <w:top w:val="nil"/>
              <w:left w:val="single" w:sz="4" w:space="0" w:color="auto"/>
              <w:bottom w:val="single" w:sz="4" w:space="0" w:color="auto"/>
              <w:right w:val="single" w:sz="4" w:space="0" w:color="auto"/>
            </w:tcBorders>
            <w:vAlign w:val="center"/>
            <w:hideMark/>
          </w:tcPr>
          <w:p w14:paraId="3A4AC696" w14:textId="77777777" w:rsidR="000470FD" w:rsidRPr="000470FD" w:rsidRDefault="000470FD" w:rsidP="000470FD">
            <w:pPr>
              <w:ind w:firstLine="37"/>
              <w:rPr>
                <w:lang w:eastAsia="ru-RU"/>
              </w:rPr>
            </w:pPr>
          </w:p>
        </w:tc>
        <w:tc>
          <w:tcPr>
            <w:tcW w:w="2608" w:type="dxa"/>
            <w:vMerge/>
            <w:tcBorders>
              <w:top w:val="nil"/>
              <w:left w:val="single" w:sz="4" w:space="0" w:color="auto"/>
              <w:bottom w:val="single" w:sz="4" w:space="0" w:color="auto"/>
              <w:right w:val="single" w:sz="4" w:space="0" w:color="auto"/>
            </w:tcBorders>
            <w:vAlign w:val="center"/>
            <w:hideMark/>
          </w:tcPr>
          <w:p w14:paraId="61B128DB" w14:textId="77777777" w:rsidR="000470FD" w:rsidRPr="000470FD" w:rsidRDefault="000470FD" w:rsidP="000470FD">
            <w:pPr>
              <w:ind w:firstLine="37"/>
              <w:rPr>
                <w:lang w:eastAsia="ru-RU"/>
              </w:rPr>
            </w:pPr>
          </w:p>
        </w:tc>
        <w:tc>
          <w:tcPr>
            <w:tcW w:w="2607" w:type="dxa"/>
            <w:tcBorders>
              <w:top w:val="nil"/>
              <w:left w:val="nil"/>
              <w:bottom w:val="single" w:sz="4" w:space="0" w:color="auto"/>
              <w:right w:val="single" w:sz="4" w:space="0" w:color="auto"/>
            </w:tcBorders>
            <w:shd w:val="clear" w:color="auto" w:fill="auto"/>
            <w:vAlign w:val="center"/>
            <w:hideMark/>
          </w:tcPr>
          <w:p w14:paraId="64793485" w14:textId="5632F690" w:rsidR="000470FD" w:rsidRPr="005376A2" w:rsidRDefault="000470FD" w:rsidP="000470FD">
            <w:pPr>
              <w:ind w:firstLine="37"/>
              <w:rPr>
                <w:szCs w:val="24"/>
                <w:lang w:eastAsia="ru-RU"/>
              </w:rPr>
            </w:pPr>
            <w:r w:rsidRPr="005376A2">
              <w:rPr>
                <w:i/>
                <w:iCs/>
                <w:szCs w:val="24"/>
              </w:rPr>
              <w:t>Свободный член</w:t>
            </w:r>
          </w:p>
        </w:tc>
        <w:tc>
          <w:tcPr>
            <w:tcW w:w="1958" w:type="dxa"/>
            <w:tcBorders>
              <w:top w:val="nil"/>
              <w:left w:val="nil"/>
              <w:bottom w:val="single" w:sz="4" w:space="0" w:color="auto"/>
              <w:right w:val="single" w:sz="4" w:space="0" w:color="auto"/>
            </w:tcBorders>
            <w:shd w:val="clear" w:color="auto" w:fill="auto"/>
            <w:vAlign w:val="center"/>
            <w:hideMark/>
          </w:tcPr>
          <w:p w14:paraId="18E0BFCA" w14:textId="6AF9E0CB" w:rsidR="000470FD" w:rsidRPr="000470FD" w:rsidRDefault="000470FD" w:rsidP="000470FD">
            <w:pPr>
              <w:ind w:firstLine="37"/>
              <w:rPr>
                <w:lang w:eastAsia="ru-RU"/>
              </w:rPr>
            </w:pPr>
            <w:r w:rsidRPr="000470FD">
              <w:t>55015,5</w:t>
            </w:r>
          </w:p>
        </w:tc>
        <w:tc>
          <w:tcPr>
            <w:tcW w:w="1985" w:type="dxa"/>
            <w:tcBorders>
              <w:top w:val="nil"/>
              <w:left w:val="nil"/>
              <w:bottom w:val="single" w:sz="4" w:space="0" w:color="auto"/>
              <w:right w:val="single" w:sz="4" w:space="0" w:color="auto"/>
            </w:tcBorders>
            <w:shd w:val="clear" w:color="auto" w:fill="auto"/>
            <w:noWrap/>
            <w:vAlign w:val="bottom"/>
            <w:hideMark/>
          </w:tcPr>
          <w:p w14:paraId="012A6A53" w14:textId="0344C838" w:rsidR="000470FD" w:rsidRPr="000470FD" w:rsidRDefault="000470FD" w:rsidP="000470FD">
            <w:pPr>
              <w:ind w:firstLine="37"/>
              <w:rPr>
                <w:lang w:eastAsia="ru-RU"/>
              </w:rPr>
            </w:pPr>
            <w:r w:rsidRPr="000470FD">
              <w:t> </w:t>
            </w:r>
          </w:p>
        </w:tc>
        <w:tc>
          <w:tcPr>
            <w:tcW w:w="1701" w:type="dxa"/>
            <w:tcBorders>
              <w:top w:val="nil"/>
              <w:left w:val="nil"/>
              <w:bottom w:val="single" w:sz="4" w:space="0" w:color="auto"/>
              <w:right w:val="single" w:sz="4" w:space="0" w:color="auto"/>
            </w:tcBorders>
            <w:shd w:val="clear" w:color="auto" w:fill="auto"/>
            <w:noWrap/>
            <w:vAlign w:val="bottom"/>
            <w:hideMark/>
          </w:tcPr>
          <w:p w14:paraId="533D9FA2" w14:textId="77777777" w:rsidR="000470FD" w:rsidRPr="000470FD" w:rsidRDefault="000470FD" w:rsidP="000470FD">
            <w:pPr>
              <w:ind w:firstLine="37"/>
              <w:rPr>
                <w:lang w:eastAsia="ru-RU"/>
              </w:rPr>
            </w:pPr>
            <w:r w:rsidRPr="000470FD">
              <w:rPr>
                <w:lang w:eastAsia="ru-RU"/>
              </w:rPr>
              <w:t> </w:t>
            </w:r>
          </w:p>
        </w:tc>
      </w:tr>
    </w:tbl>
    <w:p w14:paraId="76A1697E" w14:textId="4464F628" w:rsidR="00727235" w:rsidRDefault="00727235" w:rsidP="00727235">
      <w:pPr>
        <w:rPr>
          <w:highlight w:val="yellow"/>
        </w:rPr>
      </w:pPr>
    </w:p>
    <w:p w14:paraId="3B82E5D4" w14:textId="21AF5ED4" w:rsidR="00E539D7" w:rsidRPr="00727235" w:rsidRDefault="00E539D7" w:rsidP="00E539D7">
      <w:pPr>
        <w:rPr>
          <w:lang w:eastAsia="ru-RU"/>
        </w:rPr>
      </w:pPr>
      <w:r w:rsidRPr="00727235">
        <w:rPr>
          <w:lang w:eastAsia="ru-RU"/>
        </w:rPr>
        <w:t xml:space="preserve">Таблица </w:t>
      </w:r>
      <w:r w:rsidRPr="00727235">
        <w:rPr>
          <w:lang w:eastAsia="ru-RU"/>
        </w:rPr>
        <w:fldChar w:fldCharType="begin"/>
      </w:r>
      <w:r w:rsidRPr="00727235">
        <w:rPr>
          <w:lang w:eastAsia="ru-RU"/>
        </w:rPr>
        <w:instrText xml:space="preserve"> SEQ Таблица \* ARABIC </w:instrText>
      </w:r>
      <w:r w:rsidRPr="00727235">
        <w:rPr>
          <w:lang w:eastAsia="ru-RU"/>
        </w:rPr>
        <w:fldChar w:fldCharType="separate"/>
      </w:r>
      <w:r w:rsidR="00FD2769">
        <w:rPr>
          <w:noProof/>
          <w:lang w:eastAsia="ru-RU"/>
        </w:rPr>
        <w:t>55</w:t>
      </w:r>
      <w:r w:rsidRPr="00727235">
        <w:rPr>
          <w:lang w:eastAsia="ru-RU"/>
        </w:rPr>
        <w:fldChar w:fldCharType="end"/>
      </w:r>
      <w:r w:rsidRPr="00727235">
        <w:rPr>
          <w:lang w:eastAsia="ru-RU"/>
        </w:rPr>
        <w:t xml:space="preserve"> Проверка статистической значимости моделей на обучающ</w:t>
      </w:r>
      <w:r>
        <w:rPr>
          <w:lang w:eastAsia="ru-RU"/>
        </w:rPr>
        <w:t xml:space="preserve">ей выборке группы </w:t>
      </w:r>
      <w:r w:rsidR="00311405" w:rsidRPr="00F154AB">
        <w:rPr>
          <w:rFonts w:eastAsia="Times New Roman" w:cs="Times New Roman"/>
          <w:bCs/>
          <w:color w:val="000000"/>
          <w:szCs w:val="24"/>
          <w:lang w:eastAsia="ru-RU"/>
        </w:rPr>
        <w:t>"1. Многоквартирные дома (дома средне- и многоэтажной жилой застройки)", подгруппа "</w:t>
      </w:r>
      <w:r w:rsidR="000470FD">
        <w:rPr>
          <w:rFonts w:eastAsia="Times New Roman" w:cs="Times New Roman"/>
          <w:bCs/>
          <w:color w:val="000000"/>
          <w:szCs w:val="24"/>
          <w:lang w:eastAsia="ru-RU"/>
        </w:rPr>
        <w:t>Помещения г.Якутск с п/х до 60 кв.м. 1.8</w:t>
      </w:r>
      <w:r w:rsidR="00311405">
        <w:rPr>
          <w:rFonts w:eastAsia="Times New Roman" w:cs="Times New Roman"/>
          <w:bCs/>
          <w:color w:val="000000"/>
          <w:szCs w:val="24"/>
          <w:lang w:eastAsia="ru-RU"/>
        </w:rPr>
        <w:t>"</w:t>
      </w:r>
      <w:r w:rsidRPr="00AA34D8">
        <w:rPr>
          <w:rFonts w:eastAsia="Times New Roman" w:cs="Times New Roman"/>
          <w:bCs/>
          <w:color w:val="000000"/>
          <w:szCs w:val="24"/>
          <w:lang w:eastAsia="ru-RU"/>
        </w:rPr>
        <w:t>.</w:t>
      </w:r>
    </w:p>
    <w:tbl>
      <w:tblPr>
        <w:tblW w:w="5000" w:type="pct"/>
        <w:tblLook w:val="04A0" w:firstRow="1" w:lastRow="0" w:firstColumn="1" w:lastColumn="0" w:noHBand="0" w:noVBand="1"/>
      </w:tblPr>
      <w:tblGrid>
        <w:gridCol w:w="629"/>
        <w:gridCol w:w="2415"/>
        <w:gridCol w:w="1679"/>
        <w:gridCol w:w="1808"/>
        <w:gridCol w:w="1463"/>
        <w:gridCol w:w="1035"/>
        <w:gridCol w:w="1808"/>
        <w:gridCol w:w="1723"/>
        <w:gridCol w:w="2000"/>
      </w:tblGrid>
      <w:tr w:rsidR="00E539D7" w:rsidRPr="00727235" w14:paraId="04BC8CA3" w14:textId="77777777" w:rsidTr="005376A2">
        <w:trPr>
          <w:trHeight w:val="882"/>
        </w:trPr>
        <w:tc>
          <w:tcPr>
            <w:tcW w:w="147"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27B7DB3F" w14:textId="77777777" w:rsidR="00E539D7" w:rsidRPr="00727235" w:rsidRDefault="00E539D7" w:rsidP="001E4B2F">
            <w:pPr>
              <w:ind w:firstLine="172"/>
              <w:rPr>
                <w:lang w:eastAsia="ru-RU"/>
              </w:rPr>
            </w:pPr>
            <w:r w:rsidRPr="00727235">
              <w:rPr>
                <w:lang w:eastAsia="ru-RU"/>
              </w:rPr>
              <w:t>№ п/п</w:t>
            </w:r>
          </w:p>
        </w:tc>
        <w:tc>
          <w:tcPr>
            <w:tcW w:w="736" w:type="pct"/>
            <w:tcBorders>
              <w:top w:val="single" w:sz="4" w:space="0" w:color="000000"/>
              <w:left w:val="nil"/>
              <w:bottom w:val="single" w:sz="4" w:space="0" w:color="000000"/>
              <w:right w:val="single" w:sz="4" w:space="0" w:color="000000"/>
            </w:tcBorders>
            <w:shd w:val="clear" w:color="auto" w:fill="auto"/>
            <w:vAlign w:val="center"/>
            <w:hideMark/>
          </w:tcPr>
          <w:p w14:paraId="5362C292" w14:textId="77777777" w:rsidR="00E539D7" w:rsidRPr="00727235" w:rsidRDefault="00E539D7" w:rsidP="001E4B2F">
            <w:pPr>
              <w:ind w:firstLine="172"/>
              <w:rPr>
                <w:lang w:eastAsia="ru-RU"/>
              </w:rPr>
            </w:pPr>
            <w:r w:rsidRPr="00727235">
              <w:rPr>
                <w:lang w:eastAsia="ru-RU"/>
              </w:rPr>
              <w:t>Название модели</w:t>
            </w:r>
          </w:p>
        </w:tc>
        <w:tc>
          <w:tcPr>
            <w:tcW w:w="662" w:type="pct"/>
            <w:tcBorders>
              <w:top w:val="single" w:sz="4" w:space="0" w:color="000000"/>
              <w:left w:val="nil"/>
              <w:bottom w:val="single" w:sz="4" w:space="0" w:color="000000"/>
              <w:right w:val="single" w:sz="4" w:space="0" w:color="000000"/>
            </w:tcBorders>
            <w:shd w:val="clear" w:color="auto" w:fill="auto"/>
            <w:vAlign w:val="center"/>
            <w:hideMark/>
          </w:tcPr>
          <w:p w14:paraId="0ECF4E35" w14:textId="77777777" w:rsidR="00E539D7" w:rsidRPr="00727235" w:rsidRDefault="00E539D7" w:rsidP="001E4B2F">
            <w:pPr>
              <w:ind w:firstLine="172"/>
              <w:rPr>
                <w:lang w:eastAsia="ru-RU"/>
              </w:rPr>
            </w:pPr>
            <w:r w:rsidRPr="00727235">
              <w:rPr>
                <w:lang w:eastAsia="ru-RU"/>
              </w:rPr>
              <w:t>Количество факторов стоимости, m</w:t>
            </w:r>
          </w:p>
        </w:tc>
        <w:tc>
          <w:tcPr>
            <w:tcW w:w="588" w:type="pct"/>
            <w:tcBorders>
              <w:top w:val="single" w:sz="4" w:space="0" w:color="000000"/>
              <w:left w:val="nil"/>
              <w:bottom w:val="single" w:sz="4" w:space="0" w:color="000000"/>
              <w:right w:val="single" w:sz="4" w:space="0" w:color="000000"/>
            </w:tcBorders>
            <w:shd w:val="clear" w:color="auto" w:fill="auto"/>
            <w:vAlign w:val="center"/>
            <w:hideMark/>
          </w:tcPr>
          <w:p w14:paraId="41F801B3" w14:textId="77777777" w:rsidR="00E539D7" w:rsidRPr="00727235" w:rsidRDefault="00E539D7" w:rsidP="001E4B2F">
            <w:pPr>
              <w:ind w:firstLine="172"/>
              <w:rPr>
                <w:lang w:eastAsia="ru-RU"/>
              </w:rPr>
            </w:pPr>
            <w:r w:rsidRPr="00727235">
              <w:rPr>
                <w:lang w:eastAsia="ru-RU"/>
              </w:rPr>
              <w:t>Коэффициент детерминации, R2</w:t>
            </w:r>
          </w:p>
        </w:tc>
        <w:tc>
          <w:tcPr>
            <w:tcW w:w="588" w:type="pct"/>
            <w:tcBorders>
              <w:top w:val="single" w:sz="4" w:space="0" w:color="000000"/>
              <w:left w:val="nil"/>
              <w:bottom w:val="single" w:sz="4" w:space="0" w:color="000000"/>
              <w:right w:val="single" w:sz="4" w:space="0" w:color="000000"/>
            </w:tcBorders>
            <w:shd w:val="clear" w:color="auto" w:fill="auto"/>
            <w:vAlign w:val="center"/>
            <w:hideMark/>
          </w:tcPr>
          <w:p w14:paraId="6265FD94" w14:textId="77777777" w:rsidR="00E539D7" w:rsidRPr="00727235" w:rsidRDefault="00E539D7" w:rsidP="001E4B2F">
            <w:pPr>
              <w:ind w:firstLine="172"/>
              <w:rPr>
                <w:lang w:eastAsia="ru-RU"/>
              </w:rPr>
            </w:pPr>
            <w:r w:rsidRPr="00727235">
              <w:rPr>
                <w:lang w:eastAsia="ru-RU"/>
              </w:rPr>
              <w:t>Критерий Фишера, Fрасч</w:t>
            </w:r>
          </w:p>
        </w:tc>
        <w:tc>
          <w:tcPr>
            <w:tcW w:w="441" w:type="pct"/>
            <w:tcBorders>
              <w:top w:val="single" w:sz="4" w:space="0" w:color="000000"/>
              <w:left w:val="nil"/>
              <w:bottom w:val="single" w:sz="4" w:space="0" w:color="000000"/>
              <w:right w:val="single" w:sz="4" w:space="0" w:color="000000"/>
            </w:tcBorders>
            <w:shd w:val="clear" w:color="auto" w:fill="auto"/>
            <w:vAlign w:val="center"/>
            <w:hideMark/>
          </w:tcPr>
          <w:p w14:paraId="7DBDF087" w14:textId="77777777" w:rsidR="00E539D7" w:rsidRPr="00727235" w:rsidRDefault="00E539D7" w:rsidP="001E4B2F">
            <w:pPr>
              <w:ind w:firstLine="172"/>
              <w:rPr>
                <w:lang w:eastAsia="ru-RU"/>
              </w:rPr>
            </w:pPr>
            <w:r w:rsidRPr="00727235">
              <w:rPr>
                <w:lang w:eastAsia="ru-RU"/>
              </w:rPr>
              <w:t>Fтабл</w:t>
            </w:r>
          </w:p>
        </w:tc>
        <w:tc>
          <w:tcPr>
            <w:tcW w:w="661" w:type="pct"/>
            <w:tcBorders>
              <w:top w:val="single" w:sz="4" w:space="0" w:color="000000"/>
              <w:left w:val="nil"/>
              <w:bottom w:val="single" w:sz="4" w:space="0" w:color="000000"/>
              <w:right w:val="single" w:sz="4" w:space="0" w:color="000000"/>
            </w:tcBorders>
            <w:shd w:val="clear" w:color="auto" w:fill="auto"/>
            <w:vAlign w:val="center"/>
            <w:hideMark/>
          </w:tcPr>
          <w:p w14:paraId="7AC15C1B" w14:textId="77777777" w:rsidR="00E539D7" w:rsidRPr="00727235" w:rsidRDefault="00E539D7" w:rsidP="001E4B2F">
            <w:pPr>
              <w:ind w:firstLine="172"/>
              <w:rPr>
                <w:lang w:eastAsia="ru-RU"/>
              </w:rPr>
            </w:pPr>
            <w:r w:rsidRPr="00727235">
              <w:rPr>
                <w:lang w:eastAsia="ru-RU"/>
              </w:rPr>
              <w:t>Коэффициент дисперсии (COD)</w:t>
            </w:r>
          </w:p>
        </w:tc>
        <w:tc>
          <w:tcPr>
            <w:tcW w:w="515" w:type="pct"/>
            <w:tcBorders>
              <w:top w:val="single" w:sz="4" w:space="0" w:color="000000"/>
              <w:left w:val="nil"/>
              <w:bottom w:val="single" w:sz="4" w:space="0" w:color="000000"/>
              <w:right w:val="single" w:sz="4" w:space="0" w:color="000000"/>
            </w:tcBorders>
            <w:shd w:val="clear" w:color="auto" w:fill="auto"/>
            <w:vAlign w:val="center"/>
            <w:hideMark/>
          </w:tcPr>
          <w:p w14:paraId="66F77BC1" w14:textId="77777777" w:rsidR="00E539D7" w:rsidRPr="00727235" w:rsidRDefault="00E539D7" w:rsidP="001E4B2F">
            <w:pPr>
              <w:ind w:firstLine="172"/>
              <w:rPr>
                <w:lang w:eastAsia="ru-RU"/>
              </w:rPr>
            </w:pPr>
            <w:r w:rsidRPr="00727235">
              <w:rPr>
                <w:lang w:eastAsia="ru-RU"/>
              </w:rPr>
              <w:t>Ценовой дифференциал (PRD)</w:t>
            </w:r>
          </w:p>
        </w:tc>
        <w:tc>
          <w:tcPr>
            <w:tcW w:w="662" w:type="pct"/>
            <w:tcBorders>
              <w:top w:val="single" w:sz="4" w:space="0" w:color="000000"/>
              <w:left w:val="nil"/>
              <w:bottom w:val="single" w:sz="4" w:space="0" w:color="000000"/>
              <w:right w:val="single" w:sz="4" w:space="0" w:color="000000"/>
            </w:tcBorders>
            <w:shd w:val="clear" w:color="auto" w:fill="auto"/>
            <w:vAlign w:val="center"/>
            <w:hideMark/>
          </w:tcPr>
          <w:p w14:paraId="3F53965F" w14:textId="77777777" w:rsidR="00E539D7" w:rsidRPr="00727235" w:rsidRDefault="00E539D7" w:rsidP="001E4B2F">
            <w:pPr>
              <w:ind w:firstLine="172"/>
              <w:rPr>
                <w:lang w:eastAsia="ru-RU"/>
              </w:rPr>
            </w:pPr>
            <w:r w:rsidRPr="00727235">
              <w:rPr>
                <w:lang w:eastAsia="ru-RU"/>
              </w:rPr>
              <w:t>Статистическая значимость модели (да/нет)</w:t>
            </w:r>
          </w:p>
        </w:tc>
      </w:tr>
      <w:tr w:rsidR="00E539D7" w:rsidRPr="00727235" w14:paraId="7494C21D" w14:textId="77777777" w:rsidTr="005376A2">
        <w:trPr>
          <w:trHeight w:val="272"/>
        </w:trPr>
        <w:tc>
          <w:tcPr>
            <w:tcW w:w="147" w:type="pct"/>
            <w:tcBorders>
              <w:top w:val="nil"/>
              <w:left w:val="single" w:sz="4" w:space="0" w:color="000000"/>
              <w:bottom w:val="single" w:sz="4" w:space="0" w:color="000000"/>
              <w:right w:val="single" w:sz="4" w:space="0" w:color="000000"/>
            </w:tcBorders>
            <w:shd w:val="clear" w:color="auto" w:fill="auto"/>
            <w:vAlign w:val="center"/>
            <w:hideMark/>
          </w:tcPr>
          <w:p w14:paraId="506BFFB0" w14:textId="77777777" w:rsidR="00E539D7" w:rsidRPr="00727235" w:rsidRDefault="00E539D7" w:rsidP="001E4B2F">
            <w:pPr>
              <w:ind w:firstLine="172"/>
              <w:rPr>
                <w:lang w:eastAsia="ru-RU"/>
              </w:rPr>
            </w:pPr>
            <w:r w:rsidRPr="00727235">
              <w:rPr>
                <w:lang w:eastAsia="ru-RU"/>
              </w:rPr>
              <w:t>01</w:t>
            </w:r>
          </w:p>
        </w:tc>
        <w:tc>
          <w:tcPr>
            <w:tcW w:w="736" w:type="pct"/>
            <w:tcBorders>
              <w:top w:val="nil"/>
              <w:left w:val="nil"/>
              <w:bottom w:val="single" w:sz="4" w:space="0" w:color="000000"/>
              <w:right w:val="single" w:sz="4" w:space="0" w:color="000000"/>
            </w:tcBorders>
            <w:shd w:val="clear" w:color="auto" w:fill="auto"/>
            <w:vAlign w:val="center"/>
            <w:hideMark/>
          </w:tcPr>
          <w:p w14:paraId="5A3CDECC" w14:textId="77777777" w:rsidR="00E539D7" w:rsidRPr="00727235" w:rsidRDefault="00E539D7" w:rsidP="001E4B2F">
            <w:pPr>
              <w:ind w:firstLine="172"/>
              <w:rPr>
                <w:lang w:eastAsia="ru-RU"/>
              </w:rPr>
            </w:pPr>
            <w:r w:rsidRPr="00727235">
              <w:rPr>
                <w:lang w:eastAsia="ru-RU"/>
              </w:rPr>
              <w:t>02</w:t>
            </w:r>
          </w:p>
        </w:tc>
        <w:tc>
          <w:tcPr>
            <w:tcW w:w="662" w:type="pct"/>
            <w:tcBorders>
              <w:top w:val="nil"/>
              <w:left w:val="nil"/>
              <w:bottom w:val="single" w:sz="4" w:space="0" w:color="000000"/>
              <w:right w:val="single" w:sz="4" w:space="0" w:color="000000"/>
            </w:tcBorders>
            <w:shd w:val="clear" w:color="auto" w:fill="auto"/>
            <w:vAlign w:val="center"/>
            <w:hideMark/>
          </w:tcPr>
          <w:p w14:paraId="6C3C2C78" w14:textId="77777777" w:rsidR="00E539D7" w:rsidRPr="00727235" w:rsidRDefault="00E539D7" w:rsidP="001E4B2F">
            <w:pPr>
              <w:ind w:firstLine="172"/>
              <w:rPr>
                <w:lang w:eastAsia="ru-RU"/>
              </w:rPr>
            </w:pPr>
            <w:r w:rsidRPr="00727235">
              <w:rPr>
                <w:lang w:eastAsia="ru-RU"/>
              </w:rPr>
              <w:t>03</w:t>
            </w:r>
          </w:p>
        </w:tc>
        <w:tc>
          <w:tcPr>
            <w:tcW w:w="588" w:type="pct"/>
            <w:tcBorders>
              <w:top w:val="nil"/>
              <w:left w:val="nil"/>
              <w:bottom w:val="single" w:sz="4" w:space="0" w:color="000000"/>
              <w:right w:val="single" w:sz="4" w:space="0" w:color="000000"/>
            </w:tcBorders>
            <w:shd w:val="clear" w:color="auto" w:fill="auto"/>
            <w:vAlign w:val="center"/>
            <w:hideMark/>
          </w:tcPr>
          <w:p w14:paraId="5B82FB2B" w14:textId="77777777" w:rsidR="00E539D7" w:rsidRPr="00727235" w:rsidRDefault="00E539D7" w:rsidP="001E4B2F">
            <w:pPr>
              <w:ind w:firstLine="172"/>
              <w:rPr>
                <w:lang w:eastAsia="ru-RU"/>
              </w:rPr>
            </w:pPr>
            <w:r w:rsidRPr="00727235">
              <w:rPr>
                <w:lang w:eastAsia="ru-RU"/>
              </w:rPr>
              <w:t>04</w:t>
            </w:r>
          </w:p>
        </w:tc>
        <w:tc>
          <w:tcPr>
            <w:tcW w:w="588" w:type="pct"/>
            <w:tcBorders>
              <w:top w:val="nil"/>
              <w:left w:val="nil"/>
              <w:bottom w:val="single" w:sz="4" w:space="0" w:color="000000"/>
              <w:right w:val="single" w:sz="4" w:space="0" w:color="000000"/>
            </w:tcBorders>
            <w:shd w:val="clear" w:color="auto" w:fill="auto"/>
            <w:vAlign w:val="center"/>
            <w:hideMark/>
          </w:tcPr>
          <w:p w14:paraId="4AEA78F6" w14:textId="77777777" w:rsidR="00E539D7" w:rsidRPr="00727235" w:rsidRDefault="00E539D7" w:rsidP="001E4B2F">
            <w:pPr>
              <w:ind w:firstLine="172"/>
              <w:rPr>
                <w:lang w:eastAsia="ru-RU"/>
              </w:rPr>
            </w:pPr>
            <w:r w:rsidRPr="00727235">
              <w:rPr>
                <w:lang w:eastAsia="ru-RU"/>
              </w:rPr>
              <w:t>05</w:t>
            </w:r>
          </w:p>
        </w:tc>
        <w:tc>
          <w:tcPr>
            <w:tcW w:w="441" w:type="pct"/>
            <w:tcBorders>
              <w:top w:val="nil"/>
              <w:left w:val="nil"/>
              <w:bottom w:val="single" w:sz="4" w:space="0" w:color="000000"/>
              <w:right w:val="single" w:sz="4" w:space="0" w:color="000000"/>
            </w:tcBorders>
            <w:shd w:val="clear" w:color="auto" w:fill="auto"/>
            <w:vAlign w:val="center"/>
            <w:hideMark/>
          </w:tcPr>
          <w:p w14:paraId="202F5521" w14:textId="77777777" w:rsidR="00E539D7" w:rsidRPr="00727235" w:rsidRDefault="00E539D7" w:rsidP="001E4B2F">
            <w:pPr>
              <w:ind w:firstLine="172"/>
              <w:rPr>
                <w:lang w:eastAsia="ru-RU"/>
              </w:rPr>
            </w:pPr>
            <w:r w:rsidRPr="00727235">
              <w:rPr>
                <w:lang w:eastAsia="ru-RU"/>
              </w:rPr>
              <w:t>06</w:t>
            </w:r>
          </w:p>
        </w:tc>
        <w:tc>
          <w:tcPr>
            <w:tcW w:w="661" w:type="pct"/>
            <w:tcBorders>
              <w:top w:val="nil"/>
              <w:left w:val="nil"/>
              <w:bottom w:val="single" w:sz="4" w:space="0" w:color="000000"/>
              <w:right w:val="single" w:sz="4" w:space="0" w:color="000000"/>
            </w:tcBorders>
            <w:shd w:val="clear" w:color="auto" w:fill="auto"/>
            <w:vAlign w:val="center"/>
            <w:hideMark/>
          </w:tcPr>
          <w:p w14:paraId="52E18BB5" w14:textId="77777777" w:rsidR="00E539D7" w:rsidRPr="00727235" w:rsidRDefault="00E539D7" w:rsidP="001E4B2F">
            <w:pPr>
              <w:ind w:firstLine="172"/>
              <w:rPr>
                <w:lang w:eastAsia="ru-RU"/>
              </w:rPr>
            </w:pPr>
            <w:r w:rsidRPr="00727235">
              <w:rPr>
                <w:lang w:eastAsia="ru-RU"/>
              </w:rPr>
              <w:t>07</w:t>
            </w:r>
          </w:p>
        </w:tc>
        <w:tc>
          <w:tcPr>
            <w:tcW w:w="515" w:type="pct"/>
            <w:tcBorders>
              <w:top w:val="nil"/>
              <w:left w:val="nil"/>
              <w:bottom w:val="single" w:sz="4" w:space="0" w:color="000000"/>
              <w:right w:val="single" w:sz="4" w:space="0" w:color="000000"/>
            </w:tcBorders>
            <w:shd w:val="clear" w:color="auto" w:fill="auto"/>
            <w:vAlign w:val="center"/>
            <w:hideMark/>
          </w:tcPr>
          <w:p w14:paraId="31B98BDA" w14:textId="77777777" w:rsidR="00E539D7" w:rsidRPr="00727235" w:rsidRDefault="00E539D7" w:rsidP="001E4B2F">
            <w:pPr>
              <w:ind w:firstLine="172"/>
              <w:rPr>
                <w:lang w:eastAsia="ru-RU"/>
              </w:rPr>
            </w:pPr>
            <w:r w:rsidRPr="00727235">
              <w:rPr>
                <w:lang w:eastAsia="ru-RU"/>
              </w:rPr>
              <w:t>08</w:t>
            </w:r>
          </w:p>
        </w:tc>
        <w:tc>
          <w:tcPr>
            <w:tcW w:w="662" w:type="pct"/>
            <w:tcBorders>
              <w:top w:val="nil"/>
              <w:left w:val="nil"/>
              <w:bottom w:val="single" w:sz="4" w:space="0" w:color="000000"/>
              <w:right w:val="single" w:sz="4" w:space="0" w:color="000000"/>
            </w:tcBorders>
            <w:shd w:val="clear" w:color="auto" w:fill="auto"/>
            <w:vAlign w:val="center"/>
            <w:hideMark/>
          </w:tcPr>
          <w:p w14:paraId="3636EFA8" w14:textId="77777777" w:rsidR="00E539D7" w:rsidRPr="00727235" w:rsidRDefault="00E539D7" w:rsidP="001E4B2F">
            <w:pPr>
              <w:ind w:firstLine="172"/>
              <w:rPr>
                <w:lang w:eastAsia="ru-RU"/>
              </w:rPr>
            </w:pPr>
            <w:r w:rsidRPr="00727235">
              <w:rPr>
                <w:lang w:eastAsia="ru-RU"/>
              </w:rPr>
              <w:t>09</w:t>
            </w:r>
          </w:p>
        </w:tc>
      </w:tr>
      <w:tr w:rsidR="00E539D7" w:rsidRPr="00727235" w14:paraId="5C632A30" w14:textId="77777777" w:rsidTr="001E4B2F">
        <w:trPr>
          <w:trHeight w:val="360"/>
        </w:trPr>
        <w:tc>
          <w:tcPr>
            <w:tcW w:w="147" w:type="pct"/>
            <w:tcBorders>
              <w:top w:val="nil"/>
              <w:left w:val="single" w:sz="4" w:space="0" w:color="000000"/>
              <w:bottom w:val="single" w:sz="4" w:space="0" w:color="000000"/>
              <w:right w:val="single" w:sz="4" w:space="0" w:color="000000"/>
            </w:tcBorders>
            <w:shd w:val="clear" w:color="auto" w:fill="auto"/>
            <w:vAlign w:val="center"/>
            <w:hideMark/>
          </w:tcPr>
          <w:p w14:paraId="09E7DAAF" w14:textId="77777777" w:rsidR="00E539D7" w:rsidRPr="00727235" w:rsidRDefault="00E539D7" w:rsidP="001E4B2F">
            <w:pPr>
              <w:ind w:firstLine="172"/>
              <w:rPr>
                <w:lang w:eastAsia="ru-RU"/>
              </w:rPr>
            </w:pPr>
            <w:r w:rsidRPr="00727235">
              <w:rPr>
                <w:lang w:eastAsia="ru-RU"/>
              </w:rPr>
              <w:t>1</w:t>
            </w:r>
          </w:p>
        </w:tc>
        <w:tc>
          <w:tcPr>
            <w:tcW w:w="736" w:type="pct"/>
            <w:tcBorders>
              <w:top w:val="nil"/>
              <w:left w:val="nil"/>
              <w:bottom w:val="single" w:sz="4" w:space="0" w:color="000000"/>
              <w:right w:val="single" w:sz="4" w:space="0" w:color="000000"/>
            </w:tcBorders>
            <w:shd w:val="clear" w:color="auto" w:fill="auto"/>
            <w:vAlign w:val="center"/>
            <w:hideMark/>
          </w:tcPr>
          <w:p w14:paraId="1EBD20B3" w14:textId="77777777" w:rsidR="00E539D7" w:rsidRPr="00727235" w:rsidRDefault="00E539D7" w:rsidP="001E4B2F">
            <w:pPr>
              <w:ind w:firstLine="172"/>
              <w:rPr>
                <w:lang w:eastAsia="ru-RU"/>
              </w:rPr>
            </w:pPr>
            <w:r w:rsidRPr="00727235">
              <w:rPr>
                <w:lang w:eastAsia="ru-RU"/>
              </w:rPr>
              <w:t>линейная</w:t>
            </w:r>
          </w:p>
        </w:tc>
        <w:tc>
          <w:tcPr>
            <w:tcW w:w="662" w:type="pct"/>
            <w:tcBorders>
              <w:top w:val="nil"/>
              <w:left w:val="nil"/>
              <w:bottom w:val="single" w:sz="4" w:space="0" w:color="000000"/>
              <w:right w:val="single" w:sz="4" w:space="0" w:color="000000"/>
            </w:tcBorders>
            <w:shd w:val="clear" w:color="auto" w:fill="auto"/>
            <w:vAlign w:val="center"/>
          </w:tcPr>
          <w:p w14:paraId="589C448C" w14:textId="77777777" w:rsidR="00E539D7" w:rsidRPr="00727235" w:rsidRDefault="00E539D7" w:rsidP="001E4B2F">
            <w:pPr>
              <w:ind w:firstLine="172"/>
              <w:rPr>
                <w:lang w:eastAsia="ru-RU"/>
              </w:rPr>
            </w:pPr>
            <w:r>
              <w:rPr>
                <w:lang w:eastAsia="ru-RU"/>
              </w:rPr>
              <w:t>3</w:t>
            </w:r>
          </w:p>
        </w:tc>
        <w:tc>
          <w:tcPr>
            <w:tcW w:w="588" w:type="pct"/>
            <w:tcBorders>
              <w:top w:val="nil"/>
              <w:left w:val="nil"/>
              <w:bottom w:val="single" w:sz="4" w:space="0" w:color="000000"/>
              <w:right w:val="single" w:sz="4" w:space="0" w:color="000000"/>
            </w:tcBorders>
            <w:shd w:val="clear" w:color="auto" w:fill="auto"/>
            <w:vAlign w:val="center"/>
          </w:tcPr>
          <w:p w14:paraId="7DFEA0AC" w14:textId="3A002834" w:rsidR="00E539D7" w:rsidRPr="00727235" w:rsidRDefault="00311405" w:rsidP="001E4B2F">
            <w:pPr>
              <w:ind w:firstLine="172"/>
              <w:rPr>
                <w:lang w:eastAsia="ru-RU"/>
              </w:rPr>
            </w:pPr>
            <w:r>
              <w:rPr>
                <w:lang w:eastAsia="ru-RU"/>
              </w:rPr>
              <w:t>0,7</w:t>
            </w:r>
          </w:p>
        </w:tc>
        <w:tc>
          <w:tcPr>
            <w:tcW w:w="588" w:type="pct"/>
            <w:tcBorders>
              <w:top w:val="nil"/>
              <w:left w:val="nil"/>
              <w:bottom w:val="single" w:sz="4" w:space="0" w:color="000000"/>
              <w:right w:val="single" w:sz="4" w:space="0" w:color="000000"/>
            </w:tcBorders>
            <w:shd w:val="clear" w:color="auto" w:fill="auto"/>
            <w:vAlign w:val="center"/>
          </w:tcPr>
          <w:p w14:paraId="2C66E351" w14:textId="1F4C5E80" w:rsidR="00E539D7" w:rsidRPr="00727235" w:rsidRDefault="00311405" w:rsidP="001E4B2F">
            <w:pPr>
              <w:ind w:firstLine="172"/>
              <w:rPr>
                <w:lang w:eastAsia="ru-RU"/>
              </w:rPr>
            </w:pPr>
            <w:r>
              <w:rPr>
                <w:lang w:eastAsia="ru-RU"/>
              </w:rPr>
              <w:t>469,18</w:t>
            </w:r>
          </w:p>
        </w:tc>
        <w:tc>
          <w:tcPr>
            <w:tcW w:w="441" w:type="pct"/>
            <w:tcBorders>
              <w:top w:val="nil"/>
              <w:left w:val="nil"/>
              <w:bottom w:val="single" w:sz="4" w:space="0" w:color="000000"/>
              <w:right w:val="single" w:sz="4" w:space="0" w:color="000000"/>
            </w:tcBorders>
            <w:shd w:val="clear" w:color="auto" w:fill="auto"/>
            <w:vAlign w:val="center"/>
            <w:hideMark/>
          </w:tcPr>
          <w:p w14:paraId="022B6595" w14:textId="77777777" w:rsidR="00E539D7" w:rsidRPr="00727235" w:rsidRDefault="00E539D7" w:rsidP="001E4B2F">
            <w:pPr>
              <w:ind w:firstLine="172"/>
              <w:rPr>
                <w:lang w:eastAsia="ru-RU"/>
              </w:rPr>
            </w:pPr>
            <w:r w:rsidRPr="00727235">
              <w:rPr>
                <w:lang w:eastAsia="ru-RU"/>
              </w:rPr>
              <w:t>3,1</w:t>
            </w:r>
          </w:p>
        </w:tc>
        <w:tc>
          <w:tcPr>
            <w:tcW w:w="661" w:type="pct"/>
            <w:tcBorders>
              <w:top w:val="nil"/>
              <w:left w:val="nil"/>
              <w:bottom w:val="single" w:sz="4" w:space="0" w:color="000000"/>
              <w:right w:val="single" w:sz="4" w:space="0" w:color="000000"/>
            </w:tcBorders>
            <w:shd w:val="clear" w:color="auto" w:fill="auto"/>
            <w:vAlign w:val="center"/>
            <w:hideMark/>
          </w:tcPr>
          <w:p w14:paraId="55E4BFB9" w14:textId="0516945E" w:rsidR="00E539D7" w:rsidRPr="00727235" w:rsidRDefault="00311405" w:rsidP="001E4B2F">
            <w:pPr>
              <w:ind w:firstLine="172"/>
              <w:rPr>
                <w:lang w:eastAsia="ru-RU"/>
              </w:rPr>
            </w:pPr>
            <w:r>
              <w:rPr>
                <w:lang w:eastAsia="ru-RU"/>
              </w:rPr>
              <w:t>5,2</w:t>
            </w:r>
          </w:p>
        </w:tc>
        <w:tc>
          <w:tcPr>
            <w:tcW w:w="515" w:type="pct"/>
            <w:tcBorders>
              <w:top w:val="nil"/>
              <w:left w:val="nil"/>
              <w:bottom w:val="single" w:sz="4" w:space="0" w:color="000000"/>
              <w:right w:val="single" w:sz="4" w:space="0" w:color="000000"/>
            </w:tcBorders>
            <w:shd w:val="clear" w:color="auto" w:fill="auto"/>
            <w:vAlign w:val="center"/>
            <w:hideMark/>
          </w:tcPr>
          <w:p w14:paraId="439BF7B2" w14:textId="77777777" w:rsidR="00E539D7" w:rsidRPr="00727235" w:rsidRDefault="00E539D7" w:rsidP="001E4B2F">
            <w:pPr>
              <w:ind w:firstLine="172"/>
              <w:rPr>
                <w:lang w:eastAsia="ru-RU"/>
              </w:rPr>
            </w:pPr>
            <w:r>
              <w:rPr>
                <w:lang w:eastAsia="ru-RU"/>
              </w:rPr>
              <w:t>1,0</w:t>
            </w:r>
          </w:p>
        </w:tc>
        <w:tc>
          <w:tcPr>
            <w:tcW w:w="662" w:type="pct"/>
            <w:tcBorders>
              <w:top w:val="nil"/>
              <w:left w:val="nil"/>
              <w:bottom w:val="single" w:sz="4" w:space="0" w:color="000000"/>
              <w:right w:val="single" w:sz="4" w:space="0" w:color="000000"/>
            </w:tcBorders>
            <w:shd w:val="clear" w:color="auto" w:fill="auto"/>
            <w:vAlign w:val="center"/>
            <w:hideMark/>
          </w:tcPr>
          <w:p w14:paraId="517A5030" w14:textId="77777777" w:rsidR="00E539D7" w:rsidRPr="00727235" w:rsidRDefault="00E539D7" w:rsidP="001E4B2F">
            <w:pPr>
              <w:ind w:firstLine="172"/>
              <w:rPr>
                <w:lang w:eastAsia="ru-RU"/>
              </w:rPr>
            </w:pPr>
            <w:r w:rsidRPr="00727235">
              <w:rPr>
                <w:lang w:eastAsia="ru-RU"/>
              </w:rPr>
              <w:t>Соответствует</w:t>
            </w:r>
          </w:p>
        </w:tc>
      </w:tr>
      <w:tr w:rsidR="00E539D7" w:rsidRPr="00727235" w14:paraId="4DC44FC5" w14:textId="77777777" w:rsidTr="001E4B2F">
        <w:trPr>
          <w:trHeight w:val="360"/>
        </w:trPr>
        <w:tc>
          <w:tcPr>
            <w:tcW w:w="147" w:type="pct"/>
            <w:tcBorders>
              <w:top w:val="nil"/>
              <w:left w:val="single" w:sz="4" w:space="0" w:color="000000"/>
              <w:bottom w:val="single" w:sz="4" w:space="0" w:color="000000"/>
              <w:right w:val="single" w:sz="4" w:space="0" w:color="000000"/>
            </w:tcBorders>
            <w:shd w:val="clear" w:color="auto" w:fill="auto"/>
            <w:vAlign w:val="center"/>
            <w:hideMark/>
          </w:tcPr>
          <w:p w14:paraId="63564ABA" w14:textId="77777777" w:rsidR="00E539D7" w:rsidRPr="00727235" w:rsidRDefault="00E539D7" w:rsidP="001E4B2F">
            <w:pPr>
              <w:ind w:firstLine="172"/>
              <w:rPr>
                <w:lang w:eastAsia="ru-RU"/>
              </w:rPr>
            </w:pPr>
            <w:r w:rsidRPr="00727235">
              <w:rPr>
                <w:lang w:eastAsia="ru-RU"/>
              </w:rPr>
              <w:t>2</w:t>
            </w:r>
          </w:p>
        </w:tc>
        <w:tc>
          <w:tcPr>
            <w:tcW w:w="736" w:type="pct"/>
            <w:tcBorders>
              <w:top w:val="nil"/>
              <w:left w:val="nil"/>
              <w:bottom w:val="single" w:sz="4" w:space="0" w:color="000000"/>
              <w:right w:val="single" w:sz="4" w:space="0" w:color="000000"/>
            </w:tcBorders>
            <w:shd w:val="clear" w:color="auto" w:fill="auto"/>
            <w:vAlign w:val="center"/>
            <w:hideMark/>
          </w:tcPr>
          <w:p w14:paraId="007DB2DE" w14:textId="77777777" w:rsidR="00E539D7" w:rsidRPr="00727235" w:rsidRDefault="00E539D7" w:rsidP="001E4B2F">
            <w:pPr>
              <w:ind w:firstLine="172"/>
              <w:rPr>
                <w:lang w:eastAsia="ru-RU"/>
              </w:rPr>
            </w:pPr>
            <w:r w:rsidRPr="00727235">
              <w:rPr>
                <w:lang w:eastAsia="ru-RU"/>
              </w:rPr>
              <w:t>мультипликативная</w:t>
            </w:r>
          </w:p>
        </w:tc>
        <w:tc>
          <w:tcPr>
            <w:tcW w:w="662" w:type="pct"/>
            <w:tcBorders>
              <w:top w:val="nil"/>
              <w:left w:val="nil"/>
              <w:bottom w:val="single" w:sz="4" w:space="0" w:color="000000"/>
              <w:right w:val="single" w:sz="4" w:space="0" w:color="000000"/>
            </w:tcBorders>
            <w:shd w:val="clear" w:color="auto" w:fill="auto"/>
            <w:vAlign w:val="center"/>
          </w:tcPr>
          <w:p w14:paraId="71439456" w14:textId="77777777" w:rsidR="00E539D7" w:rsidRPr="00727235" w:rsidRDefault="00E539D7" w:rsidP="001E4B2F">
            <w:pPr>
              <w:ind w:firstLine="172"/>
              <w:rPr>
                <w:lang w:eastAsia="ru-RU"/>
              </w:rPr>
            </w:pPr>
            <w:r>
              <w:rPr>
                <w:lang w:eastAsia="ru-RU"/>
              </w:rPr>
              <w:t>3</w:t>
            </w:r>
          </w:p>
        </w:tc>
        <w:tc>
          <w:tcPr>
            <w:tcW w:w="588" w:type="pct"/>
            <w:tcBorders>
              <w:top w:val="nil"/>
              <w:left w:val="nil"/>
              <w:bottom w:val="single" w:sz="4" w:space="0" w:color="000000"/>
              <w:right w:val="single" w:sz="4" w:space="0" w:color="000000"/>
            </w:tcBorders>
            <w:shd w:val="clear" w:color="auto" w:fill="auto"/>
            <w:vAlign w:val="center"/>
          </w:tcPr>
          <w:p w14:paraId="489E8F18" w14:textId="31B02ADB" w:rsidR="00E539D7" w:rsidRPr="00727235" w:rsidRDefault="00E539D7" w:rsidP="00311405">
            <w:pPr>
              <w:ind w:firstLine="172"/>
              <w:rPr>
                <w:lang w:eastAsia="ru-RU"/>
              </w:rPr>
            </w:pPr>
            <w:r>
              <w:rPr>
                <w:lang w:eastAsia="ru-RU"/>
              </w:rPr>
              <w:t>0,7</w:t>
            </w:r>
            <w:r w:rsidR="00311405">
              <w:rPr>
                <w:lang w:eastAsia="ru-RU"/>
              </w:rPr>
              <w:t>1</w:t>
            </w:r>
          </w:p>
        </w:tc>
        <w:tc>
          <w:tcPr>
            <w:tcW w:w="588" w:type="pct"/>
            <w:tcBorders>
              <w:top w:val="nil"/>
              <w:left w:val="nil"/>
              <w:bottom w:val="single" w:sz="4" w:space="0" w:color="000000"/>
              <w:right w:val="single" w:sz="4" w:space="0" w:color="000000"/>
            </w:tcBorders>
            <w:shd w:val="clear" w:color="auto" w:fill="auto"/>
            <w:vAlign w:val="center"/>
          </w:tcPr>
          <w:p w14:paraId="05E467A9" w14:textId="72BC11FC" w:rsidR="00E539D7" w:rsidRPr="00727235" w:rsidRDefault="00311405" w:rsidP="001E4B2F">
            <w:pPr>
              <w:ind w:firstLine="172"/>
              <w:rPr>
                <w:lang w:eastAsia="ru-RU"/>
              </w:rPr>
            </w:pPr>
            <w:r>
              <w:rPr>
                <w:lang w:eastAsia="ru-RU"/>
              </w:rPr>
              <w:t>493,79</w:t>
            </w:r>
          </w:p>
        </w:tc>
        <w:tc>
          <w:tcPr>
            <w:tcW w:w="441" w:type="pct"/>
            <w:tcBorders>
              <w:top w:val="nil"/>
              <w:left w:val="nil"/>
              <w:bottom w:val="single" w:sz="4" w:space="0" w:color="000000"/>
              <w:right w:val="single" w:sz="4" w:space="0" w:color="000000"/>
            </w:tcBorders>
            <w:shd w:val="clear" w:color="auto" w:fill="auto"/>
            <w:vAlign w:val="center"/>
            <w:hideMark/>
          </w:tcPr>
          <w:p w14:paraId="26696D00" w14:textId="77777777" w:rsidR="00E539D7" w:rsidRPr="00727235" w:rsidRDefault="00E539D7" w:rsidP="001E4B2F">
            <w:pPr>
              <w:ind w:firstLine="172"/>
              <w:rPr>
                <w:lang w:eastAsia="ru-RU"/>
              </w:rPr>
            </w:pPr>
            <w:r w:rsidRPr="00727235">
              <w:rPr>
                <w:lang w:eastAsia="ru-RU"/>
              </w:rPr>
              <w:t>3,1</w:t>
            </w:r>
          </w:p>
        </w:tc>
        <w:tc>
          <w:tcPr>
            <w:tcW w:w="661" w:type="pct"/>
            <w:tcBorders>
              <w:top w:val="nil"/>
              <w:left w:val="nil"/>
              <w:bottom w:val="single" w:sz="4" w:space="0" w:color="000000"/>
              <w:right w:val="single" w:sz="4" w:space="0" w:color="000000"/>
            </w:tcBorders>
            <w:shd w:val="clear" w:color="auto" w:fill="auto"/>
            <w:vAlign w:val="center"/>
            <w:hideMark/>
          </w:tcPr>
          <w:p w14:paraId="35877217" w14:textId="0F7A50A4" w:rsidR="00E539D7" w:rsidRPr="00727235" w:rsidRDefault="00311405" w:rsidP="001E4B2F">
            <w:pPr>
              <w:ind w:firstLine="172"/>
              <w:rPr>
                <w:lang w:eastAsia="ru-RU"/>
              </w:rPr>
            </w:pPr>
            <w:r>
              <w:rPr>
                <w:lang w:eastAsia="ru-RU"/>
              </w:rPr>
              <w:t>5,14</w:t>
            </w:r>
          </w:p>
        </w:tc>
        <w:tc>
          <w:tcPr>
            <w:tcW w:w="515" w:type="pct"/>
            <w:tcBorders>
              <w:top w:val="nil"/>
              <w:left w:val="nil"/>
              <w:bottom w:val="single" w:sz="4" w:space="0" w:color="000000"/>
              <w:right w:val="single" w:sz="4" w:space="0" w:color="000000"/>
            </w:tcBorders>
            <w:shd w:val="clear" w:color="auto" w:fill="auto"/>
            <w:vAlign w:val="center"/>
            <w:hideMark/>
          </w:tcPr>
          <w:p w14:paraId="2830B513" w14:textId="77777777" w:rsidR="00E539D7" w:rsidRPr="00727235" w:rsidRDefault="00E539D7" w:rsidP="001E4B2F">
            <w:pPr>
              <w:ind w:firstLine="172"/>
              <w:rPr>
                <w:lang w:eastAsia="ru-RU"/>
              </w:rPr>
            </w:pPr>
            <w:r>
              <w:rPr>
                <w:lang w:eastAsia="ru-RU"/>
              </w:rPr>
              <w:t>1,0</w:t>
            </w:r>
          </w:p>
        </w:tc>
        <w:tc>
          <w:tcPr>
            <w:tcW w:w="662" w:type="pct"/>
            <w:tcBorders>
              <w:top w:val="nil"/>
              <w:left w:val="nil"/>
              <w:bottom w:val="single" w:sz="4" w:space="0" w:color="000000"/>
              <w:right w:val="single" w:sz="4" w:space="0" w:color="000000"/>
            </w:tcBorders>
            <w:shd w:val="clear" w:color="auto" w:fill="auto"/>
            <w:vAlign w:val="center"/>
            <w:hideMark/>
          </w:tcPr>
          <w:p w14:paraId="6F9F4FC6" w14:textId="77777777" w:rsidR="00E539D7" w:rsidRPr="00727235" w:rsidRDefault="00E539D7" w:rsidP="001E4B2F">
            <w:pPr>
              <w:ind w:firstLine="172"/>
              <w:rPr>
                <w:lang w:eastAsia="ru-RU"/>
              </w:rPr>
            </w:pPr>
            <w:r w:rsidRPr="00727235">
              <w:rPr>
                <w:lang w:eastAsia="ru-RU"/>
              </w:rPr>
              <w:t>Соответствует</w:t>
            </w:r>
          </w:p>
        </w:tc>
      </w:tr>
      <w:tr w:rsidR="00E539D7" w:rsidRPr="00727235" w14:paraId="03D19F81" w14:textId="77777777" w:rsidTr="001E4B2F">
        <w:trPr>
          <w:trHeight w:val="360"/>
        </w:trPr>
        <w:tc>
          <w:tcPr>
            <w:tcW w:w="147" w:type="pct"/>
            <w:tcBorders>
              <w:top w:val="nil"/>
              <w:left w:val="single" w:sz="4" w:space="0" w:color="000000"/>
              <w:bottom w:val="single" w:sz="4" w:space="0" w:color="000000"/>
              <w:right w:val="single" w:sz="4" w:space="0" w:color="000000"/>
            </w:tcBorders>
            <w:shd w:val="clear" w:color="auto" w:fill="auto"/>
            <w:vAlign w:val="center"/>
            <w:hideMark/>
          </w:tcPr>
          <w:p w14:paraId="7F3527AE" w14:textId="77777777" w:rsidR="00E539D7" w:rsidRPr="00727235" w:rsidRDefault="00E539D7" w:rsidP="001E4B2F">
            <w:pPr>
              <w:ind w:firstLine="172"/>
              <w:rPr>
                <w:lang w:eastAsia="ru-RU"/>
              </w:rPr>
            </w:pPr>
            <w:r w:rsidRPr="00727235">
              <w:rPr>
                <w:lang w:eastAsia="ru-RU"/>
              </w:rPr>
              <w:t>3</w:t>
            </w:r>
          </w:p>
        </w:tc>
        <w:tc>
          <w:tcPr>
            <w:tcW w:w="736" w:type="pct"/>
            <w:tcBorders>
              <w:top w:val="nil"/>
              <w:left w:val="nil"/>
              <w:bottom w:val="single" w:sz="4" w:space="0" w:color="000000"/>
              <w:right w:val="single" w:sz="4" w:space="0" w:color="000000"/>
            </w:tcBorders>
            <w:shd w:val="clear" w:color="auto" w:fill="auto"/>
            <w:vAlign w:val="center"/>
            <w:hideMark/>
          </w:tcPr>
          <w:p w14:paraId="35404CBA" w14:textId="77777777" w:rsidR="00E539D7" w:rsidRPr="00727235" w:rsidRDefault="00E539D7" w:rsidP="001E4B2F">
            <w:pPr>
              <w:ind w:firstLine="172"/>
              <w:rPr>
                <w:lang w:eastAsia="ru-RU"/>
              </w:rPr>
            </w:pPr>
            <w:r w:rsidRPr="00727235">
              <w:rPr>
                <w:lang w:eastAsia="ru-RU"/>
              </w:rPr>
              <w:t>экспоненциальная</w:t>
            </w:r>
          </w:p>
        </w:tc>
        <w:tc>
          <w:tcPr>
            <w:tcW w:w="662" w:type="pct"/>
            <w:tcBorders>
              <w:top w:val="nil"/>
              <w:left w:val="nil"/>
              <w:bottom w:val="single" w:sz="4" w:space="0" w:color="000000"/>
              <w:right w:val="single" w:sz="4" w:space="0" w:color="000000"/>
            </w:tcBorders>
            <w:shd w:val="clear" w:color="auto" w:fill="auto"/>
            <w:vAlign w:val="center"/>
          </w:tcPr>
          <w:p w14:paraId="7ECC41A0" w14:textId="77777777" w:rsidR="00E539D7" w:rsidRPr="00727235" w:rsidRDefault="00E539D7" w:rsidP="001E4B2F">
            <w:pPr>
              <w:ind w:firstLine="172"/>
              <w:rPr>
                <w:lang w:eastAsia="ru-RU"/>
              </w:rPr>
            </w:pPr>
            <w:r>
              <w:rPr>
                <w:lang w:eastAsia="ru-RU"/>
              </w:rPr>
              <w:t>3</w:t>
            </w:r>
          </w:p>
        </w:tc>
        <w:tc>
          <w:tcPr>
            <w:tcW w:w="588" w:type="pct"/>
            <w:tcBorders>
              <w:top w:val="nil"/>
              <w:left w:val="nil"/>
              <w:bottom w:val="single" w:sz="4" w:space="0" w:color="000000"/>
              <w:right w:val="single" w:sz="4" w:space="0" w:color="000000"/>
            </w:tcBorders>
            <w:shd w:val="clear" w:color="auto" w:fill="auto"/>
            <w:vAlign w:val="center"/>
          </w:tcPr>
          <w:p w14:paraId="7CFE90F4" w14:textId="08EC0F60" w:rsidR="00E539D7" w:rsidRPr="00727235" w:rsidRDefault="00311405" w:rsidP="00311405">
            <w:pPr>
              <w:ind w:firstLine="172"/>
              <w:rPr>
                <w:lang w:eastAsia="ru-RU"/>
              </w:rPr>
            </w:pPr>
            <w:r>
              <w:rPr>
                <w:lang w:eastAsia="ru-RU"/>
              </w:rPr>
              <w:t>0,68</w:t>
            </w:r>
          </w:p>
        </w:tc>
        <w:tc>
          <w:tcPr>
            <w:tcW w:w="588" w:type="pct"/>
            <w:tcBorders>
              <w:top w:val="nil"/>
              <w:left w:val="nil"/>
              <w:bottom w:val="single" w:sz="4" w:space="0" w:color="000000"/>
              <w:right w:val="single" w:sz="4" w:space="0" w:color="000000"/>
            </w:tcBorders>
            <w:shd w:val="clear" w:color="auto" w:fill="auto"/>
            <w:vAlign w:val="center"/>
          </w:tcPr>
          <w:p w14:paraId="4D0BEE54" w14:textId="29DE1E57" w:rsidR="00E539D7" w:rsidRPr="00727235" w:rsidRDefault="00311405" w:rsidP="001E4B2F">
            <w:pPr>
              <w:ind w:firstLine="172"/>
              <w:rPr>
                <w:lang w:eastAsia="ru-RU"/>
              </w:rPr>
            </w:pPr>
            <w:r>
              <w:rPr>
                <w:lang w:eastAsia="ru-RU"/>
              </w:rPr>
              <w:t>423,37</w:t>
            </w:r>
          </w:p>
        </w:tc>
        <w:tc>
          <w:tcPr>
            <w:tcW w:w="441" w:type="pct"/>
            <w:tcBorders>
              <w:top w:val="nil"/>
              <w:left w:val="nil"/>
              <w:bottom w:val="single" w:sz="4" w:space="0" w:color="000000"/>
              <w:right w:val="single" w:sz="4" w:space="0" w:color="000000"/>
            </w:tcBorders>
            <w:shd w:val="clear" w:color="auto" w:fill="auto"/>
            <w:vAlign w:val="center"/>
            <w:hideMark/>
          </w:tcPr>
          <w:p w14:paraId="5DC2F8EF" w14:textId="77777777" w:rsidR="00E539D7" w:rsidRPr="00727235" w:rsidRDefault="00E539D7" w:rsidP="001E4B2F">
            <w:pPr>
              <w:ind w:firstLine="172"/>
              <w:rPr>
                <w:lang w:eastAsia="ru-RU"/>
              </w:rPr>
            </w:pPr>
            <w:r w:rsidRPr="00727235">
              <w:rPr>
                <w:lang w:eastAsia="ru-RU"/>
              </w:rPr>
              <w:t>3,1</w:t>
            </w:r>
          </w:p>
        </w:tc>
        <w:tc>
          <w:tcPr>
            <w:tcW w:w="661" w:type="pct"/>
            <w:tcBorders>
              <w:top w:val="nil"/>
              <w:left w:val="nil"/>
              <w:bottom w:val="single" w:sz="4" w:space="0" w:color="000000"/>
              <w:right w:val="single" w:sz="4" w:space="0" w:color="000000"/>
            </w:tcBorders>
            <w:shd w:val="clear" w:color="auto" w:fill="auto"/>
            <w:vAlign w:val="center"/>
            <w:hideMark/>
          </w:tcPr>
          <w:p w14:paraId="1BD4E2A9" w14:textId="24360478" w:rsidR="00E539D7" w:rsidRPr="00727235" w:rsidRDefault="00311405" w:rsidP="001E4B2F">
            <w:pPr>
              <w:ind w:firstLine="172"/>
              <w:rPr>
                <w:lang w:eastAsia="ru-RU"/>
              </w:rPr>
            </w:pPr>
            <w:r>
              <w:rPr>
                <w:lang w:eastAsia="ru-RU"/>
              </w:rPr>
              <w:t>5,37</w:t>
            </w:r>
          </w:p>
        </w:tc>
        <w:tc>
          <w:tcPr>
            <w:tcW w:w="515" w:type="pct"/>
            <w:tcBorders>
              <w:top w:val="nil"/>
              <w:left w:val="nil"/>
              <w:bottom w:val="single" w:sz="4" w:space="0" w:color="000000"/>
              <w:right w:val="single" w:sz="4" w:space="0" w:color="000000"/>
            </w:tcBorders>
            <w:shd w:val="clear" w:color="auto" w:fill="auto"/>
            <w:vAlign w:val="center"/>
            <w:hideMark/>
          </w:tcPr>
          <w:p w14:paraId="51082E35" w14:textId="77777777" w:rsidR="00E539D7" w:rsidRPr="00727235" w:rsidRDefault="00E539D7" w:rsidP="001E4B2F">
            <w:pPr>
              <w:ind w:firstLine="172"/>
              <w:rPr>
                <w:lang w:eastAsia="ru-RU"/>
              </w:rPr>
            </w:pPr>
            <w:r>
              <w:rPr>
                <w:lang w:eastAsia="ru-RU"/>
              </w:rPr>
              <w:t>1,0</w:t>
            </w:r>
          </w:p>
        </w:tc>
        <w:tc>
          <w:tcPr>
            <w:tcW w:w="662" w:type="pct"/>
            <w:tcBorders>
              <w:top w:val="nil"/>
              <w:left w:val="nil"/>
              <w:bottom w:val="single" w:sz="4" w:space="0" w:color="000000"/>
              <w:right w:val="single" w:sz="4" w:space="0" w:color="000000"/>
            </w:tcBorders>
            <w:shd w:val="clear" w:color="auto" w:fill="auto"/>
            <w:vAlign w:val="center"/>
            <w:hideMark/>
          </w:tcPr>
          <w:p w14:paraId="41E185AA" w14:textId="77777777" w:rsidR="00E539D7" w:rsidRPr="00727235" w:rsidRDefault="00E539D7" w:rsidP="001E4B2F">
            <w:pPr>
              <w:ind w:firstLine="172"/>
              <w:rPr>
                <w:lang w:eastAsia="ru-RU"/>
              </w:rPr>
            </w:pPr>
            <w:r w:rsidRPr="00727235">
              <w:rPr>
                <w:lang w:eastAsia="ru-RU"/>
              </w:rPr>
              <w:t>Соответствует</w:t>
            </w:r>
          </w:p>
        </w:tc>
      </w:tr>
    </w:tbl>
    <w:p w14:paraId="1BE0DC0D" w14:textId="77777777" w:rsidR="00E539D7" w:rsidRPr="00727235" w:rsidRDefault="00E539D7" w:rsidP="00E539D7">
      <w:pPr>
        <w:rPr>
          <w:lang w:eastAsia="ru-RU"/>
        </w:rPr>
      </w:pPr>
    </w:p>
    <w:p w14:paraId="1C669D71" w14:textId="77777777" w:rsidR="00E539D7" w:rsidRPr="00727235" w:rsidRDefault="00E539D7" w:rsidP="00E539D7">
      <w:r w:rsidRPr="00727235">
        <w:t>Далее проведен анализ качества моделей для статистически значимых моделей.</w:t>
      </w:r>
    </w:p>
    <w:p w14:paraId="27B2ACCD" w14:textId="77777777" w:rsidR="00E539D7" w:rsidRPr="00727235" w:rsidRDefault="00E539D7" w:rsidP="00E539D7">
      <w:pPr>
        <w:rPr>
          <w:lang w:eastAsia="ru-RU"/>
        </w:rPr>
      </w:pPr>
    </w:p>
    <w:p w14:paraId="0C9C0985" w14:textId="4B0E85BD" w:rsidR="00E539D7" w:rsidRDefault="00E539D7" w:rsidP="00311405">
      <w:pPr>
        <w:rPr>
          <w:lang w:eastAsia="ru-RU"/>
        </w:rPr>
      </w:pPr>
      <w:r w:rsidRPr="00727235">
        <w:rPr>
          <w:lang w:eastAsia="ru-RU"/>
        </w:rPr>
        <w:t xml:space="preserve">Таблица </w:t>
      </w:r>
      <w:r w:rsidRPr="00727235">
        <w:rPr>
          <w:lang w:eastAsia="ru-RU"/>
        </w:rPr>
        <w:fldChar w:fldCharType="begin"/>
      </w:r>
      <w:r w:rsidRPr="00727235">
        <w:rPr>
          <w:lang w:eastAsia="ru-RU"/>
        </w:rPr>
        <w:instrText xml:space="preserve"> SEQ Таблица \* ARABIC </w:instrText>
      </w:r>
      <w:r w:rsidRPr="00727235">
        <w:rPr>
          <w:lang w:eastAsia="ru-RU"/>
        </w:rPr>
        <w:fldChar w:fldCharType="separate"/>
      </w:r>
      <w:r w:rsidR="00FD2769">
        <w:rPr>
          <w:noProof/>
          <w:lang w:eastAsia="ru-RU"/>
        </w:rPr>
        <w:t>56</w:t>
      </w:r>
      <w:r w:rsidRPr="00727235">
        <w:rPr>
          <w:lang w:eastAsia="ru-RU"/>
        </w:rPr>
        <w:fldChar w:fldCharType="end"/>
      </w:r>
      <w:r w:rsidRPr="00727235">
        <w:rPr>
          <w:lang w:eastAsia="ru-RU"/>
        </w:rPr>
        <w:t xml:space="preserve"> Анализ качества статистически значимых моделей </w:t>
      </w:r>
      <w:r w:rsidR="00311405">
        <w:rPr>
          <w:lang w:eastAsia="ru-RU"/>
        </w:rPr>
        <w:t xml:space="preserve">группы </w:t>
      </w:r>
      <w:r w:rsidR="00311405" w:rsidRPr="00F154AB">
        <w:rPr>
          <w:rFonts w:eastAsia="Times New Roman" w:cs="Times New Roman"/>
          <w:bCs/>
          <w:color w:val="000000"/>
          <w:szCs w:val="24"/>
          <w:lang w:eastAsia="ru-RU"/>
        </w:rPr>
        <w:t>"1. Многоквартирные дома (дома средне- и многоэтажной жилой застройки)", подгруппа "</w:t>
      </w:r>
      <w:r w:rsidR="000470FD">
        <w:rPr>
          <w:rFonts w:eastAsia="Times New Roman" w:cs="Times New Roman"/>
          <w:bCs/>
          <w:color w:val="000000"/>
          <w:szCs w:val="24"/>
          <w:lang w:eastAsia="ru-RU"/>
        </w:rPr>
        <w:t>Помещения г.Якутск с п/х до 60 кв.м. 1.8</w:t>
      </w:r>
      <w:r w:rsidR="00311405" w:rsidRPr="00F154AB">
        <w:rPr>
          <w:rFonts w:eastAsia="Times New Roman" w:cs="Times New Roman"/>
          <w:bCs/>
          <w:color w:val="000000"/>
          <w:szCs w:val="24"/>
          <w:lang w:eastAsia="ru-RU"/>
        </w:rPr>
        <w:t>".</w:t>
      </w:r>
    </w:p>
    <w:p w14:paraId="1F0260B0" w14:textId="77777777" w:rsidR="00E539D7" w:rsidRPr="00727235" w:rsidRDefault="00E539D7" w:rsidP="00E539D7">
      <w:pPr>
        <w:rPr>
          <w:lang w:eastAsia="ru-RU"/>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7"/>
        <w:gridCol w:w="2345"/>
        <w:gridCol w:w="1520"/>
        <w:gridCol w:w="1544"/>
        <w:gridCol w:w="2003"/>
        <w:gridCol w:w="2117"/>
        <w:gridCol w:w="6"/>
        <w:gridCol w:w="1983"/>
        <w:gridCol w:w="2105"/>
      </w:tblGrid>
      <w:tr w:rsidR="00E539D7" w:rsidRPr="00727235" w14:paraId="1A2687FF" w14:textId="77777777" w:rsidTr="001E4B2F">
        <w:trPr>
          <w:trHeight w:val="795"/>
        </w:trPr>
        <w:tc>
          <w:tcPr>
            <w:tcW w:w="322" w:type="pct"/>
            <w:vMerge w:val="restart"/>
            <w:shd w:val="clear" w:color="auto" w:fill="auto"/>
            <w:vAlign w:val="center"/>
            <w:hideMark/>
          </w:tcPr>
          <w:p w14:paraId="3943F630" w14:textId="77777777" w:rsidR="00E539D7" w:rsidRPr="00727235" w:rsidRDefault="00E539D7" w:rsidP="001E4B2F">
            <w:pPr>
              <w:ind w:firstLine="0"/>
              <w:rPr>
                <w:lang w:eastAsia="ru-RU"/>
              </w:rPr>
            </w:pPr>
            <w:r w:rsidRPr="00727235">
              <w:rPr>
                <w:lang w:eastAsia="ru-RU"/>
              </w:rPr>
              <w:t>№ п/п</w:t>
            </w:r>
          </w:p>
          <w:p w14:paraId="7F485664" w14:textId="77777777" w:rsidR="00E539D7" w:rsidRPr="00727235" w:rsidRDefault="00E539D7" w:rsidP="001E4B2F">
            <w:pPr>
              <w:rPr>
                <w:lang w:eastAsia="ru-RU"/>
              </w:rPr>
            </w:pPr>
            <w:r w:rsidRPr="00727235">
              <w:rPr>
                <w:lang w:eastAsia="ru-RU"/>
              </w:rPr>
              <w:t> </w:t>
            </w:r>
          </w:p>
        </w:tc>
        <w:tc>
          <w:tcPr>
            <w:tcW w:w="805" w:type="pct"/>
            <w:vMerge w:val="restart"/>
            <w:shd w:val="clear" w:color="auto" w:fill="auto"/>
            <w:vAlign w:val="center"/>
            <w:hideMark/>
          </w:tcPr>
          <w:p w14:paraId="15273B0F" w14:textId="77777777" w:rsidR="00E539D7" w:rsidRPr="00727235" w:rsidRDefault="00E539D7" w:rsidP="001E4B2F">
            <w:pPr>
              <w:ind w:firstLine="0"/>
              <w:rPr>
                <w:lang w:eastAsia="ru-RU"/>
              </w:rPr>
            </w:pPr>
            <w:r w:rsidRPr="00727235">
              <w:rPr>
                <w:lang w:eastAsia="ru-RU"/>
              </w:rPr>
              <w:t>Название статистически значимой модели</w:t>
            </w:r>
          </w:p>
          <w:p w14:paraId="1D116453" w14:textId="77777777" w:rsidR="00E539D7" w:rsidRPr="00727235" w:rsidRDefault="00E539D7" w:rsidP="001E4B2F">
            <w:pPr>
              <w:rPr>
                <w:lang w:eastAsia="ru-RU"/>
              </w:rPr>
            </w:pPr>
            <w:r w:rsidRPr="00727235">
              <w:rPr>
                <w:lang w:eastAsia="ru-RU"/>
              </w:rPr>
              <w:t> </w:t>
            </w:r>
          </w:p>
        </w:tc>
        <w:tc>
          <w:tcPr>
            <w:tcW w:w="1052" w:type="pct"/>
            <w:gridSpan w:val="2"/>
            <w:shd w:val="clear" w:color="auto" w:fill="auto"/>
            <w:vAlign w:val="center"/>
            <w:hideMark/>
          </w:tcPr>
          <w:p w14:paraId="3F428EA2" w14:textId="77777777" w:rsidR="00E539D7" w:rsidRPr="00727235" w:rsidRDefault="00E539D7" w:rsidP="001E4B2F">
            <w:pPr>
              <w:ind w:firstLine="0"/>
              <w:rPr>
                <w:lang w:eastAsia="ru-RU"/>
              </w:rPr>
            </w:pPr>
            <w:r w:rsidRPr="00727235">
              <w:rPr>
                <w:lang w:eastAsia="ru-RU"/>
              </w:rPr>
              <w:t>Линейная модель</w:t>
            </w:r>
          </w:p>
        </w:tc>
        <w:tc>
          <w:tcPr>
            <w:tcW w:w="1417" w:type="pct"/>
            <w:gridSpan w:val="3"/>
            <w:shd w:val="clear" w:color="auto" w:fill="auto"/>
            <w:vAlign w:val="center"/>
            <w:hideMark/>
          </w:tcPr>
          <w:p w14:paraId="7766A574" w14:textId="77777777" w:rsidR="00E539D7" w:rsidRPr="00727235" w:rsidRDefault="00E539D7" w:rsidP="001E4B2F">
            <w:pPr>
              <w:ind w:firstLine="0"/>
              <w:rPr>
                <w:lang w:eastAsia="ru-RU"/>
              </w:rPr>
            </w:pPr>
            <w:r w:rsidRPr="00727235">
              <w:rPr>
                <w:lang w:eastAsia="ru-RU"/>
              </w:rPr>
              <w:t>Мультипликативная модель</w:t>
            </w:r>
          </w:p>
        </w:tc>
        <w:tc>
          <w:tcPr>
            <w:tcW w:w="1404" w:type="pct"/>
            <w:gridSpan w:val="2"/>
            <w:shd w:val="clear" w:color="auto" w:fill="auto"/>
            <w:vAlign w:val="center"/>
            <w:hideMark/>
          </w:tcPr>
          <w:p w14:paraId="37E653B8" w14:textId="77777777" w:rsidR="00E539D7" w:rsidRPr="00727235" w:rsidRDefault="00E539D7" w:rsidP="001E4B2F">
            <w:pPr>
              <w:ind w:firstLine="0"/>
              <w:rPr>
                <w:lang w:eastAsia="ru-RU"/>
              </w:rPr>
            </w:pPr>
            <w:r w:rsidRPr="00727235">
              <w:rPr>
                <w:lang w:eastAsia="ru-RU"/>
              </w:rPr>
              <w:t>Экспоненциальная модель</w:t>
            </w:r>
          </w:p>
        </w:tc>
      </w:tr>
      <w:tr w:rsidR="00E539D7" w:rsidRPr="00727235" w14:paraId="1378BEF7" w14:textId="77777777" w:rsidTr="001E4B2F">
        <w:trPr>
          <w:trHeight w:val="765"/>
        </w:trPr>
        <w:tc>
          <w:tcPr>
            <w:tcW w:w="322" w:type="pct"/>
            <w:vMerge/>
            <w:shd w:val="clear" w:color="auto" w:fill="auto"/>
            <w:vAlign w:val="center"/>
            <w:hideMark/>
          </w:tcPr>
          <w:p w14:paraId="533C066C" w14:textId="77777777" w:rsidR="00E539D7" w:rsidRPr="00727235" w:rsidRDefault="00E539D7" w:rsidP="001E4B2F">
            <w:pPr>
              <w:ind w:firstLine="0"/>
              <w:rPr>
                <w:lang w:eastAsia="ru-RU"/>
              </w:rPr>
            </w:pPr>
          </w:p>
        </w:tc>
        <w:tc>
          <w:tcPr>
            <w:tcW w:w="805" w:type="pct"/>
            <w:vMerge/>
            <w:shd w:val="clear" w:color="auto" w:fill="auto"/>
            <w:vAlign w:val="center"/>
            <w:hideMark/>
          </w:tcPr>
          <w:p w14:paraId="40CF2D55" w14:textId="77777777" w:rsidR="00E539D7" w:rsidRPr="00727235" w:rsidRDefault="00E539D7" w:rsidP="001E4B2F">
            <w:pPr>
              <w:ind w:firstLine="0"/>
              <w:rPr>
                <w:lang w:eastAsia="ru-RU"/>
              </w:rPr>
            </w:pPr>
          </w:p>
        </w:tc>
        <w:tc>
          <w:tcPr>
            <w:tcW w:w="522" w:type="pct"/>
            <w:shd w:val="clear" w:color="auto" w:fill="auto"/>
            <w:vAlign w:val="center"/>
            <w:hideMark/>
          </w:tcPr>
          <w:p w14:paraId="670AF662" w14:textId="77777777" w:rsidR="00E539D7" w:rsidRPr="00727235" w:rsidRDefault="00E539D7" w:rsidP="001E4B2F">
            <w:pPr>
              <w:ind w:firstLine="0"/>
              <w:rPr>
                <w:lang w:eastAsia="ru-RU"/>
              </w:rPr>
            </w:pPr>
            <w:r w:rsidRPr="00727235">
              <w:rPr>
                <w:lang w:eastAsia="ru-RU"/>
              </w:rPr>
              <w:t>Обучающая выборка</w:t>
            </w:r>
          </w:p>
        </w:tc>
        <w:tc>
          <w:tcPr>
            <w:tcW w:w="530" w:type="pct"/>
            <w:shd w:val="clear" w:color="auto" w:fill="auto"/>
            <w:vAlign w:val="center"/>
            <w:hideMark/>
          </w:tcPr>
          <w:p w14:paraId="2A9B0C02" w14:textId="77777777" w:rsidR="00E539D7" w:rsidRPr="00727235" w:rsidRDefault="00E539D7" w:rsidP="001E4B2F">
            <w:pPr>
              <w:ind w:firstLine="0"/>
              <w:rPr>
                <w:lang w:eastAsia="ru-RU"/>
              </w:rPr>
            </w:pPr>
            <w:r w:rsidRPr="00727235">
              <w:rPr>
                <w:lang w:eastAsia="ru-RU"/>
              </w:rPr>
              <w:t>Контрольная выборка</w:t>
            </w:r>
          </w:p>
        </w:tc>
        <w:tc>
          <w:tcPr>
            <w:tcW w:w="688" w:type="pct"/>
            <w:shd w:val="clear" w:color="auto" w:fill="auto"/>
            <w:vAlign w:val="center"/>
            <w:hideMark/>
          </w:tcPr>
          <w:p w14:paraId="19286C9D" w14:textId="77777777" w:rsidR="00E539D7" w:rsidRPr="00727235" w:rsidRDefault="00E539D7" w:rsidP="001E4B2F">
            <w:pPr>
              <w:ind w:firstLine="0"/>
              <w:rPr>
                <w:lang w:eastAsia="ru-RU"/>
              </w:rPr>
            </w:pPr>
            <w:r w:rsidRPr="00727235">
              <w:rPr>
                <w:lang w:eastAsia="ru-RU"/>
              </w:rPr>
              <w:t>Обучающая выборка</w:t>
            </w:r>
          </w:p>
        </w:tc>
        <w:tc>
          <w:tcPr>
            <w:tcW w:w="727" w:type="pct"/>
            <w:shd w:val="clear" w:color="auto" w:fill="auto"/>
            <w:vAlign w:val="center"/>
            <w:hideMark/>
          </w:tcPr>
          <w:p w14:paraId="3EDB8C3E" w14:textId="77777777" w:rsidR="00E539D7" w:rsidRPr="00727235" w:rsidRDefault="00E539D7" w:rsidP="001E4B2F">
            <w:pPr>
              <w:ind w:firstLine="0"/>
              <w:rPr>
                <w:lang w:eastAsia="ru-RU"/>
              </w:rPr>
            </w:pPr>
            <w:r w:rsidRPr="00727235">
              <w:rPr>
                <w:lang w:eastAsia="ru-RU"/>
              </w:rPr>
              <w:t>Контрольная выборка</w:t>
            </w:r>
          </w:p>
        </w:tc>
        <w:tc>
          <w:tcPr>
            <w:tcW w:w="683" w:type="pct"/>
            <w:gridSpan w:val="2"/>
            <w:shd w:val="clear" w:color="auto" w:fill="auto"/>
            <w:vAlign w:val="center"/>
            <w:hideMark/>
          </w:tcPr>
          <w:p w14:paraId="079FEBC3" w14:textId="77777777" w:rsidR="00E539D7" w:rsidRPr="00727235" w:rsidRDefault="00E539D7" w:rsidP="001E4B2F">
            <w:pPr>
              <w:ind w:firstLine="0"/>
              <w:rPr>
                <w:lang w:eastAsia="ru-RU"/>
              </w:rPr>
            </w:pPr>
            <w:r w:rsidRPr="00727235">
              <w:rPr>
                <w:lang w:eastAsia="ru-RU"/>
              </w:rPr>
              <w:t>Обучающая выборка</w:t>
            </w:r>
          </w:p>
        </w:tc>
        <w:tc>
          <w:tcPr>
            <w:tcW w:w="723" w:type="pct"/>
            <w:shd w:val="clear" w:color="auto" w:fill="auto"/>
            <w:vAlign w:val="center"/>
            <w:hideMark/>
          </w:tcPr>
          <w:p w14:paraId="1D244506" w14:textId="77777777" w:rsidR="00E539D7" w:rsidRPr="00727235" w:rsidRDefault="00E539D7" w:rsidP="001E4B2F">
            <w:pPr>
              <w:ind w:firstLine="0"/>
              <w:rPr>
                <w:lang w:eastAsia="ru-RU"/>
              </w:rPr>
            </w:pPr>
            <w:r w:rsidRPr="00727235">
              <w:rPr>
                <w:lang w:eastAsia="ru-RU"/>
              </w:rPr>
              <w:t>Контрольная выборка</w:t>
            </w:r>
          </w:p>
        </w:tc>
      </w:tr>
      <w:tr w:rsidR="00E539D7" w:rsidRPr="00727235" w14:paraId="7ACCCB88" w14:textId="77777777" w:rsidTr="001E4B2F">
        <w:trPr>
          <w:trHeight w:val="360"/>
        </w:trPr>
        <w:tc>
          <w:tcPr>
            <w:tcW w:w="322" w:type="pct"/>
            <w:shd w:val="clear" w:color="auto" w:fill="auto"/>
            <w:hideMark/>
          </w:tcPr>
          <w:p w14:paraId="1A42BDA9" w14:textId="77777777" w:rsidR="00E539D7" w:rsidRPr="00727235" w:rsidRDefault="00E539D7" w:rsidP="001E4B2F">
            <w:pPr>
              <w:ind w:firstLine="0"/>
              <w:rPr>
                <w:lang w:eastAsia="ru-RU"/>
              </w:rPr>
            </w:pPr>
            <w:r w:rsidRPr="00727235">
              <w:rPr>
                <w:lang w:eastAsia="ru-RU"/>
              </w:rPr>
              <w:t>01</w:t>
            </w:r>
          </w:p>
        </w:tc>
        <w:tc>
          <w:tcPr>
            <w:tcW w:w="805" w:type="pct"/>
            <w:shd w:val="clear" w:color="auto" w:fill="auto"/>
            <w:vAlign w:val="center"/>
            <w:hideMark/>
          </w:tcPr>
          <w:p w14:paraId="0D72AB27" w14:textId="77777777" w:rsidR="00E539D7" w:rsidRPr="00727235" w:rsidRDefault="00E539D7" w:rsidP="001E4B2F">
            <w:pPr>
              <w:ind w:firstLine="0"/>
              <w:rPr>
                <w:lang w:eastAsia="ru-RU"/>
              </w:rPr>
            </w:pPr>
            <w:r w:rsidRPr="00727235">
              <w:rPr>
                <w:lang w:eastAsia="ru-RU"/>
              </w:rPr>
              <w:t>02</w:t>
            </w:r>
          </w:p>
        </w:tc>
        <w:tc>
          <w:tcPr>
            <w:tcW w:w="522" w:type="pct"/>
            <w:shd w:val="clear" w:color="auto" w:fill="auto"/>
            <w:vAlign w:val="center"/>
            <w:hideMark/>
          </w:tcPr>
          <w:p w14:paraId="031CB7D6" w14:textId="77777777" w:rsidR="00E539D7" w:rsidRPr="00727235" w:rsidRDefault="00E539D7" w:rsidP="001E4B2F">
            <w:pPr>
              <w:ind w:firstLine="0"/>
              <w:rPr>
                <w:lang w:eastAsia="ru-RU"/>
              </w:rPr>
            </w:pPr>
            <w:r w:rsidRPr="00727235">
              <w:rPr>
                <w:lang w:eastAsia="ru-RU"/>
              </w:rPr>
              <w:t>03</w:t>
            </w:r>
          </w:p>
        </w:tc>
        <w:tc>
          <w:tcPr>
            <w:tcW w:w="530" w:type="pct"/>
            <w:shd w:val="clear" w:color="auto" w:fill="auto"/>
            <w:vAlign w:val="center"/>
            <w:hideMark/>
          </w:tcPr>
          <w:p w14:paraId="7FC536D9" w14:textId="77777777" w:rsidR="00E539D7" w:rsidRPr="00727235" w:rsidRDefault="00E539D7" w:rsidP="001E4B2F">
            <w:pPr>
              <w:ind w:firstLine="0"/>
              <w:rPr>
                <w:lang w:eastAsia="ru-RU"/>
              </w:rPr>
            </w:pPr>
            <w:r w:rsidRPr="00727235">
              <w:rPr>
                <w:lang w:eastAsia="ru-RU"/>
              </w:rPr>
              <w:t>04</w:t>
            </w:r>
          </w:p>
        </w:tc>
        <w:tc>
          <w:tcPr>
            <w:tcW w:w="688" w:type="pct"/>
            <w:shd w:val="clear" w:color="auto" w:fill="auto"/>
            <w:vAlign w:val="center"/>
            <w:hideMark/>
          </w:tcPr>
          <w:p w14:paraId="4BD6262F" w14:textId="77777777" w:rsidR="00E539D7" w:rsidRPr="00727235" w:rsidRDefault="00E539D7" w:rsidP="001E4B2F">
            <w:pPr>
              <w:ind w:firstLine="0"/>
              <w:rPr>
                <w:lang w:eastAsia="ru-RU"/>
              </w:rPr>
            </w:pPr>
            <w:r w:rsidRPr="00727235">
              <w:rPr>
                <w:lang w:eastAsia="ru-RU"/>
              </w:rPr>
              <w:t>05</w:t>
            </w:r>
          </w:p>
        </w:tc>
        <w:tc>
          <w:tcPr>
            <w:tcW w:w="727" w:type="pct"/>
            <w:shd w:val="clear" w:color="auto" w:fill="auto"/>
            <w:vAlign w:val="center"/>
            <w:hideMark/>
          </w:tcPr>
          <w:p w14:paraId="7183B383" w14:textId="77777777" w:rsidR="00E539D7" w:rsidRPr="00727235" w:rsidRDefault="00E539D7" w:rsidP="001E4B2F">
            <w:pPr>
              <w:ind w:firstLine="0"/>
              <w:rPr>
                <w:lang w:eastAsia="ru-RU"/>
              </w:rPr>
            </w:pPr>
            <w:r w:rsidRPr="00727235">
              <w:rPr>
                <w:lang w:eastAsia="ru-RU"/>
              </w:rPr>
              <w:t>06</w:t>
            </w:r>
          </w:p>
        </w:tc>
        <w:tc>
          <w:tcPr>
            <w:tcW w:w="683" w:type="pct"/>
            <w:gridSpan w:val="2"/>
            <w:shd w:val="clear" w:color="auto" w:fill="auto"/>
            <w:vAlign w:val="center"/>
            <w:hideMark/>
          </w:tcPr>
          <w:p w14:paraId="648A8BA5" w14:textId="77777777" w:rsidR="00E539D7" w:rsidRPr="00727235" w:rsidRDefault="00E539D7" w:rsidP="001E4B2F">
            <w:pPr>
              <w:ind w:firstLine="0"/>
              <w:rPr>
                <w:lang w:eastAsia="ru-RU"/>
              </w:rPr>
            </w:pPr>
            <w:r w:rsidRPr="00727235">
              <w:rPr>
                <w:lang w:eastAsia="ru-RU"/>
              </w:rPr>
              <w:t>07</w:t>
            </w:r>
          </w:p>
        </w:tc>
        <w:tc>
          <w:tcPr>
            <w:tcW w:w="723" w:type="pct"/>
            <w:shd w:val="clear" w:color="auto" w:fill="auto"/>
            <w:vAlign w:val="center"/>
            <w:hideMark/>
          </w:tcPr>
          <w:p w14:paraId="321C17E0" w14:textId="77777777" w:rsidR="00E539D7" w:rsidRPr="00727235" w:rsidRDefault="00E539D7" w:rsidP="001E4B2F">
            <w:pPr>
              <w:ind w:firstLine="0"/>
              <w:rPr>
                <w:lang w:eastAsia="ru-RU"/>
              </w:rPr>
            </w:pPr>
            <w:r w:rsidRPr="00727235">
              <w:rPr>
                <w:lang w:eastAsia="ru-RU"/>
              </w:rPr>
              <w:t>08</w:t>
            </w:r>
          </w:p>
        </w:tc>
      </w:tr>
      <w:tr w:rsidR="00311405" w:rsidRPr="00727235" w14:paraId="636E3F36" w14:textId="77777777" w:rsidTr="004D5078">
        <w:trPr>
          <w:trHeight w:val="600"/>
        </w:trPr>
        <w:tc>
          <w:tcPr>
            <w:tcW w:w="322" w:type="pct"/>
            <w:shd w:val="clear" w:color="auto" w:fill="auto"/>
            <w:vAlign w:val="center"/>
            <w:hideMark/>
          </w:tcPr>
          <w:p w14:paraId="1DA91479" w14:textId="77777777" w:rsidR="00311405" w:rsidRPr="00727235" w:rsidRDefault="00311405" w:rsidP="00311405">
            <w:pPr>
              <w:ind w:firstLine="0"/>
              <w:rPr>
                <w:lang w:eastAsia="ru-RU"/>
              </w:rPr>
            </w:pPr>
            <w:r w:rsidRPr="00727235">
              <w:rPr>
                <w:lang w:eastAsia="ru-RU"/>
              </w:rPr>
              <w:t>1</w:t>
            </w:r>
          </w:p>
        </w:tc>
        <w:tc>
          <w:tcPr>
            <w:tcW w:w="805" w:type="pct"/>
            <w:shd w:val="clear" w:color="auto" w:fill="auto"/>
            <w:vAlign w:val="center"/>
            <w:hideMark/>
          </w:tcPr>
          <w:p w14:paraId="7A83275E" w14:textId="77777777" w:rsidR="00311405" w:rsidRPr="00727235" w:rsidRDefault="00311405" w:rsidP="00311405">
            <w:pPr>
              <w:ind w:firstLine="0"/>
              <w:rPr>
                <w:lang w:eastAsia="ru-RU"/>
              </w:rPr>
            </w:pPr>
            <w:r w:rsidRPr="00727235">
              <w:rPr>
                <w:lang w:eastAsia="ru-RU"/>
              </w:rPr>
              <w:t>Средняя относительная погрешность оценки</w:t>
            </w:r>
          </w:p>
        </w:tc>
        <w:tc>
          <w:tcPr>
            <w:tcW w:w="522" w:type="pct"/>
            <w:shd w:val="clear" w:color="auto" w:fill="auto"/>
            <w:hideMark/>
          </w:tcPr>
          <w:p w14:paraId="148A30F2" w14:textId="00493BFD" w:rsidR="00311405" w:rsidRPr="00727235" w:rsidRDefault="00311405" w:rsidP="00311405">
            <w:pPr>
              <w:ind w:firstLine="0"/>
              <w:rPr>
                <w:lang w:eastAsia="ru-RU"/>
              </w:rPr>
            </w:pPr>
            <w:r w:rsidRPr="003C54B4">
              <w:t>5,3</w:t>
            </w:r>
          </w:p>
        </w:tc>
        <w:tc>
          <w:tcPr>
            <w:tcW w:w="530" w:type="pct"/>
            <w:shd w:val="clear" w:color="auto" w:fill="auto"/>
            <w:hideMark/>
          </w:tcPr>
          <w:p w14:paraId="148467B1" w14:textId="4BDB862B" w:rsidR="00311405" w:rsidRPr="00727235" w:rsidRDefault="00311405" w:rsidP="00311405">
            <w:pPr>
              <w:ind w:firstLine="0"/>
              <w:rPr>
                <w:lang w:eastAsia="ru-RU"/>
              </w:rPr>
            </w:pPr>
            <w:r w:rsidRPr="003C54B4">
              <w:t>5,11</w:t>
            </w:r>
          </w:p>
        </w:tc>
        <w:tc>
          <w:tcPr>
            <w:tcW w:w="688" w:type="pct"/>
            <w:shd w:val="clear" w:color="auto" w:fill="auto"/>
            <w:hideMark/>
          </w:tcPr>
          <w:p w14:paraId="368AB87C" w14:textId="69CE5A9D" w:rsidR="00311405" w:rsidRPr="00727235" w:rsidRDefault="00311405" w:rsidP="00311405">
            <w:pPr>
              <w:ind w:firstLine="0"/>
              <w:rPr>
                <w:lang w:eastAsia="ru-RU"/>
              </w:rPr>
            </w:pPr>
            <w:r w:rsidRPr="003C54B4">
              <w:t>5,24</w:t>
            </w:r>
          </w:p>
        </w:tc>
        <w:tc>
          <w:tcPr>
            <w:tcW w:w="727" w:type="pct"/>
            <w:shd w:val="clear" w:color="auto" w:fill="auto"/>
            <w:hideMark/>
          </w:tcPr>
          <w:p w14:paraId="02D435F5" w14:textId="728005FD" w:rsidR="00311405" w:rsidRPr="00727235" w:rsidRDefault="00311405" w:rsidP="00311405">
            <w:pPr>
              <w:ind w:firstLine="0"/>
              <w:rPr>
                <w:lang w:eastAsia="ru-RU"/>
              </w:rPr>
            </w:pPr>
            <w:r w:rsidRPr="003C54B4">
              <w:t>5,04</w:t>
            </w:r>
          </w:p>
        </w:tc>
        <w:tc>
          <w:tcPr>
            <w:tcW w:w="683" w:type="pct"/>
            <w:gridSpan w:val="2"/>
            <w:shd w:val="clear" w:color="auto" w:fill="auto"/>
            <w:hideMark/>
          </w:tcPr>
          <w:p w14:paraId="2226A15E" w14:textId="2DE63749" w:rsidR="00311405" w:rsidRPr="00727235" w:rsidRDefault="00311405" w:rsidP="00311405">
            <w:pPr>
              <w:ind w:firstLine="0"/>
              <w:rPr>
                <w:lang w:eastAsia="ru-RU"/>
              </w:rPr>
            </w:pPr>
            <w:r w:rsidRPr="003C54B4">
              <w:t>5,48</w:t>
            </w:r>
          </w:p>
        </w:tc>
        <w:tc>
          <w:tcPr>
            <w:tcW w:w="723" w:type="pct"/>
            <w:shd w:val="clear" w:color="auto" w:fill="auto"/>
            <w:hideMark/>
          </w:tcPr>
          <w:p w14:paraId="3F0950D1" w14:textId="049E4605" w:rsidR="00311405" w:rsidRPr="00727235" w:rsidRDefault="00311405" w:rsidP="00311405">
            <w:pPr>
              <w:ind w:firstLine="0"/>
              <w:rPr>
                <w:lang w:eastAsia="ru-RU"/>
              </w:rPr>
            </w:pPr>
            <w:r w:rsidRPr="003C54B4">
              <w:t>5,26</w:t>
            </w:r>
          </w:p>
        </w:tc>
      </w:tr>
      <w:tr w:rsidR="00311405" w:rsidRPr="00727235" w14:paraId="2EF9789E" w14:textId="77777777" w:rsidTr="004D5078">
        <w:trPr>
          <w:trHeight w:val="360"/>
        </w:trPr>
        <w:tc>
          <w:tcPr>
            <w:tcW w:w="322" w:type="pct"/>
            <w:shd w:val="clear" w:color="auto" w:fill="auto"/>
            <w:vAlign w:val="center"/>
            <w:hideMark/>
          </w:tcPr>
          <w:p w14:paraId="177BD9EE" w14:textId="77777777" w:rsidR="00311405" w:rsidRPr="00727235" w:rsidRDefault="00311405" w:rsidP="00311405">
            <w:pPr>
              <w:ind w:firstLine="0"/>
              <w:rPr>
                <w:lang w:eastAsia="ru-RU"/>
              </w:rPr>
            </w:pPr>
            <w:r w:rsidRPr="00727235">
              <w:rPr>
                <w:lang w:eastAsia="ru-RU"/>
              </w:rPr>
              <w:t>2</w:t>
            </w:r>
          </w:p>
        </w:tc>
        <w:tc>
          <w:tcPr>
            <w:tcW w:w="805" w:type="pct"/>
            <w:shd w:val="clear" w:color="auto" w:fill="auto"/>
            <w:vAlign w:val="center"/>
            <w:hideMark/>
          </w:tcPr>
          <w:p w14:paraId="056434BD" w14:textId="77777777" w:rsidR="00311405" w:rsidRPr="00727235" w:rsidRDefault="00311405" w:rsidP="00311405">
            <w:pPr>
              <w:ind w:firstLine="0"/>
              <w:rPr>
                <w:lang w:eastAsia="ru-RU"/>
              </w:rPr>
            </w:pPr>
            <w:r w:rsidRPr="00727235">
              <w:rPr>
                <w:lang w:eastAsia="ru-RU"/>
              </w:rPr>
              <w:t>Коэффициент детерминации</w:t>
            </w:r>
          </w:p>
        </w:tc>
        <w:tc>
          <w:tcPr>
            <w:tcW w:w="522" w:type="pct"/>
            <w:shd w:val="clear" w:color="auto" w:fill="auto"/>
            <w:hideMark/>
          </w:tcPr>
          <w:p w14:paraId="7047EFC1" w14:textId="21A98FCD" w:rsidR="00311405" w:rsidRPr="00727235" w:rsidRDefault="00311405" w:rsidP="00311405">
            <w:pPr>
              <w:ind w:firstLine="0"/>
              <w:rPr>
                <w:lang w:eastAsia="ru-RU"/>
              </w:rPr>
            </w:pPr>
            <w:r w:rsidRPr="003C54B4">
              <w:t>0,67</w:t>
            </w:r>
          </w:p>
        </w:tc>
        <w:tc>
          <w:tcPr>
            <w:tcW w:w="530" w:type="pct"/>
            <w:shd w:val="clear" w:color="auto" w:fill="auto"/>
            <w:hideMark/>
          </w:tcPr>
          <w:p w14:paraId="12C5A8B1" w14:textId="3AC3D3FC" w:rsidR="00311405" w:rsidRPr="00727235" w:rsidRDefault="00311405" w:rsidP="00311405">
            <w:pPr>
              <w:ind w:firstLine="0"/>
              <w:rPr>
                <w:lang w:eastAsia="ru-RU"/>
              </w:rPr>
            </w:pPr>
            <w:r w:rsidRPr="003C54B4">
              <w:t>0,7</w:t>
            </w:r>
          </w:p>
        </w:tc>
        <w:tc>
          <w:tcPr>
            <w:tcW w:w="688" w:type="pct"/>
            <w:shd w:val="clear" w:color="auto" w:fill="auto"/>
            <w:hideMark/>
          </w:tcPr>
          <w:p w14:paraId="43E53F3B" w14:textId="1FCDCFB6" w:rsidR="00311405" w:rsidRPr="00727235" w:rsidRDefault="00311405" w:rsidP="00311405">
            <w:pPr>
              <w:ind w:firstLine="0"/>
              <w:rPr>
                <w:lang w:eastAsia="ru-RU"/>
              </w:rPr>
            </w:pPr>
            <w:r w:rsidRPr="003C54B4">
              <w:t>0,68</w:t>
            </w:r>
          </w:p>
        </w:tc>
        <w:tc>
          <w:tcPr>
            <w:tcW w:w="727" w:type="pct"/>
            <w:shd w:val="clear" w:color="auto" w:fill="auto"/>
            <w:hideMark/>
          </w:tcPr>
          <w:p w14:paraId="4CB7855D" w14:textId="45F7D323" w:rsidR="00311405" w:rsidRPr="00727235" w:rsidRDefault="00311405" w:rsidP="00311405">
            <w:pPr>
              <w:ind w:firstLine="0"/>
              <w:rPr>
                <w:lang w:eastAsia="ru-RU"/>
              </w:rPr>
            </w:pPr>
            <w:r w:rsidRPr="003C54B4">
              <w:t>0,71</w:t>
            </w:r>
          </w:p>
        </w:tc>
        <w:tc>
          <w:tcPr>
            <w:tcW w:w="683" w:type="pct"/>
            <w:gridSpan w:val="2"/>
            <w:shd w:val="clear" w:color="auto" w:fill="auto"/>
            <w:hideMark/>
          </w:tcPr>
          <w:p w14:paraId="37840CD7" w14:textId="73589F7D" w:rsidR="00311405" w:rsidRPr="00727235" w:rsidRDefault="00311405" w:rsidP="00311405">
            <w:pPr>
              <w:ind w:firstLine="0"/>
              <w:rPr>
                <w:lang w:eastAsia="ru-RU"/>
              </w:rPr>
            </w:pPr>
            <w:r w:rsidRPr="003C54B4">
              <w:t>0,65</w:t>
            </w:r>
          </w:p>
        </w:tc>
        <w:tc>
          <w:tcPr>
            <w:tcW w:w="723" w:type="pct"/>
            <w:shd w:val="clear" w:color="auto" w:fill="auto"/>
            <w:hideMark/>
          </w:tcPr>
          <w:p w14:paraId="5FED5597" w14:textId="4885144E" w:rsidR="00311405" w:rsidRPr="00727235" w:rsidRDefault="00311405" w:rsidP="00311405">
            <w:pPr>
              <w:ind w:firstLine="0"/>
              <w:rPr>
                <w:lang w:eastAsia="ru-RU"/>
              </w:rPr>
            </w:pPr>
            <w:r w:rsidRPr="003C54B4">
              <w:t>0,68</w:t>
            </w:r>
          </w:p>
        </w:tc>
      </w:tr>
      <w:tr w:rsidR="00311405" w:rsidRPr="00727235" w14:paraId="2D4F7748" w14:textId="77777777" w:rsidTr="004D5078">
        <w:trPr>
          <w:trHeight w:val="360"/>
        </w:trPr>
        <w:tc>
          <w:tcPr>
            <w:tcW w:w="322" w:type="pct"/>
            <w:shd w:val="clear" w:color="auto" w:fill="auto"/>
            <w:vAlign w:val="center"/>
            <w:hideMark/>
          </w:tcPr>
          <w:p w14:paraId="33951B6B" w14:textId="77777777" w:rsidR="00311405" w:rsidRPr="00727235" w:rsidRDefault="00311405" w:rsidP="00311405">
            <w:pPr>
              <w:ind w:firstLine="0"/>
              <w:rPr>
                <w:lang w:eastAsia="ru-RU"/>
              </w:rPr>
            </w:pPr>
            <w:r w:rsidRPr="00727235">
              <w:rPr>
                <w:lang w:eastAsia="ru-RU"/>
              </w:rPr>
              <w:t>3</w:t>
            </w:r>
          </w:p>
        </w:tc>
        <w:tc>
          <w:tcPr>
            <w:tcW w:w="805" w:type="pct"/>
            <w:shd w:val="clear" w:color="auto" w:fill="auto"/>
            <w:vAlign w:val="center"/>
            <w:hideMark/>
          </w:tcPr>
          <w:p w14:paraId="7A499F6D" w14:textId="77777777" w:rsidR="00311405" w:rsidRPr="00727235" w:rsidRDefault="00311405" w:rsidP="00311405">
            <w:pPr>
              <w:ind w:firstLine="0"/>
              <w:rPr>
                <w:lang w:eastAsia="ru-RU"/>
              </w:rPr>
            </w:pPr>
            <w:r w:rsidRPr="00727235">
              <w:rPr>
                <w:lang w:eastAsia="ru-RU"/>
              </w:rPr>
              <w:t>Среднеквадратичная ошибка оценки</w:t>
            </w:r>
          </w:p>
        </w:tc>
        <w:tc>
          <w:tcPr>
            <w:tcW w:w="522" w:type="pct"/>
            <w:shd w:val="clear" w:color="auto" w:fill="auto"/>
            <w:hideMark/>
          </w:tcPr>
          <w:p w14:paraId="75760457" w14:textId="33500ACE" w:rsidR="00311405" w:rsidRPr="00727235" w:rsidRDefault="00311405" w:rsidP="00311405">
            <w:pPr>
              <w:ind w:firstLine="0"/>
              <w:rPr>
                <w:lang w:eastAsia="ru-RU"/>
              </w:rPr>
            </w:pPr>
            <w:r w:rsidRPr="003C54B4">
              <w:t>6,24</w:t>
            </w:r>
          </w:p>
        </w:tc>
        <w:tc>
          <w:tcPr>
            <w:tcW w:w="530" w:type="pct"/>
            <w:shd w:val="clear" w:color="auto" w:fill="auto"/>
            <w:hideMark/>
          </w:tcPr>
          <w:p w14:paraId="4B91859A" w14:textId="4E5BD2FA" w:rsidR="00311405" w:rsidRPr="00727235" w:rsidRDefault="00311405" w:rsidP="00311405">
            <w:pPr>
              <w:ind w:firstLine="0"/>
              <w:rPr>
                <w:lang w:eastAsia="ru-RU"/>
              </w:rPr>
            </w:pPr>
            <w:r w:rsidRPr="003C54B4">
              <w:t>6</w:t>
            </w:r>
          </w:p>
        </w:tc>
        <w:tc>
          <w:tcPr>
            <w:tcW w:w="688" w:type="pct"/>
            <w:shd w:val="clear" w:color="auto" w:fill="auto"/>
            <w:hideMark/>
          </w:tcPr>
          <w:p w14:paraId="28BF327F" w14:textId="729A3520" w:rsidR="00311405" w:rsidRPr="00727235" w:rsidRDefault="00311405" w:rsidP="00311405">
            <w:pPr>
              <w:ind w:firstLine="0"/>
              <w:rPr>
                <w:lang w:eastAsia="ru-RU"/>
              </w:rPr>
            </w:pPr>
            <w:r w:rsidRPr="003C54B4">
              <w:t>6,16</w:t>
            </w:r>
          </w:p>
        </w:tc>
        <w:tc>
          <w:tcPr>
            <w:tcW w:w="727" w:type="pct"/>
            <w:shd w:val="clear" w:color="auto" w:fill="auto"/>
            <w:hideMark/>
          </w:tcPr>
          <w:p w14:paraId="4A010BE7" w14:textId="7064FBF1" w:rsidR="00311405" w:rsidRPr="00727235" w:rsidRDefault="00311405" w:rsidP="00311405">
            <w:pPr>
              <w:ind w:firstLine="0"/>
              <w:rPr>
                <w:lang w:eastAsia="ru-RU"/>
              </w:rPr>
            </w:pPr>
            <w:r w:rsidRPr="003C54B4">
              <w:t>5,9</w:t>
            </w:r>
          </w:p>
        </w:tc>
        <w:tc>
          <w:tcPr>
            <w:tcW w:w="683" w:type="pct"/>
            <w:gridSpan w:val="2"/>
            <w:shd w:val="clear" w:color="auto" w:fill="auto"/>
            <w:hideMark/>
          </w:tcPr>
          <w:p w14:paraId="253267A0" w14:textId="53A02B35" w:rsidR="00311405" w:rsidRPr="00727235" w:rsidRDefault="00311405" w:rsidP="00311405">
            <w:pPr>
              <w:ind w:firstLine="0"/>
              <w:rPr>
                <w:lang w:eastAsia="ru-RU"/>
              </w:rPr>
            </w:pPr>
            <w:r w:rsidRPr="003C54B4">
              <w:t>6,47</w:t>
            </w:r>
          </w:p>
        </w:tc>
        <w:tc>
          <w:tcPr>
            <w:tcW w:w="723" w:type="pct"/>
            <w:shd w:val="clear" w:color="auto" w:fill="auto"/>
            <w:hideMark/>
          </w:tcPr>
          <w:p w14:paraId="19BE1C46" w14:textId="06DED9C5" w:rsidR="00311405" w:rsidRPr="00727235" w:rsidRDefault="00311405" w:rsidP="00311405">
            <w:pPr>
              <w:ind w:firstLine="0"/>
              <w:rPr>
                <w:lang w:eastAsia="ru-RU"/>
              </w:rPr>
            </w:pPr>
            <w:r w:rsidRPr="003C54B4">
              <w:t>6,22</w:t>
            </w:r>
          </w:p>
        </w:tc>
      </w:tr>
      <w:tr w:rsidR="00311405" w:rsidRPr="00727235" w14:paraId="46F71B39" w14:textId="77777777" w:rsidTr="004D5078">
        <w:trPr>
          <w:trHeight w:val="360"/>
        </w:trPr>
        <w:tc>
          <w:tcPr>
            <w:tcW w:w="322" w:type="pct"/>
            <w:shd w:val="clear" w:color="auto" w:fill="auto"/>
            <w:vAlign w:val="center"/>
            <w:hideMark/>
          </w:tcPr>
          <w:p w14:paraId="198982AD" w14:textId="55B77F07" w:rsidR="00311405" w:rsidRPr="00727235" w:rsidRDefault="00311405" w:rsidP="00311405">
            <w:pPr>
              <w:ind w:firstLine="0"/>
              <w:rPr>
                <w:lang w:eastAsia="ru-RU"/>
              </w:rPr>
            </w:pPr>
            <w:r>
              <w:rPr>
                <w:lang w:eastAsia="ru-RU"/>
              </w:rPr>
              <w:t>4</w:t>
            </w:r>
          </w:p>
        </w:tc>
        <w:tc>
          <w:tcPr>
            <w:tcW w:w="805" w:type="pct"/>
            <w:shd w:val="clear" w:color="auto" w:fill="auto"/>
            <w:vAlign w:val="center"/>
            <w:hideMark/>
          </w:tcPr>
          <w:p w14:paraId="4B66EEC7" w14:textId="77777777" w:rsidR="00311405" w:rsidRPr="00727235" w:rsidRDefault="00311405" w:rsidP="00311405">
            <w:pPr>
              <w:ind w:firstLine="0"/>
              <w:rPr>
                <w:lang w:eastAsia="ru-RU"/>
              </w:rPr>
            </w:pPr>
            <w:r w:rsidRPr="00727235">
              <w:rPr>
                <w:lang w:eastAsia="ru-RU"/>
              </w:rPr>
              <w:t>Коэффициент дисперсии (COD)</w:t>
            </w:r>
          </w:p>
        </w:tc>
        <w:tc>
          <w:tcPr>
            <w:tcW w:w="522" w:type="pct"/>
            <w:shd w:val="clear" w:color="auto" w:fill="auto"/>
            <w:hideMark/>
          </w:tcPr>
          <w:p w14:paraId="46E33085" w14:textId="13052B45" w:rsidR="00311405" w:rsidRPr="00727235" w:rsidRDefault="00311405" w:rsidP="00311405">
            <w:pPr>
              <w:ind w:firstLine="0"/>
              <w:rPr>
                <w:lang w:eastAsia="ru-RU"/>
              </w:rPr>
            </w:pPr>
            <w:r w:rsidRPr="003C54B4">
              <w:t>5,32</w:t>
            </w:r>
          </w:p>
        </w:tc>
        <w:tc>
          <w:tcPr>
            <w:tcW w:w="530" w:type="pct"/>
            <w:shd w:val="clear" w:color="auto" w:fill="auto"/>
            <w:hideMark/>
          </w:tcPr>
          <w:p w14:paraId="14C92B32" w14:textId="352B6FC0" w:rsidR="00311405" w:rsidRPr="00727235" w:rsidRDefault="00311405" w:rsidP="00311405">
            <w:pPr>
              <w:ind w:firstLine="0"/>
              <w:rPr>
                <w:lang w:eastAsia="ru-RU"/>
              </w:rPr>
            </w:pPr>
            <w:r w:rsidRPr="003C54B4">
              <w:t>5,12</w:t>
            </w:r>
          </w:p>
        </w:tc>
        <w:tc>
          <w:tcPr>
            <w:tcW w:w="688" w:type="pct"/>
            <w:shd w:val="clear" w:color="auto" w:fill="auto"/>
            <w:hideMark/>
          </w:tcPr>
          <w:p w14:paraId="048ADE95" w14:textId="49258E4D" w:rsidR="00311405" w:rsidRPr="00727235" w:rsidRDefault="00311405" w:rsidP="00311405">
            <w:pPr>
              <w:ind w:firstLine="0"/>
              <w:rPr>
                <w:lang w:eastAsia="ru-RU"/>
              </w:rPr>
            </w:pPr>
            <w:r w:rsidRPr="003C54B4">
              <w:t>5,25</w:t>
            </w:r>
          </w:p>
        </w:tc>
        <w:tc>
          <w:tcPr>
            <w:tcW w:w="727" w:type="pct"/>
            <w:shd w:val="clear" w:color="auto" w:fill="auto"/>
            <w:hideMark/>
          </w:tcPr>
          <w:p w14:paraId="5E899D32" w14:textId="2D0966DB" w:rsidR="00311405" w:rsidRPr="00727235" w:rsidRDefault="00311405" w:rsidP="00311405">
            <w:pPr>
              <w:ind w:firstLine="0"/>
              <w:rPr>
                <w:lang w:eastAsia="ru-RU"/>
              </w:rPr>
            </w:pPr>
            <w:r w:rsidRPr="003C54B4">
              <w:t>5,04</w:t>
            </w:r>
          </w:p>
        </w:tc>
        <w:tc>
          <w:tcPr>
            <w:tcW w:w="683" w:type="pct"/>
            <w:gridSpan w:val="2"/>
            <w:shd w:val="clear" w:color="auto" w:fill="auto"/>
            <w:hideMark/>
          </w:tcPr>
          <w:p w14:paraId="6060614D" w14:textId="26182E82" w:rsidR="00311405" w:rsidRPr="00727235" w:rsidRDefault="00311405" w:rsidP="00311405">
            <w:pPr>
              <w:ind w:firstLine="0"/>
              <w:rPr>
                <w:lang w:eastAsia="ru-RU"/>
              </w:rPr>
            </w:pPr>
            <w:r w:rsidRPr="003C54B4">
              <w:t>5,49</w:t>
            </w:r>
          </w:p>
        </w:tc>
        <w:tc>
          <w:tcPr>
            <w:tcW w:w="723" w:type="pct"/>
            <w:shd w:val="clear" w:color="auto" w:fill="auto"/>
            <w:hideMark/>
          </w:tcPr>
          <w:p w14:paraId="6C81B484" w14:textId="54CEFA55" w:rsidR="00311405" w:rsidRPr="00727235" w:rsidRDefault="00311405" w:rsidP="00311405">
            <w:pPr>
              <w:ind w:firstLine="0"/>
              <w:rPr>
                <w:lang w:eastAsia="ru-RU"/>
              </w:rPr>
            </w:pPr>
            <w:r w:rsidRPr="003C54B4">
              <w:t>5,26</w:t>
            </w:r>
          </w:p>
        </w:tc>
      </w:tr>
      <w:tr w:rsidR="00311405" w:rsidRPr="00727235" w14:paraId="7311068F" w14:textId="77777777" w:rsidTr="004D5078">
        <w:trPr>
          <w:trHeight w:val="360"/>
        </w:trPr>
        <w:tc>
          <w:tcPr>
            <w:tcW w:w="322" w:type="pct"/>
            <w:shd w:val="clear" w:color="auto" w:fill="auto"/>
            <w:vAlign w:val="center"/>
            <w:hideMark/>
          </w:tcPr>
          <w:p w14:paraId="10DC2982" w14:textId="24F6E3A7" w:rsidR="00311405" w:rsidRPr="00727235" w:rsidRDefault="00311405" w:rsidP="00311405">
            <w:pPr>
              <w:ind w:firstLine="0"/>
              <w:rPr>
                <w:lang w:eastAsia="ru-RU"/>
              </w:rPr>
            </w:pPr>
            <w:r>
              <w:rPr>
                <w:lang w:eastAsia="ru-RU"/>
              </w:rPr>
              <w:t>5</w:t>
            </w:r>
          </w:p>
        </w:tc>
        <w:tc>
          <w:tcPr>
            <w:tcW w:w="805" w:type="pct"/>
            <w:shd w:val="clear" w:color="auto" w:fill="auto"/>
            <w:vAlign w:val="center"/>
            <w:hideMark/>
          </w:tcPr>
          <w:p w14:paraId="693124DC" w14:textId="77777777" w:rsidR="00311405" w:rsidRPr="00727235" w:rsidRDefault="00311405" w:rsidP="00311405">
            <w:pPr>
              <w:ind w:firstLine="0"/>
              <w:rPr>
                <w:lang w:eastAsia="ru-RU"/>
              </w:rPr>
            </w:pPr>
            <w:r w:rsidRPr="00727235">
              <w:rPr>
                <w:lang w:eastAsia="ru-RU"/>
              </w:rPr>
              <w:t>Ценовой дифференциал (PRD)</w:t>
            </w:r>
          </w:p>
        </w:tc>
        <w:tc>
          <w:tcPr>
            <w:tcW w:w="522" w:type="pct"/>
            <w:shd w:val="clear" w:color="auto" w:fill="auto"/>
            <w:hideMark/>
          </w:tcPr>
          <w:p w14:paraId="1D5FF473" w14:textId="2D8F4CB4" w:rsidR="00311405" w:rsidRPr="00727235" w:rsidRDefault="00311405" w:rsidP="00311405">
            <w:pPr>
              <w:ind w:firstLine="0"/>
              <w:rPr>
                <w:lang w:eastAsia="ru-RU"/>
              </w:rPr>
            </w:pPr>
            <w:r w:rsidRPr="003C54B4">
              <w:t>1</w:t>
            </w:r>
          </w:p>
        </w:tc>
        <w:tc>
          <w:tcPr>
            <w:tcW w:w="530" w:type="pct"/>
            <w:shd w:val="clear" w:color="auto" w:fill="auto"/>
            <w:hideMark/>
          </w:tcPr>
          <w:p w14:paraId="0531A22B" w14:textId="23FA1914" w:rsidR="00311405" w:rsidRPr="00727235" w:rsidRDefault="00311405" w:rsidP="00311405">
            <w:pPr>
              <w:ind w:firstLine="0"/>
              <w:rPr>
                <w:lang w:eastAsia="ru-RU"/>
              </w:rPr>
            </w:pPr>
            <w:r w:rsidRPr="003C54B4">
              <w:t>1</w:t>
            </w:r>
          </w:p>
        </w:tc>
        <w:tc>
          <w:tcPr>
            <w:tcW w:w="688" w:type="pct"/>
            <w:shd w:val="clear" w:color="auto" w:fill="auto"/>
            <w:hideMark/>
          </w:tcPr>
          <w:p w14:paraId="5C26FC8C" w14:textId="4F6C1213" w:rsidR="00311405" w:rsidRPr="00727235" w:rsidRDefault="00311405" w:rsidP="00311405">
            <w:pPr>
              <w:ind w:firstLine="0"/>
              <w:rPr>
                <w:lang w:eastAsia="ru-RU"/>
              </w:rPr>
            </w:pPr>
            <w:r w:rsidRPr="003C54B4">
              <w:t>1</w:t>
            </w:r>
          </w:p>
        </w:tc>
        <w:tc>
          <w:tcPr>
            <w:tcW w:w="727" w:type="pct"/>
            <w:shd w:val="clear" w:color="auto" w:fill="auto"/>
            <w:hideMark/>
          </w:tcPr>
          <w:p w14:paraId="5EB37826" w14:textId="575057FD" w:rsidR="00311405" w:rsidRPr="00727235" w:rsidRDefault="00311405" w:rsidP="00311405">
            <w:pPr>
              <w:ind w:firstLine="0"/>
              <w:rPr>
                <w:lang w:eastAsia="ru-RU"/>
              </w:rPr>
            </w:pPr>
            <w:r w:rsidRPr="003C54B4">
              <w:t>1</w:t>
            </w:r>
          </w:p>
        </w:tc>
        <w:tc>
          <w:tcPr>
            <w:tcW w:w="683" w:type="pct"/>
            <w:gridSpan w:val="2"/>
            <w:shd w:val="clear" w:color="auto" w:fill="auto"/>
            <w:hideMark/>
          </w:tcPr>
          <w:p w14:paraId="26153C39" w14:textId="4D37B948" w:rsidR="00311405" w:rsidRPr="00727235" w:rsidRDefault="00311405" w:rsidP="00311405">
            <w:pPr>
              <w:ind w:firstLine="0"/>
              <w:rPr>
                <w:lang w:eastAsia="ru-RU"/>
              </w:rPr>
            </w:pPr>
            <w:r w:rsidRPr="003C54B4">
              <w:t>1</w:t>
            </w:r>
          </w:p>
        </w:tc>
        <w:tc>
          <w:tcPr>
            <w:tcW w:w="723" w:type="pct"/>
            <w:shd w:val="clear" w:color="auto" w:fill="auto"/>
            <w:hideMark/>
          </w:tcPr>
          <w:p w14:paraId="17B41832" w14:textId="437B1BD7" w:rsidR="00311405" w:rsidRPr="00727235" w:rsidRDefault="00311405" w:rsidP="00311405">
            <w:pPr>
              <w:ind w:firstLine="0"/>
              <w:rPr>
                <w:lang w:eastAsia="ru-RU"/>
              </w:rPr>
            </w:pPr>
            <w:r w:rsidRPr="003C54B4">
              <w:t>1</w:t>
            </w:r>
          </w:p>
        </w:tc>
      </w:tr>
    </w:tbl>
    <w:p w14:paraId="734A6C8C" w14:textId="77777777" w:rsidR="00E539D7" w:rsidRPr="00727235" w:rsidRDefault="00E539D7" w:rsidP="00E539D7">
      <w:r w:rsidRPr="00727235">
        <w:t>В результате была выбрана модель – экспоненциальная со следующими характеристиками.</w:t>
      </w:r>
    </w:p>
    <w:p w14:paraId="0933333E" w14:textId="655F8E0D" w:rsidR="00E539D7" w:rsidRPr="00727235" w:rsidRDefault="00E539D7" w:rsidP="00E539D7">
      <w:pPr>
        <w:rPr>
          <w:lang w:eastAsia="ru-RU"/>
        </w:rPr>
      </w:pPr>
      <w:r w:rsidRPr="00727235">
        <w:rPr>
          <w:lang w:eastAsia="ru-RU"/>
        </w:rPr>
        <w:t xml:space="preserve">Таблица </w:t>
      </w:r>
      <w:r w:rsidRPr="00727235">
        <w:rPr>
          <w:lang w:eastAsia="ru-RU"/>
        </w:rPr>
        <w:fldChar w:fldCharType="begin"/>
      </w:r>
      <w:r w:rsidRPr="00727235">
        <w:rPr>
          <w:lang w:eastAsia="ru-RU"/>
        </w:rPr>
        <w:instrText xml:space="preserve"> SEQ Таблица \* ARABIC </w:instrText>
      </w:r>
      <w:r w:rsidRPr="00727235">
        <w:rPr>
          <w:lang w:eastAsia="ru-RU"/>
        </w:rPr>
        <w:fldChar w:fldCharType="separate"/>
      </w:r>
      <w:r w:rsidR="00FD2769">
        <w:rPr>
          <w:noProof/>
          <w:lang w:eastAsia="ru-RU"/>
        </w:rPr>
        <w:t>57</w:t>
      </w:r>
      <w:r w:rsidRPr="00727235">
        <w:rPr>
          <w:lang w:eastAsia="ru-RU"/>
        </w:rPr>
        <w:fldChar w:fldCharType="end"/>
      </w:r>
      <w:r w:rsidRPr="00727235">
        <w:rPr>
          <w:lang w:eastAsia="ru-RU"/>
        </w:rPr>
        <w:t xml:space="preserve"> Параметры модели, отобранной для расчета кадастровой стоимости объектов недвижимости </w:t>
      </w:r>
      <w:r w:rsidR="00311405">
        <w:rPr>
          <w:lang w:eastAsia="ru-RU"/>
        </w:rPr>
        <w:t xml:space="preserve">группы </w:t>
      </w:r>
      <w:r w:rsidR="00311405" w:rsidRPr="00F154AB">
        <w:rPr>
          <w:rFonts w:eastAsia="Times New Roman" w:cs="Times New Roman"/>
          <w:bCs/>
          <w:color w:val="000000"/>
          <w:szCs w:val="24"/>
          <w:lang w:eastAsia="ru-RU"/>
        </w:rPr>
        <w:t>"1. Многоквартирные дома (дома средне- и многоэтажной жилой застройки)", подгруппа "</w:t>
      </w:r>
      <w:r w:rsidR="000470FD">
        <w:rPr>
          <w:rFonts w:eastAsia="Times New Roman" w:cs="Times New Roman"/>
          <w:bCs/>
          <w:color w:val="000000"/>
          <w:szCs w:val="24"/>
          <w:lang w:eastAsia="ru-RU"/>
        </w:rPr>
        <w:t>Помещения г.Якутск с п/х до 60 кв.м. 1.8</w:t>
      </w:r>
      <w:r w:rsidR="00311405" w:rsidRPr="00F154AB">
        <w:rPr>
          <w:rFonts w:eastAsia="Times New Roman" w:cs="Times New Roman"/>
          <w:bCs/>
          <w:color w:val="000000"/>
          <w:szCs w:val="24"/>
          <w:lang w:eastAsia="ru-RU"/>
        </w:rPr>
        <w:t>".</w:t>
      </w:r>
    </w:p>
    <w:tbl>
      <w:tblPr>
        <w:tblW w:w="14601" w:type="dxa"/>
        <w:tblInd w:w="-5" w:type="dxa"/>
        <w:tblLayout w:type="fixed"/>
        <w:tblLook w:val="04A0" w:firstRow="1" w:lastRow="0" w:firstColumn="1" w:lastColumn="0" w:noHBand="0" w:noVBand="1"/>
      </w:tblPr>
      <w:tblGrid>
        <w:gridCol w:w="1134"/>
        <w:gridCol w:w="2608"/>
        <w:gridCol w:w="2608"/>
        <w:gridCol w:w="2607"/>
        <w:gridCol w:w="1958"/>
        <w:gridCol w:w="1985"/>
        <w:gridCol w:w="1701"/>
      </w:tblGrid>
      <w:tr w:rsidR="00E539D7" w:rsidRPr="00727235" w14:paraId="0FD96712" w14:textId="77777777" w:rsidTr="001E4B2F">
        <w:trPr>
          <w:trHeight w:val="1575"/>
        </w:trPr>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C419915" w14:textId="77777777" w:rsidR="00E539D7" w:rsidRPr="000470FD" w:rsidRDefault="00E539D7" w:rsidP="001E4B2F">
            <w:pPr>
              <w:ind w:firstLine="37"/>
              <w:rPr>
                <w:lang w:eastAsia="ru-RU"/>
              </w:rPr>
            </w:pPr>
            <w:r w:rsidRPr="000470FD">
              <w:rPr>
                <w:lang w:eastAsia="ru-RU"/>
              </w:rPr>
              <w:t>№п/п</w:t>
            </w:r>
          </w:p>
        </w:tc>
        <w:tc>
          <w:tcPr>
            <w:tcW w:w="2608" w:type="dxa"/>
            <w:tcBorders>
              <w:top w:val="single" w:sz="4" w:space="0" w:color="auto"/>
              <w:left w:val="nil"/>
              <w:bottom w:val="single" w:sz="4" w:space="0" w:color="auto"/>
              <w:right w:val="single" w:sz="4" w:space="0" w:color="auto"/>
            </w:tcBorders>
            <w:shd w:val="clear" w:color="auto" w:fill="auto"/>
            <w:vAlign w:val="center"/>
            <w:hideMark/>
          </w:tcPr>
          <w:p w14:paraId="4B9A8003" w14:textId="77777777" w:rsidR="00E539D7" w:rsidRPr="000470FD" w:rsidRDefault="00E539D7" w:rsidP="001E4B2F">
            <w:pPr>
              <w:ind w:firstLine="37"/>
              <w:rPr>
                <w:lang w:eastAsia="ru-RU"/>
              </w:rPr>
            </w:pPr>
            <w:r w:rsidRPr="000470FD">
              <w:rPr>
                <w:lang w:eastAsia="ru-RU"/>
              </w:rPr>
              <w:t>Название модели</w:t>
            </w:r>
          </w:p>
        </w:tc>
        <w:tc>
          <w:tcPr>
            <w:tcW w:w="2608" w:type="dxa"/>
            <w:tcBorders>
              <w:top w:val="single" w:sz="4" w:space="0" w:color="auto"/>
              <w:left w:val="nil"/>
              <w:bottom w:val="single" w:sz="4" w:space="0" w:color="auto"/>
              <w:right w:val="single" w:sz="4" w:space="0" w:color="auto"/>
            </w:tcBorders>
            <w:shd w:val="clear" w:color="auto" w:fill="auto"/>
            <w:vAlign w:val="center"/>
            <w:hideMark/>
          </w:tcPr>
          <w:p w14:paraId="012DD493" w14:textId="77777777" w:rsidR="00E539D7" w:rsidRPr="000470FD" w:rsidRDefault="00E539D7" w:rsidP="001E4B2F">
            <w:pPr>
              <w:ind w:firstLine="37"/>
              <w:rPr>
                <w:lang w:eastAsia="ru-RU"/>
              </w:rPr>
            </w:pPr>
            <w:r w:rsidRPr="000470FD">
              <w:rPr>
                <w:lang w:eastAsia="ru-RU"/>
              </w:rPr>
              <w:t>Формула модели</w:t>
            </w:r>
          </w:p>
        </w:tc>
        <w:tc>
          <w:tcPr>
            <w:tcW w:w="2607" w:type="dxa"/>
            <w:tcBorders>
              <w:top w:val="single" w:sz="4" w:space="0" w:color="auto"/>
              <w:left w:val="nil"/>
              <w:bottom w:val="single" w:sz="4" w:space="0" w:color="auto"/>
              <w:right w:val="single" w:sz="4" w:space="0" w:color="auto"/>
            </w:tcBorders>
            <w:shd w:val="clear" w:color="auto" w:fill="auto"/>
            <w:vAlign w:val="center"/>
            <w:hideMark/>
          </w:tcPr>
          <w:p w14:paraId="5640CAF1" w14:textId="77777777" w:rsidR="00E539D7" w:rsidRPr="000470FD" w:rsidRDefault="00E539D7" w:rsidP="001E4B2F">
            <w:pPr>
              <w:ind w:firstLine="37"/>
              <w:rPr>
                <w:lang w:eastAsia="ru-RU"/>
              </w:rPr>
            </w:pPr>
            <w:r w:rsidRPr="000470FD">
              <w:rPr>
                <w:lang w:eastAsia="ru-RU"/>
              </w:rPr>
              <w:t>Ценообразующий фактор для построения моделей</w:t>
            </w:r>
          </w:p>
        </w:tc>
        <w:tc>
          <w:tcPr>
            <w:tcW w:w="1958" w:type="dxa"/>
            <w:tcBorders>
              <w:top w:val="single" w:sz="4" w:space="0" w:color="auto"/>
              <w:left w:val="nil"/>
              <w:bottom w:val="single" w:sz="4" w:space="0" w:color="auto"/>
              <w:right w:val="single" w:sz="4" w:space="0" w:color="auto"/>
            </w:tcBorders>
            <w:shd w:val="clear" w:color="auto" w:fill="auto"/>
            <w:vAlign w:val="center"/>
            <w:hideMark/>
          </w:tcPr>
          <w:p w14:paraId="0EB65A98" w14:textId="77777777" w:rsidR="00E539D7" w:rsidRPr="000470FD" w:rsidRDefault="00E539D7" w:rsidP="001E4B2F">
            <w:pPr>
              <w:ind w:firstLine="37"/>
              <w:rPr>
                <w:lang w:eastAsia="ru-RU"/>
              </w:rPr>
            </w:pPr>
            <w:r w:rsidRPr="000470FD">
              <w:rPr>
                <w:lang w:eastAsia="ru-RU"/>
              </w:rPr>
              <w:t>Коэффициент при ценообразующем факторе в модели</w:t>
            </w:r>
          </w:p>
        </w:tc>
        <w:tc>
          <w:tcPr>
            <w:tcW w:w="1985" w:type="dxa"/>
            <w:tcBorders>
              <w:top w:val="single" w:sz="4" w:space="0" w:color="auto"/>
              <w:left w:val="nil"/>
              <w:bottom w:val="single" w:sz="4" w:space="0" w:color="auto"/>
              <w:right w:val="single" w:sz="4" w:space="0" w:color="auto"/>
            </w:tcBorders>
            <w:shd w:val="clear" w:color="auto" w:fill="auto"/>
            <w:vAlign w:val="center"/>
            <w:hideMark/>
          </w:tcPr>
          <w:p w14:paraId="04BE2C66" w14:textId="77777777" w:rsidR="00E539D7" w:rsidRPr="000470FD" w:rsidRDefault="00E539D7" w:rsidP="001E4B2F">
            <w:pPr>
              <w:ind w:firstLine="37"/>
              <w:rPr>
                <w:lang w:eastAsia="ru-RU"/>
              </w:rPr>
            </w:pPr>
            <w:r w:rsidRPr="000470FD">
              <w:rPr>
                <w:lang w:eastAsia="ru-RU"/>
              </w:rPr>
              <w:t>Значения ценообразующего фактора (диапазон значений)</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14:paraId="0EB9FADB" w14:textId="77777777" w:rsidR="00E539D7" w:rsidRPr="000470FD" w:rsidRDefault="00E539D7" w:rsidP="001E4B2F">
            <w:pPr>
              <w:ind w:firstLine="37"/>
              <w:rPr>
                <w:lang w:eastAsia="ru-RU"/>
              </w:rPr>
            </w:pPr>
            <w:r w:rsidRPr="000470FD">
              <w:rPr>
                <w:lang w:eastAsia="ru-RU"/>
              </w:rPr>
              <w:t>Значения меток ценообразующего фактора</w:t>
            </w:r>
          </w:p>
        </w:tc>
      </w:tr>
      <w:tr w:rsidR="00E539D7" w:rsidRPr="00727235" w14:paraId="7DF331D1" w14:textId="77777777" w:rsidTr="001E4B2F">
        <w:trPr>
          <w:trHeight w:val="315"/>
        </w:trPr>
        <w:tc>
          <w:tcPr>
            <w:tcW w:w="1134" w:type="dxa"/>
            <w:tcBorders>
              <w:top w:val="nil"/>
              <w:left w:val="single" w:sz="4" w:space="0" w:color="auto"/>
              <w:bottom w:val="single" w:sz="4" w:space="0" w:color="auto"/>
              <w:right w:val="single" w:sz="4" w:space="0" w:color="auto"/>
            </w:tcBorders>
            <w:shd w:val="clear" w:color="auto" w:fill="auto"/>
            <w:vAlign w:val="center"/>
            <w:hideMark/>
          </w:tcPr>
          <w:p w14:paraId="2253EA45" w14:textId="77777777" w:rsidR="00E539D7" w:rsidRPr="000470FD" w:rsidRDefault="00E539D7" w:rsidP="001E4B2F">
            <w:pPr>
              <w:ind w:firstLine="37"/>
              <w:rPr>
                <w:lang w:eastAsia="ru-RU"/>
              </w:rPr>
            </w:pPr>
            <w:r w:rsidRPr="000470FD">
              <w:rPr>
                <w:lang w:eastAsia="ru-RU"/>
              </w:rPr>
              <w:t>01</w:t>
            </w:r>
          </w:p>
        </w:tc>
        <w:tc>
          <w:tcPr>
            <w:tcW w:w="2608" w:type="dxa"/>
            <w:tcBorders>
              <w:top w:val="nil"/>
              <w:left w:val="nil"/>
              <w:bottom w:val="single" w:sz="4" w:space="0" w:color="auto"/>
              <w:right w:val="single" w:sz="4" w:space="0" w:color="auto"/>
            </w:tcBorders>
            <w:shd w:val="clear" w:color="auto" w:fill="auto"/>
            <w:vAlign w:val="center"/>
            <w:hideMark/>
          </w:tcPr>
          <w:p w14:paraId="084F0C8C" w14:textId="77777777" w:rsidR="00E539D7" w:rsidRPr="000470FD" w:rsidRDefault="00E539D7" w:rsidP="001E4B2F">
            <w:pPr>
              <w:ind w:firstLine="37"/>
              <w:rPr>
                <w:lang w:eastAsia="ru-RU"/>
              </w:rPr>
            </w:pPr>
            <w:r w:rsidRPr="000470FD">
              <w:rPr>
                <w:lang w:eastAsia="ru-RU"/>
              </w:rPr>
              <w:t>02</w:t>
            </w:r>
          </w:p>
        </w:tc>
        <w:tc>
          <w:tcPr>
            <w:tcW w:w="2608" w:type="dxa"/>
            <w:tcBorders>
              <w:top w:val="nil"/>
              <w:left w:val="nil"/>
              <w:bottom w:val="single" w:sz="4" w:space="0" w:color="auto"/>
              <w:right w:val="single" w:sz="4" w:space="0" w:color="auto"/>
            </w:tcBorders>
            <w:shd w:val="clear" w:color="auto" w:fill="auto"/>
            <w:vAlign w:val="center"/>
            <w:hideMark/>
          </w:tcPr>
          <w:p w14:paraId="5BA1022B" w14:textId="77777777" w:rsidR="00E539D7" w:rsidRPr="000470FD" w:rsidRDefault="00E539D7" w:rsidP="001E4B2F">
            <w:pPr>
              <w:ind w:firstLine="37"/>
              <w:rPr>
                <w:lang w:eastAsia="ru-RU"/>
              </w:rPr>
            </w:pPr>
            <w:r w:rsidRPr="000470FD">
              <w:rPr>
                <w:lang w:eastAsia="ru-RU"/>
              </w:rPr>
              <w:t>03</w:t>
            </w:r>
          </w:p>
        </w:tc>
        <w:tc>
          <w:tcPr>
            <w:tcW w:w="2607" w:type="dxa"/>
            <w:tcBorders>
              <w:top w:val="nil"/>
              <w:left w:val="nil"/>
              <w:bottom w:val="single" w:sz="4" w:space="0" w:color="auto"/>
              <w:right w:val="single" w:sz="4" w:space="0" w:color="auto"/>
            </w:tcBorders>
            <w:shd w:val="clear" w:color="auto" w:fill="auto"/>
            <w:vAlign w:val="center"/>
            <w:hideMark/>
          </w:tcPr>
          <w:p w14:paraId="4ADD0503" w14:textId="77777777" w:rsidR="00E539D7" w:rsidRPr="000470FD" w:rsidRDefault="00E539D7" w:rsidP="001E4B2F">
            <w:pPr>
              <w:ind w:firstLine="37"/>
              <w:rPr>
                <w:lang w:eastAsia="ru-RU"/>
              </w:rPr>
            </w:pPr>
            <w:r w:rsidRPr="000470FD">
              <w:rPr>
                <w:lang w:eastAsia="ru-RU"/>
              </w:rPr>
              <w:t>04</w:t>
            </w:r>
          </w:p>
        </w:tc>
        <w:tc>
          <w:tcPr>
            <w:tcW w:w="1958" w:type="dxa"/>
            <w:tcBorders>
              <w:top w:val="nil"/>
              <w:left w:val="nil"/>
              <w:bottom w:val="single" w:sz="4" w:space="0" w:color="auto"/>
              <w:right w:val="single" w:sz="4" w:space="0" w:color="auto"/>
            </w:tcBorders>
            <w:shd w:val="clear" w:color="auto" w:fill="auto"/>
            <w:vAlign w:val="center"/>
            <w:hideMark/>
          </w:tcPr>
          <w:p w14:paraId="1C161251" w14:textId="77777777" w:rsidR="00E539D7" w:rsidRPr="000470FD" w:rsidRDefault="00E539D7" w:rsidP="001E4B2F">
            <w:pPr>
              <w:ind w:firstLine="37"/>
              <w:rPr>
                <w:lang w:eastAsia="ru-RU"/>
              </w:rPr>
            </w:pPr>
            <w:r w:rsidRPr="000470FD">
              <w:rPr>
                <w:lang w:eastAsia="ru-RU"/>
              </w:rPr>
              <w:t>05</w:t>
            </w:r>
          </w:p>
        </w:tc>
        <w:tc>
          <w:tcPr>
            <w:tcW w:w="1985" w:type="dxa"/>
            <w:tcBorders>
              <w:top w:val="nil"/>
              <w:left w:val="nil"/>
              <w:bottom w:val="single" w:sz="4" w:space="0" w:color="auto"/>
              <w:right w:val="single" w:sz="4" w:space="0" w:color="auto"/>
            </w:tcBorders>
            <w:shd w:val="clear" w:color="auto" w:fill="auto"/>
            <w:vAlign w:val="center"/>
            <w:hideMark/>
          </w:tcPr>
          <w:p w14:paraId="15C9792E" w14:textId="77777777" w:rsidR="00E539D7" w:rsidRPr="000470FD" w:rsidRDefault="00E539D7" w:rsidP="001E4B2F">
            <w:pPr>
              <w:ind w:firstLine="37"/>
              <w:rPr>
                <w:lang w:eastAsia="ru-RU"/>
              </w:rPr>
            </w:pPr>
            <w:r w:rsidRPr="000470FD">
              <w:rPr>
                <w:lang w:eastAsia="ru-RU"/>
              </w:rPr>
              <w:t>06</w:t>
            </w:r>
          </w:p>
        </w:tc>
        <w:tc>
          <w:tcPr>
            <w:tcW w:w="1701" w:type="dxa"/>
            <w:tcBorders>
              <w:top w:val="nil"/>
              <w:left w:val="nil"/>
              <w:bottom w:val="single" w:sz="4" w:space="0" w:color="auto"/>
              <w:right w:val="single" w:sz="4" w:space="0" w:color="auto"/>
            </w:tcBorders>
            <w:shd w:val="clear" w:color="auto" w:fill="auto"/>
            <w:vAlign w:val="center"/>
            <w:hideMark/>
          </w:tcPr>
          <w:p w14:paraId="6D3AA5B0" w14:textId="77777777" w:rsidR="00E539D7" w:rsidRPr="000470FD" w:rsidRDefault="00E539D7" w:rsidP="001E4B2F">
            <w:pPr>
              <w:ind w:firstLine="37"/>
              <w:rPr>
                <w:lang w:eastAsia="ru-RU"/>
              </w:rPr>
            </w:pPr>
            <w:r w:rsidRPr="000470FD">
              <w:rPr>
                <w:lang w:eastAsia="ru-RU"/>
              </w:rPr>
              <w:t>07</w:t>
            </w:r>
          </w:p>
        </w:tc>
      </w:tr>
      <w:tr w:rsidR="000470FD" w:rsidRPr="00727235" w14:paraId="48E6A48E" w14:textId="77777777" w:rsidTr="001E4B2F">
        <w:trPr>
          <w:trHeight w:val="630"/>
        </w:trPr>
        <w:tc>
          <w:tcPr>
            <w:tcW w:w="1134" w:type="dxa"/>
            <w:vMerge w:val="restart"/>
            <w:tcBorders>
              <w:top w:val="nil"/>
              <w:left w:val="single" w:sz="4" w:space="0" w:color="auto"/>
              <w:bottom w:val="single" w:sz="4" w:space="0" w:color="auto"/>
              <w:right w:val="single" w:sz="4" w:space="0" w:color="auto"/>
            </w:tcBorders>
            <w:shd w:val="clear" w:color="auto" w:fill="auto"/>
            <w:vAlign w:val="center"/>
            <w:hideMark/>
          </w:tcPr>
          <w:p w14:paraId="75CB19E1" w14:textId="77777777" w:rsidR="000470FD" w:rsidRPr="000470FD" w:rsidRDefault="000470FD" w:rsidP="000470FD">
            <w:pPr>
              <w:ind w:firstLine="37"/>
              <w:rPr>
                <w:lang w:eastAsia="ru-RU"/>
              </w:rPr>
            </w:pPr>
            <w:r w:rsidRPr="000470FD">
              <w:rPr>
                <w:lang w:eastAsia="ru-RU"/>
              </w:rPr>
              <w:t>1</w:t>
            </w:r>
          </w:p>
        </w:tc>
        <w:tc>
          <w:tcPr>
            <w:tcW w:w="2608" w:type="dxa"/>
            <w:vMerge w:val="restart"/>
            <w:tcBorders>
              <w:top w:val="nil"/>
              <w:left w:val="single" w:sz="4" w:space="0" w:color="auto"/>
              <w:bottom w:val="single" w:sz="4" w:space="0" w:color="auto"/>
              <w:right w:val="single" w:sz="4" w:space="0" w:color="auto"/>
            </w:tcBorders>
            <w:shd w:val="clear" w:color="auto" w:fill="auto"/>
            <w:vAlign w:val="center"/>
            <w:hideMark/>
          </w:tcPr>
          <w:p w14:paraId="0BACCFCB" w14:textId="77777777" w:rsidR="000470FD" w:rsidRPr="000470FD" w:rsidRDefault="000470FD" w:rsidP="000470FD">
            <w:pPr>
              <w:ind w:firstLine="37"/>
              <w:rPr>
                <w:lang w:eastAsia="ru-RU"/>
              </w:rPr>
            </w:pPr>
            <w:r w:rsidRPr="000470FD">
              <w:rPr>
                <w:lang w:eastAsia="ru-RU"/>
              </w:rPr>
              <w:t>мультипликативная</w:t>
            </w:r>
          </w:p>
        </w:tc>
        <w:tc>
          <w:tcPr>
            <w:tcW w:w="2608" w:type="dxa"/>
            <w:vMerge w:val="restart"/>
            <w:tcBorders>
              <w:top w:val="nil"/>
              <w:left w:val="single" w:sz="4" w:space="0" w:color="auto"/>
              <w:bottom w:val="single" w:sz="4" w:space="0" w:color="auto"/>
              <w:right w:val="single" w:sz="4" w:space="0" w:color="auto"/>
            </w:tcBorders>
            <w:shd w:val="clear" w:color="auto" w:fill="auto"/>
            <w:vAlign w:val="center"/>
            <w:hideMark/>
          </w:tcPr>
          <w:p w14:paraId="7FAC4661" w14:textId="2B83781E" w:rsidR="000470FD" w:rsidRPr="000470FD" w:rsidRDefault="000470FD" w:rsidP="000470FD">
            <w:pPr>
              <w:ind w:firstLine="37"/>
              <w:rPr>
                <w:lang w:eastAsia="ru-RU"/>
              </w:rPr>
            </w:pPr>
            <w:r w:rsidRPr="000470FD">
              <w:rPr>
                <w:lang w:eastAsia="ru-RU"/>
              </w:rPr>
              <w:t>Y=64386.3*((метка(Газоснабжение)+0)^0.291518)*((0.215442/(Физический износ_ЗП+0.11)+0.5)^0.202701)*((2765.52/(Расстояние от объекта до административного центра населенного пункта+3200)+0.5)^0.577898)</w:t>
            </w:r>
          </w:p>
        </w:tc>
        <w:tc>
          <w:tcPr>
            <w:tcW w:w="2607" w:type="dxa"/>
            <w:vMerge w:val="restart"/>
            <w:tcBorders>
              <w:top w:val="nil"/>
              <w:left w:val="single" w:sz="4" w:space="0" w:color="auto"/>
              <w:bottom w:val="single" w:sz="4" w:space="0" w:color="auto"/>
              <w:right w:val="single" w:sz="4" w:space="0" w:color="auto"/>
            </w:tcBorders>
            <w:shd w:val="clear" w:color="auto" w:fill="auto"/>
            <w:vAlign w:val="center"/>
            <w:hideMark/>
          </w:tcPr>
          <w:p w14:paraId="0F14FAD1" w14:textId="28C2CA16" w:rsidR="000470FD" w:rsidRPr="000470FD" w:rsidRDefault="000470FD" w:rsidP="000470FD">
            <w:pPr>
              <w:ind w:firstLine="37"/>
              <w:rPr>
                <w:lang w:eastAsia="ru-RU"/>
              </w:rPr>
            </w:pPr>
            <w:r w:rsidRPr="000470FD">
              <w:t>Газоснабжение</w:t>
            </w:r>
          </w:p>
        </w:tc>
        <w:tc>
          <w:tcPr>
            <w:tcW w:w="1958" w:type="dxa"/>
            <w:vMerge w:val="restart"/>
            <w:tcBorders>
              <w:top w:val="nil"/>
              <w:left w:val="single" w:sz="4" w:space="0" w:color="auto"/>
              <w:bottom w:val="single" w:sz="4" w:space="0" w:color="auto"/>
              <w:right w:val="single" w:sz="4" w:space="0" w:color="auto"/>
            </w:tcBorders>
            <w:shd w:val="clear" w:color="auto" w:fill="auto"/>
            <w:vAlign w:val="center"/>
            <w:hideMark/>
          </w:tcPr>
          <w:p w14:paraId="32E6D5E7" w14:textId="5681C2C3" w:rsidR="000470FD" w:rsidRPr="000470FD" w:rsidRDefault="000470FD" w:rsidP="000470FD">
            <w:pPr>
              <w:ind w:firstLine="37"/>
              <w:rPr>
                <w:lang w:eastAsia="ru-RU"/>
              </w:rPr>
            </w:pPr>
            <w:r w:rsidRPr="000470FD">
              <w:t>0,291518</w:t>
            </w:r>
          </w:p>
        </w:tc>
        <w:tc>
          <w:tcPr>
            <w:tcW w:w="1985" w:type="dxa"/>
            <w:tcBorders>
              <w:top w:val="nil"/>
              <w:left w:val="nil"/>
              <w:bottom w:val="single" w:sz="4" w:space="0" w:color="auto"/>
              <w:right w:val="single" w:sz="4" w:space="0" w:color="auto"/>
            </w:tcBorders>
            <w:shd w:val="clear" w:color="auto" w:fill="auto"/>
            <w:vAlign w:val="center"/>
            <w:hideMark/>
          </w:tcPr>
          <w:p w14:paraId="5CA8DEAD" w14:textId="32920EB5" w:rsidR="000470FD" w:rsidRPr="000470FD" w:rsidRDefault="000470FD" w:rsidP="000470FD">
            <w:pPr>
              <w:ind w:firstLine="37"/>
              <w:rPr>
                <w:lang w:eastAsia="ru-RU"/>
              </w:rPr>
            </w:pPr>
            <w:r w:rsidRPr="000470FD">
              <w:t>0</w:t>
            </w:r>
          </w:p>
        </w:tc>
        <w:tc>
          <w:tcPr>
            <w:tcW w:w="1701" w:type="dxa"/>
            <w:tcBorders>
              <w:top w:val="nil"/>
              <w:left w:val="nil"/>
              <w:bottom w:val="single" w:sz="4" w:space="0" w:color="auto"/>
              <w:right w:val="single" w:sz="4" w:space="0" w:color="auto"/>
            </w:tcBorders>
            <w:shd w:val="clear" w:color="auto" w:fill="auto"/>
            <w:vAlign w:val="center"/>
            <w:hideMark/>
          </w:tcPr>
          <w:p w14:paraId="557371EE" w14:textId="4AE6FA9C" w:rsidR="000470FD" w:rsidRPr="000470FD" w:rsidRDefault="000470FD" w:rsidP="000470FD">
            <w:pPr>
              <w:ind w:firstLine="37"/>
              <w:rPr>
                <w:lang w:eastAsia="ru-RU"/>
              </w:rPr>
            </w:pPr>
            <w:r w:rsidRPr="000470FD">
              <w:t>0,8399990002656556</w:t>
            </w:r>
          </w:p>
        </w:tc>
      </w:tr>
      <w:tr w:rsidR="000470FD" w:rsidRPr="00727235" w14:paraId="1DACCFE5" w14:textId="77777777" w:rsidTr="000470FD">
        <w:trPr>
          <w:trHeight w:val="630"/>
        </w:trPr>
        <w:tc>
          <w:tcPr>
            <w:tcW w:w="1134" w:type="dxa"/>
            <w:vMerge/>
            <w:tcBorders>
              <w:top w:val="nil"/>
              <w:left w:val="single" w:sz="4" w:space="0" w:color="auto"/>
              <w:bottom w:val="single" w:sz="4" w:space="0" w:color="auto"/>
              <w:right w:val="single" w:sz="4" w:space="0" w:color="auto"/>
            </w:tcBorders>
            <w:shd w:val="clear" w:color="auto" w:fill="auto"/>
            <w:vAlign w:val="center"/>
            <w:hideMark/>
          </w:tcPr>
          <w:p w14:paraId="5343C768" w14:textId="77777777" w:rsidR="000470FD" w:rsidRPr="000470FD" w:rsidRDefault="000470FD" w:rsidP="000470FD">
            <w:pPr>
              <w:ind w:firstLine="37"/>
              <w:rPr>
                <w:lang w:eastAsia="ru-RU"/>
              </w:rPr>
            </w:pPr>
          </w:p>
        </w:tc>
        <w:tc>
          <w:tcPr>
            <w:tcW w:w="2608" w:type="dxa"/>
            <w:vMerge/>
            <w:tcBorders>
              <w:top w:val="nil"/>
              <w:left w:val="single" w:sz="4" w:space="0" w:color="auto"/>
              <w:bottom w:val="single" w:sz="4" w:space="0" w:color="auto"/>
              <w:right w:val="single" w:sz="4" w:space="0" w:color="auto"/>
            </w:tcBorders>
            <w:shd w:val="clear" w:color="auto" w:fill="auto"/>
            <w:vAlign w:val="center"/>
            <w:hideMark/>
          </w:tcPr>
          <w:p w14:paraId="6A45C93B" w14:textId="77777777" w:rsidR="000470FD" w:rsidRPr="000470FD" w:rsidRDefault="000470FD" w:rsidP="000470FD">
            <w:pPr>
              <w:ind w:firstLine="37"/>
              <w:rPr>
                <w:lang w:eastAsia="ru-RU"/>
              </w:rPr>
            </w:pPr>
          </w:p>
        </w:tc>
        <w:tc>
          <w:tcPr>
            <w:tcW w:w="2608" w:type="dxa"/>
            <w:vMerge/>
            <w:tcBorders>
              <w:top w:val="nil"/>
              <w:left w:val="single" w:sz="4" w:space="0" w:color="auto"/>
              <w:bottom w:val="single" w:sz="4" w:space="0" w:color="auto"/>
              <w:right w:val="single" w:sz="4" w:space="0" w:color="auto"/>
            </w:tcBorders>
            <w:shd w:val="clear" w:color="auto" w:fill="auto"/>
            <w:vAlign w:val="center"/>
            <w:hideMark/>
          </w:tcPr>
          <w:p w14:paraId="1245BE38" w14:textId="77777777" w:rsidR="000470FD" w:rsidRPr="000470FD" w:rsidRDefault="000470FD" w:rsidP="000470FD">
            <w:pPr>
              <w:ind w:firstLine="37"/>
              <w:rPr>
                <w:lang w:eastAsia="ru-RU"/>
              </w:rPr>
            </w:pPr>
          </w:p>
        </w:tc>
        <w:tc>
          <w:tcPr>
            <w:tcW w:w="2607" w:type="dxa"/>
            <w:vMerge/>
            <w:tcBorders>
              <w:top w:val="nil"/>
              <w:left w:val="single" w:sz="4" w:space="0" w:color="auto"/>
              <w:bottom w:val="single" w:sz="4" w:space="0" w:color="auto"/>
              <w:right w:val="single" w:sz="4" w:space="0" w:color="auto"/>
            </w:tcBorders>
            <w:shd w:val="clear" w:color="auto" w:fill="auto"/>
            <w:vAlign w:val="center"/>
            <w:hideMark/>
          </w:tcPr>
          <w:p w14:paraId="189F1F65" w14:textId="77777777" w:rsidR="000470FD" w:rsidRPr="000470FD" w:rsidRDefault="000470FD" w:rsidP="000470FD">
            <w:pPr>
              <w:ind w:firstLine="37"/>
              <w:rPr>
                <w:lang w:eastAsia="ru-RU"/>
              </w:rPr>
            </w:pPr>
          </w:p>
        </w:tc>
        <w:tc>
          <w:tcPr>
            <w:tcW w:w="1958" w:type="dxa"/>
            <w:vMerge/>
            <w:tcBorders>
              <w:top w:val="nil"/>
              <w:left w:val="single" w:sz="4" w:space="0" w:color="auto"/>
              <w:bottom w:val="single" w:sz="4" w:space="0" w:color="auto"/>
              <w:right w:val="single" w:sz="4" w:space="0" w:color="auto"/>
            </w:tcBorders>
            <w:shd w:val="clear" w:color="auto" w:fill="auto"/>
            <w:vAlign w:val="center"/>
            <w:hideMark/>
          </w:tcPr>
          <w:p w14:paraId="2B84303F" w14:textId="77777777" w:rsidR="000470FD" w:rsidRPr="000470FD" w:rsidRDefault="000470FD" w:rsidP="000470FD">
            <w:pPr>
              <w:ind w:firstLine="37"/>
              <w:rPr>
                <w:lang w:eastAsia="ru-RU"/>
              </w:rPr>
            </w:pPr>
          </w:p>
        </w:tc>
        <w:tc>
          <w:tcPr>
            <w:tcW w:w="1985" w:type="dxa"/>
            <w:tcBorders>
              <w:top w:val="nil"/>
              <w:left w:val="nil"/>
              <w:bottom w:val="single" w:sz="4" w:space="0" w:color="auto"/>
              <w:right w:val="single" w:sz="4" w:space="0" w:color="auto"/>
            </w:tcBorders>
            <w:shd w:val="clear" w:color="auto" w:fill="auto"/>
            <w:vAlign w:val="center"/>
            <w:hideMark/>
          </w:tcPr>
          <w:p w14:paraId="093BB077" w14:textId="5EA879AC" w:rsidR="000470FD" w:rsidRPr="000470FD" w:rsidRDefault="000470FD" w:rsidP="000470FD">
            <w:pPr>
              <w:ind w:firstLine="37"/>
              <w:rPr>
                <w:lang w:eastAsia="ru-RU"/>
              </w:rPr>
            </w:pPr>
            <w:r w:rsidRPr="000470FD">
              <w:t>1</w:t>
            </w:r>
          </w:p>
        </w:tc>
        <w:tc>
          <w:tcPr>
            <w:tcW w:w="1701" w:type="dxa"/>
            <w:tcBorders>
              <w:top w:val="nil"/>
              <w:left w:val="nil"/>
              <w:bottom w:val="single" w:sz="4" w:space="0" w:color="auto"/>
              <w:right w:val="single" w:sz="4" w:space="0" w:color="auto"/>
            </w:tcBorders>
            <w:shd w:val="clear" w:color="auto" w:fill="auto"/>
            <w:vAlign w:val="center"/>
            <w:hideMark/>
          </w:tcPr>
          <w:p w14:paraId="51ED74F6" w14:textId="3275FEE9" w:rsidR="000470FD" w:rsidRPr="000470FD" w:rsidRDefault="000470FD" w:rsidP="000470FD">
            <w:pPr>
              <w:ind w:firstLine="37"/>
              <w:rPr>
                <w:lang w:eastAsia="ru-RU"/>
              </w:rPr>
            </w:pPr>
            <w:r w:rsidRPr="000470FD">
              <w:t>1,1600009997343446</w:t>
            </w:r>
          </w:p>
        </w:tc>
      </w:tr>
      <w:tr w:rsidR="000470FD" w:rsidRPr="00727235" w14:paraId="209D372D" w14:textId="77777777" w:rsidTr="000470FD">
        <w:trPr>
          <w:trHeight w:val="945"/>
        </w:trPr>
        <w:tc>
          <w:tcPr>
            <w:tcW w:w="1134" w:type="dxa"/>
            <w:vMerge/>
            <w:tcBorders>
              <w:top w:val="nil"/>
              <w:left w:val="single" w:sz="4" w:space="0" w:color="auto"/>
              <w:bottom w:val="single" w:sz="4" w:space="0" w:color="auto"/>
              <w:right w:val="single" w:sz="4" w:space="0" w:color="auto"/>
            </w:tcBorders>
            <w:shd w:val="clear" w:color="auto" w:fill="auto"/>
            <w:vAlign w:val="center"/>
            <w:hideMark/>
          </w:tcPr>
          <w:p w14:paraId="09B04575" w14:textId="77777777" w:rsidR="000470FD" w:rsidRPr="000470FD" w:rsidRDefault="000470FD" w:rsidP="000470FD">
            <w:pPr>
              <w:ind w:firstLine="37"/>
              <w:rPr>
                <w:lang w:eastAsia="ru-RU"/>
              </w:rPr>
            </w:pPr>
          </w:p>
        </w:tc>
        <w:tc>
          <w:tcPr>
            <w:tcW w:w="2608" w:type="dxa"/>
            <w:vMerge/>
            <w:tcBorders>
              <w:top w:val="nil"/>
              <w:left w:val="single" w:sz="4" w:space="0" w:color="auto"/>
              <w:bottom w:val="single" w:sz="4" w:space="0" w:color="auto"/>
              <w:right w:val="single" w:sz="4" w:space="0" w:color="auto"/>
            </w:tcBorders>
            <w:shd w:val="clear" w:color="auto" w:fill="auto"/>
            <w:vAlign w:val="center"/>
            <w:hideMark/>
          </w:tcPr>
          <w:p w14:paraId="4A6554FF" w14:textId="77777777" w:rsidR="000470FD" w:rsidRPr="000470FD" w:rsidRDefault="000470FD" w:rsidP="000470FD">
            <w:pPr>
              <w:ind w:firstLine="37"/>
              <w:rPr>
                <w:lang w:eastAsia="ru-RU"/>
              </w:rPr>
            </w:pPr>
          </w:p>
        </w:tc>
        <w:tc>
          <w:tcPr>
            <w:tcW w:w="2608" w:type="dxa"/>
            <w:vMerge/>
            <w:tcBorders>
              <w:top w:val="nil"/>
              <w:left w:val="single" w:sz="4" w:space="0" w:color="auto"/>
              <w:bottom w:val="single" w:sz="4" w:space="0" w:color="auto"/>
              <w:right w:val="single" w:sz="4" w:space="0" w:color="auto"/>
            </w:tcBorders>
            <w:shd w:val="clear" w:color="auto" w:fill="auto"/>
            <w:vAlign w:val="center"/>
            <w:hideMark/>
          </w:tcPr>
          <w:p w14:paraId="2C7A9D05" w14:textId="77777777" w:rsidR="000470FD" w:rsidRPr="000470FD" w:rsidRDefault="000470FD" w:rsidP="000470FD">
            <w:pPr>
              <w:ind w:firstLine="37"/>
              <w:rPr>
                <w:lang w:eastAsia="ru-RU"/>
              </w:rPr>
            </w:pPr>
          </w:p>
        </w:tc>
        <w:tc>
          <w:tcPr>
            <w:tcW w:w="2607" w:type="dxa"/>
            <w:tcBorders>
              <w:top w:val="nil"/>
              <w:left w:val="nil"/>
              <w:bottom w:val="single" w:sz="4" w:space="0" w:color="auto"/>
              <w:right w:val="single" w:sz="4" w:space="0" w:color="auto"/>
            </w:tcBorders>
            <w:shd w:val="clear" w:color="auto" w:fill="auto"/>
            <w:vAlign w:val="center"/>
            <w:hideMark/>
          </w:tcPr>
          <w:p w14:paraId="76E68F3F" w14:textId="2E9461CA" w:rsidR="000470FD" w:rsidRPr="000470FD" w:rsidRDefault="000470FD" w:rsidP="000470FD">
            <w:pPr>
              <w:ind w:firstLine="37"/>
              <w:rPr>
                <w:lang w:eastAsia="ru-RU"/>
              </w:rPr>
            </w:pPr>
            <w:r w:rsidRPr="000470FD">
              <w:t>Расстояние от объекта до административного центра населенного пункта</w:t>
            </w:r>
          </w:p>
        </w:tc>
        <w:tc>
          <w:tcPr>
            <w:tcW w:w="1958" w:type="dxa"/>
            <w:tcBorders>
              <w:top w:val="nil"/>
              <w:left w:val="nil"/>
              <w:bottom w:val="single" w:sz="4" w:space="0" w:color="auto"/>
              <w:right w:val="single" w:sz="4" w:space="0" w:color="auto"/>
            </w:tcBorders>
            <w:shd w:val="clear" w:color="auto" w:fill="auto"/>
            <w:vAlign w:val="center"/>
            <w:hideMark/>
          </w:tcPr>
          <w:p w14:paraId="06125A34" w14:textId="5E348E3A" w:rsidR="000470FD" w:rsidRPr="000470FD" w:rsidRDefault="000470FD" w:rsidP="000470FD">
            <w:pPr>
              <w:ind w:firstLine="37"/>
              <w:rPr>
                <w:lang w:eastAsia="ru-RU"/>
              </w:rPr>
            </w:pPr>
            <w:r w:rsidRPr="000470FD">
              <w:t>0,577898</w:t>
            </w:r>
          </w:p>
        </w:tc>
        <w:tc>
          <w:tcPr>
            <w:tcW w:w="1985" w:type="dxa"/>
            <w:tcBorders>
              <w:top w:val="nil"/>
              <w:left w:val="nil"/>
              <w:bottom w:val="single" w:sz="4" w:space="0" w:color="auto"/>
              <w:right w:val="single" w:sz="4" w:space="0" w:color="auto"/>
            </w:tcBorders>
            <w:shd w:val="clear" w:color="auto" w:fill="auto"/>
            <w:vAlign w:val="center"/>
            <w:hideMark/>
          </w:tcPr>
          <w:p w14:paraId="091B292D" w14:textId="5F0AA91A" w:rsidR="000470FD" w:rsidRPr="000470FD" w:rsidRDefault="000470FD" w:rsidP="000470FD">
            <w:pPr>
              <w:ind w:firstLine="37"/>
              <w:rPr>
                <w:lang w:eastAsia="ru-RU"/>
              </w:rPr>
            </w:pPr>
            <w:r w:rsidRPr="000470FD">
              <w:t>200 - 15350</w:t>
            </w:r>
          </w:p>
        </w:tc>
        <w:tc>
          <w:tcPr>
            <w:tcW w:w="1701" w:type="dxa"/>
            <w:tcBorders>
              <w:top w:val="nil"/>
              <w:left w:val="nil"/>
              <w:bottom w:val="single" w:sz="4" w:space="0" w:color="auto"/>
              <w:right w:val="single" w:sz="4" w:space="0" w:color="auto"/>
            </w:tcBorders>
            <w:shd w:val="clear" w:color="auto" w:fill="auto"/>
            <w:noWrap/>
            <w:vAlign w:val="bottom"/>
            <w:hideMark/>
          </w:tcPr>
          <w:p w14:paraId="7207643C" w14:textId="77777777" w:rsidR="000470FD" w:rsidRPr="000470FD" w:rsidRDefault="000470FD" w:rsidP="000470FD">
            <w:pPr>
              <w:ind w:firstLine="37"/>
              <w:rPr>
                <w:lang w:eastAsia="ru-RU"/>
              </w:rPr>
            </w:pPr>
            <w:r w:rsidRPr="000470FD">
              <w:rPr>
                <w:lang w:eastAsia="ru-RU"/>
              </w:rPr>
              <w:t> </w:t>
            </w:r>
          </w:p>
        </w:tc>
      </w:tr>
      <w:tr w:rsidR="000470FD" w:rsidRPr="00727235" w14:paraId="6951A7CC" w14:textId="77777777" w:rsidTr="000470FD">
        <w:trPr>
          <w:trHeight w:val="315"/>
        </w:trPr>
        <w:tc>
          <w:tcPr>
            <w:tcW w:w="1134" w:type="dxa"/>
            <w:vMerge/>
            <w:tcBorders>
              <w:top w:val="nil"/>
              <w:left w:val="single" w:sz="4" w:space="0" w:color="auto"/>
              <w:bottom w:val="single" w:sz="4" w:space="0" w:color="auto"/>
              <w:right w:val="single" w:sz="4" w:space="0" w:color="auto"/>
            </w:tcBorders>
            <w:shd w:val="clear" w:color="auto" w:fill="auto"/>
            <w:vAlign w:val="center"/>
            <w:hideMark/>
          </w:tcPr>
          <w:p w14:paraId="4A5A8A0C" w14:textId="77777777" w:rsidR="000470FD" w:rsidRPr="000470FD" w:rsidRDefault="000470FD" w:rsidP="000470FD">
            <w:pPr>
              <w:ind w:firstLine="37"/>
              <w:rPr>
                <w:lang w:eastAsia="ru-RU"/>
              </w:rPr>
            </w:pPr>
          </w:p>
        </w:tc>
        <w:tc>
          <w:tcPr>
            <w:tcW w:w="2608" w:type="dxa"/>
            <w:vMerge/>
            <w:tcBorders>
              <w:top w:val="nil"/>
              <w:left w:val="single" w:sz="4" w:space="0" w:color="auto"/>
              <w:bottom w:val="single" w:sz="4" w:space="0" w:color="auto"/>
              <w:right w:val="single" w:sz="4" w:space="0" w:color="auto"/>
            </w:tcBorders>
            <w:shd w:val="clear" w:color="auto" w:fill="auto"/>
            <w:vAlign w:val="center"/>
            <w:hideMark/>
          </w:tcPr>
          <w:p w14:paraId="0E6EB9E4" w14:textId="77777777" w:rsidR="000470FD" w:rsidRPr="000470FD" w:rsidRDefault="000470FD" w:rsidP="000470FD">
            <w:pPr>
              <w:ind w:firstLine="37"/>
              <w:rPr>
                <w:lang w:eastAsia="ru-RU"/>
              </w:rPr>
            </w:pPr>
          </w:p>
        </w:tc>
        <w:tc>
          <w:tcPr>
            <w:tcW w:w="2608" w:type="dxa"/>
            <w:vMerge/>
            <w:tcBorders>
              <w:top w:val="nil"/>
              <w:left w:val="single" w:sz="4" w:space="0" w:color="auto"/>
              <w:bottom w:val="single" w:sz="4" w:space="0" w:color="auto"/>
              <w:right w:val="single" w:sz="4" w:space="0" w:color="auto"/>
            </w:tcBorders>
            <w:shd w:val="clear" w:color="auto" w:fill="auto"/>
            <w:vAlign w:val="center"/>
            <w:hideMark/>
          </w:tcPr>
          <w:p w14:paraId="48DE16E6" w14:textId="77777777" w:rsidR="000470FD" w:rsidRPr="000470FD" w:rsidRDefault="000470FD" w:rsidP="000470FD">
            <w:pPr>
              <w:ind w:firstLine="37"/>
              <w:rPr>
                <w:lang w:eastAsia="ru-RU"/>
              </w:rPr>
            </w:pPr>
          </w:p>
        </w:tc>
        <w:tc>
          <w:tcPr>
            <w:tcW w:w="2607" w:type="dxa"/>
            <w:tcBorders>
              <w:top w:val="nil"/>
              <w:left w:val="nil"/>
              <w:bottom w:val="single" w:sz="4" w:space="0" w:color="auto"/>
              <w:right w:val="single" w:sz="4" w:space="0" w:color="auto"/>
            </w:tcBorders>
            <w:shd w:val="clear" w:color="auto" w:fill="auto"/>
            <w:vAlign w:val="center"/>
            <w:hideMark/>
          </w:tcPr>
          <w:p w14:paraId="0B2162CE" w14:textId="043FF873" w:rsidR="000470FD" w:rsidRPr="000470FD" w:rsidRDefault="000470FD" w:rsidP="000470FD">
            <w:pPr>
              <w:ind w:firstLine="37"/>
              <w:rPr>
                <w:lang w:eastAsia="ru-RU"/>
              </w:rPr>
            </w:pPr>
            <w:r w:rsidRPr="000470FD">
              <w:t>Физический износ_ЗП</w:t>
            </w:r>
          </w:p>
        </w:tc>
        <w:tc>
          <w:tcPr>
            <w:tcW w:w="1958" w:type="dxa"/>
            <w:tcBorders>
              <w:top w:val="nil"/>
              <w:left w:val="nil"/>
              <w:bottom w:val="single" w:sz="4" w:space="0" w:color="auto"/>
              <w:right w:val="single" w:sz="4" w:space="0" w:color="auto"/>
            </w:tcBorders>
            <w:shd w:val="clear" w:color="auto" w:fill="auto"/>
            <w:vAlign w:val="center"/>
            <w:hideMark/>
          </w:tcPr>
          <w:p w14:paraId="1AD825DF" w14:textId="006007AB" w:rsidR="000470FD" w:rsidRPr="000470FD" w:rsidRDefault="000470FD" w:rsidP="000470FD">
            <w:pPr>
              <w:ind w:firstLine="37"/>
              <w:rPr>
                <w:lang w:eastAsia="ru-RU"/>
              </w:rPr>
            </w:pPr>
            <w:r w:rsidRPr="000470FD">
              <w:t>0,202701</w:t>
            </w:r>
          </w:p>
        </w:tc>
        <w:tc>
          <w:tcPr>
            <w:tcW w:w="1985" w:type="dxa"/>
            <w:tcBorders>
              <w:top w:val="nil"/>
              <w:left w:val="nil"/>
              <w:bottom w:val="single" w:sz="4" w:space="0" w:color="auto"/>
              <w:right w:val="single" w:sz="4" w:space="0" w:color="auto"/>
            </w:tcBorders>
            <w:shd w:val="clear" w:color="auto" w:fill="auto"/>
            <w:vAlign w:val="center"/>
            <w:hideMark/>
          </w:tcPr>
          <w:p w14:paraId="713195DB" w14:textId="0F2F4513" w:rsidR="000470FD" w:rsidRPr="000470FD" w:rsidRDefault="000470FD" w:rsidP="000470FD">
            <w:pPr>
              <w:ind w:firstLine="37"/>
              <w:rPr>
                <w:lang w:eastAsia="ru-RU"/>
              </w:rPr>
            </w:pPr>
            <w:r w:rsidRPr="000470FD">
              <w:t>0.01 - 0.81</w:t>
            </w:r>
          </w:p>
        </w:tc>
        <w:tc>
          <w:tcPr>
            <w:tcW w:w="1701" w:type="dxa"/>
            <w:tcBorders>
              <w:top w:val="nil"/>
              <w:left w:val="nil"/>
              <w:bottom w:val="single" w:sz="4" w:space="0" w:color="auto"/>
              <w:right w:val="single" w:sz="4" w:space="0" w:color="auto"/>
            </w:tcBorders>
            <w:shd w:val="clear" w:color="auto" w:fill="auto"/>
            <w:noWrap/>
            <w:vAlign w:val="bottom"/>
            <w:hideMark/>
          </w:tcPr>
          <w:p w14:paraId="164ED518" w14:textId="77777777" w:rsidR="000470FD" w:rsidRPr="000470FD" w:rsidRDefault="000470FD" w:rsidP="000470FD">
            <w:pPr>
              <w:ind w:firstLine="37"/>
              <w:rPr>
                <w:lang w:eastAsia="ru-RU"/>
              </w:rPr>
            </w:pPr>
            <w:r w:rsidRPr="000470FD">
              <w:rPr>
                <w:lang w:eastAsia="ru-RU"/>
              </w:rPr>
              <w:t> </w:t>
            </w:r>
          </w:p>
        </w:tc>
      </w:tr>
      <w:tr w:rsidR="000470FD" w:rsidRPr="00727235" w14:paraId="3BB6B095" w14:textId="77777777" w:rsidTr="000470FD">
        <w:trPr>
          <w:trHeight w:val="315"/>
        </w:trPr>
        <w:tc>
          <w:tcPr>
            <w:tcW w:w="1134" w:type="dxa"/>
            <w:vMerge/>
            <w:tcBorders>
              <w:top w:val="nil"/>
              <w:left w:val="single" w:sz="4" w:space="0" w:color="auto"/>
              <w:bottom w:val="single" w:sz="4" w:space="0" w:color="auto"/>
              <w:right w:val="single" w:sz="4" w:space="0" w:color="auto"/>
            </w:tcBorders>
            <w:shd w:val="clear" w:color="auto" w:fill="auto"/>
            <w:vAlign w:val="center"/>
            <w:hideMark/>
          </w:tcPr>
          <w:p w14:paraId="7C9F3225" w14:textId="77777777" w:rsidR="000470FD" w:rsidRPr="000470FD" w:rsidRDefault="000470FD" w:rsidP="000470FD">
            <w:pPr>
              <w:ind w:firstLine="37"/>
              <w:rPr>
                <w:lang w:eastAsia="ru-RU"/>
              </w:rPr>
            </w:pPr>
          </w:p>
        </w:tc>
        <w:tc>
          <w:tcPr>
            <w:tcW w:w="2608" w:type="dxa"/>
            <w:vMerge/>
            <w:tcBorders>
              <w:top w:val="nil"/>
              <w:left w:val="single" w:sz="4" w:space="0" w:color="auto"/>
              <w:bottom w:val="single" w:sz="4" w:space="0" w:color="auto"/>
              <w:right w:val="single" w:sz="4" w:space="0" w:color="auto"/>
            </w:tcBorders>
            <w:shd w:val="clear" w:color="auto" w:fill="auto"/>
            <w:vAlign w:val="center"/>
            <w:hideMark/>
          </w:tcPr>
          <w:p w14:paraId="0253AB02" w14:textId="77777777" w:rsidR="000470FD" w:rsidRPr="000470FD" w:rsidRDefault="000470FD" w:rsidP="000470FD">
            <w:pPr>
              <w:ind w:firstLine="37"/>
              <w:rPr>
                <w:lang w:eastAsia="ru-RU"/>
              </w:rPr>
            </w:pPr>
          </w:p>
        </w:tc>
        <w:tc>
          <w:tcPr>
            <w:tcW w:w="2608" w:type="dxa"/>
            <w:vMerge/>
            <w:tcBorders>
              <w:top w:val="nil"/>
              <w:left w:val="single" w:sz="4" w:space="0" w:color="auto"/>
              <w:bottom w:val="single" w:sz="4" w:space="0" w:color="auto"/>
              <w:right w:val="single" w:sz="4" w:space="0" w:color="auto"/>
            </w:tcBorders>
            <w:shd w:val="clear" w:color="auto" w:fill="auto"/>
            <w:vAlign w:val="center"/>
            <w:hideMark/>
          </w:tcPr>
          <w:p w14:paraId="5ED41F0D" w14:textId="77777777" w:rsidR="000470FD" w:rsidRPr="000470FD" w:rsidRDefault="000470FD" w:rsidP="000470FD">
            <w:pPr>
              <w:ind w:firstLine="37"/>
              <w:rPr>
                <w:lang w:eastAsia="ru-RU"/>
              </w:rPr>
            </w:pPr>
          </w:p>
        </w:tc>
        <w:tc>
          <w:tcPr>
            <w:tcW w:w="2607" w:type="dxa"/>
            <w:tcBorders>
              <w:top w:val="nil"/>
              <w:left w:val="nil"/>
              <w:bottom w:val="single" w:sz="4" w:space="0" w:color="auto"/>
              <w:right w:val="single" w:sz="4" w:space="0" w:color="auto"/>
            </w:tcBorders>
            <w:shd w:val="clear" w:color="auto" w:fill="auto"/>
            <w:vAlign w:val="center"/>
            <w:hideMark/>
          </w:tcPr>
          <w:p w14:paraId="0AB81FD4" w14:textId="0A60F1E2" w:rsidR="000470FD" w:rsidRPr="005376A2" w:rsidRDefault="000470FD" w:rsidP="000470FD">
            <w:pPr>
              <w:ind w:firstLine="37"/>
              <w:rPr>
                <w:szCs w:val="24"/>
                <w:lang w:eastAsia="ru-RU"/>
              </w:rPr>
            </w:pPr>
            <w:r w:rsidRPr="005376A2">
              <w:rPr>
                <w:i/>
                <w:iCs/>
                <w:szCs w:val="24"/>
              </w:rPr>
              <w:t>Свободный член</w:t>
            </w:r>
          </w:p>
        </w:tc>
        <w:tc>
          <w:tcPr>
            <w:tcW w:w="1958" w:type="dxa"/>
            <w:tcBorders>
              <w:top w:val="nil"/>
              <w:left w:val="nil"/>
              <w:bottom w:val="single" w:sz="4" w:space="0" w:color="auto"/>
              <w:right w:val="single" w:sz="4" w:space="0" w:color="auto"/>
            </w:tcBorders>
            <w:shd w:val="clear" w:color="auto" w:fill="auto"/>
            <w:vAlign w:val="center"/>
            <w:hideMark/>
          </w:tcPr>
          <w:p w14:paraId="54A9B3EC" w14:textId="69424098" w:rsidR="000470FD" w:rsidRPr="000470FD" w:rsidRDefault="000470FD" w:rsidP="000470FD">
            <w:pPr>
              <w:ind w:firstLine="37"/>
              <w:rPr>
                <w:lang w:eastAsia="ru-RU"/>
              </w:rPr>
            </w:pPr>
            <w:r w:rsidRPr="000470FD">
              <w:t>64386,3</w:t>
            </w:r>
          </w:p>
        </w:tc>
        <w:tc>
          <w:tcPr>
            <w:tcW w:w="1985" w:type="dxa"/>
            <w:tcBorders>
              <w:top w:val="nil"/>
              <w:left w:val="nil"/>
              <w:bottom w:val="single" w:sz="4" w:space="0" w:color="auto"/>
              <w:right w:val="single" w:sz="4" w:space="0" w:color="auto"/>
            </w:tcBorders>
            <w:shd w:val="clear" w:color="auto" w:fill="auto"/>
            <w:noWrap/>
            <w:vAlign w:val="bottom"/>
            <w:hideMark/>
          </w:tcPr>
          <w:p w14:paraId="0D684F83" w14:textId="124FA9EA" w:rsidR="000470FD" w:rsidRPr="000470FD" w:rsidRDefault="000470FD" w:rsidP="000470FD">
            <w:pPr>
              <w:ind w:firstLine="37"/>
              <w:rPr>
                <w:lang w:eastAsia="ru-RU"/>
              </w:rPr>
            </w:pPr>
            <w:r w:rsidRPr="000470FD">
              <w:t> </w:t>
            </w:r>
          </w:p>
        </w:tc>
        <w:tc>
          <w:tcPr>
            <w:tcW w:w="1701" w:type="dxa"/>
            <w:tcBorders>
              <w:top w:val="nil"/>
              <w:left w:val="nil"/>
              <w:bottom w:val="single" w:sz="4" w:space="0" w:color="auto"/>
              <w:right w:val="single" w:sz="4" w:space="0" w:color="auto"/>
            </w:tcBorders>
            <w:shd w:val="clear" w:color="auto" w:fill="auto"/>
            <w:noWrap/>
            <w:vAlign w:val="bottom"/>
            <w:hideMark/>
          </w:tcPr>
          <w:p w14:paraId="75BF01D8" w14:textId="77777777" w:rsidR="000470FD" w:rsidRPr="000470FD" w:rsidRDefault="000470FD" w:rsidP="000470FD">
            <w:pPr>
              <w:ind w:firstLine="37"/>
              <w:rPr>
                <w:lang w:eastAsia="ru-RU"/>
              </w:rPr>
            </w:pPr>
            <w:r w:rsidRPr="000470FD">
              <w:rPr>
                <w:lang w:eastAsia="ru-RU"/>
              </w:rPr>
              <w:t> </w:t>
            </w:r>
          </w:p>
        </w:tc>
      </w:tr>
    </w:tbl>
    <w:p w14:paraId="70442CB4" w14:textId="4D9F4D2D" w:rsidR="00E539D7" w:rsidRDefault="00E539D7" w:rsidP="00727235">
      <w:pPr>
        <w:rPr>
          <w:highlight w:val="yellow"/>
        </w:rPr>
      </w:pPr>
    </w:p>
    <w:p w14:paraId="736095FB" w14:textId="77777777" w:rsidR="00E539D7" w:rsidRPr="00727235" w:rsidRDefault="00E539D7" w:rsidP="00727235">
      <w:pPr>
        <w:rPr>
          <w:highlight w:val="yellow"/>
        </w:rPr>
      </w:pPr>
    </w:p>
    <w:p w14:paraId="55C409B5" w14:textId="4B20FB47" w:rsidR="00727235" w:rsidRPr="004F3111" w:rsidRDefault="00727235" w:rsidP="00727235">
      <w:pPr>
        <w:rPr>
          <w:b/>
        </w:rPr>
      </w:pPr>
      <w:r w:rsidRPr="004F3111">
        <w:rPr>
          <w:b/>
        </w:rPr>
        <w:t>Подгруппа 1.</w:t>
      </w:r>
      <w:r w:rsidR="004F3111" w:rsidRPr="004F3111">
        <w:rPr>
          <w:b/>
        </w:rPr>
        <w:t>5</w:t>
      </w:r>
      <w:r w:rsidRPr="004F3111">
        <w:rPr>
          <w:b/>
        </w:rPr>
        <w:t xml:space="preserve">. Помещение в </w:t>
      </w:r>
      <w:r w:rsidR="004F3111">
        <w:rPr>
          <w:b/>
        </w:rPr>
        <w:t>остальных</w:t>
      </w:r>
      <w:r w:rsidRPr="004F3111">
        <w:rPr>
          <w:b/>
        </w:rPr>
        <w:t xml:space="preserve"> ГНП</w:t>
      </w:r>
      <w:r w:rsidR="004F3111" w:rsidRPr="004F3111">
        <w:rPr>
          <w:b/>
        </w:rPr>
        <w:t xml:space="preserve"> с полными характеристиками</w:t>
      </w:r>
      <w:r w:rsidRPr="004F3111">
        <w:rPr>
          <w:b/>
        </w:rPr>
        <w:t>»</w:t>
      </w:r>
    </w:p>
    <w:p w14:paraId="5CB54137" w14:textId="77777777" w:rsidR="00727235" w:rsidRPr="00727235" w:rsidRDefault="00727235" w:rsidP="00727235">
      <w:r w:rsidRPr="00727235">
        <w:t>Для целей построения статистической моделей произведен выбор ценообразующих факторов, исходя из критериев, описанных в данном пункте Отчета выше. Обоснование использования ценообразующих факторов в статистической модели оценки объектов недвижимости приведено в нижеуказанной таблице.</w:t>
      </w:r>
    </w:p>
    <w:p w14:paraId="3093BA5E" w14:textId="77777777" w:rsidR="00727235" w:rsidRPr="00727235" w:rsidRDefault="00727235" w:rsidP="00727235"/>
    <w:p w14:paraId="2E616464" w14:textId="2F1FF708" w:rsidR="00727235" w:rsidRDefault="00727235" w:rsidP="00727235">
      <w:pPr>
        <w:rPr>
          <w:lang w:eastAsia="ru-RU"/>
        </w:rPr>
      </w:pPr>
      <w:r w:rsidRPr="00727235">
        <w:rPr>
          <w:lang w:eastAsia="ru-RU"/>
        </w:rPr>
        <w:t xml:space="preserve">Таблица </w:t>
      </w:r>
      <w:r w:rsidRPr="00727235">
        <w:rPr>
          <w:lang w:eastAsia="ru-RU"/>
        </w:rPr>
        <w:fldChar w:fldCharType="begin"/>
      </w:r>
      <w:r w:rsidRPr="00727235">
        <w:rPr>
          <w:lang w:eastAsia="ru-RU"/>
        </w:rPr>
        <w:instrText xml:space="preserve"> SEQ Таблица \* ARABIC </w:instrText>
      </w:r>
      <w:r w:rsidRPr="00727235">
        <w:rPr>
          <w:lang w:eastAsia="ru-RU"/>
        </w:rPr>
        <w:fldChar w:fldCharType="separate"/>
      </w:r>
      <w:r w:rsidR="00FD2769">
        <w:rPr>
          <w:noProof/>
          <w:lang w:eastAsia="ru-RU"/>
        </w:rPr>
        <w:t>58</w:t>
      </w:r>
      <w:r w:rsidRPr="00727235">
        <w:rPr>
          <w:lang w:eastAsia="ru-RU"/>
        </w:rPr>
        <w:fldChar w:fldCharType="end"/>
      </w:r>
      <w:r w:rsidRPr="00727235">
        <w:rPr>
          <w:lang w:eastAsia="ru-RU"/>
        </w:rPr>
        <w:t xml:space="preserve"> </w:t>
      </w:r>
      <w:r w:rsidR="00F154AB" w:rsidRPr="00F154AB">
        <w:rPr>
          <w:rFonts w:eastAsia="Times New Roman" w:cs="Times New Roman"/>
          <w:bCs/>
          <w:color w:val="000000"/>
          <w:szCs w:val="24"/>
          <w:lang w:eastAsia="ru-RU"/>
        </w:rPr>
        <w:t>Факторы стоимости, выбранные для построения моделей группы "1. Многоквартирные дома (дома средне- и многоэтажной жилой застройки)", подгруппа "</w:t>
      </w:r>
      <w:r w:rsidR="000470FD">
        <w:rPr>
          <w:rFonts w:eastAsia="Times New Roman" w:cs="Times New Roman"/>
          <w:bCs/>
          <w:color w:val="000000"/>
          <w:szCs w:val="24"/>
          <w:lang w:eastAsia="ru-RU"/>
        </w:rPr>
        <w:t>Помещения иные ГНП с п/х 1.5.</w:t>
      </w:r>
      <w:r w:rsidR="00F154AB" w:rsidRPr="00F154AB">
        <w:rPr>
          <w:rFonts w:eastAsia="Times New Roman" w:cs="Times New Roman"/>
          <w:bCs/>
          <w:color w:val="000000"/>
          <w:szCs w:val="24"/>
          <w:lang w:eastAsia="ru-RU"/>
        </w:rPr>
        <w:t>". Тип расчета: по удельной стоимости.</w:t>
      </w:r>
      <w:r w:rsidR="00F154AB">
        <w:rPr>
          <w:rFonts w:eastAsia="Times New Roman" w:cs="Times New Roman"/>
          <w:b/>
          <w:bCs/>
          <w:color w:val="000000"/>
          <w:szCs w:val="24"/>
          <w:lang w:eastAsia="ru-RU"/>
        </w:rPr>
        <w:t xml:space="preserve"> </w:t>
      </w:r>
    </w:p>
    <w:p w14:paraId="1C7B5627" w14:textId="6A4DA278" w:rsidR="00F154AB" w:rsidRDefault="00F154AB" w:rsidP="00311405">
      <w:pPr>
        <w:ind w:firstLine="0"/>
        <w:rPr>
          <w:lang w:eastAsia="ru-RU"/>
        </w:rPr>
      </w:pPr>
    </w:p>
    <w:tbl>
      <w:tblPr>
        <w:tblW w:w="5000" w:type="pct"/>
        <w:tblLook w:val="04A0" w:firstRow="1" w:lastRow="0" w:firstColumn="1" w:lastColumn="0" w:noHBand="0" w:noVBand="1"/>
      </w:tblPr>
      <w:tblGrid>
        <w:gridCol w:w="540"/>
        <w:gridCol w:w="3184"/>
        <w:gridCol w:w="1636"/>
        <w:gridCol w:w="1636"/>
        <w:gridCol w:w="1904"/>
        <w:gridCol w:w="5660"/>
      </w:tblGrid>
      <w:tr w:rsidR="00F154AB" w:rsidRPr="00F154AB" w14:paraId="1EABB001" w14:textId="77777777" w:rsidTr="00F154AB">
        <w:trPr>
          <w:trHeight w:val="1545"/>
          <w:tblHeader/>
        </w:trPr>
        <w:tc>
          <w:tcPr>
            <w:tcW w:w="185"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0EFB46DF" w14:textId="77777777" w:rsidR="00F154AB" w:rsidRPr="00F154AB" w:rsidRDefault="00F154AB" w:rsidP="00F154AB">
            <w:pPr>
              <w:ind w:firstLine="0"/>
              <w:jc w:val="center"/>
              <w:rPr>
                <w:rFonts w:eastAsia="Times New Roman" w:cs="Times New Roman"/>
                <w:color w:val="000000"/>
                <w:szCs w:val="24"/>
                <w:lang w:eastAsia="ru-RU"/>
              </w:rPr>
            </w:pPr>
            <w:r w:rsidRPr="00F154AB">
              <w:rPr>
                <w:rFonts w:eastAsia="Times New Roman" w:cs="Times New Roman"/>
                <w:color w:val="000000"/>
                <w:szCs w:val="24"/>
                <w:lang w:eastAsia="ru-RU"/>
              </w:rPr>
              <w:t>№ п/п</w:t>
            </w:r>
          </w:p>
        </w:tc>
        <w:tc>
          <w:tcPr>
            <w:tcW w:w="1116" w:type="pct"/>
            <w:tcBorders>
              <w:top w:val="single" w:sz="4" w:space="0" w:color="000000"/>
              <w:left w:val="nil"/>
              <w:bottom w:val="single" w:sz="4" w:space="0" w:color="000000"/>
              <w:right w:val="single" w:sz="4" w:space="0" w:color="000000"/>
            </w:tcBorders>
            <w:shd w:val="clear" w:color="auto" w:fill="auto"/>
            <w:vAlign w:val="center"/>
            <w:hideMark/>
          </w:tcPr>
          <w:p w14:paraId="58DAA117" w14:textId="77777777" w:rsidR="00F154AB" w:rsidRPr="00F154AB" w:rsidRDefault="00F154AB" w:rsidP="00F154AB">
            <w:pPr>
              <w:ind w:firstLine="0"/>
              <w:jc w:val="center"/>
              <w:rPr>
                <w:rFonts w:eastAsia="Times New Roman" w:cs="Times New Roman"/>
                <w:color w:val="000000"/>
                <w:szCs w:val="24"/>
                <w:lang w:eastAsia="ru-RU"/>
              </w:rPr>
            </w:pPr>
            <w:r w:rsidRPr="00F154AB">
              <w:rPr>
                <w:rFonts w:eastAsia="Times New Roman" w:cs="Times New Roman"/>
                <w:color w:val="000000"/>
                <w:szCs w:val="24"/>
                <w:lang w:eastAsia="ru-RU"/>
              </w:rPr>
              <w:t>Наименование фактора стоимости</w:t>
            </w:r>
          </w:p>
        </w:tc>
        <w:tc>
          <w:tcPr>
            <w:tcW w:w="562" w:type="pct"/>
            <w:tcBorders>
              <w:top w:val="single" w:sz="4" w:space="0" w:color="000000"/>
              <w:left w:val="nil"/>
              <w:bottom w:val="single" w:sz="4" w:space="0" w:color="000000"/>
              <w:right w:val="single" w:sz="4" w:space="0" w:color="000000"/>
            </w:tcBorders>
            <w:shd w:val="clear" w:color="auto" w:fill="auto"/>
            <w:vAlign w:val="center"/>
            <w:hideMark/>
          </w:tcPr>
          <w:p w14:paraId="5662E584" w14:textId="77777777" w:rsidR="00F154AB" w:rsidRPr="00F154AB" w:rsidRDefault="00F154AB" w:rsidP="00F154AB">
            <w:pPr>
              <w:ind w:firstLine="0"/>
              <w:jc w:val="center"/>
              <w:rPr>
                <w:rFonts w:eastAsia="Times New Roman" w:cs="Times New Roman"/>
                <w:color w:val="000000"/>
                <w:szCs w:val="24"/>
                <w:lang w:eastAsia="ru-RU"/>
              </w:rPr>
            </w:pPr>
            <w:r w:rsidRPr="00F154AB">
              <w:rPr>
                <w:rFonts w:eastAsia="Times New Roman" w:cs="Times New Roman"/>
                <w:color w:val="000000"/>
                <w:szCs w:val="24"/>
                <w:lang w:eastAsia="ru-RU"/>
              </w:rPr>
              <w:t>Коэффициент корреляции, r</w:t>
            </w:r>
          </w:p>
        </w:tc>
        <w:tc>
          <w:tcPr>
            <w:tcW w:w="471" w:type="pct"/>
            <w:tcBorders>
              <w:top w:val="single" w:sz="4" w:space="0" w:color="000000"/>
              <w:left w:val="nil"/>
              <w:bottom w:val="single" w:sz="4" w:space="0" w:color="000000"/>
              <w:right w:val="single" w:sz="4" w:space="0" w:color="000000"/>
            </w:tcBorders>
            <w:shd w:val="clear" w:color="auto" w:fill="auto"/>
            <w:vAlign w:val="center"/>
            <w:hideMark/>
          </w:tcPr>
          <w:p w14:paraId="2B0BE3F4" w14:textId="77777777" w:rsidR="00F154AB" w:rsidRPr="00F154AB" w:rsidRDefault="00F154AB" w:rsidP="00F154AB">
            <w:pPr>
              <w:ind w:firstLine="0"/>
              <w:jc w:val="center"/>
              <w:rPr>
                <w:rFonts w:eastAsia="Times New Roman" w:cs="Times New Roman"/>
                <w:color w:val="000000"/>
                <w:szCs w:val="24"/>
                <w:lang w:eastAsia="ru-RU"/>
              </w:rPr>
            </w:pPr>
            <w:r w:rsidRPr="00F154AB">
              <w:rPr>
                <w:rFonts w:eastAsia="Times New Roman" w:cs="Times New Roman"/>
                <w:color w:val="000000"/>
                <w:szCs w:val="24"/>
                <w:lang w:eastAsia="ru-RU"/>
              </w:rPr>
              <w:t>Коэффициент значимости, R</w:t>
            </w:r>
          </w:p>
        </w:tc>
        <w:tc>
          <w:tcPr>
            <w:tcW w:w="699" w:type="pct"/>
            <w:tcBorders>
              <w:top w:val="single" w:sz="4" w:space="0" w:color="000000"/>
              <w:left w:val="nil"/>
              <w:bottom w:val="single" w:sz="4" w:space="0" w:color="000000"/>
              <w:right w:val="single" w:sz="4" w:space="0" w:color="000000"/>
            </w:tcBorders>
            <w:shd w:val="clear" w:color="auto" w:fill="auto"/>
            <w:vAlign w:val="center"/>
            <w:hideMark/>
          </w:tcPr>
          <w:p w14:paraId="0234C9CE" w14:textId="77777777" w:rsidR="00F154AB" w:rsidRPr="00F154AB" w:rsidRDefault="00F154AB" w:rsidP="00F154AB">
            <w:pPr>
              <w:ind w:firstLine="0"/>
              <w:jc w:val="center"/>
              <w:rPr>
                <w:rFonts w:eastAsia="Times New Roman" w:cs="Times New Roman"/>
                <w:color w:val="000000"/>
                <w:szCs w:val="24"/>
                <w:lang w:eastAsia="ru-RU"/>
              </w:rPr>
            </w:pPr>
            <w:r w:rsidRPr="00F154AB">
              <w:rPr>
                <w:rFonts w:eastAsia="Times New Roman" w:cs="Times New Roman"/>
                <w:color w:val="000000"/>
                <w:szCs w:val="24"/>
                <w:lang w:eastAsia="ru-RU"/>
              </w:rPr>
              <w:t>Использование фактора для построения модели (да/нет)</w:t>
            </w:r>
          </w:p>
        </w:tc>
        <w:tc>
          <w:tcPr>
            <w:tcW w:w="1966" w:type="pct"/>
            <w:tcBorders>
              <w:top w:val="single" w:sz="4" w:space="0" w:color="000000"/>
              <w:left w:val="nil"/>
              <w:bottom w:val="single" w:sz="4" w:space="0" w:color="000000"/>
              <w:right w:val="single" w:sz="4" w:space="0" w:color="000000"/>
            </w:tcBorders>
            <w:shd w:val="clear" w:color="auto" w:fill="auto"/>
            <w:vAlign w:val="center"/>
            <w:hideMark/>
          </w:tcPr>
          <w:p w14:paraId="3E2EA639" w14:textId="77777777" w:rsidR="00F154AB" w:rsidRPr="00F154AB" w:rsidRDefault="00F154AB" w:rsidP="00F154AB">
            <w:pPr>
              <w:ind w:firstLine="0"/>
              <w:jc w:val="center"/>
              <w:rPr>
                <w:rFonts w:eastAsia="Times New Roman" w:cs="Times New Roman"/>
                <w:color w:val="000000"/>
                <w:szCs w:val="24"/>
                <w:lang w:eastAsia="ru-RU"/>
              </w:rPr>
            </w:pPr>
            <w:r w:rsidRPr="00F154AB">
              <w:rPr>
                <w:rFonts w:eastAsia="Times New Roman" w:cs="Times New Roman"/>
                <w:color w:val="000000"/>
                <w:szCs w:val="24"/>
                <w:lang w:eastAsia="ru-RU"/>
              </w:rPr>
              <w:t>Пояснения по применению ценообразующего фактора для построения модели</w:t>
            </w:r>
          </w:p>
        </w:tc>
      </w:tr>
      <w:tr w:rsidR="00F154AB" w:rsidRPr="00F154AB" w14:paraId="3138CF21" w14:textId="77777777" w:rsidTr="00F154AB">
        <w:trPr>
          <w:trHeight w:val="375"/>
        </w:trPr>
        <w:tc>
          <w:tcPr>
            <w:tcW w:w="185" w:type="pct"/>
            <w:tcBorders>
              <w:top w:val="nil"/>
              <w:left w:val="single" w:sz="4" w:space="0" w:color="000000"/>
              <w:bottom w:val="single" w:sz="4" w:space="0" w:color="000000"/>
              <w:right w:val="single" w:sz="4" w:space="0" w:color="000000"/>
            </w:tcBorders>
            <w:shd w:val="clear" w:color="auto" w:fill="auto"/>
            <w:vAlign w:val="center"/>
            <w:hideMark/>
          </w:tcPr>
          <w:p w14:paraId="3B8BD1EF" w14:textId="77777777" w:rsidR="00F154AB" w:rsidRPr="00F154AB" w:rsidRDefault="00F154AB" w:rsidP="00F154AB">
            <w:pPr>
              <w:ind w:firstLine="0"/>
              <w:jc w:val="center"/>
              <w:rPr>
                <w:rFonts w:eastAsia="Times New Roman" w:cs="Times New Roman"/>
                <w:color w:val="000000"/>
                <w:szCs w:val="24"/>
                <w:lang w:eastAsia="ru-RU"/>
              </w:rPr>
            </w:pPr>
            <w:r w:rsidRPr="00F154AB">
              <w:rPr>
                <w:rFonts w:eastAsia="Times New Roman" w:cs="Times New Roman"/>
                <w:color w:val="000000"/>
                <w:szCs w:val="24"/>
                <w:lang w:eastAsia="ru-RU"/>
              </w:rPr>
              <w:t>1</w:t>
            </w:r>
          </w:p>
        </w:tc>
        <w:tc>
          <w:tcPr>
            <w:tcW w:w="1116" w:type="pct"/>
            <w:tcBorders>
              <w:top w:val="nil"/>
              <w:left w:val="nil"/>
              <w:bottom w:val="single" w:sz="4" w:space="0" w:color="000000"/>
              <w:right w:val="single" w:sz="4" w:space="0" w:color="000000"/>
            </w:tcBorders>
            <w:shd w:val="clear" w:color="auto" w:fill="auto"/>
            <w:vAlign w:val="center"/>
            <w:hideMark/>
          </w:tcPr>
          <w:p w14:paraId="7E0180CF" w14:textId="77777777" w:rsidR="00F154AB" w:rsidRPr="00F154AB" w:rsidRDefault="00F154AB" w:rsidP="00F154AB">
            <w:pPr>
              <w:ind w:firstLine="0"/>
              <w:jc w:val="center"/>
              <w:rPr>
                <w:rFonts w:eastAsia="Times New Roman" w:cs="Times New Roman"/>
                <w:color w:val="000000"/>
                <w:szCs w:val="24"/>
                <w:lang w:eastAsia="ru-RU"/>
              </w:rPr>
            </w:pPr>
            <w:r w:rsidRPr="00F154AB">
              <w:rPr>
                <w:rFonts w:eastAsia="Times New Roman" w:cs="Times New Roman"/>
                <w:color w:val="000000"/>
                <w:szCs w:val="24"/>
                <w:lang w:eastAsia="ru-RU"/>
              </w:rPr>
              <w:t>2</w:t>
            </w:r>
          </w:p>
        </w:tc>
        <w:tc>
          <w:tcPr>
            <w:tcW w:w="562" w:type="pct"/>
            <w:tcBorders>
              <w:top w:val="nil"/>
              <w:left w:val="nil"/>
              <w:bottom w:val="single" w:sz="4" w:space="0" w:color="000000"/>
              <w:right w:val="single" w:sz="4" w:space="0" w:color="000000"/>
            </w:tcBorders>
            <w:shd w:val="clear" w:color="auto" w:fill="auto"/>
            <w:vAlign w:val="center"/>
            <w:hideMark/>
          </w:tcPr>
          <w:p w14:paraId="1AB76DE0" w14:textId="77777777" w:rsidR="00F154AB" w:rsidRPr="00F154AB" w:rsidRDefault="00F154AB" w:rsidP="00F154AB">
            <w:pPr>
              <w:ind w:firstLine="0"/>
              <w:jc w:val="center"/>
              <w:rPr>
                <w:rFonts w:eastAsia="Times New Roman" w:cs="Times New Roman"/>
                <w:color w:val="000000"/>
                <w:szCs w:val="24"/>
                <w:lang w:eastAsia="ru-RU"/>
              </w:rPr>
            </w:pPr>
            <w:r w:rsidRPr="00F154AB">
              <w:rPr>
                <w:rFonts w:eastAsia="Times New Roman" w:cs="Times New Roman"/>
                <w:color w:val="000000"/>
                <w:szCs w:val="24"/>
                <w:lang w:eastAsia="ru-RU"/>
              </w:rPr>
              <w:t>3</w:t>
            </w:r>
          </w:p>
        </w:tc>
        <w:tc>
          <w:tcPr>
            <w:tcW w:w="471" w:type="pct"/>
            <w:tcBorders>
              <w:top w:val="nil"/>
              <w:left w:val="nil"/>
              <w:bottom w:val="single" w:sz="4" w:space="0" w:color="000000"/>
              <w:right w:val="single" w:sz="4" w:space="0" w:color="000000"/>
            </w:tcBorders>
            <w:shd w:val="clear" w:color="auto" w:fill="auto"/>
            <w:vAlign w:val="center"/>
            <w:hideMark/>
          </w:tcPr>
          <w:p w14:paraId="09FEFAC7" w14:textId="77777777" w:rsidR="00F154AB" w:rsidRPr="00F154AB" w:rsidRDefault="00F154AB" w:rsidP="00F154AB">
            <w:pPr>
              <w:ind w:firstLine="0"/>
              <w:jc w:val="center"/>
              <w:rPr>
                <w:rFonts w:eastAsia="Times New Roman" w:cs="Times New Roman"/>
                <w:color w:val="000000"/>
                <w:szCs w:val="24"/>
                <w:lang w:eastAsia="ru-RU"/>
              </w:rPr>
            </w:pPr>
            <w:r w:rsidRPr="00F154AB">
              <w:rPr>
                <w:rFonts w:eastAsia="Times New Roman" w:cs="Times New Roman"/>
                <w:color w:val="000000"/>
                <w:szCs w:val="24"/>
                <w:lang w:eastAsia="ru-RU"/>
              </w:rPr>
              <w:t>4</w:t>
            </w:r>
          </w:p>
        </w:tc>
        <w:tc>
          <w:tcPr>
            <w:tcW w:w="699" w:type="pct"/>
            <w:tcBorders>
              <w:top w:val="nil"/>
              <w:left w:val="nil"/>
              <w:bottom w:val="single" w:sz="4" w:space="0" w:color="000000"/>
              <w:right w:val="single" w:sz="4" w:space="0" w:color="000000"/>
            </w:tcBorders>
            <w:shd w:val="clear" w:color="auto" w:fill="auto"/>
            <w:vAlign w:val="center"/>
            <w:hideMark/>
          </w:tcPr>
          <w:p w14:paraId="15E753F3" w14:textId="77777777" w:rsidR="00F154AB" w:rsidRPr="00F154AB" w:rsidRDefault="00F154AB" w:rsidP="00F154AB">
            <w:pPr>
              <w:ind w:firstLine="0"/>
              <w:jc w:val="center"/>
              <w:rPr>
                <w:rFonts w:eastAsia="Times New Roman" w:cs="Times New Roman"/>
                <w:color w:val="000000"/>
                <w:szCs w:val="24"/>
                <w:lang w:eastAsia="ru-RU"/>
              </w:rPr>
            </w:pPr>
            <w:r w:rsidRPr="00F154AB">
              <w:rPr>
                <w:rFonts w:eastAsia="Times New Roman" w:cs="Times New Roman"/>
                <w:color w:val="000000"/>
                <w:szCs w:val="24"/>
                <w:lang w:eastAsia="ru-RU"/>
              </w:rPr>
              <w:t>5</w:t>
            </w:r>
          </w:p>
        </w:tc>
        <w:tc>
          <w:tcPr>
            <w:tcW w:w="1966" w:type="pct"/>
            <w:tcBorders>
              <w:top w:val="nil"/>
              <w:left w:val="nil"/>
              <w:bottom w:val="single" w:sz="4" w:space="0" w:color="000000"/>
              <w:right w:val="single" w:sz="4" w:space="0" w:color="000000"/>
            </w:tcBorders>
            <w:shd w:val="clear" w:color="auto" w:fill="auto"/>
            <w:vAlign w:val="center"/>
            <w:hideMark/>
          </w:tcPr>
          <w:p w14:paraId="668C58D5" w14:textId="77777777" w:rsidR="00F154AB" w:rsidRPr="00F154AB" w:rsidRDefault="00F154AB" w:rsidP="00F154AB">
            <w:pPr>
              <w:ind w:firstLine="0"/>
              <w:jc w:val="center"/>
              <w:rPr>
                <w:rFonts w:eastAsia="Times New Roman" w:cs="Times New Roman"/>
                <w:color w:val="000000"/>
                <w:szCs w:val="24"/>
                <w:lang w:eastAsia="ru-RU"/>
              </w:rPr>
            </w:pPr>
            <w:r w:rsidRPr="00F154AB">
              <w:rPr>
                <w:rFonts w:eastAsia="Times New Roman" w:cs="Times New Roman"/>
                <w:color w:val="000000"/>
                <w:szCs w:val="24"/>
                <w:lang w:eastAsia="ru-RU"/>
              </w:rPr>
              <w:t>6</w:t>
            </w:r>
          </w:p>
        </w:tc>
      </w:tr>
      <w:tr w:rsidR="00F154AB" w:rsidRPr="00F154AB" w14:paraId="0D9E6BA0" w14:textId="77777777" w:rsidTr="00F154AB">
        <w:trPr>
          <w:trHeight w:val="630"/>
        </w:trPr>
        <w:tc>
          <w:tcPr>
            <w:tcW w:w="185" w:type="pct"/>
            <w:tcBorders>
              <w:top w:val="nil"/>
              <w:left w:val="single" w:sz="4" w:space="0" w:color="000000"/>
              <w:bottom w:val="single" w:sz="4" w:space="0" w:color="000000"/>
              <w:right w:val="single" w:sz="4" w:space="0" w:color="000000"/>
            </w:tcBorders>
            <w:shd w:val="clear" w:color="auto" w:fill="auto"/>
            <w:vAlign w:val="center"/>
            <w:hideMark/>
          </w:tcPr>
          <w:p w14:paraId="6B6EE01B" w14:textId="77777777" w:rsidR="00F154AB" w:rsidRPr="00F154AB" w:rsidRDefault="00F154AB" w:rsidP="00F154AB">
            <w:pPr>
              <w:ind w:firstLine="0"/>
              <w:jc w:val="center"/>
              <w:rPr>
                <w:rFonts w:eastAsia="Times New Roman" w:cs="Times New Roman"/>
                <w:color w:val="000000"/>
                <w:szCs w:val="24"/>
                <w:lang w:eastAsia="ru-RU"/>
              </w:rPr>
            </w:pPr>
            <w:r w:rsidRPr="00F154AB">
              <w:rPr>
                <w:rFonts w:eastAsia="Times New Roman" w:cs="Times New Roman"/>
                <w:color w:val="000000"/>
                <w:szCs w:val="24"/>
                <w:lang w:eastAsia="ru-RU"/>
              </w:rPr>
              <w:t>1</w:t>
            </w:r>
          </w:p>
        </w:tc>
        <w:tc>
          <w:tcPr>
            <w:tcW w:w="1116" w:type="pct"/>
            <w:tcBorders>
              <w:top w:val="nil"/>
              <w:left w:val="nil"/>
              <w:bottom w:val="single" w:sz="4" w:space="0" w:color="000000"/>
              <w:right w:val="single" w:sz="4" w:space="0" w:color="000000"/>
            </w:tcBorders>
            <w:shd w:val="clear" w:color="auto" w:fill="auto"/>
            <w:vAlign w:val="center"/>
            <w:hideMark/>
          </w:tcPr>
          <w:p w14:paraId="179851B7" w14:textId="77777777" w:rsidR="00F154AB" w:rsidRPr="00F154AB" w:rsidRDefault="00F154AB" w:rsidP="00F154AB">
            <w:pPr>
              <w:ind w:firstLine="0"/>
              <w:jc w:val="center"/>
              <w:rPr>
                <w:rFonts w:eastAsia="Times New Roman" w:cs="Times New Roman"/>
                <w:color w:val="000000"/>
                <w:szCs w:val="24"/>
                <w:lang w:eastAsia="ru-RU"/>
              </w:rPr>
            </w:pPr>
            <w:r w:rsidRPr="00F154AB">
              <w:rPr>
                <w:rFonts w:eastAsia="Times New Roman" w:cs="Times New Roman"/>
                <w:color w:val="000000"/>
                <w:szCs w:val="24"/>
                <w:lang w:eastAsia="ru-RU"/>
              </w:rPr>
              <w:t>Канализация</w:t>
            </w:r>
          </w:p>
        </w:tc>
        <w:tc>
          <w:tcPr>
            <w:tcW w:w="562" w:type="pct"/>
            <w:tcBorders>
              <w:top w:val="nil"/>
              <w:left w:val="nil"/>
              <w:bottom w:val="single" w:sz="4" w:space="0" w:color="000000"/>
              <w:right w:val="single" w:sz="4" w:space="0" w:color="000000"/>
            </w:tcBorders>
            <w:shd w:val="clear" w:color="auto" w:fill="auto"/>
            <w:vAlign w:val="center"/>
            <w:hideMark/>
          </w:tcPr>
          <w:p w14:paraId="49838E28" w14:textId="77777777" w:rsidR="00F154AB" w:rsidRPr="00F154AB" w:rsidRDefault="00F154AB" w:rsidP="00F154AB">
            <w:pPr>
              <w:ind w:firstLine="0"/>
              <w:jc w:val="center"/>
              <w:rPr>
                <w:rFonts w:eastAsia="Times New Roman" w:cs="Times New Roman"/>
                <w:color w:val="000000"/>
                <w:szCs w:val="24"/>
                <w:lang w:eastAsia="ru-RU"/>
              </w:rPr>
            </w:pPr>
            <w:r w:rsidRPr="00F154AB">
              <w:rPr>
                <w:rFonts w:eastAsia="Times New Roman" w:cs="Times New Roman"/>
                <w:color w:val="000000"/>
                <w:szCs w:val="24"/>
                <w:lang w:eastAsia="ru-RU"/>
              </w:rPr>
              <w:t>0,012</w:t>
            </w:r>
          </w:p>
        </w:tc>
        <w:tc>
          <w:tcPr>
            <w:tcW w:w="471" w:type="pct"/>
            <w:tcBorders>
              <w:top w:val="nil"/>
              <w:left w:val="nil"/>
              <w:bottom w:val="single" w:sz="4" w:space="0" w:color="000000"/>
              <w:right w:val="single" w:sz="4" w:space="0" w:color="000000"/>
            </w:tcBorders>
            <w:shd w:val="clear" w:color="auto" w:fill="auto"/>
            <w:vAlign w:val="center"/>
            <w:hideMark/>
          </w:tcPr>
          <w:p w14:paraId="56F1629B" w14:textId="77777777" w:rsidR="00F154AB" w:rsidRPr="00F154AB" w:rsidRDefault="00F154AB" w:rsidP="00F154AB">
            <w:pPr>
              <w:ind w:firstLine="0"/>
              <w:jc w:val="center"/>
              <w:rPr>
                <w:rFonts w:eastAsia="Times New Roman" w:cs="Times New Roman"/>
                <w:color w:val="000000"/>
                <w:szCs w:val="24"/>
                <w:lang w:eastAsia="ru-RU"/>
              </w:rPr>
            </w:pPr>
            <w:r w:rsidRPr="00F154AB">
              <w:rPr>
                <w:rFonts w:eastAsia="Times New Roman" w:cs="Times New Roman"/>
                <w:color w:val="000000"/>
                <w:szCs w:val="24"/>
                <w:lang w:eastAsia="ru-RU"/>
              </w:rPr>
              <w:t>0,014</w:t>
            </w:r>
          </w:p>
        </w:tc>
        <w:tc>
          <w:tcPr>
            <w:tcW w:w="699" w:type="pct"/>
            <w:tcBorders>
              <w:top w:val="nil"/>
              <w:left w:val="nil"/>
              <w:bottom w:val="single" w:sz="4" w:space="0" w:color="000000"/>
              <w:right w:val="single" w:sz="4" w:space="0" w:color="000000"/>
            </w:tcBorders>
            <w:shd w:val="clear" w:color="auto" w:fill="auto"/>
            <w:vAlign w:val="center"/>
            <w:hideMark/>
          </w:tcPr>
          <w:p w14:paraId="0560B87E" w14:textId="77777777" w:rsidR="00F154AB" w:rsidRPr="00F154AB" w:rsidRDefault="00F154AB" w:rsidP="00F154AB">
            <w:pPr>
              <w:ind w:firstLine="0"/>
              <w:jc w:val="center"/>
              <w:rPr>
                <w:rFonts w:eastAsia="Times New Roman" w:cs="Times New Roman"/>
                <w:color w:val="000000"/>
                <w:szCs w:val="24"/>
                <w:lang w:eastAsia="ru-RU"/>
              </w:rPr>
            </w:pPr>
            <w:r w:rsidRPr="00F154AB">
              <w:rPr>
                <w:rFonts w:eastAsia="Times New Roman" w:cs="Times New Roman"/>
                <w:color w:val="000000"/>
                <w:szCs w:val="24"/>
                <w:lang w:eastAsia="ru-RU"/>
              </w:rPr>
              <w:t>нет</w:t>
            </w:r>
          </w:p>
        </w:tc>
        <w:tc>
          <w:tcPr>
            <w:tcW w:w="1966" w:type="pct"/>
            <w:tcBorders>
              <w:top w:val="nil"/>
              <w:left w:val="nil"/>
              <w:bottom w:val="single" w:sz="4" w:space="0" w:color="000000"/>
              <w:right w:val="single" w:sz="4" w:space="0" w:color="000000"/>
            </w:tcBorders>
            <w:shd w:val="clear" w:color="auto" w:fill="auto"/>
            <w:vAlign w:val="center"/>
            <w:hideMark/>
          </w:tcPr>
          <w:p w14:paraId="6A9267A1" w14:textId="77777777" w:rsidR="00F154AB" w:rsidRPr="00F154AB" w:rsidRDefault="00F154AB" w:rsidP="00F154AB">
            <w:pPr>
              <w:ind w:firstLine="0"/>
              <w:jc w:val="left"/>
              <w:rPr>
                <w:rFonts w:eastAsia="Times New Roman" w:cs="Times New Roman"/>
                <w:color w:val="000000"/>
                <w:szCs w:val="24"/>
                <w:lang w:eastAsia="ru-RU"/>
              </w:rPr>
            </w:pPr>
            <w:r w:rsidRPr="00F154AB">
              <w:rPr>
                <w:rFonts w:eastAsia="Times New Roman" w:cs="Times New Roman"/>
                <w:color w:val="000000"/>
                <w:szCs w:val="24"/>
                <w:lang w:eastAsia="ru-RU"/>
              </w:rPr>
              <w:t>Коэффициент корреляции ценообразующего фактора очень мал и ценообразующий фактор статистически не значим в модели</w:t>
            </w:r>
          </w:p>
        </w:tc>
      </w:tr>
      <w:tr w:rsidR="00F154AB" w:rsidRPr="00F154AB" w14:paraId="185826D7" w14:textId="77777777" w:rsidTr="00F154AB">
        <w:trPr>
          <w:trHeight w:val="1260"/>
        </w:trPr>
        <w:tc>
          <w:tcPr>
            <w:tcW w:w="185" w:type="pct"/>
            <w:tcBorders>
              <w:top w:val="nil"/>
              <w:left w:val="single" w:sz="4" w:space="0" w:color="000000"/>
              <w:bottom w:val="single" w:sz="4" w:space="0" w:color="000000"/>
              <w:right w:val="single" w:sz="4" w:space="0" w:color="000000"/>
            </w:tcBorders>
            <w:shd w:val="clear" w:color="auto" w:fill="auto"/>
            <w:vAlign w:val="center"/>
            <w:hideMark/>
          </w:tcPr>
          <w:p w14:paraId="11938E54" w14:textId="77777777" w:rsidR="00F154AB" w:rsidRPr="00F154AB" w:rsidRDefault="00F154AB" w:rsidP="00F154AB">
            <w:pPr>
              <w:ind w:firstLine="0"/>
              <w:jc w:val="center"/>
              <w:rPr>
                <w:rFonts w:eastAsia="Times New Roman" w:cs="Times New Roman"/>
                <w:color w:val="000000"/>
                <w:szCs w:val="24"/>
                <w:lang w:eastAsia="ru-RU"/>
              </w:rPr>
            </w:pPr>
            <w:r w:rsidRPr="00F154AB">
              <w:rPr>
                <w:rFonts w:eastAsia="Times New Roman" w:cs="Times New Roman"/>
                <w:color w:val="000000"/>
                <w:szCs w:val="24"/>
                <w:lang w:eastAsia="ru-RU"/>
              </w:rPr>
              <w:t>2</w:t>
            </w:r>
          </w:p>
        </w:tc>
        <w:tc>
          <w:tcPr>
            <w:tcW w:w="1116" w:type="pct"/>
            <w:tcBorders>
              <w:top w:val="nil"/>
              <w:left w:val="nil"/>
              <w:bottom w:val="single" w:sz="4" w:space="0" w:color="000000"/>
              <w:right w:val="single" w:sz="4" w:space="0" w:color="000000"/>
            </w:tcBorders>
            <w:shd w:val="clear" w:color="auto" w:fill="auto"/>
            <w:vAlign w:val="center"/>
            <w:hideMark/>
          </w:tcPr>
          <w:p w14:paraId="64C7DEA4" w14:textId="77777777" w:rsidR="00F154AB" w:rsidRPr="00F154AB" w:rsidRDefault="00F154AB" w:rsidP="00F154AB">
            <w:pPr>
              <w:ind w:firstLine="0"/>
              <w:jc w:val="center"/>
              <w:rPr>
                <w:rFonts w:eastAsia="Times New Roman" w:cs="Times New Roman"/>
                <w:color w:val="000000"/>
                <w:szCs w:val="24"/>
                <w:lang w:eastAsia="ru-RU"/>
              </w:rPr>
            </w:pPr>
            <w:r w:rsidRPr="00F154AB">
              <w:rPr>
                <w:rFonts w:eastAsia="Times New Roman" w:cs="Times New Roman"/>
                <w:color w:val="000000"/>
                <w:szCs w:val="24"/>
                <w:lang w:eastAsia="ru-RU"/>
              </w:rPr>
              <w:t>Количество надземных этажей</w:t>
            </w:r>
          </w:p>
        </w:tc>
        <w:tc>
          <w:tcPr>
            <w:tcW w:w="562" w:type="pct"/>
            <w:tcBorders>
              <w:top w:val="nil"/>
              <w:left w:val="nil"/>
              <w:bottom w:val="single" w:sz="4" w:space="0" w:color="000000"/>
              <w:right w:val="single" w:sz="4" w:space="0" w:color="000000"/>
            </w:tcBorders>
            <w:shd w:val="clear" w:color="auto" w:fill="auto"/>
            <w:vAlign w:val="center"/>
            <w:hideMark/>
          </w:tcPr>
          <w:p w14:paraId="62B52745" w14:textId="77777777" w:rsidR="00F154AB" w:rsidRPr="00F154AB" w:rsidRDefault="00F154AB" w:rsidP="00F154AB">
            <w:pPr>
              <w:ind w:firstLine="0"/>
              <w:jc w:val="center"/>
              <w:rPr>
                <w:rFonts w:eastAsia="Times New Roman" w:cs="Times New Roman"/>
                <w:color w:val="000000"/>
                <w:szCs w:val="24"/>
                <w:lang w:eastAsia="ru-RU"/>
              </w:rPr>
            </w:pPr>
            <w:r w:rsidRPr="00F154AB">
              <w:rPr>
                <w:rFonts w:eastAsia="Times New Roman" w:cs="Times New Roman"/>
                <w:color w:val="000000"/>
                <w:szCs w:val="24"/>
                <w:lang w:eastAsia="ru-RU"/>
              </w:rPr>
              <w:t>0,86</w:t>
            </w:r>
          </w:p>
        </w:tc>
        <w:tc>
          <w:tcPr>
            <w:tcW w:w="471" w:type="pct"/>
            <w:tcBorders>
              <w:top w:val="nil"/>
              <w:left w:val="nil"/>
              <w:bottom w:val="single" w:sz="4" w:space="0" w:color="000000"/>
              <w:right w:val="single" w:sz="4" w:space="0" w:color="000000"/>
            </w:tcBorders>
            <w:shd w:val="clear" w:color="auto" w:fill="auto"/>
            <w:vAlign w:val="center"/>
            <w:hideMark/>
          </w:tcPr>
          <w:p w14:paraId="5AB07F45" w14:textId="77777777" w:rsidR="00F154AB" w:rsidRPr="00F154AB" w:rsidRDefault="00F154AB" w:rsidP="00F154AB">
            <w:pPr>
              <w:ind w:firstLine="0"/>
              <w:jc w:val="center"/>
              <w:rPr>
                <w:rFonts w:eastAsia="Times New Roman" w:cs="Times New Roman"/>
                <w:color w:val="000000"/>
                <w:szCs w:val="24"/>
                <w:lang w:eastAsia="ru-RU"/>
              </w:rPr>
            </w:pPr>
            <w:r w:rsidRPr="00F154AB">
              <w:rPr>
                <w:rFonts w:eastAsia="Times New Roman" w:cs="Times New Roman"/>
                <w:color w:val="000000"/>
                <w:szCs w:val="24"/>
                <w:lang w:eastAsia="ru-RU"/>
              </w:rPr>
              <w:t>1</w:t>
            </w:r>
          </w:p>
        </w:tc>
        <w:tc>
          <w:tcPr>
            <w:tcW w:w="699" w:type="pct"/>
            <w:tcBorders>
              <w:top w:val="nil"/>
              <w:left w:val="nil"/>
              <w:bottom w:val="single" w:sz="4" w:space="0" w:color="000000"/>
              <w:right w:val="single" w:sz="4" w:space="0" w:color="000000"/>
            </w:tcBorders>
            <w:shd w:val="clear" w:color="auto" w:fill="auto"/>
            <w:vAlign w:val="center"/>
            <w:hideMark/>
          </w:tcPr>
          <w:p w14:paraId="400F67E9" w14:textId="77777777" w:rsidR="00F154AB" w:rsidRPr="00F154AB" w:rsidRDefault="00F154AB" w:rsidP="00F154AB">
            <w:pPr>
              <w:ind w:firstLine="0"/>
              <w:jc w:val="center"/>
              <w:rPr>
                <w:rFonts w:eastAsia="Times New Roman" w:cs="Times New Roman"/>
                <w:color w:val="000000"/>
                <w:szCs w:val="24"/>
                <w:lang w:eastAsia="ru-RU"/>
              </w:rPr>
            </w:pPr>
            <w:r w:rsidRPr="00F154AB">
              <w:rPr>
                <w:rFonts w:eastAsia="Times New Roman" w:cs="Times New Roman"/>
                <w:color w:val="000000"/>
                <w:szCs w:val="24"/>
                <w:lang w:eastAsia="ru-RU"/>
              </w:rPr>
              <w:t>нет</w:t>
            </w:r>
          </w:p>
        </w:tc>
        <w:tc>
          <w:tcPr>
            <w:tcW w:w="1966" w:type="pct"/>
            <w:tcBorders>
              <w:top w:val="nil"/>
              <w:left w:val="nil"/>
              <w:bottom w:val="single" w:sz="4" w:space="0" w:color="000000"/>
              <w:right w:val="single" w:sz="4" w:space="0" w:color="000000"/>
            </w:tcBorders>
            <w:shd w:val="clear" w:color="auto" w:fill="auto"/>
            <w:vAlign w:val="center"/>
            <w:hideMark/>
          </w:tcPr>
          <w:p w14:paraId="2A123A6D" w14:textId="77777777" w:rsidR="00F154AB" w:rsidRPr="00F154AB" w:rsidRDefault="00F154AB" w:rsidP="00F154AB">
            <w:pPr>
              <w:ind w:firstLine="0"/>
              <w:jc w:val="left"/>
              <w:rPr>
                <w:rFonts w:eastAsia="Times New Roman" w:cs="Times New Roman"/>
                <w:color w:val="000000"/>
                <w:szCs w:val="24"/>
                <w:lang w:eastAsia="ru-RU"/>
              </w:rPr>
            </w:pPr>
            <w:r w:rsidRPr="00F154AB">
              <w:rPr>
                <w:rFonts w:eastAsia="Times New Roman" w:cs="Times New Roman"/>
                <w:color w:val="000000"/>
                <w:szCs w:val="24"/>
                <w:lang w:eastAsia="ru-RU"/>
              </w:rPr>
              <w:t>Направленность корреляционной зависимости между ценообразующим фактором и удельной ценой объектов-аналогов не соответствует экономической гипотезе о наблюдаемом на рынке характере влияния данного фактора на зависимую переменную</w:t>
            </w:r>
          </w:p>
        </w:tc>
      </w:tr>
      <w:tr w:rsidR="00F154AB" w:rsidRPr="00F154AB" w14:paraId="26A24FE5" w14:textId="77777777" w:rsidTr="00F154AB">
        <w:trPr>
          <w:trHeight w:val="1260"/>
        </w:trPr>
        <w:tc>
          <w:tcPr>
            <w:tcW w:w="185" w:type="pct"/>
            <w:tcBorders>
              <w:top w:val="nil"/>
              <w:left w:val="single" w:sz="4" w:space="0" w:color="000000"/>
              <w:bottom w:val="single" w:sz="4" w:space="0" w:color="000000"/>
              <w:right w:val="single" w:sz="4" w:space="0" w:color="000000"/>
            </w:tcBorders>
            <w:shd w:val="clear" w:color="auto" w:fill="auto"/>
            <w:vAlign w:val="center"/>
            <w:hideMark/>
          </w:tcPr>
          <w:p w14:paraId="08D6C546" w14:textId="77777777" w:rsidR="00F154AB" w:rsidRPr="00F154AB" w:rsidRDefault="00F154AB" w:rsidP="00F154AB">
            <w:pPr>
              <w:ind w:firstLine="0"/>
              <w:jc w:val="center"/>
              <w:rPr>
                <w:rFonts w:eastAsia="Times New Roman" w:cs="Times New Roman"/>
                <w:color w:val="000000"/>
                <w:szCs w:val="24"/>
                <w:lang w:eastAsia="ru-RU"/>
              </w:rPr>
            </w:pPr>
            <w:r w:rsidRPr="00F154AB">
              <w:rPr>
                <w:rFonts w:eastAsia="Times New Roman" w:cs="Times New Roman"/>
                <w:color w:val="000000"/>
                <w:szCs w:val="24"/>
                <w:lang w:eastAsia="ru-RU"/>
              </w:rPr>
              <w:t>3</w:t>
            </w:r>
          </w:p>
        </w:tc>
        <w:tc>
          <w:tcPr>
            <w:tcW w:w="1116" w:type="pct"/>
            <w:tcBorders>
              <w:top w:val="nil"/>
              <w:left w:val="nil"/>
              <w:bottom w:val="single" w:sz="4" w:space="0" w:color="000000"/>
              <w:right w:val="single" w:sz="4" w:space="0" w:color="000000"/>
            </w:tcBorders>
            <w:shd w:val="clear" w:color="auto" w:fill="auto"/>
            <w:vAlign w:val="center"/>
            <w:hideMark/>
          </w:tcPr>
          <w:p w14:paraId="325AC6A1" w14:textId="77777777" w:rsidR="00F154AB" w:rsidRPr="00F154AB" w:rsidRDefault="00F154AB" w:rsidP="00F154AB">
            <w:pPr>
              <w:ind w:firstLine="0"/>
              <w:jc w:val="center"/>
              <w:rPr>
                <w:rFonts w:eastAsia="Times New Roman" w:cs="Times New Roman"/>
                <w:color w:val="000000"/>
                <w:szCs w:val="24"/>
                <w:lang w:eastAsia="ru-RU"/>
              </w:rPr>
            </w:pPr>
            <w:r w:rsidRPr="00F154AB">
              <w:rPr>
                <w:rFonts w:eastAsia="Times New Roman" w:cs="Times New Roman"/>
                <w:color w:val="000000"/>
                <w:szCs w:val="24"/>
                <w:lang w:eastAsia="ru-RU"/>
              </w:rPr>
              <w:t>Материал стен</w:t>
            </w:r>
          </w:p>
        </w:tc>
        <w:tc>
          <w:tcPr>
            <w:tcW w:w="562" w:type="pct"/>
            <w:tcBorders>
              <w:top w:val="nil"/>
              <w:left w:val="nil"/>
              <w:bottom w:val="single" w:sz="4" w:space="0" w:color="000000"/>
              <w:right w:val="single" w:sz="4" w:space="0" w:color="000000"/>
            </w:tcBorders>
            <w:shd w:val="clear" w:color="auto" w:fill="auto"/>
            <w:vAlign w:val="center"/>
            <w:hideMark/>
          </w:tcPr>
          <w:p w14:paraId="5F82CACE" w14:textId="77777777" w:rsidR="00F154AB" w:rsidRPr="00F154AB" w:rsidRDefault="00F154AB" w:rsidP="00F154AB">
            <w:pPr>
              <w:ind w:firstLine="0"/>
              <w:jc w:val="center"/>
              <w:rPr>
                <w:rFonts w:eastAsia="Times New Roman" w:cs="Times New Roman"/>
                <w:color w:val="000000"/>
                <w:szCs w:val="24"/>
                <w:lang w:eastAsia="ru-RU"/>
              </w:rPr>
            </w:pPr>
            <w:r w:rsidRPr="00F154AB">
              <w:rPr>
                <w:rFonts w:eastAsia="Times New Roman" w:cs="Times New Roman"/>
                <w:color w:val="000000"/>
                <w:szCs w:val="24"/>
                <w:lang w:eastAsia="ru-RU"/>
              </w:rPr>
              <w:t>0,42</w:t>
            </w:r>
          </w:p>
        </w:tc>
        <w:tc>
          <w:tcPr>
            <w:tcW w:w="471" w:type="pct"/>
            <w:tcBorders>
              <w:top w:val="nil"/>
              <w:left w:val="nil"/>
              <w:bottom w:val="single" w:sz="4" w:space="0" w:color="000000"/>
              <w:right w:val="single" w:sz="4" w:space="0" w:color="000000"/>
            </w:tcBorders>
            <w:shd w:val="clear" w:color="auto" w:fill="auto"/>
            <w:vAlign w:val="center"/>
            <w:hideMark/>
          </w:tcPr>
          <w:p w14:paraId="37AB2325" w14:textId="77777777" w:rsidR="00F154AB" w:rsidRPr="00F154AB" w:rsidRDefault="00F154AB" w:rsidP="00F154AB">
            <w:pPr>
              <w:ind w:firstLine="0"/>
              <w:jc w:val="center"/>
              <w:rPr>
                <w:rFonts w:eastAsia="Times New Roman" w:cs="Times New Roman"/>
                <w:color w:val="000000"/>
                <w:szCs w:val="24"/>
                <w:lang w:eastAsia="ru-RU"/>
              </w:rPr>
            </w:pPr>
            <w:r w:rsidRPr="00F154AB">
              <w:rPr>
                <w:rFonts w:eastAsia="Times New Roman" w:cs="Times New Roman"/>
                <w:color w:val="000000"/>
                <w:szCs w:val="24"/>
                <w:lang w:eastAsia="ru-RU"/>
              </w:rPr>
              <w:t>0,49</w:t>
            </w:r>
          </w:p>
        </w:tc>
        <w:tc>
          <w:tcPr>
            <w:tcW w:w="699" w:type="pct"/>
            <w:tcBorders>
              <w:top w:val="nil"/>
              <w:left w:val="nil"/>
              <w:bottom w:val="single" w:sz="4" w:space="0" w:color="000000"/>
              <w:right w:val="single" w:sz="4" w:space="0" w:color="000000"/>
            </w:tcBorders>
            <w:shd w:val="clear" w:color="auto" w:fill="auto"/>
            <w:vAlign w:val="center"/>
            <w:hideMark/>
          </w:tcPr>
          <w:p w14:paraId="3B7001E8" w14:textId="77777777" w:rsidR="00F154AB" w:rsidRPr="00F154AB" w:rsidRDefault="00F154AB" w:rsidP="00F154AB">
            <w:pPr>
              <w:ind w:firstLine="0"/>
              <w:jc w:val="center"/>
              <w:rPr>
                <w:rFonts w:eastAsia="Times New Roman" w:cs="Times New Roman"/>
                <w:color w:val="000000"/>
                <w:szCs w:val="24"/>
                <w:lang w:eastAsia="ru-RU"/>
              </w:rPr>
            </w:pPr>
            <w:r w:rsidRPr="00F154AB">
              <w:rPr>
                <w:rFonts w:eastAsia="Times New Roman" w:cs="Times New Roman"/>
                <w:color w:val="000000"/>
                <w:szCs w:val="24"/>
                <w:lang w:eastAsia="ru-RU"/>
              </w:rPr>
              <w:t>нет</w:t>
            </w:r>
          </w:p>
        </w:tc>
        <w:tc>
          <w:tcPr>
            <w:tcW w:w="1966" w:type="pct"/>
            <w:tcBorders>
              <w:top w:val="nil"/>
              <w:left w:val="nil"/>
              <w:bottom w:val="single" w:sz="4" w:space="0" w:color="000000"/>
              <w:right w:val="single" w:sz="4" w:space="0" w:color="000000"/>
            </w:tcBorders>
            <w:shd w:val="clear" w:color="auto" w:fill="auto"/>
            <w:vAlign w:val="center"/>
            <w:hideMark/>
          </w:tcPr>
          <w:p w14:paraId="5305F55A" w14:textId="77777777" w:rsidR="00F154AB" w:rsidRPr="00F154AB" w:rsidRDefault="00F154AB" w:rsidP="00F154AB">
            <w:pPr>
              <w:ind w:firstLine="0"/>
              <w:jc w:val="left"/>
              <w:rPr>
                <w:rFonts w:eastAsia="Times New Roman" w:cs="Times New Roman"/>
                <w:color w:val="000000"/>
                <w:szCs w:val="24"/>
                <w:lang w:eastAsia="ru-RU"/>
              </w:rPr>
            </w:pPr>
            <w:r w:rsidRPr="00F154AB">
              <w:rPr>
                <w:rFonts w:eastAsia="Times New Roman" w:cs="Times New Roman"/>
                <w:color w:val="000000"/>
                <w:szCs w:val="24"/>
                <w:lang w:eastAsia="ru-RU"/>
              </w:rPr>
              <w:t>Направленность корреляционной зависимости между ценообразующим фактором и удельной ценой объектов-аналогов не соответствует экономической гипотезе о наблюдаемом на рынке характере влияния данного фактора на зависимую переменную</w:t>
            </w:r>
          </w:p>
        </w:tc>
      </w:tr>
      <w:tr w:rsidR="00F154AB" w:rsidRPr="00F154AB" w14:paraId="6B85BC7C" w14:textId="77777777" w:rsidTr="00F154AB">
        <w:trPr>
          <w:trHeight w:val="945"/>
        </w:trPr>
        <w:tc>
          <w:tcPr>
            <w:tcW w:w="185" w:type="pct"/>
            <w:tcBorders>
              <w:top w:val="nil"/>
              <w:left w:val="single" w:sz="4" w:space="0" w:color="000000"/>
              <w:bottom w:val="single" w:sz="4" w:space="0" w:color="000000"/>
              <w:right w:val="single" w:sz="4" w:space="0" w:color="000000"/>
            </w:tcBorders>
            <w:shd w:val="clear" w:color="auto" w:fill="auto"/>
            <w:vAlign w:val="center"/>
            <w:hideMark/>
          </w:tcPr>
          <w:p w14:paraId="3BDFC1A2" w14:textId="77777777" w:rsidR="00F154AB" w:rsidRPr="00F154AB" w:rsidRDefault="00F154AB" w:rsidP="00F154AB">
            <w:pPr>
              <w:ind w:firstLine="0"/>
              <w:jc w:val="center"/>
              <w:rPr>
                <w:rFonts w:eastAsia="Times New Roman" w:cs="Times New Roman"/>
                <w:color w:val="000000"/>
                <w:szCs w:val="24"/>
                <w:lang w:eastAsia="ru-RU"/>
              </w:rPr>
            </w:pPr>
            <w:r w:rsidRPr="00F154AB">
              <w:rPr>
                <w:rFonts w:eastAsia="Times New Roman" w:cs="Times New Roman"/>
                <w:color w:val="000000"/>
                <w:szCs w:val="24"/>
                <w:lang w:eastAsia="ru-RU"/>
              </w:rPr>
              <w:t>4</w:t>
            </w:r>
          </w:p>
        </w:tc>
        <w:tc>
          <w:tcPr>
            <w:tcW w:w="1116" w:type="pct"/>
            <w:tcBorders>
              <w:top w:val="nil"/>
              <w:left w:val="nil"/>
              <w:bottom w:val="single" w:sz="4" w:space="0" w:color="000000"/>
              <w:right w:val="single" w:sz="4" w:space="0" w:color="000000"/>
            </w:tcBorders>
            <w:shd w:val="clear" w:color="auto" w:fill="auto"/>
            <w:vAlign w:val="center"/>
            <w:hideMark/>
          </w:tcPr>
          <w:p w14:paraId="12143B99" w14:textId="77777777" w:rsidR="00F154AB" w:rsidRPr="00F154AB" w:rsidRDefault="00F154AB" w:rsidP="00F154AB">
            <w:pPr>
              <w:ind w:firstLine="0"/>
              <w:jc w:val="center"/>
              <w:rPr>
                <w:rFonts w:eastAsia="Times New Roman" w:cs="Times New Roman"/>
                <w:color w:val="000000"/>
                <w:szCs w:val="24"/>
                <w:lang w:eastAsia="ru-RU"/>
              </w:rPr>
            </w:pPr>
            <w:r w:rsidRPr="00F154AB">
              <w:rPr>
                <w:rFonts w:eastAsia="Times New Roman" w:cs="Times New Roman"/>
                <w:color w:val="000000"/>
                <w:szCs w:val="24"/>
                <w:lang w:eastAsia="ru-RU"/>
              </w:rPr>
              <w:t>Муниципальный район, городской округ</w:t>
            </w:r>
          </w:p>
        </w:tc>
        <w:tc>
          <w:tcPr>
            <w:tcW w:w="562" w:type="pct"/>
            <w:tcBorders>
              <w:top w:val="nil"/>
              <w:left w:val="nil"/>
              <w:bottom w:val="single" w:sz="4" w:space="0" w:color="000000"/>
              <w:right w:val="single" w:sz="4" w:space="0" w:color="000000"/>
            </w:tcBorders>
            <w:shd w:val="clear" w:color="auto" w:fill="auto"/>
            <w:vAlign w:val="center"/>
            <w:hideMark/>
          </w:tcPr>
          <w:p w14:paraId="2D3F0498" w14:textId="77777777" w:rsidR="00F154AB" w:rsidRPr="00F154AB" w:rsidRDefault="00F154AB" w:rsidP="00F154AB">
            <w:pPr>
              <w:ind w:firstLine="0"/>
              <w:jc w:val="center"/>
              <w:rPr>
                <w:rFonts w:eastAsia="Times New Roman" w:cs="Times New Roman"/>
                <w:color w:val="000000"/>
                <w:szCs w:val="24"/>
                <w:lang w:eastAsia="ru-RU"/>
              </w:rPr>
            </w:pPr>
            <w:r w:rsidRPr="00F154AB">
              <w:rPr>
                <w:rFonts w:eastAsia="Times New Roman" w:cs="Times New Roman"/>
                <w:color w:val="000000"/>
                <w:szCs w:val="24"/>
                <w:lang w:eastAsia="ru-RU"/>
              </w:rPr>
              <w:t>0,7</w:t>
            </w:r>
          </w:p>
        </w:tc>
        <w:tc>
          <w:tcPr>
            <w:tcW w:w="471" w:type="pct"/>
            <w:tcBorders>
              <w:top w:val="nil"/>
              <w:left w:val="nil"/>
              <w:bottom w:val="single" w:sz="4" w:space="0" w:color="000000"/>
              <w:right w:val="single" w:sz="4" w:space="0" w:color="000000"/>
            </w:tcBorders>
            <w:shd w:val="clear" w:color="auto" w:fill="auto"/>
            <w:vAlign w:val="center"/>
            <w:hideMark/>
          </w:tcPr>
          <w:p w14:paraId="65A014E8" w14:textId="77777777" w:rsidR="00F154AB" w:rsidRPr="00F154AB" w:rsidRDefault="00F154AB" w:rsidP="00F154AB">
            <w:pPr>
              <w:ind w:firstLine="0"/>
              <w:jc w:val="center"/>
              <w:rPr>
                <w:rFonts w:eastAsia="Times New Roman" w:cs="Times New Roman"/>
                <w:color w:val="000000"/>
                <w:szCs w:val="24"/>
                <w:lang w:eastAsia="ru-RU"/>
              </w:rPr>
            </w:pPr>
            <w:r w:rsidRPr="00F154AB">
              <w:rPr>
                <w:rFonts w:eastAsia="Times New Roman" w:cs="Times New Roman"/>
                <w:color w:val="000000"/>
                <w:szCs w:val="24"/>
                <w:lang w:eastAsia="ru-RU"/>
              </w:rPr>
              <w:t>0,81</w:t>
            </w:r>
          </w:p>
        </w:tc>
        <w:tc>
          <w:tcPr>
            <w:tcW w:w="699" w:type="pct"/>
            <w:tcBorders>
              <w:top w:val="nil"/>
              <w:left w:val="nil"/>
              <w:bottom w:val="single" w:sz="4" w:space="0" w:color="000000"/>
              <w:right w:val="single" w:sz="4" w:space="0" w:color="000000"/>
            </w:tcBorders>
            <w:shd w:val="clear" w:color="auto" w:fill="auto"/>
            <w:vAlign w:val="center"/>
            <w:hideMark/>
          </w:tcPr>
          <w:p w14:paraId="494EF261" w14:textId="77777777" w:rsidR="00F154AB" w:rsidRPr="00F154AB" w:rsidRDefault="00F154AB" w:rsidP="00F154AB">
            <w:pPr>
              <w:ind w:firstLine="0"/>
              <w:jc w:val="center"/>
              <w:rPr>
                <w:rFonts w:eastAsia="Times New Roman" w:cs="Times New Roman"/>
                <w:color w:val="000000"/>
                <w:szCs w:val="24"/>
                <w:lang w:eastAsia="ru-RU"/>
              </w:rPr>
            </w:pPr>
            <w:r w:rsidRPr="00F154AB">
              <w:rPr>
                <w:rFonts w:eastAsia="Times New Roman" w:cs="Times New Roman"/>
                <w:color w:val="000000"/>
                <w:szCs w:val="24"/>
                <w:lang w:eastAsia="ru-RU"/>
              </w:rPr>
              <w:t>нет</w:t>
            </w:r>
          </w:p>
        </w:tc>
        <w:tc>
          <w:tcPr>
            <w:tcW w:w="1966" w:type="pct"/>
            <w:tcBorders>
              <w:top w:val="nil"/>
              <w:left w:val="nil"/>
              <w:bottom w:val="single" w:sz="4" w:space="0" w:color="000000"/>
              <w:right w:val="single" w:sz="4" w:space="0" w:color="000000"/>
            </w:tcBorders>
            <w:shd w:val="clear" w:color="auto" w:fill="auto"/>
            <w:vAlign w:val="center"/>
            <w:hideMark/>
          </w:tcPr>
          <w:p w14:paraId="74B554DE" w14:textId="77777777" w:rsidR="00F154AB" w:rsidRPr="00F154AB" w:rsidRDefault="00F154AB" w:rsidP="00F154AB">
            <w:pPr>
              <w:ind w:firstLine="0"/>
              <w:jc w:val="left"/>
              <w:rPr>
                <w:rFonts w:eastAsia="Times New Roman" w:cs="Times New Roman"/>
                <w:color w:val="000000"/>
                <w:szCs w:val="24"/>
                <w:lang w:eastAsia="ru-RU"/>
              </w:rPr>
            </w:pPr>
            <w:r w:rsidRPr="00F154AB">
              <w:rPr>
                <w:rFonts w:eastAsia="Times New Roman" w:cs="Times New Roman"/>
                <w:color w:val="000000"/>
                <w:szCs w:val="24"/>
                <w:lang w:eastAsia="ru-RU"/>
              </w:rPr>
              <w:t>Данный ценообразующий фактор сильно коррелирует с прочими ценообразующими факторами, определяющими локальное местоположение объекта</w:t>
            </w:r>
          </w:p>
        </w:tc>
      </w:tr>
      <w:tr w:rsidR="00F154AB" w:rsidRPr="00F154AB" w14:paraId="17A0A616" w14:textId="77777777" w:rsidTr="00F154AB">
        <w:trPr>
          <w:trHeight w:val="1260"/>
        </w:trPr>
        <w:tc>
          <w:tcPr>
            <w:tcW w:w="185" w:type="pct"/>
            <w:tcBorders>
              <w:top w:val="nil"/>
              <w:left w:val="single" w:sz="4" w:space="0" w:color="000000"/>
              <w:bottom w:val="single" w:sz="4" w:space="0" w:color="000000"/>
              <w:right w:val="single" w:sz="4" w:space="0" w:color="000000"/>
            </w:tcBorders>
            <w:shd w:val="clear" w:color="auto" w:fill="auto"/>
            <w:vAlign w:val="center"/>
            <w:hideMark/>
          </w:tcPr>
          <w:p w14:paraId="049CDA5C" w14:textId="77777777" w:rsidR="00F154AB" w:rsidRPr="00F154AB" w:rsidRDefault="00F154AB" w:rsidP="00F154AB">
            <w:pPr>
              <w:ind w:firstLine="0"/>
              <w:jc w:val="center"/>
              <w:rPr>
                <w:rFonts w:eastAsia="Times New Roman" w:cs="Times New Roman"/>
                <w:color w:val="000000"/>
                <w:szCs w:val="24"/>
                <w:lang w:eastAsia="ru-RU"/>
              </w:rPr>
            </w:pPr>
            <w:r w:rsidRPr="00F154AB">
              <w:rPr>
                <w:rFonts w:eastAsia="Times New Roman" w:cs="Times New Roman"/>
                <w:color w:val="000000"/>
                <w:szCs w:val="24"/>
                <w:lang w:eastAsia="ru-RU"/>
              </w:rPr>
              <w:t>5</w:t>
            </w:r>
          </w:p>
        </w:tc>
        <w:tc>
          <w:tcPr>
            <w:tcW w:w="1116" w:type="pct"/>
            <w:tcBorders>
              <w:top w:val="nil"/>
              <w:left w:val="nil"/>
              <w:bottom w:val="single" w:sz="4" w:space="0" w:color="000000"/>
              <w:right w:val="single" w:sz="4" w:space="0" w:color="000000"/>
            </w:tcBorders>
            <w:shd w:val="clear" w:color="auto" w:fill="auto"/>
            <w:vAlign w:val="center"/>
            <w:hideMark/>
          </w:tcPr>
          <w:p w14:paraId="1071B1E6" w14:textId="77777777" w:rsidR="00F154AB" w:rsidRPr="00F154AB" w:rsidRDefault="00F154AB" w:rsidP="00F154AB">
            <w:pPr>
              <w:ind w:firstLine="0"/>
              <w:jc w:val="center"/>
              <w:rPr>
                <w:rFonts w:eastAsia="Times New Roman" w:cs="Times New Roman"/>
                <w:color w:val="000000"/>
                <w:szCs w:val="24"/>
                <w:lang w:eastAsia="ru-RU"/>
              </w:rPr>
            </w:pPr>
            <w:r w:rsidRPr="00F154AB">
              <w:rPr>
                <w:rFonts w:eastAsia="Times New Roman" w:cs="Times New Roman"/>
                <w:color w:val="000000"/>
                <w:szCs w:val="24"/>
                <w:lang w:eastAsia="ru-RU"/>
              </w:rPr>
              <w:t>Населенный пункт</w:t>
            </w:r>
          </w:p>
        </w:tc>
        <w:tc>
          <w:tcPr>
            <w:tcW w:w="562" w:type="pct"/>
            <w:tcBorders>
              <w:top w:val="nil"/>
              <w:left w:val="nil"/>
              <w:bottom w:val="single" w:sz="4" w:space="0" w:color="000000"/>
              <w:right w:val="single" w:sz="4" w:space="0" w:color="000000"/>
            </w:tcBorders>
            <w:shd w:val="clear" w:color="auto" w:fill="auto"/>
            <w:vAlign w:val="center"/>
            <w:hideMark/>
          </w:tcPr>
          <w:p w14:paraId="74C27A0D" w14:textId="77777777" w:rsidR="00F154AB" w:rsidRPr="00F154AB" w:rsidRDefault="00F154AB" w:rsidP="00F154AB">
            <w:pPr>
              <w:ind w:firstLine="0"/>
              <w:jc w:val="center"/>
              <w:rPr>
                <w:rFonts w:eastAsia="Times New Roman" w:cs="Times New Roman"/>
                <w:color w:val="000000"/>
                <w:szCs w:val="24"/>
                <w:lang w:eastAsia="ru-RU"/>
              </w:rPr>
            </w:pPr>
            <w:r w:rsidRPr="00F154AB">
              <w:rPr>
                <w:rFonts w:eastAsia="Times New Roman" w:cs="Times New Roman"/>
                <w:color w:val="000000"/>
                <w:szCs w:val="24"/>
                <w:lang w:eastAsia="ru-RU"/>
              </w:rPr>
              <w:t>0,76</w:t>
            </w:r>
          </w:p>
        </w:tc>
        <w:tc>
          <w:tcPr>
            <w:tcW w:w="471" w:type="pct"/>
            <w:tcBorders>
              <w:top w:val="nil"/>
              <w:left w:val="nil"/>
              <w:bottom w:val="single" w:sz="4" w:space="0" w:color="000000"/>
              <w:right w:val="single" w:sz="4" w:space="0" w:color="000000"/>
            </w:tcBorders>
            <w:shd w:val="clear" w:color="auto" w:fill="auto"/>
            <w:vAlign w:val="center"/>
            <w:hideMark/>
          </w:tcPr>
          <w:p w14:paraId="63D13916" w14:textId="77777777" w:rsidR="00F154AB" w:rsidRPr="00F154AB" w:rsidRDefault="00F154AB" w:rsidP="00F154AB">
            <w:pPr>
              <w:ind w:firstLine="0"/>
              <w:jc w:val="center"/>
              <w:rPr>
                <w:rFonts w:eastAsia="Times New Roman" w:cs="Times New Roman"/>
                <w:color w:val="000000"/>
                <w:szCs w:val="24"/>
                <w:lang w:eastAsia="ru-RU"/>
              </w:rPr>
            </w:pPr>
            <w:r w:rsidRPr="00F154AB">
              <w:rPr>
                <w:rFonts w:eastAsia="Times New Roman" w:cs="Times New Roman"/>
                <w:color w:val="000000"/>
                <w:szCs w:val="24"/>
                <w:lang w:eastAsia="ru-RU"/>
              </w:rPr>
              <w:t>0,89</w:t>
            </w:r>
          </w:p>
        </w:tc>
        <w:tc>
          <w:tcPr>
            <w:tcW w:w="699" w:type="pct"/>
            <w:tcBorders>
              <w:top w:val="nil"/>
              <w:left w:val="nil"/>
              <w:bottom w:val="single" w:sz="4" w:space="0" w:color="000000"/>
              <w:right w:val="single" w:sz="4" w:space="0" w:color="000000"/>
            </w:tcBorders>
            <w:shd w:val="clear" w:color="auto" w:fill="auto"/>
            <w:vAlign w:val="center"/>
            <w:hideMark/>
          </w:tcPr>
          <w:p w14:paraId="6C87DE47" w14:textId="77777777" w:rsidR="00F154AB" w:rsidRPr="00F154AB" w:rsidRDefault="00F154AB" w:rsidP="00F154AB">
            <w:pPr>
              <w:ind w:firstLine="0"/>
              <w:jc w:val="center"/>
              <w:rPr>
                <w:rFonts w:eastAsia="Times New Roman" w:cs="Times New Roman"/>
                <w:color w:val="000000"/>
                <w:szCs w:val="24"/>
                <w:lang w:eastAsia="ru-RU"/>
              </w:rPr>
            </w:pPr>
            <w:r w:rsidRPr="00F154AB">
              <w:rPr>
                <w:rFonts w:eastAsia="Times New Roman" w:cs="Times New Roman"/>
                <w:color w:val="000000"/>
                <w:szCs w:val="24"/>
                <w:lang w:eastAsia="ru-RU"/>
              </w:rPr>
              <w:t>нет</w:t>
            </w:r>
          </w:p>
        </w:tc>
        <w:tc>
          <w:tcPr>
            <w:tcW w:w="1966" w:type="pct"/>
            <w:tcBorders>
              <w:top w:val="nil"/>
              <w:left w:val="nil"/>
              <w:bottom w:val="single" w:sz="4" w:space="0" w:color="000000"/>
              <w:right w:val="single" w:sz="4" w:space="0" w:color="000000"/>
            </w:tcBorders>
            <w:shd w:val="clear" w:color="auto" w:fill="auto"/>
            <w:vAlign w:val="center"/>
            <w:hideMark/>
          </w:tcPr>
          <w:p w14:paraId="3367291A" w14:textId="77777777" w:rsidR="00F154AB" w:rsidRPr="00F154AB" w:rsidRDefault="00F154AB" w:rsidP="00F154AB">
            <w:pPr>
              <w:ind w:firstLine="0"/>
              <w:jc w:val="left"/>
              <w:rPr>
                <w:rFonts w:eastAsia="Times New Roman" w:cs="Times New Roman"/>
                <w:color w:val="000000"/>
                <w:szCs w:val="24"/>
                <w:lang w:eastAsia="ru-RU"/>
              </w:rPr>
            </w:pPr>
            <w:r w:rsidRPr="00F154AB">
              <w:rPr>
                <w:rFonts w:eastAsia="Times New Roman" w:cs="Times New Roman"/>
                <w:color w:val="000000"/>
                <w:szCs w:val="24"/>
                <w:lang w:eastAsia="ru-RU"/>
              </w:rPr>
              <w:t>Направленность корреляционной зависимости между ценообразующим фактором и удельной ценой объектов-аналогов не соответствует экономической гипотезе о наблюдаемом на рынке характере влияния данного фактора на зависимую переменную</w:t>
            </w:r>
          </w:p>
        </w:tc>
      </w:tr>
      <w:tr w:rsidR="00F154AB" w:rsidRPr="00F154AB" w14:paraId="2A0ECE71" w14:textId="77777777" w:rsidTr="00F154AB">
        <w:trPr>
          <w:trHeight w:val="1260"/>
        </w:trPr>
        <w:tc>
          <w:tcPr>
            <w:tcW w:w="185" w:type="pct"/>
            <w:tcBorders>
              <w:top w:val="nil"/>
              <w:left w:val="single" w:sz="4" w:space="0" w:color="000000"/>
              <w:bottom w:val="single" w:sz="4" w:space="0" w:color="000000"/>
              <w:right w:val="single" w:sz="4" w:space="0" w:color="000000"/>
            </w:tcBorders>
            <w:shd w:val="clear" w:color="auto" w:fill="auto"/>
            <w:vAlign w:val="center"/>
            <w:hideMark/>
          </w:tcPr>
          <w:p w14:paraId="09105317" w14:textId="77777777" w:rsidR="00F154AB" w:rsidRPr="00F154AB" w:rsidRDefault="00F154AB" w:rsidP="00F154AB">
            <w:pPr>
              <w:ind w:firstLine="0"/>
              <w:jc w:val="center"/>
              <w:rPr>
                <w:rFonts w:eastAsia="Times New Roman" w:cs="Times New Roman"/>
                <w:color w:val="000000"/>
                <w:szCs w:val="24"/>
                <w:lang w:eastAsia="ru-RU"/>
              </w:rPr>
            </w:pPr>
            <w:r w:rsidRPr="00F154AB">
              <w:rPr>
                <w:rFonts w:eastAsia="Times New Roman" w:cs="Times New Roman"/>
                <w:color w:val="000000"/>
                <w:szCs w:val="24"/>
                <w:lang w:eastAsia="ru-RU"/>
              </w:rPr>
              <w:t>6</w:t>
            </w:r>
          </w:p>
        </w:tc>
        <w:tc>
          <w:tcPr>
            <w:tcW w:w="1116" w:type="pct"/>
            <w:tcBorders>
              <w:top w:val="nil"/>
              <w:left w:val="nil"/>
              <w:bottom w:val="single" w:sz="4" w:space="0" w:color="000000"/>
              <w:right w:val="single" w:sz="4" w:space="0" w:color="000000"/>
            </w:tcBorders>
            <w:shd w:val="clear" w:color="auto" w:fill="auto"/>
            <w:vAlign w:val="center"/>
            <w:hideMark/>
          </w:tcPr>
          <w:p w14:paraId="52505C91" w14:textId="77777777" w:rsidR="00F154AB" w:rsidRPr="00F154AB" w:rsidRDefault="00F154AB" w:rsidP="00F154AB">
            <w:pPr>
              <w:ind w:firstLine="0"/>
              <w:jc w:val="center"/>
              <w:rPr>
                <w:rFonts w:eastAsia="Times New Roman" w:cs="Times New Roman"/>
                <w:color w:val="000000"/>
                <w:szCs w:val="24"/>
                <w:lang w:eastAsia="ru-RU"/>
              </w:rPr>
            </w:pPr>
            <w:r w:rsidRPr="00F154AB">
              <w:rPr>
                <w:rFonts w:eastAsia="Times New Roman" w:cs="Times New Roman"/>
                <w:color w:val="000000"/>
                <w:szCs w:val="24"/>
                <w:lang w:eastAsia="ru-RU"/>
              </w:rPr>
              <w:t>Номер этажа</w:t>
            </w:r>
          </w:p>
        </w:tc>
        <w:tc>
          <w:tcPr>
            <w:tcW w:w="562" w:type="pct"/>
            <w:tcBorders>
              <w:top w:val="nil"/>
              <w:left w:val="nil"/>
              <w:bottom w:val="single" w:sz="4" w:space="0" w:color="000000"/>
              <w:right w:val="single" w:sz="4" w:space="0" w:color="000000"/>
            </w:tcBorders>
            <w:shd w:val="clear" w:color="auto" w:fill="auto"/>
            <w:vAlign w:val="center"/>
            <w:hideMark/>
          </w:tcPr>
          <w:p w14:paraId="6FFBFDE4" w14:textId="77777777" w:rsidR="00F154AB" w:rsidRPr="00F154AB" w:rsidRDefault="00F154AB" w:rsidP="00F154AB">
            <w:pPr>
              <w:ind w:firstLine="0"/>
              <w:jc w:val="center"/>
              <w:rPr>
                <w:rFonts w:eastAsia="Times New Roman" w:cs="Times New Roman"/>
                <w:color w:val="000000"/>
                <w:szCs w:val="24"/>
                <w:lang w:eastAsia="ru-RU"/>
              </w:rPr>
            </w:pPr>
            <w:r w:rsidRPr="00F154AB">
              <w:rPr>
                <w:rFonts w:eastAsia="Times New Roman" w:cs="Times New Roman"/>
                <w:color w:val="000000"/>
                <w:szCs w:val="24"/>
                <w:lang w:eastAsia="ru-RU"/>
              </w:rPr>
              <w:t>0,6</w:t>
            </w:r>
          </w:p>
        </w:tc>
        <w:tc>
          <w:tcPr>
            <w:tcW w:w="471" w:type="pct"/>
            <w:tcBorders>
              <w:top w:val="nil"/>
              <w:left w:val="nil"/>
              <w:bottom w:val="single" w:sz="4" w:space="0" w:color="000000"/>
              <w:right w:val="single" w:sz="4" w:space="0" w:color="000000"/>
            </w:tcBorders>
            <w:shd w:val="clear" w:color="auto" w:fill="auto"/>
            <w:vAlign w:val="center"/>
            <w:hideMark/>
          </w:tcPr>
          <w:p w14:paraId="3147FE27" w14:textId="77777777" w:rsidR="00F154AB" w:rsidRPr="00F154AB" w:rsidRDefault="00F154AB" w:rsidP="00F154AB">
            <w:pPr>
              <w:ind w:firstLine="0"/>
              <w:jc w:val="center"/>
              <w:rPr>
                <w:rFonts w:eastAsia="Times New Roman" w:cs="Times New Roman"/>
                <w:color w:val="000000"/>
                <w:szCs w:val="24"/>
                <w:lang w:eastAsia="ru-RU"/>
              </w:rPr>
            </w:pPr>
            <w:r w:rsidRPr="00F154AB">
              <w:rPr>
                <w:rFonts w:eastAsia="Times New Roman" w:cs="Times New Roman"/>
                <w:color w:val="000000"/>
                <w:szCs w:val="24"/>
                <w:lang w:eastAsia="ru-RU"/>
              </w:rPr>
              <w:t>0,7</w:t>
            </w:r>
          </w:p>
        </w:tc>
        <w:tc>
          <w:tcPr>
            <w:tcW w:w="699" w:type="pct"/>
            <w:tcBorders>
              <w:top w:val="nil"/>
              <w:left w:val="nil"/>
              <w:bottom w:val="single" w:sz="4" w:space="0" w:color="000000"/>
              <w:right w:val="single" w:sz="4" w:space="0" w:color="000000"/>
            </w:tcBorders>
            <w:shd w:val="clear" w:color="auto" w:fill="auto"/>
            <w:vAlign w:val="center"/>
            <w:hideMark/>
          </w:tcPr>
          <w:p w14:paraId="31EDEE6B" w14:textId="77777777" w:rsidR="00F154AB" w:rsidRPr="00F154AB" w:rsidRDefault="00F154AB" w:rsidP="00F154AB">
            <w:pPr>
              <w:ind w:firstLine="0"/>
              <w:jc w:val="center"/>
              <w:rPr>
                <w:rFonts w:eastAsia="Times New Roman" w:cs="Times New Roman"/>
                <w:color w:val="000000"/>
                <w:szCs w:val="24"/>
                <w:lang w:eastAsia="ru-RU"/>
              </w:rPr>
            </w:pPr>
            <w:r w:rsidRPr="00F154AB">
              <w:rPr>
                <w:rFonts w:eastAsia="Times New Roman" w:cs="Times New Roman"/>
                <w:color w:val="000000"/>
                <w:szCs w:val="24"/>
                <w:lang w:eastAsia="ru-RU"/>
              </w:rPr>
              <w:t>нет</w:t>
            </w:r>
          </w:p>
        </w:tc>
        <w:tc>
          <w:tcPr>
            <w:tcW w:w="1966" w:type="pct"/>
            <w:tcBorders>
              <w:top w:val="nil"/>
              <w:left w:val="nil"/>
              <w:bottom w:val="single" w:sz="4" w:space="0" w:color="000000"/>
              <w:right w:val="single" w:sz="4" w:space="0" w:color="000000"/>
            </w:tcBorders>
            <w:shd w:val="clear" w:color="auto" w:fill="auto"/>
            <w:vAlign w:val="center"/>
            <w:hideMark/>
          </w:tcPr>
          <w:p w14:paraId="0FE046F5" w14:textId="77777777" w:rsidR="00F154AB" w:rsidRPr="00F154AB" w:rsidRDefault="00F154AB" w:rsidP="00F154AB">
            <w:pPr>
              <w:ind w:firstLine="0"/>
              <w:jc w:val="left"/>
              <w:rPr>
                <w:rFonts w:eastAsia="Times New Roman" w:cs="Times New Roman"/>
                <w:color w:val="000000"/>
                <w:szCs w:val="24"/>
                <w:lang w:eastAsia="ru-RU"/>
              </w:rPr>
            </w:pPr>
            <w:r w:rsidRPr="00F154AB">
              <w:rPr>
                <w:rFonts w:eastAsia="Times New Roman" w:cs="Times New Roman"/>
                <w:color w:val="000000"/>
                <w:szCs w:val="24"/>
                <w:lang w:eastAsia="ru-RU"/>
              </w:rPr>
              <w:t>Направленность корреляционной зависимости между ценообразующим фактором и удельной ценой объектов-аналогов не соответствует экономической гипотезе о наблюдаемом на рынке характере влияния данного фактора на зависимую переменную</w:t>
            </w:r>
          </w:p>
        </w:tc>
      </w:tr>
      <w:tr w:rsidR="00F154AB" w:rsidRPr="00F154AB" w14:paraId="46B25D3C" w14:textId="77777777" w:rsidTr="00F154AB">
        <w:trPr>
          <w:trHeight w:val="945"/>
        </w:trPr>
        <w:tc>
          <w:tcPr>
            <w:tcW w:w="185" w:type="pct"/>
            <w:tcBorders>
              <w:top w:val="nil"/>
              <w:left w:val="single" w:sz="4" w:space="0" w:color="000000"/>
              <w:bottom w:val="single" w:sz="4" w:space="0" w:color="000000"/>
              <w:right w:val="single" w:sz="4" w:space="0" w:color="000000"/>
            </w:tcBorders>
            <w:shd w:val="clear" w:color="auto" w:fill="auto"/>
            <w:vAlign w:val="center"/>
            <w:hideMark/>
          </w:tcPr>
          <w:p w14:paraId="151289B0" w14:textId="77777777" w:rsidR="00F154AB" w:rsidRPr="00F154AB" w:rsidRDefault="00F154AB" w:rsidP="00F154AB">
            <w:pPr>
              <w:ind w:firstLine="0"/>
              <w:jc w:val="center"/>
              <w:rPr>
                <w:rFonts w:eastAsia="Times New Roman" w:cs="Times New Roman"/>
                <w:color w:val="000000"/>
                <w:szCs w:val="24"/>
                <w:lang w:eastAsia="ru-RU"/>
              </w:rPr>
            </w:pPr>
            <w:r w:rsidRPr="00F154AB">
              <w:rPr>
                <w:rFonts w:eastAsia="Times New Roman" w:cs="Times New Roman"/>
                <w:color w:val="000000"/>
                <w:szCs w:val="24"/>
                <w:lang w:eastAsia="ru-RU"/>
              </w:rPr>
              <w:t>7</w:t>
            </w:r>
          </w:p>
        </w:tc>
        <w:tc>
          <w:tcPr>
            <w:tcW w:w="1116" w:type="pct"/>
            <w:tcBorders>
              <w:top w:val="nil"/>
              <w:left w:val="nil"/>
              <w:bottom w:val="single" w:sz="4" w:space="0" w:color="000000"/>
              <w:right w:val="single" w:sz="4" w:space="0" w:color="000000"/>
            </w:tcBorders>
            <w:shd w:val="clear" w:color="auto" w:fill="auto"/>
            <w:vAlign w:val="center"/>
            <w:hideMark/>
          </w:tcPr>
          <w:p w14:paraId="0338E71A" w14:textId="77777777" w:rsidR="00F154AB" w:rsidRPr="00F154AB" w:rsidRDefault="00F154AB" w:rsidP="00F154AB">
            <w:pPr>
              <w:ind w:firstLine="0"/>
              <w:jc w:val="center"/>
              <w:rPr>
                <w:rFonts w:eastAsia="Times New Roman" w:cs="Times New Roman"/>
                <w:color w:val="000000"/>
                <w:szCs w:val="24"/>
                <w:lang w:eastAsia="ru-RU"/>
              </w:rPr>
            </w:pPr>
            <w:r w:rsidRPr="00F154AB">
              <w:rPr>
                <w:rFonts w:eastAsia="Times New Roman" w:cs="Times New Roman"/>
                <w:color w:val="000000"/>
                <w:szCs w:val="24"/>
                <w:lang w:eastAsia="ru-RU"/>
              </w:rPr>
              <w:t>Расстояние до ближайшей из основных дорог города</w:t>
            </w:r>
          </w:p>
        </w:tc>
        <w:tc>
          <w:tcPr>
            <w:tcW w:w="562" w:type="pct"/>
            <w:tcBorders>
              <w:top w:val="nil"/>
              <w:left w:val="nil"/>
              <w:bottom w:val="single" w:sz="4" w:space="0" w:color="000000"/>
              <w:right w:val="single" w:sz="4" w:space="0" w:color="000000"/>
            </w:tcBorders>
            <w:shd w:val="clear" w:color="auto" w:fill="auto"/>
            <w:vAlign w:val="center"/>
            <w:hideMark/>
          </w:tcPr>
          <w:p w14:paraId="390692D5" w14:textId="77777777" w:rsidR="00F154AB" w:rsidRPr="00F154AB" w:rsidRDefault="00F154AB" w:rsidP="00F154AB">
            <w:pPr>
              <w:ind w:firstLine="0"/>
              <w:jc w:val="center"/>
              <w:rPr>
                <w:rFonts w:eastAsia="Times New Roman" w:cs="Times New Roman"/>
                <w:color w:val="000000"/>
                <w:szCs w:val="24"/>
                <w:lang w:eastAsia="ru-RU"/>
              </w:rPr>
            </w:pPr>
            <w:r w:rsidRPr="00F154AB">
              <w:rPr>
                <w:rFonts w:eastAsia="Times New Roman" w:cs="Times New Roman"/>
                <w:color w:val="000000"/>
                <w:szCs w:val="24"/>
                <w:lang w:eastAsia="ru-RU"/>
              </w:rPr>
              <w:t>0,7</w:t>
            </w:r>
          </w:p>
        </w:tc>
        <w:tc>
          <w:tcPr>
            <w:tcW w:w="471" w:type="pct"/>
            <w:tcBorders>
              <w:top w:val="nil"/>
              <w:left w:val="nil"/>
              <w:bottom w:val="single" w:sz="4" w:space="0" w:color="000000"/>
              <w:right w:val="single" w:sz="4" w:space="0" w:color="000000"/>
            </w:tcBorders>
            <w:shd w:val="clear" w:color="auto" w:fill="auto"/>
            <w:vAlign w:val="center"/>
            <w:hideMark/>
          </w:tcPr>
          <w:p w14:paraId="4C3BCCAC" w14:textId="77777777" w:rsidR="00F154AB" w:rsidRPr="00F154AB" w:rsidRDefault="00F154AB" w:rsidP="00F154AB">
            <w:pPr>
              <w:ind w:firstLine="0"/>
              <w:jc w:val="center"/>
              <w:rPr>
                <w:rFonts w:eastAsia="Times New Roman" w:cs="Times New Roman"/>
                <w:color w:val="000000"/>
                <w:szCs w:val="24"/>
                <w:lang w:eastAsia="ru-RU"/>
              </w:rPr>
            </w:pPr>
            <w:r w:rsidRPr="00F154AB">
              <w:rPr>
                <w:rFonts w:eastAsia="Times New Roman" w:cs="Times New Roman"/>
                <w:color w:val="000000"/>
                <w:szCs w:val="24"/>
                <w:lang w:eastAsia="ru-RU"/>
              </w:rPr>
              <w:t>0,82</w:t>
            </w:r>
          </w:p>
        </w:tc>
        <w:tc>
          <w:tcPr>
            <w:tcW w:w="699" w:type="pct"/>
            <w:tcBorders>
              <w:top w:val="nil"/>
              <w:left w:val="nil"/>
              <w:bottom w:val="single" w:sz="4" w:space="0" w:color="000000"/>
              <w:right w:val="single" w:sz="4" w:space="0" w:color="000000"/>
            </w:tcBorders>
            <w:shd w:val="clear" w:color="auto" w:fill="auto"/>
            <w:vAlign w:val="center"/>
            <w:hideMark/>
          </w:tcPr>
          <w:p w14:paraId="2D27C46B" w14:textId="77777777" w:rsidR="00F154AB" w:rsidRPr="00F154AB" w:rsidRDefault="00F154AB" w:rsidP="00F154AB">
            <w:pPr>
              <w:ind w:firstLine="0"/>
              <w:jc w:val="center"/>
              <w:rPr>
                <w:rFonts w:eastAsia="Times New Roman" w:cs="Times New Roman"/>
                <w:color w:val="000000"/>
                <w:szCs w:val="24"/>
                <w:lang w:eastAsia="ru-RU"/>
              </w:rPr>
            </w:pPr>
            <w:r w:rsidRPr="00F154AB">
              <w:rPr>
                <w:rFonts w:eastAsia="Times New Roman" w:cs="Times New Roman"/>
                <w:color w:val="000000"/>
                <w:szCs w:val="24"/>
                <w:lang w:eastAsia="ru-RU"/>
              </w:rPr>
              <w:t>нет</w:t>
            </w:r>
          </w:p>
        </w:tc>
        <w:tc>
          <w:tcPr>
            <w:tcW w:w="1966" w:type="pct"/>
            <w:tcBorders>
              <w:top w:val="nil"/>
              <w:left w:val="nil"/>
              <w:bottom w:val="single" w:sz="4" w:space="0" w:color="000000"/>
              <w:right w:val="single" w:sz="4" w:space="0" w:color="000000"/>
            </w:tcBorders>
            <w:shd w:val="clear" w:color="auto" w:fill="auto"/>
            <w:vAlign w:val="center"/>
            <w:hideMark/>
          </w:tcPr>
          <w:p w14:paraId="69A6FFDB" w14:textId="77777777" w:rsidR="00F154AB" w:rsidRPr="00F154AB" w:rsidRDefault="00F154AB" w:rsidP="00F154AB">
            <w:pPr>
              <w:ind w:firstLine="0"/>
              <w:jc w:val="left"/>
              <w:rPr>
                <w:rFonts w:eastAsia="Times New Roman" w:cs="Times New Roman"/>
                <w:color w:val="000000"/>
                <w:szCs w:val="24"/>
                <w:lang w:eastAsia="ru-RU"/>
              </w:rPr>
            </w:pPr>
            <w:r w:rsidRPr="00F154AB">
              <w:rPr>
                <w:rFonts w:eastAsia="Times New Roman" w:cs="Times New Roman"/>
                <w:color w:val="000000"/>
                <w:szCs w:val="24"/>
                <w:lang w:eastAsia="ru-RU"/>
              </w:rPr>
              <w:t>Данный ценообразующий фактор сильно коррелирует с прочими ценообразующими факторами, определяющими локальное местоположение объекта</w:t>
            </w:r>
          </w:p>
        </w:tc>
      </w:tr>
      <w:tr w:rsidR="00F154AB" w:rsidRPr="00F154AB" w14:paraId="32283E70" w14:textId="77777777" w:rsidTr="00F154AB">
        <w:trPr>
          <w:trHeight w:val="945"/>
        </w:trPr>
        <w:tc>
          <w:tcPr>
            <w:tcW w:w="185" w:type="pct"/>
            <w:tcBorders>
              <w:top w:val="nil"/>
              <w:left w:val="single" w:sz="4" w:space="0" w:color="000000"/>
              <w:bottom w:val="single" w:sz="4" w:space="0" w:color="000000"/>
              <w:right w:val="single" w:sz="4" w:space="0" w:color="000000"/>
            </w:tcBorders>
            <w:shd w:val="clear" w:color="auto" w:fill="auto"/>
            <w:vAlign w:val="center"/>
            <w:hideMark/>
          </w:tcPr>
          <w:p w14:paraId="43AF971F" w14:textId="77777777" w:rsidR="00F154AB" w:rsidRPr="00F154AB" w:rsidRDefault="00F154AB" w:rsidP="00F154AB">
            <w:pPr>
              <w:ind w:firstLine="0"/>
              <w:jc w:val="center"/>
              <w:rPr>
                <w:rFonts w:eastAsia="Times New Roman" w:cs="Times New Roman"/>
                <w:color w:val="000000"/>
                <w:szCs w:val="24"/>
                <w:lang w:eastAsia="ru-RU"/>
              </w:rPr>
            </w:pPr>
            <w:r w:rsidRPr="00F154AB">
              <w:rPr>
                <w:rFonts w:eastAsia="Times New Roman" w:cs="Times New Roman"/>
                <w:color w:val="000000"/>
                <w:szCs w:val="24"/>
                <w:lang w:eastAsia="ru-RU"/>
              </w:rPr>
              <w:t>8</w:t>
            </w:r>
          </w:p>
        </w:tc>
        <w:tc>
          <w:tcPr>
            <w:tcW w:w="1116" w:type="pct"/>
            <w:tcBorders>
              <w:top w:val="nil"/>
              <w:left w:val="nil"/>
              <w:bottom w:val="single" w:sz="4" w:space="0" w:color="000000"/>
              <w:right w:val="single" w:sz="4" w:space="0" w:color="000000"/>
            </w:tcBorders>
            <w:shd w:val="clear" w:color="auto" w:fill="auto"/>
            <w:vAlign w:val="center"/>
            <w:hideMark/>
          </w:tcPr>
          <w:p w14:paraId="42454F50" w14:textId="0590FA5F" w:rsidR="00F154AB" w:rsidRPr="00F154AB" w:rsidRDefault="00F154AB" w:rsidP="00F154AB">
            <w:pPr>
              <w:ind w:firstLine="0"/>
              <w:jc w:val="center"/>
              <w:rPr>
                <w:rFonts w:eastAsia="Times New Roman" w:cs="Times New Roman"/>
                <w:color w:val="000000"/>
                <w:szCs w:val="24"/>
                <w:lang w:eastAsia="ru-RU"/>
              </w:rPr>
            </w:pPr>
            <w:r w:rsidRPr="00F154AB">
              <w:rPr>
                <w:rFonts w:eastAsia="Times New Roman" w:cs="Times New Roman"/>
                <w:color w:val="000000"/>
                <w:szCs w:val="24"/>
                <w:lang w:eastAsia="ru-RU"/>
              </w:rPr>
              <w:t>Расстояние до остановок общественного транспорта (в т.ч. автовокзалы, автостанции, автобусные остано</w:t>
            </w:r>
            <w:r w:rsidR="005376A2">
              <w:rPr>
                <w:rFonts w:eastAsia="Times New Roman" w:cs="Times New Roman"/>
                <w:color w:val="000000"/>
                <w:szCs w:val="24"/>
                <w:lang w:eastAsia="ru-RU"/>
              </w:rPr>
              <w:t>вки)</w:t>
            </w:r>
          </w:p>
        </w:tc>
        <w:tc>
          <w:tcPr>
            <w:tcW w:w="562" w:type="pct"/>
            <w:tcBorders>
              <w:top w:val="nil"/>
              <w:left w:val="nil"/>
              <w:bottom w:val="single" w:sz="4" w:space="0" w:color="000000"/>
              <w:right w:val="single" w:sz="4" w:space="0" w:color="000000"/>
            </w:tcBorders>
            <w:shd w:val="clear" w:color="auto" w:fill="auto"/>
            <w:vAlign w:val="center"/>
            <w:hideMark/>
          </w:tcPr>
          <w:p w14:paraId="78007BBD" w14:textId="77777777" w:rsidR="00F154AB" w:rsidRPr="00F154AB" w:rsidRDefault="00F154AB" w:rsidP="00F154AB">
            <w:pPr>
              <w:ind w:firstLine="0"/>
              <w:jc w:val="center"/>
              <w:rPr>
                <w:rFonts w:eastAsia="Times New Roman" w:cs="Times New Roman"/>
                <w:color w:val="000000"/>
                <w:szCs w:val="24"/>
                <w:lang w:eastAsia="ru-RU"/>
              </w:rPr>
            </w:pPr>
            <w:r w:rsidRPr="00F154AB">
              <w:rPr>
                <w:rFonts w:eastAsia="Times New Roman" w:cs="Times New Roman"/>
                <w:color w:val="000000"/>
                <w:szCs w:val="24"/>
                <w:lang w:eastAsia="ru-RU"/>
              </w:rPr>
              <w:t>0,12</w:t>
            </w:r>
          </w:p>
        </w:tc>
        <w:tc>
          <w:tcPr>
            <w:tcW w:w="471" w:type="pct"/>
            <w:tcBorders>
              <w:top w:val="nil"/>
              <w:left w:val="nil"/>
              <w:bottom w:val="single" w:sz="4" w:space="0" w:color="000000"/>
              <w:right w:val="single" w:sz="4" w:space="0" w:color="000000"/>
            </w:tcBorders>
            <w:shd w:val="clear" w:color="auto" w:fill="auto"/>
            <w:vAlign w:val="center"/>
            <w:hideMark/>
          </w:tcPr>
          <w:p w14:paraId="4597ED08" w14:textId="77777777" w:rsidR="00F154AB" w:rsidRPr="00F154AB" w:rsidRDefault="00F154AB" w:rsidP="00F154AB">
            <w:pPr>
              <w:ind w:firstLine="0"/>
              <w:jc w:val="center"/>
              <w:rPr>
                <w:rFonts w:eastAsia="Times New Roman" w:cs="Times New Roman"/>
                <w:color w:val="000000"/>
                <w:szCs w:val="24"/>
                <w:lang w:eastAsia="ru-RU"/>
              </w:rPr>
            </w:pPr>
            <w:r w:rsidRPr="00F154AB">
              <w:rPr>
                <w:rFonts w:eastAsia="Times New Roman" w:cs="Times New Roman"/>
                <w:color w:val="000000"/>
                <w:szCs w:val="24"/>
                <w:lang w:eastAsia="ru-RU"/>
              </w:rPr>
              <w:t>0,14</w:t>
            </w:r>
          </w:p>
        </w:tc>
        <w:tc>
          <w:tcPr>
            <w:tcW w:w="699" w:type="pct"/>
            <w:tcBorders>
              <w:top w:val="nil"/>
              <w:left w:val="nil"/>
              <w:bottom w:val="single" w:sz="4" w:space="0" w:color="000000"/>
              <w:right w:val="single" w:sz="4" w:space="0" w:color="000000"/>
            </w:tcBorders>
            <w:shd w:val="clear" w:color="auto" w:fill="auto"/>
            <w:vAlign w:val="center"/>
            <w:hideMark/>
          </w:tcPr>
          <w:p w14:paraId="706D30FB" w14:textId="77777777" w:rsidR="00F154AB" w:rsidRPr="00F154AB" w:rsidRDefault="00F154AB" w:rsidP="00F154AB">
            <w:pPr>
              <w:ind w:firstLine="0"/>
              <w:jc w:val="center"/>
              <w:rPr>
                <w:rFonts w:eastAsia="Times New Roman" w:cs="Times New Roman"/>
                <w:color w:val="000000"/>
                <w:szCs w:val="24"/>
                <w:lang w:eastAsia="ru-RU"/>
              </w:rPr>
            </w:pPr>
            <w:r w:rsidRPr="00F154AB">
              <w:rPr>
                <w:rFonts w:eastAsia="Times New Roman" w:cs="Times New Roman"/>
                <w:color w:val="000000"/>
                <w:szCs w:val="24"/>
                <w:lang w:eastAsia="ru-RU"/>
              </w:rPr>
              <w:t>нет</w:t>
            </w:r>
          </w:p>
        </w:tc>
        <w:tc>
          <w:tcPr>
            <w:tcW w:w="1966" w:type="pct"/>
            <w:tcBorders>
              <w:top w:val="nil"/>
              <w:left w:val="nil"/>
              <w:bottom w:val="single" w:sz="4" w:space="0" w:color="000000"/>
              <w:right w:val="single" w:sz="4" w:space="0" w:color="000000"/>
            </w:tcBorders>
            <w:shd w:val="clear" w:color="auto" w:fill="auto"/>
            <w:vAlign w:val="center"/>
            <w:hideMark/>
          </w:tcPr>
          <w:p w14:paraId="27FD0EA9" w14:textId="77777777" w:rsidR="00F154AB" w:rsidRPr="00F154AB" w:rsidRDefault="00F154AB" w:rsidP="00F154AB">
            <w:pPr>
              <w:ind w:firstLine="0"/>
              <w:jc w:val="left"/>
              <w:rPr>
                <w:rFonts w:eastAsia="Times New Roman" w:cs="Times New Roman"/>
                <w:color w:val="000000"/>
                <w:szCs w:val="24"/>
                <w:lang w:eastAsia="ru-RU"/>
              </w:rPr>
            </w:pPr>
            <w:r w:rsidRPr="00F154AB">
              <w:rPr>
                <w:rFonts w:eastAsia="Times New Roman" w:cs="Times New Roman"/>
                <w:color w:val="000000"/>
                <w:szCs w:val="24"/>
                <w:lang w:eastAsia="ru-RU"/>
              </w:rPr>
              <w:t>Коэффициент корреляции ценообразующего фактора очень мал и ценообразующий фактор статистически не значим в модели</w:t>
            </w:r>
          </w:p>
        </w:tc>
      </w:tr>
      <w:tr w:rsidR="00F154AB" w:rsidRPr="00F154AB" w14:paraId="5A11FA3F" w14:textId="77777777" w:rsidTr="00F154AB">
        <w:trPr>
          <w:trHeight w:val="945"/>
        </w:trPr>
        <w:tc>
          <w:tcPr>
            <w:tcW w:w="185" w:type="pct"/>
            <w:tcBorders>
              <w:top w:val="nil"/>
              <w:left w:val="single" w:sz="4" w:space="0" w:color="000000"/>
              <w:bottom w:val="single" w:sz="4" w:space="0" w:color="000000"/>
              <w:right w:val="single" w:sz="4" w:space="0" w:color="000000"/>
            </w:tcBorders>
            <w:shd w:val="clear" w:color="auto" w:fill="auto"/>
            <w:vAlign w:val="center"/>
            <w:hideMark/>
          </w:tcPr>
          <w:p w14:paraId="4CF02EBF" w14:textId="77777777" w:rsidR="00F154AB" w:rsidRPr="00F154AB" w:rsidRDefault="00F154AB" w:rsidP="00F154AB">
            <w:pPr>
              <w:ind w:firstLine="0"/>
              <w:jc w:val="center"/>
              <w:rPr>
                <w:rFonts w:eastAsia="Times New Roman" w:cs="Times New Roman"/>
                <w:color w:val="000000"/>
                <w:szCs w:val="24"/>
                <w:lang w:eastAsia="ru-RU"/>
              </w:rPr>
            </w:pPr>
            <w:r w:rsidRPr="00F154AB">
              <w:rPr>
                <w:rFonts w:eastAsia="Times New Roman" w:cs="Times New Roman"/>
                <w:color w:val="000000"/>
                <w:szCs w:val="24"/>
                <w:lang w:eastAsia="ru-RU"/>
              </w:rPr>
              <w:t>9</w:t>
            </w:r>
          </w:p>
        </w:tc>
        <w:tc>
          <w:tcPr>
            <w:tcW w:w="1116" w:type="pct"/>
            <w:tcBorders>
              <w:top w:val="nil"/>
              <w:left w:val="nil"/>
              <w:bottom w:val="single" w:sz="4" w:space="0" w:color="000000"/>
              <w:right w:val="single" w:sz="4" w:space="0" w:color="000000"/>
            </w:tcBorders>
            <w:shd w:val="clear" w:color="auto" w:fill="auto"/>
            <w:vAlign w:val="center"/>
            <w:hideMark/>
          </w:tcPr>
          <w:p w14:paraId="353E29FB" w14:textId="77777777" w:rsidR="00F154AB" w:rsidRPr="00F154AB" w:rsidRDefault="00F154AB" w:rsidP="00F154AB">
            <w:pPr>
              <w:ind w:firstLine="0"/>
              <w:jc w:val="center"/>
              <w:rPr>
                <w:rFonts w:eastAsia="Times New Roman" w:cs="Times New Roman"/>
                <w:color w:val="000000"/>
                <w:szCs w:val="24"/>
                <w:lang w:eastAsia="ru-RU"/>
              </w:rPr>
            </w:pPr>
            <w:r w:rsidRPr="00F154AB">
              <w:rPr>
                <w:rFonts w:eastAsia="Times New Roman" w:cs="Times New Roman"/>
                <w:color w:val="000000"/>
                <w:szCs w:val="24"/>
                <w:lang w:eastAsia="ru-RU"/>
              </w:rPr>
              <w:t>Расстояние объекта до общественно-делового центра населенного пункта</w:t>
            </w:r>
          </w:p>
        </w:tc>
        <w:tc>
          <w:tcPr>
            <w:tcW w:w="562" w:type="pct"/>
            <w:tcBorders>
              <w:top w:val="nil"/>
              <w:left w:val="nil"/>
              <w:bottom w:val="single" w:sz="4" w:space="0" w:color="000000"/>
              <w:right w:val="single" w:sz="4" w:space="0" w:color="000000"/>
            </w:tcBorders>
            <w:shd w:val="clear" w:color="auto" w:fill="auto"/>
            <w:vAlign w:val="center"/>
            <w:hideMark/>
          </w:tcPr>
          <w:p w14:paraId="2CDD5ECC" w14:textId="77777777" w:rsidR="00F154AB" w:rsidRPr="00F154AB" w:rsidRDefault="00F154AB" w:rsidP="00F154AB">
            <w:pPr>
              <w:ind w:firstLine="0"/>
              <w:jc w:val="center"/>
              <w:rPr>
                <w:rFonts w:eastAsia="Times New Roman" w:cs="Times New Roman"/>
                <w:color w:val="000000"/>
                <w:szCs w:val="24"/>
                <w:lang w:eastAsia="ru-RU"/>
              </w:rPr>
            </w:pPr>
            <w:r w:rsidRPr="00F154AB">
              <w:rPr>
                <w:rFonts w:eastAsia="Times New Roman" w:cs="Times New Roman"/>
                <w:color w:val="000000"/>
                <w:szCs w:val="24"/>
                <w:lang w:eastAsia="ru-RU"/>
              </w:rPr>
              <w:t>0,4</w:t>
            </w:r>
          </w:p>
        </w:tc>
        <w:tc>
          <w:tcPr>
            <w:tcW w:w="471" w:type="pct"/>
            <w:tcBorders>
              <w:top w:val="nil"/>
              <w:left w:val="nil"/>
              <w:bottom w:val="single" w:sz="4" w:space="0" w:color="000000"/>
              <w:right w:val="single" w:sz="4" w:space="0" w:color="000000"/>
            </w:tcBorders>
            <w:shd w:val="clear" w:color="auto" w:fill="auto"/>
            <w:vAlign w:val="center"/>
            <w:hideMark/>
          </w:tcPr>
          <w:p w14:paraId="438A7F11" w14:textId="77777777" w:rsidR="00F154AB" w:rsidRPr="00F154AB" w:rsidRDefault="00F154AB" w:rsidP="00F154AB">
            <w:pPr>
              <w:ind w:firstLine="0"/>
              <w:jc w:val="center"/>
              <w:rPr>
                <w:rFonts w:eastAsia="Times New Roman" w:cs="Times New Roman"/>
                <w:color w:val="000000"/>
                <w:szCs w:val="24"/>
                <w:lang w:eastAsia="ru-RU"/>
              </w:rPr>
            </w:pPr>
            <w:r w:rsidRPr="00F154AB">
              <w:rPr>
                <w:rFonts w:eastAsia="Times New Roman" w:cs="Times New Roman"/>
                <w:color w:val="000000"/>
                <w:szCs w:val="24"/>
                <w:lang w:eastAsia="ru-RU"/>
              </w:rPr>
              <w:t>0,47</w:t>
            </w:r>
          </w:p>
        </w:tc>
        <w:tc>
          <w:tcPr>
            <w:tcW w:w="699" w:type="pct"/>
            <w:tcBorders>
              <w:top w:val="nil"/>
              <w:left w:val="nil"/>
              <w:bottom w:val="single" w:sz="4" w:space="0" w:color="000000"/>
              <w:right w:val="single" w:sz="4" w:space="0" w:color="000000"/>
            </w:tcBorders>
            <w:shd w:val="clear" w:color="auto" w:fill="auto"/>
            <w:vAlign w:val="center"/>
            <w:hideMark/>
          </w:tcPr>
          <w:p w14:paraId="3339898A" w14:textId="77777777" w:rsidR="00F154AB" w:rsidRPr="00F154AB" w:rsidRDefault="00F154AB" w:rsidP="00F154AB">
            <w:pPr>
              <w:ind w:firstLine="0"/>
              <w:jc w:val="center"/>
              <w:rPr>
                <w:rFonts w:eastAsia="Times New Roman" w:cs="Times New Roman"/>
                <w:color w:val="000000"/>
                <w:szCs w:val="24"/>
                <w:lang w:eastAsia="ru-RU"/>
              </w:rPr>
            </w:pPr>
            <w:r w:rsidRPr="00F154AB">
              <w:rPr>
                <w:rFonts w:eastAsia="Times New Roman" w:cs="Times New Roman"/>
                <w:color w:val="000000"/>
                <w:szCs w:val="24"/>
                <w:lang w:eastAsia="ru-RU"/>
              </w:rPr>
              <w:t>нет</w:t>
            </w:r>
          </w:p>
        </w:tc>
        <w:tc>
          <w:tcPr>
            <w:tcW w:w="1966" w:type="pct"/>
            <w:tcBorders>
              <w:top w:val="nil"/>
              <w:left w:val="nil"/>
              <w:bottom w:val="single" w:sz="4" w:space="0" w:color="000000"/>
              <w:right w:val="single" w:sz="4" w:space="0" w:color="000000"/>
            </w:tcBorders>
            <w:shd w:val="clear" w:color="auto" w:fill="auto"/>
            <w:vAlign w:val="center"/>
            <w:hideMark/>
          </w:tcPr>
          <w:p w14:paraId="415E4F38" w14:textId="77777777" w:rsidR="00F154AB" w:rsidRPr="00F154AB" w:rsidRDefault="00F154AB" w:rsidP="00F154AB">
            <w:pPr>
              <w:ind w:firstLine="0"/>
              <w:jc w:val="left"/>
              <w:rPr>
                <w:rFonts w:eastAsia="Times New Roman" w:cs="Times New Roman"/>
                <w:color w:val="000000"/>
                <w:szCs w:val="24"/>
                <w:lang w:eastAsia="ru-RU"/>
              </w:rPr>
            </w:pPr>
            <w:r w:rsidRPr="00F154AB">
              <w:rPr>
                <w:rFonts w:eastAsia="Times New Roman" w:cs="Times New Roman"/>
                <w:color w:val="000000"/>
                <w:szCs w:val="24"/>
                <w:lang w:eastAsia="ru-RU"/>
              </w:rPr>
              <w:t>Данный ценообразующий фактор сильно коррелирует с прочими ценообразующими факторами, определяющими локальное местоположение объекта</w:t>
            </w:r>
          </w:p>
        </w:tc>
      </w:tr>
      <w:tr w:rsidR="00F154AB" w:rsidRPr="00F154AB" w14:paraId="6D00E1B1" w14:textId="77777777" w:rsidTr="00F154AB">
        <w:trPr>
          <w:trHeight w:val="630"/>
        </w:trPr>
        <w:tc>
          <w:tcPr>
            <w:tcW w:w="185" w:type="pct"/>
            <w:tcBorders>
              <w:top w:val="nil"/>
              <w:left w:val="single" w:sz="4" w:space="0" w:color="000000"/>
              <w:bottom w:val="single" w:sz="4" w:space="0" w:color="000000"/>
              <w:right w:val="single" w:sz="4" w:space="0" w:color="000000"/>
            </w:tcBorders>
            <w:shd w:val="clear" w:color="auto" w:fill="auto"/>
            <w:vAlign w:val="center"/>
            <w:hideMark/>
          </w:tcPr>
          <w:p w14:paraId="7EBA3A18" w14:textId="77777777" w:rsidR="00F154AB" w:rsidRPr="00F154AB" w:rsidRDefault="00F154AB" w:rsidP="00F154AB">
            <w:pPr>
              <w:ind w:firstLine="0"/>
              <w:jc w:val="center"/>
              <w:rPr>
                <w:rFonts w:eastAsia="Times New Roman" w:cs="Times New Roman"/>
                <w:color w:val="000000"/>
                <w:szCs w:val="24"/>
                <w:lang w:eastAsia="ru-RU"/>
              </w:rPr>
            </w:pPr>
            <w:r w:rsidRPr="00F154AB">
              <w:rPr>
                <w:rFonts w:eastAsia="Times New Roman" w:cs="Times New Roman"/>
                <w:color w:val="000000"/>
                <w:szCs w:val="24"/>
                <w:lang w:eastAsia="ru-RU"/>
              </w:rPr>
              <w:t>10</w:t>
            </w:r>
          </w:p>
        </w:tc>
        <w:tc>
          <w:tcPr>
            <w:tcW w:w="1116" w:type="pct"/>
            <w:tcBorders>
              <w:top w:val="nil"/>
              <w:left w:val="nil"/>
              <w:bottom w:val="single" w:sz="4" w:space="0" w:color="000000"/>
              <w:right w:val="single" w:sz="4" w:space="0" w:color="000000"/>
            </w:tcBorders>
            <w:shd w:val="clear" w:color="auto" w:fill="auto"/>
            <w:vAlign w:val="center"/>
            <w:hideMark/>
          </w:tcPr>
          <w:p w14:paraId="4953AA8C" w14:textId="77777777" w:rsidR="00F154AB" w:rsidRPr="00F154AB" w:rsidRDefault="00F154AB" w:rsidP="00F154AB">
            <w:pPr>
              <w:ind w:firstLine="0"/>
              <w:jc w:val="center"/>
              <w:rPr>
                <w:rFonts w:eastAsia="Times New Roman" w:cs="Times New Roman"/>
                <w:color w:val="000000"/>
                <w:szCs w:val="24"/>
                <w:lang w:eastAsia="ru-RU"/>
              </w:rPr>
            </w:pPr>
            <w:r w:rsidRPr="00F154AB">
              <w:rPr>
                <w:rFonts w:eastAsia="Times New Roman" w:cs="Times New Roman"/>
                <w:color w:val="000000"/>
                <w:szCs w:val="24"/>
                <w:lang w:eastAsia="ru-RU"/>
              </w:rPr>
              <w:t>Расстояние от населенного пункта до ближайших ж/д вокзала, станции, платформы</w:t>
            </w:r>
          </w:p>
        </w:tc>
        <w:tc>
          <w:tcPr>
            <w:tcW w:w="562" w:type="pct"/>
            <w:tcBorders>
              <w:top w:val="nil"/>
              <w:left w:val="nil"/>
              <w:bottom w:val="single" w:sz="4" w:space="0" w:color="000000"/>
              <w:right w:val="single" w:sz="4" w:space="0" w:color="000000"/>
            </w:tcBorders>
            <w:shd w:val="clear" w:color="auto" w:fill="auto"/>
            <w:vAlign w:val="center"/>
            <w:hideMark/>
          </w:tcPr>
          <w:p w14:paraId="29C29234" w14:textId="77777777" w:rsidR="00F154AB" w:rsidRPr="00F154AB" w:rsidRDefault="00F154AB" w:rsidP="00F154AB">
            <w:pPr>
              <w:ind w:firstLine="0"/>
              <w:jc w:val="center"/>
              <w:rPr>
                <w:rFonts w:eastAsia="Times New Roman" w:cs="Times New Roman"/>
                <w:color w:val="000000"/>
                <w:szCs w:val="24"/>
                <w:lang w:eastAsia="ru-RU"/>
              </w:rPr>
            </w:pPr>
            <w:r w:rsidRPr="00F154AB">
              <w:rPr>
                <w:rFonts w:eastAsia="Times New Roman" w:cs="Times New Roman"/>
                <w:color w:val="000000"/>
                <w:szCs w:val="24"/>
                <w:lang w:eastAsia="ru-RU"/>
              </w:rPr>
              <w:t>0,0051</w:t>
            </w:r>
          </w:p>
        </w:tc>
        <w:tc>
          <w:tcPr>
            <w:tcW w:w="471" w:type="pct"/>
            <w:tcBorders>
              <w:top w:val="nil"/>
              <w:left w:val="nil"/>
              <w:bottom w:val="single" w:sz="4" w:space="0" w:color="000000"/>
              <w:right w:val="single" w:sz="4" w:space="0" w:color="000000"/>
            </w:tcBorders>
            <w:shd w:val="clear" w:color="auto" w:fill="auto"/>
            <w:vAlign w:val="center"/>
            <w:hideMark/>
          </w:tcPr>
          <w:p w14:paraId="286FAA76" w14:textId="77777777" w:rsidR="00F154AB" w:rsidRPr="00F154AB" w:rsidRDefault="00F154AB" w:rsidP="00F154AB">
            <w:pPr>
              <w:ind w:firstLine="0"/>
              <w:jc w:val="center"/>
              <w:rPr>
                <w:rFonts w:eastAsia="Times New Roman" w:cs="Times New Roman"/>
                <w:color w:val="000000"/>
                <w:szCs w:val="24"/>
                <w:lang w:eastAsia="ru-RU"/>
              </w:rPr>
            </w:pPr>
            <w:r w:rsidRPr="00F154AB">
              <w:rPr>
                <w:rFonts w:eastAsia="Times New Roman" w:cs="Times New Roman"/>
                <w:color w:val="000000"/>
                <w:szCs w:val="24"/>
                <w:lang w:eastAsia="ru-RU"/>
              </w:rPr>
              <w:t>0,0058</w:t>
            </w:r>
          </w:p>
        </w:tc>
        <w:tc>
          <w:tcPr>
            <w:tcW w:w="699" w:type="pct"/>
            <w:tcBorders>
              <w:top w:val="nil"/>
              <w:left w:val="nil"/>
              <w:bottom w:val="single" w:sz="4" w:space="0" w:color="000000"/>
              <w:right w:val="single" w:sz="4" w:space="0" w:color="000000"/>
            </w:tcBorders>
            <w:shd w:val="clear" w:color="auto" w:fill="auto"/>
            <w:vAlign w:val="center"/>
            <w:hideMark/>
          </w:tcPr>
          <w:p w14:paraId="5EEB34FA" w14:textId="77777777" w:rsidR="00F154AB" w:rsidRPr="00F154AB" w:rsidRDefault="00F154AB" w:rsidP="00F154AB">
            <w:pPr>
              <w:ind w:firstLine="0"/>
              <w:jc w:val="center"/>
              <w:rPr>
                <w:rFonts w:eastAsia="Times New Roman" w:cs="Times New Roman"/>
                <w:color w:val="000000"/>
                <w:szCs w:val="24"/>
                <w:lang w:eastAsia="ru-RU"/>
              </w:rPr>
            </w:pPr>
            <w:r w:rsidRPr="00F154AB">
              <w:rPr>
                <w:rFonts w:eastAsia="Times New Roman" w:cs="Times New Roman"/>
                <w:color w:val="000000"/>
                <w:szCs w:val="24"/>
                <w:lang w:eastAsia="ru-RU"/>
              </w:rPr>
              <w:t>нет</w:t>
            </w:r>
          </w:p>
        </w:tc>
        <w:tc>
          <w:tcPr>
            <w:tcW w:w="1966" w:type="pct"/>
            <w:tcBorders>
              <w:top w:val="nil"/>
              <w:left w:val="nil"/>
              <w:bottom w:val="single" w:sz="4" w:space="0" w:color="000000"/>
              <w:right w:val="single" w:sz="4" w:space="0" w:color="000000"/>
            </w:tcBorders>
            <w:shd w:val="clear" w:color="auto" w:fill="auto"/>
            <w:vAlign w:val="center"/>
            <w:hideMark/>
          </w:tcPr>
          <w:p w14:paraId="005C38EF" w14:textId="77777777" w:rsidR="00F154AB" w:rsidRPr="00F154AB" w:rsidRDefault="00F154AB" w:rsidP="00F154AB">
            <w:pPr>
              <w:ind w:firstLine="0"/>
              <w:jc w:val="left"/>
              <w:rPr>
                <w:rFonts w:eastAsia="Times New Roman" w:cs="Times New Roman"/>
                <w:color w:val="000000"/>
                <w:szCs w:val="24"/>
                <w:lang w:eastAsia="ru-RU"/>
              </w:rPr>
            </w:pPr>
            <w:r w:rsidRPr="00F154AB">
              <w:rPr>
                <w:rFonts w:eastAsia="Times New Roman" w:cs="Times New Roman"/>
                <w:color w:val="000000"/>
                <w:szCs w:val="24"/>
                <w:lang w:eastAsia="ru-RU"/>
              </w:rPr>
              <w:t>Коэффициент корреляции ценообразующего фактора очень мал и ценообразующий фактор статистически не значим в модели</w:t>
            </w:r>
          </w:p>
        </w:tc>
      </w:tr>
      <w:tr w:rsidR="00F154AB" w:rsidRPr="00F154AB" w14:paraId="739E92F6" w14:textId="77777777" w:rsidTr="00F154AB">
        <w:trPr>
          <w:trHeight w:val="630"/>
        </w:trPr>
        <w:tc>
          <w:tcPr>
            <w:tcW w:w="185" w:type="pct"/>
            <w:tcBorders>
              <w:top w:val="nil"/>
              <w:left w:val="single" w:sz="4" w:space="0" w:color="000000"/>
              <w:bottom w:val="single" w:sz="4" w:space="0" w:color="000000"/>
              <w:right w:val="single" w:sz="4" w:space="0" w:color="000000"/>
            </w:tcBorders>
            <w:shd w:val="clear" w:color="auto" w:fill="auto"/>
            <w:vAlign w:val="center"/>
            <w:hideMark/>
          </w:tcPr>
          <w:p w14:paraId="55DF3E55" w14:textId="77777777" w:rsidR="00F154AB" w:rsidRPr="00F154AB" w:rsidRDefault="00F154AB" w:rsidP="00F154AB">
            <w:pPr>
              <w:ind w:firstLine="0"/>
              <w:jc w:val="center"/>
              <w:rPr>
                <w:rFonts w:eastAsia="Times New Roman" w:cs="Times New Roman"/>
                <w:color w:val="000000"/>
                <w:szCs w:val="24"/>
                <w:lang w:eastAsia="ru-RU"/>
              </w:rPr>
            </w:pPr>
            <w:r w:rsidRPr="00F154AB">
              <w:rPr>
                <w:rFonts w:eastAsia="Times New Roman" w:cs="Times New Roman"/>
                <w:color w:val="000000"/>
                <w:szCs w:val="24"/>
                <w:lang w:eastAsia="ru-RU"/>
              </w:rPr>
              <w:t>11</w:t>
            </w:r>
          </w:p>
        </w:tc>
        <w:tc>
          <w:tcPr>
            <w:tcW w:w="1116" w:type="pct"/>
            <w:tcBorders>
              <w:top w:val="nil"/>
              <w:left w:val="nil"/>
              <w:bottom w:val="single" w:sz="4" w:space="0" w:color="000000"/>
              <w:right w:val="single" w:sz="4" w:space="0" w:color="000000"/>
            </w:tcBorders>
            <w:shd w:val="clear" w:color="auto" w:fill="auto"/>
            <w:vAlign w:val="center"/>
            <w:hideMark/>
          </w:tcPr>
          <w:p w14:paraId="706734D8" w14:textId="77777777" w:rsidR="00F154AB" w:rsidRPr="00F154AB" w:rsidRDefault="00F154AB" w:rsidP="00F154AB">
            <w:pPr>
              <w:ind w:firstLine="0"/>
              <w:jc w:val="center"/>
              <w:rPr>
                <w:rFonts w:eastAsia="Times New Roman" w:cs="Times New Roman"/>
                <w:color w:val="000000"/>
                <w:szCs w:val="24"/>
                <w:lang w:eastAsia="ru-RU"/>
              </w:rPr>
            </w:pPr>
            <w:r w:rsidRPr="00F154AB">
              <w:rPr>
                <w:rFonts w:eastAsia="Times New Roman" w:cs="Times New Roman"/>
                <w:color w:val="000000"/>
                <w:szCs w:val="24"/>
                <w:lang w:eastAsia="ru-RU"/>
              </w:rPr>
              <w:t>Расстояние от населенного пункта до столицы субъекта РФ</w:t>
            </w:r>
          </w:p>
        </w:tc>
        <w:tc>
          <w:tcPr>
            <w:tcW w:w="562" w:type="pct"/>
            <w:tcBorders>
              <w:top w:val="nil"/>
              <w:left w:val="nil"/>
              <w:bottom w:val="single" w:sz="4" w:space="0" w:color="000000"/>
              <w:right w:val="single" w:sz="4" w:space="0" w:color="000000"/>
            </w:tcBorders>
            <w:shd w:val="clear" w:color="auto" w:fill="auto"/>
            <w:vAlign w:val="center"/>
            <w:hideMark/>
          </w:tcPr>
          <w:p w14:paraId="426326DF" w14:textId="77777777" w:rsidR="00F154AB" w:rsidRPr="00F154AB" w:rsidRDefault="00F154AB" w:rsidP="00F154AB">
            <w:pPr>
              <w:ind w:firstLine="0"/>
              <w:jc w:val="center"/>
              <w:rPr>
                <w:rFonts w:eastAsia="Times New Roman" w:cs="Times New Roman"/>
                <w:color w:val="000000"/>
                <w:szCs w:val="24"/>
                <w:lang w:eastAsia="ru-RU"/>
              </w:rPr>
            </w:pPr>
            <w:r w:rsidRPr="00F154AB">
              <w:rPr>
                <w:rFonts w:eastAsia="Times New Roman" w:cs="Times New Roman"/>
                <w:color w:val="000000"/>
                <w:szCs w:val="24"/>
                <w:lang w:eastAsia="ru-RU"/>
              </w:rPr>
              <w:t>0,15</w:t>
            </w:r>
          </w:p>
        </w:tc>
        <w:tc>
          <w:tcPr>
            <w:tcW w:w="471" w:type="pct"/>
            <w:tcBorders>
              <w:top w:val="nil"/>
              <w:left w:val="nil"/>
              <w:bottom w:val="single" w:sz="4" w:space="0" w:color="000000"/>
              <w:right w:val="single" w:sz="4" w:space="0" w:color="000000"/>
            </w:tcBorders>
            <w:shd w:val="clear" w:color="auto" w:fill="auto"/>
            <w:vAlign w:val="center"/>
            <w:hideMark/>
          </w:tcPr>
          <w:p w14:paraId="70D72222" w14:textId="77777777" w:rsidR="00F154AB" w:rsidRPr="00F154AB" w:rsidRDefault="00F154AB" w:rsidP="00F154AB">
            <w:pPr>
              <w:ind w:firstLine="0"/>
              <w:jc w:val="center"/>
              <w:rPr>
                <w:rFonts w:eastAsia="Times New Roman" w:cs="Times New Roman"/>
                <w:color w:val="000000"/>
                <w:szCs w:val="24"/>
                <w:lang w:eastAsia="ru-RU"/>
              </w:rPr>
            </w:pPr>
            <w:r w:rsidRPr="00F154AB">
              <w:rPr>
                <w:rFonts w:eastAsia="Times New Roman" w:cs="Times New Roman"/>
                <w:color w:val="000000"/>
                <w:szCs w:val="24"/>
                <w:lang w:eastAsia="ru-RU"/>
              </w:rPr>
              <w:t>0,17</w:t>
            </w:r>
          </w:p>
        </w:tc>
        <w:tc>
          <w:tcPr>
            <w:tcW w:w="699" w:type="pct"/>
            <w:tcBorders>
              <w:top w:val="nil"/>
              <w:left w:val="nil"/>
              <w:bottom w:val="single" w:sz="4" w:space="0" w:color="000000"/>
              <w:right w:val="single" w:sz="4" w:space="0" w:color="000000"/>
            </w:tcBorders>
            <w:shd w:val="clear" w:color="auto" w:fill="auto"/>
            <w:vAlign w:val="center"/>
            <w:hideMark/>
          </w:tcPr>
          <w:p w14:paraId="08456C7D" w14:textId="77777777" w:rsidR="00F154AB" w:rsidRPr="00F154AB" w:rsidRDefault="00F154AB" w:rsidP="00F154AB">
            <w:pPr>
              <w:ind w:firstLine="0"/>
              <w:jc w:val="center"/>
              <w:rPr>
                <w:rFonts w:eastAsia="Times New Roman" w:cs="Times New Roman"/>
                <w:color w:val="000000"/>
                <w:szCs w:val="24"/>
                <w:lang w:eastAsia="ru-RU"/>
              </w:rPr>
            </w:pPr>
            <w:r w:rsidRPr="00F154AB">
              <w:rPr>
                <w:rFonts w:eastAsia="Times New Roman" w:cs="Times New Roman"/>
                <w:color w:val="000000"/>
                <w:szCs w:val="24"/>
                <w:lang w:eastAsia="ru-RU"/>
              </w:rPr>
              <w:t>нет</w:t>
            </w:r>
          </w:p>
        </w:tc>
        <w:tc>
          <w:tcPr>
            <w:tcW w:w="1966" w:type="pct"/>
            <w:tcBorders>
              <w:top w:val="nil"/>
              <w:left w:val="nil"/>
              <w:bottom w:val="single" w:sz="4" w:space="0" w:color="000000"/>
              <w:right w:val="single" w:sz="4" w:space="0" w:color="000000"/>
            </w:tcBorders>
            <w:shd w:val="clear" w:color="auto" w:fill="auto"/>
            <w:vAlign w:val="center"/>
            <w:hideMark/>
          </w:tcPr>
          <w:p w14:paraId="6A5FADE1" w14:textId="77777777" w:rsidR="00F154AB" w:rsidRPr="00F154AB" w:rsidRDefault="00F154AB" w:rsidP="00F154AB">
            <w:pPr>
              <w:ind w:firstLine="0"/>
              <w:jc w:val="left"/>
              <w:rPr>
                <w:rFonts w:eastAsia="Times New Roman" w:cs="Times New Roman"/>
                <w:color w:val="000000"/>
                <w:szCs w:val="24"/>
                <w:lang w:eastAsia="ru-RU"/>
              </w:rPr>
            </w:pPr>
            <w:r w:rsidRPr="00F154AB">
              <w:rPr>
                <w:rFonts w:eastAsia="Times New Roman" w:cs="Times New Roman"/>
                <w:color w:val="000000"/>
                <w:szCs w:val="24"/>
                <w:lang w:eastAsia="ru-RU"/>
              </w:rPr>
              <w:t>Коэффициент корреляции ценообразующего фактора очень мал и ценообразующий фактор статистически не значим в модели</w:t>
            </w:r>
          </w:p>
        </w:tc>
      </w:tr>
      <w:tr w:rsidR="00F154AB" w:rsidRPr="00F154AB" w14:paraId="0939F002" w14:textId="77777777" w:rsidTr="00F154AB">
        <w:trPr>
          <w:trHeight w:val="630"/>
        </w:trPr>
        <w:tc>
          <w:tcPr>
            <w:tcW w:w="185" w:type="pct"/>
            <w:tcBorders>
              <w:top w:val="nil"/>
              <w:left w:val="single" w:sz="4" w:space="0" w:color="000000"/>
              <w:bottom w:val="single" w:sz="4" w:space="0" w:color="000000"/>
              <w:right w:val="single" w:sz="4" w:space="0" w:color="000000"/>
            </w:tcBorders>
            <w:shd w:val="clear" w:color="auto" w:fill="auto"/>
            <w:vAlign w:val="center"/>
            <w:hideMark/>
          </w:tcPr>
          <w:p w14:paraId="2578DBBC" w14:textId="77777777" w:rsidR="00F154AB" w:rsidRPr="00F154AB" w:rsidRDefault="00F154AB" w:rsidP="00F154AB">
            <w:pPr>
              <w:ind w:firstLine="0"/>
              <w:jc w:val="center"/>
              <w:rPr>
                <w:rFonts w:eastAsia="Times New Roman" w:cs="Times New Roman"/>
                <w:color w:val="000000"/>
                <w:szCs w:val="24"/>
                <w:lang w:eastAsia="ru-RU"/>
              </w:rPr>
            </w:pPr>
            <w:r w:rsidRPr="00F154AB">
              <w:rPr>
                <w:rFonts w:eastAsia="Times New Roman" w:cs="Times New Roman"/>
                <w:color w:val="000000"/>
                <w:szCs w:val="24"/>
                <w:lang w:eastAsia="ru-RU"/>
              </w:rPr>
              <w:t>12</w:t>
            </w:r>
          </w:p>
        </w:tc>
        <w:tc>
          <w:tcPr>
            <w:tcW w:w="1116" w:type="pct"/>
            <w:tcBorders>
              <w:top w:val="nil"/>
              <w:left w:val="nil"/>
              <w:bottom w:val="single" w:sz="4" w:space="0" w:color="000000"/>
              <w:right w:val="single" w:sz="4" w:space="0" w:color="000000"/>
            </w:tcBorders>
            <w:shd w:val="clear" w:color="auto" w:fill="auto"/>
            <w:vAlign w:val="center"/>
            <w:hideMark/>
          </w:tcPr>
          <w:p w14:paraId="28927239" w14:textId="77777777" w:rsidR="00F154AB" w:rsidRPr="00F154AB" w:rsidRDefault="00F154AB" w:rsidP="00F154AB">
            <w:pPr>
              <w:ind w:firstLine="0"/>
              <w:jc w:val="center"/>
              <w:rPr>
                <w:rFonts w:eastAsia="Times New Roman" w:cs="Times New Roman"/>
                <w:color w:val="000000"/>
                <w:szCs w:val="24"/>
                <w:lang w:eastAsia="ru-RU"/>
              </w:rPr>
            </w:pPr>
            <w:r w:rsidRPr="00F154AB">
              <w:rPr>
                <w:rFonts w:eastAsia="Times New Roman" w:cs="Times New Roman"/>
                <w:color w:val="000000"/>
                <w:szCs w:val="24"/>
                <w:lang w:eastAsia="ru-RU"/>
              </w:rPr>
              <w:t>Расстояние от населенного пункта до центра муниципального района, городского округа</w:t>
            </w:r>
          </w:p>
        </w:tc>
        <w:tc>
          <w:tcPr>
            <w:tcW w:w="562" w:type="pct"/>
            <w:tcBorders>
              <w:top w:val="nil"/>
              <w:left w:val="nil"/>
              <w:bottom w:val="single" w:sz="4" w:space="0" w:color="000000"/>
              <w:right w:val="single" w:sz="4" w:space="0" w:color="000000"/>
            </w:tcBorders>
            <w:shd w:val="clear" w:color="auto" w:fill="auto"/>
            <w:vAlign w:val="center"/>
            <w:hideMark/>
          </w:tcPr>
          <w:p w14:paraId="1534ADA8" w14:textId="77777777" w:rsidR="00F154AB" w:rsidRPr="00F154AB" w:rsidRDefault="00F154AB" w:rsidP="00F154AB">
            <w:pPr>
              <w:ind w:firstLine="0"/>
              <w:jc w:val="center"/>
              <w:rPr>
                <w:rFonts w:eastAsia="Times New Roman" w:cs="Times New Roman"/>
                <w:color w:val="000000"/>
                <w:szCs w:val="24"/>
                <w:lang w:eastAsia="ru-RU"/>
              </w:rPr>
            </w:pPr>
            <w:r w:rsidRPr="00F154AB">
              <w:rPr>
                <w:rFonts w:eastAsia="Times New Roman" w:cs="Times New Roman"/>
                <w:color w:val="000000"/>
                <w:szCs w:val="24"/>
                <w:lang w:eastAsia="ru-RU"/>
              </w:rPr>
              <w:t>0,35</w:t>
            </w:r>
          </w:p>
        </w:tc>
        <w:tc>
          <w:tcPr>
            <w:tcW w:w="471" w:type="pct"/>
            <w:tcBorders>
              <w:top w:val="nil"/>
              <w:left w:val="nil"/>
              <w:bottom w:val="single" w:sz="4" w:space="0" w:color="000000"/>
              <w:right w:val="single" w:sz="4" w:space="0" w:color="000000"/>
            </w:tcBorders>
            <w:shd w:val="clear" w:color="auto" w:fill="auto"/>
            <w:vAlign w:val="center"/>
            <w:hideMark/>
          </w:tcPr>
          <w:p w14:paraId="20F6BB4F" w14:textId="77777777" w:rsidR="00F154AB" w:rsidRPr="00F154AB" w:rsidRDefault="00F154AB" w:rsidP="00F154AB">
            <w:pPr>
              <w:ind w:firstLine="0"/>
              <w:jc w:val="center"/>
              <w:rPr>
                <w:rFonts w:eastAsia="Times New Roman" w:cs="Times New Roman"/>
                <w:color w:val="000000"/>
                <w:szCs w:val="24"/>
                <w:lang w:eastAsia="ru-RU"/>
              </w:rPr>
            </w:pPr>
            <w:r w:rsidRPr="00F154AB">
              <w:rPr>
                <w:rFonts w:eastAsia="Times New Roman" w:cs="Times New Roman"/>
                <w:color w:val="000000"/>
                <w:szCs w:val="24"/>
                <w:lang w:eastAsia="ru-RU"/>
              </w:rPr>
              <w:t>0,41</w:t>
            </w:r>
          </w:p>
        </w:tc>
        <w:tc>
          <w:tcPr>
            <w:tcW w:w="699" w:type="pct"/>
            <w:tcBorders>
              <w:top w:val="nil"/>
              <w:left w:val="nil"/>
              <w:bottom w:val="single" w:sz="4" w:space="0" w:color="000000"/>
              <w:right w:val="single" w:sz="4" w:space="0" w:color="000000"/>
            </w:tcBorders>
            <w:shd w:val="clear" w:color="auto" w:fill="auto"/>
            <w:vAlign w:val="center"/>
            <w:hideMark/>
          </w:tcPr>
          <w:p w14:paraId="347C7ECC" w14:textId="77777777" w:rsidR="00F154AB" w:rsidRPr="00F154AB" w:rsidRDefault="00F154AB" w:rsidP="00F154AB">
            <w:pPr>
              <w:ind w:firstLine="0"/>
              <w:jc w:val="center"/>
              <w:rPr>
                <w:rFonts w:eastAsia="Times New Roman" w:cs="Times New Roman"/>
                <w:color w:val="000000"/>
                <w:szCs w:val="24"/>
                <w:lang w:eastAsia="ru-RU"/>
              </w:rPr>
            </w:pPr>
            <w:r w:rsidRPr="00F154AB">
              <w:rPr>
                <w:rFonts w:eastAsia="Times New Roman" w:cs="Times New Roman"/>
                <w:color w:val="000000"/>
                <w:szCs w:val="24"/>
                <w:lang w:eastAsia="ru-RU"/>
              </w:rPr>
              <w:t>да</w:t>
            </w:r>
          </w:p>
        </w:tc>
        <w:tc>
          <w:tcPr>
            <w:tcW w:w="1966" w:type="pct"/>
            <w:tcBorders>
              <w:top w:val="nil"/>
              <w:left w:val="nil"/>
              <w:bottom w:val="single" w:sz="4" w:space="0" w:color="000000"/>
              <w:right w:val="single" w:sz="4" w:space="0" w:color="000000"/>
            </w:tcBorders>
            <w:shd w:val="clear" w:color="auto" w:fill="auto"/>
            <w:vAlign w:val="center"/>
            <w:hideMark/>
          </w:tcPr>
          <w:p w14:paraId="27191B52" w14:textId="77777777" w:rsidR="00F154AB" w:rsidRPr="00F154AB" w:rsidRDefault="00F154AB" w:rsidP="00F154AB">
            <w:pPr>
              <w:ind w:firstLine="0"/>
              <w:jc w:val="left"/>
              <w:rPr>
                <w:rFonts w:eastAsia="Times New Roman" w:cs="Times New Roman"/>
                <w:color w:val="000000"/>
                <w:szCs w:val="24"/>
                <w:lang w:eastAsia="ru-RU"/>
              </w:rPr>
            </w:pPr>
            <w:r w:rsidRPr="00F154AB">
              <w:rPr>
                <w:rFonts w:eastAsia="Times New Roman" w:cs="Times New Roman"/>
                <w:color w:val="000000"/>
                <w:szCs w:val="24"/>
                <w:lang w:eastAsia="ru-RU"/>
              </w:rPr>
              <w:t>Ценообразующий фактор соответствует критериям, описанным выше. Данный фактор оказывает существенное влияние на стоимость объектов недвижимости</w:t>
            </w:r>
          </w:p>
        </w:tc>
      </w:tr>
      <w:tr w:rsidR="00F154AB" w:rsidRPr="00F154AB" w14:paraId="57386F82" w14:textId="77777777" w:rsidTr="00F154AB">
        <w:trPr>
          <w:trHeight w:val="630"/>
        </w:trPr>
        <w:tc>
          <w:tcPr>
            <w:tcW w:w="185" w:type="pct"/>
            <w:tcBorders>
              <w:top w:val="nil"/>
              <w:left w:val="single" w:sz="4" w:space="0" w:color="000000"/>
              <w:bottom w:val="single" w:sz="4" w:space="0" w:color="000000"/>
              <w:right w:val="single" w:sz="4" w:space="0" w:color="000000"/>
            </w:tcBorders>
            <w:shd w:val="clear" w:color="auto" w:fill="auto"/>
            <w:vAlign w:val="center"/>
            <w:hideMark/>
          </w:tcPr>
          <w:p w14:paraId="0EB940B1" w14:textId="77777777" w:rsidR="00F154AB" w:rsidRPr="00F154AB" w:rsidRDefault="00F154AB" w:rsidP="00F154AB">
            <w:pPr>
              <w:ind w:firstLine="0"/>
              <w:jc w:val="center"/>
              <w:rPr>
                <w:rFonts w:eastAsia="Times New Roman" w:cs="Times New Roman"/>
                <w:color w:val="000000"/>
                <w:szCs w:val="24"/>
                <w:lang w:eastAsia="ru-RU"/>
              </w:rPr>
            </w:pPr>
            <w:r w:rsidRPr="00F154AB">
              <w:rPr>
                <w:rFonts w:eastAsia="Times New Roman" w:cs="Times New Roman"/>
                <w:color w:val="000000"/>
                <w:szCs w:val="24"/>
                <w:lang w:eastAsia="ru-RU"/>
              </w:rPr>
              <w:t>13</w:t>
            </w:r>
          </w:p>
        </w:tc>
        <w:tc>
          <w:tcPr>
            <w:tcW w:w="1116" w:type="pct"/>
            <w:tcBorders>
              <w:top w:val="nil"/>
              <w:left w:val="nil"/>
              <w:bottom w:val="single" w:sz="4" w:space="0" w:color="000000"/>
              <w:right w:val="single" w:sz="4" w:space="0" w:color="000000"/>
            </w:tcBorders>
            <w:shd w:val="clear" w:color="auto" w:fill="auto"/>
            <w:vAlign w:val="center"/>
            <w:hideMark/>
          </w:tcPr>
          <w:p w14:paraId="73F3701C" w14:textId="77777777" w:rsidR="00F154AB" w:rsidRPr="00F154AB" w:rsidRDefault="00F154AB" w:rsidP="00F154AB">
            <w:pPr>
              <w:ind w:firstLine="0"/>
              <w:jc w:val="center"/>
              <w:rPr>
                <w:rFonts w:eastAsia="Times New Roman" w:cs="Times New Roman"/>
                <w:color w:val="000000"/>
                <w:szCs w:val="24"/>
                <w:lang w:eastAsia="ru-RU"/>
              </w:rPr>
            </w:pPr>
            <w:r w:rsidRPr="00F154AB">
              <w:rPr>
                <w:rFonts w:eastAsia="Times New Roman" w:cs="Times New Roman"/>
                <w:color w:val="000000"/>
                <w:szCs w:val="24"/>
                <w:lang w:eastAsia="ru-RU"/>
              </w:rPr>
              <w:t>Расстояние от объекта до административного центра населенного пункта</w:t>
            </w:r>
          </w:p>
        </w:tc>
        <w:tc>
          <w:tcPr>
            <w:tcW w:w="562" w:type="pct"/>
            <w:tcBorders>
              <w:top w:val="nil"/>
              <w:left w:val="nil"/>
              <w:bottom w:val="single" w:sz="4" w:space="0" w:color="000000"/>
              <w:right w:val="single" w:sz="4" w:space="0" w:color="000000"/>
            </w:tcBorders>
            <w:shd w:val="clear" w:color="auto" w:fill="auto"/>
            <w:vAlign w:val="center"/>
            <w:hideMark/>
          </w:tcPr>
          <w:p w14:paraId="5D20C9A5" w14:textId="77777777" w:rsidR="00F154AB" w:rsidRPr="00F154AB" w:rsidRDefault="00F154AB" w:rsidP="00F154AB">
            <w:pPr>
              <w:ind w:firstLine="0"/>
              <w:jc w:val="center"/>
              <w:rPr>
                <w:rFonts w:eastAsia="Times New Roman" w:cs="Times New Roman"/>
                <w:color w:val="000000"/>
                <w:szCs w:val="24"/>
                <w:lang w:eastAsia="ru-RU"/>
              </w:rPr>
            </w:pPr>
            <w:r w:rsidRPr="00F154AB">
              <w:rPr>
                <w:rFonts w:eastAsia="Times New Roman" w:cs="Times New Roman"/>
                <w:color w:val="000000"/>
                <w:szCs w:val="24"/>
                <w:lang w:eastAsia="ru-RU"/>
              </w:rPr>
              <w:t>0,7</w:t>
            </w:r>
          </w:p>
        </w:tc>
        <w:tc>
          <w:tcPr>
            <w:tcW w:w="471" w:type="pct"/>
            <w:tcBorders>
              <w:top w:val="nil"/>
              <w:left w:val="nil"/>
              <w:bottom w:val="single" w:sz="4" w:space="0" w:color="000000"/>
              <w:right w:val="single" w:sz="4" w:space="0" w:color="000000"/>
            </w:tcBorders>
            <w:shd w:val="clear" w:color="auto" w:fill="auto"/>
            <w:vAlign w:val="center"/>
            <w:hideMark/>
          </w:tcPr>
          <w:p w14:paraId="4DE4B94C" w14:textId="77777777" w:rsidR="00F154AB" w:rsidRPr="00F154AB" w:rsidRDefault="00F154AB" w:rsidP="00F154AB">
            <w:pPr>
              <w:ind w:firstLine="0"/>
              <w:jc w:val="center"/>
              <w:rPr>
                <w:rFonts w:eastAsia="Times New Roman" w:cs="Times New Roman"/>
                <w:color w:val="000000"/>
                <w:szCs w:val="24"/>
                <w:lang w:eastAsia="ru-RU"/>
              </w:rPr>
            </w:pPr>
            <w:r w:rsidRPr="00F154AB">
              <w:rPr>
                <w:rFonts w:eastAsia="Times New Roman" w:cs="Times New Roman"/>
                <w:color w:val="000000"/>
                <w:szCs w:val="24"/>
                <w:lang w:eastAsia="ru-RU"/>
              </w:rPr>
              <w:t>0,82</w:t>
            </w:r>
          </w:p>
        </w:tc>
        <w:tc>
          <w:tcPr>
            <w:tcW w:w="699" w:type="pct"/>
            <w:tcBorders>
              <w:top w:val="nil"/>
              <w:left w:val="nil"/>
              <w:bottom w:val="single" w:sz="4" w:space="0" w:color="000000"/>
              <w:right w:val="single" w:sz="4" w:space="0" w:color="000000"/>
            </w:tcBorders>
            <w:shd w:val="clear" w:color="auto" w:fill="auto"/>
            <w:vAlign w:val="center"/>
            <w:hideMark/>
          </w:tcPr>
          <w:p w14:paraId="5AA58A33" w14:textId="77777777" w:rsidR="00F154AB" w:rsidRPr="00F154AB" w:rsidRDefault="00F154AB" w:rsidP="00F154AB">
            <w:pPr>
              <w:ind w:firstLine="0"/>
              <w:jc w:val="center"/>
              <w:rPr>
                <w:rFonts w:eastAsia="Times New Roman" w:cs="Times New Roman"/>
                <w:color w:val="000000"/>
                <w:szCs w:val="24"/>
                <w:lang w:eastAsia="ru-RU"/>
              </w:rPr>
            </w:pPr>
            <w:r w:rsidRPr="00F154AB">
              <w:rPr>
                <w:rFonts w:eastAsia="Times New Roman" w:cs="Times New Roman"/>
                <w:color w:val="000000"/>
                <w:szCs w:val="24"/>
                <w:lang w:eastAsia="ru-RU"/>
              </w:rPr>
              <w:t>да</w:t>
            </w:r>
          </w:p>
        </w:tc>
        <w:tc>
          <w:tcPr>
            <w:tcW w:w="1966" w:type="pct"/>
            <w:tcBorders>
              <w:top w:val="nil"/>
              <w:left w:val="nil"/>
              <w:bottom w:val="single" w:sz="4" w:space="0" w:color="000000"/>
              <w:right w:val="single" w:sz="4" w:space="0" w:color="000000"/>
            </w:tcBorders>
            <w:shd w:val="clear" w:color="auto" w:fill="auto"/>
            <w:vAlign w:val="center"/>
            <w:hideMark/>
          </w:tcPr>
          <w:p w14:paraId="1BB3AE75" w14:textId="77777777" w:rsidR="00F154AB" w:rsidRPr="00F154AB" w:rsidRDefault="00F154AB" w:rsidP="00F154AB">
            <w:pPr>
              <w:ind w:firstLine="0"/>
              <w:jc w:val="left"/>
              <w:rPr>
                <w:rFonts w:eastAsia="Times New Roman" w:cs="Times New Roman"/>
                <w:color w:val="000000"/>
                <w:szCs w:val="24"/>
                <w:lang w:eastAsia="ru-RU"/>
              </w:rPr>
            </w:pPr>
            <w:r w:rsidRPr="00F154AB">
              <w:rPr>
                <w:rFonts w:eastAsia="Times New Roman" w:cs="Times New Roman"/>
                <w:color w:val="000000"/>
                <w:szCs w:val="24"/>
                <w:lang w:eastAsia="ru-RU"/>
              </w:rPr>
              <w:t>Ценообразующий фактор соответствует критериям, описанным выше. Данный фактор оказывает существенное влияние на стоимость объектов недвижимости</w:t>
            </w:r>
          </w:p>
        </w:tc>
      </w:tr>
      <w:tr w:rsidR="00F154AB" w:rsidRPr="00F154AB" w14:paraId="4CC86542" w14:textId="77777777" w:rsidTr="00F154AB">
        <w:trPr>
          <w:trHeight w:val="945"/>
        </w:trPr>
        <w:tc>
          <w:tcPr>
            <w:tcW w:w="185" w:type="pct"/>
            <w:tcBorders>
              <w:top w:val="nil"/>
              <w:left w:val="single" w:sz="4" w:space="0" w:color="000000"/>
              <w:bottom w:val="single" w:sz="4" w:space="0" w:color="000000"/>
              <w:right w:val="single" w:sz="4" w:space="0" w:color="000000"/>
            </w:tcBorders>
            <w:shd w:val="clear" w:color="auto" w:fill="auto"/>
            <w:vAlign w:val="center"/>
            <w:hideMark/>
          </w:tcPr>
          <w:p w14:paraId="2B1AA020" w14:textId="77777777" w:rsidR="00F154AB" w:rsidRPr="00F154AB" w:rsidRDefault="00F154AB" w:rsidP="00F154AB">
            <w:pPr>
              <w:ind w:firstLine="0"/>
              <w:jc w:val="center"/>
              <w:rPr>
                <w:rFonts w:eastAsia="Times New Roman" w:cs="Times New Roman"/>
                <w:color w:val="000000"/>
                <w:szCs w:val="24"/>
                <w:lang w:eastAsia="ru-RU"/>
              </w:rPr>
            </w:pPr>
            <w:r w:rsidRPr="00F154AB">
              <w:rPr>
                <w:rFonts w:eastAsia="Times New Roman" w:cs="Times New Roman"/>
                <w:color w:val="000000"/>
                <w:szCs w:val="24"/>
                <w:lang w:eastAsia="ru-RU"/>
              </w:rPr>
              <w:t>14</w:t>
            </w:r>
          </w:p>
        </w:tc>
        <w:tc>
          <w:tcPr>
            <w:tcW w:w="1116" w:type="pct"/>
            <w:tcBorders>
              <w:top w:val="nil"/>
              <w:left w:val="nil"/>
              <w:bottom w:val="single" w:sz="4" w:space="0" w:color="000000"/>
              <w:right w:val="single" w:sz="4" w:space="0" w:color="000000"/>
            </w:tcBorders>
            <w:shd w:val="clear" w:color="auto" w:fill="auto"/>
            <w:vAlign w:val="center"/>
            <w:hideMark/>
          </w:tcPr>
          <w:p w14:paraId="377DB38F" w14:textId="77777777" w:rsidR="00F154AB" w:rsidRPr="00F154AB" w:rsidRDefault="00F154AB" w:rsidP="00F154AB">
            <w:pPr>
              <w:ind w:firstLine="0"/>
              <w:jc w:val="center"/>
              <w:rPr>
                <w:rFonts w:eastAsia="Times New Roman" w:cs="Times New Roman"/>
                <w:color w:val="000000"/>
                <w:szCs w:val="24"/>
                <w:lang w:eastAsia="ru-RU"/>
              </w:rPr>
            </w:pPr>
            <w:r w:rsidRPr="00F154AB">
              <w:rPr>
                <w:rFonts w:eastAsia="Times New Roman" w:cs="Times New Roman"/>
                <w:color w:val="000000"/>
                <w:szCs w:val="24"/>
                <w:lang w:eastAsia="ru-RU"/>
              </w:rPr>
              <w:t>Расстояние от объекта до историко-культурного центра населенного пункта</w:t>
            </w:r>
          </w:p>
        </w:tc>
        <w:tc>
          <w:tcPr>
            <w:tcW w:w="562" w:type="pct"/>
            <w:tcBorders>
              <w:top w:val="nil"/>
              <w:left w:val="nil"/>
              <w:bottom w:val="single" w:sz="4" w:space="0" w:color="000000"/>
              <w:right w:val="single" w:sz="4" w:space="0" w:color="000000"/>
            </w:tcBorders>
            <w:shd w:val="clear" w:color="auto" w:fill="auto"/>
            <w:vAlign w:val="center"/>
            <w:hideMark/>
          </w:tcPr>
          <w:p w14:paraId="6C5E36CF" w14:textId="77777777" w:rsidR="00F154AB" w:rsidRPr="00F154AB" w:rsidRDefault="00F154AB" w:rsidP="00F154AB">
            <w:pPr>
              <w:ind w:firstLine="0"/>
              <w:jc w:val="center"/>
              <w:rPr>
                <w:rFonts w:eastAsia="Times New Roman" w:cs="Times New Roman"/>
                <w:color w:val="000000"/>
                <w:szCs w:val="24"/>
                <w:lang w:eastAsia="ru-RU"/>
              </w:rPr>
            </w:pPr>
            <w:r w:rsidRPr="00F154AB">
              <w:rPr>
                <w:rFonts w:eastAsia="Times New Roman" w:cs="Times New Roman"/>
                <w:color w:val="000000"/>
                <w:szCs w:val="24"/>
                <w:lang w:eastAsia="ru-RU"/>
              </w:rPr>
              <w:t>0,54</w:t>
            </w:r>
          </w:p>
        </w:tc>
        <w:tc>
          <w:tcPr>
            <w:tcW w:w="471" w:type="pct"/>
            <w:tcBorders>
              <w:top w:val="nil"/>
              <w:left w:val="nil"/>
              <w:bottom w:val="single" w:sz="4" w:space="0" w:color="000000"/>
              <w:right w:val="single" w:sz="4" w:space="0" w:color="000000"/>
            </w:tcBorders>
            <w:shd w:val="clear" w:color="auto" w:fill="auto"/>
            <w:vAlign w:val="center"/>
            <w:hideMark/>
          </w:tcPr>
          <w:p w14:paraId="75699670" w14:textId="77777777" w:rsidR="00F154AB" w:rsidRPr="00F154AB" w:rsidRDefault="00F154AB" w:rsidP="00F154AB">
            <w:pPr>
              <w:ind w:firstLine="0"/>
              <w:jc w:val="center"/>
              <w:rPr>
                <w:rFonts w:eastAsia="Times New Roman" w:cs="Times New Roman"/>
                <w:color w:val="000000"/>
                <w:szCs w:val="24"/>
                <w:lang w:eastAsia="ru-RU"/>
              </w:rPr>
            </w:pPr>
            <w:r w:rsidRPr="00F154AB">
              <w:rPr>
                <w:rFonts w:eastAsia="Times New Roman" w:cs="Times New Roman"/>
                <w:color w:val="000000"/>
                <w:szCs w:val="24"/>
                <w:lang w:eastAsia="ru-RU"/>
              </w:rPr>
              <w:t>0,63</w:t>
            </w:r>
          </w:p>
        </w:tc>
        <w:tc>
          <w:tcPr>
            <w:tcW w:w="699" w:type="pct"/>
            <w:tcBorders>
              <w:top w:val="nil"/>
              <w:left w:val="nil"/>
              <w:bottom w:val="single" w:sz="4" w:space="0" w:color="000000"/>
              <w:right w:val="single" w:sz="4" w:space="0" w:color="000000"/>
            </w:tcBorders>
            <w:shd w:val="clear" w:color="auto" w:fill="auto"/>
            <w:vAlign w:val="center"/>
            <w:hideMark/>
          </w:tcPr>
          <w:p w14:paraId="6EBD2E9C" w14:textId="77777777" w:rsidR="00F154AB" w:rsidRPr="00F154AB" w:rsidRDefault="00F154AB" w:rsidP="00F154AB">
            <w:pPr>
              <w:ind w:firstLine="0"/>
              <w:jc w:val="center"/>
              <w:rPr>
                <w:rFonts w:eastAsia="Times New Roman" w:cs="Times New Roman"/>
                <w:color w:val="000000"/>
                <w:szCs w:val="24"/>
                <w:lang w:eastAsia="ru-RU"/>
              </w:rPr>
            </w:pPr>
            <w:r w:rsidRPr="00F154AB">
              <w:rPr>
                <w:rFonts w:eastAsia="Times New Roman" w:cs="Times New Roman"/>
                <w:color w:val="000000"/>
                <w:szCs w:val="24"/>
                <w:lang w:eastAsia="ru-RU"/>
              </w:rPr>
              <w:t>нет</w:t>
            </w:r>
          </w:p>
        </w:tc>
        <w:tc>
          <w:tcPr>
            <w:tcW w:w="1966" w:type="pct"/>
            <w:tcBorders>
              <w:top w:val="nil"/>
              <w:left w:val="nil"/>
              <w:bottom w:val="single" w:sz="4" w:space="0" w:color="000000"/>
              <w:right w:val="single" w:sz="4" w:space="0" w:color="000000"/>
            </w:tcBorders>
            <w:shd w:val="clear" w:color="auto" w:fill="auto"/>
            <w:vAlign w:val="center"/>
            <w:hideMark/>
          </w:tcPr>
          <w:p w14:paraId="6AB21479" w14:textId="77777777" w:rsidR="00F154AB" w:rsidRPr="00F154AB" w:rsidRDefault="00F154AB" w:rsidP="00F154AB">
            <w:pPr>
              <w:ind w:firstLine="0"/>
              <w:jc w:val="left"/>
              <w:rPr>
                <w:rFonts w:eastAsia="Times New Roman" w:cs="Times New Roman"/>
                <w:color w:val="000000"/>
                <w:szCs w:val="24"/>
                <w:lang w:eastAsia="ru-RU"/>
              </w:rPr>
            </w:pPr>
            <w:r w:rsidRPr="00F154AB">
              <w:rPr>
                <w:rFonts w:eastAsia="Times New Roman" w:cs="Times New Roman"/>
                <w:color w:val="000000"/>
                <w:szCs w:val="24"/>
                <w:lang w:eastAsia="ru-RU"/>
              </w:rPr>
              <w:t>Данный ценообразующий фактор сильно коррелирует с прочими ценообразующими факторами, определяющими локальное местоположение объекта</w:t>
            </w:r>
          </w:p>
        </w:tc>
      </w:tr>
      <w:tr w:rsidR="00F154AB" w:rsidRPr="00F154AB" w14:paraId="1EAB1AB2" w14:textId="77777777" w:rsidTr="00F154AB">
        <w:trPr>
          <w:trHeight w:val="945"/>
        </w:trPr>
        <w:tc>
          <w:tcPr>
            <w:tcW w:w="185" w:type="pct"/>
            <w:tcBorders>
              <w:top w:val="nil"/>
              <w:left w:val="single" w:sz="4" w:space="0" w:color="000000"/>
              <w:bottom w:val="single" w:sz="4" w:space="0" w:color="000000"/>
              <w:right w:val="single" w:sz="4" w:space="0" w:color="000000"/>
            </w:tcBorders>
            <w:shd w:val="clear" w:color="auto" w:fill="auto"/>
            <w:vAlign w:val="center"/>
            <w:hideMark/>
          </w:tcPr>
          <w:p w14:paraId="3EE1861E" w14:textId="77777777" w:rsidR="00F154AB" w:rsidRPr="00F154AB" w:rsidRDefault="00F154AB" w:rsidP="00F154AB">
            <w:pPr>
              <w:ind w:firstLine="0"/>
              <w:jc w:val="center"/>
              <w:rPr>
                <w:rFonts w:eastAsia="Times New Roman" w:cs="Times New Roman"/>
                <w:color w:val="000000"/>
                <w:szCs w:val="24"/>
                <w:lang w:eastAsia="ru-RU"/>
              </w:rPr>
            </w:pPr>
            <w:r w:rsidRPr="00F154AB">
              <w:rPr>
                <w:rFonts w:eastAsia="Times New Roman" w:cs="Times New Roman"/>
                <w:color w:val="000000"/>
                <w:szCs w:val="24"/>
                <w:lang w:eastAsia="ru-RU"/>
              </w:rPr>
              <w:t>15</w:t>
            </w:r>
          </w:p>
        </w:tc>
        <w:tc>
          <w:tcPr>
            <w:tcW w:w="1116" w:type="pct"/>
            <w:tcBorders>
              <w:top w:val="nil"/>
              <w:left w:val="nil"/>
              <w:bottom w:val="single" w:sz="4" w:space="0" w:color="000000"/>
              <w:right w:val="single" w:sz="4" w:space="0" w:color="000000"/>
            </w:tcBorders>
            <w:shd w:val="clear" w:color="auto" w:fill="auto"/>
            <w:vAlign w:val="center"/>
            <w:hideMark/>
          </w:tcPr>
          <w:p w14:paraId="6CE31160" w14:textId="5E070CD9" w:rsidR="00F154AB" w:rsidRPr="00F154AB" w:rsidRDefault="00F154AB" w:rsidP="00F154AB">
            <w:pPr>
              <w:ind w:firstLine="0"/>
              <w:jc w:val="center"/>
              <w:rPr>
                <w:rFonts w:eastAsia="Times New Roman" w:cs="Times New Roman"/>
                <w:color w:val="000000"/>
                <w:szCs w:val="24"/>
                <w:lang w:eastAsia="ru-RU"/>
              </w:rPr>
            </w:pPr>
            <w:r w:rsidRPr="00F154AB">
              <w:rPr>
                <w:rFonts w:eastAsia="Times New Roman" w:cs="Times New Roman"/>
                <w:color w:val="000000"/>
                <w:szCs w:val="24"/>
                <w:lang w:eastAsia="ru-RU"/>
              </w:rPr>
              <w:t>Расстояние от объекта до локального(-ых) центра(-ов), отрицательно влияющего(-их) на стоимость объек</w:t>
            </w:r>
            <w:r w:rsidR="005376A2">
              <w:rPr>
                <w:rFonts w:eastAsia="Times New Roman" w:cs="Times New Roman"/>
                <w:color w:val="000000"/>
                <w:szCs w:val="24"/>
                <w:lang w:eastAsia="ru-RU"/>
              </w:rPr>
              <w:t>та</w:t>
            </w:r>
          </w:p>
        </w:tc>
        <w:tc>
          <w:tcPr>
            <w:tcW w:w="562" w:type="pct"/>
            <w:tcBorders>
              <w:top w:val="nil"/>
              <w:left w:val="nil"/>
              <w:bottom w:val="single" w:sz="4" w:space="0" w:color="000000"/>
              <w:right w:val="single" w:sz="4" w:space="0" w:color="000000"/>
            </w:tcBorders>
            <w:shd w:val="clear" w:color="auto" w:fill="auto"/>
            <w:vAlign w:val="center"/>
            <w:hideMark/>
          </w:tcPr>
          <w:p w14:paraId="5E1E7FF7" w14:textId="77777777" w:rsidR="00F154AB" w:rsidRPr="00F154AB" w:rsidRDefault="00F154AB" w:rsidP="00F154AB">
            <w:pPr>
              <w:ind w:firstLine="0"/>
              <w:jc w:val="center"/>
              <w:rPr>
                <w:rFonts w:eastAsia="Times New Roman" w:cs="Times New Roman"/>
                <w:color w:val="000000"/>
                <w:szCs w:val="24"/>
                <w:lang w:eastAsia="ru-RU"/>
              </w:rPr>
            </w:pPr>
            <w:r w:rsidRPr="00F154AB">
              <w:rPr>
                <w:rFonts w:eastAsia="Times New Roman" w:cs="Times New Roman"/>
                <w:color w:val="000000"/>
                <w:szCs w:val="24"/>
                <w:lang w:eastAsia="ru-RU"/>
              </w:rPr>
              <w:t>0,29</w:t>
            </w:r>
          </w:p>
        </w:tc>
        <w:tc>
          <w:tcPr>
            <w:tcW w:w="471" w:type="pct"/>
            <w:tcBorders>
              <w:top w:val="nil"/>
              <w:left w:val="nil"/>
              <w:bottom w:val="single" w:sz="4" w:space="0" w:color="000000"/>
              <w:right w:val="single" w:sz="4" w:space="0" w:color="000000"/>
            </w:tcBorders>
            <w:shd w:val="clear" w:color="auto" w:fill="auto"/>
            <w:vAlign w:val="center"/>
            <w:hideMark/>
          </w:tcPr>
          <w:p w14:paraId="53201CBE" w14:textId="77777777" w:rsidR="00F154AB" w:rsidRPr="00F154AB" w:rsidRDefault="00F154AB" w:rsidP="00F154AB">
            <w:pPr>
              <w:ind w:firstLine="0"/>
              <w:jc w:val="center"/>
              <w:rPr>
                <w:rFonts w:eastAsia="Times New Roman" w:cs="Times New Roman"/>
                <w:color w:val="000000"/>
                <w:szCs w:val="24"/>
                <w:lang w:eastAsia="ru-RU"/>
              </w:rPr>
            </w:pPr>
            <w:r w:rsidRPr="00F154AB">
              <w:rPr>
                <w:rFonts w:eastAsia="Times New Roman" w:cs="Times New Roman"/>
                <w:color w:val="000000"/>
                <w:szCs w:val="24"/>
                <w:lang w:eastAsia="ru-RU"/>
              </w:rPr>
              <w:t>0,33</w:t>
            </w:r>
          </w:p>
        </w:tc>
        <w:tc>
          <w:tcPr>
            <w:tcW w:w="699" w:type="pct"/>
            <w:tcBorders>
              <w:top w:val="nil"/>
              <w:left w:val="nil"/>
              <w:bottom w:val="single" w:sz="4" w:space="0" w:color="000000"/>
              <w:right w:val="single" w:sz="4" w:space="0" w:color="000000"/>
            </w:tcBorders>
            <w:shd w:val="clear" w:color="auto" w:fill="auto"/>
            <w:vAlign w:val="center"/>
            <w:hideMark/>
          </w:tcPr>
          <w:p w14:paraId="11FB8216" w14:textId="77777777" w:rsidR="00F154AB" w:rsidRPr="00F154AB" w:rsidRDefault="00F154AB" w:rsidP="00F154AB">
            <w:pPr>
              <w:ind w:firstLine="0"/>
              <w:jc w:val="center"/>
              <w:rPr>
                <w:rFonts w:eastAsia="Times New Roman" w:cs="Times New Roman"/>
                <w:color w:val="000000"/>
                <w:szCs w:val="24"/>
                <w:lang w:eastAsia="ru-RU"/>
              </w:rPr>
            </w:pPr>
            <w:r w:rsidRPr="00F154AB">
              <w:rPr>
                <w:rFonts w:eastAsia="Times New Roman" w:cs="Times New Roman"/>
                <w:color w:val="000000"/>
                <w:szCs w:val="24"/>
                <w:lang w:eastAsia="ru-RU"/>
              </w:rPr>
              <w:t>нет</w:t>
            </w:r>
          </w:p>
        </w:tc>
        <w:tc>
          <w:tcPr>
            <w:tcW w:w="1966" w:type="pct"/>
            <w:tcBorders>
              <w:top w:val="nil"/>
              <w:left w:val="nil"/>
              <w:bottom w:val="single" w:sz="4" w:space="0" w:color="000000"/>
              <w:right w:val="single" w:sz="4" w:space="0" w:color="000000"/>
            </w:tcBorders>
            <w:shd w:val="clear" w:color="auto" w:fill="auto"/>
            <w:vAlign w:val="center"/>
            <w:hideMark/>
          </w:tcPr>
          <w:p w14:paraId="78BA5065" w14:textId="77777777" w:rsidR="00F154AB" w:rsidRPr="00F154AB" w:rsidRDefault="00F154AB" w:rsidP="00F154AB">
            <w:pPr>
              <w:ind w:firstLine="0"/>
              <w:jc w:val="left"/>
              <w:rPr>
                <w:rFonts w:eastAsia="Times New Roman" w:cs="Times New Roman"/>
                <w:color w:val="000000"/>
                <w:szCs w:val="24"/>
                <w:lang w:eastAsia="ru-RU"/>
              </w:rPr>
            </w:pPr>
            <w:r w:rsidRPr="00F154AB">
              <w:rPr>
                <w:rFonts w:eastAsia="Times New Roman" w:cs="Times New Roman"/>
                <w:color w:val="000000"/>
                <w:szCs w:val="24"/>
                <w:lang w:eastAsia="ru-RU"/>
              </w:rPr>
              <w:t>Данный ценообразующий фактор сильно коррелирует с прочими ценообразующими факторами, определяющими локальное местоположение объекта</w:t>
            </w:r>
          </w:p>
        </w:tc>
      </w:tr>
      <w:tr w:rsidR="00F154AB" w:rsidRPr="00F154AB" w14:paraId="1D6BB6E7" w14:textId="77777777" w:rsidTr="00F154AB">
        <w:trPr>
          <w:trHeight w:val="945"/>
        </w:trPr>
        <w:tc>
          <w:tcPr>
            <w:tcW w:w="185" w:type="pct"/>
            <w:tcBorders>
              <w:top w:val="nil"/>
              <w:left w:val="single" w:sz="4" w:space="0" w:color="000000"/>
              <w:bottom w:val="single" w:sz="4" w:space="0" w:color="000000"/>
              <w:right w:val="single" w:sz="4" w:space="0" w:color="000000"/>
            </w:tcBorders>
            <w:shd w:val="clear" w:color="auto" w:fill="auto"/>
            <w:vAlign w:val="center"/>
            <w:hideMark/>
          </w:tcPr>
          <w:p w14:paraId="252BD6A3" w14:textId="77777777" w:rsidR="00F154AB" w:rsidRPr="00F154AB" w:rsidRDefault="00F154AB" w:rsidP="00F154AB">
            <w:pPr>
              <w:ind w:firstLine="0"/>
              <w:jc w:val="center"/>
              <w:rPr>
                <w:rFonts w:eastAsia="Times New Roman" w:cs="Times New Roman"/>
                <w:color w:val="000000"/>
                <w:szCs w:val="24"/>
                <w:lang w:eastAsia="ru-RU"/>
              </w:rPr>
            </w:pPr>
            <w:r w:rsidRPr="00F154AB">
              <w:rPr>
                <w:rFonts w:eastAsia="Times New Roman" w:cs="Times New Roman"/>
                <w:color w:val="000000"/>
                <w:szCs w:val="24"/>
                <w:lang w:eastAsia="ru-RU"/>
              </w:rPr>
              <w:t>16</w:t>
            </w:r>
          </w:p>
        </w:tc>
        <w:tc>
          <w:tcPr>
            <w:tcW w:w="1116" w:type="pct"/>
            <w:tcBorders>
              <w:top w:val="nil"/>
              <w:left w:val="nil"/>
              <w:bottom w:val="single" w:sz="4" w:space="0" w:color="000000"/>
              <w:right w:val="single" w:sz="4" w:space="0" w:color="000000"/>
            </w:tcBorders>
            <w:shd w:val="clear" w:color="auto" w:fill="auto"/>
            <w:vAlign w:val="center"/>
            <w:hideMark/>
          </w:tcPr>
          <w:p w14:paraId="1DD5F8FE" w14:textId="2CEF5F3E" w:rsidR="00F154AB" w:rsidRPr="00F154AB" w:rsidRDefault="00F154AB" w:rsidP="00F154AB">
            <w:pPr>
              <w:ind w:firstLine="0"/>
              <w:jc w:val="center"/>
              <w:rPr>
                <w:rFonts w:eastAsia="Times New Roman" w:cs="Times New Roman"/>
                <w:color w:val="000000"/>
                <w:szCs w:val="24"/>
                <w:lang w:eastAsia="ru-RU"/>
              </w:rPr>
            </w:pPr>
            <w:r w:rsidRPr="00F154AB">
              <w:rPr>
                <w:rFonts w:eastAsia="Times New Roman" w:cs="Times New Roman"/>
                <w:color w:val="000000"/>
                <w:szCs w:val="24"/>
                <w:lang w:eastAsia="ru-RU"/>
              </w:rPr>
              <w:t>Расстояние от объекта до локального(-ых) центра(-ов), положительно влияющего(-их) на стоимость объек</w:t>
            </w:r>
            <w:r w:rsidR="005376A2">
              <w:rPr>
                <w:rFonts w:eastAsia="Times New Roman" w:cs="Times New Roman"/>
                <w:color w:val="000000"/>
                <w:szCs w:val="24"/>
                <w:lang w:eastAsia="ru-RU"/>
              </w:rPr>
              <w:t>та</w:t>
            </w:r>
          </w:p>
        </w:tc>
        <w:tc>
          <w:tcPr>
            <w:tcW w:w="562" w:type="pct"/>
            <w:tcBorders>
              <w:top w:val="nil"/>
              <w:left w:val="nil"/>
              <w:bottom w:val="single" w:sz="4" w:space="0" w:color="000000"/>
              <w:right w:val="single" w:sz="4" w:space="0" w:color="000000"/>
            </w:tcBorders>
            <w:shd w:val="clear" w:color="auto" w:fill="auto"/>
            <w:vAlign w:val="center"/>
            <w:hideMark/>
          </w:tcPr>
          <w:p w14:paraId="34BDF095" w14:textId="77777777" w:rsidR="00F154AB" w:rsidRPr="00F154AB" w:rsidRDefault="00F154AB" w:rsidP="00F154AB">
            <w:pPr>
              <w:ind w:firstLine="0"/>
              <w:jc w:val="center"/>
              <w:rPr>
                <w:rFonts w:eastAsia="Times New Roman" w:cs="Times New Roman"/>
                <w:color w:val="000000"/>
                <w:szCs w:val="24"/>
                <w:lang w:eastAsia="ru-RU"/>
              </w:rPr>
            </w:pPr>
            <w:r w:rsidRPr="00F154AB">
              <w:rPr>
                <w:rFonts w:eastAsia="Times New Roman" w:cs="Times New Roman"/>
                <w:color w:val="000000"/>
                <w:szCs w:val="24"/>
                <w:lang w:eastAsia="ru-RU"/>
              </w:rPr>
              <w:t>0,55</w:t>
            </w:r>
          </w:p>
        </w:tc>
        <w:tc>
          <w:tcPr>
            <w:tcW w:w="471" w:type="pct"/>
            <w:tcBorders>
              <w:top w:val="nil"/>
              <w:left w:val="nil"/>
              <w:bottom w:val="single" w:sz="4" w:space="0" w:color="000000"/>
              <w:right w:val="single" w:sz="4" w:space="0" w:color="000000"/>
            </w:tcBorders>
            <w:shd w:val="clear" w:color="auto" w:fill="auto"/>
            <w:vAlign w:val="center"/>
            <w:hideMark/>
          </w:tcPr>
          <w:p w14:paraId="75C34277" w14:textId="77777777" w:rsidR="00F154AB" w:rsidRPr="00F154AB" w:rsidRDefault="00F154AB" w:rsidP="00F154AB">
            <w:pPr>
              <w:ind w:firstLine="0"/>
              <w:jc w:val="center"/>
              <w:rPr>
                <w:rFonts w:eastAsia="Times New Roman" w:cs="Times New Roman"/>
                <w:color w:val="000000"/>
                <w:szCs w:val="24"/>
                <w:lang w:eastAsia="ru-RU"/>
              </w:rPr>
            </w:pPr>
            <w:r w:rsidRPr="00F154AB">
              <w:rPr>
                <w:rFonts w:eastAsia="Times New Roman" w:cs="Times New Roman"/>
                <w:color w:val="000000"/>
                <w:szCs w:val="24"/>
                <w:lang w:eastAsia="ru-RU"/>
              </w:rPr>
              <w:t>0,64</w:t>
            </w:r>
          </w:p>
        </w:tc>
        <w:tc>
          <w:tcPr>
            <w:tcW w:w="699" w:type="pct"/>
            <w:tcBorders>
              <w:top w:val="nil"/>
              <w:left w:val="nil"/>
              <w:bottom w:val="single" w:sz="4" w:space="0" w:color="000000"/>
              <w:right w:val="single" w:sz="4" w:space="0" w:color="000000"/>
            </w:tcBorders>
            <w:shd w:val="clear" w:color="auto" w:fill="auto"/>
            <w:vAlign w:val="center"/>
            <w:hideMark/>
          </w:tcPr>
          <w:p w14:paraId="5ED9D43A" w14:textId="77777777" w:rsidR="00F154AB" w:rsidRPr="00F154AB" w:rsidRDefault="00F154AB" w:rsidP="00F154AB">
            <w:pPr>
              <w:ind w:firstLine="0"/>
              <w:jc w:val="center"/>
              <w:rPr>
                <w:rFonts w:eastAsia="Times New Roman" w:cs="Times New Roman"/>
                <w:color w:val="000000"/>
                <w:szCs w:val="24"/>
                <w:lang w:eastAsia="ru-RU"/>
              </w:rPr>
            </w:pPr>
            <w:r w:rsidRPr="00F154AB">
              <w:rPr>
                <w:rFonts w:eastAsia="Times New Roman" w:cs="Times New Roman"/>
                <w:color w:val="000000"/>
                <w:szCs w:val="24"/>
                <w:lang w:eastAsia="ru-RU"/>
              </w:rPr>
              <w:t>нет</w:t>
            </w:r>
          </w:p>
        </w:tc>
        <w:tc>
          <w:tcPr>
            <w:tcW w:w="1966" w:type="pct"/>
            <w:tcBorders>
              <w:top w:val="nil"/>
              <w:left w:val="nil"/>
              <w:bottom w:val="single" w:sz="4" w:space="0" w:color="000000"/>
              <w:right w:val="single" w:sz="4" w:space="0" w:color="000000"/>
            </w:tcBorders>
            <w:shd w:val="clear" w:color="auto" w:fill="auto"/>
            <w:vAlign w:val="center"/>
            <w:hideMark/>
          </w:tcPr>
          <w:p w14:paraId="65AF9ECB" w14:textId="77777777" w:rsidR="00F154AB" w:rsidRPr="00F154AB" w:rsidRDefault="00F154AB" w:rsidP="00F154AB">
            <w:pPr>
              <w:ind w:firstLine="0"/>
              <w:jc w:val="left"/>
              <w:rPr>
                <w:rFonts w:eastAsia="Times New Roman" w:cs="Times New Roman"/>
                <w:color w:val="000000"/>
                <w:szCs w:val="24"/>
                <w:lang w:eastAsia="ru-RU"/>
              </w:rPr>
            </w:pPr>
            <w:r w:rsidRPr="00F154AB">
              <w:rPr>
                <w:rFonts w:eastAsia="Times New Roman" w:cs="Times New Roman"/>
                <w:color w:val="000000"/>
                <w:szCs w:val="24"/>
                <w:lang w:eastAsia="ru-RU"/>
              </w:rPr>
              <w:t>Данный ценообразующий фактор сильно коррелирует с прочими ценообразующими факторами, определяющими локальное местоположение объекта</w:t>
            </w:r>
          </w:p>
        </w:tc>
      </w:tr>
      <w:tr w:rsidR="00F154AB" w:rsidRPr="00F154AB" w14:paraId="068A4432" w14:textId="77777777" w:rsidTr="00F154AB">
        <w:trPr>
          <w:trHeight w:val="630"/>
        </w:trPr>
        <w:tc>
          <w:tcPr>
            <w:tcW w:w="185" w:type="pct"/>
            <w:tcBorders>
              <w:top w:val="nil"/>
              <w:left w:val="single" w:sz="4" w:space="0" w:color="000000"/>
              <w:bottom w:val="single" w:sz="4" w:space="0" w:color="000000"/>
              <w:right w:val="single" w:sz="4" w:space="0" w:color="000000"/>
            </w:tcBorders>
            <w:shd w:val="clear" w:color="auto" w:fill="auto"/>
            <w:vAlign w:val="center"/>
            <w:hideMark/>
          </w:tcPr>
          <w:p w14:paraId="485477A3" w14:textId="77777777" w:rsidR="00F154AB" w:rsidRPr="00F154AB" w:rsidRDefault="00F154AB" w:rsidP="00F154AB">
            <w:pPr>
              <w:ind w:firstLine="0"/>
              <w:jc w:val="center"/>
              <w:rPr>
                <w:rFonts w:eastAsia="Times New Roman" w:cs="Times New Roman"/>
                <w:color w:val="000000"/>
                <w:szCs w:val="24"/>
                <w:lang w:eastAsia="ru-RU"/>
              </w:rPr>
            </w:pPr>
            <w:r w:rsidRPr="00F154AB">
              <w:rPr>
                <w:rFonts w:eastAsia="Times New Roman" w:cs="Times New Roman"/>
                <w:color w:val="000000"/>
                <w:szCs w:val="24"/>
                <w:lang w:eastAsia="ru-RU"/>
              </w:rPr>
              <w:t>17</w:t>
            </w:r>
          </w:p>
        </w:tc>
        <w:tc>
          <w:tcPr>
            <w:tcW w:w="1116" w:type="pct"/>
            <w:tcBorders>
              <w:top w:val="nil"/>
              <w:left w:val="nil"/>
              <w:bottom w:val="single" w:sz="4" w:space="0" w:color="000000"/>
              <w:right w:val="single" w:sz="4" w:space="0" w:color="000000"/>
            </w:tcBorders>
            <w:shd w:val="clear" w:color="auto" w:fill="auto"/>
            <w:vAlign w:val="center"/>
            <w:hideMark/>
          </w:tcPr>
          <w:p w14:paraId="6B7E7923" w14:textId="77777777" w:rsidR="00F154AB" w:rsidRPr="00F154AB" w:rsidRDefault="00F154AB" w:rsidP="00F154AB">
            <w:pPr>
              <w:ind w:firstLine="0"/>
              <w:jc w:val="center"/>
              <w:rPr>
                <w:rFonts w:eastAsia="Times New Roman" w:cs="Times New Roman"/>
                <w:color w:val="000000"/>
                <w:szCs w:val="24"/>
                <w:lang w:eastAsia="ru-RU"/>
              </w:rPr>
            </w:pPr>
            <w:r w:rsidRPr="00F154AB">
              <w:rPr>
                <w:rFonts w:eastAsia="Times New Roman" w:cs="Times New Roman"/>
                <w:color w:val="000000"/>
                <w:szCs w:val="24"/>
                <w:lang w:eastAsia="ru-RU"/>
              </w:rPr>
              <w:t>Среднемесячная заработная плата в муниципальном районе, городском округе</w:t>
            </w:r>
          </w:p>
        </w:tc>
        <w:tc>
          <w:tcPr>
            <w:tcW w:w="562" w:type="pct"/>
            <w:tcBorders>
              <w:top w:val="nil"/>
              <w:left w:val="nil"/>
              <w:bottom w:val="single" w:sz="4" w:space="0" w:color="000000"/>
              <w:right w:val="single" w:sz="4" w:space="0" w:color="000000"/>
            </w:tcBorders>
            <w:shd w:val="clear" w:color="auto" w:fill="auto"/>
            <w:vAlign w:val="center"/>
            <w:hideMark/>
          </w:tcPr>
          <w:p w14:paraId="6DFA1425" w14:textId="77777777" w:rsidR="00F154AB" w:rsidRPr="00F154AB" w:rsidRDefault="00F154AB" w:rsidP="00F154AB">
            <w:pPr>
              <w:ind w:firstLine="0"/>
              <w:jc w:val="center"/>
              <w:rPr>
                <w:rFonts w:eastAsia="Times New Roman" w:cs="Times New Roman"/>
                <w:color w:val="000000"/>
                <w:szCs w:val="24"/>
                <w:lang w:eastAsia="ru-RU"/>
              </w:rPr>
            </w:pPr>
            <w:r w:rsidRPr="00F154AB">
              <w:rPr>
                <w:rFonts w:eastAsia="Times New Roman" w:cs="Times New Roman"/>
                <w:color w:val="000000"/>
                <w:szCs w:val="24"/>
                <w:lang w:eastAsia="ru-RU"/>
              </w:rPr>
              <w:t>0,2</w:t>
            </w:r>
          </w:p>
        </w:tc>
        <w:tc>
          <w:tcPr>
            <w:tcW w:w="471" w:type="pct"/>
            <w:tcBorders>
              <w:top w:val="nil"/>
              <w:left w:val="nil"/>
              <w:bottom w:val="single" w:sz="4" w:space="0" w:color="000000"/>
              <w:right w:val="single" w:sz="4" w:space="0" w:color="000000"/>
            </w:tcBorders>
            <w:shd w:val="clear" w:color="auto" w:fill="auto"/>
            <w:vAlign w:val="center"/>
            <w:hideMark/>
          </w:tcPr>
          <w:p w14:paraId="2DE3C6F4" w14:textId="77777777" w:rsidR="00F154AB" w:rsidRPr="00F154AB" w:rsidRDefault="00F154AB" w:rsidP="00F154AB">
            <w:pPr>
              <w:ind w:firstLine="0"/>
              <w:jc w:val="center"/>
              <w:rPr>
                <w:rFonts w:eastAsia="Times New Roman" w:cs="Times New Roman"/>
                <w:color w:val="000000"/>
                <w:szCs w:val="24"/>
                <w:lang w:eastAsia="ru-RU"/>
              </w:rPr>
            </w:pPr>
            <w:r w:rsidRPr="00F154AB">
              <w:rPr>
                <w:rFonts w:eastAsia="Times New Roman" w:cs="Times New Roman"/>
                <w:color w:val="000000"/>
                <w:szCs w:val="24"/>
                <w:lang w:eastAsia="ru-RU"/>
              </w:rPr>
              <w:t>0,23</w:t>
            </w:r>
          </w:p>
        </w:tc>
        <w:tc>
          <w:tcPr>
            <w:tcW w:w="699" w:type="pct"/>
            <w:tcBorders>
              <w:top w:val="nil"/>
              <w:left w:val="nil"/>
              <w:bottom w:val="single" w:sz="4" w:space="0" w:color="000000"/>
              <w:right w:val="single" w:sz="4" w:space="0" w:color="000000"/>
            </w:tcBorders>
            <w:shd w:val="clear" w:color="auto" w:fill="auto"/>
            <w:vAlign w:val="center"/>
            <w:hideMark/>
          </w:tcPr>
          <w:p w14:paraId="16544DB1" w14:textId="77777777" w:rsidR="00F154AB" w:rsidRPr="00F154AB" w:rsidRDefault="00F154AB" w:rsidP="00F154AB">
            <w:pPr>
              <w:ind w:firstLine="0"/>
              <w:jc w:val="center"/>
              <w:rPr>
                <w:rFonts w:eastAsia="Times New Roman" w:cs="Times New Roman"/>
                <w:color w:val="000000"/>
                <w:szCs w:val="24"/>
                <w:lang w:eastAsia="ru-RU"/>
              </w:rPr>
            </w:pPr>
            <w:r w:rsidRPr="00F154AB">
              <w:rPr>
                <w:rFonts w:eastAsia="Times New Roman" w:cs="Times New Roman"/>
                <w:color w:val="000000"/>
                <w:szCs w:val="24"/>
                <w:lang w:eastAsia="ru-RU"/>
              </w:rPr>
              <w:t>да</w:t>
            </w:r>
          </w:p>
        </w:tc>
        <w:tc>
          <w:tcPr>
            <w:tcW w:w="1966" w:type="pct"/>
            <w:tcBorders>
              <w:top w:val="nil"/>
              <w:left w:val="nil"/>
              <w:bottom w:val="single" w:sz="4" w:space="0" w:color="000000"/>
              <w:right w:val="single" w:sz="4" w:space="0" w:color="000000"/>
            </w:tcBorders>
            <w:shd w:val="clear" w:color="auto" w:fill="auto"/>
            <w:vAlign w:val="center"/>
            <w:hideMark/>
          </w:tcPr>
          <w:p w14:paraId="3B354AFB" w14:textId="77777777" w:rsidR="00F154AB" w:rsidRPr="00F154AB" w:rsidRDefault="00F154AB" w:rsidP="00F154AB">
            <w:pPr>
              <w:ind w:firstLine="0"/>
              <w:jc w:val="left"/>
              <w:rPr>
                <w:rFonts w:eastAsia="Times New Roman" w:cs="Times New Roman"/>
                <w:color w:val="000000"/>
                <w:szCs w:val="24"/>
                <w:lang w:eastAsia="ru-RU"/>
              </w:rPr>
            </w:pPr>
            <w:r w:rsidRPr="00F154AB">
              <w:rPr>
                <w:rFonts w:eastAsia="Times New Roman" w:cs="Times New Roman"/>
                <w:color w:val="000000"/>
                <w:szCs w:val="24"/>
                <w:lang w:eastAsia="ru-RU"/>
              </w:rPr>
              <w:t>Ценообразующий фактор соответствует критериям, описанным выше. Данный фактор оказывает существенное влияние на стоимость объектов недвижимости</w:t>
            </w:r>
          </w:p>
        </w:tc>
      </w:tr>
      <w:tr w:rsidR="00F154AB" w:rsidRPr="00F154AB" w14:paraId="03587B4D" w14:textId="77777777" w:rsidTr="00F154AB">
        <w:trPr>
          <w:trHeight w:val="630"/>
        </w:trPr>
        <w:tc>
          <w:tcPr>
            <w:tcW w:w="185" w:type="pct"/>
            <w:tcBorders>
              <w:top w:val="nil"/>
              <w:left w:val="single" w:sz="4" w:space="0" w:color="000000"/>
              <w:bottom w:val="single" w:sz="4" w:space="0" w:color="000000"/>
              <w:right w:val="single" w:sz="4" w:space="0" w:color="000000"/>
            </w:tcBorders>
            <w:shd w:val="clear" w:color="auto" w:fill="auto"/>
            <w:vAlign w:val="center"/>
            <w:hideMark/>
          </w:tcPr>
          <w:p w14:paraId="0166F0CF" w14:textId="77777777" w:rsidR="00F154AB" w:rsidRPr="00F154AB" w:rsidRDefault="00F154AB" w:rsidP="00F154AB">
            <w:pPr>
              <w:ind w:firstLine="0"/>
              <w:jc w:val="center"/>
              <w:rPr>
                <w:rFonts w:eastAsia="Times New Roman" w:cs="Times New Roman"/>
                <w:color w:val="000000"/>
                <w:szCs w:val="24"/>
                <w:lang w:eastAsia="ru-RU"/>
              </w:rPr>
            </w:pPr>
            <w:r w:rsidRPr="00F154AB">
              <w:rPr>
                <w:rFonts w:eastAsia="Times New Roman" w:cs="Times New Roman"/>
                <w:color w:val="000000"/>
                <w:szCs w:val="24"/>
                <w:lang w:eastAsia="ru-RU"/>
              </w:rPr>
              <w:t>18</w:t>
            </w:r>
          </w:p>
        </w:tc>
        <w:tc>
          <w:tcPr>
            <w:tcW w:w="1116" w:type="pct"/>
            <w:tcBorders>
              <w:top w:val="nil"/>
              <w:left w:val="nil"/>
              <w:bottom w:val="single" w:sz="4" w:space="0" w:color="000000"/>
              <w:right w:val="single" w:sz="4" w:space="0" w:color="000000"/>
            </w:tcBorders>
            <w:shd w:val="clear" w:color="auto" w:fill="auto"/>
            <w:vAlign w:val="center"/>
            <w:hideMark/>
          </w:tcPr>
          <w:p w14:paraId="6530E2FA" w14:textId="77777777" w:rsidR="00F154AB" w:rsidRPr="00F154AB" w:rsidRDefault="00F154AB" w:rsidP="00F154AB">
            <w:pPr>
              <w:ind w:firstLine="0"/>
              <w:jc w:val="center"/>
              <w:rPr>
                <w:rFonts w:eastAsia="Times New Roman" w:cs="Times New Roman"/>
                <w:color w:val="000000"/>
                <w:szCs w:val="24"/>
                <w:lang w:eastAsia="ru-RU"/>
              </w:rPr>
            </w:pPr>
            <w:r w:rsidRPr="00F154AB">
              <w:rPr>
                <w:rFonts w:eastAsia="Times New Roman" w:cs="Times New Roman"/>
                <w:color w:val="000000"/>
                <w:szCs w:val="24"/>
                <w:lang w:eastAsia="ru-RU"/>
              </w:rPr>
              <w:t>Физический износ_ЗП</w:t>
            </w:r>
          </w:p>
        </w:tc>
        <w:tc>
          <w:tcPr>
            <w:tcW w:w="562" w:type="pct"/>
            <w:tcBorders>
              <w:top w:val="nil"/>
              <w:left w:val="nil"/>
              <w:bottom w:val="single" w:sz="4" w:space="0" w:color="000000"/>
              <w:right w:val="single" w:sz="4" w:space="0" w:color="000000"/>
            </w:tcBorders>
            <w:shd w:val="clear" w:color="auto" w:fill="auto"/>
            <w:vAlign w:val="center"/>
            <w:hideMark/>
          </w:tcPr>
          <w:p w14:paraId="1F80905A" w14:textId="77777777" w:rsidR="00F154AB" w:rsidRPr="00F154AB" w:rsidRDefault="00F154AB" w:rsidP="00F154AB">
            <w:pPr>
              <w:ind w:firstLine="0"/>
              <w:jc w:val="center"/>
              <w:rPr>
                <w:rFonts w:eastAsia="Times New Roman" w:cs="Times New Roman"/>
                <w:color w:val="000000"/>
                <w:szCs w:val="24"/>
                <w:lang w:eastAsia="ru-RU"/>
              </w:rPr>
            </w:pPr>
            <w:r w:rsidRPr="00F154AB">
              <w:rPr>
                <w:rFonts w:eastAsia="Times New Roman" w:cs="Times New Roman"/>
                <w:color w:val="000000"/>
                <w:szCs w:val="24"/>
                <w:lang w:eastAsia="ru-RU"/>
              </w:rPr>
              <w:t>0,28</w:t>
            </w:r>
          </w:p>
        </w:tc>
        <w:tc>
          <w:tcPr>
            <w:tcW w:w="471" w:type="pct"/>
            <w:tcBorders>
              <w:top w:val="nil"/>
              <w:left w:val="nil"/>
              <w:bottom w:val="single" w:sz="4" w:space="0" w:color="000000"/>
              <w:right w:val="single" w:sz="4" w:space="0" w:color="000000"/>
            </w:tcBorders>
            <w:shd w:val="clear" w:color="auto" w:fill="auto"/>
            <w:vAlign w:val="center"/>
            <w:hideMark/>
          </w:tcPr>
          <w:p w14:paraId="222E917B" w14:textId="77777777" w:rsidR="00F154AB" w:rsidRPr="00F154AB" w:rsidRDefault="00F154AB" w:rsidP="00F154AB">
            <w:pPr>
              <w:ind w:firstLine="0"/>
              <w:jc w:val="center"/>
              <w:rPr>
                <w:rFonts w:eastAsia="Times New Roman" w:cs="Times New Roman"/>
                <w:color w:val="000000"/>
                <w:szCs w:val="24"/>
                <w:lang w:eastAsia="ru-RU"/>
              </w:rPr>
            </w:pPr>
            <w:r w:rsidRPr="00F154AB">
              <w:rPr>
                <w:rFonts w:eastAsia="Times New Roman" w:cs="Times New Roman"/>
                <w:color w:val="000000"/>
                <w:szCs w:val="24"/>
                <w:lang w:eastAsia="ru-RU"/>
              </w:rPr>
              <w:t>0,33</w:t>
            </w:r>
          </w:p>
        </w:tc>
        <w:tc>
          <w:tcPr>
            <w:tcW w:w="699" w:type="pct"/>
            <w:tcBorders>
              <w:top w:val="nil"/>
              <w:left w:val="nil"/>
              <w:bottom w:val="single" w:sz="4" w:space="0" w:color="000000"/>
              <w:right w:val="single" w:sz="4" w:space="0" w:color="000000"/>
            </w:tcBorders>
            <w:shd w:val="clear" w:color="auto" w:fill="auto"/>
            <w:vAlign w:val="center"/>
            <w:hideMark/>
          </w:tcPr>
          <w:p w14:paraId="6F8FEBC8" w14:textId="77777777" w:rsidR="00F154AB" w:rsidRPr="00F154AB" w:rsidRDefault="00F154AB" w:rsidP="00F154AB">
            <w:pPr>
              <w:ind w:firstLine="0"/>
              <w:jc w:val="center"/>
              <w:rPr>
                <w:rFonts w:eastAsia="Times New Roman" w:cs="Times New Roman"/>
                <w:color w:val="000000"/>
                <w:szCs w:val="24"/>
                <w:lang w:eastAsia="ru-RU"/>
              </w:rPr>
            </w:pPr>
            <w:r w:rsidRPr="00F154AB">
              <w:rPr>
                <w:rFonts w:eastAsia="Times New Roman" w:cs="Times New Roman"/>
                <w:color w:val="000000"/>
                <w:szCs w:val="24"/>
                <w:lang w:eastAsia="ru-RU"/>
              </w:rPr>
              <w:t>да</w:t>
            </w:r>
          </w:p>
        </w:tc>
        <w:tc>
          <w:tcPr>
            <w:tcW w:w="1966" w:type="pct"/>
            <w:tcBorders>
              <w:top w:val="nil"/>
              <w:left w:val="nil"/>
              <w:bottom w:val="single" w:sz="4" w:space="0" w:color="000000"/>
              <w:right w:val="single" w:sz="4" w:space="0" w:color="000000"/>
            </w:tcBorders>
            <w:shd w:val="clear" w:color="auto" w:fill="auto"/>
            <w:vAlign w:val="center"/>
            <w:hideMark/>
          </w:tcPr>
          <w:p w14:paraId="7F553829" w14:textId="77777777" w:rsidR="00F154AB" w:rsidRPr="00F154AB" w:rsidRDefault="00F154AB" w:rsidP="00F154AB">
            <w:pPr>
              <w:ind w:firstLine="0"/>
              <w:jc w:val="left"/>
              <w:rPr>
                <w:rFonts w:eastAsia="Times New Roman" w:cs="Times New Roman"/>
                <w:color w:val="000000"/>
                <w:szCs w:val="24"/>
                <w:lang w:eastAsia="ru-RU"/>
              </w:rPr>
            </w:pPr>
            <w:r w:rsidRPr="00F154AB">
              <w:rPr>
                <w:rFonts w:eastAsia="Times New Roman" w:cs="Times New Roman"/>
                <w:color w:val="000000"/>
                <w:szCs w:val="24"/>
                <w:lang w:eastAsia="ru-RU"/>
              </w:rPr>
              <w:t>Ценообразующий фактор соответствует критериям, описанным выше. Данный фактор оказывает существенное влияние на стоимость объектов недвижимости</w:t>
            </w:r>
          </w:p>
        </w:tc>
      </w:tr>
      <w:tr w:rsidR="00F154AB" w:rsidRPr="00F154AB" w14:paraId="57B83420" w14:textId="77777777" w:rsidTr="00F154AB">
        <w:trPr>
          <w:trHeight w:val="945"/>
        </w:trPr>
        <w:tc>
          <w:tcPr>
            <w:tcW w:w="185" w:type="pct"/>
            <w:tcBorders>
              <w:top w:val="nil"/>
              <w:left w:val="single" w:sz="4" w:space="0" w:color="000000"/>
              <w:bottom w:val="single" w:sz="4" w:space="0" w:color="000000"/>
              <w:right w:val="single" w:sz="4" w:space="0" w:color="000000"/>
            </w:tcBorders>
            <w:shd w:val="clear" w:color="auto" w:fill="auto"/>
            <w:vAlign w:val="center"/>
            <w:hideMark/>
          </w:tcPr>
          <w:p w14:paraId="747EFCEE" w14:textId="77777777" w:rsidR="00F154AB" w:rsidRPr="00F154AB" w:rsidRDefault="00F154AB" w:rsidP="00F154AB">
            <w:pPr>
              <w:ind w:firstLine="0"/>
              <w:jc w:val="center"/>
              <w:rPr>
                <w:rFonts w:eastAsia="Times New Roman" w:cs="Times New Roman"/>
                <w:color w:val="000000"/>
                <w:szCs w:val="24"/>
                <w:lang w:eastAsia="ru-RU"/>
              </w:rPr>
            </w:pPr>
            <w:r w:rsidRPr="00F154AB">
              <w:rPr>
                <w:rFonts w:eastAsia="Times New Roman" w:cs="Times New Roman"/>
                <w:color w:val="000000"/>
                <w:szCs w:val="24"/>
                <w:lang w:eastAsia="ru-RU"/>
              </w:rPr>
              <w:t>19</w:t>
            </w:r>
          </w:p>
        </w:tc>
        <w:tc>
          <w:tcPr>
            <w:tcW w:w="1116" w:type="pct"/>
            <w:tcBorders>
              <w:top w:val="nil"/>
              <w:left w:val="nil"/>
              <w:bottom w:val="single" w:sz="4" w:space="0" w:color="000000"/>
              <w:right w:val="single" w:sz="4" w:space="0" w:color="000000"/>
            </w:tcBorders>
            <w:shd w:val="clear" w:color="auto" w:fill="auto"/>
            <w:vAlign w:val="center"/>
            <w:hideMark/>
          </w:tcPr>
          <w:p w14:paraId="46BA2CFF" w14:textId="77777777" w:rsidR="00F154AB" w:rsidRPr="00F154AB" w:rsidRDefault="00F154AB" w:rsidP="00F154AB">
            <w:pPr>
              <w:ind w:firstLine="0"/>
              <w:jc w:val="center"/>
              <w:rPr>
                <w:rFonts w:eastAsia="Times New Roman" w:cs="Times New Roman"/>
                <w:color w:val="000000"/>
                <w:szCs w:val="24"/>
                <w:lang w:eastAsia="ru-RU"/>
              </w:rPr>
            </w:pPr>
            <w:r w:rsidRPr="00F154AB">
              <w:rPr>
                <w:rFonts w:eastAsia="Times New Roman" w:cs="Times New Roman"/>
                <w:color w:val="000000"/>
                <w:szCs w:val="24"/>
                <w:lang w:eastAsia="ru-RU"/>
              </w:rPr>
              <w:t>ЦГКО_уточнение Год постройки</w:t>
            </w:r>
          </w:p>
        </w:tc>
        <w:tc>
          <w:tcPr>
            <w:tcW w:w="562" w:type="pct"/>
            <w:tcBorders>
              <w:top w:val="nil"/>
              <w:left w:val="nil"/>
              <w:bottom w:val="single" w:sz="4" w:space="0" w:color="000000"/>
              <w:right w:val="single" w:sz="4" w:space="0" w:color="000000"/>
            </w:tcBorders>
            <w:shd w:val="clear" w:color="auto" w:fill="auto"/>
            <w:vAlign w:val="center"/>
            <w:hideMark/>
          </w:tcPr>
          <w:p w14:paraId="6F5D1A43" w14:textId="77777777" w:rsidR="00F154AB" w:rsidRPr="00F154AB" w:rsidRDefault="00F154AB" w:rsidP="00F154AB">
            <w:pPr>
              <w:ind w:firstLine="0"/>
              <w:jc w:val="center"/>
              <w:rPr>
                <w:rFonts w:eastAsia="Times New Roman" w:cs="Times New Roman"/>
                <w:color w:val="000000"/>
                <w:szCs w:val="24"/>
                <w:lang w:eastAsia="ru-RU"/>
              </w:rPr>
            </w:pPr>
            <w:r w:rsidRPr="00F154AB">
              <w:rPr>
                <w:rFonts w:eastAsia="Times New Roman" w:cs="Times New Roman"/>
                <w:color w:val="000000"/>
                <w:szCs w:val="24"/>
                <w:lang w:eastAsia="ru-RU"/>
              </w:rPr>
              <w:t>0,65</w:t>
            </w:r>
          </w:p>
        </w:tc>
        <w:tc>
          <w:tcPr>
            <w:tcW w:w="471" w:type="pct"/>
            <w:tcBorders>
              <w:top w:val="nil"/>
              <w:left w:val="nil"/>
              <w:bottom w:val="single" w:sz="4" w:space="0" w:color="000000"/>
              <w:right w:val="single" w:sz="4" w:space="0" w:color="000000"/>
            </w:tcBorders>
            <w:shd w:val="clear" w:color="auto" w:fill="auto"/>
            <w:vAlign w:val="center"/>
            <w:hideMark/>
          </w:tcPr>
          <w:p w14:paraId="61C55E32" w14:textId="77777777" w:rsidR="00F154AB" w:rsidRPr="00F154AB" w:rsidRDefault="00F154AB" w:rsidP="00F154AB">
            <w:pPr>
              <w:ind w:firstLine="0"/>
              <w:jc w:val="center"/>
              <w:rPr>
                <w:rFonts w:eastAsia="Times New Roman" w:cs="Times New Roman"/>
                <w:color w:val="000000"/>
                <w:szCs w:val="24"/>
                <w:lang w:eastAsia="ru-RU"/>
              </w:rPr>
            </w:pPr>
            <w:r w:rsidRPr="00F154AB">
              <w:rPr>
                <w:rFonts w:eastAsia="Times New Roman" w:cs="Times New Roman"/>
                <w:color w:val="000000"/>
                <w:szCs w:val="24"/>
                <w:lang w:eastAsia="ru-RU"/>
              </w:rPr>
              <w:t>0,76</w:t>
            </w:r>
          </w:p>
        </w:tc>
        <w:tc>
          <w:tcPr>
            <w:tcW w:w="699" w:type="pct"/>
            <w:tcBorders>
              <w:top w:val="nil"/>
              <w:left w:val="nil"/>
              <w:bottom w:val="single" w:sz="4" w:space="0" w:color="000000"/>
              <w:right w:val="single" w:sz="4" w:space="0" w:color="000000"/>
            </w:tcBorders>
            <w:shd w:val="clear" w:color="auto" w:fill="auto"/>
            <w:vAlign w:val="center"/>
            <w:hideMark/>
          </w:tcPr>
          <w:p w14:paraId="6BBB86B1" w14:textId="77777777" w:rsidR="00F154AB" w:rsidRPr="00F154AB" w:rsidRDefault="00F154AB" w:rsidP="00F154AB">
            <w:pPr>
              <w:ind w:firstLine="0"/>
              <w:jc w:val="center"/>
              <w:rPr>
                <w:rFonts w:eastAsia="Times New Roman" w:cs="Times New Roman"/>
                <w:color w:val="000000"/>
                <w:szCs w:val="24"/>
                <w:lang w:eastAsia="ru-RU"/>
              </w:rPr>
            </w:pPr>
            <w:r w:rsidRPr="00F154AB">
              <w:rPr>
                <w:rFonts w:eastAsia="Times New Roman" w:cs="Times New Roman"/>
                <w:color w:val="000000"/>
                <w:szCs w:val="24"/>
                <w:lang w:eastAsia="ru-RU"/>
              </w:rPr>
              <w:t>нет</w:t>
            </w:r>
          </w:p>
        </w:tc>
        <w:tc>
          <w:tcPr>
            <w:tcW w:w="1966" w:type="pct"/>
            <w:tcBorders>
              <w:top w:val="nil"/>
              <w:left w:val="nil"/>
              <w:bottom w:val="single" w:sz="4" w:space="0" w:color="000000"/>
              <w:right w:val="single" w:sz="4" w:space="0" w:color="000000"/>
            </w:tcBorders>
            <w:shd w:val="clear" w:color="auto" w:fill="auto"/>
            <w:vAlign w:val="center"/>
            <w:hideMark/>
          </w:tcPr>
          <w:p w14:paraId="142B2F09" w14:textId="77777777" w:rsidR="00F154AB" w:rsidRPr="00F154AB" w:rsidRDefault="00F154AB" w:rsidP="00F154AB">
            <w:pPr>
              <w:ind w:firstLine="0"/>
              <w:jc w:val="left"/>
              <w:rPr>
                <w:rFonts w:eastAsia="Times New Roman" w:cs="Times New Roman"/>
                <w:color w:val="000000"/>
                <w:szCs w:val="24"/>
                <w:lang w:eastAsia="ru-RU"/>
              </w:rPr>
            </w:pPr>
            <w:r w:rsidRPr="00F154AB">
              <w:rPr>
                <w:rFonts w:eastAsia="Times New Roman" w:cs="Times New Roman"/>
                <w:color w:val="000000"/>
                <w:szCs w:val="24"/>
                <w:lang w:eastAsia="ru-RU"/>
              </w:rPr>
              <w:t>Данный ценообразующий фактор сильно коррелирует с прочими ценообразующими факторами, определяющими локальное местоположение объекта</w:t>
            </w:r>
          </w:p>
        </w:tc>
      </w:tr>
      <w:tr w:rsidR="00F154AB" w:rsidRPr="00F154AB" w14:paraId="14FE7429" w14:textId="77777777" w:rsidTr="00F154AB">
        <w:trPr>
          <w:trHeight w:val="945"/>
        </w:trPr>
        <w:tc>
          <w:tcPr>
            <w:tcW w:w="185" w:type="pct"/>
            <w:tcBorders>
              <w:top w:val="nil"/>
              <w:left w:val="single" w:sz="4" w:space="0" w:color="000000"/>
              <w:bottom w:val="single" w:sz="4" w:space="0" w:color="000000"/>
              <w:right w:val="single" w:sz="4" w:space="0" w:color="000000"/>
            </w:tcBorders>
            <w:shd w:val="clear" w:color="auto" w:fill="auto"/>
            <w:vAlign w:val="center"/>
            <w:hideMark/>
          </w:tcPr>
          <w:p w14:paraId="50B490E2" w14:textId="77777777" w:rsidR="00F154AB" w:rsidRPr="00F154AB" w:rsidRDefault="00F154AB" w:rsidP="00F154AB">
            <w:pPr>
              <w:ind w:firstLine="0"/>
              <w:jc w:val="center"/>
              <w:rPr>
                <w:rFonts w:eastAsia="Times New Roman" w:cs="Times New Roman"/>
                <w:color w:val="000000"/>
                <w:szCs w:val="24"/>
                <w:lang w:eastAsia="ru-RU"/>
              </w:rPr>
            </w:pPr>
            <w:r w:rsidRPr="00F154AB">
              <w:rPr>
                <w:rFonts w:eastAsia="Times New Roman" w:cs="Times New Roman"/>
                <w:color w:val="000000"/>
                <w:szCs w:val="24"/>
                <w:lang w:eastAsia="ru-RU"/>
              </w:rPr>
              <w:t>20</w:t>
            </w:r>
          </w:p>
        </w:tc>
        <w:tc>
          <w:tcPr>
            <w:tcW w:w="1116" w:type="pct"/>
            <w:tcBorders>
              <w:top w:val="nil"/>
              <w:left w:val="nil"/>
              <w:bottom w:val="single" w:sz="4" w:space="0" w:color="000000"/>
              <w:right w:val="single" w:sz="4" w:space="0" w:color="000000"/>
            </w:tcBorders>
            <w:shd w:val="clear" w:color="auto" w:fill="auto"/>
            <w:vAlign w:val="center"/>
            <w:hideMark/>
          </w:tcPr>
          <w:p w14:paraId="3A26FF1A" w14:textId="77777777" w:rsidR="00F154AB" w:rsidRPr="00F154AB" w:rsidRDefault="00F154AB" w:rsidP="00F154AB">
            <w:pPr>
              <w:ind w:firstLine="0"/>
              <w:jc w:val="center"/>
              <w:rPr>
                <w:rFonts w:eastAsia="Times New Roman" w:cs="Times New Roman"/>
                <w:color w:val="000000"/>
                <w:szCs w:val="24"/>
                <w:lang w:eastAsia="ru-RU"/>
              </w:rPr>
            </w:pPr>
            <w:r w:rsidRPr="00F154AB">
              <w:rPr>
                <w:rFonts w:eastAsia="Times New Roman" w:cs="Times New Roman"/>
                <w:color w:val="000000"/>
                <w:szCs w:val="24"/>
                <w:lang w:eastAsia="ru-RU"/>
              </w:rPr>
              <w:t>Численность населения в муниципальном районе, городском округе</w:t>
            </w:r>
          </w:p>
        </w:tc>
        <w:tc>
          <w:tcPr>
            <w:tcW w:w="562" w:type="pct"/>
            <w:tcBorders>
              <w:top w:val="nil"/>
              <w:left w:val="nil"/>
              <w:bottom w:val="single" w:sz="4" w:space="0" w:color="000000"/>
              <w:right w:val="single" w:sz="4" w:space="0" w:color="000000"/>
            </w:tcBorders>
            <w:shd w:val="clear" w:color="auto" w:fill="auto"/>
            <w:vAlign w:val="center"/>
            <w:hideMark/>
          </w:tcPr>
          <w:p w14:paraId="0515497D" w14:textId="77777777" w:rsidR="00F154AB" w:rsidRPr="00F154AB" w:rsidRDefault="00F154AB" w:rsidP="00F154AB">
            <w:pPr>
              <w:ind w:firstLine="0"/>
              <w:jc w:val="center"/>
              <w:rPr>
                <w:rFonts w:eastAsia="Times New Roman" w:cs="Times New Roman"/>
                <w:color w:val="000000"/>
                <w:szCs w:val="24"/>
                <w:lang w:eastAsia="ru-RU"/>
              </w:rPr>
            </w:pPr>
            <w:r w:rsidRPr="00F154AB">
              <w:rPr>
                <w:rFonts w:eastAsia="Times New Roman" w:cs="Times New Roman"/>
                <w:color w:val="000000"/>
                <w:szCs w:val="24"/>
                <w:lang w:eastAsia="ru-RU"/>
              </w:rPr>
              <w:t>0,29</w:t>
            </w:r>
          </w:p>
        </w:tc>
        <w:tc>
          <w:tcPr>
            <w:tcW w:w="471" w:type="pct"/>
            <w:tcBorders>
              <w:top w:val="nil"/>
              <w:left w:val="nil"/>
              <w:bottom w:val="single" w:sz="4" w:space="0" w:color="000000"/>
              <w:right w:val="single" w:sz="4" w:space="0" w:color="000000"/>
            </w:tcBorders>
            <w:shd w:val="clear" w:color="auto" w:fill="auto"/>
            <w:vAlign w:val="center"/>
            <w:hideMark/>
          </w:tcPr>
          <w:p w14:paraId="1CB0E700" w14:textId="77777777" w:rsidR="00F154AB" w:rsidRPr="00F154AB" w:rsidRDefault="00F154AB" w:rsidP="00F154AB">
            <w:pPr>
              <w:ind w:firstLine="0"/>
              <w:jc w:val="center"/>
              <w:rPr>
                <w:rFonts w:eastAsia="Times New Roman" w:cs="Times New Roman"/>
                <w:color w:val="000000"/>
                <w:szCs w:val="24"/>
                <w:lang w:eastAsia="ru-RU"/>
              </w:rPr>
            </w:pPr>
            <w:r w:rsidRPr="00F154AB">
              <w:rPr>
                <w:rFonts w:eastAsia="Times New Roman" w:cs="Times New Roman"/>
                <w:color w:val="000000"/>
                <w:szCs w:val="24"/>
                <w:lang w:eastAsia="ru-RU"/>
              </w:rPr>
              <w:t>0,33</w:t>
            </w:r>
          </w:p>
        </w:tc>
        <w:tc>
          <w:tcPr>
            <w:tcW w:w="699" w:type="pct"/>
            <w:tcBorders>
              <w:top w:val="nil"/>
              <w:left w:val="nil"/>
              <w:bottom w:val="single" w:sz="4" w:space="0" w:color="000000"/>
              <w:right w:val="single" w:sz="4" w:space="0" w:color="000000"/>
            </w:tcBorders>
            <w:shd w:val="clear" w:color="auto" w:fill="auto"/>
            <w:vAlign w:val="center"/>
            <w:hideMark/>
          </w:tcPr>
          <w:p w14:paraId="499AB361" w14:textId="77777777" w:rsidR="00F154AB" w:rsidRPr="00F154AB" w:rsidRDefault="00F154AB" w:rsidP="00F154AB">
            <w:pPr>
              <w:ind w:firstLine="0"/>
              <w:jc w:val="center"/>
              <w:rPr>
                <w:rFonts w:eastAsia="Times New Roman" w:cs="Times New Roman"/>
                <w:color w:val="000000"/>
                <w:szCs w:val="24"/>
                <w:lang w:eastAsia="ru-RU"/>
              </w:rPr>
            </w:pPr>
            <w:r w:rsidRPr="00F154AB">
              <w:rPr>
                <w:rFonts w:eastAsia="Times New Roman" w:cs="Times New Roman"/>
                <w:color w:val="000000"/>
                <w:szCs w:val="24"/>
                <w:lang w:eastAsia="ru-RU"/>
              </w:rPr>
              <w:t>нет</w:t>
            </w:r>
          </w:p>
        </w:tc>
        <w:tc>
          <w:tcPr>
            <w:tcW w:w="1966" w:type="pct"/>
            <w:tcBorders>
              <w:top w:val="nil"/>
              <w:left w:val="nil"/>
              <w:bottom w:val="single" w:sz="4" w:space="0" w:color="000000"/>
              <w:right w:val="single" w:sz="4" w:space="0" w:color="000000"/>
            </w:tcBorders>
            <w:shd w:val="clear" w:color="auto" w:fill="auto"/>
            <w:vAlign w:val="center"/>
            <w:hideMark/>
          </w:tcPr>
          <w:p w14:paraId="4EE07BE9" w14:textId="77777777" w:rsidR="00F154AB" w:rsidRPr="00F154AB" w:rsidRDefault="00F154AB" w:rsidP="00F154AB">
            <w:pPr>
              <w:ind w:firstLine="0"/>
              <w:jc w:val="left"/>
              <w:rPr>
                <w:rFonts w:eastAsia="Times New Roman" w:cs="Times New Roman"/>
                <w:color w:val="000000"/>
                <w:szCs w:val="24"/>
                <w:lang w:eastAsia="ru-RU"/>
              </w:rPr>
            </w:pPr>
            <w:r w:rsidRPr="00F154AB">
              <w:rPr>
                <w:rFonts w:eastAsia="Times New Roman" w:cs="Times New Roman"/>
                <w:color w:val="000000"/>
                <w:szCs w:val="24"/>
                <w:lang w:eastAsia="ru-RU"/>
              </w:rPr>
              <w:t>Данный ценообразующий фактор сильно коррелирует с прочими ценообразующими факторами, определяющими локальное местоположение объекта</w:t>
            </w:r>
          </w:p>
        </w:tc>
      </w:tr>
      <w:tr w:rsidR="00F154AB" w:rsidRPr="00F154AB" w14:paraId="10421603" w14:textId="77777777" w:rsidTr="00F154AB">
        <w:trPr>
          <w:trHeight w:val="630"/>
        </w:trPr>
        <w:tc>
          <w:tcPr>
            <w:tcW w:w="185" w:type="pct"/>
            <w:tcBorders>
              <w:top w:val="nil"/>
              <w:left w:val="single" w:sz="4" w:space="0" w:color="000000"/>
              <w:bottom w:val="single" w:sz="4" w:space="0" w:color="000000"/>
              <w:right w:val="single" w:sz="4" w:space="0" w:color="000000"/>
            </w:tcBorders>
            <w:shd w:val="clear" w:color="auto" w:fill="auto"/>
            <w:vAlign w:val="center"/>
            <w:hideMark/>
          </w:tcPr>
          <w:p w14:paraId="00BB0C8F" w14:textId="77777777" w:rsidR="00F154AB" w:rsidRPr="00F154AB" w:rsidRDefault="00F154AB" w:rsidP="00F154AB">
            <w:pPr>
              <w:ind w:firstLine="0"/>
              <w:jc w:val="center"/>
              <w:rPr>
                <w:rFonts w:eastAsia="Times New Roman" w:cs="Times New Roman"/>
                <w:color w:val="000000"/>
                <w:szCs w:val="24"/>
                <w:lang w:eastAsia="ru-RU"/>
              </w:rPr>
            </w:pPr>
            <w:r w:rsidRPr="00F154AB">
              <w:rPr>
                <w:rFonts w:eastAsia="Times New Roman" w:cs="Times New Roman"/>
                <w:color w:val="000000"/>
                <w:szCs w:val="24"/>
                <w:lang w:eastAsia="ru-RU"/>
              </w:rPr>
              <w:t>21</w:t>
            </w:r>
          </w:p>
        </w:tc>
        <w:tc>
          <w:tcPr>
            <w:tcW w:w="1116" w:type="pct"/>
            <w:tcBorders>
              <w:top w:val="nil"/>
              <w:left w:val="nil"/>
              <w:bottom w:val="single" w:sz="4" w:space="0" w:color="000000"/>
              <w:right w:val="single" w:sz="4" w:space="0" w:color="000000"/>
            </w:tcBorders>
            <w:shd w:val="clear" w:color="auto" w:fill="auto"/>
            <w:vAlign w:val="center"/>
            <w:hideMark/>
          </w:tcPr>
          <w:p w14:paraId="22DD7E40" w14:textId="77777777" w:rsidR="00F154AB" w:rsidRPr="00F154AB" w:rsidRDefault="00F154AB" w:rsidP="00F154AB">
            <w:pPr>
              <w:ind w:firstLine="0"/>
              <w:jc w:val="center"/>
              <w:rPr>
                <w:rFonts w:eastAsia="Times New Roman" w:cs="Times New Roman"/>
                <w:color w:val="000000"/>
                <w:szCs w:val="24"/>
                <w:lang w:eastAsia="ru-RU"/>
              </w:rPr>
            </w:pPr>
            <w:r w:rsidRPr="00F154AB">
              <w:rPr>
                <w:rFonts w:eastAsia="Times New Roman" w:cs="Times New Roman"/>
                <w:color w:val="000000"/>
                <w:szCs w:val="24"/>
                <w:lang w:eastAsia="ru-RU"/>
              </w:rPr>
              <w:t>Численность населения в населенном пункте</w:t>
            </w:r>
          </w:p>
        </w:tc>
        <w:tc>
          <w:tcPr>
            <w:tcW w:w="562" w:type="pct"/>
            <w:tcBorders>
              <w:top w:val="nil"/>
              <w:left w:val="nil"/>
              <w:bottom w:val="single" w:sz="4" w:space="0" w:color="000000"/>
              <w:right w:val="single" w:sz="4" w:space="0" w:color="000000"/>
            </w:tcBorders>
            <w:shd w:val="clear" w:color="auto" w:fill="auto"/>
            <w:vAlign w:val="center"/>
            <w:hideMark/>
          </w:tcPr>
          <w:p w14:paraId="26412EDA" w14:textId="77777777" w:rsidR="00F154AB" w:rsidRPr="00F154AB" w:rsidRDefault="00F154AB" w:rsidP="00F154AB">
            <w:pPr>
              <w:ind w:firstLine="0"/>
              <w:jc w:val="center"/>
              <w:rPr>
                <w:rFonts w:eastAsia="Times New Roman" w:cs="Times New Roman"/>
                <w:color w:val="000000"/>
                <w:szCs w:val="24"/>
                <w:lang w:eastAsia="ru-RU"/>
              </w:rPr>
            </w:pPr>
            <w:r w:rsidRPr="00F154AB">
              <w:rPr>
                <w:rFonts w:eastAsia="Times New Roman" w:cs="Times New Roman"/>
                <w:color w:val="000000"/>
                <w:szCs w:val="24"/>
                <w:lang w:eastAsia="ru-RU"/>
              </w:rPr>
              <w:t>0,17</w:t>
            </w:r>
          </w:p>
        </w:tc>
        <w:tc>
          <w:tcPr>
            <w:tcW w:w="471" w:type="pct"/>
            <w:tcBorders>
              <w:top w:val="nil"/>
              <w:left w:val="nil"/>
              <w:bottom w:val="single" w:sz="4" w:space="0" w:color="000000"/>
              <w:right w:val="single" w:sz="4" w:space="0" w:color="000000"/>
            </w:tcBorders>
            <w:shd w:val="clear" w:color="auto" w:fill="auto"/>
            <w:vAlign w:val="center"/>
            <w:hideMark/>
          </w:tcPr>
          <w:p w14:paraId="2DAF18C2" w14:textId="77777777" w:rsidR="00F154AB" w:rsidRPr="00F154AB" w:rsidRDefault="00F154AB" w:rsidP="00F154AB">
            <w:pPr>
              <w:ind w:firstLine="0"/>
              <w:jc w:val="center"/>
              <w:rPr>
                <w:rFonts w:eastAsia="Times New Roman" w:cs="Times New Roman"/>
                <w:color w:val="000000"/>
                <w:szCs w:val="24"/>
                <w:lang w:eastAsia="ru-RU"/>
              </w:rPr>
            </w:pPr>
            <w:r w:rsidRPr="00F154AB">
              <w:rPr>
                <w:rFonts w:eastAsia="Times New Roman" w:cs="Times New Roman"/>
                <w:color w:val="000000"/>
                <w:szCs w:val="24"/>
                <w:lang w:eastAsia="ru-RU"/>
              </w:rPr>
              <w:t>0,19</w:t>
            </w:r>
          </w:p>
        </w:tc>
        <w:tc>
          <w:tcPr>
            <w:tcW w:w="699" w:type="pct"/>
            <w:tcBorders>
              <w:top w:val="nil"/>
              <w:left w:val="nil"/>
              <w:bottom w:val="single" w:sz="4" w:space="0" w:color="000000"/>
              <w:right w:val="single" w:sz="4" w:space="0" w:color="000000"/>
            </w:tcBorders>
            <w:shd w:val="clear" w:color="auto" w:fill="auto"/>
            <w:vAlign w:val="center"/>
            <w:hideMark/>
          </w:tcPr>
          <w:p w14:paraId="3155851C" w14:textId="77777777" w:rsidR="00F154AB" w:rsidRPr="00F154AB" w:rsidRDefault="00F154AB" w:rsidP="00F154AB">
            <w:pPr>
              <w:ind w:firstLine="0"/>
              <w:jc w:val="center"/>
              <w:rPr>
                <w:rFonts w:eastAsia="Times New Roman" w:cs="Times New Roman"/>
                <w:color w:val="000000"/>
                <w:szCs w:val="24"/>
                <w:lang w:eastAsia="ru-RU"/>
              </w:rPr>
            </w:pPr>
            <w:r w:rsidRPr="00F154AB">
              <w:rPr>
                <w:rFonts w:eastAsia="Times New Roman" w:cs="Times New Roman"/>
                <w:color w:val="000000"/>
                <w:szCs w:val="24"/>
                <w:lang w:eastAsia="ru-RU"/>
              </w:rPr>
              <w:t>нет</w:t>
            </w:r>
          </w:p>
        </w:tc>
        <w:tc>
          <w:tcPr>
            <w:tcW w:w="1966" w:type="pct"/>
            <w:tcBorders>
              <w:top w:val="nil"/>
              <w:left w:val="nil"/>
              <w:bottom w:val="single" w:sz="4" w:space="0" w:color="000000"/>
              <w:right w:val="single" w:sz="4" w:space="0" w:color="000000"/>
            </w:tcBorders>
            <w:shd w:val="clear" w:color="auto" w:fill="auto"/>
            <w:vAlign w:val="center"/>
            <w:hideMark/>
          </w:tcPr>
          <w:p w14:paraId="38E04EF6" w14:textId="77777777" w:rsidR="00F154AB" w:rsidRPr="00F154AB" w:rsidRDefault="00F154AB" w:rsidP="00F154AB">
            <w:pPr>
              <w:ind w:firstLine="0"/>
              <w:jc w:val="left"/>
              <w:rPr>
                <w:rFonts w:eastAsia="Times New Roman" w:cs="Times New Roman"/>
                <w:color w:val="000000"/>
                <w:szCs w:val="24"/>
                <w:lang w:eastAsia="ru-RU"/>
              </w:rPr>
            </w:pPr>
            <w:r w:rsidRPr="00F154AB">
              <w:rPr>
                <w:rFonts w:eastAsia="Times New Roman" w:cs="Times New Roman"/>
                <w:color w:val="000000"/>
                <w:szCs w:val="24"/>
                <w:lang w:eastAsia="ru-RU"/>
              </w:rPr>
              <w:t>Коэффициент корреляции ценообразующего фактора очень мал и ценообразующий фактор статистически не значим в модели</w:t>
            </w:r>
          </w:p>
        </w:tc>
      </w:tr>
    </w:tbl>
    <w:p w14:paraId="77C7E460" w14:textId="75327549" w:rsidR="00727235" w:rsidRPr="00727235" w:rsidRDefault="00727235" w:rsidP="00C428B5">
      <w:pPr>
        <w:ind w:firstLine="0"/>
        <w:rPr>
          <w:lang w:eastAsia="ru-RU"/>
        </w:rPr>
      </w:pPr>
    </w:p>
    <w:p w14:paraId="4A913C8C" w14:textId="77777777" w:rsidR="00727235" w:rsidRPr="00727235" w:rsidRDefault="00727235" w:rsidP="00727235">
      <w:pPr>
        <w:sectPr w:rsidR="00727235" w:rsidRPr="00727235" w:rsidSect="00727235">
          <w:pgSz w:w="16838" w:h="11906" w:orient="landscape"/>
          <w:pgMar w:top="1701" w:right="1134" w:bottom="850" w:left="1134" w:header="708" w:footer="708" w:gutter="0"/>
          <w:cols w:space="708"/>
          <w:docGrid w:linePitch="360"/>
        </w:sectPr>
      </w:pPr>
    </w:p>
    <w:p w14:paraId="40CCA27F" w14:textId="77777777" w:rsidR="00727235" w:rsidRPr="00727235" w:rsidRDefault="00727235" w:rsidP="00727235">
      <w:r w:rsidRPr="00727235">
        <w:t xml:space="preserve">Таким образом, для моделирования выбраны указанные выше факторы. </w:t>
      </w:r>
    </w:p>
    <w:p w14:paraId="0582C199" w14:textId="77777777" w:rsidR="00727235" w:rsidRPr="00727235" w:rsidRDefault="00727235" w:rsidP="00727235">
      <w:r w:rsidRPr="00727235">
        <w:t xml:space="preserve">В результате построены линейная, мультипликативная и экспоненциальная модели. </w:t>
      </w:r>
    </w:p>
    <w:p w14:paraId="0449CDCC" w14:textId="77777777" w:rsidR="00727235" w:rsidRPr="00727235" w:rsidRDefault="00727235" w:rsidP="00727235">
      <w:r w:rsidRPr="00727235">
        <w:t>Далее проведена проверка статистической значимости моделей, результаты которой представлены в таблице ниже.</w:t>
      </w:r>
    </w:p>
    <w:p w14:paraId="1E68BBF7" w14:textId="0071927B" w:rsidR="00727235" w:rsidRPr="00727235" w:rsidRDefault="00727235" w:rsidP="00727235">
      <w:pPr>
        <w:rPr>
          <w:lang w:eastAsia="ru-RU"/>
        </w:rPr>
      </w:pPr>
      <w:r w:rsidRPr="00727235">
        <w:rPr>
          <w:lang w:eastAsia="ru-RU"/>
        </w:rPr>
        <w:t xml:space="preserve">Таблица </w:t>
      </w:r>
      <w:r w:rsidRPr="00727235">
        <w:rPr>
          <w:lang w:eastAsia="ru-RU"/>
        </w:rPr>
        <w:fldChar w:fldCharType="begin"/>
      </w:r>
      <w:r w:rsidRPr="00727235">
        <w:rPr>
          <w:lang w:eastAsia="ru-RU"/>
        </w:rPr>
        <w:instrText xml:space="preserve"> SEQ Таблица \* ARABIC </w:instrText>
      </w:r>
      <w:r w:rsidRPr="00727235">
        <w:rPr>
          <w:lang w:eastAsia="ru-RU"/>
        </w:rPr>
        <w:fldChar w:fldCharType="separate"/>
      </w:r>
      <w:r w:rsidR="00FD2769">
        <w:rPr>
          <w:noProof/>
          <w:lang w:eastAsia="ru-RU"/>
        </w:rPr>
        <w:t>59</w:t>
      </w:r>
      <w:r w:rsidRPr="00727235">
        <w:rPr>
          <w:lang w:eastAsia="ru-RU"/>
        </w:rPr>
        <w:fldChar w:fldCharType="end"/>
      </w:r>
      <w:r w:rsidRPr="00727235">
        <w:rPr>
          <w:lang w:eastAsia="ru-RU"/>
        </w:rPr>
        <w:t xml:space="preserve"> Проверка статистической значимости моделей на обучающей выборке </w:t>
      </w:r>
      <w:r w:rsidR="00311405" w:rsidRPr="00F154AB">
        <w:rPr>
          <w:rFonts w:eastAsia="Times New Roman" w:cs="Times New Roman"/>
          <w:bCs/>
          <w:color w:val="000000"/>
          <w:szCs w:val="24"/>
          <w:lang w:eastAsia="ru-RU"/>
        </w:rPr>
        <w:t>группы "1. Многоквартирные дома (дома средне- и многоэтажной жилой застройки)", подгруппа "</w:t>
      </w:r>
      <w:r w:rsidR="000470FD">
        <w:rPr>
          <w:rFonts w:eastAsia="Times New Roman" w:cs="Times New Roman"/>
          <w:bCs/>
          <w:color w:val="000000"/>
          <w:szCs w:val="24"/>
          <w:lang w:eastAsia="ru-RU"/>
        </w:rPr>
        <w:t>Помещения иные ГНП с п/х 1.5.</w:t>
      </w:r>
      <w:r w:rsidR="00311405" w:rsidRPr="00F154AB">
        <w:rPr>
          <w:rFonts w:eastAsia="Times New Roman" w:cs="Times New Roman"/>
          <w:bCs/>
          <w:color w:val="000000"/>
          <w:szCs w:val="24"/>
          <w:lang w:eastAsia="ru-RU"/>
        </w:rPr>
        <w:t xml:space="preserve">". </w:t>
      </w:r>
    </w:p>
    <w:tbl>
      <w:tblPr>
        <w:tblW w:w="9780" w:type="dxa"/>
        <w:tblInd w:w="-5" w:type="dxa"/>
        <w:tblLayout w:type="fixed"/>
        <w:tblLook w:val="04A0" w:firstRow="1" w:lastRow="0" w:firstColumn="1" w:lastColumn="0" w:noHBand="0" w:noVBand="1"/>
      </w:tblPr>
      <w:tblGrid>
        <w:gridCol w:w="567"/>
        <w:gridCol w:w="1276"/>
        <w:gridCol w:w="1276"/>
        <w:gridCol w:w="1133"/>
        <w:gridCol w:w="1134"/>
        <w:gridCol w:w="851"/>
        <w:gridCol w:w="1275"/>
        <w:gridCol w:w="992"/>
        <w:gridCol w:w="1276"/>
      </w:tblGrid>
      <w:tr w:rsidR="00727235" w:rsidRPr="00727235" w14:paraId="37D31709" w14:textId="77777777" w:rsidTr="00C428B5">
        <w:trPr>
          <w:trHeight w:val="1185"/>
        </w:trPr>
        <w:tc>
          <w:tcPr>
            <w:tcW w:w="567"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32FFB6B1" w14:textId="77777777" w:rsidR="00727235" w:rsidRPr="00727235" w:rsidRDefault="00727235" w:rsidP="00C428B5">
            <w:pPr>
              <w:ind w:firstLine="30"/>
              <w:rPr>
                <w:lang w:eastAsia="ru-RU"/>
              </w:rPr>
            </w:pPr>
            <w:r w:rsidRPr="00727235">
              <w:rPr>
                <w:lang w:eastAsia="ru-RU"/>
              </w:rPr>
              <w:t>№ п/п</w:t>
            </w:r>
          </w:p>
        </w:tc>
        <w:tc>
          <w:tcPr>
            <w:tcW w:w="1276" w:type="dxa"/>
            <w:tcBorders>
              <w:top w:val="single" w:sz="4" w:space="0" w:color="000000"/>
              <w:left w:val="nil"/>
              <w:bottom w:val="single" w:sz="4" w:space="0" w:color="000000"/>
              <w:right w:val="single" w:sz="4" w:space="0" w:color="000000"/>
            </w:tcBorders>
            <w:shd w:val="clear" w:color="auto" w:fill="auto"/>
            <w:vAlign w:val="center"/>
            <w:hideMark/>
          </w:tcPr>
          <w:p w14:paraId="1710747A" w14:textId="77777777" w:rsidR="00727235" w:rsidRPr="00727235" w:rsidRDefault="00727235" w:rsidP="00C428B5">
            <w:pPr>
              <w:ind w:firstLine="26"/>
              <w:rPr>
                <w:lang w:eastAsia="ru-RU"/>
              </w:rPr>
            </w:pPr>
            <w:r w:rsidRPr="00727235">
              <w:rPr>
                <w:lang w:eastAsia="ru-RU"/>
              </w:rPr>
              <w:t>Название модели</w:t>
            </w:r>
          </w:p>
        </w:tc>
        <w:tc>
          <w:tcPr>
            <w:tcW w:w="1276" w:type="dxa"/>
            <w:tcBorders>
              <w:top w:val="single" w:sz="4" w:space="0" w:color="000000"/>
              <w:left w:val="nil"/>
              <w:bottom w:val="single" w:sz="4" w:space="0" w:color="000000"/>
              <w:right w:val="single" w:sz="4" w:space="0" w:color="000000"/>
            </w:tcBorders>
            <w:shd w:val="clear" w:color="auto" w:fill="auto"/>
            <w:vAlign w:val="center"/>
            <w:hideMark/>
          </w:tcPr>
          <w:p w14:paraId="6D512D6E" w14:textId="77777777" w:rsidR="00727235" w:rsidRPr="00727235" w:rsidRDefault="00727235" w:rsidP="00C428B5">
            <w:pPr>
              <w:ind w:firstLine="26"/>
              <w:rPr>
                <w:lang w:eastAsia="ru-RU"/>
              </w:rPr>
            </w:pPr>
            <w:r w:rsidRPr="00727235">
              <w:rPr>
                <w:lang w:eastAsia="ru-RU"/>
              </w:rPr>
              <w:t>Количество факторов стоимости, m</w:t>
            </w:r>
          </w:p>
        </w:tc>
        <w:tc>
          <w:tcPr>
            <w:tcW w:w="1133" w:type="dxa"/>
            <w:tcBorders>
              <w:top w:val="single" w:sz="4" w:space="0" w:color="000000"/>
              <w:left w:val="nil"/>
              <w:bottom w:val="single" w:sz="4" w:space="0" w:color="000000"/>
              <w:right w:val="single" w:sz="4" w:space="0" w:color="000000"/>
            </w:tcBorders>
            <w:shd w:val="clear" w:color="auto" w:fill="auto"/>
            <w:vAlign w:val="center"/>
            <w:hideMark/>
          </w:tcPr>
          <w:p w14:paraId="5E48CF3E" w14:textId="77777777" w:rsidR="00727235" w:rsidRPr="00727235" w:rsidRDefault="00727235" w:rsidP="00C428B5">
            <w:pPr>
              <w:ind w:firstLine="26"/>
              <w:rPr>
                <w:lang w:eastAsia="ru-RU"/>
              </w:rPr>
            </w:pPr>
            <w:r w:rsidRPr="00727235">
              <w:rPr>
                <w:lang w:eastAsia="ru-RU"/>
              </w:rPr>
              <w:t>Коэффициент детерминации, R2</w:t>
            </w:r>
          </w:p>
        </w:tc>
        <w:tc>
          <w:tcPr>
            <w:tcW w:w="1134" w:type="dxa"/>
            <w:tcBorders>
              <w:top w:val="single" w:sz="4" w:space="0" w:color="000000"/>
              <w:left w:val="nil"/>
              <w:bottom w:val="single" w:sz="4" w:space="0" w:color="000000"/>
              <w:right w:val="single" w:sz="4" w:space="0" w:color="000000"/>
            </w:tcBorders>
            <w:shd w:val="clear" w:color="auto" w:fill="auto"/>
            <w:vAlign w:val="center"/>
            <w:hideMark/>
          </w:tcPr>
          <w:p w14:paraId="2A436826" w14:textId="77777777" w:rsidR="00727235" w:rsidRPr="00727235" w:rsidRDefault="00727235" w:rsidP="00C428B5">
            <w:pPr>
              <w:ind w:firstLine="26"/>
              <w:rPr>
                <w:lang w:eastAsia="ru-RU"/>
              </w:rPr>
            </w:pPr>
            <w:r w:rsidRPr="00727235">
              <w:rPr>
                <w:lang w:eastAsia="ru-RU"/>
              </w:rPr>
              <w:t>Критерий Фишера, Fрасч</w:t>
            </w:r>
          </w:p>
        </w:tc>
        <w:tc>
          <w:tcPr>
            <w:tcW w:w="851" w:type="dxa"/>
            <w:tcBorders>
              <w:top w:val="single" w:sz="4" w:space="0" w:color="000000"/>
              <w:left w:val="nil"/>
              <w:bottom w:val="single" w:sz="4" w:space="0" w:color="000000"/>
              <w:right w:val="single" w:sz="4" w:space="0" w:color="000000"/>
            </w:tcBorders>
            <w:shd w:val="clear" w:color="auto" w:fill="auto"/>
            <w:vAlign w:val="center"/>
            <w:hideMark/>
          </w:tcPr>
          <w:p w14:paraId="76FF3F7C" w14:textId="77777777" w:rsidR="00727235" w:rsidRPr="00727235" w:rsidRDefault="00727235" w:rsidP="00C428B5">
            <w:pPr>
              <w:ind w:firstLine="26"/>
              <w:rPr>
                <w:lang w:eastAsia="ru-RU"/>
              </w:rPr>
            </w:pPr>
            <w:r w:rsidRPr="00727235">
              <w:rPr>
                <w:lang w:eastAsia="ru-RU"/>
              </w:rPr>
              <w:t>Fтабл</w:t>
            </w:r>
          </w:p>
        </w:tc>
        <w:tc>
          <w:tcPr>
            <w:tcW w:w="1275" w:type="dxa"/>
            <w:tcBorders>
              <w:top w:val="single" w:sz="4" w:space="0" w:color="000000"/>
              <w:left w:val="nil"/>
              <w:bottom w:val="single" w:sz="4" w:space="0" w:color="000000"/>
              <w:right w:val="single" w:sz="4" w:space="0" w:color="000000"/>
            </w:tcBorders>
            <w:shd w:val="clear" w:color="auto" w:fill="auto"/>
            <w:vAlign w:val="center"/>
            <w:hideMark/>
          </w:tcPr>
          <w:p w14:paraId="39337567" w14:textId="77777777" w:rsidR="00727235" w:rsidRPr="00727235" w:rsidRDefault="00727235" w:rsidP="00C428B5">
            <w:pPr>
              <w:ind w:firstLine="26"/>
              <w:rPr>
                <w:lang w:eastAsia="ru-RU"/>
              </w:rPr>
            </w:pPr>
            <w:r w:rsidRPr="00727235">
              <w:rPr>
                <w:lang w:eastAsia="ru-RU"/>
              </w:rPr>
              <w:t>Коэффициент дисперсии (COD)</w:t>
            </w:r>
          </w:p>
        </w:tc>
        <w:tc>
          <w:tcPr>
            <w:tcW w:w="992" w:type="dxa"/>
            <w:tcBorders>
              <w:top w:val="single" w:sz="4" w:space="0" w:color="000000"/>
              <w:left w:val="nil"/>
              <w:bottom w:val="single" w:sz="4" w:space="0" w:color="000000"/>
              <w:right w:val="single" w:sz="4" w:space="0" w:color="000000"/>
            </w:tcBorders>
            <w:shd w:val="clear" w:color="auto" w:fill="auto"/>
            <w:vAlign w:val="center"/>
            <w:hideMark/>
          </w:tcPr>
          <w:p w14:paraId="062BC5EA" w14:textId="77777777" w:rsidR="00727235" w:rsidRPr="00727235" w:rsidRDefault="00727235" w:rsidP="00C428B5">
            <w:pPr>
              <w:ind w:firstLine="26"/>
              <w:rPr>
                <w:lang w:eastAsia="ru-RU"/>
              </w:rPr>
            </w:pPr>
            <w:r w:rsidRPr="00727235">
              <w:rPr>
                <w:lang w:eastAsia="ru-RU"/>
              </w:rPr>
              <w:t>Ценовой дифференциал (PRD)</w:t>
            </w:r>
          </w:p>
        </w:tc>
        <w:tc>
          <w:tcPr>
            <w:tcW w:w="1276" w:type="dxa"/>
            <w:tcBorders>
              <w:top w:val="single" w:sz="4" w:space="0" w:color="000000"/>
              <w:left w:val="nil"/>
              <w:bottom w:val="single" w:sz="4" w:space="0" w:color="000000"/>
              <w:right w:val="single" w:sz="4" w:space="0" w:color="000000"/>
            </w:tcBorders>
            <w:shd w:val="clear" w:color="auto" w:fill="auto"/>
            <w:vAlign w:val="center"/>
            <w:hideMark/>
          </w:tcPr>
          <w:p w14:paraId="58545F26" w14:textId="77777777" w:rsidR="00727235" w:rsidRPr="00727235" w:rsidRDefault="00727235" w:rsidP="00C428B5">
            <w:pPr>
              <w:ind w:firstLine="26"/>
              <w:rPr>
                <w:lang w:eastAsia="ru-RU"/>
              </w:rPr>
            </w:pPr>
            <w:r w:rsidRPr="00727235">
              <w:rPr>
                <w:lang w:eastAsia="ru-RU"/>
              </w:rPr>
              <w:t>Статистическая значимость модели (да/нет)</w:t>
            </w:r>
          </w:p>
        </w:tc>
      </w:tr>
      <w:tr w:rsidR="00727235" w:rsidRPr="00CF4825" w14:paraId="6489DC33" w14:textId="77777777" w:rsidTr="00C428B5">
        <w:trPr>
          <w:trHeight w:val="360"/>
        </w:trPr>
        <w:tc>
          <w:tcPr>
            <w:tcW w:w="567" w:type="dxa"/>
            <w:tcBorders>
              <w:top w:val="nil"/>
              <w:left w:val="single" w:sz="4" w:space="0" w:color="000000"/>
              <w:bottom w:val="single" w:sz="4" w:space="0" w:color="000000"/>
              <w:right w:val="single" w:sz="4" w:space="0" w:color="000000"/>
            </w:tcBorders>
            <w:shd w:val="clear" w:color="auto" w:fill="auto"/>
            <w:vAlign w:val="center"/>
            <w:hideMark/>
          </w:tcPr>
          <w:p w14:paraId="38279321" w14:textId="0D5CDCE5" w:rsidR="00727235" w:rsidRPr="00CF4825" w:rsidRDefault="00CF4825" w:rsidP="00C428B5">
            <w:pPr>
              <w:ind w:firstLine="30"/>
              <w:rPr>
                <w:sz w:val="20"/>
                <w:lang w:eastAsia="ru-RU"/>
              </w:rPr>
            </w:pPr>
            <w:r>
              <w:rPr>
                <w:sz w:val="20"/>
                <w:lang w:eastAsia="ru-RU"/>
              </w:rPr>
              <w:t>0</w:t>
            </w:r>
          </w:p>
        </w:tc>
        <w:tc>
          <w:tcPr>
            <w:tcW w:w="1276" w:type="dxa"/>
            <w:tcBorders>
              <w:top w:val="nil"/>
              <w:left w:val="nil"/>
              <w:bottom w:val="single" w:sz="4" w:space="0" w:color="000000"/>
              <w:right w:val="single" w:sz="4" w:space="0" w:color="000000"/>
            </w:tcBorders>
            <w:shd w:val="clear" w:color="auto" w:fill="auto"/>
            <w:vAlign w:val="center"/>
            <w:hideMark/>
          </w:tcPr>
          <w:p w14:paraId="6144312D" w14:textId="77777777" w:rsidR="00727235" w:rsidRPr="00CF4825" w:rsidRDefault="00727235" w:rsidP="00C428B5">
            <w:pPr>
              <w:ind w:firstLine="26"/>
              <w:rPr>
                <w:sz w:val="20"/>
                <w:lang w:eastAsia="ru-RU"/>
              </w:rPr>
            </w:pPr>
            <w:r w:rsidRPr="00CF4825">
              <w:rPr>
                <w:sz w:val="20"/>
                <w:lang w:eastAsia="ru-RU"/>
              </w:rPr>
              <w:t>02</w:t>
            </w:r>
          </w:p>
        </w:tc>
        <w:tc>
          <w:tcPr>
            <w:tcW w:w="1276" w:type="dxa"/>
            <w:tcBorders>
              <w:top w:val="nil"/>
              <w:left w:val="nil"/>
              <w:bottom w:val="single" w:sz="4" w:space="0" w:color="000000"/>
              <w:right w:val="single" w:sz="4" w:space="0" w:color="000000"/>
            </w:tcBorders>
            <w:shd w:val="clear" w:color="auto" w:fill="auto"/>
            <w:vAlign w:val="center"/>
            <w:hideMark/>
          </w:tcPr>
          <w:p w14:paraId="101F8389" w14:textId="77777777" w:rsidR="00727235" w:rsidRPr="00CF4825" w:rsidRDefault="00727235" w:rsidP="00C428B5">
            <w:pPr>
              <w:ind w:firstLine="26"/>
              <w:rPr>
                <w:sz w:val="20"/>
                <w:lang w:eastAsia="ru-RU"/>
              </w:rPr>
            </w:pPr>
            <w:r w:rsidRPr="00CF4825">
              <w:rPr>
                <w:sz w:val="20"/>
                <w:lang w:eastAsia="ru-RU"/>
              </w:rPr>
              <w:t>03</w:t>
            </w:r>
          </w:p>
        </w:tc>
        <w:tc>
          <w:tcPr>
            <w:tcW w:w="1133" w:type="dxa"/>
            <w:tcBorders>
              <w:top w:val="nil"/>
              <w:left w:val="nil"/>
              <w:bottom w:val="single" w:sz="4" w:space="0" w:color="000000"/>
              <w:right w:val="single" w:sz="4" w:space="0" w:color="000000"/>
            </w:tcBorders>
            <w:shd w:val="clear" w:color="auto" w:fill="auto"/>
            <w:vAlign w:val="center"/>
            <w:hideMark/>
          </w:tcPr>
          <w:p w14:paraId="2405DFBC" w14:textId="77777777" w:rsidR="00727235" w:rsidRPr="00CF4825" w:rsidRDefault="00727235" w:rsidP="00C428B5">
            <w:pPr>
              <w:ind w:firstLine="26"/>
              <w:rPr>
                <w:sz w:val="20"/>
                <w:lang w:eastAsia="ru-RU"/>
              </w:rPr>
            </w:pPr>
            <w:r w:rsidRPr="00CF4825">
              <w:rPr>
                <w:sz w:val="20"/>
                <w:lang w:eastAsia="ru-RU"/>
              </w:rPr>
              <w:t>04</w:t>
            </w:r>
          </w:p>
        </w:tc>
        <w:tc>
          <w:tcPr>
            <w:tcW w:w="1134" w:type="dxa"/>
            <w:tcBorders>
              <w:top w:val="nil"/>
              <w:left w:val="nil"/>
              <w:bottom w:val="single" w:sz="4" w:space="0" w:color="000000"/>
              <w:right w:val="single" w:sz="4" w:space="0" w:color="000000"/>
            </w:tcBorders>
            <w:shd w:val="clear" w:color="auto" w:fill="auto"/>
            <w:vAlign w:val="center"/>
            <w:hideMark/>
          </w:tcPr>
          <w:p w14:paraId="1064F548" w14:textId="77777777" w:rsidR="00727235" w:rsidRPr="00CF4825" w:rsidRDefault="00727235" w:rsidP="00C428B5">
            <w:pPr>
              <w:ind w:firstLine="26"/>
              <w:rPr>
                <w:sz w:val="20"/>
                <w:lang w:eastAsia="ru-RU"/>
              </w:rPr>
            </w:pPr>
            <w:r w:rsidRPr="00CF4825">
              <w:rPr>
                <w:sz w:val="20"/>
                <w:lang w:eastAsia="ru-RU"/>
              </w:rPr>
              <w:t>05</w:t>
            </w:r>
          </w:p>
        </w:tc>
        <w:tc>
          <w:tcPr>
            <w:tcW w:w="851" w:type="dxa"/>
            <w:tcBorders>
              <w:top w:val="nil"/>
              <w:left w:val="nil"/>
              <w:bottom w:val="single" w:sz="4" w:space="0" w:color="000000"/>
              <w:right w:val="single" w:sz="4" w:space="0" w:color="000000"/>
            </w:tcBorders>
            <w:shd w:val="clear" w:color="auto" w:fill="auto"/>
            <w:vAlign w:val="center"/>
            <w:hideMark/>
          </w:tcPr>
          <w:p w14:paraId="0C2297A9" w14:textId="77777777" w:rsidR="00727235" w:rsidRPr="00CF4825" w:rsidRDefault="00727235" w:rsidP="00C428B5">
            <w:pPr>
              <w:ind w:firstLine="26"/>
              <w:rPr>
                <w:sz w:val="20"/>
                <w:lang w:eastAsia="ru-RU"/>
              </w:rPr>
            </w:pPr>
            <w:r w:rsidRPr="00CF4825">
              <w:rPr>
                <w:sz w:val="20"/>
                <w:lang w:eastAsia="ru-RU"/>
              </w:rPr>
              <w:t>06</w:t>
            </w:r>
          </w:p>
        </w:tc>
        <w:tc>
          <w:tcPr>
            <w:tcW w:w="1275" w:type="dxa"/>
            <w:tcBorders>
              <w:top w:val="nil"/>
              <w:left w:val="nil"/>
              <w:bottom w:val="single" w:sz="4" w:space="0" w:color="000000"/>
              <w:right w:val="single" w:sz="4" w:space="0" w:color="000000"/>
            </w:tcBorders>
            <w:shd w:val="clear" w:color="auto" w:fill="auto"/>
            <w:vAlign w:val="center"/>
            <w:hideMark/>
          </w:tcPr>
          <w:p w14:paraId="2620F355" w14:textId="77777777" w:rsidR="00727235" w:rsidRPr="00CF4825" w:rsidRDefault="00727235" w:rsidP="00C428B5">
            <w:pPr>
              <w:ind w:firstLine="26"/>
              <w:rPr>
                <w:sz w:val="20"/>
                <w:lang w:eastAsia="ru-RU"/>
              </w:rPr>
            </w:pPr>
            <w:r w:rsidRPr="00CF4825">
              <w:rPr>
                <w:sz w:val="20"/>
                <w:lang w:eastAsia="ru-RU"/>
              </w:rPr>
              <w:t>07</w:t>
            </w:r>
          </w:p>
        </w:tc>
        <w:tc>
          <w:tcPr>
            <w:tcW w:w="992" w:type="dxa"/>
            <w:tcBorders>
              <w:top w:val="nil"/>
              <w:left w:val="nil"/>
              <w:bottom w:val="single" w:sz="4" w:space="0" w:color="000000"/>
              <w:right w:val="single" w:sz="4" w:space="0" w:color="000000"/>
            </w:tcBorders>
            <w:shd w:val="clear" w:color="auto" w:fill="auto"/>
            <w:vAlign w:val="center"/>
            <w:hideMark/>
          </w:tcPr>
          <w:p w14:paraId="5923BB8D" w14:textId="77777777" w:rsidR="00727235" w:rsidRPr="00CF4825" w:rsidRDefault="00727235" w:rsidP="00C428B5">
            <w:pPr>
              <w:ind w:firstLine="26"/>
              <w:rPr>
                <w:sz w:val="20"/>
                <w:lang w:eastAsia="ru-RU"/>
              </w:rPr>
            </w:pPr>
            <w:r w:rsidRPr="00CF4825">
              <w:rPr>
                <w:sz w:val="20"/>
                <w:lang w:eastAsia="ru-RU"/>
              </w:rPr>
              <w:t>08</w:t>
            </w:r>
          </w:p>
        </w:tc>
        <w:tc>
          <w:tcPr>
            <w:tcW w:w="1276" w:type="dxa"/>
            <w:tcBorders>
              <w:top w:val="nil"/>
              <w:left w:val="nil"/>
              <w:bottom w:val="single" w:sz="4" w:space="0" w:color="000000"/>
              <w:right w:val="single" w:sz="4" w:space="0" w:color="000000"/>
            </w:tcBorders>
            <w:shd w:val="clear" w:color="auto" w:fill="auto"/>
            <w:vAlign w:val="center"/>
            <w:hideMark/>
          </w:tcPr>
          <w:p w14:paraId="4ADEE87D" w14:textId="77777777" w:rsidR="00727235" w:rsidRPr="00CF4825" w:rsidRDefault="00727235" w:rsidP="00C428B5">
            <w:pPr>
              <w:ind w:firstLine="26"/>
              <w:rPr>
                <w:sz w:val="20"/>
                <w:lang w:eastAsia="ru-RU"/>
              </w:rPr>
            </w:pPr>
            <w:r w:rsidRPr="00CF4825">
              <w:rPr>
                <w:sz w:val="20"/>
                <w:lang w:eastAsia="ru-RU"/>
              </w:rPr>
              <w:t>09</w:t>
            </w:r>
          </w:p>
        </w:tc>
      </w:tr>
      <w:tr w:rsidR="00727235" w:rsidRPr="00727235" w14:paraId="6F63EBFF" w14:textId="77777777" w:rsidTr="00C428B5">
        <w:trPr>
          <w:trHeight w:val="360"/>
        </w:trPr>
        <w:tc>
          <w:tcPr>
            <w:tcW w:w="567" w:type="dxa"/>
            <w:tcBorders>
              <w:top w:val="nil"/>
              <w:left w:val="single" w:sz="4" w:space="0" w:color="000000"/>
              <w:bottom w:val="single" w:sz="4" w:space="0" w:color="000000"/>
              <w:right w:val="single" w:sz="4" w:space="0" w:color="000000"/>
            </w:tcBorders>
            <w:shd w:val="clear" w:color="auto" w:fill="auto"/>
            <w:vAlign w:val="center"/>
            <w:hideMark/>
          </w:tcPr>
          <w:p w14:paraId="17D173BC" w14:textId="77777777" w:rsidR="00727235" w:rsidRPr="00727235" w:rsidRDefault="00727235" w:rsidP="00C428B5">
            <w:pPr>
              <w:ind w:firstLine="30"/>
              <w:rPr>
                <w:lang w:eastAsia="ru-RU"/>
              </w:rPr>
            </w:pPr>
            <w:r w:rsidRPr="00727235">
              <w:rPr>
                <w:lang w:eastAsia="ru-RU"/>
              </w:rPr>
              <w:t>1</w:t>
            </w:r>
          </w:p>
        </w:tc>
        <w:tc>
          <w:tcPr>
            <w:tcW w:w="1276" w:type="dxa"/>
            <w:tcBorders>
              <w:top w:val="nil"/>
              <w:left w:val="nil"/>
              <w:bottom w:val="single" w:sz="4" w:space="0" w:color="000000"/>
              <w:right w:val="single" w:sz="4" w:space="0" w:color="000000"/>
            </w:tcBorders>
            <w:shd w:val="clear" w:color="auto" w:fill="auto"/>
            <w:vAlign w:val="center"/>
            <w:hideMark/>
          </w:tcPr>
          <w:p w14:paraId="5951B9A7" w14:textId="77777777" w:rsidR="00727235" w:rsidRPr="00727235" w:rsidRDefault="00727235" w:rsidP="00C428B5">
            <w:pPr>
              <w:ind w:firstLine="26"/>
              <w:rPr>
                <w:lang w:eastAsia="ru-RU"/>
              </w:rPr>
            </w:pPr>
            <w:r w:rsidRPr="00727235">
              <w:rPr>
                <w:lang w:eastAsia="ru-RU"/>
              </w:rPr>
              <w:t>линейная</w:t>
            </w:r>
          </w:p>
        </w:tc>
        <w:tc>
          <w:tcPr>
            <w:tcW w:w="1276" w:type="dxa"/>
            <w:tcBorders>
              <w:top w:val="nil"/>
              <w:left w:val="nil"/>
              <w:bottom w:val="single" w:sz="4" w:space="0" w:color="000000"/>
              <w:right w:val="single" w:sz="4" w:space="0" w:color="000000"/>
            </w:tcBorders>
            <w:shd w:val="clear" w:color="auto" w:fill="auto"/>
            <w:vAlign w:val="center"/>
            <w:hideMark/>
          </w:tcPr>
          <w:p w14:paraId="2F4C2B03" w14:textId="77777777" w:rsidR="00727235" w:rsidRPr="00727235" w:rsidRDefault="00727235" w:rsidP="00C428B5">
            <w:pPr>
              <w:ind w:firstLine="26"/>
              <w:rPr>
                <w:lang w:eastAsia="ru-RU"/>
              </w:rPr>
            </w:pPr>
            <w:r w:rsidRPr="00727235">
              <w:rPr>
                <w:lang w:eastAsia="ru-RU"/>
              </w:rPr>
              <w:t>4</w:t>
            </w:r>
          </w:p>
        </w:tc>
        <w:tc>
          <w:tcPr>
            <w:tcW w:w="1133" w:type="dxa"/>
            <w:tcBorders>
              <w:top w:val="nil"/>
              <w:left w:val="nil"/>
              <w:bottom w:val="single" w:sz="4" w:space="0" w:color="000000"/>
              <w:right w:val="single" w:sz="4" w:space="0" w:color="000000"/>
            </w:tcBorders>
            <w:shd w:val="clear" w:color="auto" w:fill="auto"/>
            <w:vAlign w:val="center"/>
            <w:hideMark/>
          </w:tcPr>
          <w:p w14:paraId="181AE8C9" w14:textId="77777777" w:rsidR="00727235" w:rsidRPr="00727235" w:rsidRDefault="00727235" w:rsidP="00C428B5">
            <w:pPr>
              <w:ind w:firstLine="26"/>
              <w:rPr>
                <w:lang w:eastAsia="ru-RU"/>
              </w:rPr>
            </w:pPr>
            <w:r w:rsidRPr="00727235">
              <w:rPr>
                <w:lang w:eastAsia="ru-RU"/>
              </w:rPr>
              <w:t>0,72</w:t>
            </w:r>
          </w:p>
        </w:tc>
        <w:tc>
          <w:tcPr>
            <w:tcW w:w="1134" w:type="dxa"/>
            <w:tcBorders>
              <w:top w:val="nil"/>
              <w:left w:val="nil"/>
              <w:bottom w:val="single" w:sz="4" w:space="0" w:color="000000"/>
              <w:right w:val="single" w:sz="4" w:space="0" w:color="000000"/>
            </w:tcBorders>
            <w:shd w:val="clear" w:color="auto" w:fill="auto"/>
            <w:vAlign w:val="center"/>
            <w:hideMark/>
          </w:tcPr>
          <w:p w14:paraId="5B612090" w14:textId="77777777" w:rsidR="00727235" w:rsidRPr="00727235" w:rsidRDefault="00727235" w:rsidP="00C428B5">
            <w:pPr>
              <w:ind w:firstLine="26"/>
              <w:rPr>
                <w:lang w:eastAsia="ru-RU"/>
              </w:rPr>
            </w:pPr>
            <w:r w:rsidRPr="00727235">
              <w:rPr>
                <w:lang w:eastAsia="ru-RU"/>
              </w:rPr>
              <w:t>19,49</w:t>
            </w:r>
          </w:p>
        </w:tc>
        <w:tc>
          <w:tcPr>
            <w:tcW w:w="851" w:type="dxa"/>
            <w:tcBorders>
              <w:top w:val="nil"/>
              <w:left w:val="nil"/>
              <w:bottom w:val="single" w:sz="4" w:space="0" w:color="000000"/>
              <w:right w:val="single" w:sz="4" w:space="0" w:color="000000"/>
            </w:tcBorders>
            <w:shd w:val="clear" w:color="auto" w:fill="auto"/>
            <w:vAlign w:val="center"/>
            <w:hideMark/>
          </w:tcPr>
          <w:p w14:paraId="382B2155" w14:textId="77777777" w:rsidR="00727235" w:rsidRPr="00727235" w:rsidRDefault="00727235" w:rsidP="00C428B5">
            <w:pPr>
              <w:ind w:firstLine="26"/>
              <w:rPr>
                <w:lang w:eastAsia="ru-RU"/>
              </w:rPr>
            </w:pPr>
            <w:r w:rsidRPr="00727235">
              <w:rPr>
                <w:lang w:eastAsia="ru-RU"/>
              </w:rPr>
              <w:t>2,87</w:t>
            </w:r>
          </w:p>
        </w:tc>
        <w:tc>
          <w:tcPr>
            <w:tcW w:w="1275" w:type="dxa"/>
            <w:tcBorders>
              <w:top w:val="nil"/>
              <w:left w:val="nil"/>
              <w:bottom w:val="single" w:sz="4" w:space="0" w:color="000000"/>
              <w:right w:val="single" w:sz="4" w:space="0" w:color="000000"/>
            </w:tcBorders>
            <w:shd w:val="clear" w:color="auto" w:fill="auto"/>
            <w:vAlign w:val="center"/>
            <w:hideMark/>
          </w:tcPr>
          <w:p w14:paraId="69AA9EBB" w14:textId="77777777" w:rsidR="00727235" w:rsidRPr="00727235" w:rsidRDefault="00727235" w:rsidP="00C428B5">
            <w:pPr>
              <w:ind w:firstLine="26"/>
              <w:rPr>
                <w:lang w:eastAsia="ru-RU"/>
              </w:rPr>
            </w:pPr>
            <w:r w:rsidRPr="00727235">
              <w:rPr>
                <w:lang w:eastAsia="ru-RU"/>
              </w:rPr>
              <w:t>9,87</w:t>
            </w:r>
          </w:p>
        </w:tc>
        <w:tc>
          <w:tcPr>
            <w:tcW w:w="992" w:type="dxa"/>
            <w:tcBorders>
              <w:top w:val="nil"/>
              <w:left w:val="nil"/>
              <w:bottom w:val="single" w:sz="4" w:space="0" w:color="000000"/>
              <w:right w:val="single" w:sz="4" w:space="0" w:color="000000"/>
            </w:tcBorders>
            <w:shd w:val="clear" w:color="auto" w:fill="auto"/>
            <w:vAlign w:val="center"/>
            <w:hideMark/>
          </w:tcPr>
          <w:p w14:paraId="51985881" w14:textId="77777777" w:rsidR="00727235" w:rsidRPr="00727235" w:rsidRDefault="00727235" w:rsidP="00C428B5">
            <w:pPr>
              <w:ind w:firstLine="26"/>
              <w:rPr>
                <w:lang w:eastAsia="ru-RU"/>
              </w:rPr>
            </w:pPr>
            <w:r w:rsidRPr="00727235">
              <w:rPr>
                <w:lang w:eastAsia="ru-RU"/>
              </w:rPr>
              <w:t>1,02</w:t>
            </w:r>
          </w:p>
        </w:tc>
        <w:tc>
          <w:tcPr>
            <w:tcW w:w="1276" w:type="dxa"/>
            <w:tcBorders>
              <w:top w:val="nil"/>
              <w:left w:val="nil"/>
              <w:bottom w:val="single" w:sz="4" w:space="0" w:color="000000"/>
              <w:right w:val="single" w:sz="4" w:space="0" w:color="000000"/>
            </w:tcBorders>
            <w:shd w:val="clear" w:color="auto" w:fill="auto"/>
            <w:vAlign w:val="center"/>
            <w:hideMark/>
          </w:tcPr>
          <w:p w14:paraId="5C882E45" w14:textId="77777777" w:rsidR="00727235" w:rsidRPr="00727235" w:rsidRDefault="00727235" w:rsidP="00C428B5">
            <w:pPr>
              <w:ind w:firstLine="26"/>
              <w:rPr>
                <w:lang w:eastAsia="ru-RU"/>
              </w:rPr>
            </w:pPr>
            <w:r w:rsidRPr="00727235">
              <w:rPr>
                <w:lang w:eastAsia="ru-RU"/>
              </w:rPr>
              <w:t>Соответствует</w:t>
            </w:r>
          </w:p>
        </w:tc>
      </w:tr>
      <w:tr w:rsidR="00727235" w:rsidRPr="00727235" w14:paraId="703AB7F3" w14:textId="77777777" w:rsidTr="00C428B5">
        <w:trPr>
          <w:trHeight w:val="360"/>
        </w:trPr>
        <w:tc>
          <w:tcPr>
            <w:tcW w:w="567" w:type="dxa"/>
            <w:tcBorders>
              <w:top w:val="nil"/>
              <w:left w:val="single" w:sz="4" w:space="0" w:color="000000"/>
              <w:bottom w:val="single" w:sz="4" w:space="0" w:color="000000"/>
              <w:right w:val="single" w:sz="4" w:space="0" w:color="000000"/>
            </w:tcBorders>
            <w:shd w:val="clear" w:color="auto" w:fill="auto"/>
            <w:vAlign w:val="center"/>
            <w:hideMark/>
          </w:tcPr>
          <w:p w14:paraId="67619B28" w14:textId="77777777" w:rsidR="00727235" w:rsidRPr="00727235" w:rsidRDefault="00727235" w:rsidP="00C428B5">
            <w:pPr>
              <w:ind w:firstLine="30"/>
              <w:rPr>
                <w:lang w:eastAsia="ru-RU"/>
              </w:rPr>
            </w:pPr>
            <w:r w:rsidRPr="00727235">
              <w:rPr>
                <w:lang w:eastAsia="ru-RU"/>
              </w:rPr>
              <w:t>2</w:t>
            </w:r>
          </w:p>
        </w:tc>
        <w:tc>
          <w:tcPr>
            <w:tcW w:w="1276" w:type="dxa"/>
            <w:tcBorders>
              <w:top w:val="nil"/>
              <w:left w:val="nil"/>
              <w:bottom w:val="single" w:sz="4" w:space="0" w:color="000000"/>
              <w:right w:val="single" w:sz="4" w:space="0" w:color="000000"/>
            </w:tcBorders>
            <w:shd w:val="clear" w:color="auto" w:fill="auto"/>
            <w:vAlign w:val="center"/>
            <w:hideMark/>
          </w:tcPr>
          <w:p w14:paraId="268A41BF" w14:textId="77777777" w:rsidR="00727235" w:rsidRPr="00727235" w:rsidRDefault="00727235" w:rsidP="00C428B5">
            <w:pPr>
              <w:ind w:firstLine="26"/>
              <w:rPr>
                <w:lang w:eastAsia="ru-RU"/>
              </w:rPr>
            </w:pPr>
            <w:r w:rsidRPr="00727235">
              <w:rPr>
                <w:lang w:eastAsia="ru-RU"/>
              </w:rPr>
              <w:t>мультипликативная</w:t>
            </w:r>
          </w:p>
        </w:tc>
        <w:tc>
          <w:tcPr>
            <w:tcW w:w="1276" w:type="dxa"/>
            <w:tcBorders>
              <w:top w:val="nil"/>
              <w:left w:val="nil"/>
              <w:bottom w:val="single" w:sz="4" w:space="0" w:color="000000"/>
              <w:right w:val="single" w:sz="4" w:space="0" w:color="000000"/>
            </w:tcBorders>
            <w:shd w:val="clear" w:color="auto" w:fill="auto"/>
            <w:vAlign w:val="center"/>
            <w:hideMark/>
          </w:tcPr>
          <w:p w14:paraId="21090BAA" w14:textId="77777777" w:rsidR="00727235" w:rsidRPr="00727235" w:rsidRDefault="00727235" w:rsidP="00C428B5">
            <w:pPr>
              <w:ind w:firstLine="26"/>
              <w:rPr>
                <w:lang w:eastAsia="ru-RU"/>
              </w:rPr>
            </w:pPr>
            <w:r w:rsidRPr="00727235">
              <w:rPr>
                <w:lang w:eastAsia="ru-RU"/>
              </w:rPr>
              <w:t>4</w:t>
            </w:r>
          </w:p>
        </w:tc>
        <w:tc>
          <w:tcPr>
            <w:tcW w:w="1133" w:type="dxa"/>
            <w:tcBorders>
              <w:top w:val="nil"/>
              <w:left w:val="nil"/>
              <w:bottom w:val="single" w:sz="4" w:space="0" w:color="000000"/>
              <w:right w:val="single" w:sz="4" w:space="0" w:color="000000"/>
            </w:tcBorders>
            <w:shd w:val="clear" w:color="auto" w:fill="auto"/>
            <w:vAlign w:val="center"/>
            <w:hideMark/>
          </w:tcPr>
          <w:p w14:paraId="731132F9" w14:textId="77777777" w:rsidR="00727235" w:rsidRPr="00727235" w:rsidRDefault="00727235" w:rsidP="00C428B5">
            <w:pPr>
              <w:ind w:firstLine="26"/>
              <w:rPr>
                <w:lang w:eastAsia="ru-RU"/>
              </w:rPr>
            </w:pPr>
            <w:r w:rsidRPr="00727235">
              <w:rPr>
                <w:lang w:eastAsia="ru-RU"/>
              </w:rPr>
              <w:t>0,72</w:t>
            </w:r>
          </w:p>
        </w:tc>
        <w:tc>
          <w:tcPr>
            <w:tcW w:w="1134" w:type="dxa"/>
            <w:tcBorders>
              <w:top w:val="nil"/>
              <w:left w:val="nil"/>
              <w:bottom w:val="single" w:sz="4" w:space="0" w:color="000000"/>
              <w:right w:val="single" w:sz="4" w:space="0" w:color="000000"/>
            </w:tcBorders>
            <w:shd w:val="clear" w:color="auto" w:fill="auto"/>
            <w:vAlign w:val="center"/>
            <w:hideMark/>
          </w:tcPr>
          <w:p w14:paraId="75DD7FD4" w14:textId="77777777" w:rsidR="00727235" w:rsidRPr="00727235" w:rsidRDefault="00727235" w:rsidP="00C428B5">
            <w:pPr>
              <w:ind w:firstLine="26"/>
              <w:rPr>
                <w:lang w:eastAsia="ru-RU"/>
              </w:rPr>
            </w:pPr>
            <w:r w:rsidRPr="00727235">
              <w:rPr>
                <w:lang w:eastAsia="ru-RU"/>
              </w:rPr>
              <w:t>19,35</w:t>
            </w:r>
          </w:p>
        </w:tc>
        <w:tc>
          <w:tcPr>
            <w:tcW w:w="851" w:type="dxa"/>
            <w:tcBorders>
              <w:top w:val="nil"/>
              <w:left w:val="nil"/>
              <w:bottom w:val="single" w:sz="4" w:space="0" w:color="000000"/>
              <w:right w:val="single" w:sz="4" w:space="0" w:color="000000"/>
            </w:tcBorders>
            <w:shd w:val="clear" w:color="auto" w:fill="auto"/>
            <w:vAlign w:val="center"/>
            <w:hideMark/>
          </w:tcPr>
          <w:p w14:paraId="4D7DCE24" w14:textId="77777777" w:rsidR="00727235" w:rsidRPr="00727235" w:rsidRDefault="00727235" w:rsidP="00C428B5">
            <w:pPr>
              <w:ind w:firstLine="26"/>
              <w:rPr>
                <w:lang w:eastAsia="ru-RU"/>
              </w:rPr>
            </w:pPr>
            <w:r w:rsidRPr="00727235">
              <w:rPr>
                <w:lang w:eastAsia="ru-RU"/>
              </w:rPr>
              <w:t>2,87</w:t>
            </w:r>
          </w:p>
        </w:tc>
        <w:tc>
          <w:tcPr>
            <w:tcW w:w="1275" w:type="dxa"/>
            <w:tcBorders>
              <w:top w:val="nil"/>
              <w:left w:val="nil"/>
              <w:bottom w:val="single" w:sz="4" w:space="0" w:color="000000"/>
              <w:right w:val="single" w:sz="4" w:space="0" w:color="000000"/>
            </w:tcBorders>
            <w:shd w:val="clear" w:color="auto" w:fill="auto"/>
            <w:vAlign w:val="center"/>
            <w:hideMark/>
          </w:tcPr>
          <w:p w14:paraId="6E5A2B18" w14:textId="77777777" w:rsidR="00727235" w:rsidRPr="00727235" w:rsidRDefault="00727235" w:rsidP="00C428B5">
            <w:pPr>
              <w:ind w:firstLine="26"/>
              <w:rPr>
                <w:lang w:eastAsia="ru-RU"/>
              </w:rPr>
            </w:pPr>
            <w:r w:rsidRPr="00727235">
              <w:rPr>
                <w:lang w:eastAsia="ru-RU"/>
              </w:rPr>
              <w:t>10,11</w:t>
            </w:r>
          </w:p>
        </w:tc>
        <w:tc>
          <w:tcPr>
            <w:tcW w:w="992" w:type="dxa"/>
            <w:tcBorders>
              <w:top w:val="nil"/>
              <w:left w:val="nil"/>
              <w:bottom w:val="single" w:sz="4" w:space="0" w:color="000000"/>
              <w:right w:val="single" w:sz="4" w:space="0" w:color="000000"/>
            </w:tcBorders>
            <w:shd w:val="clear" w:color="auto" w:fill="auto"/>
            <w:vAlign w:val="center"/>
            <w:hideMark/>
          </w:tcPr>
          <w:p w14:paraId="143426C4" w14:textId="77777777" w:rsidR="00727235" w:rsidRPr="00727235" w:rsidRDefault="00727235" w:rsidP="00C428B5">
            <w:pPr>
              <w:ind w:firstLine="26"/>
              <w:rPr>
                <w:lang w:eastAsia="ru-RU"/>
              </w:rPr>
            </w:pPr>
            <w:r w:rsidRPr="00727235">
              <w:rPr>
                <w:lang w:eastAsia="ru-RU"/>
              </w:rPr>
              <w:t>1,01</w:t>
            </w:r>
          </w:p>
        </w:tc>
        <w:tc>
          <w:tcPr>
            <w:tcW w:w="1276" w:type="dxa"/>
            <w:tcBorders>
              <w:top w:val="nil"/>
              <w:left w:val="nil"/>
              <w:bottom w:val="single" w:sz="4" w:space="0" w:color="000000"/>
              <w:right w:val="single" w:sz="4" w:space="0" w:color="000000"/>
            </w:tcBorders>
            <w:shd w:val="clear" w:color="auto" w:fill="auto"/>
            <w:vAlign w:val="center"/>
            <w:hideMark/>
          </w:tcPr>
          <w:p w14:paraId="2FBFE82C" w14:textId="77777777" w:rsidR="00727235" w:rsidRPr="00727235" w:rsidRDefault="00727235" w:rsidP="00C428B5">
            <w:pPr>
              <w:ind w:firstLine="26"/>
              <w:rPr>
                <w:lang w:eastAsia="ru-RU"/>
              </w:rPr>
            </w:pPr>
            <w:r w:rsidRPr="00727235">
              <w:rPr>
                <w:lang w:eastAsia="ru-RU"/>
              </w:rPr>
              <w:t>Соответствует</w:t>
            </w:r>
          </w:p>
        </w:tc>
      </w:tr>
      <w:tr w:rsidR="00727235" w:rsidRPr="00727235" w14:paraId="11BE0007" w14:textId="77777777" w:rsidTr="00C428B5">
        <w:trPr>
          <w:trHeight w:val="360"/>
        </w:trPr>
        <w:tc>
          <w:tcPr>
            <w:tcW w:w="567" w:type="dxa"/>
            <w:tcBorders>
              <w:top w:val="nil"/>
              <w:left w:val="single" w:sz="4" w:space="0" w:color="000000"/>
              <w:bottom w:val="single" w:sz="4" w:space="0" w:color="000000"/>
              <w:right w:val="single" w:sz="4" w:space="0" w:color="000000"/>
            </w:tcBorders>
            <w:shd w:val="clear" w:color="auto" w:fill="auto"/>
            <w:vAlign w:val="center"/>
            <w:hideMark/>
          </w:tcPr>
          <w:p w14:paraId="17AFC88F" w14:textId="77777777" w:rsidR="00727235" w:rsidRPr="00727235" w:rsidRDefault="00727235" w:rsidP="00C428B5">
            <w:pPr>
              <w:ind w:firstLine="30"/>
              <w:rPr>
                <w:lang w:eastAsia="ru-RU"/>
              </w:rPr>
            </w:pPr>
            <w:r w:rsidRPr="00727235">
              <w:rPr>
                <w:lang w:eastAsia="ru-RU"/>
              </w:rPr>
              <w:t>3</w:t>
            </w:r>
          </w:p>
        </w:tc>
        <w:tc>
          <w:tcPr>
            <w:tcW w:w="1276" w:type="dxa"/>
            <w:tcBorders>
              <w:top w:val="nil"/>
              <w:left w:val="nil"/>
              <w:bottom w:val="single" w:sz="4" w:space="0" w:color="000000"/>
              <w:right w:val="single" w:sz="4" w:space="0" w:color="000000"/>
            </w:tcBorders>
            <w:shd w:val="clear" w:color="auto" w:fill="auto"/>
            <w:vAlign w:val="center"/>
            <w:hideMark/>
          </w:tcPr>
          <w:p w14:paraId="4DADE35A" w14:textId="77777777" w:rsidR="00727235" w:rsidRPr="00727235" w:rsidRDefault="00727235" w:rsidP="00C428B5">
            <w:pPr>
              <w:ind w:firstLine="26"/>
              <w:rPr>
                <w:lang w:eastAsia="ru-RU"/>
              </w:rPr>
            </w:pPr>
            <w:r w:rsidRPr="00727235">
              <w:rPr>
                <w:lang w:eastAsia="ru-RU"/>
              </w:rPr>
              <w:t>экспоненциальная</w:t>
            </w:r>
          </w:p>
        </w:tc>
        <w:tc>
          <w:tcPr>
            <w:tcW w:w="1276" w:type="dxa"/>
            <w:tcBorders>
              <w:top w:val="nil"/>
              <w:left w:val="nil"/>
              <w:bottom w:val="single" w:sz="4" w:space="0" w:color="000000"/>
              <w:right w:val="single" w:sz="4" w:space="0" w:color="000000"/>
            </w:tcBorders>
            <w:shd w:val="clear" w:color="auto" w:fill="auto"/>
            <w:vAlign w:val="center"/>
            <w:hideMark/>
          </w:tcPr>
          <w:p w14:paraId="22F7BF86" w14:textId="77777777" w:rsidR="00727235" w:rsidRPr="00727235" w:rsidRDefault="00727235" w:rsidP="00C428B5">
            <w:pPr>
              <w:ind w:firstLine="26"/>
              <w:rPr>
                <w:lang w:eastAsia="ru-RU"/>
              </w:rPr>
            </w:pPr>
            <w:r w:rsidRPr="00727235">
              <w:rPr>
                <w:lang w:eastAsia="ru-RU"/>
              </w:rPr>
              <w:t>4</w:t>
            </w:r>
          </w:p>
        </w:tc>
        <w:tc>
          <w:tcPr>
            <w:tcW w:w="1133" w:type="dxa"/>
            <w:tcBorders>
              <w:top w:val="nil"/>
              <w:left w:val="nil"/>
              <w:bottom w:val="single" w:sz="4" w:space="0" w:color="000000"/>
              <w:right w:val="single" w:sz="4" w:space="0" w:color="000000"/>
            </w:tcBorders>
            <w:shd w:val="clear" w:color="auto" w:fill="auto"/>
            <w:vAlign w:val="center"/>
            <w:hideMark/>
          </w:tcPr>
          <w:p w14:paraId="157B4AA1" w14:textId="77777777" w:rsidR="00727235" w:rsidRPr="00727235" w:rsidRDefault="00727235" w:rsidP="00C428B5">
            <w:pPr>
              <w:ind w:firstLine="26"/>
              <w:rPr>
                <w:lang w:eastAsia="ru-RU"/>
              </w:rPr>
            </w:pPr>
            <w:r w:rsidRPr="00727235">
              <w:rPr>
                <w:lang w:eastAsia="ru-RU"/>
              </w:rPr>
              <w:t>0,69</w:t>
            </w:r>
          </w:p>
        </w:tc>
        <w:tc>
          <w:tcPr>
            <w:tcW w:w="1134" w:type="dxa"/>
            <w:tcBorders>
              <w:top w:val="nil"/>
              <w:left w:val="nil"/>
              <w:bottom w:val="single" w:sz="4" w:space="0" w:color="000000"/>
              <w:right w:val="single" w:sz="4" w:space="0" w:color="000000"/>
            </w:tcBorders>
            <w:shd w:val="clear" w:color="auto" w:fill="auto"/>
            <w:vAlign w:val="center"/>
            <w:hideMark/>
          </w:tcPr>
          <w:p w14:paraId="35EAB8E3" w14:textId="77777777" w:rsidR="00727235" w:rsidRPr="00727235" w:rsidRDefault="00727235" w:rsidP="00C428B5">
            <w:pPr>
              <w:ind w:firstLine="26"/>
              <w:rPr>
                <w:lang w:eastAsia="ru-RU"/>
              </w:rPr>
            </w:pPr>
            <w:r w:rsidRPr="00727235">
              <w:rPr>
                <w:lang w:eastAsia="ru-RU"/>
              </w:rPr>
              <w:t>16,62</w:t>
            </w:r>
          </w:p>
        </w:tc>
        <w:tc>
          <w:tcPr>
            <w:tcW w:w="851" w:type="dxa"/>
            <w:tcBorders>
              <w:top w:val="nil"/>
              <w:left w:val="nil"/>
              <w:bottom w:val="single" w:sz="4" w:space="0" w:color="000000"/>
              <w:right w:val="single" w:sz="4" w:space="0" w:color="000000"/>
            </w:tcBorders>
            <w:shd w:val="clear" w:color="auto" w:fill="auto"/>
            <w:vAlign w:val="center"/>
            <w:hideMark/>
          </w:tcPr>
          <w:p w14:paraId="08C3B15D" w14:textId="77777777" w:rsidR="00727235" w:rsidRPr="00727235" w:rsidRDefault="00727235" w:rsidP="00C428B5">
            <w:pPr>
              <w:ind w:firstLine="26"/>
              <w:rPr>
                <w:lang w:eastAsia="ru-RU"/>
              </w:rPr>
            </w:pPr>
            <w:r w:rsidRPr="00727235">
              <w:rPr>
                <w:lang w:eastAsia="ru-RU"/>
              </w:rPr>
              <w:t>2,87</w:t>
            </w:r>
          </w:p>
        </w:tc>
        <w:tc>
          <w:tcPr>
            <w:tcW w:w="1275" w:type="dxa"/>
            <w:tcBorders>
              <w:top w:val="nil"/>
              <w:left w:val="nil"/>
              <w:bottom w:val="single" w:sz="4" w:space="0" w:color="000000"/>
              <w:right w:val="single" w:sz="4" w:space="0" w:color="000000"/>
            </w:tcBorders>
            <w:shd w:val="clear" w:color="auto" w:fill="auto"/>
            <w:vAlign w:val="center"/>
            <w:hideMark/>
          </w:tcPr>
          <w:p w14:paraId="5677E88B" w14:textId="77777777" w:rsidR="00727235" w:rsidRPr="00727235" w:rsidRDefault="00727235" w:rsidP="00C428B5">
            <w:pPr>
              <w:ind w:firstLine="26"/>
              <w:rPr>
                <w:lang w:eastAsia="ru-RU"/>
              </w:rPr>
            </w:pPr>
            <w:r w:rsidRPr="00727235">
              <w:rPr>
                <w:lang w:eastAsia="ru-RU"/>
              </w:rPr>
              <w:t>10,42</w:t>
            </w:r>
          </w:p>
        </w:tc>
        <w:tc>
          <w:tcPr>
            <w:tcW w:w="992" w:type="dxa"/>
            <w:tcBorders>
              <w:top w:val="nil"/>
              <w:left w:val="nil"/>
              <w:bottom w:val="single" w:sz="4" w:space="0" w:color="000000"/>
              <w:right w:val="single" w:sz="4" w:space="0" w:color="000000"/>
            </w:tcBorders>
            <w:shd w:val="clear" w:color="auto" w:fill="auto"/>
            <w:vAlign w:val="center"/>
            <w:hideMark/>
          </w:tcPr>
          <w:p w14:paraId="5120F955" w14:textId="77777777" w:rsidR="00727235" w:rsidRPr="00727235" w:rsidRDefault="00727235" w:rsidP="00C428B5">
            <w:pPr>
              <w:ind w:firstLine="26"/>
              <w:rPr>
                <w:lang w:eastAsia="ru-RU"/>
              </w:rPr>
            </w:pPr>
            <w:r w:rsidRPr="00727235">
              <w:rPr>
                <w:lang w:eastAsia="ru-RU"/>
              </w:rPr>
              <w:t>1,01</w:t>
            </w:r>
          </w:p>
        </w:tc>
        <w:tc>
          <w:tcPr>
            <w:tcW w:w="1276" w:type="dxa"/>
            <w:tcBorders>
              <w:top w:val="nil"/>
              <w:left w:val="nil"/>
              <w:bottom w:val="single" w:sz="4" w:space="0" w:color="000000"/>
              <w:right w:val="single" w:sz="4" w:space="0" w:color="000000"/>
            </w:tcBorders>
            <w:shd w:val="clear" w:color="auto" w:fill="auto"/>
            <w:vAlign w:val="center"/>
            <w:hideMark/>
          </w:tcPr>
          <w:p w14:paraId="790A0DBD" w14:textId="77777777" w:rsidR="00727235" w:rsidRPr="00727235" w:rsidRDefault="00727235" w:rsidP="00C428B5">
            <w:pPr>
              <w:ind w:firstLine="26"/>
              <w:rPr>
                <w:lang w:eastAsia="ru-RU"/>
              </w:rPr>
            </w:pPr>
            <w:r w:rsidRPr="00727235">
              <w:rPr>
                <w:lang w:eastAsia="ru-RU"/>
              </w:rPr>
              <w:t>Соответствует</w:t>
            </w:r>
          </w:p>
        </w:tc>
      </w:tr>
    </w:tbl>
    <w:p w14:paraId="4113C377" w14:textId="77777777" w:rsidR="00727235" w:rsidRPr="00727235" w:rsidRDefault="00727235" w:rsidP="00727235">
      <w:pPr>
        <w:rPr>
          <w:lang w:eastAsia="ru-RU"/>
        </w:rPr>
      </w:pPr>
    </w:p>
    <w:p w14:paraId="2E3E8B8A" w14:textId="77777777" w:rsidR="00727235" w:rsidRPr="00727235" w:rsidRDefault="00727235" w:rsidP="00727235">
      <w:r w:rsidRPr="00727235">
        <w:t>Далее проведен анализ качества моделей для статистически значимых моделей.</w:t>
      </w:r>
    </w:p>
    <w:p w14:paraId="307C08C5" w14:textId="77777777" w:rsidR="00727235" w:rsidRPr="00727235" w:rsidRDefault="00727235" w:rsidP="00727235">
      <w:pPr>
        <w:rPr>
          <w:lang w:eastAsia="ru-RU"/>
        </w:rPr>
      </w:pPr>
    </w:p>
    <w:p w14:paraId="21694D07" w14:textId="54FDF82A" w:rsidR="00727235" w:rsidRPr="00727235" w:rsidRDefault="00727235" w:rsidP="00A636A1">
      <w:pPr>
        <w:rPr>
          <w:lang w:eastAsia="ru-RU"/>
        </w:rPr>
      </w:pPr>
      <w:r w:rsidRPr="00727235">
        <w:rPr>
          <w:lang w:eastAsia="ru-RU"/>
        </w:rPr>
        <w:t xml:space="preserve">Таблица </w:t>
      </w:r>
      <w:r w:rsidRPr="00727235">
        <w:rPr>
          <w:lang w:eastAsia="ru-RU"/>
        </w:rPr>
        <w:fldChar w:fldCharType="begin"/>
      </w:r>
      <w:r w:rsidRPr="00727235">
        <w:rPr>
          <w:lang w:eastAsia="ru-RU"/>
        </w:rPr>
        <w:instrText xml:space="preserve"> SEQ Таблица \* ARABIC </w:instrText>
      </w:r>
      <w:r w:rsidRPr="00727235">
        <w:rPr>
          <w:lang w:eastAsia="ru-RU"/>
        </w:rPr>
        <w:fldChar w:fldCharType="separate"/>
      </w:r>
      <w:r w:rsidR="00FD2769">
        <w:rPr>
          <w:noProof/>
          <w:lang w:eastAsia="ru-RU"/>
        </w:rPr>
        <w:t>60</w:t>
      </w:r>
      <w:r w:rsidRPr="00727235">
        <w:rPr>
          <w:lang w:eastAsia="ru-RU"/>
        </w:rPr>
        <w:fldChar w:fldCharType="end"/>
      </w:r>
      <w:r w:rsidRPr="00727235">
        <w:rPr>
          <w:lang w:eastAsia="ru-RU"/>
        </w:rPr>
        <w:t xml:space="preserve"> Анализ качества статистически значимых моделей </w:t>
      </w:r>
      <w:r w:rsidR="00A636A1" w:rsidRPr="00F154AB">
        <w:rPr>
          <w:rFonts w:eastAsia="Times New Roman" w:cs="Times New Roman"/>
          <w:bCs/>
          <w:color w:val="000000"/>
          <w:szCs w:val="24"/>
          <w:lang w:eastAsia="ru-RU"/>
        </w:rPr>
        <w:t>группы "1. Многоквартирные дома (дома средне- и многоэтажной жилой застройки)", подгруппа "</w:t>
      </w:r>
      <w:r w:rsidR="000470FD">
        <w:rPr>
          <w:rFonts w:eastAsia="Times New Roman" w:cs="Times New Roman"/>
          <w:bCs/>
          <w:color w:val="000000"/>
          <w:szCs w:val="24"/>
          <w:lang w:eastAsia="ru-RU"/>
        </w:rPr>
        <w:t>Помещения иные ГНП с п/х 1.5.</w:t>
      </w:r>
      <w:r w:rsidR="00A636A1" w:rsidRPr="00F154AB">
        <w:rPr>
          <w:rFonts w:eastAsia="Times New Roman" w:cs="Times New Roman"/>
          <w:bCs/>
          <w:color w:val="000000"/>
          <w:szCs w:val="24"/>
          <w:lang w:eastAsia="ru-RU"/>
        </w:rPr>
        <w:t xml:space="preserve">". </w:t>
      </w:r>
    </w:p>
    <w:tbl>
      <w:tblPr>
        <w:tblW w:w="5000" w:type="pct"/>
        <w:tblLook w:val="04A0" w:firstRow="1" w:lastRow="0" w:firstColumn="1" w:lastColumn="0" w:noHBand="0" w:noVBand="1"/>
      </w:tblPr>
      <w:tblGrid>
        <w:gridCol w:w="455"/>
        <w:gridCol w:w="1809"/>
        <w:gridCol w:w="1127"/>
        <w:gridCol w:w="1204"/>
        <w:gridCol w:w="361"/>
        <w:gridCol w:w="809"/>
        <w:gridCol w:w="1205"/>
        <w:gridCol w:w="357"/>
        <w:gridCol w:w="813"/>
        <w:gridCol w:w="1205"/>
      </w:tblGrid>
      <w:tr w:rsidR="005376A2" w:rsidRPr="00FA5B5E" w14:paraId="01418CBB" w14:textId="77777777" w:rsidTr="005376A2">
        <w:trPr>
          <w:trHeight w:val="795"/>
        </w:trPr>
        <w:tc>
          <w:tcPr>
            <w:tcW w:w="242" w:type="pct"/>
            <w:vMerge w:val="restart"/>
            <w:tcBorders>
              <w:top w:val="single" w:sz="4" w:space="0" w:color="000000"/>
              <w:left w:val="single" w:sz="4" w:space="0" w:color="000000"/>
              <w:right w:val="nil"/>
            </w:tcBorders>
            <w:shd w:val="clear" w:color="auto" w:fill="auto"/>
            <w:vAlign w:val="center"/>
            <w:hideMark/>
          </w:tcPr>
          <w:p w14:paraId="1D310311" w14:textId="77777777" w:rsidR="005376A2" w:rsidRPr="005376A2" w:rsidRDefault="005376A2" w:rsidP="00FA5B5E">
            <w:pPr>
              <w:ind w:firstLine="15"/>
              <w:rPr>
                <w:rFonts w:cs="Times New Roman"/>
                <w:sz w:val="22"/>
                <w:lang w:eastAsia="ru-RU"/>
              </w:rPr>
            </w:pPr>
            <w:r w:rsidRPr="005376A2">
              <w:rPr>
                <w:rFonts w:cs="Times New Roman"/>
                <w:sz w:val="22"/>
                <w:lang w:eastAsia="ru-RU"/>
              </w:rPr>
              <w:t>№ п/п</w:t>
            </w:r>
          </w:p>
          <w:p w14:paraId="5FBCC8C1" w14:textId="7C4F5992" w:rsidR="005376A2" w:rsidRPr="005376A2" w:rsidRDefault="005376A2" w:rsidP="00FA5B5E">
            <w:pPr>
              <w:ind w:firstLine="15"/>
              <w:rPr>
                <w:rFonts w:cs="Times New Roman"/>
                <w:sz w:val="22"/>
                <w:lang w:eastAsia="ru-RU"/>
              </w:rPr>
            </w:pPr>
            <w:r w:rsidRPr="005376A2">
              <w:rPr>
                <w:rFonts w:cs="Times New Roman"/>
                <w:sz w:val="22"/>
                <w:lang w:eastAsia="ru-RU"/>
              </w:rPr>
              <w:t> </w:t>
            </w:r>
          </w:p>
        </w:tc>
        <w:tc>
          <w:tcPr>
            <w:tcW w:w="965" w:type="pct"/>
            <w:vMerge w:val="restart"/>
            <w:tcBorders>
              <w:top w:val="single" w:sz="4" w:space="0" w:color="000000"/>
              <w:left w:val="single" w:sz="4" w:space="0" w:color="000000"/>
              <w:right w:val="nil"/>
            </w:tcBorders>
            <w:shd w:val="clear" w:color="auto" w:fill="auto"/>
            <w:vAlign w:val="center"/>
            <w:hideMark/>
          </w:tcPr>
          <w:p w14:paraId="7C423DD3" w14:textId="77777777" w:rsidR="005376A2" w:rsidRPr="005376A2" w:rsidRDefault="005376A2" w:rsidP="00FA5B5E">
            <w:pPr>
              <w:ind w:firstLine="15"/>
              <w:rPr>
                <w:rFonts w:cs="Times New Roman"/>
                <w:sz w:val="22"/>
                <w:lang w:eastAsia="ru-RU"/>
              </w:rPr>
            </w:pPr>
            <w:r w:rsidRPr="005376A2">
              <w:rPr>
                <w:rFonts w:cs="Times New Roman"/>
                <w:sz w:val="22"/>
                <w:lang w:eastAsia="ru-RU"/>
              </w:rPr>
              <w:t>Название статистически значимой модели</w:t>
            </w:r>
          </w:p>
          <w:p w14:paraId="686E6B54" w14:textId="144ACFA6" w:rsidR="005376A2" w:rsidRPr="005376A2" w:rsidRDefault="005376A2" w:rsidP="00FA5B5E">
            <w:pPr>
              <w:ind w:firstLine="15"/>
              <w:rPr>
                <w:rFonts w:cs="Times New Roman"/>
                <w:sz w:val="22"/>
                <w:lang w:eastAsia="ru-RU"/>
              </w:rPr>
            </w:pPr>
            <w:r w:rsidRPr="005376A2">
              <w:rPr>
                <w:rFonts w:cs="Times New Roman"/>
                <w:sz w:val="22"/>
                <w:lang w:eastAsia="ru-RU"/>
              </w:rPr>
              <w:t> </w:t>
            </w:r>
          </w:p>
        </w:tc>
        <w:tc>
          <w:tcPr>
            <w:tcW w:w="1428" w:type="pct"/>
            <w:gridSpan w:val="3"/>
            <w:tcBorders>
              <w:top w:val="single" w:sz="4" w:space="0" w:color="000000"/>
              <w:left w:val="single" w:sz="4" w:space="0" w:color="000000"/>
              <w:bottom w:val="single" w:sz="4" w:space="0" w:color="000000"/>
              <w:right w:val="nil"/>
            </w:tcBorders>
            <w:shd w:val="clear" w:color="auto" w:fill="auto"/>
            <w:vAlign w:val="center"/>
            <w:hideMark/>
          </w:tcPr>
          <w:p w14:paraId="6F185FD6" w14:textId="77777777" w:rsidR="005376A2" w:rsidRPr="005376A2" w:rsidRDefault="005376A2" w:rsidP="00FA5B5E">
            <w:pPr>
              <w:ind w:firstLine="15"/>
              <w:rPr>
                <w:rFonts w:cs="Times New Roman"/>
                <w:sz w:val="22"/>
                <w:lang w:eastAsia="ru-RU"/>
              </w:rPr>
            </w:pPr>
            <w:r w:rsidRPr="005376A2">
              <w:rPr>
                <w:rFonts w:cs="Times New Roman"/>
                <w:sz w:val="22"/>
                <w:lang w:eastAsia="ru-RU"/>
              </w:rPr>
              <w:t>Линейная модель</w:t>
            </w:r>
          </w:p>
        </w:tc>
        <w:tc>
          <w:tcPr>
            <w:tcW w:w="1273" w:type="pct"/>
            <w:gridSpan w:val="3"/>
            <w:tcBorders>
              <w:top w:val="single" w:sz="4" w:space="0" w:color="000000"/>
              <w:left w:val="single" w:sz="4" w:space="0" w:color="000000"/>
              <w:bottom w:val="single" w:sz="4" w:space="0" w:color="000000"/>
              <w:right w:val="nil"/>
            </w:tcBorders>
            <w:shd w:val="clear" w:color="auto" w:fill="auto"/>
            <w:vAlign w:val="center"/>
            <w:hideMark/>
          </w:tcPr>
          <w:p w14:paraId="15218B48" w14:textId="77777777" w:rsidR="005376A2" w:rsidRPr="005376A2" w:rsidRDefault="005376A2" w:rsidP="00FA5B5E">
            <w:pPr>
              <w:ind w:firstLine="15"/>
              <w:rPr>
                <w:rFonts w:cs="Times New Roman"/>
                <w:sz w:val="22"/>
                <w:lang w:eastAsia="ru-RU"/>
              </w:rPr>
            </w:pPr>
            <w:r w:rsidRPr="005376A2">
              <w:rPr>
                <w:rFonts w:cs="Times New Roman"/>
                <w:sz w:val="22"/>
                <w:lang w:eastAsia="ru-RU"/>
              </w:rPr>
              <w:t>Мультипликативная модель</w:t>
            </w:r>
          </w:p>
        </w:tc>
        <w:tc>
          <w:tcPr>
            <w:tcW w:w="1092" w:type="pct"/>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42E90A6B" w14:textId="77777777" w:rsidR="005376A2" w:rsidRPr="005376A2" w:rsidRDefault="005376A2" w:rsidP="00FA5B5E">
            <w:pPr>
              <w:ind w:firstLine="15"/>
              <w:rPr>
                <w:rFonts w:cs="Times New Roman"/>
                <w:sz w:val="22"/>
                <w:lang w:eastAsia="ru-RU"/>
              </w:rPr>
            </w:pPr>
            <w:r w:rsidRPr="005376A2">
              <w:rPr>
                <w:rFonts w:cs="Times New Roman"/>
                <w:sz w:val="22"/>
                <w:lang w:eastAsia="ru-RU"/>
              </w:rPr>
              <w:t>Экспоненциальная модель</w:t>
            </w:r>
          </w:p>
        </w:tc>
      </w:tr>
      <w:tr w:rsidR="005376A2" w:rsidRPr="00FA5B5E" w14:paraId="007F800D" w14:textId="77777777" w:rsidTr="005376A2">
        <w:trPr>
          <w:trHeight w:val="765"/>
        </w:trPr>
        <w:tc>
          <w:tcPr>
            <w:tcW w:w="242" w:type="pct"/>
            <w:vMerge/>
            <w:tcBorders>
              <w:left w:val="single" w:sz="4" w:space="0" w:color="000000"/>
              <w:bottom w:val="single" w:sz="4" w:space="0" w:color="000000"/>
              <w:right w:val="nil"/>
            </w:tcBorders>
            <w:shd w:val="clear" w:color="auto" w:fill="auto"/>
            <w:vAlign w:val="center"/>
            <w:hideMark/>
          </w:tcPr>
          <w:p w14:paraId="4AC09DF3" w14:textId="4E89F2B6" w:rsidR="005376A2" w:rsidRPr="005376A2" w:rsidRDefault="005376A2" w:rsidP="00FA5B5E">
            <w:pPr>
              <w:ind w:firstLine="15"/>
              <w:rPr>
                <w:rFonts w:cs="Times New Roman"/>
                <w:sz w:val="22"/>
                <w:lang w:eastAsia="ru-RU"/>
              </w:rPr>
            </w:pPr>
          </w:p>
        </w:tc>
        <w:tc>
          <w:tcPr>
            <w:tcW w:w="965" w:type="pct"/>
            <w:vMerge/>
            <w:tcBorders>
              <w:left w:val="single" w:sz="4" w:space="0" w:color="000000"/>
              <w:bottom w:val="single" w:sz="4" w:space="0" w:color="000000"/>
              <w:right w:val="nil"/>
            </w:tcBorders>
            <w:shd w:val="clear" w:color="auto" w:fill="auto"/>
            <w:vAlign w:val="center"/>
            <w:hideMark/>
          </w:tcPr>
          <w:p w14:paraId="5A786013" w14:textId="49AC90F7" w:rsidR="005376A2" w:rsidRPr="005376A2" w:rsidRDefault="005376A2" w:rsidP="00FA5B5E">
            <w:pPr>
              <w:ind w:firstLine="15"/>
              <w:rPr>
                <w:rFonts w:cs="Times New Roman"/>
                <w:sz w:val="22"/>
                <w:lang w:eastAsia="ru-RU"/>
              </w:rPr>
            </w:pPr>
          </w:p>
        </w:tc>
        <w:tc>
          <w:tcPr>
            <w:tcW w:w="601" w:type="pct"/>
            <w:tcBorders>
              <w:top w:val="nil"/>
              <w:left w:val="single" w:sz="4" w:space="0" w:color="000000"/>
              <w:bottom w:val="single" w:sz="4" w:space="0" w:color="000000"/>
              <w:right w:val="nil"/>
            </w:tcBorders>
            <w:shd w:val="clear" w:color="auto" w:fill="auto"/>
            <w:vAlign w:val="center"/>
            <w:hideMark/>
          </w:tcPr>
          <w:p w14:paraId="570A9450" w14:textId="77777777" w:rsidR="005376A2" w:rsidRPr="005376A2" w:rsidRDefault="005376A2" w:rsidP="00FA5B5E">
            <w:pPr>
              <w:ind w:firstLine="15"/>
              <w:rPr>
                <w:rFonts w:cs="Times New Roman"/>
                <w:sz w:val="22"/>
                <w:lang w:eastAsia="ru-RU"/>
              </w:rPr>
            </w:pPr>
            <w:r w:rsidRPr="005376A2">
              <w:rPr>
                <w:rFonts w:cs="Times New Roman"/>
                <w:sz w:val="22"/>
                <w:lang w:eastAsia="ru-RU"/>
              </w:rPr>
              <w:t>Обучающая выборка</w:t>
            </w:r>
          </w:p>
        </w:tc>
        <w:tc>
          <w:tcPr>
            <w:tcW w:w="642" w:type="pct"/>
            <w:tcBorders>
              <w:top w:val="nil"/>
              <w:left w:val="single" w:sz="4" w:space="0" w:color="000000"/>
              <w:bottom w:val="single" w:sz="4" w:space="0" w:color="000000"/>
              <w:right w:val="nil"/>
            </w:tcBorders>
            <w:shd w:val="clear" w:color="auto" w:fill="auto"/>
            <w:vAlign w:val="center"/>
            <w:hideMark/>
          </w:tcPr>
          <w:p w14:paraId="4BE8B1FB" w14:textId="77777777" w:rsidR="005376A2" w:rsidRPr="005376A2" w:rsidRDefault="005376A2" w:rsidP="00FA5B5E">
            <w:pPr>
              <w:ind w:firstLine="15"/>
              <w:rPr>
                <w:rFonts w:cs="Times New Roman"/>
                <w:sz w:val="22"/>
                <w:lang w:eastAsia="ru-RU"/>
              </w:rPr>
            </w:pPr>
            <w:r w:rsidRPr="005376A2">
              <w:rPr>
                <w:rFonts w:cs="Times New Roman"/>
                <w:sz w:val="22"/>
                <w:lang w:eastAsia="ru-RU"/>
              </w:rPr>
              <w:t>Контрольная выборка</w:t>
            </w:r>
          </w:p>
        </w:tc>
        <w:tc>
          <w:tcPr>
            <w:tcW w:w="632" w:type="pct"/>
            <w:gridSpan w:val="2"/>
            <w:tcBorders>
              <w:top w:val="nil"/>
              <w:left w:val="single" w:sz="4" w:space="0" w:color="000000"/>
              <w:bottom w:val="single" w:sz="4" w:space="0" w:color="000000"/>
              <w:right w:val="nil"/>
            </w:tcBorders>
            <w:shd w:val="clear" w:color="auto" w:fill="auto"/>
            <w:vAlign w:val="center"/>
            <w:hideMark/>
          </w:tcPr>
          <w:p w14:paraId="3900B9C2" w14:textId="77777777" w:rsidR="005376A2" w:rsidRPr="005376A2" w:rsidRDefault="005376A2" w:rsidP="00FA5B5E">
            <w:pPr>
              <w:ind w:firstLine="15"/>
              <w:rPr>
                <w:rFonts w:cs="Times New Roman"/>
                <w:sz w:val="22"/>
                <w:lang w:eastAsia="ru-RU"/>
              </w:rPr>
            </w:pPr>
            <w:r w:rsidRPr="005376A2">
              <w:rPr>
                <w:rFonts w:cs="Times New Roman"/>
                <w:sz w:val="22"/>
                <w:lang w:eastAsia="ru-RU"/>
              </w:rPr>
              <w:t>Обучающая выборка</w:t>
            </w:r>
          </w:p>
        </w:tc>
        <w:tc>
          <w:tcPr>
            <w:tcW w:w="643" w:type="pct"/>
            <w:tcBorders>
              <w:top w:val="nil"/>
              <w:left w:val="single" w:sz="4" w:space="0" w:color="000000"/>
              <w:bottom w:val="single" w:sz="4" w:space="0" w:color="000000"/>
              <w:right w:val="nil"/>
            </w:tcBorders>
            <w:shd w:val="clear" w:color="auto" w:fill="auto"/>
            <w:vAlign w:val="center"/>
            <w:hideMark/>
          </w:tcPr>
          <w:p w14:paraId="6BE31D91" w14:textId="77777777" w:rsidR="005376A2" w:rsidRPr="005376A2" w:rsidRDefault="005376A2" w:rsidP="00FA5B5E">
            <w:pPr>
              <w:ind w:firstLine="15"/>
              <w:rPr>
                <w:rFonts w:cs="Times New Roman"/>
                <w:sz w:val="22"/>
                <w:lang w:eastAsia="ru-RU"/>
              </w:rPr>
            </w:pPr>
            <w:r w:rsidRPr="005376A2">
              <w:rPr>
                <w:rFonts w:cs="Times New Roman"/>
                <w:sz w:val="22"/>
                <w:lang w:eastAsia="ru-RU"/>
              </w:rPr>
              <w:t>Контрольная выборка</w:t>
            </w:r>
          </w:p>
        </w:tc>
        <w:tc>
          <w:tcPr>
            <w:tcW w:w="632" w:type="pct"/>
            <w:gridSpan w:val="2"/>
            <w:tcBorders>
              <w:top w:val="nil"/>
              <w:left w:val="single" w:sz="4" w:space="0" w:color="000000"/>
              <w:bottom w:val="single" w:sz="4" w:space="0" w:color="000000"/>
              <w:right w:val="nil"/>
            </w:tcBorders>
            <w:shd w:val="clear" w:color="auto" w:fill="auto"/>
            <w:vAlign w:val="center"/>
            <w:hideMark/>
          </w:tcPr>
          <w:p w14:paraId="02F23891" w14:textId="77777777" w:rsidR="005376A2" w:rsidRPr="005376A2" w:rsidRDefault="005376A2" w:rsidP="00FA5B5E">
            <w:pPr>
              <w:ind w:firstLine="15"/>
              <w:rPr>
                <w:rFonts w:cs="Times New Roman"/>
                <w:sz w:val="22"/>
                <w:lang w:eastAsia="ru-RU"/>
              </w:rPr>
            </w:pPr>
            <w:r w:rsidRPr="005376A2">
              <w:rPr>
                <w:rFonts w:cs="Times New Roman"/>
                <w:sz w:val="22"/>
                <w:lang w:eastAsia="ru-RU"/>
              </w:rPr>
              <w:t>Обучающая выборка</w:t>
            </w:r>
          </w:p>
        </w:tc>
        <w:tc>
          <w:tcPr>
            <w:tcW w:w="643" w:type="pct"/>
            <w:tcBorders>
              <w:top w:val="nil"/>
              <w:left w:val="single" w:sz="4" w:space="0" w:color="000000"/>
              <w:bottom w:val="single" w:sz="4" w:space="0" w:color="000000"/>
              <w:right w:val="single" w:sz="4" w:space="0" w:color="000000"/>
            </w:tcBorders>
            <w:shd w:val="clear" w:color="auto" w:fill="auto"/>
            <w:vAlign w:val="center"/>
            <w:hideMark/>
          </w:tcPr>
          <w:p w14:paraId="2170D3F1" w14:textId="77777777" w:rsidR="005376A2" w:rsidRPr="005376A2" w:rsidRDefault="005376A2" w:rsidP="00FA5B5E">
            <w:pPr>
              <w:ind w:firstLine="15"/>
              <w:rPr>
                <w:rFonts w:cs="Times New Roman"/>
                <w:sz w:val="22"/>
                <w:lang w:eastAsia="ru-RU"/>
              </w:rPr>
            </w:pPr>
            <w:r w:rsidRPr="005376A2">
              <w:rPr>
                <w:rFonts w:cs="Times New Roman"/>
                <w:sz w:val="22"/>
                <w:lang w:eastAsia="ru-RU"/>
              </w:rPr>
              <w:t>Контрольная выборка</w:t>
            </w:r>
          </w:p>
        </w:tc>
      </w:tr>
      <w:tr w:rsidR="00727235" w:rsidRPr="00FA5B5E" w14:paraId="1BDCDA67" w14:textId="77777777" w:rsidTr="005376A2">
        <w:trPr>
          <w:trHeight w:val="360"/>
        </w:trPr>
        <w:tc>
          <w:tcPr>
            <w:tcW w:w="242" w:type="pct"/>
            <w:tcBorders>
              <w:top w:val="nil"/>
              <w:left w:val="single" w:sz="4" w:space="0" w:color="000000"/>
              <w:bottom w:val="single" w:sz="4" w:space="0" w:color="000000"/>
              <w:right w:val="nil"/>
            </w:tcBorders>
            <w:shd w:val="clear" w:color="auto" w:fill="auto"/>
            <w:vAlign w:val="center"/>
            <w:hideMark/>
          </w:tcPr>
          <w:p w14:paraId="36601F61" w14:textId="77777777" w:rsidR="00727235" w:rsidRPr="005376A2" w:rsidRDefault="00727235" w:rsidP="00F6527F">
            <w:pPr>
              <w:ind w:firstLine="37"/>
              <w:jc w:val="center"/>
              <w:rPr>
                <w:rFonts w:cs="Times New Roman"/>
                <w:sz w:val="22"/>
                <w:lang w:eastAsia="ru-RU"/>
              </w:rPr>
            </w:pPr>
            <w:r w:rsidRPr="005376A2">
              <w:rPr>
                <w:rFonts w:cs="Times New Roman"/>
                <w:sz w:val="22"/>
                <w:lang w:eastAsia="ru-RU"/>
              </w:rPr>
              <w:t>01</w:t>
            </w:r>
          </w:p>
        </w:tc>
        <w:tc>
          <w:tcPr>
            <w:tcW w:w="965" w:type="pct"/>
            <w:tcBorders>
              <w:top w:val="nil"/>
              <w:left w:val="single" w:sz="4" w:space="0" w:color="000000"/>
              <w:bottom w:val="single" w:sz="4" w:space="0" w:color="000000"/>
              <w:right w:val="nil"/>
            </w:tcBorders>
            <w:shd w:val="clear" w:color="auto" w:fill="auto"/>
            <w:vAlign w:val="center"/>
            <w:hideMark/>
          </w:tcPr>
          <w:p w14:paraId="20A0AFF9" w14:textId="77777777" w:rsidR="00727235" w:rsidRPr="005376A2" w:rsidRDefault="00727235" w:rsidP="00F6527F">
            <w:pPr>
              <w:ind w:firstLine="37"/>
              <w:jc w:val="center"/>
              <w:rPr>
                <w:rFonts w:cs="Times New Roman"/>
                <w:sz w:val="22"/>
                <w:lang w:eastAsia="ru-RU"/>
              </w:rPr>
            </w:pPr>
            <w:r w:rsidRPr="005376A2">
              <w:rPr>
                <w:rFonts w:cs="Times New Roman"/>
                <w:sz w:val="22"/>
                <w:lang w:eastAsia="ru-RU"/>
              </w:rPr>
              <w:t>02</w:t>
            </w:r>
          </w:p>
        </w:tc>
        <w:tc>
          <w:tcPr>
            <w:tcW w:w="601" w:type="pct"/>
            <w:tcBorders>
              <w:top w:val="nil"/>
              <w:left w:val="single" w:sz="4" w:space="0" w:color="000000"/>
              <w:bottom w:val="single" w:sz="4" w:space="0" w:color="000000"/>
              <w:right w:val="nil"/>
            </w:tcBorders>
            <w:shd w:val="clear" w:color="auto" w:fill="auto"/>
            <w:vAlign w:val="center"/>
            <w:hideMark/>
          </w:tcPr>
          <w:p w14:paraId="4F8B9954" w14:textId="77777777" w:rsidR="00727235" w:rsidRPr="005376A2" w:rsidRDefault="00727235" w:rsidP="00F6527F">
            <w:pPr>
              <w:ind w:firstLine="37"/>
              <w:jc w:val="center"/>
              <w:rPr>
                <w:rFonts w:cs="Times New Roman"/>
                <w:sz w:val="22"/>
                <w:lang w:eastAsia="ru-RU"/>
              </w:rPr>
            </w:pPr>
            <w:r w:rsidRPr="005376A2">
              <w:rPr>
                <w:rFonts w:cs="Times New Roman"/>
                <w:sz w:val="22"/>
                <w:lang w:eastAsia="ru-RU"/>
              </w:rPr>
              <w:t>03</w:t>
            </w:r>
          </w:p>
        </w:tc>
        <w:tc>
          <w:tcPr>
            <w:tcW w:w="642" w:type="pct"/>
            <w:tcBorders>
              <w:top w:val="nil"/>
              <w:left w:val="single" w:sz="4" w:space="0" w:color="000000"/>
              <w:bottom w:val="single" w:sz="4" w:space="0" w:color="000000"/>
              <w:right w:val="nil"/>
            </w:tcBorders>
            <w:shd w:val="clear" w:color="auto" w:fill="auto"/>
            <w:vAlign w:val="center"/>
            <w:hideMark/>
          </w:tcPr>
          <w:p w14:paraId="39861C5C" w14:textId="77777777" w:rsidR="00727235" w:rsidRPr="005376A2" w:rsidRDefault="00727235" w:rsidP="00F6527F">
            <w:pPr>
              <w:ind w:firstLine="37"/>
              <w:jc w:val="center"/>
              <w:rPr>
                <w:rFonts w:cs="Times New Roman"/>
                <w:sz w:val="22"/>
                <w:lang w:eastAsia="ru-RU"/>
              </w:rPr>
            </w:pPr>
            <w:r w:rsidRPr="005376A2">
              <w:rPr>
                <w:rFonts w:cs="Times New Roman"/>
                <w:sz w:val="22"/>
                <w:lang w:eastAsia="ru-RU"/>
              </w:rPr>
              <w:t>04</w:t>
            </w:r>
          </w:p>
        </w:tc>
        <w:tc>
          <w:tcPr>
            <w:tcW w:w="632" w:type="pct"/>
            <w:gridSpan w:val="2"/>
            <w:tcBorders>
              <w:top w:val="nil"/>
              <w:left w:val="single" w:sz="4" w:space="0" w:color="000000"/>
              <w:bottom w:val="single" w:sz="4" w:space="0" w:color="000000"/>
              <w:right w:val="nil"/>
            </w:tcBorders>
            <w:shd w:val="clear" w:color="auto" w:fill="auto"/>
            <w:vAlign w:val="center"/>
            <w:hideMark/>
          </w:tcPr>
          <w:p w14:paraId="68FABE06" w14:textId="77777777" w:rsidR="00727235" w:rsidRPr="005376A2" w:rsidRDefault="00727235" w:rsidP="00F6527F">
            <w:pPr>
              <w:ind w:firstLine="37"/>
              <w:jc w:val="center"/>
              <w:rPr>
                <w:rFonts w:cs="Times New Roman"/>
                <w:sz w:val="22"/>
                <w:lang w:eastAsia="ru-RU"/>
              </w:rPr>
            </w:pPr>
            <w:r w:rsidRPr="005376A2">
              <w:rPr>
                <w:rFonts w:cs="Times New Roman"/>
                <w:sz w:val="22"/>
                <w:lang w:eastAsia="ru-RU"/>
              </w:rPr>
              <w:t>05</w:t>
            </w:r>
          </w:p>
        </w:tc>
        <w:tc>
          <w:tcPr>
            <w:tcW w:w="643" w:type="pct"/>
            <w:tcBorders>
              <w:top w:val="nil"/>
              <w:left w:val="single" w:sz="4" w:space="0" w:color="000000"/>
              <w:bottom w:val="single" w:sz="4" w:space="0" w:color="000000"/>
              <w:right w:val="nil"/>
            </w:tcBorders>
            <w:shd w:val="clear" w:color="auto" w:fill="auto"/>
            <w:vAlign w:val="center"/>
            <w:hideMark/>
          </w:tcPr>
          <w:p w14:paraId="7658ECC1" w14:textId="77777777" w:rsidR="00727235" w:rsidRPr="005376A2" w:rsidRDefault="00727235" w:rsidP="00F6527F">
            <w:pPr>
              <w:ind w:firstLine="37"/>
              <w:jc w:val="center"/>
              <w:rPr>
                <w:rFonts w:cs="Times New Roman"/>
                <w:sz w:val="22"/>
                <w:lang w:eastAsia="ru-RU"/>
              </w:rPr>
            </w:pPr>
            <w:r w:rsidRPr="005376A2">
              <w:rPr>
                <w:rFonts w:cs="Times New Roman"/>
                <w:sz w:val="22"/>
                <w:lang w:eastAsia="ru-RU"/>
              </w:rPr>
              <w:t>06</w:t>
            </w:r>
          </w:p>
        </w:tc>
        <w:tc>
          <w:tcPr>
            <w:tcW w:w="632" w:type="pct"/>
            <w:gridSpan w:val="2"/>
            <w:tcBorders>
              <w:top w:val="nil"/>
              <w:left w:val="single" w:sz="4" w:space="0" w:color="000000"/>
              <w:bottom w:val="single" w:sz="4" w:space="0" w:color="000000"/>
              <w:right w:val="nil"/>
            </w:tcBorders>
            <w:shd w:val="clear" w:color="auto" w:fill="auto"/>
            <w:vAlign w:val="center"/>
            <w:hideMark/>
          </w:tcPr>
          <w:p w14:paraId="4C7F9CA0" w14:textId="77777777" w:rsidR="00727235" w:rsidRPr="005376A2" w:rsidRDefault="00727235" w:rsidP="00F6527F">
            <w:pPr>
              <w:ind w:firstLine="37"/>
              <w:jc w:val="center"/>
              <w:rPr>
                <w:rFonts w:cs="Times New Roman"/>
                <w:sz w:val="22"/>
                <w:lang w:eastAsia="ru-RU"/>
              </w:rPr>
            </w:pPr>
            <w:r w:rsidRPr="005376A2">
              <w:rPr>
                <w:rFonts w:cs="Times New Roman"/>
                <w:sz w:val="22"/>
                <w:lang w:eastAsia="ru-RU"/>
              </w:rPr>
              <w:t>07</w:t>
            </w:r>
          </w:p>
        </w:tc>
        <w:tc>
          <w:tcPr>
            <w:tcW w:w="643" w:type="pct"/>
            <w:tcBorders>
              <w:top w:val="nil"/>
              <w:left w:val="single" w:sz="4" w:space="0" w:color="000000"/>
              <w:bottom w:val="single" w:sz="4" w:space="0" w:color="000000"/>
              <w:right w:val="single" w:sz="4" w:space="0" w:color="000000"/>
            </w:tcBorders>
            <w:shd w:val="clear" w:color="auto" w:fill="auto"/>
            <w:vAlign w:val="center"/>
            <w:hideMark/>
          </w:tcPr>
          <w:p w14:paraId="56A89159" w14:textId="77777777" w:rsidR="00727235" w:rsidRPr="005376A2" w:rsidRDefault="00727235" w:rsidP="00F6527F">
            <w:pPr>
              <w:ind w:firstLine="37"/>
              <w:jc w:val="center"/>
              <w:rPr>
                <w:rFonts w:cs="Times New Roman"/>
                <w:sz w:val="22"/>
                <w:lang w:eastAsia="ru-RU"/>
              </w:rPr>
            </w:pPr>
            <w:r w:rsidRPr="005376A2">
              <w:rPr>
                <w:rFonts w:cs="Times New Roman"/>
                <w:sz w:val="22"/>
                <w:lang w:eastAsia="ru-RU"/>
              </w:rPr>
              <w:t>08</w:t>
            </w:r>
          </w:p>
        </w:tc>
      </w:tr>
      <w:tr w:rsidR="00A636A1" w:rsidRPr="00FA5B5E" w14:paraId="3E0A21D9" w14:textId="77777777" w:rsidTr="005376A2">
        <w:trPr>
          <w:trHeight w:val="600"/>
        </w:trPr>
        <w:tc>
          <w:tcPr>
            <w:tcW w:w="242" w:type="pct"/>
            <w:tcBorders>
              <w:top w:val="nil"/>
              <w:left w:val="single" w:sz="4" w:space="0" w:color="000000"/>
              <w:bottom w:val="single" w:sz="4" w:space="0" w:color="000000"/>
              <w:right w:val="nil"/>
            </w:tcBorders>
            <w:shd w:val="clear" w:color="auto" w:fill="auto"/>
            <w:vAlign w:val="center"/>
            <w:hideMark/>
          </w:tcPr>
          <w:p w14:paraId="02B35772" w14:textId="77777777" w:rsidR="00A636A1" w:rsidRPr="005376A2" w:rsidRDefault="00A636A1" w:rsidP="00A636A1">
            <w:pPr>
              <w:ind w:firstLine="37"/>
              <w:rPr>
                <w:rFonts w:cs="Times New Roman"/>
                <w:sz w:val="22"/>
                <w:lang w:eastAsia="ru-RU"/>
              </w:rPr>
            </w:pPr>
            <w:r w:rsidRPr="005376A2">
              <w:rPr>
                <w:rFonts w:cs="Times New Roman"/>
                <w:sz w:val="22"/>
                <w:lang w:eastAsia="ru-RU"/>
              </w:rPr>
              <w:t>1</w:t>
            </w:r>
          </w:p>
        </w:tc>
        <w:tc>
          <w:tcPr>
            <w:tcW w:w="965" w:type="pct"/>
            <w:tcBorders>
              <w:top w:val="nil"/>
              <w:left w:val="single" w:sz="4" w:space="0" w:color="000000"/>
              <w:bottom w:val="single" w:sz="4" w:space="0" w:color="000000"/>
              <w:right w:val="nil"/>
            </w:tcBorders>
            <w:shd w:val="clear" w:color="auto" w:fill="auto"/>
            <w:vAlign w:val="center"/>
            <w:hideMark/>
          </w:tcPr>
          <w:p w14:paraId="352E6278" w14:textId="77777777" w:rsidR="00A636A1" w:rsidRPr="005376A2" w:rsidRDefault="00A636A1" w:rsidP="00A636A1">
            <w:pPr>
              <w:ind w:firstLine="37"/>
              <w:rPr>
                <w:rFonts w:cs="Times New Roman"/>
                <w:sz w:val="22"/>
                <w:lang w:eastAsia="ru-RU"/>
              </w:rPr>
            </w:pPr>
            <w:r w:rsidRPr="005376A2">
              <w:rPr>
                <w:rFonts w:cs="Times New Roman"/>
                <w:sz w:val="22"/>
                <w:lang w:eastAsia="ru-RU"/>
              </w:rPr>
              <w:t>Средняя относительная погрешность оценки</w:t>
            </w:r>
          </w:p>
        </w:tc>
        <w:tc>
          <w:tcPr>
            <w:tcW w:w="601" w:type="pct"/>
            <w:tcBorders>
              <w:top w:val="nil"/>
              <w:left w:val="single" w:sz="4" w:space="0" w:color="000000"/>
              <w:bottom w:val="single" w:sz="4" w:space="0" w:color="000000"/>
              <w:right w:val="nil"/>
            </w:tcBorders>
            <w:shd w:val="clear" w:color="auto" w:fill="auto"/>
            <w:hideMark/>
          </w:tcPr>
          <w:p w14:paraId="4F8455F5" w14:textId="4916D7F5" w:rsidR="00A636A1" w:rsidRPr="005376A2" w:rsidRDefault="00A636A1" w:rsidP="00A636A1">
            <w:pPr>
              <w:ind w:firstLine="37"/>
              <w:rPr>
                <w:rFonts w:cs="Times New Roman"/>
                <w:sz w:val="22"/>
                <w:lang w:eastAsia="ru-RU"/>
              </w:rPr>
            </w:pPr>
            <w:r w:rsidRPr="005376A2">
              <w:rPr>
                <w:rFonts w:cs="Times New Roman"/>
                <w:sz w:val="22"/>
              </w:rPr>
              <w:t>13,11</w:t>
            </w:r>
          </w:p>
        </w:tc>
        <w:tc>
          <w:tcPr>
            <w:tcW w:w="642" w:type="pct"/>
            <w:tcBorders>
              <w:top w:val="nil"/>
              <w:left w:val="single" w:sz="4" w:space="0" w:color="000000"/>
              <w:bottom w:val="single" w:sz="4" w:space="0" w:color="000000"/>
              <w:right w:val="nil"/>
            </w:tcBorders>
            <w:shd w:val="clear" w:color="auto" w:fill="auto"/>
            <w:hideMark/>
          </w:tcPr>
          <w:p w14:paraId="22E289F9" w14:textId="7F01DD1B" w:rsidR="00A636A1" w:rsidRPr="005376A2" w:rsidRDefault="00A636A1" w:rsidP="00A636A1">
            <w:pPr>
              <w:ind w:firstLine="37"/>
              <w:rPr>
                <w:rFonts w:cs="Times New Roman"/>
                <w:sz w:val="22"/>
                <w:lang w:eastAsia="ru-RU"/>
              </w:rPr>
            </w:pPr>
            <w:r w:rsidRPr="005376A2">
              <w:rPr>
                <w:rFonts w:cs="Times New Roman"/>
                <w:sz w:val="22"/>
              </w:rPr>
              <w:t>12,45</w:t>
            </w:r>
          </w:p>
        </w:tc>
        <w:tc>
          <w:tcPr>
            <w:tcW w:w="632" w:type="pct"/>
            <w:gridSpan w:val="2"/>
            <w:tcBorders>
              <w:top w:val="nil"/>
              <w:left w:val="single" w:sz="4" w:space="0" w:color="000000"/>
              <w:bottom w:val="single" w:sz="4" w:space="0" w:color="000000"/>
              <w:right w:val="nil"/>
            </w:tcBorders>
            <w:shd w:val="clear" w:color="auto" w:fill="auto"/>
            <w:hideMark/>
          </w:tcPr>
          <w:p w14:paraId="67D3D37F" w14:textId="714A80FE" w:rsidR="00A636A1" w:rsidRPr="005376A2" w:rsidRDefault="00A636A1" w:rsidP="00A636A1">
            <w:pPr>
              <w:ind w:firstLine="37"/>
              <w:rPr>
                <w:rFonts w:cs="Times New Roman"/>
                <w:sz w:val="22"/>
                <w:lang w:eastAsia="ru-RU"/>
              </w:rPr>
            </w:pPr>
            <w:r w:rsidRPr="005376A2">
              <w:rPr>
                <w:rFonts w:cs="Times New Roman"/>
                <w:sz w:val="22"/>
              </w:rPr>
              <w:t>13,31</w:t>
            </w:r>
          </w:p>
        </w:tc>
        <w:tc>
          <w:tcPr>
            <w:tcW w:w="643" w:type="pct"/>
            <w:tcBorders>
              <w:top w:val="nil"/>
              <w:left w:val="single" w:sz="4" w:space="0" w:color="000000"/>
              <w:bottom w:val="single" w:sz="4" w:space="0" w:color="000000"/>
              <w:right w:val="nil"/>
            </w:tcBorders>
            <w:shd w:val="clear" w:color="auto" w:fill="auto"/>
            <w:hideMark/>
          </w:tcPr>
          <w:p w14:paraId="44659843" w14:textId="037ADBF9" w:rsidR="00A636A1" w:rsidRPr="005376A2" w:rsidRDefault="00A636A1" w:rsidP="00A636A1">
            <w:pPr>
              <w:ind w:firstLine="37"/>
              <w:rPr>
                <w:rFonts w:cs="Times New Roman"/>
                <w:sz w:val="22"/>
                <w:lang w:eastAsia="ru-RU"/>
              </w:rPr>
            </w:pPr>
            <w:r w:rsidRPr="005376A2">
              <w:rPr>
                <w:rFonts w:cs="Times New Roman"/>
                <w:sz w:val="22"/>
              </w:rPr>
              <w:t>12,48</w:t>
            </w:r>
          </w:p>
        </w:tc>
        <w:tc>
          <w:tcPr>
            <w:tcW w:w="632" w:type="pct"/>
            <w:gridSpan w:val="2"/>
            <w:tcBorders>
              <w:top w:val="nil"/>
              <w:left w:val="single" w:sz="4" w:space="0" w:color="000000"/>
              <w:bottom w:val="single" w:sz="4" w:space="0" w:color="000000"/>
              <w:right w:val="nil"/>
            </w:tcBorders>
            <w:shd w:val="clear" w:color="auto" w:fill="auto"/>
            <w:hideMark/>
          </w:tcPr>
          <w:p w14:paraId="088F161D" w14:textId="3C7CD1CD" w:rsidR="00A636A1" w:rsidRPr="005376A2" w:rsidRDefault="00A636A1" w:rsidP="00A636A1">
            <w:pPr>
              <w:ind w:firstLine="37"/>
              <w:rPr>
                <w:rFonts w:cs="Times New Roman"/>
                <w:sz w:val="22"/>
                <w:lang w:eastAsia="ru-RU"/>
              </w:rPr>
            </w:pPr>
            <w:r w:rsidRPr="005376A2">
              <w:rPr>
                <w:rFonts w:cs="Times New Roman"/>
                <w:sz w:val="22"/>
              </w:rPr>
              <w:t>13,74</w:t>
            </w:r>
          </w:p>
        </w:tc>
        <w:tc>
          <w:tcPr>
            <w:tcW w:w="643" w:type="pct"/>
            <w:tcBorders>
              <w:top w:val="nil"/>
              <w:left w:val="single" w:sz="4" w:space="0" w:color="000000"/>
              <w:bottom w:val="single" w:sz="4" w:space="0" w:color="000000"/>
              <w:right w:val="single" w:sz="4" w:space="0" w:color="000000"/>
            </w:tcBorders>
            <w:shd w:val="clear" w:color="auto" w:fill="auto"/>
            <w:hideMark/>
          </w:tcPr>
          <w:p w14:paraId="74500CDB" w14:textId="0167F9F5" w:rsidR="00A636A1" w:rsidRPr="005376A2" w:rsidRDefault="00A636A1" w:rsidP="00A636A1">
            <w:pPr>
              <w:ind w:firstLine="37"/>
              <w:rPr>
                <w:rFonts w:cs="Times New Roman"/>
                <w:sz w:val="22"/>
                <w:lang w:eastAsia="ru-RU"/>
              </w:rPr>
            </w:pPr>
            <w:r w:rsidRPr="005376A2">
              <w:rPr>
                <w:rFonts w:cs="Times New Roman"/>
                <w:sz w:val="22"/>
              </w:rPr>
              <w:t>13,17</w:t>
            </w:r>
          </w:p>
        </w:tc>
      </w:tr>
      <w:tr w:rsidR="00A636A1" w:rsidRPr="00FA5B5E" w14:paraId="4FEC4915" w14:textId="77777777" w:rsidTr="005376A2">
        <w:trPr>
          <w:trHeight w:val="360"/>
        </w:trPr>
        <w:tc>
          <w:tcPr>
            <w:tcW w:w="242" w:type="pct"/>
            <w:tcBorders>
              <w:top w:val="nil"/>
              <w:left w:val="single" w:sz="4" w:space="0" w:color="000000"/>
              <w:bottom w:val="single" w:sz="4" w:space="0" w:color="000000"/>
              <w:right w:val="nil"/>
            </w:tcBorders>
            <w:shd w:val="clear" w:color="auto" w:fill="auto"/>
            <w:vAlign w:val="center"/>
            <w:hideMark/>
          </w:tcPr>
          <w:p w14:paraId="25C15814" w14:textId="77777777" w:rsidR="00A636A1" w:rsidRPr="005376A2" w:rsidRDefault="00A636A1" w:rsidP="00A636A1">
            <w:pPr>
              <w:ind w:firstLine="37"/>
              <w:rPr>
                <w:rFonts w:cs="Times New Roman"/>
                <w:sz w:val="22"/>
                <w:lang w:eastAsia="ru-RU"/>
              </w:rPr>
            </w:pPr>
            <w:r w:rsidRPr="005376A2">
              <w:rPr>
                <w:rFonts w:cs="Times New Roman"/>
                <w:sz w:val="22"/>
                <w:lang w:eastAsia="ru-RU"/>
              </w:rPr>
              <w:t>2</w:t>
            </w:r>
          </w:p>
        </w:tc>
        <w:tc>
          <w:tcPr>
            <w:tcW w:w="965" w:type="pct"/>
            <w:tcBorders>
              <w:top w:val="nil"/>
              <w:left w:val="single" w:sz="4" w:space="0" w:color="000000"/>
              <w:bottom w:val="single" w:sz="4" w:space="0" w:color="000000"/>
              <w:right w:val="nil"/>
            </w:tcBorders>
            <w:shd w:val="clear" w:color="auto" w:fill="auto"/>
            <w:vAlign w:val="center"/>
            <w:hideMark/>
          </w:tcPr>
          <w:p w14:paraId="055CAD5E" w14:textId="77777777" w:rsidR="00A636A1" w:rsidRPr="005376A2" w:rsidRDefault="00A636A1" w:rsidP="00A636A1">
            <w:pPr>
              <w:ind w:firstLine="37"/>
              <w:rPr>
                <w:rFonts w:cs="Times New Roman"/>
                <w:sz w:val="22"/>
                <w:lang w:eastAsia="ru-RU"/>
              </w:rPr>
            </w:pPr>
            <w:r w:rsidRPr="005376A2">
              <w:rPr>
                <w:rFonts w:cs="Times New Roman"/>
                <w:sz w:val="22"/>
                <w:lang w:eastAsia="ru-RU"/>
              </w:rPr>
              <w:t>Коэффициент детерминации</w:t>
            </w:r>
          </w:p>
        </w:tc>
        <w:tc>
          <w:tcPr>
            <w:tcW w:w="601" w:type="pct"/>
            <w:tcBorders>
              <w:top w:val="nil"/>
              <w:left w:val="single" w:sz="4" w:space="0" w:color="000000"/>
              <w:bottom w:val="single" w:sz="4" w:space="0" w:color="000000"/>
              <w:right w:val="nil"/>
            </w:tcBorders>
            <w:shd w:val="clear" w:color="auto" w:fill="auto"/>
            <w:hideMark/>
          </w:tcPr>
          <w:p w14:paraId="4F73A82B" w14:textId="788DC91A" w:rsidR="00A636A1" w:rsidRPr="005376A2" w:rsidRDefault="00A636A1" w:rsidP="00A636A1">
            <w:pPr>
              <w:ind w:firstLine="37"/>
              <w:rPr>
                <w:rFonts w:cs="Times New Roman"/>
                <w:sz w:val="22"/>
                <w:lang w:eastAsia="ru-RU"/>
              </w:rPr>
            </w:pPr>
            <w:r w:rsidRPr="005376A2">
              <w:rPr>
                <w:rFonts w:cs="Times New Roman"/>
                <w:sz w:val="22"/>
              </w:rPr>
              <w:t>0,62</w:t>
            </w:r>
          </w:p>
        </w:tc>
        <w:tc>
          <w:tcPr>
            <w:tcW w:w="642" w:type="pct"/>
            <w:tcBorders>
              <w:top w:val="nil"/>
              <w:left w:val="single" w:sz="4" w:space="0" w:color="000000"/>
              <w:bottom w:val="single" w:sz="4" w:space="0" w:color="000000"/>
              <w:right w:val="nil"/>
            </w:tcBorders>
            <w:shd w:val="clear" w:color="auto" w:fill="auto"/>
            <w:hideMark/>
          </w:tcPr>
          <w:p w14:paraId="23075C3B" w14:textId="3B03865A" w:rsidR="00A636A1" w:rsidRPr="005376A2" w:rsidRDefault="00A636A1" w:rsidP="00A636A1">
            <w:pPr>
              <w:ind w:firstLine="37"/>
              <w:rPr>
                <w:rFonts w:cs="Times New Roman"/>
                <w:sz w:val="22"/>
                <w:lang w:eastAsia="ru-RU"/>
              </w:rPr>
            </w:pPr>
            <w:r w:rsidRPr="005376A2">
              <w:rPr>
                <w:rFonts w:cs="Times New Roman"/>
                <w:sz w:val="22"/>
              </w:rPr>
              <w:t>0,72</w:t>
            </w:r>
          </w:p>
        </w:tc>
        <w:tc>
          <w:tcPr>
            <w:tcW w:w="632" w:type="pct"/>
            <w:gridSpan w:val="2"/>
            <w:tcBorders>
              <w:top w:val="nil"/>
              <w:left w:val="single" w:sz="4" w:space="0" w:color="000000"/>
              <w:bottom w:val="single" w:sz="4" w:space="0" w:color="000000"/>
              <w:right w:val="nil"/>
            </w:tcBorders>
            <w:shd w:val="clear" w:color="auto" w:fill="auto"/>
            <w:hideMark/>
          </w:tcPr>
          <w:p w14:paraId="6C69F868" w14:textId="43DE67D3" w:rsidR="00A636A1" w:rsidRPr="005376A2" w:rsidRDefault="00A636A1" w:rsidP="00A636A1">
            <w:pPr>
              <w:ind w:firstLine="37"/>
              <w:rPr>
                <w:rFonts w:cs="Times New Roman"/>
                <w:sz w:val="22"/>
                <w:lang w:eastAsia="ru-RU"/>
              </w:rPr>
            </w:pPr>
            <w:r w:rsidRPr="005376A2">
              <w:rPr>
                <w:rFonts w:cs="Times New Roman"/>
                <w:sz w:val="22"/>
              </w:rPr>
              <w:t>0,61</w:t>
            </w:r>
          </w:p>
        </w:tc>
        <w:tc>
          <w:tcPr>
            <w:tcW w:w="643" w:type="pct"/>
            <w:tcBorders>
              <w:top w:val="nil"/>
              <w:left w:val="single" w:sz="4" w:space="0" w:color="000000"/>
              <w:bottom w:val="single" w:sz="4" w:space="0" w:color="000000"/>
              <w:right w:val="nil"/>
            </w:tcBorders>
            <w:shd w:val="clear" w:color="auto" w:fill="auto"/>
            <w:hideMark/>
          </w:tcPr>
          <w:p w14:paraId="386B97BB" w14:textId="683170E9" w:rsidR="00A636A1" w:rsidRPr="005376A2" w:rsidRDefault="00A636A1" w:rsidP="00A636A1">
            <w:pPr>
              <w:ind w:firstLine="37"/>
              <w:rPr>
                <w:rFonts w:cs="Times New Roman"/>
                <w:sz w:val="22"/>
                <w:lang w:eastAsia="ru-RU"/>
              </w:rPr>
            </w:pPr>
            <w:r w:rsidRPr="005376A2">
              <w:rPr>
                <w:rFonts w:cs="Times New Roman"/>
                <w:sz w:val="22"/>
              </w:rPr>
              <w:t>0,72</w:t>
            </w:r>
          </w:p>
        </w:tc>
        <w:tc>
          <w:tcPr>
            <w:tcW w:w="632" w:type="pct"/>
            <w:gridSpan w:val="2"/>
            <w:tcBorders>
              <w:top w:val="nil"/>
              <w:left w:val="single" w:sz="4" w:space="0" w:color="000000"/>
              <w:bottom w:val="single" w:sz="4" w:space="0" w:color="000000"/>
              <w:right w:val="nil"/>
            </w:tcBorders>
            <w:shd w:val="clear" w:color="auto" w:fill="auto"/>
            <w:hideMark/>
          </w:tcPr>
          <w:p w14:paraId="12A8B4C8" w14:textId="732372EC" w:rsidR="00A636A1" w:rsidRPr="005376A2" w:rsidRDefault="00A636A1" w:rsidP="00A636A1">
            <w:pPr>
              <w:ind w:firstLine="37"/>
              <w:rPr>
                <w:rFonts w:cs="Times New Roman"/>
                <w:sz w:val="22"/>
                <w:lang w:eastAsia="ru-RU"/>
              </w:rPr>
            </w:pPr>
            <w:r w:rsidRPr="005376A2">
              <w:rPr>
                <w:rFonts w:cs="Times New Roman"/>
                <w:sz w:val="22"/>
              </w:rPr>
              <w:t>0,58</w:t>
            </w:r>
          </w:p>
        </w:tc>
        <w:tc>
          <w:tcPr>
            <w:tcW w:w="643" w:type="pct"/>
            <w:tcBorders>
              <w:top w:val="nil"/>
              <w:left w:val="single" w:sz="4" w:space="0" w:color="000000"/>
              <w:bottom w:val="single" w:sz="4" w:space="0" w:color="000000"/>
              <w:right w:val="single" w:sz="4" w:space="0" w:color="000000"/>
            </w:tcBorders>
            <w:shd w:val="clear" w:color="auto" w:fill="auto"/>
            <w:hideMark/>
          </w:tcPr>
          <w:p w14:paraId="6D2C19F2" w14:textId="45170768" w:rsidR="00A636A1" w:rsidRPr="005376A2" w:rsidRDefault="00A636A1" w:rsidP="00A636A1">
            <w:pPr>
              <w:ind w:firstLine="37"/>
              <w:rPr>
                <w:rFonts w:cs="Times New Roman"/>
                <w:sz w:val="22"/>
                <w:lang w:eastAsia="ru-RU"/>
              </w:rPr>
            </w:pPr>
            <w:r w:rsidRPr="005376A2">
              <w:rPr>
                <w:rFonts w:cs="Times New Roman"/>
                <w:sz w:val="22"/>
              </w:rPr>
              <w:t>0,69</w:t>
            </w:r>
          </w:p>
        </w:tc>
      </w:tr>
      <w:tr w:rsidR="00A636A1" w:rsidRPr="00FA5B5E" w14:paraId="4FD883C5" w14:textId="77777777" w:rsidTr="005376A2">
        <w:trPr>
          <w:trHeight w:val="360"/>
        </w:trPr>
        <w:tc>
          <w:tcPr>
            <w:tcW w:w="242" w:type="pct"/>
            <w:tcBorders>
              <w:top w:val="nil"/>
              <w:left w:val="single" w:sz="4" w:space="0" w:color="000000"/>
              <w:bottom w:val="single" w:sz="4" w:space="0" w:color="000000"/>
              <w:right w:val="nil"/>
            </w:tcBorders>
            <w:shd w:val="clear" w:color="auto" w:fill="auto"/>
            <w:vAlign w:val="center"/>
            <w:hideMark/>
          </w:tcPr>
          <w:p w14:paraId="36BC8152" w14:textId="77777777" w:rsidR="00A636A1" w:rsidRPr="005376A2" w:rsidRDefault="00A636A1" w:rsidP="00A636A1">
            <w:pPr>
              <w:ind w:firstLine="37"/>
              <w:rPr>
                <w:rFonts w:cs="Times New Roman"/>
                <w:sz w:val="22"/>
                <w:lang w:eastAsia="ru-RU"/>
              </w:rPr>
            </w:pPr>
            <w:r w:rsidRPr="005376A2">
              <w:rPr>
                <w:rFonts w:cs="Times New Roman"/>
                <w:sz w:val="22"/>
                <w:lang w:eastAsia="ru-RU"/>
              </w:rPr>
              <w:t>3</w:t>
            </w:r>
          </w:p>
        </w:tc>
        <w:tc>
          <w:tcPr>
            <w:tcW w:w="965" w:type="pct"/>
            <w:tcBorders>
              <w:top w:val="nil"/>
              <w:left w:val="single" w:sz="4" w:space="0" w:color="000000"/>
              <w:bottom w:val="single" w:sz="4" w:space="0" w:color="000000"/>
              <w:right w:val="nil"/>
            </w:tcBorders>
            <w:shd w:val="clear" w:color="auto" w:fill="auto"/>
            <w:vAlign w:val="center"/>
            <w:hideMark/>
          </w:tcPr>
          <w:p w14:paraId="78BA06B2" w14:textId="77777777" w:rsidR="00A636A1" w:rsidRPr="005376A2" w:rsidRDefault="00A636A1" w:rsidP="00A636A1">
            <w:pPr>
              <w:ind w:firstLine="37"/>
              <w:rPr>
                <w:rFonts w:cs="Times New Roman"/>
                <w:sz w:val="22"/>
                <w:lang w:eastAsia="ru-RU"/>
              </w:rPr>
            </w:pPr>
            <w:r w:rsidRPr="005376A2">
              <w:rPr>
                <w:rFonts w:cs="Times New Roman"/>
                <w:sz w:val="22"/>
                <w:lang w:eastAsia="ru-RU"/>
              </w:rPr>
              <w:t>Среднеквадратичная ошибка оценки</w:t>
            </w:r>
          </w:p>
        </w:tc>
        <w:tc>
          <w:tcPr>
            <w:tcW w:w="601" w:type="pct"/>
            <w:tcBorders>
              <w:top w:val="nil"/>
              <w:left w:val="single" w:sz="4" w:space="0" w:color="000000"/>
              <w:bottom w:val="single" w:sz="4" w:space="0" w:color="000000"/>
              <w:right w:val="nil"/>
            </w:tcBorders>
            <w:shd w:val="clear" w:color="auto" w:fill="auto"/>
            <w:hideMark/>
          </w:tcPr>
          <w:p w14:paraId="139FC7B0" w14:textId="24C25C7B" w:rsidR="00A636A1" w:rsidRPr="005376A2" w:rsidRDefault="00A636A1" w:rsidP="00A636A1">
            <w:pPr>
              <w:ind w:firstLine="37"/>
              <w:rPr>
                <w:rFonts w:cs="Times New Roman"/>
                <w:sz w:val="22"/>
                <w:lang w:eastAsia="ru-RU"/>
              </w:rPr>
            </w:pPr>
            <w:r w:rsidRPr="005376A2">
              <w:rPr>
                <w:rFonts w:cs="Times New Roman"/>
                <w:sz w:val="22"/>
              </w:rPr>
              <w:t>10,5</w:t>
            </w:r>
          </w:p>
        </w:tc>
        <w:tc>
          <w:tcPr>
            <w:tcW w:w="642" w:type="pct"/>
            <w:tcBorders>
              <w:top w:val="nil"/>
              <w:left w:val="single" w:sz="4" w:space="0" w:color="000000"/>
              <w:bottom w:val="single" w:sz="4" w:space="0" w:color="000000"/>
              <w:right w:val="nil"/>
            </w:tcBorders>
            <w:shd w:val="clear" w:color="auto" w:fill="auto"/>
            <w:hideMark/>
          </w:tcPr>
          <w:p w14:paraId="73BC6980" w14:textId="13FA20CD" w:rsidR="00A636A1" w:rsidRPr="005376A2" w:rsidRDefault="00A636A1" w:rsidP="00A636A1">
            <w:pPr>
              <w:ind w:firstLine="37"/>
              <w:rPr>
                <w:rFonts w:cs="Times New Roman"/>
                <w:sz w:val="22"/>
                <w:lang w:eastAsia="ru-RU"/>
              </w:rPr>
            </w:pPr>
            <w:r w:rsidRPr="005376A2">
              <w:rPr>
                <w:rFonts w:cs="Times New Roman"/>
                <w:sz w:val="22"/>
              </w:rPr>
              <w:t>9,87</w:t>
            </w:r>
          </w:p>
        </w:tc>
        <w:tc>
          <w:tcPr>
            <w:tcW w:w="632" w:type="pct"/>
            <w:gridSpan w:val="2"/>
            <w:tcBorders>
              <w:top w:val="nil"/>
              <w:left w:val="single" w:sz="4" w:space="0" w:color="000000"/>
              <w:bottom w:val="single" w:sz="4" w:space="0" w:color="000000"/>
              <w:right w:val="nil"/>
            </w:tcBorders>
            <w:shd w:val="clear" w:color="auto" w:fill="auto"/>
            <w:hideMark/>
          </w:tcPr>
          <w:p w14:paraId="1E28470B" w14:textId="26158CDB" w:rsidR="00A636A1" w:rsidRPr="005376A2" w:rsidRDefault="00A636A1" w:rsidP="00A636A1">
            <w:pPr>
              <w:ind w:firstLine="37"/>
              <w:rPr>
                <w:rFonts w:cs="Times New Roman"/>
                <w:sz w:val="22"/>
                <w:lang w:eastAsia="ru-RU"/>
              </w:rPr>
            </w:pPr>
            <w:r w:rsidRPr="005376A2">
              <w:rPr>
                <w:rFonts w:cs="Times New Roman"/>
                <w:sz w:val="22"/>
              </w:rPr>
              <w:t>10,56</w:t>
            </w:r>
          </w:p>
        </w:tc>
        <w:tc>
          <w:tcPr>
            <w:tcW w:w="643" w:type="pct"/>
            <w:tcBorders>
              <w:top w:val="nil"/>
              <w:left w:val="single" w:sz="4" w:space="0" w:color="000000"/>
              <w:bottom w:val="single" w:sz="4" w:space="0" w:color="000000"/>
              <w:right w:val="nil"/>
            </w:tcBorders>
            <w:shd w:val="clear" w:color="auto" w:fill="auto"/>
            <w:hideMark/>
          </w:tcPr>
          <w:p w14:paraId="0A3A2812" w14:textId="013A5553" w:rsidR="00A636A1" w:rsidRPr="005376A2" w:rsidRDefault="00A636A1" w:rsidP="00A636A1">
            <w:pPr>
              <w:ind w:firstLine="37"/>
              <w:rPr>
                <w:rFonts w:cs="Times New Roman"/>
                <w:sz w:val="22"/>
                <w:lang w:eastAsia="ru-RU"/>
              </w:rPr>
            </w:pPr>
            <w:r w:rsidRPr="005376A2">
              <w:rPr>
                <w:rFonts w:cs="Times New Roman"/>
                <w:sz w:val="22"/>
              </w:rPr>
              <w:t>9,94</w:t>
            </w:r>
          </w:p>
        </w:tc>
        <w:tc>
          <w:tcPr>
            <w:tcW w:w="632" w:type="pct"/>
            <w:gridSpan w:val="2"/>
            <w:tcBorders>
              <w:top w:val="nil"/>
              <w:left w:val="single" w:sz="4" w:space="0" w:color="000000"/>
              <w:bottom w:val="single" w:sz="4" w:space="0" w:color="000000"/>
              <w:right w:val="nil"/>
            </w:tcBorders>
            <w:shd w:val="clear" w:color="auto" w:fill="auto"/>
            <w:hideMark/>
          </w:tcPr>
          <w:p w14:paraId="7420016B" w14:textId="1E4345FA" w:rsidR="00A636A1" w:rsidRPr="005376A2" w:rsidRDefault="00A636A1" w:rsidP="00A636A1">
            <w:pPr>
              <w:ind w:firstLine="37"/>
              <w:rPr>
                <w:rFonts w:cs="Times New Roman"/>
                <w:sz w:val="22"/>
                <w:lang w:eastAsia="ru-RU"/>
              </w:rPr>
            </w:pPr>
            <w:r w:rsidRPr="005376A2">
              <w:rPr>
                <w:rFonts w:cs="Times New Roman"/>
                <w:sz w:val="22"/>
              </w:rPr>
              <w:t>10,79</w:t>
            </w:r>
          </w:p>
        </w:tc>
        <w:tc>
          <w:tcPr>
            <w:tcW w:w="643" w:type="pct"/>
            <w:tcBorders>
              <w:top w:val="nil"/>
              <w:left w:val="single" w:sz="4" w:space="0" w:color="000000"/>
              <w:bottom w:val="single" w:sz="4" w:space="0" w:color="000000"/>
              <w:right w:val="single" w:sz="4" w:space="0" w:color="000000"/>
            </w:tcBorders>
            <w:shd w:val="clear" w:color="auto" w:fill="auto"/>
            <w:hideMark/>
          </w:tcPr>
          <w:p w14:paraId="0AE35FA2" w14:textId="5A68D513" w:rsidR="00A636A1" w:rsidRPr="005376A2" w:rsidRDefault="00A636A1" w:rsidP="00A636A1">
            <w:pPr>
              <w:ind w:firstLine="37"/>
              <w:rPr>
                <w:rFonts w:cs="Times New Roman"/>
                <w:sz w:val="22"/>
                <w:lang w:eastAsia="ru-RU"/>
              </w:rPr>
            </w:pPr>
            <w:r w:rsidRPr="005376A2">
              <w:rPr>
                <w:rFonts w:cs="Times New Roman"/>
                <w:sz w:val="22"/>
              </w:rPr>
              <w:t>10,37</w:t>
            </w:r>
          </w:p>
        </w:tc>
      </w:tr>
      <w:tr w:rsidR="00A636A1" w:rsidRPr="00FA5B5E" w14:paraId="133E651B" w14:textId="77777777" w:rsidTr="005376A2">
        <w:trPr>
          <w:trHeight w:val="360"/>
        </w:trPr>
        <w:tc>
          <w:tcPr>
            <w:tcW w:w="242" w:type="pct"/>
            <w:tcBorders>
              <w:top w:val="nil"/>
              <w:left w:val="single" w:sz="4" w:space="0" w:color="000000"/>
              <w:bottom w:val="single" w:sz="4" w:space="0" w:color="000000"/>
              <w:right w:val="nil"/>
            </w:tcBorders>
            <w:shd w:val="clear" w:color="auto" w:fill="auto"/>
            <w:vAlign w:val="center"/>
            <w:hideMark/>
          </w:tcPr>
          <w:p w14:paraId="3C8554D2" w14:textId="38B7483D" w:rsidR="00A636A1" w:rsidRPr="005376A2" w:rsidRDefault="00A636A1" w:rsidP="00A636A1">
            <w:pPr>
              <w:ind w:firstLine="37"/>
              <w:rPr>
                <w:rFonts w:cs="Times New Roman"/>
                <w:sz w:val="22"/>
                <w:lang w:eastAsia="ru-RU"/>
              </w:rPr>
            </w:pPr>
            <w:r w:rsidRPr="005376A2">
              <w:rPr>
                <w:rFonts w:cs="Times New Roman"/>
                <w:sz w:val="22"/>
                <w:lang w:eastAsia="ru-RU"/>
              </w:rPr>
              <w:t>4</w:t>
            </w:r>
          </w:p>
        </w:tc>
        <w:tc>
          <w:tcPr>
            <w:tcW w:w="965" w:type="pct"/>
            <w:tcBorders>
              <w:top w:val="nil"/>
              <w:left w:val="single" w:sz="4" w:space="0" w:color="000000"/>
              <w:bottom w:val="single" w:sz="4" w:space="0" w:color="000000"/>
              <w:right w:val="nil"/>
            </w:tcBorders>
            <w:shd w:val="clear" w:color="auto" w:fill="auto"/>
            <w:vAlign w:val="center"/>
            <w:hideMark/>
          </w:tcPr>
          <w:p w14:paraId="6213BDC6" w14:textId="77777777" w:rsidR="00A636A1" w:rsidRPr="005376A2" w:rsidRDefault="00A636A1" w:rsidP="00A636A1">
            <w:pPr>
              <w:ind w:firstLine="37"/>
              <w:rPr>
                <w:rFonts w:cs="Times New Roman"/>
                <w:sz w:val="22"/>
                <w:lang w:eastAsia="ru-RU"/>
              </w:rPr>
            </w:pPr>
            <w:r w:rsidRPr="005376A2">
              <w:rPr>
                <w:rFonts w:cs="Times New Roman"/>
                <w:sz w:val="22"/>
                <w:lang w:eastAsia="ru-RU"/>
              </w:rPr>
              <w:t>Коэффициент дисперсии (COD)</w:t>
            </w:r>
          </w:p>
        </w:tc>
        <w:tc>
          <w:tcPr>
            <w:tcW w:w="601" w:type="pct"/>
            <w:tcBorders>
              <w:top w:val="nil"/>
              <w:left w:val="single" w:sz="4" w:space="0" w:color="000000"/>
              <w:bottom w:val="single" w:sz="4" w:space="0" w:color="000000"/>
              <w:right w:val="nil"/>
            </w:tcBorders>
            <w:shd w:val="clear" w:color="auto" w:fill="auto"/>
            <w:hideMark/>
          </w:tcPr>
          <w:p w14:paraId="2A644BB1" w14:textId="15541E19" w:rsidR="00A636A1" w:rsidRPr="005376A2" w:rsidRDefault="00A636A1" w:rsidP="00A636A1">
            <w:pPr>
              <w:ind w:firstLine="37"/>
              <w:rPr>
                <w:rFonts w:cs="Times New Roman"/>
                <w:sz w:val="22"/>
                <w:lang w:eastAsia="ru-RU"/>
              </w:rPr>
            </w:pPr>
            <w:r w:rsidRPr="005376A2">
              <w:rPr>
                <w:rFonts w:cs="Times New Roman"/>
                <w:sz w:val="22"/>
              </w:rPr>
              <w:t>9,65</w:t>
            </w:r>
          </w:p>
        </w:tc>
        <w:tc>
          <w:tcPr>
            <w:tcW w:w="642" w:type="pct"/>
            <w:tcBorders>
              <w:top w:val="nil"/>
              <w:left w:val="single" w:sz="4" w:space="0" w:color="000000"/>
              <w:bottom w:val="single" w:sz="4" w:space="0" w:color="000000"/>
              <w:right w:val="nil"/>
            </w:tcBorders>
            <w:shd w:val="clear" w:color="auto" w:fill="auto"/>
            <w:hideMark/>
          </w:tcPr>
          <w:p w14:paraId="64B89B51" w14:textId="1CF42638" w:rsidR="00A636A1" w:rsidRPr="005376A2" w:rsidRDefault="00A636A1" w:rsidP="00A636A1">
            <w:pPr>
              <w:ind w:firstLine="37"/>
              <w:rPr>
                <w:rFonts w:cs="Times New Roman"/>
                <w:sz w:val="22"/>
                <w:lang w:eastAsia="ru-RU"/>
              </w:rPr>
            </w:pPr>
            <w:r w:rsidRPr="005376A2">
              <w:rPr>
                <w:rFonts w:cs="Times New Roman"/>
                <w:sz w:val="22"/>
              </w:rPr>
              <w:t>9,87</w:t>
            </w:r>
          </w:p>
        </w:tc>
        <w:tc>
          <w:tcPr>
            <w:tcW w:w="632" w:type="pct"/>
            <w:gridSpan w:val="2"/>
            <w:tcBorders>
              <w:top w:val="nil"/>
              <w:left w:val="single" w:sz="4" w:space="0" w:color="000000"/>
              <w:bottom w:val="single" w:sz="4" w:space="0" w:color="000000"/>
              <w:right w:val="nil"/>
            </w:tcBorders>
            <w:shd w:val="clear" w:color="auto" w:fill="auto"/>
            <w:hideMark/>
          </w:tcPr>
          <w:p w14:paraId="192B6059" w14:textId="6D6C0801" w:rsidR="00A636A1" w:rsidRPr="005376A2" w:rsidRDefault="00A636A1" w:rsidP="00A636A1">
            <w:pPr>
              <w:ind w:firstLine="37"/>
              <w:rPr>
                <w:rFonts w:cs="Times New Roman"/>
                <w:sz w:val="22"/>
                <w:lang w:eastAsia="ru-RU"/>
              </w:rPr>
            </w:pPr>
            <w:r w:rsidRPr="005376A2">
              <w:rPr>
                <w:rFonts w:cs="Times New Roman"/>
                <w:sz w:val="22"/>
              </w:rPr>
              <w:t>9,93</w:t>
            </w:r>
          </w:p>
        </w:tc>
        <w:tc>
          <w:tcPr>
            <w:tcW w:w="643" w:type="pct"/>
            <w:tcBorders>
              <w:top w:val="nil"/>
              <w:left w:val="single" w:sz="4" w:space="0" w:color="000000"/>
              <w:bottom w:val="single" w:sz="4" w:space="0" w:color="000000"/>
              <w:right w:val="nil"/>
            </w:tcBorders>
            <w:shd w:val="clear" w:color="auto" w:fill="auto"/>
            <w:hideMark/>
          </w:tcPr>
          <w:p w14:paraId="301BFBB8" w14:textId="045938AC" w:rsidR="00A636A1" w:rsidRPr="005376A2" w:rsidRDefault="00A636A1" w:rsidP="00A636A1">
            <w:pPr>
              <w:ind w:firstLine="37"/>
              <w:rPr>
                <w:rFonts w:cs="Times New Roman"/>
                <w:sz w:val="22"/>
                <w:lang w:eastAsia="ru-RU"/>
              </w:rPr>
            </w:pPr>
            <w:r w:rsidRPr="005376A2">
              <w:rPr>
                <w:rFonts w:cs="Times New Roman"/>
                <w:sz w:val="22"/>
              </w:rPr>
              <w:t>10,11</w:t>
            </w:r>
          </w:p>
        </w:tc>
        <w:tc>
          <w:tcPr>
            <w:tcW w:w="632" w:type="pct"/>
            <w:gridSpan w:val="2"/>
            <w:tcBorders>
              <w:top w:val="nil"/>
              <w:left w:val="single" w:sz="4" w:space="0" w:color="000000"/>
              <w:bottom w:val="single" w:sz="4" w:space="0" w:color="000000"/>
              <w:right w:val="nil"/>
            </w:tcBorders>
            <w:shd w:val="clear" w:color="auto" w:fill="auto"/>
            <w:hideMark/>
          </w:tcPr>
          <w:p w14:paraId="3C947CF6" w14:textId="3C7E5373" w:rsidR="00A636A1" w:rsidRPr="005376A2" w:rsidRDefault="00A636A1" w:rsidP="00A636A1">
            <w:pPr>
              <w:ind w:firstLine="37"/>
              <w:rPr>
                <w:rFonts w:cs="Times New Roman"/>
                <w:sz w:val="22"/>
                <w:lang w:eastAsia="ru-RU"/>
              </w:rPr>
            </w:pPr>
            <w:r w:rsidRPr="005376A2">
              <w:rPr>
                <w:rFonts w:cs="Times New Roman"/>
                <w:sz w:val="22"/>
              </w:rPr>
              <w:t>10,05</w:t>
            </w:r>
          </w:p>
        </w:tc>
        <w:tc>
          <w:tcPr>
            <w:tcW w:w="643" w:type="pct"/>
            <w:tcBorders>
              <w:top w:val="nil"/>
              <w:left w:val="single" w:sz="4" w:space="0" w:color="000000"/>
              <w:bottom w:val="single" w:sz="4" w:space="0" w:color="000000"/>
              <w:right w:val="single" w:sz="4" w:space="0" w:color="000000"/>
            </w:tcBorders>
            <w:shd w:val="clear" w:color="auto" w:fill="auto"/>
            <w:hideMark/>
          </w:tcPr>
          <w:p w14:paraId="278ACF45" w14:textId="1864B094" w:rsidR="00A636A1" w:rsidRPr="005376A2" w:rsidRDefault="00A636A1" w:rsidP="00A636A1">
            <w:pPr>
              <w:ind w:firstLine="37"/>
              <w:rPr>
                <w:rFonts w:cs="Times New Roman"/>
                <w:sz w:val="22"/>
                <w:lang w:eastAsia="ru-RU"/>
              </w:rPr>
            </w:pPr>
            <w:r w:rsidRPr="005376A2">
              <w:rPr>
                <w:rFonts w:cs="Times New Roman"/>
                <w:sz w:val="22"/>
              </w:rPr>
              <w:t>10,42</w:t>
            </w:r>
          </w:p>
        </w:tc>
      </w:tr>
      <w:tr w:rsidR="00A636A1" w:rsidRPr="00FA5B5E" w14:paraId="3D9BA4A4" w14:textId="77777777" w:rsidTr="005376A2">
        <w:trPr>
          <w:trHeight w:val="360"/>
        </w:trPr>
        <w:tc>
          <w:tcPr>
            <w:tcW w:w="242" w:type="pct"/>
            <w:tcBorders>
              <w:top w:val="nil"/>
              <w:left w:val="single" w:sz="4" w:space="0" w:color="000000"/>
              <w:bottom w:val="single" w:sz="4" w:space="0" w:color="000000"/>
              <w:right w:val="nil"/>
            </w:tcBorders>
            <w:shd w:val="clear" w:color="auto" w:fill="auto"/>
            <w:vAlign w:val="center"/>
            <w:hideMark/>
          </w:tcPr>
          <w:p w14:paraId="5BB98AE2" w14:textId="7B0B4244" w:rsidR="00A636A1" w:rsidRPr="005376A2" w:rsidRDefault="00A636A1" w:rsidP="00A636A1">
            <w:pPr>
              <w:ind w:firstLine="37"/>
              <w:rPr>
                <w:rFonts w:cs="Times New Roman"/>
                <w:sz w:val="22"/>
                <w:lang w:eastAsia="ru-RU"/>
              </w:rPr>
            </w:pPr>
            <w:r w:rsidRPr="005376A2">
              <w:rPr>
                <w:rFonts w:cs="Times New Roman"/>
                <w:sz w:val="22"/>
                <w:lang w:eastAsia="ru-RU"/>
              </w:rPr>
              <w:t>5</w:t>
            </w:r>
          </w:p>
        </w:tc>
        <w:tc>
          <w:tcPr>
            <w:tcW w:w="965" w:type="pct"/>
            <w:tcBorders>
              <w:top w:val="nil"/>
              <w:left w:val="single" w:sz="4" w:space="0" w:color="000000"/>
              <w:bottom w:val="single" w:sz="4" w:space="0" w:color="000000"/>
              <w:right w:val="nil"/>
            </w:tcBorders>
            <w:shd w:val="clear" w:color="auto" w:fill="auto"/>
            <w:vAlign w:val="center"/>
            <w:hideMark/>
          </w:tcPr>
          <w:p w14:paraId="7811E447" w14:textId="77777777" w:rsidR="00A636A1" w:rsidRPr="005376A2" w:rsidRDefault="00A636A1" w:rsidP="00A636A1">
            <w:pPr>
              <w:ind w:firstLine="37"/>
              <w:rPr>
                <w:rFonts w:cs="Times New Roman"/>
                <w:sz w:val="22"/>
                <w:lang w:eastAsia="ru-RU"/>
              </w:rPr>
            </w:pPr>
            <w:r w:rsidRPr="005376A2">
              <w:rPr>
                <w:rFonts w:cs="Times New Roman"/>
                <w:sz w:val="22"/>
                <w:lang w:eastAsia="ru-RU"/>
              </w:rPr>
              <w:t>Ценовой дифференциал (PRD)</w:t>
            </w:r>
          </w:p>
        </w:tc>
        <w:tc>
          <w:tcPr>
            <w:tcW w:w="601" w:type="pct"/>
            <w:tcBorders>
              <w:top w:val="nil"/>
              <w:left w:val="single" w:sz="4" w:space="0" w:color="000000"/>
              <w:bottom w:val="single" w:sz="4" w:space="0" w:color="000000"/>
              <w:right w:val="nil"/>
            </w:tcBorders>
            <w:shd w:val="clear" w:color="auto" w:fill="auto"/>
            <w:hideMark/>
          </w:tcPr>
          <w:p w14:paraId="616F7260" w14:textId="71F4FFE2" w:rsidR="00A636A1" w:rsidRPr="005376A2" w:rsidRDefault="00A636A1" w:rsidP="00A636A1">
            <w:pPr>
              <w:ind w:firstLine="37"/>
              <w:rPr>
                <w:rFonts w:cs="Times New Roman"/>
                <w:sz w:val="22"/>
                <w:lang w:eastAsia="ru-RU"/>
              </w:rPr>
            </w:pPr>
            <w:r w:rsidRPr="005376A2">
              <w:rPr>
                <w:rFonts w:cs="Times New Roman"/>
                <w:sz w:val="22"/>
              </w:rPr>
              <w:t>1,02</w:t>
            </w:r>
          </w:p>
        </w:tc>
        <w:tc>
          <w:tcPr>
            <w:tcW w:w="642" w:type="pct"/>
            <w:tcBorders>
              <w:top w:val="nil"/>
              <w:left w:val="single" w:sz="4" w:space="0" w:color="000000"/>
              <w:bottom w:val="single" w:sz="4" w:space="0" w:color="000000"/>
              <w:right w:val="nil"/>
            </w:tcBorders>
            <w:shd w:val="clear" w:color="auto" w:fill="auto"/>
            <w:hideMark/>
          </w:tcPr>
          <w:p w14:paraId="0B83AD03" w14:textId="0668507D" w:rsidR="00A636A1" w:rsidRPr="005376A2" w:rsidRDefault="00A636A1" w:rsidP="00A636A1">
            <w:pPr>
              <w:ind w:firstLine="37"/>
              <w:rPr>
                <w:rFonts w:cs="Times New Roman"/>
                <w:sz w:val="22"/>
                <w:lang w:eastAsia="ru-RU"/>
              </w:rPr>
            </w:pPr>
            <w:r w:rsidRPr="005376A2">
              <w:rPr>
                <w:rFonts w:cs="Times New Roman"/>
                <w:sz w:val="22"/>
              </w:rPr>
              <w:t>1,02</w:t>
            </w:r>
          </w:p>
        </w:tc>
        <w:tc>
          <w:tcPr>
            <w:tcW w:w="632" w:type="pct"/>
            <w:gridSpan w:val="2"/>
            <w:tcBorders>
              <w:top w:val="nil"/>
              <w:left w:val="single" w:sz="4" w:space="0" w:color="000000"/>
              <w:bottom w:val="single" w:sz="4" w:space="0" w:color="000000"/>
              <w:right w:val="nil"/>
            </w:tcBorders>
            <w:shd w:val="clear" w:color="auto" w:fill="auto"/>
            <w:hideMark/>
          </w:tcPr>
          <w:p w14:paraId="5591014A" w14:textId="5C126E8E" w:rsidR="00A636A1" w:rsidRPr="005376A2" w:rsidRDefault="00A636A1" w:rsidP="00A636A1">
            <w:pPr>
              <w:ind w:firstLine="37"/>
              <w:rPr>
                <w:rFonts w:cs="Times New Roman"/>
                <w:sz w:val="22"/>
                <w:lang w:eastAsia="ru-RU"/>
              </w:rPr>
            </w:pPr>
            <w:r w:rsidRPr="005376A2">
              <w:rPr>
                <w:rFonts w:cs="Times New Roman"/>
                <w:sz w:val="22"/>
              </w:rPr>
              <w:t>1,01</w:t>
            </w:r>
          </w:p>
        </w:tc>
        <w:tc>
          <w:tcPr>
            <w:tcW w:w="643" w:type="pct"/>
            <w:tcBorders>
              <w:top w:val="nil"/>
              <w:left w:val="single" w:sz="4" w:space="0" w:color="000000"/>
              <w:bottom w:val="single" w:sz="4" w:space="0" w:color="000000"/>
              <w:right w:val="nil"/>
            </w:tcBorders>
            <w:shd w:val="clear" w:color="auto" w:fill="auto"/>
            <w:hideMark/>
          </w:tcPr>
          <w:p w14:paraId="36EB4C60" w14:textId="032DD333" w:rsidR="00A636A1" w:rsidRPr="005376A2" w:rsidRDefault="00A636A1" w:rsidP="00A636A1">
            <w:pPr>
              <w:ind w:firstLine="37"/>
              <w:rPr>
                <w:rFonts w:cs="Times New Roman"/>
                <w:sz w:val="22"/>
                <w:lang w:eastAsia="ru-RU"/>
              </w:rPr>
            </w:pPr>
            <w:r w:rsidRPr="005376A2">
              <w:rPr>
                <w:rFonts w:cs="Times New Roman"/>
                <w:sz w:val="22"/>
              </w:rPr>
              <w:t>1,01</w:t>
            </w:r>
          </w:p>
        </w:tc>
        <w:tc>
          <w:tcPr>
            <w:tcW w:w="632" w:type="pct"/>
            <w:gridSpan w:val="2"/>
            <w:tcBorders>
              <w:top w:val="nil"/>
              <w:left w:val="single" w:sz="4" w:space="0" w:color="000000"/>
              <w:bottom w:val="single" w:sz="4" w:space="0" w:color="000000"/>
              <w:right w:val="nil"/>
            </w:tcBorders>
            <w:shd w:val="clear" w:color="auto" w:fill="auto"/>
            <w:hideMark/>
          </w:tcPr>
          <w:p w14:paraId="7BDDC634" w14:textId="369BE28A" w:rsidR="00A636A1" w:rsidRPr="005376A2" w:rsidRDefault="00A636A1" w:rsidP="00A636A1">
            <w:pPr>
              <w:ind w:firstLine="37"/>
              <w:rPr>
                <w:rFonts w:cs="Times New Roman"/>
                <w:sz w:val="22"/>
                <w:lang w:eastAsia="ru-RU"/>
              </w:rPr>
            </w:pPr>
            <w:r w:rsidRPr="005376A2">
              <w:rPr>
                <w:rFonts w:cs="Times New Roman"/>
                <w:sz w:val="22"/>
              </w:rPr>
              <w:t>1,02</w:t>
            </w:r>
          </w:p>
        </w:tc>
        <w:tc>
          <w:tcPr>
            <w:tcW w:w="643" w:type="pct"/>
            <w:tcBorders>
              <w:top w:val="nil"/>
              <w:left w:val="single" w:sz="4" w:space="0" w:color="000000"/>
              <w:bottom w:val="single" w:sz="4" w:space="0" w:color="000000"/>
              <w:right w:val="single" w:sz="4" w:space="0" w:color="000000"/>
            </w:tcBorders>
            <w:shd w:val="clear" w:color="auto" w:fill="auto"/>
            <w:hideMark/>
          </w:tcPr>
          <w:p w14:paraId="0609B61A" w14:textId="039D4B29" w:rsidR="00A636A1" w:rsidRPr="005376A2" w:rsidRDefault="00A636A1" w:rsidP="00A636A1">
            <w:pPr>
              <w:ind w:firstLine="37"/>
              <w:rPr>
                <w:rFonts w:cs="Times New Roman"/>
                <w:sz w:val="22"/>
                <w:lang w:eastAsia="ru-RU"/>
              </w:rPr>
            </w:pPr>
            <w:r w:rsidRPr="005376A2">
              <w:rPr>
                <w:rFonts w:cs="Times New Roman"/>
                <w:sz w:val="22"/>
              </w:rPr>
              <w:t>1,01</w:t>
            </w:r>
          </w:p>
        </w:tc>
      </w:tr>
    </w:tbl>
    <w:p w14:paraId="54E53A3B" w14:textId="77777777" w:rsidR="00727235" w:rsidRPr="00727235" w:rsidRDefault="00727235" w:rsidP="00727235">
      <w:pPr>
        <w:rPr>
          <w:lang w:eastAsia="ru-RU"/>
        </w:rPr>
      </w:pPr>
    </w:p>
    <w:p w14:paraId="78F7C49E" w14:textId="77777777" w:rsidR="00727235" w:rsidRPr="00727235" w:rsidRDefault="00727235" w:rsidP="00727235">
      <w:r w:rsidRPr="00727235">
        <w:t>В результате была выбрана модель – экспоненциальная со следующими характеристиками.</w:t>
      </w:r>
    </w:p>
    <w:p w14:paraId="543EE3C6" w14:textId="77777777" w:rsidR="00727235" w:rsidRPr="00727235" w:rsidRDefault="00727235" w:rsidP="00727235">
      <w:pPr>
        <w:sectPr w:rsidR="00727235" w:rsidRPr="00727235" w:rsidSect="00727235">
          <w:pgSz w:w="11906" w:h="16838"/>
          <w:pgMar w:top="1134" w:right="850" w:bottom="1134" w:left="1701" w:header="708" w:footer="708" w:gutter="0"/>
          <w:cols w:space="708"/>
          <w:docGrid w:linePitch="360"/>
        </w:sectPr>
      </w:pPr>
    </w:p>
    <w:p w14:paraId="7A5C9DAB" w14:textId="7E1ADB21" w:rsidR="00A636A1" w:rsidRPr="00727235" w:rsidRDefault="00727235" w:rsidP="00A636A1">
      <w:pPr>
        <w:rPr>
          <w:lang w:eastAsia="ru-RU"/>
        </w:rPr>
      </w:pPr>
      <w:r w:rsidRPr="00727235">
        <w:rPr>
          <w:lang w:eastAsia="ru-RU"/>
        </w:rPr>
        <w:t xml:space="preserve">Таблица </w:t>
      </w:r>
      <w:r w:rsidRPr="00727235">
        <w:rPr>
          <w:lang w:eastAsia="ru-RU"/>
        </w:rPr>
        <w:fldChar w:fldCharType="begin"/>
      </w:r>
      <w:r w:rsidRPr="00727235">
        <w:rPr>
          <w:lang w:eastAsia="ru-RU"/>
        </w:rPr>
        <w:instrText xml:space="preserve"> SEQ Таблица \* ARABIC </w:instrText>
      </w:r>
      <w:r w:rsidRPr="00727235">
        <w:rPr>
          <w:lang w:eastAsia="ru-RU"/>
        </w:rPr>
        <w:fldChar w:fldCharType="separate"/>
      </w:r>
      <w:r w:rsidR="00FD2769">
        <w:rPr>
          <w:noProof/>
          <w:lang w:eastAsia="ru-RU"/>
        </w:rPr>
        <w:t>61</w:t>
      </w:r>
      <w:r w:rsidRPr="00727235">
        <w:rPr>
          <w:lang w:eastAsia="ru-RU"/>
        </w:rPr>
        <w:fldChar w:fldCharType="end"/>
      </w:r>
      <w:r w:rsidRPr="00727235">
        <w:rPr>
          <w:lang w:eastAsia="ru-RU"/>
        </w:rPr>
        <w:t xml:space="preserve"> Параметры модели, отобранной для расчета кадастровой стоимости объектов недвижимости </w:t>
      </w:r>
      <w:r w:rsidR="00A636A1" w:rsidRPr="00F154AB">
        <w:rPr>
          <w:rFonts w:eastAsia="Times New Roman" w:cs="Times New Roman"/>
          <w:bCs/>
          <w:color w:val="000000"/>
          <w:szCs w:val="24"/>
          <w:lang w:eastAsia="ru-RU"/>
        </w:rPr>
        <w:t>группы "1. Многоквартирные дома (дома средне- и многоэтажной жилой застройки)", подгруппа "</w:t>
      </w:r>
      <w:r w:rsidR="000470FD">
        <w:rPr>
          <w:rFonts w:eastAsia="Times New Roman" w:cs="Times New Roman"/>
          <w:bCs/>
          <w:color w:val="000000"/>
          <w:szCs w:val="24"/>
          <w:lang w:eastAsia="ru-RU"/>
        </w:rPr>
        <w:t>Помещения иные ГНП с п/х 1.5.</w:t>
      </w:r>
      <w:r w:rsidR="00A636A1" w:rsidRPr="00F154AB">
        <w:rPr>
          <w:rFonts w:eastAsia="Times New Roman" w:cs="Times New Roman"/>
          <w:bCs/>
          <w:color w:val="000000"/>
          <w:szCs w:val="24"/>
          <w:lang w:eastAsia="ru-RU"/>
        </w:rPr>
        <w:t xml:space="preserve">". </w:t>
      </w:r>
    </w:p>
    <w:p w14:paraId="0BB4FEDF" w14:textId="5440B9AD" w:rsidR="00727235" w:rsidRPr="00727235" w:rsidRDefault="00727235" w:rsidP="00727235">
      <w:pPr>
        <w:rPr>
          <w:lang w:eastAsia="ru-RU"/>
        </w:rPr>
      </w:pPr>
    </w:p>
    <w:tbl>
      <w:tblPr>
        <w:tblW w:w="14601" w:type="dxa"/>
        <w:tblInd w:w="-5" w:type="dxa"/>
        <w:tblLayout w:type="fixed"/>
        <w:tblLook w:val="04A0" w:firstRow="1" w:lastRow="0" w:firstColumn="1" w:lastColumn="0" w:noHBand="0" w:noVBand="1"/>
      </w:tblPr>
      <w:tblGrid>
        <w:gridCol w:w="1134"/>
        <w:gridCol w:w="2608"/>
        <w:gridCol w:w="2608"/>
        <w:gridCol w:w="2607"/>
        <w:gridCol w:w="1958"/>
        <w:gridCol w:w="1985"/>
        <w:gridCol w:w="1701"/>
      </w:tblGrid>
      <w:tr w:rsidR="00727235" w:rsidRPr="00727235" w14:paraId="65CA16A8" w14:textId="77777777" w:rsidTr="00727235">
        <w:trPr>
          <w:trHeight w:val="1575"/>
        </w:trPr>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9A25F9E" w14:textId="77777777" w:rsidR="00727235" w:rsidRPr="000470FD" w:rsidRDefault="00727235" w:rsidP="00FA5B5E">
            <w:pPr>
              <w:ind w:firstLine="37"/>
              <w:rPr>
                <w:lang w:eastAsia="ru-RU"/>
              </w:rPr>
            </w:pPr>
            <w:r w:rsidRPr="000470FD">
              <w:rPr>
                <w:lang w:eastAsia="ru-RU"/>
              </w:rPr>
              <w:t>№п/п</w:t>
            </w:r>
          </w:p>
        </w:tc>
        <w:tc>
          <w:tcPr>
            <w:tcW w:w="2608" w:type="dxa"/>
            <w:tcBorders>
              <w:top w:val="single" w:sz="4" w:space="0" w:color="auto"/>
              <w:left w:val="nil"/>
              <w:bottom w:val="single" w:sz="4" w:space="0" w:color="auto"/>
              <w:right w:val="single" w:sz="4" w:space="0" w:color="auto"/>
            </w:tcBorders>
            <w:shd w:val="clear" w:color="auto" w:fill="auto"/>
            <w:vAlign w:val="center"/>
            <w:hideMark/>
          </w:tcPr>
          <w:p w14:paraId="253B097D" w14:textId="77777777" w:rsidR="00727235" w:rsidRPr="000470FD" w:rsidRDefault="00727235" w:rsidP="00FA5B5E">
            <w:pPr>
              <w:ind w:firstLine="37"/>
              <w:rPr>
                <w:lang w:eastAsia="ru-RU"/>
              </w:rPr>
            </w:pPr>
            <w:r w:rsidRPr="000470FD">
              <w:rPr>
                <w:lang w:eastAsia="ru-RU"/>
              </w:rPr>
              <w:t>Название модели</w:t>
            </w:r>
          </w:p>
        </w:tc>
        <w:tc>
          <w:tcPr>
            <w:tcW w:w="2608" w:type="dxa"/>
            <w:tcBorders>
              <w:top w:val="single" w:sz="4" w:space="0" w:color="auto"/>
              <w:left w:val="nil"/>
              <w:bottom w:val="single" w:sz="4" w:space="0" w:color="auto"/>
              <w:right w:val="single" w:sz="4" w:space="0" w:color="auto"/>
            </w:tcBorders>
            <w:shd w:val="clear" w:color="auto" w:fill="auto"/>
            <w:vAlign w:val="center"/>
            <w:hideMark/>
          </w:tcPr>
          <w:p w14:paraId="64E7D920" w14:textId="77777777" w:rsidR="00727235" w:rsidRPr="000470FD" w:rsidRDefault="00727235" w:rsidP="00FA5B5E">
            <w:pPr>
              <w:ind w:firstLine="37"/>
              <w:rPr>
                <w:lang w:eastAsia="ru-RU"/>
              </w:rPr>
            </w:pPr>
            <w:r w:rsidRPr="000470FD">
              <w:rPr>
                <w:lang w:eastAsia="ru-RU"/>
              </w:rPr>
              <w:t>Формула модели</w:t>
            </w:r>
          </w:p>
        </w:tc>
        <w:tc>
          <w:tcPr>
            <w:tcW w:w="2607" w:type="dxa"/>
            <w:tcBorders>
              <w:top w:val="single" w:sz="4" w:space="0" w:color="auto"/>
              <w:left w:val="nil"/>
              <w:bottom w:val="single" w:sz="4" w:space="0" w:color="auto"/>
              <w:right w:val="single" w:sz="4" w:space="0" w:color="auto"/>
            </w:tcBorders>
            <w:shd w:val="clear" w:color="auto" w:fill="auto"/>
            <w:vAlign w:val="center"/>
            <w:hideMark/>
          </w:tcPr>
          <w:p w14:paraId="2D817CDD" w14:textId="77777777" w:rsidR="00727235" w:rsidRPr="000470FD" w:rsidRDefault="00727235" w:rsidP="00FA5B5E">
            <w:pPr>
              <w:ind w:firstLine="37"/>
              <w:rPr>
                <w:lang w:eastAsia="ru-RU"/>
              </w:rPr>
            </w:pPr>
            <w:r w:rsidRPr="000470FD">
              <w:rPr>
                <w:lang w:eastAsia="ru-RU"/>
              </w:rPr>
              <w:t>Ценообразующий фактор для построения моделей</w:t>
            </w:r>
          </w:p>
        </w:tc>
        <w:tc>
          <w:tcPr>
            <w:tcW w:w="1958" w:type="dxa"/>
            <w:tcBorders>
              <w:top w:val="single" w:sz="4" w:space="0" w:color="auto"/>
              <w:left w:val="nil"/>
              <w:bottom w:val="single" w:sz="4" w:space="0" w:color="auto"/>
              <w:right w:val="single" w:sz="4" w:space="0" w:color="auto"/>
            </w:tcBorders>
            <w:shd w:val="clear" w:color="auto" w:fill="auto"/>
            <w:vAlign w:val="center"/>
            <w:hideMark/>
          </w:tcPr>
          <w:p w14:paraId="5B9FF4C3" w14:textId="77777777" w:rsidR="00727235" w:rsidRPr="000470FD" w:rsidRDefault="00727235" w:rsidP="00FA5B5E">
            <w:pPr>
              <w:ind w:firstLine="37"/>
              <w:rPr>
                <w:lang w:eastAsia="ru-RU"/>
              </w:rPr>
            </w:pPr>
            <w:r w:rsidRPr="000470FD">
              <w:rPr>
                <w:lang w:eastAsia="ru-RU"/>
              </w:rPr>
              <w:t>Коэффициент при ценообразующем факторе в модели</w:t>
            </w:r>
          </w:p>
        </w:tc>
        <w:tc>
          <w:tcPr>
            <w:tcW w:w="1985" w:type="dxa"/>
            <w:tcBorders>
              <w:top w:val="single" w:sz="4" w:space="0" w:color="auto"/>
              <w:left w:val="nil"/>
              <w:bottom w:val="single" w:sz="4" w:space="0" w:color="auto"/>
              <w:right w:val="single" w:sz="4" w:space="0" w:color="auto"/>
            </w:tcBorders>
            <w:shd w:val="clear" w:color="auto" w:fill="auto"/>
            <w:vAlign w:val="center"/>
            <w:hideMark/>
          </w:tcPr>
          <w:p w14:paraId="227DCBD0" w14:textId="77777777" w:rsidR="00727235" w:rsidRPr="000470FD" w:rsidRDefault="00727235" w:rsidP="00FA5B5E">
            <w:pPr>
              <w:ind w:firstLine="37"/>
              <w:rPr>
                <w:lang w:eastAsia="ru-RU"/>
              </w:rPr>
            </w:pPr>
            <w:r w:rsidRPr="000470FD">
              <w:rPr>
                <w:lang w:eastAsia="ru-RU"/>
              </w:rPr>
              <w:t>Значения ценообразующего фактора (диапазон значений)</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14:paraId="4F009E6A" w14:textId="77777777" w:rsidR="00727235" w:rsidRPr="000470FD" w:rsidRDefault="00727235" w:rsidP="00FA5B5E">
            <w:pPr>
              <w:ind w:firstLine="37"/>
              <w:rPr>
                <w:lang w:eastAsia="ru-RU"/>
              </w:rPr>
            </w:pPr>
            <w:r w:rsidRPr="000470FD">
              <w:rPr>
                <w:lang w:eastAsia="ru-RU"/>
              </w:rPr>
              <w:t>Значения меток ценообразующего фактора</w:t>
            </w:r>
          </w:p>
        </w:tc>
      </w:tr>
      <w:tr w:rsidR="00727235" w:rsidRPr="00727235" w14:paraId="5E7A6DEF" w14:textId="77777777" w:rsidTr="00727235">
        <w:trPr>
          <w:trHeight w:val="315"/>
        </w:trPr>
        <w:tc>
          <w:tcPr>
            <w:tcW w:w="1134" w:type="dxa"/>
            <w:tcBorders>
              <w:top w:val="nil"/>
              <w:left w:val="single" w:sz="4" w:space="0" w:color="auto"/>
              <w:bottom w:val="single" w:sz="4" w:space="0" w:color="auto"/>
              <w:right w:val="single" w:sz="4" w:space="0" w:color="auto"/>
            </w:tcBorders>
            <w:shd w:val="clear" w:color="auto" w:fill="auto"/>
            <w:vAlign w:val="center"/>
            <w:hideMark/>
          </w:tcPr>
          <w:p w14:paraId="14D4162F" w14:textId="77777777" w:rsidR="00727235" w:rsidRPr="000470FD" w:rsidRDefault="00727235" w:rsidP="00F6527F">
            <w:pPr>
              <w:ind w:firstLine="37"/>
              <w:jc w:val="center"/>
              <w:rPr>
                <w:lang w:eastAsia="ru-RU"/>
              </w:rPr>
            </w:pPr>
            <w:r w:rsidRPr="000470FD">
              <w:rPr>
                <w:lang w:eastAsia="ru-RU"/>
              </w:rPr>
              <w:t>01</w:t>
            </w:r>
          </w:p>
        </w:tc>
        <w:tc>
          <w:tcPr>
            <w:tcW w:w="2608" w:type="dxa"/>
            <w:tcBorders>
              <w:top w:val="nil"/>
              <w:left w:val="nil"/>
              <w:bottom w:val="single" w:sz="4" w:space="0" w:color="auto"/>
              <w:right w:val="single" w:sz="4" w:space="0" w:color="auto"/>
            </w:tcBorders>
            <w:shd w:val="clear" w:color="auto" w:fill="auto"/>
            <w:vAlign w:val="center"/>
            <w:hideMark/>
          </w:tcPr>
          <w:p w14:paraId="2763B2D0" w14:textId="77777777" w:rsidR="00727235" w:rsidRPr="000470FD" w:rsidRDefault="00727235" w:rsidP="00F6527F">
            <w:pPr>
              <w:ind w:firstLine="37"/>
              <w:jc w:val="center"/>
              <w:rPr>
                <w:lang w:eastAsia="ru-RU"/>
              </w:rPr>
            </w:pPr>
            <w:r w:rsidRPr="000470FD">
              <w:rPr>
                <w:lang w:eastAsia="ru-RU"/>
              </w:rPr>
              <w:t>02</w:t>
            </w:r>
          </w:p>
        </w:tc>
        <w:tc>
          <w:tcPr>
            <w:tcW w:w="2608" w:type="dxa"/>
            <w:tcBorders>
              <w:top w:val="nil"/>
              <w:left w:val="nil"/>
              <w:bottom w:val="single" w:sz="4" w:space="0" w:color="auto"/>
              <w:right w:val="single" w:sz="4" w:space="0" w:color="auto"/>
            </w:tcBorders>
            <w:shd w:val="clear" w:color="auto" w:fill="auto"/>
            <w:vAlign w:val="center"/>
            <w:hideMark/>
          </w:tcPr>
          <w:p w14:paraId="36CF8FB5" w14:textId="77777777" w:rsidR="00727235" w:rsidRPr="000470FD" w:rsidRDefault="00727235" w:rsidP="00F6527F">
            <w:pPr>
              <w:ind w:firstLine="37"/>
              <w:jc w:val="center"/>
              <w:rPr>
                <w:lang w:eastAsia="ru-RU"/>
              </w:rPr>
            </w:pPr>
            <w:r w:rsidRPr="000470FD">
              <w:rPr>
                <w:lang w:eastAsia="ru-RU"/>
              </w:rPr>
              <w:t>03</w:t>
            </w:r>
          </w:p>
        </w:tc>
        <w:tc>
          <w:tcPr>
            <w:tcW w:w="2607" w:type="dxa"/>
            <w:tcBorders>
              <w:top w:val="nil"/>
              <w:left w:val="nil"/>
              <w:bottom w:val="single" w:sz="4" w:space="0" w:color="auto"/>
              <w:right w:val="single" w:sz="4" w:space="0" w:color="auto"/>
            </w:tcBorders>
            <w:shd w:val="clear" w:color="auto" w:fill="auto"/>
            <w:vAlign w:val="center"/>
            <w:hideMark/>
          </w:tcPr>
          <w:p w14:paraId="53C8EACB" w14:textId="77777777" w:rsidR="00727235" w:rsidRPr="000470FD" w:rsidRDefault="00727235" w:rsidP="00F6527F">
            <w:pPr>
              <w:ind w:firstLine="37"/>
              <w:jc w:val="center"/>
              <w:rPr>
                <w:lang w:eastAsia="ru-RU"/>
              </w:rPr>
            </w:pPr>
            <w:r w:rsidRPr="000470FD">
              <w:rPr>
                <w:lang w:eastAsia="ru-RU"/>
              </w:rPr>
              <w:t>04</w:t>
            </w:r>
          </w:p>
        </w:tc>
        <w:tc>
          <w:tcPr>
            <w:tcW w:w="1958" w:type="dxa"/>
            <w:tcBorders>
              <w:top w:val="nil"/>
              <w:left w:val="nil"/>
              <w:bottom w:val="single" w:sz="4" w:space="0" w:color="auto"/>
              <w:right w:val="single" w:sz="4" w:space="0" w:color="auto"/>
            </w:tcBorders>
            <w:shd w:val="clear" w:color="auto" w:fill="auto"/>
            <w:vAlign w:val="center"/>
            <w:hideMark/>
          </w:tcPr>
          <w:p w14:paraId="5DE457FE" w14:textId="77777777" w:rsidR="00727235" w:rsidRPr="000470FD" w:rsidRDefault="00727235" w:rsidP="00F6527F">
            <w:pPr>
              <w:ind w:firstLine="37"/>
              <w:jc w:val="center"/>
              <w:rPr>
                <w:lang w:eastAsia="ru-RU"/>
              </w:rPr>
            </w:pPr>
            <w:r w:rsidRPr="000470FD">
              <w:rPr>
                <w:lang w:eastAsia="ru-RU"/>
              </w:rPr>
              <w:t>05</w:t>
            </w:r>
          </w:p>
        </w:tc>
        <w:tc>
          <w:tcPr>
            <w:tcW w:w="1985" w:type="dxa"/>
            <w:tcBorders>
              <w:top w:val="nil"/>
              <w:left w:val="nil"/>
              <w:bottom w:val="single" w:sz="4" w:space="0" w:color="auto"/>
              <w:right w:val="single" w:sz="4" w:space="0" w:color="auto"/>
            </w:tcBorders>
            <w:shd w:val="clear" w:color="auto" w:fill="auto"/>
            <w:vAlign w:val="center"/>
            <w:hideMark/>
          </w:tcPr>
          <w:p w14:paraId="1C109AD8" w14:textId="77777777" w:rsidR="00727235" w:rsidRPr="000470FD" w:rsidRDefault="00727235" w:rsidP="00F6527F">
            <w:pPr>
              <w:ind w:firstLine="37"/>
              <w:jc w:val="center"/>
              <w:rPr>
                <w:lang w:eastAsia="ru-RU"/>
              </w:rPr>
            </w:pPr>
            <w:r w:rsidRPr="000470FD">
              <w:rPr>
                <w:lang w:eastAsia="ru-RU"/>
              </w:rPr>
              <w:t>06</w:t>
            </w:r>
          </w:p>
        </w:tc>
        <w:tc>
          <w:tcPr>
            <w:tcW w:w="1701" w:type="dxa"/>
            <w:tcBorders>
              <w:top w:val="nil"/>
              <w:left w:val="nil"/>
              <w:bottom w:val="single" w:sz="4" w:space="0" w:color="auto"/>
              <w:right w:val="single" w:sz="4" w:space="0" w:color="auto"/>
            </w:tcBorders>
            <w:shd w:val="clear" w:color="auto" w:fill="auto"/>
            <w:vAlign w:val="center"/>
            <w:hideMark/>
          </w:tcPr>
          <w:p w14:paraId="441115B4" w14:textId="77777777" w:rsidR="00727235" w:rsidRPr="000470FD" w:rsidRDefault="00727235" w:rsidP="00F6527F">
            <w:pPr>
              <w:ind w:firstLine="37"/>
              <w:jc w:val="center"/>
              <w:rPr>
                <w:lang w:eastAsia="ru-RU"/>
              </w:rPr>
            </w:pPr>
            <w:r w:rsidRPr="000470FD">
              <w:rPr>
                <w:lang w:eastAsia="ru-RU"/>
              </w:rPr>
              <w:t>07</w:t>
            </w:r>
          </w:p>
        </w:tc>
      </w:tr>
      <w:tr w:rsidR="000470FD" w:rsidRPr="00727235" w14:paraId="2FAC13B9" w14:textId="77777777" w:rsidTr="00727235">
        <w:trPr>
          <w:trHeight w:val="630"/>
        </w:trPr>
        <w:tc>
          <w:tcPr>
            <w:tcW w:w="1134" w:type="dxa"/>
            <w:vMerge w:val="restart"/>
            <w:tcBorders>
              <w:top w:val="nil"/>
              <w:left w:val="single" w:sz="4" w:space="0" w:color="auto"/>
              <w:bottom w:val="single" w:sz="4" w:space="0" w:color="auto"/>
              <w:right w:val="single" w:sz="4" w:space="0" w:color="auto"/>
            </w:tcBorders>
            <w:shd w:val="clear" w:color="auto" w:fill="auto"/>
            <w:vAlign w:val="center"/>
            <w:hideMark/>
          </w:tcPr>
          <w:p w14:paraId="19D857F9" w14:textId="77777777" w:rsidR="000470FD" w:rsidRPr="000470FD" w:rsidRDefault="000470FD" w:rsidP="000470FD">
            <w:pPr>
              <w:ind w:firstLine="37"/>
              <w:rPr>
                <w:lang w:eastAsia="ru-RU"/>
              </w:rPr>
            </w:pPr>
            <w:r w:rsidRPr="000470FD">
              <w:rPr>
                <w:lang w:eastAsia="ru-RU"/>
              </w:rPr>
              <w:t>1</w:t>
            </w:r>
          </w:p>
        </w:tc>
        <w:tc>
          <w:tcPr>
            <w:tcW w:w="2608" w:type="dxa"/>
            <w:vMerge w:val="restart"/>
            <w:tcBorders>
              <w:top w:val="nil"/>
              <w:left w:val="single" w:sz="4" w:space="0" w:color="auto"/>
              <w:bottom w:val="single" w:sz="4" w:space="0" w:color="auto"/>
              <w:right w:val="single" w:sz="4" w:space="0" w:color="auto"/>
            </w:tcBorders>
            <w:shd w:val="clear" w:color="auto" w:fill="auto"/>
            <w:vAlign w:val="center"/>
            <w:hideMark/>
          </w:tcPr>
          <w:p w14:paraId="1BB39F63" w14:textId="77777777" w:rsidR="000470FD" w:rsidRPr="000470FD" w:rsidRDefault="000470FD" w:rsidP="000470FD">
            <w:pPr>
              <w:ind w:firstLine="37"/>
            </w:pPr>
            <w:r w:rsidRPr="000470FD">
              <w:t>мультипликативная</w:t>
            </w:r>
          </w:p>
        </w:tc>
        <w:tc>
          <w:tcPr>
            <w:tcW w:w="2608" w:type="dxa"/>
            <w:vMerge w:val="restart"/>
            <w:tcBorders>
              <w:top w:val="nil"/>
              <w:left w:val="single" w:sz="4" w:space="0" w:color="auto"/>
              <w:bottom w:val="single" w:sz="4" w:space="0" w:color="auto"/>
              <w:right w:val="single" w:sz="4" w:space="0" w:color="auto"/>
            </w:tcBorders>
            <w:shd w:val="clear" w:color="auto" w:fill="auto"/>
            <w:vAlign w:val="center"/>
            <w:hideMark/>
          </w:tcPr>
          <w:p w14:paraId="54F647B8" w14:textId="397FF523" w:rsidR="000470FD" w:rsidRPr="000470FD" w:rsidRDefault="000470FD" w:rsidP="000470FD">
            <w:pPr>
              <w:ind w:firstLine="37"/>
            </w:pPr>
            <w:r w:rsidRPr="000470FD">
              <w:t>Y=3.74379e+008*((0.291214/(Физический износ_ЗП+0.05)+0.49)^0.336125)*((0.571429/(Расстояние от населенного пункта до центра муниципального района, городского округа+16)+0.5)^15.2728)*((((Среднемесячная заработная плата в муниципальном районе, городском округе+7003.38)/70632.8)+0)^0.127609)*((552.143/(Расстояние от объекта до административного центра населенного пункта+530)+0.5)^0.746597)</w:t>
            </w:r>
          </w:p>
        </w:tc>
        <w:tc>
          <w:tcPr>
            <w:tcW w:w="2607" w:type="dxa"/>
            <w:vMerge w:val="restart"/>
            <w:tcBorders>
              <w:top w:val="nil"/>
              <w:left w:val="single" w:sz="4" w:space="0" w:color="auto"/>
              <w:bottom w:val="single" w:sz="4" w:space="0" w:color="auto"/>
              <w:right w:val="single" w:sz="4" w:space="0" w:color="auto"/>
            </w:tcBorders>
            <w:shd w:val="clear" w:color="auto" w:fill="auto"/>
            <w:vAlign w:val="center"/>
            <w:hideMark/>
          </w:tcPr>
          <w:p w14:paraId="0BA16CA9" w14:textId="77777777" w:rsidR="000470FD" w:rsidRPr="000470FD" w:rsidRDefault="000470FD" w:rsidP="000470FD">
            <w:pPr>
              <w:ind w:firstLine="37"/>
            </w:pPr>
            <w:r w:rsidRPr="000470FD">
              <w:t>Расстояние от населенного пункта до центра муниципального района, городского округа</w:t>
            </w:r>
          </w:p>
          <w:p w14:paraId="7BA0EF7B" w14:textId="4AD23B14" w:rsidR="000470FD" w:rsidRPr="000470FD" w:rsidRDefault="000470FD" w:rsidP="000470FD">
            <w:pPr>
              <w:ind w:firstLine="37"/>
            </w:pPr>
            <w:r w:rsidRPr="000470FD">
              <w:t>Расстояние от объекта до административного центра населенного пункта</w:t>
            </w:r>
          </w:p>
        </w:tc>
        <w:tc>
          <w:tcPr>
            <w:tcW w:w="1958" w:type="dxa"/>
            <w:vMerge w:val="restart"/>
            <w:tcBorders>
              <w:top w:val="nil"/>
              <w:left w:val="single" w:sz="4" w:space="0" w:color="auto"/>
              <w:bottom w:val="single" w:sz="4" w:space="0" w:color="auto"/>
              <w:right w:val="single" w:sz="4" w:space="0" w:color="auto"/>
            </w:tcBorders>
            <w:shd w:val="clear" w:color="auto" w:fill="auto"/>
            <w:vAlign w:val="center"/>
            <w:hideMark/>
          </w:tcPr>
          <w:p w14:paraId="430FAC56" w14:textId="77777777" w:rsidR="000470FD" w:rsidRPr="000470FD" w:rsidRDefault="000470FD" w:rsidP="000470FD">
            <w:pPr>
              <w:ind w:firstLine="37"/>
            </w:pPr>
            <w:r w:rsidRPr="000470FD">
              <w:t>15,2728</w:t>
            </w:r>
          </w:p>
          <w:p w14:paraId="53352DC7" w14:textId="4B532CF1" w:rsidR="000470FD" w:rsidRPr="000470FD" w:rsidRDefault="000470FD" w:rsidP="000470FD">
            <w:pPr>
              <w:ind w:firstLine="37"/>
            </w:pPr>
            <w:r w:rsidRPr="000470FD">
              <w:t>0,746597</w:t>
            </w:r>
          </w:p>
        </w:tc>
        <w:tc>
          <w:tcPr>
            <w:tcW w:w="1985" w:type="dxa"/>
            <w:tcBorders>
              <w:top w:val="nil"/>
              <w:left w:val="nil"/>
              <w:bottom w:val="single" w:sz="4" w:space="0" w:color="auto"/>
              <w:right w:val="single" w:sz="4" w:space="0" w:color="auto"/>
            </w:tcBorders>
            <w:shd w:val="clear" w:color="auto" w:fill="auto"/>
            <w:vAlign w:val="center"/>
            <w:hideMark/>
          </w:tcPr>
          <w:p w14:paraId="3A2A1E62" w14:textId="5A475416" w:rsidR="000470FD" w:rsidRPr="000470FD" w:rsidRDefault="000470FD" w:rsidP="000470FD">
            <w:pPr>
              <w:ind w:firstLine="37"/>
            </w:pPr>
            <w:r w:rsidRPr="000470FD">
              <w:t>0 - 527</w:t>
            </w:r>
          </w:p>
        </w:tc>
        <w:tc>
          <w:tcPr>
            <w:tcW w:w="1701" w:type="dxa"/>
            <w:tcBorders>
              <w:top w:val="nil"/>
              <w:left w:val="nil"/>
              <w:bottom w:val="single" w:sz="4" w:space="0" w:color="auto"/>
              <w:right w:val="single" w:sz="4" w:space="0" w:color="auto"/>
            </w:tcBorders>
            <w:shd w:val="clear" w:color="auto" w:fill="auto"/>
            <w:vAlign w:val="bottom"/>
            <w:hideMark/>
          </w:tcPr>
          <w:p w14:paraId="7CDC6F70" w14:textId="77777777" w:rsidR="000470FD" w:rsidRPr="000470FD" w:rsidRDefault="000470FD" w:rsidP="000470FD">
            <w:pPr>
              <w:ind w:firstLine="37"/>
            </w:pPr>
            <w:r w:rsidRPr="000470FD">
              <w:t> </w:t>
            </w:r>
          </w:p>
        </w:tc>
      </w:tr>
      <w:tr w:rsidR="000470FD" w:rsidRPr="00727235" w14:paraId="3672B683" w14:textId="77777777" w:rsidTr="00727235">
        <w:trPr>
          <w:trHeight w:val="630"/>
        </w:trPr>
        <w:tc>
          <w:tcPr>
            <w:tcW w:w="1134" w:type="dxa"/>
            <w:vMerge/>
            <w:tcBorders>
              <w:top w:val="nil"/>
              <w:left w:val="single" w:sz="4" w:space="0" w:color="auto"/>
              <w:bottom w:val="single" w:sz="4" w:space="0" w:color="auto"/>
              <w:right w:val="single" w:sz="4" w:space="0" w:color="auto"/>
            </w:tcBorders>
            <w:vAlign w:val="center"/>
            <w:hideMark/>
          </w:tcPr>
          <w:p w14:paraId="777D79BE" w14:textId="77777777" w:rsidR="000470FD" w:rsidRPr="000470FD" w:rsidRDefault="000470FD" w:rsidP="000470FD">
            <w:pPr>
              <w:ind w:firstLine="37"/>
              <w:rPr>
                <w:lang w:eastAsia="ru-RU"/>
              </w:rPr>
            </w:pPr>
          </w:p>
        </w:tc>
        <w:tc>
          <w:tcPr>
            <w:tcW w:w="2608" w:type="dxa"/>
            <w:vMerge/>
            <w:tcBorders>
              <w:top w:val="nil"/>
              <w:left w:val="single" w:sz="4" w:space="0" w:color="auto"/>
              <w:bottom w:val="single" w:sz="4" w:space="0" w:color="auto"/>
              <w:right w:val="single" w:sz="4" w:space="0" w:color="auto"/>
            </w:tcBorders>
            <w:vAlign w:val="center"/>
            <w:hideMark/>
          </w:tcPr>
          <w:p w14:paraId="23B4708D" w14:textId="77777777" w:rsidR="000470FD" w:rsidRPr="000470FD" w:rsidRDefault="000470FD" w:rsidP="000470FD">
            <w:pPr>
              <w:ind w:firstLine="37"/>
              <w:rPr>
                <w:lang w:eastAsia="ru-RU"/>
              </w:rPr>
            </w:pPr>
          </w:p>
        </w:tc>
        <w:tc>
          <w:tcPr>
            <w:tcW w:w="2608" w:type="dxa"/>
            <w:vMerge/>
            <w:tcBorders>
              <w:top w:val="nil"/>
              <w:left w:val="single" w:sz="4" w:space="0" w:color="auto"/>
              <w:bottom w:val="single" w:sz="4" w:space="0" w:color="auto"/>
              <w:right w:val="single" w:sz="4" w:space="0" w:color="auto"/>
            </w:tcBorders>
            <w:vAlign w:val="center"/>
            <w:hideMark/>
          </w:tcPr>
          <w:p w14:paraId="5C4E94E2" w14:textId="77777777" w:rsidR="000470FD" w:rsidRPr="000470FD" w:rsidRDefault="000470FD" w:rsidP="000470FD">
            <w:pPr>
              <w:ind w:firstLine="37"/>
              <w:rPr>
                <w:lang w:eastAsia="ru-RU"/>
              </w:rPr>
            </w:pPr>
          </w:p>
        </w:tc>
        <w:tc>
          <w:tcPr>
            <w:tcW w:w="2607" w:type="dxa"/>
            <w:vMerge/>
            <w:tcBorders>
              <w:top w:val="nil"/>
              <w:left w:val="single" w:sz="4" w:space="0" w:color="auto"/>
              <w:bottom w:val="single" w:sz="4" w:space="0" w:color="auto"/>
              <w:right w:val="single" w:sz="4" w:space="0" w:color="auto"/>
            </w:tcBorders>
            <w:vAlign w:val="center"/>
            <w:hideMark/>
          </w:tcPr>
          <w:p w14:paraId="4DB27CC4" w14:textId="77777777" w:rsidR="000470FD" w:rsidRPr="000470FD" w:rsidRDefault="000470FD" w:rsidP="000470FD">
            <w:pPr>
              <w:ind w:firstLine="37"/>
              <w:rPr>
                <w:lang w:eastAsia="ru-RU"/>
              </w:rPr>
            </w:pPr>
          </w:p>
        </w:tc>
        <w:tc>
          <w:tcPr>
            <w:tcW w:w="1958" w:type="dxa"/>
            <w:vMerge/>
            <w:tcBorders>
              <w:top w:val="nil"/>
              <w:left w:val="single" w:sz="4" w:space="0" w:color="auto"/>
              <w:bottom w:val="single" w:sz="4" w:space="0" w:color="auto"/>
              <w:right w:val="single" w:sz="4" w:space="0" w:color="auto"/>
            </w:tcBorders>
            <w:vAlign w:val="center"/>
            <w:hideMark/>
          </w:tcPr>
          <w:p w14:paraId="53693CCD" w14:textId="77777777" w:rsidR="000470FD" w:rsidRPr="000470FD" w:rsidRDefault="000470FD" w:rsidP="000470FD">
            <w:pPr>
              <w:ind w:firstLine="37"/>
              <w:rPr>
                <w:lang w:eastAsia="ru-RU"/>
              </w:rPr>
            </w:pPr>
          </w:p>
        </w:tc>
        <w:tc>
          <w:tcPr>
            <w:tcW w:w="1985" w:type="dxa"/>
            <w:tcBorders>
              <w:top w:val="nil"/>
              <w:left w:val="nil"/>
              <w:bottom w:val="single" w:sz="4" w:space="0" w:color="auto"/>
              <w:right w:val="single" w:sz="4" w:space="0" w:color="auto"/>
            </w:tcBorders>
            <w:shd w:val="clear" w:color="auto" w:fill="auto"/>
            <w:vAlign w:val="center"/>
            <w:hideMark/>
          </w:tcPr>
          <w:p w14:paraId="074E56E6" w14:textId="226CDD14" w:rsidR="000470FD" w:rsidRPr="000470FD" w:rsidRDefault="000470FD" w:rsidP="000470FD">
            <w:pPr>
              <w:ind w:firstLine="37"/>
              <w:rPr>
                <w:lang w:eastAsia="ru-RU"/>
              </w:rPr>
            </w:pPr>
            <w:r w:rsidRPr="000470FD">
              <w:t>0 - 13950</w:t>
            </w:r>
          </w:p>
        </w:tc>
        <w:tc>
          <w:tcPr>
            <w:tcW w:w="1701" w:type="dxa"/>
            <w:tcBorders>
              <w:top w:val="nil"/>
              <w:left w:val="nil"/>
              <w:bottom w:val="single" w:sz="4" w:space="0" w:color="auto"/>
              <w:right w:val="single" w:sz="4" w:space="0" w:color="auto"/>
            </w:tcBorders>
            <w:shd w:val="clear" w:color="auto" w:fill="auto"/>
            <w:vAlign w:val="bottom"/>
            <w:hideMark/>
          </w:tcPr>
          <w:p w14:paraId="63686189" w14:textId="77777777" w:rsidR="000470FD" w:rsidRPr="000470FD" w:rsidRDefault="000470FD" w:rsidP="000470FD">
            <w:pPr>
              <w:ind w:firstLine="37"/>
              <w:rPr>
                <w:lang w:eastAsia="ru-RU"/>
              </w:rPr>
            </w:pPr>
            <w:r w:rsidRPr="000470FD">
              <w:t> </w:t>
            </w:r>
          </w:p>
        </w:tc>
      </w:tr>
      <w:tr w:rsidR="000470FD" w:rsidRPr="00727235" w14:paraId="3757CA1D" w14:textId="77777777" w:rsidTr="00727235">
        <w:trPr>
          <w:trHeight w:val="945"/>
        </w:trPr>
        <w:tc>
          <w:tcPr>
            <w:tcW w:w="1134" w:type="dxa"/>
            <w:vMerge/>
            <w:tcBorders>
              <w:top w:val="nil"/>
              <w:left w:val="single" w:sz="4" w:space="0" w:color="auto"/>
              <w:bottom w:val="single" w:sz="4" w:space="0" w:color="auto"/>
              <w:right w:val="single" w:sz="4" w:space="0" w:color="auto"/>
            </w:tcBorders>
            <w:vAlign w:val="center"/>
            <w:hideMark/>
          </w:tcPr>
          <w:p w14:paraId="69D08F16" w14:textId="77777777" w:rsidR="000470FD" w:rsidRPr="000470FD" w:rsidRDefault="000470FD" w:rsidP="000470FD">
            <w:pPr>
              <w:ind w:firstLine="37"/>
              <w:rPr>
                <w:lang w:eastAsia="ru-RU"/>
              </w:rPr>
            </w:pPr>
          </w:p>
        </w:tc>
        <w:tc>
          <w:tcPr>
            <w:tcW w:w="2608" w:type="dxa"/>
            <w:vMerge/>
            <w:tcBorders>
              <w:top w:val="nil"/>
              <w:left w:val="single" w:sz="4" w:space="0" w:color="auto"/>
              <w:bottom w:val="single" w:sz="4" w:space="0" w:color="auto"/>
              <w:right w:val="single" w:sz="4" w:space="0" w:color="auto"/>
            </w:tcBorders>
            <w:vAlign w:val="center"/>
            <w:hideMark/>
          </w:tcPr>
          <w:p w14:paraId="010E347C" w14:textId="77777777" w:rsidR="000470FD" w:rsidRPr="000470FD" w:rsidRDefault="000470FD" w:rsidP="000470FD">
            <w:pPr>
              <w:ind w:firstLine="37"/>
              <w:rPr>
                <w:lang w:eastAsia="ru-RU"/>
              </w:rPr>
            </w:pPr>
          </w:p>
        </w:tc>
        <w:tc>
          <w:tcPr>
            <w:tcW w:w="2608" w:type="dxa"/>
            <w:vMerge/>
            <w:tcBorders>
              <w:top w:val="nil"/>
              <w:left w:val="single" w:sz="4" w:space="0" w:color="auto"/>
              <w:bottom w:val="single" w:sz="4" w:space="0" w:color="auto"/>
              <w:right w:val="single" w:sz="4" w:space="0" w:color="auto"/>
            </w:tcBorders>
            <w:vAlign w:val="center"/>
            <w:hideMark/>
          </w:tcPr>
          <w:p w14:paraId="19002555" w14:textId="77777777" w:rsidR="000470FD" w:rsidRPr="000470FD" w:rsidRDefault="000470FD" w:rsidP="000470FD">
            <w:pPr>
              <w:ind w:firstLine="37"/>
              <w:rPr>
                <w:lang w:eastAsia="ru-RU"/>
              </w:rPr>
            </w:pPr>
          </w:p>
        </w:tc>
        <w:tc>
          <w:tcPr>
            <w:tcW w:w="2607" w:type="dxa"/>
            <w:tcBorders>
              <w:top w:val="nil"/>
              <w:left w:val="nil"/>
              <w:bottom w:val="single" w:sz="4" w:space="0" w:color="auto"/>
              <w:right w:val="single" w:sz="4" w:space="0" w:color="auto"/>
            </w:tcBorders>
            <w:shd w:val="clear" w:color="auto" w:fill="auto"/>
            <w:vAlign w:val="center"/>
            <w:hideMark/>
          </w:tcPr>
          <w:p w14:paraId="35A4EEC5" w14:textId="0E951212" w:rsidR="000470FD" w:rsidRPr="000470FD" w:rsidRDefault="000470FD" w:rsidP="000470FD">
            <w:pPr>
              <w:ind w:firstLine="37"/>
            </w:pPr>
            <w:r w:rsidRPr="000470FD">
              <w:t>Среднемесячная заработная плата в муниципальном районе, городском округе</w:t>
            </w:r>
          </w:p>
        </w:tc>
        <w:tc>
          <w:tcPr>
            <w:tcW w:w="1958" w:type="dxa"/>
            <w:tcBorders>
              <w:top w:val="nil"/>
              <w:left w:val="nil"/>
              <w:bottom w:val="single" w:sz="4" w:space="0" w:color="auto"/>
              <w:right w:val="single" w:sz="4" w:space="0" w:color="auto"/>
            </w:tcBorders>
            <w:shd w:val="clear" w:color="auto" w:fill="auto"/>
            <w:vAlign w:val="center"/>
            <w:hideMark/>
          </w:tcPr>
          <w:p w14:paraId="1368C616" w14:textId="261C1247" w:rsidR="000470FD" w:rsidRPr="000470FD" w:rsidRDefault="000470FD" w:rsidP="000470FD">
            <w:pPr>
              <w:ind w:firstLine="37"/>
            </w:pPr>
            <w:r w:rsidRPr="000470FD">
              <w:t>0,127609</w:t>
            </w:r>
          </w:p>
        </w:tc>
        <w:tc>
          <w:tcPr>
            <w:tcW w:w="1985" w:type="dxa"/>
            <w:tcBorders>
              <w:top w:val="nil"/>
              <w:left w:val="nil"/>
              <w:bottom w:val="single" w:sz="4" w:space="0" w:color="auto"/>
              <w:right w:val="single" w:sz="4" w:space="0" w:color="auto"/>
            </w:tcBorders>
            <w:shd w:val="clear" w:color="auto" w:fill="auto"/>
            <w:vAlign w:val="center"/>
            <w:hideMark/>
          </w:tcPr>
          <w:p w14:paraId="3583F2F0" w14:textId="7E0EF761" w:rsidR="000470FD" w:rsidRPr="000470FD" w:rsidRDefault="000470FD" w:rsidP="000470FD">
            <w:pPr>
              <w:ind w:firstLine="37"/>
            </w:pPr>
            <w:r w:rsidRPr="000470FD">
              <w:t>44458 - 101309</w:t>
            </w:r>
          </w:p>
        </w:tc>
        <w:tc>
          <w:tcPr>
            <w:tcW w:w="1701" w:type="dxa"/>
            <w:tcBorders>
              <w:top w:val="nil"/>
              <w:left w:val="nil"/>
              <w:bottom w:val="single" w:sz="4" w:space="0" w:color="auto"/>
              <w:right w:val="single" w:sz="4" w:space="0" w:color="auto"/>
            </w:tcBorders>
            <w:shd w:val="clear" w:color="auto" w:fill="auto"/>
            <w:noWrap/>
            <w:vAlign w:val="bottom"/>
            <w:hideMark/>
          </w:tcPr>
          <w:p w14:paraId="220BBCD4" w14:textId="77777777" w:rsidR="000470FD" w:rsidRPr="000470FD" w:rsidRDefault="000470FD" w:rsidP="000470FD">
            <w:pPr>
              <w:ind w:firstLine="37"/>
            </w:pPr>
            <w:r w:rsidRPr="000470FD">
              <w:t> </w:t>
            </w:r>
          </w:p>
        </w:tc>
      </w:tr>
      <w:tr w:rsidR="000470FD" w:rsidRPr="00727235" w14:paraId="05ADD1E0" w14:textId="77777777" w:rsidTr="00727235">
        <w:trPr>
          <w:trHeight w:val="315"/>
        </w:trPr>
        <w:tc>
          <w:tcPr>
            <w:tcW w:w="1134" w:type="dxa"/>
            <w:vMerge/>
            <w:tcBorders>
              <w:top w:val="nil"/>
              <w:left w:val="single" w:sz="4" w:space="0" w:color="auto"/>
              <w:bottom w:val="single" w:sz="4" w:space="0" w:color="auto"/>
              <w:right w:val="single" w:sz="4" w:space="0" w:color="auto"/>
            </w:tcBorders>
            <w:vAlign w:val="center"/>
            <w:hideMark/>
          </w:tcPr>
          <w:p w14:paraId="3DF17DBF" w14:textId="77777777" w:rsidR="000470FD" w:rsidRPr="000470FD" w:rsidRDefault="000470FD" w:rsidP="000470FD">
            <w:pPr>
              <w:ind w:firstLine="37"/>
              <w:rPr>
                <w:lang w:eastAsia="ru-RU"/>
              </w:rPr>
            </w:pPr>
          </w:p>
        </w:tc>
        <w:tc>
          <w:tcPr>
            <w:tcW w:w="2608" w:type="dxa"/>
            <w:vMerge/>
            <w:tcBorders>
              <w:top w:val="nil"/>
              <w:left w:val="single" w:sz="4" w:space="0" w:color="auto"/>
              <w:bottom w:val="single" w:sz="4" w:space="0" w:color="auto"/>
              <w:right w:val="single" w:sz="4" w:space="0" w:color="auto"/>
            </w:tcBorders>
            <w:vAlign w:val="center"/>
            <w:hideMark/>
          </w:tcPr>
          <w:p w14:paraId="7471DF9A" w14:textId="77777777" w:rsidR="000470FD" w:rsidRPr="000470FD" w:rsidRDefault="000470FD" w:rsidP="000470FD">
            <w:pPr>
              <w:ind w:firstLine="37"/>
              <w:rPr>
                <w:lang w:eastAsia="ru-RU"/>
              </w:rPr>
            </w:pPr>
          </w:p>
        </w:tc>
        <w:tc>
          <w:tcPr>
            <w:tcW w:w="2608" w:type="dxa"/>
            <w:vMerge/>
            <w:tcBorders>
              <w:top w:val="nil"/>
              <w:left w:val="single" w:sz="4" w:space="0" w:color="auto"/>
              <w:bottom w:val="single" w:sz="4" w:space="0" w:color="auto"/>
              <w:right w:val="single" w:sz="4" w:space="0" w:color="auto"/>
            </w:tcBorders>
            <w:vAlign w:val="center"/>
            <w:hideMark/>
          </w:tcPr>
          <w:p w14:paraId="4F9C0145" w14:textId="77777777" w:rsidR="000470FD" w:rsidRPr="000470FD" w:rsidRDefault="000470FD" w:rsidP="000470FD">
            <w:pPr>
              <w:ind w:firstLine="37"/>
              <w:rPr>
                <w:lang w:eastAsia="ru-RU"/>
              </w:rPr>
            </w:pPr>
          </w:p>
        </w:tc>
        <w:tc>
          <w:tcPr>
            <w:tcW w:w="2607" w:type="dxa"/>
            <w:tcBorders>
              <w:top w:val="nil"/>
              <w:left w:val="nil"/>
              <w:bottom w:val="single" w:sz="4" w:space="0" w:color="auto"/>
              <w:right w:val="single" w:sz="4" w:space="0" w:color="auto"/>
            </w:tcBorders>
            <w:shd w:val="clear" w:color="auto" w:fill="auto"/>
            <w:vAlign w:val="center"/>
            <w:hideMark/>
          </w:tcPr>
          <w:p w14:paraId="2EE98451" w14:textId="59EE5074" w:rsidR="000470FD" w:rsidRPr="000470FD" w:rsidRDefault="000470FD" w:rsidP="000470FD">
            <w:pPr>
              <w:ind w:firstLine="37"/>
            </w:pPr>
            <w:r w:rsidRPr="000470FD">
              <w:t>Физический износ_ЗП</w:t>
            </w:r>
          </w:p>
        </w:tc>
        <w:tc>
          <w:tcPr>
            <w:tcW w:w="1958" w:type="dxa"/>
            <w:tcBorders>
              <w:top w:val="nil"/>
              <w:left w:val="nil"/>
              <w:bottom w:val="single" w:sz="4" w:space="0" w:color="auto"/>
              <w:right w:val="single" w:sz="4" w:space="0" w:color="auto"/>
            </w:tcBorders>
            <w:shd w:val="clear" w:color="auto" w:fill="auto"/>
            <w:vAlign w:val="center"/>
            <w:hideMark/>
          </w:tcPr>
          <w:p w14:paraId="4F85DF82" w14:textId="31A93080" w:rsidR="000470FD" w:rsidRPr="000470FD" w:rsidRDefault="000470FD" w:rsidP="000470FD">
            <w:pPr>
              <w:ind w:firstLine="37"/>
            </w:pPr>
            <w:r w:rsidRPr="000470FD">
              <w:t>0,336125</w:t>
            </w:r>
          </w:p>
        </w:tc>
        <w:tc>
          <w:tcPr>
            <w:tcW w:w="1985" w:type="dxa"/>
            <w:tcBorders>
              <w:top w:val="nil"/>
              <w:left w:val="nil"/>
              <w:bottom w:val="single" w:sz="4" w:space="0" w:color="auto"/>
              <w:right w:val="single" w:sz="4" w:space="0" w:color="auto"/>
            </w:tcBorders>
            <w:shd w:val="clear" w:color="auto" w:fill="auto"/>
            <w:vAlign w:val="center"/>
            <w:hideMark/>
          </w:tcPr>
          <w:p w14:paraId="5DDC4E06" w14:textId="6AEBED87" w:rsidR="000470FD" w:rsidRPr="000470FD" w:rsidRDefault="000470FD" w:rsidP="000470FD">
            <w:pPr>
              <w:ind w:firstLine="37"/>
            </w:pPr>
            <w:r w:rsidRPr="000470FD">
              <w:t>0.01 - 0.81</w:t>
            </w:r>
          </w:p>
        </w:tc>
        <w:tc>
          <w:tcPr>
            <w:tcW w:w="1701" w:type="dxa"/>
            <w:tcBorders>
              <w:top w:val="nil"/>
              <w:left w:val="nil"/>
              <w:bottom w:val="single" w:sz="4" w:space="0" w:color="auto"/>
              <w:right w:val="single" w:sz="4" w:space="0" w:color="auto"/>
            </w:tcBorders>
            <w:shd w:val="clear" w:color="auto" w:fill="auto"/>
            <w:noWrap/>
            <w:vAlign w:val="bottom"/>
            <w:hideMark/>
          </w:tcPr>
          <w:p w14:paraId="67AA272D" w14:textId="77777777" w:rsidR="000470FD" w:rsidRPr="000470FD" w:rsidRDefault="000470FD" w:rsidP="000470FD">
            <w:pPr>
              <w:ind w:firstLine="37"/>
            </w:pPr>
            <w:r w:rsidRPr="000470FD">
              <w:t> </w:t>
            </w:r>
          </w:p>
        </w:tc>
      </w:tr>
      <w:tr w:rsidR="000470FD" w:rsidRPr="00727235" w14:paraId="383EF8A3" w14:textId="77777777" w:rsidTr="00727235">
        <w:trPr>
          <w:trHeight w:val="315"/>
        </w:trPr>
        <w:tc>
          <w:tcPr>
            <w:tcW w:w="1134" w:type="dxa"/>
            <w:vMerge/>
            <w:tcBorders>
              <w:top w:val="nil"/>
              <w:left w:val="single" w:sz="4" w:space="0" w:color="auto"/>
              <w:bottom w:val="single" w:sz="4" w:space="0" w:color="auto"/>
              <w:right w:val="single" w:sz="4" w:space="0" w:color="auto"/>
            </w:tcBorders>
            <w:vAlign w:val="center"/>
            <w:hideMark/>
          </w:tcPr>
          <w:p w14:paraId="785940C2" w14:textId="77777777" w:rsidR="000470FD" w:rsidRPr="000470FD" w:rsidRDefault="000470FD" w:rsidP="000470FD">
            <w:pPr>
              <w:ind w:firstLine="37"/>
              <w:rPr>
                <w:lang w:eastAsia="ru-RU"/>
              </w:rPr>
            </w:pPr>
          </w:p>
        </w:tc>
        <w:tc>
          <w:tcPr>
            <w:tcW w:w="2608" w:type="dxa"/>
            <w:vMerge/>
            <w:tcBorders>
              <w:top w:val="nil"/>
              <w:left w:val="single" w:sz="4" w:space="0" w:color="auto"/>
              <w:bottom w:val="single" w:sz="4" w:space="0" w:color="auto"/>
              <w:right w:val="single" w:sz="4" w:space="0" w:color="auto"/>
            </w:tcBorders>
            <w:vAlign w:val="center"/>
            <w:hideMark/>
          </w:tcPr>
          <w:p w14:paraId="13165022" w14:textId="77777777" w:rsidR="000470FD" w:rsidRPr="000470FD" w:rsidRDefault="000470FD" w:rsidP="000470FD">
            <w:pPr>
              <w:ind w:firstLine="37"/>
              <w:rPr>
                <w:lang w:eastAsia="ru-RU"/>
              </w:rPr>
            </w:pPr>
          </w:p>
        </w:tc>
        <w:tc>
          <w:tcPr>
            <w:tcW w:w="2608" w:type="dxa"/>
            <w:vMerge/>
            <w:tcBorders>
              <w:top w:val="nil"/>
              <w:left w:val="single" w:sz="4" w:space="0" w:color="auto"/>
              <w:bottom w:val="single" w:sz="4" w:space="0" w:color="auto"/>
              <w:right w:val="single" w:sz="4" w:space="0" w:color="auto"/>
            </w:tcBorders>
            <w:vAlign w:val="center"/>
            <w:hideMark/>
          </w:tcPr>
          <w:p w14:paraId="5A0CF35B" w14:textId="77777777" w:rsidR="000470FD" w:rsidRPr="000470FD" w:rsidRDefault="000470FD" w:rsidP="000470FD">
            <w:pPr>
              <w:ind w:firstLine="37"/>
              <w:rPr>
                <w:lang w:eastAsia="ru-RU"/>
              </w:rPr>
            </w:pPr>
          </w:p>
        </w:tc>
        <w:tc>
          <w:tcPr>
            <w:tcW w:w="2607" w:type="dxa"/>
            <w:tcBorders>
              <w:top w:val="nil"/>
              <w:left w:val="nil"/>
              <w:bottom w:val="single" w:sz="4" w:space="0" w:color="auto"/>
              <w:right w:val="single" w:sz="4" w:space="0" w:color="auto"/>
            </w:tcBorders>
            <w:shd w:val="clear" w:color="auto" w:fill="auto"/>
            <w:vAlign w:val="center"/>
            <w:hideMark/>
          </w:tcPr>
          <w:p w14:paraId="3DE0BD14" w14:textId="57F2F449" w:rsidR="000470FD" w:rsidRPr="005376A2" w:rsidRDefault="000470FD" w:rsidP="000470FD">
            <w:pPr>
              <w:ind w:firstLine="37"/>
              <w:rPr>
                <w:szCs w:val="24"/>
              </w:rPr>
            </w:pPr>
            <w:r w:rsidRPr="005376A2">
              <w:rPr>
                <w:i/>
                <w:iCs/>
                <w:szCs w:val="24"/>
              </w:rPr>
              <w:t>Свободный член</w:t>
            </w:r>
          </w:p>
        </w:tc>
        <w:tc>
          <w:tcPr>
            <w:tcW w:w="1958" w:type="dxa"/>
            <w:tcBorders>
              <w:top w:val="nil"/>
              <w:left w:val="nil"/>
              <w:bottom w:val="single" w:sz="4" w:space="0" w:color="auto"/>
              <w:right w:val="single" w:sz="4" w:space="0" w:color="auto"/>
            </w:tcBorders>
            <w:shd w:val="clear" w:color="auto" w:fill="auto"/>
            <w:vAlign w:val="center"/>
            <w:hideMark/>
          </w:tcPr>
          <w:p w14:paraId="71C28BFE" w14:textId="7643E730" w:rsidR="000470FD" w:rsidRPr="000470FD" w:rsidRDefault="000470FD" w:rsidP="000470FD">
            <w:pPr>
              <w:ind w:firstLine="37"/>
            </w:pPr>
            <w:r w:rsidRPr="000470FD">
              <w:t>3,74379e+008</w:t>
            </w:r>
          </w:p>
        </w:tc>
        <w:tc>
          <w:tcPr>
            <w:tcW w:w="1985" w:type="dxa"/>
            <w:tcBorders>
              <w:top w:val="nil"/>
              <w:left w:val="nil"/>
              <w:bottom w:val="single" w:sz="4" w:space="0" w:color="auto"/>
              <w:right w:val="single" w:sz="4" w:space="0" w:color="auto"/>
            </w:tcBorders>
            <w:shd w:val="clear" w:color="auto" w:fill="auto"/>
            <w:noWrap/>
            <w:vAlign w:val="bottom"/>
            <w:hideMark/>
          </w:tcPr>
          <w:p w14:paraId="4F818669" w14:textId="47AAC52B" w:rsidR="000470FD" w:rsidRPr="000470FD" w:rsidRDefault="000470FD" w:rsidP="000470FD">
            <w:pPr>
              <w:ind w:firstLine="37"/>
            </w:pPr>
            <w:r w:rsidRPr="000470FD">
              <w:t> </w:t>
            </w:r>
          </w:p>
        </w:tc>
        <w:tc>
          <w:tcPr>
            <w:tcW w:w="1701" w:type="dxa"/>
            <w:tcBorders>
              <w:top w:val="nil"/>
              <w:left w:val="nil"/>
              <w:bottom w:val="single" w:sz="4" w:space="0" w:color="auto"/>
              <w:right w:val="single" w:sz="4" w:space="0" w:color="auto"/>
            </w:tcBorders>
            <w:shd w:val="clear" w:color="auto" w:fill="auto"/>
            <w:noWrap/>
            <w:vAlign w:val="bottom"/>
            <w:hideMark/>
          </w:tcPr>
          <w:p w14:paraId="370E3CCB" w14:textId="77777777" w:rsidR="000470FD" w:rsidRPr="000470FD" w:rsidRDefault="000470FD" w:rsidP="000470FD">
            <w:pPr>
              <w:ind w:firstLine="37"/>
            </w:pPr>
            <w:r w:rsidRPr="000470FD">
              <w:t> </w:t>
            </w:r>
          </w:p>
        </w:tc>
      </w:tr>
    </w:tbl>
    <w:p w14:paraId="71837002" w14:textId="77777777" w:rsidR="00727235" w:rsidRPr="00727235" w:rsidRDefault="00727235" w:rsidP="00727235">
      <w:pPr>
        <w:rPr>
          <w:lang w:eastAsia="ru-RU"/>
        </w:rPr>
        <w:sectPr w:rsidR="00727235" w:rsidRPr="00727235" w:rsidSect="00727235">
          <w:headerReference w:type="default" r:id="rId295"/>
          <w:footerReference w:type="first" r:id="rId296"/>
          <w:pgSz w:w="16838" w:h="11906" w:orient="landscape"/>
          <w:pgMar w:top="1701" w:right="1134" w:bottom="850" w:left="1134" w:header="708" w:footer="708" w:gutter="0"/>
          <w:cols w:space="708"/>
          <w:docGrid w:linePitch="360"/>
        </w:sectPr>
      </w:pPr>
    </w:p>
    <w:p w14:paraId="5A6CDE48" w14:textId="77777777" w:rsidR="00727235" w:rsidRPr="004F3111" w:rsidRDefault="00727235" w:rsidP="00727235">
      <w:pPr>
        <w:rPr>
          <w:b/>
        </w:rPr>
      </w:pPr>
      <w:r w:rsidRPr="004F3111">
        <w:rPr>
          <w:b/>
        </w:rPr>
        <w:t>Группа 2 «Дома малоэтажной жилой застройки, в том числе индивидуальной жилой застройки - индивидуальные, малоэтажные блокированные (таунхаусы)»</w:t>
      </w:r>
    </w:p>
    <w:p w14:paraId="1D985D2E" w14:textId="77777777" w:rsidR="00727235" w:rsidRPr="00727235" w:rsidRDefault="00727235" w:rsidP="00727235">
      <w:r w:rsidRPr="00727235">
        <w:t xml:space="preserve">В рамках проведения работ в </w:t>
      </w:r>
      <w:r w:rsidRPr="00727235">
        <w:rPr>
          <w:lang w:eastAsia="ru-RU"/>
        </w:rPr>
        <w:t>составе подгруппы 0205 «Малоэтажная многоквартирная жилая застройка» Группы 2 «Дома малоэтажной жилой застройки, в том числе индивидуальной жилой застройки - индивидуальные, малоэтажные блокированные (таунхаусы), дачных объединений, садоводческих товариществ»</w:t>
      </w:r>
      <w:r w:rsidRPr="00727235">
        <w:t xml:space="preserve"> для целей моделирования выделена 1 подгруппа объектов оценки, в т.ч.: </w:t>
      </w:r>
    </w:p>
    <w:p w14:paraId="793B6C33" w14:textId="395CFD0E" w:rsidR="00727235" w:rsidRPr="00727235" w:rsidRDefault="00727235" w:rsidP="00727235">
      <w:r w:rsidRPr="00727235">
        <w:t xml:space="preserve">подгруппа </w:t>
      </w:r>
      <w:r w:rsidR="004F3111">
        <w:t>2.10</w:t>
      </w:r>
      <w:r w:rsidRPr="00727235">
        <w:t xml:space="preserve"> «</w:t>
      </w:r>
      <w:r w:rsidRPr="00727235">
        <w:rPr>
          <w:lang w:eastAsia="ru-RU"/>
        </w:rPr>
        <w:t>Помещения в г.Якутске</w:t>
      </w:r>
      <w:r w:rsidR="004F3111">
        <w:rPr>
          <w:lang w:eastAsia="ru-RU"/>
        </w:rPr>
        <w:t xml:space="preserve"> с полными характеристиками</w:t>
      </w:r>
      <w:r w:rsidRPr="00727235">
        <w:t>»,</w:t>
      </w:r>
    </w:p>
    <w:p w14:paraId="77B2CD18" w14:textId="77777777" w:rsidR="00727235" w:rsidRPr="00727235" w:rsidRDefault="00727235" w:rsidP="00727235">
      <w:pPr>
        <w:rPr>
          <w:highlight w:val="yellow"/>
        </w:rPr>
      </w:pPr>
      <w:r w:rsidRPr="00727235">
        <w:t>Кадастровая стоимость объектов недвижимости в составе данных подгрупп определялась в соответствии с пп. 7.2.1 Методических указаний.</w:t>
      </w:r>
    </w:p>
    <w:p w14:paraId="21731991" w14:textId="77777777" w:rsidR="00727235" w:rsidRPr="00727235" w:rsidRDefault="00727235" w:rsidP="00727235">
      <w:r w:rsidRPr="00727235">
        <w:t>Для целей построения статистической моделей произведен выбор ценообразующих факторов, исходя из критериев, описанных в данном пункте Отчета выше. Обоснование использования ценообразующих факторов в статистической модели оценки объектов недвижимости приведено в нижеуказанной таблице.</w:t>
      </w:r>
    </w:p>
    <w:p w14:paraId="57A88F4A" w14:textId="77777777" w:rsidR="00727235" w:rsidRPr="00727235" w:rsidRDefault="00727235" w:rsidP="00727235"/>
    <w:p w14:paraId="788DEBE3" w14:textId="63DDDB30" w:rsidR="00727235" w:rsidRPr="00A636A1" w:rsidRDefault="00727235" w:rsidP="00727235">
      <w:pPr>
        <w:rPr>
          <w:lang w:eastAsia="ru-RU"/>
        </w:rPr>
      </w:pPr>
      <w:r w:rsidRPr="00727235">
        <w:rPr>
          <w:lang w:eastAsia="ru-RU"/>
        </w:rPr>
        <w:t xml:space="preserve">Таблица </w:t>
      </w:r>
      <w:r w:rsidRPr="00727235">
        <w:rPr>
          <w:lang w:eastAsia="ru-RU"/>
        </w:rPr>
        <w:fldChar w:fldCharType="begin"/>
      </w:r>
      <w:r w:rsidRPr="00727235">
        <w:rPr>
          <w:lang w:eastAsia="ru-RU"/>
        </w:rPr>
        <w:instrText xml:space="preserve"> SEQ Таблица \* ARABIC </w:instrText>
      </w:r>
      <w:r w:rsidRPr="00727235">
        <w:rPr>
          <w:lang w:eastAsia="ru-RU"/>
        </w:rPr>
        <w:fldChar w:fldCharType="separate"/>
      </w:r>
      <w:r w:rsidR="00FD2769">
        <w:rPr>
          <w:noProof/>
          <w:lang w:eastAsia="ru-RU"/>
        </w:rPr>
        <w:t>62</w:t>
      </w:r>
      <w:r w:rsidRPr="00727235">
        <w:rPr>
          <w:lang w:eastAsia="ru-RU"/>
        </w:rPr>
        <w:fldChar w:fldCharType="end"/>
      </w:r>
      <w:r w:rsidRPr="00727235">
        <w:rPr>
          <w:lang w:eastAsia="ru-RU"/>
        </w:rPr>
        <w:t xml:space="preserve"> </w:t>
      </w:r>
      <w:r w:rsidR="00A636A1" w:rsidRPr="00A636A1">
        <w:rPr>
          <w:rFonts w:eastAsia="Times New Roman" w:cs="Times New Roman"/>
          <w:bCs/>
          <w:color w:val="000000"/>
          <w:szCs w:val="24"/>
          <w:lang w:eastAsia="ru-RU"/>
        </w:rPr>
        <w:t>Факторы стоимости, выбранные для построения моделей группы "2. Дома малоэтажной жилой застройки, в том числе ИЖС и СОД", подгруппа "</w:t>
      </w:r>
      <w:r w:rsidR="000470FD">
        <w:rPr>
          <w:rFonts w:eastAsia="Times New Roman" w:cs="Times New Roman"/>
          <w:bCs/>
          <w:color w:val="000000"/>
          <w:szCs w:val="24"/>
          <w:lang w:eastAsia="ru-RU"/>
        </w:rPr>
        <w:t>МКД Помещения г.Якутск с п/х 2.10.</w:t>
      </w:r>
      <w:r w:rsidR="00A636A1" w:rsidRPr="00A636A1">
        <w:rPr>
          <w:rFonts w:eastAsia="Times New Roman" w:cs="Times New Roman"/>
          <w:bCs/>
          <w:color w:val="000000"/>
          <w:szCs w:val="24"/>
          <w:lang w:eastAsia="ru-RU"/>
        </w:rPr>
        <w:t>". Тип расчета: по удельной стоимости.</w:t>
      </w:r>
    </w:p>
    <w:tbl>
      <w:tblPr>
        <w:tblW w:w="5000" w:type="pct"/>
        <w:tblLook w:val="04A0" w:firstRow="1" w:lastRow="0" w:firstColumn="1" w:lastColumn="0" w:noHBand="0" w:noVBand="1"/>
      </w:tblPr>
      <w:tblGrid>
        <w:gridCol w:w="540"/>
        <w:gridCol w:w="2958"/>
        <w:gridCol w:w="1636"/>
        <w:gridCol w:w="1637"/>
        <w:gridCol w:w="1773"/>
        <w:gridCol w:w="6016"/>
      </w:tblGrid>
      <w:tr w:rsidR="00A636A1" w:rsidRPr="00A636A1" w14:paraId="0706AFE5" w14:textId="77777777" w:rsidTr="00DB758B">
        <w:trPr>
          <w:trHeight w:val="1560"/>
          <w:tblHeader/>
        </w:trPr>
        <w:tc>
          <w:tcPr>
            <w:tcW w:w="185"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56E441BA" w14:textId="77777777" w:rsidR="00A636A1" w:rsidRPr="00A636A1" w:rsidRDefault="00A636A1" w:rsidP="00A636A1">
            <w:pPr>
              <w:ind w:firstLine="0"/>
              <w:jc w:val="center"/>
              <w:rPr>
                <w:rFonts w:eastAsia="Times New Roman" w:cs="Times New Roman"/>
                <w:color w:val="000000"/>
                <w:szCs w:val="24"/>
                <w:lang w:eastAsia="ru-RU"/>
              </w:rPr>
            </w:pPr>
            <w:r w:rsidRPr="00A636A1">
              <w:rPr>
                <w:rFonts w:eastAsia="Times New Roman" w:cs="Times New Roman"/>
                <w:color w:val="000000"/>
                <w:szCs w:val="24"/>
                <w:lang w:eastAsia="ru-RU"/>
              </w:rPr>
              <w:t>№ п/п</w:t>
            </w:r>
          </w:p>
        </w:tc>
        <w:tc>
          <w:tcPr>
            <w:tcW w:w="1016" w:type="pct"/>
            <w:tcBorders>
              <w:top w:val="single" w:sz="4" w:space="0" w:color="000000"/>
              <w:left w:val="nil"/>
              <w:bottom w:val="single" w:sz="4" w:space="0" w:color="000000"/>
              <w:right w:val="single" w:sz="4" w:space="0" w:color="000000"/>
            </w:tcBorders>
            <w:shd w:val="clear" w:color="auto" w:fill="auto"/>
            <w:vAlign w:val="center"/>
            <w:hideMark/>
          </w:tcPr>
          <w:p w14:paraId="0DBA5F7B" w14:textId="77777777" w:rsidR="00A636A1" w:rsidRPr="00A636A1" w:rsidRDefault="00A636A1" w:rsidP="00A636A1">
            <w:pPr>
              <w:ind w:firstLine="0"/>
              <w:jc w:val="center"/>
              <w:rPr>
                <w:rFonts w:eastAsia="Times New Roman" w:cs="Times New Roman"/>
                <w:color w:val="000000"/>
                <w:szCs w:val="24"/>
                <w:lang w:eastAsia="ru-RU"/>
              </w:rPr>
            </w:pPr>
            <w:r w:rsidRPr="00A636A1">
              <w:rPr>
                <w:rFonts w:eastAsia="Times New Roman" w:cs="Times New Roman"/>
                <w:color w:val="000000"/>
                <w:szCs w:val="24"/>
                <w:lang w:eastAsia="ru-RU"/>
              </w:rPr>
              <w:t>Наименование фактора стоимости</w:t>
            </w:r>
          </w:p>
        </w:tc>
        <w:tc>
          <w:tcPr>
            <w:tcW w:w="562" w:type="pct"/>
            <w:tcBorders>
              <w:top w:val="single" w:sz="4" w:space="0" w:color="000000"/>
              <w:left w:val="nil"/>
              <w:bottom w:val="single" w:sz="4" w:space="0" w:color="000000"/>
              <w:right w:val="single" w:sz="4" w:space="0" w:color="000000"/>
            </w:tcBorders>
            <w:shd w:val="clear" w:color="auto" w:fill="auto"/>
            <w:vAlign w:val="center"/>
            <w:hideMark/>
          </w:tcPr>
          <w:p w14:paraId="41ED9C2B" w14:textId="77777777" w:rsidR="00A636A1" w:rsidRPr="00A636A1" w:rsidRDefault="00A636A1" w:rsidP="00A636A1">
            <w:pPr>
              <w:ind w:firstLine="0"/>
              <w:jc w:val="center"/>
              <w:rPr>
                <w:rFonts w:eastAsia="Times New Roman" w:cs="Times New Roman"/>
                <w:color w:val="000000"/>
                <w:szCs w:val="24"/>
                <w:lang w:eastAsia="ru-RU"/>
              </w:rPr>
            </w:pPr>
            <w:r w:rsidRPr="00A636A1">
              <w:rPr>
                <w:rFonts w:eastAsia="Times New Roman" w:cs="Times New Roman"/>
                <w:color w:val="000000"/>
                <w:szCs w:val="24"/>
                <w:lang w:eastAsia="ru-RU"/>
              </w:rPr>
              <w:t>Коэффициент корреляции, r</w:t>
            </w:r>
          </w:p>
        </w:tc>
        <w:tc>
          <w:tcPr>
            <w:tcW w:w="562" w:type="pct"/>
            <w:tcBorders>
              <w:top w:val="single" w:sz="4" w:space="0" w:color="000000"/>
              <w:left w:val="nil"/>
              <w:bottom w:val="single" w:sz="4" w:space="0" w:color="000000"/>
              <w:right w:val="single" w:sz="4" w:space="0" w:color="000000"/>
            </w:tcBorders>
            <w:shd w:val="clear" w:color="auto" w:fill="auto"/>
            <w:vAlign w:val="center"/>
            <w:hideMark/>
          </w:tcPr>
          <w:p w14:paraId="538CF716" w14:textId="77777777" w:rsidR="00A636A1" w:rsidRPr="00A636A1" w:rsidRDefault="00A636A1" w:rsidP="00A636A1">
            <w:pPr>
              <w:ind w:firstLine="0"/>
              <w:jc w:val="center"/>
              <w:rPr>
                <w:rFonts w:eastAsia="Times New Roman" w:cs="Times New Roman"/>
                <w:color w:val="000000"/>
                <w:szCs w:val="24"/>
                <w:lang w:eastAsia="ru-RU"/>
              </w:rPr>
            </w:pPr>
            <w:r w:rsidRPr="00A636A1">
              <w:rPr>
                <w:rFonts w:eastAsia="Times New Roman" w:cs="Times New Roman"/>
                <w:color w:val="000000"/>
                <w:szCs w:val="24"/>
                <w:lang w:eastAsia="ru-RU"/>
              </w:rPr>
              <w:t>Коэффициент значимости, R</w:t>
            </w:r>
          </w:p>
        </w:tc>
        <w:tc>
          <w:tcPr>
            <w:tcW w:w="609" w:type="pct"/>
            <w:tcBorders>
              <w:top w:val="single" w:sz="4" w:space="0" w:color="000000"/>
              <w:left w:val="nil"/>
              <w:bottom w:val="single" w:sz="4" w:space="0" w:color="000000"/>
              <w:right w:val="single" w:sz="4" w:space="0" w:color="000000"/>
            </w:tcBorders>
            <w:shd w:val="clear" w:color="auto" w:fill="auto"/>
            <w:vAlign w:val="center"/>
            <w:hideMark/>
          </w:tcPr>
          <w:p w14:paraId="61EFDC2F" w14:textId="77777777" w:rsidR="00A636A1" w:rsidRPr="00A636A1" w:rsidRDefault="00A636A1" w:rsidP="00A636A1">
            <w:pPr>
              <w:ind w:firstLine="0"/>
              <w:jc w:val="center"/>
              <w:rPr>
                <w:rFonts w:eastAsia="Times New Roman" w:cs="Times New Roman"/>
                <w:color w:val="000000"/>
                <w:szCs w:val="24"/>
                <w:lang w:eastAsia="ru-RU"/>
              </w:rPr>
            </w:pPr>
            <w:r w:rsidRPr="00A636A1">
              <w:rPr>
                <w:rFonts w:eastAsia="Times New Roman" w:cs="Times New Roman"/>
                <w:color w:val="000000"/>
                <w:szCs w:val="24"/>
                <w:lang w:eastAsia="ru-RU"/>
              </w:rPr>
              <w:t>Использование фактора для построения модели (да/нет)</w:t>
            </w:r>
          </w:p>
        </w:tc>
        <w:tc>
          <w:tcPr>
            <w:tcW w:w="2066" w:type="pct"/>
            <w:tcBorders>
              <w:top w:val="single" w:sz="4" w:space="0" w:color="000000"/>
              <w:left w:val="nil"/>
              <w:bottom w:val="single" w:sz="4" w:space="0" w:color="000000"/>
              <w:right w:val="single" w:sz="4" w:space="0" w:color="000000"/>
            </w:tcBorders>
            <w:shd w:val="clear" w:color="auto" w:fill="auto"/>
            <w:vAlign w:val="center"/>
            <w:hideMark/>
          </w:tcPr>
          <w:p w14:paraId="49DEE512" w14:textId="77777777" w:rsidR="00A636A1" w:rsidRPr="00A636A1" w:rsidRDefault="00A636A1" w:rsidP="00A636A1">
            <w:pPr>
              <w:ind w:firstLine="0"/>
              <w:jc w:val="center"/>
              <w:rPr>
                <w:rFonts w:eastAsia="Times New Roman" w:cs="Times New Roman"/>
                <w:color w:val="000000"/>
                <w:szCs w:val="24"/>
                <w:lang w:eastAsia="ru-RU"/>
              </w:rPr>
            </w:pPr>
            <w:r w:rsidRPr="00A636A1">
              <w:rPr>
                <w:rFonts w:eastAsia="Times New Roman" w:cs="Times New Roman"/>
                <w:color w:val="000000"/>
                <w:szCs w:val="24"/>
                <w:lang w:eastAsia="ru-RU"/>
              </w:rPr>
              <w:t>Пояснения по применению ценообразующего фактора для построения модели</w:t>
            </w:r>
          </w:p>
        </w:tc>
      </w:tr>
      <w:tr w:rsidR="00A636A1" w:rsidRPr="00A636A1" w14:paraId="74690F34" w14:textId="77777777" w:rsidTr="00DB758B">
        <w:trPr>
          <w:trHeight w:val="360"/>
        </w:trPr>
        <w:tc>
          <w:tcPr>
            <w:tcW w:w="185" w:type="pct"/>
            <w:tcBorders>
              <w:top w:val="nil"/>
              <w:left w:val="single" w:sz="4" w:space="0" w:color="000000"/>
              <w:bottom w:val="single" w:sz="4" w:space="0" w:color="000000"/>
              <w:right w:val="single" w:sz="4" w:space="0" w:color="000000"/>
            </w:tcBorders>
            <w:shd w:val="clear" w:color="auto" w:fill="auto"/>
            <w:vAlign w:val="center"/>
            <w:hideMark/>
          </w:tcPr>
          <w:p w14:paraId="26969B31" w14:textId="77777777" w:rsidR="00A636A1" w:rsidRPr="00A636A1" w:rsidRDefault="00A636A1" w:rsidP="00A636A1">
            <w:pPr>
              <w:ind w:firstLine="0"/>
              <w:jc w:val="center"/>
              <w:rPr>
                <w:rFonts w:eastAsia="Times New Roman" w:cs="Times New Roman"/>
                <w:color w:val="000000"/>
                <w:szCs w:val="24"/>
                <w:lang w:eastAsia="ru-RU"/>
              </w:rPr>
            </w:pPr>
            <w:r w:rsidRPr="00A636A1">
              <w:rPr>
                <w:rFonts w:eastAsia="Times New Roman" w:cs="Times New Roman"/>
                <w:color w:val="000000"/>
                <w:szCs w:val="24"/>
                <w:lang w:eastAsia="ru-RU"/>
              </w:rPr>
              <w:t>1</w:t>
            </w:r>
          </w:p>
        </w:tc>
        <w:tc>
          <w:tcPr>
            <w:tcW w:w="1016" w:type="pct"/>
            <w:tcBorders>
              <w:top w:val="nil"/>
              <w:left w:val="nil"/>
              <w:bottom w:val="single" w:sz="4" w:space="0" w:color="000000"/>
              <w:right w:val="single" w:sz="4" w:space="0" w:color="000000"/>
            </w:tcBorders>
            <w:shd w:val="clear" w:color="auto" w:fill="auto"/>
            <w:vAlign w:val="center"/>
            <w:hideMark/>
          </w:tcPr>
          <w:p w14:paraId="7ACC66B6" w14:textId="77777777" w:rsidR="00A636A1" w:rsidRPr="00A636A1" w:rsidRDefault="00A636A1" w:rsidP="00A636A1">
            <w:pPr>
              <w:ind w:firstLine="0"/>
              <w:jc w:val="center"/>
              <w:rPr>
                <w:rFonts w:eastAsia="Times New Roman" w:cs="Times New Roman"/>
                <w:color w:val="000000"/>
                <w:szCs w:val="24"/>
                <w:lang w:eastAsia="ru-RU"/>
              </w:rPr>
            </w:pPr>
            <w:r w:rsidRPr="00A636A1">
              <w:rPr>
                <w:rFonts w:eastAsia="Times New Roman" w:cs="Times New Roman"/>
                <w:color w:val="000000"/>
                <w:szCs w:val="24"/>
                <w:lang w:eastAsia="ru-RU"/>
              </w:rPr>
              <w:t>2</w:t>
            </w:r>
          </w:p>
        </w:tc>
        <w:tc>
          <w:tcPr>
            <w:tcW w:w="562" w:type="pct"/>
            <w:tcBorders>
              <w:top w:val="nil"/>
              <w:left w:val="nil"/>
              <w:bottom w:val="single" w:sz="4" w:space="0" w:color="000000"/>
              <w:right w:val="single" w:sz="4" w:space="0" w:color="000000"/>
            </w:tcBorders>
            <w:shd w:val="clear" w:color="auto" w:fill="auto"/>
            <w:vAlign w:val="center"/>
            <w:hideMark/>
          </w:tcPr>
          <w:p w14:paraId="0E8D5200" w14:textId="77777777" w:rsidR="00A636A1" w:rsidRPr="00A636A1" w:rsidRDefault="00A636A1" w:rsidP="00A636A1">
            <w:pPr>
              <w:ind w:firstLine="0"/>
              <w:jc w:val="center"/>
              <w:rPr>
                <w:rFonts w:eastAsia="Times New Roman" w:cs="Times New Roman"/>
                <w:color w:val="000000"/>
                <w:szCs w:val="24"/>
                <w:lang w:eastAsia="ru-RU"/>
              </w:rPr>
            </w:pPr>
            <w:r w:rsidRPr="00A636A1">
              <w:rPr>
                <w:rFonts w:eastAsia="Times New Roman" w:cs="Times New Roman"/>
                <w:color w:val="000000"/>
                <w:szCs w:val="24"/>
                <w:lang w:eastAsia="ru-RU"/>
              </w:rPr>
              <w:t>3</w:t>
            </w:r>
          </w:p>
        </w:tc>
        <w:tc>
          <w:tcPr>
            <w:tcW w:w="562" w:type="pct"/>
            <w:tcBorders>
              <w:top w:val="nil"/>
              <w:left w:val="nil"/>
              <w:bottom w:val="single" w:sz="4" w:space="0" w:color="000000"/>
              <w:right w:val="single" w:sz="4" w:space="0" w:color="000000"/>
            </w:tcBorders>
            <w:shd w:val="clear" w:color="auto" w:fill="auto"/>
            <w:vAlign w:val="center"/>
            <w:hideMark/>
          </w:tcPr>
          <w:p w14:paraId="5E8F8378" w14:textId="77777777" w:rsidR="00A636A1" w:rsidRPr="00A636A1" w:rsidRDefault="00A636A1" w:rsidP="00A636A1">
            <w:pPr>
              <w:ind w:firstLine="0"/>
              <w:jc w:val="center"/>
              <w:rPr>
                <w:rFonts w:eastAsia="Times New Roman" w:cs="Times New Roman"/>
                <w:color w:val="000000"/>
                <w:szCs w:val="24"/>
                <w:lang w:eastAsia="ru-RU"/>
              </w:rPr>
            </w:pPr>
            <w:r w:rsidRPr="00A636A1">
              <w:rPr>
                <w:rFonts w:eastAsia="Times New Roman" w:cs="Times New Roman"/>
                <w:color w:val="000000"/>
                <w:szCs w:val="24"/>
                <w:lang w:eastAsia="ru-RU"/>
              </w:rPr>
              <w:t>4</w:t>
            </w:r>
          </w:p>
        </w:tc>
        <w:tc>
          <w:tcPr>
            <w:tcW w:w="609" w:type="pct"/>
            <w:tcBorders>
              <w:top w:val="nil"/>
              <w:left w:val="nil"/>
              <w:bottom w:val="single" w:sz="4" w:space="0" w:color="000000"/>
              <w:right w:val="single" w:sz="4" w:space="0" w:color="000000"/>
            </w:tcBorders>
            <w:shd w:val="clear" w:color="auto" w:fill="auto"/>
            <w:vAlign w:val="center"/>
            <w:hideMark/>
          </w:tcPr>
          <w:p w14:paraId="42B378A5" w14:textId="77777777" w:rsidR="00A636A1" w:rsidRPr="00A636A1" w:rsidRDefault="00A636A1" w:rsidP="00A636A1">
            <w:pPr>
              <w:ind w:firstLine="0"/>
              <w:jc w:val="center"/>
              <w:rPr>
                <w:rFonts w:eastAsia="Times New Roman" w:cs="Times New Roman"/>
                <w:color w:val="000000"/>
                <w:szCs w:val="24"/>
                <w:lang w:eastAsia="ru-RU"/>
              </w:rPr>
            </w:pPr>
            <w:r w:rsidRPr="00A636A1">
              <w:rPr>
                <w:rFonts w:eastAsia="Times New Roman" w:cs="Times New Roman"/>
                <w:color w:val="000000"/>
                <w:szCs w:val="24"/>
                <w:lang w:eastAsia="ru-RU"/>
              </w:rPr>
              <w:t>5</w:t>
            </w:r>
          </w:p>
        </w:tc>
        <w:tc>
          <w:tcPr>
            <w:tcW w:w="2066" w:type="pct"/>
            <w:tcBorders>
              <w:top w:val="nil"/>
              <w:left w:val="nil"/>
              <w:bottom w:val="single" w:sz="4" w:space="0" w:color="000000"/>
              <w:right w:val="single" w:sz="4" w:space="0" w:color="000000"/>
            </w:tcBorders>
            <w:shd w:val="clear" w:color="auto" w:fill="auto"/>
            <w:vAlign w:val="center"/>
            <w:hideMark/>
          </w:tcPr>
          <w:p w14:paraId="7A283AEA" w14:textId="77777777" w:rsidR="00A636A1" w:rsidRPr="00A636A1" w:rsidRDefault="00A636A1" w:rsidP="00A636A1">
            <w:pPr>
              <w:ind w:firstLine="0"/>
              <w:jc w:val="center"/>
              <w:rPr>
                <w:rFonts w:eastAsia="Times New Roman" w:cs="Times New Roman"/>
                <w:color w:val="000000"/>
                <w:szCs w:val="24"/>
                <w:lang w:eastAsia="ru-RU"/>
              </w:rPr>
            </w:pPr>
            <w:r w:rsidRPr="00A636A1">
              <w:rPr>
                <w:rFonts w:eastAsia="Times New Roman" w:cs="Times New Roman"/>
                <w:color w:val="000000"/>
                <w:szCs w:val="24"/>
                <w:lang w:eastAsia="ru-RU"/>
              </w:rPr>
              <w:t>6</w:t>
            </w:r>
          </w:p>
        </w:tc>
      </w:tr>
      <w:tr w:rsidR="00DB758B" w:rsidRPr="00A636A1" w14:paraId="1F1B7AA5" w14:textId="77777777" w:rsidTr="00DB758B">
        <w:trPr>
          <w:trHeight w:val="630"/>
        </w:trPr>
        <w:tc>
          <w:tcPr>
            <w:tcW w:w="185" w:type="pct"/>
            <w:tcBorders>
              <w:top w:val="nil"/>
              <w:left w:val="single" w:sz="4" w:space="0" w:color="000000"/>
              <w:bottom w:val="single" w:sz="4" w:space="0" w:color="000000"/>
              <w:right w:val="single" w:sz="4" w:space="0" w:color="000000"/>
            </w:tcBorders>
            <w:shd w:val="clear" w:color="auto" w:fill="auto"/>
            <w:vAlign w:val="center"/>
            <w:hideMark/>
          </w:tcPr>
          <w:p w14:paraId="7D7922D1" w14:textId="77777777" w:rsidR="00DB758B" w:rsidRPr="00A636A1" w:rsidRDefault="00DB758B" w:rsidP="00DB758B">
            <w:pPr>
              <w:ind w:firstLine="0"/>
              <w:jc w:val="center"/>
              <w:rPr>
                <w:rFonts w:eastAsia="Times New Roman" w:cs="Times New Roman"/>
                <w:color w:val="000000"/>
                <w:szCs w:val="24"/>
                <w:lang w:eastAsia="ru-RU"/>
              </w:rPr>
            </w:pPr>
            <w:r w:rsidRPr="00A636A1">
              <w:rPr>
                <w:rFonts w:eastAsia="Times New Roman" w:cs="Times New Roman"/>
                <w:color w:val="000000"/>
                <w:szCs w:val="24"/>
                <w:lang w:eastAsia="ru-RU"/>
              </w:rPr>
              <w:t>1</w:t>
            </w:r>
          </w:p>
        </w:tc>
        <w:tc>
          <w:tcPr>
            <w:tcW w:w="1016" w:type="pct"/>
            <w:tcBorders>
              <w:top w:val="nil"/>
              <w:left w:val="nil"/>
              <w:bottom w:val="single" w:sz="4" w:space="0" w:color="000000"/>
              <w:right w:val="single" w:sz="4" w:space="0" w:color="000000"/>
            </w:tcBorders>
            <w:shd w:val="clear" w:color="auto" w:fill="auto"/>
            <w:vAlign w:val="center"/>
            <w:hideMark/>
          </w:tcPr>
          <w:p w14:paraId="2B399F8B" w14:textId="129F9A14" w:rsidR="00DB758B" w:rsidRPr="00A636A1" w:rsidRDefault="00DB758B" w:rsidP="00DB758B">
            <w:pPr>
              <w:ind w:firstLine="0"/>
              <w:jc w:val="center"/>
              <w:rPr>
                <w:rFonts w:eastAsia="Times New Roman" w:cs="Times New Roman"/>
                <w:color w:val="000000"/>
                <w:szCs w:val="24"/>
                <w:lang w:eastAsia="ru-RU"/>
              </w:rPr>
            </w:pPr>
            <w:r>
              <w:rPr>
                <w:color w:val="000000"/>
              </w:rPr>
              <w:t>Газоснабжение</w:t>
            </w:r>
          </w:p>
        </w:tc>
        <w:tc>
          <w:tcPr>
            <w:tcW w:w="562" w:type="pct"/>
            <w:tcBorders>
              <w:top w:val="nil"/>
              <w:left w:val="nil"/>
              <w:bottom w:val="single" w:sz="4" w:space="0" w:color="000000"/>
              <w:right w:val="single" w:sz="4" w:space="0" w:color="000000"/>
            </w:tcBorders>
            <w:shd w:val="clear" w:color="auto" w:fill="auto"/>
            <w:vAlign w:val="center"/>
            <w:hideMark/>
          </w:tcPr>
          <w:p w14:paraId="5CAA5576" w14:textId="1FE02C76" w:rsidR="00DB758B" w:rsidRPr="00A636A1" w:rsidRDefault="00DB758B" w:rsidP="00DB758B">
            <w:pPr>
              <w:ind w:firstLine="0"/>
              <w:jc w:val="center"/>
              <w:rPr>
                <w:rFonts w:eastAsia="Times New Roman" w:cs="Times New Roman"/>
                <w:color w:val="000000"/>
                <w:szCs w:val="24"/>
                <w:lang w:eastAsia="ru-RU"/>
              </w:rPr>
            </w:pPr>
            <w:r>
              <w:rPr>
                <w:color w:val="000000"/>
              </w:rPr>
              <w:t>0,38</w:t>
            </w:r>
          </w:p>
        </w:tc>
        <w:tc>
          <w:tcPr>
            <w:tcW w:w="562" w:type="pct"/>
            <w:tcBorders>
              <w:top w:val="nil"/>
              <w:left w:val="nil"/>
              <w:bottom w:val="single" w:sz="4" w:space="0" w:color="000000"/>
              <w:right w:val="single" w:sz="4" w:space="0" w:color="000000"/>
            </w:tcBorders>
            <w:shd w:val="clear" w:color="auto" w:fill="auto"/>
            <w:vAlign w:val="center"/>
            <w:hideMark/>
          </w:tcPr>
          <w:p w14:paraId="0D9D7207" w14:textId="58050FE6" w:rsidR="00DB758B" w:rsidRPr="00A636A1" w:rsidRDefault="00DB758B" w:rsidP="00DB758B">
            <w:pPr>
              <w:ind w:firstLine="0"/>
              <w:jc w:val="center"/>
              <w:rPr>
                <w:rFonts w:eastAsia="Times New Roman" w:cs="Times New Roman"/>
                <w:color w:val="000000"/>
                <w:szCs w:val="24"/>
                <w:lang w:eastAsia="ru-RU"/>
              </w:rPr>
            </w:pPr>
            <w:r>
              <w:rPr>
                <w:color w:val="000000"/>
              </w:rPr>
              <w:t>0,66</w:t>
            </w:r>
          </w:p>
        </w:tc>
        <w:tc>
          <w:tcPr>
            <w:tcW w:w="609" w:type="pct"/>
            <w:tcBorders>
              <w:top w:val="nil"/>
              <w:left w:val="nil"/>
              <w:bottom w:val="single" w:sz="4" w:space="0" w:color="000000"/>
              <w:right w:val="single" w:sz="4" w:space="0" w:color="000000"/>
            </w:tcBorders>
            <w:shd w:val="clear" w:color="auto" w:fill="auto"/>
            <w:vAlign w:val="center"/>
            <w:hideMark/>
          </w:tcPr>
          <w:p w14:paraId="6C2C2811" w14:textId="0E57BA96" w:rsidR="00DB758B" w:rsidRPr="00A636A1" w:rsidRDefault="00DB758B" w:rsidP="00DB758B">
            <w:pPr>
              <w:ind w:firstLine="0"/>
              <w:jc w:val="center"/>
              <w:rPr>
                <w:rFonts w:eastAsia="Times New Roman" w:cs="Times New Roman"/>
                <w:color w:val="000000"/>
                <w:szCs w:val="24"/>
                <w:lang w:eastAsia="ru-RU"/>
              </w:rPr>
            </w:pPr>
            <w:r>
              <w:rPr>
                <w:color w:val="000000"/>
              </w:rPr>
              <w:t>да</w:t>
            </w:r>
          </w:p>
        </w:tc>
        <w:tc>
          <w:tcPr>
            <w:tcW w:w="2066" w:type="pct"/>
            <w:tcBorders>
              <w:top w:val="nil"/>
              <w:left w:val="nil"/>
              <w:bottom w:val="single" w:sz="4" w:space="0" w:color="000000"/>
              <w:right w:val="single" w:sz="4" w:space="0" w:color="000000"/>
            </w:tcBorders>
            <w:shd w:val="clear" w:color="auto" w:fill="auto"/>
            <w:vAlign w:val="center"/>
            <w:hideMark/>
          </w:tcPr>
          <w:p w14:paraId="750A16D9" w14:textId="7CA0E159" w:rsidR="00DB758B" w:rsidRPr="00A636A1" w:rsidRDefault="00DB758B" w:rsidP="00DB758B">
            <w:pPr>
              <w:ind w:firstLine="0"/>
              <w:jc w:val="left"/>
              <w:rPr>
                <w:rFonts w:eastAsia="Times New Roman" w:cs="Times New Roman"/>
                <w:color w:val="000000"/>
                <w:szCs w:val="24"/>
                <w:lang w:eastAsia="ru-RU"/>
              </w:rPr>
            </w:pPr>
            <w:r>
              <w:rPr>
                <w:color w:val="000000"/>
              </w:rPr>
              <w:t>Ценообразующий фактор соответствует критериям, описанным выше. Данный фактор оказывает существенное влияние на стоимость объектов недвижимости</w:t>
            </w:r>
          </w:p>
        </w:tc>
      </w:tr>
      <w:tr w:rsidR="00DB758B" w:rsidRPr="00A636A1" w14:paraId="0B9F5B99" w14:textId="77777777" w:rsidTr="00DB758B">
        <w:trPr>
          <w:trHeight w:val="630"/>
        </w:trPr>
        <w:tc>
          <w:tcPr>
            <w:tcW w:w="185" w:type="pct"/>
            <w:tcBorders>
              <w:top w:val="nil"/>
              <w:left w:val="single" w:sz="4" w:space="0" w:color="000000"/>
              <w:bottom w:val="single" w:sz="4" w:space="0" w:color="000000"/>
              <w:right w:val="single" w:sz="4" w:space="0" w:color="000000"/>
            </w:tcBorders>
            <w:shd w:val="clear" w:color="auto" w:fill="auto"/>
            <w:vAlign w:val="center"/>
            <w:hideMark/>
          </w:tcPr>
          <w:p w14:paraId="7C3CD07F" w14:textId="77777777" w:rsidR="00DB758B" w:rsidRPr="00A636A1" w:rsidRDefault="00DB758B" w:rsidP="00DB758B">
            <w:pPr>
              <w:ind w:firstLine="0"/>
              <w:jc w:val="center"/>
              <w:rPr>
                <w:rFonts w:eastAsia="Times New Roman" w:cs="Times New Roman"/>
                <w:color w:val="000000"/>
                <w:szCs w:val="24"/>
                <w:lang w:eastAsia="ru-RU"/>
              </w:rPr>
            </w:pPr>
            <w:r w:rsidRPr="00A636A1">
              <w:rPr>
                <w:rFonts w:eastAsia="Times New Roman" w:cs="Times New Roman"/>
                <w:color w:val="000000"/>
                <w:szCs w:val="24"/>
                <w:lang w:eastAsia="ru-RU"/>
              </w:rPr>
              <w:t>2</w:t>
            </w:r>
          </w:p>
        </w:tc>
        <w:tc>
          <w:tcPr>
            <w:tcW w:w="1016" w:type="pct"/>
            <w:tcBorders>
              <w:top w:val="nil"/>
              <w:left w:val="nil"/>
              <w:bottom w:val="single" w:sz="4" w:space="0" w:color="000000"/>
              <w:right w:val="single" w:sz="4" w:space="0" w:color="000000"/>
            </w:tcBorders>
            <w:shd w:val="clear" w:color="auto" w:fill="auto"/>
            <w:vAlign w:val="center"/>
            <w:hideMark/>
          </w:tcPr>
          <w:p w14:paraId="4417A00F" w14:textId="5CAD7776" w:rsidR="00DB758B" w:rsidRPr="00A636A1" w:rsidRDefault="00DB758B" w:rsidP="00DB758B">
            <w:pPr>
              <w:ind w:firstLine="0"/>
              <w:jc w:val="center"/>
              <w:rPr>
                <w:rFonts w:eastAsia="Times New Roman" w:cs="Times New Roman"/>
                <w:color w:val="000000"/>
                <w:szCs w:val="24"/>
                <w:lang w:eastAsia="ru-RU"/>
              </w:rPr>
            </w:pPr>
            <w:r>
              <w:rPr>
                <w:color w:val="000000"/>
              </w:rPr>
              <w:t>Группа капитальности_ЗП</w:t>
            </w:r>
          </w:p>
        </w:tc>
        <w:tc>
          <w:tcPr>
            <w:tcW w:w="562" w:type="pct"/>
            <w:tcBorders>
              <w:top w:val="nil"/>
              <w:left w:val="nil"/>
              <w:bottom w:val="single" w:sz="4" w:space="0" w:color="000000"/>
              <w:right w:val="single" w:sz="4" w:space="0" w:color="000000"/>
            </w:tcBorders>
            <w:shd w:val="clear" w:color="auto" w:fill="auto"/>
            <w:vAlign w:val="center"/>
            <w:hideMark/>
          </w:tcPr>
          <w:p w14:paraId="5964261B" w14:textId="1F39FD5D" w:rsidR="00DB758B" w:rsidRPr="00A636A1" w:rsidRDefault="00DB758B" w:rsidP="00DB758B">
            <w:pPr>
              <w:ind w:firstLine="0"/>
              <w:jc w:val="center"/>
              <w:rPr>
                <w:rFonts w:eastAsia="Times New Roman" w:cs="Times New Roman"/>
                <w:color w:val="000000"/>
                <w:szCs w:val="24"/>
                <w:lang w:eastAsia="ru-RU"/>
              </w:rPr>
            </w:pPr>
            <w:r>
              <w:rPr>
                <w:color w:val="000000"/>
              </w:rPr>
              <w:t>0,00029</w:t>
            </w:r>
          </w:p>
        </w:tc>
        <w:tc>
          <w:tcPr>
            <w:tcW w:w="562" w:type="pct"/>
            <w:tcBorders>
              <w:top w:val="nil"/>
              <w:left w:val="nil"/>
              <w:bottom w:val="single" w:sz="4" w:space="0" w:color="000000"/>
              <w:right w:val="single" w:sz="4" w:space="0" w:color="000000"/>
            </w:tcBorders>
            <w:shd w:val="clear" w:color="auto" w:fill="auto"/>
            <w:vAlign w:val="center"/>
            <w:hideMark/>
          </w:tcPr>
          <w:p w14:paraId="7216BEA9" w14:textId="0085C9A9" w:rsidR="00DB758B" w:rsidRPr="00A636A1" w:rsidRDefault="00DB758B" w:rsidP="00DB758B">
            <w:pPr>
              <w:ind w:firstLine="0"/>
              <w:jc w:val="center"/>
              <w:rPr>
                <w:rFonts w:eastAsia="Times New Roman" w:cs="Times New Roman"/>
                <w:color w:val="000000"/>
                <w:szCs w:val="24"/>
                <w:lang w:eastAsia="ru-RU"/>
              </w:rPr>
            </w:pPr>
            <w:r>
              <w:rPr>
                <w:color w:val="000000"/>
              </w:rPr>
              <w:t>0</w:t>
            </w:r>
          </w:p>
        </w:tc>
        <w:tc>
          <w:tcPr>
            <w:tcW w:w="609" w:type="pct"/>
            <w:tcBorders>
              <w:top w:val="nil"/>
              <w:left w:val="nil"/>
              <w:bottom w:val="single" w:sz="4" w:space="0" w:color="000000"/>
              <w:right w:val="single" w:sz="4" w:space="0" w:color="000000"/>
            </w:tcBorders>
            <w:shd w:val="clear" w:color="auto" w:fill="auto"/>
            <w:vAlign w:val="center"/>
            <w:hideMark/>
          </w:tcPr>
          <w:p w14:paraId="6D9D45F7" w14:textId="42B1176B" w:rsidR="00DB758B" w:rsidRPr="00A636A1" w:rsidRDefault="00DB758B" w:rsidP="00DB758B">
            <w:pPr>
              <w:ind w:firstLine="0"/>
              <w:jc w:val="center"/>
              <w:rPr>
                <w:rFonts w:eastAsia="Times New Roman" w:cs="Times New Roman"/>
                <w:color w:val="000000"/>
                <w:szCs w:val="24"/>
                <w:lang w:eastAsia="ru-RU"/>
              </w:rPr>
            </w:pPr>
            <w:r>
              <w:rPr>
                <w:color w:val="000000"/>
              </w:rPr>
              <w:t>нет</w:t>
            </w:r>
          </w:p>
        </w:tc>
        <w:tc>
          <w:tcPr>
            <w:tcW w:w="2066" w:type="pct"/>
            <w:tcBorders>
              <w:top w:val="nil"/>
              <w:left w:val="nil"/>
              <w:bottom w:val="single" w:sz="4" w:space="0" w:color="000000"/>
              <w:right w:val="single" w:sz="4" w:space="0" w:color="000000"/>
            </w:tcBorders>
            <w:shd w:val="clear" w:color="auto" w:fill="auto"/>
            <w:vAlign w:val="center"/>
            <w:hideMark/>
          </w:tcPr>
          <w:p w14:paraId="4591F636" w14:textId="00BE41C3" w:rsidR="00DB758B" w:rsidRPr="00A636A1" w:rsidRDefault="00DB758B" w:rsidP="00DB758B">
            <w:pPr>
              <w:ind w:firstLine="0"/>
              <w:jc w:val="left"/>
              <w:rPr>
                <w:rFonts w:eastAsia="Times New Roman" w:cs="Times New Roman"/>
                <w:color w:val="000000"/>
                <w:szCs w:val="24"/>
                <w:lang w:eastAsia="ru-RU"/>
              </w:rPr>
            </w:pPr>
            <w:r>
              <w:rPr>
                <w:color w:val="000000"/>
              </w:rPr>
              <w:t>Коэффициент корреляции ценообразующего фактора очень мал и ценообразующий фактор статистически не значим в модели</w:t>
            </w:r>
          </w:p>
        </w:tc>
      </w:tr>
      <w:tr w:rsidR="00DB758B" w:rsidRPr="00A636A1" w14:paraId="78DF621D" w14:textId="77777777" w:rsidTr="00DB758B">
        <w:trPr>
          <w:trHeight w:val="630"/>
        </w:trPr>
        <w:tc>
          <w:tcPr>
            <w:tcW w:w="185" w:type="pct"/>
            <w:tcBorders>
              <w:top w:val="nil"/>
              <w:left w:val="single" w:sz="4" w:space="0" w:color="000000"/>
              <w:bottom w:val="single" w:sz="4" w:space="0" w:color="000000"/>
              <w:right w:val="single" w:sz="4" w:space="0" w:color="000000"/>
            </w:tcBorders>
            <w:shd w:val="clear" w:color="auto" w:fill="auto"/>
            <w:vAlign w:val="center"/>
            <w:hideMark/>
          </w:tcPr>
          <w:p w14:paraId="7B89B839" w14:textId="77777777" w:rsidR="00DB758B" w:rsidRPr="00A636A1" w:rsidRDefault="00DB758B" w:rsidP="00DB758B">
            <w:pPr>
              <w:ind w:firstLine="0"/>
              <w:jc w:val="center"/>
              <w:rPr>
                <w:rFonts w:eastAsia="Times New Roman" w:cs="Times New Roman"/>
                <w:color w:val="000000"/>
                <w:szCs w:val="24"/>
                <w:lang w:eastAsia="ru-RU"/>
              </w:rPr>
            </w:pPr>
            <w:r w:rsidRPr="00A636A1">
              <w:rPr>
                <w:rFonts w:eastAsia="Times New Roman" w:cs="Times New Roman"/>
                <w:color w:val="000000"/>
                <w:szCs w:val="24"/>
                <w:lang w:eastAsia="ru-RU"/>
              </w:rPr>
              <w:t>3</w:t>
            </w:r>
          </w:p>
        </w:tc>
        <w:tc>
          <w:tcPr>
            <w:tcW w:w="1016" w:type="pct"/>
            <w:tcBorders>
              <w:top w:val="nil"/>
              <w:left w:val="nil"/>
              <w:bottom w:val="single" w:sz="4" w:space="0" w:color="000000"/>
              <w:right w:val="single" w:sz="4" w:space="0" w:color="000000"/>
            </w:tcBorders>
            <w:shd w:val="clear" w:color="auto" w:fill="auto"/>
            <w:vAlign w:val="center"/>
            <w:hideMark/>
          </w:tcPr>
          <w:p w14:paraId="6D6D5306" w14:textId="3CDC388C" w:rsidR="00DB758B" w:rsidRPr="00A636A1" w:rsidRDefault="00DB758B" w:rsidP="00DB758B">
            <w:pPr>
              <w:ind w:firstLine="0"/>
              <w:jc w:val="center"/>
              <w:rPr>
                <w:rFonts w:eastAsia="Times New Roman" w:cs="Times New Roman"/>
                <w:color w:val="000000"/>
                <w:szCs w:val="24"/>
                <w:lang w:eastAsia="ru-RU"/>
              </w:rPr>
            </w:pPr>
            <w:r>
              <w:rPr>
                <w:color w:val="000000"/>
              </w:rPr>
              <w:t>Канализация</w:t>
            </w:r>
          </w:p>
        </w:tc>
        <w:tc>
          <w:tcPr>
            <w:tcW w:w="562" w:type="pct"/>
            <w:tcBorders>
              <w:top w:val="nil"/>
              <w:left w:val="nil"/>
              <w:bottom w:val="single" w:sz="4" w:space="0" w:color="000000"/>
              <w:right w:val="single" w:sz="4" w:space="0" w:color="000000"/>
            </w:tcBorders>
            <w:shd w:val="clear" w:color="auto" w:fill="auto"/>
            <w:vAlign w:val="center"/>
            <w:hideMark/>
          </w:tcPr>
          <w:p w14:paraId="1616F1D0" w14:textId="222830CE" w:rsidR="00DB758B" w:rsidRPr="00A636A1" w:rsidRDefault="00DB758B" w:rsidP="00DB758B">
            <w:pPr>
              <w:ind w:firstLine="0"/>
              <w:jc w:val="center"/>
              <w:rPr>
                <w:rFonts w:eastAsia="Times New Roman" w:cs="Times New Roman"/>
                <w:color w:val="000000"/>
                <w:szCs w:val="24"/>
                <w:lang w:eastAsia="ru-RU"/>
              </w:rPr>
            </w:pPr>
            <w:r>
              <w:rPr>
                <w:color w:val="000000"/>
              </w:rPr>
              <w:t>0,25</w:t>
            </w:r>
          </w:p>
        </w:tc>
        <w:tc>
          <w:tcPr>
            <w:tcW w:w="562" w:type="pct"/>
            <w:tcBorders>
              <w:top w:val="nil"/>
              <w:left w:val="nil"/>
              <w:bottom w:val="single" w:sz="4" w:space="0" w:color="000000"/>
              <w:right w:val="single" w:sz="4" w:space="0" w:color="000000"/>
            </w:tcBorders>
            <w:shd w:val="clear" w:color="auto" w:fill="auto"/>
            <w:vAlign w:val="center"/>
            <w:hideMark/>
          </w:tcPr>
          <w:p w14:paraId="094769F2" w14:textId="3F59FFF1" w:rsidR="00DB758B" w:rsidRPr="00A636A1" w:rsidRDefault="00DB758B" w:rsidP="00DB758B">
            <w:pPr>
              <w:ind w:firstLine="0"/>
              <w:jc w:val="center"/>
              <w:rPr>
                <w:rFonts w:eastAsia="Times New Roman" w:cs="Times New Roman"/>
                <w:color w:val="000000"/>
                <w:szCs w:val="24"/>
                <w:lang w:eastAsia="ru-RU"/>
              </w:rPr>
            </w:pPr>
            <w:r>
              <w:rPr>
                <w:color w:val="000000"/>
              </w:rPr>
              <w:t>0,43</w:t>
            </w:r>
          </w:p>
        </w:tc>
        <w:tc>
          <w:tcPr>
            <w:tcW w:w="609" w:type="pct"/>
            <w:tcBorders>
              <w:top w:val="nil"/>
              <w:left w:val="nil"/>
              <w:bottom w:val="single" w:sz="4" w:space="0" w:color="000000"/>
              <w:right w:val="single" w:sz="4" w:space="0" w:color="000000"/>
            </w:tcBorders>
            <w:shd w:val="clear" w:color="auto" w:fill="auto"/>
            <w:vAlign w:val="center"/>
            <w:hideMark/>
          </w:tcPr>
          <w:p w14:paraId="13B810EE" w14:textId="2EAFD4B2" w:rsidR="00DB758B" w:rsidRPr="00A636A1" w:rsidRDefault="00DB758B" w:rsidP="00DB758B">
            <w:pPr>
              <w:ind w:firstLine="0"/>
              <w:jc w:val="center"/>
              <w:rPr>
                <w:rFonts w:eastAsia="Times New Roman" w:cs="Times New Roman"/>
                <w:color w:val="000000"/>
                <w:szCs w:val="24"/>
                <w:lang w:eastAsia="ru-RU"/>
              </w:rPr>
            </w:pPr>
            <w:r>
              <w:rPr>
                <w:color w:val="000000"/>
              </w:rPr>
              <w:t>нет</w:t>
            </w:r>
          </w:p>
        </w:tc>
        <w:tc>
          <w:tcPr>
            <w:tcW w:w="2066" w:type="pct"/>
            <w:tcBorders>
              <w:top w:val="nil"/>
              <w:left w:val="nil"/>
              <w:bottom w:val="single" w:sz="4" w:space="0" w:color="000000"/>
              <w:right w:val="single" w:sz="4" w:space="0" w:color="000000"/>
            </w:tcBorders>
            <w:shd w:val="clear" w:color="auto" w:fill="auto"/>
            <w:vAlign w:val="center"/>
            <w:hideMark/>
          </w:tcPr>
          <w:p w14:paraId="176E2DCA" w14:textId="7539FED9" w:rsidR="00DB758B" w:rsidRPr="00A636A1" w:rsidRDefault="00DB758B" w:rsidP="00DB758B">
            <w:pPr>
              <w:ind w:firstLine="0"/>
              <w:jc w:val="left"/>
              <w:rPr>
                <w:rFonts w:eastAsia="Times New Roman" w:cs="Times New Roman"/>
                <w:color w:val="000000"/>
                <w:szCs w:val="24"/>
                <w:lang w:eastAsia="ru-RU"/>
              </w:rPr>
            </w:pPr>
            <w:r>
              <w:rPr>
                <w:color w:val="000000"/>
              </w:rPr>
              <w:t>Данный ценообразующий фактор сильно коррелирует с прочими ценообразующими факторами, определяющими локальное местоположение объекта</w:t>
            </w:r>
          </w:p>
        </w:tc>
      </w:tr>
      <w:tr w:rsidR="00DB758B" w:rsidRPr="00A636A1" w14:paraId="47D2FFD2" w14:textId="77777777" w:rsidTr="00DB758B">
        <w:trPr>
          <w:trHeight w:val="630"/>
        </w:trPr>
        <w:tc>
          <w:tcPr>
            <w:tcW w:w="185" w:type="pct"/>
            <w:tcBorders>
              <w:top w:val="nil"/>
              <w:left w:val="single" w:sz="4" w:space="0" w:color="000000"/>
              <w:bottom w:val="single" w:sz="4" w:space="0" w:color="000000"/>
              <w:right w:val="single" w:sz="4" w:space="0" w:color="000000"/>
            </w:tcBorders>
            <w:shd w:val="clear" w:color="auto" w:fill="auto"/>
            <w:vAlign w:val="center"/>
            <w:hideMark/>
          </w:tcPr>
          <w:p w14:paraId="2CC3FA88" w14:textId="77777777" w:rsidR="00DB758B" w:rsidRPr="00A636A1" w:rsidRDefault="00DB758B" w:rsidP="00DB758B">
            <w:pPr>
              <w:ind w:firstLine="0"/>
              <w:jc w:val="center"/>
              <w:rPr>
                <w:rFonts w:eastAsia="Times New Roman" w:cs="Times New Roman"/>
                <w:color w:val="000000"/>
                <w:szCs w:val="24"/>
                <w:lang w:eastAsia="ru-RU"/>
              </w:rPr>
            </w:pPr>
            <w:r w:rsidRPr="00A636A1">
              <w:rPr>
                <w:rFonts w:eastAsia="Times New Roman" w:cs="Times New Roman"/>
                <w:color w:val="000000"/>
                <w:szCs w:val="24"/>
                <w:lang w:eastAsia="ru-RU"/>
              </w:rPr>
              <w:t>4</w:t>
            </w:r>
          </w:p>
        </w:tc>
        <w:tc>
          <w:tcPr>
            <w:tcW w:w="1016" w:type="pct"/>
            <w:tcBorders>
              <w:top w:val="nil"/>
              <w:left w:val="nil"/>
              <w:bottom w:val="single" w:sz="4" w:space="0" w:color="000000"/>
              <w:right w:val="single" w:sz="4" w:space="0" w:color="000000"/>
            </w:tcBorders>
            <w:shd w:val="clear" w:color="auto" w:fill="auto"/>
            <w:vAlign w:val="center"/>
            <w:hideMark/>
          </w:tcPr>
          <w:p w14:paraId="756F00F4" w14:textId="19FF2309" w:rsidR="00DB758B" w:rsidRPr="00A636A1" w:rsidRDefault="00DB758B" w:rsidP="00DB758B">
            <w:pPr>
              <w:ind w:firstLine="0"/>
              <w:jc w:val="center"/>
              <w:rPr>
                <w:rFonts w:eastAsia="Times New Roman" w:cs="Times New Roman"/>
                <w:color w:val="000000"/>
                <w:szCs w:val="24"/>
                <w:lang w:eastAsia="ru-RU"/>
              </w:rPr>
            </w:pPr>
            <w:r>
              <w:rPr>
                <w:color w:val="000000"/>
              </w:rPr>
              <w:t>Наименование</w:t>
            </w:r>
          </w:p>
        </w:tc>
        <w:tc>
          <w:tcPr>
            <w:tcW w:w="562" w:type="pct"/>
            <w:tcBorders>
              <w:top w:val="nil"/>
              <w:left w:val="nil"/>
              <w:bottom w:val="single" w:sz="4" w:space="0" w:color="000000"/>
              <w:right w:val="single" w:sz="4" w:space="0" w:color="000000"/>
            </w:tcBorders>
            <w:shd w:val="clear" w:color="auto" w:fill="auto"/>
            <w:vAlign w:val="center"/>
            <w:hideMark/>
          </w:tcPr>
          <w:p w14:paraId="3E8490C5" w14:textId="6A548F9D" w:rsidR="00DB758B" w:rsidRPr="00A636A1" w:rsidRDefault="00DB758B" w:rsidP="00DB758B">
            <w:pPr>
              <w:ind w:firstLine="0"/>
              <w:jc w:val="center"/>
              <w:rPr>
                <w:rFonts w:eastAsia="Times New Roman" w:cs="Times New Roman"/>
                <w:color w:val="000000"/>
                <w:szCs w:val="24"/>
                <w:lang w:eastAsia="ru-RU"/>
              </w:rPr>
            </w:pPr>
            <w:r>
              <w:rPr>
                <w:color w:val="000000"/>
              </w:rPr>
              <w:t>0,16</w:t>
            </w:r>
          </w:p>
        </w:tc>
        <w:tc>
          <w:tcPr>
            <w:tcW w:w="562" w:type="pct"/>
            <w:tcBorders>
              <w:top w:val="nil"/>
              <w:left w:val="nil"/>
              <w:bottom w:val="single" w:sz="4" w:space="0" w:color="000000"/>
              <w:right w:val="single" w:sz="4" w:space="0" w:color="000000"/>
            </w:tcBorders>
            <w:shd w:val="clear" w:color="auto" w:fill="auto"/>
            <w:vAlign w:val="center"/>
            <w:hideMark/>
          </w:tcPr>
          <w:p w14:paraId="7EB2A06B" w14:textId="7C905C85" w:rsidR="00DB758B" w:rsidRPr="00A636A1" w:rsidRDefault="00DB758B" w:rsidP="00DB758B">
            <w:pPr>
              <w:ind w:firstLine="0"/>
              <w:jc w:val="center"/>
              <w:rPr>
                <w:rFonts w:eastAsia="Times New Roman" w:cs="Times New Roman"/>
                <w:color w:val="000000"/>
                <w:szCs w:val="24"/>
                <w:lang w:eastAsia="ru-RU"/>
              </w:rPr>
            </w:pPr>
            <w:r>
              <w:rPr>
                <w:color w:val="000000"/>
              </w:rPr>
              <w:t>0,28</w:t>
            </w:r>
          </w:p>
        </w:tc>
        <w:tc>
          <w:tcPr>
            <w:tcW w:w="609" w:type="pct"/>
            <w:tcBorders>
              <w:top w:val="nil"/>
              <w:left w:val="nil"/>
              <w:bottom w:val="single" w:sz="4" w:space="0" w:color="000000"/>
              <w:right w:val="single" w:sz="4" w:space="0" w:color="000000"/>
            </w:tcBorders>
            <w:shd w:val="clear" w:color="auto" w:fill="auto"/>
            <w:vAlign w:val="center"/>
            <w:hideMark/>
          </w:tcPr>
          <w:p w14:paraId="25C11452" w14:textId="5FB2266C" w:rsidR="00DB758B" w:rsidRPr="00A636A1" w:rsidRDefault="00DB758B" w:rsidP="00DB758B">
            <w:pPr>
              <w:ind w:firstLine="0"/>
              <w:jc w:val="center"/>
              <w:rPr>
                <w:rFonts w:eastAsia="Times New Roman" w:cs="Times New Roman"/>
                <w:color w:val="000000"/>
                <w:szCs w:val="24"/>
                <w:lang w:eastAsia="ru-RU"/>
              </w:rPr>
            </w:pPr>
            <w:r>
              <w:rPr>
                <w:color w:val="000000"/>
              </w:rPr>
              <w:t>нет</w:t>
            </w:r>
          </w:p>
        </w:tc>
        <w:tc>
          <w:tcPr>
            <w:tcW w:w="2066" w:type="pct"/>
            <w:tcBorders>
              <w:top w:val="nil"/>
              <w:left w:val="nil"/>
              <w:bottom w:val="single" w:sz="4" w:space="0" w:color="000000"/>
              <w:right w:val="single" w:sz="4" w:space="0" w:color="000000"/>
            </w:tcBorders>
            <w:shd w:val="clear" w:color="auto" w:fill="auto"/>
            <w:vAlign w:val="center"/>
            <w:hideMark/>
          </w:tcPr>
          <w:p w14:paraId="7B35538B" w14:textId="49C28456" w:rsidR="00DB758B" w:rsidRPr="00A636A1" w:rsidRDefault="00DB758B" w:rsidP="00DB758B">
            <w:pPr>
              <w:ind w:firstLine="0"/>
              <w:jc w:val="left"/>
              <w:rPr>
                <w:rFonts w:eastAsia="Times New Roman" w:cs="Times New Roman"/>
                <w:color w:val="000000"/>
                <w:szCs w:val="24"/>
                <w:lang w:eastAsia="ru-RU"/>
              </w:rPr>
            </w:pPr>
            <w:r>
              <w:rPr>
                <w:color w:val="000000"/>
              </w:rPr>
              <w:t>Коэффициент корреляции ценообразующего фактора очень мал и ценообразующий фактор статистически не значим в модели</w:t>
            </w:r>
          </w:p>
        </w:tc>
      </w:tr>
      <w:tr w:rsidR="00DB758B" w:rsidRPr="00A636A1" w14:paraId="66857143" w14:textId="77777777" w:rsidTr="00DB758B">
        <w:trPr>
          <w:trHeight w:val="630"/>
        </w:trPr>
        <w:tc>
          <w:tcPr>
            <w:tcW w:w="185" w:type="pct"/>
            <w:tcBorders>
              <w:top w:val="nil"/>
              <w:left w:val="single" w:sz="4" w:space="0" w:color="000000"/>
              <w:bottom w:val="single" w:sz="4" w:space="0" w:color="000000"/>
              <w:right w:val="single" w:sz="4" w:space="0" w:color="000000"/>
            </w:tcBorders>
            <w:shd w:val="clear" w:color="auto" w:fill="auto"/>
            <w:vAlign w:val="center"/>
            <w:hideMark/>
          </w:tcPr>
          <w:p w14:paraId="04ACECBD" w14:textId="77777777" w:rsidR="00DB758B" w:rsidRPr="00A636A1" w:rsidRDefault="00DB758B" w:rsidP="00DB758B">
            <w:pPr>
              <w:ind w:firstLine="0"/>
              <w:jc w:val="center"/>
              <w:rPr>
                <w:rFonts w:eastAsia="Times New Roman" w:cs="Times New Roman"/>
                <w:color w:val="000000"/>
                <w:szCs w:val="24"/>
                <w:lang w:eastAsia="ru-RU"/>
              </w:rPr>
            </w:pPr>
            <w:r w:rsidRPr="00A636A1">
              <w:rPr>
                <w:rFonts w:eastAsia="Times New Roman" w:cs="Times New Roman"/>
                <w:color w:val="000000"/>
                <w:szCs w:val="24"/>
                <w:lang w:eastAsia="ru-RU"/>
              </w:rPr>
              <w:t>5</w:t>
            </w:r>
          </w:p>
        </w:tc>
        <w:tc>
          <w:tcPr>
            <w:tcW w:w="1016" w:type="pct"/>
            <w:tcBorders>
              <w:top w:val="nil"/>
              <w:left w:val="nil"/>
              <w:bottom w:val="single" w:sz="4" w:space="0" w:color="000000"/>
              <w:right w:val="single" w:sz="4" w:space="0" w:color="000000"/>
            </w:tcBorders>
            <w:shd w:val="clear" w:color="auto" w:fill="auto"/>
            <w:vAlign w:val="center"/>
            <w:hideMark/>
          </w:tcPr>
          <w:p w14:paraId="7902D324" w14:textId="48D5CB15" w:rsidR="00DB758B" w:rsidRPr="00A636A1" w:rsidRDefault="00DB758B" w:rsidP="00DB758B">
            <w:pPr>
              <w:ind w:firstLine="0"/>
              <w:jc w:val="center"/>
              <w:rPr>
                <w:rFonts w:eastAsia="Times New Roman" w:cs="Times New Roman"/>
                <w:color w:val="000000"/>
                <w:szCs w:val="24"/>
                <w:lang w:eastAsia="ru-RU"/>
              </w:rPr>
            </w:pPr>
            <w:r>
              <w:rPr>
                <w:color w:val="000000"/>
              </w:rPr>
              <w:t>Номер этажа</w:t>
            </w:r>
          </w:p>
        </w:tc>
        <w:tc>
          <w:tcPr>
            <w:tcW w:w="562" w:type="pct"/>
            <w:tcBorders>
              <w:top w:val="nil"/>
              <w:left w:val="nil"/>
              <w:bottom w:val="single" w:sz="4" w:space="0" w:color="000000"/>
              <w:right w:val="single" w:sz="4" w:space="0" w:color="000000"/>
            </w:tcBorders>
            <w:shd w:val="clear" w:color="auto" w:fill="auto"/>
            <w:vAlign w:val="center"/>
            <w:hideMark/>
          </w:tcPr>
          <w:p w14:paraId="7C6B0D07" w14:textId="4BC0308D" w:rsidR="00DB758B" w:rsidRPr="00A636A1" w:rsidRDefault="00DB758B" w:rsidP="00DB758B">
            <w:pPr>
              <w:ind w:firstLine="0"/>
              <w:jc w:val="center"/>
              <w:rPr>
                <w:rFonts w:eastAsia="Times New Roman" w:cs="Times New Roman"/>
                <w:color w:val="000000"/>
                <w:szCs w:val="24"/>
                <w:lang w:eastAsia="ru-RU"/>
              </w:rPr>
            </w:pPr>
            <w:r>
              <w:rPr>
                <w:color w:val="000000"/>
              </w:rPr>
              <w:t>0,065</w:t>
            </w:r>
          </w:p>
        </w:tc>
        <w:tc>
          <w:tcPr>
            <w:tcW w:w="562" w:type="pct"/>
            <w:tcBorders>
              <w:top w:val="nil"/>
              <w:left w:val="nil"/>
              <w:bottom w:val="single" w:sz="4" w:space="0" w:color="000000"/>
              <w:right w:val="single" w:sz="4" w:space="0" w:color="000000"/>
            </w:tcBorders>
            <w:shd w:val="clear" w:color="auto" w:fill="auto"/>
            <w:vAlign w:val="center"/>
            <w:hideMark/>
          </w:tcPr>
          <w:p w14:paraId="31DFB69C" w14:textId="2D754834" w:rsidR="00DB758B" w:rsidRPr="00A636A1" w:rsidRDefault="00DB758B" w:rsidP="00DB758B">
            <w:pPr>
              <w:ind w:firstLine="0"/>
              <w:jc w:val="center"/>
              <w:rPr>
                <w:rFonts w:eastAsia="Times New Roman" w:cs="Times New Roman"/>
                <w:color w:val="000000"/>
                <w:szCs w:val="24"/>
                <w:lang w:eastAsia="ru-RU"/>
              </w:rPr>
            </w:pPr>
            <w:r>
              <w:rPr>
                <w:color w:val="000000"/>
              </w:rPr>
              <w:t>0,11</w:t>
            </w:r>
          </w:p>
        </w:tc>
        <w:tc>
          <w:tcPr>
            <w:tcW w:w="609" w:type="pct"/>
            <w:tcBorders>
              <w:top w:val="nil"/>
              <w:left w:val="nil"/>
              <w:bottom w:val="single" w:sz="4" w:space="0" w:color="000000"/>
              <w:right w:val="single" w:sz="4" w:space="0" w:color="000000"/>
            </w:tcBorders>
            <w:shd w:val="clear" w:color="auto" w:fill="auto"/>
            <w:vAlign w:val="center"/>
            <w:hideMark/>
          </w:tcPr>
          <w:p w14:paraId="6E6D5C41" w14:textId="7F8BE721" w:rsidR="00DB758B" w:rsidRPr="00A636A1" w:rsidRDefault="00DB758B" w:rsidP="00DB758B">
            <w:pPr>
              <w:ind w:firstLine="0"/>
              <w:jc w:val="center"/>
              <w:rPr>
                <w:rFonts w:eastAsia="Times New Roman" w:cs="Times New Roman"/>
                <w:color w:val="000000"/>
                <w:szCs w:val="24"/>
                <w:lang w:eastAsia="ru-RU"/>
              </w:rPr>
            </w:pPr>
            <w:r>
              <w:rPr>
                <w:color w:val="000000"/>
              </w:rPr>
              <w:t>нет</w:t>
            </w:r>
          </w:p>
        </w:tc>
        <w:tc>
          <w:tcPr>
            <w:tcW w:w="2066" w:type="pct"/>
            <w:tcBorders>
              <w:top w:val="nil"/>
              <w:left w:val="nil"/>
              <w:bottom w:val="single" w:sz="4" w:space="0" w:color="000000"/>
              <w:right w:val="single" w:sz="4" w:space="0" w:color="000000"/>
            </w:tcBorders>
            <w:shd w:val="clear" w:color="auto" w:fill="auto"/>
            <w:vAlign w:val="center"/>
            <w:hideMark/>
          </w:tcPr>
          <w:p w14:paraId="747924CB" w14:textId="631C04C8" w:rsidR="00DB758B" w:rsidRPr="00A636A1" w:rsidRDefault="00DB758B" w:rsidP="00DB758B">
            <w:pPr>
              <w:ind w:firstLine="0"/>
              <w:jc w:val="left"/>
              <w:rPr>
                <w:rFonts w:eastAsia="Times New Roman" w:cs="Times New Roman"/>
                <w:color w:val="000000"/>
                <w:szCs w:val="24"/>
                <w:lang w:eastAsia="ru-RU"/>
              </w:rPr>
            </w:pPr>
            <w:r>
              <w:rPr>
                <w:color w:val="000000"/>
              </w:rPr>
              <w:t>Коэффициент корреляции ценообразующего фактора очень мал и ценообразующий фактор статистически не значим в модели</w:t>
            </w:r>
          </w:p>
        </w:tc>
      </w:tr>
      <w:tr w:rsidR="00DB758B" w:rsidRPr="00A636A1" w14:paraId="5CF40490" w14:textId="77777777" w:rsidTr="00DB758B">
        <w:trPr>
          <w:trHeight w:val="1260"/>
        </w:trPr>
        <w:tc>
          <w:tcPr>
            <w:tcW w:w="185" w:type="pct"/>
            <w:tcBorders>
              <w:top w:val="nil"/>
              <w:left w:val="single" w:sz="4" w:space="0" w:color="000000"/>
              <w:bottom w:val="single" w:sz="4" w:space="0" w:color="000000"/>
              <w:right w:val="single" w:sz="4" w:space="0" w:color="000000"/>
            </w:tcBorders>
            <w:shd w:val="clear" w:color="auto" w:fill="auto"/>
            <w:vAlign w:val="center"/>
            <w:hideMark/>
          </w:tcPr>
          <w:p w14:paraId="2856F860" w14:textId="77777777" w:rsidR="00DB758B" w:rsidRPr="00A636A1" w:rsidRDefault="00DB758B" w:rsidP="00DB758B">
            <w:pPr>
              <w:ind w:firstLine="0"/>
              <w:jc w:val="center"/>
              <w:rPr>
                <w:rFonts w:eastAsia="Times New Roman" w:cs="Times New Roman"/>
                <w:color w:val="000000"/>
                <w:szCs w:val="24"/>
                <w:lang w:eastAsia="ru-RU"/>
              </w:rPr>
            </w:pPr>
            <w:r w:rsidRPr="00A636A1">
              <w:rPr>
                <w:rFonts w:eastAsia="Times New Roman" w:cs="Times New Roman"/>
                <w:color w:val="000000"/>
                <w:szCs w:val="24"/>
                <w:lang w:eastAsia="ru-RU"/>
              </w:rPr>
              <w:t>6</w:t>
            </w:r>
          </w:p>
        </w:tc>
        <w:tc>
          <w:tcPr>
            <w:tcW w:w="1016" w:type="pct"/>
            <w:tcBorders>
              <w:top w:val="nil"/>
              <w:left w:val="nil"/>
              <w:bottom w:val="single" w:sz="4" w:space="0" w:color="000000"/>
              <w:right w:val="single" w:sz="4" w:space="0" w:color="000000"/>
            </w:tcBorders>
            <w:shd w:val="clear" w:color="auto" w:fill="auto"/>
            <w:vAlign w:val="center"/>
            <w:hideMark/>
          </w:tcPr>
          <w:p w14:paraId="2B8336F8" w14:textId="55BB2F09" w:rsidR="00DB758B" w:rsidRPr="00A636A1" w:rsidRDefault="00DB758B" w:rsidP="00DB758B">
            <w:pPr>
              <w:ind w:firstLine="0"/>
              <w:jc w:val="center"/>
              <w:rPr>
                <w:rFonts w:eastAsia="Times New Roman" w:cs="Times New Roman"/>
                <w:color w:val="000000"/>
                <w:szCs w:val="24"/>
                <w:lang w:eastAsia="ru-RU"/>
              </w:rPr>
            </w:pPr>
            <w:r>
              <w:rPr>
                <w:color w:val="000000"/>
              </w:rPr>
              <w:t>Расстояние до ближайшей из основных дорог города</w:t>
            </w:r>
          </w:p>
        </w:tc>
        <w:tc>
          <w:tcPr>
            <w:tcW w:w="562" w:type="pct"/>
            <w:tcBorders>
              <w:top w:val="nil"/>
              <w:left w:val="nil"/>
              <w:bottom w:val="single" w:sz="4" w:space="0" w:color="000000"/>
              <w:right w:val="single" w:sz="4" w:space="0" w:color="000000"/>
            </w:tcBorders>
            <w:shd w:val="clear" w:color="auto" w:fill="auto"/>
            <w:vAlign w:val="center"/>
            <w:hideMark/>
          </w:tcPr>
          <w:p w14:paraId="63E0957E" w14:textId="1C7C5D19" w:rsidR="00DB758B" w:rsidRPr="00A636A1" w:rsidRDefault="00DB758B" w:rsidP="00DB758B">
            <w:pPr>
              <w:ind w:firstLine="0"/>
              <w:jc w:val="center"/>
              <w:rPr>
                <w:rFonts w:eastAsia="Times New Roman" w:cs="Times New Roman"/>
                <w:color w:val="000000"/>
                <w:szCs w:val="24"/>
                <w:lang w:eastAsia="ru-RU"/>
              </w:rPr>
            </w:pPr>
            <w:r>
              <w:rPr>
                <w:color w:val="000000"/>
              </w:rPr>
              <w:t>0,41</w:t>
            </w:r>
          </w:p>
        </w:tc>
        <w:tc>
          <w:tcPr>
            <w:tcW w:w="562" w:type="pct"/>
            <w:tcBorders>
              <w:top w:val="nil"/>
              <w:left w:val="nil"/>
              <w:bottom w:val="single" w:sz="4" w:space="0" w:color="000000"/>
              <w:right w:val="single" w:sz="4" w:space="0" w:color="000000"/>
            </w:tcBorders>
            <w:shd w:val="clear" w:color="auto" w:fill="auto"/>
            <w:vAlign w:val="center"/>
            <w:hideMark/>
          </w:tcPr>
          <w:p w14:paraId="39D3F4F7" w14:textId="74413881" w:rsidR="00DB758B" w:rsidRPr="00A636A1" w:rsidRDefault="00DB758B" w:rsidP="00DB758B">
            <w:pPr>
              <w:ind w:firstLine="0"/>
              <w:jc w:val="center"/>
              <w:rPr>
                <w:rFonts w:eastAsia="Times New Roman" w:cs="Times New Roman"/>
                <w:color w:val="000000"/>
                <w:szCs w:val="24"/>
                <w:lang w:eastAsia="ru-RU"/>
              </w:rPr>
            </w:pPr>
            <w:r>
              <w:rPr>
                <w:color w:val="000000"/>
              </w:rPr>
              <w:t>0,71</w:t>
            </w:r>
          </w:p>
        </w:tc>
        <w:tc>
          <w:tcPr>
            <w:tcW w:w="609" w:type="pct"/>
            <w:tcBorders>
              <w:top w:val="nil"/>
              <w:left w:val="nil"/>
              <w:bottom w:val="single" w:sz="4" w:space="0" w:color="000000"/>
              <w:right w:val="single" w:sz="4" w:space="0" w:color="000000"/>
            </w:tcBorders>
            <w:shd w:val="clear" w:color="auto" w:fill="auto"/>
            <w:vAlign w:val="center"/>
            <w:hideMark/>
          </w:tcPr>
          <w:p w14:paraId="13697AAE" w14:textId="75C8B010" w:rsidR="00DB758B" w:rsidRPr="00A636A1" w:rsidRDefault="00DB758B" w:rsidP="00DB758B">
            <w:pPr>
              <w:ind w:firstLine="0"/>
              <w:jc w:val="center"/>
              <w:rPr>
                <w:rFonts w:eastAsia="Times New Roman" w:cs="Times New Roman"/>
                <w:color w:val="000000"/>
                <w:szCs w:val="24"/>
                <w:lang w:eastAsia="ru-RU"/>
              </w:rPr>
            </w:pPr>
            <w:r>
              <w:rPr>
                <w:color w:val="000000"/>
              </w:rPr>
              <w:t>нет</w:t>
            </w:r>
          </w:p>
        </w:tc>
        <w:tc>
          <w:tcPr>
            <w:tcW w:w="2066" w:type="pct"/>
            <w:tcBorders>
              <w:top w:val="nil"/>
              <w:left w:val="nil"/>
              <w:bottom w:val="single" w:sz="4" w:space="0" w:color="000000"/>
              <w:right w:val="single" w:sz="4" w:space="0" w:color="000000"/>
            </w:tcBorders>
            <w:shd w:val="clear" w:color="auto" w:fill="auto"/>
            <w:vAlign w:val="center"/>
            <w:hideMark/>
          </w:tcPr>
          <w:p w14:paraId="50941B9C" w14:textId="2CECCD8B" w:rsidR="00DB758B" w:rsidRPr="00A636A1" w:rsidRDefault="00DB758B" w:rsidP="00DB758B">
            <w:pPr>
              <w:ind w:firstLine="0"/>
              <w:jc w:val="left"/>
              <w:rPr>
                <w:rFonts w:eastAsia="Times New Roman" w:cs="Times New Roman"/>
                <w:color w:val="000000"/>
                <w:szCs w:val="24"/>
                <w:lang w:eastAsia="ru-RU"/>
              </w:rPr>
            </w:pPr>
            <w:r>
              <w:rPr>
                <w:color w:val="000000"/>
              </w:rPr>
              <w:t>Направленность корреляционной зависимости между ценообразующим фактором и удельной ценой объектов-аналогов не соответствует экономической гипотезе о наблюдаемом на рынке характере влияния данного фактора на зависимую переменную</w:t>
            </w:r>
          </w:p>
        </w:tc>
      </w:tr>
      <w:tr w:rsidR="00DB758B" w:rsidRPr="00A636A1" w14:paraId="19A0371F" w14:textId="77777777" w:rsidTr="00DB758B">
        <w:trPr>
          <w:trHeight w:val="1260"/>
        </w:trPr>
        <w:tc>
          <w:tcPr>
            <w:tcW w:w="185" w:type="pct"/>
            <w:tcBorders>
              <w:top w:val="nil"/>
              <w:left w:val="single" w:sz="4" w:space="0" w:color="000000"/>
              <w:bottom w:val="single" w:sz="4" w:space="0" w:color="000000"/>
              <w:right w:val="single" w:sz="4" w:space="0" w:color="000000"/>
            </w:tcBorders>
            <w:shd w:val="clear" w:color="auto" w:fill="auto"/>
            <w:vAlign w:val="center"/>
            <w:hideMark/>
          </w:tcPr>
          <w:p w14:paraId="186000CD" w14:textId="77777777" w:rsidR="00DB758B" w:rsidRPr="00A636A1" w:rsidRDefault="00DB758B" w:rsidP="00DB758B">
            <w:pPr>
              <w:ind w:firstLine="0"/>
              <w:jc w:val="center"/>
              <w:rPr>
                <w:rFonts w:eastAsia="Times New Roman" w:cs="Times New Roman"/>
                <w:color w:val="000000"/>
                <w:szCs w:val="24"/>
                <w:lang w:eastAsia="ru-RU"/>
              </w:rPr>
            </w:pPr>
            <w:r w:rsidRPr="00A636A1">
              <w:rPr>
                <w:rFonts w:eastAsia="Times New Roman" w:cs="Times New Roman"/>
                <w:color w:val="000000"/>
                <w:szCs w:val="24"/>
                <w:lang w:eastAsia="ru-RU"/>
              </w:rPr>
              <w:t>7</w:t>
            </w:r>
          </w:p>
        </w:tc>
        <w:tc>
          <w:tcPr>
            <w:tcW w:w="1016" w:type="pct"/>
            <w:tcBorders>
              <w:top w:val="nil"/>
              <w:left w:val="nil"/>
              <w:bottom w:val="single" w:sz="4" w:space="0" w:color="000000"/>
              <w:right w:val="single" w:sz="4" w:space="0" w:color="000000"/>
            </w:tcBorders>
            <w:shd w:val="clear" w:color="auto" w:fill="auto"/>
            <w:vAlign w:val="center"/>
            <w:hideMark/>
          </w:tcPr>
          <w:p w14:paraId="360B6EF2" w14:textId="01D786C6" w:rsidR="00DB758B" w:rsidRPr="00A636A1" w:rsidRDefault="00DB758B" w:rsidP="00DB758B">
            <w:pPr>
              <w:ind w:firstLine="0"/>
              <w:jc w:val="center"/>
              <w:rPr>
                <w:rFonts w:eastAsia="Times New Roman" w:cs="Times New Roman"/>
                <w:color w:val="000000"/>
                <w:szCs w:val="24"/>
                <w:lang w:eastAsia="ru-RU"/>
              </w:rPr>
            </w:pPr>
            <w:r>
              <w:rPr>
                <w:color w:val="000000"/>
              </w:rPr>
              <w:t>Расстояние до остановок общественного транспорта (в т.ч. автовокзалы, автостанции, автобусные остано</w:t>
            </w:r>
          </w:p>
        </w:tc>
        <w:tc>
          <w:tcPr>
            <w:tcW w:w="562" w:type="pct"/>
            <w:tcBorders>
              <w:top w:val="nil"/>
              <w:left w:val="nil"/>
              <w:bottom w:val="single" w:sz="4" w:space="0" w:color="000000"/>
              <w:right w:val="single" w:sz="4" w:space="0" w:color="000000"/>
            </w:tcBorders>
            <w:shd w:val="clear" w:color="auto" w:fill="auto"/>
            <w:vAlign w:val="center"/>
            <w:hideMark/>
          </w:tcPr>
          <w:p w14:paraId="6FAC15C6" w14:textId="4BEC9589" w:rsidR="00DB758B" w:rsidRPr="00A636A1" w:rsidRDefault="00DB758B" w:rsidP="00DB758B">
            <w:pPr>
              <w:ind w:firstLine="0"/>
              <w:jc w:val="center"/>
              <w:rPr>
                <w:rFonts w:eastAsia="Times New Roman" w:cs="Times New Roman"/>
                <w:color w:val="000000"/>
                <w:szCs w:val="24"/>
                <w:lang w:eastAsia="ru-RU"/>
              </w:rPr>
            </w:pPr>
            <w:r>
              <w:rPr>
                <w:color w:val="000000"/>
              </w:rPr>
              <w:t>0,32</w:t>
            </w:r>
          </w:p>
        </w:tc>
        <w:tc>
          <w:tcPr>
            <w:tcW w:w="562" w:type="pct"/>
            <w:tcBorders>
              <w:top w:val="nil"/>
              <w:left w:val="nil"/>
              <w:bottom w:val="single" w:sz="4" w:space="0" w:color="000000"/>
              <w:right w:val="single" w:sz="4" w:space="0" w:color="000000"/>
            </w:tcBorders>
            <w:shd w:val="clear" w:color="auto" w:fill="auto"/>
            <w:vAlign w:val="center"/>
            <w:hideMark/>
          </w:tcPr>
          <w:p w14:paraId="37CC414B" w14:textId="5CFC25E0" w:rsidR="00DB758B" w:rsidRPr="00A636A1" w:rsidRDefault="00DB758B" w:rsidP="00DB758B">
            <w:pPr>
              <w:ind w:firstLine="0"/>
              <w:jc w:val="center"/>
              <w:rPr>
                <w:rFonts w:eastAsia="Times New Roman" w:cs="Times New Roman"/>
                <w:color w:val="000000"/>
                <w:szCs w:val="24"/>
                <w:lang w:eastAsia="ru-RU"/>
              </w:rPr>
            </w:pPr>
            <w:r>
              <w:rPr>
                <w:color w:val="000000"/>
              </w:rPr>
              <w:t>0,56</w:t>
            </w:r>
          </w:p>
        </w:tc>
        <w:tc>
          <w:tcPr>
            <w:tcW w:w="609" w:type="pct"/>
            <w:tcBorders>
              <w:top w:val="nil"/>
              <w:left w:val="nil"/>
              <w:bottom w:val="single" w:sz="4" w:space="0" w:color="000000"/>
              <w:right w:val="single" w:sz="4" w:space="0" w:color="000000"/>
            </w:tcBorders>
            <w:shd w:val="clear" w:color="auto" w:fill="auto"/>
            <w:vAlign w:val="center"/>
            <w:hideMark/>
          </w:tcPr>
          <w:p w14:paraId="31F1B788" w14:textId="26AA52CA" w:rsidR="00DB758B" w:rsidRPr="00A636A1" w:rsidRDefault="00DB758B" w:rsidP="00DB758B">
            <w:pPr>
              <w:ind w:firstLine="0"/>
              <w:jc w:val="center"/>
              <w:rPr>
                <w:rFonts w:eastAsia="Times New Roman" w:cs="Times New Roman"/>
                <w:color w:val="000000"/>
                <w:szCs w:val="24"/>
                <w:lang w:eastAsia="ru-RU"/>
              </w:rPr>
            </w:pPr>
            <w:r>
              <w:rPr>
                <w:color w:val="000000"/>
              </w:rPr>
              <w:t>нет</w:t>
            </w:r>
          </w:p>
        </w:tc>
        <w:tc>
          <w:tcPr>
            <w:tcW w:w="2066" w:type="pct"/>
            <w:tcBorders>
              <w:top w:val="nil"/>
              <w:left w:val="nil"/>
              <w:bottom w:val="single" w:sz="4" w:space="0" w:color="000000"/>
              <w:right w:val="single" w:sz="4" w:space="0" w:color="000000"/>
            </w:tcBorders>
            <w:shd w:val="clear" w:color="auto" w:fill="auto"/>
            <w:vAlign w:val="center"/>
            <w:hideMark/>
          </w:tcPr>
          <w:p w14:paraId="211ABBB8" w14:textId="231D80C0" w:rsidR="00DB758B" w:rsidRPr="00A636A1" w:rsidRDefault="00DB758B" w:rsidP="00DB758B">
            <w:pPr>
              <w:ind w:firstLine="0"/>
              <w:jc w:val="left"/>
              <w:rPr>
                <w:rFonts w:eastAsia="Times New Roman" w:cs="Times New Roman"/>
                <w:color w:val="000000"/>
                <w:szCs w:val="24"/>
                <w:lang w:eastAsia="ru-RU"/>
              </w:rPr>
            </w:pPr>
            <w:r>
              <w:rPr>
                <w:color w:val="000000"/>
              </w:rPr>
              <w:t>Направленность корреляционной зависимости между ценообразующим фактором и удельной ценой объектов-аналогов не соответствует экономической гипотезе о наблюдаемом на рынке характере влияния данного фактора на зависимую переменную</w:t>
            </w:r>
          </w:p>
        </w:tc>
      </w:tr>
      <w:tr w:rsidR="00DB758B" w:rsidRPr="00A636A1" w14:paraId="3901114A" w14:textId="77777777" w:rsidTr="00DB758B">
        <w:trPr>
          <w:trHeight w:val="630"/>
        </w:trPr>
        <w:tc>
          <w:tcPr>
            <w:tcW w:w="185" w:type="pct"/>
            <w:tcBorders>
              <w:top w:val="nil"/>
              <w:left w:val="single" w:sz="4" w:space="0" w:color="000000"/>
              <w:bottom w:val="single" w:sz="4" w:space="0" w:color="000000"/>
              <w:right w:val="single" w:sz="4" w:space="0" w:color="000000"/>
            </w:tcBorders>
            <w:shd w:val="clear" w:color="auto" w:fill="auto"/>
            <w:vAlign w:val="center"/>
            <w:hideMark/>
          </w:tcPr>
          <w:p w14:paraId="326F595C" w14:textId="77777777" w:rsidR="00DB758B" w:rsidRPr="00A636A1" w:rsidRDefault="00DB758B" w:rsidP="00DB758B">
            <w:pPr>
              <w:ind w:firstLine="0"/>
              <w:jc w:val="center"/>
              <w:rPr>
                <w:rFonts w:eastAsia="Times New Roman" w:cs="Times New Roman"/>
                <w:color w:val="000000"/>
                <w:szCs w:val="24"/>
                <w:lang w:eastAsia="ru-RU"/>
              </w:rPr>
            </w:pPr>
            <w:r w:rsidRPr="00A636A1">
              <w:rPr>
                <w:rFonts w:eastAsia="Times New Roman" w:cs="Times New Roman"/>
                <w:color w:val="000000"/>
                <w:szCs w:val="24"/>
                <w:lang w:eastAsia="ru-RU"/>
              </w:rPr>
              <w:t>8</w:t>
            </w:r>
          </w:p>
        </w:tc>
        <w:tc>
          <w:tcPr>
            <w:tcW w:w="1016" w:type="pct"/>
            <w:tcBorders>
              <w:top w:val="nil"/>
              <w:left w:val="nil"/>
              <w:bottom w:val="single" w:sz="4" w:space="0" w:color="000000"/>
              <w:right w:val="single" w:sz="4" w:space="0" w:color="000000"/>
            </w:tcBorders>
            <w:shd w:val="clear" w:color="auto" w:fill="auto"/>
            <w:vAlign w:val="center"/>
            <w:hideMark/>
          </w:tcPr>
          <w:p w14:paraId="74C3E1A1" w14:textId="7E5DCE5B" w:rsidR="00DB758B" w:rsidRPr="00A636A1" w:rsidRDefault="00DB758B" w:rsidP="00DB758B">
            <w:pPr>
              <w:ind w:firstLine="0"/>
              <w:jc w:val="center"/>
              <w:rPr>
                <w:rFonts w:eastAsia="Times New Roman" w:cs="Times New Roman"/>
                <w:color w:val="000000"/>
                <w:szCs w:val="24"/>
                <w:lang w:eastAsia="ru-RU"/>
              </w:rPr>
            </w:pPr>
            <w:r>
              <w:rPr>
                <w:color w:val="000000"/>
              </w:rPr>
              <w:t>Расстояние объекта до общественно-делового центра населенного пункта</w:t>
            </w:r>
          </w:p>
        </w:tc>
        <w:tc>
          <w:tcPr>
            <w:tcW w:w="562" w:type="pct"/>
            <w:tcBorders>
              <w:top w:val="nil"/>
              <w:left w:val="nil"/>
              <w:bottom w:val="single" w:sz="4" w:space="0" w:color="000000"/>
              <w:right w:val="single" w:sz="4" w:space="0" w:color="000000"/>
            </w:tcBorders>
            <w:shd w:val="clear" w:color="auto" w:fill="auto"/>
            <w:vAlign w:val="center"/>
            <w:hideMark/>
          </w:tcPr>
          <w:p w14:paraId="19B3DB12" w14:textId="1079AAB2" w:rsidR="00DB758B" w:rsidRPr="00A636A1" w:rsidRDefault="00DB758B" w:rsidP="00DB758B">
            <w:pPr>
              <w:ind w:firstLine="0"/>
              <w:jc w:val="center"/>
              <w:rPr>
                <w:rFonts w:eastAsia="Times New Roman" w:cs="Times New Roman"/>
                <w:color w:val="000000"/>
                <w:szCs w:val="24"/>
                <w:lang w:eastAsia="ru-RU"/>
              </w:rPr>
            </w:pPr>
            <w:r>
              <w:rPr>
                <w:color w:val="000000"/>
              </w:rPr>
              <w:t>0,32</w:t>
            </w:r>
          </w:p>
        </w:tc>
        <w:tc>
          <w:tcPr>
            <w:tcW w:w="562" w:type="pct"/>
            <w:tcBorders>
              <w:top w:val="nil"/>
              <w:left w:val="nil"/>
              <w:bottom w:val="single" w:sz="4" w:space="0" w:color="000000"/>
              <w:right w:val="single" w:sz="4" w:space="0" w:color="000000"/>
            </w:tcBorders>
            <w:shd w:val="clear" w:color="auto" w:fill="auto"/>
            <w:vAlign w:val="center"/>
            <w:hideMark/>
          </w:tcPr>
          <w:p w14:paraId="23E80580" w14:textId="6B323385" w:rsidR="00DB758B" w:rsidRPr="00A636A1" w:rsidRDefault="00DB758B" w:rsidP="00DB758B">
            <w:pPr>
              <w:ind w:firstLine="0"/>
              <w:jc w:val="center"/>
              <w:rPr>
                <w:rFonts w:eastAsia="Times New Roman" w:cs="Times New Roman"/>
                <w:color w:val="000000"/>
                <w:szCs w:val="24"/>
                <w:lang w:eastAsia="ru-RU"/>
              </w:rPr>
            </w:pPr>
            <w:r>
              <w:rPr>
                <w:color w:val="000000"/>
              </w:rPr>
              <w:t>0,56</w:t>
            </w:r>
          </w:p>
        </w:tc>
        <w:tc>
          <w:tcPr>
            <w:tcW w:w="609" w:type="pct"/>
            <w:tcBorders>
              <w:top w:val="nil"/>
              <w:left w:val="nil"/>
              <w:bottom w:val="single" w:sz="4" w:space="0" w:color="000000"/>
              <w:right w:val="single" w:sz="4" w:space="0" w:color="000000"/>
            </w:tcBorders>
            <w:shd w:val="clear" w:color="auto" w:fill="auto"/>
            <w:vAlign w:val="center"/>
            <w:hideMark/>
          </w:tcPr>
          <w:p w14:paraId="1727CFAD" w14:textId="1ED2D435" w:rsidR="00DB758B" w:rsidRPr="00A636A1" w:rsidRDefault="00DB758B" w:rsidP="00DB758B">
            <w:pPr>
              <w:ind w:firstLine="0"/>
              <w:jc w:val="center"/>
              <w:rPr>
                <w:rFonts w:eastAsia="Times New Roman" w:cs="Times New Roman"/>
                <w:color w:val="000000"/>
                <w:szCs w:val="24"/>
                <w:lang w:eastAsia="ru-RU"/>
              </w:rPr>
            </w:pPr>
            <w:r>
              <w:rPr>
                <w:color w:val="000000"/>
              </w:rPr>
              <w:t>нет</w:t>
            </w:r>
          </w:p>
        </w:tc>
        <w:tc>
          <w:tcPr>
            <w:tcW w:w="2066" w:type="pct"/>
            <w:tcBorders>
              <w:top w:val="nil"/>
              <w:left w:val="nil"/>
              <w:bottom w:val="single" w:sz="4" w:space="0" w:color="000000"/>
              <w:right w:val="single" w:sz="4" w:space="0" w:color="000000"/>
            </w:tcBorders>
            <w:shd w:val="clear" w:color="auto" w:fill="auto"/>
            <w:vAlign w:val="center"/>
            <w:hideMark/>
          </w:tcPr>
          <w:p w14:paraId="6D56E0F5" w14:textId="08745AF4" w:rsidR="00DB758B" w:rsidRPr="00A636A1" w:rsidRDefault="00DB758B" w:rsidP="00DB758B">
            <w:pPr>
              <w:ind w:firstLine="0"/>
              <w:jc w:val="left"/>
              <w:rPr>
                <w:rFonts w:eastAsia="Times New Roman" w:cs="Times New Roman"/>
                <w:color w:val="000000"/>
                <w:szCs w:val="24"/>
                <w:lang w:eastAsia="ru-RU"/>
              </w:rPr>
            </w:pPr>
            <w:r>
              <w:rPr>
                <w:color w:val="000000"/>
              </w:rPr>
              <w:t>Данный ценообразующий фактор сильно коррелирует с прочими ценообразующими факторами, определяющими локальное местоположение объекта</w:t>
            </w:r>
          </w:p>
        </w:tc>
      </w:tr>
      <w:tr w:rsidR="00DB758B" w:rsidRPr="00A636A1" w14:paraId="581BC191" w14:textId="77777777" w:rsidTr="00DB758B">
        <w:trPr>
          <w:trHeight w:val="945"/>
        </w:trPr>
        <w:tc>
          <w:tcPr>
            <w:tcW w:w="185" w:type="pct"/>
            <w:tcBorders>
              <w:top w:val="nil"/>
              <w:left w:val="single" w:sz="4" w:space="0" w:color="000000"/>
              <w:bottom w:val="single" w:sz="4" w:space="0" w:color="000000"/>
              <w:right w:val="single" w:sz="4" w:space="0" w:color="000000"/>
            </w:tcBorders>
            <w:shd w:val="clear" w:color="auto" w:fill="auto"/>
            <w:vAlign w:val="center"/>
            <w:hideMark/>
          </w:tcPr>
          <w:p w14:paraId="79010824" w14:textId="77777777" w:rsidR="00DB758B" w:rsidRPr="00A636A1" w:rsidRDefault="00DB758B" w:rsidP="00DB758B">
            <w:pPr>
              <w:ind w:firstLine="0"/>
              <w:jc w:val="center"/>
              <w:rPr>
                <w:rFonts w:eastAsia="Times New Roman" w:cs="Times New Roman"/>
                <w:color w:val="000000"/>
                <w:szCs w:val="24"/>
                <w:lang w:eastAsia="ru-RU"/>
              </w:rPr>
            </w:pPr>
            <w:r w:rsidRPr="00A636A1">
              <w:rPr>
                <w:rFonts w:eastAsia="Times New Roman" w:cs="Times New Roman"/>
                <w:color w:val="000000"/>
                <w:szCs w:val="24"/>
                <w:lang w:eastAsia="ru-RU"/>
              </w:rPr>
              <w:t>9</w:t>
            </w:r>
          </w:p>
        </w:tc>
        <w:tc>
          <w:tcPr>
            <w:tcW w:w="1016" w:type="pct"/>
            <w:tcBorders>
              <w:top w:val="nil"/>
              <w:left w:val="nil"/>
              <w:bottom w:val="single" w:sz="4" w:space="0" w:color="000000"/>
              <w:right w:val="single" w:sz="4" w:space="0" w:color="000000"/>
            </w:tcBorders>
            <w:shd w:val="clear" w:color="auto" w:fill="auto"/>
            <w:vAlign w:val="center"/>
            <w:hideMark/>
          </w:tcPr>
          <w:p w14:paraId="37A23920" w14:textId="7C8DE68C" w:rsidR="00DB758B" w:rsidRPr="00A636A1" w:rsidRDefault="00DB758B" w:rsidP="00DB758B">
            <w:pPr>
              <w:ind w:firstLine="0"/>
              <w:jc w:val="center"/>
              <w:rPr>
                <w:rFonts w:eastAsia="Times New Roman" w:cs="Times New Roman"/>
                <w:color w:val="000000"/>
                <w:szCs w:val="24"/>
                <w:lang w:eastAsia="ru-RU"/>
              </w:rPr>
            </w:pPr>
            <w:r>
              <w:rPr>
                <w:color w:val="000000"/>
              </w:rPr>
              <w:t>Расстояние от объекта до административного центра населенного пункта</w:t>
            </w:r>
          </w:p>
        </w:tc>
        <w:tc>
          <w:tcPr>
            <w:tcW w:w="562" w:type="pct"/>
            <w:tcBorders>
              <w:top w:val="nil"/>
              <w:left w:val="nil"/>
              <w:bottom w:val="single" w:sz="4" w:space="0" w:color="000000"/>
              <w:right w:val="single" w:sz="4" w:space="0" w:color="000000"/>
            </w:tcBorders>
            <w:shd w:val="clear" w:color="auto" w:fill="auto"/>
            <w:vAlign w:val="center"/>
            <w:hideMark/>
          </w:tcPr>
          <w:p w14:paraId="657657C4" w14:textId="2BC3E6D6" w:rsidR="00DB758B" w:rsidRPr="00A636A1" w:rsidRDefault="00DB758B" w:rsidP="00DB758B">
            <w:pPr>
              <w:ind w:firstLine="0"/>
              <w:jc w:val="center"/>
              <w:rPr>
                <w:rFonts w:eastAsia="Times New Roman" w:cs="Times New Roman"/>
                <w:color w:val="000000"/>
                <w:szCs w:val="24"/>
                <w:lang w:eastAsia="ru-RU"/>
              </w:rPr>
            </w:pPr>
            <w:r>
              <w:rPr>
                <w:color w:val="000000"/>
              </w:rPr>
              <w:t>0,51</w:t>
            </w:r>
          </w:p>
        </w:tc>
        <w:tc>
          <w:tcPr>
            <w:tcW w:w="562" w:type="pct"/>
            <w:tcBorders>
              <w:top w:val="nil"/>
              <w:left w:val="nil"/>
              <w:bottom w:val="single" w:sz="4" w:space="0" w:color="000000"/>
              <w:right w:val="single" w:sz="4" w:space="0" w:color="000000"/>
            </w:tcBorders>
            <w:shd w:val="clear" w:color="auto" w:fill="auto"/>
            <w:vAlign w:val="center"/>
            <w:hideMark/>
          </w:tcPr>
          <w:p w14:paraId="0811DD90" w14:textId="37EC54BD" w:rsidR="00DB758B" w:rsidRPr="00A636A1" w:rsidRDefault="00DB758B" w:rsidP="00DB758B">
            <w:pPr>
              <w:ind w:firstLine="0"/>
              <w:jc w:val="center"/>
              <w:rPr>
                <w:rFonts w:eastAsia="Times New Roman" w:cs="Times New Roman"/>
                <w:color w:val="000000"/>
                <w:szCs w:val="24"/>
                <w:lang w:eastAsia="ru-RU"/>
              </w:rPr>
            </w:pPr>
            <w:r>
              <w:rPr>
                <w:color w:val="000000"/>
              </w:rPr>
              <w:t>0,89</w:t>
            </w:r>
          </w:p>
        </w:tc>
        <w:tc>
          <w:tcPr>
            <w:tcW w:w="609" w:type="pct"/>
            <w:tcBorders>
              <w:top w:val="nil"/>
              <w:left w:val="nil"/>
              <w:bottom w:val="single" w:sz="4" w:space="0" w:color="000000"/>
              <w:right w:val="single" w:sz="4" w:space="0" w:color="000000"/>
            </w:tcBorders>
            <w:shd w:val="clear" w:color="auto" w:fill="auto"/>
            <w:vAlign w:val="center"/>
            <w:hideMark/>
          </w:tcPr>
          <w:p w14:paraId="306D8B3F" w14:textId="24D5A8AC" w:rsidR="00DB758B" w:rsidRPr="00A636A1" w:rsidRDefault="00DB758B" w:rsidP="00DB758B">
            <w:pPr>
              <w:ind w:firstLine="0"/>
              <w:jc w:val="center"/>
              <w:rPr>
                <w:rFonts w:eastAsia="Times New Roman" w:cs="Times New Roman"/>
                <w:color w:val="000000"/>
                <w:szCs w:val="24"/>
                <w:lang w:eastAsia="ru-RU"/>
              </w:rPr>
            </w:pPr>
            <w:r>
              <w:rPr>
                <w:color w:val="000000"/>
              </w:rPr>
              <w:t>да</w:t>
            </w:r>
          </w:p>
        </w:tc>
        <w:tc>
          <w:tcPr>
            <w:tcW w:w="2066" w:type="pct"/>
            <w:tcBorders>
              <w:top w:val="nil"/>
              <w:left w:val="nil"/>
              <w:bottom w:val="single" w:sz="4" w:space="0" w:color="000000"/>
              <w:right w:val="single" w:sz="4" w:space="0" w:color="000000"/>
            </w:tcBorders>
            <w:shd w:val="clear" w:color="auto" w:fill="auto"/>
            <w:vAlign w:val="center"/>
            <w:hideMark/>
          </w:tcPr>
          <w:p w14:paraId="7583B09F" w14:textId="3345E55D" w:rsidR="00DB758B" w:rsidRPr="00A636A1" w:rsidRDefault="00DB758B" w:rsidP="00DB758B">
            <w:pPr>
              <w:ind w:firstLine="0"/>
              <w:jc w:val="left"/>
              <w:rPr>
                <w:rFonts w:eastAsia="Times New Roman" w:cs="Times New Roman"/>
                <w:color w:val="000000"/>
                <w:szCs w:val="24"/>
                <w:lang w:eastAsia="ru-RU"/>
              </w:rPr>
            </w:pPr>
            <w:r>
              <w:rPr>
                <w:color w:val="000000"/>
              </w:rPr>
              <w:t>Ценообразующий фактор соответствует критериям, описанным выше. Данный фактор оказывает существенное влияние на стоимость объектов недвижимости</w:t>
            </w:r>
          </w:p>
        </w:tc>
      </w:tr>
      <w:tr w:rsidR="00DB758B" w:rsidRPr="00A636A1" w14:paraId="494F9C48" w14:textId="77777777" w:rsidTr="00DB758B">
        <w:trPr>
          <w:trHeight w:val="630"/>
        </w:trPr>
        <w:tc>
          <w:tcPr>
            <w:tcW w:w="185" w:type="pct"/>
            <w:tcBorders>
              <w:top w:val="nil"/>
              <w:left w:val="single" w:sz="4" w:space="0" w:color="000000"/>
              <w:bottom w:val="single" w:sz="4" w:space="0" w:color="000000"/>
              <w:right w:val="single" w:sz="4" w:space="0" w:color="000000"/>
            </w:tcBorders>
            <w:shd w:val="clear" w:color="auto" w:fill="auto"/>
            <w:vAlign w:val="center"/>
            <w:hideMark/>
          </w:tcPr>
          <w:p w14:paraId="3BDDB09E" w14:textId="77777777" w:rsidR="00DB758B" w:rsidRPr="00A636A1" w:rsidRDefault="00DB758B" w:rsidP="00DB758B">
            <w:pPr>
              <w:ind w:firstLine="0"/>
              <w:jc w:val="center"/>
              <w:rPr>
                <w:rFonts w:eastAsia="Times New Roman" w:cs="Times New Roman"/>
                <w:color w:val="000000"/>
                <w:szCs w:val="24"/>
                <w:lang w:eastAsia="ru-RU"/>
              </w:rPr>
            </w:pPr>
            <w:r w:rsidRPr="00A636A1">
              <w:rPr>
                <w:rFonts w:eastAsia="Times New Roman" w:cs="Times New Roman"/>
                <w:color w:val="000000"/>
                <w:szCs w:val="24"/>
                <w:lang w:eastAsia="ru-RU"/>
              </w:rPr>
              <w:t>10</w:t>
            </w:r>
          </w:p>
        </w:tc>
        <w:tc>
          <w:tcPr>
            <w:tcW w:w="1016" w:type="pct"/>
            <w:tcBorders>
              <w:top w:val="nil"/>
              <w:left w:val="nil"/>
              <w:bottom w:val="single" w:sz="4" w:space="0" w:color="000000"/>
              <w:right w:val="single" w:sz="4" w:space="0" w:color="000000"/>
            </w:tcBorders>
            <w:shd w:val="clear" w:color="auto" w:fill="auto"/>
            <w:vAlign w:val="center"/>
            <w:hideMark/>
          </w:tcPr>
          <w:p w14:paraId="42CD682D" w14:textId="22E0024C" w:rsidR="00DB758B" w:rsidRPr="00A636A1" w:rsidRDefault="00DB758B" w:rsidP="00DB758B">
            <w:pPr>
              <w:ind w:firstLine="0"/>
              <w:jc w:val="center"/>
              <w:rPr>
                <w:rFonts w:eastAsia="Times New Roman" w:cs="Times New Roman"/>
                <w:color w:val="000000"/>
                <w:szCs w:val="24"/>
                <w:lang w:eastAsia="ru-RU"/>
              </w:rPr>
            </w:pPr>
            <w:r>
              <w:rPr>
                <w:color w:val="000000"/>
              </w:rPr>
              <w:t>Расстояние от объекта до историко-культурного центра населенного пункта</w:t>
            </w:r>
          </w:p>
        </w:tc>
        <w:tc>
          <w:tcPr>
            <w:tcW w:w="562" w:type="pct"/>
            <w:tcBorders>
              <w:top w:val="nil"/>
              <w:left w:val="nil"/>
              <w:bottom w:val="single" w:sz="4" w:space="0" w:color="000000"/>
              <w:right w:val="single" w:sz="4" w:space="0" w:color="000000"/>
            </w:tcBorders>
            <w:shd w:val="clear" w:color="auto" w:fill="auto"/>
            <w:vAlign w:val="center"/>
            <w:hideMark/>
          </w:tcPr>
          <w:p w14:paraId="5D226AD3" w14:textId="4A8B7896" w:rsidR="00DB758B" w:rsidRPr="00A636A1" w:rsidRDefault="00DB758B" w:rsidP="00DB758B">
            <w:pPr>
              <w:ind w:firstLine="0"/>
              <w:jc w:val="center"/>
              <w:rPr>
                <w:rFonts w:eastAsia="Times New Roman" w:cs="Times New Roman"/>
                <w:color w:val="000000"/>
                <w:szCs w:val="24"/>
                <w:lang w:eastAsia="ru-RU"/>
              </w:rPr>
            </w:pPr>
            <w:r>
              <w:rPr>
                <w:color w:val="000000"/>
              </w:rPr>
              <w:t>0,45</w:t>
            </w:r>
          </w:p>
        </w:tc>
        <w:tc>
          <w:tcPr>
            <w:tcW w:w="562" w:type="pct"/>
            <w:tcBorders>
              <w:top w:val="nil"/>
              <w:left w:val="nil"/>
              <w:bottom w:val="single" w:sz="4" w:space="0" w:color="000000"/>
              <w:right w:val="single" w:sz="4" w:space="0" w:color="000000"/>
            </w:tcBorders>
            <w:shd w:val="clear" w:color="auto" w:fill="auto"/>
            <w:vAlign w:val="center"/>
            <w:hideMark/>
          </w:tcPr>
          <w:p w14:paraId="0C6910C0" w14:textId="3D8D0E7F" w:rsidR="00DB758B" w:rsidRPr="00A636A1" w:rsidRDefault="00DB758B" w:rsidP="00DB758B">
            <w:pPr>
              <w:ind w:firstLine="0"/>
              <w:jc w:val="center"/>
              <w:rPr>
                <w:rFonts w:eastAsia="Times New Roman" w:cs="Times New Roman"/>
                <w:color w:val="000000"/>
                <w:szCs w:val="24"/>
                <w:lang w:eastAsia="ru-RU"/>
              </w:rPr>
            </w:pPr>
            <w:r>
              <w:rPr>
                <w:color w:val="000000"/>
              </w:rPr>
              <w:t>0,78</w:t>
            </w:r>
          </w:p>
        </w:tc>
        <w:tc>
          <w:tcPr>
            <w:tcW w:w="609" w:type="pct"/>
            <w:tcBorders>
              <w:top w:val="nil"/>
              <w:left w:val="nil"/>
              <w:bottom w:val="single" w:sz="4" w:space="0" w:color="000000"/>
              <w:right w:val="single" w:sz="4" w:space="0" w:color="000000"/>
            </w:tcBorders>
            <w:shd w:val="clear" w:color="auto" w:fill="auto"/>
            <w:vAlign w:val="center"/>
            <w:hideMark/>
          </w:tcPr>
          <w:p w14:paraId="35B43F09" w14:textId="1A76C12B" w:rsidR="00DB758B" w:rsidRPr="00A636A1" w:rsidRDefault="00DB758B" w:rsidP="00DB758B">
            <w:pPr>
              <w:ind w:firstLine="0"/>
              <w:jc w:val="center"/>
              <w:rPr>
                <w:rFonts w:eastAsia="Times New Roman" w:cs="Times New Roman"/>
                <w:color w:val="000000"/>
                <w:szCs w:val="24"/>
                <w:lang w:eastAsia="ru-RU"/>
              </w:rPr>
            </w:pPr>
            <w:r>
              <w:rPr>
                <w:color w:val="000000"/>
              </w:rPr>
              <w:t>нет</w:t>
            </w:r>
          </w:p>
        </w:tc>
        <w:tc>
          <w:tcPr>
            <w:tcW w:w="2066" w:type="pct"/>
            <w:tcBorders>
              <w:top w:val="nil"/>
              <w:left w:val="nil"/>
              <w:bottom w:val="single" w:sz="4" w:space="0" w:color="000000"/>
              <w:right w:val="single" w:sz="4" w:space="0" w:color="000000"/>
            </w:tcBorders>
            <w:shd w:val="clear" w:color="auto" w:fill="auto"/>
            <w:vAlign w:val="center"/>
            <w:hideMark/>
          </w:tcPr>
          <w:p w14:paraId="5EE31954" w14:textId="3B8E0722" w:rsidR="00DB758B" w:rsidRPr="00A636A1" w:rsidRDefault="00DB758B" w:rsidP="00DB758B">
            <w:pPr>
              <w:ind w:firstLine="0"/>
              <w:jc w:val="left"/>
              <w:rPr>
                <w:rFonts w:eastAsia="Times New Roman" w:cs="Times New Roman"/>
                <w:color w:val="000000"/>
                <w:szCs w:val="24"/>
                <w:lang w:eastAsia="ru-RU"/>
              </w:rPr>
            </w:pPr>
            <w:r>
              <w:rPr>
                <w:color w:val="000000"/>
              </w:rPr>
              <w:t>Данный ценообразующий фактор сильно коррелирует с прочими ценообразующими факторами, определяющими локальное местоположение объекта</w:t>
            </w:r>
          </w:p>
        </w:tc>
      </w:tr>
      <w:tr w:rsidR="00DB758B" w:rsidRPr="00A636A1" w14:paraId="60D9E56A" w14:textId="77777777" w:rsidTr="00DB758B">
        <w:trPr>
          <w:trHeight w:val="945"/>
        </w:trPr>
        <w:tc>
          <w:tcPr>
            <w:tcW w:w="185" w:type="pct"/>
            <w:tcBorders>
              <w:top w:val="nil"/>
              <w:left w:val="single" w:sz="4" w:space="0" w:color="000000"/>
              <w:bottom w:val="single" w:sz="4" w:space="0" w:color="000000"/>
              <w:right w:val="single" w:sz="4" w:space="0" w:color="000000"/>
            </w:tcBorders>
            <w:shd w:val="clear" w:color="auto" w:fill="auto"/>
            <w:vAlign w:val="center"/>
            <w:hideMark/>
          </w:tcPr>
          <w:p w14:paraId="0E2B5E29" w14:textId="77777777" w:rsidR="00DB758B" w:rsidRPr="00A636A1" w:rsidRDefault="00DB758B" w:rsidP="00DB758B">
            <w:pPr>
              <w:ind w:firstLine="0"/>
              <w:jc w:val="center"/>
              <w:rPr>
                <w:rFonts w:eastAsia="Times New Roman" w:cs="Times New Roman"/>
                <w:color w:val="000000"/>
                <w:szCs w:val="24"/>
                <w:lang w:eastAsia="ru-RU"/>
              </w:rPr>
            </w:pPr>
            <w:r w:rsidRPr="00A636A1">
              <w:rPr>
                <w:rFonts w:eastAsia="Times New Roman" w:cs="Times New Roman"/>
                <w:color w:val="000000"/>
                <w:szCs w:val="24"/>
                <w:lang w:eastAsia="ru-RU"/>
              </w:rPr>
              <w:t>11</w:t>
            </w:r>
          </w:p>
        </w:tc>
        <w:tc>
          <w:tcPr>
            <w:tcW w:w="1016" w:type="pct"/>
            <w:tcBorders>
              <w:top w:val="nil"/>
              <w:left w:val="nil"/>
              <w:bottom w:val="single" w:sz="4" w:space="0" w:color="000000"/>
              <w:right w:val="single" w:sz="4" w:space="0" w:color="000000"/>
            </w:tcBorders>
            <w:shd w:val="clear" w:color="auto" w:fill="auto"/>
            <w:vAlign w:val="center"/>
            <w:hideMark/>
          </w:tcPr>
          <w:p w14:paraId="30C802DE" w14:textId="7116D3C3" w:rsidR="00DB758B" w:rsidRPr="00A636A1" w:rsidRDefault="00DB758B" w:rsidP="00DB758B">
            <w:pPr>
              <w:ind w:firstLine="0"/>
              <w:jc w:val="center"/>
              <w:rPr>
                <w:rFonts w:eastAsia="Times New Roman" w:cs="Times New Roman"/>
                <w:color w:val="000000"/>
                <w:szCs w:val="24"/>
                <w:lang w:eastAsia="ru-RU"/>
              </w:rPr>
            </w:pPr>
            <w:r>
              <w:rPr>
                <w:color w:val="000000"/>
              </w:rPr>
              <w:t>Расстояние от объекта до локального(-ых) центра(-ов), отрицательно влияющего(-их) на стоимость объек</w:t>
            </w:r>
          </w:p>
        </w:tc>
        <w:tc>
          <w:tcPr>
            <w:tcW w:w="562" w:type="pct"/>
            <w:tcBorders>
              <w:top w:val="nil"/>
              <w:left w:val="nil"/>
              <w:bottom w:val="single" w:sz="4" w:space="0" w:color="000000"/>
              <w:right w:val="single" w:sz="4" w:space="0" w:color="000000"/>
            </w:tcBorders>
            <w:shd w:val="clear" w:color="auto" w:fill="auto"/>
            <w:vAlign w:val="center"/>
            <w:hideMark/>
          </w:tcPr>
          <w:p w14:paraId="0422CC6E" w14:textId="4FE9D39B" w:rsidR="00DB758B" w:rsidRPr="00A636A1" w:rsidRDefault="00DB758B" w:rsidP="00DB758B">
            <w:pPr>
              <w:ind w:firstLine="0"/>
              <w:jc w:val="center"/>
              <w:rPr>
                <w:rFonts w:eastAsia="Times New Roman" w:cs="Times New Roman"/>
                <w:color w:val="000000"/>
                <w:szCs w:val="24"/>
                <w:lang w:eastAsia="ru-RU"/>
              </w:rPr>
            </w:pPr>
            <w:r>
              <w:rPr>
                <w:color w:val="000000"/>
              </w:rPr>
              <w:t>0,38</w:t>
            </w:r>
          </w:p>
        </w:tc>
        <w:tc>
          <w:tcPr>
            <w:tcW w:w="562" w:type="pct"/>
            <w:tcBorders>
              <w:top w:val="nil"/>
              <w:left w:val="nil"/>
              <w:bottom w:val="single" w:sz="4" w:space="0" w:color="000000"/>
              <w:right w:val="single" w:sz="4" w:space="0" w:color="000000"/>
            </w:tcBorders>
            <w:shd w:val="clear" w:color="auto" w:fill="auto"/>
            <w:vAlign w:val="center"/>
            <w:hideMark/>
          </w:tcPr>
          <w:p w14:paraId="460939E7" w14:textId="1CF9A432" w:rsidR="00DB758B" w:rsidRPr="00A636A1" w:rsidRDefault="00DB758B" w:rsidP="00DB758B">
            <w:pPr>
              <w:ind w:firstLine="0"/>
              <w:jc w:val="center"/>
              <w:rPr>
                <w:rFonts w:eastAsia="Times New Roman" w:cs="Times New Roman"/>
                <w:color w:val="000000"/>
                <w:szCs w:val="24"/>
                <w:lang w:eastAsia="ru-RU"/>
              </w:rPr>
            </w:pPr>
            <w:r>
              <w:rPr>
                <w:color w:val="000000"/>
              </w:rPr>
              <w:t>0,66</w:t>
            </w:r>
          </w:p>
        </w:tc>
        <w:tc>
          <w:tcPr>
            <w:tcW w:w="609" w:type="pct"/>
            <w:tcBorders>
              <w:top w:val="nil"/>
              <w:left w:val="nil"/>
              <w:bottom w:val="single" w:sz="4" w:space="0" w:color="000000"/>
              <w:right w:val="single" w:sz="4" w:space="0" w:color="000000"/>
            </w:tcBorders>
            <w:shd w:val="clear" w:color="auto" w:fill="auto"/>
            <w:vAlign w:val="center"/>
            <w:hideMark/>
          </w:tcPr>
          <w:p w14:paraId="6AFF379F" w14:textId="5EE4A790" w:rsidR="00DB758B" w:rsidRPr="00A636A1" w:rsidRDefault="00DB758B" w:rsidP="00DB758B">
            <w:pPr>
              <w:ind w:firstLine="0"/>
              <w:jc w:val="center"/>
              <w:rPr>
                <w:rFonts w:eastAsia="Times New Roman" w:cs="Times New Roman"/>
                <w:color w:val="000000"/>
                <w:szCs w:val="24"/>
                <w:lang w:eastAsia="ru-RU"/>
              </w:rPr>
            </w:pPr>
            <w:r>
              <w:rPr>
                <w:color w:val="000000"/>
              </w:rPr>
              <w:t>нет</w:t>
            </w:r>
          </w:p>
        </w:tc>
        <w:tc>
          <w:tcPr>
            <w:tcW w:w="2066" w:type="pct"/>
            <w:tcBorders>
              <w:top w:val="nil"/>
              <w:left w:val="nil"/>
              <w:bottom w:val="single" w:sz="4" w:space="0" w:color="000000"/>
              <w:right w:val="single" w:sz="4" w:space="0" w:color="000000"/>
            </w:tcBorders>
            <w:shd w:val="clear" w:color="auto" w:fill="auto"/>
            <w:vAlign w:val="center"/>
            <w:hideMark/>
          </w:tcPr>
          <w:p w14:paraId="5C05AD65" w14:textId="7DEE5100" w:rsidR="00DB758B" w:rsidRPr="00A636A1" w:rsidRDefault="00DB758B" w:rsidP="00DB758B">
            <w:pPr>
              <w:ind w:firstLine="0"/>
              <w:jc w:val="left"/>
              <w:rPr>
                <w:rFonts w:eastAsia="Times New Roman" w:cs="Times New Roman"/>
                <w:color w:val="000000"/>
                <w:szCs w:val="24"/>
                <w:lang w:eastAsia="ru-RU"/>
              </w:rPr>
            </w:pPr>
            <w:r>
              <w:rPr>
                <w:color w:val="000000"/>
              </w:rPr>
              <w:t>Данный ценообразующий фактор сильно коррелирует с прочими ценообразующими факторами, определяющими локальное местоположение объекта</w:t>
            </w:r>
          </w:p>
        </w:tc>
      </w:tr>
      <w:tr w:rsidR="00DB758B" w:rsidRPr="00A636A1" w14:paraId="39AEDD43" w14:textId="77777777" w:rsidTr="00DB758B">
        <w:trPr>
          <w:trHeight w:val="945"/>
        </w:trPr>
        <w:tc>
          <w:tcPr>
            <w:tcW w:w="185" w:type="pct"/>
            <w:tcBorders>
              <w:top w:val="nil"/>
              <w:left w:val="single" w:sz="4" w:space="0" w:color="000000"/>
              <w:bottom w:val="single" w:sz="4" w:space="0" w:color="000000"/>
              <w:right w:val="single" w:sz="4" w:space="0" w:color="000000"/>
            </w:tcBorders>
            <w:shd w:val="clear" w:color="auto" w:fill="auto"/>
            <w:vAlign w:val="center"/>
            <w:hideMark/>
          </w:tcPr>
          <w:p w14:paraId="2242F8AA" w14:textId="77777777" w:rsidR="00DB758B" w:rsidRPr="00A636A1" w:rsidRDefault="00DB758B" w:rsidP="00DB758B">
            <w:pPr>
              <w:ind w:firstLine="0"/>
              <w:jc w:val="center"/>
              <w:rPr>
                <w:rFonts w:eastAsia="Times New Roman" w:cs="Times New Roman"/>
                <w:color w:val="000000"/>
                <w:szCs w:val="24"/>
                <w:lang w:eastAsia="ru-RU"/>
              </w:rPr>
            </w:pPr>
            <w:r w:rsidRPr="00A636A1">
              <w:rPr>
                <w:rFonts w:eastAsia="Times New Roman" w:cs="Times New Roman"/>
                <w:color w:val="000000"/>
                <w:szCs w:val="24"/>
                <w:lang w:eastAsia="ru-RU"/>
              </w:rPr>
              <w:t>12</w:t>
            </w:r>
          </w:p>
        </w:tc>
        <w:tc>
          <w:tcPr>
            <w:tcW w:w="1016" w:type="pct"/>
            <w:tcBorders>
              <w:top w:val="nil"/>
              <w:left w:val="nil"/>
              <w:bottom w:val="single" w:sz="4" w:space="0" w:color="000000"/>
              <w:right w:val="single" w:sz="4" w:space="0" w:color="000000"/>
            </w:tcBorders>
            <w:shd w:val="clear" w:color="auto" w:fill="auto"/>
            <w:vAlign w:val="center"/>
            <w:hideMark/>
          </w:tcPr>
          <w:p w14:paraId="7E4A4D79" w14:textId="1ACFB70F" w:rsidR="00DB758B" w:rsidRPr="00A636A1" w:rsidRDefault="00DB758B" w:rsidP="00DB758B">
            <w:pPr>
              <w:ind w:firstLine="0"/>
              <w:jc w:val="center"/>
              <w:rPr>
                <w:rFonts w:eastAsia="Times New Roman" w:cs="Times New Roman"/>
                <w:color w:val="000000"/>
                <w:szCs w:val="24"/>
                <w:lang w:eastAsia="ru-RU"/>
              </w:rPr>
            </w:pPr>
            <w:r>
              <w:rPr>
                <w:color w:val="000000"/>
              </w:rPr>
              <w:t>Расстояние от объекта до локального(-ых) центра(-ов), положительно влияющего(-их) на стоимость объек</w:t>
            </w:r>
          </w:p>
        </w:tc>
        <w:tc>
          <w:tcPr>
            <w:tcW w:w="562" w:type="pct"/>
            <w:tcBorders>
              <w:top w:val="nil"/>
              <w:left w:val="nil"/>
              <w:bottom w:val="single" w:sz="4" w:space="0" w:color="000000"/>
              <w:right w:val="single" w:sz="4" w:space="0" w:color="000000"/>
            </w:tcBorders>
            <w:shd w:val="clear" w:color="auto" w:fill="auto"/>
            <w:vAlign w:val="center"/>
            <w:hideMark/>
          </w:tcPr>
          <w:p w14:paraId="038B123F" w14:textId="1C64D91A" w:rsidR="00DB758B" w:rsidRPr="00A636A1" w:rsidRDefault="00DB758B" w:rsidP="00DB758B">
            <w:pPr>
              <w:ind w:firstLine="0"/>
              <w:jc w:val="center"/>
              <w:rPr>
                <w:rFonts w:eastAsia="Times New Roman" w:cs="Times New Roman"/>
                <w:color w:val="000000"/>
                <w:szCs w:val="24"/>
                <w:lang w:eastAsia="ru-RU"/>
              </w:rPr>
            </w:pPr>
            <w:r>
              <w:rPr>
                <w:color w:val="000000"/>
              </w:rPr>
              <w:t>0,34</w:t>
            </w:r>
          </w:p>
        </w:tc>
        <w:tc>
          <w:tcPr>
            <w:tcW w:w="562" w:type="pct"/>
            <w:tcBorders>
              <w:top w:val="nil"/>
              <w:left w:val="nil"/>
              <w:bottom w:val="single" w:sz="4" w:space="0" w:color="000000"/>
              <w:right w:val="single" w:sz="4" w:space="0" w:color="000000"/>
            </w:tcBorders>
            <w:shd w:val="clear" w:color="auto" w:fill="auto"/>
            <w:vAlign w:val="center"/>
            <w:hideMark/>
          </w:tcPr>
          <w:p w14:paraId="0947B4F6" w14:textId="0F838D61" w:rsidR="00DB758B" w:rsidRPr="00A636A1" w:rsidRDefault="00DB758B" w:rsidP="00DB758B">
            <w:pPr>
              <w:ind w:firstLine="0"/>
              <w:jc w:val="center"/>
              <w:rPr>
                <w:rFonts w:eastAsia="Times New Roman" w:cs="Times New Roman"/>
                <w:color w:val="000000"/>
                <w:szCs w:val="24"/>
                <w:lang w:eastAsia="ru-RU"/>
              </w:rPr>
            </w:pPr>
            <w:r>
              <w:rPr>
                <w:color w:val="000000"/>
              </w:rPr>
              <w:t>0,6</w:t>
            </w:r>
          </w:p>
        </w:tc>
        <w:tc>
          <w:tcPr>
            <w:tcW w:w="609" w:type="pct"/>
            <w:tcBorders>
              <w:top w:val="nil"/>
              <w:left w:val="nil"/>
              <w:bottom w:val="single" w:sz="4" w:space="0" w:color="000000"/>
              <w:right w:val="single" w:sz="4" w:space="0" w:color="000000"/>
            </w:tcBorders>
            <w:shd w:val="clear" w:color="auto" w:fill="auto"/>
            <w:vAlign w:val="center"/>
            <w:hideMark/>
          </w:tcPr>
          <w:p w14:paraId="1EF5EC14" w14:textId="026E3B97" w:rsidR="00DB758B" w:rsidRPr="00A636A1" w:rsidRDefault="00DB758B" w:rsidP="00DB758B">
            <w:pPr>
              <w:ind w:firstLine="0"/>
              <w:jc w:val="center"/>
              <w:rPr>
                <w:rFonts w:eastAsia="Times New Roman" w:cs="Times New Roman"/>
                <w:color w:val="000000"/>
                <w:szCs w:val="24"/>
                <w:lang w:eastAsia="ru-RU"/>
              </w:rPr>
            </w:pPr>
            <w:r>
              <w:rPr>
                <w:color w:val="000000"/>
              </w:rPr>
              <w:t>нет</w:t>
            </w:r>
          </w:p>
        </w:tc>
        <w:tc>
          <w:tcPr>
            <w:tcW w:w="2066" w:type="pct"/>
            <w:tcBorders>
              <w:top w:val="nil"/>
              <w:left w:val="nil"/>
              <w:bottom w:val="single" w:sz="4" w:space="0" w:color="000000"/>
              <w:right w:val="single" w:sz="4" w:space="0" w:color="000000"/>
            </w:tcBorders>
            <w:shd w:val="clear" w:color="auto" w:fill="auto"/>
            <w:vAlign w:val="center"/>
            <w:hideMark/>
          </w:tcPr>
          <w:p w14:paraId="5B6E8345" w14:textId="0714A7F1" w:rsidR="00DB758B" w:rsidRPr="00A636A1" w:rsidRDefault="00DB758B" w:rsidP="00DB758B">
            <w:pPr>
              <w:ind w:firstLine="0"/>
              <w:jc w:val="left"/>
              <w:rPr>
                <w:rFonts w:eastAsia="Times New Roman" w:cs="Times New Roman"/>
                <w:color w:val="000000"/>
                <w:szCs w:val="24"/>
                <w:lang w:eastAsia="ru-RU"/>
              </w:rPr>
            </w:pPr>
            <w:r>
              <w:rPr>
                <w:color w:val="000000"/>
              </w:rPr>
              <w:t>Данный ценообразующий фактор сильно коррелирует с прочими ценообразующими факторами, определяющими локальное местоположение объекта</w:t>
            </w:r>
          </w:p>
        </w:tc>
      </w:tr>
      <w:tr w:rsidR="00DB758B" w:rsidRPr="00A636A1" w14:paraId="316AAE86" w14:textId="77777777" w:rsidTr="00DB758B">
        <w:trPr>
          <w:trHeight w:val="630"/>
        </w:trPr>
        <w:tc>
          <w:tcPr>
            <w:tcW w:w="185" w:type="pct"/>
            <w:tcBorders>
              <w:top w:val="nil"/>
              <w:left w:val="single" w:sz="4" w:space="0" w:color="000000"/>
              <w:bottom w:val="single" w:sz="4" w:space="0" w:color="000000"/>
              <w:right w:val="single" w:sz="4" w:space="0" w:color="000000"/>
            </w:tcBorders>
            <w:shd w:val="clear" w:color="auto" w:fill="auto"/>
            <w:vAlign w:val="center"/>
            <w:hideMark/>
          </w:tcPr>
          <w:p w14:paraId="046B1C19" w14:textId="77777777" w:rsidR="00DB758B" w:rsidRPr="00A636A1" w:rsidRDefault="00DB758B" w:rsidP="00DB758B">
            <w:pPr>
              <w:ind w:firstLine="0"/>
              <w:jc w:val="center"/>
              <w:rPr>
                <w:rFonts w:eastAsia="Times New Roman" w:cs="Times New Roman"/>
                <w:color w:val="000000"/>
                <w:szCs w:val="24"/>
                <w:lang w:eastAsia="ru-RU"/>
              </w:rPr>
            </w:pPr>
            <w:r w:rsidRPr="00A636A1">
              <w:rPr>
                <w:rFonts w:eastAsia="Times New Roman" w:cs="Times New Roman"/>
                <w:color w:val="000000"/>
                <w:szCs w:val="24"/>
                <w:lang w:eastAsia="ru-RU"/>
              </w:rPr>
              <w:t>13</w:t>
            </w:r>
          </w:p>
        </w:tc>
        <w:tc>
          <w:tcPr>
            <w:tcW w:w="1016" w:type="pct"/>
            <w:tcBorders>
              <w:top w:val="nil"/>
              <w:left w:val="nil"/>
              <w:bottom w:val="single" w:sz="4" w:space="0" w:color="000000"/>
              <w:right w:val="single" w:sz="4" w:space="0" w:color="000000"/>
            </w:tcBorders>
            <w:shd w:val="clear" w:color="auto" w:fill="auto"/>
            <w:vAlign w:val="center"/>
            <w:hideMark/>
          </w:tcPr>
          <w:p w14:paraId="1C21ACDF" w14:textId="2240AAFE" w:rsidR="00DB758B" w:rsidRPr="00A636A1" w:rsidRDefault="00DB758B" w:rsidP="00DB758B">
            <w:pPr>
              <w:ind w:firstLine="0"/>
              <w:jc w:val="center"/>
              <w:rPr>
                <w:rFonts w:eastAsia="Times New Roman" w:cs="Times New Roman"/>
                <w:color w:val="000000"/>
                <w:szCs w:val="24"/>
                <w:lang w:eastAsia="ru-RU"/>
              </w:rPr>
            </w:pPr>
            <w:r>
              <w:rPr>
                <w:color w:val="000000"/>
              </w:rPr>
              <w:t>Теплоснабжение</w:t>
            </w:r>
          </w:p>
        </w:tc>
        <w:tc>
          <w:tcPr>
            <w:tcW w:w="562" w:type="pct"/>
            <w:tcBorders>
              <w:top w:val="nil"/>
              <w:left w:val="nil"/>
              <w:bottom w:val="single" w:sz="4" w:space="0" w:color="000000"/>
              <w:right w:val="single" w:sz="4" w:space="0" w:color="000000"/>
            </w:tcBorders>
            <w:shd w:val="clear" w:color="auto" w:fill="auto"/>
            <w:vAlign w:val="center"/>
            <w:hideMark/>
          </w:tcPr>
          <w:p w14:paraId="52F1ACEB" w14:textId="01773E86" w:rsidR="00DB758B" w:rsidRPr="00A636A1" w:rsidRDefault="00DB758B" w:rsidP="00DB758B">
            <w:pPr>
              <w:ind w:firstLine="0"/>
              <w:jc w:val="center"/>
              <w:rPr>
                <w:rFonts w:eastAsia="Times New Roman" w:cs="Times New Roman"/>
                <w:color w:val="000000"/>
                <w:szCs w:val="24"/>
                <w:lang w:eastAsia="ru-RU"/>
              </w:rPr>
            </w:pPr>
            <w:r>
              <w:rPr>
                <w:color w:val="000000"/>
              </w:rPr>
              <w:t>0,087</w:t>
            </w:r>
          </w:p>
        </w:tc>
        <w:tc>
          <w:tcPr>
            <w:tcW w:w="562" w:type="pct"/>
            <w:tcBorders>
              <w:top w:val="nil"/>
              <w:left w:val="nil"/>
              <w:bottom w:val="single" w:sz="4" w:space="0" w:color="000000"/>
              <w:right w:val="single" w:sz="4" w:space="0" w:color="000000"/>
            </w:tcBorders>
            <w:shd w:val="clear" w:color="auto" w:fill="auto"/>
            <w:vAlign w:val="center"/>
            <w:hideMark/>
          </w:tcPr>
          <w:p w14:paraId="1C839F45" w14:textId="461F5A0C" w:rsidR="00DB758B" w:rsidRPr="00A636A1" w:rsidRDefault="00DB758B" w:rsidP="00DB758B">
            <w:pPr>
              <w:ind w:firstLine="0"/>
              <w:jc w:val="center"/>
              <w:rPr>
                <w:rFonts w:eastAsia="Times New Roman" w:cs="Times New Roman"/>
                <w:color w:val="000000"/>
                <w:szCs w:val="24"/>
                <w:lang w:eastAsia="ru-RU"/>
              </w:rPr>
            </w:pPr>
            <w:r>
              <w:rPr>
                <w:color w:val="000000"/>
              </w:rPr>
              <w:t>0,15</w:t>
            </w:r>
          </w:p>
        </w:tc>
        <w:tc>
          <w:tcPr>
            <w:tcW w:w="609" w:type="pct"/>
            <w:tcBorders>
              <w:top w:val="nil"/>
              <w:left w:val="nil"/>
              <w:bottom w:val="single" w:sz="4" w:space="0" w:color="000000"/>
              <w:right w:val="single" w:sz="4" w:space="0" w:color="000000"/>
            </w:tcBorders>
            <w:shd w:val="clear" w:color="auto" w:fill="auto"/>
            <w:vAlign w:val="center"/>
            <w:hideMark/>
          </w:tcPr>
          <w:p w14:paraId="0081E320" w14:textId="773141A7" w:rsidR="00DB758B" w:rsidRPr="00A636A1" w:rsidRDefault="00DB758B" w:rsidP="00DB758B">
            <w:pPr>
              <w:ind w:firstLine="0"/>
              <w:jc w:val="center"/>
              <w:rPr>
                <w:rFonts w:eastAsia="Times New Roman" w:cs="Times New Roman"/>
                <w:color w:val="000000"/>
                <w:szCs w:val="24"/>
                <w:lang w:eastAsia="ru-RU"/>
              </w:rPr>
            </w:pPr>
            <w:r>
              <w:rPr>
                <w:color w:val="000000"/>
              </w:rPr>
              <w:t>нет</w:t>
            </w:r>
          </w:p>
        </w:tc>
        <w:tc>
          <w:tcPr>
            <w:tcW w:w="2066" w:type="pct"/>
            <w:tcBorders>
              <w:top w:val="nil"/>
              <w:left w:val="nil"/>
              <w:bottom w:val="single" w:sz="4" w:space="0" w:color="000000"/>
              <w:right w:val="single" w:sz="4" w:space="0" w:color="000000"/>
            </w:tcBorders>
            <w:shd w:val="clear" w:color="auto" w:fill="auto"/>
            <w:vAlign w:val="center"/>
            <w:hideMark/>
          </w:tcPr>
          <w:p w14:paraId="11F2F9ED" w14:textId="0C10306B" w:rsidR="00DB758B" w:rsidRPr="00A636A1" w:rsidRDefault="00DB758B" w:rsidP="00DB758B">
            <w:pPr>
              <w:ind w:firstLine="0"/>
              <w:jc w:val="left"/>
              <w:rPr>
                <w:rFonts w:eastAsia="Times New Roman" w:cs="Times New Roman"/>
                <w:color w:val="000000"/>
                <w:szCs w:val="24"/>
                <w:lang w:eastAsia="ru-RU"/>
              </w:rPr>
            </w:pPr>
            <w:r>
              <w:rPr>
                <w:color w:val="000000"/>
              </w:rPr>
              <w:t>Коэффициент корреляции ценообразующего фактора очень мал и ценообразующий фактор статистически не значим в модели</w:t>
            </w:r>
          </w:p>
        </w:tc>
      </w:tr>
      <w:tr w:rsidR="00DB758B" w:rsidRPr="00A636A1" w14:paraId="1750A59A" w14:textId="77777777" w:rsidTr="00DB758B">
        <w:trPr>
          <w:trHeight w:val="630"/>
        </w:trPr>
        <w:tc>
          <w:tcPr>
            <w:tcW w:w="185" w:type="pct"/>
            <w:tcBorders>
              <w:top w:val="nil"/>
              <w:left w:val="single" w:sz="4" w:space="0" w:color="000000"/>
              <w:bottom w:val="single" w:sz="4" w:space="0" w:color="000000"/>
              <w:right w:val="single" w:sz="4" w:space="0" w:color="000000"/>
            </w:tcBorders>
            <w:shd w:val="clear" w:color="auto" w:fill="auto"/>
            <w:vAlign w:val="center"/>
            <w:hideMark/>
          </w:tcPr>
          <w:p w14:paraId="64B61D36" w14:textId="77777777" w:rsidR="00DB758B" w:rsidRPr="00A636A1" w:rsidRDefault="00DB758B" w:rsidP="00DB758B">
            <w:pPr>
              <w:ind w:firstLine="0"/>
              <w:jc w:val="center"/>
              <w:rPr>
                <w:rFonts w:eastAsia="Times New Roman" w:cs="Times New Roman"/>
                <w:color w:val="000000"/>
                <w:szCs w:val="24"/>
                <w:lang w:eastAsia="ru-RU"/>
              </w:rPr>
            </w:pPr>
            <w:r w:rsidRPr="00A636A1">
              <w:rPr>
                <w:rFonts w:eastAsia="Times New Roman" w:cs="Times New Roman"/>
                <w:color w:val="000000"/>
                <w:szCs w:val="24"/>
                <w:lang w:eastAsia="ru-RU"/>
              </w:rPr>
              <w:t>14</w:t>
            </w:r>
          </w:p>
        </w:tc>
        <w:tc>
          <w:tcPr>
            <w:tcW w:w="1016" w:type="pct"/>
            <w:tcBorders>
              <w:top w:val="nil"/>
              <w:left w:val="nil"/>
              <w:bottom w:val="single" w:sz="4" w:space="0" w:color="000000"/>
              <w:right w:val="single" w:sz="4" w:space="0" w:color="000000"/>
            </w:tcBorders>
            <w:shd w:val="clear" w:color="auto" w:fill="auto"/>
            <w:vAlign w:val="center"/>
            <w:hideMark/>
          </w:tcPr>
          <w:p w14:paraId="398B9099" w14:textId="751F3DEC" w:rsidR="00DB758B" w:rsidRPr="00A636A1" w:rsidRDefault="00DB758B" w:rsidP="00DB758B">
            <w:pPr>
              <w:ind w:firstLine="0"/>
              <w:jc w:val="center"/>
              <w:rPr>
                <w:rFonts w:eastAsia="Times New Roman" w:cs="Times New Roman"/>
                <w:color w:val="000000"/>
                <w:szCs w:val="24"/>
                <w:lang w:eastAsia="ru-RU"/>
              </w:rPr>
            </w:pPr>
            <w:r>
              <w:rPr>
                <w:color w:val="000000"/>
              </w:rPr>
              <w:t>Физический износ_ЗП</w:t>
            </w:r>
          </w:p>
        </w:tc>
        <w:tc>
          <w:tcPr>
            <w:tcW w:w="562" w:type="pct"/>
            <w:tcBorders>
              <w:top w:val="nil"/>
              <w:left w:val="nil"/>
              <w:bottom w:val="single" w:sz="4" w:space="0" w:color="000000"/>
              <w:right w:val="single" w:sz="4" w:space="0" w:color="000000"/>
            </w:tcBorders>
            <w:shd w:val="clear" w:color="auto" w:fill="auto"/>
            <w:vAlign w:val="center"/>
            <w:hideMark/>
          </w:tcPr>
          <w:p w14:paraId="3A371600" w14:textId="31C75ADF" w:rsidR="00DB758B" w:rsidRPr="00A636A1" w:rsidRDefault="00DB758B" w:rsidP="00DB758B">
            <w:pPr>
              <w:ind w:firstLine="0"/>
              <w:jc w:val="center"/>
              <w:rPr>
                <w:rFonts w:eastAsia="Times New Roman" w:cs="Times New Roman"/>
                <w:color w:val="000000"/>
                <w:szCs w:val="24"/>
                <w:lang w:eastAsia="ru-RU"/>
              </w:rPr>
            </w:pPr>
            <w:r>
              <w:rPr>
                <w:color w:val="000000"/>
              </w:rPr>
              <w:t>0,2</w:t>
            </w:r>
          </w:p>
        </w:tc>
        <w:tc>
          <w:tcPr>
            <w:tcW w:w="562" w:type="pct"/>
            <w:tcBorders>
              <w:top w:val="nil"/>
              <w:left w:val="nil"/>
              <w:bottom w:val="single" w:sz="4" w:space="0" w:color="000000"/>
              <w:right w:val="single" w:sz="4" w:space="0" w:color="000000"/>
            </w:tcBorders>
            <w:shd w:val="clear" w:color="auto" w:fill="auto"/>
            <w:vAlign w:val="center"/>
            <w:hideMark/>
          </w:tcPr>
          <w:p w14:paraId="6E53BE5C" w14:textId="3E20A801" w:rsidR="00DB758B" w:rsidRPr="00A636A1" w:rsidRDefault="00DB758B" w:rsidP="00DB758B">
            <w:pPr>
              <w:ind w:firstLine="0"/>
              <w:jc w:val="center"/>
              <w:rPr>
                <w:rFonts w:eastAsia="Times New Roman" w:cs="Times New Roman"/>
                <w:color w:val="000000"/>
                <w:szCs w:val="24"/>
                <w:lang w:eastAsia="ru-RU"/>
              </w:rPr>
            </w:pPr>
            <w:r>
              <w:rPr>
                <w:color w:val="000000"/>
              </w:rPr>
              <w:t>0,35</w:t>
            </w:r>
          </w:p>
        </w:tc>
        <w:tc>
          <w:tcPr>
            <w:tcW w:w="609" w:type="pct"/>
            <w:tcBorders>
              <w:top w:val="nil"/>
              <w:left w:val="nil"/>
              <w:bottom w:val="single" w:sz="4" w:space="0" w:color="000000"/>
              <w:right w:val="single" w:sz="4" w:space="0" w:color="000000"/>
            </w:tcBorders>
            <w:shd w:val="clear" w:color="auto" w:fill="auto"/>
            <w:vAlign w:val="center"/>
            <w:hideMark/>
          </w:tcPr>
          <w:p w14:paraId="1DBAD0C0" w14:textId="157A0718" w:rsidR="00DB758B" w:rsidRPr="00A636A1" w:rsidRDefault="00DB758B" w:rsidP="00DB758B">
            <w:pPr>
              <w:ind w:firstLine="0"/>
              <w:jc w:val="center"/>
              <w:rPr>
                <w:rFonts w:eastAsia="Times New Roman" w:cs="Times New Roman"/>
                <w:color w:val="000000"/>
                <w:szCs w:val="24"/>
                <w:lang w:eastAsia="ru-RU"/>
              </w:rPr>
            </w:pPr>
            <w:r>
              <w:rPr>
                <w:color w:val="000000"/>
              </w:rPr>
              <w:t>да</w:t>
            </w:r>
          </w:p>
        </w:tc>
        <w:tc>
          <w:tcPr>
            <w:tcW w:w="2066" w:type="pct"/>
            <w:tcBorders>
              <w:top w:val="nil"/>
              <w:left w:val="nil"/>
              <w:bottom w:val="single" w:sz="4" w:space="0" w:color="000000"/>
              <w:right w:val="single" w:sz="4" w:space="0" w:color="000000"/>
            </w:tcBorders>
            <w:shd w:val="clear" w:color="auto" w:fill="auto"/>
            <w:vAlign w:val="center"/>
            <w:hideMark/>
          </w:tcPr>
          <w:p w14:paraId="22E71D02" w14:textId="0C1C5E7B" w:rsidR="00DB758B" w:rsidRPr="00A636A1" w:rsidRDefault="00DB758B" w:rsidP="00DB758B">
            <w:pPr>
              <w:ind w:firstLine="0"/>
              <w:jc w:val="left"/>
              <w:rPr>
                <w:rFonts w:eastAsia="Times New Roman" w:cs="Times New Roman"/>
                <w:color w:val="000000"/>
                <w:szCs w:val="24"/>
                <w:lang w:eastAsia="ru-RU"/>
              </w:rPr>
            </w:pPr>
            <w:r>
              <w:rPr>
                <w:color w:val="000000"/>
              </w:rPr>
              <w:t>Ценообразующий фактор соответствует критериям, описанным выше. Данный фактор оказывает существенное влияние на стоимость объектов недвижимости</w:t>
            </w:r>
          </w:p>
        </w:tc>
      </w:tr>
      <w:tr w:rsidR="00DB758B" w:rsidRPr="00A636A1" w14:paraId="2C1787FE" w14:textId="77777777" w:rsidTr="00DB758B">
        <w:trPr>
          <w:trHeight w:val="630"/>
        </w:trPr>
        <w:tc>
          <w:tcPr>
            <w:tcW w:w="185" w:type="pct"/>
            <w:tcBorders>
              <w:top w:val="nil"/>
              <w:left w:val="single" w:sz="4" w:space="0" w:color="000000"/>
              <w:bottom w:val="single" w:sz="4" w:space="0" w:color="000000"/>
              <w:right w:val="single" w:sz="4" w:space="0" w:color="000000"/>
            </w:tcBorders>
            <w:shd w:val="clear" w:color="auto" w:fill="auto"/>
            <w:vAlign w:val="center"/>
            <w:hideMark/>
          </w:tcPr>
          <w:p w14:paraId="0BEDD08D" w14:textId="77777777" w:rsidR="00DB758B" w:rsidRPr="00A636A1" w:rsidRDefault="00DB758B" w:rsidP="00DB758B">
            <w:pPr>
              <w:ind w:firstLine="0"/>
              <w:jc w:val="center"/>
              <w:rPr>
                <w:rFonts w:eastAsia="Times New Roman" w:cs="Times New Roman"/>
                <w:color w:val="000000"/>
                <w:szCs w:val="24"/>
                <w:lang w:eastAsia="ru-RU"/>
              </w:rPr>
            </w:pPr>
            <w:r w:rsidRPr="00A636A1">
              <w:rPr>
                <w:rFonts w:eastAsia="Times New Roman" w:cs="Times New Roman"/>
                <w:color w:val="000000"/>
                <w:szCs w:val="24"/>
                <w:lang w:eastAsia="ru-RU"/>
              </w:rPr>
              <w:t>15</w:t>
            </w:r>
          </w:p>
        </w:tc>
        <w:tc>
          <w:tcPr>
            <w:tcW w:w="1016" w:type="pct"/>
            <w:tcBorders>
              <w:top w:val="nil"/>
              <w:left w:val="nil"/>
              <w:bottom w:val="single" w:sz="4" w:space="0" w:color="000000"/>
              <w:right w:val="single" w:sz="4" w:space="0" w:color="000000"/>
            </w:tcBorders>
            <w:shd w:val="clear" w:color="auto" w:fill="auto"/>
            <w:vAlign w:val="center"/>
            <w:hideMark/>
          </w:tcPr>
          <w:p w14:paraId="3D666F44" w14:textId="2AEBF521" w:rsidR="00DB758B" w:rsidRPr="00A636A1" w:rsidRDefault="00DB758B" w:rsidP="00DB758B">
            <w:pPr>
              <w:ind w:firstLine="0"/>
              <w:jc w:val="center"/>
              <w:rPr>
                <w:rFonts w:eastAsia="Times New Roman" w:cs="Times New Roman"/>
                <w:color w:val="000000"/>
                <w:szCs w:val="24"/>
                <w:lang w:eastAsia="ru-RU"/>
              </w:rPr>
            </w:pPr>
            <w:r>
              <w:rPr>
                <w:color w:val="000000"/>
              </w:rPr>
              <w:t>ЦГКО_уточнение Год постройки</w:t>
            </w:r>
          </w:p>
        </w:tc>
        <w:tc>
          <w:tcPr>
            <w:tcW w:w="562" w:type="pct"/>
            <w:tcBorders>
              <w:top w:val="nil"/>
              <w:left w:val="nil"/>
              <w:bottom w:val="single" w:sz="4" w:space="0" w:color="000000"/>
              <w:right w:val="single" w:sz="4" w:space="0" w:color="000000"/>
            </w:tcBorders>
            <w:shd w:val="clear" w:color="auto" w:fill="auto"/>
            <w:vAlign w:val="center"/>
            <w:hideMark/>
          </w:tcPr>
          <w:p w14:paraId="1DC74677" w14:textId="42018B34" w:rsidR="00DB758B" w:rsidRPr="00A636A1" w:rsidRDefault="00DB758B" w:rsidP="00DB758B">
            <w:pPr>
              <w:ind w:firstLine="0"/>
              <w:jc w:val="center"/>
              <w:rPr>
                <w:rFonts w:eastAsia="Times New Roman" w:cs="Times New Roman"/>
                <w:color w:val="000000"/>
                <w:szCs w:val="24"/>
                <w:lang w:eastAsia="ru-RU"/>
              </w:rPr>
            </w:pPr>
            <w:r>
              <w:rPr>
                <w:color w:val="000000"/>
              </w:rPr>
              <w:t>0,57</w:t>
            </w:r>
          </w:p>
        </w:tc>
        <w:tc>
          <w:tcPr>
            <w:tcW w:w="562" w:type="pct"/>
            <w:tcBorders>
              <w:top w:val="nil"/>
              <w:left w:val="nil"/>
              <w:bottom w:val="single" w:sz="4" w:space="0" w:color="000000"/>
              <w:right w:val="single" w:sz="4" w:space="0" w:color="000000"/>
            </w:tcBorders>
            <w:shd w:val="clear" w:color="auto" w:fill="auto"/>
            <w:vAlign w:val="center"/>
            <w:hideMark/>
          </w:tcPr>
          <w:p w14:paraId="00E71701" w14:textId="2D70F322" w:rsidR="00DB758B" w:rsidRPr="00A636A1" w:rsidRDefault="00DB758B" w:rsidP="00DB758B">
            <w:pPr>
              <w:ind w:firstLine="0"/>
              <w:jc w:val="center"/>
              <w:rPr>
                <w:rFonts w:eastAsia="Times New Roman" w:cs="Times New Roman"/>
                <w:color w:val="000000"/>
                <w:szCs w:val="24"/>
                <w:lang w:eastAsia="ru-RU"/>
              </w:rPr>
            </w:pPr>
            <w:r>
              <w:rPr>
                <w:color w:val="000000"/>
              </w:rPr>
              <w:t>1</w:t>
            </w:r>
          </w:p>
        </w:tc>
        <w:tc>
          <w:tcPr>
            <w:tcW w:w="609" w:type="pct"/>
            <w:tcBorders>
              <w:top w:val="nil"/>
              <w:left w:val="nil"/>
              <w:bottom w:val="single" w:sz="4" w:space="0" w:color="000000"/>
              <w:right w:val="single" w:sz="4" w:space="0" w:color="000000"/>
            </w:tcBorders>
            <w:shd w:val="clear" w:color="auto" w:fill="auto"/>
            <w:vAlign w:val="center"/>
            <w:hideMark/>
          </w:tcPr>
          <w:p w14:paraId="3C6A37B0" w14:textId="77280F27" w:rsidR="00DB758B" w:rsidRPr="00A636A1" w:rsidRDefault="00DB758B" w:rsidP="00DB758B">
            <w:pPr>
              <w:ind w:firstLine="0"/>
              <w:jc w:val="center"/>
              <w:rPr>
                <w:rFonts w:eastAsia="Times New Roman" w:cs="Times New Roman"/>
                <w:color w:val="000000"/>
                <w:szCs w:val="24"/>
                <w:lang w:eastAsia="ru-RU"/>
              </w:rPr>
            </w:pPr>
            <w:r>
              <w:rPr>
                <w:color w:val="000000"/>
              </w:rPr>
              <w:t>нет</w:t>
            </w:r>
          </w:p>
        </w:tc>
        <w:tc>
          <w:tcPr>
            <w:tcW w:w="2066" w:type="pct"/>
            <w:tcBorders>
              <w:top w:val="nil"/>
              <w:left w:val="nil"/>
              <w:bottom w:val="single" w:sz="4" w:space="0" w:color="000000"/>
              <w:right w:val="single" w:sz="4" w:space="0" w:color="000000"/>
            </w:tcBorders>
            <w:shd w:val="clear" w:color="auto" w:fill="auto"/>
            <w:vAlign w:val="center"/>
            <w:hideMark/>
          </w:tcPr>
          <w:p w14:paraId="51E728DD" w14:textId="0EA73767" w:rsidR="00DB758B" w:rsidRPr="00A636A1" w:rsidRDefault="00DB758B" w:rsidP="00DB758B">
            <w:pPr>
              <w:ind w:firstLine="0"/>
              <w:jc w:val="left"/>
              <w:rPr>
                <w:rFonts w:eastAsia="Times New Roman" w:cs="Times New Roman"/>
                <w:color w:val="000000"/>
                <w:szCs w:val="24"/>
                <w:lang w:eastAsia="ru-RU"/>
              </w:rPr>
            </w:pPr>
            <w:r>
              <w:rPr>
                <w:color w:val="000000"/>
              </w:rPr>
              <w:t>Данный ценообразующий фактор сильно коррелирует с прочими ценообразующими факторами, определяющими локальное местоположение объекта</w:t>
            </w:r>
          </w:p>
        </w:tc>
      </w:tr>
      <w:tr w:rsidR="00DB758B" w:rsidRPr="00A636A1" w14:paraId="31D57CF5" w14:textId="77777777" w:rsidTr="00DB758B">
        <w:trPr>
          <w:trHeight w:val="1260"/>
        </w:trPr>
        <w:tc>
          <w:tcPr>
            <w:tcW w:w="185" w:type="pct"/>
            <w:tcBorders>
              <w:top w:val="nil"/>
              <w:left w:val="single" w:sz="4" w:space="0" w:color="000000"/>
              <w:bottom w:val="single" w:sz="4" w:space="0" w:color="000000"/>
              <w:right w:val="single" w:sz="4" w:space="0" w:color="000000"/>
            </w:tcBorders>
            <w:shd w:val="clear" w:color="auto" w:fill="auto"/>
            <w:vAlign w:val="center"/>
            <w:hideMark/>
          </w:tcPr>
          <w:p w14:paraId="1DC8EFB8" w14:textId="77777777" w:rsidR="00DB758B" w:rsidRPr="00A636A1" w:rsidRDefault="00DB758B" w:rsidP="00DB758B">
            <w:pPr>
              <w:ind w:firstLine="0"/>
              <w:jc w:val="center"/>
              <w:rPr>
                <w:rFonts w:eastAsia="Times New Roman" w:cs="Times New Roman"/>
                <w:color w:val="000000"/>
                <w:szCs w:val="24"/>
                <w:lang w:eastAsia="ru-RU"/>
              </w:rPr>
            </w:pPr>
            <w:r w:rsidRPr="00A636A1">
              <w:rPr>
                <w:rFonts w:eastAsia="Times New Roman" w:cs="Times New Roman"/>
                <w:color w:val="000000"/>
                <w:szCs w:val="24"/>
                <w:lang w:eastAsia="ru-RU"/>
              </w:rPr>
              <w:t>16</w:t>
            </w:r>
          </w:p>
        </w:tc>
        <w:tc>
          <w:tcPr>
            <w:tcW w:w="1016" w:type="pct"/>
            <w:tcBorders>
              <w:top w:val="nil"/>
              <w:left w:val="nil"/>
              <w:bottom w:val="single" w:sz="4" w:space="0" w:color="000000"/>
              <w:right w:val="single" w:sz="4" w:space="0" w:color="000000"/>
            </w:tcBorders>
            <w:shd w:val="clear" w:color="auto" w:fill="auto"/>
            <w:vAlign w:val="center"/>
            <w:hideMark/>
          </w:tcPr>
          <w:p w14:paraId="40A13485" w14:textId="22132C70" w:rsidR="00DB758B" w:rsidRPr="00A636A1" w:rsidRDefault="00DB758B" w:rsidP="00DB758B">
            <w:pPr>
              <w:ind w:firstLine="0"/>
              <w:jc w:val="center"/>
              <w:rPr>
                <w:rFonts w:eastAsia="Times New Roman" w:cs="Times New Roman"/>
                <w:color w:val="000000"/>
                <w:szCs w:val="24"/>
                <w:lang w:eastAsia="ru-RU"/>
              </w:rPr>
            </w:pPr>
            <w:r>
              <w:rPr>
                <w:color w:val="000000"/>
              </w:rPr>
              <w:t>Электричество</w:t>
            </w:r>
          </w:p>
        </w:tc>
        <w:tc>
          <w:tcPr>
            <w:tcW w:w="562" w:type="pct"/>
            <w:tcBorders>
              <w:top w:val="nil"/>
              <w:left w:val="nil"/>
              <w:bottom w:val="single" w:sz="4" w:space="0" w:color="000000"/>
              <w:right w:val="single" w:sz="4" w:space="0" w:color="000000"/>
            </w:tcBorders>
            <w:shd w:val="clear" w:color="auto" w:fill="auto"/>
            <w:vAlign w:val="center"/>
            <w:hideMark/>
          </w:tcPr>
          <w:p w14:paraId="0368A185" w14:textId="16D0DA59" w:rsidR="00DB758B" w:rsidRPr="00A636A1" w:rsidRDefault="00DB758B" w:rsidP="00DB758B">
            <w:pPr>
              <w:ind w:firstLine="0"/>
              <w:jc w:val="center"/>
              <w:rPr>
                <w:rFonts w:eastAsia="Times New Roman" w:cs="Times New Roman"/>
                <w:color w:val="000000"/>
                <w:szCs w:val="24"/>
                <w:lang w:eastAsia="ru-RU"/>
              </w:rPr>
            </w:pPr>
            <w:r>
              <w:rPr>
                <w:color w:val="000000"/>
              </w:rPr>
              <w:t>0,37</w:t>
            </w:r>
          </w:p>
        </w:tc>
        <w:tc>
          <w:tcPr>
            <w:tcW w:w="562" w:type="pct"/>
            <w:tcBorders>
              <w:top w:val="nil"/>
              <w:left w:val="nil"/>
              <w:bottom w:val="single" w:sz="4" w:space="0" w:color="000000"/>
              <w:right w:val="single" w:sz="4" w:space="0" w:color="000000"/>
            </w:tcBorders>
            <w:shd w:val="clear" w:color="auto" w:fill="auto"/>
            <w:vAlign w:val="center"/>
            <w:hideMark/>
          </w:tcPr>
          <w:p w14:paraId="60091E91" w14:textId="13C45047" w:rsidR="00DB758B" w:rsidRPr="00A636A1" w:rsidRDefault="00DB758B" w:rsidP="00DB758B">
            <w:pPr>
              <w:ind w:firstLine="0"/>
              <w:jc w:val="center"/>
              <w:rPr>
                <w:rFonts w:eastAsia="Times New Roman" w:cs="Times New Roman"/>
                <w:color w:val="000000"/>
                <w:szCs w:val="24"/>
                <w:lang w:eastAsia="ru-RU"/>
              </w:rPr>
            </w:pPr>
            <w:r>
              <w:rPr>
                <w:color w:val="000000"/>
              </w:rPr>
              <w:t>0,64</w:t>
            </w:r>
          </w:p>
        </w:tc>
        <w:tc>
          <w:tcPr>
            <w:tcW w:w="609" w:type="pct"/>
            <w:tcBorders>
              <w:top w:val="nil"/>
              <w:left w:val="nil"/>
              <w:bottom w:val="single" w:sz="4" w:space="0" w:color="000000"/>
              <w:right w:val="single" w:sz="4" w:space="0" w:color="000000"/>
            </w:tcBorders>
            <w:shd w:val="clear" w:color="auto" w:fill="auto"/>
            <w:vAlign w:val="center"/>
            <w:hideMark/>
          </w:tcPr>
          <w:p w14:paraId="58E683CE" w14:textId="0DF67082" w:rsidR="00DB758B" w:rsidRPr="00A636A1" w:rsidRDefault="00DB758B" w:rsidP="00DB758B">
            <w:pPr>
              <w:ind w:firstLine="0"/>
              <w:jc w:val="center"/>
              <w:rPr>
                <w:rFonts w:eastAsia="Times New Roman" w:cs="Times New Roman"/>
                <w:color w:val="000000"/>
                <w:szCs w:val="24"/>
                <w:lang w:eastAsia="ru-RU"/>
              </w:rPr>
            </w:pPr>
            <w:r>
              <w:rPr>
                <w:color w:val="000000"/>
              </w:rPr>
              <w:t>нет</w:t>
            </w:r>
          </w:p>
        </w:tc>
        <w:tc>
          <w:tcPr>
            <w:tcW w:w="2066" w:type="pct"/>
            <w:tcBorders>
              <w:top w:val="nil"/>
              <w:left w:val="nil"/>
              <w:bottom w:val="single" w:sz="4" w:space="0" w:color="000000"/>
              <w:right w:val="single" w:sz="4" w:space="0" w:color="000000"/>
            </w:tcBorders>
            <w:shd w:val="clear" w:color="auto" w:fill="auto"/>
            <w:vAlign w:val="center"/>
            <w:hideMark/>
          </w:tcPr>
          <w:p w14:paraId="1E5B5B97" w14:textId="359ADCE3" w:rsidR="00DB758B" w:rsidRPr="00A636A1" w:rsidRDefault="00DB758B" w:rsidP="00DB758B">
            <w:pPr>
              <w:ind w:firstLine="0"/>
              <w:jc w:val="left"/>
              <w:rPr>
                <w:rFonts w:eastAsia="Times New Roman" w:cs="Times New Roman"/>
                <w:color w:val="000000"/>
                <w:szCs w:val="24"/>
                <w:lang w:eastAsia="ru-RU"/>
              </w:rPr>
            </w:pPr>
            <w:r>
              <w:rPr>
                <w:color w:val="000000"/>
              </w:rPr>
              <w:t>Направленность корреляционной зависимости между ценообразующим фактором и удельной ценой объектов-аналогов не соответствует экономической гипотезе о наблюдаемом на рынке характере влияния данного фактора на зависимую переменную</w:t>
            </w:r>
          </w:p>
        </w:tc>
      </w:tr>
    </w:tbl>
    <w:p w14:paraId="6193EE51" w14:textId="40F64456" w:rsidR="00A636A1" w:rsidRDefault="00A636A1" w:rsidP="00727235">
      <w:pPr>
        <w:rPr>
          <w:lang w:eastAsia="ru-RU"/>
        </w:rPr>
      </w:pPr>
    </w:p>
    <w:p w14:paraId="42A86265" w14:textId="7BBDAFDD" w:rsidR="00A636A1" w:rsidRDefault="00A636A1" w:rsidP="00727235">
      <w:pPr>
        <w:rPr>
          <w:lang w:eastAsia="ru-RU"/>
        </w:rPr>
      </w:pPr>
    </w:p>
    <w:p w14:paraId="08F11D93" w14:textId="77777777" w:rsidR="00727235" w:rsidRPr="00727235" w:rsidRDefault="00727235" w:rsidP="00727235">
      <w:pPr>
        <w:rPr>
          <w:lang w:eastAsia="ru-RU"/>
        </w:rPr>
      </w:pPr>
    </w:p>
    <w:p w14:paraId="25083F16" w14:textId="77777777" w:rsidR="00727235" w:rsidRPr="00727235" w:rsidRDefault="00727235" w:rsidP="00727235">
      <w:pPr>
        <w:sectPr w:rsidR="00727235" w:rsidRPr="00727235" w:rsidSect="00727235">
          <w:pgSz w:w="16838" w:h="11906" w:orient="landscape"/>
          <w:pgMar w:top="1701" w:right="1134" w:bottom="850" w:left="1134" w:header="708" w:footer="708" w:gutter="0"/>
          <w:cols w:space="708"/>
          <w:docGrid w:linePitch="360"/>
        </w:sectPr>
      </w:pPr>
    </w:p>
    <w:p w14:paraId="4868E8B0" w14:textId="77777777" w:rsidR="00727235" w:rsidRPr="00727235" w:rsidRDefault="00727235" w:rsidP="00727235">
      <w:r w:rsidRPr="00727235">
        <w:t xml:space="preserve">Таким образом, для моделирования выбраны указанные выше факторы. </w:t>
      </w:r>
    </w:p>
    <w:p w14:paraId="7BB37C87" w14:textId="77777777" w:rsidR="00727235" w:rsidRPr="00727235" w:rsidRDefault="00727235" w:rsidP="00727235">
      <w:r w:rsidRPr="00727235">
        <w:t xml:space="preserve">В результате построены линейная, мультипликативная и экспоненциальная модели. </w:t>
      </w:r>
    </w:p>
    <w:p w14:paraId="2FBD4A05" w14:textId="77777777" w:rsidR="00727235" w:rsidRPr="00727235" w:rsidRDefault="00727235" w:rsidP="00727235">
      <w:r w:rsidRPr="00727235">
        <w:t>Далее проведена проверка статистической значимости моделей, результаты которой представлены в таблице ниже.</w:t>
      </w:r>
    </w:p>
    <w:p w14:paraId="0BCD68C7" w14:textId="1B670A83" w:rsidR="00727235" w:rsidRPr="00727235" w:rsidRDefault="00727235" w:rsidP="00727235">
      <w:pPr>
        <w:rPr>
          <w:lang w:eastAsia="ru-RU"/>
        </w:rPr>
      </w:pPr>
      <w:r w:rsidRPr="00727235">
        <w:rPr>
          <w:lang w:eastAsia="ru-RU"/>
        </w:rPr>
        <w:t xml:space="preserve">Таблица </w:t>
      </w:r>
      <w:r w:rsidRPr="00727235">
        <w:rPr>
          <w:lang w:eastAsia="ru-RU"/>
        </w:rPr>
        <w:fldChar w:fldCharType="begin"/>
      </w:r>
      <w:r w:rsidRPr="00727235">
        <w:rPr>
          <w:lang w:eastAsia="ru-RU"/>
        </w:rPr>
        <w:instrText xml:space="preserve"> SEQ Таблица \* ARABIC </w:instrText>
      </w:r>
      <w:r w:rsidRPr="00727235">
        <w:rPr>
          <w:lang w:eastAsia="ru-RU"/>
        </w:rPr>
        <w:fldChar w:fldCharType="separate"/>
      </w:r>
      <w:r w:rsidR="00FD2769">
        <w:rPr>
          <w:noProof/>
          <w:lang w:eastAsia="ru-RU"/>
        </w:rPr>
        <w:t>63</w:t>
      </w:r>
      <w:r w:rsidRPr="00727235">
        <w:rPr>
          <w:lang w:eastAsia="ru-RU"/>
        </w:rPr>
        <w:fldChar w:fldCharType="end"/>
      </w:r>
      <w:r w:rsidRPr="00727235">
        <w:rPr>
          <w:lang w:eastAsia="ru-RU"/>
        </w:rPr>
        <w:t xml:space="preserve"> Проверка статистической значимости моделей на обучающей выборке</w:t>
      </w:r>
    </w:p>
    <w:p w14:paraId="62394E4B" w14:textId="4DAB278E" w:rsidR="00727235" w:rsidRPr="00727235" w:rsidRDefault="00A636A1" w:rsidP="00727235">
      <w:pPr>
        <w:rPr>
          <w:lang w:eastAsia="ru-RU"/>
        </w:rPr>
      </w:pPr>
      <w:r w:rsidRPr="00A636A1">
        <w:rPr>
          <w:rFonts w:eastAsia="Times New Roman" w:cs="Times New Roman"/>
          <w:bCs/>
          <w:color w:val="000000"/>
          <w:szCs w:val="24"/>
          <w:lang w:eastAsia="ru-RU"/>
        </w:rPr>
        <w:t>"2. Дома малоэтажной жилой застройки, в том числе ИЖС и СОД", подгруппа "</w:t>
      </w:r>
      <w:r w:rsidR="000470FD">
        <w:rPr>
          <w:rFonts w:eastAsia="Times New Roman" w:cs="Times New Roman"/>
          <w:bCs/>
          <w:color w:val="000000"/>
          <w:szCs w:val="24"/>
          <w:lang w:eastAsia="ru-RU"/>
        </w:rPr>
        <w:t>МКД Помещения г.Якутск с п/х 2.10.</w:t>
      </w:r>
      <w:r w:rsidRPr="00A636A1">
        <w:rPr>
          <w:rFonts w:eastAsia="Times New Roman" w:cs="Times New Roman"/>
          <w:bCs/>
          <w:color w:val="000000"/>
          <w:szCs w:val="24"/>
          <w:lang w:eastAsia="ru-RU"/>
        </w:rPr>
        <w:t>".</w:t>
      </w:r>
    </w:p>
    <w:tbl>
      <w:tblPr>
        <w:tblW w:w="9497" w:type="dxa"/>
        <w:tblInd w:w="-5" w:type="dxa"/>
        <w:tblLayout w:type="fixed"/>
        <w:tblLook w:val="04A0" w:firstRow="1" w:lastRow="0" w:firstColumn="1" w:lastColumn="0" w:noHBand="0" w:noVBand="1"/>
      </w:tblPr>
      <w:tblGrid>
        <w:gridCol w:w="567"/>
        <w:gridCol w:w="1134"/>
        <w:gridCol w:w="1135"/>
        <w:gridCol w:w="1133"/>
        <w:gridCol w:w="1134"/>
        <w:gridCol w:w="851"/>
        <w:gridCol w:w="1275"/>
        <w:gridCol w:w="992"/>
        <w:gridCol w:w="1276"/>
      </w:tblGrid>
      <w:tr w:rsidR="00727235" w:rsidRPr="005376A2" w14:paraId="2E22247F" w14:textId="77777777" w:rsidTr="00F82C21">
        <w:trPr>
          <w:trHeight w:val="1185"/>
        </w:trPr>
        <w:tc>
          <w:tcPr>
            <w:tcW w:w="567"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4B7D6F55" w14:textId="77777777" w:rsidR="00727235" w:rsidRPr="005376A2" w:rsidRDefault="00727235" w:rsidP="00727235">
            <w:pPr>
              <w:rPr>
                <w:sz w:val="22"/>
                <w:lang w:eastAsia="ru-RU"/>
              </w:rPr>
            </w:pPr>
            <w:r w:rsidRPr="005376A2">
              <w:rPr>
                <w:sz w:val="22"/>
                <w:lang w:eastAsia="ru-RU"/>
              </w:rPr>
              <w:t>№ п/п</w:t>
            </w:r>
          </w:p>
        </w:tc>
        <w:tc>
          <w:tcPr>
            <w:tcW w:w="1134" w:type="dxa"/>
            <w:tcBorders>
              <w:top w:val="single" w:sz="4" w:space="0" w:color="000000"/>
              <w:left w:val="nil"/>
              <w:bottom w:val="single" w:sz="4" w:space="0" w:color="000000"/>
              <w:right w:val="single" w:sz="4" w:space="0" w:color="000000"/>
            </w:tcBorders>
            <w:shd w:val="clear" w:color="auto" w:fill="auto"/>
            <w:vAlign w:val="center"/>
            <w:hideMark/>
          </w:tcPr>
          <w:p w14:paraId="2624F2C9" w14:textId="77777777" w:rsidR="00727235" w:rsidRPr="005376A2" w:rsidRDefault="00727235" w:rsidP="0019603A">
            <w:pPr>
              <w:ind w:firstLine="0"/>
              <w:rPr>
                <w:sz w:val="22"/>
                <w:lang w:eastAsia="ru-RU"/>
              </w:rPr>
            </w:pPr>
            <w:r w:rsidRPr="005376A2">
              <w:rPr>
                <w:sz w:val="22"/>
                <w:lang w:eastAsia="ru-RU"/>
              </w:rPr>
              <w:t>Название модели</w:t>
            </w:r>
          </w:p>
        </w:tc>
        <w:tc>
          <w:tcPr>
            <w:tcW w:w="1135" w:type="dxa"/>
            <w:tcBorders>
              <w:top w:val="single" w:sz="4" w:space="0" w:color="000000"/>
              <w:left w:val="nil"/>
              <w:bottom w:val="single" w:sz="4" w:space="0" w:color="000000"/>
              <w:right w:val="single" w:sz="4" w:space="0" w:color="000000"/>
            </w:tcBorders>
            <w:shd w:val="clear" w:color="auto" w:fill="auto"/>
            <w:vAlign w:val="center"/>
            <w:hideMark/>
          </w:tcPr>
          <w:p w14:paraId="7282D9DD" w14:textId="77777777" w:rsidR="00727235" w:rsidRPr="005376A2" w:rsidRDefault="00727235" w:rsidP="0019603A">
            <w:pPr>
              <w:ind w:firstLine="0"/>
              <w:rPr>
                <w:sz w:val="22"/>
                <w:lang w:eastAsia="ru-RU"/>
              </w:rPr>
            </w:pPr>
            <w:r w:rsidRPr="005376A2">
              <w:rPr>
                <w:sz w:val="22"/>
                <w:lang w:eastAsia="ru-RU"/>
              </w:rPr>
              <w:t>Количество факторов стоимости, m</w:t>
            </w:r>
          </w:p>
        </w:tc>
        <w:tc>
          <w:tcPr>
            <w:tcW w:w="1133" w:type="dxa"/>
            <w:tcBorders>
              <w:top w:val="single" w:sz="4" w:space="0" w:color="000000"/>
              <w:left w:val="nil"/>
              <w:bottom w:val="single" w:sz="4" w:space="0" w:color="000000"/>
              <w:right w:val="single" w:sz="4" w:space="0" w:color="000000"/>
            </w:tcBorders>
            <w:shd w:val="clear" w:color="auto" w:fill="auto"/>
            <w:vAlign w:val="center"/>
            <w:hideMark/>
          </w:tcPr>
          <w:p w14:paraId="20ECF31D" w14:textId="77777777" w:rsidR="00727235" w:rsidRPr="005376A2" w:rsidRDefault="00727235" w:rsidP="0019603A">
            <w:pPr>
              <w:ind w:firstLine="0"/>
              <w:rPr>
                <w:sz w:val="22"/>
                <w:lang w:eastAsia="ru-RU"/>
              </w:rPr>
            </w:pPr>
            <w:r w:rsidRPr="005376A2">
              <w:rPr>
                <w:sz w:val="22"/>
                <w:lang w:eastAsia="ru-RU"/>
              </w:rPr>
              <w:t>Коэффициент детерминации, R2</w:t>
            </w:r>
          </w:p>
        </w:tc>
        <w:tc>
          <w:tcPr>
            <w:tcW w:w="1134" w:type="dxa"/>
            <w:tcBorders>
              <w:top w:val="single" w:sz="4" w:space="0" w:color="000000"/>
              <w:left w:val="nil"/>
              <w:bottom w:val="single" w:sz="4" w:space="0" w:color="000000"/>
              <w:right w:val="single" w:sz="4" w:space="0" w:color="000000"/>
            </w:tcBorders>
            <w:shd w:val="clear" w:color="auto" w:fill="auto"/>
            <w:vAlign w:val="center"/>
            <w:hideMark/>
          </w:tcPr>
          <w:p w14:paraId="3D3774E1" w14:textId="77777777" w:rsidR="00727235" w:rsidRPr="005376A2" w:rsidRDefault="00727235" w:rsidP="0019603A">
            <w:pPr>
              <w:ind w:firstLine="0"/>
              <w:rPr>
                <w:sz w:val="22"/>
                <w:lang w:eastAsia="ru-RU"/>
              </w:rPr>
            </w:pPr>
            <w:r w:rsidRPr="005376A2">
              <w:rPr>
                <w:sz w:val="22"/>
                <w:lang w:eastAsia="ru-RU"/>
              </w:rPr>
              <w:t>Критерий Фишера, Fрасч</w:t>
            </w:r>
          </w:p>
        </w:tc>
        <w:tc>
          <w:tcPr>
            <w:tcW w:w="851" w:type="dxa"/>
            <w:tcBorders>
              <w:top w:val="single" w:sz="4" w:space="0" w:color="000000"/>
              <w:left w:val="nil"/>
              <w:bottom w:val="single" w:sz="4" w:space="0" w:color="000000"/>
              <w:right w:val="single" w:sz="4" w:space="0" w:color="000000"/>
            </w:tcBorders>
            <w:shd w:val="clear" w:color="auto" w:fill="auto"/>
            <w:vAlign w:val="center"/>
            <w:hideMark/>
          </w:tcPr>
          <w:p w14:paraId="138BB14F" w14:textId="77777777" w:rsidR="00727235" w:rsidRPr="005376A2" w:rsidRDefault="00727235" w:rsidP="0019603A">
            <w:pPr>
              <w:ind w:firstLine="0"/>
              <w:rPr>
                <w:sz w:val="22"/>
                <w:lang w:eastAsia="ru-RU"/>
              </w:rPr>
            </w:pPr>
            <w:r w:rsidRPr="005376A2">
              <w:rPr>
                <w:sz w:val="22"/>
                <w:lang w:eastAsia="ru-RU"/>
              </w:rPr>
              <w:t>Fтабл</w:t>
            </w:r>
          </w:p>
        </w:tc>
        <w:tc>
          <w:tcPr>
            <w:tcW w:w="1275" w:type="dxa"/>
            <w:tcBorders>
              <w:top w:val="single" w:sz="4" w:space="0" w:color="000000"/>
              <w:left w:val="nil"/>
              <w:bottom w:val="single" w:sz="4" w:space="0" w:color="000000"/>
              <w:right w:val="single" w:sz="4" w:space="0" w:color="000000"/>
            </w:tcBorders>
            <w:shd w:val="clear" w:color="auto" w:fill="auto"/>
            <w:vAlign w:val="center"/>
            <w:hideMark/>
          </w:tcPr>
          <w:p w14:paraId="711DE7CE" w14:textId="77777777" w:rsidR="00727235" w:rsidRPr="005376A2" w:rsidRDefault="00727235" w:rsidP="0019603A">
            <w:pPr>
              <w:ind w:firstLine="0"/>
              <w:rPr>
                <w:sz w:val="22"/>
                <w:lang w:eastAsia="ru-RU"/>
              </w:rPr>
            </w:pPr>
            <w:r w:rsidRPr="005376A2">
              <w:rPr>
                <w:sz w:val="22"/>
                <w:lang w:eastAsia="ru-RU"/>
              </w:rPr>
              <w:t>Коэффициент дисперсии (COD)</w:t>
            </w:r>
          </w:p>
        </w:tc>
        <w:tc>
          <w:tcPr>
            <w:tcW w:w="992" w:type="dxa"/>
            <w:tcBorders>
              <w:top w:val="single" w:sz="4" w:space="0" w:color="000000"/>
              <w:left w:val="nil"/>
              <w:bottom w:val="single" w:sz="4" w:space="0" w:color="000000"/>
              <w:right w:val="single" w:sz="4" w:space="0" w:color="000000"/>
            </w:tcBorders>
            <w:shd w:val="clear" w:color="auto" w:fill="auto"/>
            <w:vAlign w:val="center"/>
            <w:hideMark/>
          </w:tcPr>
          <w:p w14:paraId="2352CE50" w14:textId="77777777" w:rsidR="00727235" w:rsidRPr="005376A2" w:rsidRDefault="00727235" w:rsidP="0019603A">
            <w:pPr>
              <w:ind w:firstLine="0"/>
              <w:rPr>
                <w:sz w:val="22"/>
                <w:lang w:eastAsia="ru-RU"/>
              </w:rPr>
            </w:pPr>
            <w:r w:rsidRPr="005376A2">
              <w:rPr>
                <w:sz w:val="22"/>
                <w:lang w:eastAsia="ru-RU"/>
              </w:rPr>
              <w:t>Ценовой дифференциал (PRD)</w:t>
            </w:r>
          </w:p>
        </w:tc>
        <w:tc>
          <w:tcPr>
            <w:tcW w:w="1276" w:type="dxa"/>
            <w:tcBorders>
              <w:top w:val="single" w:sz="4" w:space="0" w:color="000000"/>
              <w:left w:val="nil"/>
              <w:bottom w:val="single" w:sz="4" w:space="0" w:color="000000"/>
              <w:right w:val="single" w:sz="4" w:space="0" w:color="000000"/>
            </w:tcBorders>
            <w:shd w:val="clear" w:color="auto" w:fill="auto"/>
            <w:vAlign w:val="center"/>
            <w:hideMark/>
          </w:tcPr>
          <w:p w14:paraId="3AC18BEF" w14:textId="77777777" w:rsidR="00727235" w:rsidRPr="005376A2" w:rsidRDefault="00727235" w:rsidP="0019603A">
            <w:pPr>
              <w:ind w:firstLine="0"/>
              <w:rPr>
                <w:sz w:val="22"/>
                <w:lang w:eastAsia="ru-RU"/>
              </w:rPr>
            </w:pPr>
            <w:r w:rsidRPr="005376A2">
              <w:rPr>
                <w:sz w:val="22"/>
                <w:lang w:eastAsia="ru-RU"/>
              </w:rPr>
              <w:t>Статистическая значимость модели (да/нет)</w:t>
            </w:r>
          </w:p>
        </w:tc>
      </w:tr>
      <w:tr w:rsidR="00727235" w:rsidRPr="005376A2" w14:paraId="6360824B" w14:textId="77777777" w:rsidTr="00F82C21">
        <w:trPr>
          <w:trHeight w:val="360"/>
        </w:trPr>
        <w:tc>
          <w:tcPr>
            <w:tcW w:w="567" w:type="dxa"/>
            <w:tcBorders>
              <w:top w:val="nil"/>
              <w:left w:val="single" w:sz="4" w:space="0" w:color="000000"/>
              <w:bottom w:val="single" w:sz="4" w:space="0" w:color="000000"/>
              <w:right w:val="single" w:sz="4" w:space="0" w:color="000000"/>
            </w:tcBorders>
            <w:shd w:val="clear" w:color="auto" w:fill="auto"/>
            <w:vAlign w:val="center"/>
            <w:hideMark/>
          </w:tcPr>
          <w:p w14:paraId="6EDED95A" w14:textId="77777777" w:rsidR="00727235" w:rsidRPr="005376A2" w:rsidRDefault="00727235" w:rsidP="00516A75">
            <w:pPr>
              <w:jc w:val="center"/>
              <w:rPr>
                <w:sz w:val="22"/>
                <w:lang w:eastAsia="ru-RU"/>
              </w:rPr>
            </w:pPr>
            <w:r w:rsidRPr="005376A2">
              <w:rPr>
                <w:sz w:val="22"/>
                <w:lang w:eastAsia="ru-RU"/>
              </w:rPr>
              <w:t>01</w:t>
            </w:r>
          </w:p>
        </w:tc>
        <w:tc>
          <w:tcPr>
            <w:tcW w:w="1134" w:type="dxa"/>
            <w:tcBorders>
              <w:top w:val="nil"/>
              <w:left w:val="nil"/>
              <w:bottom w:val="single" w:sz="4" w:space="0" w:color="000000"/>
              <w:right w:val="single" w:sz="4" w:space="0" w:color="000000"/>
            </w:tcBorders>
            <w:shd w:val="clear" w:color="auto" w:fill="auto"/>
            <w:vAlign w:val="center"/>
            <w:hideMark/>
          </w:tcPr>
          <w:p w14:paraId="76453AE4" w14:textId="77777777" w:rsidR="00727235" w:rsidRPr="005376A2" w:rsidRDefault="00727235" w:rsidP="00516A75">
            <w:pPr>
              <w:ind w:firstLine="0"/>
              <w:jc w:val="center"/>
              <w:rPr>
                <w:sz w:val="22"/>
                <w:lang w:eastAsia="ru-RU"/>
              </w:rPr>
            </w:pPr>
            <w:r w:rsidRPr="005376A2">
              <w:rPr>
                <w:sz w:val="22"/>
                <w:lang w:eastAsia="ru-RU"/>
              </w:rPr>
              <w:t>02</w:t>
            </w:r>
          </w:p>
        </w:tc>
        <w:tc>
          <w:tcPr>
            <w:tcW w:w="1135" w:type="dxa"/>
            <w:tcBorders>
              <w:top w:val="nil"/>
              <w:left w:val="nil"/>
              <w:bottom w:val="single" w:sz="4" w:space="0" w:color="000000"/>
              <w:right w:val="single" w:sz="4" w:space="0" w:color="000000"/>
            </w:tcBorders>
            <w:shd w:val="clear" w:color="auto" w:fill="auto"/>
            <w:vAlign w:val="center"/>
            <w:hideMark/>
          </w:tcPr>
          <w:p w14:paraId="58F13DEE" w14:textId="77777777" w:rsidR="00727235" w:rsidRPr="005376A2" w:rsidRDefault="00727235" w:rsidP="00516A75">
            <w:pPr>
              <w:ind w:firstLine="0"/>
              <w:jc w:val="center"/>
              <w:rPr>
                <w:sz w:val="22"/>
                <w:lang w:eastAsia="ru-RU"/>
              </w:rPr>
            </w:pPr>
            <w:r w:rsidRPr="005376A2">
              <w:rPr>
                <w:sz w:val="22"/>
                <w:lang w:eastAsia="ru-RU"/>
              </w:rPr>
              <w:t>03</w:t>
            </w:r>
          </w:p>
        </w:tc>
        <w:tc>
          <w:tcPr>
            <w:tcW w:w="1133" w:type="dxa"/>
            <w:tcBorders>
              <w:top w:val="nil"/>
              <w:left w:val="nil"/>
              <w:bottom w:val="single" w:sz="4" w:space="0" w:color="000000"/>
              <w:right w:val="single" w:sz="4" w:space="0" w:color="000000"/>
            </w:tcBorders>
            <w:shd w:val="clear" w:color="auto" w:fill="auto"/>
            <w:vAlign w:val="center"/>
            <w:hideMark/>
          </w:tcPr>
          <w:p w14:paraId="39E1AC1A" w14:textId="77777777" w:rsidR="00727235" w:rsidRPr="005376A2" w:rsidRDefault="00727235" w:rsidP="00516A75">
            <w:pPr>
              <w:ind w:firstLine="0"/>
              <w:jc w:val="center"/>
              <w:rPr>
                <w:sz w:val="22"/>
                <w:lang w:eastAsia="ru-RU"/>
              </w:rPr>
            </w:pPr>
            <w:r w:rsidRPr="005376A2">
              <w:rPr>
                <w:sz w:val="22"/>
                <w:lang w:eastAsia="ru-RU"/>
              </w:rPr>
              <w:t>04</w:t>
            </w:r>
          </w:p>
        </w:tc>
        <w:tc>
          <w:tcPr>
            <w:tcW w:w="1134" w:type="dxa"/>
            <w:tcBorders>
              <w:top w:val="nil"/>
              <w:left w:val="nil"/>
              <w:bottom w:val="single" w:sz="4" w:space="0" w:color="000000"/>
              <w:right w:val="single" w:sz="4" w:space="0" w:color="000000"/>
            </w:tcBorders>
            <w:shd w:val="clear" w:color="auto" w:fill="auto"/>
            <w:vAlign w:val="center"/>
            <w:hideMark/>
          </w:tcPr>
          <w:p w14:paraId="219436B7" w14:textId="77777777" w:rsidR="00727235" w:rsidRPr="005376A2" w:rsidRDefault="00727235" w:rsidP="00516A75">
            <w:pPr>
              <w:ind w:firstLine="0"/>
              <w:jc w:val="center"/>
              <w:rPr>
                <w:sz w:val="22"/>
                <w:lang w:eastAsia="ru-RU"/>
              </w:rPr>
            </w:pPr>
            <w:r w:rsidRPr="005376A2">
              <w:rPr>
                <w:sz w:val="22"/>
                <w:lang w:eastAsia="ru-RU"/>
              </w:rPr>
              <w:t>05</w:t>
            </w:r>
          </w:p>
        </w:tc>
        <w:tc>
          <w:tcPr>
            <w:tcW w:w="851" w:type="dxa"/>
            <w:tcBorders>
              <w:top w:val="nil"/>
              <w:left w:val="nil"/>
              <w:bottom w:val="single" w:sz="4" w:space="0" w:color="000000"/>
              <w:right w:val="single" w:sz="4" w:space="0" w:color="000000"/>
            </w:tcBorders>
            <w:shd w:val="clear" w:color="auto" w:fill="auto"/>
            <w:vAlign w:val="center"/>
            <w:hideMark/>
          </w:tcPr>
          <w:p w14:paraId="4E03D914" w14:textId="77777777" w:rsidR="00727235" w:rsidRPr="005376A2" w:rsidRDefault="00727235" w:rsidP="00516A75">
            <w:pPr>
              <w:ind w:firstLine="0"/>
              <w:jc w:val="center"/>
              <w:rPr>
                <w:sz w:val="22"/>
                <w:lang w:eastAsia="ru-RU"/>
              </w:rPr>
            </w:pPr>
            <w:r w:rsidRPr="005376A2">
              <w:rPr>
                <w:sz w:val="22"/>
                <w:lang w:eastAsia="ru-RU"/>
              </w:rPr>
              <w:t>06</w:t>
            </w:r>
          </w:p>
        </w:tc>
        <w:tc>
          <w:tcPr>
            <w:tcW w:w="1275" w:type="dxa"/>
            <w:tcBorders>
              <w:top w:val="nil"/>
              <w:left w:val="nil"/>
              <w:bottom w:val="single" w:sz="4" w:space="0" w:color="000000"/>
              <w:right w:val="single" w:sz="4" w:space="0" w:color="000000"/>
            </w:tcBorders>
            <w:shd w:val="clear" w:color="auto" w:fill="auto"/>
            <w:vAlign w:val="center"/>
            <w:hideMark/>
          </w:tcPr>
          <w:p w14:paraId="04ABC2DD" w14:textId="77777777" w:rsidR="00727235" w:rsidRPr="005376A2" w:rsidRDefault="00727235" w:rsidP="00516A75">
            <w:pPr>
              <w:ind w:firstLine="0"/>
              <w:jc w:val="center"/>
              <w:rPr>
                <w:sz w:val="22"/>
                <w:lang w:eastAsia="ru-RU"/>
              </w:rPr>
            </w:pPr>
            <w:r w:rsidRPr="005376A2">
              <w:rPr>
                <w:sz w:val="22"/>
                <w:lang w:eastAsia="ru-RU"/>
              </w:rPr>
              <w:t>07</w:t>
            </w:r>
          </w:p>
        </w:tc>
        <w:tc>
          <w:tcPr>
            <w:tcW w:w="992" w:type="dxa"/>
            <w:tcBorders>
              <w:top w:val="nil"/>
              <w:left w:val="nil"/>
              <w:bottom w:val="single" w:sz="4" w:space="0" w:color="000000"/>
              <w:right w:val="single" w:sz="4" w:space="0" w:color="000000"/>
            </w:tcBorders>
            <w:shd w:val="clear" w:color="auto" w:fill="auto"/>
            <w:vAlign w:val="center"/>
            <w:hideMark/>
          </w:tcPr>
          <w:p w14:paraId="4C5F4FA8" w14:textId="77777777" w:rsidR="00727235" w:rsidRPr="005376A2" w:rsidRDefault="00727235" w:rsidP="00516A75">
            <w:pPr>
              <w:ind w:firstLine="0"/>
              <w:jc w:val="center"/>
              <w:rPr>
                <w:sz w:val="22"/>
                <w:lang w:eastAsia="ru-RU"/>
              </w:rPr>
            </w:pPr>
            <w:r w:rsidRPr="005376A2">
              <w:rPr>
                <w:sz w:val="22"/>
                <w:lang w:eastAsia="ru-RU"/>
              </w:rPr>
              <w:t>08</w:t>
            </w:r>
          </w:p>
        </w:tc>
        <w:tc>
          <w:tcPr>
            <w:tcW w:w="1276" w:type="dxa"/>
            <w:tcBorders>
              <w:top w:val="nil"/>
              <w:left w:val="nil"/>
              <w:bottom w:val="single" w:sz="4" w:space="0" w:color="000000"/>
              <w:right w:val="single" w:sz="4" w:space="0" w:color="000000"/>
            </w:tcBorders>
            <w:shd w:val="clear" w:color="auto" w:fill="auto"/>
            <w:vAlign w:val="center"/>
            <w:hideMark/>
          </w:tcPr>
          <w:p w14:paraId="7F7FC2C8" w14:textId="77777777" w:rsidR="00727235" w:rsidRPr="005376A2" w:rsidRDefault="00727235" w:rsidP="00516A75">
            <w:pPr>
              <w:ind w:firstLine="0"/>
              <w:jc w:val="center"/>
              <w:rPr>
                <w:sz w:val="22"/>
                <w:lang w:eastAsia="ru-RU"/>
              </w:rPr>
            </w:pPr>
            <w:r w:rsidRPr="005376A2">
              <w:rPr>
                <w:sz w:val="22"/>
                <w:lang w:eastAsia="ru-RU"/>
              </w:rPr>
              <w:t>09</w:t>
            </w:r>
          </w:p>
        </w:tc>
      </w:tr>
      <w:tr w:rsidR="00727235" w:rsidRPr="005376A2" w14:paraId="5206A6D0" w14:textId="77777777" w:rsidTr="00F82C21">
        <w:trPr>
          <w:trHeight w:val="360"/>
        </w:trPr>
        <w:tc>
          <w:tcPr>
            <w:tcW w:w="567" w:type="dxa"/>
            <w:tcBorders>
              <w:top w:val="nil"/>
              <w:left w:val="single" w:sz="4" w:space="0" w:color="000000"/>
              <w:bottom w:val="single" w:sz="4" w:space="0" w:color="000000"/>
              <w:right w:val="single" w:sz="4" w:space="0" w:color="000000"/>
            </w:tcBorders>
            <w:shd w:val="clear" w:color="auto" w:fill="auto"/>
            <w:vAlign w:val="center"/>
            <w:hideMark/>
          </w:tcPr>
          <w:p w14:paraId="08735908" w14:textId="01203D7B" w:rsidR="00727235" w:rsidRPr="005376A2" w:rsidRDefault="00F82C21" w:rsidP="00F82C21">
            <w:pPr>
              <w:ind w:firstLine="38"/>
              <w:rPr>
                <w:sz w:val="22"/>
                <w:lang w:eastAsia="ru-RU"/>
              </w:rPr>
            </w:pPr>
            <w:r w:rsidRPr="005376A2">
              <w:rPr>
                <w:sz w:val="22"/>
                <w:lang w:eastAsia="ru-RU"/>
              </w:rPr>
              <w:t>1</w:t>
            </w:r>
          </w:p>
        </w:tc>
        <w:tc>
          <w:tcPr>
            <w:tcW w:w="1134" w:type="dxa"/>
            <w:tcBorders>
              <w:top w:val="nil"/>
              <w:left w:val="nil"/>
              <w:bottom w:val="single" w:sz="4" w:space="0" w:color="000000"/>
              <w:right w:val="single" w:sz="4" w:space="0" w:color="000000"/>
            </w:tcBorders>
            <w:shd w:val="clear" w:color="auto" w:fill="auto"/>
            <w:vAlign w:val="center"/>
            <w:hideMark/>
          </w:tcPr>
          <w:p w14:paraId="4C2B3CF4" w14:textId="77777777" w:rsidR="00727235" w:rsidRPr="005376A2" w:rsidRDefault="00727235" w:rsidP="0019603A">
            <w:pPr>
              <w:ind w:firstLine="0"/>
              <w:rPr>
                <w:sz w:val="22"/>
                <w:lang w:eastAsia="ru-RU"/>
              </w:rPr>
            </w:pPr>
            <w:r w:rsidRPr="005376A2">
              <w:rPr>
                <w:sz w:val="22"/>
                <w:lang w:eastAsia="ru-RU"/>
              </w:rPr>
              <w:t>линейная</w:t>
            </w:r>
          </w:p>
        </w:tc>
        <w:tc>
          <w:tcPr>
            <w:tcW w:w="1135" w:type="dxa"/>
            <w:tcBorders>
              <w:top w:val="nil"/>
              <w:left w:val="nil"/>
              <w:bottom w:val="single" w:sz="4" w:space="0" w:color="000000"/>
              <w:right w:val="single" w:sz="4" w:space="0" w:color="000000"/>
            </w:tcBorders>
            <w:shd w:val="clear" w:color="auto" w:fill="auto"/>
            <w:vAlign w:val="center"/>
            <w:hideMark/>
          </w:tcPr>
          <w:p w14:paraId="31CE4D8F" w14:textId="77777777" w:rsidR="00727235" w:rsidRPr="005376A2" w:rsidRDefault="00727235" w:rsidP="0019603A">
            <w:pPr>
              <w:ind w:firstLine="0"/>
              <w:rPr>
                <w:sz w:val="22"/>
              </w:rPr>
            </w:pPr>
            <w:r w:rsidRPr="005376A2">
              <w:rPr>
                <w:sz w:val="22"/>
              </w:rPr>
              <w:t>3</w:t>
            </w:r>
          </w:p>
        </w:tc>
        <w:tc>
          <w:tcPr>
            <w:tcW w:w="1133" w:type="dxa"/>
            <w:tcBorders>
              <w:top w:val="nil"/>
              <w:left w:val="nil"/>
              <w:bottom w:val="single" w:sz="4" w:space="0" w:color="000000"/>
              <w:right w:val="single" w:sz="4" w:space="0" w:color="000000"/>
            </w:tcBorders>
            <w:shd w:val="clear" w:color="auto" w:fill="auto"/>
            <w:vAlign w:val="center"/>
            <w:hideMark/>
          </w:tcPr>
          <w:p w14:paraId="52823686" w14:textId="77777777" w:rsidR="00727235" w:rsidRPr="005376A2" w:rsidRDefault="00727235" w:rsidP="0019603A">
            <w:pPr>
              <w:ind w:firstLine="0"/>
              <w:rPr>
                <w:sz w:val="22"/>
              </w:rPr>
            </w:pPr>
            <w:r w:rsidRPr="005376A2">
              <w:rPr>
                <w:sz w:val="22"/>
              </w:rPr>
              <w:t>0,72</w:t>
            </w:r>
          </w:p>
        </w:tc>
        <w:tc>
          <w:tcPr>
            <w:tcW w:w="1134" w:type="dxa"/>
            <w:tcBorders>
              <w:top w:val="nil"/>
              <w:left w:val="nil"/>
              <w:bottom w:val="single" w:sz="4" w:space="0" w:color="000000"/>
              <w:right w:val="single" w:sz="4" w:space="0" w:color="000000"/>
            </w:tcBorders>
            <w:shd w:val="clear" w:color="auto" w:fill="auto"/>
            <w:vAlign w:val="center"/>
            <w:hideMark/>
          </w:tcPr>
          <w:p w14:paraId="687288C5" w14:textId="77777777" w:rsidR="00727235" w:rsidRPr="005376A2" w:rsidRDefault="00727235" w:rsidP="0019603A">
            <w:pPr>
              <w:ind w:firstLine="0"/>
              <w:rPr>
                <w:sz w:val="22"/>
              </w:rPr>
            </w:pPr>
            <w:r w:rsidRPr="005376A2">
              <w:rPr>
                <w:sz w:val="22"/>
              </w:rPr>
              <w:t>117,2</w:t>
            </w:r>
          </w:p>
        </w:tc>
        <w:tc>
          <w:tcPr>
            <w:tcW w:w="851" w:type="dxa"/>
            <w:tcBorders>
              <w:top w:val="nil"/>
              <w:left w:val="nil"/>
              <w:bottom w:val="single" w:sz="4" w:space="0" w:color="000000"/>
              <w:right w:val="single" w:sz="4" w:space="0" w:color="000000"/>
            </w:tcBorders>
            <w:shd w:val="clear" w:color="auto" w:fill="auto"/>
            <w:vAlign w:val="center"/>
            <w:hideMark/>
          </w:tcPr>
          <w:p w14:paraId="0CF5E275" w14:textId="77777777" w:rsidR="00727235" w:rsidRPr="005376A2" w:rsidRDefault="00727235" w:rsidP="0019603A">
            <w:pPr>
              <w:ind w:firstLine="0"/>
              <w:rPr>
                <w:sz w:val="22"/>
              </w:rPr>
            </w:pPr>
            <w:r w:rsidRPr="005376A2">
              <w:rPr>
                <w:sz w:val="22"/>
              </w:rPr>
              <w:t>3,1</w:t>
            </w:r>
          </w:p>
        </w:tc>
        <w:tc>
          <w:tcPr>
            <w:tcW w:w="1275" w:type="dxa"/>
            <w:tcBorders>
              <w:top w:val="nil"/>
              <w:left w:val="nil"/>
              <w:bottom w:val="single" w:sz="4" w:space="0" w:color="000000"/>
              <w:right w:val="single" w:sz="4" w:space="0" w:color="000000"/>
            </w:tcBorders>
            <w:shd w:val="clear" w:color="auto" w:fill="auto"/>
            <w:vAlign w:val="center"/>
            <w:hideMark/>
          </w:tcPr>
          <w:p w14:paraId="4FFD63C4" w14:textId="77777777" w:rsidR="00727235" w:rsidRPr="005376A2" w:rsidRDefault="00727235" w:rsidP="0019603A">
            <w:pPr>
              <w:ind w:firstLine="0"/>
              <w:rPr>
                <w:sz w:val="22"/>
              </w:rPr>
            </w:pPr>
            <w:r w:rsidRPr="005376A2">
              <w:rPr>
                <w:sz w:val="22"/>
              </w:rPr>
              <w:t>7,27</w:t>
            </w:r>
          </w:p>
        </w:tc>
        <w:tc>
          <w:tcPr>
            <w:tcW w:w="992" w:type="dxa"/>
            <w:tcBorders>
              <w:top w:val="nil"/>
              <w:left w:val="nil"/>
              <w:bottom w:val="single" w:sz="4" w:space="0" w:color="000000"/>
              <w:right w:val="single" w:sz="4" w:space="0" w:color="000000"/>
            </w:tcBorders>
            <w:shd w:val="clear" w:color="auto" w:fill="auto"/>
            <w:vAlign w:val="center"/>
            <w:hideMark/>
          </w:tcPr>
          <w:p w14:paraId="46E9380F" w14:textId="77777777" w:rsidR="00727235" w:rsidRPr="005376A2" w:rsidRDefault="00727235" w:rsidP="0019603A">
            <w:pPr>
              <w:ind w:firstLine="0"/>
              <w:rPr>
                <w:sz w:val="22"/>
              </w:rPr>
            </w:pPr>
            <w:r w:rsidRPr="005376A2">
              <w:rPr>
                <w:sz w:val="22"/>
              </w:rPr>
              <w:t>1,01</w:t>
            </w:r>
          </w:p>
        </w:tc>
        <w:tc>
          <w:tcPr>
            <w:tcW w:w="1276" w:type="dxa"/>
            <w:tcBorders>
              <w:top w:val="nil"/>
              <w:left w:val="nil"/>
              <w:bottom w:val="single" w:sz="4" w:space="0" w:color="000000"/>
              <w:right w:val="single" w:sz="4" w:space="0" w:color="000000"/>
            </w:tcBorders>
            <w:shd w:val="clear" w:color="auto" w:fill="auto"/>
            <w:vAlign w:val="center"/>
            <w:hideMark/>
          </w:tcPr>
          <w:p w14:paraId="7C1879D4" w14:textId="77777777" w:rsidR="00727235" w:rsidRPr="005376A2" w:rsidRDefault="00727235" w:rsidP="0019603A">
            <w:pPr>
              <w:ind w:firstLine="0"/>
              <w:rPr>
                <w:sz w:val="22"/>
              </w:rPr>
            </w:pPr>
            <w:r w:rsidRPr="005376A2">
              <w:rPr>
                <w:sz w:val="22"/>
              </w:rPr>
              <w:t>Соответствует</w:t>
            </w:r>
          </w:p>
        </w:tc>
      </w:tr>
      <w:tr w:rsidR="00727235" w:rsidRPr="005376A2" w14:paraId="42BC311B" w14:textId="77777777" w:rsidTr="00F82C21">
        <w:trPr>
          <w:trHeight w:val="360"/>
        </w:trPr>
        <w:tc>
          <w:tcPr>
            <w:tcW w:w="567" w:type="dxa"/>
            <w:tcBorders>
              <w:top w:val="nil"/>
              <w:left w:val="single" w:sz="4" w:space="0" w:color="000000"/>
              <w:bottom w:val="single" w:sz="4" w:space="0" w:color="000000"/>
              <w:right w:val="single" w:sz="4" w:space="0" w:color="000000"/>
            </w:tcBorders>
            <w:shd w:val="clear" w:color="auto" w:fill="auto"/>
            <w:vAlign w:val="center"/>
            <w:hideMark/>
          </w:tcPr>
          <w:p w14:paraId="643A4982" w14:textId="6ABA85B8" w:rsidR="00727235" w:rsidRPr="005376A2" w:rsidRDefault="00F82C21" w:rsidP="00F82C21">
            <w:pPr>
              <w:ind w:firstLine="38"/>
              <w:rPr>
                <w:sz w:val="22"/>
                <w:lang w:eastAsia="ru-RU"/>
              </w:rPr>
            </w:pPr>
            <w:r w:rsidRPr="005376A2">
              <w:rPr>
                <w:sz w:val="22"/>
                <w:lang w:eastAsia="ru-RU"/>
              </w:rPr>
              <w:t>2</w:t>
            </w:r>
          </w:p>
        </w:tc>
        <w:tc>
          <w:tcPr>
            <w:tcW w:w="1134" w:type="dxa"/>
            <w:tcBorders>
              <w:top w:val="nil"/>
              <w:left w:val="nil"/>
              <w:bottom w:val="single" w:sz="4" w:space="0" w:color="000000"/>
              <w:right w:val="single" w:sz="4" w:space="0" w:color="000000"/>
            </w:tcBorders>
            <w:shd w:val="clear" w:color="auto" w:fill="auto"/>
            <w:vAlign w:val="center"/>
            <w:hideMark/>
          </w:tcPr>
          <w:p w14:paraId="2B22F92A" w14:textId="77777777" w:rsidR="00727235" w:rsidRPr="005376A2" w:rsidRDefault="00727235" w:rsidP="0019603A">
            <w:pPr>
              <w:ind w:firstLine="0"/>
              <w:rPr>
                <w:sz w:val="22"/>
                <w:lang w:eastAsia="ru-RU"/>
              </w:rPr>
            </w:pPr>
            <w:r w:rsidRPr="005376A2">
              <w:rPr>
                <w:sz w:val="22"/>
                <w:lang w:eastAsia="ru-RU"/>
              </w:rPr>
              <w:t>мультипликативная</w:t>
            </w:r>
          </w:p>
        </w:tc>
        <w:tc>
          <w:tcPr>
            <w:tcW w:w="1135" w:type="dxa"/>
            <w:tcBorders>
              <w:top w:val="nil"/>
              <w:left w:val="nil"/>
              <w:bottom w:val="single" w:sz="4" w:space="0" w:color="000000"/>
              <w:right w:val="single" w:sz="4" w:space="0" w:color="000000"/>
            </w:tcBorders>
            <w:shd w:val="clear" w:color="auto" w:fill="auto"/>
            <w:vAlign w:val="center"/>
            <w:hideMark/>
          </w:tcPr>
          <w:p w14:paraId="77BD7A2D" w14:textId="77777777" w:rsidR="00727235" w:rsidRPr="005376A2" w:rsidRDefault="00727235" w:rsidP="0019603A">
            <w:pPr>
              <w:ind w:firstLine="0"/>
              <w:rPr>
                <w:sz w:val="22"/>
              </w:rPr>
            </w:pPr>
            <w:r w:rsidRPr="005376A2">
              <w:rPr>
                <w:sz w:val="22"/>
              </w:rPr>
              <w:t>3</w:t>
            </w:r>
          </w:p>
        </w:tc>
        <w:tc>
          <w:tcPr>
            <w:tcW w:w="1133" w:type="dxa"/>
            <w:tcBorders>
              <w:top w:val="nil"/>
              <w:left w:val="nil"/>
              <w:bottom w:val="single" w:sz="4" w:space="0" w:color="000000"/>
              <w:right w:val="single" w:sz="4" w:space="0" w:color="000000"/>
            </w:tcBorders>
            <w:shd w:val="clear" w:color="auto" w:fill="auto"/>
            <w:vAlign w:val="center"/>
            <w:hideMark/>
          </w:tcPr>
          <w:p w14:paraId="3B04F9D9" w14:textId="77777777" w:rsidR="00727235" w:rsidRPr="005376A2" w:rsidRDefault="00727235" w:rsidP="0019603A">
            <w:pPr>
              <w:ind w:firstLine="0"/>
              <w:rPr>
                <w:sz w:val="22"/>
              </w:rPr>
            </w:pPr>
            <w:r w:rsidRPr="005376A2">
              <w:rPr>
                <w:sz w:val="22"/>
              </w:rPr>
              <w:t>0,72</w:t>
            </w:r>
          </w:p>
        </w:tc>
        <w:tc>
          <w:tcPr>
            <w:tcW w:w="1134" w:type="dxa"/>
            <w:tcBorders>
              <w:top w:val="nil"/>
              <w:left w:val="nil"/>
              <w:bottom w:val="single" w:sz="4" w:space="0" w:color="000000"/>
              <w:right w:val="single" w:sz="4" w:space="0" w:color="000000"/>
            </w:tcBorders>
            <w:shd w:val="clear" w:color="auto" w:fill="auto"/>
            <w:vAlign w:val="center"/>
            <w:hideMark/>
          </w:tcPr>
          <w:p w14:paraId="48F1CA14" w14:textId="77777777" w:rsidR="00727235" w:rsidRPr="005376A2" w:rsidRDefault="00727235" w:rsidP="0019603A">
            <w:pPr>
              <w:ind w:firstLine="0"/>
              <w:rPr>
                <w:sz w:val="22"/>
              </w:rPr>
            </w:pPr>
            <w:r w:rsidRPr="005376A2">
              <w:rPr>
                <w:sz w:val="22"/>
              </w:rPr>
              <w:t>116,68</w:t>
            </w:r>
          </w:p>
        </w:tc>
        <w:tc>
          <w:tcPr>
            <w:tcW w:w="851" w:type="dxa"/>
            <w:tcBorders>
              <w:top w:val="nil"/>
              <w:left w:val="nil"/>
              <w:bottom w:val="single" w:sz="4" w:space="0" w:color="000000"/>
              <w:right w:val="single" w:sz="4" w:space="0" w:color="000000"/>
            </w:tcBorders>
            <w:shd w:val="clear" w:color="auto" w:fill="auto"/>
            <w:vAlign w:val="center"/>
            <w:hideMark/>
          </w:tcPr>
          <w:p w14:paraId="7EE24FB5" w14:textId="77777777" w:rsidR="00727235" w:rsidRPr="005376A2" w:rsidRDefault="00727235" w:rsidP="0019603A">
            <w:pPr>
              <w:ind w:firstLine="0"/>
              <w:rPr>
                <w:sz w:val="22"/>
              </w:rPr>
            </w:pPr>
            <w:r w:rsidRPr="005376A2">
              <w:rPr>
                <w:sz w:val="22"/>
              </w:rPr>
              <w:t>3,1</w:t>
            </w:r>
          </w:p>
        </w:tc>
        <w:tc>
          <w:tcPr>
            <w:tcW w:w="1275" w:type="dxa"/>
            <w:tcBorders>
              <w:top w:val="nil"/>
              <w:left w:val="nil"/>
              <w:bottom w:val="single" w:sz="4" w:space="0" w:color="000000"/>
              <w:right w:val="single" w:sz="4" w:space="0" w:color="000000"/>
            </w:tcBorders>
            <w:shd w:val="clear" w:color="auto" w:fill="auto"/>
            <w:vAlign w:val="center"/>
            <w:hideMark/>
          </w:tcPr>
          <w:p w14:paraId="4B18C8EA" w14:textId="77777777" w:rsidR="00727235" w:rsidRPr="005376A2" w:rsidRDefault="00727235" w:rsidP="0019603A">
            <w:pPr>
              <w:ind w:firstLine="0"/>
              <w:rPr>
                <w:sz w:val="22"/>
              </w:rPr>
            </w:pPr>
            <w:r w:rsidRPr="005376A2">
              <w:rPr>
                <w:sz w:val="22"/>
              </w:rPr>
              <w:t>7,3</w:t>
            </w:r>
          </w:p>
        </w:tc>
        <w:tc>
          <w:tcPr>
            <w:tcW w:w="992" w:type="dxa"/>
            <w:tcBorders>
              <w:top w:val="nil"/>
              <w:left w:val="nil"/>
              <w:bottom w:val="single" w:sz="4" w:space="0" w:color="000000"/>
              <w:right w:val="single" w:sz="4" w:space="0" w:color="000000"/>
            </w:tcBorders>
            <w:shd w:val="clear" w:color="auto" w:fill="auto"/>
            <w:vAlign w:val="center"/>
            <w:hideMark/>
          </w:tcPr>
          <w:p w14:paraId="10E0A415" w14:textId="77777777" w:rsidR="00727235" w:rsidRPr="005376A2" w:rsidRDefault="00727235" w:rsidP="0019603A">
            <w:pPr>
              <w:ind w:firstLine="0"/>
              <w:rPr>
                <w:sz w:val="22"/>
              </w:rPr>
            </w:pPr>
            <w:r w:rsidRPr="005376A2">
              <w:rPr>
                <w:sz w:val="22"/>
              </w:rPr>
              <w:t>1,01</w:t>
            </w:r>
          </w:p>
        </w:tc>
        <w:tc>
          <w:tcPr>
            <w:tcW w:w="1276" w:type="dxa"/>
            <w:tcBorders>
              <w:top w:val="nil"/>
              <w:left w:val="nil"/>
              <w:bottom w:val="single" w:sz="4" w:space="0" w:color="000000"/>
              <w:right w:val="single" w:sz="4" w:space="0" w:color="000000"/>
            </w:tcBorders>
            <w:shd w:val="clear" w:color="auto" w:fill="auto"/>
            <w:vAlign w:val="center"/>
            <w:hideMark/>
          </w:tcPr>
          <w:p w14:paraId="150382C3" w14:textId="77777777" w:rsidR="00727235" w:rsidRPr="005376A2" w:rsidRDefault="00727235" w:rsidP="0019603A">
            <w:pPr>
              <w:ind w:firstLine="0"/>
              <w:rPr>
                <w:sz w:val="22"/>
              </w:rPr>
            </w:pPr>
            <w:r w:rsidRPr="005376A2">
              <w:rPr>
                <w:sz w:val="22"/>
              </w:rPr>
              <w:t>Соответствует</w:t>
            </w:r>
          </w:p>
        </w:tc>
      </w:tr>
      <w:tr w:rsidR="00727235" w:rsidRPr="005376A2" w14:paraId="0827F619" w14:textId="77777777" w:rsidTr="00F82C21">
        <w:trPr>
          <w:trHeight w:val="360"/>
        </w:trPr>
        <w:tc>
          <w:tcPr>
            <w:tcW w:w="567" w:type="dxa"/>
            <w:tcBorders>
              <w:top w:val="nil"/>
              <w:left w:val="single" w:sz="4" w:space="0" w:color="000000"/>
              <w:bottom w:val="single" w:sz="4" w:space="0" w:color="000000"/>
              <w:right w:val="single" w:sz="4" w:space="0" w:color="000000"/>
            </w:tcBorders>
            <w:shd w:val="clear" w:color="auto" w:fill="auto"/>
            <w:vAlign w:val="center"/>
            <w:hideMark/>
          </w:tcPr>
          <w:p w14:paraId="48B4B079" w14:textId="77777777" w:rsidR="00727235" w:rsidRPr="005376A2" w:rsidRDefault="00727235" w:rsidP="00F82C21">
            <w:pPr>
              <w:ind w:firstLine="38"/>
              <w:rPr>
                <w:sz w:val="22"/>
                <w:lang w:eastAsia="ru-RU"/>
              </w:rPr>
            </w:pPr>
            <w:r w:rsidRPr="005376A2">
              <w:rPr>
                <w:sz w:val="22"/>
                <w:lang w:eastAsia="ru-RU"/>
              </w:rPr>
              <w:t>3</w:t>
            </w:r>
          </w:p>
        </w:tc>
        <w:tc>
          <w:tcPr>
            <w:tcW w:w="1134" w:type="dxa"/>
            <w:tcBorders>
              <w:top w:val="nil"/>
              <w:left w:val="nil"/>
              <w:bottom w:val="single" w:sz="4" w:space="0" w:color="000000"/>
              <w:right w:val="single" w:sz="4" w:space="0" w:color="000000"/>
            </w:tcBorders>
            <w:shd w:val="clear" w:color="auto" w:fill="auto"/>
            <w:vAlign w:val="center"/>
            <w:hideMark/>
          </w:tcPr>
          <w:p w14:paraId="56E2FFBA" w14:textId="77777777" w:rsidR="00727235" w:rsidRPr="005376A2" w:rsidRDefault="00727235" w:rsidP="0019603A">
            <w:pPr>
              <w:ind w:firstLine="0"/>
              <w:rPr>
                <w:sz w:val="22"/>
                <w:lang w:eastAsia="ru-RU"/>
              </w:rPr>
            </w:pPr>
            <w:r w:rsidRPr="005376A2">
              <w:rPr>
                <w:sz w:val="22"/>
                <w:lang w:eastAsia="ru-RU"/>
              </w:rPr>
              <w:t>экспоненциальная</w:t>
            </w:r>
          </w:p>
        </w:tc>
        <w:tc>
          <w:tcPr>
            <w:tcW w:w="1135" w:type="dxa"/>
            <w:tcBorders>
              <w:top w:val="nil"/>
              <w:left w:val="nil"/>
              <w:bottom w:val="single" w:sz="4" w:space="0" w:color="000000"/>
              <w:right w:val="single" w:sz="4" w:space="0" w:color="000000"/>
            </w:tcBorders>
            <w:shd w:val="clear" w:color="auto" w:fill="auto"/>
            <w:vAlign w:val="center"/>
            <w:hideMark/>
          </w:tcPr>
          <w:p w14:paraId="5D796061" w14:textId="77777777" w:rsidR="00727235" w:rsidRPr="005376A2" w:rsidRDefault="00727235" w:rsidP="0019603A">
            <w:pPr>
              <w:ind w:firstLine="0"/>
              <w:rPr>
                <w:sz w:val="22"/>
              </w:rPr>
            </w:pPr>
            <w:r w:rsidRPr="005376A2">
              <w:rPr>
                <w:sz w:val="22"/>
              </w:rPr>
              <w:t>3</w:t>
            </w:r>
          </w:p>
        </w:tc>
        <w:tc>
          <w:tcPr>
            <w:tcW w:w="1133" w:type="dxa"/>
            <w:tcBorders>
              <w:top w:val="nil"/>
              <w:left w:val="nil"/>
              <w:bottom w:val="single" w:sz="4" w:space="0" w:color="000000"/>
              <w:right w:val="single" w:sz="4" w:space="0" w:color="000000"/>
            </w:tcBorders>
            <w:shd w:val="clear" w:color="auto" w:fill="auto"/>
            <w:vAlign w:val="center"/>
            <w:hideMark/>
          </w:tcPr>
          <w:p w14:paraId="147352F7" w14:textId="77777777" w:rsidR="00727235" w:rsidRPr="005376A2" w:rsidRDefault="00727235" w:rsidP="0019603A">
            <w:pPr>
              <w:ind w:firstLine="0"/>
              <w:rPr>
                <w:sz w:val="22"/>
              </w:rPr>
            </w:pPr>
            <w:r w:rsidRPr="005376A2">
              <w:rPr>
                <w:sz w:val="22"/>
              </w:rPr>
              <w:t>0,72</w:t>
            </w:r>
          </w:p>
        </w:tc>
        <w:tc>
          <w:tcPr>
            <w:tcW w:w="1134" w:type="dxa"/>
            <w:tcBorders>
              <w:top w:val="nil"/>
              <w:left w:val="nil"/>
              <w:bottom w:val="single" w:sz="4" w:space="0" w:color="000000"/>
              <w:right w:val="single" w:sz="4" w:space="0" w:color="000000"/>
            </w:tcBorders>
            <w:shd w:val="clear" w:color="auto" w:fill="auto"/>
            <w:vAlign w:val="center"/>
            <w:hideMark/>
          </w:tcPr>
          <w:p w14:paraId="27428C86" w14:textId="77777777" w:rsidR="00727235" w:rsidRPr="005376A2" w:rsidRDefault="00727235" w:rsidP="0019603A">
            <w:pPr>
              <w:ind w:firstLine="0"/>
              <w:rPr>
                <w:sz w:val="22"/>
              </w:rPr>
            </w:pPr>
            <w:r w:rsidRPr="005376A2">
              <w:rPr>
                <w:sz w:val="22"/>
              </w:rPr>
              <w:t>115,83</w:t>
            </w:r>
          </w:p>
        </w:tc>
        <w:tc>
          <w:tcPr>
            <w:tcW w:w="851" w:type="dxa"/>
            <w:tcBorders>
              <w:top w:val="nil"/>
              <w:left w:val="nil"/>
              <w:bottom w:val="single" w:sz="4" w:space="0" w:color="000000"/>
              <w:right w:val="single" w:sz="4" w:space="0" w:color="000000"/>
            </w:tcBorders>
            <w:shd w:val="clear" w:color="auto" w:fill="auto"/>
            <w:vAlign w:val="center"/>
            <w:hideMark/>
          </w:tcPr>
          <w:p w14:paraId="3F15AC66" w14:textId="77777777" w:rsidR="00727235" w:rsidRPr="005376A2" w:rsidRDefault="00727235" w:rsidP="0019603A">
            <w:pPr>
              <w:ind w:firstLine="0"/>
              <w:rPr>
                <w:sz w:val="22"/>
              </w:rPr>
            </w:pPr>
            <w:r w:rsidRPr="005376A2">
              <w:rPr>
                <w:sz w:val="22"/>
              </w:rPr>
              <w:t>3,1</w:t>
            </w:r>
          </w:p>
        </w:tc>
        <w:tc>
          <w:tcPr>
            <w:tcW w:w="1275" w:type="dxa"/>
            <w:tcBorders>
              <w:top w:val="nil"/>
              <w:left w:val="nil"/>
              <w:bottom w:val="single" w:sz="4" w:space="0" w:color="000000"/>
              <w:right w:val="single" w:sz="4" w:space="0" w:color="000000"/>
            </w:tcBorders>
            <w:shd w:val="clear" w:color="auto" w:fill="auto"/>
            <w:vAlign w:val="center"/>
            <w:hideMark/>
          </w:tcPr>
          <w:p w14:paraId="3D8395FA" w14:textId="77777777" w:rsidR="00727235" w:rsidRPr="005376A2" w:rsidRDefault="00727235" w:rsidP="0019603A">
            <w:pPr>
              <w:ind w:firstLine="0"/>
              <w:rPr>
                <w:sz w:val="22"/>
              </w:rPr>
            </w:pPr>
            <w:r w:rsidRPr="005376A2">
              <w:rPr>
                <w:sz w:val="22"/>
              </w:rPr>
              <w:t>7,23</w:t>
            </w:r>
          </w:p>
        </w:tc>
        <w:tc>
          <w:tcPr>
            <w:tcW w:w="992" w:type="dxa"/>
            <w:tcBorders>
              <w:top w:val="nil"/>
              <w:left w:val="nil"/>
              <w:bottom w:val="single" w:sz="4" w:space="0" w:color="000000"/>
              <w:right w:val="single" w:sz="4" w:space="0" w:color="000000"/>
            </w:tcBorders>
            <w:shd w:val="clear" w:color="auto" w:fill="auto"/>
            <w:vAlign w:val="center"/>
            <w:hideMark/>
          </w:tcPr>
          <w:p w14:paraId="7C1D7840" w14:textId="77777777" w:rsidR="00727235" w:rsidRPr="005376A2" w:rsidRDefault="00727235" w:rsidP="0019603A">
            <w:pPr>
              <w:ind w:firstLine="0"/>
              <w:rPr>
                <w:sz w:val="22"/>
              </w:rPr>
            </w:pPr>
            <w:r w:rsidRPr="005376A2">
              <w:rPr>
                <w:sz w:val="22"/>
              </w:rPr>
              <w:t>1,01</w:t>
            </w:r>
          </w:p>
        </w:tc>
        <w:tc>
          <w:tcPr>
            <w:tcW w:w="1276" w:type="dxa"/>
            <w:tcBorders>
              <w:top w:val="nil"/>
              <w:left w:val="nil"/>
              <w:bottom w:val="single" w:sz="4" w:space="0" w:color="000000"/>
              <w:right w:val="single" w:sz="4" w:space="0" w:color="000000"/>
            </w:tcBorders>
            <w:shd w:val="clear" w:color="auto" w:fill="auto"/>
            <w:vAlign w:val="center"/>
            <w:hideMark/>
          </w:tcPr>
          <w:p w14:paraId="119B26B0" w14:textId="77777777" w:rsidR="00727235" w:rsidRPr="005376A2" w:rsidRDefault="00727235" w:rsidP="0019603A">
            <w:pPr>
              <w:ind w:firstLine="0"/>
              <w:rPr>
                <w:sz w:val="22"/>
              </w:rPr>
            </w:pPr>
            <w:r w:rsidRPr="005376A2">
              <w:rPr>
                <w:sz w:val="22"/>
              </w:rPr>
              <w:t>Соответствует</w:t>
            </w:r>
          </w:p>
        </w:tc>
      </w:tr>
    </w:tbl>
    <w:p w14:paraId="0018CD7D" w14:textId="77777777" w:rsidR="00727235" w:rsidRPr="00727235" w:rsidRDefault="00727235" w:rsidP="00727235">
      <w:pPr>
        <w:rPr>
          <w:lang w:eastAsia="ru-RU"/>
        </w:rPr>
      </w:pPr>
    </w:p>
    <w:p w14:paraId="528FF4EC" w14:textId="77777777" w:rsidR="00727235" w:rsidRPr="00727235" w:rsidRDefault="00727235" w:rsidP="00727235">
      <w:r w:rsidRPr="00727235">
        <w:t>Далее проведен анализ качества моделей для статистически значимых моделей.</w:t>
      </w:r>
    </w:p>
    <w:p w14:paraId="77B3EAA2" w14:textId="77777777" w:rsidR="00727235" w:rsidRPr="00727235" w:rsidRDefault="00727235" w:rsidP="00727235">
      <w:pPr>
        <w:rPr>
          <w:lang w:eastAsia="ru-RU"/>
        </w:rPr>
      </w:pPr>
    </w:p>
    <w:p w14:paraId="103D4185" w14:textId="0D8EFDD4" w:rsidR="00A636A1" w:rsidRDefault="00727235" w:rsidP="00727235">
      <w:pPr>
        <w:rPr>
          <w:rFonts w:eastAsia="Times New Roman" w:cs="Times New Roman"/>
          <w:bCs/>
          <w:color w:val="000000"/>
          <w:szCs w:val="24"/>
          <w:lang w:eastAsia="ru-RU"/>
        </w:rPr>
      </w:pPr>
      <w:r w:rsidRPr="00727235">
        <w:rPr>
          <w:lang w:eastAsia="ru-RU"/>
        </w:rPr>
        <w:t xml:space="preserve">Таблица </w:t>
      </w:r>
      <w:r w:rsidRPr="00727235">
        <w:rPr>
          <w:lang w:eastAsia="ru-RU"/>
        </w:rPr>
        <w:fldChar w:fldCharType="begin"/>
      </w:r>
      <w:r w:rsidRPr="00727235">
        <w:rPr>
          <w:lang w:eastAsia="ru-RU"/>
        </w:rPr>
        <w:instrText xml:space="preserve"> SEQ Таблица \* ARABIC </w:instrText>
      </w:r>
      <w:r w:rsidRPr="00727235">
        <w:rPr>
          <w:lang w:eastAsia="ru-RU"/>
        </w:rPr>
        <w:fldChar w:fldCharType="separate"/>
      </w:r>
      <w:r w:rsidR="00FD2769">
        <w:rPr>
          <w:noProof/>
          <w:lang w:eastAsia="ru-RU"/>
        </w:rPr>
        <w:t>64</w:t>
      </w:r>
      <w:r w:rsidRPr="00727235">
        <w:rPr>
          <w:lang w:eastAsia="ru-RU"/>
        </w:rPr>
        <w:fldChar w:fldCharType="end"/>
      </w:r>
      <w:r w:rsidRPr="00727235">
        <w:rPr>
          <w:lang w:eastAsia="ru-RU"/>
        </w:rPr>
        <w:t xml:space="preserve"> Параметры модели, отобранной для расчета кадастровой стоимости объектов недвижимости </w:t>
      </w:r>
      <w:r w:rsidR="00A636A1" w:rsidRPr="00A636A1">
        <w:rPr>
          <w:rFonts w:eastAsia="Times New Roman" w:cs="Times New Roman"/>
          <w:bCs/>
          <w:color w:val="000000"/>
          <w:szCs w:val="24"/>
          <w:lang w:eastAsia="ru-RU"/>
        </w:rPr>
        <w:t>"2. Дома малоэтажной жилой застройки, в том числе ИЖС и СОД", подгруппа "</w:t>
      </w:r>
      <w:r w:rsidR="000470FD">
        <w:rPr>
          <w:rFonts w:eastAsia="Times New Roman" w:cs="Times New Roman"/>
          <w:bCs/>
          <w:color w:val="000000"/>
          <w:szCs w:val="24"/>
          <w:lang w:eastAsia="ru-RU"/>
        </w:rPr>
        <w:t>МКД Помещения г.Якутск с п/х 2.10.</w:t>
      </w:r>
      <w:r w:rsidR="00A636A1" w:rsidRPr="00A636A1">
        <w:rPr>
          <w:rFonts w:eastAsia="Times New Roman" w:cs="Times New Roman"/>
          <w:bCs/>
          <w:color w:val="000000"/>
          <w:szCs w:val="24"/>
          <w:lang w:eastAsia="ru-RU"/>
        </w:rPr>
        <w:t xml:space="preserve">". </w:t>
      </w:r>
    </w:p>
    <w:p w14:paraId="4C3D3BB7" w14:textId="49BBEC72" w:rsidR="00727235" w:rsidRPr="00727235" w:rsidRDefault="00727235" w:rsidP="00727235">
      <w:pPr>
        <w:rPr>
          <w:lang w:eastAsia="ru-RU"/>
        </w:rPr>
      </w:pPr>
    </w:p>
    <w:tbl>
      <w:tblPr>
        <w:tblW w:w="5000" w:type="pct"/>
        <w:tblLook w:val="04A0" w:firstRow="1" w:lastRow="0" w:firstColumn="1" w:lastColumn="0" w:noHBand="0" w:noVBand="1"/>
      </w:tblPr>
      <w:tblGrid>
        <w:gridCol w:w="461"/>
        <w:gridCol w:w="1819"/>
        <w:gridCol w:w="1138"/>
        <w:gridCol w:w="1217"/>
        <w:gridCol w:w="1138"/>
        <w:gridCol w:w="1217"/>
        <w:gridCol w:w="1138"/>
        <w:gridCol w:w="1217"/>
      </w:tblGrid>
      <w:tr w:rsidR="00C428B5" w:rsidRPr="005376A2" w14:paraId="39693207" w14:textId="77777777" w:rsidTr="005376A2">
        <w:trPr>
          <w:trHeight w:val="795"/>
          <w:tblHeader/>
        </w:trPr>
        <w:tc>
          <w:tcPr>
            <w:tcW w:w="301" w:type="pct"/>
            <w:vMerge w:val="restart"/>
            <w:tcBorders>
              <w:top w:val="single" w:sz="4" w:space="0" w:color="000000"/>
              <w:left w:val="single" w:sz="4" w:space="0" w:color="000000"/>
              <w:right w:val="nil"/>
            </w:tcBorders>
            <w:shd w:val="clear" w:color="auto" w:fill="auto"/>
            <w:vAlign w:val="center"/>
            <w:hideMark/>
          </w:tcPr>
          <w:p w14:paraId="6428C6DA" w14:textId="04566689" w:rsidR="00C428B5" w:rsidRPr="005376A2" w:rsidRDefault="00C428B5" w:rsidP="005A3A8C">
            <w:pPr>
              <w:ind w:firstLine="30"/>
              <w:rPr>
                <w:sz w:val="22"/>
                <w:lang w:eastAsia="ru-RU"/>
              </w:rPr>
            </w:pPr>
            <w:r w:rsidRPr="005376A2">
              <w:rPr>
                <w:sz w:val="22"/>
                <w:lang w:eastAsia="ru-RU"/>
              </w:rPr>
              <w:t>№ п/п</w:t>
            </w:r>
          </w:p>
        </w:tc>
        <w:tc>
          <w:tcPr>
            <w:tcW w:w="919" w:type="pct"/>
            <w:vMerge w:val="restart"/>
            <w:tcBorders>
              <w:top w:val="single" w:sz="4" w:space="0" w:color="000000"/>
              <w:left w:val="single" w:sz="4" w:space="0" w:color="000000"/>
              <w:right w:val="nil"/>
            </w:tcBorders>
            <w:shd w:val="clear" w:color="auto" w:fill="auto"/>
            <w:vAlign w:val="center"/>
            <w:hideMark/>
          </w:tcPr>
          <w:p w14:paraId="0B617E34" w14:textId="4024A8E2" w:rsidR="00C428B5" w:rsidRPr="005376A2" w:rsidRDefault="00C428B5" w:rsidP="005A3A8C">
            <w:pPr>
              <w:ind w:firstLine="0"/>
              <w:rPr>
                <w:sz w:val="22"/>
                <w:lang w:eastAsia="ru-RU"/>
              </w:rPr>
            </w:pPr>
            <w:r w:rsidRPr="005376A2">
              <w:rPr>
                <w:sz w:val="22"/>
                <w:lang w:eastAsia="ru-RU"/>
              </w:rPr>
              <w:t>Название статистически значимой модели</w:t>
            </w:r>
          </w:p>
        </w:tc>
        <w:tc>
          <w:tcPr>
            <w:tcW w:w="1260" w:type="pct"/>
            <w:gridSpan w:val="2"/>
            <w:tcBorders>
              <w:top w:val="single" w:sz="4" w:space="0" w:color="000000"/>
              <w:left w:val="single" w:sz="4" w:space="0" w:color="000000"/>
              <w:bottom w:val="single" w:sz="4" w:space="0" w:color="000000"/>
              <w:right w:val="nil"/>
            </w:tcBorders>
            <w:shd w:val="clear" w:color="auto" w:fill="auto"/>
            <w:vAlign w:val="center"/>
            <w:hideMark/>
          </w:tcPr>
          <w:p w14:paraId="36333EAC" w14:textId="77777777" w:rsidR="00C428B5" w:rsidRPr="005376A2" w:rsidRDefault="00C428B5" w:rsidP="005A3A8C">
            <w:pPr>
              <w:ind w:firstLine="0"/>
              <w:rPr>
                <w:sz w:val="22"/>
                <w:lang w:eastAsia="ru-RU"/>
              </w:rPr>
            </w:pPr>
            <w:r w:rsidRPr="005376A2">
              <w:rPr>
                <w:sz w:val="22"/>
                <w:lang w:eastAsia="ru-RU"/>
              </w:rPr>
              <w:t>Линейная модель</w:t>
            </w:r>
          </w:p>
        </w:tc>
        <w:tc>
          <w:tcPr>
            <w:tcW w:w="1260" w:type="pct"/>
            <w:gridSpan w:val="2"/>
            <w:tcBorders>
              <w:top w:val="single" w:sz="4" w:space="0" w:color="000000"/>
              <w:left w:val="single" w:sz="4" w:space="0" w:color="000000"/>
              <w:bottom w:val="single" w:sz="4" w:space="0" w:color="000000"/>
              <w:right w:val="nil"/>
            </w:tcBorders>
            <w:shd w:val="clear" w:color="auto" w:fill="auto"/>
            <w:vAlign w:val="center"/>
            <w:hideMark/>
          </w:tcPr>
          <w:p w14:paraId="66F825A6" w14:textId="77777777" w:rsidR="00C428B5" w:rsidRPr="005376A2" w:rsidRDefault="00C428B5" w:rsidP="005A3A8C">
            <w:pPr>
              <w:ind w:firstLine="0"/>
              <w:rPr>
                <w:sz w:val="22"/>
                <w:lang w:eastAsia="ru-RU"/>
              </w:rPr>
            </w:pPr>
            <w:r w:rsidRPr="005376A2">
              <w:rPr>
                <w:sz w:val="22"/>
                <w:lang w:eastAsia="ru-RU"/>
              </w:rPr>
              <w:t>Мультипликативная модель</w:t>
            </w:r>
          </w:p>
        </w:tc>
        <w:tc>
          <w:tcPr>
            <w:tcW w:w="1260" w:type="pct"/>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58C930FD" w14:textId="77777777" w:rsidR="00C428B5" w:rsidRPr="005376A2" w:rsidRDefault="00C428B5" w:rsidP="005A3A8C">
            <w:pPr>
              <w:ind w:firstLine="0"/>
              <w:rPr>
                <w:sz w:val="22"/>
                <w:lang w:eastAsia="ru-RU"/>
              </w:rPr>
            </w:pPr>
            <w:r w:rsidRPr="005376A2">
              <w:rPr>
                <w:sz w:val="22"/>
                <w:lang w:eastAsia="ru-RU"/>
              </w:rPr>
              <w:t>Экспоненциальная модель</w:t>
            </w:r>
          </w:p>
        </w:tc>
      </w:tr>
      <w:tr w:rsidR="00C428B5" w:rsidRPr="005376A2" w14:paraId="77F95193" w14:textId="77777777" w:rsidTr="005376A2">
        <w:trPr>
          <w:trHeight w:val="765"/>
          <w:tblHeader/>
        </w:trPr>
        <w:tc>
          <w:tcPr>
            <w:tcW w:w="301" w:type="pct"/>
            <w:vMerge/>
            <w:tcBorders>
              <w:left w:val="single" w:sz="4" w:space="0" w:color="000000"/>
              <w:bottom w:val="single" w:sz="4" w:space="0" w:color="000000"/>
              <w:right w:val="nil"/>
            </w:tcBorders>
            <w:shd w:val="clear" w:color="auto" w:fill="auto"/>
            <w:vAlign w:val="center"/>
            <w:hideMark/>
          </w:tcPr>
          <w:p w14:paraId="13B10166" w14:textId="474C1D59" w:rsidR="00C428B5" w:rsidRPr="005376A2" w:rsidRDefault="00C428B5" w:rsidP="005A3A8C">
            <w:pPr>
              <w:ind w:firstLine="30"/>
              <w:rPr>
                <w:sz w:val="22"/>
                <w:lang w:eastAsia="ru-RU"/>
              </w:rPr>
            </w:pPr>
          </w:p>
        </w:tc>
        <w:tc>
          <w:tcPr>
            <w:tcW w:w="919" w:type="pct"/>
            <w:vMerge/>
            <w:tcBorders>
              <w:left w:val="single" w:sz="4" w:space="0" w:color="000000"/>
              <w:bottom w:val="single" w:sz="4" w:space="0" w:color="000000"/>
              <w:right w:val="nil"/>
            </w:tcBorders>
            <w:shd w:val="clear" w:color="auto" w:fill="auto"/>
            <w:vAlign w:val="center"/>
            <w:hideMark/>
          </w:tcPr>
          <w:p w14:paraId="088F6B24" w14:textId="01D8EB4A" w:rsidR="00C428B5" w:rsidRPr="005376A2" w:rsidRDefault="00C428B5" w:rsidP="005A3A8C">
            <w:pPr>
              <w:ind w:firstLine="0"/>
              <w:rPr>
                <w:sz w:val="22"/>
                <w:lang w:eastAsia="ru-RU"/>
              </w:rPr>
            </w:pPr>
          </w:p>
        </w:tc>
        <w:tc>
          <w:tcPr>
            <w:tcW w:w="609" w:type="pct"/>
            <w:tcBorders>
              <w:top w:val="nil"/>
              <w:left w:val="single" w:sz="4" w:space="0" w:color="000000"/>
              <w:bottom w:val="single" w:sz="4" w:space="0" w:color="000000"/>
              <w:right w:val="nil"/>
            </w:tcBorders>
            <w:shd w:val="clear" w:color="auto" w:fill="auto"/>
            <w:vAlign w:val="center"/>
            <w:hideMark/>
          </w:tcPr>
          <w:p w14:paraId="010E09B1" w14:textId="77777777" w:rsidR="00C428B5" w:rsidRPr="005376A2" w:rsidRDefault="00C428B5" w:rsidP="005A3A8C">
            <w:pPr>
              <w:ind w:firstLine="0"/>
              <w:rPr>
                <w:sz w:val="22"/>
                <w:lang w:eastAsia="ru-RU"/>
              </w:rPr>
            </w:pPr>
            <w:r w:rsidRPr="005376A2">
              <w:rPr>
                <w:sz w:val="22"/>
                <w:lang w:eastAsia="ru-RU"/>
              </w:rPr>
              <w:t>Обучающая выборка</w:t>
            </w:r>
          </w:p>
        </w:tc>
        <w:tc>
          <w:tcPr>
            <w:tcW w:w="651" w:type="pct"/>
            <w:tcBorders>
              <w:top w:val="nil"/>
              <w:left w:val="single" w:sz="4" w:space="0" w:color="000000"/>
              <w:bottom w:val="single" w:sz="4" w:space="0" w:color="000000"/>
              <w:right w:val="nil"/>
            </w:tcBorders>
            <w:shd w:val="clear" w:color="auto" w:fill="auto"/>
            <w:vAlign w:val="center"/>
            <w:hideMark/>
          </w:tcPr>
          <w:p w14:paraId="129674F7" w14:textId="77777777" w:rsidR="00C428B5" w:rsidRPr="005376A2" w:rsidRDefault="00C428B5" w:rsidP="005A3A8C">
            <w:pPr>
              <w:ind w:firstLine="0"/>
              <w:rPr>
                <w:sz w:val="22"/>
                <w:lang w:eastAsia="ru-RU"/>
              </w:rPr>
            </w:pPr>
            <w:r w:rsidRPr="005376A2">
              <w:rPr>
                <w:sz w:val="22"/>
                <w:lang w:eastAsia="ru-RU"/>
              </w:rPr>
              <w:t>Контрольная выборка</w:t>
            </w:r>
          </w:p>
        </w:tc>
        <w:tc>
          <w:tcPr>
            <w:tcW w:w="609" w:type="pct"/>
            <w:tcBorders>
              <w:top w:val="nil"/>
              <w:left w:val="single" w:sz="4" w:space="0" w:color="000000"/>
              <w:bottom w:val="single" w:sz="4" w:space="0" w:color="000000"/>
              <w:right w:val="nil"/>
            </w:tcBorders>
            <w:shd w:val="clear" w:color="auto" w:fill="auto"/>
            <w:vAlign w:val="center"/>
            <w:hideMark/>
          </w:tcPr>
          <w:p w14:paraId="3111DAE9" w14:textId="77777777" w:rsidR="00C428B5" w:rsidRPr="005376A2" w:rsidRDefault="00C428B5" w:rsidP="005A3A8C">
            <w:pPr>
              <w:ind w:firstLine="0"/>
              <w:rPr>
                <w:sz w:val="22"/>
                <w:lang w:eastAsia="ru-RU"/>
              </w:rPr>
            </w:pPr>
            <w:r w:rsidRPr="005376A2">
              <w:rPr>
                <w:sz w:val="22"/>
                <w:lang w:eastAsia="ru-RU"/>
              </w:rPr>
              <w:t>Обучающая выборка</w:t>
            </w:r>
          </w:p>
        </w:tc>
        <w:tc>
          <w:tcPr>
            <w:tcW w:w="651" w:type="pct"/>
            <w:tcBorders>
              <w:top w:val="nil"/>
              <w:left w:val="single" w:sz="4" w:space="0" w:color="000000"/>
              <w:bottom w:val="single" w:sz="4" w:space="0" w:color="000000"/>
              <w:right w:val="nil"/>
            </w:tcBorders>
            <w:shd w:val="clear" w:color="auto" w:fill="auto"/>
            <w:vAlign w:val="center"/>
            <w:hideMark/>
          </w:tcPr>
          <w:p w14:paraId="1507DDF3" w14:textId="77777777" w:rsidR="00C428B5" w:rsidRPr="005376A2" w:rsidRDefault="00C428B5" w:rsidP="005A3A8C">
            <w:pPr>
              <w:ind w:firstLine="0"/>
              <w:rPr>
                <w:sz w:val="22"/>
                <w:lang w:eastAsia="ru-RU"/>
              </w:rPr>
            </w:pPr>
            <w:r w:rsidRPr="005376A2">
              <w:rPr>
                <w:sz w:val="22"/>
                <w:lang w:eastAsia="ru-RU"/>
              </w:rPr>
              <w:t>Контрольная выборка</w:t>
            </w:r>
          </w:p>
        </w:tc>
        <w:tc>
          <w:tcPr>
            <w:tcW w:w="609" w:type="pct"/>
            <w:tcBorders>
              <w:top w:val="nil"/>
              <w:left w:val="single" w:sz="4" w:space="0" w:color="000000"/>
              <w:bottom w:val="single" w:sz="4" w:space="0" w:color="000000"/>
              <w:right w:val="nil"/>
            </w:tcBorders>
            <w:shd w:val="clear" w:color="auto" w:fill="auto"/>
            <w:vAlign w:val="center"/>
            <w:hideMark/>
          </w:tcPr>
          <w:p w14:paraId="69DA5F12" w14:textId="77777777" w:rsidR="00C428B5" w:rsidRPr="005376A2" w:rsidRDefault="00C428B5" w:rsidP="005A3A8C">
            <w:pPr>
              <w:ind w:firstLine="0"/>
              <w:rPr>
                <w:sz w:val="22"/>
                <w:lang w:eastAsia="ru-RU"/>
              </w:rPr>
            </w:pPr>
            <w:r w:rsidRPr="005376A2">
              <w:rPr>
                <w:sz w:val="22"/>
                <w:lang w:eastAsia="ru-RU"/>
              </w:rPr>
              <w:t>Обучающая выборка</w:t>
            </w:r>
          </w:p>
        </w:tc>
        <w:tc>
          <w:tcPr>
            <w:tcW w:w="651" w:type="pct"/>
            <w:tcBorders>
              <w:top w:val="nil"/>
              <w:left w:val="single" w:sz="4" w:space="0" w:color="000000"/>
              <w:bottom w:val="single" w:sz="4" w:space="0" w:color="000000"/>
              <w:right w:val="single" w:sz="4" w:space="0" w:color="000000"/>
            </w:tcBorders>
            <w:shd w:val="clear" w:color="auto" w:fill="auto"/>
            <w:vAlign w:val="center"/>
            <w:hideMark/>
          </w:tcPr>
          <w:p w14:paraId="797E290A" w14:textId="77777777" w:rsidR="00C428B5" w:rsidRPr="005376A2" w:rsidRDefault="00C428B5" w:rsidP="005A3A8C">
            <w:pPr>
              <w:ind w:firstLine="0"/>
              <w:rPr>
                <w:sz w:val="22"/>
                <w:lang w:eastAsia="ru-RU"/>
              </w:rPr>
            </w:pPr>
            <w:r w:rsidRPr="005376A2">
              <w:rPr>
                <w:sz w:val="22"/>
                <w:lang w:eastAsia="ru-RU"/>
              </w:rPr>
              <w:t>Контрольная выборка</w:t>
            </w:r>
          </w:p>
        </w:tc>
      </w:tr>
      <w:tr w:rsidR="00C428B5" w:rsidRPr="005376A2" w14:paraId="6E9C933F" w14:textId="77777777" w:rsidTr="005376A2">
        <w:trPr>
          <w:trHeight w:val="360"/>
        </w:trPr>
        <w:tc>
          <w:tcPr>
            <w:tcW w:w="301" w:type="pct"/>
            <w:tcBorders>
              <w:top w:val="nil"/>
              <w:left w:val="single" w:sz="4" w:space="0" w:color="000000"/>
              <w:bottom w:val="single" w:sz="4" w:space="0" w:color="000000"/>
              <w:right w:val="nil"/>
            </w:tcBorders>
            <w:shd w:val="clear" w:color="auto" w:fill="auto"/>
            <w:hideMark/>
          </w:tcPr>
          <w:p w14:paraId="32BB78CD" w14:textId="77777777" w:rsidR="00727235" w:rsidRPr="005376A2" w:rsidRDefault="00727235" w:rsidP="005A3A8C">
            <w:pPr>
              <w:ind w:firstLine="30"/>
              <w:rPr>
                <w:sz w:val="22"/>
                <w:lang w:eastAsia="ru-RU"/>
              </w:rPr>
            </w:pPr>
            <w:r w:rsidRPr="005376A2">
              <w:rPr>
                <w:sz w:val="22"/>
                <w:lang w:eastAsia="ru-RU"/>
              </w:rPr>
              <w:t>01</w:t>
            </w:r>
          </w:p>
        </w:tc>
        <w:tc>
          <w:tcPr>
            <w:tcW w:w="919" w:type="pct"/>
            <w:tcBorders>
              <w:top w:val="nil"/>
              <w:left w:val="single" w:sz="4" w:space="0" w:color="000000"/>
              <w:bottom w:val="single" w:sz="4" w:space="0" w:color="000000"/>
              <w:right w:val="nil"/>
            </w:tcBorders>
            <w:shd w:val="clear" w:color="auto" w:fill="auto"/>
            <w:vAlign w:val="center"/>
            <w:hideMark/>
          </w:tcPr>
          <w:p w14:paraId="5D1628D0" w14:textId="77777777" w:rsidR="00727235" w:rsidRPr="005376A2" w:rsidRDefault="00727235" w:rsidP="005A3A8C">
            <w:pPr>
              <w:ind w:firstLine="0"/>
              <w:rPr>
                <w:sz w:val="22"/>
                <w:lang w:eastAsia="ru-RU"/>
              </w:rPr>
            </w:pPr>
            <w:r w:rsidRPr="005376A2">
              <w:rPr>
                <w:sz w:val="22"/>
                <w:lang w:eastAsia="ru-RU"/>
              </w:rPr>
              <w:t>02</w:t>
            </w:r>
          </w:p>
        </w:tc>
        <w:tc>
          <w:tcPr>
            <w:tcW w:w="609" w:type="pct"/>
            <w:tcBorders>
              <w:top w:val="nil"/>
              <w:left w:val="single" w:sz="4" w:space="0" w:color="000000"/>
              <w:bottom w:val="single" w:sz="4" w:space="0" w:color="000000"/>
              <w:right w:val="nil"/>
            </w:tcBorders>
            <w:shd w:val="clear" w:color="auto" w:fill="auto"/>
            <w:vAlign w:val="center"/>
            <w:hideMark/>
          </w:tcPr>
          <w:p w14:paraId="36289352" w14:textId="77777777" w:rsidR="00727235" w:rsidRPr="005376A2" w:rsidRDefault="00727235" w:rsidP="005A3A8C">
            <w:pPr>
              <w:ind w:firstLine="0"/>
              <w:rPr>
                <w:sz w:val="22"/>
                <w:lang w:eastAsia="ru-RU"/>
              </w:rPr>
            </w:pPr>
            <w:r w:rsidRPr="005376A2">
              <w:rPr>
                <w:sz w:val="22"/>
                <w:lang w:eastAsia="ru-RU"/>
              </w:rPr>
              <w:t>03</w:t>
            </w:r>
          </w:p>
        </w:tc>
        <w:tc>
          <w:tcPr>
            <w:tcW w:w="651" w:type="pct"/>
            <w:tcBorders>
              <w:top w:val="nil"/>
              <w:left w:val="single" w:sz="4" w:space="0" w:color="000000"/>
              <w:bottom w:val="single" w:sz="4" w:space="0" w:color="000000"/>
              <w:right w:val="nil"/>
            </w:tcBorders>
            <w:shd w:val="clear" w:color="auto" w:fill="auto"/>
            <w:vAlign w:val="center"/>
            <w:hideMark/>
          </w:tcPr>
          <w:p w14:paraId="4DA88FDF" w14:textId="77777777" w:rsidR="00727235" w:rsidRPr="005376A2" w:rsidRDefault="00727235" w:rsidP="005A3A8C">
            <w:pPr>
              <w:ind w:firstLine="0"/>
              <w:rPr>
                <w:sz w:val="22"/>
                <w:lang w:eastAsia="ru-RU"/>
              </w:rPr>
            </w:pPr>
            <w:r w:rsidRPr="005376A2">
              <w:rPr>
                <w:sz w:val="22"/>
                <w:lang w:eastAsia="ru-RU"/>
              </w:rPr>
              <w:t>04</w:t>
            </w:r>
          </w:p>
        </w:tc>
        <w:tc>
          <w:tcPr>
            <w:tcW w:w="609" w:type="pct"/>
            <w:tcBorders>
              <w:top w:val="nil"/>
              <w:left w:val="single" w:sz="4" w:space="0" w:color="000000"/>
              <w:bottom w:val="single" w:sz="4" w:space="0" w:color="000000"/>
              <w:right w:val="nil"/>
            </w:tcBorders>
            <w:shd w:val="clear" w:color="auto" w:fill="auto"/>
            <w:vAlign w:val="center"/>
            <w:hideMark/>
          </w:tcPr>
          <w:p w14:paraId="56A44B1B" w14:textId="77777777" w:rsidR="00727235" w:rsidRPr="005376A2" w:rsidRDefault="00727235" w:rsidP="005A3A8C">
            <w:pPr>
              <w:ind w:firstLine="0"/>
              <w:rPr>
                <w:sz w:val="22"/>
                <w:lang w:eastAsia="ru-RU"/>
              </w:rPr>
            </w:pPr>
            <w:r w:rsidRPr="005376A2">
              <w:rPr>
                <w:sz w:val="22"/>
                <w:lang w:eastAsia="ru-RU"/>
              </w:rPr>
              <w:t>05</w:t>
            </w:r>
          </w:p>
        </w:tc>
        <w:tc>
          <w:tcPr>
            <w:tcW w:w="651" w:type="pct"/>
            <w:tcBorders>
              <w:top w:val="nil"/>
              <w:left w:val="single" w:sz="4" w:space="0" w:color="000000"/>
              <w:bottom w:val="single" w:sz="4" w:space="0" w:color="000000"/>
              <w:right w:val="nil"/>
            </w:tcBorders>
            <w:shd w:val="clear" w:color="auto" w:fill="auto"/>
            <w:vAlign w:val="center"/>
            <w:hideMark/>
          </w:tcPr>
          <w:p w14:paraId="77E236A1" w14:textId="77777777" w:rsidR="00727235" w:rsidRPr="005376A2" w:rsidRDefault="00727235" w:rsidP="005A3A8C">
            <w:pPr>
              <w:ind w:firstLine="0"/>
              <w:rPr>
                <w:sz w:val="22"/>
                <w:lang w:eastAsia="ru-RU"/>
              </w:rPr>
            </w:pPr>
            <w:r w:rsidRPr="005376A2">
              <w:rPr>
                <w:sz w:val="22"/>
                <w:lang w:eastAsia="ru-RU"/>
              </w:rPr>
              <w:t>06</w:t>
            </w:r>
          </w:p>
        </w:tc>
        <w:tc>
          <w:tcPr>
            <w:tcW w:w="609" w:type="pct"/>
            <w:tcBorders>
              <w:top w:val="nil"/>
              <w:left w:val="single" w:sz="4" w:space="0" w:color="000000"/>
              <w:bottom w:val="single" w:sz="4" w:space="0" w:color="000000"/>
              <w:right w:val="nil"/>
            </w:tcBorders>
            <w:shd w:val="clear" w:color="auto" w:fill="auto"/>
            <w:vAlign w:val="center"/>
            <w:hideMark/>
          </w:tcPr>
          <w:p w14:paraId="3C56A6F0" w14:textId="77777777" w:rsidR="00727235" w:rsidRPr="005376A2" w:rsidRDefault="00727235" w:rsidP="005A3A8C">
            <w:pPr>
              <w:ind w:firstLine="0"/>
              <w:rPr>
                <w:sz w:val="22"/>
                <w:lang w:eastAsia="ru-RU"/>
              </w:rPr>
            </w:pPr>
            <w:r w:rsidRPr="005376A2">
              <w:rPr>
                <w:sz w:val="22"/>
                <w:lang w:eastAsia="ru-RU"/>
              </w:rPr>
              <w:t>07</w:t>
            </w:r>
          </w:p>
        </w:tc>
        <w:tc>
          <w:tcPr>
            <w:tcW w:w="651" w:type="pct"/>
            <w:tcBorders>
              <w:top w:val="nil"/>
              <w:left w:val="single" w:sz="4" w:space="0" w:color="000000"/>
              <w:bottom w:val="single" w:sz="4" w:space="0" w:color="000000"/>
              <w:right w:val="single" w:sz="4" w:space="0" w:color="000000"/>
            </w:tcBorders>
            <w:shd w:val="clear" w:color="auto" w:fill="auto"/>
            <w:vAlign w:val="center"/>
            <w:hideMark/>
          </w:tcPr>
          <w:p w14:paraId="634F271E" w14:textId="77777777" w:rsidR="00727235" w:rsidRPr="005376A2" w:rsidRDefault="00727235" w:rsidP="005A3A8C">
            <w:pPr>
              <w:ind w:firstLine="0"/>
              <w:rPr>
                <w:sz w:val="22"/>
                <w:lang w:eastAsia="ru-RU"/>
              </w:rPr>
            </w:pPr>
            <w:r w:rsidRPr="005376A2">
              <w:rPr>
                <w:sz w:val="22"/>
                <w:lang w:eastAsia="ru-RU"/>
              </w:rPr>
              <w:t>08</w:t>
            </w:r>
          </w:p>
        </w:tc>
      </w:tr>
      <w:tr w:rsidR="00A636A1" w:rsidRPr="005376A2" w14:paraId="746BE34B" w14:textId="77777777" w:rsidTr="005376A2">
        <w:trPr>
          <w:trHeight w:val="600"/>
        </w:trPr>
        <w:tc>
          <w:tcPr>
            <w:tcW w:w="301" w:type="pct"/>
            <w:tcBorders>
              <w:top w:val="nil"/>
              <w:left w:val="single" w:sz="4" w:space="0" w:color="000000"/>
              <w:bottom w:val="single" w:sz="4" w:space="0" w:color="000000"/>
              <w:right w:val="nil"/>
            </w:tcBorders>
            <w:shd w:val="clear" w:color="auto" w:fill="auto"/>
            <w:vAlign w:val="center"/>
            <w:hideMark/>
          </w:tcPr>
          <w:p w14:paraId="07C9C091" w14:textId="77777777" w:rsidR="00A636A1" w:rsidRPr="005376A2" w:rsidRDefault="00A636A1" w:rsidP="00A636A1">
            <w:pPr>
              <w:ind w:firstLine="30"/>
              <w:rPr>
                <w:sz w:val="22"/>
                <w:lang w:eastAsia="ru-RU"/>
              </w:rPr>
            </w:pPr>
            <w:r w:rsidRPr="005376A2">
              <w:rPr>
                <w:sz w:val="22"/>
                <w:lang w:eastAsia="ru-RU"/>
              </w:rPr>
              <w:t>1</w:t>
            </w:r>
          </w:p>
        </w:tc>
        <w:tc>
          <w:tcPr>
            <w:tcW w:w="919" w:type="pct"/>
            <w:tcBorders>
              <w:top w:val="nil"/>
              <w:left w:val="single" w:sz="4" w:space="0" w:color="000000"/>
              <w:bottom w:val="single" w:sz="4" w:space="0" w:color="000000"/>
              <w:right w:val="nil"/>
            </w:tcBorders>
            <w:shd w:val="clear" w:color="auto" w:fill="auto"/>
            <w:vAlign w:val="center"/>
            <w:hideMark/>
          </w:tcPr>
          <w:p w14:paraId="61ED24B5" w14:textId="77777777" w:rsidR="00A636A1" w:rsidRPr="005376A2" w:rsidRDefault="00A636A1" w:rsidP="00A636A1">
            <w:pPr>
              <w:ind w:firstLine="0"/>
              <w:rPr>
                <w:sz w:val="22"/>
                <w:lang w:eastAsia="ru-RU"/>
              </w:rPr>
            </w:pPr>
            <w:r w:rsidRPr="005376A2">
              <w:rPr>
                <w:sz w:val="22"/>
                <w:lang w:eastAsia="ru-RU"/>
              </w:rPr>
              <w:t>Средняя относительная погрешность оценки</w:t>
            </w:r>
          </w:p>
        </w:tc>
        <w:tc>
          <w:tcPr>
            <w:tcW w:w="609" w:type="pct"/>
            <w:tcBorders>
              <w:top w:val="nil"/>
              <w:left w:val="single" w:sz="4" w:space="0" w:color="000000"/>
              <w:bottom w:val="single" w:sz="4" w:space="0" w:color="000000"/>
              <w:right w:val="nil"/>
            </w:tcBorders>
            <w:shd w:val="clear" w:color="auto" w:fill="auto"/>
            <w:hideMark/>
          </w:tcPr>
          <w:p w14:paraId="61A63022" w14:textId="2458C76C" w:rsidR="00A636A1" w:rsidRPr="005376A2" w:rsidRDefault="00A636A1" w:rsidP="00A636A1">
            <w:pPr>
              <w:ind w:firstLine="0"/>
              <w:rPr>
                <w:sz w:val="22"/>
              </w:rPr>
            </w:pPr>
            <w:r w:rsidRPr="005376A2">
              <w:rPr>
                <w:sz w:val="22"/>
              </w:rPr>
              <w:t>7,74</w:t>
            </w:r>
          </w:p>
        </w:tc>
        <w:tc>
          <w:tcPr>
            <w:tcW w:w="651" w:type="pct"/>
            <w:tcBorders>
              <w:top w:val="nil"/>
              <w:left w:val="single" w:sz="4" w:space="0" w:color="000000"/>
              <w:bottom w:val="single" w:sz="4" w:space="0" w:color="000000"/>
              <w:right w:val="nil"/>
            </w:tcBorders>
            <w:shd w:val="clear" w:color="auto" w:fill="auto"/>
            <w:hideMark/>
          </w:tcPr>
          <w:p w14:paraId="3F917646" w14:textId="4FE7C1B7" w:rsidR="00A636A1" w:rsidRPr="005376A2" w:rsidRDefault="00A636A1" w:rsidP="00A636A1">
            <w:pPr>
              <w:ind w:firstLine="0"/>
              <w:rPr>
                <w:sz w:val="22"/>
              </w:rPr>
            </w:pPr>
            <w:r w:rsidRPr="005376A2">
              <w:rPr>
                <w:sz w:val="22"/>
              </w:rPr>
              <w:t>7,25</w:t>
            </w:r>
          </w:p>
        </w:tc>
        <w:tc>
          <w:tcPr>
            <w:tcW w:w="609" w:type="pct"/>
            <w:tcBorders>
              <w:top w:val="nil"/>
              <w:left w:val="single" w:sz="4" w:space="0" w:color="000000"/>
              <w:bottom w:val="single" w:sz="4" w:space="0" w:color="000000"/>
              <w:right w:val="nil"/>
            </w:tcBorders>
            <w:shd w:val="clear" w:color="auto" w:fill="auto"/>
            <w:hideMark/>
          </w:tcPr>
          <w:p w14:paraId="4A7320D0" w14:textId="47F119B4" w:rsidR="00A636A1" w:rsidRPr="005376A2" w:rsidRDefault="00A636A1" w:rsidP="00A636A1">
            <w:pPr>
              <w:ind w:firstLine="0"/>
              <w:rPr>
                <w:sz w:val="22"/>
              </w:rPr>
            </w:pPr>
            <w:r w:rsidRPr="005376A2">
              <w:rPr>
                <w:sz w:val="22"/>
              </w:rPr>
              <w:t>7,68</w:t>
            </w:r>
          </w:p>
        </w:tc>
        <w:tc>
          <w:tcPr>
            <w:tcW w:w="651" w:type="pct"/>
            <w:tcBorders>
              <w:top w:val="nil"/>
              <w:left w:val="single" w:sz="4" w:space="0" w:color="000000"/>
              <w:bottom w:val="single" w:sz="4" w:space="0" w:color="000000"/>
              <w:right w:val="nil"/>
            </w:tcBorders>
            <w:shd w:val="clear" w:color="auto" w:fill="auto"/>
            <w:hideMark/>
          </w:tcPr>
          <w:p w14:paraId="3DBEAD0B" w14:textId="04A6B0DA" w:rsidR="00A636A1" w:rsidRPr="005376A2" w:rsidRDefault="00A636A1" w:rsidP="00A636A1">
            <w:pPr>
              <w:ind w:firstLine="0"/>
              <w:rPr>
                <w:sz w:val="22"/>
              </w:rPr>
            </w:pPr>
            <w:r w:rsidRPr="005376A2">
              <w:rPr>
                <w:sz w:val="22"/>
              </w:rPr>
              <w:t>7,26</w:t>
            </w:r>
          </w:p>
        </w:tc>
        <w:tc>
          <w:tcPr>
            <w:tcW w:w="609" w:type="pct"/>
            <w:tcBorders>
              <w:top w:val="nil"/>
              <w:left w:val="single" w:sz="4" w:space="0" w:color="000000"/>
              <w:bottom w:val="single" w:sz="4" w:space="0" w:color="000000"/>
              <w:right w:val="nil"/>
            </w:tcBorders>
            <w:shd w:val="clear" w:color="auto" w:fill="auto"/>
            <w:hideMark/>
          </w:tcPr>
          <w:p w14:paraId="570164E6" w14:textId="3C187D29" w:rsidR="00A636A1" w:rsidRPr="005376A2" w:rsidRDefault="00A636A1" w:rsidP="00A636A1">
            <w:pPr>
              <w:ind w:firstLine="0"/>
              <w:rPr>
                <w:sz w:val="22"/>
              </w:rPr>
            </w:pPr>
            <w:r w:rsidRPr="005376A2">
              <w:rPr>
                <w:sz w:val="22"/>
              </w:rPr>
              <w:t>7,7</w:t>
            </w:r>
          </w:p>
        </w:tc>
        <w:tc>
          <w:tcPr>
            <w:tcW w:w="651" w:type="pct"/>
            <w:tcBorders>
              <w:top w:val="nil"/>
              <w:left w:val="single" w:sz="4" w:space="0" w:color="000000"/>
              <w:bottom w:val="single" w:sz="4" w:space="0" w:color="000000"/>
              <w:right w:val="single" w:sz="4" w:space="0" w:color="000000"/>
            </w:tcBorders>
            <w:shd w:val="clear" w:color="auto" w:fill="auto"/>
            <w:hideMark/>
          </w:tcPr>
          <w:p w14:paraId="6B88A697" w14:textId="461BCD70" w:rsidR="00A636A1" w:rsidRPr="005376A2" w:rsidRDefault="00A636A1" w:rsidP="00A636A1">
            <w:pPr>
              <w:ind w:firstLine="0"/>
              <w:rPr>
                <w:sz w:val="22"/>
              </w:rPr>
            </w:pPr>
            <w:r w:rsidRPr="005376A2">
              <w:rPr>
                <w:sz w:val="22"/>
              </w:rPr>
              <w:t>7,18</w:t>
            </w:r>
          </w:p>
        </w:tc>
      </w:tr>
      <w:tr w:rsidR="00A636A1" w:rsidRPr="005376A2" w14:paraId="07F5BCF2" w14:textId="77777777" w:rsidTr="005376A2">
        <w:trPr>
          <w:trHeight w:val="360"/>
        </w:trPr>
        <w:tc>
          <w:tcPr>
            <w:tcW w:w="301" w:type="pct"/>
            <w:tcBorders>
              <w:top w:val="nil"/>
              <w:left w:val="single" w:sz="4" w:space="0" w:color="000000"/>
              <w:bottom w:val="single" w:sz="4" w:space="0" w:color="000000"/>
              <w:right w:val="nil"/>
            </w:tcBorders>
            <w:shd w:val="clear" w:color="auto" w:fill="auto"/>
            <w:vAlign w:val="center"/>
            <w:hideMark/>
          </w:tcPr>
          <w:p w14:paraId="69FB9893" w14:textId="77777777" w:rsidR="00A636A1" w:rsidRPr="005376A2" w:rsidRDefault="00A636A1" w:rsidP="00A636A1">
            <w:pPr>
              <w:ind w:firstLine="30"/>
              <w:rPr>
                <w:sz w:val="22"/>
                <w:lang w:eastAsia="ru-RU"/>
              </w:rPr>
            </w:pPr>
            <w:r w:rsidRPr="005376A2">
              <w:rPr>
                <w:sz w:val="22"/>
                <w:lang w:eastAsia="ru-RU"/>
              </w:rPr>
              <w:t>2</w:t>
            </w:r>
          </w:p>
        </w:tc>
        <w:tc>
          <w:tcPr>
            <w:tcW w:w="919" w:type="pct"/>
            <w:tcBorders>
              <w:top w:val="nil"/>
              <w:left w:val="single" w:sz="4" w:space="0" w:color="000000"/>
              <w:bottom w:val="single" w:sz="4" w:space="0" w:color="000000"/>
              <w:right w:val="nil"/>
            </w:tcBorders>
            <w:shd w:val="clear" w:color="auto" w:fill="auto"/>
            <w:vAlign w:val="center"/>
            <w:hideMark/>
          </w:tcPr>
          <w:p w14:paraId="741921A1" w14:textId="77777777" w:rsidR="00A636A1" w:rsidRPr="005376A2" w:rsidRDefault="00A636A1" w:rsidP="00A636A1">
            <w:pPr>
              <w:ind w:firstLine="0"/>
              <w:rPr>
                <w:sz w:val="22"/>
                <w:lang w:eastAsia="ru-RU"/>
              </w:rPr>
            </w:pPr>
            <w:r w:rsidRPr="005376A2">
              <w:rPr>
                <w:sz w:val="22"/>
                <w:lang w:eastAsia="ru-RU"/>
              </w:rPr>
              <w:t>Коэффициент детерминации</w:t>
            </w:r>
          </w:p>
        </w:tc>
        <w:tc>
          <w:tcPr>
            <w:tcW w:w="609" w:type="pct"/>
            <w:tcBorders>
              <w:top w:val="nil"/>
              <w:left w:val="single" w:sz="4" w:space="0" w:color="000000"/>
              <w:bottom w:val="single" w:sz="4" w:space="0" w:color="000000"/>
              <w:right w:val="nil"/>
            </w:tcBorders>
            <w:shd w:val="clear" w:color="auto" w:fill="auto"/>
            <w:hideMark/>
          </w:tcPr>
          <w:p w14:paraId="032C22B7" w14:textId="61BBC917" w:rsidR="00A636A1" w:rsidRPr="005376A2" w:rsidRDefault="00A636A1" w:rsidP="00A636A1">
            <w:pPr>
              <w:ind w:firstLine="0"/>
              <w:rPr>
                <w:sz w:val="22"/>
              </w:rPr>
            </w:pPr>
            <w:r w:rsidRPr="005376A2">
              <w:rPr>
                <w:sz w:val="22"/>
              </w:rPr>
              <w:t>0,67</w:t>
            </w:r>
          </w:p>
        </w:tc>
        <w:tc>
          <w:tcPr>
            <w:tcW w:w="651" w:type="pct"/>
            <w:tcBorders>
              <w:top w:val="nil"/>
              <w:left w:val="single" w:sz="4" w:space="0" w:color="000000"/>
              <w:bottom w:val="single" w:sz="4" w:space="0" w:color="000000"/>
              <w:right w:val="nil"/>
            </w:tcBorders>
            <w:shd w:val="clear" w:color="auto" w:fill="auto"/>
            <w:hideMark/>
          </w:tcPr>
          <w:p w14:paraId="4F3C7875" w14:textId="351A5A70" w:rsidR="00A636A1" w:rsidRPr="005376A2" w:rsidRDefault="00A636A1" w:rsidP="00A636A1">
            <w:pPr>
              <w:ind w:firstLine="0"/>
              <w:rPr>
                <w:sz w:val="22"/>
              </w:rPr>
            </w:pPr>
            <w:r w:rsidRPr="005376A2">
              <w:rPr>
                <w:sz w:val="22"/>
              </w:rPr>
              <w:t>0,72</w:t>
            </w:r>
          </w:p>
        </w:tc>
        <w:tc>
          <w:tcPr>
            <w:tcW w:w="609" w:type="pct"/>
            <w:tcBorders>
              <w:top w:val="nil"/>
              <w:left w:val="single" w:sz="4" w:space="0" w:color="000000"/>
              <w:bottom w:val="single" w:sz="4" w:space="0" w:color="000000"/>
              <w:right w:val="nil"/>
            </w:tcBorders>
            <w:shd w:val="clear" w:color="auto" w:fill="auto"/>
            <w:hideMark/>
          </w:tcPr>
          <w:p w14:paraId="5DE60043" w14:textId="23B53784" w:rsidR="00A636A1" w:rsidRPr="005376A2" w:rsidRDefault="00A636A1" w:rsidP="00A636A1">
            <w:pPr>
              <w:ind w:firstLine="0"/>
              <w:rPr>
                <w:sz w:val="22"/>
              </w:rPr>
            </w:pPr>
            <w:r w:rsidRPr="005376A2">
              <w:rPr>
                <w:sz w:val="22"/>
              </w:rPr>
              <w:t>0,68</w:t>
            </w:r>
          </w:p>
        </w:tc>
        <w:tc>
          <w:tcPr>
            <w:tcW w:w="651" w:type="pct"/>
            <w:tcBorders>
              <w:top w:val="nil"/>
              <w:left w:val="single" w:sz="4" w:space="0" w:color="000000"/>
              <w:bottom w:val="single" w:sz="4" w:space="0" w:color="000000"/>
              <w:right w:val="nil"/>
            </w:tcBorders>
            <w:shd w:val="clear" w:color="auto" w:fill="auto"/>
            <w:hideMark/>
          </w:tcPr>
          <w:p w14:paraId="5BA5006D" w14:textId="254B5D69" w:rsidR="00A636A1" w:rsidRPr="005376A2" w:rsidRDefault="00A636A1" w:rsidP="00A636A1">
            <w:pPr>
              <w:ind w:firstLine="0"/>
              <w:rPr>
                <w:sz w:val="22"/>
              </w:rPr>
            </w:pPr>
            <w:r w:rsidRPr="005376A2">
              <w:rPr>
                <w:sz w:val="22"/>
              </w:rPr>
              <w:t>0,72</w:t>
            </w:r>
          </w:p>
        </w:tc>
        <w:tc>
          <w:tcPr>
            <w:tcW w:w="609" w:type="pct"/>
            <w:tcBorders>
              <w:top w:val="nil"/>
              <w:left w:val="single" w:sz="4" w:space="0" w:color="000000"/>
              <w:bottom w:val="single" w:sz="4" w:space="0" w:color="000000"/>
              <w:right w:val="nil"/>
            </w:tcBorders>
            <w:shd w:val="clear" w:color="auto" w:fill="auto"/>
            <w:hideMark/>
          </w:tcPr>
          <w:p w14:paraId="640E39A0" w14:textId="7CC4F20D" w:rsidR="00A636A1" w:rsidRPr="005376A2" w:rsidRDefault="00A636A1" w:rsidP="00A636A1">
            <w:pPr>
              <w:ind w:firstLine="0"/>
              <w:rPr>
                <w:sz w:val="22"/>
              </w:rPr>
            </w:pPr>
            <w:r w:rsidRPr="005376A2">
              <w:rPr>
                <w:sz w:val="22"/>
              </w:rPr>
              <w:t>0,66</w:t>
            </w:r>
          </w:p>
        </w:tc>
        <w:tc>
          <w:tcPr>
            <w:tcW w:w="651" w:type="pct"/>
            <w:tcBorders>
              <w:top w:val="nil"/>
              <w:left w:val="single" w:sz="4" w:space="0" w:color="000000"/>
              <w:bottom w:val="single" w:sz="4" w:space="0" w:color="000000"/>
              <w:right w:val="single" w:sz="4" w:space="0" w:color="000000"/>
            </w:tcBorders>
            <w:shd w:val="clear" w:color="auto" w:fill="auto"/>
            <w:hideMark/>
          </w:tcPr>
          <w:p w14:paraId="10C59BC6" w14:textId="102A20A1" w:rsidR="00A636A1" w:rsidRPr="005376A2" w:rsidRDefault="00A636A1" w:rsidP="00A636A1">
            <w:pPr>
              <w:ind w:firstLine="0"/>
              <w:rPr>
                <w:sz w:val="22"/>
              </w:rPr>
            </w:pPr>
            <w:r w:rsidRPr="005376A2">
              <w:rPr>
                <w:sz w:val="22"/>
              </w:rPr>
              <w:t>0,72</w:t>
            </w:r>
          </w:p>
        </w:tc>
      </w:tr>
      <w:tr w:rsidR="00A636A1" w:rsidRPr="005376A2" w14:paraId="0CBFF1D8" w14:textId="77777777" w:rsidTr="005376A2">
        <w:trPr>
          <w:trHeight w:val="360"/>
        </w:trPr>
        <w:tc>
          <w:tcPr>
            <w:tcW w:w="301" w:type="pct"/>
            <w:tcBorders>
              <w:top w:val="nil"/>
              <w:left w:val="single" w:sz="4" w:space="0" w:color="000000"/>
              <w:bottom w:val="single" w:sz="4" w:space="0" w:color="000000"/>
              <w:right w:val="nil"/>
            </w:tcBorders>
            <w:shd w:val="clear" w:color="auto" w:fill="auto"/>
            <w:vAlign w:val="center"/>
            <w:hideMark/>
          </w:tcPr>
          <w:p w14:paraId="795E445C" w14:textId="77777777" w:rsidR="00A636A1" w:rsidRPr="005376A2" w:rsidRDefault="00A636A1" w:rsidP="00A636A1">
            <w:pPr>
              <w:ind w:firstLine="30"/>
              <w:rPr>
                <w:sz w:val="22"/>
                <w:lang w:eastAsia="ru-RU"/>
              </w:rPr>
            </w:pPr>
            <w:r w:rsidRPr="005376A2">
              <w:rPr>
                <w:sz w:val="22"/>
                <w:lang w:eastAsia="ru-RU"/>
              </w:rPr>
              <w:t>3</w:t>
            </w:r>
          </w:p>
        </w:tc>
        <w:tc>
          <w:tcPr>
            <w:tcW w:w="919" w:type="pct"/>
            <w:tcBorders>
              <w:top w:val="nil"/>
              <w:left w:val="single" w:sz="4" w:space="0" w:color="000000"/>
              <w:bottom w:val="single" w:sz="4" w:space="0" w:color="000000"/>
              <w:right w:val="nil"/>
            </w:tcBorders>
            <w:shd w:val="clear" w:color="auto" w:fill="auto"/>
            <w:vAlign w:val="center"/>
            <w:hideMark/>
          </w:tcPr>
          <w:p w14:paraId="30718352" w14:textId="77777777" w:rsidR="00A636A1" w:rsidRPr="005376A2" w:rsidRDefault="00A636A1" w:rsidP="00A636A1">
            <w:pPr>
              <w:ind w:firstLine="0"/>
              <w:rPr>
                <w:sz w:val="22"/>
                <w:lang w:eastAsia="ru-RU"/>
              </w:rPr>
            </w:pPr>
            <w:r w:rsidRPr="005376A2">
              <w:rPr>
                <w:sz w:val="22"/>
                <w:lang w:eastAsia="ru-RU"/>
              </w:rPr>
              <w:t>Среднеквадратичная ошибка оценки</w:t>
            </w:r>
          </w:p>
        </w:tc>
        <w:tc>
          <w:tcPr>
            <w:tcW w:w="609" w:type="pct"/>
            <w:tcBorders>
              <w:top w:val="nil"/>
              <w:left w:val="single" w:sz="4" w:space="0" w:color="000000"/>
              <w:bottom w:val="single" w:sz="4" w:space="0" w:color="000000"/>
              <w:right w:val="nil"/>
            </w:tcBorders>
            <w:shd w:val="clear" w:color="auto" w:fill="auto"/>
            <w:hideMark/>
          </w:tcPr>
          <w:p w14:paraId="0DC7AB0C" w14:textId="18138DDD" w:rsidR="00A636A1" w:rsidRPr="005376A2" w:rsidRDefault="00A636A1" w:rsidP="00A636A1">
            <w:pPr>
              <w:ind w:firstLine="0"/>
              <w:rPr>
                <w:sz w:val="22"/>
              </w:rPr>
            </w:pPr>
            <w:r w:rsidRPr="005376A2">
              <w:rPr>
                <w:sz w:val="22"/>
              </w:rPr>
              <w:t>9,32</w:t>
            </w:r>
          </w:p>
        </w:tc>
        <w:tc>
          <w:tcPr>
            <w:tcW w:w="651" w:type="pct"/>
            <w:tcBorders>
              <w:top w:val="nil"/>
              <w:left w:val="single" w:sz="4" w:space="0" w:color="000000"/>
              <w:bottom w:val="single" w:sz="4" w:space="0" w:color="000000"/>
              <w:right w:val="nil"/>
            </w:tcBorders>
            <w:shd w:val="clear" w:color="auto" w:fill="auto"/>
            <w:hideMark/>
          </w:tcPr>
          <w:p w14:paraId="3FF99F0F" w14:textId="54192C0D" w:rsidR="00A636A1" w:rsidRPr="005376A2" w:rsidRDefault="00A636A1" w:rsidP="00A636A1">
            <w:pPr>
              <w:ind w:firstLine="0"/>
              <w:rPr>
                <w:sz w:val="22"/>
              </w:rPr>
            </w:pPr>
            <w:r w:rsidRPr="005376A2">
              <w:rPr>
                <w:sz w:val="22"/>
              </w:rPr>
              <w:t>8,46</w:t>
            </w:r>
          </w:p>
        </w:tc>
        <w:tc>
          <w:tcPr>
            <w:tcW w:w="609" w:type="pct"/>
            <w:tcBorders>
              <w:top w:val="nil"/>
              <w:left w:val="single" w:sz="4" w:space="0" w:color="000000"/>
              <w:bottom w:val="single" w:sz="4" w:space="0" w:color="000000"/>
              <w:right w:val="nil"/>
            </w:tcBorders>
            <w:shd w:val="clear" w:color="auto" w:fill="auto"/>
            <w:hideMark/>
          </w:tcPr>
          <w:p w14:paraId="6657E906" w14:textId="132F6C4E" w:rsidR="00A636A1" w:rsidRPr="005376A2" w:rsidRDefault="00A636A1" w:rsidP="00A636A1">
            <w:pPr>
              <w:ind w:firstLine="0"/>
              <w:rPr>
                <w:sz w:val="22"/>
              </w:rPr>
            </w:pPr>
            <w:r w:rsidRPr="005376A2">
              <w:rPr>
                <w:sz w:val="22"/>
              </w:rPr>
              <w:t>9,18</w:t>
            </w:r>
          </w:p>
        </w:tc>
        <w:tc>
          <w:tcPr>
            <w:tcW w:w="651" w:type="pct"/>
            <w:tcBorders>
              <w:top w:val="nil"/>
              <w:left w:val="single" w:sz="4" w:space="0" w:color="000000"/>
              <w:bottom w:val="single" w:sz="4" w:space="0" w:color="000000"/>
              <w:right w:val="nil"/>
            </w:tcBorders>
            <w:shd w:val="clear" w:color="auto" w:fill="auto"/>
            <w:hideMark/>
          </w:tcPr>
          <w:p w14:paraId="55937E91" w14:textId="3C18B90D" w:rsidR="00A636A1" w:rsidRPr="005376A2" w:rsidRDefault="00A636A1" w:rsidP="00A636A1">
            <w:pPr>
              <w:ind w:firstLine="0"/>
              <w:rPr>
                <w:sz w:val="22"/>
              </w:rPr>
            </w:pPr>
            <w:r w:rsidRPr="005376A2">
              <w:rPr>
                <w:sz w:val="22"/>
              </w:rPr>
              <w:t>8,48</w:t>
            </w:r>
          </w:p>
        </w:tc>
        <w:tc>
          <w:tcPr>
            <w:tcW w:w="609" w:type="pct"/>
            <w:tcBorders>
              <w:top w:val="nil"/>
              <w:left w:val="single" w:sz="4" w:space="0" w:color="000000"/>
              <w:bottom w:val="single" w:sz="4" w:space="0" w:color="000000"/>
              <w:right w:val="nil"/>
            </w:tcBorders>
            <w:shd w:val="clear" w:color="auto" w:fill="auto"/>
            <w:hideMark/>
          </w:tcPr>
          <w:p w14:paraId="166B7664" w14:textId="158FC81B" w:rsidR="00A636A1" w:rsidRPr="005376A2" w:rsidRDefault="00A636A1" w:rsidP="00A636A1">
            <w:pPr>
              <w:ind w:firstLine="0"/>
              <w:rPr>
                <w:sz w:val="22"/>
              </w:rPr>
            </w:pPr>
            <w:r w:rsidRPr="005376A2">
              <w:rPr>
                <w:sz w:val="22"/>
              </w:rPr>
              <w:t>9,39</w:t>
            </w:r>
          </w:p>
        </w:tc>
        <w:tc>
          <w:tcPr>
            <w:tcW w:w="651" w:type="pct"/>
            <w:tcBorders>
              <w:top w:val="nil"/>
              <w:left w:val="single" w:sz="4" w:space="0" w:color="000000"/>
              <w:bottom w:val="single" w:sz="4" w:space="0" w:color="000000"/>
              <w:right w:val="single" w:sz="4" w:space="0" w:color="000000"/>
            </w:tcBorders>
            <w:shd w:val="clear" w:color="auto" w:fill="auto"/>
            <w:hideMark/>
          </w:tcPr>
          <w:p w14:paraId="33A99B84" w14:textId="3807D938" w:rsidR="00A636A1" w:rsidRPr="005376A2" w:rsidRDefault="00A636A1" w:rsidP="00A636A1">
            <w:pPr>
              <w:ind w:firstLine="0"/>
              <w:rPr>
                <w:sz w:val="22"/>
              </w:rPr>
            </w:pPr>
            <w:r w:rsidRPr="005376A2">
              <w:rPr>
                <w:sz w:val="22"/>
              </w:rPr>
              <w:t>8,5</w:t>
            </w:r>
          </w:p>
        </w:tc>
      </w:tr>
      <w:tr w:rsidR="00A636A1" w:rsidRPr="005376A2" w14:paraId="0413C8B5" w14:textId="77777777" w:rsidTr="005376A2">
        <w:trPr>
          <w:trHeight w:val="360"/>
        </w:trPr>
        <w:tc>
          <w:tcPr>
            <w:tcW w:w="301" w:type="pct"/>
            <w:tcBorders>
              <w:top w:val="nil"/>
              <w:left w:val="single" w:sz="4" w:space="0" w:color="000000"/>
              <w:bottom w:val="single" w:sz="4" w:space="0" w:color="000000"/>
              <w:right w:val="nil"/>
            </w:tcBorders>
            <w:shd w:val="clear" w:color="auto" w:fill="auto"/>
            <w:vAlign w:val="center"/>
            <w:hideMark/>
          </w:tcPr>
          <w:p w14:paraId="5FD170F7" w14:textId="701A6014" w:rsidR="00A636A1" w:rsidRPr="005376A2" w:rsidRDefault="00A636A1" w:rsidP="00A636A1">
            <w:pPr>
              <w:ind w:firstLine="30"/>
              <w:rPr>
                <w:sz w:val="22"/>
                <w:lang w:eastAsia="ru-RU"/>
              </w:rPr>
            </w:pPr>
            <w:r w:rsidRPr="005376A2">
              <w:rPr>
                <w:sz w:val="22"/>
                <w:lang w:eastAsia="ru-RU"/>
              </w:rPr>
              <w:t>4</w:t>
            </w:r>
          </w:p>
        </w:tc>
        <w:tc>
          <w:tcPr>
            <w:tcW w:w="919" w:type="pct"/>
            <w:tcBorders>
              <w:top w:val="nil"/>
              <w:left w:val="single" w:sz="4" w:space="0" w:color="000000"/>
              <w:bottom w:val="single" w:sz="4" w:space="0" w:color="000000"/>
              <w:right w:val="nil"/>
            </w:tcBorders>
            <w:shd w:val="clear" w:color="auto" w:fill="auto"/>
            <w:vAlign w:val="center"/>
            <w:hideMark/>
          </w:tcPr>
          <w:p w14:paraId="00E7949E" w14:textId="77777777" w:rsidR="00A636A1" w:rsidRPr="005376A2" w:rsidRDefault="00A636A1" w:rsidP="00A636A1">
            <w:pPr>
              <w:ind w:firstLine="0"/>
              <w:rPr>
                <w:sz w:val="22"/>
                <w:lang w:eastAsia="ru-RU"/>
              </w:rPr>
            </w:pPr>
            <w:r w:rsidRPr="005376A2">
              <w:rPr>
                <w:sz w:val="22"/>
                <w:lang w:eastAsia="ru-RU"/>
              </w:rPr>
              <w:t>Коэффициент дисперсии (COD)</w:t>
            </w:r>
          </w:p>
        </w:tc>
        <w:tc>
          <w:tcPr>
            <w:tcW w:w="609" w:type="pct"/>
            <w:tcBorders>
              <w:top w:val="nil"/>
              <w:left w:val="single" w:sz="4" w:space="0" w:color="000000"/>
              <w:bottom w:val="single" w:sz="4" w:space="0" w:color="000000"/>
              <w:right w:val="nil"/>
            </w:tcBorders>
            <w:shd w:val="clear" w:color="auto" w:fill="auto"/>
            <w:hideMark/>
          </w:tcPr>
          <w:p w14:paraId="4F3D1F8E" w14:textId="493E252B" w:rsidR="00A636A1" w:rsidRPr="005376A2" w:rsidRDefault="00A636A1" w:rsidP="00A636A1">
            <w:pPr>
              <w:ind w:firstLine="0"/>
              <w:rPr>
                <w:sz w:val="22"/>
              </w:rPr>
            </w:pPr>
            <w:r w:rsidRPr="005376A2">
              <w:rPr>
                <w:sz w:val="22"/>
              </w:rPr>
              <w:t>7,56</w:t>
            </w:r>
          </w:p>
        </w:tc>
        <w:tc>
          <w:tcPr>
            <w:tcW w:w="651" w:type="pct"/>
            <w:tcBorders>
              <w:top w:val="nil"/>
              <w:left w:val="single" w:sz="4" w:space="0" w:color="000000"/>
              <w:bottom w:val="single" w:sz="4" w:space="0" w:color="000000"/>
              <w:right w:val="nil"/>
            </w:tcBorders>
            <w:shd w:val="clear" w:color="auto" w:fill="auto"/>
            <w:hideMark/>
          </w:tcPr>
          <w:p w14:paraId="76F0603A" w14:textId="4D58E14A" w:rsidR="00A636A1" w:rsidRPr="005376A2" w:rsidRDefault="00A636A1" w:rsidP="00A636A1">
            <w:pPr>
              <w:ind w:firstLine="0"/>
              <w:rPr>
                <w:sz w:val="22"/>
              </w:rPr>
            </w:pPr>
            <w:r w:rsidRPr="005376A2">
              <w:rPr>
                <w:sz w:val="22"/>
              </w:rPr>
              <w:t>7,27</w:t>
            </w:r>
          </w:p>
        </w:tc>
        <w:tc>
          <w:tcPr>
            <w:tcW w:w="609" w:type="pct"/>
            <w:tcBorders>
              <w:top w:val="nil"/>
              <w:left w:val="single" w:sz="4" w:space="0" w:color="000000"/>
              <w:bottom w:val="single" w:sz="4" w:space="0" w:color="000000"/>
              <w:right w:val="nil"/>
            </w:tcBorders>
            <w:shd w:val="clear" w:color="auto" w:fill="auto"/>
            <w:hideMark/>
          </w:tcPr>
          <w:p w14:paraId="7EA88DF9" w14:textId="36553B6B" w:rsidR="00A636A1" w:rsidRPr="005376A2" w:rsidRDefault="00A636A1" w:rsidP="00A636A1">
            <w:pPr>
              <w:ind w:firstLine="0"/>
              <w:rPr>
                <w:sz w:val="22"/>
              </w:rPr>
            </w:pPr>
            <w:r w:rsidRPr="005376A2">
              <w:rPr>
                <w:sz w:val="22"/>
              </w:rPr>
              <w:t>7,63</w:t>
            </w:r>
          </w:p>
        </w:tc>
        <w:tc>
          <w:tcPr>
            <w:tcW w:w="651" w:type="pct"/>
            <w:tcBorders>
              <w:top w:val="nil"/>
              <w:left w:val="single" w:sz="4" w:space="0" w:color="000000"/>
              <w:bottom w:val="single" w:sz="4" w:space="0" w:color="000000"/>
              <w:right w:val="nil"/>
            </w:tcBorders>
            <w:shd w:val="clear" w:color="auto" w:fill="auto"/>
            <w:hideMark/>
          </w:tcPr>
          <w:p w14:paraId="235B81DE" w14:textId="5606234F" w:rsidR="00A636A1" w:rsidRPr="005376A2" w:rsidRDefault="00A636A1" w:rsidP="00A636A1">
            <w:pPr>
              <w:ind w:firstLine="0"/>
              <w:rPr>
                <w:sz w:val="22"/>
              </w:rPr>
            </w:pPr>
            <w:r w:rsidRPr="005376A2">
              <w:rPr>
                <w:sz w:val="22"/>
              </w:rPr>
              <w:t>7,3</w:t>
            </w:r>
          </w:p>
        </w:tc>
        <w:tc>
          <w:tcPr>
            <w:tcW w:w="609" w:type="pct"/>
            <w:tcBorders>
              <w:top w:val="nil"/>
              <w:left w:val="single" w:sz="4" w:space="0" w:color="000000"/>
              <w:bottom w:val="single" w:sz="4" w:space="0" w:color="000000"/>
              <w:right w:val="nil"/>
            </w:tcBorders>
            <w:shd w:val="clear" w:color="auto" w:fill="auto"/>
            <w:hideMark/>
          </w:tcPr>
          <w:p w14:paraId="0891F798" w14:textId="4EDBD40B" w:rsidR="00A636A1" w:rsidRPr="005376A2" w:rsidRDefault="00A636A1" w:rsidP="00A636A1">
            <w:pPr>
              <w:ind w:firstLine="0"/>
              <w:rPr>
                <w:sz w:val="22"/>
              </w:rPr>
            </w:pPr>
            <w:r w:rsidRPr="005376A2">
              <w:rPr>
                <w:sz w:val="22"/>
              </w:rPr>
              <w:t>7,63</w:t>
            </w:r>
          </w:p>
        </w:tc>
        <w:tc>
          <w:tcPr>
            <w:tcW w:w="651" w:type="pct"/>
            <w:tcBorders>
              <w:top w:val="nil"/>
              <w:left w:val="single" w:sz="4" w:space="0" w:color="000000"/>
              <w:bottom w:val="single" w:sz="4" w:space="0" w:color="000000"/>
              <w:right w:val="single" w:sz="4" w:space="0" w:color="000000"/>
            </w:tcBorders>
            <w:shd w:val="clear" w:color="auto" w:fill="auto"/>
            <w:hideMark/>
          </w:tcPr>
          <w:p w14:paraId="62D442CE" w14:textId="78E134FB" w:rsidR="00A636A1" w:rsidRPr="005376A2" w:rsidRDefault="00A636A1" w:rsidP="00A636A1">
            <w:pPr>
              <w:ind w:firstLine="0"/>
              <w:rPr>
                <w:sz w:val="22"/>
              </w:rPr>
            </w:pPr>
            <w:r w:rsidRPr="005376A2">
              <w:rPr>
                <w:sz w:val="22"/>
              </w:rPr>
              <w:t>7,23</w:t>
            </w:r>
          </w:p>
        </w:tc>
      </w:tr>
      <w:tr w:rsidR="00A636A1" w:rsidRPr="005376A2" w14:paraId="470FF670" w14:textId="77777777" w:rsidTr="005376A2">
        <w:trPr>
          <w:trHeight w:val="360"/>
        </w:trPr>
        <w:tc>
          <w:tcPr>
            <w:tcW w:w="301" w:type="pct"/>
            <w:tcBorders>
              <w:top w:val="nil"/>
              <w:left w:val="single" w:sz="4" w:space="0" w:color="000000"/>
              <w:bottom w:val="single" w:sz="4" w:space="0" w:color="000000"/>
              <w:right w:val="nil"/>
            </w:tcBorders>
            <w:shd w:val="clear" w:color="auto" w:fill="auto"/>
            <w:vAlign w:val="center"/>
            <w:hideMark/>
          </w:tcPr>
          <w:p w14:paraId="06078280" w14:textId="40E9AA43" w:rsidR="00A636A1" w:rsidRPr="005376A2" w:rsidRDefault="00A636A1" w:rsidP="00A636A1">
            <w:pPr>
              <w:ind w:firstLine="30"/>
              <w:rPr>
                <w:sz w:val="22"/>
                <w:lang w:eastAsia="ru-RU"/>
              </w:rPr>
            </w:pPr>
            <w:r w:rsidRPr="005376A2">
              <w:rPr>
                <w:sz w:val="22"/>
                <w:lang w:eastAsia="ru-RU"/>
              </w:rPr>
              <w:t>5</w:t>
            </w:r>
          </w:p>
        </w:tc>
        <w:tc>
          <w:tcPr>
            <w:tcW w:w="919" w:type="pct"/>
            <w:tcBorders>
              <w:top w:val="nil"/>
              <w:left w:val="single" w:sz="4" w:space="0" w:color="000000"/>
              <w:bottom w:val="single" w:sz="4" w:space="0" w:color="000000"/>
              <w:right w:val="nil"/>
            </w:tcBorders>
            <w:shd w:val="clear" w:color="auto" w:fill="auto"/>
            <w:vAlign w:val="center"/>
            <w:hideMark/>
          </w:tcPr>
          <w:p w14:paraId="69262B8F" w14:textId="77777777" w:rsidR="00A636A1" w:rsidRPr="005376A2" w:rsidRDefault="00A636A1" w:rsidP="00A636A1">
            <w:pPr>
              <w:ind w:firstLine="0"/>
              <w:rPr>
                <w:sz w:val="22"/>
                <w:lang w:eastAsia="ru-RU"/>
              </w:rPr>
            </w:pPr>
            <w:r w:rsidRPr="005376A2">
              <w:rPr>
                <w:sz w:val="22"/>
                <w:lang w:eastAsia="ru-RU"/>
              </w:rPr>
              <w:t>Ценовой дифференциал (PRD)</w:t>
            </w:r>
          </w:p>
        </w:tc>
        <w:tc>
          <w:tcPr>
            <w:tcW w:w="609" w:type="pct"/>
            <w:tcBorders>
              <w:top w:val="nil"/>
              <w:left w:val="single" w:sz="4" w:space="0" w:color="000000"/>
              <w:bottom w:val="single" w:sz="4" w:space="0" w:color="000000"/>
              <w:right w:val="nil"/>
            </w:tcBorders>
            <w:shd w:val="clear" w:color="auto" w:fill="auto"/>
            <w:hideMark/>
          </w:tcPr>
          <w:p w14:paraId="7861FC97" w14:textId="7500275E" w:rsidR="00A636A1" w:rsidRPr="005376A2" w:rsidRDefault="00A636A1" w:rsidP="00A636A1">
            <w:pPr>
              <w:ind w:firstLine="0"/>
              <w:rPr>
                <w:sz w:val="22"/>
              </w:rPr>
            </w:pPr>
            <w:r w:rsidRPr="005376A2">
              <w:rPr>
                <w:sz w:val="22"/>
              </w:rPr>
              <w:t>1,01</w:t>
            </w:r>
          </w:p>
        </w:tc>
        <w:tc>
          <w:tcPr>
            <w:tcW w:w="651" w:type="pct"/>
            <w:tcBorders>
              <w:top w:val="nil"/>
              <w:left w:val="single" w:sz="4" w:space="0" w:color="000000"/>
              <w:bottom w:val="single" w:sz="4" w:space="0" w:color="000000"/>
              <w:right w:val="nil"/>
            </w:tcBorders>
            <w:shd w:val="clear" w:color="auto" w:fill="auto"/>
            <w:hideMark/>
          </w:tcPr>
          <w:p w14:paraId="62241F6B" w14:textId="0BE56E08" w:rsidR="00A636A1" w:rsidRPr="005376A2" w:rsidRDefault="00A636A1" w:rsidP="00A636A1">
            <w:pPr>
              <w:ind w:firstLine="0"/>
              <w:rPr>
                <w:sz w:val="22"/>
              </w:rPr>
            </w:pPr>
            <w:r w:rsidRPr="005376A2">
              <w:rPr>
                <w:sz w:val="22"/>
              </w:rPr>
              <w:t>1,01</w:t>
            </w:r>
          </w:p>
        </w:tc>
        <w:tc>
          <w:tcPr>
            <w:tcW w:w="609" w:type="pct"/>
            <w:tcBorders>
              <w:top w:val="nil"/>
              <w:left w:val="single" w:sz="4" w:space="0" w:color="000000"/>
              <w:bottom w:val="single" w:sz="4" w:space="0" w:color="000000"/>
              <w:right w:val="nil"/>
            </w:tcBorders>
            <w:shd w:val="clear" w:color="auto" w:fill="auto"/>
            <w:hideMark/>
          </w:tcPr>
          <w:p w14:paraId="1ED641BC" w14:textId="4C79F831" w:rsidR="00A636A1" w:rsidRPr="005376A2" w:rsidRDefault="00A636A1" w:rsidP="00A636A1">
            <w:pPr>
              <w:ind w:firstLine="0"/>
              <w:rPr>
                <w:sz w:val="22"/>
              </w:rPr>
            </w:pPr>
            <w:r w:rsidRPr="005376A2">
              <w:rPr>
                <w:sz w:val="22"/>
              </w:rPr>
              <w:t>1,01</w:t>
            </w:r>
          </w:p>
        </w:tc>
        <w:tc>
          <w:tcPr>
            <w:tcW w:w="651" w:type="pct"/>
            <w:tcBorders>
              <w:top w:val="nil"/>
              <w:left w:val="single" w:sz="4" w:space="0" w:color="000000"/>
              <w:bottom w:val="single" w:sz="4" w:space="0" w:color="000000"/>
              <w:right w:val="nil"/>
            </w:tcBorders>
            <w:shd w:val="clear" w:color="auto" w:fill="auto"/>
            <w:hideMark/>
          </w:tcPr>
          <w:p w14:paraId="1CA4986C" w14:textId="13600A70" w:rsidR="00A636A1" w:rsidRPr="005376A2" w:rsidRDefault="00A636A1" w:rsidP="00A636A1">
            <w:pPr>
              <w:ind w:firstLine="0"/>
              <w:rPr>
                <w:sz w:val="22"/>
              </w:rPr>
            </w:pPr>
            <w:r w:rsidRPr="005376A2">
              <w:rPr>
                <w:sz w:val="22"/>
              </w:rPr>
              <w:t>1,01</w:t>
            </w:r>
          </w:p>
        </w:tc>
        <w:tc>
          <w:tcPr>
            <w:tcW w:w="609" w:type="pct"/>
            <w:tcBorders>
              <w:top w:val="nil"/>
              <w:left w:val="single" w:sz="4" w:space="0" w:color="000000"/>
              <w:bottom w:val="single" w:sz="4" w:space="0" w:color="000000"/>
              <w:right w:val="nil"/>
            </w:tcBorders>
            <w:shd w:val="clear" w:color="auto" w:fill="auto"/>
            <w:hideMark/>
          </w:tcPr>
          <w:p w14:paraId="717839E1" w14:textId="6C36DDAE" w:rsidR="00A636A1" w:rsidRPr="005376A2" w:rsidRDefault="00A636A1" w:rsidP="00A636A1">
            <w:pPr>
              <w:ind w:firstLine="0"/>
              <w:rPr>
                <w:sz w:val="22"/>
              </w:rPr>
            </w:pPr>
            <w:r w:rsidRPr="005376A2">
              <w:rPr>
                <w:sz w:val="22"/>
              </w:rPr>
              <w:t>1,01</w:t>
            </w:r>
          </w:p>
        </w:tc>
        <w:tc>
          <w:tcPr>
            <w:tcW w:w="651" w:type="pct"/>
            <w:tcBorders>
              <w:top w:val="nil"/>
              <w:left w:val="single" w:sz="4" w:space="0" w:color="000000"/>
              <w:bottom w:val="single" w:sz="4" w:space="0" w:color="000000"/>
              <w:right w:val="single" w:sz="4" w:space="0" w:color="000000"/>
            </w:tcBorders>
            <w:shd w:val="clear" w:color="auto" w:fill="auto"/>
            <w:hideMark/>
          </w:tcPr>
          <w:p w14:paraId="2C5153FE" w14:textId="20A7DCE5" w:rsidR="00A636A1" w:rsidRPr="005376A2" w:rsidRDefault="00A636A1" w:rsidP="00A636A1">
            <w:pPr>
              <w:ind w:firstLine="0"/>
              <w:rPr>
                <w:sz w:val="22"/>
              </w:rPr>
            </w:pPr>
            <w:r w:rsidRPr="005376A2">
              <w:rPr>
                <w:sz w:val="22"/>
              </w:rPr>
              <w:t>1,01</w:t>
            </w:r>
          </w:p>
        </w:tc>
      </w:tr>
    </w:tbl>
    <w:p w14:paraId="25069C80" w14:textId="77777777" w:rsidR="00727235" w:rsidRPr="00727235" w:rsidRDefault="00727235" w:rsidP="00727235">
      <w:pPr>
        <w:rPr>
          <w:lang w:eastAsia="ru-RU"/>
        </w:rPr>
      </w:pPr>
    </w:p>
    <w:p w14:paraId="09AEABA7" w14:textId="77777777" w:rsidR="00727235" w:rsidRPr="00727235" w:rsidRDefault="00727235" w:rsidP="00727235">
      <w:r w:rsidRPr="00727235">
        <w:t>В результате была выбрана модель – экспоненциальная со следующими характеристиками.</w:t>
      </w:r>
    </w:p>
    <w:p w14:paraId="0CFBCE48" w14:textId="77777777" w:rsidR="00727235" w:rsidRPr="00727235" w:rsidRDefault="00727235" w:rsidP="00727235">
      <w:pPr>
        <w:sectPr w:rsidR="00727235" w:rsidRPr="00727235" w:rsidSect="00727235">
          <w:pgSz w:w="11906" w:h="16838"/>
          <w:pgMar w:top="1134" w:right="850" w:bottom="1134" w:left="1701" w:header="708" w:footer="708" w:gutter="0"/>
          <w:cols w:space="708"/>
          <w:docGrid w:linePitch="360"/>
        </w:sectPr>
      </w:pPr>
    </w:p>
    <w:p w14:paraId="332564DE" w14:textId="6DA9A82F" w:rsidR="00727235" w:rsidRPr="00727235" w:rsidRDefault="00727235" w:rsidP="00727235">
      <w:pPr>
        <w:rPr>
          <w:lang w:eastAsia="ru-RU"/>
        </w:rPr>
      </w:pPr>
      <w:r w:rsidRPr="00727235">
        <w:rPr>
          <w:lang w:eastAsia="ru-RU"/>
        </w:rPr>
        <w:t xml:space="preserve">Таблица </w:t>
      </w:r>
      <w:r w:rsidRPr="00727235">
        <w:rPr>
          <w:lang w:eastAsia="ru-RU"/>
        </w:rPr>
        <w:fldChar w:fldCharType="begin"/>
      </w:r>
      <w:r w:rsidRPr="00727235">
        <w:rPr>
          <w:lang w:eastAsia="ru-RU"/>
        </w:rPr>
        <w:instrText xml:space="preserve"> SEQ Таблица \* ARABIC </w:instrText>
      </w:r>
      <w:r w:rsidRPr="00727235">
        <w:rPr>
          <w:lang w:eastAsia="ru-RU"/>
        </w:rPr>
        <w:fldChar w:fldCharType="separate"/>
      </w:r>
      <w:r w:rsidR="00FD2769">
        <w:rPr>
          <w:noProof/>
          <w:lang w:eastAsia="ru-RU"/>
        </w:rPr>
        <w:t>65</w:t>
      </w:r>
      <w:r w:rsidRPr="00727235">
        <w:rPr>
          <w:lang w:eastAsia="ru-RU"/>
        </w:rPr>
        <w:fldChar w:fldCharType="end"/>
      </w:r>
      <w:r w:rsidRPr="00727235">
        <w:rPr>
          <w:lang w:eastAsia="ru-RU"/>
        </w:rPr>
        <w:t xml:space="preserve"> Параметры модели, отобранной для расчета кадастровой стоимости объектов недвижимости группы </w:t>
      </w:r>
      <w:r w:rsidR="00F82C21" w:rsidRPr="00A636A1">
        <w:rPr>
          <w:rFonts w:eastAsia="Times New Roman" w:cs="Times New Roman"/>
          <w:bCs/>
          <w:color w:val="000000"/>
          <w:szCs w:val="24"/>
          <w:lang w:eastAsia="ru-RU"/>
        </w:rPr>
        <w:t>"2. Дома малоэтажной жилой застройки, в том числе ИЖС и СОД", подгруппа "</w:t>
      </w:r>
      <w:r w:rsidR="000470FD">
        <w:rPr>
          <w:rFonts w:eastAsia="Times New Roman" w:cs="Times New Roman"/>
          <w:bCs/>
          <w:color w:val="000000"/>
          <w:szCs w:val="24"/>
          <w:lang w:eastAsia="ru-RU"/>
        </w:rPr>
        <w:t>МКД Помещения г.Якутск с п/х 2.10.</w:t>
      </w:r>
      <w:r w:rsidR="00F82C21">
        <w:rPr>
          <w:rFonts w:eastAsia="Times New Roman" w:cs="Times New Roman"/>
          <w:bCs/>
          <w:color w:val="000000"/>
          <w:szCs w:val="24"/>
          <w:lang w:eastAsia="ru-RU"/>
        </w:rPr>
        <w:t>"</w:t>
      </w:r>
    </w:p>
    <w:tbl>
      <w:tblPr>
        <w:tblW w:w="14601" w:type="dxa"/>
        <w:tblInd w:w="-5" w:type="dxa"/>
        <w:tblLayout w:type="fixed"/>
        <w:tblLook w:val="04A0" w:firstRow="1" w:lastRow="0" w:firstColumn="1" w:lastColumn="0" w:noHBand="0" w:noVBand="1"/>
      </w:tblPr>
      <w:tblGrid>
        <w:gridCol w:w="1134"/>
        <w:gridCol w:w="2608"/>
        <w:gridCol w:w="2608"/>
        <w:gridCol w:w="2607"/>
        <w:gridCol w:w="1958"/>
        <w:gridCol w:w="1985"/>
        <w:gridCol w:w="1701"/>
      </w:tblGrid>
      <w:tr w:rsidR="00727235" w:rsidRPr="00727235" w14:paraId="2F29D303" w14:textId="77777777" w:rsidTr="00727235">
        <w:trPr>
          <w:trHeight w:val="1575"/>
        </w:trPr>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C9B61C7" w14:textId="77777777" w:rsidR="00727235" w:rsidRPr="00183DEC" w:rsidRDefault="00727235" w:rsidP="0019603A">
            <w:pPr>
              <w:ind w:firstLine="0"/>
              <w:rPr>
                <w:lang w:eastAsia="ru-RU"/>
              </w:rPr>
            </w:pPr>
            <w:r w:rsidRPr="00183DEC">
              <w:rPr>
                <w:lang w:eastAsia="ru-RU"/>
              </w:rPr>
              <w:t>№п/п</w:t>
            </w:r>
          </w:p>
        </w:tc>
        <w:tc>
          <w:tcPr>
            <w:tcW w:w="2608" w:type="dxa"/>
            <w:tcBorders>
              <w:top w:val="single" w:sz="4" w:space="0" w:color="auto"/>
              <w:left w:val="nil"/>
              <w:bottom w:val="single" w:sz="4" w:space="0" w:color="auto"/>
              <w:right w:val="single" w:sz="4" w:space="0" w:color="auto"/>
            </w:tcBorders>
            <w:shd w:val="clear" w:color="auto" w:fill="auto"/>
            <w:vAlign w:val="center"/>
            <w:hideMark/>
          </w:tcPr>
          <w:p w14:paraId="3002F3EC" w14:textId="77777777" w:rsidR="00727235" w:rsidRPr="00183DEC" w:rsidRDefault="00727235" w:rsidP="0019603A">
            <w:pPr>
              <w:ind w:firstLine="0"/>
              <w:rPr>
                <w:lang w:eastAsia="ru-RU"/>
              </w:rPr>
            </w:pPr>
            <w:r w:rsidRPr="00183DEC">
              <w:rPr>
                <w:lang w:eastAsia="ru-RU"/>
              </w:rPr>
              <w:t>Название модели</w:t>
            </w:r>
          </w:p>
        </w:tc>
        <w:tc>
          <w:tcPr>
            <w:tcW w:w="2608" w:type="dxa"/>
            <w:tcBorders>
              <w:top w:val="single" w:sz="4" w:space="0" w:color="auto"/>
              <w:left w:val="nil"/>
              <w:bottom w:val="single" w:sz="4" w:space="0" w:color="auto"/>
              <w:right w:val="single" w:sz="4" w:space="0" w:color="auto"/>
            </w:tcBorders>
            <w:shd w:val="clear" w:color="auto" w:fill="auto"/>
            <w:vAlign w:val="center"/>
            <w:hideMark/>
          </w:tcPr>
          <w:p w14:paraId="7C547C66" w14:textId="77777777" w:rsidR="00727235" w:rsidRPr="00183DEC" w:rsidRDefault="00727235" w:rsidP="0019603A">
            <w:pPr>
              <w:ind w:firstLine="0"/>
              <w:rPr>
                <w:lang w:eastAsia="ru-RU"/>
              </w:rPr>
            </w:pPr>
            <w:r w:rsidRPr="00183DEC">
              <w:rPr>
                <w:lang w:eastAsia="ru-RU"/>
              </w:rPr>
              <w:t>Формула модели</w:t>
            </w:r>
          </w:p>
        </w:tc>
        <w:tc>
          <w:tcPr>
            <w:tcW w:w="2607" w:type="dxa"/>
            <w:tcBorders>
              <w:top w:val="single" w:sz="4" w:space="0" w:color="auto"/>
              <w:left w:val="nil"/>
              <w:bottom w:val="single" w:sz="4" w:space="0" w:color="auto"/>
              <w:right w:val="single" w:sz="4" w:space="0" w:color="auto"/>
            </w:tcBorders>
            <w:shd w:val="clear" w:color="auto" w:fill="auto"/>
            <w:vAlign w:val="center"/>
            <w:hideMark/>
          </w:tcPr>
          <w:p w14:paraId="503542D3" w14:textId="77777777" w:rsidR="00727235" w:rsidRPr="00183DEC" w:rsidRDefault="00727235" w:rsidP="0019603A">
            <w:pPr>
              <w:ind w:firstLine="0"/>
              <w:rPr>
                <w:lang w:eastAsia="ru-RU"/>
              </w:rPr>
            </w:pPr>
            <w:r w:rsidRPr="00183DEC">
              <w:rPr>
                <w:lang w:eastAsia="ru-RU"/>
              </w:rPr>
              <w:t>Ценообразующий фактор для построения моделей</w:t>
            </w:r>
          </w:p>
        </w:tc>
        <w:tc>
          <w:tcPr>
            <w:tcW w:w="1958" w:type="dxa"/>
            <w:tcBorders>
              <w:top w:val="single" w:sz="4" w:space="0" w:color="auto"/>
              <w:left w:val="nil"/>
              <w:bottom w:val="single" w:sz="4" w:space="0" w:color="auto"/>
              <w:right w:val="single" w:sz="4" w:space="0" w:color="auto"/>
            </w:tcBorders>
            <w:shd w:val="clear" w:color="auto" w:fill="auto"/>
            <w:vAlign w:val="center"/>
            <w:hideMark/>
          </w:tcPr>
          <w:p w14:paraId="2651768A" w14:textId="77777777" w:rsidR="00727235" w:rsidRPr="00183DEC" w:rsidRDefault="00727235" w:rsidP="0019603A">
            <w:pPr>
              <w:ind w:firstLine="0"/>
              <w:rPr>
                <w:lang w:eastAsia="ru-RU"/>
              </w:rPr>
            </w:pPr>
            <w:r w:rsidRPr="00183DEC">
              <w:rPr>
                <w:lang w:eastAsia="ru-RU"/>
              </w:rPr>
              <w:t>Коэффициент при ценообразующем факторе в модели</w:t>
            </w:r>
          </w:p>
        </w:tc>
        <w:tc>
          <w:tcPr>
            <w:tcW w:w="1985" w:type="dxa"/>
            <w:tcBorders>
              <w:top w:val="single" w:sz="4" w:space="0" w:color="auto"/>
              <w:left w:val="nil"/>
              <w:bottom w:val="single" w:sz="4" w:space="0" w:color="auto"/>
              <w:right w:val="single" w:sz="4" w:space="0" w:color="auto"/>
            </w:tcBorders>
            <w:shd w:val="clear" w:color="auto" w:fill="auto"/>
            <w:vAlign w:val="center"/>
            <w:hideMark/>
          </w:tcPr>
          <w:p w14:paraId="1E3D5677" w14:textId="77777777" w:rsidR="00727235" w:rsidRPr="00183DEC" w:rsidRDefault="00727235" w:rsidP="0019603A">
            <w:pPr>
              <w:ind w:firstLine="0"/>
              <w:rPr>
                <w:lang w:eastAsia="ru-RU"/>
              </w:rPr>
            </w:pPr>
            <w:r w:rsidRPr="00183DEC">
              <w:rPr>
                <w:lang w:eastAsia="ru-RU"/>
              </w:rPr>
              <w:t>Значения ценообразующего фактора (диапазон значений)</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14:paraId="322ACDE7" w14:textId="77777777" w:rsidR="00727235" w:rsidRPr="00183DEC" w:rsidRDefault="00727235" w:rsidP="0019603A">
            <w:pPr>
              <w:ind w:firstLine="0"/>
              <w:rPr>
                <w:lang w:eastAsia="ru-RU"/>
              </w:rPr>
            </w:pPr>
            <w:r w:rsidRPr="00183DEC">
              <w:rPr>
                <w:lang w:eastAsia="ru-RU"/>
              </w:rPr>
              <w:t>Значения меток ценообразующего фактора</w:t>
            </w:r>
          </w:p>
        </w:tc>
      </w:tr>
      <w:tr w:rsidR="00727235" w:rsidRPr="00727235" w14:paraId="6A8EE0D7" w14:textId="77777777" w:rsidTr="00727235">
        <w:trPr>
          <w:trHeight w:val="315"/>
        </w:trPr>
        <w:tc>
          <w:tcPr>
            <w:tcW w:w="1134" w:type="dxa"/>
            <w:tcBorders>
              <w:top w:val="nil"/>
              <w:left w:val="single" w:sz="4" w:space="0" w:color="auto"/>
              <w:bottom w:val="single" w:sz="4" w:space="0" w:color="auto"/>
              <w:right w:val="single" w:sz="4" w:space="0" w:color="auto"/>
            </w:tcBorders>
            <w:shd w:val="clear" w:color="auto" w:fill="auto"/>
            <w:vAlign w:val="center"/>
            <w:hideMark/>
          </w:tcPr>
          <w:p w14:paraId="7290E77D" w14:textId="77777777" w:rsidR="00727235" w:rsidRPr="00183DEC" w:rsidRDefault="00727235" w:rsidP="0019603A">
            <w:pPr>
              <w:ind w:firstLine="0"/>
              <w:rPr>
                <w:lang w:eastAsia="ru-RU"/>
              </w:rPr>
            </w:pPr>
            <w:r w:rsidRPr="00183DEC">
              <w:rPr>
                <w:lang w:eastAsia="ru-RU"/>
              </w:rPr>
              <w:t>01</w:t>
            </w:r>
          </w:p>
        </w:tc>
        <w:tc>
          <w:tcPr>
            <w:tcW w:w="2608" w:type="dxa"/>
            <w:tcBorders>
              <w:top w:val="nil"/>
              <w:left w:val="nil"/>
              <w:bottom w:val="single" w:sz="4" w:space="0" w:color="auto"/>
              <w:right w:val="single" w:sz="4" w:space="0" w:color="auto"/>
            </w:tcBorders>
            <w:shd w:val="clear" w:color="auto" w:fill="auto"/>
            <w:vAlign w:val="center"/>
            <w:hideMark/>
          </w:tcPr>
          <w:p w14:paraId="3C0D989A" w14:textId="77777777" w:rsidR="00727235" w:rsidRPr="00183DEC" w:rsidRDefault="00727235" w:rsidP="0019603A">
            <w:pPr>
              <w:ind w:firstLine="0"/>
              <w:rPr>
                <w:lang w:eastAsia="ru-RU"/>
              </w:rPr>
            </w:pPr>
            <w:r w:rsidRPr="00183DEC">
              <w:rPr>
                <w:lang w:eastAsia="ru-RU"/>
              </w:rPr>
              <w:t>02</w:t>
            </w:r>
          </w:p>
        </w:tc>
        <w:tc>
          <w:tcPr>
            <w:tcW w:w="2608" w:type="dxa"/>
            <w:tcBorders>
              <w:top w:val="nil"/>
              <w:left w:val="nil"/>
              <w:bottom w:val="single" w:sz="4" w:space="0" w:color="auto"/>
              <w:right w:val="single" w:sz="4" w:space="0" w:color="auto"/>
            </w:tcBorders>
            <w:shd w:val="clear" w:color="auto" w:fill="auto"/>
            <w:vAlign w:val="center"/>
            <w:hideMark/>
          </w:tcPr>
          <w:p w14:paraId="70A41EE3" w14:textId="77777777" w:rsidR="00727235" w:rsidRPr="00183DEC" w:rsidRDefault="00727235" w:rsidP="0019603A">
            <w:pPr>
              <w:ind w:firstLine="0"/>
              <w:rPr>
                <w:lang w:eastAsia="ru-RU"/>
              </w:rPr>
            </w:pPr>
            <w:r w:rsidRPr="00183DEC">
              <w:rPr>
                <w:lang w:eastAsia="ru-RU"/>
              </w:rPr>
              <w:t>03</w:t>
            </w:r>
          </w:p>
        </w:tc>
        <w:tc>
          <w:tcPr>
            <w:tcW w:w="2607" w:type="dxa"/>
            <w:tcBorders>
              <w:top w:val="nil"/>
              <w:left w:val="nil"/>
              <w:bottom w:val="single" w:sz="4" w:space="0" w:color="auto"/>
              <w:right w:val="single" w:sz="4" w:space="0" w:color="auto"/>
            </w:tcBorders>
            <w:shd w:val="clear" w:color="auto" w:fill="auto"/>
            <w:vAlign w:val="center"/>
            <w:hideMark/>
          </w:tcPr>
          <w:p w14:paraId="6341ED96" w14:textId="77777777" w:rsidR="00727235" w:rsidRPr="00183DEC" w:rsidRDefault="00727235" w:rsidP="0019603A">
            <w:pPr>
              <w:ind w:firstLine="0"/>
              <w:rPr>
                <w:lang w:eastAsia="ru-RU"/>
              </w:rPr>
            </w:pPr>
            <w:r w:rsidRPr="00183DEC">
              <w:rPr>
                <w:lang w:eastAsia="ru-RU"/>
              </w:rPr>
              <w:t>04</w:t>
            </w:r>
          </w:p>
        </w:tc>
        <w:tc>
          <w:tcPr>
            <w:tcW w:w="1958" w:type="dxa"/>
            <w:tcBorders>
              <w:top w:val="nil"/>
              <w:left w:val="nil"/>
              <w:bottom w:val="single" w:sz="4" w:space="0" w:color="auto"/>
              <w:right w:val="single" w:sz="4" w:space="0" w:color="auto"/>
            </w:tcBorders>
            <w:shd w:val="clear" w:color="auto" w:fill="auto"/>
            <w:vAlign w:val="center"/>
            <w:hideMark/>
          </w:tcPr>
          <w:p w14:paraId="73448EE5" w14:textId="77777777" w:rsidR="00727235" w:rsidRPr="00183DEC" w:rsidRDefault="00727235" w:rsidP="0019603A">
            <w:pPr>
              <w:ind w:firstLine="0"/>
              <w:rPr>
                <w:lang w:eastAsia="ru-RU"/>
              </w:rPr>
            </w:pPr>
            <w:r w:rsidRPr="00183DEC">
              <w:rPr>
                <w:lang w:eastAsia="ru-RU"/>
              </w:rPr>
              <w:t>05</w:t>
            </w:r>
          </w:p>
        </w:tc>
        <w:tc>
          <w:tcPr>
            <w:tcW w:w="1985" w:type="dxa"/>
            <w:tcBorders>
              <w:top w:val="nil"/>
              <w:left w:val="nil"/>
              <w:bottom w:val="single" w:sz="4" w:space="0" w:color="auto"/>
              <w:right w:val="single" w:sz="4" w:space="0" w:color="auto"/>
            </w:tcBorders>
            <w:shd w:val="clear" w:color="auto" w:fill="auto"/>
            <w:vAlign w:val="center"/>
            <w:hideMark/>
          </w:tcPr>
          <w:p w14:paraId="282AED9D" w14:textId="77777777" w:rsidR="00727235" w:rsidRPr="00183DEC" w:rsidRDefault="00727235" w:rsidP="0019603A">
            <w:pPr>
              <w:ind w:firstLine="0"/>
              <w:rPr>
                <w:lang w:eastAsia="ru-RU"/>
              </w:rPr>
            </w:pPr>
            <w:r w:rsidRPr="00183DEC">
              <w:rPr>
                <w:lang w:eastAsia="ru-RU"/>
              </w:rPr>
              <w:t>06</w:t>
            </w:r>
          </w:p>
        </w:tc>
        <w:tc>
          <w:tcPr>
            <w:tcW w:w="1701" w:type="dxa"/>
            <w:tcBorders>
              <w:top w:val="nil"/>
              <w:left w:val="nil"/>
              <w:bottom w:val="single" w:sz="4" w:space="0" w:color="auto"/>
              <w:right w:val="single" w:sz="4" w:space="0" w:color="auto"/>
            </w:tcBorders>
            <w:shd w:val="clear" w:color="auto" w:fill="auto"/>
            <w:vAlign w:val="center"/>
            <w:hideMark/>
          </w:tcPr>
          <w:p w14:paraId="11EA74C8" w14:textId="77777777" w:rsidR="00727235" w:rsidRPr="00183DEC" w:rsidRDefault="00727235" w:rsidP="0019603A">
            <w:pPr>
              <w:ind w:firstLine="0"/>
              <w:rPr>
                <w:lang w:eastAsia="ru-RU"/>
              </w:rPr>
            </w:pPr>
            <w:r w:rsidRPr="00183DEC">
              <w:rPr>
                <w:lang w:eastAsia="ru-RU"/>
              </w:rPr>
              <w:t>07</w:t>
            </w:r>
          </w:p>
        </w:tc>
      </w:tr>
      <w:tr w:rsidR="00183DEC" w:rsidRPr="00727235" w14:paraId="4A0FDC59" w14:textId="77777777" w:rsidTr="00727235">
        <w:trPr>
          <w:trHeight w:val="630"/>
        </w:trPr>
        <w:tc>
          <w:tcPr>
            <w:tcW w:w="1134" w:type="dxa"/>
            <w:vMerge w:val="restart"/>
            <w:tcBorders>
              <w:top w:val="nil"/>
              <w:left w:val="single" w:sz="4" w:space="0" w:color="auto"/>
              <w:bottom w:val="single" w:sz="4" w:space="0" w:color="auto"/>
              <w:right w:val="single" w:sz="4" w:space="0" w:color="auto"/>
            </w:tcBorders>
            <w:shd w:val="clear" w:color="auto" w:fill="auto"/>
            <w:vAlign w:val="center"/>
            <w:hideMark/>
          </w:tcPr>
          <w:p w14:paraId="06547D30" w14:textId="77777777" w:rsidR="00183DEC" w:rsidRPr="00183DEC" w:rsidRDefault="00183DEC" w:rsidP="00183DEC">
            <w:pPr>
              <w:ind w:firstLine="0"/>
              <w:rPr>
                <w:lang w:eastAsia="ru-RU"/>
              </w:rPr>
            </w:pPr>
            <w:r w:rsidRPr="00183DEC">
              <w:rPr>
                <w:lang w:eastAsia="ru-RU"/>
              </w:rPr>
              <w:t>1</w:t>
            </w:r>
          </w:p>
        </w:tc>
        <w:tc>
          <w:tcPr>
            <w:tcW w:w="2608" w:type="dxa"/>
            <w:vMerge w:val="restart"/>
            <w:tcBorders>
              <w:top w:val="nil"/>
              <w:left w:val="single" w:sz="4" w:space="0" w:color="auto"/>
              <w:bottom w:val="single" w:sz="4" w:space="0" w:color="auto"/>
              <w:right w:val="single" w:sz="4" w:space="0" w:color="auto"/>
            </w:tcBorders>
            <w:shd w:val="clear" w:color="auto" w:fill="auto"/>
            <w:vAlign w:val="center"/>
            <w:hideMark/>
          </w:tcPr>
          <w:p w14:paraId="72534F2F" w14:textId="77777777" w:rsidR="00183DEC" w:rsidRPr="00183DEC" w:rsidRDefault="00183DEC" w:rsidP="00183DEC">
            <w:pPr>
              <w:ind w:firstLine="0"/>
              <w:rPr>
                <w:lang w:eastAsia="ru-RU"/>
              </w:rPr>
            </w:pPr>
            <w:r w:rsidRPr="00183DEC">
              <w:rPr>
                <w:lang w:eastAsia="ru-RU"/>
              </w:rPr>
              <w:t>мультипликативная</w:t>
            </w:r>
          </w:p>
        </w:tc>
        <w:tc>
          <w:tcPr>
            <w:tcW w:w="2608" w:type="dxa"/>
            <w:vMerge w:val="restart"/>
            <w:tcBorders>
              <w:top w:val="nil"/>
              <w:left w:val="single" w:sz="4" w:space="0" w:color="auto"/>
              <w:bottom w:val="single" w:sz="4" w:space="0" w:color="auto"/>
              <w:right w:val="single" w:sz="4" w:space="0" w:color="auto"/>
            </w:tcBorders>
            <w:shd w:val="clear" w:color="auto" w:fill="auto"/>
            <w:vAlign w:val="center"/>
            <w:hideMark/>
          </w:tcPr>
          <w:p w14:paraId="0111B97C" w14:textId="6A665383" w:rsidR="00183DEC" w:rsidRPr="00183DEC" w:rsidRDefault="00183DEC" w:rsidP="00183DEC">
            <w:pPr>
              <w:ind w:firstLine="0"/>
              <w:rPr>
                <w:lang w:eastAsia="ru-RU"/>
              </w:rPr>
            </w:pPr>
            <w:r w:rsidRPr="00183DEC">
              <w:rPr>
                <w:lang w:eastAsia="ru-RU"/>
              </w:rPr>
              <w:t>Y=27739.5*((метка(Газоснабжение)+0)^0.610124)*((0.381869/(Физический износ_ЗП+0.08)+0.49)^0.60578)*((4928.06/(Расстояние от объекта до административного центра населенного пункта+2600)+0.5)^0.551584)</w:t>
            </w:r>
          </w:p>
        </w:tc>
        <w:tc>
          <w:tcPr>
            <w:tcW w:w="2607" w:type="dxa"/>
            <w:vMerge w:val="restart"/>
            <w:tcBorders>
              <w:top w:val="nil"/>
              <w:left w:val="single" w:sz="4" w:space="0" w:color="auto"/>
              <w:bottom w:val="single" w:sz="4" w:space="0" w:color="auto"/>
              <w:right w:val="single" w:sz="4" w:space="0" w:color="auto"/>
            </w:tcBorders>
            <w:shd w:val="clear" w:color="auto" w:fill="auto"/>
            <w:vAlign w:val="center"/>
            <w:hideMark/>
          </w:tcPr>
          <w:p w14:paraId="200583D2" w14:textId="3EC0EDA9" w:rsidR="00183DEC" w:rsidRPr="00183DEC" w:rsidRDefault="00183DEC" w:rsidP="00183DEC">
            <w:pPr>
              <w:ind w:firstLine="0"/>
              <w:rPr>
                <w:lang w:eastAsia="ru-RU"/>
              </w:rPr>
            </w:pPr>
            <w:r w:rsidRPr="00183DEC">
              <w:t>Газоснабжение</w:t>
            </w:r>
          </w:p>
        </w:tc>
        <w:tc>
          <w:tcPr>
            <w:tcW w:w="1958" w:type="dxa"/>
            <w:vMerge w:val="restart"/>
            <w:tcBorders>
              <w:top w:val="nil"/>
              <w:left w:val="single" w:sz="4" w:space="0" w:color="auto"/>
              <w:bottom w:val="single" w:sz="4" w:space="0" w:color="auto"/>
              <w:right w:val="single" w:sz="4" w:space="0" w:color="auto"/>
            </w:tcBorders>
            <w:shd w:val="clear" w:color="auto" w:fill="auto"/>
            <w:vAlign w:val="center"/>
            <w:hideMark/>
          </w:tcPr>
          <w:p w14:paraId="0E9EC47E" w14:textId="27241F5B" w:rsidR="00183DEC" w:rsidRPr="00183DEC" w:rsidRDefault="00183DEC" w:rsidP="00183DEC">
            <w:pPr>
              <w:ind w:firstLine="0"/>
              <w:rPr>
                <w:lang w:eastAsia="ru-RU"/>
              </w:rPr>
            </w:pPr>
            <w:r w:rsidRPr="00183DEC">
              <w:t>0,610124</w:t>
            </w:r>
          </w:p>
        </w:tc>
        <w:tc>
          <w:tcPr>
            <w:tcW w:w="1985" w:type="dxa"/>
            <w:tcBorders>
              <w:top w:val="nil"/>
              <w:left w:val="nil"/>
              <w:bottom w:val="single" w:sz="4" w:space="0" w:color="auto"/>
              <w:right w:val="single" w:sz="4" w:space="0" w:color="auto"/>
            </w:tcBorders>
            <w:shd w:val="clear" w:color="auto" w:fill="auto"/>
            <w:vAlign w:val="center"/>
            <w:hideMark/>
          </w:tcPr>
          <w:p w14:paraId="7BE4D366" w14:textId="74D5F411" w:rsidR="00183DEC" w:rsidRPr="00183DEC" w:rsidRDefault="00183DEC" w:rsidP="00183DEC">
            <w:pPr>
              <w:ind w:firstLine="0"/>
              <w:rPr>
                <w:lang w:eastAsia="ru-RU"/>
              </w:rPr>
            </w:pPr>
            <w:r w:rsidRPr="00183DEC">
              <w:t>0</w:t>
            </w:r>
          </w:p>
        </w:tc>
        <w:tc>
          <w:tcPr>
            <w:tcW w:w="1701" w:type="dxa"/>
            <w:tcBorders>
              <w:top w:val="nil"/>
              <w:left w:val="nil"/>
              <w:bottom w:val="single" w:sz="4" w:space="0" w:color="auto"/>
              <w:right w:val="single" w:sz="4" w:space="0" w:color="auto"/>
            </w:tcBorders>
            <w:shd w:val="clear" w:color="auto" w:fill="auto"/>
            <w:vAlign w:val="center"/>
            <w:hideMark/>
          </w:tcPr>
          <w:p w14:paraId="148EEC67" w14:textId="534E7325" w:rsidR="00183DEC" w:rsidRPr="00183DEC" w:rsidRDefault="00183DEC" w:rsidP="00183DEC">
            <w:pPr>
              <w:ind w:firstLine="0"/>
              <w:rPr>
                <w:lang w:eastAsia="ru-RU"/>
              </w:rPr>
            </w:pPr>
            <w:r w:rsidRPr="00183DEC">
              <w:t>0,9011710674604722</w:t>
            </w:r>
          </w:p>
        </w:tc>
      </w:tr>
      <w:tr w:rsidR="00183DEC" w:rsidRPr="00727235" w14:paraId="625DA551" w14:textId="77777777" w:rsidTr="00727235">
        <w:trPr>
          <w:trHeight w:val="630"/>
        </w:trPr>
        <w:tc>
          <w:tcPr>
            <w:tcW w:w="1134" w:type="dxa"/>
            <w:vMerge/>
            <w:tcBorders>
              <w:top w:val="nil"/>
              <w:left w:val="single" w:sz="4" w:space="0" w:color="auto"/>
              <w:bottom w:val="single" w:sz="4" w:space="0" w:color="auto"/>
              <w:right w:val="single" w:sz="4" w:space="0" w:color="auto"/>
            </w:tcBorders>
            <w:vAlign w:val="center"/>
            <w:hideMark/>
          </w:tcPr>
          <w:p w14:paraId="5D850D42" w14:textId="77777777" w:rsidR="00183DEC" w:rsidRPr="00183DEC" w:rsidRDefault="00183DEC" w:rsidP="00183DEC">
            <w:pPr>
              <w:ind w:firstLine="0"/>
              <w:rPr>
                <w:lang w:eastAsia="ru-RU"/>
              </w:rPr>
            </w:pPr>
          </w:p>
        </w:tc>
        <w:tc>
          <w:tcPr>
            <w:tcW w:w="2608" w:type="dxa"/>
            <w:vMerge/>
            <w:tcBorders>
              <w:top w:val="nil"/>
              <w:left w:val="single" w:sz="4" w:space="0" w:color="auto"/>
              <w:bottom w:val="single" w:sz="4" w:space="0" w:color="auto"/>
              <w:right w:val="single" w:sz="4" w:space="0" w:color="auto"/>
            </w:tcBorders>
            <w:vAlign w:val="center"/>
            <w:hideMark/>
          </w:tcPr>
          <w:p w14:paraId="545A8F64" w14:textId="77777777" w:rsidR="00183DEC" w:rsidRPr="00183DEC" w:rsidRDefault="00183DEC" w:rsidP="00183DEC">
            <w:pPr>
              <w:ind w:firstLine="0"/>
              <w:rPr>
                <w:lang w:eastAsia="ru-RU"/>
              </w:rPr>
            </w:pPr>
          </w:p>
        </w:tc>
        <w:tc>
          <w:tcPr>
            <w:tcW w:w="2608" w:type="dxa"/>
            <w:vMerge/>
            <w:tcBorders>
              <w:top w:val="nil"/>
              <w:left w:val="single" w:sz="4" w:space="0" w:color="auto"/>
              <w:bottom w:val="single" w:sz="4" w:space="0" w:color="auto"/>
              <w:right w:val="single" w:sz="4" w:space="0" w:color="auto"/>
            </w:tcBorders>
            <w:vAlign w:val="center"/>
            <w:hideMark/>
          </w:tcPr>
          <w:p w14:paraId="313BD72E" w14:textId="77777777" w:rsidR="00183DEC" w:rsidRPr="00183DEC" w:rsidRDefault="00183DEC" w:rsidP="00183DEC">
            <w:pPr>
              <w:ind w:firstLine="0"/>
              <w:rPr>
                <w:lang w:eastAsia="ru-RU"/>
              </w:rPr>
            </w:pPr>
          </w:p>
        </w:tc>
        <w:tc>
          <w:tcPr>
            <w:tcW w:w="2607" w:type="dxa"/>
            <w:vMerge/>
            <w:tcBorders>
              <w:top w:val="nil"/>
              <w:left w:val="single" w:sz="4" w:space="0" w:color="auto"/>
              <w:bottom w:val="single" w:sz="4" w:space="0" w:color="auto"/>
              <w:right w:val="single" w:sz="4" w:space="0" w:color="auto"/>
            </w:tcBorders>
            <w:vAlign w:val="center"/>
            <w:hideMark/>
          </w:tcPr>
          <w:p w14:paraId="5FBAD01B" w14:textId="77777777" w:rsidR="00183DEC" w:rsidRPr="00183DEC" w:rsidRDefault="00183DEC" w:rsidP="00183DEC">
            <w:pPr>
              <w:ind w:firstLine="0"/>
              <w:rPr>
                <w:lang w:eastAsia="ru-RU"/>
              </w:rPr>
            </w:pPr>
          </w:p>
        </w:tc>
        <w:tc>
          <w:tcPr>
            <w:tcW w:w="1958" w:type="dxa"/>
            <w:vMerge/>
            <w:tcBorders>
              <w:top w:val="nil"/>
              <w:left w:val="single" w:sz="4" w:space="0" w:color="auto"/>
              <w:bottom w:val="single" w:sz="4" w:space="0" w:color="auto"/>
              <w:right w:val="single" w:sz="4" w:space="0" w:color="auto"/>
            </w:tcBorders>
            <w:vAlign w:val="center"/>
            <w:hideMark/>
          </w:tcPr>
          <w:p w14:paraId="1CCE9831" w14:textId="77777777" w:rsidR="00183DEC" w:rsidRPr="00183DEC" w:rsidRDefault="00183DEC" w:rsidP="00183DEC">
            <w:pPr>
              <w:ind w:firstLine="0"/>
              <w:rPr>
                <w:lang w:eastAsia="ru-RU"/>
              </w:rPr>
            </w:pPr>
          </w:p>
        </w:tc>
        <w:tc>
          <w:tcPr>
            <w:tcW w:w="1985" w:type="dxa"/>
            <w:tcBorders>
              <w:top w:val="nil"/>
              <w:left w:val="nil"/>
              <w:bottom w:val="single" w:sz="4" w:space="0" w:color="auto"/>
              <w:right w:val="single" w:sz="4" w:space="0" w:color="auto"/>
            </w:tcBorders>
            <w:shd w:val="clear" w:color="auto" w:fill="auto"/>
            <w:vAlign w:val="center"/>
            <w:hideMark/>
          </w:tcPr>
          <w:p w14:paraId="3CB1575C" w14:textId="7BDAA8B5" w:rsidR="00183DEC" w:rsidRPr="00183DEC" w:rsidRDefault="00183DEC" w:rsidP="00183DEC">
            <w:pPr>
              <w:ind w:firstLine="0"/>
              <w:rPr>
                <w:lang w:eastAsia="ru-RU"/>
              </w:rPr>
            </w:pPr>
            <w:r w:rsidRPr="00183DEC">
              <w:t>1</w:t>
            </w:r>
          </w:p>
        </w:tc>
        <w:tc>
          <w:tcPr>
            <w:tcW w:w="1701" w:type="dxa"/>
            <w:tcBorders>
              <w:top w:val="nil"/>
              <w:left w:val="nil"/>
              <w:bottom w:val="single" w:sz="4" w:space="0" w:color="auto"/>
              <w:right w:val="single" w:sz="4" w:space="0" w:color="auto"/>
            </w:tcBorders>
            <w:shd w:val="clear" w:color="auto" w:fill="auto"/>
            <w:vAlign w:val="center"/>
            <w:hideMark/>
          </w:tcPr>
          <w:p w14:paraId="7A7129CD" w14:textId="4DA81341" w:rsidR="00183DEC" w:rsidRPr="00183DEC" w:rsidRDefault="00183DEC" w:rsidP="00183DEC">
            <w:pPr>
              <w:ind w:firstLine="0"/>
              <w:rPr>
                <w:lang w:eastAsia="ru-RU"/>
              </w:rPr>
            </w:pPr>
            <w:r w:rsidRPr="00183DEC">
              <w:t>1,0988289325395277</w:t>
            </w:r>
          </w:p>
        </w:tc>
      </w:tr>
      <w:tr w:rsidR="00183DEC" w:rsidRPr="00727235" w14:paraId="0C2D229B" w14:textId="77777777" w:rsidTr="00727235">
        <w:trPr>
          <w:trHeight w:val="945"/>
        </w:trPr>
        <w:tc>
          <w:tcPr>
            <w:tcW w:w="1134" w:type="dxa"/>
            <w:vMerge/>
            <w:tcBorders>
              <w:top w:val="nil"/>
              <w:left w:val="single" w:sz="4" w:space="0" w:color="auto"/>
              <w:bottom w:val="single" w:sz="4" w:space="0" w:color="auto"/>
              <w:right w:val="single" w:sz="4" w:space="0" w:color="auto"/>
            </w:tcBorders>
            <w:vAlign w:val="center"/>
            <w:hideMark/>
          </w:tcPr>
          <w:p w14:paraId="3D9BFA67" w14:textId="77777777" w:rsidR="00183DEC" w:rsidRPr="00183DEC" w:rsidRDefault="00183DEC" w:rsidP="00183DEC">
            <w:pPr>
              <w:ind w:firstLine="0"/>
              <w:rPr>
                <w:lang w:eastAsia="ru-RU"/>
              </w:rPr>
            </w:pPr>
          </w:p>
        </w:tc>
        <w:tc>
          <w:tcPr>
            <w:tcW w:w="2608" w:type="dxa"/>
            <w:vMerge/>
            <w:tcBorders>
              <w:top w:val="nil"/>
              <w:left w:val="single" w:sz="4" w:space="0" w:color="auto"/>
              <w:bottom w:val="single" w:sz="4" w:space="0" w:color="auto"/>
              <w:right w:val="single" w:sz="4" w:space="0" w:color="auto"/>
            </w:tcBorders>
            <w:vAlign w:val="center"/>
            <w:hideMark/>
          </w:tcPr>
          <w:p w14:paraId="23E2236D" w14:textId="77777777" w:rsidR="00183DEC" w:rsidRPr="00183DEC" w:rsidRDefault="00183DEC" w:rsidP="00183DEC">
            <w:pPr>
              <w:ind w:firstLine="0"/>
              <w:rPr>
                <w:lang w:eastAsia="ru-RU"/>
              </w:rPr>
            </w:pPr>
          </w:p>
        </w:tc>
        <w:tc>
          <w:tcPr>
            <w:tcW w:w="2608" w:type="dxa"/>
            <w:vMerge/>
            <w:tcBorders>
              <w:top w:val="nil"/>
              <w:left w:val="single" w:sz="4" w:space="0" w:color="auto"/>
              <w:bottom w:val="single" w:sz="4" w:space="0" w:color="auto"/>
              <w:right w:val="single" w:sz="4" w:space="0" w:color="auto"/>
            </w:tcBorders>
            <w:vAlign w:val="center"/>
            <w:hideMark/>
          </w:tcPr>
          <w:p w14:paraId="3575D68E" w14:textId="77777777" w:rsidR="00183DEC" w:rsidRPr="00183DEC" w:rsidRDefault="00183DEC" w:rsidP="00183DEC">
            <w:pPr>
              <w:ind w:firstLine="0"/>
              <w:rPr>
                <w:lang w:eastAsia="ru-RU"/>
              </w:rPr>
            </w:pPr>
          </w:p>
        </w:tc>
        <w:tc>
          <w:tcPr>
            <w:tcW w:w="2607" w:type="dxa"/>
            <w:tcBorders>
              <w:top w:val="nil"/>
              <w:left w:val="nil"/>
              <w:bottom w:val="single" w:sz="4" w:space="0" w:color="auto"/>
              <w:right w:val="single" w:sz="4" w:space="0" w:color="auto"/>
            </w:tcBorders>
            <w:shd w:val="clear" w:color="auto" w:fill="auto"/>
            <w:vAlign w:val="center"/>
            <w:hideMark/>
          </w:tcPr>
          <w:p w14:paraId="04B4C3C8" w14:textId="647965A5" w:rsidR="00183DEC" w:rsidRPr="00183DEC" w:rsidRDefault="00183DEC" w:rsidP="00183DEC">
            <w:pPr>
              <w:ind w:firstLine="0"/>
              <w:rPr>
                <w:lang w:eastAsia="ru-RU"/>
              </w:rPr>
            </w:pPr>
            <w:r w:rsidRPr="00183DEC">
              <w:t>Расстояние от объекта до административного центра населенного пункта</w:t>
            </w:r>
          </w:p>
        </w:tc>
        <w:tc>
          <w:tcPr>
            <w:tcW w:w="1958" w:type="dxa"/>
            <w:tcBorders>
              <w:top w:val="nil"/>
              <w:left w:val="nil"/>
              <w:bottom w:val="single" w:sz="4" w:space="0" w:color="auto"/>
              <w:right w:val="single" w:sz="4" w:space="0" w:color="auto"/>
            </w:tcBorders>
            <w:shd w:val="clear" w:color="auto" w:fill="auto"/>
            <w:vAlign w:val="center"/>
            <w:hideMark/>
          </w:tcPr>
          <w:p w14:paraId="25C779FE" w14:textId="6D729110" w:rsidR="00183DEC" w:rsidRPr="00183DEC" w:rsidRDefault="00183DEC" w:rsidP="00183DEC">
            <w:pPr>
              <w:ind w:firstLine="0"/>
              <w:rPr>
                <w:lang w:eastAsia="ru-RU"/>
              </w:rPr>
            </w:pPr>
            <w:r w:rsidRPr="00183DEC">
              <w:t>0,551584</w:t>
            </w:r>
          </w:p>
        </w:tc>
        <w:tc>
          <w:tcPr>
            <w:tcW w:w="1985" w:type="dxa"/>
            <w:tcBorders>
              <w:top w:val="nil"/>
              <w:left w:val="nil"/>
              <w:bottom w:val="single" w:sz="4" w:space="0" w:color="auto"/>
              <w:right w:val="single" w:sz="4" w:space="0" w:color="auto"/>
            </w:tcBorders>
            <w:shd w:val="clear" w:color="auto" w:fill="auto"/>
            <w:vAlign w:val="center"/>
            <w:hideMark/>
          </w:tcPr>
          <w:p w14:paraId="709FD0CC" w14:textId="73034917" w:rsidR="00183DEC" w:rsidRPr="00183DEC" w:rsidRDefault="00183DEC" w:rsidP="00183DEC">
            <w:pPr>
              <w:ind w:firstLine="0"/>
              <w:rPr>
                <w:lang w:eastAsia="ru-RU"/>
              </w:rPr>
            </w:pPr>
            <w:r w:rsidRPr="00183DEC">
              <w:t>100 - 16050</w:t>
            </w:r>
          </w:p>
        </w:tc>
        <w:tc>
          <w:tcPr>
            <w:tcW w:w="1701" w:type="dxa"/>
            <w:tcBorders>
              <w:top w:val="nil"/>
              <w:left w:val="nil"/>
              <w:bottom w:val="single" w:sz="4" w:space="0" w:color="auto"/>
              <w:right w:val="single" w:sz="4" w:space="0" w:color="auto"/>
            </w:tcBorders>
            <w:shd w:val="clear" w:color="auto" w:fill="auto"/>
            <w:noWrap/>
            <w:vAlign w:val="bottom"/>
            <w:hideMark/>
          </w:tcPr>
          <w:p w14:paraId="3E1A25E9" w14:textId="77777777" w:rsidR="00183DEC" w:rsidRPr="00183DEC" w:rsidRDefault="00183DEC" w:rsidP="00183DEC">
            <w:pPr>
              <w:ind w:firstLine="0"/>
              <w:rPr>
                <w:lang w:eastAsia="ru-RU"/>
              </w:rPr>
            </w:pPr>
            <w:r w:rsidRPr="00183DEC">
              <w:rPr>
                <w:lang w:eastAsia="ru-RU"/>
              </w:rPr>
              <w:t> </w:t>
            </w:r>
          </w:p>
        </w:tc>
      </w:tr>
      <w:tr w:rsidR="00183DEC" w:rsidRPr="00727235" w14:paraId="5C43D25B" w14:textId="77777777" w:rsidTr="00727235">
        <w:trPr>
          <w:trHeight w:val="315"/>
        </w:trPr>
        <w:tc>
          <w:tcPr>
            <w:tcW w:w="1134" w:type="dxa"/>
            <w:vMerge/>
            <w:tcBorders>
              <w:top w:val="nil"/>
              <w:left w:val="single" w:sz="4" w:space="0" w:color="auto"/>
              <w:bottom w:val="single" w:sz="4" w:space="0" w:color="auto"/>
              <w:right w:val="single" w:sz="4" w:space="0" w:color="auto"/>
            </w:tcBorders>
            <w:vAlign w:val="center"/>
            <w:hideMark/>
          </w:tcPr>
          <w:p w14:paraId="3A95484F" w14:textId="77777777" w:rsidR="00183DEC" w:rsidRPr="00183DEC" w:rsidRDefault="00183DEC" w:rsidP="00183DEC">
            <w:pPr>
              <w:ind w:firstLine="0"/>
              <w:rPr>
                <w:lang w:eastAsia="ru-RU"/>
              </w:rPr>
            </w:pPr>
          </w:p>
        </w:tc>
        <w:tc>
          <w:tcPr>
            <w:tcW w:w="2608" w:type="dxa"/>
            <w:vMerge/>
            <w:tcBorders>
              <w:top w:val="nil"/>
              <w:left w:val="single" w:sz="4" w:space="0" w:color="auto"/>
              <w:bottom w:val="single" w:sz="4" w:space="0" w:color="auto"/>
              <w:right w:val="single" w:sz="4" w:space="0" w:color="auto"/>
            </w:tcBorders>
            <w:vAlign w:val="center"/>
            <w:hideMark/>
          </w:tcPr>
          <w:p w14:paraId="0C03DACA" w14:textId="77777777" w:rsidR="00183DEC" w:rsidRPr="00183DEC" w:rsidRDefault="00183DEC" w:rsidP="00183DEC">
            <w:pPr>
              <w:ind w:firstLine="0"/>
              <w:rPr>
                <w:lang w:eastAsia="ru-RU"/>
              </w:rPr>
            </w:pPr>
          </w:p>
        </w:tc>
        <w:tc>
          <w:tcPr>
            <w:tcW w:w="2608" w:type="dxa"/>
            <w:vMerge/>
            <w:tcBorders>
              <w:top w:val="nil"/>
              <w:left w:val="single" w:sz="4" w:space="0" w:color="auto"/>
              <w:bottom w:val="single" w:sz="4" w:space="0" w:color="auto"/>
              <w:right w:val="single" w:sz="4" w:space="0" w:color="auto"/>
            </w:tcBorders>
            <w:vAlign w:val="center"/>
            <w:hideMark/>
          </w:tcPr>
          <w:p w14:paraId="0AED33EE" w14:textId="77777777" w:rsidR="00183DEC" w:rsidRPr="00183DEC" w:rsidRDefault="00183DEC" w:rsidP="00183DEC">
            <w:pPr>
              <w:ind w:firstLine="0"/>
              <w:rPr>
                <w:lang w:eastAsia="ru-RU"/>
              </w:rPr>
            </w:pPr>
          </w:p>
        </w:tc>
        <w:tc>
          <w:tcPr>
            <w:tcW w:w="2607" w:type="dxa"/>
            <w:tcBorders>
              <w:top w:val="nil"/>
              <w:left w:val="nil"/>
              <w:bottom w:val="single" w:sz="4" w:space="0" w:color="auto"/>
              <w:right w:val="single" w:sz="4" w:space="0" w:color="auto"/>
            </w:tcBorders>
            <w:shd w:val="clear" w:color="auto" w:fill="auto"/>
            <w:vAlign w:val="center"/>
            <w:hideMark/>
          </w:tcPr>
          <w:p w14:paraId="48EDDBF2" w14:textId="68497A8C" w:rsidR="00183DEC" w:rsidRPr="00183DEC" w:rsidRDefault="00183DEC" w:rsidP="00183DEC">
            <w:pPr>
              <w:ind w:firstLine="0"/>
              <w:rPr>
                <w:lang w:eastAsia="ru-RU"/>
              </w:rPr>
            </w:pPr>
            <w:r w:rsidRPr="00183DEC">
              <w:t>Физический износ_ЗП</w:t>
            </w:r>
          </w:p>
        </w:tc>
        <w:tc>
          <w:tcPr>
            <w:tcW w:w="1958" w:type="dxa"/>
            <w:tcBorders>
              <w:top w:val="nil"/>
              <w:left w:val="nil"/>
              <w:bottom w:val="single" w:sz="4" w:space="0" w:color="auto"/>
              <w:right w:val="single" w:sz="4" w:space="0" w:color="auto"/>
            </w:tcBorders>
            <w:shd w:val="clear" w:color="auto" w:fill="auto"/>
            <w:vAlign w:val="center"/>
            <w:hideMark/>
          </w:tcPr>
          <w:p w14:paraId="681BAC60" w14:textId="269D654F" w:rsidR="00183DEC" w:rsidRPr="00183DEC" w:rsidRDefault="00183DEC" w:rsidP="00183DEC">
            <w:pPr>
              <w:ind w:firstLine="0"/>
              <w:rPr>
                <w:lang w:eastAsia="ru-RU"/>
              </w:rPr>
            </w:pPr>
            <w:r w:rsidRPr="00183DEC">
              <w:t>0,60578</w:t>
            </w:r>
          </w:p>
        </w:tc>
        <w:tc>
          <w:tcPr>
            <w:tcW w:w="1985" w:type="dxa"/>
            <w:tcBorders>
              <w:top w:val="nil"/>
              <w:left w:val="nil"/>
              <w:bottom w:val="single" w:sz="4" w:space="0" w:color="auto"/>
              <w:right w:val="single" w:sz="4" w:space="0" w:color="auto"/>
            </w:tcBorders>
            <w:shd w:val="clear" w:color="auto" w:fill="auto"/>
            <w:vAlign w:val="center"/>
            <w:hideMark/>
          </w:tcPr>
          <w:p w14:paraId="08B0DA6F" w14:textId="0F424026" w:rsidR="00183DEC" w:rsidRPr="00183DEC" w:rsidRDefault="00183DEC" w:rsidP="00183DEC">
            <w:pPr>
              <w:ind w:firstLine="0"/>
              <w:rPr>
                <w:lang w:eastAsia="ru-RU"/>
              </w:rPr>
            </w:pPr>
            <w:r w:rsidRPr="00183DEC">
              <w:t>0.01 - 0.81</w:t>
            </w:r>
          </w:p>
        </w:tc>
        <w:tc>
          <w:tcPr>
            <w:tcW w:w="1701" w:type="dxa"/>
            <w:tcBorders>
              <w:top w:val="nil"/>
              <w:left w:val="nil"/>
              <w:bottom w:val="single" w:sz="4" w:space="0" w:color="auto"/>
              <w:right w:val="single" w:sz="4" w:space="0" w:color="auto"/>
            </w:tcBorders>
            <w:shd w:val="clear" w:color="auto" w:fill="auto"/>
            <w:noWrap/>
            <w:vAlign w:val="bottom"/>
            <w:hideMark/>
          </w:tcPr>
          <w:p w14:paraId="03B89BF6" w14:textId="77777777" w:rsidR="00183DEC" w:rsidRPr="00183DEC" w:rsidRDefault="00183DEC" w:rsidP="00183DEC">
            <w:pPr>
              <w:ind w:firstLine="0"/>
              <w:rPr>
                <w:lang w:eastAsia="ru-RU"/>
              </w:rPr>
            </w:pPr>
            <w:r w:rsidRPr="00183DEC">
              <w:rPr>
                <w:lang w:eastAsia="ru-RU"/>
              </w:rPr>
              <w:t> </w:t>
            </w:r>
          </w:p>
        </w:tc>
      </w:tr>
      <w:tr w:rsidR="000470FD" w:rsidRPr="00727235" w14:paraId="15AB87DD" w14:textId="77777777" w:rsidTr="00727235">
        <w:trPr>
          <w:trHeight w:val="315"/>
        </w:trPr>
        <w:tc>
          <w:tcPr>
            <w:tcW w:w="1134" w:type="dxa"/>
            <w:vMerge/>
            <w:tcBorders>
              <w:top w:val="nil"/>
              <w:left w:val="single" w:sz="4" w:space="0" w:color="auto"/>
              <w:bottom w:val="single" w:sz="4" w:space="0" w:color="auto"/>
              <w:right w:val="single" w:sz="4" w:space="0" w:color="auto"/>
            </w:tcBorders>
            <w:vAlign w:val="center"/>
            <w:hideMark/>
          </w:tcPr>
          <w:p w14:paraId="30E9CA6C" w14:textId="77777777" w:rsidR="000470FD" w:rsidRPr="00183DEC" w:rsidRDefault="000470FD" w:rsidP="000470FD">
            <w:pPr>
              <w:ind w:firstLine="0"/>
              <w:rPr>
                <w:lang w:eastAsia="ru-RU"/>
              </w:rPr>
            </w:pPr>
          </w:p>
        </w:tc>
        <w:tc>
          <w:tcPr>
            <w:tcW w:w="2608" w:type="dxa"/>
            <w:vMerge/>
            <w:tcBorders>
              <w:top w:val="nil"/>
              <w:left w:val="single" w:sz="4" w:space="0" w:color="auto"/>
              <w:bottom w:val="single" w:sz="4" w:space="0" w:color="auto"/>
              <w:right w:val="single" w:sz="4" w:space="0" w:color="auto"/>
            </w:tcBorders>
            <w:vAlign w:val="center"/>
            <w:hideMark/>
          </w:tcPr>
          <w:p w14:paraId="14075127" w14:textId="77777777" w:rsidR="000470FD" w:rsidRPr="00183DEC" w:rsidRDefault="000470FD" w:rsidP="000470FD">
            <w:pPr>
              <w:ind w:firstLine="0"/>
              <w:rPr>
                <w:lang w:eastAsia="ru-RU"/>
              </w:rPr>
            </w:pPr>
          </w:p>
        </w:tc>
        <w:tc>
          <w:tcPr>
            <w:tcW w:w="2608" w:type="dxa"/>
            <w:vMerge/>
            <w:tcBorders>
              <w:top w:val="nil"/>
              <w:left w:val="single" w:sz="4" w:space="0" w:color="auto"/>
              <w:bottom w:val="single" w:sz="4" w:space="0" w:color="auto"/>
              <w:right w:val="single" w:sz="4" w:space="0" w:color="auto"/>
            </w:tcBorders>
            <w:vAlign w:val="center"/>
            <w:hideMark/>
          </w:tcPr>
          <w:p w14:paraId="77C0F651" w14:textId="77777777" w:rsidR="000470FD" w:rsidRPr="00183DEC" w:rsidRDefault="000470FD" w:rsidP="000470FD">
            <w:pPr>
              <w:ind w:firstLine="0"/>
              <w:rPr>
                <w:lang w:eastAsia="ru-RU"/>
              </w:rPr>
            </w:pPr>
          </w:p>
        </w:tc>
        <w:tc>
          <w:tcPr>
            <w:tcW w:w="2607" w:type="dxa"/>
            <w:tcBorders>
              <w:top w:val="nil"/>
              <w:left w:val="nil"/>
              <w:bottom w:val="single" w:sz="4" w:space="0" w:color="auto"/>
              <w:right w:val="single" w:sz="4" w:space="0" w:color="auto"/>
            </w:tcBorders>
            <w:shd w:val="clear" w:color="auto" w:fill="auto"/>
            <w:vAlign w:val="center"/>
            <w:hideMark/>
          </w:tcPr>
          <w:p w14:paraId="40B6879F" w14:textId="793FCC44" w:rsidR="000470FD" w:rsidRPr="005376A2" w:rsidRDefault="000470FD" w:rsidP="000470FD">
            <w:pPr>
              <w:ind w:firstLine="0"/>
              <w:rPr>
                <w:szCs w:val="24"/>
              </w:rPr>
            </w:pPr>
            <w:r w:rsidRPr="005376A2">
              <w:rPr>
                <w:i/>
                <w:iCs/>
                <w:szCs w:val="24"/>
              </w:rPr>
              <w:t>Свободный член</w:t>
            </w:r>
          </w:p>
        </w:tc>
        <w:tc>
          <w:tcPr>
            <w:tcW w:w="1958" w:type="dxa"/>
            <w:tcBorders>
              <w:top w:val="nil"/>
              <w:left w:val="nil"/>
              <w:bottom w:val="single" w:sz="4" w:space="0" w:color="auto"/>
              <w:right w:val="single" w:sz="4" w:space="0" w:color="auto"/>
            </w:tcBorders>
            <w:shd w:val="clear" w:color="auto" w:fill="auto"/>
            <w:vAlign w:val="center"/>
            <w:hideMark/>
          </w:tcPr>
          <w:p w14:paraId="357DC4E4" w14:textId="6110D8D3" w:rsidR="000470FD" w:rsidRPr="00183DEC" w:rsidRDefault="000470FD" w:rsidP="000470FD">
            <w:pPr>
              <w:ind w:firstLine="0"/>
            </w:pPr>
            <w:r w:rsidRPr="00183DEC">
              <w:t>27739,5</w:t>
            </w:r>
          </w:p>
        </w:tc>
        <w:tc>
          <w:tcPr>
            <w:tcW w:w="1985" w:type="dxa"/>
            <w:tcBorders>
              <w:top w:val="nil"/>
              <w:left w:val="nil"/>
              <w:bottom w:val="single" w:sz="4" w:space="0" w:color="auto"/>
              <w:right w:val="single" w:sz="4" w:space="0" w:color="auto"/>
            </w:tcBorders>
            <w:shd w:val="clear" w:color="auto" w:fill="auto"/>
            <w:noWrap/>
            <w:vAlign w:val="bottom"/>
            <w:hideMark/>
          </w:tcPr>
          <w:p w14:paraId="34F72869" w14:textId="77777777" w:rsidR="000470FD" w:rsidRPr="00183DEC" w:rsidRDefault="000470FD" w:rsidP="000470FD">
            <w:pPr>
              <w:ind w:firstLine="0"/>
            </w:pPr>
            <w:r w:rsidRPr="00183DEC">
              <w:t> </w:t>
            </w:r>
          </w:p>
        </w:tc>
        <w:tc>
          <w:tcPr>
            <w:tcW w:w="1701" w:type="dxa"/>
            <w:tcBorders>
              <w:top w:val="nil"/>
              <w:left w:val="nil"/>
              <w:bottom w:val="single" w:sz="4" w:space="0" w:color="auto"/>
              <w:right w:val="single" w:sz="4" w:space="0" w:color="auto"/>
            </w:tcBorders>
            <w:shd w:val="clear" w:color="auto" w:fill="auto"/>
            <w:noWrap/>
            <w:vAlign w:val="bottom"/>
            <w:hideMark/>
          </w:tcPr>
          <w:p w14:paraId="08D605DC" w14:textId="77777777" w:rsidR="000470FD" w:rsidRPr="00183DEC" w:rsidRDefault="000470FD" w:rsidP="000470FD">
            <w:pPr>
              <w:ind w:firstLine="0"/>
            </w:pPr>
            <w:r w:rsidRPr="00183DEC">
              <w:t> </w:t>
            </w:r>
          </w:p>
        </w:tc>
      </w:tr>
    </w:tbl>
    <w:p w14:paraId="7087F2F0" w14:textId="77777777" w:rsidR="00727235" w:rsidRPr="00727235" w:rsidRDefault="00727235" w:rsidP="00727235">
      <w:pPr>
        <w:rPr>
          <w:lang w:eastAsia="ru-RU"/>
        </w:rPr>
      </w:pPr>
    </w:p>
    <w:p w14:paraId="2A7FD03C" w14:textId="77777777" w:rsidR="00727235" w:rsidRPr="00727235" w:rsidRDefault="00727235" w:rsidP="00727235">
      <w:pPr>
        <w:rPr>
          <w:lang w:eastAsia="ru-RU"/>
        </w:rPr>
      </w:pPr>
    </w:p>
    <w:p w14:paraId="046448C5" w14:textId="77777777" w:rsidR="00727235" w:rsidRPr="00727235" w:rsidRDefault="00727235" w:rsidP="00727235">
      <w:pPr>
        <w:rPr>
          <w:lang w:eastAsia="ru-RU"/>
        </w:rPr>
        <w:sectPr w:rsidR="00727235" w:rsidRPr="00727235" w:rsidSect="00727235">
          <w:headerReference w:type="default" r:id="rId297"/>
          <w:footerReference w:type="first" r:id="rId298"/>
          <w:pgSz w:w="16838" w:h="11906" w:orient="landscape"/>
          <w:pgMar w:top="1701" w:right="1134" w:bottom="850" w:left="1134" w:header="708" w:footer="708" w:gutter="0"/>
          <w:cols w:space="708"/>
          <w:docGrid w:linePitch="360"/>
        </w:sectPr>
      </w:pPr>
    </w:p>
    <w:p w14:paraId="7177D7E6" w14:textId="77777777" w:rsidR="00727235" w:rsidRPr="004F3111" w:rsidRDefault="00727235" w:rsidP="00727235">
      <w:pPr>
        <w:rPr>
          <w:b/>
        </w:rPr>
      </w:pPr>
      <w:r w:rsidRPr="004F3111">
        <w:rPr>
          <w:b/>
        </w:rPr>
        <w:t>Группа 3 «Объекты, предназначенные для хранения транспорта»</w:t>
      </w:r>
    </w:p>
    <w:p w14:paraId="1DA2863F" w14:textId="77777777" w:rsidR="00727235" w:rsidRPr="00727235" w:rsidRDefault="00727235" w:rsidP="00727235">
      <w:r w:rsidRPr="00727235">
        <w:t xml:space="preserve">В рамках проведения работ в </w:t>
      </w:r>
      <w:r w:rsidRPr="00727235">
        <w:rPr>
          <w:lang w:eastAsia="ru-RU"/>
        </w:rPr>
        <w:t>составе подгрупп 0302, 0303 Группы 3 «Объекты, предназначенные для хранения транспорта»</w:t>
      </w:r>
      <w:r w:rsidRPr="00727235">
        <w:t xml:space="preserve"> для целей моделирования выделена 1 подгруппа объектов оценки, в т.ч.: </w:t>
      </w:r>
    </w:p>
    <w:p w14:paraId="7F04E3BE" w14:textId="27D051A7" w:rsidR="00727235" w:rsidRPr="00FA5B5E" w:rsidRDefault="00727235" w:rsidP="00727235">
      <w:r w:rsidRPr="00FA5B5E">
        <w:t>подгруппа 3.</w:t>
      </w:r>
      <w:r w:rsidR="004F3111">
        <w:t>6</w:t>
      </w:r>
      <w:r w:rsidRPr="00FA5B5E">
        <w:t xml:space="preserve"> «</w:t>
      </w:r>
      <w:r w:rsidR="00DB758B">
        <w:rPr>
          <w:lang w:eastAsia="ru-RU"/>
        </w:rPr>
        <w:t>Индивидуальные гаражи</w:t>
      </w:r>
      <w:r w:rsidRPr="00FA5B5E">
        <w:rPr>
          <w:lang w:eastAsia="ru-RU"/>
        </w:rPr>
        <w:t xml:space="preserve"> г.Якутск</w:t>
      </w:r>
      <w:r w:rsidR="004F3111">
        <w:rPr>
          <w:lang w:eastAsia="ru-RU"/>
        </w:rPr>
        <w:t xml:space="preserve"> с полными характеристиками</w:t>
      </w:r>
      <w:r w:rsidRPr="00FA5B5E">
        <w:t>»,</w:t>
      </w:r>
    </w:p>
    <w:p w14:paraId="79A1ED73" w14:textId="77777777" w:rsidR="00727235" w:rsidRPr="00727235" w:rsidRDefault="00727235" w:rsidP="00727235">
      <w:pPr>
        <w:rPr>
          <w:highlight w:val="yellow"/>
        </w:rPr>
      </w:pPr>
      <w:r w:rsidRPr="00727235">
        <w:t>Кадастровая стоимость объектов недвижимости в составе данных подгрупп определялась в соответствии с пп. 7.2.1 Методических указаний.</w:t>
      </w:r>
    </w:p>
    <w:p w14:paraId="541F57AD" w14:textId="77777777" w:rsidR="00727235" w:rsidRPr="00727235" w:rsidRDefault="00727235" w:rsidP="00727235">
      <w:r w:rsidRPr="00727235">
        <w:t>Для целей построения статистической моделей произведен выбор ценообразующих факторов, исходя из критериев, описанных в данном пункте Отчета выше. Обоснование использования ценообразующих факторов в статистической модели оценки объектов недвижимости приведено в нижеуказанной таблице.</w:t>
      </w:r>
    </w:p>
    <w:p w14:paraId="51736E46" w14:textId="77777777" w:rsidR="00727235" w:rsidRPr="00727235" w:rsidRDefault="00727235" w:rsidP="00727235"/>
    <w:p w14:paraId="545A58E2" w14:textId="1C7B727D" w:rsidR="00727235" w:rsidRPr="00727235" w:rsidRDefault="00727235" w:rsidP="00727235">
      <w:pPr>
        <w:rPr>
          <w:lang w:eastAsia="ru-RU"/>
        </w:rPr>
      </w:pPr>
      <w:r w:rsidRPr="00727235">
        <w:rPr>
          <w:lang w:eastAsia="ru-RU"/>
        </w:rPr>
        <w:t xml:space="preserve">Таблица </w:t>
      </w:r>
      <w:r w:rsidRPr="00727235">
        <w:rPr>
          <w:lang w:eastAsia="ru-RU"/>
        </w:rPr>
        <w:fldChar w:fldCharType="begin"/>
      </w:r>
      <w:r w:rsidRPr="00727235">
        <w:rPr>
          <w:lang w:eastAsia="ru-RU"/>
        </w:rPr>
        <w:instrText xml:space="preserve"> SEQ Таблица \* ARABIC </w:instrText>
      </w:r>
      <w:r w:rsidRPr="00727235">
        <w:rPr>
          <w:lang w:eastAsia="ru-RU"/>
        </w:rPr>
        <w:fldChar w:fldCharType="separate"/>
      </w:r>
      <w:r w:rsidR="00FD2769">
        <w:rPr>
          <w:noProof/>
          <w:lang w:eastAsia="ru-RU"/>
        </w:rPr>
        <w:t>66</w:t>
      </w:r>
      <w:r w:rsidRPr="00727235">
        <w:rPr>
          <w:lang w:eastAsia="ru-RU"/>
        </w:rPr>
        <w:fldChar w:fldCharType="end"/>
      </w:r>
      <w:r w:rsidRPr="00727235">
        <w:rPr>
          <w:lang w:eastAsia="ru-RU"/>
        </w:rPr>
        <w:t xml:space="preserve"> Факторы стоимости, выбранные для построения моделей группы "3. Объекты, предназначенные для хранения транспорта", </w:t>
      </w:r>
      <w:r w:rsidR="00183DEC">
        <w:rPr>
          <w:lang w:eastAsia="ru-RU"/>
        </w:rPr>
        <w:t>подгруппа «Якутск с п/х 3.6.»</w:t>
      </w:r>
      <w:r w:rsidRPr="00727235">
        <w:rPr>
          <w:lang w:eastAsia="ru-RU"/>
        </w:rPr>
        <w:t>. Тип расчета: по удельной стоимости. (подгруппа 3.</w:t>
      </w:r>
      <w:r w:rsidR="004F3111">
        <w:rPr>
          <w:lang w:eastAsia="ru-RU"/>
        </w:rPr>
        <w:t>6</w:t>
      </w:r>
      <w:r w:rsidRPr="00727235">
        <w:rPr>
          <w:lang w:eastAsia="ru-RU"/>
        </w:rPr>
        <w:t>.)</w:t>
      </w:r>
    </w:p>
    <w:tbl>
      <w:tblPr>
        <w:tblW w:w="14601" w:type="dxa"/>
        <w:tblInd w:w="-5" w:type="dxa"/>
        <w:tblLook w:val="04A0" w:firstRow="1" w:lastRow="0" w:firstColumn="1" w:lastColumn="0" w:noHBand="0" w:noVBand="1"/>
      </w:tblPr>
      <w:tblGrid>
        <w:gridCol w:w="709"/>
        <w:gridCol w:w="2268"/>
        <w:gridCol w:w="1985"/>
        <w:gridCol w:w="2268"/>
        <w:gridCol w:w="2126"/>
        <w:gridCol w:w="5245"/>
      </w:tblGrid>
      <w:tr w:rsidR="00727235" w:rsidRPr="00727235" w14:paraId="36C13C3E" w14:textId="77777777" w:rsidTr="0019603A">
        <w:trPr>
          <w:trHeight w:val="1560"/>
          <w:tblHeader/>
        </w:trPr>
        <w:tc>
          <w:tcPr>
            <w:tcW w:w="709"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2910ADB2" w14:textId="77777777" w:rsidR="00727235" w:rsidRPr="00080D08" w:rsidRDefault="00727235" w:rsidP="0019603A">
            <w:pPr>
              <w:ind w:firstLine="0"/>
              <w:rPr>
                <w:lang w:eastAsia="ru-RU"/>
              </w:rPr>
            </w:pPr>
            <w:r w:rsidRPr="00080D08">
              <w:rPr>
                <w:lang w:eastAsia="ru-RU"/>
              </w:rPr>
              <w:t>№ п/п</w:t>
            </w:r>
          </w:p>
        </w:tc>
        <w:tc>
          <w:tcPr>
            <w:tcW w:w="2268" w:type="dxa"/>
            <w:tcBorders>
              <w:top w:val="single" w:sz="4" w:space="0" w:color="000000"/>
              <w:left w:val="nil"/>
              <w:bottom w:val="single" w:sz="4" w:space="0" w:color="000000"/>
              <w:right w:val="single" w:sz="4" w:space="0" w:color="000000"/>
            </w:tcBorders>
            <w:shd w:val="clear" w:color="auto" w:fill="auto"/>
            <w:vAlign w:val="center"/>
            <w:hideMark/>
          </w:tcPr>
          <w:p w14:paraId="7FE44619" w14:textId="77777777" w:rsidR="00727235" w:rsidRPr="00080D08" w:rsidRDefault="00727235" w:rsidP="0019603A">
            <w:pPr>
              <w:ind w:firstLine="0"/>
              <w:rPr>
                <w:lang w:eastAsia="ru-RU"/>
              </w:rPr>
            </w:pPr>
            <w:r w:rsidRPr="00080D08">
              <w:rPr>
                <w:lang w:eastAsia="ru-RU"/>
              </w:rPr>
              <w:t>Наименование фактора стоимости</w:t>
            </w:r>
          </w:p>
        </w:tc>
        <w:tc>
          <w:tcPr>
            <w:tcW w:w="1985" w:type="dxa"/>
            <w:tcBorders>
              <w:top w:val="single" w:sz="4" w:space="0" w:color="000000"/>
              <w:left w:val="nil"/>
              <w:bottom w:val="single" w:sz="4" w:space="0" w:color="000000"/>
              <w:right w:val="single" w:sz="4" w:space="0" w:color="000000"/>
            </w:tcBorders>
            <w:shd w:val="clear" w:color="auto" w:fill="auto"/>
            <w:vAlign w:val="center"/>
            <w:hideMark/>
          </w:tcPr>
          <w:p w14:paraId="73623560" w14:textId="77777777" w:rsidR="00727235" w:rsidRPr="00080D08" w:rsidRDefault="00727235" w:rsidP="0019603A">
            <w:pPr>
              <w:ind w:firstLine="0"/>
              <w:rPr>
                <w:lang w:eastAsia="ru-RU"/>
              </w:rPr>
            </w:pPr>
            <w:r w:rsidRPr="00080D08">
              <w:rPr>
                <w:lang w:eastAsia="ru-RU"/>
              </w:rPr>
              <w:t>Коэффициент корреляции, r</w:t>
            </w:r>
          </w:p>
        </w:tc>
        <w:tc>
          <w:tcPr>
            <w:tcW w:w="2268" w:type="dxa"/>
            <w:tcBorders>
              <w:top w:val="single" w:sz="4" w:space="0" w:color="000000"/>
              <w:left w:val="nil"/>
              <w:bottom w:val="single" w:sz="4" w:space="0" w:color="000000"/>
              <w:right w:val="single" w:sz="4" w:space="0" w:color="000000"/>
            </w:tcBorders>
            <w:shd w:val="clear" w:color="auto" w:fill="auto"/>
            <w:vAlign w:val="center"/>
            <w:hideMark/>
          </w:tcPr>
          <w:p w14:paraId="19A68D4D" w14:textId="77777777" w:rsidR="00727235" w:rsidRPr="00080D08" w:rsidRDefault="00727235" w:rsidP="0019603A">
            <w:pPr>
              <w:ind w:firstLine="0"/>
              <w:rPr>
                <w:lang w:eastAsia="ru-RU"/>
              </w:rPr>
            </w:pPr>
            <w:r w:rsidRPr="00080D08">
              <w:rPr>
                <w:lang w:eastAsia="ru-RU"/>
              </w:rPr>
              <w:t>Коэффициент значимости, R</w:t>
            </w:r>
          </w:p>
        </w:tc>
        <w:tc>
          <w:tcPr>
            <w:tcW w:w="2126" w:type="dxa"/>
            <w:tcBorders>
              <w:top w:val="single" w:sz="4" w:space="0" w:color="000000"/>
              <w:left w:val="nil"/>
              <w:bottom w:val="single" w:sz="4" w:space="0" w:color="000000"/>
              <w:right w:val="single" w:sz="4" w:space="0" w:color="000000"/>
            </w:tcBorders>
            <w:shd w:val="clear" w:color="auto" w:fill="auto"/>
            <w:vAlign w:val="center"/>
            <w:hideMark/>
          </w:tcPr>
          <w:p w14:paraId="25878C54" w14:textId="77777777" w:rsidR="00727235" w:rsidRPr="00080D08" w:rsidRDefault="00727235" w:rsidP="0019603A">
            <w:pPr>
              <w:ind w:firstLine="0"/>
              <w:rPr>
                <w:lang w:eastAsia="ru-RU"/>
              </w:rPr>
            </w:pPr>
            <w:r w:rsidRPr="00080D08">
              <w:rPr>
                <w:lang w:eastAsia="ru-RU"/>
              </w:rPr>
              <w:t>Использование фактора для построения модели (да/нет)</w:t>
            </w:r>
          </w:p>
        </w:tc>
        <w:tc>
          <w:tcPr>
            <w:tcW w:w="5245" w:type="dxa"/>
            <w:tcBorders>
              <w:top w:val="single" w:sz="4" w:space="0" w:color="000000"/>
              <w:left w:val="nil"/>
              <w:bottom w:val="nil"/>
              <w:right w:val="single" w:sz="4" w:space="0" w:color="000000"/>
            </w:tcBorders>
            <w:shd w:val="clear" w:color="auto" w:fill="auto"/>
            <w:vAlign w:val="center"/>
            <w:hideMark/>
          </w:tcPr>
          <w:p w14:paraId="5C1F45AF" w14:textId="77777777" w:rsidR="00727235" w:rsidRPr="00080D08" w:rsidRDefault="00727235" w:rsidP="0019603A">
            <w:pPr>
              <w:ind w:firstLine="0"/>
              <w:rPr>
                <w:lang w:eastAsia="ru-RU"/>
              </w:rPr>
            </w:pPr>
            <w:r w:rsidRPr="00080D08">
              <w:rPr>
                <w:lang w:eastAsia="ru-RU"/>
              </w:rPr>
              <w:t>Пояснения по применению ценообразующего фактора для построения модели</w:t>
            </w:r>
          </w:p>
        </w:tc>
      </w:tr>
      <w:tr w:rsidR="00727235" w:rsidRPr="00727235" w14:paraId="5E7DADB9" w14:textId="77777777" w:rsidTr="00080D08">
        <w:trPr>
          <w:trHeight w:val="360"/>
        </w:trPr>
        <w:tc>
          <w:tcPr>
            <w:tcW w:w="709" w:type="dxa"/>
            <w:tcBorders>
              <w:top w:val="nil"/>
              <w:left w:val="single" w:sz="4" w:space="0" w:color="000000"/>
              <w:bottom w:val="single" w:sz="4" w:space="0" w:color="auto"/>
              <w:right w:val="single" w:sz="4" w:space="0" w:color="000000"/>
            </w:tcBorders>
            <w:shd w:val="clear" w:color="auto" w:fill="auto"/>
            <w:vAlign w:val="center"/>
            <w:hideMark/>
          </w:tcPr>
          <w:p w14:paraId="2E30DF0E" w14:textId="77777777" w:rsidR="00727235" w:rsidRPr="00080D08" w:rsidRDefault="00727235" w:rsidP="0019603A">
            <w:pPr>
              <w:ind w:firstLine="0"/>
              <w:rPr>
                <w:lang w:eastAsia="ru-RU"/>
              </w:rPr>
            </w:pPr>
            <w:r w:rsidRPr="00080D08">
              <w:rPr>
                <w:lang w:eastAsia="ru-RU"/>
              </w:rPr>
              <w:t>1</w:t>
            </w:r>
          </w:p>
        </w:tc>
        <w:tc>
          <w:tcPr>
            <w:tcW w:w="2268" w:type="dxa"/>
            <w:tcBorders>
              <w:top w:val="nil"/>
              <w:left w:val="nil"/>
              <w:bottom w:val="single" w:sz="4" w:space="0" w:color="auto"/>
              <w:right w:val="single" w:sz="4" w:space="0" w:color="000000"/>
            </w:tcBorders>
            <w:shd w:val="clear" w:color="auto" w:fill="auto"/>
            <w:vAlign w:val="center"/>
            <w:hideMark/>
          </w:tcPr>
          <w:p w14:paraId="23E9EF55" w14:textId="77777777" w:rsidR="00727235" w:rsidRPr="00080D08" w:rsidRDefault="00727235" w:rsidP="0019603A">
            <w:pPr>
              <w:ind w:firstLine="0"/>
              <w:rPr>
                <w:lang w:eastAsia="ru-RU"/>
              </w:rPr>
            </w:pPr>
            <w:r w:rsidRPr="00080D08">
              <w:rPr>
                <w:lang w:eastAsia="ru-RU"/>
              </w:rPr>
              <w:t>2</w:t>
            </w:r>
          </w:p>
        </w:tc>
        <w:tc>
          <w:tcPr>
            <w:tcW w:w="1985" w:type="dxa"/>
            <w:tcBorders>
              <w:top w:val="nil"/>
              <w:left w:val="nil"/>
              <w:bottom w:val="single" w:sz="4" w:space="0" w:color="auto"/>
              <w:right w:val="single" w:sz="4" w:space="0" w:color="000000"/>
            </w:tcBorders>
            <w:shd w:val="clear" w:color="auto" w:fill="auto"/>
            <w:vAlign w:val="center"/>
            <w:hideMark/>
          </w:tcPr>
          <w:p w14:paraId="608F6226" w14:textId="77777777" w:rsidR="00727235" w:rsidRPr="00080D08" w:rsidRDefault="00727235" w:rsidP="0019603A">
            <w:pPr>
              <w:ind w:firstLine="0"/>
              <w:rPr>
                <w:lang w:eastAsia="ru-RU"/>
              </w:rPr>
            </w:pPr>
            <w:r w:rsidRPr="00080D08">
              <w:rPr>
                <w:lang w:eastAsia="ru-RU"/>
              </w:rPr>
              <w:t>3</w:t>
            </w:r>
          </w:p>
        </w:tc>
        <w:tc>
          <w:tcPr>
            <w:tcW w:w="2268" w:type="dxa"/>
            <w:tcBorders>
              <w:top w:val="nil"/>
              <w:left w:val="nil"/>
              <w:bottom w:val="single" w:sz="4" w:space="0" w:color="auto"/>
              <w:right w:val="single" w:sz="4" w:space="0" w:color="000000"/>
            </w:tcBorders>
            <w:shd w:val="clear" w:color="auto" w:fill="auto"/>
            <w:vAlign w:val="center"/>
            <w:hideMark/>
          </w:tcPr>
          <w:p w14:paraId="77B53693" w14:textId="77777777" w:rsidR="00727235" w:rsidRPr="00080D08" w:rsidRDefault="00727235" w:rsidP="0019603A">
            <w:pPr>
              <w:ind w:firstLine="0"/>
              <w:rPr>
                <w:lang w:eastAsia="ru-RU"/>
              </w:rPr>
            </w:pPr>
            <w:r w:rsidRPr="00080D08">
              <w:rPr>
                <w:lang w:eastAsia="ru-RU"/>
              </w:rPr>
              <w:t>4</w:t>
            </w:r>
          </w:p>
        </w:tc>
        <w:tc>
          <w:tcPr>
            <w:tcW w:w="2126" w:type="dxa"/>
            <w:tcBorders>
              <w:top w:val="nil"/>
              <w:left w:val="nil"/>
              <w:bottom w:val="single" w:sz="4" w:space="0" w:color="auto"/>
              <w:right w:val="nil"/>
            </w:tcBorders>
            <w:shd w:val="clear" w:color="auto" w:fill="auto"/>
            <w:vAlign w:val="center"/>
            <w:hideMark/>
          </w:tcPr>
          <w:p w14:paraId="7DFB9F62" w14:textId="77777777" w:rsidR="00727235" w:rsidRPr="00080D08" w:rsidRDefault="00727235" w:rsidP="0019603A">
            <w:pPr>
              <w:ind w:firstLine="0"/>
              <w:rPr>
                <w:lang w:eastAsia="ru-RU"/>
              </w:rPr>
            </w:pPr>
            <w:r w:rsidRPr="00080D08">
              <w:rPr>
                <w:lang w:eastAsia="ru-RU"/>
              </w:rPr>
              <w:t>5</w:t>
            </w:r>
          </w:p>
        </w:tc>
        <w:tc>
          <w:tcPr>
            <w:tcW w:w="52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91E67B7" w14:textId="77777777" w:rsidR="00727235" w:rsidRPr="00080D08" w:rsidRDefault="00727235" w:rsidP="0019603A">
            <w:pPr>
              <w:ind w:firstLine="0"/>
              <w:rPr>
                <w:lang w:eastAsia="ru-RU"/>
              </w:rPr>
            </w:pPr>
            <w:r w:rsidRPr="00080D08">
              <w:rPr>
                <w:lang w:eastAsia="ru-RU"/>
              </w:rPr>
              <w:t>6</w:t>
            </w:r>
          </w:p>
        </w:tc>
      </w:tr>
      <w:tr w:rsidR="00080D08" w:rsidRPr="00727235" w14:paraId="1C079AD3" w14:textId="77777777" w:rsidTr="00080D08">
        <w:trPr>
          <w:trHeight w:val="780"/>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67E6EAC" w14:textId="7C85E5BA" w:rsidR="00080D08" w:rsidRPr="00080D08" w:rsidRDefault="00080D08" w:rsidP="00080D08">
            <w:pPr>
              <w:ind w:firstLine="0"/>
            </w:pPr>
            <w:r>
              <w:rPr>
                <w:color w:val="000000"/>
              </w:rPr>
              <w:t>1</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B687582" w14:textId="0512C4E3" w:rsidR="00080D08" w:rsidRPr="00080D08" w:rsidRDefault="00080D08" w:rsidP="00080D08">
            <w:pPr>
              <w:ind w:firstLine="0"/>
            </w:pPr>
            <w:r>
              <w:rPr>
                <w:color w:val="000000"/>
              </w:rPr>
              <w:t>Газоснабжение</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170B878" w14:textId="7BFCF725" w:rsidR="00080D08" w:rsidRPr="00080D08" w:rsidRDefault="00080D08" w:rsidP="00080D08">
            <w:pPr>
              <w:ind w:firstLine="0"/>
            </w:pPr>
            <w:r>
              <w:rPr>
                <w:color w:val="000000"/>
              </w:rPr>
              <w:t>0,2</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C61AEEF" w14:textId="130A8152" w:rsidR="00080D08" w:rsidRPr="00080D08" w:rsidRDefault="00080D08" w:rsidP="00080D08">
            <w:pPr>
              <w:ind w:firstLine="0"/>
            </w:pPr>
            <w:r>
              <w:rPr>
                <w:color w:val="000000"/>
              </w:rPr>
              <w:t>0,22</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A80CA68" w14:textId="1C045693" w:rsidR="00080D08" w:rsidRPr="00080D08" w:rsidRDefault="00080D08" w:rsidP="00080D08">
            <w:pPr>
              <w:ind w:firstLine="0"/>
            </w:pPr>
            <w:r>
              <w:rPr>
                <w:color w:val="000000"/>
              </w:rPr>
              <w:t>нет</w:t>
            </w:r>
          </w:p>
        </w:tc>
        <w:tc>
          <w:tcPr>
            <w:tcW w:w="52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E1F1D6" w14:textId="7FFC4B7A" w:rsidR="00080D08" w:rsidRPr="00080D08" w:rsidRDefault="00080D08" w:rsidP="00080D08">
            <w:pPr>
              <w:ind w:firstLine="0"/>
            </w:pPr>
            <w:r>
              <w:rPr>
                <w:color w:val="000000"/>
              </w:rPr>
              <w:t>Данный ценообразующий фактор сильно коррелирует с прочими ценообразующими факторами, определяющими локальное местоположение объекта</w:t>
            </w:r>
          </w:p>
        </w:tc>
      </w:tr>
      <w:tr w:rsidR="00080D08" w:rsidRPr="00727235" w14:paraId="050D4103" w14:textId="77777777" w:rsidTr="00080D08">
        <w:trPr>
          <w:trHeight w:val="525"/>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ACB62B2" w14:textId="50C3647E" w:rsidR="00080D08" w:rsidRPr="00080D08" w:rsidRDefault="00080D08" w:rsidP="00080D08">
            <w:pPr>
              <w:ind w:firstLine="0"/>
            </w:pPr>
            <w:r>
              <w:rPr>
                <w:color w:val="000000"/>
              </w:rPr>
              <w:t>2</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79642E6" w14:textId="74204F62" w:rsidR="00080D08" w:rsidRPr="00080D08" w:rsidRDefault="00080D08" w:rsidP="00080D08">
            <w:pPr>
              <w:ind w:firstLine="0"/>
            </w:pPr>
            <w:r>
              <w:rPr>
                <w:color w:val="000000"/>
              </w:rPr>
              <w:t>Группа капитальности_ЗП</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A912B52" w14:textId="05D1AE06" w:rsidR="00080D08" w:rsidRPr="00080D08" w:rsidRDefault="00080D08" w:rsidP="00080D08">
            <w:pPr>
              <w:ind w:firstLine="0"/>
            </w:pPr>
            <w:r>
              <w:rPr>
                <w:color w:val="000000"/>
              </w:rPr>
              <w:t>0,19</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E37EAB7" w14:textId="229CABF5" w:rsidR="00080D08" w:rsidRPr="00080D08" w:rsidRDefault="00080D08" w:rsidP="00080D08">
            <w:pPr>
              <w:ind w:firstLine="0"/>
            </w:pPr>
            <w:r>
              <w:rPr>
                <w:color w:val="000000"/>
              </w:rPr>
              <w:t>0,21</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234471F" w14:textId="42A1F0B8" w:rsidR="00080D08" w:rsidRPr="00080D08" w:rsidRDefault="00080D08" w:rsidP="00080D08">
            <w:pPr>
              <w:ind w:firstLine="0"/>
            </w:pPr>
            <w:r>
              <w:rPr>
                <w:color w:val="000000"/>
              </w:rPr>
              <w:t>нет</w:t>
            </w:r>
          </w:p>
        </w:tc>
        <w:tc>
          <w:tcPr>
            <w:tcW w:w="52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A994588" w14:textId="69C06566" w:rsidR="00080D08" w:rsidRPr="00080D08" w:rsidRDefault="00080D08" w:rsidP="00080D08">
            <w:pPr>
              <w:ind w:firstLine="0"/>
            </w:pPr>
            <w:r>
              <w:rPr>
                <w:color w:val="000000"/>
              </w:rPr>
              <w:t>Направленность корреляционной зависимости между ценообразующим фактором и удельной ценой объектов-аналогов не соответствует экономической гипотезе о наблюдаемом на рынке характере влияния данного фактора на зависимую переменную</w:t>
            </w:r>
          </w:p>
        </w:tc>
      </w:tr>
      <w:tr w:rsidR="00080D08" w:rsidRPr="00727235" w14:paraId="19DF8D1C" w14:textId="77777777" w:rsidTr="00080D08">
        <w:trPr>
          <w:trHeight w:val="525"/>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883B1F5" w14:textId="10053F01" w:rsidR="00080D08" w:rsidRPr="00080D08" w:rsidRDefault="00080D08" w:rsidP="00080D08">
            <w:pPr>
              <w:ind w:firstLine="0"/>
            </w:pPr>
            <w:r>
              <w:rPr>
                <w:color w:val="000000"/>
              </w:rPr>
              <w:t>3</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F4EE1BE" w14:textId="4B7B981B" w:rsidR="00080D08" w:rsidRPr="00080D08" w:rsidRDefault="00080D08" w:rsidP="00080D08">
            <w:pPr>
              <w:ind w:firstLine="0"/>
            </w:pPr>
            <w:r>
              <w:rPr>
                <w:color w:val="000000"/>
              </w:rPr>
              <w:t>Канализация</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036F26B" w14:textId="5D164026" w:rsidR="00080D08" w:rsidRPr="00080D08" w:rsidRDefault="00080D08" w:rsidP="00080D08">
            <w:pPr>
              <w:ind w:firstLine="0"/>
            </w:pPr>
            <w:r>
              <w:rPr>
                <w:color w:val="000000"/>
              </w:rPr>
              <w:t>0,22</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6FEB5C8" w14:textId="76DFF7BB" w:rsidR="00080D08" w:rsidRPr="00080D08" w:rsidRDefault="00080D08" w:rsidP="00080D08">
            <w:pPr>
              <w:ind w:firstLine="0"/>
            </w:pPr>
            <w:r>
              <w:rPr>
                <w:color w:val="000000"/>
              </w:rPr>
              <w:t>0,24</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4909B5D" w14:textId="0411DB81" w:rsidR="00080D08" w:rsidRPr="00080D08" w:rsidRDefault="00080D08" w:rsidP="00080D08">
            <w:pPr>
              <w:ind w:firstLine="0"/>
            </w:pPr>
            <w:r>
              <w:rPr>
                <w:color w:val="000000"/>
              </w:rPr>
              <w:t>нет</w:t>
            </w:r>
          </w:p>
        </w:tc>
        <w:tc>
          <w:tcPr>
            <w:tcW w:w="52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AA5133B" w14:textId="7EFF3AFC" w:rsidR="00080D08" w:rsidRPr="00080D08" w:rsidRDefault="00080D08" w:rsidP="00080D08">
            <w:pPr>
              <w:ind w:firstLine="0"/>
            </w:pPr>
            <w:r>
              <w:rPr>
                <w:color w:val="000000"/>
              </w:rPr>
              <w:t>Данный ценообразующий фактор сильно коррелирует с прочими ценообразующими факторами, определяющими локальное местоположение объекта</w:t>
            </w:r>
          </w:p>
        </w:tc>
      </w:tr>
      <w:tr w:rsidR="00080D08" w:rsidRPr="00727235" w14:paraId="22259F9C" w14:textId="77777777" w:rsidTr="00080D08">
        <w:trPr>
          <w:trHeight w:val="525"/>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0353A5F" w14:textId="719D4315" w:rsidR="00080D08" w:rsidRPr="00080D08" w:rsidRDefault="00080D08" w:rsidP="00080D08">
            <w:pPr>
              <w:ind w:firstLine="0"/>
            </w:pPr>
            <w:r>
              <w:rPr>
                <w:color w:val="000000"/>
              </w:rPr>
              <w:t>4</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50D2821" w14:textId="1D3D19F5" w:rsidR="00080D08" w:rsidRPr="00080D08" w:rsidRDefault="00080D08" w:rsidP="00080D08">
            <w:pPr>
              <w:ind w:firstLine="0"/>
            </w:pPr>
            <w:r>
              <w:rPr>
                <w:color w:val="000000"/>
              </w:rPr>
              <w:t>Класс конструктивных элементов_ЗП</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4C936C1" w14:textId="0E1ECB1A" w:rsidR="00080D08" w:rsidRPr="00080D08" w:rsidRDefault="00080D08" w:rsidP="00080D08">
            <w:pPr>
              <w:ind w:firstLine="0"/>
            </w:pPr>
            <w:r>
              <w:rPr>
                <w:color w:val="000000"/>
              </w:rPr>
              <w:t>0,19</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6466FDE" w14:textId="2F521935" w:rsidR="00080D08" w:rsidRPr="00080D08" w:rsidRDefault="00080D08" w:rsidP="00080D08">
            <w:pPr>
              <w:ind w:firstLine="0"/>
            </w:pPr>
            <w:r>
              <w:rPr>
                <w:color w:val="000000"/>
              </w:rPr>
              <w:t>0,21</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73E64C0" w14:textId="70F2FE2D" w:rsidR="00080D08" w:rsidRPr="00080D08" w:rsidRDefault="00080D08" w:rsidP="00080D08">
            <w:pPr>
              <w:ind w:firstLine="0"/>
            </w:pPr>
            <w:r>
              <w:rPr>
                <w:color w:val="000000"/>
              </w:rPr>
              <w:t>нет</w:t>
            </w:r>
          </w:p>
        </w:tc>
        <w:tc>
          <w:tcPr>
            <w:tcW w:w="52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FABF012" w14:textId="72844CFD" w:rsidR="00080D08" w:rsidRPr="00080D08" w:rsidRDefault="00080D08" w:rsidP="00080D08">
            <w:pPr>
              <w:ind w:firstLine="0"/>
            </w:pPr>
            <w:r>
              <w:rPr>
                <w:color w:val="000000"/>
              </w:rPr>
              <w:t>Направленность корреляционной зависимости между ценообразующим фактором и удельной ценой объектов-аналогов не соответствует экономической гипотезе о наблюдаемом на рынке характере влияния данного фактора на зависимую переменную</w:t>
            </w:r>
          </w:p>
        </w:tc>
      </w:tr>
      <w:tr w:rsidR="00080D08" w:rsidRPr="00727235" w14:paraId="6E272DE4" w14:textId="77777777" w:rsidTr="00080D08">
        <w:trPr>
          <w:trHeight w:val="525"/>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868D893" w14:textId="53DAC8A1" w:rsidR="00080D08" w:rsidRPr="00080D08" w:rsidRDefault="00080D08" w:rsidP="00080D08">
            <w:pPr>
              <w:ind w:firstLine="0"/>
            </w:pPr>
            <w:r>
              <w:rPr>
                <w:color w:val="000000"/>
              </w:rPr>
              <w:t>5</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9493C06" w14:textId="0CB3B86B" w:rsidR="00080D08" w:rsidRPr="00080D08" w:rsidRDefault="00080D08" w:rsidP="00080D08">
            <w:pPr>
              <w:ind w:firstLine="0"/>
            </w:pPr>
            <w:r>
              <w:rPr>
                <w:color w:val="000000"/>
              </w:rPr>
              <w:t>Расстояние до ближайшей из основных дорог города</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99063A2" w14:textId="2A1238BC" w:rsidR="00080D08" w:rsidRPr="00080D08" w:rsidRDefault="00080D08" w:rsidP="00080D08">
            <w:pPr>
              <w:ind w:firstLine="0"/>
            </w:pPr>
            <w:r>
              <w:rPr>
                <w:color w:val="000000"/>
              </w:rPr>
              <w:t>0,41</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34B1333" w14:textId="5369578D" w:rsidR="00080D08" w:rsidRPr="00080D08" w:rsidRDefault="00080D08" w:rsidP="00080D08">
            <w:pPr>
              <w:ind w:firstLine="0"/>
            </w:pPr>
            <w:r>
              <w:rPr>
                <w:color w:val="000000"/>
              </w:rPr>
              <w:t>0,45</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22C3ABB" w14:textId="2D579876" w:rsidR="00080D08" w:rsidRPr="00080D08" w:rsidRDefault="00080D08" w:rsidP="00080D08">
            <w:pPr>
              <w:ind w:firstLine="0"/>
            </w:pPr>
            <w:r>
              <w:rPr>
                <w:color w:val="000000"/>
              </w:rPr>
              <w:t>нет</w:t>
            </w:r>
          </w:p>
        </w:tc>
        <w:tc>
          <w:tcPr>
            <w:tcW w:w="52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5D60268" w14:textId="27517540" w:rsidR="00080D08" w:rsidRPr="00080D08" w:rsidRDefault="00080D08" w:rsidP="00080D08">
            <w:pPr>
              <w:ind w:firstLine="0"/>
            </w:pPr>
            <w:r>
              <w:rPr>
                <w:color w:val="000000"/>
              </w:rPr>
              <w:t>Направленность корреляционной зависимости между ценообразующим фактором и удельной ценой объектов-аналогов не соответствует экономической гипотезе о наблюдаемом на рынке характере влияния данного фактора на зависимую переменную</w:t>
            </w:r>
          </w:p>
        </w:tc>
      </w:tr>
      <w:tr w:rsidR="00080D08" w:rsidRPr="00727235" w14:paraId="484F938B" w14:textId="77777777" w:rsidTr="00080D08">
        <w:trPr>
          <w:trHeight w:val="525"/>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018630F" w14:textId="12DA9EF9" w:rsidR="00080D08" w:rsidRPr="00080D08" w:rsidRDefault="00080D08" w:rsidP="00080D08">
            <w:pPr>
              <w:ind w:firstLine="0"/>
            </w:pPr>
            <w:r>
              <w:rPr>
                <w:color w:val="000000"/>
              </w:rPr>
              <w:t>6</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29D318E" w14:textId="109D98E4" w:rsidR="00080D08" w:rsidRPr="00080D08" w:rsidRDefault="00080D08" w:rsidP="00080D08">
            <w:pPr>
              <w:ind w:firstLine="0"/>
            </w:pPr>
            <w:r>
              <w:rPr>
                <w:color w:val="000000"/>
              </w:rPr>
              <w:t>Расстояние до остановок общественного транспорта (в т.ч. автовокзалы, автостанции, автобусные остано</w:t>
            </w:r>
            <w:r w:rsidR="005376A2">
              <w:rPr>
                <w:color w:val="000000"/>
              </w:rPr>
              <w:t>вки)</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382FF36" w14:textId="66CE0BD4" w:rsidR="00080D08" w:rsidRPr="00080D08" w:rsidRDefault="00080D08" w:rsidP="00080D08">
            <w:pPr>
              <w:ind w:firstLine="0"/>
            </w:pPr>
            <w:r>
              <w:rPr>
                <w:color w:val="000000"/>
              </w:rPr>
              <w:t>0,14</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3858061" w14:textId="29C7522A" w:rsidR="00080D08" w:rsidRPr="00080D08" w:rsidRDefault="00080D08" w:rsidP="00080D08">
            <w:pPr>
              <w:ind w:firstLine="0"/>
            </w:pPr>
            <w:r>
              <w:rPr>
                <w:color w:val="000000"/>
              </w:rPr>
              <w:t>0,16</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39AC0D6" w14:textId="6A2513EB" w:rsidR="00080D08" w:rsidRPr="00080D08" w:rsidRDefault="00080D08" w:rsidP="00080D08">
            <w:pPr>
              <w:ind w:firstLine="0"/>
            </w:pPr>
            <w:r>
              <w:rPr>
                <w:color w:val="000000"/>
              </w:rPr>
              <w:t>нет</w:t>
            </w:r>
          </w:p>
        </w:tc>
        <w:tc>
          <w:tcPr>
            <w:tcW w:w="52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2E4A309" w14:textId="039845BF" w:rsidR="00080D08" w:rsidRPr="00080D08" w:rsidRDefault="00080D08" w:rsidP="00080D08">
            <w:pPr>
              <w:ind w:firstLine="0"/>
            </w:pPr>
            <w:r>
              <w:rPr>
                <w:color w:val="000000"/>
              </w:rPr>
              <w:t>Направленность корреляционной зависимости между ценообразующим фактором и удельной ценой объектов-аналогов не соответствует экономической гипотезе о наблюдаемом на рынке характере влияния данного фактора на зависимую переменную</w:t>
            </w:r>
          </w:p>
        </w:tc>
      </w:tr>
      <w:tr w:rsidR="00080D08" w:rsidRPr="00727235" w14:paraId="790F102D" w14:textId="77777777" w:rsidTr="00080D08">
        <w:trPr>
          <w:trHeight w:val="525"/>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FDC1E54" w14:textId="5479FFD8" w:rsidR="00080D08" w:rsidRPr="00080D08" w:rsidRDefault="00080D08" w:rsidP="00080D08">
            <w:pPr>
              <w:ind w:firstLine="0"/>
            </w:pPr>
            <w:r>
              <w:rPr>
                <w:color w:val="000000"/>
              </w:rPr>
              <w:t>7</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A844666" w14:textId="57581211" w:rsidR="00080D08" w:rsidRPr="00080D08" w:rsidRDefault="00080D08" w:rsidP="00080D08">
            <w:pPr>
              <w:ind w:firstLine="0"/>
            </w:pPr>
            <w:r>
              <w:rPr>
                <w:color w:val="000000"/>
              </w:rPr>
              <w:t>Расстояние объекта до общественно-делового центра населенного пункта</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F8D6E47" w14:textId="43951475" w:rsidR="00080D08" w:rsidRPr="00080D08" w:rsidRDefault="00080D08" w:rsidP="00080D08">
            <w:pPr>
              <w:ind w:firstLine="0"/>
            </w:pPr>
            <w:r>
              <w:rPr>
                <w:color w:val="000000"/>
              </w:rPr>
              <w:t>0,26</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FCC6E9C" w14:textId="02BFB84F" w:rsidR="00080D08" w:rsidRPr="00080D08" w:rsidRDefault="00080D08" w:rsidP="00080D08">
            <w:pPr>
              <w:ind w:firstLine="0"/>
            </w:pPr>
            <w:r>
              <w:rPr>
                <w:color w:val="000000"/>
              </w:rPr>
              <w:t>0,29</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0BC4830" w14:textId="13EA3DBD" w:rsidR="00080D08" w:rsidRPr="00080D08" w:rsidRDefault="00080D08" w:rsidP="00080D08">
            <w:pPr>
              <w:ind w:firstLine="0"/>
            </w:pPr>
            <w:r>
              <w:rPr>
                <w:color w:val="000000"/>
              </w:rPr>
              <w:t>да</w:t>
            </w:r>
          </w:p>
        </w:tc>
        <w:tc>
          <w:tcPr>
            <w:tcW w:w="52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22A3A66" w14:textId="27038A0A" w:rsidR="00080D08" w:rsidRPr="00080D08" w:rsidRDefault="00080D08" w:rsidP="00080D08">
            <w:pPr>
              <w:ind w:firstLine="0"/>
            </w:pPr>
            <w:r>
              <w:rPr>
                <w:color w:val="000000"/>
              </w:rPr>
              <w:t>Ценообразующий фактор соответствует критериям, описанным выше. Данный фактор оказывает существенное влияние на стоимость объектов недвижимости</w:t>
            </w:r>
          </w:p>
        </w:tc>
      </w:tr>
      <w:tr w:rsidR="00080D08" w:rsidRPr="00727235" w14:paraId="739F9304" w14:textId="77777777" w:rsidTr="00080D08">
        <w:trPr>
          <w:trHeight w:val="525"/>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EC863B" w14:textId="44D2E707" w:rsidR="00080D08" w:rsidRPr="00080D08" w:rsidRDefault="00080D08" w:rsidP="00080D08">
            <w:pPr>
              <w:ind w:firstLine="0"/>
            </w:pPr>
            <w:r>
              <w:rPr>
                <w:color w:val="000000"/>
              </w:rPr>
              <w:t>8</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9E6773F" w14:textId="145D8613" w:rsidR="00080D08" w:rsidRPr="00080D08" w:rsidRDefault="00080D08" w:rsidP="00080D08">
            <w:pPr>
              <w:ind w:firstLine="0"/>
            </w:pPr>
            <w:r>
              <w:rPr>
                <w:color w:val="000000"/>
              </w:rPr>
              <w:t>Расстояние от объекта до административного центра населенного пункта</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979A8B8" w14:textId="407B3D35" w:rsidR="00080D08" w:rsidRPr="00080D08" w:rsidRDefault="00080D08" w:rsidP="00080D08">
            <w:pPr>
              <w:ind w:firstLine="0"/>
            </w:pPr>
            <w:r>
              <w:rPr>
                <w:color w:val="000000"/>
              </w:rPr>
              <w:t>0,9</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B4A65FF" w14:textId="24CEADF3" w:rsidR="00080D08" w:rsidRPr="00080D08" w:rsidRDefault="00080D08" w:rsidP="00080D08">
            <w:pPr>
              <w:ind w:firstLine="0"/>
            </w:pPr>
            <w:r>
              <w:rPr>
                <w:color w:val="000000"/>
              </w:rPr>
              <w:t>1</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037C899" w14:textId="56734E98" w:rsidR="00080D08" w:rsidRPr="00080D08" w:rsidRDefault="00080D08" w:rsidP="00080D08">
            <w:pPr>
              <w:ind w:firstLine="0"/>
            </w:pPr>
            <w:r>
              <w:rPr>
                <w:color w:val="000000"/>
              </w:rPr>
              <w:t>да</w:t>
            </w:r>
          </w:p>
        </w:tc>
        <w:tc>
          <w:tcPr>
            <w:tcW w:w="52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7174ADC" w14:textId="7432CA0D" w:rsidR="00080D08" w:rsidRPr="00080D08" w:rsidRDefault="00080D08" w:rsidP="00080D08">
            <w:pPr>
              <w:ind w:firstLine="0"/>
            </w:pPr>
            <w:r>
              <w:rPr>
                <w:color w:val="000000"/>
              </w:rPr>
              <w:t>Ценообразующий фактор соответствует критериям, описанным выше. Данный фактор оказывает существенное влияние на стоимость объектов недвижимости</w:t>
            </w:r>
          </w:p>
        </w:tc>
      </w:tr>
      <w:tr w:rsidR="00080D08" w:rsidRPr="00727235" w14:paraId="61A72CE9" w14:textId="77777777" w:rsidTr="00080D08">
        <w:trPr>
          <w:trHeight w:val="945"/>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BD7EA07" w14:textId="1459CA37" w:rsidR="00080D08" w:rsidRPr="00080D08" w:rsidRDefault="00080D08" w:rsidP="00080D08">
            <w:pPr>
              <w:ind w:firstLine="0"/>
            </w:pPr>
            <w:r>
              <w:rPr>
                <w:color w:val="000000"/>
              </w:rPr>
              <w:t>9</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539E5D6" w14:textId="0A1E4A4A" w:rsidR="00080D08" w:rsidRPr="00080D08" w:rsidRDefault="00080D08" w:rsidP="00080D08">
            <w:pPr>
              <w:ind w:firstLine="0"/>
            </w:pPr>
            <w:r>
              <w:rPr>
                <w:color w:val="000000"/>
              </w:rPr>
              <w:t>Расстояние от объекта до историко-культурного центра населенного пункта</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9330DAD" w14:textId="7EFFB8C5" w:rsidR="00080D08" w:rsidRPr="00080D08" w:rsidRDefault="00080D08" w:rsidP="00080D08">
            <w:pPr>
              <w:ind w:firstLine="0"/>
            </w:pPr>
            <w:r>
              <w:rPr>
                <w:color w:val="000000"/>
              </w:rPr>
              <w:t>0,51</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6A04B8A" w14:textId="153066C4" w:rsidR="00080D08" w:rsidRPr="00080D08" w:rsidRDefault="00080D08" w:rsidP="00080D08">
            <w:pPr>
              <w:ind w:firstLine="0"/>
            </w:pPr>
            <w:r>
              <w:rPr>
                <w:color w:val="000000"/>
              </w:rPr>
              <w:t>0,57</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7EAE9F" w14:textId="2F69B065" w:rsidR="00080D08" w:rsidRPr="00080D08" w:rsidRDefault="00080D08" w:rsidP="00080D08">
            <w:pPr>
              <w:ind w:firstLine="0"/>
            </w:pPr>
            <w:r>
              <w:rPr>
                <w:color w:val="000000"/>
              </w:rPr>
              <w:t>нет</w:t>
            </w:r>
          </w:p>
        </w:tc>
        <w:tc>
          <w:tcPr>
            <w:tcW w:w="52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CFDDA28" w14:textId="2A09CCD3" w:rsidR="00080D08" w:rsidRPr="00080D08" w:rsidRDefault="00080D08" w:rsidP="00080D08">
            <w:pPr>
              <w:ind w:firstLine="0"/>
            </w:pPr>
            <w:r>
              <w:rPr>
                <w:color w:val="000000"/>
              </w:rPr>
              <w:t>Данный ценообразующий фактор сильно коррелирует с прочими ценообразующими факторами, определяющими локальное местоположение объекта</w:t>
            </w:r>
          </w:p>
        </w:tc>
      </w:tr>
      <w:tr w:rsidR="00080D08" w:rsidRPr="00727235" w14:paraId="19CBAC0E" w14:textId="77777777" w:rsidTr="00080D08">
        <w:trPr>
          <w:trHeight w:val="630"/>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572D490" w14:textId="03A40BA0" w:rsidR="00080D08" w:rsidRPr="00080D08" w:rsidRDefault="00080D08" w:rsidP="00080D08">
            <w:pPr>
              <w:ind w:firstLine="0"/>
            </w:pPr>
            <w:r>
              <w:rPr>
                <w:color w:val="000000"/>
              </w:rPr>
              <w:t>10</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1518410" w14:textId="5DC3DAE3" w:rsidR="00080D08" w:rsidRPr="00080D08" w:rsidRDefault="00080D08" w:rsidP="00080D08">
            <w:pPr>
              <w:ind w:firstLine="0"/>
            </w:pPr>
            <w:r>
              <w:rPr>
                <w:color w:val="000000"/>
              </w:rPr>
              <w:t>Расстояние от объекта до локального(-ых) центра(-ов), отрицательно влияющего(-их) на стоимость объек</w:t>
            </w:r>
            <w:r w:rsidR="005376A2">
              <w:rPr>
                <w:color w:val="000000"/>
              </w:rPr>
              <w:t>та</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F4414EF" w14:textId="000C3041" w:rsidR="00080D08" w:rsidRPr="00080D08" w:rsidRDefault="00080D08" w:rsidP="00080D08">
            <w:pPr>
              <w:ind w:firstLine="0"/>
            </w:pPr>
            <w:r>
              <w:rPr>
                <w:color w:val="000000"/>
              </w:rPr>
              <w:t>0,17</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1E3D45D" w14:textId="1D80DDBE" w:rsidR="00080D08" w:rsidRPr="00080D08" w:rsidRDefault="00080D08" w:rsidP="00080D08">
            <w:pPr>
              <w:ind w:firstLine="0"/>
            </w:pPr>
            <w:r>
              <w:rPr>
                <w:color w:val="000000"/>
              </w:rPr>
              <w:t>0,19</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C56DA52" w14:textId="4712F43D" w:rsidR="00080D08" w:rsidRPr="00080D08" w:rsidRDefault="00080D08" w:rsidP="00080D08">
            <w:pPr>
              <w:ind w:firstLine="0"/>
            </w:pPr>
            <w:r>
              <w:rPr>
                <w:color w:val="000000"/>
              </w:rPr>
              <w:t>нет</w:t>
            </w:r>
          </w:p>
        </w:tc>
        <w:tc>
          <w:tcPr>
            <w:tcW w:w="52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B027EEA" w14:textId="0F339B1F" w:rsidR="00080D08" w:rsidRPr="00080D08" w:rsidRDefault="00080D08" w:rsidP="00080D08">
            <w:pPr>
              <w:ind w:firstLine="0"/>
            </w:pPr>
            <w:r>
              <w:rPr>
                <w:color w:val="000000"/>
              </w:rPr>
              <w:t>Направленность корреляционной зависимости между ценообразующим фактором и удельной ценой объектов-аналогов не соответствует экономической гипотезе о наблюдаемом на рынке характере влияния данного фактора на зависимую переменную</w:t>
            </w:r>
          </w:p>
        </w:tc>
      </w:tr>
      <w:tr w:rsidR="00080D08" w:rsidRPr="00727235" w14:paraId="3CCD6B21" w14:textId="77777777" w:rsidTr="00080D08">
        <w:trPr>
          <w:trHeight w:val="630"/>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5944EC8" w14:textId="32D87F8E" w:rsidR="00080D08" w:rsidRPr="00080D08" w:rsidRDefault="00080D08" w:rsidP="00080D08">
            <w:pPr>
              <w:ind w:firstLine="0"/>
            </w:pPr>
            <w:r>
              <w:rPr>
                <w:color w:val="000000"/>
              </w:rPr>
              <w:t>11</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59F2341" w14:textId="4929E360" w:rsidR="00080D08" w:rsidRPr="00080D08" w:rsidRDefault="00080D08" w:rsidP="00080D08">
            <w:pPr>
              <w:ind w:firstLine="0"/>
            </w:pPr>
            <w:r>
              <w:rPr>
                <w:color w:val="000000"/>
              </w:rPr>
              <w:t>Расстояние от объекта до локального(-ых) центра(-ов), положительно влияющего(-их) на стоимость объек</w:t>
            </w:r>
            <w:r w:rsidR="005376A2">
              <w:rPr>
                <w:color w:val="000000"/>
              </w:rPr>
              <w:t>та</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5182ADD" w14:textId="68C1ED90" w:rsidR="00080D08" w:rsidRPr="00080D08" w:rsidRDefault="00080D08" w:rsidP="00080D08">
            <w:pPr>
              <w:ind w:firstLine="0"/>
            </w:pPr>
            <w:r>
              <w:rPr>
                <w:color w:val="000000"/>
              </w:rPr>
              <w:t>0,26</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B31273E" w14:textId="52F3AB87" w:rsidR="00080D08" w:rsidRPr="00080D08" w:rsidRDefault="00080D08" w:rsidP="00080D08">
            <w:pPr>
              <w:ind w:firstLine="0"/>
            </w:pPr>
            <w:r>
              <w:rPr>
                <w:color w:val="000000"/>
              </w:rPr>
              <w:t>0,29</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7BB4FE4" w14:textId="7C36A5B3" w:rsidR="00080D08" w:rsidRPr="00080D08" w:rsidRDefault="00080D08" w:rsidP="00080D08">
            <w:pPr>
              <w:ind w:firstLine="0"/>
            </w:pPr>
            <w:r>
              <w:rPr>
                <w:color w:val="000000"/>
              </w:rPr>
              <w:t>нет</w:t>
            </w:r>
          </w:p>
        </w:tc>
        <w:tc>
          <w:tcPr>
            <w:tcW w:w="52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7F4938D" w14:textId="5A7E29DA" w:rsidR="00080D08" w:rsidRPr="00080D08" w:rsidRDefault="00080D08" w:rsidP="00080D08">
            <w:pPr>
              <w:ind w:firstLine="0"/>
            </w:pPr>
            <w:r>
              <w:rPr>
                <w:color w:val="000000"/>
              </w:rPr>
              <w:t>Данный ценообразующий фактор сильно коррелирует с прочими ценообразующими факторами, определяющими локальное местоположение объекта</w:t>
            </w:r>
          </w:p>
        </w:tc>
      </w:tr>
      <w:tr w:rsidR="00080D08" w:rsidRPr="00727235" w14:paraId="4A74E46A" w14:textId="77777777" w:rsidTr="00080D08">
        <w:trPr>
          <w:trHeight w:val="630"/>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F93A1D6" w14:textId="08AADEC7" w:rsidR="00080D08" w:rsidRPr="00080D08" w:rsidRDefault="00080D08" w:rsidP="00080D08">
            <w:pPr>
              <w:ind w:firstLine="0"/>
            </w:pPr>
            <w:r>
              <w:rPr>
                <w:color w:val="000000"/>
              </w:rPr>
              <w:t>12</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DB46835" w14:textId="5D552E29" w:rsidR="00080D08" w:rsidRPr="00080D08" w:rsidRDefault="00080D08" w:rsidP="00080D08">
            <w:pPr>
              <w:ind w:firstLine="0"/>
            </w:pPr>
            <w:r>
              <w:rPr>
                <w:color w:val="000000"/>
              </w:rPr>
              <w:t>Теплоснабжение</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D0E8E73" w14:textId="448E08F0" w:rsidR="00080D08" w:rsidRPr="00080D08" w:rsidRDefault="00080D08" w:rsidP="00080D08">
            <w:pPr>
              <w:ind w:firstLine="0"/>
            </w:pPr>
            <w:r>
              <w:rPr>
                <w:color w:val="000000"/>
              </w:rPr>
              <w:t>0,049</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27B9968" w14:textId="6005CCB1" w:rsidR="00080D08" w:rsidRPr="00080D08" w:rsidRDefault="00080D08" w:rsidP="00080D08">
            <w:pPr>
              <w:ind w:firstLine="0"/>
            </w:pPr>
            <w:r>
              <w:rPr>
                <w:color w:val="000000"/>
              </w:rPr>
              <w:t>0,055</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AB91D7F" w14:textId="31A698CB" w:rsidR="00080D08" w:rsidRPr="00080D08" w:rsidRDefault="00080D08" w:rsidP="00080D08">
            <w:pPr>
              <w:ind w:firstLine="0"/>
            </w:pPr>
            <w:r>
              <w:rPr>
                <w:color w:val="000000"/>
              </w:rPr>
              <w:t>да</w:t>
            </w:r>
          </w:p>
        </w:tc>
        <w:tc>
          <w:tcPr>
            <w:tcW w:w="52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AAD6E7F" w14:textId="467DE7EB" w:rsidR="00080D08" w:rsidRPr="00080D08" w:rsidRDefault="00080D08" w:rsidP="00080D08">
            <w:pPr>
              <w:ind w:firstLine="0"/>
            </w:pPr>
            <w:r>
              <w:rPr>
                <w:color w:val="000000"/>
              </w:rPr>
              <w:t>Ценообразующий фактор соответствует критериям, описанным выше. Данный фактор оказывает существенное влияние на стоимость объектов недвижимости</w:t>
            </w:r>
          </w:p>
        </w:tc>
      </w:tr>
      <w:tr w:rsidR="00080D08" w:rsidRPr="00727235" w14:paraId="1701E21D" w14:textId="77777777" w:rsidTr="00080D08">
        <w:trPr>
          <w:trHeight w:val="945"/>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16B8E07" w14:textId="40F57221" w:rsidR="00080D08" w:rsidRPr="00080D08" w:rsidRDefault="00080D08" w:rsidP="00080D08">
            <w:pPr>
              <w:ind w:firstLine="0"/>
            </w:pPr>
            <w:r>
              <w:rPr>
                <w:color w:val="000000"/>
              </w:rPr>
              <w:t>13</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6345C04" w14:textId="58527B70" w:rsidR="00080D08" w:rsidRPr="00080D08" w:rsidRDefault="00080D08" w:rsidP="00080D08">
            <w:pPr>
              <w:ind w:firstLine="0"/>
            </w:pPr>
            <w:r>
              <w:rPr>
                <w:color w:val="000000"/>
              </w:rPr>
              <w:t>ЦГКО_уточнение Год постройки</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1BAC524" w14:textId="5E1AD2DC" w:rsidR="00080D08" w:rsidRPr="00080D08" w:rsidRDefault="00080D08" w:rsidP="00080D08">
            <w:pPr>
              <w:ind w:firstLine="0"/>
            </w:pPr>
            <w:r>
              <w:rPr>
                <w:color w:val="000000"/>
              </w:rPr>
              <w:t>0,27</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529EA8E" w14:textId="27A2C5DB" w:rsidR="00080D08" w:rsidRPr="00080D08" w:rsidRDefault="00080D08" w:rsidP="00080D08">
            <w:pPr>
              <w:ind w:firstLine="0"/>
            </w:pPr>
            <w:r>
              <w:rPr>
                <w:color w:val="000000"/>
              </w:rPr>
              <w:t>0,3</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4181E2E" w14:textId="055EBD3C" w:rsidR="00080D08" w:rsidRPr="00080D08" w:rsidRDefault="00080D08" w:rsidP="00080D08">
            <w:pPr>
              <w:ind w:firstLine="0"/>
            </w:pPr>
            <w:r>
              <w:rPr>
                <w:color w:val="000000"/>
              </w:rPr>
              <w:t>нет</w:t>
            </w:r>
          </w:p>
        </w:tc>
        <w:tc>
          <w:tcPr>
            <w:tcW w:w="52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C4AA753" w14:textId="5452964F" w:rsidR="00080D08" w:rsidRPr="00080D08" w:rsidRDefault="00080D08" w:rsidP="00080D08">
            <w:pPr>
              <w:ind w:firstLine="0"/>
            </w:pPr>
            <w:r>
              <w:rPr>
                <w:color w:val="000000"/>
              </w:rPr>
              <w:t>Направленность корреляционной зависимости между ценообразующим фактором и удельной ценой объектов-аналогов не соответствует экономической гипотезе о наблюдаемом на рынке характере влияния данного фактора на зависимую переменную</w:t>
            </w:r>
          </w:p>
        </w:tc>
      </w:tr>
      <w:tr w:rsidR="00080D08" w:rsidRPr="00727235" w14:paraId="21456F9F" w14:textId="77777777" w:rsidTr="00080D08">
        <w:trPr>
          <w:trHeight w:val="945"/>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E4C2689" w14:textId="384A4DB7" w:rsidR="00080D08" w:rsidRPr="00080D08" w:rsidRDefault="00080D08" w:rsidP="00080D08">
            <w:pPr>
              <w:ind w:firstLine="0"/>
            </w:pPr>
            <w:r>
              <w:rPr>
                <w:color w:val="000000"/>
              </w:rPr>
              <w:t>14</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A6F31DC" w14:textId="71821326" w:rsidR="00080D08" w:rsidRPr="00080D08" w:rsidRDefault="00080D08" w:rsidP="00080D08">
            <w:pPr>
              <w:ind w:firstLine="0"/>
            </w:pPr>
            <w:r>
              <w:rPr>
                <w:color w:val="000000"/>
              </w:rPr>
              <w:t>Центральное водоснабжение</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6D88176" w14:textId="0C6E67D6" w:rsidR="00080D08" w:rsidRPr="00080D08" w:rsidRDefault="00080D08" w:rsidP="00080D08">
            <w:pPr>
              <w:ind w:firstLine="0"/>
            </w:pPr>
            <w:r>
              <w:rPr>
                <w:color w:val="000000"/>
              </w:rPr>
              <w:t>0,23</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AEB8315" w14:textId="403364C7" w:rsidR="00080D08" w:rsidRPr="00080D08" w:rsidRDefault="00080D08" w:rsidP="00080D08">
            <w:pPr>
              <w:ind w:firstLine="0"/>
            </w:pPr>
            <w:r>
              <w:rPr>
                <w:color w:val="000000"/>
              </w:rPr>
              <w:t>0,26</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8106FBB" w14:textId="467887CF" w:rsidR="00080D08" w:rsidRPr="00080D08" w:rsidRDefault="00080D08" w:rsidP="00080D08">
            <w:pPr>
              <w:ind w:firstLine="0"/>
            </w:pPr>
            <w:r>
              <w:rPr>
                <w:color w:val="000000"/>
              </w:rPr>
              <w:t>нет</w:t>
            </w:r>
          </w:p>
        </w:tc>
        <w:tc>
          <w:tcPr>
            <w:tcW w:w="52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99B2E21" w14:textId="0545E03E" w:rsidR="00080D08" w:rsidRPr="00080D08" w:rsidRDefault="00080D08" w:rsidP="00080D08">
            <w:pPr>
              <w:ind w:firstLine="0"/>
            </w:pPr>
            <w:r>
              <w:rPr>
                <w:color w:val="000000"/>
              </w:rPr>
              <w:t>Данный ценообразующий фактор сильно коррелирует с прочими ценообразующими факторами, определяющими локальное местоположение объекта</w:t>
            </w:r>
          </w:p>
        </w:tc>
      </w:tr>
      <w:tr w:rsidR="00080D08" w:rsidRPr="00727235" w14:paraId="5FE3281A" w14:textId="77777777" w:rsidTr="00080D08">
        <w:trPr>
          <w:trHeight w:val="945"/>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0822536B" w14:textId="64B853A8" w:rsidR="00080D08" w:rsidRPr="00080D08" w:rsidRDefault="00080D08" w:rsidP="00080D08">
            <w:pPr>
              <w:ind w:firstLine="0"/>
            </w:pPr>
            <w:r>
              <w:rPr>
                <w:color w:val="000000"/>
              </w:rPr>
              <w:t>15</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tcPr>
          <w:p w14:paraId="27E6D1F7" w14:textId="0E6E4986" w:rsidR="00080D08" w:rsidRPr="00080D08" w:rsidRDefault="00080D08" w:rsidP="00080D08">
            <w:pPr>
              <w:ind w:firstLine="0"/>
            </w:pPr>
            <w:r>
              <w:rPr>
                <w:color w:val="000000"/>
              </w:rPr>
              <w:t>Электричество</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tcPr>
          <w:p w14:paraId="5D11BD02" w14:textId="380745F7" w:rsidR="00080D08" w:rsidRPr="00080D08" w:rsidRDefault="00080D08" w:rsidP="00080D08">
            <w:pPr>
              <w:ind w:firstLine="0"/>
            </w:pPr>
            <w:r>
              <w:rPr>
                <w:color w:val="000000"/>
              </w:rPr>
              <w:t>0,1</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tcPr>
          <w:p w14:paraId="0C8CCC1F" w14:textId="0A13D59F" w:rsidR="00080D08" w:rsidRPr="00080D08" w:rsidRDefault="00080D08" w:rsidP="00080D08">
            <w:pPr>
              <w:ind w:firstLine="0"/>
            </w:pPr>
            <w:r>
              <w:rPr>
                <w:color w:val="000000"/>
              </w:rPr>
              <w:t>0,12</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14:paraId="107F854D" w14:textId="35F6F3C7" w:rsidR="00080D08" w:rsidRPr="00080D08" w:rsidRDefault="00080D08" w:rsidP="00080D08">
            <w:pPr>
              <w:ind w:firstLine="0"/>
            </w:pPr>
            <w:r>
              <w:rPr>
                <w:color w:val="000000"/>
              </w:rPr>
              <w:t>нет</w:t>
            </w:r>
          </w:p>
        </w:tc>
        <w:tc>
          <w:tcPr>
            <w:tcW w:w="5245" w:type="dxa"/>
            <w:tcBorders>
              <w:top w:val="single" w:sz="4" w:space="0" w:color="auto"/>
              <w:left w:val="single" w:sz="4" w:space="0" w:color="auto"/>
              <w:bottom w:val="single" w:sz="4" w:space="0" w:color="auto"/>
              <w:right w:val="single" w:sz="4" w:space="0" w:color="auto"/>
            </w:tcBorders>
            <w:shd w:val="clear" w:color="auto" w:fill="auto"/>
            <w:vAlign w:val="center"/>
          </w:tcPr>
          <w:p w14:paraId="07298BC1" w14:textId="5DF2E9EA" w:rsidR="00080D08" w:rsidRPr="00080D08" w:rsidRDefault="00080D08" w:rsidP="00080D08">
            <w:pPr>
              <w:ind w:firstLine="0"/>
            </w:pPr>
            <w:r>
              <w:rPr>
                <w:color w:val="000000"/>
              </w:rPr>
              <w:t>Данный ценообразующий фактор сильно коррелирует с прочими ценообразующими факторами, определяющими локальное местоположение объекта</w:t>
            </w:r>
          </w:p>
        </w:tc>
      </w:tr>
    </w:tbl>
    <w:p w14:paraId="7FD7F31C" w14:textId="77777777" w:rsidR="00727235" w:rsidRPr="00727235" w:rsidRDefault="00727235" w:rsidP="00727235">
      <w:pPr>
        <w:sectPr w:rsidR="00727235" w:rsidRPr="00727235" w:rsidSect="00727235">
          <w:pgSz w:w="16838" w:h="11906" w:orient="landscape"/>
          <w:pgMar w:top="1701" w:right="1134" w:bottom="850" w:left="1134" w:header="708" w:footer="708" w:gutter="0"/>
          <w:cols w:space="708"/>
          <w:docGrid w:linePitch="360"/>
        </w:sectPr>
      </w:pPr>
    </w:p>
    <w:p w14:paraId="1A967CE6" w14:textId="77777777" w:rsidR="00727235" w:rsidRPr="00727235" w:rsidRDefault="00727235" w:rsidP="00727235">
      <w:r w:rsidRPr="00727235">
        <w:t xml:space="preserve">Таким образом, для моделирования выбраны указанные выше факторы. </w:t>
      </w:r>
    </w:p>
    <w:p w14:paraId="1A42439F" w14:textId="77777777" w:rsidR="00727235" w:rsidRPr="00727235" w:rsidRDefault="00727235" w:rsidP="00727235">
      <w:r w:rsidRPr="00727235">
        <w:t xml:space="preserve">В результате построены линейная, мультипликативная и экспоненциальная модели. </w:t>
      </w:r>
    </w:p>
    <w:p w14:paraId="7B28E9D9" w14:textId="77777777" w:rsidR="00727235" w:rsidRPr="00727235" w:rsidRDefault="00727235" w:rsidP="00727235">
      <w:r w:rsidRPr="00727235">
        <w:t>Далее проведена проверка статистической значимости моделей, результаты которой представлены в таблице ниже.</w:t>
      </w:r>
    </w:p>
    <w:p w14:paraId="6BA027C9" w14:textId="05FCDDD8" w:rsidR="00727235" w:rsidRPr="00727235" w:rsidRDefault="00727235" w:rsidP="00727235">
      <w:pPr>
        <w:rPr>
          <w:lang w:eastAsia="ru-RU"/>
        </w:rPr>
      </w:pPr>
      <w:r w:rsidRPr="00727235">
        <w:rPr>
          <w:lang w:eastAsia="ru-RU"/>
        </w:rPr>
        <w:t xml:space="preserve">Таблица </w:t>
      </w:r>
      <w:r w:rsidRPr="00727235">
        <w:rPr>
          <w:lang w:eastAsia="ru-RU"/>
        </w:rPr>
        <w:fldChar w:fldCharType="begin"/>
      </w:r>
      <w:r w:rsidRPr="00727235">
        <w:rPr>
          <w:lang w:eastAsia="ru-RU"/>
        </w:rPr>
        <w:instrText xml:space="preserve"> SEQ Таблица \* ARABIC </w:instrText>
      </w:r>
      <w:r w:rsidRPr="00727235">
        <w:rPr>
          <w:lang w:eastAsia="ru-RU"/>
        </w:rPr>
        <w:fldChar w:fldCharType="separate"/>
      </w:r>
      <w:r w:rsidR="00FD2769">
        <w:rPr>
          <w:noProof/>
          <w:lang w:eastAsia="ru-RU"/>
        </w:rPr>
        <w:t>67</w:t>
      </w:r>
      <w:r w:rsidRPr="00727235">
        <w:rPr>
          <w:lang w:eastAsia="ru-RU"/>
        </w:rPr>
        <w:fldChar w:fldCharType="end"/>
      </w:r>
      <w:r w:rsidRPr="00727235">
        <w:rPr>
          <w:lang w:eastAsia="ru-RU"/>
        </w:rPr>
        <w:t xml:space="preserve"> Проверка статистической значимости моделей на обучающей выборке группы "3. Объекты, предназначенные для хранения транспорта, </w:t>
      </w:r>
      <w:r w:rsidR="00183DEC" w:rsidRPr="00183DEC">
        <w:rPr>
          <w:lang w:eastAsia="ru-RU"/>
        </w:rPr>
        <w:t>подгруппы Якутск с п/х 3.6." для 95 объектов</w:t>
      </w:r>
    </w:p>
    <w:tbl>
      <w:tblPr>
        <w:tblW w:w="9781" w:type="dxa"/>
        <w:tblInd w:w="-5" w:type="dxa"/>
        <w:tblLayout w:type="fixed"/>
        <w:tblLook w:val="04A0" w:firstRow="1" w:lastRow="0" w:firstColumn="1" w:lastColumn="0" w:noHBand="0" w:noVBand="1"/>
      </w:tblPr>
      <w:tblGrid>
        <w:gridCol w:w="426"/>
        <w:gridCol w:w="1418"/>
        <w:gridCol w:w="1276"/>
        <w:gridCol w:w="1133"/>
        <w:gridCol w:w="1134"/>
        <w:gridCol w:w="851"/>
        <w:gridCol w:w="1275"/>
        <w:gridCol w:w="992"/>
        <w:gridCol w:w="1276"/>
      </w:tblGrid>
      <w:tr w:rsidR="00727235" w:rsidRPr="005376A2" w14:paraId="636FA4F2" w14:textId="77777777" w:rsidTr="00727235">
        <w:trPr>
          <w:trHeight w:val="1185"/>
        </w:trPr>
        <w:tc>
          <w:tcPr>
            <w:tcW w:w="426"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7A2330E5" w14:textId="77777777" w:rsidR="00727235" w:rsidRPr="005376A2" w:rsidRDefault="00727235" w:rsidP="00727235">
            <w:pPr>
              <w:rPr>
                <w:sz w:val="22"/>
                <w:lang w:eastAsia="ru-RU"/>
              </w:rPr>
            </w:pPr>
            <w:r w:rsidRPr="005376A2">
              <w:rPr>
                <w:sz w:val="22"/>
                <w:lang w:eastAsia="ru-RU"/>
              </w:rPr>
              <w:t>№ п/п</w:t>
            </w:r>
          </w:p>
        </w:tc>
        <w:tc>
          <w:tcPr>
            <w:tcW w:w="1418" w:type="dxa"/>
            <w:tcBorders>
              <w:top w:val="single" w:sz="4" w:space="0" w:color="000000"/>
              <w:left w:val="nil"/>
              <w:bottom w:val="single" w:sz="4" w:space="0" w:color="000000"/>
              <w:right w:val="single" w:sz="4" w:space="0" w:color="000000"/>
            </w:tcBorders>
            <w:shd w:val="clear" w:color="auto" w:fill="auto"/>
            <w:vAlign w:val="center"/>
            <w:hideMark/>
          </w:tcPr>
          <w:p w14:paraId="3317AA2B" w14:textId="77777777" w:rsidR="00727235" w:rsidRPr="005376A2" w:rsidRDefault="00727235" w:rsidP="0019603A">
            <w:pPr>
              <w:ind w:firstLine="0"/>
              <w:rPr>
                <w:sz w:val="22"/>
                <w:lang w:eastAsia="ru-RU"/>
              </w:rPr>
            </w:pPr>
            <w:r w:rsidRPr="005376A2">
              <w:rPr>
                <w:sz w:val="22"/>
                <w:lang w:eastAsia="ru-RU"/>
              </w:rPr>
              <w:t>Название модели</w:t>
            </w:r>
          </w:p>
        </w:tc>
        <w:tc>
          <w:tcPr>
            <w:tcW w:w="1276" w:type="dxa"/>
            <w:tcBorders>
              <w:top w:val="single" w:sz="4" w:space="0" w:color="000000"/>
              <w:left w:val="nil"/>
              <w:bottom w:val="single" w:sz="4" w:space="0" w:color="000000"/>
              <w:right w:val="single" w:sz="4" w:space="0" w:color="000000"/>
            </w:tcBorders>
            <w:shd w:val="clear" w:color="auto" w:fill="auto"/>
            <w:vAlign w:val="center"/>
            <w:hideMark/>
          </w:tcPr>
          <w:p w14:paraId="2DE7F988" w14:textId="77777777" w:rsidR="00727235" w:rsidRPr="005376A2" w:rsidRDefault="00727235" w:rsidP="0019603A">
            <w:pPr>
              <w:ind w:firstLine="0"/>
              <w:rPr>
                <w:sz w:val="22"/>
                <w:lang w:eastAsia="ru-RU"/>
              </w:rPr>
            </w:pPr>
            <w:r w:rsidRPr="005376A2">
              <w:rPr>
                <w:sz w:val="22"/>
                <w:lang w:eastAsia="ru-RU"/>
              </w:rPr>
              <w:t>Количество факторов стоимости, m</w:t>
            </w:r>
          </w:p>
        </w:tc>
        <w:tc>
          <w:tcPr>
            <w:tcW w:w="1133" w:type="dxa"/>
            <w:tcBorders>
              <w:top w:val="single" w:sz="4" w:space="0" w:color="000000"/>
              <w:left w:val="nil"/>
              <w:bottom w:val="single" w:sz="4" w:space="0" w:color="000000"/>
              <w:right w:val="single" w:sz="4" w:space="0" w:color="000000"/>
            </w:tcBorders>
            <w:shd w:val="clear" w:color="auto" w:fill="auto"/>
            <w:vAlign w:val="center"/>
            <w:hideMark/>
          </w:tcPr>
          <w:p w14:paraId="375C9BF1" w14:textId="77777777" w:rsidR="00727235" w:rsidRPr="005376A2" w:rsidRDefault="00727235" w:rsidP="0019603A">
            <w:pPr>
              <w:ind w:firstLine="0"/>
              <w:rPr>
                <w:sz w:val="22"/>
                <w:lang w:eastAsia="ru-RU"/>
              </w:rPr>
            </w:pPr>
            <w:r w:rsidRPr="005376A2">
              <w:rPr>
                <w:sz w:val="22"/>
                <w:lang w:eastAsia="ru-RU"/>
              </w:rPr>
              <w:t>Коэффициент детерминации, R2</w:t>
            </w:r>
          </w:p>
        </w:tc>
        <w:tc>
          <w:tcPr>
            <w:tcW w:w="1134" w:type="dxa"/>
            <w:tcBorders>
              <w:top w:val="single" w:sz="4" w:space="0" w:color="000000"/>
              <w:left w:val="nil"/>
              <w:bottom w:val="single" w:sz="4" w:space="0" w:color="000000"/>
              <w:right w:val="single" w:sz="4" w:space="0" w:color="000000"/>
            </w:tcBorders>
            <w:shd w:val="clear" w:color="auto" w:fill="auto"/>
            <w:vAlign w:val="center"/>
            <w:hideMark/>
          </w:tcPr>
          <w:p w14:paraId="76D7359A" w14:textId="77777777" w:rsidR="00727235" w:rsidRPr="005376A2" w:rsidRDefault="00727235" w:rsidP="0019603A">
            <w:pPr>
              <w:ind w:firstLine="0"/>
              <w:rPr>
                <w:sz w:val="22"/>
                <w:lang w:eastAsia="ru-RU"/>
              </w:rPr>
            </w:pPr>
            <w:r w:rsidRPr="005376A2">
              <w:rPr>
                <w:sz w:val="22"/>
                <w:lang w:eastAsia="ru-RU"/>
              </w:rPr>
              <w:t>Критерий Фишера, Fрасч</w:t>
            </w:r>
          </w:p>
        </w:tc>
        <w:tc>
          <w:tcPr>
            <w:tcW w:w="851" w:type="dxa"/>
            <w:tcBorders>
              <w:top w:val="single" w:sz="4" w:space="0" w:color="000000"/>
              <w:left w:val="nil"/>
              <w:bottom w:val="single" w:sz="4" w:space="0" w:color="000000"/>
              <w:right w:val="single" w:sz="4" w:space="0" w:color="000000"/>
            </w:tcBorders>
            <w:shd w:val="clear" w:color="auto" w:fill="auto"/>
            <w:vAlign w:val="center"/>
            <w:hideMark/>
          </w:tcPr>
          <w:p w14:paraId="393058F8" w14:textId="77777777" w:rsidR="00727235" w:rsidRPr="005376A2" w:rsidRDefault="00727235" w:rsidP="0019603A">
            <w:pPr>
              <w:ind w:firstLine="0"/>
              <w:rPr>
                <w:sz w:val="22"/>
                <w:lang w:eastAsia="ru-RU"/>
              </w:rPr>
            </w:pPr>
            <w:r w:rsidRPr="005376A2">
              <w:rPr>
                <w:sz w:val="22"/>
                <w:lang w:eastAsia="ru-RU"/>
              </w:rPr>
              <w:t>Fтабл</w:t>
            </w:r>
          </w:p>
        </w:tc>
        <w:tc>
          <w:tcPr>
            <w:tcW w:w="1275" w:type="dxa"/>
            <w:tcBorders>
              <w:top w:val="single" w:sz="4" w:space="0" w:color="000000"/>
              <w:left w:val="nil"/>
              <w:bottom w:val="single" w:sz="4" w:space="0" w:color="000000"/>
              <w:right w:val="single" w:sz="4" w:space="0" w:color="000000"/>
            </w:tcBorders>
            <w:shd w:val="clear" w:color="auto" w:fill="auto"/>
            <w:vAlign w:val="center"/>
            <w:hideMark/>
          </w:tcPr>
          <w:p w14:paraId="0ED1FE09" w14:textId="77777777" w:rsidR="00727235" w:rsidRPr="005376A2" w:rsidRDefault="00727235" w:rsidP="0019603A">
            <w:pPr>
              <w:ind w:firstLine="0"/>
              <w:rPr>
                <w:sz w:val="22"/>
                <w:lang w:eastAsia="ru-RU"/>
              </w:rPr>
            </w:pPr>
            <w:r w:rsidRPr="005376A2">
              <w:rPr>
                <w:sz w:val="22"/>
                <w:lang w:eastAsia="ru-RU"/>
              </w:rPr>
              <w:t>Коэффициент дисперсии (COD)</w:t>
            </w:r>
          </w:p>
        </w:tc>
        <w:tc>
          <w:tcPr>
            <w:tcW w:w="992" w:type="dxa"/>
            <w:tcBorders>
              <w:top w:val="single" w:sz="4" w:space="0" w:color="000000"/>
              <w:left w:val="nil"/>
              <w:bottom w:val="single" w:sz="4" w:space="0" w:color="000000"/>
              <w:right w:val="single" w:sz="4" w:space="0" w:color="000000"/>
            </w:tcBorders>
            <w:shd w:val="clear" w:color="auto" w:fill="auto"/>
            <w:vAlign w:val="center"/>
            <w:hideMark/>
          </w:tcPr>
          <w:p w14:paraId="290B4DE0" w14:textId="77777777" w:rsidR="00727235" w:rsidRPr="005376A2" w:rsidRDefault="00727235" w:rsidP="0019603A">
            <w:pPr>
              <w:ind w:firstLine="0"/>
              <w:rPr>
                <w:sz w:val="22"/>
                <w:lang w:eastAsia="ru-RU"/>
              </w:rPr>
            </w:pPr>
            <w:r w:rsidRPr="005376A2">
              <w:rPr>
                <w:sz w:val="22"/>
                <w:lang w:eastAsia="ru-RU"/>
              </w:rPr>
              <w:t>Ценовой дифференциал (PRD)</w:t>
            </w:r>
          </w:p>
        </w:tc>
        <w:tc>
          <w:tcPr>
            <w:tcW w:w="1276" w:type="dxa"/>
            <w:tcBorders>
              <w:top w:val="single" w:sz="4" w:space="0" w:color="000000"/>
              <w:left w:val="nil"/>
              <w:bottom w:val="single" w:sz="4" w:space="0" w:color="000000"/>
              <w:right w:val="single" w:sz="4" w:space="0" w:color="000000"/>
            </w:tcBorders>
            <w:shd w:val="clear" w:color="auto" w:fill="auto"/>
            <w:vAlign w:val="center"/>
            <w:hideMark/>
          </w:tcPr>
          <w:p w14:paraId="31B76377" w14:textId="77777777" w:rsidR="00727235" w:rsidRPr="005376A2" w:rsidRDefault="00727235" w:rsidP="0019603A">
            <w:pPr>
              <w:ind w:firstLine="0"/>
              <w:rPr>
                <w:sz w:val="22"/>
                <w:lang w:eastAsia="ru-RU"/>
              </w:rPr>
            </w:pPr>
            <w:r w:rsidRPr="005376A2">
              <w:rPr>
                <w:sz w:val="22"/>
                <w:lang w:eastAsia="ru-RU"/>
              </w:rPr>
              <w:t>Статистическая значимость модели (да/нет)</w:t>
            </w:r>
          </w:p>
        </w:tc>
      </w:tr>
      <w:tr w:rsidR="00727235" w:rsidRPr="005376A2" w14:paraId="50349F4B" w14:textId="77777777" w:rsidTr="00727235">
        <w:trPr>
          <w:trHeight w:val="360"/>
        </w:trPr>
        <w:tc>
          <w:tcPr>
            <w:tcW w:w="426" w:type="dxa"/>
            <w:tcBorders>
              <w:top w:val="nil"/>
              <w:left w:val="single" w:sz="4" w:space="0" w:color="000000"/>
              <w:bottom w:val="single" w:sz="4" w:space="0" w:color="000000"/>
              <w:right w:val="single" w:sz="4" w:space="0" w:color="000000"/>
            </w:tcBorders>
            <w:shd w:val="clear" w:color="auto" w:fill="auto"/>
            <w:vAlign w:val="center"/>
            <w:hideMark/>
          </w:tcPr>
          <w:p w14:paraId="4D17B426" w14:textId="77777777" w:rsidR="00727235" w:rsidRPr="005376A2" w:rsidRDefault="00727235" w:rsidP="00727235">
            <w:pPr>
              <w:rPr>
                <w:sz w:val="22"/>
                <w:lang w:eastAsia="ru-RU"/>
              </w:rPr>
            </w:pPr>
            <w:r w:rsidRPr="005376A2">
              <w:rPr>
                <w:sz w:val="22"/>
                <w:lang w:eastAsia="ru-RU"/>
              </w:rPr>
              <w:t>01</w:t>
            </w:r>
          </w:p>
        </w:tc>
        <w:tc>
          <w:tcPr>
            <w:tcW w:w="1418" w:type="dxa"/>
            <w:tcBorders>
              <w:top w:val="nil"/>
              <w:left w:val="nil"/>
              <w:bottom w:val="single" w:sz="4" w:space="0" w:color="000000"/>
              <w:right w:val="single" w:sz="4" w:space="0" w:color="000000"/>
            </w:tcBorders>
            <w:shd w:val="clear" w:color="auto" w:fill="auto"/>
            <w:vAlign w:val="center"/>
            <w:hideMark/>
          </w:tcPr>
          <w:p w14:paraId="216706A6" w14:textId="77777777" w:rsidR="00727235" w:rsidRPr="005376A2" w:rsidRDefault="00727235" w:rsidP="0019603A">
            <w:pPr>
              <w:ind w:firstLine="0"/>
              <w:rPr>
                <w:sz w:val="22"/>
                <w:lang w:eastAsia="ru-RU"/>
              </w:rPr>
            </w:pPr>
            <w:r w:rsidRPr="005376A2">
              <w:rPr>
                <w:sz w:val="22"/>
                <w:lang w:eastAsia="ru-RU"/>
              </w:rPr>
              <w:t>02</w:t>
            </w:r>
          </w:p>
        </w:tc>
        <w:tc>
          <w:tcPr>
            <w:tcW w:w="1276" w:type="dxa"/>
            <w:tcBorders>
              <w:top w:val="nil"/>
              <w:left w:val="nil"/>
              <w:bottom w:val="single" w:sz="4" w:space="0" w:color="000000"/>
              <w:right w:val="single" w:sz="4" w:space="0" w:color="000000"/>
            </w:tcBorders>
            <w:shd w:val="clear" w:color="auto" w:fill="auto"/>
            <w:vAlign w:val="center"/>
            <w:hideMark/>
          </w:tcPr>
          <w:p w14:paraId="0876D6EA" w14:textId="77777777" w:rsidR="00727235" w:rsidRPr="005376A2" w:rsidRDefault="00727235" w:rsidP="0019603A">
            <w:pPr>
              <w:ind w:firstLine="0"/>
              <w:rPr>
                <w:sz w:val="22"/>
                <w:lang w:eastAsia="ru-RU"/>
              </w:rPr>
            </w:pPr>
            <w:r w:rsidRPr="005376A2">
              <w:rPr>
                <w:sz w:val="22"/>
                <w:lang w:eastAsia="ru-RU"/>
              </w:rPr>
              <w:t>03</w:t>
            </w:r>
          </w:p>
        </w:tc>
        <w:tc>
          <w:tcPr>
            <w:tcW w:w="1133" w:type="dxa"/>
            <w:tcBorders>
              <w:top w:val="nil"/>
              <w:left w:val="nil"/>
              <w:bottom w:val="single" w:sz="4" w:space="0" w:color="000000"/>
              <w:right w:val="single" w:sz="4" w:space="0" w:color="000000"/>
            </w:tcBorders>
            <w:shd w:val="clear" w:color="auto" w:fill="auto"/>
            <w:vAlign w:val="center"/>
            <w:hideMark/>
          </w:tcPr>
          <w:p w14:paraId="521F82DB" w14:textId="77777777" w:rsidR="00727235" w:rsidRPr="005376A2" w:rsidRDefault="00727235" w:rsidP="0019603A">
            <w:pPr>
              <w:ind w:firstLine="0"/>
              <w:rPr>
                <w:sz w:val="22"/>
                <w:lang w:eastAsia="ru-RU"/>
              </w:rPr>
            </w:pPr>
            <w:r w:rsidRPr="005376A2">
              <w:rPr>
                <w:sz w:val="22"/>
                <w:lang w:eastAsia="ru-RU"/>
              </w:rPr>
              <w:t>04</w:t>
            </w:r>
          </w:p>
        </w:tc>
        <w:tc>
          <w:tcPr>
            <w:tcW w:w="1134" w:type="dxa"/>
            <w:tcBorders>
              <w:top w:val="nil"/>
              <w:left w:val="nil"/>
              <w:bottom w:val="single" w:sz="4" w:space="0" w:color="000000"/>
              <w:right w:val="single" w:sz="4" w:space="0" w:color="000000"/>
            </w:tcBorders>
            <w:shd w:val="clear" w:color="auto" w:fill="auto"/>
            <w:vAlign w:val="center"/>
            <w:hideMark/>
          </w:tcPr>
          <w:p w14:paraId="1DEC0013" w14:textId="77777777" w:rsidR="00727235" w:rsidRPr="005376A2" w:rsidRDefault="00727235" w:rsidP="0019603A">
            <w:pPr>
              <w:ind w:firstLine="0"/>
              <w:rPr>
                <w:sz w:val="22"/>
                <w:lang w:eastAsia="ru-RU"/>
              </w:rPr>
            </w:pPr>
            <w:r w:rsidRPr="005376A2">
              <w:rPr>
                <w:sz w:val="22"/>
                <w:lang w:eastAsia="ru-RU"/>
              </w:rPr>
              <w:t>05</w:t>
            </w:r>
          </w:p>
        </w:tc>
        <w:tc>
          <w:tcPr>
            <w:tcW w:w="851" w:type="dxa"/>
            <w:tcBorders>
              <w:top w:val="nil"/>
              <w:left w:val="nil"/>
              <w:bottom w:val="single" w:sz="4" w:space="0" w:color="000000"/>
              <w:right w:val="single" w:sz="4" w:space="0" w:color="000000"/>
            </w:tcBorders>
            <w:shd w:val="clear" w:color="auto" w:fill="auto"/>
            <w:vAlign w:val="center"/>
            <w:hideMark/>
          </w:tcPr>
          <w:p w14:paraId="01CB9DB1" w14:textId="77777777" w:rsidR="00727235" w:rsidRPr="005376A2" w:rsidRDefault="00727235" w:rsidP="0019603A">
            <w:pPr>
              <w:ind w:firstLine="0"/>
              <w:rPr>
                <w:sz w:val="22"/>
                <w:lang w:eastAsia="ru-RU"/>
              </w:rPr>
            </w:pPr>
            <w:r w:rsidRPr="005376A2">
              <w:rPr>
                <w:sz w:val="22"/>
                <w:lang w:eastAsia="ru-RU"/>
              </w:rPr>
              <w:t>06</w:t>
            </w:r>
          </w:p>
        </w:tc>
        <w:tc>
          <w:tcPr>
            <w:tcW w:w="1275" w:type="dxa"/>
            <w:tcBorders>
              <w:top w:val="nil"/>
              <w:left w:val="nil"/>
              <w:bottom w:val="single" w:sz="4" w:space="0" w:color="000000"/>
              <w:right w:val="single" w:sz="4" w:space="0" w:color="000000"/>
            </w:tcBorders>
            <w:shd w:val="clear" w:color="auto" w:fill="auto"/>
            <w:vAlign w:val="center"/>
            <w:hideMark/>
          </w:tcPr>
          <w:p w14:paraId="7B6D3908" w14:textId="77777777" w:rsidR="00727235" w:rsidRPr="005376A2" w:rsidRDefault="00727235" w:rsidP="0019603A">
            <w:pPr>
              <w:ind w:firstLine="0"/>
              <w:rPr>
                <w:sz w:val="22"/>
                <w:lang w:eastAsia="ru-RU"/>
              </w:rPr>
            </w:pPr>
            <w:r w:rsidRPr="005376A2">
              <w:rPr>
                <w:sz w:val="22"/>
                <w:lang w:eastAsia="ru-RU"/>
              </w:rPr>
              <w:t>07</w:t>
            </w:r>
          </w:p>
        </w:tc>
        <w:tc>
          <w:tcPr>
            <w:tcW w:w="992" w:type="dxa"/>
            <w:tcBorders>
              <w:top w:val="nil"/>
              <w:left w:val="nil"/>
              <w:bottom w:val="single" w:sz="4" w:space="0" w:color="000000"/>
              <w:right w:val="single" w:sz="4" w:space="0" w:color="000000"/>
            </w:tcBorders>
            <w:shd w:val="clear" w:color="auto" w:fill="auto"/>
            <w:vAlign w:val="center"/>
            <w:hideMark/>
          </w:tcPr>
          <w:p w14:paraId="2831EEC8" w14:textId="77777777" w:rsidR="00727235" w:rsidRPr="005376A2" w:rsidRDefault="00727235" w:rsidP="0019603A">
            <w:pPr>
              <w:ind w:firstLine="0"/>
              <w:rPr>
                <w:sz w:val="22"/>
                <w:lang w:eastAsia="ru-RU"/>
              </w:rPr>
            </w:pPr>
            <w:r w:rsidRPr="005376A2">
              <w:rPr>
                <w:sz w:val="22"/>
                <w:lang w:eastAsia="ru-RU"/>
              </w:rPr>
              <w:t>08</w:t>
            </w:r>
          </w:p>
        </w:tc>
        <w:tc>
          <w:tcPr>
            <w:tcW w:w="1276" w:type="dxa"/>
            <w:tcBorders>
              <w:top w:val="nil"/>
              <w:left w:val="nil"/>
              <w:bottom w:val="single" w:sz="4" w:space="0" w:color="000000"/>
              <w:right w:val="single" w:sz="4" w:space="0" w:color="000000"/>
            </w:tcBorders>
            <w:shd w:val="clear" w:color="auto" w:fill="auto"/>
            <w:vAlign w:val="center"/>
            <w:hideMark/>
          </w:tcPr>
          <w:p w14:paraId="1EA2376A" w14:textId="77777777" w:rsidR="00727235" w:rsidRPr="005376A2" w:rsidRDefault="00727235" w:rsidP="0019603A">
            <w:pPr>
              <w:ind w:firstLine="0"/>
              <w:rPr>
                <w:sz w:val="22"/>
                <w:lang w:eastAsia="ru-RU"/>
              </w:rPr>
            </w:pPr>
            <w:r w:rsidRPr="005376A2">
              <w:rPr>
                <w:sz w:val="22"/>
                <w:lang w:eastAsia="ru-RU"/>
              </w:rPr>
              <w:t>09</w:t>
            </w:r>
          </w:p>
        </w:tc>
      </w:tr>
      <w:tr w:rsidR="00183DEC" w:rsidRPr="005376A2" w14:paraId="2917CD43" w14:textId="77777777" w:rsidTr="005376A2">
        <w:trPr>
          <w:trHeight w:val="948"/>
        </w:trPr>
        <w:tc>
          <w:tcPr>
            <w:tcW w:w="426" w:type="dxa"/>
            <w:tcBorders>
              <w:top w:val="nil"/>
              <w:left w:val="single" w:sz="4" w:space="0" w:color="000000"/>
              <w:bottom w:val="single" w:sz="4" w:space="0" w:color="000000"/>
              <w:right w:val="single" w:sz="4" w:space="0" w:color="000000"/>
            </w:tcBorders>
            <w:shd w:val="clear" w:color="auto" w:fill="auto"/>
            <w:vAlign w:val="center"/>
            <w:hideMark/>
          </w:tcPr>
          <w:p w14:paraId="0DCFEC85" w14:textId="759D6F48" w:rsidR="00183DEC" w:rsidRPr="005376A2" w:rsidRDefault="00183DEC" w:rsidP="00183DEC">
            <w:pPr>
              <w:rPr>
                <w:sz w:val="22"/>
                <w:lang w:eastAsia="ru-RU"/>
              </w:rPr>
            </w:pPr>
            <w:r w:rsidRPr="005376A2">
              <w:rPr>
                <w:sz w:val="22"/>
                <w:lang w:eastAsia="ru-RU"/>
              </w:rPr>
              <w:t>11</w:t>
            </w:r>
          </w:p>
        </w:tc>
        <w:tc>
          <w:tcPr>
            <w:tcW w:w="1418" w:type="dxa"/>
            <w:tcBorders>
              <w:top w:val="nil"/>
              <w:left w:val="nil"/>
              <w:bottom w:val="single" w:sz="4" w:space="0" w:color="000000"/>
              <w:right w:val="single" w:sz="4" w:space="0" w:color="000000"/>
            </w:tcBorders>
            <w:shd w:val="clear" w:color="auto" w:fill="auto"/>
            <w:vAlign w:val="center"/>
            <w:hideMark/>
          </w:tcPr>
          <w:p w14:paraId="7CB16FD9" w14:textId="77777777" w:rsidR="00183DEC" w:rsidRPr="005376A2" w:rsidRDefault="00183DEC" w:rsidP="00183DEC">
            <w:pPr>
              <w:ind w:firstLine="0"/>
              <w:rPr>
                <w:sz w:val="22"/>
                <w:lang w:eastAsia="ru-RU"/>
              </w:rPr>
            </w:pPr>
            <w:r w:rsidRPr="005376A2">
              <w:rPr>
                <w:sz w:val="22"/>
                <w:lang w:eastAsia="ru-RU"/>
              </w:rPr>
              <w:t>линейная</w:t>
            </w:r>
          </w:p>
        </w:tc>
        <w:tc>
          <w:tcPr>
            <w:tcW w:w="1276" w:type="dxa"/>
            <w:tcBorders>
              <w:top w:val="nil"/>
              <w:left w:val="nil"/>
              <w:bottom w:val="single" w:sz="4" w:space="0" w:color="000000"/>
              <w:right w:val="single" w:sz="4" w:space="0" w:color="000000"/>
            </w:tcBorders>
            <w:shd w:val="clear" w:color="auto" w:fill="auto"/>
            <w:vAlign w:val="center"/>
            <w:hideMark/>
          </w:tcPr>
          <w:p w14:paraId="3E1CC740" w14:textId="66964B9A" w:rsidR="00183DEC" w:rsidRPr="005376A2" w:rsidRDefault="00183DEC" w:rsidP="00183DEC">
            <w:pPr>
              <w:ind w:firstLine="0"/>
              <w:rPr>
                <w:sz w:val="22"/>
              </w:rPr>
            </w:pPr>
            <w:r w:rsidRPr="005376A2">
              <w:rPr>
                <w:color w:val="000000"/>
                <w:sz w:val="22"/>
              </w:rPr>
              <w:t>3</w:t>
            </w:r>
          </w:p>
        </w:tc>
        <w:tc>
          <w:tcPr>
            <w:tcW w:w="1133" w:type="dxa"/>
            <w:tcBorders>
              <w:top w:val="nil"/>
              <w:left w:val="nil"/>
              <w:bottom w:val="single" w:sz="4" w:space="0" w:color="000000"/>
              <w:right w:val="single" w:sz="4" w:space="0" w:color="000000"/>
            </w:tcBorders>
            <w:shd w:val="clear" w:color="auto" w:fill="auto"/>
            <w:vAlign w:val="center"/>
            <w:hideMark/>
          </w:tcPr>
          <w:p w14:paraId="7114BFFC" w14:textId="45F927D5" w:rsidR="00183DEC" w:rsidRPr="005376A2" w:rsidRDefault="00183DEC" w:rsidP="00183DEC">
            <w:pPr>
              <w:ind w:firstLine="0"/>
              <w:rPr>
                <w:sz w:val="22"/>
              </w:rPr>
            </w:pPr>
            <w:r w:rsidRPr="005376A2">
              <w:rPr>
                <w:color w:val="000000"/>
                <w:sz w:val="22"/>
              </w:rPr>
              <w:t>0,83</w:t>
            </w:r>
          </w:p>
        </w:tc>
        <w:tc>
          <w:tcPr>
            <w:tcW w:w="1134" w:type="dxa"/>
            <w:tcBorders>
              <w:top w:val="nil"/>
              <w:left w:val="nil"/>
              <w:bottom w:val="single" w:sz="4" w:space="0" w:color="000000"/>
              <w:right w:val="single" w:sz="4" w:space="0" w:color="000000"/>
            </w:tcBorders>
            <w:shd w:val="clear" w:color="auto" w:fill="auto"/>
            <w:vAlign w:val="center"/>
            <w:hideMark/>
          </w:tcPr>
          <w:p w14:paraId="4416094D" w14:textId="1D266D51" w:rsidR="00183DEC" w:rsidRPr="005376A2" w:rsidRDefault="00183DEC" w:rsidP="00183DEC">
            <w:pPr>
              <w:ind w:firstLine="0"/>
              <w:rPr>
                <w:sz w:val="22"/>
              </w:rPr>
            </w:pPr>
            <w:r w:rsidRPr="005376A2">
              <w:rPr>
                <w:color w:val="000000"/>
                <w:sz w:val="22"/>
              </w:rPr>
              <w:t>148,85</w:t>
            </w:r>
          </w:p>
        </w:tc>
        <w:tc>
          <w:tcPr>
            <w:tcW w:w="851" w:type="dxa"/>
            <w:tcBorders>
              <w:top w:val="nil"/>
              <w:left w:val="nil"/>
              <w:bottom w:val="single" w:sz="4" w:space="0" w:color="000000"/>
              <w:right w:val="single" w:sz="4" w:space="0" w:color="000000"/>
            </w:tcBorders>
            <w:shd w:val="clear" w:color="auto" w:fill="auto"/>
            <w:vAlign w:val="center"/>
            <w:hideMark/>
          </w:tcPr>
          <w:p w14:paraId="1C6FB866" w14:textId="3A529A6D" w:rsidR="00183DEC" w:rsidRPr="005376A2" w:rsidRDefault="00183DEC" w:rsidP="00183DEC">
            <w:pPr>
              <w:ind w:firstLine="0"/>
              <w:rPr>
                <w:sz w:val="22"/>
              </w:rPr>
            </w:pPr>
            <w:r w:rsidRPr="005376A2">
              <w:rPr>
                <w:color w:val="000000"/>
                <w:sz w:val="22"/>
              </w:rPr>
              <w:t>3,1</w:t>
            </w:r>
          </w:p>
        </w:tc>
        <w:tc>
          <w:tcPr>
            <w:tcW w:w="1275" w:type="dxa"/>
            <w:tcBorders>
              <w:top w:val="nil"/>
              <w:left w:val="nil"/>
              <w:bottom w:val="single" w:sz="4" w:space="0" w:color="000000"/>
              <w:right w:val="single" w:sz="4" w:space="0" w:color="000000"/>
            </w:tcBorders>
            <w:shd w:val="clear" w:color="auto" w:fill="auto"/>
            <w:vAlign w:val="center"/>
            <w:hideMark/>
          </w:tcPr>
          <w:p w14:paraId="0501EA57" w14:textId="75756069" w:rsidR="00183DEC" w:rsidRPr="005376A2" w:rsidRDefault="00183DEC" w:rsidP="00183DEC">
            <w:pPr>
              <w:ind w:firstLine="0"/>
              <w:rPr>
                <w:sz w:val="22"/>
              </w:rPr>
            </w:pPr>
            <w:r w:rsidRPr="005376A2">
              <w:rPr>
                <w:color w:val="000000"/>
                <w:sz w:val="22"/>
              </w:rPr>
              <w:t>15,25</w:t>
            </w:r>
          </w:p>
        </w:tc>
        <w:tc>
          <w:tcPr>
            <w:tcW w:w="992" w:type="dxa"/>
            <w:tcBorders>
              <w:top w:val="nil"/>
              <w:left w:val="nil"/>
              <w:bottom w:val="single" w:sz="4" w:space="0" w:color="000000"/>
              <w:right w:val="single" w:sz="4" w:space="0" w:color="000000"/>
            </w:tcBorders>
            <w:shd w:val="clear" w:color="auto" w:fill="auto"/>
            <w:vAlign w:val="center"/>
            <w:hideMark/>
          </w:tcPr>
          <w:p w14:paraId="3587B172" w14:textId="36A674AB" w:rsidR="00183DEC" w:rsidRPr="005376A2" w:rsidRDefault="00183DEC" w:rsidP="00183DEC">
            <w:pPr>
              <w:ind w:firstLine="0"/>
              <w:rPr>
                <w:sz w:val="22"/>
              </w:rPr>
            </w:pPr>
            <w:r w:rsidRPr="005376A2">
              <w:rPr>
                <w:color w:val="000000"/>
                <w:sz w:val="22"/>
              </w:rPr>
              <w:t>1,02</w:t>
            </w:r>
          </w:p>
        </w:tc>
        <w:tc>
          <w:tcPr>
            <w:tcW w:w="1276" w:type="dxa"/>
            <w:tcBorders>
              <w:top w:val="nil"/>
              <w:left w:val="nil"/>
              <w:bottom w:val="single" w:sz="4" w:space="0" w:color="000000"/>
              <w:right w:val="single" w:sz="4" w:space="0" w:color="000000"/>
            </w:tcBorders>
            <w:shd w:val="clear" w:color="auto" w:fill="auto"/>
            <w:vAlign w:val="center"/>
            <w:hideMark/>
          </w:tcPr>
          <w:p w14:paraId="31AF31D7" w14:textId="07D84823" w:rsidR="00183DEC" w:rsidRPr="005376A2" w:rsidRDefault="00183DEC" w:rsidP="00183DEC">
            <w:pPr>
              <w:ind w:firstLine="0"/>
              <w:rPr>
                <w:sz w:val="22"/>
                <w:lang w:eastAsia="ru-RU"/>
              </w:rPr>
            </w:pPr>
            <w:r w:rsidRPr="005376A2">
              <w:rPr>
                <w:color w:val="000000"/>
                <w:sz w:val="22"/>
              </w:rPr>
              <w:t>Соответствует</w:t>
            </w:r>
          </w:p>
        </w:tc>
      </w:tr>
      <w:tr w:rsidR="00183DEC" w:rsidRPr="005376A2" w14:paraId="1A6764A6" w14:textId="77777777" w:rsidTr="00727235">
        <w:trPr>
          <w:trHeight w:val="360"/>
        </w:trPr>
        <w:tc>
          <w:tcPr>
            <w:tcW w:w="426" w:type="dxa"/>
            <w:tcBorders>
              <w:top w:val="nil"/>
              <w:left w:val="single" w:sz="4" w:space="0" w:color="000000"/>
              <w:bottom w:val="single" w:sz="4" w:space="0" w:color="000000"/>
              <w:right w:val="single" w:sz="4" w:space="0" w:color="000000"/>
            </w:tcBorders>
            <w:shd w:val="clear" w:color="auto" w:fill="auto"/>
            <w:vAlign w:val="center"/>
            <w:hideMark/>
          </w:tcPr>
          <w:p w14:paraId="112A5A1C" w14:textId="7C58DBAF" w:rsidR="00183DEC" w:rsidRPr="005376A2" w:rsidRDefault="00183DEC" w:rsidP="00183DEC">
            <w:pPr>
              <w:rPr>
                <w:sz w:val="22"/>
                <w:lang w:eastAsia="ru-RU"/>
              </w:rPr>
            </w:pPr>
            <w:r w:rsidRPr="005376A2">
              <w:rPr>
                <w:sz w:val="22"/>
                <w:lang w:eastAsia="ru-RU"/>
              </w:rPr>
              <w:t>22</w:t>
            </w:r>
          </w:p>
        </w:tc>
        <w:tc>
          <w:tcPr>
            <w:tcW w:w="1418" w:type="dxa"/>
            <w:tcBorders>
              <w:top w:val="nil"/>
              <w:left w:val="nil"/>
              <w:bottom w:val="single" w:sz="4" w:space="0" w:color="000000"/>
              <w:right w:val="single" w:sz="4" w:space="0" w:color="000000"/>
            </w:tcBorders>
            <w:shd w:val="clear" w:color="auto" w:fill="auto"/>
            <w:vAlign w:val="center"/>
            <w:hideMark/>
          </w:tcPr>
          <w:p w14:paraId="20CFA4B0" w14:textId="77777777" w:rsidR="00183DEC" w:rsidRPr="005376A2" w:rsidRDefault="00183DEC" w:rsidP="00183DEC">
            <w:pPr>
              <w:ind w:firstLine="0"/>
              <w:rPr>
                <w:sz w:val="22"/>
                <w:lang w:eastAsia="ru-RU"/>
              </w:rPr>
            </w:pPr>
            <w:r w:rsidRPr="005376A2">
              <w:rPr>
                <w:sz w:val="22"/>
                <w:lang w:eastAsia="ru-RU"/>
              </w:rPr>
              <w:t>мультипликативная</w:t>
            </w:r>
          </w:p>
        </w:tc>
        <w:tc>
          <w:tcPr>
            <w:tcW w:w="1276" w:type="dxa"/>
            <w:tcBorders>
              <w:top w:val="nil"/>
              <w:left w:val="nil"/>
              <w:bottom w:val="single" w:sz="4" w:space="0" w:color="000000"/>
              <w:right w:val="single" w:sz="4" w:space="0" w:color="000000"/>
            </w:tcBorders>
            <w:shd w:val="clear" w:color="auto" w:fill="auto"/>
            <w:vAlign w:val="center"/>
            <w:hideMark/>
          </w:tcPr>
          <w:p w14:paraId="58EDB679" w14:textId="27330A59" w:rsidR="00183DEC" w:rsidRPr="005376A2" w:rsidRDefault="00183DEC" w:rsidP="00183DEC">
            <w:pPr>
              <w:ind w:firstLine="0"/>
              <w:rPr>
                <w:sz w:val="22"/>
              </w:rPr>
            </w:pPr>
            <w:r w:rsidRPr="005376A2">
              <w:rPr>
                <w:color w:val="000000"/>
                <w:sz w:val="22"/>
              </w:rPr>
              <w:t>3</w:t>
            </w:r>
          </w:p>
        </w:tc>
        <w:tc>
          <w:tcPr>
            <w:tcW w:w="1133" w:type="dxa"/>
            <w:tcBorders>
              <w:top w:val="nil"/>
              <w:left w:val="nil"/>
              <w:bottom w:val="single" w:sz="4" w:space="0" w:color="000000"/>
              <w:right w:val="single" w:sz="4" w:space="0" w:color="000000"/>
            </w:tcBorders>
            <w:shd w:val="clear" w:color="auto" w:fill="auto"/>
            <w:vAlign w:val="center"/>
            <w:hideMark/>
          </w:tcPr>
          <w:p w14:paraId="327E2530" w14:textId="3E62FF3D" w:rsidR="00183DEC" w:rsidRPr="005376A2" w:rsidRDefault="00183DEC" w:rsidP="00183DEC">
            <w:pPr>
              <w:ind w:firstLine="0"/>
              <w:rPr>
                <w:sz w:val="22"/>
              </w:rPr>
            </w:pPr>
            <w:r w:rsidRPr="005376A2">
              <w:rPr>
                <w:color w:val="000000"/>
                <w:sz w:val="22"/>
              </w:rPr>
              <w:t>0,85</w:t>
            </w:r>
          </w:p>
        </w:tc>
        <w:tc>
          <w:tcPr>
            <w:tcW w:w="1134" w:type="dxa"/>
            <w:tcBorders>
              <w:top w:val="nil"/>
              <w:left w:val="nil"/>
              <w:bottom w:val="single" w:sz="4" w:space="0" w:color="000000"/>
              <w:right w:val="single" w:sz="4" w:space="0" w:color="000000"/>
            </w:tcBorders>
            <w:shd w:val="clear" w:color="auto" w:fill="auto"/>
            <w:vAlign w:val="center"/>
            <w:hideMark/>
          </w:tcPr>
          <w:p w14:paraId="2C656520" w14:textId="09D50200" w:rsidR="00183DEC" w:rsidRPr="005376A2" w:rsidRDefault="00183DEC" w:rsidP="00183DEC">
            <w:pPr>
              <w:ind w:firstLine="0"/>
              <w:rPr>
                <w:sz w:val="22"/>
              </w:rPr>
            </w:pPr>
            <w:r w:rsidRPr="005376A2">
              <w:rPr>
                <w:color w:val="000000"/>
                <w:sz w:val="22"/>
              </w:rPr>
              <w:t>167,62</w:t>
            </w:r>
          </w:p>
        </w:tc>
        <w:tc>
          <w:tcPr>
            <w:tcW w:w="851" w:type="dxa"/>
            <w:tcBorders>
              <w:top w:val="nil"/>
              <w:left w:val="nil"/>
              <w:bottom w:val="single" w:sz="4" w:space="0" w:color="000000"/>
              <w:right w:val="single" w:sz="4" w:space="0" w:color="000000"/>
            </w:tcBorders>
            <w:shd w:val="clear" w:color="auto" w:fill="auto"/>
            <w:vAlign w:val="center"/>
            <w:hideMark/>
          </w:tcPr>
          <w:p w14:paraId="48E5496D" w14:textId="4CAD1479" w:rsidR="00183DEC" w:rsidRPr="005376A2" w:rsidRDefault="00183DEC" w:rsidP="00183DEC">
            <w:pPr>
              <w:ind w:firstLine="0"/>
              <w:rPr>
                <w:sz w:val="22"/>
              </w:rPr>
            </w:pPr>
            <w:r w:rsidRPr="005376A2">
              <w:rPr>
                <w:color w:val="000000"/>
                <w:sz w:val="22"/>
              </w:rPr>
              <w:t>3,1</w:t>
            </w:r>
          </w:p>
        </w:tc>
        <w:tc>
          <w:tcPr>
            <w:tcW w:w="1275" w:type="dxa"/>
            <w:tcBorders>
              <w:top w:val="nil"/>
              <w:left w:val="nil"/>
              <w:bottom w:val="single" w:sz="4" w:space="0" w:color="000000"/>
              <w:right w:val="single" w:sz="4" w:space="0" w:color="000000"/>
            </w:tcBorders>
            <w:shd w:val="clear" w:color="auto" w:fill="auto"/>
            <w:vAlign w:val="center"/>
            <w:hideMark/>
          </w:tcPr>
          <w:p w14:paraId="1F3EBB68" w14:textId="74409ED5" w:rsidR="00183DEC" w:rsidRPr="005376A2" w:rsidRDefault="00183DEC" w:rsidP="00183DEC">
            <w:pPr>
              <w:ind w:firstLine="0"/>
              <w:rPr>
                <w:sz w:val="22"/>
              </w:rPr>
            </w:pPr>
            <w:r w:rsidRPr="005376A2">
              <w:rPr>
                <w:color w:val="000000"/>
                <w:sz w:val="22"/>
              </w:rPr>
              <w:t>13,49</w:t>
            </w:r>
          </w:p>
        </w:tc>
        <w:tc>
          <w:tcPr>
            <w:tcW w:w="992" w:type="dxa"/>
            <w:tcBorders>
              <w:top w:val="nil"/>
              <w:left w:val="nil"/>
              <w:bottom w:val="single" w:sz="4" w:space="0" w:color="000000"/>
              <w:right w:val="single" w:sz="4" w:space="0" w:color="000000"/>
            </w:tcBorders>
            <w:shd w:val="clear" w:color="auto" w:fill="auto"/>
            <w:vAlign w:val="center"/>
            <w:hideMark/>
          </w:tcPr>
          <w:p w14:paraId="44A85255" w14:textId="028A94F3" w:rsidR="00183DEC" w:rsidRPr="005376A2" w:rsidRDefault="00183DEC" w:rsidP="00183DEC">
            <w:pPr>
              <w:ind w:firstLine="0"/>
              <w:rPr>
                <w:sz w:val="22"/>
              </w:rPr>
            </w:pPr>
            <w:r w:rsidRPr="005376A2">
              <w:rPr>
                <w:color w:val="000000"/>
                <w:sz w:val="22"/>
              </w:rPr>
              <w:t>1,03</w:t>
            </w:r>
          </w:p>
        </w:tc>
        <w:tc>
          <w:tcPr>
            <w:tcW w:w="1276" w:type="dxa"/>
            <w:tcBorders>
              <w:top w:val="nil"/>
              <w:left w:val="nil"/>
              <w:bottom w:val="single" w:sz="4" w:space="0" w:color="000000"/>
              <w:right w:val="single" w:sz="4" w:space="0" w:color="000000"/>
            </w:tcBorders>
            <w:shd w:val="clear" w:color="auto" w:fill="auto"/>
            <w:vAlign w:val="center"/>
            <w:hideMark/>
          </w:tcPr>
          <w:p w14:paraId="086B60A6" w14:textId="7FC08207" w:rsidR="00183DEC" w:rsidRPr="005376A2" w:rsidRDefault="00183DEC" w:rsidP="00183DEC">
            <w:pPr>
              <w:ind w:firstLine="0"/>
              <w:rPr>
                <w:sz w:val="22"/>
                <w:lang w:eastAsia="ru-RU"/>
              </w:rPr>
            </w:pPr>
            <w:r w:rsidRPr="005376A2">
              <w:rPr>
                <w:color w:val="000000"/>
                <w:sz w:val="22"/>
              </w:rPr>
              <w:t>Соответствует</w:t>
            </w:r>
          </w:p>
        </w:tc>
      </w:tr>
      <w:tr w:rsidR="00183DEC" w:rsidRPr="005376A2" w14:paraId="2C3464A1" w14:textId="77777777" w:rsidTr="00727235">
        <w:trPr>
          <w:trHeight w:val="360"/>
        </w:trPr>
        <w:tc>
          <w:tcPr>
            <w:tcW w:w="426" w:type="dxa"/>
            <w:tcBorders>
              <w:top w:val="nil"/>
              <w:left w:val="single" w:sz="4" w:space="0" w:color="000000"/>
              <w:bottom w:val="single" w:sz="4" w:space="0" w:color="000000"/>
              <w:right w:val="single" w:sz="4" w:space="0" w:color="000000"/>
            </w:tcBorders>
            <w:shd w:val="clear" w:color="auto" w:fill="auto"/>
            <w:vAlign w:val="center"/>
            <w:hideMark/>
          </w:tcPr>
          <w:p w14:paraId="0B8CEB75" w14:textId="77125383" w:rsidR="00183DEC" w:rsidRPr="005376A2" w:rsidRDefault="00183DEC" w:rsidP="00183DEC">
            <w:pPr>
              <w:rPr>
                <w:sz w:val="22"/>
                <w:lang w:eastAsia="ru-RU"/>
              </w:rPr>
            </w:pPr>
            <w:r w:rsidRPr="005376A2">
              <w:rPr>
                <w:sz w:val="22"/>
                <w:lang w:eastAsia="ru-RU"/>
              </w:rPr>
              <w:t>33</w:t>
            </w:r>
          </w:p>
        </w:tc>
        <w:tc>
          <w:tcPr>
            <w:tcW w:w="1418" w:type="dxa"/>
            <w:tcBorders>
              <w:top w:val="nil"/>
              <w:left w:val="nil"/>
              <w:bottom w:val="single" w:sz="4" w:space="0" w:color="000000"/>
              <w:right w:val="single" w:sz="4" w:space="0" w:color="000000"/>
            </w:tcBorders>
            <w:shd w:val="clear" w:color="auto" w:fill="auto"/>
            <w:vAlign w:val="center"/>
            <w:hideMark/>
          </w:tcPr>
          <w:p w14:paraId="38318EFE" w14:textId="77777777" w:rsidR="00183DEC" w:rsidRPr="005376A2" w:rsidRDefault="00183DEC" w:rsidP="00183DEC">
            <w:pPr>
              <w:ind w:firstLine="0"/>
              <w:rPr>
                <w:sz w:val="22"/>
                <w:lang w:eastAsia="ru-RU"/>
              </w:rPr>
            </w:pPr>
            <w:r w:rsidRPr="005376A2">
              <w:rPr>
                <w:sz w:val="22"/>
                <w:lang w:eastAsia="ru-RU"/>
              </w:rPr>
              <w:t>экспоненциальная</w:t>
            </w:r>
          </w:p>
        </w:tc>
        <w:tc>
          <w:tcPr>
            <w:tcW w:w="1276" w:type="dxa"/>
            <w:tcBorders>
              <w:top w:val="nil"/>
              <w:left w:val="nil"/>
              <w:bottom w:val="single" w:sz="4" w:space="0" w:color="000000"/>
              <w:right w:val="single" w:sz="4" w:space="0" w:color="000000"/>
            </w:tcBorders>
            <w:shd w:val="clear" w:color="auto" w:fill="auto"/>
            <w:vAlign w:val="center"/>
            <w:hideMark/>
          </w:tcPr>
          <w:p w14:paraId="6047758C" w14:textId="6EE4594F" w:rsidR="00183DEC" w:rsidRPr="005376A2" w:rsidRDefault="00183DEC" w:rsidP="00183DEC">
            <w:pPr>
              <w:ind w:firstLine="0"/>
              <w:rPr>
                <w:sz w:val="22"/>
              </w:rPr>
            </w:pPr>
            <w:r w:rsidRPr="005376A2">
              <w:rPr>
                <w:color w:val="000000"/>
                <w:sz w:val="22"/>
              </w:rPr>
              <w:t>3</w:t>
            </w:r>
          </w:p>
        </w:tc>
        <w:tc>
          <w:tcPr>
            <w:tcW w:w="1133" w:type="dxa"/>
            <w:tcBorders>
              <w:top w:val="nil"/>
              <w:left w:val="nil"/>
              <w:bottom w:val="single" w:sz="4" w:space="0" w:color="000000"/>
              <w:right w:val="single" w:sz="4" w:space="0" w:color="000000"/>
            </w:tcBorders>
            <w:shd w:val="clear" w:color="auto" w:fill="auto"/>
            <w:vAlign w:val="center"/>
            <w:hideMark/>
          </w:tcPr>
          <w:p w14:paraId="30755C71" w14:textId="2FCA3C52" w:rsidR="00183DEC" w:rsidRPr="005376A2" w:rsidRDefault="00183DEC" w:rsidP="00183DEC">
            <w:pPr>
              <w:ind w:firstLine="0"/>
              <w:rPr>
                <w:sz w:val="22"/>
              </w:rPr>
            </w:pPr>
            <w:r w:rsidRPr="005376A2">
              <w:rPr>
                <w:color w:val="000000"/>
                <w:sz w:val="22"/>
              </w:rPr>
              <w:t>0,84</w:t>
            </w:r>
          </w:p>
        </w:tc>
        <w:tc>
          <w:tcPr>
            <w:tcW w:w="1134" w:type="dxa"/>
            <w:tcBorders>
              <w:top w:val="nil"/>
              <w:left w:val="nil"/>
              <w:bottom w:val="single" w:sz="4" w:space="0" w:color="000000"/>
              <w:right w:val="single" w:sz="4" w:space="0" w:color="000000"/>
            </w:tcBorders>
            <w:shd w:val="clear" w:color="auto" w:fill="auto"/>
            <w:vAlign w:val="center"/>
            <w:hideMark/>
          </w:tcPr>
          <w:p w14:paraId="21683A10" w14:textId="446E7D9A" w:rsidR="00183DEC" w:rsidRPr="005376A2" w:rsidRDefault="00183DEC" w:rsidP="00183DEC">
            <w:pPr>
              <w:ind w:firstLine="0"/>
              <w:rPr>
                <w:sz w:val="22"/>
              </w:rPr>
            </w:pPr>
            <w:r w:rsidRPr="005376A2">
              <w:rPr>
                <w:color w:val="000000"/>
                <w:sz w:val="22"/>
              </w:rPr>
              <w:t>154,75</w:t>
            </w:r>
          </w:p>
        </w:tc>
        <w:tc>
          <w:tcPr>
            <w:tcW w:w="851" w:type="dxa"/>
            <w:tcBorders>
              <w:top w:val="nil"/>
              <w:left w:val="nil"/>
              <w:bottom w:val="single" w:sz="4" w:space="0" w:color="000000"/>
              <w:right w:val="single" w:sz="4" w:space="0" w:color="000000"/>
            </w:tcBorders>
            <w:shd w:val="clear" w:color="auto" w:fill="auto"/>
            <w:vAlign w:val="center"/>
            <w:hideMark/>
          </w:tcPr>
          <w:p w14:paraId="36883794" w14:textId="5E1E5B4A" w:rsidR="00183DEC" w:rsidRPr="005376A2" w:rsidRDefault="00183DEC" w:rsidP="00183DEC">
            <w:pPr>
              <w:ind w:firstLine="0"/>
              <w:rPr>
                <w:sz w:val="22"/>
              </w:rPr>
            </w:pPr>
            <w:r w:rsidRPr="005376A2">
              <w:rPr>
                <w:color w:val="000000"/>
                <w:sz w:val="22"/>
              </w:rPr>
              <w:t>3,1</w:t>
            </w:r>
          </w:p>
        </w:tc>
        <w:tc>
          <w:tcPr>
            <w:tcW w:w="1275" w:type="dxa"/>
            <w:tcBorders>
              <w:top w:val="nil"/>
              <w:left w:val="nil"/>
              <w:bottom w:val="single" w:sz="4" w:space="0" w:color="000000"/>
              <w:right w:val="single" w:sz="4" w:space="0" w:color="000000"/>
            </w:tcBorders>
            <w:shd w:val="clear" w:color="auto" w:fill="auto"/>
            <w:vAlign w:val="center"/>
            <w:hideMark/>
          </w:tcPr>
          <w:p w14:paraId="22C8F259" w14:textId="3986F3F1" w:rsidR="00183DEC" w:rsidRPr="005376A2" w:rsidRDefault="00183DEC" w:rsidP="00183DEC">
            <w:pPr>
              <w:ind w:firstLine="0"/>
              <w:rPr>
                <w:sz w:val="22"/>
              </w:rPr>
            </w:pPr>
            <w:r w:rsidRPr="005376A2">
              <w:rPr>
                <w:color w:val="000000"/>
                <w:sz w:val="22"/>
              </w:rPr>
              <w:t>13,07</w:t>
            </w:r>
          </w:p>
        </w:tc>
        <w:tc>
          <w:tcPr>
            <w:tcW w:w="992" w:type="dxa"/>
            <w:tcBorders>
              <w:top w:val="nil"/>
              <w:left w:val="nil"/>
              <w:bottom w:val="single" w:sz="4" w:space="0" w:color="000000"/>
              <w:right w:val="single" w:sz="4" w:space="0" w:color="000000"/>
            </w:tcBorders>
            <w:shd w:val="clear" w:color="auto" w:fill="auto"/>
            <w:vAlign w:val="center"/>
            <w:hideMark/>
          </w:tcPr>
          <w:p w14:paraId="1206020C" w14:textId="59221D0D" w:rsidR="00183DEC" w:rsidRPr="005376A2" w:rsidRDefault="00183DEC" w:rsidP="00183DEC">
            <w:pPr>
              <w:ind w:firstLine="0"/>
              <w:rPr>
                <w:sz w:val="22"/>
              </w:rPr>
            </w:pPr>
            <w:r w:rsidRPr="005376A2">
              <w:rPr>
                <w:color w:val="000000"/>
                <w:sz w:val="22"/>
              </w:rPr>
              <w:t>1,03</w:t>
            </w:r>
          </w:p>
        </w:tc>
        <w:tc>
          <w:tcPr>
            <w:tcW w:w="1276" w:type="dxa"/>
            <w:tcBorders>
              <w:top w:val="nil"/>
              <w:left w:val="nil"/>
              <w:bottom w:val="single" w:sz="4" w:space="0" w:color="000000"/>
              <w:right w:val="single" w:sz="4" w:space="0" w:color="000000"/>
            </w:tcBorders>
            <w:shd w:val="clear" w:color="auto" w:fill="auto"/>
            <w:vAlign w:val="center"/>
            <w:hideMark/>
          </w:tcPr>
          <w:p w14:paraId="0B89454D" w14:textId="72E7A55B" w:rsidR="00183DEC" w:rsidRPr="005376A2" w:rsidRDefault="00183DEC" w:rsidP="00183DEC">
            <w:pPr>
              <w:ind w:firstLine="0"/>
              <w:rPr>
                <w:sz w:val="22"/>
                <w:lang w:eastAsia="ru-RU"/>
              </w:rPr>
            </w:pPr>
            <w:r w:rsidRPr="005376A2">
              <w:rPr>
                <w:color w:val="000000"/>
                <w:sz w:val="22"/>
              </w:rPr>
              <w:t>Соответствует</w:t>
            </w:r>
          </w:p>
        </w:tc>
      </w:tr>
    </w:tbl>
    <w:p w14:paraId="71053D2B" w14:textId="77777777" w:rsidR="00727235" w:rsidRPr="00727235" w:rsidRDefault="00727235" w:rsidP="00727235">
      <w:pPr>
        <w:rPr>
          <w:lang w:eastAsia="ru-RU"/>
        </w:rPr>
      </w:pPr>
    </w:p>
    <w:p w14:paraId="71087BCD" w14:textId="77777777" w:rsidR="00727235" w:rsidRPr="00727235" w:rsidRDefault="00727235" w:rsidP="00727235">
      <w:r w:rsidRPr="00727235">
        <w:t>Далее проведен анализ качества моделей для статистически значимых моделей.</w:t>
      </w:r>
    </w:p>
    <w:p w14:paraId="6D8257F0" w14:textId="77777777" w:rsidR="00727235" w:rsidRPr="00727235" w:rsidRDefault="00727235" w:rsidP="00727235">
      <w:pPr>
        <w:rPr>
          <w:lang w:eastAsia="ru-RU"/>
        </w:rPr>
      </w:pPr>
    </w:p>
    <w:p w14:paraId="3C7484C1" w14:textId="610F50B9" w:rsidR="00727235" w:rsidRPr="00727235" w:rsidRDefault="00727235" w:rsidP="00727235">
      <w:pPr>
        <w:rPr>
          <w:lang w:eastAsia="ru-RU"/>
        </w:rPr>
      </w:pPr>
      <w:r w:rsidRPr="00727235">
        <w:rPr>
          <w:lang w:eastAsia="ru-RU"/>
        </w:rPr>
        <w:t xml:space="preserve">Таблица </w:t>
      </w:r>
      <w:r w:rsidRPr="00727235">
        <w:rPr>
          <w:lang w:eastAsia="ru-RU"/>
        </w:rPr>
        <w:fldChar w:fldCharType="begin"/>
      </w:r>
      <w:r w:rsidRPr="00727235">
        <w:rPr>
          <w:lang w:eastAsia="ru-RU"/>
        </w:rPr>
        <w:instrText xml:space="preserve"> SEQ Таблица \* ARABIC </w:instrText>
      </w:r>
      <w:r w:rsidRPr="00727235">
        <w:rPr>
          <w:lang w:eastAsia="ru-RU"/>
        </w:rPr>
        <w:fldChar w:fldCharType="separate"/>
      </w:r>
      <w:r w:rsidR="00FD2769">
        <w:rPr>
          <w:noProof/>
          <w:lang w:eastAsia="ru-RU"/>
        </w:rPr>
        <w:t>68</w:t>
      </w:r>
      <w:r w:rsidRPr="00727235">
        <w:rPr>
          <w:lang w:eastAsia="ru-RU"/>
        </w:rPr>
        <w:fldChar w:fldCharType="end"/>
      </w:r>
      <w:r w:rsidRPr="00727235">
        <w:rPr>
          <w:lang w:eastAsia="ru-RU"/>
        </w:rPr>
        <w:t xml:space="preserve"> Анализ качества статистически значимых моделей </w:t>
      </w:r>
      <w:r w:rsidR="00183DEC">
        <w:rPr>
          <w:lang w:eastAsia="ru-RU"/>
        </w:rPr>
        <w:t xml:space="preserve">подгруппы </w:t>
      </w:r>
      <w:r w:rsidR="00183DEC" w:rsidRPr="00183DEC">
        <w:rPr>
          <w:lang w:eastAsia="ru-RU"/>
        </w:rPr>
        <w:t>"Якутск с п/х 3.6." для 95 объектов и Yср=17454,85</w:t>
      </w:r>
    </w:p>
    <w:tbl>
      <w:tblPr>
        <w:tblW w:w="5000" w:type="pct"/>
        <w:tblLook w:val="04A0" w:firstRow="1" w:lastRow="0" w:firstColumn="1" w:lastColumn="0" w:noHBand="0" w:noVBand="1"/>
      </w:tblPr>
      <w:tblGrid>
        <w:gridCol w:w="451"/>
        <w:gridCol w:w="1786"/>
        <w:gridCol w:w="1131"/>
        <w:gridCol w:w="1207"/>
        <w:gridCol w:w="318"/>
        <w:gridCol w:w="859"/>
        <w:gridCol w:w="1209"/>
        <w:gridCol w:w="320"/>
        <w:gridCol w:w="856"/>
        <w:gridCol w:w="1208"/>
      </w:tblGrid>
      <w:tr w:rsidR="00727235" w:rsidRPr="00183DEC" w14:paraId="4FC03ACE" w14:textId="77777777" w:rsidTr="003C59C1">
        <w:trPr>
          <w:trHeight w:val="795"/>
        </w:trPr>
        <w:tc>
          <w:tcPr>
            <w:tcW w:w="242" w:type="pct"/>
            <w:tcBorders>
              <w:top w:val="single" w:sz="4" w:space="0" w:color="000000"/>
              <w:left w:val="single" w:sz="4" w:space="0" w:color="000000"/>
              <w:bottom w:val="nil"/>
              <w:right w:val="nil"/>
            </w:tcBorders>
            <w:shd w:val="clear" w:color="auto" w:fill="auto"/>
            <w:vAlign w:val="center"/>
            <w:hideMark/>
          </w:tcPr>
          <w:p w14:paraId="5D15AF9C" w14:textId="77777777" w:rsidR="00727235" w:rsidRPr="005376A2" w:rsidRDefault="00727235" w:rsidP="00FA5B5E">
            <w:pPr>
              <w:ind w:firstLine="37"/>
              <w:rPr>
                <w:rFonts w:cs="Times New Roman"/>
                <w:sz w:val="22"/>
                <w:lang w:eastAsia="ru-RU"/>
              </w:rPr>
            </w:pPr>
            <w:r w:rsidRPr="005376A2">
              <w:rPr>
                <w:rFonts w:cs="Times New Roman"/>
                <w:sz w:val="22"/>
                <w:lang w:eastAsia="ru-RU"/>
              </w:rPr>
              <w:t>№ п/п</w:t>
            </w:r>
          </w:p>
        </w:tc>
        <w:tc>
          <w:tcPr>
            <w:tcW w:w="956" w:type="pct"/>
            <w:tcBorders>
              <w:top w:val="single" w:sz="4" w:space="0" w:color="000000"/>
              <w:left w:val="single" w:sz="4" w:space="0" w:color="000000"/>
              <w:bottom w:val="nil"/>
              <w:right w:val="nil"/>
            </w:tcBorders>
            <w:shd w:val="clear" w:color="auto" w:fill="auto"/>
            <w:vAlign w:val="center"/>
            <w:hideMark/>
          </w:tcPr>
          <w:p w14:paraId="23FEE929" w14:textId="77777777" w:rsidR="00727235" w:rsidRPr="005376A2" w:rsidRDefault="00727235" w:rsidP="00FA5B5E">
            <w:pPr>
              <w:ind w:firstLine="37"/>
              <w:rPr>
                <w:rFonts w:cs="Times New Roman"/>
                <w:sz w:val="22"/>
                <w:lang w:eastAsia="ru-RU"/>
              </w:rPr>
            </w:pPr>
            <w:r w:rsidRPr="005376A2">
              <w:rPr>
                <w:rFonts w:cs="Times New Roman"/>
                <w:sz w:val="22"/>
                <w:lang w:eastAsia="ru-RU"/>
              </w:rPr>
              <w:t>Название статистически значимой модели</w:t>
            </w:r>
          </w:p>
        </w:tc>
        <w:tc>
          <w:tcPr>
            <w:tcW w:w="1409" w:type="pct"/>
            <w:gridSpan w:val="3"/>
            <w:tcBorders>
              <w:top w:val="single" w:sz="4" w:space="0" w:color="000000"/>
              <w:left w:val="single" w:sz="4" w:space="0" w:color="000000"/>
              <w:bottom w:val="single" w:sz="4" w:space="0" w:color="000000"/>
              <w:right w:val="nil"/>
            </w:tcBorders>
            <w:shd w:val="clear" w:color="auto" w:fill="auto"/>
            <w:vAlign w:val="center"/>
            <w:hideMark/>
          </w:tcPr>
          <w:p w14:paraId="05439C8B" w14:textId="77777777" w:rsidR="00727235" w:rsidRPr="005376A2" w:rsidRDefault="00727235" w:rsidP="00FA5B5E">
            <w:pPr>
              <w:ind w:firstLine="37"/>
              <w:rPr>
                <w:rFonts w:cs="Times New Roman"/>
                <w:sz w:val="22"/>
                <w:lang w:eastAsia="ru-RU"/>
              </w:rPr>
            </w:pPr>
            <w:r w:rsidRPr="005376A2">
              <w:rPr>
                <w:rFonts w:cs="Times New Roman"/>
                <w:sz w:val="22"/>
                <w:lang w:eastAsia="ru-RU"/>
              </w:rPr>
              <w:t>Линейная модель</w:t>
            </w:r>
          </w:p>
        </w:tc>
        <w:tc>
          <w:tcPr>
            <w:tcW w:w="1277" w:type="pct"/>
            <w:gridSpan w:val="3"/>
            <w:tcBorders>
              <w:top w:val="single" w:sz="4" w:space="0" w:color="000000"/>
              <w:left w:val="single" w:sz="4" w:space="0" w:color="000000"/>
              <w:bottom w:val="single" w:sz="4" w:space="0" w:color="000000"/>
              <w:right w:val="nil"/>
            </w:tcBorders>
            <w:shd w:val="clear" w:color="auto" w:fill="auto"/>
            <w:vAlign w:val="center"/>
            <w:hideMark/>
          </w:tcPr>
          <w:p w14:paraId="0DD94163" w14:textId="77777777" w:rsidR="00727235" w:rsidRPr="005376A2" w:rsidRDefault="00727235" w:rsidP="00FA5B5E">
            <w:pPr>
              <w:ind w:firstLine="37"/>
              <w:rPr>
                <w:rFonts w:cs="Times New Roman"/>
                <w:sz w:val="22"/>
                <w:lang w:eastAsia="ru-RU"/>
              </w:rPr>
            </w:pPr>
            <w:r w:rsidRPr="005376A2">
              <w:rPr>
                <w:rFonts w:cs="Times New Roman"/>
                <w:sz w:val="22"/>
                <w:lang w:eastAsia="ru-RU"/>
              </w:rPr>
              <w:t>Мультипликативная модель</w:t>
            </w:r>
          </w:p>
        </w:tc>
        <w:tc>
          <w:tcPr>
            <w:tcW w:w="1117" w:type="pct"/>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62AE31FA" w14:textId="77777777" w:rsidR="00727235" w:rsidRPr="005376A2" w:rsidRDefault="00727235" w:rsidP="00FA5B5E">
            <w:pPr>
              <w:ind w:firstLine="37"/>
              <w:rPr>
                <w:rFonts w:cs="Times New Roman"/>
                <w:sz w:val="22"/>
                <w:lang w:eastAsia="ru-RU"/>
              </w:rPr>
            </w:pPr>
            <w:r w:rsidRPr="005376A2">
              <w:rPr>
                <w:rFonts w:cs="Times New Roman"/>
                <w:sz w:val="22"/>
                <w:lang w:eastAsia="ru-RU"/>
              </w:rPr>
              <w:t>Экспоненциальная модель</w:t>
            </w:r>
          </w:p>
        </w:tc>
      </w:tr>
      <w:tr w:rsidR="00727235" w:rsidRPr="00183DEC" w14:paraId="56D62D55" w14:textId="77777777" w:rsidTr="003C59C1">
        <w:trPr>
          <w:trHeight w:val="765"/>
        </w:trPr>
        <w:tc>
          <w:tcPr>
            <w:tcW w:w="242" w:type="pct"/>
            <w:tcBorders>
              <w:top w:val="nil"/>
              <w:left w:val="single" w:sz="4" w:space="0" w:color="000000"/>
              <w:bottom w:val="single" w:sz="4" w:space="0" w:color="000000"/>
              <w:right w:val="nil"/>
            </w:tcBorders>
            <w:shd w:val="clear" w:color="auto" w:fill="auto"/>
            <w:vAlign w:val="center"/>
            <w:hideMark/>
          </w:tcPr>
          <w:p w14:paraId="1C9CDBC3" w14:textId="77777777" w:rsidR="00727235" w:rsidRPr="005376A2" w:rsidRDefault="00727235" w:rsidP="00FA5B5E">
            <w:pPr>
              <w:ind w:firstLine="37"/>
              <w:rPr>
                <w:rFonts w:cs="Times New Roman"/>
                <w:sz w:val="22"/>
                <w:lang w:eastAsia="ru-RU"/>
              </w:rPr>
            </w:pPr>
            <w:r w:rsidRPr="005376A2">
              <w:rPr>
                <w:rFonts w:cs="Times New Roman"/>
                <w:sz w:val="22"/>
                <w:lang w:eastAsia="ru-RU"/>
              </w:rPr>
              <w:t> </w:t>
            </w:r>
          </w:p>
        </w:tc>
        <w:tc>
          <w:tcPr>
            <w:tcW w:w="956" w:type="pct"/>
            <w:tcBorders>
              <w:top w:val="nil"/>
              <w:left w:val="single" w:sz="4" w:space="0" w:color="000000"/>
              <w:bottom w:val="single" w:sz="4" w:space="0" w:color="000000"/>
              <w:right w:val="nil"/>
            </w:tcBorders>
            <w:shd w:val="clear" w:color="auto" w:fill="auto"/>
            <w:vAlign w:val="center"/>
            <w:hideMark/>
          </w:tcPr>
          <w:p w14:paraId="48A78308" w14:textId="77777777" w:rsidR="00727235" w:rsidRPr="005376A2" w:rsidRDefault="00727235" w:rsidP="00FA5B5E">
            <w:pPr>
              <w:ind w:firstLine="37"/>
              <w:rPr>
                <w:rFonts w:cs="Times New Roman"/>
                <w:sz w:val="22"/>
                <w:lang w:eastAsia="ru-RU"/>
              </w:rPr>
            </w:pPr>
            <w:r w:rsidRPr="005376A2">
              <w:rPr>
                <w:rFonts w:cs="Times New Roman"/>
                <w:sz w:val="22"/>
                <w:lang w:eastAsia="ru-RU"/>
              </w:rPr>
              <w:t> </w:t>
            </w:r>
          </w:p>
        </w:tc>
        <w:tc>
          <w:tcPr>
            <w:tcW w:w="605" w:type="pct"/>
            <w:tcBorders>
              <w:top w:val="nil"/>
              <w:left w:val="single" w:sz="4" w:space="0" w:color="000000"/>
              <w:bottom w:val="single" w:sz="4" w:space="0" w:color="000000"/>
              <w:right w:val="nil"/>
            </w:tcBorders>
            <w:shd w:val="clear" w:color="auto" w:fill="auto"/>
            <w:vAlign w:val="center"/>
            <w:hideMark/>
          </w:tcPr>
          <w:p w14:paraId="5D5AB6C7" w14:textId="77777777" w:rsidR="00727235" w:rsidRPr="005376A2" w:rsidRDefault="00727235" w:rsidP="00FA5B5E">
            <w:pPr>
              <w:ind w:firstLine="37"/>
              <w:rPr>
                <w:rFonts w:cs="Times New Roman"/>
                <w:sz w:val="22"/>
                <w:lang w:eastAsia="ru-RU"/>
              </w:rPr>
            </w:pPr>
            <w:r w:rsidRPr="005376A2">
              <w:rPr>
                <w:rFonts w:cs="Times New Roman"/>
                <w:sz w:val="22"/>
                <w:lang w:eastAsia="ru-RU"/>
              </w:rPr>
              <w:t>Обучающая выборка</w:t>
            </w:r>
          </w:p>
        </w:tc>
        <w:tc>
          <w:tcPr>
            <w:tcW w:w="646" w:type="pct"/>
            <w:tcBorders>
              <w:top w:val="nil"/>
              <w:left w:val="single" w:sz="4" w:space="0" w:color="000000"/>
              <w:bottom w:val="single" w:sz="4" w:space="0" w:color="000000"/>
              <w:right w:val="nil"/>
            </w:tcBorders>
            <w:shd w:val="clear" w:color="auto" w:fill="auto"/>
            <w:vAlign w:val="center"/>
            <w:hideMark/>
          </w:tcPr>
          <w:p w14:paraId="7C22C735" w14:textId="77777777" w:rsidR="00727235" w:rsidRPr="005376A2" w:rsidRDefault="00727235" w:rsidP="00FA5B5E">
            <w:pPr>
              <w:ind w:firstLine="37"/>
              <w:rPr>
                <w:rFonts w:cs="Times New Roman"/>
                <w:sz w:val="22"/>
                <w:lang w:eastAsia="ru-RU"/>
              </w:rPr>
            </w:pPr>
            <w:r w:rsidRPr="005376A2">
              <w:rPr>
                <w:rFonts w:cs="Times New Roman"/>
                <w:sz w:val="22"/>
                <w:lang w:eastAsia="ru-RU"/>
              </w:rPr>
              <w:t>Контрольная выборка</w:t>
            </w:r>
          </w:p>
        </w:tc>
        <w:tc>
          <w:tcPr>
            <w:tcW w:w="630" w:type="pct"/>
            <w:gridSpan w:val="2"/>
            <w:tcBorders>
              <w:top w:val="nil"/>
              <w:left w:val="single" w:sz="4" w:space="0" w:color="000000"/>
              <w:bottom w:val="single" w:sz="4" w:space="0" w:color="000000"/>
              <w:right w:val="nil"/>
            </w:tcBorders>
            <w:shd w:val="clear" w:color="auto" w:fill="auto"/>
            <w:vAlign w:val="center"/>
            <w:hideMark/>
          </w:tcPr>
          <w:p w14:paraId="5D413111" w14:textId="77777777" w:rsidR="00727235" w:rsidRPr="005376A2" w:rsidRDefault="00727235" w:rsidP="00FA5B5E">
            <w:pPr>
              <w:ind w:firstLine="37"/>
              <w:rPr>
                <w:rFonts w:cs="Times New Roman"/>
                <w:sz w:val="22"/>
                <w:lang w:eastAsia="ru-RU"/>
              </w:rPr>
            </w:pPr>
            <w:r w:rsidRPr="005376A2">
              <w:rPr>
                <w:rFonts w:cs="Times New Roman"/>
                <w:sz w:val="22"/>
                <w:lang w:eastAsia="ru-RU"/>
              </w:rPr>
              <w:t>Обучающая выборка</w:t>
            </w:r>
          </w:p>
        </w:tc>
        <w:tc>
          <w:tcPr>
            <w:tcW w:w="646" w:type="pct"/>
            <w:tcBorders>
              <w:top w:val="nil"/>
              <w:left w:val="single" w:sz="4" w:space="0" w:color="000000"/>
              <w:bottom w:val="single" w:sz="4" w:space="0" w:color="000000"/>
              <w:right w:val="nil"/>
            </w:tcBorders>
            <w:shd w:val="clear" w:color="auto" w:fill="auto"/>
            <w:vAlign w:val="center"/>
            <w:hideMark/>
          </w:tcPr>
          <w:p w14:paraId="290439E9" w14:textId="77777777" w:rsidR="00727235" w:rsidRPr="005376A2" w:rsidRDefault="00727235" w:rsidP="00FA5B5E">
            <w:pPr>
              <w:ind w:firstLine="37"/>
              <w:rPr>
                <w:rFonts w:cs="Times New Roman"/>
                <w:sz w:val="22"/>
                <w:lang w:eastAsia="ru-RU"/>
              </w:rPr>
            </w:pPr>
            <w:r w:rsidRPr="005376A2">
              <w:rPr>
                <w:rFonts w:cs="Times New Roman"/>
                <w:sz w:val="22"/>
                <w:lang w:eastAsia="ru-RU"/>
              </w:rPr>
              <w:t>Контрольная выборка</w:t>
            </w:r>
          </w:p>
        </w:tc>
        <w:tc>
          <w:tcPr>
            <w:tcW w:w="629" w:type="pct"/>
            <w:gridSpan w:val="2"/>
            <w:tcBorders>
              <w:top w:val="nil"/>
              <w:left w:val="single" w:sz="4" w:space="0" w:color="000000"/>
              <w:bottom w:val="single" w:sz="4" w:space="0" w:color="000000"/>
              <w:right w:val="nil"/>
            </w:tcBorders>
            <w:shd w:val="clear" w:color="auto" w:fill="auto"/>
            <w:vAlign w:val="center"/>
            <w:hideMark/>
          </w:tcPr>
          <w:p w14:paraId="222E663B" w14:textId="77777777" w:rsidR="00727235" w:rsidRPr="005376A2" w:rsidRDefault="00727235" w:rsidP="00FA5B5E">
            <w:pPr>
              <w:ind w:firstLine="37"/>
              <w:rPr>
                <w:rFonts w:cs="Times New Roman"/>
                <w:sz w:val="22"/>
                <w:lang w:eastAsia="ru-RU"/>
              </w:rPr>
            </w:pPr>
            <w:r w:rsidRPr="005376A2">
              <w:rPr>
                <w:rFonts w:cs="Times New Roman"/>
                <w:sz w:val="22"/>
                <w:lang w:eastAsia="ru-RU"/>
              </w:rPr>
              <w:t>Обучающая выборка</w:t>
            </w:r>
          </w:p>
        </w:tc>
        <w:tc>
          <w:tcPr>
            <w:tcW w:w="646" w:type="pct"/>
            <w:tcBorders>
              <w:top w:val="nil"/>
              <w:left w:val="single" w:sz="4" w:space="0" w:color="000000"/>
              <w:bottom w:val="single" w:sz="4" w:space="0" w:color="000000"/>
              <w:right w:val="single" w:sz="4" w:space="0" w:color="000000"/>
            </w:tcBorders>
            <w:shd w:val="clear" w:color="auto" w:fill="auto"/>
            <w:vAlign w:val="center"/>
            <w:hideMark/>
          </w:tcPr>
          <w:p w14:paraId="69149CF4" w14:textId="77777777" w:rsidR="00727235" w:rsidRPr="005376A2" w:rsidRDefault="00727235" w:rsidP="00FA5B5E">
            <w:pPr>
              <w:ind w:firstLine="37"/>
              <w:rPr>
                <w:rFonts w:cs="Times New Roman"/>
                <w:sz w:val="22"/>
                <w:lang w:eastAsia="ru-RU"/>
              </w:rPr>
            </w:pPr>
            <w:r w:rsidRPr="005376A2">
              <w:rPr>
                <w:rFonts w:cs="Times New Roman"/>
                <w:sz w:val="22"/>
                <w:lang w:eastAsia="ru-RU"/>
              </w:rPr>
              <w:t>Контрольная выборка</w:t>
            </w:r>
          </w:p>
        </w:tc>
      </w:tr>
      <w:tr w:rsidR="00727235" w:rsidRPr="00183DEC" w14:paraId="0C1B621D" w14:textId="77777777" w:rsidTr="003C59C1">
        <w:trPr>
          <w:trHeight w:val="360"/>
        </w:trPr>
        <w:tc>
          <w:tcPr>
            <w:tcW w:w="242" w:type="pct"/>
            <w:tcBorders>
              <w:top w:val="nil"/>
              <w:left w:val="single" w:sz="4" w:space="0" w:color="000000"/>
              <w:bottom w:val="single" w:sz="4" w:space="0" w:color="000000"/>
              <w:right w:val="nil"/>
            </w:tcBorders>
            <w:shd w:val="clear" w:color="auto" w:fill="auto"/>
            <w:hideMark/>
          </w:tcPr>
          <w:p w14:paraId="7195F6E9" w14:textId="77777777" w:rsidR="00727235" w:rsidRPr="005376A2" w:rsidRDefault="00727235" w:rsidP="00FA5B5E">
            <w:pPr>
              <w:ind w:firstLine="37"/>
              <w:rPr>
                <w:rFonts w:cs="Times New Roman"/>
                <w:sz w:val="22"/>
                <w:lang w:eastAsia="ru-RU"/>
              </w:rPr>
            </w:pPr>
            <w:r w:rsidRPr="005376A2">
              <w:rPr>
                <w:rFonts w:cs="Times New Roman"/>
                <w:sz w:val="22"/>
                <w:lang w:eastAsia="ru-RU"/>
              </w:rPr>
              <w:t>01</w:t>
            </w:r>
          </w:p>
        </w:tc>
        <w:tc>
          <w:tcPr>
            <w:tcW w:w="956" w:type="pct"/>
            <w:tcBorders>
              <w:top w:val="nil"/>
              <w:left w:val="single" w:sz="4" w:space="0" w:color="000000"/>
              <w:bottom w:val="single" w:sz="4" w:space="0" w:color="000000"/>
              <w:right w:val="nil"/>
            </w:tcBorders>
            <w:shd w:val="clear" w:color="auto" w:fill="auto"/>
            <w:vAlign w:val="center"/>
            <w:hideMark/>
          </w:tcPr>
          <w:p w14:paraId="212E2B1A" w14:textId="77777777" w:rsidR="00727235" w:rsidRPr="005376A2" w:rsidRDefault="00727235" w:rsidP="00FA5B5E">
            <w:pPr>
              <w:ind w:firstLine="37"/>
              <w:rPr>
                <w:rFonts w:cs="Times New Roman"/>
                <w:sz w:val="22"/>
                <w:lang w:eastAsia="ru-RU"/>
              </w:rPr>
            </w:pPr>
            <w:r w:rsidRPr="005376A2">
              <w:rPr>
                <w:rFonts w:cs="Times New Roman"/>
                <w:sz w:val="22"/>
                <w:lang w:eastAsia="ru-RU"/>
              </w:rPr>
              <w:t>02</w:t>
            </w:r>
          </w:p>
        </w:tc>
        <w:tc>
          <w:tcPr>
            <w:tcW w:w="605" w:type="pct"/>
            <w:tcBorders>
              <w:top w:val="nil"/>
              <w:left w:val="single" w:sz="4" w:space="0" w:color="000000"/>
              <w:bottom w:val="single" w:sz="4" w:space="0" w:color="000000"/>
              <w:right w:val="nil"/>
            </w:tcBorders>
            <w:shd w:val="clear" w:color="auto" w:fill="auto"/>
            <w:vAlign w:val="center"/>
            <w:hideMark/>
          </w:tcPr>
          <w:p w14:paraId="03385200" w14:textId="77777777" w:rsidR="00727235" w:rsidRPr="005376A2" w:rsidRDefault="00727235" w:rsidP="00FA5B5E">
            <w:pPr>
              <w:ind w:firstLine="37"/>
              <w:rPr>
                <w:rFonts w:cs="Times New Roman"/>
                <w:sz w:val="22"/>
                <w:lang w:eastAsia="ru-RU"/>
              </w:rPr>
            </w:pPr>
            <w:r w:rsidRPr="005376A2">
              <w:rPr>
                <w:rFonts w:cs="Times New Roman"/>
                <w:sz w:val="22"/>
                <w:lang w:eastAsia="ru-RU"/>
              </w:rPr>
              <w:t>03</w:t>
            </w:r>
          </w:p>
        </w:tc>
        <w:tc>
          <w:tcPr>
            <w:tcW w:w="646" w:type="pct"/>
            <w:tcBorders>
              <w:top w:val="nil"/>
              <w:left w:val="single" w:sz="4" w:space="0" w:color="000000"/>
              <w:bottom w:val="single" w:sz="4" w:space="0" w:color="000000"/>
              <w:right w:val="nil"/>
            </w:tcBorders>
            <w:shd w:val="clear" w:color="auto" w:fill="auto"/>
            <w:vAlign w:val="center"/>
            <w:hideMark/>
          </w:tcPr>
          <w:p w14:paraId="22AE7D67" w14:textId="77777777" w:rsidR="00727235" w:rsidRPr="005376A2" w:rsidRDefault="00727235" w:rsidP="00FA5B5E">
            <w:pPr>
              <w:ind w:firstLine="37"/>
              <w:rPr>
                <w:rFonts w:cs="Times New Roman"/>
                <w:sz w:val="22"/>
                <w:lang w:eastAsia="ru-RU"/>
              </w:rPr>
            </w:pPr>
            <w:r w:rsidRPr="005376A2">
              <w:rPr>
                <w:rFonts w:cs="Times New Roman"/>
                <w:sz w:val="22"/>
                <w:lang w:eastAsia="ru-RU"/>
              </w:rPr>
              <w:t>04</w:t>
            </w:r>
          </w:p>
        </w:tc>
        <w:tc>
          <w:tcPr>
            <w:tcW w:w="630" w:type="pct"/>
            <w:gridSpan w:val="2"/>
            <w:tcBorders>
              <w:top w:val="nil"/>
              <w:left w:val="single" w:sz="4" w:space="0" w:color="000000"/>
              <w:bottom w:val="single" w:sz="4" w:space="0" w:color="000000"/>
              <w:right w:val="nil"/>
            </w:tcBorders>
            <w:shd w:val="clear" w:color="auto" w:fill="auto"/>
            <w:vAlign w:val="center"/>
            <w:hideMark/>
          </w:tcPr>
          <w:p w14:paraId="1B0DA320" w14:textId="77777777" w:rsidR="00727235" w:rsidRPr="005376A2" w:rsidRDefault="00727235" w:rsidP="00FA5B5E">
            <w:pPr>
              <w:ind w:firstLine="37"/>
              <w:rPr>
                <w:rFonts w:cs="Times New Roman"/>
                <w:sz w:val="22"/>
                <w:lang w:eastAsia="ru-RU"/>
              </w:rPr>
            </w:pPr>
            <w:r w:rsidRPr="005376A2">
              <w:rPr>
                <w:rFonts w:cs="Times New Roman"/>
                <w:sz w:val="22"/>
                <w:lang w:eastAsia="ru-RU"/>
              </w:rPr>
              <w:t>05</w:t>
            </w:r>
          </w:p>
        </w:tc>
        <w:tc>
          <w:tcPr>
            <w:tcW w:w="646" w:type="pct"/>
            <w:tcBorders>
              <w:top w:val="nil"/>
              <w:left w:val="single" w:sz="4" w:space="0" w:color="000000"/>
              <w:bottom w:val="single" w:sz="4" w:space="0" w:color="000000"/>
              <w:right w:val="nil"/>
            </w:tcBorders>
            <w:shd w:val="clear" w:color="auto" w:fill="auto"/>
            <w:vAlign w:val="center"/>
            <w:hideMark/>
          </w:tcPr>
          <w:p w14:paraId="7537D0C6" w14:textId="77777777" w:rsidR="00727235" w:rsidRPr="005376A2" w:rsidRDefault="00727235" w:rsidP="00FA5B5E">
            <w:pPr>
              <w:ind w:firstLine="37"/>
              <w:rPr>
                <w:rFonts w:cs="Times New Roman"/>
                <w:sz w:val="22"/>
                <w:lang w:eastAsia="ru-RU"/>
              </w:rPr>
            </w:pPr>
            <w:r w:rsidRPr="005376A2">
              <w:rPr>
                <w:rFonts w:cs="Times New Roman"/>
                <w:sz w:val="22"/>
                <w:lang w:eastAsia="ru-RU"/>
              </w:rPr>
              <w:t>06</w:t>
            </w:r>
          </w:p>
        </w:tc>
        <w:tc>
          <w:tcPr>
            <w:tcW w:w="629" w:type="pct"/>
            <w:gridSpan w:val="2"/>
            <w:tcBorders>
              <w:top w:val="nil"/>
              <w:left w:val="single" w:sz="4" w:space="0" w:color="000000"/>
              <w:bottom w:val="single" w:sz="4" w:space="0" w:color="000000"/>
              <w:right w:val="nil"/>
            </w:tcBorders>
            <w:shd w:val="clear" w:color="auto" w:fill="auto"/>
            <w:vAlign w:val="center"/>
            <w:hideMark/>
          </w:tcPr>
          <w:p w14:paraId="79512713" w14:textId="77777777" w:rsidR="00727235" w:rsidRPr="005376A2" w:rsidRDefault="00727235" w:rsidP="00FA5B5E">
            <w:pPr>
              <w:ind w:firstLine="37"/>
              <w:rPr>
                <w:rFonts w:cs="Times New Roman"/>
                <w:sz w:val="22"/>
                <w:lang w:eastAsia="ru-RU"/>
              </w:rPr>
            </w:pPr>
            <w:r w:rsidRPr="005376A2">
              <w:rPr>
                <w:rFonts w:cs="Times New Roman"/>
                <w:sz w:val="22"/>
                <w:lang w:eastAsia="ru-RU"/>
              </w:rPr>
              <w:t>07</w:t>
            </w:r>
          </w:p>
        </w:tc>
        <w:tc>
          <w:tcPr>
            <w:tcW w:w="646" w:type="pct"/>
            <w:tcBorders>
              <w:top w:val="nil"/>
              <w:left w:val="single" w:sz="4" w:space="0" w:color="000000"/>
              <w:bottom w:val="single" w:sz="4" w:space="0" w:color="000000"/>
              <w:right w:val="single" w:sz="4" w:space="0" w:color="000000"/>
            </w:tcBorders>
            <w:shd w:val="clear" w:color="auto" w:fill="auto"/>
            <w:vAlign w:val="center"/>
            <w:hideMark/>
          </w:tcPr>
          <w:p w14:paraId="3954FA84" w14:textId="77777777" w:rsidR="00727235" w:rsidRPr="005376A2" w:rsidRDefault="00727235" w:rsidP="00FA5B5E">
            <w:pPr>
              <w:ind w:firstLine="37"/>
              <w:rPr>
                <w:rFonts w:cs="Times New Roman"/>
                <w:sz w:val="22"/>
                <w:lang w:eastAsia="ru-RU"/>
              </w:rPr>
            </w:pPr>
            <w:r w:rsidRPr="005376A2">
              <w:rPr>
                <w:rFonts w:cs="Times New Roman"/>
                <w:sz w:val="22"/>
                <w:lang w:eastAsia="ru-RU"/>
              </w:rPr>
              <w:t>08</w:t>
            </w:r>
          </w:p>
        </w:tc>
      </w:tr>
      <w:tr w:rsidR="00183DEC" w:rsidRPr="00183DEC" w14:paraId="613FBDF8" w14:textId="77777777" w:rsidTr="003C59C1">
        <w:trPr>
          <w:trHeight w:val="600"/>
        </w:trPr>
        <w:tc>
          <w:tcPr>
            <w:tcW w:w="242" w:type="pct"/>
            <w:tcBorders>
              <w:top w:val="nil"/>
              <w:left w:val="single" w:sz="4" w:space="0" w:color="000000"/>
              <w:bottom w:val="single" w:sz="4" w:space="0" w:color="000000"/>
              <w:right w:val="nil"/>
            </w:tcBorders>
            <w:shd w:val="clear" w:color="auto" w:fill="auto"/>
            <w:vAlign w:val="center"/>
            <w:hideMark/>
          </w:tcPr>
          <w:p w14:paraId="118FA2F1" w14:textId="77777777" w:rsidR="00183DEC" w:rsidRPr="005376A2" w:rsidRDefault="00183DEC" w:rsidP="00183DEC">
            <w:pPr>
              <w:ind w:firstLine="37"/>
              <w:rPr>
                <w:rFonts w:cs="Times New Roman"/>
                <w:sz w:val="22"/>
                <w:lang w:eastAsia="ru-RU"/>
              </w:rPr>
            </w:pPr>
            <w:r w:rsidRPr="005376A2">
              <w:rPr>
                <w:rFonts w:cs="Times New Roman"/>
                <w:sz w:val="22"/>
                <w:lang w:eastAsia="ru-RU"/>
              </w:rPr>
              <w:t>1</w:t>
            </w:r>
          </w:p>
        </w:tc>
        <w:tc>
          <w:tcPr>
            <w:tcW w:w="956" w:type="pct"/>
            <w:tcBorders>
              <w:top w:val="nil"/>
              <w:left w:val="single" w:sz="4" w:space="0" w:color="000000"/>
              <w:bottom w:val="single" w:sz="4" w:space="0" w:color="000000"/>
              <w:right w:val="nil"/>
            </w:tcBorders>
            <w:shd w:val="clear" w:color="auto" w:fill="auto"/>
            <w:vAlign w:val="center"/>
            <w:hideMark/>
          </w:tcPr>
          <w:p w14:paraId="4E6AB810" w14:textId="5751BCB0" w:rsidR="00183DEC" w:rsidRPr="005376A2" w:rsidRDefault="00183DEC" w:rsidP="00183DEC">
            <w:pPr>
              <w:ind w:firstLine="37"/>
              <w:rPr>
                <w:rFonts w:cs="Times New Roman"/>
                <w:sz w:val="22"/>
                <w:lang w:eastAsia="ru-RU"/>
              </w:rPr>
            </w:pPr>
            <w:r w:rsidRPr="005376A2">
              <w:rPr>
                <w:rFonts w:cs="Times New Roman"/>
                <w:color w:val="000000"/>
                <w:sz w:val="22"/>
              </w:rPr>
              <w:t>Средняя относительная погрешность оценки</w:t>
            </w:r>
          </w:p>
        </w:tc>
        <w:tc>
          <w:tcPr>
            <w:tcW w:w="605" w:type="pct"/>
            <w:tcBorders>
              <w:top w:val="nil"/>
              <w:left w:val="single" w:sz="4" w:space="0" w:color="000000"/>
              <w:bottom w:val="single" w:sz="4" w:space="0" w:color="000000"/>
              <w:right w:val="nil"/>
            </w:tcBorders>
            <w:shd w:val="clear" w:color="auto" w:fill="auto"/>
            <w:vAlign w:val="center"/>
            <w:hideMark/>
          </w:tcPr>
          <w:p w14:paraId="6F2426B6" w14:textId="7765A31D" w:rsidR="00183DEC" w:rsidRPr="005376A2" w:rsidRDefault="00183DEC" w:rsidP="00183DEC">
            <w:pPr>
              <w:ind w:firstLine="37"/>
              <w:rPr>
                <w:rFonts w:cs="Times New Roman"/>
                <w:sz w:val="22"/>
              </w:rPr>
            </w:pPr>
            <w:r w:rsidRPr="005376A2">
              <w:rPr>
                <w:rFonts w:cs="Times New Roman"/>
                <w:color w:val="000000"/>
                <w:sz w:val="22"/>
              </w:rPr>
              <w:t>16,34</w:t>
            </w:r>
          </w:p>
        </w:tc>
        <w:tc>
          <w:tcPr>
            <w:tcW w:w="646" w:type="pct"/>
            <w:tcBorders>
              <w:top w:val="nil"/>
              <w:left w:val="single" w:sz="4" w:space="0" w:color="000000"/>
              <w:bottom w:val="single" w:sz="4" w:space="0" w:color="000000"/>
              <w:right w:val="nil"/>
            </w:tcBorders>
            <w:shd w:val="clear" w:color="auto" w:fill="auto"/>
            <w:vAlign w:val="center"/>
            <w:hideMark/>
          </w:tcPr>
          <w:p w14:paraId="58EDF958" w14:textId="699B8C8B" w:rsidR="00183DEC" w:rsidRPr="005376A2" w:rsidRDefault="00183DEC" w:rsidP="00183DEC">
            <w:pPr>
              <w:ind w:firstLine="37"/>
              <w:rPr>
                <w:rFonts w:cs="Times New Roman"/>
                <w:sz w:val="22"/>
              </w:rPr>
            </w:pPr>
            <w:r w:rsidRPr="005376A2">
              <w:rPr>
                <w:rFonts w:cs="Times New Roman"/>
                <w:color w:val="000000"/>
                <w:sz w:val="22"/>
              </w:rPr>
              <w:t>16,02</w:t>
            </w:r>
          </w:p>
        </w:tc>
        <w:tc>
          <w:tcPr>
            <w:tcW w:w="630" w:type="pct"/>
            <w:gridSpan w:val="2"/>
            <w:tcBorders>
              <w:top w:val="nil"/>
              <w:left w:val="single" w:sz="4" w:space="0" w:color="000000"/>
              <w:bottom w:val="single" w:sz="4" w:space="0" w:color="000000"/>
              <w:right w:val="nil"/>
            </w:tcBorders>
            <w:shd w:val="clear" w:color="auto" w:fill="auto"/>
            <w:vAlign w:val="center"/>
            <w:hideMark/>
          </w:tcPr>
          <w:p w14:paraId="3C838E18" w14:textId="2C7E6D37" w:rsidR="00183DEC" w:rsidRPr="005376A2" w:rsidRDefault="00183DEC" w:rsidP="00183DEC">
            <w:pPr>
              <w:ind w:firstLine="37"/>
              <w:rPr>
                <w:rFonts w:cs="Times New Roman"/>
                <w:sz w:val="22"/>
              </w:rPr>
            </w:pPr>
            <w:r w:rsidRPr="005376A2">
              <w:rPr>
                <w:rFonts w:cs="Times New Roman"/>
                <w:color w:val="000000"/>
                <w:sz w:val="22"/>
              </w:rPr>
              <w:t>14,05</w:t>
            </w:r>
          </w:p>
        </w:tc>
        <w:tc>
          <w:tcPr>
            <w:tcW w:w="646" w:type="pct"/>
            <w:tcBorders>
              <w:top w:val="nil"/>
              <w:left w:val="single" w:sz="4" w:space="0" w:color="000000"/>
              <w:bottom w:val="single" w:sz="4" w:space="0" w:color="000000"/>
              <w:right w:val="nil"/>
            </w:tcBorders>
            <w:shd w:val="clear" w:color="auto" w:fill="auto"/>
            <w:vAlign w:val="center"/>
            <w:hideMark/>
          </w:tcPr>
          <w:p w14:paraId="1DEF027E" w14:textId="2B979E7D" w:rsidR="00183DEC" w:rsidRPr="005376A2" w:rsidRDefault="00183DEC" w:rsidP="00183DEC">
            <w:pPr>
              <w:ind w:firstLine="37"/>
              <w:rPr>
                <w:rFonts w:cs="Times New Roman"/>
                <w:sz w:val="22"/>
              </w:rPr>
            </w:pPr>
            <w:r w:rsidRPr="005376A2">
              <w:rPr>
                <w:rFonts w:cs="Times New Roman"/>
                <w:color w:val="000000"/>
                <w:sz w:val="22"/>
              </w:rPr>
              <w:t>13,7</w:t>
            </w:r>
          </w:p>
        </w:tc>
        <w:tc>
          <w:tcPr>
            <w:tcW w:w="629" w:type="pct"/>
            <w:gridSpan w:val="2"/>
            <w:tcBorders>
              <w:top w:val="nil"/>
              <w:left w:val="single" w:sz="4" w:space="0" w:color="000000"/>
              <w:bottom w:val="single" w:sz="4" w:space="0" w:color="000000"/>
              <w:right w:val="nil"/>
            </w:tcBorders>
            <w:shd w:val="clear" w:color="auto" w:fill="auto"/>
            <w:vAlign w:val="center"/>
            <w:hideMark/>
          </w:tcPr>
          <w:p w14:paraId="753F5218" w14:textId="2FEBC89B" w:rsidR="00183DEC" w:rsidRPr="005376A2" w:rsidRDefault="00183DEC" w:rsidP="00183DEC">
            <w:pPr>
              <w:ind w:firstLine="37"/>
              <w:rPr>
                <w:rFonts w:cs="Times New Roman"/>
                <w:sz w:val="22"/>
              </w:rPr>
            </w:pPr>
            <w:r w:rsidRPr="005376A2">
              <w:rPr>
                <w:rFonts w:cs="Times New Roman"/>
                <w:color w:val="000000"/>
                <w:sz w:val="22"/>
              </w:rPr>
              <w:t>13,64</w:t>
            </w:r>
          </w:p>
        </w:tc>
        <w:tc>
          <w:tcPr>
            <w:tcW w:w="646" w:type="pct"/>
            <w:tcBorders>
              <w:top w:val="nil"/>
              <w:left w:val="single" w:sz="4" w:space="0" w:color="000000"/>
              <w:bottom w:val="single" w:sz="4" w:space="0" w:color="000000"/>
              <w:right w:val="single" w:sz="4" w:space="0" w:color="000000"/>
            </w:tcBorders>
            <w:shd w:val="clear" w:color="auto" w:fill="auto"/>
            <w:vAlign w:val="center"/>
            <w:hideMark/>
          </w:tcPr>
          <w:p w14:paraId="193D5703" w14:textId="3C0D9991" w:rsidR="00183DEC" w:rsidRPr="005376A2" w:rsidRDefault="00183DEC" w:rsidP="00183DEC">
            <w:pPr>
              <w:ind w:firstLine="37"/>
              <w:rPr>
                <w:rFonts w:cs="Times New Roman"/>
                <w:sz w:val="22"/>
              </w:rPr>
            </w:pPr>
            <w:r w:rsidRPr="005376A2">
              <w:rPr>
                <w:rFonts w:cs="Times New Roman"/>
                <w:color w:val="000000"/>
                <w:sz w:val="22"/>
              </w:rPr>
              <w:t>13,46</w:t>
            </w:r>
          </w:p>
        </w:tc>
      </w:tr>
      <w:tr w:rsidR="00183DEC" w:rsidRPr="00183DEC" w14:paraId="2B46BCCD" w14:textId="77777777" w:rsidTr="003C59C1">
        <w:trPr>
          <w:trHeight w:val="360"/>
        </w:trPr>
        <w:tc>
          <w:tcPr>
            <w:tcW w:w="242" w:type="pct"/>
            <w:tcBorders>
              <w:top w:val="nil"/>
              <w:left w:val="single" w:sz="4" w:space="0" w:color="000000"/>
              <w:bottom w:val="single" w:sz="4" w:space="0" w:color="000000"/>
              <w:right w:val="nil"/>
            </w:tcBorders>
            <w:shd w:val="clear" w:color="auto" w:fill="auto"/>
            <w:vAlign w:val="center"/>
            <w:hideMark/>
          </w:tcPr>
          <w:p w14:paraId="6567AF8E" w14:textId="77777777" w:rsidR="00183DEC" w:rsidRPr="005376A2" w:rsidRDefault="00183DEC" w:rsidP="00183DEC">
            <w:pPr>
              <w:ind w:firstLine="37"/>
              <w:rPr>
                <w:rFonts w:cs="Times New Roman"/>
                <w:sz w:val="22"/>
                <w:lang w:eastAsia="ru-RU"/>
              </w:rPr>
            </w:pPr>
            <w:r w:rsidRPr="005376A2">
              <w:rPr>
                <w:rFonts w:cs="Times New Roman"/>
                <w:sz w:val="22"/>
                <w:lang w:eastAsia="ru-RU"/>
              </w:rPr>
              <w:t>2</w:t>
            </w:r>
          </w:p>
        </w:tc>
        <w:tc>
          <w:tcPr>
            <w:tcW w:w="956" w:type="pct"/>
            <w:tcBorders>
              <w:top w:val="nil"/>
              <w:left w:val="single" w:sz="4" w:space="0" w:color="000000"/>
              <w:bottom w:val="single" w:sz="4" w:space="0" w:color="000000"/>
              <w:right w:val="nil"/>
            </w:tcBorders>
            <w:shd w:val="clear" w:color="auto" w:fill="auto"/>
            <w:vAlign w:val="center"/>
            <w:hideMark/>
          </w:tcPr>
          <w:p w14:paraId="55C6B9F8" w14:textId="6CA72886" w:rsidR="00183DEC" w:rsidRPr="005376A2" w:rsidRDefault="00183DEC" w:rsidP="00183DEC">
            <w:pPr>
              <w:ind w:firstLine="37"/>
              <w:rPr>
                <w:rFonts w:cs="Times New Roman"/>
                <w:sz w:val="22"/>
                <w:lang w:eastAsia="ru-RU"/>
              </w:rPr>
            </w:pPr>
            <w:r w:rsidRPr="005376A2">
              <w:rPr>
                <w:rFonts w:cs="Times New Roman"/>
                <w:color w:val="000000"/>
                <w:sz w:val="22"/>
              </w:rPr>
              <w:t>Коэффициент детерминации</w:t>
            </w:r>
          </w:p>
        </w:tc>
        <w:tc>
          <w:tcPr>
            <w:tcW w:w="605" w:type="pct"/>
            <w:tcBorders>
              <w:top w:val="nil"/>
              <w:left w:val="single" w:sz="4" w:space="0" w:color="000000"/>
              <w:bottom w:val="single" w:sz="4" w:space="0" w:color="000000"/>
              <w:right w:val="nil"/>
            </w:tcBorders>
            <w:shd w:val="clear" w:color="auto" w:fill="auto"/>
            <w:vAlign w:val="center"/>
            <w:hideMark/>
          </w:tcPr>
          <w:p w14:paraId="43D941B3" w14:textId="6DC6694C" w:rsidR="00183DEC" w:rsidRPr="005376A2" w:rsidRDefault="00183DEC" w:rsidP="00183DEC">
            <w:pPr>
              <w:ind w:firstLine="37"/>
              <w:rPr>
                <w:rFonts w:cs="Times New Roman"/>
                <w:sz w:val="22"/>
              </w:rPr>
            </w:pPr>
            <w:r w:rsidRPr="005376A2">
              <w:rPr>
                <w:rFonts w:cs="Times New Roman"/>
                <w:color w:val="000000"/>
                <w:sz w:val="22"/>
              </w:rPr>
              <w:t>0,83</w:t>
            </w:r>
          </w:p>
        </w:tc>
        <w:tc>
          <w:tcPr>
            <w:tcW w:w="646" w:type="pct"/>
            <w:tcBorders>
              <w:top w:val="nil"/>
              <w:left w:val="single" w:sz="4" w:space="0" w:color="000000"/>
              <w:bottom w:val="single" w:sz="4" w:space="0" w:color="000000"/>
              <w:right w:val="nil"/>
            </w:tcBorders>
            <w:shd w:val="clear" w:color="auto" w:fill="auto"/>
            <w:vAlign w:val="center"/>
            <w:hideMark/>
          </w:tcPr>
          <w:p w14:paraId="00BA4B5E" w14:textId="113EB0F8" w:rsidR="00183DEC" w:rsidRPr="005376A2" w:rsidRDefault="00183DEC" w:rsidP="00183DEC">
            <w:pPr>
              <w:ind w:firstLine="37"/>
              <w:rPr>
                <w:rFonts w:cs="Times New Roman"/>
                <w:sz w:val="22"/>
              </w:rPr>
            </w:pPr>
            <w:r w:rsidRPr="005376A2">
              <w:rPr>
                <w:rFonts w:cs="Times New Roman"/>
                <w:color w:val="000000"/>
                <w:sz w:val="22"/>
              </w:rPr>
              <w:t>0,85</w:t>
            </w:r>
          </w:p>
        </w:tc>
        <w:tc>
          <w:tcPr>
            <w:tcW w:w="630" w:type="pct"/>
            <w:gridSpan w:val="2"/>
            <w:tcBorders>
              <w:top w:val="nil"/>
              <w:left w:val="single" w:sz="4" w:space="0" w:color="000000"/>
              <w:bottom w:val="single" w:sz="4" w:space="0" w:color="000000"/>
              <w:right w:val="nil"/>
            </w:tcBorders>
            <w:shd w:val="clear" w:color="auto" w:fill="auto"/>
            <w:vAlign w:val="center"/>
            <w:hideMark/>
          </w:tcPr>
          <w:p w14:paraId="05EA18BD" w14:textId="086686FC" w:rsidR="00183DEC" w:rsidRPr="005376A2" w:rsidRDefault="00183DEC" w:rsidP="00183DEC">
            <w:pPr>
              <w:ind w:firstLine="37"/>
              <w:rPr>
                <w:rFonts w:cs="Times New Roman"/>
                <w:sz w:val="22"/>
              </w:rPr>
            </w:pPr>
            <w:r w:rsidRPr="005376A2">
              <w:rPr>
                <w:rFonts w:cs="Times New Roman"/>
                <w:color w:val="000000"/>
                <w:sz w:val="22"/>
              </w:rPr>
              <w:t>0,85</w:t>
            </w:r>
          </w:p>
        </w:tc>
        <w:tc>
          <w:tcPr>
            <w:tcW w:w="646" w:type="pct"/>
            <w:tcBorders>
              <w:top w:val="nil"/>
              <w:left w:val="single" w:sz="4" w:space="0" w:color="000000"/>
              <w:bottom w:val="single" w:sz="4" w:space="0" w:color="000000"/>
              <w:right w:val="nil"/>
            </w:tcBorders>
            <w:shd w:val="clear" w:color="auto" w:fill="auto"/>
            <w:vAlign w:val="center"/>
            <w:hideMark/>
          </w:tcPr>
          <w:p w14:paraId="00C3B7FF" w14:textId="403D490A" w:rsidR="00183DEC" w:rsidRPr="005376A2" w:rsidRDefault="00183DEC" w:rsidP="00183DEC">
            <w:pPr>
              <w:ind w:firstLine="37"/>
              <w:rPr>
                <w:rFonts w:cs="Times New Roman"/>
                <w:sz w:val="22"/>
              </w:rPr>
            </w:pPr>
            <w:r w:rsidRPr="005376A2">
              <w:rPr>
                <w:rFonts w:cs="Times New Roman"/>
                <w:color w:val="000000"/>
                <w:sz w:val="22"/>
              </w:rPr>
              <w:t>0,87</w:t>
            </w:r>
          </w:p>
        </w:tc>
        <w:tc>
          <w:tcPr>
            <w:tcW w:w="629" w:type="pct"/>
            <w:gridSpan w:val="2"/>
            <w:tcBorders>
              <w:top w:val="nil"/>
              <w:left w:val="single" w:sz="4" w:space="0" w:color="000000"/>
              <w:bottom w:val="single" w:sz="4" w:space="0" w:color="000000"/>
              <w:right w:val="nil"/>
            </w:tcBorders>
            <w:shd w:val="clear" w:color="auto" w:fill="auto"/>
            <w:vAlign w:val="center"/>
            <w:hideMark/>
          </w:tcPr>
          <w:p w14:paraId="6F766C7C" w14:textId="340AB699" w:rsidR="00183DEC" w:rsidRPr="005376A2" w:rsidRDefault="00183DEC" w:rsidP="00183DEC">
            <w:pPr>
              <w:ind w:firstLine="37"/>
              <w:rPr>
                <w:rFonts w:cs="Times New Roman"/>
                <w:sz w:val="22"/>
              </w:rPr>
            </w:pPr>
            <w:r w:rsidRPr="005376A2">
              <w:rPr>
                <w:rFonts w:cs="Times New Roman"/>
                <w:color w:val="000000"/>
                <w:sz w:val="22"/>
              </w:rPr>
              <w:t>0,84</w:t>
            </w:r>
          </w:p>
        </w:tc>
        <w:tc>
          <w:tcPr>
            <w:tcW w:w="646" w:type="pct"/>
            <w:tcBorders>
              <w:top w:val="nil"/>
              <w:left w:val="single" w:sz="4" w:space="0" w:color="000000"/>
              <w:bottom w:val="single" w:sz="4" w:space="0" w:color="000000"/>
              <w:right w:val="single" w:sz="4" w:space="0" w:color="000000"/>
            </w:tcBorders>
            <w:shd w:val="clear" w:color="auto" w:fill="auto"/>
            <w:vAlign w:val="center"/>
            <w:hideMark/>
          </w:tcPr>
          <w:p w14:paraId="2D2CD07B" w14:textId="55B7EE8B" w:rsidR="00183DEC" w:rsidRPr="005376A2" w:rsidRDefault="00183DEC" w:rsidP="00183DEC">
            <w:pPr>
              <w:ind w:firstLine="37"/>
              <w:rPr>
                <w:rFonts w:cs="Times New Roman"/>
                <w:sz w:val="22"/>
              </w:rPr>
            </w:pPr>
            <w:r w:rsidRPr="005376A2">
              <w:rPr>
                <w:rFonts w:cs="Times New Roman"/>
                <w:color w:val="000000"/>
                <w:sz w:val="22"/>
              </w:rPr>
              <w:t>0,87</w:t>
            </w:r>
          </w:p>
        </w:tc>
      </w:tr>
      <w:tr w:rsidR="003C59C1" w:rsidRPr="00183DEC" w14:paraId="0CD0BCC1" w14:textId="77777777" w:rsidTr="003C59C1">
        <w:trPr>
          <w:trHeight w:val="360"/>
        </w:trPr>
        <w:tc>
          <w:tcPr>
            <w:tcW w:w="242" w:type="pct"/>
            <w:tcBorders>
              <w:top w:val="nil"/>
              <w:left w:val="single" w:sz="4" w:space="0" w:color="000000"/>
              <w:bottom w:val="single" w:sz="4" w:space="0" w:color="000000"/>
              <w:right w:val="nil"/>
            </w:tcBorders>
            <w:shd w:val="clear" w:color="auto" w:fill="auto"/>
            <w:vAlign w:val="center"/>
            <w:hideMark/>
          </w:tcPr>
          <w:p w14:paraId="53C5CE34" w14:textId="77777777" w:rsidR="003C59C1" w:rsidRPr="005376A2" w:rsidRDefault="003C59C1" w:rsidP="003C59C1">
            <w:pPr>
              <w:ind w:firstLine="37"/>
              <w:rPr>
                <w:rFonts w:cs="Times New Roman"/>
                <w:sz w:val="22"/>
                <w:lang w:eastAsia="ru-RU"/>
              </w:rPr>
            </w:pPr>
            <w:r w:rsidRPr="005376A2">
              <w:rPr>
                <w:rFonts w:cs="Times New Roman"/>
                <w:sz w:val="22"/>
                <w:lang w:eastAsia="ru-RU"/>
              </w:rPr>
              <w:t>3</w:t>
            </w:r>
          </w:p>
        </w:tc>
        <w:tc>
          <w:tcPr>
            <w:tcW w:w="956" w:type="pct"/>
            <w:tcBorders>
              <w:top w:val="nil"/>
              <w:left w:val="single" w:sz="4" w:space="0" w:color="000000"/>
              <w:bottom w:val="single" w:sz="4" w:space="0" w:color="000000"/>
              <w:right w:val="nil"/>
            </w:tcBorders>
            <w:shd w:val="clear" w:color="auto" w:fill="auto"/>
            <w:vAlign w:val="center"/>
            <w:hideMark/>
          </w:tcPr>
          <w:p w14:paraId="6684708A" w14:textId="21693BFC" w:rsidR="003C59C1" w:rsidRPr="005376A2" w:rsidRDefault="003C59C1" w:rsidP="003C59C1">
            <w:pPr>
              <w:ind w:firstLine="37"/>
              <w:rPr>
                <w:rFonts w:cs="Times New Roman"/>
                <w:sz w:val="22"/>
                <w:lang w:eastAsia="ru-RU"/>
              </w:rPr>
            </w:pPr>
            <w:r w:rsidRPr="005376A2">
              <w:rPr>
                <w:rFonts w:cs="Times New Roman"/>
                <w:color w:val="000000"/>
                <w:sz w:val="22"/>
              </w:rPr>
              <w:t>Среднеквадратичная ошибка оценки</w:t>
            </w:r>
          </w:p>
        </w:tc>
        <w:tc>
          <w:tcPr>
            <w:tcW w:w="605" w:type="pct"/>
            <w:tcBorders>
              <w:top w:val="nil"/>
              <w:left w:val="single" w:sz="4" w:space="0" w:color="000000"/>
              <w:bottom w:val="single" w:sz="4" w:space="0" w:color="000000"/>
              <w:right w:val="nil"/>
            </w:tcBorders>
            <w:shd w:val="clear" w:color="auto" w:fill="auto"/>
            <w:vAlign w:val="center"/>
            <w:hideMark/>
          </w:tcPr>
          <w:p w14:paraId="01DE3B33" w14:textId="245390C8" w:rsidR="003C59C1" w:rsidRPr="005376A2" w:rsidRDefault="003C59C1" w:rsidP="003C59C1">
            <w:pPr>
              <w:ind w:firstLine="37"/>
              <w:rPr>
                <w:rFonts w:cs="Times New Roman"/>
                <w:sz w:val="22"/>
              </w:rPr>
            </w:pPr>
            <w:r>
              <w:rPr>
                <w:rFonts w:cs="Times New Roman"/>
                <w:color w:val="000000"/>
                <w:sz w:val="22"/>
              </w:rPr>
              <w:t>18,45</w:t>
            </w:r>
          </w:p>
        </w:tc>
        <w:tc>
          <w:tcPr>
            <w:tcW w:w="646" w:type="pct"/>
            <w:tcBorders>
              <w:top w:val="nil"/>
              <w:left w:val="single" w:sz="4" w:space="0" w:color="000000"/>
              <w:bottom w:val="single" w:sz="4" w:space="0" w:color="000000"/>
              <w:right w:val="nil"/>
            </w:tcBorders>
            <w:shd w:val="clear" w:color="auto" w:fill="auto"/>
            <w:vAlign w:val="center"/>
          </w:tcPr>
          <w:p w14:paraId="4591B791" w14:textId="7016A53F" w:rsidR="003C59C1" w:rsidRPr="005376A2" w:rsidRDefault="003C59C1" w:rsidP="003C59C1">
            <w:pPr>
              <w:ind w:firstLine="37"/>
              <w:rPr>
                <w:rFonts w:cs="Times New Roman"/>
                <w:sz w:val="22"/>
              </w:rPr>
            </w:pPr>
            <w:r>
              <w:rPr>
                <w:rFonts w:cs="Times New Roman"/>
                <w:sz w:val="22"/>
              </w:rPr>
              <w:t>17,44</w:t>
            </w:r>
          </w:p>
        </w:tc>
        <w:tc>
          <w:tcPr>
            <w:tcW w:w="630" w:type="pct"/>
            <w:gridSpan w:val="2"/>
            <w:tcBorders>
              <w:top w:val="nil"/>
              <w:left w:val="single" w:sz="4" w:space="0" w:color="000000"/>
              <w:bottom w:val="single" w:sz="4" w:space="0" w:color="000000"/>
              <w:right w:val="nil"/>
            </w:tcBorders>
            <w:shd w:val="clear" w:color="auto" w:fill="auto"/>
            <w:vAlign w:val="center"/>
            <w:hideMark/>
          </w:tcPr>
          <w:p w14:paraId="023C1DAF" w14:textId="4CF6C914" w:rsidR="003C59C1" w:rsidRPr="005376A2" w:rsidRDefault="003C59C1" w:rsidP="003C59C1">
            <w:pPr>
              <w:ind w:firstLine="37"/>
              <w:rPr>
                <w:rFonts w:cs="Times New Roman"/>
                <w:sz w:val="22"/>
              </w:rPr>
            </w:pPr>
            <w:r>
              <w:rPr>
                <w:rFonts w:cs="Times New Roman"/>
                <w:color w:val="000000"/>
                <w:sz w:val="22"/>
              </w:rPr>
              <w:t>17,55</w:t>
            </w:r>
            <w:r w:rsidRPr="005376A2">
              <w:rPr>
                <w:rFonts w:cs="Times New Roman"/>
                <w:color w:val="000000"/>
                <w:sz w:val="22"/>
              </w:rPr>
              <w:t> </w:t>
            </w:r>
          </w:p>
        </w:tc>
        <w:tc>
          <w:tcPr>
            <w:tcW w:w="646" w:type="pct"/>
            <w:tcBorders>
              <w:top w:val="nil"/>
              <w:left w:val="single" w:sz="4" w:space="0" w:color="000000"/>
              <w:bottom w:val="single" w:sz="4" w:space="0" w:color="000000"/>
              <w:right w:val="nil"/>
            </w:tcBorders>
            <w:shd w:val="clear" w:color="auto" w:fill="auto"/>
            <w:vAlign w:val="center"/>
            <w:hideMark/>
          </w:tcPr>
          <w:p w14:paraId="574B6B2F" w14:textId="328CD364" w:rsidR="003C59C1" w:rsidRPr="005376A2" w:rsidRDefault="003C59C1" w:rsidP="003C59C1">
            <w:pPr>
              <w:ind w:firstLine="37"/>
              <w:rPr>
                <w:rFonts w:cs="Times New Roman"/>
                <w:sz w:val="22"/>
              </w:rPr>
            </w:pPr>
            <w:r>
              <w:rPr>
                <w:rFonts w:cs="Times New Roman"/>
                <w:color w:val="000000"/>
                <w:sz w:val="22"/>
              </w:rPr>
              <w:t>16,2</w:t>
            </w:r>
            <w:r w:rsidRPr="005376A2">
              <w:rPr>
                <w:rFonts w:cs="Times New Roman"/>
                <w:color w:val="000000"/>
                <w:sz w:val="22"/>
              </w:rPr>
              <w:t> </w:t>
            </w:r>
          </w:p>
        </w:tc>
        <w:tc>
          <w:tcPr>
            <w:tcW w:w="629" w:type="pct"/>
            <w:gridSpan w:val="2"/>
            <w:tcBorders>
              <w:top w:val="nil"/>
              <w:left w:val="single" w:sz="4" w:space="0" w:color="000000"/>
              <w:bottom w:val="single" w:sz="4" w:space="0" w:color="000000"/>
              <w:right w:val="nil"/>
            </w:tcBorders>
            <w:shd w:val="clear" w:color="auto" w:fill="auto"/>
            <w:vAlign w:val="center"/>
            <w:hideMark/>
          </w:tcPr>
          <w:p w14:paraId="035BD527" w14:textId="617AA123" w:rsidR="003C59C1" w:rsidRPr="005376A2" w:rsidRDefault="003C59C1" w:rsidP="003C59C1">
            <w:pPr>
              <w:ind w:firstLine="37"/>
              <w:rPr>
                <w:rFonts w:cs="Times New Roman"/>
                <w:sz w:val="22"/>
              </w:rPr>
            </w:pPr>
            <w:r>
              <w:rPr>
                <w:rFonts w:cs="Times New Roman"/>
                <w:color w:val="000000"/>
                <w:sz w:val="22"/>
              </w:rPr>
              <w:t>18,15</w:t>
            </w:r>
          </w:p>
        </w:tc>
        <w:tc>
          <w:tcPr>
            <w:tcW w:w="646" w:type="pct"/>
            <w:tcBorders>
              <w:top w:val="nil"/>
              <w:left w:val="single" w:sz="4" w:space="0" w:color="000000"/>
              <w:bottom w:val="single" w:sz="4" w:space="0" w:color="000000"/>
              <w:right w:val="single" w:sz="4" w:space="0" w:color="000000"/>
            </w:tcBorders>
            <w:shd w:val="clear" w:color="auto" w:fill="auto"/>
            <w:vAlign w:val="center"/>
            <w:hideMark/>
          </w:tcPr>
          <w:p w14:paraId="750CF2EF" w14:textId="388496D4" w:rsidR="003C59C1" w:rsidRPr="005376A2" w:rsidRDefault="003C59C1" w:rsidP="003C59C1">
            <w:pPr>
              <w:ind w:firstLine="37"/>
              <w:rPr>
                <w:rFonts w:cs="Times New Roman"/>
                <w:sz w:val="22"/>
              </w:rPr>
            </w:pPr>
            <w:r w:rsidRPr="005376A2">
              <w:rPr>
                <w:rFonts w:cs="Times New Roman"/>
                <w:color w:val="000000"/>
                <w:sz w:val="22"/>
              </w:rPr>
              <w:t> </w:t>
            </w:r>
            <w:r>
              <w:rPr>
                <w:rFonts w:cs="Times New Roman"/>
                <w:color w:val="000000"/>
                <w:sz w:val="22"/>
              </w:rPr>
              <w:t>16,51</w:t>
            </w:r>
            <w:r w:rsidRPr="005376A2">
              <w:rPr>
                <w:rFonts w:cs="Times New Roman"/>
                <w:color w:val="000000"/>
                <w:sz w:val="22"/>
              </w:rPr>
              <w:t> </w:t>
            </w:r>
          </w:p>
        </w:tc>
      </w:tr>
      <w:tr w:rsidR="003C59C1" w:rsidRPr="00183DEC" w14:paraId="3DAF5B73" w14:textId="77777777" w:rsidTr="003C59C1">
        <w:trPr>
          <w:trHeight w:val="360"/>
        </w:trPr>
        <w:tc>
          <w:tcPr>
            <w:tcW w:w="24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34482FE" w14:textId="03096186" w:rsidR="003C59C1" w:rsidRPr="005376A2" w:rsidRDefault="003C59C1" w:rsidP="003C59C1">
            <w:pPr>
              <w:ind w:firstLine="37"/>
              <w:rPr>
                <w:rFonts w:cs="Times New Roman"/>
                <w:sz w:val="22"/>
                <w:lang w:eastAsia="ru-RU"/>
              </w:rPr>
            </w:pPr>
            <w:r>
              <w:rPr>
                <w:rFonts w:cs="Times New Roman"/>
                <w:sz w:val="22"/>
                <w:lang w:eastAsia="ru-RU"/>
              </w:rPr>
              <w:t>4</w:t>
            </w:r>
          </w:p>
        </w:tc>
        <w:tc>
          <w:tcPr>
            <w:tcW w:w="95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662240B" w14:textId="733419BF" w:rsidR="003C59C1" w:rsidRPr="005376A2" w:rsidRDefault="003C59C1" w:rsidP="003C59C1">
            <w:pPr>
              <w:ind w:firstLine="37"/>
              <w:rPr>
                <w:rFonts w:cs="Times New Roman"/>
                <w:sz w:val="22"/>
                <w:lang w:eastAsia="ru-RU"/>
              </w:rPr>
            </w:pPr>
            <w:r w:rsidRPr="005376A2">
              <w:rPr>
                <w:rFonts w:cs="Times New Roman"/>
                <w:color w:val="000000"/>
                <w:sz w:val="22"/>
              </w:rPr>
              <w:t>Коэффициент дисперсии (COD)</w:t>
            </w:r>
          </w:p>
        </w:tc>
        <w:tc>
          <w:tcPr>
            <w:tcW w:w="6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E0D6CB8" w14:textId="388952FB" w:rsidR="003C59C1" w:rsidRPr="005376A2" w:rsidRDefault="003C59C1" w:rsidP="003C59C1">
            <w:pPr>
              <w:ind w:firstLine="37"/>
              <w:rPr>
                <w:rFonts w:cs="Times New Roman"/>
                <w:sz w:val="22"/>
              </w:rPr>
            </w:pPr>
            <w:r w:rsidRPr="005376A2">
              <w:rPr>
                <w:rFonts w:cs="Times New Roman"/>
                <w:color w:val="000000"/>
                <w:sz w:val="22"/>
              </w:rPr>
              <w:t>15,25</w:t>
            </w:r>
          </w:p>
        </w:tc>
        <w:tc>
          <w:tcPr>
            <w:tcW w:w="64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410CDEC" w14:textId="6E56EA1D" w:rsidR="003C59C1" w:rsidRPr="005376A2" w:rsidRDefault="003C59C1" w:rsidP="003C59C1">
            <w:pPr>
              <w:ind w:firstLine="37"/>
              <w:rPr>
                <w:rFonts w:cs="Times New Roman"/>
                <w:sz w:val="22"/>
              </w:rPr>
            </w:pPr>
            <w:r w:rsidRPr="005376A2">
              <w:rPr>
                <w:rFonts w:cs="Times New Roman"/>
                <w:color w:val="000000"/>
                <w:sz w:val="22"/>
              </w:rPr>
              <w:t>15,48</w:t>
            </w:r>
          </w:p>
        </w:tc>
        <w:tc>
          <w:tcPr>
            <w:tcW w:w="630"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73B8B2F8" w14:textId="66F0318B" w:rsidR="003C59C1" w:rsidRPr="005376A2" w:rsidRDefault="003C59C1" w:rsidP="003C59C1">
            <w:pPr>
              <w:ind w:firstLine="37"/>
              <w:rPr>
                <w:rFonts w:cs="Times New Roman"/>
                <w:sz w:val="22"/>
              </w:rPr>
            </w:pPr>
            <w:r w:rsidRPr="005376A2">
              <w:rPr>
                <w:rFonts w:cs="Times New Roman"/>
                <w:color w:val="000000"/>
                <w:sz w:val="22"/>
              </w:rPr>
              <w:t>13,49</w:t>
            </w:r>
          </w:p>
        </w:tc>
        <w:tc>
          <w:tcPr>
            <w:tcW w:w="64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FB6C4F0" w14:textId="31C140CC" w:rsidR="003C59C1" w:rsidRPr="005376A2" w:rsidRDefault="003C59C1" w:rsidP="003C59C1">
            <w:pPr>
              <w:ind w:firstLine="37"/>
              <w:rPr>
                <w:rFonts w:cs="Times New Roman"/>
                <w:sz w:val="22"/>
              </w:rPr>
            </w:pPr>
            <w:r w:rsidRPr="005376A2">
              <w:rPr>
                <w:rFonts w:cs="Times New Roman"/>
                <w:color w:val="000000"/>
                <w:sz w:val="22"/>
              </w:rPr>
              <w:t>13,29</w:t>
            </w:r>
          </w:p>
        </w:tc>
        <w:tc>
          <w:tcPr>
            <w:tcW w:w="629"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71ADF3F1" w14:textId="64706D84" w:rsidR="003C59C1" w:rsidRPr="005376A2" w:rsidRDefault="003C59C1" w:rsidP="003C59C1">
            <w:pPr>
              <w:ind w:firstLine="37"/>
              <w:rPr>
                <w:rFonts w:cs="Times New Roman"/>
                <w:sz w:val="22"/>
              </w:rPr>
            </w:pPr>
            <w:r w:rsidRPr="005376A2">
              <w:rPr>
                <w:rFonts w:cs="Times New Roman"/>
                <w:color w:val="000000"/>
                <w:sz w:val="22"/>
              </w:rPr>
              <w:t>13,07</w:t>
            </w:r>
          </w:p>
        </w:tc>
        <w:tc>
          <w:tcPr>
            <w:tcW w:w="64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9744CB4" w14:textId="7D9BF010" w:rsidR="003C59C1" w:rsidRPr="005376A2" w:rsidRDefault="003C59C1" w:rsidP="003C59C1">
            <w:pPr>
              <w:ind w:firstLine="37"/>
              <w:rPr>
                <w:rFonts w:cs="Times New Roman"/>
                <w:sz w:val="22"/>
              </w:rPr>
            </w:pPr>
            <w:r w:rsidRPr="005376A2">
              <w:rPr>
                <w:rFonts w:cs="Times New Roman"/>
                <w:color w:val="000000"/>
                <w:sz w:val="22"/>
              </w:rPr>
              <w:t>13,06</w:t>
            </w:r>
          </w:p>
        </w:tc>
      </w:tr>
      <w:tr w:rsidR="003C59C1" w:rsidRPr="00183DEC" w14:paraId="23A17554" w14:textId="77777777" w:rsidTr="003C59C1">
        <w:trPr>
          <w:trHeight w:val="360"/>
        </w:trPr>
        <w:tc>
          <w:tcPr>
            <w:tcW w:w="242" w:type="pct"/>
            <w:tcBorders>
              <w:top w:val="single" w:sz="4" w:space="0" w:color="auto"/>
              <w:left w:val="single" w:sz="4" w:space="0" w:color="auto"/>
              <w:bottom w:val="single" w:sz="4" w:space="0" w:color="auto"/>
              <w:right w:val="single" w:sz="4" w:space="0" w:color="auto"/>
            </w:tcBorders>
            <w:shd w:val="clear" w:color="auto" w:fill="auto"/>
            <w:vAlign w:val="center"/>
          </w:tcPr>
          <w:p w14:paraId="70199E42" w14:textId="2A7B9199" w:rsidR="003C59C1" w:rsidRPr="005376A2" w:rsidRDefault="003C59C1" w:rsidP="003C59C1">
            <w:pPr>
              <w:ind w:firstLine="37"/>
              <w:rPr>
                <w:rFonts w:cs="Times New Roman"/>
                <w:sz w:val="22"/>
                <w:lang w:eastAsia="ru-RU"/>
              </w:rPr>
            </w:pPr>
            <w:r>
              <w:rPr>
                <w:rFonts w:cs="Times New Roman"/>
                <w:sz w:val="22"/>
                <w:lang w:eastAsia="ru-RU"/>
              </w:rPr>
              <w:t>5</w:t>
            </w:r>
          </w:p>
        </w:tc>
        <w:tc>
          <w:tcPr>
            <w:tcW w:w="956" w:type="pct"/>
            <w:tcBorders>
              <w:top w:val="single" w:sz="4" w:space="0" w:color="auto"/>
              <w:left w:val="single" w:sz="4" w:space="0" w:color="auto"/>
              <w:bottom w:val="single" w:sz="4" w:space="0" w:color="auto"/>
              <w:right w:val="single" w:sz="4" w:space="0" w:color="auto"/>
            </w:tcBorders>
            <w:shd w:val="clear" w:color="auto" w:fill="auto"/>
            <w:vAlign w:val="center"/>
          </w:tcPr>
          <w:p w14:paraId="21D932CE" w14:textId="625583CE" w:rsidR="003C59C1" w:rsidRPr="005376A2" w:rsidRDefault="003C59C1" w:rsidP="003C59C1">
            <w:pPr>
              <w:ind w:firstLine="37"/>
              <w:rPr>
                <w:rFonts w:cs="Times New Roman"/>
                <w:sz w:val="22"/>
                <w:lang w:eastAsia="ru-RU"/>
              </w:rPr>
            </w:pPr>
            <w:r w:rsidRPr="005376A2">
              <w:rPr>
                <w:rFonts w:cs="Times New Roman"/>
                <w:color w:val="000000"/>
                <w:sz w:val="22"/>
              </w:rPr>
              <w:t>Ценовой дифференциал (PRD)</w:t>
            </w:r>
          </w:p>
        </w:tc>
        <w:tc>
          <w:tcPr>
            <w:tcW w:w="605" w:type="pct"/>
            <w:tcBorders>
              <w:top w:val="single" w:sz="4" w:space="0" w:color="auto"/>
              <w:left w:val="single" w:sz="4" w:space="0" w:color="auto"/>
              <w:bottom w:val="single" w:sz="4" w:space="0" w:color="auto"/>
              <w:right w:val="single" w:sz="4" w:space="0" w:color="auto"/>
            </w:tcBorders>
            <w:shd w:val="clear" w:color="auto" w:fill="auto"/>
            <w:vAlign w:val="center"/>
          </w:tcPr>
          <w:p w14:paraId="247EC0CF" w14:textId="05AE688E" w:rsidR="003C59C1" w:rsidRPr="005376A2" w:rsidRDefault="003C59C1" w:rsidP="003C59C1">
            <w:pPr>
              <w:ind w:firstLine="37"/>
              <w:rPr>
                <w:rFonts w:cs="Times New Roman"/>
                <w:sz w:val="22"/>
              </w:rPr>
            </w:pPr>
            <w:r w:rsidRPr="005376A2">
              <w:rPr>
                <w:rFonts w:cs="Times New Roman"/>
                <w:color w:val="000000"/>
                <w:sz w:val="22"/>
              </w:rPr>
              <w:t>1,02</w:t>
            </w:r>
          </w:p>
        </w:tc>
        <w:tc>
          <w:tcPr>
            <w:tcW w:w="646" w:type="pct"/>
            <w:tcBorders>
              <w:top w:val="single" w:sz="4" w:space="0" w:color="auto"/>
              <w:left w:val="single" w:sz="4" w:space="0" w:color="auto"/>
              <w:bottom w:val="single" w:sz="4" w:space="0" w:color="auto"/>
              <w:right w:val="single" w:sz="4" w:space="0" w:color="auto"/>
            </w:tcBorders>
            <w:shd w:val="clear" w:color="auto" w:fill="auto"/>
            <w:vAlign w:val="center"/>
          </w:tcPr>
          <w:p w14:paraId="2DB792FA" w14:textId="0EEDC696" w:rsidR="003C59C1" w:rsidRPr="005376A2" w:rsidRDefault="003C59C1" w:rsidP="003C59C1">
            <w:pPr>
              <w:ind w:firstLine="37"/>
              <w:rPr>
                <w:rFonts w:cs="Times New Roman"/>
                <w:sz w:val="22"/>
              </w:rPr>
            </w:pPr>
            <w:r w:rsidRPr="005376A2">
              <w:rPr>
                <w:rFonts w:cs="Times New Roman"/>
                <w:color w:val="000000"/>
                <w:sz w:val="22"/>
              </w:rPr>
              <w:t>1,03</w:t>
            </w:r>
          </w:p>
        </w:tc>
        <w:tc>
          <w:tcPr>
            <w:tcW w:w="630"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768E4920" w14:textId="52E82868" w:rsidR="003C59C1" w:rsidRPr="005376A2" w:rsidRDefault="003C59C1" w:rsidP="003C59C1">
            <w:pPr>
              <w:ind w:firstLine="37"/>
              <w:rPr>
                <w:rFonts w:cs="Times New Roman"/>
                <w:sz w:val="22"/>
              </w:rPr>
            </w:pPr>
            <w:r w:rsidRPr="005376A2">
              <w:rPr>
                <w:rFonts w:cs="Times New Roman"/>
                <w:color w:val="000000"/>
                <w:sz w:val="22"/>
              </w:rPr>
              <w:t>1,03</w:t>
            </w:r>
          </w:p>
        </w:tc>
        <w:tc>
          <w:tcPr>
            <w:tcW w:w="646" w:type="pct"/>
            <w:tcBorders>
              <w:top w:val="single" w:sz="4" w:space="0" w:color="auto"/>
              <w:left w:val="single" w:sz="4" w:space="0" w:color="auto"/>
              <w:bottom w:val="single" w:sz="4" w:space="0" w:color="auto"/>
              <w:right w:val="single" w:sz="4" w:space="0" w:color="auto"/>
            </w:tcBorders>
            <w:shd w:val="clear" w:color="auto" w:fill="auto"/>
            <w:vAlign w:val="center"/>
          </w:tcPr>
          <w:p w14:paraId="4B983554" w14:textId="2F62F54D" w:rsidR="003C59C1" w:rsidRPr="005376A2" w:rsidRDefault="003C59C1" w:rsidP="003C59C1">
            <w:pPr>
              <w:ind w:firstLine="37"/>
              <w:rPr>
                <w:rFonts w:cs="Times New Roman"/>
                <w:sz w:val="22"/>
              </w:rPr>
            </w:pPr>
            <w:r w:rsidRPr="005376A2">
              <w:rPr>
                <w:rFonts w:cs="Times New Roman"/>
                <w:color w:val="000000"/>
                <w:sz w:val="22"/>
              </w:rPr>
              <w:t>1,03</w:t>
            </w:r>
          </w:p>
        </w:tc>
        <w:tc>
          <w:tcPr>
            <w:tcW w:w="629"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2942B627" w14:textId="02694472" w:rsidR="003C59C1" w:rsidRPr="005376A2" w:rsidRDefault="003C59C1" w:rsidP="003C59C1">
            <w:pPr>
              <w:ind w:firstLine="37"/>
              <w:rPr>
                <w:rFonts w:cs="Times New Roman"/>
                <w:sz w:val="22"/>
              </w:rPr>
            </w:pPr>
            <w:r w:rsidRPr="005376A2">
              <w:rPr>
                <w:rFonts w:cs="Times New Roman"/>
                <w:color w:val="000000"/>
                <w:sz w:val="22"/>
              </w:rPr>
              <w:t>1,03</w:t>
            </w:r>
          </w:p>
        </w:tc>
        <w:tc>
          <w:tcPr>
            <w:tcW w:w="646" w:type="pct"/>
            <w:tcBorders>
              <w:top w:val="single" w:sz="4" w:space="0" w:color="auto"/>
              <w:left w:val="single" w:sz="4" w:space="0" w:color="auto"/>
              <w:bottom w:val="single" w:sz="4" w:space="0" w:color="auto"/>
              <w:right w:val="single" w:sz="4" w:space="0" w:color="auto"/>
            </w:tcBorders>
            <w:shd w:val="clear" w:color="auto" w:fill="auto"/>
            <w:vAlign w:val="center"/>
          </w:tcPr>
          <w:p w14:paraId="7F52B973" w14:textId="1B73891B" w:rsidR="003C59C1" w:rsidRPr="005376A2" w:rsidRDefault="003C59C1" w:rsidP="003C59C1">
            <w:pPr>
              <w:ind w:firstLine="37"/>
              <w:rPr>
                <w:rFonts w:cs="Times New Roman"/>
                <w:sz w:val="22"/>
              </w:rPr>
            </w:pPr>
            <w:r w:rsidRPr="005376A2">
              <w:rPr>
                <w:rFonts w:cs="Times New Roman"/>
                <w:color w:val="000000"/>
                <w:sz w:val="22"/>
              </w:rPr>
              <w:t>1,03</w:t>
            </w:r>
          </w:p>
        </w:tc>
      </w:tr>
    </w:tbl>
    <w:p w14:paraId="7B412190" w14:textId="77777777" w:rsidR="00727235" w:rsidRPr="00727235" w:rsidRDefault="00727235" w:rsidP="00727235">
      <w:pPr>
        <w:rPr>
          <w:lang w:eastAsia="ru-RU"/>
        </w:rPr>
      </w:pPr>
    </w:p>
    <w:p w14:paraId="0CB17BDD" w14:textId="77777777" w:rsidR="00727235" w:rsidRPr="00727235" w:rsidRDefault="00727235" w:rsidP="00727235">
      <w:r w:rsidRPr="00727235">
        <w:t>В результате была выбрана модель – экспоненциальная со следующими характеристиками.</w:t>
      </w:r>
    </w:p>
    <w:p w14:paraId="0FE98C27" w14:textId="77777777" w:rsidR="00727235" w:rsidRPr="00727235" w:rsidRDefault="00727235" w:rsidP="00727235">
      <w:pPr>
        <w:sectPr w:rsidR="00727235" w:rsidRPr="00727235" w:rsidSect="00727235">
          <w:pgSz w:w="11906" w:h="16838"/>
          <w:pgMar w:top="1134" w:right="850" w:bottom="1134" w:left="1701" w:header="708" w:footer="708" w:gutter="0"/>
          <w:cols w:space="708"/>
          <w:docGrid w:linePitch="360"/>
        </w:sectPr>
      </w:pPr>
    </w:p>
    <w:p w14:paraId="0DB276DC" w14:textId="00509701" w:rsidR="00727235" w:rsidRDefault="00727235" w:rsidP="00727235">
      <w:pPr>
        <w:rPr>
          <w:lang w:eastAsia="ru-RU"/>
        </w:rPr>
      </w:pPr>
      <w:r w:rsidRPr="00727235">
        <w:rPr>
          <w:lang w:eastAsia="ru-RU"/>
        </w:rPr>
        <w:t xml:space="preserve">Таблица </w:t>
      </w:r>
      <w:r w:rsidRPr="00727235">
        <w:rPr>
          <w:lang w:eastAsia="ru-RU"/>
        </w:rPr>
        <w:fldChar w:fldCharType="begin"/>
      </w:r>
      <w:r w:rsidRPr="00727235">
        <w:rPr>
          <w:lang w:eastAsia="ru-RU"/>
        </w:rPr>
        <w:instrText xml:space="preserve"> SEQ Таблица \* ARABIC </w:instrText>
      </w:r>
      <w:r w:rsidRPr="00727235">
        <w:rPr>
          <w:lang w:eastAsia="ru-RU"/>
        </w:rPr>
        <w:fldChar w:fldCharType="separate"/>
      </w:r>
      <w:r w:rsidR="00FD2769">
        <w:rPr>
          <w:noProof/>
          <w:lang w:eastAsia="ru-RU"/>
        </w:rPr>
        <w:t>69</w:t>
      </w:r>
      <w:r w:rsidRPr="00727235">
        <w:rPr>
          <w:lang w:eastAsia="ru-RU"/>
        </w:rPr>
        <w:fldChar w:fldCharType="end"/>
      </w:r>
      <w:r w:rsidRPr="00727235">
        <w:rPr>
          <w:lang w:eastAsia="ru-RU"/>
        </w:rPr>
        <w:t xml:space="preserve"> Параметры модели, отобранной для расчета кадастровой стоимости объектов недвижимости группы "3. Объекты, предназначенные для хранения транспорта", </w:t>
      </w:r>
      <w:r w:rsidR="00183DEC">
        <w:rPr>
          <w:lang w:eastAsia="ru-RU"/>
        </w:rPr>
        <w:t>подгруппа «Якутск с п/х 3.6.»</w:t>
      </w:r>
    </w:p>
    <w:tbl>
      <w:tblPr>
        <w:tblW w:w="5000" w:type="pct"/>
        <w:tblLook w:val="04A0" w:firstRow="1" w:lastRow="0" w:firstColumn="1" w:lastColumn="0" w:noHBand="0" w:noVBand="1"/>
      </w:tblPr>
      <w:tblGrid>
        <w:gridCol w:w="651"/>
        <w:gridCol w:w="1810"/>
        <w:gridCol w:w="5131"/>
        <w:gridCol w:w="1803"/>
        <w:gridCol w:w="1623"/>
        <w:gridCol w:w="1675"/>
        <w:gridCol w:w="1867"/>
      </w:tblGrid>
      <w:tr w:rsidR="003C59C1" w:rsidRPr="003C59C1" w14:paraId="552677C5" w14:textId="77777777" w:rsidTr="003C59C1">
        <w:trPr>
          <w:trHeight w:val="1575"/>
        </w:trPr>
        <w:tc>
          <w:tcPr>
            <w:tcW w:w="2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5D064C2" w14:textId="77777777" w:rsidR="003C59C1" w:rsidRPr="003C59C1" w:rsidRDefault="003C59C1" w:rsidP="003C59C1">
            <w:pPr>
              <w:ind w:firstLine="0"/>
              <w:jc w:val="center"/>
              <w:rPr>
                <w:rFonts w:eastAsia="Times New Roman" w:cs="Times New Roman"/>
                <w:szCs w:val="24"/>
                <w:lang w:eastAsia="ru-RU"/>
              </w:rPr>
            </w:pPr>
            <w:r w:rsidRPr="003C59C1">
              <w:rPr>
                <w:rFonts w:eastAsia="Times New Roman" w:cs="Times New Roman"/>
                <w:szCs w:val="24"/>
                <w:lang w:eastAsia="ru-RU"/>
              </w:rPr>
              <w:t>№п/п</w:t>
            </w:r>
          </w:p>
        </w:tc>
        <w:tc>
          <w:tcPr>
            <w:tcW w:w="619" w:type="pct"/>
            <w:tcBorders>
              <w:top w:val="single" w:sz="4" w:space="0" w:color="auto"/>
              <w:left w:val="nil"/>
              <w:bottom w:val="single" w:sz="4" w:space="0" w:color="auto"/>
              <w:right w:val="single" w:sz="4" w:space="0" w:color="auto"/>
            </w:tcBorders>
            <w:shd w:val="clear" w:color="auto" w:fill="auto"/>
            <w:vAlign w:val="center"/>
            <w:hideMark/>
          </w:tcPr>
          <w:p w14:paraId="66B643E9" w14:textId="77777777" w:rsidR="003C59C1" w:rsidRPr="003C59C1" w:rsidRDefault="003C59C1" w:rsidP="003C59C1">
            <w:pPr>
              <w:ind w:firstLine="0"/>
              <w:jc w:val="center"/>
              <w:rPr>
                <w:rFonts w:eastAsia="Times New Roman" w:cs="Times New Roman"/>
                <w:szCs w:val="24"/>
                <w:lang w:eastAsia="ru-RU"/>
              </w:rPr>
            </w:pPr>
            <w:r w:rsidRPr="003C59C1">
              <w:rPr>
                <w:rFonts w:eastAsia="Times New Roman" w:cs="Times New Roman"/>
                <w:szCs w:val="24"/>
                <w:lang w:eastAsia="ru-RU"/>
              </w:rPr>
              <w:t>Название модели</w:t>
            </w:r>
          </w:p>
        </w:tc>
        <w:tc>
          <w:tcPr>
            <w:tcW w:w="1786" w:type="pct"/>
            <w:tcBorders>
              <w:top w:val="single" w:sz="4" w:space="0" w:color="auto"/>
              <w:left w:val="nil"/>
              <w:bottom w:val="single" w:sz="4" w:space="0" w:color="auto"/>
              <w:right w:val="single" w:sz="4" w:space="0" w:color="auto"/>
            </w:tcBorders>
            <w:shd w:val="clear" w:color="auto" w:fill="auto"/>
            <w:vAlign w:val="center"/>
            <w:hideMark/>
          </w:tcPr>
          <w:p w14:paraId="79582EE3" w14:textId="77777777" w:rsidR="003C59C1" w:rsidRPr="003C59C1" w:rsidRDefault="003C59C1" w:rsidP="003C59C1">
            <w:pPr>
              <w:ind w:firstLine="0"/>
              <w:jc w:val="center"/>
              <w:rPr>
                <w:rFonts w:eastAsia="Times New Roman" w:cs="Times New Roman"/>
                <w:szCs w:val="24"/>
                <w:lang w:eastAsia="ru-RU"/>
              </w:rPr>
            </w:pPr>
            <w:r w:rsidRPr="003C59C1">
              <w:rPr>
                <w:rFonts w:eastAsia="Times New Roman" w:cs="Times New Roman"/>
                <w:szCs w:val="24"/>
                <w:lang w:eastAsia="ru-RU"/>
              </w:rPr>
              <w:t>Формула модели</w:t>
            </w:r>
          </w:p>
        </w:tc>
        <w:tc>
          <w:tcPr>
            <w:tcW w:w="617" w:type="pct"/>
            <w:tcBorders>
              <w:top w:val="single" w:sz="4" w:space="0" w:color="auto"/>
              <w:left w:val="nil"/>
              <w:bottom w:val="single" w:sz="4" w:space="0" w:color="auto"/>
              <w:right w:val="single" w:sz="4" w:space="0" w:color="auto"/>
            </w:tcBorders>
            <w:shd w:val="clear" w:color="auto" w:fill="auto"/>
            <w:vAlign w:val="center"/>
            <w:hideMark/>
          </w:tcPr>
          <w:p w14:paraId="470BB439" w14:textId="77777777" w:rsidR="003C59C1" w:rsidRPr="003C59C1" w:rsidRDefault="003C59C1" w:rsidP="003C59C1">
            <w:pPr>
              <w:ind w:firstLine="0"/>
              <w:jc w:val="center"/>
              <w:rPr>
                <w:rFonts w:eastAsia="Times New Roman" w:cs="Times New Roman"/>
                <w:szCs w:val="24"/>
                <w:lang w:eastAsia="ru-RU"/>
              </w:rPr>
            </w:pPr>
            <w:r w:rsidRPr="003C59C1">
              <w:rPr>
                <w:rFonts w:eastAsia="Times New Roman" w:cs="Times New Roman"/>
                <w:szCs w:val="24"/>
                <w:lang w:eastAsia="ru-RU"/>
              </w:rPr>
              <w:t>Ценообразующий фактор для построения моделей</w:t>
            </w:r>
          </w:p>
        </w:tc>
        <w:tc>
          <w:tcPr>
            <w:tcW w:w="554" w:type="pct"/>
            <w:tcBorders>
              <w:top w:val="single" w:sz="4" w:space="0" w:color="auto"/>
              <w:left w:val="nil"/>
              <w:bottom w:val="single" w:sz="4" w:space="0" w:color="auto"/>
              <w:right w:val="single" w:sz="4" w:space="0" w:color="auto"/>
            </w:tcBorders>
            <w:shd w:val="clear" w:color="auto" w:fill="auto"/>
            <w:vAlign w:val="center"/>
            <w:hideMark/>
          </w:tcPr>
          <w:p w14:paraId="270DCEFE" w14:textId="77777777" w:rsidR="003C59C1" w:rsidRPr="003C59C1" w:rsidRDefault="003C59C1" w:rsidP="003C59C1">
            <w:pPr>
              <w:ind w:firstLine="0"/>
              <w:jc w:val="center"/>
              <w:rPr>
                <w:rFonts w:eastAsia="Times New Roman" w:cs="Times New Roman"/>
                <w:szCs w:val="24"/>
                <w:lang w:eastAsia="ru-RU"/>
              </w:rPr>
            </w:pPr>
            <w:r w:rsidRPr="003C59C1">
              <w:rPr>
                <w:rFonts w:eastAsia="Times New Roman" w:cs="Times New Roman"/>
                <w:szCs w:val="24"/>
                <w:lang w:eastAsia="ru-RU"/>
              </w:rPr>
              <w:t>Коэффициент при ценообразующем факторе в модели</w:t>
            </w:r>
          </w:p>
        </w:tc>
        <w:tc>
          <w:tcPr>
            <w:tcW w:w="572" w:type="pct"/>
            <w:tcBorders>
              <w:top w:val="single" w:sz="4" w:space="0" w:color="auto"/>
              <w:left w:val="nil"/>
              <w:bottom w:val="single" w:sz="4" w:space="0" w:color="auto"/>
              <w:right w:val="single" w:sz="4" w:space="0" w:color="auto"/>
            </w:tcBorders>
            <w:shd w:val="clear" w:color="auto" w:fill="auto"/>
            <w:vAlign w:val="center"/>
            <w:hideMark/>
          </w:tcPr>
          <w:p w14:paraId="57CAA968" w14:textId="77777777" w:rsidR="003C59C1" w:rsidRPr="003C59C1" w:rsidRDefault="003C59C1" w:rsidP="003C59C1">
            <w:pPr>
              <w:ind w:firstLine="0"/>
              <w:jc w:val="center"/>
              <w:rPr>
                <w:rFonts w:eastAsia="Times New Roman" w:cs="Times New Roman"/>
                <w:szCs w:val="24"/>
                <w:lang w:eastAsia="ru-RU"/>
              </w:rPr>
            </w:pPr>
            <w:r w:rsidRPr="003C59C1">
              <w:rPr>
                <w:rFonts w:eastAsia="Times New Roman" w:cs="Times New Roman"/>
                <w:szCs w:val="24"/>
                <w:lang w:eastAsia="ru-RU"/>
              </w:rPr>
              <w:t>Значения ценообразующего фактора (диапазон значений)</w:t>
            </w:r>
          </w:p>
        </w:tc>
        <w:tc>
          <w:tcPr>
            <w:tcW w:w="639" w:type="pct"/>
            <w:tcBorders>
              <w:top w:val="single" w:sz="4" w:space="0" w:color="auto"/>
              <w:left w:val="nil"/>
              <w:bottom w:val="single" w:sz="4" w:space="0" w:color="auto"/>
              <w:right w:val="single" w:sz="4" w:space="0" w:color="auto"/>
            </w:tcBorders>
            <w:shd w:val="clear" w:color="auto" w:fill="auto"/>
            <w:vAlign w:val="center"/>
            <w:hideMark/>
          </w:tcPr>
          <w:p w14:paraId="14D1F165" w14:textId="77777777" w:rsidR="003C59C1" w:rsidRPr="003C59C1" w:rsidRDefault="003C59C1" w:rsidP="003C59C1">
            <w:pPr>
              <w:ind w:firstLine="0"/>
              <w:jc w:val="center"/>
              <w:rPr>
                <w:rFonts w:eastAsia="Times New Roman" w:cs="Times New Roman"/>
                <w:szCs w:val="24"/>
                <w:lang w:eastAsia="ru-RU"/>
              </w:rPr>
            </w:pPr>
            <w:r w:rsidRPr="003C59C1">
              <w:rPr>
                <w:rFonts w:eastAsia="Times New Roman" w:cs="Times New Roman"/>
                <w:szCs w:val="24"/>
                <w:lang w:eastAsia="ru-RU"/>
              </w:rPr>
              <w:t>Значения меток ценообразующего фактора</w:t>
            </w:r>
          </w:p>
        </w:tc>
      </w:tr>
      <w:tr w:rsidR="003C59C1" w:rsidRPr="003C59C1" w14:paraId="399944DF" w14:textId="77777777" w:rsidTr="003C59C1">
        <w:trPr>
          <w:trHeight w:val="315"/>
        </w:trPr>
        <w:tc>
          <w:tcPr>
            <w:tcW w:w="212" w:type="pct"/>
            <w:tcBorders>
              <w:top w:val="nil"/>
              <w:left w:val="single" w:sz="4" w:space="0" w:color="auto"/>
              <w:bottom w:val="single" w:sz="4" w:space="0" w:color="auto"/>
              <w:right w:val="single" w:sz="4" w:space="0" w:color="auto"/>
            </w:tcBorders>
            <w:shd w:val="clear" w:color="auto" w:fill="auto"/>
            <w:vAlign w:val="center"/>
            <w:hideMark/>
          </w:tcPr>
          <w:p w14:paraId="3FCDB6BB" w14:textId="77777777" w:rsidR="003C59C1" w:rsidRPr="003C59C1" w:rsidRDefault="003C59C1" w:rsidP="003C59C1">
            <w:pPr>
              <w:ind w:firstLine="0"/>
              <w:jc w:val="center"/>
              <w:rPr>
                <w:rFonts w:eastAsia="Times New Roman" w:cs="Times New Roman"/>
                <w:szCs w:val="24"/>
                <w:lang w:eastAsia="ru-RU"/>
              </w:rPr>
            </w:pPr>
            <w:r w:rsidRPr="003C59C1">
              <w:rPr>
                <w:rFonts w:eastAsia="Times New Roman" w:cs="Times New Roman"/>
                <w:szCs w:val="24"/>
                <w:lang w:eastAsia="ru-RU"/>
              </w:rPr>
              <w:t>01</w:t>
            </w:r>
          </w:p>
        </w:tc>
        <w:tc>
          <w:tcPr>
            <w:tcW w:w="619" w:type="pct"/>
            <w:tcBorders>
              <w:top w:val="nil"/>
              <w:left w:val="nil"/>
              <w:bottom w:val="single" w:sz="4" w:space="0" w:color="auto"/>
              <w:right w:val="single" w:sz="4" w:space="0" w:color="auto"/>
            </w:tcBorders>
            <w:shd w:val="clear" w:color="auto" w:fill="auto"/>
            <w:vAlign w:val="center"/>
            <w:hideMark/>
          </w:tcPr>
          <w:p w14:paraId="51E7E891" w14:textId="77777777" w:rsidR="003C59C1" w:rsidRPr="003C59C1" w:rsidRDefault="003C59C1" w:rsidP="003C59C1">
            <w:pPr>
              <w:ind w:firstLine="0"/>
              <w:jc w:val="center"/>
              <w:rPr>
                <w:rFonts w:eastAsia="Times New Roman" w:cs="Times New Roman"/>
                <w:szCs w:val="24"/>
                <w:lang w:eastAsia="ru-RU"/>
              </w:rPr>
            </w:pPr>
            <w:r w:rsidRPr="003C59C1">
              <w:rPr>
                <w:rFonts w:eastAsia="Times New Roman" w:cs="Times New Roman"/>
                <w:szCs w:val="24"/>
                <w:lang w:eastAsia="ru-RU"/>
              </w:rPr>
              <w:t>02</w:t>
            </w:r>
          </w:p>
        </w:tc>
        <w:tc>
          <w:tcPr>
            <w:tcW w:w="1786" w:type="pct"/>
            <w:tcBorders>
              <w:top w:val="nil"/>
              <w:left w:val="nil"/>
              <w:bottom w:val="single" w:sz="4" w:space="0" w:color="auto"/>
              <w:right w:val="single" w:sz="4" w:space="0" w:color="auto"/>
            </w:tcBorders>
            <w:shd w:val="clear" w:color="auto" w:fill="auto"/>
            <w:vAlign w:val="center"/>
            <w:hideMark/>
          </w:tcPr>
          <w:p w14:paraId="48D1EB33" w14:textId="77777777" w:rsidR="003C59C1" w:rsidRPr="003C59C1" w:rsidRDefault="003C59C1" w:rsidP="003C59C1">
            <w:pPr>
              <w:ind w:firstLine="0"/>
              <w:jc w:val="center"/>
              <w:rPr>
                <w:rFonts w:eastAsia="Times New Roman" w:cs="Times New Roman"/>
                <w:szCs w:val="24"/>
                <w:lang w:eastAsia="ru-RU"/>
              </w:rPr>
            </w:pPr>
            <w:r w:rsidRPr="003C59C1">
              <w:rPr>
                <w:rFonts w:eastAsia="Times New Roman" w:cs="Times New Roman"/>
                <w:szCs w:val="24"/>
                <w:lang w:eastAsia="ru-RU"/>
              </w:rPr>
              <w:t>03</w:t>
            </w:r>
          </w:p>
        </w:tc>
        <w:tc>
          <w:tcPr>
            <w:tcW w:w="617" w:type="pct"/>
            <w:tcBorders>
              <w:top w:val="nil"/>
              <w:left w:val="nil"/>
              <w:bottom w:val="single" w:sz="4" w:space="0" w:color="auto"/>
              <w:right w:val="single" w:sz="4" w:space="0" w:color="auto"/>
            </w:tcBorders>
            <w:shd w:val="clear" w:color="auto" w:fill="auto"/>
            <w:vAlign w:val="center"/>
            <w:hideMark/>
          </w:tcPr>
          <w:p w14:paraId="3838EC47" w14:textId="77777777" w:rsidR="003C59C1" w:rsidRPr="003C59C1" w:rsidRDefault="003C59C1" w:rsidP="003C59C1">
            <w:pPr>
              <w:ind w:firstLine="0"/>
              <w:jc w:val="center"/>
              <w:rPr>
                <w:rFonts w:eastAsia="Times New Roman" w:cs="Times New Roman"/>
                <w:szCs w:val="24"/>
                <w:lang w:eastAsia="ru-RU"/>
              </w:rPr>
            </w:pPr>
            <w:r w:rsidRPr="003C59C1">
              <w:rPr>
                <w:rFonts w:eastAsia="Times New Roman" w:cs="Times New Roman"/>
                <w:szCs w:val="24"/>
                <w:lang w:eastAsia="ru-RU"/>
              </w:rPr>
              <w:t>04</w:t>
            </w:r>
          </w:p>
        </w:tc>
        <w:tc>
          <w:tcPr>
            <w:tcW w:w="554" w:type="pct"/>
            <w:tcBorders>
              <w:top w:val="nil"/>
              <w:left w:val="nil"/>
              <w:bottom w:val="single" w:sz="4" w:space="0" w:color="auto"/>
              <w:right w:val="single" w:sz="4" w:space="0" w:color="auto"/>
            </w:tcBorders>
            <w:shd w:val="clear" w:color="auto" w:fill="auto"/>
            <w:vAlign w:val="center"/>
            <w:hideMark/>
          </w:tcPr>
          <w:p w14:paraId="7ACD3715" w14:textId="77777777" w:rsidR="003C59C1" w:rsidRPr="003C59C1" w:rsidRDefault="003C59C1" w:rsidP="003C59C1">
            <w:pPr>
              <w:ind w:firstLine="0"/>
              <w:jc w:val="center"/>
              <w:rPr>
                <w:rFonts w:eastAsia="Times New Roman" w:cs="Times New Roman"/>
                <w:szCs w:val="24"/>
                <w:lang w:eastAsia="ru-RU"/>
              </w:rPr>
            </w:pPr>
            <w:r w:rsidRPr="003C59C1">
              <w:rPr>
                <w:rFonts w:eastAsia="Times New Roman" w:cs="Times New Roman"/>
                <w:szCs w:val="24"/>
                <w:lang w:eastAsia="ru-RU"/>
              </w:rPr>
              <w:t>05</w:t>
            </w:r>
          </w:p>
        </w:tc>
        <w:tc>
          <w:tcPr>
            <w:tcW w:w="572" w:type="pct"/>
            <w:tcBorders>
              <w:top w:val="nil"/>
              <w:left w:val="nil"/>
              <w:bottom w:val="single" w:sz="4" w:space="0" w:color="auto"/>
              <w:right w:val="single" w:sz="4" w:space="0" w:color="auto"/>
            </w:tcBorders>
            <w:shd w:val="clear" w:color="auto" w:fill="auto"/>
            <w:vAlign w:val="center"/>
            <w:hideMark/>
          </w:tcPr>
          <w:p w14:paraId="2DC711EC" w14:textId="77777777" w:rsidR="003C59C1" w:rsidRPr="003C59C1" w:rsidRDefault="003C59C1" w:rsidP="003C59C1">
            <w:pPr>
              <w:ind w:firstLine="0"/>
              <w:jc w:val="center"/>
              <w:rPr>
                <w:rFonts w:eastAsia="Times New Roman" w:cs="Times New Roman"/>
                <w:szCs w:val="24"/>
                <w:lang w:eastAsia="ru-RU"/>
              </w:rPr>
            </w:pPr>
            <w:r w:rsidRPr="003C59C1">
              <w:rPr>
                <w:rFonts w:eastAsia="Times New Roman" w:cs="Times New Roman"/>
                <w:szCs w:val="24"/>
                <w:lang w:eastAsia="ru-RU"/>
              </w:rPr>
              <w:t>06</w:t>
            </w:r>
          </w:p>
        </w:tc>
        <w:tc>
          <w:tcPr>
            <w:tcW w:w="639" w:type="pct"/>
            <w:tcBorders>
              <w:top w:val="nil"/>
              <w:left w:val="nil"/>
              <w:bottom w:val="single" w:sz="4" w:space="0" w:color="auto"/>
              <w:right w:val="single" w:sz="4" w:space="0" w:color="auto"/>
            </w:tcBorders>
            <w:shd w:val="clear" w:color="auto" w:fill="auto"/>
            <w:vAlign w:val="center"/>
            <w:hideMark/>
          </w:tcPr>
          <w:p w14:paraId="490756C9" w14:textId="77777777" w:rsidR="003C59C1" w:rsidRPr="003C59C1" w:rsidRDefault="003C59C1" w:rsidP="003C59C1">
            <w:pPr>
              <w:ind w:firstLine="0"/>
              <w:jc w:val="center"/>
              <w:rPr>
                <w:rFonts w:eastAsia="Times New Roman" w:cs="Times New Roman"/>
                <w:szCs w:val="24"/>
                <w:lang w:eastAsia="ru-RU"/>
              </w:rPr>
            </w:pPr>
            <w:r w:rsidRPr="003C59C1">
              <w:rPr>
                <w:rFonts w:eastAsia="Times New Roman" w:cs="Times New Roman"/>
                <w:szCs w:val="24"/>
                <w:lang w:eastAsia="ru-RU"/>
              </w:rPr>
              <w:t>07</w:t>
            </w:r>
          </w:p>
        </w:tc>
      </w:tr>
      <w:tr w:rsidR="003C59C1" w:rsidRPr="003C59C1" w14:paraId="76A89858" w14:textId="77777777" w:rsidTr="003C59C1">
        <w:trPr>
          <w:trHeight w:val="945"/>
        </w:trPr>
        <w:tc>
          <w:tcPr>
            <w:tcW w:w="212" w:type="pct"/>
            <w:vMerge w:val="restart"/>
            <w:tcBorders>
              <w:top w:val="nil"/>
              <w:left w:val="single" w:sz="4" w:space="0" w:color="auto"/>
              <w:bottom w:val="single" w:sz="4" w:space="0" w:color="auto"/>
              <w:right w:val="single" w:sz="4" w:space="0" w:color="auto"/>
            </w:tcBorders>
            <w:shd w:val="clear" w:color="auto" w:fill="auto"/>
            <w:vAlign w:val="center"/>
            <w:hideMark/>
          </w:tcPr>
          <w:p w14:paraId="47F3EF69" w14:textId="77777777" w:rsidR="003C59C1" w:rsidRPr="003C59C1" w:rsidRDefault="003C59C1" w:rsidP="003C59C1">
            <w:pPr>
              <w:ind w:firstLine="0"/>
              <w:jc w:val="center"/>
              <w:rPr>
                <w:rFonts w:eastAsia="Times New Roman" w:cs="Times New Roman"/>
                <w:szCs w:val="24"/>
                <w:lang w:eastAsia="ru-RU"/>
              </w:rPr>
            </w:pPr>
            <w:r w:rsidRPr="003C59C1">
              <w:rPr>
                <w:rFonts w:eastAsia="Times New Roman" w:cs="Times New Roman"/>
                <w:szCs w:val="24"/>
                <w:lang w:eastAsia="ru-RU"/>
              </w:rPr>
              <w:t>1</w:t>
            </w:r>
          </w:p>
        </w:tc>
        <w:tc>
          <w:tcPr>
            <w:tcW w:w="619" w:type="pct"/>
            <w:vMerge w:val="restart"/>
            <w:tcBorders>
              <w:top w:val="nil"/>
              <w:left w:val="single" w:sz="4" w:space="0" w:color="auto"/>
              <w:bottom w:val="single" w:sz="4" w:space="0" w:color="auto"/>
              <w:right w:val="single" w:sz="4" w:space="0" w:color="auto"/>
            </w:tcBorders>
            <w:shd w:val="clear" w:color="auto" w:fill="auto"/>
            <w:vAlign w:val="center"/>
            <w:hideMark/>
          </w:tcPr>
          <w:p w14:paraId="74346529" w14:textId="77777777" w:rsidR="003C59C1" w:rsidRPr="003C59C1" w:rsidRDefault="003C59C1" w:rsidP="003C59C1">
            <w:pPr>
              <w:ind w:firstLine="0"/>
              <w:jc w:val="center"/>
              <w:rPr>
                <w:rFonts w:eastAsia="Times New Roman" w:cs="Times New Roman"/>
                <w:szCs w:val="24"/>
                <w:lang w:eastAsia="ru-RU"/>
              </w:rPr>
            </w:pPr>
            <w:r w:rsidRPr="003C59C1">
              <w:rPr>
                <w:rFonts w:eastAsia="Times New Roman" w:cs="Times New Roman"/>
                <w:szCs w:val="24"/>
                <w:lang w:eastAsia="ru-RU"/>
              </w:rPr>
              <w:t>мультипликативная</w:t>
            </w:r>
          </w:p>
        </w:tc>
        <w:tc>
          <w:tcPr>
            <w:tcW w:w="1786" w:type="pct"/>
            <w:vMerge w:val="restart"/>
            <w:tcBorders>
              <w:top w:val="nil"/>
              <w:left w:val="single" w:sz="4" w:space="0" w:color="auto"/>
              <w:bottom w:val="single" w:sz="4" w:space="0" w:color="auto"/>
              <w:right w:val="single" w:sz="4" w:space="0" w:color="auto"/>
            </w:tcBorders>
            <w:shd w:val="clear" w:color="auto" w:fill="auto"/>
            <w:vAlign w:val="center"/>
            <w:hideMark/>
          </w:tcPr>
          <w:p w14:paraId="1919C3D1" w14:textId="77777777" w:rsidR="003C59C1" w:rsidRPr="003C59C1" w:rsidRDefault="003C59C1" w:rsidP="003C59C1">
            <w:pPr>
              <w:ind w:firstLine="0"/>
              <w:jc w:val="center"/>
              <w:rPr>
                <w:rFonts w:eastAsia="Times New Roman" w:cs="Times New Roman"/>
                <w:sz w:val="20"/>
                <w:szCs w:val="20"/>
                <w:lang w:eastAsia="ru-RU"/>
              </w:rPr>
            </w:pPr>
            <w:r w:rsidRPr="003C59C1">
              <w:rPr>
                <w:rFonts w:eastAsia="Times New Roman" w:cs="Times New Roman"/>
                <w:sz w:val="20"/>
                <w:szCs w:val="20"/>
                <w:lang w:eastAsia="ru-RU"/>
              </w:rPr>
              <w:t>Y=10421.1*((метка(Теплоснабжение)+0)^3.24757)*((3494.21/(Расстояние от объекта до административного центра населенного пункта+1520)+0.5)^1.97946)*((443.421/(Расстояние объекта до общественно-делового центра населенного пункта+530)+0.5)^0.208052)</w:t>
            </w:r>
          </w:p>
        </w:tc>
        <w:tc>
          <w:tcPr>
            <w:tcW w:w="617" w:type="pct"/>
            <w:tcBorders>
              <w:top w:val="nil"/>
              <w:left w:val="nil"/>
              <w:bottom w:val="single" w:sz="4" w:space="0" w:color="auto"/>
              <w:right w:val="single" w:sz="4" w:space="0" w:color="auto"/>
            </w:tcBorders>
            <w:shd w:val="clear" w:color="auto" w:fill="auto"/>
            <w:vAlign w:val="center"/>
            <w:hideMark/>
          </w:tcPr>
          <w:p w14:paraId="0C79EE63" w14:textId="77777777" w:rsidR="003C59C1" w:rsidRPr="003C59C1" w:rsidRDefault="003C59C1" w:rsidP="003C59C1">
            <w:pPr>
              <w:ind w:firstLine="0"/>
              <w:jc w:val="center"/>
              <w:rPr>
                <w:rFonts w:eastAsia="Times New Roman" w:cs="Times New Roman"/>
                <w:szCs w:val="24"/>
                <w:lang w:eastAsia="ru-RU"/>
              </w:rPr>
            </w:pPr>
            <w:r w:rsidRPr="003C59C1">
              <w:rPr>
                <w:rFonts w:eastAsia="Times New Roman" w:cs="Times New Roman"/>
                <w:szCs w:val="24"/>
                <w:lang w:eastAsia="ru-RU"/>
              </w:rPr>
              <w:t>Расстояние объекта до общественно-делового центра населенного пункта</w:t>
            </w:r>
          </w:p>
        </w:tc>
        <w:tc>
          <w:tcPr>
            <w:tcW w:w="554" w:type="pct"/>
            <w:tcBorders>
              <w:top w:val="nil"/>
              <w:left w:val="nil"/>
              <w:bottom w:val="single" w:sz="4" w:space="0" w:color="auto"/>
              <w:right w:val="single" w:sz="4" w:space="0" w:color="auto"/>
            </w:tcBorders>
            <w:shd w:val="clear" w:color="auto" w:fill="auto"/>
            <w:vAlign w:val="center"/>
            <w:hideMark/>
          </w:tcPr>
          <w:p w14:paraId="3CBB0E0D" w14:textId="77777777" w:rsidR="003C59C1" w:rsidRPr="003C59C1" w:rsidRDefault="003C59C1" w:rsidP="003C59C1">
            <w:pPr>
              <w:ind w:firstLine="0"/>
              <w:jc w:val="center"/>
              <w:rPr>
                <w:rFonts w:eastAsia="Times New Roman" w:cs="Times New Roman"/>
                <w:szCs w:val="24"/>
                <w:lang w:eastAsia="ru-RU"/>
              </w:rPr>
            </w:pPr>
            <w:r w:rsidRPr="003C59C1">
              <w:rPr>
                <w:rFonts w:eastAsia="Times New Roman" w:cs="Times New Roman"/>
                <w:szCs w:val="24"/>
                <w:lang w:eastAsia="ru-RU"/>
              </w:rPr>
              <w:t>0,208052</w:t>
            </w:r>
          </w:p>
        </w:tc>
        <w:tc>
          <w:tcPr>
            <w:tcW w:w="572" w:type="pct"/>
            <w:tcBorders>
              <w:top w:val="nil"/>
              <w:left w:val="nil"/>
              <w:bottom w:val="single" w:sz="4" w:space="0" w:color="auto"/>
              <w:right w:val="single" w:sz="4" w:space="0" w:color="auto"/>
            </w:tcBorders>
            <w:shd w:val="clear" w:color="auto" w:fill="auto"/>
            <w:vAlign w:val="center"/>
            <w:hideMark/>
          </w:tcPr>
          <w:p w14:paraId="6F16EA80" w14:textId="77777777" w:rsidR="003C59C1" w:rsidRPr="003C59C1" w:rsidRDefault="003C59C1" w:rsidP="003C59C1">
            <w:pPr>
              <w:ind w:firstLine="0"/>
              <w:jc w:val="center"/>
              <w:rPr>
                <w:rFonts w:eastAsia="Times New Roman" w:cs="Times New Roman"/>
                <w:szCs w:val="24"/>
                <w:lang w:eastAsia="ru-RU"/>
              </w:rPr>
            </w:pPr>
            <w:r w:rsidRPr="003C59C1">
              <w:rPr>
                <w:rFonts w:eastAsia="Times New Roman" w:cs="Times New Roman"/>
                <w:szCs w:val="24"/>
                <w:lang w:eastAsia="ru-RU"/>
              </w:rPr>
              <w:t>200 - 11950</w:t>
            </w:r>
          </w:p>
        </w:tc>
        <w:tc>
          <w:tcPr>
            <w:tcW w:w="639" w:type="pct"/>
            <w:tcBorders>
              <w:top w:val="nil"/>
              <w:left w:val="nil"/>
              <w:bottom w:val="single" w:sz="4" w:space="0" w:color="auto"/>
              <w:right w:val="single" w:sz="4" w:space="0" w:color="auto"/>
            </w:tcBorders>
            <w:shd w:val="clear" w:color="auto" w:fill="auto"/>
            <w:noWrap/>
            <w:vAlign w:val="bottom"/>
            <w:hideMark/>
          </w:tcPr>
          <w:p w14:paraId="5D2F3246" w14:textId="77777777" w:rsidR="003C59C1" w:rsidRPr="003C59C1" w:rsidRDefault="003C59C1" w:rsidP="003C59C1">
            <w:pPr>
              <w:ind w:firstLine="0"/>
              <w:jc w:val="left"/>
              <w:rPr>
                <w:rFonts w:eastAsia="Times New Roman" w:cs="Times New Roman"/>
                <w:szCs w:val="24"/>
                <w:lang w:eastAsia="ru-RU"/>
              </w:rPr>
            </w:pPr>
            <w:r w:rsidRPr="003C59C1">
              <w:rPr>
                <w:rFonts w:eastAsia="Times New Roman" w:cs="Times New Roman"/>
                <w:szCs w:val="24"/>
                <w:lang w:eastAsia="ru-RU"/>
              </w:rPr>
              <w:t> </w:t>
            </w:r>
          </w:p>
        </w:tc>
      </w:tr>
      <w:tr w:rsidR="003C59C1" w:rsidRPr="003C59C1" w14:paraId="4D0422CE" w14:textId="77777777" w:rsidTr="003C59C1">
        <w:trPr>
          <w:trHeight w:val="945"/>
        </w:trPr>
        <w:tc>
          <w:tcPr>
            <w:tcW w:w="212" w:type="pct"/>
            <w:vMerge/>
            <w:tcBorders>
              <w:top w:val="nil"/>
              <w:left w:val="single" w:sz="4" w:space="0" w:color="auto"/>
              <w:bottom w:val="single" w:sz="4" w:space="0" w:color="auto"/>
              <w:right w:val="single" w:sz="4" w:space="0" w:color="auto"/>
            </w:tcBorders>
            <w:vAlign w:val="center"/>
            <w:hideMark/>
          </w:tcPr>
          <w:p w14:paraId="3CE95DE8" w14:textId="77777777" w:rsidR="003C59C1" w:rsidRPr="003C59C1" w:rsidRDefault="003C59C1" w:rsidP="003C59C1">
            <w:pPr>
              <w:ind w:firstLine="0"/>
              <w:jc w:val="left"/>
              <w:rPr>
                <w:rFonts w:eastAsia="Times New Roman" w:cs="Times New Roman"/>
                <w:szCs w:val="24"/>
                <w:lang w:eastAsia="ru-RU"/>
              </w:rPr>
            </w:pPr>
          </w:p>
        </w:tc>
        <w:tc>
          <w:tcPr>
            <w:tcW w:w="619" w:type="pct"/>
            <w:vMerge/>
            <w:tcBorders>
              <w:top w:val="nil"/>
              <w:left w:val="single" w:sz="4" w:space="0" w:color="auto"/>
              <w:bottom w:val="single" w:sz="4" w:space="0" w:color="auto"/>
              <w:right w:val="single" w:sz="4" w:space="0" w:color="auto"/>
            </w:tcBorders>
            <w:vAlign w:val="center"/>
            <w:hideMark/>
          </w:tcPr>
          <w:p w14:paraId="5FC46386" w14:textId="77777777" w:rsidR="003C59C1" w:rsidRPr="003C59C1" w:rsidRDefault="003C59C1" w:rsidP="003C59C1">
            <w:pPr>
              <w:ind w:firstLine="0"/>
              <w:jc w:val="left"/>
              <w:rPr>
                <w:rFonts w:eastAsia="Times New Roman" w:cs="Times New Roman"/>
                <w:szCs w:val="24"/>
                <w:lang w:eastAsia="ru-RU"/>
              </w:rPr>
            </w:pPr>
          </w:p>
        </w:tc>
        <w:tc>
          <w:tcPr>
            <w:tcW w:w="1786" w:type="pct"/>
            <w:vMerge/>
            <w:tcBorders>
              <w:top w:val="nil"/>
              <w:left w:val="single" w:sz="4" w:space="0" w:color="auto"/>
              <w:bottom w:val="single" w:sz="4" w:space="0" w:color="auto"/>
              <w:right w:val="single" w:sz="4" w:space="0" w:color="auto"/>
            </w:tcBorders>
            <w:vAlign w:val="center"/>
            <w:hideMark/>
          </w:tcPr>
          <w:p w14:paraId="0C2AE825" w14:textId="77777777" w:rsidR="003C59C1" w:rsidRPr="003C59C1" w:rsidRDefault="003C59C1" w:rsidP="003C59C1">
            <w:pPr>
              <w:ind w:firstLine="0"/>
              <w:jc w:val="left"/>
              <w:rPr>
                <w:rFonts w:eastAsia="Times New Roman" w:cs="Times New Roman"/>
                <w:sz w:val="20"/>
                <w:szCs w:val="20"/>
                <w:lang w:eastAsia="ru-RU"/>
              </w:rPr>
            </w:pPr>
          </w:p>
        </w:tc>
        <w:tc>
          <w:tcPr>
            <w:tcW w:w="617" w:type="pct"/>
            <w:tcBorders>
              <w:top w:val="nil"/>
              <w:left w:val="nil"/>
              <w:bottom w:val="single" w:sz="4" w:space="0" w:color="auto"/>
              <w:right w:val="single" w:sz="4" w:space="0" w:color="auto"/>
            </w:tcBorders>
            <w:shd w:val="clear" w:color="auto" w:fill="auto"/>
            <w:vAlign w:val="center"/>
            <w:hideMark/>
          </w:tcPr>
          <w:p w14:paraId="65188C76" w14:textId="77777777" w:rsidR="003C59C1" w:rsidRPr="003C59C1" w:rsidRDefault="003C59C1" w:rsidP="003C59C1">
            <w:pPr>
              <w:ind w:firstLine="0"/>
              <w:jc w:val="center"/>
              <w:rPr>
                <w:rFonts w:eastAsia="Times New Roman" w:cs="Times New Roman"/>
                <w:szCs w:val="24"/>
                <w:lang w:eastAsia="ru-RU"/>
              </w:rPr>
            </w:pPr>
            <w:r w:rsidRPr="003C59C1">
              <w:rPr>
                <w:rFonts w:eastAsia="Times New Roman" w:cs="Times New Roman"/>
                <w:szCs w:val="24"/>
                <w:lang w:eastAsia="ru-RU"/>
              </w:rPr>
              <w:t>Расстояние от объекта до административного центра населенного пункта</w:t>
            </w:r>
          </w:p>
        </w:tc>
        <w:tc>
          <w:tcPr>
            <w:tcW w:w="554" w:type="pct"/>
            <w:tcBorders>
              <w:top w:val="nil"/>
              <w:left w:val="nil"/>
              <w:bottom w:val="single" w:sz="4" w:space="0" w:color="auto"/>
              <w:right w:val="single" w:sz="4" w:space="0" w:color="auto"/>
            </w:tcBorders>
            <w:shd w:val="clear" w:color="auto" w:fill="auto"/>
            <w:vAlign w:val="center"/>
            <w:hideMark/>
          </w:tcPr>
          <w:p w14:paraId="79D16D78" w14:textId="77777777" w:rsidR="003C59C1" w:rsidRPr="003C59C1" w:rsidRDefault="003C59C1" w:rsidP="003C59C1">
            <w:pPr>
              <w:ind w:firstLine="0"/>
              <w:jc w:val="center"/>
              <w:rPr>
                <w:rFonts w:eastAsia="Times New Roman" w:cs="Times New Roman"/>
                <w:szCs w:val="24"/>
                <w:lang w:eastAsia="ru-RU"/>
              </w:rPr>
            </w:pPr>
            <w:r w:rsidRPr="003C59C1">
              <w:rPr>
                <w:rFonts w:eastAsia="Times New Roman" w:cs="Times New Roman"/>
                <w:szCs w:val="24"/>
                <w:lang w:eastAsia="ru-RU"/>
              </w:rPr>
              <w:t>1,97946</w:t>
            </w:r>
          </w:p>
        </w:tc>
        <w:tc>
          <w:tcPr>
            <w:tcW w:w="572" w:type="pct"/>
            <w:tcBorders>
              <w:top w:val="nil"/>
              <w:left w:val="nil"/>
              <w:bottom w:val="single" w:sz="4" w:space="0" w:color="auto"/>
              <w:right w:val="single" w:sz="4" w:space="0" w:color="auto"/>
            </w:tcBorders>
            <w:shd w:val="clear" w:color="auto" w:fill="auto"/>
            <w:vAlign w:val="center"/>
            <w:hideMark/>
          </w:tcPr>
          <w:p w14:paraId="7261964B" w14:textId="77777777" w:rsidR="003C59C1" w:rsidRPr="003C59C1" w:rsidRDefault="003C59C1" w:rsidP="003C59C1">
            <w:pPr>
              <w:ind w:firstLine="0"/>
              <w:jc w:val="center"/>
              <w:rPr>
                <w:rFonts w:eastAsia="Times New Roman" w:cs="Times New Roman"/>
                <w:szCs w:val="24"/>
                <w:lang w:eastAsia="ru-RU"/>
              </w:rPr>
            </w:pPr>
            <w:r w:rsidRPr="003C59C1">
              <w:rPr>
                <w:rFonts w:eastAsia="Times New Roman" w:cs="Times New Roman"/>
                <w:szCs w:val="24"/>
                <w:lang w:eastAsia="ru-RU"/>
              </w:rPr>
              <w:t>250 - 17250</w:t>
            </w:r>
          </w:p>
        </w:tc>
        <w:tc>
          <w:tcPr>
            <w:tcW w:w="639" w:type="pct"/>
            <w:tcBorders>
              <w:top w:val="nil"/>
              <w:left w:val="nil"/>
              <w:bottom w:val="single" w:sz="4" w:space="0" w:color="auto"/>
              <w:right w:val="single" w:sz="4" w:space="0" w:color="auto"/>
            </w:tcBorders>
            <w:shd w:val="clear" w:color="auto" w:fill="auto"/>
            <w:noWrap/>
            <w:vAlign w:val="bottom"/>
            <w:hideMark/>
          </w:tcPr>
          <w:p w14:paraId="24CFA546" w14:textId="77777777" w:rsidR="003C59C1" w:rsidRPr="003C59C1" w:rsidRDefault="003C59C1" w:rsidP="003C59C1">
            <w:pPr>
              <w:ind w:firstLine="0"/>
              <w:jc w:val="left"/>
              <w:rPr>
                <w:rFonts w:eastAsia="Times New Roman" w:cs="Times New Roman"/>
                <w:szCs w:val="24"/>
                <w:lang w:eastAsia="ru-RU"/>
              </w:rPr>
            </w:pPr>
            <w:r w:rsidRPr="003C59C1">
              <w:rPr>
                <w:rFonts w:eastAsia="Times New Roman" w:cs="Times New Roman"/>
                <w:szCs w:val="24"/>
                <w:lang w:eastAsia="ru-RU"/>
              </w:rPr>
              <w:t> </w:t>
            </w:r>
          </w:p>
        </w:tc>
      </w:tr>
      <w:tr w:rsidR="003C59C1" w:rsidRPr="003C59C1" w14:paraId="3CCF70B0" w14:textId="77777777" w:rsidTr="003C59C1">
        <w:trPr>
          <w:trHeight w:val="630"/>
        </w:trPr>
        <w:tc>
          <w:tcPr>
            <w:tcW w:w="212" w:type="pct"/>
            <w:vMerge/>
            <w:tcBorders>
              <w:top w:val="nil"/>
              <w:left w:val="single" w:sz="4" w:space="0" w:color="auto"/>
              <w:bottom w:val="single" w:sz="4" w:space="0" w:color="auto"/>
              <w:right w:val="single" w:sz="4" w:space="0" w:color="auto"/>
            </w:tcBorders>
            <w:vAlign w:val="center"/>
            <w:hideMark/>
          </w:tcPr>
          <w:p w14:paraId="32B81167" w14:textId="77777777" w:rsidR="003C59C1" w:rsidRPr="003C59C1" w:rsidRDefault="003C59C1" w:rsidP="003C59C1">
            <w:pPr>
              <w:ind w:firstLine="0"/>
              <w:jc w:val="left"/>
              <w:rPr>
                <w:rFonts w:eastAsia="Times New Roman" w:cs="Times New Roman"/>
                <w:szCs w:val="24"/>
                <w:lang w:eastAsia="ru-RU"/>
              </w:rPr>
            </w:pPr>
          </w:p>
        </w:tc>
        <w:tc>
          <w:tcPr>
            <w:tcW w:w="619" w:type="pct"/>
            <w:vMerge/>
            <w:tcBorders>
              <w:top w:val="nil"/>
              <w:left w:val="single" w:sz="4" w:space="0" w:color="auto"/>
              <w:bottom w:val="single" w:sz="4" w:space="0" w:color="auto"/>
              <w:right w:val="single" w:sz="4" w:space="0" w:color="auto"/>
            </w:tcBorders>
            <w:vAlign w:val="center"/>
            <w:hideMark/>
          </w:tcPr>
          <w:p w14:paraId="5A806AB7" w14:textId="77777777" w:rsidR="003C59C1" w:rsidRPr="003C59C1" w:rsidRDefault="003C59C1" w:rsidP="003C59C1">
            <w:pPr>
              <w:ind w:firstLine="0"/>
              <w:jc w:val="left"/>
              <w:rPr>
                <w:rFonts w:eastAsia="Times New Roman" w:cs="Times New Roman"/>
                <w:szCs w:val="24"/>
                <w:lang w:eastAsia="ru-RU"/>
              </w:rPr>
            </w:pPr>
          </w:p>
        </w:tc>
        <w:tc>
          <w:tcPr>
            <w:tcW w:w="1786" w:type="pct"/>
            <w:vMerge/>
            <w:tcBorders>
              <w:top w:val="nil"/>
              <w:left w:val="single" w:sz="4" w:space="0" w:color="auto"/>
              <w:bottom w:val="single" w:sz="4" w:space="0" w:color="auto"/>
              <w:right w:val="single" w:sz="4" w:space="0" w:color="auto"/>
            </w:tcBorders>
            <w:vAlign w:val="center"/>
            <w:hideMark/>
          </w:tcPr>
          <w:p w14:paraId="0B8AE791" w14:textId="77777777" w:rsidR="003C59C1" w:rsidRPr="003C59C1" w:rsidRDefault="003C59C1" w:rsidP="003C59C1">
            <w:pPr>
              <w:ind w:firstLine="0"/>
              <w:jc w:val="left"/>
              <w:rPr>
                <w:rFonts w:eastAsia="Times New Roman" w:cs="Times New Roman"/>
                <w:sz w:val="20"/>
                <w:szCs w:val="20"/>
                <w:lang w:eastAsia="ru-RU"/>
              </w:rPr>
            </w:pPr>
          </w:p>
        </w:tc>
        <w:tc>
          <w:tcPr>
            <w:tcW w:w="617" w:type="pct"/>
            <w:vMerge w:val="restart"/>
            <w:tcBorders>
              <w:top w:val="nil"/>
              <w:left w:val="single" w:sz="4" w:space="0" w:color="auto"/>
              <w:bottom w:val="single" w:sz="4" w:space="0" w:color="auto"/>
              <w:right w:val="single" w:sz="4" w:space="0" w:color="auto"/>
            </w:tcBorders>
            <w:shd w:val="clear" w:color="auto" w:fill="auto"/>
            <w:vAlign w:val="center"/>
            <w:hideMark/>
          </w:tcPr>
          <w:p w14:paraId="6AE26D88" w14:textId="77777777" w:rsidR="003C59C1" w:rsidRPr="003C59C1" w:rsidRDefault="003C59C1" w:rsidP="003C59C1">
            <w:pPr>
              <w:ind w:firstLine="0"/>
              <w:jc w:val="center"/>
              <w:rPr>
                <w:rFonts w:eastAsia="Times New Roman" w:cs="Times New Roman"/>
                <w:szCs w:val="24"/>
                <w:lang w:eastAsia="ru-RU"/>
              </w:rPr>
            </w:pPr>
            <w:r w:rsidRPr="003C59C1">
              <w:rPr>
                <w:rFonts w:eastAsia="Times New Roman" w:cs="Times New Roman"/>
                <w:szCs w:val="24"/>
                <w:lang w:eastAsia="ru-RU"/>
              </w:rPr>
              <w:t>Теплоснабжение</w:t>
            </w:r>
          </w:p>
        </w:tc>
        <w:tc>
          <w:tcPr>
            <w:tcW w:w="554" w:type="pct"/>
            <w:vMerge w:val="restart"/>
            <w:tcBorders>
              <w:top w:val="nil"/>
              <w:left w:val="single" w:sz="4" w:space="0" w:color="auto"/>
              <w:bottom w:val="single" w:sz="4" w:space="0" w:color="auto"/>
              <w:right w:val="single" w:sz="4" w:space="0" w:color="auto"/>
            </w:tcBorders>
            <w:shd w:val="clear" w:color="auto" w:fill="auto"/>
            <w:vAlign w:val="center"/>
            <w:hideMark/>
          </w:tcPr>
          <w:p w14:paraId="0B90DBAB" w14:textId="77777777" w:rsidR="003C59C1" w:rsidRPr="003C59C1" w:rsidRDefault="003C59C1" w:rsidP="003C59C1">
            <w:pPr>
              <w:ind w:firstLine="0"/>
              <w:jc w:val="center"/>
              <w:rPr>
                <w:rFonts w:eastAsia="Times New Roman" w:cs="Times New Roman"/>
                <w:szCs w:val="24"/>
                <w:lang w:eastAsia="ru-RU"/>
              </w:rPr>
            </w:pPr>
            <w:r w:rsidRPr="003C59C1">
              <w:rPr>
                <w:rFonts w:eastAsia="Times New Roman" w:cs="Times New Roman"/>
                <w:szCs w:val="24"/>
                <w:lang w:eastAsia="ru-RU"/>
              </w:rPr>
              <w:t>3,24757</w:t>
            </w:r>
          </w:p>
        </w:tc>
        <w:tc>
          <w:tcPr>
            <w:tcW w:w="572" w:type="pct"/>
            <w:tcBorders>
              <w:top w:val="nil"/>
              <w:left w:val="nil"/>
              <w:bottom w:val="single" w:sz="4" w:space="0" w:color="auto"/>
              <w:right w:val="single" w:sz="4" w:space="0" w:color="auto"/>
            </w:tcBorders>
            <w:shd w:val="clear" w:color="auto" w:fill="auto"/>
            <w:vAlign w:val="center"/>
            <w:hideMark/>
          </w:tcPr>
          <w:p w14:paraId="4F47D9E8" w14:textId="77777777" w:rsidR="003C59C1" w:rsidRPr="003C59C1" w:rsidRDefault="003C59C1" w:rsidP="003C59C1">
            <w:pPr>
              <w:ind w:firstLine="0"/>
              <w:jc w:val="center"/>
              <w:rPr>
                <w:rFonts w:eastAsia="Times New Roman" w:cs="Times New Roman"/>
                <w:szCs w:val="24"/>
                <w:lang w:eastAsia="ru-RU"/>
              </w:rPr>
            </w:pPr>
            <w:r w:rsidRPr="003C59C1">
              <w:rPr>
                <w:rFonts w:eastAsia="Times New Roman" w:cs="Times New Roman"/>
                <w:szCs w:val="24"/>
                <w:lang w:eastAsia="ru-RU"/>
              </w:rPr>
              <w:t>0</w:t>
            </w:r>
          </w:p>
        </w:tc>
        <w:tc>
          <w:tcPr>
            <w:tcW w:w="639" w:type="pct"/>
            <w:tcBorders>
              <w:top w:val="nil"/>
              <w:left w:val="nil"/>
              <w:bottom w:val="single" w:sz="4" w:space="0" w:color="auto"/>
              <w:right w:val="single" w:sz="4" w:space="0" w:color="auto"/>
            </w:tcBorders>
            <w:shd w:val="clear" w:color="auto" w:fill="auto"/>
            <w:vAlign w:val="center"/>
            <w:hideMark/>
          </w:tcPr>
          <w:p w14:paraId="127F6842" w14:textId="77777777" w:rsidR="003C59C1" w:rsidRPr="003C59C1" w:rsidRDefault="003C59C1" w:rsidP="003C59C1">
            <w:pPr>
              <w:ind w:firstLine="0"/>
              <w:jc w:val="center"/>
              <w:rPr>
                <w:rFonts w:eastAsia="Times New Roman" w:cs="Times New Roman"/>
                <w:szCs w:val="24"/>
                <w:lang w:eastAsia="ru-RU"/>
              </w:rPr>
            </w:pPr>
            <w:r w:rsidRPr="003C59C1">
              <w:rPr>
                <w:rFonts w:eastAsia="Times New Roman" w:cs="Times New Roman"/>
                <w:szCs w:val="24"/>
                <w:lang w:eastAsia="ru-RU"/>
              </w:rPr>
              <w:t>0,9746652744902790</w:t>
            </w:r>
          </w:p>
        </w:tc>
      </w:tr>
      <w:tr w:rsidR="003C59C1" w:rsidRPr="003C59C1" w14:paraId="0C3064CA" w14:textId="77777777" w:rsidTr="003C59C1">
        <w:trPr>
          <w:trHeight w:val="630"/>
        </w:trPr>
        <w:tc>
          <w:tcPr>
            <w:tcW w:w="212" w:type="pct"/>
            <w:vMerge/>
            <w:tcBorders>
              <w:top w:val="nil"/>
              <w:left w:val="single" w:sz="4" w:space="0" w:color="auto"/>
              <w:bottom w:val="single" w:sz="4" w:space="0" w:color="auto"/>
              <w:right w:val="single" w:sz="4" w:space="0" w:color="auto"/>
            </w:tcBorders>
            <w:vAlign w:val="center"/>
            <w:hideMark/>
          </w:tcPr>
          <w:p w14:paraId="7D22D910" w14:textId="77777777" w:rsidR="003C59C1" w:rsidRPr="003C59C1" w:rsidRDefault="003C59C1" w:rsidP="003C59C1">
            <w:pPr>
              <w:ind w:firstLine="0"/>
              <w:jc w:val="left"/>
              <w:rPr>
                <w:rFonts w:eastAsia="Times New Roman" w:cs="Times New Roman"/>
                <w:szCs w:val="24"/>
                <w:lang w:eastAsia="ru-RU"/>
              </w:rPr>
            </w:pPr>
          </w:p>
        </w:tc>
        <w:tc>
          <w:tcPr>
            <w:tcW w:w="619" w:type="pct"/>
            <w:vMerge/>
            <w:tcBorders>
              <w:top w:val="nil"/>
              <w:left w:val="single" w:sz="4" w:space="0" w:color="auto"/>
              <w:bottom w:val="single" w:sz="4" w:space="0" w:color="auto"/>
              <w:right w:val="single" w:sz="4" w:space="0" w:color="auto"/>
            </w:tcBorders>
            <w:vAlign w:val="center"/>
            <w:hideMark/>
          </w:tcPr>
          <w:p w14:paraId="3CEE45CE" w14:textId="77777777" w:rsidR="003C59C1" w:rsidRPr="003C59C1" w:rsidRDefault="003C59C1" w:rsidP="003C59C1">
            <w:pPr>
              <w:ind w:firstLine="0"/>
              <w:jc w:val="left"/>
              <w:rPr>
                <w:rFonts w:eastAsia="Times New Roman" w:cs="Times New Roman"/>
                <w:szCs w:val="24"/>
                <w:lang w:eastAsia="ru-RU"/>
              </w:rPr>
            </w:pPr>
          </w:p>
        </w:tc>
        <w:tc>
          <w:tcPr>
            <w:tcW w:w="1786" w:type="pct"/>
            <w:vMerge/>
            <w:tcBorders>
              <w:top w:val="nil"/>
              <w:left w:val="single" w:sz="4" w:space="0" w:color="auto"/>
              <w:bottom w:val="single" w:sz="4" w:space="0" w:color="auto"/>
              <w:right w:val="single" w:sz="4" w:space="0" w:color="auto"/>
            </w:tcBorders>
            <w:vAlign w:val="center"/>
            <w:hideMark/>
          </w:tcPr>
          <w:p w14:paraId="1BF8C794" w14:textId="77777777" w:rsidR="003C59C1" w:rsidRPr="003C59C1" w:rsidRDefault="003C59C1" w:rsidP="003C59C1">
            <w:pPr>
              <w:ind w:firstLine="0"/>
              <w:jc w:val="left"/>
              <w:rPr>
                <w:rFonts w:eastAsia="Times New Roman" w:cs="Times New Roman"/>
                <w:sz w:val="20"/>
                <w:szCs w:val="20"/>
                <w:lang w:eastAsia="ru-RU"/>
              </w:rPr>
            </w:pPr>
          </w:p>
        </w:tc>
        <w:tc>
          <w:tcPr>
            <w:tcW w:w="617" w:type="pct"/>
            <w:vMerge/>
            <w:tcBorders>
              <w:top w:val="nil"/>
              <w:left w:val="single" w:sz="4" w:space="0" w:color="auto"/>
              <w:bottom w:val="single" w:sz="4" w:space="0" w:color="auto"/>
              <w:right w:val="single" w:sz="4" w:space="0" w:color="auto"/>
            </w:tcBorders>
            <w:vAlign w:val="center"/>
            <w:hideMark/>
          </w:tcPr>
          <w:p w14:paraId="320D4724" w14:textId="77777777" w:rsidR="003C59C1" w:rsidRPr="003C59C1" w:rsidRDefault="003C59C1" w:rsidP="003C59C1">
            <w:pPr>
              <w:ind w:firstLine="0"/>
              <w:jc w:val="left"/>
              <w:rPr>
                <w:rFonts w:eastAsia="Times New Roman" w:cs="Times New Roman"/>
                <w:szCs w:val="24"/>
                <w:lang w:eastAsia="ru-RU"/>
              </w:rPr>
            </w:pPr>
          </w:p>
        </w:tc>
        <w:tc>
          <w:tcPr>
            <w:tcW w:w="554" w:type="pct"/>
            <w:vMerge/>
            <w:tcBorders>
              <w:top w:val="nil"/>
              <w:left w:val="single" w:sz="4" w:space="0" w:color="auto"/>
              <w:bottom w:val="single" w:sz="4" w:space="0" w:color="auto"/>
              <w:right w:val="single" w:sz="4" w:space="0" w:color="auto"/>
            </w:tcBorders>
            <w:vAlign w:val="center"/>
            <w:hideMark/>
          </w:tcPr>
          <w:p w14:paraId="426F09C4" w14:textId="77777777" w:rsidR="003C59C1" w:rsidRPr="003C59C1" w:rsidRDefault="003C59C1" w:rsidP="003C59C1">
            <w:pPr>
              <w:ind w:firstLine="0"/>
              <w:jc w:val="left"/>
              <w:rPr>
                <w:rFonts w:eastAsia="Times New Roman" w:cs="Times New Roman"/>
                <w:szCs w:val="24"/>
                <w:lang w:eastAsia="ru-RU"/>
              </w:rPr>
            </w:pPr>
          </w:p>
        </w:tc>
        <w:tc>
          <w:tcPr>
            <w:tcW w:w="572" w:type="pct"/>
            <w:tcBorders>
              <w:top w:val="nil"/>
              <w:left w:val="nil"/>
              <w:bottom w:val="single" w:sz="4" w:space="0" w:color="auto"/>
              <w:right w:val="single" w:sz="4" w:space="0" w:color="auto"/>
            </w:tcBorders>
            <w:shd w:val="clear" w:color="auto" w:fill="auto"/>
            <w:vAlign w:val="center"/>
            <w:hideMark/>
          </w:tcPr>
          <w:p w14:paraId="38D68E4D" w14:textId="77777777" w:rsidR="003C59C1" w:rsidRPr="003C59C1" w:rsidRDefault="003C59C1" w:rsidP="003C59C1">
            <w:pPr>
              <w:ind w:firstLine="0"/>
              <w:jc w:val="center"/>
              <w:rPr>
                <w:rFonts w:eastAsia="Times New Roman" w:cs="Times New Roman"/>
                <w:szCs w:val="24"/>
                <w:lang w:eastAsia="ru-RU"/>
              </w:rPr>
            </w:pPr>
            <w:r w:rsidRPr="003C59C1">
              <w:rPr>
                <w:rFonts w:eastAsia="Times New Roman" w:cs="Times New Roman"/>
                <w:szCs w:val="24"/>
                <w:lang w:eastAsia="ru-RU"/>
              </w:rPr>
              <w:t>1</w:t>
            </w:r>
          </w:p>
        </w:tc>
        <w:tc>
          <w:tcPr>
            <w:tcW w:w="639" w:type="pct"/>
            <w:tcBorders>
              <w:top w:val="nil"/>
              <w:left w:val="nil"/>
              <w:bottom w:val="single" w:sz="4" w:space="0" w:color="auto"/>
              <w:right w:val="single" w:sz="4" w:space="0" w:color="auto"/>
            </w:tcBorders>
            <w:shd w:val="clear" w:color="auto" w:fill="auto"/>
            <w:vAlign w:val="center"/>
            <w:hideMark/>
          </w:tcPr>
          <w:p w14:paraId="1A1E019B" w14:textId="77777777" w:rsidR="003C59C1" w:rsidRPr="003C59C1" w:rsidRDefault="003C59C1" w:rsidP="003C59C1">
            <w:pPr>
              <w:ind w:firstLine="0"/>
              <w:jc w:val="center"/>
              <w:rPr>
                <w:rFonts w:eastAsia="Times New Roman" w:cs="Times New Roman"/>
                <w:szCs w:val="24"/>
                <w:lang w:eastAsia="ru-RU"/>
              </w:rPr>
            </w:pPr>
            <w:r w:rsidRPr="003C59C1">
              <w:rPr>
                <w:rFonts w:eastAsia="Times New Roman" w:cs="Times New Roman"/>
                <w:szCs w:val="24"/>
                <w:lang w:eastAsia="ru-RU"/>
              </w:rPr>
              <w:t>1,0253347255097212</w:t>
            </w:r>
          </w:p>
        </w:tc>
      </w:tr>
      <w:tr w:rsidR="003C59C1" w:rsidRPr="003C59C1" w14:paraId="344FE0C2" w14:textId="77777777" w:rsidTr="003C59C1">
        <w:trPr>
          <w:trHeight w:val="315"/>
        </w:trPr>
        <w:tc>
          <w:tcPr>
            <w:tcW w:w="212" w:type="pct"/>
            <w:vMerge/>
            <w:tcBorders>
              <w:top w:val="nil"/>
              <w:left w:val="single" w:sz="4" w:space="0" w:color="auto"/>
              <w:bottom w:val="single" w:sz="4" w:space="0" w:color="auto"/>
              <w:right w:val="single" w:sz="4" w:space="0" w:color="auto"/>
            </w:tcBorders>
            <w:vAlign w:val="center"/>
            <w:hideMark/>
          </w:tcPr>
          <w:p w14:paraId="379745D1" w14:textId="77777777" w:rsidR="003C59C1" w:rsidRPr="003C59C1" w:rsidRDefault="003C59C1" w:rsidP="003C59C1">
            <w:pPr>
              <w:ind w:firstLine="0"/>
              <w:jc w:val="left"/>
              <w:rPr>
                <w:rFonts w:eastAsia="Times New Roman" w:cs="Times New Roman"/>
                <w:szCs w:val="24"/>
                <w:lang w:eastAsia="ru-RU"/>
              </w:rPr>
            </w:pPr>
          </w:p>
        </w:tc>
        <w:tc>
          <w:tcPr>
            <w:tcW w:w="619" w:type="pct"/>
            <w:vMerge/>
            <w:tcBorders>
              <w:top w:val="nil"/>
              <w:left w:val="single" w:sz="4" w:space="0" w:color="auto"/>
              <w:bottom w:val="single" w:sz="4" w:space="0" w:color="auto"/>
              <w:right w:val="single" w:sz="4" w:space="0" w:color="auto"/>
            </w:tcBorders>
            <w:vAlign w:val="center"/>
            <w:hideMark/>
          </w:tcPr>
          <w:p w14:paraId="415E31C0" w14:textId="77777777" w:rsidR="003C59C1" w:rsidRPr="003C59C1" w:rsidRDefault="003C59C1" w:rsidP="003C59C1">
            <w:pPr>
              <w:ind w:firstLine="0"/>
              <w:jc w:val="left"/>
              <w:rPr>
                <w:rFonts w:eastAsia="Times New Roman" w:cs="Times New Roman"/>
                <w:szCs w:val="24"/>
                <w:lang w:eastAsia="ru-RU"/>
              </w:rPr>
            </w:pPr>
          </w:p>
        </w:tc>
        <w:tc>
          <w:tcPr>
            <w:tcW w:w="1786" w:type="pct"/>
            <w:vMerge/>
            <w:tcBorders>
              <w:top w:val="nil"/>
              <w:left w:val="single" w:sz="4" w:space="0" w:color="auto"/>
              <w:bottom w:val="single" w:sz="4" w:space="0" w:color="auto"/>
              <w:right w:val="single" w:sz="4" w:space="0" w:color="auto"/>
            </w:tcBorders>
            <w:vAlign w:val="center"/>
            <w:hideMark/>
          </w:tcPr>
          <w:p w14:paraId="55A76FE3" w14:textId="77777777" w:rsidR="003C59C1" w:rsidRPr="003C59C1" w:rsidRDefault="003C59C1" w:rsidP="003C59C1">
            <w:pPr>
              <w:ind w:firstLine="0"/>
              <w:jc w:val="left"/>
              <w:rPr>
                <w:rFonts w:eastAsia="Times New Roman" w:cs="Times New Roman"/>
                <w:sz w:val="20"/>
                <w:szCs w:val="20"/>
                <w:lang w:eastAsia="ru-RU"/>
              </w:rPr>
            </w:pPr>
          </w:p>
        </w:tc>
        <w:tc>
          <w:tcPr>
            <w:tcW w:w="617" w:type="pct"/>
            <w:vMerge/>
            <w:tcBorders>
              <w:top w:val="nil"/>
              <w:left w:val="single" w:sz="4" w:space="0" w:color="auto"/>
              <w:bottom w:val="single" w:sz="4" w:space="0" w:color="auto"/>
              <w:right w:val="single" w:sz="4" w:space="0" w:color="auto"/>
            </w:tcBorders>
            <w:vAlign w:val="center"/>
            <w:hideMark/>
          </w:tcPr>
          <w:p w14:paraId="137C28D7" w14:textId="77777777" w:rsidR="003C59C1" w:rsidRPr="003C59C1" w:rsidRDefault="003C59C1" w:rsidP="003C59C1">
            <w:pPr>
              <w:ind w:firstLine="0"/>
              <w:jc w:val="left"/>
              <w:rPr>
                <w:rFonts w:eastAsia="Times New Roman" w:cs="Times New Roman"/>
                <w:szCs w:val="24"/>
                <w:lang w:eastAsia="ru-RU"/>
              </w:rPr>
            </w:pPr>
          </w:p>
        </w:tc>
        <w:tc>
          <w:tcPr>
            <w:tcW w:w="554" w:type="pct"/>
            <w:vMerge/>
            <w:tcBorders>
              <w:top w:val="nil"/>
              <w:left w:val="single" w:sz="4" w:space="0" w:color="auto"/>
              <w:bottom w:val="single" w:sz="4" w:space="0" w:color="auto"/>
              <w:right w:val="single" w:sz="4" w:space="0" w:color="auto"/>
            </w:tcBorders>
            <w:vAlign w:val="center"/>
            <w:hideMark/>
          </w:tcPr>
          <w:p w14:paraId="1D377DA0" w14:textId="77777777" w:rsidR="003C59C1" w:rsidRPr="003C59C1" w:rsidRDefault="003C59C1" w:rsidP="003C59C1">
            <w:pPr>
              <w:ind w:firstLine="0"/>
              <w:jc w:val="left"/>
              <w:rPr>
                <w:rFonts w:eastAsia="Times New Roman" w:cs="Times New Roman"/>
                <w:szCs w:val="24"/>
                <w:lang w:eastAsia="ru-RU"/>
              </w:rPr>
            </w:pPr>
          </w:p>
        </w:tc>
        <w:tc>
          <w:tcPr>
            <w:tcW w:w="572" w:type="pct"/>
            <w:tcBorders>
              <w:top w:val="nil"/>
              <w:left w:val="nil"/>
              <w:bottom w:val="single" w:sz="4" w:space="0" w:color="auto"/>
              <w:right w:val="single" w:sz="4" w:space="0" w:color="auto"/>
            </w:tcBorders>
            <w:shd w:val="clear" w:color="auto" w:fill="auto"/>
            <w:vAlign w:val="center"/>
            <w:hideMark/>
          </w:tcPr>
          <w:p w14:paraId="74DB1B78" w14:textId="77777777" w:rsidR="003C59C1" w:rsidRPr="003C59C1" w:rsidRDefault="003C59C1" w:rsidP="003C59C1">
            <w:pPr>
              <w:ind w:firstLine="0"/>
              <w:jc w:val="center"/>
              <w:rPr>
                <w:rFonts w:eastAsia="Times New Roman" w:cs="Times New Roman"/>
                <w:szCs w:val="24"/>
                <w:lang w:eastAsia="ru-RU"/>
              </w:rPr>
            </w:pPr>
            <w:r w:rsidRPr="003C59C1">
              <w:rPr>
                <w:rFonts w:eastAsia="Times New Roman" w:cs="Times New Roman"/>
                <w:szCs w:val="24"/>
                <w:lang w:eastAsia="ru-RU"/>
              </w:rPr>
              <w:t>Есть</w:t>
            </w:r>
          </w:p>
        </w:tc>
        <w:tc>
          <w:tcPr>
            <w:tcW w:w="639" w:type="pct"/>
            <w:tcBorders>
              <w:top w:val="nil"/>
              <w:left w:val="nil"/>
              <w:bottom w:val="single" w:sz="4" w:space="0" w:color="auto"/>
              <w:right w:val="single" w:sz="4" w:space="0" w:color="auto"/>
            </w:tcBorders>
            <w:shd w:val="clear" w:color="auto" w:fill="auto"/>
            <w:noWrap/>
            <w:vAlign w:val="bottom"/>
            <w:hideMark/>
          </w:tcPr>
          <w:p w14:paraId="14B9BB37" w14:textId="77777777" w:rsidR="003C59C1" w:rsidRPr="003C59C1" w:rsidRDefault="003C59C1" w:rsidP="003C59C1">
            <w:pPr>
              <w:ind w:firstLine="0"/>
              <w:jc w:val="left"/>
              <w:rPr>
                <w:rFonts w:eastAsia="Times New Roman" w:cs="Times New Roman"/>
                <w:szCs w:val="24"/>
                <w:lang w:eastAsia="ru-RU"/>
              </w:rPr>
            </w:pPr>
            <w:r w:rsidRPr="003C59C1">
              <w:rPr>
                <w:rFonts w:eastAsia="Times New Roman" w:cs="Times New Roman"/>
                <w:szCs w:val="24"/>
                <w:lang w:eastAsia="ru-RU"/>
              </w:rPr>
              <w:t> </w:t>
            </w:r>
          </w:p>
        </w:tc>
      </w:tr>
      <w:tr w:rsidR="003C59C1" w:rsidRPr="003C59C1" w14:paraId="1730802F" w14:textId="77777777" w:rsidTr="003C59C1">
        <w:trPr>
          <w:trHeight w:val="315"/>
        </w:trPr>
        <w:tc>
          <w:tcPr>
            <w:tcW w:w="212" w:type="pct"/>
            <w:vMerge/>
            <w:tcBorders>
              <w:top w:val="nil"/>
              <w:left w:val="single" w:sz="4" w:space="0" w:color="auto"/>
              <w:bottom w:val="single" w:sz="4" w:space="0" w:color="auto"/>
              <w:right w:val="single" w:sz="4" w:space="0" w:color="auto"/>
            </w:tcBorders>
            <w:vAlign w:val="center"/>
            <w:hideMark/>
          </w:tcPr>
          <w:p w14:paraId="776E39A8" w14:textId="77777777" w:rsidR="003C59C1" w:rsidRPr="003C59C1" w:rsidRDefault="003C59C1" w:rsidP="003C59C1">
            <w:pPr>
              <w:ind w:firstLine="0"/>
              <w:jc w:val="left"/>
              <w:rPr>
                <w:rFonts w:eastAsia="Times New Roman" w:cs="Times New Roman"/>
                <w:szCs w:val="24"/>
                <w:lang w:eastAsia="ru-RU"/>
              </w:rPr>
            </w:pPr>
          </w:p>
        </w:tc>
        <w:tc>
          <w:tcPr>
            <w:tcW w:w="619" w:type="pct"/>
            <w:vMerge/>
            <w:tcBorders>
              <w:top w:val="nil"/>
              <w:left w:val="single" w:sz="4" w:space="0" w:color="auto"/>
              <w:bottom w:val="single" w:sz="4" w:space="0" w:color="auto"/>
              <w:right w:val="single" w:sz="4" w:space="0" w:color="auto"/>
            </w:tcBorders>
            <w:vAlign w:val="center"/>
            <w:hideMark/>
          </w:tcPr>
          <w:p w14:paraId="5AA6D14C" w14:textId="77777777" w:rsidR="003C59C1" w:rsidRPr="003C59C1" w:rsidRDefault="003C59C1" w:rsidP="003C59C1">
            <w:pPr>
              <w:ind w:firstLine="0"/>
              <w:jc w:val="left"/>
              <w:rPr>
                <w:rFonts w:eastAsia="Times New Roman" w:cs="Times New Roman"/>
                <w:szCs w:val="24"/>
                <w:lang w:eastAsia="ru-RU"/>
              </w:rPr>
            </w:pPr>
          </w:p>
        </w:tc>
        <w:tc>
          <w:tcPr>
            <w:tcW w:w="1786" w:type="pct"/>
            <w:vMerge/>
            <w:tcBorders>
              <w:top w:val="nil"/>
              <w:left w:val="single" w:sz="4" w:space="0" w:color="auto"/>
              <w:bottom w:val="single" w:sz="4" w:space="0" w:color="auto"/>
              <w:right w:val="single" w:sz="4" w:space="0" w:color="auto"/>
            </w:tcBorders>
            <w:vAlign w:val="center"/>
            <w:hideMark/>
          </w:tcPr>
          <w:p w14:paraId="4CB846C5" w14:textId="77777777" w:rsidR="003C59C1" w:rsidRPr="003C59C1" w:rsidRDefault="003C59C1" w:rsidP="003C59C1">
            <w:pPr>
              <w:ind w:firstLine="0"/>
              <w:jc w:val="left"/>
              <w:rPr>
                <w:rFonts w:eastAsia="Times New Roman" w:cs="Times New Roman"/>
                <w:sz w:val="20"/>
                <w:szCs w:val="20"/>
                <w:lang w:eastAsia="ru-RU"/>
              </w:rPr>
            </w:pPr>
          </w:p>
        </w:tc>
        <w:tc>
          <w:tcPr>
            <w:tcW w:w="617" w:type="pct"/>
            <w:vMerge/>
            <w:tcBorders>
              <w:top w:val="nil"/>
              <w:left w:val="single" w:sz="4" w:space="0" w:color="auto"/>
              <w:bottom w:val="single" w:sz="4" w:space="0" w:color="auto"/>
              <w:right w:val="single" w:sz="4" w:space="0" w:color="auto"/>
            </w:tcBorders>
            <w:vAlign w:val="center"/>
            <w:hideMark/>
          </w:tcPr>
          <w:p w14:paraId="547FDE90" w14:textId="77777777" w:rsidR="003C59C1" w:rsidRPr="003C59C1" w:rsidRDefault="003C59C1" w:rsidP="003C59C1">
            <w:pPr>
              <w:ind w:firstLine="0"/>
              <w:jc w:val="left"/>
              <w:rPr>
                <w:rFonts w:eastAsia="Times New Roman" w:cs="Times New Roman"/>
                <w:szCs w:val="24"/>
                <w:lang w:eastAsia="ru-RU"/>
              </w:rPr>
            </w:pPr>
          </w:p>
        </w:tc>
        <w:tc>
          <w:tcPr>
            <w:tcW w:w="554" w:type="pct"/>
            <w:vMerge/>
            <w:tcBorders>
              <w:top w:val="nil"/>
              <w:left w:val="single" w:sz="4" w:space="0" w:color="auto"/>
              <w:bottom w:val="single" w:sz="4" w:space="0" w:color="auto"/>
              <w:right w:val="single" w:sz="4" w:space="0" w:color="auto"/>
            </w:tcBorders>
            <w:vAlign w:val="center"/>
            <w:hideMark/>
          </w:tcPr>
          <w:p w14:paraId="488A22D6" w14:textId="77777777" w:rsidR="003C59C1" w:rsidRPr="003C59C1" w:rsidRDefault="003C59C1" w:rsidP="003C59C1">
            <w:pPr>
              <w:ind w:firstLine="0"/>
              <w:jc w:val="left"/>
              <w:rPr>
                <w:rFonts w:eastAsia="Times New Roman" w:cs="Times New Roman"/>
                <w:szCs w:val="24"/>
                <w:lang w:eastAsia="ru-RU"/>
              </w:rPr>
            </w:pPr>
          </w:p>
        </w:tc>
        <w:tc>
          <w:tcPr>
            <w:tcW w:w="572" w:type="pct"/>
            <w:tcBorders>
              <w:top w:val="nil"/>
              <w:left w:val="nil"/>
              <w:bottom w:val="single" w:sz="4" w:space="0" w:color="auto"/>
              <w:right w:val="single" w:sz="4" w:space="0" w:color="auto"/>
            </w:tcBorders>
            <w:shd w:val="clear" w:color="auto" w:fill="auto"/>
            <w:vAlign w:val="center"/>
            <w:hideMark/>
          </w:tcPr>
          <w:p w14:paraId="7667547D" w14:textId="77777777" w:rsidR="003C59C1" w:rsidRPr="003C59C1" w:rsidRDefault="003C59C1" w:rsidP="003C59C1">
            <w:pPr>
              <w:ind w:firstLine="0"/>
              <w:jc w:val="center"/>
              <w:rPr>
                <w:rFonts w:eastAsia="Times New Roman" w:cs="Times New Roman"/>
                <w:szCs w:val="24"/>
                <w:lang w:eastAsia="ru-RU"/>
              </w:rPr>
            </w:pPr>
            <w:r w:rsidRPr="003C59C1">
              <w:rPr>
                <w:rFonts w:eastAsia="Times New Roman" w:cs="Times New Roman"/>
                <w:szCs w:val="24"/>
                <w:lang w:eastAsia="ru-RU"/>
              </w:rPr>
              <w:t>Нет</w:t>
            </w:r>
          </w:p>
        </w:tc>
        <w:tc>
          <w:tcPr>
            <w:tcW w:w="639" w:type="pct"/>
            <w:tcBorders>
              <w:top w:val="nil"/>
              <w:left w:val="nil"/>
              <w:bottom w:val="single" w:sz="4" w:space="0" w:color="auto"/>
              <w:right w:val="single" w:sz="4" w:space="0" w:color="auto"/>
            </w:tcBorders>
            <w:shd w:val="clear" w:color="auto" w:fill="auto"/>
            <w:noWrap/>
            <w:vAlign w:val="bottom"/>
            <w:hideMark/>
          </w:tcPr>
          <w:p w14:paraId="75213D10" w14:textId="77777777" w:rsidR="003C59C1" w:rsidRPr="003C59C1" w:rsidRDefault="003C59C1" w:rsidP="003C59C1">
            <w:pPr>
              <w:ind w:firstLine="0"/>
              <w:jc w:val="left"/>
              <w:rPr>
                <w:rFonts w:eastAsia="Times New Roman" w:cs="Times New Roman"/>
                <w:szCs w:val="24"/>
                <w:lang w:eastAsia="ru-RU"/>
              </w:rPr>
            </w:pPr>
            <w:r w:rsidRPr="003C59C1">
              <w:rPr>
                <w:rFonts w:eastAsia="Times New Roman" w:cs="Times New Roman"/>
                <w:szCs w:val="24"/>
                <w:lang w:eastAsia="ru-RU"/>
              </w:rPr>
              <w:t> </w:t>
            </w:r>
          </w:p>
        </w:tc>
      </w:tr>
      <w:tr w:rsidR="003C59C1" w:rsidRPr="003C59C1" w14:paraId="23DA06F8" w14:textId="77777777" w:rsidTr="003C59C1">
        <w:trPr>
          <w:trHeight w:val="315"/>
        </w:trPr>
        <w:tc>
          <w:tcPr>
            <w:tcW w:w="212" w:type="pct"/>
            <w:vMerge/>
            <w:tcBorders>
              <w:top w:val="nil"/>
              <w:left w:val="single" w:sz="4" w:space="0" w:color="auto"/>
              <w:bottom w:val="single" w:sz="4" w:space="0" w:color="auto"/>
              <w:right w:val="single" w:sz="4" w:space="0" w:color="auto"/>
            </w:tcBorders>
            <w:vAlign w:val="center"/>
            <w:hideMark/>
          </w:tcPr>
          <w:p w14:paraId="3AB237CF" w14:textId="77777777" w:rsidR="003C59C1" w:rsidRPr="003C59C1" w:rsidRDefault="003C59C1" w:rsidP="003C59C1">
            <w:pPr>
              <w:ind w:firstLine="0"/>
              <w:jc w:val="left"/>
              <w:rPr>
                <w:rFonts w:eastAsia="Times New Roman" w:cs="Times New Roman"/>
                <w:szCs w:val="24"/>
                <w:lang w:eastAsia="ru-RU"/>
              </w:rPr>
            </w:pPr>
          </w:p>
        </w:tc>
        <w:tc>
          <w:tcPr>
            <w:tcW w:w="619" w:type="pct"/>
            <w:vMerge/>
            <w:tcBorders>
              <w:top w:val="nil"/>
              <w:left w:val="single" w:sz="4" w:space="0" w:color="auto"/>
              <w:bottom w:val="single" w:sz="4" w:space="0" w:color="auto"/>
              <w:right w:val="single" w:sz="4" w:space="0" w:color="auto"/>
            </w:tcBorders>
            <w:vAlign w:val="center"/>
            <w:hideMark/>
          </w:tcPr>
          <w:p w14:paraId="6213C488" w14:textId="77777777" w:rsidR="003C59C1" w:rsidRPr="003C59C1" w:rsidRDefault="003C59C1" w:rsidP="003C59C1">
            <w:pPr>
              <w:ind w:firstLine="0"/>
              <w:jc w:val="left"/>
              <w:rPr>
                <w:rFonts w:eastAsia="Times New Roman" w:cs="Times New Roman"/>
                <w:szCs w:val="24"/>
                <w:lang w:eastAsia="ru-RU"/>
              </w:rPr>
            </w:pPr>
          </w:p>
        </w:tc>
        <w:tc>
          <w:tcPr>
            <w:tcW w:w="1786" w:type="pct"/>
            <w:vMerge/>
            <w:tcBorders>
              <w:top w:val="nil"/>
              <w:left w:val="single" w:sz="4" w:space="0" w:color="auto"/>
              <w:bottom w:val="single" w:sz="4" w:space="0" w:color="auto"/>
              <w:right w:val="single" w:sz="4" w:space="0" w:color="auto"/>
            </w:tcBorders>
            <w:vAlign w:val="center"/>
            <w:hideMark/>
          </w:tcPr>
          <w:p w14:paraId="2B67886C" w14:textId="77777777" w:rsidR="003C59C1" w:rsidRPr="003C59C1" w:rsidRDefault="003C59C1" w:rsidP="003C59C1">
            <w:pPr>
              <w:ind w:firstLine="0"/>
              <w:jc w:val="left"/>
              <w:rPr>
                <w:rFonts w:eastAsia="Times New Roman" w:cs="Times New Roman"/>
                <w:sz w:val="20"/>
                <w:szCs w:val="20"/>
                <w:lang w:eastAsia="ru-RU"/>
              </w:rPr>
            </w:pPr>
          </w:p>
        </w:tc>
        <w:tc>
          <w:tcPr>
            <w:tcW w:w="617" w:type="pct"/>
            <w:tcBorders>
              <w:top w:val="nil"/>
              <w:left w:val="nil"/>
              <w:bottom w:val="single" w:sz="4" w:space="0" w:color="auto"/>
              <w:right w:val="single" w:sz="4" w:space="0" w:color="auto"/>
            </w:tcBorders>
            <w:shd w:val="clear" w:color="auto" w:fill="auto"/>
            <w:vAlign w:val="center"/>
            <w:hideMark/>
          </w:tcPr>
          <w:p w14:paraId="3DE96A1B" w14:textId="77777777" w:rsidR="003C59C1" w:rsidRPr="003C59C1" w:rsidRDefault="003C59C1" w:rsidP="003C59C1">
            <w:pPr>
              <w:ind w:firstLine="0"/>
              <w:jc w:val="center"/>
              <w:rPr>
                <w:rFonts w:eastAsia="Times New Roman" w:cs="Times New Roman"/>
                <w:i/>
                <w:iCs/>
                <w:szCs w:val="24"/>
                <w:lang w:eastAsia="ru-RU"/>
              </w:rPr>
            </w:pPr>
            <w:r w:rsidRPr="003C59C1">
              <w:rPr>
                <w:rFonts w:eastAsia="Times New Roman" w:cs="Times New Roman"/>
                <w:i/>
                <w:iCs/>
                <w:szCs w:val="24"/>
                <w:lang w:eastAsia="ru-RU"/>
              </w:rPr>
              <w:t>Свободный член</w:t>
            </w:r>
          </w:p>
        </w:tc>
        <w:tc>
          <w:tcPr>
            <w:tcW w:w="554" w:type="pct"/>
            <w:tcBorders>
              <w:top w:val="nil"/>
              <w:left w:val="nil"/>
              <w:bottom w:val="single" w:sz="4" w:space="0" w:color="auto"/>
              <w:right w:val="single" w:sz="4" w:space="0" w:color="auto"/>
            </w:tcBorders>
            <w:shd w:val="clear" w:color="auto" w:fill="auto"/>
            <w:vAlign w:val="center"/>
            <w:hideMark/>
          </w:tcPr>
          <w:p w14:paraId="3E98639A" w14:textId="77777777" w:rsidR="003C59C1" w:rsidRPr="003C59C1" w:rsidRDefault="003C59C1" w:rsidP="003C59C1">
            <w:pPr>
              <w:ind w:firstLine="0"/>
              <w:jc w:val="center"/>
              <w:rPr>
                <w:rFonts w:eastAsia="Times New Roman" w:cs="Times New Roman"/>
                <w:szCs w:val="24"/>
                <w:lang w:eastAsia="ru-RU"/>
              </w:rPr>
            </w:pPr>
            <w:r w:rsidRPr="003C59C1">
              <w:rPr>
                <w:rFonts w:eastAsia="Times New Roman" w:cs="Times New Roman"/>
                <w:szCs w:val="24"/>
                <w:lang w:eastAsia="ru-RU"/>
              </w:rPr>
              <w:t>10421,1</w:t>
            </w:r>
          </w:p>
        </w:tc>
        <w:tc>
          <w:tcPr>
            <w:tcW w:w="572" w:type="pct"/>
            <w:tcBorders>
              <w:top w:val="nil"/>
              <w:left w:val="nil"/>
              <w:bottom w:val="single" w:sz="4" w:space="0" w:color="auto"/>
              <w:right w:val="single" w:sz="4" w:space="0" w:color="auto"/>
            </w:tcBorders>
            <w:shd w:val="clear" w:color="auto" w:fill="auto"/>
            <w:noWrap/>
            <w:vAlign w:val="bottom"/>
            <w:hideMark/>
          </w:tcPr>
          <w:p w14:paraId="7731E3F5" w14:textId="77777777" w:rsidR="003C59C1" w:rsidRPr="003C59C1" w:rsidRDefault="003C59C1" w:rsidP="003C59C1">
            <w:pPr>
              <w:ind w:firstLine="0"/>
              <w:jc w:val="left"/>
              <w:rPr>
                <w:rFonts w:eastAsia="Times New Roman" w:cs="Times New Roman"/>
                <w:szCs w:val="24"/>
                <w:lang w:eastAsia="ru-RU"/>
              </w:rPr>
            </w:pPr>
            <w:r w:rsidRPr="003C59C1">
              <w:rPr>
                <w:rFonts w:eastAsia="Times New Roman" w:cs="Times New Roman"/>
                <w:szCs w:val="24"/>
                <w:lang w:eastAsia="ru-RU"/>
              </w:rPr>
              <w:t> </w:t>
            </w:r>
          </w:p>
        </w:tc>
        <w:tc>
          <w:tcPr>
            <w:tcW w:w="639" w:type="pct"/>
            <w:tcBorders>
              <w:top w:val="nil"/>
              <w:left w:val="nil"/>
              <w:bottom w:val="single" w:sz="4" w:space="0" w:color="auto"/>
              <w:right w:val="single" w:sz="4" w:space="0" w:color="auto"/>
            </w:tcBorders>
            <w:shd w:val="clear" w:color="auto" w:fill="auto"/>
            <w:noWrap/>
            <w:vAlign w:val="bottom"/>
            <w:hideMark/>
          </w:tcPr>
          <w:p w14:paraId="5003261D" w14:textId="77777777" w:rsidR="003C59C1" w:rsidRPr="003C59C1" w:rsidRDefault="003C59C1" w:rsidP="003C59C1">
            <w:pPr>
              <w:ind w:firstLine="0"/>
              <w:jc w:val="left"/>
              <w:rPr>
                <w:rFonts w:eastAsia="Times New Roman" w:cs="Times New Roman"/>
                <w:szCs w:val="24"/>
                <w:lang w:eastAsia="ru-RU"/>
              </w:rPr>
            </w:pPr>
            <w:r w:rsidRPr="003C59C1">
              <w:rPr>
                <w:rFonts w:eastAsia="Times New Roman" w:cs="Times New Roman"/>
                <w:szCs w:val="24"/>
                <w:lang w:eastAsia="ru-RU"/>
              </w:rPr>
              <w:t> </w:t>
            </w:r>
          </w:p>
        </w:tc>
      </w:tr>
    </w:tbl>
    <w:p w14:paraId="581C23FD" w14:textId="4F1B732D" w:rsidR="00727235" w:rsidRPr="00727235" w:rsidRDefault="00727235" w:rsidP="003C59C1">
      <w:pPr>
        <w:ind w:firstLine="0"/>
        <w:rPr>
          <w:lang w:eastAsia="ru-RU"/>
        </w:rPr>
      </w:pPr>
    </w:p>
    <w:p w14:paraId="4A9D7761" w14:textId="77777777" w:rsidR="00727235" w:rsidRPr="00727235" w:rsidRDefault="00727235" w:rsidP="00727235">
      <w:pPr>
        <w:rPr>
          <w:lang w:eastAsia="ru-RU"/>
        </w:rPr>
        <w:sectPr w:rsidR="00727235" w:rsidRPr="00727235" w:rsidSect="00727235">
          <w:headerReference w:type="default" r:id="rId299"/>
          <w:footerReference w:type="first" r:id="rId300"/>
          <w:pgSz w:w="16838" w:h="11906" w:orient="landscape"/>
          <w:pgMar w:top="1701" w:right="1134" w:bottom="851" w:left="1134" w:header="709" w:footer="709" w:gutter="0"/>
          <w:cols w:space="708"/>
          <w:docGrid w:linePitch="360"/>
        </w:sectPr>
      </w:pPr>
    </w:p>
    <w:p w14:paraId="15F98F3F" w14:textId="77777777" w:rsidR="00727235" w:rsidRPr="004F3111" w:rsidRDefault="00727235" w:rsidP="00727235">
      <w:pPr>
        <w:rPr>
          <w:b/>
        </w:rPr>
      </w:pPr>
      <w:bookmarkStart w:id="129" w:name="_Toc530400491"/>
      <w:r w:rsidRPr="004F3111">
        <w:rPr>
          <w:b/>
        </w:rPr>
        <w:t>Результаты оценки методом статистического (регрессионного) моделирования</w:t>
      </w:r>
      <w:bookmarkEnd w:id="129"/>
    </w:p>
    <w:p w14:paraId="21F9108C" w14:textId="77777777" w:rsidR="00727235" w:rsidRPr="00727235" w:rsidRDefault="00727235" w:rsidP="00727235"/>
    <w:p w14:paraId="6AFC8839" w14:textId="77777777" w:rsidR="00727235" w:rsidRPr="00727235" w:rsidRDefault="00727235" w:rsidP="00727235">
      <w:r w:rsidRPr="00727235">
        <w:t xml:space="preserve">В результате использования метода статистического (регрессионного) моделирования для каждой подгруппы построены статистические модели, которые выражают зависимость удельного показателя кадастровой стоимости объектов от значений ценообразующих факторов. </w:t>
      </w:r>
    </w:p>
    <w:p w14:paraId="7502E9D7" w14:textId="77777777" w:rsidR="00727235" w:rsidRPr="00727235" w:rsidRDefault="00727235" w:rsidP="00727235">
      <w:r w:rsidRPr="00727235">
        <w:t>Итоговая кадастровая стоимость объектов оценки определяется следующим образом:</w:t>
      </w:r>
    </w:p>
    <w:p w14:paraId="0BD1D61E" w14:textId="77777777" w:rsidR="00727235" w:rsidRPr="00727235" w:rsidRDefault="00727235" w:rsidP="00727235">
      <w:r w:rsidRPr="00727235">
        <w:t>определяется удельный показатель кадастровой стоимости путем подстановки значений ценообразующих факторов объектов в статистическую модель расчета удельного показателя кадастровой стоимости объектов;</w:t>
      </w:r>
    </w:p>
    <w:p w14:paraId="0C0FFDDD" w14:textId="77777777" w:rsidR="00727235" w:rsidRPr="00727235" w:rsidRDefault="00727235" w:rsidP="00727235">
      <w:r w:rsidRPr="00727235">
        <w:t>определяется кадастровая стоимость объектов путем умножения удельного показателя кадастровой стоимости объектов на их площадь.</w:t>
      </w:r>
    </w:p>
    <w:p w14:paraId="5C8ACD44" w14:textId="77777777" w:rsidR="00727235" w:rsidRPr="00727235" w:rsidRDefault="00727235" w:rsidP="00727235">
      <w:r w:rsidRPr="00727235">
        <w:t>Результаты определения кадастровой стоимости объектов недвижимости методами статистического моделирования представлены в Приложении 2.2.</w:t>
      </w:r>
    </w:p>
    <w:p w14:paraId="53F19C91" w14:textId="77777777" w:rsidR="00727235" w:rsidRPr="00727235" w:rsidRDefault="00727235" w:rsidP="00727235"/>
    <w:p w14:paraId="2D5DBFC0" w14:textId="6C4A6587" w:rsidR="00E215D0" w:rsidRPr="00355207" w:rsidRDefault="00E215D0" w:rsidP="00FD2769">
      <w:pPr>
        <w:pStyle w:val="3"/>
        <w:rPr>
          <w:rFonts w:eastAsia="Times New Roman"/>
          <w:lang w:eastAsia="ru-RU"/>
        </w:rPr>
      </w:pPr>
      <w:bookmarkStart w:id="130" w:name="_Toc14819121"/>
      <w:bookmarkStart w:id="131" w:name="_Toc343093486"/>
      <w:bookmarkStart w:id="132" w:name="_Toc516854311"/>
      <w:bookmarkStart w:id="133" w:name="_Toc530400492"/>
      <w:r w:rsidRPr="00355207">
        <w:rPr>
          <w:rFonts w:eastAsia="Times New Roman"/>
          <w:lang w:eastAsia="ru-RU"/>
        </w:rPr>
        <w:t>Определение кадастровой стоимости моделированием на основе УПКС</w:t>
      </w:r>
      <w:bookmarkEnd w:id="130"/>
    </w:p>
    <w:bookmarkEnd w:id="131"/>
    <w:bookmarkEnd w:id="132"/>
    <w:bookmarkEnd w:id="133"/>
    <w:p w14:paraId="48259B7E" w14:textId="77777777" w:rsidR="00727235" w:rsidRPr="004E32EA" w:rsidRDefault="00727235" w:rsidP="00727235">
      <w:pPr>
        <w:rPr>
          <w:highlight w:val="yellow"/>
          <w:lang w:eastAsia="ru-RU"/>
        </w:rPr>
      </w:pPr>
    </w:p>
    <w:p w14:paraId="65CB091D" w14:textId="77777777" w:rsidR="00727235" w:rsidRPr="004F3111" w:rsidRDefault="00727235" w:rsidP="00727235">
      <w:r w:rsidRPr="004F3111">
        <w:t>Расчет кадастровой стоимости объектов недвижимости на основе УПКС объектов недвижимости других групп (подгрупп).</w:t>
      </w:r>
    </w:p>
    <w:p w14:paraId="39297D4B" w14:textId="21521034" w:rsidR="00727235" w:rsidRPr="004F3111" w:rsidRDefault="00727235" w:rsidP="00727235">
      <w:r w:rsidRPr="004F3111">
        <w:t>Данный метод предполагает моделирование с использованием определенных для других групп (подгрупп) объектов недвижимости УПКС, а также с использованием УПКС объектов рассматриваемой группы (подгруппы), в случае отсутствия у объекта недвижимости какого-либо из значимых ценообразующих факторов, включая данные о местоположении.</w:t>
      </w:r>
    </w:p>
    <w:p w14:paraId="07B88555" w14:textId="77777777" w:rsidR="00727235" w:rsidRPr="004F3111" w:rsidRDefault="00727235" w:rsidP="00727235">
      <w:pPr>
        <w:rPr>
          <w:lang w:eastAsia="ru-RU"/>
        </w:rPr>
      </w:pPr>
      <w:r w:rsidRPr="004F3111">
        <w:rPr>
          <w:lang w:eastAsia="ru-RU"/>
        </w:rPr>
        <w:t>В соответствии с Методическими указаниями метод моделирования на основе УПКС применяется в случаях, когда отсутствует возможность применения метода статистического (регрессионного) моделирования, метода типового (эталонного) объекта недвижимости, а также методов индивидуальной оценки, вследствие недостатка информации о точном местоположении (адресе) объекта недвижимости, о других точных его характеристиках, то есть когда, в частности, отсутствуют значения ценообразующих факторов, которые необходимо было бы подставить в статистическую модель, полученную в результате применения метода статистического (регрессионного) моделирования, или для применения метода (эталонного) типового объекта недвижимости. Метод может применяться для определения кадастровой стоимости объектов незавершенного строительства или объектов неопределенного вида использования.</w:t>
      </w:r>
    </w:p>
    <w:p w14:paraId="4CDFD49C" w14:textId="77777777" w:rsidR="00727235" w:rsidRPr="004F3111" w:rsidRDefault="00727235" w:rsidP="00727235">
      <w:pPr>
        <w:rPr>
          <w:lang w:eastAsia="ru-RU"/>
        </w:rPr>
      </w:pPr>
      <w:r w:rsidRPr="004F3111">
        <w:rPr>
          <w:lang w:eastAsia="ru-RU"/>
        </w:rPr>
        <w:t>Метод заключается в следующем:</w:t>
      </w:r>
    </w:p>
    <w:p w14:paraId="41EC507E" w14:textId="77777777" w:rsidR="00727235" w:rsidRPr="00727235" w:rsidRDefault="00727235" w:rsidP="00727235">
      <w:pPr>
        <w:rPr>
          <w:lang w:eastAsia="ru-RU"/>
        </w:rPr>
      </w:pPr>
      <w:r w:rsidRPr="004F3111">
        <w:rPr>
          <w:lang w:eastAsia="ru-RU"/>
        </w:rPr>
        <w:t>1) определяется уровень детализации расположения объекта недвижимости (кадастровый квартал, населенный пункт, муниципальное образование, субъект Российской Федерации);</w:t>
      </w:r>
    </w:p>
    <w:p w14:paraId="21D8DA3A" w14:textId="77777777" w:rsidR="00727235" w:rsidRPr="00727235" w:rsidRDefault="00727235" w:rsidP="00727235">
      <w:pPr>
        <w:rPr>
          <w:lang w:eastAsia="ru-RU"/>
        </w:rPr>
      </w:pPr>
      <w:r w:rsidRPr="00727235">
        <w:rPr>
          <w:lang w:eastAsia="ru-RU"/>
        </w:rPr>
        <w:t>2) определяется среднее значение УПКС объектов недвижимости, имеющих сходство по виду использования групп (подгрупп) объектов недвижимости, существующих в пределах территориальной единицы (кадастровый квартал, населенный пункт, муниципальное образование, субъект Российской Федерации), в которой расположен объект недвижимости;</w:t>
      </w:r>
    </w:p>
    <w:p w14:paraId="17389E7E" w14:textId="77777777" w:rsidR="00727235" w:rsidRPr="00727235" w:rsidRDefault="00727235" w:rsidP="00727235">
      <w:pPr>
        <w:rPr>
          <w:lang w:eastAsia="ru-RU"/>
        </w:rPr>
      </w:pPr>
      <w:r w:rsidRPr="00727235">
        <w:rPr>
          <w:lang w:eastAsia="ru-RU"/>
        </w:rPr>
        <w:t>3) кадастровая стоимость объекта недвижимости определяется путем умножения среднего значения УПКС объектов недвижимости, схожих по виду использования групп (подгрупп) объектов недвижимости по кадастровому кварталу (в случае отсутствия в кадастровом квартале - в населенном пункте, муниципальном образовании, субъекте Российской Федерации), в котором расположен объект недвижимости, на его площадь, объем, иные характеристики.</w:t>
      </w:r>
    </w:p>
    <w:p w14:paraId="7224FCD2" w14:textId="6FFD2233" w:rsidR="00727235" w:rsidRDefault="00727235" w:rsidP="00727235">
      <w:pPr>
        <w:rPr>
          <w:lang w:eastAsia="ru-RU"/>
        </w:rPr>
      </w:pPr>
      <w:r w:rsidRPr="00727235">
        <w:rPr>
          <w:lang w:eastAsia="ru-RU"/>
        </w:rPr>
        <w:t>В рамках данного метода средние значения УПКС могут определяться с учетом известных характеристик объекта недвижимости (материал стен, этаж (этажность), вид разрешенного использования, местоположение и прочее).</w:t>
      </w:r>
    </w:p>
    <w:p w14:paraId="5D979000" w14:textId="77777777" w:rsidR="000E68C5" w:rsidRPr="00727235" w:rsidRDefault="000E68C5" w:rsidP="000E68C5">
      <w:pPr>
        <w:rPr>
          <w:lang w:eastAsia="ru-RU"/>
        </w:rPr>
      </w:pPr>
      <w:r w:rsidRPr="00727235">
        <w:rPr>
          <w:lang w:eastAsia="ru-RU"/>
        </w:rPr>
        <w:t>В зависимости от имеющейся информации об объектах оценки были применены разные алгоритмы определения УПКС.</w:t>
      </w:r>
    </w:p>
    <w:p w14:paraId="5D15E999" w14:textId="77777777" w:rsidR="000E68C5" w:rsidRDefault="000E68C5" w:rsidP="00727235">
      <w:pPr>
        <w:rPr>
          <w:lang w:eastAsia="ru-RU"/>
        </w:rPr>
      </w:pPr>
    </w:p>
    <w:p w14:paraId="1003F536" w14:textId="0A40BB45" w:rsidR="00727235" w:rsidRPr="00727235" w:rsidRDefault="00727235" w:rsidP="00727235">
      <w:pPr>
        <w:rPr>
          <w:lang w:eastAsia="ru-RU"/>
        </w:rPr>
      </w:pPr>
      <w:r w:rsidRPr="00727235">
        <w:rPr>
          <w:lang w:eastAsia="ru-RU"/>
        </w:rPr>
        <w:t xml:space="preserve">Метод моделирования на основе УПКС </w:t>
      </w:r>
      <w:r w:rsidR="000E68C5">
        <w:rPr>
          <w:lang w:eastAsia="ru-RU"/>
        </w:rPr>
        <w:t xml:space="preserve">(минимальный) </w:t>
      </w:r>
      <w:r w:rsidRPr="00727235">
        <w:rPr>
          <w:lang w:eastAsia="ru-RU"/>
        </w:rPr>
        <w:t>для целей определения кадастровой стоимости объектов капитального строительства был применен:</w:t>
      </w:r>
    </w:p>
    <w:p w14:paraId="02E2C1E8" w14:textId="53168BEE" w:rsidR="00727235" w:rsidRPr="00727235" w:rsidRDefault="00727235" w:rsidP="00727235">
      <w:pPr>
        <w:rPr>
          <w:lang w:eastAsia="ru-RU"/>
        </w:rPr>
      </w:pPr>
      <w:r w:rsidRPr="00727235">
        <w:rPr>
          <w:lang w:eastAsia="ru-RU"/>
        </w:rPr>
        <w:t>Для следующих подгрупп:</w:t>
      </w:r>
    </w:p>
    <w:p w14:paraId="2B4B737F" w14:textId="2F67DDBA" w:rsidR="00727235" w:rsidRPr="00727235" w:rsidRDefault="000E68C5" w:rsidP="00727235">
      <w:pPr>
        <w:rPr>
          <w:lang w:eastAsia="ru-RU"/>
        </w:rPr>
      </w:pPr>
      <w:r>
        <w:rPr>
          <w:lang w:eastAsia="ru-RU"/>
        </w:rPr>
        <w:t>Объекты без полных характеристик</w:t>
      </w:r>
      <w:r w:rsidR="00727235" w:rsidRPr="00727235">
        <w:rPr>
          <w:lang w:eastAsia="ru-RU"/>
        </w:rPr>
        <w:t>;</w:t>
      </w:r>
    </w:p>
    <w:p w14:paraId="089AA469" w14:textId="52D84FDD" w:rsidR="00727235" w:rsidRPr="00727235" w:rsidRDefault="000E68C5" w:rsidP="00727235">
      <w:pPr>
        <w:rPr>
          <w:lang w:eastAsia="ru-RU"/>
        </w:rPr>
      </w:pPr>
      <w:r>
        <w:rPr>
          <w:lang w:eastAsia="ru-RU"/>
        </w:rPr>
        <w:t xml:space="preserve">Объекты, расположенные </w:t>
      </w:r>
      <w:r w:rsidR="00727235" w:rsidRPr="00727235">
        <w:rPr>
          <w:lang w:eastAsia="ru-RU"/>
        </w:rPr>
        <w:t>вне черты населенных пунктов (МР);</w:t>
      </w:r>
    </w:p>
    <w:p w14:paraId="1D6E3973" w14:textId="21727C42" w:rsidR="00727235" w:rsidRPr="00727235" w:rsidRDefault="00727235" w:rsidP="00727235">
      <w:pPr>
        <w:rPr>
          <w:lang w:eastAsia="ru-RU"/>
        </w:rPr>
      </w:pPr>
      <w:r w:rsidRPr="00727235">
        <w:rPr>
          <w:lang w:eastAsia="ru-RU"/>
        </w:rPr>
        <w:t>Для расчета кадастровой стоимости данных подгрупп учитывалось</w:t>
      </w:r>
      <w:r w:rsidR="009E6C67">
        <w:rPr>
          <w:lang w:eastAsia="ru-RU"/>
        </w:rPr>
        <w:t xml:space="preserve"> местоположение</w:t>
      </w:r>
      <w:r w:rsidRPr="00727235">
        <w:rPr>
          <w:lang w:eastAsia="ru-RU"/>
        </w:rPr>
        <w:t xml:space="preserve"> оцениваемого объекта (здание, кадастровый квартал, населенный пункт, муниципальное образование (городской округ), субъект РФ). Вид разрешенного использования </w:t>
      </w:r>
      <w:r w:rsidR="000E68C5">
        <w:rPr>
          <w:lang w:eastAsia="ru-RU"/>
        </w:rPr>
        <w:t xml:space="preserve">и </w:t>
      </w:r>
      <w:r w:rsidR="000E68C5" w:rsidRPr="00727235">
        <w:rPr>
          <w:lang w:eastAsia="ru-RU"/>
        </w:rPr>
        <w:t xml:space="preserve">наличие информации о материале стен </w:t>
      </w:r>
      <w:r w:rsidRPr="00727235">
        <w:rPr>
          <w:lang w:eastAsia="ru-RU"/>
        </w:rPr>
        <w:t>не учитывался, так как все объекты капитального строительства в рамках рассматриваемых подгрупп не отличаются по данной характеристике</w:t>
      </w:r>
      <w:r w:rsidR="000E68C5">
        <w:rPr>
          <w:lang w:eastAsia="ru-RU"/>
        </w:rPr>
        <w:t>, либо имеют наименьшее влияние</w:t>
      </w:r>
      <w:r w:rsidRPr="00727235">
        <w:rPr>
          <w:lang w:eastAsia="ru-RU"/>
        </w:rPr>
        <w:t>.</w:t>
      </w:r>
    </w:p>
    <w:p w14:paraId="0CEBDF82" w14:textId="77777777" w:rsidR="00727235" w:rsidRPr="00727235" w:rsidRDefault="00727235" w:rsidP="00727235">
      <w:pPr>
        <w:rPr>
          <w:lang w:eastAsia="ru-RU"/>
        </w:rPr>
      </w:pPr>
      <w:r w:rsidRPr="00727235">
        <w:rPr>
          <w:lang w:eastAsia="ru-RU"/>
        </w:rPr>
        <w:t>Кадастровая стоимость объектов недвижимости определяется путем умножения рассчитанных удельных показателей кадастровой стоимости объектов недвижимости на их площадь.</w:t>
      </w:r>
    </w:p>
    <w:p w14:paraId="5DC97DA7" w14:textId="04007872" w:rsidR="00D10123" w:rsidRPr="000E68C5" w:rsidRDefault="00DA41A7" w:rsidP="00D10123">
      <w:pPr>
        <w:ind w:firstLine="567"/>
      </w:pPr>
      <w:r w:rsidRPr="000E68C5">
        <w:rPr>
          <w:color w:val="000000"/>
        </w:rPr>
        <w:t>В связи с тем, что по жилым помещениям в многоквартирных домах, основным ценообразующим фактором является местоположение, для о</w:t>
      </w:r>
      <w:r w:rsidR="00D10123" w:rsidRPr="000E68C5">
        <w:t>пределени</w:t>
      </w:r>
      <w:r w:rsidRPr="000E68C5">
        <w:t>я</w:t>
      </w:r>
      <w:r w:rsidR="00D10123" w:rsidRPr="000E68C5">
        <w:t xml:space="preserve"> кадастровой</w:t>
      </w:r>
      <w:r w:rsidRPr="000E68C5">
        <w:t xml:space="preserve"> стоимости объектов методом УПКС</w:t>
      </w:r>
      <w:r w:rsidR="004F3111" w:rsidRPr="000E68C5">
        <w:t xml:space="preserve"> по подгруппам расчета 1.6. (1 группа), подгруппам 2.7., 2.8. (2 группа), подгруппам 3.3., 3.5. (3 группа)</w:t>
      </w:r>
      <w:r w:rsidR="00D10123" w:rsidRPr="000E68C5">
        <w:t xml:space="preserve"> </w:t>
      </w:r>
      <w:r w:rsidRPr="000E68C5">
        <w:t>применялся следующий алгоритм расчета</w:t>
      </w:r>
      <w:r w:rsidR="00D10123" w:rsidRPr="000E68C5">
        <w:t xml:space="preserve">: </w:t>
      </w:r>
    </w:p>
    <w:p w14:paraId="15E65ABE" w14:textId="3E571F48" w:rsidR="00D10123" w:rsidRPr="000E68C5" w:rsidRDefault="00D10123" w:rsidP="00C106B5">
      <w:pPr>
        <w:pStyle w:val="af0"/>
        <w:numPr>
          <w:ilvl w:val="0"/>
          <w:numId w:val="97"/>
        </w:numPr>
        <w:rPr>
          <w:color w:val="000000"/>
          <w:szCs w:val="24"/>
        </w:rPr>
      </w:pPr>
      <w:r w:rsidRPr="000E68C5">
        <w:rPr>
          <w:color w:val="000000"/>
          <w:szCs w:val="24"/>
        </w:rPr>
        <w:t xml:space="preserve">Определение населенного пункта в разрезе </w:t>
      </w:r>
      <w:r w:rsidRPr="000E68C5">
        <w:rPr>
          <w:szCs w:val="24"/>
        </w:rPr>
        <w:t xml:space="preserve">муниципальных районов, городских округов с </w:t>
      </w:r>
      <w:r w:rsidR="00DA41A7" w:rsidRPr="000E68C5">
        <w:rPr>
          <w:color w:val="000000"/>
          <w:szCs w:val="24"/>
          <w:lang w:eastAsia="ru-RU" w:bidi="ru-RU"/>
        </w:rPr>
        <w:t>наиболее активным рынком по продаже</w:t>
      </w:r>
      <w:r w:rsidRPr="000E68C5">
        <w:rPr>
          <w:color w:val="000000"/>
          <w:szCs w:val="24"/>
          <w:lang w:eastAsia="ru-RU" w:bidi="ru-RU"/>
        </w:rPr>
        <w:t xml:space="preserve"> аналогичных объектов;</w:t>
      </w:r>
    </w:p>
    <w:p w14:paraId="4133F427" w14:textId="388244D3" w:rsidR="00D10123" w:rsidRPr="000E68C5" w:rsidRDefault="00D10123" w:rsidP="00C106B5">
      <w:pPr>
        <w:pStyle w:val="af0"/>
        <w:numPr>
          <w:ilvl w:val="0"/>
          <w:numId w:val="97"/>
        </w:numPr>
        <w:suppressAutoHyphens/>
        <w:autoSpaceDN w:val="0"/>
        <w:contextualSpacing w:val="0"/>
        <w:textAlignment w:val="baseline"/>
        <w:rPr>
          <w:color w:val="000000"/>
        </w:rPr>
      </w:pPr>
      <w:r w:rsidRPr="000E68C5">
        <w:rPr>
          <w:color w:val="000000"/>
        </w:rPr>
        <w:t xml:space="preserve">Определение удельного показателя рыночной стоимости </w:t>
      </w:r>
      <w:r w:rsidR="00DA41A7" w:rsidRPr="000E68C5">
        <w:rPr>
          <w:color w:val="000000"/>
        </w:rPr>
        <w:t>объектов недвижимости в определенном населенном пункте</w:t>
      </w:r>
      <w:r w:rsidRPr="000E68C5">
        <w:rPr>
          <w:color w:val="000000"/>
        </w:rPr>
        <w:t>;</w:t>
      </w:r>
    </w:p>
    <w:p w14:paraId="012A60CD" w14:textId="77777777" w:rsidR="00D10123" w:rsidRPr="000E68C5" w:rsidRDefault="00D10123" w:rsidP="00C106B5">
      <w:pPr>
        <w:pStyle w:val="af0"/>
        <w:numPr>
          <w:ilvl w:val="0"/>
          <w:numId w:val="97"/>
        </w:numPr>
        <w:suppressAutoHyphens/>
        <w:autoSpaceDN w:val="0"/>
        <w:contextualSpacing w:val="0"/>
        <w:textAlignment w:val="baseline"/>
        <w:rPr>
          <w:color w:val="000000"/>
        </w:rPr>
      </w:pPr>
      <w:r w:rsidRPr="000E68C5">
        <w:rPr>
          <w:color w:val="000000"/>
        </w:rPr>
        <w:t xml:space="preserve">Определение корректировки на местонахождение </w:t>
      </w:r>
    </w:p>
    <w:p w14:paraId="51D049C6" w14:textId="116AAADE" w:rsidR="00D10123" w:rsidRPr="000E68C5" w:rsidRDefault="00D10123" w:rsidP="00C106B5">
      <w:pPr>
        <w:pStyle w:val="af0"/>
        <w:numPr>
          <w:ilvl w:val="0"/>
          <w:numId w:val="97"/>
        </w:numPr>
        <w:suppressAutoHyphens/>
        <w:autoSpaceDN w:val="0"/>
        <w:contextualSpacing w:val="0"/>
        <w:textAlignment w:val="baseline"/>
        <w:rPr>
          <w:color w:val="000000"/>
        </w:rPr>
      </w:pPr>
      <w:r w:rsidRPr="000E68C5">
        <w:rPr>
          <w:color w:val="000000"/>
        </w:rPr>
        <w:t xml:space="preserve">Определение кадастровой стоимости </w:t>
      </w:r>
      <w:r w:rsidR="00DA41A7" w:rsidRPr="000E68C5">
        <w:rPr>
          <w:color w:val="000000"/>
        </w:rPr>
        <w:t>объектов недвижимости</w:t>
      </w:r>
      <w:r w:rsidRPr="000E68C5">
        <w:rPr>
          <w:color w:val="000000"/>
        </w:rPr>
        <w:t xml:space="preserve"> в составе группы (подгруппы).</w:t>
      </w:r>
    </w:p>
    <w:p w14:paraId="21ADF8A8" w14:textId="7912B0C0" w:rsidR="00D10123" w:rsidRPr="000E68C5" w:rsidRDefault="00D10123" w:rsidP="00D10123">
      <w:pPr>
        <w:contextualSpacing/>
        <w:rPr>
          <w:color w:val="000000"/>
          <w:lang w:bidi="ru-RU"/>
        </w:rPr>
      </w:pPr>
      <w:r w:rsidRPr="000E68C5">
        <w:rPr>
          <w:color w:val="000000"/>
        </w:rPr>
        <w:t xml:space="preserve">Город Якутск - </w:t>
      </w:r>
      <w:r w:rsidRPr="000E68C5">
        <w:rPr>
          <w:color w:val="000000"/>
          <w:lang w:bidi="ru-RU"/>
        </w:rPr>
        <w:t>столица Республики Саха (Якутия), явля</w:t>
      </w:r>
      <w:r w:rsidR="00DA41A7" w:rsidRPr="000E68C5">
        <w:rPr>
          <w:color w:val="000000"/>
          <w:lang w:bidi="ru-RU"/>
        </w:rPr>
        <w:t>ется</w:t>
      </w:r>
      <w:r w:rsidRPr="000E68C5">
        <w:rPr>
          <w:color w:val="000000"/>
          <w:lang w:bidi="ru-RU"/>
        </w:rPr>
        <w:t xml:space="preserve"> крупным административным центром республиканского и федерального значения, где сосредоточен значительный промышленный, культурный и научный потенциал Якутии, обеспечивающий высокий уровень таких показателей как, уровень социально-экономического развития, плотность населения, миграционные процессы, состояние инфраструктуры и т.д., что соответственно оказывает влияние на уровень доходов населения, которые формируют спрос на объекты недвижимости аналогичные оцениваемым.</w:t>
      </w:r>
    </w:p>
    <w:p w14:paraId="2A2913B5" w14:textId="77777777" w:rsidR="00D10123" w:rsidRPr="000E68C5" w:rsidRDefault="00D10123" w:rsidP="00D10123">
      <w:pPr>
        <w:shd w:val="clear" w:color="auto" w:fill="FFFFFF"/>
        <w:ind w:firstLine="0"/>
        <w:contextualSpacing/>
        <w:rPr>
          <w:color w:val="000000"/>
          <w:lang w:bidi="ru-RU"/>
        </w:rPr>
      </w:pPr>
      <w:r w:rsidRPr="000E68C5">
        <w:rPr>
          <w:color w:val="000000"/>
          <w:lang w:bidi="ru-RU"/>
        </w:rPr>
        <w:t xml:space="preserve">           Рынок недвижимости в сегменте «Жилая застройка (среднеэтажная и многоэтажная)» г. Якутска характеризуется относительно небольшим разбросом цен на подобные объекты недвижимости, присутствием на рынке достаточного количества продавцов и покупателей, конкуренцией и достаточно большим объемом совершаемых сделок, по отношению к другим муниципальным образованиям Республики. Рынок включает ликвидные объекты, характеризующиеся большим спросом, прежде всего, объекты жилой, офисной и торговой недвижимости, объекты производственной и складской недвижимости, земельные участки в зонах отдыха и другие объекты, пользующиеся большим спросом. Рынок недвижимости в районах Республики значительно в целом уступает по отношению к г. Якутску по активности. Характеризуется большим разбросом цен на подобные объекты недвижимости, ограниченным количеством продавцов и редкими сделками. </w:t>
      </w:r>
    </w:p>
    <w:p w14:paraId="04E5D5F5" w14:textId="77777777" w:rsidR="00D10123" w:rsidRPr="000E68C5" w:rsidRDefault="00D10123" w:rsidP="00DA41A7">
      <w:pPr>
        <w:ind w:firstLine="567"/>
        <w:rPr>
          <w:i/>
          <w:color w:val="000000"/>
        </w:rPr>
      </w:pPr>
      <w:r w:rsidRPr="000E68C5">
        <w:rPr>
          <w:i/>
          <w:color w:val="000000"/>
        </w:rPr>
        <w:t xml:space="preserve">Определение удельного показателя рыночной стоимости </w:t>
      </w:r>
    </w:p>
    <w:p w14:paraId="004DCB42" w14:textId="332E1BAA" w:rsidR="00D10123" w:rsidRPr="000E68C5" w:rsidRDefault="00D10123" w:rsidP="00DA41A7">
      <w:pPr>
        <w:ind w:firstLine="567"/>
      </w:pPr>
      <w:r w:rsidRPr="000E68C5">
        <w:rPr>
          <w:color w:val="000000"/>
        </w:rPr>
        <w:t xml:space="preserve">Определение </w:t>
      </w:r>
      <w:r w:rsidR="009E6C67" w:rsidRPr="000E68C5">
        <w:rPr>
          <w:color w:val="000000"/>
        </w:rPr>
        <w:t>удельного показателя кадастровой стоимости принята как рассчитанная минимальная УПКС в подгруппах 1.5, 1.8, 2.10 и 3.6 в рамках Метода статистического (регрессионного) моделирования</w:t>
      </w:r>
      <w:r w:rsidRPr="000E68C5">
        <w:t xml:space="preserve">. </w:t>
      </w:r>
    </w:p>
    <w:p w14:paraId="125E613A" w14:textId="77777777" w:rsidR="00D10123" w:rsidRPr="000E68C5" w:rsidRDefault="00D10123" w:rsidP="00D10123">
      <w:pPr>
        <w:ind w:firstLine="0"/>
      </w:pPr>
    </w:p>
    <w:p w14:paraId="49C4A12C" w14:textId="77777777" w:rsidR="00D10123" w:rsidRPr="000E68C5" w:rsidRDefault="00D10123" w:rsidP="00D10123">
      <w:pPr>
        <w:ind w:firstLine="567"/>
        <w:rPr>
          <w:i/>
          <w:color w:val="000000"/>
        </w:rPr>
      </w:pPr>
      <w:r w:rsidRPr="000E68C5">
        <w:rPr>
          <w:i/>
          <w:color w:val="000000"/>
        </w:rPr>
        <w:t xml:space="preserve">Определение корректировки на местонахождение </w:t>
      </w:r>
    </w:p>
    <w:p w14:paraId="1767EA2E" w14:textId="77777777" w:rsidR="00D10123" w:rsidRPr="000E68C5" w:rsidRDefault="00D10123" w:rsidP="00D10123">
      <w:pPr>
        <w:ind w:firstLine="567"/>
        <w:rPr>
          <w:color w:val="000000"/>
          <w:lang w:bidi="ru-RU"/>
        </w:rPr>
      </w:pPr>
      <w:r w:rsidRPr="000E68C5">
        <w:rPr>
          <w:color w:val="000000"/>
          <w:lang w:bidi="ru-RU"/>
        </w:rPr>
        <w:t xml:space="preserve">Сотрудники ГБУ РС(Я) «ЦГКО» полагают, что рыночная стоимость объектов недвижимости зависит от местоположения. Поскольку объем рынка земли в малых и средних городах невелик, корректировка определяется с учетом статистических данных. Предполагается, что показатель численности населения отражает объем рынка, заработная плата отражает возможности предприятий по оплате труда и строительству или приобретению объектов, доход влияет на покупательную способность рынка. Предполагается также, что зависимость от численности населения не является линейной. </w:t>
      </w:r>
    </w:p>
    <w:p w14:paraId="088FAE59" w14:textId="77777777" w:rsidR="00D10123" w:rsidRPr="000E68C5" w:rsidRDefault="00D10123" w:rsidP="00D10123">
      <w:pPr>
        <w:ind w:firstLine="567"/>
        <w:rPr>
          <w:color w:val="000000"/>
          <w:lang w:bidi="ru-RU"/>
        </w:rPr>
      </w:pPr>
      <w:r w:rsidRPr="000E68C5">
        <w:rPr>
          <w:color w:val="000000"/>
          <w:lang w:bidi="ru-RU"/>
        </w:rPr>
        <w:t xml:space="preserve">Например, в Технических указаниях по государственной кадастровой оценке земель поселений Федеральной службы земельного кадастра России 2003 г., эмпирические зависимости, учитывающие численность населения, имеют вид </w:t>
      </w:r>
    </w:p>
    <w:p w14:paraId="0B203253" w14:textId="77777777" w:rsidR="00D10123" w:rsidRPr="000E68C5" w:rsidRDefault="00D10123" w:rsidP="00D10123">
      <w:pPr>
        <w:rPr>
          <w:i/>
          <w:lang w:val="en-US"/>
        </w:rPr>
      </w:pPr>
      <m:oMathPara>
        <m:oMath>
          <m:r>
            <w:rPr>
              <w:rFonts w:ascii="Cambria Math" w:hAnsi="Cambria Math"/>
            </w:rPr>
            <m:t>У= √</m:t>
          </m:r>
          <m:r>
            <w:rPr>
              <w:rFonts w:ascii="Cambria Math" w:hAnsi="Cambria Math"/>
              <w:lang w:val="en-US"/>
            </w:rPr>
            <m:t>N</m:t>
          </m:r>
        </m:oMath>
      </m:oMathPara>
    </w:p>
    <w:p w14:paraId="6D375126" w14:textId="77777777" w:rsidR="00D10123" w:rsidRPr="000E68C5" w:rsidRDefault="00D10123" w:rsidP="00D10123">
      <w:pPr>
        <w:ind w:firstLine="567"/>
        <w:rPr>
          <w:color w:val="000000"/>
        </w:rPr>
      </w:pPr>
      <w:r w:rsidRPr="000E68C5">
        <w:rPr>
          <w:color w:val="000000"/>
          <w:lang w:bidi="ru-RU"/>
        </w:rPr>
        <w:t>Сотрудники ГБУ РС(Я) полагают, что данная тенденция является актуальной на дату оценки.</w:t>
      </w:r>
    </w:p>
    <w:p w14:paraId="7E310514" w14:textId="355ABF08" w:rsidR="00D10123" w:rsidRPr="000E68C5" w:rsidRDefault="00D10123" w:rsidP="00D10123">
      <w:pPr>
        <w:ind w:firstLine="567"/>
      </w:pPr>
      <w:r w:rsidRPr="000E68C5">
        <w:t xml:space="preserve">При расчете корректировки использовались данные </w:t>
      </w:r>
      <w:r w:rsidRPr="000E68C5">
        <w:rPr>
          <w:color w:val="000000"/>
        </w:rPr>
        <w:t xml:space="preserve">перечней ценообразующих факторов всех населенных </w:t>
      </w:r>
      <w:r w:rsidRPr="003272F2">
        <w:rPr>
          <w:color w:val="000000"/>
        </w:rPr>
        <w:t xml:space="preserve">пунктов РС(Я). Полный расчет корректировки на местонахождение приведен в </w:t>
      </w:r>
      <w:r w:rsidRPr="003272F2">
        <w:t xml:space="preserve">приложении </w:t>
      </w:r>
      <w:r w:rsidR="003272F2" w:rsidRPr="003272F2">
        <w:t xml:space="preserve">1.5.2. Поправки </w:t>
      </w:r>
      <w:r w:rsidRPr="003272F2">
        <w:t>к Отчету.</w:t>
      </w:r>
    </w:p>
    <w:p w14:paraId="341F1DBC" w14:textId="77777777" w:rsidR="009E6C67" w:rsidRPr="000E68C5" w:rsidRDefault="009E6C67" w:rsidP="00D10123">
      <w:pPr>
        <w:ind w:firstLine="567"/>
      </w:pPr>
    </w:p>
    <w:p w14:paraId="4D274A3E" w14:textId="6B9AAFF2" w:rsidR="00D10123" w:rsidRPr="000E68C5" w:rsidRDefault="00D10123" w:rsidP="009E6C67">
      <w:pPr>
        <w:rPr>
          <w:lang w:eastAsia="ru-RU"/>
        </w:rPr>
      </w:pPr>
      <w:r w:rsidRPr="000E68C5">
        <w:rPr>
          <w:lang w:eastAsia="ru-RU"/>
        </w:rPr>
        <w:t xml:space="preserve">Таблица </w:t>
      </w:r>
      <w:r w:rsidRPr="000E68C5">
        <w:rPr>
          <w:lang w:eastAsia="ru-RU"/>
        </w:rPr>
        <w:fldChar w:fldCharType="begin"/>
      </w:r>
      <w:r w:rsidRPr="000E68C5">
        <w:rPr>
          <w:lang w:eastAsia="ru-RU"/>
        </w:rPr>
        <w:instrText xml:space="preserve"> SEQ Таблица \* ARABIC </w:instrText>
      </w:r>
      <w:r w:rsidRPr="000E68C5">
        <w:rPr>
          <w:lang w:eastAsia="ru-RU"/>
        </w:rPr>
        <w:fldChar w:fldCharType="separate"/>
      </w:r>
      <w:r w:rsidR="00FD2769">
        <w:rPr>
          <w:noProof/>
          <w:lang w:eastAsia="ru-RU"/>
        </w:rPr>
        <w:t>70</w:t>
      </w:r>
      <w:r w:rsidRPr="000E68C5">
        <w:rPr>
          <w:lang w:eastAsia="ru-RU"/>
        </w:rPr>
        <w:fldChar w:fldCharType="end"/>
      </w:r>
      <w:r w:rsidRPr="000E68C5">
        <w:rPr>
          <w:lang w:eastAsia="ru-RU"/>
        </w:rPr>
        <w:t xml:space="preserve"> </w:t>
      </w:r>
      <w:r w:rsidRPr="000E68C5">
        <w:rPr>
          <w:i/>
          <w:iCs/>
          <w:lang w:eastAsia="ru-RU"/>
        </w:rPr>
        <w:t>Корректировка на местонахождение</w:t>
      </w:r>
    </w:p>
    <w:tbl>
      <w:tblPr>
        <w:tblW w:w="5000" w:type="pct"/>
        <w:tblLook w:val="04A0" w:firstRow="1" w:lastRow="0" w:firstColumn="1" w:lastColumn="0" w:noHBand="0" w:noVBand="1"/>
      </w:tblPr>
      <w:tblGrid>
        <w:gridCol w:w="648"/>
        <w:gridCol w:w="2095"/>
        <w:gridCol w:w="2291"/>
        <w:gridCol w:w="2013"/>
        <w:gridCol w:w="2297"/>
      </w:tblGrid>
      <w:tr w:rsidR="00D10123" w:rsidRPr="000E68C5" w14:paraId="720C7F5C" w14:textId="77777777" w:rsidTr="00836C93">
        <w:trPr>
          <w:trHeight w:val="645"/>
          <w:tblHeader/>
        </w:trPr>
        <w:tc>
          <w:tcPr>
            <w:tcW w:w="34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75811C0" w14:textId="77777777" w:rsidR="00D10123" w:rsidRPr="000E68C5" w:rsidRDefault="00D10123" w:rsidP="00836C93">
            <w:pPr>
              <w:ind w:left="36" w:hanging="36"/>
              <w:jc w:val="center"/>
              <w:rPr>
                <w:b/>
                <w:bCs/>
                <w:color w:val="000000"/>
              </w:rPr>
            </w:pPr>
            <w:r w:rsidRPr="000E68C5">
              <w:rPr>
                <w:b/>
                <w:bCs/>
                <w:color w:val="000000"/>
              </w:rPr>
              <w:t>№ п/п</w:t>
            </w:r>
          </w:p>
        </w:tc>
        <w:tc>
          <w:tcPr>
            <w:tcW w:w="1121" w:type="pct"/>
            <w:tcBorders>
              <w:top w:val="single" w:sz="4" w:space="0" w:color="auto"/>
              <w:left w:val="nil"/>
              <w:bottom w:val="single" w:sz="4" w:space="0" w:color="auto"/>
              <w:right w:val="single" w:sz="4" w:space="0" w:color="auto"/>
            </w:tcBorders>
            <w:shd w:val="clear" w:color="auto" w:fill="auto"/>
            <w:vAlign w:val="center"/>
            <w:hideMark/>
          </w:tcPr>
          <w:p w14:paraId="08ADDBCE" w14:textId="77777777" w:rsidR="00D10123" w:rsidRPr="000E68C5" w:rsidRDefault="00D10123" w:rsidP="008E6468">
            <w:pPr>
              <w:ind w:firstLine="0"/>
              <w:jc w:val="center"/>
              <w:rPr>
                <w:b/>
                <w:bCs/>
                <w:color w:val="000000"/>
              </w:rPr>
            </w:pPr>
            <w:r w:rsidRPr="000E68C5">
              <w:rPr>
                <w:b/>
                <w:bCs/>
                <w:color w:val="000000"/>
              </w:rPr>
              <w:t>Экономические зоны</w:t>
            </w:r>
          </w:p>
        </w:tc>
        <w:tc>
          <w:tcPr>
            <w:tcW w:w="1226" w:type="pct"/>
            <w:tcBorders>
              <w:top w:val="single" w:sz="4" w:space="0" w:color="auto"/>
              <w:left w:val="nil"/>
              <w:bottom w:val="single" w:sz="4" w:space="0" w:color="auto"/>
              <w:right w:val="single" w:sz="4" w:space="0" w:color="auto"/>
            </w:tcBorders>
            <w:shd w:val="clear" w:color="auto" w:fill="auto"/>
            <w:vAlign w:val="center"/>
            <w:hideMark/>
          </w:tcPr>
          <w:p w14:paraId="10D6146D" w14:textId="77777777" w:rsidR="00D10123" w:rsidRPr="000E68C5" w:rsidRDefault="00D10123" w:rsidP="008E6468">
            <w:pPr>
              <w:ind w:firstLine="0"/>
              <w:jc w:val="center"/>
              <w:rPr>
                <w:b/>
                <w:bCs/>
                <w:color w:val="000000"/>
              </w:rPr>
            </w:pPr>
            <w:r w:rsidRPr="000E68C5">
              <w:rPr>
                <w:b/>
                <w:bCs/>
                <w:color w:val="000000"/>
              </w:rPr>
              <w:t>Наименование МР/ГО</w:t>
            </w:r>
          </w:p>
        </w:tc>
        <w:tc>
          <w:tcPr>
            <w:tcW w:w="1077" w:type="pct"/>
            <w:tcBorders>
              <w:top w:val="single" w:sz="4" w:space="0" w:color="auto"/>
              <w:left w:val="nil"/>
              <w:bottom w:val="single" w:sz="4" w:space="0" w:color="auto"/>
              <w:right w:val="single" w:sz="4" w:space="0" w:color="auto"/>
            </w:tcBorders>
            <w:shd w:val="clear" w:color="auto" w:fill="auto"/>
            <w:vAlign w:val="center"/>
            <w:hideMark/>
          </w:tcPr>
          <w:p w14:paraId="7FDA61FA" w14:textId="77777777" w:rsidR="00D10123" w:rsidRPr="000E68C5" w:rsidRDefault="00D10123" w:rsidP="008E6468">
            <w:pPr>
              <w:ind w:firstLine="0"/>
              <w:jc w:val="center"/>
              <w:rPr>
                <w:b/>
                <w:bCs/>
                <w:color w:val="000000"/>
              </w:rPr>
            </w:pPr>
            <w:r w:rsidRPr="000E68C5">
              <w:rPr>
                <w:b/>
                <w:bCs/>
                <w:color w:val="000000"/>
              </w:rPr>
              <w:t>Наименование населенного пункта</w:t>
            </w:r>
          </w:p>
        </w:tc>
        <w:tc>
          <w:tcPr>
            <w:tcW w:w="1229" w:type="pct"/>
            <w:tcBorders>
              <w:top w:val="single" w:sz="4" w:space="0" w:color="auto"/>
              <w:left w:val="nil"/>
              <w:bottom w:val="single" w:sz="4" w:space="0" w:color="auto"/>
              <w:right w:val="single" w:sz="4" w:space="0" w:color="auto"/>
            </w:tcBorders>
            <w:shd w:val="clear" w:color="auto" w:fill="auto"/>
            <w:vAlign w:val="center"/>
            <w:hideMark/>
          </w:tcPr>
          <w:p w14:paraId="77ED9F7D" w14:textId="77777777" w:rsidR="00D10123" w:rsidRPr="000E68C5" w:rsidRDefault="00D10123" w:rsidP="008E6468">
            <w:pPr>
              <w:ind w:firstLine="0"/>
              <w:jc w:val="center"/>
              <w:rPr>
                <w:b/>
                <w:bCs/>
                <w:color w:val="000000"/>
              </w:rPr>
            </w:pPr>
            <w:r w:rsidRPr="000E68C5">
              <w:rPr>
                <w:b/>
                <w:bCs/>
                <w:color w:val="000000"/>
              </w:rPr>
              <w:t>Корректировка на местонахождение</w:t>
            </w:r>
          </w:p>
        </w:tc>
      </w:tr>
      <w:tr w:rsidR="00D10123" w:rsidRPr="000E68C5" w14:paraId="77529165" w14:textId="77777777" w:rsidTr="00836C93">
        <w:trPr>
          <w:trHeight w:val="405"/>
        </w:trPr>
        <w:tc>
          <w:tcPr>
            <w:tcW w:w="346" w:type="pct"/>
            <w:tcBorders>
              <w:top w:val="nil"/>
              <w:left w:val="single" w:sz="4" w:space="0" w:color="auto"/>
              <w:bottom w:val="single" w:sz="4" w:space="0" w:color="auto"/>
              <w:right w:val="single" w:sz="4" w:space="0" w:color="auto"/>
            </w:tcBorders>
            <w:shd w:val="clear" w:color="auto" w:fill="auto"/>
            <w:vAlign w:val="center"/>
          </w:tcPr>
          <w:p w14:paraId="647EDD7D" w14:textId="2BA6F5D4" w:rsidR="00D10123" w:rsidRPr="00836C93" w:rsidRDefault="00D10123" w:rsidP="00C106B5">
            <w:pPr>
              <w:pStyle w:val="af0"/>
              <w:numPr>
                <w:ilvl w:val="0"/>
                <w:numId w:val="106"/>
              </w:numPr>
              <w:ind w:left="36" w:hanging="36"/>
              <w:rPr>
                <w:color w:val="000000"/>
              </w:rPr>
            </w:pPr>
          </w:p>
        </w:tc>
        <w:tc>
          <w:tcPr>
            <w:tcW w:w="1121" w:type="pct"/>
            <w:tcBorders>
              <w:top w:val="nil"/>
              <w:left w:val="nil"/>
              <w:bottom w:val="single" w:sz="4" w:space="0" w:color="auto"/>
              <w:right w:val="single" w:sz="4" w:space="0" w:color="auto"/>
            </w:tcBorders>
            <w:shd w:val="clear" w:color="auto" w:fill="auto"/>
            <w:vAlign w:val="center"/>
            <w:hideMark/>
          </w:tcPr>
          <w:p w14:paraId="7203E1FE" w14:textId="77777777" w:rsidR="00D10123" w:rsidRPr="000E68C5" w:rsidRDefault="00D10123" w:rsidP="008E6468">
            <w:pPr>
              <w:ind w:firstLine="0"/>
              <w:rPr>
                <w:color w:val="000000"/>
              </w:rPr>
            </w:pPr>
            <w:r w:rsidRPr="000E68C5">
              <w:rPr>
                <w:color w:val="000000"/>
              </w:rPr>
              <w:t>Арктическая</w:t>
            </w:r>
          </w:p>
        </w:tc>
        <w:tc>
          <w:tcPr>
            <w:tcW w:w="1226" w:type="pct"/>
            <w:tcBorders>
              <w:top w:val="nil"/>
              <w:left w:val="nil"/>
              <w:bottom w:val="single" w:sz="4" w:space="0" w:color="auto"/>
              <w:right w:val="single" w:sz="4" w:space="0" w:color="auto"/>
            </w:tcBorders>
            <w:shd w:val="clear" w:color="auto" w:fill="auto"/>
            <w:vAlign w:val="center"/>
            <w:hideMark/>
          </w:tcPr>
          <w:p w14:paraId="1A01C875" w14:textId="77777777" w:rsidR="00D10123" w:rsidRPr="000E68C5" w:rsidRDefault="00D10123" w:rsidP="008E6468">
            <w:pPr>
              <w:ind w:firstLine="0"/>
              <w:rPr>
                <w:color w:val="000000"/>
              </w:rPr>
            </w:pPr>
            <w:r w:rsidRPr="000E68C5">
              <w:rPr>
                <w:color w:val="000000"/>
              </w:rPr>
              <w:t>Абыйский</w:t>
            </w:r>
          </w:p>
        </w:tc>
        <w:tc>
          <w:tcPr>
            <w:tcW w:w="1077" w:type="pct"/>
            <w:tcBorders>
              <w:top w:val="nil"/>
              <w:left w:val="nil"/>
              <w:bottom w:val="single" w:sz="4" w:space="0" w:color="auto"/>
              <w:right w:val="single" w:sz="4" w:space="0" w:color="auto"/>
            </w:tcBorders>
            <w:shd w:val="clear" w:color="auto" w:fill="auto"/>
            <w:vAlign w:val="center"/>
            <w:hideMark/>
          </w:tcPr>
          <w:p w14:paraId="5173FBA8" w14:textId="77777777" w:rsidR="00D10123" w:rsidRPr="000E68C5" w:rsidRDefault="00D10123" w:rsidP="008E6468">
            <w:pPr>
              <w:ind w:firstLine="0"/>
              <w:rPr>
                <w:color w:val="000000"/>
              </w:rPr>
            </w:pPr>
            <w:r w:rsidRPr="000E68C5">
              <w:rPr>
                <w:color w:val="000000"/>
              </w:rPr>
              <w:t>МО</w:t>
            </w:r>
          </w:p>
        </w:tc>
        <w:tc>
          <w:tcPr>
            <w:tcW w:w="1229" w:type="pct"/>
            <w:tcBorders>
              <w:top w:val="nil"/>
              <w:left w:val="nil"/>
              <w:bottom w:val="single" w:sz="4" w:space="0" w:color="auto"/>
              <w:right w:val="single" w:sz="4" w:space="0" w:color="auto"/>
            </w:tcBorders>
            <w:shd w:val="clear" w:color="auto" w:fill="auto"/>
            <w:vAlign w:val="center"/>
            <w:hideMark/>
          </w:tcPr>
          <w:p w14:paraId="698A3CFC" w14:textId="77777777" w:rsidR="00D10123" w:rsidRPr="000E68C5" w:rsidRDefault="00D10123" w:rsidP="008E6468">
            <w:pPr>
              <w:ind w:firstLine="0"/>
              <w:rPr>
                <w:color w:val="000000"/>
              </w:rPr>
            </w:pPr>
            <w:r w:rsidRPr="000E68C5">
              <w:rPr>
                <w:color w:val="000000"/>
              </w:rPr>
              <w:t>0,28</w:t>
            </w:r>
          </w:p>
        </w:tc>
      </w:tr>
      <w:tr w:rsidR="00D10123" w:rsidRPr="000E68C5" w14:paraId="06C7490D" w14:textId="77777777" w:rsidTr="00836C93">
        <w:trPr>
          <w:trHeight w:val="405"/>
        </w:trPr>
        <w:tc>
          <w:tcPr>
            <w:tcW w:w="346" w:type="pct"/>
            <w:tcBorders>
              <w:top w:val="nil"/>
              <w:left w:val="single" w:sz="4" w:space="0" w:color="auto"/>
              <w:bottom w:val="single" w:sz="4" w:space="0" w:color="auto"/>
              <w:right w:val="single" w:sz="4" w:space="0" w:color="auto"/>
            </w:tcBorders>
            <w:shd w:val="clear" w:color="auto" w:fill="auto"/>
            <w:vAlign w:val="center"/>
          </w:tcPr>
          <w:p w14:paraId="35A0C794" w14:textId="3F3193B7" w:rsidR="00D10123" w:rsidRPr="00836C93" w:rsidRDefault="00D10123" w:rsidP="00C106B5">
            <w:pPr>
              <w:pStyle w:val="af0"/>
              <w:numPr>
                <w:ilvl w:val="0"/>
                <w:numId w:val="106"/>
              </w:numPr>
              <w:ind w:left="36" w:hanging="36"/>
              <w:rPr>
                <w:color w:val="000000"/>
              </w:rPr>
            </w:pPr>
          </w:p>
        </w:tc>
        <w:tc>
          <w:tcPr>
            <w:tcW w:w="1121" w:type="pct"/>
            <w:tcBorders>
              <w:top w:val="nil"/>
              <w:left w:val="nil"/>
              <w:bottom w:val="single" w:sz="4" w:space="0" w:color="auto"/>
              <w:right w:val="single" w:sz="4" w:space="0" w:color="auto"/>
            </w:tcBorders>
            <w:shd w:val="clear" w:color="auto" w:fill="auto"/>
            <w:vAlign w:val="center"/>
            <w:hideMark/>
          </w:tcPr>
          <w:p w14:paraId="74154437" w14:textId="77777777" w:rsidR="00D10123" w:rsidRPr="000E68C5" w:rsidRDefault="00D10123" w:rsidP="008E6468">
            <w:pPr>
              <w:ind w:firstLine="0"/>
              <w:rPr>
                <w:color w:val="000000"/>
              </w:rPr>
            </w:pPr>
            <w:r w:rsidRPr="000E68C5">
              <w:rPr>
                <w:color w:val="000000"/>
              </w:rPr>
              <w:t>Арктическая</w:t>
            </w:r>
          </w:p>
        </w:tc>
        <w:tc>
          <w:tcPr>
            <w:tcW w:w="1226" w:type="pct"/>
            <w:tcBorders>
              <w:top w:val="nil"/>
              <w:left w:val="nil"/>
              <w:bottom w:val="single" w:sz="4" w:space="0" w:color="auto"/>
              <w:right w:val="single" w:sz="4" w:space="0" w:color="auto"/>
            </w:tcBorders>
            <w:shd w:val="clear" w:color="auto" w:fill="auto"/>
            <w:vAlign w:val="center"/>
            <w:hideMark/>
          </w:tcPr>
          <w:p w14:paraId="6EE6EECF" w14:textId="77777777" w:rsidR="00D10123" w:rsidRPr="000E68C5" w:rsidRDefault="00D10123" w:rsidP="008E6468">
            <w:pPr>
              <w:ind w:firstLine="0"/>
              <w:rPr>
                <w:color w:val="000000"/>
              </w:rPr>
            </w:pPr>
            <w:r w:rsidRPr="000E68C5">
              <w:rPr>
                <w:color w:val="000000"/>
              </w:rPr>
              <w:t>Абыйский</w:t>
            </w:r>
          </w:p>
        </w:tc>
        <w:tc>
          <w:tcPr>
            <w:tcW w:w="1077" w:type="pct"/>
            <w:tcBorders>
              <w:top w:val="nil"/>
              <w:left w:val="nil"/>
              <w:bottom w:val="single" w:sz="4" w:space="0" w:color="auto"/>
              <w:right w:val="single" w:sz="4" w:space="0" w:color="auto"/>
            </w:tcBorders>
            <w:shd w:val="clear" w:color="auto" w:fill="auto"/>
            <w:vAlign w:val="center"/>
            <w:hideMark/>
          </w:tcPr>
          <w:p w14:paraId="2C646CB8" w14:textId="77777777" w:rsidR="00D10123" w:rsidRPr="000E68C5" w:rsidRDefault="00D10123" w:rsidP="008E6468">
            <w:pPr>
              <w:ind w:firstLine="0"/>
              <w:rPr>
                <w:color w:val="000000"/>
              </w:rPr>
            </w:pPr>
            <w:r w:rsidRPr="000E68C5">
              <w:rPr>
                <w:color w:val="000000"/>
              </w:rPr>
              <w:t>Белая Гора</w:t>
            </w:r>
          </w:p>
        </w:tc>
        <w:tc>
          <w:tcPr>
            <w:tcW w:w="1229" w:type="pct"/>
            <w:tcBorders>
              <w:top w:val="nil"/>
              <w:left w:val="nil"/>
              <w:bottom w:val="single" w:sz="4" w:space="0" w:color="auto"/>
              <w:right w:val="single" w:sz="4" w:space="0" w:color="auto"/>
            </w:tcBorders>
            <w:shd w:val="clear" w:color="auto" w:fill="auto"/>
            <w:vAlign w:val="center"/>
            <w:hideMark/>
          </w:tcPr>
          <w:p w14:paraId="23AB8984" w14:textId="77777777" w:rsidR="00D10123" w:rsidRPr="000E68C5" w:rsidRDefault="00D10123" w:rsidP="008E6468">
            <w:pPr>
              <w:ind w:firstLine="0"/>
              <w:rPr>
                <w:color w:val="000000"/>
              </w:rPr>
            </w:pPr>
            <w:r w:rsidRPr="000E68C5">
              <w:rPr>
                <w:color w:val="000000"/>
              </w:rPr>
              <w:t>0,42</w:t>
            </w:r>
          </w:p>
        </w:tc>
      </w:tr>
      <w:tr w:rsidR="00D10123" w:rsidRPr="000E68C5" w14:paraId="251A04C1" w14:textId="77777777" w:rsidTr="00836C93">
        <w:trPr>
          <w:trHeight w:val="405"/>
        </w:trPr>
        <w:tc>
          <w:tcPr>
            <w:tcW w:w="346" w:type="pct"/>
            <w:tcBorders>
              <w:top w:val="nil"/>
              <w:left w:val="single" w:sz="4" w:space="0" w:color="auto"/>
              <w:bottom w:val="single" w:sz="4" w:space="0" w:color="auto"/>
              <w:right w:val="single" w:sz="4" w:space="0" w:color="auto"/>
            </w:tcBorders>
            <w:shd w:val="clear" w:color="auto" w:fill="auto"/>
            <w:vAlign w:val="center"/>
          </w:tcPr>
          <w:p w14:paraId="264A1EC3" w14:textId="6BFCBB2E" w:rsidR="00D10123" w:rsidRPr="00836C93" w:rsidRDefault="00D10123" w:rsidP="00C106B5">
            <w:pPr>
              <w:pStyle w:val="af0"/>
              <w:numPr>
                <w:ilvl w:val="0"/>
                <w:numId w:val="106"/>
              </w:numPr>
              <w:ind w:left="36" w:hanging="36"/>
              <w:rPr>
                <w:color w:val="000000"/>
              </w:rPr>
            </w:pPr>
          </w:p>
        </w:tc>
        <w:tc>
          <w:tcPr>
            <w:tcW w:w="1121" w:type="pct"/>
            <w:tcBorders>
              <w:top w:val="nil"/>
              <w:left w:val="nil"/>
              <w:bottom w:val="single" w:sz="4" w:space="0" w:color="auto"/>
              <w:right w:val="single" w:sz="4" w:space="0" w:color="auto"/>
            </w:tcBorders>
            <w:shd w:val="clear" w:color="auto" w:fill="auto"/>
            <w:vAlign w:val="center"/>
            <w:hideMark/>
          </w:tcPr>
          <w:p w14:paraId="048AEAAC" w14:textId="77777777" w:rsidR="00D10123" w:rsidRPr="000E68C5" w:rsidRDefault="00D10123" w:rsidP="008E6468">
            <w:pPr>
              <w:ind w:firstLine="0"/>
              <w:rPr>
                <w:color w:val="000000"/>
              </w:rPr>
            </w:pPr>
            <w:r w:rsidRPr="000E68C5">
              <w:rPr>
                <w:color w:val="000000"/>
              </w:rPr>
              <w:t>Южная</w:t>
            </w:r>
          </w:p>
        </w:tc>
        <w:tc>
          <w:tcPr>
            <w:tcW w:w="1226" w:type="pct"/>
            <w:tcBorders>
              <w:top w:val="nil"/>
              <w:left w:val="nil"/>
              <w:bottom w:val="single" w:sz="4" w:space="0" w:color="auto"/>
              <w:right w:val="single" w:sz="4" w:space="0" w:color="auto"/>
            </w:tcBorders>
            <w:shd w:val="clear" w:color="auto" w:fill="auto"/>
            <w:vAlign w:val="center"/>
            <w:hideMark/>
          </w:tcPr>
          <w:p w14:paraId="60597511" w14:textId="77777777" w:rsidR="00D10123" w:rsidRPr="000E68C5" w:rsidRDefault="00D10123" w:rsidP="008E6468">
            <w:pPr>
              <w:ind w:firstLine="0"/>
              <w:rPr>
                <w:color w:val="000000"/>
              </w:rPr>
            </w:pPr>
            <w:r w:rsidRPr="000E68C5">
              <w:rPr>
                <w:color w:val="000000"/>
              </w:rPr>
              <w:t>Алданский</w:t>
            </w:r>
          </w:p>
        </w:tc>
        <w:tc>
          <w:tcPr>
            <w:tcW w:w="1077" w:type="pct"/>
            <w:tcBorders>
              <w:top w:val="nil"/>
              <w:left w:val="nil"/>
              <w:bottom w:val="single" w:sz="4" w:space="0" w:color="auto"/>
              <w:right w:val="single" w:sz="4" w:space="0" w:color="auto"/>
            </w:tcBorders>
            <w:shd w:val="clear" w:color="auto" w:fill="auto"/>
            <w:vAlign w:val="center"/>
            <w:hideMark/>
          </w:tcPr>
          <w:p w14:paraId="62ECE9EF" w14:textId="77777777" w:rsidR="00D10123" w:rsidRPr="000E68C5" w:rsidRDefault="00D10123" w:rsidP="008E6468">
            <w:pPr>
              <w:ind w:firstLine="0"/>
              <w:rPr>
                <w:color w:val="000000"/>
              </w:rPr>
            </w:pPr>
            <w:r w:rsidRPr="000E68C5">
              <w:rPr>
                <w:color w:val="000000"/>
              </w:rPr>
              <w:t>МО</w:t>
            </w:r>
          </w:p>
        </w:tc>
        <w:tc>
          <w:tcPr>
            <w:tcW w:w="1229" w:type="pct"/>
            <w:tcBorders>
              <w:top w:val="nil"/>
              <w:left w:val="nil"/>
              <w:bottom w:val="single" w:sz="4" w:space="0" w:color="auto"/>
              <w:right w:val="single" w:sz="4" w:space="0" w:color="auto"/>
            </w:tcBorders>
            <w:shd w:val="clear" w:color="auto" w:fill="auto"/>
            <w:vAlign w:val="center"/>
            <w:hideMark/>
          </w:tcPr>
          <w:p w14:paraId="35D77115" w14:textId="77777777" w:rsidR="00D10123" w:rsidRPr="000E68C5" w:rsidRDefault="00D10123" w:rsidP="008E6468">
            <w:pPr>
              <w:ind w:firstLine="0"/>
              <w:rPr>
                <w:color w:val="000000"/>
              </w:rPr>
            </w:pPr>
            <w:r w:rsidRPr="000E68C5">
              <w:rPr>
                <w:color w:val="000000"/>
              </w:rPr>
              <w:t>0,41</w:t>
            </w:r>
          </w:p>
        </w:tc>
      </w:tr>
      <w:tr w:rsidR="00D10123" w:rsidRPr="000E68C5" w14:paraId="7F605A38" w14:textId="77777777" w:rsidTr="00836C93">
        <w:trPr>
          <w:trHeight w:val="405"/>
        </w:trPr>
        <w:tc>
          <w:tcPr>
            <w:tcW w:w="346" w:type="pct"/>
            <w:tcBorders>
              <w:top w:val="nil"/>
              <w:left w:val="single" w:sz="4" w:space="0" w:color="auto"/>
              <w:bottom w:val="single" w:sz="4" w:space="0" w:color="auto"/>
              <w:right w:val="single" w:sz="4" w:space="0" w:color="auto"/>
            </w:tcBorders>
            <w:shd w:val="clear" w:color="auto" w:fill="auto"/>
            <w:vAlign w:val="center"/>
          </w:tcPr>
          <w:p w14:paraId="72351695" w14:textId="59A5BC89" w:rsidR="00D10123" w:rsidRPr="00836C93" w:rsidRDefault="00D10123" w:rsidP="00C106B5">
            <w:pPr>
              <w:pStyle w:val="af0"/>
              <w:numPr>
                <w:ilvl w:val="0"/>
                <w:numId w:val="106"/>
              </w:numPr>
              <w:ind w:left="36" w:hanging="36"/>
              <w:rPr>
                <w:color w:val="000000"/>
              </w:rPr>
            </w:pPr>
          </w:p>
        </w:tc>
        <w:tc>
          <w:tcPr>
            <w:tcW w:w="1121" w:type="pct"/>
            <w:tcBorders>
              <w:top w:val="nil"/>
              <w:left w:val="nil"/>
              <w:bottom w:val="single" w:sz="4" w:space="0" w:color="auto"/>
              <w:right w:val="single" w:sz="4" w:space="0" w:color="auto"/>
            </w:tcBorders>
            <w:shd w:val="clear" w:color="auto" w:fill="auto"/>
            <w:vAlign w:val="center"/>
            <w:hideMark/>
          </w:tcPr>
          <w:p w14:paraId="79B0545A" w14:textId="77777777" w:rsidR="00D10123" w:rsidRPr="000E68C5" w:rsidRDefault="00D10123" w:rsidP="008E6468">
            <w:pPr>
              <w:ind w:firstLine="0"/>
              <w:rPr>
                <w:color w:val="000000"/>
              </w:rPr>
            </w:pPr>
            <w:r w:rsidRPr="000E68C5">
              <w:rPr>
                <w:color w:val="000000"/>
              </w:rPr>
              <w:t>Южная</w:t>
            </w:r>
          </w:p>
        </w:tc>
        <w:tc>
          <w:tcPr>
            <w:tcW w:w="1226" w:type="pct"/>
            <w:tcBorders>
              <w:top w:val="nil"/>
              <w:left w:val="nil"/>
              <w:bottom w:val="single" w:sz="4" w:space="0" w:color="auto"/>
              <w:right w:val="single" w:sz="4" w:space="0" w:color="auto"/>
            </w:tcBorders>
            <w:shd w:val="clear" w:color="auto" w:fill="auto"/>
            <w:vAlign w:val="center"/>
            <w:hideMark/>
          </w:tcPr>
          <w:p w14:paraId="7CA0F535" w14:textId="77777777" w:rsidR="00D10123" w:rsidRPr="000E68C5" w:rsidRDefault="00D10123" w:rsidP="008E6468">
            <w:pPr>
              <w:ind w:firstLine="0"/>
              <w:rPr>
                <w:color w:val="000000"/>
              </w:rPr>
            </w:pPr>
            <w:r w:rsidRPr="000E68C5">
              <w:rPr>
                <w:color w:val="000000"/>
              </w:rPr>
              <w:t>Алданский</w:t>
            </w:r>
          </w:p>
        </w:tc>
        <w:tc>
          <w:tcPr>
            <w:tcW w:w="1077" w:type="pct"/>
            <w:tcBorders>
              <w:top w:val="nil"/>
              <w:left w:val="nil"/>
              <w:bottom w:val="single" w:sz="4" w:space="0" w:color="auto"/>
              <w:right w:val="single" w:sz="4" w:space="0" w:color="auto"/>
            </w:tcBorders>
            <w:shd w:val="clear" w:color="auto" w:fill="auto"/>
            <w:vAlign w:val="center"/>
            <w:hideMark/>
          </w:tcPr>
          <w:p w14:paraId="45EBDD7A" w14:textId="77777777" w:rsidR="00D10123" w:rsidRPr="000E68C5" w:rsidRDefault="00D10123" w:rsidP="008E6468">
            <w:pPr>
              <w:ind w:firstLine="0"/>
              <w:rPr>
                <w:color w:val="000000"/>
              </w:rPr>
            </w:pPr>
            <w:r w:rsidRPr="000E68C5">
              <w:rPr>
                <w:color w:val="000000"/>
              </w:rPr>
              <w:t>Алдан</w:t>
            </w:r>
          </w:p>
        </w:tc>
        <w:tc>
          <w:tcPr>
            <w:tcW w:w="1229" w:type="pct"/>
            <w:tcBorders>
              <w:top w:val="nil"/>
              <w:left w:val="nil"/>
              <w:bottom w:val="single" w:sz="4" w:space="0" w:color="auto"/>
              <w:right w:val="single" w:sz="4" w:space="0" w:color="auto"/>
            </w:tcBorders>
            <w:shd w:val="clear" w:color="auto" w:fill="auto"/>
            <w:vAlign w:val="center"/>
            <w:hideMark/>
          </w:tcPr>
          <w:p w14:paraId="049C6877" w14:textId="77777777" w:rsidR="00D10123" w:rsidRPr="000E68C5" w:rsidRDefault="00D10123" w:rsidP="008E6468">
            <w:pPr>
              <w:ind w:firstLine="0"/>
              <w:rPr>
                <w:color w:val="000000"/>
              </w:rPr>
            </w:pPr>
            <w:r w:rsidRPr="000E68C5">
              <w:rPr>
                <w:color w:val="000000"/>
              </w:rPr>
              <w:t>0,59</w:t>
            </w:r>
          </w:p>
        </w:tc>
      </w:tr>
      <w:tr w:rsidR="00D10123" w:rsidRPr="000E68C5" w14:paraId="1DC3250F" w14:textId="77777777" w:rsidTr="00836C93">
        <w:trPr>
          <w:trHeight w:val="405"/>
        </w:trPr>
        <w:tc>
          <w:tcPr>
            <w:tcW w:w="346" w:type="pct"/>
            <w:tcBorders>
              <w:top w:val="nil"/>
              <w:left w:val="single" w:sz="4" w:space="0" w:color="auto"/>
              <w:bottom w:val="single" w:sz="4" w:space="0" w:color="auto"/>
              <w:right w:val="single" w:sz="4" w:space="0" w:color="auto"/>
            </w:tcBorders>
            <w:shd w:val="clear" w:color="auto" w:fill="auto"/>
            <w:vAlign w:val="center"/>
          </w:tcPr>
          <w:p w14:paraId="2E721101" w14:textId="463EB21B" w:rsidR="00D10123" w:rsidRPr="00836C93" w:rsidRDefault="00D10123" w:rsidP="00C106B5">
            <w:pPr>
              <w:pStyle w:val="af0"/>
              <w:numPr>
                <w:ilvl w:val="0"/>
                <w:numId w:val="106"/>
              </w:numPr>
              <w:ind w:left="36" w:firstLine="0"/>
              <w:rPr>
                <w:color w:val="000000"/>
              </w:rPr>
            </w:pPr>
          </w:p>
        </w:tc>
        <w:tc>
          <w:tcPr>
            <w:tcW w:w="1121" w:type="pct"/>
            <w:tcBorders>
              <w:top w:val="nil"/>
              <w:left w:val="nil"/>
              <w:bottom w:val="single" w:sz="4" w:space="0" w:color="auto"/>
              <w:right w:val="single" w:sz="4" w:space="0" w:color="auto"/>
            </w:tcBorders>
            <w:shd w:val="clear" w:color="auto" w:fill="auto"/>
            <w:vAlign w:val="center"/>
            <w:hideMark/>
          </w:tcPr>
          <w:p w14:paraId="6903142D" w14:textId="77777777" w:rsidR="00D10123" w:rsidRPr="000E68C5" w:rsidRDefault="00D10123" w:rsidP="008E6468">
            <w:pPr>
              <w:ind w:firstLine="0"/>
              <w:rPr>
                <w:color w:val="000000"/>
              </w:rPr>
            </w:pPr>
            <w:r w:rsidRPr="000E68C5">
              <w:rPr>
                <w:color w:val="000000"/>
              </w:rPr>
              <w:t>Арктическая</w:t>
            </w:r>
          </w:p>
        </w:tc>
        <w:tc>
          <w:tcPr>
            <w:tcW w:w="1226" w:type="pct"/>
            <w:tcBorders>
              <w:top w:val="nil"/>
              <w:left w:val="nil"/>
              <w:bottom w:val="single" w:sz="4" w:space="0" w:color="auto"/>
              <w:right w:val="single" w:sz="4" w:space="0" w:color="auto"/>
            </w:tcBorders>
            <w:shd w:val="clear" w:color="auto" w:fill="auto"/>
            <w:vAlign w:val="center"/>
            <w:hideMark/>
          </w:tcPr>
          <w:p w14:paraId="3629E0C2" w14:textId="77777777" w:rsidR="00D10123" w:rsidRPr="000E68C5" w:rsidRDefault="00D10123" w:rsidP="008E6468">
            <w:pPr>
              <w:ind w:firstLine="0"/>
              <w:rPr>
                <w:color w:val="000000"/>
              </w:rPr>
            </w:pPr>
            <w:r w:rsidRPr="000E68C5">
              <w:rPr>
                <w:color w:val="000000"/>
              </w:rPr>
              <w:t>Аллаиховский</w:t>
            </w:r>
          </w:p>
        </w:tc>
        <w:tc>
          <w:tcPr>
            <w:tcW w:w="1077" w:type="pct"/>
            <w:tcBorders>
              <w:top w:val="nil"/>
              <w:left w:val="nil"/>
              <w:bottom w:val="single" w:sz="4" w:space="0" w:color="auto"/>
              <w:right w:val="single" w:sz="4" w:space="0" w:color="auto"/>
            </w:tcBorders>
            <w:shd w:val="clear" w:color="auto" w:fill="auto"/>
            <w:vAlign w:val="center"/>
            <w:hideMark/>
          </w:tcPr>
          <w:p w14:paraId="7FA04738" w14:textId="77777777" w:rsidR="00D10123" w:rsidRPr="000E68C5" w:rsidRDefault="00D10123" w:rsidP="008E6468">
            <w:pPr>
              <w:ind w:firstLine="0"/>
              <w:rPr>
                <w:color w:val="000000"/>
              </w:rPr>
            </w:pPr>
            <w:r w:rsidRPr="000E68C5">
              <w:rPr>
                <w:color w:val="000000"/>
              </w:rPr>
              <w:t>МО</w:t>
            </w:r>
          </w:p>
        </w:tc>
        <w:tc>
          <w:tcPr>
            <w:tcW w:w="1229" w:type="pct"/>
            <w:tcBorders>
              <w:top w:val="nil"/>
              <w:left w:val="nil"/>
              <w:bottom w:val="single" w:sz="4" w:space="0" w:color="auto"/>
              <w:right w:val="single" w:sz="4" w:space="0" w:color="auto"/>
            </w:tcBorders>
            <w:shd w:val="clear" w:color="auto" w:fill="auto"/>
            <w:vAlign w:val="center"/>
            <w:hideMark/>
          </w:tcPr>
          <w:p w14:paraId="42D919E4" w14:textId="77777777" w:rsidR="00D10123" w:rsidRPr="000E68C5" w:rsidRDefault="00D10123" w:rsidP="008E6468">
            <w:pPr>
              <w:ind w:firstLine="0"/>
              <w:rPr>
                <w:color w:val="000000"/>
              </w:rPr>
            </w:pPr>
            <w:r w:rsidRPr="000E68C5">
              <w:rPr>
                <w:color w:val="000000"/>
              </w:rPr>
              <w:t>0,28</w:t>
            </w:r>
          </w:p>
        </w:tc>
      </w:tr>
      <w:tr w:rsidR="00D10123" w:rsidRPr="000E68C5" w14:paraId="60AAB416" w14:textId="77777777" w:rsidTr="00836C93">
        <w:trPr>
          <w:trHeight w:val="405"/>
        </w:trPr>
        <w:tc>
          <w:tcPr>
            <w:tcW w:w="346" w:type="pct"/>
            <w:tcBorders>
              <w:top w:val="nil"/>
              <w:left w:val="single" w:sz="4" w:space="0" w:color="auto"/>
              <w:bottom w:val="single" w:sz="4" w:space="0" w:color="auto"/>
              <w:right w:val="single" w:sz="4" w:space="0" w:color="auto"/>
            </w:tcBorders>
            <w:shd w:val="clear" w:color="auto" w:fill="auto"/>
            <w:vAlign w:val="center"/>
          </w:tcPr>
          <w:p w14:paraId="37F50382" w14:textId="6E438395" w:rsidR="00D10123" w:rsidRPr="00836C93" w:rsidRDefault="00D10123" w:rsidP="00C106B5">
            <w:pPr>
              <w:pStyle w:val="af0"/>
              <w:numPr>
                <w:ilvl w:val="0"/>
                <w:numId w:val="106"/>
              </w:numPr>
              <w:ind w:left="36" w:firstLine="0"/>
              <w:rPr>
                <w:color w:val="000000"/>
              </w:rPr>
            </w:pPr>
          </w:p>
        </w:tc>
        <w:tc>
          <w:tcPr>
            <w:tcW w:w="1121" w:type="pct"/>
            <w:tcBorders>
              <w:top w:val="nil"/>
              <w:left w:val="nil"/>
              <w:bottom w:val="single" w:sz="4" w:space="0" w:color="auto"/>
              <w:right w:val="single" w:sz="4" w:space="0" w:color="auto"/>
            </w:tcBorders>
            <w:shd w:val="clear" w:color="auto" w:fill="auto"/>
            <w:vAlign w:val="center"/>
            <w:hideMark/>
          </w:tcPr>
          <w:p w14:paraId="4D945C55" w14:textId="77777777" w:rsidR="00D10123" w:rsidRPr="000E68C5" w:rsidRDefault="00D10123" w:rsidP="008E6468">
            <w:pPr>
              <w:ind w:firstLine="0"/>
              <w:rPr>
                <w:color w:val="000000"/>
              </w:rPr>
            </w:pPr>
            <w:r w:rsidRPr="000E68C5">
              <w:rPr>
                <w:color w:val="000000"/>
              </w:rPr>
              <w:t>Центральная</w:t>
            </w:r>
          </w:p>
        </w:tc>
        <w:tc>
          <w:tcPr>
            <w:tcW w:w="1226" w:type="pct"/>
            <w:tcBorders>
              <w:top w:val="nil"/>
              <w:left w:val="nil"/>
              <w:bottom w:val="single" w:sz="4" w:space="0" w:color="auto"/>
              <w:right w:val="single" w:sz="4" w:space="0" w:color="auto"/>
            </w:tcBorders>
            <w:shd w:val="clear" w:color="auto" w:fill="auto"/>
            <w:vAlign w:val="center"/>
            <w:hideMark/>
          </w:tcPr>
          <w:p w14:paraId="4FA6F501" w14:textId="77777777" w:rsidR="00D10123" w:rsidRPr="000E68C5" w:rsidRDefault="00D10123" w:rsidP="008E6468">
            <w:pPr>
              <w:ind w:firstLine="0"/>
              <w:rPr>
                <w:color w:val="000000"/>
              </w:rPr>
            </w:pPr>
            <w:r w:rsidRPr="000E68C5">
              <w:rPr>
                <w:color w:val="000000"/>
              </w:rPr>
              <w:t>Амгинский</w:t>
            </w:r>
          </w:p>
        </w:tc>
        <w:tc>
          <w:tcPr>
            <w:tcW w:w="1077" w:type="pct"/>
            <w:tcBorders>
              <w:top w:val="nil"/>
              <w:left w:val="nil"/>
              <w:bottom w:val="single" w:sz="4" w:space="0" w:color="auto"/>
              <w:right w:val="single" w:sz="4" w:space="0" w:color="auto"/>
            </w:tcBorders>
            <w:shd w:val="clear" w:color="auto" w:fill="auto"/>
            <w:vAlign w:val="center"/>
            <w:hideMark/>
          </w:tcPr>
          <w:p w14:paraId="5312162E" w14:textId="77777777" w:rsidR="00D10123" w:rsidRPr="000E68C5" w:rsidRDefault="00D10123" w:rsidP="008E6468">
            <w:pPr>
              <w:ind w:firstLine="0"/>
              <w:rPr>
                <w:color w:val="000000"/>
              </w:rPr>
            </w:pPr>
            <w:r w:rsidRPr="000E68C5">
              <w:rPr>
                <w:color w:val="000000"/>
              </w:rPr>
              <w:t>МО</w:t>
            </w:r>
          </w:p>
        </w:tc>
        <w:tc>
          <w:tcPr>
            <w:tcW w:w="1229" w:type="pct"/>
            <w:tcBorders>
              <w:top w:val="nil"/>
              <w:left w:val="nil"/>
              <w:bottom w:val="single" w:sz="4" w:space="0" w:color="auto"/>
              <w:right w:val="single" w:sz="4" w:space="0" w:color="auto"/>
            </w:tcBorders>
            <w:shd w:val="clear" w:color="auto" w:fill="auto"/>
            <w:vAlign w:val="center"/>
            <w:hideMark/>
          </w:tcPr>
          <w:p w14:paraId="77E9D559" w14:textId="77777777" w:rsidR="00D10123" w:rsidRPr="000E68C5" w:rsidRDefault="00D10123" w:rsidP="008E6468">
            <w:pPr>
              <w:ind w:firstLine="0"/>
              <w:rPr>
                <w:color w:val="000000"/>
              </w:rPr>
            </w:pPr>
            <w:r w:rsidRPr="000E68C5">
              <w:rPr>
                <w:color w:val="000000"/>
              </w:rPr>
              <w:t>0,36</w:t>
            </w:r>
          </w:p>
        </w:tc>
      </w:tr>
      <w:tr w:rsidR="00D10123" w:rsidRPr="000E68C5" w14:paraId="0277006E" w14:textId="77777777" w:rsidTr="00836C93">
        <w:trPr>
          <w:trHeight w:val="405"/>
        </w:trPr>
        <w:tc>
          <w:tcPr>
            <w:tcW w:w="346" w:type="pct"/>
            <w:tcBorders>
              <w:top w:val="nil"/>
              <w:left w:val="single" w:sz="4" w:space="0" w:color="auto"/>
              <w:bottom w:val="single" w:sz="4" w:space="0" w:color="auto"/>
              <w:right w:val="single" w:sz="4" w:space="0" w:color="auto"/>
            </w:tcBorders>
            <w:shd w:val="clear" w:color="auto" w:fill="auto"/>
            <w:vAlign w:val="center"/>
          </w:tcPr>
          <w:p w14:paraId="0FCB9A78" w14:textId="2F1BD9CD" w:rsidR="00D10123" w:rsidRPr="00836C93" w:rsidRDefault="00D10123" w:rsidP="00C106B5">
            <w:pPr>
              <w:pStyle w:val="af0"/>
              <w:numPr>
                <w:ilvl w:val="0"/>
                <w:numId w:val="106"/>
              </w:numPr>
              <w:ind w:left="36" w:firstLine="0"/>
              <w:rPr>
                <w:color w:val="000000"/>
              </w:rPr>
            </w:pPr>
          </w:p>
        </w:tc>
        <w:tc>
          <w:tcPr>
            <w:tcW w:w="1121" w:type="pct"/>
            <w:tcBorders>
              <w:top w:val="nil"/>
              <w:left w:val="nil"/>
              <w:bottom w:val="single" w:sz="4" w:space="0" w:color="auto"/>
              <w:right w:val="single" w:sz="4" w:space="0" w:color="auto"/>
            </w:tcBorders>
            <w:shd w:val="clear" w:color="auto" w:fill="auto"/>
            <w:vAlign w:val="center"/>
            <w:hideMark/>
          </w:tcPr>
          <w:p w14:paraId="10F1A558" w14:textId="77777777" w:rsidR="00D10123" w:rsidRPr="000E68C5" w:rsidRDefault="00D10123" w:rsidP="008E6468">
            <w:pPr>
              <w:ind w:firstLine="0"/>
              <w:rPr>
                <w:color w:val="000000"/>
              </w:rPr>
            </w:pPr>
            <w:r w:rsidRPr="000E68C5">
              <w:rPr>
                <w:color w:val="000000"/>
              </w:rPr>
              <w:t>Арктическая</w:t>
            </w:r>
          </w:p>
        </w:tc>
        <w:tc>
          <w:tcPr>
            <w:tcW w:w="1226" w:type="pct"/>
            <w:tcBorders>
              <w:top w:val="nil"/>
              <w:left w:val="nil"/>
              <w:bottom w:val="single" w:sz="4" w:space="0" w:color="auto"/>
              <w:right w:val="single" w:sz="4" w:space="0" w:color="auto"/>
            </w:tcBorders>
            <w:shd w:val="clear" w:color="auto" w:fill="auto"/>
            <w:vAlign w:val="center"/>
            <w:hideMark/>
          </w:tcPr>
          <w:p w14:paraId="2160D9D7" w14:textId="77777777" w:rsidR="00D10123" w:rsidRPr="000E68C5" w:rsidRDefault="00D10123" w:rsidP="008E6468">
            <w:pPr>
              <w:ind w:firstLine="0"/>
              <w:rPr>
                <w:color w:val="000000"/>
              </w:rPr>
            </w:pPr>
            <w:r w:rsidRPr="000E68C5">
              <w:rPr>
                <w:color w:val="000000"/>
              </w:rPr>
              <w:t>Анабарский</w:t>
            </w:r>
          </w:p>
        </w:tc>
        <w:tc>
          <w:tcPr>
            <w:tcW w:w="1077" w:type="pct"/>
            <w:tcBorders>
              <w:top w:val="nil"/>
              <w:left w:val="nil"/>
              <w:bottom w:val="single" w:sz="4" w:space="0" w:color="auto"/>
              <w:right w:val="single" w:sz="4" w:space="0" w:color="auto"/>
            </w:tcBorders>
            <w:shd w:val="clear" w:color="auto" w:fill="auto"/>
            <w:vAlign w:val="center"/>
            <w:hideMark/>
          </w:tcPr>
          <w:p w14:paraId="1B91E1C7" w14:textId="77777777" w:rsidR="00D10123" w:rsidRPr="000E68C5" w:rsidRDefault="00D10123" w:rsidP="008E6468">
            <w:pPr>
              <w:ind w:firstLine="0"/>
              <w:rPr>
                <w:color w:val="000000"/>
              </w:rPr>
            </w:pPr>
            <w:r w:rsidRPr="000E68C5">
              <w:rPr>
                <w:color w:val="000000"/>
              </w:rPr>
              <w:t>МО</w:t>
            </w:r>
          </w:p>
        </w:tc>
        <w:tc>
          <w:tcPr>
            <w:tcW w:w="1229" w:type="pct"/>
            <w:tcBorders>
              <w:top w:val="nil"/>
              <w:left w:val="nil"/>
              <w:bottom w:val="single" w:sz="4" w:space="0" w:color="auto"/>
              <w:right w:val="single" w:sz="4" w:space="0" w:color="auto"/>
            </w:tcBorders>
            <w:shd w:val="clear" w:color="auto" w:fill="auto"/>
            <w:vAlign w:val="center"/>
            <w:hideMark/>
          </w:tcPr>
          <w:p w14:paraId="468F4C82" w14:textId="77777777" w:rsidR="00D10123" w:rsidRPr="000E68C5" w:rsidRDefault="00D10123" w:rsidP="008E6468">
            <w:pPr>
              <w:ind w:firstLine="0"/>
              <w:rPr>
                <w:color w:val="000000"/>
              </w:rPr>
            </w:pPr>
            <w:r w:rsidRPr="000E68C5">
              <w:rPr>
                <w:color w:val="000000"/>
              </w:rPr>
              <w:t>0,36</w:t>
            </w:r>
          </w:p>
        </w:tc>
      </w:tr>
      <w:tr w:rsidR="00D10123" w:rsidRPr="000E68C5" w14:paraId="5B4850B0" w14:textId="77777777" w:rsidTr="00836C93">
        <w:trPr>
          <w:trHeight w:val="405"/>
        </w:trPr>
        <w:tc>
          <w:tcPr>
            <w:tcW w:w="346" w:type="pct"/>
            <w:tcBorders>
              <w:top w:val="nil"/>
              <w:left w:val="single" w:sz="4" w:space="0" w:color="auto"/>
              <w:bottom w:val="single" w:sz="4" w:space="0" w:color="auto"/>
              <w:right w:val="single" w:sz="4" w:space="0" w:color="auto"/>
            </w:tcBorders>
            <w:shd w:val="clear" w:color="auto" w:fill="auto"/>
            <w:vAlign w:val="center"/>
          </w:tcPr>
          <w:p w14:paraId="2A583056" w14:textId="5A7F4BE3" w:rsidR="00D10123" w:rsidRPr="00836C93" w:rsidRDefault="00D10123" w:rsidP="00C106B5">
            <w:pPr>
              <w:pStyle w:val="af0"/>
              <w:numPr>
                <w:ilvl w:val="0"/>
                <w:numId w:val="106"/>
              </w:numPr>
              <w:ind w:left="36" w:firstLine="0"/>
              <w:rPr>
                <w:color w:val="000000"/>
              </w:rPr>
            </w:pPr>
          </w:p>
        </w:tc>
        <w:tc>
          <w:tcPr>
            <w:tcW w:w="1121" w:type="pct"/>
            <w:tcBorders>
              <w:top w:val="nil"/>
              <w:left w:val="nil"/>
              <w:bottom w:val="single" w:sz="4" w:space="0" w:color="auto"/>
              <w:right w:val="single" w:sz="4" w:space="0" w:color="auto"/>
            </w:tcBorders>
            <w:shd w:val="clear" w:color="auto" w:fill="auto"/>
            <w:vAlign w:val="center"/>
            <w:hideMark/>
          </w:tcPr>
          <w:p w14:paraId="14432BD0" w14:textId="77777777" w:rsidR="00D10123" w:rsidRPr="000E68C5" w:rsidRDefault="00D10123" w:rsidP="008E6468">
            <w:pPr>
              <w:ind w:firstLine="0"/>
              <w:rPr>
                <w:color w:val="000000"/>
              </w:rPr>
            </w:pPr>
            <w:r w:rsidRPr="000E68C5">
              <w:rPr>
                <w:color w:val="000000"/>
              </w:rPr>
              <w:t>Арктическая</w:t>
            </w:r>
          </w:p>
        </w:tc>
        <w:tc>
          <w:tcPr>
            <w:tcW w:w="1226" w:type="pct"/>
            <w:tcBorders>
              <w:top w:val="nil"/>
              <w:left w:val="nil"/>
              <w:bottom w:val="single" w:sz="4" w:space="0" w:color="auto"/>
              <w:right w:val="single" w:sz="4" w:space="0" w:color="auto"/>
            </w:tcBorders>
            <w:shd w:val="clear" w:color="auto" w:fill="auto"/>
            <w:vAlign w:val="center"/>
            <w:hideMark/>
          </w:tcPr>
          <w:p w14:paraId="6FF48980" w14:textId="77777777" w:rsidR="00D10123" w:rsidRPr="000E68C5" w:rsidRDefault="00D10123" w:rsidP="008E6468">
            <w:pPr>
              <w:ind w:firstLine="0"/>
              <w:rPr>
                <w:color w:val="000000"/>
              </w:rPr>
            </w:pPr>
            <w:r w:rsidRPr="000E68C5">
              <w:rPr>
                <w:color w:val="000000"/>
              </w:rPr>
              <w:t>Булунский</w:t>
            </w:r>
          </w:p>
        </w:tc>
        <w:tc>
          <w:tcPr>
            <w:tcW w:w="1077" w:type="pct"/>
            <w:tcBorders>
              <w:top w:val="nil"/>
              <w:left w:val="nil"/>
              <w:bottom w:val="single" w:sz="4" w:space="0" w:color="auto"/>
              <w:right w:val="single" w:sz="4" w:space="0" w:color="auto"/>
            </w:tcBorders>
            <w:shd w:val="clear" w:color="auto" w:fill="auto"/>
            <w:vAlign w:val="center"/>
            <w:hideMark/>
          </w:tcPr>
          <w:p w14:paraId="134BE385" w14:textId="77777777" w:rsidR="00D10123" w:rsidRPr="000E68C5" w:rsidRDefault="00D10123" w:rsidP="008E6468">
            <w:pPr>
              <w:ind w:firstLine="0"/>
              <w:rPr>
                <w:color w:val="000000"/>
              </w:rPr>
            </w:pPr>
            <w:r w:rsidRPr="000E68C5">
              <w:rPr>
                <w:color w:val="000000"/>
              </w:rPr>
              <w:t>МО</w:t>
            </w:r>
          </w:p>
        </w:tc>
        <w:tc>
          <w:tcPr>
            <w:tcW w:w="1229" w:type="pct"/>
            <w:tcBorders>
              <w:top w:val="nil"/>
              <w:left w:val="nil"/>
              <w:bottom w:val="single" w:sz="4" w:space="0" w:color="auto"/>
              <w:right w:val="single" w:sz="4" w:space="0" w:color="auto"/>
            </w:tcBorders>
            <w:shd w:val="clear" w:color="auto" w:fill="auto"/>
            <w:vAlign w:val="center"/>
            <w:hideMark/>
          </w:tcPr>
          <w:p w14:paraId="61642E12" w14:textId="77777777" w:rsidR="00D10123" w:rsidRPr="000E68C5" w:rsidRDefault="00D10123" w:rsidP="008E6468">
            <w:pPr>
              <w:ind w:firstLine="0"/>
              <w:rPr>
                <w:color w:val="000000"/>
              </w:rPr>
            </w:pPr>
            <w:r w:rsidRPr="000E68C5">
              <w:rPr>
                <w:color w:val="000000"/>
              </w:rPr>
              <w:t>0,30</w:t>
            </w:r>
          </w:p>
        </w:tc>
      </w:tr>
      <w:tr w:rsidR="00D10123" w:rsidRPr="000E68C5" w14:paraId="0FB63B0B" w14:textId="77777777" w:rsidTr="00836C93">
        <w:trPr>
          <w:trHeight w:val="405"/>
        </w:trPr>
        <w:tc>
          <w:tcPr>
            <w:tcW w:w="346" w:type="pct"/>
            <w:tcBorders>
              <w:top w:val="nil"/>
              <w:left w:val="single" w:sz="4" w:space="0" w:color="auto"/>
              <w:bottom w:val="single" w:sz="4" w:space="0" w:color="auto"/>
              <w:right w:val="single" w:sz="4" w:space="0" w:color="auto"/>
            </w:tcBorders>
            <w:shd w:val="clear" w:color="auto" w:fill="auto"/>
            <w:vAlign w:val="center"/>
          </w:tcPr>
          <w:p w14:paraId="004C5C37" w14:textId="608F2911" w:rsidR="00D10123" w:rsidRPr="00836C93" w:rsidRDefault="00D10123" w:rsidP="00C106B5">
            <w:pPr>
              <w:pStyle w:val="af0"/>
              <w:numPr>
                <w:ilvl w:val="0"/>
                <w:numId w:val="106"/>
              </w:numPr>
              <w:ind w:left="36" w:firstLine="0"/>
              <w:rPr>
                <w:color w:val="000000"/>
              </w:rPr>
            </w:pPr>
          </w:p>
        </w:tc>
        <w:tc>
          <w:tcPr>
            <w:tcW w:w="1121" w:type="pct"/>
            <w:tcBorders>
              <w:top w:val="nil"/>
              <w:left w:val="nil"/>
              <w:bottom w:val="single" w:sz="4" w:space="0" w:color="auto"/>
              <w:right w:val="single" w:sz="4" w:space="0" w:color="auto"/>
            </w:tcBorders>
            <w:shd w:val="clear" w:color="auto" w:fill="auto"/>
            <w:vAlign w:val="center"/>
            <w:hideMark/>
          </w:tcPr>
          <w:p w14:paraId="0C7A4927" w14:textId="77777777" w:rsidR="00D10123" w:rsidRPr="000E68C5" w:rsidRDefault="00D10123" w:rsidP="008E6468">
            <w:pPr>
              <w:ind w:firstLine="0"/>
              <w:rPr>
                <w:color w:val="000000"/>
              </w:rPr>
            </w:pPr>
            <w:r w:rsidRPr="000E68C5">
              <w:rPr>
                <w:color w:val="000000"/>
              </w:rPr>
              <w:t>Арктическая</w:t>
            </w:r>
          </w:p>
        </w:tc>
        <w:tc>
          <w:tcPr>
            <w:tcW w:w="1226" w:type="pct"/>
            <w:tcBorders>
              <w:top w:val="nil"/>
              <w:left w:val="nil"/>
              <w:bottom w:val="single" w:sz="4" w:space="0" w:color="auto"/>
              <w:right w:val="single" w:sz="4" w:space="0" w:color="auto"/>
            </w:tcBorders>
            <w:shd w:val="clear" w:color="auto" w:fill="auto"/>
            <w:vAlign w:val="center"/>
            <w:hideMark/>
          </w:tcPr>
          <w:p w14:paraId="4A552639" w14:textId="77777777" w:rsidR="00D10123" w:rsidRPr="000E68C5" w:rsidRDefault="00D10123" w:rsidP="008E6468">
            <w:pPr>
              <w:ind w:firstLine="0"/>
              <w:rPr>
                <w:color w:val="000000"/>
              </w:rPr>
            </w:pPr>
            <w:r w:rsidRPr="000E68C5">
              <w:rPr>
                <w:color w:val="000000"/>
              </w:rPr>
              <w:t>Булунский</w:t>
            </w:r>
          </w:p>
        </w:tc>
        <w:tc>
          <w:tcPr>
            <w:tcW w:w="1077" w:type="pct"/>
            <w:tcBorders>
              <w:top w:val="nil"/>
              <w:left w:val="nil"/>
              <w:bottom w:val="single" w:sz="4" w:space="0" w:color="auto"/>
              <w:right w:val="single" w:sz="4" w:space="0" w:color="auto"/>
            </w:tcBorders>
            <w:shd w:val="clear" w:color="auto" w:fill="auto"/>
            <w:vAlign w:val="center"/>
            <w:hideMark/>
          </w:tcPr>
          <w:p w14:paraId="3FA844BF" w14:textId="77777777" w:rsidR="00D10123" w:rsidRPr="000E68C5" w:rsidRDefault="00D10123" w:rsidP="008E6468">
            <w:pPr>
              <w:ind w:firstLine="0"/>
              <w:rPr>
                <w:color w:val="000000"/>
              </w:rPr>
            </w:pPr>
            <w:r w:rsidRPr="000E68C5">
              <w:rPr>
                <w:color w:val="000000"/>
              </w:rPr>
              <w:t>Тикси</w:t>
            </w:r>
          </w:p>
        </w:tc>
        <w:tc>
          <w:tcPr>
            <w:tcW w:w="1229" w:type="pct"/>
            <w:tcBorders>
              <w:top w:val="nil"/>
              <w:left w:val="nil"/>
              <w:bottom w:val="single" w:sz="4" w:space="0" w:color="auto"/>
              <w:right w:val="single" w:sz="4" w:space="0" w:color="auto"/>
            </w:tcBorders>
            <w:shd w:val="clear" w:color="auto" w:fill="auto"/>
            <w:vAlign w:val="center"/>
            <w:hideMark/>
          </w:tcPr>
          <w:p w14:paraId="35621B18" w14:textId="77777777" w:rsidR="00D10123" w:rsidRPr="000E68C5" w:rsidRDefault="00D10123" w:rsidP="008E6468">
            <w:pPr>
              <w:ind w:firstLine="0"/>
              <w:rPr>
                <w:color w:val="000000"/>
              </w:rPr>
            </w:pPr>
            <w:r w:rsidRPr="000E68C5">
              <w:rPr>
                <w:color w:val="000000"/>
              </w:rPr>
              <w:t>0,46</w:t>
            </w:r>
          </w:p>
        </w:tc>
      </w:tr>
      <w:tr w:rsidR="00D10123" w:rsidRPr="000E68C5" w14:paraId="6767BBA9" w14:textId="77777777" w:rsidTr="00836C93">
        <w:trPr>
          <w:trHeight w:val="405"/>
        </w:trPr>
        <w:tc>
          <w:tcPr>
            <w:tcW w:w="346" w:type="pct"/>
            <w:tcBorders>
              <w:top w:val="nil"/>
              <w:left w:val="single" w:sz="4" w:space="0" w:color="auto"/>
              <w:bottom w:val="single" w:sz="4" w:space="0" w:color="auto"/>
              <w:right w:val="single" w:sz="4" w:space="0" w:color="auto"/>
            </w:tcBorders>
            <w:shd w:val="clear" w:color="auto" w:fill="auto"/>
            <w:vAlign w:val="center"/>
          </w:tcPr>
          <w:p w14:paraId="5D03C7DF" w14:textId="6F2756B3" w:rsidR="00D10123" w:rsidRPr="00836C93" w:rsidRDefault="00D10123" w:rsidP="00C106B5">
            <w:pPr>
              <w:pStyle w:val="af0"/>
              <w:numPr>
                <w:ilvl w:val="0"/>
                <w:numId w:val="106"/>
              </w:numPr>
              <w:ind w:left="36" w:firstLine="0"/>
              <w:rPr>
                <w:color w:val="000000"/>
              </w:rPr>
            </w:pPr>
          </w:p>
        </w:tc>
        <w:tc>
          <w:tcPr>
            <w:tcW w:w="1121" w:type="pct"/>
            <w:tcBorders>
              <w:top w:val="nil"/>
              <w:left w:val="nil"/>
              <w:bottom w:val="single" w:sz="4" w:space="0" w:color="auto"/>
              <w:right w:val="single" w:sz="4" w:space="0" w:color="auto"/>
            </w:tcBorders>
            <w:shd w:val="clear" w:color="auto" w:fill="auto"/>
            <w:vAlign w:val="center"/>
            <w:hideMark/>
          </w:tcPr>
          <w:p w14:paraId="75179CA9" w14:textId="77777777" w:rsidR="00D10123" w:rsidRPr="000E68C5" w:rsidRDefault="00D10123" w:rsidP="008E6468">
            <w:pPr>
              <w:ind w:firstLine="0"/>
              <w:rPr>
                <w:color w:val="000000"/>
              </w:rPr>
            </w:pPr>
            <w:r w:rsidRPr="000E68C5">
              <w:rPr>
                <w:color w:val="000000"/>
              </w:rPr>
              <w:t>Западная</w:t>
            </w:r>
          </w:p>
        </w:tc>
        <w:tc>
          <w:tcPr>
            <w:tcW w:w="1226" w:type="pct"/>
            <w:tcBorders>
              <w:top w:val="nil"/>
              <w:left w:val="nil"/>
              <w:bottom w:val="single" w:sz="4" w:space="0" w:color="auto"/>
              <w:right w:val="single" w:sz="4" w:space="0" w:color="auto"/>
            </w:tcBorders>
            <w:shd w:val="clear" w:color="auto" w:fill="auto"/>
            <w:vAlign w:val="center"/>
            <w:hideMark/>
          </w:tcPr>
          <w:p w14:paraId="25E1F9C1" w14:textId="77777777" w:rsidR="00D10123" w:rsidRPr="000E68C5" w:rsidRDefault="00D10123" w:rsidP="008E6468">
            <w:pPr>
              <w:ind w:firstLine="0"/>
              <w:rPr>
                <w:color w:val="000000"/>
              </w:rPr>
            </w:pPr>
            <w:r w:rsidRPr="000E68C5">
              <w:rPr>
                <w:color w:val="000000"/>
              </w:rPr>
              <w:t>Верхневилюйский</w:t>
            </w:r>
          </w:p>
        </w:tc>
        <w:tc>
          <w:tcPr>
            <w:tcW w:w="1077" w:type="pct"/>
            <w:tcBorders>
              <w:top w:val="nil"/>
              <w:left w:val="nil"/>
              <w:bottom w:val="single" w:sz="4" w:space="0" w:color="auto"/>
              <w:right w:val="single" w:sz="4" w:space="0" w:color="auto"/>
            </w:tcBorders>
            <w:shd w:val="clear" w:color="auto" w:fill="auto"/>
            <w:vAlign w:val="center"/>
            <w:hideMark/>
          </w:tcPr>
          <w:p w14:paraId="69372C6A" w14:textId="77777777" w:rsidR="00D10123" w:rsidRPr="000E68C5" w:rsidRDefault="00D10123" w:rsidP="008E6468">
            <w:pPr>
              <w:ind w:firstLine="0"/>
              <w:rPr>
                <w:color w:val="000000"/>
              </w:rPr>
            </w:pPr>
            <w:r w:rsidRPr="000E68C5">
              <w:rPr>
                <w:color w:val="000000"/>
              </w:rPr>
              <w:t>МО</w:t>
            </w:r>
          </w:p>
        </w:tc>
        <w:tc>
          <w:tcPr>
            <w:tcW w:w="1229" w:type="pct"/>
            <w:tcBorders>
              <w:top w:val="nil"/>
              <w:left w:val="nil"/>
              <w:bottom w:val="single" w:sz="4" w:space="0" w:color="auto"/>
              <w:right w:val="single" w:sz="4" w:space="0" w:color="auto"/>
            </w:tcBorders>
            <w:shd w:val="clear" w:color="auto" w:fill="auto"/>
            <w:vAlign w:val="center"/>
            <w:hideMark/>
          </w:tcPr>
          <w:p w14:paraId="04AFCD68" w14:textId="77777777" w:rsidR="00D10123" w:rsidRPr="000E68C5" w:rsidRDefault="00D10123" w:rsidP="008E6468">
            <w:pPr>
              <w:ind w:firstLine="0"/>
              <w:rPr>
                <w:color w:val="000000"/>
              </w:rPr>
            </w:pPr>
            <w:r w:rsidRPr="000E68C5">
              <w:rPr>
                <w:color w:val="000000"/>
              </w:rPr>
              <w:t>0,36</w:t>
            </w:r>
          </w:p>
        </w:tc>
      </w:tr>
      <w:tr w:rsidR="00D10123" w:rsidRPr="000E68C5" w14:paraId="47F572F8" w14:textId="77777777" w:rsidTr="00836C93">
        <w:trPr>
          <w:trHeight w:val="405"/>
        </w:trPr>
        <w:tc>
          <w:tcPr>
            <w:tcW w:w="346" w:type="pct"/>
            <w:tcBorders>
              <w:top w:val="nil"/>
              <w:left w:val="single" w:sz="4" w:space="0" w:color="auto"/>
              <w:bottom w:val="single" w:sz="4" w:space="0" w:color="auto"/>
              <w:right w:val="single" w:sz="4" w:space="0" w:color="auto"/>
            </w:tcBorders>
            <w:shd w:val="clear" w:color="auto" w:fill="auto"/>
            <w:vAlign w:val="center"/>
          </w:tcPr>
          <w:p w14:paraId="11973B08" w14:textId="533615F3" w:rsidR="00D10123" w:rsidRPr="00836C93" w:rsidRDefault="00D10123" w:rsidP="00C106B5">
            <w:pPr>
              <w:pStyle w:val="af0"/>
              <w:numPr>
                <w:ilvl w:val="0"/>
                <w:numId w:val="106"/>
              </w:numPr>
              <w:ind w:left="36" w:firstLine="0"/>
              <w:rPr>
                <w:color w:val="000000"/>
              </w:rPr>
            </w:pPr>
          </w:p>
        </w:tc>
        <w:tc>
          <w:tcPr>
            <w:tcW w:w="1121" w:type="pct"/>
            <w:tcBorders>
              <w:top w:val="nil"/>
              <w:left w:val="nil"/>
              <w:bottom w:val="single" w:sz="4" w:space="0" w:color="auto"/>
              <w:right w:val="single" w:sz="4" w:space="0" w:color="auto"/>
            </w:tcBorders>
            <w:shd w:val="clear" w:color="auto" w:fill="auto"/>
            <w:vAlign w:val="center"/>
            <w:hideMark/>
          </w:tcPr>
          <w:p w14:paraId="71C06650" w14:textId="77777777" w:rsidR="00D10123" w:rsidRPr="000E68C5" w:rsidRDefault="00D10123" w:rsidP="008E6468">
            <w:pPr>
              <w:ind w:firstLine="0"/>
              <w:rPr>
                <w:color w:val="000000"/>
              </w:rPr>
            </w:pPr>
            <w:r w:rsidRPr="000E68C5">
              <w:rPr>
                <w:color w:val="000000"/>
              </w:rPr>
              <w:t>Арктическая</w:t>
            </w:r>
          </w:p>
        </w:tc>
        <w:tc>
          <w:tcPr>
            <w:tcW w:w="1226" w:type="pct"/>
            <w:tcBorders>
              <w:top w:val="nil"/>
              <w:left w:val="nil"/>
              <w:bottom w:val="single" w:sz="4" w:space="0" w:color="auto"/>
              <w:right w:val="single" w:sz="4" w:space="0" w:color="auto"/>
            </w:tcBorders>
            <w:shd w:val="clear" w:color="auto" w:fill="auto"/>
            <w:vAlign w:val="center"/>
            <w:hideMark/>
          </w:tcPr>
          <w:p w14:paraId="7D22050B" w14:textId="77777777" w:rsidR="00D10123" w:rsidRPr="000E68C5" w:rsidRDefault="00D10123" w:rsidP="008E6468">
            <w:pPr>
              <w:ind w:firstLine="0"/>
              <w:rPr>
                <w:color w:val="000000"/>
              </w:rPr>
            </w:pPr>
            <w:r w:rsidRPr="000E68C5">
              <w:rPr>
                <w:color w:val="000000"/>
              </w:rPr>
              <w:t>Верхнеколымский</w:t>
            </w:r>
          </w:p>
        </w:tc>
        <w:tc>
          <w:tcPr>
            <w:tcW w:w="1077" w:type="pct"/>
            <w:tcBorders>
              <w:top w:val="nil"/>
              <w:left w:val="nil"/>
              <w:bottom w:val="single" w:sz="4" w:space="0" w:color="auto"/>
              <w:right w:val="single" w:sz="4" w:space="0" w:color="auto"/>
            </w:tcBorders>
            <w:shd w:val="clear" w:color="auto" w:fill="auto"/>
            <w:vAlign w:val="center"/>
            <w:hideMark/>
          </w:tcPr>
          <w:p w14:paraId="1D286C1D" w14:textId="77777777" w:rsidR="00D10123" w:rsidRPr="000E68C5" w:rsidRDefault="00D10123" w:rsidP="008E6468">
            <w:pPr>
              <w:ind w:firstLine="0"/>
              <w:rPr>
                <w:color w:val="000000"/>
              </w:rPr>
            </w:pPr>
            <w:r w:rsidRPr="000E68C5">
              <w:rPr>
                <w:color w:val="000000"/>
              </w:rPr>
              <w:t>МО</w:t>
            </w:r>
          </w:p>
        </w:tc>
        <w:tc>
          <w:tcPr>
            <w:tcW w:w="1229" w:type="pct"/>
            <w:tcBorders>
              <w:top w:val="nil"/>
              <w:left w:val="nil"/>
              <w:bottom w:val="single" w:sz="4" w:space="0" w:color="auto"/>
              <w:right w:val="single" w:sz="4" w:space="0" w:color="auto"/>
            </w:tcBorders>
            <w:shd w:val="clear" w:color="auto" w:fill="auto"/>
            <w:vAlign w:val="center"/>
            <w:hideMark/>
          </w:tcPr>
          <w:p w14:paraId="32C8446A" w14:textId="77777777" w:rsidR="00D10123" w:rsidRPr="000E68C5" w:rsidRDefault="00D10123" w:rsidP="008E6468">
            <w:pPr>
              <w:ind w:firstLine="0"/>
              <w:rPr>
                <w:color w:val="000000"/>
              </w:rPr>
            </w:pPr>
            <w:r w:rsidRPr="000E68C5">
              <w:rPr>
                <w:color w:val="000000"/>
              </w:rPr>
              <w:t>0,29</w:t>
            </w:r>
          </w:p>
        </w:tc>
      </w:tr>
      <w:tr w:rsidR="00D10123" w:rsidRPr="000E68C5" w14:paraId="3C269658" w14:textId="77777777" w:rsidTr="00836C93">
        <w:trPr>
          <w:trHeight w:val="405"/>
        </w:trPr>
        <w:tc>
          <w:tcPr>
            <w:tcW w:w="346" w:type="pct"/>
            <w:tcBorders>
              <w:top w:val="nil"/>
              <w:left w:val="single" w:sz="4" w:space="0" w:color="auto"/>
              <w:bottom w:val="single" w:sz="4" w:space="0" w:color="auto"/>
              <w:right w:val="single" w:sz="4" w:space="0" w:color="auto"/>
            </w:tcBorders>
            <w:shd w:val="clear" w:color="auto" w:fill="auto"/>
            <w:vAlign w:val="center"/>
          </w:tcPr>
          <w:p w14:paraId="2E48737B" w14:textId="5CF4EE1B" w:rsidR="00D10123" w:rsidRPr="00836C93" w:rsidRDefault="00D10123" w:rsidP="00C106B5">
            <w:pPr>
              <w:pStyle w:val="af0"/>
              <w:numPr>
                <w:ilvl w:val="0"/>
                <w:numId w:val="106"/>
              </w:numPr>
              <w:ind w:left="36" w:firstLine="0"/>
              <w:rPr>
                <w:color w:val="000000"/>
              </w:rPr>
            </w:pPr>
          </w:p>
        </w:tc>
        <w:tc>
          <w:tcPr>
            <w:tcW w:w="1121" w:type="pct"/>
            <w:tcBorders>
              <w:top w:val="nil"/>
              <w:left w:val="nil"/>
              <w:bottom w:val="single" w:sz="4" w:space="0" w:color="auto"/>
              <w:right w:val="single" w:sz="4" w:space="0" w:color="auto"/>
            </w:tcBorders>
            <w:shd w:val="clear" w:color="auto" w:fill="auto"/>
            <w:vAlign w:val="center"/>
            <w:hideMark/>
          </w:tcPr>
          <w:p w14:paraId="2C82F1ED" w14:textId="77777777" w:rsidR="00D10123" w:rsidRPr="000E68C5" w:rsidRDefault="00D10123" w:rsidP="008E6468">
            <w:pPr>
              <w:ind w:firstLine="0"/>
              <w:rPr>
                <w:color w:val="000000"/>
              </w:rPr>
            </w:pPr>
            <w:r w:rsidRPr="000E68C5">
              <w:rPr>
                <w:color w:val="000000"/>
              </w:rPr>
              <w:t>Арктическая</w:t>
            </w:r>
          </w:p>
        </w:tc>
        <w:tc>
          <w:tcPr>
            <w:tcW w:w="1226" w:type="pct"/>
            <w:tcBorders>
              <w:top w:val="nil"/>
              <w:left w:val="nil"/>
              <w:bottom w:val="single" w:sz="4" w:space="0" w:color="auto"/>
              <w:right w:val="single" w:sz="4" w:space="0" w:color="auto"/>
            </w:tcBorders>
            <w:shd w:val="clear" w:color="auto" w:fill="auto"/>
            <w:vAlign w:val="center"/>
            <w:hideMark/>
          </w:tcPr>
          <w:p w14:paraId="3687EC70" w14:textId="77777777" w:rsidR="00D10123" w:rsidRPr="000E68C5" w:rsidRDefault="00D10123" w:rsidP="008E6468">
            <w:pPr>
              <w:ind w:firstLine="0"/>
              <w:rPr>
                <w:color w:val="000000"/>
              </w:rPr>
            </w:pPr>
            <w:r w:rsidRPr="000E68C5">
              <w:rPr>
                <w:color w:val="000000"/>
              </w:rPr>
              <w:t>Верхнеколымский</w:t>
            </w:r>
          </w:p>
        </w:tc>
        <w:tc>
          <w:tcPr>
            <w:tcW w:w="1077" w:type="pct"/>
            <w:tcBorders>
              <w:top w:val="nil"/>
              <w:left w:val="nil"/>
              <w:bottom w:val="single" w:sz="4" w:space="0" w:color="auto"/>
              <w:right w:val="single" w:sz="4" w:space="0" w:color="auto"/>
            </w:tcBorders>
            <w:shd w:val="clear" w:color="auto" w:fill="auto"/>
            <w:vAlign w:val="center"/>
            <w:hideMark/>
          </w:tcPr>
          <w:p w14:paraId="17864847" w14:textId="77777777" w:rsidR="00D10123" w:rsidRPr="000E68C5" w:rsidRDefault="00D10123" w:rsidP="008E6468">
            <w:pPr>
              <w:ind w:firstLine="0"/>
              <w:rPr>
                <w:color w:val="000000"/>
              </w:rPr>
            </w:pPr>
            <w:r w:rsidRPr="000E68C5">
              <w:rPr>
                <w:color w:val="000000"/>
              </w:rPr>
              <w:t>Зырянка</w:t>
            </w:r>
          </w:p>
        </w:tc>
        <w:tc>
          <w:tcPr>
            <w:tcW w:w="1229" w:type="pct"/>
            <w:tcBorders>
              <w:top w:val="nil"/>
              <w:left w:val="nil"/>
              <w:bottom w:val="single" w:sz="4" w:space="0" w:color="auto"/>
              <w:right w:val="single" w:sz="4" w:space="0" w:color="auto"/>
            </w:tcBorders>
            <w:shd w:val="clear" w:color="auto" w:fill="auto"/>
            <w:vAlign w:val="center"/>
            <w:hideMark/>
          </w:tcPr>
          <w:p w14:paraId="158F7921" w14:textId="77777777" w:rsidR="00D10123" w:rsidRPr="000E68C5" w:rsidRDefault="00D10123" w:rsidP="008E6468">
            <w:pPr>
              <w:ind w:firstLine="0"/>
              <w:rPr>
                <w:color w:val="000000"/>
              </w:rPr>
            </w:pPr>
            <w:r w:rsidRPr="000E68C5">
              <w:rPr>
                <w:color w:val="000000"/>
              </w:rPr>
              <w:t>0,42</w:t>
            </w:r>
          </w:p>
        </w:tc>
      </w:tr>
      <w:tr w:rsidR="00D10123" w:rsidRPr="000E68C5" w14:paraId="79BCEF42" w14:textId="77777777" w:rsidTr="00836C93">
        <w:trPr>
          <w:trHeight w:val="405"/>
        </w:trPr>
        <w:tc>
          <w:tcPr>
            <w:tcW w:w="346" w:type="pct"/>
            <w:tcBorders>
              <w:top w:val="nil"/>
              <w:left w:val="single" w:sz="4" w:space="0" w:color="auto"/>
              <w:bottom w:val="single" w:sz="4" w:space="0" w:color="auto"/>
              <w:right w:val="single" w:sz="4" w:space="0" w:color="auto"/>
            </w:tcBorders>
            <w:shd w:val="clear" w:color="auto" w:fill="auto"/>
            <w:vAlign w:val="center"/>
          </w:tcPr>
          <w:p w14:paraId="2F628004" w14:textId="3B5F720D" w:rsidR="00D10123" w:rsidRPr="00836C93" w:rsidRDefault="00D10123" w:rsidP="00C106B5">
            <w:pPr>
              <w:pStyle w:val="af0"/>
              <w:numPr>
                <w:ilvl w:val="0"/>
                <w:numId w:val="106"/>
              </w:numPr>
              <w:ind w:left="36" w:firstLine="0"/>
              <w:rPr>
                <w:color w:val="000000"/>
              </w:rPr>
            </w:pPr>
          </w:p>
        </w:tc>
        <w:tc>
          <w:tcPr>
            <w:tcW w:w="1121" w:type="pct"/>
            <w:tcBorders>
              <w:top w:val="nil"/>
              <w:left w:val="nil"/>
              <w:bottom w:val="single" w:sz="4" w:space="0" w:color="auto"/>
              <w:right w:val="single" w:sz="4" w:space="0" w:color="auto"/>
            </w:tcBorders>
            <w:shd w:val="clear" w:color="auto" w:fill="auto"/>
            <w:vAlign w:val="center"/>
            <w:hideMark/>
          </w:tcPr>
          <w:p w14:paraId="70D5EF51" w14:textId="77777777" w:rsidR="00D10123" w:rsidRPr="000E68C5" w:rsidRDefault="00D10123" w:rsidP="008E6468">
            <w:pPr>
              <w:ind w:firstLine="0"/>
              <w:rPr>
                <w:color w:val="000000"/>
              </w:rPr>
            </w:pPr>
            <w:r w:rsidRPr="000E68C5">
              <w:rPr>
                <w:color w:val="000000"/>
              </w:rPr>
              <w:t>Арктическая</w:t>
            </w:r>
          </w:p>
        </w:tc>
        <w:tc>
          <w:tcPr>
            <w:tcW w:w="1226" w:type="pct"/>
            <w:tcBorders>
              <w:top w:val="nil"/>
              <w:left w:val="nil"/>
              <w:bottom w:val="single" w:sz="4" w:space="0" w:color="auto"/>
              <w:right w:val="single" w:sz="4" w:space="0" w:color="auto"/>
            </w:tcBorders>
            <w:shd w:val="clear" w:color="auto" w:fill="auto"/>
            <w:vAlign w:val="center"/>
            <w:hideMark/>
          </w:tcPr>
          <w:p w14:paraId="5A4AFCC5" w14:textId="77777777" w:rsidR="00D10123" w:rsidRPr="000E68C5" w:rsidRDefault="00D10123" w:rsidP="008E6468">
            <w:pPr>
              <w:ind w:firstLine="0"/>
              <w:rPr>
                <w:color w:val="000000"/>
              </w:rPr>
            </w:pPr>
            <w:r w:rsidRPr="000E68C5">
              <w:rPr>
                <w:color w:val="000000"/>
              </w:rPr>
              <w:t>Верхоянский</w:t>
            </w:r>
          </w:p>
        </w:tc>
        <w:tc>
          <w:tcPr>
            <w:tcW w:w="1077" w:type="pct"/>
            <w:tcBorders>
              <w:top w:val="nil"/>
              <w:left w:val="nil"/>
              <w:bottom w:val="single" w:sz="4" w:space="0" w:color="auto"/>
              <w:right w:val="single" w:sz="4" w:space="0" w:color="auto"/>
            </w:tcBorders>
            <w:shd w:val="clear" w:color="auto" w:fill="auto"/>
            <w:vAlign w:val="center"/>
            <w:hideMark/>
          </w:tcPr>
          <w:p w14:paraId="09D005A2" w14:textId="77777777" w:rsidR="00D10123" w:rsidRPr="000E68C5" w:rsidRDefault="00D10123" w:rsidP="008E6468">
            <w:pPr>
              <w:ind w:firstLine="0"/>
              <w:rPr>
                <w:color w:val="000000"/>
              </w:rPr>
            </w:pPr>
            <w:r w:rsidRPr="000E68C5">
              <w:rPr>
                <w:color w:val="000000"/>
              </w:rPr>
              <w:t>МО</w:t>
            </w:r>
          </w:p>
        </w:tc>
        <w:tc>
          <w:tcPr>
            <w:tcW w:w="1229" w:type="pct"/>
            <w:tcBorders>
              <w:top w:val="nil"/>
              <w:left w:val="nil"/>
              <w:bottom w:val="single" w:sz="4" w:space="0" w:color="auto"/>
              <w:right w:val="single" w:sz="4" w:space="0" w:color="auto"/>
            </w:tcBorders>
            <w:shd w:val="clear" w:color="auto" w:fill="auto"/>
            <w:vAlign w:val="center"/>
            <w:hideMark/>
          </w:tcPr>
          <w:p w14:paraId="0C74D931" w14:textId="77777777" w:rsidR="00D10123" w:rsidRPr="000E68C5" w:rsidRDefault="00D10123" w:rsidP="008E6468">
            <w:pPr>
              <w:ind w:firstLine="0"/>
              <w:rPr>
                <w:color w:val="000000"/>
              </w:rPr>
            </w:pPr>
            <w:r w:rsidRPr="000E68C5">
              <w:rPr>
                <w:color w:val="000000"/>
              </w:rPr>
              <w:t>0,26</w:t>
            </w:r>
          </w:p>
        </w:tc>
      </w:tr>
      <w:tr w:rsidR="00D10123" w:rsidRPr="000E68C5" w14:paraId="53D96CCF" w14:textId="77777777" w:rsidTr="00836C93">
        <w:trPr>
          <w:trHeight w:val="405"/>
        </w:trPr>
        <w:tc>
          <w:tcPr>
            <w:tcW w:w="346" w:type="pct"/>
            <w:tcBorders>
              <w:top w:val="nil"/>
              <w:left w:val="single" w:sz="4" w:space="0" w:color="auto"/>
              <w:bottom w:val="single" w:sz="4" w:space="0" w:color="auto"/>
              <w:right w:val="single" w:sz="4" w:space="0" w:color="auto"/>
            </w:tcBorders>
            <w:shd w:val="clear" w:color="auto" w:fill="auto"/>
            <w:vAlign w:val="center"/>
          </w:tcPr>
          <w:p w14:paraId="6033BB99" w14:textId="57A73A4F" w:rsidR="00D10123" w:rsidRPr="00836C93" w:rsidRDefault="00D10123" w:rsidP="00C106B5">
            <w:pPr>
              <w:pStyle w:val="af0"/>
              <w:numPr>
                <w:ilvl w:val="0"/>
                <w:numId w:val="106"/>
              </w:numPr>
              <w:ind w:left="36" w:firstLine="0"/>
              <w:rPr>
                <w:color w:val="000000"/>
              </w:rPr>
            </w:pPr>
          </w:p>
        </w:tc>
        <w:tc>
          <w:tcPr>
            <w:tcW w:w="1121" w:type="pct"/>
            <w:tcBorders>
              <w:top w:val="nil"/>
              <w:left w:val="nil"/>
              <w:bottom w:val="single" w:sz="4" w:space="0" w:color="auto"/>
              <w:right w:val="single" w:sz="4" w:space="0" w:color="auto"/>
            </w:tcBorders>
            <w:shd w:val="clear" w:color="auto" w:fill="auto"/>
            <w:vAlign w:val="center"/>
            <w:hideMark/>
          </w:tcPr>
          <w:p w14:paraId="3BB0C9E7" w14:textId="77777777" w:rsidR="00D10123" w:rsidRPr="000E68C5" w:rsidRDefault="00D10123" w:rsidP="008E6468">
            <w:pPr>
              <w:ind w:firstLine="0"/>
              <w:rPr>
                <w:color w:val="000000"/>
              </w:rPr>
            </w:pPr>
            <w:r w:rsidRPr="000E68C5">
              <w:rPr>
                <w:color w:val="000000"/>
              </w:rPr>
              <w:t>Арктическая</w:t>
            </w:r>
          </w:p>
        </w:tc>
        <w:tc>
          <w:tcPr>
            <w:tcW w:w="1226" w:type="pct"/>
            <w:tcBorders>
              <w:top w:val="nil"/>
              <w:left w:val="nil"/>
              <w:bottom w:val="single" w:sz="4" w:space="0" w:color="auto"/>
              <w:right w:val="single" w:sz="4" w:space="0" w:color="auto"/>
            </w:tcBorders>
            <w:shd w:val="clear" w:color="auto" w:fill="auto"/>
            <w:vAlign w:val="center"/>
            <w:hideMark/>
          </w:tcPr>
          <w:p w14:paraId="083E7D49" w14:textId="77777777" w:rsidR="00D10123" w:rsidRPr="000E68C5" w:rsidRDefault="00D10123" w:rsidP="008E6468">
            <w:pPr>
              <w:ind w:firstLine="0"/>
              <w:rPr>
                <w:color w:val="000000"/>
              </w:rPr>
            </w:pPr>
            <w:r w:rsidRPr="000E68C5">
              <w:rPr>
                <w:color w:val="000000"/>
              </w:rPr>
              <w:t>Верхоянский</w:t>
            </w:r>
          </w:p>
        </w:tc>
        <w:tc>
          <w:tcPr>
            <w:tcW w:w="1077" w:type="pct"/>
            <w:tcBorders>
              <w:top w:val="nil"/>
              <w:left w:val="nil"/>
              <w:bottom w:val="single" w:sz="4" w:space="0" w:color="auto"/>
              <w:right w:val="single" w:sz="4" w:space="0" w:color="auto"/>
            </w:tcBorders>
            <w:shd w:val="clear" w:color="auto" w:fill="auto"/>
            <w:vAlign w:val="center"/>
            <w:hideMark/>
          </w:tcPr>
          <w:p w14:paraId="60590F3E" w14:textId="77777777" w:rsidR="00D10123" w:rsidRPr="000E68C5" w:rsidRDefault="00D10123" w:rsidP="008E6468">
            <w:pPr>
              <w:ind w:firstLine="0"/>
              <w:rPr>
                <w:color w:val="000000"/>
              </w:rPr>
            </w:pPr>
            <w:r w:rsidRPr="000E68C5">
              <w:rPr>
                <w:color w:val="000000"/>
              </w:rPr>
              <w:t>Батагай</w:t>
            </w:r>
          </w:p>
        </w:tc>
        <w:tc>
          <w:tcPr>
            <w:tcW w:w="1229" w:type="pct"/>
            <w:tcBorders>
              <w:top w:val="nil"/>
              <w:left w:val="nil"/>
              <w:bottom w:val="single" w:sz="4" w:space="0" w:color="auto"/>
              <w:right w:val="single" w:sz="4" w:space="0" w:color="auto"/>
            </w:tcBorders>
            <w:shd w:val="clear" w:color="auto" w:fill="auto"/>
            <w:vAlign w:val="center"/>
            <w:hideMark/>
          </w:tcPr>
          <w:p w14:paraId="53AAA06E" w14:textId="77777777" w:rsidR="00D10123" w:rsidRPr="000E68C5" w:rsidRDefault="00D10123" w:rsidP="008E6468">
            <w:pPr>
              <w:ind w:firstLine="0"/>
              <w:rPr>
                <w:color w:val="000000"/>
              </w:rPr>
            </w:pPr>
            <w:r w:rsidRPr="000E68C5">
              <w:rPr>
                <w:color w:val="000000"/>
              </w:rPr>
              <w:t>0,43</w:t>
            </w:r>
          </w:p>
        </w:tc>
      </w:tr>
      <w:tr w:rsidR="00D10123" w:rsidRPr="000E68C5" w14:paraId="698D06BA" w14:textId="77777777" w:rsidTr="00836C93">
        <w:trPr>
          <w:trHeight w:val="405"/>
        </w:trPr>
        <w:tc>
          <w:tcPr>
            <w:tcW w:w="346" w:type="pct"/>
            <w:tcBorders>
              <w:top w:val="nil"/>
              <w:left w:val="single" w:sz="4" w:space="0" w:color="auto"/>
              <w:bottom w:val="single" w:sz="4" w:space="0" w:color="auto"/>
              <w:right w:val="single" w:sz="4" w:space="0" w:color="auto"/>
            </w:tcBorders>
            <w:shd w:val="clear" w:color="auto" w:fill="auto"/>
            <w:vAlign w:val="center"/>
          </w:tcPr>
          <w:p w14:paraId="57301AAA" w14:textId="4574BD85" w:rsidR="00D10123" w:rsidRPr="00836C93" w:rsidRDefault="00D10123" w:rsidP="00C106B5">
            <w:pPr>
              <w:pStyle w:val="af0"/>
              <w:numPr>
                <w:ilvl w:val="0"/>
                <w:numId w:val="106"/>
              </w:numPr>
              <w:ind w:left="36" w:firstLine="0"/>
              <w:rPr>
                <w:color w:val="000000"/>
              </w:rPr>
            </w:pPr>
          </w:p>
        </w:tc>
        <w:tc>
          <w:tcPr>
            <w:tcW w:w="1121" w:type="pct"/>
            <w:tcBorders>
              <w:top w:val="nil"/>
              <w:left w:val="nil"/>
              <w:bottom w:val="single" w:sz="4" w:space="0" w:color="auto"/>
              <w:right w:val="single" w:sz="4" w:space="0" w:color="auto"/>
            </w:tcBorders>
            <w:shd w:val="clear" w:color="auto" w:fill="auto"/>
            <w:vAlign w:val="center"/>
            <w:hideMark/>
          </w:tcPr>
          <w:p w14:paraId="6B7BC0F3" w14:textId="77777777" w:rsidR="00D10123" w:rsidRPr="000E68C5" w:rsidRDefault="00D10123" w:rsidP="008E6468">
            <w:pPr>
              <w:ind w:firstLine="0"/>
              <w:rPr>
                <w:color w:val="000000"/>
              </w:rPr>
            </w:pPr>
            <w:r w:rsidRPr="000E68C5">
              <w:rPr>
                <w:color w:val="000000"/>
              </w:rPr>
              <w:t>Западная</w:t>
            </w:r>
          </w:p>
        </w:tc>
        <w:tc>
          <w:tcPr>
            <w:tcW w:w="1226" w:type="pct"/>
            <w:tcBorders>
              <w:top w:val="nil"/>
              <w:left w:val="nil"/>
              <w:bottom w:val="single" w:sz="4" w:space="0" w:color="auto"/>
              <w:right w:val="single" w:sz="4" w:space="0" w:color="auto"/>
            </w:tcBorders>
            <w:shd w:val="clear" w:color="auto" w:fill="auto"/>
            <w:vAlign w:val="center"/>
            <w:hideMark/>
          </w:tcPr>
          <w:p w14:paraId="05A61847" w14:textId="77777777" w:rsidR="00D10123" w:rsidRPr="000E68C5" w:rsidRDefault="00D10123" w:rsidP="008E6468">
            <w:pPr>
              <w:ind w:firstLine="0"/>
              <w:rPr>
                <w:color w:val="000000"/>
              </w:rPr>
            </w:pPr>
            <w:r w:rsidRPr="000E68C5">
              <w:rPr>
                <w:color w:val="000000"/>
              </w:rPr>
              <w:t>Вилюйский</w:t>
            </w:r>
          </w:p>
        </w:tc>
        <w:tc>
          <w:tcPr>
            <w:tcW w:w="1077" w:type="pct"/>
            <w:tcBorders>
              <w:top w:val="nil"/>
              <w:left w:val="nil"/>
              <w:bottom w:val="single" w:sz="4" w:space="0" w:color="auto"/>
              <w:right w:val="single" w:sz="4" w:space="0" w:color="auto"/>
            </w:tcBorders>
            <w:shd w:val="clear" w:color="auto" w:fill="auto"/>
            <w:vAlign w:val="center"/>
            <w:hideMark/>
          </w:tcPr>
          <w:p w14:paraId="4FFE01C8" w14:textId="77777777" w:rsidR="00D10123" w:rsidRPr="000E68C5" w:rsidRDefault="00D10123" w:rsidP="008E6468">
            <w:pPr>
              <w:ind w:firstLine="0"/>
              <w:rPr>
                <w:color w:val="000000"/>
              </w:rPr>
            </w:pPr>
            <w:r w:rsidRPr="000E68C5">
              <w:rPr>
                <w:color w:val="000000"/>
              </w:rPr>
              <w:t>МО</w:t>
            </w:r>
          </w:p>
        </w:tc>
        <w:tc>
          <w:tcPr>
            <w:tcW w:w="1229" w:type="pct"/>
            <w:tcBorders>
              <w:top w:val="nil"/>
              <w:left w:val="nil"/>
              <w:bottom w:val="single" w:sz="4" w:space="0" w:color="auto"/>
              <w:right w:val="single" w:sz="4" w:space="0" w:color="auto"/>
            </w:tcBorders>
            <w:shd w:val="clear" w:color="auto" w:fill="auto"/>
            <w:vAlign w:val="center"/>
            <w:hideMark/>
          </w:tcPr>
          <w:p w14:paraId="5E973304" w14:textId="77777777" w:rsidR="00D10123" w:rsidRPr="000E68C5" w:rsidRDefault="00D10123" w:rsidP="008E6468">
            <w:pPr>
              <w:ind w:firstLine="0"/>
              <w:rPr>
                <w:color w:val="000000"/>
              </w:rPr>
            </w:pPr>
            <w:r w:rsidRPr="000E68C5">
              <w:rPr>
                <w:color w:val="000000"/>
              </w:rPr>
              <w:t>0,37</w:t>
            </w:r>
          </w:p>
        </w:tc>
      </w:tr>
      <w:tr w:rsidR="00D10123" w:rsidRPr="000E68C5" w14:paraId="37633D4A" w14:textId="77777777" w:rsidTr="00836C93">
        <w:trPr>
          <w:trHeight w:val="405"/>
        </w:trPr>
        <w:tc>
          <w:tcPr>
            <w:tcW w:w="346" w:type="pct"/>
            <w:tcBorders>
              <w:top w:val="nil"/>
              <w:left w:val="single" w:sz="4" w:space="0" w:color="auto"/>
              <w:bottom w:val="single" w:sz="4" w:space="0" w:color="auto"/>
              <w:right w:val="single" w:sz="4" w:space="0" w:color="auto"/>
            </w:tcBorders>
            <w:shd w:val="clear" w:color="auto" w:fill="auto"/>
            <w:vAlign w:val="center"/>
          </w:tcPr>
          <w:p w14:paraId="1D0A18D9" w14:textId="2A976279" w:rsidR="00D10123" w:rsidRPr="00836C93" w:rsidRDefault="00D10123" w:rsidP="00C106B5">
            <w:pPr>
              <w:pStyle w:val="af0"/>
              <w:numPr>
                <w:ilvl w:val="0"/>
                <w:numId w:val="106"/>
              </w:numPr>
              <w:ind w:left="36" w:firstLine="0"/>
              <w:rPr>
                <w:color w:val="000000"/>
              </w:rPr>
            </w:pPr>
          </w:p>
        </w:tc>
        <w:tc>
          <w:tcPr>
            <w:tcW w:w="1121" w:type="pct"/>
            <w:tcBorders>
              <w:top w:val="nil"/>
              <w:left w:val="nil"/>
              <w:bottom w:val="single" w:sz="4" w:space="0" w:color="auto"/>
              <w:right w:val="single" w:sz="4" w:space="0" w:color="auto"/>
            </w:tcBorders>
            <w:shd w:val="clear" w:color="auto" w:fill="auto"/>
            <w:vAlign w:val="center"/>
            <w:hideMark/>
          </w:tcPr>
          <w:p w14:paraId="27680776" w14:textId="77777777" w:rsidR="00D10123" w:rsidRPr="000E68C5" w:rsidRDefault="00D10123" w:rsidP="008E6468">
            <w:pPr>
              <w:ind w:firstLine="0"/>
              <w:rPr>
                <w:color w:val="000000"/>
              </w:rPr>
            </w:pPr>
            <w:r w:rsidRPr="000E68C5">
              <w:rPr>
                <w:color w:val="000000"/>
              </w:rPr>
              <w:t>Центральная</w:t>
            </w:r>
          </w:p>
        </w:tc>
        <w:tc>
          <w:tcPr>
            <w:tcW w:w="1226" w:type="pct"/>
            <w:tcBorders>
              <w:top w:val="nil"/>
              <w:left w:val="nil"/>
              <w:bottom w:val="single" w:sz="4" w:space="0" w:color="auto"/>
              <w:right w:val="single" w:sz="4" w:space="0" w:color="auto"/>
            </w:tcBorders>
            <w:shd w:val="clear" w:color="auto" w:fill="auto"/>
            <w:vAlign w:val="center"/>
            <w:hideMark/>
          </w:tcPr>
          <w:p w14:paraId="5CF31068" w14:textId="77777777" w:rsidR="00D10123" w:rsidRPr="000E68C5" w:rsidRDefault="00D10123" w:rsidP="008E6468">
            <w:pPr>
              <w:ind w:firstLine="0"/>
              <w:rPr>
                <w:color w:val="000000"/>
              </w:rPr>
            </w:pPr>
            <w:r w:rsidRPr="000E68C5">
              <w:rPr>
                <w:color w:val="000000"/>
              </w:rPr>
              <w:t>ГО Жатай</w:t>
            </w:r>
          </w:p>
        </w:tc>
        <w:tc>
          <w:tcPr>
            <w:tcW w:w="1077" w:type="pct"/>
            <w:tcBorders>
              <w:top w:val="nil"/>
              <w:left w:val="nil"/>
              <w:bottom w:val="single" w:sz="4" w:space="0" w:color="auto"/>
              <w:right w:val="single" w:sz="4" w:space="0" w:color="auto"/>
            </w:tcBorders>
            <w:shd w:val="clear" w:color="auto" w:fill="auto"/>
            <w:vAlign w:val="center"/>
            <w:hideMark/>
          </w:tcPr>
          <w:p w14:paraId="73C95E1D" w14:textId="77777777" w:rsidR="00D10123" w:rsidRPr="000E68C5" w:rsidRDefault="00D10123" w:rsidP="008E6468">
            <w:pPr>
              <w:ind w:firstLine="0"/>
              <w:rPr>
                <w:color w:val="000000"/>
              </w:rPr>
            </w:pPr>
            <w:r w:rsidRPr="000E68C5">
              <w:rPr>
                <w:color w:val="000000"/>
              </w:rPr>
              <w:t>Жатай</w:t>
            </w:r>
          </w:p>
        </w:tc>
        <w:tc>
          <w:tcPr>
            <w:tcW w:w="1229" w:type="pct"/>
            <w:tcBorders>
              <w:top w:val="nil"/>
              <w:left w:val="nil"/>
              <w:bottom w:val="single" w:sz="4" w:space="0" w:color="auto"/>
              <w:right w:val="single" w:sz="4" w:space="0" w:color="auto"/>
            </w:tcBorders>
            <w:shd w:val="clear" w:color="auto" w:fill="auto"/>
            <w:vAlign w:val="center"/>
            <w:hideMark/>
          </w:tcPr>
          <w:p w14:paraId="0F2C73CD" w14:textId="77777777" w:rsidR="00D10123" w:rsidRPr="000E68C5" w:rsidRDefault="00D10123" w:rsidP="008E6468">
            <w:pPr>
              <w:ind w:firstLine="0"/>
              <w:rPr>
                <w:color w:val="000000"/>
              </w:rPr>
            </w:pPr>
            <w:r w:rsidRPr="000E68C5">
              <w:rPr>
                <w:color w:val="000000"/>
              </w:rPr>
              <w:t>0,55</w:t>
            </w:r>
          </w:p>
        </w:tc>
      </w:tr>
      <w:tr w:rsidR="00D10123" w:rsidRPr="000E68C5" w14:paraId="26A35792" w14:textId="77777777" w:rsidTr="00836C93">
        <w:trPr>
          <w:trHeight w:val="405"/>
        </w:trPr>
        <w:tc>
          <w:tcPr>
            <w:tcW w:w="346" w:type="pct"/>
            <w:tcBorders>
              <w:top w:val="nil"/>
              <w:left w:val="single" w:sz="4" w:space="0" w:color="auto"/>
              <w:bottom w:val="single" w:sz="4" w:space="0" w:color="auto"/>
              <w:right w:val="single" w:sz="4" w:space="0" w:color="auto"/>
            </w:tcBorders>
            <w:shd w:val="clear" w:color="auto" w:fill="auto"/>
            <w:vAlign w:val="center"/>
          </w:tcPr>
          <w:p w14:paraId="75331419" w14:textId="0CA9768E" w:rsidR="00D10123" w:rsidRPr="00836C93" w:rsidRDefault="00D10123" w:rsidP="00C106B5">
            <w:pPr>
              <w:pStyle w:val="af0"/>
              <w:numPr>
                <w:ilvl w:val="0"/>
                <w:numId w:val="106"/>
              </w:numPr>
              <w:ind w:left="36" w:firstLine="0"/>
              <w:rPr>
                <w:color w:val="000000"/>
              </w:rPr>
            </w:pPr>
          </w:p>
        </w:tc>
        <w:tc>
          <w:tcPr>
            <w:tcW w:w="1121" w:type="pct"/>
            <w:tcBorders>
              <w:top w:val="nil"/>
              <w:left w:val="nil"/>
              <w:bottom w:val="single" w:sz="4" w:space="0" w:color="auto"/>
              <w:right w:val="single" w:sz="4" w:space="0" w:color="auto"/>
            </w:tcBorders>
            <w:shd w:val="clear" w:color="auto" w:fill="auto"/>
            <w:vAlign w:val="center"/>
            <w:hideMark/>
          </w:tcPr>
          <w:p w14:paraId="43970994" w14:textId="77777777" w:rsidR="00D10123" w:rsidRPr="000E68C5" w:rsidRDefault="00D10123" w:rsidP="008E6468">
            <w:pPr>
              <w:ind w:firstLine="0"/>
              <w:rPr>
                <w:color w:val="000000"/>
              </w:rPr>
            </w:pPr>
            <w:r w:rsidRPr="000E68C5">
              <w:rPr>
                <w:color w:val="000000"/>
              </w:rPr>
              <w:t>Центральная</w:t>
            </w:r>
          </w:p>
        </w:tc>
        <w:tc>
          <w:tcPr>
            <w:tcW w:w="1226" w:type="pct"/>
            <w:tcBorders>
              <w:top w:val="nil"/>
              <w:left w:val="nil"/>
              <w:bottom w:val="single" w:sz="4" w:space="0" w:color="auto"/>
              <w:right w:val="single" w:sz="4" w:space="0" w:color="auto"/>
            </w:tcBorders>
            <w:shd w:val="clear" w:color="auto" w:fill="auto"/>
            <w:vAlign w:val="center"/>
            <w:hideMark/>
          </w:tcPr>
          <w:p w14:paraId="14574E68" w14:textId="77777777" w:rsidR="00D10123" w:rsidRPr="000E68C5" w:rsidRDefault="00D10123" w:rsidP="008E6468">
            <w:pPr>
              <w:ind w:firstLine="0"/>
              <w:rPr>
                <w:color w:val="000000"/>
              </w:rPr>
            </w:pPr>
            <w:r w:rsidRPr="000E68C5">
              <w:rPr>
                <w:color w:val="000000"/>
              </w:rPr>
              <w:t>ГО Якутск</w:t>
            </w:r>
          </w:p>
        </w:tc>
        <w:tc>
          <w:tcPr>
            <w:tcW w:w="1077" w:type="pct"/>
            <w:tcBorders>
              <w:top w:val="nil"/>
              <w:left w:val="nil"/>
              <w:bottom w:val="single" w:sz="4" w:space="0" w:color="auto"/>
              <w:right w:val="single" w:sz="4" w:space="0" w:color="auto"/>
            </w:tcBorders>
            <w:shd w:val="clear" w:color="auto" w:fill="auto"/>
            <w:vAlign w:val="center"/>
            <w:hideMark/>
          </w:tcPr>
          <w:p w14:paraId="7467A4E0" w14:textId="77777777" w:rsidR="00D10123" w:rsidRPr="000E68C5" w:rsidRDefault="00D10123" w:rsidP="008E6468">
            <w:pPr>
              <w:ind w:firstLine="0"/>
              <w:rPr>
                <w:color w:val="000000"/>
              </w:rPr>
            </w:pPr>
            <w:r w:rsidRPr="000E68C5">
              <w:rPr>
                <w:color w:val="000000"/>
              </w:rPr>
              <w:t>ГО</w:t>
            </w:r>
          </w:p>
        </w:tc>
        <w:tc>
          <w:tcPr>
            <w:tcW w:w="1229" w:type="pct"/>
            <w:tcBorders>
              <w:top w:val="nil"/>
              <w:left w:val="nil"/>
              <w:bottom w:val="single" w:sz="4" w:space="0" w:color="auto"/>
              <w:right w:val="single" w:sz="4" w:space="0" w:color="auto"/>
            </w:tcBorders>
            <w:shd w:val="clear" w:color="auto" w:fill="auto"/>
            <w:vAlign w:val="center"/>
            <w:hideMark/>
          </w:tcPr>
          <w:p w14:paraId="472D0EF3" w14:textId="77777777" w:rsidR="00D10123" w:rsidRPr="000E68C5" w:rsidRDefault="00D10123" w:rsidP="008E6468">
            <w:pPr>
              <w:ind w:firstLine="0"/>
              <w:rPr>
                <w:color w:val="000000"/>
              </w:rPr>
            </w:pPr>
            <w:r w:rsidRPr="000E68C5">
              <w:rPr>
                <w:color w:val="000000"/>
              </w:rPr>
              <w:t>0,57</w:t>
            </w:r>
          </w:p>
        </w:tc>
      </w:tr>
      <w:tr w:rsidR="00D10123" w:rsidRPr="000E68C5" w14:paraId="68636393" w14:textId="77777777" w:rsidTr="00836C93">
        <w:trPr>
          <w:trHeight w:val="405"/>
        </w:trPr>
        <w:tc>
          <w:tcPr>
            <w:tcW w:w="346" w:type="pct"/>
            <w:tcBorders>
              <w:top w:val="nil"/>
              <w:left w:val="single" w:sz="4" w:space="0" w:color="auto"/>
              <w:bottom w:val="single" w:sz="4" w:space="0" w:color="auto"/>
              <w:right w:val="single" w:sz="4" w:space="0" w:color="auto"/>
            </w:tcBorders>
            <w:shd w:val="clear" w:color="auto" w:fill="auto"/>
            <w:vAlign w:val="center"/>
          </w:tcPr>
          <w:p w14:paraId="636346F7" w14:textId="5C35DAB5" w:rsidR="00D10123" w:rsidRPr="00836C93" w:rsidRDefault="00D10123" w:rsidP="00C106B5">
            <w:pPr>
              <w:pStyle w:val="af0"/>
              <w:numPr>
                <w:ilvl w:val="0"/>
                <w:numId w:val="106"/>
              </w:numPr>
              <w:ind w:left="36" w:firstLine="0"/>
              <w:rPr>
                <w:color w:val="000000"/>
              </w:rPr>
            </w:pPr>
          </w:p>
        </w:tc>
        <w:tc>
          <w:tcPr>
            <w:tcW w:w="1121" w:type="pct"/>
            <w:tcBorders>
              <w:top w:val="nil"/>
              <w:left w:val="nil"/>
              <w:bottom w:val="single" w:sz="4" w:space="0" w:color="auto"/>
              <w:right w:val="single" w:sz="4" w:space="0" w:color="auto"/>
            </w:tcBorders>
            <w:shd w:val="clear" w:color="auto" w:fill="auto"/>
            <w:vAlign w:val="center"/>
            <w:hideMark/>
          </w:tcPr>
          <w:p w14:paraId="72A66425" w14:textId="77777777" w:rsidR="00D10123" w:rsidRPr="000E68C5" w:rsidRDefault="00D10123" w:rsidP="008E6468">
            <w:pPr>
              <w:ind w:firstLine="0"/>
              <w:rPr>
                <w:color w:val="000000"/>
              </w:rPr>
            </w:pPr>
            <w:r w:rsidRPr="000E68C5">
              <w:rPr>
                <w:color w:val="000000"/>
              </w:rPr>
              <w:t>Центральная</w:t>
            </w:r>
          </w:p>
        </w:tc>
        <w:tc>
          <w:tcPr>
            <w:tcW w:w="1226" w:type="pct"/>
            <w:tcBorders>
              <w:top w:val="nil"/>
              <w:left w:val="nil"/>
              <w:bottom w:val="single" w:sz="4" w:space="0" w:color="auto"/>
              <w:right w:val="single" w:sz="4" w:space="0" w:color="auto"/>
            </w:tcBorders>
            <w:shd w:val="clear" w:color="auto" w:fill="auto"/>
            <w:vAlign w:val="center"/>
            <w:hideMark/>
          </w:tcPr>
          <w:p w14:paraId="745CC74A" w14:textId="77777777" w:rsidR="00D10123" w:rsidRPr="000E68C5" w:rsidRDefault="00D10123" w:rsidP="008E6468">
            <w:pPr>
              <w:ind w:firstLine="0"/>
              <w:rPr>
                <w:color w:val="000000"/>
              </w:rPr>
            </w:pPr>
            <w:r w:rsidRPr="000E68C5">
              <w:rPr>
                <w:color w:val="000000"/>
              </w:rPr>
              <w:t>ГО Якутск</w:t>
            </w:r>
          </w:p>
        </w:tc>
        <w:tc>
          <w:tcPr>
            <w:tcW w:w="1077" w:type="pct"/>
            <w:tcBorders>
              <w:top w:val="nil"/>
              <w:left w:val="nil"/>
              <w:bottom w:val="single" w:sz="4" w:space="0" w:color="auto"/>
              <w:right w:val="single" w:sz="4" w:space="0" w:color="auto"/>
            </w:tcBorders>
            <w:shd w:val="clear" w:color="auto" w:fill="auto"/>
            <w:vAlign w:val="center"/>
            <w:hideMark/>
          </w:tcPr>
          <w:p w14:paraId="265658CC" w14:textId="77777777" w:rsidR="00D10123" w:rsidRPr="000E68C5" w:rsidRDefault="00D10123" w:rsidP="008E6468">
            <w:pPr>
              <w:ind w:firstLine="0"/>
              <w:rPr>
                <w:color w:val="000000"/>
              </w:rPr>
            </w:pPr>
            <w:r w:rsidRPr="000E68C5">
              <w:rPr>
                <w:color w:val="000000"/>
              </w:rPr>
              <w:t>Якутск</w:t>
            </w:r>
          </w:p>
        </w:tc>
        <w:tc>
          <w:tcPr>
            <w:tcW w:w="1229" w:type="pct"/>
            <w:tcBorders>
              <w:top w:val="nil"/>
              <w:left w:val="nil"/>
              <w:bottom w:val="single" w:sz="4" w:space="0" w:color="auto"/>
              <w:right w:val="single" w:sz="4" w:space="0" w:color="auto"/>
            </w:tcBorders>
            <w:shd w:val="clear" w:color="auto" w:fill="auto"/>
            <w:vAlign w:val="center"/>
            <w:hideMark/>
          </w:tcPr>
          <w:p w14:paraId="599947C6" w14:textId="77777777" w:rsidR="00D10123" w:rsidRPr="000E68C5" w:rsidRDefault="00D10123" w:rsidP="008E6468">
            <w:pPr>
              <w:ind w:firstLine="0"/>
              <w:rPr>
                <w:color w:val="000000"/>
              </w:rPr>
            </w:pPr>
            <w:r w:rsidRPr="000E68C5">
              <w:rPr>
                <w:color w:val="000000"/>
              </w:rPr>
              <w:t>1,00</w:t>
            </w:r>
          </w:p>
        </w:tc>
      </w:tr>
      <w:tr w:rsidR="00D10123" w:rsidRPr="000E68C5" w14:paraId="2ED76DB8" w14:textId="77777777" w:rsidTr="00836C93">
        <w:trPr>
          <w:trHeight w:val="405"/>
        </w:trPr>
        <w:tc>
          <w:tcPr>
            <w:tcW w:w="346" w:type="pct"/>
            <w:tcBorders>
              <w:top w:val="nil"/>
              <w:left w:val="single" w:sz="4" w:space="0" w:color="auto"/>
              <w:bottom w:val="single" w:sz="4" w:space="0" w:color="auto"/>
              <w:right w:val="single" w:sz="4" w:space="0" w:color="auto"/>
            </w:tcBorders>
            <w:shd w:val="clear" w:color="auto" w:fill="auto"/>
            <w:vAlign w:val="center"/>
          </w:tcPr>
          <w:p w14:paraId="47EFE6C7" w14:textId="191449A4" w:rsidR="00D10123" w:rsidRPr="00836C93" w:rsidRDefault="00D10123" w:rsidP="00C106B5">
            <w:pPr>
              <w:pStyle w:val="af0"/>
              <w:numPr>
                <w:ilvl w:val="0"/>
                <w:numId w:val="106"/>
              </w:numPr>
              <w:ind w:left="36" w:firstLine="0"/>
              <w:rPr>
                <w:color w:val="000000"/>
              </w:rPr>
            </w:pPr>
          </w:p>
        </w:tc>
        <w:tc>
          <w:tcPr>
            <w:tcW w:w="1121" w:type="pct"/>
            <w:tcBorders>
              <w:top w:val="nil"/>
              <w:left w:val="nil"/>
              <w:bottom w:val="single" w:sz="4" w:space="0" w:color="auto"/>
              <w:right w:val="single" w:sz="4" w:space="0" w:color="auto"/>
            </w:tcBorders>
            <w:shd w:val="clear" w:color="auto" w:fill="auto"/>
            <w:vAlign w:val="center"/>
            <w:hideMark/>
          </w:tcPr>
          <w:p w14:paraId="59753B1B" w14:textId="77777777" w:rsidR="00D10123" w:rsidRPr="000E68C5" w:rsidRDefault="00D10123" w:rsidP="008E6468">
            <w:pPr>
              <w:ind w:firstLine="0"/>
              <w:rPr>
                <w:color w:val="000000"/>
              </w:rPr>
            </w:pPr>
            <w:r w:rsidRPr="000E68C5">
              <w:rPr>
                <w:color w:val="000000"/>
              </w:rPr>
              <w:t>Центральная</w:t>
            </w:r>
          </w:p>
        </w:tc>
        <w:tc>
          <w:tcPr>
            <w:tcW w:w="1226" w:type="pct"/>
            <w:tcBorders>
              <w:top w:val="nil"/>
              <w:left w:val="nil"/>
              <w:bottom w:val="single" w:sz="4" w:space="0" w:color="auto"/>
              <w:right w:val="single" w:sz="4" w:space="0" w:color="auto"/>
            </w:tcBorders>
            <w:shd w:val="clear" w:color="auto" w:fill="auto"/>
            <w:vAlign w:val="center"/>
            <w:hideMark/>
          </w:tcPr>
          <w:p w14:paraId="01695A59" w14:textId="77777777" w:rsidR="00D10123" w:rsidRPr="000E68C5" w:rsidRDefault="00D10123" w:rsidP="008E6468">
            <w:pPr>
              <w:ind w:firstLine="0"/>
              <w:rPr>
                <w:color w:val="000000"/>
              </w:rPr>
            </w:pPr>
            <w:r w:rsidRPr="000E68C5">
              <w:rPr>
                <w:color w:val="000000"/>
              </w:rPr>
              <w:t>Горный</w:t>
            </w:r>
          </w:p>
        </w:tc>
        <w:tc>
          <w:tcPr>
            <w:tcW w:w="1077" w:type="pct"/>
            <w:tcBorders>
              <w:top w:val="nil"/>
              <w:left w:val="nil"/>
              <w:bottom w:val="single" w:sz="4" w:space="0" w:color="auto"/>
              <w:right w:val="single" w:sz="4" w:space="0" w:color="auto"/>
            </w:tcBorders>
            <w:shd w:val="clear" w:color="auto" w:fill="auto"/>
            <w:vAlign w:val="center"/>
            <w:hideMark/>
          </w:tcPr>
          <w:p w14:paraId="41BBAC26" w14:textId="77777777" w:rsidR="00D10123" w:rsidRPr="000E68C5" w:rsidRDefault="00D10123" w:rsidP="008E6468">
            <w:pPr>
              <w:ind w:firstLine="0"/>
              <w:rPr>
                <w:color w:val="000000"/>
              </w:rPr>
            </w:pPr>
            <w:r w:rsidRPr="000E68C5">
              <w:rPr>
                <w:color w:val="000000"/>
              </w:rPr>
              <w:t>МО</w:t>
            </w:r>
          </w:p>
        </w:tc>
        <w:tc>
          <w:tcPr>
            <w:tcW w:w="1229" w:type="pct"/>
            <w:tcBorders>
              <w:top w:val="nil"/>
              <w:left w:val="nil"/>
              <w:bottom w:val="single" w:sz="4" w:space="0" w:color="auto"/>
              <w:right w:val="single" w:sz="4" w:space="0" w:color="auto"/>
            </w:tcBorders>
            <w:shd w:val="clear" w:color="auto" w:fill="auto"/>
            <w:vAlign w:val="center"/>
            <w:hideMark/>
          </w:tcPr>
          <w:p w14:paraId="57C800E6" w14:textId="77777777" w:rsidR="00D10123" w:rsidRPr="000E68C5" w:rsidRDefault="00D10123" w:rsidP="008E6468">
            <w:pPr>
              <w:ind w:firstLine="0"/>
              <w:rPr>
                <w:color w:val="000000"/>
              </w:rPr>
            </w:pPr>
            <w:r w:rsidRPr="000E68C5">
              <w:rPr>
                <w:color w:val="000000"/>
              </w:rPr>
              <w:t>0,36</w:t>
            </w:r>
          </w:p>
        </w:tc>
      </w:tr>
      <w:tr w:rsidR="00D10123" w:rsidRPr="000E68C5" w14:paraId="3318C57F" w14:textId="77777777" w:rsidTr="00836C93">
        <w:trPr>
          <w:trHeight w:val="405"/>
        </w:trPr>
        <w:tc>
          <w:tcPr>
            <w:tcW w:w="346" w:type="pct"/>
            <w:tcBorders>
              <w:top w:val="nil"/>
              <w:left w:val="single" w:sz="4" w:space="0" w:color="auto"/>
              <w:bottom w:val="single" w:sz="4" w:space="0" w:color="auto"/>
              <w:right w:val="single" w:sz="4" w:space="0" w:color="auto"/>
            </w:tcBorders>
            <w:shd w:val="clear" w:color="auto" w:fill="auto"/>
            <w:vAlign w:val="center"/>
          </w:tcPr>
          <w:p w14:paraId="1998F07B" w14:textId="3A59E408" w:rsidR="00D10123" w:rsidRPr="00836C93" w:rsidRDefault="00D10123" w:rsidP="00C106B5">
            <w:pPr>
              <w:pStyle w:val="af0"/>
              <w:numPr>
                <w:ilvl w:val="0"/>
                <w:numId w:val="106"/>
              </w:numPr>
              <w:ind w:left="36" w:firstLine="0"/>
              <w:rPr>
                <w:color w:val="000000"/>
              </w:rPr>
            </w:pPr>
          </w:p>
        </w:tc>
        <w:tc>
          <w:tcPr>
            <w:tcW w:w="1121" w:type="pct"/>
            <w:tcBorders>
              <w:top w:val="nil"/>
              <w:left w:val="nil"/>
              <w:bottom w:val="single" w:sz="4" w:space="0" w:color="auto"/>
              <w:right w:val="single" w:sz="4" w:space="0" w:color="auto"/>
            </w:tcBorders>
            <w:shd w:val="clear" w:color="auto" w:fill="auto"/>
            <w:vAlign w:val="center"/>
            <w:hideMark/>
          </w:tcPr>
          <w:p w14:paraId="1B4E60D9" w14:textId="77777777" w:rsidR="00D10123" w:rsidRPr="000E68C5" w:rsidRDefault="00D10123" w:rsidP="008E6468">
            <w:pPr>
              <w:ind w:firstLine="0"/>
              <w:rPr>
                <w:color w:val="000000"/>
              </w:rPr>
            </w:pPr>
            <w:r w:rsidRPr="000E68C5">
              <w:rPr>
                <w:color w:val="000000"/>
              </w:rPr>
              <w:t>Арктическая</w:t>
            </w:r>
          </w:p>
        </w:tc>
        <w:tc>
          <w:tcPr>
            <w:tcW w:w="1226" w:type="pct"/>
            <w:tcBorders>
              <w:top w:val="nil"/>
              <w:left w:val="nil"/>
              <w:bottom w:val="single" w:sz="4" w:space="0" w:color="auto"/>
              <w:right w:val="single" w:sz="4" w:space="0" w:color="auto"/>
            </w:tcBorders>
            <w:shd w:val="clear" w:color="auto" w:fill="auto"/>
            <w:vAlign w:val="center"/>
            <w:hideMark/>
          </w:tcPr>
          <w:p w14:paraId="28E62738" w14:textId="77777777" w:rsidR="00D10123" w:rsidRPr="000E68C5" w:rsidRDefault="00D10123" w:rsidP="008E6468">
            <w:pPr>
              <w:ind w:firstLine="0"/>
              <w:rPr>
                <w:color w:val="000000"/>
              </w:rPr>
            </w:pPr>
            <w:r w:rsidRPr="000E68C5">
              <w:rPr>
                <w:color w:val="000000"/>
              </w:rPr>
              <w:t>Жиганский</w:t>
            </w:r>
          </w:p>
        </w:tc>
        <w:tc>
          <w:tcPr>
            <w:tcW w:w="1077" w:type="pct"/>
            <w:tcBorders>
              <w:top w:val="nil"/>
              <w:left w:val="nil"/>
              <w:bottom w:val="single" w:sz="4" w:space="0" w:color="auto"/>
              <w:right w:val="single" w:sz="4" w:space="0" w:color="auto"/>
            </w:tcBorders>
            <w:shd w:val="clear" w:color="auto" w:fill="auto"/>
            <w:vAlign w:val="center"/>
            <w:hideMark/>
          </w:tcPr>
          <w:p w14:paraId="207B66A3" w14:textId="77777777" w:rsidR="00D10123" w:rsidRPr="000E68C5" w:rsidRDefault="00D10123" w:rsidP="008E6468">
            <w:pPr>
              <w:ind w:firstLine="0"/>
              <w:rPr>
                <w:color w:val="000000"/>
              </w:rPr>
            </w:pPr>
            <w:r w:rsidRPr="000E68C5">
              <w:rPr>
                <w:color w:val="000000"/>
              </w:rPr>
              <w:t>МО</w:t>
            </w:r>
          </w:p>
        </w:tc>
        <w:tc>
          <w:tcPr>
            <w:tcW w:w="1229" w:type="pct"/>
            <w:tcBorders>
              <w:top w:val="nil"/>
              <w:left w:val="nil"/>
              <w:bottom w:val="single" w:sz="4" w:space="0" w:color="auto"/>
              <w:right w:val="single" w:sz="4" w:space="0" w:color="auto"/>
            </w:tcBorders>
            <w:shd w:val="clear" w:color="auto" w:fill="auto"/>
            <w:vAlign w:val="center"/>
            <w:hideMark/>
          </w:tcPr>
          <w:p w14:paraId="391D4625" w14:textId="77777777" w:rsidR="00D10123" w:rsidRPr="000E68C5" w:rsidRDefault="00D10123" w:rsidP="008E6468">
            <w:pPr>
              <w:ind w:firstLine="0"/>
              <w:rPr>
                <w:color w:val="000000"/>
              </w:rPr>
            </w:pPr>
            <w:r w:rsidRPr="000E68C5">
              <w:rPr>
                <w:color w:val="000000"/>
              </w:rPr>
              <w:t>0,29</w:t>
            </w:r>
          </w:p>
        </w:tc>
      </w:tr>
      <w:tr w:rsidR="00D10123" w:rsidRPr="000E68C5" w14:paraId="02680DDC" w14:textId="77777777" w:rsidTr="00836C93">
        <w:trPr>
          <w:trHeight w:val="405"/>
        </w:trPr>
        <w:tc>
          <w:tcPr>
            <w:tcW w:w="346" w:type="pct"/>
            <w:tcBorders>
              <w:top w:val="nil"/>
              <w:left w:val="single" w:sz="4" w:space="0" w:color="auto"/>
              <w:bottom w:val="single" w:sz="4" w:space="0" w:color="auto"/>
              <w:right w:val="single" w:sz="4" w:space="0" w:color="auto"/>
            </w:tcBorders>
            <w:shd w:val="clear" w:color="auto" w:fill="auto"/>
            <w:vAlign w:val="center"/>
          </w:tcPr>
          <w:p w14:paraId="585D5A9F" w14:textId="258DDD60" w:rsidR="00D10123" w:rsidRPr="00836C93" w:rsidRDefault="00D10123" w:rsidP="00C106B5">
            <w:pPr>
              <w:pStyle w:val="af0"/>
              <w:numPr>
                <w:ilvl w:val="0"/>
                <w:numId w:val="106"/>
              </w:numPr>
              <w:ind w:left="36" w:firstLine="0"/>
              <w:rPr>
                <w:color w:val="000000"/>
              </w:rPr>
            </w:pPr>
          </w:p>
        </w:tc>
        <w:tc>
          <w:tcPr>
            <w:tcW w:w="1121" w:type="pct"/>
            <w:tcBorders>
              <w:top w:val="nil"/>
              <w:left w:val="nil"/>
              <w:bottom w:val="single" w:sz="4" w:space="0" w:color="auto"/>
              <w:right w:val="single" w:sz="4" w:space="0" w:color="auto"/>
            </w:tcBorders>
            <w:shd w:val="clear" w:color="auto" w:fill="auto"/>
            <w:vAlign w:val="center"/>
            <w:hideMark/>
          </w:tcPr>
          <w:p w14:paraId="106A7C87" w14:textId="77777777" w:rsidR="00D10123" w:rsidRPr="000E68C5" w:rsidRDefault="00D10123" w:rsidP="008E6468">
            <w:pPr>
              <w:ind w:firstLine="0"/>
              <w:rPr>
                <w:color w:val="000000"/>
              </w:rPr>
            </w:pPr>
            <w:r w:rsidRPr="000E68C5">
              <w:rPr>
                <w:color w:val="000000"/>
              </w:rPr>
              <w:t>Западная</w:t>
            </w:r>
          </w:p>
        </w:tc>
        <w:tc>
          <w:tcPr>
            <w:tcW w:w="1226" w:type="pct"/>
            <w:tcBorders>
              <w:top w:val="nil"/>
              <w:left w:val="nil"/>
              <w:bottom w:val="single" w:sz="4" w:space="0" w:color="auto"/>
              <w:right w:val="single" w:sz="4" w:space="0" w:color="auto"/>
            </w:tcBorders>
            <w:shd w:val="clear" w:color="auto" w:fill="auto"/>
            <w:vAlign w:val="center"/>
            <w:hideMark/>
          </w:tcPr>
          <w:p w14:paraId="6037F6B2" w14:textId="77777777" w:rsidR="00D10123" w:rsidRPr="000E68C5" w:rsidRDefault="00D10123" w:rsidP="008E6468">
            <w:pPr>
              <w:ind w:firstLine="0"/>
              <w:rPr>
                <w:color w:val="000000"/>
              </w:rPr>
            </w:pPr>
            <w:r w:rsidRPr="000E68C5">
              <w:rPr>
                <w:color w:val="000000"/>
              </w:rPr>
              <w:t>Кобяйский</w:t>
            </w:r>
          </w:p>
        </w:tc>
        <w:tc>
          <w:tcPr>
            <w:tcW w:w="1077" w:type="pct"/>
            <w:tcBorders>
              <w:top w:val="nil"/>
              <w:left w:val="nil"/>
              <w:bottom w:val="single" w:sz="4" w:space="0" w:color="auto"/>
              <w:right w:val="single" w:sz="4" w:space="0" w:color="auto"/>
            </w:tcBorders>
            <w:shd w:val="clear" w:color="auto" w:fill="auto"/>
            <w:vAlign w:val="center"/>
            <w:hideMark/>
          </w:tcPr>
          <w:p w14:paraId="5DFFF895" w14:textId="77777777" w:rsidR="00D10123" w:rsidRPr="000E68C5" w:rsidRDefault="00D10123" w:rsidP="008E6468">
            <w:pPr>
              <w:ind w:firstLine="0"/>
              <w:rPr>
                <w:color w:val="000000"/>
              </w:rPr>
            </w:pPr>
            <w:r w:rsidRPr="000E68C5">
              <w:rPr>
                <w:color w:val="000000"/>
              </w:rPr>
              <w:t>МО</w:t>
            </w:r>
          </w:p>
        </w:tc>
        <w:tc>
          <w:tcPr>
            <w:tcW w:w="1229" w:type="pct"/>
            <w:tcBorders>
              <w:top w:val="nil"/>
              <w:left w:val="nil"/>
              <w:bottom w:val="single" w:sz="4" w:space="0" w:color="auto"/>
              <w:right w:val="single" w:sz="4" w:space="0" w:color="auto"/>
            </w:tcBorders>
            <w:shd w:val="clear" w:color="auto" w:fill="auto"/>
            <w:vAlign w:val="center"/>
            <w:hideMark/>
          </w:tcPr>
          <w:p w14:paraId="3FF057E0" w14:textId="77777777" w:rsidR="00D10123" w:rsidRPr="000E68C5" w:rsidRDefault="00D10123" w:rsidP="008E6468">
            <w:pPr>
              <w:ind w:firstLine="0"/>
              <w:rPr>
                <w:color w:val="000000"/>
              </w:rPr>
            </w:pPr>
            <w:r w:rsidRPr="000E68C5">
              <w:rPr>
                <w:color w:val="000000"/>
              </w:rPr>
              <w:t>0,36</w:t>
            </w:r>
          </w:p>
        </w:tc>
      </w:tr>
      <w:tr w:rsidR="00D10123" w:rsidRPr="000E68C5" w14:paraId="5B0649B2" w14:textId="77777777" w:rsidTr="00836C93">
        <w:trPr>
          <w:trHeight w:val="405"/>
        </w:trPr>
        <w:tc>
          <w:tcPr>
            <w:tcW w:w="346" w:type="pct"/>
            <w:tcBorders>
              <w:top w:val="nil"/>
              <w:left w:val="single" w:sz="4" w:space="0" w:color="auto"/>
              <w:bottom w:val="single" w:sz="4" w:space="0" w:color="auto"/>
              <w:right w:val="single" w:sz="4" w:space="0" w:color="auto"/>
            </w:tcBorders>
            <w:shd w:val="clear" w:color="auto" w:fill="auto"/>
            <w:vAlign w:val="center"/>
          </w:tcPr>
          <w:p w14:paraId="6C04D55A" w14:textId="4E7276E1" w:rsidR="00D10123" w:rsidRPr="00836C93" w:rsidRDefault="00D10123" w:rsidP="00C106B5">
            <w:pPr>
              <w:pStyle w:val="af0"/>
              <w:numPr>
                <w:ilvl w:val="0"/>
                <w:numId w:val="106"/>
              </w:numPr>
              <w:ind w:left="36" w:firstLine="0"/>
              <w:rPr>
                <w:color w:val="000000"/>
              </w:rPr>
            </w:pPr>
          </w:p>
        </w:tc>
        <w:tc>
          <w:tcPr>
            <w:tcW w:w="1121" w:type="pct"/>
            <w:tcBorders>
              <w:top w:val="nil"/>
              <w:left w:val="nil"/>
              <w:bottom w:val="single" w:sz="4" w:space="0" w:color="auto"/>
              <w:right w:val="single" w:sz="4" w:space="0" w:color="auto"/>
            </w:tcBorders>
            <w:shd w:val="clear" w:color="auto" w:fill="auto"/>
            <w:vAlign w:val="center"/>
            <w:hideMark/>
          </w:tcPr>
          <w:p w14:paraId="1079E0C0" w14:textId="77777777" w:rsidR="00D10123" w:rsidRPr="000E68C5" w:rsidRDefault="00D10123" w:rsidP="008E6468">
            <w:pPr>
              <w:ind w:firstLine="0"/>
              <w:rPr>
                <w:color w:val="000000"/>
              </w:rPr>
            </w:pPr>
            <w:r w:rsidRPr="000E68C5">
              <w:rPr>
                <w:color w:val="000000"/>
              </w:rPr>
              <w:t>Западная</w:t>
            </w:r>
          </w:p>
        </w:tc>
        <w:tc>
          <w:tcPr>
            <w:tcW w:w="1226" w:type="pct"/>
            <w:tcBorders>
              <w:top w:val="nil"/>
              <w:left w:val="nil"/>
              <w:bottom w:val="single" w:sz="4" w:space="0" w:color="auto"/>
              <w:right w:val="single" w:sz="4" w:space="0" w:color="auto"/>
            </w:tcBorders>
            <w:shd w:val="clear" w:color="auto" w:fill="auto"/>
            <w:vAlign w:val="center"/>
            <w:hideMark/>
          </w:tcPr>
          <w:p w14:paraId="2EAFCD63" w14:textId="77777777" w:rsidR="00D10123" w:rsidRPr="000E68C5" w:rsidRDefault="00D10123" w:rsidP="008E6468">
            <w:pPr>
              <w:ind w:firstLine="0"/>
              <w:rPr>
                <w:color w:val="000000"/>
              </w:rPr>
            </w:pPr>
            <w:r w:rsidRPr="000E68C5">
              <w:rPr>
                <w:color w:val="000000"/>
              </w:rPr>
              <w:t>Ленский</w:t>
            </w:r>
          </w:p>
        </w:tc>
        <w:tc>
          <w:tcPr>
            <w:tcW w:w="1077" w:type="pct"/>
            <w:tcBorders>
              <w:top w:val="nil"/>
              <w:left w:val="nil"/>
              <w:bottom w:val="single" w:sz="4" w:space="0" w:color="auto"/>
              <w:right w:val="single" w:sz="4" w:space="0" w:color="auto"/>
            </w:tcBorders>
            <w:shd w:val="clear" w:color="auto" w:fill="auto"/>
            <w:vAlign w:val="center"/>
            <w:hideMark/>
          </w:tcPr>
          <w:p w14:paraId="29672C2D" w14:textId="77777777" w:rsidR="00D10123" w:rsidRPr="000E68C5" w:rsidRDefault="00D10123" w:rsidP="008E6468">
            <w:pPr>
              <w:ind w:firstLine="0"/>
              <w:rPr>
                <w:color w:val="000000"/>
              </w:rPr>
            </w:pPr>
            <w:r w:rsidRPr="000E68C5">
              <w:rPr>
                <w:color w:val="000000"/>
              </w:rPr>
              <w:t>МО</w:t>
            </w:r>
          </w:p>
        </w:tc>
        <w:tc>
          <w:tcPr>
            <w:tcW w:w="1229" w:type="pct"/>
            <w:tcBorders>
              <w:top w:val="nil"/>
              <w:left w:val="nil"/>
              <w:bottom w:val="single" w:sz="4" w:space="0" w:color="auto"/>
              <w:right w:val="single" w:sz="4" w:space="0" w:color="auto"/>
            </w:tcBorders>
            <w:shd w:val="clear" w:color="auto" w:fill="auto"/>
            <w:vAlign w:val="center"/>
            <w:hideMark/>
          </w:tcPr>
          <w:p w14:paraId="761692AF" w14:textId="77777777" w:rsidR="00D10123" w:rsidRPr="000E68C5" w:rsidRDefault="00D10123" w:rsidP="008E6468">
            <w:pPr>
              <w:ind w:firstLine="0"/>
              <w:rPr>
                <w:color w:val="000000"/>
              </w:rPr>
            </w:pPr>
            <w:r w:rsidRPr="000E68C5">
              <w:rPr>
                <w:color w:val="000000"/>
              </w:rPr>
              <w:t>0,42</w:t>
            </w:r>
          </w:p>
        </w:tc>
      </w:tr>
      <w:tr w:rsidR="00D10123" w:rsidRPr="000E68C5" w14:paraId="7D1828B1" w14:textId="77777777" w:rsidTr="00836C93">
        <w:trPr>
          <w:trHeight w:val="405"/>
        </w:trPr>
        <w:tc>
          <w:tcPr>
            <w:tcW w:w="346" w:type="pct"/>
            <w:tcBorders>
              <w:top w:val="nil"/>
              <w:left w:val="single" w:sz="4" w:space="0" w:color="auto"/>
              <w:bottom w:val="single" w:sz="4" w:space="0" w:color="auto"/>
              <w:right w:val="single" w:sz="4" w:space="0" w:color="auto"/>
            </w:tcBorders>
            <w:shd w:val="clear" w:color="auto" w:fill="auto"/>
            <w:vAlign w:val="center"/>
          </w:tcPr>
          <w:p w14:paraId="1B4610E7" w14:textId="184768C3" w:rsidR="00D10123" w:rsidRPr="00836C93" w:rsidRDefault="00D10123" w:rsidP="00C106B5">
            <w:pPr>
              <w:pStyle w:val="af0"/>
              <w:numPr>
                <w:ilvl w:val="0"/>
                <w:numId w:val="106"/>
              </w:numPr>
              <w:ind w:left="36" w:firstLine="0"/>
              <w:rPr>
                <w:color w:val="000000"/>
              </w:rPr>
            </w:pPr>
          </w:p>
        </w:tc>
        <w:tc>
          <w:tcPr>
            <w:tcW w:w="1121" w:type="pct"/>
            <w:tcBorders>
              <w:top w:val="nil"/>
              <w:left w:val="nil"/>
              <w:bottom w:val="single" w:sz="4" w:space="0" w:color="auto"/>
              <w:right w:val="single" w:sz="4" w:space="0" w:color="auto"/>
            </w:tcBorders>
            <w:shd w:val="clear" w:color="auto" w:fill="auto"/>
            <w:vAlign w:val="center"/>
            <w:hideMark/>
          </w:tcPr>
          <w:p w14:paraId="6A031C39" w14:textId="77777777" w:rsidR="00D10123" w:rsidRPr="000E68C5" w:rsidRDefault="00D10123" w:rsidP="008E6468">
            <w:pPr>
              <w:ind w:firstLine="0"/>
              <w:rPr>
                <w:color w:val="000000"/>
              </w:rPr>
            </w:pPr>
            <w:r w:rsidRPr="000E68C5">
              <w:rPr>
                <w:color w:val="000000"/>
              </w:rPr>
              <w:t>Западная</w:t>
            </w:r>
          </w:p>
        </w:tc>
        <w:tc>
          <w:tcPr>
            <w:tcW w:w="1226" w:type="pct"/>
            <w:tcBorders>
              <w:top w:val="nil"/>
              <w:left w:val="nil"/>
              <w:bottom w:val="single" w:sz="4" w:space="0" w:color="auto"/>
              <w:right w:val="single" w:sz="4" w:space="0" w:color="auto"/>
            </w:tcBorders>
            <w:shd w:val="clear" w:color="auto" w:fill="auto"/>
            <w:vAlign w:val="center"/>
            <w:hideMark/>
          </w:tcPr>
          <w:p w14:paraId="145E9A4A" w14:textId="77777777" w:rsidR="00D10123" w:rsidRPr="000E68C5" w:rsidRDefault="00D10123" w:rsidP="008E6468">
            <w:pPr>
              <w:ind w:firstLine="0"/>
              <w:rPr>
                <w:color w:val="000000"/>
              </w:rPr>
            </w:pPr>
            <w:r w:rsidRPr="000E68C5">
              <w:rPr>
                <w:color w:val="000000"/>
              </w:rPr>
              <w:t>Ленский</w:t>
            </w:r>
          </w:p>
        </w:tc>
        <w:tc>
          <w:tcPr>
            <w:tcW w:w="1077" w:type="pct"/>
            <w:tcBorders>
              <w:top w:val="nil"/>
              <w:left w:val="nil"/>
              <w:bottom w:val="single" w:sz="4" w:space="0" w:color="auto"/>
              <w:right w:val="single" w:sz="4" w:space="0" w:color="auto"/>
            </w:tcBorders>
            <w:shd w:val="clear" w:color="auto" w:fill="auto"/>
            <w:vAlign w:val="center"/>
            <w:hideMark/>
          </w:tcPr>
          <w:p w14:paraId="0C51CBB9" w14:textId="77777777" w:rsidR="00D10123" w:rsidRPr="000E68C5" w:rsidRDefault="00D10123" w:rsidP="008E6468">
            <w:pPr>
              <w:ind w:firstLine="0"/>
              <w:rPr>
                <w:color w:val="000000"/>
              </w:rPr>
            </w:pPr>
            <w:r w:rsidRPr="000E68C5">
              <w:rPr>
                <w:color w:val="000000"/>
              </w:rPr>
              <w:t>Ленск</w:t>
            </w:r>
          </w:p>
        </w:tc>
        <w:tc>
          <w:tcPr>
            <w:tcW w:w="1229" w:type="pct"/>
            <w:tcBorders>
              <w:top w:val="nil"/>
              <w:left w:val="nil"/>
              <w:bottom w:val="single" w:sz="4" w:space="0" w:color="auto"/>
              <w:right w:val="single" w:sz="4" w:space="0" w:color="auto"/>
            </w:tcBorders>
            <w:shd w:val="clear" w:color="auto" w:fill="auto"/>
            <w:vAlign w:val="center"/>
            <w:hideMark/>
          </w:tcPr>
          <w:p w14:paraId="39012C95" w14:textId="77777777" w:rsidR="00D10123" w:rsidRPr="000E68C5" w:rsidRDefault="00D10123" w:rsidP="008E6468">
            <w:pPr>
              <w:ind w:firstLine="0"/>
              <w:rPr>
                <w:color w:val="000000"/>
              </w:rPr>
            </w:pPr>
            <w:r w:rsidRPr="000E68C5">
              <w:rPr>
                <w:color w:val="000000"/>
              </w:rPr>
              <w:t>0,61</w:t>
            </w:r>
          </w:p>
        </w:tc>
      </w:tr>
      <w:tr w:rsidR="00D10123" w:rsidRPr="000E68C5" w14:paraId="4D60B65B" w14:textId="77777777" w:rsidTr="00836C93">
        <w:trPr>
          <w:trHeight w:val="405"/>
        </w:trPr>
        <w:tc>
          <w:tcPr>
            <w:tcW w:w="346" w:type="pct"/>
            <w:tcBorders>
              <w:top w:val="nil"/>
              <w:left w:val="single" w:sz="4" w:space="0" w:color="auto"/>
              <w:bottom w:val="single" w:sz="4" w:space="0" w:color="auto"/>
              <w:right w:val="single" w:sz="4" w:space="0" w:color="auto"/>
            </w:tcBorders>
            <w:shd w:val="clear" w:color="auto" w:fill="auto"/>
            <w:vAlign w:val="center"/>
          </w:tcPr>
          <w:p w14:paraId="22DE02F7" w14:textId="068ABE36" w:rsidR="00D10123" w:rsidRPr="00836C93" w:rsidRDefault="00D10123" w:rsidP="00C106B5">
            <w:pPr>
              <w:pStyle w:val="af0"/>
              <w:numPr>
                <w:ilvl w:val="0"/>
                <w:numId w:val="106"/>
              </w:numPr>
              <w:ind w:left="36" w:firstLine="0"/>
              <w:rPr>
                <w:color w:val="000000"/>
              </w:rPr>
            </w:pPr>
          </w:p>
        </w:tc>
        <w:tc>
          <w:tcPr>
            <w:tcW w:w="1121" w:type="pct"/>
            <w:tcBorders>
              <w:top w:val="nil"/>
              <w:left w:val="nil"/>
              <w:bottom w:val="single" w:sz="4" w:space="0" w:color="auto"/>
              <w:right w:val="single" w:sz="4" w:space="0" w:color="auto"/>
            </w:tcBorders>
            <w:shd w:val="clear" w:color="auto" w:fill="auto"/>
            <w:vAlign w:val="center"/>
            <w:hideMark/>
          </w:tcPr>
          <w:p w14:paraId="3A249087" w14:textId="77777777" w:rsidR="00D10123" w:rsidRPr="000E68C5" w:rsidRDefault="00D10123" w:rsidP="008E6468">
            <w:pPr>
              <w:ind w:firstLine="0"/>
              <w:rPr>
                <w:color w:val="000000"/>
              </w:rPr>
            </w:pPr>
            <w:r w:rsidRPr="000E68C5">
              <w:rPr>
                <w:color w:val="000000"/>
              </w:rPr>
              <w:t>Центральная</w:t>
            </w:r>
          </w:p>
        </w:tc>
        <w:tc>
          <w:tcPr>
            <w:tcW w:w="1226" w:type="pct"/>
            <w:tcBorders>
              <w:top w:val="nil"/>
              <w:left w:val="nil"/>
              <w:bottom w:val="single" w:sz="4" w:space="0" w:color="auto"/>
              <w:right w:val="single" w:sz="4" w:space="0" w:color="auto"/>
            </w:tcBorders>
            <w:shd w:val="clear" w:color="auto" w:fill="auto"/>
            <w:vAlign w:val="center"/>
            <w:hideMark/>
          </w:tcPr>
          <w:p w14:paraId="27C959DF" w14:textId="77777777" w:rsidR="00D10123" w:rsidRPr="000E68C5" w:rsidRDefault="00D10123" w:rsidP="008E6468">
            <w:pPr>
              <w:ind w:firstLine="0"/>
              <w:rPr>
                <w:color w:val="000000"/>
              </w:rPr>
            </w:pPr>
            <w:r w:rsidRPr="000E68C5">
              <w:rPr>
                <w:color w:val="000000"/>
              </w:rPr>
              <w:t>Мегино-Кангаласский</w:t>
            </w:r>
          </w:p>
        </w:tc>
        <w:tc>
          <w:tcPr>
            <w:tcW w:w="1077" w:type="pct"/>
            <w:tcBorders>
              <w:top w:val="nil"/>
              <w:left w:val="nil"/>
              <w:bottom w:val="single" w:sz="4" w:space="0" w:color="auto"/>
              <w:right w:val="single" w:sz="4" w:space="0" w:color="auto"/>
            </w:tcBorders>
            <w:shd w:val="clear" w:color="auto" w:fill="auto"/>
            <w:vAlign w:val="center"/>
            <w:hideMark/>
          </w:tcPr>
          <w:p w14:paraId="728976C8" w14:textId="77777777" w:rsidR="00D10123" w:rsidRPr="000E68C5" w:rsidRDefault="00D10123" w:rsidP="008E6468">
            <w:pPr>
              <w:ind w:firstLine="0"/>
              <w:rPr>
                <w:color w:val="000000"/>
              </w:rPr>
            </w:pPr>
            <w:r w:rsidRPr="000E68C5">
              <w:rPr>
                <w:color w:val="000000"/>
              </w:rPr>
              <w:t>МО</w:t>
            </w:r>
          </w:p>
        </w:tc>
        <w:tc>
          <w:tcPr>
            <w:tcW w:w="1229" w:type="pct"/>
            <w:tcBorders>
              <w:top w:val="nil"/>
              <w:left w:val="nil"/>
              <w:bottom w:val="single" w:sz="4" w:space="0" w:color="auto"/>
              <w:right w:val="single" w:sz="4" w:space="0" w:color="auto"/>
            </w:tcBorders>
            <w:shd w:val="clear" w:color="auto" w:fill="auto"/>
            <w:vAlign w:val="center"/>
            <w:hideMark/>
          </w:tcPr>
          <w:p w14:paraId="1E9ECE65" w14:textId="77777777" w:rsidR="00D10123" w:rsidRPr="000E68C5" w:rsidRDefault="00D10123" w:rsidP="008E6468">
            <w:pPr>
              <w:ind w:firstLine="0"/>
              <w:rPr>
                <w:color w:val="000000"/>
              </w:rPr>
            </w:pPr>
            <w:r w:rsidRPr="000E68C5">
              <w:rPr>
                <w:color w:val="000000"/>
              </w:rPr>
              <w:t>0,38</w:t>
            </w:r>
          </w:p>
        </w:tc>
      </w:tr>
      <w:tr w:rsidR="00D10123" w:rsidRPr="000E68C5" w14:paraId="49CB7A3B" w14:textId="77777777" w:rsidTr="00836C93">
        <w:trPr>
          <w:trHeight w:val="405"/>
        </w:trPr>
        <w:tc>
          <w:tcPr>
            <w:tcW w:w="346" w:type="pct"/>
            <w:tcBorders>
              <w:top w:val="nil"/>
              <w:left w:val="single" w:sz="4" w:space="0" w:color="auto"/>
              <w:bottom w:val="single" w:sz="4" w:space="0" w:color="auto"/>
              <w:right w:val="single" w:sz="4" w:space="0" w:color="auto"/>
            </w:tcBorders>
            <w:shd w:val="clear" w:color="auto" w:fill="auto"/>
            <w:vAlign w:val="center"/>
          </w:tcPr>
          <w:p w14:paraId="60D36F79" w14:textId="13AFC808" w:rsidR="00D10123" w:rsidRPr="00836C93" w:rsidRDefault="00D10123" w:rsidP="00C106B5">
            <w:pPr>
              <w:pStyle w:val="af0"/>
              <w:numPr>
                <w:ilvl w:val="0"/>
                <w:numId w:val="106"/>
              </w:numPr>
              <w:ind w:left="36" w:firstLine="0"/>
              <w:rPr>
                <w:color w:val="000000"/>
              </w:rPr>
            </w:pPr>
          </w:p>
        </w:tc>
        <w:tc>
          <w:tcPr>
            <w:tcW w:w="1121" w:type="pct"/>
            <w:tcBorders>
              <w:top w:val="nil"/>
              <w:left w:val="nil"/>
              <w:bottom w:val="single" w:sz="4" w:space="0" w:color="auto"/>
              <w:right w:val="single" w:sz="4" w:space="0" w:color="auto"/>
            </w:tcBorders>
            <w:shd w:val="clear" w:color="auto" w:fill="auto"/>
            <w:vAlign w:val="center"/>
            <w:hideMark/>
          </w:tcPr>
          <w:p w14:paraId="2A6867F9" w14:textId="77777777" w:rsidR="00D10123" w:rsidRPr="000E68C5" w:rsidRDefault="00D10123" w:rsidP="008E6468">
            <w:pPr>
              <w:ind w:firstLine="0"/>
              <w:rPr>
                <w:color w:val="000000"/>
              </w:rPr>
            </w:pPr>
            <w:r w:rsidRPr="000E68C5">
              <w:rPr>
                <w:color w:val="000000"/>
              </w:rPr>
              <w:t>Западная</w:t>
            </w:r>
          </w:p>
        </w:tc>
        <w:tc>
          <w:tcPr>
            <w:tcW w:w="1226" w:type="pct"/>
            <w:tcBorders>
              <w:top w:val="nil"/>
              <w:left w:val="nil"/>
              <w:bottom w:val="single" w:sz="4" w:space="0" w:color="auto"/>
              <w:right w:val="single" w:sz="4" w:space="0" w:color="auto"/>
            </w:tcBorders>
            <w:shd w:val="clear" w:color="auto" w:fill="auto"/>
            <w:vAlign w:val="center"/>
            <w:hideMark/>
          </w:tcPr>
          <w:p w14:paraId="02698E55" w14:textId="77777777" w:rsidR="00D10123" w:rsidRPr="000E68C5" w:rsidRDefault="00D10123" w:rsidP="008E6468">
            <w:pPr>
              <w:ind w:firstLine="0"/>
              <w:rPr>
                <w:color w:val="000000"/>
              </w:rPr>
            </w:pPr>
            <w:r w:rsidRPr="000E68C5">
              <w:rPr>
                <w:color w:val="000000"/>
              </w:rPr>
              <w:t>Мирнинский</w:t>
            </w:r>
          </w:p>
        </w:tc>
        <w:tc>
          <w:tcPr>
            <w:tcW w:w="1077" w:type="pct"/>
            <w:tcBorders>
              <w:top w:val="nil"/>
              <w:left w:val="nil"/>
              <w:bottom w:val="single" w:sz="4" w:space="0" w:color="auto"/>
              <w:right w:val="single" w:sz="4" w:space="0" w:color="auto"/>
            </w:tcBorders>
            <w:shd w:val="clear" w:color="auto" w:fill="auto"/>
            <w:vAlign w:val="center"/>
            <w:hideMark/>
          </w:tcPr>
          <w:p w14:paraId="2686024F" w14:textId="77777777" w:rsidR="00D10123" w:rsidRPr="000E68C5" w:rsidRDefault="00D10123" w:rsidP="008E6468">
            <w:pPr>
              <w:ind w:firstLine="0"/>
              <w:rPr>
                <w:color w:val="000000"/>
              </w:rPr>
            </w:pPr>
            <w:r w:rsidRPr="000E68C5">
              <w:rPr>
                <w:color w:val="000000"/>
              </w:rPr>
              <w:t>МО</w:t>
            </w:r>
          </w:p>
        </w:tc>
        <w:tc>
          <w:tcPr>
            <w:tcW w:w="1229" w:type="pct"/>
            <w:tcBorders>
              <w:top w:val="nil"/>
              <w:left w:val="nil"/>
              <w:bottom w:val="single" w:sz="4" w:space="0" w:color="auto"/>
              <w:right w:val="single" w:sz="4" w:space="0" w:color="auto"/>
            </w:tcBorders>
            <w:shd w:val="clear" w:color="auto" w:fill="auto"/>
            <w:vAlign w:val="center"/>
            <w:hideMark/>
          </w:tcPr>
          <w:p w14:paraId="7E1369B7" w14:textId="77777777" w:rsidR="00D10123" w:rsidRPr="000E68C5" w:rsidRDefault="00D10123" w:rsidP="008E6468">
            <w:pPr>
              <w:ind w:firstLine="0"/>
              <w:rPr>
                <w:color w:val="000000"/>
              </w:rPr>
            </w:pPr>
            <w:r w:rsidRPr="000E68C5">
              <w:rPr>
                <w:color w:val="000000"/>
              </w:rPr>
              <w:t>0,47</w:t>
            </w:r>
          </w:p>
        </w:tc>
      </w:tr>
      <w:tr w:rsidR="00D10123" w:rsidRPr="000E68C5" w14:paraId="7F6B07CD" w14:textId="77777777" w:rsidTr="00836C93">
        <w:trPr>
          <w:trHeight w:val="405"/>
        </w:trPr>
        <w:tc>
          <w:tcPr>
            <w:tcW w:w="346" w:type="pct"/>
            <w:tcBorders>
              <w:top w:val="nil"/>
              <w:left w:val="single" w:sz="4" w:space="0" w:color="auto"/>
              <w:bottom w:val="single" w:sz="4" w:space="0" w:color="auto"/>
              <w:right w:val="single" w:sz="4" w:space="0" w:color="auto"/>
            </w:tcBorders>
            <w:shd w:val="clear" w:color="auto" w:fill="auto"/>
            <w:vAlign w:val="center"/>
          </w:tcPr>
          <w:p w14:paraId="1E1D00E1" w14:textId="5999870A" w:rsidR="00D10123" w:rsidRPr="00836C93" w:rsidRDefault="00D10123" w:rsidP="00C106B5">
            <w:pPr>
              <w:pStyle w:val="af0"/>
              <w:numPr>
                <w:ilvl w:val="0"/>
                <w:numId w:val="106"/>
              </w:numPr>
              <w:ind w:left="36" w:firstLine="0"/>
              <w:rPr>
                <w:color w:val="000000"/>
              </w:rPr>
            </w:pPr>
          </w:p>
        </w:tc>
        <w:tc>
          <w:tcPr>
            <w:tcW w:w="1121" w:type="pct"/>
            <w:tcBorders>
              <w:top w:val="nil"/>
              <w:left w:val="nil"/>
              <w:bottom w:val="single" w:sz="4" w:space="0" w:color="auto"/>
              <w:right w:val="single" w:sz="4" w:space="0" w:color="auto"/>
            </w:tcBorders>
            <w:shd w:val="clear" w:color="auto" w:fill="auto"/>
            <w:vAlign w:val="center"/>
            <w:hideMark/>
          </w:tcPr>
          <w:p w14:paraId="59B76A3D" w14:textId="77777777" w:rsidR="00D10123" w:rsidRPr="000E68C5" w:rsidRDefault="00D10123" w:rsidP="008E6468">
            <w:pPr>
              <w:ind w:firstLine="0"/>
              <w:rPr>
                <w:color w:val="000000"/>
              </w:rPr>
            </w:pPr>
            <w:r w:rsidRPr="000E68C5">
              <w:rPr>
                <w:color w:val="000000"/>
              </w:rPr>
              <w:t>Западная</w:t>
            </w:r>
          </w:p>
        </w:tc>
        <w:tc>
          <w:tcPr>
            <w:tcW w:w="1226" w:type="pct"/>
            <w:tcBorders>
              <w:top w:val="nil"/>
              <w:left w:val="nil"/>
              <w:bottom w:val="single" w:sz="4" w:space="0" w:color="auto"/>
              <w:right w:val="single" w:sz="4" w:space="0" w:color="auto"/>
            </w:tcBorders>
            <w:shd w:val="clear" w:color="auto" w:fill="auto"/>
            <w:vAlign w:val="center"/>
            <w:hideMark/>
          </w:tcPr>
          <w:p w14:paraId="6C739055" w14:textId="77777777" w:rsidR="00D10123" w:rsidRPr="000E68C5" w:rsidRDefault="00D10123" w:rsidP="008E6468">
            <w:pPr>
              <w:ind w:firstLine="0"/>
              <w:rPr>
                <w:color w:val="000000"/>
              </w:rPr>
            </w:pPr>
            <w:r w:rsidRPr="000E68C5">
              <w:rPr>
                <w:color w:val="000000"/>
              </w:rPr>
              <w:t>Мирнинский</w:t>
            </w:r>
          </w:p>
        </w:tc>
        <w:tc>
          <w:tcPr>
            <w:tcW w:w="1077" w:type="pct"/>
            <w:tcBorders>
              <w:top w:val="nil"/>
              <w:left w:val="nil"/>
              <w:bottom w:val="single" w:sz="4" w:space="0" w:color="auto"/>
              <w:right w:val="single" w:sz="4" w:space="0" w:color="auto"/>
            </w:tcBorders>
            <w:shd w:val="clear" w:color="auto" w:fill="auto"/>
            <w:vAlign w:val="center"/>
            <w:hideMark/>
          </w:tcPr>
          <w:p w14:paraId="2874F57B" w14:textId="77777777" w:rsidR="00D10123" w:rsidRPr="000E68C5" w:rsidRDefault="00D10123" w:rsidP="008E6468">
            <w:pPr>
              <w:ind w:firstLine="0"/>
              <w:rPr>
                <w:color w:val="000000"/>
              </w:rPr>
            </w:pPr>
            <w:r w:rsidRPr="000E68C5">
              <w:rPr>
                <w:color w:val="000000"/>
              </w:rPr>
              <w:t>Мирный</w:t>
            </w:r>
          </w:p>
        </w:tc>
        <w:tc>
          <w:tcPr>
            <w:tcW w:w="1229" w:type="pct"/>
            <w:tcBorders>
              <w:top w:val="nil"/>
              <w:left w:val="nil"/>
              <w:bottom w:val="single" w:sz="4" w:space="0" w:color="auto"/>
              <w:right w:val="single" w:sz="4" w:space="0" w:color="auto"/>
            </w:tcBorders>
            <w:shd w:val="clear" w:color="auto" w:fill="auto"/>
            <w:vAlign w:val="center"/>
            <w:hideMark/>
          </w:tcPr>
          <w:p w14:paraId="29FA390A" w14:textId="77777777" w:rsidR="00D10123" w:rsidRPr="000E68C5" w:rsidRDefault="00D10123" w:rsidP="008E6468">
            <w:pPr>
              <w:ind w:firstLine="0"/>
              <w:rPr>
                <w:color w:val="000000"/>
              </w:rPr>
            </w:pPr>
            <w:r w:rsidRPr="000E68C5">
              <w:rPr>
                <w:color w:val="000000"/>
              </w:rPr>
              <w:t>0,66</w:t>
            </w:r>
          </w:p>
        </w:tc>
      </w:tr>
      <w:tr w:rsidR="00D10123" w:rsidRPr="000E68C5" w14:paraId="4653AB8E" w14:textId="77777777" w:rsidTr="00836C93">
        <w:trPr>
          <w:trHeight w:val="405"/>
        </w:trPr>
        <w:tc>
          <w:tcPr>
            <w:tcW w:w="346" w:type="pct"/>
            <w:tcBorders>
              <w:top w:val="nil"/>
              <w:left w:val="single" w:sz="4" w:space="0" w:color="auto"/>
              <w:bottom w:val="single" w:sz="4" w:space="0" w:color="auto"/>
              <w:right w:val="single" w:sz="4" w:space="0" w:color="auto"/>
            </w:tcBorders>
            <w:shd w:val="clear" w:color="auto" w:fill="auto"/>
            <w:vAlign w:val="center"/>
          </w:tcPr>
          <w:p w14:paraId="48173524" w14:textId="71DE63F2" w:rsidR="00D10123" w:rsidRPr="00836C93" w:rsidRDefault="00D10123" w:rsidP="00C106B5">
            <w:pPr>
              <w:pStyle w:val="af0"/>
              <w:numPr>
                <w:ilvl w:val="0"/>
                <w:numId w:val="106"/>
              </w:numPr>
              <w:ind w:left="36" w:firstLine="0"/>
              <w:rPr>
                <w:color w:val="000000"/>
              </w:rPr>
            </w:pPr>
          </w:p>
        </w:tc>
        <w:tc>
          <w:tcPr>
            <w:tcW w:w="1121" w:type="pct"/>
            <w:tcBorders>
              <w:top w:val="nil"/>
              <w:left w:val="nil"/>
              <w:bottom w:val="single" w:sz="4" w:space="0" w:color="auto"/>
              <w:right w:val="single" w:sz="4" w:space="0" w:color="auto"/>
            </w:tcBorders>
            <w:shd w:val="clear" w:color="auto" w:fill="auto"/>
            <w:vAlign w:val="center"/>
            <w:hideMark/>
          </w:tcPr>
          <w:p w14:paraId="3D5E6EAF" w14:textId="77777777" w:rsidR="00D10123" w:rsidRPr="000E68C5" w:rsidRDefault="00D10123" w:rsidP="008E6468">
            <w:pPr>
              <w:ind w:firstLine="0"/>
              <w:rPr>
                <w:color w:val="000000"/>
              </w:rPr>
            </w:pPr>
            <w:r w:rsidRPr="000E68C5">
              <w:rPr>
                <w:color w:val="000000"/>
              </w:rPr>
              <w:t>Арктическая</w:t>
            </w:r>
          </w:p>
        </w:tc>
        <w:tc>
          <w:tcPr>
            <w:tcW w:w="1226" w:type="pct"/>
            <w:tcBorders>
              <w:top w:val="nil"/>
              <w:left w:val="nil"/>
              <w:bottom w:val="single" w:sz="4" w:space="0" w:color="auto"/>
              <w:right w:val="single" w:sz="4" w:space="0" w:color="auto"/>
            </w:tcBorders>
            <w:shd w:val="clear" w:color="auto" w:fill="auto"/>
            <w:vAlign w:val="center"/>
            <w:hideMark/>
          </w:tcPr>
          <w:p w14:paraId="6AC909C9" w14:textId="77777777" w:rsidR="00D10123" w:rsidRPr="000E68C5" w:rsidRDefault="00D10123" w:rsidP="008E6468">
            <w:pPr>
              <w:ind w:firstLine="0"/>
              <w:rPr>
                <w:color w:val="000000"/>
              </w:rPr>
            </w:pPr>
            <w:r w:rsidRPr="000E68C5">
              <w:rPr>
                <w:color w:val="000000"/>
              </w:rPr>
              <w:t>Момский</w:t>
            </w:r>
          </w:p>
        </w:tc>
        <w:tc>
          <w:tcPr>
            <w:tcW w:w="1077" w:type="pct"/>
            <w:tcBorders>
              <w:top w:val="nil"/>
              <w:left w:val="nil"/>
              <w:bottom w:val="single" w:sz="4" w:space="0" w:color="auto"/>
              <w:right w:val="single" w:sz="4" w:space="0" w:color="auto"/>
            </w:tcBorders>
            <w:shd w:val="clear" w:color="auto" w:fill="auto"/>
            <w:vAlign w:val="center"/>
            <w:hideMark/>
          </w:tcPr>
          <w:p w14:paraId="3D895889" w14:textId="77777777" w:rsidR="00D10123" w:rsidRPr="000E68C5" w:rsidRDefault="00D10123" w:rsidP="008E6468">
            <w:pPr>
              <w:ind w:firstLine="0"/>
              <w:rPr>
                <w:color w:val="000000"/>
              </w:rPr>
            </w:pPr>
            <w:r w:rsidRPr="000E68C5">
              <w:rPr>
                <w:color w:val="000000"/>
              </w:rPr>
              <w:t>МО</w:t>
            </w:r>
          </w:p>
        </w:tc>
        <w:tc>
          <w:tcPr>
            <w:tcW w:w="1229" w:type="pct"/>
            <w:tcBorders>
              <w:top w:val="nil"/>
              <w:left w:val="nil"/>
              <w:bottom w:val="single" w:sz="4" w:space="0" w:color="auto"/>
              <w:right w:val="single" w:sz="4" w:space="0" w:color="auto"/>
            </w:tcBorders>
            <w:shd w:val="clear" w:color="auto" w:fill="auto"/>
            <w:vAlign w:val="center"/>
            <w:hideMark/>
          </w:tcPr>
          <w:p w14:paraId="591644A1" w14:textId="77777777" w:rsidR="00D10123" w:rsidRPr="000E68C5" w:rsidRDefault="00D10123" w:rsidP="008E6468">
            <w:pPr>
              <w:ind w:firstLine="0"/>
              <w:rPr>
                <w:color w:val="000000"/>
              </w:rPr>
            </w:pPr>
            <w:r w:rsidRPr="000E68C5">
              <w:rPr>
                <w:color w:val="000000"/>
              </w:rPr>
              <w:t>0,27</w:t>
            </w:r>
          </w:p>
        </w:tc>
      </w:tr>
      <w:tr w:rsidR="00D10123" w:rsidRPr="000E68C5" w14:paraId="3F4788BC" w14:textId="77777777" w:rsidTr="00836C93">
        <w:trPr>
          <w:trHeight w:val="405"/>
        </w:trPr>
        <w:tc>
          <w:tcPr>
            <w:tcW w:w="346" w:type="pct"/>
            <w:tcBorders>
              <w:top w:val="nil"/>
              <w:left w:val="single" w:sz="4" w:space="0" w:color="auto"/>
              <w:bottom w:val="single" w:sz="4" w:space="0" w:color="auto"/>
              <w:right w:val="single" w:sz="4" w:space="0" w:color="auto"/>
            </w:tcBorders>
            <w:shd w:val="clear" w:color="auto" w:fill="auto"/>
            <w:vAlign w:val="center"/>
          </w:tcPr>
          <w:p w14:paraId="12E942FA" w14:textId="7BAD2888" w:rsidR="00D10123" w:rsidRPr="00836C93" w:rsidRDefault="00D10123" w:rsidP="00C106B5">
            <w:pPr>
              <w:pStyle w:val="af0"/>
              <w:numPr>
                <w:ilvl w:val="0"/>
                <w:numId w:val="106"/>
              </w:numPr>
              <w:ind w:left="36" w:firstLine="0"/>
              <w:rPr>
                <w:color w:val="000000"/>
              </w:rPr>
            </w:pPr>
          </w:p>
        </w:tc>
        <w:tc>
          <w:tcPr>
            <w:tcW w:w="1121" w:type="pct"/>
            <w:tcBorders>
              <w:top w:val="nil"/>
              <w:left w:val="nil"/>
              <w:bottom w:val="single" w:sz="4" w:space="0" w:color="auto"/>
              <w:right w:val="single" w:sz="4" w:space="0" w:color="auto"/>
            </w:tcBorders>
            <w:shd w:val="clear" w:color="auto" w:fill="auto"/>
            <w:vAlign w:val="center"/>
            <w:hideMark/>
          </w:tcPr>
          <w:p w14:paraId="19BB22E0" w14:textId="77777777" w:rsidR="00D10123" w:rsidRPr="000E68C5" w:rsidRDefault="00D10123" w:rsidP="008E6468">
            <w:pPr>
              <w:ind w:firstLine="0"/>
              <w:rPr>
                <w:color w:val="000000"/>
              </w:rPr>
            </w:pPr>
            <w:r w:rsidRPr="000E68C5">
              <w:rPr>
                <w:color w:val="000000"/>
              </w:rPr>
              <w:t>Центральная</w:t>
            </w:r>
          </w:p>
        </w:tc>
        <w:tc>
          <w:tcPr>
            <w:tcW w:w="1226" w:type="pct"/>
            <w:tcBorders>
              <w:top w:val="nil"/>
              <w:left w:val="nil"/>
              <w:bottom w:val="single" w:sz="4" w:space="0" w:color="auto"/>
              <w:right w:val="single" w:sz="4" w:space="0" w:color="auto"/>
            </w:tcBorders>
            <w:shd w:val="clear" w:color="auto" w:fill="auto"/>
            <w:vAlign w:val="center"/>
            <w:hideMark/>
          </w:tcPr>
          <w:p w14:paraId="3B35ABBD" w14:textId="77777777" w:rsidR="00D10123" w:rsidRPr="000E68C5" w:rsidRDefault="00D10123" w:rsidP="008E6468">
            <w:pPr>
              <w:ind w:firstLine="0"/>
              <w:rPr>
                <w:color w:val="000000"/>
              </w:rPr>
            </w:pPr>
            <w:r w:rsidRPr="000E68C5">
              <w:rPr>
                <w:color w:val="000000"/>
              </w:rPr>
              <w:t>Намский</w:t>
            </w:r>
          </w:p>
        </w:tc>
        <w:tc>
          <w:tcPr>
            <w:tcW w:w="1077" w:type="pct"/>
            <w:tcBorders>
              <w:top w:val="nil"/>
              <w:left w:val="nil"/>
              <w:bottom w:val="single" w:sz="4" w:space="0" w:color="auto"/>
              <w:right w:val="single" w:sz="4" w:space="0" w:color="auto"/>
            </w:tcBorders>
            <w:shd w:val="clear" w:color="auto" w:fill="auto"/>
            <w:vAlign w:val="center"/>
            <w:hideMark/>
          </w:tcPr>
          <w:p w14:paraId="150A4CA0" w14:textId="77777777" w:rsidR="00D10123" w:rsidRPr="000E68C5" w:rsidRDefault="00D10123" w:rsidP="008E6468">
            <w:pPr>
              <w:ind w:firstLine="0"/>
              <w:rPr>
                <w:color w:val="000000"/>
              </w:rPr>
            </w:pPr>
            <w:r w:rsidRPr="000E68C5">
              <w:rPr>
                <w:color w:val="000000"/>
              </w:rPr>
              <w:t>МО</w:t>
            </w:r>
          </w:p>
        </w:tc>
        <w:tc>
          <w:tcPr>
            <w:tcW w:w="1229" w:type="pct"/>
            <w:tcBorders>
              <w:top w:val="nil"/>
              <w:left w:val="nil"/>
              <w:bottom w:val="single" w:sz="4" w:space="0" w:color="auto"/>
              <w:right w:val="single" w:sz="4" w:space="0" w:color="auto"/>
            </w:tcBorders>
            <w:shd w:val="clear" w:color="auto" w:fill="auto"/>
            <w:vAlign w:val="center"/>
            <w:hideMark/>
          </w:tcPr>
          <w:p w14:paraId="472A5D3B" w14:textId="77777777" w:rsidR="00D10123" w:rsidRPr="000E68C5" w:rsidRDefault="00D10123" w:rsidP="008E6468">
            <w:pPr>
              <w:ind w:firstLine="0"/>
              <w:rPr>
                <w:color w:val="000000"/>
              </w:rPr>
            </w:pPr>
            <w:r w:rsidRPr="000E68C5">
              <w:rPr>
                <w:color w:val="000000"/>
              </w:rPr>
              <w:t>0,37</w:t>
            </w:r>
          </w:p>
        </w:tc>
      </w:tr>
      <w:tr w:rsidR="00D10123" w:rsidRPr="000E68C5" w14:paraId="0629B6E5" w14:textId="77777777" w:rsidTr="00836C93">
        <w:trPr>
          <w:trHeight w:val="405"/>
        </w:trPr>
        <w:tc>
          <w:tcPr>
            <w:tcW w:w="346" w:type="pct"/>
            <w:tcBorders>
              <w:top w:val="nil"/>
              <w:left w:val="single" w:sz="4" w:space="0" w:color="auto"/>
              <w:bottom w:val="single" w:sz="4" w:space="0" w:color="auto"/>
              <w:right w:val="single" w:sz="4" w:space="0" w:color="auto"/>
            </w:tcBorders>
            <w:shd w:val="clear" w:color="auto" w:fill="auto"/>
            <w:vAlign w:val="center"/>
          </w:tcPr>
          <w:p w14:paraId="36556824" w14:textId="3CF8DFB8" w:rsidR="00D10123" w:rsidRPr="00836C93" w:rsidRDefault="00D10123" w:rsidP="00C106B5">
            <w:pPr>
              <w:pStyle w:val="af0"/>
              <w:numPr>
                <w:ilvl w:val="0"/>
                <w:numId w:val="106"/>
              </w:numPr>
              <w:ind w:left="36" w:firstLine="0"/>
              <w:rPr>
                <w:color w:val="000000"/>
              </w:rPr>
            </w:pPr>
          </w:p>
        </w:tc>
        <w:tc>
          <w:tcPr>
            <w:tcW w:w="1121" w:type="pct"/>
            <w:tcBorders>
              <w:top w:val="nil"/>
              <w:left w:val="nil"/>
              <w:bottom w:val="single" w:sz="4" w:space="0" w:color="auto"/>
              <w:right w:val="single" w:sz="4" w:space="0" w:color="auto"/>
            </w:tcBorders>
            <w:shd w:val="clear" w:color="auto" w:fill="auto"/>
            <w:vAlign w:val="center"/>
            <w:hideMark/>
          </w:tcPr>
          <w:p w14:paraId="058910BD" w14:textId="77777777" w:rsidR="00D10123" w:rsidRPr="000E68C5" w:rsidRDefault="00D10123" w:rsidP="008E6468">
            <w:pPr>
              <w:ind w:firstLine="0"/>
              <w:rPr>
                <w:color w:val="000000"/>
              </w:rPr>
            </w:pPr>
            <w:r w:rsidRPr="000E68C5">
              <w:rPr>
                <w:color w:val="000000"/>
              </w:rPr>
              <w:t>Южная</w:t>
            </w:r>
          </w:p>
        </w:tc>
        <w:tc>
          <w:tcPr>
            <w:tcW w:w="1226" w:type="pct"/>
            <w:tcBorders>
              <w:top w:val="nil"/>
              <w:left w:val="nil"/>
              <w:bottom w:val="single" w:sz="4" w:space="0" w:color="auto"/>
              <w:right w:val="single" w:sz="4" w:space="0" w:color="auto"/>
            </w:tcBorders>
            <w:shd w:val="clear" w:color="auto" w:fill="auto"/>
            <w:vAlign w:val="center"/>
            <w:hideMark/>
          </w:tcPr>
          <w:p w14:paraId="7653C619" w14:textId="77777777" w:rsidR="00D10123" w:rsidRPr="000E68C5" w:rsidRDefault="00D10123" w:rsidP="008E6468">
            <w:pPr>
              <w:ind w:firstLine="0"/>
              <w:rPr>
                <w:color w:val="000000"/>
              </w:rPr>
            </w:pPr>
            <w:r w:rsidRPr="000E68C5">
              <w:rPr>
                <w:color w:val="000000"/>
              </w:rPr>
              <w:t>Нерюнгринский</w:t>
            </w:r>
          </w:p>
        </w:tc>
        <w:tc>
          <w:tcPr>
            <w:tcW w:w="1077" w:type="pct"/>
            <w:tcBorders>
              <w:top w:val="nil"/>
              <w:left w:val="nil"/>
              <w:bottom w:val="single" w:sz="4" w:space="0" w:color="auto"/>
              <w:right w:val="single" w:sz="4" w:space="0" w:color="auto"/>
            </w:tcBorders>
            <w:shd w:val="clear" w:color="auto" w:fill="auto"/>
            <w:vAlign w:val="center"/>
            <w:hideMark/>
          </w:tcPr>
          <w:p w14:paraId="06E3AA11" w14:textId="77777777" w:rsidR="00D10123" w:rsidRPr="000E68C5" w:rsidRDefault="00D10123" w:rsidP="008E6468">
            <w:pPr>
              <w:ind w:firstLine="0"/>
              <w:rPr>
                <w:color w:val="000000"/>
              </w:rPr>
            </w:pPr>
            <w:r w:rsidRPr="000E68C5">
              <w:rPr>
                <w:color w:val="000000"/>
              </w:rPr>
              <w:t>МО</w:t>
            </w:r>
          </w:p>
        </w:tc>
        <w:tc>
          <w:tcPr>
            <w:tcW w:w="1229" w:type="pct"/>
            <w:tcBorders>
              <w:top w:val="nil"/>
              <w:left w:val="nil"/>
              <w:bottom w:val="single" w:sz="4" w:space="0" w:color="auto"/>
              <w:right w:val="single" w:sz="4" w:space="0" w:color="auto"/>
            </w:tcBorders>
            <w:shd w:val="clear" w:color="auto" w:fill="auto"/>
            <w:vAlign w:val="center"/>
            <w:hideMark/>
          </w:tcPr>
          <w:p w14:paraId="670000C0" w14:textId="77777777" w:rsidR="00D10123" w:rsidRPr="000E68C5" w:rsidRDefault="00D10123" w:rsidP="008E6468">
            <w:pPr>
              <w:ind w:firstLine="0"/>
              <w:rPr>
                <w:color w:val="000000"/>
              </w:rPr>
            </w:pPr>
            <w:r w:rsidRPr="000E68C5">
              <w:rPr>
                <w:color w:val="000000"/>
              </w:rPr>
              <w:t>0,45</w:t>
            </w:r>
          </w:p>
        </w:tc>
      </w:tr>
      <w:tr w:rsidR="00D10123" w:rsidRPr="000E68C5" w14:paraId="5B36BE07" w14:textId="77777777" w:rsidTr="00836C93">
        <w:trPr>
          <w:trHeight w:val="405"/>
        </w:trPr>
        <w:tc>
          <w:tcPr>
            <w:tcW w:w="346" w:type="pct"/>
            <w:tcBorders>
              <w:top w:val="nil"/>
              <w:left w:val="single" w:sz="4" w:space="0" w:color="auto"/>
              <w:bottom w:val="single" w:sz="4" w:space="0" w:color="auto"/>
              <w:right w:val="single" w:sz="4" w:space="0" w:color="auto"/>
            </w:tcBorders>
            <w:shd w:val="clear" w:color="auto" w:fill="auto"/>
            <w:vAlign w:val="center"/>
          </w:tcPr>
          <w:p w14:paraId="095A2D50" w14:textId="32AB687E" w:rsidR="00D10123" w:rsidRPr="00836C93" w:rsidRDefault="00D10123" w:rsidP="00C106B5">
            <w:pPr>
              <w:pStyle w:val="af0"/>
              <w:numPr>
                <w:ilvl w:val="0"/>
                <w:numId w:val="106"/>
              </w:numPr>
              <w:ind w:left="36" w:firstLine="0"/>
              <w:rPr>
                <w:color w:val="000000"/>
              </w:rPr>
            </w:pPr>
          </w:p>
        </w:tc>
        <w:tc>
          <w:tcPr>
            <w:tcW w:w="1121" w:type="pct"/>
            <w:tcBorders>
              <w:top w:val="nil"/>
              <w:left w:val="nil"/>
              <w:bottom w:val="single" w:sz="4" w:space="0" w:color="auto"/>
              <w:right w:val="single" w:sz="4" w:space="0" w:color="auto"/>
            </w:tcBorders>
            <w:shd w:val="clear" w:color="auto" w:fill="auto"/>
            <w:vAlign w:val="center"/>
            <w:hideMark/>
          </w:tcPr>
          <w:p w14:paraId="6388F96D" w14:textId="77777777" w:rsidR="00D10123" w:rsidRPr="000E68C5" w:rsidRDefault="00D10123" w:rsidP="008E6468">
            <w:pPr>
              <w:ind w:firstLine="0"/>
              <w:rPr>
                <w:color w:val="000000"/>
              </w:rPr>
            </w:pPr>
            <w:r w:rsidRPr="000E68C5">
              <w:rPr>
                <w:color w:val="000000"/>
              </w:rPr>
              <w:t>Южная</w:t>
            </w:r>
          </w:p>
        </w:tc>
        <w:tc>
          <w:tcPr>
            <w:tcW w:w="1226" w:type="pct"/>
            <w:tcBorders>
              <w:top w:val="nil"/>
              <w:left w:val="nil"/>
              <w:bottom w:val="single" w:sz="4" w:space="0" w:color="auto"/>
              <w:right w:val="single" w:sz="4" w:space="0" w:color="auto"/>
            </w:tcBorders>
            <w:shd w:val="clear" w:color="auto" w:fill="auto"/>
            <w:vAlign w:val="center"/>
            <w:hideMark/>
          </w:tcPr>
          <w:p w14:paraId="18D5C09D" w14:textId="77777777" w:rsidR="00D10123" w:rsidRPr="000E68C5" w:rsidRDefault="00D10123" w:rsidP="008E6468">
            <w:pPr>
              <w:ind w:firstLine="0"/>
              <w:rPr>
                <w:color w:val="000000"/>
              </w:rPr>
            </w:pPr>
            <w:r w:rsidRPr="000E68C5">
              <w:rPr>
                <w:color w:val="000000"/>
              </w:rPr>
              <w:t>Нерюнгринский</w:t>
            </w:r>
          </w:p>
        </w:tc>
        <w:tc>
          <w:tcPr>
            <w:tcW w:w="1077" w:type="pct"/>
            <w:tcBorders>
              <w:top w:val="nil"/>
              <w:left w:val="nil"/>
              <w:bottom w:val="single" w:sz="4" w:space="0" w:color="auto"/>
              <w:right w:val="single" w:sz="4" w:space="0" w:color="auto"/>
            </w:tcBorders>
            <w:shd w:val="clear" w:color="auto" w:fill="auto"/>
            <w:vAlign w:val="center"/>
            <w:hideMark/>
          </w:tcPr>
          <w:p w14:paraId="5B4AFDBB" w14:textId="77777777" w:rsidR="00D10123" w:rsidRPr="000E68C5" w:rsidRDefault="00D10123" w:rsidP="008E6468">
            <w:pPr>
              <w:ind w:firstLine="0"/>
              <w:rPr>
                <w:color w:val="000000"/>
              </w:rPr>
            </w:pPr>
            <w:r w:rsidRPr="000E68C5">
              <w:rPr>
                <w:color w:val="000000"/>
              </w:rPr>
              <w:t>Нерюнгри</w:t>
            </w:r>
          </w:p>
        </w:tc>
        <w:tc>
          <w:tcPr>
            <w:tcW w:w="1229" w:type="pct"/>
            <w:tcBorders>
              <w:top w:val="nil"/>
              <w:left w:val="nil"/>
              <w:bottom w:val="single" w:sz="4" w:space="0" w:color="auto"/>
              <w:right w:val="single" w:sz="4" w:space="0" w:color="auto"/>
            </w:tcBorders>
            <w:shd w:val="clear" w:color="auto" w:fill="auto"/>
            <w:vAlign w:val="center"/>
            <w:hideMark/>
          </w:tcPr>
          <w:p w14:paraId="66F4DFB3" w14:textId="77777777" w:rsidR="00D10123" w:rsidRPr="000E68C5" w:rsidRDefault="00D10123" w:rsidP="008E6468">
            <w:pPr>
              <w:ind w:firstLine="0"/>
              <w:rPr>
                <w:color w:val="000000"/>
              </w:rPr>
            </w:pPr>
            <w:r w:rsidRPr="000E68C5">
              <w:rPr>
                <w:color w:val="000000"/>
              </w:rPr>
              <w:t>0,65</w:t>
            </w:r>
          </w:p>
        </w:tc>
      </w:tr>
      <w:tr w:rsidR="00D10123" w:rsidRPr="000E68C5" w14:paraId="27B6721F" w14:textId="77777777" w:rsidTr="00836C93">
        <w:trPr>
          <w:trHeight w:val="405"/>
        </w:trPr>
        <w:tc>
          <w:tcPr>
            <w:tcW w:w="346" w:type="pct"/>
            <w:tcBorders>
              <w:top w:val="nil"/>
              <w:left w:val="single" w:sz="4" w:space="0" w:color="auto"/>
              <w:bottom w:val="single" w:sz="4" w:space="0" w:color="auto"/>
              <w:right w:val="single" w:sz="4" w:space="0" w:color="auto"/>
            </w:tcBorders>
            <w:shd w:val="clear" w:color="auto" w:fill="auto"/>
            <w:vAlign w:val="center"/>
          </w:tcPr>
          <w:p w14:paraId="5E24F0E0" w14:textId="74D46AA9" w:rsidR="00D10123" w:rsidRPr="00836C93" w:rsidRDefault="00D10123" w:rsidP="00C106B5">
            <w:pPr>
              <w:pStyle w:val="af0"/>
              <w:numPr>
                <w:ilvl w:val="0"/>
                <w:numId w:val="106"/>
              </w:numPr>
              <w:ind w:left="36" w:firstLine="0"/>
              <w:rPr>
                <w:color w:val="000000"/>
              </w:rPr>
            </w:pPr>
          </w:p>
        </w:tc>
        <w:tc>
          <w:tcPr>
            <w:tcW w:w="1121" w:type="pct"/>
            <w:tcBorders>
              <w:top w:val="nil"/>
              <w:left w:val="nil"/>
              <w:bottom w:val="single" w:sz="4" w:space="0" w:color="auto"/>
              <w:right w:val="single" w:sz="4" w:space="0" w:color="auto"/>
            </w:tcBorders>
            <w:shd w:val="clear" w:color="auto" w:fill="auto"/>
            <w:vAlign w:val="center"/>
            <w:hideMark/>
          </w:tcPr>
          <w:p w14:paraId="4A39B583" w14:textId="77777777" w:rsidR="00D10123" w:rsidRPr="000E68C5" w:rsidRDefault="00D10123" w:rsidP="008E6468">
            <w:pPr>
              <w:ind w:firstLine="0"/>
              <w:rPr>
                <w:color w:val="000000"/>
              </w:rPr>
            </w:pPr>
            <w:r w:rsidRPr="000E68C5">
              <w:rPr>
                <w:color w:val="000000"/>
              </w:rPr>
              <w:t>Арктическая</w:t>
            </w:r>
          </w:p>
        </w:tc>
        <w:tc>
          <w:tcPr>
            <w:tcW w:w="1226" w:type="pct"/>
            <w:tcBorders>
              <w:top w:val="nil"/>
              <w:left w:val="nil"/>
              <w:bottom w:val="single" w:sz="4" w:space="0" w:color="auto"/>
              <w:right w:val="single" w:sz="4" w:space="0" w:color="auto"/>
            </w:tcBorders>
            <w:shd w:val="clear" w:color="auto" w:fill="auto"/>
            <w:vAlign w:val="center"/>
            <w:hideMark/>
          </w:tcPr>
          <w:p w14:paraId="22F55143" w14:textId="77777777" w:rsidR="00D10123" w:rsidRPr="000E68C5" w:rsidRDefault="00D10123" w:rsidP="008E6468">
            <w:pPr>
              <w:ind w:firstLine="0"/>
              <w:rPr>
                <w:color w:val="000000"/>
              </w:rPr>
            </w:pPr>
            <w:r w:rsidRPr="000E68C5">
              <w:rPr>
                <w:color w:val="000000"/>
              </w:rPr>
              <w:t>Нижнеколымский</w:t>
            </w:r>
          </w:p>
        </w:tc>
        <w:tc>
          <w:tcPr>
            <w:tcW w:w="1077" w:type="pct"/>
            <w:tcBorders>
              <w:top w:val="nil"/>
              <w:left w:val="nil"/>
              <w:bottom w:val="single" w:sz="4" w:space="0" w:color="auto"/>
              <w:right w:val="single" w:sz="4" w:space="0" w:color="auto"/>
            </w:tcBorders>
            <w:shd w:val="clear" w:color="auto" w:fill="auto"/>
            <w:vAlign w:val="center"/>
            <w:hideMark/>
          </w:tcPr>
          <w:p w14:paraId="383B35AE" w14:textId="77777777" w:rsidR="00D10123" w:rsidRPr="000E68C5" w:rsidRDefault="00D10123" w:rsidP="008E6468">
            <w:pPr>
              <w:ind w:firstLine="0"/>
              <w:rPr>
                <w:color w:val="000000"/>
              </w:rPr>
            </w:pPr>
            <w:r w:rsidRPr="000E68C5">
              <w:rPr>
                <w:color w:val="000000"/>
              </w:rPr>
              <w:t>МО</w:t>
            </w:r>
          </w:p>
        </w:tc>
        <w:tc>
          <w:tcPr>
            <w:tcW w:w="1229" w:type="pct"/>
            <w:tcBorders>
              <w:top w:val="nil"/>
              <w:left w:val="nil"/>
              <w:bottom w:val="single" w:sz="4" w:space="0" w:color="auto"/>
              <w:right w:val="single" w:sz="4" w:space="0" w:color="auto"/>
            </w:tcBorders>
            <w:shd w:val="clear" w:color="auto" w:fill="auto"/>
            <w:vAlign w:val="center"/>
            <w:hideMark/>
          </w:tcPr>
          <w:p w14:paraId="528732D8" w14:textId="77777777" w:rsidR="00D10123" w:rsidRPr="000E68C5" w:rsidRDefault="00D10123" w:rsidP="008E6468">
            <w:pPr>
              <w:ind w:firstLine="0"/>
              <w:rPr>
                <w:color w:val="000000"/>
              </w:rPr>
            </w:pPr>
            <w:r w:rsidRPr="000E68C5">
              <w:rPr>
                <w:color w:val="000000"/>
              </w:rPr>
              <w:t>0,26</w:t>
            </w:r>
          </w:p>
        </w:tc>
      </w:tr>
      <w:tr w:rsidR="00D10123" w:rsidRPr="000E68C5" w14:paraId="23EE9C72" w14:textId="77777777" w:rsidTr="00836C93">
        <w:trPr>
          <w:trHeight w:val="405"/>
        </w:trPr>
        <w:tc>
          <w:tcPr>
            <w:tcW w:w="346" w:type="pct"/>
            <w:tcBorders>
              <w:top w:val="nil"/>
              <w:left w:val="single" w:sz="4" w:space="0" w:color="auto"/>
              <w:bottom w:val="single" w:sz="4" w:space="0" w:color="auto"/>
              <w:right w:val="single" w:sz="4" w:space="0" w:color="auto"/>
            </w:tcBorders>
            <w:shd w:val="clear" w:color="auto" w:fill="auto"/>
            <w:vAlign w:val="center"/>
          </w:tcPr>
          <w:p w14:paraId="1D44C716" w14:textId="140CBAC7" w:rsidR="00D10123" w:rsidRPr="00836C93" w:rsidRDefault="00D10123" w:rsidP="00C106B5">
            <w:pPr>
              <w:pStyle w:val="af0"/>
              <w:numPr>
                <w:ilvl w:val="0"/>
                <w:numId w:val="106"/>
              </w:numPr>
              <w:ind w:left="36" w:firstLine="0"/>
              <w:rPr>
                <w:color w:val="000000"/>
              </w:rPr>
            </w:pPr>
          </w:p>
        </w:tc>
        <w:tc>
          <w:tcPr>
            <w:tcW w:w="1121" w:type="pct"/>
            <w:tcBorders>
              <w:top w:val="nil"/>
              <w:left w:val="nil"/>
              <w:bottom w:val="single" w:sz="4" w:space="0" w:color="auto"/>
              <w:right w:val="single" w:sz="4" w:space="0" w:color="auto"/>
            </w:tcBorders>
            <w:shd w:val="clear" w:color="auto" w:fill="auto"/>
            <w:vAlign w:val="center"/>
            <w:hideMark/>
          </w:tcPr>
          <w:p w14:paraId="729656D4" w14:textId="77777777" w:rsidR="00D10123" w:rsidRPr="000E68C5" w:rsidRDefault="00D10123" w:rsidP="008E6468">
            <w:pPr>
              <w:ind w:firstLine="0"/>
              <w:rPr>
                <w:color w:val="000000"/>
              </w:rPr>
            </w:pPr>
            <w:r w:rsidRPr="000E68C5">
              <w:rPr>
                <w:color w:val="000000"/>
              </w:rPr>
              <w:t>Арктическая</w:t>
            </w:r>
          </w:p>
        </w:tc>
        <w:tc>
          <w:tcPr>
            <w:tcW w:w="1226" w:type="pct"/>
            <w:tcBorders>
              <w:top w:val="nil"/>
              <w:left w:val="nil"/>
              <w:bottom w:val="single" w:sz="4" w:space="0" w:color="auto"/>
              <w:right w:val="single" w:sz="4" w:space="0" w:color="auto"/>
            </w:tcBorders>
            <w:shd w:val="clear" w:color="auto" w:fill="auto"/>
            <w:vAlign w:val="center"/>
            <w:hideMark/>
          </w:tcPr>
          <w:p w14:paraId="0C8DF9EE" w14:textId="77777777" w:rsidR="00D10123" w:rsidRPr="000E68C5" w:rsidRDefault="00D10123" w:rsidP="008E6468">
            <w:pPr>
              <w:ind w:firstLine="0"/>
              <w:rPr>
                <w:color w:val="000000"/>
              </w:rPr>
            </w:pPr>
            <w:r w:rsidRPr="000E68C5">
              <w:rPr>
                <w:color w:val="000000"/>
              </w:rPr>
              <w:t>Нижнеколымский</w:t>
            </w:r>
          </w:p>
        </w:tc>
        <w:tc>
          <w:tcPr>
            <w:tcW w:w="1077" w:type="pct"/>
            <w:tcBorders>
              <w:top w:val="nil"/>
              <w:left w:val="nil"/>
              <w:bottom w:val="single" w:sz="4" w:space="0" w:color="auto"/>
              <w:right w:val="single" w:sz="4" w:space="0" w:color="auto"/>
            </w:tcBorders>
            <w:shd w:val="clear" w:color="auto" w:fill="auto"/>
            <w:vAlign w:val="center"/>
            <w:hideMark/>
          </w:tcPr>
          <w:p w14:paraId="3DB9DD21" w14:textId="77777777" w:rsidR="00D10123" w:rsidRPr="000E68C5" w:rsidRDefault="00D10123" w:rsidP="008E6468">
            <w:pPr>
              <w:ind w:firstLine="0"/>
              <w:rPr>
                <w:color w:val="000000"/>
              </w:rPr>
            </w:pPr>
            <w:r w:rsidRPr="000E68C5">
              <w:rPr>
                <w:color w:val="000000"/>
              </w:rPr>
              <w:t>Черский</w:t>
            </w:r>
          </w:p>
        </w:tc>
        <w:tc>
          <w:tcPr>
            <w:tcW w:w="1229" w:type="pct"/>
            <w:tcBorders>
              <w:top w:val="nil"/>
              <w:left w:val="nil"/>
              <w:bottom w:val="single" w:sz="4" w:space="0" w:color="auto"/>
              <w:right w:val="single" w:sz="4" w:space="0" w:color="auto"/>
            </w:tcBorders>
            <w:shd w:val="clear" w:color="auto" w:fill="auto"/>
            <w:vAlign w:val="center"/>
            <w:hideMark/>
          </w:tcPr>
          <w:p w14:paraId="1E650146" w14:textId="77777777" w:rsidR="00D10123" w:rsidRPr="000E68C5" w:rsidRDefault="00D10123" w:rsidP="008E6468">
            <w:pPr>
              <w:ind w:firstLine="0"/>
              <w:rPr>
                <w:color w:val="000000"/>
              </w:rPr>
            </w:pPr>
            <w:r w:rsidRPr="000E68C5">
              <w:rPr>
                <w:color w:val="000000"/>
              </w:rPr>
              <w:t>0,42</w:t>
            </w:r>
          </w:p>
        </w:tc>
      </w:tr>
      <w:tr w:rsidR="00D10123" w:rsidRPr="000E68C5" w14:paraId="60AD01DD" w14:textId="77777777" w:rsidTr="00836C93">
        <w:trPr>
          <w:trHeight w:val="315"/>
        </w:trPr>
        <w:tc>
          <w:tcPr>
            <w:tcW w:w="346" w:type="pct"/>
            <w:tcBorders>
              <w:top w:val="nil"/>
              <w:left w:val="single" w:sz="4" w:space="0" w:color="auto"/>
              <w:bottom w:val="single" w:sz="4" w:space="0" w:color="auto"/>
              <w:right w:val="single" w:sz="4" w:space="0" w:color="auto"/>
            </w:tcBorders>
            <w:shd w:val="clear" w:color="auto" w:fill="auto"/>
            <w:vAlign w:val="center"/>
          </w:tcPr>
          <w:p w14:paraId="13F475DE" w14:textId="47660EA1" w:rsidR="00D10123" w:rsidRPr="00836C93" w:rsidRDefault="00D10123" w:rsidP="00C106B5">
            <w:pPr>
              <w:pStyle w:val="af0"/>
              <w:numPr>
                <w:ilvl w:val="0"/>
                <w:numId w:val="106"/>
              </w:numPr>
              <w:ind w:left="36" w:firstLine="0"/>
              <w:rPr>
                <w:color w:val="000000"/>
              </w:rPr>
            </w:pPr>
          </w:p>
        </w:tc>
        <w:tc>
          <w:tcPr>
            <w:tcW w:w="1121" w:type="pct"/>
            <w:tcBorders>
              <w:top w:val="nil"/>
              <w:left w:val="nil"/>
              <w:bottom w:val="single" w:sz="4" w:space="0" w:color="auto"/>
              <w:right w:val="single" w:sz="4" w:space="0" w:color="auto"/>
            </w:tcBorders>
            <w:shd w:val="clear" w:color="auto" w:fill="auto"/>
            <w:vAlign w:val="center"/>
            <w:hideMark/>
          </w:tcPr>
          <w:p w14:paraId="245A7ED2" w14:textId="77777777" w:rsidR="00D10123" w:rsidRPr="000E68C5" w:rsidRDefault="00D10123" w:rsidP="008E6468">
            <w:pPr>
              <w:ind w:firstLine="0"/>
              <w:rPr>
                <w:color w:val="000000"/>
              </w:rPr>
            </w:pPr>
            <w:r w:rsidRPr="000E68C5">
              <w:rPr>
                <w:color w:val="000000"/>
              </w:rPr>
              <w:t>Западная</w:t>
            </w:r>
          </w:p>
        </w:tc>
        <w:tc>
          <w:tcPr>
            <w:tcW w:w="1226" w:type="pct"/>
            <w:tcBorders>
              <w:top w:val="nil"/>
              <w:left w:val="nil"/>
              <w:bottom w:val="single" w:sz="4" w:space="0" w:color="auto"/>
              <w:right w:val="single" w:sz="4" w:space="0" w:color="auto"/>
            </w:tcBorders>
            <w:shd w:val="clear" w:color="auto" w:fill="auto"/>
            <w:vAlign w:val="center"/>
            <w:hideMark/>
          </w:tcPr>
          <w:p w14:paraId="3EC00878" w14:textId="77777777" w:rsidR="00D10123" w:rsidRPr="000E68C5" w:rsidRDefault="00D10123" w:rsidP="008E6468">
            <w:pPr>
              <w:ind w:firstLine="0"/>
              <w:rPr>
                <w:color w:val="000000"/>
              </w:rPr>
            </w:pPr>
            <w:r w:rsidRPr="000E68C5">
              <w:rPr>
                <w:color w:val="000000"/>
              </w:rPr>
              <w:t>Нюрбинский</w:t>
            </w:r>
          </w:p>
        </w:tc>
        <w:tc>
          <w:tcPr>
            <w:tcW w:w="1077" w:type="pct"/>
            <w:tcBorders>
              <w:top w:val="nil"/>
              <w:left w:val="nil"/>
              <w:bottom w:val="single" w:sz="4" w:space="0" w:color="auto"/>
              <w:right w:val="single" w:sz="4" w:space="0" w:color="auto"/>
            </w:tcBorders>
            <w:shd w:val="clear" w:color="auto" w:fill="auto"/>
            <w:vAlign w:val="center"/>
            <w:hideMark/>
          </w:tcPr>
          <w:p w14:paraId="6811B6B0" w14:textId="77777777" w:rsidR="00D10123" w:rsidRPr="000E68C5" w:rsidRDefault="00D10123" w:rsidP="008E6468">
            <w:pPr>
              <w:ind w:firstLine="0"/>
              <w:rPr>
                <w:color w:val="000000"/>
              </w:rPr>
            </w:pPr>
            <w:r w:rsidRPr="000E68C5">
              <w:rPr>
                <w:color w:val="000000"/>
              </w:rPr>
              <w:t>МО</w:t>
            </w:r>
          </w:p>
        </w:tc>
        <w:tc>
          <w:tcPr>
            <w:tcW w:w="1229" w:type="pct"/>
            <w:tcBorders>
              <w:top w:val="nil"/>
              <w:left w:val="nil"/>
              <w:bottom w:val="single" w:sz="4" w:space="0" w:color="auto"/>
              <w:right w:val="single" w:sz="4" w:space="0" w:color="auto"/>
            </w:tcBorders>
            <w:shd w:val="clear" w:color="auto" w:fill="auto"/>
            <w:vAlign w:val="center"/>
            <w:hideMark/>
          </w:tcPr>
          <w:p w14:paraId="0A9A68A4" w14:textId="77777777" w:rsidR="00D10123" w:rsidRPr="000E68C5" w:rsidRDefault="00D10123" w:rsidP="008E6468">
            <w:pPr>
              <w:ind w:firstLine="0"/>
              <w:rPr>
                <w:color w:val="000000"/>
              </w:rPr>
            </w:pPr>
            <w:r w:rsidRPr="000E68C5">
              <w:rPr>
                <w:color w:val="000000"/>
              </w:rPr>
              <w:t>0,39</w:t>
            </w:r>
          </w:p>
        </w:tc>
      </w:tr>
      <w:tr w:rsidR="00D10123" w:rsidRPr="000E68C5" w14:paraId="14F6C56E" w14:textId="77777777" w:rsidTr="00836C93">
        <w:trPr>
          <w:trHeight w:val="315"/>
        </w:trPr>
        <w:tc>
          <w:tcPr>
            <w:tcW w:w="346" w:type="pct"/>
            <w:tcBorders>
              <w:top w:val="nil"/>
              <w:left w:val="single" w:sz="4" w:space="0" w:color="auto"/>
              <w:bottom w:val="single" w:sz="4" w:space="0" w:color="auto"/>
              <w:right w:val="single" w:sz="4" w:space="0" w:color="auto"/>
            </w:tcBorders>
            <w:shd w:val="clear" w:color="auto" w:fill="auto"/>
            <w:vAlign w:val="center"/>
          </w:tcPr>
          <w:p w14:paraId="682D7484" w14:textId="314C0204" w:rsidR="00D10123" w:rsidRPr="00836C93" w:rsidRDefault="00D10123" w:rsidP="00C106B5">
            <w:pPr>
              <w:pStyle w:val="af0"/>
              <w:numPr>
                <w:ilvl w:val="0"/>
                <w:numId w:val="106"/>
              </w:numPr>
              <w:ind w:left="36" w:firstLine="0"/>
              <w:rPr>
                <w:color w:val="000000"/>
              </w:rPr>
            </w:pPr>
          </w:p>
        </w:tc>
        <w:tc>
          <w:tcPr>
            <w:tcW w:w="1121" w:type="pct"/>
            <w:tcBorders>
              <w:top w:val="nil"/>
              <w:left w:val="nil"/>
              <w:bottom w:val="single" w:sz="4" w:space="0" w:color="auto"/>
              <w:right w:val="single" w:sz="4" w:space="0" w:color="auto"/>
            </w:tcBorders>
            <w:shd w:val="clear" w:color="auto" w:fill="auto"/>
            <w:vAlign w:val="center"/>
            <w:hideMark/>
          </w:tcPr>
          <w:p w14:paraId="32DBE81C" w14:textId="77777777" w:rsidR="00D10123" w:rsidRPr="000E68C5" w:rsidRDefault="00D10123" w:rsidP="008E6468">
            <w:pPr>
              <w:ind w:firstLine="0"/>
              <w:rPr>
                <w:color w:val="000000"/>
              </w:rPr>
            </w:pPr>
            <w:r w:rsidRPr="000E68C5">
              <w:rPr>
                <w:color w:val="000000"/>
              </w:rPr>
              <w:t>Западная</w:t>
            </w:r>
          </w:p>
        </w:tc>
        <w:tc>
          <w:tcPr>
            <w:tcW w:w="1226" w:type="pct"/>
            <w:tcBorders>
              <w:top w:val="nil"/>
              <w:left w:val="nil"/>
              <w:bottom w:val="single" w:sz="4" w:space="0" w:color="auto"/>
              <w:right w:val="single" w:sz="4" w:space="0" w:color="auto"/>
            </w:tcBorders>
            <w:shd w:val="clear" w:color="auto" w:fill="auto"/>
            <w:vAlign w:val="center"/>
            <w:hideMark/>
          </w:tcPr>
          <w:p w14:paraId="39645330" w14:textId="77777777" w:rsidR="00D10123" w:rsidRPr="000E68C5" w:rsidRDefault="00D10123" w:rsidP="008E6468">
            <w:pPr>
              <w:ind w:firstLine="0"/>
              <w:rPr>
                <w:color w:val="000000"/>
              </w:rPr>
            </w:pPr>
            <w:r w:rsidRPr="000E68C5">
              <w:rPr>
                <w:color w:val="000000"/>
              </w:rPr>
              <w:t>Нюрбинский</w:t>
            </w:r>
          </w:p>
        </w:tc>
        <w:tc>
          <w:tcPr>
            <w:tcW w:w="1077" w:type="pct"/>
            <w:tcBorders>
              <w:top w:val="nil"/>
              <w:left w:val="nil"/>
              <w:bottom w:val="single" w:sz="4" w:space="0" w:color="auto"/>
              <w:right w:val="single" w:sz="4" w:space="0" w:color="auto"/>
            </w:tcBorders>
            <w:shd w:val="clear" w:color="auto" w:fill="auto"/>
            <w:vAlign w:val="center"/>
            <w:hideMark/>
          </w:tcPr>
          <w:p w14:paraId="58D82A2F" w14:textId="77777777" w:rsidR="00D10123" w:rsidRPr="000E68C5" w:rsidRDefault="00D10123" w:rsidP="008E6468">
            <w:pPr>
              <w:ind w:firstLine="0"/>
              <w:rPr>
                <w:color w:val="000000"/>
              </w:rPr>
            </w:pPr>
            <w:r w:rsidRPr="000E68C5">
              <w:rPr>
                <w:color w:val="000000"/>
              </w:rPr>
              <w:t>Нюрба</w:t>
            </w:r>
          </w:p>
        </w:tc>
        <w:tc>
          <w:tcPr>
            <w:tcW w:w="1229" w:type="pct"/>
            <w:tcBorders>
              <w:top w:val="nil"/>
              <w:left w:val="nil"/>
              <w:bottom w:val="single" w:sz="4" w:space="0" w:color="auto"/>
              <w:right w:val="single" w:sz="4" w:space="0" w:color="auto"/>
            </w:tcBorders>
            <w:shd w:val="clear" w:color="auto" w:fill="auto"/>
            <w:vAlign w:val="center"/>
            <w:hideMark/>
          </w:tcPr>
          <w:p w14:paraId="77D72D6E" w14:textId="77777777" w:rsidR="00D10123" w:rsidRPr="000E68C5" w:rsidRDefault="00D10123" w:rsidP="008E6468">
            <w:pPr>
              <w:ind w:firstLine="0"/>
              <w:rPr>
                <w:color w:val="000000"/>
              </w:rPr>
            </w:pPr>
            <w:r w:rsidRPr="000E68C5">
              <w:rPr>
                <w:color w:val="000000"/>
              </w:rPr>
              <w:t>0,56</w:t>
            </w:r>
          </w:p>
        </w:tc>
      </w:tr>
      <w:tr w:rsidR="00D10123" w:rsidRPr="000E68C5" w14:paraId="3B9BE594" w14:textId="77777777" w:rsidTr="00836C93">
        <w:trPr>
          <w:trHeight w:val="315"/>
        </w:trPr>
        <w:tc>
          <w:tcPr>
            <w:tcW w:w="346" w:type="pct"/>
            <w:tcBorders>
              <w:top w:val="nil"/>
              <w:left w:val="single" w:sz="4" w:space="0" w:color="auto"/>
              <w:bottom w:val="single" w:sz="4" w:space="0" w:color="auto"/>
              <w:right w:val="single" w:sz="4" w:space="0" w:color="auto"/>
            </w:tcBorders>
            <w:shd w:val="clear" w:color="auto" w:fill="auto"/>
            <w:vAlign w:val="center"/>
          </w:tcPr>
          <w:p w14:paraId="5A00D929" w14:textId="4BF630E3" w:rsidR="00D10123" w:rsidRPr="00836C93" w:rsidRDefault="00D10123" w:rsidP="00C106B5">
            <w:pPr>
              <w:pStyle w:val="af0"/>
              <w:numPr>
                <w:ilvl w:val="0"/>
                <w:numId w:val="106"/>
              </w:numPr>
              <w:ind w:left="36" w:firstLine="0"/>
              <w:rPr>
                <w:color w:val="000000"/>
              </w:rPr>
            </w:pPr>
          </w:p>
        </w:tc>
        <w:tc>
          <w:tcPr>
            <w:tcW w:w="1121" w:type="pct"/>
            <w:tcBorders>
              <w:top w:val="nil"/>
              <w:left w:val="nil"/>
              <w:bottom w:val="single" w:sz="4" w:space="0" w:color="auto"/>
              <w:right w:val="single" w:sz="4" w:space="0" w:color="auto"/>
            </w:tcBorders>
            <w:shd w:val="clear" w:color="auto" w:fill="auto"/>
            <w:vAlign w:val="center"/>
            <w:hideMark/>
          </w:tcPr>
          <w:p w14:paraId="6D97EFAE" w14:textId="77777777" w:rsidR="00D10123" w:rsidRPr="000E68C5" w:rsidRDefault="00D10123" w:rsidP="008E6468">
            <w:pPr>
              <w:ind w:firstLine="0"/>
              <w:rPr>
                <w:color w:val="000000"/>
              </w:rPr>
            </w:pPr>
            <w:r w:rsidRPr="000E68C5">
              <w:rPr>
                <w:color w:val="000000"/>
              </w:rPr>
              <w:t>Восточная</w:t>
            </w:r>
          </w:p>
        </w:tc>
        <w:tc>
          <w:tcPr>
            <w:tcW w:w="1226" w:type="pct"/>
            <w:tcBorders>
              <w:top w:val="nil"/>
              <w:left w:val="nil"/>
              <w:bottom w:val="single" w:sz="4" w:space="0" w:color="auto"/>
              <w:right w:val="single" w:sz="4" w:space="0" w:color="auto"/>
            </w:tcBorders>
            <w:shd w:val="clear" w:color="auto" w:fill="auto"/>
            <w:vAlign w:val="center"/>
            <w:hideMark/>
          </w:tcPr>
          <w:p w14:paraId="78D2D4BA" w14:textId="77777777" w:rsidR="00D10123" w:rsidRPr="000E68C5" w:rsidRDefault="00D10123" w:rsidP="008E6468">
            <w:pPr>
              <w:ind w:firstLine="0"/>
              <w:rPr>
                <w:color w:val="000000"/>
              </w:rPr>
            </w:pPr>
            <w:r w:rsidRPr="000E68C5">
              <w:rPr>
                <w:color w:val="000000"/>
              </w:rPr>
              <w:t>Оймяконский</w:t>
            </w:r>
          </w:p>
        </w:tc>
        <w:tc>
          <w:tcPr>
            <w:tcW w:w="1077" w:type="pct"/>
            <w:tcBorders>
              <w:top w:val="nil"/>
              <w:left w:val="nil"/>
              <w:bottom w:val="single" w:sz="4" w:space="0" w:color="auto"/>
              <w:right w:val="single" w:sz="4" w:space="0" w:color="auto"/>
            </w:tcBorders>
            <w:shd w:val="clear" w:color="auto" w:fill="auto"/>
            <w:vAlign w:val="center"/>
            <w:hideMark/>
          </w:tcPr>
          <w:p w14:paraId="4B37E0C6" w14:textId="77777777" w:rsidR="00D10123" w:rsidRPr="000E68C5" w:rsidRDefault="00D10123" w:rsidP="008E6468">
            <w:pPr>
              <w:ind w:firstLine="0"/>
              <w:rPr>
                <w:color w:val="000000"/>
              </w:rPr>
            </w:pPr>
            <w:r w:rsidRPr="000E68C5">
              <w:rPr>
                <w:color w:val="000000"/>
              </w:rPr>
              <w:t>МО</w:t>
            </w:r>
          </w:p>
        </w:tc>
        <w:tc>
          <w:tcPr>
            <w:tcW w:w="1229" w:type="pct"/>
            <w:tcBorders>
              <w:top w:val="nil"/>
              <w:left w:val="nil"/>
              <w:bottom w:val="single" w:sz="4" w:space="0" w:color="auto"/>
              <w:right w:val="single" w:sz="4" w:space="0" w:color="auto"/>
            </w:tcBorders>
            <w:shd w:val="clear" w:color="auto" w:fill="auto"/>
            <w:vAlign w:val="center"/>
            <w:hideMark/>
          </w:tcPr>
          <w:p w14:paraId="39B6F9DA" w14:textId="77777777" w:rsidR="00D10123" w:rsidRPr="000E68C5" w:rsidRDefault="00D10123" w:rsidP="008E6468">
            <w:pPr>
              <w:ind w:firstLine="0"/>
              <w:rPr>
                <w:color w:val="000000"/>
              </w:rPr>
            </w:pPr>
            <w:r w:rsidRPr="000E68C5">
              <w:rPr>
                <w:color w:val="000000"/>
              </w:rPr>
              <w:t>0,30</w:t>
            </w:r>
          </w:p>
        </w:tc>
      </w:tr>
      <w:tr w:rsidR="00D10123" w:rsidRPr="000E68C5" w14:paraId="790842D8" w14:textId="77777777" w:rsidTr="00836C93">
        <w:trPr>
          <w:trHeight w:val="315"/>
        </w:trPr>
        <w:tc>
          <w:tcPr>
            <w:tcW w:w="346" w:type="pct"/>
            <w:tcBorders>
              <w:top w:val="nil"/>
              <w:left w:val="single" w:sz="4" w:space="0" w:color="auto"/>
              <w:bottom w:val="single" w:sz="4" w:space="0" w:color="auto"/>
              <w:right w:val="single" w:sz="4" w:space="0" w:color="auto"/>
            </w:tcBorders>
            <w:shd w:val="clear" w:color="auto" w:fill="auto"/>
            <w:vAlign w:val="center"/>
          </w:tcPr>
          <w:p w14:paraId="66C3403F" w14:textId="3EBE61B6" w:rsidR="00D10123" w:rsidRPr="00836C93" w:rsidRDefault="00D10123" w:rsidP="00C106B5">
            <w:pPr>
              <w:pStyle w:val="af0"/>
              <w:numPr>
                <w:ilvl w:val="0"/>
                <w:numId w:val="106"/>
              </w:numPr>
              <w:ind w:left="36" w:firstLine="0"/>
              <w:rPr>
                <w:color w:val="000000"/>
              </w:rPr>
            </w:pPr>
          </w:p>
        </w:tc>
        <w:tc>
          <w:tcPr>
            <w:tcW w:w="1121" w:type="pct"/>
            <w:tcBorders>
              <w:top w:val="nil"/>
              <w:left w:val="nil"/>
              <w:bottom w:val="single" w:sz="4" w:space="0" w:color="auto"/>
              <w:right w:val="single" w:sz="4" w:space="0" w:color="auto"/>
            </w:tcBorders>
            <w:shd w:val="clear" w:color="auto" w:fill="auto"/>
            <w:vAlign w:val="center"/>
            <w:hideMark/>
          </w:tcPr>
          <w:p w14:paraId="6B8496C9" w14:textId="77777777" w:rsidR="00D10123" w:rsidRPr="000E68C5" w:rsidRDefault="00D10123" w:rsidP="008E6468">
            <w:pPr>
              <w:ind w:firstLine="0"/>
              <w:rPr>
                <w:color w:val="000000"/>
              </w:rPr>
            </w:pPr>
            <w:r w:rsidRPr="000E68C5">
              <w:rPr>
                <w:color w:val="000000"/>
              </w:rPr>
              <w:t>Восточная</w:t>
            </w:r>
          </w:p>
        </w:tc>
        <w:tc>
          <w:tcPr>
            <w:tcW w:w="1226" w:type="pct"/>
            <w:tcBorders>
              <w:top w:val="nil"/>
              <w:left w:val="nil"/>
              <w:bottom w:val="single" w:sz="4" w:space="0" w:color="auto"/>
              <w:right w:val="single" w:sz="4" w:space="0" w:color="auto"/>
            </w:tcBorders>
            <w:shd w:val="clear" w:color="auto" w:fill="auto"/>
            <w:vAlign w:val="center"/>
            <w:hideMark/>
          </w:tcPr>
          <w:p w14:paraId="58999E6B" w14:textId="77777777" w:rsidR="00D10123" w:rsidRPr="000E68C5" w:rsidRDefault="00D10123" w:rsidP="008E6468">
            <w:pPr>
              <w:ind w:firstLine="0"/>
              <w:rPr>
                <w:color w:val="000000"/>
              </w:rPr>
            </w:pPr>
            <w:r w:rsidRPr="000E68C5">
              <w:rPr>
                <w:color w:val="000000"/>
              </w:rPr>
              <w:t>Оймяконский</w:t>
            </w:r>
          </w:p>
        </w:tc>
        <w:tc>
          <w:tcPr>
            <w:tcW w:w="1077" w:type="pct"/>
            <w:tcBorders>
              <w:top w:val="nil"/>
              <w:left w:val="nil"/>
              <w:bottom w:val="single" w:sz="4" w:space="0" w:color="auto"/>
              <w:right w:val="single" w:sz="4" w:space="0" w:color="auto"/>
            </w:tcBorders>
            <w:shd w:val="clear" w:color="auto" w:fill="auto"/>
            <w:vAlign w:val="center"/>
            <w:hideMark/>
          </w:tcPr>
          <w:p w14:paraId="185F6363" w14:textId="77777777" w:rsidR="00D10123" w:rsidRPr="000E68C5" w:rsidRDefault="00D10123" w:rsidP="008E6468">
            <w:pPr>
              <w:ind w:firstLine="0"/>
              <w:rPr>
                <w:color w:val="000000"/>
              </w:rPr>
            </w:pPr>
            <w:r w:rsidRPr="000E68C5">
              <w:rPr>
                <w:color w:val="000000"/>
              </w:rPr>
              <w:t>Усть-Нера</w:t>
            </w:r>
          </w:p>
        </w:tc>
        <w:tc>
          <w:tcPr>
            <w:tcW w:w="1229" w:type="pct"/>
            <w:tcBorders>
              <w:top w:val="nil"/>
              <w:left w:val="nil"/>
              <w:bottom w:val="single" w:sz="4" w:space="0" w:color="auto"/>
              <w:right w:val="single" w:sz="4" w:space="0" w:color="auto"/>
            </w:tcBorders>
            <w:shd w:val="clear" w:color="auto" w:fill="auto"/>
            <w:vAlign w:val="center"/>
            <w:hideMark/>
          </w:tcPr>
          <w:p w14:paraId="1E7491C0" w14:textId="77777777" w:rsidR="00D10123" w:rsidRPr="000E68C5" w:rsidRDefault="00D10123" w:rsidP="008E6468">
            <w:pPr>
              <w:ind w:firstLine="0"/>
              <w:rPr>
                <w:color w:val="000000"/>
              </w:rPr>
            </w:pPr>
            <w:r w:rsidRPr="000E68C5">
              <w:rPr>
                <w:color w:val="000000"/>
              </w:rPr>
              <w:t>0,47</w:t>
            </w:r>
          </w:p>
        </w:tc>
      </w:tr>
      <w:tr w:rsidR="00D10123" w:rsidRPr="000E68C5" w14:paraId="59C69EE9" w14:textId="77777777" w:rsidTr="00836C93">
        <w:trPr>
          <w:trHeight w:val="315"/>
        </w:trPr>
        <w:tc>
          <w:tcPr>
            <w:tcW w:w="346" w:type="pct"/>
            <w:tcBorders>
              <w:top w:val="nil"/>
              <w:left w:val="single" w:sz="4" w:space="0" w:color="auto"/>
              <w:bottom w:val="single" w:sz="4" w:space="0" w:color="auto"/>
              <w:right w:val="single" w:sz="4" w:space="0" w:color="auto"/>
            </w:tcBorders>
            <w:shd w:val="clear" w:color="auto" w:fill="auto"/>
            <w:vAlign w:val="center"/>
          </w:tcPr>
          <w:p w14:paraId="4CF95F57" w14:textId="28B75684" w:rsidR="00D10123" w:rsidRPr="00836C93" w:rsidRDefault="00D10123" w:rsidP="00C106B5">
            <w:pPr>
              <w:pStyle w:val="af0"/>
              <w:numPr>
                <w:ilvl w:val="0"/>
                <w:numId w:val="106"/>
              </w:numPr>
              <w:ind w:left="36" w:firstLine="0"/>
              <w:rPr>
                <w:color w:val="000000"/>
              </w:rPr>
            </w:pPr>
          </w:p>
        </w:tc>
        <w:tc>
          <w:tcPr>
            <w:tcW w:w="1121" w:type="pct"/>
            <w:tcBorders>
              <w:top w:val="nil"/>
              <w:left w:val="nil"/>
              <w:bottom w:val="single" w:sz="4" w:space="0" w:color="auto"/>
              <w:right w:val="single" w:sz="4" w:space="0" w:color="auto"/>
            </w:tcBorders>
            <w:shd w:val="clear" w:color="auto" w:fill="auto"/>
            <w:vAlign w:val="center"/>
            <w:hideMark/>
          </w:tcPr>
          <w:p w14:paraId="15CB64A6" w14:textId="77777777" w:rsidR="00D10123" w:rsidRPr="000E68C5" w:rsidRDefault="00D10123" w:rsidP="008E6468">
            <w:pPr>
              <w:ind w:firstLine="0"/>
              <w:rPr>
                <w:color w:val="000000"/>
              </w:rPr>
            </w:pPr>
            <w:r w:rsidRPr="000E68C5">
              <w:rPr>
                <w:color w:val="000000"/>
              </w:rPr>
              <w:t>Западная</w:t>
            </w:r>
          </w:p>
        </w:tc>
        <w:tc>
          <w:tcPr>
            <w:tcW w:w="1226" w:type="pct"/>
            <w:tcBorders>
              <w:top w:val="nil"/>
              <w:left w:val="nil"/>
              <w:bottom w:val="single" w:sz="4" w:space="0" w:color="auto"/>
              <w:right w:val="single" w:sz="4" w:space="0" w:color="auto"/>
            </w:tcBorders>
            <w:shd w:val="clear" w:color="auto" w:fill="auto"/>
            <w:vAlign w:val="center"/>
            <w:hideMark/>
          </w:tcPr>
          <w:p w14:paraId="36E0F831" w14:textId="77777777" w:rsidR="00D10123" w:rsidRPr="000E68C5" w:rsidRDefault="00D10123" w:rsidP="008E6468">
            <w:pPr>
              <w:ind w:firstLine="0"/>
              <w:rPr>
                <w:color w:val="000000"/>
              </w:rPr>
            </w:pPr>
            <w:r w:rsidRPr="000E68C5">
              <w:rPr>
                <w:color w:val="000000"/>
              </w:rPr>
              <w:t>Олекминский</w:t>
            </w:r>
          </w:p>
        </w:tc>
        <w:tc>
          <w:tcPr>
            <w:tcW w:w="1077" w:type="pct"/>
            <w:tcBorders>
              <w:top w:val="nil"/>
              <w:left w:val="nil"/>
              <w:bottom w:val="single" w:sz="4" w:space="0" w:color="auto"/>
              <w:right w:val="single" w:sz="4" w:space="0" w:color="auto"/>
            </w:tcBorders>
            <w:shd w:val="clear" w:color="auto" w:fill="auto"/>
            <w:vAlign w:val="center"/>
            <w:hideMark/>
          </w:tcPr>
          <w:p w14:paraId="6F9E3901" w14:textId="77777777" w:rsidR="00D10123" w:rsidRPr="000E68C5" w:rsidRDefault="00D10123" w:rsidP="008E6468">
            <w:pPr>
              <w:ind w:firstLine="0"/>
              <w:rPr>
                <w:color w:val="000000"/>
              </w:rPr>
            </w:pPr>
            <w:r w:rsidRPr="000E68C5">
              <w:rPr>
                <w:color w:val="000000"/>
              </w:rPr>
              <w:t>МО</w:t>
            </w:r>
          </w:p>
        </w:tc>
        <w:tc>
          <w:tcPr>
            <w:tcW w:w="1229" w:type="pct"/>
            <w:tcBorders>
              <w:top w:val="nil"/>
              <w:left w:val="nil"/>
              <w:bottom w:val="single" w:sz="4" w:space="0" w:color="auto"/>
              <w:right w:val="single" w:sz="4" w:space="0" w:color="auto"/>
            </w:tcBorders>
            <w:shd w:val="clear" w:color="auto" w:fill="auto"/>
            <w:vAlign w:val="center"/>
            <w:hideMark/>
          </w:tcPr>
          <w:p w14:paraId="23FDC6F6" w14:textId="77777777" w:rsidR="00D10123" w:rsidRPr="000E68C5" w:rsidRDefault="00D10123" w:rsidP="008E6468">
            <w:pPr>
              <w:ind w:firstLine="0"/>
              <w:rPr>
                <w:color w:val="000000"/>
              </w:rPr>
            </w:pPr>
            <w:r w:rsidRPr="000E68C5">
              <w:rPr>
                <w:color w:val="000000"/>
              </w:rPr>
              <w:t>0,39</w:t>
            </w:r>
          </w:p>
        </w:tc>
      </w:tr>
      <w:tr w:rsidR="00D10123" w:rsidRPr="000E68C5" w14:paraId="042E2D73" w14:textId="77777777" w:rsidTr="00836C93">
        <w:trPr>
          <w:trHeight w:val="315"/>
        </w:trPr>
        <w:tc>
          <w:tcPr>
            <w:tcW w:w="346" w:type="pct"/>
            <w:tcBorders>
              <w:top w:val="nil"/>
              <w:left w:val="single" w:sz="4" w:space="0" w:color="auto"/>
              <w:bottom w:val="single" w:sz="4" w:space="0" w:color="auto"/>
              <w:right w:val="single" w:sz="4" w:space="0" w:color="auto"/>
            </w:tcBorders>
            <w:shd w:val="clear" w:color="auto" w:fill="auto"/>
            <w:vAlign w:val="center"/>
          </w:tcPr>
          <w:p w14:paraId="33CB3ECA" w14:textId="1C7EBFCD" w:rsidR="00D10123" w:rsidRPr="00836C93" w:rsidRDefault="00D10123" w:rsidP="00C106B5">
            <w:pPr>
              <w:pStyle w:val="af0"/>
              <w:numPr>
                <w:ilvl w:val="0"/>
                <w:numId w:val="106"/>
              </w:numPr>
              <w:ind w:left="36" w:firstLine="0"/>
              <w:rPr>
                <w:color w:val="000000"/>
              </w:rPr>
            </w:pPr>
          </w:p>
        </w:tc>
        <w:tc>
          <w:tcPr>
            <w:tcW w:w="1121" w:type="pct"/>
            <w:tcBorders>
              <w:top w:val="nil"/>
              <w:left w:val="nil"/>
              <w:bottom w:val="single" w:sz="4" w:space="0" w:color="auto"/>
              <w:right w:val="single" w:sz="4" w:space="0" w:color="auto"/>
            </w:tcBorders>
            <w:shd w:val="clear" w:color="auto" w:fill="auto"/>
            <w:vAlign w:val="center"/>
            <w:hideMark/>
          </w:tcPr>
          <w:p w14:paraId="1734A5AD" w14:textId="77777777" w:rsidR="00D10123" w:rsidRPr="000E68C5" w:rsidRDefault="00D10123" w:rsidP="008E6468">
            <w:pPr>
              <w:ind w:firstLine="0"/>
              <w:rPr>
                <w:color w:val="000000"/>
              </w:rPr>
            </w:pPr>
            <w:r w:rsidRPr="000E68C5">
              <w:rPr>
                <w:color w:val="000000"/>
              </w:rPr>
              <w:t>Западная</w:t>
            </w:r>
          </w:p>
        </w:tc>
        <w:tc>
          <w:tcPr>
            <w:tcW w:w="1226" w:type="pct"/>
            <w:tcBorders>
              <w:top w:val="nil"/>
              <w:left w:val="nil"/>
              <w:bottom w:val="single" w:sz="4" w:space="0" w:color="auto"/>
              <w:right w:val="single" w:sz="4" w:space="0" w:color="auto"/>
            </w:tcBorders>
            <w:shd w:val="clear" w:color="auto" w:fill="auto"/>
            <w:vAlign w:val="center"/>
            <w:hideMark/>
          </w:tcPr>
          <w:p w14:paraId="59C48C9A" w14:textId="77777777" w:rsidR="00D10123" w:rsidRPr="000E68C5" w:rsidRDefault="00D10123" w:rsidP="008E6468">
            <w:pPr>
              <w:ind w:firstLine="0"/>
              <w:rPr>
                <w:color w:val="000000"/>
              </w:rPr>
            </w:pPr>
            <w:r w:rsidRPr="000E68C5">
              <w:rPr>
                <w:color w:val="000000"/>
              </w:rPr>
              <w:t>Олекминский</w:t>
            </w:r>
          </w:p>
        </w:tc>
        <w:tc>
          <w:tcPr>
            <w:tcW w:w="1077" w:type="pct"/>
            <w:tcBorders>
              <w:top w:val="nil"/>
              <w:left w:val="nil"/>
              <w:bottom w:val="single" w:sz="4" w:space="0" w:color="auto"/>
              <w:right w:val="single" w:sz="4" w:space="0" w:color="auto"/>
            </w:tcBorders>
            <w:shd w:val="clear" w:color="auto" w:fill="auto"/>
            <w:vAlign w:val="center"/>
            <w:hideMark/>
          </w:tcPr>
          <w:p w14:paraId="6452D6F8" w14:textId="77777777" w:rsidR="00D10123" w:rsidRPr="000E68C5" w:rsidRDefault="00D10123" w:rsidP="008E6468">
            <w:pPr>
              <w:ind w:firstLine="0"/>
              <w:rPr>
                <w:color w:val="000000"/>
              </w:rPr>
            </w:pPr>
            <w:r w:rsidRPr="000E68C5">
              <w:rPr>
                <w:color w:val="000000"/>
              </w:rPr>
              <w:t>Олекминск</w:t>
            </w:r>
          </w:p>
        </w:tc>
        <w:tc>
          <w:tcPr>
            <w:tcW w:w="1229" w:type="pct"/>
            <w:tcBorders>
              <w:top w:val="nil"/>
              <w:left w:val="nil"/>
              <w:bottom w:val="single" w:sz="4" w:space="0" w:color="auto"/>
              <w:right w:val="single" w:sz="4" w:space="0" w:color="auto"/>
            </w:tcBorders>
            <w:shd w:val="clear" w:color="auto" w:fill="auto"/>
            <w:vAlign w:val="center"/>
            <w:hideMark/>
          </w:tcPr>
          <w:p w14:paraId="590DDEEE" w14:textId="77777777" w:rsidR="00D10123" w:rsidRPr="000E68C5" w:rsidRDefault="00D10123" w:rsidP="008E6468">
            <w:pPr>
              <w:ind w:firstLine="0"/>
              <w:rPr>
                <w:color w:val="000000"/>
              </w:rPr>
            </w:pPr>
            <w:r w:rsidRPr="000E68C5">
              <w:rPr>
                <w:color w:val="000000"/>
              </w:rPr>
              <w:t>0,59</w:t>
            </w:r>
          </w:p>
        </w:tc>
      </w:tr>
      <w:tr w:rsidR="00D10123" w:rsidRPr="000E68C5" w14:paraId="21689ED8" w14:textId="77777777" w:rsidTr="00836C93">
        <w:trPr>
          <w:trHeight w:val="315"/>
        </w:trPr>
        <w:tc>
          <w:tcPr>
            <w:tcW w:w="346" w:type="pct"/>
            <w:tcBorders>
              <w:top w:val="nil"/>
              <w:left w:val="single" w:sz="4" w:space="0" w:color="auto"/>
              <w:bottom w:val="single" w:sz="4" w:space="0" w:color="auto"/>
              <w:right w:val="single" w:sz="4" w:space="0" w:color="auto"/>
            </w:tcBorders>
            <w:shd w:val="clear" w:color="auto" w:fill="auto"/>
            <w:vAlign w:val="center"/>
          </w:tcPr>
          <w:p w14:paraId="7A925836" w14:textId="4590D7A4" w:rsidR="00D10123" w:rsidRPr="00836C93" w:rsidRDefault="00D10123" w:rsidP="00C106B5">
            <w:pPr>
              <w:pStyle w:val="af0"/>
              <w:numPr>
                <w:ilvl w:val="0"/>
                <w:numId w:val="106"/>
              </w:numPr>
              <w:ind w:left="36" w:firstLine="0"/>
              <w:rPr>
                <w:color w:val="000000"/>
              </w:rPr>
            </w:pPr>
          </w:p>
        </w:tc>
        <w:tc>
          <w:tcPr>
            <w:tcW w:w="1121" w:type="pct"/>
            <w:tcBorders>
              <w:top w:val="nil"/>
              <w:left w:val="nil"/>
              <w:bottom w:val="single" w:sz="4" w:space="0" w:color="auto"/>
              <w:right w:val="single" w:sz="4" w:space="0" w:color="auto"/>
            </w:tcBorders>
            <w:shd w:val="clear" w:color="auto" w:fill="auto"/>
            <w:vAlign w:val="center"/>
            <w:hideMark/>
          </w:tcPr>
          <w:p w14:paraId="5B4EFBBD" w14:textId="77777777" w:rsidR="00D10123" w:rsidRPr="000E68C5" w:rsidRDefault="00D10123" w:rsidP="008E6468">
            <w:pPr>
              <w:ind w:firstLine="0"/>
              <w:rPr>
                <w:color w:val="000000"/>
              </w:rPr>
            </w:pPr>
            <w:r w:rsidRPr="000E68C5">
              <w:rPr>
                <w:color w:val="000000"/>
              </w:rPr>
              <w:t>Арктическая</w:t>
            </w:r>
          </w:p>
        </w:tc>
        <w:tc>
          <w:tcPr>
            <w:tcW w:w="1226" w:type="pct"/>
            <w:tcBorders>
              <w:top w:val="nil"/>
              <w:left w:val="nil"/>
              <w:bottom w:val="single" w:sz="4" w:space="0" w:color="auto"/>
              <w:right w:val="single" w:sz="4" w:space="0" w:color="auto"/>
            </w:tcBorders>
            <w:shd w:val="clear" w:color="auto" w:fill="auto"/>
            <w:vAlign w:val="center"/>
            <w:hideMark/>
          </w:tcPr>
          <w:p w14:paraId="001C5FB3" w14:textId="77777777" w:rsidR="00D10123" w:rsidRPr="000E68C5" w:rsidRDefault="00D10123" w:rsidP="008E6468">
            <w:pPr>
              <w:ind w:firstLine="0"/>
              <w:rPr>
                <w:color w:val="000000"/>
              </w:rPr>
            </w:pPr>
            <w:r w:rsidRPr="000E68C5">
              <w:rPr>
                <w:color w:val="000000"/>
              </w:rPr>
              <w:t>Оленекский</w:t>
            </w:r>
          </w:p>
        </w:tc>
        <w:tc>
          <w:tcPr>
            <w:tcW w:w="1077" w:type="pct"/>
            <w:tcBorders>
              <w:top w:val="nil"/>
              <w:left w:val="nil"/>
              <w:bottom w:val="single" w:sz="4" w:space="0" w:color="auto"/>
              <w:right w:val="single" w:sz="4" w:space="0" w:color="auto"/>
            </w:tcBorders>
            <w:shd w:val="clear" w:color="auto" w:fill="auto"/>
            <w:vAlign w:val="center"/>
            <w:hideMark/>
          </w:tcPr>
          <w:p w14:paraId="5B9007EE" w14:textId="77777777" w:rsidR="00D10123" w:rsidRPr="000E68C5" w:rsidRDefault="00D10123" w:rsidP="008E6468">
            <w:pPr>
              <w:ind w:firstLine="0"/>
              <w:rPr>
                <w:color w:val="000000"/>
              </w:rPr>
            </w:pPr>
            <w:r w:rsidRPr="000E68C5">
              <w:rPr>
                <w:color w:val="000000"/>
              </w:rPr>
              <w:t>МО</w:t>
            </w:r>
          </w:p>
        </w:tc>
        <w:tc>
          <w:tcPr>
            <w:tcW w:w="1229" w:type="pct"/>
            <w:tcBorders>
              <w:top w:val="nil"/>
              <w:left w:val="nil"/>
              <w:bottom w:val="single" w:sz="4" w:space="0" w:color="auto"/>
              <w:right w:val="single" w:sz="4" w:space="0" w:color="auto"/>
            </w:tcBorders>
            <w:shd w:val="clear" w:color="auto" w:fill="auto"/>
            <w:vAlign w:val="center"/>
            <w:hideMark/>
          </w:tcPr>
          <w:p w14:paraId="3F8D0E41" w14:textId="77777777" w:rsidR="00D10123" w:rsidRPr="000E68C5" w:rsidRDefault="00D10123" w:rsidP="008E6468">
            <w:pPr>
              <w:ind w:firstLine="0"/>
              <w:rPr>
                <w:color w:val="000000"/>
              </w:rPr>
            </w:pPr>
            <w:r w:rsidRPr="000E68C5">
              <w:rPr>
                <w:color w:val="000000"/>
              </w:rPr>
              <w:t>0,33</w:t>
            </w:r>
          </w:p>
        </w:tc>
      </w:tr>
      <w:tr w:rsidR="00D10123" w:rsidRPr="000E68C5" w14:paraId="486FDA74" w14:textId="77777777" w:rsidTr="00836C93">
        <w:trPr>
          <w:trHeight w:val="315"/>
        </w:trPr>
        <w:tc>
          <w:tcPr>
            <w:tcW w:w="346" w:type="pct"/>
            <w:tcBorders>
              <w:top w:val="nil"/>
              <w:left w:val="single" w:sz="4" w:space="0" w:color="auto"/>
              <w:bottom w:val="single" w:sz="4" w:space="0" w:color="auto"/>
              <w:right w:val="single" w:sz="4" w:space="0" w:color="auto"/>
            </w:tcBorders>
            <w:shd w:val="clear" w:color="auto" w:fill="auto"/>
            <w:vAlign w:val="center"/>
          </w:tcPr>
          <w:p w14:paraId="45A28608" w14:textId="60AD82F2" w:rsidR="00D10123" w:rsidRPr="00836C93" w:rsidRDefault="00D10123" w:rsidP="00C106B5">
            <w:pPr>
              <w:pStyle w:val="af0"/>
              <w:numPr>
                <w:ilvl w:val="0"/>
                <w:numId w:val="106"/>
              </w:numPr>
              <w:ind w:left="36" w:firstLine="0"/>
              <w:rPr>
                <w:color w:val="000000"/>
              </w:rPr>
            </w:pPr>
          </w:p>
        </w:tc>
        <w:tc>
          <w:tcPr>
            <w:tcW w:w="1121" w:type="pct"/>
            <w:tcBorders>
              <w:top w:val="nil"/>
              <w:left w:val="nil"/>
              <w:bottom w:val="single" w:sz="4" w:space="0" w:color="auto"/>
              <w:right w:val="single" w:sz="4" w:space="0" w:color="auto"/>
            </w:tcBorders>
            <w:shd w:val="clear" w:color="auto" w:fill="auto"/>
            <w:vAlign w:val="center"/>
            <w:hideMark/>
          </w:tcPr>
          <w:p w14:paraId="06FCB847" w14:textId="77777777" w:rsidR="00D10123" w:rsidRPr="000E68C5" w:rsidRDefault="00D10123" w:rsidP="008E6468">
            <w:pPr>
              <w:ind w:firstLine="0"/>
              <w:rPr>
                <w:color w:val="000000"/>
              </w:rPr>
            </w:pPr>
            <w:r w:rsidRPr="000E68C5">
              <w:rPr>
                <w:color w:val="000000"/>
              </w:rPr>
              <w:t>Арктическая</w:t>
            </w:r>
          </w:p>
        </w:tc>
        <w:tc>
          <w:tcPr>
            <w:tcW w:w="1226" w:type="pct"/>
            <w:tcBorders>
              <w:top w:val="nil"/>
              <w:left w:val="nil"/>
              <w:bottom w:val="single" w:sz="4" w:space="0" w:color="auto"/>
              <w:right w:val="single" w:sz="4" w:space="0" w:color="auto"/>
            </w:tcBorders>
            <w:shd w:val="clear" w:color="auto" w:fill="auto"/>
            <w:vAlign w:val="center"/>
            <w:hideMark/>
          </w:tcPr>
          <w:p w14:paraId="28362754" w14:textId="77777777" w:rsidR="00D10123" w:rsidRPr="000E68C5" w:rsidRDefault="00D10123" w:rsidP="008E6468">
            <w:pPr>
              <w:ind w:firstLine="0"/>
              <w:rPr>
                <w:color w:val="000000"/>
              </w:rPr>
            </w:pPr>
            <w:r w:rsidRPr="000E68C5">
              <w:rPr>
                <w:color w:val="000000"/>
              </w:rPr>
              <w:t>Среднеколымский</w:t>
            </w:r>
          </w:p>
        </w:tc>
        <w:tc>
          <w:tcPr>
            <w:tcW w:w="1077" w:type="pct"/>
            <w:tcBorders>
              <w:top w:val="nil"/>
              <w:left w:val="nil"/>
              <w:bottom w:val="single" w:sz="4" w:space="0" w:color="auto"/>
              <w:right w:val="single" w:sz="4" w:space="0" w:color="auto"/>
            </w:tcBorders>
            <w:shd w:val="clear" w:color="auto" w:fill="auto"/>
            <w:vAlign w:val="center"/>
            <w:hideMark/>
          </w:tcPr>
          <w:p w14:paraId="408F8972" w14:textId="77777777" w:rsidR="00D10123" w:rsidRPr="000E68C5" w:rsidRDefault="00D10123" w:rsidP="008E6468">
            <w:pPr>
              <w:ind w:firstLine="0"/>
              <w:rPr>
                <w:color w:val="000000"/>
              </w:rPr>
            </w:pPr>
            <w:r w:rsidRPr="000E68C5">
              <w:rPr>
                <w:color w:val="000000"/>
              </w:rPr>
              <w:t>МО</w:t>
            </w:r>
          </w:p>
        </w:tc>
        <w:tc>
          <w:tcPr>
            <w:tcW w:w="1229" w:type="pct"/>
            <w:tcBorders>
              <w:top w:val="nil"/>
              <w:left w:val="nil"/>
              <w:bottom w:val="single" w:sz="4" w:space="0" w:color="auto"/>
              <w:right w:val="single" w:sz="4" w:space="0" w:color="auto"/>
            </w:tcBorders>
            <w:shd w:val="clear" w:color="auto" w:fill="auto"/>
            <w:vAlign w:val="center"/>
            <w:hideMark/>
          </w:tcPr>
          <w:p w14:paraId="5D98C2A3" w14:textId="77777777" w:rsidR="00D10123" w:rsidRPr="000E68C5" w:rsidRDefault="00D10123" w:rsidP="008E6468">
            <w:pPr>
              <w:ind w:firstLine="0"/>
              <w:rPr>
                <w:color w:val="000000"/>
              </w:rPr>
            </w:pPr>
            <w:r w:rsidRPr="000E68C5">
              <w:rPr>
                <w:color w:val="000000"/>
              </w:rPr>
              <w:t>0,26</w:t>
            </w:r>
          </w:p>
        </w:tc>
      </w:tr>
      <w:tr w:rsidR="00D10123" w:rsidRPr="000E68C5" w14:paraId="7C58B70C" w14:textId="77777777" w:rsidTr="00836C93">
        <w:trPr>
          <w:trHeight w:val="315"/>
        </w:trPr>
        <w:tc>
          <w:tcPr>
            <w:tcW w:w="346" w:type="pct"/>
            <w:tcBorders>
              <w:top w:val="nil"/>
              <w:left w:val="single" w:sz="4" w:space="0" w:color="auto"/>
              <w:bottom w:val="single" w:sz="4" w:space="0" w:color="auto"/>
              <w:right w:val="single" w:sz="4" w:space="0" w:color="auto"/>
            </w:tcBorders>
            <w:shd w:val="clear" w:color="auto" w:fill="auto"/>
            <w:vAlign w:val="center"/>
          </w:tcPr>
          <w:p w14:paraId="061C7BEC" w14:textId="7B856BFB" w:rsidR="00D10123" w:rsidRPr="00836C93" w:rsidRDefault="00D10123" w:rsidP="00C106B5">
            <w:pPr>
              <w:pStyle w:val="af0"/>
              <w:numPr>
                <w:ilvl w:val="0"/>
                <w:numId w:val="106"/>
              </w:numPr>
              <w:ind w:left="36" w:firstLine="0"/>
              <w:rPr>
                <w:color w:val="000000"/>
              </w:rPr>
            </w:pPr>
          </w:p>
        </w:tc>
        <w:tc>
          <w:tcPr>
            <w:tcW w:w="1121" w:type="pct"/>
            <w:tcBorders>
              <w:top w:val="nil"/>
              <w:left w:val="nil"/>
              <w:bottom w:val="single" w:sz="4" w:space="0" w:color="auto"/>
              <w:right w:val="single" w:sz="4" w:space="0" w:color="auto"/>
            </w:tcBorders>
            <w:shd w:val="clear" w:color="auto" w:fill="auto"/>
            <w:vAlign w:val="center"/>
            <w:hideMark/>
          </w:tcPr>
          <w:p w14:paraId="0DCAAFCE" w14:textId="77777777" w:rsidR="00D10123" w:rsidRPr="000E68C5" w:rsidRDefault="00D10123" w:rsidP="008E6468">
            <w:pPr>
              <w:ind w:firstLine="0"/>
              <w:rPr>
                <w:color w:val="000000"/>
              </w:rPr>
            </w:pPr>
            <w:r w:rsidRPr="000E68C5">
              <w:rPr>
                <w:color w:val="000000"/>
              </w:rPr>
              <w:t>Арктическая</w:t>
            </w:r>
          </w:p>
        </w:tc>
        <w:tc>
          <w:tcPr>
            <w:tcW w:w="1226" w:type="pct"/>
            <w:tcBorders>
              <w:top w:val="nil"/>
              <w:left w:val="nil"/>
              <w:bottom w:val="single" w:sz="4" w:space="0" w:color="auto"/>
              <w:right w:val="single" w:sz="4" w:space="0" w:color="auto"/>
            </w:tcBorders>
            <w:shd w:val="clear" w:color="auto" w:fill="auto"/>
            <w:vAlign w:val="center"/>
            <w:hideMark/>
          </w:tcPr>
          <w:p w14:paraId="33C7259D" w14:textId="77777777" w:rsidR="00D10123" w:rsidRPr="000E68C5" w:rsidRDefault="00D10123" w:rsidP="008E6468">
            <w:pPr>
              <w:ind w:firstLine="0"/>
              <w:rPr>
                <w:color w:val="000000"/>
              </w:rPr>
            </w:pPr>
            <w:r w:rsidRPr="000E68C5">
              <w:rPr>
                <w:color w:val="000000"/>
              </w:rPr>
              <w:t>Среднеколымский</w:t>
            </w:r>
          </w:p>
        </w:tc>
        <w:tc>
          <w:tcPr>
            <w:tcW w:w="1077" w:type="pct"/>
            <w:tcBorders>
              <w:top w:val="nil"/>
              <w:left w:val="nil"/>
              <w:bottom w:val="single" w:sz="4" w:space="0" w:color="auto"/>
              <w:right w:val="single" w:sz="4" w:space="0" w:color="auto"/>
            </w:tcBorders>
            <w:shd w:val="clear" w:color="auto" w:fill="auto"/>
            <w:vAlign w:val="center"/>
            <w:hideMark/>
          </w:tcPr>
          <w:p w14:paraId="79FABF37" w14:textId="77777777" w:rsidR="00D10123" w:rsidRPr="000E68C5" w:rsidRDefault="00D10123" w:rsidP="008E6468">
            <w:pPr>
              <w:ind w:firstLine="0"/>
              <w:rPr>
                <w:color w:val="000000"/>
              </w:rPr>
            </w:pPr>
            <w:r w:rsidRPr="000E68C5">
              <w:rPr>
                <w:color w:val="000000"/>
              </w:rPr>
              <w:t>Среднеколымск</w:t>
            </w:r>
          </w:p>
        </w:tc>
        <w:tc>
          <w:tcPr>
            <w:tcW w:w="1229" w:type="pct"/>
            <w:tcBorders>
              <w:top w:val="nil"/>
              <w:left w:val="nil"/>
              <w:bottom w:val="single" w:sz="4" w:space="0" w:color="auto"/>
              <w:right w:val="single" w:sz="4" w:space="0" w:color="auto"/>
            </w:tcBorders>
            <w:shd w:val="clear" w:color="auto" w:fill="auto"/>
            <w:vAlign w:val="center"/>
            <w:hideMark/>
          </w:tcPr>
          <w:p w14:paraId="23869040" w14:textId="77777777" w:rsidR="00D10123" w:rsidRPr="000E68C5" w:rsidRDefault="00D10123" w:rsidP="008E6468">
            <w:pPr>
              <w:ind w:firstLine="0"/>
              <w:rPr>
                <w:color w:val="000000"/>
              </w:rPr>
            </w:pPr>
            <w:r w:rsidRPr="000E68C5">
              <w:rPr>
                <w:color w:val="000000"/>
              </w:rPr>
              <w:t>0,43</w:t>
            </w:r>
          </w:p>
        </w:tc>
      </w:tr>
      <w:tr w:rsidR="00D10123" w:rsidRPr="000E68C5" w14:paraId="28C34F00" w14:textId="77777777" w:rsidTr="00836C93">
        <w:trPr>
          <w:trHeight w:val="315"/>
        </w:trPr>
        <w:tc>
          <w:tcPr>
            <w:tcW w:w="346" w:type="pct"/>
            <w:tcBorders>
              <w:top w:val="nil"/>
              <w:left w:val="single" w:sz="4" w:space="0" w:color="auto"/>
              <w:bottom w:val="single" w:sz="4" w:space="0" w:color="auto"/>
              <w:right w:val="single" w:sz="4" w:space="0" w:color="auto"/>
            </w:tcBorders>
            <w:shd w:val="clear" w:color="auto" w:fill="auto"/>
            <w:vAlign w:val="center"/>
          </w:tcPr>
          <w:p w14:paraId="7273325B" w14:textId="488C75DE" w:rsidR="00D10123" w:rsidRPr="00836C93" w:rsidRDefault="00D10123" w:rsidP="00C106B5">
            <w:pPr>
              <w:pStyle w:val="af0"/>
              <w:numPr>
                <w:ilvl w:val="0"/>
                <w:numId w:val="106"/>
              </w:numPr>
              <w:ind w:left="36" w:firstLine="0"/>
              <w:rPr>
                <w:color w:val="000000"/>
              </w:rPr>
            </w:pPr>
          </w:p>
        </w:tc>
        <w:tc>
          <w:tcPr>
            <w:tcW w:w="1121" w:type="pct"/>
            <w:tcBorders>
              <w:top w:val="nil"/>
              <w:left w:val="nil"/>
              <w:bottom w:val="single" w:sz="4" w:space="0" w:color="auto"/>
              <w:right w:val="single" w:sz="4" w:space="0" w:color="auto"/>
            </w:tcBorders>
            <w:shd w:val="clear" w:color="auto" w:fill="auto"/>
            <w:vAlign w:val="center"/>
            <w:hideMark/>
          </w:tcPr>
          <w:p w14:paraId="485FB595" w14:textId="77777777" w:rsidR="00D10123" w:rsidRPr="000E68C5" w:rsidRDefault="00D10123" w:rsidP="008E6468">
            <w:pPr>
              <w:ind w:firstLine="0"/>
              <w:rPr>
                <w:color w:val="000000"/>
              </w:rPr>
            </w:pPr>
            <w:r w:rsidRPr="000E68C5">
              <w:rPr>
                <w:color w:val="000000"/>
              </w:rPr>
              <w:t>Западная</w:t>
            </w:r>
          </w:p>
        </w:tc>
        <w:tc>
          <w:tcPr>
            <w:tcW w:w="1226" w:type="pct"/>
            <w:tcBorders>
              <w:top w:val="nil"/>
              <w:left w:val="nil"/>
              <w:bottom w:val="single" w:sz="4" w:space="0" w:color="auto"/>
              <w:right w:val="single" w:sz="4" w:space="0" w:color="auto"/>
            </w:tcBorders>
            <w:shd w:val="clear" w:color="auto" w:fill="auto"/>
            <w:vAlign w:val="center"/>
            <w:hideMark/>
          </w:tcPr>
          <w:p w14:paraId="1AC5FDF5" w14:textId="77777777" w:rsidR="00D10123" w:rsidRPr="000E68C5" w:rsidRDefault="00D10123" w:rsidP="008E6468">
            <w:pPr>
              <w:ind w:firstLine="0"/>
              <w:rPr>
                <w:color w:val="000000"/>
              </w:rPr>
            </w:pPr>
            <w:r w:rsidRPr="000E68C5">
              <w:rPr>
                <w:color w:val="000000"/>
              </w:rPr>
              <w:t>Сунтарский</w:t>
            </w:r>
          </w:p>
        </w:tc>
        <w:tc>
          <w:tcPr>
            <w:tcW w:w="1077" w:type="pct"/>
            <w:tcBorders>
              <w:top w:val="nil"/>
              <w:left w:val="nil"/>
              <w:bottom w:val="single" w:sz="4" w:space="0" w:color="auto"/>
              <w:right w:val="single" w:sz="4" w:space="0" w:color="auto"/>
            </w:tcBorders>
            <w:shd w:val="clear" w:color="auto" w:fill="auto"/>
            <w:vAlign w:val="center"/>
            <w:hideMark/>
          </w:tcPr>
          <w:p w14:paraId="38AC57E7" w14:textId="77777777" w:rsidR="00D10123" w:rsidRPr="000E68C5" w:rsidRDefault="00D10123" w:rsidP="008E6468">
            <w:pPr>
              <w:ind w:firstLine="0"/>
              <w:rPr>
                <w:color w:val="000000"/>
              </w:rPr>
            </w:pPr>
            <w:r w:rsidRPr="000E68C5">
              <w:rPr>
                <w:color w:val="000000"/>
              </w:rPr>
              <w:t>МО</w:t>
            </w:r>
          </w:p>
        </w:tc>
        <w:tc>
          <w:tcPr>
            <w:tcW w:w="1229" w:type="pct"/>
            <w:tcBorders>
              <w:top w:val="nil"/>
              <w:left w:val="nil"/>
              <w:bottom w:val="single" w:sz="4" w:space="0" w:color="auto"/>
              <w:right w:val="single" w:sz="4" w:space="0" w:color="auto"/>
            </w:tcBorders>
            <w:shd w:val="clear" w:color="auto" w:fill="auto"/>
            <w:vAlign w:val="center"/>
            <w:hideMark/>
          </w:tcPr>
          <w:p w14:paraId="46B4FFBA" w14:textId="77777777" w:rsidR="00D10123" w:rsidRPr="000E68C5" w:rsidRDefault="00D10123" w:rsidP="008E6468">
            <w:pPr>
              <w:ind w:firstLine="0"/>
              <w:rPr>
                <w:color w:val="000000"/>
              </w:rPr>
            </w:pPr>
            <w:r w:rsidRPr="000E68C5">
              <w:rPr>
                <w:color w:val="000000"/>
              </w:rPr>
              <w:t>0,37</w:t>
            </w:r>
          </w:p>
        </w:tc>
      </w:tr>
      <w:tr w:rsidR="00D10123" w:rsidRPr="000E68C5" w14:paraId="6F4D6CBD" w14:textId="77777777" w:rsidTr="00836C93">
        <w:trPr>
          <w:trHeight w:val="315"/>
        </w:trPr>
        <w:tc>
          <w:tcPr>
            <w:tcW w:w="346" w:type="pct"/>
            <w:tcBorders>
              <w:top w:val="nil"/>
              <w:left w:val="single" w:sz="4" w:space="0" w:color="auto"/>
              <w:bottom w:val="single" w:sz="4" w:space="0" w:color="auto"/>
              <w:right w:val="single" w:sz="4" w:space="0" w:color="auto"/>
            </w:tcBorders>
            <w:shd w:val="clear" w:color="auto" w:fill="auto"/>
            <w:vAlign w:val="center"/>
          </w:tcPr>
          <w:p w14:paraId="67BA70F7" w14:textId="4F929EE3" w:rsidR="00D10123" w:rsidRPr="00836C93" w:rsidRDefault="00D10123" w:rsidP="00C106B5">
            <w:pPr>
              <w:pStyle w:val="af0"/>
              <w:numPr>
                <w:ilvl w:val="0"/>
                <w:numId w:val="106"/>
              </w:numPr>
              <w:ind w:left="36" w:firstLine="0"/>
              <w:rPr>
                <w:color w:val="000000"/>
              </w:rPr>
            </w:pPr>
          </w:p>
        </w:tc>
        <w:tc>
          <w:tcPr>
            <w:tcW w:w="1121" w:type="pct"/>
            <w:tcBorders>
              <w:top w:val="nil"/>
              <w:left w:val="nil"/>
              <w:bottom w:val="single" w:sz="4" w:space="0" w:color="auto"/>
              <w:right w:val="single" w:sz="4" w:space="0" w:color="auto"/>
            </w:tcBorders>
            <w:shd w:val="clear" w:color="auto" w:fill="auto"/>
            <w:vAlign w:val="center"/>
            <w:hideMark/>
          </w:tcPr>
          <w:p w14:paraId="768C95E2" w14:textId="77777777" w:rsidR="00D10123" w:rsidRPr="000E68C5" w:rsidRDefault="00D10123" w:rsidP="008E6468">
            <w:pPr>
              <w:ind w:firstLine="0"/>
              <w:rPr>
                <w:color w:val="000000"/>
              </w:rPr>
            </w:pPr>
            <w:r w:rsidRPr="000E68C5">
              <w:rPr>
                <w:color w:val="000000"/>
              </w:rPr>
              <w:t>Центральная</w:t>
            </w:r>
          </w:p>
        </w:tc>
        <w:tc>
          <w:tcPr>
            <w:tcW w:w="1226" w:type="pct"/>
            <w:tcBorders>
              <w:top w:val="nil"/>
              <w:left w:val="nil"/>
              <w:bottom w:val="single" w:sz="4" w:space="0" w:color="auto"/>
              <w:right w:val="single" w:sz="4" w:space="0" w:color="auto"/>
            </w:tcBorders>
            <w:shd w:val="clear" w:color="auto" w:fill="auto"/>
            <w:vAlign w:val="center"/>
            <w:hideMark/>
          </w:tcPr>
          <w:p w14:paraId="0A5EFD5C" w14:textId="77777777" w:rsidR="00D10123" w:rsidRPr="000E68C5" w:rsidRDefault="00D10123" w:rsidP="008E6468">
            <w:pPr>
              <w:ind w:firstLine="0"/>
              <w:rPr>
                <w:color w:val="000000"/>
              </w:rPr>
            </w:pPr>
            <w:r w:rsidRPr="000E68C5">
              <w:rPr>
                <w:color w:val="000000"/>
              </w:rPr>
              <w:t>Таттинский</w:t>
            </w:r>
          </w:p>
        </w:tc>
        <w:tc>
          <w:tcPr>
            <w:tcW w:w="1077" w:type="pct"/>
            <w:tcBorders>
              <w:top w:val="nil"/>
              <w:left w:val="nil"/>
              <w:bottom w:val="single" w:sz="4" w:space="0" w:color="auto"/>
              <w:right w:val="single" w:sz="4" w:space="0" w:color="auto"/>
            </w:tcBorders>
            <w:shd w:val="clear" w:color="auto" w:fill="auto"/>
            <w:vAlign w:val="center"/>
            <w:hideMark/>
          </w:tcPr>
          <w:p w14:paraId="792A6871" w14:textId="77777777" w:rsidR="00D10123" w:rsidRPr="000E68C5" w:rsidRDefault="00D10123" w:rsidP="008E6468">
            <w:pPr>
              <w:ind w:firstLine="0"/>
              <w:rPr>
                <w:color w:val="000000"/>
              </w:rPr>
            </w:pPr>
            <w:r w:rsidRPr="000E68C5">
              <w:rPr>
                <w:color w:val="000000"/>
              </w:rPr>
              <w:t>МО</w:t>
            </w:r>
          </w:p>
        </w:tc>
        <w:tc>
          <w:tcPr>
            <w:tcW w:w="1229" w:type="pct"/>
            <w:tcBorders>
              <w:top w:val="nil"/>
              <w:left w:val="nil"/>
              <w:bottom w:val="single" w:sz="4" w:space="0" w:color="auto"/>
              <w:right w:val="single" w:sz="4" w:space="0" w:color="auto"/>
            </w:tcBorders>
            <w:shd w:val="clear" w:color="auto" w:fill="auto"/>
            <w:vAlign w:val="center"/>
            <w:hideMark/>
          </w:tcPr>
          <w:p w14:paraId="6AF5B5D4" w14:textId="77777777" w:rsidR="00D10123" w:rsidRPr="000E68C5" w:rsidRDefault="00D10123" w:rsidP="008E6468">
            <w:pPr>
              <w:ind w:firstLine="0"/>
              <w:rPr>
                <w:color w:val="000000"/>
              </w:rPr>
            </w:pPr>
            <w:r w:rsidRPr="000E68C5">
              <w:rPr>
                <w:color w:val="000000"/>
              </w:rPr>
              <w:t>0,37</w:t>
            </w:r>
          </w:p>
        </w:tc>
      </w:tr>
      <w:tr w:rsidR="00D10123" w:rsidRPr="000E68C5" w14:paraId="3A02897A" w14:textId="77777777" w:rsidTr="00836C93">
        <w:trPr>
          <w:trHeight w:val="315"/>
        </w:trPr>
        <w:tc>
          <w:tcPr>
            <w:tcW w:w="346" w:type="pct"/>
            <w:tcBorders>
              <w:top w:val="nil"/>
              <w:left w:val="single" w:sz="4" w:space="0" w:color="auto"/>
              <w:bottom w:val="single" w:sz="4" w:space="0" w:color="auto"/>
              <w:right w:val="single" w:sz="4" w:space="0" w:color="auto"/>
            </w:tcBorders>
            <w:shd w:val="clear" w:color="auto" w:fill="auto"/>
            <w:vAlign w:val="center"/>
          </w:tcPr>
          <w:p w14:paraId="08519011" w14:textId="46E6511E" w:rsidR="00D10123" w:rsidRPr="00836C93" w:rsidRDefault="00D10123" w:rsidP="00C106B5">
            <w:pPr>
              <w:pStyle w:val="af0"/>
              <w:numPr>
                <w:ilvl w:val="0"/>
                <w:numId w:val="106"/>
              </w:numPr>
              <w:ind w:left="36" w:firstLine="0"/>
              <w:rPr>
                <w:color w:val="000000"/>
              </w:rPr>
            </w:pPr>
          </w:p>
        </w:tc>
        <w:tc>
          <w:tcPr>
            <w:tcW w:w="1121" w:type="pct"/>
            <w:tcBorders>
              <w:top w:val="nil"/>
              <w:left w:val="nil"/>
              <w:bottom w:val="single" w:sz="4" w:space="0" w:color="auto"/>
              <w:right w:val="single" w:sz="4" w:space="0" w:color="auto"/>
            </w:tcBorders>
            <w:shd w:val="clear" w:color="auto" w:fill="auto"/>
            <w:vAlign w:val="center"/>
            <w:hideMark/>
          </w:tcPr>
          <w:p w14:paraId="3C1083F7" w14:textId="77777777" w:rsidR="00D10123" w:rsidRPr="000E68C5" w:rsidRDefault="00D10123" w:rsidP="008E6468">
            <w:pPr>
              <w:ind w:firstLine="0"/>
              <w:rPr>
                <w:color w:val="000000"/>
              </w:rPr>
            </w:pPr>
            <w:r w:rsidRPr="000E68C5">
              <w:rPr>
                <w:color w:val="000000"/>
              </w:rPr>
              <w:t>Восточная</w:t>
            </w:r>
          </w:p>
        </w:tc>
        <w:tc>
          <w:tcPr>
            <w:tcW w:w="1226" w:type="pct"/>
            <w:tcBorders>
              <w:top w:val="nil"/>
              <w:left w:val="nil"/>
              <w:bottom w:val="single" w:sz="4" w:space="0" w:color="auto"/>
              <w:right w:val="single" w:sz="4" w:space="0" w:color="auto"/>
            </w:tcBorders>
            <w:shd w:val="clear" w:color="auto" w:fill="auto"/>
            <w:vAlign w:val="center"/>
            <w:hideMark/>
          </w:tcPr>
          <w:p w14:paraId="60A35F83" w14:textId="77777777" w:rsidR="00D10123" w:rsidRPr="000E68C5" w:rsidRDefault="00D10123" w:rsidP="008E6468">
            <w:pPr>
              <w:ind w:firstLine="0"/>
              <w:rPr>
                <w:color w:val="000000"/>
              </w:rPr>
            </w:pPr>
            <w:r w:rsidRPr="000E68C5">
              <w:rPr>
                <w:color w:val="000000"/>
              </w:rPr>
              <w:t>Томпонский</w:t>
            </w:r>
          </w:p>
        </w:tc>
        <w:tc>
          <w:tcPr>
            <w:tcW w:w="1077" w:type="pct"/>
            <w:tcBorders>
              <w:top w:val="nil"/>
              <w:left w:val="nil"/>
              <w:bottom w:val="single" w:sz="4" w:space="0" w:color="auto"/>
              <w:right w:val="single" w:sz="4" w:space="0" w:color="auto"/>
            </w:tcBorders>
            <w:shd w:val="clear" w:color="auto" w:fill="auto"/>
            <w:vAlign w:val="center"/>
            <w:hideMark/>
          </w:tcPr>
          <w:p w14:paraId="76941B0C" w14:textId="77777777" w:rsidR="00D10123" w:rsidRPr="000E68C5" w:rsidRDefault="00D10123" w:rsidP="008E6468">
            <w:pPr>
              <w:ind w:firstLine="0"/>
              <w:rPr>
                <w:color w:val="000000"/>
              </w:rPr>
            </w:pPr>
            <w:r w:rsidRPr="000E68C5">
              <w:rPr>
                <w:color w:val="000000"/>
              </w:rPr>
              <w:t>МО</w:t>
            </w:r>
          </w:p>
        </w:tc>
        <w:tc>
          <w:tcPr>
            <w:tcW w:w="1229" w:type="pct"/>
            <w:tcBorders>
              <w:top w:val="nil"/>
              <w:left w:val="nil"/>
              <w:bottom w:val="single" w:sz="4" w:space="0" w:color="auto"/>
              <w:right w:val="single" w:sz="4" w:space="0" w:color="auto"/>
            </w:tcBorders>
            <w:shd w:val="clear" w:color="auto" w:fill="auto"/>
            <w:vAlign w:val="center"/>
            <w:hideMark/>
          </w:tcPr>
          <w:p w14:paraId="2ADEA23B" w14:textId="77777777" w:rsidR="00D10123" w:rsidRPr="000E68C5" w:rsidRDefault="00D10123" w:rsidP="008E6468">
            <w:pPr>
              <w:ind w:firstLine="0"/>
              <w:rPr>
                <w:color w:val="000000"/>
              </w:rPr>
            </w:pPr>
            <w:r w:rsidRPr="000E68C5">
              <w:rPr>
                <w:color w:val="000000"/>
              </w:rPr>
              <w:t>0,27</w:t>
            </w:r>
          </w:p>
        </w:tc>
      </w:tr>
      <w:tr w:rsidR="00D10123" w:rsidRPr="000E68C5" w14:paraId="00A77E87" w14:textId="77777777" w:rsidTr="00836C93">
        <w:trPr>
          <w:trHeight w:val="315"/>
        </w:trPr>
        <w:tc>
          <w:tcPr>
            <w:tcW w:w="346" w:type="pct"/>
            <w:tcBorders>
              <w:top w:val="nil"/>
              <w:left w:val="single" w:sz="4" w:space="0" w:color="auto"/>
              <w:bottom w:val="single" w:sz="4" w:space="0" w:color="auto"/>
              <w:right w:val="single" w:sz="4" w:space="0" w:color="auto"/>
            </w:tcBorders>
            <w:shd w:val="clear" w:color="auto" w:fill="auto"/>
            <w:vAlign w:val="center"/>
          </w:tcPr>
          <w:p w14:paraId="0E60D135" w14:textId="0CC2BFE6" w:rsidR="00D10123" w:rsidRPr="00836C93" w:rsidRDefault="00D10123" w:rsidP="00C106B5">
            <w:pPr>
              <w:pStyle w:val="af0"/>
              <w:numPr>
                <w:ilvl w:val="0"/>
                <w:numId w:val="106"/>
              </w:numPr>
              <w:ind w:left="36" w:firstLine="0"/>
              <w:rPr>
                <w:color w:val="000000"/>
              </w:rPr>
            </w:pPr>
          </w:p>
        </w:tc>
        <w:tc>
          <w:tcPr>
            <w:tcW w:w="1121" w:type="pct"/>
            <w:tcBorders>
              <w:top w:val="nil"/>
              <w:left w:val="nil"/>
              <w:bottom w:val="single" w:sz="4" w:space="0" w:color="auto"/>
              <w:right w:val="single" w:sz="4" w:space="0" w:color="auto"/>
            </w:tcBorders>
            <w:shd w:val="clear" w:color="auto" w:fill="auto"/>
            <w:vAlign w:val="center"/>
            <w:hideMark/>
          </w:tcPr>
          <w:p w14:paraId="3346A776" w14:textId="77777777" w:rsidR="00D10123" w:rsidRPr="000E68C5" w:rsidRDefault="00D10123" w:rsidP="008E6468">
            <w:pPr>
              <w:ind w:firstLine="0"/>
              <w:rPr>
                <w:color w:val="000000"/>
              </w:rPr>
            </w:pPr>
            <w:r w:rsidRPr="000E68C5">
              <w:rPr>
                <w:color w:val="000000"/>
              </w:rPr>
              <w:t>Восточная</w:t>
            </w:r>
          </w:p>
        </w:tc>
        <w:tc>
          <w:tcPr>
            <w:tcW w:w="1226" w:type="pct"/>
            <w:tcBorders>
              <w:top w:val="nil"/>
              <w:left w:val="nil"/>
              <w:bottom w:val="single" w:sz="4" w:space="0" w:color="auto"/>
              <w:right w:val="single" w:sz="4" w:space="0" w:color="auto"/>
            </w:tcBorders>
            <w:shd w:val="clear" w:color="auto" w:fill="auto"/>
            <w:vAlign w:val="center"/>
            <w:hideMark/>
          </w:tcPr>
          <w:p w14:paraId="38931F1A" w14:textId="77777777" w:rsidR="00D10123" w:rsidRPr="000E68C5" w:rsidRDefault="00D10123" w:rsidP="008E6468">
            <w:pPr>
              <w:ind w:firstLine="0"/>
              <w:rPr>
                <w:color w:val="000000"/>
              </w:rPr>
            </w:pPr>
            <w:r w:rsidRPr="000E68C5">
              <w:rPr>
                <w:color w:val="000000"/>
              </w:rPr>
              <w:t>Томпонский</w:t>
            </w:r>
          </w:p>
        </w:tc>
        <w:tc>
          <w:tcPr>
            <w:tcW w:w="1077" w:type="pct"/>
            <w:tcBorders>
              <w:top w:val="nil"/>
              <w:left w:val="nil"/>
              <w:bottom w:val="single" w:sz="4" w:space="0" w:color="auto"/>
              <w:right w:val="single" w:sz="4" w:space="0" w:color="auto"/>
            </w:tcBorders>
            <w:shd w:val="clear" w:color="auto" w:fill="auto"/>
            <w:vAlign w:val="center"/>
            <w:hideMark/>
          </w:tcPr>
          <w:p w14:paraId="7F1CFBFD" w14:textId="77777777" w:rsidR="00D10123" w:rsidRPr="000E68C5" w:rsidRDefault="00D10123" w:rsidP="008E6468">
            <w:pPr>
              <w:ind w:firstLine="0"/>
              <w:rPr>
                <w:color w:val="000000"/>
              </w:rPr>
            </w:pPr>
            <w:r w:rsidRPr="000E68C5">
              <w:rPr>
                <w:color w:val="000000"/>
              </w:rPr>
              <w:t>Хандыга</w:t>
            </w:r>
          </w:p>
        </w:tc>
        <w:tc>
          <w:tcPr>
            <w:tcW w:w="1229" w:type="pct"/>
            <w:tcBorders>
              <w:top w:val="nil"/>
              <w:left w:val="nil"/>
              <w:bottom w:val="single" w:sz="4" w:space="0" w:color="auto"/>
              <w:right w:val="single" w:sz="4" w:space="0" w:color="auto"/>
            </w:tcBorders>
            <w:shd w:val="clear" w:color="auto" w:fill="auto"/>
            <w:vAlign w:val="center"/>
            <w:hideMark/>
          </w:tcPr>
          <w:p w14:paraId="15FC070F" w14:textId="77777777" w:rsidR="00D10123" w:rsidRPr="000E68C5" w:rsidRDefault="00D10123" w:rsidP="008E6468">
            <w:pPr>
              <w:ind w:firstLine="0"/>
              <w:rPr>
                <w:color w:val="000000"/>
              </w:rPr>
            </w:pPr>
            <w:r w:rsidRPr="000E68C5">
              <w:rPr>
                <w:color w:val="000000"/>
              </w:rPr>
              <w:t>0,44</w:t>
            </w:r>
          </w:p>
        </w:tc>
      </w:tr>
      <w:tr w:rsidR="00D10123" w:rsidRPr="000E68C5" w14:paraId="2D87FCC0" w14:textId="77777777" w:rsidTr="00836C93">
        <w:trPr>
          <w:trHeight w:val="315"/>
        </w:trPr>
        <w:tc>
          <w:tcPr>
            <w:tcW w:w="346" w:type="pct"/>
            <w:tcBorders>
              <w:top w:val="nil"/>
              <w:left w:val="single" w:sz="4" w:space="0" w:color="auto"/>
              <w:bottom w:val="single" w:sz="4" w:space="0" w:color="auto"/>
              <w:right w:val="single" w:sz="4" w:space="0" w:color="auto"/>
            </w:tcBorders>
            <w:shd w:val="clear" w:color="auto" w:fill="auto"/>
            <w:vAlign w:val="center"/>
          </w:tcPr>
          <w:p w14:paraId="34ADBDBC" w14:textId="26487F6C" w:rsidR="00D10123" w:rsidRPr="00836C93" w:rsidRDefault="00D10123" w:rsidP="00C106B5">
            <w:pPr>
              <w:pStyle w:val="af0"/>
              <w:numPr>
                <w:ilvl w:val="0"/>
                <w:numId w:val="106"/>
              </w:numPr>
              <w:ind w:left="36" w:firstLine="0"/>
              <w:rPr>
                <w:color w:val="000000"/>
              </w:rPr>
            </w:pPr>
          </w:p>
        </w:tc>
        <w:tc>
          <w:tcPr>
            <w:tcW w:w="1121" w:type="pct"/>
            <w:tcBorders>
              <w:top w:val="nil"/>
              <w:left w:val="nil"/>
              <w:bottom w:val="single" w:sz="4" w:space="0" w:color="auto"/>
              <w:right w:val="single" w:sz="4" w:space="0" w:color="auto"/>
            </w:tcBorders>
            <w:shd w:val="clear" w:color="auto" w:fill="auto"/>
            <w:vAlign w:val="center"/>
            <w:hideMark/>
          </w:tcPr>
          <w:p w14:paraId="0854B416" w14:textId="77777777" w:rsidR="00D10123" w:rsidRPr="000E68C5" w:rsidRDefault="00D10123" w:rsidP="008E6468">
            <w:pPr>
              <w:ind w:firstLine="0"/>
              <w:rPr>
                <w:color w:val="000000"/>
              </w:rPr>
            </w:pPr>
            <w:r w:rsidRPr="000E68C5">
              <w:rPr>
                <w:color w:val="000000"/>
              </w:rPr>
              <w:t>Центральная</w:t>
            </w:r>
          </w:p>
        </w:tc>
        <w:tc>
          <w:tcPr>
            <w:tcW w:w="1226" w:type="pct"/>
            <w:tcBorders>
              <w:top w:val="nil"/>
              <w:left w:val="nil"/>
              <w:bottom w:val="single" w:sz="4" w:space="0" w:color="auto"/>
              <w:right w:val="single" w:sz="4" w:space="0" w:color="auto"/>
            </w:tcBorders>
            <w:shd w:val="clear" w:color="auto" w:fill="auto"/>
            <w:vAlign w:val="center"/>
            <w:hideMark/>
          </w:tcPr>
          <w:p w14:paraId="348D665B" w14:textId="77777777" w:rsidR="00D10123" w:rsidRPr="000E68C5" w:rsidRDefault="00D10123" w:rsidP="008E6468">
            <w:pPr>
              <w:ind w:firstLine="0"/>
              <w:rPr>
                <w:color w:val="000000"/>
              </w:rPr>
            </w:pPr>
            <w:r w:rsidRPr="000E68C5">
              <w:rPr>
                <w:color w:val="000000"/>
              </w:rPr>
              <w:t>Усть-Алданский</w:t>
            </w:r>
          </w:p>
        </w:tc>
        <w:tc>
          <w:tcPr>
            <w:tcW w:w="1077" w:type="pct"/>
            <w:tcBorders>
              <w:top w:val="nil"/>
              <w:left w:val="nil"/>
              <w:bottom w:val="single" w:sz="4" w:space="0" w:color="auto"/>
              <w:right w:val="single" w:sz="4" w:space="0" w:color="auto"/>
            </w:tcBorders>
            <w:shd w:val="clear" w:color="auto" w:fill="auto"/>
            <w:vAlign w:val="center"/>
            <w:hideMark/>
          </w:tcPr>
          <w:p w14:paraId="2F9C6F4A" w14:textId="77777777" w:rsidR="00D10123" w:rsidRPr="000E68C5" w:rsidRDefault="00D10123" w:rsidP="008E6468">
            <w:pPr>
              <w:ind w:firstLine="0"/>
              <w:rPr>
                <w:color w:val="000000"/>
              </w:rPr>
            </w:pPr>
            <w:r w:rsidRPr="000E68C5">
              <w:rPr>
                <w:color w:val="000000"/>
              </w:rPr>
              <w:t>МО</w:t>
            </w:r>
          </w:p>
        </w:tc>
        <w:tc>
          <w:tcPr>
            <w:tcW w:w="1229" w:type="pct"/>
            <w:tcBorders>
              <w:top w:val="nil"/>
              <w:left w:val="nil"/>
              <w:bottom w:val="single" w:sz="4" w:space="0" w:color="auto"/>
              <w:right w:val="single" w:sz="4" w:space="0" w:color="auto"/>
            </w:tcBorders>
            <w:shd w:val="clear" w:color="auto" w:fill="auto"/>
            <w:vAlign w:val="center"/>
            <w:hideMark/>
          </w:tcPr>
          <w:p w14:paraId="1F662AE3" w14:textId="77777777" w:rsidR="00D10123" w:rsidRPr="000E68C5" w:rsidRDefault="00D10123" w:rsidP="008E6468">
            <w:pPr>
              <w:ind w:firstLine="0"/>
              <w:rPr>
                <w:color w:val="000000"/>
              </w:rPr>
            </w:pPr>
            <w:r w:rsidRPr="000E68C5">
              <w:rPr>
                <w:color w:val="000000"/>
              </w:rPr>
              <w:t>0,38</w:t>
            </w:r>
          </w:p>
        </w:tc>
      </w:tr>
      <w:tr w:rsidR="00D10123" w:rsidRPr="000E68C5" w14:paraId="48966E8B" w14:textId="77777777" w:rsidTr="00836C93">
        <w:trPr>
          <w:trHeight w:val="315"/>
        </w:trPr>
        <w:tc>
          <w:tcPr>
            <w:tcW w:w="346" w:type="pct"/>
            <w:tcBorders>
              <w:top w:val="nil"/>
              <w:left w:val="single" w:sz="4" w:space="0" w:color="auto"/>
              <w:bottom w:val="single" w:sz="4" w:space="0" w:color="auto"/>
              <w:right w:val="single" w:sz="4" w:space="0" w:color="auto"/>
            </w:tcBorders>
            <w:shd w:val="clear" w:color="auto" w:fill="auto"/>
            <w:vAlign w:val="center"/>
          </w:tcPr>
          <w:p w14:paraId="54F82F5F" w14:textId="464D13CC" w:rsidR="00D10123" w:rsidRPr="00836C93" w:rsidRDefault="00D10123" w:rsidP="00C106B5">
            <w:pPr>
              <w:pStyle w:val="af0"/>
              <w:numPr>
                <w:ilvl w:val="0"/>
                <w:numId w:val="106"/>
              </w:numPr>
              <w:ind w:left="36" w:firstLine="0"/>
              <w:rPr>
                <w:color w:val="000000"/>
              </w:rPr>
            </w:pPr>
          </w:p>
        </w:tc>
        <w:tc>
          <w:tcPr>
            <w:tcW w:w="1121" w:type="pct"/>
            <w:tcBorders>
              <w:top w:val="nil"/>
              <w:left w:val="nil"/>
              <w:bottom w:val="single" w:sz="4" w:space="0" w:color="auto"/>
              <w:right w:val="single" w:sz="4" w:space="0" w:color="auto"/>
            </w:tcBorders>
            <w:shd w:val="clear" w:color="auto" w:fill="auto"/>
            <w:vAlign w:val="center"/>
            <w:hideMark/>
          </w:tcPr>
          <w:p w14:paraId="503E3AFF" w14:textId="77777777" w:rsidR="00D10123" w:rsidRPr="000E68C5" w:rsidRDefault="00D10123" w:rsidP="008E6468">
            <w:pPr>
              <w:ind w:firstLine="0"/>
              <w:rPr>
                <w:color w:val="000000"/>
              </w:rPr>
            </w:pPr>
            <w:r w:rsidRPr="000E68C5">
              <w:rPr>
                <w:color w:val="000000"/>
              </w:rPr>
              <w:t>Восточная</w:t>
            </w:r>
          </w:p>
        </w:tc>
        <w:tc>
          <w:tcPr>
            <w:tcW w:w="1226" w:type="pct"/>
            <w:tcBorders>
              <w:top w:val="nil"/>
              <w:left w:val="nil"/>
              <w:bottom w:val="single" w:sz="4" w:space="0" w:color="auto"/>
              <w:right w:val="single" w:sz="4" w:space="0" w:color="auto"/>
            </w:tcBorders>
            <w:shd w:val="clear" w:color="auto" w:fill="auto"/>
            <w:vAlign w:val="center"/>
            <w:hideMark/>
          </w:tcPr>
          <w:p w14:paraId="7E6A24F2" w14:textId="77777777" w:rsidR="00D10123" w:rsidRPr="000E68C5" w:rsidRDefault="00D10123" w:rsidP="008E6468">
            <w:pPr>
              <w:ind w:firstLine="0"/>
              <w:rPr>
                <w:color w:val="000000"/>
              </w:rPr>
            </w:pPr>
            <w:r w:rsidRPr="000E68C5">
              <w:rPr>
                <w:color w:val="000000"/>
              </w:rPr>
              <w:t>Усть-Майский</w:t>
            </w:r>
          </w:p>
        </w:tc>
        <w:tc>
          <w:tcPr>
            <w:tcW w:w="1077" w:type="pct"/>
            <w:tcBorders>
              <w:top w:val="nil"/>
              <w:left w:val="nil"/>
              <w:bottom w:val="single" w:sz="4" w:space="0" w:color="auto"/>
              <w:right w:val="single" w:sz="4" w:space="0" w:color="auto"/>
            </w:tcBorders>
            <w:shd w:val="clear" w:color="auto" w:fill="auto"/>
            <w:vAlign w:val="center"/>
            <w:hideMark/>
          </w:tcPr>
          <w:p w14:paraId="49184FB9" w14:textId="77777777" w:rsidR="00D10123" w:rsidRPr="000E68C5" w:rsidRDefault="00D10123" w:rsidP="008E6468">
            <w:pPr>
              <w:ind w:firstLine="0"/>
              <w:rPr>
                <w:color w:val="000000"/>
              </w:rPr>
            </w:pPr>
            <w:r w:rsidRPr="000E68C5">
              <w:rPr>
                <w:color w:val="000000"/>
              </w:rPr>
              <w:t>МО</w:t>
            </w:r>
          </w:p>
        </w:tc>
        <w:tc>
          <w:tcPr>
            <w:tcW w:w="1229" w:type="pct"/>
            <w:tcBorders>
              <w:top w:val="nil"/>
              <w:left w:val="nil"/>
              <w:bottom w:val="single" w:sz="4" w:space="0" w:color="auto"/>
              <w:right w:val="single" w:sz="4" w:space="0" w:color="auto"/>
            </w:tcBorders>
            <w:shd w:val="clear" w:color="auto" w:fill="auto"/>
            <w:vAlign w:val="center"/>
            <w:hideMark/>
          </w:tcPr>
          <w:p w14:paraId="44B75721" w14:textId="77777777" w:rsidR="00D10123" w:rsidRPr="000E68C5" w:rsidRDefault="00D10123" w:rsidP="008E6468">
            <w:pPr>
              <w:ind w:firstLine="0"/>
              <w:rPr>
                <w:color w:val="000000"/>
              </w:rPr>
            </w:pPr>
            <w:r w:rsidRPr="000E68C5">
              <w:rPr>
                <w:color w:val="000000"/>
              </w:rPr>
              <w:t>0,25</w:t>
            </w:r>
          </w:p>
        </w:tc>
      </w:tr>
      <w:tr w:rsidR="00D10123" w:rsidRPr="000E68C5" w14:paraId="42409846" w14:textId="77777777" w:rsidTr="00836C93">
        <w:trPr>
          <w:trHeight w:val="315"/>
        </w:trPr>
        <w:tc>
          <w:tcPr>
            <w:tcW w:w="346" w:type="pct"/>
            <w:tcBorders>
              <w:top w:val="nil"/>
              <w:left w:val="single" w:sz="4" w:space="0" w:color="auto"/>
              <w:bottom w:val="single" w:sz="4" w:space="0" w:color="auto"/>
              <w:right w:val="single" w:sz="4" w:space="0" w:color="auto"/>
            </w:tcBorders>
            <w:shd w:val="clear" w:color="auto" w:fill="auto"/>
            <w:vAlign w:val="center"/>
          </w:tcPr>
          <w:p w14:paraId="13621D8C" w14:textId="15FD507B" w:rsidR="00D10123" w:rsidRPr="00836C93" w:rsidRDefault="00D10123" w:rsidP="00C106B5">
            <w:pPr>
              <w:pStyle w:val="af0"/>
              <w:numPr>
                <w:ilvl w:val="0"/>
                <w:numId w:val="106"/>
              </w:numPr>
              <w:ind w:left="36" w:firstLine="0"/>
              <w:rPr>
                <w:color w:val="000000"/>
              </w:rPr>
            </w:pPr>
          </w:p>
        </w:tc>
        <w:tc>
          <w:tcPr>
            <w:tcW w:w="1121" w:type="pct"/>
            <w:tcBorders>
              <w:top w:val="nil"/>
              <w:left w:val="nil"/>
              <w:bottom w:val="single" w:sz="4" w:space="0" w:color="auto"/>
              <w:right w:val="single" w:sz="4" w:space="0" w:color="auto"/>
            </w:tcBorders>
            <w:shd w:val="clear" w:color="auto" w:fill="auto"/>
            <w:vAlign w:val="center"/>
            <w:hideMark/>
          </w:tcPr>
          <w:p w14:paraId="36143DB4" w14:textId="77777777" w:rsidR="00D10123" w:rsidRPr="000E68C5" w:rsidRDefault="00D10123" w:rsidP="008E6468">
            <w:pPr>
              <w:ind w:firstLine="0"/>
              <w:rPr>
                <w:color w:val="000000"/>
              </w:rPr>
            </w:pPr>
            <w:r w:rsidRPr="000E68C5">
              <w:rPr>
                <w:color w:val="000000"/>
              </w:rPr>
              <w:t>Арктическая</w:t>
            </w:r>
          </w:p>
        </w:tc>
        <w:tc>
          <w:tcPr>
            <w:tcW w:w="1226" w:type="pct"/>
            <w:tcBorders>
              <w:top w:val="nil"/>
              <w:left w:val="nil"/>
              <w:bottom w:val="single" w:sz="4" w:space="0" w:color="auto"/>
              <w:right w:val="single" w:sz="4" w:space="0" w:color="auto"/>
            </w:tcBorders>
            <w:shd w:val="clear" w:color="auto" w:fill="auto"/>
            <w:vAlign w:val="center"/>
            <w:hideMark/>
          </w:tcPr>
          <w:p w14:paraId="419004EC" w14:textId="77777777" w:rsidR="00D10123" w:rsidRPr="000E68C5" w:rsidRDefault="00D10123" w:rsidP="008E6468">
            <w:pPr>
              <w:ind w:firstLine="0"/>
              <w:rPr>
                <w:color w:val="000000"/>
              </w:rPr>
            </w:pPr>
            <w:r w:rsidRPr="000E68C5">
              <w:rPr>
                <w:color w:val="000000"/>
              </w:rPr>
              <w:t>Усть-Янский</w:t>
            </w:r>
          </w:p>
        </w:tc>
        <w:tc>
          <w:tcPr>
            <w:tcW w:w="1077" w:type="pct"/>
            <w:tcBorders>
              <w:top w:val="nil"/>
              <w:left w:val="nil"/>
              <w:bottom w:val="single" w:sz="4" w:space="0" w:color="auto"/>
              <w:right w:val="single" w:sz="4" w:space="0" w:color="auto"/>
            </w:tcBorders>
            <w:shd w:val="clear" w:color="auto" w:fill="auto"/>
            <w:vAlign w:val="center"/>
            <w:hideMark/>
          </w:tcPr>
          <w:p w14:paraId="4D19A61A" w14:textId="77777777" w:rsidR="00D10123" w:rsidRPr="000E68C5" w:rsidRDefault="00D10123" w:rsidP="008E6468">
            <w:pPr>
              <w:ind w:firstLine="0"/>
              <w:rPr>
                <w:color w:val="000000"/>
              </w:rPr>
            </w:pPr>
            <w:r w:rsidRPr="000E68C5">
              <w:rPr>
                <w:color w:val="000000"/>
              </w:rPr>
              <w:t>МО</w:t>
            </w:r>
          </w:p>
        </w:tc>
        <w:tc>
          <w:tcPr>
            <w:tcW w:w="1229" w:type="pct"/>
            <w:tcBorders>
              <w:top w:val="nil"/>
              <w:left w:val="nil"/>
              <w:bottom w:val="single" w:sz="4" w:space="0" w:color="auto"/>
              <w:right w:val="single" w:sz="4" w:space="0" w:color="auto"/>
            </w:tcBorders>
            <w:shd w:val="clear" w:color="auto" w:fill="auto"/>
            <w:vAlign w:val="center"/>
            <w:hideMark/>
          </w:tcPr>
          <w:p w14:paraId="6C062183" w14:textId="77777777" w:rsidR="00D10123" w:rsidRPr="000E68C5" w:rsidRDefault="00D10123" w:rsidP="008E6468">
            <w:pPr>
              <w:ind w:firstLine="0"/>
              <w:rPr>
                <w:color w:val="000000"/>
              </w:rPr>
            </w:pPr>
            <w:r w:rsidRPr="000E68C5">
              <w:rPr>
                <w:color w:val="000000"/>
              </w:rPr>
              <w:t>0,28</w:t>
            </w:r>
          </w:p>
        </w:tc>
      </w:tr>
      <w:tr w:rsidR="00D10123" w:rsidRPr="000E68C5" w14:paraId="14912CA3" w14:textId="77777777" w:rsidTr="00836C93">
        <w:trPr>
          <w:trHeight w:val="315"/>
        </w:trPr>
        <w:tc>
          <w:tcPr>
            <w:tcW w:w="346" w:type="pct"/>
            <w:tcBorders>
              <w:top w:val="nil"/>
              <w:left w:val="single" w:sz="4" w:space="0" w:color="auto"/>
              <w:bottom w:val="single" w:sz="4" w:space="0" w:color="auto"/>
              <w:right w:val="single" w:sz="4" w:space="0" w:color="auto"/>
            </w:tcBorders>
            <w:shd w:val="clear" w:color="auto" w:fill="auto"/>
            <w:vAlign w:val="center"/>
          </w:tcPr>
          <w:p w14:paraId="431E8EAB" w14:textId="32052A38" w:rsidR="00D10123" w:rsidRPr="00836C93" w:rsidRDefault="00D10123" w:rsidP="00C106B5">
            <w:pPr>
              <w:pStyle w:val="af0"/>
              <w:numPr>
                <w:ilvl w:val="0"/>
                <w:numId w:val="106"/>
              </w:numPr>
              <w:ind w:left="36" w:firstLine="0"/>
              <w:rPr>
                <w:color w:val="000000"/>
              </w:rPr>
            </w:pPr>
          </w:p>
        </w:tc>
        <w:tc>
          <w:tcPr>
            <w:tcW w:w="1121" w:type="pct"/>
            <w:tcBorders>
              <w:top w:val="nil"/>
              <w:left w:val="nil"/>
              <w:bottom w:val="single" w:sz="4" w:space="0" w:color="auto"/>
              <w:right w:val="single" w:sz="4" w:space="0" w:color="auto"/>
            </w:tcBorders>
            <w:shd w:val="clear" w:color="auto" w:fill="auto"/>
            <w:vAlign w:val="center"/>
            <w:hideMark/>
          </w:tcPr>
          <w:p w14:paraId="06541CC7" w14:textId="77777777" w:rsidR="00D10123" w:rsidRPr="000E68C5" w:rsidRDefault="00D10123" w:rsidP="008E6468">
            <w:pPr>
              <w:ind w:firstLine="0"/>
              <w:rPr>
                <w:color w:val="000000"/>
              </w:rPr>
            </w:pPr>
            <w:r w:rsidRPr="000E68C5">
              <w:rPr>
                <w:color w:val="000000"/>
              </w:rPr>
              <w:t>Арктическая</w:t>
            </w:r>
          </w:p>
        </w:tc>
        <w:tc>
          <w:tcPr>
            <w:tcW w:w="1226" w:type="pct"/>
            <w:tcBorders>
              <w:top w:val="nil"/>
              <w:left w:val="nil"/>
              <w:bottom w:val="single" w:sz="4" w:space="0" w:color="auto"/>
              <w:right w:val="single" w:sz="4" w:space="0" w:color="auto"/>
            </w:tcBorders>
            <w:shd w:val="clear" w:color="auto" w:fill="auto"/>
            <w:vAlign w:val="center"/>
            <w:hideMark/>
          </w:tcPr>
          <w:p w14:paraId="63E0ABEC" w14:textId="77777777" w:rsidR="00D10123" w:rsidRPr="000E68C5" w:rsidRDefault="00D10123" w:rsidP="008E6468">
            <w:pPr>
              <w:ind w:firstLine="0"/>
              <w:rPr>
                <w:color w:val="000000"/>
              </w:rPr>
            </w:pPr>
            <w:r w:rsidRPr="000E68C5">
              <w:rPr>
                <w:color w:val="000000"/>
              </w:rPr>
              <w:t>Усть-Янский</w:t>
            </w:r>
          </w:p>
        </w:tc>
        <w:tc>
          <w:tcPr>
            <w:tcW w:w="1077" w:type="pct"/>
            <w:tcBorders>
              <w:top w:val="nil"/>
              <w:left w:val="nil"/>
              <w:bottom w:val="single" w:sz="4" w:space="0" w:color="auto"/>
              <w:right w:val="single" w:sz="4" w:space="0" w:color="auto"/>
            </w:tcBorders>
            <w:shd w:val="clear" w:color="auto" w:fill="auto"/>
            <w:vAlign w:val="center"/>
            <w:hideMark/>
          </w:tcPr>
          <w:p w14:paraId="3D306E53" w14:textId="77777777" w:rsidR="00D10123" w:rsidRPr="000E68C5" w:rsidRDefault="00D10123" w:rsidP="008E6468">
            <w:pPr>
              <w:ind w:firstLine="0"/>
              <w:rPr>
                <w:color w:val="000000"/>
              </w:rPr>
            </w:pPr>
            <w:r w:rsidRPr="000E68C5">
              <w:rPr>
                <w:color w:val="000000"/>
              </w:rPr>
              <w:t>Депутатский</w:t>
            </w:r>
          </w:p>
        </w:tc>
        <w:tc>
          <w:tcPr>
            <w:tcW w:w="1229" w:type="pct"/>
            <w:tcBorders>
              <w:top w:val="nil"/>
              <w:left w:val="nil"/>
              <w:bottom w:val="single" w:sz="4" w:space="0" w:color="auto"/>
              <w:right w:val="single" w:sz="4" w:space="0" w:color="auto"/>
            </w:tcBorders>
            <w:shd w:val="clear" w:color="auto" w:fill="auto"/>
            <w:vAlign w:val="center"/>
            <w:hideMark/>
          </w:tcPr>
          <w:p w14:paraId="06054E15" w14:textId="77777777" w:rsidR="00D10123" w:rsidRPr="000E68C5" w:rsidRDefault="00D10123" w:rsidP="008E6468">
            <w:pPr>
              <w:ind w:firstLine="0"/>
              <w:rPr>
                <w:color w:val="000000"/>
              </w:rPr>
            </w:pPr>
            <w:r w:rsidRPr="000E68C5">
              <w:rPr>
                <w:color w:val="000000"/>
              </w:rPr>
              <w:t>0,44</w:t>
            </w:r>
          </w:p>
        </w:tc>
      </w:tr>
      <w:tr w:rsidR="00D10123" w:rsidRPr="000E68C5" w14:paraId="6D8FA074" w14:textId="77777777" w:rsidTr="00836C93">
        <w:trPr>
          <w:trHeight w:val="315"/>
        </w:trPr>
        <w:tc>
          <w:tcPr>
            <w:tcW w:w="346" w:type="pct"/>
            <w:tcBorders>
              <w:top w:val="nil"/>
              <w:left w:val="single" w:sz="4" w:space="0" w:color="auto"/>
              <w:bottom w:val="single" w:sz="4" w:space="0" w:color="auto"/>
              <w:right w:val="single" w:sz="4" w:space="0" w:color="auto"/>
            </w:tcBorders>
            <w:shd w:val="clear" w:color="auto" w:fill="auto"/>
            <w:vAlign w:val="center"/>
          </w:tcPr>
          <w:p w14:paraId="0ADFF508" w14:textId="0B316E47" w:rsidR="00D10123" w:rsidRPr="00836C93" w:rsidRDefault="00D10123" w:rsidP="00C106B5">
            <w:pPr>
              <w:pStyle w:val="af0"/>
              <w:numPr>
                <w:ilvl w:val="0"/>
                <w:numId w:val="106"/>
              </w:numPr>
              <w:ind w:left="36" w:firstLine="0"/>
              <w:rPr>
                <w:color w:val="000000"/>
              </w:rPr>
            </w:pPr>
          </w:p>
        </w:tc>
        <w:tc>
          <w:tcPr>
            <w:tcW w:w="1121" w:type="pct"/>
            <w:tcBorders>
              <w:top w:val="nil"/>
              <w:left w:val="nil"/>
              <w:bottom w:val="single" w:sz="4" w:space="0" w:color="auto"/>
              <w:right w:val="single" w:sz="4" w:space="0" w:color="auto"/>
            </w:tcBorders>
            <w:shd w:val="clear" w:color="auto" w:fill="auto"/>
            <w:vAlign w:val="center"/>
            <w:hideMark/>
          </w:tcPr>
          <w:p w14:paraId="4CC7F6F7" w14:textId="77777777" w:rsidR="00D10123" w:rsidRPr="000E68C5" w:rsidRDefault="00D10123" w:rsidP="008E6468">
            <w:pPr>
              <w:ind w:firstLine="0"/>
              <w:rPr>
                <w:color w:val="000000"/>
              </w:rPr>
            </w:pPr>
            <w:r w:rsidRPr="000E68C5">
              <w:rPr>
                <w:color w:val="000000"/>
              </w:rPr>
              <w:t>Центральная</w:t>
            </w:r>
          </w:p>
        </w:tc>
        <w:tc>
          <w:tcPr>
            <w:tcW w:w="1226" w:type="pct"/>
            <w:tcBorders>
              <w:top w:val="nil"/>
              <w:left w:val="nil"/>
              <w:bottom w:val="single" w:sz="4" w:space="0" w:color="auto"/>
              <w:right w:val="single" w:sz="4" w:space="0" w:color="auto"/>
            </w:tcBorders>
            <w:shd w:val="clear" w:color="auto" w:fill="auto"/>
            <w:vAlign w:val="center"/>
            <w:hideMark/>
          </w:tcPr>
          <w:p w14:paraId="2E5A5160" w14:textId="77777777" w:rsidR="00D10123" w:rsidRPr="000E68C5" w:rsidRDefault="00D10123" w:rsidP="008E6468">
            <w:pPr>
              <w:ind w:firstLine="0"/>
              <w:rPr>
                <w:color w:val="000000"/>
              </w:rPr>
            </w:pPr>
            <w:r w:rsidRPr="000E68C5">
              <w:rPr>
                <w:color w:val="000000"/>
              </w:rPr>
              <w:t>Хангаласский</w:t>
            </w:r>
          </w:p>
        </w:tc>
        <w:tc>
          <w:tcPr>
            <w:tcW w:w="1077" w:type="pct"/>
            <w:tcBorders>
              <w:top w:val="nil"/>
              <w:left w:val="nil"/>
              <w:bottom w:val="single" w:sz="4" w:space="0" w:color="auto"/>
              <w:right w:val="single" w:sz="4" w:space="0" w:color="auto"/>
            </w:tcBorders>
            <w:shd w:val="clear" w:color="auto" w:fill="auto"/>
            <w:vAlign w:val="center"/>
            <w:hideMark/>
          </w:tcPr>
          <w:p w14:paraId="59F09C13" w14:textId="77777777" w:rsidR="00D10123" w:rsidRPr="000E68C5" w:rsidRDefault="00D10123" w:rsidP="008E6468">
            <w:pPr>
              <w:ind w:firstLine="0"/>
              <w:rPr>
                <w:color w:val="000000"/>
              </w:rPr>
            </w:pPr>
            <w:r w:rsidRPr="000E68C5">
              <w:rPr>
                <w:color w:val="000000"/>
              </w:rPr>
              <w:t>МО</w:t>
            </w:r>
          </w:p>
        </w:tc>
        <w:tc>
          <w:tcPr>
            <w:tcW w:w="1229" w:type="pct"/>
            <w:tcBorders>
              <w:top w:val="nil"/>
              <w:left w:val="nil"/>
              <w:bottom w:val="single" w:sz="4" w:space="0" w:color="auto"/>
              <w:right w:val="single" w:sz="4" w:space="0" w:color="auto"/>
            </w:tcBorders>
            <w:shd w:val="clear" w:color="auto" w:fill="auto"/>
            <w:vAlign w:val="center"/>
            <w:hideMark/>
          </w:tcPr>
          <w:p w14:paraId="7EA07AB0" w14:textId="77777777" w:rsidR="00D10123" w:rsidRPr="000E68C5" w:rsidRDefault="00D10123" w:rsidP="008E6468">
            <w:pPr>
              <w:ind w:firstLine="0"/>
              <w:rPr>
                <w:color w:val="000000"/>
              </w:rPr>
            </w:pPr>
            <w:r w:rsidRPr="000E68C5">
              <w:rPr>
                <w:color w:val="000000"/>
              </w:rPr>
              <w:t>0,40</w:t>
            </w:r>
          </w:p>
        </w:tc>
      </w:tr>
      <w:tr w:rsidR="00D10123" w:rsidRPr="000E68C5" w14:paraId="3432A396" w14:textId="77777777" w:rsidTr="00836C93">
        <w:trPr>
          <w:trHeight w:val="315"/>
        </w:trPr>
        <w:tc>
          <w:tcPr>
            <w:tcW w:w="346" w:type="pct"/>
            <w:tcBorders>
              <w:top w:val="nil"/>
              <w:left w:val="single" w:sz="4" w:space="0" w:color="auto"/>
              <w:bottom w:val="single" w:sz="4" w:space="0" w:color="auto"/>
              <w:right w:val="single" w:sz="4" w:space="0" w:color="auto"/>
            </w:tcBorders>
            <w:shd w:val="clear" w:color="auto" w:fill="auto"/>
            <w:vAlign w:val="center"/>
          </w:tcPr>
          <w:p w14:paraId="3A0B7F59" w14:textId="02605BA9" w:rsidR="00D10123" w:rsidRPr="00836C93" w:rsidRDefault="00D10123" w:rsidP="00C106B5">
            <w:pPr>
              <w:pStyle w:val="af0"/>
              <w:numPr>
                <w:ilvl w:val="0"/>
                <w:numId w:val="106"/>
              </w:numPr>
              <w:ind w:left="36" w:firstLine="0"/>
              <w:rPr>
                <w:color w:val="000000"/>
              </w:rPr>
            </w:pPr>
          </w:p>
        </w:tc>
        <w:tc>
          <w:tcPr>
            <w:tcW w:w="1121" w:type="pct"/>
            <w:tcBorders>
              <w:top w:val="nil"/>
              <w:left w:val="nil"/>
              <w:bottom w:val="single" w:sz="4" w:space="0" w:color="auto"/>
              <w:right w:val="single" w:sz="4" w:space="0" w:color="auto"/>
            </w:tcBorders>
            <w:shd w:val="clear" w:color="auto" w:fill="auto"/>
            <w:vAlign w:val="center"/>
            <w:hideMark/>
          </w:tcPr>
          <w:p w14:paraId="662140E3" w14:textId="77777777" w:rsidR="00D10123" w:rsidRPr="000E68C5" w:rsidRDefault="00D10123" w:rsidP="008E6468">
            <w:pPr>
              <w:ind w:firstLine="0"/>
              <w:rPr>
                <w:color w:val="000000"/>
              </w:rPr>
            </w:pPr>
            <w:r w:rsidRPr="000E68C5">
              <w:rPr>
                <w:color w:val="000000"/>
              </w:rPr>
              <w:t>Центральная</w:t>
            </w:r>
          </w:p>
        </w:tc>
        <w:tc>
          <w:tcPr>
            <w:tcW w:w="1226" w:type="pct"/>
            <w:tcBorders>
              <w:top w:val="nil"/>
              <w:left w:val="nil"/>
              <w:bottom w:val="single" w:sz="4" w:space="0" w:color="auto"/>
              <w:right w:val="single" w:sz="4" w:space="0" w:color="auto"/>
            </w:tcBorders>
            <w:shd w:val="clear" w:color="auto" w:fill="auto"/>
            <w:vAlign w:val="center"/>
            <w:hideMark/>
          </w:tcPr>
          <w:p w14:paraId="24C33037" w14:textId="77777777" w:rsidR="00D10123" w:rsidRPr="000E68C5" w:rsidRDefault="00D10123" w:rsidP="008E6468">
            <w:pPr>
              <w:ind w:firstLine="0"/>
              <w:rPr>
                <w:color w:val="000000"/>
              </w:rPr>
            </w:pPr>
            <w:r w:rsidRPr="000E68C5">
              <w:rPr>
                <w:color w:val="000000"/>
              </w:rPr>
              <w:t>Хангаласский</w:t>
            </w:r>
          </w:p>
        </w:tc>
        <w:tc>
          <w:tcPr>
            <w:tcW w:w="1077" w:type="pct"/>
            <w:tcBorders>
              <w:top w:val="nil"/>
              <w:left w:val="nil"/>
              <w:bottom w:val="single" w:sz="4" w:space="0" w:color="auto"/>
              <w:right w:val="single" w:sz="4" w:space="0" w:color="auto"/>
            </w:tcBorders>
            <w:shd w:val="clear" w:color="auto" w:fill="auto"/>
            <w:vAlign w:val="center"/>
            <w:hideMark/>
          </w:tcPr>
          <w:p w14:paraId="6F1D6919" w14:textId="77777777" w:rsidR="00D10123" w:rsidRPr="000E68C5" w:rsidRDefault="00D10123" w:rsidP="008E6468">
            <w:pPr>
              <w:ind w:firstLine="0"/>
              <w:rPr>
                <w:color w:val="000000"/>
              </w:rPr>
            </w:pPr>
            <w:r w:rsidRPr="000E68C5">
              <w:rPr>
                <w:color w:val="000000"/>
              </w:rPr>
              <w:t>Покровск</w:t>
            </w:r>
          </w:p>
        </w:tc>
        <w:tc>
          <w:tcPr>
            <w:tcW w:w="1229" w:type="pct"/>
            <w:tcBorders>
              <w:top w:val="nil"/>
              <w:left w:val="nil"/>
              <w:bottom w:val="single" w:sz="4" w:space="0" w:color="auto"/>
              <w:right w:val="single" w:sz="4" w:space="0" w:color="auto"/>
            </w:tcBorders>
            <w:shd w:val="clear" w:color="auto" w:fill="auto"/>
            <w:vAlign w:val="center"/>
            <w:hideMark/>
          </w:tcPr>
          <w:p w14:paraId="5655C9FC" w14:textId="77777777" w:rsidR="00D10123" w:rsidRPr="000E68C5" w:rsidRDefault="00D10123" w:rsidP="008E6468">
            <w:pPr>
              <w:ind w:firstLine="0"/>
              <w:rPr>
                <w:color w:val="000000"/>
              </w:rPr>
            </w:pPr>
            <w:r w:rsidRPr="000E68C5">
              <w:rPr>
                <w:color w:val="000000"/>
              </w:rPr>
              <w:t>0,55</w:t>
            </w:r>
          </w:p>
        </w:tc>
      </w:tr>
      <w:tr w:rsidR="00D10123" w:rsidRPr="000E68C5" w14:paraId="5B705662" w14:textId="77777777" w:rsidTr="00836C93">
        <w:trPr>
          <w:trHeight w:val="315"/>
        </w:trPr>
        <w:tc>
          <w:tcPr>
            <w:tcW w:w="346" w:type="pct"/>
            <w:tcBorders>
              <w:top w:val="nil"/>
              <w:left w:val="single" w:sz="4" w:space="0" w:color="auto"/>
              <w:bottom w:val="single" w:sz="4" w:space="0" w:color="auto"/>
              <w:right w:val="single" w:sz="4" w:space="0" w:color="auto"/>
            </w:tcBorders>
            <w:shd w:val="clear" w:color="auto" w:fill="auto"/>
            <w:vAlign w:val="center"/>
          </w:tcPr>
          <w:p w14:paraId="15BA7F92" w14:textId="45A908E8" w:rsidR="00D10123" w:rsidRPr="00836C93" w:rsidRDefault="00D10123" w:rsidP="00C106B5">
            <w:pPr>
              <w:pStyle w:val="af0"/>
              <w:numPr>
                <w:ilvl w:val="0"/>
                <w:numId w:val="106"/>
              </w:numPr>
              <w:ind w:left="36" w:firstLine="0"/>
              <w:rPr>
                <w:color w:val="000000"/>
              </w:rPr>
            </w:pPr>
          </w:p>
        </w:tc>
        <w:tc>
          <w:tcPr>
            <w:tcW w:w="1121" w:type="pct"/>
            <w:tcBorders>
              <w:top w:val="nil"/>
              <w:left w:val="nil"/>
              <w:bottom w:val="single" w:sz="4" w:space="0" w:color="auto"/>
              <w:right w:val="single" w:sz="4" w:space="0" w:color="auto"/>
            </w:tcBorders>
            <w:shd w:val="clear" w:color="auto" w:fill="auto"/>
            <w:vAlign w:val="center"/>
            <w:hideMark/>
          </w:tcPr>
          <w:p w14:paraId="2EBCC1DB" w14:textId="77777777" w:rsidR="00D10123" w:rsidRPr="000E68C5" w:rsidRDefault="00D10123" w:rsidP="008E6468">
            <w:pPr>
              <w:ind w:firstLine="0"/>
              <w:rPr>
                <w:color w:val="000000"/>
              </w:rPr>
            </w:pPr>
            <w:r w:rsidRPr="000E68C5">
              <w:rPr>
                <w:color w:val="000000"/>
              </w:rPr>
              <w:t>Центральная</w:t>
            </w:r>
          </w:p>
        </w:tc>
        <w:tc>
          <w:tcPr>
            <w:tcW w:w="1226" w:type="pct"/>
            <w:tcBorders>
              <w:top w:val="nil"/>
              <w:left w:val="nil"/>
              <w:bottom w:val="single" w:sz="4" w:space="0" w:color="auto"/>
              <w:right w:val="single" w:sz="4" w:space="0" w:color="auto"/>
            </w:tcBorders>
            <w:shd w:val="clear" w:color="auto" w:fill="auto"/>
            <w:vAlign w:val="center"/>
            <w:hideMark/>
          </w:tcPr>
          <w:p w14:paraId="1A65C2C8" w14:textId="77777777" w:rsidR="00D10123" w:rsidRPr="000E68C5" w:rsidRDefault="00D10123" w:rsidP="008E6468">
            <w:pPr>
              <w:ind w:firstLine="0"/>
              <w:rPr>
                <w:color w:val="000000"/>
              </w:rPr>
            </w:pPr>
            <w:r w:rsidRPr="000E68C5">
              <w:rPr>
                <w:color w:val="000000"/>
              </w:rPr>
              <w:t>Чурапчинский</w:t>
            </w:r>
          </w:p>
        </w:tc>
        <w:tc>
          <w:tcPr>
            <w:tcW w:w="1077" w:type="pct"/>
            <w:tcBorders>
              <w:top w:val="nil"/>
              <w:left w:val="nil"/>
              <w:bottom w:val="single" w:sz="4" w:space="0" w:color="auto"/>
              <w:right w:val="single" w:sz="4" w:space="0" w:color="auto"/>
            </w:tcBorders>
            <w:shd w:val="clear" w:color="auto" w:fill="auto"/>
            <w:vAlign w:val="center"/>
            <w:hideMark/>
          </w:tcPr>
          <w:p w14:paraId="4CEE2C6D" w14:textId="77777777" w:rsidR="00D10123" w:rsidRPr="000E68C5" w:rsidRDefault="00D10123" w:rsidP="008E6468">
            <w:pPr>
              <w:ind w:firstLine="0"/>
              <w:rPr>
                <w:color w:val="000000"/>
              </w:rPr>
            </w:pPr>
            <w:r w:rsidRPr="000E68C5">
              <w:rPr>
                <w:color w:val="000000"/>
              </w:rPr>
              <w:t>МО</w:t>
            </w:r>
          </w:p>
        </w:tc>
        <w:tc>
          <w:tcPr>
            <w:tcW w:w="1229" w:type="pct"/>
            <w:tcBorders>
              <w:top w:val="nil"/>
              <w:left w:val="nil"/>
              <w:bottom w:val="single" w:sz="4" w:space="0" w:color="auto"/>
              <w:right w:val="single" w:sz="4" w:space="0" w:color="auto"/>
            </w:tcBorders>
            <w:shd w:val="clear" w:color="auto" w:fill="auto"/>
            <w:vAlign w:val="center"/>
            <w:hideMark/>
          </w:tcPr>
          <w:p w14:paraId="682B2D28" w14:textId="77777777" w:rsidR="00D10123" w:rsidRPr="000E68C5" w:rsidRDefault="00D10123" w:rsidP="008E6468">
            <w:pPr>
              <w:ind w:firstLine="0"/>
              <w:rPr>
                <w:color w:val="000000"/>
              </w:rPr>
            </w:pPr>
            <w:r w:rsidRPr="000E68C5">
              <w:rPr>
                <w:color w:val="000000"/>
              </w:rPr>
              <w:t>0,36</w:t>
            </w:r>
          </w:p>
        </w:tc>
      </w:tr>
      <w:tr w:rsidR="00D10123" w:rsidRPr="000E68C5" w14:paraId="0FDD9112" w14:textId="77777777" w:rsidTr="00836C93">
        <w:trPr>
          <w:trHeight w:val="315"/>
        </w:trPr>
        <w:tc>
          <w:tcPr>
            <w:tcW w:w="346" w:type="pct"/>
            <w:tcBorders>
              <w:top w:val="nil"/>
              <w:left w:val="single" w:sz="4" w:space="0" w:color="auto"/>
              <w:bottom w:val="single" w:sz="4" w:space="0" w:color="auto"/>
              <w:right w:val="single" w:sz="4" w:space="0" w:color="auto"/>
            </w:tcBorders>
            <w:shd w:val="clear" w:color="auto" w:fill="auto"/>
            <w:vAlign w:val="center"/>
          </w:tcPr>
          <w:p w14:paraId="7FAEDB4B" w14:textId="00C79410" w:rsidR="00D10123" w:rsidRPr="00836C93" w:rsidRDefault="00D10123" w:rsidP="00C106B5">
            <w:pPr>
              <w:pStyle w:val="af0"/>
              <w:numPr>
                <w:ilvl w:val="0"/>
                <w:numId w:val="106"/>
              </w:numPr>
              <w:ind w:left="36" w:firstLine="0"/>
              <w:rPr>
                <w:color w:val="000000"/>
              </w:rPr>
            </w:pPr>
          </w:p>
        </w:tc>
        <w:tc>
          <w:tcPr>
            <w:tcW w:w="1121" w:type="pct"/>
            <w:tcBorders>
              <w:top w:val="nil"/>
              <w:left w:val="nil"/>
              <w:bottom w:val="single" w:sz="4" w:space="0" w:color="auto"/>
              <w:right w:val="single" w:sz="4" w:space="0" w:color="auto"/>
            </w:tcBorders>
            <w:shd w:val="clear" w:color="auto" w:fill="auto"/>
            <w:vAlign w:val="center"/>
            <w:hideMark/>
          </w:tcPr>
          <w:p w14:paraId="721FC973" w14:textId="77777777" w:rsidR="00D10123" w:rsidRPr="000E68C5" w:rsidRDefault="00D10123" w:rsidP="008E6468">
            <w:pPr>
              <w:ind w:firstLine="0"/>
              <w:rPr>
                <w:color w:val="000000"/>
              </w:rPr>
            </w:pPr>
            <w:r w:rsidRPr="000E68C5">
              <w:rPr>
                <w:color w:val="000000"/>
              </w:rPr>
              <w:t>Арктическая</w:t>
            </w:r>
          </w:p>
        </w:tc>
        <w:tc>
          <w:tcPr>
            <w:tcW w:w="1226" w:type="pct"/>
            <w:tcBorders>
              <w:top w:val="nil"/>
              <w:left w:val="nil"/>
              <w:bottom w:val="single" w:sz="4" w:space="0" w:color="auto"/>
              <w:right w:val="single" w:sz="4" w:space="0" w:color="auto"/>
            </w:tcBorders>
            <w:shd w:val="clear" w:color="auto" w:fill="auto"/>
            <w:vAlign w:val="center"/>
            <w:hideMark/>
          </w:tcPr>
          <w:p w14:paraId="48802EB2" w14:textId="77777777" w:rsidR="00D10123" w:rsidRPr="000E68C5" w:rsidRDefault="00D10123" w:rsidP="008E6468">
            <w:pPr>
              <w:ind w:firstLine="0"/>
              <w:rPr>
                <w:color w:val="000000"/>
              </w:rPr>
            </w:pPr>
            <w:r w:rsidRPr="000E68C5">
              <w:rPr>
                <w:color w:val="000000"/>
              </w:rPr>
              <w:t>Эвено-Бытантайский</w:t>
            </w:r>
          </w:p>
        </w:tc>
        <w:tc>
          <w:tcPr>
            <w:tcW w:w="1077" w:type="pct"/>
            <w:tcBorders>
              <w:top w:val="nil"/>
              <w:left w:val="nil"/>
              <w:bottom w:val="single" w:sz="4" w:space="0" w:color="auto"/>
              <w:right w:val="single" w:sz="4" w:space="0" w:color="auto"/>
            </w:tcBorders>
            <w:shd w:val="clear" w:color="auto" w:fill="auto"/>
            <w:vAlign w:val="center"/>
            <w:hideMark/>
          </w:tcPr>
          <w:p w14:paraId="788C4E7C" w14:textId="77777777" w:rsidR="00D10123" w:rsidRPr="000E68C5" w:rsidRDefault="00D10123" w:rsidP="008E6468">
            <w:pPr>
              <w:ind w:firstLine="0"/>
              <w:rPr>
                <w:color w:val="000000"/>
              </w:rPr>
            </w:pPr>
            <w:r w:rsidRPr="000E68C5">
              <w:rPr>
                <w:color w:val="000000"/>
              </w:rPr>
              <w:t>МО</w:t>
            </w:r>
          </w:p>
        </w:tc>
        <w:tc>
          <w:tcPr>
            <w:tcW w:w="1229" w:type="pct"/>
            <w:tcBorders>
              <w:top w:val="nil"/>
              <w:left w:val="nil"/>
              <w:bottom w:val="single" w:sz="4" w:space="0" w:color="auto"/>
              <w:right w:val="single" w:sz="4" w:space="0" w:color="auto"/>
            </w:tcBorders>
            <w:shd w:val="clear" w:color="auto" w:fill="auto"/>
            <w:vAlign w:val="center"/>
            <w:hideMark/>
          </w:tcPr>
          <w:p w14:paraId="39ABD37F" w14:textId="77777777" w:rsidR="00D10123" w:rsidRPr="000E68C5" w:rsidRDefault="00D10123" w:rsidP="008E6468">
            <w:pPr>
              <w:ind w:firstLine="0"/>
              <w:rPr>
                <w:color w:val="000000"/>
              </w:rPr>
            </w:pPr>
            <w:r w:rsidRPr="000E68C5">
              <w:rPr>
                <w:color w:val="000000"/>
              </w:rPr>
              <w:t>0,27</w:t>
            </w:r>
          </w:p>
        </w:tc>
      </w:tr>
    </w:tbl>
    <w:p w14:paraId="42132286" w14:textId="77777777" w:rsidR="00D10123" w:rsidRPr="000E68C5" w:rsidRDefault="00D10123" w:rsidP="00D10123">
      <w:pPr>
        <w:ind w:firstLine="0"/>
      </w:pPr>
    </w:p>
    <w:p w14:paraId="7320575A" w14:textId="43AFB1CC" w:rsidR="00D10123" w:rsidRPr="000E68C5" w:rsidRDefault="00D10123" w:rsidP="00D10123">
      <w:pPr>
        <w:ind w:firstLine="567"/>
        <w:rPr>
          <w:b/>
          <w:i/>
        </w:rPr>
      </w:pPr>
      <w:r w:rsidRPr="000E68C5">
        <w:rPr>
          <w:b/>
          <w:i/>
        </w:rPr>
        <w:t xml:space="preserve">Определение кадастровой стоимости </w:t>
      </w:r>
      <w:r w:rsidR="00AF0B51">
        <w:rPr>
          <w:b/>
          <w:i/>
        </w:rPr>
        <w:t xml:space="preserve">объектов </w:t>
      </w:r>
      <w:r w:rsidRPr="000E68C5">
        <w:rPr>
          <w:b/>
          <w:i/>
        </w:rPr>
        <w:t xml:space="preserve">в подгруппе </w:t>
      </w:r>
    </w:p>
    <w:p w14:paraId="3AC40E62" w14:textId="748FF612" w:rsidR="00D10123" w:rsidRPr="000E68C5" w:rsidRDefault="00D10123" w:rsidP="00D10123">
      <w:pPr>
        <w:ind w:firstLine="0"/>
        <w:rPr>
          <w:color w:val="000000"/>
        </w:rPr>
      </w:pPr>
      <w:r w:rsidRPr="000E68C5">
        <w:t xml:space="preserve">Определение кадастровой стоимости каждого </w:t>
      </w:r>
      <w:r w:rsidR="009E6C67" w:rsidRPr="000E68C5">
        <w:t>объекта недвижимости</w:t>
      </w:r>
      <w:r w:rsidRPr="000E68C5">
        <w:t xml:space="preserve"> из Перечня ОО, относящегося к подгруппам </w:t>
      </w:r>
      <w:r w:rsidR="009E6C67" w:rsidRPr="000E68C5">
        <w:t xml:space="preserve">расчета 1.6. (1 группа), подгруппам 2.7., 2.8. (2 группа), подгруппам 3.3., 3.5. (3 группа) </w:t>
      </w:r>
      <w:r w:rsidRPr="000E68C5">
        <w:t>осуществлялось путем умножения, средневзвешенного УП</w:t>
      </w:r>
      <w:r w:rsidR="009E6C67" w:rsidRPr="000E68C5">
        <w:t>К</w:t>
      </w:r>
      <w:r w:rsidRPr="000E68C5">
        <w:t xml:space="preserve">С в городе Якутске </w:t>
      </w:r>
      <w:r w:rsidR="009E6C67" w:rsidRPr="000E68C5">
        <w:t xml:space="preserve">в соответствующих группах </w:t>
      </w:r>
      <w:r w:rsidRPr="000E68C5">
        <w:t xml:space="preserve">с корректировкой на местонахождение на площадь </w:t>
      </w:r>
      <w:r w:rsidR="009E6C67" w:rsidRPr="000E68C5">
        <w:t>объекта недвижимости</w:t>
      </w:r>
      <w:r w:rsidRPr="000E68C5">
        <w:t>.</w:t>
      </w:r>
    </w:p>
    <w:p w14:paraId="5D1B9658" w14:textId="5C351B40" w:rsidR="00D10123" w:rsidRDefault="00D10123" w:rsidP="00D10123">
      <w:pPr>
        <w:ind w:firstLine="567"/>
      </w:pPr>
      <w:r w:rsidRPr="000E68C5">
        <w:t>Результаты определения кадастровой стоимости приведены в приложении 2.2 Расчет КС.</w:t>
      </w:r>
    </w:p>
    <w:p w14:paraId="192A5C72" w14:textId="5073F268" w:rsidR="00D10123" w:rsidRDefault="00D10123" w:rsidP="00322AE9">
      <w:pPr>
        <w:suppressAutoHyphens/>
        <w:adjustRightInd w:val="0"/>
        <w:ind w:firstLine="0"/>
        <w:jc w:val="center"/>
        <w:textAlignment w:val="baseline"/>
        <w:rPr>
          <w:rFonts w:eastAsia="Times New Roman" w:cs="Times New Roman"/>
          <w:b/>
          <w:spacing w:val="-5"/>
          <w:szCs w:val="24"/>
        </w:rPr>
      </w:pPr>
    </w:p>
    <w:p w14:paraId="079055AB" w14:textId="6995E725" w:rsidR="00322AE9" w:rsidRPr="00355207" w:rsidRDefault="00E215D0" w:rsidP="00FD2769">
      <w:pPr>
        <w:pStyle w:val="3"/>
        <w:rPr>
          <w:rFonts w:eastAsia="Times New Roman"/>
          <w:lang w:eastAsia="ru-RU"/>
        </w:rPr>
      </w:pPr>
      <w:bookmarkStart w:id="134" w:name="_Toc14819122"/>
      <w:r w:rsidRPr="00355207">
        <w:rPr>
          <w:rFonts w:eastAsia="Times New Roman"/>
          <w:lang w:eastAsia="ru-RU"/>
        </w:rPr>
        <w:t xml:space="preserve">Определение кадастровой стоимости </w:t>
      </w:r>
      <w:r w:rsidR="00322AE9" w:rsidRPr="00355207">
        <w:rPr>
          <w:rFonts w:eastAsia="Times New Roman"/>
          <w:lang w:eastAsia="ru-RU"/>
        </w:rPr>
        <w:t>затратным подходом</w:t>
      </w:r>
      <w:bookmarkEnd w:id="134"/>
    </w:p>
    <w:p w14:paraId="47332370" w14:textId="0C9BFA25" w:rsidR="00322AE9" w:rsidRPr="00322AE9" w:rsidRDefault="00322AE9" w:rsidP="00340D04">
      <w:pPr>
        <w:suppressAutoHyphens/>
        <w:adjustRightInd w:val="0"/>
        <w:ind w:firstLine="567"/>
        <w:jc w:val="center"/>
        <w:textAlignment w:val="baseline"/>
        <w:rPr>
          <w:rFonts w:eastAsia="Times New Roman" w:cs="Times New Roman"/>
          <w:b/>
          <w:spacing w:val="-5"/>
          <w:szCs w:val="24"/>
        </w:rPr>
      </w:pPr>
      <w:r w:rsidRPr="00322AE9">
        <w:rPr>
          <w:rFonts w:eastAsia="Times New Roman" w:cs="Times New Roman"/>
          <w:b/>
          <w:spacing w:val="-5"/>
          <w:szCs w:val="24"/>
        </w:rPr>
        <w:t>Методология затратного подхода</w:t>
      </w:r>
    </w:p>
    <w:p w14:paraId="0FE360DF" w14:textId="5F20CEC9" w:rsidR="00322AE9" w:rsidRPr="00322AE9" w:rsidRDefault="00322AE9" w:rsidP="00322AE9">
      <w:pPr>
        <w:suppressAutoHyphens/>
        <w:adjustRightInd w:val="0"/>
        <w:ind w:firstLine="567"/>
        <w:textAlignment w:val="baseline"/>
        <w:rPr>
          <w:rFonts w:eastAsia="Times New Roman" w:cs="Times New Roman"/>
          <w:spacing w:val="-5"/>
          <w:szCs w:val="24"/>
        </w:rPr>
      </w:pPr>
      <w:r w:rsidRPr="00322AE9">
        <w:rPr>
          <w:rFonts w:eastAsia="Times New Roman" w:cs="Times New Roman"/>
          <w:spacing w:val="-5"/>
          <w:szCs w:val="24"/>
        </w:rPr>
        <w:t>В соответствии с п. 7.1.2 Методических указаний затратный подход основан на определении затрат, необходимых для приобретения, воспроизводства или замещения объекта недвижимости. Для использования этого подхода необходимы актуальные и достоверные данные о соответствующих затратах.</w:t>
      </w:r>
    </w:p>
    <w:p w14:paraId="2108150B" w14:textId="77777777" w:rsidR="00322AE9" w:rsidRPr="00322AE9" w:rsidRDefault="00322AE9" w:rsidP="00322AE9">
      <w:pPr>
        <w:suppressAutoHyphens/>
        <w:adjustRightInd w:val="0"/>
        <w:ind w:firstLine="567"/>
        <w:textAlignment w:val="baseline"/>
        <w:rPr>
          <w:rFonts w:eastAsia="Times New Roman" w:cs="Times New Roman"/>
          <w:spacing w:val="-5"/>
          <w:szCs w:val="24"/>
        </w:rPr>
      </w:pPr>
      <w:r w:rsidRPr="00322AE9">
        <w:rPr>
          <w:rFonts w:eastAsia="Times New Roman" w:cs="Times New Roman"/>
          <w:spacing w:val="-5"/>
          <w:szCs w:val="24"/>
        </w:rPr>
        <w:t>Затратный подход рекомендуется применять для оценки объектов недвижимости - земельных участков, застроенных объектами капитального строительства, или объектов капитального строительства (улучшений земельного участка).</w:t>
      </w:r>
    </w:p>
    <w:p w14:paraId="4E1C0C28" w14:textId="77777777" w:rsidR="00322AE9" w:rsidRPr="00322AE9" w:rsidRDefault="00322AE9" w:rsidP="00322AE9">
      <w:pPr>
        <w:suppressAutoHyphens/>
        <w:adjustRightInd w:val="0"/>
        <w:ind w:firstLine="567"/>
        <w:textAlignment w:val="baseline"/>
        <w:rPr>
          <w:rFonts w:eastAsia="Times New Roman" w:cs="Times New Roman"/>
          <w:spacing w:val="-5"/>
          <w:szCs w:val="24"/>
        </w:rPr>
      </w:pPr>
      <w:r w:rsidRPr="00322AE9">
        <w:rPr>
          <w:rFonts w:eastAsia="Times New Roman" w:cs="Times New Roman"/>
          <w:spacing w:val="-5"/>
          <w:szCs w:val="24"/>
        </w:rPr>
        <w:t>Затратный подход использовался при определении кадастровой стоимости ОКС Республики Саха (Якутия).</w:t>
      </w:r>
    </w:p>
    <w:p w14:paraId="250B271C" w14:textId="77777777" w:rsidR="00322AE9" w:rsidRPr="00322AE9" w:rsidRDefault="00322AE9" w:rsidP="00322AE9">
      <w:pPr>
        <w:suppressAutoHyphens/>
        <w:adjustRightInd w:val="0"/>
        <w:ind w:firstLine="567"/>
        <w:textAlignment w:val="baseline"/>
        <w:rPr>
          <w:rFonts w:eastAsia="Times New Roman" w:cs="Times New Roman"/>
          <w:spacing w:val="-5"/>
          <w:szCs w:val="24"/>
          <w:lang w:eastAsia="ru-RU"/>
        </w:rPr>
      </w:pPr>
      <w:r w:rsidRPr="00322AE9">
        <w:rPr>
          <w:rFonts w:eastAsia="Times New Roman" w:cs="Times New Roman"/>
          <w:spacing w:val="-5"/>
          <w:szCs w:val="24"/>
          <w:lang w:eastAsia="ru-RU"/>
        </w:rPr>
        <w:t>Под затратами на воспроизводство объектов капитального строительства понимаются затраты, необходимые для создания точной копии объекта оценки с использованием применявшихся при создании объекта оценки материалов и технологий. Под затратами на замещение - затраты, необходимые для создания объекта, имеющего эквивалентную полезность с оцениваемым объектом, с учетом использования современных строительных материалов, технологий, действующих стандартов, дизайна, проекта и др.</w:t>
      </w:r>
    </w:p>
    <w:p w14:paraId="37E82913" w14:textId="77777777" w:rsidR="00322AE9" w:rsidRPr="00322AE9" w:rsidRDefault="00322AE9" w:rsidP="00322AE9">
      <w:pPr>
        <w:suppressAutoHyphens/>
        <w:adjustRightInd w:val="0"/>
        <w:ind w:firstLine="567"/>
        <w:textAlignment w:val="baseline"/>
        <w:rPr>
          <w:rFonts w:eastAsia="Times New Roman" w:cs="Times New Roman"/>
          <w:spacing w:val="-5"/>
          <w:szCs w:val="24"/>
          <w:lang w:eastAsia="ru-RU"/>
        </w:rPr>
      </w:pPr>
      <w:r w:rsidRPr="00322AE9">
        <w:rPr>
          <w:rFonts w:eastAsia="Times New Roman" w:cs="Times New Roman"/>
          <w:spacing w:val="-5"/>
          <w:szCs w:val="24"/>
          <w:lang w:eastAsia="ru-RU"/>
        </w:rPr>
        <w:t>Затраты на создание объектов капитального строительства определяются как сумма издержек, входящих в состав строительно-монтажных работ, непосредственно связанных с созданием этих объектов, и издержек, сопутствующих их созданию, но не включаемых в состав строительно-монтажных работ.</w:t>
      </w:r>
    </w:p>
    <w:p w14:paraId="607C97D1" w14:textId="77777777" w:rsidR="00322AE9" w:rsidRPr="00322AE9" w:rsidRDefault="00322AE9" w:rsidP="00322AE9">
      <w:pPr>
        <w:suppressAutoHyphens/>
        <w:adjustRightInd w:val="0"/>
        <w:ind w:firstLine="567"/>
        <w:textAlignment w:val="baseline"/>
        <w:rPr>
          <w:rFonts w:eastAsia="Times New Roman" w:cs="Times New Roman"/>
          <w:spacing w:val="-5"/>
          <w:szCs w:val="24"/>
          <w:lang w:eastAsia="ru-RU"/>
        </w:rPr>
      </w:pPr>
      <w:r w:rsidRPr="00322AE9">
        <w:rPr>
          <w:rFonts w:eastAsia="Times New Roman" w:cs="Times New Roman"/>
          <w:spacing w:val="-5"/>
          <w:szCs w:val="24"/>
          <w:lang w:eastAsia="ru-RU"/>
        </w:rPr>
        <w:t xml:space="preserve">Главным принципом затратного подхода является принцип замещения, согласно которому разумный покупатель не заплатит за объект недвижимости больше той денежной суммы, которая необходима для покупки аналогичного участка и строительства здания с эквивалентной полезностью без неоправданной задержки с учетом справедливой финансовой компенсации за время, потраченное на строительство. </w:t>
      </w:r>
    </w:p>
    <w:p w14:paraId="26D90591" w14:textId="77777777" w:rsidR="00322AE9" w:rsidRPr="00322AE9" w:rsidRDefault="00322AE9" w:rsidP="00322AE9">
      <w:pPr>
        <w:suppressAutoHyphens/>
        <w:adjustRightInd w:val="0"/>
        <w:ind w:firstLine="567"/>
        <w:textAlignment w:val="baseline"/>
        <w:rPr>
          <w:rFonts w:eastAsia="Times New Roman" w:cs="Times New Roman"/>
          <w:spacing w:val="-5"/>
          <w:szCs w:val="24"/>
          <w:lang w:eastAsia="ru-RU"/>
        </w:rPr>
      </w:pPr>
      <w:r w:rsidRPr="00322AE9">
        <w:rPr>
          <w:rFonts w:eastAsia="Times New Roman" w:cs="Times New Roman"/>
          <w:spacing w:val="-5"/>
          <w:szCs w:val="24"/>
          <w:lang w:eastAsia="ru-RU"/>
        </w:rPr>
        <w:t>В расчет стоимости объектов недвижимости в рамках применения затратного подхода входит определение стоимости прав на земельный участок. Ввиду того, что Объектами оценки являются улучшения без учета стоимости земли (Методические указания, п. 1.14), в рамках настоящего Отчета рыночная стоимость прав на землю не определялась.</w:t>
      </w:r>
    </w:p>
    <w:p w14:paraId="6EB760F1" w14:textId="77777777" w:rsidR="00322AE9" w:rsidRPr="00322AE9" w:rsidRDefault="00322AE9" w:rsidP="00322AE9">
      <w:pPr>
        <w:suppressAutoHyphens/>
        <w:adjustRightInd w:val="0"/>
        <w:ind w:firstLine="567"/>
        <w:textAlignment w:val="baseline"/>
        <w:rPr>
          <w:rFonts w:eastAsia="Times New Roman" w:cs="Times New Roman"/>
          <w:spacing w:val="-5"/>
          <w:szCs w:val="24"/>
          <w:lang w:eastAsia="ru-RU"/>
        </w:rPr>
      </w:pPr>
      <w:r w:rsidRPr="00322AE9">
        <w:rPr>
          <w:rFonts w:eastAsia="Times New Roman" w:cs="Times New Roman"/>
          <w:spacing w:val="-5"/>
          <w:szCs w:val="24"/>
          <w:lang w:eastAsia="ru-RU"/>
        </w:rPr>
        <w:t>Основные этапы процедуры оценки стоимости улучшений при затратном подходе:</w:t>
      </w:r>
    </w:p>
    <w:p w14:paraId="0C0EF284" w14:textId="0CC2BB07" w:rsidR="00322AE9" w:rsidRPr="00827FEB" w:rsidRDefault="00322AE9" w:rsidP="00D24868">
      <w:pPr>
        <w:pStyle w:val="af0"/>
        <w:numPr>
          <w:ilvl w:val="1"/>
          <w:numId w:val="88"/>
        </w:numPr>
        <w:suppressAutoHyphens/>
        <w:adjustRightInd w:val="0"/>
        <w:ind w:left="993" w:hanging="284"/>
        <w:textAlignment w:val="baseline"/>
        <w:rPr>
          <w:rFonts w:eastAsia="Times New Roman" w:cs="Times New Roman"/>
          <w:spacing w:val="-5"/>
          <w:szCs w:val="24"/>
          <w:lang w:eastAsia="ru-RU"/>
        </w:rPr>
      </w:pPr>
      <w:r w:rsidRPr="00827FEB">
        <w:rPr>
          <w:rFonts w:eastAsia="Times New Roman" w:cs="Times New Roman"/>
          <w:spacing w:val="-5"/>
          <w:szCs w:val="24"/>
          <w:lang w:eastAsia="ru-RU"/>
        </w:rPr>
        <w:t>Определение суммы затрат на строительство улучшений.</w:t>
      </w:r>
    </w:p>
    <w:p w14:paraId="347A7A43" w14:textId="774DB996" w:rsidR="00322AE9" w:rsidRPr="00827FEB" w:rsidRDefault="00322AE9" w:rsidP="00D24868">
      <w:pPr>
        <w:pStyle w:val="af0"/>
        <w:numPr>
          <w:ilvl w:val="0"/>
          <w:numId w:val="88"/>
        </w:numPr>
        <w:suppressAutoHyphens/>
        <w:adjustRightInd w:val="0"/>
        <w:textAlignment w:val="baseline"/>
        <w:rPr>
          <w:rFonts w:eastAsia="Times New Roman" w:cs="Times New Roman"/>
          <w:spacing w:val="-5"/>
          <w:szCs w:val="24"/>
          <w:lang w:eastAsia="ru-RU"/>
        </w:rPr>
      </w:pPr>
      <w:r w:rsidRPr="00827FEB">
        <w:rPr>
          <w:rFonts w:eastAsia="Times New Roman" w:cs="Times New Roman"/>
          <w:spacing w:val="-5"/>
          <w:szCs w:val="24"/>
          <w:lang w:eastAsia="ru-RU"/>
        </w:rPr>
        <w:t>Определение прибыли предпринимателя.</w:t>
      </w:r>
    </w:p>
    <w:p w14:paraId="59B11AAE" w14:textId="1457D813" w:rsidR="00322AE9" w:rsidRPr="00827FEB" w:rsidRDefault="00322AE9" w:rsidP="00D24868">
      <w:pPr>
        <w:pStyle w:val="af0"/>
        <w:numPr>
          <w:ilvl w:val="0"/>
          <w:numId w:val="88"/>
        </w:numPr>
        <w:suppressAutoHyphens/>
        <w:adjustRightInd w:val="0"/>
        <w:textAlignment w:val="baseline"/>
        <w:rPr>
          <w:rFonts w:eastAsia="Times New Roman" w:cs="Times New Roman"/>
          <w:spacing w:val="-5"/>
          <w:szCs w:val="24"/>
          <w:lang w:eastAsia="ru-RU"/>
        </w:rPr>
      </w:pPr>
      <w:r w:rsidRPr="00827FEB">
        <w:rPr>
          <w:rFonts w:eastAsia="Times New Roman" w:cs="Times New Roman"/>
          <w:spacing w:val="-5"/>
          <w:szCs w:val="24"/>
          <w:lang w:eastAsia="ru-RU"/>
        </w:rPr>
        <w:t>Определение величины накопленного износа.</w:t>
      </w:r>
    </w:p>
    <w:p w14:paraId="7A5963D8" w14:textId="77777777" w:rsidR="00322AE9" w:rsidRPr="00322AE9" w:rsidRDefault="00322AE9" w:rsidP="00D24868">
      <w:pPr>
        <w:numPr>
          <w:ilvl w:val="0"/>
          <w:numId w:val="88"/>
        </w:numPr>
        <w:suppressAutoHyphens/>
        <w:adjustRightInd w:val="0"/>
        <w:textAlignment w:val="baseline"/>
        <w:rPr>
          <w:rFonts w:eastAsia="Times New Roman" w:cs="Times New Roman"/>
          <w:spacing w:val="-5"/>
          <w:szCs w:val="24"/>
          <w:lang w:eastAsia="ru-RU"/>
        </w:rPr>
      </w:pPr>
      <w:r w:rsidRPr="00322AE9">
        <w:rPr>
          <w:rFonts w:eastAsia="Times New Roman" w:cs="Times New Roman"/>
          <w:spacing w:val="-5"/>
          <w:szCs w:val="24"/>
          <w:lang w:eastAsia="ru-RU"/>
        </w:rPr>
        <w:t>Расчёт рыночной стоимости объекта оценки путём вычитания величины износа из суммы затрат на строительство оцениваемого объекта с учётом прибыли предпринимателя.</w:t>
      </w:r>
    </w:p>
    <w:p w14:paraId="52583F1E" w14:textId="77777777" w:rsidR="00322AE9" w:rsidRPr="00322AE9" w:rsidRDefault="00322AE9" w:rsidP="00827FEB">
      <w:pPr>
        <w:suppressAutoHyphens/>
        <w:adjustRightInd w:val="0"/>
        <w:ind w:firstLine="567"/>
        <w:textAlignment w:val="baseline"/>
        <w:rPr>
          <w:rFonts w:eastAsia="Times New Roman" w:cs="Times New Roman"/>
          <w:spacing w:val="-5"/>
          <w:szCs w:val="24"/>
          <w:lang w:eastAsia="ru-RU"/>
        </w:rPr>
      </w:pPr>
      <w:r w:rsidRPr="00322AE9">
        <w:rPr>
          <w:rFonts w:eastAsia="Times New Roman" w:cs="Times New Roman"/>
          <w:spacing w:val="-5"/>
          <w:szCs w:val="24"/>
          <w:lang w:eastAsia="ru-RU"/>
        </w:rPr>
        <w:t xml:space="preserve">Существует четыре основных метода оценки стоимости улучшений при затратном подходе: </w:t>
      </w:r>
    </w:p>
    <w:p w14:paraId="1E7A403C" w14:textId="77777777" w:rsidR="00322AE9" w:rsidRPr="00322AE9" w:rsidRDefault="00322AE9" w:rsidP="00D24868">
      <w:pPr>
        <w:numPr>
          <w:ilvl w:val="0"/>
          <w:numId w:val="78"/>
        </w:numPr>
        <w:suppressAutoHyphens/>
        <w:adjustRightInd w:val="0"/>
        <w:textAlignment w:val="baseline"/>
        <w:rPr>
          <w:rFonts w:eastAsia="Times New Roman" w:cs="Times New Roman"/>
          <w:spacing w:val="-5"/>
          <w:szCs w:val="24"/>
          <w:lang w:eastAsia="ru-RU"/>
        </w:rPr>
      </w:pPr>
      <w:r w:rsidRPr="00322AE9">
        <w:rPr>
          <w:rFonts w:eastAsia="Times New Roman" w:cs="Times New Roman"/>
          <w:spacing w:val="-5"/>
          <w:szCs w:val="24"/>
          <w:lang w:eastAsia="ru-RU"/>
        </w:rPr>
        <w:t xml:space="preserve">метод сравнительной единицы, </w:t>
      </w:r>
    </w:p>
    <w:p w14:paraId="52FF0B92" w14:textId="77777777" w:rsidR="00322AE9" w:rsidRPr="00322AE9" w:rsidRDefault="00322AE9" w:rsidP="00D24868">
      <w:pPr>
        <w:numPr>
          <w:ilvl w:val="0"/>
          <w:numId w:val="78"/>
        </w:numPr>
        <w:suppressAutoHyphens/>
        <w:adjustRightInd w:val="0"/>
        <w:textAlignment w:val="baseline"/>
        <w:rPr>
          <w:rFonts w:eastAsia="Times New Roman" w:cs="Times New Roman"/>
          <w:spacing w:val="-5"/>
          <w:szCs w:val="24"/>
          <w:lang w:eastAsia="ru-RU"/>
        </w:rPr>
      </w:pPr>
      <w:r w:rsidRPr="00322AE9">
        <w:rPr>
          <w:rFonts w:eastAsia="Times New Roman" w:cs="Times New Roman"/>
          <w:spacing w:val="-5"/>
          <w:szCs w:val="24"/>
          <w:lang w:eastAsia="ru-RU"/>
        </w:rPr>
        <w:t>поэлементный,</w:t>
      </w:r>
    </w:p>
    <w:p w14:paraId="1D6BCEB6" w14:textId="77777777" w:rsidR="00322AE9" w:rsidRPr="00322AE9" w:rsidRDefault="00322AE9" w:rsidP="00D24868">
      <w:pPr>
        <w:numPr>
          <w:ilvl w:val="0"/>
          <w:numId w:val="78"/>
        </w:numPr>
        <w:suppressAutoHyphens/>
        <w:adjustRightInd w:val="0"/>
        <w:textAlignment w:val="baseline"/>
        <w:rPr>
          <w:rFonts w:eastAsia="Times New Roman" w:cs="Times New Roman"/>
          <w:spacing w:val="-5"/>
          <w:szCs w:val="24"/>
          <w:lang w:eastAsia="ru-RU"/>
        </w:rPr>
      </w:pPr>
      <w:r w:rsidRPr="00322AE9">
        <w:rPr>
          <w:rFonts w:eastAsia="Times New Roman" w:cs="Times New Roman"/>
          <w:spacing w:val="-5"/>
          <w:szCs w:val="24"/>
          <w:lang w:eastAsia="ru-RU"/>
        </w:rPr>
        <w:t>сметный,</w:t>
      </w:r>
    </w:p>
    <w:p w14:paraId="4BE5DA75" w14:textId="77777777" w:rsidR="00322AE9" w:rsidRPr="00322AE9" w:rsidRDefault="00322AE9" w:rsidP="00D24868">
      <w:pPr>
        <w:numPr>
          <w:ilvl w:val="0"/>
          <w:numId w:val="78"/>
        </w:numPr>
        <w:suppressAutoHyphens/>
        <w:adjustRightInd w:val="0"/>
        <w:textAlignment w:val="baseline"/>
        <w:rPr>
          <w:rFonts w:eastAsia="Times New Roman" w:cs="Times New Roman"/>
          <w:spacing w:val="-5"/>
          <w:szCs w:val="24"/>
          <w:lang w:eastAsia="ru-RU"/>
        </w:rPr>
      </w:pPr>
      <w:r w:rsidRPr="00322AE9">
        <w:rPr>
          <w:rFonts w:eastAsia="Times New Roman" w:cs="Times New Roman"/>
          <w:spacing w:val="-5"/>
          <w:szCs w:val="24"/>
          <w:lang w:eastAsia="ru-RU"/>
        </w:rPr>
        <w:t>индексный.</w:t>
      </w:r>
    </w:p>
    <w:p w14:paraId="4BFA9923" w14:textId="77777777" w:rsidR="00322AE9" w:rsidRPr="00322AE9" w:rsidRDefault="00322AE9" w:rsidP="00322AE9">
      <w:pPr>
        <w:suppressAutoHyphens/>
        <w:adjustRightInd w:val="0"/>
        <w:ind w:firstLine="567"/>
        <w:textAlignment w:val="baseline"/>
        <w:rPr>
          <w:rFonts w:eastAsia="Times New Roman" w:cs="Times New Roman"/>
          <w:spacing w:val="-5"/>
          <w:szCs w:val="24"/>
          <w:lang w:eastAsia="ru-RU"/>
        </w:rPr>
      </w:pPr>
      <w:r w:rsidRPr="00322AE9">
        <w:rPr>
          <w:rFonts w:eastAsia="Times New Roman" w:cs="Times New Roman"/>
          <w:spacing w:val="-5"/>
          <w:szCs w:val="24"/>
          <w:lang w:eastAsia="ru-RU"/>
        </w:rPr>
        <w:t>Метод сравнительной единицы – оценка имущества на основе использования единичных скорректированных укрупнённых показателей затрат на создание аналогов. Суть метода заключается в том, что для объекта, который будет оцениваться, подбирают объект-аналог, который очень схож с оцениваемым практически по всем характеристикам, используемым материалам и технологии его изготовления. Стоимость единицы измерения объекта-аналога умножается на число единиц оцениваемого объекта недвижимости.</w:t>
      </w:r>
    </w:p>
    <w:p w14:paraId="67D1BD5D" w14:textId="77777777" w:rsidR="00322AE9" w:rsidRPr="00322AE9" w:rsidRDefault="00322AE9" w:rsidP="00322AE9">
      <w:pPr>
        <w:suppressAutoHyphens/>
        <w:adjustRightInd w:val="0"/>
        <w:ind w:firstLine="567"/>
        <w:textAlignment w:val="baseline"/>
        <w:rPr>
          <w:rFonts w:eastAsia="Times New Roman" w:cs="Times New Roman"/>
          <w:spacing w:val="-5"/>
          <w:szCs w:val="24"/>
          <w:lang w:eastAsia="ru-RU"/>
        </w:rPr>
      </w:pPr>
      <w:r w:rsidRPr="00322AE9">
        <w:rPr>
          <w:rFonts w:eastAsia="Times New Roman" w:cs="Times New Roman"/>
          <w:spacing w:val="-5"/>
          <w:szCs w:val="24"/>
          <w:lang w:eastAsia="ru-RU"/>
        </w:rPr>
        <w:t>Поэлементный метод заключается в оценке имущества на основе величины стоимости создания его основных элементов. В методе используются данные о стоимости различных элементов, т. е. составных частей здания или сооружения – поэлементные затраты.</w:t>
      </w:r>
    </w:p>
    <w:p w14:paraId="745A76F8" w14:textId="77777777" w:rsidR="00322AE9" w:rsidRPr="00322AE9" w:rsidRDefault="00322AE9" w:rsidP="00322AE9">
      <w:pPr>
        <w:suppressAutoHyphens/>
        <w:adjustRightInd w:val="0"/>
        <w:ind w:firstLine="567"/>
        <w:textAlignment w:val="baseline"/>
        <w:rPr>
          <w:rFonts w:eastAsia="Times New Roman" w:cs="Times New Roman"/>
          <w:spacing w:val="-5"/>
          <w:szCs w:val="24"/>
          <w:lang w:eastAsia="ru-RU"/>
        </w:rPr>
      </w:pPr>
      <w:r w:rsidRPr="00322AE9">
        <w:rPr>
          <w:rFonts w:eastAsia="Times New Roman" w:cs="Times New Roman"/>
          <w:spacing w:val="-5"/>
          <w:szCs w:val="24"/>
          <w:lang w:eastAsia="ru-RU"/>
        </w:rPr>
        <w:t>Расчёт поэлементных затрат включает в себя разбивку здания на составные части, установление величины средних затрат на эти части.</w:t>
      </w:r>
    </w:p>
    <w:p w14:paraId="4D92EE4C" w14:textId="77777777" w:rsidR="00322AE9" w:rsidRPr="00322AE9" w:rsidRDefault="00322AE9" w:rsidP="00322AE9">
      <w:pPr>
        <w:suppressAutoHyphens/>
        <w:adjustRightInd w:val="0"/>
        <w:ind w:firstLine="567"/>
        <w:textAlignment w:val="baseline"/>
        <w:rPr>
          <w:rFonts w:eastAsia="Times New Roman" w:cs="Times New Roman"/>
          <w:spacing w:val="-5"/>
          <w:szCs w:val="24"/>
          <w:lang w:eastAsia="ru-RU"/>
        </w:rPr>
      </w:pPr>
      <w:r w:rsidRPr="00322AE9">
        <w:rPr>
          <w:rFonts w:eastAsia="Times New Roman" w:cs="Times New Roman"/>
          <w:spacing w:val="-5"/>
          <w:szCs w:val="24"/>
          <w:lang w:eastAsia="ru-RU"/>
        </w:rPr>
        <w:t>Сметный метод (метод количественного анализа) основан на оценке объекта на основе полной сметы затрат на его воспроизводство. Например, стоимость строительства определяется суммированием всех затрат на возведение или установку составных частей строения, но необходимо учитывать косвенные и прямые затраты. Этот метод достаточно трудоёмкий, его применение основано на составлении перечня всех материалов и оборудования, подсчёте необходимых для установки каждого элемента трудовых затрат, что требует привлечения квалифицированных сметчиков.</w:t>
      </w:r>
    </w:p>
    <w:p w14:paraId="18CCAA29" w14:textId="77777777" w:rsidR="00322AE9" w:rsidRPr="00322AE9" w:rsidRDefault="00322AE9" w:rsidP="00322AE9">
      <w:pPr>
        <w:suppressAutoHyphens/>
        <w:adjustRightInd w:val="0"/>
        <w:ind w:firstLine="567"/>
        <w:textAlignment w:val="baseline"/>
        <w:rPr>
          <w:rFonts w:eastAsia="Times New Roman" w:cs="Times New Roman"/>
          <w:spacing w:val="-5"/>
          <w:szCs w:val="24"/>
          <w:lang w:eastAsia="ru-RU"/>
        </w:rPr>
      </w:pPr>
      <w:r w:rsidRPr="00322AE9">
        <w:rPr>
          <w:rFonts w:eastAsia="Times New Roman" w:cs="Times New Roman"/>
          <w:spacing w:val="-5"/>
          <w:szCs w:val="24"/>
          <w:lang w:eastAsia="ru-RU"/>
        </w:rPr>
        <w:t xml:space="preserve">Индексный метод заключается в определении восстановительной стоимости оцениваемого объекта недвижимого имущества методом умножения известной стоимости на соответствующий индекс. </w:t>
      </w:r>
    </w:p>
    <w:p w14:paraId="7EA8A47B" w14:textId="77777777" w:rsidR="00322AE9" w:rsidRPr="00322AE9" w:rsidRDefault="00322AE9" w:rsidP="00322AE9">
      <w:pPr>
        <w:suppressAutoHyphens/>
        <w:adjustRightInd w:val="0"/>
        <w:ind w:firstLine="567"/>
        <w:textAlignment w:val="baseline"/>
        <w:rPr>
          <w:rFonts w:eastAsia="Times New Roman" w:cs="Times New Roman"/>
          <w:spacing w:val="-5"/>
          <w:szCs w:val="24"/>
          <w:lang w:eastAsia="ru-RU"/>
        </w:rPr>
      </w:pPr>
      <w:r w:rsidRPr="00322AE9">
        <w:rPr>
          <w:rFonts w:eastAsia="Times New Roman" w:cs="Times New Roman"/>
          <w:spacing w:val="-5"/>
          <w:szCs w:val="24"/>
          <w:lang w:eastAsia="ru-RU"/>
        </w:rPr>
        <w:t>Индексы для переоценки основных фондов утверждаются Правительством РФ и периодически публикуются в печати.</w:t>
      </w:r>
    </w:p>
    <w:p w14:paraId="26BB0EBA" w14:textId="77777777" w:rsidR="00322AE9" w:rsidRPr="00322AE9" w:rsidRDefault="00322AE9" w:rsidP="00322AE9">
      <w:pPr>
        <w:suppressAutoHyphens/>
        <w:adjustRightInd w:val="0"/>
        <w:ind w:firstLine="567"/>
        <w:textAlignment w:val="baseline"/>
        <w:rPr>
          <w:rFonts w:eastAsia="Times New Roman" w:cs="Times New Roman"/>
          <w:spacing w:val="-5"/>
          <w:szCs w:val="24"/>
          <w:lang w:eastAsia="ru-RU"/>
        </w:rPr>
      </w:pPr>
      <w:r w:rsidRPr="00322AE9">
        <w:rPr>
          <w:rFonts w:eastAsia="Times New Roman" w:cs="Times New Roman"/>
          <w:spacing w:val="-5"/>
          <w:szCs w:val="24"/>
          <w:lang w:eastAsia="ru-RU"/>
        </w:rPr>
        <w:t>При реализации затратного подхода учитываются следующие виды износа улучшений:</w:t>
      </w:r>
    </w:p>
    <w:p w14:paraId="7130BBC7" w14:textId="77777777" w:rsidR="00322AE9" w:rsidRPr="00322AE9" w:rsidRDefault="00322AE9" w:rsidP="00322AE9">
      <w:pPr>
        <w:suppressAutoHyphens/>
        <w:adjustRightInd w:val="0"/>
        <w:ind w:firstLine="709"/>
        <w:textAlignment w:val="baseline"/>
        <w:rPr>
          <w:rFonts w:eastAsia="Times New Roman" w:cs="Times New Roman"/>
          <w:spacing w:val="-5"/>
          <w:szCs w:val="24"/>
          <w:lang w:eastAsia="ru-RU"/>
        </w:rPr>
      </w:pPr>
      <w:r w:rsidRPr="00322AE9">
        <w:rPr>
          <w:rFonts w:eastAsia="Times New Roman" w:cs="Times New Roman"/>
          <w:spacing w:val="-5"/>
          <w:szCs w:val="24"/>
          <w:lang w:eastAsia="ru-RU"/>
        </w:rPr>
        <w:t>физический износ;</w:t>
      </w:r>
    </w:p>
    <w:p w14:paraId="75A0A2B2" w14:textId="77777777" w:rsidR="00322AE9" w:rsidRPr="00322AE9" w:rsidRDefault="00322AE9" w:rsidP="00322AE9">
      <w:pPr>
        <w:suppressAutoHyphens/>
        <w:adjustRightInd w:val="0"/>
        <w:ind w:firstLine="709"/>
        <w:textAlignment w:val="baseline"/>
        <w:rPr>
          <w:rFonts w:eastAsia="Times New Roman" w:cs="Times New Roman"/>
          <w:spacing w:val="-5"/>
          <w:szCs w:val="24"/>
          <w:lang w:eastAsia="ru-RU"/>
        </w:rPr>
      </w:pPr>
      <w:r w:rsidRPr="00322AE9">
        <w:rPr>
          <w:rFonts w:eastAsia="Times New Roman" w:cs="Times New Roman"/>
          <w:spacing w:val="-5"/>
          <w:szCs w:val="24"/>
          <w:lang w:eastAsia="ru-RU"/>
        </w:rPr>
        <w:t>функциональное устаревание;</w:t>
      </w:r>
    </w:p>
    <w:p w14:paraId="2E8E8BF6" w14:textId="77777777" w:rsidR="00322AE9" w:rsidRPr="00322AE9" w:rsidRDefault="00322AE9" w:rsidP="00322AE9">
      <w:pPr>
        <w:suppressAutoHyphens/>
        <w:adjustRightInd w:val="0"/>
        <w:ind w:firstLine="709"/>
        <w:textAlignment w:val="baseline"/>
        <w:rPr>
          <w:rFonts w:eastAsia="Times New Roman" w:cs="Times New Roman"/>
          <w:spacing w:val="-5"/>
          <w:szCs w:val="24"/>
          <w:lang w:eastAsia="ru-RU"/>
        </w:rPr>
      </w:pPr>
      <w:r w:rsidRPr="00322AE9">
        <w:rPr>
          <w:rFonts w:eastAsia="Times New Roman" w:cs="Times New Roman"/>
          <w:spacing w:val="-5"/>
          <w:szCs w:val="24"/>
          <w:lang w:eastAsia="ru-RU"/>
        </w:rPr>
        <w:t>экономическое (внешнее) устаревание.</w:t>
      </w:r>
    </w:p>
    <w:p w14:paraId="2D9C3B9A" w14:textId="77777777" w:rsidR="00322AE9" w:rsidRPr="00322AE9" w:rsidRDefault="00322AE9" w:rsidP="00322AE9">
      <w:pPr>
        <w:suppressAutoHyphens/>
        <w:adjustRightInd w:val="0"/>
        <w:ind w:firstLine="567"/>
        <w:textAlignment w:val="baseline"/>
        <w:rPr>
          <w:rFonts w:eastAsia="Times New Roman" w:cs="Times New Roman"/>
          <w:caps/>
          <w:spacing w:val="-5"/>
          <w:szCs w:val="24"/>
        </w:rPr>
      </w:pPr>
    </w:p>
    <w:bookmarkEnd w:id="123"/>
    <w:p w14:paraId="5DA7579D" w14:textId="77777777" w:rsidR="00322AE9" w:rsidRPr="00322AE9" w:rsidRDefault="00322AE9" w:rsidP="00322AE9">
      <w:pPr>
        <w:suppressAutoHyphens/>
        <w:adjustRightInd w:val="0"/>
        <w:ind w:firstLine="708"/>
        <w:textAlignment w:val="baseline"/>
        <w:rPr>
          <w:rFonts w:eastAsia="Times New Roman" w:cs="Times New Roman"/>
          <w:b/>
          <w:spacing w:val="-5"/>
          <w:szCs w:val="24"/>
        </w:rPr>
      </w:pPr>
      <w:r w:rsidRPr="00322AE9">
        <w:rPr>
          <w:rFonts w:eastAsia="Times New Roman" w:cs="Times New Roman"/>
          <w:b/>
          <w:spacing w:val="-5"/>
          <w:szCs w:val="24"/>
        </w:rPr>
        <w:t>Расчет затрат на замещение</w:t>
      </w:r>
    </w:p>
    <w:p w14:paraId="77D9059D" w14:textId="77777777" w:rsidR="00322AE9" w:rsidRPr="00322AE9" w:rsidRDefault="00322AE9" w:rsidP="00322AE9">
      <w:pPr>
        <w:suppressAutoHyphens/>
        <w:adjustRightInd w:val="0"/>
        <w:ind w:firstLine="709"/>
        <w:textAlignment w:val="baseline"/>
        <w:rPr>
          <w:rFonts w:eastAsia="Times New Roman" w:cs="Times New Roman"/>
          <w:spacing w:val="-5"/>
          <w:szCs w:val="24"/>
        </w:rPr>
      </w:pPr>
      <w:r w:rsidRPr="00322AE9">
        <w:rPr>
          <w:rFonts w:eastAsia="Times New Roman" w:cs="Times New Roman"/>
          <w:spacing w:val="-5"/>
          <w:szCs w:val="24"/>
        </w:rPr>
        <w:t>Для определения затрат на замещение оцениваемых объектов использован метод сравнительной единицы. Данной техникой предполагается использование данных о затратах на строительство какой-либо единицы измерения, например, 1 кв. м общей площади квартир, 1 куб. м строительного объема, 1 кв. м общей площади помещений и др.</w:t>
      </w:r>
    </w:p>
    <w:p w14:paraId="5BB9413C" w14:textId="77777777" w:rsidR="00322AE9" w:rsidRPr="00322AE9" w:rsidRDefault="00322AE9" w:rsidP="00322AE9">
      <w:pPr>
        <w:suppressAutoHyphens/>
        <w:adjustRightInd w:val="0"/>
        <w:ind w:firstLine="709"/>
        <w:textAlignment w:val="baseline"/>
        <w:rPr>
          <w:rFonts w:eastAsia="Times New Roman" w:cs="Times New Roman"/>
          <w:spacing w:val="-5"/>
          <w:szCs w:val="24"/>
        </w:rPr>
      </w:pPr>
      <w:r w:rsidRPr="00322AE9">
        <w:rPr>
          <w:rFonts w:eastAsia="Times New Roman" w:cs="Times New Roman"/>
          <w:spacing w:val="-5"/>
          <w:szCs w:val="24"/>
        </w:rPr>
        <w:t xml:space="preserve">Для проведения расчетов использовались Справочники Укрупненных показателей стоимости строительства (КО-ИНВЕСТ). </w:t>
      </w:r>
    </w:p>
    <w:p w14:paraId="6D087588" w14:textId="77777777" w:rsidR="00322AE9" w:rsidRPr="00322AE9" w:rsidRDefault="00322AE9" w:rsidP="00322AE9">
      <w:pPr>
        <w:suppressAutoHyphens/>
        <w:adjustRightInd w:val="0"/>
        <w:ind w:firstLine="709"/>
        <w:textAlignment w:val="baseline"/>
        <w:rPr>
          <w:rFonts w:eastAsia="Times New Roman" w:cs="Times New Roman"/>
          <w:spacing w:val="-5"/>
          <w:szCs w:val="24"/>
        </w:rPr>
      </w:pPr>
      <w:r w:rsidRPr="00322AE9">
        <w:rPr>
          <w:rFonts w:eastAsia="Times New Roman" w:cs="Times New Roman"/>
          <w:spacing w:val="-5"/>
          <w:szCs w:val="24"/>
        </w:rPr>
        <w:t>В ходе расчета стоимости оцениваемых объектов были использованы следующие справочники КО-ИНВЕСТ:</w:t>
      </w:r>
    </w:p>
    <w:p w14:paraId="7891E155" w14:textId="77777777" w:rsidR="00322AE9" w:rsidRPr="00322AE9" w:rsidRDefault="00322AE9" w:rsidP="00D24868">
      <w:pPr>
        <w:numPr>
          <w:ilvl w:val="0"/>
          <w:numId w:val="75"/>
        </w:numPr>
        <w:tabs>
          <w:tab w:val="num" w:pos="993"/>
        </w:tabs>
        <w:suppressAutoHyphens/>
        <w:adjustRightInd w:val="0"/>
        <w:ind w:left="714" w:hanging="357"/>
        <w:contextualSpacing/>
        <w:textAlignment w:val="baseline"/>
        <w:rPr>
          <w:rFonts w:eastAsia="Times New Roman" w:cs="Times New Roman"/>
          <w:color w:val="000000"/>
          <w:lang w:eastAsia="ru-RU"/>
        </w:rPr>
      </w:pPr>
      <w:r w:rsidRPr="00322AE9">
        <w:rPr>
          <w:rFonts w:eastAsia="Times New Roman" w:cs="Times New Roman"/>
          <w:bCs/>
          <w:color w:val="000000"/>
          <w:lang w:eastAsia="ru-RU"/>
        </w:rPr>
        <w:t>Жилые дома,</w:t>
      </w:r>
      <w:r w:rsidRPr="00322AE9">
        <w:rPr>
          <w:rFonts w:eastAsia="Times New Roman" w:cs="Times New Roman"/>
          <w:color w:val="000000"/>
          <w:lang w:eastAsia="ru-RU"/>
        </w:rPr>
        <w:t xml:space="preserve"> 2018г;</w:t>
      </w:r>
    </w:p>
    <w:p w14:paraId="0F7E6EB2" w14:textId="77777777" w:rsidR="00322AE9" w:rsidRPr="00322AE9" w:rsidRDefault="00322AE9" w:rsidP="00D24868">
      <w:pPr>
        <w:numPr>
          <w:ilvl w:val="0"/>
          <w:numId w:val="75"/>
        </w:numPr>
        <w:suppressAutoHyphens/>
        <w:adjustRightInd w:val="0"/>
        <w:ind w:left="714" w:hanging="357"/>
        <w:contextualSpacing/>
        <w:textAlignment w:val="baseline"/>
        <w:rPr>
          <w:rFonts w:eastAsia="Times New Roman" w:cs="Times New Roman"/>
          <w:lang w:eastAsia="ru-RU"/>
        </w:rPr>
      </w:pPr>
      <w:r w:rsidRPr="00322AE9">
        <w:rPr>
          <w:rFonts w:eastAsia="Times New Roman" w:cs="Times New Roman"/>
          <w:bCs/>
          <w:color w:val="000000"/>
          <w:lang w:eastAsia="ru-RU"/>
        </w:rPr>
        <w:t>Общественные здания, 2018г.;</w:t>
      </w:r>
    </w:p>
    <w:p w14:paraId="00695D0A" w14:textId="77777777" w:rsidR="00322AE9" w:rsidRPr="00322AE9" w:rsidRDefault="00322AE9" w:rsidP="00D24868">
      <w:pPr>
        <w:numPr>
          <w:ilvl w:val="0"/>
          <w:numId w:val="75"/>
        </w:numPr>
        <w:tabs>
          <w:tab w:val="num" w:pos="993"/>
        </w:tabs>
        <w:suppressAutoHyphens/>
        <w:adjustRightInd w:val="0"/>
        <w:ind w:left="714" w:hanging="357"/>
        <w:contextualSpacing/>
        <w:textAlignment w:val="baseline"/>
        <w:rPr>
          <w:rFonts w:eastAsia="Times New Roman" w:cs="Times New Roman"/>
          <w:color w:val="000000"/>
          <w:lang w:eastAsia="ru-RU"/>
        </w:rPr>
      </w:pPr>
      <w:r w:rsidRPr="00322AE9">
        <w:rPr>
          <w:rFonts w:eastAsia="Times New Roman" w:cs="Times New Roman"/>
          <w:bCs/>
          <w:color w:val="000000"/>
          <w:lang w:eastAsia="ru-RU"/>
        </w:rPr>
        <w:t>Промышленные здания, 2018г.</w:t>
      </w:r>
      <w:r w:rsidRPr="00322AE9">
        <w:rPr>
          <w:rFonts w:eastAsia="Times New Roman" w:cs="Times New Roman"/>
          <w:color w:val="000000"/>
          <w:lang w:eastAsia="ru-RU"/>
        </w:rPr>
        <w:t>;</w:t>
      </w:r>
    </w:p>
    <w:p w14:paraId="6522E8DA" w14:textId="77777777" w:rsidR="00322AE9" w:rsidRPr="00322AE9" w:rsidRDefault="00322AE9" w:rsidP="00D24868">
      <w:pPr>
        <w:numPr>
          <w:ilvl w:val="0"/>
          <w:numId w:val="75"/>
        </w:numPr>
        <w:tabs>
          <w:tab w:val="num" w:pos="993"/>
        </w:tabs>
        <w:suppressAutoHyphens/>
        <w:adjustRightInd w:val="0"/>
        <w:ind w:left="714" w:hanging="357"/>
        <w:contextualSpacing/>
        <w:textAlignment w:val="baseline"/>
        <w:rPr>
          <w:rFonts w:eastAsia="Times New Roman" w:cs="Times New Roman"/>
          <w:color w:val="000000"/>
          <w:lang w:eastAsia="ru-RU"/>
        </w:rPr>
      </w:pPr>
      <w:r w:rsidRPr="00322AE9">
        <w:rPr>
          <w:rFonts w:eastAsia="Times New Roman" w:cs="Times New Roman"/>
          <w:bCs/>
          <w:color w:val="000000"/>
          <w:lang w:eastAsia="ru-RU"/>
        </w:rPr>
        <w:t>Промышленные сооружения, 2018г.</w:t>
      </w:r>
      <w:r w:rsidRPr="00322AE9">
        <w:rPr>
          <w:rFonts w:eastAsia="Times New Roman" w:cs="Times New Roman"/>
          <w:color w:val="000000"/>
          <w:lang w:eastAsia="ru-RU"/>
        </w:rPr>
        <w:t>;</w:t>
      </w:r>
    </w:p>
    <w:p w14:paraId="074BD116" w14:textId="77777777" w:rsidR="00322AE9" w:rsidRPr="00322AE9" w:rsidRDefault="00322AE9" w:rsidP="00D24868">
      <w:pPr>
        <w:numPr>
          <w:ilvl w:val="0"/>
          <w:numId w:val="75"/>
        </w:numPr>
        <w:tabs>
          <w:tab w:val="num" w:pos="993"/>
        </w:tabs>
        <w:suppressAutoHyphens/>
        <w:adjustRightInd w:val="0"/>
        <w:ind w:left="714" w:hanging="357"/>
        <w:contextualSpacing/>
        <w:textAlignment w:val="baseline"/>
        <w:rPr>
          <w:rFonts w:eastAsia="Times New Roman" w:cs="Times New Roman"/>
          <w:lang w:eastAsia="ru-RU"/>
        </w:rPr>
      </w:pPr>
      <w:r w:rsidRPr="00322AE9">
        <w:rPr>
          <w:rFonts w:eastAsia="Times New Roman" w:cs="Times New Roman"/>
          <w:bCs/>
          <w:color w:val="000000"/>
          <w:lang w:eastAsia="ru-RU"/>
        </w:rPr>
        <w:t>Складские здания и сооружения;</w:t>
      </w:r>
    </w:p>
    <w:p w14:paraId="02A0EB59" w14:textId="77777777" w:rsidR="00322AE9" w:rsidRPr="00322AE9" w:rsidRDefault="00322AE9" w:rsidP="00D24868">
      <w:pPr>
        <w:numPr>
          <w:ilvl w:val="0"/>
          <w:numId w:val="75"/>
        </w:numPr>
        <w:tabs>
          <w:tab w:val="num" w:pos="993"/>
        </w:tabs>
        <w:suppressAutoHyphens/>
        <w:adjustRightInd w:val="0"/>
        <w:ind w:left="714" w:hanging="357"/>
        <w:contextualSpacing/>
        <w:textAlignment w:val="baseline"/>
        <w:rPr>
          <w:rFonts w:eastAsia="Times New Roman" w:cs="Times New Roman"/>
          <w:lang w:eastAsia="ru-RU"/>
        </w:rPr>
      </w:pPr>
      <w:r w:rsidRPr="00322AE9">
        <w:rPr>
          <w:rFonts w:eastAsia="Times New Roman" w:cs="Times New Roman"/>
          <w:bCs/>
          <w:color w:val="000000"/>
          <w:lang w:eastAsia="ru-RU"/>
        </w:rPr>
        <w:t>Объекты архитектурного наследия;</w:t>
      </w:r>
    </w:p>
    <w:p w14:paraId="72716B34" w14:textId="77777777" w:rsidR="00322AE9" w:rsidRPr="00322AE9" w:rsidRDefault="00322AE9" w:rsidP="00D24868">
      <w:pPr>
        <w:numPr>
          <w:ilvl w:val="0"/>
          <w:numId w:val="75"/>
        </w:numPr>
        <w:tabs>
          <w:tab w:val="num" w:pos="993"/>
        </w:tabs>
        <w:suppressAutoHyphens/>
        <w:adjustRightInd w:val="0"/>
        <w:ind w:left="714" w:hanging="357"/>
        <w:contextualSpacing/>
        <w:textAlignment w:val="baseline"/>
        <w:rPr>
          <w:rFonts w:eastAsia="Times New Roman" w:cs="Times New Roman"/>
          <w:lang w:eastAsia="ru-RU"/>
        </w:rPr>
      </w:pPr>
      <w:r w:rsidRPr="00322AE9">
        <w:rPr>
          <w:rFonts w:eastAsia="Times New Roman" w:cs="Times New Roman"/>
          <w:bCs/>
          <w:color w:val="000000"/>
          <w:szCs w:val="24"/>
          <w:lang w:eastAsia="ru-RU"/>
        </w:rPr>
        <w:t>Соор</w:t>
      </w:r>
      <w:r w:rsidRPr="00322AE9">
        <w:rPr>
          <w:rFonts w:eastAsia="Times New Roman" w:cs="Times New Roman"/>
          <w:bCs/>
          <w:color w:val="000000"/>
          <w:lang w:eastAsia="ru-RU"/>
        </w:rPr>
        <w:t>ужения городской инфраструктуры;</w:t>
      </w:r>
    </w:p>
    <w:p w14:paraId="042A9ABD" w14:textId="77777777" w:rsidR="00322AE9" w:rsidRPr="00322AE9" w:rsidRDefault="00322AE9" w:rsidP="00D24868">
      <w:pPr>
        <w:numPr>
          <w:ilvl w:val="0"/>
          <w:numId w:val="75"/>
        </w:numPr>
        <w:tabs>
          <w:tab w:val="num" w:pos="993"/>
        </w:tabs>
        <w:suppressAutoHyphens/>
        <w:adjustRightInd w:val="0"/>
        <w:ind w:left="714" w:hanging="357"/>
        <w:contextualSpacing/>
        <w:textAlignment w:val="baseline"/>
        <w:rPr>
          <w:rFonts w:eastAsia="Times New Roman" w:cs="Times New Roman"/>
          <w:color w:val="000000"/>
          <w:lang w:eastAsia="ru-RU"/>
        </w:rPr>
      </w:pPr>
      <w:r w:rsidRPr="00322AE9">
        <w:rPr>
          <w:rFonts w:eastAsia="Times New Roman" w:cs="Times New Roman"/>
          <w:bCs/>
          <w:color w:val="000000"/>
          <w:lang w:eastAsia="ru-RU"/>
        </w:rPr>
        <w:t>Благоустройство территорий, 2018г.</w:t>
      </w:r>
      <w:r w:rsidRPr="00322AE9">
        <w:rPr>
          <w:rFonts w:eastAsia="Times New Roman" w:cs="Times New Roman"/>
          <w:color w:val="000000"/>
          <w:lang w:eastAsia="ru-RU"/>
        </w:rPr>
        <w:t>;</w:t>
      </w:r>
    </w:p>
    <w:p w14:paraId="717EFDFA" w14:textId="77777777" w:rsidR="00322AE9" w:rsidRPr="00322AE9" w:rsidRDefault="00322AE9" w:rsidP="00D24868">
      <w:pPr>
        <w:numPr>
          <w:ilvl w:val="0"/>
          <w:numId w:val="75"/>
        </w:numPr>
        <w:suppressAutoHyphens/>
        <w:adjustRightInd w:val="0"/>
        <w:ind w:left="714" w:hanging="357"/>
        <w:contextualSpacing/>
        <w:textAlignment w:val="baseline"/>
        <w:rPr>
          <w:rFonts w:eastAsia="Times New Roman" w:cs="Times New Roman"/>
          <w:lang w:eastAsia="ru-RU"/>
        </w:rPr>
      </w:pPr>
      <w:r w:rsidRPr="00322AE9">
        <w:rPr>
          <w:rFonts w:eastAsia="Times New Roman" w:cs="Times New Roman"/>
          <w:bCs/>
          <w:color w:val="000000"/>
          <w:szCs w:val="24"/>
          <w:lang w:eastAsia="ru-RU"/>
        </w:rPr>
        <w:t>Магистральные сети и транспорт;</w:t>
      </w:r>
    </w:p>
    <w:p w14:paraId="2FE25E4D" w14:textId="77777777" w:rsidR="00322AE9" w:rsidRPr="00322AE9" w:rsidRDefault="00322AE9" w:rsidP="00D24868">
      <w:pPr>
        <w:numPr>
          <w:ilvl w:val="0"/>
          <w:numId w:val="75"/>
        </w:numPr>
        <w:tabs>
          <w:tab w:val="num" w:pos="993"/>
        </w:tabs>
        <w:suppressAutoHyphens/>
        <w:adjustRightInd w:val="0"/>
        <w:ind w:left="714" w:hanging="357"/>
        <w:contextualSpacing/>
        <w:textAlignment w:val="baseline"/>
        <w:rPr>
          <w:rFonts w:eastAsia="Times New Roman" w:cs="Times New Roman"/>
          <w:lang w:eastAsia="ru-RU"/>
        </w:rPr>
      </w:pPr>
      <w:r w:rsidRPr="00322AE9">
        <w:rPr>
          <w:rFonts w:eastAsia="Times New Roman" w:cs="Times New Roman"/>
          <w:bCs/>
          <w:color w:val="000000"/>
          <w:lang w:eastAsia="ru-RU"/>
        </w:rPr>
        <w:t>Здания и сооружения агропромышленного комплекса;</w:t>
      </w:r>
    </w:p>
    <w:p w14:paraId="1A487AD4" w14:textId="77777777" w:rsidR="00322AE9" w:rsidRPr="00322AE9" w:rsidRDefault="00322AE9" w:rsidP="00D24868">
      <w:pPr>
        <w:numPr>
          <w:ilvl w:val="0"/>
          <w:numId w:val="75"/>
        </w:numPr>
        <w:tabs>
          <w:tab w:val="num" w:pos="993"/>
        </w:tabs>
        <w:suppressAutoHyphens/>
        <w:adjustRightInd w:val="0"/>
        <w:ind w:left="714" w:hanging="357"/>
        <w:contextualSpacing/>
        <w:textAlignment w:val="baseline"/>
        <w:rPr>
          <w:rFonts w:eastAsia="Times New Roman" w:cs="Times New Roman"/>
          <w:lang w:eastAsia="ru-RU"/>
        </w:rPr>
      </w:pPr>
      <w:r w:rsidRPr="00322AE9">
        <w:rPr>
          <w:rFonts w:eastAsia="Times New Roman" w:cs="Times New Roman"/>
          <w:color w:val="000000"/>
          <w:lang w:eastAsia="ru-RU"/>
        </w:rPr>
        <w:t>Справочник "</w:t>
      </w:r>
      <w:r w:rsidRPr="00322AE9">
        <w:rPr>
          <w:rFonts w:eastAsia="Times New Roman" w:cs="Times New Roman"/>
          <w:bCs/>
          <w:color w:val="000000"/>
          <w:lang w:eastAsia="ru-RU"/>
        </w:rPr>
        <w:t>Индексы цен в строительстве</w:t>
      </w:r>
      <w:r w:rsidRPr="00322AE9">
        <w:rPr>
          <w:rFonts w:eastAsia="Times New Roman" w:cs="Times New Roman"/>
          <w:color w:val="000000"/>
          <w:lang w:eastAsia="ru-RU"/>
        </w:rPr>
        <w:t>" 2015-2019г.</w:t>
      </w:r>
    </w:p>
    <w:p w14:paraId="699CDC19" w14:textId="77777777" w:rsidR="00322AE9" w:rsidRPr="00322AE9" w:rsidRDefault="00322AE9" w:rsidP="00322AE9">
      <w:pPr>
        <w:suppressAutoHyphens/>
        <w:adjustRightInd w:val="0"/>
        <w:ind w:firstLine="709"/>
        <w:textAlignment w:val="baseline"/>
        <w:rPr>
          <w:rFonts w:eastAsia="Times New Roman" w:cs="Times New Roman"/>
          <w:spacing w:val="-5"/>
          <w:szCs w:val="24"/>
        </w:rPr>
      </w:pPr>
      <w:r w:rsidRPr="00322AE9">
        <w:rPr>
          <w:rFonts w:eastAsia="Times New Roman" w:cs="Times New Roman"/>
          <w:spacing w:val="-5"/>
          <w:szCs w:val="24"/>
        </w:rPr>
        <w:t>Предоставленная в справочниках информация предназначается для использования при определении стоимости замещения оцениваемых объектов в рамках затратного подхода. При подготовке справочников использована проектно-сметная документация, укрупненные показатели стоимости, а также результаты расчетов индексов цен в строительстве. Формат КО-ИНВЕСТ, использованный в данных справочниках, предусматривает, что табличная информация в основных разделах содержит как технические описания, так и стоимостные показатели в уровне цен Московской области, дифференцированные по элементам зданий для нескольких уровней качества проектных решений.</w:t>
      </w:r>
    </w:p>
    <w:p w14:paraId="41B4970E" w14:textId="77777777" w:rsidR="00322AE9" w:rsidRPr="00322AE9" w:rsidRDefault="00322AE9" w:rsidP="00322AE9">
      <w:pPr>
        <w:suppressAutoHyphens/>
        <w:adjustRightInd w:val="0"/>
        <w:ind w:firstLine="709"/>
        <w:textAlignment w:val="baseline"/>
        <w:rPr>
          <w:rFonts w:eastAsia="Times New Roman" w:cs="Times New Roman"/>
          <w:spacing w:val="-5"/>
          <w:szCs w:val="24"/>
        </w:rPr>
      </w:pPr>
      <w:r w:rsidRPr="00322AE9">
        <w:rPr>
          <w:rFonts w:eastAsia="Times New Roman" w:cs="Times New Roman"/>
          <w:spacing w:val="-5"/>
          <w:szCs w:val="24"/>
        </w:rPr>
        <w:t>Публикуемые стоимостные показатели для определения стоимости зданий основываются на проектно-сметной документации, в том числе на данных о средних показателях затрат на освоение строительных площадок, устройство внешних коммуникаций, новых расценках на работы и данных об индексах цен в строительстве.</w:t>
      </w:r>
    </w:p>
    <w:p w14:paraId="4813C41C" w14:textId="77777777" w:rsidR="00322AE9" w:rsidRPr="00322AE9" w:rsidRDefault="00322AE9" w:rsidP="00322AE9">
      <w:pPr>
        <w:suppressAutoHyphens/>
        <w:adjustRightInd w:val="0"/>
        <w:ind w:firstLine="709"/>
        <w:textAlignment w:val="baseline"/>
        <w:rPr>
          <w:rFonts w:eastAsia="Times New Roman" w:cs="Times New Roman"/>
          <w:spacing w:val="-5"/>
          <w:szCs w:val="24"/>
        </w:rPr>
      </w:pPr>
      <w:r w:rsidRPr="00322AE9">
        <w:rPr>
          <w:rFonts w:eastAsia="Times New Roman" w:cs="Times New Roman"/>
          <w:spacing w:val="-5"/>
          <w:szCs w:val="24"/>
        </w:rPr>
        <w:t>По данным составителей Справочника: «Показатели справочника включают всю номенклатуру затрат, которые предусматриваются действующей методикой определения стоимости строительной продукции на территории Российской Федерации МДС 81-35.2004 с учетом непредвиденных работ и затрат. Все показатели рассчитаны в соответствии с новой сметно-нормативной базой ценообразования в строительстве, сформированной и введенной в действие в уровне цен по состоянию на 01.01.2000».</w:t>
      </w:r>
    </w:p>
    <w:p w14:paraId="39573FB6" w14:textId="77777777" w:rsidR="00322AE9" w:rsidRPr="00322AE9" w:rsidRDefault="00322AE9" w:rsidP="00322AE9">
      <w:pPr>
        <w:suppressAutoHyphens/>
        <w:adjustRightInd w:val="0"/>
        <w:ind w:firstLine="709"/>
        <w:textAlignment w:val="baseline"/>
        <w:rPr>
          <w:rFonts w:eastAsia="Times New Roman" w:cs="Times New Roman"/>
          <w:spacing w:val="-5"/>
          <w:szCs w:val="24"/>
        </w:rPr>
      </w:pPr>
      <w:r w:rsidRPr="00322AE9">
        <w:rPr>
          <w:rFonts w:eastAsia="Times New Roman" w:cs="Times New Roman"/>
          <w:spacing w:val="-5"/>
          <w:szCs w:val="24"/>
        </w:rPr>
        <w:t xml:space="preserve">Во многом точность проводимых расчетов зависит от правильности выбора аналога объекта оценки. </w:t>
      </w:r>
    </w:p>
    <w:p w14:paraId="63340547" w14:textId="77777777" w:rsidR="00322AE9" w:rsidRPr="00322AE9" w:rsidRDefault="00322AE9" w:rsidP="00322AE9">
      <w:pPr>
        <w:suppressAutoHyphens/>
        <w:adjustRightInd w:val="0"/>
        <w:ind w:firstLine="709"/>
        <w:textAlignment w:val="baseline"/>
        <w:rPr>
          <w:rFonts w:eastAsia="Times New Roman" w:cs="Times New Roman"/>
          <w:spacing w:val="-5"/>
          <w:szCs w:val="24"/>
        </w:rPr>
      </w:pPr>
      <w:r w:rsidRPr="00322AE9">
        <w:rPr>
          <w:rFonts w:eastAsia="Times New Roman" w:cs="Times New Roman"/>
          <w:spacing w:val="-5"/>
          <w:szCs w:val="24"/>
        </w:rPr>
        <w:t>В соответствии с рекомендациями по использованию УПСС (КО-ИНВЕСТ) величина затрат на замещение объекта оценки определяется в соответствии с классом конструктивной системы здания и уровнем отделки с учетом дополнительных корректирующих коэффициентов.</w:t>
      </w:r>
    </w:p>
    <w:p w14:paraId="5DBB5EAA" w14:textId="77777777" w:rsidR="00322AE9" w:rsidRPr="00322AE9" w:rsidRDefault="00322AE9" w:rsidP="00322AE9">
      <w:pPr>
        <w:suppressAutoHyphens/>
        <w:adjustRightInd w:val="0"/>
        <w:ind w:firstLine="567"/>
        <w:textAlignment w:val="baseline"/>
        <w:rPr>
          <w:rFonts w:eastAsia="Times New Roman" w:cs="Times New Roman"/>
          <w:spacing w:val="-5"/>
          <w:szCs w:val="24"/>
        </w:rPr>
      </w:pPr>
    </w:p>
    <w:p w14:paraId="782B92D8" w14:textId="77777777" w:rsidR="00322AE9" w:rsidRPr="00322AE9" w:rsidRDefault="00322AE9" w:rsidP="00322AE9">
      <w:pPr>
        <w:suppressAutoHyphens/>
        <w:adjustRightInd w:val="0"/>
        <w:ind w:firstLine="567"/>
        <w:textAlignment w:val="baseline"/>
        <w:rPr>
          <w:rFonts w:eastAsia="Times New Roman" w:cs="Times New Roman"/>
          <w:b/>
          <w:spacing w:val="-5"/>
          <w:szCs w:val="24"/>
        </w:rPr>
      </w:pPr>
      <w:bookmarkStart w:id="135" w:name="_Toc525310206"/>
      <w:r w:rsidRPr="00322AE9">
        <w:rPr>
          <w:rFonts w:eastAsia="Times New Roman" w:cs="Times New Roman"/>
          <w:b/>
          <w:spacing w:val="-5"/>
          <w:szCs w:val="24"/>
        </w:rPr>
        <w:t>Использование метода расчета типового (эталонного) объекта</w:t>
      </w:r>
      <w:bookmarkEnd w:id="135"/>
    </w:p>
    <w:p w14:paraId="3AAD68AC" w14:textId="301EA56D" w:rsidR="00322AE9" w:rsidRPr="00322AE9" w:rsidRDefault="00322AE9" w:rsidP="00322AE9">
      <w:pPr>
        <w:suppressAutoHyphens/>
        <w:adjustRightInd w:val="0"/>
        <w:ind w:firstLine="567"/>
        <w:textAlignment w:val="baseline"/>
        <w:rPr>
          <w:rFonts w:eastAsia="Times New Roman" w:cs="Times New Roman"/>
          <w:spacing w:val="-5"/>
          <w:szCs w:val="24"/>
          <w:lang w:eastAsia="ru-RU"/>
        </w:rPr>
      </w:pPr>
      <w:r w:rsidRPr="00322AE9">
        <w:rPr>
          <w:rFonts w:eastAsia="Times New Roman" w:cs="Times New Roman"/>
          <w:spacing w:val="-5"/>
          <w:szCs w:val="24"/>
          <w:lang w:eastAsia="ru-RU"/>
        </w:rPr>
        <w:t>В соответствии с п. 7.2.2 Методических указаний при применении метода типового (эталонного) объекта недвижимости определяется стоимость типового (эталонного) объекта. В стоимость типового (эталонного) объекта могут вноситься корректировки, учитывающие отличие ценообразующих характеристик объекта недвижимости от типового (эталонного) объекта недвижимости.</w:t>
      </w:r>
    </w:p>
    <w:p w14:paraId="2995603C" w14:textId="77777777" w:rsidR="00322AE9" w:rsidRPr="00322AE9" w:rsidRDefault="00322AE9" w:rsidP="00322AE9">
      <w:pPr>
        <w:suppressAutoHyphens/>
        <w:adjustRightInd w:val="0"/>
        <w:ind w:firstLine="567"/>
        <w:textAlignment w:val="baseline"/>
        <w:rPr>
          <w:rFonts w:eastAsia="Times New Roman" w:cs="Times New Roman"/>
          <w:spacing w:val="-5"/>
          <w:szCs w:val="24"/>
          <w:lang w:eastAsia="ru-RU"/>
        </w:rPr>
      </w:pPr>
      <w:r w:rsidRPr="00322AE9">
        <w:rPr>
          <w:rFonts w:eastAsia="Times New Roman" w:cs="Times New Roman"/>
          <w:spacing w:val="-5"/>
          <w:szCs w:val="24"/>
          <w:lang w:eastAsia="ru-RU"/>
        </w:rPr>
        <w:t>Метод типового (эталонного) объекта недвижимости заключается в следующем:</w:t>
      </w:r>
    </w:p>
    <w:p w14:paraId="629997CA" w14:textId="77777777" w:rsidR="00322AE9" w:rsidRPr="00322AE9" w:rsidRDefault="00322AE9" w:rsidP="00322AE9">
      <w:pPr>
        <w:suppressAutoHyphens/>
        <w:adjustRightInd w:val="0"/>
        <w:ind w:firstLine="567"/>
        <w:textAlignment w:val="baseline"/>
        <w:rPr>
          <w:rFonts w:eastAsia="Times New Roman" w:cs="Times New Roman"/>
          <w:spacing w:val="-5"/>
          <w:szCs w:val="24"/>
          <w:lang w:eastAsia="ru-RU"/>
        </w:rPr>
      </w:pPr>
      <w:r w:rsidRPr="00322AE9">
        <w:rPr>
          <w:rFonts w:eastAsia="Times New Roman" w:cs="Times New Roman"/>
          <w:spacing w:val="-5"/>
          <w:szCs w:val="24"/>
          <w:lang w:eastAsia="ru-RU"/>
        </w:rPr>
        <w:t>1.</w:t>
      </w:r>
      <w:r w:rsidRPr="00322AE9">
        <w:rPr>
          <w:rFonts w:eastAsia="Times New Roman" w:cs="Times New Roman"/>
          <w:spacing w:val="-5"/>
          <w:szCs w:val="24"/>
          <w:lang w:eastAsia="ru-RU"/>
        </w:rPr>
        <w:tab/>
        <w:t>Определяется группа (подгруппа) объектов недвижимости, в которой возможно (целесообразно) типологизировать объекты недвижимости.</w:t>
      </w:r>
    </w:p>
    <w:p w14:paraId="396110DA" w14:textId="77777777" w:rsidR="00322AE9" w:rsidRPr="00322AE9" w:rsidRDefault="00322AE9" w:rsidP="00322AE9">
      <w:pPr>
        <w:suppressAutoHyphens/>
        <w:adjustRightInd w:val="0"/>
        <w:ind w:firstLine="567"/>
        <w:textAlignment w:val="baseline"/>
        <w:rPr>
          <w:rFonts w:eastAsia="Times New Roman" w:cs="Times New Roman"/>
          <w:spacing w:val="-5"/>
          <w:szCs w:val="24"/>
          <w:lang w:eastAsia="ru-RU"/>
        </w:rPr>
      </w:pPr>
      <w:r w:rsidRPr="00322AE9">
        <w:rPr>
          <w:rFonts w:eastAsia="Times New Roman" w:cs="Times New Roman"/>
          <w:spacing w:val="-5"/>
          <w:szCs w:val="24"/>
          <w:lang w:eastAsia="ru-RU"/>
        </w:rPr>
        <w:t>2.</w:t>
      </w:r>
      <w:r w:rsidRPr="00322AE9">
        <w:rPr>
          <w:rFonts w:eastAsia="Times New Roman" w:cs="Times New Roman"/>
          <w:spacing w:val="-5"/>
          <w:szCs w:val="24"/>
          <w:lang w:eastAsia="ru-RU"/>
        </w:rPr>
        <w:tab/>
        <w:t>Определяется основание типологизации - характеристика или группа характеристик объектов недвижимости, на основании которых можно их сгруппировать.</w:t>
      </w:r>
    </w:p>
    <w:p w14:paraId="5BD04752" w14:textId="77777777" w:rsidR="00322AE9" w:rsidRPr="00322AE9" w:rsidRDefault="00322AE9" w:rsidP="00322AE9">
      <w:pPr>
        <w:suppressAutoHyphens/>
        <w:adjustRightInd w:val="0"/>
        <w:ind w:firstLine="567"/>
        <w:textAlignment w:val="baseline"/>
        <w:rPr>
          <w:rFonts w:eastAsia="Times New Roman" w:cs="Times New Roman"/>
          <w:spacing w:val="-5"/>
          <w:szCs w:val="24"/>
          <w:lang w:eastAsia="ru-RU"/>
        </w:rPr>
      </w:pPr>
      <w:r w:rsidRPr="00322AE9">
        <w:rPr>
          <w:rFonts w:eastAsia="Times New Roman" w:cs="Times New Roman"/>
          <w:spacing w:val="-5"/>
          <w:szCs w:val="24"/>
          <w:lang w:eastAsia="ru-RU"/>
        </w:rPr>
        <w:t>3.</w:t>
      </w:r>
      <w:r w:rsidRPr="00322AE9">
        <w:rPr>
          <w:rFonts w:eastAsia="Times New Roman" w:cs="Times New Roman"/>
          <w:spacing w:val="-5"/>
          <w:szCs w:val="24"/>
          <w:lang w:eastAsia="ru-RU"/>
        </w:rPr>
        <w:tab/>
        <w:t>Проводится типологизация объектов недвижимости.</w:t>
      </w:r>
    </w:p>
    <w:p w14:paraId="604D039B" w14:textId="77777777" w:rsidR="00322AE9" w:rsidRPr="00322AE9" w:rsidRDefault="00322AE9" w:rsidP="00322AE9">
      <w:pPr>
        <w:suppressAutoHyphens/>
        <w:adjustRightInd w:val="0"/>
        <w:ind w:firstLine="567"/>
        <w:textAlignment w:val="baseline"/>
        <w:rPr>
          <w:rFonts w:eastAsia="Times New Roman" w:cs="Times New Roman"/>
          <w:spacing w:val="-5"/>
          <w:szCs w:val="24"/>
          <w:lang w:eastAsia="ru-RU"/>
        </w:rPr>
      </w:pPr>
      <w:r w:rsidRPr="00322AE9">
        <w:rPr>
          <w:rFonts w:eastAsia="Times New Roman" w:cs="Times New Roman"/>
          <w:spacing w:val="-5"/>
          <w:szCs w:val="24"/>
          <w:lang w:eastAsia="ru-RU"/>
        </w:rPr>
        <w:t>4.</w:t>
      </w:r>
      <w:r w:rsidRPr="00322AE9">
        <w:rPr>
          <w:rFonts w:eastAsia="Times New Roman" w:cs="Times New Roman"/>
          <w:spacing w:val="-5"/>
          <w:szCs w:val="24"/>
          <w:lang w:eastAsia="ru-RU"/>
        </w:rPr>
        <w:tab/>
        <w:t>Формируется типовой (эталонный) объект недвижимости.</w:t>
      </w:r>
    </w:p>
    <w:p w14:paraId="059043F4" w14:textId="77777777" w:rsidR="00322AE9" w:rsidRPr="00322AE9" w:rsidRDefault="00322AE9" w:rsidP="00322AE9">
      <w:pPr>
        <w:suppressAutoHyphens/>
        <w:adjustRightInd w:val="0"/>
        <w:ind w:firstLine="567"/>
        <w:textAlignment w:val="baseline"/>
        <w:rPr>
          <w:rFonts w:eastAsia="Times New Roman" w:cs="Times New Roman"/>
          <w:spacing w:val="-5"/>
          <w:szCs w:val="24"/>
          <w:lang w:eastAsia="ru-RU"/>
        </w:rPr>
      </w:pPr>
      <w:r w:rsidRPr="00322AE9">
        <w:rPr>
          <w:rFonts w:eastAsia="Times New Roman" w:cs="Times New Roman"/>
          <w:spacing w:val="-5"/>
          <w:szCs w:val="24"/>
          <w:lang w:eastAsia="ru-RU"/>
        </w:rPr>
        <w:t>5.</w:t>
      </w:r>
      <w:r w:rsidRPr="00322AE9">
        <w:rPr>
          <w:rFonts w:eastAsia="Times New Roman" w:cs="Times New Roman"/>
          <w:spacing w:val="-5"/>
          <w:szCs w:val="24"/>
          <w:lang w:eastAsia="ru-RU"/>
        </w:rPr>
        <w:tab/>
        <w:t>Определяется стоимость типового (эталонного) объекта недвижимости.</w:t>
      </w:r>
    </w:p>
    <w:p w14:paraId="0A8B97AC" w14:textId="77777777" w:rsidR="00322AE9" w:rsidRPr="00322AE9" w:rsidRDefault="00322AE9" w:rsidP="00322AE9">
      <w:pPr>
        <w:suppressAutoHyphens/>
        <w:adjustRightInd w:val="0"/>
        <w:ind w:firstLine="567"/>
        <w:textAlignment w:val="baseline"/>
        <w:rPr>
          <w:rFonts w:eastAsia="Times New Roman" w:cs="Times New Roman"/>
          <w:spacing w:val="-5"/>
          <w:szCs w:val="24"/>
          <w:lang w:eastAsia="ru-RU"/>
        </w:rPr>
      </w:pPr>
      <w:r w:rsidRPr="00322AE9">
        <w:rPr>
          <w:rFonts w:eastAsia="Times New Roman" w:cs="Times New Roman"/>
          <w:spacing w:val="-5"/>
          <w:szCs w:val="24"/>
          <w:lang w:eastAsia="ru-RU"/>
        </w:rPr>
        <w:t>6.</w:t>
      </w:r>
      <w:r w:rsidRPr="00322AE9">
        <w:rPr>
          <w:rFonts w:eastAsia="Times New Roman" w:cs="Times New Roman"/>
          <w:spacing w:val="-5"/>
          <w:szCs w:val="24"/>
          <w:lang w:eastAsia="ru-RU"/>
        </w:rPr>
        <w:tab/>
        <w:t>Корректируются стоимости объектов недвижимости при распространении на них стоимости типового (эталонного) объекта недвижимости.</w:t>
      </w:r>
    </w:p>
    <w:p w14:paraId="28466585" w14:textId="77777777" w:rsidR="00322AE9" w:rsidRPr="00322AE9" w:rsidRDefault="00322AE9" w:rsidP="00322AE9">
      <w:pPr>
        <w:suppressAutoHyphens/>
        <w:adjustRightInd w:val="0"/>
        <w:ind w:firstLine="709"/>
        <w:textAlignment w:val="baseline"/>
        <w:rPr>
          <w:rFonts w:eastAsia="Times New Roman" w:cs="Times New Roman"/>
          <w:spacing w:val="-5"/>
          <w:szCs w:val="24"/>
          <w:lang w:eastAsia="ru-RU"/>
        </w:rPr>
      </w:pPr>
    </w:p>
    <w:p w14:paraId="2FB17676" w14:textId="77777777" w:rsidR="00322AE9" w:rsidRPr="00322AE9" w:rsidRDefault="00322AE9" w:rsidP="00322AE9">
      <w:pPr>
        <w:suppressAutoHyphens/>
        <w:adjustRightInd w:val="0"/>
        <w:ind w:firstLine="709"/>
        <w:textAlignment w:val="baseline"/>
        <w:rPr>
          <w:rFonts w:eastAsia="Times New Roman" w:cs="Times New Roman"/>
          <w:b/>
          <w:spacing w:val="-5"/>
          <w:szCs w:val="24"/>
        </w:rPr>
      </w:pPr>
      <w:bookmarkStart w:id="136" w:name="_Toc514657651"/>
      <w:r w:rsidRPr="00322AE9">
        <w:rPr>
          <w:rFonts w:eastAsia="Times New Roman" w:cs="Times New Roman"/>
          <w:b/>
          <w:spacing w:val="-5"/>
          <w:szCs w:val="24"/>
        </w:rPr>
        <w:t>Справочники УПСС (КО-ИНВЕСТ)</w:t>
      </w:r>
      <w:bookmarkEnd w:id="136"/>
    </w:p>
    <w:p w14:paraId="461A49DC" w14:textId="77777777" w:rsidR="00322AE9" w:rsidRPr="00322AE9" w:rsidRDefault="00322AE9" w:rsidP="00322AE9">
      <w:pPr>
        <w:suppressAutoHyphens/>
        <w:adjustRightInd w:val="0"/>
        <w:ind w:firstLine="709"/>
        <w:textAlignment w:val="baseline"/>
        <w:rPr>
          <w:rFonts w:eastAsia="Times New Roman" w:cs="Times New Roman"/>
          <w:spacing w:val="-5"/>
          <w:szCs w:val="24"/>
        </w:rPr>
      </w:pPr>
      <w:r w:rsidRPr="00322AE9">
        <w:rPr>
          <w:rFonts w:eastAsia="Times New Roman" w:cs="Times New Roman"/>
          <w:spacing w:val="-5"/>
          <w:szCs w:val="24"/>
        </w:rPr>
        <w:t>Представленная в справочниках информация предназначается для использования при определении стоимости замещения оцениваемых объектов в рамках затратного подхода. При подготовке справочников использована результаты расчетов индексов цен в строительстве. Формат КО-ИНВЕСТ, использованный в данных справочниках, предусматривает, что табличная информация в основных разделах содержит как технические описания, так и стоимостные показатели в уровне цен Московской области, дифференцированные по элементам зданий для нескольких уровней качества проектных решений.</w:t>
      </w:r>
    </w:p>
    <w:p w14:paraId="79905137" w14:textId="77777777" w:rsidR="00322AE9" w:rsidRPr="00322AE9" w:rsidRDefault="00322AE9" w:rsidP="00322AE9">
      <w:pPr>
        <w:suppressAutoHyphens/>
        <w:adjustRightInd w:val="0"/>
        <w:ind w:firstLine="709"/>
        <w:textAlignment w:val="baseline"/>
        <w:rPr>
          <w:rFonts w:eastAsia="Times New Roman" w:cs="Times New Roman"/>
          <w:spacing w:val="-5"/>
          <w:szCs w:val="24"/>
        </w:rPr>
      </w:pPr>
      <w:r w:rsidRPr="00322AE9">
        <w:rPr>
          <w:rFonts w:eastAsia="Times New Roman" w:cs="Times New Roman"/>
          <w:spacing w:val="-5"/>
          <w:szCs w:val="24"/>
        </w:rPr>
        <w:t>Публикуемые стоимостные показатели для определения стоимости зданий основываются на проектно-сметной документации, в том числе на данных о средних показателях затрат на освоение строительных площадок, устройство внешних коммуникаций, расценках на работы и данных об индексах цен в строительстве.</w:t>
      </w:r>
    </w:p>
    <w:p w14:paraId="30889215" w14:textId="77777777" w:rsidR="00322AE9" w:rsidRPr="00322AE9" w:rsidRDefault="00322AE9" w:rsidP="00322AE9">
      <w:pPr>
        <w:suppressAutoHyphens/>
        <w:adjustRightInd w:val="0"/>
        <w:ind w:firstLine="709"/>
        <w:textAlignment w:val="baseline"/>
        <w:rPr>
          <w:rFonts w:eastAsia="Times New Roman" w:cs="Times New Roman"/>
          <w:spacing w:val="-5"/>
          <w:szCs w:val="24"/>
        </w:rPr>
      </w:pPr>
      <w:r w:rsidRPr="00322AE9">
        <w:rPr>
          <w:rFonts w:eastAsia="Times New Roman" w:cs="Times New Roman"/>
          <w:spacing w:val="-5"/>
          <w:szCs w:val="24"/>
        </w:rPr>
        <w:t>По данным составителей справочников: «Показатели справочника включают всю номенклатуру затрат, которые предусматриваются действующей методикой определения стоимости строительной продукции на территории Российской Федерации МДС 81-35.2004 с учетом непредвиденных работ и затрат. Все показатели рассчитаны в соответствии с новой сметно-нормативной базой ценообразования в строительстве, сформированной и введенной в действие в уровне цен по состоянию на 01.01.2000 г.</w:t>
      </w:r>
    </w:p>
    <w:p w14:paraId="02590713" w14:textId="77777777" w:rsidR="00322AE9" w:rsidRPr="00322AE9" w:rsidRDefault="00322AE9" w:rsidP="00322AE9">
      <w:pPr>
        <w:suppressAutoHyphens/>
        <w:adjustRightInd w:val="0"/>
        <w:ind w:firstLine="709"/>
        <w:textAlignment w:val="baseline"/>
        <w:rPr>
          <w:rFonts w:eastAsia="Times New Roman" w:cs="Times New Roman"/>
          <w:spacing w:val="-5"/>
          <w:szCs w:val="24"/>
        </w:rPr>
      </w:pPr>
      <w:r w:rsidRPr="00322AE9">
        <w:rPr>
          <w:rFonts w:eastAsia="Times New Roman" w:cs="Times New Roman"/>
          <w:spacing w:val="-5"/>
          <w:szCs w:val="24"/>
        </w:rPr>
        <w:t>В справочных показателях стоимости учтен следующий круг затрат:</w:t>
      </w:r>
    </w:p>
    <w:p w14:paraId="2C711668" w14:textId="77777777" w:rsidR="00322AE9" w:rsidRPr="00322AE9" w:rsidRDefault="00322AE9" w:rsidP="00D24868">
      <w:pPr>
        <w:numPr>
          <w:ilvl w:val="0"/>
          <w:numId w:val="79"/>
        </w:numPr>
        <w:suppressAutoHyphens/>
        <w:adjustRightInd w:val="0"/>
        <w:spacing w:line="360" w:lineRule="auto"/>
        <w:ind w:left="1276" w:hanging="567"/>
        <w:textAlignment w:val="baseline"/>
        <w:rPr>
          <w:rFonts w:eastAsia="Times New Roman" w:cs="Times New Roman"/>
          <w:spacing w:val="-5"/>
          <w:szCs w:val="24"/>
          <w:lang w:eastAsia="ru-RU"/>
        </w:rPr>
      </w:pPr>
      <w:r w:rsidRPr="00322AE9">
        <w:rPr>
          <w:rFonts w:eastAsia="Times New Roman" w:cs="Times New Roman"/>
          <w:spacing w:val="-5"/>
          <w:szCs w:val="24"/>
          <w:lang w:eastAsia="ru-RU"/>
        </w:rPr>
        <w:t>прямые затраты (стоимость материалов, стоимость эксплуатации машин, оплата труда рабочих);</w:t>
      </w:r>
    </w:p>
    <w:p w14:paraId="09755799" w14:textId="77777777" w:rsidR="00322AE9" w:rsidRPr="00322AE9" w:rsidRDefault="00322AE9" w:rsidP="00D24868">
      <w:pPr>
        <w:numPr>
          <w:ilvl w:val="0"/>
          <w:numId w:val="79"/>
        </w:numPr>
        <w:suppressAutoHyphens/>
        <w:adjustRightInd w:val="0"/>
        <w:spacing w:line="360" w:lineRule="auto"/>
        <w:ind w:left="1276" w:hanging="567"/>
        <w:textAlignment w:val="baseline"/>
        <w:rPr>
          <w:rFonts w:eastAsia="Times New Roman" w:cs="Times New Roman"/>
          <w:spacing w:val="-5"/>
          <w:szCs w:val="24"/>
          <w:lang w:eastAsia="ru-RU"/>
        </w:rPr>
      </w:pPr>
      <w:r w:rsidRPr="00322AE9">
        <w:rPr>
          <w:rFonts w:eastAsia="Times New Roman" w:cs="Times New Roman"/>
          <w:spacing w:val="-5"/>
          <w:szCs w:val="24"/>
          <w:lang w:eastAsia="ru-RU"/>
        </w:rPr>
        <w:t>накладные расходы (по нормам Госстроя России – в процентах от фонда оплаты труда рабочих строителей и механизаторов, дифференцированных по видам работ);</w:t>
      </w:r>
    </w:p>
    <w:p w14:paraId="75AE3B75" w14:textId="77777777" w:rsidR="00322AE9" w:rsidRPr="00322AE9" w:rsidRDefault="00322AE9" w:rsidP="00D24868">
      <w:pPr>
        <w:numPr>
          <w:ilvl w:val="0"/>
          <w:numId w:val="79"/>
        </w:numPr>
        <w:suppressAutoHyphens/>
        <w:adjustRightInd w:val="0"/>
        <w:spacing w:line="360" w:lineRule="auto"/>
        <w:ind w:left="1276" w:hanging="567"/>
        <w:textAlignment w:val="baseline"/>
        <w:rPr>
          <w:rFonts w:eastAsia="Times New Roman" w:cs="Times New Roman"/>
          <w:spacing w:val="-5"/>
          <w:szCs w:val="24"/>
          <w:lang w:eastAsia="ru-RU"/>
        </w:rPr>
      </w:pPr>
      <w:r w:rsidRPr="00322AE9">
        <w:rPr>
          <w:rFonts w:eastAsia="Times New Roman" w:cs="Times New Roman"/>
          <w:spacing w:val="-5"/>
          <w:szCs w:val="24"/>
          <w:lang w:eastAsia="ru-RU"/>
        </w:rPr>
        <w:t>прибыль в строительстве в процентах от фонда оплаты труда рабочих;</w:t>
      </w:r>
    </w:p>
    <w:p w14:paraId="382BDE28" w14:textId="77777777" w:rsidR="00322AE9" w:rsidRPr="00322AE9" w:rsidRDefault="00322AE9" w:rsidP="00D24868">
      <w:pPr>
        <w:numPr>
          <w:ilvl w:val="0"/>
          <w:numId w:val="79"/>
        </w:numPr>
        <w:suppressAutoHyphens/>
        <w:adjustRightInd w:val="0"/>
        <w:spacing w:line="360" w:lineRule="auto"/>
        <w:textAlignment w:val="baseline"/>
        <w:rPr>
          <w:rFonts w:eastAsia="Times New Roman" w:cs="Times New Roman"/>
          <w:spacing w:val="-5"/>
          <w:szCs w:val="24"/>
          <w:lang w:eastAsia="ru-RU"/>
        </w:rPr>
      </w:pPr>
      <w:r w:rsidRPr="00322AE9">
        <w:rPr>
          <w:rFonts w:eastAsia="Times New Roman" w:cs="Times New Roman"/>
          <w:spacing w:val="-5"/>
          <w:szCs w:val="24"/>
          <w:lang w:eastAsia="ru-RU"/>
        </w:rPr>
        <w:t>средняя величина затрат.</w:t>
      </w:r>
    </w:p>
    <w:p w14:paraId="05F678AE" w14:textId="77777777" w:rsidR="00322AE9" w:rsidRPr="00322AE9" w:rsidRDefault="00322AE9" w:rsidP="00322AE9">
      <w:pPr>
        <w:suppressAutoHyphens/>
        <w:adjustRightInd w:val="0"/>
        <w:ind w:firstLine="709"/>
        <w:textAlignment w:val="baseline"/>
        <w:rPr>
          <w:rFonts w:eastAsia="Times New Roman" w:cs="Times New Roman"/>
          <w:spacing w:val="-5"/>
          <w:szCs w:val="24"/>
        </w:rPr>
      </w:pPr>
      <w:r w:rsidRPr="00322AE9">
        <w:rPr>
          <w:rFonts w:eastAsia="Times New Roman" w:cs="Times New Roman"/>
          <w:spacing w:val="-5"/>
          <w:szCs w:val="24"/>
        </w:rPr>
        <w:t xml:space="preserve">В справочных показателях стоимости в составе доначислений к стоимости прямых затрат, накладных расходов и прибыли подрядчика учтены затраты на временные здания и сооружения, зимние удорожания, земельный налог, другие налоги, сборы и обязательные платежи, затраты на проектные и изыскательские работы, непредвиденные работы и затраты, технический и авторский надзор и др. </w:t>
      </w:r>
    </w:p>
    <w:p w14:paraId="5B805E03" w14:textId="77777777" w:rsidR="00322AE9" w:rsidRPr="00322AE9" w:rsidRDefault="00322AE9" w:rsidP="00322AE9">
      <w:pPr>
        <w:suppressAutoHyphens/>
        <w:adjustRightInd w:val="0"/>
        <w:ind w:firstLine="709"/>
        <w:textAlignment w:val="baseline"/>
        <w:rPr>
          <w:rFonts w:eastAsia="Times New Roman" w:cs="Times New Roman"/>
          <w:spacing w:val="-5"/>
          <w:szCs w:val="24"/>
        </w:rPr>
      </w:pPr>
      <w:r w:rsidRPr="00322AE9">
        <w:rPr>
          <w:rFonts w:eastAsia="Times New Roman" w:cs="Times New Roman"/>
          <w:spacing w:val="-5"/>
          <w:szCs w:val="24"/>
        </w:rPr>
        <w:t xml:space="preserve">В составе фактических показателей оплаты труда и цен на материалы учтена полная стоимость соответствующих ресурсов, используемых в строительстве. </w:t>
      </w:r>
    </w:p>
    <w:p w14:paraId="66A378C5" w14:textId="77777777" w:rsidR="00322AE9" w:rsidRPr="00322AE9" w:rsidRDefault="00322AE9" w:rsidP="00322AE9">
      <w:pPr>
        <w:suppressAutoHyphens/>
        <w:adjustRightInd w:val="0"/>
        <w:ind w:firstLine="709"/>
        <w:textAlignment w:val="baseline"/>
        <w:rPr>
          <w:rFonts w:eastAsia="Times New Roman" w:cs="Times New Roman"/>
          <w:spacing w:val="-5"/>
          <w:szCs w:val="24"/>
        </w:rPr>
      </w:pPr>
      <w:r w:rsidRPr="00322AE9">
        <w:rPr>
          <w:rFonts w:eastAsia="Times New Roman" w:cs="Times New Roman"/>
          <w:spacing w:val="-5"/>
          <w:szCs w:val="24"/>
        </w:rPr>
        <w:t xml:space="preserve">Стоимостные показатели не учитывают затраты на привлечение кредитных ресурсов для осуществления строительства и рассчитаны, исходя из предположения, что за время возведения объекта цены на работы и оборудование оставались неизменными. </w:t>
      </w:r>
    </w:p>
    <w:p w14:paraId="285D1C0C" w14:textId="77777777" w:rsidR="00322AE9" w:rsidRPr="00322AE9" w:rsidRDefault="00322AE9" w:rsidP="00322AE9">
      <w:pPr>
        <w:suppressAutoHyphens/>
        <w:adjustRightInd w:val="0"/>
        <w:ind w:firstLine="709"/>
        <w:textAlignment w:val="baseline"/>
        <w:rPr>
          <w:rFonts w:eastAsia="Times New Roman" w:cs="Times New Roman"/>
          <w:spacing w:val="-5"/>
          <w:szCs w:val="24"/>
        </w:rPr>
      </w:pPr>
      <w:r w:rsidRPr="00322AE9">
        <w:rPr>
          <w:rFonts w:eastAsia="Times New Roman" w:cs="Times New Roman"/>
          <w:spacing w:val="-5"/>
          <w:szCs w:val="24"/>
        </w:rPr>
        <w:t>В справочных показателях не учтен налог на добавленную стоимость.</w:t>
      </w:r>
    </w:p>
    <w:p w14:paraId="1709C337" w14:textId="77777777" w:rsidR="00322AE9" w:rsidRPr="00322AE9" w:rsidRDefault="00322AE9" w:rsidP="00322AE9">
      <w:pPr>
        <w:suppressAutoHyphens/>
        <w:adjustRightInd w:val="0"/>
        <w:ind w:firstLine="709"/>
        <w:textAlignment w:val="baseline"/>
        <w:rPr>
          <w:rFonts w:eastAsia="Times New Roman" w:cs="Times New Roman"/>
          <w:spacing w:val="-5"/>
          <w:szCs w:val="24"/>
        </w:rPr>
      </w:pPr>
      <w:r w:rsidRPr="00322AE9">
        <w:rPr>
          <w:rFonts w:eastAsia="Times New Roman" w:cs="Times New Roman"/>
          <w:spacing w:val="-5"/>
          <w:szCs w:val="24"/>
        </w:rPr>
        <w:t xml:space="preserve">Применение справочников КО-ИНВЕСТ опирается на понятие объекта-аналога, который представляет из себя максимально близкий по характеристикам к оцениваемому объекту объект из Справочника. </w:t>
      </w:r>
    </w:p>
    <w:p w14:paraId="6C92DA10" w14:textId="77777777" w:rsidR="00322AE9" w:rsidRPr="00322AE9" w:rsidRDefault="00322AE9" w:rsidP="00322AE9">
      <w:pPr>
        <w:suppressAutoHyphens/>
        <w:adjustRightInd w:val="0"/>
        <w:ind w:firstLine="709"/>
        <w:textAlignment w:val="baseline"/>
        <w:rPr>
          <w:rFonts w:eastAsia="Times New Roman" w:cs="Times New Roman"/>
          <w:spacing w:val="-5"/>
          <w:szCs w:val="24"/>
        </w:rPr>
      </w:pPr>
      <w:r w:rsidRPr="00322AE9">
        <w:rPr>
          <w:rFonts w:eastAsia="Times New Roman" w:cs="Times New Roman"/>
          <w:spacing w:val="-5"/>
          <w:szCs w:val="24"/>
        </w:rPr>
        <w:t>Исходные данные Перечня, которые используются при определении кадастровой оценки, включают:</w:t>
      </w:r>
    </w:p>
    <w:p w14:paraId="58C483C8" w14:textId="77777777" w:rsidR="00322AE9" w:rsidRPr="00322AE9" w:rsidRDefault="00322AE9" w:rsidP="00D24868">
      <w:pPr>
        <w:numPr>
          <w:ilvl w:val="0"/>
          <w:numId w:val="72"/>
        </w:numPr>
        <w:suppressAutoHyphens/>
        <w:adjustRightInd w:val="0"/>
        <w:contextualSpacing/>
        <w:textAlignment w:val="baseline"/>
        <w:rPr>
          <w:rFonts w:eastAsia="Times New Roman" w:cs="Times New Roman"/>
          <w:lang w:eastAsia="ru-RU"/>
        </w:rPr>
      </w:pPr>
      <w:r w:rsidRPr="00322AE9">
        <w:rPr>
          <w:rFonts w:eastAsia="Times New Roman" w:cs="Times New Roman"/>
          <w:lang w:eastAsia="ru-RU"/>
        </w:rPr>
        <w:t>Площадь, кв.м.;</w:t>
      </w:r>
    </w:p>
    <w:p w14:paraId="0600861F" w14:textId="77777777" w:rsidR="00322AE9" w:rsidRPr="00322AE9" w:rsidRDefault="00322AE9" w:rsidP="00D24868">
      <w:pPr>
        <w:numPr>
          <w:ilvl w:val="0"/>
          <w:numId w:val="72"/>
        </w:numPr>
        <w:suppressAutoHyphens/>
        <w:adjustRightInd w:val="0"/>
        <w:contextualSpacing/>
        <w:textAlignment w:val="baseline"/>
        <w:rPr>
          <w:rFonts w:eastAsia="Times New Roman" w:cs="Times New Roman"/>
          <w:lang w:eastAsia="ru-RU"/>
        </w:rPr>
      </w:pPr>
      <w:r w:rsidRPr="00322AE9">
        <w:rPr>
          <w:rFonts w:eastAsia="Times New Roman" w:cs="Times New Roman"/>
          <w:lang w:eastAsia="ru-RU"/>
        </w:rPr>
        <w:t>Этажность, в том числе подземная;</w:t>
      </w:r>
    </w:p>
    <w:p w14:paraId="5D260D68" w14:textId="77777777" w:rsidR="00322AE9" w:rsidRPr="00322AE9" w:rsidRDefault="00322AE9" w:rsidP="00D24868">
      <w:pPr>
        <w:numPr>
          <w:ilvl w:val="0"/>
          <w:numId w:val="72"/>
        </w:numPr>
        <w:suppressAutoHyphens/>
        <w:adjustRightInd w:val="0"/>
        <w:contextualSpacing/>
        <w:textAlignment w:val="baseline"/>
        <w:rPr>
          <w:rFonts w:eastAsia="Times New Roman" w:cs="Times New Roman"/>
          <w:lang w:eastAsia="ru-RU"/>
        </w:rPr>
      </w:pPr>
      <w:r w:rsidRPr="00322AE9">
        <w:rPr>
          <w:rFonts w:eastAsia="Times New Roman" w:cs="Times New Roman"/>
          <w:lang w:eastAsia="ru-RU"/>
        </w:rPr>
        <w:t>Год постройки/ год ввода в эксплуатацию;</w:t>
      </w:r>
    </w:p>
    <w:p w14:paraId="17DD26D3" w14:textId="77777777" w:rsidR="00322AE9" w:rsidRPr="00322AE9" w:rsidRDefault="00322AE9" w:rsidP="00D24868">
      <w:pPr>
        <w:numPr>
          <w:ilvl w:val="0"/>
          <w:numId w:val="72"/>
        </w:numPr>
        <w:suppressAutoHyphens/>
        <w:adjustRightInd w:val="0"/>
        <w:contextualSpacing/>
        <w:textAlignment w:val="baseline"/>
        <w:rPr>
          <w:rFonts w:eastAsia="Times New Roman" w:cs="Times New Roman"/>
          <w:lang w:eastAsia="ru-RU"/>
        </w:rPr>
      </w:pPr>
      <w:r w:rsidRPr="00322AE9">
        <w:rPr>
          <w:rFonts w:eastAsia="Times New Roman" w:cs="Times New Roman"/>
          <w:lang w:eastAsia="ru-RU"/>
        </w:rPr>
        <w:t>Материал стен.</w:t>
      </w:r>
    </w:p>
    <w:p w14:paraId="1A27308A" w14:textId="77777777" w:rsidR="00322AE9" w:rsidRPr="00322AE9" w:rsidRDefault="00322AE9" w:rsidP="00827FEB">
      <w:pPr>
        <w:suppressAutoHyphens/>
        <w:adjustRightInd w:val="0"/>
        <w:ind w:firstLine="567"/>
        <w:textAlignment w:val="baseline"/>
        <w:rPr>
          <w:rFonts w:eastAsia="Times New Roman" w:cs="Times New Roman"/>
          <w:spacing w:val="-5"/>
          <w:szCs w:val="24"/>
        </w:rPr>
      </w:pPr>
      <w:r w:rsidRPr="00322AE9">
        <w:rPr>
          <w:rFonts w:eastAsia="Times New Roman" w:cs="Times New Roman"/>
          <w:spacing w:val="-5"/>
          <w:szCs w:val="24"/>
        </w:rPr>
        <w:t>На основании информации, имеющей в перечне, для Объектов оценки определяются следующий ценообразующие факторы:</w:t>
      </w:r>
    </w:p>
    <w:p w14:paraId="6C7DE756" w14:textId="77777777" w:rsidR="00322AE9" w:rsidRPr="00322AE9" w:rsidRDefault="00322AE9" w:rsidP="00D24868">
      <w:pPr>
        <w:numPr>
          <w:ilvl w:val="0"/>
          <w:numId w:val="73"/>
        </w:numPr>
        <w:suppressAutoHyphens/>
        <w:adjustRightInd w:val="0"/>
        <w:contextualSpacing/>
        <w:textAlignment w:val="baseline"/>
        <w:rPr>
          <w:rFonts w:eastAsia="Times New Roman" w:cs="Times New Roman"/>
          <w:lang w:eastAsia="ru-RU"/>
        </w:rPr>
      </w:pPr>
      <w:r w:rsidRPr="00322AE9">
        <w:rPr>
          <w:rFonts w:eastAsia="Times New Roman" w:cs="Times New Roman"/>
          <w:lang w:eastAsia="ru-RU"/>
        </w:rPr>
        <w:t>Класс конструктивной системы здания (КС);</w:t>
      </w:r>
    </w:p>
    <w:p w14:paraId="3520B9D7" w14:textId="77777777" w:rsidR="00322AE9" w:rsidRPr="00322AE9" w:rsidRDefault="00322AE9" w:rsidP="00D24868">
      <w:pPr>
        <w:numPr>
          <w:ilvl w:val="0"/>
          <w:numId w:val="73"/>
        </w:numPr>
        <w:suppressAutoHyphens/>
        <w:adjustRightInd w:val="0"/>
        <w:contextualSpacing/>
        <w:textAlignment w:val="baseline"/>
        <w:rPr>
          <w:rFonts w:eastAsia="Times New Roman" w:cs="Times New Roman"/>
          <w:lang w:eastAsia="ru-RU"/>
        </w:rPr>
      </w:pPr>
      <w:r w:rsidRPr="00322AE9">
        <w:rPr>
          <w:rFonts w:eastAsia="Times New Roman" w:cs="Times New Roman"/>
          <w:lang w:eastAsia="ru-RU"/>
        </w:rPr>
        <w:t>Класс качества здания (КК).</w:t>
      </w:r>
    </w:p>
    <w:p w14:paraId="438640A7" w14:textId="77777777" w:rsidR="00322AE9" w:rsidRPr="00322AE9" w:rsidRDefault="00322AE9" w:rsidP="00827FEB">
      <w:pPr>
        <w:suppressAutoHyphens/>
        <w:adjustRightInd w:val="0"/>
        <w:ind w:firstLine="567"/>
        <w:textAlignment w:val="baseline"/>
        <w:rPr>
          <w:rFonts w:eastAsia="Times New Roman" w:cs="Times New Roman"/>
          <w:spacing w:val="-5"/>
          <w:szCs w:val="24"/>
        </w:rPr>
      </w:pPr>
    </w:p>
    <w:p w14:paraId="106B0E74" w14:textId="77777777" w:rsidR="00322AE9" w:rsidRPr="00322AE9" w:rsidRDefault="00322AE9" w:rsidP="00827FEB">
      <w:pPr>
        <w:suppressAutoHyphens/>
        <w:adjustRightInd w:val="0"/>
        <w:ind w:firstLine="567"/>
        <w:textAlignment w:val="baseline"/>
        <w:rPr>
          <w:rFonts w:eastAsia="Times New Roman" w:cs="Times New Roman"/>
          <w:b/>
          <w:spacing w:val="-5"/>
          <w:szCs w:val="24"/>
        </w:rPr>
      </w:pPr>
      <w:bookmarkStart w:id="137" w:name="_Toc525310208"/>
      <w:r w:rsidRPr="00322AE9">
        <w:rPr>
          <w:rFonts w:eastAsia="Times New Roman" w:cs="Times New Roman"/>
          <w:b/>
          <w:spacing w:val="-5"/>
          <w:szCs w:val="24"/>
        </w:rPr>
        <w:t>Определение класса конструктивной системы</w:t>
      </w:r>
      <w:bookmarkEnd w:id="137"/>
    </w:p>
    <w:p w14:paraId="76162C10" w14:textId="77777777" w:rsidR="00322AE9" w:rsidRPr="00322AE9" w:rsidRDefault="00322AE9" w:rsidP="00322AE9">
      <w:pPr>
        <w:suppressAutoHyphens/>
        <w:adjustRightInd w:val="0"/>
        <w:ind w:firstLine="567"/>
        <w:textAlignment w:val="baseline"/>
        <w:rPr>
          <w:rFonts w:eastAsia="Times New Roman" w:cs="Times New Roman"/>
          <w:spacing w:val="-5"/>
          <w:szCs w:val="24"/>
        </w:rPr>
      </w:pPr>
      <w:r w:rsidRPr="00322AE9">
        <w:rPr>
          <w:rFonts w:eastAsia="Times New Roman" w:cs="Times New Roman"/>
          <w:spacing w:val="-5"/>
          <w:szCs w:val="24"/>
        </w:rPr>
        <w:t xml:space="preserve">Стоимость здания во многом зависит от использованных при его строительстве конструктивных решений. Для их описания используется понятие «класс конструктивной системы». Класс конструктивной системы определяется основным материалом несущих конструкций и основным материалом ограждающих конструкций (материалом наружных стен). </w:t>
      </w:r>
    </w:p>
    <w:p w14:paraId="4BA55D4B" w14:textId="77777777" w:rsidR="00322AE9" w:rsidRPr="00322AE9" w:rsidRDefault="00322AE9" w:rsidP="00322AE9">
      <w:pPr>
        <w:suppressAutoHyphens/>
        <w:adjustRightInd w:val="0"/>
        <w:ind w:firstLine="567"/>
        <w:textAlignment w:val="baseline"/>
        <w:rPr>
          <w:rFonts w:eastAsia="Times New Roman" w:cs="Times New Roman"/>
          <w:spacing w:val="-5"/>
          <w:szCs w:val="24"/>
        </w:rPr>
      </w:pPr>
      <w:r w:rsidRPr="00322AE9">
        <w:rPr>
          <w:rFonts w:eastAsia="Times New Roman" w:cs="Times New Roman"/>
          <w:spacing w:val="-5"/>
          <w:szCs w:val="24"/>
        </w:rPr>
        <w:t>Для определения класса конструктивной системы здания в Перечне присутствует только один показатель – материал стен.</w:t>
      </w:r>
    </w:p>
    <w:p w14:paraId="21F8ED46" w14:textId="77777777" w:rsidR="00322AE9" w:rsidRPr="00322AE9" w:rsidRDefault="00322AE9" w:rsidP="00322AE9">
      <w:pPr>
        <w:suppressAutoHyphens/>
        <w:adjustRightInd w:val="0"/>
        <w:ind w:firstLine="567"/>
        <w:textAlignment w:val="baseline"/>
        <w:rPr>
          <w:rFonts w:eastAsia="Times New Roman" w:cs="Times New Roman"/>
          <w:spacing w:val="-5"/>
          <w:szCs w:val="24"/>
        </w:rPr>
      </w:pPr>
      <w:r w:rsidRPr="00322AE9">
        <w:rPr>
          <w:rFonts w:eastAsia="Times New Roman" w:cs="Times New Roman"/>
          <w:spacing w:val="-5"/>
          <w:szCs w:val="24"/>
        </w:rPr>
        <w:t xml:space="preserve">Для расчета кадастровой стоимости Объектов оценки, работник ГБУ РС(Я) «ЦГКО» определял класс конструктивной системы Объектов оценки в соответствии с Приложением №4 к Методическим указаниям. </w:t>
      </w:r>
    </w:p>
    <w:p w14:paraId="65B366E7" w14:textId="77777777" w:rsidR="00322AE9" w:rsidRPr="00322AE9" w:rsidRDefault="00322AE9" w:rsidP="00322AE9">
      <w:pPr>
        <w:suppressAutoHyphens/>
        <w:adjustRightInd w:val="0"/>
        <w:ind w:firstLine="567"/>
        <w:textAlignment w:val="baseline"/>
        <w:rPr>
          <w:rFonts w:eastAsia="Times New Roman" w:cs="Times New Roman"/>
          <w:spacing w:val="-5"/>
          <w:szCs w:val="24"/>
        </w:rPr>
      </w:pPr>
    </w:p>
    <w:p w14:paraId="2E7F88E8" w14:textId="13B22F0D" w:rsidR="00322AE9" w:rsidRPr="00322AE9" w:rsidRDefault="00322AE9" w:rsidP="00763AD2">
      <w:pPr>
        <w:pStyle w:val="afffffff0"/>
      </w:pPr>
      <w:bookmarkStart w:id="138" w:name="_Toc514936719"/>
      <w:r w:rsidRPr="00322AE9">
        <w:t xml:space="preserve">Таблица </w:t>
      </w:r>
      <w:r w:rsidR="00A90944">
        <w:fldChar w:fldCharType="begin"/>
      </w:r>
      <w:r w:rsidR="00A90944">
        <w:instrText xml:space="preserve"> SEQ Таблица \* ARABIC </w:instrText>
      </w:r>
      <w:r w:rsidR="00A90944">
        <w:fldChar w:fldCharType="separate"/>
      </w:r>
      <w:r w:rsidR="00FD2769">
        <w:rPr>
          <w:noProof/>
        </w:rPr>
        <w:t>71</w:t>
      </w:r>
      <w:r w:rsidR="00A90944">
        <w:rPr>
          <w:noProof/>
        </w:rPr>
        <w:fldChar w:fldCharType="end"/>
      </w:r>
      <w:r w:rsidRPr="00322AE9">
        <w:rPr>
          <w:noProof/>
        </w:rPr>
        <w:t xml:space="preserve"> </w:t>
      </w:r>
      <w:r w:rsidRPr="00322AE9">
        <w:t>Перечень наименований материалов стен, соответствие материалов стен классам конструктивных систем и группам капитальности</w:t>
      </w:r>
      <w:bookmarkEnd w:id="138"/>
    </w:p>
    <w:tbl>
      <w:tblPr>
        <w:tblW w:w="5003" w:type="pct"/>
        <w:jc w:val="center"/>
        <w:tblLayout w:type="fixed"/>
        <w:tblLook w:val="04A0" w:firstRow="1" w:lastRow="0" w:firstColumn="1" w:lastColumn="0" w:noHBand="0" w:noVBand="1"/>
      </w:tblPr>
      <w:tblGrid>
        <w:gridCol w:w="2830"/>
        <w:gridCol w:w="4252"/>
        <w:gridCol w:w="2268"/>
      </w:tblGrid>
      <w:tr w:rsidR="00322AE9" w:rsidRPr="00322AE9" w14:paraId="44E7C573" w14:textId="77777777" w:rsidTr="00BA3F56">
        <w:trPr>
          <w:trHeight w:val="20"/>
          <w:tblHeader/>
          <w:jc w:val="center"/>
        </w:trPr>
        <w:tc>
          <w:tcPr>
            <w:tcW w:w="1513" w:type="pct"/>
            <w:tcBorders>
              <w:top w:val="single" w:sz="4" w:space="0" w:color="auto"/>
              <w:left w:val="single" w:sz="4" w:space="0" w:color="auto"/>
              <w:bottom w:val="single" w:sz="4" w:space="0" w:color="auto"/>
              <w:right w:val="single" w:sz="4" w:space="0" w:color="auto"/>
            </w:tcBorders>
            <w:vAlign w:val="center"/>
          </w:tcPr>
          <w:p w14:paraId="6DB3EFB7" w14:textId="77777777" w:rsidR="00322AE9" w:rsidRPr="00322AE9" w:rsidRDefault="00322AE9" w:rsidP="00827FEB">
            <w:pPr>
              <w:tabs>
                <w:tab w:val="left" w:pos="1200"/>
                <w:tab w:val="right" w:leader="dot" w:pos="9344"/>
              </w:tabs>
              <w:suppressAutoHyphens/>
              <w:adjustRightInd w:val="0"/>
              <w:ind w:firstLine="0"/>
              <w:jc w:val="center"/>
              <w:textAlignment w:val="baseline"/>
              <w:rPr>
                <w:rFonts w:cs="Times New Roman"/>
                <w:b/>
                <w:color w:val="000000"/>
                <w:spacing w:val="-5"/>
                <w:sz w:val="20"/>
                <w:szCs w:val="20"/>
                <w:lang w:eastAsia="ru-RU"/>
              </w:rPr>
            </w:pPr>
            <w:r w:rsidRPr="00322AE9">
              <w:rPr>
                <w:rFonts w:cs="Times New Roman"/>
                <w:b/>
                <w:color w:val="000000"/>
                <w:spacing w:val="-5"/>
                <w:sz w:val="20"/>
                <w:szCs w:val="20"/>
                <w:lang w:eastAsia="ru-RU"/>
              </w:rPr>
              <w:t>Код материала стен в описании Объектов оценки</w:t>
            </w:r>
          </w:p>
        </w:tc>
        <w:tc>
          <w:tcPr>
            <w:tcW w:w="227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B002B9B" w14:textId="77777777" w:rsidR="00322AE9" w:rsidRPr="00322AE9" w:rsidRDefault="00322AE9" w:rsidP="00827FEB">
            <w:pPr>
              <w:tabs>
                <w:tab w:val="left" w:pos="1200"/>
                <w:tab w:val="right" w:leader="dot" w:pos="9344"/>
              </w:tabs>
              <w:suppressAutoHyphens/>
              <w:adjustRightInd w:val="0"/>
              <w:ind w:firstLine="0"/>
              <w:jc w:val="center"/>
              <w:textAlignment w:val="baseline"/>
              <w:rPr>
                <w:rFonts w:cs="Times New Roman"/>
                <w:b/>
                <w:color w:val="000000"/>
                <w:spacing w:val="-5"/>
                <w:sz w:val="20"/>
                <w:szCs w:val="20"/>
                <w:lang w:eastAsia="ru-RU"/>
              </w:rPr>
            </w:pPr>
            <w:r w:rsidRPr="00322AE9">
              <w:rPr>
                <w:rFonts w:cs="Times New Roman"/>
                <w:b/>
                <w:color w:val="000000"/>
                <w:spacing w:val="-5"/>
                <w:sz w:val="20"/>
                <w:szCs w:val="20"/>
                <w:lang w:eastAsia="ru-RU"/>
              </w:rPr>
              <w:t>Наименование материала стен</w:t>
            </w:r>
          </w:p>
        </w:tc>
        <w:tc>
          <w:tcPr>
            <w:tcW w:w="1213" w:type="pct"/>
            <w:tcBorders>
              <w:top w:val="single" w:sz="4" w:space="0" w:color="auto"/>
              <w:left w:val="nil"/>
              <w:bottom w:val="single" w:sz="4" w:space="0" w:color="auto"/>
              <w:right w:val="single" w:sz="4" w:space="0" w:color="auto"/>
            </w:tcBorders>
            <w:shd w:val="clear" w:color="auto" w:fill="auto"/>
            <w:vAlign w:val="center"/>
            <w:hideMark/>
          </w:tcPr>
          <w:p w14:paraId="409590FB" w14:textId="77777777" w:rsidR="00322AE9" w:rsidRPr="00322AE9" w:rsidRDefault="00322AE9" w:rsidP="00827FEB">
            <w:pPr>
              <w:tabs>
                <w:tab w:val="left" w:pos="1200"/>
                <w:tab w:val="right" w:leader="dot" w:pos="9344"/>
              </w:tabs>
              <w:suppressAutoHyphens/>
              <w:adjustRightInd w:val="0"/>
              <w:ind w:firstLine="0"/>
              <w:jc w:val="center"/>
              <w:textAlignment w:val="baseline"/>
              <w:rPr>
                <w:rFonts w:cs="Times New Roman"/>
                <w:b/>
                <w:color w:val="000000"/>
                <w:spacing w:val="-5"/>
                <w:sz w:val="20"/>
                <w:szCs w:val="20"/>
                <w:lang w:eastAsia="ru-RU"/>
              </w:rPr>
            </w:pPr>
            <w:r w:rsidRPr="00322AE9">
              <w:rPr>
                <w:rFonts w:cs="Times New Roman"/>
                <w:b/>
                <w:color w:val="000000"/>
                <w:spacing w:val="-5"/>
                <w:sz w:val="20"/>
                <w:szCs w:val="20"/>
                <w:lang w:eastAsia="ru-RU"/>
              </w:rPr>
              <w:t>Класс конструктивной системы</w:t>
            </w:r>
          </w:p>
        </w:tc>
      </w:tr>
      <w:tr w:rsidR="00322AE9" w:rsidRPr="00322AE9" w14:paraId="0B2F89DA" w14:textId="77777777" w:rsidTr="00BA3F56">
        <w:trPr>
          <w:trHeight w:val="20"/>
          <w:jc w:val="center"/>
        </w:trPr>
        <w:tc>
          <w:tcPr>
            <w:tcW w:w="1513" w:type="pct"/>
            <w:tcBorders>
              <w:top w:val="nil"/>
              <w:left w:val="single" w:sz="4" w:space="0" w:color="auto"/>
              <w:bottom w:val="single" w:sz="4" w:space="0" w:color="auto"/>
              <w:right w:val="single" w:sz="4" w:space="0" w:color="auto"/>
            </w:tcBorders>
            <w:vAlign w:val="center"/>
          </w:tcPr>
          <w:p w14:paraId="0A8EA592" w14:textId="77777777" w:rsidR="00322AE9" w:rsidRPr="00322AE9" w:rsidRDefault="00322AE9" w:rsidP="00827FEB">
            <w:pPr>
              <w:suppressAutoHyphens/>
              <w:adjustRightInd w:val="0"/>
              <w:ind w:firstLine="0"/>
              <w:jc w:val="center"/>
              <w:textAlignment w:val="baseline"/>
              <w:rPr>
                <w:rFonts w:eastAsia="Times New Roman" w:cs="Times New Roman"/>
                <w:color w:val="000000"/>
                <w:spacing w:val="-5"/>
                <w:sz w:val="20"/>
                <w:szCs w:val="24"/>
                <w:lang w:eastAsia="ru-RU"/>
              </w:rPr>
            </w:pPr>
            <w:r w:rsidRPr="00322AE9">
              <w:rPr>
                <w:rFonts w:eastAsia="Times New Roman" w:cs="Times New Roman"/>
                <w:color w:val="000000"/>
                <w:spacing w:val="-5"/>
                <w:sz w:val="20"/>
                <w:szCs w:val="24"/>
                <w:lang w:eastAsia="ru-RU"/>
              </w:rPr>
              <w:t>61001000000</w:t>
            </w:r>
          </w:p>
        </w:tc>
        <w:tc>
          <w:tcPr>
            <w:tcW w:w="2274" w:type="pct"/>
            <w:tcBorders>
              <w:top w:val="nil"/>
              <w:left w:val="single" w:sz="4" w:space="0" w:color="auto"/>
              <w:bottom w:val="single" w:sz="4" w:space="0" w:color="auto"/>
              <w:right w:val="single" w:sz="4" w:space="0" w:color="auto"/>
            </w:tcBorders>
            <w:shd w:val="clear" w:color="auto" w:fill="auto"/>
            <w:vAlign w:val="center"/>
            <w:hideMark/>
          </w:tcPr>
          <w:p w14:paraId="1D728EE2" w14:textId="77777777" w:rsidR="00322AE9" w:rsidRPr="00322AE9" w:rsidRDefault="00322AE9" w:rsidP="003C59C1">
            <w:pPr>
              <w:suppressAutoHyphens/>
              <w:adjustRightInd w:val="0"/>
              <w:ind w:right="-117" w:firstLine="0"/>
              <w:jc w:val="left"/>
              <w:textAlignment w:val="baseline"/>
              <w:rPr>
                <w:rFonts w:eastAsia="Times New Roman" w:cs="Times New Roman"/>
                <w:spacing w:val="-5"/>
                <w:sz w:val="20"/>
                <w:szCs w:val="24"/>
              </w:rPr>
            </w:pPr>
            <w:r w:rsidRPr="00322AE9">
              <w:rPr>
                <w:rFonts w:eastAsia="Times New Roman" w:cs="Times New Roman"/>
                <w:spacing w:val="-5"/>
                <w:sz w:val="20"/>
                <w:szCs w:val="24"/>
              </w:rPr>
              <w:t>Стены</w:t>
            </w:r>
          </w:p>
        </w:tc>
        <w:tc>
          <w:tcPr>
            <w:tcW w:w="1213" w:type="pct"/>
            <w:tcBorders>
              <w:top w:val="nil"/>
              <w:left w:val="nil"/>
              <w:bottom w:val="single" w:sz="4" w:space="0" w:color="auto"/>
              <w:right w:val="single" w:sz="4" w:space="0" w:color="auto"/>
            </w:tcBorders>
            <w:shd w:val="clear" w:color="auto" w:fill="auto"/>
            <w:vAlign w:val="center"/>
            <w:hideMark/>
          </w:tcPr>
          <w:p w14:paraId="4EE03A75" w14:textId="77777777" w:rsidR="00322AE9" w:rsidRPr="00322AE9" w:rsidRDefault="00322AE9" w:rsidP="00827FEB">
            <w:pPr>
              <w:suppressAutoHyphens/>
              <w:adjustRightInd w:val="0"/>
              <w:ind w:firstLine="0"/>
              <w:jc w:val="center"/>
              <w:textAlignment w:val="baseline"/>
              <w:rPr>
                <w:rFonts w:eastAsia="Times New Roman" w:cs="Times New Roman"/>
                <w:color w:val="000000"/>
                <w:spacing w:val="-5"/>
                <w:sz w:val="20"/>
                <w:szCs w:val="24"/>
                <w:lang w:eastAsia="ru-RU"/>
              </w:rPr>
            </w:pPr>
            <w:r w:rsidRPr="00322AE9">
              <w:rPr>
                <w:rFonts w:eastAsia="Times New Roman" w:cs="Times New Roman"/>
                <w:color w:val="000000"/>
                <w:spacing w:val="-5"/>
                <w:sz w:val="20"/>
                <w:szCs w:val="24"/>
                <w:lang w:eastAsia="ru-RU"/>
              </w:rPr>
              <w:t>-</w:t>
            </w:r>
          </w:p>
        </w:tc>
      </w:tr>
      <w:tr w:rsidR="00322AE9" w:rsidRPr="00322AE9" w14:paraId="3F332572" w14:textId="77777777" w:rsidTr="00BA3F56">
        <w:trPr>
          <w:trHeight w:val="20"/>
          <w:jc w:val="center"/>
        </w:trPr>
        <w:tc>
          <w:tcPr>
            <w:tcW w:w="1513" w:type="pct"/>
            <w:tcBorders>
              <w:top w:val="nil"/>
              <w:left w:val="single" w:sz="4" w:space="0" w:color="auto"/>
              <w:bottom w:val="single" w:sz="4" w:space="0" w:color="auto"/>
              <w:right w:val="single" w:sz="4" w:space="0" w:color="auto"/>
            </w:tcBorders>
            <w:vAlign w:val="center"/>
          </w:tcPr>
          <w:p w14:paraId="39C82086" w14:textId="77777777" w:rsidR="00322AE9" w:rsidRPr="00322AE9" w:rsidRDefault="00322AE9" w:rsidP="00827FEB">
            <w:pPr>
              <w:suppressAutoHyphens/>
              <w:adjustRightInd w:val="0"/>
              <w:ind w:firstLine="0"/>
              <w:jc w:val="center"/>
              <w:textAlignment w:val="baseline"/>
              <w:rPr>
                <w:rFonts w:eastAsia="Times New Roman" w:cs="Times New Roman"/>
                <w:color w:val="000000"/>
                <w:spacing w:val="-5"/>
                <w:sz w:val="20"/>
                <w:szCs w:val="24"/>
                <w:lang w:eastAsia="ru-RU"/>
              </w:rPr>
            </w:pPr>
            <w:r w:rsidRPr="00322AE9">
              <w:rPr>
                <w:rFonts w:eastAsia="Times New Roman" w:cs="Times New Roman"/>
                <w:color w:val="000000"/>
                <w:spacing w:val="-5"/>
                <w:sz w:val="20"/>
                <w:szCs w:val="24"/>
                <w:lang w:eastAsia="ru-RU"/>
              </w:rPr>
              <w:t>61001001000</w:t>
            </w:r>
          </w:p>
        </w:tc>
        <w:tc>
          <w:tcPr>
            <w:tcW w:w="2274" w:type="pct"/>
            <w:tcBorders>
              <w:top w:val="nil"/>
              <w:left w:val="single" w:sz="4" w:space="0" w:color="auto"/>
              <w:bottom w:val="single" w:sz="4" w:space="0" w:color="auto"/>
              <w:right w:val="single" w:sz="4" w:space="0" w:color="auto"/>
            </w:tcBorders>
            <w:shd w:val="clear" w:color="auto" w:fill="auto"/>
            <w:vAlign w:val="center"/>
            <w:hideMark/>
          </w:tcPr>
          <w:p w14:paraId="4D949496" w14:textId="77777777" w:rsidR="00322AE9" w:rsidRPr="00322AE9" w:rsidRDefault="00322AE9" w:rsidP="003C59C1">
            <w:pPr>
              <w:suppressAutoHyphens/>
              <w:adjustRightInd w:val="0"/>
              <w:ind w:right="-117" w:firstLine="0"/>
              <w:jc w:val="left"/>
              <w:textAlignment w:val="baseline"/>
              <w:rPr>
                <w:rFonts w:eastAsia="Times New Roman" w:cs="Times New Roman"/>
                <w:spacing w:val="-5"/>
                <w:sz w:val="20"/>
                <w:szCs w:val="24"/>
              </w:rPr>
            </w:pPr>
            <w:r w:rsidRPr="00322AE9">
              <w:rPr>
                <w:rFonts w:eastAsia="Times New Roman" w:cs="Times New Roman"/>
                <w:spacing w:val="-5"/>
                <w:sz w:val="20"/>
                <w:szCs w:val="24"/>
              </w:rPr>
              <w:t>Каменные</w:t>
            </w:r>
          </w:p>
        </w:tc>
        <w:tc>
          <w:tcPr>
            <w:tcW w:w="1213" w:type="pct"/>
            <w:tcBorders>
              <w:top w:val="nil"/>
              <w:left w:val="nil"/>
              <w:bottom w:val="single" w:sz="4" w:space="0" w:color="auto"/>
              <w:right w:val="single" w:sz="4" w:space="0" w:color="auto"/>
            </w:tcBorders>
            <w:shd w:val="clear" w:color="auto" w:fill="auto"/>
            <w:vAlign w:val="center"/>
            <w:hideMark/>
          </w:tcPr>
          <w:p w14:paraId="58152B83" w14:textId="77777777" w:rsidR="00322AE9" w:rsidRPr="00322AE9" w:rsidRDefault="00322AE9" w:rsidP="00827FEB">
            <w:pPr>
              <w:suppressAutoHyphens/>
              <w:adjustRightInd w:val="0"/>
              <w:ind w:firstLine="0"/>
              <w:jc w:val="center"/>
              <w:textAlignment w:val="baseline"/>
              <w:rPr>
                <w:rFonts w:eastAsia="Times New Roman" w:cs="Times New Roman"/>
                <w:color w:val="000000"/>
                <w:spacing w:val="-5"/>
                <w:sz w:val="20"/>
                <w:szCs w:val="24"/>
                <w:lang w:eastAsia="ru-RU"/>
              </w:rPr>
            </w:pPr>
            <w:r w:rsidRPr="00322AE9">
              <w:rPr>
                <w:rFonts w:eastAsia="Times New Roman" w:cs="Times New Roman"/>
                <w:color w:val="000000"/>
                <w:spacing w:val="-5"/>
                <w:sz w:val="20"/>
                <w:szCs w:val="24"/>
                <w:lang w:eastAsia="ru-RU"/>
              </w:rPr>
              <w:t>КС-1</w:t>
            </w:r>
          </w:p>
        </w:tc>
      </w:tr>
      <w:tr w:rsidR="00322AE9" w:rsidRPr="00322AE9" w14:paraId="6BCACFBE" w14:textId="77777777" w:rsidTr="00BA3F56">
        <w:trPr>
          <w:trHeight w:val="20"/>
          <w:jc w:val="center"/>
        </w:trPr>
        <w:tc>
          <w:tcPr>
            <w:tcW w:w="1513" w:type="pct"/>
            <w:tcBorders>
              <w:top w:val="nil"/>
              <w:left w:val="single" w:sz="4" w:space="0" w:color="auto"/>
              <w:bottom w:val="single" w:sz="4" w:space="0" w:color="auto"/>
              <w:right w:val="single" w:sz="4" w:space="0" w:color="auto"/>
            </w:tcBorders>
            <w:vAlign w:val="center"/>
          </w:tcPr>
          <w:p w14:paraId="28304CA0" w14:textId="77777777" w:rsidR="00322AE9" w:rsidRPr="00322AE9" w:rsidRDefault="00322AE9" w:rsidP="00827FEB">
            <w:pPr>
              <w:suppressAutoHyphens/>
              <w:adjustRightInd w:val="0"/>
              <w:ind w:firstLine="0"/>
              <w:jc w:val="center"/>
              <w:textAlignment w:val="baseline"/>
              <w:rPr>
                <w:rFonts w:eastAsia="Times New Roman" w:cs="Times New Roman"/>
                <w:color w:val="000000"/>
                <w:spacing w:val="-5"/>
                <w:sz w:val="20"/>
                <w:szCs w:val="24"/>
                <w:lang w:eastAsia="ru-RU"/>
              </w:rPr>
            </w:pPr>
            <w:r w:rsidRPr="00322AE9">
              <w:rPr>
                <w:rFonts w:eastAsia="Times New Roman" w:cs="Times New Roman"/>
                <w:color w:val="000000"/>
                <w:spacing w:val="-5"/>
                <w:sz w:val="20"/>
                <w:szCs w:val="24"/>
                <w:lang w:eastAsia="ru-RU"/>
              </w:rPr>
              <w:t>61001001001</w:t>
            </w:r>
          </w:p>
        </w:tc>
        <w:tc>
          <w:tcPr>
            <w:tcW w:w="2274" w:type="pct"/>
            <w:tcBorders>
              <w:top w:val="nil"/>
              <w:left w:val="single" w:sz="4" w:space="0" w:color="auto"/>
              <w:bottom w:val="single" w:sz="4" w:space="0" w:color="auto"/>
              <w:right w:val="single" w:sz="4" w:space="0" w:color="auto"/>
            </w:tcBorders>
            <w:shd w:val="clear" w:color="auto" w:fill="auto"/>
            <w:vAlign w:val="center"/>
            <w:hideMark/>
          </w:tcPr>
          <w:p w14:paraId="5FF8512B" w14:textId="77777777" w:rsidR="00322AE9" w:rsidRPr="00322AE9" w:rsidRDefault="00322AE9" w:rsidP="003C59C1">
            <w:pPr>
              <w:suppressAutoHyphens/>
              <w:adjustRightInd w:val="0"/>
              <w:ind w:right="-117" w:firstLine="0"/>
              <w:jc w:val="left"/>
              <w:textAlignment w:val="baseline"/>
              <w:rPr>
                <w:rFonts w:eastAsia="Times New Roman" w:cs="Times New Roman"/>
                <w:spacing w:val="-5"/>
                <w:sz w:val="20"/>
                <w:szCs w:val="24"/>
              </w:rPr>
            </w:pPr>
            <w:r w:rsidRPr="00322AE9">
              <w:rPr>
                <w:rFonts w:eastAsia="Times New Roman" w:cs="Times New Roman"/>
                <w:spacing w:val="-5"/>
                <w:sz w:val="20"/>
                <w:szCs w:val="24"/>
              </w:rPr>
              <w:t>Кирпичные</w:t>
            </w:r>
          </w:p>
        </w:tc>
        <w:tc>
          <w:tcPr>
            <w:tcW w:w="1213" w:type="pct"/>
            <w:tcBorders>
              <w:top w:val="nil"/>
              <w:left w:val="nil"/>
              <w:bottom w:val="single" w:sz="4" w:space="0" w:color="auto"/>
              <w:right w:val="single" w:sz="4" w:space="0" w:color="auto"/>
            </w:tcBorders>
            <w:shd w:val="clear" w:color="auto" w:fill="auto"/>
            <w:vAlign w:val="center"/>
            <w:hideMark/>
          </w:tcPr>
          <w:p w14:paraId="544EBD8E" w14:textId="77777777" w:rsidR="00322AE9" w:rsidRPr="00322AE9" w:rsidRDefault="00322AE9" w:rsidP="00827FEB">
            <w:pPr>
              <w:suppressAutoHyphens/>
              <w:adjustRightInd w:val="0"/>
              <w:ind w:firstLine="0"/>
              <w:jc w:val="center"/>
              <w:textAlignment w:val="baseline"/>
              <w:rPr>
                <w:rFonts w:eastAsia="Times New Roman" w:cs="Times New Roman"/>
                <w:color w:val="000000"/>
                <w:spacing w:val="-5"/>
                <w:sz w:val="20"/>
                <w:szCs w:val="24"/>
                <w:lang w:eastAsia="ru-RU"/>
              </w:rPr>
            </w:pPr>
            <w:r w:rsidRPr="00322AE9">
              <w:rPr>
                <w:rFonts w:eastAsia="Times New Roman" w:cs="Times New Roman"/>
                <w:color w:val="000000"/>
                <w:spacing w:val="-5"/>
                <w:sz w:val="20"/>
                <w:szCs w:val="24"/>
                <w:lang w:eastAsia="ru-RU"/>
              </w:rPr>
              <w:t>КС-1</w:t>
            </w:r>
          </w:p>
        </w:tc>
      </w:tr>
      <w:tr w:rsidR="00322AE9" w:rsidRPr="00322AE9" w14:paraId="395791C7" w14:textId="77777777" w:rsidTr="00BA3F56">
        <w:trPr>
          <w:trHeight w:val="20"/>
          <w:jc w:val="center"/>
        </w:trPr>
        <w:tc>
          <w:tcPr>
            <w:tcW w:w="1513" w:type="pct"/>
            <w:tcBorders>
              <w:top w:val="nil"/>
              <w:left w:val="single" w:sz="4" w:space="0" w:color="auto"/>
              <w:bottom w:val="single" w:sz="4" w:space="0" w:color="auto"/>
              <w:right w:val="single" w:sz="4" w:space="0" w:color="auto"/>
            </w:tcBorders>
            <w:vAlign w:val="center"/>
          </w:tcPr>
          <w:p w14:paraId="5E90A016" w14:textId="77777777" w:rsidR="00322AE9" w:rsidRPr="00322AE9" w:rsidRDefault="00322AE9" w:rsidP="00827FEB">
            <w:pPr>
              <w:suppressAutoHyphens/>
              <w:adjustRightInd w:val="0"/>
              <w:ind w:firstLine="0"/>
              <w:jc w:val="center"/>
              <w:textAlignment w:val="baseline"/>
              <w:rPr>
                <w:rFonts w:eastAsia="Times New Roman" w:cs="Times New Roman"/>
                <w:color w:val="000000"/>
                <w:spacing w:val="-5"/>
                <w:sz w:val="20"/>
                <w:szCs w:val="24"/>
                <w:lang w:eastAsia="ru-RU"/>
              </w:rPr>
            </w:pPr>
            <w:r w:rsidRPr="00322AE9">
              <w:rPr>
                <w:rFonts w:eastAsia="Times New Roman" w:cs="Times New Roman"/>
                <w:color w:val="000000"/>
                <w:spacing w:val="-5"/>
                <w:sz w:val="20"/>
                <w:szCs w:val="24"/>
                <w:lang w:eastAsia="ru-RU"/>
              </w:rPr>
              <w:t>61001001002</w:t>
            </w:r>
          </w:p>
        </w:tc>
        <w:tc>
          <w:tcPr>
            <w:tcW w:w="2274" w:type="pct"/>
            <w:tcBorders>
              <w:top w:val="nil"/>
              <w:left w:val="single" w:sz="4" w:space="0" w:color="auto"/>
              <w:bottom w:val="single" w:sz="4" w:space="0" w:color="auto"/>
              <w:right w:val="single" w:sz="4" w:space="0" w:color="auto"/>
            </w:tcBorders>
            <w:shd w:val="clear" w:color="auto" w:fill="auto"/>
            <w:vAlign w:val="center"/>
            <w:hideMark/>
          </w:tcPr>
          <w:p w14:paraId="6D5A53C4" w14:textId="77777777" w:rsidR="00322AE9" w:rsidRPr="00322AE9" w:rsidRDefault="00322AE9" w:rsidP="003C59C1">
            <w:pPr>
              <w:suppressAutoHyphens/>
              <w:adjustRightInd w:val="0"/>
              <w:ind w:right="-117" w:firstLine="0"/>
              <w:jc w:val="left"/>
              <w:textAlignment w:val="baseline"/>
              <w:rPr>
                <w:rFonts w:eastAsia="Times New Roman" w:cs="Times New Roman"/>
                <w:spacing w:val="-5"/>
                <w:sz w:val="20"/>
                <w:szCs w:val="24"/>
              </w:rPr>
            </w:pPr>
            <w:r w:rsidRPr="00322AE9">
              <w:rPr>
                <w:rFonts w:eastAsia="Times New Roman" w:cs="Times New Roman"/>
                <w:spacing w:val="-5"/>
                <w:sz w:val="20"/>
                <w:szCs w:val="24"/>
              </w:rPr>
              <w:t>Кирпичные облегченные</w:t>
            </w:r>
          </w:p>
        </w:tc>
        <w:tc>
          <w:tcPr>
            <w:tcW w:w="1213" w:type="pct"/>
            <w:tcBorders>
              <w:top w:val="nil"/>
              <w:left w:val="nil"/>
              <w:bottom w:val="single" w:sz="4" w:space="0" w:color="auto"/>
              <w:right w:val="single" w:sz="4" w:space="0" w:color="auto"/>
            </w:tcBorders>
            <w:shd w:val="clear" w:color="auto" w:fill="auto"/>
            <w:vAlign w:val="center"/>
            <w:hideMark/>
          </w:tcPr>
          <w:p w14:paraId="3D4C75FF" w14:textId="77777777" w:rsidR="00322AE9" w:rsidRPr="00322AE9" w:rsidRDefault="00322AE9" w:rsidP="00827FEB">
            <w:pPr>
              <w:suppressAutoHyphens/>
              <w:adjustRightInd w:val="0"/>
              <w:ind w:firstLine="0"/>
              <w:jc w:val="center"/>
              <w:textAlignment w:val="baseline"/>
              <w:rPr>
                <w:rFonts w:eastAsia="Times New Roman" w:cs="Times New Roman"/>
                <w:color w:val="000000"/>
                <w:spacing w:val="-5"/>
                <w:sz w:val="20"/>
                <w:szCs w:val="24"/>
                <w:highlight w:val="red"/>
                <w:lang w:eastAsia="ru-RU"/>
              </w:rPr>
            </w:pPr>
            <w:r w:rsidRPr="00322AE9">
              <w:rPr>
                <w:rFonts w:eastAsia="Times New Roman" w:cs="Times New Roman"/>
                <w:color w:val="000000"/>
                <w:spacing w:val="-5"/>
                <w:sz w:val="20"/>
                <w:szCs w:val="24"/>
                <w:lang w:eastAsia="ru-RU"/>
              </w:rPr>
              <w:t>КС-1</w:t>
            </w:r>
          </w:p>
        </w:tc>
      </w:tr>
      <w:tr w:rsidR="00322AE9" w:rsidRPr="00322AE9" w14:paraId="232066A6" w14:textId="77777777" w:rsidTr="00BA3F56">
        <w:trPr>
          <w:trHeight w:val="20"/>
          <w:jc w:val="center"/>
        </w:trPr>
        <w:tc>
          <w:tcPr>
            <w:tcW w:w="1513" w:type="pct"/>
            <w:tcBorders>
              <w:top w:val="nil"/>
              <w:left w:val="single" w:sz="4" w:space="0" w:color="auto"/>
              <w:bottom w:val="single" w:sz="4" w:space="0" w:color="auto"/>
              <w:right w:val="single" w:sz="4" w:space="0" w:color="auto"/>
            </w:tcBorders>
            <w:vAlign w:val="center"/>
          </w:tcPr>
          <w:p w14:paraId="6F804679" w14:textId="77777777" w:rsidR="00322AE9" w:rsidRPr="00322AE9" w:rsidRDefault="00322AE9" w:rsidP="00827FEB">
            <w:pPr>
              <w:suppressAutoHyphens/>
              <w:adjustRightInd w:val="0"/>
              <w:ind w:firstLine="0"/>
              <w:jc w:val="center"/>
              <w:textAlignment w:val="baseline"/>
              <w:rPr>
                <w:rFonts w:eastAsia="Times New Roman" w:cs="Times New Roman"/>
                <w:color w:val="000000"/>
                <w:spacing w:val="-5"/>
                <w:sz w:val="20"/>
                <w:szCs w:val="24"/>
                <w:lang w:eastAsia="ru-RU"/>
              </w:rPr>
            </w:pPr>
            <w:r w:rsidRPr="00322AE9">
              <w:rPr>
                <w:rFonts w:eastAsia="Times New Roman" w:cs="Times New Roman"/>
                <w:color w:val="000000"/>
                <w:spacing w:val="-5"/>
                <w:sz w:val="20"/>
                <w:szCs w:val="24"/>
                <w:lang w:eastAsia="ru-RU"/>
              </w:rPr>
              <w:t>61001001003</w:t>
            </w:r>
          </w:p>
        </w:tc>
        <w:tc>
          <w:tcPr>
            <w:tcW w:w="2274" w:type="pct"/>
            <w:tcBorders>
              <w:top w:val="nil"/>
              <w:left w:val="single" w:sz="4" w:space="0" w:color="auto"/>
              <w:bottom w:val="single" w:sz="4" w:space="0" w:color="auto"/>
              <w:right w:val="single" w:sz="4" w:space="0" w:color="auto"/>
            </w:tcBorders>
            <w:shd w:val="clear" w:color="auto" w:fill="auto"/>
            <w:vAlign w:val="center"/>
            <w:hideMark/>
          </w:tcPr>
          <w:p w14:paraId="271C7F3A" w14:textId="77777777" w:rsidR="00322AE9" w:rsidRPr="00322AE9" w:rsidRDefault="00322AE9" w:rsidP="003C59C1">
            <w:pPr>
              <w:suppressAutoHyphens/>
              <w:adjustRightInd w:val="0"/>
              <w:ind w:right="-117" w:firstLine="0"/>
              <w:jc w:val="left"/>
              <w:textAlignment w:val="baseline"/>
              <w:rPr>
                <w:rFonts w:eastAsia="Times New Roman" w:cs="Times New Roman"/>
                <w:spacing w:val="-5"/>
                <w:sz w:val="20"/>
                <w:szCs w:val="24"/>
              </w:rPr>
            </w:pPr>
            <w:r w:rsidRPr="00322AE9">
              <w:rPr>
                <w:rFonts w:eastAsia="Times New Roman" w:cs="Times New Roman"/>
                <w:spacing w:val="-5"/>
                <w:sz w:val="20"/>
                <w:szCs w:val="24"/>
              </w:rPr>
              <w:t>Из природного камня</w:t>
            </w:r>
          </w:p>
        </w:tc>
        <w:tc>
          <w:tcPr>
            <w:tcW w:w="1213" w:type="pct"/>
            <w:tcBorders>
              <w:top w:val="nil"/>
              <w:left w:val="nil"/>
              <w:bottom w:val="single" w:sz="4" w:space="0" w:color="auto"/>
              <w:right w:val="single" w:sz="4" w:space="0" w:color="auto"/>
            </w:tcBorders>
            <w:shd w:val="clear" w:color="auto" w:fill="auto"/>
            <w:vAlign w:val="center"/>
            <w:hideMark/>
          </w:tcPr>
          <w:p w14:paraId="0B49A3DF" w14:textId="77777777" w:rsidR="00322AE9" w:rsidRPr="00322AE9" w:rsidRDefault="00322AE9" w:rsidP="00827FEB">
            <w:pPr>
              <w:suppressAutoHyphens/>
              <w:adjustRightInd w:val="0"/>
              <w:ind w:firstLine="0"/>
              <w:jc w:val="center"/>
              <w:textAlignment w:val="baseline"/>
              <w:rPr>
                <w:rFonts w:eastAsia="Times New Roman" w:cs="Times New Roman"/>
                <w:color w:val="000000"/>
                <w:spacing w:val="-5"/>
                <w:sz w:val="20"/>
                <w:szCs w:val="24"/>
                <w:lang w:eastAsia="ru-RU"/>
              </w:rPr>
            </w:pPr>
            <w:r w:rsidRPr="00322AE9">
              <w:rPr>
                <w:rFonts w:eastAsia="Times New Roman" w:cs="Times New Roman"/>
                <w:color w:val="000000"/>
                <w:spacing w:val="-5"/>
                <w:sz w:val="20"/>
                <w:szCs w:val="24"/>
                <w:lang w:eastAsia="ru-RU"/>
              </w:rPr>
              <w:t>КС-1</w:t>
            </w:r>
          </w:p>
        </w:tc>
      </w:tr>
      <w:tr w:rsidR="00322AE9" w:rsidRPr="00322AE9" w14:paraId="64200C3F" w14:textId="77777777" w:rsidTr="00BA3F56">
        <w:trPr>
          <w:trHeight w:val="20"/>
          <w:jc w:val="center"/>
        </w:trPr>
        <w:tc>
          <w:tcPr>
            <w:tcW w:w="1513" w:type="pct"/>
            <w:tcBorders>
              <w:top w:val="nil"/>
              <w:left w:val="single" w:sz="4" w:space="0" w:color="auto"/>
              <w:bottom w:val="single" w:sz="4" w:space="0" w:color="auto"/>
              <w:right w:val="single" w:sz="4" w:space="0" w:color="auto"/>
            </w:tcBorders>
            <w:vAlign w:val="center"/>
          </w:tcPr>
          <w:p w14:paraId="2D0EB078" w14:textId="77777777" w:rsidR="00322AE9" w:rsidRPr="00322AE9" w:rsidRDefault="00322AE9" w:rsidP="00827FEB">
            <w:pPr>
              <w:suppressAutoHyphens/>
              <w:adjustRightInd w:val="0"/>
              <w:ind w:firstLine="0"/>
              <w:jc w:val="center"/>
              <w:textAlignment w:val="baseline"/>
              <w:rPr>
                <w:rFonts w:eastAsia="Times New Roman" w:cs="Times New Roman"/>
                <w:color w:val="000000"/>
                <w:spacing w:val="-5"/>
                <w:sz w:val="20"/>
                <w:szCs w:val="24"/>
                <w:lang w:eastAsia="ru-RU"/>
              </w:rPr>
            </w:pPr>
            <w:r w:rsidRPr="00322AE9">
              <w:rPr>
                <w:rFonts w:eastAsia="Times New Roman" w:cs="Times New Roman"/>
                <w:color w:val="000000"/>
                <w:spacing w:val="-5"/>
                <w:sz w:val="20"/>
                <w:szCs w:val="24"/>
                <w:lang w:eastAsia="ru-RU"/>
              </w:rPr>
              <w:t>61001002000</w:t>
            </w:r>
          </w:p>
        </w:tc>
        <w:tc>
          <w:tcPr>
            <w:tcW w:w="2274" w:type="pct"/>
            <w:tcBorders>
              <w:top w:val="nil"/>
              <w:left w:val="single" w:sz="4" w:space="0" w:color="auto"/>
              <w:bottom w:val="single" w:sz="4" w:space="0" w:color="auto"/>
              <w:right w:val="single" w:sz="4" w:space="0" w:color="auto"/>
            </w:tcBorders>
            <w:shd w:val="clear" w:color="auto" w:fill="auto"/>
            <w:vAlign w:val="center"/>
            <w:hideMark/>
          </w:tcPr>
          <w:p w14:paraId="2794ADFB" w14:textId="77777777" w:rsidR="00322AE9" w:rsidRPr="00322AE9" w:rsidRDefault="00322AE9" w:rsidP="003C59C1">
            <w:pPr>
              <w:suppressAutoHyphens/>
              <w:adjustRightInd w:val="0"/>
              <w:ind w:right="-117" w:firstLine="0"/>
              <w:jc w:val="left"/>
              <w:textAlignment w:val="baseline"/>
              <w:rPr>
                <w:rFonts w:eastAsia="Times New Roman" w:cs="Times New Roman"/>
                <w:spacing w:val="-5"/>
                <w:sz w:val="20"/>
                <w:szCs w:val="24"/>
              </w:rPr>
            </w:pPr>
            <w:r w:rsidRPr="00322AE9">
              <w:rPr>
                <w:rFonts w:eastAsia="Times New Roman" w:cs="Times New Roman"/>
                <w:spacing w:val="-5"/>
                <w:sz w:val="20"/>
                <w:szCs w:val="24"/>
              </w:rPr>
              <w:t>Деревянные</w:t>
            </w:r>
          </w:p>
        </w:tc>
        <w:tc>
          <w:tcPr>
            <w:tcW w:w="1213" w:type="pct"/>
            <w:tcBorders>
              <w:top w:val="nil"/>
              <w:left w:val="nil"/>
              <w:bottom w:val="single" w:sz="4" w:space="0" w:color="auto"/>
              <w:right w:val="single" w:sz="4" w:space="0" w:color="auto"/>
            </w:tcBorders>
            <w:shd w:val="clear" w:color="auto" w:fill="auto"/>
            <w:vAlign w:val="center"/>
            <w:hideMark/>
          </w:tcPr>
          <w:p w14:paraId="0DE34D7A" w14:textId="77777777" w:rsidR="00322AE9" w:rsidRPr="00322AE9" w:rsidRDefault="00322AE9" w:rsidP="00827FEB">
            <w:pPr>
              <w:suppressAutoHyphens/>
              <w:adjustRightInd w:val="0"/>
              <w:ind w:firstLine="0"/>
              <w:jc w:val="center"/>
              <w:textAlignment w:val="baseline"/>
              <w:rPr>
                <w:rFonts w:eastAsia="Times New Roman" w:cs="Times New Roman"/>
                <w:color w:val="000000"/>
                <w:spacing w:val="-5"/>
                <w:sz w:val="20"/>
                <w:szCs w:val="24"/>
                <w:lang w:eastAsia="ru-RU"/>
              </w:rPr>
            </w:pPr>
            <w:r w:rsidRPr="00322AE9">
              <w:rPr>
                <w:rFonts w:eastAsia="Times New Roman" w:cs="Times New Roman"/>
                <w:color w:val="000000"/>
                <w:spacing w:val="-5"/>
                <w:sz w:val="20"/>
                <w:szCs w:val="24"/>
                <w:lang w:eastAsia="ru-RU"/>
              </w:rPr>
              <w:t>КС-7</w:t>
            </w:r>
          </w:p>
        </w:tc>
      </w:tr>
      <w:tr w:rsidR="00322AE9" w:rsidRPr="00322AE9" w14:paraId="74108FD0" w14:textId="77777777" w:rsidTr="00BA3F56">
        <w:trPr>
          <w:trHeight w:val="20"/>
          <w:jc w:val="center"/>
        </w:trPr>
        <w:tc>
          <w:tcPr>
            <w:tcW w:w="1513" w:type="pct"/>
            <w:tcBorders>
              <w:top w:val="nil"/>
              <w:left w:val="single" w:sz="4" w:space="0" w:color="auto"/>
              <w:bottom w:val="single" w:sz="4" w:space="0" w:color="auto"/>
              <w:right w:val="single" w:sz="4" w:space="0" w:color="auto"/>
            </w:tcBorders>
            <w:vAlign w:val="center"/>
          </w:tcPr>
          <w:p w14:paraId="3C82BF4E" w14:textId="77777777" w:rsidR="00322AE9" w:rsidRPr="00322AE9" w:rsidRDefault="00322AE9" w:rsidP="00827FEB">
            <w:pPr>
              <w:suppressAutoHyphens/>
              <w:adjustRightInd w:val="0"/>
              <w:ind w:firstLine="0"/>
              <w:jc w:val="center"/>
              <w:textAlignment w:val="baseline"/>
              <w:rPr>
                <w:rFonts w:eastAsia="Times New Roman" w:cs="Times New Roman"/>
                <w:color w:val="000000"/>
                <w:spacing w:val="-5"/>
                <w:sz w:val="20"/>
                <w:szCs w:val="24"/>
                <w:lang w:eastAsia="ru-RU"/>
              </w:rPr>
            </w:pPr>
            <w:r w:rsidRPr="00322AE9">
              <w:rPr>
                <w:rFonts w:eastAsia="Times New Roman" w:cs="Times New Roman"/>
                <w:color w:val="000000"/>
                <w:spacing w:val="-5"/>
                <w:sz w:val="20"/>
                <w:szCs w:val="24"/>
                <w:lang w:eastAsia="ru-RU"/>
              </w:rPr>
              <w:t>61001002001</w:t>
            </w:r>
          </w:p>
        </w:tc>
        <w:tc>
          <w:tcPr>
            <w:tcW w:w="2274" w:type="pct"/>
            <w:tcBorders>
              <w:top w:val="nil"/>
              <w:left w:val="single" w:sz="4" w:space="0" w:color="auto"/>
              <w:bottom w:val="single" w:sz="4" w:space="0" w:color="auto"/>
              <w:right w:val="single" w:sz="4" w:space="0" w:color="auto"/>
            </w:tcBorders>
            <w:shd w:val="clear" w:color="auto" w:fill="auto"/>
            <w:vAlign w:val="center"/>
            <w:hideMark/>
          </w:tcPr>
          <w:p w14:paraId="7EF1D4D2" w14:textId="77777777" w:rsidR="00322AE9" w:rsidRPr="00322AE9" w:rsidRDefault="00322AE9" w:rsidP="003C59C1">
            <w:pPr>
              <w:suppressAutoHyphens/>
              <w:adjustRightInd w:val="0"/>
              <w:ind w:right="-117" w:firstLine="0"/>
              <w:jc w:val="left"/>
              <w:textAlignment w:val="baseline"/>
              <w:rPr>
                <w:rFonts w:eastAsia="Times New Roman" w:cs="Times New Roman"/>
                <w:spacing w:val="-5"/>
                <w:sz w:val="20"/>
                <w:szCs w:val="24"/>
              </w:rPr>
            </w:pPr>
            <w:r w:rsidRPr="00322AE9">
              <w:rPr>
                <w:rFonts w:eastAsia="Times New Roman" w:cs="Times New Roman"/>
                <w:spacing w:val="-5"/>
                <w:sz w:val="20"/>
                <w:szCs w:val="24"/>
              </w:rPr>
              <w:t>Рубленые</w:t>
            </w:r>
          </w:p>
        </w:tc>
        <w:tc>
          <w:tcPr>
            <w:tcW w:w="1213" w:type="pct"/>
            <w:tcBorders>
              <w:top w:val="nil"/>
              <w:left w:val="nil"/>
              <w:bottom w:val="single" w:sz="4" w:space="0" w:color="auto"/>
              <w:right w:val="single" w:sz="4" w:space="0" w:color="auto"/>
            </w:tcBorders>
            <w:shd w:val="clear" w:color="auto" w:fill="auto"/>
            <w:vAlign w:val="center"/>
            <w:hideMark/>
          </w:tcPr>
          <w:p w14:paraId="1E7E730E" w14:textId="77777777" w:rsidR="00322AE9" w:rsidRPr="00322AE9" w:rsidRDefault="00322AE9" w:rsidP="00827FEB">
            <w:pPr>
              <w:suppressAutoHyphens/>
              <w:adjustRightInd w:val="0"/>
              <w:ind w:firstLine="0"/>
              <w:jc w:val="center"/>
              <w:textAlignment w:val="baseline"/>
              <w:rPr>
                <w:rFonts w:eastAsia="Times New Roman" w:cs="Times New Roman"/>
                <w:color w:val="000000"/>
                <w:spacing w:val="-5"/>
                <w:sz w:val="20"/>
                <w:szCs w:val="24"/>
                <w:lang w:eastAsia="ru-RU"/>
              </w:rPr>
            </w:pPr>
            <w:r w:rsidRPr="00322AE9">
              <w:rPr>
                <w:rFonts w:eastAsia="Times New Roman" w:cs="Times New Roman"/>
                <w:color w:val="000000"/>
                <w:spacing w:val="-5"/>
                <w:sz w:val="20"/>
                <w:szCs w:val="24"/>
                <w:lang w:eastAsia="ru-RU"/>
              </w:rPr>
              <w:t>КС-7</w:t>
            </w:r>
          </w:p>
        </w:tc>
      </w:tr>
      <w:tr w:rsidR="00322AE9" w:rsidRPr="00322AE9" w14:paraId="7BD1A6CF" w14:textId="77777777" w:rsidTr="00BA3F56">
        <w:trPr>
          <w:trHeight w:val="20"/>
          <w:jc w:val="center"/>
        </w:trPr>
        <w:tc>
          <w:tcPr>
            <w:tcW w:w="1513" w:type="pct"/>
            <w:tcBorders>
              <w:top w:val="nil"/>
              <w:left w:val="single" w:sz="4" w:space="0" w:color="auto"/>
              <w:bottom w:val="single" w:sz="4" w:space="0" w:color="auto"/>
              <w:right w:val="single" w:sz="4" w:space="0" w:color="auto"/>
            </w:tcBorders>
            <w:vAlign w:val="center"/>
          </w:tcPr>
          <w:p w14:paraId="3A6A1374" w14:textId="77777777" w:rsidR="00322AE9" w:rsidRPr="00322AE9" w:rsidRDefault="00322AE9" w:rsidP="00827FEB">
            <w:pPr>
              <w:suppressAutoHyphens/>
              <w:adjustRightInd w:val="0"/>
              <w:ind w:firstLine="0"/>
              <w:jc w:val="center"/>
              <w:textAlignment w:val="baseline"/>
              <w:rPr>
                <w:rFonts w:eastAsia="Times New Roman" w:cs="Times New Roman"/>
                <w:color w:val="000000"/>
                <w:spacing w:val="-5"/>
                <w:sz w:val="20"/>
                <w:szCs w:val="24"/>
                <w:lang w:eastAsia="ru-RU"/>
              </w:rPr>
            </w:pPr>
            <w:r w:rsidRPr="00322AE9">
              <w:rPr>
                <w:rFonts w:eastAsia="Times New Roman" w:cs="Times New Roman"/>
                <w:color w:val="000000"/>
                <w:spacing w:val="-5"/>
                <w:sz w:val="20"/>
                <w:szCs w:val="24"/>
                <w:lang w:eastAsia="ru-RU"/>
              </w:rPr>
              <w:t>61001002002</w:t>
            </w:r>
          </w:p>
        </w:tc>
        <w:tc>
          <w:tcPr>
            <w:tcW w:w="2274" w:type="pct"/>
            <w:tcBorders>
              <w:top w:val="nil"/>
              <w:left w:val="single" w:sz="4" w:space="0" w:color="auto"/>
              <w:bottom w:val="single" w:sz="4" w:space="0" w:color="auto"/>
              <w:right w:val="single" w:sz="4" w:space="0" w:color="auto"/>
            </w:tcBorders>
            <w:shd w:val="clear" w:color="auto" w:fill="auto"/>
            <w:vAlign w:val="center"/>
            <w:hideMark/>
          </w:tcPr>
          <w:p w14:paraId="12790A68" w14:textId="77777777" w:rsidR="00322AE9" w:rsidRPr="00322AE9" w:rsidRDefault="00322AE9" w:rsidP="003C59C1">
            <w:pPr>
              <w:suppressAutoHyphens/>
              <w:adjustRightInd w:val="0"/>
              <w:ind w:right="-117" w:firstLine="0"/>
              <w:jc w:val="left"/>
              <w:textAlignment w:val="baseline"/>
              <w:rPr>
                <w:rFonts w:eastAsia="Times New Roman" w:cs="Times New Roman"/>
                <w:spacing w:val="-5"/>
                <w:sz w:val="20"/>
                <w:szCs w:val="24"/>
              </w:rPr>
            </w:pPr>
            <w:r w:rsidRPr="00322AE9">
              <w:rPr>
                <w:rFonts w:eastAsia="Times New Roman" w:cs="Times New Roman"/>
                <w:spacing w:val="-5"/>
                <w:sz w:val="20"/>
                <w:szCs w:val="24"/>
              </w:rPr>
              <w:t>Каркасно-засыпные</w:t>
            </w:r>
          </w:p>
        </w:tc>
        <w:tc>
          <w:tcPr>
            <w:tcW w:w="1213" w:type="pct"/>
            <w:tcBorders>
              <w:top w:val="nil"/>
              <w:left w:val="nil"/>
              <w:bottom w:val="single" w:sz="4" w:space="0" w:color="auto"/>
              <w:right w:val="single" w:sz="4" w:space="0" w:color="auto"/>
            </w:tcBorders>
            <w:shd w:val="clear" w:color="auto" w:fill="auto"/>
            <w:vAlign w:val="center"/>
            <w:hideMark/>
          </w:tcPr>
          <w:p w14:paraId="4890F346" w14:textId="77777777" w:rsidR="00322AE9" w:rsidRPr="00322AE9" w:rsidRDefault="00322AE9" w:rsidP="00827FEB">
            <w:pPr>
              <w:suppressAutoHyphens/>
              <w:adjustRightInd w:val="0"/>
              <w:ind w:firstLine="0"/>
              <w:jc w:val="center"/>
              <w:textAlignment w:val="baseline"/>
              <w:rPr>
                <w:rFonts w:eastAsia="Times New Roman" w:cs="Times New Roman"/>
                <w:color w:val="000000"/>
                <w:spacing w:val="-5"/>
                <w:sz w:val="20"/>
                <w:szCs w:val="24"/>
                <w:lang w:eastAsia="ru-RU"/>
              </w:rPr>
            </w:pPr>
            <w:r w:rsidRPr="00322AE9">
              <w:rPr>
                <w:rFonts w:eastAsia="Times New Roman" w:cs="Times New Roman"/>
                <w:color w:val="000000"/>
                <w:spacing w:val="-5"/>
                <w:sz w:val="20"/>
                <w:szCs w:val="24"/>
                <w:lang w:eastAsia="ru-RU"/>
              </w:rPr>
              <w:t>КС-7_2</w:t>
            </w:r>
          </w:p>
        </w:tc>
      </w:tr>
      <w:tr w:rsidR="00322AE9" w:rsidRPr="00322AE9" w14:paraId="63E43018" w14:textId="77777777" w:rsidTr="00BA3F56">
        <w:trPr>
          <w:trHeight w:val="20"/>
          <w:jc w:val="center"/>
        </w:trPr>
        <w:tc>
          <w:tcPr>
            <w:tcW w:w="1513" w:type="pct"/>
            <w:tcBorders>
              <w:top w:val="nil"/>
              <w:left w:val="single" w:sz="4" w:space="0" w:color="auto"/>
              <w:bottom w:val="single" w:sz="4" w:space="0" w:color="auto"/>
              <w:right w:val="single" w:sz="4" w:space="0" w:color="auto"/>
            </w:tcBorders>
            <w:vAlign w:val="center"/>
          </w:tcPr>
          <w:p w14:paraId="34F93FFF" w14:textId="77777777" w:rsidR="00322AE9" w:rsidRPr="00322AE9" w:rsidRDefault="00322AE9" w:rsidP="00827FEB">
            <w:pPr>
              <w:suppressAutoHyphens/>
              <w:adjustRightInd w:val="0"/>
              <w:ind w:firstLine="0"/>
              <w:jc w:val="center"/>
              <w:textAlignment w:val="baseline"/>
              <w:rPr>
                <w:rFonts w:eastAsia="Times New Roman" w:cs="Times New Roman"/>
                <w:color w:val="000000"/>
                <w:spacing w:val="-5"/>
                <w:sz w:val="20"/>
                <w:szCs w:val="24"/>
                <w:lang w:eastAsia="ru-RU"/>
              </w:rPr>
            </w:pPr>
            <w:r w:rsidRPr="00322AE9">
              <w:rPr>
                <w:rFonts w:eastAsia="Times New Roman" w:cs="Times New Roman"/>
                <w:color w:val="000000"/>
                <w:spacing w:val="-5"/>
                <w:sz w:val="20"/>
                <w:szCs w:val="24"/>
                <w:lang w:eastAsia="ru-RU"/>
              </w:rPr>
              <w:t>61001002003</w:t>
            </w:r>
          </w:p>
        </w:tc>
        <w:tc>
          <w:tcPr>
            <w:tcW w:w="2274" w:type="pct"/>
            <w:tcBorders>
              <w:top w:val="nil"/>
              <w:left w:val="single" w:sz="4" w:space="0" w:color="auto"/>
              <w:bottom w:val="single" w:sz="4" w:space="0" w:color="auto"/>
              <w:right w:val="single" w:sz="4" w:space="0" w:color="auto"/>
            </w:tcBorders>
            <w:shd w:val="clear" w:color="auto" w:fill="auto"/>
            <w:vAlign w:val="center"/>
            <w:hideMark/>
          </w:tcPr>
          <w:p w14:paraId="5918E996" w14:textId="77777777" w:rsidR="00322AE9" w:rsidRPr="00322AE9" w:rsidRDefault="00322AE9" w:rsidP="003C59C1">
            <w:pPr>
              <w:suppressAutoHyphens/>
              <w:adjustRightInd w:val="0"/>
              <w:ind w:right="-117" w:firstLine="0"/>
              <w:jc w:val="left"/>
              <w:textAlignment w:val="baseline"/>
              <w:rPr>
                <w:rFonts w:eastAsia="Times New Roman" w:cs="Times New Roman"/>
                <w:spacing w:val="-5"/>
                <w:sz w:val="20"/>
                <w:szCs w:val="24"/>
              </w:rPr>
            </w:pPr>
            <w:r w:rsidRPr="00322AE9">
              <w:rPr>
                <w:rFonts w:eastAsia="Times New Roman" w:cs="Times New Roman"/>
                <w:spacing w:val="-5"/>
                <w:sz w:val="20"/>
                <w:szCs w:val="24"/>
              </w:rPr>
              <w:t>Каркасно-обшивные</w:t>
            </w:r>
          </w:p>
        </w:tc>
        <w:tc>
          <w:tcPr>
            <w:tcW w:w="1213" w:type="pct"/>
            <w:tcBorders>
              <w:top w:val="nil"/>
              <w:left w:val="nil"/>
              <w:bottom w:val="single" w:sz="4" w:space="0" w:color="auto"/>
              <w:right w:val="single" w:sz="4" w:space="0" w:color="auto"/>
            </w:tcBorders>
            <w:shd w:val="clear" w:color="auto" w:fill="auto"/>
            <w:vAlign w:val="center"/>
            <w:hideMark/>
          </w:tcPr>
          <w:p w14:paraId="2BC5F211" w14:textId="77777777" w:rsidR="00322AE9" w:rsidRPr="00322AE9" w:rsidRDefault="00322AE9" w:rsidP="00827FEB">
            <w:pPr>
              <w:suppressAutoHyphens/>
              <w:adjustRightInd w:val="0"/>
              <w:ind w:firstLine="0"/>
              <w:jc w:val="center"/>
              <w:textAlignment w:val="baseline"/>
              <w:rPr>
                <w:rFonts w:eastAsia="Times New Roman" w:cs="Times New Roman"/>
                <w:color w:val="000000"/>
                <w:spacing w:val="-5"/>
                <w:sz w:val="20"/>
                <w:szCs w:val="24"/>
                <w:lang w:eastAsia="ru-RU"/>
              </w:rPr>
            </w:pPr>
            <w:r w:rsidRPr="00322AE9">
              <w:rPr>
                <w:rFonts w:eastAsia="Times New Roman" w:cs="Times New Roman"/>
                <w:color w:val="000000"/>
                <w:spacing w:val="-5"/>
                <w:sz w:val="20"/>
                <w:szCs w:val="24"/>
                <w:lang w:eastAsia="ru-RU"/>
              </w:rPr>
              <w:t>КС-7_2</w:t>
            </w:r>
          </w:p>
        </w:tc>
      </w:tr>
      <w:tr w:rsidR="00322AE9" w:rsidRPr="00322AE9" w14:paraId="64C4DAC5" w14:textId="77777777" w:rsidTr="00BA3F56">
        <w:trPr>
          <w:trHeight w:val="20"/>
          <w:jc w:val="center"/>
        </w:trPr>
        <w:tc>
          <w:tcPr>
            <w:tcW w:w="1513" w:type="pct"/>
            <w:tcBorders>
              <w:top w:val="nil"/>
              <w:left w:val="single" w:sz="4" w:space="0" w:color="auto"/>
              <w:bottom w:val="single" w:sz="4" w:space="0" w:color="auto"/>
              <w:right w:val="single" w:sz="4" w:space="0" w:color="auto"/>
            </w:tcBorders>
            <w:vAlign w:val="center"/>
          </w:tcPr>
          <w:p w14:paraId="4415F238" w14:textId="77777777" w:rsidR="00322AE9" w:rsidRPr="00322AE9" w:rsidRDefault="00322AE9" w:rsidP="00827FEB">
            <w:pPr>
              <w:suppressAutoHyphens/>
              <w:adjustRightInd w:val="0"/>
              <w:ind w:firstLine="0"/>
              <w:jc w:val="center"/>
              <w:textAlignment w:val="baseline"/>
              <w:rPr>
                <w:rFonts w:eastAsia="Times New Roman" w:cs="Times New Roman"/>
                <w:color w:val="000000"/>
                <w:spacing w:val="-5"/>
                <w:sz w:val="20"/>
                <w:szCs w:val="24"/>
                <w:lang w:eastAsia="ru-RU"/>
              </w:rPr>
            </w:pPr>
            <w:r w:rsidRPr="00322AE9">
              <w:rPr>
                <w:rFonts w:eastAsia="Times New Roman" w:cs="Times New Roman"/>
                <w:color w:val="000000"/>
                <w:spacing w:val="-5"/>
                <w:sz w:val="20"/>
                <w:szCs w:val="24"/>
                <w:lang w:eastAsia="ru-RU"/>
              </w:rPr>
              <w:t>61001002004</w:t>
            </w:r>
          </w:p>
        </w:tc>
        <w:tc>
          <w:tcPr>
            <w:tcW w:w="2274" w:type="pct"/>
            <w:tcBorders>
              <w:top w:val="nil"/>
              <w:left w:val="single" w:sz="4" w:space="0" w:color="auto"/>
              <w:bottom w:val="single" w:sz="4" w:space="0" w:color="auto"/>
              <w:right w:val="single" w:sz="4" w:space="0" w:color="auto"/>
            </w:tcBorders>
            <w:shd w:val="clear" w:color="auto" w:fill="auto"/>
            <w:vAlign w:val="center"/>
            <w:hideMark/>
          </w:tcPr>
          <w:p w14:paraId="18FA1E98" w14:textId="77777777" w:rsidR="00322AE9" w:rsidRPr="00322AE9" w:rsidRDefault="00322AE9" w:rsidP="003C59C1">
            <w:pPr>
              <w:suppressAutoHyphens/>
              <w:adjustRightInd w:val="0"/>
              <w:ind w:right="-117" w:firstLine="0"/>
              <w:jc w:val="left"/>
              <w:textAlignment w:val="baseline"/>
              <w:rPr>
                <w:rFonts w:eastAsia="Times New Roman" w:cs="Times New Roman"/>
                <w:spacing w:val="-5"/>
                <w:sz w:val="20"/>
                <w:szCs w:val="24"/>
              </w:rPr>
            </w:pPr>
            <w:r w:rsidRPr="00322AE9">
              <w:rPr>
                <w:rFonts w:eastAsia="Times New Roman" w:cs="Times New Roman"/>
                <w:spacing w:val="-5"/>
                <w:sz w:val="20"/>
                <w:szCs w:val="24"/>
              </w:rPr>
              <w:t>Сборно-щитовые</w:t>
            </w:r>
          </w:p>
        </w:tc>
        <w:tc>
          <w:tcPr>
            <w:tcW w:w="1213" w:type="pct"/>
            <w:tcBorders>
              <w:top w:val="nil"/>
              <w:left w:val="nil"/>
              <w:bottom w:val="single" w:sz="4" w:space="0" w:color="auto"/>
              <w:right w:val="single" w:sz="4" w:space="0" w:color="auto"/>
            </w:tcBorders>
            <w:shd w:val="clear" w:color="auto" w:fill="auto"/>
            <w:vAlign w:val="center"/>
            <w:hideMark/>
          </w:tcPr>
          <w:p w14:paraId="4E74754D" w14:textId="77777777" w:rsidR="00322AE9" w:rsidRPr="00322AE9" w:rsidRDefault="00322AE9" w:rsidP="00827FEB">
            <w:pPr>
              <w:suppressAutoHyphens/>
              <w:adjustRightInd w:val="0"/>
              <w:ind w:firstLine="0"/>
              <w:jc w:val="center"/>
              <w:textAlignment w:val="baseline"/>
              <w:rPr>
                <w:rFonts w:eastAsia="Times New Roman" w:cs="Times New Roman"/>
                <w:color w:val="000000"/>
                <w:spacing w:val="-5"/>
                <w:sz w:val="20"/>
                <w:szCs w:val="24"/>
                <w:highlight w:val="red"/>
                <w:lang w:eastAsia="ru-RU"/>
              </w:rPr>
            </w:pPr>
            <w:r w:rsidRPr="00322AE9">
              <w:rPr>
                <w:rFonts w:eastAsia="Times New Roman" w:cs="Times New Roman"/>
                <w:color w:val="000000"/>
                <w:spacing w:val="-5"/>
                <w:sz w:val="20"/>
                <w:szCs w:val="24"/>
                <w:lang w:eastAsia="ru-RU"/>
              </w:rPr>
              <w:t>КС-7_2</w:t>
            </w:r>
          </w:p>
        </w:tc>
      </w:tr>
      <w:tr w:rsidR="00322AE9" w:rsidRPr="00322AE9" w14:paraId="26F4F0F0" w14:textId="77777777" w:rsidTr="00BA3F56">
        <w:trPr>
          <w:trHeight w:val="20"/>
          <w:jc w:val="center"/>
        </w:trPr>
        <w:tc>
          <w:tcPr>
            <w:tcW w:w="1513" w:type="pct"/>
            <w:tcBorders>
              <w:top w:val="nil"/>
              <w:left w:val="single" w:sz="4" w:space="0" w:color="auto"/>
              <w:bottom w:val="single" w:sz="4" w:space="0" w:color="auto"/>
              <w:right w:val="single" w:sz="4" w:space="0" w:color="auto"/>
            </w:tcBorders>
            <w:vAlign w:val="center"/>
          </w:tcPr>
          <w:p w14:paraId="6F09A290" w14:textId="77777777" w:rsidR="00322AE9" w:rsidRPr="00322AE9" w:rsidRDefault="00322AE9" w:rsidP="00827FEB">
            <w:pPr>
              <w:suppressAutoHyphens/>
              <w:adjustRightInd w:val="0"/>
              <w:ind w:firstLine="0"/>
              <w:jc w:val="center"/>
              <w:textAlignment w:val="baseline"/>
              <w:rPr>
                <w:rFonts w:eastAsia="Times New Roman" w:cs="Times New Roman"/>
                <w:color w:val="000000"/>
                <w:spacing w:val="-5"/>
                <w:sz w:val="20"/>
                <w:szCs w:val="24"/>
                <w:lang w:eastAsia="ru-RU"/>
              </w:rPr>
            </w:pPr>
            <w:r w:rsidRPr="00322AE9">
              <w:rPr>
                <w:rFonts w:eastAsia="Times New Roman" w:cs="Times New Roman"/>
                <w:color w:val="000000"/>
                <w:spacing w:val="-5"/>
                <w:sz w:val="20"/>
                <w:szCs w:val="24"/>
                <w:lang w:eastAsia="ru-RU"/>
              </w:rPr>
              <w:t>61001002005</w:t>
            </w:r>
          </w:p>
        </w:tc>
        <w:tc>
          <w:tcPr>
            <w:tcW w:w="2274" w:type="pct"/>
            <w:tcBorders>
              <w:top w:val="nil"/>
              <w:left w:val="single" w:sz="4" w:space="0" w:color="auto"/>
              <w:bottom w:val="single" w:sz="4" w:space="0" w:color="auto"/>
              <w:right w:val="single" w:sz="4" w:space="0" w:color="auto"/>
            </w:tcBorders>
            <w:shd w:val="clear" w:color="auto" w:fill="auto"/>
            <w:vAlign w:val="center"/>
            <w:hideMark/>
          </w:tcPr>
          <w:p w14:paraId="5FAE56D6" w14:textId="77777777" w:rsidR="00322AE9" w:rsidRPr="00322AE9" w:rsidRDefault="00322AE9" w:rsidP="003C59C1">
            <w:pPr>
              <w:suppressAutoHyphens/>
              <w:adjustRightInd w:val="0"/>
              <w:ind w:right="-117" w:firstLine="0"/>
              <w:jc w:val="left"/>
              <w:textAlignment w:val="baseline"/>
              <w:rPr>
                <w:rFonts w:eastAsia="Times New Roman" w:cs="Times New Roman"/>
                <w:spacing w:val="-5"/>
                <w:sz w:val="20"/>
                <w:szCs w:val="24"/>
              </w:rPr>
            </w:pPr>
            <w:r w:rsidRPr="00322AE9">
              <w:rPr>
                <w:rFonts w:eastAsia="Times New Roman" w:cs="Times New Roman"/>
                <w:spacing w:val="-5"/>
                <w:sz w:val="20"/>
                <w:szCs w:val="24"/>
              </w:rPr>
              <w:t>Дощатые</w:t>
            </w:r>
          </w:p>
        </w:tc>
        <w:tc>
          <w:tcPr>
            <w:tcW w:w="1213" w:type="pct"/>
            <w:tcBorders>
              <w:top w:val="nil"/>
              <w:left w:val="nil"/>
              <w:bottom w:val="single" w:sz="4" w:space="0" w:color="auto"/>
              <w:right w:val="single" w:sz="4" w:space="0" w:color="auto"/>
            </w:tcBorders>
            <w:shd w:val="clear" w:color="auto" w:fill="auto"/>
            <w:vAlign w:val="center"/>
            <w:hideMark/>
          </w:tcPr>
          <w:p w14:paraId="3E463891" w14:textId="77777777" w:rsidR="00322AE9" w:rsidRPr="00322AE9" w:rsidRDefault="00322AE9" w:rsidP="00827FEB">
            <w:pPr>
              <w:suppressAutoHyphens/>
              <w:adjustRightInd w:val="0"/>
              <w:ind w:firstLine="0"/>
              <w:jc w:val="center"/>
              <w:textAlignment w:val="baseline"/>
              <w:rPr>
                <w:rFonts w:eastAsia="Times New Roman" w:cs="Times New Roman"/>
                <w:color w:val="000000"/>
                <w:spacing w:val="-5"/>
                <w:sz w:val="20"/>
                <w:szCs w:val="24"/>
                <w:lang w:eastAsia="ru-RU"/>
              </w:rPr>
            </w:pPr>
            <w:r w:rsidRPr="00322AE9">
              <w:rPr>
                <w:rFonts w:eastAsia="Times New Roman" w:cs="Times New Roman"/>
                <w:color w:val="000000"/>
                <w:spacing w:val="-5"/>
                <w:sz w:val="20"/>
                <w:szCs w:val="24"/>
                <w:lang w:eastAsia="ru-RU"/>
              </w:rPr>
              <w:t>КС-7_3</w:t>
            </w:r>
          </w:p>
        </w:tc>
      </w:tr>
      <w:tr w:rsidR="00322AE9" w:rsidRPr="00322AE9" w14:paraId="3304253C" w14:textId="77777777" w:rsidTr="00BA3F56">
        <w:trPr>
          <w:trHeight w:val="20"/>
          <w:jc w:val="center"/>
        </w:trPr>
        <w:tc>
          <w:tcPr>
            <w:tcW w:w="1513" w:type="pct"/>
            <w:tcBorders>
              <w:top w:val="nil"/>
              <w:left w:val="single" w:sz="4" w:space="0" w:color="auto"/>
              <w:bottom w:val="single" w:sz="4" w:space="0" w:color="auto"/>
              <w:right w:val="single" w:sz="4" w:space="0" w:color="auto"/>
            </w:tcBorders>
            <w:vAlign w:val="center"/>
          </w:tcPr>
          <w:p w14:paraId="1DCBEDFF" w14:textId="77777777" w:rsidR="00322AE9" w:rsidRPr="00322AE9" w:rsidRDefault="00322AE9" w:rsidP="00827FEB">
            <w:pPr>
              <w:suppressAutoHyphens/>
              <w:adjustRightInd w:val="0"/>
              <w:ind w:firstLine="0"/>
              <w:jc w:val="center"/>
              <w:textAlignment w:val="baseline"/>
              <w:rPr>
                <w:rFonts w:eastAsia="Times New Roman" w:cs="Times New Roman"/>
                <w:color w:val="000000"/>
                <w:spacing w:val="-5"/>
                <w:sz w:val="20"/>
                <w:szCs w:val="24"/>
                <w:lang w:eastAsia="ru-RU"/>
              </w:rPr>
            </w:pPr>
            <w:r w:rsidRPr="00322AE9">
              <w:rPr>
                <w:rFonts w:eastAsia="Times New Roman" w:cs="Times New Roman"/>
                <w:color w:val="000000"/>
                <w:spacing w:val="-5"/>
                <w:sz w:val="20"/>
                <w:szCs w:val="24"/>
                <w:lang w:eastAsia="ru-RU"/>
              </w:rPr>
              <w:t>61001002006</w:t>
            </w:r>
          </w:p>
        </w:tc>
        <w:tc>
          <w:tcPr>
            <w:tcW w:w="2274" w:type="pct"/>
            <w:tcBorders>
              <w:top w:val="nil"/>
              <w:left w:val="single" w:sz="4" w:space="0" w:color="auto"/>
              <w:bottom w:val="single" w:sz="4" w:space="0" w:color="auto"/>
              <w:right w:val="single" w:sz="4" w:space="0" w:color="auto"/>
            </w:tcBorders>
            <w:shd w:val="clear" w:color="auto" w:fill="auto"/>
            <w:vAlign w:val="center"/>
            <w:hideMark/>
          </w:tcPr>
          <w:p w14:paraId="33761C11" w14:textId="77777777" w:rsidR="00322AE9" w:rsidRPr="00322AE9" w:rsidRDefault="00322AE9" w:rsidP="003C59C1">
            <w:pPr>
              <w:suppressAutoHyphens/>
              <w:adjustRightInd w:val="0"/>
              <w:ind w:right="-117" w:firstLine="0"/>
              <w:jc w:val="left"/>
              <w:textAlignment w:val="baseline"/>
              <w:rPr>
                <w:rFonts w:eastAsia="Times New Roman" w:cs="Times New Roman"/>
                <w:spacing w:val="-5"/>
                <w:sz w:val="20"/>
                <w:szCs w:val="24"/>
              </w:rPr>
            </w:pPr>
            <w:r w:rsidRPr="00322AE9">
              <w:rPr>
                <w:rFonts w:eastAsia="Times New Roman" w:cs="Times New Roman"/>
                <w:spacing w:val="-5"/>
                <w:sz w:val="20"/>
                <w:szCs w:val="24"/>
              </w:rPr>
              <w:t>Деревянный каркас без обшивки</w:t>
            </w:r>
          </w:p>
        </w:tc>
        <w:tc>
          <w:tcPr>
            <w:tcW w:w="1213" w:type="pct"/>
            <w:tcBorders>
              <w:top w:val="nil"/>
              <w:left w:val="nil"/>
              <w:bottom w:val="single" w:sz="4" w:space="0" w:color="auto"/>
              <w:right w:val="single" w:sz="4" w:space="0" w:color="auto"/>
            </w:tcBorders>
            <w:shd w:val="clear" w:color="auto" w:fill="auto"/>
            <w:vAlign w:val="center"/>
            <w:hideMark/>
          </w:tcPr>
          <w:p w14:paraId="551F7624" w14:textId="77777777" w:rsidR="00322AE9" w:rsidRPr="00322AE9" w:rsidRDefault="00322AE9" w:rsidP="00827FEB">
            <w:pPr>
              <w:suppressAutoHyphens/>
              <w:adjustRightInd w:val="0"/>
              <w:ind w:firstLine="0"/>
              <w:jc w:val="center"/>
              <w:textAlignment w:val="baseline"/>
              <w:rPr>
                <w:rFonts w:eastAsia="Times New Roman" w:cs="Times New Roman"/>
                <w:color w:val="000000"/>
                <w:spacing w:val="-5"/>
                <w:sz w:val="20"/>
                <w:szCs w:val="24"/>
                <w:lang w:eastAsia="ru-RU"/>
              </w:rPr>
            </w:pPr>
            <w:r w:rsidRPr="00322AE9">
              <w:rPr>
                <w:rFonts w:eastAsia="Times New Roman" w:cs="Times New Roman"/>
                <w:color w:val="000000"/>
                <w:spacing w:val="-5"/>
                <w:sz w:val="20"/>
                <w:szCs w:val="24"/>
                <w:lang w:eastAsia="ru-RU"/>
              </w:rPr>
              <w:t>КС-7_4</w:t>
            </w:r>
          </w:p>
        </w:tc>
      </w:tr>
      <w:tr w:rsidR="00322AE9" w:rsidRPr="00322AE9" w14:paraId="68EFD982" w14:textId="77777777" w:rsidTr="00BA3F56">
        <w:trPr>
          <w:trHeight w:val="20"/>
          <w:jc w:val="center"/>
        </w:trPr>
        <w:tc>
          <w:tcPr>
            <w:tcW w:w="1513" w:type="pct"/>
            <w:tcBorders>
              <w:top w:val="nil"/>
              <w:left w:val="single" w:sz="4" w:space="0" w:color="auto"/>
              <w:bottom w:val="single" w:sz="4" w:space="0" w:color="auto"/>
              <w:right w:val="single" w:sz="4" w:space="0" w:color="auto"/>
            </w:tcBorders>
            <w:vAlign w:val="center"/>
          </w:tcPr>
          <w:p w14:paraId="411546B0" w14:textId="77777777" w:rsidR="00322AE9" w:rsidRPr="00322AE9" w:rsidRDefault="00322AE9" w:rsidP="00827FEB">
            <w:pPr>
              <w:suppressAutoHyphens/>
              <w:adjustRightInd w:val="0"/>
              <w:ind w:firstLine="0"/>
              <w:jc w:val="center"/>
              <w:textAlignment w:val="baseline"/>
              <w:rPr>
                <w:rFonts w:eastAsia="Times New Roman" w:cs="Times New Roman"/>
                <w:color w:val="000000"/>
                <w:spacing w:val="-5"/>
                <w:sz w:val="20"/>
                <w:szCs w:val="24"/>
                <w:lang w:eastAsia="ru-RU"/>
              </w:rPr>
            </w:pPr>
            <w:r w:rsidRPr="00322AE9">
              <w:rPr>
                <w:rFonts w:eastAsia="Times New Roman" w:cs="Times New Roman"/>
                <w:color w:val="000000"/>
                <w:spacing w:val="-5"/>
                <w:sz w:val="20"/>
                <w:szCs w:val="24"/>
                <w:lang w:eastAsia="ru-RU"/>
              </w:rPr>
              <w:t>61001003000</w:t>
            </w:r>
          </w:p>
        </w:tc>
        <w:tc>
          <w:tcPr>
            <w:tcW w:w="2274" w:type="pct"/>
            <w:tcBorders>
              <w:top w:val="nil"/>
              <w:left w:val="single" w:sz="4" w:space="0" w:color="auto"/>
              <w:bottom w:val="single" w:sz="4" w:space="0" w:color="auto"/>
              <w:right w:val="single" w:sz="4" w:space="0" w:color="auto"/>
            </w:tcBorders>
            <w:shd w:val="clear" w:color="auto" w:fill="auto"/>
            <w:vAlign w:val="center"/>
            <w:hideMark/>
          </w:tcPr>
          <w:p w14:paraId="6845AA3F" w14:textId="77777777" w:rsidR="00322AE9" w:rsidRPr="00322AE9" w:rsidRDefault="00322AE9" w:rsidP="003C59C1">
            <w:pPr>
              <w:suppressAutoHyphens/>
              <w:adjustRightInd w:val="0"/>
              <w:ind w:right="-117" w:firstLine="0"/>
              <w:jc w:val="left"/>
              <w:textAlignment w:val="baseline"/>
              <w:rPr>
                <w:rFonts w:eastAsia="Times New Roman" w:cs="Times New Roman"/>
                <w:spacing w:val="-5"/>
                <w:sz w:val="20"/>
                <w:szCs w:val="24"/>
              </w:rPr>
            </w:pPr>
            <w:r w:rsidRPr="00322AE9">
              <w:rPr>
                <w:rFonts w:eastAsia="Times New Roman" w:cs="Times New Roman"/>
                <w:spacing w:val="-5"/>
                <w:sz w:val="20"/>
                <w:szCs w:val="24"/>
              </w:rPr>
              <w:t>Смешанные</w:t>
            </w:r>
          </w:p>
        </w:tc>
        <w:tc>
          <w:tcPr>
            <w:tcW w:w="1213" w:type="pct"/>
            <w:tcBorders>
              <w:top w:val="nil"/>
              <w:left w:val="nil"/>
              <w:bottom w:val="single" w:sz="4" w:space="0" w:color="auto"/>
              <w:right w:val="single" w:sz="4" w:space="0" w:color="auto"/>
            </w:tcBorders>
            <w:shd w:val="clear" w:color="auto" w:fill="auto"/>
            <w:vAlign w:val="center"/>
            <w:hideMark/>
          </w:tcPr>
          <w:p w14:paraId="53A12AB2" w14:textId="77777777" w:rsidR="00322AE9" w:rsidRPr="00322AE9" w:rsidRDefault="00322AE9" w:rsidP="00827FEB">
            <w:pPr>
              <w:suppressAutoHyphens/>
              <w:adjustRightInd w:val="0"/>
              <w:ind w:firstLine="0"/>
              <w:jc w:val="center"/>
              <w:textAlignment w:val="baseline"/>
              <w:rPr>
                <w:rFonts w:eastAsia="Times New Roman" w:cs="Times New Roman"/>
                <w:color w:val="000000"/>
                <w:spacing w:val="-5"/>
                <w:sz w:val="20"/>
                <w:szCs w:val="24"/>
                <w:lang w:eastAsia="ru-RU"/>
              </w:rPr>
            </w:pPr>
            <w:r w:rsidRPr="00322AE9">
              <w:rPr>
                <w:rFonts w:eastAsia="Times New Roman" w:cs="Times New Roman"/>
                <w:color w:val="000000"/>
                <w:spacing w:val="-5"/>
                <w:sz w:val="20"/>
                <w:szCs w:val="24"/>
                <w:lang w:eastAsia="ru-RU"/>
              </w:rPr>
              <w:t>КС-3</w:t>
            </w:r>
          </w:p>
        </w:tc>
      </w:tr>
      <w:tr w:rsidR="00322AE9" w:rsidRPr="00322AE9" w14:paraId="0F01DFC8" w14:textId="77777777" w:rsidTr="00BA3F56">
        <w:trPr>
          <w:trHeight w:val="20"/>
          <w:jc w:val="center"/>
        </w:trPr>
        <w:tc>
          <w:tcPr>
            <w:tcW w:w="1513" w:type="pct"/>
            <w:tcBorders>
              <w:top w:val="nil"/>
              <w:left w:val="single" w:sz="4" w:space="0" w:color="auto"/>
              <w:bottom w:val="single" w:sz="4" w:space="0" w:color="auto"/>
              <w:right w:val="single" w:sz="4" w:space="0" w:color="auto"/>
            </w:tcBorders>
            <w:vAlign w:val="center"/>
          </w:tcPr>
          <w:p w14:paraId="5478512D" w14:textId="77777777" w:rsidR="00322AE9" w:rsidRPr="00322AE9" w:rsidRDefault="00322AE9" w:rsidP="00827FEB">
            <w:pPr>
              <w:suppressAutoHyphens/>
              <w:adjustRightInd w:val="0"/>
              <w:ind w:firstLine="0"/>
              <w:jc w:val="center"/>
              <w:textAlignment w:val="baseline"/>
              <w:rPr>
                <w:rFonts w:eastAsia="Times New Roman" w:cs="Times New Roman"/>
                <w:color w:val="000000"/>
                <w:spacing w:val="-5"/>
                <w:sz w:val="20"/>
                <w:szCs w:val="24"/>
                <w:lang w:eastAsia="ru-RU"/>
              </w:rPr>
            </w:pPr>
            <w:r w:rsidRPr="00322AE9">
              <w:rPr>
                <w:rFonts w:eastAsia="Times New Roman" w:cs="Times New Roman"/>
                <w:color w:val="000000"/>
                <w:spacing w:val="-5"/>
                <w:sz w:val="20"/>
                <w:szCs w:val="24"/>
                <w:lang w:eastAsia="ru-RU"/>
              </w:rPr>
              <w:t>61001003001</w:t>
            </w:r>
          </w:p>
        </w:tc>
        <w:tc>
          <w:tcPr>
            <w:tcW w:w="2274" w:type="pct"/>
            <w:tcBorders>
              <w:top w:val="nil"/>
              <w:left w:val="single" w:sz="4" w:space="0" w:color="auto"/>
              <w:bottom w:val="single" w:sz="4" w:space="0" w:color="auto"/>
              <w:right w:val="single" w:sz="4" w:space="0" w:color="auto"/>
            </w:tcBorders>
            <w:shd w:val="clear" w:color="auto" w:fill="auto"/>
            <w:vAlign w:val="center"/>
            <w:hideMark/>
          </w:tcPr>
          <w:p w14:paraId="26CF1C57" w14:textId="77777777" w:rsidR="00322AE9" w:rsidRPr="00322AE9" w:rsidRDefault="00322AE9" w:rsidP="003C59C1">
            <w:pPr>
              <w:suppressAutoHyphens/>
              <w:adjustRightInd w:val="0"/>
              <w:ind w:right="-117" w:firstLine="0"/>
              <w:jc w:val="left"/>
              <w:textAlignment w:val="baseline"/>
              <w:rPr>
                <w:rFonts w:eastAsia="Times New Roman" w:cs="Times New Roman"/>
                <w:spacing w:val="-5"/>
                <w:sz w:val="20"/>
                <w:szCs w:val="24"/>
              </w:rPr>
            </w:pPr>
            <w:r w:rsidRPr="00322AE9">
              <w:rPr>
                <w:rFonts w:eastAsia="Times New Roman" w:cs="Times New Roman"/>
                <w:spacing w:val="-5"/>
                <w:sz w:val="20"/>
                <w:szCs w:val="24"/>
              </w:rPr>
              <w:t>Каменные и деревянные</w:t>
            </w:r>
          </w:p>
        </w:tc>
        <w:tc>
          <w:tcPr>
            <w:tcW w:w="1213" w:type="pct"/>
            <w:tcBorders>
              <w:top w:val="nil"/>
              <w:left w:val="nil"/>
              <w:bottom w:val="single" w:sz="4" w:space="0" w:color="auto"/>
              <w:right w:val="single" w:sz="4" w:space="0" w:color="auto"/>
            </w:tcBorders>
            <w:shd w:val="clear" w:color="auto" w:fill="auto"/>
            <w:vAlign w:val="center"/>
            <w:hideMark/>
          </w:tcPr>
          <w:p w14:paraId="727F0C25" w14:textId="77777777" w:rsidR="00322AE9" w:rsidRPr="00322AE9" w:rsidRDefault="00322AE9" w:rsidP="00827FEB">
            <w:pPr>
              <w:suppressAutoHyphens/>
              <w:adjustRightInd w:val="0"/>
              <w:ind w:firstLine="0"/>
              <w:jc w:val="center"/>
              <w:textAlignment w:val="baseline"/>
              <w:rPr>
                <w:rFonts w:eastAsia="Times New Roman" w:cs="Times New Roman"/>
                <w:color w:val="000000"/>
                <w:spacing w:val="-5"/>
                <w:sz w:val="20"/>
                <w:szCs w:val="24"/>
                <w:lang w:eastAsia="ru-RU"/>
              </w:rPr>
            </w:pPr>
            <w:r w:rsidRPr="00322AE9">
              <w:rPr>
                <w:rFonts w:eastAsia="Times New Roman" w:cs="Times New Roman"/>
                <w:color w:val="000000"/>
                <w:spacing w:val="-5"/>
                <w:sz w:val="20"/>
                <w:szCs w:val="24"/>
                <w:lang w:eastAsia="ru-RU"/>
              </w:rPr>
              <w:t>КС-1</w:t>
            </w:r>
          </w:p>
        </w:tc>
      </w:tr>
      <w:tr w:rsidR="00322AE9" w:rsidRPr="00322AE9" w14:paraId="32D61A11" w14:textId="77777777" w:rsidTr="00BA3F56">
        <w:trPr>
          <w:trHeight w:val="20"/>
          <w:jc w:val="center"/>
        </w:trPr>
        <w:tc>
          <w:tcPr>
            <w:tcW w:w="1513" w:type="pct"/>
            <w:tcBorders>
              <w:top w:val="nil"/>
              <w:left w:val="single" w:sz="4" w:space="0" w:color="auto"/>
              <w:bottom w:val="single" w:sz="4" w:space="0" w:color="auto"/>
              <w:right w:val="single" w:sz="4" w:space="0" w:color="auto"/>
            </w:tcBorders>
            <w:vAlign w:val="center"/>
          </w:tcPr>
          <w:p w14:paraId="55F2A457" w14:textId="77777777" w:rsidR="00322AE9" w:rsidRPr="00322AE9" w:rsidRDefault="00322AE9" w:rsidP="00827FEB">
            <w:pPr>
              <w:suppressAutoHyphens/>
              <w:adjustRightInd w:val="0"/>
              <w:ind w:firstLine="0"/>
              <w:jc w:val="center"/>
              <w:textAlignment w:val="baseline"/>
              <w:rPr>
                <w:rFonts w:eastAsia="Times New Roman" w:cs="Times New Roman"/>
                <w:color w:val="000000"/>
                <w:spacing w:val="-5"/>
                <w:sz w:val="20"/>
                <w:szCs w:val="24"/>
                <w:lang w:eastAsia="ru-RU"/>
              </w:rPr>
            </w:pPr>
            <w:r w:rsidRPr="00322AE9">
              <w:rPr>
                <w:rFonts w:eastAsia="Times New Roman" w:cs="Times New Roman"/>
                <w:color w:val="000000"/>
                <w:spacing w:val="-5"/>
                <w:sz w:val="20"/>
                <w:szCs w:val="24"/>
                <w:lang w:eastAsia="ru-RU"/>
              </w:rPr>
              <w:t>61001003002</w:t>
            </w:r>
          </w:p>
        </w:tc>
        <w:tc>
          <w:tcPr>
            <w:tcW w:w="2274" w:type="pct"/>
            <w:tcBorders>
              <w:top w:val="nil"/>
              <w:left w:val="single" w:sz="4" w:space="0" w:color="auto"/>
              <w:bottom w:val="single" w:sz="4" w:space="0" w:color="auto"/>
              <w:right w:val="single" w:sz="4" w:space="0" w:color="auto"/>
            </w:tcBorders>
            <w:shd w:val="clear" w:color="auto" w:fill="auto"/>
            <w:vAlign w:val="center"/>
            <w:hideMark/>
          </w:tcPr>
          <w:p w14:paraId="58978FA5" w14:textId="77777777" w:rsidR="00322AE9" w:rsidRPr="00322AE9" w:rsidRDefault="00322AE9" w:rsidP="003C59C1">
            <w:pPr>
              <w:suppressAutoHyphens/>
              <w:adjustRightInd w:val="0"/>
              <w:ind w:right="-117" w:firstLine="0"/>
              <w:jc w:val="left"/>
              <w:textAlignment w:val="baseline"/>
              <w:rPr>
                <w:rFonts w:eastAsia="Times New Roman" w:cs="Times New Roman"/>
                <w:spacing w:val="-5"/>
                <w:sz w:val="20"/>
                <w:szCs w:val="24"/>
              </w:rPr>
            </w:pPr>
            <w:r w:rsidRPr="00322AE9">
              <w:rPr>
                <w:rFonts w:eastAsia="Times New Roman" w:cs="Times New Roman"/>
                <w:spacing w:val="-5"/>
                <w:sz w:val="20"/>
                <w:szCs w:val="24"/>
              </w:rPr>
              <w:t>Каменные и бетонные</w:t>
            </w:r>
          </w:p>
        </w:tc>
        <w:tc>
          <w:tcPr>
            <w:tcW w:w="1213" w:type="pct"/>
            <w:tcBorders>
              <w:top w:val="nil"/>
              <w:left w:val="nil"/>
              <w:bottom w:val="single" w:sz="4" w:space="0" w:color="auto"/>
              <w:right w:val="single" w:sz="4" w:space="0" w:color="auto"/>
            </w:tcBorders>
            <w:shd w:val="clear" w:color="auto" w:fill="auto"/>
            <w:vAlign w:val="center"/>
            <w:hideMark/>
          </w:tcPr>
          <w:p w14:paraId="496E9850" w14:textId="77777777" w:rsidR="00322AE9" w:rsidRPr="00322AE9" w:rsidRDefault="00322AE9" w:rsidP="00827FEB">
            <w:pPr>
              <w:suppressAutoHyphens/>
              <w:adjustRightInd w:val="0"/>
              <w:ind w:firstLine="0"/>
              <w:jc w:val="center"/>
              <w:textAlignment w:val="baseline"/>
              <w:rPr>
                <w:rFonts w:eastAsia="Times New Roman" w:cs="Times New Roman"/>
                <w:color w:val="000000"/>
                <w:spacing w:val="-5"/>
                <w:sz w:val="20"/>
                <w:szCs w:val="24"/>
                <w:lang w:eastAsia="ru-RU"/>
              </w:rPr>
            </w:pPr>
            <w:r w:rsidRPr="00322AE9">
              <w:rPr>
                <w:rFonts w:eastAsia="Times New Roman" w:cs="Times New Roman"/>
                <w:color w:val="000000"/>
                <w:spacing w:val="-5"/>
                <w:sz w:val="20"/>
                <w:szCs w:val="24"/>
                <w:lang w:eastAsia="ru-RU"/>
              </w:rPr>
              <w:t>КС-1</w:t>
            </w:r>
          </w:p>
        </w:tc>
      </w:tr>
      <w:tr w:rsidR="00322AE9" w:rsidRPr="00322AE9" w14:paraId="1512C445" w14:textId="77777777" w:rsidTr="00BA3F56">
        <w:trPr>
          <w:trHeight w:val="20"/>
          <w:jc w:val="center"/>
        </w:trPr>
        <w:tc>
          <w:tcPr>
            <w:tcW w:w="1513" w:type="pct"/>
            <w:tcBorders>
              <w:top w:val="nil"/>
              <w:left w:val="single" w:sz="4" w:space="0" w:color="auto"/>
              <w:bottom w:val="single" w:sz="4" w:space="0" w:color="auto"/>
              <w:right w:val="single" w:sz="4" w:space="0" w:color="auto"/>
            </w:tcBorders>
            <w:vAlign w:val="center"/>
          </w:tcPr>
          <w:p w14:paraId="5AB2D252" w14:textId="77777777" w:rsidR="00322AE9" w:rsidRPr="00322AE9" w:rsidRDefault="00322AE9" w:rsidP="00827FEB">
            <w:pPr>
              <w:suppressAutoHyphens/>
              <w:adjustRightInd w:val="0"/>
              <w:ind w:firstLine="0"/>
              <w:jc w:val="center"/>
              <w:textAlignment w:val="baseline"/>
              <w:rPr>
                <w:rFonts w:eastAsia="Times New Roman" w:cs="Times New Roman"/>
                <w:color w:val="000000"/>
                <w:spacing w:val="-5"/>
                <w:sz w:val="20"/>
                <w:szCs w:val="24"/>
                <w:lang w:eastAsia="ru-RU"/>
              </w:rPr>
            </w:pPr>
            <w:r w:rsidRPr="00322AE9">
              <w:rPr>
                <w:rFonts w:eastAsia="Times New Roman" w:cs="Times New Roman"/>
                <w:color w:val="000000"/>
                <w:spacing w:val="-5"/>
                <w:sz w:val="20"/>
                <w:szCs w:val="24"/>
                <w:lang w:eastAsia="ru-RU"/>
              </w:rPr>
              <w:t>61001004000</w:t>
            </w:r>
          </w:p>
        </w:tc>
        <w:tc>
          <w:tcPr>
            <w:tcW w:w="2274" w:type="pct"/>
            <w:tcBorders>
              <w:top w:val="nil"/>
              <w:left w:val="single" w:sz="4" w:space="0" w:color="auto"/>
              <w:bottom w:val="single" w:sz="4" w:space="0" w:color="auto"/>
              <w:right w:val="single" w:sz="4" w:space="0" w:color="auto"/>
            </w:tcBorders>
            <w:shd w:val="clear" w:color="auto" w:fill="auto"/>
            <w:vAlign w:val="center"/>
            <w:hideMark/>
          </w:tcPr>
          <w:p w14:paraId="193B6CF5" w14:textId="77777777" w:rsidR="00322AE9" w:rsidRPr="00322AE9" w:rsidRDefault="00322AE9" w:rsidP="003C59C1">
            <w:pPr>
              <w:suppressAutoHyphens/>
              <w:adjustRightInd w:val="0"/>
              <w:ind w:right="-117" w:firstLine="0"/>
              <w:jc w:val="left"/>
              <w:textAlignment w:val="baseline"/>
              <w:rPr>
                <w:rFonts w:eastAsia="Times New Roman" w:cs="Times New Roman"/>
                <w:spacing w:val="-5"/>
                <w:sz w:val="20"/>
                <w:szCs w:val="24"/>
              </w:rPr>
            </w:pPr>
            <w:r w:rsidRPr="00322AE9">
              <w:rPr>
                <w:rFonts w:eastAsia="Times New Roman" w:cs="Times New Roman"/>
                <w:spacing w:val="-5"/>
                <w:sz w:val="20"/>
                <w:szCs w:val="24"/>
              </w:rPr>
              <w:t>Легкие из местных материалов</w:t>
            </w:r>
          </w:p>
        </w:tc>
        <w:tc>
          <w:tcPr>
            <w:tcW w:w="1213" w:type="pct"/>
            <w:tcBorders>
              <w:top w:val="nil"/>
              <w:left w:val="nil"/>
              <w:bottom w:val="single" w:sz="4" w:space="0" w:color="auto"/>
              <w:right w:val="single" w:sz="4" w:space="0" w:color="auto"/>
            </w:tcBorders>
            <w:shd w:val="clear" w:color="auto" w:fill="auto"/>
            <w:vAlign w:val="center"/>
            <w:hideMark/>
          </w:tcPr>
          <w:p w14:paraId="17CFAC54" w14:textId="77777777" w:rsidR="00322AE9" w:rsidRPr="00322AE9" w:rsidRDefault="00322AE9" w:rsidP="00827FEB">
            <w:pPr>
              <w:suppressAutoHyphens/>
              <w:adjustRightInd w:val="0"/>
              <w:ind w:firstLine="0"/>
              <w:jc w:val="center"/>
              <w:textAlignment w:val="baseline"/>
              <w:rPr>
                <w:rFonts w:eastAsia="Times New Roman" w:cs="Times New Roman"/>
                <w:color w:val="000000"/>
                <w:spacing w:val="-5"/>
                <w:sz w:val="20"/>
                <w:szCs w:val="24"/>
                <w:lang w:eastAsia="ru-RU"/>
              </w:rPr>
            </w:pPr>
            <w:r w:rsidRPr="00322AE9">
              <w:rPr>
                <w:rFonts w:eastAsia="Times New Roman" w:cs="Times New Roman"/>
                <w:color w:val="000000"/>
                <w:spacing w:val="-5"/>
                <w:sz w:val="20"/>
                <w:szCs w:val="24"/>
                <w:lang w:eastAsia="ru-RU"/>
              </w:rPr>
              <w:t>КС-3</w:t>
            </w:r>
          </w:p>
        </w:tc>
      </w:tr>
      <w:tr w:rsidR="00322AE9" w:rsidRPr="00322AE9" w14:paraId="589DCB94" w14:textId="77777777" w:rsidTr="00BA3F56">
        <w:trPr>
          <w:trHeight w:val="20"/>
          <w:jc w:val="center"/>
        </w:trPr>
        <w:tc>
          <w:tcPr>
            <w:tcW w:w="1513" w:type="pct"/>
            <w:tcBorders>
              <w:top w:val="nil"/>
              <w:left w:val="single" w:sz="4" w:space="0" w:color="auto"/>
              <w:bottom w:val="single" w:sz="4" w:space="0" w:color="auto"/>
              <w:right w:val="single" w:sz="4" w:space="0" w:color="auto"/>
            </w:tcBorders>
            <w:vAlign w:val="center"/>
          </w:tcPr>
          <w:p w14:paraId="0C0055EC" w14:textId="77777777" w:rsidR="00322AE9" w:rsidRPr="00322AE9" w:rsidRDefault="00322AE9" w:rsidP="00827FEB">
            <w:pPr>
              <w:suppressAutoHyphens/>
              <w:adjustRightInd w:val="0"/>
              <w:ind w:firstLine="0"/>
              <w:jc w:val="center"/>
              <w:textAlignment w:val="baseline"/>
              <w:rPr>
                <w:rFonts w:eastAsia="Times New Roman" w:cs="Times New Roman"/>
                <w:color w:val="000000"/>
                <w:spacing w:val="-5"/>
                <w:sz w:val="20"/>
                <w:szCs w:val="24"/>
                <w:lang w:eastAsia="ru-RU"/>
              </w:rPr>
            </w:pPr>
            <w:r w:rsidRPr="00322AE9">
              <w:rPr>
                <w:rFonts w:eastAsia="Times New Roman" w:cs="Times New Roman"/>
                <w:color w:val="000000"/>
                <w:spacing w:val="-5"/>
                <w:sz w:val="20"/>
                <w:szCs w:val="24"/>
                <w:lang w:eastAsia="ru-RU"/>
              </w:rPr>
              <w:t>61001005000</w:t>
            </w:r>
          </w:p>
        </w:tc>
        <w:tc>
          <w:tcPr>
            <w:tcW w:w="2274" w:type="pct"/>
            <w:tcBorders>
              <w:top w:val="nil"/>
              <w:left w:val="single" w:sz="4" w:space="0" w:color="auto"/>
              <w:bottom w:val="single" w:sz="4" w:space="0" w:color="auto"/>
              <w:right w:val="single" w:sz="4" w:space="0" w:color="auto"/>
            </w:tcBorders>
            <w:shd w:val="clear" w:color="auto" w:fill="auto"/>
            <w:vAlign w:val="center"/>
            <w:hideMark/>
          </w:tcPr>
          <w:p w14:paraId="03ED03D2" w14:textId="77777777" w:rsidR="00322AE9" w:rsidRPr="00322AE9" w:rsidRDefault="00322AE9" w:rsidP="003C59C1">
            <w:pPr>
              <w:suppressAutoHyphens/>
              <w:adjustRightInd w:val="0"/>
              <w:ind w:right="-117" w:firstLine="0"/>
              <w:jc w:val="left"/>
              <w:textAlignment w:val="baseline"/>
              <w:rPr>
                <w:rFonts w:eastAsia="Times New Roman" w:cs="Times New Roman"/>
                <w:spacing w:val="-5"/>
                <w:sz w:val="20"/>
                <w:szCs w:val="24"/>
              </w:rPr>
            </w:pPr>
            <w:r w:rsidRPr="00322AE9">
              <w:rPr>
                <w:rFonts w:eastAsia="Times New Roman" w:cs="Times New Roman"/>
                <w:spacing w:val="-5"/>
                <w:sz w:val="20"/>
                <w:szCs w:val="24"/>
              </w:rPr>
              <w:t>Из прочих материалов</w:t>
            </w:r>
          </w:p>
        </w:tc>
        <w:tc>
          <w:tcPr>
            <w:tcW w:w="1213" w:type="pct"/>
            <w:tcBorders>
              <w:top w:val="nil"/>
              <w:left w:val="nil"/>
              <w:bottom w:val="single" w:sz="4" w:space="0" w:color="auto"/>
              <w:right w:val="single" w:sz="4" w:space="0" w:color="auto"/>
            </w:tcBorders>
            <w:shd w:val="clear" w:color="auto" w:fill="auto"/>
            <w:vAlign w:val="center"/>
            <w:hideMark/>
          </w:tcPr>
          <w:p w14:paraId="36B854E6" w14:textId="77777777" w:rsidR="00322AE9" w:rsidRPr="00322AE9" w:rsidRDefault="00322AE9" w:rsidP="00827FEB">
            <w:pPr>
              <w:suppressAutoHyphens/>
              <w:adjustRightInd w:val="0"/>
              <w:ind w:firstLine="0"/>
              <w:jc w:val="center"/>
              <w:textAlignment w:val="baseline"/>
              <w:rPr>
                <w:rFonts w:eastAsia="Times New Roman" w:cs="Times New Roman"/>
                <w:color w:val="000000"/>
                <w:spacing w:val="-5"/>
                <w:sz w:val="20"/>
                <w:szCs w:val="24"/>
                <w:lang w:eastAsia="ru-RU"/>
              </w:rPr>
            </w:pPr>
            <w:r w:rsidRPr="00322AE9">
              <w:rPr>
                <w:rFonts w:eastAsia="Times New Roman" w:cs="Times New Roman"/>
                <w:color w:val="000000"/>
                <w:spacing w:val="-5"/>
                <w:sz w:val="20"/>
                <w:szCs w:val="24"/>
                <w:lang w:eastAsia="ru-RU"/>
              </w:rPr>
              <w:t>КС-3</w:t>
            </w:r>
          </w:p>
        </w:tc>
      </w:tr>
      <w:tr w:rsidR="00322AE9" w:rsidRPr="00322AE9" w14:paraId="6CDCF3D0" w14:textId="77777777" w:rsidTr="00BA3F56">
        <w:trPr>
          <w:trHeight w:val="20"/>
          <w:jc w:val="center"/>
        </w:trPr>
        <w:tc>
          <w:tcPr>
            <w:tcW w:w="1513" w:type="pct"/>
            <w:tcBorders>
              <w:top w:val="nil"/>
              <w:left w:val="single" w:sz="4" w:space="0" w:color="auto"/>
              <w:bottom w:val="single" w:sz="4" w:space="0" w:color="auto"/>
              <w:right w:val="single" w:sz="4" w:space="0" w:color="auto"/>
            </w:tcBorders>
            <w:vAlign w:val="center"/>
          </w:tcPr>
          <w:p w14:paraId="3897C64E" w14:textId="77777777" w:rsidR="00322AE9" w:rsidRPr="00322AE9" w:rsidRDefault="00322AE9" w:rsidP="00827FEB">
            <w:pPr>
              <w:suppressAutoHyphens/>
              <w:adjustRightInd w:val="0"/>
              <w:ind w:firstLine="0"/>
              <w:jc w:val="center"/>
              <w:textAlignment w:val="baseline"/>
              <w:rPr>
                <w:rFonts w:eastAsia="Times New Roman" w:cs="Times New Roman"/>
                <w:color w:val="000000"/>
                <w:spacing w:val="-5"/>
                <w:sz w:val="20"/>
                <w:szCs w:val="24"/>
                <w:lang w:eastAsia="ru-RU"/>
              </w:rPr>
            </w:pPr>
            <w:r w:rsidRPr="00322AE9">
              <w:rPr>
                <w:rFonts w:eastAsia="Times New Roman" w:cs="Times New Roman"/>
                <w:color w:val="000000"/>
                <w:spacing w:val="-5"/>
                <w:sz w:val="20"/>
                <w:szCs w:val="24"/>
                <w:lang w:eastAsia="ru-RU"/>
              </w:rPr>
              <w:t>61001006000</w:t>
            </w:r>
          </w:p>
        </w:tc>
        <w:tc>
          <w:tcPr>
            <w:tcW w:w="2274" w:type="pct"/>
            <w:tcBorders>
              <w:top w:val="nil"/>
              <w:left w:val="single" w:sz="4" w:space="0" w:color="auto"/>
              <w:bottom w:val="single" w:sz="4" w:space="0" w:color="auto"/>
              <w:right w:val="single" w:sz="4" w:space="0" w:color="auto"/>
            </w:tcBorders>
            <w:shd w:val="clear" w:color="auto" w:fill="auto"/>
            <w:vAlign w:val="center"/>
            <w:hideMark/>
          </w:tcPr>
          <w:p w14:paraId="319F7A80" w14:textId="77777777" w:rsidR="00322AE9" w:rsidRPr="00322AE9" w:rsidRDefault="00322AE9" w:rsidP="003C59C1">
            <w:pPr>
              <w:suppressAutoHyphens/>
              <w:adjustRightInd w:val="0"/>
              <w:ind w:right="-117" w:firstLine="0"/>
              <w:jc w:val="left"/>
              <w:textAlignment w:val="baseline"/>
              <w:rPr>
                <w:rFonts w:eastAsia="Times New Roman" w:cs="Times New Roman"/>
                <w:spacing w:val="-5"/>
                <w:sz w:val="20"/>
                <w:szCs w:val="24"/>
              </w:rPr>
            </w:pPr>
            <w:r w:rsidRPr="00322AE9">
              <w:rPr>
                <w:rFonts w:eastAsia="Times New Roman" w:cs="Times New Roman"/>
                <w:spacing w:val="-5"/>
                <w:sz w:val="20"/>
                <w:szCs w:val="24"/>
              </w:rPr>
              <w:t>Бетонные</w:t>
            </w:r>
          </w:p>
        </w:tc>
        <w:tc>
          <w:tcPr>
            <w:tcW w:w="1213" w:type="pct"/>
            <w:tcBorders>
              <w:top w:val="nil"/>
              <w:left w:val="nil"/>
              <w:bottom w:val="single" w:sz="4" w:space="0" w:color="auto"/>
              <w:right w:val="single" w:sz="4" w:space="0" w:color="auto"/>
            </w:tcBorders>
            <w:shd w:val="clear" w:color="auto" w:fill="auto"/>
            <w:vAlign w:val="center"/>
            <w:hideMark/>
          </w:tcPr>
          <w:p w14:paraId="4E2B4403" w14:textId="77777777" w:rsidR="00322AE9" w:rsidRPr="00322AE9" w:rsidRDefault="00322AE9" w:rsidP="00827FEB">
            <w:pPr>
              <w:suppressAutoHyphens/>
              <w:adjustRightInd w:val="0"/>
              <w:ind w:firstLine="0"/>
              <w:jc w:val="center"/>
              <w:textAlignment w:val="baseline"/>
              <w:rPr>
                <w:rFonts w:eastAsia="Times New Roman" w:cs="Times New Roman"/>
                <w:color w:val="000000"/>
                <w:spacing w:val="-5"/>
                <w:sz w:val="20"/>
                <w:szCs w:val="24"/>
                <w:lang w:eastAsia="ru-RU"/>
              </w:rPr>
            </w:pPr>
            <w:r w:rsidRPr="00322AE9">
              <w:rPr>
                <w:rFonts w:eastAsia="Times New Roman" w:cs="Times New Roman"/>
                <w:color w:val="000000"/>
                <w:spacing w:val="-5"/>
                <w:sz w:val="20"/>
                <w:szCs w:val="24"/>
                <w:lang w:eastAsia="ru-RU"/>
              </w:rPr>
              <w:t>КС-3</w:t>
            </w:r>
          </w:p>
        </w:tc>
      </w:tr>
      <w:tr w:rsidR="00322AE9" w:rsidRPr="00322AE9" w14:paraId="3737E344" w14:textId="77777777" w:rsidTr="00BA3F56">
        <w:trPr>
          <w:trHeight w:val="20"/>
          <w:jc w:val="center"/>
        </w:trPr>
        <w:tc>
          <w:tcPr>
            <w:tcW w:w="1513" w:type="pct"/>
            <w:tcBorders>
              <w:top w:val="nil"/>
              <w:left w:val="single" w:sz="4" w:space="0" w:color="auto"/>
              <w:bottom w:val="single" w:sz="4" w:space="0" w:color="auto"/>
              <w:right w:val="single" w:sz="4" w:space="0" w:color="auto"/>
            </w:tcBorders>
            <w:vAlign w:val="center"/>
          </w:tcPr>
          <w:p w14:paraId="738272C3" w14:textId="77777777" w:rsidR="00322AE9" w:rsidRPr="00322AE9" w:rsidRDefault="00322AE9" w:rsidP="00827FEB">
            <w:pPr>
              <w:suppressAutoHyphens/>
              <w:adjustRightInd w:val="0"/>
              <w:ind w:firstLine="0"/>
              <w:jc w:val="center"/>
              <w:textAlignment w:val="baseline"/>
              <w:rPr>
                <w:rFonts w:eastAsia="Times New Roman" w:cs="Times New Roman"/>
                <w:color w:val="000000"/>
                <w:spacing w:val="-5"/>
                <w:sz w:val="20"/>
                <w:szCs w:val="24"/>
                <w:lang w:eastAsia="ru-RU"/>
              </w:rPr>
            </w:pPr>
            <w:r w:rsidRPr="00322AE9">
              <w:rPr>
                <w:rFonts w:eastAsia="Times New Roman" w:cs="Times New Roman"/>
                <w:color w:val="000000"/>
                <w:spacing w:val="-5"/>
                <w:sz w:val="20"/>
                <w:szCs w:val="24"/>
                <w:lang w:eastAsia="ru-RU"/>
              </w:rPr>
              <w:t>61001006001</w:t>
            </w:r>
          </w:p>
        </w:tc>
        <w:tc>
          <w:tcPr>
            <w:tcW w:w="2274" w:type="pct"/>
            <w:tcBorders>
              <w:top w:val="nil"/>
              <w:left w:val="single" w:sz="4" w:space="0" w:color="auto"/>
              <w:bottom w:val="single" w:sz="4" w:space="0" w:color="auto"/>
              <w:right w:val="single" w:sz="4" w:space="0" w:color="auto"/>
            </w:tcBorders>
            <w:shd w:val="clear" w:color="auto" w:fill="auto"/>
            <w:vAlign w:val="center"/>
            <w:hideMark/>
          </w:tcPr>
          <w:p w14:paraId="6E799AF3" w14:textId="77777777" w:rsidR="00322AE9" w:rsidRPr="00322AE9" w:rsidRDefault="00322AE9" w:rsidP="003C59C1">
            <w:pPr>
              <w:suppressAutoHyphens/>
              <w:adjustRightInd w:val="0"/>
              <w:ind w:right="-117" w:firstLine="0"/>
              <w:jc w:val="left"/>
              <w:textAlignment w:val="baseline"/>
              <w:rPr>
                <w:rFonts w:eastAsia="Times New Roman" w:cs="Times New Roman"/>
                <w:spacing w:val="-5"/>
                <w:sz w:val="20"/>
                <w:szCs w:val="24"/>
              </w:rPr>
            </w:pPr>
            <w:r w:rsidRPr="00322AE9">
              <w:rPr>
                <w:rFonts w:eastAsia="Times New Roman" w:cs="Times New Roman"/>
                <w:spacing w:val="-5"/>
                <w:sz w:val="20"/>
                <w:szCs w:val="24"/>
              </w:rPr>
              <w:t>Монолитные</w:t>
            </w:r>
          </w:p>
        </w:tc>
        <w:tc>
          <w:tcPr>
            <w:tcW w:w="1213" w:type="pct"/>
            <w:tcBorders>
              <w:top w:val="nil"/>
              <w:left w:val="nil"/>
              <w:bottom w:val="single" w:sz="4" w:space="0" w:color="auto"/>
              <w:right w:val="single" w:sz="4" w:space="0" w:color="auto"/>
            </w:tcBorders>
            <w:shd w:val="clear" w:color="auto" w:fill="auto"/>
            <w:vAlign w:val="center"/>
            <w:hideMark/>
          </w:tcPr>
          <w:p w14:paraId="4A3A3CB6" w14:textId="77777777" w:rsidR="00322AE9" w:rsidRPr="00322AE9" w:rsidRDefault="00322AE9" w:rsidP="00827FEB">
            <w:pPr>
              <w:suppressAutoHyphens/>
              <w:adjustRightInd w:val="0"/>
              <w:ind w:firstLine="0"/>
              <w:jc w:val="center"/>
              <w:textAlignment w:val="baseline"/>
              <w:rPr>
                <w:rFonts w:eastAsia="Times New Roman" w:cs="Times New Roman"/>
                <w:color w:val="000000"/>
                <w:spacing w:val="-5"/>
                <w:sz w:val="20"/>
                <w:szCs w:val="24"/>
                <w:lang w:eastAsia="ru-RU"/>
              </w:rPr>
            </w:pPr>
            <w:r w:rsidRPr="00322AE9">
              <w:rPr>
                <w:rFonts w:eastAsia="Times New Roman" w:cs="Times New Roman"/>
                <w:color w:val="000000"/>
                <w:spacing w:val="-5"/>
                <w:sz w:val="20"/>
                <w:szCs w:val="24"/>
                <w:lang w:eastAsia="ru-RU"/>
              </w:rPr>
              <w:t>КС-3</w:t>
            </w:r>
          </w:p>
        </w:tc>
      </w:tr>
      <w:tr w:rsidR="00322AE9" w:rsidRPr="00322AE9" w14:paraId="252CCDC9" w14:textId="77777777" w:rsidTr="00BA3F56">
        <w:trPr>
          <w:trHeight w:val="20"/>
          <w:jc w:val="center"/>
        </w:trPr>
        <w:tc>
          <w:tcPr>
            <w:tcW w:w="1513" w:type="pct"/>
            <w:tcBorders>
              <w:top w:val="nil"/>
              <w:left w:val="single" w:sz="4" w:space="0" w:color="auto"/>
              <w:bottom w:val="single" w:sz="4" w:space="0" w:color="auto"/>
              <w:right w:val="single" w:sz="4" w:space="0" w:color="auto"/>
            </w:tcBorders>
            <w:vAlign w:val="center"/>
          </w:tcPr>
          <w:p w14:paraId="761676AD" w14:textId="77777777" w:rsidR="00322AE9" w:rsidRPr="00322AE9" w:rsidRDefault="00322AE9" w:rsidP="00827FEB">
            <w:pPr>
              <w:suppressAutoHyphens/>
              <w:adjustRightInd w:val="0"/>
              <w:ind w:firstLine="0"/>
              <w:jc w:val="center"/>
              <w:textAlignment w:val="baseline"/>
              <w:rPr>
                <w:rFonts w:eastAsia="Times New Roman" w:cs="Times New Roman"/>
                <w:color w:val="000000"/>
                <w:spacing w:val="-5"/>
                <w:sz w:val="20"/>
                <w:szCs w:val="24"/>
                <w:lang w:eastAsia="ru-RU"/>
              </w:rPr>
            </w:pPr>
            <w:r w:rsidRPr="00322AE9">
              <w:rPr>
                <w:rFonts w:eastAsia="Times New Roman" w:cs="Times New Roman"/>
                <w:color w:val="000000"/>
                <w:spacing w:val="-5"/>
                <w:sz w:val="20"/>
                <w:szCs w:val="24"/>
                <w:lang w:eastAsia="ru-RU"/>
              </w:rPr>
              <w:t>61001006002</w:t>
            </w:r>
          </w:p>
        </w:tc>
        <w:tc>
          <w:tcPr>
            <w:tcW w:w="2274" w:type="pct"/>
            <w:tcBorders>
              <w:top w:val="nil"/>
              <w:left w:val="single" w:sz="4" w:space="0" w:color="auto"/>
              <w:bottom w:val="single" w:sz="4" w:space="0" w:color="auto"/>
              <w:right w:val="single" w:sz="4" w:space="0" w:color="auto"/>
            </w:tcBorders>
            <w:shd w:val="clear" w:color="auto" w:fill="auto"/>
            <w:vAlign w:val="center"/>
            <w:hideMark/>
          </w:tcPr>
          <w:p w14:paraId="56D3B5EB" w14:textId="77777777" w:rsidR="00322AE9" w:rsidRPr="00322AE9" w:rsidRDefault="00322AE9" w:rsidP="003C59C1">
            <w:pPr>
              <w:suppressAutoHyphens/>
              <w:adjustRightInd w:val="0"/>
              <w:ind w:right="-117" w:firstLine="0"/>
              <w:jc w:val="left"/>
              <w:textAlignment w:val="baseline"/>
              <w:rPr>
                <w:rFonts w:eastAsia="Times New Roman" w:cs="Times New Roman"/>
                <w:spacing w:val="-5"/>
                <w:sz w:val="20"/>
                <w:szCs w:val="24"/>
              </w:rPr>
            </w:pPr>
            <w:r w:rsidRPr="00322AE9">
              <w:rPr>
                <w:rFonts w:eastAsia="Times New Roman" w:cs="Times New Roman"/>
                <w:spacing w:val="-5"/>
                <w:sz w:val="20"/>
                <w:szCs w:val="24"/>
              </w:rPr>
              <w:t>Из мелких бетонных блоков</w:t>
            </w:r>
          </w:p>
        </w:tc>
        <w:tc>
          <w:tcPr>
            <w:tcW w:w="1213" w:type="pct"/>
            <w:tcBorders>
              <w:top w:val="nil"/>
              <w:left w:val="nil"/>
              <w:bottom w:val="single" w:sz="4" w:space="0" w:color="auto"/>
              <w:right w:val="single" w:sz="4" w:space="0" w:color="auto"/>
            </w:tcBorders>
            <w:shd w:val="clear" w:color="auto" w:fill="auto"/>
            <w:vAlign w:val="center"/>
            <w:hideMark/>
          </w:tcPr>
          <w:p w14:paraId="12F6E7F1" w14:textId="77777777" w:rsidR="00322AE9" w:rsidRPr="00322AE9" w:rsidRDefault="00322AE9" w:rsidP="00827FEB">
            <w:pPr>
              <w:suppressAutoHyphens/>
              <w:adjustRightInd w:val="0"/>
              <w:ind w:firstLine="0"/>
              <w:jc w:val="center"/>
              <w:textAlignment w:val="baseline"/>
              <w:rPr>
                <w:rFonts w:eastAsia="Times New Roman" w:cs="Times New Roman"/>
                <w:color w:val="000000"/>
                <w:spacing w:val="-5"/>
                <w:sz w:val="20"/>
                <w:szCs w:val="24"/>
                <w:lang w:eastAsia="ru-RU"/>
              </w:rPr>
            </w:pPr>
            <w:r w:rsidRPr="00322AE9">
              <w:rPr>
                <w:rFonts w:eastAsia="Times New Roman" w:cs="Times New Roman"/>
                <w:color w:val="000000"/>
                <w:spacing w:val="-5"/>
                <w:sz w:val="20"/>
                <w:szCs w:val="24"/>
                <w:lang w:eastAsia="ru-RU"/>
              </w:rPr>
              <w:t>КС-3</w:t>
            </w:r>
          </w:p>
        </w:tc>
      </w:tr>
      <w:tr w:rsidR="00322AE9" w:rsidRPr="00322AE9" w14:paraId="48C803DD" w14:textId="77777777" w:rsidTr="00BA3F56">
        <w:trPr>
          <w:trHeight w:val="20"/>
          <w:jc w:val="center"/>
        </w:trPr>
        <w:tc>
          <w:tcPr>
            <w:tcW w:w="1513" w:type="pct"/>
            <w:tcBorders>
              <w:top w:val="nil"/>
              <w:left w:val="single" w:sz="4" w:space="0" w:color="auto"/>
              <w:bottom w:val="single" w:sz="4" w:space="0" w:color="auto"/>
              <w:right w:val="single" w:sz="4" w:space="0" w:color="auto"/>
            </w:tcBorders>
            <w:vAlign w:val="center"/>
          </w:tcPr>
          <w:p w14:paraId="42DF6B91" w14:textId="77777777" w:rsidR="00322AE9" w:rsidRPr="00322AE9" w:rsidRDefault="00322AE9" w:rsidP="00827FEB">
            <w:pPr>
              <w:suppressAutoHyphens/>
              <w:adjustRightInd w:val="0"/>
              <w:ind w:firstLine="0"/>
              <w:jc w:val="center"/>
              <w:textAlignment w:val="baseline"/>
              <w:rPr>
                <w:rFonts w:eastAsia="Times New Roman" w:cs="Times New Roman"/>
                <w:color w:val="000000"/>
                <w:spacing w:val="-5"/>
                <w:sz w:val="20"/>
                <w:szCs w:val="24"/>
                <w:highlight w:val="red"/>
                <w:lang w:eastAsia="ru-RU"/>
              </w:rPr>
            </w:pPr>
            <w:r w:rsidRPr="00322AE9">
              <w:rPr>
                <w:rFonts w:eastAsia="Times New Roman" w:cs="Times New Roman"/>
                <w:color w:val="000000"/>
                <w:spacing w:val="-5"/>
                <w:sz w:val="20"/>
                <w:szCs w:val="24"/>
                <w:lang w:eastAsia="ru-RU"/>
              </w:rPr>
              <w:t>61001006003</w:t>
            </w:r>
          </w:p>
        </w:tc>
        <w:tc>
          <w:tcPr>
            <w:tcW w:w="2274" w:type="pct"/>
            <w:tcBorders>
              <w:top w:val="nil"/>
              <w:left w:val="single" w:sz="4" w:space="0" w:color="auto"/>
              <w:bottom w:val="single" w:sz="4" w:space="0" w:color="auto"/>
              <w:right w:val="single" w:sz="4" w:space="0" w:color="auto"/>
            </w:tcBorders>
            <w:shd w:val="clear" w:color="auto" w:fill="auto"/>
            <w:vAlign w:val="center"/>
            <w:hideMark/>
          </w:tcPr>
          <w:p w14:paraId="102E6176" w14:textId="77777777" w:rsidR="00322AE9" w:rsidRPr="00322AE9" w:rsidRDefault="00322AE9" w:rsidP="003C59C1">
            <w:pPr>
              <w:suppressAutoHyphens/>
              <w:adjustRightInd w:val="0"/>
              <w:ind w:right="-117" w:firstLine="0"/>
              <w:jc w:val="left"/>
              <w:textAlignment w:val="baseline"/>
              <w:rPr>
                <w:rFonts w:eastAsia="Times New Roman" w:cs="Times New Roman"/>
                <w:spacing w:val="-5"/>
                <w:sz w:val="20"/>
                <w:szCs w:val="24"/>
              </w:rPr>
            </w:pPr>
            <w:r w:rsidRPr="00322AE9">
              <w:rPr>
                <w:rFonts w:eastAsia="Times New Roman" w:cs="Times New Roman"/>
                <w:spacing w:val="-5"/>
                <w:sz w:val="20"/>
                <w:szCs w:val="24"/>
              </w:rPr>
              <w:t>Из легкобетонных панелей</w:t>
            </w:r>
          </w:p>
        </w:tc>
        <w:tc>
          <w:tcPr>
            <w:tcW w:w="1213" w:type="pct"/>
            <w:tcBorders>
              <w:top w:val="nil"/>
              <w:left w:val="nil"/>
              <w:bottom w:val="single" w:sz="4" w:space="0" w:color="auto"/>
              <w:right w:val="single" w:sz="4" w:space="0" w:color="auto"/>
            </w:tcBorders>
            <w:shd w:val="clear" w:color="auto" w:fill="auto"/>
            <w:vAlign w:val="center"/>
            <w:hideMark/>
          </w:tcPr>
          <w:p w14:paraId="5E5D9FCA" w14:textId="77777777" w:rsidR="00322AE9" w:rsidRPr="00322AE9" w:rsidRDefault="00322AE9" w:rsidP="00827FEB">
            <w:pPr>
              <w:suppressAutoHyphens/>
              <w:adjustRightInd w:val="0"/>
              <w:ind w:firstLine="0"/>
              <w:jc w:val="center"/>
              <w:textAlignment w:val="baseline"/>
              <w:rPr>
                <w:rFonts w:eastAsia="Times New Roman" w:cs="Times New Roman"/>
                <w:color w:val="000000"/>
                <w:spacing w:val="-5"/>
                <w:sz w:val="20"/>
                <w:szCs w:val="24"/>
                <w:lang w:eastAsia="ru-RU"/>
              </w:rPr>
            </w:pPr>
            <w:r w:rsidRPr="00322AE9">
              <w:rPr>
                <w:rFonts w:eastAsia="Times New Roman" w:cs="Times New Roman"/>
                <w:color w:val="000000"/>
                <w:spacing w:val="-5"/>
                <w:sz w:val="20"/>
                <w:szCs w:val="24"/>
                <w:lang w:eastAsia="ru-RU"/>
              </w:rPr>
              <w:t>КС-3</w:t>
            </w:r>
          </w:p>
        </w:tc>
      </w:tr>
      <w:tr w:rsidR="00322AE9" w:rsidRPr="00322AE9" w14:paraId="5342AAE9" w14:textId="77777777" w:rsidTr="00BA3F56">
        <w:trPr>
          <w:trHeight w:val="20"/>
          <w:jc w:val="center"/>
        </w:trPr>
        <w:tc>
          <w:tcPr>
            <w:tcW w:w="1513" w:type="pct"/>
            <w:tcBorders>
              <w:top w:val="nil"/>
              <w:left w:val="single" w:sz="4" w:space="0" w:color="auto"/>
              <w:bottom w:val="single" w:sz="4" w:space="0" w:color="auto"/>
              <w:right w:val="single" w:sz="4" w:space="0" w:color="auto"/>
            </w:tcBorders>
            <w:vAlign w:val="center"/>
          </w:tcPr>
          <w:p w14:paraId="3C491C50" w14:textId="77777777" w:rsidR="00322AE9" w:rsidRPr="00322AE9" w:rsidRDefault="00322AE9" w:rsidP="00827FEB">
            <w:pPr>
              <w:suppressAutoHyphens/>
              <w:adjustRightInd w:val="0"/>
              <w:ind w:firstLine="0"/>
              <w:jc w:val="center"/>
              <w:textAlignment w:val="baseline"/>
              <w:rPr>
                <w:rFonts w:eastAsia="Times New Roman" w:cs="Times New Roman"/>
                <w:color w:val="000000"/>
                <w:spacing w:val="-5"/>
                <w:sz w:val="20"/>
                <w:szCs w:val="24"/>
                <w:lang w:eastAsia="ru-RU"/>
              </w:rPr>
            </w:pPr>
            <w:r w:rsidRPr="00322AE9">
              <w:rPr>
                <w:rFonts w:eastAsia="Times New Roman" w:cs="Times New Roman"/>
                <w:color w:val="000000"/>
                <w:spacing w:val="-5"/>
                <w:sz w:val="20"/>
                <w:szCs w:val="24"/>
                <w:lang w:eastAsia="ru-RU"/>
              </w:rPr>
              <w:t>61001007000</w:t>
            </w:r>
          </w:p>
        </w:tc>
        <w:tc>
          <w:tcPr>
            <w:tcW w:w="2274" w:type="pct"/>
            <w:tcBorders>
              <w:top w:val="nil"/>
              <w:left w:val="single" w:sz="4" w:space="0" w:color="auto"/>
              <w:bottom w:val="single" w:sz="4" w:space="0" w:color="auto"/>
              <w:right w:val="single" w:sz="4" w:space="0" w:color="auto"/>
            </w:tcBorders>
            <w:shd w:val="clear" w:color="auto" w:fill="auto"/>
            <w:vAlign w:val="center"/>
            <w:hideMark/>
          </w:tcPr>
          <w:p w14:paraId="5BCFF989" w14:textId="77777777" w:rsidR="00322AE9" w:rsidRPr="00322AE9" w:rsidRDefault="00322AE9" w:rsidP="003C59C1">
            <w:pPr>
              <w:suppressAutoHyphens/>
              <w:adjustRightInd w:val="0"/>
              <w:ind w:right="-117" w:firstLine="0"/>
              <w:jc w:val="left"/>
              <w:textAlignment w:val="baseline"/>
              <w:rPr>
                <w:rFonts w:eastAsia="Times New Roman" w:cs="Times New Roman"/>
                <w:spacing w:val="-5"/>
                <w:sz w:val="20"/>
                <w:szCs w:val="24"/>
              </w:rPr>
            </w:pPr>
            <w:r w:rsidRPr="00322AE9">
              <w:rPr>
                <w:rFonts w:eastAsia="Times New Roman" w:cs="Times New Roman"/>
                <w:spacing w:val="-5"/>
                <w:sz w:val="20"/>
                <w:szCs w:val="24"/>
              </w:rPr>
              <w:t>Железобетонные</w:t>
            </w:r>
          </w:p>
        </w:tc>
        <w:tc>
          <w:tcPr>
            <w:tcW w:w="1213" w:type="pct"/>
            <w:tcBorders>
              <w:top w:val="nil"/>
              <w:left w:val="nil"/>
              <w:bottom w:val="single" w:sz="4" w:space="0" w:color="auto"/>
              <w:right w:val="single" w:sz="4" w:space="0" w:color="auto"/>
            </w:tcBorders>
            <w:shd w:val="clear" w:color="auto" w:fill="auto"/>
            <w:vAlign w:val="center"/>
            <w:hideMark/>
          </w:tcPr>
          <w:p w14:paraId="54A4D9C1" w14:textId="77777777" w:rsidR="00322AE9" w:rsidRPr="00322AE9" w:rsidRDefault="00322AE9" w:rsidP="00827FEB">
            <w:pPr>
              <w:suppressAutoHyphens/>
              <w:adjustRightInd w:val="0"/>
              <w:ind w:firstLine="0"/>
              <w:jc w:val="center"/>
              <w:textAlignment w:val="baseline"/>
              <w:rPr>
                <w:rFonts w:eastAsia="Times New Roman" w:cs="Times New Roman"/>
                <w:color w:val="000000"/>
                <w:spacing w:val="-5"/>
                <w:sz w:val="20"/>
                <w:szCs w:val="24"/>
                <w:lang w:eastAsia="ru-RU"/>
              </w:rPr>
            </w:pPr>
            <w:r w:rsidRPr="00322AE9">
              <w:rPr>
                <w:rFonts w:eastAsia="Times New Roman" w:cs="Times New Roman"/>
                <w:color w:val="000000"/>
                <w:spacing w:val="-5"/>
                <w:sz w:val="20"/>
                <w:szCs w:val="24"/>
                <w:lang w:eastAsia="ru-RU"/>
              </w:rPr>
              <w:t xml:space="preserve">КС-3 </w:t>
            </w:r>
          </w:p>
        </w:tc>
      </w:tr>
      <w:tr w:rsidR="00322AE9" w:rsidRPr="00322AE9" w14:paraId="22602D80" w14:textId="77777777" w:rsidTr="00BA3F56">
        <w:trPr>
          <w:trHeight w:val="20"/>
          <w:jc w:val="center"/>
        </w:trPr>
        <w:tc>
          <w:tcPr>
            <w:tcW w:w="1513" w:type="pct"/>
            <w:tcBorders>
              <w:top w:val="nil"/>
              <w:left w:val="single" w:sz="4" w:space="0" w:color="auto"/>
              <w:bottom w:val="single" w:sz="4" w:space="0" w:color="auto"/>
              <w:right w:val="single" w:sz="4" w:space="0" w:color="auto"/>
            </w:tcBorders>
            <w:vAlign w:val="center"/>
          </w:tcPr>
          <w:p w14:paraId="3FA398C4" w14:textId="77777777" w:rsidR="00322AE9" w:rsidRPr="00322AE9" w:rsidRDefault="00322AE9" w:rsidP="00827FEB">
            <w:pPr>
              <w:suppressAutoHyphens/>
              <w:adjustRightInd w:val="0"/>
              <w:ind w:firstLine="0"/>
              <w:jc w:val="center"/>
              <w:textAlignment w:val="baseline"/>
              <w:rPr>
                <w:rFonts w:eastAsia="Times New Roman" w:cs="Times New Roman"/>
                <w:color w:val="000000"/>
                <w:spacing w:val="-5"/>
                <w:sz w:val="20"/>
                <w:szCs w:val="24"/>
                <w:lang w:eastAsia="ru-RU"/>
              </w:rPr>
            </w:pPr>
            <w:r w:rsidRPr="00322AE9">
              <w:rPr>
                <w:rFonts w:eastAsia="Times New Roman" w:cs="Times New Roman"/>
                <w:color w:val="000000"/>
                <w:spacing w:val="-5"/>
                <w:sz w:val="20"/>
                <w:szCs w:val="24"/>
                <w:lang w:eastAsia="ru-RU"/>
              </w:rPr>
              <w:t>61001007001</w:t>
            </w:r>
          </w:p>
        </w:tc>
        <w:tc>
          <w:tcPr>
            <w:tcW w:w="2274" w:type="pct"/>
            <w:tcBorders>
              <w:top w:val="nil"/>
              <w:left w:val="single" w:sz="4" w:space="0" w:color="auto"/>
              <w:bottom w:val="single" w:sz="4" w:space="0" w:color="auto"/>
              <w:right w:val="single" w:sz="4" w:space="0" w:color="auto"/>
            </w:tcBorders>
            <w:shd w:val="clear" w:color="auto" w:fill="auto"/>
            <w:vAlign w:val="center"/>
            <w:hideMark/>
          </w:tcPr>
          <w:p w14:paraId="0228752B" w14:textId="77777777" w:rsidR="00322AE9" w:rsidRPr="00322AE9" w:rsidRDefault="00322AE9" w:rsidP="003C59C1">
            <w:pPr>
              <w:suppressAutoHyphens/>
              <w:adjustRightInd w:val="0"/>
              <w:ind w:right="-117" w:firstLine="0"/>
              <w:jc w:val="left"/>
              <w:textAlignment w:val="baseline"/>
              <w:rPr>
                <w:rFonts w:eastAsia="Times New Roman" w:cs="Times New Roman"/>
                <w:spacing w:val="-5"/>
                <w:sz w:val="20"/>
                <w:szCs w:val="24"/>
              </w:rPr>
            </w:pPr>
            <w:r w:rsidRPr="00322AE9">
              <w:rPr>
                <w:rFonts w:eastAsia="Times New Roman" w:cs="Times New Roman"/>
                <w:spacing w:val="-5"/>
                <w:sz w:val="20"/>
                <w:szCs w:val="24"/>
              </w:rPr>
              <w:t>Крупнопанельные</w:t>
            </w:r>
          </w:p>
        </w:tc>
        <w:tc>
          <w:tcPr>
            <w:tcW w:w="1213" w:type="pct"/>
            <w:tcBorders>
              <w:top w:val="nil"/>
              <w:left w:val="nil"/>
              <w:bottom w:val="single" w:sz="4" w:space="0" w:color="auto"/>
              <w:right w:val="single" w:sz="4" w:space="0" w:color="auto"/>
            </w:tcBorders>
            <w:shd w:val="clear" w:color="auto" w:fill="auto"/>
            <w:vAlign w:val="center"/>
            <w:hideMark/>
          </w:tcPr>
          <w:p w14:paraId="65239D8E" w14:textId="77777777" w:rsidR="00322AE9" w:rsidRPr="00322AE9" w:rsidRDefault="00322AE9" w:rsidP="00827FEB">
            <w:pPr>
              <w:suppressAutoHyphens/>
              <w:adjustRightInd w:val="0"/>
              <w:ind w:firstLine="0"/>
              <w:jc w:val="center"/>
              <w:textAlignment w:val="baseline"/>
              <w:rPr>
                <w:rFonts w:eastAsia="Times New Roman" w:cs="Times New Roman"/>
                <w:color w:val="000000"/>
                <w:spacing w:val="-5"/>
                <w:sz w:val="20"/>
                <w:szCs w:val="24"/>
                <w:lang w:eastAsia="ru-RU"/>
              </w:rPr>
            </w:pPr>
            <w:r w:rsidRPr="00322AE9">
              <w:rPr>
                <w:rFonts w:eastAsia="Times New Roman" w:cs="Times New Roman"/>
                <w:color w:val="000000"/>
                <w:spacing w:val="-5"/>
                <w:sz w:val="20"/>
                <w:szCs w:val="24"/>
                <w:lang w:eastAsia="ru-RU"/>
              </w:rPr>
              <w:t>КС-3</w:t>
            </w:r>
          </w:p>
        </w:tc>
      </w:tr>
      <w:tr w:rsidR="00322AE9" w:rsidRPr="00322AE9" w14:paraId="224F7911" w14:textId="77777777" w:rsidTr="00BA3F56">
        <w:trPr>
          <w:trHeight w:val="20"/>
          <w:jc w:val="center"/>
        </w:trPr>
        <w:tc>
          <w:tcPr>
            <w:tcW w:w="1513" w:type="pct"/>
            <w:tcBorders>
              <w:top w:val="nil"/>
              <w:left w:val="single" w:sz="4" w:space="0" w:color="auto"/>
              <w:bottom w:val="single" w:sz="4" w:space="0" w:color="auto"/>
              <w:right w:val="single" w:sz="4" w:space="0" w:color="auto"/>
            </w:tcBorders>
            <w:vAlign w:val="center"/>
          </w:tcPr>
          <w:p w14:paraId="5EBE5AF8" w14:textId="77777777" w:rsidR="00322AE9" w:rsidRPr="00322AE9" w:rsidRDefault="00322AE9" w:rsidP="00827FEB">
            <w:pPr>
              <w:suppressAutoHyphens/>
              <w:adjustRightInd w:val="0"/>
              <w:ind w:firstLine="0"/>
              <w:jc w:val="center"/>
              <w:textAlignment w:val="baseline"/>
              <w:rPr>
                <w:rFonts w:eastAsia="Times New Roman" w:cs="Times New Roman"/>
                <w:color w:val="000000"/>
                <w:spacing w:val="-5"/>
                <w:sz w:val="20"/>
                <w:szCs w:val="24"/>
                <w:lang w:eastAsia="ru-RU"/>
              </w:rPr>
            </w:pPr>
            <w:r w:rsidRPr="00322AE9">
              <w:rPr>
                <w:rFonts w:eastAsia="Times New Roman" w:cs="Times New Roman"/>
                <w:color w:val="000000"/>
                <w:spacing w:val="-5"/>
                <w:sz w:val="20"/>
                <w:szCs w:val="24"/>
                <w:lang w:eastAsia="ru-RU"/>
              </w:rPr>
              <w:t>61001007002</w:t>
            </w:r>
          </w:p>
        </w:tc>
        <w:tc>
          <w:tcPr>
            <w:tcW w:w="2274" w:type="pct"/>
            <w:tcBorders>
              <w:top w:val="nil"/>
              <w:left w:val="single" w:sz="4" w:space="0" w:color="auto"/>
              <w:bottom w:val="single" w:sz="4" w:space="0" w:color="auto"/>
              <w:right w:val="single" w:sz="4" w:space="0" w:color="auto"/>
            </w:tcBorders>
            <w:shd w:val="clear" w:color="auto" w:fill="auto"/>
            <w:vAlign w:val="center"/>
            <w:hideMark/>
          </w:tcPr>
          <w:p w14:paraId="47B4C345" w14:textId="77777777" w:rsidR="00322AE9" w:rsidRPr="00322AE9" w:rsidRDefault="00322AE9" w:rsidP="003C59C1">
            <w:pPr>
              <w:suppressAutoHyphens/>
              <w:adjustRightInd w:val="0"/>
              <w:ind w:right="-117" w:firstLine="0"/>
              <w:jc w:val="left"/>
              <w:textAlignment w:val="baseline"/>
              <w:rPr>
                <w:rFonts w:eastAsia="Times New Roman" w:cs="Times New Roman"/>
                <w:spacing w:val="-5"/>
                <w:sz w:val="20"/>
                <w:szCs w:val="24"/>
              </w:rPr>
            </w:pPr>
            <w:r w:rsidRPr="00322AE9">
              <w:rPr>
                <w:rFonts w:eastAsia="Times New Roman" w:cs="Times New Roman"/>
                <w:spacing w:val="-5"/>
                <w:sz w:val="20"/>
                <w:szCs w:val="24"/>
              </w:rPr>
              <w:t>Каркасно-панельные</w:t>
            </w:r>
          </w:p>
        </w:tc>
        <w:tc>
          <w:tcPr>
            <w:tcW w:w="1213" w:type="pct"/>
            <w:tcBorders>
              <w:top w:val="nil"/>
              <w:left w:val="nil"/>
              <w:bottom w:val="single" w:sz="4" w:space="0" w:color="auto"/>
              <w:right w:val="single" w:sz="4" w:space="0" w:color="auto"/>
            </w:tcBorders>
            <w:shd w:val="clear" w:color="auto" w:fill="auto"/>
            <w:vAlign w:val="center"/>
            <w:hideMark/>
          </w:tcPr>
          <w:p w14:paraId="7CB40C79" w14:textId="77777777" w:rsidR="00322AE9" w:rsidRPr="00322AE9" w:rsidRDefault="00322AE9" w:rsidP="00827FEB">
            <w:pPr>
              <w:suppressAutoHyphens/>
              <w:adjustRightInd w:val="0"/>
              <w:ind w:firstLine="0"/>
              <w:jc w:val="center"/>
              <w:textAlignment w:val="baseline"/>
              <w:rPr>
                <w:rFonts w:eastAsia="Times New Roman" w:cs="Times New Roman"/>
                <w:color w:val="000000"/>
                <w:spacing w:val="-5"/>
                <w:sz w:val="20"/>
                <w:szCs w:val="24"/>
                <w:lang w:eastAsia="ru-RU"/>
              </w:rPr>
            </w:pPr>
            <w:r w:rsidRPr="00322AE9">
              <w:rPr>
                <w:rFonts w:eastAsia="Times New Roman" w:cs="Times New Roman"/>
                <w:color w:val="000000"/>
                <w:spacing w:val="-5"/>
                <w:sz w:val="20"/>
                <w:szCs w:val="24"/>
                <w:lang w:eastAsia="ru-RU"/>
              </w:rPr>
              <w:t>КС-3</w:t>
            </w:r>
          </w:p>
        </w:tc>
      </w:tr>
      <w:tr w:rsidR="00322AE9" w:rsidRPr="00322AE9" w14:paraId="112FE849" w14:textId="77777777" w:rsidTr="00BA3F56">
        <w:trPr>
          <w:trHeight w:val="20"/>
          <w:jc w:val="center"/>
        </w:trPr>
        <w:tc>
          <w:tcPr>
            <w:tcW w:w="1513" w:type="pct"/>
            <w:tcBorders>
              <w:top w:val="nil"/>
              <w:left w:val="single" w:sz="4" w:space="0" w:color="auto"/>
              <w:bottom w:val="single" w:sz="4" w:space="0" w:color="auto"/>
              <w:right w:val="single" w:sz="4" w:space="0" w:color="auto"/>
            </w:tcBorders>
            <w:vAlign w:val="center"/>
          </w:tcPr>
          <w:p w14:paraId="5DE4456F" w14:textId="77777777" w:rsidR="00322AE9" w:rsidRPr="00322AE9" w:rsidRDefault="00322AE9" w:rsidP="00827FEB">
            <w:pPr>
              <w:suppressAutoHyphens/>
              <w:adjustRightInd w:val="0"/>
              <w:ind w:firstLine="0"/>
              <w:jc w:val="center"/>
              <w:textAlignment w:val="baseline"/>
              <w:rPr>
                <w:rFonts w:eastAsia="Times New Roman" w:cs="Times New Roman"/>
                <w:color w:val="000000"/>
                <w:spacing w:val="-5"/>
                <w:sz w:val="20"/>
                <w:szCs w:val="24"/>
                <w:lang w:eastAsia="ru-RU"/>
              </w:rPr>
            </w:pPr>
            <w:r w:rsidRPr="00322AE9">
              <w:rPr>
                <w:rFonts w:eastAsia="Times New Roman" w:cs="Times New Roman"/>
                <w:color w:val="000000"/>
                <w:spacing w:val="-5"/>
                <w:sz w:val="20"/>
                <w:szCs w:val="24"/>
                <w:lang w:eastAsia="ru-RU"/>
              </w:rPr>
              <w:t>61001007003</w:t>
            </w:r>
          </w:p>
        </w:tc>
        <w:tc>
          <w:tcPr>
            <w:tcW w:w="2274" w:type="pct"/>
            <w:tcBorders>
              <w:top w:val="nil"/>
              <w:left w:val="single" w:sz="4" w:space="0" w:color="auto"/>
              <w:bottom w:val="single" w:sz="4" w:space="0" w:color="auto"/>
              <w:right w:val="single" w:sz="4" w:space="0" w:color="auto"/>
            </w:tcBorders>
            <w:shd w:val="clear" w:color="auto" w:fill="auto"/>
            <w:vAlign w:val="center"/>
            <w:hideMark/>
          </w:tcPr>
          <w:p w14:paraId="19489F60" w14:textId="77777777" w:rsidR="00322AE9" w:rsidRPr="00322AE9" w:rsidRDefault="00322AE9" w:rsidP="003C59C1">
            <w:pPr>
              <w:suppressAutoHyphens/>
              <w:adjustRightInd w:val="0"/>
              <w:ind w:right="-117" w:firstLine="0"/>
              <w:jc w:val="left"/>
              <w:textAlignment w:val="baseline"/>
              <w:rPr>
                <w:rFonts w:eastAsia="Times New Roman" w:cs="Times New Roman"/>
                <w:spacing w:val="-5"/>
                <w:sz w:val="20"/>
                <w:szCs w:val="24"/>
              </w:rPr>
            </w:pPr>
            <w:r w:rsidRPr="00322AE9">
              <w:rPr>
                <w:rFonts w:eastAsia="Times New Roman" w:cs="Times New Roman"/>
                <w:spacing w:val="-5"/>
                <w:sz w:val="20"/>
                <w:szCs w:val="24"/>
              </w:rPr>
              <w:t>Монолитные</w:t>
            </w:r>
          </w:p>
        </w:tc>
        <w:tc>
          <w:tcPr>
            <w:tcW w:w="1213" w:type="pct"/>
            <w:tcBorders>
              <w:top w:val="nil"/>
              <w:left w:val="nil"/>
              <w:bottom w:val="single" w:sz="4" w:space="0" w:color="auto"/>
              <w:right w:val="single" w:sz="4" w:space="0" w:color="auto"/>
            </w:tcBorders>
            <w:shd w:val="clear" w:color="auto" w:fill="auto"/>
            <w:vAlign w:val="center"/>
            <w:hideMark/>
          </w:tcPr>
          <w:p w14:paraId="1216D682" w14:textId="77777777" w:rsidR="00322AE9" w:rsidRPr="00322AE9" w:rsidRDefault="00322AE9" w:rsidP="00827FEB">
            <w:pPr>
              <w:suppressAutoHyphens/>
              <w:adjustRightInd w:val="0"/>
              <w:ind w:firstLine="0"/>
              <w:jc w:val="center"/>
              <w:textAlignment w:val="baseline"/>
              <w:rPr>
                <w:rFonts w:eastAsia="Times New Roman" w:cs="Times New Roman"/>
                <w:color w:val="000000"/>
                <w:spacing w:val="-5"/>
                <w:sz w:val="20"/>
                <w:szCs w:val="24"/>
                <w:lang w:eastAsia="ru-RU"/>
              </w:rPr>
            </w:pPr>
            <w:r w:rsidRPr="00322AE9">
              <w:rPr>
                <w:rFonts w:eastAsia="Times New Roman" w:cs="Times New Roman"/>
                <w:color w:val="000000"/>
                <w:spacing w:val="-5"/>
                <w:sz w:val="20"/>
                <w:szCs w:val="24"/>
                <w:lang w:eastAsia="ru-RU"/>
              </w:rPr>
              <w:t>КС-3</w:t>
            </w:r>
          </w:p>
        </w:tc>
      </w:tr>
      <w:tr w:rsidR="00322AE9" w:rsidRPr="00322AE9" w14:paraId="3A25169F" w14:textId="77777777" w:rsidTr="00BA3F56">
        <w:trPr>
          <w:trHeight w:val="20"/>
          <w:jc w:val="center"/>
        </w:trPr>
        <w:tc>
          <w:tcPr>
            <w:tcW w:w="1513" w:type="pct"/>
            <w:tcBorders>
              <w:top w:val="nil"/>
              <w:left w:val="single" w:sz="4" w:space="0" w:color="auto"/>
              <w:bottom w:val="single" w:sz="4" w:space="0" w:color="auto"/>
              <w:right w:val="single" w:sz="4" w:space="0" w:color="auto"/>
            </w:tcBorders>
            <w:vAlign w:val="center"/>
          </w:tcPr>
          <w:p w14:paraId="75EEEEB1" w14:textId="77777777" w:rsidR="00322AE9" w:rsidRPr="00322AE9" w:rsidRDefault="00322AE9" w:rsidP="00827FEB">
            <w:pPr>
              <w:suppressAutoHyphens/>
              <w:adjustRightInd w:val="0"/>
              <w:ind w:firstLine="0"/>
              <w:jc w:val="center"/>
              <w:textAlignment w:val="baseline"/>
              <w:rPr>
                <w:rFonts w:eastAsia="Times New Roman" w:cs="Times New Roman"/>
                <w:color w:val="000000"/>
                <w:spacing w:val="-5"/>
                <w:sz w:val="20"/>
                <w:szCs w:val="24"/>
                <w:lang w:eastAsia="ru-RU"/>
              </w:rPr>
            </w:pPr>
            <w:r w:rsidRPr="00322AE9">
              <w:rPr>
                <w:rFonts w:eastAsia="Times New Roman" w:cs="Times New Roman"/>
                <w:color w:val="000000"/>
                <w:spacing w:val="-5"/>
                <w:sz w:val="20"/>
                <w:szCs w:val="24"/>
                <w:lang w:eastAsia="ru-RU"/>
              </w:rPr>
              <w:t>61001007004</w:t>
            </w:r>
          </w:p>
        </w:tc>
        <w:tc>
          <w:tcPr>
            <w:tcW w:w="2274" w:type="pct"/>
            <w:tcBorders>
              <w:top w:val="nil"/>
              <w:left w:val="single" w:sz="4" w:space="0" w:color="auto"/>
              <w:bottom w:val="single" w:sz="4" w:space="0" w:color="auto"/>
              <w:right w:val="single" w:sz="4" w:space="0" w:color="auto"/>
            </w:tcBorders>
            <w:shd w:val="clear" w:color="auto" w:fill="auto"/>
            <w:vAlign w:val="center"/>
            <w:hideMark/>
          </w:tcPr>
          <w:p w14:paraId="6A47E2A7" w14:textId="77777777" w:rsidR="00322AE9" w:rsidRPr="00322AE9" w:rsidRDefault="00322AE9" w:rsidP="003C59C1">
            <w:pPr>
              <w:suppressAutoHyphens/>
              <w:adjustRightInd w:val="0"/>
              <w:ind w:right="-117" w:firstLine="0"/>
              <w:jc w:val="left"/>
              <w:textAlignment w:val="baseline"/>
              <w:rPr>
                <w:rFonts w:eastAsia="Times New Roman" w:cs="Times New Roman"/>
                <w:spacing w:val="-5"/>
                <w:sz w:val="20"/>
                <w:szCs w:val="24"/>
              </w:rPr>
            </w:pPr>
            <w:r w:rsidRPr="00322AE9">
              <w:rPr>
                <w:rFonts w:eastAsia="Times New Roman" w:cs="Times New Roman"/>
                <w:spacing w:val="-5"/>
                <w:sz w:val="20"/>
                <w:szCs w:val="24"/>
              </w:rPr>
              <w:t>Крупноблочные</w:t>
            </w:r>
          </w:p>
        </w:tc>
        <w:tc>
          <w:tcPr>
            <w:tcW w:w="1213" w:type="pct"/>
            <w:tcBorders>
              <w:top w:val="nil"/>
              <w:left w:val="nil"/>
              <w:bottom w:val="single" w:sz="4" w:space="0" w:color="auto"/>
              <w:right w:val="single" w:sz="4" w:space="0" w:color="auto"/>
            </w:tcBorders>
            <w:shd w:val="clear" w:color="auto" w:fill="auto"/>
            <w:vAlign w:val="center"/>
            <w:hideMark/>
          </w:tcPr>
          <w:p w14:paraId="62CEFF4D" w14:textId="77777777" w:rsidR="00322AE9" w:rsidRPr="00322AE9" w:rsidRDefault="00322AE9" w:rsidP="00827FEB">
            <w:pPr>
              <w:suppressAutoHyphens/>
              <w:adjustRightInd w:val="0"/>
              <w:ind w:firstLine="0"/>
              <w:jc w:val="center"/>
              <w:textAlignment w:val="baseline"/>
              <w:rPr>
                <w:rFonts w:eastAsia="Times New Roman" w:cs="Times New Roman"/>
                <w:color w:val="000000"/>
                <w:spacing w:val="-5"/>
                <w:sz w:val="20"/>
                <w:szCs w:val="24"/>
                <w:lang w:eastAsia="ru-RU"/>
              </w:rPr>
            </w:pPr>
            <w:r w:rsidRPr="00322AE9">
              <w:rPr>
                <w:rFonts w:eastAsia="Times New Roman" w:cs="Times New Roman"/>
                <w:color w:val="000000"/>
                <w:spacing w:val="-5"/>
                <w:sz w:val="20"/>
                <w:szCs w:val="24"/>
                <w:lang w:eastAsia="ru-RU"/>
              </w:rPr>
              <w:t>КС-3</w:t>
            </w:r>
          </w:p>
        </w:tc>
      </w:tr>
      <w:tr w:rsidR="00322AE9" w:rsidRPr="00322AE9" w14:paraId="36DE115F" w14:textId="77777777" w:rsidTr="00BA3F56">
        <w:trPr>
          <w:trHeight w:val="20"/>
          <w:jc w:val="center"/>
        </w:trPr>
        <w:tc>
          <w:tcPr>
            <w:tcW w:w="1513" w:type="pct"/>
            <w:tcBorders>
              <w:top w:val="nil"/>
              <w:left w:val="single" w:sz="4" w:space="0" w:color="auto"/>
              <w:bottom w:val="single" w:sz="4" w:space="0" w:color="auto"/>
              <w:right w:val="single" w:sz="4" w:space="0" w:color="auto"/>
            </w:tcBorders>
            <w:vAlign w:val="center"/>
          </w:tcPr>
          <w:p w14:paraId="3BE1AFF2" w14:textId="77777777" w:rsidR="00322AE9" w:rsidRPr="00322AE9" w:rsidRDefault="00322AE9" w:rsidP="00827FEB">
            <w:pPr>
              <w:suppressAutoHyphens/>
              <w:adjustRightInd w:val="0"/>
              <w:ind w:firstLine="0"/>
              <w:jc w:val="center"/>
              <w:textAlignment w:val="baseline"/>
              <w:rPr>
                <w:rFonts w:eastAsia="Times New Roman" w:cs="Times New Roman"/>
                <w:color w:val="000000"/>
                <w:spacing w:val="-5"/>
                <w:sz w:val="20"/>
                <w:szCs w:val="24"/>
                <w:lang w:eastAsia="ru-RU"/>
              </w:rPr>
            </w:pPr>
            <w:r w:rsidRPr="00322AE9">
              <w:rPr>
                <w:rFonts w:eastAsia="Times New Roman" w:cs="Times New Roman"/>
                <w:color w:val="000000"/>
                <w:spacing w:val="-5"/>
                <w:sz w:val="20"/>
                <w:szCs w:val="24"/>
                <w:lang w:eastAsia="ru-RU"/>
              </w:rPr>
              <w:t>61001007005</w:t>
            </w:r>
          </w:p>
        </w:tc>
        <w:tc>
          <w:tcPr>
            <w:tcW w:w="2274" w:type="pct"/>
            <w:tcBorders>
              <w:top w:val="nil"/>
              <w:left w:val="single" w:sz="4" w:space="0" w:color="auto"/>
              <w:bottom w:val="single" w:sz="4" w:space="0" w:color="auto"/>
              <w:right w:val="single" w:sz="4" w:space="0" w:color="auto"/>
            </w:tcBorders>
            <w:shd w:val="clear" w:color="auto" w:fill="auto"/>
            <w:vAlign w:val="center"/>
            <w:hideMark/>
          </w:tcPr>
          <w:p w14:paraId="5C27BD1D" w14:textId="77777777" w:rsidR="00322AE9" w:rsidRPr="00322AE9" w:rsidRDefault="00322AE9" w:rsidP="003C59C1">
            <w:pPr>
              <w:suppressAutoHyphens/>
              <w:adjustRightInd w:val="0"/>
              <w:ind w:right="-117" w:firstLine="0"/>
              <w:jc w:val="left"/>
              <w:textAlignment w:val="baseline"/>
              <w:rPr>
                <w:rFonts w:eastAsia="Times New Roman" w:cs="Times New Roman"/>
                <w:spacing w:val="-5"/>
                <w:sz w:val="20"/>
                <w:szCs w:val="24"/>
              </w:rPr>
            </w:pPr>
            <w:r w:rsidRPr="00322AE9">
              <w:rPr>
                <w:rFonts w:eastAsia="Times New Roman" w:cs="Times New Roman"/>
                <w:spacing w:val="-5"/>
                <w:sz w:val="20"/>
                <w:szCs w:val="24"/>
              </w:rPr>
              <w:t>Из унифицированных железобетонных элементов</w:t>
            </w:r>
          </w:p>
        </w:tc>
        <w:tc>
          <w:tcPr>
            <w:tcW w:w="1213" w:type="pct"/>
            <w:tcBorders>
              <w:top w:val="nil"/>
              <w:left w:val="nil"/>
              <w:bottom w:val="single" w:sz="4" w:space="0" w:color="auto"/>
              <w:right w:val="single" w:sz="4" w:space="0" w:color="auto"/>
            </w:tcBorders>
            <w:shd w:val="clear" w:color="auto" w:fill="auto"/>
            <w:vAlign w:val="center"/>
            <w:hideMark/>
          </w:tcPr>
          <w:p w14:paraId="7B8EF871" w14:textId="77777777" w:rsidR="00322AE9" w:rsidRPr="00322AE9" w:rsidRDefault="00322AE9" w:rsidP="00827FEB">
            <w:pPr>
              <w:suppressAutoHyphens/>
              <w:adjustRightInd w:val="0"/>
              <w:ind w:firstLine="0"/>
              <w:jc w:val="center"/>
              <w:textAlignment w:val="baseline"/>
              <w:rPr>
                <w:rFonts w:eastAsia="Times New Roman" w:cs="Times New Roman"/>
                <w:color w:val="000000"/>
                <w:spacing w:val="-5"/>
                <w:sz w:val="20"/>
                <w:szCs w:val="24"/>
                <w:lang w:eastAsia="ru-RU"/>
              </w:rPr>
            </w:pPr>
            <w:r w:rsidRPr="00322AE9">
              <w:rPr>
                <w:rFonts w:eastAsia="Times New Roman" w:cs="Times New Roman"/>
                <w:color w:val="000000"/>
                <w:spacing w:val="-5"/>
                <w:sz w:val="20"/>
                <w:szCs w:val="24"/>
                <w:lang w:eastAsia="ru-RU"/>
              </w:rPr>
              <w:t>КС-3</w:t>
            </w:r>
          </w:p>
        </w:tc>
      </w:tr>
      <w:tr w:rsidR="00322AE9" w:rsidRPr="00322AE9" w14:paraId="668DA35E" w14:textId="77777777" w:rsidTr="00BA3F56">
        <w:trPr>
          <w:trHeight w:val="20"/>
          <w:jc w:val="center"/>
        </w:trPr>
        <w:tc>
          <w:tcPr>
            <w:tcW w:w="1513" w:type="pct"/>
            <w:tcBorders>
              <w:top w:val="nil"/>
              <w:left w:val="single" w:sz="4" w:space="0" w:color="auto"/>
              <w:bottom w:val="single" w:sz="4" w:space="0" w:color="auto"/>
              <w:right w:val="single" w:sz="4" w:space="0" w:color="auto"/>
            </w:tcBorders>
            <w:vAlign w:val="center"/>
          </w:tcPr>
          <w:p w14:paraId="004D28FB" w14:textId="77777777" w:rsidR="00322AE9" w:rsidRPr="00322AE9" w:rsidRDefault="00322AE9" w:rsidP="00827FEB">
            <w:pPr>
              <w:suppressAutoHyphens/>
              <w:adjustRightInd w:val="0"/>
              <w:ind w:firstLine="0"/>
              <w:jc w:val="center"/>
              <w:textAlignment w:val="baseline"/>
              <w:rPr>
                <w:rFonts w:eastAsia="Times New Roman" w:cs="Times New Roman"/>
                <w:color w:val="000000"/>
                <w:spacing w:val="-5"/>
                <w:sz w:val="20"/>
                <w:szCs w:val="24"/>
                <w:lang w:eastAsia="ru-RU"/>
              </w:rPr>
            </w:pPr>
            <w:r w:rsidRPr="00322AE9">
              <w:rPr>
                <w:rFonts w:eastAsia="Times New Roman" w:cs="Times New Roman"/>
                <w:color w:val="000000"/>
                <w:spacing w:val="-5"/>
                <w:sz w:val="20"/>
                <w:szCs w:val="24"/>
                <w:lang w:eastAsia="ru-RU"/>
              </w:rPr>
              <w:t>61001007006</w:t>
            </w:r>
          </w:p>
        </w:tc>
        <w:tc>
          <w:tcPr>
            <w:tcW w:w="2274" w:type="pct"/>
            <w:tcBorders>
              <w:top w:val="nil"/>
              <w:left w:val="single" w:sz="4" w:space="0" w:color="auto"/>
              <w:bottom w:val="single" w:sz="4" w:space="0" w:color="auto"/>
              <w:right w:val="single" w:sz="4" w:space="0" w:color="auto"/>
            </w:tcBorders>
            <w:shd w:val="clear" w:color="auto" w:fill="auto"/>
            <w:vAlign w:val="center"/>
            <w:hideMark/>
          </w:tcPr>
          <w:p w14:paraId="2B29D2E4" w14:textId="77777777" w:rsidR="00322AE9" w:rsidRPr="00322AE9" w:rsidRDefault="00322AE9" w:rsidP="003C59C1">
            <w:pPr>
              <w:suppressAutoHyphens/>
              <w:adjustRightInd w:val="0"/>
              <w:ind w:right="-117" w:firstLine="0"/>
              <w:jc w:val="left"/>
              <w:textAlignment w:val="baseline"/>
              <w:rPr>
                <w:rFonts w:eastAsia="Times New Roman" w:cs="Times New Roman"/>
                <w:spacing w:val="-5"/>
                <w:sz w:val="20"/>
                <w:szCs w:val="24"/>
              </w:rPr>
            </w:pPr>
            <w:r w:rsidRPr="00322AE9">
              <w:rPr>
                <w:rFonts w:eastAsia="Times New Roman" w:cs="Times New Roman"/>
                <w:spacing w:val="-5"/>
                <w:sz w:val="20"/>
                <w:szCs w:val="24"/>
              </w:rPr>
              <w:t>Из железобетонных сегментов</w:t>
            </w:r>
          </w:p>
        </w:tc>
        <w:tc>
          <w:tcPr>
            <w:tcW w:w="1213" w:type="pct"/>
            <w:tcBorders>
              <w:top w:val="nil"/>
              <w:left w:val="nil"/>
              <w:bottom w:val="single" w:sz="4" w:space="0" w:color="auto"/>
              <w:right w:val="single" w:sz="4" w:space="0" w:color="auto"/>
            </w:tcBorders>
            <w:shd w:val="clear" w:color="auto" w:fill="auto"/>
            <w:vAlign w:val="center"/>
            <w:hideMark/>
          </w:tcPr>
          <w:p w14:paraId="7E8C4706" w14:textId="77777777" w:rsidR="00322AE9" w:rsidRPr="00322AE9" w:rsidRDefault="00322AE9" w:rsidP="00827FEB">
            <w:pPr>
              <w:suppressAutoHyphens/>
              <w:adjustRightInd w:val="0"/>
              <w:ind w:firstLine="0"/>
              <w:jc w:val="center"/>
              <w:textAlignment w:val="baseline"/>
              <w:rPr>
                <w:rFonts w:eastAsia="Times New Roman" w:cs="Times New Roman"/>
                <w:color w:val="000000"/>
                <w:spacing w:val="-5"/>
                <w:sz w:val="20"/>
                <w:szCs w:val="24"/>
                <w:lang w:eastAsia="ru-RU"/>
              </w:rPr>
            </w:pPr>
            <w:r w:rsidRPr="00322AE9">
              <w:rPr>
                <w:rFonts w:eastAsia="Times New Roman" w:cs="Times New Roman"/>
                <w:color w:val="000000"/>
                <w:spacing w:val="-5"/>
                <w:sz w:val="20"/>
                <w:szCs w:val="24"/>
                <w:lang w:eastAsia="ru-RU"/>
              </w:rPr>
              <w:t>КС-3</w:t>
            </w:r>
          </w:p>
        </w:tc>
      </w:tr>
      <w:tr w:rsidR="00322AE9" w:rsidRPr="00322AE9" w14:paraId="12233BB5" w14:textId="77777777" w:rsidTr="00BA3F56">
        <w:trPr>
          <w:trHeight w:val="20"/>
          <w:jc w:val="center"/>
        </w:trPr>
        <w:tc>
          <w:tcPr>
            <w:tcW w:w="1513" w:type="pct"/>
            <w:tcBorders>
              <w:top w:val="nil"/>
              <w:left w:val="single" w:sz="4" w:space="0" w:color="auto"/>
              <w:bottom w:val="single" w:sz="4" w:space="0" w:color="auto"/>
              <w:right w:val="single" w:sz="4" w:space="0" w:color="auto"/>
            </w:tcBorders>
            <w:vAlign w:val="center"/>
          </w:tcPr>
          <w:p w14:paraId="62C14675" w14:textId="77777777" w:rsidR="00322AE9" w:rsidRPr="00322AE9" w:rsidRDefault="00322AE9" w:rsidP="00827FEB">
            <w:pPr>
              <w:suppressAutoHyphens/>
              <w:adjustRightInd w:val="0"/>
              <w:ind w:firstLine="0"/>
              <w:jc w:val="center"/>
              <w:textAlignment w:val="baseline"/>
              <w:rPr>
                <w:rFonts w:eastAsia="Times New Roman" w:cs="Times New Roman"/>
                <w:color w:val="000000"/>
                <w:spacing w:val="-5"/>
                <w:sz w:val="20"/>
                <w:szCs w:val="24"/>
                <w:highlight w:val="red"/>
                <w:lang w:eastAsia="ru-RU"/>
              </w:rPr>
            </w:pPr>
            <w:r w:rsidRPr="00322AE9">
              <w:rPr>
                <w:rFonts w:eastAsia="Times New Roman" w:cs="Times New Roman"/>
                <w:color w:val="000000"/>
                <w:spacing w:val="-5"/>
                <w:sz w:val="20"/>
                <w:szCs w:val="24"/>
                <w:lang w:eastAsia="ru-RU"/>
              </w:rPr>
              <w:t>61001008000</w:t>
            </w:r>
          </w:p>
        </w:tc>
        <w:tc>
          <w:tcPr>
            <w:tcW w:w="2274" w:type="pct"/>
            <w:tcBorders>
              <w:top w:val="nil"/>
              <w:left w:val="single" w:sz="4" w:space="0" w:color="auto"/>
              <w:bottom w:val="single" w:sz="4" w:space="0" w:color="auto"/>
              <w:right w:val="single" w:sz="4" w:space="0" w:color="auto"/>
            </w:tcBorders>
            <w:shd w:val="clear" w:color="auto" w:fill="auto"/>
            <w:vAlign w:val="center"/>
            <w:hideMark/>
          </w:tcPr>
          <w:p w14:paraId="2BB8D344" w14:textId="77777777" w:rsidR="00322AE9" w:rsidRPr="00322AE9" w:rsidRDefault="00322AE9" w:rsidP="003C59C1">
            <w:pPr>
              <w:suppressAutoHyphens/>
              <w:adjustRightInd w:val="0"/>
              <w:ind w:right="-117" w:firstLine="0"/>
              <w:jc w:val="left"/>
              <w:textAlignment w:val="baseline"/>
              <w:rPr>
                <w:rFonts w:eastAsia="Times New Roman" w:cs="Times New Roman"/>
                <w:spacing w:val="-5"/>
                <w:sz w:val="20"/>
                <w:szCs w:val="24"/>
              </w:rPr>
            </w:pPr>
            <w:r w:rsidRPr="00322AE9">
              <w:rPr>
                <w:rFonts w:eastAsia="Times New Roman" w:cs="Times New Roman"/>
                <w:spacing w:val="-5"/>
                <w:sz w:val="20"/>
                <w:szCs w:val="24"/>
              </w:rPr>
              <w:t>Шлакобетонные</w:t>
            </w:r>
          </w:p>
        </w:tc>
        <w:tc>
          <w:tcPr>
            <w:tcW w:w="1213" w:type="pct"/>
            <w:tcBorders>
              <w:top w:val="nil"/>
              <w:left w:val="nil"/>
              <w:bottom w:val="single" w:sz="4" w:space="0" w:color="auto"/>
              <w:right w:val="single" w:sz="4" w:space="0" w:color="auto"/>
            </w:tcBorders>
            <w:shd w:val="clear" w:color="auto" w:fill="auto"/>
            <w:vAlign w:val="center"/>
            <w:hideMark/>
          </w:tcPr>
          <w:p w14:paraId="6C8DAC98" w14:textId="77777777" w:rsidR="00322AE9" w:rsidRPr="00322AE9" w:rsidRDefault="00322AE9" w:rsidP="00827FEB">
            <w:pPr>
              <w:suppressAutoHyphens/>
              <w:adjustRightInd w:val="0"/>
              <w:ind w:firstLine="0"/>
              <w:jc w:val="center"/>
              <w:textAlignment w:val="baseline"/>
              <w:rPr>
                <w:rFonts w:eastAsia="Times New Roman" w:cs="Times New Roman"/>
                <w:color w:val="000000"/>
                <w:spacing w:val="-5"/>
                <w:sz w:val="20"/>
                <w:szCs w:val="24"/>
                <w:lang w:eastAsia="ru-RU"/>
              </w:rPr>
            </w:pPr>
            <w:r w:rsidRPr="00322AE9">
              <w:rPr>
                <w:rFonts w:eastAsia="Times New Roman" w:cs="Times New Roman"/>
                <w:color w:val="000000"/>
                <w:spacing w:val="-5"/>
                <w:sz w:val="20"/>
                <w:szCs w:val="24"/>
                <w:lang w:eastAsia="ru-RU"/>
              </w:rPr>
              <w:t>КС-3</w:t>
            </w:r>
          </w:p>
        </w:tc>
      </w:tr>
      <w:tr w:rsidR="00322AE9" w:rsidRPr="00322AE9" w14:paraId="380DE69B" w14:textId="77777777" w:rsidTr="00BA3F56">
        <w:trPr>
          <w:trHeight w:val="20"/>
          <w:jc w:val="center"/>
        </w:trPr>
        <w:tc>
          <w:tcPr>
            <w:tcW w:w="1513" w:type="pct"/>
            <w:tcBorders>
              <w:top w:val="nil"/>
              <w:left w:val="single" w:sz="4" w:space="0" w:color="auto"/>
              <w:bottom w:val="single" w:sz="4" w:space="0" w:color="auto"/>
              <w:right w:val="single" w:sz="4" w:space="0" w:color="auto"/>
            </w:tcBorders>
            <w:vAlign w:val="center"/>
          </w:tcPr>
          <w:p w14:paraId="6CB64539" w14:textId="77777777" w:rsidR="00322AE9" w:rsidRPr="00322AE9" w:rsidRDefault="00322AE9" w:rsidP="00827FEB">
            <w:pPr>
              <w:suppressAutoHyphens/>
              <w:adjustRightInd w:val="0"/>
              <w:ind w:firstLine="0"/>
              <w:jc w:val="center"/>
              <w:textAlignment w:val="baseline"/>
              <w:rPr>
                <w:rFonts w:eastAsia="Times New Roman" w:cs="Times New Roman"/>
                <w:color w:val="000000"/>
                <w:spacing w:val="-5"/>
                <w:sz w:val="20"/>
                <w:szCs w:val="24"/>
                <w:highlight w:val="red"/>
                <w:lang w:eastAsia="ru-RU"/>
              </w:rPr>
            </w:pPr>
            <w:r w:rsidRPr="00322AE9">
              <w:rPr>
                <w:rFonts w:eastAsia="Times New Roman" w:cs="Times New Roman"/>
                <w:color w:val="000000"/>
                <w:spacing w:val="-5"/>
                <w:sz w:val="20"/>
                <w:szCs w:val="24"/>
                <w:lang w:eastAsia="ru-RU"/>
              </w:rPr>
              <w:t>61001009000</w:t>
            </w:r>
          </w:p>
        </w:tc>
        <w:tc>
          <w:tcPr>
            <w:tcW w:w="2274" w:type="pct"/>
            <w:tcBorders>
              <w:top w:val="nil"/>
              <w:left w:val="single" w:sz="4" w:space="0" w:color="auto"/>
              <w:bottom w:val="single" w:sz="4" w:space="0" w:color="auto"/>
              <w:right w:val="single" w:sz="4" w:space="0" w:color="auto"/>
            </w:tcBorders>
            <w:shd w:val="clear" w:color="auto" w:fill="auto"/>
            <w:vAlign w:val="center"/>
            <w:hideMark/>
          </w:tcPr>
          <w:p w14:paraId="278A9DEF" w14:textId="77777777" w:rsidR="00322AE9" w:rsidRPr="00322AE9" w:rsidRDefault="00322AE9" w:rsidP="003C59C1">
            <w:pPr>
              <w:suppressAutoHyphens/>
              <w:adjustRightInd w:val="0"/>
              <w:ind w:right="-117" w:firstLine="0"/>
              <w:jc w:val="left"/>
              <w:textAlignment w:val="baseline"/>
              <w:rPr>
                <w:rFonts w:eastAsia="Times New Roman" w:cs="Times New Roman"/>
                <w:spacing w:val="-5"/>
                <w:sz w:val="20"/>
                <w:szCs w:val="24"/>
              </w:rPr>
            </w:pPr>
            <w:r w:rsidRPr="00322AE9">
              <w:rPr>
                <w:rFonts w:eastAsia="Times New Roman" w:cs="Times New Roman"/>
                <w:spacing w:val="-5"/>
                <w:sz w:val="20"/>
                <w:szCs w:val="24"/>
              </w:rPr>
              <w:t>Металлические</w:t>
            </w:r>
          </w:p>
        </w:tc>
        <w:tc>
          <w:tcPr>
            <w:tcW w:w="1213" w:type="pct"/>
            <w:tcBorders>
              <w:top w:val="nil"/>
              <w:left w:val="nil"/>
              <w:bottom w:val="single" w:sz="4" w:space="0" w:color="auto"/>
              <w:right w:val="single" w:sz="4" w:space="0" w:color="auto"/>
            </w:tcBorders>
            <w:shd w:val="clear" w:color="auto" w:fill="auto"/>
            <w:vAlign w:val="center"/>
            <w:hideMark/>
          </w:tcPr>
          <w:p w14:paraId="0BD9A7FA" w14:textId="77777777" w:rsidR="00322AE9" w:rsidRPr="00322AE9" w:rsidRDefault="00322AE9" w:rsidP="00827FEB">
            <w:pPr>
              <w:suppressAutoHyphens/>
              <w:adjustRightInd w:val="0"/>
              <w:ind w:firstLine="0"/>
              <w:jc w:val="center"/>
              <w:textAlignment w:val="baseline"/>
              <w:rPr>
                <w:rFonts w:eastAsia="Times New Roman" w:cs="Times New Roman"/>
                <w:color w:val="000000"/>
                <w:spacing w:val="-5"/>
                <w:sz w:val="20"/>
                <w:szCs w:val="24"/>
                <w:lang w:eastAsia="ru-RU"/>
              </w:rPr>
            </w:pPr>
            <w:r w:rsidRPr="00322AE9">
              <w:rPr>
                <w:rFonts w:eastAsia="Times New Roman" w:cs="Times New Roman"/>
                <w:color w:val="000000"/>
                <w:spacing w:val="-5"/>
                <w:sz w:val="20"/>
                <w:szCs w:val="24"/>
                <w:lang w:eastAsia="ru-RU"/>
              </w:rPr>
              <w:t>КС-6</w:t>
            </w:r>
          </w:p>
        </w:tc>
      </w:tr>
      <w:tr w:rsidR="00322AE9" w:rsidRPr="00322AE9" w14:paraId="5F135BFB" w14:textId="77777777" w:rsidTr="00BA3F56">
        <w:trPr>
          <w:trHeight w:val="20"/>
          <w:jc w:val="center"/>
        </w:trPr>
        <w:tc>
          <w:tcPr>
            <w:tcW w:w="1513" w:type="pct"/>
            <w:tcBorders>
              <w:top w:val="nil"/>
              <w:left w:val="single" w:sz="4" w:space="0" w:color="auto"/>
              <w:bottom w:val="single" w:sz="4" w:space="0" w:color="auto"/>
              <w:right w:val="single" w:sz="4" w:space="0" w:color="auto"/>
            </w:tcBorders>
            <w:vAlign w:val="center"/>
          </w:tcPr>
          <w:p w14:paraId="08549869" w14:textId="77777777" w:rsidR="00322AE9" w:rsidRPr="00322AE9" w:rsidRDefault="00322AE9" w:rsidP="00827FEB">
            <w:pPr>
              <w:suppressAutoHyphens/>
              <w:adjustRightInd w:val="0"/>
              <w:ind w:firstLine="0"/>
              <w:jc w:val="center"/>
              <w:textAlignment w:val="baseline"/>
              <w:rPr>
                <w:rFonts w:eastAsia="Times New Roman" w:cs="Times New Roman"/>
                <w:color w:val="000000"/>
                <w:spacing w:val="-5"/>
                <w:sz w:val="20"/>
                <w:szCs w:val="24"/>
                <w:lang w:eastAsia="ru-RU"/>
              </w:rPr>
            </w:pPr>
            <w:r w:rsidRPr="00322AE9">
              <w:rPr>
                <w:rFonts w:eastAsia="Times New Roman" w:cs="Times New Roman"/>
                <w:color w:val="000000"/>
                <w:spacing w:val="-5"/>
                <w:sz w:val="20"/>
                <w:szCs w:val="24"/>
                <w:lang w:eastAsia="ru-RU"/>
              </w:rPr>
              <w:t>61001999000</w:t>
            </w:r>
          </w:p>
        </w:tc>
        <w:tc>
          <w:tcPr>
            <w:tcW w:w="2274" w:type="pct"/>
            <w:tcBorders>
              <w:top w:val="nil"/>
              <w:left w:val="single" w:sz="4" w:space="0" w:color="auto"/>
              <w:bottom w:val="single" w:sz="4" w:space="0" w:color="auto"/>
              <w:right w:val="single" w:sz="4" w:space="0" w:color="auto"/>
            </w:tcBorders>
            <w:shd w:val="clear" w:color="auto" w:fill="auto"/>
            <w:vAlign w:val="center"/>
            <w:hideMark/>
          </w:tcPr>
          <w:p w14:paraId="3067AE4A" w14:textId="77777777" w:rsidR="00322AE9" w:rsidRPr="00322AE9" w:rsidRDefault="00322AE9" w:rsidP="003C59C1">
            <w:pPr>
              <w:suppressAutoHyphens/>
              <w:adjustRightInd w:val="0"/>
              <w:ind w:right="-117" w:firstLine="0"/>
              <w:jc w:val="left"/>
              <w:textAlignment w:val="baseline"/>
              <w:rPr>
                <w:rFonts w:eastAsia="Times New Roman" w:cs="Times New Roman"/>
                <w:spacing w:val="-5"/>
                <w:sz w:val="20"/>
                <w:szCs w:val="24"/>
              </w:rPr>
            </w:pPr>
            <w:r w:rsidRPr="00322AE9">
              <w:rPr>
                <w:rFonts w:eastAsia="Times New Roman" w:cs="Times New Roman"/>
                <w:spacing w:val="-5"/>
                <w:sz w:val="20"/>
                <w:szCs w:val="24"/>
              </w:rPr>
              <w:t>Иное</w:t>
            </w:r>
          </w:p>
        </w:tc>
        <w:tc>
          <w:tcPr>
            <w:tcW w:w="1213" w:type="pct"/>
            <w:tcBorders>
              <w:top w:val="nil"/>
              <w:left w:val="nil"/>
              <w:bottom w:val="single" w:sz="4" w:space="0" w:color="auto"/>
              <w:right w:val="single" w:sz="4" w:space="0" w:color="auto"/>
            </w:tcBorders>
            <w:shd w:val="clear" w:color="auto" w:fill="auto"/>
            <w:vAlign w:val="center"/>
            <w:hideMark/>
          </w:tcPr>
          <w:p w14:paraId="149624ED" w14:textId="77777777" w:rsidR="00322AE9" w:rsidRPr="00322AE9" w:rsidRDefault="00322AE9" w:rsidP="00827FEB">
            <w:pPr>
              <w:suppressAutoHyphens/>
              <w:adjustRightInd w:val="0"/>
              <w:ind w:firstLine="0"/>
              <w:jc w:val="center"/>
              <w:textAlignment w:val="baseline"/>
              <w:rPr>
                <w:rFonts w:eastAsia="Times New Roman" w:cs="Times New Roman"/>
                <w:color w:val="000000"/>
                <w:spacing w:val="-5"/>
                <w:sz w:val="20"/>
                <w:szCs w:val="24"/>
                <w:lang w:eastAsia="ru-RU"/>
              </w:rPr>
            </w:pPr>
            <w:r w:rsidRPr="00322AE9">
              <w:rPr>
                <w:rFonts w:eastAsia="Times New Roman" w:cs="Times New Roman"/>
                <w:color w:val="000000"/>
                <w:spacing w:val="-5"/>
                <w:sz w:val="20"/>
                <w:szCs w:val="24"/>
                <w:lang w:eastAsia="ru-RU"/>
              </w:rPr>
              <w:t>-</w:t>
            </w:r>
          </w:p>
        </w:tc>
      </w:tr>
    </w:tbl>
    <w:p w14:paraId="04BC9BC1" w14:textId="77777777" w:rsidR="00322AE9" w:rsidRPr="00322AE9" w:rsidRDefault="00322AE9" w:rsidP="00322AE9">
      <w:pPr>
        <w:suppressAutoHyphens/>
        <w:adjustRightInd w:val="0"/>
        <w:ind w:firstLine="567"/>
        <w:textAlignment w:val="baseline"/>
        <w:rPr>
          <w:rFonts w:eastAsia="Times New Roman" w:cs="Times New Roman"/>
          <w:spacing w:val="-5"/>
          <w:szCs w:val="24"/>
        </w:rPr>
      </w:pPr>
    </w:p>
    <w:p w14:paraId="52B00059" w14:textId="77777777" w:rsidR="00322AE9" w:rsidRPr="00322AE9" w:rsidRDefault="00322AE9" w:rsidP="00322AE9">
      <w:pPr>
        <w:suppressAutoHyphens/>
        <w:adjustRightInd w:val="0"/>
        <w:ind w:firstLine="567"/>
        <w:textAlignment w:val="baseline"/>
        <w:rPr>
          <w:rFonts w:eastAsia="Times New Roman" w:cs="Times New Roman"/>
          <w:b/>
          <w:spacing w:val="-5"/>
          <w:szCs w:val="24"/>
        </w:rPr>
      </w:pPr>
      <w:bookmarkStart w:id="139" w:name="_Toc525310209"/>
      <w:r w:rsidRPr="00322AE9">
        <w:rPr>
          <w:rFonts w:eastAsia="Times New Roman" w:cs="Times New Roman"/>
          <w:b/>
          <w:spacing w:val="-5"/>
          <w:szCs w:val="24"/>
        </w:rPr>
        <w:t>Определение класса качества</w:t>
      </w:r>
      <w:bookmarkEnd w:id="139"/>
    </w:p>
    <w:p w14:paraId="450A29E1" w14:textId="77777777" w:rsidR="00322AE9" w:rsidRPr="00322AE9" w:rsidRDefault="00322AE9" w:rsidP="00322AE9">
      <w:pPr>
        <w:suppressAutoHyphens/>
        <w:adjustRightInd w:val="0"/>
        <w:ind w:firstLine="567"/>
        <w:textAlignment w:val="baseline"/>
        <w:rPr>
          <w:rFonts w:eastAsia="Times New Roman" w:cs="Times New Roman"/>
          <w:spacing w:val="-5"/>
          <w:szCs w:val="24"/>
        </w:rPr>
      </w:pPr>
      <w:r w:rsidRPr="00322AE9">
        <w:rPr>
          <w:rFonts w:eastAsia="Times New Roman" w:cs="Times New Roman"/>
          <w:spacing w:val="-5"/>
          <w:szCs w:val="24"/>
        </w:rPr>
        <w:t>При определении класса качества по предлагаемым УПСС классификаторам, для Объектов оценки определялось наличие признака класса качества по конструктивным элементам и материалам, преобладающим или составляющим существенную часть в оцениваемом здании. Класс качества здания определялся классом, по которому набирается наибольшее количество признаков в процентах от общего количества позиций в классе.</w:t>
      </w:r>
    </w:p>
    <w:p w14:paraId="31F56485" w14:textId="77777777" w:rsidR="00322AE9" w:rsidRPr="00322AE9" w:rsidRDefault="00322AE9" w:rsidP="00322AE9">
      <w:pPr>
        <w:suppressAutoHyphens/>
        <w:adjustRightInd w:val="0"/>
        <w:ind w:firstLine="567"/>
        <w:textAlignment w:val="baseline"/>
        <w:rPr>
          <w:rFonts w:eastAsia="Times New Roman" w:cs="Times New Roman"/>
          <w:spacing w:val="-5"/>
          <w:szCs w:val="24"/>
        </w:rPr>
      </w:pPr>
      <w:r w:rsidRPr="00322AE9">
        <w:rPr>
          <w:rFonts w:eastAsia="Times New Roman" w:cs="Times New Roman"/>
          <w:spacing w:val="-5"/>
          <w:szCs w:val="24"/>
        </w:rPr>
        <w:t xml:space="preserve">Справочники УПСС содержат следующие классы качества: </w:t>
      </w:r>
    </w:p>
    <w:p w14:paraId="2E1E1C9B" w14:textId="77777777" w:rsidR="00322AE9" w:rsidRPr="00322AE9" w:rsidRDefault="00322AE9" w:rsidP="00322AE9">
      <w:pPr>
        <w:suppressAutoHyphens/>
        <w:adjustRightInd w:val="0"/>
        <w:ind w:firstLine="709"/>
        <w:textAlignment w:val="baseline"/>
        <w:rPr>
          <w:rFonts w:eastAsia="Times New Roman" w:cs="Times New Roman"/>
          <w:spacing w:val="-5"/>
          <w:szCs w:val="24"/>
          <w:lang w:val="en-US" w:eastAsia="ru-RU"/>
        </w:rPr>
      </w:pPr>
      <w:r w:rsidRPr="00322AE9">
        <w:rPr>
          <w:rFonts w:eastAsia="Times New Roman" w:cs="Times New Roman"/>
          <w:spacing w:val="-5"/>
          <w:szCs w:val="24"/>
          <w:lang w:val="en-US" w:eastAsia="ru-RU"/>
        </w:rPr>
        <w:t>DE LUXE (L) (</w:t>
      </w:r>
      <w:r w:rsidRPr="00322AE9">
        <w:rPr>
          <w:rFonts w:eastAsia="Times New Roman" w:cs="Times New Roman"/>
          <w:spacing w:val="-5"/>
          <w:szCs w:val="24"/>
          <w:lang w:eastAsia="ru-RU"/>
        </w:rPr>
        <w:t>люкс</w:t>
      </w:r>
      <w:r w:rsidRPr="00322AE9">
        <w:rPr>
          <w:rFonts w:eastAsia="Times New Roman" w:cs="Times New Roman"/>
          <w:spacing w:val="-5"/>
          <w:szCs w:val="24"/>
          <w:lang w:val="en-US" w:eastAsia="ru-RU"/>
        </w:rPr>
        <w:t>);</w:t>
      </w:r>
    </w:p>
    <w:p w14:paraId="543C3B6D" w14:textId="77777777" w:rsidR="00322AE9" w:rsidRPr="00322AE9" w:rsidRDefault="00322AE9" w:rsidP="00322AE9">
      <w:pPr>
        <w:suppressAutoHyphens/>
        <w:adjustRightInd w:val="0"/>
        <w:ind w:firstLine="709"/>
        <w:textAlignment w:val="baseline"/>
        <w:rPr>
          <w:rFonts w:eastAsia="Times New Roman" w:cs="Times New Roman"/>
          <w:spacing w:val="-5"/>
          <w:szCs w:val="24"/>
          <w:lang w:val="en-US" w:eastAsia="ru-RU"/>
        </w:rPr>
      </w:pPr>
      <w:r w:rsidRPr="00322AE9">
        <w:rPr>
          <w:rFonts w:eastAsia="Times New Roman" w:cs="Times New Roman"/>
          <w:spacing w:val="-5"/>
          <w:szCs w:val="24"/>
          <w:lang w:val="en-US" w:eastAsia="ru-RU"/>
        </w:rPr>
        <w:t>PREMIUM (P) (</w:t>
      </w:r>
      <w:r w:rsidRPr="00322AE9">
        <w:rPr>
          <w:rFonts w:eastAsia="Times New Roman" w:cs="Times New Roman"/>
          <w:spacing w:val="-5"/>
          <w:szCs w:val="24"/>
          <w:lang w:eastAsia="ru-RU"/>
        </w:rPr>
        <w:t>улучшенный</w:t>
      </w:r>
      <w:r w:rsidRPr="00322AE9">
        <w:rPr>
          <w:rFonts w:eastAsia="Times New Roman" w:cs="Times New Roman"/>
          <w:spacing w:val="-5"/>
          <w:szCs w:val="24"/>
          <w:lang w:val="en-US" w:eastAsia="ru-RU"/>
        </w:rPr>
        <w:t>);</w:t>
      </w:r>
    </w:p>
    <w:p w14:paraId="25C0ABA0" w14:textId="77777777" w:rsidR="00322AE9" w:rsidRPr="00322AE9" w:rsidRDefault="00322AE9" w:rsidP="00322AE9">
      <w:pPr>
        <w:suppressAutoHyphens/>
        <w:adjustRightInd w:val="0"/>
        <w:ind w:firstLine="709"/>
        <w:textAlignment w:val="baseline"/>
        <w:rPr>
          <w:rFonts w:eastAsia="Times New Roman" w:cs="Times New Roman"/>
          <w:spacing w:val="-5"/>
          <w:szCs w:val="24"/>
          <w:lang w:val="en-US" w:eastAsia="ru-RU"/>
        </w:rPr>
      </w:pPr>
      <w:r w:rsidRPr="00322AE9">
        <w:rPr>
          <w:rFonts w:eastAsia="Times New Roman" w:cs="Times New Roman"/>
          <w:spacing w:val="-5"/>
          <w:szCs w:val="24"/>
          <w:lang w:val="en-US" w:eastAsia="ru-RU"/>
        </w:rPr>
        <w:t>STANDARD (S) (</w:t>
      </w:r>
      <w:r w:rsidRPr="00322AE9">
        <w:rPr>
          <w:rFonts w:eastAsia="Times New Roman" w:cs="Times New Roman"/>
          <w:spacing w:val="-5"/>
          <w:szCs w:val="24"/>
          <w:lang w:eastAsia="ru-RU"/>
        </w:rPr>
        <w:t>стандарт</w:t>
      </w:r>
      <w:r w:rsidRPr="00322AE9">
        <w:rPr>
          <w:rFonts w:eastAsia="Times New Roman" w:cs="Times New Roman"/>
          <w:spacing w:val="-5"/>
          <w:szCs w:val="24"/>
          <w:lang w:val="en-US" w:eastAsia="ru-RU"/>
        </w:rPr>
        <w:t>);</w:t>
      </w:r>
    </w:p>
    <w:p w14:paraId="6B84E998" w14:textId="77777777" w:rsidR="00322AE9" w:rsidRPr="00322AE9" w:rsidRDefault="00322AE9" w:rsidP="00322AE9">
      <w:pPr>
        <w:suppressAutoHyphens/>
        <w:adjustRightInd w:val="0"/>
        <w:ind w:firstLine="709"/>
        <w:textAlignment w:val="baseline"/>
        <w:rPr>
          <w:rFonts w:eastAsia="Times New Roman" w:cs="Times New Roman"/>
          <w:spacing w:val="-5"/>
          <w:szCs w:val="24"/>
          <w:lang w:val="en-US" w:eastAsia="ru-RU"/>
        </w:rPr>
      </w:pPr>
      <w:r w:rsidRPr="00322AE9">
        <w:rPr>
          <w:rFonts w:eastAsia="Times New Roman" w:cs="Times New Roman"/>
          <w:spacing w:val="-5"/>
          <w:szCs w:val="24"/>
          <w:lang w:val="en-US" w:eastAsia="ru-RU"/>
        </w:rPr>
        <w:t>ECONOM (E) (</w:t>
      </w:r>
      <w:r w:rsidRPr="00322AE9">
        <w:rPr>
          <w:rFonts w:eastAsia="Times New Roman" w:cs="Times New Roman"/>
          <w:spacing w:val="-5"/>
          <w:szCs w:val="24"/>
          <w:lang w:eastAsia="ru-RU"/>
        </w:rPr>
        <w:t>эконом</w:t>
      </w:r>
      <w:r w:rsidRPr="00322AE9">
        <w:rPr>
          <w:rFonts w:eastAsia="Times New Roman" w:cs="Times New Roman"/>
          <w:spacing w:val="-5"/>
          <w:szCs w:val="24"/>
          <w:lang w:val="en-US" w:eastAsia="ru-RU"/>
        </w:rPr>
        <w:t>);</w:t>
      </w:r>
    </w:p>
    <w:p w14:paraId="65026F91" w14:textId="77777777" w:rsidR="00322AE9" w:rsidRPr="00322AE9" w:rsidRDefault="00322AE9" w:rsidP="00322AE9">
      <w:pPr>
        <w:suppressAutoHyphens/>
        <w:adjustRightInd w:val="0"/>
        <w:ind w:firstLine="709"/>
        <w:textAlignment w:val="baseline"/>
        <w:rPr>
          <w:rFonts w:eastAsia="Times New Roman" w:cs="Times New Roman"/>
          <w:spacing w:val="-5"/>
          <w:szCs w:val="24"/>
          <w:lang w:eastAsia="ru-RU"/>
        </w:rPr>
      </w:pPr>
      <w:r w:rsidRPr="00322AE9">
        <w:rPr>
          <w:rFonts w:eastAsia="Times New Roman" w:cs="Times New Roman"/>
          <w:spacing w:val="-5"/>
          <w:szCs w:val="24"/>
          <w:lang w:eastAsia="ru-RU"/>
        </w:rPr>
        <w:t>MINIMUМ (М) (малобюджетный).</w:t>
      </w:r>
    </w:p>
    <w:p w14:paraId="297EF78D" w14:textId="77777777" w:rsidR="00322AE9" w:rsidRPr="00322AE9" w:rsidRDefault="00322AE9" w:rsidP="00322AE9">
      <w:pPr>
        <w:suppressAutoHyphens/>
        <w:adjustRightInd w:val="0"/>
        <w:ind w:firstLine="567"/>
        <w:textAlignment w:val="baseline"/>
        <w:rPr>
          <w:rFonts w:eastAsia="Times New Roman" w:cs="Times New Roman"/>
          <w:spacing w:val="-5"/>
          <w:szCs w:val="24"/>
        </w:rPr>
      </w:pPr>
      <w:r w:rsidRPr="00322AE9">
        <w:rPr>
          <w:rFonts w:eastAsia="Times New Roman" w:cs="Times New Roman"/>
          <w:spacing w:val="-5"/>
          <w:szCs w:val="24"/>
        </w:rPr>
        <w:t>В рамках данной кадастровой оценки использовались аналоги с классами качества PREMIUM (P) (улучшенный), STANDARD (S) (стандарт), ECONOM (E) (эконом), MINIMUМ (М) (малобюджетный).</w:t>
      </w:r>
    </w:p>
    <w:p w14:paraId="06EBA8F4" w14:textId="77777777" w:rsidR="00322AE9" w:rsidRPr="00322AE9" w:rsidRDefault="00322AE9" w:rsidP="00322AE9">
      <w:pPr>
        <w:suppressAutoHyphens/>
        <w:adjustRightInd w:val="0"/>
        <w:ind w:firstLine="567"/>
        <w:textAlignment w:val="baseline"/>
        <w:rPr>
          <w:rFonts w:eastAsia="Times New Roman" w:cs="Times New Roman"/>
          <w:spacing w:val="-5"/>
          <w:szCs w:val="24"/>
        </w:rPr>
      </w:pPr>
      <w:r w:rsidRPr="00322AE9">
        <w:rPr>
          <w:rFonts w:eastAsia="Times New Roman" w:cs="Times New Roman"/>
          <w:spacing w:val="-5"/>
          <w:szCs w:val="24"/>
        </w:rPr>
        <w:t xml:space="preserve">Класс качества определялся для подгрупп в целом, поскольку объекты в рамках одной подгруппы однородны по функциональному назначению и обладают схожими характеристиками. </w:t>
      </w:r>
    </w:p>
    <w:p w14:paraId="19BD4C1E" w14:textId="77777777" w:rsidR="00322AE9" w:rsidRPr="00322AE9" w:rsidRDefault="00322AE9" w:rsidP="00322AE9">
      <w:pPr>
        <w:suppressAutoHyphens/>
        <w:adjustRightInd w:val="0"/>
        <w:ind w:firstLine="708"/>
        <w:textAlignment w:val="baseline"/>
        <w:rPr>
          <w:rFonts w:eastAsia="Times New Roman" w:cs="Times New Roman"/>
          <w:b/>
          <w:spacing w:val="-5"/>
          <w:szCs w:val="24"/>
        </w:rPr>
      </w:pPr>
      <w:bookmarkStart w:id="140" w:name="_Toc328481858"/>
      <w:bookmarkStart w:id="141" w:name="_Toc325999051"/>
      <w:bookmarkStart w:id="142" w:name="_Toc341184801"/>
      <w:bookmarkStart w:id="143" w:name="_Toc342553420"/>
      <w:bookmarkStart w:id="144" w:name="_Toc401147329"/>
      <w:bookmarkStart w:id="145" w:name="_Toc432523080"/>
      <w:bookmarkStart w:id="146" w:name="_Toc509430110"/>
      <w:bookmarkStart w:id="147" w:name="_Toc530400513"/>
      <w:r w:rsidRPr="00322AE9">
        <w:rPr>
          <w:rFonts w:eastAsia="Times New Roman" w:cs="Times New Roman"/>
          <w:b/>
          <w:spacing w:val="-5"/>
          <w:szCs w:val="24"/>
        </w:rPr>
        <w:t>Выбор аналогов</w:t>
      </w:r>
      <w:bookmarkEnd w:id="140"/>
      <w:bookmarkEnd w:id="141"/>
      <w:bookmarkEnd w:id="142"/>
      <w:bookmarkEnd w:id="143"/>
      <w:bookmarkEnd w:id="144"/>
      <w:bookmarkEnd w:id="145"/>
      <w:bookmarkEnd w:id="146"/>
      <w:bookmarkEnd w:id="147"/>
    </w:p>
    <w:p w14:paraId="0E1DEC93" w14:textId="77777777" w:rsidR="00322AE9" w:rsidRPr="00322AE9" w:rsidRDefault="00322AE9" w:rsidP="00322AE9">
      <w:pPr>
        <w:suppressAutoHyphens/>
        <w:adjustRightInd w:val="0"/>
        <w:ind w:firstLine="709"/>
        <w:textAlignment w:val="baseline"/>
        <w:rPr>
          <w:rFonts w:eastAsia="Times New Roman" w:cs="Times New Roman"/>
          <w:spacing w:val="-5"/>
          <w:szCs w:val="24"/>
        </w:rPr>
      </w:pPr>
      <w:r w:rsidRPr="00322AE9">
        <w:rPr>
          <w:rFonts w:eastAsia="Times New Roman" w:cs="Times New Roman"/>
          <w:spacing w:val="-5"/>
          <w:szCs w:val="24"/>
        </w:rPr>
        <w:t>Выше, согласно группировкам, принятым в использованном справочнике, были определены конструктивная система и класс качества оцениваемых объектов. Таким образом, выбор объектов-аналогов был произведен из объектов соответствующей конструктивной системы и класса качества, с аналогичным оцениваемым объектам функциональным назначением:</w:t>
      </w:r>
    </w:p>
    <w:p w14:paraId="2D09766E" w14:textId="77777777" w:rsidR="00322AE9" w:rsidRPr="00322AE9" w:rsidRDefault="00322AE9" w:rsidP="00D24868">
      <w:pPr>
        <w:numPr>
          <w:ilvl w:val="0"/>
          <w:numId w:val="74"/>
        </w:numPr>
        <w:tabs>
          <w:tab w:val="left" w:pos="993"/>
        </w:tabs>
        <w:suppressAutoHyphens/>
        <w:adjustRightInd w:val="0"/>
        <w:ind w:left="0" w:firstLine="709"/>
        <w:textAlignment w:val="baseline"/>
        <w:rPr>
          <w:rFonts w:eastAsia="Times New Roman" w:cs="Times New Roman"/>
          <w:szCs w:val="24"/>
          <w:lang w:eastAsia="ru-RU"/>
        </w:rPr>
      </w:pPr>
      <w:r w:rsidRPr="00322AE9">
        <w:rPr>
          <w:rFonts w:eastAsia="Times New Roman" w:cs="Times New Roman"/>
          <w:szCs w:val="24"/>
          <w:lang w:eastAsia="ru-RU"/>
        </w:rPr>
        <w:t>В случае отсутствия данных о материале стен и невозможности подбора максимально сопоставимого по характеристикам аналога, конструктивная система таких объектов определена как КС-1, обоснованием чего служат что, кирпич (с железобетонными перекрытиями) один из наиболее распространенных материалов, используемых для постройки объектов недвижимости; объекты недвижимости, выполненные из кирпича (с железобетонными перекрытиями) - КС-1, при прочих равных условиях обладают удельной стоимостью строительства выше, нежели объекты, выполненные из древесины в различных ее сочетаниях - КС-7, но ниже чем объекты недвижимости, выполненные из железобетона - КС-3 и КС-4, как следствие, выбор КС-1 позволяет избежать излишнего неоправданного завышения либо занижения стоимости в расчетах.</w:t>
      </w:r>
    </w:p>
    <w:p w14:paraId="5F11282F" w14:textId="77777777" w:rsidR="00322AE9" w:rsidRPr="00322AE9" w:rsidRDefault="00322AE9" w:rsidP="00D24868">
      <w:pPr>
        <w:numPr>
          <w:ilvl w:val="0"/>
          <w:numId w:val="74"/>
        </w:numPr>
        <w:tabs>
          <w:tab w:val="left" w:pos="993"/>
        </w:tabs>
        <w:suppressAutoHyphens/>
        <w:adjustRightInd w:val="0"/>
        <w:ind w:left="0" w:firstLine="709"/>
        <w:textAlignment w:val="baseline"/>
        <w:rPr>
          <w:rFonts w:eastAsia="Times New Roman" w:cs="Times New Roman"/>
          <w:szCs w:val="24"/>
          <w:lang w:eastAsia="ru-RU"/>
        </w:rPr>
      </w:pPr>
      <w:r w:rsidRPr="00322AE9">
        <w:rPr>
          <w:rFonts w:eastAsia="Times New Roman" w:cs="Times New Roman"/>
          <w:szCs w:val="24"/>
          <w:lang w:eastAsia="ru-RU"/>
        </w:rPr>
        <w:t>В случае отсутствия данных о материале стен, но при наличии возможности подбора максимально близкого по всем основным техническим, эксплуатационным и функциональным характеристикам аналога, использовалась конструктивная система аналога.</w:t>
      </w:r>
    </w:p>
    <w:p w14:paraId="303F8531" w14:textId="77777777" w:rsidR="00322AE9" w:rsidRPr="00322AE9" w:rsidRDefault="00322AE9" w:rsidP="00D24868">
      <w:pPr>
        <w:numPr>
          <w:ilvl w:val="0"/>
          <w:numId w:val="74"/>
        </w:numPr>
        <w:suppressAutoHyphens/>
        <w:adjustRightInd w:val="0"/>
        <w:ind w:left="0" w:firstLine="709"/>
        <w:textAlignment w:val="baseline"/>
        <w:rPr>
          <w:rFonts w:eastAsia="Times New Roman" w:cs="Times New Roman"/>
          <w:spacing w:val="-5"/>
          <w:szCs w:val="24"/>
          <w:lang w:eastAsia="ru-RU"/>
        </w:rPr>
      </w:pPr>
      <w:r w:rsidRPr="00322AE9">
        <w:rPr>
          <w:rFonts w:eastAsia="Times New Roman" w:cs="Times New Roman"/>
          <w:spacing w:val="-5"/>
          <w:szCs w:val="24"/>
          <w:lang w:eastAsia="ru-RU"/>
        </w:rPr>
        <w:t>Для объектов жилого назначения, садовых домов и дач (группа 0200), присваивался класс конструктивной системы КС-7;</w:t>
      </w:r>
    </w:p>
    <w:p w14:paraId="0FE574C8" w14:textId="77777777" w:rsidR="00322AE9" w:rsidRPr="00322AE9" w:rsidRDefault="00322AE9" w:rsidP="00D24868">
      <w:pPr>
        <w:numPr>
          <w:ilvl w:val="0"/>
          <w:numId w:val="74"/>
        </w:numPr>
        <w:tabs>
          <w:tab w:val="left" w:pos="993"/>
        </w:tabs>
        <w:suppressAutoHyphens/>
        <w:adjustRightInd w:val="0"/>
        <w:ind w:left="0" w:firstLine="709"/>
        <w:textAlignment w:val="baseline"/>
        <w:rPr>
          <w:rFonts w:eastAsia="Times New Roman" w:cs="Times New Roman"/>
          <w:szCs w:val="24"/>
          <w:lang w:eastAsia="ru-RU"/>
        </w:rPr>
      </w:pPr>
      <w:r w:rsidRPr="00322AE9">
        <w:rPr>
          <w:rFonts w:eastAsia="Times New Roman" w:cs="Times New Roman"/>
          <w:szCs w:val="24"/>
          <w:lang w:eastAsia="ru-RU"/>
        </w:rPr>
        <w:t>В случае использования в расчетах объекта-аналога, отличающегося от того или иного объекта оценки по классу конструктивной системы, в расчетах применяется дополнительный корректирующий коэффициент к справочной стоимости строительства, позволяющий перейти к стоимости данного объекта-аналога с соответствующей объекту оценки конструктивной системой. Расчет рассматриваемого коэффициента производится на основе соотношений по стоимостям строительства из сборника объектов с абсолютно идентичными характеристиками и назначением, отличающимся исключительно конструктивной системой:</w:t>
      </w:r>
    </w:p>
    <w:p w14:paraId="1669F003" w14:textId="77777777" w:rsidR="00827FEB" w:rsidRDefault="00827FEB" w:rsidP="00322AE9">
      <w:pPr>
        <w:keepNext/>
        <w:suppressAutoHyphens/>
        <w:adjustRightInd w:val="0"/>
        <w:ind w:firstLine="567"/>
        <w:jc w:val="center"/>
        <w:textAlignment w:val="baseline"/>
        <w:rPr>
          <w:rFonts w:eastAsia="Times New Roman" w:cs="Times New Roman"/>
          <w:i/>
          <w:iCs/>
          <w:spacing w:val="-5"/>
          <w:szCs w:val="24"/>
        </w:rPr>
      </w:pPr>
    </w:p>
    <w:p w14:paraId="70BDD72C" w14:textId="78D4EB29" w:rsidR="00322AE9" w:rsidRPr="00322AE9" w:rsidRDefault="00322AE9" w:rsidP="00763AD2">
      <w:pPr>
        <w:pStyle w:val="afffffff0"/>
      </w:pPr>
      <w:r w:rsidRPr="00322AE9">
        <w:t xml:space="preserve">Таблица </w:t>
      </w:r>
      <w:r w:rsidR="00A90944">
        <w:fldChar w:fldCharType="begin"/>
      </w:r>
      <w:r w:rsidR="00A90944">
        <w:instrText xml:space="preserve"> SEQ Таблица \* ARABIC </w:instrText>
      </w:r>
      <w:r w:rsidR="00A90944">
        <w:fldChar w:fldCharType="separate"/>
      </w:r>
      <w:r w:rsidR="00FD2769">
        <w:rPr>
          <w:noProof/>
        </w:rPr>
        <w:t>72</w:t>
      </w:r>
      <w:r w:rsidR="00A90944">
        <w:rPr>
          <w:noProof/>
        </w:rPr>
        <w:fldChar w:fldCharType="end"/>
      </w:r>
      <w:r w:rsidRPr="00322AE9">
        <w:rPr>
          <w:noProof/>
        </w:rPr>
        <w:t xml:space="preserve"> </w:t>
      </w:r>
      <w:r w:rsidRPr="00322AE9">
        <w:t>Корректировка на класс конструктивной системы</w:t>
      </w:r>
    </w:p>
    <w:tbl>
      <w:tblPr>
        <w:tblW w:w="4900" w:type="dxa"/>
        <w:jc w:val="center"/>
        <w:tblBorders>
          <w:top w:val="single" w:sz="4" w:space="0" w:color="auto"/>
          <w:left w:val="single" w:sz="4" w:space="0" w:color="auto"/>
          <w:bottom w:val="single" w:sz="4" w:space="0" w:color="auto"/>
          <w:right w:val="single" w:sz="4" w:space="0" w:color="auto"/>
          <w:insideH w:val="single" w:sz="8" w:space="0" w:color="auto"/>
          <w:insideV w:val="single" w:sz="8" w:space="0" w:color="auto"/>
        </w:tblBorders>
        <w:tblLook w:val="04A0" w:firstRow="1" w:lastRow="0" w:firstColumn="1" w:lastColumn="0" w:noHBand="0" w:noVBand="1"/>
      </w:tblPr>
      <w:tblGrid>
        <w:gridCol w:w="1017"/>
        <w:gridCol w:w="960"/>
        <w:gridCol w:w="960"/>
        <w:gridCol w:w="996"/>
        <w:gridCol w:w="1060"/>
      </w:tblGrid>
      <w:tr w:rsidR="00322AE9" w:rsidRPr="003C59C1" w14:paraId="2F4D5DDE" w14:textId="77777777" w:rsidTr="00322AE9">
        <w:trPr>
          <w:trHeight w:val="315"/>
          <w:jc w:val="center"/>
        </w:trPr>
        <w:tc>
          <w:tcPr>
            <w:tcW w:w="960" w:type="dxa"/>
            <w:shd w:val="clear" w:color="000000" w:fill="BFBFBF"/>
            <w:noWrap/>
            <w:vAlign w:val="center"/>
            <w:hideMark/>
          </w:tcPr>
          <w:p w14:paraId="3DF4ADDE" w14:textId="77777777" w:rsidR="00322AE9" w:rsidRPr="003C59C1" w:rsidRDefault="00322AE9" w:rsidP="00322AE9">
            <w:pPr>
              <w:ind w:firstLine="0"/>
              <w:jc w:val="center"/>
              <w:rPr>
                <w:rFonts w:eastAsia="Times New Roman" w:cs="Times New Roman"/>
                <w:b/>
                <w:bCs/>
                <w:color w:val="000000"/>
                <w:szCs w:val="24"/>
                <w:lang w:eastAsia="ru-RU"/>
              </w:rPr>
            </w:pPr>
            <w:r w:rsidRPr="003C59C1">
              <w:rPr>
                <w:rFonts w:eastAsia="Times New Roman" w:cs="Times New Roman"/>
                <w:b/>
                <w:bCs/>
                <w:color w:val="000000"/>
                <w:szCs w:val="24"/>
                <w:lang w:eastAsia="ru-RU"/>
              </w:rPr>
              <w:t>ОО/ОА</w:t>
            </w:r>
          </w:p>
        </w:tc>
        <w:tc>
          <w:tcPr>
            <w:tcW w:w="960" w:type="dxa"/>
            <w:shd w:val="clear" w:color="000000" w:fill="BFBFBF"/>
            <w:noWrap/>
            <w:vAlign w:val="center"/>
            <w:hideMark/>
          </w:tcPr>
          <w:p w14:paraId="6EBEF34A" w14:textId="77777777" w:rsidR="00322AE9" w:rsidRPr="003C59C1" w:rsidRDefault="00322AE9" w:rsidP="00322AE9">
            <w:pPr>
              <w:ind w:firstLine="0"/>
              <w:jc w:val="center"/>
              <w:rPr>
                <w:rFonts w:eastAsia="Times New Roman" w:cs="Times New Roman"/>
                <w:b/>
                <w:bCs/>
                <w:color w:val="000000"/>
                <w:szCs w:val="24"/>
                <w:lang w:eastAsia="ru-RU"/>
              </w:rPr>
            </w:pPr>
            <w:r w:rsidRPr="003C59C1">
              <w:rPr>
                <w:rFonts w:eastAsia="Times New Roman" w:cs="Times New Roman"/>
                <w:b/>
                <w:bCs/>
                <w:color w:val="000000"/>
                <w:szCs w:val="24"/>
                <w:lang w:eastAsia="ru-RU"/>
              </w:rPr>
              <w:t>КС-1</w:t>
            </w:r>
          </w:p>
        </w:tc>
        <w:tc>
          <w:tcPr>
            <w:tcW w:w="960" w:type="dxa"/>
            <w:shd w:val="clear" w:color="000000" w:fill="BFBFBF"/>
            <w:noWrap/>
            <w:vAlign w:val="center"/>
            <w:hideMark/>
          </w:tcPr>
          <w:p w14:paraId="2E884F53" w14:textId="77777777" w:rsidR="00322AE9" w:rsidRPr="003C59C1" w:rsidRDefault="00322AE9" w:rsidP="00322AE9">
            <w:pPr>
              <w:ind w:firstLine="0"/>
              <w:jc w:val="center"/>
              <w:rPr>
                <w:rFonts w:eastAsia="Times New Roman" w:cs="Times New Roman"/>
                <w:b/>
                <w:bCs/>
                <w:color w:val="000000"/>
                <w:szCs w:val="24"/>
                <w:lang w:eastAsia="ru-RU"/>
              </w:rPr>
            </w:pPr>
            <w:r w:rsidRPr="003C59C1">
              <w:rPr>
                <w:rFonts w:eastAsia="Times New Roman" w:cs="Times New Roman"/>
                <w:b/>
                <w:bCs/>
                <w:color w:val="000000"/>
                <w:szCs w:val="24"/>
                <w:lang w:eastAsia="ru-RU"/>
              </w:rPr>
              <w:t>КС-3</w:t>
            </w:r>
          </w:p>
        </w:tc>
        <w:tc>
          <w:tcPr>
            <w:tcW w:w="960" w:type="dxa"/>
            <w:shd w:val="clear" w:color="000000" w:fill="BFBFBF"/>
            <w:noWrap/>
            <w:vAlign w:val="center"/>
            <w:hideMark/>
          </w:tcPr>
          <w:p w14:paraId="3E57FD4B" w14:textId="77777777" w:rsidR="00322AE9" w:rsidRPr="003C59C1" w:rsidRDefault="00322AE9" w:rsidP="00322AE9">
            <w:pPr>
              <w:ind w:firstLine="0"/>
              <w:jc w:val="center"/>
              <w:rPr>
                <w:rFonts w:eastAsia="Times New Roman" w:cs="Times New Roman"/>
                <w:b/>
                <w:bCs/>
                <w:color w:val="000000"/>
                <w:szCs w:val="24"/>
                <w:lang w:eastAsia="ru-RU"/>
              </w:rPr>
            </w:pPr>
            <w:r w:rsidRPr="003C59C1">
              <w:rPr>
                <w:rFonts w:eastAsia="Times New Roman" w:cs="Times New Roman"/>
                <w:b/>
                <w:bCs/>
                <w:color w:val="000000"/>
                <w:szCs w:val="24"/>
                <w:lang w:eastAsia="ru-RU"/>
              </w:rPr>
              <w:t>КС-6</w:t>
            </w:r>
          </w:p>
        </w:tc>
        <w:tc>
          <w:tcPr>
            <w:tcW w:w="1060" w:type="dxa"/>
            <w:shd w:val="clear" w:color="000000" w:fill="BFBFBF"/>
            <w:noWrap/>
            <w:vAlign w:val="center"/>
            <w:hideMark/>
          </w:tcPr>
          <w:p w14:paraId="509CED6D" w14:textId="77777777" w:rsidR="00322AE9" w:rsidRPr="003C59C1" w:rsidRDefault="00322AE9" w:rsidP="00322AE9">
            <w:pPr>
              <w:ind w:firstLine="0"/>
              <w:jc w:val="center"/>
              <w:rPr>
                <w:rFonts w:eastAsia="Times New Roman" w:cs="Times New Roman"/>
                <w:b/>
                <w:bCs/>
                <w:color w:val="000000"/>
                <w:szCs w:val="24"/>
                <w:lang w:eastAsia="ru-RU"/>
              </w:rPr>
            </w:pPr>
            <w:r w:rsidRPr="003C59C1">
              <w:rPr>
                <w:rFonts w:eastAsia="Times New Roman" w:cs="Times New Roman"/>
                <w:b/>
                <w:bCs/>
                <w:color w:val="000000"/>
                <w:szCs w:val="24"/>
                <w:lang w:eastAsia="ru-RU"/>
              </w:rPr>
              <w:t>КС-7</w:t>
            </w:r>
          </w:p>
        </w:tc>
      </w:tr>
      <w:tr w:rsidR="00322AE9" w:rsidRPr="003C59C1" w14:paraId="55259B23" w14:textId="77777777" w:rsidTr="00322AE9">
        <w:trPr>
          <w:trHeight w:val="315"/>
          <w:jc w:val="center"/>
        </w:trPr>
        <w:tc>
          <w:tcPr>
            <w:tcW w:w="960" w:type="dxa"/>
            <w:shd w:val="clear" w:color="auto" w:fill="auto"/>
            <w:noWrap/>
            <w:vAlign w:val="center"/>
            <w:hideMark/>
          </w:tcPr>
          <w:p w14:paraId="4616DD5F" w14:textId="77777777" w:rsidR="00322AE9" w:rsidRPr="003C59C1" w:rsidRDefault="00322AE9" w:rsidP="00322AE9">
            <w:pPr>
              <w:ind w:firstLine="0"/>
              <w:jc w:val="center"/>
              <w:rPr>
                <w:rFonts w:eastAsia="Times New Roman" w:cs="Times New Roman"/>
                <w:b/>
                <w:bCs/>
                <w:color w:val="000000"/>
                <w:szCs w:val="24"/>
                <w:lang w:eastAsia="ru-RU"/>
              </w:rPr>
            </w:pPr>
            <w:r w:rsidRPr="003C59C1">
              <w:rPr>
                <w:rFonts w:eastAsia="Times New Roman" w:cs="Times New Roman"/>
                <w:b/>
                <w:bCs/>
                <w:color w:val="000000"/>
                <w:szCs w:val="24"/>
                <w:lang w:eastAsia="ru-RU"/>
              </w:rPr>
              <w:t>КС-1</w:t>
            </w:r>
          </w:p>
        </w:tc>
        <w:tc>
          <w:tcPr>
            <w:tcW w:w="960" w:type="dxa"/>
            <w:shd w:val="clear" w:color="auto" w:fill="auto"/>
            <w:noWrap/>
            <w:vAlign w:val="center"/>
            <w:hideMark/>
          </w:tcPr>
          <w:p w14:paraId="7637698A" w14:textId="77777777" w:rsidR="00322AE9" w:rsidRPr="003C59C1" w:rsidRDefault="00322AE9" w:rsidP="00322AE9">
            <w:pPr>
              <w:ind w:firstLine="0"/>
              <w:jc w:val="center"/>
              <w:rPr>
                <w:rFonts w:eastAsia="Times New Roman" w:cs="Times New Roman"/>
                <w:b/>
                <w:bCs/>
                <w:color w:val="000000"/>
                <w:szCs w:val="24"/>
                <w:lang w:eastAsia="ru-RU"/>
              </w:rPr>
            </w:pPr>
            <w:r w:rsidRPr="003C59C1">
              <w:rPr>
                <w:rFonts w:eastAsia="Times New Roman" w:cs="Times New Roman"/>
                <w:b/>
                <w:bCs/>
                <w:color w:val="000000"/>
                <w:szCs w:val="24"/>
                <w:lang w:eastAsia="ru-RU"/>
              </w:rPr>
              <w:t>1</w:t>
            </w:r>
          </w:p>
        </w:tc>
        <w:tc>
          <w:tcPr>
            <w:tcW w:w="960" w:type="dxa"/>
            <w:shd w:val="clear" w:color="auto" w:fill="auto"/>
            <w:noWrap/>
            <w:vAlign w:val="center"/>
            <w:hideMark/>
          </w:tcPr>
          <w:p w14:paraId="46D8BFC7" w14:textId="77777777" w:rsidR="00322AE9" w:rsidRPr="003C59C1" w:rsidRDefault="00322AE9" w:rsidP="00322AE9">
            <w:pPr>
              <w:ind w:firstLine="0"/>
              <w:jc w:val="center"/>
              <w:rPr>
                <w:rFonts w:eastAsia="Times New Roman" w:cs="Times New Roman"/>
                <w:color w:val="000000"/>
                <w:szCs w:val="24"/>
                <w:lang w:eastAsia="ru-RU"/>
              </w:rPr>
            </w:pPr>
            <w:r w:rsidRPr="003C59C1">
              <w:rPr>
                <w:rFonts w:eastAsia="Times New Roman" w:cs="Times New Roman"/>
                <w:color w:val="000000"/>
                <w:szCs w:val="24"/>
                <w:lang w:eastAsia="ru-RU"/>
              </w:rPr>
              <w:t>2,1076</w:t>
            </w:r>
          </w:p>
        </w:tc>
        <w:tc>
          <w:tcPr>
            <w:tcW w:w="960" w:type="dxa"/>
            <w:shd w:val="clear" w:color="auto" w:fill="auto"/>
            <w:noWrap/>
            <w:vAlign w:val="center"/>
            <w:hideMark/>
          </w:tcPr>
          <w:p w14:paraId="04421DD2" w14:textId="77777777" w:rsidR="00322AE9" w:rsidRPr="003C59C1" w:rsidRDefault="00322AE9" w:rsidP="00322AE9">
            <w:pPr>
              <w:ind w:firstLine="0"/>
              <w:jc w:val="center"/>
              <w:rPr>
                <w:rFonts w:eastAsia="Times New Roman" w:cs="Times New Roman"/>
                <w:color w:val="000000"/>
                <w:szCs w:val="24"/>
                <w:lang w:eastAsia="ru-RU"/>
              </w:rPr>
            </w:pPr>
            <w:r w:rsidRPr="003C59C1">
              <w:rPr>
                <w:rFonts w:eastAsia="Times New Roman" w:cs="Times New Roman"/>
                <w:color w:val="000000"/>
                <w:szCs w:val="24"/>
                <w:lang w:eastAsia="ru-RU"/>
              </w:rPr>
              <w:t>2,1352</w:t>
            </w:r>
          </w:p>
        </w:tc>
        <w:tc>
          <w:tcPr>
            <w:tcW w:w="1060" w:type="dxa"/>
            <w:shd w:val="clear" w:color="auto" w:fill="auto"/>
            <w:noWrap/>
            <w:vAlign w:val="center"/>
            <w:hideMark/>
          </w:tcPr>
          <w:p w14:paraId="777EC3AC" w14:textId="77777777" w:rsidR="00322AE9" w:rsidRPr="003C59C1" w:rsidRDefault="00322AE9" w:rsidP="00322AE9">
            <w:pPr>
              <w:ind w:firstLine="0"/>
              <w:jc w:val="center"/>
              <w:rPr>
                <w:rFonts w:eastAsia="Times New Roman" w:cs="Times New Roman"/>
                <w:color w:val="000000"/>
                <w:szCs w:val="24"/>
                <w:lang w:eastAsia="ru-RU"/>
              </w:rPr>
            </w:pPr>
            <w:r w:rsidRPr="003C59C1">
              <w:rPr>
                <w:rFonts w:eastAsia="Times New Roman" w:cs="Times New Roman"/>
                <w:color w:val="000000"/>
                <w:szCs w:val="24"/>
                <w:lang w:eastAsia="ru-RU"/>
              </w:rPr>
              <w:t>1,0538</w:t>
            </w:r>
          </w:p>
        </w:tc>
      </w:tr>
      <w:tr w:rsidR="00322AE9" w:rsidRPr="003C59C1" w14:paraId="28B32C2A" w14:textId="77777777" w:rsidTr="00322AE9">
        <w:trPr>
          <w:trHeight w:val="315"/>
          <w:jc w:val="center"/>
        </w:trPr>
        <w:tc>
          <w:tcPr>
            <w:tcW w:w="960" w:type="dxa"/>
            <w:shd w:val="clear" w:color="auto" w:fill="auto"/>
            <w:noWrap/>
            <w:vAlign w:val="center"/>
            <w:hideMark/>
          </w:tcPr>
          <w:p w14:paraId="1EBD7F15" w14:textId="77777777" w:rsidR="00322AE9" w:rsidRPr="003C59C1" w:rsidRDefault="00322AE9" w:rsidP="00322AE9">
            <w:pPr>
              <w:ind w:firstLine="0"/>
              <w:jc w:val="center"/>
              <w:rPr>
                <w:rFonts w:eastAsia="Times New Roman" w:cs="Times New Roman"/>
                <w:b/>
                <w:bCs/>
                <w:color w:val="000000"/>
                <w:szCs w:val="24"/>
                <w:lang w:eastAsia="ru-RU"/>
              </w:rPr>
            </w:pPr>
            <w:r w:rsidRPr="003C59C1">
              <w:rPr>
                <w:rFonts w:eastAsia="Times New Roman" w:cs="Times New Roman"/>
                <w:b/>
                <w:bCs/>
                <w:color w:val="000000"/>
                <w:szCs w:val="24"/>
                <w:lang w:eastAsia="ru-RU"/>
              </w:rPr>
              <w:t>КС-3</w:t>
            </w:r>
          </w:p>
        </w:tc>
        <w:tc>
          <w:tcPr>
            <w:tcW w:w="960" w:type="dxa"/>
            <w:shd w:val="clear" w:color="auto" w:fill="auto"/>
            <w:noWrap/>
            <w:vAlign w:val="center"/>
            <w:hideMark/>
          </w:tcPr>
          <w:p w14:paraId="66C11BA6" w14:textId="77777777" w:rsidR="00322AE9" w:rsidRPr="003C59C1" w:rsidRDefault="00322AE9" w:rsidP="00322AE9">
            <w:pPr>
              <w:ind w:firstLine="0"/>
              <w:jc w:val="center"/>
              <w:rPr>
                <w:rFonts w:eastAsia="Times New Roman" w:cs="Times New Roman"/>
                <w:color w:val="000000"/>
                <w:szCs w:val="24"/>
                <w:lang w:eastAsia="ru-RU"/>
              </w:rPr>
            </w:pPr>
            <w:r w:rsidRPr="003C59C1">
              <w:rPr>
                <w:rFonts w:eastAsia="Times New Roman" w:cs="Times New Roman"/>
                <w:color w:val="000000"/>
                <w:szCs w:val="24"/>
                <w:lang w:eastAsia="ru-RU"/>
              </w:rPr>
              <w:t>0,4745</w:t>
            </w:r>
          </w:p>
        </w:tc>
        <w:tc>
          <w:tcPr>
            <w:tcW w:w="960" w:type="dxa"/>
            <w:shd w:val="clear" w:color="auto" w:fill="auto"/>
            <w:noWrap/>
            <w:vAlign w:val="center"/>
            <w:hideMark/>
          </w:tcPr>
          <w:p w14:paraId="194E9309" w14:textId="77777777" w:rsidR="00322AE9" w:rsidRPr="003C59C1" w:rsidRDefault="00322AE9" w:rsidP="00322AE9">
            <w:pPr>
              <w:ind w:firstLine="0"/>
              <w:jc w:val="center"/>
              <w:rPr>
                <w:rFonts w:eastAsia="Times New Roman" w:cs="Times New Roman"/>
                <w:b/>
                <w:bCs/>
                <w:color w:val="000000"/>
                <w:szCs w:val="24"/>
                <w:lang w:eastAsia="ru-RU"/>
              </w:rPr>
            </w:pPr>
            <w:r w:rsidRPr="003C59C1">
              <w:rPr>
                <w:rFonts w:eastAsia="Times New Roman" w:cs="Times New Roman"/>
                <w:b/>
                <w:bCs/>
                <w:color w:val="000000"/>
                <w:szCs w:val="24"/>
                <w:lang w:eastAsia="ru-RU"/>
              </w:rPr>
              <w:t>1</w:t>
            </w:r>
          </w:p>
        </w:tc>
        <w:tc>
          <w:tcPr>
            <w:tcW w:w="960" w:type="dxa"/>
            <w:shd w:val="clear" w:color="auto" w:fill="auto"/>
            <w:noWrap/>
            <w:vAlign w:val="center"/>
            <w:hideMark/>
          </w:tcPr>
          <w:p w14:paraId="766B910A" w14:textId="77777777" w:rsidR="00322AE9" w:rsidRPr="003C59C1" w:rsidRDefault="00322AE9" w:rsidP="00322AE9">
            <w:pPr>
              <w:ind w:firstLine="0"/>
              <w:jc w:val="center"/>
              <w:rPr>
                <w:rFonts w:eastAsia="Times New Roman" w:cs="Times New Roman"/>
                <w:color w:val="000000"/>
                <w:szCs w:val="24"/>
                <w:lang w:eastAsia="ru-RU"/>
              </w:rPr>
            </w:pPr>
            <w:r w:rsidRPr="003C59C1">
              <w:rPr>
                <w:rFonts w:eastAsia="Times New Roman" w:cs="Times New Roman"/>
                <w:color w:val="000000"/>
                <w:szCs w:val="24"/>
                <w:lang w:eastAsia="ru-RU"/>
              </w:rPr>
              <w:t>1,01309</w:t>
            </w:r>
          </w:p>
        </w:tc>
        <w:tc>
          <w:tcPr>
            <w:tcW w:w="1060" w:type="dxa"/>
            <w:shd w:val="clear" w:color="auto" w:fill="auto"/>
            <w:noWrap/>
            <w:vAlign w:val="center"/>
            <w:hideMark/>
          </w:tcPr>
          <w:p w14:paraId="17A8257F" w14:textId="77777777" w:rsidR="00322AE9" w:rsidRPr="003C59C1" w:rsidRDefault="00322AE9" w:rsidP="00322AE9">
            <w:pPr>
              <w:ind w:firstLine="0"/>
              <w:jc w:val="center"/>
              <w:rPr>
                <w:rFonts w:eastAsia="Times New Roman" w:cs="Times New Roman"/>
                <w:color w:val="000000"/>
                <w:szCs w:val="24"/>
                <w:lang w:eastAsia="ru-RU"/>
              </w:rPr>
            </w:pPr>
            <w:r w:rsidRPr="003C59C1">
              <w:rPr>
                <w:rFonts w:eastAsia="Times New Roman" w:cs="Times New Roman"/>
                <w:color w:val="000000"/>
                <w:szCs w:val="24"/>
                <w:lang w:eastAsia="ru-RU"/>
              </w:rPr>
              <w:t>0,5</w:t>
            </w:r>
          </w:p>
        </w:tc>
      </w:tr>
      <w:tr w:rsidR="00322AE9" w:rsidRPr="003C59C1" w14:paraId="23F2C2DB" w14:textId="77777777" w:rsidTr="00322AE9">
        <w:trPr>
          <w:trHeight w:val="315"/>
          <w:jc w:val="center"/>
        </w:trPr>
        <w:tc>
          <w:tcPr>
            <w:tcW w:w="960" w:type="dxa"/>
            <w:shd w:val="clear" w:color="auto" w:fill="auto"/>
            <w:noWrap/>
            <w:vAlign w:val="center"/>
            <w:hideMark/>
          </w:tcPr>
          <w:p w14:paraId="7CB2157B" w14:textId="77777777" w:rsidR="00322AE9" w:rsidRPr="003C59C1" w:rsidRDefault="00322AE9" w:rsidP="00322AE9">
            <w:pPr>
              <w:ind w:firstLine="0"/>
              <w:jc w:val="center"/>
              <w:rPr>
                <w:rFonts w:eastAsia="Times New Roman" w:cs="Times New Roman"/>
                <w:b/>
                <w:bCs/>
                <w:color w:val="000000"/>
                <w:szCs w:val="24"/>
                <w:lang w:eastAsia="ru-RU"/>
              </w:rPr>
            </w:pPr>
            <w:r w:rsidRPr="003C59C1">
              <w:rPr>
                <w:rFonts w:eastAsia="Times New Roman" w:cs="Times New Roman"/>
                <w:b/>
                <w:bCs/>
                <w:color w:val="000000"/>
                <w:szCs w:val="24"/>
                <w:lang w:eastAsia="ru-RU"/>
              </w:rPr>
              <w:t>КС-6</w:t>
            </w:r>
          </w:p>
        </w:tc>
        <w:tc>
          <w:tcPr>
            <w:tcW w:w="960" w:type="dxa"/>
            <w:shd w:val="clear" w:color="auto" w:fill="auto"/>
            <w:noWrap/>
            <w:vAlign w:val="center"/>
            <w:hideMark/>
          </w:tcPr>
          <w:p w14:paraId="56EF01CC" w14:textId="77777777" w:rsidR="00322AE9" w:rsidRPr="003C59C1" w:rsidRDefault="00322AE9" w:rsidP="00322AE9">
            <w:pPr>
              <w:ind w:firstLine="0"/>
              <w:jc w:val="center"/>
              <w:rPr>
                <w:rFonts w:eastAsia="Times New Roman" w:cs="Times New Roman"/>
                <w:color w:val="000000"/>
                <w:szCs w:val="24"/>
                <w:lang w:eastAsia="ru-RU"/>
              </w:rPr>
            </w:pPr>
            <w:r w:rsidRPr="003C59C1">
              <w:rPr>
                <w:rFonts w:eastAsia="Times New Roman" w:cs="Times New Roman"/>
                <w:color w:val="000000"/>
                <w:szCs w:val="24"/>
                <w:lang w:eastAsia="ru-RU"/>
              </w:rPr>
              <w:t>0,4683</w:t>
            </w:r>
          </w:p>
        </w:tc>
        <w:tc>
          <w:tcPr>
            <w:tcW w:w="960" w:type="dxa"/>
            <w:shd w:val="clear" w:color="auto" w:fill="auto"/>
            <w:noWrap/>
            <w:vAlign w:val="center"/>
            <w:hideMark/>
          </w:tcPr>
          <w:p w14:paraId="2A24E187" w14:textId="77777777" w:rsidR="00322AE9" w:rsidRPr="003C59C1" w:rsidRDefault="00322AE9" w:rsidP="00322AE9">
            <w:pPr>
              <w:ind w:firstLine="0"/>
              <w:jc w:val="center"/>
              <w:rPr>
                <w:rFonts w:eastAsia="Times New Roman" w:cs="Times New Roman"/>
                <w:color w:val="000000"/>
                <w:szCs w:val="24"/>
                <w:lang w:eastAsia="ru-RU"/>
              </w:rPr>
            </w:pPr>
            <w:r w:rsidRPr="003C59C1">
              <w:rPr>
                <w:rFonts w:eastAsia="Times New Roman" w:cs="Times New Roman"/>
                <w:color w:val="000000"/>
                <w:szCs w:val="24"/>
                <w:lang w:eastAsia="ru-RU"/>
              </w:rPr>
              <w:t>0,9871</w:t>
            </w:r>
          </w:p>
        </w:tc>
        <w:tc>
          <w:tcPr>
            <w:tcW w:w="960" w:type="dxa"/>
            <w:shd w:val="clear" w:color="auto" w:fill="auto"/>
            <w:noWrap/>
            <w:vAlign w:val="center"/>
            <w:hideMark/>
          </w:tcPr>
          <w:p w14:paraId="63ECB987" w14:textId="77777777" w:rsidR="00322AE9" w:rsidRPr="003C59C1" w:rsidRDefault="00322AE9" w:rsidP="00322AE9">
            <w:pPr>
              <w:ind w:firstLine="0"/>
              <w:jc w:val="center"/>
              <w:rPr>
                <w:rFonts w:eastAsia="Times New Roman" w:cs="Times New Roman"/>
                <w:b/>
                <w:bCs/>
                <w:color w:val="000000"/>
                <w:szCs w:val="24"/>
                <w:lang w:eastAsia="ru-RU"/>
              </w:rPr>
            </w:pPr>
            <w:r w:rsidRPr="003C59C1">
              <w:rPr>
                <w:rFonts w:eastAsia="Times New Roman" w:cs="Times New Roman"/>
                <w:b/>
                <w:bCs/>
                <w:color w:val="000000"/>
                <w:szCs w:val="24"/>
                <w:lang w:eastAsia="ru-RU"/>
              </w:rPr>
              <w:t>1</w:t>
            </w:r>
          </w:p>
        </w:tc>
        <w:tc>
          <w:tcPr>
            <w:tcW w:w="1060" w:type="dxa"/>
            <w:shd w:val="clear" w:color="auto" w:fill="auto"/>
            <w:noWrap/>
            <w:vAlign w:val="center"/>
            <w:hideMark/>
          </w:tcPr>
          <w:p w14:paraId="0B9666CF" w14:textId="77777777" w:rsidR="00322AE9" w:rsidRPr="003C59C1" w:rsidRDefault="00322AE9" w:rsidP="00322AE9">
            <w:pPr>
              <w:ind w:firstLine="0"/>
              <w:jc w:val="center"/>
              <w:rPr>
                <w:rFonts w:eastAsia="Times New Roman" w:cs="Times New Roman"/>
                <w:color w:val="000000"/>
                <w:szCs w:val="24"/>
                <w:lang w:eastAsia="ru-RU"/>
              </w:rPr>
            </w:pPr>
            <w:r w:rsidRPr="003C59C1">
              <w:rPr>
                <w:rFonts w:eastAsia="Times New Roman" w:cs="Times New Roman"/>
                <w:color w:val="000000"/>
                <w:szCs w:val="24"/>
                <w:lang w:eastAsia="ru-RU"/>
              </w:rPr>
              <w:t>0,4935</w:t>
            </w:r>
          </w:p>
        </w:tc>
      </w:tr>
    </w:tbl>
    <w:p w14:paraId="332A131E" w14:textId="77777777" w:rsidR="00322AE9" w:rsidRPr="00322AE9" w:rsidRDefault="00322AE9" w:rsidP="00322AE9">
      <w:pPr>
        <w:suppressAutoHyphens/>
        <w:adjustRightInd w:val="0"/>
        <w:ind w:firstLine="567"/>
        <w:textAlignment w:val="baseline"/>
        <w:rPr>
          <w:rFonts w:eastAsia="Times New Roman" w:cs="Times New Roman"/>
          <w:spacing w:val="-5"/>
          <w:szCs w:val="24"/>
        </w:rPr>
      </w:pPr>
    </w:p>
    <w:p w14:paraId="702C2B48" w14:textId="77777777" w:rsidR="00322AE9" w:rsidRPr="00322AE9" w:rsidRDefault="00322AE9" w:rsidP="00322AE9">
      <w:pPr>
        <w:suppressAutoHyphens/>
        <w:adjustRightInd w:val="0"/>
        <w:ind w:firstLine="708"/>
        <w:textAlignment w:val="baseline"/>
        <w:rPr>
          <w:rFonts w:eastAsia="Times New Roman" w:cs="Times New Roman"/>
          <w:b/>
          <w:spacing w:val="-5"/>
          <w:szCs w:val="24"/>
        </w:rPr>
      </w:pPr>
      <w:bookmarkStart w:id="148" w:name="_Toc530400514"/>
      <w:bookmarkStart w:id="149" w:name="_Toc525310212"/>
      <w:r w:rsidRPr="00322AE9">
        <w:rPr>
          <w:rFonts w:eastAsia="Times New Roman" w:cs="Times New Roman"/>
          <w:b/>
          <w:spacing w:val="-5"/>
          <w:szCs w:val="24"/>
        </w:rPr>
        <w:t>Определение строительного объема зданий</w:t>
      </w:r>
      <w:bookmarkEnd w:id="148"/>
    </w:p>
    <w:p w14:paraId="69854AA3" w14:textId="77777777" w:rsidR="00322AE9" w:rsidRPr="00322AE9" w:rsidRDefault="00322AE9" w:rsidP="00322AE9">
      <w:pPr>
        <w:suppressAutoHyphens/>
        <w:adjustRightInd w:val="0"/>
        <w:ind w:firstLine="709"/>
        <w:textAlignment w:val="baseline"/>
        <w:rPr>
          <w:rFonts w:eastAsia="Times New Roman" w:cs="Times New Roman"/>
          <w:spacing w:val="-5"/>
          <w:szCs w:val="24"/>
        </w:rPr>
      </w:pPr>
      <w:bookmarkStart w:id="150" w:name="_Toc330219297"/>
      <w:bookmarkStart w:id="151" w:name="_Toc329971054"/>
      <w:bookmarkStart w:id="152" w:name="_Toc328646858"/>
      <w:bookmarkStart w:id="153" w:name="_Toc328578048"/>
      <w:r w:rsidRPr="00322AE9">
        <w:rPr>
          <w:rFonts w:eastAsia="Times New Roman" w:cs="Times New Roman"/>
          <w:spacing w:val="-5"/>
          <w:szCs w:val="24"/>
        </w:rPr>
        <w:t>Строительный объем здания определяется как сумма строительного объема выше отметки ±0.00 (надземная часть) и ниже этой отметки (подземная часть).</w:t>
      </w:r>
    </w:p>
    <w:p w14:paraId="398D3531" w14:textId="77777777" w:rsidR="00322AE9" w:rsidRPr="00322AE9" w:rsidRDefault="00322AE9" w:rsidP="00322AE9">
      <w:pPr>
        <w:suppressAutoHyphens/>
        <w:adjustRightInd w:val="0"/>
        <w:ind w:firstLine="709"/>
        <w:textAlignment w:val="baseline"/>
        <w:rPr>
          <w:rFonts w:eastAsia="Times New Roman" w:cs="Times New Roman"/>
          <w:spacing w:val="-5"/>
          <w:szCs w:val="24"/>
        </w:rPr>
      </w:pPr>
      <w:r w:rsidRPr="00322AE9">
        <w:rPr>
          <w:rFonts w:eastAsia="Times New Roman" w:cs="Times New Roman"/>
          <w:spacing w:val="-5"/>
          <w:szCs w:val="24"/>
        </w:rPr>
        <w:t>Строительный объем надземной и подземной частей здания определяется в пределах ограничивающих поверхностей с включением ограждающих конструкций, световых фонарей, куполов и др., начиная с отметки чистого пола каждой из частей здания, без учета выступающих архитектурных деталей и конструктивных элементов, подпольных каналов, портиков, террас, балконов, объема проездов и пространства под зданием на опорах (в чистоте), а также проветриваемых подполий под зданиями, проектируемыми для строительства на вечномерзлых грунтах</w:t>
      </w:r>
      <w:r w:rsidRPr="00322AE9">
        <w:rPr>
          <w:rFonts w:eastAsia="Times New Roman" w:cs="Times New Roman"/>
          <w:spacing w:val="-5"/>
          <w:szCs w:val="24"/>
          <w:vertAlign w:val="superscript"/>
        </w:rPr>
        <w:footnoteReference w:id="29"/>
      </w:r>
      <w:r w:rsidRPr="00322AE9">
        <w:rPr>
          <w:rFonts w:eastAsia="Times New Roman" w:cs="Times New Roman"/>
          <w:spacing w:val="-5"/>
          <w:szCs w:val="24"/>
        </w:rPr>
        <w:t>.</w:t>
      </w:r>
    </w:p>
    <w:p w14:paraId="793E7ACE" w14:textId="77777777" w:rsidR="00322AE9" w:rsidRPr="00322AE9" w:rsidRDefault="00322AE9" w:rsidP="00322AE9">
      <w:pPr>
        <w:suppressAutoHyphens/>
        <w:adjustRightInd w:val="0"/>
        <w:spacing w:after="120"/>
        <w:ind w:firstLine="709"/>
        <w:textAlignment w:val="baseline"/>
        <w:rPr>
          <w:rFonts w:eastAsia="Times New Roman" w:cs="Times New Roman"/>
          <w:spacing w:val="-5"/>
          <w:szCs w:val="24"/>
        </w:rPr>
      </w:pPr>
      <w:r w:rsidRPr="00322AE9">
        <w:rPr>
          <w:rFonts w:eastAsia="Times New Roman" w:cs="Times New Roman"/>
          <w:spacing w:val="-5"/>
          <w:szCs w:val="24"/>
        </w:rPr>
        <w:t>Общий строительный объем можно рассчитать по формуле:</w:t>
      </w:r>
    </w:p>
    <w:p w14:paraId="6CFA2127" w14:textId="77777777" w:rsidR="00322AE9" w:rsidRPr="00322AE9" w:rsidRDefault="00322AE9" w:rsidP="00322AE9">
      <w:pPr>
        <w:suppressAutoHyphens/>
        <w:adjustRightInd w:val="0"/>
        <w:ind w:firstLine="709"/>
        <w:jc w:val="center"/>
        <w:textAlignment w:val="baseline"/>
        <w:rPr>
          <w:rFonts w:eastAsia="Times New Roman" w:cs="Times New Roman"/>
          <w:spacing w:val="-5"/>
          <w:szCs w:val="24"/>
        </w:rPr>
      </w:pPr>
      <m:oMath>
        <m:r>
          <m:rPr>
            <m:sty m:val="bi"/>
          </m:rPr>
          <w:rPr>
            <w:rFonts w:ascii="Cambria Math" w:eastAsia="Times New Roman" w:hAnsi="Cambria Math" w:cs="Times New Roman"/>
            <w:spacing w:val="-5"/>
            <w:szCs w:val="24"/>
          </w:rPr>
          <m:t>V</m:t>
        </m:r>
        <m:r>
          <m:rPr>
            <m:sty m:val="p"/>
          </m:rPr>
          <w:rPr>
            <w:rFonts w:ascii="Cambria Math" w:eastAsia="Times New Roman" w:hAnsi="Cambria Math" w:cs="Times New Roman"/>
            <w:spacing w:val="-5"/>
            <w:szCs w:val="24"/>
          </w:rPr>
          <m:t>=</m:t>
        </m:r>
        <m:sSub>
          <m:sSubPr>
            <m:ctrlPr>
              <w:rPr>
                <w:rFonts w:ascii="Cambria Math" w:eastAsia="Times New Roman" w:hAnsi="Cambria Math" w:cs="Times New Roman"/>
                <w:spacing w:val="-5"/>
                <w:szCs w:val="24"/>
              </w:rPr>
            </m:ctrlPr>
          </m:sSubPr>
          <m:e>
            <m:r>
              <m:rPr>
                <m:sty m:val="bi"/>
              </m:rPr>
              <w:rPr>
                <w:rFonts w:ascii="Cambria Math" w:eastAsia="Times New Roman" w:hAnsi="Cambria Math" w:cs="Times New Roman"/>
                <w:spacing w:val="-5"/>
                <w:szCs w:val="24"/>
              </w:rPr>
              <m:t>S</m:t>
            </m:r>
          </m:e>
          <m:sub>
            <m:r>
              <m:rPr>
                <m:sty m:val="p"/>
              </m:rPr>
              <w:rPr>
                <w:rFonts w:ascii="Cambria Math" w:eastAsia="Times New Roman" w:hAnsi="Cambria Math" w:cs="Times New Roman"/>
                <w:spacing w:val="-5"/>
                <w:szCs w:val="24"/>
              </w:rPr>
              <m:t>з</m:t>
            </m:r>
          </m:sub>
        </m:sSub>
        <m:r>
          <m:rPr>
            <m:sty m:val="p"/>
          </m:rPr>
          <w:rPr>
            <w:rFonts w:ascii="Cambria Math" w:eastAsia="Times New Roman" w:hAnsi="Cambria Math" w:cs="Times New Roman"/>
            <w:spacing w:val="-5"/>
            <w:szCs w:val="24"/>
          </w:rPr>
          <m:t>×</m:t>
        </m:r>
        <m:sSub>
          <m:sSubPr>
            <m:ctrlPr>
              <w:rPr>
                <w:rFonts w:ascii="Cambria Math" w:eastAsia="Times New Roman" w:hAnsi="Cambria Math" w:cs="Times New Roman"/>
                <w:spacing w:val="-5"/>
                <w:szCs w:val="24"/>
              </w:rPr>
            </m:ctrlPr>
          </m:sSubPr>
          <m:e>
            <m:r>
              <m:rPr>
                <m:sty m:val="bi"/>
              </m:rPr>
              <w:rPr>
                <w:rFonts w:ascii="Cambria Math" w:eastAsia="Times New Roman" w:hAnsi="Cambria Math" w:cs="Times New Roman"/>
                <w:spacing w:val="-5"/>
                <w:szCs w:val="24"/>
              </w:rPr>
              <m:t>h</m:t>
            </m:r>
          </m:e>
          <m:sub>
            <m:r>
              <m:rPr>
                <m:sty m:val="p"/>
              </m:rPr>
              <w:rPr>
                <w:rFonts w:ascii="Cambria Math" w:eastAsia="Times New Roman" w:hAnsi="Cambria Math" w:cs="Times New Roman"/>
                <w:spacing w:val="-5"/>
                <w:szCs w:val="24"/>
              </w:rPr>
              <m:t>з</m:t>
            </m:r>
          </m:sub>
        </m:sSub>
        <m:r>
          <m:rPr>
            <m:sty m:val="p"/>
          </m:rPr>
          <w:rPr>
            <w:rFonts w:ascii="Cambria Math" w:eastAsia="Times New Roman" w:hAnsi="Cambria Math" w:cs="Times New Roman"/>
            <w:spacing w:val="-5"/>
            <w:szCs w:val="24"/>
          </w:rPr>
          <m:t>+</m:t>
        </m:r>
        <m:sSub>
          <m:sSubPr>
            <m:ctrlPr>
              <w:rPr>
                <w:rFonts w:ascii="Cambria Math" w:eastAsia="Times New Roman" w:hAnsi="Cambria Math" w:cs="Times New Roman"/>
                <w:spacing w:val="-5"/>
                <w:szCs w:val="24"/>
              </w:rPr>
            </m:ctrlPr>
          </m:sSubPr>
          <m:e>
            <m:r>
              <m:rPr>
                <m:sty m:val="bi"/>
              </m:rPr>
              <w:rPr>
                <w:rFonts w:ascii="Cambria Math" w:eastAsia="Times New Roman" w:hAnsi="Cambria Math" w:cs="Times New Roman"/>
                <w:spacing w:val="-5"/>
                <w:szCs w:val="24"/>
              </w:rPr>
              <m:t>S</m:t>
            </m:r>
          </m:e>
          <m:sub>
            <m:r>
              <m:rPr>
                <m:sty m:val="p"/>
              </m:rPr>
              <w:rPr>
                <w:rFonts w:ascii="Cambria Math" w:eastAsia="Times New Roman" w:hAnsi="Cambria Math" w:cs="Times New Roman"/>
                <w:spacing w:val="-5"/>
                <w:szCs w:val="24"/>
              </w:rPr>
              <m:t>п</m:t>
            </m:r>
          </m:sub>
        </m:sSub>
        <m:r>
          <m:rPr>
            <m:sty m:val="p"/>
          </m:rPr>
          <w:rPr>
            <w:rFonts w:ascii="Cambria Math" w:eastAsia="Times New Roman" w:hAnsi="Cambria Math" w:cs="Times New Roman"/>
            <w:spacing w:val="-5"/>
            <w:szCs w:val="24"/>
          </w:rPr>
          <m:t>×</m:t>
        </m:r>
        <m:sSub>
          <m:sSubPr>
            <m:ctrlPr>
              <w:rPr>
                <w:rFonts w:ascii="Cambria Math" w:eastAsia="Times New Roman" w:hAnsi="Cambria Math" w:cs="Times New Roman"/>
                <w:spacing w:val="-5"/>
                <w:szCs w:val="24"/>
              </w:rPr>
            </m:ctrlPr>
          </m:sSubPr>
          <m:e>
            <m:r>
              <m:rPr>
                <m:sty m:val="bi"/>
              </m:rPr>
              <w:rPr>
                <w:rFonts w:ascii="Cambria Math" w:eastAsia="Times New Roman" w:hAnsi="Cambria Math" w:cs="Times New Roman"/>
                <w:spacing w:val="-5"/>
                <w:szCs w:val="24"/>
              </w:rPr>
              <m:t>h</m:t>
            </m:r>
          </m:e>
          <m:sub>
            <m:r>
              <m:rPr>
                <m:sty m:val="p"/>
              </m:rPr>
              <w:rPr>
                <w:rFonts w:ascii="Cambria Math" w:eastAsia="Times New Roman" w:hAnsi="Cambria Math" w:cs="Times New Roman"/>
                <w:spacing w:val="-5"/>
                <w:szCs w:val="24"/>
              </w:rPr>
              <m:t>п</m:t>
            </m:r>
          </m:sub>
        </m:sSub>
      </m:oMath>
      <w:r w:rsidRPr="00322AE9">
        <w:rPr>
          <w:rFonts w:eastAsia="Times New Roman" w:cs="Times New Roman"/>
          <w:spacing w:val="-5"/>
          <w:szCs w:val="24"/>
        </w:rPr>
        <w:t>,</w:t>
      </w:r>
    </w:p>
    <w:p w14:paraId="52D6B9CC" w14:textId="77777777" w:rsidR="00322AE9" w:rsidRPr="00322AE9" w:rsidRDefault="00322AE9" w:rsidP="00322AE9">
      <w:pPr>
        <w:suppressAutoHyphens/>
        <w:adjustRightInd w:val="0"/>
        <w:ind w:firstLine="709"/>
        <w:textAlignment w:val="baseline"/>
        <w:rPr>
          <w:rFonts w:eastAsia="Times New Roman" w:cs="Times New Roman"/>
          <w:spacing w:val="-5"/>
          <w:szCs w:val="24"/>
        </w:rPr>
      </w:pPr>
      <w:r w:rsidRPr="00322AE9">
        <w:rPr>
          <w:rFonts w:eastAsia="Times New Roman" w:cs="Times New Roman"/>
          <w:spacing w:val="-5"/>
          <w:szCs w:val="24"/>
        </w:rPr>
        <w:t>где:</w:t>
      </w:r>
    </w:p>
    <w:p w14:paraId="12A29EDA" w14:textId="77777777" w:rsidR="00322AE9" w:rsidRPr="00322AE9" w:rsidRDefault="00A90944" w:rsidP="00322AE9">
      <w:pPr>
        <w:suppressAutoHyphens/>
        <w:adjustRightInd w:val="0"/>
        <w:ind w:firstLine="709"/>
        <w:textAlignment w:val="baseline"/>
        <w:rPr>
          <w:rFonts w:eastAsia="Times New Roman" w:cs="Times New Roman"/>
          <w:spacing w:val="-5"/>
          <w:szCs w:val="24"/>
        </w:rPr>
      </w:pPr>
      <m:oMath>
        <m:sSub>
          <m:sSubPr>
            <m:ctrlPr>
              <w:rPr>
                <w:rFonts w:ascii="Cambria Math" w:eastAsia="Times New Roman" w:hAnsi="Cambria Math" w:cs="Times New Roman"/>
                <w:spacing w:val="-5"/>
                <w:szCs w:val="24"/>
              </w:rPr>
            </m:ctrlPr>
          </m:sSubPr>
          <m:e>
            <m:r>
              <w:rPr>
                <w:rFonts w:ascii="Cambria Math" w:eastAsia="Times New Roman" w:hAnsi="Cambria Math" w:cs="Times New Roman"/>
                <w:spacing w:val="-5"/>
                <w:szCs w:val="24"/>
              </w:rPr>
              <m:t>S</m:t>
            </m:r>
          </m:e>
          <m:sub>
            <m:r>
              <m:rPr>
                <m:sty m:val="p"/>
              </m:rPr>
              <w:rPr>
                <w:rFonts w:ascii="Cambria Math" w:eastAsia="Times New Roman" w:hAnsi="Cambria Math" w:cs="Times New Roman"/>
                <w:spacing w:val="-5"/>
                <w:szCs w:val="24"/>
              </w:rPr>
              <m:t>з</m:t>
            </m:r>
          </m:sub>
        </m:sSub>
      </m:oMath>
      <w:r w:rsidR="00322AE9" w:rsidRPr="00322AE9">
        <w:rPr>
          <w:rFonts w:eastAsia="Times New Roman" w:cs="Times New Roman"/>
          <w:spacing w:val="-5"/>
          <w:szCs w:val="24"/>
        </w:rPr>
        <w:t xml:space="preserve"> – площадь по внешнему обводу ограждающих конструкций здания (далее - площадь застройки) определяется как площадь горизонтального сечения по внешнему обводу здания на уровне цоколя, включая выступающие части. Площадь под зданием, расположенным на столбах, а также проезды под зданием включаются в площадь застройки;</w:t>
      </w:r>
    </w:p>
    <w:p w14:paraId="03B4DF93" w14:textId="77777777" w:rsidR="00322AE9" w:rsidRPr="00322AE9" w:rsidRDefault="00A90944" w:rsidP="00322AE9">
      <w:pPr>
        <w:suppressAutoHyphens/>
        <w:adjustRightInd w:val="0"/>
        <w:ind w:firstLine="709"/>
        <w:textAlignment w:val="baseline"/>
        <w:rPr>
          <w:rFonts w:eastAsia="Times New Roman" w:cs="Times New Roman"/>
          <w:spacing w:val="-5"/>
          <w:szCs w:val="24"/>
        </w:rPr>
      </w:pPr>
      <m:oMath>
        <m:sSub>
          <m:sSubPr>
            <m:ctrlPr>
              <w:rPr>
                <w:rFonts w:ascii="Cambria Math" w:eastAsia="Times New Roman" w:hAnsi="Cambria Math" w:cs="Times New Roman"/>
                <w:spacing w:val="-5"/>
                <w:szCs w:val="24"/>
              </w:rPr>
            </m:ctrlPr>
          </m:sSubPr>
          <m:e>
            <m:r>
              <w:rPr>
                <w:rFonts w:ascii="Cambria Math" w:eastAsia="Times New Roman" w:hAnsi="Cambria Math" w:cs="Times New Roman"/>
                <w:spacing w:val="-5"/>
                <w:szCs w:val="24"/>
              </w:rPr>
              <m:t>S</m:t>
            </m:r>
          </m:e>
          <m:sub>
            <m:r>
              <m:rPr>
                <m:sty m:val="p"/>
              </m:rPr>
              <w:rPr>
                <w:rFonts w:ascii="Cambria Math" w:eastAsia="Times New Roman" w:hAnsi="Cambria Math" w:cs="Times New Roman"/>
                <w:spacing w:val="-5"/>
                <w:szCs w:val="24"/>
              </w:rPr>
              <m:t>п</m:t>
            </m:r>
          </m:sub>
        </m:sSub>
      </m:oMath>
      <w:r w:rsidR="00322AE9" w:rsidRPr="00322AE9">
        <w:rPr>
          <w:rFonts w:eastAsia="Times New Roman" w:cs="Times New Roman"/>
          <w:spacing w:val="-5"/>
          <w:szCs w:val="24"/>
        </w:rPr>
        <w:t xml:space="preserve"> – площадь подвала;</w:t>
      </w:r>
    </w:p>
    <w:p w14:paraId="4CF1BDBA" w14:textId="77777777" w:rsidR="00322AE9" w:rsidRPr="00322AE9" w:rsidRDefault="00A90944" w:rsidP="00322AE9">
      <w:pPr>
        <w:suppressAutoHyphens/>
        <w:adjustRightInd w:val="0"/>
        <w:ind w:firstLine="709"/>
        <w:textAlignment w:val="baseline"/>
        <w:rPr>
          <w:rFonts w:eastAsia="Times New Roman" w:cs="Times New Roman"/>
          <w:spacing w:val="-5"/>
          <w:szCs w:val="24"/>
        </w:rPr>
      </w:pPr>
      <m:oMath>
        <m:sSub>
          <m:sSubPr>
            <m:ctrlPr>
              <w:rPr>
                <w:rFonts w:ascii="Cambria Math" w:eastAsia="Times New Roman" w:hAnsi="Cambria Math" w:cs="Times New Roman"/>
                <w:spacing w:val="-5"/>
                <w:szCs w:val="24"/>
              </w:rPr>
            </m:ctrlPr>
          </m:sSubPr>
          <m:e>
            <m:r>
              <w:rPr>
                <w:rFonts w:ascii="Cambria Math" w:eastAsia="Times New Roman" w:hAnsi="Cambria Math" w:cs="Times New Roman"/>
                <w:spacing w:val="-5"/>
                <w:szCs w:val="24"/>
              </w:rPr>
              <m:t>h</m:t>
            </m:r>
          </m:e>
          <m:sub>
            <m:r>
              <m:rPr>
                <m:sty m:val="p"/>
              </m:rPr>
              <w:rPr>
                <w:rFonts w:ascii="Cambria Math" w:eastAsia="Times New Roman" w:hAnsi="Cambria Math" w:cs="Times New Roman"/>
                <w:spacing w:val="-5"/>
                <w:szCs w:val="24"/>
              </w:rPr>
              <m:t>з</m:t>
            </m:r>
          </m:sub>
        </m:sSub>
      </m:oMath>
      <w:r w:rsidR="00322AE9" w:rsidRPr="00322AE9">
        <w:rPr>
          <w:rFonts w:eastAsia="Times New Roman" w:cs="Times New Roman"/>
          <w:spacing w:val="-5"/>
          <w:szCs w:val="24"/>
        </w:rPr>
        <w:t xml:space="preserve"> – высота здания (для двускатных крыш за высоту чердака принимается половина высоты чердака от уровня пола чердака до конька, для плоских крыш - на уровне парапетов, считая возможным пренебречь всеми выступающими частями крыши, нивелировав их);</w:t>
      </w:r>
    </w:p>
    <w:p w14:paraId="710872AB" w14:textId="77777777" w:rsidR="00322AE9" w:rsidRPr="00322AE9" w:rsidRDefault="00A90944" w:rsidP="00322AE9">
      <w:pPr>
        <w:suppressAutoHyphens/>
        <w:adjustRightInd w:val="0"/>
        <w:ind w:firstLine="709"/>
        <w:textAlignment w:val="baseline"/>
        <w:rPr>
          <w:rFonts w:eastAsia="Times New Roman" w:cs="Times New Roman"/>
          <w:spacing w:val="-5"/>
          <w:szCs w:val="24"/>
        </w:rPr>
      </w:pPr>
      <m:oMath>
        <m:sSub>
          <m:sSubPr>
            <m:ctrlPr>
              <w:rPr>
                <w:rFonts w:ascii="Cambria Math" w:eastAsia="Times New Roman" w:hAnsi="Cambria Math" w:cs="Times New Roman"/>
                <w:spacing w:val="-5"/>
                <w:szCs w:val="24"/>
              </w:rPr>
            </m:ctrlPr>
          </m:sSubPr>
          <m:e>
            <m:r>
              <w:rPr>
                <w:rFonts w:ascii="Cambria Math" w:eastAsia="Times New Roman" w:hAnsi="Cambria Math" w:cs="Times New Roman"/>
                <w:spacing w:val="-5"/>
                <w:szCs w:val="24"/>
              </w:rPr>
              <m:t>h</m:t>
            </m:r>
          </m:e>
          <m:sub>
            <m:r>
              <m:rPr>
                <m:sty m:val="p"/>
              </m:rPr>
              <w:rPr>
                <w:rFonts w:ascii="Cambria Math" w:eastAsia="Times New Roman" w:hAnsi="Cambria Math" w:cs="Times New Roman"/>
                <w:spacing w:val="-5"/>
                <w:szCs w:val="24"/>
              </w:rPr>
              <m:t>п</m:t>
            </m:r>
          </m:sub>
        </m:sSub>
      </m:oMath>
      <w:r w:rsidR="00322AE9" w:rsidRPr="00322AE9">
        <w:rPr>
          <w:rFonts w:eastAsia="Times New Roman" w:cs="Times New Roman"/>
          <w:spacing w:val="-5"/>
          <w:szCs w:val="24"/>
        </w:rPr>
        <w:t xml:space="preserve"> – заглубление отметки пола подвала относительно уровня земли.</w:t>
      </w:r>
    </w:p>
    <w:p w14:paraId="6C23EBC0" w14:textId="77777777" w:rsidR="00322AE9" w:rsidRPr="00322AE9" w:rsidRDefault="00322AE9" w:rsidP="00322AE9">
      <w:pPr>
        <w:suppressAutoHyphens/>
        <w:adjustRightInd w:val="0"/>
        <w:ind w:firstLine="709"/>
        <w:textAlignment w:val="baseline"/>
        <w:rPr>
          <w:rFonts w:eastAsia="Times New Roman" w:cs="Times New Roman"/>
          <w:spacing w:val="-5"/>
          <w:szCs w:val="24"/>
        </w:rPr>
      </w:pPr>
      <w:r w:rsidRPr="00322AE9">
        <w:rPr>
          <w:rFonts w:eastAsia="Times New Roman" w:cs="Times New Roman"/>
          <w:spacing w:val="-5"/>
          <w:szCs w:val="24"/>
        </w:rPr>
        <w:t>Сотрудники ГБУ РС(Я) «ЦГКО» сделали допущение о том, что представленные в перечне значения площади являются значениями общей площади объектов по внутреннему обмеру.</w:t>
      </w:r>
      <w:bookmarkEnd w:id="150"/>
      <w:bookmarkEnd w:id="151"/>
      <w:bookmarkEnd w:id="152"/>
      <w:bookmarkEnd w:id="153"/>
    </w:p>
    <w:p w14:paraId="391818AA" w14:textId="77777777" w:rsidR="00322AE9" w:rsidRPr="00322AE9" w:rsidRDefault="00322AE9" w:rsidP="00322AE9">
      <w:pPr>
        <w:suppressAutoHyphens/>
        <w:adjustRightInd w:val="0"/>
        <w:ind w:firstLine="709"/>
        <w:textAlignment w:val="baseline"/>
        <w:rPr>
          <w:rFonts w:eastAsia="Times New Roman" w:cs="Times New Roman"/>
          <w:spacing w:val="-5"/>
          <w:szCs w:val="24"/>
        </w:rPr>
      </w:pPr>
      <w:r w:rsidRPr="00322AE9">
        <w:rPr>
          <w:rFonts w:eastAsia="Times New Roman" w:cs="Times New Roman"/>
          <w:spacing w:val="-5"/>
          <w:szCs w:val="24"/>
        </w:rPr>
        <w:t>В расчетах используется коэффициент перехода от общей площади к площади по наружному обмеру в соответствии с данными, представленными в следующей таблице.</w:t>
      </w:r>
    </w:p>
    <w:p w14:paraId="6C770B98" w14:textId="77777777" w:rsidR="00322AE9" w:rsidRPr="00322AE9" w:rsidRDefault="00322AE9" w:rsidP="00322AE9">
      <w:pPr>
        <w:suppressAutoHyphens/>
        <w:adjustRightInd w:val="0"/>
        <w:ind w:firstLine="709"/>
        <w:textAlignment w:val="baseline"/>
        <w:rPr>
          <w:rFonts w:eastAsia="Times New Roman" w:cs="Times New Roman"/>
          <w:spacing w:val="-5"/>
          <w:szCs w:val="24"/>
        </w:rPr>
      </w:pPr>
      <w:r w:rsidRPr="00322AE9">
        <w:rPr>
          <w:rFonts w:eastAsia="Times New Roman" w:cs="Times New Roman"/>
          <w:spacing w:val="-5"/>
          <w:szCs w:val="24"/>
        </w:rPr>
        <w:t>Таким образом, формула для расчета строительного объема принимает вид:</w:t>
      </w:r>
    </w:p>
    <w:p w14:paraId="2E04BE41" w14:textId="77777777" w:rsidR="00322AE9" w:rsidRPr="00322AE9" w:rsidRDefault="00322AE9" w:rsidP="00322AE9">
      <w:pPr>
        <w:suppressAutoHyphens/>
        <w:adjustRightInd w:val="0"/>
        <w:spacing w:before="240"/>
        <w:ind w:firstLine="709"/>
        <w:jc w:val="center"/>
        <w:textAlignment w:val="baseline"/>
        <w:rPr>
          <w:rFonts w:ascii="Cambria Math" w:eastAsia="Times New Roman" w:hAnsi="Cambria Math" w:cs="Times New Roman"/>
          <w:b/>
          <w:bCs/>
          <w:i/>
          <w:iCs/>
          <w:spacing w:val="-5"/>
          <w:szCs w:val="24"/>
        </w:rPr>
      </w:pPr>
      <m:oMath>
        <m:r>
          <m:rPr>
            <m:sty m:val="bi"/>
          </m:rPr>
          <w:rPr>
            <w:rFonts w:ascii="Cambria Math" w:eastAsia="Times New Roman" w:hAnsi="Cambria Math" w:cs="Times New Roman"/>
            <w:spacing w:val="-5"/>
            <w:szCs w:val="24"/>
          </w:rPr>
          <m:t>V=</m:t>
        </m:r>
        <m:sSub>
          <m:sSubPr>
            <m:ctrlPr>
              <w:rPr>
                <w:rFonts w:ascii="Cambria Math" w:eastAsia="Times New Roman" w:hAnsi="Cambria Math" w:cs="Times New Roman"/>
                <w:b/>
                <w:bCs/>
                <w:i/>
                <w:iCs/>
                <w:spacing w:val="-5"/>
                <w:szCs w:val="24"/>
              </w:rPr>
            </m:ctrlPr>
          </m:sSubPr>
          <m:e>
            <m:r>
              <m:rPr>
                <m:sty m:val="bi"/>
              </m:rPr>
              <w:rPr>
                <w:rFonts w:ascii="Cambria Math" w:eastAsia="Times New Roman" w:hAnsi="Cambria Math" w:cs="Times New Roman"/>
                <w:spacing w:val="-5"/>
                <w:szCs w:val="24"/>
              </w:rPr>
              <m:t>S</m:t>
            </m:r>
          </m:e>
          <m:sub>
            <m:r>
              <m:rPr>
                <m:sty m:val="bi"/>
              </m:rPr>
              <w:rPr>
                <w:rFonts w:ascii="Cambria Math" w:eastAsia="Times New Roman" w:hAnsi="Cambria Math" w:cs="Times New Roman"/>
                <w:spacing w:val="-5"/>
                <w:szCs w:val="24"/>
              </w:rPr>
              <m:t>о</m:t>
            </m:r>
          </m:sub>
        </m:sSub>
        <m:r>
          <m:rPr>
            <m:sty m:val="bi"/>
          </m:rPr>
          <w:rPr>
            <w:rFonts w:ascii="Cambria Math" w:eastAsia="Times New Roman" w:hAnsi="Cambria Math" w:cs="Times New Roman"/>
            <w:spacing w:val="-5"/>
            <w:szCs w:val="24"/>
          </w:rPr>
          <m:t>×</m:t>
        </m:r>
        <m:sSub>
          <m:sSubPr>
            <m:ctrlPr>
              <w:rPr>
                <w:rFonts w:ascii="Cambria Math" w:eastAsia="Times New Roman" w:hAnsi="Cambria Math" w:cs="Times New Roman"/>
                <w:b/>
                <w:bCs/>
                <w:i/>
                <w:iCs/>
                <w:spacing w:val="-5"/>
                <w:szCs w:val="24"/>
              </w:rPr>
            </m:ctrlPr>
          </m:sSubPr>
          <m:e>
            <m:r>
              <m:rPr>
                <m:sty m:val="bi"/>
              </m:rPr>
              <w:rPr>
                <w:rFonts w:ascii="Cambria Math" w:eastAsia="Times New Roman" w:hAnsi="Cambria Math" w:cs="Times New Roman"/>
                <w:spacing w:val="-5"/>
                <w:szCs w:val="24"/>
              </w:rPr>
              <m:t>k</m:t>
            </m:r>
          </m:e>
          <m:sub>
            <m:r>
              <m:rPr>
                <m:sty m:val="bi"/>
              </m:rPr>
              <w:rPr>
                <w:rFonts w:ascii="Cambria Math" w:eastAsia="Times New Roman" w:hAnsi="Cambria Math" w:cs="Times New Roman"/>
                <w:spacing w:val="-5"/>
                <w:szCs w:val="24"/>
              </w:rPr>
              <m:t>тс</m:t>
            </m:r>
          </m:sub>
        </m:sSub>
        <m:r>
          <m:rPr>
            <m:sty m:val="bi"/>
          </m:rPr>
          <w:rPr>
            <w:rFonts w:ascii="Cambria Math" w:eastAsia="Times New Roman" w:hAnsi="Cambria Math" w:cs="Times New Roman"/>
            <w:spacing w:val="-5"/>
            <w:szCs w:val="24"/>
          </w:rPr>
          <m:t>×</m:t>
        </m:r>
        <m:f>
          <m:fPr>
            <m:ctrlPr>
              <w:rPr>
                <w:rFonts w:ascii="Cambria Math" w:eastAsia="Times New Roman" w:hAnsi="Cambria Math" w:cs="Times New Roman"/>
                <w:b/>
                <w:bCs/>
                <w:i/>
                <w:iCs/>
                <w:spacing w:val="-5"/>
                <w:szCs w:val="24"/>
              </w:rPr>
            </m:ctrlPr>
          </m:fPr>
          <m:num>
            <m:sSub>
              <m:sSubPr>
                <m:ctrlPr>
                  <w:rPr>
                    <w:rFonts w:ascii="Cambria Math" w:eastAsia="Times New Roman" w:hAnsi="Cambria Math" w:cs="Times New Roman"/>
                    <w:b/>
                    <w:bCs/>
                    <w:i/>
                    <w:iCs/>
                    <w:spacing w:val="-5"/>
                    <w:szCs w:val="24"/>
                  </w:rPr>
                </m:ctrlPr>
              </m:sSubPr>
              <m:e>
                <m:r>
                  <m:rPr>
                    <m:sty m:val="bi"/>
                  </m:rPr>
                  <w:rPr>
                    <w:rFonts w:ascii="Cambria Math" w:eastAsia="Times New Roman" w:hAnsi="Cambria Math" w:cs="Times New Roman"/>
                    <w:spacing w:val="-5"/>
                    <w:szCs w:val="24"/>
                  </w:rPr>
                  <m:t>h</m:t>
                </m:r>
              </m:e>
              <m:sub>
                <m:r>
                  <m:rPr>
                    <m:sty m:val="bi"/>
                  </m:rPr>
                  <w:rPr>
                    <w:rFonts w:ascii="Cambria Math" w:eastAsia="Times New Roman" w:hAnsi="Cambria Math" w:cs="Times New Roman"/>
                    <w:spacing w:val="-5"/>
                    <w:szCs w:val="24"/>
                  </w:rPr>
                  <m:t>з</m:t>
                </m:r>
              </m:sub>
            </m:sSub>
            <m:r>
              <m:rPr>
                <m:sty m:val="bi"/>
              </m:rPr>
              <w:rPr>
                <w:rFonts w:ascii="Cambria Math" w:eastAsia="Times New Roman" w:hAnsi="Cambria Math" w:cs="Times New Roman"/>
                <w:spacing w:val="-5"/>
                <w:szCs w:val="24"/>
              </w:rPr>
              <m:t>+</m:t>
            </m:r>
            <m:sSub>
              <m:sSubPr>
                <m:ctrlPr>
                  <w:rPr>
                    <w:rFonts w:ascii="Cambria Math" w:eastAsia="Times New Roman" w:hAnsi="Cambria Math" w:cs="Times New Roman"/>
                    <w:b/>
                    <w:bCs/>
                    <w:i/>
                    <w:iCs/>
                    <w:spacing w:val="-5"/>
                    <w:szCs w:val="24"/>
                  </w:rPr>
                </m:ctrlPr>
              </m:sSubPr>
              <m:e>
                <m:r>
                  <m:rPr>
                    <m:sty m:val="bi"/>
                  </m:rPr>
                  <w:rPr>
                    <w:rFonts w:ascii="Cambria Math" w:eastAsia="Times New Roman" w:hAnsi="Cambria Math" w:cs="Times New Roman"/>
                    <w:spacing w:val="-5"/>
                    <w:szCs w:val="24"/>
                  </w:rPr>
                  <m:t>h</m:t>
                </m:r>
              </m:e>
              <m:sub>
                <m:r>
                  <m:rPr>
                    <m:sty m:val="bi"/>
                  </m:rPr>
                  <w:rPr>
                    <w:rFonts w:ascii="Cambria Math" w:eastAsia="Times New Roman" w:hAnsi="Cambria Math" w:cs="Times New Roman"/>
                    <w:spacing w:val="-5"/>
                    <w:szCs w:val="24"/>
                  </w:rPr>
                  <m:t>п</m:t>
                </m:r>
              </m:sub>
            </m:sSub>
          </m:num>
          <m:den>
            <m:r>
              <m:rPr>
                <m:sty m:val="bi"/>
              </m:rPr>
              <w:rPr>
                <w:rFonts w:ascii="Cambria Math" w:eastAsia="Times New Roman" w:hAnsi="Cambria Math" w:cs="Times New Roman"/>
                <w:spacing w:val="-5"/>
                <w:szCs w:val="24"/>
              </w:rPr>
              <m:t>n</m:t>
            </m:r>
          </m:den>
        </m:f>
      </m:oMath>
      <w:r w:rsidRPr="00322AE9">
        <w:rPr>
          <w:rFonts w:ascii="Cambria Math" w:eastAsia="Times New Roman" w:hAnsi="Cambria Math" w:cs="Times New Roman"/>
          <w:b/>
          <w:bCs/>
          <w:i/>
          <w:iCs/>
          <w:spacing w:val="-5"/>
          <w:szCs w:val="24"/>
        </w:rPr>
        <w:t>,</w:t>
      </w:r>
    </w:p>
    <w:p w14:paraId="07039D28" w14:textId="77777777" w:rsidR="00322AE9" w:rsidRPr="00322AE9" w:rsidRDefault="00322AE9" w:rsidP="00322AE9">
      <w:pPr>
        <w:suppressAutoHyphens/>
        <w:adjustRightInd w:val="0"/>
        <w:ind w:firstLine="709"/>
        <w:textAlignment w:val="baseline"/>
        <w:rPr>
          <w:rFonts w:eastAsia="Times New Roman" w:cs="Times New Roman"/>
          <w:spacing w:val="-5"/>
          <w:szCs w:val="24"/>
        </w:rPr>
      </w:pPr>
      <w:r w:rsidRPr="00322AE9">
        <w:rPr>
          <w:rFonts w:eastAsia="Times New Roman" w:cs="Times New Roman"/>
          <w:spacing w:val="-5"/>
          <w:szCs w:val="24"/>
        </w:rPr>
        <w:t>где:</w:t>
      </w:r>
    </w:p>
    <w:p w14:paraId="30B0BD55" w14:textId="77777777" w:rsidR="00322AE9" w:rsidRPr="00322AE9" w:rsidRDefault="00A90944" w:rsidP="00322AE9">
      <w:pPr>
        <w:suppressAutoHyphens/>
        <w:adjustRightInd w:val="0"/>
        <w:ind w:firstLine="709"/>
        <w:textAlignment w:val="baseline"/>
        <w:rPr>
          <w:rFonts w:eastAsia="Times New Roman" w:cs="Times New Roman"/>
          <w:spacing w:val="-5"/>
          <w:szCs w:val="24"/>
        </w:rPr>
      </w:pPr>
      <m:oMath>
        <m:sSub>
          <m:sSubPr>
            <m:ctrlPr>
              <w:rPr>
                <w:rFonts w:ascii="Cambria Math" w:eastAsia="Times New Roman" w:hAnsi="Cambria Math" w:cs="Times New Roman"/>
                <w:spacing w:val="-5"/>
                <w:szCs w:val="24"/>
              </w:rPr>
            </m:ctrlPr>
          </m:sSubPr>
          <m:e>
            <m:r>
              <w:rPr>
                <w:rFonts w:ascii="Cambria Math" w:eastAsia="Times New Roman" w:hAnsi="Cambria Math" w:cs="Times New Roman"/>
                <w:spacing w:val="-5"/>
                <w:szCs w:val="24"/>
              </w:rPr>
              <m:t>S</m:t>
            </m:r>
          </m:e>
          <m:sub>
            <m:r>
              <m:rPr>
                <m:sty m:val="p"/>
              </m:rPr>
              <w:rPr>
                <w:rFonts w:ascii="Cambria Math" w:eastAsia="Times New Roman" w:hAnsi="Cambria Math" w:cs="Times New Roman"/>
                <w:spacing w:val="-5"/>
                <w:szCs w:val="24"/>
              </w:rPr>
              <m:t>о</m:t>
            </m:r>
          </m:sub>
        </m:sSub>
      </m:oMath>
      <w:r w:rsidR="00322AE9" w:rsidRPr="00322AE9">
        <w:rPr>
          <w:rFonts w:eastAsia="Times New Roman" w:cs="Times New Roman"/>
          <w:spacing w:val="-5"/>
          <w:szCs w:val="24"/>
        </w:rPr>
        <w:t xml:space="preserve"> – сумма площадей надземной и подземной частей здания;</w:t>
      </w:r>
    </w:p>
    <w:p w14:paraId="075C2965" w14:textId="77777777" w:rsidR="00322AE9" w:rsidRPr="00322AE9" w:rsidRDefault="00A90944" w:rsidP="00322AE9">
      <w:pPr>
        <w:suppressAutoHyphens/>
        <w:adjustRightInd w:val="0"/>
        <w:ind w:firstLine="709"/>
        <w:textAlignment w:val="baseline"/>
        <w:rPr>
          <w:rFonts w:eastAsia="Times New Roman" w:cs="Times New Roman"/>
          <w:spacing w:val="-5"/>
          <w:szCs w:val="24"/>
        </w:rPr>
      </w:pPr>
      <m:oMath>
        <m:sSub>
          <m:sSubPr>
            <m:ctrlPr>
              <w:rPr>
                <w:rFonts w:ascii="Cambria Math" w:eastAsia="Times New Roman" w:hAnsi="Cambria Math" w:cs="Times New Roman"/>
                <w:spacing w:val="-5"/>
                <w:szCs w:val="24"/>
              </w:rPr>
            </m:ctrlPr>
          </m:sSubPr>
          <m:e>
            <m:r>
              <w:rPr>
                <w:rFonts w:ascii="Cambria Math" w:eastAsia="Times New Roman" w:hAnsi="Cambria Math" w:cs="Times New Roman"/>
                <w:spacing w:val="-5"/>
                <w:szCs w:val="24"/>
              </w:rPr>
              <m:t>k</m:t>
            </m:r>
          </m:e>
          <m:sub>
            <m:r>
              <m:rPr>
                <m:sty m:val="p"/>
              </m:rPr>
              <w:rPr>
                <w:rFonts w:ascii="Cambria Math" w:eastAsia="Times New Roman" w:hAnsi="Cambria Math" w:cs="Times New Roman"/>
                <w:spacing w:val="-5"/>
                <w:szCs w:val="24"/>
              </w:rPr>
              <m:t>тс</m:t>
            </m:r>
          </m:sub>
        </m:sSub>
      </m:oMath>
      <w:r w:rsidR="00322AE9" w:rsidRPr="00322AE9">
        <w:rPr>
          <w:rFonts w:eastAsia="Times New Roman" w:cs="Times New Roman"/>
          <w:spacing w:val="-5"/>
          <w:szCs w:val="24"/>
        </w:rPr>
        <w:t xml:space="preserve"> – коэффициент толщины стен несущих конструкций;</w:t>
      </w:r>
    </w:p>
    <w:p w14:paraId="75ACAE0D" w14:textId="77777777" w:rsidR="00322AE9" w:rsidRPr="00322AE9" w:rsidRDefault="00322AE9" w:rsidP="00322AE9">
      <w:pPr>
        <w:suppressAutoHyphens/>
        <w:adjustRightInd w:val="0"/>
        <w:ind w:firstLine="709"/>
        <w:textAlignment w:val="baseline"/>
        <w:rPr>
          <w:rFonts w:eastAsia="Times New Roman" w:cs="Times New Roman"/>
          <w:spacing w:val="-5"/>
          <w:szCs w:val="24"/>
        </w:rPr>
      </w:pPr>
      <m:oMath>
        <m:r>
          <w:rPr>
            <w:rFonts w:ascii="Cambria Math" w:eastAsia="Times New Roman" w:hAnsi="Cambria Math" w:cs="Times New Roman"/>
            <w:spacing w:val="-5"/>
            <w:szCs w:val="24"/>
          </w:rPr>
          <m:t>n</m:t>
        </m:r>
      </m:oMath>
      <w:r w:rsidRPr="00322AE9">
        <w:rPr>
          <w:rFonts w:eastAsia="Times New Roman" w:cs="Times New Roman"/>
          <w:spacing w:val="-5"/>
          <w:szCs w:val="24"/>
        </w:rPr>
        <w:t xml:space="preserve"> – количество этажей с учетом подвала. </w:t>
      </w:r>
    </w:p>
    <w:p w14:paraId="7C9E28EC" w14:textId="77777777" w:rsidR="00322AE9" w:rsidRPr="00322AE9" w:rsidRDefault="00322AE9" w:rsidP="00322AE9">
      <w:pPr>
        <w:suppressAutoHyphens/>
        <w:adjustRightInd w:val="0"/>
        <w:ind w:firstLine="0"/>
        <w:textAlignment w:val="baseline"/>
        <w:rPr>
          <w:rFonts w:eastAsia="Times New Roman" w:cs="Times New Roman"/>
          <w:spacing w:val="-5"/>
          <w:szCs w:val="24"/>
        </w:rPr>
      </w:pPr>
      <w:r w:rsidRPr="00322AE9">
        <w:rPr>
          <w:rFonts w:eastAsia="Times New Roman" w:cs="Times New Roman"/>
          <w:spacing w:val="-5"/>
          <w:szCs w:val="24"/>
        </w:rPr>
        <w:t>Примечание:</w:t>
      </w:r>
    </w:p>
    <w:p w14:paraId="5A94DDD8" w14:textId="77777777" w:rsidR="00322AE9" w:rsidRPr="00322AE9" w:rsidRDefault="00322AE9" w:rsidP="00322AE9">
      <w:pPr>
        <w:suppressAutoHyphens/>
        <w:adjustRightInd w:val="0"/>
        <w:ind w:firstLine="709"/>
        <w:textAlignment w:val="baseline"/>
        <w:rPr>
          <w:rFonts w:eastAsia="Times New Roman" w:cs="Times New Roman"/>
          <w:spacing w:val="-5"/>
          <w:szCs w:val="24"/>
        </w:rPr>
      </w:pPr>
      <w:r w:rsidRPr="00322AE9">
        <w:rPr>
          <w:rFonts w:eastAsia="Times New Roman" w:cs="Times New Roman"/>
          <w:spacing w:val="-5"/>
          <w:szCs w:val="24"/>
        </w:rPr>
        <w:t>В случае, если у того или иного объекта оценки отсутствуют сведения о площади и площади застройки, кадастровая стоимость таковых объектов определяется как медиана кадастровых стоимостей соответствующей функциональной подгруппы, удельный показатель кадастровой стоимости - как медиана удельных показателей кадастровой стоимости соответствующей функциональной подгруппы.</w:t>
      </w:r>
    </w:p>
    <w:p w14:paraId="1C0F87E7" w14:textId="77777777" w:rsidR="00322AE9" w:rsidRPr="00322AE9" w:rsidRDefault="00322AE9" w:rsidP="00322AE9">
      <w:pPr>
        <w:suppressAutoHyphens/>
        <w:adjustRightInd w:val="0"/>
        <w:ind w:firstLine="708"/>
        <w:textAlignment w:val="baseline"/>
        <w:rPr>
          <w:rFonts w:eastAsia="Times New Roman" w:cs="Times New Roman"/>
          <w:spacing w:val="-5"/>
          <w:szCs w:val="24"/>
        </w:rPr>
      </w:pPr>
      <w:r w:rsidRPr="00322AE9">
        <w:rPr>
          <w:rFonts w:eastAsia="Times New Roman" w:cs="Times New Roman"/>
          <w:spacing w:val="-5"/>
          <w:szCs w:val="24"/>
        </w:rPr>
        <w:t>Высота этажа здания, приведенная при наличии подвала, рассчитывалась по следующей формуле:</w:t>
      </w:r>
    </w:p>
    <w:tbl>
      <w:tblPr>
        <w:tblW w:w="9344" w:type="dxa"/>
        <w:tblLook w:val="04A0" w:firstRow="1" w:lastRow="0" w:firstColumn="1" w:lastColumn="0" w:noHBand="0" w:noVBand="1"/>
      </w:tblPr>
      <w:tblGrid>
        <w:gridCol w:w="8126"/>
        <w:gridCol w:w="1218"/>
      </w:tblGrid>
      <w:tr w:rsidR="00322AE9" w:rsidRPr="00322AE9" w14:paraId="69D90BFC" w14:textId="77777777" w:rsidTr="00322AE9">
        <w:tc>
          <w:tcPr>
            <w:tcW w:w="8126" w:type="dxa"/>
            <w:vAlign w:val="center"/>
          </w:tcPr>
          <w:p w14:paraId="1ADD79FE" w14:textId="77777777" w:rsidR="00322AE9" w:rsidRPr="00322AE9" w:rsidRDefault="00A90944" w:rsidP="00322AE9">
            <w:pPr>
              <w:suppressAutoHyphens/>
              <w:adjustRightInd w:val="0"/>
              <w:ind w:left="34" w:firstLine="17"/>
              <w:jc w:val="center"/>
              <w:textAlignment w:val="baseline"/>
              <w:rPr>
                <w:rFonts w:eastAsia="Times New Roman" w:cs="Times New Roman"/>
                <w:b/>
                <w:bCs/>
                <w:spacing w:val="-5"/>
                <w:sz w:val="22"/>
              </w:rPr>
            </w:pPr>
            <m:oMath>
              <m:sSub>
                <m:sSubPr>
                  <m:ctrlPr>
                    <w:rPr>
                      <w:rFonts w:ascii="Cambria Math" w:eastAsia="Times New Roman" w:hAnsi="Cambria Math" w:cs="Times New Roman"/>
                      <w:b/>
                      <w:bCs/>
                      <w:spacing w:val="-5"/>
                      <w:sz w:val="22"/>
                    </w:rPr>
                  </m:ctrlPr>
                </m:sSubPr>
                <m:e>
                  <m:r>
                    <m:rPr>
                      <m:sty m:val="bi"/>
                    </m:rPr>
                    <w:rPr>
                      <w:rFonts w:ascii="Cambria Math" w:eastAsia="Times New Roman" w:hAnsi="Cambria Math" w:cs="Times New Roman"/>
                      <w:spacing w:val="-5"/>
                      <w:sz w:val="22"/>
                    </w:rPr>
                    <m:t>h</m:t>
                  </m:r>
                </m:e>
                <m:sub>
                  <m:r>
                    <m:rPr>
                      <m:sty m:val="bi"/>
                    </m:rPr>
                    <w:rPr>
                      <w:rFonts w:ascii="Cambria Math" w:eastAsia="Times New Roman" w:hAnsi="Cambria Math" w:cs="Times New Roman"/>
                      <w:spacing w:val="-5"/>
                      <w:sz w:val="22"/>
                    </w:rPr>
                    <m:t>пр</m:t>
                  </m:r>
                </m:sub>
              </m:sSub>
              <m:r>
                <m:rPr>
                  <m:sty m:val="bi"/>
                </m:rPr>
                <w:rPr>
                  <w:rFonts w:ascii="Cambria Math" w:eastAsia="Times New Roman" w:hAnsi="Cambria Math" w:cs="Times New Roman"/>
                  <w:spacing w:val="-5"/>
                  <w:sz w:val="22"/>
                </w:rPr>
                <m:t>=(</m:t>
              </m:r>
              <m:sSub>
                <m:sSubPr>
                  <m:ctrlPr>
                    <w:rPr>
                      <w:rFonts w:ascii="Cambria Math" w:eastAsia="Times New Roman" w:hAnsi="Cambria Math" w:cs="Times New Roman"/>
                      <w:b/>
                      <w:bCs/>
                      <w:spacing w:val="-5"/>
                      <w:sz w:val="22"/>
                    </w:rPr>
                  </m:ctrlPr>
                </m:sSubPr>
                <m:e>
                  <m:r>
                    <m:rPr>
                      <m:sty m:val="bi"/>
                    </m:rPr>
                    <w:rPr>
                      <w:rFonts w:ascii="Cambria Math" w:eastAsia="Times New Roman" w:hAnsi="Cambria Math" w:cs="Times New Roman"/>
                      <w:spacing w:val="-5"/>
                      <w:sz w:val="22"/>
                    </w:rPr>
                    <m:t>h</m:t>
                  </m:r>
                </m:e>
                <m:sub>
                  <m:r>
                    <m:rPr>
                      <m:sty m:val="bi"/>
                    </m:rPr>
                    <w:rPr>
                      <w:rFonts w:ascii="Cambria Math" w:eastAsia="Times New Roman" w:hAnsi="Cambria Math" w:cs="Times New Roman"/>
                      <w:spacing w:val="-5"/>
                      <w:sz w:val="22"/>
                    </w:rPr>
                    <m:t xml:space="preserve">эт.наз.ч. </m:t>
                  </m:r>
                </m:sub>
              </m:sSub>
              <m:r>
                <m:rPr>
                  <m:sty m:val="bi"/>
                </m:rPr>
                <w:rPr>
                  <w:rFonts w:ascii="Cambria Math" w:eastAsia="Times New Roman" w:hAnsi="Cambria Math" w:cs="Times New Roman"/>
                  <w:spacing w:val="-5"/>
                  <w:sz w:val="22"/>
                </w:rPr>
                <m:t xml:space="preserve">*(n-1)+ </m:t>
              </m:r>
              <m:sSub>
                <m:sSubPr>
                  <m:ctrlPr>
                    <w:rPr>
                      <w:rFonts w:ascii="Cambria Math" w:eastAsia="Times New Roman" w:hAnsi="Cambria Math" w:cs="Times New Roman"/>
                      <w:b/>
                      <w:bCs/>
                      <w:spacing w:val="-5"/>
                      <w:sz w:val="22"/>
                    </w:rPr>
                  </m:ctrlPr>
                </m:sSubPr>
                <m:e>
                  <m:r>
                    <m:rPr>
                      <m:sty m:val="bi"/>
                    </m:rPr>
                    <w:rPr>
                      <w:rFonts w:ascii="Cambria Math" w:eastAsia="Times New Roman" w:hAnsi="Cambria Math" w:cs="Times New Roman"/>
                      <w:spacing w:val="-5"/>
                      <w:sz w:val="22"/>
                    </w:rPr>
                    <m:t>h</m:t>
                  </m:r>
                </m:e>
                <m:sub>
                  <m:r>
                    <m:rPr>
                      <m:sty m:val="bi"/>
                    </m:rPr>
                    <w:rPr>
                      <w:rFonts w:ascii="Cambria Math" w:eastAsia="Times New Roman" w:hAnsi="Cambria Math" w:cs="Times New Roman"/>
                      <w:spacing w:val="-5"/>
                      <w:sz w:val="22"/>
                    </w:rPr>
                    <m:t>подв</m:t>
                  </m:r>
                </m:sub>
              </m:sSub>
              <m:r>
                <m:rPr>
                  <m:sty m:val="bi"/>
                </m:rPr>
                <w:rPr>
                  <w:rFonts w:ascii="Cambria Math" w:eastAsia="Times New Roman" w:hAnsi="Cambria Math" w:cs="Times New Roman"/>
                  <w:spacing w:val="-5"/>
                  <w:sz w:val="22"/>
                </w:rPr>
                <m:t>)/n</m:t>
              </m:r>
            </m:oMath>
            <w:r w:rsidR="00322AE9" w:rsidRPr="00322AE9">
              <w:rPr>
                <w:rFonts w:eastAsia="Times New Roman" w:cs="Times New Roman"/>
                <w:b/>
                <w:bCs/>
                <w:spacing w:val="-5"/>
                <w:sz w:val="22"/>
              </w:rPr>
              <w:t xml:space="preserve"> ,</w:t>
            </w:r>
          </w:p>
        </w:tc>
        <w:tc>
          <w:tcPr>
            <w:tcW w:w="1218" w:type="dxa"/>
            <w:vAlign w:val="center"/>
          </w:tcPr>
          <w:p w14:paraId="3D9DCD48" w14:textId="77777777" w:rsidR="00322AE9" w:rsidRPr="00322AE9" w:rsidRDefault="00322AE9" w:rsidP="00322AE9">
            <w:pPr>
              <w:suppressAutoHyphens/>
              <w:adjustRightInd w:val="0"/>
              <w:ind w:firstLine="567"/>
              <w:jc w:val="right"/>
              <w:textAlignment w:val="baseline"/>
              <w:rPr>
                <w:rFonts w:eastAsia="Calibri" w:cs="Arial"/>
                <w:spacing w:val="-5"/>
                <w:szCs w:val="24"/>
              </w:rPr>
            </w:pPr>
          </w:p>
        </w:tc>
      </w:tr>
    </w:tbl>
    <w:p w14:paraId="46ADB1AA" w14:textId="77777777" w:rsidR="00322AE9" w:rsidRPr="00322AE9" w:rsidRDefault="00322AE9" w:rsidP="00322AE9">
      <w:pPr>
        <w:suppressAutoHyphens/>
        <w:adjustRightInd w:val="0"/>
        <w:ind w:left="675" w:hanging="675"/>
        <w:textAlignment w:val="baseline"/>
        <w:rPr>
          <w:rFonts w:eastAsia="Times New Roman" w:cs="Times New Roman"/>
          <w:spacing w:val="-5"/>
          <w:szCs w:val="24"/>
        </w:rPr>
      </w:pPr>
      <w:r w:rsidRPr="00322AE9">
        <w:rPr>
          <w:rFonts w:eastAsia="Times New Roman" w:cs="Times New Roman"/>
          <w:spacing w:val="-5"/>
          <w:szCs w:val="24"/>
        </w:rPr>
        <w:t>где</w:t>
      </w:r>
      <w:r w:rsidRPr="00322AE9">
        <w:rPr>
          <w:rFonts w:eastAsia="Times New Roman" w:cs="Times New Roman"/>
          <w:spacing w:val="-5"/>
          <w:szCs w:val="24"/>
        </w:rPr>
        <w:tab/>
      </w:r>
      <w:r w:rsidRPr="00322AE9">
        <w:rPr>
          <w:rFonts w:eastAsia="Times New Roman" w:cs="Times New Roman"/>
          <w:spacing w:val="-5"/>
          <w:szCs w:val="24"/>
        </w:rPr>
        <w:tab/>
      </w:r>
      <m:oMath>
        <m:sSub>
          <m:sSubPr>
            <m:ctrlPr>
              <w:rPr>
                <w:rFonts w:ascii="Cambria Math" w:eastAsia="Times New Roman" w:hAnsi="Cambria Math" w:cs="Times New Roman"/>
                <w:spacing w:val="-5"/>
                <w:szCs w:val="24"/>
              </w:rPr>
            </m:ctrlPr>
          </m:sSubPr>
          <m:e>
            <m:r>
              <w:rPr>
                <w:rFonts w:ascii="Cambria Math" w:eastAsia="Times New Roman" w:hAnsi="Cambria Math" w:cs="Times New Roman"/>
                <w:spacing w:val="-5"/>
                <w:szCs w:val="24"/>
              </w:rPr>
              <m:t>h</m:t>
            </m:r>
          </m:e>
          <m:sub>
            <m:r>
              <w:rPr>
                <w:rFonts w:ascii="Cambria Math" w:eastAsia="Times New Roman" w:hAnsi="Cambria Math" w:cs="Times New Roman"/>
                <w:spacing w:val="-5"/>
                <w:szCs w:val="24"/>
              </w:rPr>
              <m:t>эт.наз.ч.</m:t>
            </m:r>
          </m:sub>
        </m:sSub>
      </m:oMath>
      <w:r w:rsidRPr="00322AE9">
        <w:rPr>
          <w:rFonts w:eastAsia="Times New Roman" w:cs="Times New Roman"/>
          <w:spacing w:val="-5"/>
          <w:szCs w:val="24"/>
        </w:rPr>
        <w:t xml:space="preserve"> – высота надземного этажа, определяемая от чистого пола до чистого пола вышележащего этажа или условного верха чердачного перекрытия или до верха очертания кровли;</w:t>
      </w:r>
    </w:p>
    <w:p w14:paraId="1085AEE9" w14:textId="77777777" w:rsidR="00322AE9" w:rsidRPr="00322AE9" w:rsidRDefault="00A90944" w:rsidP="00322AE9">
      <w:pPr>
        <w:suppressAutoHyphens/>
        <w:adjustRightInd w:val="0"/>
        <w:ind w:firstLine="709"/>
        <w:textAlignment w:val="baseline"/>
        <w:rPr>
          <w:rFonts w:eastAsia="Times New Roman" w:cs="Times New Roman"/>
          <w:spacing w:val="-5"/>
          <w:szCs w:val="24"/>
        </w:rPr>
      </w:pPr>
      <m:oMath>
        <m:sSub>
          <m:sSubPr>
            <m:ctrlPr>
              <w:rPr>
                <w:rFonts w:ascii="Cambria Math" w:eastAsia="Times New Roman" w:hAnsi="Cambria Math" w:cs="Times New Roman"/>
                <w:spacing w:val="-5"/>
                <w:szCs w:val="24"/>
              </w:rPr>
            </m:ctrlPr>
          </m:sSubPr>
          <m:e>
            <m:r>
              <w:rPr>
                <w:rFonts w:ascii="Cambria Math" w:eastAsia="Times New Roman" w:hAnsi="Cambria Math" w:cs="Times New Roman"/>
                <w:spacing w:val="-5"/>
                <w:szCs w:val="24"/>
              </w:rPr>
              <m:t>h</m:t>
            </m:r>
          </m:e>
          <m:sub>
            <m:r>
              <m:rPr>
                <m:sty m:val="p"/>
              </m:rPr>
              <w:rPr>
                <w:rFonts w:ascii="Cambria Math" w:eastAsia="Times New Roman" w:hAnsi="Cambria Math" w:cs="Times New Roman"/>
                <w:spacing w:val="-5"/>
                <w:szCs w:val="24"/>
              </w:rPr>
              <m:t>подв</m:t>
            </m:r>
          </m:sub>
        </m:sSub>
      </m:oMath>
      <w:r w:rsidR="00322AE9" w:rsidRPr="00322AE9">
        <w:rPr>
          <w:rFonts w:eastAsia="Times New Roman" w:cs="Times New Roman"/>
          <w:spacing w:val="-5"/>
          <w:szCs w:val="24"/>
        </w:rPr>
        <w:t xml:space="preserve"> </w:t>
      </w:r>
      <w:r w:rsidR="00322AE9" w:rsidRPr="00322AE9">
        <w:rPr>
          <w:rFonts w:eastAsia="Times New Roman" w:cs="Times New Roman"/>
          <w:spacing w:val="-5"/>
          <w:szCs w:val="24"/>
        </w:rPr>
        <w:sym w:font="Symbol" w:char="F02D"/>
      </w:r>
      <w:r w:rsidR="00322AE9" w:rsidRPr="00322AE9">
        <w:rPr>
          <w:rFonts w:eastAsia="Times New Roman" w:cs="Times New Roman"/>
          <w:spacing w:val="-5"/>
          <w:szCs w:val="24"/>
        </w:rPr>
        <w:t xml:space="preserve"> высота подземного этажа (в т.ч. подвала) с учетом надподвального перекрытия;</w:t>
      </w:r>
    </w:p>
    <w:p w14:paraId="7393E68D" w14:textId="77777777" w:rsidR="00322AE9" w:rsidRPr="00322AE9" w:rsidRDefault="00322AE9" w:rsidP="00322AE9">
      <w:pPr>
        <w:suppressAutoHyphens/>
        <w:adjustRightInd w:val="0"/>
        <w:ind w:firstLine="709"/>
        <w:textAlignment w:val="baseline"/>
        <w:rPr>
          <w:rFonts w:eastAsia="Times New Roman" w:cs="Times New Roman"/>
          <w:spacing w:val="-5"/>
          <w:szCs w:val="24"/>
        </w:rPr>
      </w:pPr>
      <w:r w:rsidRPr="00322AE9">
        <w:rPr>
          <w:rFonts w:eastAsia="Times New Roman" w:cs="Times New Roman"/>
          <w:i/>
          <w:spacing w:val="-5"/>
          <w:szCs w:val="24"/>
        </w:rPr>
        <w:t>n</w:t>
      </w:r>
      <w:r w:rsidRPr="00322AE9">
        <w:rPr>
          <w:rFonts w:eastAsia="Times New Roman" w:cs="Times New Roman"/>
          <w:spacing w:val="-5"/>
          <w:szCs w:val="24"/>
        </w:rPr>
        <w:t xml:space="preserve"> – количество этажей, в том числе подземных;</w:t>
      </w:r>
    </w:p>
    <w:p w14:paraId="0C009B1F" w14:textId="77777777" w:rsidR="00322AE9" w:rsidRPr="00322AE9" w:rsidRDefault="00322AE9" w:rsidP="00322AE9">
      <w:pPr>
        <w:suppressAutoHyphens/>
        <w:adjustRightInd w:val="0"/>
        <w:ind w:firstLine="709"/>
        <w:textAlignment w:val="baseline"/>
        <w:rPr>
          <w:rFonts w:eastAsia="Times New Roman" w:cs="Times New Roman"/>
          <w:spacing w:val="-5"/>
          <w:szCs w:val="24"/>
        </w:rPr>
      </w:pPr>
      <w:r w:rsidRPr="00322AE9">
        <w:rPr>
          <w:rFonts w:eastAsia="Times New Roman" w:cs="Times New Roman"/>
          <w:spacing w:val="-5"/>
          <w:szCs w:val="24"/>
        </w:rPr>
        <w:t>Строительный объем надземной и подземной частей рассчитывался по следующим формулам:</w:t>
      </w:r>
    </w:p>
    <w:tbl>
      <w:tblPr>
        <w:tblW w:w="9344" w:type="dxa"/>
        <w:tblLook w:val="04A0" w:firstRow="1" w:lastRow="0" w:firstColumn="1" w:lastColumn="0" w:noHBand="0" w:noVBand="1"/>
      </w:tblPr>
      <w:tblGrid>
        <w:gridCol w:w="8217"/>
        <w:gridCol w:w="1127"/>
      </w:tblGrid>
      <w:tr w:rsidR="00322AE9" w:rsidRPr="00322AE9" w14:paraId="504BE9C7" w14:textId="77777777" w:rsidTr="00322AE9">
        <w:tc>
          <w:tcPr>
            <w:tcW w:w="8217" w:type="dxa"/>
          </w:tcPr>
          <w:p w14:paraId="0E4BBD52" w14:textId="77777777" w:rsidR="00322AE9" w:rsidRPr="00322AE9" w:rsidRDefault="00A90944" w:rsidP="00322AE9">
            <w:pPr>
              <w:suppressAutoHyphens/>
              <w:adjustRightInd w:val="0"/>
              <w:ind w:left="34" w:firstLine="17"/>
              <w:jc w:val="center"/>
              <w:textAlignment w:val="baseline"/>
              <w:rPr>
                <w:rFonts w:eastAsia="Times New Roman" w:cs="Times New Roman"/>
                <w:b/>
                <w:bCs/>
                <w:spacing w:val="-5"/>
                <w:sz w:val="22"/>
              </w:rPr>
            </w:pPr>
            <m:oMath>
              <m:sSub>
                <m:sSubPr>
                  <m:ctrlPr>
                    <w:rPr>
                      <w:rFonts w:ascii="Cambria Math" w:eastAsia="Times New Roman" w:hAnsi="Cambria Math" w:cs="Times New Roman"/>
                      <w:b/>
                      <w:bCs/>
                      <w:spacing w:val="-5"/>
                      <w:sz w:val="22"/>
                    </w:rPr>
                  </m:ctrlPr>
                </m:sSubPr>
                <m:e>
                  <m:r>
                    <m:rPr>
                      <m:sty m:val="bi"/>
                    </m:rPr>
                    <w:rPr>
                      <w:rFonts w:ascii="Cambria Math" w:eastAsia="Times New Roman" w:hAnsi="Cambria Math" w:cs="Times New Roman"/>
                      <w:spacing w:val="-5"/>
                      <w:sz w:val="22"/>
                    </w:rPr>
                    <m:t>V</m:t>
                  </m:r>
                </m:e>
                <m:sub>
                  <m:r>
                    <m:rPr>
                      <m:sty m:val="bi"/>
                    </m:rPr>
                    <w:rPr>
                      <w:rFonts w:ascii="Cambria Math" w:eastAsia="Times New Roman" w:hAnsi="Cambria Math" w:cs="Times New Roman"/>
                      <w:spacing w:val="-5"/>
                      <w:sz w:val="22"/>
                    </w:rPr>
                    <m:t>наз.ч.</m:t>
                  </m:r>
                </m:sub>
              </m:sSub>
              <m:r>
                <m:rPr>
                  <m:sty m:val="bi"/>
                </m:rPr>
                <w:rPr>
                  <w:rFonts w:ascii="Cambria Math" w:eastAsia="Times New Roman" w:hAnsi="Cambria Math" w:cs="Times New Roman"/>
                  <w:spacing w:val="-5"/>
                  <w:sz w:val="22"/>
                </w:rPr>
                <m:t>=</m:t>
              </m:r>
              <m:f>
                <m:fPr>
                  <m:ctrlPr>
                    <w:rPr>
                      <w:rFonts w:ascii="Cambria Math" w:eastAsia="Times New Roman" w:hAnsi="Cambria Math" w:cs="Times New Roman"/>
                      <w:b/>
                      <w:bCs/>
                      <w:spacing w:val="-5"/>
                      <w:sz w:val="22"/>
                    </w:rPr>
                  </m:ctrlPr>
                </m:fPr>
                <m:num>
                  <m:sSub>
                    <m:sSubPr>
                      <m:ctrlPr>
                        <w:rPr>
                          <w:rFonts w:ascii="Cambria Math" w:eastAsia="Times New Roman" w:hAnsi="Cambria Math" w:cs="Times New Roman"/>
                          <w:b/>
                          <w:bCs/>
                          <w:spacing w:val="-5"/>
                          <w:sz w:val="22"/>
                        </w:rPr>
                      </m:ctrlPr>
                    </m:sSubPr>
                    <m:e>
                      <m:r>
                        <m:rPr>
                          <m:sty m:val="bi"/>
                        </m:rPr>
                        <w:rPr>
                          <w:rFonts w:ascii="Cambria Math" w:eastAsia="Times New Roman" w:hAnsi="Cambria Math" w:cs="Times New Roman"/>
                          <w:spacing w:val="-5"/>
                          <w:sz w:val="22"/>
                        </w:rPr>
                        <m:t>S</m:t>
                      </m:r>
                    </m:e>
                    <m:sub>
                      <m:r>
                        <m:rPr>
                          <m:sty m:val="bi"/>
                        </m:rPr>
                        <w:rPr>
                          <w:rFonts w:ascii="Cambria Math" w:eastAsia="Times New Roman" w:hAnsi="Cambria Math" w:cs="Times New Roman"/>
                          <w:spacing w:val="-5"/>
                          <w:sz w:val="22"/>
                        </w:rPr>
                        <m:t>o</m:t>
                      </m:r>
                    </m:sub>
                  </m:sSub>
                </m:num>
                <m:den>
                  <m:r>
                    <m:rPr>
                      <m:sty m:val="bi"/>
                    </m:rPr>
                    <w:rPr>
                      <w:rFonts w:ascii="Cambria Math" w:eastAsia="Times New Roman" w:hAnsi="Cambria Math" w:cs="Times New Roman"/>
                      <w:spacing w:val="-5"/>
                      <w:sz w:val="22"/>
                    </w:rPr>
                    <m:t>n</m:t>
                  </m:r>
                </m:den>
              </m:f>
              <m:r>
                <m:rPr>
                  <m:sty m:val="bi"/>
                </m:rPr>
                <w:rPr>
                  <w:rFonts w:ascii="Cambria Math" w:eastAsia="Times New Roman" w:hAnsi="Cambria Math" w:cs="Times New Roman"/>
                  <w:spacing w:val="-5"/>
                  <w:sz w:val="22"/>
                </w:rPr>
                <m:t xml:space="preserve"> ×( n-</m:t>
              </m:r>
              <m:sSub>
                <m:sSubPr>
                  <m:ctrlPr>
                    <w:rPr>
                      <w:rFonts w:ascii="Cambria Math" w:eastAsia="Times New Roman" w:hAnsi="Cambria Math" w:cs="Times New Roman"/>
                      <w:b/>
                      <w:bCs/>
                      <w:spacing w:val="-5"/>
                      <w:sz w:val="22"/>
                    </w:rPr>
                  </m:ctrlPr>
                </m:sSubPr>
                <m:e>
                  <m:r>
                    <m:rPr>
                      <m:sty m:val="bi"/>
                    </m:rPr>
                    <w:rPr>
                      <w:rFonts w:ascii="Cambria Math" w:eastAsia="Times New Roman" w:hAnsi="Cambria Math" w:cs="Times New Roman"/>
                      <w:spacing w:val="-5"/>
                      <w:sz w:val="22"/>
                    </w:rPr>
                    <m:t>n</m:t>
                  </m:r>
                </m:e>
                <m:sub>
                  <m:r>
                    <m:rPr>
                      <m:sty m:val="bi"/>
                    </m:rPr>
                    <w:rPr>
                      <w:rFonts w:ascii="Cambria Math" w:eastAsia="Times New Roman" w:hAnsi="Cambria Math" w:cs="Times New Roman"/>
                      <w:spacing w:val="-5"/>
                      <w:sz w:val="22"/>
                    </w:rPr>
                    <m:t>подз</m:t>
                  </m:r>
                </m:sub>
              </m:sSub>
              <m:r>
                <m:rPr>
                  <m:sty m:val="bi"/>
                </m:rPr>
                <w:rPr>
                  <w:rFonts w:ascii="Cambria Math" w:eastAsia="Times New Roman" w:hAnsi="Cambria Math" w:cs="Times New Roman"/>
                  <w:spacing w:val="-5"/>
                  <w:sz w:val="22"/>
                </w:rPr>
                <m:t xml:space="preserve">) × </m:t>
              </m:r>
              <m:d>
                <m:dPr>
                  <m:ctrlPr>
                    <w:rPr>
                      <w:rFonts w:ascii="Cambria Math" w:eastAsia="Times New Roman" w:hAnsi="Cambria Math" w:cs="Times New Roman"/>
                      <w:b/>
                      <w:bCs/>
                      <w:spacing w:val="-5"/>
                      <w:sz w:val="22"/>
                    </w:rPr>
                  </m:ctrlPr>
                </m:dPr>
                <m:e>
                  <m:f>
                    <m:fPr>
                      <m:ctrlPr>
                        <w:rPr>
                          <w:rFonts w:ascii="Cambria Math" w:eastAsia="Times New Roman" w:hAnsi="Cambria Math" w:cs="Times New Roman"/>
                          <w:b/>
                          <w:bCs/>
                          <w:spacing w:val="-5"/>
                          <w:sz w:val="22"/>
                        </w:rPr>
                      </m:ctrlPr>
                    </m:fPr>
                    <m:num>
                      <m:r>
                        <m:rPr>
                          <m:sty m:val="bi"/>
                        </m:rPr>
                        <w:rPr>
                          <w:rFonts w:ascii="Cambria Math" w:eastAsia="Times New Roman" w:hAnsi="Cambria Math" w:cs="Times New Roman"/>
                          <w:spacing w:val="-5"/>
                          <w:sz w:val="22"/>
                        </w:rPr>
                        <m:t>1</m:t>
                      </m:r>
                    </m:num>
                    <m:den>
                      <m:sSub>
                        <m:sSubPr>
                          <m:ctrlPr>
                            <w:rPr>
                              <w:rFonts w:ascii="Cambria Math" w:eastAsia="Times New Roman" w:hAnsi="Cambria Math" w:cs="Times New Roman"/>
                              <w:b/>
                              <w:bCs/>
                              <w:spacing w:val="-5"/>
                              <w:sz w:val="22"/>
                            </w:rPr>
                          </m:ctrlPr>
                        </m:sSubPr>
                        <m:e>
                          <m:r>
                            <m:rPr>
                              <m:sty m:val="bi"/>
                            </m:rPr>
                            <w:rPr>
                              <w:rFonts w:ascii="Cambria Math" w:eastAsia="Times New Roman" w:hAnsi="Cambria Math" w:cs="Times New Roman"/>
                              <w:spacing w:val="-5"/>
                              <w:sz w:val="22"/>
                            </w:rPr>
                            <m:t>k</m:t>
                          </m:r>
                        </m:e>
                        <m:sub>
                          <m:r>
                            <m:rPr>
                              <m:sty m:val="bi"/>
                            </m:rPr>
                            <w:rPr>
                              <w:rFonts w:ascii="Cambria Math" w:eastAsia="Times New Roman" w:hAnsi="Cambria Math" w:cs="Times New Roman"/>
                              <w:spacing w:val="-5"/>
                              <w:sz w:val="22"/>
                            </w:rPr>
                            <m:t>тс</m:t>
                          </m:r>
                        </m:sub>
                      </m:sSub>
                    </m:den>
                  </m:f>
                </m:e>
              </m:d>
              <m:r>
                <m:rPr>
                  <m:sty m:val="bi"/>
                </m:rPr>
                <w:rPr>
                  <w:rFonts w:ascii="Cambria Math" w:eastAsia="Times New Roman" w:hAnsi="Cambria Math" w:cs="Times New Roman"/>
                  <w:spacing w:val="-5"/>
                  <w:sz w:val="22"/>
                </w:rPr>
                <m:t>×</m:t>
              </m:r>
              <m:sSub>
                <m:sSubPr>
                  <m:ctrlPr>
                    <w:rPr>
                      <w:rFonts w:ascii="Cambria Math" w:eastAsia="Times New Roman" w:hAnsi="Cambria Math" w:cs="Times New Roman"/>
                      <w:b/>
                      <w:bCs/>
                      <w:spacing w:val="-5"/>
                      <w:sz w:val="22"/>
                    </w:rPr>
                  </m:ctrlPr>
                </m:sSubPr>
                <m:e>
                  <m:r>
                    <m:rPr>
                      <m:sty m:val="bi"/>
                    </m:rPr>
                    <w:rPr>
                      <w:rFonts w:ascii="Cambria Math" w:eastAsia="Times New Roman" w:hAnsi="Cambria Math" w:cs="Times New Roman"/>
                      <w:spacing w:val="-5"/>
                      <w:sz w:val="22"/>
                    </w:rPr>
                    <m:t>h</m:t>
                  </m:r>
                </m:e>
                <m:sub>
                  <m:r>
                    <m:rPr>
                      <m:sty m:val="bi"/>
                    </m:rPr>
                    <w:rPr>
                      <w:rFonts w:ascii="Cambria Math" w:eastAsia="Times New Roman" w:hAnsi="Cambria Math" w:cs="Times New Roman"/>
                      <w:spacing w:val="-5"/>
                      <w:sz w:val="22"/>
                    </w:rPr>
                    <m:t>эт.наз.ч.</m:t>
                  </m:r>
                </m:sub>
              </m:sSub>
            </m:oMath>
            <w:r w:rsidR="00322AE9" w:rsidRPr="00322AE9">
              <w:rPr>
                <w:rFonts w:eastAsia="Times New Roman" w:cs="Times New Roman"/>
                <w:b/>
                <w:bCs/>
                <w:spacing w:val="-5"/>
                <w:sz w:val="22"/>
              </w:rPr>
              <w:t xml:space="preserve"> ,</w:t>
            </w:r>
          </w:p>
        </w:tc>
        <w:tc>
          <w:tcPr>
            <w:tcW w:w="1127" w:type="dxa"/>
            <w:vAlign w:val="center"/>
          </w:tcPr>
          <w:p w14:paraId="0AAAAA17" w14:textId="77777777" w:rsidR="00322AE9" w:rsidRPr="00322AE9" w:rsidRDefault="00322AE9" w:rsidP="00322AE9">
            <w:pPr>
              <w:suppressAutoHyphens/>
              <w:adjustRightInd w:val="0"/>
              <w:ind w:firstLine="567"/>
              <w:jc w:val="right"/>
              <w:textAlignment w:val="baseline"/>
              <w:rPr>
                <w:rFonts w:eastAsia="Calibri" w:cs="Arial"/>
                <w:spacing w:val="-5"/>
                <w:szCs w:val="24"/>
              </w:rPr>
            </w:pPr>
          </w:p>
        </w:tc>
      </w:tr>
    </w:tbl>
    <w:p w14:paraId="0B5464B1" w14:textId="77777777" w:rsidR="00322AE9" w:rsidRPr="00322AE9" w:rsidRDefault="00322AE9" w:rsidP="00322AE9">
      <w:pPr>
        <w:suppressAutoHyphens/>
        <w:adjustRightInd w:val="0"/>
        <w:ind w:firstLine="567"/>
        <w:textAlignment w:val="baseline"/>
        <w:rPr>
          <w:rFonts w:eastAsia="Times New Roman" w:cs="Times New Roman"/>
          <w:spacing w:val="-5"/>
          <w:szCs w:val="24"/>
        </w:rPr>
      </w:pPr>
    </w:p>
    <w:tbl>
      <w:tblPr>
        <w:tblW w:w="0" w:type="auto"/>
        <w:tblLook w:val="04A0" w:firstRow="1" w:lastRow="0" w:firstColumn="1" w:lastColumn="0" w:noHBand="0" w:noVBand="1"/>
      </w:tblPr>
      <w:tblGrid>
        <w:gridCol w:w="8136"/>
        <w:gridCol w:w="1218"/>
      </w:tblGrid>
      <w:tr w:rsidR="00322AE9" w:rsidRPr="00322AE9" w14:paraId="42092630" w14:textId="77777777" w:rsidTr="00322AE9">
        <w:tc>
          <w:tcPr>
            <w:tcW w:w="8136" w:type="dxa"/>
          </w:tcPr>
          <w:p w14:paraId="3FA79545" w14:textId="77777777" w:rsidR="00322AE9" w:rsidRPr="00322AE9" w:rsidRDefault="00A90944" w:rsidP="00322AE9">
            <w:pPr>
              <w:suppressAutoHyphens/>
              <w:adjustRightInd w:val="0"/>
              <w:ind w:left="34" w:firstLine="17"/>
              <w:jc w:val="center"/>
              <w:textAlignment w:val="baseline"/>
              <w:rPr>
                <w:rFonts w:eastAsia="Times New Roman" w:cs="Times New Roman"/>
                <w:b/>
                <w:bCs/>
                <w:spacing w:val="-5"/>
                <w:sz w:val="22"/>
              </w:rPr>
            </w:pPr>
            <m:oMath>
              <m:sSub>
                <m:sSubPr>
                  <m:ctrlPr>
                    <w:rPr>
                      <w:rFonts w:ascii="Cambria Math" w:eastAsia="Times New Roman" w:hAnsi="Cambria Math" w:cs="Times New Roman"/>
                      <w:b/>
                      <w:bCs/>
                      <w:spacing w:val="-5"/>
                      <w:sz w:val="22"/>
                    </w:rPr>
                  </m:ctrlPr>
                </m:sSubPr>
                <m:e>
                  <m:r>
                    <m:rPr>
                      <m:sty m:val="bi"/>
                    </m:rPr>
                    <w:rPr>
                      <w:rFonts w:ascii="Cambria Math" w:eastAsia="Times New Roman" w:hAnsi="Cambria Math" w:cs="Times New Roman"/>
                      <w:spacing w:val="-5"/>
                      <w:sz w:val="22"/>
                    </w:rPr>
                    <m:t>V</m:t>
                  </m:r>
                </m:e>
                <m:sub>
                  <m:r>
                    <m:rPr>
                      <m:sty m:val="bi"/>
                    </m:rPr>
                    <w:rPr>
                      <w:rFonts w:ascii="Cambria Math" w:eastAsia="Times New Roman" w:hAnsi="Cambria Math" w:cs="Times New Roman"/>
                      <w:spacing w:val="-5"/>
                      <w:sz w:val="22"/>
                    </w:rPr>
                    <m:t>подв.</m:t>
                  </m:r>
                </m:sub>
              </m:sSub>
              <m:r>
                <m:rPr>
                  <m:sty m:val="bi"/>
                </m:rPr>
                <w:rPr>
                  <w:rFonts w:ascii="Cambria Math" w:eastAsia="Times New Roman" w:hAnsi="Cambria Math" w:cs="Times New Roman"/>
                  <w:spacing w:val="-5"/>
                  <w:sz w:val="22"/>
                </w:rPr>
                <m:t>=(</m:t>
              </m:r>
              <m:f>
                <m:fPr>
                  <m:ctrlPr>
                    <w:rPr>
                      <w:rFonts w:ascii="Cambria Math" w:eastAsia="Times New Roman" w:hAnsi="Cambria Math" w:cs="Times New Roman"/>
                      <w:b/>
                      <w:bCs/>
                      <w:spacing w:val="-5"/>
                      <w:sz w:val="22"/>
                    </w:rPr>
                  </m:ctrlPr>
                </m:fPr>
                <m:num>
                  <m:sSub>
                    <m:sSubPr>
                      <m:ctrlPr>
                        <w:rPr>
                          <w:rFonts w:ascii="Cambria Math" w:eastAsia="Times New Roman" w:hAnsi="Cambria Math" w:cs="Times New Roman"/>
                          <w:b/>
                          <w:bCs/>
                          <w:spacing w:val="-5"/>
                          <w:sz w:val="22"/>
                        </w:rPr>
                      </m:ctrlPr>
                    </m:sSubPr>
                    <m:e>
                      <m:r>
                        <m:rPr>
                          <m:sty m:val="bi"/>
                        </m:rPr>
                        <w:rPr>
                          <w:rFonts w:ascii="Cambria Math" w:eastAsia="Times New Roman" w:hAnsi="Cambria Math" w:cs="Times New Roman"/>
                          <w:spacing w:val="-5"/>
                          <w:sz w:val="22"/>
                        </w:rPr>
                        <m:t>S</m:t>
                      </m:r>
                    </m:e>
                    <m:sub>
                      <m:r>
                        <m:rPr>
                          <m:sty m:val="bi"/>
                        </m:rPr>
                        <w:rPr>
                          <w:rFonts w:ascii="Cambria Math" w:eastAsia="Times New Roman" w:hAnsi="Cambria Math" w:cs="Times New Roman"/>
                          <w:spacing w:val="-5"/>
                          <w:sz w:val="22"/>
                        </w:rPr>
                        <m:t>о</m:t>
                      </m:r>
                    </m:sub>
                  </m:sSub>
                </m:num>
                <m:den>
                  <m:r>
                    <m:rPr>
                      <m:sty m:val="bi"/>
                    </m:rPr>
                    <w:rPr>
                      <w:rFonts w:ascii="Cambria Math" w:eastAsia="Times New Roman" w:hAnsi="Cambria Math" w:cs="Times New Roman"/>
                      <w:spacing w:val="-5"/>
                      <w:sz w:val="22"/>
                    </w:rPr>
                    <m:t>n</m:t>
                  </m:r>
                </m:den>
              </m:f>
              <m:r>
                <m:rPr>
                  <m:sty m:val="bi"/>
                </m:rPr>
                <w:rPr>
                  <w:rFonts w:ascii="Cambria Math" w:eastAsia="Times New Roman" w:hAnsi="Cambria Math" w:cs="Times New Roman"/>
                  <w:spacing w:val="-5"/>
                  <w:sz w:val="22"/>
                </w:rPr>
                <m:t>×</m:t>
              </m:r>
              <m:d>
                <m:dPr>
                  <m:ctrlPr>
                    <w:rPr>
                      <w:rFonts w:ascii="Cambria Math" w:eastAsia="Times New Roman" w:hAnsi="Cambria Math" w:cs="Times New Roman"/>
                      <w:b/>
                      <w:bCs/>
                      <w:spacing w:val="-5"/>
                      <w:sz w:val="22"/>
                    </w:rPr>
                  </m:ctrlPr>
                </m:dPr>
                <m:e>
                  <m:f>
                    <m:fPr>
                      <m:ctrlPr>
                        <w:rPr>
                          <w:rFonts w:ascii="Cambria Math" w:eastAsia="Times New Roman" w:hAnsi="Cambria Math" w:cs="Times New Roman"/>
                          <w:b/>
                          <w:bCs/>
                          <w:spacing w:val="-5"/>
                          <w:sz w:val="22"/>
                        </w:rPr>
                      </m:ctrlPr>
                    </m:fPr>
                    <m:num>
                      <m:r>
                        <m:rPr>
                          <m:sty m:val="bi"/>
                        </m:rPr>
                        <w:rPr>
                          <w:rFonts w:ascii="Cambria Math" w:eastAsia="Times New Roman" w:hAnsi="Cambria Math" w:cs="Times New Roman"/>
                          <w:spacing w:val="-5"/>
                          <w:sz w:val="22"/>
                        </w:rPr>
                        <m:t>1</m:t>
                      </m:r>
                    </m:num>
                    <m:den>
                      <m:sSub>
                        <m:sSubPr>
                          <m:ctrlPr>
                            <w:rPr>
                              <w:rFonts w:ascii="Cambria Math" w:eastAsia="Times New Roman" w:hAnsi="Cambria Math" w:cs="Times New Roman"/>
                              <w:b/>
                              <w:bCs/>
                              <w:spacing w:val="-5"/>
                              <w:sz w:val="22"/>
                            </w:rPr>
                          </m:ctrlPr>
                        </m:sSubPr>
                        <m:e>
                          <m:r>
                            <m:rPr>
                              <m:sty m:val="bi"/>
                            </m:rPr>
                            <w:rPr>
                              <w:rFonts w:ascii="Cambria Math" w:eastAsia="Times New Roman" w:hAnsi="Cambria Math" w:cs="Times New Roman"/>
                              <w:spacing w:val="-5"/>
                              <w:sz w:val="22"/>
                            </w:rPr>
                            <m:t>k</m:t>
                          </m:r>
                        </m:e>
                        <m:sub>
                          <m:r>
                            <m:rPr>
                              <m:sty m:val="bi"/>
                            </m:rPr>
                            <w:rPr>
                              <w:rFonts w:ascii="Cambria Math" w:eastAsia="Times New Roman" w:hAnsi="Cambria Math" w:cs="Times New Roman"/>
                              <w:spacing w:val="-5"/>
                              <w:sz w:val="22"/>
                            </w:rPr>
                            <m:t>тс</m:t>
                          </m:r>
                        </m:sub>
                      </m:sSub>
                    </m:den>
                  </m:f>
                </m:e>
              </m:d>
              <m:r>
                <m:rPr>
                  <m:sty m:val="bi"/>
                </m:rPr>
                <w:rPr>
                  <w:rFonts w:ascii="Cambria Math" w:eastAsia="Times New Roman" w:hAnsi="Cambria Math" w:cs="Times New Roman"/>
                  <w:spacing w:val="-5"/>
                  <w:sz w:val="22"/>
                </w:rPr>
                <m:t>×</m:t>
              </m:r>
              <m:sSub>
                <m:sSubPr>
                  <m:ctrlPr>
                    <w:rPr>
                      <w:rFonts w:ascii="Cambria Math" w:eastAsia="Times New Roman" w:hAnsi="Cambria Math" w:cs="Times New Roman"/>
                      <w:b/>
                      <w:bCs/>
                      <w:spacing w:val="-5"/>
                      <w:sz w:val="22"/>
                    </w:rPr>
                  </m:ctrlPr>
                </m:sSubPr>
                <m:e>
                  <m:r>
                    <m:rPr>
                      <m:sty m:val="bi"/>
                    </m:rPr>
                    <w:rPr>
                      <w:rFonts w:ascii="Cambria Math" w:eastAsia="Times New Roman" w:hAnsi="Cambria Math" w:cs="Times New Roman"/>
                      <w:spacing w:val="-5"/>
                      <w:sz w:val="22"/>
                    </w:rPr>
                    <m:t>h</m:t>
                  </m:r>
                </m:e>
                <m:sub>
                  <m:r>
                    <m:rPr>
                      <m:sty m:val="bi"/>
                    </m:rPr>
                    <w:rPr>
                      <w:rFonts w:ascii="Cambria Math" w:eastAsia="Times New Roman" w:hAnsi="Cambria Math" w:cs="Times New Roman"/>
                      <w:spacing w:val="-5"/>
                      <w:sz w:val="22"/>
                    </w:rPr>
                    <m:t xml:space="preserve">подв   </m:t>
                  </m:r>
                </m:sub>
              </m:sSub>
              <m:r>
                <m:rPr>
                  <m:sty m:val="bi"/>
                </m:rPr>
                <w:rPr>
                  <w:rFonts w:ascii="Cambria Math" w:eastAsia="Times New Roman" w:hAnsi="Cambria Math" w:cs="Times New Roman"/>
                  <w:spacing w:val="-5"/>
                  <w:sz w:val="22"/>
                </w:rPr>
                <m:t xml:space="preserve">) × </m:t>
              </m:r>
              <m:sSub>
                <m:sSubPr>
                  <m:ctrlPr>
                    <w:rPr>
                      <w:rFonts w:ascii="Cambria Math" w:eastAsia="Times New Roman" w:hAnsi="Cambria Math" w:cs="Times New Roman"/>
                      <w:b/>
                      <w:bCs/>
                      <w:spacing w:val="-5"/>
                      <w:sz w:val="22"/>
                    </w:rPr>
                  </m:ctrlPr>
                </m:sSubPr>
                <m:e>
                  <m:r>
                    <m:rPr>
                      <m:sty m:val="bi"/>
                    </m:rPr>
                    <w:rPr>
                      <w:rFonts w:ascii="Cambria Math" w:eastAsia="Times New Roman" w:hAnsi="Cambria Math" w:cs="Times New Roman"/>
                      <w:spacing w:val="-5"/>
                      <w:sz w:val="22"/>
                    </w:rPr>
                    <m:t>n</m:t>
                  </m:r>
                </m:e>
                <m:sub>
                  <m:r>
                    <m:rPr>
                      <m:sty m:val="bi"/>
                    </m:rPr>
                    <w:rPr>
                      <w:rFonts w:ascii="Cambria Math" w:eastAsia="Times New Roman" w:hAnsi="Cambria Math" w:cs="Times New Roman"/>
                      <w:spacing w:val="-5"/>
                      <w:sz w:val="22"/>
                    </w:rPr>
                    <m:t>подз</m:t>
                  </m:r>
                </m:sub>
              </m:sSub>
            </m:oMath>
            <w:r w:rsidR="00322AE9" w:rsidRPr="00322AE9">
              <w:rPr>
                <w:rFonts w:eastAsia="Times New Roman" w:cs="Times New Roman"/>
                <w:b/>
                <w:bCs/>
                <w:spacing w:val="-5"/>
                <w:sz w:val="22"/>
              </w:rPr>
              <w:t xml:space="preserve"> ,</w:t>
            </w:r>
          </w:p>
        </w:tc>
        <w:tc>
          <w:tcPr>
            <w:tcW w:w="1218" w:type="dxa"/>
          </w:tcPr>
          <w:p w14:paraId="1B165009" w14:textId="77777777" w:rsidR="00322AE9" w:rsidRPr="00322AE9" w:rsidRDefault="00322AE9" w:rsidP="00322AE9">
            <w:pPr>
              <w:suppressAutoHyphens/>
              <w:adjustRightInd w:val="0"/>
              <w:ind w:firstLine="567"/>
              <w:jc w:val="right"/>
              <w:textAlignment w:val="baseline"/>
              <w:rPr>
                <w:rFonts w:eastAsia="Calibri" w:cs="Arial"/>
                <w:spacing w:val="-5"/>
                <w:szCs w:val="24"/>
              </w:rPr>
            </w:pPr>
          </w:p>
        </w:tc>
      </w:tr>
    </w:tbl>
    <w:p w14:paraId="740ACCC3" w14:textId="77777777" w:rsidR="00322AE9" w:rsidRPr="00322AE9" w:rsidRDefault="00322AE9" w:rsidP="00322AE9">
      <w:pPr>
        <w:suppressAutoHyphens/>
        <w:adjustRightInd w:val="0"/>
        <w:ind w:left="675" w:hanging="675"/>
        <w:textAlignment w:val="baseline"/>
        <w:rPr>
          <w:rFonts w:eastAsia="Times New Roman" w:cs="Times New Roman"/>
          <w:spacing w:val="-5"/>
          <w:sz w:val="14"/>
          <w:szCs w:val="24"/>
        </w:rPr>
      </w:pPr>
    </w:p>
    <w:p w14:paraId="5D5E4010" w14:textId="77777777" w:rsidR="00322AE9" w:rsidRPr="00322AE9" w:rsidRDefault="00322AE9" w:rsidP="00322AE9">
      <w:pPr>
        <w:suppressAutoHyphens/>
        <w:adjustRightInd w:val="0"/>
        <w:ind w:left="675" w:hanging="675"/>
        <w:textAlignment w:val="baseline"/>
        <w:rPr>
          <w:rFonts w:eastAsia="Times New Roman" w:cs="Times New Roman"/>
          <w:spacing w:val="-5"/>
          <w:szCs w:val="24"/>
        </w:rPr>
      </w:pPr>
      <w:r w:rsidRPr="00322AE9">
        <w:rPr>
          <w:rFonts w:eastAsia="Times New Roman" w:cs="Times New Roman"/>
          <w:spacing w:val="-5"/>
          <w:szCs w:val="24"/>
        </w:rPr>
        <w:t>где</w:t>
      </w:r>
      <w:r w:rsidRPr="00322AE9">
        <w:rPr>
          <w:rFonts w:eastAsia="Times New Roman" w:cs="Times New Roman"/>
          <w:spacing w:val="-5"/>
          <w:szCs w:val="24"/>
        </w:rPr>
        <w:tab/>
      </w:r>
      <w:r w:rsidRPr="00322AE9">
        <w:rPr>
          <w:rFonts w:eastAsia="Times New Roman" w:cs="Times New Roman"/>
          <w:spacing w:val="-5"/>
          <w:szCs w:val="24"/>
        </w:rPr>
        <w:tab/>
      </w:r>
      <m:oMath>
        <m:sSub>
          <m:sSubPr>
            <m:ctrlPr>
              <w:rPr>
                <w:rFonts w:ascii="Cambria Math" w:eastAsia="Times New Roman" w:hAnsi="Cambria Math" w:cs="Times New Roman"/>
                <w:spacing w:val="-5"/>
                <w:szCs w:val="24"/>
              </w:rPr>
            </m:ctrlPr>
          </m:sSubPr>
          <m:e>
            <m:r>
              <w:rPr>
                <w:rFonts w:ascii="Cambria Math" w:eastAsia="Times New Roman" w:hAnsi="Cambria Math" w:cs="Times New Roman"/>
                <w:spacing w:val="-5"/>
                <w:szCs w:val="24"/>
                <w:lang w:val="en-US"/>
              </w:rPr>
              <m:t>V</m:t>
            </m:r>
          </m:e>
          <m:sub>
            <m:r>
              <w:rPr>
                <w:rFonts w:ascii="Cambria Math" w:eastAsia="Times New Roman" w:hAnsi="Cambria Math" w:cs="Times New Roman"/>
                <w:spacing w:val="-5"/>
                <w:szCs w:val="24"/>
              </w:rPr>
              <m:t>наз.ч.</m:t>
            </m:r>
          </m:sub>
        </m:sSub>
      </m:oMath>
      <w:r w:rsidRPr="00322AE9">
        <w:rPr>
          <w:rFonts w:eastAsia="Times New Roman" w:cs="Times New Roman"/>
          <w:spacing w:val="-5"/>
          <w:szCs w:val="24"/>
        </w:rPr>
        <w:t xml:space="preserve"> – строительный объем  надземной части;</w:t>
      </w:r>
    </w:p>
    <w:p w14:paraId="03CC7CF5" w14:textId="77777777" w:rsidR="00322AE9" w:rsidRPr="00322AE9" w:rsidRDefault="00322AE9" w:rsidP="00322AE9">
      <w:pPr>
        <w:suppressAutoHyphens/>
        <w:adjustRightInd w:val="0"/>
        <w:ind w:firstLine="709"/>
        <w:textAlignment w:val="baseline"/>
        <w:rPr>
          <w:rFonts w:eastAsia="Times New Roman" w:cs="Times New Roman"/>
          <w:spacing w:val="-5"/>
          <w:szCs w:val="24"/>
        </w:rPr>
      </w:pPr>
      <w:r w:rsidRPr="00322AE9">
        <w:rPr>
          <w:rFonts w:eastAsia="Times New Roman" w:cs="Times New Roman"/>
          <w:i/>
          <w:spacing w:val="-5"/>
          <w:szCs w:val="24"/>
        </w:rPr>
        <w:t>п</w:t>
      </w:r>
      <w:r w:rsidRPr="00322AE9">
        <w:rPr>
          <w:rFonts w:eastAsia="Times New Roman" w:cs="Times New Roman"/>
          <w:i/>
          <w:spacing w:val="-5"/>
          <w:szCs w:val="24"/>
          <w:vertAlign w:val="subscript"/>
        </w:rPr>
        <w:t xml:space="preserve">подз </w:t>
      </w:r>
      <w:r w:rsidRPr="00322AE9">
        <w:rPr>
          <w:rFonts w:eastAsia="Times New Roman" w:cs="Times New Roman"/>
          <w:spacing w:val="-5"/>
          <w:szCs w:val="24"/>
        </w:rPr>
        <w:t xml:space="preserve"> </w:t>
      </w:r>
      <w:r w:rsidRPr="00322AE9">
        <w:rPr>
          <w:rFonts w:eastAsia="Times New Roman" w:cs="Times New Roman"/>
          <w:spacing w:val="-5"/>
          <w:szCs w:val="24"/>
        </w:rPr>
        <w:sym w:font="Symbol" w:char="F02D"/>
      </w:r>
      <w:r w:rsidRPr="00322AE9">
        <w:rPr>
          <w:rFonts w:eastAsia="Times New Roman" w:cs="Times New Roman"/>
          <w:spacing w:val="-5"/>
          <w:szCs w:val="24"/>
        </w:rPr>
        <w:t xml:space="preserve"> количество подземных этажей.</w:t>
      </w:r>
    </w:p>
    <w:p w14:paraId="56E27FFF" w14:textId="77777777" w:rsidR="00322AE9" w:rsidRPr="00322AE9" w:rsidRDefault="00322AE9" w:rsidP="00322AE9">
      <w:pPr>
        <w:suppressAutoHyphens/>
        <w:adjustRightInd w:val="0"/>
        <w:ind w:firstLine="709"/>
        <w:textAlignment w:val="baseline"/>
        <w:rPr>
          <w:rFonts w:eastAsia="Times New Roman" w:cs="Times New Roman"/>
          <w:spacing w:val="-5"/>
          <w:szCs w:val="24"/>
        </w:rPr>
      </w:pPr>
      <w:r w:rsidRPr="00322AE9">
        <w:rPr>
          <w:rFonts w:eastAsia="Times New Roman" w:cs="Times New Roman"/>
          <w:spacing w:val="-5"/>
          <w:szCs w:val="24"/>
        </w:rPr>
        <w:t xml:space="preserve">Минимальная высота этажа по внутреннему обмеру определялась для каждой группы в соответствии с действующими нормативными актами, регулирующими проектирование, строительство и эксплуатацию объектов каждого назначения. Таким образом, приведенная высота для каждой группы определялась индивидуально. </w:t>
      </w:r>
    </w:p>
    <w:p w14:paraId="4A552DEE" w14:textId="77777777" w:rsidR="00322AE9" w:rsidRPr="00322AE9" w:rsidRDefault="00322AE9" w:rsidP="00322AE9">
      <w:pPr>
        <w:suppressAutoHyphens/>
        <w:adjustRightInd w:val="0"/>
        <w:ind w:firstLine="709"/>
        <w:textAlignment w:val="baseline"/>
        <w:rPr>
          <w:rFonts w:eastAsia="Times New Roman" w:cs="Times New Roman"/>
          <w:spacing w:val="-5"/>
          <w:szCs w:val="24"/>
        </w:rPr>
      </w:pPr>
      <w:r w:rsidRPr="00322AE9">
        <w:rPr>
          <w:rFonts w:eastAsia="Times New Roman" w:cs="Times New Roman"/>
          <w:spacing w:val="-5"/>
          <w:szCs w:val="24"/>
        </w:rPr>
        <w:t>Поскольку нормативные показатели лимитируют высоту помещений по нижней границе, что соответствует, как правило, небольшим объектам, а в оценку предоставлены все объекты, включая крупные и особо крупные, для минимизации погрешности была проведена корректировка показателя высоты «в свету» в соответствии с рекомендациями общей части Сборников базовых укрупненных показателей сметной стоимости строительства БУПС-91. В общей части указанных сборников содержатся рекомендуемые значения отношения строительного объема к общей площади объектов различного функционального назначения. Зная коэффициент толщины ограждающих конструкций, возможную высоту подвала и чердачного пространства, при их наличии, можно вывести рекомендуемую высоту этажа «в свету», сравнив ее с минимально допустимой по современным нормативам.</w:t>
      </w:r>
    </w:p>
    <w:p w14:paraId="40CFEA90" w14:textId="77777777" w:rsidR="00322AE9" w:rsidRPr="00322AE9" w:rsidRDefault="00322AE9" w:rsidP="00322AE9">
      <w:pPr>
        <w:suppressAutoHyphens/>
        <w:adjustRightInd w:val="0"/>
        <w:ind w:firstLine="709"/>
        <w:textAlignment w:val="baseline"/>
        <w:rPr>
          <w:rFonts w:eastAsia="Times New Roman" w:cs="Times New Roman"/>
          <w:spacing w:val="-5"/>
          <w:szCs w:val="24"/>
        </w:rPr>
      </w:pPr>
      <w:r w:rsidRPr="00322AE9">
        <w:rPr>
          <w:rFonts w:eastAsia="Times New Roman" w:cs="Times New Roman"/>
          <w:spacing w:val="-5"/>
          <w:szCs w:val="24"/>
        </w:rPr>
        <w:t>В расчеты принималась минимально допустимая высота помещений по нормативам, за исключением случаев, когда рекомендуемая высота помещений превышает минимально допустимую. В этих случаях принималась рекомендуемая высота помещений. В основном такие отличия коснулись таких объектов, как спортивные комплексы, театры и кинотеатры, катки и прочие подобные объекты, существенную часть которых занимает зальное пространство.</w:t>
      </w:r>
    </w:p>
    <w:p w14:paraId="03666DC2" w14:textId="77777777" w:rsidR="00322AE9" w:rsidRPr="00322AE9" w:rsidRDefault="00322AE9" w:rsidP="00322AE9">
      <w:pPr>
        <w:suppressAutoHyphens/>
        <w:adjustRightInd w:val="0"/>
        <w:ind w:firstLine="709"/>
        <w:textAlignment w:val="baseline"/>
        <w:rPr>
          <w:rFonts w:eastAsia="Times New Roman" w:cs="Times New Roman"/>
          <w:spacing w:val="-5"/>
          <w:szCs w:val="24"/>
        </w:rPr>
      </w:pPr>
      <w:r w:rsidRPr="00322AE9">
        <w:rPr>
          <w:rFonts w:eastAsia="Times New Roman" w:cs="Times New Roman"/>
          <w:spacing w:val="-5"/>
          <w:szCs w:val="24"/>
        </w:rPr>
        <w:t>Ниже в таблице отражены принятые в качестве расчетных значений высоты этажа по каждой группе (подгруппе).</w:t>
      </w:r>
    </w:p>
    <w:p w14:paraId="0B8D5DFB" w14:textId="77777777" w:rsidR="00322AE9" w:rsidRPr="00322AE9" w:rsidRDefault="00322AE9" w:rsidP="00322AE9">
      <w:pPr>
        <w:spacing w:after="160"/>
        <w:ind w:firstLine="0"/>
        <w:jc w:val="left"/>
        <w:rPr>
          <w:rFonts w:eastAsia="Times New Roman" w:cs="Times New Roman"/>
          <w:spacing w:val="-5"/>
          <w:szCs w:val="24"/>
        </w:rPr>
      </w:pPr>
    </w:p>
    <w:p w14:paraId="495B29FE" w14:textId="77777777" w:rsidR="00322AE9" w:rsidRPr="00322AE9" w:rsidRDefault="00322AE9" w:rsidP="00322AE9">
      <w:pPr>
        <w:spacing w:after="160"/>
        <w:ind w:firstLine="0"/>
        <w:jc w:val="left"/>
        <w:rPr>
          <w:rFonts w:eastAsia="Times New Roman" w:cs="Times New Roman"/>
          <w:spacing w:val="-5"/>
          <w:szCs w:val="24"/>
        </w:rPr>
        <w:sectPr w:rsidR="00322AE9" w:rsidRPr="00322AE9" w:rsidSect="00322AE9">
          <w:headerReference w:type="default" r:id="rId301"/>
          <w:headerReference w:type="first" r:id="rId302"/>
          <w:footerReference w:type="first" r:id="rId303"/>
          <w:pgSz w:w="11906" w:h="16838"/>
          <w:pgMar w:top="1134" w:right="851" w:bottom="1134" w:left="1701" w:header="709" w:footer="709" w:gutter="0"/>
          <w:cols w:space="708"/>
          <w:docGrid w:linePitch="360"/>
        </w:sectPr>
      </w:pPr>
    </w:p>
    <w:p w14:paraId="4966DDE0" w14:textId="093294D4" w:rsidR="00322AE9" w:rsidRPr="004C3F6D" w:rsidRDefault="004C3F6D" w:rsidP="00763AD2">
      <w:pPr>
        <w:pStyle w:val="afffffff0"/>
        <w:rPr>
          <w:spacing w:val="-5"/>
        </w:rPr>
      </w:pPr>
      <w:r w:rsidRPr="004C3F6D">
        <w:t xml:space="preserve">Таблица </w:t>
      </w:r>
      <w:r w:rsidR="00A90944">
        <w:fldChar w:fldCharType="begin"/>
      </w:r>
      <w:r w:rsidR="00A90944">
        <w:instrText xml:space="preserve"> SEQ Таблица \* ARABIC </w:instrText>
      </w:r>
      <w:r w:rsidR="00A90944">
        <w:fldChar w:fldCharType="separate"/>
      </w:r>
      <w:r w:rsidR="00FD2769">
        <w:rPr>
          <w:noProof/>
        </w:rPr>
        <w:t>73</w:t>
      </w:r>
      <w:r w:rsidR="00A90944">
        <w:rPr>
          <w:noProof/>
        </w:rPr>
        <w:fldChar w:fldCharType="end"/>
      </w:r>
      <w:r w:rsidRPr="004C3F6D">
        <w:t>.Расчет высоты этажа по каждой группе (по каждой группе (</w:t>
      </w:r>
      <w:r>
        <w:t>под</w:t>
      </w:r>
      <w:r w:rsidRPr="004C3F6D">
        <w:t>группе)</w:t>
      </w:r>
    </w:p>
    <w:tbl>
      <w:tblPr>
        <w:tblW w:w="14601" w:type="dxa"/>
        <w:jc w:val="center"/>
        <w:tblLayout w:type="fixed"/>
        <w:tblLook w:val="04A0" w:firstRow="1" w:lastRow="0" w:firstColumn="1" w:lastColumn="0" w:noHBand="0" w:noVBand="1"/>
      </w:tblPr>
      <w:tblGrid>
        <w:gridCol w:w="709"/>
        <w:gridCol w:w="816"/>
        <w:gridCol w:w="2893"/>
        <w:gridCol w:w="855"/>
        <w:gridCol w:w="793"/>
        <w:gridCol w:w="992"/>
        <w:gridCol w:w="1030"/>
        <w:gridCol w:w="1096"/>
        <w:gridCol w:w="1149"/>
        <w:gridCol w:w="1119"/>
        <w:gridCol w:w="3149"/>
      </w:tblGrid>
      <w:tr w:rsidR="00322AE9" w:rsidRPr="00322AE9" w14:paraId="7888A293" w14:textId="77777777" w:rsidTr="00322AE9">
        <w:trPr>
          <w:trHeight w:val="2049"/>
          <w:tblHeader/>
          <w:jc w:val="center"/>
        </w:trPr>
        <w:tc>
          <w:tcPr>
            <w:tcW w:w="709"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0A5AA3BC" w14:textId="77777777" w:rsidR="00322AE9" w:rsidRPr="00322AE9" w:rsidRDefault="00322AE9" w:rsidP="00322AE9">
            <w:pPr>
              <w:ind w:firstLine="0"/>
              <w:jc w:val="center"/>
              <w:rPr>
                <w:rFonts w:eastAsia="Times New Roman" w:cs="Times New Roman"/>
                <w:b/>
                <w:bCs/>
                <w:color w:val="000000"/>
                <w:sz w:val="20"/>
                <w:szCs w:val="20"/>
                <w:lang w:eastAsia="ru-RU"/>
              </w:rPr>
            </w:pPr>
            <w:r w:rsidRPr="00322AE9">
              <w:rPr>
                <w:rFonts w:eastAsia="Times New Roman" w:cs="Times New Roman"/>
                <w:b/>
                <w:bCs/>
                <w:color w:val="000000"/>
                <w:sz w:val="20"/>
                <w:szCs w:val="20"/>
                <w:lang w:eastAsia="ru-RU"/>
              </w:rPr>
              <w:t>Группа</w:t>
            </w:r>
          </w:p>
        </w:tc>
        <w:tc>
          <w:tcPr>
            <w:tcW w:w="816" w:type="dxa"/>
            <w:tcBorders>
              <w:top w:val="single" w:sz="4" w:space="0" w:color="auto"/>
              <w:left w:val="nil"/>
              <w:bottom w:val="single" w:sz="4" w:space="0" w:color="auto"/>
              <w:right w:val="single" w:sz="4" w:space="0" w:color="auto"/>
            </w:tcBorders>
            <w:shd w:val="clear" w:color="auto" w:fill="D9D9D9" w:themeFill="background1" w:themeFillShade="D9"/>
            <w:hideMark/>
          </w:tcPr>
          <w:p w14:paraId="5248101A" w14:textId="77777777" w:rsidR="00322AE9" w:rsidRPr="00322AE9" w:rsidRDefault="00322AE9" w:rsidP="00322AE9">
            <w:pPr>
              <w:ind w:firstLine="0"/>
              <w:jc w:val="center"/>
              <w:rPr>
                <w:rFonts w:eastAsia="Times New Roman" w:cs="Times New Roman"/>
                <w:b/>
                <w:bCs/>
                <w:color w:val="000000"/>
                <w:sz w:val="20"/>
                <w:szCs w:val="20"/>
                <w:lang w:eastAsia="ru-RU"/>
              </w:rPr>
            </w:pPr>
            <w:r w:rsidRPr="00322AE9">
              <w:rPr>
                <w:rFonts w:eastAsia="Times New Roman" w:cs="Times New Roman"/>
                <w:b/>
                <w:bCs/>
                <w:color w:val="000000"/>
                <w:sz w:val="20"/>
                <w:szCs w:val="20"/>
                <w:lang w:eastAsia="ru-RU"/>
              </w:rPr>
              <w:t>Подгуппа</w:t>
            </w:r>
          </w:p>
        </w:tc>
        <w:tc>
          <w:tcPr>
            <w:tcW w:w="2893" w:type="dxa"/>
            <w:tcBorders>
              <w:top w:val="single" w:sz="4" w:space="0" w:color="auto"/>
              <w:left w:val="nil"/>
              <w:bottom w:val="single" w:sz="4" w:space="0" w:color="auto"/>
              <w:right w:val="single" w:sz="4" w:space="0" w:color="auto"/>
            </w:tcBorders>
            <w:shd w:val="clear" w:color="auto" w:fill="D9D9D9" w:themeFill="background1" w:themeFillShade="D9"/>
            <w:hideMark/>
          </w:tcPr>
          <w:p w14:paraId="319EA71D" w14:textId="77777777" w:rsidR="00322AE9" w:rsidRPr="00322AE9" w:rsidRDefault="00322AE9" w:rsidP="00322AE9">
            <w:pPr>
              <w:ind w:firstLine="0"/>
              <w:jc w:val="center"/>
              <w:rPr>
                <w:rFonts w:eastAsia="Times New Roman" w:cs="Times New Roman"/>
                <w:b/>
                <w:bCs/>
                <w:color w:val="000000"/>
                <w:sz w:val="20"/>
                <w:szCs w:val="20"/>
                <w:lang w:eastAsia="ru-RU"/>
              </w:rPr>
            </w:pPr>
            <w:r w:rsidRPr="00322AE9">
              <w:rPr>
                <w:rFonts w:eastAsia="Times New Roman" w:cs="Times New Roman"/>
                <w:b/>
                <w:bCs/>
                <w:color w:val="000000"/>
                <w:sz w:val="20"/>
                <w:szCs w:val="20"/>
                <w:lang w:eastAsia="ru-RU"/>
              </w:rPr>
              <w:t>Функциональная группа (подгруппа) наименование</w:t>
            </w:r>
          </w:p>
        </w:tc>
        <w:tc>
          <w:tcPr>
            <w:tcW w:w="855" w:type="dxa"/>
            <w:tcBorders>
              <w:top w:val="single" w:sz="4" w:space="0" w:color="auto"/>
              <w:left w:val="nil"/>
              <w:bottom w:val="single" w:sz="4" w:space="0" w:color="auto"/>
              <w:right w:val="single" w:sz="4" w:space="0" w:color="auto"/>
            </w:tcBorders>
            <w:shd w:val="clear" w:color="auto" w:fill="D9D9D9" w:themeFill="background1" w:themeFillShade="D9"/>
            <w:hideMark/>
          </w:tcPr>
          <w:p w14:paraId="2E7DCC11"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Высота этажа, м</w:t>
            </w:r>
          </w:p>
        </w:tc>
        <w:tc>
          <w:tcPr>
            <w:tcW w:w="793" w:type="dxa"/>
            <w:tcBorders>
              <w:top w:val="single" w:sz="4" w:space="0" w:color="auto"/>
              <w:left w:val="nil"/>
              <w:bottom w:val="single" w:sz="4" w:space="0" w:color="auto"/>
              <w:right w:val="single" w:sz="4" w:space="0" w:color="auto"/>
            </w:tcBorders>
            <w:shd w:val="clear" w:color="auto" w:fill="D9D9D9" w:themeFill="background1" w:themeFillShade="D9"/>
            <w:hideMark/>
          </w:tcPr>
          <w:p w14:paraId="2B0A7B6C"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Высота помещений в свету, м</w:t>
            </w:r>
          </w:p>
        </w:tc>
        <w:tc>
          <w:tcPr>
            <w:tcW w:w="992" w:type="dxa"/>
            <w:tcBorders>
              <w:top w:val="single" w:sz="4" w:space="0" w:color="auto"/>
              <w:left w:val="nil"/>
              <w:bottom w:val="single" w:sz="4" w:space="0" w:color="auto"/>
              <w:right w:val="single" w:sz="4" w:space="0" w:color="auto"/>
            </w:tcBorders>
            <w:shd w:val="clear" w:color="auto" w:fill="D9D9D9" w:themeFill="background1" w:themeFillShade="D9"/>
            <w:hideMark/>
          </w:tcPr>
          <w:p w14:paraId="4C2DB081"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Высота перекрытия (покрытия) с учетом ограждающих конструкциц, м</w:t>
            </w:r>
          </w:p>
        </w:tc>
        <w:tc>
          <w:tcPr>
            <w:tcW w:w="1030" w:type="dxa"/>
            <w:tcBorders>
              <w:top w:val="single" w:sz="4" w:space="0" w:color="auto"/>
              <w:left w:val="nil"/>
              <w:bottom w:val="single" w:sz="4" w:space="0" w:color="auto"/>
              <w:right w:val="single" w:sz="4" w:space="0" w:color="auto"/>
            </w:tcBorders>
            <w:shd w:val="clear" w:color="auto" w:fill="D9D9D9" w:themeFill="background1" w:themeFillShade="D9"/>
            <w:hideMark/>
          </w:tcPr>
          <w:p w14:paraId="0FD92FA4"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Высота этажа РАСЧЕТ, м</w:t>
            </w:r>
          </w:p>
        </w:tc>
        <w:tc>
          <w:tcPr>
            <w:tcW w:w="1096" w:type="dxa"/>
            <w:tcBorders>
              <w:top w:val="single" w:sz="4" w:space="0" w:color="auto"/>
              <w:left w:val="nil"/>
              <w:bottom w:val="single" w:sz="4" w:space="0" w:color="auto"/>
              <w:right w:val="single" w:sz="4" w:space="0" w:color="auto"/>
            </w:tcBorders>
            <w:shd w:val="clear" w:color="auto" w:fill="D9D9D9" w:themeFill="background1" w:themeFillShade="D9"/>
            <w:hideMark/>
          </w:tcPr>
          <w:p w14:paraId="1A0553D6"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Высота технического чердака/подполья, м</w:t>
            </w:r>
          </w:p>
        </w:tc>
        <w:tc>
          <w:tcPr>
            <w:tcW w:w="1149" w:type="dxa"/>
            <w:tcBorders>
              <w:top w:val="single" w:sz="4" w:space="0" w:color="auto"/>
              <w:left w:val="nil"/>
              <w:bottom w:val="single" w:sz="4" w:space="0" w:color="auto"/>
              <w:right w:val="single" w:sz="4" w:space="0" w:color="auto"/>
            </w:tcBorders>
            <w:shd w:val="clear" w:color="auto" w:fill="D9D9D9" w:themeFill="background1" w:themeFillShade="D9"/>
            <w:hideMark/>
          </w:tcPr>
          <w:p w14:paraId="596E077E"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Высота помещения подвала, м</w:t>
            </w:r>
          </w:p>
        </w:tc>
        <w:tc>
          <w:tcPr>
            <w:tcW w:w="1119" w:type="dxa"/>
            <w:tcBorders>
              <w:top w:val="single" w:sz="4" w:space="0" w:color="auto"/>
              <w:left w:val="nil"/>
              <w:bottom w:val="single" w:sz="4" w:space="0" w:color="auto"/>
              <w:right w:val="single" w:sz="4" w:space="0" w:color="auto"/>
            </w:tcBorders>
            <w:shd w:val="clear" w:color="auto" w:fill="D9D9D9" w:themeFill="background1" w:themeFillShade="D9"/>
            <w:hideMark/>
          </w:tcPr>
          <w:p w14:paraId="6D2242F0"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Высота этажа подвала_РАСЧЕТ, м</w:t>
            </w:r>
          </w:p>
        </w:tc>
        <w:tc>
          <w:tcPr>
            <w:tcW w:w="3149" w:type="dxa"/>
            <w:tcBorders>
              <w:top w:val="single" w:sz="4" w:space="0" w:color="auto"/>
              <w:left w:val="nil"/>
              <w:bottom w:val="single" w:sz="4" w:space="0" w:color="auto"/>
              <w:right w:val="single" w:sz="4" w:space="0" w:color="auto"/>
            </w:tcBorders>
            <w:shd w:val="clear" w:color="auto" w:fill="D9D9D9" w:themeFill="background1" w:themeFillShade="D9"/>
            <w:hideMark/>
          </w:tcPr>
          <w:p w14:paraId="566EED0B"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Нормативный документ</w:t>
            </w:r>
          </w:p>
        </w:tc>
      </w:tr>
      <w:tr w:rsidR="00322AE9" w:rsidRPr="00322AE9" w14:paraId="3185FB5A" w14:textId="77777777" w:rsidTr="00322AE9">
        <w:trPr>
          <w:trHeight w:val="510"/>
          <w:jc w:val="center"/>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2CD1CA9A" w14:textId="77777777" w:rsidR="00322AE9" w:rsidRPr="00322AE9" w:rsidRDefault="00322AE9" w:rsidP="00322AE9">
            <w:pPr>
              <w:ind w:firstLine="0"/>
              <w:jc w:val="center"/>
              <w:rPr>
                <w:rFonts w:eastAsia="Times New Roman" w:cs="Times New Roman"/>
                <w:b/>
                <w:bCs/>
                <w:color w:val="000000"/>
                <w:sz w:val="20"/>
                <w:szCs w:val="20"/>
                <w:lang w:eastAsia="ru-RU"/>
              </w:rPr>
            </w:pPr>
            <w:r w:rsidRPr="00322AE9">
              <w:rPr>
                <w:rFonts w:eastAsia="Times New Roman" w:cs="Times New Roman"/>
                <w:b/>
                <w:bCs/>
                <w:color w:val="000000"/>
                <w:sz w:val="20"/>
                <w:szCs w:val="20"/>
                <w:lang w:eastAsia="ru-RU"/>
              </w:rPr>
              <w:t>01</w:t>
            </w:r>
          </w:p>
        </w:tc>
        <w:tc>
          <w:tcPr>
            <w:tcW w:w="816" w:type="dxa"/>
            <w:tcBorders>
              <w:top w:val="nil"/>
              <w:left w:val="nil"/>
              <w:bottom w:val="single" w:sz="4" w:space="0" w:color="auto"/>
              <w:right w:val="single" w:sz="4" w:space="0" w:color="auto"/>
            </w:tcBorders>
            <w:shd w:val="clear" w:color="auto" w:fill="auto"/>
            <w:vAlign w:val="center"/>
            <w:hideMark/>
          </w:tcPr>
          <w:p w14:paraId="075650B0" w14:textId="77777777" w:rsidR="00322AE9" w:rsidRPr="00322AE9" w:rsidRDefault="00322AE9" w:rsidP="00322AE9">
            <w:pPr>
              <w:ind w:firstLine="0"/>
              <w:jc w:val="center"/>
              <w:rPr>
                <w:rFonts w:eastAsia="Times New Roman" w:cs="Times New Roman"/>
                <w:b/>
                <w:bCs/>
                <w:color w:val="000000"/>
                <w:sz w:val="20"/>
                <w:szCs w:val="20"/>
                <w:lang w:eastAsia="ru-RU"/>
              </w:rPr>
            </w:pPr>
            <w:r w:rsidRPr="00322AE9">
              <w:rPr>
                <w:rFonts w:eastAsia="Times New Roman" w:cs="Times New Roman"/>
                <w:b/>
                <w:bCs/>
                <w:color w:val="000000"/>
                <w:sz w:val="20"/>
                <w:szCs w:val="20"/>
                <w:lang w:eastAsia="ru-RU"/>
              </w:rPr>
              <w:t>0100</w:t>
            </w:r>
          </w:p>
        </w:tc>
        <w:tc>
          <w:tcPr>
            <w:tcW w:w="2893" w:type="dxa"/>
            <w:tcBorders>
              <w:top w:val="nil"/>
              <w:left w:val="nil"/>
              <w:bottom w:val="single" w:sz="4" w:space="0" w:color="auto"/>
              <w:right w:val="single" w:sz="4" w:space="0" w:color="auto"/>
            </w:tcBorders>
            <w:shd w:val="clear" w:color="auto" w:fill="auto"/>
            <w:vAlign w:val="center"/>
            <w:hideMark/>
          </w:tcPr>
          <w:p w14:paraId="15622224" w14:textId="77777777" w:rsidR="00322AE9" w:rsidRPr="00322AE9" w:rsidRDefault="00322AE9" w:rsidP="00322AE9">
            <w:pPr>
              <w:ind w:firstLine="0"/>
              <w:jc w:val="left"/>
              <w:rPr>
                <w:rFonts w:eastAsia="Times New Roman" w:cs="Times New Roman"/>
                <w:b/>
                <w:bCs/>
                <w:color w:val="000000"/>
                <w:sz w:val="20"/>
                <w:szCs w:val="20"/>
                <w:lang w:eastAsia="ru-RU"/>
              </w:rPr>
            </w:pPr>
            <w:r w:rsidRPr="00322AE9">
              <w:rPr>
                <w:rFonts w:eastAsia="Times New Roman" w:cs="Times New Roman"/>
                <w:b/>
                <w:bCs/>
                <w:color w:val="000000"/>
                <w:sz w:val="20"/>
                <w:szCs w:val="20"/>
                <w:lang w:eastAsia="ru-RU"/>
              </w:rPr>
              <w:t>Группа 1. Многоквартирные дома (дома средне- и многоэтажной жилой застройки)</w:t>
            </w:r>
          </w:p>
        </w:tc>
        <w:tc>
          <w:tcPr>
            <w:tcW w:w="855" w:type="dxa"/>
            <w:tcBorders>
              <w:top w:val="nil"/>
              <w:left w:val="nil"/>
              <w:bottom w:val="single" w:sz="4" w:space="0" w:color="auto"/>
              <w:right w:val="single" w:sz="4" w:space="0" w:color="auto"/>
            </w:tcBorders>
            <w:shd w:val="clear" w:color="FFFFFF" w:fill="FFFFFF"/>
            <w:vAlign w:val="center"/>
            <w:hideMark/>
          </w:tcPr>
          <w:p w14:paraId="70C48D60" w14:textId="77777777" w:rsidR="00322AE9" w:rsidRPr="00322AE9" w:rsidRDefault="00322AE9" w:rsidP="00322AE9">
            <w:pPr>
              <w:ind w:firstLine="0"/>
              <w:jc w:val="left"/>
              <w:rPr>
                <w:rFonts w:eastAsia="Times New Roman" w:cs="Times New Roman"/>
                <w:color w:val="000000"/>
                <w:sz w:val="18"/>
                <w:szCs w:val="18"/>
                <w:lang w:eastAsia="ru-RU"/>
              </w:rPr>
            </w:pPr>
            <w:r w:rsidRPr="00322AE9">
              <w:rPr>
                <w:rFonts w:eastAsia="Times New Roman" w:cs="Times New Roman"/>
                <w:color w:val="000000"/>
                <w:sz w:val="18"/>
                <w:szCs w:val="18"/>
                <w:lang w:eastAsia="ru-RU"/>
              </w:rPr>
              <w:t> </w:t>
            </w:r>
          </w:p>
        </w:tc>
        <w:tc>
          <w:tcPr>
            <w:tcW w:w="793" w:type="dxa"/>
            <w:tcBorders>
              <w:top w:val="nil"/>
              <w:left w:val="nil"/>
              <w:bottom w:val="single" w:sz="4" w:space="0" w:color="auto"/>
              <w:right w:val="single" w:sz="4" w:space="0" w:color="auto"/>
            </w:tcBorders>
            <w:shd w:val="clear" w:color="auto" w:fill="auto"/>
            <w:vAlign w:val="center"/>
            <w:hideMark/>
          </w:tcPr>
          <w:p w14:paraId="3F7094F6"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2,7</w:t>
            </w:r>
          </w:p>
        </w:tc>
        <w:tc>
          <w:tcPr>
            <w:tcW w:w="992" w:type="dxa"/>
            <w:tcBorders>
              <w:top w:val="nil"/>
              <w:left w:val="nil"/>
              <w:bottom w:val="single" w:sz="4" w:space="0" w:color="auto"/>
              <w:right w:val="single" w:sz="4" w:space="0" w:color="auto"/>
            </w:tcBorders>
            <w:shd w:val="clear" w:color="auto" w:fill="auto"/>
            <w:vAlign w:val="center"/>
            <w:hideMark/>
          </w:tcPr>
          <w:p w14:paraId="5D0F6939"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0,3</w:t>
            </w:r>
          </w:p>
        </w:tc>
        <w:tc>
          <w:tcPr>
            <w:tcW w:w="1030" w:type="dxa"/>
            <w:tcBorders>
              <w:top w:val="nil"/>
              <w:left w:val="nil"/>
              <w:bottom w:val="single" w:sz="4" w:space="0" w:color="auto"/>
              <w:right w:val="single" w:sz="4" w:space="0" w:color="auto"/>
            </w:tcBorders>
            <w:shd w:val="clear" w:color="auto" w:fill="auto"/>
            <w:vAlign w:val="center"/>
            <w:hideMark/>
          </w:tcPr>
          <w:p w14:paraId="334490F7"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3,0</w:t>
            </w:r>
          </w:p>
        </w:tc>
        <w:tc>
          <w:tcPr>
            <w:tcW w:w="1096" w:type="dxa"/>
            <w:tcBorders>
              <w:top w:val="nil"/>
              <w:left w:val="nil"/>
              <w:bottom w:val="single" w:sz="4" w:space="0" w:color="auto"/>
              <w:right w:val="single" w:sz="4" w:space="0" w:color="auto"/>
            </w:tcBorders>
            <w:shd w:val="clear" w:color="auto" w:fill="auto"/>
            <w:vAlign w:val="center"/>
            <w:hideMark/>
          </w:tcPr>
          <w:p w14:paraId="687A24BA"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1,6</w:t>
            </w:r>
          </w:p>
        </w:tc>
        <w:tc>
          <w:tcPr>
            <w:tcW w:w="1149" w:type="dxa"/>
            <w:tcBorders>
              <w:top w:val="nil"/>
              <w:left w:val="nil"/>
              <w:bottom w:val="single" w:sz="4" w:space="0" w:color="auto"/>
              <w:right w:val="single" w:sz="4" w:space="0" w:color="auto"/>
            </w:tcBorders>
            <w:shd w:val="clear" w:color="auto" w:fill="auto"/>
            <w:vAlign w:val="center"/>
            <w:hideMark/>
          </w:tcPr>
          <w:p w14:paraId="30DFDAF9"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2,1</w:t>
            </w:r>
          </w:p>
        </w:tc>
        <w:tc>
          <w:tcPr>
            <w:tcW w:w="1119" w:type="dxa"/>
            <w:tcBorders>
              <w:top w:val="nil"/>
              <w:left w:val="nil"/>
              <w:bottom w:val="single" w:sz="4" w:space="0" w:color="auto"/>
              <w:right w:val="single" w:sz="4" w:space="0" w:color="auto"/>
            </w:tcBorders>
            <w:shd w:val="clear" w:color="auto" w:fill="auto"/>
            <w:vAlign w:val="center"/>
            <w:hideMark/>
          </w:tcPr>
          <w:p w14:paraId="16E04F69"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2,4</w:t>
            </w:r>
          </w:p>
        </w:tc>
        <w:tc>
          <w:tcPr>
            <w:tcW w:w="3149" w:type="dxa"/>
            <w:tcBorders>
              <w:top w:val="nil"/>
              <w:left w:val="nil"/>
              <w:bottom w:val="single" w:sz="4" w:space="0" w:color="auto"/>
              <w:right w:val="single" w:sz="4" w:space="0" w:color="auto"/>
            </w:tcBorders>
            <w:shd w:val="clear" w:color="auto" w:fill="auto"/>
            <w:hideMark/>
          </w:tcPr>
          <w:p w14:paraId="36533787" w14:textId="77777777" w:rsidR="00322AE9" w:rsidRPr="00322AE9" w:rsidRDefault="00322AE9" w:rsidP="00322AE9">
            <w:pPr>
              <w:ind w:firstLine="0"/>
              <w:jc w:val="left"/>
              <w:rPr>
                <w:rFonts w:eastAsia="Times New Roman" w:cs="Times New Roman"/>
                <w:color w:val="000000"/>
                <w:sz w:val="18"/>
                <w:szCs w:val="18"/>
                <w:lang w:eastAsia="ru-RU"/>
              </w:rPr>
            </w:pPr>
            <w:r w:rsidRPr="00322AE9">
              <w:rPr>
                <w:rFonts w:eastAsia="Times New Roman" w:cs="Times New Roman"/>
                <w:color w:val="000000"/>
                <w:sz w:val="18"/>
                <w:szCs w:val="18"/>
                <w:lang w:eastAsia="ru-RU"/>
              </w:rPr>
              <w:t>СП 54.13330-2016 "Здания жилые многоквартирные",  п.5.8</w:t>
            </w:r>
          </w:p>
        </w:tc>
      </w:tr>
      <w:tr w:rsidR="00322AE9" w:rsidRPr="00322AE9" w14:paraId="758B8947" w14:textId="77777777" w:rsidTr="00322AE9">
        <w:trPr>
          <w:trHeight w:val="510"/>
          <w:jc w:val="center"/>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7C088635"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 </w:t>
            </w:r>
          </w:p>
        </w:tc>
        <w:tc>
          <w:tcPr>
            <w:tcW w:w="816" w:type="dxa"/>
            <w:tcBorders>
              <w:top w:val="nil"/>
              <w:left w:val="nil"/>
              <w:bottom w:val="single" w:sz="4" w:space="0" w:color="auto"/>
              <w:right w:val="single" w:sz="4" w:space="0" w:color="auto"/>
            </w:tcBorders>
            <w:shd w:val="clear" w:color="auto" w:fill="auto"/>
            <w:vAlign w:val="center"/>
            <w:hideMark/>
          </w:tcPr>
          <w:p w14:paraId="6E118946"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0101</w:t>
            </w:r>
          </w:p>
        </w:tc>
        <w:tc>
          <w:tcPr>
            <w:tcW w:w="2893" w:type="dxa"/>
            <w:tcBorders>
              <w:top w:val="nil"/>
              <w:left w:val="nil"/>
              <w:bottom w:val="single" w:sz="4" w:space="0" w:color="auto"/>
              <w:right w:val="single" w:sz="4" w:space="0" w:color="auto"/>
            </w:tcBorders>
            <w:shd w:val="clear" w:color="auto" w:fill="auto"/>
            <w:vAlign w:val="center"/>
            <w:hideMark/>
          </w:tcPr>
          <w:p w14:paraId="31CC4388" w14:textId="77777777" w:rsidR="00322AE9" w:rsidRPr="00322AE9" w:rsidRDefault="00322AE9" w:rsidP="00322AE9">
            <w:pPr>
              <w:ind w:firstLine="0"/>
              <w:jc w:val="left"/>
              <w:rPr>
                <w:rFonts w:eastAsia="Times New Roman" w:cs="Times New Roman"/>
                <w:color w:val="000000"/>
                <w:sz w:val="20"/>
                <w:szCs w:val="20"/>
                <w:lang w:eastAsia="ru-RU"/>
              </w:rPr>
            </w:pPr>
            <w:r w:rsidRPr="00322AE9">
              <w:rPr>
                <w:rFonts w:eastAsia="Times New Roman" w:cs="Times New Roman"/>
                <w:color w:val="000000"/>
                <w:sz w:val="20"/>
                <w:szCs w:val="20"/>
                <w:lang w:eastAsia="ru-RU"/>
              </w:rPr>
              <w:t>Дома жилые экономического класса (с преобладанием малогабаритных квартир)</w:t>
            </w:r>
          </w:p>
        </w:tc>
        <w:tc>
          <w:tcPr>
            <w:tcW w:w="855" w:type="dxa"/>
            <w:tcBorders>
              <w:top w:val="nil"/>
              <w:left w:val="nil"/>
              <w:bottom w:val="single" w:sz="4" w:space="0" w:color="auto"/>
              <w:right w:val="single" w:sz="4" w:space="0" w:color="auto"/>
            </w:tcBorders>
            <w:shd w:val="clear" w:color="FFFFFF" w:fill="FFFFFF"/>
            <w:vAlign w:val="center"/>
            <w:hideMark/>
          </w:tcPr>
          <w:p w14:paraId="0447910D"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 </w:t>
            </w:r>
          </w:p>
        </w:tc>
        <w:tc>
          <w:tcPr>
            <w:tcW w:w="793" w:type="dxa"/>
            <w:tcBorders>
              <w:top w:val="nil"/>
              <w:left w:val="nil"/>
              <w:bottom w:val="single" w:sz="4" w:space="0" w:color="auto"/>
              <w:right w:val="single" w:sz="4" w:space="0" w:color="auto"/>
            </w:tcBorders>
            <w:shd w:val="clear" w:color="auto" w:fill="auto"/>
            <w:vAlign w:val="center"/>
            <w:hideMark/>
          </w:tcPr>
          <w:p w14:paraId="48944EA1" w14:textId="77777777" w:rsidR="00322AE9" w:rsidRPr="00322AE9" w:rsidRDefault="00322AE9" w:rsidP="00322AE9">
            <w:pPr>
              <w:ind w:firstLine="0"/>
              <w:jc w:val="center"/>
              <w:rPr>
                <w:rFonts w:eastAsia="Times New Roman" w:cs="Times New Roman"/>
                <w:i/>
                <w:iCs/>
                <w:color w:val="000000"/>
                <w:sz w:val="18"/>
                <w:szCs w:val="18"/>
                <w:lang w:eastAsia="ru-RU"/>
              </w:rPr>
            </w:pPr>
            <w:r w:rsidRPr="00322AE9">
              <w:rPr>
                <w:rFonts w:eastAsia="Times New Roman" w:cs="Times New Roman"/>
                <w:i/>
                <w:iCs/>
                <w:color w:val="000000"/>
                <w:sz w:val="18"/>
                <w:szCs w:val="18"/>
                <w:lang w:eastAsia="ru-RU"/>
              </w:rPr>
              <w:t>2,5</w:t>
            </w:r>
          </w:p>
        </w:tc>
        <w:tc>
          <w:tcPr>
            <w:tcW w:w="992" w:type="dxa"/>
            <w:tcBorders>
              <w:top w:val="nil"/>
              <w:left w:val="nil"/>
              <w:bottom w:val="single" w:sz="4" w:space="0" w:color="auto"/>
              <w:right w:val="single" w:sz="4" w:space="0" w:color="auto"/>
            </w:tcBorders>
            <w:shd w:val="clear" w:color="auto" w:fill="auto"/>
            <w:vAlign w:val="center"/>
            <w:hideMark/>
          </w:tcPr>
          <w:p w14:paraId="7C994516" w14:textId="77777777" w:rsidR="00322AE9" w:rsidRPr="00322AE9" w:rsidRDefault="00322AE9" w:rsidP="00322AE9">
            <w:pPr>
              <w:ind w:firstLine="0"/>
              <w:jc w:val="center"/>
              <w:rPr>
                <w:rFonts w:eastAsia="Times New Roman" w:cs="Times New Roman"/>
                <w:i/>
                <w:iCs/>
                <w:color w:val="000000"/>
                <w:sz w:val="18"/>
                <w:szCs w:val="18"/>
                <w:lang w:eastAsia="ru-RU"/>
              </w:rPr>
            </w:pPr>
            <w:r w:rsidRPr="00322AE9">
              <w:rPr>
                <w:rFonts w:eastAsia="Times New Roman" w:cs="Times New Roman"/>
                <w:i/>
                <w:iCs/>
                <w:color w:val="000000"/>
                <w:sz w:val="18"/>
                <w:szCs w:val="18"/>
                <w:lang w:eastAsia="ru-RU"/>
              </w:rPr>
              <w:t>0,3</w:t>
            </w:r>
          </w:p>
        </w:tc>
        <w:tc>
          <w:tcPr>
            <w:tcW w:w="1030" w:type="dxa"/>
            <w:tcBorders>
              <w:top w:val="nil"/>
              <w:left w:val="nil"/>
              <w:bottom w:val="single" w:sz="4" w:space="0" w:color="auto"/>
              <w:right w:val="single" w:sz="4" w:space="0" w:color="auto"/>
            </w:tcBorders>
            <w:shd w:val="clear" w:color="auto" w:fill="auto"/>
            <w:vAlign w:val="center"/>
            <w:hideMark/>
          </w:tcPr>
          <w:p w14:paraId="1EFC4B97" w14:textId="77777777" w:rsidR="00322AE9" w:rsidRPr="00322AE9" w:rsidRDefault="00322AE9" w:rsidP="00322AE9">
            <w:pPr>
              <w:ind w:firstLine="0"/>
              <w:jc w:val="center"/>
              <w:rPr>
                <w:rFonts w:eastAsia="Times New Roman" w:cs="Times New Roman"/>
                <w:b/>
                <w:bCs/>
                <w:i/>
                <w:iCs/>
                <w:color w:val="000000"/>
                <w:sz w:val="18"/>
                <w:szCs w:val="18"/>
                <w:lang w:eastAsia="ru-RU"/>
              </w:rPr>
            </w:pPr>
            <w:r w:rsidRPr="00322AE9">
              <w:rPr>
                <w:rFonts w:eastAsia="Times New Roman" w:cs="Times New Roman"/>
                <w:b/>
                <w:bCs/>
                <w:i/>
                <w:iCs/>
                <w:color w:val="000000"/>
                <w:sz w:val="18"/>
                <w:szCs w:val="18"/>
                <w:lang w:eastAsia="ru-RU"/>
              </w:rPr>
              <w:t>2,7</w:t>
            </w:r>
          </w:p>
        </w:tc>
        <w:tc>
          <w:tcPr>
            <w:tcW w:w="1096" w:type="dxa"/>
            <w:tcBorders>
              <w:top w:val="nil"/>
              <w:left w:val="nil"/>
              <w:bottom w:val="single" w:sz="4" w:space="0" w:color="auto"/>
              <w:right w:val="single" w:sz="4" w:space="0" w:color="auto"/>
            </w:tcBorders>
            <w:shd w:val="clear" w:color="auto" w:fill="auto"/>
            <w:vAlign w:val="center"/>
            <w:hideMark/>
          </w:tcPr>
          <w:p w14:paraId="4FEC973A" w14:textId="77777777" w:rsidR="00322AE9" w:rsidRPr="00322AE9" w:rsidRDefault="00322AE9" w:rsidP="00322AE9">
            <w:pPr>
              <w:ind w:firstLine="0"/>
              <w:jc w:val="center"/>
              <w:rPr>
                <w:rFonts w:eastAsia="Times New Roman" w:cs="Times New Roman"/>
                <w:i/>
                <w:iCs/>
                <w:color w:val="000000"/>
                <w:sz w:val="18"/>
                <w:szCs w:val="18"/>
                <w:lang w:eastAsia="ru-RU"/>
              </w:rPr>
            </w:pPr>
            <w:r w:rsidRPr="00322AE9">
              <w:rPr>
                <w:rFonts w:eastAsia="Times New Roman" w:cs="Times New Roman"/>
                <w:i/>
                <w:iCs/>
                <w:color w:val="000000"/>
                <w:sz w:val="18"/>
                <w:szCs w:val="18"/>
                <w:lang w:eastAsia="ru-RU"/>
              </w:rPr>
              <w:t>1,6</w:t>
            </w:r>
          </w:p>
        </w:tc>
        <w:tc>
          <w:tcPr>
            <w:tcW w:w="1149" w:type="dxa"/>
            <w:tcBorders>
              <w:top w:val="nil"/>
              <w:left w:val="nil"/>
              <w:bottom w:val="single" w:sz="4" w:space="0" w:color="auto"/>
              <w:right w:val="single" w:sz="4" w:space="0" w:color="auto"/>
            </w:tcBorders>
            <w:shd w:val="clear" w:color="auto" w:fill="auto"/>
            <w:vAlign w:val="center"/>
            <w:hideMark/>
          </w:tcPr>
          <w:p w14:paraId="42726ED3" w14:textId="77777777" w:rsidR="00322AE9" w:rsidRPr="00322AE9" w:rsidRDefault="00322AE9" w:rsidP="00322AE9">
            <w:pPr>
              <w:ind w:firstLine="0"/>
              <w:jc w:val="center"/>
              <w:rPr>
                <w:rFonts w:eastAsia="Times New Roman" w:cs="Times New Roman"/>
                <w:i/>
                <w:iCs/>
                <w:color w:val="000000"/>
                <w:sz w:val="18"/>
                <w:szCs w:val="18"/>
                <w:lang w:eastAsia="ru-RU"/>
              </w:rPr>
            </w:pPr>
            <w:r w:rsidRPr="00322AE9">
              <w:rPr>
                <w:rFonts w:eastAsia="Times New Roman" w:cs="Times New Roman"/>
                <w:i/>
                <w:iCs/>
                <w:color w:val="000000"/>
                <w:sz w:val="18"/>
                <w:szCs w:val="18"/>
                <w:lang w:eastAsia="ru-RU"/>
              </w:rPr>
              <w:t>2,1</w:t>
            </w:r>
          </w:p>
        </w:tc>
        <w:tc>
          <w:tcPr>
            <w:tcW w:w="1119" w:type="dxa"/>
            <w:tcBorders>
              <w:top w:val="nil"/>
              <w:left w:val="nil"/>
              <w:bottom w:val="single" w:sz="4" w:space="0" w:color="auto"/>
              <w:right w:val="single" w:sz="4" w:space="0" w:color="auto"/>
            </w:tcBorders>
            <w:shd w:val="clear" w:color="auto" w:fill="auto"/>
            <w:vAlign w:val="center"/>
            <w:hideMark/>
          </w:tcPr>
          <w:p w14:paraId="3B127DED" w14:textId="77777777" w:rsidR="00322AE9" w:rsidRPr="00322AE9" w:rsidRDefault="00322AE9" w:rsidP="00322AE9">
            <w:pPr>
              <w:ind w:firstLine="0"/>
              <w:jc w:val="center"/>
              <w:rPr>
                <w:rFonts w:eastAsia="Times New Roman" w:cs="Times New Roman"/>
                <w:b/>
                <w:bCs/>
                <w:i/>
                <w:iCs/>
                <w:color w:val="000000"/>
                <w:sz w:val="18"/>
                <w:szCs w:val="18"/>
                <w:lang w:eastAsia="ru-RU"/>
              </w:rPr>
            </w:pPr>
            <w:r w:rsidRPr="00322AE9">
              <w:rPr>
                <w:rFonts w:eastAsia="Times New Roman" w:cs="Times New Roman"/>
                <w:b/>
                <w:bCs/>
                <w:i/>
                <w:iCs/>
                <w:color w:val="000000"/>
                <w:sz w:val="18"/>
                <w:szCs w:val="18"/>
                <w:lang w:eastAsia="ru-RU"/>
              </w:rPr>
              <w:t>2,4</w:t>
            </w:r>
          </w:p>
        </w:tc>
        <w:tc>
          <w:tcPr>
            <w:tcW w:w="3149" w:type="dxa"/>
            <w:tcBorders>
              <w:top w:val="nil"/>
              <w:left w:val="nil"/>
              <w:bottom w:val="single" w:sz="4" w:space="0" w:color="auto"/>
              <w:right w:val="single" w:sz="4" w:space="0" w:color="auto"/>
            </w:tcBorders>
            <w:shd w:val="clear" w:color="auto" w:fill="auto"/>
            <w:hideMark/>
          </w:tcPr>
          <w:p w14:paraId="4F75CECE" w14:textId="77777777" w:rsidR="00322AE9" w:rsidRPr="00322AE9" w:rsidRDefault="00322AE9" w:rsidP="00322AE9">
            <w:pPr>
              <w:ind w:firstLine="0"/>
              <w:jc w:val="left"/>
              <w:rPr>
                <w:rFonts w:eastAsia="Times New Roman" w:cs="Times New Roman"/>
                <w:i/>
                <w:iCs/>
                <w:color w:val="000000"/>
                <w:sz w:val="18"/>
                <w:szCs w:val="18"/>
                <w:lang w:eastAsia="ru-RU"/>
              </w:rPr>
            </w:pPr>
            <w:r w:rsidRPr="00322AE9">
              <w:rPr>
                <w:rFonts w:eastAsia="Times New Roman" w:cs="Times New Roman"/>
                <w:i/>
                <w:iCs/>
                <w:color w:val="000000"/>
                <w:sz w:val="18"/>
                <w:szCs w:val="18"/>
                <w:lang w:eastAsia="ru-RU"/>
              </w:rPr>
              <w:t>СП 54.13330-2016 "Здания жилые многоквартирные",  п.5.8</w:t>
            </w:r>
          </w:p>
        </w:tc>
      </w:tr>
      <w:tr w:rsidR="00322AE9" w:rsidRPr="00322AE9" w14:paraId="70A39376" w14:textId="77777777" w:rsidTr="00322AE9">
        <w:trPr>
          <w:trHeight w:val="510"/>
          <w:jc w:val="center"/>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051E5DD6"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 </w:t>
            </w:r>
          </w:p>
        </w:tc>
        <w:tc>
          <w:tcPr>
            <w:tcW w:w="816" w:type="dxa"/>
            <w:tcBorders>
              <w:top w:val="nil"/>
              <w:left w:val="nil"/>
              <w:bottom w:val="single" w:sz="4" w:space="0" w:color="auto"/>
              <w:right w:val="single" w:sz="4" w:space="0" w:color="auto"/>
            </w:tcBorders>
            <w:shd w:val="clear" w:color="auto" w:fill="auto"/>
            <w:vAlign w:val="center"/>
            <w:hideMark/>
          </w:tcPr>
          <w:p w14:paraId="790283BA"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0102</w:t>
            </w:r>
          </w:p>
        </w:tc>
        <w:tc>
          <w:tcPr>
            <w:tcW w:w="2893" w:type="dxa"/>
            <w:tcBorders>
              <w:top w:val="nil"/>
              <w:left w:val="nil"/>
              <w:bottom w:val="single" w:sz="4" w:space="0" w:color="auto"/>
              <w:right w:val="single" w:sz="4" w:space="0" w:color="auto"/>
            </w:tcBorders>
            <w:shd w:val="clear" w:color="auto" w:fill="auto"/>
            <w:vAlign w:val="center"/>
            <w:hideMark/>
          </w:tcPr>
          <w:p w14:paraId="70845E1E" w14:textId="77777777" w:rsidR="00322AE9" w:rsidRPr="00322AE9" w:rsidRDefault="00322AE9" w:rsidP="00322AE9">
            <w:pPr>
              <w:ind w:firstLine="0"/>
              <w:jc w:val="left"/>
              <w:rPr>
                <w:rFonts w:eastAsia="Times New Roman" w:cs="Times New Roman"/>
                <w:color w:val="000000"/>
                <w:sz w:val="20"/>
                <w:szCs w:val="20"/>
                <w:lang w:eastAsia="ru-RU"/>
              </w:rPr>
            </w:pPr>
            <w:r w:rsidRPr="00322AE9">
              <w:rPr>
                <w:rFonts w:eastAsia="Times New Roman" w:cs="Times New Roman"/>
                <w:color w:val="000000"/>
                <w:sz w:val="20"/>
                <w:szCs w:val="20"/>
                <w:lang w:eastAsia="ru-RU"/>
              </w:rPr>
              <w:t>Дома жилые со встроенными нежилыми помещениями</w:t>
            </w:r>
          </w:p>
        </w:tc>
        <w:tc>
          <w:tcPr>
            <w:tcW w:w="855" w:type="dxa"/>
            <w:tcBorders>
              <w:top w:val="nil"/>
              <w:left w:val="nil"/>
              <w:bottom w:val="single" w:sz="4" w:space="0" w:color="auto"/>
              <w:right w:val="single" w:sz="4" w:space="0" w:color="auto"/>
            </w:tcBorders>
            <w:shd w:val="clear" w:color="FFFFFF" w:fill="FFFFFF"/>
            <w:vAlign w:val="center"/>
            <w:hideMark/>
          </w:tcPr>
          <w:p w14:paraId="211BA64D"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 </w:t>
            </w:r>
          </w:p>
        </w:tc>
        <w:tc>
          <w:tcPr>
            <w:tcW w:w="793" w:type="dxa"/>
            <w:tcBorders>
              <w:top w:val="nil"/>
              <w:left w:val="nil"/>
              <w:bottom w:val="single" w:sz="4" w:space="0" w:color="auto"/>
              <w:right w:val="single" w:sz="4" w:space="0" w:color="auto"/>
            </w:tcBorders>
            <w:shd w:val="clear" w:color="auto" w:fill="auto"/>
            <w:vAlign w:val="center"/>
            <w:hideMark/>
          </w:tcPr>
          <w:p w14:paraId="3CC7A620" w14:textId="77777777" w:rsidR="00322AE9" w:rsidRPr="00322AE9" w:rsidRDefault="00322AE9" w:rsidP="00322AE9">
            <w:pPr>
              <w:ind w:firstLine="0"/>
              <w:jc w:val="center"/>
              <w:rPr>
                <w:rFonts w:eastAsia="Times New Roman" w:cs="Times New Roman"/>
                <w:i/>
                <w:iCs/>
                <w:color w:val="000000"/>
                <w:sz w:val="18"/>
                <w:szCs w:val="18"/>
                <w:lang w:eastAsia="ru-RU"/>
              </w:rPr>
            </w:pPr>
            <w:r w:rsidRPr="00322AE9">
              <w:rPr>
                <w:rFonts w:eastAsia="Times New Roman" w:cs="Times New Roman"/>
                <w:i/>
                <w:iCs/>
                <w:color w:val="000000"/>
                <w:sz w:val="18"/>
                <w:szCs w:val="18"/>
                <w:lang w:eastAsia="ru-RU"/>
              </w:rPr>
              <w:t>2,5</w:t>
            </w:r>
          </w:p>
        </w:tc>
        <w:tc>
          <w:tcPr>
            <w:tcW w:w="992" w:type="dxa"/>
            <w:tcBorders>
              <w:top w:val="nil"/>
              <w:left w:val="nil"/>
              <w:bottom w:val="single" w:sz="4" w:space="0" w:color="auto"/>
              <w:right w:val="single" w:sz="4" w:space="0" w:color="auto"/>
            </w:tcBorders>
            <w:shd w:val="clear" w:color="auto" w:fill="auto"/>
            <w:vAlign w:val="center"/>
            <w:hideMark/>
          </w:tcPr>
          <w:p w14:paraId="523CDE69" w14:textId="77777777" w:rsidR="00322AE9" w:rsidRPr="00322AE9" w:rsidRDefault="00322AE9" w:rsidP="00322AE9">
            <w:pPr>
              <w:ind w:firstLine="0"/>
              <w:jc w:val="center"/>
              <w:rPr>
                <w:rFonts w:eastAsia="Times New Roman" w:cs="Times New Roman"/>
                <w:i/>
                <w:iCs/>
                <w:color w:val="000000"/>
                <w:sz w:val="18"/>
                <w:szCs w:val="18"/>
                <w:lang w:eastAsia="ru-RU"/>
              </w:rPr>
            </w:pPr>
            <w:r w:rsidRPr="00322AE9">
              <w:rPr>
                <w:rFonts w:eastAsia="Times New Roman" w:cs="Times New Roman"/>
                <w:i/>
                <w:iCs/>
                <w:color w:val="000000"/>
                <w:sz w:val="18"/>
                <w:szCs w:val="18"/>
                <w:lang w:eastAsia="ru-RU"/>
              </w:rPr>
              <w:t>0,3</w:t>
            </w:r>
          </w:p>
        </w:tc>
        <w:tc>
          <w:tcPr>
            <w:tcW w:w="1030" w:type="dxa"/>
            <w:tcBorders>
              <w:top w:val="nil"/>
              <w:left w:val="nil"/>
              <w:bottom w:val="single" w:sz="4" w:space="0" w:color="auto"/>
              <w:right w:val="single" w:sz="4" w:space="0" w:color="auto"/>
            </w:tcBorders>
            <w:shd w:val="clear" w:color="auto" w:fill="auto"/>
            <w:vAlign w:val="center"/>
            <w:hideMark/>
          </w:tcPr>
          <w:p w14:paraId="042D323F" w14:textId="77777777" w:rsidR="00322AE9" w:rsidRPr="00322AE9" w:rsidRDefault="00322AE9" w:rsidP="00322AE9">
            <w:pPr>
              <w:ind w:firstLine="0"/>
              <w:jc w:val="center"/>
              <w:rPr>
                <w:rFonts w:eastAsia="Times New Roman" w:cs="Times New Roman"/>
                <w:b/>
                <w:bCs/>
                <w:i/>
                <w:iCs/>
                <w:color w:val="000000"/>
                <w:sz w:val="18"/>
                <w:szCs w:val="18"/>
                <w:lang w:eastAsia="ru-RU"/>
              </w:rPr>
            </w:pPr>
            <w:r w:rsidRPr="00322AE9">
              <w:rPr>
                <w:rFonts w:eastAsia="Times New Roman" w:cs="Times New Roman"/>
                <w:b/>
                <w:bCs/>
                <w:i/>
                <w:iCs/>
                <w:color w:val="000000"/>
                <w:sz w:val="18"/>
                <w:szCs w:val="18"/>
                <w:lang w:eastAsia="ru-RU"/>
              </w:rPr>
              <w:t>2,7</w:t>
            </w:r>
          </w:p>
        </w:tc>
        <w:tc>
          <w:tcPr>
            <w:tcW w:w="1096" w:type="dxa"/>
            <w:tcBorders>
              <w:top w:val="nil"/>
              <w:left w:val="nil"/>
              <w:bottom w:val="single" w:sz="4" w:space="0" w:color="auto"/>
              <w:right w:val="single" w:sz="4" w:space="0" w:color="auto"/>
            </w:tcBorders>
            <w:shd w:val="clear" w:color="auto" w:fill="auto"/>
            <w:vAlign w:val="center"/>
            <w:hideMark/>
          </w:tcPr>
          <w:p w14:paraId="54ED5508" w14:textId="77777777" w:rsidR="00322AE9" w:rsidRPr="00322AE9" w:rsidRDefault="00322AE9" w:rsidP="00322AE9">
            <w:pPr>
              <w:ind w:firstLine="0"/>
              <w:jc w:val="center"/>
              <w:rPr>
                <w:rFonts w:eastAsia="Times New Roman" w:cs="Times New Roman"/>
                <w:i/>
                <w:iCs/>
                <w:color w:val="000000"/>
                <w:sz w:val="18"/>
                <w:szCs w:val="18"/>
                <w:lang w:eastAsia="ru-RU"/>
              </w:rPr>
            </w:pPr>
            <w:r w:rsidRPr="00322AE9">
              <w:rPr>
                <w:rFonts w:eastAsia="Times New Roman" w:cs="Times New Roman"/>
                <w:i/>
                <w:iCs/>
                <w:color w:val="000000"/>
                <w:sz w:val="18"/>
                <w:szCs w:val="18"/>
                <w:lang w:eastAsia="ru-RU"/>
              </w:rPr>
              <w:t>1,6</w:t>
            </w:r>
          </w:p>
        </w:tc>
        <w:tc>
          <w:tcPr>
            <w:tcW w:w="1149" w:type="dxa"/>
            <w:tcBorders>
              <w:top w:val="nil"/>
              <w:left w:val="nil"/>
              <w:bottom w:val="single" w:sz="4" w:space="0" w:color="auto"/>
              <w:right w:val="single" w:sz="4" w:space="0" w:color="auto"/>
            </w:tcBorders>
            <w:shd w:val="clear" w:color="auto" w:fill="auto"/>
            <w:vAlign w:val="center"/>
            <w:hideMark/>
          </w:tcPr>
          <w:p w14:paraId="2FE3EBF3" w14:textId="77777777" w:rsidR="00322AE9" w:rsidRPr="00322AE9" w:rsidRDefault="00322AE9" w:rsidP="00322AE9">
            <w:pPr>
              <w:ind w:firstLine="0"/>
              <w:jc w:val="center"/>
              <w:rPr>
                <w:rFonts w:eastAsia="Times New Roman" w:cs="Times New Roman"/>
                <w:i/>
                <w:iCs/>
                <w:color w:val="000000"/>
                <w:sz w:val="18"/>
                <w:szCs w:val="18"/>
                <w:lang w:eastAsia="ru-RU"/>
              </w:rPr>
            </w:pPr>
            <w:r w:rsidRPr="00322AE9">
              <w:rPr>
                <w:rFonts w:eastAsia="Times New Roman" w:cs="Times New Roman"/>
                <w:i/>
                <w:iCs/>
                <w:color w:val="000000"/>
                <w:sz w:val="18"/>
                <w:szCs w:val="18"/>
                <w:lang w:eastAsia="ru-RU"/>
              </w:rPr>
              <w:t>2,1</w:t>
            </w:r>
          </w:p>
        </w:tc>
        <w:tc>
          <w:tcPr>
            <w:tcW w:w="1119" w:type="dxa"/>
            <w:tcBorders>
              <w:top w:val="nil"/>
              <w:left w:val="nil"/>
              <w:bottom w:val="single" w:sz="4" w:space="0" w:color="auto"/>
              <w:right w:val="single" w:sz="4" w:space="0" w:color="auto"/>
            </w:tcBorders>
            <w:shd w:val="clear" w:color="auto" w:fill="auto"/>
            <w:vAlign w:val="center"/>
            <w:hideMark/>
          </w:tcPr>
          <w:p w14:paraId="55DF8D29" w14:textId="77777777" w:rsidR="00322AE9" w:rsidRPr="00322AE9" w:rsidRDefault="00322AE9" w:rsidP="00322AE9">
            <w:pPr>
              <w:ind w:firstLine="0"/>
              <w:jc w:val="center"/>
              <w:rPr>
                <w:rFonts w:eastAsia="Times New Roman" w:cs="Times New Roman"/>
                <w:b/>
                <w:bCs/>
                <w:i/>
                <w:iCs/>
                <w:color w:val="000000"/>
                <w:sz w:val="18"/>
                <w:szCs w:val="18"/>
                <w:lang w:eastAsia="ru-RU"/>
              </w:rPr>
            </w:pPr>
            <w:r w:rsidRPr="00322AE9">
              <w:rPr>
                <w:rFonts w:eastAsia="Times New Roman" w:cs="Times New Roman"/>
                <w:b/>
                <w:bCs/>
                <w:i/>
                <w:iCs/>
                <w:color w:val="000000"/>
                <w:sz w:val="18"/>
                <w:szCs w:val="18"/>
                <w:lang w:eastAsia="ru-RU"/>
              </w:rPr>
              <w:t>2,4</w:t>
            </w:r>
          </w:p>
        </w:tc>
        <w:tc>
          <w:tcPr>
            <w:tcW w:w="3149" w:type="dxa"/>
            <w:tcBorders>
              <w:top w:val="nil"/>
              <w:left w:val="nil"/>
              <w:bottom w:val="single" w:sz="4" w:space="0" w:color="auto"/>
              <w:right w:val="single" w:sz="4" w:space="0" w:color="auto"/>
            </w:tcBorders>
            <w:shd w:val="clear" w:color="auto" w:fill="auto"/>
            <w:hideMark/>
          </w:tcPr>
          <w:p w14:paraId="7C374D76" w14:textId="77777777" w:rsidR="00322AE9" w:rsidRPr="00322AE9" w:rsidRDefault="00322AE9" w:rsidP="00322AE9">
            <w:pPr>
              <w:ind w:firstLine="0"/>
              <w:jc w:val="left"/>
              <w:rPr>
                <w:rFonts w:eastAsia="Times New Roman" w:cs="Times New Roman"/>
                <w:i/>
                <w:iCs/>
                <w:color w:val="000000"/>
                <w:sz w:val="18"/>
                <w:szCs w:val="18"/>
                <w:lang w:eastAsia="ru-RU"/>
              </w:rPr>
            </w:pPr>
            <w:r w:rsidRPr="00322AE9">
              <w:rPr>
                <w:rFonts w:eastAsia="Times New Roman" w:cs="Times New Roman"/>
                <w:i/>
                <w:iCs/>
                <w:color w:val="000000"/>
                <w:sz w:val="18"/>
                <w:szCs w:val="18"/>
                <w:lang w:eastAsia="ru-RU"/>
              </w:rPr>
              <w:t>СП 54.13330-2016 Здания жилые многоквартирные, п.5.8</w:t>
            </w:r>
          </w:p>
        </w:tc>
      </w:tr>
      <w:tr w:rsidR="00322AE9" w:rsidRPr="00322AE9" w14:paraId="1D34E44F" w14:textId="77777777" w:rsidTr="00322AE9">
        <w:trPr>
          <w:trHeight w:val="765"/>
          <w:jc w:val="center"/>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4E5D0FC6"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 </w:t>
            </w:r>
          </w:p>
        </w:tc>
        <w:tc>
          <w:tcPr>
            <w:tcW w:w="816" w:type="dxa"/>
            <w:tcBorders>
              <w:top w:val="nil"/>
              <w:left w:val="nil"/>
              <w:bottom w:val="single" w:sz="4" w:space="0" w:color="auto"/>
              <w:right w:val="single" w:sz="4" w:space="0" w:color="auto"/>
            </w:tcBorders>
            <w:shd w:val="clear" w:color="auto" w:fill="auto"/>
            <w:vAlign w:val="center"/>
            <w:hideMark/>
          </w:tcPr>
          <w:p w14:paraId="63330D26"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0103</w:t>
            </w:r>
          </w:p>
        </w:tc>
        <w:tc>
          <w:tcPr>
            <w:tcW w:w="2893" w:type="dxa"/>
            <w:tcBorders>
              <w:top w:val="nil"/>
              <w:left w:val="nil"/>
              <w:bottom w:val="single" w:sz="4" w:space="0" w:color="auto"/>
              <w:right w:val="single" w:sz="4" w:space="0" w:color="auto"/>
            </w:tcBorders>
            <w:shd w:val="clear" w:color="auto" w:fill="auto"/>
            <w:vAlign w:val="center"/>
            <w:hideMark/>
          </w:tcPr>
          <w:p w14:paraId="388C4C10" w14:textId="77777777" w:rsidR="00322AE9" w:rsidRPr="00322AE9" w:rsidRDefault="00322AE9" w:rsidP="00322AE9">
            <w:pPr>
              <w:ind w:firstLine="0"/>
              <w:jc w:val="left"/>
              <w:rPr>
                <w:rFonts w:eastAsia="Times New Roman" w:cs="Times New Roman"/>
                <w:color w:val="000000"/>
                <w:sz w:val="20"/>
                <w:szCs w:val="20"/>
                <w:lang w:eastAsia="ru-RU"/>
              </w:rPr>
            </w:pPr>
            <w:r w:rsidRPr="00322AE9">
              <w:rPr>
                <w:rFonts w:eastAsia="Times New Roman" w:cs="Times New Roman"/>
                <w:color w:val="000000"/>
                <w:sz w:val="20"/>
                <w:szCs w:val="20"/>
                <w:lang w:eastAsia="ru-RU"/>
              </w:rPr>
              <w:t>Дома жилые повышенной комфортности (дома с небольшим количеством малогаборитных квартир, дома класса комфорт)</w:t>
            </w:r>
          </w:p>
        </w:tc>
        <w:tc>
          <w:tcPr>
            <w:tcW w:w="855" w:type="dxa"/>
            <w:tcBorders>
              <w:top w:val="nil"/>
              <w:left w:val="nil"/>
              <w:bottom w:val="single" w:sz="4" w:space="0" w:color="auto"/>
              <w:right w:val="single" w:sz="4" w:space="0" w:color="auto"/>
            </w:tcBorders>
            <w:shd w:val="clear" w:color="FFFFFF" w:fill="FFFFFF"/>
            <w:vAlign w:val="center"/>
            <w:hideMark/>
          </w:tcPr>
          <w:p w14:paraId="794ED2CF"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 </w:t>
            </w:r>
          </w:p>
        </w:tc>
        <w:tc>
          <w:tcPr>
            <w:tcW w:w="793" w:type="dxa"/>
            <w:tcBorders>
              <w:top w:val="nil"/>
              <w:left w:val="nil"/>
              <w:bottom w:val="single" w:sz="4" w:space="0" w:color="auto"/>
              <w:right w:val="single" w:sz="4" w:space="0" w:color="auto"/>
            </w:tcBorders>
            <w:shd w:val="clear" w:color="auto" w:fill="auto"/>
            <w:vAlign w:val="center"/>
            <w:hideMark/>
          </w:tcPr>
          <w:p w14:paraId="5FFA3699" w14:textId="77777777" w:rsidR="00322AE9" w:rsidRPr="00322AE9" w:rsidRDefault="00322AE9" w:rsidP="00322AE9">
            <w:pPr>
              <w:ind w:firstLine="0"/>
              <w:jc w:val="center"/>
              <w:rPr>
                <w:rFonts w:eastAsia="Times New Roman" w:cs="Times New Roman"/>
                <w:i/>
                <w:iCs/>
                <w:color w:val="000000"/>
                <w:sz w:val="18"/>
                <w:szCs w:val="18"/>
                <w:lang w:eastAsia="ru-RU"/>
              </w:rPr>
            </w:pPr>
            <w:r w:rsidRPr="00322AE9">
              <w:rPr>
                <w:rFonts w:eastAsia="Times New Roman" w:cs="Times New Roman"/>
                <w:i/>
                <w:iCs/>
                <w:color w:val="000000"/>
                <w:sz w:val="18"/>
                <w:szCs w:val="18"/>
                <w:lang w:eastAsia="ru-RU"/>
              </w:rPr>
              <w:t>2,7</w:t>
            </w:r>
          </w:p>
        </w:tc>
        <w:tc>
          <w:tcPr>
            <w:tcW w:w="992" w:type="dxa"/>
            <w:tcBorders>
              <w:top w:val="nil"/>
              <w:left w:val="nil"/>
              <w:bottom w:val="single" w:sz="4" w:space="0" w:color="auto"/>
              <w:right w:val="single" w:sz="4" w:space="0" w:color="auto"/>
            </w:tcBorders>
            <w:shd w:val="clear" w:color="auto" w:fill="auto"/>
            <w:vAlign w:val="center"/>
            <w:hideMark/>
          </w:tcPr>
          <w:p w14:paraId="1D0D7EE6" w14:textId="77777777" w:rsidR="00322AE9" w:rsidRPr="00322AE9" w:rsidRDefault="00322AE9" w:rsidP="00322AE9">
            <w:pPr>
              <w:ind w:firstLine="0"/>
              <w:jc w:val="center"/>
              <w:rPr>
                <w:rFonts w:eastAsia="Times New Roman" w:cs="Times New Roman"/>
                <w:i/>
                <w:iCs/>
                <w:color w:val="000000"/>
                <w:sz w:val="18"/>
                <w:szCs w:val="18"/>
                <w:lang w:eastAsia="ru-RU"/>
              </w:rPr>
            </w:pPr>
            <w:r w:rsidRPr="00322AE9">
              <w:rPr>
                <w:rFonts w:eastAsia="Times New Roman" w:cs="Times New Roman"/>
                <w:i/>
                <w:iCs/>
                <w:color w:val="000000"/>
                <w:sz w:val="18"/>
                <w:szCs w:val="18"/>
                <w:lang w:eastAsia="ru-RU"/>
              </w:rPr>
              <w:t>0,3</w:t>
            </w:r>
          </w:p>
        </w:tc>
        <w:tc>
          <w:tcPr>
            <w:tcW w:w="1030" w:type="dxa"/>
            <w:tcBorders>
              <w:top w:val="nil"/>
              <w:left w:val="nil"/>
              <w:bottom w:val="single" w:sz="4" w:space="0" w:color="auto"/>
              <w:right w:val="single" w:sz="4" w:space="0" w:color="auto"/>
            </w:tcBorders>
            <w:shd w:val="clear" w:color="auto" w:fill="auto"/>
            <w:vAlign w:val="center"/>
            <w:hideMark/>
          </w:tcPr>
          <w:p w14:paraId="29CA05F0" w14:textId="77777777" w:rsidR="00322AE9" w:rsidRPr="00322AE9" w:rsidRDefault="00322AE9" w:rsidP="00322AE9">
            <w:pPr>
              <w:ind w:firstLine="0"/>
              <w:jc w:val="center"/>
              <w:rPr>
                <w:rFonts w:eastAsia="Times New Roman" w:cs="Times New Roman"/>
                <w:b/>
                <w:bCs/>
                <w:i/>
                <w:iCs/>
                <w:color w:val="000000"/>
                <w:sz w:val="18"/>
                <w:szCs w:val="18"/>
                <w:lang w:eastAsia="ru-RU"/>
              </w:rPr>
            </w:pPr>
            <w:r w:rsidRPr="00322AE9">
              <w:rPr>
                <w:rFonts w:eastAsia="Times New Roman" w:cs="Times New Roman"/>
                <w:b/>
                <w:bCs/>
                <w:i/>
                <w:iCs/>
                <w:color w:val="000000"/>
                <w:sz w:val="18"/>
                <w:szCs w:val="18"/>
                <w:lang w:eastAsia="ru-RU"/>
              </w:rPr>
              <w:t>3,0</w:t>
            </w:r>
          </w:p>
        </w:tc>
        <w:tc>
          <w:tcPr>
            <w:tcW w:w="1096" w:type="dxa"/>
            <w:tcBorders>
              <w:top w:val="nil"/>
              <w:left w:val="nil"/>
              <w:bottom w:val="single" w:sz="4" w:space="0" w:color="auto"/>
              <w:right w:val="single" w:sz="4" w:space="0" w:color="auto"/>
            </w:tcBorders>
            <w:shd w:val="clear" w:color="auto" w:fill="auto"/>
            <w:vAlign w:val="center"/>
            <w:hideMark/>
          </w:tcPr>
          <w:p w14:paraId="46528D7F" w14:textId="77777777" w:rsidR="00322AE9" w:rsidRPr="00322AE9" w:rsidRDefault="00322AE9" w:rsidP="00322AE9">
            <w:pPr>
              <w:ind w:firstLine="0"/>
              <w:jc w:val="center"/>
              <w:rPr>
                <w:rFonts w:eastAsia="Times New Roman" w:cs="Times New Roman"/>
                <w:i/>
                <w:iCs/>
                <w:color w:val="000000"/>
                <w:sz w:val="18"/>
                <w:szCs w:val="18"/>
                <w:lang w:eastAsia="ru-RU"/>
              </w:rPr>
            </w:pPr>
            <w:r w:rsidRPr="00322AE9">
              <w:rPr>
                <w:rFonts w:eastAsia="Times New Roman" w:cs="Times New Roman"/>
                <w:i/>
                <w:iCs/>
                <w:color w:val="000000"/>
                <w:sz w:val="18"/>
                <w:szCs w:val="18"/>
                <w:lang w:eastAsia="ru-RU"/>
              </w:rPr>
              <w:t>1,6</w:t>
            </w:r>
          </w:p>
        </w:tc>
        <w:tc>
          <w:tcPr>
            <w:tcW w:w="1149" w:type="dxa"/>
            <w:tcBorders>
              <w:top w:val="nil"/>
              <w:left w:val="nil"/>
              <w:bottom w:val="single" w:sz="4" w:space="0" w:color="auto"/>
              <w:right w:val="single" w:sz="4" w:space="0" w:color="auto"/>
            </w:tcBorders>
            <w:shd w:val="clear" w:color="auto" w:fill="auto"/>
            <w:vAlign w:val="center"/>
            <w:hideMark/>
          </w:tcPr>
          <w:p w14:paraId="680B1BA6" w14:textId="77777777" w:rsidR="00322AE9" w:rsidRPr="00322AE9" w:rsidRDefault="00322AE9" w:rsidP="00322AE9">
            <w:pPr>
              <w:ind w:firstLine="0"/>
              <w:jc w:val="center"/>
              <w:rPr>
                <w:rFonts w:eastAsia="Times New Roman" w:cs="Times New Roman"/>
                <w:i/>
                <w:iCs/>
                <w:color w:val="000000"/>
                <w:sz w:val="18"/>
                <w:szCs w:val="18"/>
                <w:lang w:eastAsia="ru-RU"/>
              </w:rPr>
            </w:pPr>
            <w:r w:rsidRPr="00322AE9">
              <w:rPr>
                <w:rFonts w:eastAsia="Times New Roman" w:cs="Times New Roman"/>
                <w:i/>
                <w:iCs/>
                <w:color w:val="000000"/>
                <w:sz w:val="18"/>
                <w:szCs w:val="18"/>
                <w:lang w:eastAsia="ru-RU"/>
              </w:rPr>
              <w:t>2,1</w:t>
            </w:r>
          </w:p>
        </w:tc>
        <w:tc>
          <w:tcPr>
            <w:tcW w:w="1119" w:type="dxa"/>
            <w:tcBorders>
              <w:top w:val="nil"/>
              <w:left w:val="nil"/>
              <w:bottom w:val="single" w:sz="4" w:space="0" w:color="auto"/>
              <w:right w:val="single" w:sz="4" w:space="0" w:color="auto"/>
            </w:tcBorders>
            <w:shd w:val="clear" w:color="auto" w:fill="auto"/>
            <w:vAlign w:val="center"/>
            <w:hideMark/>
          </w:tcPr>
          <w:p w14:paraId="0D309955" w14:textId="77777777" w:rsidR="00322AE9" w:rsidRPr="00322AE9" w:rsidRDefault="00322AE9" w:rsidP="00322AE9">
            <w:pPr>
              <w:ind w:firstLine="0"/>
              <w:jc w:val="center"/>
              <w:rPr>
                <w:rFonts w:eastAsia="Times New Roman" w:cs="Times New Roman"/>
                <w:b/>
                <w:bCs/>
                <w:i/>
                <w:iCs/>
                <w:color w:val="000000"/>
                <w:sz w:val="18"/>
                <w:szCs w:val="18"/>
                <w:lang w:eastAsia="ru-RU"/>
              </w:rPr>
            </w:pPr>
            <w:r w:rsidRPr="00322AE9">
              <w:rPr>
                <w:rFonts w:eastAsia="Times New Roman" w:cs="Times New Roman"/>
                <w:b/>
                <w:bCs/>
                <w:i/>
                <w:iCs/>
                <w:color w:val="000000"/>
                <w:sz w:val="18"/>
                <w:szCs w:val="18"/>
                <w:lang w:eastAsia="ru-RU"/>
              </w:rPr>
              <w:t>2,4</w:t>
            </w:r>
          </w:p>
        </w:tc>
        <w:tc>
          <w:tcPr>
            <w:tcW w:w="3149" w:type="dxa"/>
            <w:tcBorders>
              <w:top w:val="nil"/>
              <w:left w:val="nil"/>
              <w:bottom w:val="single" w:sz="4" w:space="0" w:color="auto"/>
              <w:right w:val="single" w:sz="4" w:space="0" w:color="auto"/>
            </w:tcBorders>
            <w:shd w:val="clear" w:color="FFFFFF" w:fill="FFFFFF"/>
            <w:hideMark/>
          </w:tcPr>
          <w:p w14:paraId="1C77062E" w14:textId="77777777" w:rsidR="00322AE9" w:rsidRPr="00322AE9" w:rsidRDefault="00322AE9" w:rsidP="00322AE9">
            <w:pPr>
              <w:ind w:firstLine="0"/>
              <w:jc w:val="left"/>
              <w:rPr>
                <w:rFonts w:eastAsia="Times New Roman" w:cs="Times New Roman"/>
                <w:i/>
                <w:iCs/>
                <w:color w:val="000000"/>
                <w:sz w:val="18"/>
                <w:szCs w:val="18"/>
                <w:lang w:eastAsia="ru-RU"/>
              </w:rPr>
            </w:pPr>
            <w:r w:rsidRPr="00322AE9">
              <w:rPr>
                <w:rFonts w:eastAsia="Times New Roman" w:cs="Times New Roman"/>
                <w:i/>
                <w:iCs/>
                <w:color w:val="000000"/>
                <w:sz w:val="18"/>
                <w:szCs w:val="18"/>
                <w:lang w:eastAsia="ru-RU"/>
              </w:rPr>
              <w:t>СП 54.13330-2016 Здания жилые многоквартирные</w:t>
            </w:r>
          </w:p>
        </w:tc>
      </w:tr>
      <w:tr w:rsidR="00322AE9" w:rsidRPr="00322AE9" w14:paraId="2B0646D5" w14:textId="77777777" w:rsidTr="00322AE9">
        <w:trPr>
          <w:trHeight w:val="1200"/>
          <w:jc w:val="center"/>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11277D20"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 </w:t>
            </w:r>
          </w:p>
        </w:tc>
        <w:tc>
          <w:tcPr>
            <w:tcW w:w="816" w:type="dxa"/>
            <w:tcBorders>
              <w:top w:val="nil"/>
              <w:left w:val="nil"/>
              <w:bottom w:val="single" w:sz="4" w:space="0" w:color="auto"/>
              <w:right w:val="single" w:sz="4" w:space="0" w:color="auto"/>
            </w:tcBorders>
            <w:shd w:val="clear" w:color="auto" w:fill="auto"/>
            <w:vAlign w:val="center"/>
            <w:hideMark/>
          </w:tcPr>
          <w:p w14:paraId="32F7E09C"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0104</w:t>
            </w:r>
          </w:p>
        </w:tc>
        <w:tc>
          <w:tcPr>
            <w:tcW w:w="2893" w:type="dxa"/>
            <w:tcBorders>
              <w:top w:val="nil"/>
              <w:left w:val="nil"/>
              <w:bottom w:val="single" w:sz="4" w:space="0" w:color="auto"/>
              <w:right w:val="single" w:sz="4" w:space="0" w:color="auto"/>
            </w:tcBorders>
            <w:shd w:val="clear" w:color="auto" w:fill="auto"/>
            <w:vAlign w:val="center"/>
            <w:hideMark/>
          </w:tcPr>
          <w:p w14:paraId="6A708C0C" w14:textId="77777777" w:rsidR="00322AE9" w:rsidRPr="00322AE9" w:rsidRDefault="00322AE9" w:rsidP="00322AE9">
            <w:pPr>
              <w:ind w:firstLine="0"/>
              <w:jc w:val="left"/>
              <w:rPr>
                <w:rFonts w:eastAsia="Times New Roman" w:cs="Times New Roman"/>
                <w:color w:val="000000"/>
                <w:sz w:val="20"/>
                <w:szCs w:val="20"/>
                <w:lang w:eastAsia="ru-RU"/>
              </w:rPr>
            </w:pPr>
            <w:r w:rsidRPr="00322AE9">
              <w:rPr>
                <w:rFonts w:eastAsia="Times New Roman" w:cs="Times New Roman"/>
                <w:color w:val="000000"/>
                <w:sz w:val="20"/>
                <w:szCs w:val="20"/>
                <w:lang w:eastAsia="ru-RU"/>
              </w:rPr>
              <w:t>Дома жилые повышенной комфортности со встроенными нежилыми помещениями)</w:t>
            </w:r>
          </w:p>
        </w:tc>
        <w:tc>
          <w:tcPr>
            <w:tcW w:w="855" w:type="dxa"/>
            <w:tcBorders>
              <w:top w:val="nil"/>
              <w:left w:val="nil"/>
              <w:bottom w:val="single" w:sz="4" w:space="0" w:color="auto"/>
              <w:right w:val="single" w:sz="4" w:space="0" w:color="auto"/>
            </w:tcBorders>
            <w:shd w:val="clear" w:color="FFFFFF" w:fill="FFFFFF"/>
            <w:vAlign w:val="center"/>
            <w:hideMark/>
          </w:tcPr>
          <w:p w14:paraId="7AB99E38"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 </w:t>
            </w:r>
          </w:p>
        </w:tc>
        <w:tc>
          <w:tcPr>
            <w:tcW w:w="793" w:type="dxa"/>
            <w:tcBorders>
              <w:top w:val="nil"/>
              <w:left w:val="nil"/>
              <w:bottom w:val="single" w:sz="4" w:space="0" w:color="auto"/>
              <w:right w:val="single" w:sz="4" w:space="0" w:color="auto"/>
            </w:tcBorders>
            <w:shd w:val="clear" w:color="FFFFFF" w:fill="FFFFFF"/>
            <w:vAlign w:val="center"/>
            <w:hideMark/>
          </w:tcPr>
          <w:p w14:paraId="3DF7BFD5"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2,7</w:t>
            </w:r>
          </w:p>
        </w:tc>
        <w:tc>
          <w:tcPr>
            <w:tcW w:w="992" w:type="dxa"/>
            <w:tcBorders>
              <w:top w:val="nil"/>
              <w:left w:val="nil"/>
              <w:bottom w:val="single" w:sz="4" w:space="0" w:color="auto"/>
              <w:right w:val="single" w:sz="4" w:space="0" w:color="auto"/>
            </w:tcBorders>
            <w:shd w:val="clear" w:color="auto" w:fill="auto"/>
            <w:vAlign w:val="center"/>
            <w:hideMark/>
          </w:tcPr>
          <w:p w14:paraId="64872106"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0,3</w:t>
            </w:r>
          </w:p>
        </w:tc>
        <w:tc>
          <w:tcPr>
            <w:tcW w:w="1030" w:type="dxa"/>
            <w:tcBorders>
              <w:top w:val="nil"/>
              <w:left w:val="nil"/>
              <w:bottom w:val="single" w:sz="4" w:space="0" w:color="auto"/>
              <w:right w:val="single" w:sz="4" w:space="0" w:color="auto"/>
            </w:tcBorders>
            <w:shd w:val="clear" w:color="auto" w:fill="auto"/>
            <w:vAlign w:val="center"/>
            <w:hideMark/>
          </w:tcPr>
          <w:p w14:paraId="2F0ACA6F"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3,0</w:t>
            </w:r>
          </w:p>
        </w:tc>
        <w:tc>
          <w:tcPr>
            <w:tcW w:w="1096" w:type="dxa"/>
            <w:tcBorders>
              <w:top w:val="nil"/>
              <w:left w:val="nil"/>
              <w:bottom w:val="single" w:sz="4" w:space="0" w:color="auto"/>
              <w:right w:val="single" w:sz="4" w:space="0" w:color="auto"/>
            </w:tcBorders>
            <w:shd w:val="clear" w:color="auto" w:fill="auto"/>
            <w:vAlign w:val="center"/>
            <w:hideMark/>
          </w:tcPr>
          <w:p w14:paraId="4C04C357"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1,6</w:t>
            </w:r>
          </w:p>
        </w:tc>
        <w:tc>
          <w:tcPr>
            <w:tcW w:w="1149" w:type="dxa"/>
            <w:tcBorders>
              <w:top w:val="nil"/>
              <w:left w:val="nil"/>
              <w:bottom w:val="single" w:sz="4" w:space="0" w:color="auto"/>
              <w:right w:val="single" w:sz="4" w:space="0" w:color="auto"/>
            </w:tcBorders>
            <w:shd w:val="clear" w:color="auto" w:fill="auto"/>
            <w:vAlign w:val="center"/>
            <w:hideMark/>
          </w:tcPr>
          <w:p w14:paraId="6DC6B13A"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2,1</w:t>
            </w:r>
          </w:p>
        </w:tc>
        <w:tc>
          <w:tcPr>
            <w:tcW w:w="1119" w:type="dxa"/>
            <w:tcBorders>
              <w:top w:val="nil"/>
              <w:left w:val="nil"/>
              <w:bottom w:val="single" w:sz="4" w:space="0" w:color="auto"/>
              <w:right w:val="single" w:sz="4" w:space="0" w:color="auto"/>
            </w:tcBorders>
            <w:shd w:val="clear" w:color="auto" w:fill="auto"/>
            <w:vAlign w:val="center"/>
            <w:hideMark/>
          </w:tcPr>
          <w:p w14:paraId="7A89E8FD"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2,4</w:t>
            </w:r>
          </w:p>
        </w:tc>
        <w:tc>
          <w:tcPr>
            <w:tcW w:w="3149" w:type="dxa"/>
            <w:tcBorders>
              <w:top w:val="nil"/>
              <w:left w:val="nil"/>
              <w:bottom w:val="single" w:sz="4" w:space="0" w:color="auto"/>
              <w:right w:val="single" w:sz="4" w:space="0" w:color="auto"/>
            </w:tcBorders>
            <w:shd w:val="clear" w:color="FFFFFF" w:fill="FFFFFF"/>
            <w:hideMark/>
          </w:tcPr>
          <w:p w14:paraId="17BC39E8" w14:textId="77777777" w:rsidR="00322AE9" w:rsidRPr="00322AE9" w:rsidRDefault="00322AE9" w:rsidP="00322AE9">
            <w:pPr>
              <w:ind w:firstLine="0"/>
              <w:jc w:val="left"/>
              <w:rPr>
                <w:rFonts w:eastAsia="Times New Roman" w:cs="Times New Roman"/>
                <w:color w:val="000000"/>
                <w:sz w:val="18"/>
                <w:szCs w:val="18"/>
                <w:lang w:eastAsia="ru-RU"/>
              </w:rPr>
            </w:pPr>
            <w:r w:rsidRPr="00322AE9">
              <w:rPr>
                <w:rFonts w:eastAsia="Times New Roman" w:cs="Times New Roman"/>
                <w:color w:val="000000"/>
                <w:sz w:val="18"/>
                <w:szCs w:val="18"/>
                <w:lang w:eastAsia="ru-RU"/>
              </w:rPr>
              <w:t>СП 54.13330-2016 Здания жилые многоквартирные; СП 42.13330.2011 «Градостроительство. Планировка и застройка городских и сельских поселений»; Единая методика классифицирования жилых новостроек по потребительскому качеству (классу)</w:t>
            </w:r>
          </w:p>
        </w:tc>
      </w:tr>
      <w:tr w:rsidR="00322AE9" w:rsidRPr="00322AE9" w14:paraId="1475FE0E" w14:textId="77777777" w:rsidTr="00322AE9">
        <w:trPr>
          <w:trHeight w:val="1200"/>
          <w:jc w:val="center"/>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2AD83325"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 </w:t>
            </w:r>
          </w:p>
        </w:tc>
        <w:tc>
          <w:tcPr>
            <w:tcW w:w="816" w:type="dxa"/>
            <w:tcBorders>
              <w:top w:val="nil"/>
              <w:left w:val="nil"/>
              <w:bottom w:val="single" w:sz="4" w:space="0" w:color="auto"/>
              <w:right w:val="single" w:sz="4" w:space="0" w:color="auto"/>
            </w:tcBorders>
            <w:shd w:val="clear" w:color="auto" w:fill="auto"/>
            <w:vAlign w:val="center"/>
            <w:hideMark/>
          </w:tcPr>
          <w:p w14:paraId="432EDD25"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0105</w:t>
            </w:r>
          </w:p>
        </w:tc>
        <w:tc>
          <w:tcPr>
            <w:tcW w:w="2893" w:type="dxa"/>
            <w:tcBorders>
              <w:top w:val="nil"/>
              <w:left w:val="nil"/>
              <w:bottom w:val="single" w:sz="4" w:space="0" w:color="auto"/>
              <w:right w:val="single" w:sz="4" w:space="0" w:color="auto"/>
            </w:tcBorders>
            <w:shd w:val="clear" w:color="auto" w:fill="auto"/>
            <w:vAlign w:val="center"/>
            <w:hideMark/>
          </w:tcPr>
          <w:p w14:paraId="77E6B1F3" w14:textId="77777777" w:rsidR="00322AE9" w:rsidRPr="00322AE9" w:rsidRDefault="00322AE9" w:rsidP="00322AE9">
            <w:pPr>
              <w:ind w:firstLine="0"/>
              <w:jc w:val="left"/>
              <w:rPr>
                <w:rFonts w:eastAsia="Times New Roman" w:cs="Times New Roman"/>
                <w:color w:val="000000"/>
                <w:sz w:val="20"/>
                <w:szCs w:val="20"/>
                <w:lang w:eastAsia="ru-RU"/>
              </w:rPr>
            </w:pPr>
            <w:r w:rsidRPr="00322AE9">
              <w:rPr>
                <w:rFonts w:eastAsia="Times New Roman" w:cs="Times New Roman"/>
                <w:color w:val="000000"/>
                <w:sz w:val="20"/>
                <w:szCs w:val="20"/>
                <w:lang w:eastAsia="ru-RU"/>
              </w:rPr>
              <w:t>Дома бизнес-класса и выше (дома с повышенными габаритами квартир, уровнем отделки и обслуживания, как правила, расположены в престижных районах застройки)</w:t>
            </w:r>
          </w:p>
        </w:tc>
        <w:tc>
          <w:tcPr>
            <w:tcW w:w="855" w:type="dxa"/>
            <w:tcBorders>
              <w:top w:val="nil"/>
              <w:left w:val="nil"/>
              <w:bottom w:val="single" w:sz="4" w:space="0" w:color="auto"/>
              <w:right w:val="single" w:sz="4" w:space="0" w:color="auto"/>
            </w:tcBorders>
            <w:shd w:val="clear" w:color="FFFFFF" w:fill="FFFFFF"/>
            <w:vAlign w:val="center"/>
            <w:hideMark/>
          </w:tcPr>
          <w:p w14:paraId="6845AB7D" w14:textId="77777777" w:rsidR="00322AE9" w:rsidRPr="00322AE9" w:rsidRDefault="00322AE9" w:rsidP="00322AE9">
            <w:pPr>
              <w:ind w:firstLine="0"/>
              <w:jc w:val="center"/>
              <w:rPr>
                <w:rFonts w:eastAsia="Times New Roman" w:cs="Times New Roman"/>
                <w:i/>
                <w:iCs/>
                <w:color w:val="000000"/>
                <w:sz w:val="18"/>
                <w:szCs w:val="18"/>
                <w:lang w:eastAsia="ru-RU"/>
              </w:rPr>
            </w:pPr>
            <w:r w:rsidRPr="00322AE9">
              <w:rPr>
                <w:rFonts w:eastAsia="Times New Roman" w:cs="Times New Roman"/>
                <w:i/>
                <w:iCs/>
                <w:color w:val="000000"/>
                <w:sz w:val="18"/>
                <w:szCs w:val="18"/>
                <w:lang w:eastAsia="ru-RU"/>
              </w:rPr>
              <w:t> </w:t>
            </w:r>
          </w:p>
        </w:tc>
        <w:tc>
          <w:tcPr>
            <w:tcW w:w="793" w:type="dxa"/>
            <w:tcBorders>
              <w:top w:val="nil"/>
              <w:left w:val="nil"/>
              <w:bottom w:val="single" w:sz="4" w:space="0" w:color="auto"/>
              <w:right w:val="single" w:sz="4" w:space="0" w:color="auto"/>
            </w:tcBorders>
            <w:shd w:val="clear" w:color="FFFFFF" w:fill="FFFFFF"/>
            <w:vAlign w:val="center"/>
            <w:hideMark/>
          </w:tcPr>
          <w:p w14:paraId="53D0D01F" w14:textId="77777777" w:rsidR="00322AE9" w:rsidRPr="00322AE9" w:rsidRDefault="00322AE9" w:rsidP="00322AE9">
            <w:pPr>
              <w:ind w:firstLine="0"/>
              <w:jc w:val="center"/>
              <w:rPr>
                <w:rFonts w:eastAsia="Times New Roman" w:cs="Times New Roman"/>
                <w:i/>
                <w:iCs/>
                <w:color w:val="000000"/>
                <w:sz w:val="18"/>
                <w:szCs w:val="18"/>
                <w:lang w:eastAsia="ru-RU"/>
              </w:rPr>
            </w:pPr>
            <w:r w:rsidRPr="00322AE9">
              <w:rPr>
                <w:rFonts w:eastAsia="Times New Roman" w:cs="Times New Roman"/>
                <w:i/>
                <w:iCs/>
                <w:color w:val="000000"/>
                <w:sz w:val="18"/>
                <w:szCs w:val="18"/>
                <w:lang w:eastAsia="ru-RU"/>
              </w:rPr>
              <w:t>3,0</w:t>
            </w:r>
          </w:p>
        </w:tc>
        <w:tc>
          <w:tcPr>
            <w:tcW w:w="992" w:type="dxa"/>
            <w:tcBorders>
              <w:top w:val="nil"/>
              <w:left w:val="nil"/>
              <w:bottom w:val="single" w:sz="4" w:space="0" w:color="auto"/>
              <w:right w:val="single" w:sz="4" w:space="0" w:color="auto"/>
            </w:tcBorders>
            <w:shd w:val="clear" w:color="auto" w:fill="auto"/>
            <w:vAlign w:val="center"/>
            <w:hideMark/>
          </w:tcPr>
          <w:p w14:paraId="0CCD1CD1" w14:textId="77777777" w:rsidR="00322AE9" w:rsidRPr="00322AE9" w:rsidRDefault="00322AE9" w:rsidP="00322AE9">
            <w:pPr>
              <w:ind w:firstLine="0"/>
              <w:jc w:val="center"/>
              <w:rPr>
                <w:rFonts w:eastAsia="Times New Roman" w:cs="Times New Roman"/>
                <w:i/>
                <w:iCs/>
                <w:color w:val="000000"/>
                <w:sz w:val="18"/>
                <w:szCs w:val="18"/>
                <w:lang w:eastAsia="ru-RU"/>
              </w:rPr>
            </w:pPr>
            <w:r w:rsidRPr="00322AE9">
              <w:rPr>
                <w:rFonts w:eastAsia="Times New Roman" w:cs="Times New Roman"/>
                <w:i/>
                <w:iCs/>
                <w:color w:val="000000"/>
                <w:sz w:val="18"/>
                <w:szCs w:val="18"/>
                <w:lang w:eastAsia="ru-RU"/>
              </w:rPr>
              <w:t>0,3</w:t>
            </w:r>
          </w:p>
        </w:tc>
        <w:tc>
          <w:tcPr>
            <w:tcW w:w="1030" w:type="dxa"/>
            <w:tcBorders>
              <w:top w:val="nil"/>
              <w:left w:val="nil"/>
              <w:bottom w:val="single" w:sz="4" w:space="0" w:color="auto"/>
              <w:right w:val="single" w:sz="4" w:space="0" w:color="auto"/>
            </w:tcBorders>
            <w:shd w:val="clear" w:color="auto" w:fill="auto"/>
            <w:vAlign w:val="center"/>
            <w:hideMark/>
          </w:tcPr>
          <w:p w14:paraId="33D73274" w14:textId="77777777" w:rsidR="00322AE9" w:rsidRPr="00322AE9" w:rsidRDefault="00322AE9" w:rsidP="00322AE9">
            <w:pPr>
              <w:ind w:firstLine="0"/>
              <w:jc w:val="center"/>
              <w:rPr>
                <w:rFonts w:eastAsia="Times New Roman" w:cs="Times New Roman"/>
                <w:b/>
                <w:bCs/>
                <w:i/>
                <w:iCs/>
                <w:color w:val="000000"/>
                <w:sz w:val="18"/>
                <w:szCs w:val="18"/>
                <w:lang w:eastAsia="ru-RU"/>
              </w:rPr>
            </w:pPr>
            <w:r w:rsidRPr="00322AE9">
              <w:rPr>
                <w:rFonts w:eastAsia="Times New Roman" w:cs="Times New Roman"/>
                <w:b/>
                <w:bCs/>
                <w:i/>
                <w:iCs/>
                <w:color w:val="000000"/>
                <w:sz w:val="18"/>
                <w:szCs w:val="18"/>
                <w:lang w:eastAsia="ru-RU"/>
              </w:rPr>
              <w:t>3,3</w:t>
            </w:r>
          </w:p>
        </w:tc>
        <w:tc>
          <w:tcPr>
            <w:tcW w:w="1096" w:type="dxa"/>
            <w:tcBorders>
              <w:top w:val="nil"/>
              <w:left w:val="nil"/>
              <w:bottom w:val="single" w:sz="4" w:space="0" w:color="auto"/>
              <w:right w:val="single" w:sz="4" w:space="0" w:color="auto"/>
            </w:tcBorders>
            <w:shd w:val="clear" w:color="auto" w:fill="auto"/>
            <w:vAlign w:val="center"/>
            <w:hideMark/>
          </w:tcPr>
          <w:p w14:paraId="61B74C47" w14:textId="77777777" w:rsidR="00322AE9" w:rsidRPr="00322AE9" w:rsidRDefault="00322AE9" w:rsidP="00322AE9">
            <w:pPr>
              <w:ind w:firstLine="0"/>
              <w:jc w:val="center"/>
              <w:rPr>
                <w:rFonts w:eastAsia="Times New Roman" w:cs="Times New Roman"/>
                <w:i/>
                <w:iCs/>
                <w:color w:val="000000"/>
                <w:sz w:val="18"/>
                <w:szCs w:val="18"/>
                <w:lang w:eastAsia="ru-RU"/>
              </w:rPr>
            </w:pPr>
            <w:r w:rsidRPr="00322AE9">
              <w:rPr>
                <w:rFonts w:eastAsia="Times New Roman" w:cs="Times New Roman"/>
                <w:i/>
                <w:iCs/>
                <w:color w:val="000000"/>
                <w:sz w:val="18"/>
                <w:szCs w:val="18"/>
                <w:lang w:eastAsia="ru-RU"/>
              </w:rPr>
              <w:t>1,6</w:t>
            </w:r>
          </w:p>
        </w:tc>
        <w:tc>
          <w:tcPr>
            <w:tcW w:w="1149" w:type="dxa"/>
            <w:tcBorders>
              <w:top w:val="nil"/>
              <w:left w:val="nil"/>
              <w:bottom w:val="single" w:sz="4" w:space="0" w:color="auto"/>
              <w:right w:val="single" w:sz="4" w:space="0" w:color="auto"/>
            </w:tcBorders>
            <w:shd w:val="clear" w:color="auto" w:fill="auto"/>
            <w:vAlign w:val="center"/>
            <w:hideMark/>
          </w:tcPr>
          <w:p w14:paraId="4FF62C37" w14:textId="77777777" w:rsidR="00322AE9" w:rsidRPr="00322AE9" w:rsidRDefault="00322AE9" w:rsidP="00322AE9">
            <w:pPr>
              <w:ind w:firstLine="0"/>
              <w:jc w:val="center"/>
              <w:rPr>
                <w:rFonts w:eastAsia="Times New Roman" w:cs="Times New Roman"/>
                <w:i/>
                <w:iCs/>
                <w:color w:val="000000"/>
                <w:sz w:val="18"/>
                <w:szCs w:val="18"/>
                <w:lang w:eastAsia="ru-RU"/>
              </w:rPr>
            </w:pPr>
            <w:r w:rsidRPr="00322AE9">
              <w:rPr>
                <w:rFonts w:eastAsia="Times New Roman" w:cs="Times New Roman"/>
                <w:i/>
                <w:iCs/>
                <w:color w:val="000000"/>
                <w:sz w:val="18"/>
                <w:szCs w:val="18"/>
                <w:lang w:eastAsia="ru-RU"/>
              </w:rPr>
              <w:t>2,1</w:t>
            </w:r>
          </w:p>
        </w:tc>
        <w:tc>
          <w:tcPr>
            <w:tcW w:w="1119" w:type="dxa"/>
            <w:tcBorders>
              <w:top w:val="nil"/>
              <w:left w:val="nil"/>
              <w:bottom w:val="single" w:sz="4" w:space="0" w:color="auto"/>
              <w:right w:val="single" w:sz="4" w:space="0" w:color="auto"/>
            </w:tcBorders>
            <w:shd w:val="clear" w:color="auto" w:fill="auto"/>
            <w:vAlign w:val="center"/>
            <w:hideMark/>
          </w:tcPr>
          <w:p w14:paraId="320B0D74" w14:textId="77777777" w:rsidR="00322AE9" w:rsidRPr="00322AE9" w:rsidRDefault="00322AE9" w:rsidP="00322AE9">
            <w:pPr>
              <w:ind w:firstLine="0"/>
              <w:jc w:val="center"/>
              <w:rPr>
                <w:rFonts w:eastAsia="Times New Roman" w:cs="Times New Roman"/>
                <w:b/>
                <w:bCs/>
                <w:i/>
                <w:iCs/>
                <w:color w:val="000000"/>
                <w:sz w:val="18"/>
                <w:szCs w:val="18"/>
                <w:lang w:eastAsia="ru-RU"/>
              </w:rPr>
            </w:pPr>
            <w:r w:rsidRPr="00322AE9">
              <w:rPr>
                <w:rFonts w:eastAsia="Times New Roman" w:cs="Times New Roman"/>
                <w:b/>
                <w:bCs/>
                <w:i/>
                <w:iCs/>
                <w:color w:val="000000"/>
                <w:sz w:val="18"/>
                <w:szCs w:val="18"/>
                <w:lang w:eastAsia="ru-RU"/>
              </w:rPr>
              <w:t>2,4</w:t>
            </w:r>
          </w:p>
        </w:tc>
        <w:tc>
          <w:tcPr>
            <w:tcW w:w="3149" w:type="dxa"/>
            <w:tcBorders>
              <w:top w:val="nil"/>
              <w:left w:val="nil"/>
              <w:bottom w:val="single" w:sz="4" w:space="0" w:color="auto"/>
              <w:right w:val="single" w:sz="4" w:space="0" w:color="auto"/>
            </w:tcBorders>
            <w:shd w:val="clear" w:color="FFFFFF" w:fill="FFFFFF"/>
            <w:hideMark/>
          </w:tcPr>
          <w:p w14:paraId="6D0FDBF4" w14:textId="77777777" w:rsidR="00322AE9" w:rsidRPr="00322AE9" w:rsidRDefault="00322AE9" w:rsidP="00322AE9">
            <w:pPr>
              <w:ind w:firstLine="0"/>
              <w:jc w:val="left"/>
              <w:rPr>
                <w:rFonts w:eastAsia="Times New Roman" w:cs="Times New Roman"/>
                <w:i/>
                <w:iCs/>
                <w:color w:val="000000"/>
                <w:sz w:val="18"/>
                <w:szCs w:val="18"/>
                <w:lang w:eastAsia="ru-RU"/>
              </w:rPr>
            </w:pPr>
            <w:r w:rsidRPr="00322AE9">
              <w:rPr>
                <w:rFonts w:eastAsia="Times New Roman" w:cs="Times New Roman"/>
                <w:i/>
                <w:iCs/>
                <w:color w:val="000000"/>
                <w:sz w:val="18"/>
                <w:szCs w:val="18"/>
                <w:lang w:eastAsia="ru-RU"/>
              </w:rPr>
              <w:t>СП 54.13330-2016 Здания жилые многоквартирные; СП 42.13330.2011 «Градостроительство. Планировка и застройка городских и сельских поселений»; Единая методика классифицирования жилых новостроек по потребительскому качеству (классу)</w:t>
            </w:r>
          </w:p>
        </w:tc>
      </w:tr>
      <w:tr w:rsidR="00322AE9" w:rsidRPr="00322AE9" w14:paraId="0C87F5C6" w14:textId="77777777" w:rsidTr="00322AE9">
        <w:trPr>
          <w:trHeight w:val="1200"/>
          <w:jc w:val="center"/>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0DA00D78"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 </w:t>
            </w:r>
          </w:p>
        </w:tc>
        <w:tc>
          <w:tcPr>
            <w:tcW w:w="816" w:type="dxa"/>
            <w:tcBorders>
              <w:top w:val="nil"/>
              <w:left w:val="nil"/>
              <w:bottom w:val="single" w:sz="4" w:space="0" w:color="auto"/>
              <w:right w:val="single" w:sz="4" w:space="0" w:color="auto"/>
            </w:tcBorders>
            <w:shd w:val="clear" w:color="auto" w:fill="auto"/>
            <w:vAlign w:val="center"/>
            <w:hideMark/>
          </w:tcPr>
          <w:p w14:paraId="503178C7"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0106</w:t>
            </w:r>
          </w:p>
        </w:tc>
        <w:tc>
          <w:tcPr>
            <w:tcW w:w="2893" w:type="dxa"/>
            <w:tcBorders>
              <w:top w:val="nil"/>
              <w:left w:val="nil"/>
              <w:bottom w:val="single" w:sz="4" w:space="0" w:color="auto"/>
              <w:right w:val="single" w:sz="4" w:space="0" w:color="auto"/>
            </w:tcBorders>
            <w:shd w:val="clear" w:color="auto" w:fill="auto"/>
            <w:vAlign w:val="center"/>
            <w:hideMark/>
          </w:tcPr>
          <w:p w14:paraId="14F34F60" w14:textId="77777777" w:rsidR="00322AE9" w:rsidRPr="00322AE9" w:rsidRDefault="00322AE9" w:rsidP="00322AE9">
            <w:pPr>
              <w:ind w:firstLine="0"/>
              <w:jc w:val="left"/>
              <w:rPr>
                <w:rFonts w:eastAsia="Times New Roman" w:cs="Times New Roman"/>
                <w:color w:val="000000"/>
                <w:sz w:val="20"/>
                <w:szCs w:val="20"/>
                <w:lang w:eastAsia="ru-RU"/>
              </w:rPr>
            </w:pPr>
            <w:r w:rsidRPr="00322AE9">
              <w:rPr>
                <w:rFonts w:eastAsia="Times New Roman" w:cs="Times New Roman"/>
                <w:color w:val="000000"/>
                <w:sz w:val="20"/>
                <w:szCs w:val="20"/>
                <w:lang w:eastAsia="ru-RU"/>
              </w:rPr>
              <w:t>Дома бизнес-класса и выше со встроенными нежилыми помещениями</w:t>
            </w:r>
          </w:p>
        </w:tc>
        <w:tc>
          <w:tcPr>
            <w:tcW w:w="855" w:type="dxa"/>
            <w:tcBorders>
              <w:top w:val="nil"/>
              <w:left w:val="nil"/>
              <w:bottom w:val="single" w:sz="4" w:space="0" w:color="auto"/>
              <w:right w:val="single" w:sz="4" w:space="0" w:color="auto"/>
            </w:tcBorders>
            <w:shd w:val="clear" w:color="FFFFFF" w:fill="FFFFFF"/>
            <w:vAlign w:val="center"/>
            <w:hideMark/>
          </w:tcPr>
          <w:p w14:paraId="5538CAA0"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 </w:t>
            </w:r>
          </w:p>
        </w:tc>
        <w:tc>
          <w:tcPr>
            <w:tcW w:w="793" w:type="dxa"/>
            <w:tcBorders>
              <w:top w:val="nil"/>
              <w:left w:val="nil"/>
              <w:bottom w:val="single" w:sz="4" w:space="0" w:color="auto"/>
              <w:right w:val="single" w:sz="4" w:space="0" w:color="auto"/>
            </w:tcBorders>
            <w:shd w:val="clear" w:color="FFFFFF" w:fill="FFFFFF"/>
            <w:vAlign w:val="center"/>
            <w:hideMark/>
          </w:tcPr>
          <w:p w14:paraId="7EC2312A"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3,0</w:t>
            </w:r>
          </w:p>
        </w:tc>
        <w:tc>
          <w:tcPr>
            <w:tcW w:w="992" w:type="dxa"/>
            <w:tcBorders>
              <w:top w:val="nil"/>
              <w:left w:val="nil"/>
              <w:bottom w:val="single" w:sz="4" w:space="0" w:color="auto"/>
              <w:right w:val="single" w:sz="4" w:space="0" w:color="auto"/>
            </w:tcBorders>
            <w:shd w:val="clear" w:color="auto" w:fill="auto"/>
            <w:vAlign w:val="center"/>
            <w:hideMark/>
          </w:tcPr>
          <w:p w14:paraId="7AE51EAD"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0,3</w:t>
            </w:r>
          </w:p>
        </w:tc>
        <w:tc>
          <w:tcPr>
            <w:tcW w:w="1030" w:type="dxa"/>
            <w:tcBorders>
              <w:top w:val="nil"/>
              <w:left w:val="nil"/>
              <w:bottom w:val="single" w:sz="4" w:space="0" w:color="auto"/>
              <w:right w:val="single" w:sz="4" w:space="0" w:color="auto"/>
            </w:tcBorders>
            <w:shd w:val="clear" w:color="auto" w:fill="auto"/>
            <w:vAlign w:val="center"/>
            <w:hideMark/>
          </w:tcPr>
          <w:p w14:paraId="42D6CDF4"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3,3</w:t>
            </w:r>
          </w:p>
        </w:tc>
        <w:tc>
          <w:tcPr>
            <w:tcW w:w="1096" w:type="dxa"/>
            <w:tcBorders>
              <w:top w:val="nil"/>
              <w:left w:val="nil"/>
              <w:bottom w:val="single" w:sz="4" w:space="0" w:color="auto"/>
              <w:right w:val="single" w:sz="4" w:space="0" w:color="auto"/>
            </w:tcBorders>
            <w:shd w:val="clear" w:color="auto" w:fill="auto"/>
            <w:vAlign w:val="center"/>
            <w:hideMark/>
          </w:tcPr>
          <w:p w14:paraId="45A7F443"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1,6</w:t>
            </w:r>
          </w:p>
        </w:tc>
        <w:tc>
          <w:tcPr>
            <w:tcW w:w="1149" w:type="dxa"/>
            <w:tcBorders>
              <w:top w:val="nil"/>
              <w:left w:val="nil"/>
              <w:bottom w:val="single" w:sz="4" w:space="0" w:color="auto"/>
              <w:right w:val="single" w:sz="4" w:space="0" w:color="auto"/>
            </w:tcBorders>
            <w:shd w:val="clear" w:color="auto" w:fill="auto"/>
            <w:vAlign w:val="center"/>
            <w:hideMark/>
          </w:tcPr>
          <w:p w14:paraId="57529A63"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2,1</w:t>
            </w:r>
          </w:p>
        </w:tc>
        <w:tc>
          <w:tcPr>
            <w:tcW w:w="1119" w:type="dxa"/>
            <w:tcBorders>
              <w:top w:val="nil"/>
              <w:left w:val="nil"/>
              <w:bottom w:val="single" w:sz="4" w:space="0" w:color="auto"/>
              <w:right w:val="single" w:sz="4" w:space="0" w:color="auto"/>
            </w:tcBorders>
            <w:shd w:val="clear" w:color="auto" w:fill="auto"/>
            <w:vAlign w:val="center"/>
            <w:hideMark/>
          </w:tcPr>
          <w:p w14:paraId="16F99EF6"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2,4</w:t>
            </w:r>
          </w:p>
        </w:tc>
        <w:tc>
          <w:tcPr>
            <w:tcW w:w="3149" w:type="dxa"/>
            <w:tcBorders>
              <w:top w:val="nil"/>
              <w:left w:val="nil"/>
              <w:bottom w:val="single" w:sz="4" w:space="0" w:color="auto"/>
              <w:right w:val="single" w:sz="4" w:space="0" w:color="auto"/>
            </w:tcBorders>
            <w:shd w:val="clear" w:color="FFFFFF" w:fill="FFFFFF"/>
            <w:hideMark/>
          </w:tcPr>
          <w:p w14:paraId="0153F26D" w14:textId="77777777" w:rsidR="00322AE9" w:rsidRPr="00322AE9" w:rsidRDefault="00322AE9" w:rsidP="00322AE9">
            <w:pPr>
              <w:ind w:firstLine="0"/>
              <w:jc w:val="left"/>
              <w:rPr>
                <w:rFonts w:eastAsia="Times New Roman" w:cs="Times New Roman"/>
                <w:color w:val="000000"/>
                <w:sz w:val="18"/>
                <w:szCs w:val="18"/>
                <w:lang w:eastAsia="ru-RU"/>
              </w:rPr>
            </w:pPr>
            <w:r w:rsidRPr="00322AE9">
              <w:rPr>
                <w:rFonts w:eastAsia="Times New Roman" w:cs="Times New Roman"/>
                <w:color w:val="000000"/>
                <w:sz w:val="18"/>
                <w:szCs w:val="18"/>
                <w:lang w:eastAsia="ru-RU"/>
              </w:rPr>
              <w:t>СП 54.13330-2016 Здания жилые многоквартирные; СП 42.13330.2011 «Градостроительство. Планировка и застройка городских и сельских поселений»; Единая методика классифицирования жилых новостроек по потребительскому качеству (классу)</w:t>
            </w:r>
          </w:p>
        </w:tc>
      </w:tr>
      <w:tr w:rsidR="00322AE9" w:rsidRPr="00322AE9" w14:paraId="10B3BDC9" w14:textId="77777777" w:rsidTr="00322AE9">
        <w:trPr>
          <w:trHeight w:val="1530"/>
          <w:jc w:val="center"/>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56EC6CEB" w14:textId="77777777" w:rsidR="00322AE9" w:rsidRPr="00322AE9" w:rsidRDefault="00322AE9" w:rsidP="00322AE9">
            <w:pPr>
              <w:ind w:firstLine="0"/>
              <w:jc w:val="center"/>
              <w:rPr>
                <w:rFonts w:eastAsia="Times New Roman" w:cs="Times New Roman"/>
                <w:b/>
                <w:bCs/>
                <w:color w:val="000000"/>
                <w:sz w:val="20"/>
                <w:szCs w:val="20"/>
                <w:lang w:eastAsia="ru-RU"/>
              </w:rPr>
            </w:pPr>
            <w:r w:rsidRPr="00322AE9">
              <w:rPr>
                <w:rFonts w:eastAsia="Times New Roman" w:cs="Times New Roman"/>
                <w:b/>
                <w:bCs/>
                <w:color w:val="000000"/>
                <w:sz w:val="20"/>
                <w:szCs w:val="20"/>
                <w:lang w:eastAsia="ru-RU"/>
              </w:rPr>
              <w:t>02</w:t>
            </w:r>
          </w:p>
        </w:tc>
        <w:tc>
          <w:tcPr>
            <w:tcW w:w="816" w:type="dxa"/>
            <w:tcBorders>
              <w:top w:val="nil"/>
              <w:left w:val="nil"/>
              <w:bottom w:val="single" w:sz="4" w:space="0" w:color="auto"/>
              <w:right w:val="single" w:sz="4" w:space="0" w:color="auto"/>
            </w:tcBorders>
            <w:shd w:val="clear" w:color="auto" w:fill="auto"/>
            <w:vAlign w:val="center"/>
            <w:hideMark/>
          </w:tcPr>
          <w:p w14:paraId="471B5D5B" w14:textId="77777777" w:rsidR="00322AE9" w:rsidRPr="00322AE9" w:rsidRDefault="00322AE9" w:rsidP="00322AE9">
            <w:pPr>
              <w:ind w:firstLine="0"/>
              <w:jc w:val="center"/>
              <w:rPr>
                <w:rFonts w:eastAsia="Times New Roman" w:cs="Times New Roman"/>
                <w:b/>
                <w:bCs/>
                <w:color w:val="000000"/>
                <w:sz w:val="20"/>
                <w:szCs w:val="20"/>
                <w:lang w:eastAsia="ru-RU"/>
              </w:rPr>
            </w:pPr>
            <w:r w:rsidRPr="00322AE9">
              <w:rPr>
                <w:rFonts w:eastAsia="Times New Roman" w:cs="Times New Roman"/>
                <w:b/>
                <w:bCs/>
                <w:color w:val="000000"/>
                <w:sz w:val="20"/>
                <w:szCs w:val="20"/>
                <w:lang w:eastAsia="ru-RU"/>
              </w:rPr>
              <w:t>0200</w:t>
            </w:r>
          </w:p>
        </w:tc>
        <w:tc>
          <w:tcPr>
            <w:tcW w:w="2893" w:type="dxa"/>
            <w:tcBorders>
              <w:top w:val="nil"/>
              <w:left w:val="nil"/>
              <w:bottom w:val="single" w:sz="4" w:space="0" w:color="auto"/>
              <w:right w:val="single" w:sz="4" w:space="0" w:color="auto"/>
            </w:tcBorders>
            <w:shd w:val="clear" w:color="auto" w:fill="auto"/>
            <w:vAlign w:val="center"/>
            <w:hideMark/>
          </w:tcPr>
          <w:p w14:paraId="7FD95674" w14:textId="77777777" w:rsidR="00322AE9" w:rsidRPr="00322AE9" w:rsidRDefault="00322AE9" w:rsidP="00322AE9">
            <w:pPr>
              <w:ind w:firstLine="0"/>
              <w:jc w:val="left"/>
              <w:rPr>
                <w:rFonts w:eastAsia="Times New Roman" w:cs="Times New Roman"/>
                <w:b/>
                <w:bCs/>
                <w:color w:val="000000"/>
                <w:sz w:val="20"/>
                <w:szCs w:val="20"/>
                <w:lang w:eastAsia="ru-RU"/>
              </w:rPr>
            </w:pPr>
            <w:r w:rsidRPr="00322AE9">
              <w:rPr>
                <w:rFonts w:eastAsia="Times New Roman" w:cs="Times New Roman"/>
                <w:b/>
                <w:bCs/>
                <w:color w:val="000000"/>
                <w:sz w:val="20"/>
                <w:szCs w:val="20"/>
                <w:lang w:eastAsia="ru-RU"/>
              </w:rPr>
              <w:t>Группа 2. Дома малоэтажной  жилой застройки, в том числе индивидуальной жилой застройки, в том числе индивидуальной жилой застройки - индивидуальные, малоэтажные блокированные (таунхаусы), дачных объединений, садоводческих товариществ</w:t>
            </w:r>
          </w:p>
        </w:tc>
        <w:tc>
          <w:tcPr>
            <w:tcW w:w="855" w:type="dxa"/>
            <w:tcBorders>
              <w:top w:val="nil"/>
              <w:left w:val="nil"/>
              <w:bottom w:val="single" w:sz="4" w:space="0" w:color="auto"/>
              <w:right w:val="single" w:sz="4" w:space="0" w:color="auto"/>
            </w:tcBorders>
            <w:shd w:val="clear" w:color="FFFFFF" w:fill="FFFFFF"/>
            <w:vAlign w:val="center"/>
            <w:hideMark/>
          </w:tcPr>
          <w:p w14:paraId="4FD69DA5" w14:textId="77777777" w:rsidR="00322AE9" w:rsidRPr="00322AE9" w:rsidRDefault="00322AE9" w:rsidP="00322AE9">
            <w:pPr>
              <w:ind w:firstLine="0"/>
              <w:jc w:val="left"/>
              <w:rPr>
                <w:rFonts w:eastAsia="Times New Roman" w:cs="Times New Roman"/>
                <w:i/>
                <w:iCs/>
                <w:color w:val="000000"/>
                <w:sz w:val="18"/>
                <w:szCs w:val="18"/>
                <w:u w:val="single"/>
                <w:lang w:eastAsia="ru-RU"/>
              </w:rPr>
            </w:pPr>
            <w:r w:rsidRPr="00322AE9">
              <w:rPr>
                <w:rFonts w:eastAsia="Times New Roman" w:cs="Times New Roman"/>
                <w:i/>
                <w:iCs/>
                <w:color w:val="000000"/>
                <w:sz w:val="18"/>
                <w:szCs w:val="18"/>
                <w:u w:val="single"/>
                <w:lang w:eastAsia="ru-RU"/>
              </w:rPr>
              <w:t> </w:t>
            </w:r>
          </w:p>
        </w:tc>
        <w:tc>
          <w:tcPr>
            <w:tcW w:w="793" w:type="dxa"/>
            <w:tcBorders>
              <w:top w:val="nil"/>
              <w:left w:val="nil"/>
              <w:bottom w:val="single" w:sz="4" w:space="0" w:color="auto"/>
              <w:right w:val="single" w:sz="4" w:space="0" w:color="auto"/>
            </w:tcBorders>
            <w:shd w:val="clear" w:color="auto" w:fill="auto"/>
            <w:vAlign w:val="center"/>
            <w:hideMark/>
          </w:tcPr>
          <w:p w14:paraId="776AA65E"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2,5</w:t>
            </w:r>
          </w:p>
        </w:tc>
        <w:tc>
          <w:tcPr>
            <w:tcW w:w="992" w:type="dxa"/>
            <w:tcBorders>
              <w:top w:val="nil"/>
              <w:left w:val="nil"/>
              <w:bottom w:val="single" w:sz="4" w:space="0" w:color="auto"/>
              <w:right w:val="single" w:sz="4" w:space="0" w:color="auto"/>
            </w:tcBorders>
            <w:shd w:val="clear" w:color="auto" w:fill="auto"/>
            <w:vAlign w:val="center"/>
            <w:hideMark/>
          </w:tcPr>
          <w:p w14:paraId="517D65C6"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0,3</w:t>
            </w:r>
          </w:p>
        </w:tc>
        <w:tc>
          <w:tcPr>
            <w:tcW w:w="1030" w:type="dxa"/>
            <w:tcBorders>
              <w:top w:val="nil"/>
              <w:left w:val="nil"/>
              <w:bottom w:val="single" w:sz="4" w:space="0" w:color="auto"/>
              <w:right w:val="single" w:sz="4" w:space="0" w:color="auto"/>
            </w:tcBorders>
            <w:shd w:val="clear" w:color="auto" w:fill="auto"/>
            <w:vAlign w:val="center"/>
            <w:hideMark/>
          </w:tcPr>
          <w:p w14:paraId="52B6400F"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2,8</w:t>
            </w:r>
          </w:p>
        </w:tc>
        <w:tc>
          <w:tcPr>
            <w:tcW w:w="1096" w:type="dxa"/>
            <w:tcBorders>
              <w:top w:val="nil"/>
              <w:left w:val="nil"/>
              <w:bottom w:val="single" w:sz="4" w:space="0" w:color="auto"/>
              <w:right w:val="single" w:sz="4" w:space="0" w:color="auto"/>
            </w:tcBorders>
            <w:shd w:val="clear" w:color="auto" w:fill="auto"/>
            <w:vAlign w:val="center"/>
            <w:hideMark/>
          </w:tcPr>
          <w:p w14:paraId="34C46534"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1,6</w:t>
            </w:r>
          </w:p>
        </w:tc>
        <w:tc>
          <w:tcPr>
            <w:tcW w:w="1149" w:type="dxa"/>
            <w:tcBorders>
              <w:top w:val="nil"/>
              <w:left w:val="nil"/>
              <w:bottom w:val="single" w:sz="4" w:space="0" w:color="auto"/>
              <w:right w:val="single" w:sz="4" w:space="0" w:color="auto"/>
            </w:tcBorders>
            <w:shd w:val="clear" w:color="auto" w:fill="auto"/>
            <w:vAlign w:val="center"/>
            <w:hideMark/>
          </w:tcPr>
          <w:p w14:paraId="6D6B48FD"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2,1</w:t>
            </w:r>
          </w:p>
        </w:tc>
        <w:tc>
          <w:tcPr>
            <w:tcW w:w="1119" w:type="dxa"/>
            <w:tcBorders>
              <w:top w:val="nil"/>
              <w:left w:val="nil"/>
              <w:bottom w:val="single" w:sz="4" w:space="0" w:color="auto"/>
              <w:right w:val="single" w:sz="4" w:space="0" w:color="auto"/>
            </w:tcBorders>
            <w:shd w:val="clear" w:color="auto" w:fill="auto"/>
            <w:vAlign w:val="center"/>
            <w:hideMark/>
          </w:tcPr>
          <w:p w14:paraId="47DC0E97"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2,4</w:t>
            </w:r>
          </w:p>
        </w:tc>
        <w:tc>
          <w:tcPr>
            <w:tcW w:w="3149" w:type="dxa"/>
            <w:tcBorders>
              <w:top w:val="nil"/>
              <w:left w:val="nil"/>
              <w:bottom w:val="single" w:sz="4" w:space="0" w:color="auto"/>
              <w:right w:val="single" w:sz="4" w:space="0" w:color="auto"/>
            </w:tcBorders>
            <w:shd w:val="clear" w:color="auto" w:fill="auto"/>
            <w:hideMark/>
          </w:tcPr>
          <w:p w14:paraId="60289A49" w14:textId="77777777" w:rsidR="00322AE9" w:rsidRPr="00322AE9" w:rsidRDefault="00322AE9" w:rsidP="00322AE9">
            <w:pPr>
              <w:ind w:firstLine="0"/>
              <w:jc w:val="left"/>
              <w:rPr>
                <w:rFonts w:eastAsia="Times New Roman" w:cs="Times New Roman"/>
                <w:color w:val="000000"/>
                <w:sz w:val="18"/>
                <w:szCs w:val="18"/>
                <w:lang w:eastAsia="ru-RU"/>
              </w:rPr>
            </w:pPr>
            <w:r w:rsidRPr="00322AE9">
              <w:rPr>
                <w:rFonts w:eastAsia="Times New Roman" w:cs="Times New Roman"/>
                <w:color w:val="000000"/>
                <w:sz w:val="18"/>
                <w:szCs w:val="18"/>
                <w:lang w:eastAsia="ru-RU"/>
              </w:rPr>
              <w:t> </w:t>
            </w:r>
          </w:p>
        </w:tc>
      </w:tr>
      <w:tr w:rsidR="00322AE9" w:rsidRPr="00322AE9" w14:paraId="3399FE5A" w14:textId="77777777" w:rsidTr="00322AE9">
        <w:trPr>
          <w:trHeight w:val="300"/>
          <w:jc w:val="center"/>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5A8484A3"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 </w:t>
            </w:r>
          </w:p>
        </w:tc>
        <w:tc>
          <w:tcPr>
            <w:tcW w:w="816" w:type="dxa"/>
            <w:tcBorders>
              <w:top w:val="nil"/>
              <w:left w:val="nil"/>
              <w:bottom w:val="single" w:sz="4" w:space="0" w:color="auto"/>
              <w:right w:val="single" w:sz="4" w:space="0" w:color="auto"/>
            </w:tcBorders>
            <w:shd w:val="clear" w:color="auto" w:fill="auto"/>
            <w:vAlign w:val="center"/>
            <w:hideMark/>
          </w:tcPr>
          <w:p w14:paraId="28E13908"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0201</w:t>
            </w:r>
          </w:p>
        </w:tc>
        <w:tc>
          <w:tcPr>
            <w:tcW w:w="2893" w:type="dxa"/>
            <w:tcBorders>
              <w:top w:val="nil"/>
              <w:left w:val="nil"/>
              <w:bottom w:val="single" w:sz="4" w:space="0" w:color="auto"/>
              <w:right w:val="single" w:sz="4" w:space="0" w:color="auto"/>
            </w:tcBorders>
            <w:shd w:val="clear" w:color="auto" w:fill="auto"/>
            <w:vAlign w:val="center"/>
            <w:hideMark/>
          </w:tcPr>
          <w:p w14:paraId="6355BD3F" w14:textId="77777777" w:rsidR="00322AE9" w:rsidRPr="00322AE9" w:rsidRDefault="00322AE9" w:rsidP="00322AE9">
            <w:pPr>
              <w:ind w:firstLine="0"/>
              <w:jc w:val="left"/>
              <w:rPr>
                <w:rFonts w:eastAsia="Times New Roman" w:cs="Times New Roman"/>
                <w:color w:val="000000"/>
                <w:sz w:val="20"/>
                <w:szCs w:val="20"/>
                <w:lang w:eastAsia="ru-RU"/>
              </w:rPr>
            </w:pPr>
            <w:r w:rsidRPr="00322AE9">
              <w:rPr>
                <w:rFonts w:eastAsia="Times New Roman" w:cs="Times New Roman"/>
                <w:color w:val="000000"/>
                <w:sz w:val="20"/>
                <w:szCs w:val="20"/>
                <w:lang w:eastAsia="ru-RU"/>
              </w:rPr>
              <w:t>Дома жилые блокированной застройки (таунхаусы)</w:t>
            </w:r>
          </w:p>
        </w:tc>
        <w:tc>
          <w:tcPr>
            <w:tcW w:w="855" w:type="dxa"/>
            <w:tcBorders>
              <w:top w:val="nil"/>
              <w:left w:val="nil"/>
              <w:bottom w:val="single" w:sz="4" w:space="0" w:color="auto"/>
              <w:right w:val="single" w:sz="4" w:space="0" w:color="auto"/>
            </w:tcBorders>
            <w:shd w:val="clear" w:color="FFFFFF" w:fill="FFFFFF"/>
            <w:vAlign w:val="center"/>
            <w:hideMark/>
          </w:tcPr>
          <w:p w14:paraId="6B4A15D1"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 </w:t>
            </w:r>
          </w:p>
        </w:tc>
        <w:tc>
          <w:tcPr>
            <w:tcW w:w="793" w:type="dxa"/>
            <w:tcBorders>
              <w:top w:val="nil"/>
              <w:left w:val="nil"/>
              <w:bottom w:val="single" w:sz="4" w:space="0" w:color="auto"/>
              <w:right w:val="single" w:sz="4" w:space="0" w:color="auto"/>
            </w:tcBorders>
            <w:shd w:val="clear" w:color="auto" w:fill="auto"/>
            <w:vAlign w:val="center"/>
            <w:hideMark/>
          </w:tcPr>
          <w:p w14:paraId="1433DD67"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2,7</w:t>
            </w:r>
          </w:p>
        </w:tc>
        <w:tc>
          <w:tcPr>
            <w:tcW w:w="992" w:type="dxa"/>
            <w:tcBorders>
              <w:top w:val="nil"/>
              <w:left w:val="nil"/>
              <w:bottom w:val="single" w:sz="4" w:space="0" w:color="auto"/>
              <w:right w:val="single" w:sz="4" w:space="0" w:color="auto"/>
            </w:tcBorders>
            <w:shd w:val="clear" w:color="auto" w:fill="auto"/>
            <w:vAlign w:val="center"/>
            <w:hideMark/>
          </w:tcPr>
          <w:p w14:paraId="24C1703E"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0,3</w:t>
            </w:r>
          </w:p>
        </w:tc>
        <w:tc>
          <w:tcPr>
            <w:tcW w:w="1030" w:type="dxa"/>
            <w:tcBorders>
              <w:top w:val="nil"/>
              <w:left w:val="nil"/>
              <w:bottom w:val="single" w:sz="4" w:space="0" w:color="auto"/>
              <w:right w:val="single" w:sz="4" w:space="0" w:color="auto"/>
            </w:tcBorders>
            <w:shd w:val="clear" w:color="auto" w:fill="auto"/>
            <w:vAlign w:val="center"/>
            <w:hideMark/>
          </w:tcPr>
          <w:p w14:paraId="2BFBBA5D"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3</w:t>
            </w:r>
          </w:p>
        </w:tc>
        <w:tc>
          <w:tcPr>
            <w:tcW w:w="1096" w:type="dxa"/>
            <w:tcBorders>
              <w:top w:val="nil"/>
              <w:left w:val="nil"/>
              <w:bottom w:val="single" w:sz="4" w:space="0" w:color="auto"/>
              <w:right w:val="single" w:sz="4" w:space="0" w:color="auto"/>
            </w:tcBorders>
            <w:shd w:val="clear" w:color="auto" w:fill="auto"/>
            <w:vAlign w:val="center"/>
            <w:hideMark/>
          </w:tcPr>
          <w:p w14:paraId="73295255"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1,6</w:t>
            </w:r>
          </w:p>
        </w:tc>
        <w:tc>
          <w:tcPr>
            <w:tcW w:w="1149" w:type="dxa"/>
            <w:tcBorders>
              <w:top w:val="nil"/>
              <w:left w:val="nil"/>
              <w:bottom w:val="single" w:sz="4" w:space="0" w:color="auto"/>
              <w:right w:val="single" w:sz="4" w:space="0" w:color="auto"/>
            </w:tcBorders>
            <w:shd w:val="clear" w:color="auto" w:fill="auto"/>
            <w:vAlign w:val="center"/>
            <w:hideMark/>
          </w:tcPr>
          <w:p w14:paraId="13486AD6"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2,1</w:t>
            </w:r>
          </w:p>
        </w:tc>
        <w:tc>
          <w:tcPr>
            <w:tcW w:w="1119" w:type="dxa"/>
            <w:tcBorders>
              <w:top w:val="nil"/>
              <w:left w:val="nil"/>
              <w:bottom w:val="single" w:sz="4" w:space="0" w:color="auto"/>
              <w:right w:val="single" w:sz="4" w:space="0" w:color="auto"/>
            </w:tcBorders>
            <w:shd w:val="clear" w:color="auto" w:fill="auto"/>
            <w:vAlign w:val="center"/>
            <w:hideMark/>
          </w:tcPr>
          <w:p w14:paraId="5C375334"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2,4</w:t>
            </w:r>
          </w:p>
        </w:tc>
        <w:tc>
          <w:tcPr>
            <w:tcW w:w="3149" w:type="dxa"/>
            <w:tcBorders>
              <w:top w:val="nil"/>
              <w:left w:val="nil"/>
              <w:bottom w:val="single" w:sz="4" w:space="0" w:color="auto"/>
              <w:right w:val="single" w:sz="4" w:space="0" w:color="auto"/>
            </w:tcBorders>
            <w:shd w:val="clear" w:color="auto" w:fill="auto"/>
            <w:hideMark/>
          </w:tcPr>
          <w:p w14:paraId="517FEC53" w14:textId="77777777" w:rsidR="00322AE9" w:rsidRPr="00322AE9" w:rsidRDefault="00322AE9" w:rsidP="00322AE9">
            <w:pPr>
              <w:ind w:firstLine="0"/>
              <w:jc w:val="left"/>
              <w:rPr>
                <w:rFonts w:eastAsia="Times New Roman" w:cs="Times New Roman"/>
                <w:color w:val="000000"/>
                <w:sz w:val="18"/>
                <w:szCs w:val="18"/>
                <w:lang w:eastAsia="ru-RU"/>
              </w:rPr>
            </w:pPr>
            <w:r w:rsidRPr="00322AE9">
              <w:rPr>
                <w:rFonts w:eastAsia="Times New Roman" w:cs="Times New Roman"/>
                <w:color w:val="000000"/>
                <w:sz w:val="18"/>
                <w:szCs w:val="18"/>
                <w:lang w:eastAsia="ru-RU"/>
              </w:rPr>
              <w:t>СП 55.13330.2016 Дома жилые одноквартирные</w:t>
            </w:r>
          </w:p>
        </w:tc>
      </w:tr>
      <w:tr w:rsidR="00322AE9" w:rsidRPr="00322AE9" w14:paraId="2AEA97B5" w14:textId="77777777" w:rsidTr="00322AE9">
        <w:trPr>
          <w:trHeight w:val="300"/>
          <w:jc w:val="center"/>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35BF8023"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 </w:t>
            </w:r>
          </w:p>
        </w:tc>
        <w:tc>
          <w:tcPr>
            <w:tcW w:w="816" w:type="dxa"/>
            <w:tcBorders>
              <w:top w:val="nil"/>
              <w:left w:val="nil"/>
              <w:bottom w:val="single" w:sz="4" w:space="0" w:color="auto"/>
              <w:right w:val="single" w:sz="4" w:space="0" w:color="auto"/>
            </w:tcBorders>
            <w:shd w:val="clear" w:color="auto" w:fill="auto"/>
            <w:vAlign w:val="center"/>
            <w:hideMark/>
          </w:tcPr>
          <w:p w14:paraId="0EA39676"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0202</w:t>
            </w:r>
          </w:p>
        </w:tc>
        <w:tc>
          <w:tcPr>
            <w:tcW w:w="2893" w:type="dxa"/>
            <w:tcBorders>
              <w:top w:val="nil"/>
              <w:left w:val="nil"/>
              <w:bottom w:val="single" w:sz="4" w:space="0" w:color="auto"/>
              <w:right w:val="single" w:sz="4" w:space="0" w:color="auto"/>
            </w:tcBorders>
            <w:shd w:val="clear" w:color="auto" w:fill="auto"/>
            <w:vAlign w:val="center"/>
            <w:hideMark/>
          </w:tcPr>
          <w:p w14:paraId="34CFD4E1" w14:textId="77777777" w:rsidR="00322AE9" w:rsidRPr="00322AE9" w:rsidRDefault="00322AE9" w:rsidP="00322AE9">
            <w:pPr>
              <w:ind w:firstLine="0"/>
              <w:jc w:val="left"/>
              <w:rPr>
                <w:rFonts w:eastAsia="Times New Roman" w:cs="Times New Roman"/>
                <w:color w:val="000000"/>
                <w:sz w:val="20"/>
                <w:szCs w:val="20"/>
                <w:lang w:eastAsia="ru-RU"/>
              </w:rPr>
            </w:pPr>
            <w:r w:rsidRPr="00322AE9">
              <w:rPr>
                <w:rFonts w:eastAsia="Times New Roman" w:cs="Times New Roman"/>
                <w:color w:val="000000"/>
                <w:sz w:val="20"/>
                <w:szCs w:val="20"/>
                <w:lang w:eastAsia="ru-RU"/>
              </w:rPr>
              <w:t>Дома индивидуальные</w:t>
            </w:r>
          </w:p>
        </w:tc>
        <w:tc>
          <w:tcPr>
            <w:tcW w:w="855" w:type="dxa"/>
            <w:tcBorders>
              <w:top w:val="nil"/>
              <w:left w:val="nil"/>
              <w:bottom w:val="single" w:sz="4" w:space="0" w:color="auto"/>
              <w:right w:val="single" w:sz="4" w:space="0" w:color="auto"/>
            </w:tcBorders>
            <w:shd w:val="clear" w:color="FFFFFF" w:fill="FFFFFF"/>
            <w:vAlign w:val="center"/>
            <w:hideMark/>
          </w:tcPr>
          <w:p w14:paraId="2426956E"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 </w:t>
            </w:r>
          </w:p>
        </w:tc>
        <w:tc>
          <w:tcPr>
            <w:tcW w:w="793" w:type="dxa"/>
            <w:tcBorders>
              <w:top w:val="nil"/>
              <w:left w:val="nil"/>
              <w:bottom w:val="single" w:sz="4" w:space="0" w:color="auto"/>
              <w:right w:val="single" w:sz="4" w:space="0" w:color="auto"/>
            </w:tcBorders>
            <w:shd w:val="clear" w:color="auto" w:fill="auto"/>
            <w:vAlign w:val="center"/>
            <w:hideMark/>
          </w:tcPr>
          <w:p w14:paraId="773F60B1"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2,5</w:t>
            </w:r>
          </w:p>
        </w:tc>
        <w:tc>
          <w:tcPr>
            <w:tcW w:w="992" w:type="dxa"/>
            <w:tcBorders>
              <w:top w:val="nil"/>
              <w:left w:val="nil"/>
              <w:bottom w:val="single" w:sz="4" w:space="0" w:color="auto"/>
              <w:right w:val="single" w:sz="4" w:space="0" w:color="auto"/>
            </w:tcBorders>
            <w:shd w:val="clear" w:color="auto" w:fill="auto"/>
            <w:vAlign w:val="center"/>
            <w:hideMark/>
          </w:tcPr>
          <w:p w14:paraId="556D6E4B"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0,3</w:t>
            </w:r>
          </w:p>
        </w:tc>
        <w:tc>
          <w:tcPr>
            <w:tcW w:w="1030" w:type="dxa"/>
            <w:tcBorders>
              <w:top w:val="nil"/>
              <w:left w:val="nil"/>
              <w:bottom w:val="single" w:sz="4" w:space="0" w:color="auto"/>
              <w:right w:val="single" w:sz="4" w:space="0" w:color="auto"/>
            </w:tcBorders>
            <w:shd w:val="clear" w:color="auto" w:fill="auto"/>
            <w:vAlign w:val="center"/>
            <w:hideMark/>
          </w:tcPr>
          <w:p w14:paraId="622D2729"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2,8</w:t>
            </w:r>
          </w:p>
        </w:tc>
        <w:tc>
          <w:tcPr>
            <w:tcW w:w="1096" w:type="dxa"/>
            <w:tcBorders>
              <w:top w:val="nil"/>
              <w:left w:val="nil"/>
              <w:bottom w:val="single" w:sz="4" w:space="0" w:color="auto"/>
              <w:right w:val="single" w:sz="4" w:space="0" w:color="auto"/>
            </w:tcBorders>
            <w:shd w:val="clear" w:color="auto" w:fill="auto"/>
            <w:vAlign w:val="center"/>
            <w:hideMark/>
          </w:tcPr>
          <w:p w14:paraId="794429A8"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1,6</w:t>
            </w:r>
          </w:p>
        </w:tc>
        <w:tc>
          <w:tcPr>
            <w:tcW w:w="1149" w:type="dxa"/>
            <w:tcBorders>
              <w:top w:val="nil"/>
              <w:left w:val="nil"/>
              <w:bottom w:val="single" w:sz="4" w:space="0" w:color="auto"/>
              <w:right w:val="single" w:sz="4" w:space="0" w:color="auto"/>
            </w:tcBorders>
            <w:shd w:val="clear" w:color="auto" w:fill="auto"/>
            <w:vAlign w:val="center"/>
            <w:hideMark/>
          </w:tcPr>
          <w:p w14:paraId="46FF0319"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2,1</w:t>
            </w:r>
          </w:p>
        </w:tc>
        <w:tc>
          <w:tcPr>
            <w:tcW w:w="1119" w:type="dxa"/>
            <w:tcBorders>
              <w:top w:val="nil"/>
              <w:left w:val="nil"/>
              <w:bottom w:val="single" w:sz="4" w:space="0" w:color="auto"/>
              <w:right w:val="single" w:sz="4" w:space="0" w:color="auto"/>
            </w:tcBorders>
            <w:shd w:val="clear" w:color="auto" w:fill="auto"/>
            <w:vAlign w:val="center"/>
            <w:hideMark/>
          </w:tcPr>
          <w:p w14:paraId="4026B3AB"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2,4</w:t>
            </w:r>
          </w:p>
        </w:tc>
        <w:tc>
          <w:tcPr>
            <w:tcW w:w="3149" w:type="dxa"/>
            <w:tcBorders>
              <w:top w:val="nil"/>
              <w:left w:val="nil"/>
              <w:bottom w:val="single" w:sz="4" w:space="0" w:color="auto"/>
              <w:right w:val="single" w:sz="4" w:space="0" w:color="auto"/>
            </w:tcBorders>
            <w:shd w:val="clear" w:color="auto" w:fill="auto"/>
            <w:hideMark/>
          </w:tcPr>
          <w:p w14:paraId="27C77BF1" w14:textId="77777777" w:rsidR="00322AE9" w:rsidRPr="00322AE9" w:rsidRDefault="00322AE9" w:rsidP="00322AE9">
            <w:pPr>
              <w:ind w:firstLine="0"/>
              <w:jc w:val="left"/>
              <w:rPr>
                <w:rFonts w:eastAsia="Times New Roman" w:cs="Times New Roman"/>
                <w:color w:val="000000"/>
                <w:sz w:val="18"/>
                <w:szCs w:val="18"/>
                <w:lang w:eastAsia="ru-RU"/>
              </w:rPr>
            </w:pPr>
            <w:r w:rsidRPr="00322AE9">
              <w:rPr>
                <w:rFonts w:eastAsia="Times New Roman" w:cs="Times New Roman"/>
                <w:color w:val="000000"/>
                <w:sz w:val="18"/>
                <w:szCs w:val="18"/>
                <w:lang w:eastAsia="ru-RU"/>
              </w:rPr>
              <w:t>СП 55.13330.2016 Дома жилые одноквартирные</w:t>
            </w:r>
          </w:p>
        </w:tc>
      </w:tr>
      <w:tr w:rsidR="00322AE9" w:rsidRPr="00322AE9" w14:paraId="7675E2FF" w14:textId="77777777" w:rsidTr="00322AE9">
        <w:trPr>
          <w:trHeight w:val="300"/>
          <w:jc w:val="center"/>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04CAB55A"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 </w:t>
            </w:r>
          </w:p>
        </w:tc>
        <w:tc>
          <w:tcPr>
            <w:tcW w:w="816" w:type="dxa"/>
            <w:tcBorders>
              <w:top w:val="nil"/>
              <w:left w:val="nil"/>
              <w:bottom w:val="single" w:sz="4" w:space="0" w:color="auto"/>
              <w:right w:val="single" w:sz="4" w:space="0" w:color="auto"/>
            </w:tcBorders>
            <w:shd w:val="clear" w:color="auto" w:fill="auto"/>
            <w:vAlign w:val="center"/>
            <w:hideMark/>
          </w:tcPr>
          <w:p w14:paraId="6F9BF2D1"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0203</w:t>
            </w:r>
          </w:p>
        </w:tc>
        <w:tc>
          <w:tcPr>
            <w:tcW w:w="2893" w:type="dxa"/>
            <w:tcBorders>
              <w:top w:val="nil"/>
              <w:left w:val="nil"/>
              <w:bottom w:val="single" w:sz="4" w:space="0" w:color="auto"/>
              <w:right w:val="single" w:sz="4" w:space="0" w:color="auto"/>
            </w:tcBorders>
            <w:shd w:val="clear" w:color="auto" w:fill="auto"/>
            <w:vAlign w:val="center"/>
            <w:hideMark/>
          </w:tcPr>
          <w:p w14:paraId="4CBF33D0" w14:textId="77777777" w:rsidR="00322AE9" w:rsidRPr="00322AE9" w:rsidRDefault="00322AE9" w:rsidP="00322AE9">
            <w:pPr>
              <w:ind w:firstLine="0"/>
              <w:jc w:val="left"/>
              <w:rPr>
                <w:rFonts w:eastAsia="Times New Roman" w:cs="Times New Roman"/>
                <w:color w:val="000000"/>
                <w:sz w:val="20"/>
                <w:szCs w:val="20"/>
                <w:lang w:eastAsia="ru-RU"/>
              </w:rPr>
            </w:pPr>
            <w:r w:rsidRPr="00322AE9">
              <w:rPr>
                <w:rFonts w:eastAsia="Times New Roman" w:cs="Times New Roman"/>
                <w:color w:val="000000"/>
                <w:sz w:val="20"/>
                <w:szCs w:val="20"/>
                <w:lang w:eastAsia="ru-RU"/>
              </w:rPr>
              <w:t>Дома индивидуальные с бытовыми пристройками</w:t>
            </w:r>
          </w:p>
        </w:tc>
        <w:tc>
          <w:tcPr>
            <w:tcW w:w="855" w:type="dxa"/>
            <w:tcBorders>
              <w:top w:val="nil"/>
              <w:left w:val="nil"/>
              <w:bottom w:val="single" w:sz="4" w:space="0" w:color="auto"/>
              <w:right w:val="single" w:sz="4" w:space="0" w:color="auto"/>
            </w:tcBorders>
            <w:shd w:val="clear" w:color="FFFFFF" w:fill="FFFFFF"/>
            <w:vAlign w:val="center"/>
            <w:hideMark/>
          </w:tcPr>
          <w:p w14:paraId="5E337E04"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 </w:t>
            </w:r>
          </w:p>
        </w:tc>
        <w:tc>
          <w:tcPr>
            <w:tcW w:w="793" w:type="dxa"/>
            <w:tcBorders>
              <w:top w:val="nil"/>
              <w:left w:val="nil"/>
              <w:bottom w:val="single" w:sz="4" w:space="0" w:color="auto"/>
              <w:right w:val="single" w:sz="4" w:space="0" w:color="auto"/>
            </w:tcBorders>
            <w:shd w:val="clear" w:color="auto" w:fill="auto"/>
            <w:vAlign w:val="center"/>
            <w:hideMark/>
          </w:tcPr>
          <w:p w14:paraId="787635EB"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2,5</w:t>
            </w:r>
          </w:p>
        </w:tc>
        <w:tc>
          <w:tcPr>
            <w:tcW w:w="992" w:type="dxa"/>
            <w:tcBorders>
              <w:top w:val="nil"/>
              <w:left w:val="nil"/>
              <w:bottom w:val="single" w:sz="4" w:space="0" w:color="auto"/>
              <w:right w:val="single" w:sz="4" w:space="0" w:color="auto"/>
            </w:tcBorders>
            <w:shd w:val="clear" w:color="auto" w:fill="auto"/>
            <w:vAlign w:val="center"/>
            <w:hideMark/>
          </w:tcPr>
          <w:p w14:paraId="69FF69BC"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0,3</w:t>
            </w:r>
          </w:p>
        </w:tc>
        <w:tc>
          <w:tcPr>
            <w:tcW w:w="1030" w:type="dxa"/>
            <w:tcBorders>
              <w:top w:val="nil"/>
              <w:left w:val="nil"/>
              <w:bottom w:val="single" w:sz="4" w:space="0" w:color="auto"/>
              <w:right w:val="single" w:sz="4" w:space="0" w:color="auto"/>
            </w:tcBorders>
            <w:shd w:val="clear" w:color="auto" w:fill="auto"/>
            <w:vAlign w:val="center"/>
            <w:hideMark/>
          </w:tcPr>
          <w:p w14:paraId="06884AC2"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2,8</w:t>
            </w:r>
          </w:p>
        </w:tc>
        <w:tc>
          <w:tcPr>
            <w:tcW w:w="1096" w:type="dxa"/>
            <w:tcBorders>
              <w:top w:val="nil"/>
              <w:left w:val="nil"/>
              <w:bottom w:val="single" w:sz="4" w:space="0" w:color="auto"/>
              <w:right w:val="single" w:sz="4" w:space="0" w:color="auto"/>
            </w:tcBorders>
            <w:shd w:val="clear" w:color="auto" w:fill="auto"/>
            <w:vAlign w:val="center"/>
            <w:hideMark/>
          </w:tcPr>
          <w:p w14:paraId="35A8B8D0"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1,6</w:t>
            </w:r>
          </w:p>
        </w:tc>
        <w:tc>
          <w:tcPr>
            <w:tcW w:w="1149" w:type="dxa"/>
            <w:tcBorders>
              <w:top w:val="nil"/>
              <w:left w:val="nil"/>
              <w:bottom w:val="single" w:sz="4" w:space="0" w:color="auto"/>
              <w:right w:val="single" w:sz="4" w:space="0" w:color="auto"/>
            </w:tcBorders>
            <w:shd w:val="clear" w:color="auto" w:fill="auto"/>
            <w:vAlign w:val="center"/>
            <w:hideMark/>
          </w:tcPr>
          <w:p w14:paraId="24C6D037"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2,1</w:t>
            </w:r>
          </w:p>
        </w:tc>
        <w:tc>
          <w:tcPr>
            <w:tcW w:w="1119" w:type="dxa"/>
            <w:tcBorders>
              <w:top w:val="nil"/>
              <w:left w:val="nil"/>
              <w:bottom w:val="single" w:sz="4" w:space="0" w:color="auto"/>
              <w:right w:val="single" w:sz="4" w:space="0" w:color="auto"/>
            </w:tcBorders>
            <w:shd w:val="clear" w:color="auto" w:fill="auto"/>
            <w:vAlign w:val="center"/>
            <w:hideMark/>
          </w:tcPr>
          <w:p w14:paraId="7A2EA0D9"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2,4</w:t>
            </w:r>
          </w:p>
        </w:tc>
        <w:tc>
          <w:tcPr>
            <w:tcW w:w="3149" w:type="dxa"/>
            <w:tcBorders>
              <w:top w:val="nil"/>
              <w:left w:val="nil"/>
              <w:bottom w:val="single" w:sz="4" w:space="0" w:color="auto"/>
              <w:right w:val="single" w:sz="4" w:space="0" w:color="auto"/>
            </w:tcBorders>
            <w:shd w:val="clear" w:color="auto" w:fill="auto"/>
            <w:hideMark/>
          </w:tcPr>
          <w:p w14:paraId="69DDA0FC" w14:textId="77777777" w:rsidR="00322AE9" w:rsidRPr="00322AE9" w:rsidRDefault="00322AE9" w:rsidP="00322AE9">
            <w:pPr>
              <w:ind w:firstLine="0"/>
              <w:jc w:val="left"/>
              <w:rPr>
                <w:rFonts w:eastAsia="Times New Roman" w:cs="Times New Roman"/>
                <w:color w:val="000000"/>
                <w:sz w:val="18"/>
                <w:szCs w:val="18"/>
                <w:lang w:eastAsia="ru-RU"/>
              </w:rPr>
            </w:pPr>
            <w:r w:rsidRPr="00322AE9">
              <w:rPr>
                <w:rFonts w:eastAsia="Times New Roman" w:cs="Times New Roman"/>
                <w:color w:val="000000"/>
                <w:sz w:val="18"/>
                <w:szCs w:val="18"/>
                <w:lang w:eastAsia="ru-RU"/>
              </w:rPr>
              <w:t>СП 55.13330.2016 Дома жилые одноквартирные</w:t>
            </w:r>
          </w:p>
        </w:tc>
      </w:tr>
      <w:tr w:rsidR="00322AE9" w:rsidRPr="00322AE9" w14:paraId="49186389" w14:textId="77777777" w:rsidTr="00322AE9">
        <w:trPr>
          <w:trHeight w:val="1530"/>
          <w:jc w:val="center"/>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23924FB8"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 </w:t>
            </w:r>
          </w:p>
        </w:tc>
        <w:tc>
          <w:tcPr>
            <w:tcW w:w="816" w:type="dxa"/>
            <w:tcBorders>
              <w:top w:val="nil"/>
              <w:left w:val="nil"/>
              <w:bottom w:val="single" w:sz="4" w:space="0" w:color="auto"/>
              <w:right w:val="single" w:sz="4" w:space="0" w:color="auto"/>
            </w:tcBorders>
            <w:shd w:val="clear" w:color="auto" w:fill="auto"/>
            <w:vAlign w:val="center"/>
            <w:hideMark/>
          </w:tcPr>
          <w:p w14:paraId="3F08FBB8"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0204</w:t>
            </w:r>
          </w:p>
        </w:tc>
        <w:tc>
          <w:tcPr>
            <w:tcW w:w="2893" w:type="dxa"/>
            <w:tcBorders>
              <w:top w:val="nil"/>
              <w:left w:val="nil"/>
              <w:bottom w:val="single" w:sz="4" w:space="0" w:color="auto"/>
              <w:right w:val="single" w:sz="4" w:space="0" w:color="auto"/>
            </w:tcBorders>
            <w:shd w:val="clear" w:color="auto" w:fill="auto"/>
            <w:vAlign w:val="center"/>
            <w:hideMark/>
          </w:tcPr>
          <w:p w14:paraId="56AD8C52" w14:textId="77777777" w:rsidR="00322AE9" w:rsidRPr="00322AE9" w:rsidRDefault="00322AE9" w:rsidP="00322AE9">
            <w:pPr>
              <w:ind w:firstLine="0"/>
              <w:jc w:val="left"/>
              <w:rPr>
                <w:rFonts w:eastAsia="Times New Roman" w:cs="Times New Roman"/>
                <w:color w:val="000000"/>
                <w:sz w:val="20"/>
                <w:szCs w:val="20"/>
                <w:lang w:eastAsia="ru-RU"/>
              </w:rPr>
            </w:pPr>
            <w:r w:rsidRPr="00322AE9">
              <w:rPr>
                <w:rFonts w:eastAsia="Times New Roman" w:cs="Times New Roman"/>
                <w:color w:val="000000"/>
                <w:sz w:val="20"/>
                <w:szCs w:val="20"/>
                <w:lang w:eastAsia="ru-RU"/>
              </w:rPr>
              <w:t>Коттеджи (дома индивидуальные повышенной комфортности с применением качественных материалов, большой площади, наличием систем (как локальных, так и централизованных) инженерного обеспечения, расположенные в однородной среде, престижных местах)</w:t>
            </w:r>
          </w:p>
        </w:tc>
        <w:tc>
          <w:tcPr>
            <w:tcW w:w="855" w:type="dxa"/>
            <w:tcBorders>
              <w:top w:val="nil"/>
              <w:left w:val="nil"/>
              <w:bottom w:val="single" w:sz="4" w:space="0" w:color="auto"/>
              <w:right w:val="single" w:sz="4" w:space="0" w:color="auto"/>
            </w:tcBorders>
            <w:shd w:val="clear" w:color="FFFFFF" w:fill="FFFFFF"/>
            <w:vAlign w:val="center"/>
            <w:hideMark/>
          </w:tcPr>
          <w:p w14:paraId="5AED14C2"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 </w:t>
            </w:r>
          </w:p>
        </w:tc>
        <w:tc>
          <w:tcPr>
            <w:tcW w:w="793" w:type="dxa"/>
            <w:tcBorders>
              <w:top w:val="nil"/>
              <w:left w:val="nil"/>
              <w:bottom w:val="single" w:sz="4" w:space="0" w:color="auto"/>
              <w:right w:val="single" w:sz="4" w:space="0" w:color="auto"/>
            </w:tcBorders>
            <w:shd w:val="clear" w:color="FFFFFF" w:fill="FFFFFF"/>
            <w:vAlign w:val="center"/>
            <w:hideMark/>
          </w:tcPr>
          <w:p w14:paraId="544230B0"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2,7</w:t>
            </w:r>
          </w:p>
        </w:tc>
        <w:tc>
          <w:tcPr>
            <w:tcW w:w="992" w:type="dxa"/>
            <w:tcBorders>
              <w:top w:val="nil"/>
              <w:left w:val="nil"/>
              <w:bottom w:val="single" w:sz="4" w:space="0" w:color="auto"/>
              <w:right w:val="single" w:sz="4" w:space="0" w:color="auto"/>
            </w:tcBorders>
            <w:shd w:val="clear" w:color="auto" w:fill="auto"/>
            <w:vAlign w:val="center"/>
            <w:hideMark/>
          </w:tcPr>
          <w:p w14:paraId="0A52C474"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0,3</w:t>
            </w:r>
          </w:p>
        </w:tc>
        <w:tc>
          <w:tcPr>
            <w:tcW w:w="1030" w:type="dxa"/>
            <w:tcBorders>
              <w:top w:val="nil"/>
              <w:left w:val="nil"/>
              <w:bottom w:val="single" w:sz="4" w:space="0" w:color="auto"/>
              <w:right w:val="single" w:sz="4" w:space="0" w:color="auto"/>
            </w:tcBorders>
            <w:shd w:val="clear" w:color="auto" w:fill="auto"/>
            <w:vAlign w:val="center"/>
            <w:hideMark/>
          </w:tcPr>
          <w:p w14:paraId="24475AED"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3</w:t>
            </w:r>
          </w:p>
        </w:tc>
        <w:tc>
          <w:tcPr>
            <w:tcW w:w="1096" w:type="dxa"/>
            <w:tcBorders>
              <w:top w:val="nil"/>
              <w:left w:val="nil"/>
              <w:bottom w:val="single" w:sz="4" w:space="0" w:color="auto"/>
              <w:right w:val="single" w:sz="4" w:space="0" w:color="auto"/>
            </w:tcBorders>
            <w:shd w:val="clear" w:color="auto" w:fill="auto"/>
            <w:vAlign w:val="center"/>
            <w:hideMark/>
          </w:tcPr>
          <w:p w14:paraId="60780632"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1,6</w:t>
            </w:r>
          </w:p>
        </w:tc>
        <w:tc>
          <w:tcPr>
            <w:tcW w:w="1149" w:type="dxa"/>
            <w:tcBorders>
              <w:top w:val="nil"/>
              <w:left w:val="nil"/>
              <w:bottom w:val="single" w:sz="4" w:space="0" w:color="auto"/>
              <w:right w:val="single" w:sz="4" w:space="0" w:color="auto"/>
            </w:tcBorders>
            <w:shd w:val="clear" w:color="auto" w:fill="auto"/>
            <w:vAlign w:val="center"/>
            <w:hideMark/>
          </w:tcPr>
          <w:p w14:paraId="77928CAB"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2,1</w:t>
            </w:r>
          </w:p>
        </w:tc>
        <w:tc>
          <w:tcPr>
            <w:tcW w:w="1119" w:type="dxa"/>
            <w:tcBorders>
              <w:top w:val="nil"/>
              <w:left w:val="nil"/>
              <w:bottom w:val="single" w:sz="4" w:space="0" w:color="auto"/>
              <w:right w:val="single" w:sz="4" w:space="0" w:color="auto"/>
            </w:tcBorders>
            <w:shd w:val="clear" w:color="auto" w:fill="auto"/>
            <w:vAlign w:val="center"/>
            <w:hideMark/>
          </w:tcPr>
          <w:p w14:paraId="4C2B7A86"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2,4</w:t>
            </w:r>
          </w:p>
        </w:tc>
        <w:tc>
          <w:tcPr>
            <w:tcW w:w="3149" w:type="dxa"/>
            <w:tcBorders>
              <w:top w:val="nil"/>
              <w:left w:val="nil"/>
              <w:bottom w:val="single" w:sz="4" w:space="0" w:color="auto"/>
              <w:right w:val="single" w:sz="4" w:space="0" w:color="auto"/>
            </w:tcBorders>
            <w:shd w:val="clear" w:color="auto" w:fill="auto"/>
            <w:hideMark/>
          </w:tcPr>
          <w:p w14:paraId="3B085101" w14:textId="77777777" w:rsidR="00322AE9" w:rsidRPr="00322AE9" w:rsidRDefault="00322AE9" w:rsidP="00322AE9">
            <w:pPr>
              <w:ind w:firstLine="0"/>
              <w:jc w:val="left"/>
              <w:rPr>
                <w:rFonts w:eastAsia="Times New Roman" w:cs="Times New Roman"/>
                <w:color w:val="000000"/>
                <w:sz w:val="18"/>
                <w:szCs w:val="18"/>
                <w:lang w:eastAsia="ru-RU"/>
              </w:rPr>
            </w:pPr>
            <w:r w:rsidRPr="00322AE9">
              <w:rPr>
                <w:rFonts w:eastAsia="Times New Roman" w:cs="Times New Roman"/>
                <w:color w:val="000000"/>
                <w:sz w:val="18"/>
                <w:szCs w:val="18"/>
                <w:lang w:eastAsia="ru-RU"/>
              </w:rPr>
              <w:t>СП 55.13330.2016 Дома жилые одноквартирные; СП 42.13330.2011 «Градостроительство. Планировка и застройка городских и сельских поселений»</w:t>
            </w:r>
          </w:p>
        </w:tc>
      </w:tr>
      <w:tr w:rsidR="00322AE9" w:rsidRPr="00322AE9" w14:paraId="28BBAFCF" w14:textId="77777777" w:rsidTr="00322AE9">
        <w:trPr>
          <w:trHeight w:val="720"/>
          <w:jc w:val="center"/>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47AF663F"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 </w:t>
            </w:r>
          </w:p>
        </w:tc>
        <w:tc>
          <w:tcPr>
            <w:tcW w:w="816" w:type="dxa"/>
            <w:tcBorders>
              <w:top w:val="nil"/>
              <w:left w:val="nil"/>
              <w:bottom w:val="single" w:sz="4" w:space="0" w:color="auto"/>
              <w:right w:val="single" w:sz="4" w:space="0" w:color="auto"/>
            </w:tcBorders>
            <w:shd w:val="clear" w:color="auto" w:fill="auto"/>
            <w:vAlign w:val="center"/>
            <w:hideMark/>
          </w:tcPr>
          <w:p w14:paraId="2EF252CF"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0205</w:t>
            </w:r>
          </w:p>
        </w:tc>
        <w:tc>
          <w:tcPr>
            <w:tcW w:w="2893" w:type="dxa"/>
            <w:tcBorders>
              <w:top w:val="nil"/>
              <w:left w:val="nil"/>
              <w:bottom w:val="single" w:sz="4" w:space="0" w:color="auto"/>
              <w:right w:val="single" w:sz="4" w:space="0" w:color="auto"/>
            </w:tcBorders>
            <w:shd w:val="clear" w:color="auto" w:fill="auto"/>
            <w:vAlign w:val="center"/>
            <w:hideMark/>
          </w:tcPr>
          <w:p w14:paraId="215F9376" w14:textId="77777777" w:rsidR="00322AE9" w:rsidRPr="00322AE9" w:rsidRDefault="00322AE9" w:rsidP="00322AE9">
            <w:pPr>
              <w:ind w:firstLine="0"/>
              <w:jc w:val="left"/>
              <w:rPr>
                <w:rFonts w:eastAsia="Times New Roman" w:cs="Times New Roman"/>
                <w:color w:val="000000"/>
                <w:sz w:val="20"/>
                <w:szCs w:val="20"/>
                <w:lang w:eastAsia="ru-RU"/>
              </w:rPr>
            </w:pPr>
            <w:r w:rsidRPr="00322AE9">
              <w:rPr>
                <w:rFonts w:eastAsia="Times New Roman" w:cs="Times New Roman"/>
                <w:color w:val="000000"/>
                <w:sz w:val="20"/>
                <w:szCs w:val="20"/>
                <w:lang w:eastAsia="ru-RU"/>
              </w:rPr>
              <w:t>Многоквартирные дома (дома малоэтажной жилой застройки)</w:t>
            </w:r>
          </w:p>
        </w:tc>
        <w:tc>
          <w:tcPr>
            <w:tcW w:w="855" w:type="dxa"/>
            <w:tcBorders>
              <w:top w:val="nil"/>
              <w:left w:val="nil"/>
              <w:bottom w:val="single" w:sz="4" w:space="0" w:color="auto"/>
              <w:right w:val="single" w:sz="4" w:space="0" w:color="auto"/>
            </w:tcBorders>
            <w:shd w:val="clear" w:color="FFFFFF" w:fill="FFFFFF"/>
            <w:vAlign w:val="center"/>
            <w:hideMark/>
          </w:tcPr>
          <w:p w14:paraId="6AA8DB8C"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 </w:t>
            </w:r>
          </w:p>
        </w:tc>
        <w:tc>
          <w:tcPr>
            <w:tcW w:w="793" w:type="dxa"/>
            <w:tcBorders>
              <w:top w:val="nil"/>
              <w:left w:val="nil"/>
              <w:bottom w:val="single" w:sz="4" w:space="0" w:color="auto"/>
              <w:right w:val="single" w:sz="4" w:space="0" w:color="auto"/>
            </w:tcBorders>
            <w:shd w:val="clear" w:color="auto" w:fill="auto"/>
            <w:vAlign w:val="center"/>
            <w:hideMark/>
          </w:tcPr>
          <w:p w14:paraId="6AFB8736"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2,2</w:t>
            </w:r>
          </w:p>
        </w:tc>
        <w:tc>
          <w:tcPr>
            <w:tcW w:w="992" w:type="dxa"/>
            <w:tcBorders>
              <w:top w:val="nil"/>
              <w:left w:val="nil"/>
              <w:bottom w:val="single" w:sz="4" w:space="0" w:color="auto"/>
              <w:right w:val="single" w:sz="4" w:space="0" w:color="auto"/>
            </w:tcBorders>
            <w:shd w:val="clear" w:color="auto" w:fill="auto"/>
            <w:vAlign w:val="center"/>
            <w:hideMark/>
          </w:tcPr>
          <w:p w14:paraId="4E7F1E66"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0,3</w:t>
            </w:r>
          </w:p>
        </w:tc>
        <w:tc>
          <w:tcPr>
            <w:tcW w:w="1030" w:type="dxa"/>
            <w:tcBorders>
              <w:top w:val="nil"/>
              <w:left w:val="nil"/>
              <w:bottom w:val="single" w:sz="4" w:space="0" w:color="auto"/>
              <w:right w:val="single" w:sz="4" w:space="0" w:color="auto"/>
            </w:tcBorders>
            <w:shd w:val="clear" w:color="auto" w:fill="auto"/>
            <w:vAlign w:val="center"/>
            <w:hideMark/>
          </w:tcPr>
          <w:p w14:paraId="7DBE0B96"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2,5</w:t>
            </w:r>
          </w:p>
        </w:tc>
        <w:tc>
          <w:tcPr>
            <w:tcW w:w="1096" w:type="dxa"/>
            <w:tcBorders>
              <w:top w:val="nil"/>
              <w:left w:val="nil"/>
              <w:bottom w:val="single" w:sz="4" w:space="0" w:color="auto"/>
              <w:right w:val="single" w:sz="4" w:space="0" w:color="auto"/>
            </w:tcBorders>
            <w:shd w:val="clear" w:color="auto" w:fill="auto"/>
            <w:vAlign w:val="center"/>
            <w:hideMark/>
          </w:tcPr>
          <w:p w14:paraId="7ECF8634"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1,6</w:t>
            </w:r>
          </w:p>
        </w:tc>
        <w:tc>
          <w:tcPr>
            <w:tcW w:w="1149" w:type="dxa"/>
            <w:tcBorders>
              <w:top w:val="nil"/>
              <w:left w:val="nil"/>
              <w:bottom w:val="single" w:sz="4" w:space="0" w:color="auto"/>
              <w:right w:val="single" w:sz="4" w:space="0" w:color="auto"/>
            </w:tcBorders>
            <w:shd w:val="clear" w:color="auto" w:fill="auto"/>
            <w:vAlign w:val="center"/>
            <w:hideMark/>
          </w:tcPr>
          <w:p w14:paraId="7A5C7DE3"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2,1</w:t>
            </w:r>
          </w:p>
        </w:tc>
        <w:tc>
          <w:tcPr>
            <w:tcW w:w="1119" w:type="dxa"/>
            <w:tcBorders>
              <w:top w:val="nil"/>
              <w:left w:val="nil"/>
              <w:bottom w:val="single" w:sz="4" w:space="0" w:color="auto"/>
              <w:right w:val="single" w:sz="4" w:space="0" w:color="auto"/>
            </w:tcBorders>
            <w:shd w:val="clear" w:color="auto" w:fill="auto"/>
            <w:vAlign w:val="center"/>
            <w:hideMark/>
          </w:tcPr>
          <w:p w14:paraId="49565730"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2,4</w:t>
            </w:r>
          </w:p>
        </w:tc>
        <w:tc>
          <w:tcPr>
            <w:tcW w:w="3149" w:type="dxa"/>
            <w:tcBorders>
              <w:top w:val="nil"/>
              <w:left w:val="nil"/>
              <w:bottom w:val="single" w:sz="4" w:space="0" w:color="auto"/>
              <w:right w:val="single" w:sz="4" w:space="0" w:color="auto"/>
            </w:tcBorders>
            <w:shd w:val="clear" w:color="auto" w:fill="auto"/>
            <w:hideMark/>
          </w:tcPr>
          <w:p w14:paraId="105BB1AB" w14:textId="77777777" w:rsidR="00322AE9" w:rsidRPr="00322AE9" w:rsidRDefault="00322AE9" w:rsidP="00322AE9">
            <w:pPr>
              <w:ind w:firstLine="0"/>
              <w:jc w:val="left"/>
              <w:rPr>
                <w:rFonts w:eastAsia="Times New Roman" w:cs="Times New Roman"/>
                <w:color w:val="000000"/>
                <w:sz w:val="18"/>
                <w:szCs w:val="18"/>
                <w:lang w:eastAsia="ru-RU"/>
              </w:rPr>
            </w:pPr>
            <w:r w:rsidRPr="00322AE9">
              <w:rPr>
                <w:rFonts w:eastAsia="Times New Roman" w:cs="Times New Roman"/>
                <w:color w:val="000000"/>
                <w:sz w:val="18"/>
                <w:szCs w:val="18"/>
                <w:lang w:eastAsia="ru-RU"/>
              </w:rPr>
              <w:t>СП 53.13330.2011 Планировка и застройка территории садоводческих (дачных) объединений граждан, здания и сооружения</w:t>
            </w:r>
          </w:p>
        </w:tc>
      </w:tr>
      <w:tr w:rsidR="00322AE9" w:rsidRPr="00322AE9" w14:paraId="66F94812" w14:textId="77777777" w:rsidTr="00322AE9">
        <w:trPr>
          <w:trHeight w:val="720"/>
          <w:jc w:val="center"/>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43546500"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 </w:t>
            </w:r>
          </w:p>
        </w:tc>
        <w:tc>
          <w:tcPr>
            <w:tcW w:w="816" w:type="dxa"/>
            <w:tcBorders>
              <w:top w:val="nil"/>
              <w:left w:val="nil"/>
              <w:bottom w:val="single" w:sz="4" w:space="0" w:color="auto"/>
              <w:right w:val="single" w:sz="4" w:space="0" w:color="auto"/>
            </w:tcBorders>
            <w:shd w:val="clear" w:color="auto" w:fill="auto"/>
            <w:vAlign w:val="center"/>
            <w:hideMark/>
          </w:tcPr>
          <w:p w14:paraId="17B391CF"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0206</w:t>
            </w:r>
          </w:p>
        </w:tc>
        <w:tc>
          <w:tcPr>
            <w:tcW w:w="2893" w:type="dxa"/>
            <w:tcBorders>
              <w:top w:val="nil"/>
              <w:left w:val="nil"/>
              <w:bottom w:val="single" w:sz="4" w:space="0" w:color="auto"/>
              <w:right w:val="single" w:sz="4" w:space="0" w:color="auto"/>
            </w:tcBorders>
            <w:shd w:val="clear" w:color="auto" w:fill="auto"/>
            <w:vAlign w:val="center"/>
            <w:hideMark/>
          </w:tcPr>
          <w:p w14:paraId="5EED7FC0" w14:textId="77777777" w:rsidR="00322AE9" w:rsidRPr="00322AE9" w:rsidRDefault="00322AE9" w:rsidP="00322AE9">
            <w:pPr>
              <w:ind w:firstLine="0"/>
              <w:jc w:val="left"/>
              <w:rPr>
                <w:rFonts w:eastAsia="Times New Roman" w:cs="Times New Roman"/>
                <w:color w:val="000000"/>
                <w:sz w:val="20"/>
                <w:szCs w:val="20"/>
                <w:lang w:eastAsia="ru-RU"/>
              </w:rPr>
            </w:pPr>
            <w:r w:rsidRPr="00322AE9">
              <w:rPr>
                <w:rFonts w:eastAsia="Times New Roman" w:cs="Times New Roman"/>
                <w:color w:val="000000"/>
                <w:sz w:val="20"/>
                <w:szCs w:val="20"/>
                <w:lang w:eastAsia="ru-RU"/>
              </w:rPr>
              <w:t>Домики садовые (летние домики), огородные объединения</w:t>
            </w:r>
          </w:p>
        </w:tc>
        <w:tc>
          <w:tcPr>
            <w:tcW w:w="855" w:type="dxa"/>
            <w:tcBorders>
              <w:top w:val="nil"/>
              <w:left w:val="nil"/>
              <w:bottom w:val="single" w:sz="4" w:space="0" w:color="auto"/>
              <w:right w:val="single" w:sz="4" w:space="0" w:color="auto"/>
            </w:tcBorders>
            <w:shd w:val="clear" w:color="FFFFFF" w:fill="FFFFFF"/>
            <w:vAlign w:val="center"/>
            <w:hideMark/>
          </w:tcPr>
          <w:p w14:paraId="584AC283"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 </w:t>
            </w:r>
          </w:p>
        </w:tc>
        <w:tc>
          <w:tcPr>
            <w:tcW w:w="793" w:type="dxa"/>
            <w:tcBorders>
              <w:top w:val="nil"/>
              <w:left w:val="nil"/>
              <w:bottom w:val="single" w:sz="4" w:space="0" w:color="auto"/>
              <w:right w:val="single" w:sz="4" w:space="0" w:color="auto"/>
            </w:tcBorders>
            <w:shd w:val="clear" w:color="auto" w:fill="auto"/>
            <w:vAlign w:val="center"/>
            <w:hideMark/>
          </w:tcPr>
          <w:p w14:paraId="47150CA8"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2,2</w:t>
            </w:r>
          </w:p>
        </w:tc>
        <w:tc>
          <w:tcPr>
            <w:tcW w:w="992" w:type="dxa"/>
            <w:tcBorders>
              <w:top w:val="nil"/>
              <w:left w:val="nil"/>
              <w:bottom w:val="single" w:sz="4" w:space="0" w:color="auto"/>
              <w:right w:val="single" w:sz="4" w:space="0" w:color="auto"/>
            </w:tcBorders>
            <w:shd w:val="clear" w:color="auto" w:fill="auto"/>
            <w:vAlign w:val="center"/>
            <w:hideMark/>
          </w:tcPr>
          <w:p w14:paraId="0D93668C"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0,3</w:t>
            </w:r>
          </w:p>
        </w:tc>
        <w:tc>
          <w:tcPr>
            <w:tcW w:w="1030" w:type="dxa"/>
            <w:tcBorders>
              <w:top w:val="nil"/>
              <w:left w:val="nil"/>
              <w:bottom w:val="single" w:sz="4" w:space="0" w:color="auto"/>
              <w:right w:val="single" w:sz="4" w:space="0" w:color="auto"/>
            </w:tcBorders>
            <w:shd w:val="clear" w:color="auto" w:fill="auto"/>
            <w:vAlign w:val="center"/>
            <w:hideMark/>
          </w:tcPr>
          <w:p w14:paraId="6AD1B058"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2,5</w:t>
            </w:r>
          </w:p>
        </w:tc>
        <w:tc>
          <w:tcPr>
            <w:tcW w:w="1096" w:type="dxa"/>
            <w:tcBorders>
              <w:top w:val="nil"/>
              <w:left w:val="nil"/>
              <w:bottom w:val="single" w:sz="4" w:space="0" w:color="auto"/>
              <w:right w:val="single" w:sz="4" w:space="0" w:color="auto"/>
            </w:tcBorders>
            <w:shd w:val="clear" w:color="auto" w:fill="auto"/>
            <w:vAlign w:val="center"/>
            <w:hideMark/>
          </w:tcPr>
          <w:p w14:paraId="0967159C"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1,6</w:t>
            </w:r>
          </w:p>
        </w:tc>
        <w:tc>
          <w:tcPr>
            <w:tcW w:w="1149" w:type="dxa"/>
            <w:tcBorders>
              <w:top w:val="nil"/>
              <w:left w:val="nil"/>
              <w:bottom w:val="single" w:sz="4" w:space="0" w:color="auto"/>
              <w:right w:val="single" w:sz="4" w:space="0" w:color="auto"/>
            </w:tcBorders>
            <w:shd w:val="clear" w:color="auto" w:fill="auto"/>
            <w:vAlign w:val="center"/>
            <w:hideMark/>
          </w:tcPr>
          <w:p w14:paraId="52B4BC0A"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2,1</w:t>
            </w:r>
          </w:p>
        </w:tc>
        <w:tc>
          <w:tcPr>
            <w:tcW w:w="1119" w:type="dxa"/>
            <w:tcBorders>
              <w:top w:val="nil"/>
              <w:left w:val="nil"/>
              <w:bottom w:val="single" w:sz="4" w:space="0" w:color="auto"/>
              <w:right w:val="single" w:sz="4" w:space="0" w:color="auto"/>
            </w:tcBorders>
            <w:shd w:val="clear" w:color="auto" w:fill="auto"/>
            <w:vAlign w:val="center"/>
            <w:hideMark/>
          </w:tcPr>
          <w:p w14:paraId="7A9EB893"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2,4</w:t>
            </w:r>
          </w:p>
        </w:tc>
        <w:tc>
          <w:tcPr>
            <w:tcW w:w="3149" w:type="dxa"/>
            <w:tcBorders>
              <w:top w:val="nil"/>
              <w:left w:val="nil"/>
              <w:bottom w:val="single" w:sz="4" w:space="0" w:color="auto"/>
              <w:right w:val="single" w:sz="4" w:space="0" w:color="auto"/>
            </w:tcBorders>
            <w:shd w:val="clear" w:color="auto" w:fill="auto"/>
            <w:hideMark/>
          </w:tcPr>
          <w:p w14:paraId="361BE3A7" w14:textId="77777777" w:rsidR="00322AE9" w:rsidRPr="00322AE9" w:rsidRDefault="00322AE9" w:rsidP="00322AE9">
            <w:pPr>
              <w:ind w:firstLine="0"/>
              <w:jc w:val="left"/>
              <w:rPr>
                <w:rFonts w:eastAsia="Times New Roman" w:cs="Times New Roman"/>
                <w:color w:val="000000"/>
                <w:sz w:val="18"/>
                <w:szCs w:val="18"/>
                <w:lang w:eastAsia="ru-RU"/>
              </w:rPr>
            </w:pPr>
            <w:r w:rsidRPr="00322AE9">
              <w:rPr>
                <w:rFonts w:eastAsia="Times New Roman" w:cs="Times New Roman"/>
                <w:color w:val="000000"/>
                <w:sz w:val="18"/>
                <w:szCs w:val="18"/>
                <w:lang w:eastAsia="ru-RU"/>
              </w:rPr>
              <w:t>СП 53.13330.2011 Планировка и застройка территории садоводческих (дачных) объединений граждан, здания и сооружения</w:t>
            </w:r>
          </w:p>
        </w:tc>
      </w:tr>
      <w:tr w:rsidR="00322AE9" w:rsidRPr="00322AE9" w14:paraId="2F4AA18A" w14:textId="77777777" w:rsidTr="00322AE9">
        <w:trPr>
          <w:trHeight w:val="720"/>
          <w:jc w:val="center"/>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044EC28B"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 </w:t>
            </w:r>
          </w:p>
        </w:tc>
        <w:tc>
          <w:tcPr>
            <w:tcW w:w="816" w:type="dxa"/>
            <w:tcBorders>
              <w:top w:val="nil"/>
              <w:left w:val="nil"/>
              <w:bottom w:val="single" w:sz="4" w:space="0" w:color="auto"/>
              <w:right w:val="single" w:sz="4" w:space="0" w:color="auto"/>
            </w:tcBorders>
            <w:shd w:val="clear" w:color="auto" w:fill="auto"/>
            <w:vAlign w:val="center"/>
            <w:hideMark/>
          </w:tcPr>
          <w:p w14:paraId="5C8A0677"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0207</w:t>
            </w:r>
          </w:p>
        </w:tc>
        <w:tc>
          <w:tcPr>
            <w:tcW w:w="2893" w:type="dxa"/>
            <w:tcBorders>
              <w:top w:val="nil"/>
              <w:left w:val="nil"/>
              <w:bottom w:val="single" w:sz="4" w:space="0" w:color="auto"/>
              <w:right w:val="single" w:sz="4" w:space="0" w:color="auto"/>
            </w:tcBorders>
            <w:shd w:val="clear" w:color="auto" w:fill="auto"/>
            <w:vAlign w:val="center"/>
            <w:hideMark/>
          </w:tcPr>
          <w:p w14:paraId="3626F75F" w14:textId="77777777" w:rsidR="00322AE9" w:rsidRPr="00322AE9" w:rsidRDefault="00322AE9" w:rsidP="00322AE9">
            <w:pPr>
              <w:ind w:firstLine="0"/>
              <w:jc w:val="left"/>
              <w:rPr>
                <w:rFonts w:eastAsia="Times New Roman" w:cs="Times New Roman"/>
                <w:color w:val="000000"/>
                <w:sz w:val="20"/>
                <w:szCs w:val="20"/>
                <w:lang w:eastAsia="ru-RU"/>
              </w:rPr>
            </w:pPr>
            <w:r w:rsidRPr="00322AE9">
              <w:rPr>
                <w:rFonts w:eastAsia="Times New Roman" w:cs="Times New Roman"/>
                <w:color w:val="000000"/>
                <w:sz w:val="20"/>
                <w:szCs w:val="20"/>
                <w:lang w:eastAsia="ru-RU"/>
              </w:rPr>
              <w:t>Элементы приусадебного благоустройства: туалеты, летние душевые</w:t>
            </w:r>
          </w:p>
        </w:tc>
        <w:tc>
          <w:tcPr>
            <w:tcW w:w="855" w:type="dxa"/>
            <w:tcBorders>
              <w:top w:val="nil"/>
              <w:left w:val="nil"/>
              <w:bottom w:val="single" w:sz="4" w:space="0" w:color="auto"/>
              <w:right w:val="single" w:sz="4" w:space="0" w:color="auto"/>
            </w:tcBorders>
            <w:shd w:val="clear" w:color="FFFFFF" w:fill="FFFFFF"/>
            <w:vAlign w:val="center"/>
            <w:hideMark/>
          </w:tcPr>
          <w:p w14:paraId="0FECBFD2"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 </w:t>
            </w:r>
          </w:p>
        </w:tc>
        <w:tc>
          <w:tcPr>
            <w:tcW w:w="793" w:type="dxa"/>
            <w:tcBorders>
              <w:top w:val="nil"/>
              <w:left w:val="nil"/>
              <w:bottom w:val="single" w:sz="4" w:space="0" w:color="auto"/>
              <w:right w:val="single" w:sz="4" w:space="0" w:color="auto"/>
            </w:tcBorders>
            <w:shd w:val="clear" w:color="auto" w:fill="auto"/>
            <w:vAlign w:val="center"/>
            <w:hideMark/>
          </w:tcPr>
          <w:p w14:paraId="088799A2"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2,0</w:t>
            </w:r>
          </w:p>
        </w:tc>
        <w:tc>
          <w:tcPr>
            <w:tcW w:w="992" w:type="dxa"/>
            <w:tcBorders>
              <w:top w:val="nil"/>
              <w:left w:val="nil"/>
              <w:bottom w:val="single" w:sz="4" w:space="0" w:color="auto"/>
              <w:right w:val="single" w:sz="4" w:space="0" w:color="auto"/>
            </w:tcBorders>
            <w:shd w:val="clear" w:color="auto" w:fill="auto"/>
            <w:vAlign w:val="center"/>
            <w:hideMark/>
          </w:tcPr>
          <w:p w14:paraId="551D941F"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0,3</w:t>
            </w:r>
          </w:p>
        </w:tc>
        <w:tc>
          <w:tcPr>
            <w:tcW w:w="1030" w:type="dxa"/>
            <w:tcBorders>
              <w:top w:val="nil"/>
              <w:left w:val="nil"/>
              <w:bottom w:val="single" w:sz="4" w:space="0" w:color="auto"/>
              <w:right w:val="single" w:sz="4" w:space="0" w:color="auto"/>
            </w:tcBorders>
            <w:shd w:val="clear" w:color="auto" w:fill="auto"/>
            <w:vAlign w:val="center"/>
            <w:hideMark/>
          </w:tcPr>
          <w:p w14:paraId="6AC852E9"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2,3</w:t>
            </w:r>
          </w:p>
        </w:tc>
        <w:tc>
          <w:tcPr>
            <w:tcW w:w="1096" w:type="dxa"/>
            <w:tcBorders>
              <w:top w:val="nil"/>
              <w:left w:val="nil"/>
              <w:bottom w:val="single" w:sz="4" w:space="0" w:color="auto"/>
              <w:right w:val="single" w:sz="4" w:space="0" w:color="auto"/>
            </w:tcBorders>
            <w:shd w:val="clear" w:color="auto" w:fill="auto"/>
            <w:vAlign w:val="center"/>
            <w:hideMark/>
          </w:tcPr>
          <w:p w14:paraId="222192D5"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0</w:t>
            </w:r>
          </w:p>
        </w:tc>
        <w:tc>
          <w:tcPr>
            <w:tcW w:w="1149" w:type="dxa"/>
            <w:tcBorders>
              <w:top w:val="nil"/>
              <w:left w:val="nil"/>
              <w:bottom w:val="single" w:sz="4" w:space="0" w:color="auto"/>
              <w:right w:val="single" w:sz="4" w:space="0" w:color="auto"/>
            </w:tcBorders>
            <w:shd w:val="clear" w:color="auto" w:fill="auto"/>
            <w:vAlign w:val="center"/>
            <w:hideMark/>
          </w:tcPr>
          <w:p w14:paraId="7D0AB54A"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2,1</w:t>
            </w:r>
          </w:p>
        </w:tc>
        <w:tc>
          <w:tcPr>
            <w:tcW w:w="1119" w:type="dxa"/>
            <w:tcBorders>
              <w:top w:val="nil"/>
              <w:left w:val="nil"/>
              <w:bottom w:val="single" w:sz="4" w:space="0" w:color="auto"/>
              <w:right w:val="single" w:sz="4" w:space="0" w:color="auto"/>
            </w:tcBorders>
            <w:shd w:val="clear" w:color="auto" w:fill="auto"/>
            <w:vAlign w:val="center"/>
            <w:hideMark/>
          </w:tcPr>
          <w:p w14:paraId="1ED9D5C4"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2,4</w:t>
            </w:r>
          </w:p>
        </w:tc>
        <w:tc>
          <w:tcPr>
            <w:tcW w:w="3149" w:type="dxa"/>
            <w:tcBorders>
              <w:top w:val="nil"/>
              <w:left w:val="nil"/>
              <w:bottom w:val="single" w:sz="4" w:space="0" w:color="auto"/>
              <w:right w:val="single" w:sz="4" w:space="0" w:color="auto"/>
            </w:tcBorders>
            <w:shd w:val="clear" w:color="auto" w:fill="auto"/>
            <w:hideMark/>
          </w:tcPr>
          <w:p w14:paraId="25EA79AD" w14:textId="77777777" w:rsidR="00322AE9" w:rsidRPr="00322AE9" w:rsidRDefault="00322AE9" w:rsidP="00322AE9">
            <w:pPr>
              <w:ind w:firstLine="0"/>
              <w:jc w:val="left"/>
              <w:rPr>
                <w:rFonts w:eastAsia="Times New Roman" w:cs="Times New Roman"/>
                <w:color w:val="000000"/>
                <w:sz w:val="18"/>
                <w:szCs w:val="18"/>
                <w:lang w:eastAsia="ru-RU"/>
              </w:rPr>
            </w:pPr>
            <w:r w:rsidRPr="00322AE9">
              <w:rPr>
                <w:rFonts w:eastAsia="Times New Roman" w:cs="Times New Roman"/>
                <w:color w:val="000000"/>
                <w:sz w:val="18"/>
                <w:szCs w:val="18"/>
                <w:lang w:eastAsia="ru-RU"/>
              </w:rPr>
              <w:t>СП 53.13330.2011 "Планировка и застройка территории садоводческих (дачных) объединений граждан, здания и сооружения", п.7.3</w:t>
            </w:r>
          </w:p>
        </w:tc>
      </w:tr>
      <w:tr w:rsidR="00322AE9" w:rsidRPr="00322AE9" w14:paraId="227FA5A2" w14:textId="77777777" w:rsidTr="00322AE9">
        <w:trPr>
          <w:trHeight w:val="510"/>
          <w:jc w:val="center"/>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5D23EDBE" w14:textId="77777777" w:rsidR="00322AE9" w:rsidRPr="00322AE9" w:rsidRDefault="00322AE9" w:rsidP="00322AE9">
            <w:pPr>
              <w:ind w:firstLine="0"/>
              <w:jc w:val="center"/>
              <w:rPr>
                <w:rFonts w:eastAsia="Times New Roman" w:cs="Times New Roman"/>
                <w:b/>
                <w:bCs/>
                <w:color w:val="000000"/>
                <w:sz w:val="20"/>
                <w:szCs w:val="20"/>
                <w:lang w:eastAsia="ru-RU"/>
              </w:rPr>
            </w:pPr>
            <w:r w:rsidRPr="00322AE9">
              <w:rPr>
                <w:rFonts w:eastAsia="Times New Roman" w:cs="Times New Roman"/>
                <w:b/>
                <w:bCs/>
                <w:color w:val="000000"/>
                <w:sz w:val="20"/>
                <w:szCs w:val="20"/>
                <w:lang w:eastAsia="ru-RU"/>
              </w:rPr>
              <w:t>03</w:t>
            </w:r>
          </w:p>
        </w:tc>
        <w:tc>
          <w:tcPr>
            <w:tcW w:w="816" w:type="dxa"/>
            <w:tcBorders>
              <w:top w:val="nil"/>
              <w:left w:val="nil"/>
              <w:bottom w:val="single" w:sz="4" w:space="0" w:color="auto"/>
              <w:right w:val="single" w:sz="4" w:space="0" w:color="auto"/>
            </w:tcBorders>
            <w:shd w:val="clear" w:color="auto" w:fill="auto"/>
            <w:vAlign w:val="center"/>
            <w:hideMark/>
          </w:tcPr>
          <w:p w14:paraId="46647E38" w14:textId="77777777" w:rsidR="00322AE9" w:rsidRPr="00322AE9" w:rsidRDefault="00322AE9" w:rsidP="00322AE9">
            <w:pPr>
              <w:ind w:firstLine="0"/>
              <w:jc w:val="center"/>
              <w:rPr>
                <w:rFonts w:eastAsia="Times New Roman" w:cs="Times New Roman"/>
                <w:b/>
                <w:bCs/>
                <w:color w:val="000000"/>
                <w:sz w:val="20"/>
                <w:szCs w:val="20"/>
                <w:lang w:eastAsia="ru-RU"/>
              </w:rPr>
            </w:pPr>
            <w:r w:rsidRPr="00322AE9">
              <w:rPr>
                <w:rFonts w:eastAsia="Times New Roman" w:cs="Times New Roman"/>
                <w:b/>
                <w:bCs/>
                <w:color w:val="000000"/>
                <w:sz w:val="20"/>
                <w:szCs w:val="20"/>
                <w:lang w:eastAsia="ru-RU"/>
              </w:rPr>
              <w:t>0300</w:t>
            </w:r>
          </w:p>
        </w:tc>
        <w:tc>
          <w:tcPr>
            <w:tcW w:w="2893" w:type="dxa"/>
            <w:tcBorders>
              <w:top w:val="nil"/>
              <w:left w:val="nil"/>
              <w:bottom w:val="single" w:sz="4" w:space="0" w:color="auto"/>
              <w:right w:val="single" w:sz="4" w:space="0" w:color="auto"/>
            </w:tcBorders>
            <w:shd w:val="clear" w:color="auto" w:fill="auto"/>
            <w:vAlign w:val="center"/>
            <w:hideMark/>
          </w:tcPr>
          <w:p w14:paraId="184B0F46" w14:textId="77777777" w:rsidR="00322AE9" w:rsidRPr="00322AE9" w:rsidRDefault="00322AE9" w:rsidP="00322AE9">
            <w:pPr>
              <w:ind w:firstLine="0"/>
              <w:jc w:val="left"/>
              <w:rPr>
                <w:rFonts w:eastAsia="Times New Roman" w:cs="Times New Roman"/>
                <w:b/>
                <w:bCs/>
                <w:color w:val="000000"/>
                <w:sz w:val="20"/>
                <w:szCs w:val="20"/>
                <w:lang w:eastAsia="ru-RU"/>
              </w:rPr>
            </w:pPr>
            <w:r w:rsidRPr="00322AE9">
              <w:rPr>
                <w:rFonts w:eastAsia="Times New Roman" w:cs="Times New Roman"/>
                <w:b/>
                <w:bCs/>
                <w:color w:val="000000"/>
                <w:sz w:val="20"/>
                <w:szCs w:val="20"/>
                <w:lang w:eastAsia="ru-RU"/>
              </w:rPr>
              <w:t>Группа 3. Объекты, предназначенные для хранения транспорта</w:t>
            </w:r>
          </w:p>
        </w:tc>
        <w:tc>
          <w:tcPr>
            <w:tcW w:w="855" w:type="dxa"/>
            <w:tcBorders>
              <w:top w:val="nil"/>
              <w:left w:val="nil"/>
              <w:bottom w:val="single" w:sz="4" w:space="0" w:color="auto"/>
              <w:right w:val="single" w:sz="4" w:space="0" w:color="auto"/>
            </w:tcBorders>
            <w:shd w:val="clear" w:color="FFFFFF" w:fill="FFFFFF"/>
            <w:vAlign w:val="center"/>
            <w:hideMark/>
          </w:tcPr>
          <w:p w14:paraId="1295BD9C" w14:textId="77777777" w:rsidR="00322AE9" w:rsidRPr="00322AE9" w:rsidRDefault="00322AE9" w:rsidP="00322AE9">
            <w:pPr>
              <w:ind w:firstLine="0"/>
              <w:jc w:val="left"/>
              <w:rPr>
                <w:rFonts w:eastAsia="Times New Roman" w:cs="Times New Roman"/>
                <w:i/>
                <w:iCs/>
                <w:color w:val="000000"/>
                <w:sz w:val="18"/>
                <w:szCs w:val="18"/>
                <w:u w:val="single"/>
                <w:lang w:eastAsia="ru-RU"/>
              </w:rPr>
            </w:pPr>
            <w:r w:rsidRPr="00322AE9">
              <w:rPr>
                <w:rFonts w:eastAsia="Times New Roman" w:cs="Times New Roman"/>
                <w:i/>
                <w:iCs/>
                <w:color w:val="000000"/>
                <w:sz w:val="18"/>
                <w:szCs w:val="18"/>
                <w:u w:val="single"/>
                <w:lang w:eastAsia="ru-RU"/>
              </w:rPr>
              <w:t> </w:t>
            </w:r>
          </w:p>
        </w:tc>
        <w:tc>
          <w:tcPr>
            <w:tcW w:w="793" w:type="dxa"/>
            <w:tcBorders>
              <w:top w:val="nil"/>
              <w:left w:val="nil"/>
              <w:bottom w:val="single" w:sz="4" w:space="0" w:color="auto"/>
              <w:right w:val="single" w:sz="4" w:space="0" w:color="auto"/>
            </w:tcBorders>
            <w:shd w:val="clear" w:color="FFFFFF" w:fill="FFFFFF"/>
            <w:vAlign w:val="center"/>
            <w:hideMark/>
          </w:tcPr>
          <w:p w14:paraId="1597C099"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2,2</w:t>
            </w:r>
          </w:p>
        </w:tc>
        <w:tc>
          <w:tcPr>
            <w:tcW w:w="992" w:type="dxa"/>
            <w:tcBorders>
              <w:top w:val="nil"/>
              <w:left w:val="nil"/>
              <w:bottom w:val="single" w:sz="4" w:space="0" w:color="auto"/>
              <w:right w:val="single" w:sz="4" w:space="0" w:color="auto"/>
            </w:tcBorders>
            <w:shd w:val="clear" w:color="auto" w:fill="auto"/>
            <w:vAlign w:val="center"/>
            <w:hideMark/>
          </w:tcPr>
          <w:p w14:paraId="79C46686"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0,3</w:t>
            </w:r>
          </w:p>
        </w:tc>
        <w:tc>
          <w:tcPr>
            <w:tcW w:w="1030" w:type="dxa"/>
            <w:tcBorders>
              <w:top w:val="nil"/>
              <w:left w:val="nil"/>
              <w:bottom w:val="single" w:sz="4" w:space="0" w:color="auto"/>
              <w:right w:val="single" w:sz="4" w:space="0" w:color="auto"/>
            </w:tcBorders>
            <w:shd w:val="clear" w:color="auto" w:fill="auto"/>
            <w:vAlign w:val="center"/>
            <w:hideMark/>
          </w:tcPr>
          <w:p w14:paraId="7E9E24AD"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2,5</w:t>
            </w:r>
          </w:p>
        </w:tc>
        <w:tc>
          <w:tcPr>
            <w:tcW w:w="1096" w:type="dxa"/>
            <w:tcBorders>
              <w:top w:val="nil"/>
              <w:left w:val="nil"/>
              <w:bottom w:val="single" w:sz="4" w:space="0" w:color="auto"/>
              <w:right w:val="single" w:sz="4" w:space="0" w:color="auto"/>
            </w:tcBorders>
            <w:shd w:val="clear" w:color="auto" w:fill="auto"/>
            <w:vAlign w:val="center"/>
            <w:hideMark/>
          </w:tcPr>
          <w:p w14:paraId="13F206BF"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1,6</w:t>
            </w:r>
          </w:p>
        </w:tc>
        <w:tc>
          <w:tcPr>
            <w:tcW w:w="1149" w:type="dxa"/>
            <w:tcBorders>
              <w:top w:val="nil"/>
              <w:left w:val="nil"/>
              <w:bottom w:val="single" w:sz="4" w:space="0" w:color="auto"/>
              <w:right w:val="single" w:sz="4" w:space="0" w:color="auto"/>
            </w:tcBorders>
            <w:shd w:val="clear" w:color="auto" w:fill="auto"/>
            <w:vAlign w:val="center"/>
            <w:hideMark/>
          </w:tcPr>
          <w:p w14:paraId="46F997A4"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2,1</w:t>
            </w:r>
          </w:p>
        </w:tc>
        <w:tc>
          <w:tcPr>
            <w:tcW w:w="1119" w:type="dxa"/>
            <w:tcBorders>
              <w:top w:val="nil"/>
              <w:left w:val="nil"/>
              <w:bottom w:val="single" w:sz="4" w:space="0" w:color="auto"/>
              <w:right w:val="single" w:sz="4" w:space="0" w:color="auto"/>
            </w:tcBorders>
            <w:shd w:val="clear" w:color="auto" w:fill="auto"/>
            <w:vAlign w:val="center"/>
            <w:hideMark/>
          </w:tcPr>
          <w:p w14:paraId="703B48A4"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2,4</w:t>
            </w:r>
          </w:p>
        </w:tc>
        <w:tc>
          <w:tcPr>
            <w:tcW w:w="3149" w:type="dxa"/>
            <w:tcBorders>
              <w:top w:val="nil"/>
              <w:left w:val="nil"/>
              <w:bottom w:val="single" w:sz="4" w:space="0" w:color="auto"/>
              <w:right w:val="single" w:sz="4" w:space="0" w:color="auto"/>
            </w:tcBorders>
            <w:shd w:val="clear" w:color="auto" w:fill="auto"/>
            <w:hideMark/>
          </w:tcPr>
          <w:p w14:paraId="2D5EA228" w14:textId="77777777" w:rsidR="00322AE9" w:rsidRPr="00322AE9" w:rsidRDefault="00322AE9" w:rsidP="00322AE9">
            <w:pPr>
              <w:ind w:firstLine="0"/>
              <w:jc w:val="left"/>
              <w:rPr>
                <w:rFonts w:eastAsia="Times New Roman" w:cs="Times New Roman"/>
                <w:color w:val="000000"/>
                <w:sz w:val="18"/>
                <w:szCs w:val="18"/>
                <w:lang w:eastAsia="ru-RU"/>
              </w:rPr>
            </w:pPr>
            <w:r w:rsidRPr="00322AE9">
              <w:rPr>
                <w:rFonts w:eastAsia="Times New Roman" w:cs="Times New Roman"/>
                <w:color w:val="000000"/>
                <w:sz w:val="18"/>
                <w:szCs w:val="18"/>
                <w:lang w:eastAsia="ru-RU"/>
              </w:rPr>
              <w:t> </w:t>
            </w:r>
          </w:p>
        </w:tc>
      </w:tr>
      <w:tr w:rsidR="00322AE9" w:rsidRPr="00322AE9" w14:paraId="07A275C3" w14:textId="77777777" w:rsidTr="00322AE9">
        <w:trPr>
          <w:trHeight w:val="960"/>
          <w:jc w:val="center"/>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16020E2C"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 </w:t>
            </w:r>
          </w:p>
        </w:tc>
        <w:tc>
          <w:tcPr>
            <w:tcW w:w="816" w:type="dxa"/>
            <w:tcBorders>
              <w:top w:val="nil"/>
              <w:left w:val="nil"/>
              <w:bottom w:val="single" w:sz="4" w:space="0" w:color="auto"/>
              <w:right w:val="single" w:sz="4" w:space="0" w:color="auto"/>
            </w:tcBorders>
            <w:shd w:val="clear" w:color="auto" w:fill="auto"/>
            <w:vAlign w:val="center"/>
            <w:hideMark/>
          </w:tcPr>
          <w:p w14:paraId="67E66B0C"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0301</w:t>
            </w:r>
          </w:p>
        </w:tc>
        <w:tc>
          <w:tcPr>
            <w:tcW w:w="2893" w:type="dxa"/>
            <w:tcBorders>
              <w:top w:val="nil"/>
              <w:left w:val="nil"/>
              <w:bottom w:val="single" w:sz="4" w:space="0" w:color="auto"/>
              <w:right w:val="single" w:sz="4" w:space="0" w:color="auto"/>
            </w:tcBorders>
            <w:shd w:val="clear" w:color="auto" w:fill="auto"/>
            <w:vAlign w:val="center"/>
            <w:hideMark/>
          </w:tcPr>
          <w:p w14:paraId="0DA5ACFD" w14:textId="77777777" w:rsidR="00322AE9" w:rsidRPr="00322AE9" w:rsidRDefault="00322AE9" w:rsidP="00322AE9">
            <w:pPr>
              <w:ind w:firstLine="0"/>
              <w:jc w:val="left"/>
              <w:rPr>
                <w:rFonts w:eastAsia="Times New Roman" w:cs="Times New Roman"/>
                <w:color w:val="000000"/>
                <w:sz w:val="20"/>
                <w:szCs w:val="20"/>
                <w:lang w:eastAsia="ru-RU"/>
              </w:rPr>
            </w:pPr>
            <w:r w:rsidRPr="00322AE9">
              <w:rPr>
                <w:rFonts w:eastAsia="Times New Roman" w:cs="Times New Roman"/>
                <w:color w:val="000000"/>
                <w:sz w:val="20"/>
                <w:szCs w:val="20"/>
                <w:lang w:eastAsia="ru-RU"/>
              </w:rPr>
              <w:t>Открытые автостоянки автомобилей (покрытые площадки и проезды)</w:t>
            </w:r>
          </w:p>
        </w:tc>
        <w:tc>
          <w:tcPr>
            <w:tcW w:w="855" w:type="dxa"/>
            <w:tcBorders>
              <w:top w:val="nil"/>
              <w:left w:val="nil"/>
              <w:bottom w:val="single" w:sz="4" w:space="0" w:color="auto"/>
              <w:right w:val="single" w:sz="4" w:space="0" w:color="auto"/>
            </w:tcBorders>
            <w:shd w:val="clear" w:color="FFFFFF" w:fill="FFFFFF"/>
            <w:vAlign w:val="center"/>
            <w:hideMark/>
          </w:tcPr>
          <w:p w14:paraId="27EA2287"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 </w:t>
            </w:r>
          </w:p>
        </w:tc>
        <w:tc>
          <w:tcPr>
            <w:tcW w:w="793" w:type="dxa"/>
            <w:tcBorders>
              <w:top w:val="nil"/>
              <w:left w:val="nil"/>
              <w:bottom w:val="single" w:sz="4" w:space="0" w:color="auto"/>
              <w:right w:val="single" w:sz="4" w:space="0" w:color="auto"/>
            </w:tcBorders>
            <w:shd w:val="clear" w:color="FFFFFF" w:fill="FFFFFF"/>
            <w:vAlign w:val="center"/>
            <w:hideMark/>
          </w:tcPr>
          <w:p w14:paraId="5C3B6CDC"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2,2</w:t>
            </w:r>
          </w:p>
        </w:tc>
        <w:tc>
          <w:tcPr>
            <w:tcW w:w="992" w:type="dxa"/>
            <w:tcBorders>
              <w:top w:val="nil"/>
              <w:left w:val="nil"/>
              <w:bottom w:val="single" w:sz="4" w:space="0" w:color="auto"/>
              <w:right w:val="single" w:sz="4" w:space="0" w:color="auto"/>
            </w:tcBorders>
            <w:shd w:val="clear" w:color="auto" w:fill="auto"/>
            <w:vAlign w:val="center"/>
            <w:hideMark/>
          </w:tcPr>
          <w:p w14:paraId="6ECC0943"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0,3</w:t>
            </w:r>
          </w:p>
        </w:tc>
        <w:tc>
          <w:tcPr>
            <w:tcW w:w="1030" w:type="dxa"/>
            <w:tcBorders>
              <w:top w:val="nil"/>
              <w:left w:val="nil"/>
              <w:bottom w:val="single" w:sz="4" w:space="0" w:color="auto"/>
              <w:right w:val="single" w:sz="4" w:space="0" w:color="auto"/>
            </w:tcBorders>
            <w:shd w:val="clear" w:color="auto" w:fill="auto"/>
            <w:vAlign w:val="center"/>
            <w:hideMark/>
          </w:tcPr>
          <w:p w14:paraId="248C4B46"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2,5</w:t>
            </w:r>
          </w:p>
        </w:tc>
        <w:tc>
          <w:tcPr>
            <w:tcW w:w="1096" w:type="dxa"/>
            <w:tcBorders>
              <w:top w:val="nil"/>
              <w:left w:val="nil"/>
              <w:bottom w:val="single" w:sz="4" w:space="0" w:color="auto"/>
              <w:right w:val="single" w:sz="4" w:space="0" w:color="auto"/>
            </w:tcBorders>
            <w:shd w:val="clear" w:color="auto" w:fill="auto"/>
            <w:vAlign w:val="center"/>
            <w:hideMark/>
          </w:tcPr>
          <w:p w14:paraId="353080B1"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1,6</w:t>
            </w:r>
          </w:p>
        </w:tc>
        <w:tc>
          <w:tcPr>
            <w:tcW w:w="1149" w:type="dxa"/>
            <w:tcBorders>
              <w:top w:val="nil"/>
              <w:left w:val="nil"/>
              <w:bottom w:val="single" w:sz="4" w:space="0" w:color="auto"/>
              <w:right w:val="single" w:sz="4" w:space="0" w:color="auto"/>
            </w:tcBorders>
            <w:shd w:val="clear" w:color="auto" w:fill="auto"/>
            <w:vAlign w:val="center"/>
            <w:hideMark/>
          </w:tcPr>
          <w:p w14:paraId="20C5CBFC"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2,1</w:t>
            </w:r>
          </w:p>
        </w:tc>
        <w:tc>
          <w:tcPr>
            <w:tcW w:w="1119" w:type="dxa"/>
            <w:tcBorders>
              <w:top w:val="nil"/>
              <w:left w:val="nil"/>
              <w:bottom w:val="single" w:sz="4" w:space="0" w:color="auto"/>
              <w:right w:val="single" w:sz="4" w:space="0" w:color="auto"/>
            </w:tcBorders>
            <w:shd w:val="clear" w:color="auto" w:fill="auto"/>
            <w:vAlign w:val="center"/>
            <w:hideMark/>
          </w:tcPr>
          <w:p w14:paraId="5F2F5989"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2,4</w:t>
            </w:r>
          </w:p>
        </w:tc>
        <w:tc>
          <w:tcPr>
            <w:tcW w:w="3149" w:type="dxa"/>
            <w:tcBorders>
              <w:top w:val="nil"/>
              <w:left w:val="nil"/>
              <w:bottom w:val="single" w:sz="4" w:space="0" w:color="auto"/>
              <w:right w:val="single" w:sz="4" w:space="0" w:color="auto"/>
            </w:tcBorders>
            <w:shd w:val="clear" w:color="auto" w:fill="auto"/>
            <w:hideMark/>
          </w:tcPr>
          <w:p w14:paraId="368AD88D" w14:textId="77777777" w:rsidR="00322AE9" w:rsidRPr="00322AE9" w:rsidRDefault="00322AE9" w:rsidP="00322AE9">
            <w:pPr>
              <w:ind w:firstLine="0"/>
              <w:jc w:val="left"/>
              <w:rPr>
                <w:rFonts w:eastAsia="Times New Roman" w:cs="Times New Roman"/>
                <w:color w:val="000000"/>
                <w:sz w:val="18"/>
                <w:szCs w:val="18"/>
                <w:lang w:eastAsia="ru-RU"/>
              </w:rPr>
            </w:pPr>
            <w:r w:rsidRPr="00322AE9">
              <w:rPr>
                <w:rFonts w:eastAsia="Times New Roman" w:cs="Times New Roman"/>
                <w:color w:val="000000"/>
                <w:sz w:val="18"/>
                <w:szCs w:val="18"/>
                <w:lang w:eastAsia="ru-RU"/>
              </w:rPr>
              <w:t>СП 113.13330.2012 "Стоянки автомобилей", п.5.1.20;  Пособие для проектирования "Гаражи-стоянки для легковых автомобилей, принадлежащих граждан" М. АО "ЦНИИПРОМЗДАНИЙ" 1998 г.</w:t>
            </w:r>
          </w:p>
        </w:tc>
      </w:tr>
      <w:tr w:rsidR="00322AE9" w:rsidRPr="00322AE9" w14:paraId="417C0800" w14:textId="77777777" w:rsidTr="00322AE9">
        <w:trPr>
          <w:trHeight w:val="960"/>
          <w:jc w:val="center"/>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7E8C79D3"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 </w:t>
            </w:r>
          </w:p>
        </w:tc>
        <w:tc>
          <w:tcPr>
            <w:tcW w:w="816" w:type="dxa"/>
            <w:tcBorders>
              <w:top w:val="nil"/>
              <w:left w:val="nil"/>
              <w:bottom w:val="single" w:sz="4" w:space="0" w:color="auto"/>
              <w:right w:val="single" w:sz="4" w:space="0" w:color="auto"/>
            </w:tcBorders>
            <w:shd w:val="clear" w:color="auto" w:fill="auto"/>
            <w:vAlign w:val="center"/>
            <w:hideMark/>
          </w:tcPr>
          <w:p w14:paraId="6E2A987F"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0302</w:t>
            </w:r>
          </w:p>
        </w:tc>
        <w:tc>
          <w:tcPr>
            <w:tcW w:w="2893" w:type="dxa"/>
            <w:tcBorders>
              <w:top w:val="nil"/>
              <w:left w:val="nil"/>
              <w:bottom w:val="single" w:sz="4" w:space="0" w:color="auto"/>
              <w:right w:val="single" w:sz="4" w:space="0" w:color="auto"/>
            </w:tcBorders>
            <w:shd w:val="clear" w:color="auto" w:fill="auto"/>
            <w:vAlign w:val="center"/>
            <w:hideMark/>
          </w:tcPr>
          <w:p w14:paraId="73294249" w14:textId="77777777" w:rsidR="00322AE9" w:rsidRPr="00322AE9" w:rsidRDefault="00322AE9" w:rsidP="00322AE9">
            <w:pPr>
              <w:ind w:firstLine="0"/>
              <w:jc w:val="left"/>
              <w:rPr>
                <w:rFonts w:eastAsia="Times New Roman" w:cs="Times New Roman"/>
                <w:color w:val="000000"/>
                <w:sz w:val="20"/>
                <w:szCs w:val="20"/>
                <w:lang w:eastAsia="ru-RU"/>
              </w:rPr>
            </w:pPr>
            <w:r w:rsidRPr="00322AE9">
              <w:rPr>
                <w:rFonts w:eastAsia="Times New Roman" w:cs="Times New Roman"/>
                <w:color w:val="000000"/>
                <w:sz w:val="20"/>
                <w:szCs w:val="20"/>
                <w:lang w:eastAsia="ru-RU"/>
              </w:rPr>
              <w:t>Гаражи индивидуальные отдельностоящие</w:t>
            </w:r>
          </w:p>
        </w:tc>
        <w:tc>
          <w:tcPr>
            <w:tcW w:w="855" w:type="dxa"/>
            <w:tcBorders>
              <w:top w:val="nil"/>
              <w:left w:val="nil"/>
              <w:bottom w:val="single" w:sz="4" w:space="0" w:color="auto"/>
              <w:right w:val="single" w:sz="4" w:space="0" w:color="auto"/>
            </w:tcBorders>
            <w:shd w:val="clear" w:color="FFFFFF" w:fill="FFFFFF"/>
            <w:vAlign w:val="center"/>
            <w:hideMark/>
          </w:tcPr>
          <w:p w14:paraId="10E0D7FE"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 </w:t>
            </w:r>
          </w:p>
        </w:tc>
        <w:tc>
          <w:tcPr>
            <w:tcW w:w="793" w:type="dxa"/>
            <w:tcBorders>
              <w:top w:val="nil"/>
              <w:left w:val="nil"/>
              <w:bottom w:val="single" w:sz="4" w:space="0" w:color="auto"/>
              <w:right w:val="single" w:sz="4" w:space="0" w:color="auto"/>
            </w:tcBorders>
            <w:shd w:val="clear" w:color="auto" w:fill="auto"/>
            <w:vAlign w:val="center"/>
            <w:hideMark/>
          </w:tcPr>
          <w:p w14:paraId="1CCAED4A"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2,4</w:t>
            </w:r>
          </w:p>
        </w:tc>
        <w:tc>
          <w:tcPr>
            <w:tcW w:w="992" w:type="dxa"/>
            <w:tcBorders>
              <w:top w:val="nil"/>
              <w:left w:val="nil"/>
              <w:bottom w:val="single" w:sz="4" w:space="0" w:color="auto"/>
              <w:right w:val="single" w:sz="4" w:space="0" w:color="auto"/>
            </w:tcBorders>
            <w:shd w:val="clear" w:color="auto" w:fill="auto"/>
            <w:vAlign w:val="center"/>
            <w:hideMark/>
          </w:tcPr>
          <w:p w14:paraId="2FFDE455"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0,3</w:t>
            </w:r>
          </w:p>
        </w:tc>
        <w:tc>
          <w:tcPr>
            <w:tcW w:w="1030" w:type="dxa"/>
            <w:tcBorders>
              <w:top w:val="nil"/>
              <w:left w:val="nil"/>
              <w:bottom w:val="single" w:sz="4" w:space="0" w:color="auto"/>
              <w:right w:val="single" w:sz="4" w:space="0" w:color="auto"/>
            </w:tcBorders>
            <w:shd w:val="clear" w:color="auto" w:fill="auto"/>
            <w:vAlign w:val="center"/>
            <w:hideMark/>
          </w:tcPr>
          <w:p w14:paraId="3A2D706A"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2,7</w:t>
            </w:r>
          </w:p>
        </w:tc>
        <w:tc>
          <w:tcPr>
            <w:tcW w:w="1096" w:type="dxa"/>
            <w:tcBorders>
              <w:top w:val="nil"/>
              <w:left w:val="nil"/>
              <w:bottom w:val="single" w:sz="4" w:space="0" w:color="auto"/>
              <w:right w:val="single" w:sz="4" w:space="0" w:color="auto"/>
            </w:tcBorders>
            <w:shd w:val="clear" w:color="auto" w:fill="auto"/>
            <w:vAlign w:val="center"/>
            <w:hideMark/>
          </w:tcPr>
          <w:p w14:paraId="7C3E5CAF"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1,6</w:t>
            </w:r>
          </w:p>
        </w:tc>
        <w:tc>
          <w:tcPr>
            <w:tcW w:w="1149" w:type="dxa"/>
            <w:tcBorders>
              <w:top w:val="nil"/>
              <w:left w:val="nil"/>
              <w:bottom w:val="single" w:sz="4" w:space="0" w:color="auto"/>
              <w:right w:val="single" w:sz="4" w:space="0" w:color="auto"/>
            </w:tcBorders>
            <w:shd w:val="clear" w:color="auto" w:fill="auto"/>
            <w:vAlign w:val="center"/>
            <w:hideMark/>
          </w:tcPr>
          <w:p w14:paraId="7F769F08"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2,1</w:t>
            </w:r>
          </w:p>
        </w:tc>
        <w:tc>
          <w:tcPr>
            <w:tcW w:w="1119" w:type="dxa"/>
            <w:tcBorders>
              <w:top w:val="nil"/>
              <w:left w:val="nil"/>
              <w:bottom w:val="single" w:sz="4" w:space="0" w:color="auto"/>
              <w:right w:val="single" w:sz="4" w:space="0" w:color="auto"/>
            </w:tcBorders>
            <w:shd w:val="clear" w:color="auto" w:fill="auto"/>
            <w:vAlign w:val="center"/>
            <w:hideMark/>
          </w:tcPr>
          <w:p w14:paraId="04BFE0AF"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2,4</w:t>
            </w:r>
          </w:p>
        </w:tc>
        <w:tc>
          <w:tcPr>
            <w:tcW w:w="3149" w:type="dxa"/>
            <w:tcBorders>
              <w:top w:val="nil"/>
              <w:left w:val="nil"/>
              <w:bottom w:val="single" w:sz="4" w:space="0" w:color="auto"/>
              <w:right w:val="single" w:sz="4" w:space="0" w:color="auto"/>
            </w:tcBorders>
            <w:shd w:val="clear" w:color="auto" w:fill="auto"/>
            <w:hideMark/>
          </w:tcPr>
          <w:p w14:paraId="501B46E8" w14:textId="77777777" w:rsidR="00322AE9" w:rsidRPr="00322AE9" w:rsidRDefault="00322AE9" w:rsidP="00322AE9">
            <w:pPr>
              <w:ind w:firstLine="0"/>
              <w:jc w:val="left"/>
              <w:rPr>
                <w:rFonts w:eastAsia="Times New Roman" w:cs="Times New Roman"/>
                <w:color w:val="000000"/>
                <w:sz w:val="18"/>
                <w:szCs w:val="18"/>
                <w:lang w:eastAsia="ru-RU"/>
              </w:rPr>
            </w:pPr>
            <w:r w:rsidRPr="00322AE9">
              <w:rPr>
                <w:rFonts w:eastAsia="Times New Roman" w:cs="Times New Roman"/>
                <w:color w:val="000000"/>
                <w:sz w:val="18"/>
                <w:szCs w:val="18"/>
                <w:lang w:eastAsia="ru-RU"/>
              </w:rPr>
              <w:t>СП 113.13330.2012 "Стоянки автомобилей", п.5.1.20;  Пособие для проектирования "Гаражи-стоянки для легковых автомобилей, принадлежащих граждан" М. АО "ЦНИИПРОМЗДАНИЙ" 1998 г.</w:t>
            </w:r>
          </w:p>
        </w:tc>
      </w:tr>
      <w:tr w:rsidR="00322AE9" w:rsidRPr="00322AE9" w14:paraId="6EA0CBB9" w14:textId="77777777" w:rsidTr="00322AE9">
        <w:trPr>
          <w:trHeight w:val="960"/>
          <w:jc w:val="center"/>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4E4BBA0C"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 </w:t>
            </w:r>
          </w:p>
        </w:tc>
        <w:tc>
          <w:tcPr>
            <w:tcW w:w="816" w:type="dxa"/>
            <w:tcBorders>
              <w:top w:val="nil"/>
              <w:left w:val="nil"/>
              <w:bottom w:val="single" w:sz="4" w:space="0" w:color="auto"/>
              <w:right w:val="single" w:sz="4" w:space="0" w:color="auto"/>
            </w:tcBorders>
            <w:shd w:val="clear" w:color="auto" w:fill="auto"/>
            <w:vAlign w:val="center"/>
            <w:hideMark/>
          </w:tcPr>
          <w:p w14:paraId="4A2D343A"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0303</w:t>
            </w:r>
          </w:p>
        </w:tc>
        <w:tc>
          <w:tcPr>
            <w:tcW w:w="2893" w:type="dxa"/>
            <w:tcBorders>
              <w:top w:val="nil"/>
              <w:left w:val="nil"/>
              <w:bottom w:val="single" w:sz="4" w:space="0" w:color="auto"/>
              <w:right w:val="single" w:sz="4" w:space="0" w:color="auto"/>
            </w:tcBorders>
            <w:shd w:val="clear" w:color="auto" w:fill="auto"/>
            <w:vAlign w:val="center"/>
            <w:hideMark/>
          </w:tcPr>
          <w:p w14:paraId="4339750E" w14:textId="77777777" w:rsidR="00322AE9" w:rsidRPr="00322AE9" w:rsidRDefault="00322AE9" w:rsidP="00322AE9">
            <w:pPr>
              <w:ind w:firstLine="0"/>
              <w:jc w:val="left"/>
              <w:rPr>
                <w:rFonts w:eastAsia="Times New Roman" w:cs="Times New Roman"/>
                <w:color w:val="000000"/>
                <w:sz w:val="20"/>
                <w:szCs w:val="20"/>
                <w:lang w:eastAsia="ru-RU"/>
              </w:rPr>
            </w:pPr>
            <w:r w:rsidRPr="00322AE9">
              <w:rPr>
                <w:rFonts w:eastAsia="Times New Roman" w:cs="Times New Roman"/>
                <w:color w:val="000000"/>
                <w:sz w:val="20"/>
                <w:szCs w:val="20"/>
                <w:lang w:eastAsia="ru-RU"/>
              </w:rPr>
              <w:t>Гаражные кооперативы (сблокированные индивидуальные гаражи)</w:t>
            </w:r>
          </w:p>
        </w:tc>
        <w:tc>
          <w:tcPr>
            <w:tcW w:w="855" w:type="dxa"/>
            <w:tcBorders>
              <w:top w:val="nil"/>
              <w:left w:val="nil"/>
              <w:bottom w:val="single" w:sz="4" w:space="0" w:color="auto"/>
              <w:right w:val="single" w:sz="4" w:space="0" w:color="auto"/>
            </w:tcBorders>
            <w:shd w:val="clear" w:color="FFFFFF" w:fill="FFFFFF"/>
            <w:vAlign w:val="center"/>
            <w:hideMark/>
          </w:tcPr>
          <w:p w14:paraId="0E4C67B7"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 </w:t>
            </w:r>
          </w:p>
        </w:tc>
        <w:tc>
          <w:tcPr>
            <w:tcW w:w="793" w:type="dxa"/>
            <w:tcBorders>
              <w:top w:val="nil"/>
              <w:left w:val="nil"/>
              <w:bottom w:val="single" w:sz="4" w:space="0" w:color="auto"/>
              <w:right w:val="single" w:sz="4" w:space="0" w:color="auto"/>
            </w:tcBorders>
            <w:shd w:val="clear" w:color="auto" w:fill="auto"/>
            <w:vAlign w:val="center"/>
            <w:hideMark/>
          </w:tcPr>
          <w:p w14:paraId="243391DA"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2,4</w:t>
            </w:r>
          </w:p>
        </w:tc>
        <w:tc>
          <w:tcPr>
            <w:tcW w:w="992" w:type="dxa"/>
            <w:tcBorders>
              <w:top w:val="nil"/>
              <w:left w:val="nil"/>
              <w:bottom w:val="single" w:sz="4" w:space="0" w:color="auto"/>
              <w:right w:val="single" w:sz="4" w:space="0" w:color="auto"/>
            </w:tcBorders>
            <w:shd w:val="clear" w:color="auto" w:fill="auto"/>
            <w:vAlign w:val="center"/>
            <w:hideMark/>
          </w:tcPr>
          <w:p w14:paraId="696F1EC7"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0,3</w:t>
            </w:r>
          </w:p>
        </w:tc>
        <w:tc>
          <w:tcPr>
            <w:tcW w:w="1030" w:type="dxa"/>
            <w:tcBorders>
              <w:top w:val="nil"/>
              <w:left w:val="nil"/>
              <w:bottom w:val="single" w:sz="4" w:space="0" w:color="auto"/>
              <w:right w:val="single" w:sz="4" w:space="0" w:color="auto"/>
            </w:tcBorders>
            <w:shd w:val="clear" w:color="auto" w:fill="auto"/>
            <w:vAlign w:val="center"/>
            <w:hideMark/>
          </w:tcPr>
          <w:p w14:paraId="66FC962D"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2,7</w:t>
            </w:r>
          </w:p>
        </w:tc>
        <w:tc>
          <w:tcPr>
            <w:tcW w:w="1096" w:type="dxa"/>
            <w:tcBorders>
              <w:top w:val="nil"/>
              <w:left w:val="nil"/>
              <w:bottom w:val="single" w:sz="4" w:space="0" w:color="auto"/>
              <w:right w:val="single" w:sz="4" w:space="0" w:color="auto"/>
            </w:tcBorders>
            <w:shd w:val="clear" w:color="auto" w:fill="auto"/>
            <w:vAlign w:val="center"/>
            <w:hideMark/>
          </w:tcPr>
          <w:p w14:paraId="031A2D0B"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1,6</w:t>
            </w:r>
          </w:p>
        </w:tc>
        <w:tc>
          <w:tcPr>
            <w:tcW w:w="1149" w:type="dxa"/>
            <w:tcBorders>
              <w:top w:val="nil"/>
              <w:left w:val="nil"/>
              <w:bottom w:val="single" w:sz="4" w:space="0" w:color="auto"/>
              <w:right w:val="single" w:sz="4" w:space="0" w:color="auto"/>
            </w:tcBorders>
            <w:shd w:val="clear" w:color="auto" w:fill="auto"/>
            <w:vAlign w:val="center"/>
            <w:hideMark/>
          </w:tcPr>
          <w:p w14:paraId="1E3EB9AB"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2,1</w:t>
            </w:r>
          </w:p>
        </w:tc>
        <w:tc>
          <w:tcPr>
            <w:tcW w:w="1119" w:type="dxa"/>
            <w:tcBorders>
              <w:top w:val="nil"/>
              <w:left w:val="nil"/>
              <w:bottom w:val="single" w:sz="4" w:space="0" w:color="auto"/>
              <w:right w:val="single" w:sz="4" w:space="0" w:color="auto"/>
            </w:tcBorders>
            <w:shd w:val="clear" w:color="auto" w:fill="auto"/>
            <w:vAlign w:val="center"/>
            <w:hideMark/>
          </w:tcPr>
          <w:p w14:paraId="67659137"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2,4</w:t>
            </w:r>
          </w:p>
        </w:tc>
        <w:tc>
          <w:tcPr>
            <w:tcW w:w="3149" w:type="dxa"/>
            <w:tcBorders>
              <w:top w:val="nil"/>
              <w:left w:val="nil"/>
              <w:bottom w:val="single" w:sz="4" w:space="0" w:color="auto"/>
              <w:right w:val="single" w:sz="4" w:space="0" w:color="auto"/>
            </w:tcBorders>
            <w:shd w:val="clear" w:color="auto" w:fill="auto"/>
            <w:hideMark/>
          </w:tcPr>
          <w:p w14:paraId="3E80CF63" w14:textId="77777777" w:rsidR="00322AE9" w:rsidRPr="00322AE9" w:rsidRDefault="00322AE9" w:rsidP="00322AE9">
            <w:pPr>
              <w:ind w:firstLine="0"/>
              <w:jc w:val="left"/>
              <w:rPr>
                <w:rFonts w:eastAsia="Times New Roman" w:cs="Times New Roman"/>
                <w:color w:val="000000"/>
                <w:sz w:val="18"/>
                <w:szCs w:val="18"/>
                <w:lang w:eastAsia="ru-RU"/>
              </w:rPr>
            </w:pPr>
            <w:r w:rsidRPr="00322AE9">
              <w:rPr>
                <w:rFonts w:eastAsia="Times New Roman" w:cs="Times New Roman"/>
                <w:color w:val="000000"/>
                <w:sz w:val="18"/>
                <w:szCs w:val="18"/>
                <w:lang w:eastAsia="ru-RU"/>
              </w:rPr>
              <w:t>СП 113.13330.2012 "Стоянки автомобилей", п.5.1.20;  Пособие для проектирования "Гаражи-стоянки для легковых автомобилей, принадлежащих граждан" М. АО "ЦНИИПРОМЗДАНИЙ" 1998 г.</w:t>
            </w:r>
          </w:p>
        </w:tc>
      </w:tr>
      <w:tr w:rsidR="00322AE9" w:rsidRPr="00322AE9" w14:paraId="1F472CD8" w14:textId="77777777" w:rsidTr="00322AE9">
        <w:trPr>
          <w:trHeight w:val="960"/>
          <w:jc w:val="center"/>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29B47258"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 </w:t>
            </w:r>
          </w:p>
        </w:tc>
        <w:tc>
          <w:tcPr>
            <w:tcW w:w="816" w:type="dxa"/>
            <w:tcBorders>
              <w:top w:val="nil"/>
              <w:left w:val="nil"/>
              <w:bottom w:val="single" w:sz="4" w:space="0" w:color="auto"/>
              <w:right w:val="single" w:sz="4" w:space="0" w:color="auto"/>
            </w:tcBorders>
            <w:shd w:val="clear" w:color="auto" w:fill="auto"/>
            <w:vAlign w:val="center"/>
            <w:hideMark/>
          </w:tcPr>
          <w:p w14:paraId="0A935072"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0304</w:t>
            </w:r>
          </w:p>
        </w:tc>
        <w:tc>
          <w:tcPr>
            <w:tcW w:w="2893" w:type="dxa"/>
            <w:tcBorders>
              <w:top w:val="nil"/>
              <w:left w:val="nil"/>
              <w:bottom w:val="single" w:sz="4" w:space="0" w:color="auto"/>
              <w:right w:val="single" w:sz="4" w:space="0" w:color="auto"/>
            </w:tcBorders>
            <w:shd w:val="clear" w:color="auto" w:fill="auto"/>
            <w:vAlign w:val="center"/>
            <w:hideMark/>
          </w:tcPr>
          <w:p w14:paraId="5081DAEA" w14:textId="77777777" w:rsidR="00322AE9" w:rsidRPr="00322AE9" w:rsidRDefault="00322AE9" w:rsidP="00322AE9">
            <w:pPr>
              <w:ind w:firstLine="0"/>
              <w:jc w:val="left"/>
              <w:rPr>
                <w:rFonts w:eastAsia="Times New Roman" w:cs="Times New Roman"/>
                <w:color w:val="000000"/>
                <w:sz w:val="20"/>
                <w:szCs w:val="20"/>
                <w:lang w:eastAsia="ru-RU"/>
              </w:rPr>
            </w:pPr>
            <w:r w:rsidRPr="00322AE9">
              <w:rPr>
                <w:rFonts w:eastAsia="Times New Roman" w:cs="Times New Roman"/>
                <w:color w:val="000000"/>
                <w:sz w:val="20"/>
                <w:szCs w:val="20"/>
                <w:lang w:eastAsia="ru-RU"/>
              </w:rPr>
              <w:t>Паркинги</w:t>
            </w:r>
          </w:p>
        </w:tc>
        <w:tc>
          <w:tcPr>
            <w:tcW w:w="855" w:type="dxa"/>
            <w:tcBorders>
              <w:top w:val="nil"/>
              <w:left w:val="nil"/>
              <w:bottom w:val="single" w:sz="4" w:space="0" w:color="auto"/>
              <w:right w:val="single" w:sz="4" w:space="0" w:color="auto"/>
            </w:tcBorders>
            <w:shd w:val="clear" w:color="FFFFFF" w:fill="FFFFFF"/>
            <w:vAlign w:val="center"/>
            <w:hideMark/>
          </w:tcPr>
          <w:p w14:paraId="20B81103"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2,5</w:t>
            </w:r>
          </w:p>
        </w:tc>
        <w:tc>
          <w:tcPr>
            <w:tcW w:w="793" w:type="dxa"/>
            <w:tcBorders>
              <w:top w:val="nil"/>
              <w:left w:val="nil"/>
              <w:bottom w:val="single" w:sz="4" w:space="0" w:color="auto"/>
              <w:right w:val="single" w:sz="4" w:space="0" w:color="auto"/>
            </w:tcBorders>
            <w:shd w:val="clear" w:color="auto" w:fill="auto"/>
            <w:vAlign w:val="center"/>
            <w:hideMark/>
          </w:tcPr>
          <w:p w14:paraId="507156F0" w14:textId="77777777" w:rsidR="00322AE9" w:rsidRPr="00322AE9" w:rsidRDefault="00322AE9" w:rsidP="00322AE9">
            <w:pPr>
              <w:ind w:firstLine="0"/>
              <w:jc w:val="left"/>
              <w:rPr>
                <w:rFonts w:eastAsia="Times New Roman" w:cs="Times New Roman"/>
                <w:color w:val="000000"/>
                <w:sz w:val="18"/>
                <w:szCs w:val="18"/>
                <w:lang w:eastAsia="ru-RU"/>
              </w:rPr>
            </w:pPr>
            <w:r w:rsidRPr="00322AE9">
              <w:rPr>
                <w:rFonts w:eastAsia="Times New Roman" w:cs="Times New Roman"/>
                <w:color w:val="000000"/>
                <w:sz w:val="18"/>
                <w:szCs w:val="18"/>
                <w:lang w:eastAsia="ru-RU"/>
              </w:rPr>
              <w:t> </w:t>
            </w:r>
          </w:p>
        </w:tc>
        <w:tc>
          <w:tcPr>
            <w:tcW w:w="992" w:type="dxa"/>
            <w:tcBorders>
              <w:top w:val="nil"/>
              <w:left w:val="nil"/>
              <w:bottom w:val="single" w:sz="4" w:space="0" w:color="auto"/>
              <w:right w:val="single" w:sz="4" w:space="0" w:color="auto"/>
            </w:tcBorders>
            <w:shd w:val="clear" w:color="auto" w:fill="auto"/>
            <w:vAlign w:val="center"/>
            <w:hideMark/>
          </w:tcPr>
          <w:p w14:paraId="27210D88"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0,3</w:t>
            </w:r>
          </w:p>
        </w:tc>
        <w:tc>
          <w:tcPr>
            <w:tcW w:w="1030" w:type="dxa"/>
            <w:tcBorders>
              <w:top w:val="nil"/>
              <w:left w:val="nil"/>
              <w:bottom w:val="single" w:sz="4" w:space="0" w:color="auto"/>
              <w:right w:val="single" w:sz="4" w:space="0" w:color="auto"/>
            </w:tcBorders>
            <w:shd w:val="clear" w:color="auto" w:fill="auto"/>
            <w:vAlign w:val="center"/>
            <w:hideMark/>
          </w:tcPr>
          <w:p w14:paraId="3A10D3CD"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2,5</w:t>
            </w:r>
          </w:p>
        </w:tc>
        <w:tc>
          <w:tcPr>
            <w:tcW w:w="1096" w:type="dxa"/>
            <w:tcBorders>
              <w:top w:val="nil"/>
              <w:left w:val="nil"/>
              <w:bottom w:val="single" w:sz="4" w:space="0" w:color="auto"/>
              <w:right w:val="single" w:sz="4" w:space="0" w:color="auto"/>
            </w:tcBorders>
            <w:shd w:val="clear" w:color="auto" w:fill="auto"/>
            <w:vAlign w:val="center"/>
            <w:hideMark/>
          </w:tcPr>
          <w:p w14:paraId="329A3E8F"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1,6</w:t>
            </w:r>
          </w:p>
        </w:tc>
        <w:tc>
          <w:tcPr>
            <w:tcW w:w="1149" w:type="dxa"/>
            <w:tcBorders>
              <w:top w:val="nil"/>
              <w:left w:val="nil"/>
              <w:bottom w:val="single" w:sz="4" w:space="0" w:color="auto"/>
              <w:right w:val="single" w:sz="4" w:space="0" w:color="auto"/>
            </w:tcBorders>
            <w:shd w:val="clear" w:color="auto" w:fill="auto"/>
            <w:vAlign w:val="center"/>
            <w:hideMark/>
          </w:tcPr>
          <w:p w14:paraId="625EBAAE"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2,1</w:t>
            </w:r>
          </w:p>
        </w:tc>
        <w:tc>
          <w:tcPr>
            <w:tcW w:w="1119" w:type="dxa"/>
            <w:tcBorders>
              <w:top w:val="nil"/>
              <w:left w:val="nil"/>
              <w:bottom w:val="single" w:sz="4" w:space="0" w:color="auto"/>
              <w:right w:val="single" w:sz="4" w:space="0" w:color="auto"/>
            </w:tcBorders>
            <w:shd w:val="clear" w:color="auto" w:fill="auto"/>
            <w:vAlign w:val="center"/>
            <w:hideMark/>
          </w:tcPr>
          <w:p w14:paraId="672C9108"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2,5</w:t>
            </w:r>
          </w:p>
        </w:tc>
        <w:tc>
          <w:tcPr>
            <w:tcW w:w="3149" w:type="dxa"/>
            <w:tcBorders>
              <w:top w:val="nil"/>
              <w:left w:val="nil"/>
              <w:bottom w:val="single" w:sz="4" w:space="0" w:color="auto"/>
              <w:right w:val="single" w:sz="4" w:space="0" w:color="auto"/>
            </w:tcBorders>
            <w:shd w:val="clear" w:color="auto" w:fill="auto"/>
            <w:hideMark/>
          </w:tcPr>
          <w:p w14:paraId="33C4C85B" w14:textId="77777777" w:rsidR="00322AE9" w:rsidRPr="00322AE9" w:rsidRDefault="00322AE9" w:rsidP="00322AE9">
            <w:pPr>
              <w:ind w:firstLine="0"/>
              <w:jc w:val="left"/>
              <w:rPr>
                <w:rFonts w:eastAsia="Times New Roman" w:cs="Times New Roman"/>
                <w:color w:val="000000"/>
                <w:sz w:val="18"/>
                <w:szCs w:val="18"/>
                <w:lang w:eastAsia="ru-RU"/>
              </w:rPr>
            </w:pPr>
            <w:r w:rsidRPr="00322AE9">
              <w:rPr>
                <w:rFonts w:eastAsia="Times New Roman" w:cs="Times New Roman"/>
                <w:color w:val="000000"/>
                <w:sz w:val="18"/>
                <w:szCs w:val="18"/>
                <w:lang w:eastAsia="ru-RU"/>
              </w:rPr>
              <w:t>СП 113.13330.2012 "Стоянки автомобилей";  Пособие для проектирования "Гаражи-стоянки для легковых автомобилей, принадлежащих граждан" М: АО "ЦНИИПРОМЗДАНИЙ" 1998 г.</w:t>
            </w:r>
          </w:p>
        </w:tc>
      </w:tr>
      <w:tr w:rsidR="00322AE9" w:rsidRPr="00322AE9" w14:paraId="36295EBB" w14:textId="77777777" w:rsidTr="00322AE9">
        <w:trPr>
          <w:trHeight w:val="960"/>
          <w:jc w:val="center"/>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08900F86"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 </w:t>
            </w:r>
          </w:p>
        </w:tc>
        <w:tc>
          <w:tcPr>
            <w:tcW w:w="816" w:type="dxa"/>
            <w:tcBorders>
              <w:top w:val="nil"/>
              <w:left w:val="nil"/>
              <w:bottom w:val="single" w:sz="4" w:space="0" w:color="auto"/>
              <w:right w:val="single" w:sz="4" w:space="0" w:color="auto"/>
            </w:tcBorders>
            <w:shd w:val="clear" w:color="auto" w:fill="auto"/>
            <w:vAlign w:val="center"/>
            <w:hideMark/>
          </w:tcPr>
          <w:p w14:paraId="19B02BDF"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0305</w:t>
            </w:r>
          </w:p>
        </w:tc>
        <w:tc>
          <w:tcPr>
            <w:tcW w:w="2893" w:type="dxa"/>
            <w:tcBorders>
              <w:top w:val="nil"/>
              <w:left w:val="nil"/>
              <w:bottom w:val="single" w:sz="4" w:space="0" w:color="auto"/>
              <w:right w:val="single" w:sz="4" w:space="0" w:color="auto"/>
            </w:tcBorders>
            <w:shd w:val="clear" w:color="auto" w:fill="auto"/>
            <w:vAlign w:val="center"/>
            <w:hideMark/>
          </w:tcPr>
          <w:p w14:paraId="168FD997" w14:textId="77777777" w:rsidR="00322AE9" w:rsidRPr="00322AE9" w:rsidRDefault="00322AE9" w:rsidP="00322AE9">
            <w:pPr>
              <w:ind w:firstLine="0"/>
              <w:jc w:val="left"/>
              <w:rPr>
                <w:rFonts w:eastAsia="Times New Roman" w:cs="Times New Roman"/>
                <w:color w:val="000000"/>
                <w:sz w:val="20"/>
                <w:szCs w:val="20"/>
                <w:lang w:eastAsia="ru-RU"/>
              </w:rPr>
            </w:pPr>
            <w:r w:rsidRPr="00322AE9">
              <w:rPr>
                <w:rFonts w:eastAsia="Times New Roman" w:cs="Times New Roman"/>
                <w:color w:val="000000"/>
                <w:sz w:val="20"/>
                <w:szCs w:val="20"/>
                <w:lang w:eastAsia="ru-RU"/>
              </w:rPr>
              <w:t xml:space="preserve">Гаражи производственные, ведомственные для легковых автомобилей </w:t>
            </w:r>
          </w:p>
        </w:tc>
        <w:tc>
          <w:tcPr>
            <w:tcW w:w="855" w:type="dxa"/>
            <w:tcBorders>
              <w:top w:val="nil"/>
              <w:left w:val="nil"/>
              <w:bottom w:val="single" w:sz="4" w:space="0" w:color="auto"/>
              <w:right w:val="single" w:sz="4" w:space="0" w:color="auto"/>
            </w:tcBorders>
            <w:shd w:val="clear" w:color="FFFFFF" w:fill="FFFFFF"/>
            <w:vAlign w:val="center"/>
            <w:hideMark/>
          </w:tcPr>
          <w:p w14:paraId="279B2596"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 </w:t>
            </w:r>
          </w:p>
        </w:tc>
        <w:tc>
          <w:tcPr>
            <w:tcW w:w="793" w:type="dxa"/>
            <w:tcBorders>
              <w:top w:val="nil"/>
              <w:left w:val="nil"/>
              <w:bottom w:val="single" w:sz="4" w:space="0" w:color="auto"/>
              <w:right w:val="single" w:sz="4" w:space="0" w:color="auto"/>
            </w:tcBorders>
            <w:shd w:val="clear" w:color="auto" w:fill="auto"/>
            <w:vAlign w:val="center"/>
            <w:hideMark/>
          </w:tcPr>
          <w:p w14:paraId="05FDBA05"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2,4</w:t>
            </w:r>
          </w:p>
        </w:tc>
        <w:tc>
          <w:tcPr>
            <w:tcW w:w="992" w:type="dxa"/>
            <w:tcBorders>
              <w:top w:val="nil"/>
              <w:left w:val="nil"/>
              <w:bottom w:val="single" w:sz="4" w:space="0" w:color="auto"/>
              <w:right w:val="single" w:sz="4" w:space="0" w:color="auto"/>
            </w:tcBorders>
            <w:shd w:val="clear" w:color="auto" w:fill="auto"/>
            <w:vAlign w:val="center"/>
            <w:hideMark/>
          </w:tcPr>
          <w:p w14:paraId="71D61314"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0,3</w:t>
            </w:r>
          </w:p>
        </w:tc>
        <w:tc>
          <w:tcPr>
            <w:tcW w:w="1030" w:type="dxa"/>
            <w:tcBorders>
              <w:top w:val="nil"/>
              <w:left w:val="nil"/>
              <w:bottom w:val="single" w:sz="4" w:space="0" w:color="auto"/>
              <w:right w:val="single" w:sz="4" w:space="0" w:color="auto"/>
            </w:tcBorders>
            <w:shd w:val="clear" w:color="auto" w:fill="auto"/>
            <w:vAlign w:val="center"/>
            <w:hideMark/>
          </w:tcPr>
          <w:p w14:paraId="3CA6C81F"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2,7</w:t>
            </w:r>
          </w:p>
        </w:tc>
        <w:tc>
          <w:tcPr>
            <w:tcW w:w="1096" w:type="dxa"/>
            <w:tcBorders>
              <w:top w:val="nil"/>
              <w:left w:val="nil"/>
              <w:bottom w:val="single" w:sz="4" w:space="0" w:color="auto"/>
              <w:right w:val="single" w:sz="4" w:space="0" w:color="auto"/>
            </w:tcBorders>
            <w:shd w:val="clear" w:color="auto" w:fill="auto"/>
            <w:vAlign w:val="center"/>
            <w:hideMark/>
          </w:tcPr>
          <w:p w14:paraId="65582FCA"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1,6</w:t>
            </w:r>
          </w:p>
        </w:tc>
        <w:tc>
          <w:tcPr>
            <w:tcW w:w="1149" w:type="dxa"/>
            <w:tcBorders>
              <w:top w:val="nil"/>
              <w:left w:val="nil"/>
              <w:bottom w:val="single" w:sz="4" w:space="0" w:color="auto"/>
              <w:right w:val="single" w:sz="4" w:space="0" w:color="auto"/>
            </w:tcBorders>
            <w:shd w:val="clear" w:color="auto" w:fill="auto"/>
            <w:vAlign w:val="center"/>
            <w:hideMark/>
          </w:tcPr>
          <w:p w14:paraId="032E531F"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2,1</w:t>
            </w:r>
          </w:p>
        </w:tc>
        <w:tc>
          <w:tcPr>
            <w:tcW w:w="1119" w:type="dxa"/>
            <w:tcBorders>
              <w:top w:val="nil"/>
              <w:left w:val="nil"/>
              <w:bottom w:val="single" w:sz="4" w:space="0" w:color="auto"/>
              <w:right w:val="single" w:sz="4" w:space="0" w:color="auto"/>
            </w:tcBorders>
            <w:shd w:val="clear" w:color="auto" w:fill="auto"/>
            <w:vAlign w:val="center"/>
            <w:hideMark/>
          </w:tcPr>
          <w:p w14:paraId="23376D9B"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2,4</w:t>
            </w:r>
          </w:p>
        </w:tc>
        <w:tc>
          <w:tcPr>
            <w:tcW w:w="3149" w:type="dxa"/>
            <w:tcBorders>
              <w:top w:val="nil"/>
              <w:left w:val="nil"/>
              <w:bottom w:val="single" w:sz="4" w:space="0" w:color="auto"/>
              <w:right w:val="single" w:sz="4" w:space="0" w:color="auto"/>
            </w:tcBorders>
            <w:shd w:val="clear" w:color="auto" w:fill="auto"/>
            <w:hideMark/>
          </w:tcPr>
          <w:p w14:paraId="2074A6A2" w14:textId="77777777" w:rsidR="00322AE9" w:rsidRPr="00322AE9" w:rsidRDefault="00322AE9" w:rsidP="00322AE9">
            <w:pPr>
              <w:ind w:firstLine="0"/>
              <w:jc w:val="left"/>
              <w:rPr>
                <w:rFonts w:eastAsia="Times New Roman" w:cs="Times New Roman"/>
                <w:color w:val="000000"/>
                <w:sz w:val="18"/>
                <w:szCs w:val="18"/>
                <w:lang w:eastAsia="ru-RU"/>
              </w:rPr>
            </w:pPr>
            <w:r w:rsidRPr="00322AE9">
              <w:rPr>
                <w:rFonts w:eastAsia="Times New Roman" w:cs="Times New Roman"/>
                <w:color w:val="000000"/>
                <w:sz w:val="18"/>
                <w:szCs w:val="18"/>
                <w:lang w:eastAsia="ru-RU"/>
              </w:rPr>
              <w:t>СП 113.13330.2012 "Стоянки автомобилей", п.5.1.20;  Пособие для проектирования "Гаражи-стоянки для легковых автомобилей, принадлежащих граждан" М: АО "ЦНИИПРОМЗДАНИЙ" 1998 г.</w:t>
            </w:r>
          </w:p>
        </w:tc>
      </w:tr>
      <w:tr w:rsidR="00322AE9" w:rsidRPr="00322AE9" w14:paraId="17B35CD6" w14:textId="77777777" w:rsidTr="00322AE9">
        <w:trPr>
          <w:trHeight w:val="510"/>
          <w:jc w:val="center"/>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6C240984"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 </w:t>
            </w:r>
          </w:p>
        </w:tc>
        <w:tc>
          <w:tcPr>
            <w:tcW w:w="816" w:type="dxa"/>
            <w:tcBorders>
              <w:top w:val="nil"/>
              <w:left w:val="nil"/>
              <w:bottom w:val="single" w:sz="4" w:space="0" w:color="auto"/>
              <w:right w:val="single" w:sz="4" w:space="0" w:color="auto"/>
            </w:tcBorders>
            <w:shd w:val="clear" w:color="auto" w:fill="auto"/>
            <w:vAlign w:val="center"/>
            <w:hideMark/>
          </w:tcPr>
          <w:p w14:paraId="3D8E0823"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0306</w:t>
            </w:r>
          </w:p>
        </w:tc>
        <w:tc>
          <w:tcPr>
            <w:tcW w:w="2893" w:type="dxa"/>
            <w:tcBorders>
              <w:top w:val="nil"/>
              <w:left w:val="nil"/>
              <w:bottom w:val="single" w:sz="4" w:space="0" w:color="auto"/>
              <w:right w:val="single" w:sz="4" w:space="0" w:color="auto"/>
            </w:tcBorders>
            <w:shd w:val="clear" w:color="auto" w:fill="auto"/>
            <w:vAlign w:val="center"/>
            <w:hideMark/>
          </w:tcPr>
          <w:p w14:paraId="0CDAF1DF" w14:textId="77777777" w:rsidR="00322AE9" w:rsidRPr="00322AE9" w:rsidRDefault="00322AE9" w:rsidP="00322AE9">
            <w:pPr>
              <w:ind w:firstLine="0"/>
              <w:jc w:val="left"/>
              <w:rPr>
                <w:rFonts w:eastAsia="Times New Roman" w:cs="Times New Roman"/>
                <w:color w:val="000000"/>
                <w:sz w:val="20"/>
                <w:szCs w:val="20"/>
                <w:lang w:eastAsia="ru-RU"/>
              </w:rPr>
            </w:pPr>
            <w:r w:rsidRPr="00322AE9">
              <w:rPr>
                <w:rFonts w:eastAsia="Times New Roman" w:cs="Times New Roman"/>
                <w:color w:val="000000"/>
                <w:sz w:val="20"/>
                <w:szCs w:val="20"/>
                <w:lang w:eastAsia="ru-RU"/>
              </w:rPr>
              <w:t>Гаражи производственные, ведомственные для грузовых автомобилей и автобусов</w:t>
            </w:r>
          </w:p>
        </w:tc>
        <w:tc>
          <w:tcPr>
            <w:tcW w:w="855" w:type="dxa"/>
            <w:tcBorders>
              <w:top w:val="nil"/>
              <w:left w:val="nil"/>
              <w:bottom w:val="single" w:sz="4" w:space="0" w:color="auto"/>
              <w:right w:val="single" w:sz="4" w:space="0" w:color="auto"/>
            </w:tcBorders>
            <w:shd w:val="clear" w:color="FFFFFF" w:fill="FFFFFF"/>
            <w:vAlign w:val="center"/>
            <w:hideMark/>
          </w:tcPr>
          <w:p w14:paraId="467DB29B"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 </w:t>
            </w:r>
          </w:p>
        </w:tc>
        <w:tc>
          <w:tcPr>
            <w:tcW w:w="793" w:type="dxa"/>
            <w:tcBorders>
              <w:top w:val="nil"/>
              <w:left w:val="nil"/>
              <w:bottom w:val="single" w:sz="4" w:space="0" w:color="auto"/>
              <w:right w:val="single" w:sz="4" w:space="0" w:color="auto"/>
            </w:tcBorders>
            <w:shd w:val="clear" w:color="auto" w:fill="auto"/>
            <w:vAlign w:val="center"/>
            <w:hideMark/>
          </w:tcPr>
          <w:p w14:paraId="5F39BFCB"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4,2</w:t>
            </w:r>
          </w:p>
        </w:tc>
        <w:tc>
          <w:tcPr>
            <w:tcW w:w="992" w:type="dxa"/>
            <w:tcBorders>
              <w:top w:val="nil"/>
              <w:left w:val="nil"/>
              <w:bottom w:val="single" w:sz="4" w:space="0" w:color="auto"/>
              <w:right w:val="single" w:sz="4" w:space="0" w:color="auto"/>
            </w:tcBorders>
            <w:shd w:val="clear" w:color="auto" w:fill="auto"/>
            <w:vAlign w:val="center"/>
            <w:hideMark/>
          </w:tcPr>
          <w:p w14:paraId="457FC6A2"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0,3</w:t>
            </w:r>
          </w:p>
        </w:tc>
        <w:tc>
          <w:tcPr>
            <w:tcW w:w="1030" w:type="dxa"/>
            <w:tcBorders>
              <w:top w:val="nil"/>
              <w:left w:val="nil"/>
              <w:bottom w:val="single" w:sz="4" w:space="0" w:color="auto"/>
              <w:right w:val="single" w:sz="4" w:space="0" w:color="auto"/>
            </w:tcBorders>
            <w:shd w:val="clear" w:color="auto" w:fill="auto"/>
            <w:vAlign w:val="center"/>
            <w:hideMark/>
          </w:tcPr>
          <w:p w14:paraId="51F4004E"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4,5</w:t>
            </w:r>
          </w:p>
        </w:tc>
        <w:tc>
          <w:tcPr>
            <w:tcW w:w="1096" w:type="dxa"/>
            <w:tcBorders>
              <w:top w:val="nil"/>
              <w:left w:val="nil"/>
              <w:bottom w:val="single" w:sz="4" w:space="0" w:color="auto"/>
              <w:right w:val="single" w:sz="4" w:space="0" w:color="auto"/>
            </w:tcBorders>
            <w:shd w:val="clear" w:color="auto" w:fill="auto"/>
            <w:vAlign w:val="center"/>
            <w:hideMark/>
          </w:tcPr>
          <w:p w14:paraId="18BC86CE"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1,6</w:t>
            </w:r>
          </w:p>
        </w:tc>
        <w:tc>
          <w:tcPr>
            <w:tcW w:w="1149" w:type="dxa"/>
            <w:tcBorders>
              <w:top w:val="nil"/>
              <w:left w:val="nil"/>
              <w:bottom w:val="single" w:sz="4" w:space="0" w:color="auto"/>
              <w:right w:val="single" w:sz="4" w:space="0" w:color="auto"/>
            </w:tcBorders>
            <w:shd w:val="clear" w:color="auto" w:fill="auto"/>
            <w:vAlign w:val="center"/>
            <w:hideMark/>
          </w:tcPr>
          <w:p w14:paraId="138C57D8"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2,1</w:t>
            </w:r>
          </w:p>
        </w:tc>
        <w:tc>
          <w:tcPr>
            <w:tcW w:w="1119" w:type="dxa"/>
            <w:tcBorders>
              <w:top w:val="nil"/>
              <w:left w:val="nil"/>
              <w:bottom w:val="single" w:sz="4" w:space="0" w:color="auto"/>
              <w:right w:val="single" w:sz="4" w:space="0" w:color="auto"/>
            </w:tcBorders>
            <w:shd w:val="clear" w:color="auto" w:fill="auto"/>
            <w:vAlign w:val="center"/>
            <w:hideMark/>
          </w:tcPr>
          <w:p w14:paraId="0A12A621"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2,4</w:t>
            </w:r>
          </w:p>
        </w:tc>
        <w:tc>
          <w:tcPr>
            <w:tcW w:w="3149" w:type="dxa"/>
            <w:tcBorders>
              <w:top w:val="nil"/>
              <w:left w:val="nil"/>
              <w:bottom w:val="single" w:sz="4" w:space="0" w:color="auto"/>
              <w:right w:val="single" w:sz="4" w:space="0" w:color="auto"/>
            </w:tcBorders>
            <w:shd w:val="clear" w:color="auto" w:fill="auto"/>
            <w:hideMark/>
          </w:tcPr>
          <w:p w14:paraId="087BFD5C" w14:textId="77777777" w:rsidR="00322AE9" w:rsidRPr="00322AE9" w:rsidRDefault="00322AE9" w:rsidP="00322AE9">
            <w:pPr>
              <w:ind w:firstLine="0"/>
              <w:jc w:val="left"/>
              <w:rPr>
                <w:rFonts w:eastAsia="Times New Roman" w:cs="Times New Roman"/>
                <w:color w:val="000000"/>
                <w:sz w:val="18"/>
                <w:szCs w:val="18"/>
                <w:lang w:eastAsia="ru-RU"/>
              </w:rPr>
            </w:pPr>
            <w:r w:rsidRPr="00322AE9">
              <w:rPr>
                <w:rFonts w:eastAsia="Times New Roman" w:cs="Times New Roman"/>
                <w:color w:val="000000"/>
                <w:sz w:val="18"/>
                <w:szCs w:val="18"/>
                <w:lang w:eastAsia="ru-RU"/>
              </w:rPr>
              <w:t>СП 56.13330.2011 "Производственные здания" п.5.4</w:t>
            </w:r>
          </w:p>
        </w:tc>
      </w:tr>
      <w:tr w:rsidR="00322AE9" w:rsidRPr="00322AE9" w14:paraId="7AA401A5" w14:textId="77777777" w:rsidTr="00322AE9">
        <w:trPr>
          <w:trHeight w:val="765"/>
          <w:jc w:val="center"/>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56FD29E0"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 </w:t>
            </w:r>
          </w:p>
        </w:tc>
        <w:tc>
          <w:tcPr>
            <w:tcW w:w="816" w:type="dxa"/>
            <w:tcBorders>
              <w:top w:val="nil"/>
              <w:left w:val="nil"/>
              <w:bottom w:val="single" w:sz="4" w:space="0" w:color="auto"/>
              <w:right w:val="single" w:sz="4" w:space="0" w:color="auto"/>
            </w:tcBorders>
            <w:shd w:val="clear" w:color="auto" w:fill="auto"/>
            <w:vAlign w:val="center"/>
            <w:hideMark/>
          </w:tcPr>
          <w:p w14:paraId="493C4FB0"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0307</w:t>
            </w:r>
          </w:p>
        </w:tc>
        <w:tc>
          <w:tcPr>
            <w:tcW w:w="2893" w:type="dxa"/>
            <w:tcBorders>
              <w:top w:val="nil"/>
              <w:left w:val="nil"/>
              <w:bottom w:val="single" w:sz="4" w:space="0" w:color="auto"/>
              <w:right w:val="single" w:sz="4" w:space="0" w:color="auto"/>
            </w:tcBorders>
            <w:shd w:val="clear" w:color="auto" w:fill="auto"/>
            <w:vAlign w:val="center"/>
            <w:hideMark/>
          </w:tcPr>
          <w:p w14:paraId="29CA008F" w14:textId="77777777" w:rsidR="00322AE9" w:rsidRPr="00322AE9" w:rsidRDefault="00322AE9" w:rsidP="00322AE9">
            <w:pPr>
              <w:ind w:firstLine="0"/>
              <w:jc w:val="left"/>
              <w:rPr>
                <w:rFonts w:eastAsia="Times New Roman" w:cs="Times New Roman"/>
                <w:color w:val="000000"/>
                <w:sz w:val="20"/>
                <w:szCs w:val="20"/>
                <w:lang w:eastAsia="ru-RU"/>
              </w:rPr>
            </w:pPr>
            <w:r w:rsidRPr="00322AE9">
              <w:rPr>
                <w:rFonts w:eastAsia="Times New Roman" w:cs="Times New Roman"/>
                <w:color w:val="000000"/>
                <w:sz w:val="20"/>
                <w:szCs w:val="20"/>
                <w:lang w:eastAsia="ru-RU"/>
              </w:rPr>
              <w:t>Гаражи производственные, ведомственные для спецтехники, включая гаражи, депо пожарных машин</w:t>
            </w:r>
          </w:p>
        </w:tc>
        <w:tc>
          <w:tcPr>
            <w:tcW w:w="855" w:type="dxa"/>
            <w:tcBorders>
              <w:top w:val="nil"/>
              <w:left w:val="nil"/>
              <w:bottom w:val="single" w:sz="4" w:space="0" w:color="auto"/>
              <w:right w:val="single" w:sz="4" w:space="0" w:color="auto"/>
            </w:tcBorders>
            <w:shd w:val="clear" w:color="FFFFFF" w:fill="FFFFFF"/>
            <w:vAlign w:val="center"/>
            <w:hideMark/>
          </w:tcPr>
          <w:p w14:paraId="45843DD3"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 </w:t>
            </w:r>
          </w:p>
        </w:tc>
        <w:tc>
          <w:tcPr>
            <w:tcW w:w="793" w:type="dxa"/>
            <w:tcBorders>
              <w:top w:val="nil"/>
              <w:left w:val="nil"/>
              <w:bottom w:val="single" w:sz="4" w:space="0" w:color="auto"/>
              <w:right w:val="single" w:sz="4" w:space="0" w:color="auto"/>
            </w:tcBorders>
            <w:shd w:val="clear" w:color="auto" w:fill="auto"/>
            <w:vAlign w:val="center"/>
            <w:hideMark/>
          </w:tcPr>
          <w:p w14:paraId="7D449340"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4,5</w:t>
            </w:r>
          </w:p>
        </w:tc>
        <w:tc>
          <w:tcPr>
            <w:tcW w:w="992" w:type="dxa"/>
            <w:tcBorders>
              <w:top w:val="nil"/>
              <w:left w:val="nil"/>
              <w:bottom w:val="single" w:sz="4" w:space="0" w:color="auto"/>
              <w:right w:val="single" w:sz="4" w:space="0" w:color="auto"/>
            </w:tcBorders>
            <w:shd w:val="clear" w:color="auto" w:fill="auto"/>
            <w:vAlign w:val="center"/>
            <w:hideMark/>
          </w:tcPr>
          <w:p w14:paraId="4AD20904"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0,3</w:t>
            </w:r>
          </w:p>
        </w:tc>
        <w:tc>
          <w:tcPr>
            <w:tcW w:w="1030" w:type="dxa"/>
            <w:tcBorders>
              <w:top w:val="nil"/>
              <w:left w:val="nil"/>
              <w:bottom w:val="single" w:sz="4" w:space="0" w:color="auto"/>
              <w:right w:val="single" w:sz="4" w:space="0" w:color="auto"/>
            </w:tcBorders>
            <w:shd w:val="clear" w:color="auto" w:fill="auto"/>
            <w:vAlign w:val="center"/>
            <w:hideMark/>
          </w:tcPr>
          <w:p w14:paraId="76B0C793"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4,8</w:t>
            </w:r>
          </w:p>
        </w:tc>
        <w:tc>
          <w:tcPr>
            <w:tcW w:w="1096" w:type="dxa"/>
            <w:tcBorders>
              <w:top w:val="nil"/>
              <w:left w:val="nil"/>
              <w:bottom w:val="single" w:sz="4" w:space="0" w:color="auto"/>
              <w:right w:val="single" w:sz="4" w:space="0" w:color="auto"/>
            </w:tcBorders>
            <w:shd w:val="clear" w:color="auto" w:fill="auto"/>
            <w:vAlign w:val="center"/>
            <w:hideMark/>
          </w:tcPr>
          <w:p w14:paraId="76E54C88"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1,6</w:t>
            </w:r>
          </w:p>
        </w:tc>
        <w:tc>
          <w:tcPr>
            <w:tcW w:w="1149" w:type="dxa"/>
            <w:tcBorders>
              <w:top w:val="nil"/>
              <w:left w:val="nil"/>
              <w:bottom w:val="single" w:sz="4" w:space="0" w:color="auto"/>
              <w:right w:val="single" w:sz="4" w:space="0" w:color="auto"/>
            </w:tcBorders>
            <w:shd w:val="clear" w:color="auto" w:fill="auto"/>
            <w:vAlign w:val="center"/>
            <w:hideMark/>
          </w:tcPr>
          <w:p w14:paraId="55B6009B"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2,1</w:t>
            </w:r>
          </w:p>
        </w:tc>
        <w:tc>
          <w:tcPr>
            <w:tcW w:w="1119" w:type="dxa"/>
            <w:tcBorders>
              <w:top w:val="nil"/>
              <w:left w:val="nil"/>
              <w:bottom w:val="single" w:sz="4" w:space="0" w:color="auto"/>
              <w:right w:val="single" w:sz="4" w:space="0" w:color="auto"/>
            </w:tcBorders>
            <w:shd w:val="clear" w:color="auto" w:fill="auto"/>
            <w:vAlign w:val="center"/>
            <w:hideMark/>
          </w:tcPr>
          <w:p w14:paraId="4242163F"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2,4</w:t>
            </w:r>
          </w:p>
        </w:tc>
        <w:tc>
          <w:tcPr>
            <w:tcW w:w="3149" w:type="dxa"/>
            <w:tcBorders>
              <w:top w:val="nil"/>
              <w:left w:val="nil"/>
              <w:bottom w:val="single" w:sz="4" w:space="0" w:color="auto"/>
              <w:right w:val="single" w:sz="4" w:space="0" w:color="auto"/>
            </w:tcBorders>
            <w:shd w:val="clear" w:color="auto" w:fill="auto"/>
            <w:hideMark/>
          </w:tcPr>
          <w:p w14:paraId="7C5C43DA" w14:textId="77777777" w:rsidR="00322AE9" w:rsidRPr="00322AE9" w:rsidRDefault="00322AE9" w:rsidP="00322AE9">
            <w:pPr>
              <w:ind w:firstLine="0"/>
              <w:jc w:val="left"/>
              <w:rPr>
                <w:rFonts w:eastAsia="Times New Roman" w:cs="Times New Roman"/>
                <w:color w:val="000000"/>
                <w:sz w:val="18"/>
                <w:szCs w:val="18"/>
                <w:lang w:eastAsia="ru-RU"/>
              </w:rPr>
            </w:pPr>
            <w:r w:rsidRPr="00322AE9">
              <w:rPr>
                <w:rFonts w:eastAsia="Times New Roman" w:cs="Times New Roman"/>
                <w:color w:val="000000"/>
                <w:sz w:val="18"/>
                <w:szCs w:val="18"/>
                <w:lang w:eastAsia="ru-RU"/>
              </w:rPr>
              <w:t>СП 56.13330.2011 "Производственные здания", п.5.4</w:t>
            </w:r>
          </w:p>
        </w:tc>
      </w:tr>
      <w:tr w:rsidR="00322AE9" w:rsidRPr="00322AE9" w14:paraId="705325C5" w14:textId="77777777" w:rsidTr="00322AE9">
        <w:trPr>
          <w:trHeight w:val="510"/>
          <w:jc w:val="center"/>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00E01619"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 </w:t>
            </w:r>
          </w:p>
        </w:tc>
        <w:tc>
          <w:tcPr>
            <w:tcW w:w="816" w:type="dxa"/>
            <w:tcBorders>
              <w:top w:val="nil"/>
              <w:left w:val="nil"/>
              <w:bottom w:val="single" w:sz="4" w:space="0" w:color="auto"/>
              <w:right w:val="single" w:sz="4" w:space="0" w:color="auto"/>
            </w:tcBorders>
            <w:shd w:val="clear" w:color="auto" w:fill="auto"/>
            <w:vAlign w:val="center"/>
            <w:hideMark/>
          </w:tcPr>
          <w:p w14:paraId="2FBC7A00"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0308</w:t>
            </w:r>
          </w:p>
        </w:tc>
        <w:tc>
          <w:tcPr>
            <w:tcW w:w="2893" w:type="dxa"/>
            <w:tcBorders>
              <w:top w:val="nil"/>
              <w:left w:val="nil"/>
              <w:bottom w:val="single" w:sz="4" w:space="0" w:color="auto"/>
              <w:right w:val="single" w:sz="4" w:space="0" w:color="auto"/>
            </w:tcBorders>
            <w:shd w:val="clear" w:color="auto" w:fill="auto"/>
            <w:vAlign w:val="center"/>
            <w:hideMark/>
          </w:tcPr>
          <w:p w14:paraId="6CA11F53" w14:textId="77777777" w:rsidR="00322AE9" w:rsidRPr="00322AE9" w:rsidRDefault="00322AE9" w:rsidP="00322AE9">
            <w:pPr>
              <w:ind w:firstLine="0"/>
              <w:jc w:val="left"/>
              <w:rPr>
                <w:rFonts w:eastAsia="Times New Roman" w:cs="Times New Roman"/>
                <w:color w:val="000000"/>
                <w:sz w:val="20"/>
                <w:szCs w:val="20"/>
                <w:lang w:eastAsia="ru-RU"/>
              </w:rPr>
            </w:pPr>
            <w:r w:rsidRPr="00322AE9">
              <w:rPr>
                <w:rFonts w:eastAsia="Times New Roman" w:cs="Times New Roman"/>
                <w:color w:val="000000"/>
                <w:sz w:val="20"/>
                <w:szCs w:val="20"/>
                <w:lang w:eastAsia="ru-RU"/>
              </w:rPr>
              <w:t>Открытые стоянки водного транспорта (платформы, причалы, пирсы)</w:t>
            </w:r>
          </w:p>
        </w:tc>
        <w:tc>
          <w:tcPr>
            <w:tcW w:w="855" w:type="dxa"/>
            <w:tcBorders>
              <w:top w:val="nil"/>
              <w:left w:val="nil"/>
              <w:bottom w:val="single" w:sz="4" w:space="0" w:color="auto"/>
              <w:right w:val="single" w:sz="4" w:space="0" w:color="auto"/>
            </w:tcBorders>
            <w:shd w:val="clear" w:color="FFFFFF" w:fill="FFFFFF"/>
            <w:vAlign w:val="center"/>
            <w:hideMark/>
          </w:tcPr>
          <w:p w14:paraId="7C3BA9DF"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 </w:t>
            </w:r>
          </w:p>
        </w:tc>
        <w:tc>
          <w:tcPr>
            <w:tcW w:w="793" w:type="dxa"/>
            <w:tcBorders>
              <w:top w:val="nil"/>
              <w:left w:val="nil"/>
              <w:bottom w:val="single" w:sz="4" w:space="0" w:color="auto"/>
              <w:right w:val="single" w:sz="4" w:space="0" w:color="auto"/>
            </w:tcBorders>
            <w:shd w:val="clear" w:color="FFFFFF" w:fill="FFFFFF"/>
            <w:vAlign w:val="center"/>
            <w:hideMark/>
          </w:tcPr>
          <w:p w14:paraId="17F0DC35"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 </w:t>
            </w:r>
          </w:p>
        </w:tc>
        <w:tc>
          <w:tcPr>
            <w:tcW w:w="992" w:type="dxa"/>
            <w:tcBorders>
              <w:top w:val="nil"/>
              <w:left w:val="nil"/>
              <w:bottom w:val="single" w:sz="4" w:space="0" w:color="auto"/>
              <w:right w:val="single" w:sz="4" w:space="0" w:color="auto"/>
            </w:tcBorders>
            <w:shd w:val="clear" w:color="auto" w:fill="auto"/>
            <w:vAlign w:val="center"/>
            <w:hideMark/>
          </w:tcPr>
          <w:p w14:paraId="0E3C8B0A"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 </w:t>
            </w:r>
          </w:p>
        </w:tc>
        <w:tc>
          <w:tcPr>
            <w:tcW w:w="1030" w:type="dxa"/>
            <w:tcBorders>
              <w:top w:val="nil"/>
              <w:left w:val="nil"/>
              <w:bottom w:val="single" w:sz="4" w:space="0" w:color="auto"/>
              <w:right w:val="single" w:sz="4" w:space="0" w:color="auto"/>
            </w:tcBorders>
            <w:shd w:val="clear" w:color="auto" w:fill="auto"/>
            <w:vAlign w:val="center"/>
            <w:hideMark/>
          </w:tcPr>
          <w:p w14:paraId="43AEB16F"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w:t>
            </w:r>
          </w:p>
        </w:tc>
        <w:tc>
          <w:tcPr>
            <w:tcW w:w="1096" w:type="dxa"/>
            <w:tcBorders>
              <w:top w:val="nil"/>
              <w:left w:val="nil"/>
              <w:bottom w:val="single" w:sz="4" w:space="0" w:color="auto"/>
              <w:right w:val="single" w:sz="4" w:space="0" w:color="auto"/>
            </w:tcBorders>
            <w:shd w:val="clear" w:color="auto" w:fill="auto"/>
            <w:vAlign w:val="center"/>
            <w:hideMark/>
          </w:tcPr>
          <w:p w14:paraId="1FD9CF03"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1,6</w:t>
            </w:r>
          </w:p>
        </w:tc>
        <w:tc>
          <w:tcPr>
            <w:tcW w:w="1149" w:type="dxa"/>
            <w:tcBorders>
              <w:top w:val="nil"/>
              <w:left w:val="nil"/>
              <w:bottom w:val="single" w:sz="4" w:space="0" w:color="auto"/>
              <w:right w:val="single" w:sz="4" w:space="0" w:color="auto"/>
            </w:tcBorders>
            <w:shd w:val="clear" w:color="auto" w:fill="auto"/>
            <w:vAlign w:val="center"/>
            <w:hideMark/>
          </w:tcPr>
          <w:p w14:paraId="01E757D9"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 </w:t>
            </w:r>
          </w:p>
        </w:tc>
        <w:tc>
          <w:tcPr>
            <w:tcW w:w="1119" w:type="dxa"/>
            <w:tcBorders>
              <w:top w:val="nil"/>
              <w:left w:val="nil"/>
              <w:bottom w:val="single" w:sz="4" w:space="0" w:color="auto"/>
              <w:right w:val="single" w:sz="4" w:space="0" w:color="auto"/>
            </w:tcBorders>
            <w:shd w:val="clear" w:color="auto" w:fill="auto"/>
            <w:vAlign w:val="center"/>
            <w:hideMark/>
          </w:tcPr>
          <w:p w14:paraId="2321C453"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 </w:t>
            </w:r>
          </w:p>
        </w:tc>
        <w:tc>
          <w:tcPr>
            <w:tcW w:w="3149" w:type="dxa"/>
            <w:tcBorders>
              <w:top w:val="nil"/>
              <w:left w:val="nil"/>
              <w:bottom w:val="single" w:sz="4" w:space="0" w:color="auto"/>
              <w:right w:val="single" w:sz="4" w:space="0" w:color="auto"/>
            </w:tcBorders>
            <w:shd w:val="clear" w:color="auto" w:fill="auto"/>
            <w:hideMark/>
          </w:tcPr>
          <w:p w14:paraId="6175693D" w14:textId="77777777" w:rsidR="00322AE9" w:rsidRPr="00322AE9" w:rsidRDefault="00322AE9" w:rsidP="00322AE9">
            <w:pPr>
              <w:ind w:firstLine="0"/>
              <w:jc w:val="left"/>
              <w:rPr>
                <w:rFonts w:eastAsia="Times New Roman" w:cs="Times New Roman"/>
                <w:color w:val="000000"/>
                <w:sz w:val="18"/>
                <w:szCs w:val="18"/>
                <w:lang w:eastAsia="ru-RU"/>
              </w:rPr>
            </w:pPr>
            <w:r w:rsidRPr="00322AE9">
              <w:rPr>
                <w:rFonts w:eastAsia="Times New Roman" w:cs="Times New Roman"/>
                <w:color w:val="000000"/>
                <w:sz w:val="18"/>
                <w:szCs w:val="18"/>
                <w:lang w:eastAsia="ru-RU"/>
              </w:rPr>
              <w:t> </w:t>
            </w:r>
          </w:p>
        </w:tc>
      </w:tr>
      <w:tr w:rsidR="00322AE9" w:rsidRPr="00322AE9" w14:paraId="53A7B941" w14:textId="77777777" w:rsidTr="00322AE9">
        <w:trPr>
          <w:trHeight w:val="510"/>
          <w:jc w:val="center"/>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40DCE3E3"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 </w:t>
            </w:r>
          </w:p>
        </w:tc>
        <w:tc>
          <w:tcPr>
            <w:tcW w:w="816" w:type="dxa"/>
            <w:tcBorders>
              <w:top w:val="nil"/>
              <w:left w:val="nil"/>
              <w:bottom w:val="single" w:sz="4" w:space="0" w:color="auto"/>
              <w:right w:val="single" w:sz="4" w:space="0" w:color="auto"/>
            </w:tcBorders>
            <w:shd w:val="clear" w:color="auto" w:fill="auto"/>
            <w:vAlign w:val="center"/>
            <w:hideMark/>
          </w:tcPr>
          <w:p w14:paraId="751F55E6"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0309</w:t>
            </w:r>
          </w:p>
        </w:tc>
        <w:tc>
          <w:tcPr>
            <w:tcW w:w="2893" w:type="dxa"/>
            <w:tcBorders>
              <w:top w:val="nil"/>
              <w:left w:val="nil"/>
              <w:bottom w:val="single" w:sz="4" w:space="0" w:color="auto"/>
              <w:right w:val="single" w:sz="4" w:space="0" w:color="auto"/>
            </w:tcBorders>
            <w:shd w:val="clear" w:color="auto" w:fill="auto"/>
            <w:vAlign w:val="center"/>
            <w:hideMark/>
          </w:tcPr>
          <w:p w14:paraId="4E2F61F9" w14:textId="77777777" w:rsidR="00322AE9" w:rsidRPr="00322AE9" w:rsidRDefault="00322AE9" w:rsidP="00322AE9">
            <w:pPr>
              <w:ind w:firstLine="0"/>
              <w:jc w:val="left"/>
              <w:rPr>
                <w:rFonts w:eastAsia="Times New Roman" w:cs="Times New Roman"/>
                <w:color w:val="000000"/>
                <w:sz w:val="20"/>
                <w:szCs w:val="20"/>
                <w:lang w:eastAsia="ru-RU"/>
              </w:rPr>
            </w:pPr>
            <w:r w:rsidRPr="00322AE9">
              <w:rPr>
                <w:rFonts w:eastAsia="Times New Roman" w:cs="Times New Roman"/>
                <w:color w:val="000000"/>
                <w:sz w:val="20"/>
                <w:szCs w:val="20"/>
                <w:lang w:eastAsia="ru-RU"/>
              </w:rPr>
              <w:t>Гаражи индивидуальные  водного транспорта (эллинги)</w:t>
            </w:r>
          </w:p>
        </w:tc>
        <w:tc>
          <w:tcPr>
            <w:tcW w:w="855" w:type="dxa"/>
            <w:tcBorders>
              <w:top w:val="nil"/>
              <w:left w:val="nil"/>
              <w:bottom w:val="single" w:sz="4" w:space="0" w:color="auto"/>
              <w:right w:val="single" w:sz="4" w:space="0" w:color="auto"/>
            </w:tcBorders>
            <w:shd w:val="clear" w:color="FFFFFF" w:fill="FFFFFF"/>
            <w:vAlign w:val="center"/>
            <w:hideMark/>
          </w:tcPr>
          <w:p w14:paraId="0ACE6C65"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 </w:t>
            </w:r>
          </w:p>
        </w:tc>
        <w:tc>
          <w:tcPr>
            <w:tcW w:w="793" w:type="dxa"/>
            <w:tcBorders>
              <w:top w:val="nil"/>
              <w:left w:val="nil"/>
              <w:bottom w:val="single" w:sz="4" w:space="0" w:color="auto"/>
              <w:right w:val="single" w:sz="4" w:space="0" w:color="auto"/>
            </w:tcBorders>
            <w:shd w:val="clear" w:color="auto" w:fill="auto"/>
            <w:vAlign w:val="center"/>
            <w:hideMark/>
          </w:tcPr>
          <w:p w14:paraId="2C21177D"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4,2</w:t>
            </w:r>
          </w:p>
        </w:tc>
        <w:tc>
          <w:tcPr>
            <w:tcW w:w="992" w:type="dxa"/>
            <w:tcBorders>
              <w:top w:val="nil"/>
              <w:left w:val="nil"/>
              <w:bottom w:val="single" w:sz="4" w:space="0" w:color="auto"/>
              <w:right w:val="single" w:sz="4" w:space="0" w:color="auto"/>
            </w:tcBorders>
            <w:shd w:val="clear" w:color="auto" w:fill="auto"/>
            <w:vAlign w:val="center"/>
            <w:hideMark/>
          </w:tcPr>
          <w:p w14:paraId="0C8EE41D"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0,3</w:t>
            </w:r>
          </w:p>
        </w:tc>
        <w:tc>
          <w:tcPr>
            <w:tcW w:w="1030" w:type="dxa"/>
            <w:tcBorders>
              <w:top w:val="nil"/>
              <w:left w:val="nil"/>
              <w:bottom w:val="single" w:sz="4" w:space="0" w:color="auto"/>
              <w:right w:val="single" w:sz="4" w:space="0" w:color="auto"/>
            </w:tcBorders>
            <w:shd w:val="clear" w:color="auto" w:fill="auto"/>
            <w:vAlign w:val="center"/>
            <w:hideMark/>
          </w:tcPr>
          <w:p w14:paraId="60D1EDDF"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4,5</w:t>
            </w:r>
          </w:p>
        </w:tc>
        <w:tc>
          <w:tcPr>
            <w:tcW w:w="1096" w:type="dxa"/>
            <w:tcBorders>
              <w:top w:val="nil"/>
              <w:left w:val="nil"/>
              <w:bottom w:val="single" w:sz="4" w:space="0" w:color="auto"/>
              <w:right w:val="single" w:sz="4" w:space="0" w:color="auto"/>
            </w:tcBorders>
            <w:shd w:val="clear" w:color="auto" w:fill="auto"/>
            <w:vAlign w:val="center"/>
            <w:hideMark/>
          </w:tcPr>
          <w:p w14:paraId="709F6CD5"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1,6</w:t>
            </w:r>
          </w:p>
        </w:tc>
        <w:tc>
          <w:tcPr>
            <w:tcW w:w="1149" w:type="dxa"/>
            <w:tcBorders>
              <w:top w:val="nil"/>
              <w:left w:val="nil"/>
              <w:bottom w:val="single" w:sz="4" w:space="0" w:color="auto"/>
              <w:right w:val="single" w:sz="4" w:space="0" w:color="auto"/>
            </w:tcBorders>
            <w:shd w:val="clear" w:color="auto" w:fill="auto"/>
            <w:vAlign w:val="center"/>
            <w:hideMark/>
          </w:tcPr>
          <w:p w14:paraId="2F1F2C01"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2,1</w:t>
            </w:r>
          </w:p>
        </w:tc>
        <w:tc>
          <w:tcPr>
            <w:tcW w:w="1119" w:type="dxa"/>
            <w:tcBorders>
              <w:top w:val="nil"/>
              <w:left w:val="nil"/>
              <w:bottom w:val="single" w:sz="4" w:space="0" w:color="auto"/>
              <w:right w:val="single" w:sz="4" w:space="0" w:color="auto"/>
            </w:tcBorders>
            <w:shd w:val="clear" w:color="auto" w:fill="auto"/>
            <w:vAlign w:val="center"/>
            <w:hideMark/>
          </w:tcPr>
          <w:p w14:paraId="59E7E952"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2,4</w:t>
            </w:r>
          </w:p>
        </w:tc>
        <w:tc>
          <w:tcPr>
            <w:tcW w:w="3149" w:type="dxa"/>
            <w:tcBorders>
              <w:top w:val="nil"/>
              <w:left w:val="nil"/>
              <w:bottom w:val="single" w:sz="4" w:space="0" w:color="auto"/>
              <w:right w:val="single" w:sz="4" w:space="0" w:color="auto"/>
            </w:tcBorders>
            <w:shd w:val="clear" w:color="auto" w:fill="auto"/>
            <w:hideMark/>
          </w:tcPr>
          <w:p w14:paraId="30EEC927" w14:textId="77777777" w:rsidR="00322AE9" w:rsidRPr="00322AE9" w:rsidRDefault="00322AE9" w:rsidP="00322AE9">
            <w:pPr>
              <w:ind w:firstLine="0"/>
              <w:jc w:val="left"/>
              <w:rPr>
                <w:rFonts w:eastAsia="Times New Roman" w:cs="Times New Roman"/>
                <w:color w:val="000000"/>
                <w:sz w:val="18"/>
                <w:szCs w:val="18"/>
                <w:lang w:eastAsia="ru-RU"/>
              </w:rPr>
            </w:pPr>
            <w:r w:rsidRPr="00322AE9">
              <w:rPr>
                <w:rFonts w:eastAsia="Times New Roman" w:cs="Times New Roman"/>
                <w:color w:val="000000"/>
                <w:sz w:val="18"/>
                <w:szCs w:val="18"/>
                <w:lang w:eastAsia="ru-RU"/>
              </w:rPr>
              <w:t>СП 56.13330.2011 "Производственные здания" п.5.4</w:t>
            </w:r>
          </w:p>
        </w:tc>
      </w:tr>
      <w:tr w:rsidR="00322AE9" w:rsidRPr="00322AE9" w14:paraId="3B016B82" w14:textId="77777777" w:rsidTr="00322AE9">
        <w:trPr>
          <w:trHeight w:val="510"/>
          <w:jc w:val="center"/>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647AD584"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 </w:t>
            </w:r>
          </w:p>
        </w:tc>
        <w:tc>
          <w:tcPr>
            <w:tcW w:w="816" w:type="dxa"/>
            <w:tcBorders>
              <w:top w:val="nil"/>
              <w:left w:val="nil"/>
              <w:bottom w:val="single" w:sz="4" w:space="0" w:color="auto"/>
              <w:right w:val="single" w:sz="4" w:space="0" w:color="auto"/>
            </w:tcBorders>
            <w:shd w:val="clear" w:color="auto" w:fill="auto"/>
            <w:vAlign w:val="center"/>
            <w:hideMark/>
          </w:tcPr>
          <w:p w14:paraId="575E202A"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0310</w:t>
            </w:r>
          </w:p>
        </w:tc>
        <w:tc>
          <w:tcPr>
            <w:tcW w:w="2893" w:type="dxa"/>
            <w:tcBorders>
              <w:top w:val="nil"/>
              <w:left w:val="nil"/>
              <w:bottom w:val="single" w:sz="4" w:space="0" w:color="auto"/>
              <w:right w:val="single" w:sz="4" w:space="0" w:color="auto"/>
            </w:tcBorders>
            <w:shd w:val="clear" w:color="auto" w:fill="auto"/>
            <w:vAlign w:val="center"/>
            <w:hideMark/>
          </w:tcPr>
          <w:p w14:paraId="5104C4B9" w14:textId="77777777" w:rsidR="00322AE9" w:rsidRPr="00322AE9" w:rsidRDefault="00322AE9" w:rsidP="00322AE9">
            <w:pPr>
              <w:ind w:firstLine="0"/>
              <w:jc w:val="left"/>
              <w:rPr>
                <w:rFonts w:eastAsia="Times New Roman" w:cs="Times New Roman"/>
                <w:color w:val="000000"/>
                <w:sz w:val="20"/>
                <w:szCs w:val="20"/>
                <w:lang w:eastAsia="ru-RU"/>
              </w:rPr>
            </w:pPr>
            <w:r w:rsidRPr="00322AE9">
              <w:rPr>
                <w:rFonts w:eastAsia="Times New Roman" w:cs="Times New Roman"/>
                <w:color w:val="000000"/>
                <w:sz w:val="20"/>
                <w:szCs w:val="20"/>
                <w:lang w:eastAsia="ru-RU"/>
              </w:rPr>
              <w:t>Гаражи производственные, ведомственные водного транспорта (эллинги)</w:t>
            </w:r>
          </w:p>
        </w:tc>
        <w:tc>
          <w:tcPr>
            <w:tcW w:w="855" w:type="dxa"/>
            <w:tcBorders>
              <w:top w:val="nil"/>
              <w:left w:val="nil"/>
              <w:bottom w:val="single" w:sz="4" w:space="0" w:color="auto"/>
              <w:right w:val="single" w:sz="4" w:space="0" w:color="auto"/>
            </w:tcBorders>
            <w:shd w:val="clear" w:color="FFFFFF" w:fill="FFFFFF"/>
            <w:vAlign w:val="center"/>
            <w:hideMark/>
          </w:tcPr>
          <w:p w14:paraId="3EFBC267"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 </w:t>
            </w:r>
          </w:p>
        </w:tc>
        <w:tc>
          <w:tcPr>
            <w:tcW w:w="793" w:type="dxa"/>
            <w:tcBorders>
              <w:top w:val="nil"/>
              <w:left w:val="nil"/>
              <w:bottom w:val="single" w:sz="4" w:space="0" w:color="auto"/>
              <w:right w:val="single" w:sz="4" w:space="0" w:color="auto"/>
            </w:tcBorders>
            <w:shd w:val="clear" w:color="auto" w:fill="auto"/>
            <w:vAlign w:val="center"/>
            <w:hideMark/>
          </w:tcPr>
          <w:p w14:paraId="5B5DB10C"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4,2</w:t>
            </w:r>
          </w:p>
        </w:tc>
        <w:tc>
          <w:tcPr>
            <w:tcW w:w="992" w:type="dxa"/>
            <w:tcBorders>
              <w:top w:val="nil"/>
              <w:left w:val="nil"/>
              <w:bottom w:val="single" w:sz="4" w:space="0" w:color="auto"/>
              <w:right w:val="single" w:sz="4" w:space="0" w:color="auto"/>
            </w:tcBorders>
            <w:shd w:val="clear" w:color="auto" w:fill="auto"/>
            <w:vAlign w:val="center"/>
            <w:hideMark/>
          </w:tcPr>
          <w:p w14:paraId="345E0C13"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0,3</w:t>
            </w:r>
          </w:p>
        </w:tc>
        <w:tc>
          <w:tcPr>
            <w:tcW w:w="1030" w:type="dxa"/>
            <w:tcBorders>
              <w:top w:val="nil"/>
              <w:left w:val="nil"/>
              <w:bottom w:val="single" w:sz="4" w:space="0" w:color="auto"/>
              <w:right w:val="single" w:sz="4" w:space="0" w:color="auto"/>
            </w:tcBorders>
            <w:shd w:val="clear" w:color="auto" w:fill="auto"/>
            <w:vAlign w:val="center"/>
            <w:hideMark/>
          </w:tcPr>
          <w:p w14:paraId="17021244"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4,5</w:t>
            </w:r>
          </w:p>
        </w:tc>
        <w:tc>
          <w:tcPr>
            <w:tcW w:w="1096" w:type="dxa"/>
            <w:tcBorders>
              <w:top w:val="nil"/>
              <w:left w:val="nil"/>
              <w:bottom w:val="single" w:sz="4" w:space="0" w:color="auto"/>
              <w:right w:val="single" w:sz="4" w:space="0" w:color="auto"/>
            </w:tcBorders>
            <w:shd w:val="clear" w:color="auto" w:fill="auto"/>
            <w:vAlign w:val="center"/>
            <w:hideMark/>
          </w:tcPr>
          <w:p w14:paraId="45837A9E"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1,6</w:t>
            </w:r>
          </w:p>
        </w:tc>
        <w:tc>
          <w:tcPr>
            <w:tcW w:w="1149" w:type="dxa"/>
            <w:tcBorders>
              <w:top w:val="nil"/>
              <w:left w:val="nil"/>
              <w:bottom w:val="single" w:sz="4" w:space="0" w:color="auto"/>
              <w:right w:val="single" w:sz="4" w:space="0" w:color="auto"/>
            </w:tcBorders>
            <w:shd w:val="clear" w:color="auto" w:fill="auto"/>
            <w:vAlign w:val="center"/>
            <w:hideMark/>
          </w:tcPr>
          <w:p w14:paraId="6003D6EA"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2,1</w:t>
            </w:r>
          </w:p>
        </w:tc>
        <w:tc>
          <w:tcPr>
            <w:tcW w:w="1119" w:type="dxa"/>
            <w:tcBorders>
              <w:top w:val="nil"/>
              <w:left w:val="nil"/>
              <w:bottom w:val="single" w:sz="4" w:space="0" w:color="auto"/>
              <w:right w:val="single" w:sz="4" w:space="0" w:color="auto"/>
            </w:tcBorders>
            <w:shd w:val="clear" w:color="auto" w:fill="auto"/>
            <w:vAlign w:val="center"/>
            <w:hideMark/>
          </w:tcPr>
          <w:p w14:paraId="0E58AED8"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2,4</w:t>
            </w:r>
          </w:p>
        </w:tc>
        <w:tc>
          <w:tcPr>
            <w:tcW w:w="3149" w:type="dxa"/>
            <w:tcBorders>
              <w:top w:val="nil"/>
              <w:left w:val="nil"/>
              <w:bottom w:val="single" w:sz="4" w:space="0" w:color="auto"/>
              <w:right w:val="single" w:sz="4" w:space="0" w:color="auto"/>
            </w:tcBorders>
            <w:shd w:val="clear" w:color="auto" w:fill="auto"/>
            <w:hideMark/>
          </w:tcPr>
          <w:p w14:paraId="7B385428" w14:textId="77777777" w:rsidR="00322AE9" w:rsidRPr="00322AE9" w:rsidRDefault="00322AE9" w:rsidP="00322AE9">
            <w:pPr>
              <w:ind w:firstLine="0"/>
              <w:jc w:val="left"/>
              <w:rPr>
                <w:rFonts w:eastAsia="Times New Roman" w:cs="Times New Roman"/>
                <w:color w:val="000000"/>
                <w:sz w:val="18"/>
                <w:szCs w:val="18"/>
                <w:lang w:eastAsia="ru-RU"/>
              </w:rPr>
            </w:pPr>
            <w:r w:rsidRPr="00322AE9">
              <w:rPr>
                <w:rFonts w:eastAsia="Times New Roman" w:cs="Times New Roman"/>
                <w:color w:val="000000"/>
                <w:sz w:val="18"/>
                <w:szCs w:val="18"/>
                <w:lang w:eastAsia="ru-RU"/>
              </w:rPr>
              <w:t>СП 56.13330.2011 "Производственные здания" п.5.4</w:t>
            </w:r>
          </w:p>
        </w:tc>
      </w:tr>
      <w:tr w:rsidR="00322AE9" w:rsidRPr="00322AE9" w14:paraId="79727435" w14:textId="77777777" w:rsidTr="00322AE9">
        <w:trPr>
          <w:trHeight w:val="300"/>
          <w:jc w:val="center"/>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40862023"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 </w:t>
            </w:r>
          </w:p>
        </w:tc>
        <w:tc>
          <w:tcPr>
            <w:tcW w:w="816" w:type="dxa"/>
            <w:tcBorders>
              <w:top w:val="nil"/>
              <w:left w:val="nil"/>
              <w:bottom w:val="single" w:sz="4" w:space="0" w:color="auto"/>
              <w:right w:val="single" w:sz="4" w:space="0" w:color="auto"/>
            </w:tcBorders>
            <w:shd w:val="clear" w:color="auto" w:fill="auto"/>
            <w:vAlign w:val="center"/>
            <w:hideMark/>
          </w:tcPr>
          <w:p w14:paraId="748BA43F"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0311</w:t>
            </w:r>
          </w:p>
        </w:tc>
        <w:tc>
          <w:tcPr>
            <w:tcW w:w="2893" w:type="dxa"/>
            <w:tcBorders>
              <w:top w:val="nil"/>
              <w:left w:val="nil"/>
              <w:bottom w:val="single" w:sz="4" w:space="0" w:color="auto"/>
              <w:right w:val="single" w:sz="4" w:space="0" w:color="auto"/>
            </w:tcBorders>
            <w:shd w:val="clear" w:color="auto" w:fill="auto"/>
            <w:vAlign w:val="center"/>
            <w:hideMark/>
          </w:tcPr>
          <w:p w14:paraId="2C28F44E" w14:textId="77777777" w:rsidR="00322AE9" w:rsidRPr="00322AE9" w:rsidRDefault="00322AE9" w:rsidP="00322AE9">
            <w:pPr>
              <w:ind w:firstLine="0"/>
              <w:jc w:val="left"/>
              <w:rPr>
                <w:rFonts w:eastAsia="Times New Roman" w:cs="Times New Roman"/>
                <w:color w:val="000000"/>
                <w:sz w:val="20"/>
                <w:szCs w:val="20"/>
                <w:lang w:eastAsia="ru-RU"/>
              </w:rPr>
            </w:pPr>
            <w:r w:rsidRPr="00322AE9">
              <w:rPr>
                <w:rFonts w:eastAsia="Times New Roman" w:cs="Times New Roman"/>
                <w:color w:val="000000"/>
                <w:sz w:val="20"/>
                <w:szCs w:val="20"/>
                <w:lang w:eastAsia="ru-RU"/>
              </w:rPr>
              <w:t>Открытые стоянки воздушного транспорта</w:t>
            </w:r>
          </w:p>
        </w:tc>
        <w:tc>
          <w:tcPr>
            <w:tcW w:w="855" w:type="dxa"/>
            <w:tcBorders>
              <w:top w:val="nil"/>
              <w:left w:val="nil"/>
              <w:bottom w:val="single" w:sz="4" w:space="0" w:color="auto"/>
              <w:right w:val="single" w:sz="4" w:space="0" w:color="auto"/>
            </w:tcBorders>
            <w:shd w:val="clear" w:color="FFFFFF" w:fill="FFFFFF"/>
            <w:vAlign w:val="center"/>
            <w:hideMark/>
          </w:tcPr>
          <w:p w14:paraId="3A313212"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 </w:t>
            </w:r>
          </w:p>
        </w:tc>
        <w:tc>
          <w:tcPr>
            <w:tcW w:w="793" w:type="dxa"/>
            <w:tcBorders>
              <w:top w:val="nil"/>
              <w:left w:val="nil"/>
              <w:bottom w:val="single" w:sz="4" w:space="0" w:color="auto"/>
              <w:right w:val="single" w:sz="4" w:space="0" w:color="auto"/>
            </w:tcBorders>
            <w:shd w:val="clear" w:color="auto" w:fill="auto"/>
            <w:vAlign w:val="center"/>
            <w:hideMark/>
          </w:tcPr>
          <w:p w14:paraId="0C5ABF4C"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 </w:t>
            </w:r>
          </w:p>
        </w:tc>
        <w:tc>
          <w:tcPr>
            <w:tcW w:w="992" w:type="dxa"/>
            <w:tcBorders>
              <w:top w:val="nil"/>
              <w:left w:val="nil"/>
              <w:bottom w:val="single" w:sz="4" w:space="0" w:color="auto"/>
              <w:right w:val="single" w:sz="4" w:space="0" w:color="auto"/>
            </w:tcBorders>
            <w:shd w:val="clear" w:color="auto" w:fill="auto"/>
            <w:vAlign w:val="center"/>
            <w:hideMark/>
          </w:tcPr>
          <w:p w14:paraId="10698986"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 </w:t>
            </w:r>
          </w:p>
        </w:tc>
        <w:tc>
          <w:tcPr>
            <w:tcW w:w="1030" w:type="dxa"/>
            <w:tcBorders>
              <w:top w:val="nil"/>
              <w:left w:val="nil"/>
              <w:bottom w:val="single" w:sz="4" w:space="0" w:color="auto"/>
              <w:right w:val="single" w:sz="4" w:space="0" w:color="auto"/>
            </w:tcBorders>
            <w:shd w:val="clear" w:color="auto" w:fill="auto"/>
            <w:vAlign w:val="center"/>
            <w:hideMark/>
          </w:tcPr>
          <w:p w14:paraId="3BCD9506"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w:t>
            </w:r>
          </w:p>
        </w:tc>
        <w:tc>
          <w:tcPr>
            <w:tcW w:w="1096" w:type="dxa"/>
            <w:tcBorders>
              <w:top w:val="nil"/>
              <w:left w:val="nil"/>
              <w:bottom w:val="single" w:sz="4" w:space="0" w:color="auto"/>
              <w:right w:val="single" w:sz="4" w:space="0" w:color="auto"/>
            </w:tcBorders>
            <w:shd w:val="clear" w:color="auto" w:fill="auto"/>
            <w:vAlign w:val="center"/>
            <w:hideMark/>
          </w:tcPr>
          <w:p w14:paraId="58DADB9F"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1,6</w:t>
            </w:r>
          </w:p>
        </w:tc>
        <w:tc>
          <w:tcPr>
            <w:tcW w:w="1149" w:type="dxa"/>
            <w:tcBorders>
              <w:top w:val="nil"/>
              <w:left w:val="nil"/>
              <w:bottom w:val="single" w:sz="4" w:space="0" w:color="auto"/>
              <w:right w:val="single" w:sz="4" w:space="0" w:color="auto"/>
            </w:tcBorders>
            <w:shd w:val="clear" w:color="auto" w:fill="auto"/>
            <w:vAlign w:val="center"/>
            <w:hideMark/>
          </w:tcPr>
          <w:p w14:paraId="5F2857CC"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 </w:t>
            </w:r>
          </w:p>
        </w:tc>
        <w:tc>
          <w:tcPr>
            <w:tcW w:w="1119" w:type="dxa"/>
            <w:tcBorders>
              <w:top w:val="nil"/>
              <w:left w:val="nil"/>
              <w:bottom w:val="single" w:sz="4" w:space="0" w:color="auto"/>
              <w:right w:val="single" w:sz="4" w:space="0" w:color="auto"/>
            </w:tcBorders>
            <w:shd w:val="clear" w:color="auto" w:fill="auto"/>
            <w:vAlign w:val="center"/>
            <w:hideMark/>
          </w:tcPr>
          <w:p w14:paraId="29BD22AC"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 </w:t>
            </w:r>
          </w:p>
        </w:tc>
        <w:tc>
          <w:tcPr>
            <w:tcW w:w="3149" w:type="dxa"/>
            <w:tcBorders>
              <w:top w:val="nil"/>
              <w:left w:val="nil"/>
              <w:bottom w:val="single" w:sz="4" w:space="0" w:color="auto"/>
              <w:right w:val="single" w:sz="4" w:space="0" w:color="auto"/>
            </w:tcBorders>
            <w:shd w:val="clear" w:color="auto" w:fill="auto"/>
            <w:hideMark/>
          </w:tcPr>
          <w:p w14:paraId="57E7FA19" w14:textId="77777777" w:rsidR="00322AE9" w:rsidRPr="00322AE9" w:rsidRDefault="00322AE9" w:rsidP="00322AE9">
            <w:pPr>
              <w:ind w:firstLine="0"/>
              <w:jc w:val="left"/>
              <w:rPr>
                <w:rFonts w:eastAsia="Times New Roman" w:cs="Times New Roman"/>
                <w:color w:val="000000"/>
                <w:sz w:val="18"/>
                <w:szCs w:val="18"/>
                <w:lang w:eastAsia="ru-RU"/>
              </w:rPr>
            </w:pPr>
            <w:r w:rsidRPr="00322AE9">
              <w:rPr>
                <w:rFonts w:eastAsia="Times New Roman" w:cs="Times New Roman"/>
                <w:color w:val="000000"/>
                <w:sz w:val="18"/>
                <w:szCs w:val="18"/>
                <w:lang w:eastAsia="ru-RU"/>
              </w:rPr>
              <w:t> </w:t>
            </w:r>
          </w:p>
        </w:tc>
      </w:tr>
      <w:tr w:rsidR="00322AE9" w:rsidRPr="00322AE9" w14:paraId="475B0B50" w14:textId="77777777" w:rsidTr="00322AE9">
        <w:trPr>
          <w:trHeight w:val="765"/>
          <w:jc w:val="center"/>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36E1215F" w14:textId="77777777" w:rsidR="00322AE9" w:rsidRPr="00322AE9" w:rsidRDefault="00322AE9" w:rsidP="00322AE9">
            <w:pPr>
              <w:ind w:firstLine="0"/>
              <w:jc w:val="center"/>
              <w:rPr>
                <w:rFonts w:eastAsia="Times New Roman" w:cs="Times New Roman"/>
                <w:b/>
                <w:bCs/>
                <w:color w:val="000000"/>
                <w:sz w:val="20"/>
                <w:szCs w:val="20"/>
                <w:lang w:eastAsia="ru-RU"/>
              </w:rPr>
            </w:pPr>
            <w:r w:rsidRPr="00322AE9">
              <w:rPr>
                <w:rFonts w:eastAsia="Times New Roman" w:cs="Times New Roman"/>
                <w:b/>
                <w:bCs/>
                <w:color w:val="000000"/>
                <w:sz w:val="20"/>
                <w:szCs w:val="20"/>
                <w:lang w:eastAsia="ru-RU"/>
              </w:rPr>
              <w:t>04</w:t>
            </w:r>
          </w:p>
        </w:tc>
        <w:tc>
          <w:tcPr>
            <w:tcW w:w="816" w:type="dxa"/>
            <w:tcBorders>
              <w:top w:val="nil"/>
              <w:left w:val="nil"/>
              <w:bottom w:val="single" w:sz="4" w:space="0" w:color="auto"/>
              <w:right w:val="single" w:sz="4" w:space="0" w:color="auto"/>
            </w:tcBorders>
            <w:shd w:val="clear" w:color="auto" w:fill="auto"/>
            <w:vAlign w:val="center"/>
            <w:hideMark/>
          </w:tcPr>
          <w:p w14:paraId="75CA06C3" w14:textId="77777777" w:rsidR="00322AE9" w:rsidRPr="00322AE9" w:rsidRDefault="00322AE9" w:rsidP="00322AE9">
            <w:pPr>
              <w:ind w:firstLine="0"/>
              <w:jc w:val="center"/>
              <w:rPr>
                <w:rFonts w:eastAsia="Times New Roman" w:cs="Times New Roman"/>
                <w:b/>
                <w:bCs/>
                <w:color w:val="000000"/>
                <w:sz w:val="20"/>
                <w:szCs w:val="20"/>
                <w:lang w:eastAsia="ru-RU"/>
              </w:rPr>
            </w:pPr>
            <w:r w:rsidRPr="00322AE9">
              <w:rPr>
                <w:rFonts w:eastAsia="Times New Roman" w:cs="Times New Roman"/>
                <w:b/>
                <w:bCs/>
                <w:color w:val="000000"/>
                <w:sz w:val="20"/>
                <w:szCs w:val="20"/>
                <w:lang w:eastAsia="ru-RU"/>
              </w:rPr>
              <w:t>0400</w:t>
            </w:r>
          </w:p>
        </w:tc>
        <w:tc>
          <w:tcPr>
            <w:tcW w:w="2893" w:type="dxa"/>
            <w:tcBorders>
              <w:top w:val="nil"/>
              <w:left w:val="nil"/>
              <w:bottom w:val="single" w:sz="4" w:space="0" w:color="auto"/>
              <w:right w:val="single" w:sz="4" w:space="0" w:color="auto"/>
            </w:tcBorders>
            <w:shd w:val="clear" w:color="auto" w:fill="auto"/>
            <w:vAlign w:val="center"/>
            <w:hideMark/>
          </w:tcPr>
          <w:p w14:paraId="62724B18" w14:textId="77777777" w:rsidR="00322AE9" w:rsidRPr="00322AE9" w:rsidRDefault="00322AE9" w:rsidP="00322AE9">
            <w:pPr>
              <w:ind w:firstLine="0"/>
              <w:jc w:val="left"/>
              <w:rPr>
                <w:rFonts w:eastAsia="Times New Roman" w:cs="Times New Roman"/>
                <w:b/>
                <w:bCs/>
                <w:color w:val="000000"/>
                <w:sz w:val="20"/>
                <w:szCs w:val="20"/>
                <w:lang w:eastAsia="ru-RU"/>
              </w:rPr>
            </w:pPr>
            <w:r w:rsidRPr="00322AE9">
              <w:rPr>
                <w:rFonts w:eastAsia="Times New Roman" w:cs="Times New Roman"/>
                <w:b/>
                <w:bCs/>
                <w:color w:val="000000"/>
                <w:sz w:val="20"/>
                <w:szCs w:val="20"/>
                <w:lang w:eastAsia="ru-RU"/>
              </w:rPr>
              <w:t>Группа 4. Объекты коммерческого наначения, предназначенные для оказания услуг населению, включая многофункционального назначения</w:t>
            </w:r>
          </w:p>
        </w:tc>
        <w:tc>
          <w:tcPr>
            <w:tcW w:w="855" w:type="dxa"/>
            <w:tcBorders>
              <w:top w:val="nil"/>
              <w:left w:val="nil"/>
              <w:bottom w:val="single" w:sz="4" w:space="0" w:color="auto"/>
              <w:right w:val="single" w:sz="4" w:space="0" w:color="auto"/>
            </w:tcBorders>
            <w:shd w:val="clear" w:color="FFFFFF" w:fill="FFFFFF"/>
            <w:vAlign w:val="center"/>
            <w:hideMark/>
          </w:tcPr>
          <w:p w14:paraId="55B7B30E" w14:textId="77777777" w:rsidR="00322AE9" w:rsidRPr="00322AE9" w:rsidRDefault="00322AE9" w:rsidP="00322AE9">
            <w:pPr>
              <w:ind w:firstLine="0"/>
              <w:jc w:val="left"/>
              <w:rPr>
                <w:rFonts w:eastAsia="Times New Roman" w:cs="Times New Roman"/>
                <w:b/>
                <w:bCs/>
                <w:i/>
                <w:iCs/>
                <w:color w:val="000000"/>
                <w:sz w:val="18"/>
                <w:szCs w:val="18"/>
                <w:u w:val="single"/>
                <w:lang w:eastAsia="ru-RU"/>
              </w:rPr>
            </w:pPr>
            <w:r w:rsidRPr="00322AE9">
              <w:rPr>
                <w:rFonts w:eastAsia="Times New Roman" w:cs="Times New Roman"/>
                <w:b/>
                <w:bCs/>
                <w:i/>
                <w:iCs/>
                <w:color w:val="000000"/>
                <w:sz w:val="18"/>
                <w:szCs w:val="18"/>
                <w:u w:val="single"/>
                <w:lang w:eastAsia="ru-RU"/>
              </w:rPr>
              <w:t> </w:t>
            </w:r>
          </w:p>
        </w:tc>
        <w:tc>
          <w:tcPr>
            <w:tcW w:w="793" w:type="dxa"/>
            <w:tcBorders>
              <w:top w:val="nil"/>
              <w:left w:val="nil"/>
              <w:bottom w:val="single" w:sz="4" w:space="0" w:color="auto"/>
              <w:right w:val="single" w:sz="4" w:space="0" w:color="auto"/>
            </w:tcBorders>
            <w:shd w:val="clear" w:color="auto" w:fill="auto"/>
            <w:vAlign w:val="center"/>
            <w:hideMark/>
          </w:tcPr>
          <w:p w14:paraId="035D0A0A"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2,5</w:t>
            </w:r>
          </w:p>
        </w:tc>
        <w:tc>
          <w:tcPr>
            <w:tcW w:w="992" w:type="dxa"/>
            <w:tcBorders>
              <w:top w:val="nil"/>
              <w:left w:val="nil"/>
              <w:bottom w:val="single" w:sz="4" w:space="0" w:color="auto"/>
              <w:right w:val="single" w:sz="4" w:space="0" w:color="auto"/>
            </w:tcBorders>
            <w:shd w:val="clear" w:color="auto" w:fill="auto"/>
            <w:vAlign w:val="center"/>
            <w:hideMark/>
          </w:tcPr>
          <w:p w14:paraId="2356CEF7"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0,3</w:t>
            </w:r>
          </w:p>
        </w:tc>
        <w:tc>
          <w:tcPr>
            <w:tcW w:w="1030" w:type="dxa"/>
            <w:tcBorders>
              <w:top w:val="nil"/>
              <w:left w:val="nil"/>
              <w:bottom w:val="single" w:sz="4" w:space="0" w:color="auto"/>
              <w:right w:val="single" w:sz="4" w:space="0" w:color="auto"/>
            </w:tcBorders>
            <w:shd w:val="clear" w:color="auto" w:fill="auto"/>
            <w:vAlign w:val="center"/>
            <w:hideMark/>
          </w:tcPr>
          <w:p w14:paraId="544EAF73"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2,8</w:t>
            </w:r>
          </w:p>
        </w:tc>
        <w:tc>
          <w:tcPr>
            <w:tcW w:w="1096" w:type="dxa"/>
            <w:tcBorders>
              <w:top w:val="nil"/>
              <w:left w:val="nil"/>
              <w:bottom w:val="single" w:sz="4" w:space="0" w:color="auto"/>
              <w:right w:val="single" w:sz="4" w:space="0" w:color="auto"/>
            </w:tcBorders>
            <w:shd w:val="clear" w:color="auto" w:fill="auto"/>
            <w:vAlign w:val="center"/>
            <w:hideMark/>
          </w:tcPr>
          <w:p w14:paraId="69ADA0D2"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1,6</w:t>
            </w:r>
          </w:p>
        </w:tc>
        <w:tc>
          <w:tcPr>
            <w:tcW w:w="1149" w:type="dxa"/>
            <w:tcBorders>
              <w:top w:val="nil"/>
              <w:left w:val="nil"/>
              <w:bottom w:val="single" w:sz="4" w:space="0" w:color="auto"/>
              <w:right w:val="single" w:sz="4" w:space="0" w:color="auto"/>
            </w:tcBorders>
            <w:shd w:val="clear" w:color="auto" w:fill="auto"/>
            <w:vAlign w:val="center"/>
            <w:hideMark/>
          </w:tcPr>
          <w:p w14:paraId="44FF9485"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2,1</w:t>
            </w:r>
          </w:p>
        </w:tc>
        <w:tc>
          <w:tcPr>
            <w:tcW w:w="1119" w:type="dxa"/>
            <w:tcBorders>
              <w:top w:val="nil"/>
              <w:left w:val="nil"/>
              <w:bottom w:val="single" w:sz="4" w:space="0" w:color="auto"/>
              <w:right w:val="single" w:sz="4" w:space="0" w:color="auto"/>
            </w:tcBorders>
            <w:shd w:val="clear" w:color="auto" w:fill="auto"/>
            <w:vAlign w:val="center"/>
            <w:hideMark/>
          </w:tcPr>
          <w:p w14:paraId="1BF1924D"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2,4</w:t>
            </w:r>
          </w:p>
        </w:tc>
        <w:tc>
          <w:tcPr>
            <w:tcW w:w="3149" w:type="dxa"/>
            <w:tcBorders>
              <w:top w:val="nil"/>
              <w:left w:val="nil"/>
              <w:bottom w:val="single" w:sz="4" w:space="0" w:color="auto"/>
              <w:right w:val="single" w:sz="4" w:space="0" w:color="auto"/>
            </w:tcBorders>
            <w:shd w:val="clear" w:color="auto" w:fill="auto"/>
            <w:hideMark/>
          </w:tcPr>
          <w:p w14:paraId="1D86619A" w14:textId="77777777" w:rsidR="00322AE9" w:rsidRPr="00322AE9" w:rsidRDefault="00322AE9" w:rsidP="00322AE9">
            <w:pPr>
              <w:ind w:firstLine="0"/>
              <w:jc w:val="left"/>
              <w:rPr>
                <w:rFonts w:eastAsia="Times New Roman" w:cs="Times New Roman"/>
                <w:color w:val="000000"/>
                <w:sz w:val="18"/>
                <w:szCs w:val="18"/>
                <w:lang w:eastAsia="ru-RU"/>
              </w:rPr>
            </w:pPr>
            <w:r w:rsidRPr="00322AE9">
              <w:rPr>
                <w:rFonts w:eastAsia="Times New Roman" w:cs="Times New Roman"/>
                <w:color w:val="000000"/>
                <w:sz w:val="18"/>
                <w:szCs w:val="18"/>
                <w:lang w:eastAsia="ru-RU"/>
              </w:rPr>
              <w:t> </w:t>
            </w:r>
          </w:p>
        </w:tc>
      </w:tr>
      <w:tr w:rsidR="00322AE9" w:rsidRPr="00322AE9" w14:paraId="1A9B11F7" w14:textId="77777777" w:rsidTr="00322AE9">
        <w:trPr>
          <w:trHeight w:val="510"/>
          <w:jc w:val="center"/>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0ACDE903"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 </w:t>
            </w:r>
          </w:p>
        </w:tc>
        <w:tc>
          <w:tcPr>
            <w:tcW w:w="816" w:type="dxa"/>
            <w:tcBorders>
              <w:top w:val="nil"/>
              <w:left w:val="nil"/>
              <w:bottom w:val="single" w:sz="4" w:space="0" w:color="auto"/>
              <w:right w:val="single" w:sz="4" w:space="0" w:color="auto"/>
            </w:tcBorders>
            <w:shd w:val="clear" w:color="auto" w:fill="auto"/>
            <w:vAlign w:val="center"/>
            <w:hideMark/>
          </w:tcPr>
          <w:p w14:paraId="1870CF9D"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0401</w:t>
            </w:r>
          </w:p>
        </w:tc>
        <w:tc>
          <w:tcPr>
            <w:tcW w:w="2893" w:type="dxa"/>
            <w:tcBorders>
              <w:top w:val="nil"/>
              <w:left w:val="nil"/>
              <w:bottom w:val="single" w:sz="4" w:space="0" w:color="auto"/>
              <w:right w:val="single" w:sz="4" w:space="0" w:color="auto"/>
            </w:tcBorders>
            <w:shd w:val="clear" w:color="auto" w:fill="auto"/>
            <w:vAlign w:val="center"/>
            <w:hideMark/>
          </w:tcPr>
          <w:p w14:paraId="3AD9845D" w14:textId="77777777" w:rsidR="00322AE9" w:rsidRPr="00322AE9" w:rsidRDefault="00322AE9" w:rsidP="00322AE9">
            <w:pPr>
              <w:ind w:firstLine="0"/>
              <w:jc w:val="left"/>
              <w:rPr>
                <w:rFonts w:eastAsia="Times New Roman" w:cs="Times New Roman"/>
                <w:color w:val="000000"/>
                <w:sz w:val="20"/>
                <w:szCs w:val="20"/>
                <w:lang w:eastAsia="ru-RU"/>
              </w:rPr>
            </w:pPr>
            <w:r w:rsidRPr="00322AE9">
              <w:rPr>
                <w:rFonts w:eastAsia="Times New Roman" w:cs="Times New Roman"/>
                <w:color w:val="000000"/>
                <w:sz w:val="20"/>
                <w:szCs w:val="20"/>
                <w:lang w:eastAsia="ru-RU"/>
              </w:rPr>
              <w:t>Магазины до 250 кв.м, за исключением киосков, павильонов, ларьков</w:t>
            </w:r>
          </w:p>
        </w:tc>
        <w:tc>
          <w:tcPr>
            <w:tcW w:w="855" w:type="dxa"/>
            <w:tcBorders>
              <w:top w:val="nil"/>
              <w:left w:val="nil"/>
              <w:bottom w:val="single" w:sz="4" w:space="0" w:color="auto"/>
              <w:right w:val="single" w:sz="4" w:space="0" w:color="auto"/>
            </w:tcBorders>
            <w:shd w:val="clear" w:color="FFFFFF" w:fill="FFFFFF"/>
            <w:vAlign w:val="center"/>
            <w:hideMark/>
          </w:tcPr>
          <w:p w14:paraId="45B7C4D1"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 </w:t>
            </w:r>
          </w:p>
        </w:tc>
        <w:tc>
          <w:tcPr>
            <w:tcW w:w="793" w:type="dxa"/>
            <w:tcBorders>
              <w:top w:val="nil"/>
              <w:left w:val="nil"/>
              <w:bottom w:val="single" w:sz="4" w:space="0" w:color="auto"/>
              <w:right w:val="single" w:sz="4" w:space="0" w:color="auto"/>
            </w:tcBorders>
            <w:shd w:val="clear" w:color="auto" w:fill="auto"/>
            <w:vAlign w:val="center"/>
            <w:hideMark/>
          </w:tcPr>
          <w:p w14:paraId="36066862"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2,5</w:t>
            </w:r>
          </w:p>
        </w:tc>
        <w:tc>
          <w:tcPr>
            <w:tcW w:w="992" w:type="dxa"/>
            <w:tcBorders>
              <w:top w:val="nil"/>
              <w:left w:val="nil"/>
              <w:bottom w:val="single" w:sz="4" w:space="0" w:color="auto"/>
              <w:right w:val="single" w:sz="4" w:space="0" w:color="auto"/>
            </w:tcBorders>
            <w:shd w:val="clear" w:color="auto" w:fill="auto"/>
            <w:vAlign w:val="center"/>
            <w:hideMark/>
          </w:tcPr>
          <w:p w14:paraId="2EDF4501"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0,3</w:t>
            </w:r>
          </w:p>
        </w:tc>
        <w:tc>
          <w:tcPr>
            <w:tcW w:w="1030" w:type="dxa"/>
            <w:tcBorders>
              <w:top w:val="nil"/>
              <w:left w:val="nil"/>
              <w:bottom w:val="single" w:sz="4" w:space="0" w:color="auto"/>
              <w:right w:val="single" w:sz="4" w:space="0" w:color="auto"/>
            </w:tcBorders>
            <w:shd w:val="clear" w:color="auto" w:fill="auto"/>
            <w:vAlign w:val="center"/>
            <w:hideMark/>
          </w:tcPr>
          <w:p w14:paraId="46670331"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2,8</w:t>
            </w:r>
          </w:p>
        </w:tc>
        <w:tc>
          <w:tcPr>
            <w:tcW w:w="1096" w:type="dxa"/>
            <w:tcBorders>
              <w:top w:val="nil"/>
              <w:left w:val="nil"/>
              <w:bottom w:val="single" w:sz="4" w:space="0" w:color="auto"/>
              <w:right w:val="single" w:sz="4" w:space="0" w:color="auto"/>
            </w:tcBorders>
            <w:shd w:val="clear" w:color="auto" w:fill="auto"/>
            <w:vAlign w:val="center"/>
            <w:hideMark/>
          </w:tcPr>
          <w:p w14:paraId="78F241BE"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1,6</w:t>
            </w:r>
          </w:p>
        </w:tc>
        <w:tc>
          <w:tcPr>
            <w:tcW w:w="1149" w:type="dxa"/>
            <w:tcBorders>
              <w:top w:val="nil"/>
              <w:left w:val="nil"/>
              <w:bottom w:val="single" w:sz="4" w:space="0" w:color="auto"/>
              <w:right w:val="single" w:sz="4" w:space="0" w:color="auto"/>
            </w:tcBorders>
            <w:shd w:val="clear" w:color="auto" w:fill="auto"/>
            <w:vAlign w:val="center"/>
            <w:hideMark/>
          </w:tcPr>
          <w:p w14:paraId="00D11927"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2,1</w:t>
            </w:r>
          </w:p>
        </w:tc>
        <w:tc>
          <w:tcPr>
            <w:tcW w:w="1119" w:type="dxa"/>
            <w:tcBorders>
              <w:top w:val="nil"/>
              <w:left w:val="nil"/>
              <w:bottom w:val="single" w:sz="4" w:space="0" w:color="auto"/>
              <w:right w:val="single" w:sz="4" w:space="0" w:color="auto"/>
            </w:tcBorders>
            <w:shd w:val="clear" w:color="auto" w:fill="auto"/>
            <w:vAlign w:val="center"/>
            <w:hideMark/>
          </w:tcPr>
          <w:p w14:paraId="70BE9BD8"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2,4</w:t>
            </w:r>
          </w:p>
        </w:tc>
        <w:tc>
          <w:tcPr>
            <w:tcW w:w="3149" w:type="dxa"/>
            <w:tcBorders>
              <w:top w:val="nil"/>
              <w:left w:val="nil"/>
              <w:bottom w:val="single" w:sz="4" w:space="0" w:color="auto"/>
              <w:right w:val="single" w:sz="4" w:space="0" w:color="auto"/>
            </w:tcBorders>
            <w:shd w:val="clear" w:color="auto" w:fill="auto"/>
            <w:hideMark/>
          </w:tcPr>
          <w:p w14:paraId="5B6DB3E4" w14:textId="77777777" w:rsidR="00322AE9" w:rsidRPr="00322AE9" w:rsidRDefault="00322AE9" w:rsidP="00322AE9">
            <w:pPr>
              <w:ind w:firstLine="0"/>
              <w:jc w:val="left"/>
              <w:rPr>
                <w:rFonts w:eastAsia="Times New Roman" w:cs="Times New Roman"/>
                <w:color w:val="000000"/>
                <w:sz w:val="18"/>
                <w:szCs w:val="18"/>
                <w:lang w:eastAsia="ru-RU"/>
              </w:rPr>
            </w:pPr>
            <w:r w:rsidRPr="00322AE9">
              <w:rPr>
                <w:rFonts w:eastAsia="Times New Roman" w:cs="Times New Roman"/>
                <w:color w:val="000000"/>
                <w:sz w:val="18"/>
                <w:szCs w:val="18"/>
                <w:lang w:eastAsia="ru-RU"/>
              </w:rPr>
              <w:t>СП 44.13330.2011 "Административные и бытовые здания", п.4.3</w:t>
            </w:r>
          </w:p>
        </w:tc>
      </w:tr>
      <w:tr w:rsidR="00322AE9" w:rsidRPr="00322AE9" w14:paraId="4BCD96BC" w14:textId="77777777" w:rsidTr="00322AE9">
        <w:trPr>
          <w:trHeight w:val="300"/>
          <w:jc w:val="center"/>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4A0CE5EE"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 </w:t>
            </w:r>
          </w:p>
        </w:tc>
        <w:tc>
          <w:tcPr>
            <w:tcW w:w="816" w:type="dxa"/>
            <w:tcBorders>
              <w:top w:val="nil"/>
              <w:left w:val="nil"/>
              <w:bottom w:val="single" w:sz="4" w:space="0" w:color="auto"/>
              <w:right w:val="single" w:sz="4" w:space="0" w:color="auto"/>
            </w:tcBorders>
            <w:shd w:val="clear" w:color="auto" w:fill="auto"/>
            <w:vAlign w:val="center"/>
            <w:hideMark/>
          </w:tcPr>
          <w:p w14:paraId="6BDDB3F3"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0402</w:t>
            </w:r>
          </w:p>
        </w:tc>
        <w:tc>
          <w:tcPr>
            <w:tcW w:w="2893" w:type="dxa"/>
            <w:tcBorders>
              <w:top w:val="nil"/>
              <w:left w:val="nil"/>
              <w:bottom w:val="single" w:sz="4" w:space="0" w:color="auto"/>
              <w:right w:val="single" w:sz="4" w:space="0" w:color="auto"/>
            </w:tcBorders>
            <w:shd w:val="clear" w:color="auto" w:fill="auto"/>
            <w:vAlign w:val="center"/>
            <w:hideMark/>
          </w:tcPr>
          <w:p w14:paraId="334D5EF9" w14:textId="77777777" w:rsidR="00322AE9" w:rsidRPr="00322AE9" w:rsidRDefault="00322AE9" w:rsidP="00322AE9">
            <w:pPr>
              <w:ind w:firstLine="0"/>
              <w:jc w:val="left"/>
              <w:rPr>
                <w:rFonts w:eastAsia="Times New Roman" w:cs="Times New Roman"/>
                <w:color w:val="000000"/>
                <w:sz w:val="20"/>
                <w:szCs w:val="20"/>
                <w:lang w:eastAsia="ru-RU"/>
              </w:rPr>
            </w:pPr>
            <w:r w:rsidRPr="00322AE9">
              <w:rPr>
                <w:rFonts w:eastAsia="Times New Roman" w:cs="Times New Roman"/>
                <w:color w:val="000000"/>
                <w:sz w:val="20"/>
                <w:szCs w:val="20"/>
                <w:lang w:eastAsia="ru-RU"/>
              </w:rPr>
              <w:t>Магазины 250 и более  кв.м (Торговые комплексы)</w:t>
            </w:r>
          </w:p>
        </w:tc>
        <w:tc>
          <w:tcPr>
            <w:tcW w:w="855" w:type="dxa"/>
            <w:tcBorders>
              <w:top w:val="nil"/>
              <w:left w:val="nil"/>
              <w:bottom w:val="single" w:sz="4" w:space="0" w:color="auto"/>
              <w:right w:val="single" w:sz="4" w:space="0" w:color="auto"/>
            </w:tcBorders>
            <w:shd w:val="clear" w:color="FFFFFF" w:fill="FFFFFF"/>
            <w:vAlign w:val="center"/>
            <w:hideMark/>
          </w:tcPr>
          <w:p w14:paraId="3A414D4D"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 </w:t>
            </w:r>
          </w:p>
        </w:tc>
        <w:tc>
          <w:tcPr>
            <w:tcW w:w="793" w:type="dxa"/>
            <w:tcBorders>
              <w:top w:val="nil"/>
              <w:left w:val="nil"/>
              <w:bottom w:val="single" w:sz="4" w:space="0" w:color="auto"/>
              <w:right w:val="single" w:sz="4" w:space="0" w:color="auto"/>
            </w:tcBorders>
            <w:shd w:val="clear" w:color="auto" w:fill="auto"/>
            <w:vAlign w:val="center"/>
            <w:hideMark/>
          </w:tcPr>
          <w:p w14:paraId="763F4A74"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 </w:t>
            </w:r>
          </w:p>
        </w:tc>
        <w:tc>
          <w:tcPr>
            <w:tcW w:w="992" w:type="dxa"/>
            <w:tcBorders>
              <w:top w:val="nil"/>
              <w:left w:val="nil"/>
              <w:bottom w:val="single" w:sz="4" w:space="0" w:color="auto"/>
              <w:right w:val="single" w:sz="4" w:space="0" w:color="auto"/>
            </w:tcBorders>
            <w:shd w:val="clear" w:color="auto" w:fill="auto"/>
            <w:vAlign w:val="center"/>
            <w:hideMark/>
          </w:tcPr>
          <w:p w14:paraId="751828EB"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 </w:t>
            </w:r>
          </w:p>
        </w:tc>
        <w:tc>
          <w:tcPr>
            <w:tcW w:w="1030" w:type="dxa"/>
            <w:tcBorders>
              <w:top w:val="nil"/>
              <w:left w:val="nil"/>
              <w:bottom w:val="single" w:sz="4" w:space="0" w:color="auto"/>
              <w:right w:val="single" w:sz="4" w:space="0" w:color="auto"/>
            </w:tcBorders>
            <w:shd w:val="clear" w:color="auto" w:fill="auto"/>
            <w:vAlign w:val="center"/>
            <w:hideMark/>
          </w:tcPr>
          <w:p w14:paraId="3AE6A50D"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 </w:t>
            </w:r>
          </w:p>
        </w:tc>
        <w:tc>
          <w:tcPr>
            <w:tcW w:w="1096" w:type="dxa"/>
            <w:tcBorders>
              <w:top w:val="nil"/>
              <w:left w:val="nil"/>
              <w:bottom w:val="single" w:sz="4" w:space="0" w:color="auto"/>
              <w:right w:val="single" w:sz="4" w:space="0" w:color="auto"/>
            </w:tcBorders>
            <w:shd w:val="clear" w:color="auto" w:fill="auto"/>
            <w:vAlign w:val="center"/>
            <w:hideMark/>
          </w:tcPr>
          <w:p w14:paraId="3D56A9EE"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1,6</w:t>
            </w:r>
          </w:p>
        </w:tc>
        <w:tc>
          <w:tcPr>
            <w:tcW w:w="1149" w:type="dxa"/>
            <w:tcBorders>
              <w:top w:val="nil"/>
              <w:left w:val="nil"/>
              <w:bottom w:val="single" w:sz="4" w:space="0" w:color="auto"/>
              <w:right w:val="single" w:sz="4" w:space="0" w:color="auto"/>
            </w:tcBorders>
            <w:shd w:val="clear" w:color="auto" w:fill="auto"/>
            <w:vAlign w:val="center"/>
            <w:hideMark/>
          </w:tcPr>
          <w:p w14:paraId="40C1F0DE"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 </w:t>
            </w:r>
          </w:p>
        </w:tc>
        <w:tc>
          <w:tcPr>
            <w:tcW w:w="1119" w:type="dxa"/>
            <w:tcBorders>
              <w:top w:val="nil"/>
              <w:left w:val="nil"/>
              <w:bottom w:val="single" w:sz="4" w:space="0" w:color="auto"/>
              <w:right w:val="single" w:sz="4" w:space="0" w:color="auto"/>
            </w:tcBorders>
            <w:shd w:val="clear" w:color="auto" w:fill="auto"/>
            <w:vAlign w:val="center"/>
            <w:hideMark/>
          </w:tcPr>
          <w:p w14:paraId="6B425395"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 </w:t>
            </w:r>
          </w:p>
        </w:tc>
        <w:tc>
          <w:tcPr>
            <w:tcW w:w="3149" w:type="dxa"/>
            <w:tcBorders>
              <w:top w:val="nil"/>
              <w:left w:val="nil"/>
              <w:bottom w:val="single" w:sz="4" w:space="0" w:color="auto"/>
              <w:right w:val="single" w:sz="4" w:space="0" w:color="auto"/>
            </w:tcBorders>
            <w:shd w:val="clear" w:color="auto" w:fill="auto"/>
            <w:hideMark/>
          </w:tcPr>
          <w:p w14:paraId="6A8D5A49" w14:textId="77777777" w:rsidR="00322AE9" w:rsidRPr="00322AE9" w:rsidRDefault="00322AE9" w:rsidP="00322AE9">
            <w:pPr>
              <w:ind w:firstLine="0"/>
              <w:jc w:val="left"/>
              <w:rPr>
                <w:rFonts w:eastAsia="Times New Roman" w:cs="Times New Roman"/>
                <w:color w:val="000000"/>
                <w:sz w:val="18"/>
                <w:szCs w:val="18"/>
                <w:lang w:eastAsia="ru-RU"/>
              </w:rPr>
            </w:pPr>
            <w:r w:rsidRPr="00322AE9">
              <w:rPr>
                <w:rFonts w:eastAsia="Times New Roman" w:cs="Times New Roman"/>
                <w:color w:val="000000"/>
                <w:sz w:val="18"/>
                <w:szCs w:val="18"/>
                <w:lang w:eastAsia="ru-RU"/>
              </w:rPr>
              <w:t>СП 118.13330.2012 "Общественные здания"</w:t>
            </w:r>
          </w:p>
        </w:tc>
      </w:tr>
      <w:tr w:rsidR="00322AE9" w:rsidRPr="00322AE9" w14:paraId="72734BAD" w14:textId="77777777" w:rsidTr="00322AE9">
        <w:trPr>
          <w:trHeight w:val="1785"/>
          <w:jc w:val="center"/>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291C7993"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 </w:t>
            </w:r>
          </w:p>
        </w:tc>
        <w:tc>
          <w:tcPr>
            <w:tcW w:w="816" w:type="dxa"/>
            <w:tcBorders>
              <w:top w:val="nil"/>
              <w:left w:val="nil"/>
              <w:bottom w:val="single" w:sz="4" w:space="0" w:color="auto"/>
              <w:right w:val="single" w:sz="4" w:space="0" w:color="auto"/>
            </w:tcBorders>
            <w:shd w:val="clear" w:color="auto" w:fill="auto"/>
            <w:vAlign w:val="center"/>
            <w:hideMark/>
          </w:tcPr>
          <w:p w14:paraId="4470B69F"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0403</w:t>
            </w:r>
          </w:p>
        </w:tc>
        <w:tc>
          <w:tcPr>
            <w:tcW w:w="2893" w:type="dxa"/>
            <w:tcBorders>
              <w:top w:val="nil"/>
              <w:left w:val="nil"/>
              <w:bottom w:val="single" w:sz="4" w:space="0" w:color="auto"/>
              <w:right w:val="single" w:sz="4" w:space="0" w:color="auto"/>
            </w:tcBorders>
            <w:shd w:val="clear" w:color="auto" w:fill="auto"/>
            <w:vAlign w:val="center"/>
            <w:hideMark/>
          </w:tcPr>
          <w:p w14:paraId="331AD0C6" w14:textId="77777777" w:rsidR="00322AE9" w:rsidRPr="00322AE9" w:rsidRDefault="00322AE9" w:rsidP="00322AE9">
            <w:pPr>
              <w:ind w:firstLine="0"/>
              <w:jc w:val="left"/>
              <w:rPr>
                <w:rFonts w:eastAsia="Times New Roman" w:cs="Times New Roman"/>
                <w:color w:val="000000"/>
                <w:sz w:val="20"/>
                <w:szCs w:val="20"/>
                <w:lang w:eastAsia="ru-RU"/>
              </w:rPr>
            </w:pPr>
            <w:r w:rsidRPr="00322AE9">
              <w:rPr>
                <w:rFonts w:eastAsia="Times New Roman" w:cs="Times New Roman"/>
                <w:color w:val="000000"/>
                <w:sz w:val="20"/>
                <w:szCs w:val="20"/>
                <w:lang w:eastAsia="ru-RU"/>
              </w:rPr>
              <w:t>Прочие многофункциональные торгово-сервисные комплексы, торгово-административные объекты, торгово-развлекательные объекты, за исключением отдельно стоящих зданий концертных залов, спортивно-концертных комплексов, кинотеатров, комплексов аттракционов, торгово-складские объекты, торговые базы</w:t>
            </w:r>
          </w:p>
        </w:tc>
        <w:tc>
          <w:tcPr>
            <w:tcW w:w="855" w:type="dxa"/>
            <w:tcBorders>
              <w:top w:val="nil"/>
              <w:left w:val="nil"/>
              <w:bottom w:val="single" w:sz="4" w:space="0" w:color="auto"/>
              <w:right w:val="single" w:sz="4" w:space="0" w:color="auto"/>
            </w:tcBorders>
            <w:shd w:val="clear" w:color="FFFFFF" w:fill="FFFFFF"/>
            <w:vAlign w:val="center"/>
            <w:hideMark/>
          </w:tcPr>
          <w:p w14:paraId="26C7FBB2"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 </w:t>
            </w:r>
          </w:p>
        </w:tc>
        <w:tc>
          <w:tcPr>
            <w:tcW w:w="793" w:type="dxa"/>
            <w:tcBorders>
              <w:top w:val="nil"/>
              <w:left w:val="nil"/>
              <w:bottom w:val="single" w:sz="4" w:space="0" w:color="auto"/>
              <w:right w:val="single" w:sz="4" w:space="0" w:color="auto"/>
            </w:tcBorders>
            <w:shd w:val="clear" w:color="FFFFFF" w:fill="FFFFFF"/>
            <w:vAlign w:val="center"/>
            <w:hideMark/>
          </w:tcPr>
          <w:p w14:paraId="610FA53E"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4,0</w:t>
            </w:r>
          </w:p>
        </w:tc>
        <w:tc>
          <w:tcPr>
            <w:tcW w:w="992" w:type="dxa"/>
            <w:tcBorders>
              <w:top w:val="nil"/>
              <w:left w:val="nil"/>
              <w:bottom w:val="single" w:sz="4" w:space="0" w:color="auto"/>
              <w:right w:val="single" w:sz="4" w:space="0" w:color="auto"/>
            </w:tcBorders>
            <w:shd w:val="clear" w:color="auto" w:fill="auto"/>
            <w:vAlign w:val="center"/>
            <w:hideMark/>
          </w:tcPr>
          <w:p w14:paraId="3043239A"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0,3</w:t>
            </w:r>
          </w:p>
        </w:tc>
        <w:tc>
          <w:tcPr>
            <w:tcW w:w="1030" w:type="dxa"/>
            <w:tcBorders>
              <w:top w:val="nil"/>
              <w:left w:val="nil"/>
              <w:bottom w:val="single" w:sz="4" w:space="0" w:color="auto"/>
              <w:right w:val="single" w:sz="4" w:space="0" w:color="auto"/>
            </w:tcBorders>
            <w:shd w:val="clear" w:color="auto" w:fill="auto"/>
            <w:vAlign w:val="center"/>
            <w:hideMark/>
          </w:tcPr>
          <w:p w14:paraId="1AB989E3"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4,3</w:t>
            </w:r>
          </w:p>
        </w:tc>
        <w:tc>
          <w:tcPr>
            <w:tcW w:w="1096" w:type="dxa"/>
            <w:tcBorders>
              <w:top w:val="nil"/>
              <w:left w:val="nil"/>
              <w:bottom w:val="single" w:sz="4" w:space="0" w:color="auto"/>
              <w:right w:val="single" w:sz="4" w:space="0" w:color="auto"/>
            </w:tcBorders>
            <w:shd w:val="clear" w:color="auto" w:fill="auto"/>
            <w:vAlign w:val="center"/>
            <w:hideMark/>
          </w:tcPr>
          <w:p w14:paraId="5AEB931E"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1,6</w:t>
            </w:r>
          </w:p>
        </w:tc>
        <w:tc>
          <w:tcPr>
            <w:tcW w:w="1149" w:type="dxa"/>
            <w:tcBorders>
              <w:top w:val="nil"/>
              <w:left w:val="nil"/>
              <w:bottom w:val="single" w:sz="4" w:space="0" w:color="auto"/>
              <w:right w:val="single" w:sz="4" w:space="0" w:color="auto"/>
            </w:tcBorders>
            <w:shd w:val="clear" w:color="auto" w:fill="auto"/>
            <w:vAlign w:val="center"/>
            <w:hideMark/>
          </w:tcPr>
          <w:p w14:paraId="1A77D4F2"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2,1</w:t>
            </w:r>
          </w:p>
        </w:tc>
        <w:tc>
          <w:tcPr>
            <w:tcW w:w="1119" w:type="dxa"/>
            <w:tcBorders>
              <w:top w:val="nil"/>
              <w:left w:val="nil"/>
              <w:bottom w:val="single" w:sz="4" w:space="0" w:color="auto"/>
              <w:right w:val="single" w:sz="4" w:space="0" w:color="auto"/>
            </w:tcBorders>
            <w:shd w:val="clear" w:color="auto" w:fill="auto"/>
            <w:vAlign w:val="center"/>
            <w:hideMark/>
          </w:tcPr>
          <w:p w14:paraId="023102BD"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2,4</w:t>
            </w:r>
          </w:p>
        </w:tc>
        <w:tc>
          <w:tcPr>
            <w:tcW w:w="3149" w:type="dxa"/>
            <w:tcBorders>
              <w:top w:val="nil"/>
              <w:left w:val="nil"/>
              <w:bottom w:val="single" w:sz="4" w:space="0" w:color="auto"/>
              <w:right w:val="single" w:sz="4" w:space="0" w:color="auto"/>
            </w:tcBorders>
            <w:shd w:val="clear" w:color="auto" w:fill="auto"/>
            <w:hideMark/>
          </w:tcPr>
          <w:p w14:paraId="2D42B054" w14:textId="77777777" w:rsidR="00322AE9" w:rsidRPr="00322AE9" w:rsidRDefault="00322AE9" w:rsidP="00322AE9">
            <w:pPr>
              <w:ind w:firstLine="0"/>
              <w:jc w:val="left"/>
              <w:rPr>
                <w:rFonts w:eastAsia="Times New Roman" w:cs="Times New Roman"/>
                <w:color w:val="000000"/>
                <w:sz w:val="18"/>
                <w:szCs w:val="18"/>
                <w:lang w:eastAsia="ru-RU"/>
              </w:rPr>
            </w:pPr>
            <w:r w:rsidRPr="00322AE9">
              <w:rPr>
                <w:rFonts w:eastAsia="Times New Roman" w:cs="Times New Roman"/>
                <w:color w:val="000000"/>
                <w:sz w:val="18"/>
                <w:szCs w:val="18"/>
                <w:lang w:eastAsia="ru-RU"/>
              </w:rPr>
              <w:t> </w:t>
            </w:r>
          </w:p>
        </w:tc>
      </w:tr>
      <w:tr w:rsidR="00322AE9" w:rsidRPr="00322AE9" w14:paraId="5D045A7F" w14:textId="77777777" w:rsidTr="00322AE9">
        <w:trPr>
          <w:trHeight w:val="300"/>
          <w:jc w:val="center"/>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4C2B0F6D"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 </w:t>
            </w:r>
          </w:p>
        </w:tc>
        <w:tc>
          <w:tcPr>
            <w:tcW w:w="816" w:type="dxa"/>
            <w:tcBorders>
              <w:top w:val="nil"/>
              <w:left w:val="nil"/>
              <w:bottom w:val="single" w:sz="4" w:space="0" w:color="auto"/>
              <w:right w:val="single" w:sz="4" w:space="0" w:color="auto"/>
            </w:tcBorders>
            <w:shd w:val="clear" w:color="auto" w:fill="auto"/>
            <w:vAlign w:val="center"/>
            <w:hideMark/>
          </w:tcPr>
          <w:p w14:paraId="2AFBB1E0"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0404</w:t>
            </w:r>
          </w:p>
        </w:tc>
        <w:tc>
          <w:tcPr>
            <w:tcW w:w="2893" w:type="dxa"/>
            <w:tcBorders>
              <w:top w:val="nil"/>
              <w:left w:val="nil"/>
              <w:bottom w:val="single" w:sz="4" w:space="0" w:color="auto"/>
              <w:right w:val="single" w:sz="4" w:space="0" w:color="auto"/>
            </w:tcBorders>
            <w:shd w:val="clear" w:color="auto" w:fill="auto"/>
            <w:vAlign w:val="center"/>
            <w:hideMark/>
          </w:tcPr>
          <w:p w14:paraId="14E399B9" w14:textId="77777777" w:rsidR="00322AE9" w:rsidRPr="00322AE9" w:rsidRDefault="00322AE9" w:rsidP="00322AE9">
            <w:pPr>
              <w:ind w:firstLine="0"/>
              <w:jc w:val="left"/>
              <w:rPr>
                <w:rFonts w:eastAsia="Times New Roman" w:cs="Times New Roman"/>
                <w:color w:val="000000"/>
                <w:sz w:val="20"/>
                <w:szCs w:val="20"/>
                <w:lang w:eastAsia="ru-RU"/>
              </w:rPr>
            </w:pPr>
            <w:r w:rsidRPr="00322AE9">
              <w:rPr>
                <w:rFonts w:eastAsia="Times New Roman" w:cs="Times New Roman"/>
                <w:color w:val="000000"/>
                <w:sz w:val="20"/>
                <w:szCs w:val="20"/>
                <w:lang w:eastAsia="ru-RU"/>
              </w:rPr>
              <w:t>Рынки</w:t>
            </w:r>
          </w:p>
        </w:tc>
        <w:tc>
          <w:tcPr>
            <w:tcW w:w="855" w:type="dxa"/>
            <w:tcBorders>
              <w:top w:val="nil"/>
              <w:left w:val="nil"/>
              <w:bottom w:val="single" w:sz="4" w:space="0" w:color="auto"/>
              <w:right w:val="single" w:sz="4" w:space="0" w:color="auto"/>
            </w:tcBorders>
            <w:shd w:val="clear" w:color="FFFFFF" w:fill="FFFFFF"/>
            <w:vAlign w:val="center"/>
            <w:hideMark/>
          </w:tcPr>
          <w:p w14:paraId="7A8CFC49"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 </w:t>
            </w:r>
          </w:p>
        </w:tc>
        <w:tc>
          <w:tcPr>
            <w:tcW w:w="793" w:type="dxa"/>
            <w:tcBorders>
              <w:top w:val="nil"/>
              <w:left w:val="nil"/>
              <w:bottom w:val="single" w:sz="4" w:space="0" w:color="auto"/>
              <w:right w:val="single" w:sz="4" w:space="0" w:color="auto"/>
            </w:tcBorders>
            <w:shd w:val="clear" w:color="auto" w:fill="auto"/>
            <w:vAlign w:val="center"/>
            <w:hideMark/>
          </w:tcPr>
          <w:p w14:paraId="0DB77190"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3,0</w:t>
            </w:r>
          </w:p>
        </w:tc>
        <w:tc>
          <w:tcPr>
            <w:tcW w:w="992" w:type="dxa"/>
            <w:tcBorders>
              <w:top w:val="nil"/>
              <w:left w:val="nil"/>
              <w:bottom w:val="single" w:sz="4" w:space="0" w:color="auto"/>
              <w:right w:val="single" w:sz="4" w:space="0" w:color="auto"/>
            </w:tcBorders>
            <w:shd w:val="clear" w:color="auto" w:fill="auto"/>
            <w:vAlign w:val="center"/>
            <w:hideMark/>
          </w:tcPr>
          <w:p w14:paraId="518C4A4C"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0,3</w:t>
            </w:r>
          </w:p>
        </w:tc>
        <w:tc>
          <w:tcPr>
            <w:tcW w:w="1030" w:type="dxa"/>
            <w:tcBorders>
              <w:top w:val="nil"/>
              <w:left w:val="nil"/>
              <w:bottom w:val="single" w:sz="4" w:space="0" w:color="auto"/>
              <w:right w:val="single" w:sz="4" w:space="0" w:color="auto"/>
            </w:tcBorders>
            <w:shd w:val="clear" w:color="auto" w:fill="auto"/>
            <w:vAlign w:val="center"/>
            <w:hideMark/>
          </w:tcPr>
          <w:p w14:paraId="0E0B2D2A"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3,3</w:t>
            </w:r>
          </w:p>
        </w:tc>
        <w:tc>
          <w:tcPr>
            <w:tcW w:w="1096" w:type="dxa"/>
            <w:tcBorders>
              <w:top w:val="nil"/>
              <w:left w:val="nil"/>
              <w:bottom w:val="single" w:sz="4" w:space="0" w:color="auto"/>
              <w:right w:val="single" w:sz="4" w:space="0" w:color="auto"/>
            </w:tcBorders>
            <w:shd w:val="clear" w:color="auto" w:fill="auto"/>
            <w:vAlign w:val="center"/>
            <w:hideMark/>
          </w:tcPr>
          <w:p w14:paraId="5DD058C8"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1,6</w:t>
            </w:r>
          </w:p>
        </w:tc>
        <w:tc>
          <w:tcPr>
            <w:tcW w:w="1149" w:type="dxa"/>
            <w:tcBorders>
              <w:top w:val="nil"/>
              <w:left w:val="nil"/>
              <w:bottom w:val="single" w:sz="4" w:space="0" w:color="auto"/>
              <w:right w:val="single" w:sz="4" w:space="0" w:color="auto"/>
            </w:tcBorders>
            <w:shd w:val="clear" w:color="auto" w:fill="auto"/>
            <w:vAlign w:val="center"/>
            <w:hideMark/>
          </w:tcPr>
          <w:p w14:paraId="1CEAD729"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2,1</w:t>
            </w:r>
          </w:p>
        </w:tc>
        <w:tc>
          <w:tcPr>
            <w:tcW w:w="1119" w:type="dxa"/>
            <w:tcBorders>
              <w:top w:val="nil"/>
              <w:left w:val="nil"/>
              <w:bottom w:val="single" w:sz="4" w:space="0" w:color="auto"/>
              <w:right w:val="single" w:sz="4" w:space="0" w:color="auto"/>
            </w:tcBorders>
            <w:shd w:val="clear" w:color="auto" w:fill="auto"/>
            <w:vAlign w:val="center"/>
            <w:hideMark/>
          </w:tcPr>
          <w:p w14:paraId="784D05F3"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2,4</w:t>
            </w:r>
          </w:p>
        </w:tc>
        <w:tc>
          <w:tcPr>
            <w:tcW w:w="3149" w:type="dxa"/>
            <w:tcBorders>
              <w:top w:val="nil"/>
              <w:left w:val="nil"/>
              <w:bottom w:val="single" w:sz="4" w:space="0" w:color="auto"/>
              <w:right w:val="single" w:sz="4" w:space="0" w:color="auto"/>
            </w:tcBorders>
            <w:shd w:val="clear" w:color="auto" w:fill="auto"/>
            <w:hideMark/>
          </w:tcPr>
          <w:p w14:paraId="3DEA351C" w14:textId="77777777" w:rsidR="00322AE9" w:rsidRPr="00322AE9" w:rsidRDefault="00322AE9" w:rsidP="00322AE9">
            <w:pPr>
              <w:ind w:firstLine="0"/>
              <w:jc w:val="left"/>
              <w:rPr>
                <w:rFonts w:eastAsia="Times New Roman" w:cs="Times New Roman"/>
                <w:color w:val="000000"/>
                <w:sz w:val="18"/>
                <w:szCs w:val="18"/>
                <w:lang w:eastAsia="ru-RU"/>
              </w:rPr>
            </w:pPr>
            <w:r w:rsidRPr="00322AE9">
              <w:rPr>
                <w:rFonts w:eastAsia="Times New Roman" w:cs="Times New Roman"/>
                <w:color w:val="000000"/>
                <w:sz w:val="18"/>
                <w:szCs w:val="18"/>
                <w:lang w:eastAsia="ru-RU"/>
              </w:rPr>
              <w:t>СП 118.13330.2012 "Общественные здания", п.4.6</w:t>
            </w:r>
          </w:p>
        </w:tc>
      </w:tr>
      <w:tr w:rsidR="00322AE9" w:rsidRPr="00322AE9" w14:paraId="175C500C" w14:textId="77777777" w:rsidTr="00322AE9">
        <w:trPr>
          <w:trHeight w:val="300"/>
          <w:jc w:val="center"/>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0B10A67D"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 </w:t>
            </w:r>
          </w:p>
        </w:tc>
        <w:tc>
          <w:tcPr>
            <w:tcW w:w="816" w:type="dxa"/>
            <w:tcBorders>
              <w:top w:val="nil"/>
              <w:left w:val="nil"/>
              <w:bottom w:val="single" w:sz="4" w:space="0" w:color="auto"/>
              <w:right w:val="single" w:sz="4" w:space="0" w:color="auto"/>
            </w:tcBorders>
            <w:shd w:val="clear" w:color="auto" w:fill="auto"/>
            <w:vAlign w:val="center"/>
            <w:hideMark/>
          </w:tcPr>
          <w:p w14:paraId="18CFAF8D"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0405</w:t>
            </w:r>
          </w:p>
        </w:tc>
        <w:tc>
          <w:tcPr>
            <w:tcW w:w="2893" w:type="dxa"/>
            <w:tcBorders>
              <w:top w:val="nil"/>
              <w:left w:val="nil"/>
              <w:bottom w:val="single" w:sz="4" w:space="0" w:color="auto"/>
              <w:right w:val="single" w:sz="4" w:space="0" w:color="auto"/>
            </w:tcBorders>
            <w:shd w:val="clear" w:color="auto" w:fill="auto"/>
            <w:vAlign w:val="center"/>
            <w:hideMark/>
          </w:tcPr>
          <w:p w14:paraId="728E7927" w14:textId="77777777" w:rsidR="00322AE9" w:rsidRPr="00322AE9" w:rsidRDefault="00322AE9" w:rsidP="00322AE9">
            <w:pPr>
              <w:ind w:firstLine="0"/>
              <w:jc w:val="left"/>
              <w:rPr>
                <w:rFonts w:eastAsia="Times New Roman" w:cs="Times New Roman"/>
                <w:color w:val="000000"/>
                <w:sz w:val="20"/>
                <w:szCs w:val="20"/>
                <w:lang w:eastAsia="ru-RU"/>
              </w:rPr>
            </w:pPr>
            <w:r w:rsidRPr="00322AE9">
              <w:rPr>
                <w:rFonts w:eastAsia="Times New Roman" w:cs="Times New Roman"/>
                <w:color w:val="000000"/>
                <w:sz w:val="20"/>
                <w:szCs w:val="20"/>
                <w:lang w:eastAsia="ru-RU"/>
              </w:rPr>
              <w:t>Торговые киоски, павильоны, ларьки</w:t>
            </w:r>
          </w:p>
        </w:tc>
        <w:tc>
          <w:tcPr>
            <w:tcW w:w="855" w:type="dxa"/>
            <w:tcBorders>
              <w:top w:val="nil"/>
              <w:left w:val="nil"/>
              <w:bottom w:val="single" w:sz="4" w:space="0" w:color="auto"/>
              <w:right w:val="single" w:sz="4" w:space="0" w:color="auto"/>
            </w:tcBorders>
            <w:shd w:val="clear" w:color="FFFFFF" w:fill="FFFFFF"/>
            <w:vAlign w:val="center"/>
            <w:hideMark/>
          </w:tcPr>
          <w:p w14:paraId="5ECAD191"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 </w:t>
            </w:r>
          </w:p>
        </w:tc>
        <w:tc>
          <w:tcPr>
            <w:tcW w:w="793" w:type="dxa"/>
            <w:tcBorders>
              <w:top w:val="nil"/>
              <w:left w:val="nil"/>
              <w:bottom w:val="single" w:sz="4" w:space="0" w:color="auto"/>
              <w:right w:val="single" w:sz="4" w:space="0" w:color="auto"/>
            </w:tcBorders>
            <w:shd w:val="clear" w:color="auto" w:fill="auto"/>
            <w:vAlign w:val="center"/>
            <w:hideMark/>
          </w:tcPr>
          <w:p w14:paraId="25D68005"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2,5</w:t>
            </w:r>
          </w:p>
        </w:tc>
        <w:tc>
          <w:tcPr>
            <w:tcW w:w="992" w:type="dxa"/>
            <w:tcBorders>
              <w:top w:val="nil"/>
              <w:left w:val="nil"/>
              <w:bottom w:val="single" w:sz="4" w:space="0" w:color="auto"/>
              <w:right w:val="single" w:sz="4" w:space="0" w:color="auto"/>
            </w:tcBorders>
            <w:shd w:val="clear" w:color="auto" w:fill="auto"/>
            <w:vAlign w:val="center"/>
            <w:hideMark/>
          </w:tcPr>
          <w:p w14:paraId="30F9F936"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0,3</w:t>
            </w:r>
          </w:p>
        </w:tc>
        <w:tc>
          <w:tcPr>
            <w:tcW w:w="1030" w:type="dxa"/>
            <w:tcBorders>
              <w:top w:val="nil"/>
              <w:left w:val="nil"/>
              <w:bottom w:val="single" w:sz="4" w:space="0" w:color="auto"/>
              <w:right w:val="single" w:sz="4" w:space="0" w:color="auto"/>
            </w:tcBorders>
            <w:shd w:val="clear" w:color="auto" w:fill="auto"/>
            <w:vAlign w:val="center"/>
            <w:hideMark/>
          </w:tcPr>
          <w:p w14:paraId="00DA6BB5"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2,8</w:t>
            </w:r>
          </w:p>
        </w:tc>
        <w:tc>
          <w:tcPr>
            <w:tcW w:w="1096" w:type="dxa"/>
            <w:tcBorders>
              <w:top w:val="nil"/>
              <w:left w:val="nil"/>
              <w:bottom w:val="single" w:sz="4" w:space="0" w:color="auto"/>
              <w:right w:val="single" w:sz="4" w:space="0" w:color="auto"/>
            </w:tcBorders>
            <w:shd w:val="clear" w:color="auto" w:fill="auto"/>
            <w:vAlign w:val="center"/>
            <w:hideMark/>
          </w:tcPr>
          <w:p w14:paraId="56629F1F"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1,6</w:t>
            </w:r>
          </w:p>
        </w:tc>
        <w:tc>
          <w:tcPr>
            <w:tcW w:w="1149" w:type="dxa"/>
            <w:tcBorders>
              <w:top w:val="nil"/>
              <w:left w:val="nil"/>
              <w:bottom w:val="single" w:sz="4" w:space="0" w:color="auto"/>
              <w:right w:val="single" w:sz="4" w:space="0" w:color="auto"/>
            </w:tcBorders>
            <w:shd w:val="clear" w:color="auto" w:fill="auto"/>
            <w:vAlign w:val="center"/>
            <w:hideMark/>
          </w:tcPr>
          <w:p w14:paraId="207F5416"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2,1</w:t>
            </w:r>
          </w:p>
        </w:tc>
        <w:tc>
          <w:tcPr>
            <w:tcW w:w="1119" w:type="dxa"/>
            <w:tcBorders>
              <w:top w:val="nil"/>
              <w:left w:val="nil"/>
              <w:bottom w:val="single" w:sz="4" w:space="0" w:color="auto"/>
              <w:right w:val="single" w:sz="4" w:space="0" w:color="auto"/>
            </w:tcBorders>
            <w:shd w:val="clear" w:color="auto" w:fill="auto"/>
            <w:vAlign w:val="center"/>
            <w:hideMark/>
          </w:tcPr>
          <w:p w14:paraId="4FC99D8B"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2,4</w:t>
            </w:r>
          </w:p>
        </w:tc>
        <w:tc>
          <w:tcPr>
            <w:tcW w:w="3149" w:type="dxa"/>
            <w:tcBorders>
              <w:top w:val="nil"/>
              <w:left w:val="nil"/>
              <w:bottom w:val="single" w:sz="4" w:space="0" w:color="auto"/>
              <w:right w:val="single" w:sz="4" w:space="0" w:color="auto"/>
            </w:tcBorders>
            <w:shd w:val="clear" w:color="auto" w:fill="auto"/>
            <w:hideMark/>
          </w:tcPr>
          <w:p w14:paraId="04ADB744" w14:textId="77777777" w:rsidR="00322AE9" w:rsidRPr="00322AE9" w:rsidRDefault="00322AE9" w:rsidP="00322AE9">
            <w:pPr>
              <w:ind w:firstLine="0"/>
              <w:jc w:val="left"/>
              <w:rPr>
                <w:rFonts w:eastAsia="Times New Roman" w:cs="Times New Roman"/>
                <w:color w:val="000000"/>
                <w:sz w:val="18"/>
                <w:szCs w:val="18"/>
                <w:lang w:eastAsia="ru-RU"/>
              </w:rPr>
            </w:pPr>
            <w:r w:rsidRPr="00322AE9">
              <w:rPr>
                <w:rFonts w:eastAsia="Times New Roman" w:cs="Times New Roman"/>
                <w:color w:val="000000"/>
                <w:sz w:val="18"/>
                <w:szCs w:val="18"/>
                <w:lang w:eastAsia="ru-RU"/>
              </w:rPr>
              <w:t>СП 118.13330.2012 "Общественные здания", п.4.5</w:t>
            </w:r>
          </w:p>
        </w:tc>
      </w:tr>
      <w:tr w:rsidR="00322AE9" w:rsidRPr="00322AE9" w14:paraId="135E1700" w14:textId="77777777" w:rsidTr="00322AE9">
        <w:trPr>
          <w:trHeight w:val="765"/>
          <w:jc w:val="center"/>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4B779382"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 </w:t>
            </w:r>
          </w:p>
        </w:tc>
        <w:tc>
          <w:tcPr>
            <w:tcW w:w="816" w:type="dxa"/>
            <w:tcBorders>
              <w:top w:val="nil"/>
              <w:left w:val="nil"/>
              <w:bottom w:val="single" w:sz="4" w:space="0" w:color="auto"/>
              <w:right w:val="single" w:sz="4" w:space="0" w:color="auto"/>
            </w:tcBorders>
            <w:shd w:val="clear" w:color="auto" w:fill="auto"/>
            <w:vAlign w:val="center"/>
            <w:hideMark/>
          </w:tcPr>
          <w:p w14:paraId="4562B014"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0406</w:t>
            </w:r>
          </w:p>
        </w:tc>
        <w:tc>
          <w:tcPr>
            <w:tcW w:w="2893" w:type="dxa"/>
            <w:tcBorders>
              <w:top w:val="nil"/>
              <w:left w:val="nil"/>
              <w:bottom w:val="single" w:sz="4" w:space="0" w:color="auto"/>
              <w:right w:val="single" w:sz="4" w:space="0" w:color="auto"/>
            </w:tcBorders>
            <w:shd w:val="clear" w:color="auto" w:fill="auto"/>
            <w:vAlign w:val="center"/>
            <w:hideMark/>
          </w:tcPr>
          <w:p w14:paraId="7609BE89" w14:textId="77777777" w:rsidR="00322AE9" w:rsidRPr="00322AE9" w:rsidRDefault="00322AE9" w:rsidP="00322AE9">
            <w:pPr>
              <w:ind w:firstLine="0"/>
              <w:jc w:val="left"/>
              <w:rPr>
                <w:rFonts w:eastAsia="Times New Roman" w:cs="Times New Roman"/>
                <w:color w:val="000000"/>
                <w:sz w:val="20"/>
                <w:szCs w:val="20"/>
                <w:lang w:eastAsia="ru-RU"/>
              </w:rPr>
            </w:pPr>
            <w:r w:rsidRPr="00322AE9">
              <w:rPr>
                <w:rFonts w:eastAsia="Times New Roman" w:cs="Times New Roman"/>
                <w:color w:val="000000"/>
                <w:sz w:val="20"/>
                <w:szCs w:val="20"/>
                <w:lang w:eastAsia="ru-RU"/>
              </w:rPr>
              <w:t>Автозаправочные станции (АЗС), газонаполнительные станции, автогазозаправочные станции (АГЗС)</w:t>
            </w:r>
          </w:p>
        </w:tc>
        <w:tc>
          <w:tcPr>
            <w:tcW w:w="855" w:type="dxa"/>
            <w:tcBorders>
              <w:top w:val="nil"/>
              <w:left w:val="nil"/>
              <w:bottom w:val="single" w:sz="4" w:space="0" w:color="auto"/>
              <w:right w:val="single" w:sz="4" w:space="0" w:color="auto"/>
            </w:tcBorders>
            <w:shd w:val="clear" w:color="FFFFFF" w:fill="FFFFFF"/>
            <w:vAlign w:val="center"/>
            <w:hideMark/>
          </w:tcPr>
          <w:p w14:paraId="6EDF94B6"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 </w:t>
            </w:r>
          </w:p>
        </w:tc>
        <w:tc>
          <w:tcPr>
            <w:tcW w:w="793" w:type="dxa"/>
            <w:tcBorders>
              <w:top w:val="nil"/>
              <w:left w:val="nil"/>
              <w:bottom w:val="single" w:sz="4" w:space="0" w:color="auto"/>
              <w:right w:val="single" w:sz="4" w:space="0" w:color="auto"/>
            </w:tcBorders>
            <w:shd w:val="clear" w:color="auto" w:fill="auto"/>
            <w:vAlign w:val="center"/>
            <w:hideMark/>
          </w:tcPr>
          <w:p w14:paraId="12590F91"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3,0</w:t>
            </w:r>
          </w:p>
        </w:tc>
        <w:tc>
          <w:tcPr>
            <w:tcW w:w="992" w:type="dxa"/>
            <w:tcBorders>
              <w:top w:val="nil"/>
              <w:left w:val="nil"/>
              <w:bottom w:val="single" w:sz="4" w:space="0" w:color="auto"/>
              <w:right w:val="single" w:sz="4" w:space="0" w:color="auto"/>
            </w:tcBorders>
            <w:shd w:val="clear" w:color="auto" w:fill="auto"/>
            <w:vAlign w:val="center"/>
            <w:hideMark/>
          </w:tcPr>
          <w:p w14:paraId="7DB6F47B"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0,3</w:t>
            </w:r>
          </w:p>
        </w:tc>
        <w:tc>
          <w:tcPr>
            <w:tcW w:w="1030" w:type="dxa"/>
            <w:tcBorders>
              <w:top w:val="nil"/>
              <w:left w:val="nil"/>
              <w:bottom w:val="single" w:sz="4" w:space="0" w:color="auto"/>
              <w:right w:val="single" w:sz="4" w:space="0" w:color="auto"/>
            </w:tcBorders>
            <w:shd w:val="clear" w:color="auto" w:fill="auto"/>
            <w:vAlign w:val="center"/>
            <w:hideMark/>
          </w:tcPr>
          <w:p w14:paraId="6ECE0579"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3,3</w:t>
            </w:r>
          </w:p>
        </w:tc>
        <w:tc>
          <w:tcPr>
            <w:tcW w:w="1096" w:type="dxa"/>
            <w:tcBorders>
              <w:top w:val="nil"/>
              <w:left w:val="nil"/>
              <w:bottom w:val="single" w:sz="4" w:space="0" w:color="auto"/>
              <w:right w:val="single" w:sz="4" w:space="0" w:color="auto"/>
            </w:tcBorders>
            <w:shd w:val="clear" w:color="auto" w:fill="auto"/>
            <w:vAlign w:val="center"/>
            <w:hideMark/>
          </w:tcPr>
          <w:p w14:paraId="70B4D749"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1,6</w:t>
            </w:r>
          </w:p>
        </w:tc>
        <w:tc>
          <w:tcPr>
            <w:tcW w:w="1149" w:type="dxa"/>
            <w:tcBorders>
              <w:top w:val="nil"/>
              <w:left w:val="nil"/>
              <w:bottom w:val="single" w:sz="4" w:space="0" w:color="auto"/>
              <w:right w:val="single" w:sz="4" w:space="0" w:color="auto"/>
            </w:tcBorders>
            <w:shd w:val="clear" w:color="auto" w:fill="auto"/>
            <w:vAlign w:val="center"/>
            <w:hideMark/>
          </w:tcPr>
          <w:p w14:paraId="64B3EDC0"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2,1</w:t>
            </w:r>
          </w:p>
        </w:tc>
        <w:tc>
          <w:tcPr>
            <w:tcW w:w="1119" w:type="dxa"/>
            <w:tcBorders>
              <w:top w:val="nil"/>
              <w:left w:val="nil"/>
              <w:bottom w:val="single" w:sz="4" w:space="0" w:color="auto"/>
              <w:right w:val="single" w:sz="4" w:space="0" w:color="auto"/>
            </w:tcBorders>
            <w:shd w:val="clear" w:color="auto" w:fill="auto"/>
            <w:vAlign w:val="center"/>
            <w:hideMark/>
          </w:tcPr>
          <w:p w14:paraId="65B4BDAF"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2,4</w:t>
            </w:r>
          </w:p>
        </w:tc>
        <w:tc>
          <w:tcPr>
            <w:tcW w:w="3149" w:type="dxa"/>
            <w:tcBorders>
              <w:top w:val="nil"/>
              <w:left w:val="nil"/>
              <w:bottom w:val="single" w:sz="4" w:space="0" w:color="auto"/>
              <w:right w:val="single" w:sz="4" w:space="0" w:color="auto"/>
            </w:tcBorders>
            <w:shd w:val="clear" w:color="auto" w:fill="auto"/>
            <w:hideMark/>
          </w:tcPr>
          <w:p w14:paraId="61DDC1BB" w14:textId="77777777" w:rsidR="00322AE9" w:rsidRPr="00322AE9" w:rsidRDefault="00322AE9" w:rsidP="00322AE9">
            <w:pPr>
              <w:ind w:firstLine="0"/>
              <w:jc w:val="left"/>
              <w:rPr>
                <w:rFonts w:eastAsia="Times New Roman" w:cs="Times New Roman"/>
                <w:color w:val="000000"/>
                <w:sz w:val="18"/>
                <w:szCs w:val="18"/>
                <w:lang w:eastAsia="ru-RU"/>
              </w:rPr>
            </w:pPr>
            <w:r w:rsidRPr="00322AE9">
              <w:rPr>
                <w:rFonts w:eastAsia="Times New Roman" w:cs="Times New Roman"/>
                <w:color w:val="000000"/>
                <w:sz w:val="18"/>
                <w:szCs w:val="18"/>
                <w:lang w:eastAsia="ru-RU"/>
              </w:rPr>
              <w:t> </w:t>
            </w:r>
          </w:p>
        </w:tc>
      </w:tr>
      <w:tr w:rsidR="00322AE9" w:rsidRPr="00322AE9" w14:paraId="36763C8D" w14:textId="77777777" w:rsidTr="00322AE9">
        <w:trPr>
          <w:trHeight w:val="960"/>
          <w:jc w:val="center"/>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1BA51C57"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 </w:t>
            </w:r>
          </w:p>
        </w:tc>
        <w:tc>
          <w:tcPr>
            <w:tcW w:w="816" w:type="dxa"/>
            <w:tcBorders>
              <w:top w:val="nil"/>
              <w:left w:val="nil"/>
              <w:bottom w:val="single" w:sz="4" w:space="0" w:color="auto"/>
              <w:right w:val="single" w:sz="4" w:space="0" w:color="auto"/>
            </w:tcBorders>
            <w:shd w:val="clear" w:color="auto" w:fill="auto"/>
            <w:vAlign w:val="center"/>
            <w:hideMark/>
          </w:tcPr>
          <w:p w14:paraId="283CF812"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0407</w:t>
            </w:r>
          </w:p>
        </w:tc>
        <w:tc>
          <w:tcPr>
            <w:tcW w:w="2893" w:type="dxa"/>
            <w:tcBorders>
              <w:top w:val="nil"/>
              <w:left w:val="nil"/>
              <w:bottom w:val="single" w:sz="4" w:space="0" w:color="auto"/>
              <w:right w:val="single" w:sz="4" w:space="0" w:color="auto"/>
            </w:tcBorders>
            <w:shd w:val="clear" w:color="auto" w:fill="auto"/>
            <w:vAlign w:val="center"/>
            <w:hideMark/>
          </w:tcPr>
          <w:p w14:paraId="4605826F" w14:textId="77777777" w:rsidR="00322AE9" w:rsidRPr="00322AE9" w:rsidRDefault="00322AE9" w:rsidP="00322AE9">
            <w:pPr>
              <w:ind w:firstLine="0"/>
              <w:jc w:val="left"/>
              <w:rPr>
                <w:rFonts w:eastAsia="Times New Roman" w:cs="Times New Roman"/>
                <w:color w:val="000000"/>
                <w:sz w:val="20"/>
                <w:szCs w:val="20"/>
                <w:lang w:eastAsia="ru-RU"/>
              </w:rPr>
            </w:pPr>
            <w:r w:rsidRPr="00322AE9">
              <w:rPr>
                <w:rFonts w:eastAsia="Times New Roman" w:cs="Times New Roman"/>
                <w:color w:val="000000"/>
                <w:sz w:val="20"/>
                <w:szCs w:val="20"/>
                <w:lang w:eastAsia="ru-RU"/>
              </w:rPr>
              <w:t>Автомойки</w:t>
            </w:r>
          </w:p>
        </w:tc>
        <w:tc>
          <w:tcPr>
            <w:tcW w:w="855" w:type="dxa"/>
            <w:tcBorders>
              <w:top w:val="nil"/>
              <w:left w:val="nil"/>
              <w:bottom w:val="single" w:sz="4" w:space="0" w:color="auto"/>
              <w:right w:val="single" w:sz="4" w:space="0" w:color="auto"/>
            </w:tcBorders>
            <w:shd w:val="clear" w:color="FFFFFF" w:fill="FFFFFF"/>
            <w:vAlign w:val="center"/>
            <w:hideMark/>
          </w:tcPr>
          <w:p w14:paraId="5C69C97E"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 </w:t>
            </w:r>
          </w:p>
        </w:tc>
        <w:tc>
          <w:tcPr>
            <w:tcW w:w="793" w:type="dxa"/>
            <w:tcBorders>
              <w:top w:val="nil"/>
              <w:left w:val="nil"/>
              <w:bottom w:val="single" w:sz="4" w:space="0" w:color="auto"/>
              <w:right w:val="single" w:sz="4" w:space="0" w:color="auto"/>
            </w:tcBorders>
            <w:shd w:val="clear" w:color="auto" w:fill="auto"/>
            <w:vAlign w:val="center"/>
            <w:hideMark/>
          </w:tcPr>
          <w:p w14:paraId="6163D990"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3,6</w:t>
            </w:r>
          </w:p>
        </w:tc>
        <w:tc>
          <w:tcPr>
            <w:tcW w:w="992" w:type="dxa"/>
            <w:tcBorders>
              <w:top w:val="nil"/>
              <w:left w:val="nil"/>
              <w:bottom w:val="single" w:sz="4" w:space="0" w:color="auto"/>
              <w:right w:val="single" w:sz="4" w:space="0" w:color="auto"/>
            </w:tcBorders>
            <w:shd w:val="clear" w:color="auto" w:fill="auto"/>
            <w:vAlign w:val="center"/>
            <w:hideMark/>
          </w:tcPr>
          <w:p w14:paraId="4E9E4DA4"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0,3</w:t>
            </w:r>
          </w:p>
        </w:tc>
        <w:tc>
          <w:tcPr>
            <w:tcW w:w="1030" w:type="dxa"/>
            <w:tcBorders>
              <w:top w:val="nil"/>
              <w:left w:val="nil"/>
              <w:bottom w:val="single" w:sz="4" w:space="0" w:color="auto"/>
              <w:right w:val="single" w:sz="4" w:space="0" w:color="auto"/>
            </w:tcBorders>
            <w:shd w:val="clear" w:color="auto" w:fill="auto"/>
            <w:vAlign w:val="center"/>
            <w:hideMark/>
          </w:tcPr>
          <w:p w14:paraId="2A156EBC"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3,9</w:t>
            </w:r>
          </w:p>
        </w:tc>
        <w:tc>
          <w:tcPr>
            <w:tcW w:w="1096" w:type="dxa"/>
            <w:tcBorders>
              <w:top w:val="nil"/>
              <w:left w:val="nil"/>
              <w:bottom w:val="single" w:sz="4" w:space="0" w:color="auto"/>
              <w:right w:val="single" w:sz="4" w:space="0" w:color="auto"/>
            </w:tcBorders>
            <w:shd w:val="clear" w:color="auto" w:fill="auto"/>
            <w:vAlign w:val="center"/>
            <w:hideMark/>
          </w:tcPr>
          <w:p w14:paraId="1345FA31"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1,6</w:t>
            </w:r>
          </w:p>
        </w:tc>
        <w:tc>
          <w:tcPr>
            <w:tcW w:w="1149" w:type="dxa"/>
            <w:tcBorders>
              <w:top w:val="nil"/>
              <w:left w:val="nil"/>
              <w:bottom w:val="single" w:sz="4" w:space="0" w:color="auto"/>
              <w:right w:val="single" w:sz="4" w:space="0" w:color="auto"/>
            </w:tcBorders>
            <w:shd w:val="clear" w:color="auto" w:fill="auto"/>
            <w:vAlign w:val="center"/>
            <w:hideMark/>
          </w:tcPr>
          <w:p w14:paraId="7E9BDFBF"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2,1</w:t>
            </w:r>
          </w:p>
        </w:tc>
        <w:tc>
          <w:tcPr>
            <w:tcW w:w="1119" w:type="dxa"/>
            <w:tcBorders>
              <w:top w:val="nil"/>
              <w:left w:val="nil"/>
              <w:bottom w:val="single" w:sz="4" w:space="0" w:color="auto"/>
              <w:right w:val="single" w:sz="4" w:space="0" w:color="auto"/>
            </w:tcBorders>
            <w:shd w:val="clear" w:color="auto" w:fill="auto"/>
            <w:vAlign w:val="center"/>
            <w:hideMark/>
          </w:tcPr>
          <w:p w14:paraId="3CE39A33"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2,4</w:t>
            </w:r>
          </w:p>
        </w:tc>
        <w:tc>
          <w:tcPr>
            <w:tcW w:w="3149" w:type="dxa"/>
            <w:tcBorders>
              <w:top w:val="nil"/>
              <w:left w:val="nil"/>
              <w:bottom w:val="single" w:sz="4" w:space="0" w:color="auto"/>
              <w:right w:val="single" w:sz="4" w:space="0" w:color="auto"/>
            </w:tcBorders>
            <w:shd w:val="clear" w:color="auto" w:fill="auto"/>
            <w:hideMark/>
          </w:tcPr>
          <w:p w14:paraId="029F5B17" w14:textId="77777777" w:rsidR="00322AE9" w:rsidRPr="00322AE9" w:rsidRDefault="00322AE9" w:rsidP="00322AE9">
            <w:pPr>
              <w:ind w:firstLine="0"/>
              <w:jc w:val="left"/>
              <w:rPr>
                <w:rFonts w:eastAsia="Times New Roman" w:cs="Times New Roman"/>
                <w:color w:val="000000"/>
                <w:sz w:val="18"/>
                <w:szCs w:val="18"/>
                <w:lang w:eastAsia="ru-RU"/>
              </w:rPr>
            </w:pPr>
            <w:r w:rsidRPr="00322AE9">
              <w:rPr>
                <w:rFonts w:eastAsia="Times New Roman" w:cs="Times New Roman"/>
                <w:color w:val="000000"/>
                <w:sz w:val="18"/>
                <w:szCs w:val="18"/>
                <w:lang w:eastAsia="ru-RU"/>
              </w:rPr>
              <w:t xml:space="preserve">ОНТП 01-91, РД 3107938-0176-91 Общесоюзные нормы технологического проектирования предприятий автомобильного транспорта, </w:t>
            </w:r>
            <w:r w:rsidRPr="00322AE9">
              <w:rPr>
                <w:rFonts w:eastAsia="Times New Roman" w:cs="Times New Roman"/>
                <w:color w:val="000000"/>
                <w:sz w:val="18"/>
                <w:szCs w:val="18"/>
                <w:lang w:eastAsia="ru-RU"/>
              </w:rPr>
              <w:br/>
              <w:t xml:space="preserve">  Таб.8</w:t>
            </w:r>
          </w:p>
        </w:tc>
      </w:tr>
      <w:tr w:rsidR="00322AE9" w:rsidRPr="00322AE9" w14:paraId="25C0DE2C" w14:textId="77777777" w:rsidTr="00322AE9">
        <w:trPr>
          <w:trHeight w:val="300"/>
          <w:jc w:val="center"/>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70FDB3BB"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 </w:t>
            </w:r>
          </w:p>
        </w:tc>
        <w:tc>
          <w:tcPr>
            <w:tcW w:w="816" w:type="dxa"/>
            <w:tcBorders>
              <w:top w:val="nil"/>
              <w:left w:val="nil"/>
              <w:bottom w:val="single" w:sz="4" w:space="0" w:color="auto"/>
              <w:right w:val="single" w:sz="4" w:space="0" w:color="auto"/>
            </w:tcBorders>
            <w:shd w:val="clear" w:color="auto" w:fill="auto"/>
            <w:vAlign w:val="center"/>
            <w:hideMark/>
          </w:tcPr>
          <w:p w14:paraId="4FE4FADA"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0408</w:t>
            </w:r>
          </w:p>
        </w:tc>
        <w:tc>
          <w:tcPr>
            <w:tcW w:w="2893" w:type="dxa"/>
            <w:tcBorders>
              <w:top w:val="nil"/>
              <w:left w:val="nil"/>
              <w:bottom w:val="single" w:sz="4" w:space="0" w:color="auto"/>
              <w:right w:val="single" w:sz="4" w:space="0" w:color="auto"/>
            </w:tcBorders>
            <w:shd w:val="clear" w:color="auto" w:fill="auto"/>
            <w:vAlign w:val="center"/>
            <w:hideMark/>
          </w:tcPr>
          <w:p w14:paraId="1E786905" w14:textId="77777777" w:rsidR="00322AE9" w:rsidRPr="00322AE9" w:rsidRDefault="00322AE9" w:rsidP="00322AE9">
            <w:pPr>
              <w:ind w:firstLine="0"/>
              <w:jc w:val="left"/>
              <w:rPr>
                <w:rFonts w:eastAsia="Times New Roman" w:cs="Times New Roman"/>
                <w:color w:val="000000"/>
                <w:sz w:val="20"/>
                <w:szCs w:val="20"/>
                <w:lang w:eastAsia="ru-RU"/>
              </w:rPr>
            </w:pPr>
            <w:r w:rsidRPr="00322AE9">
              <w:rPr>
                <w:rFonts w:eastAsia="Times New Roman" w:cs="Times New Roman"/>
                <w:color w:val="000000"/>
                <w:sz w:val="20"/>
                <w:szCs w:val="20"/>
                <w:lang w:eastAsia="ru-RU"/>
              </w:rPr>
              <w:t>Автосалоны</w:t>
            </w:r>
          </w:p>
        </w:tc>
        <w:tc>
          <w:tcPr>
            <w:tcW w:w="855" w:type="dxa"/>
            <w:tcBorders>
              <w:top w:val="nil"/>
              <w:left w:val="nil"/>
              <w:bottom w:val="single" w:sz="4" w:space="0" w:color="auto"/>
              <w:right w:val="single" w:sz="4" w:space="0" w:color="auto"/>
            </w:tcBorders>
            <w:shd w:val="clear" w:color="FFFFFF" w:fill="FFFFFF"/>
            <w:vAlign w:val="center"/>
            <w:hideMark/>
          </w:tcPr>
          <w:p w14:paraId="0C61A6E8"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 </w:t>
            </w:r>
          </w:p>
        </w:tc>
        <w:tc>
          <w:tcPr>
            <w:tcW w:w="793" w:type="dxa"/>
            <w:tcBorders>
              <w:top w:val="nil"/>
              <w:left w:val="nil"/>
              <w:bottom w:val="single" w:sz="4" w:space="0" w:color="auto"/>
              <w:right w:val="single" w:sz="4" w:space="0" w:color="auto"/>
            </w:tcBorders>
            <w:shd w:val="clear" w:color="auto" w:fill="auto"/>
            <w:vAlign w:val="center"/>
            <w:hideMark/>
          </w:tcPr>
          <w:p w14:paraId="194CCDB4"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3,0</w:t>
            </w:r>
          </w:p>
        </w:tc>
        <w:tc>
          <w:tcPr>
            <w:tcW w:w="992" w:type="dxa"/>
            <w:tcBorders>
              <w:top w:val="nil"/>
              <w:left w:val="nil"/>
              <w:bottom w:val="single" w:sz="4" w:space="0" w:color="auto"/>
              <w:right w:val="single" w:sz="4" w:space="0" w:color="auto"/>
            </w:tcBorders>
            <w:shd w:val="clear" w:color="auto" w:fill="auto"/>
            <w:vAlign w:val="center"/>
            <w:hideMark/>
          </w:tcPr>
          <w:p w14:paraId="327C2771"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0,3</w:t>
            </w:r>
          </w:p>
        </w:tc>
        <w:tc>
          <w:tcPr>
            <w:tcW w:w="1030" w:type="dxa"/>
            <w:tcBorders>
              <w:top w:val="nil"/>
              <w:left w:val="nil"/>
              <w:bottom w:val="single" w:sz="4" w:space="0" w:color="auto"/>
              <w:right w:val="single" w:sz="4" w:space="0" w:color="auto"/>
            </w:tcBorders>
            <w:shd w:val="clear" w:color="auto" w:fill="auto"/>
            <w:vAlign w:val="center"/>
            <w:hideMark/>
          </w:tcPr>
          <w:p w14:paraId="6001E49A"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3,3</w:t>
            </w:r>
          </w:p>
        </w:tc>
        <w:tc>
          <w:tcPr>
            <w:tcW w:w="1096" w:type="dxa"/>
            <w:tcBorders>
              <w:top w:val="nil"/>
              <w:left w:val="nil"/>
              <w:bottom w:val="single" w:sz="4" w:space="0" w:color="auto"/>
              <w:right w:val="single" w:sz="4" w:space="0" w:color="auto"/>
            </w:tcBorders>
            <w:shd w:val="clear" w:color="auto" w:fill="auto"/>
            <w:vAlign w:val="center"/>
            <w:hideMark/>
          </w:tcPr>
          <w:p w14:paraId="43ABDDE2"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1,6</w:t>
            </w:r>
          </w:p>
        </w:tc>
        <w:tc>
          <w:tcPr>
            <w:tcW w:w="1149" w:type="dxa"/>
            <w:tcBorders>
              <w:top w:val="nil"/>
              <w:left w:val="nil"/>
              <w:bottom w:val="single" w:sz="4" w:space="0" w:color="auto"/>
              <w:right w:val="single" w:sz="4" w:space="0" w:color="auto"/>
            </w:tcBorders>
            <w:shd w:val="clear" w:color="auto" w:fill="auto"/>
            <w:vAlign w:val="center"/>
            <w:hideMark/>
          </w:tcPr>
          <w:p w14:paraId="336BFD32"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2,1</w:t>
            </w:r>
          </w:p>
        </w:tc>
        <w:tc>
          <w:tcPr>
            <w:tcW w:w="1119" w:type="dxa"/>
            <w:tcBorders>
              <w:top w:val="nil"/>
              <w:left w:val="nil"/>
              <w:bottom w:val="single" w:sz="4" w:space="0" w:color="auto"/>
              <w:right w:val="single" w:sz="4" w:space="0" w:color="auto"/>
            </w:tcBorders>
            <w:shd w:val="clear" w:color="auto" w:fill="auto"/>
            <w:vAlign w:val="center"/>
            <w:hideMark/>
          </w:tcPr>
          <w:p w14:paraId="50DD35B0"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2,4</w:t>
            </w:r>
          </w:p>
        </w:tc>
        <w:tc>
          <w:tcPr>
            <w:tcW w:w="3149" w:type="dxa"/>
            <w:tcBorders>
              <w:top w:val="nil"/>
              <w:left w:val="nil"/>
              <w:bottom w:val="single" w:sz="4" w:space="0" w:color="auto"/>
              <w:right w:val="single" w:sz="4" w:space="0" w:color="auto"/>
            </w:tcBorders>
            <w:shd w:val="clear" w:color="auto" w:fill="auto"/>
            <w:hideMark/>
          </w:tcPr>
          <w:p w14:paraId="51618890" w14:textId="77777777" w:rsidR="00322AE9" w:rsidRPr="00322AE9" w:rsidRDefault="00322AE9" w:rsidP="00322AE9">
            <w:pPr>
              <w:ind w:firstLine="0"/>
              <w:jc w:val="left"/>
              <w:rPr>
                <w:rFonts w:eastAsia="Times New Roman" w:cs="Times New Roman"/>
                <w:color w:val="000000"/>
                <w:sz w:val="18"/>
                <w:szCs w:val="18"/>
                <w:lang w:eastAsia="ru-RU"/>
              </w:rPr>
            </w:pPr>
            <w:r w:rsidRPr="00322AE9">
              <w:rPr>
                <w:rFonts w:eastAsia="Times New Roman" w:cs="Times New Roman"/>
                <w:color w:val="000000"/>
                <w:sz w:val="18"/>
                <w:szCs w:val="18"/>
                <w:lang w:eastAsia="ru-RU"/>
              </w:rPr>
              <w:t>СП 118.13330.2012 "Общественные здания", п.4.5</w:t>
            </w:r>
          </w:p>
        </w:tc>
      </w:tr>
      <w:tr w:rsidR="00322AE9" w:rsidRPr="00322AE9" w14:paraId="0FE8644C" w14:textId="77777777" w:rsidTr="00322AE9">
        <w:trPr>
          <w:trHeight w:val="300"/>
          <w:jc w:val="center"/>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7317FA00"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 </w:t>
            </w:r>
          </w:p>
        </w:tc>
        <w:tc>
          <w:tcPr>
            <w:tcW w:w="816" w:type="dxa"/>
            <w:tcBorders>
              <w:top w:val="nil"/>
              <w:left w:val="nil"/>
              <w:bottom w:val="single" w:sz="4" w:space="0" w:color="auto"/>
              <w:right w:val="single" w:sz="4" w:space="0" w:color="auto"/>
            </w:tcBorders>
            <w:shd w:val="clear" w:color="auto" w:fill="auto"/>
            <w:vAlign w:val="center"/>
            <w:hideMark/>
          </w:tcPr>
          <w:p w14:paraId="79DEBECB"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0409</w:t>
            </w:r>
          </w:p>
        </w:tc>
        <w:tc>
          <w:tcPr>
            <w:tcW w:w="2893" w:type="dxa"/>
            <w:tcBorders>
              <w:top w:val="nil"/>
              <w:left w:val="nil"/>
              <w:bottom w:val="single" w:sz="4" w:space="0" w:color="auto"/>
              <w:right w:val="single" w:sz="4" w:space="0" w:color="auto"/>
            </w:tcBorders>
            <w:shd w:val="clear" w:color="auto" w:fill="auto"/>
            <w:vAlign w:val="center"/>
            <w:hideMark/>
          </w:tcPr>
          <w:p w14:paraId="714A680E" w14:textId="77777777" w:rsidR="00322AE9" w:rsidRPr="00322AE9" w:rsidRDefault="00322AE9" w:rsidP="00322AE9">
            <w:pPr>
              <w:ind w:firstLine="0"/>
              <w:jc w:val="left"/>
              <w:rPr>
                <w:rFonts w:eastAsia="Times New Roman" w:cs="Times New Roman"/>
                <w:color w:val="000000"/>
                <w:sz w:val="20"/>
                <w:szCs w:val="20"/>
                <w:lang w:eastAsia="ru-RU"/>
              </w:rPr>
            </w:pPr>
            <w:r w:rsidRPr="00322AE9">
              <w:rPr>
                <w:rFonts w:eastAsia="Times New Roman" w:cs="Times New Roman"/>
                <w:color w:val="000000"/>
                <w:sz w:val="20"/>
                <w:szCs w:val="20"/>
                <w:lang w:eastAsia="ru-RU"/>
              </w:rPr>
              <w:t>Рестораны</w:t>
            </w:r>
          </w:p>
        </w:tc>
        <w:tc>
          <w:tcPr>
            <w:tcW w:w="855" w:type="dxa"/>
            <w:tcBorders>
              <w:top w:val="nil"/>
              <w:left w:val="nil"/>
              <w:bottom w:val="single" w:sz="4" w:space="0" w:color="auto"/>
              <w:right w:val="single" w:sz="4" w:space="0" w:color="auto"/>
            </w:tcBorders>
            <w:shd w:val="clear" w:color="FFFFFF" w:fill="FFFFFF"/>
            <w:vAlign w:val="center"/>
            <w:hideMark/>
          </w:tcPr>
          <w:p w14:paraId="4E86DA18"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 </w:t>
            </w:r>
          </w:p>
        </w:tc>
        <w:tc>
          <w:tcPr>
            <w:tcW w:w="793" w:type="dxa"/>
            <w:tcBorders>
              <w:top w:val="nil"/>
              <w:left w:val="nil"/>
              <w:bottom w:val="single" w:sz="4" w:space="0" w:color="auto"/>
              <w:right w:val="single" w:sz="4" w:space="0" w:color="auto"/>
            </w:tcBorders>
            <w:shd w:val="clear" w:color="auto" w:fill="auto"/>
            <w:vAlign w:val="center"/>
            <w:hideMark/>
          </w:tcPr>
          <w:p w14:paraId="2669B20C"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3,0</w:t>
            </w:r>
          </w:p>
        </w:tc>
        <w:tc>
          <w:tcPr>
            <w:tcW w:w="992" w:type="dxa"/>
            <w:tcBorders>
              <w:top w:val="nil"/>
              <w:left w:val="nil"/>
              <w:bottom w:val="single" w:sz="4" w:space="0" w:color="auto"/>
              <w:right w:val="single" w:sz="4" w:space="0" w:color="auto"/>
            </w:tcBorders>
            <w:shd w:val="clear" w:color="auto" w:fill="auto"/>
            <w:vAlign w:val="center"/>
            <w:hideMark/>
          </w:tcPr>
          <w:p w14:paraId="3FE03C58"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0,3</w:t>
            </w:r>
          </w:p>
        </w:tc>
        <w:tc>
          <w:tcPr>
            <w:tcW w:w="1030" w:type="dxa"/>
            <w:tcBorders>
              <w:top w:val="nil"/>
              <w:left w:val="nil"/>
              <w:bottom w:val="single" w:sz="4" w:space="0" w:color="auto"/>
              <w:right w:val="single" w:sz="4" w:space="0" w:color="auto"/>
            </w:tcBorders>
            <w:shd w:val="clear" w:color="auto" w:fill="auto"/>
            <w:vAlign w:val="center"/>
            <w:hideMark/>
          </w:tcPr>
          <w:p w14:paraId="1877C879"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3,3</w:t>
            </w:r>
          </w:p>
        </w:tc>
        <w:tc>
          <w:tcPr>
            <w:tcW w:w="1096" w:type="dxa"/>
            <w:tcBorders>
              <w:top w:val="nil"/>
              <w:left w:val="nil"/>
              <w:bottom w:val="single" w:sz="4" w:space="0" w:color="auto"/>
              <w:right w:val="single" w:sz="4" w:space="0" w:color="auto"/>
            </w:tcBorders>
            <w:shd w:val="clear" w:color="auto" w:fill="auto"/>
            <w:vAlign w:val="center"/>
            <w:hideMark/>
          </w:tcPr>
          <w:p w14:paraId="46528EE4"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1,6</w:t>
            </w:r>
          </w:p>
        </w:tc>
        <w:tc>
          <w:tcPr>
            <w:tcW w:w="1149" w:type="dxa"/>
            <w:tcBorders>
              <w:top w:val="nil"/>
              <w:left w:val="nil"/>
              <w:bottom w:val="single" w:sz="4" w:space="0" w:color="auto"/>
              <w:right w:val="single" w:sz="4" w:space="0" w:color="auto"/>
            </w:tcBorders>
            <w:shd w:val="clear" w:color="auto" w:fill="auto"/>
            <w:vAlign w:val="center"/>
            <w:hideMark/>
          </w:tcPr>
          <w:p w14:paraId="68409EDC"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2,1</w:t>
            </w:r>
          </w:p>
        </w:tc>
        <w:tc>
          <w:tcPr>
            <w:tcW w:w="1119" w:type="dxa"/>
            <w:tcBorders>
              <w:top w:val="nil"/>
              <w:left w:val="nil"/>
              <w:bottom w:val="single" w:sz="4" w:space="0" w:color="auto"/>
              <w:right w:val="single" w:sz="4" w:space="0" w:color="auto"/>
            </w:tcBorders>
            <w:shd w:val="clear" w:color="auto" w:fill="auto"/>
            <w:vAlign w:val="center"/>
            <w:hideMark/>
          </w:tcPr>
          <w:p w14:paraId="121B5C8E"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2,4</w:t>
            </w:r>
          </w:p>
        </w:tc>
        <w:tc>
          <w:tcPr>
            <w:tcW w:w="3149" w:type="dxa"/>
            <w:tcBorders>
              <w:top w:val="nil"/>
              <w:left w:val="nil"/>
              <w:bottom w:val="single" w:sz="4" w:space="0" w:color="auto"/>
              <w:right w:val="single" w:sz="4" w:space="0" w:color="auto"/>
            </w:tcBorders>
            <w:shd w:val="clear" w:color="auto" w:fill="auto"/>
            <w:hideMark/>
          </w:tcPr>
          <w:p w14:paraId="3EBA6603" w14:textId="77777777" w:rsidR="00322AE9" w:rsidRPr="00322AE9" w:rsidRDefault="00322AE9" w:rsidP="00322AE9">
            <w:pPr>
              <w:ind w:firstLine="0"/>
              <w:jc w:val="left"/>
              <w:rPr>
                <w:rFonts w:eastAsia="Times New Roman" w:cs="Times New Roman"/>
                <w:color w:val="000000"/>
                <w:sz w:val="18"/>
                <w:szCs w:val="18"/>
                <w:lang w:eastAsia="ru-RU"/>
              </w:rPr>
            </w:pPr>
            <w:r w:rsidRPr="00322AE9">
              <w:rPr>
                <w:rFonts w:eastAsia="Times New Roman" w:cs="Times New Roman"/>
                <w:color w:val="000000"/>
                <w:sz w:val="18"/>
                <w:szCs w:val="18"/>
                <w:lang w:eastAsia="ru-RU"/>
              </w:rPr>
              <w:t>СП 118.13330.2012 "Общественные здания", п.4.5</w:t>
            </w:r>
          </w:p>
        </w:tc>
      </w:tr>
      <w:tr w:rsidR="00322AE9" w:rsidRPr="00322AE9" w14:paraId="3A1789E3" w14:textId="77777777" w:rsidTr="00322AE9">
        <w:trPr>
          <w:trHeight w:val="765"/>
          <w:jc w:val="center"/>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615C7DF7"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 </w:t>
            </w:r>
          </w:p>
        </w:tc>
        <w:tc>
          <w:tcPr>
            <w:tcW w:w="816" w:type="dxa"/>
            <w:tcBorders>
              <w:top w:val="nil"/>
              <w:left w:val="nil"/>
              <w:bottom w:val="single" w:sz="4" w:space="0" w:color="auto"/>
              <w:right w:val="single" w:sz="4" w:space="0" w:color="auto"/>
            </w:tcBorders>
            <w:shd w:val="clear" w:color="auto" w:fill="auto"/>
            <w:vAlign w:val="center"/>
            <w:hideMark/>
          </w:tcPr>
          <w:p w14:paraId="34595C13"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0410</w:t>
            </w:r>
          </w:p>
        </w:tc>
        <w:tc>
          <w:tcPr>
            <w:tcW w:w="2893" w:type="dxa"/>
            <w:tcBorders>
              <w:top w:val="nil"/>
              <w:left w:val="nil"/>
              <w:bottom w:val="single" w:sz="4" w:space="0" w:color="auto"/>
              <w:right w:val="single" w:sz="4" w:space="0" w:color="auto"/>
            </w:tcBorders>
            <w:shd w:val="clear" w:color="auto" w:fill="auto"/>
            <w:vAlign w:val="center"/>
            <w:hideMark/>
          </w:tcPr>
          <w:p w14:paraId="632E1B98" w14:textId="77777777" w:rsidR="00322AE9" w:rsidRPr="00322AE9" w:rsidRDefault="00322AE9" w:rsidP="00322AE9">
            <w:pPr>
              <w:ind w:firstLine="0"/>
              <w:jc w:val="left"/>
              <w:rPr>
                <w:rFonts w:eastAsia="Times New Roman" w:cs="Times New Roman"/>
                <w:color w:val="000000"/>
                <w:sz w:val="20"/>
                <w:szCs w:val="20"/>
                <w:lang w:eastAsia="ru-RU"/>
              </w:rPr>
            </w:pPr>
            <w:r w:rsidRPr="00322AE9">
              <w:rPr>
                <w:rFonts w:eastAsia="Times New Roman" w:cs="Times New Roman"/>
                <w:color w:val="000000"/>
                <w:sz w:val="20"/>
                <w:szCs w:val="20"/>
                <w:lang w:eastAsia="ru-RU"/>
              </w:rPr>
              <w:t>Кафе 750 кв. м (75 человек) и более, производственные столовые, столовые, кухни, кухни-столовые 750 кв.м (75 человек) и более</w:t>
            </w:r>
          </w:p>
        </w:tc>
        <w:tc>
          <w:tcPr>
            <w:tcW w:w="855" w:type="dxa"/>
            <w:tcBorders>
              <w:top w:val="nil"/>
              <w:left w:val="nil"/>
              <w:bottom w:val="single" w:sz="4" w:space="0" w:color="auto"/>
              <w:right w:val="single" w:sz="4" w:space="0" w:color="auto"/>
            </w:tcBorders>
            <w:shd w:val="clear" w:color="FFFFFF" w:fill="FFFFFF"/>
            <w:vAlign w:val="center"/>
            <w:hideMark/>
          </w:tcPr>
          <w:p w14:paraId="7AE57620"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 </w:t>
            </w:r>
          </w:p>
        </w:tc>
        <w:tc>
          <w:tcPr>
            <w:tcW w:w="793" w:type="dxa"/>
            <w:tcBorders>
              <w:top w:val="nil"/>
              <w:left w:val="nil"/>
              <w:bottom w:val="single" w:sz="4" w:space="0" w:color="auto"/>
              <w:right w:val="single" w:sz="4" w:space="0" w:color="auto"/>
            </w:tcBorders>
            <w:shd w:val="clear" w:color="auto" w:fill="auto"/>
            <w:vAlign w:val="center"/>
            <w:hideMark/>
          </w:tcPr>
          <w:p w14:paraId="4FF196A5"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3,0</w:t>
            </w:r>
          </w:p>
        </w:tc>
        <w:tc>
          <w:tcPr>
            <w:tcW w:w="992" w:type="dxa"/>
            <w:tcBorders>
              <w:top w:val="nil"/>
              <w:left w:val="nil"/>
              <w:bottom w:val="single" w:sz="4" w:space="0" w:color="auto"/>
              <w:right w:val="single" w:sz="4" w:space="0" w:color="auto"/>
            </w:tcBorders>
            <w:shd w:val="clear" w:color="auto" w:fill="auto"/>
            <w:vAlign w:val="center"/>
            <w:hideMark/>
          </w:tcPr>
          <w:p w14:paraId="022D1CE0"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0,3</w:t>
            </w:r>
          </w:p>
        </w:tc>
        <w:tc>
          <w:tcPr>
            <w:tcW w:w="1030" w:type="dxa"/>
            <w:tcBorders>
              <w:top w:val="nil"/>
              <w:left w:val="nil"/>
              <w:bottom w:val="single" w:sz="4" w:space="0" w:color="auto"/>
              <w:right w:val="single" w:sz="4" w:space="0" w:color="auto"/>
            </w:tcBorders>
            <w:shd w:val="clear" w:color="auto" w:fill="auto"/>
            <w:vAlign w:val="center"/>
            <w:hideMark/>
          </w:tcPr>
          <w:p w14:paraId="17B96431"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3,3</w:t>
            </w:r>
          </w:p>
        </w:tc>
        <w:tc>
          <w:tcPr>
            <w:tcW w:w="1096" w:type="dxa"/>
            <w:tcBorders>
              <w:top w:val="nil"/>
              <w:left w:val="nil"/>
              <w:bottom w:val="single" w:sz="4" w:space="0" w:color="auto"/>
              <w:right w:val="single" w:sz="4" w:space="0" w:color="auto"/>
            </w:tcBorders>
            <w:shd w:val="clear" w:color="auto" w:fill="auto"/>
            <w:vAlign w:val="center"/>
            <w:hideMark/>
          </w:tcPr>
          <w:p w14:paraId="3E4562BA"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1,6</w:t>
            </w:r>
          </w:p>
        </w:tc>
        <w:tc>
          <w:tcPr>
            <w:tcW w:w="1149" w:type="dxa"/>
            <w:tcBorders>
              <w:top w:val="nil"/>
              <w:left w:val="nil"/>
              <w:bottom w:val="single" w:sz="4" w:space="0" w:color="auto"/>
              <w:right w:val="single" w:sz="4" w:space="0" w:color="auto"/>
            </w:tcBorders>
            <w:shd w:val="clear" w:color="auto" w:fill="auto"/>
            <w:vAlign w:val="center"/>
            <w:hideMark/>
          </w:tcPr>
          <w:p w14:paraId="06E94986"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2,1</w:t>
            </w:r>
          </w:p>
        </w:tc>
        <w:tc>
          <w:tcPr>
            <w:tcW w:w="1119" w:type="dxa"/>
            <w:tcBorders>
              <w:top w:val="nil"/>
              <w:left w:val="nil"/>
              <w:bottom w:val="single" w:sz="4" w:space="0" w:color="auto"/>
              <w:right w:val="single" w:sz="4" w:space="0" w:color="auto"/>
            </w:tcBorders>
            <w:shd w:val="clear" w:color="auto" w:fill="auto"/>
            <w:vAlign w:val="center"/>
            <w:hideMark/>
          </w:tcPr>
          <w:p w14:paraId="3EB645E3"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2,4</w:t>
            </w:r>
          </w:p>
        </w:tc>
        <w:tc>
          <w:tcPr>
            <w:tcW w:w="3149" w:type="dxa"/>
            <w:tcBorders>
              <w:top w:val="nil"/>
              <w:left w:val="nil"/>
              <w:bottom w:val="single" w:sz="4" w:space="0" w:color="auto"/>
              <w:right w:val="single" w:sz="4" w:space="0" w:color="auto"/>
            </w:tcBorders>
            <w:shd w:val="clear" w:color="auto" w:fill="auto"/>
            <w:hideMark/>
          </w:tcPr>
          <w:p w14:paraId="71A3F5BF" w14:textId="77777777" w:rsidR="00322AE9" w:rsidRPr="00322AE9" w:rsidRDefault="00322AE9" w:rsidP="00322AE9">
            <w:pPr>
              <w:ind w:firstLine="0"/>
              <w:jc w:val="left"/>
              <w:rPr>
                <w:rFonts w:eastAsia="Times New Roman" w:cs="Times New Roman"/>
                <w:color w:val="000000"/>
                <w:sz w:val="18"/>
                <w:szCs w:val="18"/>
                <w:lang w:eastAsia="ru-RU"/>
              </w:rPr>
            </w:pPr>
            <w:r w:rsidRPr="00322AE9">
              <w:rPr>
                <w:rFonts w:eastAsia="Times New Roman" w:cs="Times New Roman"/>
                <w:color w:val="000000"/>
                <w:sz w:val="18"/>
                <w:szCs w:val="18"/>
                <w:lang w:eastAsia="ru-RU"/>
              </w:rPr>
              <w:t>СП 118.13330.2012 "Общественные здания", п.4.6; СП 44.1330.2011 "Административные и бытовые здания", п.4.3</w:t>
            </w:r>
          </w:p>
        </w:tc>
      </w:tr>
      <w:tr w:rsidR="00322AE9" w:rsidRPr="00322AE9" w14:paraId="6C64AF04" w14:textId="77777777" w:rsidTr="00322AE9">
        <w:trPr>
          <w:trHeight w:val="510"/>
          <w:jc w:val="center"/>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341199B7"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 </w:t>
            </w:r>
          </w:p>
        </w:tc>
        <w:tc>
          <w:tcPr>
            <w:tcW w:w="816" w:type="dxa"/>
            <w:tcBorders>
              <w:top w:val="nil"/>
              <w:left w:val="nil"/>
              <w:bottom w:val="single" w:sz="4" w:space="0" w:color="auto"/>
              <w:right w:val="single" w:sz="4" w:space="0" w:color="auto"/>
            </w:tcBorders>
            <w:shd w:val="clear" w:color="auto" w:fill="auto"/>
            <w:vAlign w:val="center"/>
            <w:hideMark/>
          </w:tcPr>
          <w:p w14:paraId="2242C990"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0411</w:t>
            </w:r>
          </w:p>
        </w:tc>
        <w:tc>
          <w:tcPr>
            <w:tcW w:w="2893" w:type="dxa"/>
            <w:tcBorders>
              <w:top w:val="nil"/>
              <w:left w:val="nil"/>
              <w:bottom w:val="single" w:sz="4" w:space="0" w:color="auto"/>
              <w:right w:val="single" w:sz="4" w:space="0" w:color="auto"/>
            </w:tcBorders>
            <w:shd w:val="clear" w:color="auto" w:fill="auto"/>
            <w:vAlign w:val="center"/>
            <w:hideMark/>
          </w:tcPr>
          <w:p w14:paraId="773B691C" w14:textId="77777777" w:rsidR="00322AE9" w:rsidRPr="00322AE9" w:rsidRDefault="00322AE9" w:rsidP="00322AE9">
            <w:pPr>
              <w:ind w:firstLine="0"/>
              <w:jc w:val="left"/>
              <w:rPr>
                <w:rFonts w:eastAsia="Times New Roman" w:cs="Times New Roman"/>
                <w:color w:val="000000"/>
                <w:sz w:val="20"/>
                <w:szCs w:val="20"/>
                <w:lang w:eastAsia="ru-RU"/>
              </w:rPr>
            </w:pPr>
            <w:r w:rsidRPr="00322AE9">
              <w:rPr>
                <w:rFonts w:eastAsia="Times New Roman" w:cs="Times New Roman"/>
                <w:color w:val="000000"/>
                <w:sz w:val="20"/>
                <w:szCs w:val="20"/>
                <w:lang w:eastAsia="ru-RU"/>
              </w:rPr>
              <w:t>Кафе до 750 кв. м (75 человек), кафетерии, столовые, кухни, кухни-столовые до 750 кв. м (75 человек)</w:t>
            </w:r>
          </w:p>
        </w:tc>
        <w:tc>
          <w:tcPr>
            <w:tcW w:w="855" w:type="dxa"/>
            <w:tcBorders>
              <w:top w:val="nil"/>
              <w:left w:val="nil"/>
              <w:bottom w:val="single" w:sz="4" w:space="0" w:color="auto"/>
              <w:right w:val="single" w:sz="4" w:space="0" w:color="auto"/>
            </w:tcBorders>
            <w:shd w:val="clear" w:color="FFFFFF" w:fill="FFFFFF"/>
            <w:vAlign w:val="center"/>
            <w:hideMark/>
          </w:tcPr>
          <w:p w14:paraId="3D3C422C"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 </w:t>
            </w:r>
          </w:p>
        </w:tc>
        <w:tc>
          <w:tcPr>
            <w:tcW w:w="793" w:type="dxa"/>
            <w:tcBorders>
              <w:top w:val="nil"/>
              <w:left w:val="nil"/>
              <w:bottom w:val="single" w:sz="4" w:space="0" w:color="auto"/>
              <w:right w:val="single" w:sz="4" w:space="0" w:color="auto"/>
            </w:tcBorders>
            <w:shd w:val="clear" w:color="auto" w:fill="auto"/>
            <w:vAlign w:val="center"/>
            <w:hideMark/>
          </w:tcPr>
          <w:p w14:paraId="4BC35425"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3,0</w:t>
            </w:r>
          </w:p>
        </w:tc>
        <w:tc>
          <w:tcPr>
            <w:tcW w:w="992" w:type="dxa"/>
            <w:tcBorders>
              <w:top w:val="nil"/>
              <w:left w:val="nil"/>
              <w:bottom w:val="single" w:sz="4" w:space="0" w:color="auto"/>
              <w:right w:val="single" w:sz="4" w:space="0" w:color="auto"/>
            </w:tcBorders>
            <w:shd w:val="clear" w:color="auto" w:fill="auto"/>
            <w:vAlign w:val="center"/>
            <w:hideMark/>
          </w:tcPr>
          <w:p w14:paraId="1F7FF832"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0,3</w:t>
            </w:r>
          </w:p>
        </w:tc>
        <w:tc>
          <w:tcPr>
            <w:tcW w:w="1030" w:type="dxa"/>
            <w:tcBorders>
              <w:top w:val="nil"/>
              <w:left w:val="nil"/>
              <w:bottom w:val="single" w:sz="4" w:space="0" w:color="auto"/>
              <w:right w:val="single" w:sz="4" w:space="0" w:color="auto"/>
            </w:tcBorders>
            <w:shd w:val="clear" w:color="auto" w:fill="auto"/>
            <w:vAlign w:val="center"/>
            <w:hideMark/>
          </w:tcPr>
          <w:p w14:paraId="0B614719"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3,3</w:t>
            </w:r>
          </w:p>
        </w:tc>
        <w:tc>
          <w:tcPr>
            <w:tcW w:w="1096" w:type="dxa"/>
            <w:tcBorders>
              <w:top w:val="nil"/>
              <w:left w:val="nil"/>
              <w:bottom w:val="single" w:sz="4" w:space="0" w:color="auto"/>
              <w:right w:val="single" w:sz="4" w:space="0" w:color="auto"/>
            </w:tcBorders>
            <w:shd w:val="clear" w:color="auto" w:fill="auto"/>
            <w:vAlign w:val="center"/>
            <w:hideMark/>
          </w:tcPr>
          <w:p w14:paraId="2DF12EA6"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1,6</w:t>
            </w:r>
          </w:p>
        </w:tc>
        <w:tc>
          <w:tcPr>
            <w:tcW w:w="1149" w:type="dxa"/>
            <w:tcBorders>
              <w:top w:val="nil"/>
              <w:left w:val="nil"/>
              <w:bottom w:val="single" w:sz="4" w:space="0" w:color="auto"/>
              <w:right w:val="single" w:sz="4" w:space="0" w:color="auto"/>
            </w:tcBorders>
            <w:shd w:val="clear" w:color="auto" w:fill="auto"/>
            <w:vAlign w:val="center"/>
            <w:hideMark/>
          </w:tcPr>
          <w:p w14:paraId="1897625C"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2,1</w:t>
            </w:r>
          </w:p>
        </w:tc>
        <w:tc>
          <w:tcPr>
            <w:tcW w:w="1119" w:type="dxa"/>
            <w:tcBorders>
              <w:top w:val="nil"/>
              <w:left w:val="nil"/>
              <w:bottom w:val="single" w:sz="4" w:space="0" w:color="auto"/>
              <w:right w:val="single" w:sz="4" w:space="0" w:color="auto"/>
            </w:tcBorders>
            <w:shd w:val="clear" w:color="auto" w:fill="auto"/>
            <w:vAlign w:val="center"/>
            <w:hideMark/>
          </w:tcPr>
          <w:p w14:paraId="02A524EA"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2,4</w:t>
            </w:r>
          </w:p>
        </w:tc>
        <w:tc>
          <w:tcPr>
            <w:tcW w:w="3149" w:type="dxa"/>
            <w:tcBorders>
              <w:top w:val="nil"/>
              <w:left w:val="nil"/>
              <w:bottom w:val="single" w:sz="4" w:space="0" w:color="auto"/>
              <w:right w:val="single" w:sz="4" w:space="0" w:color="auto"/>
            </w:tcBorders>
            <w:shd w:val="clear" w:color="auto" w:fill="auto"/>
            <w:hideMark/>
          </w:tcPr>
          <w:p w14:paraId="1485CF0C" w14:textId="77777777" w:rsidR="00322AE9" w:rsidRPr="00322AE9" w:rsidRDefault="00322AE9" w:rsidP="00322AE9">
            <w:pPr>
              <w:ind w:firstLine="0"/>
              <w:jc w:val="left"/>
              <w:rPr>
                <w:rFonts w:eastAsia="Times New Roman" w:cs="Times New Roman"/>
                <w:color w:val="000000"/>
                <w:sz w:val="18"/>
                <w:szCs w:val="18"/>
                <w:lang w:eastAsia="ru-RU"/>
              </w:rPr>
            </w:pPr>
            <w:r w:rsidRPr="00322AE9">
              <w:rPr>
                <w:rFonts w:eastAsia="Times New Roman" w:cs="Times New Roman"/>
                <w:color w:val="000000"/>
                <w:sz w:val="18"/>
                <w:szCs w:val="18"/>
                <w:lang w:eastAsia="ru-RU"/>
              </w:rPr>
              <w:t>СП 118.13330.2012 "Общественные здания", п.4.5</w:t>
            </w:r>
          </w:p>
        </w:tc>
      </w:tr>
      <w:tr w:rsidR="00322AE9" w:rsidRPr="00322AE9" w14:paraId="456B44C6" w14:textId="77777777" w:rsidTr="00322AE9">
        <w:trPr>
          <w:trHeight w:val="300"/>
          <w:jc w:val="center"/>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6D9B0B03"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 </w:t>
            </w:r>
          </w:p>
        </w:tc>
        <w:tc>
          <w:tcPr>
            <w:tcW w:w="816" w:type="dxa"/>
            <w:tcBorders>
              <w:top w:val="nil"/>
              <w:left w:val="nil"/>
              <w:bottom w:val="single" w:sz="4" w:space="0" w:color="auto"/>
              <w:right w:val="single" w:sz="4" w:space="0" w:color="auto"/>
            </w:tcBorders>
            <w:shd w:val="clear" w:color="auto" w:fill="auto"/>
            <w:vAlign w:val="center"/>
            <w:hideMark/>
          </w:tcPr>
          <w:p w14:paraId="700254EB"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0412</w:t>
            </w:r>
          </w:p>
        </w:tc>
        <w:tc>
          <w:tcPr>
            <w:tcW w:w="2893" w:type="dxa"/>
            <w:tcBorders>
              <w:top w:val="nil"/>
              <w:left w:val="nil"/>
              <w:bottom w:val="single" w:sz="4" w:space="0" w:color="auto"/>
              <w:right w:val="single" w:sz="4" w:space="0" w:color="auto"/>
            </w:tcBorders>
            <w:shd w:val="clear" w:color="auto" w:fill="auto"/>
            <w:vAlign w:val="center"/>
            <w:hideMark/>
          </w:tcPr>
          <w:p w14:paraId="2480ABB1" w14:textId="77777777" w:rsidR="00322AE9" w:rsidRPr="00322AE9" w:rsidRDefault="00322AE9" w:rsidP="00322AE9">
            <w:pPr>
              <w:ind w:firstLine="0"/>
              <w:jc w:val="left"/>
              <w:rPr>
                <w:rFonts w:eastAsia="Times New Roman" w:cs="Times New Roman"/>
                <w:color w:val="000000"/>
                <w:sz w:val="20"/>
                <w:szCs w:val="20"/>
                <w:lang w:eastAsia="ru-RU"/>
              </w:rPr>
            </w:pPr>
            <w:r w:rsidRPr="00322AE9">
              <w:rPr>
                <w:rFonts w:eastAsia="Times New Roman" w:cs="Times New Roman"/>
                <w:color w:val="000000"/>
                <w:sz w:val="20"/>
                <w:szCs w:val="20"/>
                <w:lang w:eastAsia="ru-RU"/>
              </w:rPr>
              <w:t>Летние кафе</w:t>
            </w:r>
          </w:p>
        </w:tc>
        <w:tc>
          <w:tcPr>
            <w:tcW w:w="855" w:type="dxa"/>
            <w:tcBorders>
              <w:top w:val="nil"/>
              <w:left w:val="nil"/>
              <w:bottom w:val="single" w:sz="4" w:space="0" w:color="auto"/>
              <w:right w:val="single" w:sz="4" w:space="0" w:color="auto"/>
            </w:tcBorders>
            <w:shd w:val="clear" w:color="FFFFFF" w:fill="FFFFFF"/>
            <w:vAlign w:val="center"/>
            <w:hideMark/>
          </w:tcPr>
          <w:p w14:paraId="77476390"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 </w:t>
            </w:r>
          </w:p>
        </w:tc>
        <w:tc>
          <w:tcPr>
            <w:tcW w:w="793" w:type="dxa"/>
            <w:tcBorders>
              <w:top w:val="nil"/>
              <w:left w:val="nil"/>
              <w:bottom w:val="single" w:sz="4" w:space="0" w:color="auto"/>
              <w:right w:val="single" w:sz="4" w:space="0" w:color="auto"/>
            </w:tcBorders>
            <w:shd w:val="clear" w:color="auto" w:fill="auto"/>
            <w:vAlign w:val="center"/>
            <w:hideMark/>
          </w:tcPr>
          <w:p w14:paraId="08C38958"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2,5</w:t>
            </w:r>
          </w:p>
        </w:tc>
        <w:tc>
          <w:tcPr>
            <w:tcW w:w="992" w:type="dxa"/>
            <w:tcBorders>
              <w:top w:val="nil"/>
              <w:left w:val="nil"/>
              <w:bottom w:val="single" w:sz="4" w:space="0" w:color="auto"/>
              <w:right w:val="single" w:sz="4" w:space="0" w:color="auto"/>
            </w:tcBorders>
            <w:shd w:val="clear" w:color="auto" w:fill="auto"/>
            <w:vAlign w:val="center"/>
            <w:hideMark/>
          </w:tcPr>
          <w:p w14:paraId="5078BC86"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0,3</w:t>
            </w:r>
          </w:p>
        </w:tc>
        <w:tc>
          <w:tcPr>
            <w:tcW w:w="1030" w:type="dxa"/>
            <w:tcBorders>
              <w:top w:val="nil"/>
              <w:left w:val="nil"/>
              <w:bottom w:val="single" w:sz="4" w:space="0" w:color="auto"/>
              <w:right w:val="single" w:sz="4" w:space="0" w:color="auto"/>
            </w:tcBorders>
            <w:shd w:val="clear" w:color="auto" w:fill="auto"/>
            <w:vAlign w:val="center"/>
            <w:hideMark/>
          </w:tcPr>
          <w:p w14:paraId="42E54C6D"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2,8</w:t>
            </w:r>
          </w:p>
        </w:tc>
        <w:tc>
          <w:tcPr>
            <w:tcW w:w="1096" w:type="dxa"/>
            <w:tcBorders>
              <w:top w:val="nil"/>
              <w:left w:val="nil"/>
              <w:bottom w:val="single" w:sz="4" w:space="0" w:color="auto"/>
              <w:right w:val="single" w:sz="4" w:space="0" w:color="auto"/>
            </w:tcBorders>
            <w:shd w:val="clear" w:color="auto" w:fill="auto"/>
            <w:vAlign w:val="center"/>
            <w:hideMark/>
          </w:tcPr>
          <w:p w14:paraId="71B1D314"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1,6</w:t>
            </w:r>
          </w:p>
        </w:tc>
        <w:tc>
          <w:tcPr>
            <w:tcW w:w="1149" w:type="dxa"/>
            <w:tcBorders>
              <w:top w:val="nil"/>
              <w:left w:val="nil"/>
              <w:bottom w:val="single" w:sz="4" w:space="0" w:color="auto"/>
              <w:right w:val="single" w:sz="4" w:space="0" w:color="auto"/>
            </w:tcBorders>
            <w:shd w:val="clear" w:color="auto" w:fill="auto"/>
            <w:vAlign w:val="center"/>
            <w:hideMark/>
          </w:tcPr>
          <w:p w14:paraId="4DFB8C2B"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2,1</w:t>
            </w:r>
          </w:p>
        </w:tc>
        <w:tc>
          <w:tcPr>
            <w:tcW w:w="1119" w:type="dxa"/>
            <w:tcBorders>
              <w:top w:val="nil"/>
              <w:left w:val="nil"/>
              <w:bottom w:val="single" w:sz="4" w:space="0" w:color="auto"/>
              <w:right w:val="single" w:sz="4" w:space="0" w:color="auto"/>
            </w:tcBorders>
            <w:shd w:val="clear" w:color="auto" w:fill="auto"/>
            <w:vAlign w:val="center"/>
            <w:hideMark/>
          </w:tcPr>
          <w:p w14:paraId="463D28A9"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2,4</w:t>
            </w:r>
          </w:p>
        </w:tc>
        <w:tc>
          <w:tcPr>
            <w:tcW w:w="3149" w:type="dxa"/>
            <w:tcBorders>
              <w:top w:val="nil"/>
              <w:left w:val="nil"/>
              <w:bottom w:val="single" w:sz="4" w:space="0" w:color="auto"/>
              <w:right w:val="single" w:sz="4" w:space="0" w:color="auto"/>
            </w:tcBorders>
            <w:shd w:val="clear" w:color="auto" w:fill="auto"/>
            <w:hideMark/>
          </w:tcPr>
          <w:p w14:paraId="334DA979" w14:textId="77777777" w:rsidR="00322AE9" w:rsidRPr="00322AE9" w:rsidRDefault="00322AE9" w:rsidP="00322AE9">
            <w:pPr>
              <w:ind w:firstLine="0"/>
              <w:jc w:val="left"/>
              <w:rPr>
                <w:rFonts w:eastAsia="Times New Roman" w:cs="Times New Roman"/>
                <w:color w:val="000000"/>
                <w:sz w:val="18"/>
                <w:szCs w:val="18"/>
                <w:lang w:eastAsia="ru-RU"/>
              </w:rPr>
            </w:pPr>
            <w:r w:rsidRPr="00322AE9">
              <w:rPr>
                <w:rFonts w:eastAsia="Times New Roman" w:cs="Times New Roman"/>
                <w:color w:val="000000"/>
                <w:sz w:val="18"/>
                <w:szCs w:val="18"/>
                <w:lang w:eastAsia="ru-RU"/>
              </w:rPr>
              <w:t>СП 118.13330.2012 "Общественные здания", п.4.5</w:t>
            </w:r>
          </w:p>
        </w:tc>
      </w:tr>
      <w:tr w:rsidR="00322AE9" w:rsidRPr="00322AE9" w14:paraId="45A2E907" w14:textId="77777777" w:rsidTr="00322AE9">
        <w:trPr>
          <w:trHeight w:val="300"/>
          <w:jc w:val="center"/>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3F3A3426"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 </w:t>
            </w:r>
          </w:p>
        </w:tc>
        <w:tc>
          <w:tcPr>
            <w:tcW w:w="816" w:type="dxa"/>
            <w:tcBorders>
              <w:top w:val="nil"/>
              <w:left w:val="nil"/>
              <w:bottom w:val="single" w:sz="4" w:space="0" w:color="auto"/>
              <w:right w:val="single" w:sz="4" w:space="0" w:color="auto"/>
            </w:tcBorders>
            <w:shd w:val="clear" w:color="auto" w:fill="auto"/>
            <w:vAlign w:val="center"/>
            <w:hideMark/>
          </w:tcPr>
          <w:p w14:paraId="36EF75F0"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0413</w:t>
            </w:r>
          </w:p>
        </w:tc>
        <w:tc>
          <w:tcPr>
            <w:tcW w:w="2893" w:type="dxa"/>
            <w:tcBorders>
              <w:top w:val="nil"/>
              <w:left w:val="nil"/>
              <w:bottom w:val="single" w:sz="4" w:space="0" w:color="auto"/>
              <w:right w:val="single" w:sz="4" w:space="0" w:color="auto"/>
            </w:tcBorders>
            <w:shd w:val="clear" w:color="auto" w:fill="auto"/>
            <w:vAlign w:val="center"/>
            <w:hideMark/>
          </w:tcPr>
          <w:p w14:paraId="1B8C53C1" w14:textId="77777777" w:rsidR="00322AE9" w:rsidRPr="00322AE9" w:rsidRDefault="00322AE9" w:rsidP="00322AE9">
            <w:pPr>
              <w:ind w:firstLine="0"/>
              <w:jc w:val="left"/>
              <w:rPr>
                <w:rFonts w:eastAsia="Times New Roman" w:cs="Times New Roman"/>
                <w:color w:val="000000"/>
                <w:sz w:val="20"/>
                <w:szCs w:val="20"/>
                <w:lang w:eastAsia="ru-RU"/>
              </w:rPr>
            </w:pPr>
            <w:r w:rsidRPr="00322AE9">
              <w:rPr>
                <w:rFonts w:eastAsia="Times New Roman" w:cs="Times New Roman"/>
                <w:color w:val="000000"/>
                <w:sz w:val="20"/>
                <w:szCs w:val="20"/>
                <w:lang w:eastAsia="ru-RU"/>
              </w:rPr>
              <w:t>Ломбарды</w:t>
            </w:r>
          </w:p>
        </w:tc>
        <w:tc>
          <w:tcPr>
            <w:tcW w:w="855" w:type="dxa"/>
            <w:tcBorders>
              <w:top w:val="nil"/>
              <w:left w:val="nil"/>
              <w:bottom w:val="single" w:sz="4" w:space="0" w:color="auto"/>
              <w:right w:val="single" w:sz="4" w:space="0" w:color="auto"/>
            </w:tcBorders>
            <w:shd w:val="clear" w:color="FFFFFF" w:fill="FFFFFF"/>
            <w:vAlign w:val="center"/>
            <w:hideMark/>
          </w:tcPr>
          <w:p w14:paraId="7175C53D"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 </w:t>
            </w:r>
          </w:p>
        </w:tc>
        <w:tc>
          <w:tcPr>
            <w:tcW w:w="793" w:type="dxa"/>
            <w:tcBorders>
              <w:top w:val="nil"/>
              <w:left w:val="nil"/>
              <w:bottom w:val="single" w:sz="4" w:space="0" w:color="auto"/>
              <w:right w:val="single" w:sz="4" w:space="0" w:color="auto"/>
            </w:tcBorders>
            <w:shd w:val="clear" w:color="auto" w:fill="auto"/>
            <w:vAlign w:val="center"/>
            <w:hideMark/>
          </w:tcPr>
          <w:p w14:paraId="4E1CA2DB"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2,5</w:t>
            </w:r>
          </w:p>
        </w:tc>
        <w:tc>
          <w:tcPr>
            <w:tcW w:w="992" w:type="dxa"/>
            <w:tcBorders>
              <w:top w:val="nil"/>
              <w:left w:val="nil"/>
              <w:bottom w:val="single" w:sz="4" w:space="0" w:color="auto"/>
              <w:right w:val="single" w:sz="4" w:space="0" w:color="auto"/>
            </w:tcBorders>
            <w:shd w:val="clear" w:color="auto" w:fill="auto"/>
            <w:vAlign w:val="center"/>
            <w:hideMark/>
          </w:tcPr>
          <w:p w14:paraId="3BA08267"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0,3</w:t>
            </w:r>
          </w:p>
        </w:tc>
        <w:tc>
          <w:tcPr>
            <w:tcW w:w="1030" w:type="dxa"/>
            <w:tcBorders>
              <w:top w:val="nil"/>
              <w:left w:val="nil"/>
              <w:bottom w:val="single" w:sz="4" w:space="0" w:color="auto"/>
              <w:right w:val="single" w:sz="4" w:space="0" w:color="auto"/>
            </w:tcBorders>
            <w:shd w:val="clear" w:color="auto" w:fill="auto"/>
            <w:vAlign w:val="center"/>
            <w:hideMark/>
          </w:tcPr>
          <w:p w14:paraId="17B770E7"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2,8</w:t>
            </w:r>
          </w:p>
        </w:tc>
        <w:tc>
          <w:tcPr>
            <w:tcW w:w="1096" w:type="dxa"/>
            <w:tcBorders>
              <w:top w:val="nil"/>
              <w:left w:val="nil"/>
              <w:bottom w:val="single" w:sz="4" w:space="0" w:color="auto"/>
              <w:right w:val="single" w:sz="4" w:space="0" w:color="auto"/>
            </w:tcBorders>
            <w:shd w:val="clear" w:color="auto" w:fill="auto"/>
            <w:vAlign w:val="center"/>
            <w:hideMark/>
          </w:tcPr>
          <w:p w14:paraId="73730C55"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1,6</w:t>
            </w:r>
          </w:p>
        </w:tc>
        <w:tc>
          <w:tcPr>
            <w:tcW w:w="1149" w:type="dxa"/>
            <w:tcBorders>
              <w:top w:val="nil"/>
              <w:left w:val="nil"/>
              <w:bottom w:val="single" w:sz="4" w:space="0" w:color="auto"/>
              <w:right w:val="single" w:sz="4" w:space="0" w:color="auto"/>
            </w:tcBorders>
            <w:shd w:val="clear" w:color="auto" w:fill="auto"/>
            <w:vAlign w:val="center"/>
            <w:hideMark/>
          </w:tcPr>
          <w:p w14:paraId="1FACFE7C"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2,1</w:t>
            </w:r>
          </w:p>
        </w:tc>
        <w:tc>
          <w:tcPr>
            <w:tcW w:w="1119" w:type="dxa"/>
            <w:tcBorders>
              <w:top w:val="nil"/>
              <w:left w:val="nil"/>
              <w:bottom w:val="single" w:sz="4" w:space="0" w:color="auto"/>
              <w:right w:val="single" w:sz="4" w:space="0" w:color="auto"/>
            </w:tcBorders>
            <w:shd w:val="clear" w:color="auto" w:fill="auto"/>
            <w:vAlign w:val="center"/>
            <w:hideMark/>
          </w:tcPr>
          <w:p w14:paraId="4AAB9A36"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2,4</w:t>
            </w:r>
          </w:p>
        </w:tc>
        <w:tc>
          <w:tcPr>
            <w:tcW w:w="3149" w:type="dxa"/>
            <w:tcBorders>
              <w:top w:val="nil"/>
              <w:left w:val="nil"/>
              <w:bottom w:val="single" w:sz="4" w:space="0" w:color="auto"/>
              <w:right w:val="single" w:sz="4" w:space="0" w:color="auto"/>
            </w:tcBorders>
            <w:shd w:val="clear" w:color="auto" w:fill="auto"/>
            <w:hideMark/>
          </w:tcPr>
          <w:p w14:paraId="3447E82D" w14:textId="77777777" w:rsidR="00322AE9" w:rsidRPr="00322AE9" w:rsidRDefault="00322AE9" w:rsidP="00322AE9">
            <w:pPr>
              <w:ind w:firstLine="0"/>
              <w:jc w:val="left"/>
              <w:rPr>
                <w:rFonts w:eastAsia="Times New Roman" w:cs="Times New Roman"/>
                <w:color w:val="000000"/>
                <w:sz w:val="18"/>
                <w:szCs w:val="18"/>
                <w:lang w:eastAsia="ru-RU"/>
              </w:rPr>
            </w:pPr>
            <w:r w:rsidRPr="00322AE9">
              <w:rPr>
                <w:rFonts w:eastAsia="Times New Roman" w:cs="Times New Roman"/>
                <w:color w:val="000000"/>
                <w:sz w:val="18"/>
                <w:szCs w:val="18"/>
                <w:lang w:eastAsia="ru-RU"/>
              </w:rPr>
              <w:t>СП 118.13330.2012 "Общественные здания", п.4.5</w:t>
            </w:r>
          </w:p>
        </w:tc>
      </w:tr>
      <w:tr w:rsidR="00322AE9" w:rsidRPr="00322AE9" w14:paraId="5D8BF04A" w14:textId="77777777" w:rsidTr="00322AE9">
        <w:trPr>
          <w:trHeight w:val="765"/>
          <w:jc w:val="center"/>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15D293DA" w14:textId="77777777" w:rsidR="00322AE9" w:rsidRPr="00322AE9" w:rsidRDefault="00322AE9" w:rsidP="00322AE9">
            <w:pPr>
              <w:ind w:firstLine="0"/>
              <w:jc w:val="center"/>
              <w:rPr>
                <w:rFonts w:eastAsia="Times New Roman" w:cs="Times New Roman"/>
                <w:b/>
                <w:bCs/>
                <w:color w:val="000000"/>
                <w:sz w:val="20"/>
                <w:szCs w:val="20"/>
                <w:lang w:eastAsia="ru-RU"/>
              </w:rPr>
            </w:pPr>
            <w:r w:rsidRPr="00322AE9">
              <w:rPr>
                <w:rFonts w:eastAsia="Times New Roman" w:cs="Times New Roman"/>
                <w:b/>
                <w:bCs/>
                <w:color w:val="000000"/>
                <w:sz w:val="20"/>
                <w:szCs w:val="20"/>
                <w:lang w:eastAsia="ru-RU"/>
              </w:rPr>
              <w:t>05</w:t>
            </w:r>
          </w:p>
        </w:tc>
        <w:tc>
          <w:tcPr>
            <w:tcW w:w="816" w:type="dxa"/>
            <w:tcBorders>
              <w:top w:val="nil"/>
              <w:left w:val="nil"/>
              <w:bottom w:val="single" w:sz="4" w:space="0" w:color="auto"/>
              <w:right w:val="single" w:sz="4" w:space="0" w:color="auto"/>
            </w:tcBorders>
            <w:shd w:val="clear" w:color="auto" w:fill="auto"/>
            <w:vAlign w:val="center"/>
            <w:hideMark/>
          </w:tcPr>
          <w:p w14:paraId="4A7ED1A9" w14:textId="77777777" w:rsidR="00322AE9" w:rsidRPr="00322AE9" w:rsidRDefault="00322AE9" w:rsidP="00322AE9">
            <w:pPr>
              <w:ind w:firstLine="0"/>
              <w:jc w:val="center"/>
              <w:rPr>
                <w:rFonts w:eastAsia="Times New Roman" w:cs="Times New Roman"/>
                <w:b/>
                <w:bCs/>
                <w:color w:val="000000"/>
                <w:sz w:val="20"/>
                <w:szCs w:val="20"/>
                <w:lang w:eastAsia="ru-RU"/>
              </w:rPr>
            </w:pPr>
            <w:r w:rsidRPr="00322AE9">
              <w:rPr>
                <w:rFonts w:eastAsia="Times New Roman" w:cs="Times New Roman"/>
                <w:b/>
                <w:bCs/>
                <w:color w:val="000000"/>
                <w:sz w:val="20"/>
                <w:szCs w:val="20"/>
                <w:lang w:eastAsia="ru-RU"/>
              </w:rPr>
              <w:t>0500</w:t>
            </w:r>
          </w:p>
        </w:tc>
        <w:tc>
          <w:tcPr>
            <w:tcW w:w="2893" w:type="dxa"/>
            <w:tcBorders>
              <w:top w:val="nil"/>
              <w:left w:val="nil"/>
              <w:bottom w:val="single" w:sz="4" w:space="0" w:color="auto"/>
              <w:right w:val="single" w:sz="4" w:space="0" w:color="auto"/>
            </w:tcBorders>
            <w:shd w:val="clear" w:color="auto" w:fill="auto"/>
            <w:vAlign w:val="center"/>
            <w:hideMark/>
          </w:tcPr>
          <w:p w14:paraId="7E3E1476" w14:textId="77777777" w:rsidR="00322AE9" w:rsidRPr="00322AE9" w:rsidRDefault="00322AE9" w:rsidP="00322AE9">
            <w:pPr>
              <w:ind w:firstLine="0"/>
              <w:jc w:val="left"/>
              <w:rPr>
                <w:rFonts w:eastAsia="Times New Roman" w:cs="Times New Roman"/>
                <w:b/>
                <w:bCs/>
                <w:color w:val="000000"/>
                <w:sz w:val="20"/>
                <w:szCs w:val="20"/>
                <w:lang w:eastAsia="ru-RU"/>
              </w:rPr>
            </w:pPr>
            <w:r w:rsidRPr="00322AE9">
              <w:rPr>
                <w:rFonts w:eastAsia="Times New Roman" w:cs="Times New Roman"/>
                <w:b/>
                <w:bCs/>
                <w:color w:val="000000"/>
                <w:sz w:val="20"/>
                <w:szCs w:val="20"/>
                <w:lang w:eastAsia="ru-RU"/>
              </w:rPr>
              <w:t>Группа 5. Объекты временного проживания, включая объекты рекреационно-оздоровительного значения</w:t>
            </w:r>
          </w:p>
        </w:tc>
        <w:tc>
          <w:tcPr>
            <w:tcW w:w="855" w:type="dxa"/>
            <w:tcBorders>
              <w:top w:val="nil"/>
              <w:left w:val="nil"/>
              <w:bottom w:val="single" w:sz="4" w:space="0" w:color="auto"/>
              <w:right w:val="single" w:sz="4" w:space="0" w:color="auto"/>
            </w:tcBorders>
            <w:shd w:val="clear" w:color="FFFFFF" w:fill="FFFFFF"/>
            <w:vAlign w:val="center"/>
            <w:hideMark/>
          </w:tcPr>
          <w:p w14:paraId="2EA3EB6E" w14:textId="77777777" w:rsidR="00322AE9" w:rsidRPr="00322AE9" w:rsidRDefault="00322AE9" w:rsidP="00322AE9">
            <w:pPr>
              <w:ind w:firstLine="0"/>
              <w:jc w:val="left"/>
              <w:rPr>
                <w:rFonts w:eastAsia="Times New Roman" w:cs="Times New Roman"/>
                <w:b/>
                <w:bCs/>
                <w:i/>
                <w:iCs/>
                <w:color w:val="000000"/>
                <w:sz w:val="18"/>
                <w:szCs w:val="18"/>
                <w:u w:val="single"/>
                <w:lang w:eastAsia="ru-RU"/>
              </w:rPr>
            </w:pPr>
            <w:r w:rsidRPr="00322AE9">
              <w:rPr>
                <w:rFonts w:eastAsia="Times New Roman" w:cs="Times New Roman"/>
                <w:b/>
                <w:bCs/>
                <w:i/>
                <w:iCs/>
                <w:color w:val="000000"/>
                <w:sz w:val="18"/>
                <w:szCs w:val="18"/>
                <w:u w:val="single"/>
                <w:lang w:eastAsia="ru-RU"/>
              </w:rPr>
              <w:t> </w:t>
            </w:r>
          </w:p>
        </w:tc>
        <w:tc>
          <w:tcPr>
            <w:tcW w:w="793" w:type="dxa"/>
            <w:tcBorders>
              <w:top w:val="nil"/>
              <w:left w:val="nil"/>
              <w:bottom w:val="single" w:sz="4" w:space="0" w:color="auto"/>
              <w:right w:val="single" w:sz="4" w:space="0" w:color="auto"/>
            </w:tcBorders>
            <w:shd w:val="clear" w:color="auto" w:fill="auto"/>
            <w:vAlign w:val="center"/>
            <w:hideMark/>
          </w:tcPr>
          <w:p w14:paraId="618B987A"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2,5</w:t>
            </w:r>
          </w:p>
        </w:tc>
        <w:tc>
          <w:tcPr>
            <w:tcW w:w="992" w:type="dxa"/>
            <w:tcBorders>
              <w:top w:val="nil"/>
              <w:left w:val="nil"/>
              <w:bottom w:val="single" w:sz="4" w:space="0" w:color="auto"/>
              <w:right w:val="single" w:sz="4" w:space="0" w:color="auto"/>
            </w:tcBorders>
            <w:shd w:val="clear" w:color="auto" w:fill="auto"/>
            <w:vAlign w:val="center"/>
            <w:hideMark/>
          </w:tcPr>
          <w:p w14:paraId="43655F08"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0,3</w:t>
            </w:r>
          </w:p>
        </w:tc>
        <w:tc>
          <w:tcPr>
            <w:tcW w:w="1030" w:type="dxa"/>
            <w:tcBorders>
              <w:top w:val="nil"/>
              <w:left w:val="nil"/>
              <w:bottom w:val="single" w:sz="4" w:space="0" w:color="auto"/>
              <w:right w:val="single" w:sz="4" w:space="0" w:color="auto"/>
            </w:tcBorders>
            <w:shd w:val="clear" w:color="auto" w:fill="auto"/>
            <w:vAlign w:val="center"/>
            <w:hideMark/>
          </w:tcPr>
          <w:p w14:paraId="22FB802A"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2,8</w:t>
            </w:r>
          </w:p>
        </w:tc>
        <w:tc>
          <w:tcPr>
            <w:tcW w:w="1096" w:type="dxa"/>
            <w:tcBorders>
              <w:top w:val="nil"/>
              <w:left w:val="nil"/>
              <w:bottom w:val="single" w:sz="4" w:space="0" w:color="auto"/>
              <w:right w:val="single" w:sz="4" w:space="0" w:color="auto"/>
            </w:tcBorders>
            <w:shd w:val="clear" w:color="auto" w:fill="auto"/>
            <w:vAlign w:val="center"/>
            <w:hideMark/>
          </w:tcPr>
          <w:p w14:paraId="25707EF6"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1,6</w:t>
            </w:r>
          </w:p>
        </w:tc>
        <w:tc>
          <w:tcPr>
            <w:tcW w:w="1149" w:type="dxa"/>
            <w:tcBorders>
              <w:top w:val="nil"/>
              <w:left w:val="nil"/>
              <w:bottom w:val="single" w:sz="4" w:space="0" w:color="auto"/>
              <w:right w:val="single" w:sz="4" w:space="0" w:color="auto"/>
            </w:tcBorders>
            <w:shd w:val="clear" w:color="auto" w:fill="auto"/>
            <w:vAlign w:val="center"/>
            <w:hideMark/>
          </w:tcPr>
          <w:p w14:paraId="67C36394"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2,1</w:t>
            </w:r>
          </w:p>
        </w:tc>
        <w:tc>
          <w:tcPr>
            <w:tcW w:w="1119" w:type="dxa"/>
            <w:tcBorders>
              <w:top w:val="nil"/>
              <w:left w:val="nil"/>
              <w:bottom w:val="single" w:sz="4" w:space="0" w:color="auto"/>
              <w:right w:val="single" w:sz="4" w:space="0" w:color="auto"/>
            </w:tcBorders>
            <w:shd w:val="clear" w:color="auto" w:fill="auto"/>
            <w:vAlign w:val="center"/>
            <w:hideMark/>
          </w:tcPr>
          <w:p w14:paraId="4DD01828"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2,4</w:t>
            </w:r>
          </w:p>
        </w:tc>
        <w:tc>
          <w:tcPr>
            <w:tcW w:w="3149" w:type="dxa"/>
            <w:tcBorders>
              <w:top w:val="nil"/>
              <w:left w:val="nil"/>
              <w:bottom w:val="single" w:sz="4" w:space="0" w:color="auto"/>
              <w:right w:val="single" w:sz="4" w:space="0" w:color="auto"/>
            </w:tcBorders>
            <w:shd w:val="clear" w:color="auto" w:fill="auto"/>
            <w:hideMark/>
          </w:tcPr>
          <w:p w14:paraId="433B85E1" w14:textId="77777777" w:rsidR="00322AE9" w:rsidRPr="00322AE9" w:rsidRDefault="00322AE9" w:rsidP="00322AE9">
            <w:pPr>
              <w:ind w:firstLine="0"/>
              <w:jc w:val="left"/>
              <w:rPr>
                <w:rFonts w:eastAsia="Times New Roman" w:cs="Times New Roman"/>
                <w:color w:val="000000"/>
                <w:sz w:val="18"/>
                <w:szCs w:val="18"/>
                <w:lang w:eastAsia="ru-RU"/>
              </w:rPr>
            </w:pPr>
            <w:r w:rsidRPr="00322AE9">
              <w:rPr>
                <w:rFonts w:eastAsia="Times New Roman" w:cs="Times New Roman"/>
                <w:color w:val="000000"/>
                <w:sz w:val="18"/>
                <w:szCs w:val="18"/>
                <w:lang w:eastAsia="ru-RU"/>
              </w:rPr>
              <w:t> </w:t>
            </w:r>
          </w:p>
        </w:tc>
      </w:tr>
      <w:tr w:rsidR="00322AE9" w:rsidRPr="00322AE9" w14:paraId="3A01C25A" w14:textId="77777777" w:rsidTr="00322AE9">
        <w:trPr>
          <w:trHeight w:val="510"/>
          <w:jc w:val="center"/>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5C8E21C5"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 </w:t>
            </w:r>
          </w:p>
        </w:tc>
        <w:tc>
          <w:tcPr>
            <w:tcW w:w="816" w:type="dxa"/>
            <w:tcBorders>
              <w:top w:val="nil"/>
              <w:left w:val="nil"/>
              <w:bottom w:val="single" w:sz="4" w:space="0" w:color="auto"/>
              <w:right w:val="single" w:sz="4" w:space="0" w:color="auto"/>
            </w:tcBorders>
            <w:shd w:val="clear" w:color="auto" w:fill="auto"/>
            <w:vAlign w:val="center"/>
            <w:hideMark/>
          </w:tcPr>
          <w:p w14:paraId="53B26911"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0501</w:t>
            </w:r>
          </w:p>
        </w:tc>
        <w:tc>
          <w:tcPr>
            <w:tcW w:w="2893" w:type="dxa"/>
            <w:tcBorders>
              <w:top w:val="nil"/>
              <w:left w:val="nil"/>
              <w:bottom w:val="single" w:sz="4" w:space="0" w:color="auto"/>
              <w:right w:val="single" w:sz="4" w:space="0" w:color="auto"/>
            </w:tcBorders>
            <w:shd w:val="clear" w:color="auto" w:fill="auto"/>
            <w:vAlign w:val="center"/>
            <w:hideMark/>
          </w:tcPr>
          <w:p w14:paraId="7E759D98" w14:textId="77777777" w:rsidR="00322AE9" w:rsidRPr="00322AE9" w:rsidRDefault="00322AE9" w:rsidP="00322AE9">
            <w:pPr>
              <w:ind w:firstLine="0"/>
              <w:jc w:val="left"/>
              <w:rPr>
                <w:rFonts w:eastAsia="Times New Roman" w:cs="Times New Roman"/>
                <w:color w:val="000000"/>
                <w:sz w:val="20"/>
                <w:szCs w:val="20"/>
                <w:lang w:eastAsia="ru-RU"/>
              </w:rPr>
            </w:pPr>
            <w:r w:rsidRPr="00322AE9">
              <w:rPr>
                <w:rFonts w:eastAsia="Times New Roman" w:cs="Times New Roman"/>
                <w:color w:val="000000"/>
                <w:sz w:val="20"/>
                <w:szCs w:val="20"/>
                <w:lang w:eastAsia="ru-RU"/>
              </w:rPr>
              <w:t>Гостиницы: класса 2* и ниже, ведомственные гостиницы, хостелы</w:t>
            </w:r>
          </w:p>
        </w:tc>
        <w:tc>
          <w:tcPr>
            <w:tcW w:w="855" w:type="dxa"/>
            <w:tcBorders>
              <w:top w:val="nil"/>
              <w:left w:val="nil"/>
              <w:bottom w:val="single" w:sz="4" w:space="0" w:color="auto"/>
              <w:right w:val="single" w:sz="4" w:space="0" w:color="auto"/>
            </w:tcBorders>
            <w:shd w:val="clear" w:color="FFFFFF" w:fill="FFFFFF"/>
            <w:vAlign w:val="center"/>
            <w:hideMark/>
          </w:tcPr>
          <w:p w14:paraId="012BCA0E"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 </w:t>
            </w:r>
          </w:p>
        </w:tc>
        <w:tc>
          <w:tcPr>
            <w:tcW w:w="793" w:type="dxa"/>
            <w:tcBorders>
              <w:top w:val="nil"/>
              <w:left w:val="nil"/>
              <w:bottom w:val="single" w:sz="4" w:space="0" w:color="auto"/>
              <w:right w:val="single" w:sz="4" w:space="0" w:color="auto"/>
            </w:tcBorders>
            <w:shd w:val="clear" w:color="auto" w:fill="auto"/>
            <w:vAlign w:val="center"/>
            <w:hideMark/>
          </w:tcPr>
          <w:p w14:paraId="07F33C0D"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2,5</w:t>
            </w:r>
          </w:p>
        </w:tc>
        <w:tc>
          <w:tcPr>
            <w:tcW w:w="992" w:type="dxa"/>
            <w:tcBorders>
              <w:top w:val="nil"/>
              <w:left w:val="nil"/>
              <w:bottom w:val="single" w:sz="4" w:space="0" w:color="auto"/>
              <w:right w:val="single" w:sz="4" w:space="0" w:color="auto"/>
            </w:tcBorders>
            <w:shd w:val="clear" w:color="auto" w:fill="auto"/>
            <w:vAlign w:val="center"/>
            <w:hideMark/>
          </w:tcPr>
          <w:p w14:paraId="195384B6"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0,3</w:t>
            </w:r>
          </w:p>
        </w:tc>
        <w:tc>
          <w:tcPr>
            <w:tcW w:w="1030" w:type="dxa"/>
            <w:tcBorders>
              <w:top w:val="nil"/>
              <w:left w:val="nil"/>
              <w:bottom w:val="single" w:sz="4" w:space="0" w:color="auto"/>
              <w:right w:val="single" w:sz="4" w:space="0" w:color="auto"/>
            </w:tcBorders>
            <w:shd w:val="clear" w:color="auto" w:fill="auto"/>
            <w:vAlign w:val="center"/>
            <w:hideMark/>
          </w:tcPr>
          <w:p w14:paraId="3416EBC2"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2,8</w:t>
            </w:r>
          </w:p>
        </w:tc>
        <w:tc>
          <w:tcPr>
            <w:tcW w:w="1096" w:type="dxa"/>
            <w:tcBorders>
              <w:top w:val="nil"/>
              <w:left w:val="nil"/>
              <w:bottom w:val="single" w:sz="4" w:space="0" w:color="auto"/>
              <w:right w:val="single" w:sz="4" w:space="0" w:color="auto"/>
            </w:tcBorders>
            <w:shd w:val="clear" w:color="auto" w:fill="auto"/>
            <w:vAlign w:val="center"/>
            <w:hideMark/>
          </w:tcPr>
          <w:p w14:paraId="6E5F450E"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1,6</w:t>
            </w:r>
          </w:p>
        </w:tc>
        <w:tc>
          <w:tcPr>
            <w:tcW w:w="1149" w:type="dxa"/>
            <w:tcBorders>
              <w:top w:val="nil"/>
              <w:left w:val="nil"/>
              <w:bottom w:val="single" w:sz="4" w:space="0" w:color="auto"/>
              <w:right w:val="single" w:sz="4" w:space="0" w:color="auto"/>
            </w:tcBorders>
            <w:shd w:val="clear" w:color="auto" w:fill="auto"/>
            <w:vAlign w:val="center"/>
            <w:hideMark/>
          </w:tcPr>
          <w:p w14:paraId="57E92EE5"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2,1</w:t>
            </w:r>
          </w:p>
        </w:tc>
        <w:tc>
          <w:tcPr>
            <w:tcW w:w="1119" w:type="dxa"/>
            <w:tcBorders>
              <w:top w:val="nil"/>
              <w:left w:val="nil"/>
              <w:bottom w:val="single" w:sz="4" w:space="0" w:color="auto"/>
              <w:right w:val="single" w:sz="4" w:space="0" w:color="auto"/>
            </w:tcBorders>
            <w:shd w:val="clear" w:color="auto" w:fill="auto"/>
            <w:vAlign w:val="center"/>
            <w:hideMark/>
          </w:tcPr>
          <w:p w14:paraId="27B8F2B7"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2,4</w:t>
            </w:r>
          </w:p>
        </w:tc>
        <w:tc>
          <w:tcPr>
            <w:tcW w:w="3149" w:type="dxa"/>
            <w:tcBorders>
              <w:top w:val="nil"/>
              <w:left w:val="nil"/>
              <w:bottom w:val="single" w:sz="4" w:space="0" w:color="auto"/>
              <w:right w:val="single" w:sz="4" w:space="0" w:color="auto"/>
            </w:tcBorders>
            <w:shd w:val="clear" w:color="auto" w:fill="auto"/>
            <w:hideMark/>
          </w:tcPr>
          <w:p w14:paraId="7D44230E" w14:textId="77777777" w:rsidR="00322AE9" w:rsidRPr="00322AE9" w:rsidRDefault="00322AE9" w:rsidP="00322AE9">
            <w:pPr>
              <w:ind w:firstLine="0"/>
              <w:jc w:val="left"/>
              <w:rPr>
                <w:rFonts w:eastAsia="Times New Roman" w:cs="Times New Roman"/>
                <w:color w:val="000000"/>
                <w:sz w:val="18"/>
                <w:szCs w:val="18"/>
                <w:lang w:eastAsia="ru-RU"/>
              </w:rPr>
            </w:pPr>
            <w:r w:rsidRPr="00322AE9">
              <w:rPr>
                <w:rFonts w:eastAsia="Times New Roman" w:cs="Times New Roman"/>
                <w:color w:val="000000"/>
                <w:sz w:val="18"/>
                <w:szCs w:val="18"/>
                <w:lang w:eastAsia="ru-RU"/>
              </w:rPr>
              <w:t>СП 118.13330.2012 "Общественные здания", п.4.5; СП 54.13330.2016 "Здания  жилые многоквартирные"</w:t>
            </w:r>
          </w:p>
        </w:tc>
      </w:tr>
      <w:tr w:rsidR="00322AE9" w:rsidRPr="00322AE9" w14:paraId="24BE6E5E" w14:textId="77777777" w:rsidTr="00322AE9">
        <w:trPr>
          <w:trHeight w:val="480"/>
          <w:jc w:val="center"/>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7089D0AE"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 </w:t>
            </w:r>
          </w:p>
        </w:tc>
        <w:tc>
          <w:tcPr>
            <w:tcW w:w="816" w:type="dxa"/>
            <w:tcBorders>
              <w:top w:val="nil"/>
              <w:left w:val="nil"/>
              <w:bottom w:val="single" w:sz="4" w:space="0" w:color="auto"/>
              <w:right w:val="single" w:sz="4" w:space="0" w:color="auto"/>
            </w:tcBorders>
            <w:shd w:val="clear" w:color="auto" w:fill="auto"/>
            <w:vAlign w:val="center"/>
            <w:hideMark/>
          </w:tcPr>
          <w:p w14:paraId="7217A92E"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0502</w:t>
            </w:r>
          </w:p>
        </w:tc>
        <w:tc>
          <w:tcPr>
            <w:tcW w:w="2893" w:type="dxa"/>
            <w:tcBorders>
              <w:top w:val="nil"/>
              <w:left w:val="nil"/>
              <w:bottom w:val="single" w:sz="4" w:space="0" w:color="auto"/>
              <w:right w:val="single" w:sz="4" w:space="0" w:color="auto"/>
            </w:tcBorders>
            <w:shd w:val="clear" w:color="auto" w:fill="auto"/>
            <w:vAlign w:val="center"/>
            <w:hideMark/>
          </w:tcPr>
          <w:p w14:paraId="10C2413A" w14:textId="77777777" w:rsidR="00322AE9" w:rsidRPr="00322AE9" w:rsidRDefault="00322AE9" w:rsidP="00322AE9">
            <w:pPr>
              <w:ind w:firstLine="0"/>
              <w:jc w:val="left"/>
              <w:rPr>
                <w:rFonts w:eastAsia="Times New Roman" w:cs="Times New Roman"/>
                <w:color w:val="000000"/>
                <w:sz w:val="20"/>
                <w:szCs w:val="20"/>
                <w:lang w:eastAsia="ru-RU"/>
              </w:rPr>
            </w:pPr>
            <w:r w:rsidRPr="00322AE9">
              <w:rPr>
                <w:rFonts w:eastAsia="Times New Roman" w:cs="Times New Roman"/>
                <w:color w:val="000000"/>
                <w:sz w:val="20"/>
                <w:szCs w:val="20"/>
                <w:lang w:eastAsia="ru-RU"/>
              </w:rPr>
              <w:t xml:space="preserve">Гостиницы: класса 3* </w:t>
            </w:r>
          </w:p>
        </w:tc>
        <w:tc>
          <w:tcPr>
            <w:tcW w:w="855" w:type="dxa"/>
            <w:tcBorders>
              <w:top w:val="nil"/>
              <w:left w:val="nil"/>
              <w:bottom w:val="single" w:sz="4" w:space="0" w:color="auto"/>
              <w:right w:val="single" w:sz="4" w:space="0" w:color="auto"/>
            </w:tcBorders>
            <w:shd w:val="clear" w:color="FFFFFF" w:fill="FFFFFF"/>
            <w:vAlign w:val="center"/>
            <w:hideMark/>
          </w:tcPr>
          <w:p w14:paraId="074CF6C3"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 </w:t>
            </w:r>
          </w:p>
        </w:tc>
        <w:tc>
          <w:tcPr>
            <w:tcW w:w="793" w:type="dxa"/>
            <w:tcBorders>
              <w:top w:val="nil"/>
              <w:left w:val="nil"/>
              <w:bottom w:val="single" w:sz="4" w:space="0" w:color="auto"/>
              <w:right w:val="single" w:sz="4" w:space="0" w:color="auto"/>
            </w:tcBorders>
            <w:shd w:val="clear" w:color="auto" w:fill="auto"/>
            <w:vAlign w:val="center"/>
            <w:hideMark/>
          </w:tcPr>
          <w:p w14:paraId="2EA33C28"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2,5</w:t>
            </w:r>
          </w:p>
        </w:tc>
        <w:tc>
          <w:tcPr>
            <w:tcW w:w="992" w:type="dxa"/>
            <w:tcBorders>
              <w:top w:val="nil"/>
              <w:left w:val="nil"/>
              <w:bottom w:val="single" w:sz="4" w:space="0" w:color="auto"/>
              <w:right w:val="single" w:sz="4" w:space="0" w:color="auto"/>
            </w:tcBorders>
            <w:shd w:val="clear" w:color="auto" w:fill="auto"/>
            <w:vAlign w:val="center"/>
            <w:hideMark/>
          </w:tcPr>
          <w:p w14:paraId="47478F8A"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0,3</w:t>
            </w:r>
          </w:p>
        </w:tc>
        <w:tc>
          <w:tcPr>
            <w:tcW w:w="1030" w:type="dxa"/>
            <w:tcBorders>
              <w:top w:val="nil"/>
              <w:left w:val="nil"/>
              <w:bottom w:val="single" w:sz="4" w:space="0" w:color="auto"/>
              <w:right w:val="single" w:sz="4" w:space="0" w:color="auto"/>
            </w:tcBorders>
            <w:shd w:val="clear" w:color="auto" w:fill="auto"/>
            <w:vAlign w:val="center"/>
            <w:hideMark/>
          </w:tcPr>
          <w:p w14:paraId="1F5A8623"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2,8</w:t>
            </w:r>
          </w:p>
        </w:tc>
        <w:tc>
          <w:tcPr>
            <w:tcW w:w="1096" w:type="dxa"/>
            <w:tcBorders>
              <w:top w:val="nil"/>
              <w:left w:val="nil"/>
              <w:bottom w:val="single" w:sz="4" w:space="0" w:color="auto"/>
              <w:right w:val="single" w:sz="4" w:space="0" w:color="auto"/>
            </w:tcBorders>
            <w:shd w:val="clear" w:color="auto" w:fill="auto"/>
            <w:vAlign w:val="center"/>
            <w:hideMark/>
          </w:tcPr>
          <w:p w14:paraId="6ED8C0DB"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1,6</w:t>
            </w:r>
          </w:p>
        </w:tc>
        <w:tc>
          <w:tcPr>
            <w:tcW w:w="1149" w:type="dxa"/>
            <w:tcBorders>
              <w:top w:val="nil"/>
              <w:left w:val="nil"/>
              <w:bottom w:val="single" w:sz="4" w:space="0" w:color="auto"/>
              <w:right w:val="single" w:sz="4" w:space="0" w:color="auto"/>
            </w:tcBorders>
            <w:shd w:val="clear" w:color="auto" w:fill="auto"/>
            <w:vAlign w:val="center"/>
            <w:hideMark/>
          </w:tcPr>
          <w:p w14:paraId="0C6B9117"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2,1</w:t>
            </w:r>
          </w:p>
        </w:tc>
        <w:tc>
          <w:tcPr>
            <w:tcW w:w="1119" w:type="dxa"/>
            <w:tcBorders>
              <w:top w:val="nil"/>
              <w:left w:val="nil"/>
              <w:bottom w:val="single" w:sz="4" w:space="0" w:color="auto"/>
              <w:right w:val="single" w:sz="4" w:space="0" w:color="auto"/>
            </w:tcBorders>
            <w:shd w:val="clear" w:color="auto" w:fill="auto"/>
            <w:vAlign w:val="center"/>
            <w:hideMark/>
          </w:tcPr>
          <w:p w14:paraId="15A9D8D4"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2,4</w:t>
            </w:r>
          </w:p>
        </w:tc>
        <w:tc>
          <w:tcPr>
            <w:tcW w:w="3149" w:type="dxa"/>
            <w:tcBorders>
              <w:top w:val="nil"/>
              <w:left w:val="nil"/>
              <w:bottom w:val="single" w:sz="4" w:space="0" w:color="auto"/>
              <w:right w:val="single" w:sz="4" w:space="0" w:color="auto"/>
            </w:tcBorders>
            <w:shd w:val="clear" w:color="auto" w:fill="auto"/>
            <w:hideMark/>
          </w:tcPr>
          <w:p w14:paraId="2FEFFCB5" w14:textId="77777777" w:rsidR="00322AE9" w:rsidRPr="00322AE9" w:rsidRDefault="00322AE9" w:rsidP="00322AE9">
            <w:pPr>
              <w:ind w:firstLine="0"/>
              <w:jc w:val="left"/>
              <w:rPr>
                <w:rFonts w:eastAsia="Times New Roman" w:cs="Times New Roman"/>
                <w:color w:val="000000"/>
                <w:sz w:val="18"/>
                <w:szCs w:val="18"/>
                <w:lang w:eastAsia="ru-RU"/>
              </w:rPr>
            </w:pPr>
            <w:r w:rsidRPr="00322AE9">
              <w:rPr>
                <w:rFonts w:eastAsia="Times New Roman" w:cs="Times New Roman"/>
                <w:color w:val="000000"/>
                <w:sz w:val="18"/>
                <w:szCs w:val="18"/>
                <w:lang w:eastAsia="ru-RU"/>
              </w:rPr>
              <w:t>СП 118.13330.2012 "Общественные здания", п.4.5; СП 54.13330.2016 "Здания  жилые многоквартирные"</w:t>
            </w:r>
          </w:p>
        </w:tc>
      </w:tr>
      <w:tr w:rsidR="00322AE9" w:rsidRPr="00322AE9" w14:paraId="0BDD1451" w14:textId="77777777" w:rsidTr="00322AE9">
        <w:trPr>
          <w:trHeight w:val="480"/>
          <w:jc w:val="center"/>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389CD1FB"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 </w:t>
            </w:r>
          </w:p>
        </w:tc>
        <w:tc>
          <w:tcPr>
            <w:tcW w:w="816" w:type="dxa"/>
            <w:tcBorders>
              <w:top w:val="nil"/>
              <w:left w:val="nil"/>
              <w:bottom w:val="single" w:sz="4" w:space="0" w:color="auto"/>
              <w:right w:val="single" w:sz="4" w:space="0" w:color="auto"/>
            </w:tcBorders>
            <w:shd w:val="clear" w:color="auto" w:fill="auto"/>
            <w:vAlign w:val="center"/>
            <w:hideMark/>
          </w:tcPr>
          <w:p w14:paraId="73306F1C"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0503</w:t>
            </w:r>
          </w:p>
        </w:tc>
        <w:tc>
          <w:tcPr>
            <w:tcW w:w="2893" w:type="dxa"/>
            <w:tcBorders>
              <w:top w:val="nil"/>
              <w:left w:val="nil"/>
              <w:bottom w:val="single" w:sz="4" w:space="0" w:color="auto"/>
              <w:right w:val="single" w:sz="4" w:space="0" w:color="auto"/>
            </w:tcBorders>
            <w:shd w:val="clear" w:color="auto" w:fill="auto"/>
            <w:vAlign w:val="center"/>
            <w:hideMark/>
          </w:tcPr>
          <w:p w14:paraId="242378B7" w14:textId="77777777" w:rsidR="00322AE9" w:rsidRPr="00322AE9" w:rsidRDefault="00322AE9" w:rsidP="00322AE9">
            <w:pPr>
              <w:ind w:firstLine="0"/>
              <w:jc w:val="left"/>
              <w:rPr>
                <w:rFonts w:eastAsia="Times New Roman" w:cs="Times New Roman"/>
                <w:color w:val="000000"/>
                <w:sz w:val="20"/>
                <w:szCs w:val="20"/>
                <w:lang w:eastAsia="ru-RU"/>
              </w:rPr>
            </w:pPr>
            <w:r w:rsidRPr="00322AE9">
              <w:rPr>
                <w:rFonts w:eastAsia="Times New Roman" w:cs="Times New Roman"/>
                <w:color w:val="000000"/>
                <w:sz w:val="20"/>
                <w:szCs w:val="20"/>
                <w:lang w:eastAsia="ru-RU"/>
              </w:rPr>
              <w:t xml:space="preserve">Гостиницы: класса 4* и выше </w:t>
            </w:r>
          </w:p>
        </w:tc>
        <w:tc>
          <w:tcPr>
            <w:tcW w:w="855" w:type="dxa"/>
            <w:tcBorders>
              <w:top w:val="nil"/>
              <w:left w:val="nil"/>
              <w:bottom w:val="single" w:sz="4" w:space="0" w:color="auto"/>
              <w:right w:val="single" w:sz="4" w:space="0" w:color="auto"/>
            </w:tcBorders>
            <w:shd w:val="clear" w:color="FFFFFF" w:fill="FFFFFF"/>
            <w:vAlign w:val="center"/>
            <w:hideMark/>
          </w:tcPr>
          <w:p w14:paraId="7FDABB8D"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 </w:t>
            </w:r>
          </w:p>
        </w:tc>
        <w:tc>
          <w:tcPr>
            <w:tcW w:w="793" w:type="dxa"/>
            <w:tcBorders>
              <w:top w:val="nil"/>
              <w:left w:val="nil"/>
              <w:bottom w:val="single" w:sz="4" w:space="0" w:color="auto"/>
              <w:right w:val="single" w:sz="4" w:space="0" w:color="auto"/>
            </w:tcBorders>
            <w:shd w:val="clear" w:color="auto" w:fill="auto"/>
            <w:vAlign w:val="center"/>
            <w:hideMark/>
          </w:tcPr>
          <w:p w14:paraId="0559FD79"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2,5</w:t>
            </w:r>
          </w:p>
        </w:tc>
        <w:tc>
          <w:tcPr>
            <w:tcW w:w="992" w:type="dxa"/>
            <w:tcBorders>
              <w:top w:val="nil"/>
              <w:left w:val="nil"/>
              <w:bottom w:val="single" w:sz="4" w:space="0" w:color="auto"/>
              <w:right w:val="single" w:sz="4" w:space="0" w:color="auto"/>
            </w:tcBorders>
            <w:shd w:val="clear" w:color="auto" w:fill="auto"/>
            <w:vAlign w:val="center"/>
            <w:hideMark/>
          </w:tcPr>
          <w:p w14:paraId="685DB823"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0,3</w:t>
            </w:r>
          </w:p>
        </w:tc>
        <w:tc>
          <w:tcPr>
            <w:tcW w:w="1030" w:type="dxa"/>
            <w:tcBorders>
              <w:top w:val="nil"/>
              <w:left w:val="nil"/>
              <w:bottom w:val="single" w:sz="4" w:space="0" w:color="auto"/>
              <w:right w:val="single" w:sz="4" w:space="0" w:color="auto"/>
            </w:tcBorders>
            <w:shd w:val="clear" w:color="auto" w:fill="auto"/>
            <w:vAlign w:val="center"/>
            <w:hideMark/>
          </w:tcPr>
          <w:p w14:paraId="6E6E04DB"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2,8</w:t>
            </w:r>
          </w:p>
        </w:tc>
        <w:tc>
          <w:tcPr>
            <w:tcW w:w="1096" w:type="dxa"/>
            <w:tcBorders>
              <w:top w:val="nil"/>
              <w:left w:val="nil"/>
              <w:bottom w:val="single" w:sz="4" w:space="0" w:color="auto"/>
              <w:right w:val="single" w:sz="4" w:space="0" w:color="auto"/>
            </w:tcBorders>
            <w:shd w:val="clear" w:color="auto" w:fill="auto"/>
            <w:vAlign w:val="center"/>
            <w:hideMark/>
          </w:tcPr>
          <w:p w14:paraId="0DBD4637"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1,6</w:t>
            </w:r>
          </w:p>
        </w:tc>
        <w:tc>
          <w:tcPr>
            <w:tcW w:w="1149" w:type="dxa"/>
            <w:tcBorders>
              <w:top w:val="nil"/>
              <w:left w:val="nil"/>
              <w:bottom w:val="single" w:sz="4" w:space="0" w:color="auto"/>
              <w:right w:val="single" w:sz="4" w:space="0" w:color="auto"/>
            </w:tcBorders>
            <w:shd w:val="clear" w:color="auto" w:fill="auto"/>
            <w:vAlign w:val="center"/>
            <w:hideMark/>
          </w:tcPr>
          <w:p w14:paraId="313B5AD0"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2,1</w:t>
            </w:r>
          </w:p>
        </w:tc>
        <w:tc>
          <w:tcPr>
            <w:tcW w:w="1119" w:type="dxa"/>
            <w:tcBorders>
              <w:top w:val="nil"/>
              <w:left w:val="nil"/>
              <w:bottom w:val="single" w:sz="4" w:space="0" w:color="auto"/>
              <w:right w:val="single" w:sz="4" w:space="0" w:color="auto"/>
            </w:tcBorders>
            <w:shd w:val="clear" w:color="auto" w:fill="auto"/>
            <w:vAlign w:val="center"/>
            <w:hideMark/>
          </w:tcPr>
          <w:p w14:paraId="4D17A532"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2,4</w:t>
            </w:r>
          </w:p>
        </w:tc>
        <w:tc>
          <w:tcPr>
            <w:tcW w:w="3149" w:type="dxa"/>
            <w:tcBorders>
              <w:top w:val="nil"/>
              <w:left w:val="nil"/>
              <w:bottom w:val="single" w:sz="4" w:space="0" w:color="auto"/>
              <w:right w:val="single" w:sz="4" w:space="0" w:color="auto"/>
            </w:tcBorders>
            <w:shd w:val="clear" w:color="auto" w:fill="auto"/>
            <w:hideMark/>
          </w:tcPr>
          <w:p w14:paraId="1F293B85" w14:textId="77777777" w:rsidR="00322AE9" w:rsidRPr="00322AE9" w:rsidRDefault="00322AE9" w:rsidP="00322AE9">
            <w:pPr>
              <w:ind w:firstLine="0"/>
              <w:jc w:val="left"/>
              <w:rPr>
                <w:rFonts w:eastAsia="Times New Roman" w:cs="Times New Roman"/>
                <w:color w:val="000000"/>
                <w:sz w:val="18"/>
                <w:szCs w:val="18"/>
                <w:lang w:eastAsia="ru-RU"/>
              </w:rPr>
            </w:pPr>
            <w:r w:rsidRPr="00322AE9">
              <w:rPr>
                <w:rFonts w:eastAsia="Times New Roman" w:cs="Times New Roman"/>
                <w:color w:val="000000"/>
                <w:sz w:val="18"/>
                <w:szCs w:val="18"/>
                <w:lang w:eastAsia="ru-RU"/>
              </w:rPr>
              <w:t>СП 118.13330.2012 "Общественные здания", п.4.5; СП 54.13330.2016  "Здания  жилые многоквартирные"</w:t>
            </w:r>
          </w:p>
        </w:tc>
      </w:tr>
      <w:tr w:rsidR="00322AE9" w:rsidRPr="00322AE9" w14:paraId="7199A976" w14:textId="77777777" w:rsidTr="00322AE9">
        <w:trPr>
          <w:trHeight w:val="480"/>
          <w:jc w:val="center"/>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3B612757"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 </w:t>
            </w:r>
          </w:p>
        </w:tc>
        <w:tc>
          <w:tcPr>
            <w:tcW w:w="816" w:type="dxa"/>
            <w:tcBorders>
              <w:top w:val="nil"/>
              <w:left w:val="nil"/>
              <w:bottom w:val="single" w:sz="4" w:space="0" w:color="auto"/>
              <w:right w:val="single" w:sz="4" w:space="0" w:color="auto"/>
            </w:tcBorders>
            <w:shd w:val="clear" w:color="auto" w:fill="auto"/>
            <w:vAlign w:val="center"/>
            <w:hideMark/>
          </w:tcPr>
          <w:p w14:paraId="192F0C20"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0504</w:t>
            </w:r>
          </w:p>
        </w:tc>
        <w:tc>
          <w:tcPr>
            <w:tcW w:w="2893" w:type="dxa"/>
            <w:tcBorders>
              <w:top w:val="nil"/>
              <w:left w:val="nil"/>
              <w:bottom w:val="single" w:sz="4" w:space="0" w:color="auto"/>
              <w:right w:val="single" w:sz="4" w:space="0" w:color="auto"/>
            </w:tcBorders>
            <w:shd w:val="clear" w:color="auto" w:fill="auto"/>
            <w:vAlign w:val="center"/>
            <w:hideMark/>
          </w:tcPr>
          <w:p w14:paraId="3CF0E118" w14:textId="77777777" w:rsidR="00322AE9" w:rsidRPr="00322AE9" w:rsidRDefault="00322AE9" w:rsidP="00322AE9">
            <w:pPr>
              <w:ind w:firstLine="0"/>
              <w:jc w:val="left"/>
              <w:rPr>
                <w:rFonts w:eastAsia="Times New Roman" w:cs="Times New Roman"/>
                <w:color w:val="000000"/>
                <w:sz w:val="20"/>
                <w:szCs w:val="20"/>
                <w:lang w:eastAsia="ru-RU"/>
              </w:rPr>
            </w:pPr>
            <w:r w:rsidRPr="00322AE9">
              <w:rPr>
                <w:rFonts w:eastAsia="Times New Roman" w:cs="Times New Roman"/>
                <w:color w:val="000000"/>
                <w:sz w:val="20"/>
                <w:szCs w:val="20"/>
                <w:lang w:eastAsia="ru-RU"/>
              </w:rPr>
              <w:t>Апарт-отели</w:t>
            </w:r>
          </w:p>
        </w:tc>
        <w:tc>
          <w:tcPr>
            <w:tcW w:w="855" w:type="dxa"/>
            <w:tcBorders>
              <w:top w:val="nil"/>
              <w:left w:val="nil"/>
              <w:bottom w:val="single" w:sz="4" w:space="0" w:color="auto"/>
              <w:right w:val="single" w:sz="4" w:space="0" w:color="auto"/>
            </w:tcBorders>
            <w:shd w:val="clear" w:color="FFFFFF" w:fill="FFFFFF"/>
            <w:vAlign w:val="center"/>
            <w:hideMark/>
          </w:tcPr>
          <w:p w14:paraId="7FF83BC4"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 </w:t>
            </w:r>
          </w:p>
        </w:tc>
        <w:tc>
          <w:tcPr>
            <w:tcW w:w="793" w:type="dxa"/>
            <w:tcBorders>
              <w:top w:val="nil"/>
              <w:left w:val="nil"/>
              <w:bottom w:val="single" w:sz="4" w:space="0" w:color="auto"/>
              <w:right w:val="single" w:sz="4" w:space="0" w:color="auto"/>
            </w:tcBorders>
            <w:shd w:val="clear" w:color="auto" w:fill="auto"/>
            <w:vAlign w:val="center"/>
            <w:hideMark/>
          </w:tcPr>
          <w:p w14:paraId="7119DD8A"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2,5</w:t>
            </w:r>
          </w:p>
        </w:tc>
        <w:tc>
          <w:tcPr>
            <w:tcW w:w="992" w:type="dxa"/>
            <w:tcBorders>
              <w:top w:val="nil"/>
              <w:left w:val="nil"/>
              <w:bottom w:val="single" w:sz="4" w:space="0" w:color="auto"/>
              <w:right w:val="single" w:sz="4" w:space="0" w:color="auto"/>
            </w:tcBorders>
            <w:shd w:val="clear" w:color="auto" w:fill="auto"/>
            <w:vAlign w:val="center"/>
            <w:hideMark/>
          </w:tcPr>
          <w:p w14:paraId="0854E368"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0,3</w:t>
            </w:r>
          </w:p>
        </w:tc>
        <w:tc>
          <w:tcPr>
            <w:tcW w:w="1030" w:type="dxa"/>
            <w:tcBorders>
              <w:top w:val="nil"/>
              <w:left w:val="nil"/>
              <w:bottom w:val="single" w:sz="4" w:space="0" w:color="auto"/>
              <w:right w:val="single" w:sz="4" w:space="0" w:color="auto"/>
            </w:tcBorders>
            <w:shd w:val="clear" w:color="auto" w:fill="auto"/>
            <w:vAlign w:val="center"/>
            <w:hideMark/>
          </w:tcPr>
          <w:p w14:paraId="3BA4D264"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2,8</w:t>
            </w:r>
          </w:p>
        </w:tc>
        <w:tc>
          <w:tcPr>
            <w:tcW w:w="1096" w:type="dxa"/>
            <w:tcBorders>
              <w:top w:val="nil"/>
              <w:left w:val="nil"/>
              <w:bottom w:val="single" w:sz="4" w:space="0" w:color="auto"/>
              <w:right w:val="single" w:sz="4" w:space="0" w:color="auto"/>
            </w:tcBorders>
            <w:shd w:val="clear" w:color="auto" w:fill="auto"/>
            <w:vAlign w:val="center"/>
            <w:hideMark/>
          </w:tcPr>
          <w:p w14:paraId="3D28165A"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1,6</w:t>
            </w:r>
          </w:p>
        </w:tc>
        <w:tc>
          <w:tcPr>
            <w:tcW w:w="1149" w:type="dxa"/>
            <w:tcBorders>
              <w:top w:val="nil"/>
              <w:left w:val="nil"/>
              <w:bottom w:val="single" w:sz="4" w:space="0" w:color="auto"/>
              <w:right w:val="single" w:sz="4" w:space="0" w:color="auto"/>
            </w:tcBorders>
            <w:shd w:val="clear" w:color="auto" w:fill="auto"/>
            <w:vAlign w:val="center"/>
            <w:hideMark/>
          </w:tcPr>
          <w:p w14:paraId="45EE543C"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2,1</w:t>
            </w:r>
          </w:p>
        </w:tc>
        <w:tc>
          <w:tcPr>
            <w:tcW w:w="1119" w:type="dxa"/>
            <w:tcBorders>
              <w:top w:val="nil"/>
              <w:left w:val="nil"/>
              <w:bottom w:val="single" w:sz="4" w:space="0" w:color="auto"/>
              <w:right w:val="single" w:sz="4" w:space="0" w:color="auto"/>
            </w:tcBorders>
            <w:shd w:val="clear" w:color="auto" w:fill="auto"/>
            <w:vAlign w:val="center"/>
            <w:hideMark/>
          </w:tcPr>
          <w:p w14:paraId="63225DF5"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2,4</w:t>
            </w:r>
          </w:p>
        </w:tc>
        <w:tc>
          <w:tcPr>
            <w:tcW w:w="3149" w:type="dxa"/>
            <w:tcBorders>
              <w:top w:val="nil"/>
              <w:left w:val="nil"/>
              <w:bottom w:val="single" w:sz="4" w:space="0" w:color="auto"/>
              <w:right w:val="single" w:sz="4" w:space="0" w:color="auto"/>
            </w:tcBorders>
            <w:shd w:val="clear" w:color="auto" w:fill="auto"/>
            <w:hideMark/>
          </w:tcPr>
          <w:p w14:paraId="387B69E1" w14:textId="77777777" w:rsidR="00322AE9" w:rsidRPr="00322AE9" w:rsidRDefault="00322AE9" w:rsidP="00322AE9">
            <w:pPr>
              <w:ind w:firstLine="0"/>
              <w:jc w:val="left"/>
              <w:rPr>
                <w:rFonts w:eastAsia="Times New Roman" w:cs="Times New Roman"/>
                <w:color w:val="000000"/>
                <w:sz w:val="18"/>
                <w:szCs w:val="18"/>
                <w:lang w:eastAsia="ru-RU"/>
              </w:rPr>
            </w:pPr>
            <w:r w:rsidRPr="00322AE9">
              <w:rPr>
                <w:rFonts w:eastAsia="Times New Roman" w:cs="Times New Roman"/>
                <w:color w:val="000000"/>
                <w:sz w:val="18"/>
                <w:szCs w:val="18"/>
                <w:lang w:eastAsia="ru-RU"/>
              </w:rPr>
              <w:t>СП 118.13330.2012 "Общественные здания", п.4.5; СП 54.13330.2016  "Здания  жилые многоквартирные"</w:t>
            </w:r>
          </w:p>
        </w:tc>
      </w:tr>
      <w:tr w:rsidR="00322AE9" w:rsidRPr="00322AE9" w14:paraId="287728D5" w14:textId="77777777" w:rsidTr="00322AE9">
        <w:trPr>
          <w:trHeight w:val="480"/>
          <w:jc w:val="center"/>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2F071412"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 </w:t>
            </w:r>
          </w:p>
        </w:tc>
        <w:tc>
          <w:tcPr>
            <w:tcW w:w="816" w:type="dxa"/>
            <w:tcBorders>
              <w:top w:val="nil"/>
              <w:left w:val="nil"/>
              <w:bottom w:val="single" w:sz="4" w:space="0" w:color="auto"/>
              <w:right w:val="single" w:sz="4" w:space="0" w:color="auto"/>
            </w:tcBorders>
            <w:shd w:val="clear" w:color="auto" w:fill="auto"/>
            <w:vAlign w:val="center"/>
            <w:hideMark/>
          </w:tcPr>
          <w:p w14:paraId="3D99C849"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0505</w:t>
            </w:r>
          </w:p>
        </w:tc>
        <w:tc>
          <w:tcPr>
            <w:tcW w:w="2893" w:type="dxa"/>
            <w:tcBorders>
              <w:top w:val="nil"/>
              <w:left w:val="nil"/>
              <w:bottom w:val="single" w:sz="4" w:space="0" w:color="auto"/>
              <w:right w:val="single" w:sz="4" w:space="0" w:color="auto"/>
            </w:tcBorders>
            <w:shd w:val="clear" w:color="auto" w:fill="auto"/>
            <w:vAlign w:val="center"/>
            <w:hideMark/>
          </w:tcPr>
          <w:p w14:paraId="4FA578E0" w14:textId="77777777" w:rsidR="00322AE9" w:rsidRPr="00322AE9" w:rsidRDefault="00322AE9" w:rsidP="00322AE9">
            <w:pPr>
              <w:ind w:firstLine="0"/>
              <w:jc w:val="left"/>
              <w:rPr>
                <w:rFonts w:eastAsia="Times New Roman" w:cs="Times New Roman"/>
                <w:color w:val="000000"/>
                <w:sz w:val="20"/>
                <w:szCs w:val="20"/>
                <w:lang w:eastAsia="ru-RU"/>
              </w:rPr>
            </w:pPr>
            <w:r w:rsidRPr="00322AE9">
              <w:rPr>
                <w:rFonts w:eastAsia="Times New Roman" w:cs="Times New Roman"/>
                <w:color w:val="000000"/>
                <w:sz w:val="20"/>
                <w:szCs w:val="20"/>
                <w:lang w:eastAsia="ru-RU"/>
              </w:rPr>
              <w:t>Гостиницы: объекты коттеджного типа</w:t>
            </w:r>
          </w:p>
        </w:tc>
        <w:tc>
          <w:tcPr>
            <w:tcW w:w="855" w:type="dxa"/>
            <w:tcBorders>
              <w:top w:val="nil"/>
              <w:left w:val="nil"/>
              <w:bottom w:val="single" w:sz="4" w:space="0" w:color="auto"/>
              <w:right w:val="single" w:sz="4" w:space="0" w:color="auto"/>
            </w:tcBorders>
            <w:shd w:val="clear" w:color="FFFFFF" w:fill="FFFFFF"/>
            <w:vAlign w:val="center"/>
            <w:hideMark/>
          </w:tcPr>
          <w:p w14:paraId="1A1B19D8"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 </w:t>
            </w:r>
          </w:p>
        </w:tc>
        <w:tc>
          <w:tcPr>
            <w:tcW w:w="793" w:type="dxa"/>
            <w:tcBorders>
              <w:top w:val="nil"/>
              <w:left w:val="nil"/>
              <w:bottom w:val="single" w:sz="4" w:space="0" w:color="auto"/>
              <w:right w:val="single" w:sz="4" w:space="0" w:color="auto"/>
            </w:tcBorders>
            <w:shd w:val="clear" w:color="auto" w:fill="auto"/>
            <w:vAlign w:val="center"/>
            <w:hideMark/>
          </w:tcPr>
          <w:p w14:paraId="1CBB3F99"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2,5</w:t>
            </w:r>
          </w:p>
        </w:tc>
        <w:tc>
          <w:tcPr>
            <w:tcW w:w="992" w:type="dxa"/>
            <w:tcBorders>
              <w:top w:val="nil"/>
              <w:left w:val="nil"/>
              <w:bottom w:val="single" w:sz="4" w:space="0" w:color="auto"/>
              <w:right w:val="single" w:sz="4" w:space="0" w:color="auto"/>
            </w:tcBorders>
            <w:shd w:val="clear" w:color="auto" w:fill="auto"/>
            <w:vAlign w:val="center"/>
            <w:hideMark/>
          </w:tcPr>
          <w:p w14:paraId="56839909"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0,3</w:t>
            </w:r>
          </w:p>
        </w:tc>
        <w:tc>
          <w:tcPr>
            <w:tcW w:w="1030" w:type="dxa"/>
            <w:tcBorders>
              <w:top w:val="nil"/>
              <w:left w:val="nil"/>
              <w:bottom w:val="single" w:sz="4" w:space="0" w:color="auto"/>
              <w:right w:val="single" w:sz="4" w:space="0" w:color="auto"/>
            </w:tcBorders>
            <w:shd w:val="clear" w:color="auto" w:fill="auto"/>
            <w:vAlign w:val="center"/>
            <w:hideMark/>
          </w:tcPr>
          <w:p w14:paraId="1192E0EA"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2,8</w:t>
            </w:r>
          </w:p>
        </w:tc>
        <w:tc>
          <w:tcPr>
            <w:tcW w:w="1096" w:type="dxa"/>
            <w:tcBorders>
              <w:top w:val="nil"/>
              <w:left w:val="nil"/>
              <w:bottom w:val="single" w:sz="4" w:space="0" w:color="auto"/>
              <w:right w:val="single" w:sz="4" w:space="0" w:color="auto"/>
            </w:tcBorders>
            <w:shd w:val="clear" w:color="auto" w:fill="auto"/>
            <w:vAlign w:val="center"/>
            <w:hideMark/>
          </w:tcPr>
          <w:p w14:paraId="4ACB2109"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1,6</w:t>
            </w:r>
          </w:p>
        </w:tc>
        <w:tc>
          <w:tcPr>
            <w:tcW w:w="1149" w:type="dxa"/>
            <w:tcBorders>
              <w:top w:val="nil"/>
              <w:left w:val="nil"/>
              <w:bottom w:val="single" w:sz="4" w:space="0" w:color="auto"/>
              <w:right w:val="single" w:sz="4" w:space="0" w:color="auto"/>
            </w:tcBorders>
            <w:shd w:val="clear" w:color="auto" w:fill="auto"/>
            <w:vAlign w:val="center"/>
            <w:hideMark/>
          </w:tcPr>
          <w:p w14:paraId="6DBF40AA"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2,1</w:t>
            </w:r>
          </w:p>
        </w:tc>
        <w:tc>
          <w:tcPr>
            <w:tcW w:w="1119" w:type="dxa"/>
            <w:tcBorders>
              <w:top w:val="nil"/>
              <w:left w:val="nil"/>
              <w:bottom w:val="single" w:sz="4" w:space="0" w:color="auto"/>
              <w:right w:val="single" w:sz="4" w:space="0" w:color="auto"/>
            </w:tcBorders>
            <w:shd w:val="clear" w:color="auto" w:fill="auto"/>
            <w:vAlign w:val="center"/>
            <w:hideMark/>
          </w:tcPr>
          <w:p w14:paraId="5D20B743"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2,4</w:t>
            </w:r>
          </w:p>
        </w:tc>
        <w:tc>
          <w:tcPr>
            <w:tcW w:w="3149" w:type="dxa"/>
            <w:tcBorders>
              <w:top w:val="nil"/>
              <w:left w:val="nil"/>
              <w:bottom w:val="single" w:sz="4" w:space="0" w:color="auto"/>
              <w:right w:val="single" w:sz="4" w:space="0" w:color="auto"/>
            </w:tcBorders>
            <w:shd w:val="clear" w:color="auto" w:fill="auto"/>
            <w:hideMark/>
          </w:tcPr>
          <w:p w14:paraId="4B2368C5" w14:textId="77777777" w:rsidR="00322AE9" w:rsidRPr="00322AE9" w:rsidRDefault="00322AE9" w:rsidP="00322AE9">
            <w:pPr>
              <w:ind w:firstLine="0"/>
              <w:jc w:val="left"/>
              <w:rPr>
                <w:rFonts w:eastAsia="Times New Roman" w:cs="Times New Roman"/>
                <w:color w:val="000000"/>
                <w:sz w:val="18"/>
                <w:szCs w:val="18"/>
                <w:lang w:eastAsia="ru-RU"/>
              </w:rPr>
            </w:pPr>
            <w:r w:rsidRPr="00322AE9">
              <w:rPr>
                <w:rFonts w:eastAsia="Times New Roman" w:cs="Times New Roman"/>
                <w:color w:val="000000"/>
                <w:sz w:val="18"/>
                <w:szCs w:val="18"/>
                <w:lang w:eastAsia="ru-RU"/>
              </w:rPr>
              <w:t>СП 118.13330.2012 "Общественные здания", п.4.5; СП 54.13330.2016  "Здания  жилые многоквартирные"</w:t>
            </w:r>
          </w:p>
        </w:tc>
      </w:tr>
      <w:tr w:rsidR="00322AE9" w:rsidRPr="00322AE9" w14:paraId="5631D6A5" w14:textId="77777777" w:rsidTr="00322AE9">
        <w:trPr>
          <w:trHeight w:val="480"/>
          <w:jc w:val="center"/>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7E662FFE"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 </w:t>
            </w:r>
          </w:p>
        </w:tc>
        <w:tc>
          <w:tcPr>
            <w:tcW w:w="816" w:type="dxa"/>
            <w:tcBorders>
              <w:top w:val="nil"/>
              <w:left w:val="nil"/>
              <w:bottom w:val="single" w:sz="4" w:space="0" w:color="auto"/>
              <w:right w:val="single" w:sz="4" w:space="0" w:color="auto"/>
            </w:tcBorders>
            <w:shd w:val="clear" w:color="auto" w:fill="auto"/>
            <w:vAlign w:val="center"/>
            <w:hideMark/>
          </w:tcPr>
          <w:p w14:paraId="314C2174"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0506</w:t>
            </w:r>
          </w:p>
        </w:tc>
        <w:tc>
          <w:tcPr>
            <w:tcW w:w="2893" w:type="dxa"/>
            <w:tcBorders>
              <w:top w:val="nil"/>
              <w:left w:val="nil"/>
              <w:bottom w:val="single" w:sz="4" w:space="0" w:color="auto"/>
              <w:right w:val="single" w:sz="4" w:space="0" w:color="auto"/>
            </w:tcBorders>
            <w:shd w:val="clear" w:color="auto" w:fill="auto"/>
            <w:vAlign w:val="center"/>
            <w:hideMark/>
          </w:tcPr>
          <w:p w14:paraId="50AC347C" w14:textId="77777777" w:rsidR="00322AE9" w:rsidRPr="00322AE9" w:rsidRDefault="00322AE9" w:rsidP="00322AE9">
            <w:pPr>
              <w:ind w:firstLine="0"/>
              <w:jc w:val="left"/>
              <w:rPr>
                <w:rFonts w:eastAsia="Times New Roman" w:cs="Times New Roman"/>
                <w:color w:val="000000"/>
                <w:sz w:val="20"/>
                <w:szCs w:val="20"/>
                <w:lang w:eastAsia="ru-RU"/>
              </w:rPr>
            </w:pPr>
            <w:r w:rsidRPr="00322AE9">
              <w:rPr>
                <w:rFonts w:eastAsia="Times New Roman" w:cs="Times New Roman"/>
                <w:color w:val="000000"/>
                <w:sz w:val="20"/>
                <w:szCs w:val="20"/>
                <w:lang w:eastAsia="ru-RU"/>
              </w:rPr>
              <w:t>Мотели</w:t>
            </w:r>
          </w:p>
        </w:tc>
        <w:tc>
          <w:tcPr>
            <w:tcW w:w="855" w:type="dxa"/>
            <w:tcBorders>
              <w:top w:val="nil"/>
              <w:left w:val="nil"/>
              <w:bottom w:val="single" w:sz="4" w:space="0" w:color="auto"/>
              <w:right w:val="single" w:sz="4" w:space="0" w:color="auto"/>
            </w:tcBorders>
            <w:shd w:val="clear" w:color="FFFFFF" w:fill="FFFFFF"/>
            <w:vAlign w:val="center"/>
            <w:hideMark/>
          </w:tcPr>
          <w:p w14:paraId="79664E9D"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 </w:t>
            </w:r>
          </w:p>
        </w:tc>
        <w:tc>
          <w:tcPr>
            <w:tcW w:w="793" w:type="dxa"/>
            <w:tcBorders>
              <w:top w:val="nil"/>
              <w:left w:val="nil"/>
              <w:bottom w:val="single" w:sz="4" w:space="0" w:color="auto"/>
              <w:right w:val="single" w:sz="4" w:space="0" w:color="auto"/>
            </w:tcBorders>
            <w:shd w:val="clear" w:color="auto" w:fill="auto"/>
            <w:vAlign w:val="center"/>
            <w:hideMark/>
          </w:tcPr>
          <w:p w14:paraId="64E2C782"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2,5</w:t>
            </w:r>
          </w:p>
        </w:tc>
        <w:tc>
          <w:tcPr>
            <w:tcW w:w="992" w:type="dxa"/>
            <w:tcBorders>
              <w:top w:val="nil"/>
              <w:left w:val="nil"/>
              <w:bottom w:val="single" w:sz="4" w:space="0" w:color="auto"/>
              <w:right w:val="single" w:sz="4" w:space="0" w:color="auto"/>
            </w:tcBorders>
            <w:shd w:val="clear" w:color="auto" w:fill="auto"/>
            <w:vAlign w:val="center"/>
            <w:hideMark/>
          </w:tcPr>
          <w:p w14:paraId="6B0CA469"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0,3</w:t>
            </w:r>
          </w:p>
        </w:tc>
        <w:tc>
          <w:tcPr>
            <w:tcW w:w="1030" w:type="dxa"/>
            <w:tcBorders>
              <w:top w:val="nil"/>
              <w:left w:val="nil"/>
              <w:bottom w:val="single" w:sz="4" w:space="0" w:color="auto"/>
              <w:right w:val="single" w:sz="4" w:space="0" w:color="auto"/>
            </w:tcBorders>
            <w:shd w:val="clear" w:color="auto" w:fill="auto"/>
            <w:vAlign w:val="center"/>
            <w:hideMark/>
          </w:tcPr>
          <w:p w14:paraId="5F0C3658"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2,8</w:t>
            </w:r>
          </w:p>
        </w:tc>
        <w:tc>
          <w:tcPr>
            <w:tcW w:w="1096" w:type="dxa"/>
            <w:tcBorders>
              <w:top w:val="nil"/>
              <w:left w:val="nil"/>
              <w:bottom w:val="single" w:sz="4" w:space="0" w:color="auto"/>
              <w:right w:val="single" w:sz="4" w:space="0" w:color="auto"/>
            </w:tcBorders>
            <w:shd w:val="clear" w:color="auto" w:fill="auto"/>
            <w:vAlign w:val="center"/>
            <w:hideMark/>
          </w:tcPr>
          <w:p w14:paraId="728DC4E1"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1,6</w:t>
            </w:r>
          </w:p>
        </w:tc>
        <w:tc>
          <w:tcPr>
            <w:tcW w:w="1149" w:type="dxa"/>
            <w:tcBorders>
              <w:top w:val="nil"/>
              <w:left w:val="nil"/>
              <w:bottom w:val="single" w:sz="4" w:space="0" w:color="auto"/>
              <w:right w:val="single" w:sz="4" w:space="0" w:color="auto"/>
            </w:tcBorders>
            <w:shd w:val="clear" w:color="auto" w:fill="auto"/>
            <w:vAlign w:val="center"/>
            <w:hideMark/>
          </w:tcPr>
          <w:p w14:paraId="43C6CFB1"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2,1</w:t>
            </w:r>
          </w:p>
        </w:tc>
        <w:tc>
          <w:tcPr>
            <w:tcW w:w="1119" w:type="dxa"/>
            <w:tcBorders>
              <w:top w:val="nil"/>
              <w:left w:val="nil"/>
              <w:bottom w:val="single" w:sz="4" w:space="0" w:color="auto"/>
              <w:right w:val="single" w:sz="4" w:space="0" w:color="auto"/>
            </w:tcBorders>
            <w:shd w:val="clear" w:color="auto" w:fill="auto"/>
            <w:vAlign w:val="center"/>
            <w:hideMark/>
          </w:tcPr>
          <w:p w14:paraId="3D1A9F21"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2,4</w:t>
            </w:r>
          </w:p>
        </w:tc>
        <w:tc>
          <w:tcPr>
            <w:tcW w:w="3149" w:type="dxa"/>
            <w:tcBorders>
              <w:top w:val="nil"/>
              <w:left w:val="nil"/>
              <w:bottom w:val="single" w:sz="4" w:space="0" w:color="auto"/>
              <w:right w:val="single" w:sz="4" w:space="0" w:color="auto"/>
            </w:tcBorders>
            <w:shd w:val="clear" w:color="auto" w:fill="auto"/>
            <w:hideMark/>
          </w:tcPr>
          <w:p w14:paraId="4157890F" w14:textId="77777777" w:rsidR="00322AE9" w:rsidRPr="00322AE9" w:rsidRDefault="00322AE9" w:rsidP="00322AE9">
            <w:pPr>
              <w:ind w:firstLine="0"/>
              <w:jc w:val="left"/>
              <w:rPr>
                <w:rFonts w:eastAsia="Times New Roman" w:cs="Times New Roman"/>
                <w:color w:val="000000"/>
                <w:sz w:val="18"/>
                <w:szCs w:val="18"/>
                <w:lang w:eastAsia="ru-RU"/>
              </w:rPr>
            </w:pPr>
            <w:r w:rsidRPr="00322AE9">
              <w:rPr>
                <w:rFonts w:eastAsia="Times New Roman" w:cs="Times New Roman"/>
                <w:color w:val="000000"/>
                <w:sz w:val="18"/>
                <w:szCs w:val="18"/>
                <w:lang w:eastAsia="ru-RU"/>
              </w:rPr>
              <w:t>СП 118.13330.2012 "Общественные здания", п.4.5; СП 54.13330.2016  "Здания  жилые многоквартирные"</w:t>
            </w:r>
          </w:p>
        </w:tc>
      </w:tr>
      <w:tr w:rsidR="00322AE9" w:rsidRPr="00322AE9" w14:paraId="0E3C7C75" w14:textId="77777777" w:rsidTr="00322AE9">
        <w:trPr>
          <w:trHeight w:val="300"/>
          <w:jc w:val="center"/>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51045BBF"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 </w:t>
            </w:r>
          </w:p>
        </w:tc>
        <w:tc>
          <w:tcPr>
            <w:tcW w:w="816" w:type="dxa"/>
            <w:tcBorders>
              <w:top w:val="nil"/>
              <w:left w:val="nil"/>
              <w:bottom w:val="single" w:sz="4" w:space="0" w:color="auto"/>
              <w:right w:val="single" w:sz="4" w:space="0" w:color="auto"/>
            </w:tcBorders>
            <w:shd w:val="clear" w:color="auto" w:fill="auto"/>
            <w:vAlign w:val="center"/>
            <w:hideMark/>
          </w:tcPr>
          <w:p w14:paraId="2F408621"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0507</w:t>
            </w:r>
          </w:p>
        </w:tc>
        <w:tc>
          <w:tcPr>
            <w:tcW w:w="2893" w:type="dxa"/>
            <w:tcBorders>
              <w:top w:val="nil"/>
              <w:left w:val="nil"/>
              <w:bottom w:val="single" w:sz="4" w:space="0" w:color="auto"/>
              <w:right w:val="single" w:sz="4" w:space="0" w:color="auto"/>
            </w:tcBorders>
            <w:shd w:val="clear" w:color="auto" w:fill="auto"/>
            <w:vAlign w:val="center"/>
            <w:hideMark/>
          </w:tcPr>
          <w:p w14:paraId="59666E5D" w14:textId="77777777" w:rsidR="00322AE9" w:rsidRPr="00322AE9" w:rsidRDefault="00322AE9" w:rsidP="00322AE9">
            <w:pPr>
              <w:ind w:firstLine="0"/>
              <w:jc w:val="left"/>
              <w:rPr>
                <w:rFonts w:eastAsia="Times New Roman" w:cs="Times New Roman"/>
                <w:color w:val="000000"/>
                <w:sz w:val="20"/>
                <w:szCs w:val="20"/>
                <w:lang w:eastAsia="ru-RU"/>
              </w:rPr>
            </w:pPr>
            <w:r w:rsidRPr="00322AE9">
              <w:rPr>
                <w:rFonts w:eastAsia="Times New Roman" w:cs="Times New Roman"/>
                <w:color w:val="000000"/>
                <w:sz w:val="20"/>
                <w:szCs w:val="20"/>
                <w:lang w:eastAsia="ru-RU"/>
              </w:rPr>
              <w:t>Общежития</w:t>
            </w:r>
          </w:p>
        </w:tc>
        <w:tc>
          <w:tcPr>
            <w:tcW w:w="855" w:type="dxa"/>
            <w:tcBorders>
              <w:top w:val="nil"/>
              <w:left w:val="nil"/>
              <w:bottom w:val="single" w:sz="4" w:space="0" w:color="auto"/>
              <w:right w:val="single" w:sz="4" w:space="0" w:color="auto"/>
            </w:tcBorders>
            <w:shd w:val="clear" w:color="FFFFFF" w:fill="FFFFFF"/>
            <w:vAlign w:val="center"/>
            <w:hideMark/>
          </w:tcPr>
          <w:p w14:paraId="49A4BF79"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 </w:t>
            </w:r>
          </w:p>
        </w:tc>
        <w:tc>
          <w:tcPr>
            <w:tcW w:w="793" w:type="dxa"/>
            <w:tcBorders>
              <w:top w:val="nil"/>
              <w:left w:val="nil"/>
              <w:bottom w:val="single" w:sz="4" w:space="0" w:color="auto"/>
              <w:right w:val="single" w:sz="4" w:space="0" w:color="auto"/>
            </w:tcBorders>
            <w:shd w:val="clear" w:color="auto" w:fill="auto"/>
            <w:vAlign w:val="center"/>
            <w:hideMark/>
          </w:tcPr>
          <w:p w14:paraId="50526F0E"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2,7</w:t>
            </w:r>
          </w:p>
        </w:tc>
        <w:tc>
          <w:tcPr>
            <w:tcW w:w="992" w:type="dxa"/>
            <w:tcBorders>
              <w:top w:val="nil"/>
              <w:left w:val="nil"/>
              <w:bottom w:val="single" w:sz="4" w:space="0" w:color="auto"/>
              <w:right w:val="single" w:sz="4" w:space="0" w:color="auto"/>
            </w:tcBorders>
            <w:shd w:val="clear" w:color="auto" w:fill="auto"/>
            <w:vAlign w:val="center"/>
            <w:hideMark/>
          </w:tcPr>
          <w:p w14:paraId="057B4DB9"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0,3</w:t>
            </w:r>
          </w:p>
        </w:tc>
        <w:tc>
          <w:tcPr>
            <w:tcW w:w="1030" w:type="dxa"/>
            <w:tcBorders>
              <w:top w:val="nil"/>
              <w:left w:val="nil"/>
              <w:bottom w:val="single" w:sz="4" w:space="0" w:color="auto"/>
              <w:right w:val="single" w:sz="4" w:space="0" w:color="auto"/>
            </w:tcBorders>
            <w:shd w:val="clear" w:color="auto" w:fill="auto"/>
            <w:vAlign w:val="center"/>
            <w:hideMark/>
          </w:tcPr>
          <w:p w14:paraId="66615951"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3</w:t>
            </w:r>
          </w:p>
        </w:tc>
        <w:tc>
          <w:tcPr>
            <w:tcW w:w="1096" w:type="dxa"/>
            <w:tcBorders>
              <w:top w:val="nil"/>
              <w:left w:val="nil"/>
              <w:bottom w:val="single" w:sz="4" w:space="0" w:color="auto"/>
              <w:right w:val="single" w:sz="4" w:space="0" w:color="auto"/>
            </w:tcBorders>
            <w:shd w:val="clear" w:color="auto" w:fill="auto"/>
            <w:vAlign w:val="center"/>
            <w:hideMark/>
          </w:tcPr>
          <w:p w14:paraId="3FAC7196"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1,6</w:t>
            </w:r>
          </w:p>
        </w:tc>
        <w:tc>
          <w:tcPr>
            <w:tcW w:w="1149" w:type="dxa"/>
            <w:tcBorders>
              <w:top w:val="nil"/>
              <w:left w:val="nil"/>
              <w:bottom w:val="single" w:sz="4" w:space="0" w:color="auto"/>
              <w:right w:val="single" w:sz="4" w:space="0" w:color="auto"/>
            </w:tcBorders>
            <w:shd w:val="clear" w:color="auto" w:fill="auto"/>
            <w:vAlign w:val="center"/>
            <w:hideMark/>
          </w:tcPr>
          <w:p w14:paraId="558E5651"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2,1</w:t>
            </w:r>
          </w:p>
        </w:tc>
        <w:tc>
          <w:tcPr>
            <w:tcW w:w="1119" w:type="dxa"/>
            <w:tcBorders>
              <w:top w:val="nil"/>
              <w:left w:val="nil"/>
              <w:bottom w:val="single" w:sz="4" w:space="0" w:color="auto"/>
              <w:right w:val="single" w:sz="4" w:space="0" w:color="auto"/>
            </w:tcBorders>
            <w:shd w:val="clear" w:color="auto" w:fill="auto"/>
            <w:vAlign w:val="center"/>
            <w:hideMark/>
          </w:tcPr>
          <w:p w14:paraId="50923E90"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2,4</w:t>
            </w:r>
          </w:p>
        </w:tc>
        <w:tc>
          <w:tcPr>
            <w:tcW w:w="3149" w:type="dxa"/>
            <w:tcBorders>
              <w:top w:val="nil"/>
              <w:left w:val="nil"/>
              <w:bottom w:val="single" w:sz="4" w:space="0" w:color="auto"/>
              <w:right w:val="single" w:sz="4" w:space="0" w:color="auto"/>
            </w:tcBorders>
            <w:shd w:val="clear" w:color="auto" w:fill="auto"/>
            <w:hideMark/>
          </w:tcPr>
          <w:p w14:paraId="1576EBB0" w14:textId="77777777" w:rsidR="00322AE9" w:rsidRPr="00322AE9" w:rsidRDefault="00322AE9" w:rsidP="00322AE9">
            <w:pPr>
              <w:ind w:firstLine="0"/>
              <w:jc w:val="left"/>
              <w:rPr>
                <w:rFonts w:eastAsia="Times New Roman" w:cs="Times New Roman"/>
                <w:color w:val="000000"/>
                <w:sz w:val="18"/>
                <w:szCs w:val="18"/>
                <w:lang w:eastAsia="ru-RU"/>
              </w:rPr>
            </w:pPr>
            <w:r w:rsidRPr="00322AE9">
              <w:rPr>
                <w:rFonts w:eastAsia="Times New Roman" w:cs="Times New Roman"/>
                <w:color w:val="000000"/>
                <w:sz w:val="18"/>
                <w:szCs w:val="18"/>
                <w:lang w:eastAsia="ru-RU"/>
              </w:rPr>
              <w:t xml:space="preserve">СП 118.13330.2012 "Общественные здания", п.4.5; </w:t>
            </w:r>
          </w:p>
        </w:tc>
      </w:tr>
      <w:tr w:rsidR="00322AE9" w:rsidRPr="00322AE9" w14:paraId="2159FB09" w14:textId="77777777" w:rsidTr="00322AE9">
        <w:trPr>
          <w:trHeight w:val="510"/>
          <w:jc w:val="center"/>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417F4CDA"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 </w:t>
            </w:r>
          </w:p>
        </w:tc>
        <w:tc>
          <w:tcPr>
            <w:tcW w:w="816" w:type="dxa"/>
            <w:tcBorders>
              <w:top w:val="nil"/>
              <w:left w:val="nil"/>
              <w:bottom w:val="single" w:sz="4" w:space="0" w:color="auto"/>
              <w:right w:val="single" w:sz="4" w:space="0" w:color="auto"/>
            </w:tcBorders>
            <w:shd w:val="clear" w:color="auto" w:fill="auto"/>
            <w:vAlign w:val="center"/>
            <w:hideMark/>
          </w:tcPr>
          <w:p w14:paraId="4BB41173"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0508</w:t>
            </w:r>
          </w:p>
        </w:tc>
        <w:tc>
          <w:tcPr>
            <w:tcW w:w="2893" w:type="dxa"/>
            <w:tcBorders>
              <w:top w:val="nil"/>
              <w:left w:val="nil"/>
              <w:bottom w:val="single" w:sz="4" w:space="0" w:color="auto"/>
              <w:right w:val="single" w:sz="4" w:space="0" w:color="auto"/>
            </w:tcBorders>
            <w:shd w:val="clear" w:color="auto" w:fill="auto"/>
            <w:vAlign w:val="center"/>
            <w:hideMark/>
          </w:tcPr>
          <w:p w14:paraId="560E42D7" w14:textId="77777777" w:rsidR="00322AE9" w:rsidRPr="00322AE9" w:rsidRDefault="00322AE9" w:rsidP="00322AE9">
            <w:pPr>
              <w:ind w:firstLine="0"/>
              <w:jc w:val="left"/>
              <w:rPr>
                <w:rFonts w:eastAsia="Times New Roman" w:cs="Times New Roman"/>
                <w:color w:val="000000"/>
                <w:sz w:val="20"/>
                <w:szCs w:val="20"/>
                <w:lang w:eastAsia="ru-RU"/>
              </w:rPr>
            </w:pPr>
            <w:r w:rsidRPr="00322AE9">
              <w:rPr>
                <w:rFonts w:eastAsia="Times New Roman" w:cs="Times New Roman"/>
                <w:color w:val="000000"/>
                <w:sz w:val="20"/>
                <w:szCs w:val="20"/>
                <w:lang w:eastAsia="ru-RU"/>
              </w:rPr>
              <w:t>Пансионаты, дома отдыха (главные и спальные корпуса)</w:t>
            </w:r>
          </w:p>
        </w:tc>
        <w:tc>
          <w:tcPr>
            <w:tcW w:w="855" w:type="dxa"/>
            <w:tcBorders>
              <w:top w:val="nil"/>
              <w:left w:val="nil"/>
              <w:bottom w:val="single" w:sz="4" w:space="0" w:color="auto"/>
              <w:right w:val="single" w:sz="4" w:space="0" w:color="auto"/>
            </w:tcBorders>
            <w:shd w:val="clear" w:color="FFFFFF" w:fill="FFFFFF"/>
            <w:vAlign w:val="center"/>
            <w:hideMark/>
          </w:tcPr>
          <w:p w14:paraId="7C2718AE"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 </w:t>
            </w:r>
          </w:p>
        </w:tc>
        <w:tc>
          <w:tcPr>
            <w:tcW w:w="793" w:type="dxa"/>
            <w:tcBorders>
              <w:top w:val="nil"/>
              <w:left w:val="nil"/>
              <w:bottom w:val="single" w:sz="4" w:space="0" w:color="auto"/>
              <w:right w:val="single" w:sz="4" w:space="0" w:color="auto"/>
            </w:tcBorders>
            <w:shd w:val="clear" w:color="auto" w:fill="auto"/>
            <w:vAlign w:val="center"/>
            <w:hideMark/>
          </w:tcPr>
          <w:p w14:paraId="02EABE9B"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2,5</w:t>
            </w:r>
          </w:p>
        </w:tc>
        <w:tc>
          <w:tcPr>
            <w:tcW w:w="992" w:type="dxa"/>
            <w:tcBorders>
              <w:top w:val="nil"/>
              <w:left w:val="nil"/>
              <w:bottom w:val="single" w:sz="4" w:space="0" w:color="auto"/>
              <w:right w:val="single" w:sz="4" w:space="0" w:color="auto"/>
            </w:tcBorders>
            <w:shd w:val="clear" w:color="auto" w:fill="auto"/>
            <w:vAlign w:val="center"/>
            <w:hideMark/>
          </w:tcPr>
          <w:p w14:paraId="029EE94C"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0,3</w:t>
            </w:r>
          </w:p>
        </w:tc>
        <w:tc>
          <w:tcPr>
            <w:tcW w:w="1030" w:type="dxa"/>
            <w:tcBorders>
              <w:top w:val="nil"/>
              <w:left w:val="nil"/>
              <w:bottom w:val="single" w:sz="4" w:space="0" w:color="auto"/>
              <w:right w:val="single" w:sz="4" w:space="0" w:color="auto"/>
            </w:tcBorders>
            <w:shd w:val="clear" w:color="auto" w:fill="auto"/>
            <w:vAlign w:val="center"/>
            <w:hideMark/>
          </w:tcPr>
          <w:p w14:paraId="2568C9CD"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2,8</w:t>
            </w:r>
          </w:p>
        </w:tc>
        <w:tc>
          <w:tcPr>
            <w:tcW w:w="1096" w:type="dxa"/>
            <w:tcBorders>
              <w:top w:val="nil"/>
              <w:left w:val="nil"/>
              <w:bottom w:val="single" w:sz="4" w:space="0" w:color="auto"/>
              <w:right w:val="single" w:sz="4" w:space="0" w:color="auto"/>
            </w:tcBorders>
            <w:shd w:val="clear" w:color="auto" w:fill="auto"/>
            <w:vAlign w:val="center"/>
            <w:hideMark/>
          </w:tcPr>
          <w:p w14:paraId="401288FF"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1,6</w:t>
            </w:r>
          </w:p>
        </w:tc>
        <w:tc>
          <w:tcPr>
            <w:tcW w:w="1149" w:type="dxa"/>
            <w:tcBorders>
              <w:top w:val="nil"/>
              <w:left w:val="nil"/>
              <w:bottom w:val="single" w:sz="4" w:space="0" w:color="auto"/>
              <w:right w:val="single" w:sz="4" w:space="0" w:color="auto"/>
            </w:tcBorders>
            <w:shd w:val="clear" w:color="auto" w:fill="auto"/>
            <w:vAlign w:val="center"/>
            <w:hideMark/>
          </w:tcPr>
          <w:p w14:paraId="221E746F"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2,1</w:t>
            </w:r>
          </w:p>
        </w:tc>
        <w:tc>
          <w:tcPr>
            <w:tcW w:w="1119" w:type="dxa"/>
            <w:tcBorders>
              <w:top w:val="nil"/>
              <w:left w:val="nil"/>
              <w:bottom w:val="single" w:sz="4" w:space="0" w:color="auto"/>
              <w:right w:val="single" w:sz="4" w:space="0" w:color="auto"/>
            </w:tcBorders>
            <w:shd w:val="clear" w:color="auto" w:fill="auto"/>
            <w:vAlign w:val="center"/>
            <w:hideMark/>
          </w:tcPr>
          <w:p w14:paraId="056578FB"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2,4</w:t>
            </w:r>
          </w:p>
        </w:tc>
        <w:tc>
          <w:tcPr>
            <w:tcW w:w="3149" w:type="dxa"/>
            <w:tcBorders>
              <w:top w:val="nil"/>
              <w:left w:val="nil"/>
              <w:bottom w:val="single" w:sz="4" w:space="0" w:color="auto"/>
              <w:right w:val="single" w:sz="4" w:space="0" w:color="auto"/>
            </w:tcBorders>
            <w:shd w:val="clear" w:color="auto" w:fill="auto"/>
            <w:hideMark/>
          </w:tcPr>
          <w:p w14:paraId="20DEE092" w14:textId="77777777" w:rsidR="00322AE9" w:rsidRPr="00322AE9" w:rsidRDefault="00322AE9" w:rsidP="00322AE9">
            <w:pPr>
              <w:ind w:firstLine="0"/>
              <w:jc w:val="left"/>
              <w:rPr>
                <w:rFonts w:eastAsia="Times New Roman" w:cs="Times New Roman"/>
                <w:color w:val="000000"/>
                <w:sz w:val="18"/>
                <w:szCs w:val="18"/>
                <w:lang w:eastAsia="ru-RU"/>
              </w:rPr>
            </w:pPr>
            <w:r w:rsidRPr="00322AE9">
              <w:rPr>
                <w:rFonts w:eastAsia="Times New Roman" w:cs="Times New Roman"/>
                <w:color w:val="000000"/>
                <w:sz w:val="18"/>
                <w:szCs w:val="18"/>
                <w:lang w:eastAsia="ru-RU"/>
              </w:rPr>
              <w:t>СП 118.13330.2012 "Общественные здания", п.4.5; СП 54.13330.2016  "Здания  жилые многоквартирные"</w:t>
            </w:r>
          </w:p>
        </w:tc>
      </w:tr>
      <w:tr w:rsidR="00322AE9" w:rsidRPr="00322AE9" w14:paraId="0EBB0967" w14:textId="77777777" w:rsidTr="00322AE9">
        <w:trPr>
          <w:trHeight w:val="300"/>
          <w:jc w:val="center"/>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14005260"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 </w:t>
            </w:r>
          </w:p>
        </w:tc>
        <w:tc>
          <w:tcPr>
            <w:tcW w:w="816" w:type="dxa"/>
            <w:tcBorders>
              <w:top w:val="nil"/>
              <w:left w:val="nil"/>
              <w:bottom w:val="single" w:sz="4" w:space="0" w:color="auto"/>
              <w:right w:val="single" w:sz="4" w:space="0" w:color="auto"/>
            </w:tcBorders>
            <w:shd w:val="clear" w:color="auto" w:fill="auto"/>
            <w:vAlign w:val="center"/>
            <w:hideMark/>
          </w:tcPr>
          <w:p w14:paraId="6B64F900"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0509</w:t>
            </w:r>
          </w:p>
        </w:tc>
        <w:tc>
          <w:tcPr>
            <w:tcW w:w="2893" w:type="dxa"/>
            <w:tcBorders>
              <w:top w:val="nil"/>
              <w:left w:val="nil"/>
              <w:bottom w:val="single" w:sz="4" w:space="0" w:color="auto"/>
              <w:right w:val="single" w:sz="4" w:space="0" w:color="auto"/>
            </w:tcBorders>
            <w:shd w:val="clear" w:color="auto" w:fill="auto"/>
            <w:vAlign w:val="center"/>
            <w:hideMark/>
          </w:tcPr>
          <w:p w14:paraId="1BB163D2" w14:textId="77777777" w:rsidR="00322AE9" w:rsidRPr="00322AE9" w:rsidRDefault="00322AE9" w:rsidP="00322AE9">
            <w:pPr>
              <w:ind w:firstLine="0"/>
              <w:jc w:val="left"/>
              <w:rPr>
                <w:rFonts w:eastAsia="Times New Roman" w:cs="Times New Roman"/>
                <w:color w:val="000000"/>
                <w:sz w:val="20"/>
                <w:szCs w:val="20"/>
                <w:lang w:eastAsia="ru-RU"/>
              </w:rPr>
            </w:pPr>
            <w:r w:rsidRPr="00322AE9">
              <w:rPr>
                <w:rFonts w:eastAsia="Times New Roman" w:cs="Times New Roman"/>
                <w:color w:val="000000"/>
                <w:sz w:val="20"/>
                <w:szCs w:val="20"/>
                <w:lang w:eastAsia="ru-RU"/>
              </w:rPr>
              <w:t>Базы отдыха</w:t>
            </w:r>
          </w:p>
        </w:tc>
        <w:tc>
          <w:tcPr>
            <w:tcW w:w="855" w:type="dxa"/>
            <w:tcBorders>
              <w:top w:val="nil"/>
              <w:left w:val="nil"/>
              <w:bottom w:val="single" w:sz="4" w:space="0" w:color="auto"/>
              <w:right w:val="single" w:sz="4" w:space="0" w:color="auto"/>
            </w:tcBorders>
            <w:shd w:val="clear" w:color="FFFFFF" w:fill="FFFFFF"/>
            <w:vAlign w:val="center"/>
            <w:hideMark/>
          </w:tcPr>
          <w:p w14:paraId="7F4F3BA3"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 </w:t>
            </w:r>
          </w:p>
        </w:tc>
        <w:tc>
          <w:tcPr>
            <w:tcW w:w="793" w:type="dxa"/>
            <w:tcBorders>
              <w:top w:val="nil"/>
              <w:left w:val="nil"/>
              <w:bottom w:val="single" w:sz="4" w:space="0" w:color="auto"/>
              <w:right w:val="single" w:sz="4" w:space="0" w:color="auto"/>
            </w:tcBorders>
            <w:shd w:val="clear" w:color="auto" w:fill="auto"/>
            <w:vAlign w:val="center"/>
            <w:hideMark/>
          </w:tcPr>
          <w:p w14:paraId="1DAFDFF1"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3,0</w:t>
            </w:r>
          </w:p>
        </w:tc>
        <w:tc>
          <w:tcPr>
            <w:tcW w:w="992" w:type="dxa"/>
            <w:tcBorders>
              <w:top w:val="nil"/>
              <w:left w:val="nil"/>
              <w:bottom w:val="single" w:sz="4" w:space="0" w:color="auto"/>
              <w:right w:val="single" w:sz="4" w:space="0" w:color="auto"/>
            </w:tcBorders>
            <w:shd w:val="clear" w:color="auto" w:fill="auto"/>
            <w:vAlign w:val="center"/>
            <w:hideMark/>
          </w:tcPr>
          <w:p w14:paraId="7F2EE09C"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0,3</w:t>
            </w:r>
          </w:p>
        </w:tc>
        <w:tc>
          <w:tcPr>
            <w:tcW w:w="1030" w:type="dxa"/>
            <w:tcBorders>
              <w:top w:val="nil"/>
              <w:left w:val="nil"/>
              <w:bottom w:val="single" w:sz="4" w:space="0" w:color="auto"/>
              <w:right w:val="single" w:sz="4" w:space="0" w:color="auto"/>
            </w:tcBorders>
            <w:shd w:val="clear" w:color="auto" w:fill="auto"/>
            <w:vAlign w:val="center"/>
            <w:hideMark/>
          </w:tcPr>
          <w:p w14:paraId="446BCC7D"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3,3</w:t>
            </w:r>
          </w:p>
        </w:tc>
        <w:tc>
          <w:tcPr>
            <w:tcW w:w="1096" w:type="dxa"/>
            <w:tcBorders>
              <w:top w:val="nil"/>
              <w:left w:val="nil"/>
              <w:bottom w:val="single" w:sz="4" w:space="0" w:color="auto"/>
              <w:right w:val="single" w:sz="4" w:space="0" w:color="auto"/>
            </w:tcBorders>
            <w:shd w:val="clear" w:color="auto" w:fill="auto"/>
            <w:vAlign w:val="center"/>
            <w:hideMark/>
          </w:tcPr>
          <w:p w14:paraId="7690AF26"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1,6</w:t>
            </w:r>
          </w:p>
        </w:tc>
        <w:tc>
          <w:tcPr>
            <w:tcW w:w="1149" w:type="dxa"/>
            <w:tcBorders>
              <w:top w:val="nil"/>
              <w:left w:val="nil"/>
              <w:bottom w:val="single" w:sz="4" w:space="0" w:color="auto"/>
              <w:right w:val="single" w:sz="4" w:space="0" w:color="auto"/>
            </w:tcBorders>
            <w:shd w:val="clear" w:color="auto" w:fill="auto"/>
            <w:vAlign w:val="center"/>
            <w:hideMark/>
          </w:tcPr>
          <w:p w14:paraId="279C398B"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2,1</w:t>
            </w:r>
          </w:p>
        </w:tc>
        <w:tc>
          <w:tcPr>
            <w:tcW w:w="1119" w:type="dxa"/>
            <w:tcBorders>
              <w:top w:val="nil"/>
              <w:left w:val="nil"/>
              <w:bottom w:val="single" w:sz="4" w:space="0" w:color="auto"/>
              <w:right w:val="single" w:sz="4" w:space="0" w:color="auto"/>
            </w:tcBorders>
            <w:shd w:val="clear" w:color="auto" w:fill="auto"/>
            <w:vAlign w:val="center"/>
            <w:hideMark/>
          </w:tcPr>
          <w:p w14:paraId="2F586356"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2,4</w:t>
            </w:r>
          </w:p>
        </w:tc>
        <w:tc>
          <w:tcPr>
            <w:tcW w:w="3149" w:type="dxa"/>
            <w:tcBorders>
              <w:top w:val="nil"/>
              <w:left w:val="nil"/>
              <w:bottom w:val="single" w:sz="4" w:space="0" w:color="auto"/>
              <w:right w:val="single" w:sz="4" w:space="0" w:color="auto"/>
            </w:tcBorders>
            <w:shd w:val="clear" w:color="auto" w:fill="auto"/>
            <w:hideMark/>
          </w:tcPr>
          <w:p w14:paraId="6CE7ABE9" w14:textId="77777777" w:rsidR="00322AE9" w:rsidRPr="00322AE9" w:rsidRDefault="00322AE9" w:rsidP="00322AE9">
            <w:pPr>
              <w:ind w:firstLine="0"/>
              <w:jc w:val="left"/>
              <w:rPr>
                <w:rFonts w:eastAsia="Times New Roman" w:cs="Times New Roman"/>
                <w:color w:val="000000"/>
                <w:sz w:val="18"/>
                <w:szCs w:val="18"/>
                <w:lang w:eastAsia="ru-RU"/>
              </w:rPr>
            </w:pPr>
            <w:r w:rsidRPr="00322AE9">
              <w:rPr>
                <w:rFonts w:eastAsia="Times New Roman" w:cs="Times New Roman"/>
                <w:color w:val="000000"/>
                <w:sz w:val="18"/>
                <w:szCs w:val="18"/>
                <w:lang w:eastAsia="ru-RU"/>
              </w:rPr>
              <w:t>СП 118.13330.2012 "Общественные здания", п.4.5;</w:t>
            </w:r>
          </w:p>
        </w:tc>
      </w:tr>
      <w:tr w:rsidR="00322AE9" w:rsidRPr="00322AE9" w14:paraId="588A1BA9" w14:textId="77777777" w:rsidTr="00322AE9">
        <w:trPr>
          <w:trHeight w:val="300"/>
          <w:jc w:val="center"/>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38645C5B"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 </w:t>
            </w:r>
          </w:p>
        </w:tc>
        <w:tc>
          <w:tcPr>
            <w:tcW w:w="816" w:type="dxa"/>
            <w:tcBorders>
              <w:top w:val="nil"/>
              <w:left w:val="nil"/>
              <w:bottom w:val="single" w:sz="4" w:space="0" w:color="auto"/>
              <w:right w:val="single" w:sz="4" w:space="0" w:color="auto"/>
            </w:tcBorders>
            <w:shd w:val="clear" w:color="auto" w:fill="auto"/>
            <w:vAlign w:val="center"/>
            <w:hideMark/>
          </w:tcPr>
          <w:p w14:paraId="7D37E1C7"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0510</w:t>
            </w:r>
          </w:p>
        </w:tc>
        <w:tc>
          <w:tcPr>
            <w:tcW w:w="2893" w:type="dxa"/>
            <w:tcBorders>
              <w:top w:val="nil"/>
              <w:left w:val="nil"/>
              <w:bottom w:val="single" w:sz="4" w:space="0" w:color="auto"/>
              <w:right w:val="single" w:sz="4" w:space="0" w:color="auto"/>
            </w:tcBorders>
            <w:shd w:val="clear" w:color="auto" w:fill="auto"/>
            <w:vAlign w:val="center"/>
            <w:hideMark/>
          </w:tcPr>
          <w:p w14:paraId="63DD7D83" w14:textId="77777777" w:rsidR="00322AE9" w:rsidRPr="00322AE9" w:rsidRDefault="00322AE9" w:rsidP="00322AE9">
            <w:pPr>
              <w:ind w:firstLine="0"/>
              <w:jc w:val="left"/>
              <w:rPr>
                <w:rFonts w:eastAsia="Times New Roman" w:cs="Times New Roman"/>
                <w:color w:val="000000"/>
                <w:sz w:val="20"/>
                <w:szCs w:val="20"/>
                <w:lang w:eastAsia="ru-RU"/>
              </w:rPr>
            </w:pPr>
            <w:r w:rsidRPr="00322AE9">
              <w:rPr>
                <w:rFonts w:eastAsia="Times New Roman" w:cs="Times New Roman"/>
                <w:color w:val="000000"/>
                <w:sz w:val="20"/>
                <w:szCs w:val="20"/>
                <w:lang w:eastAsia="ru-RU"/>
              </w:rPr>
              <w:t>Пионерские лагеря</w:t>
            </w:r>
          </w:p>
        </w:tc>
        <w:tc>
          <w:tcPr>
            <w:tcW w:w="855" w:type="dxa"/>
            <w:tcBorders>
              <w:top w:val="nil"/>
              <w:left w:val="nil"/>
              <w:bottom w:val="single" w:sz="4" w:space="0" w:color="auto"/>
              <w:right w:val="single" w:sz="4" w:space="0" w:color="auto"/>
            </w:tcBorders>
            <w:shd w:val="clear" w:color="FFFFFF" w:fill="FFFFFF"/>
            <w:vAlign w:val="center"/>
            <w:hideMark/>
          </w:tcPr>
          <w:p w14:paraId="4324EBEC"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 </w:t>
            </w:r>
          </w:p>
        </w:tc>
        <w:tc>
          <w:tcPr>
            <w:tcW w:w="793" w:type="dxa"/>
            <w:tcBorders>
              <w:top w:val="nil"/>
              <w:left w:val="nil"/>
              <w:bottom w:val="single" w:sz="4" w:space="0" w:color="auto"/>
              <w:right w:val="single" w:sz="4" w:space="0" w:color="auto"/>
            </w:tcBorders>
            <w:shd w:val="clear" w:color="auto" w:fill="auto"/>
            <w:vAlign w:val="center"/>
            <w:hideMark/>
          </w:tcPr>
          <w:p w14:paraId="7A7B94B2"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3,0</w:t>
            </w:r>
          </w:p>
        </w:tc>
        <w:tc>
          <w:tcPr>
            <w:tcW w:w="992" w:type="dxa"/>
            <w:tcBorders>
              <w:top w:val="nil"/>
              <w:left w:val="nil"/>
              <w:bottom w:val="single" w:sz="4" w:space="0" w:color="auto"/>
              <w:right w:val="single" w:sz="4" w:space="0" w:color="auto"/>
            </w:tcBorders>
            <w:shd w:val="clear" w:color="auto" w:fill="auto"/>
            <w:vAlign w:val="center"/>
            <w:hideMark/>
          </w:tcPr>
          <w:p w14:paraId="72047A4E"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0,3</w:t>
            </w:r>
          </w:p>
        </w:tc>
        <w:tc>
          <w:tcPr>
            <w:tcW w:w="1030" w:type="dxa"/>
            <w:tcBorders>
              <w:top w:val="nil"/>
              <w:left w:val="nil"/>
              <w:bottom w:val="single" w:sz="4" w:space="0" w:color="auto"/>
              <w:right w:val="single" w:sz="4" w:space="0" w:color="auto"/>
            </w:tcBorders>
            <w:shd w:val="clear" w:color="auto" w:fill="auto"/>
            <w:vAlign w:val="center"/>
            <w:hideMark/>
          </w:tcPr>
          <w:p w14:paraId="30D4F61A"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3,3</w:t>
            </w:r>
          </w:p>
        </w:tc>
        <w:tc>
          <w:tcPr>
            <w:tcW w:w="1096" w:type="dxa"/>
            <w:tcBorders>
              <w:top w:val="nil"/>
              <w:left w:val="nil"/>
              <w:bottom w:val="single" w:sz="4" w:space="0" w:color="auto"/>
              <w:right w:val="single" w:sz="4" w:space="0" w:color="auto"/>
            </w:tcBorders>
            <w:shd w:val="clear" w:color="auto" w:fill="auto"/>
            <w:vAlign w:val="center"/>
            <w:hideMark/>
          </w:tcPr>
          <w:p w14:paraId="74F20F58"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1,6</w:t>
            </w:r>
          </w:p>
        </w:tc>
        <w:tc>
          <w:tcPr>
            <w:tcW w:w="1149" w:type="dxa"/>
            <w:tcBorders>
              <w:top w:val="nil"/>
              <w:left w:val="nil"/>
              <w:bottom w:val="single" w:sz="4" w:space="0" w:color="auto"/>
              <w:right w:val="single" w:sz="4" w:space="0" w:color="auto"/>
            </w:tcBorders>
            <w:shd w:val="clear" w:color="auto" w:fill="auto"/>
            <w:vAlign w:val="center"/>
            <w:hideMark/>
          </w:tcPr>
          <w:p w14:paraId="0543A340"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2,1</w:t>
            </w:r>
          </w:p>
        </w:tc>
        <w:tc>
          <w:tcPr>
            <w:tcW w:w="1119" w:type="dxa"/>
            <w:tcBorders>
              <w:top w:val="nil"/>
              <w:left w:val="nil"/>
              <w:bottom w:val="single" w:sz="4" w:space="0" w:color="auto"/>
              <w:right w:val="single" w:sz="4" w:space="0" w:color="auto"/>
            </w:tcBorders>
            <w:shd w:val="clear" w:color="auto" w:fill="auto"/>
            <w:vAlign w:val="center"/>
            <w:hideMark/>
          </w:tcPr>
          <w:p w14:paraId="0EDA8088"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2,4</w:t>
            </w:r>
          </w:p>
        </w:tc>
        <w:tc>
          <w:tcPr>
            <w:tcW w:w="3149" w:type="dxa"/>
            <w:tcBorders>
              <w:top w:val="nil"/>
              <w:left w:val="nil"/>
              <w:bottom w:val="single" w:sz="4" w:space="0" w:color="auto"/>
              <w:right w:val="single" w:sz="4" w:space="0" w:color="auto"/>
            </w:tcBorders>
            <w:shd w:val="clear" w:color="auto" w:fill="auto"/>
            <w:hideMark/>
          </w:tcPr>
          <w:p w14:paraId="6F81904F" w14:textId="77777777" w:rsidR="00322AE9" w:rsidRPr="00322AE9" w:rsidRDefault="00322AE9" w:rsidP="00322AE9">
            <w:pPr>
              <w:ind w:firstLine="0"/>
              <w:jc w:val="left"/>
              <w:rPr>
                <w:rFonts w:eastAsia="Times New Roman" w:cs="Times New Roman"/>
                <w:color w:val="000000"/>
                <w:sz w:val="18"/>
                <w:szCs w:val="18"/>
                <w:lang w:eastAsia="ru-RU"/>
              </w:rPr>
            </w:pPr>
            <w:r w:rsidRPr="00322AE9">
              <w:rPr>
                <w:rFonts w:eastAsia="Times New Roman" w:cs="Times New Roman"/>
                <w:color w:val="000000"/>
                <w:sz w:val="18"/>
                <w:szCs w:val="18"/>
                <w:lang w:eastAsia="ru-RU"/>
              </w:rPr>
              <w:t>СП 118.13330.2012 "Общественные здания", п.4.5;</w:t>
            </w:r>
          </w:p>
        </w:tc>
      </w:tr>
      <w:tr w:rsidR="00322AE9" w:rsidRPr="00322AE9" w14:paraId="22E6CA3A" w14:textId="77777777" w:rsidTr="00322AE9">
        <w:trPr>
          <w:trHeight w:val="300"/>
          <w:jc w:val="center"/>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45541110"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 </w:t>
            </w:r>
          </w:p>
        </w:tc>
        <w:tc>
          <w:tcPr>
            <w:tcW w:w="816" w:type="dxa"/>
            <w:tcBorders>
              <w:top w:val="nil"/>
              <w:left w:val="nil"/>
              <w:bottom w:val="single" w:sz="4" w:space="0" w:color="auto"/>
              <w:right w:val="single" w:sz="4" w:space="0" w:color="auto"/>
            </w:tcBorders>
            <w:shd w:val="clear" w:color="auto" w:fill="auto"/>
            <w:vAlign w:val="center"/>
            <w:hideMark/>
          </w:tcPr>
          <w:p w14:paraId="451F7784"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0511</w:t>
            </w:r>
          </w:p>
        </w:tc>
        <w:tc>
          <w:tcPr>
            <w:tcW w:w="2893" w:type="dxa"/>
            <w:tcBorders>
              <w:top w:val="nil"/>
              <w:left w:val="nil"/>
              <w:bottom w:val="single" w:sz="4" w:space="0" w:color="auto"/>
              <w:right w:val="single" w:sz="4" w:space="0" w:color="auto"/>
            </w:tcBorders>
            <w:shd w:val="clear" w:color="auto" w:fill="auto"/>
            <w:vAlign w:val="center"/>
            <w:hideMark/>
          </w:tcPr>
          <w:p w14:paraId="6338E196" w14:textId="77777777" w:rsidR="00322AE9" w:rsidRPr="00322AE9" w:rsidRDefault="00322AE9" w:rsidP="00322AE9">
            <w:pPr>
              <w:ind w:firstLine="0"/>
              <w:jc w:val="left"/>
              <w:rPr>
                <w:rFonts w:eastAsia="Times New Roman" w:cs="Times New Roman"/>
                <w:color w:val="000000"/>
                <w:sz w:val="20"/>
                <w:szCs w:val="20"/>
                <w:lang w:eastAsia="ru-RU"/>
              </w:rPr>
            </w:pPr>
            <w:r w:rsidRPr="00322AE9">
              <w:rPr>
                <w:rFonts w:eastAsia="Times New Roman" w:cs="Times New Roman"/>
                <w:color w:val="000000"/>
                <w:sz w:val="20"/>
                <w:szCs w:val="20"/>
                <w:lang w:eastAsia="ru-RU"/>
              </w:rPr>
              <w:t>Санатории (главные и спальные корпуса)</w:t>
            </w:r>
          </w:p>
        </w:tc>
        <w:tc>
          <w:tcPr>
            <w:tcW w:w="855" w:type="dxa"/>
            <w:tcBorders>
              <w:top w:val="nil"/>
              <w:left w:val="nil"/>
              <w:bottom w:val="single" w:sz="4" w:space="0" w:color="auto"/>
              <w:right w:val="single" w:sz="4" w:space="0" w:color="auto"/>
            </w:tcBorders>
            <w:shd w:val="clear" w:color="FFFFFF" w:fill="FFFFFF"/>
            <w:vAlign w:val="center"/>
            <w:hideMark/>
          </w:tcPr>
          <w:p w14:paraId="18332125"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 </w:t>
            </w:r>
          </w:p>
        </w:tc>
        <w:tc>
          <w:tcPr>
            <w:tcW w:w="793" w:type="dxa"/>
            <w:tcBorders>
              <w:top w:val="nil"/>
              <w:left w:val="nil"/>
              <w:bottom w:val="single" w:sz="4" w:space="0" w:color="auto"/>
              <w:right w:val="single" w:sz="4" w:space="0" w:color="auto"/>
            </w:tcBorders>
            <w:shd w:val="clear" w:color="auto" w:fill="auto"/>
            <w:vAlign w:val="center"/>
            <w:hideMark/>
          </w:tcPr>
          <w:p w14:paraId="7C8B4042"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3,0</w:t>
            </w:r>
          </w:p>
        </w:tc>
        <w:tc>
          <w:tcPr>
            <w:tcW w:w="992" w:type="dxa"/>
            <w:tcBorders>
              <w:top w:val="nil"/>
              <w:left w:val="nil"/>
              <w:bottom w:val="single" w:sz="4" w:space="0" w:color="auto"/>
              <w:right w:val="single" w:sz="4" w:space="0" w:color="auto"/>
            </w:tcBorders>
            <w:shd w:val="clear" w:color="auto" w:fill="auto"/>
            <w:vAlign w:val="center"/>
            <w:hideMark/>
          </w:tcPr>
          <w:p w14:paraId="052D308C"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0,3</w:t>
            </w:r>
          </w:p>
        </w:tc>
        <w:tc>
          <w:tcPr>
            <w:tcW w:w="1030" w:type="dxa"/>
            <w:tcBorders>
              <w:top w:val="nil"/>
              <w:left w:val="nil"/>
              <w:bottom w:val="single" w:sz="4" w:space="0" w:color="auto"/>
              <w:right w:val="single" w:sz="4" w:space="0" w:color="auto"/>
            </w:tcBorders>
            <w:shd w:val="clear" w:color="auto" w:fill="auto"/>
            <w:vAlign w:val="center"/>
            <w:hideMark/>
          </w:tcPr>
          <w:p w14:paraId="31AC150C"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3,3</w:t>
            </w:r>
          </w:p>
        </w:tc>
        <w:tc>
          <w:tcPr>
            <w:tcW w:w="1096" w:type="dxa"/>
            <w:tcBorders>
              <w:top w:val="nil"/>
              <w:left w:val="nil"/>
              <w:bottom w:val="single" w:sz="4" w:space="0" w:color="auto"/>
              <w:right w:val="single" w:sz="4" w:space="0" w:color="auto"/>
            </w:tcBorders>
            <w:shd w:val="clear" w:color="auto" w:fill="auto"/>
            <w:vAlign w:val="center"/>
            <w:hideMark/>
          </w:tcPr>
          <w:p w14:paraId="31B02AF4"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1,6</w:t>
            </w:r>
          </w:p>
        </w:tc>
        <w:tc>
          <w:tcPr>
            <w:tcW w:w="1149" w:type="dxa"/>
            <w:tcBorders>
              <w:top w:val="nil"/>
              <w:left w:val="nil"/>
              <w:bottom w:val="single" w:sz="4" w:space="0" w:color="auto"/>
              <w:right w:val="single" w:sz="4" w:space="0" w:color="auto"/>
            </w:tcBorders>
            <w:shd w:val="clear" w:color="auto" w:fill="auto"/>
            <w:vAlign w:val="center"/>
            <w:hideMark/>
          </w:tcPr>
          <w:p w14:paraId="4E6C91F4"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2,1</w:t>
            </w:r>
          </w:p>
        </w:tc>
        <w:tc>
          <w:tcPr>
            <w:tcW w:w="1119" w:type="dxa"/>
            <w:tcBorders>
              <w:top w:val="nil"/>
              <w:left w:val="nil"/>
              <w:bottom w:val="single" w:sz="4" w:space="0" w:color="auto"/>
              <w:right w:val="single" w:sz="4" w:space="0" w:color="auto"/>
            </w:tcBorders>
            <w:shd w:val="clear" w:color="auto" w:fill="auto"/>
            <w:vAlign w:val="center"/>
            <w:hideMark/>
          </w:tcPr>
          <w:p w14:paraId="36282A23"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2,4</w:t>
            </w:r>
          </w:p>
        </w:tc>
        <w:tc>
          <w:tcPr>
            <w:tcW w:w="3149" w:type="dxa"/>
            <w:tcBorders>
              <w:top w:val="nil"/>
              <w:left w:val="nil"/>
              <w:bottom w:val="single" w:sz="4" w:space="0" w:color="auto"/>
              <w:right w:val="single" w:sz="4" w:space="0" w:color="auto"/>
            </w:tcBorders>
            <w:shd w:val="clear" w:color="auto" w:fill="auto"/>
            <w:hideMark/>
          </w:tcPr>
          <w:p w14:paraId="3DE55B27" w14:textId="77777777" w:rsidR="00322AE9" w:rsidRPr="00322AE9" w:rsidRDefault="00322AE9" w:rsidP="00322AE9">
            <w:pPr>
              <w:ind w:firstLine="0"/>
              <w:jc w:val="left"/>
              <w:rPr>
                <w:rFonts w:eastAsia="Times New Roman" w:cs="Times New Roman"/>
                <w:color w:val="000000"/>
                <w:sz w:val="18"/>
                <w:szCs w:val="18"/>
                <w:lang w:eastAsia="ru-RU"/>
              </w:rPr>
            </w:pPr>
            <w:r w:rsidRPr="00322AE9">
              <w:rPr>
                <w:rFonts w:eastAsia="Times New Roman" w:cs="Times New Roman"/>
                <w:color w:val="000000"/>
                <w:sz w:val="18"/>
                <w:szCs w:val="18"/>
                <w:lang w:eastAsia="ru-RU"/>
              </w:rPr>
              <w:t>СП 118.13330.2012 "Общественные здания", п.4.5;</w:t>
            </w:r>
          </w:p>
        </w:tc>
      </w:tr>
      <w:tr w:rsidR="00322AE9" w:rsidRPr="00322AE9" w14:paraId="0F02408E" w14:textId="77777777" w:rsidTr="00322AE9">
        <w:trPr>
          <w:trHeight w:val="510"/>
          <w:jc w:val="center"/>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0AE8CB7F"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 </w:t>
            </w:r>
          </w:p>
        </w:tc>
        <w:tc>
          <w:tcPr>
            <w:tcW w:w="816" w:type="dxa"/>
            <w:tcBorders>
              <w:top w:val="nil"/>
              <w:left w:val="nil"/>
              <w:bottom w:val="single" w:sz="4" w:space="0" w:color="auto"/>
              <w:right w:val="single" w:sz="4" w:space="0" w:color="auto"/>
            </w:tcBorders>
            <w:shd w:val="clear" w:color="auto" w:fill="auto"/>
            <w:vAlign w:val="center"/>
            <w:hideMark/>
          </w:tcPr>
          <w:p w14:paraId="1FD371FF"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0512</w:t>
            </w:r>
          </w:p>
        </w:tc>
        <w:tc>
          <w:tcPr>
            <w:tcW w:w="2893" w:type="dxa"/>
            <w:tcBorders>
              <w:top w:val="nil"/>
              <w:left w:val="nil"/>
              <w:bottom w:val="single" w:sz="4" w:space="0" w:color="auto"/>
              <w:right w:val="single" w:sz="4" w:space="0" w:color="auto"/>
            </w:tcBorders>
            <w:shd w:val="clear" w:color="auto" w:fill="auto"/>
            <w:vAlign w:val="center"/>
            <w:hideMark/>
          </w:tcPr>
          <w:p w14:paraId="0DC91995" w14:textId="77777777" w:rsidR="00322AE9" w:rsidRPr="00322AE9" w:rsidRDefault="00322AE9" w:rsidP="00322AE9">
            <w:pPr>
              <w:ind w:firstLine="0"/>
              <w:jc w:val="left"/>
              <w:rPr>
                <w:rFonts w:eastAsia="Times New Roman" w:cs="Times New Roman"/>
                <w:color w:val="000000"/>
                <w:sz w:val="20"/>
                <w:szCs w:val="20"/>
                <w:lang w:eastAsia="ru-RU"/>
              </w:rPr>
            </w:pPr>
            <w:r w:rsidRPr="00322AE9">
              <w:rPr>
                <w:rFonts w:eastAsia="Times New Roman" w:cs="Times New Roman"/>
                <w:color w:val="000000"/>
                <w:sz w:val="20"/>
                <w:szCs w:val="20"/>
                <w:lang w:eastAsia="ru-RU"/>
              </w:rPr>
              <w:t>Здания барачного типа, летние домики пансионатов и санаториев</w:t>
            </w:r>
          </w:p>
        </w:tc>
        <w:tc>
          <w:tcPr>
            <w:tcW w:w="855" w:type="dxa"/>
            <w:tcBorders>
              <w:top w:val="nil"/>
              <w:left w:val="nil"/>
              <w:bottom w:val="single" w:sz="4" w:space="0" w:color="auto"/>
              <w:right w:val="single" w:sz="4" w:space="0" w:color="auto"/>
            </w:tcBorders>
            <w:shd w:val="clear" w:color="FFFFFF" w:fill="FFFFFF"/>
            <w:vAlign w:val="center"/>
            <w:hideMark/>
          </w:tcPr>
          <w:p w14:paraId="76E729B7"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 </w:t>
            </w:r>
          </w:p>
        </w:tc>
        <w:tc>
          <w:tcPr>
            <w:tcW w:w="793" w:type="dxa"/>
            <w:tcBorders>
              <w:top w:val="nil"/>
              <w:left w:val="nil"/>
              <w:bottom w:val="single" w:sz="4" w:space="0" w:color="auto"/>
              <w:right w:val="single" w:sz="4" w:space="0" w:color="auto"/>
            </w:tcBorders>
            <w:shd w:val="clear" w:color="auto" w:fill="auto"/>
            <w:vAlign w:val="center"/>
            <w:hideMark/>
          </w:tcPr>
          <w:p w14:paraId="1D38415A"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2,7</w:t>
            </w:r>
          </w:p>
        </w:tc>
        <w:tc>
          <w:tcPr>
            <w:tcW w:w="992" w:type="dxa"/>
            <w:tcBorders>
              <w:top w:val="nil"/>
              <w:left w:val="nil"/>
              <w:bottom w:val="single" w:sz="4" w:space="0" w:color="auto"/>
              <w:right w:val="single" w:sz="4" w:space="0" w:color="auto"/>
            </w:tcBorders>
            <w:shd w:val="clear" w:color="auto" w:fill="auto"/>
            <w:vAlign w:val="center"/>
            <w:hideMark/>
          </w:tcPr>
          <w:p w14:paraId="122FD484"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0,3</w:t>
            </w:r>
          </w:p>
        </w:tc>
        <w:tc>
          <w:tcPr>
            <w:tcW w:w="1030" w:type="dxa"/>
            <w:tcBorders>
              <w:top w:val="nil"/>
              <w:left w:val="nil"/>
              <w:bottom w:val="single" w:sz="4" w:space="0" w:color="auto"/>
              <w:right w:val="single" w:sz="4" w:space="0" w:color="auto"/>
            </w:tcBorders>
            <w:shd w:val="clear" w:color="auto" w:fill="auto"/>
            <w:vAlign w:val="center"/>
            <w:hideMark/>
          </w:tcPr>
          <w:p w14:paraId="4FF895FB"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3</w:t>
            </w:r>
          </w:p>
        </w:tc>
        <w:tc>
          <w:tcPr>
            <w:tcW w:w="1096" w:type="dxa"/>
            <w:tcBorders>
              <w:top w:val="nil"/>
              <w:left w:val="nil"/>
              <w:bottom w:val="single" w:sz="4" w:space="0" w:color="auto"/>
              <w:right w:val="single" w:sz="4" w:space="0" w:color="auto"/>
            </w:tcBorders>
            <w:shd w:val="clear" w:color="auto" w:fill="auto"/>
            <w:vAlign w:val="center"/>
            <w:hideMark/>
          </w:tcPr>
          <w:p w14:paraId="0E9EA9B6"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1,6</w:t>
            </w:r>
          </w:p>
        </w:tc>
        <w:tc>
          <w:tcPr>
            <w:tcW w:w="1149" w:type="dxa"/>
            <w:tcBorders>
              <w:top w:val="nil"/>
              <w:left w:val="nil"/>
              <w:bottom w:val="single" w:sz="4" w:space="0" w:color="auto"/>
              <w:right w:val="single" w:sz="4" w:space="0" w:color="auto"/>
            </w:tcBorders>
            <w:shd w:val="clear" w:color="auto" w:fill="auto"/>
            <w:vAlign w:val="center"/>
            <w:hideMark/>
          </w:tcPr>
          <w:p w14:paraId="77E15154"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2,1</w:t>
            </w:r>
          </w:p>
        </w:tc>
        <w:tc>
          <w:tcPr>
            <w:tcW w:w="1119" w:type="dxa"/>
            <w:tcBorders>
              <w:top w:val="nil"/>
              <w:left w:val="nil"/>
              <w:bottom w:val="single" w:sz="4" w:space="0" w:color="auto"/>
              <w:right w:val="single" w:sz="4" w:space="0" w:color="auto"/>
            </w:tcBorders>
            <w:shd w:val="clear" w:color="auto" w:fill="auto"/>
            <w:vAlign w:val="center"/>
            <w:hideMark/>
          </w:tcPr>
          <w:p w14:paraId="19F9F5C9"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2,4</w:t>
            </w:r>
          </w:p>
        </w:tc>
        <w:tc>
          <w:tcPr>
            <w:tcW w:w="3149" w:type="dxa"/>
            <w:tcBorders>
              <w:top w:val="nil"/>
              <w:left w:val="nil"/>
              <w:bottom w:val="single" w:sz="4" w:space="0" w:color="auto"/>
              <w:right w:val="single" w:sz="4" w:space="0" w:color="auto"/>
            </w:tcBorders>
            <w:shd w:val="clear" w:color="auto" w:fill="auto"/>
            <w:hideMark/>
          </w:tcPr>
          <w:p w14:paraId="2556D3A6" w14:textId="77777777" w:rsidR="00322AE9" w:rsidRPr="00322AE9" w:rsidRDefault="00322AE9" w:rsidP="00322AE9">
            <w:pPr>
              <w:ind w:firstLine="0"/>
              <w:jc w:val="left"/>
              <w:rPr>
                <w:rFonts w:eastAsia="Times New Roman" w:cs="Times New Roman"/>
                <w:color w:val="000000"/>
                <w:sz w:val="18"/>
                <w:szCs w:val="18"/>
                <w:lang w:eastAsia="ru-RU"/>
              </w:rPr>
            </w:pPr>
            <w:r w:rsidRPr="00322AE9">
              <w:rPr>
                <w:rFonts w:eastAsia="Times New Roman" w:cs="Times New Roman"/>
                <w:color w:val="000000"/>
                <w:sz w:val="18"/>
                <w:szCs w:val="18"/>
                <w:lang w:eastAsia="ru-RU"/>
              </w:rPr>
              <w:t>СП 118.13330.2012 "Общественные здания", п.4.5;</w:t>
            </w:r>
          </w:p>
        </w:tc>
      </w:tr>
      <w:tr w:rsidR="00322AE9" w:rsidRPr="00322AE9" w14:paraId="3A8DB3DC" w14:textId="77777777" w:rsidTr="00322AE9">
        <w:trPr>
          <w:trHeight w:val="300"/>
          <w:jc w:val="center"/>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6473325E"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 </w:t>
            </w:r>
          </w:p>
        </w:tc>
        <w:tc>
          <w:tcPr>
            <w:tcW w:w="816" w:type="dxa"/>
            <w:tcBorders>
              <w:top w:val="nil"/>
              <w:left w:val="nil"/>
              <w:bottom w:val="single" w:sz="4" w:space="0" w:color="auto"/>
              <w:right w:val="single" w:sz="4" w:space="0" w:color="auto"/>
            </w:tcBorders>
            <w:shd w:val="clear" w:color="auto" w:fill="auto"/>
            <w:vAlign w:val="center"/>
            <w:hideMark/>
          </w:tcPr>
          <w:p w14:paraId="3260357D"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0513</w:t>
            </w:r>
          </w:p>
        </w:tc>
        <w:tc>
          <w:tcPr>
            <w:tcW w:w="2893" w:type="dxa"/>
            <w:tcBorders>
              <w:top w:val="nil"/>
              <w:left w:val="nil"/>
              <w:bottom w:val="single" w:sz="4" w:space="0" w:color="auto"/>
              <w:right w:val="single" w:sz="4" w:space="0" w:color="auto"/>
            </w:tcBorders>
            <w:shd w:val="clear" w:color="auto" w:fill="auto"/>
            <w:vAlign w:val="center"/>
            <w:hideMark/>
          </w:tcPr>
          <w:p w14:paraId="2FF0C11F" w14:textId="77777777" w:rsidR="00322AE9" w:rsidRPr="00322AE9" w:rsidRDefault="00322AE9" w:rsidP="00322AE9">
            <w:pPr>
              <w:ind w:firstLine="0"/>
              <w:jc w:val="left"/>
              <w:rPr>
                <w:rFonts w:eastAsia="Times New Roman" w:cs="Times New Roman"/>
                <w:color w:val="000000"/>
                <w:sz w:val="20"/>
                <w:szCs w:val="20"/>
                <w:lang w:eastAsia="ru-RU"/>
              </w:rPr>
            </w:pPr>
            <w:r w:rsidRPr="00322AE9">
              <w:rPr>
                <w:rFonts w:eastAsia="Times New Roman" w:cs="Times New Roman"/>
                <w:color w:val="000000"/>
                <w:sz w:val="20"/>
                <w:szCs w:val="20"/>
                <w:lang w:eastAsia="ru-RU"/>
              </w:rPr>
              <w:t>Главные корпуса пансионатов</w:t>
            </w:r>
          </w:p>
        </w:tc>
        <w:tc>
          <w:tcPr>
            <w:tcW w:w="855" w:type="dxa"/>
            <w:tcBorders>
              <w:top w:val="nil"/>
              <w:left w:val="nil"/>
              <w:bottom w:val="single" w:sz="4" w:space="0" w:color="auto"/>
              <w:right w:val="single" w:sz="4" w:space="0" w:color="auto"/>
            </w:tcBorders>
            <w:shd w:val="clear" w:color="FFFFFF" w:fill="FFFFFF"/>
            <w:vAlign w:val="center"/>
            <w:hideMark/>
          </w:tcPr>
          <w:p w14:paraId="422D8B64"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 </w:t>
            </w:r>
          </w:p>
        </w:tc>
        <w:tc>
          <w:tcPr>
            <w:tcW w:w="793" w:type="dxa"/>
            <w:tcBorders>
              <w:top w:val="nil"/>
              <w:left w:val="nil"/>
              <w:bottom w:val="single" w:sz="4" w:space="0" w:color="auto"/>
              <w:right w:val="single" w:sz="4" w:space="0" w:color="auto"/>
            </w:tcBorders>
            <w:shd w:val="clear" w:color="auto" w:fill="auto"/>
            <w:vAlign w:val="center"/>
            <w:hideMark/>
          </w:tcPr>
          <w:p w14:paraId="68495FF4"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3,0</w:t>
            </w:r>
          </w:p>
        </w:tc>
        <w:tc>
          <w:tcPr>
            <w:tcW w:w="992" w:type="dxa"/>
            <w:tcBorders>
              <w:top w:val="nil"/>
              <w:left w:val="nil"/>
              <w:bottom w:val="single" w:sz="4" w:space="0" w:color="auto"/>
              <w:right w:val="single" w:sz="4" w:space="0" w:color="auto"/>
            </w:tcBorders>
            <w:shd w:val="clear" w:color="auto" w:fill="auto"/>
            <w:vAlign w:val="center"/>
            <w:hideMark/>
          </w:tcPr>
          <w:p w14:paraId="61F311AB"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0,3</w:t>
            </w:r>
          </w:p>
        </w:tc>
        <w:tc>
          <w:tcPr>
            <w:tcW w:w="1030" w:type="dxa"/>
            <w:tcBorders>
              <w:top w:val="nil"/>
              <w:left w:val="nil"/>
              <w:bottom w:val="single" w:sz="4" w:space="0" w:color="auto"/>
              <w:right w:val="single" w:sz="4" w:space="0" w:color="auto"/>
            </w:tcBorders>
            <w:shd w:val="clear" w:color="auto" w:fill="auto"/>
            <w:vAlign w:val="center"/>
            <w:hideMark/>
          </w:tcPr>
          <w:p w14:paraId="44F9BAE4"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3,3</w:t>
            </w:r>
          </w:p>
        </w:tc>
        <w:tc>
          <w:tcPr>
            <w:tcW w:w="1096" w:type="dxa"/>
            <w:tcBorders>
              <w:top w:val="nil"/>
              <w:left w:val="nil"/>
              <w:bottom w:val="single" w:sz="4" w:space="0" w:color="auto"/>
              <w:right w:val="single" w:sz="4" w:space="0" w:color="auto"/>
            </w:tcBorders>
            <w:shd w:val="clear" w:color="auto" w:fill="auto"/>
            <w:vAlign w:val="center"/>
            <w:hideMark/>
          </w:tcPr>
          <w:p w14:paraId="3B839AA4"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1,6</w:t>
            </w:r>
          </w:p>
        </w:tc>
        <w:tc>
          <w:tcPr>
            <w:tcW w:w="1149" w:type="dxa"/>
            <w:tcBorders>
              <w:top w:val="nil"/>
              <w:left w:val="nil"/>
              <w:bottom w:val="single" w:sz="4" w:space="0" w:color="auto"/>
              <w:right w:val="single" w:sz="4" w:space="0" w:color="auto"/>
            </w:tcBorders>
            <w:shd w:val="clear" w:color="auto" w:fill="auto"/>
            <w:vAlign w:val="center"/>
            <w:hideMark/>
          </w:tcPr>
          <w:p w14:paraId="42D048F0"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2,1</w:t>
            </w:r>
          </w:p>
        </w:tc>
        <w:tc>
          <w:tcPr>
            <w:tcW w:w="1119" w:type="dxa"/>
            <w:tcBorders>
              <w:top w:val="nil"/>
              <w:left w:val="nil"/>
              <w:bottom w:val="single" w:sz="4" w:space="0" w:color="auto"/>
              <w:right w:val="single" w:sz="4" w:space="0" w:color="auto"/>
            </w:tcBorders>
            <w:shd w:val="clear" w:color="auto" w:fill="auto"/>
            <w:vAlign w:val="center"/>
            <w:hideMark/>
          </w:tcPr>
          <w:p w14:paraId="4B8B0457"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2,4</w:t>
            </w:r>
          </w:p>
        </w:tc>
        <w:tc>
          <w:tcPr>
            <w:tcW w:w="3149" w:type="dxa"/>
            <w:tcBorders>
              <w:top w:val="nil"/>
              <w:left w:val="nil"/>
              <w:bottom w:val="single" w:sz="4" w:space="0" w:color="auto"/>
              <w:right w:val="single" w:sz="4" w:space="0" w:color="auto"/>
            </w:tcBorders>
            <w:shd w:val="clear" w:color="auto" w:fill="auto"/>
            <w:hideMark/>
          </w:tcPr>
          <w:p w14:paraId="2F325FB0" w14:textId="77777777" w:rsidR="00322AE9" w:rsidRPr="00322AE9" w:rsidRDefault="00322AE9" w:rsidP="00322AE9">
            <w:pPr>
              <w:ind w:firstLine="0"/>
              <w:jc w:val="left"/>
              <w:rPr>
                <w:rFonts w:eastAsia="Times New Roman" w:cs="Times New Roman"/>
                <w:color w:val="000000"/>
                <w:sz w:val="18"/>
                <w:szCs w:val="18"/>
                <w:lang w:eastAsia="ru-RU"/>
              </w:rPr>
            </w:pPr>
            <w:r w:rsidRPr="00322AE9">
              <w:rPr>
                <w:rFonts w:eastAsia="Times New Roman" w:cs="Times New Roman"/>
                <w:color w:val="000000"/>
                <w:sz w:val="18"/>
                <w:szCs w:val="18"/>
                <w:lang w:eastAsia="ru-RU"/>
              </w:rPr>
              <w:t>СП 118.13330.2012 "Общественные здания", п.4.5;</w:t>
            </w:r>
          </w:p>
        </w:tc>
      </w:tr>
      <w:tr w:rsidR="00322AE9" w:rsidRPr="00322AE9" w14:paraId="5DBFF8FD" w14:textId="77777777" w:rsidTr="00322AE9">
        <w:trPr>
          <w:trHeight w:val="300"/>
          <w:jc w:val="center"/>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6939DF5A"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 </w:t>
            </w:r>
          </w:p>
        </w:tc>
        <w:tc>
          <w:tcPr>
            <w:tcW w:w="816" w:type="dxa"/>
            <w:tcBorders>
              <w:top w:val="nil"/>
              <w:left w:val="nil"/>
              <w:bottom w:val="single" w:sz="4" w:space="0" w:color="auto"/>
              <w:right w:val="single" w:sz="4" w:space="0" w:color="auto"/>
            </w:tcBorders>
            <w:shd w:val="clear" w:color="auto" w:fill="auto"/>
            <w:vAlign w:val="center"/>
            <w:hideMark/>
          </w:tcPr>
          <w:p w14:paraId="6C3A7721"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0514</w:t>
            </w:r>
          </w:p>
        </w:tc>
        <w:tc>
          <w:tcPr>
            <w:tcW w:w="2893" w:type="dxa"/>
            <w:tcBorders>
              <w:top w:val="nil"/>
              <w:left w:val="nil"/>
              <w:bottom w:val="single" w:sz="4" w:space="0" w:color="auto"/>
              <w:right w:val="single" w:sz="4" w:space="0" w:color="auto"/>
            </w:tcBorders>
            <w:shd w:val="clear" w:color="auto" w:fill="auto"/>
            <w:vAlign w:val="center"/>
            <w:hideMark/>
          </w:tcPr>
          <w:p w14:paraId="19F91B5C" w14:textId="77777777" w:rsidR="00322AE9" w:rsidRPr="00322AE9" w:rsidRDefault="00322AE9" w:rsidP="00322AE9">
            <w:pPr>
              <w:ind w:firstLine="0"/>
              <w:jc w:val="left"/>
              <w:rPr>
                <w:rFonts w:eastAsia="Times New Roman" w:cs="Times New Roman"/>
                <w:color w:val="000000"/>
                <w:sz w:val="20"/>
                <w:szCs w:val="20"/>
                <w:lang w:eastAsia="ru-RU"/>
              </w:rPr>
            </w:pPr>
            <w:r w:rsidRPr="00322AE9">
              <w:rPr>
                <w:rFonts w:eastAsia="Times New Roman" w:cs="Times New Roman"/>
                <w:color w:val="000000"/>
                <w:sz w:val="20"/>
                <w:szCs w:val="20"/>
                <w:lang w:eastAsia="ru-RU"/>
              </w:rPr>
              <w:t>Спальные корпуса пансионатов</w:t>
            </w:r>
          </w:p>
        </w:tc>
        <w:tc>
          <w:tcPr>
            <w:tcW w:w="855" w:type="dxa"/>
            <w:tcBorders>
              <w:top w:val="nil"/>
              <w:left w:val="nil"/>
              <w:bottom w:val="single" w:sz="4" w:space="0" w:color="auto"/>
              <w:right w:val="single" w:sz="4" w:space="0" w:color="auto"/>
            </w:tcBorders>
            <w:shd w:val="clear" w:color="FFFFFF" w:fill="FFFFFF"/>
            <w:vAlign w:val="center"/>
            <w:hideMark/>
          </w:tcPr>
          <w:p w14:paraId="049B6155"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 </w:t>
            </w:r>
          </w:p>
        </w:tc>
        <w:tc>
          <w:tcPr>
            <w:tcW w:w="793" w:type="dxa"/>
            <w:tcBorders>
              <w:top w:val="nil"/>
              <w:left w:val="nil"/>
              <w:bottom w:val="single" w:sz="4" w:space="0" w:color="auto"/>
              <w:right w:val="single" w:sz="4" w:space="0" w:color="auto"/>
            </w:tcBorders>
            <w:shd w:val="clear" w:color="auto" w:fill="auto"/>
            <w:vAlign w:val="center"/>
            <w:hideMark/>
          </w:tcPr>
          <w:p w14:paraId="57F1A33D"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3,0</w:t>
            </w:r>
          </w:p>
        </w:tc>
        <w:tc>
          <w:tcPr>
            <w:tcW w:w="992" w:type="dxa"/>
            <w:tcBorders>
              <w:top w:val="nil"/>
              <w:left w:val="nil"/>
              <w:bottom w:val="single" w:sz="4" w:space="0" w:color="auto"/>
              <w:right w:val="single" w:sz="4" w:space="0" w:color="auto"/>
            </w:tcBorders>
            <w:shd w:val="clear" w:color="auto" w:fill="auto"/>
            <w:vAlign w:val="center"/>
            <w:hideMark/>
          </w:tcPr>
          <w:p w14:paraId="6C103F30"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0,3</w:t>
            </w:r>
          </w:p>
        </w:tc>
        <w:tc>
          <w:tcPr>
            <w:tcW w:w="1030" w:type="dxa"/>
            <w:tcBorders>
              <w:top w:val="nil"/>
              <w:left w:val="nil"/>
              <w:bottom w:val="single" w:sz="4" w:space="0" w:color="auto"/>
              <w:right w:val="single" w:sz="4" w:space="0" w:color="auto"/>
            </w:tcBorders>
            <w:shd w:val="clear" w:color="auto" w:fill="auto"/>
            <w:vAlign w:val="center"/>
            <w:hideMark/>
          </w:tcPr>
          <w:p w14:paraId="46550115"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3,3</w:t>
            </w:r>
          </w:p>
        </w:tc>
        <w:tc>
          <w:tcPr>
            <w:tcW w:w="1096" w:type="dxa"/>
            <w:tcBorders>
              <w:top w:val="nil"/>
              <w:left w:val="nil"/>
              <w:bottom w:val="single" w:sz="4" w:space="0" w:color="auto"/>
              <w:right w:val="single" w:sz="4" w:space="0" w:color="auto"/>
            </w:tcBorders>
            <w:shd w:val="clear" w:color="auto" w:fill="auto"/>
            <w:vAlign w:val="center"/>
            <w:hideMark/>
          </w:tcPr>
          <w:p w14:paraId="46176B27"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1,6</w:t>
            </w:r>
          </w:p>
        </w:tc>
        <w:tc>
          <w:tcPr>
            <w:tcW w:w="1149" w:type="dxa"/>
            <w:tcBorders>
              <w:top w:val="nil"/>
              <w:left w:val="nil"/>
              <w:bottom w:val="single" w:sz="4" w:space="0" w:color="auto"/>
              <w:right w:val="single" w:sz="4" w:space="0" w:color="auto"/>
            </w:tcBorders>
            <w:shd w:val="clear" w:color="auto" w:fill="auto"/>
            <w:vAlign w:val="center"/>
            <w:hideMark/>
          </w:tcPr>
          <w:p w14:paraId="0B769FEC"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2,1</w:t>
            </w:r>
          </w:p>
        </w:tc>
        <w:tc>
          <w:tcPr>
            <w:tcW w:w="1119" w:type="dxa"/>
            <w:tcBorders>
              <w:top w:val="nil"/>
              <w:left w:val="nil"/>
              <w:bottom w:val="single" w:sz="4" w:space="0" w:color="auto"/>
              <w:right w:val="single" w:sz="4" w:space="0" w:color="auto"/>
            </w:tcBorders>
            <w:shd w:val="clear" w:color="auto" w:fill="auto"/>
            <w:vAlign w:val="center"/>
            <w:hideMark/>
          </w:tcPr>
          <w:p w14:paraId="60E1D1A9"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2,4</w:t>
            </w:r>
          </w:p>
        </w:tc>
        <w:tc>
          <w:tcPr>
            <w:tcW w:w="3149" w:type="dxa"/>
            <w:tcBorders>
              <w:top w:val="nil"/>
              <w:left w:val="nil"/>
              <w:bottom w:val="single" w:sz="4" w:space="0" w:color="auto"/>
              <w:right w:val="single" w:sz="4" w:space="0" w:color="auto"/>
            </w:tcBorders>
            <w:shd w:val="clear" w:color="auto" w:fill="auto"/>
            <w:hideMark/>
          </w:tcPr>
          <w:p w14:paraId="523531AF" w14:textId="77777777" w:rsidR="00322AE9" w:rsidRPr="00322AE9" w:rsidRDefault="00322AE9" w:rsidP="00322AE9">
            <w:pPr>
              <w:ind w:firstLine="0"/>
              <w:jc w:val="left"/>
              <w:rPr>
                <w:rFonts w:eastAsia="Times New Roman" w:cs="Times New Roman"/>
                <w:color w:val="000000"/>
                <w:sz w:val="18"/>
                <w:szCs w:val="18"/>
                <w:lang w:eastAsia="ru-RU"/>
              </w:rPr>
            </w:pPr>
            <w:r w:rsidRPr="00322AE9">
              <w:rPr>
                <w:rFonts w:eastAsia="Times New Roman" w:cs="Times New Roman"/>
                <w:color w:val="000000"/>
                <w:sz w:val="18"/>
                <w:szCs w:val="18"/>
                <w:lang w:eastAsia="ru-RU"/>
              </w:rPr>
              <w:t>СП 118.13330.2012 "Общественные здания", п.4.5;</w:t>
            </w:r>
          </w:p>
        </w:tc>
      </w:tr>
      <w:tr w:rsidR="00322AE9" w:rsidRPr="00322AE9" w14:paraId="4421FC6E" w14:textId="77777777" w:rsidTr="00322AE9">
        <w:trPr>
          <w:trHeight w:val="300"/>
          <w:jc w:val="center"/>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28BFE9C3"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 </w:t>
            </w:r>
          </w:p>
        </w:tc>
        <w:tc>
          <w:tcPr>
            <w:tcW w:w="816" w:type="dxa"/>
            <w:tcBorders>
              <w:top w:val="nil"/>
              <w:left w:val="nil"/>
              <w:bottom w:val="single" w:sz="4" w:space="0" w:color="auto"/>
              <w:right w:val="single" w:sz="4" w:space="0" w:color="auto"/>
            </w:tcBorders>
            <w:shd w:val="clear" w:color="auto" w:fill="auto"/>
            <w:vAlign w:val="center"/>
            <w:hideMark/>
          </w:tcPr>
          <w:p w14:paraId="6577AE3C"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0515</w:t>
            </w:r>
          </w:p>
        </w:tc>
        <w:tc>
          <w:tcPr>
            <w:tcW w:w="2893" w:type="dxa"/>
            <w:tcBorders>
              <w:top w:val="nil"/>
              <w:left w:val="nil"/>
              <w:bottom w:val="single" w:sz="4" w:space="0" w:color="auto"/>
              <w:right w:val="single" w:sz="4" w:space="0" w:color="auto"/>
            </w:tcBorders>
            <w:shd w:val="clear" w:color="auto" w:fill="auto"/>
            <w:vAlign w:val="center"/>
            <w:hideMark/>
          </w:tcPr>
          <w:p w14:paraId="3B64302E" w14:textId="77777777" w:rsidR="00322AE9" w:rsidRPr="00322AE9" w:rsidRDefault="00322AE9" w:rsidP="00322AE9">
            <w:pPr>
              <w:ind w:firstLine="0"/>
              <w:jc w:val="left"/>
              <w:rPr>
                <w:rFonts w:eastAsia="Times New Roman" w:cs="Times New Roman"/>
                <w:color w:val="000000"/>
                <w:sz w:val="20"/>
                <w:szCs w:val="20"/>
                <w:lang w:eastAsia="ru-RU"/>
              </w:rPr>
            </w:pPr>
            <w:r w:rsidRPr="00322AE9">
              <w:rPr>
                <w:rFonts w:eastAsia="Times New Roman" w:cs="Times New Roman"/>
                <w:color w:val="000000"/>
                <w:sz w:val="20"/>
                <w:szCs w:val="20"/>
                <w:lang w:eastAsia="ru-RU"/>
              </w:rPr>
              <w:t>Главные корпуса санаторие</w:t>
            </w:r>
          </w:p>
        </w:tc>
        <w:tc>
          <w:tcPr>
            <w:tcW w:w="855" w:type="dxa"/>
            <w:tcBorders>
              <w:top w:val="nil"/>
              <w:left w:val="nil"/>
              <w:bottom w:val="single" w:sz="4" w:space="0" w:color="auto"/>
              <w:right w:val="single" w:sz="4" w:space="0" w:color="auto"/>
            </w:tcBorders>
            <w:shd w:val="clear" w:color="FFFFFF" w:fill="FFFFFF"/>
            <w:vAlign w:val="center"/>
            <w:hideMark/>
          </w:tcPr>
          <w:p w14:paraId="0D991C45"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 </w:t>
            </w:r>
          </w:p>
        </w:tc>
        <w:tc>
          <w:tcPr>
            <w:tcW w:w="793" w:type="dxa"/>
            <w:tcBorders>
              <w:top w:val="nil"/>
              <w:left w:val="nil"/>
              <w:bottom w:val="single" w:sz="4" w:space="0" w:color="auto"/>
              <w:right w:val="single" w:sz="4" w:space="0" w:color="auto"/>
            </w:tcBorders>
            <w:shd w:val="clear" w:color="auto" w:fill="auto"/>
            <w:vAlign w:val="center"/>
            <w:hideMark/>
          </w:tcPr>
          <w:p w14:paraId="45DE4873"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3,0</w:t>
            </w:r>
          </w:p>
        </w:tc>
        <w:tc>
          <w:tcPr>
            <w:tcW w:w="992" w:type="dxa"/>
            <w:tcBorders>
              <w:top w:val="nil"/>
              <w:left w:val="nil"/>
              <w:bottom w:val="single" w:sz="4" w:space="0" w:color="auto"/>
              <w:right w:val="single" w:sz="4" w:space="0" w:color="auto"/>
            </w:tcBorders>
            <w:shd w:val="clear" w:color="auto" w:fill="auto"/>
            <w:vAlign w:val="center"/>
            <w:hideMark/>
          </w:tcPr>
          <w:p w14:paraId="7B8E4541"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0,3</w:t>
            </w:r>
          </w:p>
        </w:tc>
        <w:tc>
          <w:tcPr>
            <w:tcW w:w="1030" w:type="dxa"/>
            <w:tcBorders>
              <w:top w:val="nil"/>
              <w:left w:val="nil"/>
              <w:bottom w:val="single" w:sz="4" w:space="0" w:color="auto"/>
              <w:right w:val="single" w:sz="4" w:space="0" w:color="auto"/>
            </w:tcBorders>
            <w:shd w:val="clear" w:color="auto" w:fill="auto"/>
            <w:vAlign w:val="center"/>
            <w:hideMark/>
          </w:tcPr>
          <w:p w14:paraId="1C03DAE2"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3,3</w:t>
            </w:r>
          </w:p>
        </w:tc>
        <w:tc>
          <w:tcPr>
            <w:tcW w:w="1096" w:type="dxa"/>
            <w:tcBorders>
              <w:top w:val="nil"/>
              <w:left w:val="nil"/>
              <w:bottom w:val="single" w:sz="4" w:space="0" w:color="auto"/>
              <w:right w:val="single" w:sz="4" w:space="0" w:color="auto"/>
            </w:tcBorders>
            <w:shd w:val="clear" w:color="auto" w:fill="auto"/>
            <w:vAlign w:val="center"/>
            <w:hideMark/>
          </w:tcPr>
          <w:p w14:paraId="5AF0C4C6"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1,6</w:t>
            </w:r>
          </w:p>
        </w:tc>
        <w:tc>
          <w:tcPr>
            <w:tcW w:w="1149" w:type="dxa"/>
            <w:tcBorders>
              <w:top w:val="nil"/>
              <w:left w:val="nil"/>
              <w:bottom w:val="single" w:sz="4" w:space="0" w:color="auto"/>
              <w:right w:val="single" w:sz="4" w:space="0" w:color="auto"/>
            </w:tcBorders>
            <w:shd w:val="clear" w:color="auto" w:fill="auto"/>
            <w:vAlign w:val="center"/>
            <w:hideMark/>
          </w:tcPr>
          <w:p w14:paraId="61B9D45E"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2,1</w:t>
            </w:r>
          </w:p>
        </w:tc>
        <w:tc>
          <w:tcPr>
            <w:tcW w:w="1119" w:type="dxa"/>
            <w:tcBorders>
              <w:top w:val="nil"/>
              <w:left w:val="nil"/>
              <w:bottom w:val="single" w:sz="4" w:space="0" w:color="auto"/>
              <w:right w:val="single" w:sz="4" w:space="0" w:color="auto"/>
            </w:tcBorders>
            <w:shd w:val="clear" w:color="auto" w:fill="auto"/>
            <w:vAlign w:val="center"/>
            <w:hideMark/>
          </w:tcPr>
          <w:p w14:paraId="3114FE54"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2,4</w:t>
            </w:r>
          </w:p>
        </w:tc>
        <w:tc>
          <w:tcPr>
            <w:tcW w:w="3149" w:type="dxa"/>
            <w:tcBorders>
              <w:top w:val="nil"/>
              <w:left w:val="nil"/>
              <w:bottom w:val="single" w:sz="4" w:space="0" w:color="auto"/>
              <w:right w:val="single" w:sz="4" w:space="0" w:color="auto"/>
            </w:tcBorders>
            <w:shd w:val="clear" w:color="auto" w:fill="auto"/>
            <w:hideMark/>
          </w:tcPr>
          <w:p w14:paraId="0D6DB0BD" w14:textId="77777777" w:rsidR="00322AE9" w:rsidRPr="00322AE9" w:rsidRDefault="00322AE9" w:rsidP="00322AE9">
            <w:pPr>
              <w:ind w:firstLine="0"/>
              <w:jc w:val="left"/>
              <w:rPr>
                <w:rFonts w:eastAsia="Times New Roman" w:cs="Times New Roman"/>
                <w:color w:val="000000"/>
                <w:sz w:val="18"/>
                <w:szCs w:val="18"/>
                <w:lang w:eastAsia="ru-RU"/>
              </w:rPr>
            </w:pPr>
            <w:r w:rsidRPr="00322AE9">
              <w:rPr>
                <w:rFonts w:eastAsia="Times New Roman" w:cs="Times New Roman"/>
                <w:color w:val="000000"/>
                <w:sz w:val="18"/>
                <w:szCs w:val="18"/>
                <w:lang w:eastAsia="ru-RU"/>
              </w:rPr>
              <w:t>СП 118.13330.2012 "Общественные здания", п.4.5;</w:t>
            </w:r>
          </w:p>
        </w:tc>
      </w:tr>
      <w:tr w:rsidR="00322AE9" w:rsidRPr="00322AE9" w14:paraId="7DA3EB46" w14:textId="77777777" w:rsidTr="00322AE9">
        <w:trPr>
          <w:trHeight w:val="300"/>
          <w:jc w:val="center"/>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66DDE385"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 </w:t>
            </w:r>
          </w:p>
        </w:tc>
        <w:tc>
          <w:tcPr>
            <w:tcW w:w="816" w:type="dxa"/>
            <w:tcBorders>
              <w:top w:val="nil"/>
              <w:left w:val="nil"/>
              <w:bottom w:val="single" w:sz="4" w:space="0" w:color="auto"/>
              <w:right w:val="single" w:sz="4" w:space="0" w:color="auto"/>
            </w:tcBorders>
            <w:shd w:val="clear" w:color="auto" w:fill="auto"/>
            <w:vAlign w:val="center"/>
            <w:hideMark/>
          </w:tcPr>
          <w:p w14:paraId="696E642B"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0516</w:t>
            </w:r>
          </w:p>
        </w:tc>
        <w:tc>
          <w:tcPr>
            <w:tcW w:w="2893" w:type="dxa"/>
            <w:tcBorders>
              <w:top w:val="nil"/>
              <w:left w:val="nil"/>
              <w:bottom w:val="single" w:sz="4" w:space="0" w:color="auto"/>
              <w:right w:val="single" w:sz="4" w:space="0" w:color="auto"/>
            </w:tcBorders>
            <w:shd w:val="clear" w:color="auto" w:fill="auto"/>
            <w:vAlign w:val="center"/>
            <w:hideMark/>
          </w:tcPr>
          <w:p w14:paraId="4B05B351" w14:textId="77777777" w:rsidR="00322AE9" w:rsidRPr="00322AE9" w:rsidRDefault="00322AE9" w:rsidP="00322AE9">
            <w:pPr>
              <w:ind w:firstLine="0"/>
              <w:jc w:val="left"/>
              <w:rPr>
                <w:rFonts w:eastAsia="Times New Roman" w:cs="Times New Roman"/>
                <w:color w:val="000000"/>
                <w:sz w:val="20"/>
                <w:szCs w:val="20"/>
                <w:lang w:eastAsia="ru-RU"/>
              </w:rPr>
            </w:pPr>
            <w:r w:rsidRPr="00322AE9">
              <w:rPr>
                <w:rFonts w:eastAsia="Times New Roman" w:cs="Times New Roman"/>
                <w:color w:val="000000"/>
                <w:sz w:val="20"/>
                <w:szCs w:val="20"/>
                <w:lang w:eastAsia="ru-RU"/>
              </w:rPr>
              <w:t>Спальные корпуса санаторие</w:t>
            </w:r>
          </w:p>
        </w:tc>
        <w:tc>
          <w:tcPr>
            <w:tcW w:w="855" w:type="dxa"/>
            <w:tcBorders>
              <w:top w:val="nil"/>
              <w:left w:val="nil"/>
              <w:bottom w:val="single" w:sz="4" w:space="0" w:color="auto"/>
              <w:right w:val="single" w:sz="4" w:space="0" w:color="auto"/>
            </w:tcBorders>
            <w:shd w:val="clear" w:color="FFFFFF" w:fill="FFFFFF"/>
            <w:vAlign w:val="center"/>
            <w:hideMark/>
          </w:tcPr>
          <w:p w14:paraId="34BD0145"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 </w:t>
            </w:r>
          </w:p>
        </w:tc>
        <w:tc>
          <w:tcPr>
            <w:tcW w:w="793" w:type="dxa"/>
            <w:tcBorders>
              <w:top w:val="nil"/>
              <w:left w:val="nil"/>
              <w:bottom w:val="single" w:sz="4" w:space="0" w:color="auto"/>
              <w:right w:val="single" w:sz="4" w:space="0" w:color="auto"/>
            </w:tcBorders>
            <w:shd w:val="clear" w:color="auto" w:fill="auto"/>
            <w:vAlign w:val="center"/>
            <w:hideMark/>
          </w:tcPr>
          <w:p w14:paraId="51E67B8C"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3,0</w:t>
            </w:r>
          </w:p>
        </w:tc>
        <w:tc>
          <w:tcPr>
            <w:tcW w:w="992" w:type="dxa"/>
            <w:tcBorders>
              <w:top w:val="nil"/>
              <w:left w:val="nil"/>
              <w:bottom w:val="single" w:sz="4" w:space="0" w:color="auto"/>
              <w:right w:val="single" w:sz="4" w:space="0" w:color="auto"/>
            </w:tcBorders>
            <w:shd w:val="clear" w:color="auto" w:fill="auto"/>
            <w:vAlign w:val="center"/>
            <w:hideMark/>
          </w:tcPr>
          <w:p w14:paraId="121E8EA4"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0,3</w:t>
            </w:r>
          </w:p>
        </w:tc>
        <w:tc>
          <w:tcPr>
            <w:tcW w:w="1030" w:type="dxa"/>
            <w:tcBorders>
              <w:top w:val="nil"/>
              <w:left w:val="nil"/>
              <w:bottom w:val="single" w:sz="4" w:space="0" w:color="auto"/>
              <w:right w:val="single" w:sz="4" w:space="0" w:color="auto"/>
            </w:tcBorders>
            <w:shd w:val="clear" w:color="auto" w:fill="auto"/>
            <w:vAlign w:val="center"/>
            <w:hideMark/>
          </w:tcPr>
          <w:p w14:paraId="3952E8D1"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3,3</w:t>
            </w:r>
          </w:p>
        </w:tc>
        <w:tc>
          <w:tcPr>
            <w:tcW w:w="1096" w:type="dxa"/>
            <w:tcBorders>
              <w:top w:val="nil"/>
              <w:left w:val="nil"/>
              <w:bottom w:val="single" w:sz="4" w:space="0" w:color="auto"/>
              <w:right w:val="single" w:sz="4" w:space="0" w:color="auto"/>
            </w:tcBorders>
            <w:shd w:val="clear" w:color="auto" w:fill="auto"/>
            <w:vAlign w:val="center"/>
            <w:hideMark/>
          </w:tcPr>
          <w:p w14:paraId="3CBA7F74"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1,6</w:t>
            </w:r>
          </w:p>
        </w:tc>
        <w:tc>
          <w:tcPr>
            <w:tcW w:w="1149" w:type="dxa"/>
            <w:tcBorders>
              <w:top w:val="nil"/>
              <w:left w:val="nil"/>
              <w:bottom w:val="single" w:sz="4" w:space="0" w:color="auto"/>
              <w:right w:val="single" w:sz="4" w:space="0" w:color="auto"/>
            </w:tcBorders>
            <w:shd w:val="clear" w:color="auto" w:fill="auto"/>
            <w:vAlign w:val="center"/>
            <w:hideMark/>
          </w:tcPr>
          <w:p w14:paraId="59B863B3"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2,1</w:t>
            </w:r>
          </w:p>
        </w:tc>
        <w:tc>
          <w:tcPr>
            <w:tcW w:w="1119" w:type="dxa"/>
            <w:tcBorders>
              <w:top w:val="nil"/>
              <w:left w:val="nil"/>
              <w:bottom w:val="single" w:sz="4" w:space="0" w:color="auto"/>
              <w:right w:val="single" w:sz="4" w:space="0" w:color="auto"/>
            </w:tcBorders>
            <w:shd w:val="clear" w:color="auto" w:fill="auto"/>
            <w:vAlign w:val="center"/>
            <w:hideMark/>
          </w:tcPr>
          <w:p w14:paraId="11D5ACB6"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2,4</w:t>
            </w:r>
          </w:p>
        </w:tc>
        <w:tc>
          <w:tcPr>
            <w:tcW w:w="3149" w:type="dxa"/>
            <w:tcBorders>
              <w:top w:val="nil"/>
              <w:left w:val="nil"/>
              <w:bottom w:val="single" w:sz="4" w:space="0" w:color="auto"/>
              <w:right w:val="single" w:sz="4" w:space="0" w:color="auto"/>
            </w:tcBorders>
            <w:shd w:val="clear" w:color="auto" w:fill="auto"/>
            <w:hideMark/>
          </w:tcPr>
          <w:p w14:paraId="4D4F7E0F" w14:textId="77777777" w:rsidR="00322AE9" w:rsidRPr="00322AE9" w:rsidRDefault="00322AE9" w:rsidP="00322AE9">
            <w:pPr>
              <w:ind w:firstLine="0"/>
              <w:jc w:val="left"/>
              <w:rPr>
                <w:rFonts w:eastAsia="Times New Roman" w:cs="Times New Roman"/>
                <w:color w:val="000000"/>
                <w:sz w:val="18"/>
                <w:szCs w:val="18"/>
                <w:lang w:eastAsia="ru-RU"/>
              </w:rPr>
            </w:pPr>
            <w:r w:rsidRPr="00322AE9">
              <w:rPr>
                <w:rFonts w:eastAsia="Times New Roman" w:cs="Times New Roman"/>
                <w:color w:val="000000"/>
                <w:sz w:val="18"/>
                <w:szCs w:val="18"/>
                <w:lang w:eastAsia="ru-RU"/>
              </w:rPr>
              <w:t>СП 118.13330.2012 "Общественные здания", п.4.5;</w:t>
            </w:r>
          </w:p>
        </w:tc>
      </w:tr>
      <w:tr w:rsidR="00322AE9" w:rsidRPr="00322AE9" w14:paraId="0D8C44D1" w14:textId="77777777" w:rsidTr="00322AE9">
        <w:trPr>
          <w:trHeight w:val="300"/>
          <w:jc w:val="center"/>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1485D6DE"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 </w:t>
            </w:r>
          </w:p>
        </w:tc>
        <w:tc>
          <w:tcPr>
            <w:tcW w:w="816" w:type="dxa"/>
            <w:tcBorders>
              <w:top w:val="nil"/>
              <w:left w:val="nil"/>
              <w:bottom w:val="single" w:sz="4" w:space="0" w:color="auto"/>
              <w:right w:val="single" w:sz="4" w:space="0" w:color="auto"/>
            </w:tcBorders>
            <w:shd w:val="clear" w:color="auto" w:fill="auto"/>
            <w:vAlign w:val="center"/>
            <w:hideMark/>
          </w:tcPr>
          <w:p w14:paraId="6D90AEA1"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0517</w:t>
            </w:r>
          </w:p>
        </w:tc>
        <w:tc>
          <w:tcPr>
            <w:tcW w:w="2893" w:type="dxa"/>
            <w:tcBorders>
              <w:top w:val="nil"/>
              <w:left w:val="nil"/>
              <w:bottom w:val="single" w:sz="4" w:space="0" w:color="auto"/>
              <w:right w:val="single" w:sz="4" w:space="0" w:color="auto"/>
            </w:tcBorders>
            <w:shd w:val="clear" w:color="auto" w:fill="auto"/>
            <w:vAlign w:val="center"/>
            <w:hideMark/>
          </w:tcPr>
          <w:p w14:paraId="6288483A" w14:textId="77777777" w:rsidR="00322AE9" w:rsidRPr="00322AE9" w:rsidRDefault="00322AE9" w:rsidP="00322AE9">
            <w:pPr>
              <w:ind w:firstLine="0"/>
              <w:jc w:val="left"/>
              <w:rPr>
                <w:rFonts w:eastAsia="Times New Roman" w:cs="Times New Roman"/>
                <w:color w:val="000000"/>
                <w:sz w:val="20"/>
                <w:szCs w:val="20"/>
                <w:lang w:eastAsia="ru-RU"/>
              </w:rPr>
            </w:pPr>
            <w:r w:rsidRPr="00322AE9">
              <w:rPr>
                <w:rFonts w:eastAsia="Times New Roman" w:cs="Times New Roman"/>
                <w:color w:val="000000"/>
                <w:sz w:val="20"/>
                <w:szCs w:val="20"/>
                <w:lang w:eastAsia="ru-RU"/>
              </w:rPr>
              <w:t>Кемпинги</w:t>
            </w:r>
          </w:p>
        </w:tc>
        <w:tc>
          <w:tcPr>
            <w:tcW w:w="855" w:type="dxa"/>
            <w:tcBorders>
              <w:top w:val="nil"/>
              <w:left w:val="nil"/>
              <w:bottom w:val="single" w:sz="4" w:space="0" w:color="auto"/>
              <w:right w:val="single" w:sz="4" w:space="0" w:color="auto"/>
            </w:tcBorders>
            <w:shd w:val="clear" w:color="FFFFFF" w:fill="FFFFFF"/>
            <w:vAlign w:val="center"/>
            <w:hideMark/>
          </w:tcPr>
          <w:p w14:paraId="2147CF16"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 </w:t>
            </w:r>
          </w:p>
        </w:tc>
        <w:tc>
          <w:tcPr>
            <w:tcW w:w="793" w:type="dxa"/>
            <w:tcBorders>
              <w:top w:val="nil"/>
              <w:left w:val="nil"/>
              <w:bottom w:val="single" w:sz="4" w:space="0" w:color="auto"/>
              <w:right w:val="single" w:sz="4" w:space="0" w:color="auto"/>
            </w:tcBorders>
            <w:shd w:val="clear" w:color="FFFFFF" w:fill="FFFFFF"/>
            <w:vAlign w:val="center"/>
            <w:hideMark/>
          </w:tcPr>
          <w:p w14:paraId="5AE035B0"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w:t>
            </w:r>
          </w:p>
        </w:tc>
        <w:tc>
          <w:tcPr>
            <w:tcW w:w="992" w:type="dxa"/>
            <w:tcBorders>
              <w:top w:val="nil"/>
              <w:left w:val="nil"/>
              <w:bottom w:val="single" w:sz="4" w:space="0" w:color="auto"/>
              <w:right w:val="single" w:sz="4" w:space="0" w:color="auto"/>
            </w:tcBorders>
            <w:shd w:val="clear" w:color="auto" w:fill="auto"/>
            <w:vAlign w:val="center"/>
            <w:hideMark/>
          </w:tcPr>
          <w:p w14:paraId="667891B4"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w:t>
            </w:r>
          </w:p>
        </w:tc>
        <w:tc>
          <w:tcPr>
            <w:tcW w:w="1030" w:type="dxa"/>
            <w:tcBorders>
              <w:top w:val="nil"/>
              <w:left w:val="nil"/>
              <w:bottom w:val="single" w:sz="4" w:space="0" w:color="auto"/>
              <w:right w:val="single" w:sz="4" w:space="0" w:color="auto"/>
            </w:tcBorders>
            <w:shd w:val="clear" w:color="auto" w:fill="auto"/>
            <w:vAlign w:val="center"/>
            <w:hideMark/>
          </w:tcPr>
          <w:p w14:paraId="3A7A8E64"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 </w:t>
            </w:r>
          </w:p>
        </w:tc>
        <w:tc>
          <w:tcPr>
            <w:tcW w:w="1096" w:type="dxa"/>
            <w:tcBorders>
              <w:top w:val="nil"/>
              <w:left w:val="nil"/>
              <w:bottom w:val="single" w:sz="4" w:space="0" w:color="auto"/>
              <w:right w:val="single" w:sz="4" w:space="0" w:color="auto"/>
            </w:tcBorders>
            <w:shd w:val="clear" w:color="auto" w:fill="auto"/>
            <w:vAlign w:val="center"/>
            <w:hideMark/>
          </w:tcPr>
          <w:p w14:paraId="0AB570AB"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1,6</w:t>
            </w:r>
          </w:p>
        </w:tc>
        <w:tc>
          <w:tcPr>
            <w:tcW w:w="1149" w:type="dxa"/>
            <w:tcBorders>
              <w:top w:val="nil"/>
              <w:left w:val="nil"/>
              <w:bottom w:val="single" w:sz="4" w:space="0" w:color="auto"/>
              <w:right w:val="single" w:sz="4" w:space="0" w:color="auto"/>
            </w:tcBorders>
            <w:shd w:val="clear" w:color="auto" w:fill="auto"/>
            <w:vAlign w:val="center"/>
            <w:hideMark/>
          </w:tcPr>
          <w:p w14:paraId="6DAFF788"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 </w:t>
            </w:r>
          </w:p>
        </w:tc>
        <w:tc>
          <w:tcPr>
            <w:tcW w:w="1119" w:type="dxa"/>
            <w:tcBorders>
              <w:top w:val="nil"/>
              <w:left w:val="nil"/>
              <w:bottom w:val="single" w:sz="4" w:space="0" w:color="auto"/>
              <w:right w:val="single" w:sz="4" w:space="0" w:color="auto"/>
            </w:tcBorders>
            <w:shd w:val="clear" w:color="auto" w:fill="auto"/>
            <w:vAlign w:val="center"/>
            <w:hideMark/>
          </w:tcPr>
          <w:p w14:paraId="12B80B14"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 </w:t>
            </w:r>
          </w:p>
        </w:tc>
        <w:tc>
          <w:tcPr>
            <w:tcW w:w="3149" w:type="dxa"/>
            <w:tcBorders>
              <w:top w:val="nil"/>
              <w:left w:val="nil"/>
              <w:bottom w:val="single" w:sz="4" w:space="0" w:color="auto"/>
              <w:right w:val="single" w:sz="4" w:space="0" w:color="auto"/>
            </w:tcBorders>
            <w:shd w:val="clear" w:color="auto" w:fill="auto"/>
            <w:hideMark/>
          </w:tcPr>
          <w:p w14:paraId="398DBCAE" w14:textId="77777777" w:rsidR="00322AE9" w:rsidRPr="00322AE9" w:rsidRDefault="00322AE9" w:rsidP="00322AE9">
            <w:pPr>
              <w:ind w:firstLine="0"/>
              <w:jc w:val="left"/>
              <w:rPr>
                <w:rFonts w:eastAsia="Times New Roman" w:cs="Times New Roman"/>
                <w:color w:val="000000"/>
                <w:sz w:val="18"/>
                <w:szCs w:val="18"/>
                <w:lang w:eastAsia="ru-RU"/>
              </w:rPr>
            </w:pPr>
            <w:r w:rsidRPr="00322AE9">
              <w:rPr>
                <w:rFonts w:eastAsia="Times New Roman" w:cs="Times New Roman"/>
                <w:color w:val="000000"/>
                <w:sz w:val="18"/>
                <w:szCs w:val="18"/>
                <w:lang w:eastAsia="ru-RU"/>
              </w:rPr>
              <w:t>-</w:t>
            </w:r>
          </w:p>
        </w:tc>
      </w:tr>
      <w:tr w:rsidR="00322AE9" w:rsidRPr="00322AE9" w14:paraId="31DC2767" w14:textId="77777777" w:rsidTr="00322AE9">
        <w:trPr>
          <w:trHeight w:val="300"/>
          <w:jc w:val="center"/>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5938C517" w14:textId="77777777" w:rsidR="00322AE9" w:rsidRPr="00322AE9" w:rsidRDefault="00322AE9" w:rsidP="00322AE9">
            <w:pPr>
              <w:ind w:firstLine="0"/>
              <w:jc w:val="center"/>
              <w:rPr>
                <w:rFonts w:eastAsia="Times New Roman" w:cs="Times New Roman"/>
                <w:b/>
                <w:bCs/>
                <w:color w:val="000000"/>
                <w:sz w:val="20"/>
                <w:szCs w:val="20"/>
                <w:lang w:eastAsia="ru-RU"/>
              </w:rPr>
            </w:pPr>
            <w:r w:rsidRPr="00322AE9">
              <w:rPr>
                <w:rFonts w:eastAsia="Times New Roman" w:cs="Times New Roman"/>
                <w:b/>
                <w:bCs/>
                <w:color w:val="000000"/>
                <w:sz w:val="20"/>
                <w:szCs w:val="20"/>
                <w:lang w:eastAsia="ru-RU"/>
              </w:rPr>
              <w:t>06</w:t>
            </w:r>
          </w:p>
        </w:tc>
        <w:tc>
          <w:tcPr>
            <w:tcW w:w="816" w:type="dxa"/>
            <w:tcBorders>
              <w:top w:val="nil"/>
              <w:left w:val="nil"/>
              <w:bottom w:val="single" w:sz="4" w:space="0" w:color="auto"/>
              <w:right w:val="single" w:sz="4" w:space="0" w:color="auto"/>
            </w:tcBorders>
            <w:shd w:val="clear" w:color="auto" w:fill="auto"/>
            <w:vAlign w:val="center"/>
            <w:hideMark/>
          </w:tcPr>
          <w:p w14:paraId="71EDE1EA" w14:textId="77777777" w:rsidR="00322AE9" w:rsidRPr="00322AE9" w:rsidRDefault="00322AE9" w:rsidP="00322AE9">
            <w:pPr>
              <w:ind w:firstLine="0"/>
              <w:jc w:val="center"/>
              <w:rPr>
                <w:rFonts w:eastAsia="Times New Roman" w:cs="Times New Roman"/>
                <w:b/>
                <w:bCs/>
                <w:color w:val="000000"/>
                <w:sz w:val="20"/>
                <w:szCs w:val="20"/>
                <w:lang w:eastAsia="ru-RU"/>
              </w:rPr>
            </w:pPr>
            <w:r w:rsidRPr="00322AE9">
              <w:rPr>
                <w:rFonts w:eastAsia="Times New Roman" w:cs="Times New Roman"/>
                <w:b/>
                <w:bCs/>
                <w:color w:val="000000"/>
                <w:sz w:val="20"/>
                <w:szCs w:val="20"/>
                <w:lang w:eastAsia="ru-RU"/>
              </w:rPr>
              <w:t>0600</w:t>
            </w:r>
          </w:p>
        </w:tc>
        <w:tc>
          <w:tcPr>
            <w:tcW w:w="2893" w:type="dxa"/>
            <w:tcBorders>
              <w:top w:val="nil"/>
              <w:left w:val="nil"/>
              <w:bottom w:val="single" w:sz="4" w:space="0" w:color="auto"/>
              <w:right w:val="single" w:sz="4" w:space="0" w:color="auto"/>
            </w:tcBorders>
            <w:shd w:val="clear" w:color="auto" w:fill="auto"/>
            <w:vAlign w:val="center"/>
            <w:hideMark/>
          </w:tcPr>
          <w:p w14:paraId="4E00B0B0" w14:textId="77777777" w:rsidR="00322AE9" w:rsidRPr="00322AE9" w:rsidRDefault="00322AE9" w:rsidP="00322AE9">
            <w:pPr>
              <w:ind w:firstLine="0"/>
              <w:jc w:val="left"/>
              <w:rPr>
                <w:rFonts w:eastAsia="Times New Roman" w:cs="Times New Roman"/>
                <w:b/>
                <w:bCs/>
                <w:color w:val="000000"/>
                <w:sz w:val="20"/>
                <w:szCs w:val="20"/>
                <w:lang w:eastAsia="ru-RU"/>
              </w:rPr>
            </w:pPr>
            <w:r w:rsidRPr="00322AE9">
              <w:rPr>
                <w:rFonts w:eastAsia="Times New Roman" w:cs="Times New Roman"/>
                <w:b/>
                <w:bCs/>
                <w:color w:val="000000"/>
                <w:sz w:val="20"/>
                <w:szCs w:val="20"/>
                <w:lang w:eastAsia="ru-RU"/>
              </w:rPr>
              <w:t>Группа 6. Административные и бытовые объекты</w:t>
            </w:r>
          </w:p>
        </w:tc>
        <w:tc>
          <w:tcPr>
            <w:tcW w:w="855" w:type="dxa"/>
            <w:tcBorders>
              <w:top w:val="nil"/>
              <w:left w:val="nil"/>
              <w:bottom w:val="single" w:sz="4" w:space="0" w:color="auto"/>
              <w:right w:val="single" w:sz="4" w:space="0" w:color="auto"/>
            </w:tcBorders>
            <w:shd w:val="clear" w:color="FFFFFF" w:fill="FFFFFF"/>
            <w:vAlign w:val="center"/>
            <w:hideMark/>
          </w:tcPr>
          <w:p w14:paraId="0B873252" w14:textId="77777777" w:rsidR="00322AE9" w:rsidRPr="00322AE9" w:rsidRDefault="00322AE9" w:rsidP="00322AE9">
            <w:pPr>
              <w:ind w:firstLine="0"/>
              <w:jc w:val="left"/>
              <w:rPr>
                <w:rFonts w:eastAsia="Times New Roman" w:cs="Times New Roman"/>
                <w:b/>
                <w:bCs/>
                <w:i/>
                <w:iCs/>
                <w:color w:val="000000"/>
                <w:sz w:val="18"/>
                <w:szCs w:val="18"/>
                <w:u w:val="single"/>
                <w:lang w:eastAsia="ru-RU"/>
              </w:rPr>
            </w:pPr>
            <w:r w:rsidRPr="00322AE9">
              <w:rPr>
                <w:rFonts w:eastAsia="Times New Roman" w:cs="Times New Roman"/>
                <w:b/>
                <w:bCs/>
                <w:i/>
                <w:iCs/>
                <w:color w:val="000000"/>
                <w:sz w:val="18"/>
                <w:szCs w:val="18"/>
                <w:u w:val="single"/>
                <w:lang w:eastAsia="ru-RU"/>
              </w:rPr>
              <w:t> </w:t>
            </w:r>
          </w:p>
        </w:tc>
        <w:tc>
          <w:tcPr>
            <w:tcW w:w="793" w:type="dxa"/>
            <w:tcBorders>
              <w:top w:val="nil"/>
              <w:left w:val="nil"/>
              <w:bottom w:val="single" w:sz="4" w:space="0" w:color="auto"/>
              <w:right w:val="single" w:sz="4" w:space="0" w:color="auto"/>
            </w:tcBorders>
            <w:shd w:val="clear" w:color="auto" w:fill="auto"/>
            <w:vAlign w:val="center"/>
            <w:hideMark/>
          </w:tcPr>
          <w:p w14:paraId="5CA23A38"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2,7</w:t>
            </w:r>
          </w:p>
        </w:tc>
        <w:tc>
          <w:tcPr>
            <w:tcW w:w="992" w:type="dxa"/>
            <w:tcBorders>
              <w:top w:val="nil"/>
              <w:left w:val="nil"/>
              <w:bottom w:val="single" w:sz="4" w:space="0" w:color="auto"/>
              <w:right w:val="single" w:sz="4" w:space="0" w:color="auto"/>
            </w:tcBorders>
            <w:shd w:val="clear" w:color="auto" w:fill="auto"/>
            <w:vAlign w:val="center"/>
            <w:hideMark/>
          </w:tcPr>
          <w:p w14:paraId="56A06CA8"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0,3</w:t>
            </w:r>
          </w:p>
        </w:tc>
        <w:tc>
          <w:tcPr>
            <w:tcW w:w="1030" w:type="dxa"/>
            <w:tcBorders>
              <w:top w:val="nil"/>
              <w:left w:val="nil"/>
              <w:bottom w:val="single" w:sz="4" w:space="0" w:color="auto"/>
              <w:right w:val="single" w:sz="4" w:space="0" w:color="auto"/>
            </w:tcBorders>
            <w:shd w:val="clear" w:color="auto" w:fill="auto"/>
            <w:vAlign w:val="center"/>
            <w:hideMark/>
          </w:tcPr>
          <w:p w14:paraId="63753B9A"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3,0</w:t>
            </w:r>
          </w:p>
        </w:tc>
        <w:tc>
          <w:tcPr>
            <w:tcW w:w="1096" w:type="dxa"/>
            <w:tcBorders>
              <w:top w:val="nil"/>
              <w:left w:val="nil"/>
              <w:bottom w:val="single" w:sz="4" w:space="0" w:color="auto"/>
              <w:right w:val="single" w:sz="4" w:space="0" w:color="auto"/>
            </w:tcBorders>
            <w:shd w:val="clear" w:color="auto" w:fill="auto"/>
            <w:vAlign w:val="center"/>
            <w:hideMark/>
          </w:tcPr>
          <w:p w14:paraId="237C633B"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1,6</w:t>
            </w:r>
          </w:p>
        </w:tc>
        <w:tc>
          <w:tcPr>
            <w:tcW w:w="1149" w:type="dxa"/>
            <w:tcBorders>
              <w:top w:val="nil"/>
              <w:left w:val="nil"/>
              <w:bottom w:val="single" w:sz="4" w:space="0" w:color="auto"/>
              <w:right w:val="single" w:sz="4" w:space="0" w:color="auto"/>
            </w:tcBorders>
            <w:shd w:val="clear" w:color="auto" w:fill="auto"/>
            <w:vAlign w:val="center"/>
            <w:hideMark/>
          </w:tcPr>
          <w:p w14:paraId="75F79191"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2,1</w:t>
            </w:r>
          </w:p>
        </w:tc>
        <w:tc>
          <w:tcPr>
            <w:tcW w:w="1119" w:type="dxa"/>
            <w:tcBorders>
              <w:top w:val="nil"/>
              <w:left w:val="nil"/>
              <w:bottom w:val="single" w:sz="4" w:space="0" w:color="auto"/>
              <w:right w:val="single" w:sz="4" w:space="0" w:color="auto"/>
            </w:tcBorders>
            <w:shd w:val="clear" w:color="auto" w:fill="auto"/>
            <w:vAlign w:val="center"/>
            <w:hideMark/>
          </w:tcPr>
          <w:p w14:paraId="35985E4A"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2,4</w:t>
            </w:r>
          </w:p>
        </w:tc>
        <w:tc>
          <w:tcPr>
            <w:tcW w:w="3149" w:type="dxa"/>
            <w:tcBorders>
              <w:top w:val="nil"/>
              <w:left w:val="nil"/>
              <w:bottom w:val="single" w:sz="4" w:space="0" w:color="auto"/>
              <w:right w:val="single" w:sz="4" w:space="0" w:color="auto"/>
            </w:tcBorders>
            <w:shd w:val="clear" w:color="FFFFFF" w:fill="FFFFFF"/>
            <w:hideMark/>
          </w:tcPr>
          <w:p w14:paraId="3166050A" w14:textId="77777777" w:rsidR="00322AE9" w:rsidRPr="00322AE9" w:rsidRDefault="00322AE9" w:rsidP="00322AE9">
            <w:pPr>
              <w:ind w:firstLine="0"/>
              <w:jc w:val="left"/>
              <w:rPr>
                <w:rFonts w:eastAsia="Times New Roman" w:cs="Times New Roman"/>
                <w:color w:val="000000"/>
                <w:sz w:val="18"/>
                <w:szCs w:val="18"/>
                <w:lang w:eastAsia="ru-RU"/>
              </w:rPr>
            </w:pPr>
            <w:r w:rsidRPr="00322AE9">
              <w:rPr>
                <w:rFonts w:eastAsia="Times New Roman" w:cs="Times New Roman"/>
                <w:color w:val="000000"/>
                <w:sz w:val="18"/>
                <w:szCs w:val="18"/>
                <w:lang w:eastAsia="ru-RU"/>
              </w:rPr>
              <w:t> </w:t>
            </w:r>
          </w:p>
        </w:tc>
      </w:tr>
      <w:tr w:rsidR="00322AE9" w:rsidRPr="00322AE9" w14:paraId="4314DC31" w14:textId="77777777" w:rsidTr="00322AE9">
        <w:trPr>
          <w:trHeight w:val="300"/>
          <w:jc w:val="center"/>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65E05AEE"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 </w:t>
            </w:r>
          </w:p>
        </w:tc>
        <w:tc>
          <w:tcPr>
            <w:tcW w:w="816" w:type="dxa"/>
            <w:tcBorders>
              <w:top w:val="nil"/>
              <w:left w:val="nil"/>
              <w:bottom w:val="single" w:sz="4" w:space="0" w:color="auto"/>
              <w:right w:val="single" w:sz="4" w:space="0" w:color="auto"/>
            </w:tcBorders>
            <w:shd w:val="clear" w:color="auto" w:fill="auto"/>
            <w:vAlign w:val="center"/>
            <w:hideMark/>
          </w:tcPr>
          <w:p w14:paraId="6B0D455C"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0601</w:t>
            </w:r>
          </w:p>
        </w:tc>
        <w:tc>
          <w:tcPr>
            <w:tcW w:w="2893" w:type="dxa"/>
            <w:tcBorders>
              <w:top w:val="nil"/>
              <w:left w:val="nil"/>
              <w:bottom w:val="single" w:sz="4" w:space="0" w:color="auto"/>
              <w:right w:val="single" w:sz="4" w:space="0" w:color="auto"/>
            </w:tcBorders>
            <w:shd w:val="clear" w:color="auto" w:fill="auto"/>
            <w:vAlign w:val="center"/>
            <w:hideMark/>
          </w:tcPr>
          <w:p w14:paraId="772ABFA6" w14:textId="77777777" w:rsidR="00322AE9" w:rsidRPr="00322AE9" w:rsidRDefault="00322AE9" w:rsidP="00322AE9">
            <w:pPr>
              <w:ind w:firstLine="0"/>
              <w:jc w:val="left"/>
              <w:rPr>
                <w:rFonts w:eastAsia="Times New Roman" w:cs="Times New Roman"/>
                <w:color w:val="000000"/>
                <w:sz w:val="20"/>
                <w:szCs w:val="20"/>
                <w:lang w:eastAsia="ru-RU"/>
              </w:rPr>
            </w:pPr>
            <w:r w:rsidRPr="00322AE9">
              <w:rPr>
                <w:rFonts w:eastAsia="Times New Roman" w:cs="Times New Roman"/>
                <w:color w:val="000000"/>
                <w:sz w:val="20"/>
                <w:szCs w:val="20"/>
                <w:lang w:eastAsia="ru-RU"/>
              </w:rPr>
              <w:t>Банки</w:t>
            </w:r>
          </w:p>
        </w:tc>
        <w:tc>
          <w:tcPr>
            <w:tcW w:w="855" w:type="dxa"/>
            <w:tcBorders>
              <w:top w:val="nil"/>
              <w:left w:val="nil"/>
              <w:bottom w:val="single" w:sz="4" w:space="0" w:color="auto"/>
              <w:right w:val="single" w:sz="4" w:space="0" w:color="auto"/>
            </w:tcBorders>
            <w:shd w:val="clear" w:color="FFFFFF" w:fill="FFFFFF"/>
            <w:vAlign w:val="center"/>
            <w:hideMark/>
          </w:tcPr>
          <w:p w14:paraId="3E072C6E"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 </w:t>
            </w:r>
          </w:p>
        </w:tc>
        <w:tc>
          <w:tcPr>
            <w:tcW w:w="793" w:type="dxa"/>
            <w:tcBorders>
              <w:top w:val="nil"/>
              <w:left w:val="nil"/>
              <w:bottom w:val="single" w:sz="4" w:space="0" w:color="auto"/>
              <w:right w:val="single" w:sz="4" w:space="0" w:color="auto"/>
            </w:tcBorders>
            <w:shd w:val="clear" w:color="auto" w:fill="auto"/>
            <w:vAlign w:val="center"/>
            <w:hideMark/>
          </w:tcPr>
          <w:p w14:paraId="34404BCF"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3,0</w:t>
            </w:r>
          </w:p>
        </w:tc>
        <w:tc>
          <w:tcPr>
            <w:tcW w:w="992" w:type="dxa"/>
            <w:tcBorders>
              <w:top w:val="nil"/>
              <w:left w:val="nil"/>
              <w:bottom w:val="single" w:sz="4" w:space="0" w:color="auto"/>
              <w:right w:val="single" w:sz="4" w:space="0" w:color="auto"/>
            </w:tcBorders>
            <w:shd w:val="clear" w:color="auto" w:fill="auto"/>
            <w:vAlign w:val="center"/>
            <w:hideMark/>
          </w:tcPr>
          <w:p w14:paraId="21A9017E"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0,3</w:t>
            </w:r>
          </w:p>
        </w:tc>
        <w:tc>
          <w:tcPr>
            <w:tcW w:w="1030" w:type="dxa"/>
            <w:tcBorders>
              <w:top w:val="nil"/>
              <w:left w:val="nil"/>
              <w:bottom w:val="single" w:sz="4" w:space="0" w:color="auto"/>
              <w:right w:val="single" w:sz="4" w:space="0" w:color="auto"/>
            </w:tcBorders>
            <w:shd w:val="clear" w:color="auto" w:fill="auto"/>
            <w:vAlign w:val="center"/>
            <w:hideMark/>
          </w:tcPr>
          <w:p w14:paraId="6BAB0893"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3,3</w:t>
            </w:r>
          </w:p>
        </w:tc>
        <w:tc>
          <w:tcPr>
            <w:tcW w:w="1096" w:type="dxa"/>
            <w:tcBorders>
              <w:top w:val="nil"/>
              <w:left w:val="nil"/>
              <w:bottom w:val="single" w:sz="4" w:space="0" w:color="auto"/>
              <w:right w:val="single" w:sz="4" w:space="0" w:color="auto"/>
            </w:tcBorders>
            <w:shd w:val="clear" w:color="auto" w:fill="auto"/>
            <w:vAlign w:val="center"/>
            <w:hideMark/>
          </w:tcPr>
          <w:p w14:paraId="1B74EC63"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1,6</w:t>
            </w:r>
          </w:p>
        </w:tc>
        <w:tc>
          <w:tcPr>
            <w:tcW w:w="1149" w:type="dxa"/>
            <w:tcBorders>
              <w:top w:val="nil"/>
              <w:left w:val="nil"/>
              <w:bottom w:val="single" w:sz="4" w:space="0" w:color="auto"/>
              <w:right w:val="single" w:sz="4" w:space="0" w:color="auto"/>
            </w:tcBorders>
            <w:shd w:val="clear" w:color="auto" w:fill="auto"/>
            <w:vAlign w:val="center"/>
            <w:hideMark/>
          </w:tcPr>
          <w:p w14:paraId="6F9D448A"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2,1</w:t>
            </w:r>
          </w:p>
        </w:tc>
        <w:tc>
          <w:tcPr>
            <w:tcW w:w="1119" w:type="dxa"/>
            <w:tcBorders>
              <w:top w:val="nil"/>
              <w:left w:val="nil"/>
              <w:bottom w:val="single" w:sz="4" w:space="0" w:color="auto"/>
              <w:right w:val="single" w:sz="4" w:space="0" w:color="auto"/>
            </w:tcBorders>
            <w:shd w:val="clear" w:color="auto" w:fill="auto"/>
            <w:vAlign w:val="center"/>
            <w:hideMark/>
          </w:tcPr>
          <w:p w14:paraId="7F5B5345"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2,4</w:t>
            </w:r>
          </w:p>
        </w:tc>
        <w:tc>
          <w:tcPr>
            <w:tcW w:w="3149" w:type="dxa"/>
            <w:tcBorders>
              <w:top w:val="nil"/>
              <w:left w:val="nil"/>
              <w:bottom w:val="single" w:sz="4" w:space="0" w:color="auto"/>
              <w:right w:val="single" w:sz="4" w:space="0" w:color="auto"/>
            </w:tcBorders>
            <w:shd w:val="clear" w:color="auto" w:fill="auto"/>
            <w:hideMark/>
          </w:tcPr>
          <w:p w14:paraId="6D96890E" w14:textId="77777777" w:rsidR="00322AE9" w:rsidRPr="00322AE9" w:rsidRDefault="00322AE9" w:rsidP="00322AE9">
            <w:pPr>
              <w:ind w:firstLine="0"/>
              <w:jc w:val="left"/>
              <w:rPr>
                <w:rFonts w:eastAsia="Times New Roman" w:cs="Times New Roman"/>
                <w:color w:val="000000"/>
                <w:sz w:val="18"/>
                <w:szCs w:val="18"/>
                <w:lang w:eastAsia="ru-RU"/>
              </w:rPr>
            </w:pPr>
            <w:r w:rsidRPr="00322AE9">
              <w:rPr>
                <w:rFonts w:eastAsia="Times New Roman" w:cs="Times New Roman"/>
                <w:color w:val="000000"/>
                <w:sz w:val="18"/>
                <w:szCs w:val="18"/>
                <w:lang w:eastAsia="ru-RU"/>
              </w:rPr>
              <w:t>СП 118.13330.2012 "Общественные здания", п.4.5;</w:t>
            </w:r>
          </w:p>
        </w:tc>
      </w:tr>
      <w:tr w:rsidR="00322AE9" w:rsidRPr="00322AE9" w14:paraId="6E382EB8" w14:textId="77777777" w:rsidTr="00322AE9">
        <w:trPr>
          <w:trHeight w:val="300"/>
          <w:jc w:val="center"/>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12501241"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 </w:t>
            </w:r>
          </w:p>
        </w:tc>
        <w:tc>
          <w:tcPr>
            <w:tcW w:w="816" w:type="dxa"/>
            <w:tcBorders>
              <w:top w:val="nil"/>
              <w:left w:val="nil"/>
              <w:bottom w:val="single" w:sz="4" w:space="0" w:color="auto"/>
              <w:right w:val="single" w:sz="4" w:space="0" w:color="auto"/>
            </w:tcBorders>
            <w:shd w:val="clear" w:color="auto" w:fill="auto"/>
            <w:vAlign w:val="center"/>
            <w:hideMark/>
          </w:tcPr>
          <w:p w14:paraId="24D901E9"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0602</w:t>
            </w:r>
          </w:p>
        </w:tc>
        <w:tc>
          <w:tcPr>
            <w:tcW w:w="2893" w:type="dxa"/>
            <w:tcBorders>
              <w:top w:val="nil"/>
              <w:left w:val="nil"/>
              <w:bottom w:val="single" w:sz="4" w:space="0" w:color="auto"/>
              <w:right w:val="single" w:sz="4" w:space="0" w:color="auto"/>
            </w:tcBorders>
            <w:shd w:val="clear" w:color="auto" w:fill="auto"/>
            <w:vAlign w:val="center"/>
            <w:hideMark/>
          </w:tcPr>
          <w:p w14:paraId="342B0742" w14:textId="77777777" w:rsidR="00322AE9" w:rsidRPr="00322AE9" w:rsidRDefault="00322AE9" w:rsidP="00322AE9">
            <w:pPr>
              <w:ind w:firstLine="0"/>
              <w:jc w:val="left"/>
              <w:rPr>
                <w:rFonts w:eastAsia="Times New Roman" w:cs="Times New Roman"/>
                <w:color w:val="000000"/>
                <w:sz w:val="20"/>
                <w:szCs w:val="20"/>
                <w:lang w:eastAsia="ru-RU"/>
              </w:rPr>
            </w:pPr>
            <w:r w:rsidRPr="00322AE9">
              <w:rPr>
                <w:rFonts w:eastAsia="Times New Roman" w:cs="Times New Roman"/>
                <w:color w:val="000000"/>
                <w:sz w:val="20"/>
                <w:szCs w:val="20"/>
                <w:lang w:eastAsia="ru-RU"/>
              </w:rPr>
              <w:t>Бизнес-центры</w:t>
            </w:r>
          </w:p>
        </w:tc>
        <w:tc>
          <w:tcPr>
            <w:tcW w:w="855" w:type="dxa"/>
            <w:tcBorders>
              <w:top w:val="nil"/>
              <w:left w:val="nil"/>
              <w:bottom w:val="single" w:sz="4" w:space="0" w:color="auto"/>
              <w:right w:val="single" w:sz="4" w:space="0" w:color="auto"/>
            </w:tcBorders>
            <w:shd w:val="clear" w:color="FFFFFF" w:fill="FFFFFF"/>
            <w:vAlign w:val="center"/>
            <w:hideMark/>
          </w:tcPr>
          <w:p w14:paraId="71C250FB"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 </w:t>
            </w:r>
          </w:p>
        </w:tc>
        <w:tc>
          <w:tcPr>
            <w:tcW w:w="793" w:type="dxa"/>
            <w:tcBorders>
              <w:top w:val="nil"/>
              <w:left w:val="nil"/>
              <w:bottom w:val="single" w:sz="4" w:space="0" w:color="auto"/>
              <w:right w:val="single" w:sz="4" w:space="0" w:color="auto"/>
            </w:tcBorders>
            <w:shd w:val="clear" w:color="auto" w:fill="auto"/>
            <w:vAlign w:val="center"/>
            <w:hideMark/>
          </w:tcPr>
          <w:p w14:paraId="46A99D80"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3,0</w:t>
            </w:r>
          </w:p>
        </w:tc>
        <w:tc>
          <w:tcPr>
            <w:tcW w:w="992" w:type="dxa"/>
            <w:tcBorders>
              <w:top w:val="nil"/>
              <w:left w:val="nil"/>
              <w:bottom w:val="single" w:sz="4" w:space="0" w:color="auto"/>
              <w:right w:val="single" w:sz="4" w:space="0" w:color="auto"/>
            </w:tcBorders>
            <w:shd w:val="clear" w:color="auto" w:fill="auto"/>
            <w:vAlign w:val="center"/>
            <w:hideMark/>
          </w:tcPr>
          <w:p w14:paraId="740C1C20"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0,3</w:t>
            </w:r>
          </w:p>
        </w:tc>
        <w:tc>
          <w:tcPr>
            <w:tcW w:w="1030" w:type="dxa"/>
            <w:tcBorders>
              <w:top w:val="nil"/>
              <w:left w:val="nil"/>
              <w:bottom w:val="single" w:sz="4" w:space="0" w:color="auto"/>
              <w:right w:val="single" w:sz="4" w:space="0" w:color="auto"/>
            </w:tcBorders>
            <w:shd w:val="clear" w:color="auto" w:fill="auto"/>
            <w:vAlign w:val="center"/>
            <w:hideMark/>
          </w:tcPr>
          <w:p w14:paraId="0F9FF5A8"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3,3</w:t>
            </w:r>
          </w:p>
        </w:tc>
        <w:tc>
          <w:tcPr>
            <w:tcW w:w="1096" w:type="dxa"/>
            <w:tcBorders>
              <w:top w:val="nil"/>
              <w:left w:val="nil"/>
              <w:bottom w:val="single" w:sz="4" w:space="0" w:color="auto"/>
              <w:right w:val="single" w:sz="4" w:space="0" w:color="auto"/>
            </w:tcBorders>
            <w:shd w:val="clear" w:color="auto" w:fill="auto"/>
            <w:vAlign w:val="center"/>
            <w:hideMark/>
          </w:tcPr>
          <w:p w14:paraId="069FF597"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1,6</w:t>
            </w:r>
          </w:p>
        </w:tc>
        <w:tc>
          <w:tcPr>
            <w:tcW w:w="1149" w:type="dxa"/>
            <w:tcBorders>
              <w:top w:val="nil"/>
              <w:left w:val="nil"/>
              <w:bottom w:val="single" w:sz="4" w:space="0" w:color="auto"/>
              <w:right w:val="single" w:sz="4" w:space="0" w:color="auto"/>
            </w:tcBorders>
            <w:shd w:val="clear" w:color="auto" w:fill="auto"/>
            <w:vAlign w:val="center"/>
            <w:hideMark/>
          </w:tcPr>
          <w:p w14:paraId="419D673D"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2,1</w:t>
            </w:r>
          </w:p>
        </w:tc>
        <w:tc>
          <w:tcPr>
            <w:tcW w:w="1119" w:type="dxa"/>
            <w:tcBorders>
              <w:top w:val="nil"/>
              <w:left w:val="nil"/>
              <w:bottom w:val="single" w:sz="4" w:space="0" w:color="auto"/>
              <w:right w:val="single" w:sz="4" w:space="0" w:color="auto"/>
            </w:tcBorders>
            <w:shd w:val="clear" w:color="auto" w:fill="auto"/>
            <w:vAlign w:val="center"/>
            <w:hideMark/>
          </w:tcPr>
          <w:p w14:paraId="4E8E70A4"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2,4</w:t>
            </w:r>
          </w:p>
        </w:tc>
        <w:tc>
          <w:tcPr>
            <w:tcW w:w="3149" w:type="dxa"/>
            <w:tcBorders>
              <w:top w:val="nil"/>
              <w:left w:val="nil"/>
              <w:bottom w:val="single" w:sz="4" w:space="0" w:color="auto"/>
              <w:right w:val="single" w:sz="4" w:space="0" w:color="auto"/>
            </w:tcBorders>
            <w:shd w:val="clear" w:color="auto" w:fill="auto"/>
            <w:hideMark/>
          </w:tcPr>
          <w:p w14:paraId="4984297B" w14:textId="77777777" w:rsidR="00322AE9" w:rsidRPr="00322AE9" w:rsidRDefault="00322AE9" w:rsidP="00322AE9">
            <w:pPr>
              <w:ind w:firstLine="0"/>
              <w:jc w:val="left"/>
              <w:rPr>
                <w:rFonts w:eastAsia="Times New Roman" w:cs="Times New Roman"/>
                <w:color w:val="000000"/>
                <w:sz w:val="18"/>
                <w:szCs w:val="18"/>
                <w:lang w:eastAsia="ru-RU"/>
              </w:rPr>
            </w:pPr>
            <w:r w:rsidRPr="00322AE9">
              <w:rPr>
                <w:rFonts w:eastAsia="Times New Roman" w:cs="Times New Roman"/>
                <w:color w:val="000000"/>
                <w:sz w:val="18"/>
                <w:szCs w:val="18"/>
                <w:lang w:eastAsia="ru-RU"/>
              </w:rPr>
              <w:t>СП 118.13330.2012 "Общественные здания", п.4.5;</w:t>
            </w:r>
          </w:p>
        </w:tc>
      </w:tr>
      <w:tr w:rsidR="00322AE9" w:rsidRPr="00322AE9" w14:paraId="1599D97A" w14:textId="77777777" w:rsidTr="00322AE9">
        <w:trPr>
          <w:trHeight w:val="480"/>
          <w:jc w:val="center"/>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7C653D47"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 </w:t>
            </w:r>
          </w:p>
        </w:tc>
        <w:tc>
          <w:tcPr>
            <w:tcW w:w="816" w:type="dxa"/>
            <w:tcBorders>
              <w:top w:val="nil"/>
              <w:left w:val="nil"/>
              <w:bottom w:val="single" w:sz="4" w:space="0" w:color="auto"/>
              <w:right w:val="single" w:sz="4" w:space="0" w:color="auto"/>
            </w:tcBorders>
            <w:shd w:val="clear" w:color="auto" w:fill="auto"/>
            <w:vAlign w:val="center"/>
            <w:hideMark/>
          </w:tcPr>
          <w:p w14:paraId="52ECD77C"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0603</w:t>
            </w:r>
          </w:p>
        </w:tc>
        <w:tc>
          <w:tcPr>
            <w:tcW w:w="2893" w:type="dxa"/>
            <w:tcBorders>
              <w:top w:val="nil"/>
              <w:left w:val="nil"/>
              <w:bottom w:val="single" w:sz="4" w:space="0" w:color="auto"/>
              <w:right w:val="single" w:sz="4" w:space="0" w:color="auto"/>
            </w:tcBorders>
            <w:shd w:val="clear" w:color="auto" w:fill="auto"/>
            <w:vAlign w:val="center"/>
            <w:hideMark/>
          </w:tcPr>
          <w:p w14:paraId="63139247" w14:textId="77777777" w:rsidR="00322AE9" w:rsidRPr="00322AE9" w:rsidRDefault="00322AE9" w:rsidP="00322AE9">
            <w:pPr>
              <w:ind w:firstLine="0"/>
              <w:jc w:val="left"/>
              <w:rPr>
                <w:rFonts w:eastAsia="Times New Roman" w:cs="Times New Roman"/>
                <w:color w:val="000000"/>
                <w:sz w:val="20"/>
                <w:szCs w:val="20"/>
                <w:lang w:eastAsia="ru-RU"/>
              </w:rPr>
            </w:pPr>
            <w:r w:rsidRPr="00322AE9">
              <w:rPr>
                <w:rFonts w:eastAsia="Times New Roman" w:cs="Times New Roman"/>
                <w:color w:val="000000"/>
                <w:sz w:val="20"/>
                <w:szCs w:val="20"/>
                <w:lang w:eastAsia="ru-RU"/>
              </w:rPr>
              <w:t>Бытовые, административно-бытовые здания</w:t>
            </w:r>
          </w:p>
        </w:tc>
        <w:tc>
          <w:tcPr>
            <w:tcW w:w="855" w:type="dxa"/>
            <w:tcBorders>
              <w:top w:val="nil"/>
              <w:left w:val="nil"/>
              <w:bottom w:val="single" w:sz="4" w:space="0" w:color="auto"/>
              <w:right w:val="single" w:sz="4" w:space="0" w:color="auto"/>
            </w:tcBorders>
            <w:shd w:val="clear" w:color="FFFFFF" w:fill="FFFFFF"/>
            <w:vAlign w:val="center"/>
            <w:hideMark/>
          </w:tcPr>
          <w:p w14:paraId="00DF8CA8"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 </w:t>
            </w:r>
          </w:p>
        </w:tc>
        <w:tc>
          <w:tcPr>
            <w:tcW w:w="793" w:type="dxa"/>
            <w:tcBorders>
              <w:top w:val="nil"/>
              <w:left w:val="nil"/>
              <w:bottom w:val="single" w:sz="4" w:space="0" w:color="auto"/>
              <w:right w:val="single" w:sz="4" w:space="0" w:color="auto"/>
            </w:tcBorders>
            <w:shd w:val="clear" w:color="auto" w:fill="auto"/>
            <w:vAlign w:val="center"/>
            <w:hideMark/>
          </w:tcPr>
          <w:p w14:paraId="1B23BADC"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2,5</w:t>
            </w:r>
          </w:p>
        </w:tc>
        <w:tc>
          <w:tcPr>
            <w:tcW w:w="992" w:type="dxa"/>
            <w:tcBorders>
              <w:top w:val="nil"/>
              <w:left w:val="nil"/>
              <w:bottom w:val="single" w:sz="4" w:space="0" w:color="auto"/>
              <w:right w:val="single" w:sz="4" w:space="0" w:color="auto"/>
            </w:tcBorders>
            <w:shd w:val="clear" w:color="auto" w:fill="auto"/>
            <w:vAlign w:val="center"/>
            <w:hideMark/>
          </w:tcPr>
          <w:p w14:paraId="44C45BBF"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0,3</w:t>
            </w:r>
          </w:p>
        </w:tc>
        <w:tc>
          <w:tcPr>
            <w:tcW w:w="1030" w:type="dxa"/>
            <w:tcBorders>
              <w:top w:val="nil"/>
              <w:left w:val="nil"/>
              <w:bottom w:val="single" w:sz="4" w:space="0" w:color="auto"/>
              <w:right w:val="single" w:sz="4" w:space="0" w:color="auto"/>
            </w:tcBorders>
            <w:shd w:val="clear" w:color="auto" w:fill="auto"/>
            <w:vAlign w:val="center"/>
            <w:hideMark/>
          </w:tcPr>
          <w:p w14:paraId="3C007ADA"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2,8</w:t>
            </w:r>
          </w:p>
        </w:tc>
        <w:tc>
          <w:tcPr>
            <w:tcW w:w="1096" w:type="dxa"/>
            <w:tcBorders>
              <w:top w:val="nil"/>
              <w:left w:val="nil"/>
              <w:bottom w:val="single" w:sz="4" w:space="0" w:color="auto"/>
              <w:right w:val="single" w:sz="4" w:space="0" w:color="auto"/>
            </w:tcBorders>
            <w:shd w:val="clear" w:color="auto" w:fill="auto"/>
            <w:vAlign w:val="center"/>
            <w:hideMark/>
          </w:tcPr>
          <w:p w14:paraId="7975D1DC"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1,6</w:t>
            </w:r>
          </w:p>
        </w:tc>
        <w:tc>
          <w:tcPr>
            <w:tcW w:w="1149" w:type="dxa"/>
            <w:tcBorders>
              <w:top w:val="nil"/>
              <w:left w:val="nil"/>
              <w:bottom w:val="single" w:sz="4" w:space="0" w:color="auto"/>
              <w:right w:val="single" w:sz="4" w:space="0" w:color="auto"/>
            </w:tcBorders>
            <w:shd w:val="clear" w:color="auto" w:fill="auto"/>
            <w:vAlign w:val="center"/>
            <w:hideMark/>
          </w:tcPr>
          <w:p w14:paraId="3800EEDE"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2,1</w:t>
            </w:r>
          </w:p>
        </w:tc>
        <w:tc>
          <w:tcPr>
            <w:tcW w:w="1119" w:type="dxa"/>
            <w:tcBorders>
              <w:top w:val="nil"/>
              <w:left w:val="nil"/>
              <w:bottom w:val="single" w:sz="4" w:space="0" w:color="auto"/>
              <w:right w:val="single" w:sz="4" w:space="0" w:color="auto"/>
            </w:tcBorders>
            <w:shd w:val="clear" w:color="auto" w:fill="auto"/>
            <w:vAlign w:val="center"/>
            <w:hideMark/>
          </w:tcPr>
          <w:p w14:paraId="16D87D90"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2,4</w:t>
            </w:r>
          </w:p>
        </w:tc>
        <w:tc>
          <w:tcPr>
            <w:tcW w:w="3149" w:type="dxa"/>
            <w:tcBorders>
              <w:top w:val="nil"/>
              <w:left w:val="nil"/>
              <w:bottom w:val="single" w:sz="4" w:space="0" w:color="auto"/>
              <w:right w:val="single" w:sz="4" w:space="0" w:color="auto"/>
            </w:tcBorders>
            <w:shd w:val="clear" w:color="FFFFFF" w:fill="FFFFFF"/>
            <w:hideMark/>
          </w:tcPr>
          <w:p w14:paraId="0A55B8A9" w14:textId="77777777" w:rsidR="00322AE9" w:rsidRPr="00322AE9" w:rsidRDefault="00322AE9" w:rsidP="00322AE9">
            <w:pPr>
              <w:ind w:firstLine="0"/>
              <w:jc w:val="left"/>
              <w:rPr>
                <w:rFonts w:eastAsia="Times New Roman" w:cs="Times New Roman"/>
                <w:color w:val="000000"/>
                <w:sz w:val="18"/>
                <w:szCs w:val="18"/>
                <w:lang w:eastAsia="ru-RU"/>
              </w:rPr>
            </w:pPr>
            <w:r w:rsidRPr="00322AE9">
              <w:rPr>
                <w:rFonts w:eastAsia="Times New Roman" w:cs="Times New Roman"/>
                <w:color w:val="000000"/>
                <w:sz w:val="18"/>
                <w:szCs w:val="18"/>
                <w:lang w:eastAsia="ru-RU"/>
              </w:rPr>
              <w:t>СП 44.13330.2011 "Административные и бытовые здания" п.4.3</w:t>
            </w:r>
          </w:p>
        </w:tc>
      </w:tr>
      <w:tr w:rsidR="00322AE9" w:rsidRPr="00322AE9" w14:paraId="4911192C" w14:textId="77777777" w:rsidTr="00322AE9">
        <w:trPr>
          <w:trHeight w:val="510"/>
          <w:jc w:val="center"/>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4A38EBFF"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 </w:t>
            </w:r>
          </w:p>
        </w:tc>
        <w:tc>
          <w:tcPr>
            <w:tcW w:w="816" w:type="dxa"/>
            <w:tcBorders>
              <w:top w:val="nil"/>
              <w:left w:val="nil"/>
              <w:bottom w:val="single" w:sz="4" w:space="0" w:color="auto"/>
              <w:right w:val="single" w:sz="4" w:space="0" w:color="auto"/>
            </w:tcBorders>
            <w:shd w:val="clear" w:color="auto" w:fill="auto"/>
            <w:vAlign w:val="center"/>
            <w:hideMark/>
          </w:tcPr>
          <w:p w14:paraId="04C264D7"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0604</w:t>
            </w:r>
          </w:p>
        </w:tc>
        <w:tc>
          <w:tcPr>
            <w:tcW w:w="2893" w:type="dxa"/>
            <w:tcBorders>
              <w:top w:val="nil"/>
              <w:left w:val="nil"/>
              <w:bottom w:val="single" w:sz="4" w:space="0" w:color="auto"/>
              <w:right w:val="single" w:sz="4" w:space="0" w:color="auto"/>
            </w:tcBorders>
            <w:shd w:val="clear" w:color="auto" w:fill="auto"/>
            <w:vAlign w:val="center"/>
            <w:hideMark/>
          </w:tcPr>
          <w:p w14:paraId="30A33F5C" w14:textId="77777777" w:rsidR="00322AE9" w:rsidRPr="00322AE9" w:rsidRDefault="00322AE9" w:rsidP="00322AE9">
            <w:pPr>
              <w:ind w:firstLine="0"/>
              <w:jc w:val="left"/>
              <w:rPr>
                <w:rFonts w:eastAsia="Times New Roman" w:cs="Times New Roman"/>
                <w:color w:val="000000"/>
                <w:sz w:val="20"/>
                <w:szCs w:val="20"/>
                <w:lang w:eastAsia="ru-RU"/>
              </w:rPr>
            </w:pPr>
            <w:r w:rsidRPr="00322AE9">
              <w:rPr>
                <w:rFonts w:eastAsia="Times New Roman" w:cs="Times New Roman"/>
                <w:color w:val="000000"/>
                <w:sz w:val="20"/>
                <w:szCs w:val="20"/>
                <w:lang w:eastAsia="ru-RU"/>
              </w:rPr>
              <w:t>Административные  здания, заводоуправления, штабы ВС РФ</w:t>
            </w:r>
          </w:p>
        </w:tc>
        <w:tc>
          <w:tcPr>
            <w:tcW w:w="855" w:type="dxa"/>
            <w:tcBorders>
              <w:top w:val="nil"/>
              <w:left w:val="nil"/>
              <w:bottom w:val="single" w:sz="4" w:space="0" w:color="auto"/>
              <w:right w:val="single" w:sz="4" w:space="0" w:color="auto"/>
            </w:tcBorders>
            <w:shd w:val="clear" w:color="FFFFFF" w:fill="FFFFFF"/>
            <w:vAlign w:val="center"/>
            <w:hideMark/>
          </w:tcPr>
          <w:p w14:paraId="01C26931"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 </w:t>
            </w:r>
          </w:p>
        </w:tc>
        <w:tc>
          <w:tcPr>
            <w:tcW w:w="793" w:type="dxa"/>
            <w:tcBorders>
              <w:top w:val="nil"/>
              <w:left w:val="nil"/>
              <w:bottom w:val="single" w:sz="4" w:space="0" w:color="auto"/>
              <w:right w:val="single" w:sz="4" w:space="0" w:color="auto"/>
            </w:tcBorders>
            <w:shd w:val="clear" w:color="FFFFFF" w:fill="FFFFFF"/>
            <w:vAlign w:val="center"/>
            <w:hideMark/>
          </w:tcPr>
          <w:p w14:paraId="1A4A3C31"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2,5</w:t>
            </w:r>
          </w:p>
        </w:tc>
        <w:tc>
          <w:tcPr>
            <w:tcW w:w="992" w:type="dxa"/>
            <w:tcBorders>
              <w:top w:val="nil"/>
              <w:left w:val="nil"/>
              <w:bottom w:val="single" w:sz="4" w:space="0" w:color="auto"/>
              <w:right w:val="single" w:sz="4" w:space="0" w:color="auto"/>
            </w:tcBorders>
            <w:shd w:val="clear" w:color="auto" w:fill="auto"/>
            <w:vAlign w:val="center"/>
            <w:hideMark/>
          </w:tcPr>
          <w:p w14:paraId="2CF3F0E8"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0,3</w:t>
            </w:r>
          </w:p>
        </w:tc>
        <w:tc>
          <w:tcPr>
            <w:tcW w:w="1030" w:type="dxa"/>
            <w:tcBorders>
              <w:top w:val="nil"/>
              <w:left w:val="nil"/>
              <w:bottom w:val="single" w:sz="4" w:space="0" w:color="auto"/>
              <w:right w:val="single" w:sz="4" w:space="0" w:color="auto"/>
            </w:tcBorders>
            <w:shd w:val="clear" w:color="auto" w:fill="auto"/>
            <w:vAlign w:val="center"/>
            <w:hideMark/>
          </w:tcPr>
          <w:p w14:paraId="256DBB3E"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2,8</w:t>
            </w:r>
          </w:p>
        </w:tc>
        <w:tc>
          <w:tcPr>
            <w:tcW w:w="1096" w:type="dxa"/>
            <w:tcBorders>
              <w:top w:val="nil"/>
              <w:left w:val="nil"/>
              <w:bottom w:val="single" w:sz="4" w:space="0" w:color="auto"/>
              <w:right w:val="single" w:sz="4" w:space="0" w:color="auto"/>
            </w:tcBorders>
            <w:shd w:val="clear" w:color="auto" w:fill="auto"/>
            <w:vAlign w:val="center"/>
            <w:hideMark/>
          </w:tcPr>
          <w:p w14:paraId="7DB4ED85"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1,6</w:t>
            </w:r>
          </w:p>
        </w:tc>
        <w:tc>
          <w:tcPr>
            <w:tcW w:w="1149" w:type="dxa"/>
            <w:tcBorders>
              <w:top w:val="nil"/>
              <w:left w:val="nil"/>
              <w:bottom w:val="single" w:sz="4" w:space="0" w:color="auto"/>
              <w:right w:val="single" w:sz="4" w:space="0" w:color="auto"/>
            </w:tcBorders>
            <w:shd w:val="clear" w:color="auto" w:fill="auto"/>
            <w:vAlign w:val="center"/>
            <w:hideMark/>
          </w:tcPr>
          <w:p w14:paraId="210909C5"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2,1</w:t>
            </w:r>
          </w:p>
        </w:tc>
        <w:tc>
          <w:tcPr>
            <w:tcW w:w="1119" w:type="dxa"/>
            <w:tcBorders>
              <w:top w:val="nil"/>
              <w:left w:val="nil"/>
              <w:bottom w:val="single" w:sz="4" w:space="0" w:color="auto"/>
              <w:right w:val="single" w:sz="4" w:space="0" w:color="auto"/>
            </w:tcBorders>
            <w:shd w:val="clear" w:color="auto" w:fill="auto"/>
            <w:vAlign w:val="center"/>
            <w:hideMark/>
          </w:tcPr>
          <w:p w14:paraId="72C8872E"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2,4</w:t>
            </w:r>
          </w:p>
        </w:tc>
        <w:tc>
          <w:tcPr>
            <w:tcW w:w="3149" w:type="dxa"/>
            <w:tcBorders>
              <w:top w:val="nil"/>
              <w:left w:val="nil"/>
              <w:bottom w:val="single" w:sz="4" w:space="0" w:color="auto"/>
              <w:right w:val="single" w:sz="4" w:space="0" w:color="auto"/>
            </w:tcBorders>
            <w:shd w:val="clear" w:color="FFFFFF" w:fill="FFFFFF"/>
            <w:hideMark/>
          </w:tcPr>
          <w:p w14:paraId="11F6EDE5" w14:textId="77777777" w:rsidR="00322AE9" w:rsidRPr="00322AE9" w:rsidRDefault="00322AE9" w:rsidP="00322AE9">
            <w:pPr>
              <w:ind w:firstLine="0"/>
              <w:jc w:val="left"/>
              <w:rPr>
                <w:rFonts w:eastAsia="Times New Roman" w:cs="Times New Roman"/>
                <w:color w:val="000000"/>
                <w:sz w:val="18"/>
                <w:szCs w:val="18"/>
                <w:lang w:eastAsia="ru-RU"/>
              </w:rPr>
            </w:pPr>
            <w:r w:rsidRPr="00322AE9">
              <w:rPr>
                <w:rFonts w:eastAsia="Times New Roman" w:cs="Times New Roman"/>
                <w:color w:val="000000"/>
                <w:sz w:val="18"/>
                <w:szCs w:val="18"/>
                <w:lang w:eastAsia="ru-RU"/>
              </w:rPr>
              <w:t>СП 44.13330.2011 "Административные и бытовые здания" п.4.3</w:t>
            </w:r>
          </w:p>
        </w:tc>
      </w:tr>
      <w:tr w:rsidR="00322AE9" w:rsidRPr="00322AE9" w14:paraId="115E6DC4" w14:textId="77777777" w:rsidTr="00322AE9">
        <w:trPr>
          <w:trHeight w:val="480"/>
          <w:jc w:val="center"/>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2FFF828E"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 </w:t>
            </w:r>
          </w:p>
        </w:tc>
        <w:tc>
          <w:tcPr>
            <w:tcW w:w="816" w:type="dxa"/>
            <w:tcBorders>
              <w:top w:val="nil"/>
              <w:left w:val="nil"/>
              <w:bottom w:val="single" w:sz="4" w:space="0" w:color="auto"/>
              <w:right w:val="single" w:sz="4" w:space="0" w:color="auto"/>
            </w:tcBorders>
            <w:shd w:val="clear" w:color="auto" w:fill="auto"/>
            <w:vAlign w:val="center"/>
            <w:hideMark/>
          </w:tcPr>
          <w:p w14:paraId="784045B1"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0605</w:t>
            </w:r>
          </w:p>
        </w:tc>
        <w:tc>
          <w:tcPr>
            <w:tcW w:w="2893" w:type="dxa"/>
            <w:tcBorders>
              <w:top w:val="nil"/>
              <w:left w:val="nil"/>
              <w:bottom w:val="single" w:sz="4" w:space="0" w:color="auto"/>
              <w:right w:val="single" w:sz="4" w:space="0" w:color="auto"/>
            </w:tcBorders>
            <w:shd w:val="clear" w:color="auto" w:fill="auto"/>
            <w:vAlign w:val="center"/>
            <w:hideMark/>
          </w:tcPr>
          <w:p w14:paraId="54BE9BC6" w14:textId="77777777" w:rsidR="00322AE9" w:rsidRPr="00322AE9" w:rsidRDefault="00322AE9" w:rsidP="00322AE9">
            <w:pPr>
              <w:ind w:firstLine="0"/>
              <w:jc w:val="left"/>
              <w:rPr>
                <w:rFonts w:eastAsia="Times New Roman" w:cs="Times New Roman"/>
                <w:color w:val="000000"/>
                <w:sz w:val="20"/>
                <w:szCs w:val="20"/>
                <w:lang w:eastAsia="ru-RU"/>
              </w:rPr>
            </w:pPr>
            <w:r w:rsidRPr="00322AE9">
              <w:rPr>
                <w:rFonts w:eastAsia="Times New Roman" w:cs="Times New Roman"/>
                <w:color w:val="000000"/>
                <w:sz w:val="20"/>
                <w:szCs w:val="20"/>
                <w:lang w:eastAsia="ru-RU"/>
              </w:rPr>
              <w:t>Лабораторные корпуса</w:t>
            </w:r>
          </w:p>
        </w:tc>
        <w:tc>
          <w:tcPr>
            <w:tcW w:w="855" w:type="dxa"/>
            <w:tcBorders>
              <w:top w:val="nil"/>
              <w:left w:val="nil"/>
              <w:bottom w:val="single" w:sz="4" w:space="0" w:color="auto"/>
              <w:right w:val="single" w:sz="4" w:space="0" w:color="auto"/>
            </w:tcBorders>
            <w:shd w:val="clear" w:color="FFFFFF" w:fill="FFFFFF"/>
            <w:vAlign w:val="center"/>
            <w:hideMark/>
          </w:tcPr>
          <w:p w14:paraId="2F6ADA2A"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 </w:t>
            </w:r>
          </w:p>
        </w:tc>
        <w:tc>
          <w:tcPr>
            <w:tcW w:w="793" w:type="dxa"/>
            <w:tcBorders>
              <w:top w:val="nil"/>
              <w:left w:val="nil"/>
              <w:bottom w:val="single" w:sz="4" w:space="0" w:color="auto"/>
              <w:right w:val="single" w:sz="4" w:space="0" w:color="auto"/>
            </w:tcBorders>
            <w:shd w:val="clear" w:color="FFFFFF" w:fill="FFFFFF"/>
            <w:vAlign w:val="center"/>
            <w:hideMark/>
          </w:tcPr>
          <w:p w14:paraId="314051EE"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2,5</w:t>
            </w:r>
          </w:p>
        </w:tc>
        <w:tc>
          <w:tcPr>
            <w:tcW w:w="992" w:type="dxa"/>
            <w:tcBorders>
              <w:top w:val="nil"/>
              <w:left w:val="nil"/>
              <w:bottom w:val="single" w:sz="4" w:space="0" w:color="auto"/>
              <w:right w:val="single" w:sz="4" w:space="0" w:color="auto"/>
            </w:tcBorders>
            <w:shd w:val="clear" w:color="auto" w:fill="auto"/>
            <w:vAlign w:val="center"/>
            <w:hideMark/>
          </w:tcPr>
          <w:p w14:paraId="0B93D4AE"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0,3</w:t>
            </w:r>
          </w:p>
        </w:tc>
        <w:tc>
          <w:tcPr>
            <w:tcW w:w="1030" w:type="dxa"/>
            <w:tcBorders>
              <w:top w:val="nil"/>
              <w:left w:val="nil"/>
              <w:bottom w:val="single" w:sz="4" w:space="0" w:color="auto"/>
              <w:right w:val="single" w:sz="4" w:space="0" w:color="auto"/>
            </w:tcBorders>
            <w:shd w:val="clear" w:color="auto" w:fill="auto"/>
            <w:vAlign w:val="center"/>
            <w:hideMark/>
          </w:tcPr>
          <w:p w14:paraId="4152DA0C"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2,8</w:t>
            </w:r>
          </w:p>
        </w:tc>
        <w:tc>
          <w:tcPr>
            <w:tcW w:w="1096" w:type="dxa"/>
            <w:tcBorders>
              <w:top w:val="nil"/>
              <w:left w:val="nil"/>
              <w:bottom w:val="single" w:sz="4" w:space="0" w:color="auto"/>
              <w:right w:val="single" w:sz="4" w:space="0" w:color="auto"/>
            </w:tcBorders>
            <w:shd w:val="clear" w:color="auto" w:fill="auto"/>
            <w:vAlign w:val="center"/>
            <w:hideMark/>
          </w:tcPr>
          <w:p w14:paraId="2283D91A"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1,6</w:t>
            </w:r>
          </w:p>
        </w:tc>
        <w:tc>
          <w:tcPr>
            <w:tcW w:w="1149" w:type="dxa"/>
            <w:tcBorders>
              <w:top w:val="nil"/>
              <w:left w:val="nil"/>
              <w:bottom w:val="single" w:sz="4" w:space="0" w:color="auto"/>
              <w:right w:val="single" w:sz="4" w:space="0" w:color="auto"/>
            </w:tcBorders>
            <w:shd w:val="clear" w:color="auto" w:fill="auto"/>
            <w:vAlign w:val="center"/>
            <w:hideMark/>
          </w:tcPr>
          <w:p w14:paraId="372C6CA6"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2,1</w:t>
            </w:r>
          </w:p>
        </w:tc>
        <w:tc>
          <w:tcPr>
            <w:tcW w:w="1119" w:type="dxa"/>
            <w:tcBorders>
              <w:top w:val="nil"/>
              <w:left w:val="nil"/>
              <w:bottom w:val="single" w:sz="4" w:space="0" w:color="auto"/>
              <w:right w:val="single" w:sz="4" w:space="0" w:color="auto"/>
            </w:tcBorders>
            <w:shd w:val="clear" w:color="auto" w:fill="auto"/>
            <w:vAlign w:val="center"/>
            <w:hideMark/>
          </w:tcPr>
          <w:p w14:paraId="3E50EA9B"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2,4</w:t>
            </w:r>
          </w:p>
        </w:tc>
        <w:tc>
          <w:tcPr>
            <w:tcW w:w="3149" w:type="dxa"/>
            <w:tcBorders>
              <w:top w:val="nil"/>
              <w:left w:val="nil"/>
              <w:bottom w:val="single" w:sz="4" w:space="0" w:color="auto"/>
              <w:right w:val="single" w:sz="4" w:space="0" w:color="auto"/>
            </w:tcBorders>
            <w:shd w:val="clear" w:color="FFFFFF" w:fill="FFFFFF"/>
            <w:hideMark/>
          </w:tcPr>
          <w:p w14:paraId="41450F08" w14:textId="77777777" w:rsidR="00322AE9" w:rsidRPr="00322AE9" w:rsidRDefault="00322AE9" w:rsidP="00322AE9">
            <w:pPr>
              <w:ind w:firstLine="0"/>
              <w:jc w:val="left"/>
              <w:rPr>
                <w:rFonts w:eastAsia="Times New Roman" w:cs="Times New Roman"/>
                <w:color w:val="000000"/>
                <w:sz w:val="18"/>
                <w:szCs w:val="18"/>
                <w:lang w:eastAsia="ru-RU"/>
              </w:rPr>
            </w:pPr>
            <w:r w:rsidRPr="00322AE9">
              <w:rPr>
                <w:rFonts w:eastAsia="Times New Roman" w:cs="Times New Roman"/>
                <w:color w:val="000000"/>
                <w:sz w:val="18"/>
                <w:szCs w:val="18"/>
                <w:lang w:eastAsia="ru-RU"/>
              </w:rPr>
              <w:t>СП 44.13330.2011 "Административные и бытовые здания" п.4.3</w:t>
            </w:r>
          </w:p>
        </w:tc>
      </w:tr>
      <w:tr w:rsidR="00322AE9" w:rsidRPr="00322AE9" w14:paraId="2EFC6C20" w14:textId="77777777" w:rsidTr="00322AE9">
        <w:trPr>
          <w:trHeight w:val="480"/>
          <w:jc w:val="center"/>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6EA5B318"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 </w:t>
            </w:r>
          </w:p>
        </w:tc>
        <w:tc>
          <w:tcPr>
            <w:tcW w:w="816" w:type="dxa"/>
            <w:tcBorders>
              <w:top w:val="nil"/>
              <w:left w:val="nil"/>
              <w:bottom w:val="single" w:sz="4" w:space="0" w:color="auto"/>
              <w:right w:val="single" w:sz="4" w:space="0" w:color="auto"/>
            </w:tcBorders>
            <w:shd w:val="clear" w:color="auto" w:fill="auto"/>
            <w:vAlign w:val="center"/>
            <w:hideMark/>
          </w:tcPr>
          <w:p w14:paraId="65D49714"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0606</w:t>
            </w:r>
          </w:p>
        </w:tc>
        <w:tc>
          <w:tcPr>
            <w:tcW w:w="2893" w:type="dxa"/>
            <w:tcBorders>
              <w:top w:val="nil"/>
              <w:left w:val="nil"/>
              <w:bottom w:val="single" w:sz="4" w:space="0" w:color="auto"/>
              <w:right w:val="single" w:sz="4" w:space="0" w:color="auto"/>
            </w:tcBorders>
            <w:shd w:val="clear" w:color="auto" w:fill="auto"/>
            <w:vAlign w:val="center"/>
            <w:hideMark/>
          </w:tcPr>
          <w:p w14:paraId="27B4C1BE" w14:textId="77777777" w:rsidR="00322AE9" w:rsidRPr="00322AE9" w:rsidRDefault="00322AE9" w:rsidP="00322AE9">
            <w:pPr>
              <w:ind w:firstLine="0"/>
              <w:jc w:val="left"/>
              <w:rPr>
                <w:rFonts w:eastAsia="Times New Roman" w:cs="Times New Roman"/>
                <w:color w:val="000000"/>
                <w:sz w:val="20"/>
                <w:szCs w:val="20"/>
                <w:lang w:eastAsia="ru-RU"/>
              </w:rPr>
            </w:pPr>
            <w:r w:rsidRPr="00322AE9">
              <w:rPr>
                <w:rFonts w:eastAsia="Times New Roman" w:cs="Times New Roman"/>
                <w:color w:val="000000"/>
                <w:sz w:val="20"/>
                <w:szCs w:val="20"/>
                <w:lang w:eastAsia="ru-RU"/>
              </w:rPr>
              <w:t>Отделения полиции</w:t>
            </w:r>
          </w:p>
        </w:tc>
        <w:tc>
          <w:tcPr>
            <w:tcW w:w="855" w:type="dxa"/>
            <w:tcBorders>
              <w:top w:val="nil"/>
              <w:left w:val="nil"/>
              <w:bottom w:val="single" w:sz="4" w:space="0" w:color="auto"/>
              <w:right w:val="single" w:sz="4" w:space="0" w:color="auto"/>
            </w:tcBorders>
            <w:shd w:val="clear" w:color="FFFFFF" w:fill="FFFFFF"/>
            <w:vAlign w:val="center"/>
            <w:hideMark/>
          </w:tcPr>
          <w:p w14:paraId="5C7969F1"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 </w:t>
            </w:r>
          </w:p>
        </w:tc>
        <w:tc>
          <w:tcPr>
            <w:tcW w:w="793" w:type="dxa"/>
            <w:tcBorders>
              <w:top w:val="nil"/>
              <w:left w:val="nil"/>
              <w:bottom w:val="single" w:sz="4" w:space="0" w:color="auto"/>
              <w:right w:val="single" w:sz="4" w:space="0" w:color="auto"/>
            </w:tcBorders>
            <w:shd w:val="clear" w:color="FFFFFF" w:fill="FFFFFF"/>
            <w:vAlign w:val="center"/>
            <w:hideMark/>
          </w:tcPr>
          <w:p w14:paraId="38E22D2D"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2,5</w:t>
            </w:r>
          </w:p>
        </w:tc>
        <w:tc>
          <w:tcPr>
            <w:tcW w:w="992" w:type="dxa"/>
            <w:tcBorders>
              <w:top w:val="nil"/>
              <w:left w:val="nil"/>
              <w:bottom w:val="single" w:sz="4" w:space="0" w:color="auto"/>
              <w:right w:val="single" w:sz="4" w:space="0" w:color="auto"/>
            </w:tcBorders>
            <w:shd w:val="clear" w:color="auto" w:fill="auto"/>
            <w:vAlign w:val="center"/>
            <w:hideMark/>
          </w:tcPr>
          <w:p w14:paraId="57EBDD08"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0,3</w:t>
            </w:r>
          </w:p>
        </w:tc>
        <w:tc>
          <w:tcPr>
            <w:tcW w:w="1030" w:type="dxa"/>
            <w:tcBorders>
              <w:top w:val="nil"/>
              <w:left w:val="nil"/>
              <w:bottom w:val="single" w:sz="4" w:space="0" w:color="auto"/>
              <w:right w:val="single" w:sz="4" w:space="0" w:color="auto"/>
            </w:tcBorders>
            <w:shd w:val="clear" w:color="auto" w:fill="auto"/>
            <w:vAlign w:val="center"/>
            <w:hideMark/>
          </w:tcPr>
          <w:p w14:paraId="0E8B52E7"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2,8</w:t>
            </w:r>
          </w:p>
        </w:tc>
        <w:tc>
          <w:tcPr>
            <w:tcW w:w="1096" w:type="dxa"/>
            <w:tcBorders>
              <w:top w:val="nil"/>
              <w:left w:val="nil"/>
              <w:bottom w:val="single" w:sz="4" w:space="0" w:color="auto"/>
              <w:right w:val="single" w:sz="4" w:space="0" w:color="auto"/>
            </w:tcBorders>
            <w:shd w:val="clear" w:color="auto" w:fill="auto"/>
            <w:vAlign w:val="center"/>
            <w:hideMark/>
          </w:tcPr>
          <w:p w14:paraId="11F816FA"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1,6</w:t>
            </w:r>
          </w:p>
        </w:tc>
        <w:tc>
          <w:tcPr>
            <w:tcW w:w="1149" w:type="dxa"/>
            <w:tcBorders>
              <w:top w:val="nil"/>
              <w:left w:val="nil"/>
              <w:bottom w:val="single" w:sz="4" w:space="0" w:color="auto"/>
              <w:right w:val="single" w:sz="4" w:space="0" w:color="auto"/>
            </w:tcBorders>
            <w:shd w:val="clear" w:color="auto" w:fill="auto"/>
            <w:vAlign w:val="center"/>
            <w:hideMark/>
          </w:tcPr>
          <w:p w14:paraId="75962AFE"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2,1</w:t>
            </w:r>
          </w:p>
        </w:tc>
        <w:tc>
          <w:tcPr>
            <w:tcW w:w="1119" w:type="dxa"/>
            <w:tcBorders>
              <w:top w:val="nil"/>
              <w:left w:val="nil"/>
              <w:bottom w:val="single" w:sz="4" w:space="0" w:color="auto"/>
              <w:right w:val="single" w:sz="4" w:space="0" w:color="auto"/>
            </w:tcBorders>
            <w:shd w:val="clear" w:color="auto" w:fill="auto"/>
            <w:vAlign w:val="center"/>
            <w:hideMark/>
          </w:tcPr>
          <w:p w14:paraId="1CFC38A1"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2,4</w:t>
            </w:r>
          </w:p>
        </w:tc>
        <w:tc>
          <w:tcPr>
            <w:tcW w:w="3149" w:type="dxa"/>
            <w:tcBorders>
              <w:top w:val="nil"/>
              <w:left w:val="nil"/>
              <w:bottom w:val="single" w:sz="4" w:space="0" w:color="auto"/>
              <w:right w:val="single" w:sz="4" w:space="0" w:color="auto"/>
            </w:tcBorders>
            <w:shd w:val="clear" w:color="FFFFFF" w:fill="FFFFFF"/>
            <w:hideMark/>
          </w:tcPr>
          <w:p w14:paraId="131530C3" w14:textId="77777777" w:rsidR="00322AE9" w:rsidRPr="00322AE9" w:rsidRDefault="00322AE9" w:rsidP="00322AE9">
            <w:pPr>
              <w:ind w:firstLine="0"/>
              <w:jc w:val="left"/>
              <w:rPr>
                <w:rFonts w:eastAsia="Times New Roman" w:cs="Times New Roman"/>
                <w:color w:val="000000"/>
                <w:sz w:val="18"/>
                <w:szCs w:val="18"/>
                <w:lang w:eastAsia="ru-RU"/>
              </w:rPr>
            </w:pPr>
            <w:r w:rsidRPr="00322AE9">
              <w:rPr>
                <w:rFonts w:eastAsia="Times New Roman" w:cs="Times New Roman"/>
                <w:color w:val="000000"/>
                <w:sz w:val="18"/>
                <w:szCs w:val="18"/>
                <w:lang w:eastAsia="ru-RU"/>
              </w:rPr>
              <w:t>СП 44.13330.2011 "Административные и бытовые здания" п.4.3</w:t>
            </w:r>
          </w:p>
        </w:tc>
      </w:tr>
      <w:tr w:rsidR="00322AE9" w:rsidRPr="00322AE9" w14:paraId="70ACBAF3" w14:textId="77777777" w:rsidTr="00322AE9">
        <w:trPr>
          <w:trHeight w:val="510"/>
          <w:jc w:val="center"/>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24CCE5D0"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 </w:t>
            </w:r>
          </w:p>
        </w:tc>
        <w:tc>
          <w:tcPr>
            <w:tcW w:w="816" w:type="dxa"/>
            <w:tcBorders>
              <w:top w:val="nil"/>
              <w:left w:val="nil"/>
              <w:bottom w:val="single" w:sz="4" w:space="0" w:color="auto"/>
              <w:right w:val="single" w:sz="4" w:space="0" w:color="auto"/>
            </w:tcBorders>
            <w:shd w:val="clear" w:color="auto" w:fill="auto"/>
            <w:vAlign w:val="center"/>
            <w:hideMark/>
          </w:tcPr>
          <w:p w14:paraId="63991C66"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0607</w:t>
            </w:r>
          </w:p>
        </w:tc>
        <w:tc>
          <w:tcPr>
            <w:tcW w:w="2893" w:type="dxa"/>
            <w:tcBorders>
              <w:top w:val="nil"/>
              <w:left w:val="nil"/>
              <w:bottom w:val="single" w:sz="4" w:space="0" w:color="auto"/>
              <w:right w:val="single" w:sz="4" w:space="0" w:color="auto"/>
            </w:tcBorders>
            <w:shd w:val="clear" w:color="auto" w:fill="auto"/>
            <w:vAlign w:val="center"/>
            <w:hideMark/>
          </w:tcPr>
          <w:p w14:paraId="03E36BF8" w14:textId="77777777" w:rsidR="00322AE9" w:rsidRPr="00322AE9" w:rsidRDefault="00322AE9" w:rsidP="00322AE9">
            <w:pPr>
              <w:ind w:firstLine="0"/>
              <w:jc w:val="left"/>
              <w:rPr>
                <w:rFonts w:eastAsia="Times New Roman" w:cs="Times New Roman"/>
                <w:color w:val="000000"/>
                <w:sz w:val="20"/>
                <w:szCs w:val="20"/>
                <w:lang w:eastAsia="ru-RU"/>
              </w:rPr>
            </w:pPr>
            <w:r w:rsidRPr="00322AE9">
              <w:rPr>
                <w:rFonts w:eastAsia="Times New Roman" w:cs="Times New Roman"/>
                <w:color w:val="000000"/>
                <w:sz w:val="20"/>
                <w:szCs w:val="20"/>
                <w:lang w:eastAsia="ru-RU"/>
              </w:rPr>
              <w:t>Контрольно-пропускные пункты, проходные 100 кв.м и более</w:t>
            </w:r>
          </w:p>
        </w:tc>
        <w:tc>
          <w:tcPr>
            <w:tcW w:w="855" w:type="dxa"/>
            <w:tcBorders>
              <w:top w:val="nil"/>
              <w:left w:val="nil"/>
              <w:bottom w:val="single" w:sz="4" w:space="0" w:color="auto"/>
              <w:right w:val="single" w:sz="4" w:space="0" w:color="auto"/>
            </w:tcBorders>
            <w:shd w:val="clear" w:color="FFFFFF" w:fill="FFFFFF"/>
            <w:vAlign w:val="center"/>
            <w:hideMark/>
          </w:tcPr>
          <w:p w14:paraId="46B1C6AF"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 </w:t>
            </w:r>
          </w:p>
        </w:tc>
        <w:tc>
          <w:tcPr>
            <w:tcW w:w="793" w:type="dxa"/>
            <w:tcBorders>
              <w:top w:val="nil"/>
              <w:left w:val="nil"/>
              <w:bottom w:val="single" w:sz="4" w:space="0" w:color="auto"/>
              <w:right w:val="single" w:sz="4" w:space="0" w:color="auto"/>
            </w:tcBorders>
            <w:shd w:val="clear" w:color="auto" w:fill="auto"/>
            <w:vAlign w:val="center"/>
            <w:hideMark/>
          </w:tcPr>
          <w:p w14:paraId="2D200D41"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2,5</w:t>
            </w:r>
          </w:p>
        </w:tc>
        <w:tc>
          <w:tcPr>
            <w:tcW w:w="992" w:type="dxa"/>
            <w:tcBorders>
              <w:top w:val="nil"/>
              <w:left w:val="nil"/>
              <w:bottom w:val="single" w:sz="4" w:space="0" w:color="auto"/>
              <w:right w:val="single" w:sz="4" w:space="0" w:color="auto"/>
            </w:tcBorders>
            <w:shd w:val="clear" w:color="auto" w:fill="auto"/>
            <w:vAlign w:val="center"/>
            <w:hideMark/>
          </w:tcPr>
          <w:p w14:paraId="41A93CBF"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0,3</w:t>
            </w:r>
          </w:p>
        </w:tc>
        <w:tc>
          <w:tcPr>
            <w:tcW w:w="1030" w:type="dxa"/>
            <w:tcBorders>
              <w:top w:val="nil"/>
              <w:left w:val="nil"/>
              <w:bottom w:val="single" w:sz="4" w:space="0" w:color="auto"/>
              <w:right w:val="single" w:sz="4" w:space="0" w:color="auto"/>
            </w:tcBorders>
            <w:shd w:val="clear" w:color="auto" w:fill="auto"/>
            <w:vAlign w:val="center"/>
            <w:hideMark/>
          </w:tcPr>
          <w:p w14:paraId="148C45D4"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2,8</w:t>
            </w:r>
          </w:p>
        </w:tc>
        <w:tc>
          <w:tcPr>
            <w:tcW w:w="1096" w:type="dxa"/>
            <w:tcBorders>
              <w:top w:val="nil"/>
              <w:left w:val="nil"/>
              <w:bottom w:val="single" w:sz="4" w:space="0" w:color="auto"/>
              <w:right w:val="single" w:sz="4" w:space="0" w:color="auto"/>
            </w:tcBorders>
            <w:shd w:val="clear" w:color="auto" w:fill="auto"/>
            <w:vAlign w:val="center"/>
            <w:hideMark/>
          </w:tcPr>
          <w:p w14:paraId="645F92B5"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1,6</w:t>
            </w:r>
          </w:p>
        </w:tc>
        <w:tc>
          <w:tcPr>
            <w:tcW w:w="1149" w:type="dxa"/>
            <w:tcBorders>
              <w:top w:val="nil"/>
              <w:left w:val="nil"/>
              <w:bottom w:val="single" w:sz="4" w:space="0" w:color="auto"/>
              <w:right w:val="single" w:sz="4" w:space="0" w:color="auto"/>
            </w:tcBorders>
            <w:shd w:val="clear" w:color="auto" w:fill="auto"/>
            <w:vAlign w:val="center"/>
            <w:hideMark/>
          </w:tcPr>
          <w:p w14:paraId="418C088A"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2,1</w:t>
            </w:r>
          </w:p>
        </w:tc>
        <w:tc>
          <w:tcPr>
            <w:tcW w:w="1119" w:type="dxa"/>
            <w:tcBorders>
              <w:top w:val="nil"/>
              <w:left w:val="nil"/>
              <w:bottom w:val="single" w:sz="4" w:space="0" w:color="auto"/>
              <w:right w:val="single" w:sz="4" w:space="0" w:color="auto"/>
            </w:tcBorders>
            <w:shd w:val="clear" w:color="auto" w:fill="auto"/>
            <w:vAlign w:val="center"/>
            <w:hideMark/>
          </w:tcPr>
          <w:p w14:paraId="3430675B"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2,4</w:t>
            </w:r>
          </w:p>
        </w:tc>
        <w:tc>
          <w:tcPr>
            <w:tcW w:w="3149" w:type="dxa"/>
            <w:tcBorders>
              <w:top w:val="nil"/>
              <w:left w:val="nil"/>
              <w:bottom w:val="single" w:sz="4" w:space="0" w:color="auto"/>
              <w:right w:val="single" w:sz="4" w:space="0" w:color="auto"/>
            </w:tcBorders>
            <w:shd w:val="clear" w:color="FFFFFF" w:fill="FFFFFF"/>
            <w:hideMark/>
          </w:tcPr>
          <w:p w14:paraId="3FF9E400" w14:textId="77777777" w:rsidR="00322AE9" w:rsidRPr="00322AE9" w:rsidRDefault="00322AE9" w:rsidP="00322AE9">
            <w:pPr>
              <w:ind w:firstLine="0"/>
              <w:jc w:val="left"/>
              <w:rPr>
                <w:rFonts w:eastAsia="Times New Roman" w:cs="Times New Roman"/>
                <w:color w:val="000000"/>
                <w:sz w:val="18"/>
                <w:szCs w:val="18"/>
                <w:lang w:eastAsia="ru-RU"/>
              </w:rPr>
            </w:pPr>
            <w:r w:rsidRPr="00322AE9">
              <w:rPr>
                <w:rFonts w:eastAsia="Times New Roman" w:cs="Times New Roman"/>
                <w:color w:val="000000"/>
                <w:sz w:val="18"/>
                <w:szCs w:val="18"/>
                <w:lang w:eastAsia="ru-RU"/>
              </w:rPr>
              <w:t>СП 44.13330.2011 "Административные и бытовые здания" п.4.3</w:t>
            </w:r>
          </w:p>
        </w:tc>
      </w:tr>
      <w:tr w:rsidR="00322AE9" w:rsidRPr="00322AE9" w14:paraId="5DDC5BF8" w14:textId="77777777" w:rsidTr="00322AE9">
        <w:trPr>
          <w:trHeight w:val="480"/>
          <w:jc w:val="center"/>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2D8CEC26"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 </w:t>
            </w:r>
          </w:p>
        </w:tc>
        <w:tc>
          <w:tcPr>
            <w:tcW w:w="816" w:type="dxa"/>
            <w:tcBorders>
              <w:top w:val="nil"/>
              <w:left w:val="nil"/>
              <w:bottom w:val="single" w:sz="4" w:space="0" w:color="auto"/>
              <w:right w:val="single" w:sz="4" w:space="0" w:color="auto"/>
            </w:tcBorders>
            <w:shd w:val="clear" w:color="auto" w:fill="auto"/>
            <w:vAlign w:val="center"/>
            <w:hideMark/>
          </w:tcPr>
          <w:p w14:paraId="124C28A0"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0608</w:t>
            </w:r>
          </w:p>
        </w:tc>
        <w:tc>
          <w:tcPr>
            <w:tcW w:w="2893" w:type="dxa"/>
            <w:tcBorders>
              <w:top w:val="nil"/>
              <w:left w:val="nil"/>
              <w:bottom w:val="single" w:sz="4" w:space="0" w:color="auto"/>
              <w:right w:val="single" w:sz="4" w:space="0" w:color="auto"/>
            </w:tcBorders>
            <w:shd w:val="clear" w:color="auto" w:fill="auto"/>
            <w:vAlign w:val="center"/>
            <w:hideMark/>
          </w:tcPr>
          <w:p w14:paraId="0EBF4C28" w14:textId="77777777" w:rsidR="00322AE9" w:rsidRPr="00322AE9" w:rsidRDefault="00322AE9" w:rsidP="00322AE9">
            <w:pPr>
              <w:ind w:firstLine="0"/>
              <w:jc w:val="left"/>
              <w:rPr>
                <w:rFonts w:eastAsia="Times New Roman" w:cs="Times New Roman"/>
                <w:color w:val="000000"/>
                <w:sz w:val="20"/>
                <w:szCs w:val="20"/>
                <w:lang w:eastAsia="ru-RU"/>
              </w:rPr>
            </w:pPr>
            <w:r w:rsidRPr="00322AE9">
              <w:rPr>
                <w:rFonts w:eastAsia="Times New Roman" w:cs="Times New Roman"/>
                <w:color w:val="000000"/>
                <w:sz w:val="20"/>
                <w:szCs w:val="20"/>
                <w:lang w:eastAsia="ru-RU"/>
              </w:rPr>
              <w:t>Отделения связи, почта</w:t>
            </w:r>
          </w:p>
        </w:tc>
        <w:tc>
          <w:tcPr>
            <w:tcW w:w="855" w:type="dxa"/>
            <w:tcBorders>
              <w:top w:val="nil"/>
              <w:left w:val="nil"/>
              <w:bottom w:val="single" w:sz="4" w:space="0" w:color="auto"/>
              <w:right w:val="single" w:sz="4" w:space="0" w:color="auto"/>
            </w:tcBorders>
            <w:shd w:val="clear" w:color="FFFFFF" w:fill="FFFFFF"/>
            <w:vAlign w:val="center"/>
            <w:hideMark/>
          </w:tcPr>
          <w:p w14:paraId="5BD95FB0"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 </w:t>
            </w:r>
          </w:p>
        </w:tc>
        <w:tc>
          <w:tcPr>
            <w:tcW w:w="793" w:type="dxa"/>
            <w:tcBorders>
              <w:top w:val="nil"/>
              <w:left w:val="nil"/>
              <w:bottom w:val="single" w:sz="4" w:space="0" w:color="auto"/>
              <w:right w:val="single" w:sz="4" w:space="0" w:color="auto"/>
            </w:tcBorders>
            <w:shd w:val="clear" w:color="FFFFFF" w:fill="FFFFFF"/>
            <w:vAlign w:val="center"/>
            <w:hideMark/>
          </w:tcPr>
          <w:p w14:paraId="3D38D5E1"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2,5</w:t>
            </w:r>
          </w:p>
        </w:tc>
        <w:tc>
          <w:tcPr>
            <w:tcW w:w="992" w:type="dxa"/>
            <w:tcBorders>
              <w:top w:val="nil"/>
              <w:left w:val="nil"/>
              <w:bottom w:val="single" w:sz="4" w:space="0" w:color="auto"/>
              <w:right w:val="single" w:sz="4" w:space="0" w:color="auto"/>
            </w:tcBorders>
            <w:shd w:val="clear" w:color="auto" w:fill="auto"/>
            <w:vAlign w:val="center"/>
            <w:hideMark/>
          </w:tcPr>
          <w:p w14:paraId="4871E4A4"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0,3</w:t>
            </w:r>
          </w:p>
        </w:tc>
        <w:tc>
          <w:tcPr>
            <w:tcW w:w="1030" w:type="dxa"/>
            <w:tcBorders>
              <w:top w:val="nil"/>
              <w:left w:val="nil"/>
              <w:bottom w:val="single" w:sz="4" w:space="0" w:color="auto"/>
              <w:right w:val="single" w:sz="4" w:space="0" w:color="auto"/>
            </w:tcBorders>
            <w:shd w:val="clear" w:color="auto" w:fill="auto"/>
            <w:vAlign w:val="center"/>
            <w:hideMark/>
          </w:tcPr>
          <w:p w14:paraId="545D417E"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2,8</w:t>
            </w:r>
          </w:p>
        </w:tc>
        <w:tc>
          <w:tcPr>
            <w:tcW w:w="1096" w:type="dxa"/>
            <w:tcBorders>
              <w:top w:val="nil"/>
              <w:left w:val="nil"/>
              <w:bottom w:val="single" w:sz="4" w:space="0" w:color="auto"/>
              <w:right w:val="single" w:sz="4" w:space="0" w:color="auto"/>
            </w:tcBorders>
            <w:shd w:val="clear" w:color="auto" w:fill="auto"/>
            <w:vAlign w:val="center"/>
            <w:hideMark/>
          </w:tcPr>
          <w:p w14:paraId="18A6576B"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1,6</w:t>
            </w:r>
          </w:p>
        </w:tc>
        <w:tc>
          <w:tcPr>
            <w:tcW w:w="1149" w:type="dxa"/>
            <w:tcBorders>
              <w:top w:val="nil"/>
              <w:left w:val="nil"/>
              <w:bottom w:val="single" w:sz="4" w:space="0" w:color="auto"/>
              <w:right w:val="single" w:sz="4" w:space="0" w:color="auto"/>
            </w:tcBorders>
            <w:shd w:val="clear" w:color="auto" w:fill="auto"/>
            <w:vAlign w:val="center"/>
            <w:hideMark/>
          </w:tcPr>
          <w:p w14:paraId="407452C7"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2,1</w:t>
            </w:r>
          </w:p>
        </w:tc>
        <w:tc>
          <w:tcPr>
            <w:tcW w:w="1119" w:type="dxa"/>
            <w:tcBorders>
              <w:top w:val="nil"/>
              <w:left w:val="nil"/>
              <w:bottom w:val="single" w:sz="4" w:space="0" w:color="auto"/>
              <w:right w:val="single" w:sz="4" w:space="0" w:color="auto"/>
            </w:tcBorders>
            <w:shd w:val="clear" w:color="auto" w:fill="auto"/>
            <w:vAlign w:val="center"/>
            <w:hideMark/>
          </w:tcPr>
          <w:p w14:paraId="49986AE4"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2,4</w:t>
            </w:r>
          </w:p>
        </w:tc>
        <w:tc>
          <w:tcPr>
            <w:tcW w:w="3149" w:type="dxa"/>
            <w:tcBorders>
              <w:top w:val="nil"/>
              <w:left w:val="nil"/>
              <w:bottom w:val="single" w:sz="4" w:space="0" w:color="auto"/>
              <w:right w:val="single" w:sz="4" w:space="0" w:color="auto"/>
            </w:tcBorders>
            <w:shd w:val="clear" w:color="FFFFFF" w:fill="FFFFFF"/>
            <w:hideMark/>
          </w:tcPr>
          <w:p w14:paraId="77499B6B" w14:textId="77777777" w:rsidR="00322AE9" w:rsidRPr="00322AE9" w:rsidRDefault="00322AE9" w:rsidP="00322AE9">
            <w:pPr>
              <w:ind w:firstLine="0"/>
              <w:jc w:val="left"/>
              <w:rPr>
                <w:rFonts w:eastAsia="Times New Roman" w:cs="Times New Roman"/>
                <w:color w:val="000000"/>
                <w:sz w:val="18"/>
                <w:szCs w:val="18"/>
                <w:lang w:eastAsia="ru-RU"/>
              </w:rPr>
            </w:pPr>
            <w:r w:rsidRPr="00322AE9">
              <w:rPr>
                <w:rFonts w:eastAsia="Times New Roman" w:cs="Times New Roman"/>
                <w:color w:val="000000"/>
                <w:sz w:val="18"/>
                <w:szCs w:val="18"/>
                <w:lang w:eastAsia="ru-RU"/>
              </w:rPr>
              <w:t>СП 44.13330.2011 "Административные и бытовые здания" п.4.3</w:t>
            </w:r>
          </w:p>
        </w:tc>
      </w:tr>
      <w:tr w:rsidR="00322AE9" w:rsidRPr="00322AE9" w14:paraId="087200C8" w14:textId="77777777" w:rsidTr="00322AE9">
        <w:trPr>
          <w:trHeight w:val="480"/>
          <w:jc w:val="center"/>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69C11BEC"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 </w:t>
            </w:r>
          </w:p>
        </w:tc>
        <w:tc>
          <w:tcPr>
            <w:tcW w:w="816" w:type="dxa"/>
            <w:tcBorders>
              <w:top w:val="nil"/>
              <w:left w:val="nil"/>
              <w:bottom w:val="single" w:sz="4" w:space="0" w:color="auto"/>
              <w:right w:val="single" w:sz="4" w:space="0" w:color="auto"/>
            </w:tcBorders>
            <w:shd w:val="clear" w:color="auto" w:fill="auto"/>
            <w:vAlign w:val="center"/>
            <w:hideMark/>
          </w:tcPr>
          <w:p w14:paraId="30591CFA"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0609</w:t>
            </w:r>
          </w:p>
        </w:tc>
        <w:tc>
          <w:tcPr>
            <w:tcW w:w="2893" w:type="dxa"/>
            <w:tcBorders>
              <w:top w:val="nil"/>
              <w:left w:val="nil"/>
              <w:bottom w:val="single" w:sz="4" w:space="0" w:color="auto"/>
              <w:right w:val="single" w:sz="4" w:space="0" w:color="auto"/>
            </w:tcBorders>
            <w:shd w:val="clear" w:color="auto" w:fill="auto"/>
            <w:vAlign w:val="center"/>
            <w:hideMark/>
          </w:tcPr>
          <w:p w14:paraId="65B98067" w14:textId="77777777" w:rsidR="00322AE9" w:rsidRPr="00322AE9" w:rsidRDefault="00322AE9" w:rsidP="00322AE9">
            <w:pPr>
              <w:ind w:firstLine="0"/>
              <w:jc w:val="left"/>
              <w:rPr>
                <w:rFonts w:eastAsia="Times New Roman" w:cs="Times New Roman"/>
                <w:color w:val="000000"/>
                <w:sz w:val="20"/>
                <w:szCs w:val="20"/>
                <w:lang w:eastAsia="ru-RU"/>
              </w:rPr>
            </w:pPr>
            <w:r w:rsidRPr="00322AE9">
              <w:rPr>
                <w:rFonts w:eastAsia="Times New Roman" w:cs="Times New Roman"/>
                <w:color w:val="000000"/>
                <w:sz w:val="20"/>
                <w:szCs w:val="20"/>
                <w:lang w:eastAsia="ru-RU"/>
              </w:rPr>
              <w:t>Таможни</w:t>
            </w:r>
          </w:p>
        </w:tc>
        <w:tc>
          <w:tcPr>
            <w:tcW w:w="855" w:type="dxa"/>
            <w:tcBorders>
              <w:top w:val="nil"/>
              <w:left w:val="nil"/>
              <w:bottom w:val="single" w:sz="4" w:space="0" w:color="auto"/>
              <w:right w:val="single" w:sz="4" w:space="0" w:color="auto"/>
            </w:tcBorders>
            <w:shd w:val="clear" w:color="FFFFFF" w:fill="FFFFFF"/>
            <w:vAlign w:val="center"/>
            <w:hideMark/>
          </w:tcPr>
          <w:p w14:paraId="187FEA9A"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 </w:t>
            </w:r>
          </w:p>
        </w:tc>
        <w:tc>
          <w:tcPr>
            <w:tcW w:w="793" w:type="dxa"/>
            <w:tcBorders>
              <w:top w:val="nil"/>
              <w:left w:val="nil"/>
              <w:bottom w:val="single" w:sz="4" w:space="0" w:color="auto"/>
              <w:right w:val="single" w:sz="4" w:space="0" w:color="auto"/>
            </w:tcBorders>
            <w:shd w:val="clear" w:color="FFFFFF" w:fill="FFFFFF"/>
            <w:vAlign w:val="center"/>
            <w:hideMark/>
          </w:tcPr>
          <w:p w14:paraId="7E57E118"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2,5</w:t>
            </w:r>
          </w:p>
        </w:tc>
        <w:tc>
          <w:tcPr>
            <w:tcW w:w="992" w:type="dxa"/>
            <w:tcBorders>
              <w:top w:val="nil"/>
              <w:left w:val="nil"/>
              <w:bottom w:val="single" w:sz="4" w:space="0" w:color="auto"/>
              <w:right w:val="single" w:sz="4" w:space="0" w:color="auto"/>
            </w:tcBorders>
            <w:shd w:val="clear" w:color="auto" w:fill="auto"/>
            <w:vAlign w:val="center"/>
            <w:hideMark/>
          </w:tcPr>
          <w:p w14:paraId="0C635D0B"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0,3</w:t>
            </w:r>
          </w:p>
        </w:tc>
        <w:tc>
          <w:tcPr>
            <w:tcW w:w="1030" w:type="dxa"/>
            <w:tcBorders>
              <w:top w:val="nil"/>
              <w:left w:val="nil"/>
              <w:bottom w:val="single" w:sz="4" w:space="0" w:color="auto"/>
              <w:right w:val="single" w:sz="4" w:space="0" w:color="auto"/>
            </w:tcBorders>
            <w:shd w:val="clear" w:color="auto" w:fill="auto"/>
            <w:vAlign w:val="center"/>
            <w:hideMark/>
          </w:tcPr>
          <w:p w14:paraId="5AF52445"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2,8</w:t>
            </w:r>
          </w:p>
        </w:tc>
        <w:tc>
          <w:tcPr>
            <w:tcW w:w="1096" w:type="dxa"/>
            <w:tcBorders>
              <w:top w:val="nil"/>
              <w:left w:val="nil"/>
              <w:bottom w:val="single" w:sz="4" w:space="0" w:color="auto"/>
              <w:right w:val="single" w:sz="4" w:space="0" w:color="auto"/>
            </w:tcBorders>
            <w:shd w:val="clear" w:color="auto" w:fill="auto"/>
            <w:vAlign w:val="center"/>
            <w:hideMark/>
          </w:tcPr>
          <w:p w14:paraId="097D4A87"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1,6</w:t>
            </w:r>
          </w:p>
        </w:tc>
        <w:tc>
          <w:tcPr>
            <w:tcW w:w="1149" w:type="dxa"/>
            <w:tcBorders>
              <w:top w:val="nil"/>
              <w:left w:val="nil"/>
              <w:bottom w:val="single" w:sz="4" w:space="0" w:color="auto"/>
              <w:right w:val="single" w:sz="4" w:space="0" w:color="auto"/>
            </w:tcBorders>
            <w:shd w:val="clear" w:color="auto" w:fill="auto"/>
            <w:vAlign w:val="center"/>
            <w:hideMark/>
          </w:tcPr>
          <w:p w14:paraId="26A0E041"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2,1</w:t>
            </w:r>
          </w:p>
        </w:tc>
        <w:tc>
          <w:tcPr>
            <w:tcW w:w="1119" w:type="dxa"/>
            <w:tcBorders>
              <w:top w:val="nil"/>
              <w:left w:val="nil"/>
              <w:bottom w:val="single" w:sz="4" w:space="0" w:color="auto"/>
              <w:right w:val="single" w:sz="4" w:space="0" w:color="auto"/>
            </w:tcBorders>
            <w:shd w:val="clear" w:color="auto" w:fill="auto"/>
            <w:vAlign w:val="center"/>
            <w:hideMark/>
          </w:tcPr>
          <w:p w14:paraId="04C7F4D5"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2,4</w:t>
            </w:r>
          </w:p>
        </w:tc>
        <w:tc>
          <w:tcPr>
            <w:tcW w:w="3149" w:type="dxa"/>
            <w:tcBorders>
              <w:top w:val="nil"/>
              <w:left w:val="nil"/>
              <w:bottom w:val="single" w:sz="4" w:space="0" w:color="auto"/>
              <w:right w:val="single" w:sz="4" w:space="0" w:color="auto"/>
            </w:tcBorders>
            <w:shd w:val="clear" w:color="FFFFFF" w:fill="FFFFFF"/>
            <w:hideMark/>
          </w:tcPr>
          <w:p w14:paraId="06085358" w14:textId="77777777" w:rsidR="00322AE9" w:rsidRPr="00322AE9" w:rsidRDefault="00322AE9" w:rsidP="00322AE9">
            <w:pPr>
              <w:ind w:firstLine="0"/>
              <w:jc w:val="left"/>
              <w:rPr>
                <w:rFonts w:eastAsia="Times New Roman" w:cs="Times New Roman"/>
                <w:color w:val="000000"/>
                <w:sz w:val="18"/>
                <w:szCs w:val="18"/>
                <w:lang w:eastAsia="ru-RU"/>
              </w:rPr>
            </w:pPr>
            <w:r w:rsidRPr="00322AE9">
              <w:rPr>
                <w:rFonts w:eastAsia="Times New Roman" w:cs="Times New Roman"/>
                <w:color w:val="000000"/>
                <w:sz w:val="18"/>
                <w:szCs w:val="18"/>
                <w:lang w:eastAsia="ru-RU"/>
              </w:rPr>
              <w:t>СП 44.13330.2011 "Административные и бытовые здания" п.4.3</w:t>
            </w:r>
          </w:p>
        </w:tc>
      </w:tr>
      <w:tr w:rsidR="00322AE9" w:rsidRPr="00322AE9" w14:paraId="0C256A03" w14:textId="77777777" w:rsidTr="00322AE9">
        <w:trPr>
          <w:trHeight w:val="765"/>
          <w:jc w:val="center"/>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1894B9C6" w14:textId="77777777" w:rsidR="00322AE9" w:rsidRPr="00322AE9" w:rsidRDefault="00322AE9" w:rsidP="00322AE9">
            <w:pPr>
              <w:ind w:firstLine="0"/>
              <w:jc w:val="center"/>
              <w:rPr>
                <w:rFonts w:eastAsia="Times New Roman" w:cs="Times New Roman"/>
                <w:b/>
                <w:bCs/>
                <w:color w:val="000000"/>
                <w:sz w:val="20"/>
                <w:szCs w:val="20"/>
                <w:lang w:eastAsia="ru-RU"/>
              </w:rPr>
            </w:pPr>
            <w:r w:rsidRPr="00322AE9">
              <w:rPr>
                <w:rFonts w:eastAsia="Times New Roman" w:cs="Times New Roman"/>
                <w:b/>
                <w:bCs/>
                <w:color w:val="000000"/>
                <w:sz w:val="20"/>
                <w:szCs w:val="20"/>
                <w:lang w:eastAsia="ru-RU"/>
              </w:rPr>
              <w:t>07</w:t>
            </w:r>
          </w:p>
        </w:tc>
        <w:tc>
          <w:tcPr>
            <w:tcW w:w="816" w:type="dxa"/>
            <w:tcBorders>
              <w:top w:val="nil"/>
              <w:left w:val="nil"/>
              <w:bottom w:val="single" w:sz="4" w:space="0" w:color="auto"/>
              <w:right w:val="single" w:sz="4" w:space="0" w:color="auto"/>
            </w:tcBorders>
            <w:shd w:val="clear" w:color="auto" w:fill="auto"/>
            <w:vAlign w:val="center"/>
            <w:hideMark/>
          </w:tcPr>
          <w:p w14:paraId="1CA78E7D" w14:textId="77777777" w:rsidR="00322AE9" w:rsidRPr="00322AE9" w:rsidRDefault="00322AE9" w:rsidP="00322AE9">
            <w:pPr>
              <w:ind w:firstLine="0"/>
              <w:jc w:val="center"/>
              <w:rPr>
                <w:rFonts w:eastAsia="Times New Roman" w:cs="Times New Roman"/>
                <w:b/>
                <w:bCs/>
                <w:color w:val="000000"/>
                <w:sz w:val="20"/>
                <w:szCs w:val="20"/>
                <w:lang w:eastAsia="ru-RU"/>
              </w:rPr>
            </w:pPr>
            <w:r w:rsidRPr="00322AE9">
              <w:rPr>
                <w:rFonts w:eastAsia="Times New Roman" w:cs="Times New Roman"/>
                <w:b/>
                <w:bCs/>
                <w:color w:val="000000"/>
                <w:sz w:val="20"/>
                <w:szCs w:val="20"/>
                <w:lang w:eastAsia="ru-RU"/>
              </w:rPr>
              <w:t>0700</w:t>
            </w:r>
          </w:p>
        </w:tc>
        <w:tc>
          <w:tcPr>
            <w:tcW w:w="2893" w:type="dxa"/>
            <w:tcBorders>
              <w:top w:val="nil"/>
              <w:left w:val="nil"/>
              <w:bottom w:val="single" w:sz="4" w:space="0" w:color="auto"/>
              <w:right w:val="single" w:sz="4" w:space="0" w:color="auto"/>
            </w:tcBorders>
            <w:shd w:val="clear" w:color="auto" w:fill="auto"/>
            <w:vAlign w:val="center"/>
            <w:hideMark/>
          </w:tcPr>
          <w:p w14:paraId="631215AB" w14:textId="77777777" w:rsidR="00322AE9" w:rsidRPr="00322AE9" w:rsidRDefault="00322AE9" w:rsidP="00322AE9">
            <w:pPr>
              <w:ind w:firstLine="0"/>
              <w:jc w:val="left"/>
              <w:rPr>
                <w:rFonts w:eastAsia="Times New Roman" w:cs="Times New Roman"/>
                <w:b/>
                <w:bCs/>
                <w:color w:val="000000"/>
                <w:sz w:val="20"/>
                <w:szCs w:val="20"/>
                <w:lang w:eastAsia="ru-RU"/>
              </w:rPr>
            </w:pPr>
            <w:r w:rsidRPr="00322AE9">
              <w:rPr>
                <w:rFonts w:eastAsia="Times New Roman" w:cs="Times New Roman"/>
                <w:b/>
                <w:bCs/>
                <w:color w:val="000000"/>
                <w:sz w:val="20"/>
                <w:szCs w:val="20"/>
                <w:lang w:eastAsia="ru-RU"/>
              </w:rPr>
              <w:t>Группа 7. Объекты производственного назначения, за исключением передаточных устройств и сооружений</w:t>
            </w:r>
          </w:p>
        </w:tc>
        <w:tc>
          <w:tcPr>
            <w:tcW w:w="855" w:type="dxa"/>
            <w:tcBorders>
              <w:top w:val="nil"/>
              <w:left w:val="nil"/>
              <w:bottom w:val="single" w:sz="4" w:space="0" w:color="auto"/>
              <w:right w:val="single" w:sz="4" w:space="0" w:color="auto"/>
            </w:tcBorders>
            <w:shd w:val="clear" w:color="FFFFFF" w:fill="FFFFFF"/>
            <w:vAlign w:val="center"/>
            <w:hideMark/>
          </w:tcPr>
          <w:p w14:paraId="47D62D2B" w14:textId="77777777" w:rsidR="00322AE9" w:rsidRPr="00322AE9" w:rsidRDefault="00322AE9" w:rsidP="00322AE9">
            <w:pPr>
              <w:ind w:firstLine="0"/>
              <w:jc w:val="left"/>
              <w:rPr>
                <w:rFonts w:eastAsia="Times New Roman" w:cs="Times New Roman"/>
                <w:b/>
                <w:bCs/>
                <w:i/>
                <w:iCs/>
                <w:color w:val="000000"/>
                <w:sz w:val="18"/>
                <w:szCs w:val="18"/>
                <w:u w:val="single"/>
                <w:lang w:eastAsia="ru-RU"/>
              </w:rPr>
            </w:pPr>
            <w:r w:rsidRPr="00322AE9">
              <w:rPr>
                <w:rFonts w:eastAsia="Times New Roman" w:cs="Times New Roman"/>
                <w:b/>
                <w:bCs/>
                <w:i/>
                <w:iCs/>
                <w:color w:val="000000"/>
                <w:sz w:val="18"/>
                <w:szCs w:val="18"/>
                <w:u w:val="single"/>
                <w:lang w:eastAsia="ru-RU"/>
              </w:rPr>
              <w:t> </w:t>
            </w:r>
          </w:p>
        </w:tc>
        <w:tc>
          <w:tcPr>
            <w:tcW w:w="793" w:type="dxa"/>
            <w:tcBorders>
              <w:top w:val="nil"/>
              <w:left w:val="nil"/>
              <w:bottom w:val="single" w:sz="4" w:space="0" w:color="auto"/>
              <w:right w:val="single" w:sz="4" w:space="0" w:color="auto"/>
            </w:tcBorders>
            <w:shd w:val="clear" w:color="FFFFFF" w:fill="FFFFFF"/>
            <w:vAlign w:val="center"/>
            <w:hideMark/>
          </w:tcPr>
          <w:p w14:paraId="7E8FA19C"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3,0</w:t>
            </w:r>
          </w:p>
        </w:tc>
        <w:tc>
          <w:tcPr>
            <w:tcW w:w="992" w:type="dxa"/>
            <w:tcBorders>
              <w:top w:val="nil"/>
              <w:left w:val="nil"/>
              <w:bottom w:val="single" w:sz="4" w:space="0" w:color="auto"/>
              <w:right w:val="single" w:sz="4" w:space="0" w:color="auto"/>
            </w:tcBorders>
            <w:shd w:val="clear" w:color="auto" w:fill="auto"/>
            <w:vAlign w:val="center"/>
            <w:hideMark/>
          </w:tcPr>
          <w:p w14:paraId="6737D974"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0,3</w:t>
            </w:r>
          </w:p>
        </w:tc>
        <w:tc>
          <w:tcPr>
            <w:tcW w:w="1030" w:type="dxa"/>
            <w:tcBorders>
              <w:top w:val="nil"/>
              <w:left w:val="nil"/>
              <w:bottom w:val="single" w:sz="4" w:space="0" w:color="auto"/>
              <w:right w:val="single" w:sz="4" w:space="0" w:color="auto"/>
            </w:tcBorders>
            <w:shd w:val="clear" w:color="auto" w:fill="auto"/>
            <w:vAlign w:val="center"/>
            <w:hideMark/>
          </w:tcPr>
          <w:p w14:paraId="649E13AD"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3,3</w:t>
            </w:r>
          </w:p>
        </w:tc>
        <w:tc>
          <w:tcPr>
            <w:tcW w:w="1096" w:type="dxa"/>
            <w:tcBorders>
              <w:top w:val="nil"/>
              <w:left w:val="nil"/>
              <w:bottom w:val="single" w:sz="4" w:space="0" w:color="auto"/>
              <w:right w:val="single" w:sz="4" w:space="0" w:color="auto"/>
            </w:tcBorders>
            <w:shd w:val="clear" w:color="auto" w:fill="auto"/>
            <w:vAlign w:val="center"/>
            <w:hideMark/>
          </w:tcPr>
          <w:p w14:paraId="1F65BA34"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1,6</w:t>
            </w:r>
          </w:p>
        </w:tc>
        <w:tc>
          <w:tcPr>
            <w:tcW w:w="1149" w:type="dxa"/>
            <w:tcBorders>
              <w:top w:val="nil"/>
              <w:left w:val="nil"/>
              <w:bottom w:val="single" w:sz="4" w:space="0" w:color="auto"/>
              <w:right w:val="single" w:sz="4" w:space="0" w:color="auto"/>
            </w:tcBorders>
            <w:shd w:val="clear" w:color="auto" w:fill="auto"/>
            <w:vAlign w:val="center"/>
            <w:hideMark/>
          </w:tcPr>
          <w:p w14:paraId="1CA51504"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2,1</w:t>
            </w:r>
          </w:p>
        </w:tc>
        <w:tc>
          <w:tcPr>
            <w:tcW w:w="1119" w:type="dxa"/>
            <w:tcBorders>
              <w:top w:val="nil"/>
              <w:left w:val="nil"/>
              <w:bottom w:val="single" w:sz="4" w:space="0" w:color="auto"/>
              <w:right w:val="single" w:sz="4" w:space="0" w:color="auto"/>
            </w:tcBorders>
            <w:shd w:val="clear" w:color="auto" w:fill="auto"/>
            <w:vAlign w:val="center"/>
            <w:hideMark/>
          </w:tcPr>
          <w:p w14:paraId="0423EFCE"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2,4</w:t>
            </w:r>
          </w:p>
        </w:tc>
        <w:tc>
          <w:tcPr>
            <w:tcW w:w="3149" w:type="dxa"/>
            <w:tcBorders>
              <w:top w:val="nil"/>
              <w:left w:val="nil"/>
              <w:bottom w:val="single" w:sz="4" w:space="0" w:color="auto"/>
              <w:right w:val="single" w:sz="4" w:space="0" w:color="auto"/>
            </w:tcBorders>
            <w:shd w:val="clear" w:color="FFFFFF" w:fill="FFFFFF"/>
            <w:hideMark/>
          </w:tcPr>
          <w:p w14:paraId="71B371E6" w14:textId="77777777" w:rsidR="00322AE9" w:rsidRPr="00322AE9" w:rsidRDefault="00322AE9" w:rsidP="00322AE9">
            <w:pPr>
              <w:ind w:firstLine="0"/>
              <w:jc w:val="left"/>
              <w:rPr>
                <w:rFonts w:eastAsia="Times New Roman" w:cs="Times New Roman"/>
                <w:color w:val="000000"/>
                <w:sz w:val="18"/>
                <w:szCs w:val="18"/>
                <w:lang w:eastAsia="ru-RU"/>
              </w:rPr>
            </w:pPr>
            <w:r w:rsidRPr="00322AE9">
              <w:rPr>
                <w:rFonts w:eastAsia="Times New Roman" w:cs="Times New Roman"/>
                <w:color w:val="000000"/>
                <w:sz w:val="18"/>
                <w:szCs w:val="18"/>
                <w:lang w:eastAsia="ru-RU"/>
              </w:rPr>
              <w:t> </w:t>
            </w:r>
          </w:p>
        </w:tc>
      </w:tr>
      <w:tr w:rsidR="00322AE9" w:rsidRPr="00322AE9" w14:paraId="0A496852" w14:textId="77777777" w:rsidTr="00322AE9">
        <w:trPr>
          <w:trHeight w:val="765"/>
          <w:jc w:val="center"/>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1260A678"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 </w:t>
            </w:r>
          </w:p>
        </w:tc>
        <w:tc>
          <w:tcPr>
            <w:tcW w:w="816" w:type="dxa"/>
            <w:tcBorders>
              <w:top w:val="nil"/>
              <w:left w:val="nil"/>
              <w:bottom w:val="single" w:sz="4" w:space="0" w:color="auto"/>
              <w:right w:val="single" w:sz="4" w:space="0" w:color="auto"/>
            </w:tcBorders>
            <w:shd w:val="clear" w:color="auto" w:fill="auto"/>
            <w:vAlign w:val="center"/>
            <w:hideMark/>
          </w:tcPr>
          <w:p w14:paraId="20DF17F9"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0701</w:t>
            </w:r>
          </w:p>
        </w:tc>
        <w:tc>
          <w:tcPr>
            <w:tcW w:w="2893" w:type="dxa"/>
            <w:tcBorders>
              <w:top w:val="nil"/>
              <w:left w:val="nil"/>
              <w:bottom w:val="single" w:sz="4" w:space="0" w:color="auto"/>
              <w:right w:val="single" w:sz="4" w:space="0" w:color="auto"/>
            </w:tcBorders>
            <w:shd w:val="clear" w:color="auto" w:fill="auto"/>
            <w:vAlign w:val="center"/>
            <w:hideMark/>
          </w:tcPr>
          <w:p w14:paraId="29A75EC9" w14:textId="77777777" w:rsidR="00322AE9" w:rsidRPr="00322AE9" w:rsidRDefault="00322AE9" w:rsidP="00322AE9">
            <w:pPr>
              <w:ind w:firstLine="0"/>
              <w:jc w:val="left"/>
              <w:rPr>
                <w:rFonts w:eastAsia="Times New Roman" w:cs="Times New Roman"/>
                <w:color w:val="000000"/>
                <w:sz w:val="20"/>
                <w:szCs w:val="20"/>
                <w:lang w:eastAsia="ru-RU"/>
              </w:rPr>
            </w:pPr>
            <w:r w:rsidRPr="00322AE9">
              <w:rPr>
                <w:rFonts w:eastAsia="Times New Roman" w:cs="Times New Roman"/>
                <w:color w:val="000000"/>
                <w:sz w:val="20"/>
                <w:szCs w:val="20"/>
                <w:lang w:eastAsia="ru-RU"/>
              </w:rPr>
              <w:t>Производственные, производственно-складские и административно-производственные здания до 100 кв. м</w:t>
            </w:r>
          </w:p>
        </w:tc>
        <w:tc>
          <w:tcPr>
            <w:tcW w:w="855" w:type="dxa"/>
            <w:tcBorders>
              <w:top w:val="nil"/>
              <w:left w:val="nil"/>
              <w:bottom w:val="single" w:sz="4" w:space="0" w:color="auto"/>
              <w:right w:val="single" w:sz="4" w:space="0" w:color="auto"/>
            </w:tcBorders>
            <w:shd w:val="clear" w:color="FFFFFF" w:fill="FFFFFF"/>
            <w:vAlign w:val="center"/>
            <w:hideMark/>
          </w:tcPr>
          <w:p w14:paraId="14EC08C2"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 </w:t>
            </w:r>
          </w:p>
        </w:tc>
        <w:tc>
          <w:tcPr>
            <w:tcW w:w="793" w:type="dxa"/>
            <w:tcBorders>
              <w:top w:val="nil"/>
              <w:left w:val="nil"/>
              <w:bottom w:val="single" w:sz="4" w:space="0" w:color="auto"/>
              <w:right w:val="single" w:sz="4" w:space="0" w:color="auto"/>
            </w:tcBorders>
            <w:shd w:val="clear" w:color="FFFFFF" w:fill="FFFFFF"/>
            <w:vAlign w:val="center"/>
            <w:hideMark/>
          </w:tcPr>
          <w:p w14:paraId="3E18B5BF"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2,2</w:t>
            </w:r>
          </w:p>
        </w:tc>
        <w:tc>
          <w:tcPr>
            <w:tcW w:w="992" w:type="dxa"/>
            <w:tcBorders>
              <w:top w:val="nil"/>
              <w:left w:val="nil"/>
              <w:bottom w:val="single" w:sz="4" w:space="0" w:color="auto"/>
              <w:right w:val="single" w:sz="4" w:space="0" w:color="auto"/>
            </w:tcBorders>
            <w:shd w:val="clear" w:color="auto" w:fill="auto"/>
            <w:vAlign w:val="center"/>
            <w:hideMark/>
          </w:tcPr>
          <w:p w14:paraId="55012DDD"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0,3</w:t>
            </w:r>
          </w:p>
        </w:tc>
        <w:tc>
          <w:tcPr>
            <w:tcW w:w="1030" w:type="dxa"/>
            <w:tcBorders>
              <w:top w:val="nil"/>
              <w:left w:val="nil"/>
              <w:bottom w:val="single" w:sz="4" w:space="0" w:color="auto"/>
              <w:right w:val="single" w:sz="4" w:space="0" w:color="auto"/>
            </w:tcBorders>
            <w:shd w:val="clear" w:color="auto" w:fill="auto"/>
            <w:vAlign w:val="center"/>
            <w:hideMark/>
          </w:tcPr>
          <w:p w14:paraId="29494A15"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2,5</w:t>
            </w:r>
          </w:p>
        </w:tc>
        <w:tc>
          <w:tcPr>
            <w:tcW w:w="1096" w:type="dxa"/>
            <w:tcBorders>
              <w:top w:val="nil"/>
              <w:left w:val="nil"/>
              <w:bottom w:val="single" w:sz="4" w:space="0" w:color="auto"/>
              <w:right w:val="single" w:sz="4" w:space="0" w:color="auto"/>
            </w:tcBorders>
            <w:shd w:val="clear" w:color="auto" w:fill="auto"/>
            <w:vAlign w:val="center"/>
            <w:hideMark/>
          </w:tcPr>
          <w:p w14:paraId="7BABD673"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1,6</w:t>
            </w:r>
          </w:p>
        </w:tc>
        <w:tc>
          <w:tcPr>
            <w:tcW w:w="1149" w:type="dxa"/>
            <w:tcBorders>
              <w:top w:val="nil"/>
              <w:left w:val="nil"/>
              <w:bottom w:val="single" w:sz="4" w:space="0" w:color="auto"/>
              <w:right w:val="single" w:sz="4" w:space="0" w:color="auto"/>
            </w:tcBorders>
            <w:shd w:val="clear" w:color="auto" w:fill="auto"/>
            <w:vAlign w:val="center"/>
            <w:hideMark/>
          </w:tcPr>
          <w:p w14:paraId="0A4EFD48"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2,1</w:t>
            </w:r>
          </w:p>
        </w:tc>
        <w:tc>
          <w:tcPr>
            <w:tcW w:w="1119" w:type="dxa"/>
            <w:tcBorders>
              <w:top w:val="nil"/>
              <w:left w:val="nil"/>
              <w:bottom w:val="single" w:sz="4" w:space="0" w:color="auto"/>
              <w:right w:val="single" w:sz="4" w:space="0" w:color="auto"/>
            </w:tcBorders>
            <w:shd w:val="clear" w:color="auto" w:fill="auto"/>
            <w:vAlign w:val="center"/>
            <w:hideMark/>
          </w:tcPr>
          <w:p w14:paraId="13575E3E"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2,4</w:t>
            </w:r>
          </w:p>
        </w:tc>
        <w:tc>
          <w:tcPr>
            <w:tcW w:w="3149" w:type="dxa"/>
            <w:tcBorders>
              <w:top w:val="nil"/>
              <w:left w:val="nil"/>
              <w:bottom w:val="single" w:sz="4" w:space="0" w:color="auto"/>
              <w:right w:val="single" w:sz="4" w:space="0" w:color="auto"/>
            </w:tcBorders>
            <w:shd w:val="clear" w:color="FFFFFF" w:fill="FFFFFF"/>
            <w:hideMark/>
          </w:tcPr>
          <w:p w14:paraId="19C73503" w14:textId="77777777" w:rsidR="00322AE9" w:rsidRPr="00322AE9" w:rsidRDefault="00322AE9" w:rsidP="00322AE9">
            <w:pPr>
              <w:ind w:firstLine="0"/>
              <w:jc w:val="left"/>
              <w:rPr>
                <w:rFonts w:eastAsia="Times New Roman" w:cs="Times New Roman"/>
                <w:color w:val="000000"/>
                <w:sz w:val="18"/>
                <w:szCs w:val="18"/>
                <w:lang w:eastAsia="ru-RU"/>
              </w:rPr>
            </w:pPr>
            <w:r w:rsidRPr="00322AE9">
              <w:rPr>
                <w:rFonts w:eastAsia="Times New Roman" w:cs="Times New Roman"/>
                <w:color w:val="000000"/>
                <w:sz w:val="18"/>
                <w:szCs w:val="18"/>
                <w:lang w:eastAsia="ru-RU"/>
              </w:rPr>
              <w:t>СНиП 31-03-2001 "Производственные здания", п.5.1</w:t>
            </w:r>
          </w:p>
        </w:tc>
      </w:tr>
      <w:tr w:rsidR="00322AE9" w:rsidRPr="00322AE9" w14:paraId="1E1D9584" w14:textId="77777777" w:rsidTr="00322AE9">
        <w:trPr>
          <w:trHeight w:val="510"/>
          <w:jc w:val="center"/>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3D33B60E"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 </w:t>
            </w:r>
          </w:p>
        </w:tc>
        <w:tc>
          <w:tcPr>
            <w:tcW w:w="816" w:type="dxa"/>
            <w:tcBorders>
              <w:top w:val="nil"/>
              <w:left w:val="nil"/>
              <w:bottom w:val="single" w:sz="4" w:space="0" w:color="auto"/>
              <w:right w:val="single" w:sz="4" w:space="0" w:color="auto"/>
            </w:tcBorders>
            <w:shd w:val="clear" w:color="auto" w:fill="auto"/>
            <w:vAlign w:val="center"/>
            <w:hideMark/>
          </w:tcPr>
          <w:p w14:paraId="03DC0DA2"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0702</w:t>
            </w:r>
          </w:p>
        </w:tc>
        <w:tc>
          <w:tcPr>
            <w:tcW w:w="2893" w:type="dxa"/>
            <w:tcBorders>
              <w:top w:val="nil"/>
              <w:left w:val="nil"/>
              <w:bottom w:val="single" w:sz="4" w:space="0" w:color="auto"/>
              <w:right w:val="single" w:sz="4" w:space="0" w:color="auto"/>
            </w:tcBorders>
            <w:shd w:val="clear" w:color="auto" w:fill="auto"/>
            <w:vAlign w:val="center"/>
            <w:hideMark/>
          </w:tcPr>
          <w:p w14:paraId="2C03AB76" w14:textId="77777777" w:rsidR="00322AE9" w:rsidRPr="00322AE9" w:rsidRDefault="00322AE9" w:rsidP="00322AE9">
            <w:pPr>
              <w:ind w:firstLine="0"/>
              <w:jc w:val="left"/>
              <w:rPr>
                <w:rFonts w:eastAsia="Times New Roman" w:cs="Times New Roman"/>
                <w:color w:val="000000"/>
                <w:sz w:val="20"/>
                <w:szCs w:val="20"/>
                <w:lang w:eastAsia="ru-RU"/>
              </w:rPr>
            </w:pPr>
            <w:r w:rsidRPr="00322AE9">
              <w:rPr>
                <w:rFonts w:eastAsia="Times New Roman" w:cs="Times New Roman"/>
                <w:color w:val="000000"/>
                <w:sz w:val="20"/>
                <w:szCs w:val="20"/>
                <w:lang w:eastAsia="ru-RU"/>
              </w:rPr>
              <w:t>Диспетчерские, аппаратные (кроме диспетчерских на транспорте)</w:t>
            </w:r>
          </w:p>
        </w:tc>
        <w:tc>
          <w:tcPr>
            <w:tcW w:w="855" w:type="dxa"/>
            <w:tcBorders>
              <w:top w:val="nil"/>
              <w:left w:val="nil"/>
              <w:bottom w:val="single" w:sz="4" w:space="0" w:color="auto"/>
              <w:right w:val="single" w:sz="4" w:space="0" w:color="auto"/>
            </w:tcBorders>
            <w:shd w:val="clear" w:color="FFFFFF" w:fill="FFFFFF"/>
            <w:vAlign w:val="center"/>
            <w:hideMark/>
          </w:tcPr>
          <w:p w14:paraId="23D59CC5"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 </w:t>
            </w:r>
          </w:p>
        </w:tc>
        <w:tc>
          <w:tcPr>
            <w:tcW w:w="793" w:type="dxa"/>
            <w:tcBorders>
              <w:top w:val="nil"/>
              <w:left w:val="nil"/>
              <w:bottom w:val="single" w:sz="4" w:space="0" w:color="auto"/>
              <w:right w:val="single" w:sz="4" w:space="0" w:color="auto"/>
            </w:tcBorders>
            <w:shd w:val="clear" w:color="FFFFFF" w:fill="FFFFFF"/>
            <w:vAlign w:val="center"/>
            <w:hideMark/>
          </w:tcPr>
          <w:p w14:paraId="54EBEF4E"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2,5</w:t>
            </w:r>
          </w:p>
        </w:tc>
        <w:tc>
          <w:tcPr>
            <w:tcW w:w="992" w:type="dxa"/>
            <w:tcBorders>
              <w:top w:val="nil"/>
              <w:left w:val="nil"/>
              <w:bottom w:val="single" w:sz="4" w:space="0" w:color="auto"/>
              <w:right w:val="single" w:sz="4" w:space="0" w:color="auto"/>
            </w:tcBorders>
            <w:shd w:val="clear" w:color="auto" w:fill="auto"/>
            <w:vAlign w:val="center"/>
            <w:hideMark/>
          </w:tcPr>
          <w:p w14:paraId="7A4876F2"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0,3</w:t>
            </w:r>
          </w:p>
        </w:tc>
        <w:tc>
          <w:tcPr>
            <w:tcW w:w="1030" w:type="dxa"/>
            <w:tcBorders>
              <w:top w:val="nil"/>
              <w:left w:val="nil"/>
              <w:bottom w:val="single" w:sz="4" w:space="0" w:color="auto"/>
              <w:right w:val="single" w:sz="4" w:space="0" w:color="auto"/>
            </w:tcBorders>
            <w:shd w:val="clear" w:color="auto" w:fill="auto"/>
            <w:vAlign w:val="center"/>
            <w:hideMark/>
          </w:tcPr>
          <w:p w14:paraId="49082C88"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2,8</w:t>
            </w:r>
          </w:p>
        </w:tc>
        <w:tc>
          <w:tcPr>
            <w:tcW w:w="1096" w:type="dxa"/>
            <w:tcBorders>
              <w:top w:val="nil"/>
              <w:left w:val="nil"/>
              <w:bottom w:val="single" w:sz="4" w:space="0" w:color="auto"/>
              <w:right w:val="single" w:sz="4" w:space="0" w:color="auto"/>
            </w:tcBorders>
            <w:shd w:val="clear" w:color="auto" w:fill="auto"/>
            <w:vAlign w:val="center"/>
            <w:hideMark/>
          </w:tcPr>
          <w:p w14:paraId="59A138BE"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1,6</w:t>
            </w:r>
          </w:p>
        </w:tc>
        <w:tc>
          <w:tcPr>
            <w:tcW w:w="1149" w:type="dxa"/>
            <w:tcBorders>
              <w:top w:val="nil"/>
              <w:left w:val="nil"/>
              <w:bottom w:val="single" w:sz="4" w:space="0" w:color="auto"/>
              <w:right w:val="single" w:sz="4" w:space="0" w:color="auto"/>
            </w:tcBorders>
            <w:shd w:val="clear" w:color="auto" w:fill="auto"/>
            <w:vAlign w:val="center"/>
            <w:hideMark/>
          </w:tcPr>
          <w:p w14:paraId="190ABAFA"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2,1</w:t>
            </w:r>
          </w:p>
        </w:tc>
        <w:tc>
          <w:tcPr>
            <w:tcW w:w="1119" w:type="dxa"/>
            <w:tcBorders>
              <w:top w:val="nil"/>
              <w:left w:val="nil"/>
              <w:bottom w:val="single" w:sz="4" w:space="0" w:color="auto"/>
              <w:right w:val="single" w:sz="4" w:space="0" w:color="auto"/>
            </w:tcBorders>
            <w:shd w:val="clear" w:color="auto" w:fill="auto"/>
            <w:vAlign w:val="center"/>
            <w:hideMark/>
          </w:tcPr>
          <w:p w14:paraId="4BB3B627"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2,4</w:t>
            </w:r>
          </w:p>
        </w:tc>
        <w:tc>
          <w:tcPr>
            <w:tcW w:w="3149" w:type="dxa"/>
            <w:tcBorders>
              <w:top w:val="nil"/>
              <w:left w:val="nil"/>
              <w:bottom w:val="single" w:sz="4" w:space="0" w:color="auto"/>
              <w:right w:val="single" w:sz="4" w:space="0" w:color="auto"/>
            </w:tcBorders>
            <w:shd w:val="clear" w:color="FFFFFF" w:fill="FFFFFF"/>
            <w:hideMark/>
          </w:tcPr>
          <w:p w14:paraId="485FCBE3" w14:textId="77777777" w:rsidR="00322AE9" w:rsidRPr="00322AE9" w:rsidRDefault="00322AE9" w:rsidP="00322AE9">
            <w:pPr>
              <w:ind w:firstLine="0"/>
              <w:jc w:val="left"/>
              <w:rPr>
                <w:rFonts w:eastAsia="Times New Roman" w:cs="Times New Roman"/>
                <w:color w:val="000000"/>
                <w:sz w:val="18"/>
                <w:szCs w:val="18"/>
                <w:lang w:eastAsia="ru-RU"/>
              </w:rPr>
            </w:pPr>
            <w:r w:rsidRPr="00322AE9">
              <w:rPr>
                <w:rFonts w:eastAsia="Times New Roman" w:cs="Times New Roman"/>
                <w:color w:val="000000"/>
                <w:sz w:val="18"/>
                <w:szCs w:val="18"/>
                <w:lang w:eastAsia="ru-RU"/>
              </w:rPr>
              <w:t>СП 44.13330.2011 "Административные и бытовые здания" п.4.3</w:t>
            </w:r>
          </w:p>
        </w:tc>
      </w:tr>
      <w:tr w:rsidR="00322AE9" w:rsidRPr="00322AE9" w14:paraId="500F0472" w14:textId="77777777" w:rsidTr="00322AE9">
        <w:trPr>
          <w:trHeight w:val="510"/>
          <w:jc w:val="center"/>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6FFD9874"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 </w:t>
            </w:r>
          </w:p>
        </w:tc>
        <w:tc>
          <w:tcPr>
            <w:tcW w:w="816" w:type="dxa"/>
            <w:tcBorders>
              <w:top w:val="nil"/>
              <w:left w:val="nil"/>
              <w:bottom w:val="single" w:sz="4" w:space="0" w:color="auto"/>
              <w:right w:val="single" w:sz="4" w:space="0" w:color="auto"/>
            </w:tcBorders>
            <w:shd w:val="clear" w:color="auto" w:fill="auto"/>
            <w:vAlign w:val="center"/>
            <w:hideMark/>
          </w:tcPr>
          <w:p w14:paraId="6ECEA07C"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0703</w:t>
            </w:r>
          </w:p>
        </w:tc>
        <w:tc>
          <w:tcPr>
            <w:tcW w:w="2893" w:type="dxa"/>
            <w:tcBorders>
              <w:top w:val="nil"/>
              <w:left w:val="nil"/>
              <w:bottom w:val="single" w:sz="4" w:space="0" w:color="auto"/>
              <w:right w:val="single" w:sz="4" w:space="0" w:color="auto"/>
            </w:tcBorders>
            <w:shd w:val="clear" w:color="auto" w:fill="auto"/>
            <w:vAlign w:val="center"/>
            <w:hideMark/>
          </w:tcPr>
          <w:p w14:paraId="07EFA91D" w14:textId="77777777" w:rsidR="00322AE9" w:rsidRPr="00322AE9" w:rsidRDefault="00322AE9" w:rsidP="00322AE9">
            <w:pPr>
              <w:ind w:firstLine="0"/>
              <w:jc w:val="left"/>
              <w:rPr>
                <w:rFonts w:eastAsia="Times New Roman" w:cs="Times New Roman"/>
                <w:color w:val="000000"/>
                <w:sz w:val="20"/>
                <w:szCs w:val="20"/>
                <w:lang w:eastAsia="ru-RU"/>
              </w:rPr>
            </w:pPr>
            <w:r w:rsidRPr="00322AE9">
              <w:rPr>
                <w:rFonts w:eastAsia="Times New Roman" w:cs="Times New Roman"/>
                <w:color w:val="000000"/>
                <w:sz w:val="20"/>
                <w:szCs w:val="20"/>
                <w:lang w:eastAsia="ru-RU"/>
              </w:rPr>
              <w:t>Контрольно-пропускные пункты, проходные менее 100 кв.м</w:t>
            </w:r>
          </w:p>
        </w:tc>
        <w:tc>
          <w:tcPr>
            <w:tcW w:w="855" w:type="dxa"/>
            <w:tcBorders>
              <w:top w:val="nil"/>
              <w:left w:val="nil"/>
              <w:bottom w:val="single" w:sz="4" w:space="0" w:color="auto"/>
              <w:right w:val="single" w:sz="4" w:space="0" w:color="auto"/>
            </w:tcBorders>
            <w:shd w:val="clear" w:color="FFFFFF" w:fill="FFFFFF"/>
            <w:vAlign w:val="center"/>
            <w:hideMark/>
          </w:tcPr>
          <w:p w14:paraId="10377EF3"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 </w:t>
            </w:r>
          </w:p>
        </w:tc>
        <w:tc>
          <w:tcPr>
            <w:tcW w:w="793" w:type="dxa"/>
            <w:tcBorders>
              <w:top w:val="nil"/>
              <w:left w:val="nil"/>
              <w:bottom w:val="single" w:sz="4" w:space="0" w:color="auto"/>
              <w:right w:val="single" w:sz="4" w:space="0" w:color="auto"/>
            </w:tcBorders>
            <w:shd w:val="clear" w:color="FFFFFF" w:fill="FFFFFF"/>
            <w:vAlign w:val="center"/>
            <w:hideMark/>
          </w:tcPr>
          <w:p w14:paraId="3C0DF9B5"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2,5</w:t>
            </w:r>
          </w:p>
        </w:tc>
        <w:tc>
          <w:tcPr>
            <w:tcW w:w="992" w:type="dxa"/>
            <w:tcBorders>
              <w:top w:val="nil"/>
              <w:left w:val="nil"/>
              <w:bottom w:val="single" w:sz="4" w:space="0" w:color="auto"/>
              <w:right w:val="single" w:sz="4" w:space="0" w:color="auto"/>
            </w:tcBorders>
            <w:shd w:val="clear" w:color="auto" w:fill="auto"/>
            <w:vAlign w:val="center"/>
            <w:hideMark/>
          </w:tcPr>
          <w:p w14:paraId="7F316EE4"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0,3</w:t>
            </w:r>
          </w:p>
        </w:tc>
        <w:tc>
          <w:tcPr>
            <w:tcW w:w="1030" w:type="dxa"/>
            <w:tcBorders>
              <w:top w:val="nil"/>
              <w:left w:val="nil"/>
              <w:bottom w:val="single" w:sz="4" w:space="0" w:color="auto"/>
              <w:right w:val="single" w:sz="4" w:space="0" w:color="auto"/>
            </w:tcBorders>
            <w:shd w:val="clear" w:color="auto" w:fill="auto"/>
            <w:vAlign w:val="center"/>
            <w:hideMark/>
          </w:tcPr>
          <w:p w14:paraId="26780E60"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2,8</w:t>
            </w:r>
          </w:p>
        </w:tc>
        <w:tc>
          <w:tcPr>
            <w:tcW w:w="1096" w:type="dxa"/>
            <w:tcBorders>
              <w:top w:val="nil"/>
              <w:left w:val="nil"/>
              <w:bottom w:val="single" w:sz="4" w:space="0" w:color="auto"/>
              <w:right w:val="single" w:sz="4" w:space="0" w:color="auto"/>
            </w:tcBorders>
            <w:shd w:val="clear" w:color="auto" w:fill="auto"/>
            <w:vAlign w:val="center"/>
            <w:hideMark/>
          </w:tcPr>
          <w:p w14:paraId="66CC41EE"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1,6</w:t>
            </w:r>
          </w:p>
        </w:tc>
        <w:tc>
          <w:tcPr>
            <w:tcW w:w="1149" w:type="dxa"/>
            <w:tcBorders>
              <w:top w:val="nil"/>
              <w:left w:val="nil"/>
              <w:bottom w:val="single" w:sz="4" w:space="0" w:color="auto"/>
              <w:right w:val="single" w:sz="4" w:space="0" w:color="auto"/>
            </w:tcBorders>
            <w:shd w:val="clear" w:color="auto" w:fill="auto"/>
            <w:vAlign w:val="center"/>
            <w:hideMark/>
          </w:tcPr>
          <w:p w14:paraId="450A251F"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2,1</w:t>
            </w:r>
          </w:p>
        </w:tc>
        <w:tc>
          <w:tcPr>
            <w:tcW w:w="1119" w:type="dxa"/>
            <w:tcBorders>
              <w:top w:val="nil"/>
              <w:left w:val="nil"/>
              <w:bottom w:val="single" w:sz="4" w:space="0" w:color="auto"/>
              <w:right w:val="single" w:sz="4" w:space="0" w:color="auto"/>
            </w:tcBorders>
            <w:shd w:val="clear" w:color="auto" w:fill="auto"/>
            <w:vAlign w:val="center"/>
            <w:hideMark/>
          </w:tcPr>
          <w:p w14:paraId="313EF20D"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2,4</w:t>
            </w:r>
          </w:p>
        </w:tc>
        <w:tc>
          <w:tcPr>
            <w:tcW w:w="3149" w:type="dxa"/>
            <w:tcBorders>
              <w:top w:val="nil"/>
              <w:left w:val="nil"/>
              <w:bottom w:val="single" w:sz="4" w:space="0" w:color="auto"/>
              <w:right w:val="single" w:sz="4" w:space="0" w:color="auto"/>
            </w:tcBorders>
            <w:shd w:val="clear" w:color="FFFFFF" w:fill="FFFFFF"/>
            <w:hideMark/>
          </w:tcPr>
          <w:p w14:paraId="56D8A3C1" w14:textId="77777777" w:rsidR="00322AE9" w:rsidRPr="00322AE9" w:rsidRDefault="00322AE9" w:rsidP="00322AE9">
            <w:pPr>
              <w:ind w:firstLine="0"/>
              <w:jc w:val="left"/>
              <w:rPr>
                <w:rFonts w:eastAsia="Times New Roman" w:cs="Times New Roman"/>
                <w:color w:val="000000"/>
                <w:sz w:val="18"/>
                <w:szCs w:val="18"/>
                <w:lang w:eastAsia="ru-RU"/>
              </w:rPr>
            </w:pPr>
            <w:r w:rsidRPr="00322AE9">
              <w:rPr>
                <w:rFonts w:eastAsia="Times New Roman" w:cs="Times New Roman"/>
                <w:color w:val="000000"/>
                <w:sz w:val="18"/>
                <w:szCs w:val="18"/>
                <w:lang w:eastAsia="ru-RU"/>
              </w:rPr>
              <w:t>СП 44.13330.2011 "Административные и бытовые здания" п.4.3</w:t>
            </w:r>
          </w:p>
        </w:tc>
      </w:tr>
      <w:tr w:rsidR="00322AE9" w:rsidRPr="00322AE9" w14:paraId="772F8A49" w14:textId="77777777" w:rsidTr="00322AE9">
        <w:trPr>
          <w:trHeight w:val="765"/>
          <w:jc w:val="center"/>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6B2A6161"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 </w:t>
            </w:r>
          </w:p>
        </w:tc>
        <w:tc>
          <w:tcPr>
            <w:tcW w:w="816" w:type="dxa"/>
            <w:tcBorders>
              <w:top w:val="nil"/>
              <w:left w:val="nil"/>
              <w:bottom w:val="single" w:sz="4" w:space="0" w:color="auto"/>
              <w:right w:val="single" w:sz="4" w:space="0" w:color="auto"/>
            </w:tcBorders>
            <w:shd w:val="clear" w:color="auto" w:fill="auto"/>
            <w:vAlign w:val="center"/>
            <w:hideMark/>
          </w:tcPr>
          <w:p w14:paraId="53E6A984"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0704</w:t>
            </w:r>
          </w:p>
        </w:tc>
        <w:tc>
          <w:tcPr>
            <w:tcW w:w="2893" w:type="dxa"/>
            <w:tcBorders>
              <w:top w:val="nil"/>
              <w:left w:val="nil"/>
              <w:bottom w:val="single" w:sz="4" w:space="0" w:color="auto"/>
              <w:right w:val="single" w:sz="4" w:space="0" w:color="auto"/>
            </w:tcBorders>
            <w:shd w:val="clear" w:color="auto" w:fill="auto"/>
            <w:vAlign w:val="center"/>
            <w:hideMark/>
          </w:tcPr>
          <w:p w14:paraId="530220B7" w14:textId="77777777" w:rsidR="00322AE9" w:rsidRPr="00322AE9" w:rsidRDefault="00322AE9" w:rsidP="00322AE9">
            <w:pPr>
              <w:ind w:firstLine="0"/>
              <w:jc w:val="left"/>
              <w:rPr>
                <w:rFonts w:eastAsia="Times New Roman" w:cs="Times New Roman"/>
                <w:color w:val="000000"/>
                <w:sz w:val="20"/>
                <w:szCs w:val="20"/>
                <w:lang w:eastAsia="ru-RU"/>
              </w:rPr>
            </w:pPr>
            <w:r w:rsidRPr="00322AE9">
              <w:rPr>
                <w:rFonts w:eastAsia="Times New Roman" w:cs="Times New Roman"/>
                <w:color w:val="000000"/>
                <w:sz w:val="20"/>
                <w:szCs w:val="20"/>
                <w:lang w:eastAsia="ru-RU"/>
              </w:rPr>
              <w:t>Производственные, производственно-складские и административно-производственные здания площадью 100 и более  кв. м</w:t>
            </w:r>
          </w:p>
        </w:tc>
        <w:tc>
          <w:tcPr>
            <w:tcW w:w="855" w:type="dxa"/>
            <w:tcBorders>
              <w:top w:val="nil"/>
              <w:left w:val="nil"/>
              <w:bottom w:val="single" w:sz="4" w:space="0" w:color="auto"/>
              <w:right w:val="single" w:sz="4" w:space="0" w:color="auto"/>
            </w:tcBorders>
            <w:shd w:val="clear" w:color="FFFFFF" w:fill="FFFFFF"/>
            <w:vAlign w:val="center"/>
            <w:hideMark/>
          </w:tcPr>
          <w:p w14:paraId="13ADFEAD"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 </w:t>
            </w:r>
          </w:p>
        </w:tc>
        <w:tc>
          <w:tcPr>
            <w:tcW w:w="793" w:type="dxa"/>
            <w:tcBorders>
              <w:top w:val="nil"/>
              <w:left w:val="nil"/>
              <w:bottom w:val="single" w:sz="4" w:space="0" w:color="auto"/>
              <w:right w:val="single" w:sz="4" w:space="0" w:color="auto"/>
            </w:tcBorders>
            <w:shd w:val="clear" w:color="FFFFFF" w:fill="FFFFFF"/>
            <w:vAlign w:val="center"/>
            <w:hideMark/>
          </w:tcPr>
          <w:p w14:paraId="150FDF6F"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3,0</w:t>
            </w:r>
          </w:p>
        </w:tc>
        <w:tc>
          <w:tcPr>
            <w:tcW w:w="992" w:type="dxa"/>
            <w:tcBorders>
              <w:top w:val="nil"/>
              <w:left w:val="nil"/>
              <w:bottom w:val="single" w:sz="4" w:space="0" w:color="auto"/>
              <w:right w:val="single" w:sz="4" w:space="0" w:color="auto"/>
            </w:tcBorders>
            <w:shd w:val="clear" w:color="auto" w:fill="auto"/>
            <w:vAlign w:val="center"/>
            <w:hideMark/>
          </w:tcPr>
          <w:p w14:paraId="1CFB5BBA"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0,3</w:t>
            </w:r>
          </w:p>
        </w:tc>
        <w:tc>
          <w:tcPr>
            <w:tcW w:w="1030" w:type="dxa"/>
            <w:tcBorders>
              <w:top w:val="nil"/>
              <w:left w:val="nil"/>
              <w:bottom w:val="single" w:sz="4" w:space="0" w:color="auto"/>
              <w:right w:val="single" w:sz="4" w:space="0" w:color="auto"/>
            </w:tcBorders>
            <w:shd w:val="clear" w:color="auto" w:fill="auto"/>
            <w:vAlign w:val="center"/>
            <w:hideMark/>
          </w:tcPr>
          <w:p w14:paraId="71FA9D19"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3,3</w:t>
            </w:r>
          </w:p>
        </w:tc>
        <w:tc>
          <w:tcPr>
            <w:tcW w:w="1096" w:type="dxa"/>
            <w:tcBorders>
              <w:top w:val="nil"/>
              <w:left w:val="nil"/>
              <w:bottom w:val="single" w:sz="4" w:space="0" w:color="auto"/>
              <w:right w:val="single" w:sz="4" w:space="0" w:color="auto"/>
            </w:tcBorders>
            <w:shd w:val="clear" w:color="auto" w:fill="auto"/>
            <w:vAlign w:val="center"/>
            <w:hideMark/>
          </w:tcPr>
          <w:p w14:paraId="3669C091"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1,6</w:t>
            </w:r>
          </w:p>
        </w:tc>
        <w:tc>
          <w:tcPr>
            <w:tcW w:w="1149" w:type="dxa"/>
            <w:tcBorders>
              <w:top w:val="nil"/>
              <w:left w:val="nil"/>
              <w:bottom w:val="single" w:sz="4" w:space="0" w:color="auto"/>
              <w:right w:val="single" w:sz="4" w:space="0" w:color="auto"/>
            </w:tcBorders>
            <w:shd w:val="clear" w:color="auto" w:fill="auto"/>
            <w:vAlign w:val="center"/>
            <w:hideMark/>
          </w:tcPr>
          <w:p w14:paraId="120D5784"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2,1</w:t>
            </w:r>
          </w:p>
        </w:tc>
        <w:tc>
          <w:tcPr>
            <w:tcW w:w="1119" w:type="dxa"/>
            <w:tcBorders>
              <w:top w:val="nil"/>
              <w:left w:val="nil"/>
              <w:bottom w:val="single" w:sz="4" w:space="0" w:color="auto"/>
              <w:right w:val="single" w:sz="4" w:space="0" w:color="auto"/>
            </w:tcBorders>
            <w:shd w:val="clear" w:color="auto" w:fill="auto"/>
            <w:vAlign w:val="center"/>
            <w:hideMark/>
          </w:tcPr>
          <w:p w14:paraId="24E31874"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2,4</w:t>
            </w:r>
          </w:p>
        </w:tc>
        <w:tc>
          <w:tcPr>
            <w:tcW w:w="3149" w:type="dxa"/>
            <w:tcBorders>
              <w:top w:val="nil"/>
              <w:left w:val="nil"/>
              <w:bottom w:val="single" w:sz="4" w:space="0" w:color="auto"/>
              <w:right w:val="single" w:sz="4" w:space="0" w:color="auto"/>
            </w:tcBorders>
            <w:shd w:val="clear" w:color="FFFFFF" w:fill="FFFFFF"/>
            <w:hideMark/>
          </w:tcPr>
          <w:p w14:paraId="372DE824" w14:textId="77777777" w:rsidR="00322AE9" w:rsidRPr="00322AE9" w:rsidRDefault="00322AE9" w:rsidP="00322AE9">
            <w:pPr>
              <w:ind w:firstLine="0"/>
              <w:jc w:val="left"/>
              <w:rPr>
                <w:rFonts w:eastAsia="Times New Roman" w:cs="Times New Roman"/>
                <w:color w:val="000000"/>
                <w:sz w:val="18"/>
                <w:szCs w:val="18"/>
                <w:lang w:eastAsia="ru-RU"/>
              </w:rPr>
            </w:pPr>
            <w:r w:rsidRPr="00322AE9">
              <w:rPr>
                <w:rFonts w:eastAsia="Times New Roman" w:cs="Times New Roman"/>
                <w:color w:val="000000"/>
                <w:sz w:val="18"/>
                <w:szCs w:val="18"/>
                <w:lang w:eastAsia="ru-RU"/>
              </w:rPr>
              <w:t>СНиП 31-03-2001 "Производственные здания"</w:t>
            </w:r>
          </w:p>
        </w:tc>
      </w:tr>
      <w:tr w:rsidR="00322AE9" w:rsidRPr="00322AE9" w14:paraId="4AB6DF6B" w14:textId="77777777" w:rsidTr="00322AE9">
        <w:trPr>
          <w:trHeight w:val="1275"/>
          <w:jc w:val="center"/>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75D91138"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 </w:t>
            </w:r>
          </w:p>
        </w:tc>
        <w:tc>
          <w:tcPr>
            <w:tcW w:w="816" w:type="dxa"/>
            <w:tcBorders>
              <w:top w:val="nil"/>
              <w:left w:val="nil"/>
              <w:bottom w:val="single" w:sz="4" w:space="0" w:color="auto"/>
              <w:right w:val="single" w:sz="4" w:space="0" w:color="auto"/>
            </w:tcBorders>
            <w:shd w:val="clear" w:color="auto" w:fill="auto"/>
            <w:vAlign w:val="center"/>
            <w:hideMark/>
          </w:tcPr>
          <w:p w14:paraId="2376978B"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0705</w:t>
            </w:r>
          </w:p>
        </w:tc>
        <w:tc>
          <w:tcPr>
            <w:tcW w:w="2893" w:type="dxa"/>
            <w:tcBorders>
              <w:top w:val="nil"/>
              <w:left w:val="nil"/>
              <w:bottom w:val="single" w:sz="4" w:space="0" w:color="auto"/>
              <w:right w:val="single" w:sz="4" w:space="0" w:color="auto"/>
            </w:tcBorders>
            <w:shd w:val="clear" w:color="auto" w:fill="auto"/>
            <w:vAlign w:val="center"/>
            <w:hideMark/>
          </w:tcPr>
          <w:p w14:paraId="17A06F43" w14:textId="77777777" w:rsidR="00322AE9" w:rsidRPr="00322AE9" w:rsidRDefault="00322AE9" w:rsidP="00322AE9">
            <w:pPr>
              <w:ind w:firstLine="0"/>
              <w:jc w:val="left"/>
              <w:rPr>
                <w:rFonts w:eastAsia="Times New Roman" w:cs="Times New Roman"/>
                <w:color w:val="000000"/>
                <w:sz w:val="20"/>
                <w:szCs w:val="20"/>
                <w:lang w:eastAsia="ru-RU"/>
              </w:rPr>
            </w:pPr>
            <w:r w:rsidRPr="00322AE9">
              <w:rPr>
                <w:rFonts w:eastAsia="Times New Roman" w:cs="Times New Roman"/>
                <w:color w:val="000000"/>
                <w:sz w:val="20"/>
                <w:szCs w:val="20"/>
                <w:lang w:eastAsia="ru-RU"/>
              </w:rPr>
              <w:t>Объекты сельскохозяйственного производства (агропромышленного комплекса). Животноводческие комплексы, птичники, тепличные и оранжерейные хозяйства, овощехранилища</w:t>
            </w:r>
          </w:p>
        </w:tc>
        <w:tc>
          <w:tcPr>
            <w:tcW w:w="855" w:type="dxa"/>
            <w:tcBorders>
              <w:top w:val="nil"/>
              <w:left w:val="nil"/>
              <w:bottom w:val="single" w:sz="4" w:space="0" w:color="auto"/>
              <w:right w:val="single" w:sz="4" w:space="0" w:color="auto"/>
            </w:tcBorders>
            <w:shd w:val="clear" w:color="FFFFFF" w:fill="FFFFFF"/>
            <w:vAlign w:val="center"/>
            <w:hideMark/>
          </w:tcPr>
          <w:p w14:paraId="00D926EC"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 </w:t>
            </w:r>
          </w:p>
        </w:tc>
        <w:tc>
          <w:tcPr>
            <w:tcW w:w="793" w:type="dxa"/>
            <w:tcBorders>
              <w:top w:val="nil"/>
              <w:left w:val="nil"/>
              <w:bottom w:val="single" w:sz="4" w:space="0" w:color="auto"/>
              <w:right w:val="single" w:sz="4" w:space="0" w:color="auto"/>
            </w:tcBorders>
            <w:shd w:val="clear" w:color="FFFFFF" w:fill="FFFFFF"/>
            <w:vAlign w:val="center"/>
            <w:hideMark/>
          </w:tcPr>
          <w:p w14:paraId="25B6ED73"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 </w:t>
            </w:r>
          </w:p>
        </w:tc>
        <w:tc>
          <w:tcPr>
            <w:tcW w:w="992" w:type="dxa"/>
            <w:tcBorders>
              <w:top w:val="nil"/>
              <w:left w:val="nil"/>
              <w:bottom w:val="single" w:sz="4" w:space="0" w:color="auto"/>
              <w:right w:val="single" w:sz="4" w:space="0" w:color="auto"/>
            </w:tcBorders>
            <w:shd w:val="clear" w:color="auto" w:fill="auto"/>
            <w:vAlign w:val="center"/>
            <w:hideMark/>
          </w:tcPr>
          <w:p w14:paraId="75C013B7"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 </w:t>
            </w:r>
          </w:p>
        </w:tc>
        <w:tc>
          <w:tcPr>
            <w:tcW w:w="1030" w:type="dxa"/>
            <w:tcBorders>
              <w:top w:val="nil"/>
              <w:left w:val="nil"/>
              <w:bottom w:val="single" w:sz="4" w:space="0" w:color="auto"/>
              <w:right w:val="single" w:sz="4" w:space="0" w:color="auto"/>
            </w:tcBorders>
            <w:shd w:val="clear" w:color="auto" w:fill="auto"/>
            <w:vAlign w:val="center"/>
            <w:hideMark/>
          </w:tcPr>
          <w:p w14:paraId="64C14EFF"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2,7</w:t>
            </w:r>
          </w:p>
        </w:tc>
        <w:tc>
          <w:tcPr>
            <w:tcW w:w="1096" w:type="dxa"/>
            <w:tcBorders>
              <w:top w:val="nil"/>
              <w:left w:val="nil"/>
              <w:bottom w:val="single" w:sz="4" w:space="0" w:color="auto"/>
              <w:right w:val="single" w:sz="4" w:space="0" w:color="auto"/>
            </w:tcBorders>
            <w:shd w:val="clear" w:color="auto" w:fill="auto"/>
            <w:vAlign w:val="center"/>
            <w:hideMark/>
          </w:tcPr>
          <w:p w14:paraId="67008A70"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1,6</w:t>
            </w:r>
          </w:p>
        </w:tc>
        <w:tc>
          <w:tcPr>
            <w:tcW w:w="1149" w:type="dxa"/>
            <w:tcBorders>
              <w:top w:val="nil"/>
              <w:left w:val="nil"/>
              <w:bottom w:val="single" w:sz="4" w:space="0" w:color="auto"/>
              <w:right w:val="single" w:sz="4" w:space="0" w:color="auto"/>
            </w:tcBorders>
            <w:shd w:val="clear" w:color="auto" w:fill="auto"/>
            <w:vAlign w:val="center"/>
            <w:hideMark/>
          </w:tcPr>
          <w:p w14:paraId="1ACBE9EB"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 </w:t>
            </w:r>
          </w:p>
        </w:tc>
        <w:tc>
          <w:tcPr>
            <w:tcW w:w="1119" w:type="dxa"/>
            <w:tcBorders>
              <w:top w:val="nil"/>
              <w:left w:val="nil"/>
              <w:bottom w:val="single" w:sz="4" w:space="0" w:color="auto"/>
              <w:right w:val="single" w:sz="4" w:space="0" w:color="auto"/>
            </w:tcBorders>
            <w:shd w:val="clear" w:color="auto" w:fill="auto"/>
            <w:vAlign w:val="center"/>
            <w:hideMark/>
          </w:tcPr>
          <w:p w14:paraId="1BD9A02F"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2,4</w:t>
            </w:r>
          </w:p>
        </w:tc>
        <w:tc>
          <w:tcPr>
            <w:tcW w:w="3149" w:type="dxa"/>
            <w:tcBorders>
              <w:top w:val="nil"/>
              <w:left w:val="nil"/>
              <w:bottom w:val="single" w:sz="4" w:space="0" w:color="auto"/>
              <w:right w:val="single" w:sz="4" w:space="0" w:color="auto"/>
            </w:tcBorders>
            <w:shd w:val="clear" w:color="FFFFFF" w:fill="FFFFFF"/>
            <w:hideMark/>
          </w:tcPr>
          <w:p w14:paraId="06E2ED51" w14:textId="77777777" w:rsidR="00322AE9" w:rsidRPr="00322AE9" w:rsidRDefault="00322AE9" w:rsidP="00322AE9">
            <w:pPr>
              <w:ind w:firstLine="0"/>
              <w:jc w:val="left"/>
              <w:rPr>
                <w:rFonts w:eastAsia="Times New Roman" w:cs="Times New Roman"/>
                <w:color w:val="000000"/>
                <w:sz w:val="18"/>
                <w:szCs w:val="18"/>
                <w:lang w:eastAsia="ru-RU"/>
              </w:rPr>
            </w:pPr>
            <w:r w:rsidRPr="00322AE9">
              <w:rPr>
                <w:rFonts w:eastAsia="Times New Roman" w:cs="Times New Roman"/>
                <w:color w:val="000000"/>
                <w:sz w:val="18"/>
                <w:szCs w:val="18"/>
                <w:lang w:eastAsia="ru-RU"/>
              </w:rPr>
              <w:t> </w:t>
            </w:r>
          </w:p>
        </w:tc>
      </w:tr>
      <w:tr w:rsidR="00322AE9" w:rsidRPr="00322AE9" w14:paraId="3BBA5058" w14:textId="77777777" w:rsidTr="00322AE9">
        <w:trPr>
          <w:trHeight w:val="510"/>
          <w:jc w:val="center"/>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64A5DF0A"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 </w:t>
            </w:r>
          </w:p>
        </w:tc>
        <w:tc>
          <w:tcPr>
            <w:tcW w:w="816" w:type="dxa"/>
            <w:tcBorders>
              <w:top w:val="nil"/>
              <w:left w:val="nil"/>
              <w:bottom w:val="single" w:sz="4" w:space="0" w:color="auto"/>
              <w:right w:val="single" w:sz="4" w:space="0" w:color="auto"/>
            </w:tcBorders>
            <w:shd w:val="clear" w:color="auto" w:fill="auto"/>
            <w:vAlign w:val="center"/>
            <w:hideMark/>
          </w:tcPr>
          <w:p w14:paraId="4A6A744C"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0706</w:t>
            </w:r>
          </w:p>
        </w:tc>
        <w:tc>
          <w:tcPr>
            <w:tcW w:w="2893" w:type="dxa"/>
            <w:tcBorders>
              <w:top w:val="nil"/>
              <w:left w:val="nil"/>
              <w:bottom w:val="single" w:sz="4" w:space="0" w:color="auto"/>
              <w:right w:val="single" w:sz="4" w:space="0" w:color="auto"/>
            </w:tcBorders>
            <w:shd w:val="clear" w:color="auto" w:fill="auto"/>
            <w:vAlign w:val="center"/>
            <w:hideMark/>
          </w:tcPr>
          <w:p w14:paraId="70FC7680" w14:textId="77777777" w:rsidR="00322AE9" w:rsidRPr="00322AE9" w:rsidRDefault="00322AE9" w:rsidP="00322AE9">
            <w:pPr>
              <w:ind w:firstLine="0"/>
              <w:jc w:val="left"/>
              <w:rPr>
                <w:rFonts w:eastAsia="Times New Roman" w:cs="Times New Roman"/>
                <w:color w:val="000000"/>
                <w:sz w:val="20"/>
                <w:szCs w:val="20"/>
                <w:lang w:eastAsia="ru-RU"/>
              </w:rPr>
            </w:pPr>
            <w:r w:rsidRPr="00322AE9">
              <w:rPr>
                <w:rFonts w:eastAsia="Times New Roman" w:cs="Times New Roman"/>
                <w:color w:val="000000"/>
                <w:sz w:val="20"/>
                <w:szCs w:val="20"/>
                <w:lang w:eastAsia="ru-RU"/>
              </w:rPr>
              <w:t>Трансформаторные подстанции (ТП), БМТП, РУ, РП, ЦРП</w:t>
            </w:r>
          </w:p>
        </w:tc>
        <w:tc>
          <w:tcPr>
            <w:tcW w:w="855" w:type="dxa"/>
            <w:tcBorders>
              <w:top w:val="nil"/>
              <w:left w:val="nil"/>
              <w:bottom w:val="single" w:sz="4" w:space="0" w:color="auto"/>
              <w:right w:val="single" w:sz="4" w:space="0" w:color="auto"/>
            </w:tcBorders>
            <w:shd w:val="clear" w:color="FFFFFF" w:fill="FFFFFF"/>
            <w:vAlign w:val="center"/>
            <w:hideMark/>
          </w:tcPr>
          <w:p w14:paraId="205B061C"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 </w:t>
            </w:r>
          </w:p>
        </w:tc>
        <w:tc>
          <w:tcPr>
            <w:tcW w:w="793" w:type="dxa"/>
            <w:tcBorders>
              <w:top w:val="nil"/>
              <w:left w:val="nil"/>
              <w:bottom w:val="single" w:sz="4" w:space="0" w:color="auto"/>
              <w:right w:val="single" w:sz="4" w:space="0" w:color="auto"/>
            </w:tcBorders>
            <w:shd w:val="clear" w:color="FFFFFF" w:fill="FFFFFF"/>
            <w:vAlign w:val="center"/>
            <w:hideMark/>
          </w:tcPr>
          <w:p w14:paraId="5F063284"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4,0</w:t>
            </w:r>
          </w:p>
        </w:tc>
        <w:tc>
          <w:tcPr>
            <w:tcW w:w="992" w:type="dxa"/>
            <w:tcBorders>
              <w:top w:val="nil"/>
              <w:left w:val="nil"/>
              <w:bottom w:val="single" w:sz="4" w:space="0" w:color="auto"/>
              <w:right w:val="single" w:sz="4" w:space="0" w:color="auto"/>
            </w:tcBorders>
            <w:shd w:val="clear" w:color="auto" w:fill="auto"/>
            <w:vAlign w:val="center"/>
            <w:hideMark/>
          </w:tcPr>
          <w:p w14:paraId="0BCCE3B3"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0,3</w:t>
            </w:r>
          </w:p>
        </w:tc>
        <w:tc>
          <w:tcPr>
            <w:tcW w:w="1030" w:type="dxa"/>
            <w:tcBorders>
              <w:top w:val="nil"/>
              <w:left w:val="nil"/>
              <w:bottom w:val="single" w:sz="4" w:space="0" w:color="auto"/>
              <w:right w:val="single" w:sz="4" w:space="0" w:color="auto"/>
            </w:tcBorders>
            <w:shd w:val="clear" w:color="auto" w:fill="auto"/>
            <w:vAlign w:val="center"/>
            <w:hideMark/>
          </w:tcPr>
          <w:p w14:paraId="4E47F32A"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4,3</w:t>
            </w:r>
          </w:p>
        </w:tc>
        <w:tc>
          <w:tcPr>
            <w:tcW w:w="1096" w:type="dxa"/>
            <w:tcBorders>
              <w:top w:val="nil"/>
              <w:left w:val="nil"/>
              <w:bottom w:val="single" w:sz="4" w:space="0" w:color="auto"/>
              <w:right w:val="single" w:sz="4" w:space="0" w:color="auto"/>
            </w:tcBorders>
            <w:shd w:val="clear" w:color="auto" w:fill="auto"/>
            <w:vAlign w:val="center"/>
            <w:hideMark/>
          </w:tcPr>
          <w:p w14:paraId="39486162"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1,6</w:t>
            </w:r>
          </w:p>
        </w:tc>
        <w:tc>
          <w:tcPr>
            <w:tcW w:w="1149" w:type="dxa"/>
            <w:tcBorders>
              <w:top w:val="nil"/>
              <w:left w:val="nil"/>
              <w:bottom w:val="single" w:sz="4" w:space="0" w:color="auto"/>
              <w:right w:val="single" w:sz="4" w:space="0" w:color="auto"/>
            </w:tcBorders>
            <w:shd w:val="clear" w:color="auto" w:fill="auto"/>
            <w:vAlign w:val="center"/>
            <w:hideMark/>
          </w:tcPr>
          <w:p w14:paraId="28CCBF40"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2,1</w:t>
            </w:r>
          </w:p>
        </w:tc>
        <w:tc>
          <w:tcPr>
            <w:tcW w:w="1119" w:type="dxa"/>
            <w:tcBorders>
              <w:top w:val="nil"/>
              <w:left w:val="nil"/>
              <w:bottom w:val="single" w:sz="4" w:space="0" w:color="auto"/>
              <w:right w:val="single" w:sz="4" w:space="0" w:color="auto"/>
            </w:tcBorders>
            <w:shd w:val="clear" w:color="auto" w:fill="auto"/>
            <w:vAlign w:val="center"/>
            <w:hideMark/>
          </w:tcPr>
          <w:p w14:paraId="51D1BB23"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2,4</w:t>
            </w:r>
          </w:p>
        </w:tc>
        <w:tc>
          <w:tcPr>
            <w:tcW w:w="3149" w:type="dxa"/>
            <w:tcBorders>
              <w:top w:val="nil"/>
              <w:left w:val="nil"/>
              <w:bottom w:val="single" w:sz="4" w:space="0" w:color="auto"/>
              <w:right w:val="single" w:sz="4" w:space="0" w:color="auto"/>
            </w:tcBorders>
            <w:shd w:val="clear" w:color="FFFFFF" w:fill="FFFFFF"/>
            <w:hideMark/>
          </w:tcPr>
          <w:p w14:paraId="76051317" w14:textId="77777777" w:rsidR="00322AE9" w:rsidRPr="00322AE9" w:rsidRDefault="00322AE9" w:rsidP="00322AE9">
            <w:pPr>
              <w:ind w:firstLine="0"/>
              <w:jc w:val="left"/>
              <w:rPr>
                <w:rFonts w:eastAsia="Times New Roman" w:cs="Times New Roman"/>
                <w:color w:val="000000"/>
                <w:sz w:val="18"/>
                <w:szCs w:val="18"/>
                <w:lang w:eastAsia="ru-RU"/>
              </w:rPr>
            </w:pPr>
            <w:r w:rsidRPr="00322AE9">
              <w:rPr>
                <w:rFonts w:eastAsia="Times New Roman" w:cs="Times New Roman"/>
                <w:color w:val="000000"/>
                <w:sz w:val="18"/>
                <w:szCs w:val="18"/>
                <w:lang w:eastAsia="ru-RU"/>
              </w:rPr>
              <w:t>СП 56.1333.2011 "Производственные здания"</w:t>
            </w:r>
          </w:p>
        </w:tc>
      </w:tr>
      <w:tr w:rsidR="00322AE9" w:rsidRPr="00322AE9" w14:paraId="45BA941E" w14:textId="77777777" w:rsidTr="00322AE9">
        <w:trPr>
          <w:trHeight w:val="510"/>
          <w:jc w:val="center"/>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75A90486"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 </w:t>
            </w:r>
          </w:p>
        </w:tc>
        <w:tc>
          <w:tcPr>
            <w:tcW w:w="816" w:type="dxa"/>
            <w:tcBorders>
              <w:top w:val="nil"/>
              <w:left w:val="nil"/>
              <w:bottom w:val="single" w:sz="4" w:space="0" w:color="auto"/>
              <w:right w:val="single" w:sz="4" w:space="0" w:color="auto"/>
            </w:tcBorders>
            <w:shd w:val="clear" w:color="auto" w:fill="auto"/>
            <w:vAlign w:val="center"/>
            <w:hideMark/>
          </w:tcPr>
          <w:p w14:paraId="701F9099"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0707</w:t>
            </w:r>
          </w:p>
        </w:tc>
        <w:tc>
          <w:tcPr>
            <w:tcW w:w="2893" w:type="dxa"/>
            <w:tcBorders>
              <w:top w:val="nil"/>
              <w:left w:val="nil"/>
              <w:bottom w:val="single" w:sz="4" w:space="0" w:color="auto"/>
              <w:right w:val="single" w:sz="4" w:space="0" w:color="auto"/>
            </w:tcBorders>
            <w:shd w:val="clear" w:color="auto" w:fill="auto"/>
            <w:vAlign w:val="center"/>
            <w:hideMark/>
          </w:tcPr>
          <w:p w14:paraId="05FB2A9B" w14:textId="77777777" w:rsidR="00322AE9" w:rsidRPr="00322AE9" w:rsidRDefault="00322AE9" w:rsidP="00322AE9">
            <w:pPr>
              <w:ind w:firstLine="0"/>
              <w:jc w:val="left"/>
              <w:rPr>
                <w:rFonts w:eastAsia="Times New Roman" w:cs="Times New Roman"/>
                <w:color w:val="000000"/>
                <w:sz w:val="20"/>
                <w:szCs w:val="20"/>
                <w:lang w:eastAsia="ru-RU"/>
              </w:rPr>
            </w:pPr>
            <w:r w:rsidRPr="00322AE9">
              <w:rPr>
                <w:rFonts w:eastAsia="Times New Roman" w:cs="Times New Roman"/>
                <w:color w:val="000000"/>
                <w:sz w:val="20"/>
                <w:szCs w:val="20"/>
                <w:lang w:eastAsia="ru-RU"/>
              </w:rPr>
              <w:t>Электроподстанции, КРУЭ, здания тяговых подстанций</w:t>
            </w:r>
          </w:p>
        </w:tc>
        <w:tc>
          <w:tcPr>
            <w:tcW w:w="855" w:type="dxa"/>
            <w:tcBorders>
              <w:top w:val="nil"/>
              <w:left w:val="nil"/>
              <w:bottom w:val="single" w:sz="4" w:space="0" w:color="auto"/>
              <w:right w:val="single" w:sz="4" w:space="0" w:color="auto"/>
            </w:tcBorders>
            <w:shd w:val="clear" w:color="FFFFFF" w:fill="FFFFFF"/>
            <w:vAlign w:val="center"/>
            <w:hideMark/>
          </w:tcPr>
          <w:p w14:paraId="0F9E3AE1"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 </w:t>
            </w:r>
          </w:p>
        </w:tc>
        <w:tc>
          <w:tcPr>
            <w:tcW w:w="793" w:type="dxa"/>
            <w:tcBorders>
              <w:top w:val="nil"/>
              <w:left w:val="nil"/>
              <w:bottom w:val="single" w:sz="4" w:space="0" w:color="auto"/>
              <w:right w:val="single" w:sz="4" w:space="0" w:color="auto"/>
            </w:tcBorders>
            <w:shd w:val="clear" w:color="FFFFFF" w:fill="FFFFFF"/>
            <w:vAlign w:val="center"/>
            <w:hideMark/>
          </w:tcPr>
          <w:p w14:paraId="4445708D"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3,0</w:t>
            </w:r>
          </w:p>
        </w:tc>
        <w:tc>
          <w:tcPr>
            <w:tcW w:w="992" w:type="dxa"/>
            <w:tcBorders>
              <w:top w:val="nil"/>
              <w:left w:val="nil"/>
              <w:bottom w:val="single" w:sz="4" w:space="0" w:color="auto"/>
              <w:right w:val="single" w:sz="4" w:space="0" w:color="auto"/>
            </w:tcBorders>
            <w:shd w:val="clear" w:color="auto" w:fill="auto"/>
            <w:vAlign w:val="center"/>
            <w:hideMark/>
          </w:tcPr>
          <w:p w14:paraId="36FBAE82"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0,3</w:t>
            </w:r>
          </w:p>
        </w:tc>
        <w:tc>
          <w:tcPr>
            <w:tcW w:w="1030" w:type="dxa"/>
            <w:tcBorders>
              <w:top w:val="nil"/>
              <w:left w:val="nil"/>
              <w:bottom w:val="single" w:sz="4" w:space="0" w:color="auto"/>
              <w:right w:val="single" w:sz="4" w:space="0" w:color="auto"/>
            </w:tcBorders>
            <w:shd w:val="clear" w:color="auto" w:fill="auto"/>
            <w:vAlign w:val="center"/>
            <w:hideMark/>
          </w:tcPr>
          <w:p w14:paraId="70629088"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3,3</w:t>
            </w:r>
          </w:p>
        </w:tc>
        <w:tc>
          <w:tcPr>
            <w:tcW w:w="1096" w:type="dxa"/>
            <w:tcBorders>
              <w:top w:val="nil"/>
              <w:left w:val="nil"/>
              <w:bottom w:val="single" w:sz="4" w:space="0" w:color="auto"/>
              <w:right w:val="single" w:sz="4" w:space="0" w:color="auto"/>
            </w:tcBorders>
            <w:shd w:val="clear" w:color="auto" w:fill="auto"/>
            <w:vAlign w:val="center"/>
            <w:hideMark/>
          </w:tcPr>
          <w:p w14:paraId="104FB369"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1,6</w:t>
            </w:r>
          </w:p>
        </w:tc>
        <w:tc>
          <w:tcPr>
            <w:tcW w:w="1149" w:type="dxa"/>
            <w:tcBorders>
              <w:top w:val="nil"/>
              <w:left w:val="nil"/>
              <w:bottom w:val="single" w:sz="4" w:space="0" w:color="auto"/>
              <w:right w:val="single" w:sz="4" w:space="0" w:color="auto"/>
            </w:tcBorders>
            <w:shd w:val="clear" w:color="auto" w:fill="auto"/>
            <w:vAlign w:val="center"/>
            <w:hideMark/>
          </w:tcPr>
          <w:p w14:paraId="5CA27C50"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2,1</w:t>
            </w:r>
          </w:p>
        </w:tc>
        <w:tc>
          <w:tcPr>
            <w:tcW w:w="1119" w:type="dxa"/>
            <w:tcBorders>
              <w:top w:val="nil"/>
              <w:left w:val="nil"/>
              <w:bottom w:val="single" w:sz="4" w:space="0" w:color="auto"/>
              <w:right w:val="single" w:sz="4" w:space="0" w:color="auto"/>
            </w:tcBorders>
            <w:shd w:val="clear" w:color="auto" w:fill="auto"/>
            <w:vAlign w:val="center"/>
            <w:hideMark/>
          </w:tcPr>
          <w:p w14:paraId="6087F99A"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2,4</w:t>
            </w:r>
          </w:p>
        </w:tc>
        <w:tc>
          <w:tcPr>
            <w:tcW w:w="3149" w:type="dxa"/>
            <w:tcBorders>
              <w:top w:val="nil"/>
              <w:left w:val="nil"/>
              <w:bottom w:val="single" w:sz="4" w:space="0" w:color="auto"/>
              <w:right w:val="single" w:sz="4" w:space="0" w:color="auto"/>
            </w:tcBorders>
            <w:shd w:val="clear" w:color="FFFFFF" w:fill="FFFFFF"/>
            <w:hideMark/>
          </w:tcPr>
          <w:p w14:paraId="5B7F8267" w14:textId="77777777" w:rsidR="00322AE9" w:rsidRPr="00322AE9" w:rsidRDefault="00322AE9" w:rsidP="00322AE9">
            <w:pPr>
              <w:ind w:firstLine="0"/>
              <w:jc w:val="left"/>
              <w:rPr>
                <w:rFonts w:eastAsia="Times New Roman" w:cs="Times New Roman"/>
                <w:color w:val="000000"/>
                <w:sz w:val="18"/>
                <w:szCs w:val="18"/>
                <w:lang w:eastAsia="ru-RU"/>
              </w:rPr>
            </w:pPr>
            <w:r w:rsidRPr="00322AE9">
              <w:rPr>
                <w:rFonts w:eastAsia="Times New Roman" w:cs="Times New Roman"/>
                <w:color w:val="000000"/>
                <w:sz w:val="18"/>
                <w:szCs w:val="18"/>
                <w:lang w:eastAsia="ru-RU"/>
              </w:rPr>
              <w:t>СП 56.13330.2011 "Производственные здания"</w:t>
            </w:r>
          </w:p>
        </w:tc>
      </w:tr>
      <w:tr w:rsidR="00322AE9" w:rsidRPr="00322AE9" w14:paraId="27E37289" w14:textId="77777777" w:rsidTr="00322AE9">
        <w:trPr>
          <w:trHeight w:val="300"/>
          <w:jc w:val="center"/>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21D10F8D"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 </w:t>
            </w:r>
          </w:p>
        </w:tc>
        <w:tc>
          <w:tcPr>
            <w:tcW w:w="816" w:type="dxa"/>
            <w:tcBorders>
              <w:top w:val="nil"/>
              <w:left w:val="nil"/>
              <w:bottom w:val="single" w:sz="4" w:space="0" w:color="auto"/>
              <w:right w:val="single" w:sz="4" w:space="0" w:color="auto"/>
            </w:tcBorders>
            <w:shd w:val="clear" w:color="auto" w:fill="auto"/>
            <w:vAlign w:val="center"/>
            <w:hideMark/>
          </w:tcPr>
          <w:p w14:paraId="6C4E6717"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0708</w:t>
            </w:r>
          </w:p>
        </w:tc>
        <w:tc>
          <w:tcPr>
            <w:tcW w:w="2893" w:type="dxa"/>
            <w:tcBorders>
              <w:top w:val="nil"/>
              <w:left w:val="nil"/>
              <w:bottom w:val="single" w:sz="4" w:space="0" w:color="auto"/>
              <w:right w:val="single" w:sz="4" w:space="0" w:color="auto"/>
            </w:tcBorders>
            <w:shd w:val="clear" w:color="auto" w:fill="auto"/>
            <w:vAlign w:val="center"/>
            <w:hideMark/>
          </w:tcPr>
          <w:p w14:paraId="16D5D984" w14:textId="77777777" w:rsidR="00322AE9" w:rsidRPr="00322AE9" w:rsidRDefault="00322AE9" w:rsidP="00322AE9">
            <w:pPr>
              <w:ind w:firstLine="0"/>
              <w:jc w:val="left"/>
              <w:rPr>
                <w:rFonts w:eastAsia="Times New Roman" w:cs="Times New Roman"/>
                <w:color w:val="000000"/>
                <w:sz w:val="20"/>
                <w:szCs w:val="20"/>
                <w:lang w:eastAsia="ru-RU"/>
              </w:rPr>
            </w:pPr>
            <w:r w:rsidRPr="00322AE9">
              <w:rPr>
                <w:rFonts w:eastAsia="Times New Roman" w:cs="Times New Roman"/>
                <w:color w:val="000000"/>
                <w:sz w:val="20"/>
                <w:szCs w:val="20"/>
                <w:lang w:eastAsia="ru-RU"/>
              </w:rPr>
              <w:t>Энергоблоки</w:t>
            </w:r>
          </w:p>
        </w:tc>
        <w:tc>
          <w:tcPr>
            <w:tcW w:w="855" w:type="dxa"/>
            <w:tcBorders>
              <w:top w:val="nil"/>
              <w:left w:val="nil"/>
              <w:bottom w:val="single" w:sz="4" w:space="0" w:color="auto"/>
              <w:right w:val="single" w:sz="4" w:space="0" w:color="auto"/>
            </w:tcBorders>
            <w:shd w:val="clear" w:color="FFFFFF" w:fill="FFFFFF"/>
            <w:vAlign w:val="center"/>
            <w:hideMark/>
          </w:tcPr>
          <w:p w14:paraId="25064FAE"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 </w:t>
            </w:r>
          </w:p>
        </w:tc>
        <w:tc>
          <w:tcPr>
            <w:tcW w:w="793" w:type="dxa"/>
            <w:tcBorders>
              <w:top w:val="nil"/>
              <w:left w:val="nil"/>
              <w:bottom w:val="single" w:sz="4" w:space="0" w:color="auto"/>
              <w:right w:val="single" w:sz="4" w:space="0" w:color="auto"/>
            </w:tcBorders>
            <w:shd w:val="clear" w:color="FFFFFF" w:fill="FFFFFF"/>
            <w:vAlign w:val="center"/>
            <w:hideMark/>
          </w:tcPr>
          <w:p w14:paraId="7E2B9EEC"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3,0</w:t>
            </w:r>
          </w:p>
        </w:tc>
        <w:tc>
          <w:tcPr>
            <w:tcW w:w="992" w:type="dxa"/>
            <w:tcBorders>
              <w:top w:val="nil"/>
              <w:left w:val="nil"/>
              <w:bottom w:val="single" w:sz="4" w:space="0" w:color="auto"/>
              <w:right w:val="single" w:sz="4" w:space="0" w:color="auto"/>
            </w:tcBorders>
            <w:shd w:val="clear" w:color="auto" w:fill="auto"/>
            <w:vAlign w:val="center"/>
            <w:hideMark/>
          </w:tcPr>
          <w:p w14:paraId="6A7CC655"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0,3</w:t>
            </w:r>
          </w:p>
        </w:tc>
        <w:tc>
          <w:tcPr>
            <w:tcW w:w="1030" w:type="dxa"/>
            <w:tcBorders>
              <w:top w:val="nil"/>
              <w:left w:val="nil"/>
              <w:bottom w:val="single" w:sz="4" w:space="0" w:color="auto"/>
              <w:right w:val="single" w:sz="4" w:space="0" w:color="auto"/>
            </w:tcBorders>
            <w:shd w:val="clear" w:color="auto" w:fill="auto"/>
            <w:vAlign w:val="center"/>
            <w:hideMark/>
          </w:tcPr>
          <w:p w14:paraId="4FD19BCC"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3,3</w:t>
            </w:r>
          </w:p>
        </w:tc>
        <w:tc>
          <w:tcPr>
            <w:tcW w:w="1096" w:type="dxa"/>
            <w:tcBorders>
              <w:top w:val="nil"/>
              <w:left w:val="nil"/>
              <w:bottom w:val="single" w:sz="4" w:space="0" w:color="auto"/>
              <w:right w:val="single" w:sz="4" w:space="0" w:color="auto"/>
            </w:tcBorders>
            <w:shd w:val="clear" w:color="auto" w:fill="auto"/>
            <w:vAlign w:val="center"/>
            <w:hideMark/>
          </w:tcPr>
          <w:p w14:paraId="3752B0AF"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1,6</w:t>
            </w:r>
          </w:p>
        </w:tc>
        <w:tc>
          <w:tcPr>
            <w:tcW w:w="1149" w:type="dxa"/>
            <w:tcBorders>
              <w:top w:val="nil"/>
              <w:left w:val="nil"/>
              <w:bottom w:val="single" w:sz="4" w:space="0" w:color="auto"/>
              <w:right w:val="single" w:sz="4" w:space="0" w:color="auto"/>
            </w:tcBorders>
            <w:shd w:val="clear" w:color="auto" w:fill="auto"/>
            <w:vAlign w:val="center"/>
            <w:hideMark/>
          </w:tcPr>
          <w:p w14:paraId="7A50FFAA"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2,1</w:t>
            </w:r>
          </w:p>
        </w:tc>
        <w:tc>
          <w:tcPr>
            <w:tcW w:w="1119" w:type="dxa"/>
            <w:tcBorders>
              <w:top w:val="nil"/>
              <w:left w:val="nil"/>
              <w:bottom w:val="single" w:sz="4" w:space="0" w:color="auto"/>
              <w:right w:val="single" w:sz="4" w:space="0" w:color="auto"/>
            </w:tcBorders>
            <w:shd w:val="clear" w:color="auto" w:fill="auto"/>
            <w:vAlign w:val="center"/>
            <w:hideMark/>
          </w:tcPr>
          <w:p w14:paraId="106D11A6"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2,4</w:t>
            </w:r>
          </w:p>
        </w:tc>
        <w:tc>
          <w:tcPr>
            <w:tcW w:w="3149" w:type="dxa"/>
            <w:tcBorders>
              <w:top w:val="nil"/>
              <w:left w:val="nil"/>
              <w:bottom w:val="single" w:sz="4" w:space="0" w:color="auto"/>
              <w:right w:val="single" w:sz="4" w:space="0" w:color="auto"/>
            </w:tcBorders>
            <w:shd w:val="clear" w:color="FFFFFF" w:fill="FFFFFF"/>
            <w:hideMark/>
          </w:tcPr>
          <w:p w14:paraId="434ACE91" w14:textId="77777777" w:rsidR="00322AE9" w:rsidRPr="00322AE9" w:rsidRDefault="00322AE9" w:rsidP="00322AE9">
            <w:pPr>
              <w:ind w:firstLine="0"/>
              <w:jc w:val="left"/>
              <w:rPr>
                <w:rFonts w:eastAsia="Times New Roman" w:cs="Times New Roman"/>
                <w:color w:val="000000"/>
                <w:sz w:val="18"/>
                <w:szCs w:val="18"/>
                <w:lang w:eastAsia="ru-RU"/>
              </w:rPr>
            </w:pPr>
            <w:r w:rsidRPr="00322AE9">
              <w:rPr>
                <w:rFonts w:eastAsia="Times New Roman" w:cs="Times New Roman"/>
                <w:color w:val="000000"/>
                <w:sz w:val="18"/>
                <w:szCs w:val="18"/>
                <w:lang w:eastAsia="ru-RU"/>
              </w:rPr>
              <w:t>СП 56.13330.2011 "Производственные здания"</w:t>
            </w:r>
          </w:p>
        </w:tc>
      </w:tr>
      <w:tr w:rsidR="00322AE9" w:rsidRPr="00322AE9" w14:paraId="22FC28A0" w14:textId="77777777" w:rsidTr="00322AE9">
        <w:trPr>
          <w:trHeight w:val="510"/>
          <w:jc w:val="center"/>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5BADADC9"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 </w:t>
            </w:r>
          </w:p>
        </w:tc>
        <w:tc>
          <w:tcPr>
            <w:tcW w:w="816" w:type="dxa"/>
            <w:tcBorders>
              <w:top w:val="nil"/>
              <w:left w:val="nil"/>
              <w:bottom w:val="single" w:sz="4" w:space="0" w:color="auto"/>
              <w:right w:val="single" w:sz="4" w:space="0" w:color="auto"/>
            </w:tcBorders>
            <w:shd w:val="clear" w:color="auto" w:fill="auto"/>
            <w:vAlign w:val="center"/>
            <w:hideMark/>
          </w:tcPr>
          <w:p w14:paraId="30F0E4D1"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0709</w:t>
            </w:r>
          </w:p>
        </w:tc>
        <w:tc>
          <w:tcPr>
            <w:tcW w:w="2893" w:type="dxa"/>
            <w:tcBorders>
              <w:top w:val="nil"/>
              <w:left w:val="nil"/>
              <w:bottom w:val="single" w:sz="4" w:space="0" w:color="auto"/>
              <w:right w:val="single" w:sz="4" w:space="0" w:color="auto"/>
            </w:tcBorders>
            <w:shd w:val="clear" w:color="auto" w:fill="auto"/>
            <w:vAlign w:val="center"/>
            <w:hideMark/>
          </w:tcPr>
          <w:p w14:paraId="2486F5E0" w14:textId="77777777" w:rsidR="00322AE9" w:rsidRPr="00322AE9" w:rsidRDefault="00322AE9" w:rsidP="00322AE9">
            <w:pPr>
              <w:ind w:firstLine="0"/>
              <w:jc w:val="left"/>
              <w:rPr>
                <w:rFonts w:eastAsia="Times New Roman" w:cs="Times New Roman"/>
                <w:color w:val="000000"/>
                <w:sz w:val="20"/>
                <w:szCs w:val="20"/>
                <w:lang w:eastAsia="ru-RU"/>
              </w:rPr>
            </w:pPr>
            <w:r w:rsidRPr="00322AE9">
              <w:rPr>
                <w:rFonts w:eastAsia="Times New Roman" w:cs="Times New Roman"/>
                <w:color w:val="000000"/>
                <w:sz w:val="20"/>
                <w:szCs w:val="20"/>
                <w:lang w:eastAsia="ru-RU"/>
              </w:rPr>
              <w:t>Центральная тепловая станция (ЦТС), теплоэлектроцентраль (ТЭЦ)</w:t>
            </w:r>
          </w:p>
        </w:tc>
        <w:tc>
          <w:tcPr>
            <w:tcW w:w="855" w:type="dxa"/>
            <w:tcBorders>
              <w:top w:val="nil"/>
              <w:left w:val="nil"/>
              <w:bottom w:val="single" w:sz="4" w:space="0" w:color="auto"/>
              <w:right w:val="single" w:sz="4" w:space="0" w:color="auto"/>
            </w:tcBorders>
            <w:shd w:val="clear" w:color="FFFFFF" w:fill="FFFFFF"/>
            <w:vAlign w:val="center"/>
            <w:hideMark/>
          </w:tcPr>
          <w:p w14:paraId="689364F2"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 </w:t>
            </w:r>
          </w:p>
        </w:tc>
        <w:tc>
          <w:tcPr>
            <w:tcW w:w="793" w:type="dxa"/>
            <w:tcBorders>
              <w:top w:val="nil"/>
              <w:left w:val="nil"/>
              <w:bottom w:val="single" w:sz="4" w:space="0" w:color="auto"/>
              <w:right w:val="single" w:sz="4" w:space="0" w:color="auto"/>
            </w:tcBorders>
            <w:shd w:val="clear" w:color="FFFFFF" w:fill="FFFFFF"/>
            <w:vAlign w:val="center"/>
            <w:hideMark/>
          </w:tcPr>
          <w:p w14:paraId="79947832"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3,0</w:t>
            </w:r>
          </w:p>
        </w:tc>
        <w:tc>
          <w:tcPr>
            <w:tcW w:w="992" w:type="dxa"/>
            <w:tcBorders>
              <w:top w:val="nil"/>
              <w:left w:val="nil"/>
              <w:bottom w:val="single" w:sz="4" w:space="0" w:color="auto"/>
              <w:right w:val="single" w:sz="4" w:space="0" w:color="auto"/>
            </w:tcBorders>
            <w:shd w:val="clear" w:color="auto" w:fill="auto"/>
            <w:vAlign w:val="center"/>
            <w:hideMark/>
          </w:tcPr>
          <w:p w14:paraId="4FD3FFAA"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0,3</w:t>
            </w:r>
          </w:p>
        </w:tc>
        <w:tc>
          <w:tcPr>
            <w:tcW w:w="1030" w:type="dxa"/>
            <w:tcBorders>
              <w:top w:val="nil"/>
              <w:left w:val="nil"/>
              <w:bottom w:val="single" w:sz="4" w:space="0" w:color="auto"/>
              <w:right w:val="single" w:sz="4" w:space="0" w:color="auto"/>
            </w:tcBorders>
            <w:shd w:val="clear" w:color="auto" w:fill="auto"/>
            <w:vAlign w:val="center"/>
            <w:hideMark/>
          </w:tcPr>
          <w:p w14:paraId="1303ED02"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3,3</w:t>
            </w:r>
          </w:p>
        </w:tc>
        <w:tc>
          <w:tcPr>
            <w:tcW w:w="1096" w:type="dxa"/>
            <w:tcBorders>
              <w:top w:val="nil"/>
              <w:left w:val="nil"/>
              <w:bottom w:val="single" w:sz="4" w:space="0" w:color="auto"/>
              <w:right w:val="single" w:sz="4" w:space="0" w:color="auto"/>
            </w:tcBorders>
            <w:shd w:val="clear" w:color="auto" w:fill="auto"/>
            <w:vAlign w:val="center"/>
            <w:hideMark/>
          </w:tcPr>
          <w:p w14:paraId="18A82DCF"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1,6</w:t>
            </w:r>
          </w:p>
        </w:tc>
        <w:tc>
          <w:tcPr>
            <w:tcW w:w="1149" w:type="dxa"/>
            <w:tcBorders>
              <w:top w:val="nil"/>
              <w:left w:val="nil"/>
              <w:bottom w:val="single" w:sz="4" w:space="0" w:color="auto"/>
              <w:right w:val="single" w:sz="4" w:space="0" w:color="auto"/>
            </w:tcBorders>
            <w:shd w:val="clear" w:color="auto" w:fill="auto"/>
            <w:vAlign w:val="center"/>
            <w:hideMark/>
          </w:tcPr>
          <w:p w14:paraId="06F22E00"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2,1</w:t>
            </w:r>
          </w:p>
        </w:tc>
        <w:tc>
          <w:tcPr>
            <w:tcW w:w="1119" w:type="dxa"/>
            <w:tcBorders>
              <w:top w:val="nil"/>
              <w:left w:val="nil"/>
              <w:bottom w:val="single" w:sz="4" w:space="0" w:color="auto"/>
              <w:right w:val="single" w:sz="4" w:space="0" w:color="auto"/>
            </w:tcBorders>
            <w:shd w:val="clear" w:color="auto" w:fill="auto"/>
            <w:vAlign w:val="center"/>
            <w:hideMark/>
          </w:tcPr>
          <w:p w14:paraId="13DB7AA3"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2,4</w:t>
            </w:r>
          </w:p>
        </w:tc>
        <w:tc>
          <w:tcPr>
            <w:tcW w:w="3149" w:type="dxa"/>
            <w:tcBorders>
              <w:top w:val="nil"/>
              <w:left w:val="nil"/>
              <w:bottom w:val="single" w:sz="4" w:space="0" w:color="auto"/>
              <w:right w:val="single" w:sz="4" w:space="0" w:color="auto"/>
            </w:tcBorders>
            <w:shd w:val="clear" w:color="FFFFFF" w:fill="FFFFFF"/>
            <w:hideMark/>
          </w:tcPr>
          <w:p w14:paraId="65FC8160" w14:textId="77777777" w:rsidR="00322AE9" w:rsidRPr="00322AE9" w:rsidRDefault="00322AE9" w:rsidP="00322AE9">
            <w:pPr>
              <w:ind w:firstLine="0"/>
              <w:jc w:val="left"/>
              <w:rPr>
                <w:rFonts w:eastAsia="Times New Roman" w:cs="Times New Roman"/>
                <w:color w:val="000000"/>
                <w:sz w:val="18"/>
                <w:szCs w:val="18"/>
                <w:lang w:eastAsia="ru-RU"/>
              </w:rPr>
            </w:pPr>
            <w:r w:rsidRPr="00322AE9">
              <w:rPr>
                <w:rFonts w:eastAsia="Times New Roman" w:cs="Times New Roman"/>
                <w:color w:val="000000"/>
                <w:sz w:val="18"/>
                <w:szCs w:val="18"/>
                <w:lang w:eastAsia="ru-RU"/>
              </w:rPr>
              <w:t>СП 56.13330.2011 "Производственные здания"</w:t>
            </w:r>
          </w:p>
        </w:tc>
      </w:tr>
      <w:tr w:rsidR="00322AE9" w:rsidRPr="00322AE9" w14:paraId="1E4F564A" w14:textId="77777777" w:rsidTr="00322AE9">
        <w:trPr>
          <w:trHeight w:val="300"/>
          <w:jc w:val="center"/>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3EAF596B"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 </w:t>
            </w:r>
          </w:p>
        </w:tc>
        <w:tc>
          <w:tcPr>
            <w:tcW w:w="816" w:type="dxa"/>
            <w:tcBorders>
              <w:top w:val="nil"/>
              <w:left w:val="nil"/>
              <w:bottom w:val="single" w:sz="4" w:space="0" w:color="auto"/>
              <w:right w:val="single" w:sz="4" w:space="0" w:color="auto"/>
            </w:tcBorders>
            <w:shd w:val="clear" w:color="auto" w:fill="auto"/>
            <w:vAlign w:val="center"/>
            <w:hideMark/>
          </w:tcPr>
          <w:p w14:paraId="680628CC"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0710</w:t>
            </w:r>
          </w:p>
        </w:tc>
        <w:tc>
          <w:tcPr>
            <w:tcW w:w="2893" w:type="dxa"/>
            <w:tcBorders>
              <w:top w:val="nil"/>
              <w:left w:val="nil"/>
              <w:bottom w:val="single" w:sz="4" w:space="0" w:color="auto"/>
              <w:right w:val="single" w:sz="4" w:space="0" w:color="auto"/>
            </w:tcBorders>
            <w:shd w:val="clear" w:color="auto" w:fill="auto"/>
            <w:vAlign w:val="center"/>
            <w:hideMark/>
          </w:tcPr>
          <w:p w14:paraId="4F580C86" w14:textId="77777777" w:rsidR="00322AE9" w:rsidRPr="00322AE9" w:rsidRDefault="00322AE9" w:rsidP="00322AE9">
            <w:pPr>
              <w:ind w:firstLine="0"/>
              <w:jc w:val="left"/>
              <w:rPr>
                <w:rFonts w:eastAsia="Times New Roman" w:cs="Times New Roman"/>
                <w:color w:val="000000"/>
                <w:sz w:val="20"/>
                <w:szCs w:val="20"/>
                <w:lang w:eastAsia="ru-RU"/>
              </w:rPr>
            </w:pPr>
            <w:r w:rsidRPr="00322AE9">
              <w:rPr>
                <w:rFonts w:eastAsia="Times New Roman" w:cs="Times New Roman"/>
                <w:color w:val="000000"/>
                <w:sz w:val="20"/>
                <w:szCs w:val="20"/>
                <w:lang w:eastAsia="ru-RU"/>
              </w:rPr>
              <w:t>Котельные, бойлерные</w:t>
            </w:r>
          </w:p>
        </w:tc>
        <w:tc>
          <w:tcPr>
            <w:tcW w:w="855" w:type="dxa"/>
            <w:tcBorders>
              <w:top w:val="nil"/>
              <w:left w:val="nil"/>
              <w:bottom w:val="single" w:sz="4" w:space="0" w:color="auto"/>
              <w:right w:val="single" w:sz="4" w:space="0" w:color="auto"/>
            </w:tcBorders>
            <w:shd w:val="clear" w:color="FFFFFF" w:fill="FFFFFF"/>
            <w:vAlign w:val="center"/>
            <w:hideMark/>
          </w:tcPr>
          <w:p w14:paraId="7FE55887"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 </w:t>
            </w:r>
          </w:p>
        </w:tc>
        <w:tc>
          <w:tcPr>
            <w:tcW w:w="793" w:type="dxa"/>
            <w:tcBorders>
              <w:top w:val="nil"/>
              <w:left w:val="nil"/>
              <w:bottom w:val="single" w:sz="4" w:space="0" w:color="auto"/>
              <w:right w:val="single" w:sz="4" w:space="0" w:color="auto"/>
            </w:tcBorders>
            <w:shd w:val="clear" w:color="FFFFFF" w:fill="FFFFFF"/>
            <w:vAlign w:val="center"/>
            <w:hideMark/>
          </w:tcPr>
          <w:p w14:paraId="1C8229CF"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3,0</w:t>
            </w:r>
          </w:p>
        </w:tc>
        <w:tc>
          <w:tcPr>
            <w:tcW w:w="992" w:type="dxa"/>
            <w:tcBorders>
              <w:top w:val="nil"/>
              <w:left w:val="nil"/>
              <w:bottom w:val="single" w:sz="4" w:space="0" w:color="auto"/>
              <w:right w:val="single" w:sz="4" w:space="0" w:color="auto"/>
            </w:tcBorders>
            <w:shd w:val="clear" w:color="auto" w:fill="auto"/>
            <w:vAlign w:val="center"/>
            <w:hideMark/>
          </w:tcPr>
          <w:p w14:paraId="488A99EE"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0,3</w:t>
            </w:r>
          </w:p>
        </w:tc>
        <w:tc>
          <w:tcPr>
            <w:tcW w:w="1030" w:type="dxa"/>
            <w:tcBorders>
              <w:top w:val="nil"/>
              <w:left w:val="nil"/>
              <w:bottom w:val="single" w:sz="4" w:space="0" w:color="auto"/>
              <w:right w:val="single" w:sz="4" w:space="0" w:color="auto"/>
            </w:tcBorders>
            <w:shd w:val="clear" w:color="auto" w:fill="auto"/>
            <w:vAlign w:val="center"/>
            <w:hideMark/>
          </w:tcPr>
          <w:p w14:paraId="08400DFD"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3,3</w:t>
            </w:r>
          </w:p>
        </w:tc>
        <w:tc>
          <w:tcPr>
            <w:tcW w:w="1096" w:type="dxa"/>
            <w:tcBorders>
              <w:top w:val="nil"/>
              <w:left w:val="nil"/>
              <w:bottom w:val="single" w:sz="4" w:space="0" w:color="auto"/>
              <w:right w:val="single" w:sz="4" w:space="0" w:color="auto"/>
            </w:tcBorders>
            <w:shd w:val="clear" w:color="auto" w:fill="auto"/>
            <w:vAlign w:val="center"/>
            <w:hideMark/>
          </w:tcPr>
          <w:p w14:paraId="1C65642D"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1,6</w:t>
            </w:r>
          </w:p>
        </w:tc>
        <w:tc>
          <w:tcPr>
            <w:tcW w:w="1149" w:type="dxa"/>
            <w:tcBorders>
              <w:top w:val="nil"/>
              <w:left w:val="nil"/>
              <w:bottom w:val="single" w:sz="4" w:space="0" w:color="auto"/>
              <w:right w:val="single" w:sz="4" w:space="0" w:color="auto"/>
            </w:tcBorders>
            <w:shd w:val="clear" w:color="auto" w:fill="auto"/>
            <w:vAlign w:val="center"/>
            <w:hideMark/>
          </w:tcPr>
          <w:p w14:paraId="78C0CDD6"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2,1</w:t>
            </w:r>
          </w:p>
        </w:tc>
        <w:tc>
          <w:tcPr>
            <w:tcW w:w="1119" w:type="dxa"/>
            <w:tcBorders>
              <w:top w:val="nil"/>
              <w:left w:val="nil"/>
              <w:bottom w:val="single" w:sz="4" w:space="0" w:color="auto"/>
              <w:right w:val="single" w:sz="4" w:space="0" w:color="auto"/>
            </w:tcBorders>
            <w:shd w:val="clear" w:color="auto" w:fill="auto"/>
            <w:vAlign w:val="center"/>
            <w:hideMark/>
          </w:tcPr>
          <w:p w14:paraId="17A5937D"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2,4</w:t>
            </w:r>
          </w:p>
        </w:tc>
        <w:tc>
          <w:tcPr>
            <w:tcW w:w="3149" w:type="dxa"/>
            <w:tcBorders>
              <w:top w:val="nil"/>
              <w:left w:val="nil"/>
              <w:bottom w:val="single" w:sz="4" w:space="0" w:color="auto"/>
              <w:right w:val="single" w:sz="4" w:space="0" w:color="auto"/>
            </w:tcBorders>
            <w:shd w:val="clear" w:color="FFFFFF" w:fill="FFFFFF"/>
            <w:hideMark/>
          </w:tcPr>
          <w:p w14:paraId="4617E8EB" w14:textId="77777777" w:rsidR="00322AE9" w:rsidRPr="00322AE9" w:rsidRDefault="00322AE9" w:rsidP="00322AE9">
            <w:pPr>
              <w:ind w:firstLine="0"/>
              <w:jc w:val="left"/>
              <w:rPr>
                <w:rFonts w:eastAsia="Times New Roman" w:cs="Times New Roman"/>
                <w:color w:val="000000"/>
                <w:sz w:val="18"/>
                <w:szCs w:val="18"/>
                <w:lang w:eastAsia="ru-RU"/>
              </w:rPr>
            </w:pPr>
            <w:r w:rsidRPr="00322AE9">
              <w:rPr>
                <w:rFonts w:eastAsia="Times New Roman" w:cs="Times New Roman"/>
                <w:color w:val="000000"/>
                <w:sz w:val="18"/>
                <w:szCs w:val="18"/>
                <w:lang w:eastAsia="ru-RU"/>
              </w:rPr>
              <w:t>СП 56.13330.2011 "Производственные здания"</w:t>
            </w:r>
          </w:p>
        </w:tc>
      </w:tr>
      <w:tr w:rsidR="00322AE9" w:rsidRPr="00322AE9" w14:paraId="264776DE" w14:textId="77777777" w:rsidTr="00322AE9">
        <w:trPr>
          <w:trHeight w:val="960"/>
          <w:jc w:val="center"/>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64AE2355"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 </w:t>
            </w:r>
          </w:p>
        </w:tc>
        <w:tc>
          <w:tcPr>
            <w:tcW w:w="816" w:type="dxa"/>
            <w:tcBorders>
              <w:top w:val="nil"/>
              <w:left w:val="nil"/>
              <w:bottom w:val="single" w:sz="4" w:space="0" w:color="auto"/>
              <w:right w:val="single" w:sz="4" w:space="0" w:color="auto"/>
            </w:tcBorders>
            <w:shd w:val="clear" w:color="auto" w:fill="auto"/>
            <w:vAlign w:val="center"/>
            <w:hideMark/>
          </w:tcPr>
          <w:p w14:paraId="078E548A"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0711</w:t>
            </w:r>
          </w:p>
        </w:tc>
        <w:tc>
          <w:tcPr>
            <w:tcW w:w="2893" w:type="dxa"/>
            <w:tcBorders>
              <w:top w:val="nil"/>
              <w:left w:val="nil"/>
              <w:bottom w:val="single" w:sz="4" w:space="0" w:color="auto"/>
              <w:right w:val="single" w:sz="4" w:space="0" w:color="auto"/>
            </w:tcBorders>
            <w:shd w:val="clear" w:color="auto" w:fill="auto"/>
            <w:vAlign w:val="center"/>
            <w:hideMark/>
          </w:tcPr>
          <w:p w14:paraId="7A4DF1BE" w14:textId="77777777" w:rsidR="00322AE9" w:rsidRPr="00322AE9" w:rsidRDefault="00322AE9" w:rsidP="00322AE9">
            <w:pPr>
              <w:ind w:firstLine="0"/>
              <w:jc w:val="left"/>
              <w:rPr>
                <w:rFonts w:eastAsia="Times New Roman" w:cs="Times New Roman"/>
                <w:color w:val="000000"/>
                <w:sz w:val="20"/>
                <w:szCs w:val="20"/>
                <w:lang w:eastAsia="ru-RU"/>
              </w:rPr>
            </w:pPr>
            <w:r w:rsidRPr="00322AE9">
              <w:rPr>
                <w:rFonts w:eastAsia="Times New Roman" w:cs="Times New Roman"/>
                <w:color w:val="000000"/>
                <w:sz w:val="20"/>
                <w:szCs w:val="20"/>
                <w:lang w:eastAsia="ru-RU"/>
              </w:rPr>
              <w:t>Здания тепловых пунктов, ЦТП</w:t>
            </w:r>
          </w:p>
        </w:tc>
        <w:tc>
          <w:tcPr>
            <w:tcW w:w="855" w:type="dxa"/>
            <w:tcBorders>
              <w:top w:val="nil"/>
              <w:left w:val="nil"/>
              <w:bottom w:val="single" w:sz="4" w:space="0" w:color="auto"/>
              <w:right w:val="single" w:sz="4" w:space="0" w:color="auto"/>
            </w:tcBorders>
            <w:shd w:val="clear" w:color="FFFFFF" w:fill="FFFFFF"/>
            <w:vAlign w:val="center"/>
            <w:hideMark/>
          </w:tcPr>
          <w:p w14:paraId="1B400E65"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 </w:t>
            </w:r>
          </w:p>
        </w:tc>
        <w:tc>
          <w:tcPr>
            <w:tcW w:w="793" w:type="dxa"/>
            <w:tcBorders>
              <w:top w:val="nil"/>
              <w:left w:val="nil"/>
              <w:bottom w:val="single" w:sz="4" w:space="0" w:color="auto"/>
              <w:right w:val="single" w:sz="4" w:space="0" w:color="auto"/>
            </w:tcBorders>
            <w:shd w:val="clear" w:color="FFFFFF" w:fill="FFFFFF"/>
            <w:vAlign w:val="center"/>
            <w:hideMark/>
          </w:tcPr>
          <w:p w14:paraId="037502A6" w14:textId="77777777" w:rsidR="00322AE9" w:rsidRPr="00322AE9" w:rsidRDefault="00322AE9" w:rsidP="00322AE9">
            <w:pPr>
              <w:ind w:firstLine="0"/>
              <w:jc w:val="center"/>
              <w:rPr>
                <w:rFonts w:eastAsia="Times New Roman" w:cs="Times New Roman"/>
                <w:i/>
                <w:iCs/>
                <w:color w:val="000000"/>
                <w:sz w:val="18"/>
                <w:szCs w:val="18"/>
                <w:lang w:eastAsia="ru-RU"/>
              </w:rPr>
            </w:pPr>
            <w:r w:rsidRPr="00322AE9">
              <w:rPr>
                <w:rFonts w:eastAsia="Times New Roman" w:cs="Times New Roman"/>
                <w:i/>
                <w:iCs/>
                <w:color w:val="000000"/>
                <w:sz w:val="18"/>
                <w:szCs w:val="18"/>
                <w:lang w:eastAsia="ru-RU"/>
              </w:rPr>
              <w:t>4,2</w:t>
            </w:r>
          </w:p>
        </w:tc>
        <w:tc>
          <w:tcPr>
            <w:tcW w:w="992" w:type="dxa"/>
            <w:tcBorders>
              <w:top w:val="nil"/>
              <w:left w:val="nil"/>
              <w:bottom w:val="single" w:sz="4" w:space="0" w:color="auto"/>
              <w:right w:val="single" w:sz="4" w:space="0" w:color="auto"/>
            </w:tcBorders>
            <w:shd w:val="clear" w:color="FFFFFF" w:fill="FFFFFF"/>
            <w:vAlign w:val="center"/>
            <w:hideMark/>
          </w:tcPr>
          <w:p w14:paraId="3AF3587F" w14:textId="77777777" w:rsidR="00322AE9" w:rsidRPr="00322AE9" w:rsidRDefault="00322AE9" w:rsidP="00322AE9">
            <w:pPr>
              <w:ind w:firstLine="0"/>
              <w:jc w:val="center"/>
              <w:rPr>
                <w:rFonts w:eastAsia="Times New Roman" w:cs="Times New Roman"/>
                <w:i/>
                <w:iCs/>
                <w:color w:val="000000"/>
                <w:sz w:val="18"/>
                <w:szCs w:val="18"/>
                <w:lang w:eastAsia="ru-RU"/>
              </w:rPr>
            </w:pPr>
            <w:r w:rsidRPr="00322AE9">
              <w:rPr>
                <w:rFonts w:eastAsia="Times New Roman" w:cs="Times New Roman"/>
                <w:i/>
                <w:iCs/>
                <w:color w:val="000000"/>
                <w:sz w:val="18"/>
                <w:szCs w:val="18"/>
                <w:lang w:eastAsia="ru-RU"/>
              </w:rPr>
              <w:t>0,3</w:t>
            </w:r>
          </w:p>
        </w:tc>
        <w:tc>
          <w:tcPr>
            <w:tcW w:w="1030" w:type="dxa"/>
            <w:tcBorders>
              <w:top w:val="nil"/>
              <w:left w:val="nil"/>
              <w:bottom w:val="single" w:sz="4" w:space="0" w:color="auto"/>
              <w:right w:val="single" w:sz="4" w:space="0" w:color="auto"/>
            </w:tcBorders>
            <w:shd w:val="clear" w:color="auto" w:fill="auto"/>
            <w:vAlign w:val="center"/>
            <w:hideMark/>
          </w:tcPr>
          <w:p w14:paraId="2496D0D6" w14:textId="77777777" w:rsidR="00322AE9" w:rsidRPr="00322AE9" w:rsidRDefault="00322AE9" w:rsidP="00322AE9">
            <w:pPr>
              <w:ind w:firstLine="0"/>
              <w:jc w:val="center"/>
              <w:rPr>
                <w:rFonts w:eastAsia="Times New Roman" w:cs="Times New Roman"/>
                <w:b/>
                <w:bCs/>
                <w:i/>
                <w:iCs/>
                <w:color w:val="000000"/>
                <w:sz w:val="18"/>
                <w:szCs w:val="18"/>
                <w:lang w:eastAsia="ru-RU"/>
              </w:rPr>
            </w:pPr>
            <w:r w:rsidRPr="00322AE9">
              <w:rPr>
                <w:rFonts w:eastAsia="Times New Roman" w:cs="Times New Roman"/>
                <w:b/>
                <w:bCs/>
                <w:i/>
                <w:iCs/>
                <w:color w:val="000000"/>
                <w:sz w:val="18"/>
                <w:szCs w:val="18"/>
                <w:lang w:eastAsia="ru-RU"/>
              </w:rPr>
              <w:t>4,5</w:t>
            </w:r>
          </w:p>
        </w:tc>
        <w:tc>
          <w:tcPr>
            <w:tcW w:w="1096" w:type="dxa"/>
            <w:tcBorders>
              <w:top w:val="nil"/>
              <w:left w:val="nil"/>
              <w:bottom w:val="single" w:sz="4" w:space="0" w:color="auto"/>
              <w:right w:val="single" w:sz="4" w:space="0" w:color="auto"/>
            </w:tcBorders>
            <w:shd w:val="clear" w:color="auto" w:fill="auto"/>
            <w:vAlign w:val="center"/>
            <w:hideMark/>
          </w:tcPr>
          <w:p w14:paraId="48D66D45"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1,6</w:t>
            </w:r>
          </w:p>
        </w:tc>
        <w:tc>
          <w:tcPr>
            <w:tcW w:w="1149" w:type="dxa"/>
            <w:tcBorders>
              <w:top w:val="nil"/>
              <w:left w:val="nil"/>
              <w:bottom w:val="single" w:sz="4" w:space="0" w:color="auto"/>
              <w:right w:val="single" w:sz="4" w:space="0" w:color="auto"/>
            </w:tcBorders>
            <w:shd w:val="clear" w:color="auto" w:fill="auto"/>
            <w:vAlign w:val="center"/>
            <w:hideMark/>
          </w:tcPr>
          <w:p w14:paraId="652ACD80" w14:textId="77777777" w:rsidR="00322AE9" w:rsidRPr="00322AE9" w:rsidRDefault="00322AE9" w:rsidP="00322AE9">
            <w:pPr>
              <w:ind w:firstLine="0"/>
              <w:jc w:val="center"/>
              <w:rPr>
                <w:rFonts w:eastAsia="Times New Roman" w:cs="Times New Roman"/>
                <w:i/>
                <w:iCs/>
                <w:color w:val="000000"/>
                <w:sz w:val="18"/>
                <w:szCs w:val="18"/>
                <w:lang w:eastAsia="ru-RU"/>
              </w:rPr>
            </w:pPr>
            <w:r w:rsidRPr="00322AE9">
              <w:rPr>
                <w:rFonts w:eastAsia="Times New Roman" w:cs="Times New Roman"/>
                <w:i/>
                <w:iCs/>
                <w:color w:val="000000"/>
                <w:sz w:val="18"/>
                <w:szCs w:val="18"/>
                <w:lang w:eastAsia="ru-RU"/>
              </w:rPr>
              <w:t>3,6</w:t>
            </w:r>
          </w:p>
        </w:tc>
        <w:tc>
          <w:tcPr>
            <w:tcW w:w="1119" w:type="dxa"/>
            <w:tcBorders>
              <w:top w:val="nil"/>
              <w:left w:val="nil"/>
              <w:bottom w:val="single" w:sz="4" w:space="0" w:color="auto"/>
              <w:right w:val="single" w:sz="4" w:space="0" w:color="auto"/>
            </w:tcBorders>
            <w:shd w:val="clear" w:color="auto" w:fill="auto"/>
            <w:vAlign w:val="center"/>
            <w:hideMark/>
          </w:tcPr>
          <w:p w14:paraId="361A94BF" w14:textId="77777777" w:rsidR="00322AE9" w:rsidRPr="00322AE9" w:rsidRDefault="00322AE9" w:rsidP="00322AE9">
            <w:pPr>
              <w:ind w:firstLine="0"/>
              <w:jc w:val="center"/>
              <w:rPr>
                <w:rFonts w:eastAsia="Times New Roman" w:cs="Times New Roman"/>
                <w:b/>
                <w:bCs/>
                <w:i/>
                <w:iCs/>
                <w:color w:val="000000"/>
                <w:sz w:val="18"/>
                <w:szCs w:val="18"/>
                <w:lang w:eastAsia="ru-RU"/>
              </w:rPr>
            </w:pPr>
            <w:r w:rsidRPr="00322AE9">
              <w:rPr>
                <w:rFonts w:eastAsia="Times New Roman" w:cs="Times New Roman"/>
                <w:b/>
                <w:bCs/>
                <w:i/>
                <w:iCs/>
                <w:color w:val="000000"/>
                <w:sz w:val="18"/>
                <w:szCs w:val="18"/>
                <w:lang w:eastAsia="ru-RU"/>
              </w:rPr>
              <w:t>3,9</w:t>
            </w:r>
          </w:p>
        </w:tc>
        <w:tc>
          <w:tcPr>
            <w:tcW w:w="3149" w:type="dxa"/>
            <w:tcBorders>
              <w:top w:val="nil"/>
              <w:left w:val="nil"/>
              <w:bottom w:val="single" w:sz="4" w:space="0" w:color="auto"/>
              <w:right w:val="single" w:sz="4" w:space="0" w:color="auto"/>
            </w:tcBorders>
            <w:shd w:val="clear" w:color="FFFFFF" w:fill="FFFFFF"/>
            <w:hideMark/>
          </w:tcPr>
          <w:p w14:paraId="34C936C8" w14:textId="77777777" w:rsidR="00322AE9" w:rsidRPr="00322AE9" w:rsidRDefault="00322AE9" w:rsidP="00322AE9">
            <w:pPr>
              <w:ind w:firstLine="0"/>
              <w:jc w:val="left"/>
              <w:rPr>
                <w:rFonts w:eastAsia="Times New Roman" w:cs="Times New Roman"/>
                <w:color w:val="000000"/>
                <w:sz w:val="18"/>
                <w:szCs w:val="18"/>
                <w:lang w:eastAsia="ru-RU"/>
              </w:rPr>
            </w:pPr>
            <w:r w:rsidRPr="00322AE9">
              <w:rPr>
                <w:rFonts w:eastAsia="Times New Roman" w:cs="Times New Roman"/>
                <w:color w:val="000000"/>
                <w:sz w:val="18"/>
                <w:szCs w:val="18"/>
                <w:lang w:eastAsia="ru-RU"/>
              </w:rPr>
              <w:t>СП 41-101-95 "Проектирование тепловых  пунктов", п.2.21; стандарт ОАО РАО "ЕЭС России" СТО 17330282.27060003-2008 "Тепловые пункты и тепловые сети", п.5.24</w:t>
            </w:r>
          </w:p>
        </w:tc>
      </w:tr>
      <w:tr w:rsidR="00322AE9" w:rsidRPr="00322AE9" w14:paraId="2285D626" w14:textId="77777777" w:rsidTr="00322AE9">
        <w:trPr>
          <w:trHeight w:val="300"/>
          <w:jc w:val="center"/>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1EA7DED1"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 </w:t>
            </w:r>
          </w:p>
        </w:tc>
        <w:tc>
          <w:tcPr>
            <w:tcW w:w="816" w:type="dxa"/>
            <w:tcBorders>
              <w:top w:val="nil"/>
              <w:left w:val="nil"/>
              <w:bottom w:val="single" w:sz="4" w:space="0" w:color="auto"/>
              <w:right w:val="single" w:sz="4" w:space="0" w:color="auto"/>
            </w:tcBorders>
            <w:shd w:val="clear" w:color="auto" w:fill="auto"/>
            <w:vAlign w:val="center"/>
            <w:hideMark/>
          </w:tcPr>
          <w:p w14:paraId="291BCC4C"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0712</w:t>
            </w:r>
          </w:p>
        </w:tc>
        <w:tc>
          <w:tcPr>
            <w:tcW w:w="2893" w:type="dxa"/>
            <w:tcBorders>
              <w:top w:val="nil"/>
              <w:left w:val="nil"/>
              <w:bottom w:val="single" w:sz="4" w:space="0" w:color="auto"/>
              <w:right w:val="single" w:sz="4" w:space="0" w:color="auto"/>
            </w:tcBorders>
            <w:shd w:val="clear" w:color="auto" w:fill="auto"/>
            <w:vAlign w:val="center"/>
            <w:hideMark/>
          </w:tcPr>
          <w:p w14:paraId="2A794751" w14:textId="77777777" w:rsidR="00322AE9" w:rsidRPr="00322AE9" w:rsidRDefault="00322AE9" w:rsidP="00322AE9">
            <w:pPr>
              <w:ind w:firstLine="0"/>
              <w:jc w:val="left"/>
              <w:rPr>
                <w:rFonts w:eastAsia="Times New Roman" w:cs="Times New Roman"/>
                <w:color w:val="000000"/>
                <w:sz w:val="20"/>
                <w:szCs w:val="20"/>
                <w:lang w:eastAsia="ru-RU"/>
              </w:rPr>
            </w:pPr>
            <w:r w:rsidRPr="00322AE9">
              <w:rPr>
                <w:rFonts w:eastAsia="Times New Roman" w:cs="Times New Roman"/>
                <w:color w:val="000000"/>
                <w:sz w:val="20"/>
                <w:szCs w:val="20"/>
                <w:lang w:eastAsia="ru-RU"/>
              </w:rPr>
              <w:t>Сушилки, мельницы, вспомогательные объекты</w:t>
            </w:r>
          </w:p>
        </w:tc>
        <w:tc>
          <w:tcPr>
            <w:tcW w:w="855" w:type="dxa"/>
            <w:tcBorders>
              <w:top w:val="nil"/>
              <w:left w:val="nil"/>
              <w:bottom w:val="single" w:sz="4" w:space="0" w:color="auto"/>
              <w:right w:val="single" w:sz="4" w:space="0" w:color="auto"/>
            </w:tcBorders>
            <w:shd w:val="clear" w:color="FFFFFF" w:fill="FFFFFF"/>
            <w:vAlign w:val="center"/>
            <w:hideMark/>
          </w:tcPr>
          <w:p w14:paraId="09B1C1C0"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 </w:t>
            </w:r>
          </w:p>
        </w:tc>
        <w:tc>
          <w:tcPr>
            <w:tcW w:w="793" w:type="dxa"/>
            <w:tcBorders>
              <w:top w:val="nil"/>
              <w:left w:val="nil"/>
              <w:bottom w:val="single" w:sz="4" w:space="0" w:color="auto"/>
              <w:right w:val="single" w:sz="4" w:space="0" w:color="auto"/>
            </w:tcBorders>
            <w:shd w:val="clear" w:color="FFFFFF" w:fill="FFFFFF"/>
            <w:vAlign w:val="center"/>
            <w:hideMark/>
          </w:tcPr>
          <w:p w14:paraId="036295A1"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2,5</w:t>
            </w:r>
          </w:p>
        </w:tc>
        <w:tc>
          <w:tcPr>
            <w:tcW w:w="992" w:type="dxa"/>
            <w:tcBorders>
              <w:top w:val="nil"/>
              <w:left w:val="nil"/>
              <w:bottom w:val="single" w:sz="4" w:space="0" w:color="auto"/>
              <w:right w:val="single" w:sz="4" w:space="0" w:color="auto"/>
            </w:tcBorders>
            <w:shd w:val="clear" w:color="auto" w:fill="auto"/>
            <w:vAlign w:val="center"/>
            <w:hideMark/>
          </w:tcPr>
          <w:p w14:paraId="781301C6"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0,3</w:t>
            </w:r>
          </w:p>
        </w:tc>
        <w:tc>
          <w:tcPr>
            <w:tcW w:w="1030" w:type="dxa"/>
            <w:tcBorders>
              <w:top w:val="nil"/>
              <w:left w:val="nil"/>
              <w:bottom w:val="single" w:sz="4" w:space="0" w:color="auto"/>
              <w:right w:val="single" w:sz="4" w:space="0" w:color="auto"/>
            </w:tcBorders>
            <w:shd w:val="clear" w:color="auto" w:fill="auto"/>
            <w:vAlign w:val="center"/>
            <w:hideMark/>
          </w:tcPr>
          <w:p w14:paraId="0C38034B"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2,8</w:t>
            </w:r>
          </w:p>
        </w:tc>
        <w:tc>
          <w:tcPr>
            <w:tcW w:w="1096" w:type="dxa"/>
            <w:tcBorders>
              <w:top w:val="nil"/>
              <w:left w:val="nil"/>
              <w:bottom w:val="single" w:sz="4" w:space="0" w:color="auto"/>
              <w:right w:val="single" w:sz="4" w:space="0" w:color="auto"/>
            </w:tcBorders>
            <w:shd w:val="clear" w:color="auto" w:fill="auto"/>
            <w:vAlign w:val="center"/>
            <w:hideMark/>
          </w:tcPr>
          <w:p w14:paraId="5BE2F92F"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1,6</w:t>
            </w:r>
          </w:p>
        </w:tc>
        <w:tc>
          <w:tcPr>
            <w:tcW w:w="1149" w:type="dxa"/>
            <w:tcBorders>
              <w:top w:val="nil"/>
              <w:left w:val="nil"/>
              <w:bottom w:val="single" w:sz="4" w:space="0" w:color="auto"/>
              <w:right w:val="single" w:sz="4" w:space="0" w:color="auto"/>
            </w:tcBorders>
            <w:shd w:val="clear" w:color="auto" w:fill="auto"/>
            <w:vAlign w:val="center"/>
            <w:hideMark/>
          </w:tcPr>
          <w:p w14:paraId="2D7E6EF8"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2,1</w:t>
            </w:r>
          </w:p>
        </w:tc>
        <w:tc>
          <w:tcPr>
            <w:tcW w:w="1119" w:type="dxa"/>
            <w:tcBorders>
              <w:top w:val="nil"/>
              <w:left w:val="nil"/>
              <w:bottom w:val="single" w:sz="4" w:space="0" w:color="auto"/>
              <w:right w:val="single" w:sz="4" w:space="0" w:color="auto"/>
            </w:tcBorders>
            <w:shd w:val="clear" w:color="auto" w:fill="auto"/>
            <w:vAlign w:val="center"/>
            <w:hideMark/>
          </w:tcPr>
          <w:p w14:paraId="6673F356"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2,4</w:t>
            </w:r>
          </w:p>
        </w:tc>
        <w:tc>
          <w:tcPr>
            <w:tcW w:w="3149" w:type="dxa"/>
            <w:tcBorders>
              <w:top w:val="nil"/>
              <w:left w:val="nil"/>
              <w:bottom w:val="single" w:sz="4" w:space="0" w:color="auto"/>
              <w:right w:val="single" w:sz="4" w:space="0" w:color="auto"/>
            </w:tcBorders>
            <w:shd w:val="clear" w:color="FFFFFF" w:fill="FFFFFF"/>
            <w:hideMark/>
          </w:tcPr>
          <w:p w14:paraId="094B22E1" w14:textId="77777777" w:rsidR="00322AE9" w:rsidRPr="00322AE9" w:rsidRDefault="00322AE9" w:rsidP="00322AE9">
            <w:pPr>
              <w:ind w:firstLine="0"/>
              <w:jc w:val="left"/>
              <w:rPr>
                <w:rFonts w:eastAsia="Times New Roman" w:cs="Times New Roman"/>
                <w:color w:val="000000"/>
                <w:sz w:val="18"/>
                <w:szCs w:val="18"/>
                <w:lang w:eastAsia="ru-RU"/>
              </w:rPr>
            </w:pPr>
            <w:r w:rsidRPr="00322AE9">
              <w:rPr>
                <w:rFonts w:eastAsia="Times New Roman" w:cs="Times New Roman"/>
                <w:color w:val="000000"/>
                <w:sz w:val="18"/>
                <w:szCs w:val="18"/>
                <w:lang w:eastAsia="ru-RU"/>
              </w:rPr>
              <w:t>СП 56.13330.2011 "Производственные здания"</w:t>
            </w:r>
          </w:p>
        </w:tc>
      </w:tr>
      <w:tr w:rsidR="00322AE9" w:rsidRPr="00322AE9" w14:paraId="7E958CC5" w14:textId="77777777" w:rsidTr="00322AE9">
        <w:trPr>
          <w:trHeight w:val="510"/>
          <w:jc w:val="center"/>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0375436E"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 </w:t>
            </w:r>
          </w:p>
        </w:tc>
        <w:tc>
          <w:tcPr>
            <w:tcW w:w="816" w:type="dxa"/>
            <w:tcBorders>
              <w:top w:val="nil"/>
              <w:left w:val="nil"/>
              <w:bottom w:val="single" w:sz="4" w:space="0" w:color="auto"/>
              <w:right w:val="single" w:sz="4" w:space="0" w:color="auto"/>
            </w:tcBorders>
            <w:shd w:val="clear" w:color="auto" w:fill="auto"/>
            <w:vAlign w:val="center"/>
            <w:hideMark/>
          </w:tcPr>
          <w:p w14:paraId="44A87B59"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0713</w:t>
            </w:r>
          </w:p>
        </w:tc>
        <w:tc>
          <w:tcPr>
            <w:tcW w:w="2893" w:type="dxa"/>
            <w:tcBorders>
              <w:top w:val="nil"/>
              <w:left w:val="nil"/>
              <w:bottom w:val="single" w:sz="4" w:space="0" w:color="auto"/>
              <w:right w:val="single" w:sz="4" w:space="0" w:color="auto"/>
            </w:tcBorders>
            <w:shd w:val="clear" w:color="auto" w:fill="auto"/>
            <w:vAlign w:val="center"/>
            <w:hideMark/>
          </w:tcPr>
          <w:p w14:paraId="0E90DB81" w14:textId="77777777" w:rsidR="00322AE9" w:rsidRPr="00322AE9" w:rsidRDefault="00322AE9" w:rsidP="00322AE9">
            <w:pPr>
              <w:ind w:firstLine="0"/>
              <w:jc w:val="left"/>
              <w:rPr>
                <w:rFonts w:eastAsia="Times New Roman" w:cs="Times New Roman"/>
                <w:color w:val="000000"/>
                <w:sz w:val="20"/>
                <w:szCs w:val="20"/>
                <w:lang w:eastAsia="ru-RU"/>
              </w:rPr>
            </w:pPr>
            <w:r w:rsidRPr="00322AE9">
              <w:rPr>
                <w:rFonts w:eastAsia="Times New Roman" w:cs="Times New Roman"/>
                <w:color w:val="000000"/>
                <w:sz w:val="20"/>
                <w:szCs w:val="20"/>
                <w:lang w:eastAsia="ru-RU"/>
              </w:rPr>
              <w:t>Станции газораспределительные и газорегуляторные</w:t>
            </w:r>
          </w:p>
        </w:tc>
        <w:tc>
          <w:tcPr>
            <w:tcW w:w="855" w:type="dxa"/>
            <w:tcBorders>
              <w:top w:val="nil"/>
              <w:left w:val="nil"/>
              <w:bottom w:val="single" w:sz="4" w:space="0" w:color="auto"/>
              <w:right w:val="single" w:sz="4" w:space="0" w:color="auto"/>
            </w:tcBorders>
            <w:shd w:val="clear" w:color="FFFFFF" w:fill="FFFFFF"/>
            <w:vAlign w:val="center"/>
            <w:hideMark/>
          </w:tcPr>
          <w:p w14:paraId="664192FE"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 </w:t>
            </w:r>
          </w:p>
        </w:tc>
        <w:tc>
          <w:tcPr>
            <w:tcW w:w="793" w:type="dxa"/>
            <w:tcBorders>
              <w:top w:val="nil"/>
              <w:left w:val="nil"/>
              <w:bottom w:val="single" w:sz="4" w:space="0" w:color="auto"/>
              <w:right w:val="single" w:sz="4" w:space="0" w:color="auto"/>
            </w:tcBorders>
            <w:shd w:val="clear" w:color="FFFFFF" w:fill="FFFFFF"/>
            <w:vAlign w:val="center"/>
            <w:hideMark/>
          </w:tcPr>
          <w:p w14:paraId="7CB0FDC6"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2,5</w:t>
            </w:r>
          </w:p>
        </w:tc>
        <w:tc>
          <w:tcPr>
            <w:tcW w:w="992" w:type="dxa"/>
            <w:tcBorders>
              <w:top w:val="nil"/>
              <w:left w:val="nil"/>
              <w:bottom w:val="single" w:sz="4" w:space="0" w:color="auto"/>
              <w:right w:val="single" w:sz="4" w:space="0" w:color="auto"/>
            </w:tcBorders>
            <w:shd w:val="clear" w:color="auto" w:fill="auto"/>
            <w:vAlign w:val="center"/>
            <w:hideMark/>
          </w:tcPr>
          <w:p w14:paraId="2D049D87"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0,3</w:t>
            </w:r>
          </w:p>
        </w:tc>
        <w:tc>
          <w:tcPr>
            <w:tcW w:w="1030" w:type="dxa"/>
            <w:tcBorders>
              <w:top w:val="nil"/>
              <w:left w:val="nil"/>
              <w:bottom w:val="single" w:sz="4" w:space="0" w:color="auto"/>
              <w:right w:val="single" w:sz="4" w:space="0" w:color="auto"/>
            </w:tcBorders>
            <w:shd w:val="clear" w:color="auto" w:fill="auto"/>
            <w:vAlign w:val="center"/>
            <w:hideMark/>
          </w:tcPr>
          <w:p w14:paraId="251BFC9E"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2,8</w:t>
            </w:r>
          </w:p>
        </w:tc>
        <w:tc>
          <w:tcPr>
            <w:tcW w:w="1096" w:type="dxa"/>
            <w:tcBorders>
              <w:top w:val="nil"/>
              <w:left w:val="nil"/>
              <w:bottom w:val="single" w:sz="4" w:space="0" w:color="auto"/>
              <w:right w:val="single" w:sz="4" w:space="0" w:color="auto"/>
            </w:tcBorders>
            <w:shd w:val="clear" w:color="auto" w:fill="auto"/>
            <w:vAlign w:val="center"/>
            <w:hideMark/>
          </w:tcPr>
          <w:p w14:paraId="3DB6F232"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1,6</w:t>
            </w:r>
          </w:p>
        </w:tc>
        <w:tc>
          <w:tcPr>
            <w:tcW w:w="1149" w:type="dxa"/>
            <w:tcBorders>
              <w:top w:val="nil"/>
              <w:left w:val="nil"/>
              <w:bottom w:val="single" w:sz="4" w:space="0" w:color="auto"/>
              <w:right w:val="single" w:sz="4" w:space="0" w:color="auto"/>
            </w:tcBorders>
            <w:shd w:val="clear" w:color="auto" w:fill="auto"/>
            <w:vAlign w:val="center"/>
            <w:hideMark/>
          </w:tcPr>
          <w:p w14:paraId="2E7635DE"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2,1</w:t>
            </w:r>
          </w:p>
        </w:tc>
        <w:tc>
          <w:tcPr>
            <w:tcW w:w="1119" w:type="dxa"/>
            <w:tcBorders>
              <w:top w:val="nil"/>
              <w:left w:val="nil"/>
              <w:bottom w:val="single" w:sz="4" w:space="0" w:color="auto"/>
              <w:right w:val="single" w:sz="4" w:space="0" w:color="auto"/>
            </w:tcBorders>
            <w:shd w:val="clear" w:color="auto" w:fill="auto"/>
            <w:vAlign w:val="center"/>
            <w:hideMark/>
          </w:tcPr>
          <w:p w14:paraId="07FD46FD"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2,4</w:t>
            </w:r>
          </w:p>
        </w:tc>
        <w:tc>
          <w:tcPr>
            <w:tcW w:w="3149" w:type="dxa"/>
            <w:tcBorders>
              <w:top w:val="nil"/>
              <w:left w:val="nil"/>
              <w:bottom w:val="single" w:sz="4" w:space="0" w:color="auto"/>
              <w:right w:val="single" w:sz="4" w:space="0" w:color="auto"/>
            </w:tcBorders>
            <w:shd w:val="clear" w:color="FFFFFF" w:fill="FFFFFF"/>
            <w:hideMark/>
          </w:tcPr>
          <w:p w14:paraId="1A991A60" w14:textId="77777777" w:rsidR="00322AE9" w:rsidRPr="00322AE9" w:rsidRDefault="00322AE9" w:rsidP="00322AE9">
            <w:pPr>
              <w:ind w:firstLine="0"/>
              <w:jc w:val="left"/>
              <w:rPr>
                <w:rFonts w:eastAsia="Times New Roman" w:cs="Times New Roman"/>
                <w:color w:val="000000"/>
                <w:sz w:val="18"/>
                <w:szCs w:val="18"/>
                <w:lang w:eastAsia="ru-RU"/>
              </w:rPr>
            </w:pPr>
            <w:r w:rsidRPr="00322AE9">
              <w:rPr>
                <w:rFonts w:eastAsia="Times New Roman" w:cs="Times New Roman"/>
                <w:color w:val="000000"/>
                <w:sz w:val="18"/>
                <w:szCs w:val="18"/>
                <w:lang w:eastAsia="ru-RU"/>
              </w:rPr>
              <w:t>СП 56.13330.2011 "Производственные здания"</w:t>
            </w:r>
          </w:p>
        </w:tc>
      </w:tr>
      <w:tr w:rsidR="00322AE9" w:rsidRPr="00322AE9" w14:paraId="602042BD" w14:textId="77777777" w:rsidTr="00322AE9">
        <w:trPr>
          <w:trHeight w:val="300"/>
          <w:jc w:val="center"/>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4A464EBD"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 </w:t>
            </w:r>
          </w:p>
        </w:tc>
        <w:tc>
          <w:tcPr>
            <w:tcW w:w="816" w:type="dxa"/>
            <w:tcBorders>
              <w:top w:val="nil"/>
              <w:left w:val="nil"/>
              <w:bottom w:val="single" w:sz="4" w:space="0" w:color="auto"/>
              <w:right w:val="single" w:sz="4" w:space="0" w:color="auto"/>
            </w:tcBorders>
            <w:shd w:val="clear" w:color="auto" w:fill="auto"/>
            <w:vAlign w:val="center"/>
            <w:hideMark/>
          </w:tcPr>
          <w:p w14:paraId="0647752A"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0714</w:t>
            </w:r>
          </w:p>
        </w:tc>
        <w:tc>
          <w:tcPr>
            <w:tcW w:w="2893" w:type="dxa"/>
            <w:tcBorders>
              <w:top w:val="nil"/>
              <w:left w:val="nil"/>
              <w:bottom w:val="single" w:sz="4" w:space="0" w:color="auto"/>
              <w:right w:val="single" w:sz="4" w:space="0" w:color="auto"/>
            </w:tcBorders>
            <w:shd w:val="clear" w:color="auto" w:fill="auto"/>
            <w:vAlign w:val="center"/>
            <w:hideMark/>
          </w:tcPr>
          <w:p w14:paraId="7E669130" w14:textId="77777777" w:rsidR="00322AE9" w:rsidRPr="00322AE9" w:rsidRDefault="00322AE9" w:rsidP="00322AE9">
            <w:pPr>
              <w:ind w:firstLine="0"/>
              <w:jc w:val="left"/>
              <w:rPr>
                <w:rFonts w:eastAsia="Times New Roman" w:cs="Times New Roman"/>
                <w:color w:val="000000"/>
                <w:sz w:val="20"/>
                <w:szCs w:val="20"/>
                <w:lang w:eastAsia="ru-RU"/>
              </w:rPr>
            </w:pPr>
            <w:r w:rsidRPr="00322AE9">
              <w:rPr>
                <w:rFonts w:eastAsia="Times New Roman" w:cs="Times New Roman"/>
                <w:color w:val="000000"/>
                <w:sz w:val="20"/>
                <w:szCs w:val="20"/>
                <w:lang w:eastAsia="ru-RU"/>
              </w:rPr>
              <w:t>Пункты газораспределительные и газорегуляторные</w:t>
            </w:r>
          </w:p>
        </w:tc>
        <w:tc>
          <w:tcPr>
            <w:tcW w:w="855" w:type="dxa"/>
            <w:tcBorders>
              <w:top w:val="nil"/>
              <w:left w:val="nil"/>
              <w:bottom w:val="single" w:sz="4" w:space="0" w:color="auto"/>
              <w:right w:val="single" w:sz="4" w:space="0" w:color="auto"/>
            </w:tcBorders>
            <w:shd w:val="clear" w:color="FFFFFF" w:fill="FFFFFF"/>
            <w:vAlign w:val="center"/>
            <w:hideMark/>
          </w:tcPr>
          <w:p w14:paraId="3FDCE2D6"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 </w:t>
            </w:r>
          </w:p>
        </w:tc>
        <w:tc>
          <w:tcPr>
            <w:tcW w:w="793" w:type="dxa"/>
            <w:tcBorders>
              <w:top w:val="nil"/>
              <w:left w:val="nil"/>
              <w:bottom w:val="single" w:sz="4" w:space="0" w:color="auto"/>
              <w:right w:val="single" w:sz="4" w:space="0" w:color="auto"/>
            </w:tcBorders>
            <w:shd w:val="clear" w:color="FFFFFF" w:fill="FFFFFF"/>
            <w:vAlign w:val="center"/>
            <w:hideMark/>
          </w:tcPr>
          <w:p w14:paraId="17F70416"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2,5</w:t>
            </w:r>
          </w:p>
        </w:tc>
        <w:tc>
          <w:tcPr>
            <w:tcW w:w="992" w:type="dxa"/>
            <w:tcBorders>
              <w:top w:val="nil"/>
              <w:left w:val="nil"/>
              <w:bottom w:val="single" w:sz="4" w:space="0" w:color="auto"/>
              <w:right w:val="single" w:sz="4" w:space="0" w:color="auto"/>
            </w:tcBorders>
            <w:shd w:val="clear" w:color="auto" w:fill="auto"/>
            <w:vAlign w:val="center"/>
            <w:hideMark/>
          </w:tcPr>
          <w:p w14:paraId="7A647962"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0,3</w:t>
            </w:r>
          </w:p>
        </w:tc>
        <w:tc>
          <w:tcPr>
            <w:tcW w:w="1030" w:type="dxa"/>
            <w:tcBorders>
              <w:top w:val="nil"/>
              <w:left w:val="nil"/>
              <w:bottom w:val="single" w:sz="4" w:space="0" w:color="auto"/>
              <w:right w:val="single" w:sz="4" w:space="0" w:color="auto"/>
            </w:tcBorders>
            <w:shd w:val="clear" w:color="auto" w:fill="auto"/>
            <w:vAlign w:val="center"/>
            <w:hideMark/>
          </w:tcPr>
          <w:p w14:paraId="7B91AA0C"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2,8</w:t>
            </w:r>
          </w:p>
        </w:tc>
        <w:tc>
          <w:tcPr>
            <w:tcW w:w="1096" w:type="dxa"/>
            <w:tcBorders>
              <w:top w:val="nil"/>
              <w:left w:val="nil"/>
              <w:bottom w:val="single" w:sz="4" w:space="0" w:color="auto"/>
              <w:right w:val="single" w:sz="4" w:space="0" w:color="auto"/>
            </w:tcBorders>
            <w:shd w:val="clear" w:color="auto" w:fill="auto"/>
            <w:vAlign w:val="center"/>
            <w:hideMark/>
          </w:tcPr>
          <w:p w14:paraId="1E357B88"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1,6</w:t>
            </w:r>
          </w:p>
        </w:tc>
        <w:tc>
          <w:tcPr>
            <w:tcW w:w="1149" w:type="dxa"/>
            <w:tcBorders>
              <w:top w:val="nil"/>
              <w:left w:val="nil"/>
              <w:bottom w:val="single" w:sz="4" w:space="0" w:color="auto"/>
              <w:right w:val="single" w:sz="4" w:space="0" w:color="auto"/>
            </w:tcBorders>
            <w:shd w:val="clear" w:color="auto" w:fill="auto"/>
            <w:vAlign w:val="center"/>
            <w:hideMark/>
          </w:tcPr>
          <w:p w14:paraId="04D0DCE9"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2,1</w:t>
            </w:r>
          </w:p>
        </w:tc>
        <w:tc>
          <w:tcPr>
            <w:tcW w:w="1119" w:type="dxa"/>
            <w:tcBorders>
              <w:top w:val="nil"/>
              <w:left w:val="nil"/>
              <w:bottom w:val="single" w:sz="4" w:space="0" w:color="auto"/>
              <w:right w:val="single" w:sz="4" w:space="0" w:color="auto"/>
            </w:tcBorders>
            <w:shd w:val="clear" w:color="auto" w:fill="auto"/>
            <w:vAlign w:val="center"/>
            <w:hideMark/>
          </w:tcPr>
          <w:p w14:paraId="5BB79B94"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2,4</w:t>
            </w:r>
          </w:p>
        </w:tc>
        <w:tc>
          <w:tcPr>
            <w:tcW w:w="3149" w:type="dxa"/>
            <w:tcBorders>
              <w:top w:val="nil"/>
              <w:left w:val="nil"/>
              <w:bottom w:val="single" w:sz="4" w:space="0" w:color="auto"/>
              <w:right w:val="single" w:sz="4" w:space="0" w:color="auto"/>
            </w:tcBorders>
            <w:shd w:val="clear" w:color="FFFFFF" w:fill="FFFFFF"/>
            <w:hideMark/>
          </w:tcPr>
          <w:p w14:paraId="2DD85ACD" w14:textId="77777777" w:rsidR="00322AE9" w:rsidRPr="00322AE9" w:rsidRDefault="00322AE9" w:rsidP="00322AE9">
            <w:pPr>
              <w:ind w:firstLine="0"/>
              <w:jc w:val="left"/>
              <w:rPr>
                <w:rFonts w:eastAsia="Times New Roman" w:cs="Times New Roman"/>
                <w:color w:val="000000"/>
                <w:sz w:val="18"/>
                <w:szCs w:val="18"/>
                <w:lang w:eastAsia="ru-RU"/>
              </w:rPr>
            </w:pPr>
            <w:r w:rsidRPr="00322AE9">
              <w:rPr>
                <w:rFonts w:eastAsia="Times New Roman" w:cs="Times New Roman"/>
                <w:color w:val="000000"/>
                <w:sz w:val="18"/>
                <w:szCs w:val="18"/>
                <w:lang w:eastAsia="ru-RU"/>
              </w:rPr>
              <w:t>СП 56.13330.2011 "Производственные здания"</w:t>
            </w:r>
          </w:p>
        </w:tc>
      </w:tr>
      <w:tr w:rsidR="00322AE9" w:rsidRPr="00322AE9" w14:paraId="06B1B6EF" w14:textId="77777777" w:rsidTr="00322AE9">
        <w:trPr>
          <w:trHeight w:val="480"/>
          <w:jc w:val="center"/>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50AD2573"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 </w:t>
            </w:r>
          </w:p>
        </w:tc>
        <w:tc>
          <w:tcPr>
            <w:tcW w:w="816" w:type="dxa"/>
            <w:tcBorders>
              <w:top w:val="nil"/>
              <w:left w:val="nil"/>
              <w:bottom w:val="single" w:sz="4" w:space="0" w:color="auto"/>
              <w:right w:val="single" w:sz="4" w:space="0" w:color="auto"/>
            </w:tcBorders>
            <w:shd w:val="clear" w:color="auto" w:fill="auto"/>
            <w:vAlign w:val="center"/>
            <w:hideMark/>
          </w:tcPr>
          <w:p w14:paraId="1D828FFC"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0715</w:t>
            </w:r>
          </w:p>
        </w:tc>
        <w:tc>
          <w:tcPr>
            <w:tcW w:w="2893" w:type="dxa"/>
            <w:tcBorders>
              <w:top w:val="nil"/>
              <w:left w:val="nil"/>
              <w:bottom w:val="single" w:sz="4" w:space="0" w:color="auto"/>
              <w:right w:val="single" w:sz="4" w:space="0" w:color="auto"/>
            </w:tcBorders>
            <w:shd w:val="clear" w:color="auto" w:fill="auto"/>
            <w:vAlign w:val="center"/>
            <w:hideMark/>
          </w:tcPr>
          <w:p w14:paraId="34DA7CE8" w14:textId="77777777" w:rsidR="00322AE9" w:rsidRPr="00322AE9" w:rsidRDefault="00322AE9" w:rsidP="00322AE9">
            <w:pPr>
              <w:ind w:firstLine="0"/>
              <w:jc w:val="left"/>
              <w:rPr>
                <w:rFonts w:eastAsia="Times New Roman" w:cs="Times New Roman"/>
                <w:color w:val="000000"/>
                <w:sz w:val="20"/>
                <w:szCs w:val="20"/>
                <w:lang w:eastAsia="ru-RU"/>
              </w:rPr>
            </w:pPr>
            <w:r w:rsidRPr="00322AE9">
              <w:rPr>
                <w:rFonts w:eastAsia="Times New Roman" w:cs="Times New Roman"/>
                <w:color w:val="000000"/>
                <w:sz w:val="20"/>
                <w:szCs w:val="20"/>
                <w:lang w:eastAsia="ru-RU"/>
              </w:rPr>
              <w:t>Насосные станции</w:t>
            </w:r>
          </w:p>
        </w:tc>
        <w:tc>
          <w:tcPr>
            <w:tcW w:w="855" w:type="dxa"/>
            <w:tcBorders>
              <w:top w:val="nil"/>
              <w:left w:val="nil"/>
              <w:bottom w:val="single" w:sz="4" w:space="0" w:color="auto"/>
              <w:right w:val="single" w:sz="4" w:space="0" w:color="auto"/>
            </w:tcBorders>
            <w:shd w:val="clear" w:color="FFFFFF" w:fill="FFFFFF"/>
            <w:vAlign w:val="center"/>
            <w:hideMark/>
          </w:tcPr>
          <w:p w14:paraId="3CF69943"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 </w:t>
            </w:r>
          </w:p>
        </w:tc>
        <w:tc>
          <w:tcPr>
            <w:tcW w:w="793" w:type="dxa"/>
            <w:tcBorders>
              <w:top w:val="nil"/>
              <w:left w:val="nil"/>
              <w:bottom w:val="single" w:sz="4" w:space="0" w:color="auto"/>
              <w:right w:val="single" w:sz="4" w:space="0" w:color="auto"/>
            </w:tcBorders>
            <w:shd w:val="clear" w:color="FFFFFF" w:fill="FFFFFF"/>
            <w:vAlign w:val="center"/>
            <w:hideMark/>
          </w:tcPr>
          <w:p w14:paraId="5B627608"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3,0</w:t>
            </w:r>
          </w:p>
        </w:tc>
        <w:tc>
          <w:tcPr>
            <w:tcW w:w="992" w:type="dxa"/>
            <w:tcBorders>
              <w:top w:val="nil"/>
              <w:left w:val="nil"/>
              <w:bottom w:val="single" w:sz="4" w:space="0" w:color="auto"/>
              <w:right w:val="single" w:sz="4" w:space="0" w:color="auto"/>
            </w:tcBorders>
            <w:shd w:val="clear" w:color="auto" w:fill="auto"/>
            <w:vAlign w:val="center"/>
            <w:hideMark/>
          </w:tcPr>
          <w:p w14:paraId="6B56F0D0"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0,3</w:t>
            </w:r>
          </w:p>
        </w:tc>
        <w:tc>
          <w:tcPr>
            <w:tcW w:w="1030" w:type="dxa"/>
            <w:tcBorders>
              <w:top w:val="nil"/>
              <w:left w:val="nil"/>
              <w:bottom w:val="single" w:sz="4" w:space="0" w:color="auto"/>
              <w:right w:val="single" w:sz="4" w:space="0" w:color="auto"/>
            </w:tcBorders>
            <w:shd w:val="clear" w:color="auto" w:fill="auto"/>
            <w:vAlign w:val="center"/>
            <w:hideMark/>
          </w:tcPr>
          <w:p w14:paraId="01614896"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3,3</w:t>
            </w:r>
          </w:p>
        </w:tc>
        <w:tc>
          <w:tcPr>
            <w:tcW w:w="1096" w:type="dxa"/>
            <w:tcBorders>
              <w:top w:val="nil"/>
              <w:left w:val="nil"/>
              <w:bottom w:val="single" w:sz="4" w:space="0" w:color="auto"/>
              <w:right w:val="single" w:sz="4" w:space="0" w:color="auto"/>
            </w:tcBorders>
            <w:shd w:val="clear" w:color="auto" w:fill="auto"/>
            <w:vAlign w:val="center"/>
            <w:hideMark/>
          </w:tcPr>
          <w:p w14:paraId="0C2A6110"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1,6</w:t>
            </w:r>
          </w:p>
        </w:tc>
        <w:tc>
          <w:tcPr>
            <w:tcW w:w="1149" w:type="dxa"/>
            <w:tcBorders>
              <w:top w:val="nil"/>
              <w:left w:val="nil"/>
              <w:bottom w:val="single" w:sz="4" w:space="0" w:color="auto"/>
              <w:right w:val="single" w:sz="4" w:space="0" w:color="auto"/>
            </w:tcBorders>
            <w:shd w:val="clear" w:color="auto" w:fill="auto"/>
            <w:vAlign w:val="center"/>
            <w:hideMark/>
          </w:tcPr>
          <w:p w14:paraId="50DA49A0"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3,0</w:t>
            </w:r>
          </w:p>
        </w:tc>
        <w:tc>
          <w:tcPr>
            <w:tcW w:w="1119" w:type="dxa"/>
            <w:tcBorders>
              <w:top w:val="nil"/>
              <w:left w:val="nil"/>
              <w:bottom w:val="single" w:sz="4" w:space="0" w:color="auto"/>
              <w:right w:val="single" w:sz="4" w:space="0" w:color="auto"/>
            </w:tcBorders>
            <w:shd w:val="clear" w:color="auto" w:fill="auto"/>
            <w:vAlign w:val="center"/>
            <w:hideMark/>
          </w:tcPr>
          <w:p w14:paraId="614767E9"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3,3</w:t>
            </w:r>
          </w:p>
        </w:tc>
        <w:tc>
          <w:tcPr>
            <w:tcW w:w="3149" w:type="dxa"/>
            <w:tcBorders>
              <w:top w:val="nil"/>
              <w:left w:val="nil"/>
              <w:bottom w:val="single" w:sz="4" w:space="0" w:color="auto"/>
              <w:right w:val="single" w:sz="4" w:space="0" w:color="auto"/>
            </w:tcBorders>
            <w:shd w:val="clear" w:color="FFFFFF" w:fill="FFFFFF"/>
            <w:hideMark/>
          </w:tcPr>
          <w:p w14:paraId="0B6A43A5" w14:textId="77777777" w:rsidR="00322AE9" w:rsidRPr="00322AE9" w:rsidRDefault="00322AE9" w:rsidP="00322AE9">
            <w:pPr>
              <w:ind w:firstLine="0"/>
              <w:jc w:val="left"/>
              <w:rPr>
                <w:rFonts w:eastAsia="Times New Roman" w:cs="Times New Roman"/>
                <w:color w:val="000000"/>
                <w:sz w:val="18"/>
                <w:szCs w:val="18"/>
                <w:lang w:eastAsia="ru-RU"/>
              </w:rPr>
            </w:pPr>
            <w:r w:rsidRPr="00322AE9">
              <w:rPr>
                <w:rFonts w:eastAsia="Times New Roman" w:cs="Times New Roman"/>
                <w:color w:val="000000"/>
                <w:sz w:val="18"/>
                <w:szCs w:val="18"/>
                <w:lang w:eastAsia="ru-RU"/>
              </w:rPr>
              <w:t>СП 56.13330.2011 "Производственные здания"; СП 58.13330.2012 "Гидротехнические сооружения"</w:t>
            </w:r>
          </w:p>
        </w:tc>
      </w:tr>
      <w:tr w:rsidR="00322AE9" w:rsidRPr="00322AE9" w14:paraId="17EF8A51" w14:textId="77777777" w:rsidTr="00322AE9">
        <w:trPr>
          <w:trHeight w:val="300"/>
          <w:jc w:val="center"/>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6AC3A5D2"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 </w:t>
            </w:r>
          </w:p>
        </w:tc>
        <w:tc>
          <w:tcPr>
            <w:tcW w:w="816" w:type="dxa"/>
            <w:tcBorders>
              <w:top w:val="nil"/>
              <w:left w:val="nil"/>
              <w:bottom w:val="single" w:sz="4" w:space="0" w:color="auto"/>
              <w:right w:val="single" w:sz="4" w:space="0" w:color="auto"/>
            </w:tcBorders>
            <w:shd w:val="clear" w:color="auto" w:fill="auto"/>
            <w:vAlign w:val="center"/>
            <w:hideMark/>
          </w:tcPr>
          <w:p w14:paraId="6EBD4F90"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0716</w:t>
            </w:r>
          </w:p>
        </w:tc>
        <w:tc>
          <w:tcPr>
            <w:tcW w:w="2893" w:type="dxa"/>
            <w:tcBorders>
              <w:top w:val="nil"/>
              <w:left w:val="nil"/>
              <w:bottom w:val="single" w:sz="4" w:space="0" w:color="auto"/>
              <w:right w:val="single" w:sz="4" w:space="0" w:color="auto"/>
            </w:tcBorders>
            <w:shd w:val="clear" w:color="auto" w:fill="auto"/>
            <w:vAlign w:val="center"/>
            <w:hideMark/>
          </w:tcPr>
          <w:p w14:paraId="6FA24530" w14:textId="77777777" w:rsidR="00322AE9" w:rsidRPr="00322AE9" w:rsidRDefault="00322AE9" w:rsidP="00322AE9">
            <w:pPr>
              <w:ind w:firstLine="0"/>
              <w:jc w:val="left"/>
              <w:rPr>
                <w:rFonts w:eastAsia="Times New Roman" w:cs="Times New Roman"/>
                <w:color w:val="000000"/>
                <w:sz w:val="20"/>
                <w:szCs w:val="20"/>
                <w:lang w:eastAsia="ru-RU"/>
              </w:rPr>
            </w:pPr>
            <w:r w:rsidRPr="00322AE9">
              <w:rPr>
                <w:rFonts w:eastAsia="Times New Roman" w:cs="Times New Roman"/>
                <w:color w:val="000000"/>
                <w:sz w:val="20"/>
                <w:szCs w:val="20"/>
                <w:lang w:eastAsia="ru-RU"/>
              </w:rPr>
              <w:t>Водопроводные станции</w:t>
            </w:r>
          </w:p>
        </w:tc>
        <w:tc>
          <w:tcPr>
            <w:tcW w:w="855" w:type="dxa"/>
            <w:tcBorders>
              <w:top w:val="nil"/>
              <w:left w:val="nil"/>
              <w:bottom w:val="single" w:sz="4" w:space="0" w:color="auto"/>
              <w:right w:val="single" w:sz="4" w:space="0" w:color="auto"/>
            </w:tcBorders>
            <w:shd w:val="clear" w:color="FFFFFF" w:fill="FFFFFF"/>
            <w:vAlign w:val="center"/>
            <w:hideMark/>
          </w:tcPr>
          <w:p w14:paraId="3F4548A2"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 </w:t>
            </w:r>
          </w:p>
        </w:tc>
        <w:tc>
          <w:tcPr>
            <w:tcW w:w="793" w:type="dxa"/>
            <w:tcBorders>
              <w:top w:val="nil"/>
              <w:left w:val="nil"/>
              <w:bottom w:val="single" w:sz="4" w:space="0" w:color="auto"/>
              <w:right w:val="single" w:sz="4" w:space="0" w:color="auto"/>
            </w:tcBorders>
            <w:shd w:val="clear" w:color="FFFFFF" w:fill="FFFFFF"/>
            <w:vAlign w:val="center"/>
            <w:hideMark/>
          </w:tcPr>
          <w:p w14:paraId="600054FA"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3,0</w:t>
            </w:r>
          </w:p>
        </w:tc>
        <w:tc>
          <w:tcPr>
            <w:tcW w:w="992" w:type="dxa"/>
            <w:tcBorders>
              <w:top w:val="nil"/>
              <w:left w:val="nil"/>
              <w:bottom w:val="single" w:sz="4" w:space="0" w:color="auto"/>
              <w:right w:val="single" w:sz="4" w:space="0" w:color="auto"/>
            </w:tcBorders>
            <w:shd w:val="clear" w:color="auto" w:fill="auto"/>
            <w:vAlign w:val="center"/>
            <w:hideMark/>
          </w:tcPr>
          <w:p w14:paraId="07C8EAC4"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0,3</w:t>
            </w:r>
          </w:p>
        </w:tc>
        <w:tc>
          <w:tcPr>
            <w:tcW w:w="1030" w:type="dxa"/>
            <w:tcBorders>
              <w:top w:val="nil"/>
              <w:left w:val="nil"/>
              <w:bottom w:val="single" w:sz="4" w:space="0" w:color="auto"/>
              <w:right w:val="single" w:sz="4" w:space="0" w:color="auto"/>
            </w:tcBorders>
            <w:shd w:val="clear" w:color="auto" w:fill="auto"/>
            <w:vAlign w:val="center"/>
            <w:hideMark/>
          </w:tcPr>
          <w:p w14:paraId="41E322EA"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3,3</w:t>
            </w:r>
          </w:p>
        </w:tc>
        <w:tc>
          <w:tcPr>
            <w:tcW w:w="1096" w:type="dxa"/>
            <w:tcBorders>
              <w:top w:val="nil"/>
              <w:left w:val="nil"/>
              <w:bottom w:val="single" w:sz="4" w:space="0" w:color="auto"/>
              <w:right w:val="single" w:sz="4" w:space="0" w:color="auto"/>
            </w:tcBorders>
            <w:shd w:val="clear" w:color="auto" w:fill="auto"/>
            <w:vAlign w:val="center"/>
            <w:hideMark/>
          </w:tcPr>
          <w:p w14:paraId="41BF5050"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1,6</w:t>
            </w:r>
          </w:p>
        </w:tc>
        <w:tc>
          <w:tcPr>
            <w:tcW w:w="1149" w:type="dxa"/>
            <w:tcBorders>
              <w:top w:val="nil"/>
              <w:left w:val="nil"/>
              <w:bottom w:val="single" w:sz="4" w:space="0" w:color="auto"/>
              <w:right w:val="single" w:sz="4" w:space="0" w:color="auto"/>
            </w:tcBorders>
            <w:shd w:val="clear" w:color="auto" w:fill="auto"/>
            <w:vAlign w:val="center"/>
            <w:hideMark/>
          </w:tcPr>
          <w:p w14:paraId="6378D6B7"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3,0</w:t>
            </w:r>
          </w:p>
        </w:tc>
        <w:tc>
          <w:tcPr>
            <w:tcW w:w="1119" w:type="dxa"/>
            <w:tcBorders>
              <w:top w:val="nil"/>
              <w:left w:val="nil"/>
              <w:bottom w:val="single" w:sz="4" w:space="0" w:color="auto"/>
              <w:right w:val="single" w:sz="4" w:space="0" w:color="auto"/>
            </w:tcBorders>
            <w:shd w:val="clear" w:color="auto" w:fill="auto"/>
            <w:vAlign w:val="center"/>
            <w:hideMark/>
          </w:tcPr>
          <w:p w14:paraId="2DD21987"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3,3</w:t>
            </w:r>
          </w:p>
        </w:tc>
        <w:tc>
          <w:tcPr>
            <w:tcW w:w="3149" w:type="dxa"/>
            <w:tcBorders>
              <w:top w:val="nil"/>
              <w:left w:val="nil"/>
              <w:bottom w:val="single" w:sz="4" w:space="0" w:color="auto"/>
              <w:right w:val="single" w:sz="4" w:space="0" w:color="auto"/>
            </w:tcBorders>
            <w:shd w:val="clear" w:color="FFFFFF" w:fill="FFFFFF"/>
            <w:hideMark/>
          </w:tcPr>
          <w:p w14:paraId="702A0ADC" w14:textId="77777777" w:rsidR="00322AE9" w:rsidRPr="00322AE9" w:rsidRDefault="00322AE9" w:rsidP="00322AE9">
            <w:pPr>
              <w:ind w:firstLine="0"/>
              <w:jc w:val="left"/>
              <w:rPr>
                <w:rFonts w:eastAsia="Times New Roman" w:cs="Times New Roman"/>
                <w:color w:val="000000"/>
                <w:sz w:val="18"/>
                <w:szCs w:val="18"/>
                <w:lang w:eastAsia="ru-RU"/>
              </w:rPr>
            </w:pPr>
            <w:r w:rsidRPr="00322AE9">
              <w:rPr>
                <w:rFonts w:eastAsia="Times New Roman" w:cs="Times New Roman"/>
                <w:color w:val="000000"/>
                <w:sz w:val="18"/>
                <w:szCs w:val="18"/>
                <w:lang w:eastAsia="ru-RU"/>
              </w:rPr>
              <w:t>СП 56.13330.2011 "Производственные здания"</w:t>
            </w:r>
          </w:p>
        </w:tc>
      </w:tr>
      <w:tr w:rsidR="00322AE9" w:rsidRPr="00322AE9" w14:paraId="3C9E18A3" w14:textId="77777777" w:rsidTr="00322AE9">
        <w:trPr>
          <w:trHeight w:val="300"/>
          <w:jc w:val="center"/>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5B9A0A95"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 </w:t>
            </w:r>
          </w:p>
        </w:tc>
        <w:tc>
          <w:tcPr>
            <w:tcW w:w="816" w:type="dxa"/>
            <w:tcBorders>
              <w:top w:val="nil"/>
              <w:left w:val="nil"/>
              <w:bottom w:val="single" w:sz="4" w:space="0" w:color="auto"/>
              <w:right w:val="single" w:sz="4" w:space="0" w:color="auto"/>
            </w:tcBorders>
            <w:shd w:val="clear" w:color="auto" w:fill="auto"/>
            <w:vAlign w:val="center"/>
            <w:hideMark/>
          </w:tcPr>
          <w:p w14:paraId="3F94E912"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0717</w:t>
            </w:r>
          </w:p>
        </w:tc>
        <w:tc>
          <w:tcPr>
            <w:tcW w:w="2893" w:type="dxa"/>
            <w:tcBorders>
              <w:top w:val="nil"/>
              <w:left w:val="nil"/>
              <w:bottom w:val="single" w:sz="4" w:space="0" w:color="auto"/>
              <w:right w:val="single" w:sz="4" w:space="0" w:color="auto"/>
            </w:tcBorders>
            <w:shd w:val="clear" w:color="auto" w:fill="auto"/>
            <w:vAlign w:val="center"/>
            <w:hideMark/>
          </w:tcPr>
          <w:p w14:paraId="4EBE2371" w14:textId="77777777" w:rsidR="00322AE9" w:rsidRPr="00322AE9" w:rsidRDefault="00322AE9" w:rsidP="00322AE9">
            <w:pPr>
              <w:ind w:firstLine="0"/>
              <w:jc w:val="left"/>
              <w:rPr>
                <w:rFonts w:eastAsia="Times New Roman" w:cs="Times New Roman"/>
                <w:color w:val="000000"/>
                <w:sz w:val="20"/>
                <w:szCs w:val="20"/>
                <w:lang w:eastAsia="ru-RU"/>
              </w:rPr>
            </w:pPr>
            <w:r w:rsidRPr="00322AE9">
              <w:rPr>
                <w:rFonts w:eastAsia="Times New Roman" w:cs="Times New Roman"/>
                <w:color w:val="000000"/>
                <w:sz w:val="20"/>
                <w:szCs w:val="20"/>
                <w:lang w:eastAsia="ru-RU"/>
              </w:rPr>
              <w:t>Водозаборные узлы и сооружения</w:t>
            </w:r>
          </w:p>
        </w:tc>
        <w:tc>
          <w:tcPr>
            <w:tcW w:w="855" w:type="dxa"/>
            <w:tcBorders>
              <w:top w:val="nil"/>
              <w:left w:val="nil"/>
              <w:bottom w:val="single" w:sz="4" w:space="0" w:color="auto"/>
              <w:right w:val="single" w:sz="4" w:space="0" w:color="auto"/>
            </w:tcBorders>
            <w:shd w:val="clear" w:color="FFFFFF" w:fill="FFFFFF"/>
            <w:vAlign w:val="center"/>
            <w:hideMark/>
          </w:tcPr>
          <w:p w14:paraId="6F627FF6"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 </w:t>
            </w:r>
          </w:p>
        </w:tc>
        <w:tc>
          <w:tcPr>
            <w:tcW w:w="793" w:type="dxa"/>
            <w:tcBorders>
              <w:top w:val="nil"/>
              <w:left w:val="nil"/>
              <w:bottom w:val="single" w:sz="4" w:space="0" w:color="auto"/>
              <w:right w:val="single" w:sz="4" w:space="0" w:color="auto"/>
            </w:tcBorders>
            <w:shd w:val="clear" w:color="FFFFFF" w:fill="FFFFFF"/>
            <w:vAlign w:val="center"/>
            <w:hideMark/>
          </w:tcPr>
          <w:p w14:paraId="30D3FF5F"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2,5</w:t>
            </w:r>
          </w:p>
        </w:tc>
        <w:tc>
          <w:tcPr>
            <w:tcW w:w="992" w:type="dxa"/>
            <w:tcBorders>
              <w:top w:val="nil"/>
              <w:left w:val="nil"/>
              <w:bottom w:val="single" w:sz="4" w:space="0" w:color="auto"/>
              <w:right w:val="single" w:sz="4" w:space="0" w:color="auto"/>
            </w:tcBorders>
            <w:shd w:val="clear" w:color="auto" w:fill="auto"/>
            <w:vAlign w:val="center"/>
            <w:hideMark/>
          </w:tcPr>
          <w:p w14:paraId="4FF8B4DB"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0,3</w:t>
            </w:r>
          </w:p>
        </w:tc>
        <w:tc>
          <w:tcPr>
            <w:tcW w:w="1030" w:type="dxa"/>
            <w:tcBorders>
              <w:top w:val="nil"/>
              <w:left w:val="nil"/>
              <w:bottom w:val="single" w:sz="4" w:space="0" w:color="auto"/>
              <w:right w:val="single" w:sz="4" w:space="0" w:color="auto"/>
            </w:tcBorders>
            <w:shd w:val="clear" w:color="auto" w:fill="auto"/>
            <w:vAlign w:val="center"/>
            <w:hideMark/>
          </w:tcPr>
          <w:p w14:paraId="133F0B21"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2,8</w:t>
            </w:r>
          </w:p>
        </w:tc>
        <w:tc>
          <w:tcPr>
            <w:tcW w:w="1096" w:type="dxa"/>
            <w:tcBorders>
              <w:top w:val="nil"/>
              <w:left w:val="nil"/>
              <w:bottom w:val="single" w:sz="4" w:space="0" w:color="auto"/>
              <w:right w:val="single" w:sz="4" w:space="0" w:color="auto"/>
            </w:tcBorders>
            <w:shd w:val="clear" w:color="auto" w:fill="auto"/>
            <w:vAlign w:val="center"/>
            <w:hideMark/>
          </w:tcPr>
          <w:p w14:paraId="749AB518"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1,6</w:t>
            </w:r>
          </w:p>
        </w:tc>
        <w:tc>
          <w:tcPr>
            <w:tcW w:w="1149" w:type="dxa"/>
            <w:tcBorders>
              <w:top w:val="nil"/>
              <w:left w:val="nil"/>
              <w:bottom w:val="single" w:sz="4" w:space="0" w:color="auto"/>
              <w:right w:val="single" w:sz="4" w:space="0" w:color="auto"/>
            </w:tcBorders>
            <w:shd w:val="clear" w:color="auto" w:fill="auto"/>
            <w:vAlign w:val="center"/>
            <w:hideMark/>
          </w:tcPr>
          <w:p w14:paraId="6E225E31"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3,0</w:t>
            </w:r>
          </w:p>
        </w:tc>
        <w:tc>
          <w:tcPr>
            <w:tcW w:w="1119" w:type="dxa"/>
            <w:tcBorders>
              <w:top w:val="nil"/>
              <w:left w:val="nil"/>
              <w:bottom w:val="single" w:sz="4" w:space="0" w:color="auto"/>
              <w:right w:val="single" w:sz="4" w:space="0" w:color="auto"/>
            </w:tcBorders>
            <w:shd w:val="clear" w:color="auto" w:fill="auto"/>
            <w:vAlign w:val="center"/>
            <w:hideMark/>
          </w:tcPr>
          <w:p w14:paraId="37845D09"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3,3</w:t>
            </w:r>
          </w:p>
        </w:tc>
        <w:tc>
          <w:tcPr>
            <w:tcW w:w="3149" w:type="dxa"/>
            <w:tcBorders>
              <w:top w:val="nil"/>
              <w:left w:val="nil"/>
              <w:bottom w:val="single" w:sz="4" w:space="0" w:color="auto"/>
              <w:right w:val="single" w:sz="4" w:space="0" w:color="auto"/>
            </w:tcBorders>
            <w:shd w:val="clear" w:color="FFFFFF" w:fill="FFFFFF"/>
            <w:hideMark/>
          </w:tcPr>
          <w:p w14:paraId="6BF1F703" w14:textId="77777777" w:rsidR="00322AE9" w:rsidRPr="00322AE9" w:rsidRDefault="00322AE9" w:rsidP="00322AE9">
            <w:pPr>
              <w:ind w:firstLine="0"/>
              <w:jc w:val="left"/>
              <w:rPr>
                <w:rFonts w:eastAsia="Times New Roman" w:cs="Times New Roman"/>
                <w:color w:val="000000"/>
                <w:sz w:val="18"/>
                <w:szCs w:val="18"/>
                <w:lang w:eastAsia="ru-RU"/>
              </w:rPr>
            </w:pPr>
            <w:r w:rsidRPr="00322AE9">
              <w:rPr>
                <w:rFonts w:eastAsia="Times New Roman" w:cs="Times New Roman"/>
                <w:color w:val="000000"/>
                <w:sz w:val="18"/>
                <w:szCs w:val="18"/>
                <w:lang w:eastAsia="ru-RU"/>
              </w:rPr>
              <w:t>СП 56.13330.2011 "Производственные здания"</w:t>
            </w:r>
          </w:p>
        </w:tc>
      </w:tr>
      <w:tr w:rsidR="00322AE9" w:rsidRPr="00322AE9" w14:paraId="08C2A86A" w14:textId="77777777" w:rsidTr="00322AE9">
        <w:trPr>
          <w:trHeight w:val="720"/>
          <w:jc w:val="center"/>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18240A72"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 </w:t>
            </w:r>
          </w:p>
        </w:tc>
        <w:tc>
          <w:tcPr>
            <w:tcW w:w="816" w:type="dxa"/>
            <w:tcBorders>
              <w:top w:val="nil"/>
              <w:left w:val="nil"/>
              <w:bottom w:val="single" w:sz="4" w:space="0" w:color="auto"/>
              <w:right w:val="single" w:sz="4" w:space="0" w:color="auto"/>
            </w:tcBorders>
            <w:shd w:val="clear" w:color="auto" w:fill="auto"/>
            <w:vAlign w:val="center"/>
            <w:hideMark/>
          </w:tcPr>
          <w:p w14:paraId="39B17A1A"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0718</w:t>
            </w:r>
          </w:p>
        </w:tc>
        <w:tc>
          <w:tcPr>
            <w:tcW w:w="2893" w:type="dxa"/>
            <w:tcBorders>
              <w:top w:val="nil"/>
              <w:left w:val="nil"/>
              <w:bottom w:val="single" w:sz="4" w:space="0" w:color="auto"/>
              <w:right w:val="single" w:sz="4" w:space="0" w:color="auto"/>
            </w:tcBorders>
            <w:shd w:val="clear" w:color="auto" w:fill="auto"/>
            <w:vAlign w:val="center"/>
            <w:hideMark/>
          </w:tcPr>
          <w:p w14:paraId="68A6043F" w14:textId="77777777" w:rsidR="00322AE9" w:rsidRPr="00322AE9" w:rsidRDefault="00322AE9" w:rsidP="00322AE9">
            <w:pPr>
              <w:ind w:firstLine="0"/>
              <w:jc w:val="left"/>
              <w:rPr>
                <w:rFonts w:eastAsia="Times New Roman" w:cs="Times New Roman"/>
                <w:color w:val="000000"/>
                <w:sz w:val="20"/>
                <w:szCs w:val="20"/>
                <w:lang w:eastAsia="ru-RU"/>
              </w:rPr>
            </w:pPr>
            <w:r w:rsidRPr="00322AE9">
              <w:rPr>
                <w:rFonts w:eastAsia="Times New Roman" w:cs="Times New Roman"/>
                <w:color w:val="000000"/>
                <w:sz w:val="20"/>
                <w:szCs w:val="20"/>
                <w:lang w:eastAsia="ru-RU"/>
              </w:rPr>
              <w:t>Водомерные узлы, камеры переключения задвижек</w:t>
            </w:r>
          </w:p>
        </w:tc>
        <w:tc>
          <w:tcPr>
            <w:tcW w:w="855" w:type="dxa"/>
            <w:tcBorders>
              <w:top w:val="nil"/>
              <w:left w:val="nil"/>
              <w:bottom w:val="single" w:sz="4" w:space="0" w:color="auto"/>
              <w:right w:val="single" w:sz="4" w:space="0" w:color="auto"/>
            </w:tcBorders>
            <w:shd w:val="clear" w:color="FFFFFF" w:fill="FFFFFF"/>
            <w:vAlign w:val="center"/>
            <w:hideMark/>
          </w:tcPr>
          <w:p w14:paraId="43FDC5B2"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 </w:t>
            </w:r>
          </w:p>
        </w:tc>
        <w:tc>
          <w:tcPr>
            <w:tcW w:w="793" w:type="dxa"/>
            <w:tcBorders>
              <w:top w:val="nil"/>
              <w:left w:val="nil"/>
              <w:bottom w:val="single" w:sz="4" w:space="0" w:color="auto"/>
              <w:right w:val="single" w:sz="4" w:space="0" w:color="auto"/>
            </w:tcBorders>
            <w:shd w:val="clear" w:color="FFFFFF" w:fill="FFFFFF"/>
            <w:vAlign w:val="center"/>
            <w:hideMark/>
          </w:tcPr>
          <w:p w14:paraId="79960B36"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2,5</w:t>
            </w:r>
          </w:p>
        </w:tc>
        <w:tc>
          <w:tcPr>
            <w:tcW w:w="992" w:type="dxa"/>
            <w:tcBorders>
              <w:top w:val="nil"/>
              <w:left w:val="nil"/>
              <w:bottom w:val="single" w:sz="4" w:space="0" w:color="auto"/>
              <w:right w:val="single" w:sz="4" w:space="0" w:color="auto"/>
            </w:tcBorders>
            <w:shd w:val="clear" w:color="auto" w:fill="auto"/>
            <w:vAlign w:val="center"/>
            <w:hideMark/>
          </w:tcPr>
          <w:p w14:paraId="0C3916C0"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0,3</w:t>
            </w:r>
          </w:p>
        </w:tc>
        <w:tc>
          <w:tcPr>
            <w:tcW w:w="1030" w:type="dxa"/>
            <w:tcBorders>
              <w:top w:val="nil"/>
              <w:left w:val="nil"/>
              <w:bottom w:val="single" w:sz="4" w:space="0" w:color="auto"/>
              <w:right w:val="single" w:sz="4" w:space="0" w:color="auto"/>
            </w:tcBorders>
            <w:shd w:val="clear" w:color="auto" w:fill="auto"/>
            <w:vAlign w:val="center"/>
            <w:hideMark/>
          </w:tcPr>
          <w:p w14:paraId="052A683E"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2,8</w:t>
            </w:r>
          </w:p>
        </w:tc>
        <w:tc>
          <w:tcPr>
            <w:tcW w:w="1096" w:type="dxa"/>
            <w:tcBorders>
              <w:top w:val="nil"/>
              <w:left w:val="nil"/>
              <w:bottom w:val="single" w:sz="4" w:space="0" w:color="auto"/>
              <w:right w:val="single" w:sz="4" w:space="0" w:color="auto"/>
            </w:tcBorders>
            <w:shd w:val="clear" w:color="auto" w:fill="auto"/>
            <w:vAlign w:val="center"/>
            <w:hideMark/>
          </w:tcPr>
          <w:p w14:paraId="46EDD79B"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1,6</w:t>
            </w:r>
          </w:p>
        </w:tc>
        <w:tc>
          <w:tcPr>
            <w:tcW w:w="1149" w:type="dxa"/>
            <w:tcBorders>
              <w:top w:val="nil"/>
              <w:left w:val="nil"/>
              <w:bottom w:val="single" w:sz="4" w:space="0" w:color="auto"/>
              <w:right w:val="single" w:sz="4" w:space="0" w:color="auto"/>
            </w:tcBorders>
            <w:shd w:val="clear" w:color="auto" w:fill="auto"/>
            <w:vAlign w:val="center"/>
            <w:hideMark/>
          </w:tcPr>
          <w:p w14:paraId="2D754148"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2,1</w:t>
            </w:r>
          </w:p>
        </w:tc>
        <w:tc>
          <w:tcPr>
            <w:tcW w:w="1119" w:type="dxa"/>
            <w:tcBorders>
              <w:top w:val="nil"/>
              <w:left w:val="nil"/>
              <w:bottom w:val="single" w:sz="4" w:space="0" w:color="auto"/>
              <w:right w:val="single" w:sz="4" w:space="0" w:color="auto"/>
            </w:tcBorders>
            <w:shd w:val="clear" w:color="auto" w:fill="auto"/>
            <w:vAlign w:val="center"/>
            <w:hideMark/>
          </w:tcPr>
          <w:p w14:paraId="0656372F"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2,4</w:t>
            </w:r>
          </w:p>
        </w:tc>
        <w:tc>
          <w:tcPr>
            <w:tcW w:w="3149" w:type="dxa"/>
            <w:tcBorders>
              <w:top w:val="nil"/>
              <w:left w:val="nil"/>
              <w:bottom w:val="single" w:sz="4" w:space="0" w:color="auto"/>
              <w:right w:val="single" w:sz="4" w:space="0" w:color="auto"/>
            </w:tcBorders>
            <w:shd w:val="clear" w:color="auto" w:fill="auto"/>
            <w:hideMark/>
          </w:tcPr>
          <w:p w14:paraId="348FB940" w14:textId="77777777" w:rsidR="00322AE9" w:rsidRPr="00322AE9" w:rsidRDefault="00322AE9" w:rsidP="00322AE9">
            <w:pPr>
              <w:ind w:firstLine="0"/>
              <w:jc w:val="left"/>
              <w:rPr>
                <w:rFonts w:eastAsia="Times New Roman" w:cs="Times New Roman"/>
                <w:color w:val="000000"/>
                <w:sz w:val="18"/>
                <w:szCs w:val="18"/>
                <w:lang w:eastAsia="ru-RU"/>
              </w:rPr>
            </w:pPr>
            <w:r w:rsidRPr="00322AE9">
              <w:rPr>
                <w:rFonts w:eastAsia="Times New Roman" w:cs="Times New Roman"/>
                <w:color w:val="000000"/>
                <w:sz w:val="18"/>
                <w:szCs w:val="18"/>
                <w:lang w:eastAsia="ru-RU"/>
              </w:rPr>
              <w:t>СП 31.13330.2012 "Водоснабжение. Наружные сети и сооружения", п.15.7; СП 56.13330.2011 "Производственные здания"</w:t>
            </w:r>
          </w:p>
        </w:tc>
      </w:tr>
      <w:tr w:rsidR="00322AE9" w:rsidRPr="00322AE9" w14:paraId="05297085" w14:textId="77777777" w:rsidTr="00322AE9">
        <w:trPr>
          <w:trHeight w:val="510"/>
          <w:jc w:val="center"/>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2EC3AE05"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 </w:t>
            </w:r>
          </w:p>
        </w:tc>
        <w:tc>
          <w:tcPr>
            <w:tcW w:w="816" w:type="dxa"/>
            <w:tcBorders>
              <w:top w:val="nil"/>
              <w:left w:val="nil"/>
              <w:bottom w:val="single" w:sz="4" w:space="0" w:color="auto"/>
              <w:right w:val="single" w:sz="4" w:space="0" w:color="auto"/>
            </w:tcBorders>
            <w:shd w:val="clear" w:color="auto" w:fill="auto"/>
            <w:vAlign w:val="center"/>
            <w:hideMark/>
          </w:tcPr>
          <w:p w14:paraId="23F7C28C"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0719</w:t>
            </w:r>
          </w:p>
        </w:tc>
        <w:tc>
          <w:tcPr>
            <w:tcW w:w="2893" w:type="dxa"/>
            <w:tcBorders>
              <w:top w:val="nil"/>
              <w:left w:val="nil"/>
              <w:bottom w:val="single" w:sz="4" w:space="0" w:color="auto"/>
              <w:right w:val="single" w:sz="4" w:space="0" w:color="auto"/>
            </w:tcBorders>
            <w:shd w:val="clear" w:color="auto" w:fill="auto"/>
            <w:vAlign w:val="center"/>
            <w:hideMark/>
          </w:tcPr>
          <w:p w14:paraId="72EF2855" w14:textId="77777777" w:rsidR="00322AE9" w:rsidRPr="00322AE9" w:rsidRDefault="00322AE9" w:rsidP="00322AE9">
            <w:pPr>
              <w:ind w:firstLine="0"/>
              <w:jc w:val="left"/>
              <w:rPr>
                <w:rFonts w:eastAsia="Times New Roman" w:cs="Times New Roman"/>
                <w:color w:val="000000"/>
                <w:sz w:val="20"/>
                <w:szCs w:val="20"/>
                <w:lang w:eastAsia="ru-RU"/>
              </w:rPr>
            </w:pPr>
            <w:r w:rsidRPr="00322AE9">
              <w:rPr>
                <w:rFonts w:eastAsia="Times New Roman" w:cs="Times New Roman"/>
                <w:color w:val="000000"/>
                <w:sz w:val="20"/>
                <w:szCs w:val="20"/>
                <w:lang w:eastAsia="ru-RU"/>
              </w:rPr>
              <w:t>Павильоны над скважинами, насосные  над артезианской скважиной</w:t>
            </w:r>
          </w:p>
        </w:tc>
        <w:tc>
          <w:tcPr>
            <w:tcW w:w="855" w:type="dxa"/>
            <w:tcBorders>
              <w:top w:val="nil"/>
              <w:left w:val="nil"/>
              <w:bottom w:val="single" w:sz="4" w:space="0" w:color="auto"/>
              <w:right w:val="single" w:sz="4" w:space="0" w:color="auto"/>
            </w:tcBorders>
            <w:shd w:val="clear" w:color="FFFFFF" w:fill="FFFFFF"/>
            <w:vAlign w:val="center"/>
            <w:hideMark/>
          </w:tcPr>
          <w:p w14:paraId="5BEB3CEA"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2,4</w:t>
            </w:r>
          </w:p>
        </w:tc>
        <w:tc>
          <w:tcPr>
            <w:tcW w:w="793" w:type="dxa"/>
            <w:tcBorders>
              <w:top w:val="nil"/>
              <w:left w:val="nil"/>
              <w:bottom w:val="single" w:sz="4" w:space="0" w:color="auto"/>
              <w:right w:val="single" w:sz="4" w:space="0" w:color="auto"/>
            </w:tcBorders>
            <w:shd w:val="clear" w:color="FFFFFF" w:fill="FFFFFF"/>
            <w:vAlign w:val="center"/>
            <w:hideMark/>
          </w:tcPr>
          <w:p w14:paraId="6A8CB68B"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2,5</w:t>
            </w:r>
          </w:p>
        </w:tc>
        <w:tc>
          <w:tcPr>
            <w:tcW w:w="992" w:type="dxa"/>
            <w:tcBorders>
              <w:top w:val="nil"/>
              <w:left w:val="nil"/>
              <w:bottom w:val="single" w:sz="4" w:space="0" w:color="auto"/>
              <w:right w:val="single" w:sz="4" w:space="0" w:color="auto"/>
            </w:tcBorders>
            <w:shd w:val="clear" w:color="auto" w:fill="auto"/>
            <w:vAlign w:val="center"/>
            <w:hideMark/>
          </w:tcPr>
          <w:p w14:paraId="3343F506"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0,3</w:t>
            </w:r>
          </w:p>
        </w:tc>
        <w:tc>
          <w:tcPr>
            <w:tcW w:w="1030" w:type="dxa"/>
            <w:tcBorders>
              <w:top w:val="nil"/>
              <w:left w:val="nil"/>
              <w:bottom w:val="single" w:sz="4" w:space="0" w:color="auto"/>
              <w:right w:val="single" w:sz="4" w:space="0" w:color="auto"/>
            </w:tcBorders>
            <w:shd w:val="clear" w:color="auto" w:fill="auto"/>
            <w:vAlign w:val="center"/>
            <w:hideMark/>
          </w:tcPr>
          <w:p w14:paraId="511BAAB0"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2,4</w:t>
            </w:r>
          </w:p>
        </w:tc>
        <w:tc>
          <w:tcPr>
            <w:tcW w:w="1096" w:type="dxa"/>
            <w:tcBorders>
              <w:top w:val="nil"/>
              <w:left w:val="nil"/>
              <w:bottom w:val="single" w:sz="4" w:space="0" w:color="auto"/>
              <w:right w:val="single" w:sz="4" w:space="0" w:color="auto"/>
            </w:tcBorders>
            <w:shd w:val="clear" w:color="auto" w:fill="auto"/>
            <w:vAlign w:val="center"/>
            <w:hideMark/>
          </w:tcPr>
          <w:p w14:paraId="2D701507"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1,6</w:t>
            </w:r>
          </w:p>
        </w:tc>
        <w:tc>
          <w:tcPr>
            <w:tcW w:w="1149" w:type="dxa"/>
            <w:tcBorders>
              <w:top w:val="nil"/>
              <w:left w:val="nil"/>
              <w:bottom w:val="single" w:sz="4" w:space="0" w:color="auto"/>
              <w:right w:val="single" w:sz="4" w:space="0" w:color="auto"/>
            </w:tcBorders>
            <w:shd w:val="clear" w:color="auto" w:fill="auto"/>
            <w:vAlign w:val="center"/>
            <w:hideMark/>
          </w:tcPr>
          <w:p w14:paraId="3FE38762"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2,1</w:t>
            </w:r>
          </w:p>
        </w:tc>
        <w:tc>
          <w:tcPr>
            <w:tcW w:w="1119" w:type="dxa"/>
            <w:tcBorders>
              <w:top w:val="nil"/>
              <w:left w:val="nil"/>
              <w:bottom w:val="single" w:sz="4" w:space="0" w:color="auto"/>
              <w:right w:val="single" w:sz="4" w:space="0" w:color="auto"/>
            </w:tcBorders>
            <w:shd w:val="clear" w:color="auto" w:fill="auto"/>
            <w:vAlign w:val="center"/>
            <w:hideMark/>
          </w:tcPr>
          <w:p w14:paraId="16CD8C47"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2,4</w:t>
            </w:r>
          </w:p>
        </w:tc>
        <w:tc>
          <w:tcPr>
            <w:tcW w:w="3149" w:type="dxa"/>
            <w:tcBorders>
              <w:top w:val="nil"/>
              <w:left w:val="nil"/>
              <w:bottom w:val="single" w:sz="4" w:space="0" w:color="auto"/>
              <w:right w:val="single" w:sz="4" w:space="0" w:color="auto"/>
            </w:tcBorders>
            <w:shd w:val="clear" w:color="auto" w:fill="auto"/>
            <w:hideMark/>
          </w:tcPr>
          <w:p w14:paraId="668B32D1" w14:textId="77777777" w:rsidR="00322AE9" w:rsidRPr="00322AE9" w:rsidRDefault="00322AE9" w:rsidP="00322AE9">
            <w:pPr>
              <w:ind w:firstLine="0"/>
              <w:jc w:val="left"/>
              <w:rPr>
                <w:rFonts w:eastAsia="Times New Roman" w:cs="Times New Roman"/>
                <w:color w:val="000000"/>
                <w:sz w:val="18"/>
                <w:szCs w:val="18"/>
                <w:lang w:eastAsia="ru-RU"/>
              </w:rPr>
            </w:pPr>
            <w:r w:rsidRPr="00322AE9">
              <w:rPr>
                <w:rFonts w:eastAsia="Times New Roman" w:cs="Times New Roman"/>
                <w:color w:val="000000"/>
                <w:sz w:val="18"/>
                <w:szCs w:val="18"/>
                <w:lang w:eastAsia="ru-RU"/>
              </w:rPr>
              <w:t>СП 31.13330.2012 "Водоснабжение. Наружные сети и сооружения", п.8.8</w:t>
            </w:r>
          </w:p>
        </w:tc>
      </w:tr>
      <w:tr w:rsidR="00322AE9" w:rsidRPr="00322AE9" w14:paraId="54BAB3AF" w14:textId="77777777" w:rsidTr="00322AE9">
        <w:trPr>
          <w:trHeight w:val="300"/>
          <w:jc w:val="center"/>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21CE43B5"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 </w:t>
            </w:r>
          </w:p>
        </w:tc>
        <w:tc>
          <w:tcPr>
            <w:tcW w:w="816" w:type="dxa"/>
            <w:tcBorders>
              <w:top w:val="nil"/>
              <w:left w:val="nil"/>
              <w:bottom w:val="single" w:sz="4" w:space="0" w:color="auto"/>
              <w:right w:val="single" w:sz="4" w:space="0" w:color="auto"/>
            </w:tcBorders>
            <w:shd w:val="clear" w:color="auto" w:fill="auto"/>
            <w:vAlign w:val="center"/>
            <w:hideMark/>
          </w:tcPr>
          <w:p w14:paraId="010842BC"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0720</w:t>
            </w:r>
          </w:p>
        </w:tc>
        <w:tc>
          <w:tcPr>
            <w:tcW w:w="2893" w:type="dxa"/>
            <w:tcBorders>
              <w:top w:val="nil"/>
              <w:left w:val="nil"/>
              <w:bottom w:val="single" w:sz="4" w:space="0" w:color="auto"/>
              <w:right w:val="single" w:sz="4" w:space="0" w:color="auto"/>
            </w:tcBorders>
            <w:shd w:val="clear" w:color="auto" w:fill="auto"/>
            <w:vAlign w:val="center"/>
            <w:hideMark/>
          </w:tcPr>
          <w:p w14:paraId="34F4E0D1" w14:textId="77777777" w:rsidR="00322AE9" w:rsidRPr="00322AE9" w:rsidRDefault="00322AE9" w:rsidP="00322AE9">
            <w:pPr>
              <w:ind w:firstLine="0"/>
              <w:jc w:val="left"/>
              <w:rPr>
                <w:rFonts w:eastAsia="Times New Roman" w:cs="Times New Roman"/>
                <w:color w:val="000000"/>
                <w:sz w:val="20"/>
                <w:szCs w:val="20"/>
                <w:lang w:eastAsia="ru-RU"/>
              </w:rPr>
            </w:pPr>
            <w:r w:rsidRPr="00322AE9">
              <w:rPr>
                <w:rFonts w:eastAsia="Times New Roman" w:cs="Times New Roman"/>
                <w:color w:val="000000"/>
                <w:sz w:val="20"/>
                <w:szCs w:val="20"/>
                <w:lang w:eastAsia="ru-RU"/>
              </w:rPr>
              <w:t>Вентиляционные киоски, вентиляционные камеры</w:t>
            </w:r>
          </w:p>
        </w:tc>
        <w:tc>
          <w:tcPr>
            <w:tcW w:w="855" w:type="dxa"/>
            <w:tcBorders>
              <w:top w:val="nil"/>
              <w:left w:val="nil"/>
              <w:bottom w:val="single" w:sz="4" w:space="0" w:color="auto"/>
              <w:right w:val="single" w:sz="4" w:space="0" w:color="auto"/>
            </w:tcBorders>
            <w:shd w:val="clear" w:color="FFFFFF" w:fill="FFFFFF"/>
            <w:vAlign w:val="center"/>
            <w:hideMark/>
          </w:tcPr>
          <w:p w14:paraId="31618673"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 </w:t>
            </w:r>
          </w:p>
        </w:tc>
        <w:tc>
          <w:tcPr>
            <w:tcW w:w="793" w:type="dxa"/>
            <w:tcBorders>
              <w:top w:val="nil"/>
              <w:left w:val="nil"/>
              <w:bottom w:val="single" w:sz="4" w:space="0" w:color="auto"/>
              <w:right w:val="single" w:sz="4" w:space="0" w:color="auto"/>
            </w:tcBorders>
            <w:shd w:val="clear" w:color="FFFFFF" w:fill="FFFFFF"/>
            <w:vAlign w:val="center"/>
            <w:hideMark/>
          </w:tcPr>
          <w:p w14:paraId="056FA490"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3,0</w:t>
            </w:r>
          </w:p>
        </w:tc>
        <w:tc>
          <w:tcPr>
            <w:tcW w:w="992" w:type="dxa"/>
            <w:tcBorders>
              <w:top w:val="nil"/>
              <w:left w:val="nil"/>
              <w:bottom w:val="single" w:sz="4" w:space="0" w:color="auto"/>
              <w:right w:val="single" w:sz="4" w:space="0" w:color="auto"/>
            </w:tcBorders>
            <w:shd w:val="clear" w:color="auto" w:fill="auto"/>
            <w:vAlign w:val="center"/>
            <w:hideMark/>
          </w:tcPr>
          <w:p w14:paraId="2708DBAD"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0,3</w:t>
            </w:r>
          </w:p>
        </w:tc>
        <w:tc>
          <w:tcPr>
            <w:tcW w:w="1030" w:type="dxa"/>
            <w:tcBorders>
              <w:top w:val="nil"/>
              <w:left w:val="nil"/>
              <w:bottom w:val="single" w:sz="4" w:space="0" w:color="auto"/>
              <w:right w:val="single" w:sz="4" w:space="0" w:color="auto"/>
            </w:tcBorders>
            <w:shd w:val="clear" w:color="auto" w:fill="auto"/>
            <w:vAlign w:val="center"/>
            <w:hideMark/>
          </w:tcPr>
          <w:p w14:paraId="19E05640"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3,3</w:t>
            </w:r>
          </w:p>
        </w:tc>
        <w:tc>
          <w:tcPr>
            <w:tcW w:w="1096" w:type="dxa"/>
            <w:tcBorders>
              <w:top w:val="nil"/>
              <w:left w:val="nil"/>
              <w:bottom w:val="single" w:sz="4" w:space="0" w:color="auto"/>
              <w:right w:val="single" w:sz="4" w:space="0" w:color="auto"/>
            </w:tcBorders>
            <w:shd w:val="clear" w:color="auto" w:fill="auto"/>
            <w:vAlign w:val="center"/>
            <w:hideMark/>
          </w:tcPr>
          <w:p w14:paraId="4E59A1A4"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1,6</w:t>
            </w:r>
          </w:p>
        </w:tc>
        <w:tc>
          <w:tcPr>
            <w:tcW w:w="1149" w:type="dxa"/>
            <w:tcBorders>
              <w:top w:val="nil"/>
              <w:left w:val="nil"/>
              <w:bottom w:val="single" w:sz="4" w:space="0" w:color="auto"/>
              <w:right w:val="single" w:sz="4" w:space="0" w:color="auto"/>
            </w:tcBorders>
            <w:shd w:val="clear" w:color="auto" w:fill="auto"/>
            <w:vAlign w:val="center"/>
            <w:hideMark/>
          </w:tcPr>
          <w:p w14:paraId="5F9ADE3D"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2,1</w:t>
            </w:r>
          </w:p>
        </w:tc>
        <w:tc>
          <w:tcPr>
            <w:tcW w:w="1119" w:type="dxa"/>
            <w:tcBorders>
              <w:top w:val="nil"/>
              <w:left w:val="nil"/>
              <w:bottom w:val="single" w:sz="4" w:space="0" w:color="auto"/>
              <w:right w:val="single" w:sz="4" w:space="0" w:color="auto"/>
            </w:tcBorders>
            <w:shd w:val="clear" w:color="auto" w:fill="auto"/>
            <w:vAlign w:val="center"/>
            <w:hideMark/>
          </w:tcPr>
          <w:p w14:paraId="534CC198"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2,4</w:t>
            </w:r>
          </w:p>
        </w:tc>
        <w:tc>
          <w:tcPr>
            <w:tcW w:w="3149" w:type="dxa"/>
            <w:tcBorders>
              <w:top w:val="nil"/>
              <w:left w:val="nil"/>
              <w:bottom w:val="single" w:sz="4" w:space="0" w:color="auto"/>
              <w:right w:val="single" w:sz="4" w:space="0" w:color="auto"/>
            </w:tcBorders>
            <w:shd w:val="clear" w:color="FFFFFF" w:fill="FFFFFF"/>
            <w:hideMark/>
          </w:tcPr>
          <w:p w14:paraId="42ABD297" w14:textId="77777777" w:rsidR="00322AE9" w:rsidRPr="00322AE9" w:rsidRDefault="00322AE9" w:rsidP="00322AE9">
            <w:pPr>
              <w:ind w:firstLine="0"/>
              <w:jc w:val="left"/>
              <w:rPr>
                <w:rFonts w:eastAsia="Times New Roman" w:cs="Times New Roman"/>
                <w:color w:val="000000"/>
                <w:sz w:val="18"/>
                <w:szCs w:val="18"/>
                <w:lang w:eastAsia="ru-RU"/>
              </w:rPr>
            </w:pPr>
            <w:r w:rsidRPr="00322AE9">
              <w:rPr>
                <w:rFonts w:eastAsia="Times New Roman" w:cs="Times New Roman"/>
                <w:color w:val="000000"/>
                <w:sz w:val="18"/>
                <w:szCs w:val="18"/>
                <w:lang w:eastAsia="ru-RU"/>
              </w:rPr>
              <w:t>СП 56.13330.2011 "Производственные здания"</w:t>
            </w:r>
          </w:p>
        </w:tc>
      </w:tr>
      <w:tr w:rsidR="00322AE9" w:rsidRPr="00322AE9" w14:paraId="748B18C6" w14:textId="77777777" w:rsidTr="00322AE9">
        <w:trPr>
          <w:trHeight w:val="300"/>
          <w:jc w:val="center"/>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198C2FB2"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 </w:t>
            </w:r>
          </w:p>
        </w:tc>
        <w:tc>
          <w:tcPr>
            <w:tcW w:w="816" w:type="dxa"/>
            <w:tcBorders>
              <w:top w:val="nil"/>
              <w:left w:val="nil"/>
              <w:bottom w:val="single" w:sz="4" w:space="0" w:color="auto"/>
              <w:right w:val="single" w:sz="4" w:space="0" w:color="auto"/>
            </w:tcBorders>
            <w:shd w:val="clear" w:color="auto" w:fill="auto"/>
            <w:vAlign w:val="center"/>
            <w:hideMark/>
          </w:tcPr>
          <w:p w14:paraId="320E8174"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0721</w:t>
            </w:r>
          </w:p>
        </w:tc>
        <w:tc>
          <w:tcPr>
            <w:tcW w:w="2893" w:type="dxa"/>
            <w:tcBorders>
              <w:top w:val="nil"/>
              <w:left w:val="nil"/>
              <w:bottom w:val="single" w:sz="4" w:space="0" w:color="auto"/>
              <w:right w:val="single" w:sz="4" w:space="0" w:color="auto"/>
            </w:tcBorders>
            <w:shd w:val="clear" w:color="auto" w:fill="auto"/>
            <w:vAlign w:val="center"/>
            <w:hideMark/>
          </w:tcPr>
          <w:p w14:paraId="7189050C" w14:textId="77777777" w:rsidR="00322AE9" w:rsidRPr="00322AE9" w:rsidRDefault="00322AE9" w:rsidP="00322AE9">
            <w:pPr>
              <w:ind w:firstLine="0"/>
              <w:jc w:val="left"/>
              <w:rPr>
                <w:rFonts w:eastAsia="Times New Roman" w:cs="Times New Roman"/>
                <w:color w:val="000000"/>
                <w:sz w:val="20"/>
                <w:szCs w:val="20"/>
                <w:lang w:eastAsia="ru-RU"/>
              </w:rPr>
            </w:pPr>
            <w:r w:rsidRPr="00322AE9">
              <w:rPr>
                <w:rFonts w:eastAsia="Times New Roman" w:cs="Times New Roman"/>
                <w:color w:val="000000"/>
                <w:sz w:val="20"/>
                <w:szCs w:val="20"/>
                <w:lang w:eastAsia="ru-RU"/>
              </w:rPr>
              <w:t>Автоматические телефонные станции (АТС)</w:t>
            </w:r>
          </w:p>
        </w:tc>
        <w:tc>
          <w:tcPr>
            <w:tcW w:w="855" w:type="dxa"/>
            <w:tcBorders>
              <w:top w:val="nil"/>
              <w:left w:val="nil"/>
              <w:bottom w:val="single" w:sz="4" w:space="0" w:color="auto"/>
              <w:right w:val="single" w:sz="4" w:space="0" w:color="auto"/>
            </w:tcBorders>
            <w:shd w:val="clear" w:color="FFFFFF" w:fill="FFFFFF"/>
            <w:vAlign w:val="center"/>
            <w:hideMark/>
          </w:tcPr>
          <w:p w14:paraId="30938942"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 </w:t>
            </w:r>
          </w:p>
        </w:tc>
        <w:tc>
          <w:tcPr>
            <w:tcW w:w="793" w:type="dxa"/>
            <w:tcBorders>
              <w:top w:val="nil"/>
              <w:left w:val="nil"/>
              <w:bottom w:val="single" w:sz="4" w:space="0" w:color="auto"/>
              <w:right w:val="single" w:sz="4" w:space="0" w:color="auto"/>
            </w:tcBorders>
            <w:shd w:val="clear" w:color="FFFFFF" w:fill="FFFFFF"/>
            <w:vAlign w:val="center"/>
            <w:hideMark/>
          </w:tcPr>
          <w:p w14:paraId="27057209"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2,5</w:t>
            </w:r>
          </w:p>
        </w:tc>
        <w:tc>
          <w:tcPr>
            <w:tcW w:w="992" w:type="dxa"/>
            <w:tcBorders>
              <w:top w:val="nil"/>
              <w:left w:val="nil"/>
              <w:bottom w:val="single" w:sz="4" w:space="0" w:color="auto"/>
              <w:right w:val="single" w:sz="4" w:space="0" w:color="auto"/>
            </w:tcBorders>
            <w:shd w:val="clear" w:color="auto" w:fill="auto"/>
            <w:vAlign w:val="center"/>
            <w:hideMark/>
          </w:tcPr>
          <w:p w14:paraId="16F47A92"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0,3</w:t>
            </w:r>
          </w:p>
        </w:tc>
        <w:tc>
          <w:tcPr>
            <w:tcW w:w="1030" w:type="dxa"/>
            <w:tcBorders>
              <w:top w:val="nil"/>
              <w:left w:val="nil"/>
              <w:bottom w:val="single" w:sz="4" w:space="0" w:color="auto"/>
              <w:right w:val="single" w:sz="4" w:space="0" w:color="auto"/>
            </w:tcBorders>
            <w:shd w:val="clear" w:color="auto" w:fill="auto"/>
            <w:vAlign w:val="center"/>
            <w:hideMark/>
          </w:tcPr>
          <w:p w14:paraId="3C0EE877"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2,8</w:t>
            </w:r>
          </w:p>
        </w:tc>
        <w:tc>
          <w:tcPr>
            <w:tcW w:w="1096" w:type="dxa"/>
            <w:tcBorders>
              <w:top w:val="nil"/>
              <w:left w:val="nil"/>
              <w:bottom w:val="single" w:sz="4" w:space="0" w:color="auto"/>
              <w:right w:val="single" w:sz="4" w:space="0" w:color="auto"/>
            </w:tcBorders>
            <w:shd w:val="clear" w:color="auto" w:fill="auto"/>
            <w:vAlign w:val="center"/>
            <w:hideMark/>
          </w:tcPr>
          <w:p w14:paraId="22F8E444"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1,6</w:t>
            </w:r>
          </w:p>
        </w:tc>
        <w:tc>
          <w:tcPr>
            <w:tcW w:w="1149" w:type="dxa"/>
            <w:tcBorders>
              <w:top w:val="nil"/>
              <w:left w:val="nil"/>
              <w:bottom w:val="single" w:sz="4" w:space="0" w:color="auto"/>
              <w:right w:val="single" w:sz="4" w:space="0" w:color="auto"/>
            </w:tcBorders>
            <w:shd w:val="clear" w:color="auto" w:fill="auto"/>
            <w:vAlign w:val="center"/>
            <w:hideMark/>
          </w:tcPr>
          <w:p w14:paraId="4159BFAC"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2,1</w:t>
            </w:r>
          </w:p>
        </w:tc>
        <w:tc>
          <w:tcPr>
            <w:tcW w:w="1119" w:type="dxa"/>
            <w:tcBorders>
              <w:top w:val="nil"/>
              <w:left w:val="nil"/>
              <w:bottom w:val="single" w:sz="4" w:space="0" w:color="auto"/>
              <w:right w:val="single" w:sz="4" w:space="0" w:color="auto"/>
            </w:tcBorders>
            <w:shd w:val="clear" w:color="auto" w:fill="auto"/>
            <w:vAlign w:val="center"/>
            <w:hideMark/>
          </w:tcPr>
          <w:p w14:paraId="2B1B0174"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2,4</w:t>
            </w:r>
          </w:p>
        </w:tc>
        <w:tc>
          <w:tcPr>
            <w:tcW w:w="3149" w:type="dxa"/>
            <w:tcBorders>
              <w:top w:val="nil"/>
              <w:left w:val="nil"/>
              <w:bottom w:val="single" w:sz="4" w:space="0" w:color="auto"/>
              <w:right w:val="single" w:sz="4" w:space="0" w:color="auto"/>
            </w:tcBorders>
            <w:shd w:val="clear" w:color="FFFFFF" w:fill="FFFFFF"/>
            <w:hideMark/>
          </w:tcPr>
          <w:p w14:paraId="46137C0F" w14:textId="77777777" w:rsidR="00322AE9" w:rsidRPr="00322AE9" w:rsidRDefault="00322AE9" w:rsidP="00322AE9">
            <w:pPr>
              <w:ind w:firstLine="0"/>
              <w:jc w:val="left"/>
              <w:rPr>
                <w:rFonts w:eastAsia="Times New Roman" w:cs="Times New Roman"/>
                <w:color w:val="000000"/>
                <w:sz w:val="18"/>
                <w:szCs w:val="18"/>
                <w:lang w:eastAsia="ru-RU"/>
              </w:rPr>
            </w:pPr>
            <w:r w:rsidRPr="00322AE9">
              <w:rPr>
                <w:rFonts w:eastAsia="Times New Roman" w:cs="Times New Roman"/>
                <w:color w:val="000000"/>
                <w:sz w:val="18"/>
                <w:szCs w:val="18"/>
                <w:lang w:eastAsia="ru-RU"/>
              </w:rPr>
              <w:t>СП 56.13330.2011 "Производственные здания"</w:t>
            </w:r>
          </w:p>
        </w:tc>
      </w:tr>
      <w:tr w:rsidR="00322AE9" w:rsidRPr="00322AE9" w14:paraId="63C01A6F" w14:textId="77777777" w:rsidTr="00322AE9">
        <w:trPr>
          <w:trHeight w:val="480"/>
          <w:jc w:val="center"/>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17424F28"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 </w:t>
            </w:r>
          </w:p>
        </w:tc>
        <w:tc>
          <w:tcPr>
            <w:tcW w:w="816" w:type="dxa"/>
            <w:tcBorders>
              <w:top w:val="nil"/>
              <w:left w:val="nil"/>
              <w:bottom w:val="single" w:sz="4" w:space="0" w:color="auto"/>
              <w:right w:val="single" w:sz="4" w:space="0" w:color="auto"/>
            </w:tcBorders>
            <w:shd w:val="clear" w:color="auto" w:fill="auto"/>
            <w:vAlign w:val="center"/>
            <w:hideMark/>
          </w:tcPr>
          <w:p w14:paraId="65E3624F"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0722</w:t>
            </w:r>
          </w:p>
        </w:tc>
        <w:tc>
          <w:tcPr>
            <w:tcW w:w="2893" w:type="dxa"/>
            <w:tcBorders>
              <w:top w:val="nil"/>
              <w:left w:val="nil"/>
              <w:bottom w:val="single" w:sz="4" w:space="0" w:color="auto"/>
              <w:right w:val="single" w:sz="4" w:space="0" w:color="auto"/>
            </w:tcBorders>
            <w:shd w:val="clear" w:color="auto" w:fill="auto"/>
            <w:vAlign w:val="center"/>
            <w:hideMark/>
          </w:tcPr>
          <w:p w14:paraId="5F3F540D" w14:textId="77777777" w:rsidR="00322AE9" w:rsidRPr="00322AE9" w:rsidRDefault="00322AE9" w:rsidP="00322AE9">
            <w:pPr>
              <w:ind w:firstLine="0"/>
              <w:jc w:val="left"/>
              <w:rPr>
                <w:rFonts w:eastAsia="Times New Roman" w:cs="Times New Roman"/>
                <w:color w:val="000000"/>
                <w:sz w:val="20"/>
                <w:szCs w:val="20"/>
                <w:lang w:eastAsia="ru-RU"/>
              </w:rPr>
            </w:pPr>
            <w:r w:rsidRPr="00322AE9">
              <w:rPr>
                <w:rFonts w:eastAsia="Times New Roman" w:cs="Times New Roman"/>
                <w:color w:val="000000"/>
                <w:sz w:val="20"/>
                <w:szCs w:val="20"/>
                <w:lang w:eastAsia="ru-RU"/>
              </w:rPr>
              <w:t>Мастерские</w:t>
            </w:r>
          </w:p>
        </w:tc>
        <w:tc>
          <w:tcPr>
            <w:tcW w:w="855" w:type="dxa"/>
            <w:tcBorders>
              <w:top w:val="nil"/>
              <w:left w:val="nil"/>
              <w:bottom w:val="single" w:sz="4" w:space="0" w:color="auto"/>
              <w:right w:val="single" w:sz="4" w:space="0" w:color="auto"/>
            </w:tcBorders>
            <w:shd w:val="clear" w:color="FFFFFF" w:fill="FFFFFF"/>
            <w:vAlign w:val="center"/>
            <w:hideMark/>
          </w:tcPr>
          <w:p w14:paraId="1B887162"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 </w:t>
            </w:r>
          </w:p>
        </w:tc>
        <w:tc>
          <w:tcPr>
            <w:tcW w:w="793" w:type="dxa"/>
            <w:tcBorders>
              <w:top w:val="nil"/>
              <w:left w:val="nil"/>
              <w:bottom w:val="single" w:sz="4" w:space="0" w:color="auto"/>
              <w:right w:val="single" w:sz="4" w:space="0" w:color="auto"/>
            </w:tcBorders>
            <w:shd w:val="clear" w:color="FFFFFF" w:fill="FFFFFF"/>
            <w:vAlign w:val="center"/>
            <w:hideMark/>
          </w:tcPr>
          <w:p w14:paraId="5C727D57"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2,5</w:t>
            </w:r>
          </w:p>
        </w:tc>
        <w:tc>
          <w:tcPr>
            <w:tcW w:w="992" w:type="dxa"/>
            <w:tcBorders>
              <w:top w:val="nil"/>
              <w:left w:val="nil"/>
              <w:bottom w:val="single" w:sz="4" w:space="0" w:color="auto"/>
              <w:right w:val="single" w:sz="4" w:space="0" w:color="auto"/>
            </w:tcBorders>
            <w:shd w:val="clear" w:color="auto" w:fill="auto"/>
            <w:vAlign w:val="center"/>
            <w:hideMark/>
          </w:tcPr>
          <w:p w14:paraId="2F3F4A0C"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0,3</w:t>
            </w:r>
          </w:p>
        </w:tc>
        <w:tc>
          <w:tcPr>
            <w:tcW w:w="1030" w:type="dxa"/>
            <w:tcBorders>
              <w:top w:val="nil"/>
              <w:left w:val="nil"/>
              <w:bottom w:val="single" w:sz="4" w:space="0" w:color="auto"/>
              <w:right w:val="single" w:sz="4" w:space="0" w:color="auto"/>
            </w:tcBorders>
            <w:shd w:val="clear" w:color="auto" w:fill="auto"/>
            <w:vAlign w:val="center"/>
            <w:hideMark/>
          </w:tcPr>
          <w:p w14:paraId="2A08873A"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2,8</w:t>
            </w:r>
          </w:p>
        </w:tc>
        <w:tc>
          <w:tcPr>
            <w:tcW w:w="1096" w:type="dxa"/>
            <w:tcBorders>
              <w:top w:val="nil"/>
              <w:left w:val="nil"/>
              <w:bottom w:val="single" w:sz="4" w:space="0" w:color="auto"/>
              <w:right w:val="single" w:sz="4" w:space="0" w:color="auto"/>
            </w:tcBorders>
            <w:shd w:val="clear" w:color="auto" w:fill="auto"/>
            <w:vAlign w:val="center"/>
            <w:hideMark/>
          </w:tcPr>
          <w:p w14:paraId="24387FE2"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1,6</w:t>
            </w:r>
          </w:p>
        </w:tc>
        <w:tc>
          <w:tcPr>
            <w:tcW w:w="1149" w:type="dxa"/>
            <w:tcBorders>
              <w:top w:val="nil"/>
              <w:left w:val="nil"/>
              <w:bottom w:val="single" w:sz="4" w:space="0" w:color="auto"/>
              <w:right w:val="single" w:sz="4" w:space="0" w:color="auto"/>
            </w:tcBorders>
            <w:shd w:val="clear" w:color="auto" w:fill="auto"/>
            <w:vAlign w:val="center"/>
            <w:hideMark/>
          </w:tcPr>
          <w:p w14:paraId="268EC357"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2,1</w:t>
            </w:r>
          </w:p>
        </w:tc>
        <w:tc>
          <w:tcPr>
            <w:tcW w:w="1119" w:type="dxa"/>
            <w:tcBorders>
              <w:top w:val="nil"/>
              <w:left w:val="nil"/>
              <w:bottom w:val="single" w:sz="4" w:space="0" w:color="auto"/>
              <w:right w:val="single" w:sz="4" w:space="0" w:color="auto"/>
            </w:tcBorders>
            <w:shd w:val="clear" w:color="auto" w:fill="auto"/>
            <w:vAlign w:val="center"/>
            <w:hideMark/>
          </w:tcPr>
          <w:p w14:paraId="4DE8A9F6"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2,4</w:t>
            </w:r>
          </w:p>
        </w:tc>
        <w:tc>
          <w:tcPr>
            <w:tcW w:w="3149" w:type="dxa"/>
            <w:tcBorders>
              <w:top w:val="nil"/>
              <w:left w:val="nil"/>
              <w:bottom w:val="single" w:sz="4" w:space="0" w:color="auto"/>
              <w:right w:val="single" w:sz="4" w:space="0" w:color="auto"/>
            </w:tcBorders>
            <w:shd w:val="clear" w:color="FFFFFF" w:fill="FFFFFF"/>
            <w:hideMark/>
          </w:tcPr>
          <w:p w14:paraId="71CD1589" w14:textId="77777777" w:rsidR="00322AE9" w:rsidRPr="00322AE9" w:rsidRDefault="00322AE9" w:rsidP="00322AE9">
            <w:pPr>
              <w:ind w:firstLine="0"/>
              <w:jc w:val="left"/>
              <w:rPr>
                <w:rFonts w:eastAsia="Times New Roman" w:cs="Times New Roman"/>
                <w:color w:val="000000"/>
                <w:sz w:val="18"/>
                <w:szCs w:val="18"/>
                <w:lang w:eastAsia="ru-RU"/>
              </w:rPr>
            </w:pPr>
            <w:r w:rsidRPr="00322AE9">
              <w:rPr>
                <w:rFonts w:eastAsia="Times New Roman" w:cs="Times New Roman"/>
                <w:color w:val="000000"/>
                <w:sz w:val="18"/>
                <w:szCs w:val="18"/>
                <w:lang w:eastAsia="ru-RU"/>
              </w:rPr>
              <w:t>СП 44.13330.2011 "Административные и бытовые здания" п.4.3</w:t>
            </w:r>
          </w:p>
        </w:tc>
      </w:tr>
      <w:tr w:rsidR="00322AE9" w:rsidRPr="00322AE9" w14:paraId="2CB7D0F8" w14:textId="77777777" w:rsidTr="00322AE9">
        <w:trPr>
          <w:trHeight w:val="480"/>
          <w:jc w:val="center"/>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5BC3034B"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 </w:t>
            </w:r>
          </w:p>
        </w:tc>
        <w:tc>
          <w:tcPr>
            <w:tcW w:w="816" w:type="dxa"/>
            <w:tcBorders>
              <w:top w:val="nil"/>
              <w:left w:val="nil"/>
              <w:bottom w:val="single" w:sz="4" w:space="0" w:color="auto"/>
              <w:right w:val="single" w:sz="4" w:space="0" w:color="auto"/>
            </w:tcBorders>
            <w:shd w:val="clear" w:color="auto" w:fill="auto"/>
            <w:vAlign w:val="center"/>
            <w:hideMark/>
          </w:tcPr>
          <w:p w14:paraId="63622E75"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0723</w:t>
            </w:r>
          </w:p>
        </w:tc>
        <w:tc>
          <w:tcPr>
            <w:tcW w:w="2893" w:type="dxa"/>
            <w:tcBorders>
              <w:top w:val="nil"/>
              <w:left w:val="nil"/>
              <w:bottom w:val="single" w:sz="4" w:space="0" w:color="auto"/>
              <w:right w:val="single" w:sz="4" w:space="0" w:color="auto"/>
            </w:tcBorders>
            <w:shd w:val="clear" w:color="auto" w:fill="auto"/>
            <w:vAlign w:val="center"/>
            <w:hideMark/>
          </w:tcPr>
          <w:p w14:paraId="489D3304" w14:textId="77777777" w:rsidR="00322AE9" w:rsidRPr="00322AE9" w:rsidRDefault="00322AE9" w:rsidP="00322AE9">
            <w:pPr>
              <w:ind w:firstLine="0"/>
              <w:jc w:val="left"/>
              <w:rPr>
                <w:rFonts w:eastAsia="Times New Roman" w:cs="Times New Roman"/>
                <w:color w:val="000000"/>
                <w:sz w:val="20"/>
                <w:szCs w:val="20"/>
                <w:lang w:eastAsia="ru-RU"/>
              </w:rPr>
            </w:pPr>
            <w:r w:rsidRPr="00322AE9">
              <w:rPr>
                <w:rFonts w:eastAsia="Times New Roman" w:cs="Times New Roman"/>
                <w:color w:val="000000"/>
                <w:sz w:val="20"/>
                <w:szCs w:val="20"/>
                <w:lang w:eastAsia="ru-RU"/>
              </w:rPr>
              <w:t>Складские здания, кроме ангаров</w:t>
            </w:r>
          </w:p>
        </w:tc>
        <w:tc>
          <w:tcPr>
            <w:tcW w:w="855" w:type="dxa"/>
            <w:tcBorders>
              <w:top w:val="nil"/>
              <w:left w:val="nil"/>
              <w:bottom w:val="single" w:sz="4" w:space="0" w:color="auto"/>
              <w:right w:val="single" w:sz="4" w:space="0" w:color="auto"/>
            </w:tcBorders>
            <w:shd w:val="clear" w:color="auto" w:fill="auto"/>
            <w:vAlign w:val="center"/>
            <w:hideMark/>
          </w:tcPr>
          <w:p w14:paraId="51BB0B9A"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 </w:t>
            </w:r>
          </w:p>
        </w:tc>
        <w:tc>
          <w:tcPr>
            <w:tcW w:w="793" w:type="dxa"/>
            <w:tcBorders>
              <w:top w:val="nil"/>
              <w:left w:val="nil"/>
              <w:bottom w:val="single" w:sz="4" w:space="0" w:color="auto"/>
              <w:right w:val="single" w:sz="4" w:space="0" w:color="auto"/>
            </w:tcBorders>
            <w:shd w:val="clear" w:color="FFFFFF" w:fill="FFFFFF"/>
            <w:vAlign w:val="center"/>
            <w:hideMark/>
          </w:tcPr>
          <w:p w14:paraId="0FB8E30C"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4,0</w:t>
            </w:r>
          </w:p>
        </w:tc>
        <w:tc>
          <w:tcPr>
            <w:tcW w:w="992" w:type="dxa"/>
            <w:tcBorders>
              <w:top w:val="nil"/>
              <w:left w:val="nil"/>
              <w:bottom w:val="single" w:sz="4" w:space="0" w:color="auto"/>
              <w:right w:val="single" w:sz="4" w:space="0" w:color="auto"/>
            </w:tcBorders>
            <w:shd w:val="clear" w:color="FFFFFF" w:fill="FFFFFF"/>
            <w:vAlign w:val="center"/>
            <w:hideMark/>
          </w:tcPr>
          <w:p w14:paraId="42EAFD81"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0,3</w:t>
            </w:r>
          </w:p>
        </w:tc>
        <w:tc>
          <w:tcPr>
            <w:tcW w:w="1030" w:type="dxa"/>
            <w:tcBorders>
              <w:top w:val="nil"/>
              <w:left w:val="nil"/>
              <w:bottom w:val="single" w:sz="4" w:space="0" w:color="auto"/>
              <w:right w:val="single" w:sz="4" w:space="0" w:color="auto"/>
            </w:tcBorders>
            <w:shd w:val="clear" w:color="auto" w:fill="auto"/>
            <w:vAlign w:val="center"/>
            <w:hideMark/>
          </w:tcPr>
          <w:p w14:paraId="4C0C15E7"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4,3</w:t>
            </w:r>
          </w:p>
        </w:tc>
        <w:tc>
          <w:tcPr>
            <w:tcW w:w="1096" w:type="dxa"/>
            <w:tcBorders>
              <w:top w:val="nil"/>
              <w:left w:val="nil"/>
              <w:bottom w:val="single" w:sz="4" w:space="0" w:color="auto"/>
              <w:right w:val="single" w:sz="4" w:space="0" w:color="auto"/>
            </w:tcBorders>
            <w:shd w:val="clear" w:color="auto" w:fill="auto"/>
            <w:vAlign w:val="center"/>
            <w:hideMark/>
          </w:tcPr>
          <w:p w14:paraId="06B1292C"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1,6</w:t>
            </w:r>
          </w:p>
        </w:tc>
        <w:tc>
          <w:tcPr>
            <w:tcW w:w="1149" w:type="dxa"/>
            <w:tcBorders>
              <w:top w:val="nil"/>
              <w:left w:val="nil"/>
              <w:bottom w:val="single" w:sz="4" w:space="0" w:color="auto"/>
              <w:right w:val="single" w:sz="4" w:space="0" w:color="auto"/>
            </w:tcBorders>
            <w:shd w:val="clear" w:color="auto" w:fill="auto"/>
            <w:vAlign w:val="center"/>
            <w:hideMark/>
          </w:tcPr>
          <w:p w14:paraId="55851FD3"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2,1</w:t>
            </w:r>
          </w:p>
        </w:tc>
        <w:tc>
          <w:tcPr>
            <w:tcW w:w="1119" w:type="dxa"/>
            <w:tcBorders>
              <w:top w:val="nil"/>
              <w:left w:val="nil"/>
              <w:bottom w:val="single" w:sz="4" w:space="0" w:color="auto"/>
              <w:right w:val="single" w:sz="4" w:space="0" w:color="auto"/>
            </w:tcBorders>
            <w:shd w:val="clear" w:color="auto" w:fill="auto"/>
            <w:vAlign w:val="center"/>
            <w:hideMark/>
          </w:tcPr>
          <w:p w14:paraId="6F22CD3F"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2,4</w:t>
            </w:r>
          </w:p>
        </w:tc>
        <w:tc>
          <w:tcPr>
            <w:tcW w:w="3149" w:type="dxa"/>
            <w:tcBorders>
              <w:top w:val="nil"/>
              <w:left w:val="nil"/>
              <w:bottom w:val="single" w:sz="4" w:space="0" w:color="auto"/>
              <w:right w:val="single" w:sz="4" w:space="0" w:color="auto"/>
            </w:tcBorders>
            <w:shd w:val="clear" w:color="FFFFFF" w:fill="FFFFFF"/>
            <w:hideMark/>
          </w:tcPr>
          <w:p w14:paraId="2528E3CC" w14:textId="77777777" w:rsidR="00322AE9" w:rsidRPr="00322AE9" w:rsidRDefault="00322AE9" w:rsidP="00322AE9">
            <w:pPr>
              <w:ind w:firstLine="0"/>
              <w:jc w:val="left"/>
              <w:rPr>
                <w:rFonts w:eastAsia="Times New Roman" w:cs="Times New Roman"/>
                <w:color w:val="000000"/>
                <w:sz w:val="18"/>
                <w:szCs w:val="18"/>
                <w:lang w:eastAsia="ru-RU"/>
              </w:rPr>
            </w:pPr>
            <w:r w:rsidRPr="00322AE9">
              <w:rPr>
                <w:rFonts w:eastAsia="Times New Roman" w:cs="Times New Roman"/>
                <w:color w:val="000000"/>
                <w:sz w:val="18"/>
                <w:szCs w:val="18"/>
                <w:lang w:eastAsia="ru-RU"/>
              </w:rPr>
              <w:t>СП 56.13330.2011 "Производственные здания"; Классификация складских зданий</w:t>
            </w:r>
          </w:p>
        </w:tc>
      </w:tr>
      <w:tr w:rsidR="00322AE9" w:rsidRPr="00322AE9" w14:paraId="573E91DC" w14:textId="77777777" w:rsidTr="00322AE9">
        <w:trPr>
          <w:trHeight w:val="300"/>
          <w:jc w:val="center"/>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22D874FD"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 </w:t>
            </w:r>
          </w:p>
        </w:tc>
        <w:tc>
          <w:tcPr>
            <w:tcW w:w="816" w:type="dxa"/>
            <w:tcBorders>
              <w:top w:val="nil"/>
              <w:left w:val="nil"/>
              <w:bottom w:val="single" w:sz="4" w:space="0" w:color="auto"/>
              <w:right w:val="single" w:sz="4" w:space="0" w:color="auto"/>
            </w:tcBorders>
            <w:shd w:val="clear" w:color="auto" w:fill="auto"/>
            <w:vAlign w:val="center"/>
            <w:hideMark/>
          </w:tcPr>
          <w:p w14:paraId="650CDEE8"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0724</w:t>
            </w:r>
          </w:p>
        </w:tc>
        <w:tc>
          <w:tcPr>
            <w:tcW w:w="2893" w:type="dxa"/>
            <w:tcBorders>
              <w:top w:val="nil"/>
              <w:left w:val="nil"/>
              <w:bottom w:val="single" w:sz="4" w:space="0" w:color="auto"/>
              <w:right w:val="single" w:sz="4" w:space="0" w:color="auto"/>
            </w:tcBorders>
            <w:shd w:val="clear" w:color="auto" w:fill="auto"/>
            <w:vAlign w:val="center"/>
            <w:hideMark/>
          </w:tcPr>
          <w:p w14:paraId="39D051AF" w14:textId="77777777" w:rsidR="00322AE9" w:rsidRPr="00322AE9" w:rsidRDefault="00322AE9" w:rsidP="00322AE9">
            <w:pPr>
              <w:ind w:firstLine="0"/>
              <w:jc w:val="left"/>
              <w:rPr>
                <w:rFonts w:eastAsia="Times New Roman" w:cs="Times New Roman"/>
                <w:color w:val="000000"/>
                <w:sz w:val="20"/>
                <w:szCs w:val="20"/>
                <w:lang w:eastAsia="ru-RU"/>
              </w:rPr>
            </w:pPr>
            <w:r w:rsidRPr="00322AE9">
              <w:rPr>
                <w:rFonts w:eastAsia="Times New Roman" w:cs="Times New Roman"/>
                <w:color w:val="000000"/>
                <w:sz w:val="20"/>
                <w:szCs w:val="20"/>
                <w:lang w:eastAsia="ru-RU"/>
              </w:rPr>
              <w:t>Здания очистных сооружений</w:t>
            </w:r>
          </w:p>
        </w:tc>
        <w:tc>
          <w:tcPr>
            <w:tcW w:w="855" w:type="dxa"/>
            <w:tcBorders>
              <w:top w:val="nil"/>
              <w:left w:val="nil"/>
              <w:bottom w:val="single" w:sz="4" w:space="0" w:color="auto"/>
              <w:right w:val="single" w:sz="4" w:space="0" w:color="auto"/>
            </w:tcBorders>
            <w:shd w:val="clear" w:color="FFFFFF" w:fill="FFFFFF"/>
            <w:vAlign w:val="center"/>
            <w:hideMark/>
          </w:tcPr>
          <w:p w14:paraId="07DA7388"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 </w:t>
            </w:r>
          </w:p>
        </w:tc>
        <w:tc>
          <w:tcPr>
            <w:tcW w:w="793" w:type="dxa"/>
            <w:tcBorders>
              <w:top w:val="nil"/>
              <w:left w:val="nil"/>
              <w:bottom w:val="single" w:sz="4" w:space="0" w:color="auto"/>
              <w:right w:val="single" w:sz="4" w:space="0" w:color="auto"/>
            </w:tcBorders>
            <w:shd w:val="clear" w:color="FFFFFF" w:fill="FFFFFF"/>
            <w:vAlign w:val="center"/>
            <w:hideMark/>
          </w:tcPr>
          <w:p w14:paraId="628ECA6C"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3,0</w:t>
            </w:r>
          </w:p>
        </w:tc>
        <w:tc>
          <w:tcPr>
            <w:tcW w:w="992" w:type="dxa"/>
            <w:tcBorders>
              <w:top w:val="nil"/>
              <w:left w:val="nil"/>
              <w:bottom w:val="single" w:sz="4" w:space="0" w:color="auto"/>
              <w:right w:val="single" w:sz="4" w:space="0" w:color="auto"/>
            </w:tcBorders>
            <w:shd w:val="clear" w:color="auto" w:fill="auto"/>
            <w:vAlign w:val="center"/>
            <w:hideMark/>
          </w:tcPr>
          <w:p w14:paraId="1AF87CE9"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0,3</w:t>
            </w:r>
          </w:p>
        </w:tc>
        <w:tc>
          <w:tcPr>
            <w:tcW w:w="1030" w:type="dxa"/>
            <w:tcBorders>
              <w:top w:val="nil"/>
              <w:left w:val="nil"/>
              <w:bottom w:val="single" w:sz="4" w:space="0" w:color="auto"/>
              <w:right w:val="single" w:sz="4" w:space="0" w:color="auto"/>
            </w:tcBorders>
            <w:shd w:val="clear" w:color="auto" w:fill="auto"/>
            <w:vAlign w:val="center"/>
            <w:hideMark/>
          </w:tcPr>
          <w:p w14:paraId="49DCAACB"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3,3</w:t>
            </w:r>
          </w:p>
        </w:tc>
        <w:tc>
          <w:tcPr>
            <w:tcW w:w="1096" w:type="dxa"/>
            <w:tcBorders>
              <w:top w:val="nil"/>
              <w:left w:val="nil"/>
              <w:bottom w:val="single" w:sz="4" w:space="0" w:color="auto"/>
              <w:right w:val="single" w:sz="4" w:space="0" w:color="auto"/>
            </w:tcBorders>
            <w:shd w:val="clear" w:color="auto" w:fill="auto"/>
            <w:vAlign w:val="center"/>
            <w:hideMark/>
          </w:tcPr>
          <w:p w14:paraId="319117C5"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1,6</w:t>
            </w:r>
          </w:p>
        </w:tc>
        <w:tc>
          <w:tcPr>
            <w:tcW w:w="1149" w:type="dxa"/>
            <w:tcBorders>
              <w:top w:val="nil"/>
              <w:left w:val="nil"/>
              <w:bottom w:val="single" w:sz="4" w:space="0" w:color="auto"/>
              <w:right w:val="single" w:sz="4" w:space="0" w:color="auto"/>
            </w:tcBorders>
            <w:shd w:val="clear" w:color="auto" w:fill="auto"/>
            <w:vAlign w:val="center"/>
            <w:hideMark/>
          </w:tcPr>
          <w:p w14:paraId="2649BB3B"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3,0</w:t>
            </w:r>
          </w:p>
        </w:tc>
        <w:tc>
          <w:tcPr>
            <w:tcW w:w="1119" w:type="dxa"/>
            <w:tcBorders>
              <w:top w:val="nil"/>
              <w:left w:val="nil"/>
              <w:bottom w:val="single" w:sz="4" w:space="0" w:color="auto"/>
              <w:right w:val="single" w:sz="4" w:space="0" w:color="auto"/>
            </w:tcBorders>
            <w:shd w:val="clear" w:color="auto" w:fill="auto"/>
            <w:vAlign w:val="center"/>
            <w:hideMark/>
          </w:tcPr>
          <w:p w14:paraId="75A09807"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3,3</w:t>
            </w:r>
          </w:p>
        </w:tc>
        <w:tc>
          <w:tcPr>
            <w:tcW w:w="3149" w:type="dxa"/>
            <w:tcBorders>
              <w:top w:val="nil"/>
              <w:left w:val="nil"/>
              <w:bottom w:val="single" w:sz="4" w:space="0" w:color="auto"/>
              <w:right w:val="single" w:sz="4" w:space="0" w:color="auto"/>
            </w:tcBorders>
            <w:shd w:val="clear" w:color="FFFFFF" w:fill="FFFFFF"/>
            <w:hideMark/>
          </w:tcPr>
          <w:p w14:paraId="2CF53D54" w14:textId="77777777" w:rsidR="00322AE9" w:rsidRPr="00322AE9" w:rsidRDefault="00322AE9" w:rsidP="00322AE9">
            <w:pPr>
              <w:ind w:firstLine="0"/>
              <w:jc w:val="left"/>
              <w:rPr>
                <w:rFonts w:eastAsia="Times New Roman" w:cs="Times New Roman"/>
                <w:color w:val="000000"/>
                <w:sz w:val="18"/>
                <w:szCs w:val="18"/>
                <w:lang w:eastAsia="ru-RU"/>
              </w:rPr>
            </w:pPr>
            <w:r w:rsidRPr="00322AE9">
              <w:rPr>
                <w:rFonts w:eastAsia="Times New Roman" w:cs="Times New Roman"/>
                <w:color w:val="000000"/>
                <w:sz w:val="18"/>
                <w:szCs w:val="18"/>
                <w:lang w:eastAsia="ru-RU"/>
              </w:rPr>
              <w:t xml:space="preserve">СП 56.13330.2011 "Производственные здания"; </w:t>
            </w:r>
          </w:p>
        </w:tc>
      </w:tr>
      <w:tr w:rsidR="00322AE9" w:rsidRPr="00322AE9" w14:paraId="732A5685" w14:textId="77777777" w:rsidTr="00322AE9">
        <w:trPr>
          <w:trHeight w:val="300"/>
          <w:jc w:val="center"/>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166E96AA"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 </w:t>
            </w:r>
          </w:p>
        </w:tc>
        <w:tc>
          <w:tcPr>
            <w:tcW w:w="816" w:type="dxa"/>
            <w:tcBorders>
              <w:top w:val="nil"/>
              <w:left w:val="nil"/>
              <w:bottom w:val="single" w:sz="4" w:space="0" w:color="auto"/>
              <w:right w:val="single" w:sz="4" w:space="0" w:color="auto"/>
            </w:tcBorders>
            <w:shd w:val="clear" w:color="auto" w:fill="auto"/>
            <w:vAlign w:val="center"/>
            <w:hideMark/>
          </w:tcPr>
          <w:p w14:paraId="2B96C742"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0725</w:t>
            </w:r>
          </w:p>
        </w:tc>
        <w:tc>
          <w:tcPr>
            <w:tcW w:w="2893" w:type="dxa"/>
            <w:tcBorders>
              <w:top w:val="nil"/>
              <w:left w:val="nil"/>
              <w:bottom w:val="single" w:sz="4" w:space="0" w:color="auto"/>
              <w:right w:val="single" w:sz="4" w:space="0" w:color="auto"/>
            </w:tcBorders>
            <w:shd w:val="clear" w:color="auto" w:fill="auto"/>
            <w:vAlign w:val="center"/>
            <w:hideMark/>
          </w:tcPr>
          <w:p w14:paraId="5266FE1A" w14:textId="77777777" w:rsidR="00322AE9" w:rsidRPr="00322AE9" w:rsidRDefault="00322AE9" w:rsidP="00322AE9">
            <w:pPr>
              <w:ind w:firstLine="0"/>
              <w:jc w:val="left"/>
              <w:rPr>
                <w:rFonts w:eastAsia="Times New Roman" w:cs="Times New Roman"/>
                <w:color w:val="000000"/>
                <w:sz w:val="20"/>
                <w:szCs w:val="20"/>
                <w:lang w:eastAsia="ru-RU"/>
              </w:rPr>
            </w:pPr>
            <w:r w:rsidRPr="00322AE9">
              <w:rPr>
                <w:rFonts w:eastAsia="Times New Roman" w:cs="Times New Roman"/>
                <w:color w:val="000000"/>
                <w:sz w:val="20"/>
                <w:szCs w:val="20"/>
                <w:lang w:eastAsia="ru-RU"/>
              </w:rPr>
              <w:t>Весовые автомобильные</w:t>
            </w:r>
          </w:p>
        </w:tc>
        <w:tc>
          <w:tcPr>
            <w:tcW w:w="855" w:type="dxa"/>
            <w:tcBorders>
              <w:top w:val="nil"/>
              <w:left w:val="nil"/>
              <w:bottom w:val="single" w:sz="4" w:space="0" w:color="auto"/>
              <w:right w:val="single" w:sz="4" w:space="0" w:color="auto"/>
            </w:tcBorders>
            <w:shd w:val="clear" w:color="FFFFFF" w:fill="FFFFFF"/>
            <w:vAlign w:val="center"/>
            <w:hideMark/>
          </w:tcPr>
          <w:p w14:paraId="542EFE17"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 </w:t>
            </w:r>
          </w:p>
        </w:tc>
        <w:tc>
          <w:tcPr>
            <w:tcW w:w="793" w:type="dxa"/>
            <w:tcBorders>
              <w:top w:val="nil"/>
              <w:left w:val="nil"/>
              <w:bottom w:val="single" w:sz="4" w:space="0" w:color="auto"/>
              <w:right w:val="single" w:sz="4" w:space="0" w:color="auto"/>
            </w:tcBorders>
            <w:shd w:val="clear" w:color="FFFFFF" w:fill="FFFFFF"/>
            <w:vAlign w:val="center"/>
            <w:hideMark/>
          </w:tcPr>
          <w:p w14:paraId="29D69F9C"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4,2</w:t>
            </w:r>
          </w:p>
        </w:tc>
        <w:tc>
          <w:tcPr>
            <w:tcW w:w="992" w:type="dxa"/>
            <w:tcBorders>
              <w:top w:val="nil"/>
              <w:left w:val="nil"/>
              <w:bottom w:val="single" w:sz="4" w:space="0" w:color="auto"/>
              <w:right w:val="single" w:sz="4" w:space="0" w:color="auto"/>
            </w:tcBorders>
            <w:shd w:val="clear" w:color="auto" w:fill="auto"/>
            <w:vAlign w:val="center"/>
            <w:hideMark/>
          </w:tcPr>
          <w:p w14:paraId="29B5E2B0"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0,3</w:t>
            </w:r>
          </w:p>
        </w:tc>
        <w:tc>
          <w:tcPr>
            <w:tcW w:w="1030" w:type="dxa"/>
            <w:tcBorders>
              <w:top w:val="nil"/>
              <w:left w:val="nil"/>
              <w:bottom w:val="single" w:sz="4" w:space="0" w:color="auto"/>
              <w:right w:val="single" w:sz="4" w:space="0" w:color="auto"/>
            </w:tcBorders>
            <w:shd w:val="clear" w:color="auto" w:fill="auto"/>
            <w:vAlign w:val="center"/>
            <w:hideMark/>
          </w:tcPr>
          <w:p w14:paraId="41C64A90"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4,5</w:t>
            </w:r>
          </w:p>
        </w:tc>
        <w:tc>
          <w:tcPr>
            <w:tcW w:w="1096" w:type="dxa"/>
            <w:tcBorders>
              <w:top w:val="nil"/>
              <w:left w:val="nil"/>
              <w:bottom w:val="single" w:sz="4" w:space="0" w:color="auto"/>
              <w:right w:val="single" w:sz="4" w:space="0" w:color="auto"/>
            </w:tcBorders>
            <w:shd w:val="clear" w:color="auto" w:fill="auto"/>
            <w:vAlign w:val="center"/>
            <w:hideMark/>
          </w:tcPr>
          <w:p w14:paraId="6F273ADF"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1,6</w:t>
            </w:r>
          </w:p>
        </w:tc>
        <w:tc>
          <w:tcPr>
            <w:tcW w:w="1149" w:type="dxa"/>
            <w:tcBorders>
              <w:top w:val="nil"/>
              <w:left w:val="nil"/>
              <w:bottom w:val="single" w:sz="4" w:space="0" w:color="auto"/>
              <w:right w:val="single" w:sz="4" w:space="0" w:color="auto"/>
            </w:tcBorders>
            <w:shd w:val="clear" w:color="auto" w:fill="auto"/>
            <w:vAlign w:val="center"/>
            <w:hideMark/>
          </w:tcPr>
          <w:p w14:paraId="4F0A5E91"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2,1</w:t>
            </w:r>
          </w:p>
        </w:tc>
        <w:tc>
          <w:tcPr>
            <w:tcW w:w="1119" w:type="dxa"/>
            <w:tcBorders>
              <w:top w:val="nil"/>
              <w:left w:val="nil"/>
              <w:bottom w:val="single" w:sz="4" w:space="0" w:color="auto"/>
              <w:right w:val="single" w:sz="4" w:space="0" w:color="auto"/>
            </w:tcBorders>
            <w:shd w:val="clear" w:color="auto" w:fill="auto"/>
            <w:vAlign w:val="center"/>
            <w:hideMark/>
          </w:tcPr>
          <w:p w14:paraId="5BDACDB2"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2,4</w:t>
            </w:r>
          </w:p>
        </w:tc>
        <w:tc>
          <w:tcPr>
            <w:tcW w:w="3149" w:type="dxa"/>
            <w:tcBorders>
              <w:top w:val="nil"/>
              <w:left w:val="nil"/>
              <w:bottom w:val="single" w:sz="4" w:space="0" w:color="auto"/>
              <w:right w:val="single" w:sz="4" w:space="0" w:color="auto"/>
            </w:tcBorders>
            <w:shd w:val="clear" w:color="auto" w:fill="auto"/>
            <w:hideMark/>
          </w:tcPr>
          <w:p w14:paraId="74120A84" w14:textId="77777777" w:rsidR="00322AE9" w:rsidRPr="00322AE9" w:rsidRDefault="00322AE9" w:rsidP="00322AE9">
            <w:pPr>
              <w:ind w:firstLine="0"/>
              <w:jc w:val="left"/>
              <w:rPr>
                <w:rFonts w:eastAsia="Times New Roman" w:cs="Times New Roman"/>
                <w:color w:val="000000"/>
                <w:sz w:val="18"/>
                <w:szCs w:val="18"/>
                <w:lang w:eastAsia="ru-RU"/>
              </w:rPr>
            </w:pPr>
            <w:r w:rsidRPr="00322AE9">
              <w:rPr>
                <w:rFonts w:eastAsia="Times New Roman" w:cs="Times New Roman"/>
                <w:color w:val="000000"/>
                <w:sz w:val="18"/>
                <w:szCs w:val="18"/>
                <w:lang w:eastAsia="ru-RU"/>
              </w:rPr>
              <w:t>СП 56.13330.2011 "Производственные здания", п.5.4</w:t>
            </w:r>
          </w:p>
        </w:tc>
      </w:tr>
      <w:tr w:rsidR="00322AE9" w:rsidRPr="00322AE9" w14:paraId="4E439140" w14:textId="77777777" w:rsidTr="00322AE9">
        <w:trPr>
          <w:trHeight w:val="480"/>
          <w:jc w:val="center"/>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3A463429"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 </w:t>
            </w:r>
          </w:p>
        </w:tc>
        <w:tc>
          <w:tcPr>
            <w:tcW w:w="816" w:type="dxa"/>
            <w:tcBorders>
              <w:top w:val="nil"/>
              <w:left w:val="nil"/>
              <w:bottom w:val="single" w:sz="4" w:space="0" w:color="auto"/>
              <w:right w:val="single" w:sz="4" w:space="0" w:color="auto"/>
            </w:tcBorders>
            <w:shd w:val="clear" w:color="auto" w:fill="auto"/>
            <w:vAlign w:val="center"/>
            <w:hideMark/>
          </w:tcPr>
          <w:p w14:paraId="324BEEE0"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0726</w:t>
            </w:r>
          </w:p>
        </w:tc>
        <w:tc>
          <w:tcPr>
            <w:tcW w:w="2893" w:type="dxa"/>
            <w:tcBorders>
              <w:top w:val="nil"/>
              <w:left w:val="nil"/>
              <w:bottom w:val="single" w:sz="4" w:space="0" w:color="auto"/>
              <w:right w:val="single" w:sz="4" w:space="0" w:color="auto"/>
            </w:tcBorders>
            <w:shd w:val="clear" w:color="auto" w:fill="auto"/>
            <w:vAlign w:val="center"/>
            <w:hideMark/>
          </w:tcPr>
          <w:p w14:paraId="2617C305" w14:textId="77777777" w:rsidR="00322AE9" w:rsidRPr="00322AE9" w:rsidRDefault="00322AE9" w:rsidP="00322AE9">
            <w:pPr>
              <w:ind w:firstLine="0"/>
              <w:jc w:val="left"/>
              <w:rPr>
                <w:rFonts w:eastAsia="Times New Roman" w:cs="Times New Roman"/>
                <w:color w:val="000000"/>
                <w:sz w:val="20"/>
                <w:szCs w:val="20"/>
                <w:lang w:eastAsia="ru-RU"/>
              </w:rPr>
            </w:pPr>
            <w:r w:rsidRPr="00322AE9">
              <w:rPr>
                <w:rFonts w:eastAsia="Times New Roman" w:cs="Times New Roman"/>
                <w:color w:val="000000"/>
                <w:sz w:val="20"/>
                <w:szCs w:val="20"/>
                <w:lang w:eastAsia="ru-RU"/>
              </w:rPr>
              <w:t>Весовые железнодорожные</w:t>
            </w:r>
          </w:p>
        </w:tc>
        <w:tc>
          <w:tcPr>
            <w:tcW w:w="855" w:type="dxa"/>
            <w:tcBorders>
              <w:top w:val="nil"/>
              <w:left w:val="nil"/>
              <w:bottom w:val="single" w:sz="4" w:space="0" w:color="auto"/>
              <w:right w:val="single" w:sz="4" w:space="0" w:color="auto"/>
            </w:tcBorders>
            <w:shd w:val="clear" w:color="FFFFFF" w:fill="FFFFFF"/>
            <w:vAlign w:val="center"/>
            <w:hideMark/>
          </w:tcPr>
          <w:p w14:paraId="78A160C4"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 </w:t>
            </w:r>
          </w:p>
        </w:tc>
        <w:tc>
          <w:tcPr>
            <w:tcW w:w="793" w:type="dxa"/>
            <w:tcBorders>
              <w:top w:val="nil"/>
              <w:left w:val="nil"/>
              <w:bottom w:val="single" w:sz="4" w:space="0" w:color="auto"/>
              <w:right w:val="single" w:sz="4" w:space="0" w:color="auto"/>
            </w:tcBorders>
            <w:shd w:val="clear" w:color="FFFFFF" w:fill="FFFFFF"/>
            <w:vAlign w:val="center"/>
            <w:hideMark/>
          </w:tcPr>
          <w:p w14:paraId="620A4A1E"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5,0</w:t>
            </w:r>
          </w:p>
        </w:tc>
        <w:tc>
          <w:tcPr>
            <w:tcW w:w="992" w:type="dxa"/>
            <w:tcBorders>
              <w:top w:val="nil"/>
              <w:left w:val="nil"/>
              <w:bottom w:val="single" w:sz="4" w:space="0" w:color="auto"/>
              <w:right w:val="single" w:sz="4" w:space="0" w:color="auto"/>
            </w:tcBorders>
            <w:shd w:val="clear" w:color="auto" w:fill="auto"/>
            <w:vAlign w:val="center"/>
            <w:hideMark/>
          </w:tcPr>
          <w:p w14:paraId="3FCA581C"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0,3</w:t>
            </w:r>
          </w:p>
        </w:tc>
        <w:tc>
          <w:tcPr>
            <w:tcW w:w="1030" w:type="dxa"/>
            <w:tcBorders>
              <w:top w:val="nil"/>
              <w:left w:val="nil"/>
              <w:bottom w:val="single" w:sz="4" w:space="0" w:color="auto"/>
              <w:right w:val="single" w:sz="4" w:space="0" w:color="auto"/>
            </w:tcBorders>
            <w:shd w:val="clear" w:color="auto" w:fill="auto"/>
            <w:vAlign w:val="center"/>
            <w:hideMark/>
          </w:tcPr>
          <w:p w14:paraId="50A303A3"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5,3</w:t>
            </w:r>
          </w:p>
        </w:tc>
        <w:tc>
          <w:tcPr>
            <w:tcW w:w="1096" w:type="dxa"/>
            <w:tcBorders>
              <w:top w:val="nil"/>
              <w:left w:val="nil"/>
              <w:bottom w:val="single" w:sz="4" w:space="0" w:color="auto"/>
              <w:right w:val="single" w:sz="4" w:space="0" w:color="auto"/>
            </w:tcBorders>
            <w:shd w:val="clear" w:color="auto" w:fill="auto"/>
            <w:vAlign w:val="center"/>
            <w:hideMark/>
          </w:tcPr>
          <w:p w14:paraId="18CF5969"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1,6</w:t>
            </w:r>
          </w:p>
        </w:tc>
        <w:tc>
          <w:tcPr>
            <w:tcW w:w="1149" w:type="dxa"/>
            <w:tcBorders>
              <w:top w:val="nil"/>
              <w:left w:val="nil"/>
              <w:bottom w:val="single" w:sz="4" w:space="0" w:color="auto"/>
              <w:right w:val="single" w:sz="4" w:space="0" w:color="auto"/>
            </w:tcBorders>
            <w:shd w:val="clear" w:color="auto" w:fill="auto"/>
            <w:vAlign w:val="center"/>
            <w:hideMark/>
          </w:tcPr>
          <w:p w14:paraId="65A5D8C6"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2,1</w:t>
            </w:r>
          </w:p>
        </w:tc>
        <w:tc>
          <w:tcPr>
            <w:tcW w:w="1119" w:type="dxa"/>
            <w:tcBorders>
              <w:top w:val="nil"/>
              <w:left w:val="nil"/>
              <w:bottom w:val="single" w:sz="4" w:space="0" w:color="auto"/>
              <w:right w:val="single" w:sz="4" w:space="0" w:color="auto"/>
            </w:tcBorders>
            <w:shd w:val="clear" w:color="auto" w:fill="auto"/>
            <w:vAlign w:val="center"/>
            <w:hideMark/>
          </w:tcPr>
          <w:p w14:paraId="267A16A6"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2,4</w:t>
            </w:r>
          </w:p>
        </w:tc>
        <w:tc>
          <w:tcPr>
            <w:tcW w:w="3149" w:type="dxa"/>
            <w:tcBorders>
              <w:top w:val="nil"/>
              <w:left w:val="nil"/>
              <w:bottom w:val="single" w:sz="4" w:space="0" w:color="auto"/>
              <w:right w:val="single" w:sz="4" w:space="0" w:color="auto"/>
            </w:tcBorders>
            <w:shd w:val="clear" w:color="auto" w:fill="auto"/>
            <w:hideMark/>
          </w:tcPr>
          <w:p w14:paraId="34C3954E" w14:textId="77777777" w:rsidR="00322AE9" w:rsidRPr="00322AE9" w:rsidRDefault="00322AE9" w:rsidP="00322AE9">
            <w:pPr>
              <w:ind w:firstLine="0"/>
              <w:jc w:val="left"/>
              <w:rPr>
                <w:rFonts w:eastAsia="Times New Roman" w:cs="Times New Roman"/>
                <w:color w:val="000000"/>
                <w:sz w:val="18"/>
                <w:szCs w:val="18"/>
                <w:lang w:eastAsia="ru-RU"/>
              </w:rPr>
            </w:pPr>
            <w:r w:rsidRPr="00322AE9">
              <w:rPr>
                <w:rFonts w:eastAsia="Times New Roman" w:cs="Times New Roman"/>
                <w:color w:val="000000"/>
                <w:sz w:val="18"/>
                <w:szCs w:val="18"/>
                <w:lang w:eastAsia="ru-RU"/>
              </w:rPr>
              <w:t>СП 120.13330.2012 "Метрополитены",  п.5.15.1.8, п.5.15.1.11, табл.5.28</w:t>
            </w:r>
          </w:p>
        </w:tc>
      </w:tr>
      <w:tr w:rsidR="00322AE9" w:rsidRPr="00322AE9" w14:paraId="585588D3" w14:textId="77777777" w:rsidTr="00322AE9">
        <w:trPr>
          <w:trHeight w:val="300"/>
          <w:jc w:val="center"/>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11281BC5"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 </w:t>
            </w:r>
          </w:p>
        </w:tc>
        <w:tc>
          <w:tcPr>
            <w:tcW w:w="816" w:type="dxa"/>
            <w:tcBorders>
              <w:top w:val="nil"/>
              <w:left w:val="nil"/>
              <w:bottom w:val="single" w:sz="4" w:space="0" w:color="auto"/>
              <w:right w:val="single" w:sz="4" w:space="0" w:color="auto"/>
            </w:tcBorders>
            <w:shd w:val="clear" w:color="auto" w:fill="auto"/>
            <w:vAlign w:val="center"/>
            <w:hideMark/>
          </w:tcPr>
          <w:p w14:paraId="4ABE0E09"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0727</w:t>
            </w:r>
          </w:p>
        </w:tc>
        <w:tc>
          <w:tcPr>
            <w:tcW w:w="2893" w:type="dxa"/>
            <w:tcBorders>
              <w:top w:val="nil"/>
              <w:left w:val="nil"/>
              <w:bottom w:val="single" w:sz="4" w:space="0" w:color="auto"/>
              <w:right w:val="single" w:sz="4" w:space="0" w:color="auto"/>
            </w:tcBorders>
            <w:shd w:val="clear" w:color="auto" w:fill="auto"/>
            <w:vAlign w:val="center"/>
            <w:hideMark/>
          </w:tcPr>
          <w:p w14:paraId="782D5552" w14:textId="77777777" w:rsidR="00322AE9" w:rsidRPr="00322AE9" w:rsidRDefault="00322AE9" w:rsidP="00322AE9">
            <w:pPr>
              <w:ind w:firstLine="0"/>
              <w:jc w:val="left"/>
              <w:rPr>
                <w:rFonts w:eastAsia="Times New Roman" w:cs="Times New Roman"/>
                <w:color w:val="000000"/>
                <w:sz w:val="20"/>
                <w:szCs w:val="20"/>
                <w:lang w:eastAsia="ru-RU"/>
              </w:rPr>
            </w:pPr>
            <w:r w:rsidRPr="00322AE9">
              <w:rPr>
                <w:rFonts w:eastAsia="Times New Roman" w:cs="Times New Roman"/>
                <w:color w:val="000000"/>
                <w:sz w:val="20"/>
                <w:szCs w:val="20"/>
                <w:lang w:eastAsia="ru-RU"/>
              </w:rPr>
              <w:t>Здания ангарного типа</w:t>
            </w:r>
          </w:p>
        </w:tc>
        <w:tc>
          <w:tcPr>
            <w:tcW w:w="855" w:type="dxa"/>
            <w:tcBorders>
              <w:top w:val="nil"/>
              <w:left w:val="nil"/>
              <w:bottom w:val="single" w:sz="4" w:space="0" w:color="auto"/>
              <w:right w:val="single" w:sz="4" w:space="0" w:color="auto"/>
            </w:tcBorders>
            <w:shd w:val="clear" w:color="FFFFFF" w:fill="FFFFFF"/>
            <w:vAlign w:val="center"/>
            <w:hideMark/>
          </w:tcPr>
          <w:p w14:paraId="7E2F13C3"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 </w:t>
            </w:r>
          </w:p>
        </w:tc>
        <w:tc>
          <w:tcPr>
            <w:tcW w:w="793" w:type="dxa"/>
            <w:tcBorders>
              <w:top w:val="nil"/>
              <w:left w:val="nil"/>
              <w:bottom w:val="single" w:sz="4" w:space="0" w:color="auto"/>
              <w:right w:val="single" w:sz="4" w:space="0" w:color="auto"/>
            </w:tcBorders>
            <w:shd w:val="clear" w:color="auto" w:fill="auto"/>
            <w:vAlign w:val="center"/>
            <w:hideMark/>
          </w:tcPr>
          <w:p w14:paraId="6F160C1C"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3,0</w:t>
            </w:r>
          </w:p>
        </w:tc>
        <w:tc>
          <w:tcPr>
            <w:tcW w:w="992" w:type="dxa"/>
            <w:tcBorders>
              <w:top w:val="nil"/>
              <w:left w:val="nil"/>
              <w:bottom w:val="single" w:sz="4" w:space="0" w:color="auto"/>
              <w:right w:val="single" w:sz="4" w:space="0" w:color="auto"/>
            </w:tcBorders>
            <w:shd w:val="clear" w:color="auto" w:fill="auto"/>
            <w:vAlign w:val="center"/>
            <w:hideMark/>
          </w:tcPr>
          <w:p w14:paraId="3BDB7A25"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0,3</w:t>
            </w:r>
          </w:p>
        </w:tc>
        <w:tc>
          <w:tcPr>
            <w:tcW w:w="1030" w:type="dxa"/>
            <w:tcBorders>
              <w:top w:val="nil"/>
              <w:left w:val="nil"/>
              <w:bottom w:val="single" w:sz="4" w:space="0" w:color="auto"/>
              <w:right w:val="single" w:sz="4" w:space="0" w:color="auto"/>
            </w:tcBorders>
            <w:shd w:val="clear" w:color="auto" w:fill="auto"/>
            <w:vAlign w:val="center"/>
            <w:hideMark/>
          </w:tcPr>
          <w:p w14:paraId="6DE9AD8A"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3,3</w:t>
            </w:r>
          </w:p>
        </w:tc>
        <w:tc>
          <w:tcPr>
            <w:tcW w:w="1096" w:type="dxa"/>
            <w:tcBorders>
              <w:top w:val="nil"/>
              <w:left w:val="nil"/>
              <w:bottom w:val="single" w:sz="4" w:space="0" w:color="auto"/>
              <w:right w:val="single" w:sz="4" w:space="0" w:color="auto"/>
            </w:tcBorders>
            <w:shd w:val="clear" w:color="auto" w:fill="auto"/>
            <w:vAlign w:val="center"/>
            <w:hideMark/>
          </w:tcPr>
          <w:p w14:paraId="38B367A4"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1,6</w:t>
            </w:r>
          </w:p>
        </w:tc>
        <w:tc>
          <w:tcPr>
            <w:tcW w:w="1149" w:type="dxa"/>
            <w:tcBorders>
              <w:top w:val="nil"/>
              <w:left w:val="nil"/>
              <w:bottom w:val="single" w:sz="4" w:space="0" w:color="auto"/>
              <w:right w:val="single" w:sz="4" w:space="0" w:color="auto"/>
            </w:tcBorders>
            <w:shd w:val="clear" w:color="auto" w:fill="auto"/>
            <w:vAlign w:val="center"/>
            <w:hideMark/>
          </w:tcPr>
          <w:p w14:paraId="559BD69E"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2,1</w:t>
            </w:r>
          </w:p>
        </w:tc>
        <w:tc>
          <w:tcPr>
            <w:tcW w:w="1119" w:type="dxa"/>
            <w:tcBorders>
              <w:top w:val="nil"/>
              <w:left w:val="nil"/>
              <w:bottom w:val="single" w:sz="4" w:space="0" w:color="auto"/>
              <w:right w:val="single" w:sz="4" w:space="0" w:color="auto"/>
            </w:tcBorders>
            <w:shd w:val="clear" w:color="auto" w:fill="auto"/>
            <w:vAlign w:val="center"/>
            <w:hideMark/>
          </w:tcPr>
          <w:p w14:paraId="568555A5"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2,4</w:t>
            </w:r>
          </w:p>
        </w:tc>
        <w:tc>
          <w:tcPr>
            <w:tcW w:w="3149" w:type="dxa"/>
            <w:tcBorders>
              <w:top w:val="nil"/>
              <w:left w:val="nil"/>
              <w:bottom w:val="single" w:sz="4" w:space="0" w:color="auto"/>
              <w:right w:val="single" w:sz="4" w:space="0" w:color="auto"/>
            </w:tcBorders>
            <w:shd w:val="clear" w:color="auto" w:fill="auto"/>
            <w:hideMark/>
          </w:tcPr>
          <w:p w14:paraId="54338A82" w14:textId="77777777" w:rsidR="00322AE9" w:rsidRPr="00322AE9" w:rsidRDefault="00322AE9" w:rsidP="00322AE9">
            <w:pPr>
              <w:ind w:firstLine="0"/>
              <w:jc w:val="left"/>
              <w:rPr>
                <w:rFonts w:eastAsia="Times New Roman" w:cs="Times New Roman"/>
                <w:color w:val="000000"/>
                <w:sz w:val="18"/>
                <w:szCs w:val="18"/>
                <w:lang w:eastAsia="ru-RU"/>
              </w:rPr>
            </w:pPr>
            <w:r w:rsidRPr="00322AE9">
              <w:rPr>
                <w:rFonts w:eastAsia="Times New Roman" w:cs="Times New Roman"/>
                <w:color w:val="000000"/>
                <w:sz w:val="18"/>
                <w:szCs w:val="18"/>
                <w:lang w:eastAsia="ru-RU"/>
              </w:rPr>
              <w:t>Классификация складских зданий</w:t>
            </w:r>
          </w:p>
        </w:tc>
      </w:tr>
      <w:tr w:rsidR="00322AE9" w:rsidRPr="00322AE9" w14:paraId="2310D0A8" w14:textId="77777777" w:rsidTr="00322AE9">
        <w:trPr>
          <w:trHeight w:val="300"/>
          <w:jc w:val="center"/>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646EDA32"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 </w:t>
            </w:r>
          </w:p>
        </w:tc>
        <w:tc>
          <w:tcPr>
            <w:tcW w:w="816" w:type="dxa"/>
            <w:tcBorders>
              <w:top w:val="nil"/>
              <w:left w:val="nil"/>
              <w:bottom w:val="single" w:sz="4" w:space="0" w:color="auto"/>
              <w:right w:val="single" w:sz="4" w:space="0" w:color="auto"/>
            </w:tcBorders>
            <w:shd w:val="clear" w:color="auto" w:fill="auto"/>
            <w:vAlign w:val="center"/>
            <w:hideMark/>
          </w:tcPr>
          <w:p w14:paraId="0BB59E50"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0728</w:t>
            </w:r>
          </w:p>
        </w:tc>
        <w:tc>
          <w:tcPr>
            <w:tcW w:w="2893" w:type="dxa"/>
            <w:tcBorders>
              <w:top w:val="nil"/>
              <w:left w:val="nil"/>
              <w:bottom w:val="single" w:sz="4" w:space="0" w:color="auto"/>
              <w:right w:val="single" w:sz="4" w:space="0" w:color="auto"/>
            </w:tcBorders>
            <w:shd w:val="clear" w:color="auto" w:fill="auto"/>
            <w:vAlign w:val="center"/>
            <w:hideMark/>
          </w:tcPr>
          <w:p w14:paraId="518716FD" w14:textId="77777777" w:rsidR="00322AE9" w:rsidRPr="00322AE9" w:rsidRDefault="00322AE9" w:rsidP="00322AE9">
            <w:pPr>
              <w:ind w:firstLine="0"/>
              <w:jc w:val="left"/>
              <w:rPr>
                <w:rFonts w:eastAsia="Times New Roman" w:cs="Times New Roman"/>
                <w:color w:val="000000"/>
                <w:sz w:val="20"/>
                <w:szCs w:val="20"/>
                <w:lang w:eastAsia="ru-RU"/>
              </w:rPr>
            </w:pPr>
            <w:r w:rsidRPr="00322AE9">
              <w:rPr>
                <w:rFonts w:eastAsia="Times New Roman" w:cs="Times New Roman"/>
                <w:color w:val="000000"/>
                <w:sz w:val="20"/>
                <w:szCs w:val="20"/>
                <w:lang w:eastAsia="ru-RU"/>
              </w:rPr>
              <w:t>Холодильники, ледники</w:t>
            </w:r>
          </w:p>
        </w:tc>
        <w:tc>
          <w:tcPr>
            <w:tcW w:w="855" w:type="dxa"/>
            <w:tcBorders>
              <w:top w:val="nil"/>
              <w:left w:val="nil"/>
              <w:bottom w:val="single" w:sz="4" w:space="0" w:color="auto"/>
              <w:right w:val="single" w:sz="4" w:space="0" w:color="auto"/>
            </w:tcBorders>
            <w:shd w:val="clear" w:color="FFFFFF" w:fill="FFFFFF"/>
            <w:vAlign w:val="center"/>
            <w:hideMark/>
          </w:tcPr>
          <w:p w14:paraId="4689BD07"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 </w:t>
            </w:r>
          </w:p>
        </w:tc>
        <w:tc>
          <w:tcPr>
            <w:tcW w:w="793" w:type="dxa"/>
            <w:tcBorders>
              <w:top w:val="nil"/>
              <w:left w:val="nil"/>
              <w:bottom w:val="single" w:sz="4" w:space="0" w:color="auto"/>
              <w:right w:val="single" w:sz="4" w:space="0" w:color="auto"/>
            </w:tcBorders>
            <w:shd w:val="clear" w:color="auto" w:fill="auto"/>
            <w:vAlign w:val="center"/>
            <w:hideMark/>
          </w:tcPr>
          <w:p w14:paraId="2D259C92"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4,2</w:t>
            </w:r>
          </w:p>
        </w:tc>
        <w:tc>
          <w:tcPr>
            <w:tcW w:w="992" w:type="dxa"/>
            <w:tcBorders>
              <w:top w:val="nil"/>
              <w:left w:val="nil"/>
              <w:bottom w:val="single" w:sz="4" w:space="0" w:color="auto"/>
              <w:right w:val="single" w:sz="4" w:space="0" w:color="auto"/>
            </w:tcBorders>
            <w:shd w:val="clear" w:color="auto" w:fill="auto"/>
            <w:vAlign w:val="center"/>
            <w:hideMark/>
          </w:tcPr>
          <w:p w14:paraId="16F45D84"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0,3</w:t>
            </w:r>
          </w:p>
        </w:tc>
        <w:tc>
          <w:tcPr>
            <w:tcW w:w="1030" w:type="dxa"/>
            <w:tcBorders>
              <w:top w:val="nil"/>
              <w:left w:val="nil"/>
              <w:bottom w:val="single" w:sz="4" w:space="0" w:color="auto"/>
              <w:right w:val="single" w:sz="4" w:space="0" w:color="auto"/>
            </w:tcBorders>
            <w:shd w:val="clear" w:color="auto" w:fill="auto"/>
            <w:vAlign w:val="center"/>
            <w:hideMark/>
          </w:tcPr>
          <w:p w14:paraId="37B44794"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4,5</w:t>
            </w:r>
          </w:p>
        </w:tc>
        <w:tc>
          <w:tcPr>
            <w:tcW w:w="1096" w:type="dxa"/>
            <w:tcBorders>
              <w:top w:val="nil"/>
              <w:left w:val="nil"/>
              <w:bottom w:val="single" w:sz="4" w:space="0" w:color="auto"/>
              <w:right w:val="single" w:sz="4" w:space="0" w:color="auto"/>
            </w:tcBorders>
            <w:shd w:val="clear" w:color="auto" w:fill="auto"/>
            <w:vAlign w:val="center"/>
            <w:hideMark/>
          </w:tcPr>
          <w:p w14:paraId="1A2ABC34"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1,6</w:t>
            </w:r>
          </w:p>
        </w:tc>
        <w:tc>
          <w:tcPr>
            <w:tcW w:w="1149" w:type="dxa"/>
            <w:tcBorders>
              <w:top w:val="nil"/>
              <w:left w:val="nil"/>
              <w:bottom w:val="single" w:sz="4" w:space="0" w:color="auto"/>
              <w:right w:val="single" w:sz="4" w:space="0" w:color="auto"/>
            </w:tcBorders>
            <w:shd w:val="clear" w:color="auto" w:fill="auto"/>
            <w:vAlign w:val="center"/>
            <w:hideMark/>
          </w:tcPr>
          <w:p w14:paraId="7482DCA5"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2,1</w:t>
            </w:r>
          </w:p>
        </w:tc>
        <w:tc>
          <w:tcPr>
            <w:tcW w:w="1119" w:type="dxa"/>
            <w:tcBorders>
              <w:top w:val="nil"/>
              <w:left w:val="nil"/>
              <w:bottom w:val="single" w:sz="4" w:space="0" w:color="auto"/>
              <w:right w:val="single" w:sz="4" w:space="0" w:color="auto"/>
            </w:tcBorders>
            <w:shd w:val="clear" w:color="auto" w:fill="auto"/>
            <w:vAlign w:val="center"/>
            <w:hideMark/>
          </w:tcPr>
          <w:p w14:paraId="5B57AA43"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2,4</w:t>
            </w:r>
          </w:p>
        </w:tc>
        <w:tc>
          <w:tcPr>
            <w:tcW w:w="3149" w:type="dxa"/>
            <w:tcBorders>
              <w:top w:val="nil"/>
              <w:left w:val="nil"/>
              <w:bottom w:val="single" w:sz="4" w:space="0" w:color="auto"/>
              <w:right w:val="single" w:sz="4" w:space="0" w:color="auto"/>
            </w:tcBorders>
            <w:shd w:val="clear" w:color="auto" w:fill="auto"/>
            <w:hideMark/>
          </w:tcPr>
          <w:p w14:paraId="4D2BC426" w14:textId="77777777" w:rsidR="00322AE9" w:rsidRPr="00322AE9" w:rsidRDefault="00322AE9" w:rsidP="00322AE9">
            <w:pPr>
              <w:ind w:firstLine="0"/>
              <w:jc w:val="left"/>
              <w:rPr>
                <w:rFonts w:eastAsia="Times New Roman" w:cs="Times New Roman"/>
                <w:color w:val="000000"/>
                <w:sz w:val="18"/>
                <w:szCs w:val="18"/>
                <w:lang w:eastAsia="ru-RU"/>
              </w:rPr>
            </w:pPr>
            <w:r w:rsidRPr="00322AE9">
              <w:rPr>
                <w:rFonts w:eastAsia="Times New Roman" w:cs="Times New Roman"/>
                <w:color w:val="000000"/>
                <w:sz w:val="18"/>
                <w:szCs w:val="18"/>
                <w:lang w:eastAsia="ru-RU"/>
              </w:rPr>
              <w:t> </w:t>
            </w:r>
          </w:p>
        </w:tc>
      </w:tr>
      <w:tr w:rsidR="00322AE9" w:rsidRPr="00322AE9" w14:paraId="22AD4951" w14:textId="77777777" w:rsidTr="00322AE9">
        <w:trPr>
          <w:trHeight w:val="300"/>
          <w:jc w:val="center"/>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57217141"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 </w:t>
            </w:r>
          </w:p>
        </w:tc>
        <w:tc>
          <w:tcPr>
            <w:tcW w:w="816" w:type="dxa"/>
            <w:tcBorders>
              <w:top w:val="nil"/>
              <w:left w:val="nil"/>
              <w:bottom w:val="single" w:sz="4" w:space="0" w:color="auto"/>
              <w:right w:val="single" w:sz="4" w:space="0" w:color="auto"/>
            </w:tcBorders>
            <w:shd w:val="clear" w:color="auto" w:fill="auto"/>
            <w:vAlign w:val="center"/>
            <w:hideMark/>
          </w:tcPr>
          <w:p w14:paraId="3902BB9B"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0729</w:t>
            </w:r>
          </w:p>
        </w:tc>
        <w:tc>
          <w:tcPr>
            <w:tcW w:w="2893" w:type="dxa"/>
            <w:tcBorders>
              <w:top w:val="nil"/>
              <w:left w:val="nil"/>
              <w:bottom w:val="single" w:sz="4" w:space="0" w:color="auto"/>
              <w:right w:val="single" w:sz="4" w:space="0" w:color="auto"/>
            </w:tcBorders>
            <w:shd w:val="clear" w:color="auto" w:fill="auto"/>
            <w:vAlign w:val="center"/>
            <w:hideMark/>
          </w:tcPr>
          <w:p w14:paraId="38E3FFDA" w14:textId="77777777" w:rsidR="00322AE9" w:rsidRPr="00322AE9" w:rsidRDefault="00322AE9" w:rsidP="00322AE9">
            <w:pPr>
              <w:ind w:firstLine="0"/>
              <w:jc w:val="left"/>
              <w:rPr>
                <w:rFonts w:eastAsia="Times New Roman" w:cs="Times New Roman"/>
                <w:color w:val="000000"/>
                <w:sz w:val="20"/>
                <w:szCs w:val="20"/>
                <w:lang w:eastAsia="ru-RU"/>
              </w:rPr>
            </w:pPr>
            <w:r w:rsidRPr="00322AE9">
              <w:rPr>
                <w:rFonts w:eastAsia="Times New Roman" w:cs="Times New Roman"/>
                <w:color w:val="000000"/>
                <w:sz w:val="20"/>
                <w:szCs w:val="20"/>
                <w:lang w:eastAsia="ru-RU"/>
              </w:rPr>
              <w:t>Здания гидросооружений (водонапорные башни)</w:t>
            </w:r>
          </w:p>
        </w:tc>
        <w:tc>
          <w:tcPr>
            <w:tcW w:w="855" w:type="dxa"/>
            <w:tcBorders>
              <w:top w:val="nil"/>
              <w:left w:val="nil"/>
              <w:bottom w:val="single" w:sz="4" w:space="0" w:color="auto"/>
              <w:right w:val="single" w:sz="4" w:space="0" w:color="auto"/>
            </w:tcBorders>
            <w:shd w:val="clear" w:color="FFFFFF" w:fill="FFFFFF"/>
            <w:vAlign w:val="center"/>
            <w:hideMark/>
          </w:tcPr>
          <w:p w14:paraId="1DDB202B"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 </w:t>
            </w:r>
          </w:p>
        </w:tc>
        <w:tc>
          <w:tcPr>
            <w:tcW w:w="793" w:type="dxa"/>
            <w:tcBorders>
              <w:top w:val="nil"/>
              <w:left w:val="nil"/>
              <w:bottom w:val="single" w:sz="4" w:space="0" w:color="auto"/>
              <w:right w:val="single" w:sz="4" w:space="0" w:color="auto"/>
            </w:tcBorders>
            <w:shd w:val="clear" w:color="auto" w:fill="auto"/>
            <w:vAlign w:val="center"/>
            <w:hideMark/>
          </w:tcPr>
          <w:p w14:paraId="7A6DE084"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4,0</w:t>
            </w:r>
          </w:p>
        </w:tc>
        <w:tc>
          <w:tcPr>
            <w:tcW w:w="992" w:type="dxa"/>
            <w:tcBorders>
              <w:top w:val="nil"/>
              <w:left w:val="nil"/>
              <w:bottom w:val="single" w:sz="4" w:space="0" w:color="auto"/>
              <w:right w:val="single" w:sz="4" w:space="0" w:color="auto"/>
            </w:tcBorders>
            <w:shd w:val="clear" w:color="auto" w:fill="auto"/>
            <w:vAlign w:val="center"/>
            <w:hideMark/>
          </w:tcPr>
          <w:p w14:paraId="644B326B"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0,3</w:t>
            </w:r>
          </w:p>
        </w:tc>
        <w:tc>
          <w:tcPr>
            <w:tcW w:w="1030" w:type="dxa"/>
            <w:tcBorders>
              <w:top w:val="nil"/>
              <w:left w:val="nil"/>
              <w:bottom w:val="single" w:sz="4" w:space="0" w:color="auto"/>
              <w:right w:val="single" w:sz="4" w:space="0" w:color="auto"/>
            </w:tcBorders>
            <w:shd w:val="clear" w:color="auto" w:fill="auto"/>
            <w:vAlign w:val="center"/>
            <w:hideMark/>
          </w:tcPr>
          <w:p w14:paraId="33DA267D"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4,3</w:t>
            </w:r>
          </w:p>
        </w:tc>
        <w:tc>
          <w:tcPr>
            <w:tcW w:w="1096" w:type="dxa"/>
            <w:tcBorders>
              <w:top w:val="nil"/>
              <w:left w:val="nil"/>
              <w:bottom w:val="single" w:sz="4" w:space="0" w:color="auto"/>
              <w:right w:val="single" w:sz="4" w:space="0" w:color="auto"/>
            </w:tcBorders>
            <w:shd w:val="clear" w:color="auto" w:fill="auto"/>
            <w:vAlign w:val="center"/>
            <w:hideMark/>
          </w:tcPr>
          <w:p w14:paraId="5303474D"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1,6</w:t>
            </w:r>
          </w:p>
        </w:tc>
        <w:tc>
          <w:tcPr>
            <w:tcW w:w="1149" w:type="dxa"/>
            <w:tcBorders>
              <w:top w:val="nil"/>
              <w:left w:val="nil"/>
              <w:bottom w:val="single" w:sz="4" w:space="0" w:color="auto"/>
              <w:right w:val="single" w:sz="4" w:space="0" w:color="auto"/>
            </w:tcBorders>
            <w:shd w:val="clear" w:color="auto" w:fill="auto"/>
            <w:vAlign w:val="center"/>
            <w:hideMark/>
          </w:tcPr>
          <w:p w14:paraId="3FD33029"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2,1</w:t>
            </w:r>
          </w:p>
        </w:tc>
        <w:tc>
          <w:tcPr>
            <w:tcW w:w="1119" w:type="dxa"/>
            <w:tcBorders>
              <w:top w:val="nil"/>
              <w:left w:val="nil"/>
              <w:bottom w:val="single" w:sz="4" w:space="0" w:color="auto"/>
              <w:right w:val="single" w:sz="4" w:space="0" w:color="auto"/>
            </w:tcBorders>
            <w:shd w:val="clear" w:color="auto" w:fill="auto"/>
            <w:vAlign w:val="center"/>
            <w:hideMark/>
          </w:tcPr>
          <w:p w14:paraId="23EB70E9"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2,4</w:t>
            </w:r>
          </w:p>
        </w:tc>
        <w:tc>
          <w:tcPr>
            <w:tcW w:w="3149" w:type="dxa"/>
            <w:tcBorders>
              <w:top w:val="nil"/>
              <w:left w:val="nil"/>
              <w:bottom w:val="single" w:sz="4" w:space="0" w:color="auto"/>
              <w:right w:val="single" w:sz="4" w:space="0" w:color="auto"/>
            </w:tcBorders>
            <w:shd w:val="clear" w:color="FFFFFF" w:fill="FFFFFF"/>
            <w:hideMark/>
          </w:tcPr>
          <w:p w14:paraId="1A575039" w14:textId="77777777" w:rsidR="00322AE9" w:rsidRPr="00322AE9" w:rsidRDefault="00322AE9" w:rsidP="00322AE9">
            <w:pPr>
              <w:ind w:firstLine="0"/>
              <w:jc w:val="left"/>
              <w:rPr>
                <w:rFonts w:eastAsia="Times New Roman" w:cs="Times New Roman"/>
                <w:color w:val="000000"/>
                <w:sz w:val="18"/>
                <w:szCs w:val="18"/>
                <w:lang w:eastAsia="ru-RU"/>
              </w:rPr>
            </w:pPr>
            <w:r w:rsidRPr="00322AE9">
              <w:rPr>
                <w:rFonts w:eastAsia="Times New Roman" w:cs="Times New Roman"/>
                <w:color w:val="000000"/>
                <w:sz w:val="18"/>
                <w:szCs w:val="18"/>
                <w:lang w:eastAsia="ru-RU"/>
              </w:rPr>
              <w:t>СП 56.13330.2011 "Производственные здания"</w:t>
            </w:r>
          </w:p>
        </w:tc>
      </w:tr>
      <w:tr w:rsidR="00322AE9" w:rsidRPr="00322AE9" w14:paraId="333C2391" w14:textId="77777777" w:rsidTr="00322AE9">
        <w:trPr>
          <w:trHeight w:val="960"/>
          <w:jc w:val="center"/>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6CE25B26"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 </w:t>
            </w:r>
          </w:p>
        </w:tc>
        <w:tc>
          <w:tcPr>
            <w:tcW w:w="816" w:type="dxa"/>
            <w:tcBorders>
              <w:top w:val="nil"/>
              <w:left w:val="nil"/>
              <w:bottom w:val="single" w:sz="4" w:space="0" w:color="auto"/>
              <w:right w:val="single" w:sz="4" w:space="0" w:color="auto"/>
            </w:tcBorders>
            <w:shd w:val="clear" w:color="auto" w:fill="auto"/>
            <w:vAlign w:val="center"/>
            <w:hideMark/>
          </w:tcPr>
          <w:p w14:paraId="42CFBFE2"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0730</w:t>
            </w:r>
          </w:p>
        </w:tc>
        <w:tc>
          <w:tcPr>
            <w:tcW w:w="2893" w:type="dxa"/>
            <w:tcBorders>
              <w:top w:val="nil"/>
              <w:left w:val="nil"/>
              <w:bottom w:val="single" w:sz="4" w:space="0" w:color="auto"/>
              <w:right w:val="single" w:sz="4" w:space="0" w:color="auto"/>
            </w:tcBorders>
            <w:shd w:val="clear" w:color="auto" w:fill="auto"/>
            <w:vAlign w:val="center"/>
            <w:hideMark/>
          </w:tcPr>
          <w:p w14:paraId="37011D57" w14:textId="77777777" w:rsidR="00322AE9" w:rsidRPr="00322AE9" w:rsidRDefault="00322AE9" w:rsidP="00322AE9">
            <w:pPr>
              <w:ind w:firstLine="0"/>
              <w:jc w:val="left"/>
              <w:rPr>
                <w:rFonts w:eastAsia="Times New Roman" w:cs="Times New Roman"/>
                <w:color w:val="000000"/>
                <w:sz w:val="20"/>
                <w:szCs w:val="20"/>
                <w:lang w:eastAsia="ru-RU"/>
              </w:rPr>
            </w:pPr>
            <w:r w:rsidRPr="00322AE9">
              <w:rPr>
                <w:rFonts w:eastAsia="Times New Roman" w:cs="Times New Roman"/>
                <w:color w:val="000000"/>
                <w:sz w:val="20"/>
                <w:szCs w:val="20"/>
                <w:lang w:eastAsia="ru-RU"/>
              </w:rPr>
              <w:t>Станции технического обслуживания автомобилей (СТО), автосервисы</w:t>
            </w:r>
          </w:p>
        </w:tc>
        <w:tc>
          <w:tcPr>
            <w:tcW w:w="855" w:type="dxa"/>
            <w:tcBorders>
              <w:top w:val="nil"/>
              <w:left w:val="nil"/>
              <w:bottom w:val="single" w:sz="4" w:space="0" w:color="auto"/>
              <w:right w:val="single" w:sz="4" w:space="0" w:color="auto"/>
            </w:tcBorders>
            <w:shd w:val="clear" w:color="FFFFFF" w:fill="FFFFFF"/>
            <w:vAlign w:val="center"/>
            <w:hideMark/>
          </w:tcPr>
          <w:p w14:paraId="40CF5D16"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 </w:t>
            </w:r>
          </w:p>
        </w:tc>
        <w:tc>
          <w:tcPr>
            <w:tcW w:w="793" w:type="dxa"/>
            <w:tcBorders>
              <w:top w:val="nil"/>
              <w:left w:val="nil"/>
              <w:bottom w:val="single" w:sz="4" w:space="0" w:color="auto"/>
              <w:right w:val="single" w:sz="4" w:space="0" w:color="auto"/>
            </w:tcBorders>
            <w:shd w:val="clear" w:color="auto" w:fill="auto"/>
            <w:vAlign w:val="center"/>
            <w:hideMark/>
          </w:tcPr>
          <w:p w14:paraId="6E32DD98"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3,6</w:t>
            </w:r>
          </w:p>
        </w:tc>
        <w:tc>
          <w:tcPr>
            <w:tcW w:w="992" w:type="dxa"/>
            <w:tcBorders>
              <w:top w:val="nil"/>
              <w:left w:val="nil"/>
              <w:bottom w:val="single" w:sz="4" w:space="0" w:color="auto"/>
              <w:right w:val="single" w:sz="4" w:space="0" w:color="auto"/>
            </w:tcBorders>
            <w:shd w:val="clear" w:color="auto" w:fill="auto"/>
            <w:vAlign w:val="center"/>
            <w:hideMark/>
          </w:tcPr>
          <w:p w14:paraId="306C10CC"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0,3</w:t>
            </w:r>
          </w:p>
        </w:tc>
        <w:tc>
          <w:tcPr>
            <w:tcW w:w="1030" w:type="dxa"/>
            <w:tcBorders>
              <w:top w:val="nil"/>
              <w:left w:val="nil"/>
              <w:bottom w:val="single" w:sz="4" w:space="0" w:color="auto"/>
              <w:right w:val="single" w:sz="4" w:space="0" w:color="auto"/>
            </w:tcBorders>
            <w:shd w:val="clear" w:color="auto" w:fill="auto"/>
            <w:vAlign w:val="center"/>
            <w:hideMark/>
          </w:tcPr>
          <w:p w14:paraId="3CCD3043"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3,9</w:t>
            </w:r>
          </w:p>
        </w:tc>
        <w:tc>
          <w:tcPr>
            <w:tcW w:w="1096" w:type="dxa"/>
            <w:tcBorders>
              <w:top w:val="nil"/>
              <w:left w:val="nil"/>
              <w:bottom w:val="single" w:sz="4" w:space="0" w:color="auto"/>
              <w:right w:val="single" w:sz="4" w:space="0" w:color="auto"/>
            </w:tcBorders>
            <w:shd w:val="clear" w:color="auto" w:fill="auto"/>
            <w:vAlign w:val="center"/>
            <w:hideMark/>
          </w:tcPr>
          <w:p w14:paraId="26C13F20"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1,6</w:t>
            </w:r>
          </w:p>
        </w:tc>
        <w:tc>
          <w:tcPr>
            <w:tcW w:w="1149" w:type="dxa"/>
            <w:tcBorders>
              <w:top w:val="nil"/>
              <w:left w:val="nil"/>
              <w:bottom w:val="single" w:sz="4" w:space="0" w:color="auto"/>
              <w:right w:val="single" w:sz="4" w:space="0" w:color="auto"/>
            </w:tcBorders>
            <w:shd w:val="clear" w:color="auto" w:fill="auto"/>
            <w:vAlign w:val="center"/>
            <w:hideMark/>
          </w:tcPr>
          <w:p w14:paraId="5E9F7EB9"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2,1</w:t>
            </w:r>
          </w:p>
        </w:tc>
        <w:tc>
          <w:tcPr>
            <w:tcW w:w="1119" w:type="dxa"/>
            <w:tcBorders>
              <w:top w:val="nil"/>
              <w:left w:val="nil"/>
              <w:bottom w:val="single" w:sz="4" w:space="0" w:color="auto"/>
              <w:right w:val="single" w:sz="4" w:space="0" w:color="auto"/>
            </w:tcBorders>
            <w:shd w:val="clear" w:color="auto" w:fill="auto"/>
            <w:vAlign w:val="center"/>
            <w:hideMark/>
          </w:tcPr>
          <w:p w14:paraId="27CD5FB7"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2,4</w:t>
            </w:r>
          </w:p>
        </w:tc>
        <w:tc>
          <w:tcPr>
            <w:tcW w:w="3149" w:type="dxa"/>
            <w:tcBorders>
              <w:top w:val="nil"/>
              <w:left w:val="nil"/>
              <w:bottom w:val="single" w:sz="4" w:space="0" w:color="auto"/>
              <w:right w:val="single" w:sz="4" w:space="0" w:color="auto"/>
            </w:tcBorders>
            <w:shd w:val="clear" w:color="auto" w:fill="auto"/>
            <w:hideMark/>
          </w:tcPr>
          <w:p w14:paraId="0CDDC786" w14:textId="77777777" w:rsidR="00322AE9" w:rsidRPr="00322AE9" w:rsidRDefault="00322AE9" w:rsidP="00322AE9">
            <w:pPr>
              <w:ind w:firstLine="0"/>
              <w:jc w:val="left"/>
              <w:rPr>
                <w:rFonts w:eastAsia="Times New Roman" w:cs="Times New Roman"/>
                <w:color w:val="000000"/>
                <w:sz w:val="18"/>
                <w:szCs w:val="18"/>
                <w:lang w:eastAsia="ru-RU"/>
              </w:rPr>
            </w:pPr>
            <w:r w:rsidRPr="00322AE9">
              <w:rPr>
                <w:rFonts w:eastAsia="Times New Roman" w:cs="Times New Roman"/>
                <w:color w:val="000000"/>
                <w:sz w:val="18"/>
                <w:szCs w:val="18"/>
                <w:lang w:eastAsia="ru-RU"/>
              </w:rPr>
              <w:t xml:space="preserve">ОНТП 01-91, РД 3107938-0176-91 Общесоюзные нормы технологического проектирования предприятий автомобильного транспорта, </w:t>
            </w:r>
            <w:r w:rsidRPr="00322AE9">
              <w:rPr>
                <w:rFonts w:eastAsia="Times New Roman" w:cs="Times New Roman"/>
                <w:color w:val="000000"/>
                <w:sz w:val="18"/>
                <w:szCs w:val="18"/>
                <w:lang w:eastAsia="ru-RU"/>
              </w:rPr>
              <w:br/>
              <w:t xml:space="preserve">  Таб.8</w:t>
            </w:r>
          </w:p>
        </w:tc>
      </w:tr>
      <w:tr w:rsidR="00322AE9" w:rsidRPr="00322AE9" w14:paraId="788D44FE" w14:textId="77777777" w:rsidTr="00322AE9">
        <w:trPr>
          <w:trHeight w:val="720"/>
          <w:jc w:val="center"/>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252D3AE2"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 </w:t>
            </w:r>
          </w:p>
        </w:tc>
        <w:tc>
          <w:tcPr>
            <w:tcW w:w="816" w:type="dxa"/>
            <w:tcBorders>
              <w:top w:val="nil"/>
              <w:left w:val="nil"/>
              <w:bottom w:val="single" w:sz="4" w:space="0" w:color="auto"/>
              <w:right w:val="single" w:sz="4" w:space="0" w:color="auto"/>
            </w:tcBorders>
            <w:shd w:val="clear" w:color="auto" w:fill="auto"/>
            <w:vAlign w:val="center"/>
            <w:hideMark/>
          </w:tcPr>
          <w:p w14:paraId="5338B556"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0731</w:t>
            </w:r>
          </w:p>
        </w:tc>
        <w:tc>
          <w:tcPr>
            <w:tcW w:w="2893" w:type="dxa"/>
            <w:tcBorders>
              <w:top w:val="nil"/>
              <w:left w:val="nil"/>
              <w:bottom w:val="single" w:sz="4" w:space="0" w:color="auto"/>
              <w:right w:val="single" w:sz="4" w:space="0" w:color="auto"/>
            </w:tcBorders>
            <w:shd w:val="clear" w:color="auto" w:fill="auto"/>
            <w:vAlign w:val="center"/>
            <w:hideMark/>
          </w:tcPr>
          <w:p w14:paraId="419177CA" w14:textId="77777777" w:rsidR="00322AE9" w:rsidRPr="00322AE9" w:rsidRDefault="00322AE9" w:rsidP="00322AE9">
            <w:pPr>
              <w:ind w:firstLine="0"/>
              <w:jc w:val="left"/>
              <w:rPr>
                <w:rFonts w:eastAsia="Times New Roman" w:cs="Times New Roman"/>
                <w:color w:val="000000"/>
                <w:sz w:val="20"/>
                <w:szCs w:val="20"/>
                <w:lang w:eastAsia="ru-RU"/>
              </w:rPr>
            </w:pPr>
            <w:r w:rsidRPr="00322AE9">
              <w:rPr>
                <w:rFonts w:eastAsia="Times New Roman" w:cs="Times New Roman"/>
                <w:color w:val="000000"/>
                <w:sz w:val="20"/>
                <w:szCs w:val="20"/>
                <w:lang w:eastAsia="ru-RU"/>
              </w:rPr>
              <w:t>Ангары для самолетов, вертолетов и других летательных аппаратов</w:t>
            </w:r>
          </w:p>
        </w:tc>
        <w:tc>
          <w:tcPr>
            <w:tcW w:w="855" w:type="dxa"/>
            <w:tcBorders>
              <w:top w:val="nil"/>
              <w:left w:val="nil"/>
              <w:bottom w:val="single" w:sz="4" w:space="0" w:color="auto"/>
              <w:right w:val="single" w:sz="4" w:space="0" w:color="auto"/>
            </w:tcBorders>
            <w:shd w:val="clear" w:color="FFFFFF" w:fill="FFFFFF"/>
            <w:vAlign w:val="center"/>
            <w:hideMark/>
          </w:tcPr>
          <w:p w14:paraId="04AD482B"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 </w:t>
            </w:r>
          </w:p>
        </w:tc>
        <w:tc>
          <w:tcPr>
            <w:tcW w:w="793" w:type="dxa"/>
            <w:tcBorders>
              <w:top w:val="nil"/>
              <w:left w:val="nil"/>
              <w:bottom w:val="single" w:sz="4" w:space="0" w:color="auto"/>
              <w:right w:val="single" w:sz="4" w:space="0" w:color="auto"/>
            </w:tcBorders>
            <w:shd w:val="clear" w:color="auto" w:fill="auto"/>
            <w:vAlign w:val="center"/>
            <w:hideMark/>
          </w:tcPr>
          <w:p w14:paraId="06B64D8D"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4,2</w:t>
            </w:r>
          </w:p>
        </w:tc>
        <w:tc>
          <w:tcPr>
            <w:tcW w:w="992" w:type="dxa"/>
            <w:tcBorders>
              <w:top w:val="nil"/>
              <w:left w:val="nil"/>
              <w:bottom w:val="single" w:sz="4" w:space="0" w:color="auto"/>
              <w:right w:val="single" w:sz="4" w:space="0" w:color="auto"/>
            </w:tcBorders>
            <w:shd w:val="clear" w:color="auto" w:fill="auto"/>
            <w:vAlign w:val="center"/>
            <w:hideMark/>
          </w:tcPr>
          <w:p w14:paraId="1AC9C8FB"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0,3</w:t>
            </w:r>
          </w:p>
        </w:tc>
        <w:tc>
          <w:tcPr>
            <w:tcW w:w="1030" w:type="dxa"/>
            <w:tcBorders>
              <w:top w:val="nil"/>
              <w:left w:val="nil"/>
              <w:bottom w:val="single" w:sz="4" w:space="0" w:color="auto"/>
              <w:right w:val="single" w:sz="4" w:space="0" w:color="auto"/>
            </w:tcBorders>
            <w:shd w:val="clear" w:color="auto" w:fill="auto"/>
            <w:vAlign w:val="center"/>
            <w:hideMark/>
          </w:tcPr>
          <w:p w14:paraId="4A3005D9"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4,5</w:t>
            </w:r>
          </w:p>
        </w:tc>
        <w:tc>
          <w:tcPr>
            <w:tcW w:w="1096" w:type="dxa"/>
            <w:tcBorders>
              <w:top w:val="nil"/>
              <w:left w:val="nil"/>
              <w:bottom w:val="single" w:sz="4" w:space="0" w:color="auto"/>
              <w:right w:val="single" w:sz="4" w:space="0" w:color="auto"/>
            </w:tcBorders>
            <w:shd w:val="clear" w:color="auto" w:fill="auto"/>
            <w:vAlign w:val="center"/>
            <w:hideMark/>
          </w:tcPr>
          <w:p w14:paraId="2F5D264E"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1,6</w:t>
            </w:r>
          </w:p>
        </w:tc>
        <w:tc>
          <w:tcPr>
            <w:tcW w:w="1149" w:type="dxa"/>
            <w:tcBorders>
              <w:top w:val="nil"/>
              <w:left w:val="nil"/>
              <w:bottom w:val="single" w:sz="4" w:space="0" w:color="auto"/>
              <w:right w:val="single" w:sz="4" w:space="0" w:color="auto"/>
            </w:tcBorders>
            <w:shd w:val="clear" w:color="auto" w:fill="auto"/>
            <w:vAlign w:val="center"/>
            <w:hideMark/>
          </w:tcPr>
          <w:p w14:paraId="23935B53"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2,1</w:t>
            </w:r>
          </w:p>
        </w:tc>
        <w:tc>
          <w:tcPr>
            <w:tcW w:w="1119" w:type="dxa"/>
            <w:tcBorders>
              <w:top w:val="nil"/>
              <w:left w:val="nil"/>
              <w:bottom w:val="single" w:sz="4" w:space="0" w:color="auto"/>
              <w:right w:val="single" w:sz="4" w:space="0" w:color="auto"/>
            </w:tcBorders>
            <w:shd w:val="clear" w:color="auto" w:fill="auto"/>
            <w:vAlign w:val="center"/>
            <w:hideMark/>
          </w:tcPr>
          <w:p w14:paraId="67234296"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2,4</w:t>
            </w:r>
          </w:p>
        </w:tc>
        <w:tc>
          <w:tcPr>
            <w:tcW w:w="3149" w:type="dxa"/>
            <w:tcBorders>
              <w:top w:val="nil"/>
              <w:left w:val="nil"/>
              <w:bottom w:val="single" w:sz="4" w:space="0" w:color="auto"/>
              <w:right w:val="single" w:sz="4" w:space="0" w:color="auto"/>
            </w:tcBorders>
            <w:shd w:val="clear" w:color="auto" w:fill="auto"/>
            <w:hideMark/>
          </w:tcPr>
          <w:p w14:paraId="4EBE609D" w14:textId="77777777" w:rsidR="00322AE9" w:rsidRPr="00322AE9" w:rsidRDefault="00322AE9" w:rsidP="00322AE9">
            <w:pPr>
              <w:ind w:firstLine="0"/>
              <w:jc w:val="left"/>
              <w:rPr>
                <w:rFonts w:eastAsia="Times New Roman" w:cs="Times New Roman"/>
                <w:color w:val="000000"/>
                <w:sz w:val="18"/>
                <w:szCs w:val="18"/>
                <w:lang w:eastAsia="ru-RU"/>
              </w:rPr>
            </w:pPr>
            <w:r w:rsidRPr="00322AE9">
              <w:rPr>
                <w:rFonts w:eastAsia="Times New Roman" w:cs="Times New Roman"/>
                <w:color w:val="000000"/>
                <w:sz w:val="18"/>
                <w:szCs w:val="18"/>
                <w:lang w:eastAsia="ru-RU"/>
              </w:rPr>
              <w:t>ВНТП 11-85 "Ведомственные нормы технологического проектирования авиационно-технических баз в аэропортах", Прил.3</w:t>
            </w:r>
          </w:p>
        </w:tc>
      </w:tr>
      <w:tr w:rsidR="00322AE9" w:rsidRPr="00322AE9" w14:paraId="07CD49D3" w14:textId="77777777" w:rsidTr="00322AE9">
        <w:trPr>
          <w:trHeight w:val="765"/>
          <w:jc w:val="center"/>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5E9CBBEF"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 </w:t>
            </w:r>
          </w:p>
        </w:tc>
        <w:tc>
          <w:tcPr>
            <w:tcW w:w="816" w:type="dxa"/>
            <w:tcBorders>
              <w:top w:val="nil"/>
              <w:left w:val="nil"/>
              <w:bottom w:val="single" w:sz="4" w:space="0" w:color="auto"/>
              <w:right w:val="single" w:sz="4" w:space="0" w:color="auto"/>
            </w:tcBorders>
            <w:shd w:val="clear" w:color="auto" w:fill="auto"/>
            <w:vAlign w:val="center"/>
            <w:hideMark/>
          </w:tcPr>
          <w:p w14:paraId="3DE29CD0"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0732</w:t>
            </w:r>
          </w:p>
        </w:tc>
        <w:tc>
          <w:tcPr>
            <w:tcW w:w="2893" w:type="dxa"/>
            <w:tcBorders>
              <w:top w:val="nil"/>
              <w:left w:val="nil"/>
              <w:bottom w:val="single" w:sz="4" w:space="0" w:color="auto"/>
              <w:right w:val="single" w:sz="4" w:space="0" w:color="auto"/>
            </w:tcBorders>
            <w:shd w:val="clear" w:color="auto" w:fill="auto"/>
            <w:vAlign w:val="center"/>
            <w:hideMark/>
          </w:tcPr>
          <w:p w14:paraId="39A69B00" w14:textId="77777777" w:rsidR="00322AE9" w:rsidRPr="00322AE9" w:rsidRDefault="00322AE9" w:rsidP="00322AE9">
            <w:pPr>
              <w:ind w:firstLine="0"/>
              <w:jc w:val="left"/>
              <w:rPr>
                <w:rFonts w:eastAsia="Times New Roman" w:cs="Times New Roman"/>
                <w:color w:val="000000"/>
                <w:sz w:val="20"/>
                <w:szCs w:val="20"/>
                <w:lang w:eastAsia="ru-RU"/>
              </w:rPr>
            </w:pPr>
            <w:r w:rsidRPr="00322AE9">
              <w:rPr>
                <w:rFonts w:eastAsia="Times New Roman" w:cs="Times New Roman"/>
                <w:color w:val="000000"/>
                <w:sz w:val="20"/>
                <w:szCs w:val="20"/>
                <w:lang w:eastAsia="ru-RU"/>
              </w:rPr>
              <w:t>Депо железнодорожные, локомотивные, метрополитена, электродепо, трамвайные, троллейбусные</w:t>
            </w:r>
          </w:p>
        </w:tc>
        <w:tc>
          <w:tcPr>
            <w:tcW w:w="855" w:type="dxa"/>
            <w:tcBorders>
              <w:top w:val="nil"/>
              <w:left w:val="nil"/>
              <w:bottom w:val="single" w:sz="4" w:space="0" w:color="auto"/>
              <w:right w:val="single" w:sz="4" w:space="0" w:color="auto"/>
            </w:tcBorders>
            <w:shd w:val="clear" w:color="FFFFFF" w:fill="FFFFFF"/>
            <w:vAlign w:val="center"/>
            <w:hideMark/>
          </w:tcPr>
          <w:p w14:paraId="479514C2"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 </w:t>
            </w:r>
          </w:p>
        </w:tc>
        <w:tc>
          <w:tcPr>
            <w:tcW w:w="793" w:type="dxa"/>
            <w:tcBorders>
              <w:top w:val="nil"/>
              <w:left w:val="nil"/>
              <w:bottom w:val="single" w:sz="4" w:space="0" w:color="auto"/>
              <w:right w:val="single" w:sz="4" w:space="0" w:color="auto"/>
            </w:tcBorders>
            <w:shd w:val="clear" w:color="auto" w:fill="auto"/>
            <w:vAlign w:val="center"/>
            <w:hideMark/>
          </w:tcPr>
          <w:p w14:paraId="3D4A3470"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5,5</w:t>
            </w:r>
          </w:p>
        </w:tc>
        <w:tc>
          <w:tcPr>
            <w:tcW w:w="992" w:type="dxa"/>
            <w:tcBorders>
              <w:top w:val="nil"/>
              <w:left w:val="nil"/>
              <w:bottom w:val="single" w:sz="4" w:space="0" w:color="auto"/>
              <w:right w:val="single" w:sz="4" w:space="0" w:color="auto"/>
            </w:tcBorders>
            <w:shd w:val="clear" w:color="auto" w:fill="auto"/>
            <w:vAlign w:val="center"/>
            <w:hideMark/>
          </w:tcPr>
          <w:p w14:paraId="62CA7DFC"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0,3</w:t>
            </w:r>
          </w:p>
        </w:tc>
        <w:tc>
          <w:tcPr>
            <w:tcW w:w="1030" w:type="dxa"/>
            <w:tcBorders>
              <w:top w:val="nil"/>
              <w:left w:val="nil"/>
              <w:bottom w:val="single" w:sz="4" w:space="0" w:color="auto"/>
              <w:right w:val="single" w:sz="4" w:space="0" w:color="auto"/>
            </w:tcBorders>
            <w:shd w:val="clear" w:color="auto" w:fill="auto"/>
            <w:vAlign w:val="center"/>
            <w:hideMark/>
          </w:tcPr>
          <w:p w14:paraId="0D500976"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5,8</w:t>
            </w:r>
          </w:p>
        </w:tc>
        <w:tc>
          <w:tcPr>
            <w:tcW w:w="1096" w:type="dxa"/>
            <w:tcBorders>
              <w:top w:val="nil"/>
              <w:left w:val="nil"/>
              <w:bottom w:val="single" w:sz="4" w:space="0" w:color="auto"/>
              <w:right w:val="single" w:sz="4" w:space="0" w:color="auto"/>
            </w:tcBorders>
            <w:shd w:val="clear" w:color="auto" w:fill="auto"/>
            <w:vAlign w:val="center"/>
            <w:hideMark/>
          </w:tcPr>
          <w:p w14:paraId="5287B055"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1,6</w:t>
            </w:r>
          </w:p>
        </w:tc>
        <w:tc>
          <w:tcPr>
            <w:tcW w:w="1149" w:type="dxa"/>
            <w:tcBorders>
              <w:top w:val="nil"/>
              <w:left w:val="nil"/>
              <w:bottom w:val="single" w:sz="4" w:space="0" w:color="auto"/>
              <w:right w:val="single" w:sz="4" w:space="0" w:color="auto"/>
            </w:tcBorders>
            <w:shd w:val="clear" w:color="auto" w:fill="auto"/>
            <w:vAlign w:val="center"/>
            <w:hideMark/>
          </w:tcPr>
          <w:p w14:paraId="3A849D1F"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2,1</w:t>
            </w:r>
          </w:p>
        </w:tc>
        <w:tc>
          <w:tcPr>
            <w:tcW w:w="1119" w:type="dxa"/>
            <w:tcBorders>
              <w:top w:val="nil"/>
              <w:left w:val="nil"/>
              <w:bottom w:val="single" w:sz="4" w:space="0" w:color="auto"/>
              <w:right w:val="single" w:sz="4" w:space="0" w:color="auto"/>
            </w:tcBorders>
            <w:shd w:val="clear" w:color="auto" w:fill="auto"/>
            <w:vAlign w:val="center"/>
            <w:hideMark/>
          </w:tcPr>
          <w:p w14:paraId="0C8C8BDA"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2,4</w:t>
            </w:r>
          </w:p>
        </w:tc>
        <w:tc>
          <w:tcPr>
            <w:tcW w:w="3149" w:type="dxa"/>
            <w:tcBorders>
              <w:top w:val="nil"/>
              <w:left w:val="nil"/>
              <w:bottom w:val="single" w:sz="4" w:space="0" w:color="auto"/>
              <w:right w:val="single" w:sz="4" w:space="0" w:color="auto"/>
            </w:tcBorders>
            <w:shd w:val="clear" w:color="auto" w:fill="auto"/>
            <w:hideMark/>
          </w:tcPr>
          <w:p w14:paraId="06DDD8A8" w14:textId="77777777" w:rsidR="00322AE9" w:rsidRPr="00322AE9" w:rsidRDefault="00322AE9" w:rsidP="00322AE9">
            <w:pPr>
              <w:ind w:firstLine="0"/>
              <w:jc w:val="left"/>
              <w:rPr>
                <w:rFonts w:eastAsia="Times New Roman" w:cs="Times New Roman"/>
                <w:color w:val="000000"/>
                <w:sz w:val="18"/>
                <w:szCs w:val="18"/>
                <w:lang w:eastAsia="ru-RU"/>
              </w:rPr>
            </w:pPr>
            <w:r w:rsidRPr="00322AE9">
              <w:rPr>
                <w:rFonts w:eastAsia="Times New Roman" w:cs="Times New Roman"/>
                <w:color w:val="000000"/>
                <w:sz w:val="18"/>
                <w:szCs w:val="18"/>
                <w:lang w:eastAsia="ru-RU"/>
              </w:rPr>
              <w:t>СП 120.13330.2012 "Метрополитены",  СП 98.13330.2012 "Трамвайные и тролейбусные линии"</w:t>
            </w:r>
          </w:p>
        </w:tc>
      </w:tr>
      <w:tr w:rsidR="00322AE9" w:rsidRPr="00322AE9" w14:paraId="6E295212" w14:textId="77777777" w:rsidTr="00322AE9">
        <w:trPr>
          <w:trHeight w:val="1020"/>
          <w:jc w:val="center"/>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6995DE3E" w14:textId="77777777" w:rsidR="00322AE9" w:rsidRPr="00322AE9" w:rsidRDefault="00322AE9" w:rsidP="00322AE9">
            <w:pPr>
              <w:ind w:firstLine="0"/>
              <w:jc w:val="center"/>
              <w:rPr>
                <w:rFonts w:eastAsia="Times New Roman" w:cs="Times New Roman"/>
                <w:b/>
                <w:bCs/>
                <w:color w:val="000000"/>
                <w:sz w:val="20"/>
                <w:szCs w:val="20"/>
                <w:lang w:eastAsia="ru-RU"/>
              </w:rPr>
            </w:pPr>
            <w:r w:rsidRPr="00322AE9">
              <w:rPr>
                <w:rFonts w:eastAsia="Times New Roman" w:cs="Times New Roman"/>
                <w:b/>
                <w:bCs/>
                <w:color w:val="000000"/>
                <w:sz w:val="20"/>
                <w:szCs w:val="20"/>
                <w:lang w:eastAsia="ru-RU"/>
              </w:rPr>
              <w:t>08</w:t>
            </w:r>
          </w:p>
        </w:tc>
        <w:tc>
          <w:tcPr>
            <w:tcW w:w="816" w:type="dxa"/>
            <w:tcBorders>
              <w:top w:val="nil"/>
              <w:left w:val="nil"/>
              <w:bottom w:val="single" w:sz="4" w:space="0" w:color="auto"/>
              <w:right w:val="single" w:sz="4" w:space="0" w:color="auto"/>
            </w:tcBorders>
            <w:shd w:val="clear" w:color="auto" w:fill="auto"/>
            <w:vAlign w:val="center"/>
            <w:hideMark/>
          </w:tcPr>
          <w:p w14:paraId="357BF260" w14:textId="77777777" w:rsidR="00322AE9" w:rsidRPr="00322AE9" w:rsidRDefault="00322AE9" w:rsidP="00322AE9">
            <w:pPr>
              <w:ind w:firstLine="0"/>
              <w:jc w:val="center"/>
              <w:rPr>
                <w:rFonts w:eastAsia="Times New Roman" w:cs="Times New Roman"/>
                <w:b/>
                <w:bCs/>
                <w:color w:val="000000"/>
                <w:sz w:val="20"/>
                <w:szCs w:val="20"/>
                <w:lang w:eastAsia="ru-RU"/>
              </w:rPr>
            </w:pPr>
            <w:r w:rsidRPr="00322AE9">
              <w:rPr>
                <w:rFonts w:eastAsia="Times New Roman" w:cs="Times New Roman"/>
                <w:b/>
                <w:bCs/>
                <w:color w:val="000000"/>
                <w:sz w:val="20"/>
                <w:szCs w:val="20"/>
                <w:lang w:eastAsia="ru-RU"/>
              </w:rPr>
              <w:t>0800</w:t>
            </w:r>
          </w:p>
        </w:tc>
        <w:tc>
          <w:tcPr>
            <w:tcW w:w="2893" w:type="dxa"/>
            <w:tcBorders>
              <w:top w:val="nil"/>
              <w:left w:val="nil"/>
              <w:bottom w:val="single" w:sz="4" w:space="0" w:color="auto"/>
              <w:right w:val="single" w:sz="4" w:space="0" w:color="auto"/>
            </w:tcBorders>
            <w:shd w:val="clear" w:color="auto" w:fill="auto"/>
            <w:vAlign w:val="center"/>
            <w:hideMark/>
          </w:tcPr>
          <w:p w14:paraId="6F0E1E65" w14:textId="77777777" w:rsidR="00322AE9" w:rsidRPr="00322AE9" w:rsidRDefault="00322AE9" w:rsidP="00322AE9">
            <w:pPr>
              <w:ind w:firstLine="0"/>
              <w:jc w:val="left"/>
              <w:rPr>
                <w:rFonts w:eastAsia="Times New Roman" w:cs="Times New Roman"/>
                <w:b/>
                <w:bCs/>
                <w:color w:val="000000"/>
                <w:sz w:val="20"/>
                <w:szCs w:val="20"/>
                <w:lang w:eastAsia="ru-RU"/>
              </w:rPr>
            </w:pPr>
            <w:r w:rsidRPr="00322AE9">
              <w:rPr>
                <w:rFonts w:eastAsia="Times New Roman" w:cs="Times New Roman"/>
                <w:b/>
                <w:bCs/>
                <w:color w:val="000000"/>
                <w:sz w:val="20"/>
                <w:szCs w:val="20"/>
                <w:lang w:eastAsia="ru-RU"/>
              </w:rPr>
              <w:t>Группа 8. Учебные, спортивные объекты, объекты культуры и искусства, культовые объекты, музеи, лечебно-оздоровительные и общественного назначения объекты</w:t>
            </w:r>
          </w:p>
        </w:tc>
        <w:tc>
          <w:tcPr>
            <w:tcW w:w="855" w:type="dxa"/>
            <w:tcBorders>
              <w:top w:val="nil"/>
              <w:left w:val="nil"/>
              <w:bottom w:val="single" w:sz="4" w:space="0" w:color="auto"/>
              <w:right w:val="single" w:sz="4" w:space="0" w:color="auto"/>
            </w:tcBorders>
            <w:shd w:val="clear" w:color="auto" w:fill="auto"/>
            <w:vAlign w:val="center"/>
            <w:hideMark/>
          </w:tcPr>
          <w:p w14:paraId="0BB0FA83" w14:textId="77777777" w:rsidR="00322AE9" w:rsidRPr="00322AE9" w:rsidRDefault="00322AE9" w:rsidP="00322AE9">
            <w:pPr>
              <w:ind w:firstLine="0"/>
              <w:jc w:val="left"/>
              <w:rPr>
                <w:rFonts w:eastAsia="Times New Roman" w:cs="Times New Roman"/>
                <w:i/>
                <w:iCs/>
                <w:color w:val="000000"/>
                <w:sz w:val="18"/>
                <w:szCs w:val="18"/>
                <w:u w:val="single"/>
                <w:lang w:eastAsia="ru-RU"/>
              </w:rPr>
            </w:pPr>
            <w:r w:rsidRPr="00322AE9">
              <w:rPr>
                <w:rFonts w:eastAsia="Times New Roman" w:cs="Times New Roman"/>
                <w:i/>
                <w:iCs/>
                <w:color w:val="000000"/>
                <w:sz w:val="18"/>
                <w:szCs w:val="18"/>
                <w:u w:val="single"/>
                <w:lang w:eastAsia="ru-RU"/>
              </w:rPr>
              <w:t> </w:t>
            </w:r>
          </w:p>
        </w:tc>
        <w:tc>
          <w:tcPr>
            <w:tcW w:w="793" w:type="dxa"/>
            <w:tcBorders>
              <w:top w:val="nil"/>
              <w:left w:val="nil"/>
              <w:bottom w:val="single" w:sz="4" w:space="0" w:color="auto"/>
              <w:right w:val="single" w:sz="4" w:space="0" w:color="auto"/>
            </w:tcBorders>
            <w:shd w:val="clear" w:color="auto" w:fill="auto"/>
            <w:vAlign w:val="center"/>
            <w:hideMark/>
          </w:tcPr>
          <w:p w14:paraId="1F8723C5"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2,4</w:t>
            </w:r>
          </w:p>
        </w:tc>
        <w:tc>
          <w:tcPr>
            <w:tcW w:w="992" w:type="dxa"/>
            <w:tcBorders>
              <w:top w:val="nil"/>
              <w:left w:val="nil"/>
              <w:bottom w:val="single" w:sz="4" w:space="0" w:color="auto"/>
              <w:right w:val="single" w:sz="4" w:space="0" w:color="auto"/>
            </w:tcBorders>
            <w:shd w:val="clear" w:color="auto" w:fill="auto"/>
            <w:vAlign w:val="center"/>
            <w:hideMark/>
          </w:tcPr>
          <w:p w14:paraId="1E740E8A"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0,3</w:t>
            </w:r>
          </w:p>
        </w:tc>
        <w:tc>
          <w:tcPr>
            <w:tcW w:w="1030" w:type="dxa"/>
            <w:tcBorders>
              <w:top w:val="nil"/>
              <w:left w:val="nil"/>
              <w:bottom w:val="single" w:sz="4" w:space="0" w:color="auto"/>
              <w:right w:val="single" w:sz="4" w:space="0" w:color="auto"/>
            </w:tcBorders>
            <w:shd w:val="clear" w:color="auto" w:fill="auto"/>
            <w:vAlign w:val="center"/>
            <w:hideMark/>
          </w:tcPr>
          <w:p w14:paraId="655E9308"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2,7</w:t>
            </w:r>
          </w:p>
        </w:tc>
        <w:tc>
          <w:tcPr>
            <w:tcW w:w="1096" w:type="dxa"/>
            <w:tcBorders>
              <w:top w:val="nil"/>
              <w:left w:val="nil"/>
              <w:bottom w:val="single" w:sz="4" w:space="0" w:color="auto"/>
              <w:right w:val="single" w:sz="4" w:space="0" w:color="auto"/>
            </w:tcBorders>
            <w:shd w:val="clear" w:color="auto" w:fill="auto"/>
            <w:vAlign w:val="center"/>
            <w:hideMark/>
          </w:tcPr>
          <w:p w14:paraId="783B7E02"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1,6</w:t>
            </w:r>
          </w:p>
        </w:tc>
        <w:tc>
          <w:tcPr>
            <w:tcW w:w="1149" w:type="dxa"/>
            <w:tcBorders>
              <w:top w:val="nil"/>
              <w:left w:val="nil"/>
              <w:bottom w:val="single" w:sz="4" w:space="0" w:color="auto"/>
              <w:right w:val="single" w:sz="4" w:space="0" w:color="auto"/>
            </w:tcBorders>
            <w:shd w:val="clear" w:color="auto" w:fill="auto"/>
            <w:vAlign w:val="center"/>
            <w:hideMark/>
          </w:tcPr>
          <w:p w14:paraId="1D5E0658"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2,1</w:t>
            </w:r>
          </w:p>
        </w:tc>
        <w:tc>
          <w:tcPr>
            <w:tcW w:w="1119" w:type="dxa"/>
            <w:tcBorders>
              <w:top w:val="nil"/>
              <w:left w:val="nil"/>
              <w:bottom w:val="single" w:sz="4" w:space="0" w:color="auto"/>
              <w:right w:val="single" w:sz="4" w:space="0" w:color="auto"/>
            </w:tcBorders>
            <w:shd w:val="clear" w:color="auto" w:fill="auto"/>
            <w:vAlign w:val="center"/>
            <w:hideMark/>
          </w:tcPr>
          <w:p w14:paraId="3B261BEF"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2,4</w:t>
            </w:r>
          </w:p>
        </w:tc>
        <w:tc>
          <w:tcPr>
            <w:tcW w:w="3149" w:type="dxa"/>
            <w:tcBorders>
              <w:top w:val="nil"/>
              <w:left w:val="nil"/>
              <w:bottom w:val="single" w:sz="4" w:space="0" w:color="auto"/>
              <w:right w:val="single" w:sz="4" w:space="0" w:color="auto"/>
            </w:tcBorders>
            <w:shd w:val="clear" w:color="auto" w:fill="auto"/>
            <w:hideMark/>
          </w:tcPr>
          <w:p w14:paraId="400A81FB" w14:textId="77777777" w:rsidR="00322AE9" w:rsidRPr="00322AE9" w:rsidRDefault="00322AE9" w:rsidP="00322AE9">
            <w:pPr>
              <w:ind w:firstLine="0"/>
              <w:jc w:val="left"/>
              <w:rPr>
                <w:rFonts w:eastAsia="Times New Roman" w:cs="Times New Roman"/>
                <w:color w:val="000000"/>
                <w:sz w:val="18"/>
                <w:szCs w:val="18"/>
                <w:lang w:eastAsia="ru-RU"/>
              </w:rPr>
            </w:pPr>
            <w:r w:rsidRPr="00322AE9">
              <w:rPr>
                <w:rFonts w:eastAsia="Times New Roman" w:cs="Times New Roman"/>
                <w:color w:val="000000"/>
                <w:sz w:val="18"/>
                <w:szCs w:val="18"/>
                <w:lang w:eastAsia="ru-RU"/>
              </w:rPr>
              <w:t> </w:t>
            </w:r>
          </w:p>
        </w:tc>
      </w:tr>
      <w:tr w:rsidR="00322AE9" w:rsidRPr="00322AE9" w14:paraId="49D36F05" w14:textId="77777777" w:rsidTr="00322AE9">
        <w:trPr>
          <w:trHeight w:val="1200"/>
          <w:jc w:val="center"/>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423E7F37"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 </w:t>
            </w:r>
          </w:p>
        </w:tc>
        <w:tc>
          <w:tcPr>
            <w:tcW w:w="816" w:type="dxa"/>
            <w:tcBorders>
              <w:top w:val="nil"/>
              <w:left w:val="nil"/>
              <w:bottom w:val="single" w:sz="4" w:space="0" w:color="auto"/>
              <w:right w:val="single" w:sz="4" w:space="0" w:color="auto"/>
            </w:tcBorders>
            <w:shd w:val="clear" w:color="auto" w:fill="auto"/>
            <w:vAlign w:val="center"/>
            <w:hideMark/>
          </w:tcPr>
          <w:p w14:paraId="72A3326D"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0801</w:t>
            </w:r>
          </w:p>
        </w:tc>
        <w:tc>
          <w:tcPr>
            <w:tcW w:w="2893" w:type="dxa"/>
            <w:tcBorders>
              <w:top w:val="nil"/>
              <w:left w:val="nil"/>
              <w:bottom w:val="single" w:sz="4" w:space="0" w:color="auto"/>
              <w:right w:val="single" w:sz="4" w:space="0" w:color="auto"/>
            </w:tcBorders>
            <w:shd w:val="clear" w:color="auto" w:fill="auto"/>
            <w:vAlign w:val="center"/>
            <w:hideMark/>
          </w:tcPr>
          <w:p w14:paraId="79D26A71" w14:textId="77777777" w:rsidR="00322AE9" w:rsidRPr="00322AE9" w:rsidRDefault="00322AE9" w:rsidP="00322AE9">
            <w:pPr>
              <w:ind w:firstLine="0"/>
              <w:jc w:val="left"/>
              <w:rPr>
                <w:rFonts w:eastAsia="Times New Roman" w:cs="Times New Roman"/>
                <w:color w:val="000000"/>
                <w:sz w:val="20"/>
                <w:szCs w:val="20"/>
                <w:lang w:eastAsia="ru-RU"/>
              </w:rPr>
            </w:pPr>
            <w:r w:rsidRPr="00322AE9">
              <w:rPr>
                <w:rFonts w:eastAsia="Times New Roman" w:cs="Times New Roman"/>
                <w:color w:val="000000"/>
                <w:sz w:val="20"/>
                <w:szCs w:val="20"/>
                <w:lang w:eastAsia="ru-RU"/>
              </w:rPr>
              <w:t>Ветеринарные объекты</w:t>
            </w:r>
          </w:p>
        </w:tc>
        <w:tc>
          <w:tcPr>
            <w:tcW w:w="855" w:type="dxa"/>
            <w:tcBorders>
              <w:top w:val="nil"/>
              <w:left w:val="nil"/>
              <w:bottom w:val="single" w:sz="4" w:space="0" w:color="auto"/>
              <w:right w:val="single" w:sz="4" w:space="0" w:color="auto"/>
            </w:tcBorders>
            <w:shd w:val="clear" w:color="FFFFFF" w:fill="FFFFFF"/>
            <w:vAlign w:val="center"/>
            <w:hideMark/>
          </w:tcPr>
          <w:p w14:paraId="184A7228"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 </w:t>
            </w:r>
          </w:p>
        </w:tc>
        <w:tc>
          <w:tcPr>
            <w:tcW w:w="793" w:type="dxa"/>
            <w:tcBorders>
              <w:top w:val="nil"/>
              <w:left w:val="nil"/>
              <w:bottom w:val="single" w:sz="4" w:space="0" w:color="auto"/>
              <w:right w:val="single" w:sz="4" w:space="0" w:color="auto"/>
            </w:tcBorders>
            <w:shd w:val="clear" w:color="FFFFFF" w:fill="FFFFFF"/>
            <w:vAlign w:val="center"/>
            <w:hideMark/>
          </w:tcPr>
          <w:p w14:paraId="7B0A1ACE"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2,4</w:t>
            </w:r>
          </w:p>
        </w:tc>
        <w:tc>
          <w:tcPr>
            <w:tcW w:w="992" w:type="dxa"/>
            <w:tcBorders>
              <w:top w:val="nil"/>
              <w:left w:val="nil"/>
              <w:bottom w:val="single" w:sz="4" w:space="0" w:color="auto"/>
              <w:right w:val="single" w:sz="4" w:space="0" w:color="auto"/>
            </w:tcBorders>
            <w:shd w:val="clear" w:color="auto" w:fill="auto"/>
            <w:vAlign w:val="center"/>
            <w:hideMark/>
          </w:tcPr>
          <w:p w14:paraId="4DB34C78"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0,3</w:t>
            </w:r>
          </w:p>
        </w:tc>
        <w:tc>
          <w:tcPr>
            <w:tcW w:w="1030" w:type="dxa"/>
            <w:tcBorders>
              <w:top w:val="nil"/>
              <w:left w:val="nil"/>
              <w:bottom w:val="single" w:sz="4" w:space="0" w:color="auto"/>
              <w:right w:val="single" w:sz="4" w:space="0" w:color="auto"/>
            </w:tcBorders>
            <w:shd w:val="clear" w:color="auto" w:fill="auto"/>
            <w:vAlign w:val="center"/>
            <w:hideMark/>
          </w:tcPr>
          <w:p w14:paraId="72896657"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2,7</w:t>
            </w:r>
          </w:p>
        </w:tc>
        <w:tc>
          <w:tcPr>
            <w:tcW w:w="1096" w:type="dxa"/>
            <w:tcBorders>
              <w:top w:val="nil"/>
              <w:left w:val="nil"/>
              <w:bottom w:val="single" w:sz="4" w:space="0" w:color="auto"/>
              <w:right w:val="single" w:sz="4" w:space="0" w:color="auto"/>
            </w:tcBorders>
            <w:shd w:val="clear" w:color="auto" w:fill="auto"/>
            <w:vAlign w:val="center"/>
            <w:hideMark/>
          </w:tcPr>
          <w:p w14:paraId="1C281424"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1,6</w:t>
            </w:r>
          </w:p>
        </w:tc>
        <w:tc>
          <w:tcPr>
            <w:tcW w:w="1149" w:type="dxa"/>
            <w:tcBorders>
              <w:top w:val="nil"/>
              <w:left w:val="nil"/>
              <w:bottom w:val="single" w:sz="4" w:space="0" w:color="auto"/>
              <w:right w:val="single" w:sz="4" w:space="0" w:color="auto"/>
            </w:tcBorders>
            <w:shd w:val="clear" w:color="auto" w:fill="auto"/>
            <w:vAlign w:val="center"/>
            <w:hideMark/>
          </w:tcPr>
          <w:p w14:paraId="4899585C"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2,1</w:t>
            </w:r>
          </w:p>
        </w:tc>
        <w:tc>
          <w:tcPr>
            <w:tcW w:w="1119" w:type="dxa"/>
            <w:tcBorders>
              <w:top w:val="nil"/>
              <w:left w:val="nil"/>
              <w:bottom w:val="single" w:sz="4" w:space="0" w:color="auto"/>
              <w:right w:val="single" w:sz="4" w:space="0" w:color="auto"/>
            </w:tcBorders>
            <w:shd w:val="clear" w:color="auto" w:fill="auto"/>
            <w:vAlign w:val="center"/>
            <w:hideMark/>
          </w:tcPr>
          <w:p w14:paraId="3DDF8C80"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2,4</w:t>
            </w:r>
          </w:p>
        </w:tc>
        <w:tc>
          <w:tcPr>
            <w:tcW w:w="3149" w:type="dxa"/>
            <w:tcBorders>
              <w:top w:val="nil"/>
              <w:left w:val="nil"/>
              <w:bottom w:val="single" w:sz="4" w:space="0" w:color="auto"/>
              <w:right w:val="single" w:sz="4" w:space="0" w:color="auto"/>
            </w:tcBorders>
            <w:shd w:val="clear" w:color="FFFFFF" w:fill="FFFFFF"/>
            <w:hideMark/>
          </w:tcPr>
          <w:p w14:paraId="441DE47D" w14:textId="77777777" w:rsidR="00322AE9" w:rsidRPr="00322AE9" w:rsidRDefault="00322AE9" w:rsidP="00322AE9">
            <w:pPr>
              <w:ind w:firstLine="0"/>
              <w:jc w:val="left"/>
              <w:rPr>
                <w:rFonts w:eastAsia="Times New Roman" w:cs="Times New Roman"/>
                <w:color w:val="000000"/>
                <w:sz w:val="18"/>
                <w:szCs w:val="18"/>
                <w:lang w:eastAsia="ru-RU"/>
              </w:rPr>
            </w:pPr>
            <w:r w:rsidRPr="00322AE9">
              <w:rPr>
                <w:rFonts w:eastAsia="Times New Roman" w:cs="Times New Roman"/>
                <w:color w:val="000000"/>
                <w:sz w:val="18"/>
                <w:szCs w:val="18"/>
                <w:lang w:eastAsia="ru-RU"/>
              </w:rPr>
              <w:t>РД-АПК 1.10.07.01 Методич.рекомендации по технологическому  проектированию ветеринарных объектов для животноводческих, звероводческих, птицеводческих предприятий и крестьянских объектов", п.5.5.6</w:t>
            </w:r>
          </w:p>
        </w:tc>
      </w:tr>
      <w:tr w:rsidR="00322AE9" w:rsidRPr="00322AE9" w14:paraId="643B26D4" w14:textId="77777777" w:rsidTr="00322AE9">
        <w:trPr>
          <w:trHeight w:val="1200"/>
          <w:jc w:val="center"/>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4F56E3F7"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 </w:t>
            </w:r>
          </w:p>
        </w:tc>
        <w:tc>
          <w:tcPr>
            <w:tcW w:w="816" w:type="dxa"/>
            <w:tcBorders>
              <w:top w:val="nil"/>
              <w:left w:val="nil"/>
              <w:bottom w:val="single" w:sz="4" w:space="0" w:color="auto"/>
              <w:right w:val="single" w:sz="4" w:space="0" w:color="auto"/>
            </w:tcBorders>
            <w:shd w:val="clear" w:color="auto" w:fill="auto"/>
            <w:vAlign w:val="center"/>
            <w:hideMark/>
          </w:tcPr>
          <w:p w14:paraId="537449B4"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0802</w:t>
            </w:r>
          </w:p>
        </w:tc>
        <w:tc>
          <w:tcPr>
            <w:tcW w:w="2893" w:type="dxa"/>
            <w:tcBorders>
              <w:top w:val="nil"/>
              <w:left w:val="nil"/>
              <w:bottom w:val="single" w:sz="4" w:space="0" w:color="auto"/>
              <w:right w:val="single" w:sz="4" w:space="0" w:color="auto"/>
            </w:tcBorders>
            <w:shd w:val="clear" w:color="auto" w:fill="auto"/>
            <w:vAlign w:val="center"/>
            <w:hideMark/>
          </w:tcPr>
          <w:p w14:paraId="2F3C6977" w14:textId="77777777" w:rsidR="00322AE9" w:rsidRPr="00322AE9" w:rsidRDefault="00322AE9" w:rsidP="00322AE9">
            <w:pPr>
              <w:ind w:firstLine="0"/>
              <w:jc w:val="left"/>
              <w:rPr>
                <w:rFonts w:eastAsia="Times New Roman" w:cs="Times New Roman"/>
                <w:color w:val="000000"/>
                <w:sz w:val="20"/>
                <w:szCs w:val="20"/>
                <w:lang w:eastAsia="ru-RU"/>
              </w:rPr>
            </w:pPr>
            <w:r w:rsidRPr="00322AE9">
              <w:rPr>
                <w:rFonts w:eastAsia="Times New Roman" w:cs="Times New Roman"/>
                <w:color w:val="000000"/>
                <w:sz w:val="20"/>
                <w:szCs w:val="20"/>
                <w:lang w:eastAsia="ru-RU"/>
              </w:rPr>
              <w:t>Питомники, гостиницы для животных</w:t>
            </w:r>
          </w:p>
        </w:tc>
        <w:tc>
          <w:tcPr>
            <w:tcW w:w="855" w:type="dxa"/>
            <w:tcBorders>
              <w:top w:val="nil"/>
              <w:left w:val="nil"/>
              <w:bottom w:val="single" w:sz="4" w:space="0" w:color="auto"/>
              <w:right w:val="single" w:sz="4" w:space="0" w:color="auto"/>
            </w:tcBorders>
            <w:shd w:val="clear" w:color="FFFFFF" w:fill="FFFFFF"/>
            <w:vAlign w:val="center"/>
            <w:hideMark/>
          </w:tcPr>
          <w:p w14:paraId="3BA6C35C"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 </w:t>
            </w:r>
          </w:p>
        </w:tc>
        <w:tc>
          <w:tcPr>
            <w:tcW w:w="793" w:type="dxa"/>
            <w:tcBorders>
              <w:top w:val="nil"/>
              <w:left w:val="nil"/>
              <w:bottom w:val="single" w:sz="4" w:space="0" w:color="auto"/>
              <w:right w:val="single" w:sz="4" w:space="0" w:color="auto"/>
            </w:tcBorders>
            <w:shd w:val="clear" w:color="FFFFFF" w:fill="FFFFFF"/>
            <w:vAlign w:val="center"/>
            <w:hideMark/>
          </w:tcPr>
          <w:p w14:paraId="07A1850E"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2,4</w:t>
            </w:r>
          </w:p>
        </w:tc>
        <w:tc>
          <w:tcPr>
            <w:tcW w:w="992" w:type="dxa"/>
            <w:tcBorders>
              <w:top w:val="nil"/>
              <w:left w:val="nil"/>
              <w:bottom w:val="single" w:sz="4" w:space="0" w:color="auto"/>
              <w:right w:val="single" w:sz="4" w:space="0" w:color="auto"/>
            </w:tcBorders>
            <w:shd w:val="clear" w:color="auto" w:fill="auto"/>
            <w:vAlign w:val="center"/>
            <w:hideMark/>
          </w:tcPr>
          <w:p w14:paraId="5A7A1B63"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0,3</w:t>
            </w:r>
          </w:p>
        </w:tc>
        <w:tc>
          <w:tcPr>
            <w:tcW w:w="1030" w:type="dxa"/>
            <w:tcBorders>
              <w:top w:val="nil"/>
              <w:left w:val="nil"/>
              <w:bottom w:val="single" w:sz="4" w:space="0" w:color="auto"/>
              <w:right w:val="single" w:sz="4" w:space="0" w:color="auto"/>
            </w:tcBorders>
            <w:shd w:val="clear" w:color="auto" w:fill="auto"/>
            <w:vAlign w:val="center"/>
            <w:hideMark/>
          </w:tcPr>
          <w:p w14:paraId="197992BD"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2,7</w:t>
            </w:r>
          </w:p>
        </w:tc>
        <w:tc>
          <w:tcPr>
            <w:tcW w:w="1096" w:type="dxa"/>
            <w:tcBorders>
              <w:top w:val="nil"/>
              <w:left w:val="nil"/>
              <w:bottom w:val="single" w:sz="4" w:space="0" w:color="auto"/>
              <w:right w:val="single" w:sz="4" w:space="0" w:color="auto"/>
            </w:tcBorders>
            <w:shd w:val="clear" w:color="auto" w:fill="auto"/>
            <w:vAlign w:val="center"/>
            <w:hideMark/>
          </w:tcPr>
          <w:p w14:paraId="67FF141B"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1,6</w:t>
            </w:r>
          </w:p>
        </w:tc>
        <w:tc>
          <w:tcPr>
            <w:tcW w:w="1149" w:type="dxa"/>
            <w:tcBorders>
              <w:top w:val="nil"/>
              <w:left w:val="nil"/>
              <w:bottom w:val="single" w:sz="4" w:space="0" w:color="auto"/>
              <w:right w:val="single" w:sz="4" w:space="0" w:color="auto"/>
            </w:tcBorders>
            <w:shd w:val="clear" w:color="auto" w:fill="auto"/>
            <w:vAlign w:val="center"/>
            <w:hideMark/>
          </w:tcPr>
          <w:p w14:paraId="3FB33988"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2,1</w:t>
            </w:r>
          </w:p>
        </w:tc>
        <w:tc>
          <w:tcPr>
            <w:tcW w:w="1119" w:type="dxa"/>
            <w:tcBorders>
              <w:top w:val="nil"/>
              <w:left w:val="nil"/>
              <w:bottom w:val="single" w:sz="4" w:space="0" w:color="auto"/>
              <w:right w:val="single" w:sz="4" w:space="0" w:color="auto"/>
            </w:tcBorders>
            <w:shd w:val="clear" w:color="auto" w:fill="auto"/>
            <w:vAlign w:val="center"/>
            <w:hideMark/>
          </w:tcPr>
          <w:p w14:paraId="59B2FB8F"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2,4</w:t>
            </w:r>
          </w:p>
        </w:tc>
        <w:tc>
          <w:tcPr>
            <w:tcW w:w="3149" w:type="dxa"/>
            <w:tcBorders>
              <w:top w:val="nil"/>
              <w:left w:val="nil"/>
              <w:bottom w:val="single" w:sz="4" w:space="0" w:color="auto"/>
              <w:right w:val="single" w:sz="4" w:space="0" w:color="auto"/>
            </w:tcBorders>
            <w:shd w:val="clear" w:color="FFFFFF" w:fill="FFFFFF"/>
            <w:hideMark/>
          </w:tcPr>
          <w:p w14:paraId="42697F08" w14:textId="77777777" w:rsidR="00322AE9" w:rsidRPr="00322AE9" w:rsidRDefault="00322AE9" w:rsidP="00322AE9">
            <w:pPr>
              <w:ind w:firstLine="0"/>
              <w:jc w:val="left"/>
              <w:rPr>
                <w:rFonts w:eastAsia="Times New Roman" w:cs="Times New Roman"/>
                <w:color w:val="000000"/>
                <w:sz w:val="18"/>
                <w:szCs w:val="18"/>
                <w:lang w:eastAsia="ru-RU"/>
              </w:rPr>
            </w:pPr>
            <w:r w:rsidRPr="00322AE9">
              <w:rPr>
                <w:rFonts w:eastAsia="Times New Roman" w:cs="Times New Roman"/>
                <w:color w:val="000000"/>
                <w:sz w:val="18"/>
                <w:szCs w:val="18"/>
                <w:lang w:eastAsia="ru-RU"/>
              </w:rPr>
              <w:t>РД-АПК 1.10.07.01 Методич.рекомендации по технологическому  проектированию ветеринарных объектов для животноводческих, звероводческих, птицеводческих предприятий и крестьянских объектов", п.5.5.6</w:t>
            </w:r>
          </w:p>
        </w:tc>
      </w:tr>
      <w:tr w:rsidR="00322AE9" w:rsidRPr="00322AE9" w14:paraId="4879B3F3" w14:textId="77777777" w:rsidTr="00322AE9">
        <w:trPr>
          <w:trHeight w:val="1200"/>
          <w:jc w:val="center"/>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4C4D7373"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 </w:t>
            </w:r>
          </w:p>
        </w:tc>
        <w:tc>
          <w:tcPr>
            <w:tcW w:w="816" w:type="dxa"/>
            <w:tcBorders>
              <w:top w:val="nil"/>
              <w:left w:val="nil"/>
              <w:bottom w:val="single" w:sz="4" w:space="0" w:color="auto"/>
              <w:right w:val="single" w:sz="4" w:space="0" w:color="auto"/>
            </w:tcBorders>
            <w:shd w:val="clear" w:color="auto" w:fill="auto"/>
            <w:vAlign w:val="center"/>
            <w:hideMark/>
          </w:tcPr>
          <w:p w14:paraId="5252D3D9"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0803</w:t>
            </w:r>
          </w:p>
        </w:tc>
        <w:tc>
          <w:tcPr>
            <w:tcW w:w="2893" w:type="dxa"/>
            <w:tcBorders>
              <w:top w:val="nil"/>
              <w:left w:val="nil"/>
              <w:bottom w:val="single" w:sz="4" w:space="0" w:color="auto"/>
              <w:right w:val="single" w:sz="4" w:space="0" w:color="auto"/>
            </w:tcBorders>
            <w:shd w:val="clear" w:color="auto" w:fill="auto"/>
            <w:vAlign w:val="center"/>
            <w:hideMark/>
          </w:tcPr>
          <w:p w14:paraId="4E961A33" w14:textId="77777777" w:rsidR="00322AE9" w:rsidRPr="00322AE9" w:rsidRDefault="00322AE9" w:rsidP="00322AE9">
            <w:pPr>
              <w:ind w:firstLine="0"/>
              <w:jc w:val="left"/>
              <w:rPr>
                <w:rFonts w:eastAsia="Times New Roman" w:cs="Times New Roman"/>
                <w:color w:val="000000"/>
                <w:sz w:val="20"/>
                <w:szCs w:val="20"/>
                <w:lang w:eastAsia="ru-RU"/>
              </w:rPr>
            </w:pPr>
            <w:r w:rsidRPr="00322AE9">
              <w:rPr>
                <w:rFonts w:eastAsia="Times New Roman" w:cs="Times New Roman"/>
                <w:color w:val="000000"/>
                <w:sz w:val="20"/>
                <w:szCs w:val="20"/>
                <w:lang w:eastAsia="ru-RU"/>
              </w:rPr>
              <w:t>Зоопарк (вольеры, строения для содержания животных)</w:t>
            </w:r>
          </w:p>
        </w:tc>
        <w:tc>
          <w:tcPr>
            <w:tcW w:w="855" w:type="dxa"/>
            <w:tcBorders>
              <w:top w:val="nil"/>
              <w:left w:val="nil"/>
              <w:bottom w:val="single" w:sz="4" w:space="0" w:color="auto"/>
              <w:right w:val="single" w:sz="4" w:space="0" w:color="auto"/>
            </w:tcBorders>
            <w:shd w:val="clear" w:color="FFFFFF" w:fill="FFFFFF"/>
            <w:vAlign w:val="center"/>
            <w:hideMark/>
          </w:tcPr>
          <w:p w14:paraId="6F7805B8"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 </w:t>
            </w:r>
          </w:p>
        </w:tc>
        <w:tc>
          <w:tcPr>
            <w:tcW w:w="793" w:type="dxa"/>
            <w:tcBorders>
              <w:top w:val="nil"/>
              <w:left w:val="nil"/>
              <w:bottom w:val="single" w:sz="4" w:space="0" w:color="auto"/>
              <w:right w:val="single" w:sz="4" w:space="0" w:color="auto"/>
            </w:tcBorders>
            <w:shd w:val="clear" w:color="FFFFFF" w:fill="FFFFFF"/>
            <w:vAlign w:val="center"/>
            <w:hideMark/>
          </w:tcPr>
          <w:p w14:paraId="6A8052F6"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2,7</w:t>
            </w:r>
          </w:p>
        </w:tc>
        <w:tc>
          <w:tcPr>
            <w:tcW w:w="992" w:type="dxa"/>
            <w:tcBorders>
              <w:top w:val="nil"/>
              <w:left w:val="nil"/>
              <w:bottom w:val="single" w:sz="4" w:space="0" w:color="auto"/>
              <w:right w:val="single" w:sz="4" w:space="0" w:color="auto"/>
            </w:tcBorders>
            <w:shd w:val="clear" w:color="auto" w:fill="auto"/>
            <w:vAlign w:val="center"/>
            <w:hideMark/>
          </w:tcPr>
          <w:p w14:paraId="57FB8F97"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0,3</w:t>
            </w:r>
          </w:p>
        </w:tc>
        <w:tc>
          <w:tcPr>
            <w:tcW w:w="1030" w:type="dxa"/>
            <w:tcBorders>
              <w:top w:val="nil"/>
              <w:left w:val="nil"/>
              <w:bottom w:val="single" w:sz="4" w:space="0" w:color="auto"/>
              <w:right w:val="single" w:sz="4" w:space="0" w:color="auto"/>
            </w:tcBorders>
            <w:shd w:val="clear" w:color="auto" w:fill="auto"/>
            <w:vAlign w:val="center"/>
            <w:hideMark/>
          </w:tcPr>
          <w:p w14:paraId="68C08718"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3,0</w:t>
            </w:r>
          </w:p>
        </w:tc>
        <w:tc>
          <w:tcPr>
            <w:tcW w:w="1096" w:type="dxa"/>
            <w:tcBorders>
              <w:top w:val="nil"/>
              <w:left w:val="nil"/>
              <w:bottom w:val="single" w:sz="4" w:space="0" w:color="auto"/>
              <w:right w:val="single" w:sz="4" w:space="0" w:color="auto"/>
            </w:tcBorders>
            <w:shd w:val="clear" w:color="auto" w:fill="auto"/>
            <w:vAlign w:val="center"/>
            <w:hideMark/>
          </w:tcPr>
          <w:p w14:paraId="3D0B8B7F"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1,6</w:t>
            </w:r>
          </w:p>
        </w:tc>
        <w:tc>
          <w:tcPr>
            <w:tcW w:w="1149" w:type="dxa"/>
            <w:tcBorders>
              <w:top w:val="nil"/>
              <w:left w:val="nil"/>
              <w:bottom w:val="single" w:sz="4" w:space="0" w:color="auto"/>
              <w:right w:val="single" w:sz="4" w:space="0" w:color="auto"/>
            </w:tcBorders>
            <w:shd w:val="clear" w:color="auto" w:fill="auto"/>
            <w:vAlign w:val="center"/>
            <w:hideMark/>
          </w:tcPr>
          <w:p w14:paraId="7EF35090"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2,1</w:t>
            </w:r>
          </w:p>
        </w:tc>
        <w:tc>
          <w:tcPr>
            <w:tcW w:w="1119" w:type="dxa"/>
            <w:tcBorders>
              <w:top w:val="nil"/>
              <w:left w:val="nil"/>
              <w:bottom w:val="single" w:sz="4" w:space="0" w:color="auto"/>
              <w:right w:val="single" w:sz="4" w:space="0" w:color="auto"/>
            </w:tcBorders>
            <w:shd w:val="clear" w:color="auto" w:fill="auto"/>
            <w:vAlign w:val="center"/>
            <w:hideMark/>
          </w:tcPr>
          <w:p w14:paraId="5766A4D0"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2,4</w:t>
            </w:r>
          </w:p>
        </w:tc>
        <w:tc>
          <w:tcPr>
            <w:tcW w:w="3149" w:type="dxa"/>
            <w:tcBorders>
              <w:top w:val="nil"/>
              <w:left w:val="nil"/>
              <w:bottom w:val="single" w:sz="4" w:space="0" w:color="auto"/>
              <w:right w:val="single" w:sz="4" w:space="0" w:color="auto"/>
            </w:tcBorders>
            <w:shd w:val="clear" w:color="FFFFFF" w:fill="FFFFFF"/>
            <w:hideMark/>
          </w:tcPr>
          <w:p w14:paraId="17CDAD2F" w14:textId="77777777" w:rsidR="00322AE9" w:rsidRPr="00322AE9" w:rsidRDefault="00322AE9" w:rsidP="00322AE9">
            <w:pPr>
              <w:ind w:firstLine="0"/>
              <w:jc w:val="left"/>
              <w:rPr>
                <w:rFonts w:eastAsia="Times New Roman" w:cs="Times New Roman"/>
                <w:color w:val="000000"/>
                <w:sz w:val="18"/>
                <w:szCs w:val="18"/>
                <w:lang w:eastAsia="ru-RU"/>
              </w:rPr>
            </w:pPr>
            <w:r w:rsidRPr="00322AE9">
              <w:rPr>
                <w:rFonts w:eastAsia="Times New Roman" w:cs="Times New Roman"/>
                <w:color w:val="000000"/>
                <w:sz w:val="18"/>
                <w:szCs w:val="18"/>
                <w:lang w:eastAsia="ru-RU"/>
              </w:rPr>
              <w:t>РД-АПК 1.10.07.01 Методич.рекомендации по технологическому  проектированию ветеринарных объектов для животноводческих, звероводческих, птицеводческих предприятий и крестьянских объектов", п.5.5.6</w:t>
            </w:r>
          </w:p>
        </w:tc>
      </w:tr>
      <w:tr w:rsidR="00322AE9" w:rsidRPr="00322AE9" w14:paraId="27E5CE6F" w14:textId="77777777" w:rsidTr="00322AE9">
        <w:trPr>
          <w:trHeight w:val="300"/>
          <w:jc w:val="center"/>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7FF93CE0"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 </w:t>
            </w:r>
          </w:p>
        </w:tc>
        <w:tc>
          <w:tcPr>
            <w:tcW w:w="816" w:type="dxa"/>
            <w:tcBorders>
              <w:top w:val="nil"/>
              <w:left w:val="nil"/>
              <w:bottom w:val="single" w:sz="4" w:space="0" w:color="auto"/>
              <w:right w:val="single" w:sz="4" w:space="0" w:color="auto"/>
            </w:tcBorders>
            <w:shd w:val="clear" w:color="auto" w:fill="auto"/>
            <w:vAlign w:val="center"/>
            <w:hideMark/>
          </w:tcPr>
          <w:p w14:paraId="17A16825"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0804</w:t>
            </w:r>
          </w:p>
        </w:tc>
        <w:tc>
          <w:tcPr>
            <w:tcW w:w="2893" w:type="dxa"/>
            <w:tcBorders>
              <w:top w:val="nil"/>
              <w:left w:val="nil"/>
              <w:bottom w:val="single" w:sz="4" w:space="0" w:color="auto"/>
              <w:right w:val="single" w:sz="4" w:space="0" w:color="auto"/>
            </w:tcBorders>
            <w:shd w:val="clear" w:color="auto" w:fill="auto"/>
            <w:vAlign w:val="center"/>
            <w:hideMark/>
          </w:tcPr>
          <w:p w14:paraId="26251634" w14:textId="77777777" w:rsidR="00322AE9" w:rsidRPr="00322AE9" w:rsidRDefault="00322AE9" w:rsidP="00322AE9">
            <w:pPr>
              <w:ind w:firstLine="0"/>
              <w:jc w:val="left"/>
              <w:rPr>
                <w:rFonts w:eastAsia="Times New Roman" w:cs="Times New Roman"/>
                <w:color w:val="000000"/>
                <w:sz w:val="20"/>
                <w:szCs w:val="20"/>
                <w:lang w:eastAsia="ru-RU"/>
              </w:rPr>
            </w:pPr>
            <w:r w:rsidRPr="00322AE9">
              <w:rPr>
                <w:rFonts w:eastAsia="Times New Roman" w:cs="Times New Roman"/>
                <w:color w:val="000000"/>
                <w:sz w:val="20"/>
                <w:szCs w:val="20"/>
                <w:lang w:eastAsia="ru-RU"/>
              </w:rPr>
              <w:t>Музеи</w:t>
            </w:r>
          </w:p>
        </w:tc>
        <w:tc>
          <w:tcPr>
            <w:tcW w:w="855" w:type="dxa"/>
            <w:tcBorders>
              <w:top w:val="nil"/>
              <w:left w:val="nil"/>
              <w:bottom w:val="single" w:sz="4" w:space="0" w:color="auto"/>
              <w:right w:val="single" w:sz="4" w:space="0" w:color="auto"/>
            </w:tcBorders>
            <w:shd w:val="clear" w:color="FFFFFF" w:fill="FFFFFF"/>
            <w:vAlign w:val="center"/>
            <w:hideMark/>
          </w:tcPr>
          <w:p w14:paraId="77D19CA8"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 </w:t>
            </w:r>
          </w:p>
        </w:tc>
        <w:tc>
          <w:tcPr>
            <w:tcW w:w="793" w:type="dxa"/>
            <w:tcBorders>
              <w:top w:val="nil"/>
              <w:left w:val="nil"/>
              <w:bottom w:val="single" w:sz="4" w:space="0" w:color="auto"/>
              <w:right w:val="single" w:sz="4" w:space="0" w:color="auto"/>
            </w:tcBorders>
            <w:shd w:val="clear" w:color="FFFFFF" w:fill="FFFFFF"/>
            <w:vAlign w:val="center"/>
            <w:hideMark/>
          </w:tcPr>
          <w:p w14:paraId="3F73DC15"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3,0</w:t>
            </w:r>
          </w:p>
        </w:tc>
        <w:tc>
          <w:tcPr>
            <w:tcW w:w="992" w:type="dxa"/>
            <w:tcBorders>
              <w:top w:val="nil"/>
              <w:left w:val="nil"/>
              <w:bottom w:val="single" w:sz="4" w:space="0" w:color="auto"/>
              <w:right w:val="single" w:sz="4" w:space="0" w:color="auto"/>
            </w:tcBorders>
            <w:shd w:val="clear" w:color="auto" w:fill="auto"/>
            <w:vAlign w:val="center"/>
            <w:hideMark/>
          </w:tcPr>
          <w:p w14:paraId="5ACEDFA1"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0,3</w:t>
            </w:r>
          </w:p>
        </w:tc>
        <w:tc>
          <w:tcPr>
            <w:tcW w:w="1030" w:type="dxa"/>
            <w:tcBorders>
              <w:top w:val="nil"/>
              <w:left w:val="nil"/>
              <w:bottom w:val="single" w:sz="4" w:space="0" w:color="auto"/>
              <w:right w:val="single" w:sz="4" w:space="0" w:color="auto"/>
            </w:tcBorders>
            <w:shd w:val="clear" w:color="auto" w:fill="auto"/>
            <w:vAlign w:val="center"/>
            <w:hideMark/>
          </w:tcPr>
          <w:p w14:paraId="4D6600B3"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3,3</w:t>
            </w:r>
          </w:p>
        </w:tc>
        <w:tc>
          <w:tcPr>
            <w:tcW w:w="1096" w:type="dxa"/>
            <w:tcBorders>
              <w:top w:val="nil"/>
              <w:left w:val="nil"/>
              <w:bottom w:val="single" w:sz="4" w:space="0" w:color="auto"/>
              <w:right w:val="single" w:sz="4" w:space="0" w:color="auto"/>
            </w:tcBorders>
            <w:shd w:val="clear" w:color="auto" w:fill="auto"/>
            <w:vAlign w:val="center"/>
            <w:hideMark/>
          </w:tcPr>
          <w:p w14:paraId="5D35AB5E"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1,6</w:t>
            </w:r>
          </w:p>
        </w:tc>
        <w:tc>
          <w:tcPr>
            <w:tcW w:w="1149" w:type="dxa"/>
            <w:tcBorders>
              <w:top w:val="nil"/>
              <w:left w:val="nil"/>
              <w:bottom w:val="single" w:sz="4" w:space="0" w:color="auto"/>
              <w:right w:val="single" w:sz="4" w:space="0" w:color="auto"/>
            </w:tcBorders>
            <w:shd w:val="clear" w:color="auto" w:fill="auto"/>
            <w:vAlign w:val="center"/>
            <w:hideMark/>
          </w:tcPr>
          <w:p w14:paraId="6EFC14E7"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2,1</w:t>
            </w:r>
          </w:p>
        </w:tc>
        <w:tc>
          <w:tcPr>
            <w:tcW w:w="1119" w:type="dxa"/>
            <w:tcBorders>
              <w:top w:val="nil"/>
              <w:left w:val="nil"/>
              <w:bottom w:val="single" w:sz="4" w:space="0" w:color="auto"/>
              <w:right w:val="single" w:sz="4" w:space="0" w:color="auto"/>
            </w:tcBorders>
            <w:shd w:val="clear" w:color="auto" w:fill="auto"/>
            <w:vAlign w:val="center"/>
            <w:hideMark/>
          </w:tcPr>
          <w:p w14:paraId="57BAE75D"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2,4</w:t>
            </w:r>
          </w:p>
        </w:tc>
        <w:tc>
          <w:tcPr>
            <w:tcW w:w="3149" w:type="dxa"/>
            <w:tcBorders>
              <w:top w:val="nil"/>
              <w:left w:val="nil"/>
              <w:bottom w:val="single" w:sz="4" w:space="0" w:color="auto"/>
              <w:right w:val="single" w:sz="4" w:space="0" w:color="auto"/>
            </w:tcBorders>
            <w:shd w:val="clear" w:color="auto" w:fill="auto"/>
            <w:hideMark/>
          </w:tcPr>
          <w:p w14:paraId="384AC7F5" w14:textId="77777777" w:rsidR="00322AE9" w:rsidRPr="00322AE9" w:rsidRDefault="00322AE9" w:rsidP="00322AE9">
            <w:pPr>
              <w:ind w:firstLine="0"/>
              <w:jc w:val="left"/>
              <w:rPr>
                <w:rFonts w:eastAsia="Times New Roman" w:cs="Times New Roman"/>
                <w:color w:val="000000"/>
                <w:sz w:val="18"/>
                <w:szCs w:val="18"/>
                <w:lang w:eastAsia="ru-RU"/>
              </w:rPr>
            </w:pPr>
            <w:r w:rsidRPr="00322AE9">
              <w:rPr>
                <w:rFonts w:eastAsia="Times New Roman" w:cs="Times New Roman"/>
                <w:color w:val="000000"/>
                <w:sz w:val="18"/>
                <w:szCs w:val="18"/>
                <w:lang w:eastAsia="ru-RU"/>
              </w:rPr>
              <w:t>СП 118.13330.2012 "Общественные здания", п.4.5</w:t>
            </w:r>
          </w:p>
        </w:tc>
      </w:tr>
      <w:tr w:rsidR="00322AE9" w:rsidRPr="00322AE9" w14:paraId="5F97ED58" w14:textId="77777777" w:rsidTr="00322AE9">
        <w:trPr>
          <w:trHeight w:val="300"/>
          <w:jc w:val="center"/>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362D364A"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 </w:t>
            </w:r>
          </w:p>
        </w:tc>
        <w:tc>
          <w:tcPr>
            <w:tcW w:w="816" w:type="dxa"/>
            <w:tcBorders>
              <w:top w:val="nil"/>
              <w:left w:val="nil"/>
              <w:bottom w:val="single" w:sz="4" w:space="0" w:color="auto"/>
              <w:right w:val="single" w:sz="4" w:space="0" w:color="auto"/>
            </w:tcBorders>
            <w:shd w:val="clear" w:color="auto" w:fill="auto"/>
            <w:vAlign w:val="center"/>
            <w:hideMark/>
          </w:tcPr>
          <w:p w14:paraId="7F889709"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0805</w:t>
            </w:r>
          </w:p>
        </w:tc>
        <w:tc>
          <w:tcPr>
            <w:tcW w:w="2893" w:type="dxa"/>
            <w:tcBorders>
              <w:top w:val="nil"/>
              <w:left w:val="nil"/>
              <w:bottom w:val="single" w:sz="4" w:space="0" w:color="auto"/>
              <w:right w:val="single" w:sz="4" w:space="0" w:color="auto"/>
            </w:tcBorders>
            <w:shd w:val="clear" w:color="auto" w:fill="auto"/>
            <w:vAlign w:val="center"/>
            <w:hideMark/>
          </w:tcPr>
          <w:p w14:paraId="36173286" w14:textId="77777777" w:rsidR="00322AE9" w:rsidRPr="00322AE9" w:rsidRDefault="00322AE9" w:rsidP="00322AE9">
            <w:pPr>
              <w:ind w:firstLine="0"/>
              <w:jc w:val="left"/>
              <w:rPr>
                <w:rFonts w:eastAsia="Times New Roman" w:cs="Times New Roman"/>
                <w:color w:val="000000"/>
                <w:sz w:val="20"/>
                <w:szCs w:val="20"/>
                <w:lang w:eastAsia="ru-RU"/>
              </w:rPr>
            </w:pPr>
            <w:r w:rsidRPr="00322AE9">
              <w:rPr>
                <w:rFonts w:eastAsia="Times New Roman" w:cs="Times New Roman"/>
                <w:color w:val="000000"/>
                <w:sz w:val="20"/>
                <w:szCs w:val="20"/>
                <w:lang w:eastAsia="ru-RU"/>
              </w:rPr>
              <w:t>Памятники архитектурные, монументы</w:t>
            </w:r>
          </w:p>
        </w:tc>
        <w:tc>
          <w:tcPr>
            <w:tcW w:w="855" w:type="dxa"/>
            <w:tcBorders>
              <w:top w:val="nil"/>
              <w:left w:val="nil"/>
              <w:bottom w:val="single" w:sz="4" w:space="0" w:color="auto"/>
              <w:right w:val="single" w:sz="4" w:space="0" w:color="auto"/>
            </w:tcBorders>
            <w:shd w:val="clear" w:color="FFFFFF" w:fill="FFFFFF"/>
            <w:vAlign w:val="center"/>
            <w:hideMark/>
          </w:tcPr>
          <w:p w14:paraId="32FA1B11"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 </w:t>
            </w:r>
          </w:p>
        </w:tc>
        <w:tc>
          <w:tcPr>
            <w:tcW w:w="793" w:type="dxa"/>
            <w:tcBorders>
              <w:top w:val="nil"/>
              <w:left w:val="nil"/>
              <w:bottom w:val="single" w:sz="4" w:space="0" w:color="auto"/>
              <w:right w:val="single" w:sz="4" w:space="0" w:color="auto"/>
            </w:tcBorders>
            <w:shd w:val="clear" w:color="FFFFFF" w:fill="FFFFFF"/>
            <w:vAlign w:val="center"/>
            <w:hideMark/>
          </w:tcPr>
          <w:p w14:paraId="3FED3397"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2,7</w:t>
            </w:r>
          </w:p>
        </w:tc>
        <w:tc>
          <w:tcPr>
            <w:tcW w:w="992" w:type="dxa"/>
            <w:tcBorders>
              <w:top w:val="nil"/>
              <w:left w:val="nil"/>
              <w:bottom w:val="single" w:sz="4" w:space="0" w:color="auto"/>
              <w:right w:val="single" w:sz="4" w:space="0" w:color="auto"/>
            </w:tcBorders>
            <w:shd w:val="clear" w:color="auto" w:fill="auto"/>
            <w:vAlign w:val="center"/>
            <w:hideMark/>
          </w:tcPr>
          <w:p w14:paraId="09E10E96"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0,3</w:t>
            </w:r>
          </w:p>
        </w:tc>
        <w:tc>
          <w:tcPr>
            <w:tcW w:w="1030" w:type="dxa"/>
            <w:tcBorders>
              <w:top w:val="nil"/>
              <w:left w:val="nil"/>
              <w:bottom w:val="single" w:sz="4" w:space="0" w:color="auto"/>
              <w:right w:val="single" w:sz="4" w:space="0" w:color="auto"/>
            </w:tcBorders>
            <w:shd w:val="clear" w:color="auto" w:fill="auto"/>
            <w:vAlign w:val="center"/>
            <w:hideMark/>
          </w:tcPr>
          <w:p w14:paraId="19F94518"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3</w:t>
            </w:r>
          </w:p>
        </w:tc>
        <w:tc>
          <w:tcPr>
            <w:tcW w:w="1096" w:type="dxa"/>
            <w:tcBorders>
              <w:top w:val="nil"/>
              <w:left w:val="nil"/>
              <w:bottom w:val="single" w:sz="4" w:space="0" w:color="auto"/>
              <w:right w:val="single" w:sz="4" w:space="0" w:color="auto"/>
            </w:tcBorders>
            <w:shd w:val="clear" w:color="auto" w:fill="auto"/>
            <w:vAlign w:val="center"/>
            <w:hideMark/>
          </w:tcPr>
          <w:p w14:paraId="0ADC70D4"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1,6</w:t>
            </w:r>
          </w:p>
        </w:tc>
        <w:tc>
          <w:tcPr>
            <w:tcW w:w="1149" w:type="dxa"/>
            <w:tcBorders>
              <w:top w:val="nil"/>
              <w:left w:val="nil"/>
              <w:bottom w:val="single" w:sz="4" w:space="0" w:color="auto"/>
              <w:right w:val="single" w:sz="4" w:space="0" w:color="auto"/>
            </w:tcBorders>
            <w:shd w:val="clear" w:color="auto" w:fill="auto"/>
            <w:vAlign w:val="center"/>
            <w:hideMark/>
          </w:tcPr>
          <w:p w14:paraId="45E136F4"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2,1</w:t>
            </w:r>
          </w:p>
        </w:tc>
        <w:tc>
          <w:tcPr>
            <w:tcW w:w="1119" w:type="dxa"/>
            <w:tcBorders>
              <w:top w:val="nil"/>
              <w:left w:val="nil"/>
              <w:bottom w:val="single" w:sz="4" w:space="0" w:color="auto"/>
              <w:right w:val="single" w:sz="4" w:space="0" w:color="auto"/>
            </w:tcBorders>
            <w:shd w:val="clear" w:color="auto" w:fill="auto"/>
            <w:vAlign w:val="center"/>
            <w:hideMark/>
          </w:tcPr>
          <w:p w14:paraId="6C06027C"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2,4</w:t>
            </w:r>
          </w:p>
        </w:tc>
        <w:tc>
          <w:tcPr>
            <w:tcW w:w="3149" w:type="dxa"/>
            <w:tcBorders>
              <w:top w:val="nil"/>
              <w:left w:val="nil"/>
              <w:bottom w:val="single" w:sz="4" w:space="0" w:color="auto"/>
              <w:right w:val="single" w:sz="4" w:space="0" w:color="auto"/>
            </w:tcBorders>
            <w:shd w:val="clear" w:color="auto" w:fill="auto"/>
            <w:hideMark/>
          </w:tcPr>
          <w:p w14:paraId="3D9A32B4" w14:textId="77777777" w:rsidR="00322AE9" w:rsidRPr="00322AE9" w:rsidRDefault="00322AE9" w:rsidP="00322AE9">
            <w:pPr>
              <w:ind w:firstLine="0"/>
              <w:jc w:val="left"/>
              <w:rPr>
                <w:rFonts w:eastAsia="Times New Roman" w:cs="Times New Roman"/>
                <w:color w:val="000000"/>
                <w:sz w:val="18"/>
                <w:szCs w:val="18"/>
                <w:lang w:eastAsia="ru-RU"/>
              </w:rPr>
            </w:pPr>
            <w:r w:rsidRPr="00322AE9">
              <w:rPr>
                <w:rFonts w:eastAsia="Times New Roman" w:cs="Times New Roman"/>
                <w:color w:val="000000"/>
                <w:sz w:val="18"/>
                <w:szCs w:val="18"/>
                <w:lang w:eastAsia="ru-RU"/>
              </w:rPr>
              <w:t>СП 118.13330.2012 "Общественные здания", п.4.5</w:t>
            </w:r>
          </w:p>
        </w:tc>
      </w:tr>
      <w:tr w:rsidR="00322AE9" w:rsidRPr="00322AE9" w14:paraId="1A26BCBE" w14:textId="77777777" w:rsidTr="00322AE9">
        <w:trPr>
          <w:trHeight w:val="480"/>
          <w:jc w:val="center"/>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62792D85"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 </w:t>
            </w:r>
          </w:p>
        </w:tc>
        <w:tc>
          <w:tcPr>
            <w:tcW w:w="816" w:type="dxa"/>
            <w:tcBorders>
              <w:top w:val="nil"/>
              <w:left w:val="nil"/>
              <w:bottom w:val="single" w:sz="4" w:space="0" w:color="auto"/>
              <w:right w:val="single" w:sz="4" w:space="0" w:color="auto"/>
            </w:tcBorders>
            <w:shd w:val="clear" w:color="auto" w:fill="auto"/>
            <w:vAlign w:val="center"/>
            <w:hideMark/>
          </w:tcPr>
          <w:p w14:paraId="5DD43E60"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0806</w:t>
            </w:r>
          </w:p>
        </w:tc>
        <w:tc>
          <w:tcPr>
            <w:tcW w:w="2893" w:type="dxa"/>
            <w:tcBorders>
              <w:top w:val="nil"/>
              <w:left w:val="nil"/>
              <w:bottom w:val="single" w:sz="4" w:space="0" w:color="auto"/>
              <w:right w:val="single" w:sz="4" w:space="0" w:color="auto"/>
            </w:tcBorders>
            <w:shd w:val="clear" w:color="auto" w:fill="auto"/>
            <w:vAlign w:val="center"/>
            <w:hideMark/>
          </w:tcPr>
          <w:p w14:paraId="3269DAC4" w14:textId="77777777" w:rsidR="00322AE9" w:rsidRPr="00322AE9" w:rsidRDefault="00322AE9" w:rsidP="00322AE9">
            <w:pPr>
              <w:ind w:firstLine="0"/>
              <w:jc w:val="left"/>
              <w:rPr>
                <w:rFonts w:eastAsia="Times New Roman" w:cs="Times New Roman"/>
                <w:color w:val="000000"/>
                <w:sz w:val="20"/>
                <w:szCs w:val="20"/>
                <w:lang w:eastAsia="ru-RU"/>
              </w:rPr>
            </w:pPr>
            <w:r w:rsidRPr="00322AE9">
              <w:rPr>
                <w:rFonts w:eastAsia="Times New Roman" w:cs="Times New Roman"/>
                <w:color w:val="000000"/>
                <w:sz w:val="20"/>
                <w:szCs w:val="20"/>
                <w:lang w:eastAsia="ru-RU"/>
              </w:rPr>
              <w:t>Спортивные комплексы</w:t>
            </w:r>
          </w:p>
        </w:tc>
        <w:tc>
          <w:tcPr>
            <w:tcW w:w="855" w:type="dxa"/>
            <w:tcBorders>
              <w:top w:val="nil"/>
              <w:left w:val="nil"/>
              <w:bottom w:val="single" w:sz="4" w:space="0" w:color="auto"/>
              <w:right w:val="single" w:sz="4" w:space="0" w:color="auto"/>
            </w:tcBorders>
            <w:shd w:val="clear" w:color="FFFFFF" w:fill="FFFFFF"/>
            <w:vAlign w:val="center"/>
            <w:hideMark/>
          </w:tcPr>
          <w:p w14:paraId="21FA6EA4"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 </w:t>
            </w:r>
          </w:p>
        </w:tc>
        <w:tc>
          <w:tcPr>
            <w:tcW w:w="793" w:type="dxa"/>
            <w:tcBorders>
              <w:top w:val="nil"/>
              <w:left w:val="nil"/>
              <w:bottom w:val="single" w:sz="4" w:space="0" w:color="auto"/>
              <w:right w:val="single" w:sz="4" w:space="0" w:color="auto"/>
            </w:tcBorders>
            <w:shd w:val="clear" w:color="auto" w:fill="auto"/>
            <w:vAlign w:val="center"/>
            <w:hideMark/>
          </w:tcPr>
          <w:p w14:paraId="1F735076"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6,0</w:t>
            </w:r>
          </w:p>
        </w:tc>
        <w:tc>
          <w:tcPr>
            <w:tcW w:w="992" w:type="dxa"/>
            <w:tcBorders>
              <w:top w:val="nil"/>
              <w:left w:val="nil"/>
              <w:bottom w:val="single" w:sz="4" w:space="0" w:color="auto"/>
              <w:right w:val="single" w:sz="4" w:space="0" w:color="auto"/>
            </w:tcBorders>
            <w:shd w:val="clear" w:color="auto" w:fill="auto"/>
            <w:vAlign w:val="center"/>
            <w:hideMark/>
          </w:tcPr>
          <w:p w14:paraId="25E29244"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0,3</w:t>
            </w:r>
          </w:p>
        </w:tc>
        <w:tc>
          <w:tcPr>
            <w:tcW w:w="1030" w:type="dxa"/>
            <w:tcBorders>
              <w:top w:val="nil"/>
              <w:left w:val="nil"/>
              <w:bottom w:val="single" w:sz="4" w:space="0" w:color="auto"/>
              <w:right w:val="single" w:sz="4" w:space="0" w:color="auto"/>
            </w:tcBorders>
            <w:shd w:val="clear" w:color="auto" w:fill="auto"/>
            <w:vAlign w:val="center"/>
            <w:hideMark/>
          </w:tcPr>
          <w:p w14:paraId="0011F48D"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6,3</w:t>
            </w:r>
          </w:p>
        </w:tc>
        <w:tc>
          <w:tcPr>
            <w:tcW w:w="1096" w:type="dxa"/>
            <w:tcBorders>
              <w:top w:val="nil"/>
              <w:left w:val="nil"/>
              <w:bottom w:val="single" w:sz="4" w:space="0" w:color="auto"/>
              <w:right w:val="single" w:sz="4" w:space="0" w:color="auto"/>
            </w:tcBorders>
            <w:shd w:val="clear" w:color="auto" w:fill="auto"/>
            <w:vAlign w:val="center"/>
            <w:hideMark/>
          </w:tcPr>
          <w:p w14:paraId="4BDF8164"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1,6</w:t>
            </w:r>
          </w:p>
        </w:tc>
        <w:tc>
          <w:tcPr>
            <w:tcW w:w="1149" w:type="dxa"/>
            <w:tcBorders>
              <w:top w:val="nil"/>
              <w:left w:val="nil"/>
              <w:bottom w:val="single" w:sz="4" w:space="0" w:color="auto"/>
              <w:right w:val="single" w:sz="4" w:space="0" w:color="auto"/>
            </w:tcBorders>
            <w:shd w:val="clear" w:color="auto" w:fill="auto"/>
            <w:vAlign w:val="center"/>
            <w:hideMark/>
          </w:tcPr>
          <w:p w14:paraId="5873ADB3"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2,1</w:t>
            </w:r>
          </w:p>
        </w:tc>
        <w:tc>
          <w:tcPr>
            <w:tcW w:w="1119" w:type="dxa"/>
            <w:tcBorders>
              <w:top w:val="nil"/>
              <w:left w:val="nil"/>
              <w:bottom w:val="single" w:sz="4" w:space="0" w:color="auto"/>
              <w:right w:val="single" w:sz="4" w:space="0" w:color="auto"/>
            </w:tcBorders>
            <w:shd w:val="clear" w:color="auto" w:fill="auto"/>
            <w:vAlign w:val="center"/>
            <w:hideMark/>
          </w:tcPr>
          <w:p w14:paraId="68DB815E"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2,4</w:t>
            </w:r>
          </w:p>
        </w:tc>
        <w:tc>
          <w:tcPr>
            <w:tcW w:w="3149" w:type="dxa"/>
            <w:tcBorders>
              <w:top w:val="nil"/>
              <w:left w:val="nil"/>
              <w:bottom w:val="single" w:sz="4" w:space="0" w:color="auto"/>
              <w:right w:val="single" w:sz="4" w:space="0" w:color="auto"/>
            </w:tcBorders>
            <w:shd w:val="clear" w:color="FFFFFF" w:fill="FFFFFF"/>
            <w:hideMark/>
          </w:tcPr>
          <w:p w14:paraId="47FEEF14" w14:textId="77777777" w:rsidR="00322AE9" w:rsidRPr="00322AE9" w:rsidRDefault="00322AE9" w:rsidP="00322AE9">
            <w:pPr>
              <w:ind w:firstLine="0"/>
              <w:jc w:val="left"/>
              <w:rPr>
                <w:rFonts w:eastAsia="Times New Roman" w:cs="Times New Roman"/>
                <w:color w:val="000000"/>
                <w:sz w:val="18"/>
                <w:szCs w:val="18"/>
                <w:lang w:eastAsia="ru-RU"/>
              </w:rPr>
            </w:pPr>
            <w:r w:rsidRPr="00322AE9">
              <w:rPr>
                <w:rFonts w:eastAsia="Times New Roman" w:cs="Times New Roman"/>
                <w:color w:val="000000"/>
                <w:sz w:val="18"/>
                <w:szCs w:val="18"/>
                <w:lang w:eastAsia="ru-RU"/>
              </w:rPr>
              <w:t>СП 31-112-2004 "Физкультурно-спортивные залы", ч.1, п.3.2;</w:t>
            </w:r>
          </w:p>
        </w:tc>
      </w:tr>
      <w:tr w:rsidR="00322AE9" w:rsidRPr="00322AE9" w14:paraId="406034BC" w14:textId="77777777" w:rsidTr="00322AE9">
        <w:trPr>
          <w:trHeight w:val="480"/>
          <w:jc w:val="center"/>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5B237CC5"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 </w:t>
            </w:r>
          </w:p>
        </w:tc>
        <w:tc>
          <w:tcPr>
            <w:tcW w:w="816" w:type="dxa"/>
            <w:tcBorders>
              <w:top w:val="nil"/>
              <w:left w:val="nil"/>
              <w:bottom w:val="single" w:sz="4" w:space="0" w:color="auto"/>
              <w:right w:val="single" w:sz="4" w:space="0" w:color="auto"/>
            </w:tcBorders>
            <w:shd w:val="clear" w:color="auto" w:fill="auto"/>
            <w:vAlign w:val="center"/>
            <w:hideMark/>
          </w:tcPr>
          <w:p w14:paraId="7B7670CC"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0807</w:t>
            </w:r>
          </w:p>
        </w:tc>
        <w:tc>
          <w:tcPr>
            <w:tcW w:w="2893" w:type="dxa"/>
            <w:tcBorders>
              <w:top w:val="nil"/>
              <w:left w:val="nil"/>
              <w:bottom w:val="single" w:sz="4" w:space="0" w:color="auto"/>
              <w:right w:val="single" w:sz="4" w:space="0" w:color="auto"/>
            </w:tcBorders>
            <w:shd w:val="clear" w:color="auto" w:fill="auto"/>
            <w:vAlign w:val="center"/>
            <w:hideMark/>
          </w:tcPr>
          <w:p w14:paraId="09D23D25" w14:textId="77777777" w:rsidR="00322AE9" w:rsidRPr="00322AE9" w:rsidRDefault="00322AE9" w:rsidP="00322AE9">
            <w:pPr>
              <w:ind w:firstLine="0"/>
              <w:jc w:val="left"/>
              <w:rPr>
                <w:rFonts w:eastAsia="Times New Roman" w:cs="Times New Roman"/>
                <w:color w:val="000000"/>
                <w:sz w:val="20"/>
                <w:szCs w:val="20"/>
                <w:lang w:eastAsia="ru-RU"/>
              </w:rPr>
            </w:pPr>
            <w:r w:rsidRPr="00322AE9">
              <w:rPr>
                <w:rFonts w:eastAsia="Times New Roman" w:cs="Times New Roman"/>
                <w:color w:val="000000"/>
                <w:sz w:val="20"/>
                <w:szCs w:val="20"/>
                <w:lang w:eastAsia="ru-RU"/>
              </w:rPr>
              <w:t>Спортивные залы и корпуса, спортивные клубы</w:t>
            </w:r>
          </w:p>
        </w:tc>
        <w:tc>
          <w:tcPr>
            <w:tcW w:w="855" w:type="dxa"/>
            <w:tcBorders>
              <w:top w:val="nil"/>
              <w:left w:val="nil"/>
              <w:bottom w:val="single" w:sz="4" w:space="0" w:color="auto"/>
              <w:right w:val="single" w:sz="4" w:space="0" w:color="auto"/>
            </w:tcBorders>
            <w:shd w:val="clear" w:color="FFFFFF" w:fill="FFFFFF"/>
            <w:vAlign w:val="center"/>
            <w:hideMark/>
          </w:tcPr>
          <w:p w14:paraId="618071CE"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 </w:t>
            </w:r>
          </w:p>
        </w:tc>
        <w:tc>
          <w:tcPr>
            <w:tcW w:w="793" w:type="dxa"/>
            <w:tcBorders>
              <w:top w:val="nil"/>
              <w:left w:val="nil"/>
              <w:bottom w:val="single" w:sz="4" w:space="0" w:color="auto"/>
              <w:right w:val="single" w:sz="4" w:space="0" w:color="auto"/>
            </w:tcBorders>
            <w:shd w:val="clear" w:color="auto" w:fill="auto"/>
            <w:vAlign w:val="center"/>
            <w:hideMark/>
          </w:tcPr>
          <w:p w14:paraId="179AE2FA"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4,0</w:t>
            </w:r>
          </w:p>
        </w:tc>
        <w:tc>
          <w:tcPr>
            <w:tcW w:w="992" w:type="dxa"/>
            <w:tcBorders>
              <w:top w:val="nil"/>
              <w:left w:val="nil"/>
              <w:bottom w:val="single" w:sz="4" w:space="0" w:color="auto"/>
              <w:right w:val="single" w:sz="4" w:space="0" w:color="auto"/>
            </w:tcBorders>
            <w:shd w:val="clear" w:color="auto" w:fill="auto"/>
            <w:vAlign w:val="center"/>
            <w:hideMark/>
          </w:tcPr>
          <w:p w14:paraId="2C023CF4"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0,3</w:t>
            </w:r>
          </w:p>
        </w:tc>
        <w:tc>
          <w:tcPr>
            <w:tcW w:w="1030" w:type="dxa"/>
            <w:tcBorders>
              <w:top w:val="nil"/>
              <w:left w:val="nil"/>
              <w:bottom w:val="single" w:sz="4" w:space="0" w:color="auto"/>
              <w:right w:val="single" w:sz="4" w:space="0" w:color="auto"/>
            </w:tcBorders>
            <w:shd w:val="clear" w:color="auto" w:fill="auto"/>
            <w:vAlign w:val="center"/>
            <w:hideMark/>
          </w:tcPr>
          <w:p w14:paraId="6CE935F4"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4,3</w:t>
            </w:r>
          </w:p>
        </w:tc>
        <w:tc>
          <w:tcPr>
            <w:tcW w:w="1096" w:type="dxa"/>
            <w:tcBorders>
              <w:top w:val="nil"/>
              <w:left w:val="nil"/>
              <w:bottom w:val="single" w:sz="4" w:space="0" w:color="auto"/>
              <w:right w:val="single" w:sz="4" w:space="0" w:color="auto"/>
            </w:tcBorders>
            <w:shd w:val="clear" w:color="auto" w:fill="auto"/>
            <w:vAlign w:val="center"/>
            <w:hideMark/>
          </w:tcPr>
          <w:p w14:paraId="49C7BF43"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1,6</w:t>
            </w:r>
          </w:p>
        </w:tc>
        <w:tc>
          <w:tcPr>
            <w:tcW w:w="1149" w:type="dxa"/>
            <w:tcBorders>
              <w:top w:val="nil"/>
              <w:left w:val="nil"/>
              <w:bottom w:val="single" w:sz="4" w:space="0" w:color="auto"/>
              <w:right w:val="single" w:sz="4" w:space="0" w:color="auto"/>
            </w:tcBorders>
            <w:shd w:val="clear" w:color="auto" w:fill="auto"/>
            <w:vAlign w:val="center"/>
            <w:hideMark/>
          </w:tcPr>
          <w:p w14:paraId="0F013D4B"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2,1</w:t>
            </w:r>
          </w:p>
        </w:tc>
        <w:tc>
          <w:tcPr>
            <w:tcW w:w="1119" w:type="dxa"/>
            <w:tcBorders>
              <w:top w:val="nil"/>
              <w:left w:val="nil"/>
              <w:bottom w:val="single" w:sz="4" w:space="0" w:color="auto"/>
              <w:right w:val="single" w:sz="4" w:space="0" w:color="auto"/>
            </w:tcBorders>
            <w:shd w:val="clear" w:color="auto" w:fill="auto"/>
            <w:vAlign w:val="center"/>
            <w:hideMark/>
          </w:tcPr>
          <w:p w14:paraId="3D991274"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2,4</w:t>
            </w:r>
          </w:p>
        </w:tc>
        <w:tc>
          <w:tcPr>
            <w:tcW w:w="3149" w:type="dxa"/>
            <w:tcBorders>
              <w:top w:val="nil"/>
              <w:left w:val="nil"/>
              <w:bottom w:val="single" w:sz="4" w:space="0" w:color="auto"/>
              <w:right w:val="single" w:sz="4" w:space="0" w:color="auto"/>
            </w:tcBorders>
            <w:shd w:val="clear" w:color="FFFFFF" w:fill="FFFFFF"/>
            <w:hideMark/>
          </w:tcPr>
          <w:p w14:paraId="3465CC6D" w14:textId="77777777" w:rsidR="00322AE9" w:rsidRPr="00322AE9" w:rsidRDefault="00322AE9" w:rsidP="00322AE9">
            <w:pPr>
              <w:ind w:firstLine="0"/>
              <w:jc w:val="left"/>
              <w:rPr>
                <w:rFonts w:eastAsia="Times New Roman" w:cs="Times New Roman"/>
                <w:color w:val="000000"/>
                <w:sz w:val="18"/>
                <w:szCs w:val="18"/>
                <w:lang w:eastAsia="ru-RU"/>
              </w:rPr>
            </w:pPr>
            <w:r w:rsidRPr="00322AE9">
              <w:rPr>
                <w:rFonts w:eastAsia="Times New Roman" w:cs="Times New Roman"/>
                <w:color w:val="000000"/>
                <w:sz w:val="18"/>
                <w:szCs w:val="18"/>
                <w:lang w:eastAsia="ru-RU"/>
              </w:rPr>
              <w:t>СП 31-112-2004 "Физкультурно-спортивные залы", ч.1, п.3.2, Табл.3.1</w:t>
            </w:r>
          </w:p>
        </w:tc>
      </w:tr>
      <w:tr w:rsidR="00322AE9" w:rsidRPr="00322AE9" w14:paraId="7AC45098" w14:textId="77777777" w:rsidTr="00322AE9">
        <w:trPr>
          <w:trHeight w:val="480"/>
          <w:jc w:val="center"/>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45D3E08C"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 </w:t>
            </w:r>
          </w:p>
        </w:tc>
        <w:tc>
          <w:tcPr>
            <w:tcW w:w="816" w:type="dxa"/>
            <w:tcBorders>
              <w:top w:val="nil"/>
              <w:left w:val="nil"/>
              <w:bottom w:val="single" w:sz="4" w:space="0" w:color="auto"/>
              <w:right w:val="single" w:sz="4" w:space="0" w:color="auto"/>
            </w:tcBorders>
            <w:shd w:val="clear" w:color="auto" w:fill="auto"/>
            <w:vAlign w:val="center"/>
            <w:hideMark/>
          </w:tcPr>
          <w:p w14:paraId="6C5A22F0"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0808</w:t>
            </w:r>
          </w:p>
        </w:tc>
        <w:tc>
          <w:tcPr>
            <w:tcW w:w="2893" w:type="dxa"/>
            <w:tcBorders>
              <w:top w:val="nil"/>
              <w:left w:val="nil"/>
              <w:bottom w:val="single" w:sz="4" w:space="0" w:color="auto"/>
              <w:right w:val="single" w:sz="4" w:space="0" w:color="auto"/>
            </w:tcBorders>
            <w:shd w:val="clear" w:color="auto" w:fill="auto"/>
            <w:vAlign w:val="center"/>
            <w:hideMark/>
          </w:tcPr>
          <w:p w14:paraId="58FB4759" w14:textId="77777777" w:rsidR="00322AE9" w:rsidRPr="00322AE9" w:rsidRDefault="00322AE9" w:rsidP="00322AE9">
            <w:pPr>
              <w:ind w:firstLine="0"/>
              <w:jc w:val="left"/>
              <w:rPr>
                <w:rFonts w:eastAsia="Times New Roman" w:cs="Times New Roman"/>
                <w:color w:val="000000"/>
                <w:sz w:val="20"/>
                <w:szCs w:val="20"/>
                <w:lang w:eastAsia="ru-RU"/>
              </w:rPr>
            </w:pPr>
            <w:r w:rsidRPr="00322AE9">
              <w:rPr>
                <w:rFonts w:eastAsia="Times New Roman" w:cs="Times New Roman"/>
                <w:color w:val="000000"/>
                <w:sz w:val="20"/>
                <w:szCs w:val="20"/>
                <w:lang w:eastAsia="ru-RU"/>
              </w:rPr>
              <w:t>Стадионы, трибуны</w:t>
            </w:r>
          </w:p>
        </w:tc>
        <w:tc>
          <w:tcPr>
            <w:tcW w:w="855" w:type="dxa"/>
            <w:tcBorders>
              <w:top w:val="nil"/>
              <w:left w:val="nil"/>
              <w:bottom w:val="single" w:sz="4" w:space="0" w:color="auto"/>
              <w:right w:val="single" w:sz="4" w:space="0" w:color="auto"/>
            </w:tcBorders>
            <w:shd w:val="clear" w:color="FFFFFF" w:fill="FFFFFF"/>
            <w:vAlign w:val="center"/>
            <w:hideMark/>
          </w:tcPr>
          <w:p w14:paraId="3AED0C68"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 </w:t>
            </w:r>
          </w:p>
        </w:tc>
        <w:tc>
          <w:tcPr>
            <w:tcW w:w="793" w:type="dxa"/>
            <w:tcBorders>
              <w:top w:val="nil"/>
              <w:left w:val="nil"/>
              <w:bottom w:val="single" w:sz="4" w:space="0" w:color="auto"/>
              <w:right w:val="single" w:sz="4" w:space="0" w:color="auto"/>
            </w:tcBorders>
            <w:shd w:val="clear" w:color="auto" w:fill="auto"/>
            <w:vAlign w:val="center"/>
            <w:hideMark/>
          </w:tcPr>
          <w:p w14:paraId="3301BAEA"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8,0</w:t>
            </w:r>
          </w:p>
        </w:tc>
        <w:tc>
          <w:tcPr>
            <w:tcW w:w="992" w:type="dxa"/>
            <w:tcBorders>
              <w:top w:val="nil"/>
              <w:left w:val="nil"/>
              <w:bottom w:val="single" w:sz="4" w:space="0" w:color="auto"/>
              <w:right w:val="single" w:sz="4" w:space="0" w:color="auto"/>
            </w:tcBorders>
            <w:shd w:val="clear" w:color="auto" w:fill="auto"/>
            <w:vAlign w:val="center"/>
            <w:hideMark/>
          </w:tcPr>
          <w:p w14:paraId="646C6145"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0,3</w:t>
            </w:r>
          </w:p>
        </w:tc>
        <w:tc>
          <w:tcPr>
            <w:tcW w:w="1030" w:type="dxa"/>
            <w:tcBorders>
              <w:top w:val="nil"/>
              <w:left w:val="nil"/>
              <w:bottom w:val="single" w:sz="4" w:space="0" w:color="auto"/>
              <w:right w:val="single" w:sz="4" w:space="0" w:color="auto"/>
            </w:tcBorders>
            <w:shd w:val="clear" w:color="auto" w:fill="auto"/>
            <w:vAlign w:val="center"/>
            <w:hideMark/>
          </w:tcPr>
          <w:p w14:paraId="2CDC9219"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8,3</w:t>
            </w:r>
          </w:p>
        </w:tc>
        <w:tc>
          <w:tcPr>
            <w:tcW w:w="1096" w:type="dxa"/>
            <w:tcBorders>
              <w:top w:val="nil"/>
              <w:left w:val="nil"/>
              <w:bottom w:val="single" w:sz="4" w:space="0" w:color="auto"/>
              <w:right w:val="single" w:sz="4" w:space="0" w:color="auto"/>
            </w:tcBorders>
            <w:shd w:val="clear" w:color="auto" w:fill="auto"/>
            <w:vAlign w:val="center"/>
            <w:hideMark/>
          </w:tcPr>
          <w:p w14:paraId="24DD907E"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1,6</w:t>
            </w:r>
          </w:p>
        </w:tc>
        <w:tc>
          <w:tcPr>
            <w:tcW w:w="1149" w:type="dxa"/>
            <w:tcBorders>
              <w:top w:val="nil"/>
              <w:left w:val="nil"/>
              <w:bottom w:val="single" w:sz="4" w:space="0" w:color="auto"/>
              <w:right w:val="single" w:sz="4" w:space="0" w:color="auto"/>
            </w:tcBorders>
            <w:shd w:val="clear" w:color="auto" w:fill="auto"/>
            <w:vAlign w:val="center"/>
            <w:hideMark/>
          </w:tcPr>
          <w:p w14:paraId="62FCE938"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2,1</w:t>
            </w:r>
          </w:p>
        </w:tc>
        <w:tc>
          <w:tcPr>
            <w:tcW w:w="1119" w:type="dxa"/>
            <w:tcBorders>
              <w:top w:val="nil"/>
              <w:left w:val="nil"/>
              <w:bottom w:val="single" w:sz="4" w:space="0" w:color="auto"/>
              <w:right w:val="single" w:sz="4" w:space="0" w:color="auto"/>
            </w:tcBorders>
            <w:shd w:val="clear" w:color="auto" w:fill="auto"/>
            <w:vAlign w:val="center"/>
            <w:hideMark/>
          </w:tcPr>
          <w:p w14:paraId="1B8BF312"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2,4</w:t>
            </w:r>
          </w:p>
        </w:tc>
        <w:tc>
          <w:tcPr>
            <w:tcW w:w="3149" w:type="dxa"/>
            <w:tcBorders>
              <w:top w:val="nil"/>
              <w:left w:val="nil"/>
              <w:bottom w:val="single" w:sz="4" w:space="0" w:color="auto"/>
              <w:right w:val="single" w:sz="4" w:space="0" w:color="auto"/>
            </w:tcBorders>
            <w:shd w:val="clear" w:color="FFFFFF" w:fill="FFFFFF"/>
            <w:hideMark/>
          </w:tcPr>
          <w:p w14:paraId="62F8B854" w14:textId="77777777" w:rsidR="00322AE9" w:rsidRPr="00322AE9" w:rsidRDefault="00322AE9" w:rsidP="00322AE9">
            <w:pPr>
              <w:ind w:firstLine="0"/>
              <w:jc w:val="left"/>
              <w:rPr>
                <w:rFonts w:eastAsia="Times New Roman" w:cs="Times New Roman"/>
                <w:color w:val="000000"/>
                <w:sz w:val="18"/>
                <w:szCs w:val="18"/>
                <w:lang w:eastAsia="ru-RU"/>
              </w:rPr>
            </w:pPr>
            <w:r w:rsidRPr="00322AE9">
              <w:rPr>
                <w:rFonts w:eastAsia="Times New Roman" w:cs="Times New Roman"/>
                <w:color w:val="000000"/>
                <w:sz w:val="18"/>
                <w:szCs w:val="18"/>
                <w:lang w:eastAsia="ru-RU"/>
              </w:rPr>
              <w:t>СП 31-112-2004 "Физкультурно-спортивные залы", ч.1, п.3.2;</w:t>
            </w:r>
          </w:p>
        </w:tc>
      </w:tr>
      <w:tr w:rsidR="00322AE9" w:rsidRPr="00322AE9" w14:paraId="6BA9FD68" w14:textId="77777777" w:rsidTr="00322AE9">
        <w:trPr>
          <w:trHeight w:val="480"/>
          <w:jc w:val="center"/>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5854CE81"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 </w:t>
            </w:r>
          </w:p>
        </w:tc>
        <w:tc>
          <w:tcPr>
            <w:tcW w:w="816" w:type="dxa"/>
            <w:tcBorders>
              <w:top w:val="nil"/>
              <w:left w:val="nil"/>
              <w:bottom w:val="single" w:sz="4" w:space="0" w:color="auto"/>
              <w:right w:val="single" w:sz="4" w:space="0" w:color="auto"/>
            </w:tcBorders>
            <w:shd w:val="clear" w:color="auto" w:fill="auto"/>
            <w:vAlign w:val="center"/>
            <w:hideMark/>
          </w:tcPr>
          <w:p w14:paraId="48830B4C"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0809</w:t>
            </w:r>
          </w:p>
        </w:tc>
        <w:tc>
          <w:tcPr>
            <w:tcW w:w="2893" w:type="dxa"/>
            <w:tcBorders>
              <w:top w:val="nil"/>
              <w:left w:val="nil"/>
              <w:bottom w:val="single" w:sz="4" w:space="0" w:color="auto"/>
              <w:right w:val="single" w:sz="4" w:space="0" w:color="auto"/>
            </w:tcBorders>
            <w:shd w:val="clear" w:color="auto" w:fill="auto"/>
            <w:vAlign w:val="center"/>
            <w:hideMark/>
          </w:tcPr>
          <w:p w14:paraId="665533AE" w14:textId="77777777" w:rsidR="00322AE9" w:rsidRPr="00322AE9" w:rsidRDefault="00322AE9" w:rsidP="00322AE9">
            <w:pPr>
              <w:ind w:firstLine="0"/>
              <w:jc w:val="left"/>
              <w:rPr>
                <w:rFonts w:eastAsia="Times New Roman" w:cs="Times New Roman"/>
                <w:color w:val="000000"/>
                <w:sz w:val="20"/>
                <w:szCs w:val="20"/>
                <w:lang w:eastAsia="ru-RU"/>
              </w:rPr>
            </w:pPr>
            <w:r w:rsidRPr="00322AE9">
              <w:rPr>
                <w:rFonts w:eastAsia="Times New Roman" w:cs="Times New Roman"/>
                <w:color w:val="000000"/>
                <w:sz w:val="20"/>
                <w:szCs w:val="20"/>
                <w:lang w:eastAsia="ru-RU"/>
              </w:rPr>
              <w:t>Теннисные корты</w:t>
            </w:r>
          </w:p>
        </w:tc>
        <w:tc>
          <w:tcPr>
            <w:tcW w:w="855" w:type="dxa"/>
            <w:tcBorders>
              <w:top w:val="nil"/>
              <w:left w:val="nil"/>
              <w:bottom w:val="single" w:sz="4" w:space="0" w:color="auto"/>
              <w:right w:val="single" w:sz="4" w:space="0" w:color="auto"/>
            </w:tcBorders>
            <w:shd w:val="clear" w:color="FFFFFF" w:fill="FFFFFF"/>
            <w:vAlign w:val="center"/>
            <w:hideMark/>
          </w:tcPr>
          <w:p w14:paraId="6DAC8894"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 </w:t>
            </w:r>
          </w:p>
        </w:tc>
        <w:tc>
          <w:tcPr>
            <w:tcW w:w="793" w:type="dxa"/>
            <w:tcBorders>
              <w:top w:val="nil"/>
              <w:left w:val="nil"/>
              <w:bottom w:val="single" w:sz="4" w:space="0" w:color="auto"/>
              <w:right w:val="single" w:sz="4" w:space="0" w:color="auto"/>
            </w:tcBorders>
            <w:shd w:val="clear" w:color="auto" w:fill="auto"/>
            <w:vAlign w:val="center"/>
            <w:hideMark/>
          </w:tcPr>
          <w:p w14:paraId="0F0084F6"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8,0</w:t>
            </w:r>
          </w:p>
        </w:tc>
        <w:tc>
          <w:tcPr>
            <w:tcW w:w="992" w:type="dxa"/>
            <w:tcBorders>
              <w:top w:val="nil"/>
              <w:left w:val="nil"/>
              <w:bottom w:val="single" w:sz="4" w:space="0" w:color="auto"/>
              <w:right w:val="single" w:sz="4" w:space="0" w:color="auto"/>
            </w:tcBorders>
            <w:shd w:val="clear" w:color="auto" w:fill="auto"/>
            <w:vAlign w:val="center"/>
            <w:hideMark/>
          </w:tcPr>
          <w:p w14:paraId="21F99A20"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0,3</w:t>
            </w:r>
          </w:p>
        </w:tc>
        <w:tc>
          <w:tcPr>
            <w:tcW w:w="1030" w:type="dxa"/>
            <w:tcBorders>
              <w:top w:val="nil"/>
              <w:left w:val="nil"/>
              <w:bottom w:val="single" w:sz="4" w:space="0" w:color="auto"/>
              <w:right w:val="single" w:sz="4" w:space="0" w:color="auto"/>
            </w:tcBorders>
            <w:shd w:val="clear" w:color="auto" w:fill="auto"/>
            <w:vAlign w:val="center"/>
            <w:hideMark/>
          </w:tcPr>
          <w:p w14:paraId="7F9A7F69"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8,3</w:t>
            </w:r>
          </w:p>
        </w:tc>
        <w:tc>
          <w:tcPr>
            <w:tcW w:w="1096" w:type="dxa"/>
            <w:tcBorders>
              <w:top w:val="nil"/>
              <w:left w:val="nil"/>
              <w:bottom w:val="single" w:sz="4" w:space="0" w:color="auto"/>
              <w:right w:val="single" w:sz="4" w:space="0" w:color="auto"/>
            </w:tcBorders>
            <w:shd w:val="clear" w:color="auto" w:fill="auto"/>
            <w:vAlign w:val="center"/>
            <w:hideMark/>
          </w:tcPr>
          <w:p w14:paraId="6516CB6A"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1,6</w:t>
            </w:r>
          </w:p>
        </w:tc>
        <w:tc>
          <w:tcPr>
            <w:tcW w:w="1149" w:type="dxa"/>
            <w:tcBorders>
              <w:top w:val="nil"/>
              <w:left w:val="nil"/>
              <w:bottom w:val="single" w:sz="4" w:space="0" w:color="auto"/>
              <w:right w:val="single" w:sz="4" w:space="0" w:color="auto"/>
            </w:tcBorders>
            <w:shd w:val="clear" w:color="auto" w:fill="auto"/>
            <w:vAlign w:val="center"/>
            <w:hideMark/>
          </w:tcPr>
          <w:p w14:paraId="36868D7B"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2,1</w:t>
            </w:r>
          </w:p>
        </w:tc>
        <w:tc>
          <w:tcPr>
            <w:tcW w:w="1119" w:type="dxa"/>
            <w:tcBorders>
              <w:top w:val="nil"/>
              <w:left w:val="nil"/>
              <w:bottom w:val="single" w:sz="4" w:space="0" w:color="auto"/>
              <w:right w:val="single" w:sz="4" w:space="0" w:color="auto"/>
            </w:tcBorders>
            <w:shd w:val="clear" w:color="auto" w:fill="auto"/>
            <w:vAlign w:val="center"/>
            <w:hideMark/>
          </w:tcPr>
          <w:p w14:paraId="62EE77B5"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2,4</w:t>
            </w:r>
          </w:p>
        </w:tc>
        <w:tc>
          <w:tcPr>
            <w:tcW w:w="3149" w:type="dxa"/>
            <w:tcBorders>
              <w:top w:val="nil"/>
              <w:left w:val="nil"/>
              <w:bottom w:val="single" w:sz="4" w:space="0" w:color="auto"/>
              <w:right w:val="single" w:sz="4" w:space="0" w:color="auto"/>
            </w:tcBorders>
            <w:shd w:val="clear" w:color="FFFFFF" w:fill="FFFFFF"/>
            <w:hideMark/>
          </w:tcPr>
          <w:p w14:paraId="7173344A" w14:textId="77777777" w:rsidR="00322AE9" w:rsidRPr="00322AE9" w:rsidRDefault="00322AE9" w:rsidP="00322AE9">
            <w:pPr>
              <w:ind w:firstLine="0"/>
              <w:jc w:val="left"/>
              <w:rPr>
                <w:rFonts w:eastAsia="Times New Roman" w:cs="Times New Roman"/>
                <w:color w:val="000000"/>
                <w:sz w:val="18"/>
                <w:szCs w:val="18"/>
                <w:lang w:eastAsia="ru-RU"/>
              </w:rPr>
            </w:pPr>
            <w:r w:rsidRPr="00322AE9">
              <w:rPr>
                <w:rFonts w:eastAsia="Times New Roman" w:cs="Times New Roman"/>
                <w:color w:val="000000"/>
                <w:sz w:val="18"/>
                <w:szCs w:val="18"/>
                <w:lang w:eastAsia="ru-RU"/>
              </w:rPr>
              <w:t>СП 31-112-2004 "Физкультурно-спортивные залы", ч.1, п.3.2, Табл.3.1</w:t>
            </w:r>
          </w:p>
        </w:tc>
      </w:tr>
      <w:tr w:rsidR="00322AE9" w:rsidRPr="00322AE9" w14:paraId="3075D080" w14:textId="77777777" w:rsidTr="00322AE9">
        <w:trPr>
          <w:trHeight w:val="480"/>
          <w:jc w:val="center"/>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736B68CD"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 </w:t>
            </w:r>
          </w:p>
        </w:tc>
        <w:tc>
          <w:tcPr>
            <w:tcW w:w="816" w:type="dxa"/>
            <w:tcBorders>
              <w:top w:val="nil"/>
              <w:left w:val="nil"/>
              <w:bottom w:val="single" w:sz="4" w:space="0" w:color="auto"/>
              <w:right w:val="single" w:sz="4" w:space="0" w:color="auto"/>
            </w:tcBorders>
            <w:shd w:val="clear" w:color="auto" w:fill="auto"/>
            <w:vAlign w:val="center"/>
            <w:hideMark/>
          </w:tcPr>
          <w:p w14:paraId="7AA08192"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0810</w:t>
            </w:r>
          </w:p>
        </w:tc>
        <w:tc>
          <w:tcPr>
            <w:tcW w:w="2893" w:type="dxa"/>
            <w:tcBorders>
              <w:top w:val="nil"/>
              <w:left w:val="nil"/>
              <w:bottom w:val="single" w:sz="4" w:space="0" w:color="auto"/>
              <w:right w:val="single" w:sz="4" w:space="0" w:color="auto"/>
            </w:tcBorders>
            <w:shd w:val="clear" w:color="auto" w:fill="auto"/>
            <w:vAlign w:val="center"/>
            <w:hideMark/>
          </w:tcPr>
          <w:p w14:paraId="7A97BD0A" w14:textId="77777777" w:rsidR="00322AE9" w:rsidRPr="00322AE9" w:rsidRDefault="00322AE9" w:rsidP="00322AE9">
            <w:pPr>
              <w:ind w:firstLine="0"/>
              <w:jc w:val="left"/>
              <w:rPr>
                <w:rFonts w:eastAsia="Times New Roman" w:cs="Times New Roman"/>
                <w:color w:val="000000"/>
                <w:sz w:val="20"/>
                <w:szCs w:val="20"/>
                <w:lang w:eastAsia="ru-RU"/>
              </w:rPr>
            </w:pPr>
            <w:r w:rsidRPr="00322AE9">
              <w:rPr>
                <w:rFonts w:eastAsia="Times New Roman" w:cs="Times New Roman"/>
                <w:color w:val="000000"/>
                <w:sz w:val="20"/>
                <w:szCs w:val="20"/>
                <w:lang w:eastAsia="ru-RU"/>
              </w:rPr>
              <w:t>Тиры</w:t>
            </w:r>
          </w:p>
        </w:tc>
        <w:tc>
          <w:tcPr>
            <w:tcW w:w="855" w:type="dxa"/>
            <w:tcBorders>
              <w:top w:val="nil"/>
              <w:left w:val="nil"/>
              <w:bottom w:val="single" w:sz="4" w:space="0" w:color="auto"/>
              <w:right w:val="single" w:sz="4" w:space="0" w:color="auto"/>
            </w:tcBorders>
            <w:shd w:val="clear" w:color="FFFFFF" w:fill="FFFFFF"/>
            <w:vAlign w:val="center"/>
            <w:hideMark/>
          </w:tcPr>
          <w:p w14:paraId="2A3C2457"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 </w:t>
            </w:r>
          </w:p>
        </w:tc>
        <w:tc>
          <w:tcPr>
            <w:tcW w:w="793" w:type="dxa"/>
            <w:tcBorders>
              <w:top w:val="nil"/>
              <w:left w:val="nil"/>
              <w:bottom w:val="single" w:sz="4" w:space="0" w:color="auto"/>
              <w:right w:val="single" w:sz="4" w:space="0" w:color="auto"/>
            </w:tcBorders>
            <w:shd w:val="clear" w:color="auto" w:fill="auto"/>
            <w:vAlign w:val="center"/>
            <w:hideMark/>
          </w:tcPr>
          <w:p w14:paraId="604AF33F"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2,7</w:t>
            </w:r>
          </w:p>
        </w:tc>
        <w:tc>
          <w:tcPr>
            <w:tcW w:w="992" w:type="dxa"/>
            <w:tcBorders>
              <w:top w:val="nil"/>
              <w:left w:val="nil"/>
              <w:bottom w:val="single" w:sz="4" w:space="0" w:color="auto"/>
              <w:right w:val="single" w:sz="4" w:space="0" w:color="auto"/>
            </w:tcBorders>
            <w:shd w:val="clear" w:color="auto" w:fill="auto"/>
            <w:vAlign w:val="center"/>
            <w:hideMark/>
          </w:tcPr>
          <w:p w14:paraId="3662A954"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0,3</w:t>
            </w:r>
          </w:p>
        </w:tc>
        <w:tc>
          <w:tcPr>
            <w:tcW w:w="1030" w:type="dxa"/>
            <w:tcBorders>
              <w:top w:val="nil"/>
              <w:left w:val="nil"/>
              <w:bottom w:val="single" w:sz="4" w:space="0" w:color="auto"/>
              <w:right w:val="single" w:sz="4" w:space="0" w:color="auto"/>
            </w:tcBorders>
            <w:shd w:val="clear" w:color="auto" w:fill="auto"/>
            <w:vAlign w:val="center"/>
            <w:hideMark/>
          </w:tcPr>
          <w:p w14:paraId="0206D582"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3</w:t>
            </w:r>
          </w:p>
        </w:tc>
        <w:tc>
          <w:tcPr>
            <w:tcW w:w="1096" w:type="dxa"/>
            <w:tcBorders>
              <w:top w:val="nil"/>
              <w:left w:val="nil"/>
              <w:bottom w:val="single" w:sz="4" w:space="0" w:color="auto"/>
              <w:right w:val="single" w:sz="4" w:space="0" w:color="auto"/>
            </w:tcBorders>
            <w:shd w:val="clear" w:color="auto" w:fill="auto"/>
            <w:vAlign w:val="center"/>
            <w:hideMark/>
          </w:tcPr>
          <w:p w14:paraId="5B399578"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1,6</w:t>
            </w:r>
          </w:p>
        </w:tc>
        <w:tc>
          <w:tcPr>
            <w:tcW w:w="1149" w:type="dxa"/>
            <w:tcBorders>
              <w:top w:val="nil"/>
              <w:left w:val="nil"/>
              <w:bottom w:val="single" w:sz="4" w:space="0" w:color="auto"/>
              <w:right w:val="single" w:sz="4" w:space="0" w:color="auto"/>
            </w:tcBorders>
            <w:shd w:val="clear" w:color="auto" w:fill="auto"/>
            <w:vAlign w:val="center"/>
            <w:hideMark/>
          </w:tcPr>
          <w:p w14:paraId="4B28141B"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2,1</w:t>
            </w:r>
          </w:p>
        </w:tc>
        <w:tc>
          <w:tcPr>
            <w:tcW w:w="1119" w:type="dxa"/>
            <w:tcBorders>
              <w:top w:val="nil"/>
              <w:left w:val="nil"/>
              <w:bottom w:val="single" w:sz="4" w:space="0" w:color="auto"/>
              <w:right w:val="single" w:sz="4" w:space="0" w:color="auto"/>
            </w:tcBorders>
            <w:shd w:val="clear" w:color="auto" w:fill="auto"/>
            <w:vAlign w:val="center"/>
            <w:hideMark/>
          </w:tcPr>
          <w:p w14:paraId="5B9835C9"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2,4</w:t>
            </w:r>
          </w:p>
        </w:tc>
        <w:tc>
          <w:tcPr>
            <w:tcW w:w="3149" w:type="dxa"/>
            <w:tcBorders>
              <w:top w:val="nil"/>
              <w:left w:val="nil"/>
              <w:bottom w:val="single" w:sz="4" w:space="0" w:color="auto"/>
              <w:right w:val="single" w:sz="4" w:space="0" w:color="auto"/>
            </w:tcBorders>
            <w:shd w:val="clear" w:color="FFFFFF" w:fill="FFFFFF"/>
            <w:hideMark/>
          </w:tcPr>
          <w:p w14:paraId="79544206" w14:textId="77777777" w:rsidR="00322AE9" w:rsidRPr="00322AE9" w:rsidRDefault="00322AE9" w:rsidP="00322AE9">
            <w:pPr>
              <w:ind w:firstLine="0"/>
              <w:jc w:val="left"/>
              <w:rPr>
                <w:rFonts w:eastAsia="Times New Roman" w:cs="Times New Roman"/>
                <w:color w:val="000000"/>
                <w:sz w:val="18"/>
                <w:szCs w:val="18"/>
                <w:lang w:eastAsia="ru-RU"/>
              </w:rPr>
            </w:pPr>
            <w:r w:rsidRPr="00322AE9">
              <w:rPr>
                <w:rFonts w:eastAsia="Times New Roman" w:cs="Times New Roman"/>
                <w:color w:val="000000"/>
                <w:sz w:val="18"/>
                <w:szCs w:val="18"/>
                <w:lang w:eastAsia="ru-RU"/>
              </w:rPr>
              <w:t>СП 31-112-2004 "Физкультурно-спортивные залы", ч.1, п.3.2;</w:t>
            </w:r>
          </w:p>
        </w:tc>
      </w:tr>
      <w:tr w:rsidR="00322AE9" w:rsidRPr="00322AE9" w14:paraId="54D8B7E9" w14:textId="77777777" w:rsidTr="00322AE9">
        <w:trPr>
          <w:trHeight w:val="510"/>
          <w:jc w:val="center"/>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32CC7CC4"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 </w:t>
            </w:r>
          </w:p>
        </w:tc>
        <w:tc>
          <w:tcPr>
            <w:tcW w:w="816" w:type="dxa"/>
            <w:tcBorders>
              <w:top w:val="nil"/>
              <w:left w:val="nil"/>
              <w:bottom w:val="single" w:sz="4" w:space="0" w:color="auto"/>
              <w:right w:val="single" w:sz="4" w:space="0" w:color="auto"/>
            </w:tcBorders>
            <w:shd w:val="clear" w:color="auto" w:fill="auto"/>
            <w:vAlign w:val="center"/>
            <w:hideMark/>
          </w:tcPr>
          <w:p w14:paraId="69DB42DE"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0811</w:t>
            </w:r>
          </w:p>
        </w:tc>
        <w:tc>
          <w:tcPr>
            <w:tcW w:w="2893" w:type="dxa"/>
            <w:tcBorders>
              <w:top w:val="nil"/>
              <w:left w:val="nil"/>
              <w:bottom w:val="single" w:sz="4" w:space="0" w:color="auto"/>
              <w:right w:val="single" w:sz="4" w:space="0" w:color="auto"/>
            </w:tcBorders>
            <w:shd w:val="clear" w:color="auto" w:fill="auto"/>
            <w:vAlign w:val="center"/>
            <w:hideMark/>
          </w:tcPr>
          <w:p w14:paraId="1BA12C6C" w14:textId="77777777" w:rsidR="00322AE9" w:rsidRPr="00322AE9" w:rsidRDefault="00322AE9" w:rsidP="00322AE9">
            <w:pPr>
              <w:ind w:firstLine="0"/>
              <w:jc w:val="left"/>
              <w:rPr>
                <w:rFonts w:eastAsia="Times New Roman" w:cs="Times New Roman"/>
                <w:color w:val="000000"/>
                <w:sz w:val="20"/>
                <w:szCs w:val="20"/>
                <w:lang w:eastAsia="ru-RU"/>
              </w:rPr>
            </w:pPr>
            <w:r w:rsidRPr="00322AE9">
              <w:rPr>
                <w:rFonts w:eastAsia="Times New Roman" w:cs="Times New Roman"/>
                <w:color w:val="000000"/>
                <w:sz w:val="20"/>
                <w:szCs w:val="20"/>
                <w:lang w:eastAsia="ru-RU"/>
              </w:rPr>
              <w:t>Фитнес-центры, физкультурно-оздоровительные комплексы</w:t>
            </w:r>
          </w:p>
        </w:tc>
        <w:tc>
          <w:tcPr>
            <w:tcW w:w="855" w:type="dxa"/>
            <w:tcBorders>
              <w:top w:val="nil"/>
              <w:left w:val="nil"/>
              <w:bottom w:val="single" w:sz="4" w:space="0" w:color="auto"/>
              <w:right w:val="single" w:sz="4" w:space="0" w:color="auto"/>
            </w:tcBorders>
            <w:shd w:val="clear" w:color="FFFFFF" w:fill="FFFFFF"/>
            <w:vAlign w:val="center"/>
            <w:hideMark/>
          </w:tcPr>
          <w:p w14:paraId="1131E2AF"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 </w:t>
            </w:r>
          </w:p>
        </w:tc>
        <w:tc>
          <w:tcPr>
            <w:tcW w:w="793" w:type="dxa"/>
            <w:tcBorders>
              <w:top w:val="nil"/>
              <w:left w:val="nil"/>
              <w:bottom w:val="single" w:sz="4" w:space="0" w:color="auto"/>
              <w:right w:val="single" w:sz="4" w:space="0" w:color="auto"/>
            </w:tcBorders>
            <w:shd w:val="clear" w:color="auto" w:fill="auto"/>
            <w:vAlign w:val="center"/>
            <w:hideMark/>
          </w:tcPr>
          <w:p w14:paraId="41D216EF"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4,2</w:t>
            </w:r>
          </w:p>
        </w:tc>
        <w:tc>
          <w:tcPr>
            <w:tcW w:w="992" w:type="dxa"/>
            <w:tcBorders>
              <w:top w:val="nil"/>
              <w:left w:val="nil"/>
              <w:bottom w:val="single" w:sz="4" w:space="0" w:color="auto"/>
              <w:right w:val="single" w:sz="4" w:space="0" w:color="auto"/>
            </w:tcBorders>
            <w:shd w:val="clear" w:color="auto" w:fill="auto"/>
            <w:vAlign w:val="center"/>
            <w:hideMark/>
          </w:tcPr>
          <w:p w14:paraId="33C6B3FA"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0,3</w:t>
            </w:r>
          </w:p>
        </w:tc>
        <w:tc>
          <w:tcPr>
            <w:tcW w:w="1030" w:type="dxa"/>
            <w:tcBorders>
              <w:top w:val="nil"/>
              <w:left w:val="nil"/>
              <w:bottom w:val="single" w:sz="4" w:space="0" w:color="auto"/>
              <w:right w:val="single" w:sz="4" w:space="0" w:color="auto"/>
            </w:tcBorders>
            <w:shd w:val="clear" w:color="auto" w:fill="auto"/>
            <w:vAlign w:val="center"/>
            <w:hideMark/>
          </w:tcPr>
          <w:p w14:paraId="68F35FE6"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4,5</w:t>
            </w:r>
          </w:p>
        </w:tc>
        <w:tc>
          <w:tcPr>
            <w:tcW w:w="1096" w:type="dxa"/>
            <w:tcBorders>
              <w:top w:val="nil"/>
              <w:left w:val="nil"/>
              <w:bottom w:val="single" w:sz="4" w:space="0" w:color="auto"/>
              <w:right w:val="single" w:sz="4" w:space="0" w:color="auto"/>
            </w:tcBorders>
            <w:shd w:val="clear" w:color="auto" w:fill="auto"/>
            <w:vAlign w:val="center"/>
            <w:hideMark/>
          </w:tcPr>
          <w:p w14:paraId="5BB2F1D7"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1,6</w:t>
            </w:r>
          </w:p>
        </w:tc>
        <w:tc>
          <w:tcPr>
            <w:tcW w:w="1149" w:type="dxa"/>
            <w:tcBorders>
              <w:top w:val="nil"/>
              <w:left w:val="nil"/>
              <w:bottom w:val="single" w:sz="4" w:space="0" w:color="auto"/>
              <w:right w:val="single" w:sz="4" w:space="0" w:color="auto"/>
            </w:tcBorders>
            <w:shd w:val="clear" w:color="auto" w:fill="auto"/>
            <w:vAlign w:val="center"/>
            <w:hideMark/>
          </w:tcPr>
          <w:p w14:paraId="7AF4A589"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2,1</w:t>
            </w:r>
          </w:p>
        </w:tc>
        <w:tc>
          <w:tcPr>
            <w:tcW w:w="1119" w:type="dxa"/>
            <w:tcBorders>
              <w:top w:val="nil"/>
              <w:left w:val="nil"/>
              <w:bottom w:val="single" w:sz="4" w:space="0" w:color="auto"/>
              <w:right w:val="single" w:sz="4" w:space="0" w:color="auto"/>
            </w:tcBorders>
            <w:shd w:val="clear" w:color="auto" w:fill="auto"/>
            <w:vAlign w:val="center"/>
            <w:hideMark/>
          </w:tcPr>
          <w:p w14:paraId="167F7035"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2,4</w:t>
            </w:r>
          </w:p>
        </w:tc>
        <w:tc>
          <w:tcPr>
            <w:tcW w:w="3149" w:type="dxa"/>
            <w:tcBorders>
              <w:top w:val="nil"/>
              <w:left w:val="nil"/>
              <w:bottom w:val="single" w:sz="4" w:space="0" w:color="auto"/>
              <w:right w:val="single" w:sz="4" w:space="0" w:color="auto"/>
            </w:tcBorders>
            <w:shd w:val="clear" w:color="auto" w:fill="auto"/>
            <w:hideMark/>
          </w:tcPr>
          <w:p w14:paraId="32006969" w14:textId="77777777" w:rsidR="00322AE9" w:rsidRPr="00322AE9" w:rsidRDefault="00322AE9" w:rsidP="00322AE9">
            <w:pPr>
              <w:ind w:firstLine="0"/>
              <w:jc w:val="left"/>
              <w:rPr>
                <w:rFonts w:eastAsia="Times New Roman" w:cs="Times New Roman"/>
                <w:color w:val="000000"/>
                <w:sz w:val="18"/>
                <w:szCs w:val="18"/>
                <w:lang w:eastAsia="ru-RU"/>
              </w:rPr>
            </w:pPr>
            <w:r w:rsidRPr="00322AE9">
              <w:rPr>
                <w:rFonts w:eastAsia="Times New Roman" w:cs="Times New Roman"/>
                <w:color w:val="000000"/>
                <w:sz w:val="18"/>
                <w:szCs w:val="18"/>
                <w:lang w:eastAsia="ru-RU"/>
              </w:rPr>
              <w:t xml:space="preserve"> СП 158.13330.2014 "Здания и помещения медицинских организаций. Правила проектирования", таб.6.3</w:t>
            </w:r>
          </w:p>
        </w:tc>
      </w:tr>
      <w:tr w:rsidR="00322AE9" w:rsidRPr="00322AE9" w14:paraId="06F7397B" w14:textId="77777777" w:rsidTr="00322AE9">
        <w:trPr>
          <w:trHeight w:val="480"/>
          <w:jc w:val="center"/>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19144C86"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 </w:t>
            </w:r>
          </w:p>
        </w:tc>
        <w:tc>
          <w:tcPr>
            <w:tcW w:w="816" w:type="dxa"/>
            <w:tcBorders>
              <w:top w:val="nil"/>
              <w:left w:val="nil"/>
              <w:bottom w:val="single" w:sz="4" w:space="0" w:color="auto"/>
              <w:right w:val="single" w:sz="4" w:space="0" w:color="auto"/>
            </w:tcBorders>
            <w:shd w:val="clear" w:color="auto" w:fill="auto"/>
            <w:vAlign w:val="center"/>
            <w:hideMark/>
          </w:tcPr>
          <w:p w14:paraId="3AC87337"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0812</w:t>
            </w:r>
          </w:p>
        </w:tc>
        <w:tc>
          <w:tcPr>
            <w:tcW w:w="2893" w:type="dxa"/>
            <w:tcBorders>
              <w:top w:val="nil"/>
              <w:left w:val="nil"/>
              <w:bottom w:val="single" w:sz="4" w:space="0" w:color="auto"/>
              <w:right w:val="single" w:sz="4" w:space="0" w:color="auto"/>
            </w:tcBorders>
            <w:shd w:val="clear" w:color="auto" w:fill="auto"/>
            <w:vAlign w:val="center"/>
            <w:hideMark/>
          </w:tcPr>
          <w:p w14:paraId="36F8EA36" w14:textId="77777777" w:rsidR="00322AE9" w:rsidRPr="00322AE9" w:rsidRDefault="00322AE9" w:rsidP="00322AE9">
            <w:pPr>
              <w:ind w:firstLine="0"/>
              <w:jc w:val="left"/>
              <w:rPr>
                <w:rFonts w:eastAsia="Times New Roman" w:cs="Times New Roman"/>
                <w:color w:val="000000"/>
                <w:sz w:val="20"/>
                <w:szCs w:val="20"/>
                <w:lang w:eastAsia="ru-RU"/>
              </w:rPr>
            </w:pPr>
            <w:r w:rsidRPr="00322AE9">
              <w:rPr>
                <w:rFonts w:eastAsia="Times New Roman" w:cs="Times New Roman"/>
                <w:color w:val="000000"/>
                <w:sz w:val="20"/>
                <w:szCs w:val="20"/>
                <w:lang w:eastAsia="ru-RU"/>
              </w:rPr>
              <w:t>Крытые катки</w:t>
            </w:r>
          </w:p>
        </w:tc>
        <w:tc>
          <w:tcPr>
            <w:tcW w:w="855" w:type="dxa"/>
            <w:tcBorders>
              <w:top w:val="nil"/>
              <w:left w:val="nil"/>
              <w:bottom w:val="single" w:sz="4" w:space="0" w:color="auto"/>
              <w:right w:val="single" w:sz="4" w:space="0" w:color="auto"/>
            </w:tcBorders>
            <w:shd w:val="clear" w:color="FFFFFF" w:fill="FFFFFF"/>
            <w:vAlign w:val="center"/>
            <w:hideMark/>
          </w:tcPr>
          <w:p w14:paraId="063DDC4F"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 </w:t>
            </w:r>
          </w:p>
        </w:tc>
        <w:tc>
          <w:tcPr>
            <w:tcW w:w="793" w:type="dxa"/>
            <w:tcBorders>
              <w:top w:val="nil"/>
              <w:left w:val="nil"/>
              <w:bottom w:val="single" w:sz="4" w:space="0" w:color="auto"/>
              <w:right w:val="single" w:sz="4" w:space="0" w:color="auto"/>
            </w:tcBorders>
            <w:shd w:val="clear" w:color="auto" w:fill="auto"/>
            <w:vAlign w:val="center"/>
            <w:hideMark/>
          </w:tcPr>
          <w:p w14:paraId="0E396924"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6,0</w:t>
            </w:r>
          </w:p>
        </w:tc>
        <w:tc>
          <w:tcPr>
            <w:tcW w:w="992" w:type="dxa"/>
            <w:tcBorders>
              <w:top w:val="nil"/>
              <w:left w:val="nil"/>
              <w:bottom w:val="single" w:sz="4" w:space="0" w:color="auto"/>
              <w:right w:val="single" w:sz="4" w:space="0" w:color="auto"/>
            </w:tcBorders>
            <w:shd w:val="clear" w:color="auto" w:fill="auto"/>
            <w:vAlign w:val="center"/>
            <w:hideMark/>
          </w:tcPr>
          <w:p w14:paraId="4B834486"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0,3</w:t>
            </w:r>
          </w:p>
        </w:tc>
        <w:tc>
          <w:tcPr>
            <w:tcW w:w="1030" w:type="dxa"/>
            <w:tcBorders>
              <w:top w:val="nil"/>
              <w:left w:val="nil"/>
              <w:bottom w:val="single" w:sz="4" w:space="0" w:color="auto"/>
              <w:right w:val="single" w:sz="4" w:space="0" w:color="auto"/>
            </w:tcBorders>
            <w:shd w:val="clear" w:color="auto" w:fill="auto"/>
            <w:vAlign w:val="center"/>
            <w:hideMark/>
          </w:tcPr>
          <w:p w14:paraId="05E8963C"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6,3</w:t>
            </w:r>
          </w:p>
        </w:tc>
        <w:tc>
          <w:tcPr>
            <w:tcW w:w="1096" w:type="dxa"/>
            <w:tcBorders>
              <w:top w:val="nil"/>
              <w:left w:val="nil"/>
              <w:bottom w:val="single" w:sz="4" w:space="0" w:color="auto"/>
              <w:right w:val="single" w:sz="4" w:space="0" w:color="auto"/>
            </w:tcBorders>
            <w:shd w:val="clear" w:color="auto" w:fill="auto"/>
            <w:vAlign w:val="center"/>
            <w:hideMark/>
          </w:tcPr>
          <w:p w14:paraId="46D82F33"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1,6</w:t>
            </w:r>
          </w:p>
        </w:tc>
        <w:tc>
          <w:tcPr>
            <w:tcW w:w="1149" w:type="dxa"/>
            <w:tcBorders>
              <w:top w:val="nil"/>
              <w:left w:val="nil"/>
              <w:bottom w:val="single" w:sz="4" w:space="0" w:color="auto"/>
              <w:right w:val="single" w:sz="4" w:space="0" w:color="auto"/>
            </w:tcBorders>
            <w:shd w:val="clear" w:color="auto" w:fill="auto"/>
            <w:vAlign w:val="center"/>
            <w:hideMark/>
          </w:tcPr>
          <w:p w14:paraId="6E97823A"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2,1</w:t>
            </w:r>
          </w:p>
        </w:tc>
        <w:tc>
          <w:tcPr>
            <w:tcW w:w="1119" w:type="dxa"/>
            <w:tcBorders>
              <w:top w:val="nil"/>
              <w:left w:val="nil"/>
              <w:bottom w:val="single" w:sz="4" w:space="0" w:color="auto"/>
              <w:right w:val="single" w:sz="4" w:space="0" w:color="auto"/>
            </w:tcBorders>
            <w:shd w:val="clear" w:color="auto" w:fill="auto"/>
            <w:vAlign w:val="center"/>
            <w:hideMark/>
          </w:tcPr>
          <w:p w14:paraId="456BEEF2"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2,4</w:t>
            </w:r>
          </w:p>
        </w:tc>
        <w:tc>
          <w:tcPr>
            <w:tcW w:w="3149" w:type="dxa"/>
            <w:tcBorders>
              <w:top w:val="nil"/>
              <w:left w:val="nil"/>
              <w:bottom w:val="single" w:sz="4" w:space="0" w:color="auto"/>
              <w:right w:val="single" w:sz="4" w:space="0" w:color="auto"/>
            </w:tcBorders>
            <w:shd w:val="clear" w:color="FFFFFF" w:fill="FFFFFF"/>
            <w:hideMark/>
          </w:tcPr>
          <w:p w14:paraId="58BA87C3" w14:textId="77777777" w:rsidR="00322AE9" w:rsidRPr="00322AE9" w:rsidRDefault="00322AE9" w:rsidP="00322AE9">
            <w:pPr>
              <w:ind w:firstLine="0"/>
              <w:jc w:val="left"/>
              <w:rPr>
                <w:rFonts w:eastAsia="Times New Roman" w:cs="Times New Roman"/>
                <w:color w:val="000000"/>
                <w:sz w:val="18"/>
                <w:szCs w:val="18"/>
                <w:lang w:eastAsia="ru-RU"/>
              </w:rPr>
            </w:pPr>
            <w:r w:rsidRPr="00322AE9">
              <w:rPr>
                <w:rFonts w:eastAsia="Times New Roman" w:cs="Times New Roman"/>
                <w:color w:val="000000"/>
                <w:sz w:val="18"/>
                <w:szCs w:val="18"/>
                <w:lang w:eastAsia="ru-RU"/>
              </w:rPr>
              <w:t>СП 31-112-2004 "Физкультурно-спортивные залы", ч.3, п.3.1.2;</w:t>
            </w:r>
          </w:p>
        </w:tc>
      </w:tr>
      <w:tr w:rsidR="00322AE9" w:rsidRPr="00322AE9" w14:paraId="3219D7AE" w14:textId="77777777" w:rsidTr="00322AE9">
        <w:trPr>
          <w:trHeight w:val="720"/>
          <w:jc w:val="center"/>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5564DDE7"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 </w:t>
            </w:r>
          </w:p>
        </w:tc>
        <w:tc>
          <w:tcPr>
            <w:tcW w:w="816" w:type="dxa"/>
            <w:tcBorders>
              <w:top w:val="nil"/>
              <w:left w:val="nil"/>
              <w:bottom w:val="single" w:sz="4" w:space="0" w:color="auto"/>
              <w:right w:val="single" w:sz="4" w:space="0" w:color="auto"/>
            </w:tcBorders>
            <w:shd w:val="clear" w:color="auto" w:fill="auto"/>
            <w:vAlign w:val="center"/>
            <w:hideMark/>
          </w:tcPr>
          <w:p w14:paraId="19A1C5EE"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0813</w:t>
            </w:r>
          </w:p>
        </w:tc>
        <w:tc>
          <w:tcPr>
            <w:tcW w:w="2893" w:type="dxa"/>
            <w:tcBorders>
              <w:top w:val="nil"/>
              <w:left w:val="nil"/>
              <w:bottom w:val="single" w:sz="4" w:space="0" w:color="auto"/>
              <w:right w:val="single" w:sz="4" w:space="0" w:color="auto"/>
            </w:tcBorders>
            <w:shd w:val="clear" w:color="auto" w:fill="auto"/>
            <w:vAlign w:val="center"/>
            <w:hideMark/>
          </w:tcPr>
          <w:p w14:paraId="6E32FB39" w14:textId="77777777" w:rsidR="00322AE9" w:rsidRPr="00322AE9" w:rsidRDefault="00322AE9" w:rsidP="00322AE9">
            <w:pPr>
              <w:ind w:firstLine="0"/>
              <w:jc w:val="left"/>
              <w:rPr>
                <w:rFonts w:eastAsia="Times New Roman" w:cs="Times New Roman"/>
                <w:color w:val="000000"/>
                <w:sz w:val="20"/>
                <w:szCs w:val="20"/>
                <w:lang w:eastAsia="ru-RU"/>
              </w:rPr>
            </w:pPr>
            <w:r w:rsidRPr="00322AE9">
              <w:rPr>
                <w:rFonts w:eastAsia="Times New Roman" w:cs="Times New Roman"/>
                <w:color w:val="000000"/>
                <w:sz w:val="20"/>
                <w:szCs w:val="20"/>
                <w:lang w:eastAsia="ru-RU"/>
              </w:rPr>
              <w:t>Бассейны для плавания</w:t>
            </w:r>
          </w:p>
        </w:tc>
        <w:tc>
          <w:tcPr>
            <w:tcW w:w="855" w:type="dxa"/>
            <w:tcBorders>
              <w:top w:val="nil"/>
              <w:left w:val="nil"/>
              <w:bottom w:val="single" w:sz="4" w:space="0" w:color="auto"/>
              <w:right w:val="single" w:sz="4" w:space="0" w:color="auto"/>
            </w:tcBorders>
            <w:shd w:val="clear" w:color="FFFFFF" w:fill="FFFFFF"/>
            <w:vAlign w:val="center"/>
            <w:hideMark/>
          </w:tcPr>
          <w:p w14:paraId="34DCA9A7"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 </w:t>
            </w:r>
          </w:p>
        </w:tc>
        <w:tc>
          <w:tcPr>
            <w:tcW w:w="793" w:type="dxa"/>
            <w:tcBorders>
              <w:top w:val="nil"/>
              <w:left w:val="nil"/>
              <w:bottom w:val="single" w:sz="4" w:space="0" w:color="auto"/>
              <w:right w:val="single" w:sz="4" w:space="0" w:color="auto"/>
            </w:tcBorders>
            <w:shd w:val="clear" w:color="auto" w:fill="auto"/>
            <w:vAlign w:val="center"/>
            <w:hideMark/>
          </w:tcPr>
          <w:p w14:paraId="10652D88"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4,2</w:t>
            </w:r>
          </w:p>
        </w:tc>
        <w:tc>
          <w:tcPr>
            <w:tcW w:w="992" w:type="dxa"/>
            <w:tcBorders>
              <w:top w:val="nil"/>
              <w:left w:val="nil"/>
              <w:bottom w:val="single" w:sz="4" w:space="0" w:color="auto"/>
              <w:right w:val="single" w:sz="4" w:space="0" w:color="auto"/>
            </w:tcBorders>
            <w:shd w:val="clear" w:color="auto" w:fill="auto"/>
            <w:vAlign w:val="center"/>
            <w:hideMark/>
          </w:tcPr>
          <w:p w14:paraId="14908749"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0,3</w:t>
            </w:r>
          </w:p>
        </w:tc>
        <w:tc>
          <w:tcPr>
            <w:tcW w:w="1030" w:type="dxa"/>
            <w:tcBorders>
              <w:top w:val="nil"/>
              <w:left w:val="nil"/>
              <w:bottom w:val="single" w:sz="4" w:space="0" w:color="auto"/>
              <w:right w:val="single" w:sz="4" w:space="0" w:color="auto"/>
            </w:tcBorders>
            <w:shd w:val="clear" w:color="auto" w:fill="auto"/>
            <w:vAlign w:val="center"/>
            <w:hideMark/>
          </w:tcPr>
          <w:p w14:paraId="07A2BCF0"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4,5</w:t>
            </w:r>
          </w:p>
        </w:tc>
        <w:tc>
          <w:tcPr>
            <w:tcW w:w="1096" w:type="dxa"/>
            <w:tcBorders>
              <w:top w:val="nil"/>
              <w:left w:val="nil"/>
              <w:bottom w:val="single" w:sz="4" w:space="0" w:color="auto"/>
              <w:right w:val="single" w:sz="4" w:space="0" w:color="auto"/>
            </w:tcBorders>
            <w:shd w:val="clear" w:color="auto" w:fill="auto"/>
            <w:vAlign w:val="center"/>
            <w:hideMark/>
          </w:tcPr>
          <w:p w14:paraId="0936E642"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1,6</w:t>
            </w:r>
          </w:p>
        </w:tc>
        <w:tc>
          <w:tcPr>
            <w:tcW w:w="1149" w:type="dxa"/>
            <w:tcBorders>
              <w:top w:val="nil"/>
              <w:left w:val="nil"/>
              <w:bottom w:val="single" w:sz="4" w:space="0" w:color="auto"/>
              <w:right w:val="single" w:sz="4" w:space="0" w:color="auto"/>
            </w:tcBorders>
            <w:shd w:val="clear" w:color="auto" w:fill="auto"/>
            <w:vAlign w:val="center"/>
            <w:hideMark/>
          </w:tcPr>
          <w:p w14:paraId="1A2C25C1"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2,1</w:t>
            </w:r>
          </w:p>
        </w:tc>
        <w:tc>
          <w:tcPr>
            <w:tcW w:w="1119" w:type="dxa"/>
            <w:tcBorders>
              <w:top w:val="nil"/>
              <w:left w:val="nil"/>
              <w:bottom w:val="single" w:sz="4" w:space="0" w:color="auto"/>
              <w:right w:val="single" w:sz="4" w:space="0" w:color="auto"/>
            </w:tcBorders>
            <w:shd w:val="clear" w:color="auto" w:fill="auto"/>
            <w:vAlign w:val="center"/>
            <w:hideMark/>
          </w:tcPr>
          <w:p w14:paraId="2AB1244C"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2,4</w:t>
            </w:r>
          </w:p>
        </w:tc>
        <w:tc>
          <w:tcPr>
            <w:tcW w:w="3149" w:type="dxa"/>
            <w:tcBorders>
              <w:top w:val="nil"/>
              <w:left w:val="nil"/>
              <w:bottom w:val="single" w:sz="4" w:space="0" w:color="auto"/>
              <w:right w:val="single" w:sz="4" w:space="0" w:color="auto"/>
            </w:tcBorders>
            <w:shd w:val="clear" w:color="auto" w:fill="auto"/>
            <w:hideMark/>
          </w:tcPr>
          <w:p w14:paraId="68CA4083" w14:textId="77777777" w:rsidR="00322AE9" w:rsidRPr="00322AE9" w:rsidRDefault="00322AE9" w:rsidP="00322AE9">
            <w:pPr>
              <w:ind w:firstLine="0"/>
              <w:jc w:val="left"/>
              <w:rPr>
                <w:rFonts w:eastAsia="Times New Roman" w:cs="Times New Roman"/>
                <w:color w:val="000000"/>
                <w:sz w:val="18"/>
                <w:szCs w:val="18"/>
                <w:lang w:eastAsia="ru-RU"/>
              </w:rPr>
            </w:pPr>
            <w:r w:rsidRPr="00322AE9">
              <w:rPr>
                <w:rFonts w:eastAsia="Times New Roman" w:cs="Times New Roman"/>
                <w:color w:val="000000"/>
                <w:sz w:val="18"/>
                <w:szCs w:val="18"/>
                <w:lang w:eastAsia="ru-RU"/>
              </w:rPr>
              <w:t>СП 31-113-2004 "Бассейны для плавания", п.4.1.2; СП 158.13330.2014, "Здания и помещения медицинских организаций. Правила проектирования", таб.6.3</w:t>
            </w:r>
          </w:p>
        </w:tc>
      </w:tr>
      <w:tr w:rsidR="00322AE9" w:rsidRPr="00322AE9" w14:paraId="05672D3D" w14:textId="77777777" w:rsidTr="00322AE9">
        <w:trPr>
          <w:trHeight w:val="480"/>
          <w:jc w:val="center"/>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2473EBE1"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 </w:t>
            </w:r>
          </w:p>
        </w:tc>
        <w:tc>
          <w:tcPr>
            <w:tcW w:w="816" w:type="dxa"/>
            <w:tcBorders>
              <w:top w:val="nil"/>
              <w:left w:val="nil"/>
              <w:bottom w:val="single" w:sz="4" w:space="0" w:color="auto"/>
              <w:right w:val="single" w:sz="4" w:space="0" w:color="auto"/>
            </w:tcBorders>
            <w:shd w:val="clear" w:color="auto" w:fill="auto"/>
            <w:vAlign w:val="center"/>
            <w:hideMark/>
          </w:tcPr>
          <w:p w14:paraId="0E2CDD06"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0814</w:t>
            </w:r>
          </w:p>
        </w:tc>
        <w:tc>
          <w:tcPr>
            <w:tcW w:w="2893" w:type="dxa"/>
            <w:tcBorders>
              <w:top w:val="nil"/>
              <w:left w:val="nil"/>
              <w:bottom w:val="single" w:sz="4" w:space="0" w:color="auto"/>
              <w:right w:val="single" w:sz="4" w:space="0" w:color="auto"/>
            </w:tcBorders>
            <w:shd w:val="clear" w:color="auto" w:fill="auto"/>
            <w:vAlign w:val="center"/>
            <w:hideMark/>
          </w:tcPr>
          <w:p w14:paraId="6A27F130" w14:textId="77777777" w:rsidR="00322AE9" w:rsidRPr="00322AE9" w:rsidRDefault="00322AE9" w:rsidP="00322AE9">
            <w:pPr>
              <w:ind w:firstLine="0"/>
              <w:jc w:val="left"/>
              <w:rPr>
                <w:rFonts w:eastAsia="Times New Roman" w:cs="Times New Roman"/>
                <w:color w:val="000000"/>
                <w:sz w:val="20"/>
                <w:szCs w:val="20"/>
                <w:lang w:eastAsia="ru-RU"/>
              </w:rPr>
            </w:pPr>
            <w:r w:rsidRPr="00322AE9">
              <w:rPr>
                <w:rFonts w:eastAsia="Times New Roman" w:cs="Times New Roman"/>
                <w:color w:val="000000"/>
                <w:sz w:val="20"/>
                <w:szCs w:val="20"/>
                <w:lang w:eastAsia="ru-RU"/>
              </w:rPr>
              <w:t>Яхт-клубы</w:t>
            </w:r>
          </w:p>
        </w:tc>
        <w:tc>
          <w:tcPr>
            <w:tcW w:w="855" w:type="dxa"/>
            <w:tcBorders>
              <w:top w:val="nil"/>
              <w:left w:val="nil"/>
              <w:bottom w:val="single" w:sz="4" w:space="0" w:color="auto"/>
              <w:right w:val="single" w:sz="4" w:space="0" w:color="auto"/>
            </w:tcBorders>
            <w:shd w:val="clear" w:color="FFFFFF" w:fill="FFFFFF"/>
            <w:vAlign w:val="center"/>
            <w:hideMark/>
          </w:tcPr>
          <w:p w14:paraId="195CBF9E"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 </w:t>
            </w:r>
          </w:p>
        </w:tc>
        <w:tc>
          <w:tcPr>
            <w:tcW w:w="793" w:type="dxa"/>
            <w:tcBorders>
              <w:top w:val="nil"/>
              <w:left w:val="nil"/>
              <w:bottom w:val="single" w:sz="4" w:space="0" w:color="auto"/>
              <w:right w:val="single" w:sz="4" w:space="0" w:color="auto"/>
            </w:tcBorders>
            <w:shd w:val="clear" w:color="auto" w:fill="auto"/>
            <w:vAlign w:val="center"/>
            <w:hideMark/>
          </w:tcPr>
          <w:p w14:paraId="162FC992"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2,7</w:t>
            </w:r>
          </w:p>
        </w:tc>
        <w:tc>
          <w:tcPr>
            <w:tcW w:w="992" w:type="dxa"/>
            <w:tcBorders>
              <w:top w:val="nil"/>
              <w:left w:val="nil"/>
              <w:bottom w:val="single" w:sz="4" w:space="0" w:color="auto"/>
              <w:right w:val="single" w:sz="4" w:space="0" w:color="auto"/>
            </w:tcBorders>
            <w:shd w:val="clear" w:color="auto" w:fill="auto"/>
            <w:vAlign w:val="center"/>
            <w:hideMark/>
          </w:tcPr>
          <w:p w14:paraId="4254B038"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0,3</w:t>
            </w:r>
          </w:p>
        </w:tc>
        <w:tc>
          <w:tcPr>
            <w:tcW w:w="1030" w:type="dxa"/>
            <w:tcBorders>
              <w:top w:val="nil"/>
              <w:left w:val="nil"/>
              <w:bottom w:val="single" w:sz="4" w:space="0" w:color="auto"/>
              <w:right w:val="single" w:sz="4" w:space="0" w:color="auto"/>
            </w:tcBorders>
            <w:shd w:val="clear" w:color="auto" w:fill="auto"/>
            <w:vAlign w:val="center"/>
            <w:hideMark/>
          </w:tcPr>
          <w:p w14:paraId="45F92770"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3</w:t>
            </w:r>
          </w:p>
        </w:tc>
        <w:tc>
          <w:tcPr>
            <w:tcW w:w="1096" w:type="dxa"/>
            <w:tcBorders>
              <w:top w:val="nil"/>
              <w:left w:val="nil"/>
              <w:bottom w:val="single" w:sz="4" w:space="0" w:color="auto"/>
              <w:right w:val="single" w:sz="4" w:space="0" w:color="auto"/>
            </w:tcBorders>
            <w:shd w:val="clear" w:color="auto" w:fill="auto"/>
            <w:vAlign w:val="center"/>
            <w:hideMark/>
          </w:tcPr>
          <w:p w14:paraId="026ADE64"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1,6</w:t>
            </w:r>
          </w:p>
        </w:tc>
        <w:tc>
          <w:tcPr>
            <w:tcW w:w="1149" w:type="dxa"/>
            <w:tcBorders>
              <w:top w:val="nil"/>
              <w:left w:val="nil"/>
              <w:bottom w:val="single" w:sz="4" w:space="0" w:color="auto"/>
              <w:right w:val="single" w:sz="4" w:space="0" w:color="auto"/>
            </w:tcBorders>
            <w:shd w:val="clear" w:color="auto" w:fill="auto"/>
            <w:vAlign w:val="center"/>
            <w:hideMark/>
          </w:tcPr>
          <w:p w14:paraId="58E2489E"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2,1</w:t>
            </w:r>
          </w:p>
        </w:tc>
        <w:tc>
          <w:tcPr>
            <w:tcW w:w="1119" w:type="dxa"/>
            <w:tcBorders>
              <w:top w:val="nil"/>
              <w:left w:val="nil"/>
              <w:bottom w:val="single" w:sz="4" w:space="0" w:color="auto"/>
              <w:right w:val="single" w:sz="4" w:space="0" w:color="auto"/>
            </w:tcBorders>
            <w:shd w:val="clear" w:color="auto" w:fill="auto"/>
            <w:vAlign w:val="center"/>
            <w:hideMark/>
          </w:tcPr>
          <w:p w14:paraId="7C08A845"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2,4</w:t>
            </w:r>
          </w:p>
        </w:tc>
        <w:tc>
          <w:tcPr>
            <w:tcW w:w="3149" w:type="dxa"/>
            <w:tcBorders>
              <w:top w:val="nil"/>
              <w:left w:val="nil"/>
              <w:bottom w:val="single" w:sz="4" w:space="0" w:color="auto"/>
              <w:right w:val="single" w:sz="4" w:space="0" w:color="auto"/>
            </w:tcBorders>
            <w:shd w:val="clear" w:color="FFFFFF" w:fill="FFFFFF"/>
            <w:hideMark/>
          </w:tcPr>
          <w:p w14:paraId="732C4BDC" w14:textId="77777777" w:rsidR="00322AE9" w:rsidRPr="00322AE9" w:rsidRDefault="00322AE9" w:rsidP="00322AE9">
            <w:pPr>
              <w:ind w:firstLine="0"/>
              <w:jc w:val="left"/>
              <w:rPr>
                <w:rFonts w:eastAsia="Times New Roman" w:cs="Times New Roman"/>
                <w:color w:val="000000"/>
                <w:sz w:val="18"/>
                <w:szCs w:val="18"/>
                <w:lang w:eastAsia="ru-RU"/>
              </w:rPr>
            </w:pPr>
            <w:r w:rsidRPr="00322AE9">
              <w:rPr>
                <w:rFonts w:eastAsia="Times New Roman" w:cs="Times New Roman"/>
                <w:color w:val="000000"/>
                <w:sz w:val="18"/>
                <w:szCs w:val="18"/>
                <w:lang w:eastAsia="ru-RU"/>
              </w:rPr>
              <w:t>СП 31-112-2004 "Физкультурно-спортивные залы", ч.1, п.3.2;</w:t>
            </w:r>
          </w:p>
        </w:tc>
      </w:tr>
      <w:tr w:rsidR="00322AE9" w:rsidRPr="00322AE9" w14:paraId="713ACB43" w14:textId="77777777" w:rsidTr="00322AE9">
        <w:trPr>
          <w:trHeight w:val="510"/>
          <w:jc w:val="center"/>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623F2971"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 </w:t>
            </w:r>
          </w:p>
        </w:tc>
        <w:tc>
          <w:tcPr>
            <w:tcW w:w="816" w:type="dxa"/>
            <w:tcBorders>
              <w:top w:val="nil"/>
              <w:left w:val="nil"/>
              <w:bottom w:val="single" w:sz="4" w:space="0" w:color="auto"/>
              <w:right w:val="single" w:sz="4" w:space="0" w:color="auto"/>
            </w:tcBorders>
            <w:shd w:val="clear" w:color="auto" w:fill="auto"/>
            <w:vAlign w:val="center"/>
            <w:hideMark/>
          </w:tcPr>
          <w:p w14:paraId="2C25BB4E"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0815</w:t>
            </w:r>
          </w:p>
        </w:tc>
        <w:tc>
          <w:tcPr>
            <w:tcW w:w="2893" w:type="dxa"/>
            <w:tcBorders>
              <w:top w:val="nil"/>
              <w:left w:val="nil"/>
              <w:bottom w:val="single" w:sz="4" w:space="0" w:color="auto"/>
              <w:right w:val="single" w:sz="4" w:space="0" w:color="auto"/>
            </w:tcBorders>
            <w:shd w:val="clear" w:color="auto" w:fill="auto"/>
            <w:vAlign w:val="center"/>
            <w:hideMark/>
          </w:tcPr>
          <w:p w14:paraId="3E8F5E5A" w14:textId="77777777" w:rsidR="00322AE9" w:rsidRPr="00322AE9" w:rsidRDefault="00322AE9" w:rsidP="00322AE9">
            <w:pPr>
              <w:ind w:firstLine="0"/>
              <w:jc w:val="left"/>
              <w:rPr>
                <w:rFonts w:eastAsia="Times New Roman" w:cs="Times New Roman"/>
                <w:color w:val="000000"/>
                <w:sz w:val="20"/>
                <w:szCs w:val="20"/>
                <w:lang w:eastAsia="ru-RU"/>
              </w:rPr>
            </w:pPr>
            <w:r w:rsidRPr="00322AE9">
              <w:rPr>
                <w:rFonts w:eastAsia="Times New Roman" w:cs="Times New Roman"/>
                <w:color w:val="000000"/>
                <w:sz w:val="20"/>
                <w:szCs w:val="20"/>
                <w:lang w:eastAsia="ru-RU"/>
              </w:rPr>
              <w:t>Архивы, книгохранилища и фондохранилища, библиотеки</w:t>
            </w:r>
          </w:p>
        </w:tc>
        <w:tc>
          <w:tcPr>
            <w:tcW w:w="855" w:type="dxa"/>
            <w:tcBorders>
              <w:top w:val="nil"/>
              <w:left w:val="nil"/>
              <w:bottom w:val="single" w:sz="4" w:space="0" w:color="auto"/>
              <w:right w:val="single" w:sz="4" w:space="0" w:color="auto"/>
            </w:tcBorders>
            <w:shd w:val="clear" w:color="FFFFFF" w:fill="FFFFFF"/>
            <w:vAlign w:val="center"/>
            <w:hideMark/>
          </w:tcPr>
          <w:p w14:paraId="1D237352"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 </w:t>
            </w:r>
          </w:p>
        </w:tc>
        <w:tc>
          <w:tcPr>
            <w:tcW w:w="793" w:type="dxa"/>
            <w:tcBorders>
              <w:top w:val="nil"/>
              <w:left w:val="nil"/>
              <w:bottom w:val="single" w:sz="4" w:space="0" w:color="auto"/>
              <w:right w:val="single" w:sz="4" w:space="0" w:color="auto"/>
            </w:tcBorders>
            <w:shd w:val="clear" w:color="auto" w:fill="auto"/>
            <w:vAlign w:val="center"/>
            <w:hideMark/>
          </w:tcPr>
          <w:p w14:paraId="740BD558"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3,0</w:t>
            </w:r>
          </w:p>
        </w:tc>
        <w:tc>
          <w:tcPr>
            <w:tcW w:w="992" w:type="dxa"/>
            <w:tcBorders>
              <w:top w:val="nil"/>
              <w:left w:val="nil"/>
              <w:bottom w:val="single" w:sz="4" w:space="0" w:color="auto"/>
              <w:right w:val="single" w:sz="4" w:space="0" w:color="auto"/>
            </w:tcBorders>
            <w:shd w:val="clear" w:color="auto" w:fill="auto"/>
            <w:vAlign w:val="center"/>
            <w:hideMark/>
          </w:tcPr>
          <w:p w14:paraId="050498E5"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0,3</w:t>
            </w:r>
          </w:p>
        </w:tc>
        <w:tc>
          <w:tcPr>
            <w:tcW w:w="1030" w:type="dxa"/>
            <w:tcBorders>
              <w:top w:val="nil"/>
              <w:left w:val="nil"/>
              <w:bottom w:val="single" w:sz="4" w:space="0" w:color="auto"/>
              <w:right w:val="single" w:sz="4" w:space="0" w:color="auto"/>
            </w:tcBorders>
            <w:shd w:val="clear" w:color="auto" w:fill="auto"/>
            <w:vAlign w:val="center"/>
            <w:hideMark/>
          </w:tcPr>
          <w:p w14:paraId="1C6A297D"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3,3</w:t>
            </w:r>
          </w:p>
        </w:tc>
        <w:tc>
          <w:tcPr>
            <w:tcW w:w="1096" w:type="dxa"/>
            <w:tcBorders>
              <w:top w:val="nil"/>
              <w:left w:val="nil"/>
              <w:bottom w:val="single" w:sz="4" w:space="0" w:color="auto"/>
              <w:right w:val="single" w:sz="4" w:space="0" w:color="auto"/>
            </w:tcBorders>
            <w:shd w:val="clear" w:color="auto" w:fill="auto"/>
            <w:vAlign w:val="center"/>
            <w:hideMark/>
          </w:tcPr>
          <w:p w14:paraId="2FC65EE7"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1,6</w:t>
            </w:r>
          </w:p>
        </w:tc>
        <w:tc>
          <w:tcPr>
            <w:tcW w:w="1149" w:type="dxa"/>
            <w:tcBorders>
              <w:top w:val="nil"/>
              <w:left w:val="nil"/>
              <w:bottom w:val="single" w:sz="4" w:space="0" w:color="auto"/>
              <w:right w:val="single" w:sz="4" w:space="0" w:color="auto"/>
            </w:tcBorders>
            <w:shd w:val="clear" w:color="auto" w:fill="auto"/>
            <w:vAlign w:val="center"/>
            <w:hideMark/>
          </w:tcPr>
          <w:p w14:paraId="68338A20"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2,1</w:t>
            </w:r>
          </w:p>
        </w:tc>
        <w:tc>
          <w:tcPr>
            <w:tcW w:w="1119" w:type="dxa"/>
            <w:tcBorders>
              <w:top w:val="nil"/>
              <w:left w:val="nil"/>
              <w:bottom w:val="single" w:sz="4" w:space="0" w:color="auto"/>
              <w:right w:val="single" w:sz="4" w:space="0" w:color="auto"/>
            </w:tcBorders>
            <w:shd w:val="clear" w:color="auto" w:fill="auto"/>
            <w:vAlign w:val="center"/>
            <w:hideMark/>
          </w:tcPr>
          <w:p w14:paraId="1C46CF09"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2,4</w:t>
            </w:r>
          </w:p>
        </w:tc>
        <w:tc>
          <w:tcPr>
            <w:tcW w:w="3149" w:type="dxa"/>
            <w:tcBorders>
              <w:top w:val="nil"/>
              <w:left w:val="nil"/>
              <w:bottom w:val="single" w:sz="4" w:space="0" w:color="auto"/>
              <w:right w:val="single" w:sz="4" w:space="0" w:color="auto"/>
            </w:tcBorders>
            <w:shd w:val="clear" w:color="auto" w:fill="auto"/>
            <w:hideMark/>
          </w:tcPr>
          <w:p w14:paraId="638144D7" w14:textId="77777777" w:rsidR="00322AE9" w:rsidRPr="00322AE9" w:rsidRDefault="00322AE9" w:rsidP="00322AE9">
            <w:pPr>
              <w:ind w:firstLine="0"/>
              <w:jc w:val="left"/>
              <w:rPr>
                <w:rFonts w:eastAsia="Times New Roman" w:cs="Times New Roman"/>
                <w:color w:val="000000"/>
                <w:sz w:val="18"/>
                <w:szCs w:val="18"/>
                <w:lang w:eastAsia="ru-RU"/>
              </w:rPr>
            </w:pPr>
            <w:r w:rsidRPr="00322AE9">
              <w:rPr>
                <w:rFonts w:eastAsia="Times New Roman" w:cs="Times New Roman"/>
                <w:color w:val="000000"/>
                <w:sz w:val="18"/>
                <w:szCs w:val="18"/>
                <w:lang w:eastAsia="ru-RU"/>
              </w:rPr>
              <w:t>СП 118.13330.2012 "Общественные здания", п.4.6</w:t>
            </w:r>
          </w:p>
        </w:tc>
      </w:tr>
      <w:tr w:rsidR="00322AE9" w:rsidRPr="00322AE9" w14:paraId="11DD8545" w14:textId="77777777" w:rsidTr="00322AE9">
        <w:trPr>
          <w:trHeight w:val="960"/>
          <w:jc w:val="center"/>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7794BD67"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 </w:t>
            </w:r>
          </w:p>
        </w:tc>
        <w:tc>
          <w:tcPr>
            <w:tcW w:w="816" w:type="dxa"/>
            <w:tcBorders>
              <w:top w:val="nil"/>
              <w:left w:val="nil"/>
              <w:bottom w:val="single" w:sz="4" w:space="0" w:color="auto"/>
              <w:right w:val="single" w:sz="4" w:space="0" w:color="auto"/>
            </w:tcBorders>
            <w:shd w:val="clear" w:color="auto" w:fill="auto"/>
            <w:vAlign w:val="center"/>
            <w:hideMark/>
          </w:tcPr>
          <w:p w14:paraId="20330032"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0816</w:t>
            </w:r>
          </w:p>
        </w:tc>
        <w:tc>
          <w:tcPr>
            <w:tcW w:w="2893" w:type="dxa"/>
            <w:tcBorders>
              <w:top w:val="nil"/>
              <w:left w:val="nil"/>
              <w:bottom w:val="single" w:sz="4" w:space="0" w:color="auto"/>
              <w:right w:val="single" w:sz="4" w:space="0" w:color="auto"/>
            </w:tcBorders>
            <w:shd w:val="clear" w:color="auto" w:fill="auto"/>
            <w:vAlign w:val="center"/>
            <w:hideMark/>
          </w:tcPr>
          <w:p w14:paraId="5F9B47AB" w14:textId="77777777" w:rsidR="00322AE9" w:rsidRPr="00322AE9" w:rsidRDefault="00322AE9" w:rsidP="00322AE9">
            <w:pPr>
              <w:ind w:firstLine="0"/>
              <w:jc w:val="left"/>
              <w:rPr>
                <w:rFonts w:eastAsia="Times New Roman" w:cs="Times New Roman"/>
                <w:color w:val="000000"/>
                <w:sz w:val="20"/>
                <w:szCs w:val="20"/>
                <w:lang w:eastAsia="ru-RU"/>
              </w:rPr>
            </w:pPr>
            <w:r w:rsidRPr="00322AE9">
              <w:rPr>
                <w:rFonts w:eastAsia="Times New Roman" w:cs="Times New Roman"/>
                <w:color w:val="000000"/>
                <w:sz w:val="20"/>
                <w:szCs w:val="20"/>
                <w:lang w:eastAsia="ru-RU"/>
              </w:rPr>
              <w:t>Культовые сооружения:  костелы, лавры, мечети, молебные дома, монастыри, синагоги, соборы, храмы, церкви, часовни</w:t>
            </w:r>
          </w:p>
        </w:tc>
        <w:tc>
          <w:tcPr>
            <w:tcW w:w="855" w:type="dxa"/>
            <w:tcBorders>
              <w:top w:val="nil"/>
              <w:left w:val="nil"/>
              <w:bottom w:val="single" w:sz="4" w:space="0" w:color="auto"/>
              <w:right w:val="single" w:sz="4" w:space="0" w:color="auto"/>
            </w:tcBorders>
            <w:shd w:val="clear" w:color="FFFFFF" w:fill="FFFFFF"/>
            <w:vAlign w:val="center"/>
            <w:hideMark/>
          </w:tcPr>
          <w:p w14:paraId="63194C3A"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 </w:t>
            </w:r>
          </w:p>
        </w:tc>
        <w:tc>
          <w:tcPr>
            <w:tcW w:w="793" w:type="dxa"/>
            <w:tcBorders>
              <w:top w:val="nil"/>
              <w:left w:val="nil"/>
              <w:bottom w:val="single" w:sz="4" w:space="0" w:color="auto"/>
              <w:right w:val="single" w:sz="4" w:space="0" w:color="auto"/>
            </w:tcBorders>
            <w:shd w:val="clear" w:color="auto" w:fill="auto"/>
            <w:vAlign w:val="center"/>
            <w:hideMark/>
          </w:tcPr>
          <w:p w14:paraId="5C8E367E"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4,0</w:t>
            </w:r>
          </w:p>
        </w:tc>
        <w:tc>
          <w:tcPr>
            <w:tcW w:w="992" w:type="dxa"/>
            <w:tcBorders>
              <w:top w:val="nil"/>
              <w:left w:val="nil"/>
              <w:bottom w:val="single" w:sz="4" w:space="0" w:color="auto"/>
              <w:right w:val="single" w:sz="4" w:space="0" w:color="auto"/>
            </w:tcBorders>
            <w:shd w:val="clear" w:color="auto" w:fill="auto"/>
            <w:vAlign w:val="center"/>
            <w:hideMark/>
          </w:tcPr>
          <w:p w14:paraId="56CD6F6A"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0,3</w:t>
            </w:r>
          </w:p>
        </w:tc>
        <w:tc>
          <w:tcPr>
            <w:tcW w:w="1030" w:type="dxa"/>
            <w:tcBorders>
              <w:top w:val="nil"/>
              <w:left w:val="nil"/>
              <w:bottom w:val="single" w:sz="4" w:space="0" w:color="auto"/>
              <w:right w:val="single" w:sz="4" w:space="0" w:color="auto"/>
            </w:tcBorders>
            <w:shd w:val="clear" w:color="auto" w:fill="auto"/>
            <w:vAlign w:val="center"/>
            <w:hideMark/>
          </w:tcPr>
          <w:p w14:paraId="22382813"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4,3</w:t>
            </w:r>
          </w:p>
        </w:tc>
        <w:tc>
          <w:tcPr>
            <w:tcW w:w="1096" w:type="dxa"/>
            <w:tcBorders>
              <w:top w:val="nil"/>
              <w:left w:val="nil"/>
              <w:bottom w:val="single" w:sz="4" w:space="0" w:color="auto"/>
              <w:right w:val="single" w:sz="4" w:space="0" w:color="auto"/>
            </w:tcBorders>
            <w:shd w:val="clear" w:color="auto" w:fill="auto"/>
            <w:vAlign w:val="center"/>
            <w:hideMark/>
          </w:tcPr>
          <w:p w14:paraId="5F663053"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1,6</w:t>
            </w:r>
          </w:p>
        </w:tc>
        <w:tc>
          <w:tcPr>
            <w:tcW w:w="1149" w:type="dxa"/>
            <w:tcBorders>
              <w:top w:val="nil"/>
              <w:left w:val="nil"/>
              <w:bottom w:val="single" w:sz="4" w:space="0" w:color="auto"/>
              <w:right w:val="single" w:sz="4" w:space="0" w:color="auto"/>
            </w:tcBorders>
            <w:shd w:val="clear" w:color="auto" w:fill="auto"/>
            <w:vAlign w:val="center"/>
            <w:hideMark/>
          </w:tcPr>
          <w:p w14:paraId="6E58CEAB"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2,1</w:t>
            </w:r>
          </w:p>
        </w:tc>
        <w:tc>
          <w:tcPr>
            <w:tcW w:w="1119" w:type="dxa"/>
            <w:tcBorders>
              <w:top w:val="nil"/>
              <w:left w:val="nil"/>
              <w:bottom w:val="single" w:sz="4" w:space="0" w:color="auto"/>
              <w:right w:val="single" w:sz="4" w:space="0" w:color="auto"/>
            </w:tcBorders>
            <w:shd w:val="clear" w:color="auto" w:fill="auto"/>
            <w:vAlign w:val="center"/>
            <w:hideMark/>
          </w:tcPr>
          <w:p w14:paraId="5FFD7340"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2,4</w:t>
            </w:r>
          </w:p>
        </w:tc>
        <w:tc>
          <w:tcPr>
            <w:tcW w:w="3149" w:type="dxa"/>
            <w:tcBorders>
              <w:top w:val="nil"/>
              <w:left w:val="nil"/>
              <w:bottom w:val="single" w:sz="4" w:space="0" w:color="auto"/>
              <w:right w:val="single" w:sz="4" w:space="0" w:color="auto"/>
            </w:tcBorders>
            <w:shd w:val="clear" w:color="auto" w:fill="auto"/>
            <w:hideMark/>
          </w:tcPr>
          <w:p w14:paraId="193B4547" w14:textId="77777777" w:rsidR="00322AE9" w:rsidRPr="00322AE9" w:rsidRDefault="00322AE9" w:rsidP="00322AE9">
            <w:pPr>
              <w:ind w:firstLine="0"/>
              <w:jc w:val="left"/>
              <w:rPr>
                <w:rFonts w:eastAsia="Times New Roman" w:cs="Times New Roman"/>
                <w:color w:val="000000"/>
                <w:sz w:val="18"/>
                <w:szCs w:val="18"/>
                <w:lang w:eastAsia="ru-RU"/>
              </w:rPr>
            </w:pPr>
            <w:r w:rsidRPr="00322AE9">
              <w:rPr>
                <w:rFonts w:eastAsia="Times New Roman" w:cs="Times New Roman"/>
                <w:color w:val="000000"/>
                <w:sz w:val="18"/>
                <w:szCs w:val="18"/>
                <w:lang w:eastAsia="ru-RU"/>
              </w:rPr>
              <w:t>МДС 31-9.</w:t>
            </w:r>
            <w:proofErr w:type="gramStart"/>
            <w:r w:rsidRPr="00322AE9">
              <w:rPr>
                <w:rFonts w:eastAsia="Times New Roman" w:cs="Times New Roman"/>
                <w:color w:val="000000"/>
                <w:sz w:val="18"/>
                <w:szCs w:val="18"/>
                <w:lang w:eastAsia="ru-RU"/>
              </w:rPr>
              <w:t>2003  "</w:t>
            </w:r>
            <w:proofErr w:type="gramEnd"/>
            <w:r w:rsidRPr="00322AE9">
              <w:rPr>
                <w:rFonts w:eastAsia="Times New Roman" w:cs="Times New Roman"/>
                <w:color w:val="000000"/>
                <w:sz w:val="18"/>
                <w:szCs w:val="18"/>
                <w:lang w:eastAsia="ru-RU"/>
              </w:rPr>
              <w:t>Православные храмы и комплексы. Пособие по проектированию и строительству (к СП  31-103-99 ""Здания, сооружения и комплексы православных храмов")</w:t>
            </w:r>
          </w:p>
        </w:tc>
      </w:tr>
      <w:tr w:rsidR="00322AE9" w:rsidRPr="00322AE9" w14:paraId="57F546EB" w14:textId="77777777" w:rsidTr="00322AE9">
        <w:trPr>
          <w:trHeight w:val="510"/>
          <w:jc w:val="center"/>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7A4E5EB0"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 </w:t>
            </w:r>
          </w:p>
        </w:tc>
        <w:tc>
          <w:tcPr>
            <w:tcW w:w="816" w:type="dxa"/>
            <w:tcBorders>
              <w:top w:val="nil"/>
              <w:left w:val="nil"/>
              <w:bottom w:val="single" w:sz="4" w:space="0" w:color="auto"/>
              <w:right w:val="single" w:sz="4" w:space="0" w:color="auto"/>
            </w:tcBorders>
            <w:shd w:val="clear" w:color="auto" w:fill="auto"/>
            <w:vAlign w:val="center"/>
            <w:hideMark/>
          </w:tcPr>
          <w:p w14:paraId="2B936FBD"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0817</w:t>
            </w:r>
          </w:p>
        </w:tc>
        <w:tc>
          <w:tcPr>
            <w:tcW w:w="2893" w:type="dxa"/>
            <w:tcBorders>
              <w:top w:val="nil"/>
              <w:left w:val="nil"/>
              <w:bottom w:val="single" w:sz="4" w:space="0" w:color="auto"/>
              <w:right w:val="single" w:sz="4" w:space="0" w:color="auto"/>
            </w:tcBorders>
            <w:shd w:val="clear" w:color="auto" w:fill="auto"/>
            <w:vAlign w:val="center"/>
            <w:hideMark/>
          </w:tcPr>
          <w:p w14:paraId="52326B6B" w14:textId="77777777" w:rsidR="00322AE9" w:rsidRPr="00322AE9" w:rsidRDefault="00322AE9" w:rsidP="00322AE9">
            <w:pPr>
              <w:ind w:firstLine="0"/>
              <w:jc w:val="left"/>
              <w:rPr>
                <w:rFonts w:eastAsia="Times New Roman" w:cs="Times New Roman"/>
                <w:color w:val="000000"/>
                <w:sz w:val="20"/>
                <w:szCs w:val="20"/>
                <w:lang w:eastAsia="ru-RU"/>
              </w:rPr>
            </w:pPr>
            <w:r w:rsidRPr="00322AE9">
              <w:rPr>
                <w:rFonts w:eastAsia="Times New Roman" w:cs="Times New Roman"/>
                <w:color w:val="000000"/>
                <w:sz w:val="20"/>
                <w:szCs w:val="20"/>
                <w:lang w:eastAsia="ru-RU"/>
              </w:rPr>
              <w:t>Оранжереи (не относящиеся к сельскохозяйственному производству)</w:t>
            </w:r>
          </w:p>
        </w:tc>
        <w:tc>
          <w:tcPr>
            <w:tcW w:w="855" w:type="dxa"/>
            <w:tcBorders>
              <w:top w:val="nil"/>
              <w:left w:val="nil"/>
              <w:bottom w:val="single" w:sz="4" w:space="0" w:color="auto"/>
              <w:right w:val="single" w:sz="4" w:space="0" w:color="auto"/>
            </w:tcBorders>
            <w:shd w:val="clear" w:color="FFFFFF" w:fill="FFFFFF"/>
            <w:vAlign w:val="center"/>
            <w:hideMark/>
          </w:tcPr>
          <w:p w14:paraId="734FC5D4"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 </w:t>
            </w:r>
          </w:p>
        </w:tc>
        <w:tc>
          <w:tcPr>
            <w:tcW w:w="793" w:type="dxa"/>
            <w:tcBorders>
              <w:top w:val="nil"/>
              <w:left w:val="nil"/>
              <w:bottom w:val="single" w:sz="4" w:space="0" w:color="auto"/>
              <w:right w:val="single" w:sz="4" w:space="0" w:color="auto"/>
            </w:tcBorders>
            <w:shd w:val="clear" w:color="auto" w:fill="auto"/>
            <w:vAlign w:val="center"/>
            <w:hideMark/>
          </w:tcPr>
          <w:p w14:paraId="56654DAD"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2,5</w:t>
            </w:r>
          </w:p>
        </w:tc>
        <w:tc>
          <w:tcPr>
            <w:tcW w:w="992" w:type="dxa"/>
            <w:tcBorders>
              <w:top w:val="nil"/>
              <w:left w:val="nil"/>
              <w:bottom w:val="single" w:sz="4" w:space="0" w:color="auto"/>
              <w:right w:val="single" w:sz="4" w:space="0" w:color="auto"/>
            </w:tcBorders>
            <w:shd w:val="clear" w:color="auto" w:fill="auto"/>
            <w:vAlign w:val="center"/>
            <w:hideMark/>
          </w:tcPr>
          <w:p w14:paraId="0761C2D6"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0,3</w:t>
            </w:r>
          </w:p>
        </w:tc>
        <w:tc>
          <w:tcPr>
            <w:tcW w:w="1030" w:type="dxa"/>
            <w:tcBorders>
              <w:top w:val="nil"/>
              <w:left w:val="nil"/>
              <w:bottom w:val="single" w:sz="4" w:space="0" w:color="auto"/>
              <w:right w:val="single" w:sz="4" w:space="0" w:color="auto"/>
            </w:tcBorders>
            <w:shd w:val="clear" w:color="auto" w:fill="auto"/>
            <w:vAlign w:val="center"/>
            <w:hideMark/>
          </w:tcPr>
          <w:p w14:paraId="4C7C4F2D"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2,8</w:t>
            </w:r>
          </w:p>
        </w:tc>
        <w:tc>
          <w:tcPr>
            <w:tcW w:w="1096" w:type="dxa"/>
            <w:tcBorders>
              <w:top w:val="nil"/>
              <w:left w:val="nil"/>
              <w:bottom w:val="single" w:sz="4" w:space="0" w:color="auto"/>
              <w:right w:val="single" w:sz="4" w:space="0" w:color="auto"/>
            </w:tcBorders>
            <w:shd w:val="clear" w:color="auto" w:fill="auto"/>
            <w:vAlign w:val="center"/>
            <w:hideMark/>
          </w:tcPr>
          <w:p w14:paraId="57F65D78"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1,6</w:t>
            </w:r>
          </w:p>
        </w:tc>
        <w:tc>
          <w:tcPr>
            <w:tcW w:w="1149" w:type="dxa"/>
            <w:tcBorders>
              <w:top w:val="nil"/>
              <w:left w:val="nil"/>
              <w:bottom w:val="single" w:sz="4" w:space="0" w:color="auto"/>
              <w:right w:val="single" w:sz="4" w:space="0" w:color="auto"/>
            </w:tcBorders>
            <w:shd w:val="clear" w:color="auto" w:fill="auto"/>
            <w:vAlign w:val="center"/>
            <w:hideMark/>
          </w:tcPr>
          <w:p w14:paraId="216CA28E"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2,1</w:t>
            </w:r>
          </w:p>
        </w:tc>
        <w:tc>
          <w:tcPr>
            <w:tcW w:w="1119" w:type="dxa"/>
            <w:tcBorders>
              <w:top w:val="nil"/>
              <w:left w:val="nil"/>
              <w:bottom w:val="single" w:sz="4" w:space="0" w:color="auto"/>
              <w:right w:val="single" w:sz="4" w:space="0" w:color="auto"/>
            </w:tcBorders>
            <w:shd w:val="clear" w:color="auto" w:fill="auto"/>
            <w:vAlign w:val="center"/>
            <w:hideMark/>
          </w:tcPr>
          <w:p w14:paraId="5FA4F2E2"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2,4</w:t>
            </w:r>
          </w:p>
        </w:tc>
        <w:tc>
          <w:tcPr>
            <w:tcW w:w="3149" w:type="dxa"/>
            <w:tcBorders>
              <w:top w:val="nil"/>
              <w:left w:val="nil"/>
              <w:bottom w:val="single" w:sz="4" w:space="0" w:color="auto"/>
              <w:right w:val="single" w:sz="4" w:space="0" w:color="auto"/>
            </w:tcBorders>
            <w:shd w:val="clear" w:color="auto" w:fill="auto"/>
            <w:hideMark/>
          </w:tcPr>
          <w:p w14:paraId="5606A503" w14:textId="77777777" w:rsidR="00322AE9" w:rsidRPr="00322AE9" w:rsidRDefault="00322AE9" w:rsidP="00322AE9">
            <w:pPr>
              <w:ind w:firstLine="0"/>
              <w:jc w:val="left"/>
              <w:rPr>
                <w:rFonts w:eastAsia="Times New Roman" w:cs="Times New Roman"/>
                <w:color w:val="000000"/>
                <w:sz w:val="18"/>
                <w:szCs w:val="18"/>
                <w:lang w:eastAsia="ru-RU"/>
              </w:rPr>
            </w:pPr>
            <w:r w:rsidRPr="00322AE9">
              <w:rPr>
                <w:rFonts w:eastAsia="Times New Roman" w:cs="Times New Roman"/>
                <w:color w:val="000000"/>
                <w:sz w:val="18"/>
                <w:szCs w:val="18"/>
                <w:lang w:eastAsia="ru-RU"/>
              </w:rPr>
              <w:t>СП 44.13330.2011 "Административные и бытовые здания", п.4.3</w:t>
            </w:r>
          </w:p>
        </w:tc>
      </w:tr>
      <w:tr w:rsidR="00322AE9" w:rsidRPr="00322AE9" w14:paraId="0EFFF308" w14:textId="77777777" w:rsidTr="00322AE9">
        <w:trPr>
          <w:trHeight w:val="300"/>
          <w:jc w:val="center"/>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77AE959C"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 </w:t>
            </w:r>
          </w:p>
        </w:tc>
        <w:tc>
          <w:tcPr>
            <w:tcW w:w="816" w:type="dxa"/>
            <w:tcBorders>
              <w:top w:val="nil"/>
              <w:left w:val="nil"/>
              <w:bottom w:val="single" w:sz="4" w:space="0" w:color="auto"/>
              <w:right w:val="single" w:sz="4" w:space="0" w:color="auto"/>
            </w:tcBorders>
            <w:shd w:val="clear" w:color="auto" w:fill="auto"/>
            <w:vAlign w:val="center"/>
            <w:hideMark/>
          </w:tcPr>
          <w:p w14:paraId="7FAE859E"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0818</w:t>
            </w:r>
          </w:p>
        </w:tc>
        <w:tc>
          <w:tcPr>
            <w:tcW w:w="2893" w:type="dxa"/>
            <w:tcBorders>
              <w:top w:val="nil"/>
              <w:left w:val="nil"/>
              <w:bottom w:val="single" w:sz="4" w:space="0" w:color="auto"/>
              <w:right w:val="single" w:sz="4" w:space="0" w:color="auto"/>
            </w:tcBorders>
            <w:shd w:val="clear" w:color="auto" w:fill="auto"/>
            <w:vAlign w:val="center"/>
            <w:hideMark/>
          </w:tcPr>
          <w:p w14:paraId="6548F9A7" w14:textId="77777777" w:rsidR="00322AE9" w:rsidRPr="00322AE9" w:rsidRDefault="00322AE9" w:rsidP="00322AE9">
            <w:pPr>
              <w:ind w:firstLine="0"/>
              <w:jc w:val="left"/>
              <w:rPr>
                <w:rFonts w:eastAsia="Times New Roman" w:cs="Times New Roman"/>
                <w:color w:val="000000"/>
                <w:sz w:val="20"/>
                <w:szCs w:val="20"/>
                <w:lang w:eastAsia="ru-RU"/>
              </w:rPr>
            </w:pPr>
            <w:r w:rsidRPr="00322AE9">
              <w:rPr>
                <w:rFonts w:eastAsia="Times New Roman" w:cs="Times New Roman"/>
                <w:color w:val="000000"/>
                <w:sz w:val="20"/>
                <w:szCs w:val="20"/>
                <w:lang w:eastAsia="ru-RU"/>
              </w:rPr>
              <w:t>Кинотеатры</w:t>
            </w:r>
          </w:p>
        </w:tc>
        <w:tc>
          <w:tcPr>
            <w:tcW w:w="855" w:type="dxa"/>
            <w:tcBorders>
              <w:top w:val="nil"/>
              <w:left w:val="nil"/>
              <w:bottom w:val="single" w:sz="4" w:space="0" w:color="auto"/>
              <w:right w:val="single" w:sz="4" w:space="0" w:color="auto"/>
            </w:tcBorders>
            <w:shd w:val="clear" w:color="FFFFFF" w:fill="FFFFFF"/>
            <w:vAlign w:val="center"/>
            <w:hideMark/>
          </w:tcPr>
          <w:p w14:paraId="3B9E743A"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 </w:t>
            </w:r>
          </w:p>
        </w:tc>
        <w:tc>
          <w:tcPr>
            <w:tcW w:w="793" w:type="dxa"/>
            <w:tcBorders>
              <w:top w:val="nil"/>
              <w:left w:val="nil"/>
              <w:bottom w:val="single" w:sz="4" w:space="0" w:color="auto"/>
              <w:right w:val="single" w:sz="4" w:space="0" w:color="auto"/>
            </w:tcBorders>
            <w:shd w:val="clear" w:color="auto" w:fill="auto"/>
            <w:vAlign w:val="center"/>
            <w:hideMark/>
          </w:tcPr>
          <w:p w14:paraId="48DDB8E0"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3,3</w:t>
            </w:r>
          </w:p>
        </w:tc>
        <w:tc>
          <w:tcPr>
            <w:tcW w:w="992" w:type="dxa"/>
            <w:tcBorders>
              <w:top w:val="nil"/>
              <w:left w:val="nil"/>
              <w:bottom w:val="single" w:sz="4" w:space="0" w:color="auto"/>
              <w:right w:val="single" w:sz="4" w:space="0" w:color="auto"/>
            </w:tcBorders>
            <w:shd w:val="clear" w:color="auto" w:fill="auto"/>
            <w:vAlign w:val="center"/>
            <w:hideMark/>
          </w:tcPr>
          <w:p w14:paraId="7D0A411D"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0,3</w:t>
            </w:r>
          </w:p>
        </w:tc>
        <w:tc>
          <w:tcPr>
            <w:tcW w:w="1030" w:type="dxa"/>
            <w:tcBorders>
              <w:top w:val="nil"/>
              <w:left w:val="nil"/>
              <w:bottom w:val="single" w:sz="4" w:space="0" w:color="auto"/>
              <w:right w:val="single" w:sz="4" w:space="0" w:color="auto"/>
            </w:tcBorders>
            <w:shd w:val="clear" w:color="auto" w:fill="auto"/>
            <w:vAlign w:val="center"/>
            <w:hideMark/>
          </w:tcPr>
          <w:p w14:paraId="0D70EA47"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3,6</w:t>
            </w:r>
          </w:p>
        </w:tc>
        <w:tc>
          <w:tcPr>
            <w:tcW w:w="1096" w:type="dxa"/>
            <w:tcBorders>
              <w:top w:val="nil"/>
              <w:left w:val="nil"/>
              <w:bottom w:val="single" w:sz="4" w:space="0" w:color="auto"/>
              <w:right w:val="single" w:sz="4" w:space="0" w:color="auto"/>
            </w:tcBorders>
            <w:shd w:val="clear" w:color="auto" w:fill="auto"/>
            <w:vAlign w:val="center"/>
            <w:hideMark/>
          </w:tcPr>
          <w:p w14:paraId="3FD85945"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1,6</w:t>
            </w:r>
          </w:p>
        </w:tc>
        <w:tc>
          <w:tcPr>
            <w:tcW w:w="1149" w:type="dxa"/>
            <w:tcBorders>
              <w:top w:val="nil"/>
              <w:left w:val="nil"/>
              <w:bottom w:val="single" w:sz="4" w:space="0" w:color="auto"/>
              <w:right w:val="single" w:sz="4" w:space="0" w:color="auto"/>
            </w:tcBorders>
            <w:shd w:val="clear" w:color="auto" w:fill="auto"/>
            <w:vAlign w:val="center"/>
            <w:hideMark/>
          </w:tcPr>
          <w:p w14:paraId="69E57DBC"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2,1</w:t>
            </w:r>
          </w:p>
        </w:tc>
        <w:tc>
          <w:tcPr>
            <w:tcW w:w="1119" w:type="dxa"/>
            <w:tcBorders>
              <w:top w:val="nil"/>
              <w:left w:val="nil"/>
              <w:bottom w:val="single" w:sz="4" w:space="0" w:color="auto"/>
              <w:right w:val="single" w:sz="4" w:space="0" w:color="auto"/>
            </w:tcBorders>
            <w:shd w:val="clear" w:color="auto" w:fill="auto"/>
            <w:vAlign w:val="center"/>
            <w:hideMark/>
          </w:tcPr>
          <w:p w14:paraId="2415950D"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2,4</w:t>
            </w:r>
          </w:p>
        </w:tc>
        <w:tc>
          <w:tcPr>
            <w:tcW w:w="3149" w:type="dxa"/>
            <w:tcBorders>
              <w:top w:val="nil"/>
              <w:left w:val="nil"/>
              <w:bottom w:val="single" w:sz="4" w:space="0" w:color="auto"/>
              <w:right w:val="single" w:sz="4" w:space="0" w:color="auto"/>
            </w:tcBorders>
            <w:shd w:val="clear" w:color="auto" w:fill="auto"/>
            <w:hideMark/>
          </w:tcPr>
          <w:p w14:paraId="6B03E1F2" w14:textId="77777777" w:rsidR="00322AE9" w:rsidRPr="00322AE9" w:rsidRDefault="00322AE9" w:rsidP="00322AE9">
            <w:pPr>
              <w:ind w:firstLine="0"/>
              <w:jc w:val="left"/>
              <w:rPr>
                <w:rFonts w:eastAsia="Times New Roman" w:cs="Times New Roman"/>
                <w:color w:val="000000"/>
                <w:sz w:val="18"/>
                <w:szCs w:val="18"/>
                <w:lang w:eastAsia="ru-RU"/>
              </w:rPr>
            </w:pPr>
            <w:r w:rsidRPr="00322AE9">
              <w:rPr>
                <w:rFonts w:eastAsia="Times New Roman" w:cs="Times New Roman"/>
                <w:color w:val="000000"/>
                <w:sz w:val="18"/>
                <w:szCs w:val="18"/>
                <w:lang w:eastAsia="ru-RU"/>
              </w:rPr>
              <w:t>СП 118.13330.2012 "Общественные здания", п.4.5</w:t>
            </w:r>
          </w:p>
        </w:tc>
      </w:tr>
      <w:tr w:rsidR="00322AE9" w:rsidRPr="00322AE9" w14:paraId="37C33E65" w14:textId="77777777" w:rsidTr="00322AE9">
        <w:trPr>
          <w:trHeight w:val="300"/>
          <w:jc w:val="center"/>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0C1B45F6"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 </w:t>
            </w:r>
          </w:p>
        </w:tc>
        <w:tc>
          <w:tcPr>
            <w:tcW w:w="816" w:type="dxa"/>
            <w:tcBorders>
              <w:top w:val="nil"/>
              <w:left w:val="nil"/>
              <w:bottom w:val="single" w:sz="4" w:space="0" w:color="auto"/>
              <w:right w:val="single" w:sz="4" w:space="0" w:color="auto"/>
            </w:tcBorders>
            <w:shd w:val="clear" w:color="auto" w:fill="auto"/>
            <w:vAlign w:val="center"/>
            <w:hideMark/>
          </w:tcPr>
          <w:p w14:paraId="0D57AFDC"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0819</w:t>
            </w:r>
          </w:p>
        </w:tc>
        <w:tc>
          <w:tcPr>
            <w:tcW w:w="2893" w:type="dxa"/>
            <w:tcBorders>
              <w:top w:val="nil"/>
              <w:left w:val="nil"/>
              <w:bottom w:val="single" w:sz="4" w:space="0" w:color="auto"/>
              <w:right w:val="single" w:sz="4" w:space="0" w:color="auto"/>
            </w:tcBorders>
            <w:shd w:val="clear" w:color="auto" w:fill="auto"/>
            <w:vAlign w:val="center"/>
            <w:hideMark/>
          </w:tcPr>
          <w:p w14:paraId="780234F4" w14:textId="77777777" w:rsidR="00322AE9" w:rsidRPr="00322AE9" w:rsidRDefault="00322AE9" w:rsidP="00322AE9">
            <w:pPr>
              <w:ind w:firstLine="0"/>
              <w:jc w:val="left"/>
              <w:rPr>
                <w:rFonts w:eastAsia="Times New Roman" w:cs="Times New Roman"/>
                <w:color w:val="000000"/>
                <w:sz w:val="20"/>
                <w:szCs w:val="20"/>
                <w:lang w:eastAsia="ru-RU"/>
              </w:rPr>
            </w:pPr>
            <w:r w:rsidRPr="00322AE9">
              <w:rPr>
                <w:rFonts w:eastAsia="Times New Roman" w:cs="Times New Roman"/>
                <w:color w:val="000000"/>
                <w:sz w:val="20"/>
                <w:szCs w:val="20"/>
                <w:lang w:eastAsia="ru-RU"/>
              </w:rPr>
              <w:t>Киностудии</w:t>
            </w:r>
          </w:p>
        </w:tc>
        <w:tc>
          <w:tcPr>
            <w:tcW w:w="855" w:type="dxa"/>
            <w:tcBorders>
              <w:top w:val="nil"/>
              <w:left w:val="nil"/>
              <w:bottom w:val="single" w:sz="4" w:space="0" w:color="auto"/>
              <w:right w:val="single" w:sz="4" w:space="0" w:color="auto"/>
            </w:tcBorders>
            <w:shd w:val="clear" w:color="FFFFFF" w:fill="FFFFFF"/>
            <w:vAlign w:val="center"/>
            <w:hideMark/>
          </w:tcPr>
          <w:p w14:paraId="07B67106"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 </w:t>
            </w:r>
          </w:p>
        </w:tc>
        <w:tc>
          <w:tcPr>
            <w:tcW w:w="793" w:type="dxa"/>
            <w:tcBorders>
              <w:top w:val="nil"/>
              <w:left w:val="nil"/>
              <w:bottom w:val="single" w:sz="4" w:space="0" w:color="auto"/>
              <w:right w:val="single" w:sz="4" w:space="0" w:color="auto"/>
            </w:tcBorders>
            <w:shd w:val="clear" w:color="auto" w:fill="auto"/>
            <w:vAlign w:val="center"/>
            <w:hideMark/>
          </w:tcPr>
          <w:p w14:paraId="7D1ABABC"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3,3</w:t>
            </w:r>
          </w:p>
        </w:tc>
        <w:tc>
          <w:tcPr>
            <w:tcW w:w="992" w:type="dxa"/>
            <w:tcBorders>
              <w:top w:val="nil"/>
              <w:left w:val="nil"/>
              <w:bottom w:val="single" w:sz="4" w:space="0" w:color="auto"/>
              <w:right w:val="single" w:sz="4" w:space="0" w:color="auto"/>
            </w:tcBorders>
            <w:shd w:val="clear" w:color="auto" w:fill="auto"/>
            <w:vAlign w:val="center"/>
            <w:hideMark/>
          </w:tcPr>
          <w:p w14:paraId="057AAA0C"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0,3</w:t>
            </w:r>
          </w:p>
        </w:tc>
        <w:tc>
          <w:tcPr>
            <w:tcW w:w="1030" w:type="dxa"/>
            <w:tcBorders>
              <w:top w:val="nil"/>
              <w:left w:val="nil"/>
              <w:bottom w:val="single" w:sz="4" w:space="0" w:color="auto"/>
              <w:right w:val="single" w:sz="4" w:space="0" w:color="auto"/>
            </w:tcBorders>
            <w:shd w:val="clear" w:color="auto" w:fill="auto"/>
            <w:vAlign w:val="center"/>
            <w:hideMark/>
          </w:tcPr>
          <w:p w14:paraId="4DDA49A1"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3,6</w:t>
            </w:r>
          </w:p>
        </w:tc>
        <w:tc>
          <w:tcPr>
            <w:tcW w:w="1096" w:type="dxa"/>
            <w:tcBorders>
              <w:top w:val="nil"/>
              <w:left w:val="nil"/>
              <w:bottom w:val="single" w:sz="4" w:space="0" w:color="auto"/>
              <w:right w:val="single" w:sz="4" w:space="0" w:color="auto"/>
            </w:tcBorders>
            <w:shd w:val="clear" w:color="auto" w:fill="auto"/>
            <w:vAlign w:val="center"/>
            <w:hideMark/>
          </w:tcPr>
          <w:p w14:paraId="4A4772F7"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1,6</w:t>
            </w:r>
          </w:p>
        </w:tc>
        <w:tc>
          <w:tcPr>
            <w:tcW w:w="1149" w:type="dxa"/>
            <w:tcBorders>
              <w:top w:val="nil"/>
              <w:left w:val="nil"/>
              <w:bottom w:val="single" w:sz="4" w:space="0" w:color="auto"/>
              <w:right w:val="single" w:sz="4" w:space="0" w:color="auto"/>
            </w:tcBorders>
            <w:shd w:val="clear" w:color="auto" w:fill="auto"/>
            <w:vAlign w:val="center"/>
            <w:hideMark/>
          </w:tcPr>
          <w:p w14:paraId="32124087"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2,1</w:t>
            </w:r>
          </w:p>
        </w:tc>
        <w:tc>
          <w:tcPr>
            <w:tcW w:w="1119" w:type="dxa"/>
            <w:tcBorders>
              <w:top w:val="nil"/>
              <w:left w:val="nil"/>
              <w:bottom w:val="single" w:sz="4" w:space="0" w:color="auto"/>
              <w:right w:val="single" w:sz="4" w:space="0" w:color="auto"/>
            </w:tcBorders>
            <w:shd w:val="clear" w:color="auto" w:fill="auto"/>
            <w:vAlign w:val="center"/>
            <w:hideMark/>
          </w:tcPr>
          <w:p w14:paraId="014249DF"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2,4</w:t>
            </w:r>
          </w:p>
        </w:tc>
        <w:tc>
          <w:tcPr>
            <w:tcW w:w="3149" w:type="dxa"/>
            <w:tcBorders>
              <w:top w:val="nil"/>
              <w:left w:val="nil"/>
              <w:bottom w:val="single" w:sz="4" w:space="0" w:color="auto"/>
              <w:right w:val="single" w:sz="4" w:space="0" w:color="auto"/>
            </w:tcBorders>
            <w:shd w:val="clear" w:color="auto" w:fill="auto"/>
            <w:hideMark/>
          </w:tcPr>
          <w:p w14:paraId="6718A6C8" w14:textId="77777777" w:rsidR="00322AE9" w:rsidRPr="00322AE9" w:rsidRDefault="00322AE9" w:rsidP="00322AE9">
            <w:pPr>
              <w:ind w:firstLine="0"/>
              <w:jc w:val="left"/>
              <w:rPr>
                <w:rFonts w:eastAsia="Times New Roman" w:cs="Times New Roman"/>
                <w:color w:val="000000"/>
                <w:sz w:val="18"/>
                <w:szCs w:val="18"/>
                <w:lang w:eastAsia="ru-RU"/>
              </w:rPr>
            </w:pPr>
            <w:r w:rsidRPr="00322AE9">
              <w:rPr>
                <w:rFonts w:eastAsia="Times New Roman" w:cs="Times New Roman"/>
                <w:color w:val="000000"/>
                <w:sz w:val="18"/>
                <w:szCs w:val="18"/>
                <w:lang w:eastAsia="ru-RU"/>
              </w:rPr>
              <w:t>СП 118.13330.2012 "Общественные здания", п.4.5</w:t>
            </w:r>
          </w:p>
        </w:tc>
      </w:tr>
      <w:tr w:rsidR="00322AE9" w:rsidRPr="00322AE9" w14:paraId="151FD388" w14:textId="77777777" w:rsidTr="00322AE9">
        <w:trPr>
          <w:trHeight w:val="1020"/>
          <w:jc w:val="center"/>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583D71AC"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 </w:t>
            </w:r>
          </w:p>
        </w:tc>
        <w:tc>
          <w:tcPr>
            <w:tcW w:w="816" w:type="dxa"/>
            <w:tcBorders>
              <w:top w:val="nil"/>
              <w:left w:val="nil"/>
              <w:bottom w:val="single" w:sz="4" w:space="0" w:color="auto"/>
              <w:right w:val="single" w:sz="4" w:space="0" w:color="auto"/>
            </w:tcBorders>
            <w:shd w:val="clear" w:color="auto" w:fill="auto"/>
            <w:vAlign w:val="center"/>
            <w:hideMark/>
          </w:tcPr>
          <w:p w14:paraId="483EAA2D"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0820</w:t>
            </w:r>
          </w:p>
        </w:tc>
        <w:tc>
          <w:tcPr>
            <w:tcW w:w="2893" w:type="dxa"/>
            <w:tcBorders>
              <w:top w:val="nil"/>
              <w:left w:val="nil"/>
              <w:bottom w:val="single" w:sz="4" w:space="0" w:color="auto"/>
              <w:right w:val="single" w:sz="4" w:space="0" w:color="auto"/>
            </w:tcBorders>
            <w:shd w:val="clear" w:color="auto" w:fill="auto"/>
            <w:vAlign w:val="center"/>
            <w:hideMark/>
          </w:tcPr>
          <w:p w14:paraId="27136042" w14:textId="77777777" w:rsidR="00322AE9" w:rsidRPr="00322AE9" w:rsidRDefault="00322AE9" w:rsidP="00322AE9">
            <w:pPr>
              <w:ind w:firstLine="0"/>
              <w:jc w:val="left"/>
              <w:rPr>
                <w:rFonts w:eastAsia="Times New Roman" w:cs="Times New Roman"/>
                <w:color w:val="000000"/>
                <w:sz w:val="20"/>
                <w:szCs w:val="20"/>
                <w:lang w:eastAsia="ru-RU"/>
              </w:rPr>
            </w:pPr>
            <w:r w:rsidRPr="00322AE9">
              <w:rPr>
                <w:rFonts w:eastAsia="Times New Roman" w:cs="Times New Roman"/>
                <w:color w:val="000000"/>
                <w:sz w:val="20"/>
                <w:szCs w:val="20"/>
                <w:lang w:eastAsia="ru-RU"/>
              </w:rPr>
              <w:t>Выставочные залы, дворцы культуры, дома культуры, консерватории, концертные залы, культурно-досуговые центры, мюзик-холлы, планетарии, театры, художественные галереи, цирки</w:t>
            </w:r>
          </w:p>
        </w:tc>
        <w:tc>
          <w:tcPr>
            <w:tcW w:w="855" w:type="dxa"/>
            <w:tcBorders>
              <w:top w:val="nil"/>
              <w:left w:val="nil"/>
              <w:bottom w:val="single" w:sz="4" w:space="0" w:color="auto"/>
              <w:right w:val="single" w:sz="4" w:space="0" w:color="auto"/>
            </w:tcBorders>
            <w:shd w:val="clear" w:color="FFFFFF" w:fill="FFFFFF"/>
            <w:vAlign w:val="center"/>
            <w:hideMark/>
          </w:tcPr>
          <w:p w14:paraId="2D608AA3"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 </w:t>
            </w:r>
          </w:p>
        </w:tc>
        <w:tc>
          <w:tcPr>
            <w:tcW w:w="793" w:type="dxa"/>
            <w:tcBorders>
              <w:top w:val="nil"/>
              <w:left w:val="nil"/>
              <w:bottom w:val="single" w:sz="4" w:space="0" w:color="auto"/>
              <w:right w:val="single" w:sz="4" w:space="0" w:color="auto"/>
            </w:tcBorders>
            <w:shd w:val="clear" w:color="auto" w:fill="auto"/>
            <w:vAlign w:val="center"/>
            <w:hideMark/>
          </w:tcPr>
          <w:p w14:paraId="6BB34DB4"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3,3</w:t>
            </w:r>
          </w:p>
        </w:tc>
        <w:tc>
          <w:tcPr>
            <w:tcW w:w="992" w:type="dxa"/>
            <w:tcBorders>
              <w:top w:val="nil"/>
              <w:left w:val="nil"/>
              <w:bottom w:val="single" w:sz="4" w:space="0" w:color="auto"/>
              <w:right w:val="single" w:sz="4" w:space="0" w:color="auto"/>
            </w:tcBorders>
            <w:shd w:val="clear" w:color="auto" w:fill="auto"/>
            <w:vAlign w:val="center"/>
            <w:hideMark/>
          </w:tcPr>
          <w:p w14:paraId="58B8DEF6"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0,3</w:t>
            </w:r>
          </w:p>
        </w:tc>
        <w:tc>
          <w:tcPr>
            <w:tcW w:w="1030" w:type="dxa"/>
            <w:tcBorders>
              <w:top w:val="nil"/>
              <w:left w:val="nil"/>
              <w:bottom w:val="single" w:sz="4" w:space="0" w:color="auto"/>
              <w:right w:val="single" w:sz="4" w:space="0" w:color="auto"/>
            </w:tcBorders>
            <w:shd w:val="clear" w:color="auto" w:fill="auto"/>
            <w:vAlign w:val="center"/>
            <w:hideMark/>
          </w:tcPr>
          <w:p w14:paraId="474E64D9"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3,6</w:t>
            </w:r>
          </w:p>
        </w:tc>
        <w:tc>
          <w:tcPr>
            <w:tcW w:w="1096" w:type="dxa"/>
            <w:tcBorders>
              <w:top w:val="nil"/>
              <w:left w:val="nil"/>
              <w:bottom w:val="single" w:sz="4" w:space="0" w:color="auto"/>
              <w:right w:val="single" w:sz="4" w:space="0" w:color="auto"/>
            </w:tcBorders>
            <w:shd w:val="clear" w:color="auto" w:fill="auto"/>
            <w:vAlign w:val="center"/>
            <w:hideMark/>
          </w:tcPr>
          <w:p w14:paraId="257FBEBD"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1,6</w:t>
            </w:r>
          </w:p>
        </w:tc>
        <w:tc>
          <w:tcPr>
            <w:tcW w:w="1149" w:type="dxa"/>
            <w:tcBorders>
              <w:top w:val="nil"/>
              <w:left w:val="nil"/>
              <w:bottom w:val="single" w:sz="4" w:space="0" w:color="auto"/>
              <w:right w:val="single" w:sz="4" w:space="0" w:color="auto"/>
            </w:tcBorders>
            <w:shd w:val="clear" w:color="auto" w:fill="auto"/>
            <w:vAlign w:val="center"/>
            <w:hideMark/>
          </w:tcPr>
          <w:p w14:paraId="30C50D56"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2,1</w:t>
            </w:r>
          </w:p>
        </w:tc>
        <w:tc>
          <w:tcPr>
            <w:tcW w:w="1119" w:type="dxa"/>
            <w:tcBorders>
              <w:top w:val="nil"/>
              <w:left w:val="nil"/>
              <w:bottom w:val="single" w:sz="4" w:space="0" w:color="auto"/>
              <w:right w:val="single" w:sz="4" w:space="0" w:color="auto"/>
            </w:tcBorders>
            <w:shd w:val="clear" w:color="auto" w:fill="auto"/>
            <w:vAlign w:val="center"/>
            <w:hideMark/>
          </w:tcPr>
          <w:p w14:paraId="129D6A52"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2,4</w:t>
            </w:r>
          </w:p>
        </w:tc>
        <w:tc>
          <w:tcPr>
            <w:tcW w:w="3149" w:type="dxa"/>
            <w:tcBorders>
              <w:top w:val="nil"/>
              <w:left w:val="nil"/>
              <w:bottom w:val="single" w:sz="4" w:space="0" w:color="auto"/>
              <w:right w:val="single" w:sz="4" w:space="0" w:color="auto"/>
            </w:tcBorders>
            <w:shd w:val="clear" w:color="auto" w:fill="auto"/>
            <w:hideMark/>
          </w:tcPr>
          <w:p w14:paraId="3C04899B" w14:textId="77777777" w:rsidR="00322AE9" w:rsidRPr="00322AE9" w:rsidRDefault="00322AE9" w:rsidP="00322AE9">
            <w:pPr>
              <w:ind w:firstLine="0"/>
              <w:jc w:val="left"/>
              <w:rPr>
                <w:rFonts w:eastAsia="Times New Roman" w:cs="Times New Roman"/>
                <w:color w:val="000000"/>
                <w:sz w:val="18"/>
                <w:szCs w:val="18"/>
                <w:lang w:eastAsia="ru-RU"/>
              </w:rPr>
            </w:pPr>
            <w:r w:rsidRPr="00322AE9">
              <w:rPr>
                <w:rFonts w:eastAsia="Times New Roman" w:cs="Times New Roman"/>
                <w:color w:val="000000"/>
                <w:sz w:val="18"/>
                <w:szCs w:val="18"/>
                <w:lang w:eastAsia="ru-RU"/>
              </w:rPr>
              <w:t>СП 118.13330.2012 "Общественные здания", п.4.5</w:t>
            </w:r>
          </w:p>
        </w:tc>
      </w:tr>
      <w:tr w:rsidR="00322AE9" w:rsidRPr="00322AE9" w14:paraId="3618F410" w14:textId="77777777" w:rsidTr="00322AE9">
        <w:trPr>
          <w:trHeight w:val="300"/>
          <w:jc w:val="center"/>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0102C22E"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 </w:t>
            </w:r>
          </w:p>
        </w:tc>
        <w:tc>
          <w:tcPr>
            <w:tcW w:w="816" w:type="dxa"/>
            <w:tcBorders>
              <w:top w:val="nil"/>
              <w:left w:val="nil"/>
              <w:bottom w:val="single" w:sz="4" w:space="0" w:color="auto"/>
              <w:right w:val="single" w:sz="4" w:space="0" w:color="auto"/>
            </w:tcBorders>
            <w:shd w:val="clear" w:color="auto" w:fill="auto"/>
            <w:vAlign w:val="center"/>
            <w:hideMark/>
          </w:tcPr>
          <w:p w14:paraId="61E013E9"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0821</w:t>
            </w:r>
          </w:p>
        </w:tc>
        <w:tc>
          <w:tcPr>
            <w:tcW w:w="2893" w:type="dxa"/>
            <w:tcBorders>
              <w:top w:val="nil"/>
              <w:left w:val="nil"/>
              <w:bottom w:val="single" w:sz="4" w:space="0" w:color="auto"/>
              <w:right w:val="single" w:sz="4" w:space="0" w:color="auto"/>
            </w:tcBorders>
            <w:shd w:val="clear" w:color="auto" w:fill="auto"/>
            <w:vAlign w:val="center"/>
            <w:hideMark/>
          </w:tcPr>
          <w:p w14:paraId="6C68AA22" w14:textId="77777777" w:rsidR="00322AE9" w:rsidRPr="00322AE9" w:rsidRDefault="00322AE9" w:rsidP="00322AE9">
            <w:pPr>
              <w:ind w:firstLine="0"/>
              <w:jc w:val="left"/>
              <w:rPr>
                <w:rFonts w:eastAsia="Times New Roman" w:cs="Times New Roman"/>
                <w:color w:val="000000"/>
                <w:sz w:val="20"/>
                <w:szCs w:val="20"/>
                <w:lang w:eastAsia="ru-RU"/>
              </w:rPr>
            </w:pPr>
            <w:r w:rsidRPr="00322AE9">
              <w:rPr>
                <w:rFonts w:eastAsia="Times New Roman" w:cs="Times New Roman"/>
                <w:color w:val="000000"/>
                <w:sz w:val="20"/>
                <w:szCs w:val="20"/>
                <w:lang w:eastAsia="ru-RU"/>
              </w:rPr>
              <w:t>Детские сады, ясли, ясли-сады</w:t>
            </w:r>
          </w:p>
        </w:tc>
        <w:tc>
          <w:tcPr>
            <w:tcW w:w="855" w:type="dxa"/>
            <w:tcBorders>
              <w:top w:val="nil"/>
              <w:left w:val="nil"/>
              <w:bottom w:val="single" w:sz="4" w:space="0" w:color="auto"/>
              <w:right w:val="single" w:sz="4" w:space="0" w:color="auto"/>
            </w:tcBorders>
            <w:shd w:val="clear" w:color="FFFFFF" w:fill="FFFFFF"/>
            <w:vAlign w:val="center"/>
            <w:hideMark/>
          </w:tcPr>
          <w:p w14:paraId="0653D384"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 </w:t>
            </w:r>
          </w:p>
        </w:tc>
        <w:tc>
          <w:tcPr>
            <w:tcW w:w="793" w:type="dxa"/>
            <w:tcBorders>
              <w:top w:val="nil"/>
              <w:left w:val="nil"/>
              <w:bottom w:val="single" w:sz="4" w:space="0" w:color="auto"/>
              <w:right w:val="single" w:sz="4" w:space="0" w:color="auto"/>
            </w:tcBorders>
            <w:shd w:val="clear" w:color="auto" w:fill="auto"/>
            <w:vAlign w:val="center"/>
            <w:hideMark/>
          </w:tcPr>
          <w:p w14:paraId="58E6177D"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3,0</w:t>
            </w:r>
          </w:p>
        </w:tc>
        <w:tc>
          <w:tcPr>
            <w:tcW w:w="992" w:type="dxa"/>
            <w:tcBorders>
              <w:top w:val="nil"/>
              <w:left w:val="nil"/>
              <w:bottom w:val="single" w:sz="4" w:space="0" w:color="auto"/>
              <w:right w:val="single" w:sz="4" w:space="0" w:color="auto"/>
            </w:tcBorders>
            <w:shd w:val="clear" w:color="auto" w:fill="auto"/>
            <w:vAlign w:val="center"/>
            <w:hideMark/>
          </w:tcPr>
          <w:p w14:paraId="0E1FFA85"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0,3</w:t>
            </w:r>
          </w:p>
        </w:tc>
        <w:tc>
          <w:tcPr>
            <w:tcW w:w="1030" w:type="dxa"/>
            <w:tcBorders>
              <w:top w:val="nil"/>
              <w:left w:val="nil"/>
              <w:bottom w:val="single" w:sz="4" w:space="0" w:color="auto"/>
              <w:right w:val="single" w:sz="4" w:space="0" w:color="auto"/>
            </w:tcBorders>
            <w:shd w:val="clear" w:color="auto" w:fill="auto"/>
            <w:vAlign w:val="center"/>
            <w:hideMark/>
          </w:tcPr>
          <w:p w14:paraId="7BDA6733"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3,3</w:t>
            </w:r>
          </w:p>
        </w:tc>
        <w:tc>
          <w:tcPr>
            <w:tcW w:w="1096" w:type="dxa"/>
            <w:tcBorders>
              <w:top w:val="nil"/>
              <w:left w:val="nil"/>
              <w:bottom w:val="single" w:sz="4" w:space="0" w:color="auto"/>
              <w:right w:val="single" w:sz="4" w:space="0" w:color="auto"/>
            </w:tcBorders>
            <w:shd w:val="clear" w:color="auto" w:fill="auto"/>
            <w:vAlign w:val="center"/>
            <w:hideMark/>
          </w:tcPr>
          <w:p w14:paraId="04B61A26"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1,6</w:t>
            </w:r>
          </w:p>
        </w:tc>
        <w:tc>
          <w:tcPr>
            <w:tcW w:w="1149" w:type="dxa"/>
            <w:tcBorders>
              <w:top w:val="nil"/>
              <w:left w:val="nil"/>
              <w:bottom w:val="single" w:sz="4" w:space="0" w:color="auto"/>
              <w:right w:val="single" w:sz="4" w:space="0" w:color="auto"/>
            </w:tcBorders>
            <w:shd w:val="clear" w:color="auto" w:fill="auto"/>
            <w:vAlign w:val="center"/>
            <w:hideMark/>
          </w:tcPr>
          <w:p w14:paraId="5915D8C7"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2,1</w:t>
            </w:r>
          </w:p>
        </w:tc>
        <w:tc>
          <w:tcPr>
            <w:tcW w:w="1119" w:type="dxa"/>
            <w:tcBorders>
              <w:top w:val="nil"/>
              <w:left w:val="nil"/>
              <w:bottom w:val="single" w:sz="4" w:space="0" w:color="auto"/>
              <w:right w:val="single" w:sz="4" w:space="0" w:color="auto"/>
            </w:tcBorders>
            <w:shd w:val="clear" w:color="auto" w:fill="auto"/>
            <w:vAlign w:val="center"/>
            <w:hideMark/>
          </w:tcPr>
          <w:p w14:paraId="362A343E"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2,4</w:t>
            </w:r>
          </w:p>
        </w:tc>
        <w:tc>
          <w:tcPr>
            <w:tcW w:w="3149" w:type="dxa"/>
            <w:tcBorders>
              <w:top w:val="nil"/>
              <w:left w:val="nil"/>
              <w:bottom w:val="single" w:sz="4" w:space="0" w:color="auto"/>
              <w:right w:val="single" w:sz="4" w:space="0" w:color="auto"/>
            </w:tcBorders>
            <w:shd w:val="clear" w:color="auto" w:fill="auto"/>
            <w:hideMark/>
          </w:tcPr>
          <w:p w14:paraId="0C230239" w14:textId="77777777" w:rsidR="00322AE9" w:rsidRPr="00322AE9" w:rsidRDefault="00322AE9" w:rsidP="00322AE9">
            <w:pPr>
              <w:ind w:firstLine="0"/>
              <w:jc w:val="left"/>
              <w:rPr>
                <w:rFonts w:eastAsia="Times New Roman" w:cs="Times New Roman"/>
                <w:color w:val="000000"/>
                <w:sz w:val="18"/>
                <w:szCs w:val="18"/>
                <w:lang w:eastAsia="ru-RU"/>
              </w:rPr>
            </w:pPr>
            <w:r w:rsidRPr="00322AE9">
              <w:rPr>
                <w:rFonts w:eastAsia="Times New Roman" w:cs="Times New Roman"/>
                <w:color w:val="000000"/>
                <w:sz w:val="18"/>
                <w:szCs w:val="18"/>
                <w:lang w:eastAsia="ru-RU"/>
              </w:rPr>
              <w:t>СП 118.13330.2012 "Общественные здания", п.4.5</w:t>
            </w:r>
          </w:p>
        </w:tc>
      </w:tr>
      <w:tr w:rsidR="00322AE9" w:rsidRPr="00322AE9" w14:paraId="14E07086" w14:textId="77777777" w:rsidTr="00322AE9">
        <w:trPr>
          <w:trHeight w:val="1020"/>
          <w:jc w:val="center"/>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7657DBDB"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 </w:t>
            </w:r>
          </w:p>
        </w:tc>
        <w:tc>
          <w:tcPr>
            <w:tcW w:w="816" w:type="dxa"/>
            <w:tcBorders>
              <w:top w:val="nil"/>
              <w:left w:val="nil"/>
              <w:bottom w:val="single" w:sz="4" w:space="0" w:color="auto"/>
              <w:right w:val="single" w:sz="4" w:space="0" w:color="auto"/>
            </w:tcBorders>
            <w:shd w:val="clear" w:color="auto" w:fill="auto"/>
            <w:vAlign w:val="center"/>
            <w:hideMark/>
          </w:tcPr>
          <w:p w14:paraId="239A5CCB"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0822</w:t>
            </w:r>
          </w:p>
        </w:tc>
        <w:tc>
          <w:tcPr>
            <w:tcW w:w="2893" w:type="dxa"/>
            <w:tcBorders>
              <w:top w:val="nil"/>
              <w:left w:val="nil"/>
              <w:bottom w:val="single" w:sz="4" w:space="0" w:color="auto"/>
              <w:right w:val="single" w:sz="4" w:space="0" w:color="auto"/>
            </w:tcBorders>
            <w:shd w:val="clear" w:color="auto" w:fill="auto"/>
            <w:vAlign w:val="center"/>
            <w:hideMark/>
          </w:tcPr>
          <w:p w14:paraId="73E69183" w14:textId="77777777" w:rsidR="00322AE9" w:rsidRPr="00322AE9" w:rsidRDefault="00322AE9" w:rsidP="00322AE9">
            <w:pPr>
              <w:ind w:firstLine="0"/>
              <w:jc w:val="left"/>
              <w:rPr>
                <w:rFonts w:eastAsia="Times New Roman" w:cs="Times New Roman"/>
                <w:color w:val="000000"/>
                <w:sz w:val="20"/>
                <w:szCs w:val="20"/>
                <w:lang w:eastAsia="ru-RU"/>
              </w:rPr>
            </w:pPr>
            <w:r w:rsidRPr="00322AE9">
              <w:rPr>
                <w:rFonts w:eastAsia="Times New Roman" w:cs="Times New Roman"/>
                <w:color w:val="000000"/>
                <w:sz w:val="20"/>
                <w:szCs w:val="20"/>
                <w:lang w:eastAsia="ru-RU"/>
              </w:rPr>
              <w:t>Гимназии, дома и дворцы пионеров, дома творчества юных, изостудии, клубы, лицеи, музыкальные школы, церковные школы, школы, спальные корпуса школ-интернатов</w:t>
            </w:r>
          </w:p>
        </w:tc>
        <w:tc>
          <w:tcPr>
            <w:tcW w:w="855" w:type="dxa"/>
            <w:tcBorders>
              <w:top w:val="nil"/>
              <w:left w:val="nil"/>
              <w:bottom w:val="single" w:sz="4" w:space="0" w:color="auto"/>
              <w:right w:val="single" w:sz="4" w:space="0" w:color="auto"/>
            </w:tcBorders>
            <w:shd w:val="clear" w:color="FFFFFF" w:fill="FFFFFF"/>
            <w:vAlign w:val="center"/>
            <w:hideMark/>
          </w:tcPr>
          <w:p w14:paraId="6F695083"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 </w:t>
            </w:r>
          </w:p>
        </w:tc>
        <w:tc>
          <w:tcPr>
            <w:tcW w:w="793" w:type="dxa"/>
            <w:tcBorders>
              <w:top w:val="nil"/>
              <w:left w:val="nil"/>
              <w:bottom w:val="single" w:sz="4" w:space="0" w:color="auto"/>
              <w:right w:val="single" w:sz="4" w:space="0" w:color="auto"/>
            </w:tcBorders>
            <w:shd w:val="clear" w:color="auto" w:fill="auto"/>
            <w:vAlign w:val="center"/>
            <w:hideMark/>
          </w:tcPr>
          <w:p w14:paraId="3642B098"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3,0</w:t>
            </w:r>
          </w:p>
        </w:tc>
        <w:tc>
          <w:tcPr>
            <w:tcW w:w="992" w:type="dxa"/>
            <w:tcBorders>
              <w:top w:val="nil"/>
              <w:left w:val="nil"/>
              <w:bottom w:val="single" w:sz="4" w:space="0" w:color="auto"/>
              <w:right w:val="single" w:sz="4" w:space="0" w:color="auto"/>
            </w:tcBorders>
            <w:shd w:val="clear" w:color="auto" w:fill="auto"/>
            <w:vAlign w:val="center"/>
            <w:hideMark/>
          </w:tcPr>
          <w:p w14:paraId="377D8C90"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0,3</w:t>
            </w:r>
          </w:p>
        </w:tc>
        <w:tc>
          <w:tcPr>
            <w:tcW w:w="1030" w:type="dxa"/>
            <w:tcBorders>
              <w:top w:val="nil"/>
              <w:left w:val="nil"/>
              <w:bottom w:val="single" w:sz="4" w:space="0" w:color="auto"/>
              <w:right w:val="single" w:sz="4" w:space="0" w:color="auto"/>
            </w:tcBorders>
            <w:shd w:val="clear" w:color="auto" w:fill="auto"/>
            <w:vAlign w:val="center"/>
            <w:hideMark/>
          </w:tcPr>
          <w:p w14:paraId="668645E1"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3,3</w:t>
            </w:r>
          </w:p>
        </w:tc>
        <w:tc>
          <w:tcPr>
            <w:tcW w:w="1096" w:type="dxa"/>
            <w:tcBorders>
              <w:top w:val="nil"/>
              <w:left w:val="nil"/>
              <w:bottom w:val="single" w:sz="4" w:space="0" w:color="auto"/>
              <w:right w:val="single" w:sz="4" w:space="0" w:color="auto"/>
            </w:tcBorders>
            <w:shd w:val="clear" w:color="auto" w:fill="auto"/>
            <w:vAlign w:val="center"/>
            <w:hideMark/>
          </w:tcPr>
          <w:p w14:paraId="4833B336"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1,6</w:t>
            </w:r>
          </w:p>
        </w:tc>
        <w:tc>
          <w:tcPr>
            <w:tcW w:w="1149" w:type="dxa"/>
            <w:tcBorders>
              <w:top w:val="nil"/>
              <w:left w:val="nil"/>
              <w:bottom w:val="single" w:sz="4" w:space="0" w:color="auto"/>
              <w:right w:val="single" w:sz="4" w:space="0" w:color="auto"/>
            </w:tcBorders>
            <w:shd w:val="clear" w:color="auto" w:fill="auto"/>
            <w:vAlign w:val="center"/>
            <w:hideMark/>
          </w:tcPr>
          <w:p w14:paraId="026EFCBB"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2,1</w:t>
            </w:r>
          </w:p>
        </w:tc>
        <w:tc>
          <w:tcPr>
            <w:tcW w:w="1119" w:type="dxa"/>
            <w:tcBorders>
              <w:top w:val="nil"/>
              <w:left w:val="nil"/>
              <w:bottom w:val="single" w:sz="4" w:space="0" w:color="auto"/>
              <w:right w:val="single" w:sz="4" w:space="0" w:color="auto"/>
            </w:tcBorders>
            <w:shd w:val="clear" w:color="auto" w:fill="auto"/>
            <w:vAlign w:val="center"/>
            <w:hideMark/>
          </w:tcPr>
          <w:p w14:paraId="76E24ACD"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2,4</w:t>
            </w:r>
          </w:p>
        </w:tc>
        <w:tc>
          <w:tcPr>
            <w:tcW w:w="3149" w:type="dxa"/>
            <w:tcBorders>
              <w:top w:val="nil"/>
              <w:left w:val="nil"/>
              <w:bottom w:val="single" w:sz="4" w:space="0" w:color="auto"/>
              <w:right w:val="single" w:sz="4" w:space="0" w:color="auto"/>
            </w:tcBorders>
            <w:shd w:val="clear" w:color="auto" w:fill="auto"/>
            <w:hideMark/>
          </w:tcPr>
          <w:p w14:paraId="625C9581" w14:textId="77777777" w:rsidR="00322AE9" w:rsidRPr="00322AE9" w:rsidRDefault="00322AE9" w:rsidP="00322AE9">
            <w:pPr>
              <w:ind w:firstLine="0"/>
              <w:jc w:val="left"/>
              <w:rPr>
                <w:rFonts w:eastAsia="Times New Roman" w:cs="Times New Roman"/>
                <w:color w:val="000000"/>
                <w:sz w:val="18"/>
                <w:szCs w:val="18"/>
                <w:lang w:eastAsia="ru-RU"/>
              </w:rPr>
            </w:pPr>
            <w:r w:rsidRPr="00322AE9">
              <w:rPr>
                <w:rFonts w:eastAsia="Times New Roman" w:cs="Times New Roman"/>
                <w:color w:val="000000"/>
                <w:sz w:val="18"/>
                <w:szCs w:val="18"/>
                <w:lang w:eastAsia="ru-RU"/>
              </w:rPr>
              <w:t>СП 118.13330.2012 "Общественные здания", п.4.5</w:t>
            </w:r>
          </w:p>
        </w:tc>
      </w:tr>
      <w:tr w:rsidR="00322AE9" w:rsidRPr="00322AE9" w14:paraId="5A8EDF76" w14:textId="77777777" w:rsidTr="00322AE9">
        <w:trPr>
          <w:trHeight w:val="510"/>
          <w:jc w:val="center"/>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0149856C"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 </w:t>
            </w:r>
          </w:p>
        </w:tc>
        <w:tc>
          <w:tcPr>
            <w:tcW w:w="816" w:type="dxa"/>
            <w:tcBorders>
              <w:top w:val="nil"/>
              <w:left w:val="nil"/>
              <w:bottom w:val="single" w:sz="4" w:space="0" w:color="auto"/>
              <w:right w:val="single" w:sz="4" w:space="0" w:color="auto"/>
            </w:tcBorders>
            <w:shd w:val="clear" w:color="auto" w:fill="auto"/>
            <w:vAlign w:val="center"/>
            <w:hideMark/>
          </w:tcPr>
          <w:p w14:paraId="7C90314F"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0823</w:t>
            </w:r>
          </w:p>
        </w:tc>
        <w:tc>
          <w:tcPr>
            <w:tcW w:w="2893" w:type="dxa"/>
            <w:tcBorders>
              <w:top w:val="nil"/>
              <w:left w:val="nil"/>
              <w:bottom w:val="single" w:sz="4" w:space="0" w:color="auto"/>
              <w:right w:val="single" w:sz="4" w:space="0" w:color="auto"/>
            </w:tcBorders>
            <w:shd w:val="clear" w:color="auto" w:fill="auto"/>
            <w:vAlign w:val="center"/>
            <w:hideMark/>
          </w:tcPr>
          <w:p w14:paraId="42C0A2EE" w14:textId="77777777" w:rsidR="00322AE9" w:rsidRPr="00322AE9" w:rsidRDefault="00322AE9" w:rsidP="00322AE9">
            <w:pPr>
              <w:ind w:firstLine="0"/>
              <w:jc w:val="left"/>
              <w:rPr>
                <w:rFonts w:eastAsia="Times New Roman" w:cs="Times New Roman"/>
                <w:color w:val="000000"/>
                <w:sz w:val="20"/>
                <w:szCs w:val="20"/>
                <w:lang w:eastAsia="ru-RU"/>
              </w:rPr>
            </w:pPr>
            <w:r w:rsidRPr="00322AE9">
              <w:rPr>
                <w:rFonts w:eastAsia="Times New Roman" w:cs="Times New Roman"/>
                <w:color w:val="000000"/>
                <w:sz w:val="20"/>
                <w:szCs w:val="20"/>
                <w:lang w:eastAsia="ru-RU"/>
              </w:rPr>
              <w:t>Колледжи, училища профессионально-технические и ремесленные, техникумы, училища</w:t>
            </w:r>
          </w:p>
        </w:tc>
        <w:tc>
          <w:tcPr>
            <w:tcW w:w="855" w:type="dxa"/>
            <w:tcBorders>
              <w:top w:val="nil"/>
              <w:left w:val="nil"/>
              <w:bottom w:val="single" w:sz="4" w:space="0" w:color="auto"/>
              <w:right w:val="single" w:sz="4" w:space="0" w:color="auto"/>
            </w:tcBorders>
            <w:shd w:val="clear" w:color="FFFFFF" w:fill="FFFFFF"/>
            <w:vAlign w:val="center"/>
            <w:hideMark/>
          </w:tcPr>
          <w:p w14:paraId="733753CF"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 </w:t>
            </w:r>
          </w:p>
        </w:tc>
        <w:tc>
          <w:tcPr>
            <w:tcW w:w="793" w:type="dxa"/>
            <w:tcBorders>
              <w:top w:val="nil"/>
              <w:left w:val="nil"/>
              <w:bottom w:val="single" w:sz="4" w:space="0" w:color="auto"/>
              <w:right w:val="single" w:sz="4" w:space="0" w:color="auto"/>
            </w:tcBorders>
            <w:shd w:val="clear" w:color="auto" w:fill="auto"/>
            <w:vAlign w:val="center"/>
            <w:hideMark/>
          </w:tcPr>
          <w:p w14:paraId="2C9713C0"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3,3</w:t>
            </w:r>
          </w:p>
        </w:tc>
        <w:tc>
          <w:tcPr>
            <w:tcW w:w="992" w:type="dxa"/>
            <w:tcBorders>
              <w:top w:val="nil"/>
              <w:left w:val="nil"/>
              <w:bottom w:val="single" w:sz="4" w:space="0" w:color="auto"/>
              <w:right w:val="single" w:sz="4" w:space="0" w:color="auto"/>
            </w:tcBorders>
            <w:shd w:val="clear" w:color="auto" w:fill="auto"/>
            <w:vAlign w:val="center"/>
            <w:hideMark/>
          </w:tcPr>
          <w:p w14:paraId="3ADD87CA"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0,3</w:t>
            </w:r>
          </w:p>
        </w:tc>
        <w:tc>
          <w:tcPr>
            <w:tcW w:w="1030" w:type="dxa"/>
            <w:tcBorders>
              <w:top w:val="nil"/>
              <w:left w:val="nil"/>
              <w:bottom w:val="single" w:sz="4" w:space="0" w:color="auto"/>
              <w:right w:val="single" w:sz="4" w:space="0" w:color="auto"/>
            </w:tcBorders>
            <w:shd w:val="clear" w:color="auto" w:fill="auto"/>
            <w:vAlign w:val="center"/>
            <w:hideMark/>
          </w:tcPr>
          <w:p w14:paraId="5FAF1E75"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3,6</w:t>
            </w:r>
          </w:p>
        </w:tc>
        <w:tc>
          <w:tcPr>
            <w:tcW w:w="1096" w:type="dxa"/>
            <w:tcBorders>
              <w:top w:val="nil"/>
              <w:left w:val="nil"/>
              <w:bottom w:val="single" w:sz="4" w:space="0" w:color="auto"/>
              <w:right w:val="single" w:sz="4" w:space="0" w:color="auto"/>
            </w:tcBorders>
            <w:shd w:val="clear" w:color="auto" w:fill="auto"/>
            <w:vAlign w:val="center"/>
            <w:hideMark/>
          </w:tcPr>
          <w:p w14:paraId="5C3052AE"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1,6</w:t>
            </w:r>
          </w:p>
        </w:tc>
        <w:tc>
          <w:tcPr>
            <w:tcW w:w="1149" w:type="dxa"/>
            <w:tcBorders>
              <w:top w:val="nil"/>
              <w:left w:val="nil"/>
              <w:bottom w:val="single" w:sz="4" w:space="0" w:color="auto"/>
              <w:right w:val="single" w:sz="4" w:space="0" w:color="auto"/>
            </w:tcBorders>
            <w:shd w:val="clear" w:color="auto" w:fill="auto"/>
            <w:vAlign w:val="center"/>
            <w:hideMark/>
          </w:tcPr>
          <w:p w14:paraId="44E0D7CB"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2,1</w:t>
            </w:r>
          </w:p>
        </w:tc>
        <w:tc>
          <w:tcPr>
            <w:tcW w:w="1119" w:type="dxa"/>
            <w:tcBorders>
              <w:top w:val="nil"/>
              <w:left w:val="nil"/>
              <w:bottom w:val="single" w:sz="4" w:space="0" w:color="auto"/>
              <w:right w:val="single" w:sz="4" w:space="0" w:color="auto"/>
            </w:tcBorders>
            <w:shd w:val="clear" w:color="auto" w:fill="auto"/>
            <w:vAlign w:val="center"/>
            <w:hideMark/>
          </w:tcPr>
          <w:p w14:paraId="00C366E2"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2,4</w:t>
            </w:r>
          </w:p>
        </w:tc>
        <w:tc>
          <w:tcPr>
            <w:tcW w:w="3149" w:type="dxa"/>
            <w:tcBorders>
              <w:top w:val="nil"/>
              <w:left w:val="nil"/>
              <w:bottom w:val="single" w:sz="4" w:space="0" w:color="auto"/>
              <w:right w:val="single" w:sz="4" w:space="0" w:color="auto"/>
            </w:tcBorders>
            <w:shd w:val="clear" w:color="auto" w:fill="auto"/>
            <w:hideMark/>
          </w:tcPr>
          <w:p w14:paraId="634EA14C" w14:textId="77777777" w:rsidR="00322AE9" w:rsidRPr="00322AE9" w:rsidRDefault="00322AE9" w:rsidP="00322AE9">
            <w:pPr>
              <w:ind w:firstLine="0"/>
              <w:jc w:val="left"/>
              <w:rPr>
                <w:rFonts w:eastAsia="Times New Roman" w:cs="Times New Roman"/>
                <w:color w:val="000000"/>
                <w:sz w:val="18"/>
                <w:szCs w:val="18"/>
                <w:lang w:eastAsia="ru-RU"/>
              </w:rPr>
            </w:pPr>
            <w:r w:rsidRPr="00322AE9">
              <w:rPr>
                <w:rFonts w:eastAsia="Times New Roman" w:cs="Times New Roman"/>
                <w:color w:val="000000"/>
                <w:sz w:val="18"/>
                <w:szCs w:val="18"/>
                <w:lang w:eastAsia="ru-RU"/>
              </w:rPr>
              <w:t>СП 118.13330.2012 "Общественные здания", п.4.5</w:t>
            </w:r>
          </w:p>
        </w:tc>
      </w:tr>
      <w:tr w:rsidR="00322AE9" w:rsidRPr="00322AE9" w14:paraId="660166BD" w14:textId="77777777" w:rsidTr="00322AE9">
        <w:trPr>
          <w:trHeight w:val="765"/>
          <w:jc w:val="center"/>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361FAB07"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 </w:t>
            </w:r>
          </w:p>
        </w:tc>
        <w:tc>
          <w:tcPr>
            <w:tcW w:w="816" w:type="dxa"/>
            <w:tcBorders>
              <w:top w:val="nil"/>
              <w:left w:val="nil"/>
              <w:bottom w:val="single" w:sz="4" w:space="0" w:color="auto"/>
              <w:right w:val="single" w:sz="4" w:space="0" w:color="auto"/>
            </w:tcBorders>
            <w:shd w:val="clear" w:color="auto" w:fill="auto"/>
            <w:vAlign w:val="center"/>
            <w:hideMark/>
          </w:tcPr>
          <w:p w14:paraId="77F0FA5D"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0824</w:t>
            </w:r>
          </w:p>
        </w:tc>
        <w:tc>
          <w:tcPr>
            <w:tcW w:w="2893" w:type="dxa"/>
            <w:tcBorders>
              <w:top w:val="nil"/>
              <w:left w:val="nil"/>
              <w:bottom w:val="single" w:sz="4" w:space="0" w:color="auto"/>
              <w:right w:val="single" w:sz="4" w:space="0" w:color="auto"/>
            </w:tcBorders>
            <w:shd w:val="clear" w:color="auto" w:fill="auto"/>
            <w:vAlign w:val="center"/>
            <w:hideMark/>
          </w:tcPr>
          <w:p w14:paraId="72C1C548" w14:textId="77777777" w:rsidR="00322AE9" w:rsidRPr="00322AE9" w:rsidRDefault="00322AE9" w:rsidP="00322AE9">
            <w:pPr>
              <w:ind w:firstLine="0"/>
              <w:jc w:val="left"/>
              <w:rPr>
                <w:rFonts w:eastAsia="Times New Roman" w:cs="Times New Roman"/>
                <w:color w:val="000000"/>
                <w:sz w:val="20"/>
                <w:szCs w:val="20"/>
                <w:lang w:eastAsia="ru-RU"/>
              </w:rPr>
            </w:pPr>
            <w:r w:rsidRPr="00322AE9">
              <w:rPr>
                <w:rFonts w:eastAsia="Times New Roman" w:cs="Times New Roman"/>
                <w:color w:val="000000"/>
                <w:sz w:val="20"/>
                <w:szCs w:val="20"/>
                <w:lang w:eastAsia="ru-RU"/>
              </w:rPr>
              <w:t>Академии, институты образовательные, подготовительные отделения высших учебных заведений, университеты</w:t>
            </w:r>
          </w:p>
        </w:tc>
        <w:tc>
          <w:tcPr>
            <w:tcW w:w="855" w:type="dxa"/>
            <w:tcBorders>
              <w:top w:val="nil"/>
              <w:left w:val="nil"/>
              <w:bottom w:val="single" w:sz="4" w:space="0" w:color="auto"/>
              <w:right w:val="single" w:sz="4" w:space="0" w:color="auto"/>
            </w:tcBorders>
            <w:shd w:val="clear" w:color="FFFFFF" w:fill="FFFFFF"/>
            <w:vAlign w:val="center"/>
            <w:hideMark/>
          </w:tcPr>
          <w:p w14:paraId="0EBA52F8"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 </w:t>
            </w:r>
          </w:p>
        </w:tc>
        <w:tc>
          <w:tcPr>
            <w:tcW w:w="793" w:type="dxa"/>
            <w:tcBorders>
              <w:top w:val="nil"/>
              <w:left w:val="nil"/>
              <w:bottom w:val="single" w:sz="4" w:space="0" w:color="auto"/>
              <w:right w:val="single" w:sz="4" w:space="0" w:color="auto"/>
            </w:tcBorders>
            <w:shd w:val="clear" w:color="auto" w:fill="auto"/>
            <w:vAlign w:val="center"/>
            <w:hideMark/>
          </w:tcPr>
          <w:p w14:paraId="1D0DB8A8"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3,3</w:t>
            </w:r>
          </w:p>
        </w:tc>
        <w:tc>
          <w:tcPr>
            <w:tcW w:w="992" w:type="dxa"/>
            <w:tcBorders>
              <w:top w:val="nil"/>
              <w:left w:val="nil"/>
              <w:bottom w:val="single" w:sz="4" w:space="0" w:color="auto"/>
              <w:right w:val="single" w:sz="4" w:space="0" w:color="auto"/>
            </w:tcBorders>
            <w:shd w:val="clear" w:color="auto" w:fill="auto"/>
            <w:vAlign w:val="center"/>
            <w:hideMark/>
          </w:tcPr>
          <w:p w14:paraId="3271C03A"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0,3</w:t>
            </w:r>
          </w:p>
        </w:tc>
        <w:tc>
          <w:tcPr>
            <w:tcW w:w="1030" w:type="dxa"/>
            <w:tcBorders>
              <w:top w:val="nil"/>
              <w:left w:val="nil"/>
              <w:bottom w:val="single" w:sz="4" w:space="0" w:color="auto"/>
              <w:right w:val="single" w:sz="4" w:space="0" w:color="auto"/>
            </w:tcBorders>
            <w:shd w:val="clear" w:color="auto" w:fill="auto"/>
            <w:vAlign w:val="center"/>
            <w:hideMark/>
          </w:tcPr>
          <w:p w14:paraId="50E83794"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3,6</w:t>
            </w:r>
          </w:p>
        </w:tc>
        <w:tc>
          <w:tcPr>
            <w:tcW w:w="1096" w:type="dxa"/>
            <w:tcBorders>
              <w:top w:val="nil"/>
              <w:left w:val="nil"/>
              <w:bottom w:val="single" w:sz="4" w:space="0" w:color="auto"/>
              <w:right w:val="single" w:sz="4" w:space="0" w:color="auto"/>
            </w:tcBorders>
            <w:shd w:val="clear" w:color="auto" w:fill="auto"/>
            <w:vAlign w:val="center"/>
            <w:hideMark/>
          </w:tcPr>
          <w:p w14:paraId="77A8FFAE"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1,6</w:t>
            </w:r>
          </w:p>
        </w:tc>
        <w:tc>
          <w:tcPr>
            <w:tcW w:w="1149" w:type="dxa"/>
            <w:tcBorders>
              <w:top w:val="nil"/>
              <w:left w:val="nil"/>
              <w:bottom w:val="single" w:sz="4" w:space="0" w:color="auto"/>
              <w:right w:val="single" w:sz="4" w:space="0" w:color="auto"/>
            </w:tcBorders>
            <w:shd w:val="clear" w:color="auto" w:fill="auto"/>
            <w:vAlign w:val="center"/>
            <w:hideMark/>
          </w:tcPr>
          <w:p w14:paraId="2965AB07"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2,1</w:t>
            </w:r>
          </w:p>
        </w:tc>
        <w:tc>
          <w:tcPr>
            <w:tcW w:w="1119" w:type="dxa"/>
            <w:tcBorders>
              <w:top w:val="nil"/>
              <w:left w:val="nil"/>
              <w:bottom w:val="single" w:sz="4" w:space="0" w:color="auto"/>
              <w:right w:val="single" w:sz="4" w:space="0" w:color="auto"/>
            </w:tcBorders>
            <w:shd w:val="clear" w:color="auto" w:fill="auto"/>
            <w:vAlign w:val="center"/>
            <w:hideMark/>
          </w:tcPr>
          <w:p w14:paraId="3C5EE5EA"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2,4</w:t>
            </w:r>
          </w:p>
        </w:tc>
        <w:tc>
          <w:tcPr>
            <w:tcW w:w="3149" w:type="dxa"/>
            <w:tcBorders>
              <w:top w:val="nil"/>
              <w:left w:val="nil"/>
              <w:bottom w:val="single" w:sz="4" w:space="0" w:color="auto"/>
              <w:right w:val="single" w:sz="4" w:space="0" w:color="auto"/>
            </w:tcBorders>
            <w:shd w:val="clear" w:color="auto" w:fill="auto"/>
            <w:hideMark/>
          </w:tcPr>
          <w:p w14:paraId="1FA70898" w14:textId="77777777" w:rsidR="00322AE9" w:rsidRPr="00322AE9" w:rsidRDefault="00322AE9" w:rsidP="00322AE9">
            <w:pPr>
              <w:ind w:firstLine="0"/>
              <w:jc w:val="left"/>
              <w:rPr>
                <w:rFonts w:eastAsia="Times New Roman" w:cs="Times New Roman"/>
                <w:color w:val="000000"/>
                <w:sz w:val="18"/>
                <w:szCs w:val="18"/>
                <w:lang w:eastAsia="ru-RU"/>
              </w:rPr>
            </w:pPr>
            <w:r w:rsidRPr="00322AE9">
              <w:rPr>
                <w:rFonts w:eastAsia="Times New Roman" w:cs="Times New Roman"/>
                <w:color w:val="000000"/>
                <w:sz w:val="18"/>
                <w:szCs w:val="18"/>
                <w:lang w:eastAsia="ru-RU"/>
              </w:rPr>
              <w:t>СП 118.13330.2012 "Общественные здания", п.4.5</w:t>
            </w:r>
          </w:p>
        </w:tc>
      </w:tr>
      <w:tr w:rsidR="00322AE9" w:rsidRPr="00322AE9" w14:paraId="7217E99D" w14:textId="77777777" w:rsidTr="00322AE9">
        <w:trPr>
          <w:trHeight w:val="765"/>
          <w:jc w:val="center"/>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5ECF515A"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 </w:t>
            </w:r>
          </w:p>
        </w:tc>
        <w:tc>
          <w:tcPr>
            <w:tcW w:w="816" w:type="dxa"/>
            <w:tcBorders>
              <w:top w:val="nil"/>
              <w:left w:val="nil"/>
              <w:bottom w:val="single" w:sz="4" w:space="0" w:color="auto"/>
              <w:right w:val="single" w:sz="4" w:space="0" w:color="auto"/>
            </w:tcBorders>
            <w:shd w:val="clear" w:color="auto" w:fill="auto"/>
            <w:vAlign w:val="center"/>
            <w:hideMark/>
          </w:tcPr>
          <w:p w14:paraId="5270CABA"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0825</w:t>
            </w:r>
          </w:p>
        </w:tc>
        <w:tc>
          <w:tcPr>
            <w:tcW w:w="2893" w:type="dxa"/>
            <w:tcBorders>
              <w:top w:val="nil"/>
              <w:left w:val="nil"/>
              <w:bottom w:val="single" w:sz="4" w:space="0" w:color="auto"/>
              <w:right w:val="single" w:sz="4" w:space="0" w:color="auto"/>
            </w:tcBorders>
            <w:shd w:val="clear" w:color="auto" w:fill="auto"/>
            <w:vAlign w:val="center"/>
            <w:hideMark/>
          </w:tcPr>
          <w:p w14:paraId="4C1E2407" w14:textId="77777777" w:rsidR="00322AE9" w:rsidRPr="00322AE9" w:rsidRDefault="00322AE9" w:rsidP="00322AE9">
            <w:pPr>
              <w:ind w:firstLine="0"/>
              <w:jc w:val="left"/>
              <w:rPr>
                <w:rFonts w:eastAsia="Times New Roman" w:cs="Times New Roman"/>
                <w:color w:val="000000"/>
                <w:sz w:val="20"/>
                <w:szCs w:val="20"/>
                <w:lang w:eastAsia="ru-RU"/>
              </w:rPr>
            </w:pPr>
            <w:r w:rsidRPr="00322AE9">
              <w:rPr>
                <w:rFonts w:eastAsia="Times New Roman" w:cs="Times New Roman"/>
                <w:color w:val="000000"/>
                <w:sz w:val="20"/>
                <w:szCs w:val="20"/>
                <w:lang w:eastAsia="ru-RU"/>
              </w:rPr>
              <w:t>Медицинские центры, клинические исследовательские (медицинские), оздоровительно-реабилитационные  центры</w:t>
            </w:r>
          </w:p>
        </w:tc>
        <w:tc>
          <w:tcPr>
            <w:tcW w:w="855" w:type="dxa"/>
            <w:tcBorders>
              <w:top w:val="nil"/>
              <w:left w:val="nil"/>
              <w:bottom w:val="single" w:sz="4" w:space="0" w:color="auto"/>
              <w:right w:val="single" w:sz="4" w:space="0" w:color="auto"/>
            </w:tcBorders>
            <w:shd w:val="clear" w:color="auto" w:fill="auto"/>
            <w:vAlign w:val="center"/>
            <w:hideMark/>
          </w:tcPr>
          <w:p w14:paraId="3B58EDF2"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 </w:t>
            </w:r>
          </w:p>
        </w:tc>
        <w:tc>
          <w:tcPr>
            <w:tcW w:w="793" w:type="dxa"/>
            <w:tcBorders>
              <w:top w:val="nil"/>
              <w:left w:val="nil"/>
              <w:bottom w:val="single" w:sz="4" w:space="0" w:color="auto"/>
              <w:right w:val="single" w:sz="4" w:space="0" w:color="auto"/>
            </w:tcBorders>
            <w:shd w:val="clear" w:color="auto" w:fill="auto"/>
            <w:vAlign w:val="center"/>
            <w:hideMark/>
          </w:tcPr>
          <w:p w14:paraId="5DAD28BD"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3,0</w:t>
            </w:r>
          </w:p>
        </w:tc>
        <w:tc>
          <w:tcPr>
            <w:tcW w:w="992" w:type="dxa"/>
            <w:tcBorders>
              <w:top w:val="nil"/>
              <w:left w:val="nil"/>
              <w:bottom w:val="single" w:sz="4" w:space="0" w:color="auto"/>
              <w:right w:val="single" w:sz="4" w:space="0" w:color="auto"/>
            </w:tcBorders>
            <w:shd w:val="clear" w:color="auto" w:fill="auto"/>
            <w:vAlign w:val="center"/>
            <w:hideMark/>
          </w:tcPr>
          <w:p w14:paraId="5700D3F8"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0,3</w:t>
            </w:r>
          </w:p>
        </w:tc>
        <w:tc>
          <w:tcPr>
            <w:tcW w:w="1030" w:type="dxa"/>
            <w:tcBorders>
              <w:top w:val="nil"/>
              <w:left w:val="nil"/>
              <w:bottom w:val="single" w:sz="4" w:space="0" w:color="auto"/>
              <w:right w:val="single" w:sz="4" w:space="0" w:color="auto"/>
            </w:tcBorders>
            <w:shd w:val="clear" w:color="auto" w:fill="auto"/>
            <w:vAlign w:val="center"/>
            <w:hideMark/>
          </w:tcPr>
          <w:p w14:paraId="55D0ADDB"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3,3</w:t>
            </w:r>
          </w:p>
        </w:tc>
        <w:tc>
          <w:tcPr>
            <w:tcW w:w="1096" w:type="dxa"/>
            <w:tcBorders>
              <w:top w:val="nil"/>
              <w:left w:val="nil"/>
              <w:bottom w:val="single" w:sz="4" w:space="0" w:color="auto"/>
              <w:right w:val="single" w:sz="4" w:space="0" w:color="auto"/>
            </w:tcBorders>
            <w:shd w:val="clear" w:color="auto" w:fill="auto"/>
            <w:vAlign w:val="center"/>
            <w:hideMark/>
          </w:tcPr>
          <w:p w14:paraId="41AA7F74"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1,6</w:t>
            </w:r>
          </w:p>
        </w:tc>
        <w:tc>
          <w:tcPr>
            <w:tcW w:w="1149" w:type="dxa"/>
            <w:tcBorders>
              <w:top w:val="nil"/>
              <w:left w:val="nil"/>
              <w:bottom w:val="single" w:sz="4" w:space="0" w:color="auto"/>
              <w:right w:val="single" w:sz="4" w:space="0" w:color="auto"/>
            </w:tcBorders>
            <w:shd w:val="clear" w:color="auto" w:fill="auto"/>
            <w:vAlign w:val="center"/>
            <w:hideMark/>
          </w:tcPr>
          <w:p w14:paraId="44E85743"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2,1</w:t>
            </w:r>
          </w:p>
        </w:tc>
        <w:tc>
          <w:tcPr>
            <w:tcW w:w="1119" w:type="dxa"/>
            <w:tcBorders>
              <w:top w:val="nil"/>
              <w:left w:val="nil"/>
              <w:bottom w:val="single" w:sz="4" w:space="0" w:color="auto"/>
              <w:right w:val="single" w:sz="4" w:space="0" w:color="auto"/>
            </w:tcBorders>
            <w:shd w:val="clear" w:color="auto" w:fill="auto"/>
            <w:vAlign w:val="center"/>
            <w:hideMark/>
          </w:tcPr>
          <w:p w14:paraId="2068822E"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2,4</w:t>
            </w:r>
          </w:p>
        </w:tc>
        <w:tc>
          <w:tcPr>
            <w:tcW w:w="3149" w:type="dxa"/>
            <w:tcBorders>
              <w:top w:val="nil"/>
              <w:left w:val="nil"/>
              <w:bottom w:val="single" w:sz="4" w:space="0" w:color="auto"/>
              <w:right w:val="single" w:sz="4" w:space="0" w:color="auto"/>
            </w:tcBorders>
            <w:shd w:val="clear" w:color="auto" w:fill="auto"/>
            <w:hideMark/>
          </w:tcPr>
          <w:p w14:paraId="6456D435" w14:textId="77777777" w:rsidR="00322AE9" w:rsidRPr="00322AE9" w:rsidRDefault="00322AE9" w:rsidP="00322AE9">
            <w:pPr>
              <w:ind w:firstLine="0"/>
              <w:jc w:val="left"/>
              <w:rPr>
                <w:rFonts w:eastAsia="Times New Roman" w:cs="Times New Roman"/>
                <w:color w:val="000000"/>
                <w:sz w:val="18"/>
                <w:szCs w:val="18"/>
                <w:lang w:eastAsia="ru-RU"/>
              </w:rPr>
            </w:pPr>
            <w:r w:rsidRPr="00322AE9">
              <w:rPr>
                <w:rFonts w:eastAsia="Times New Roman" w:cs="Times New Roman"/>
                <w:color w:val="000000"/>
                <w:sz w:val="18"/>
                <w:szCs w:val="18"/>
                <w:lang w:eastAsia="ru-RU"/>
              </w:rPr>
              <w:t xml:space="preserve"> СП 158.13330.2014, "Здания и помещения медицинских организаций. Правила проектирования"</w:t>
            </w:r>
          </w:p>
        </w:tc>
      </w:tr>
      <w:tr w:rsidR="00322AE9" w:rsidRPr="00322AE9" w14:paraId="72756076" w14:textId="77777777" w:rsidTr="00322AE9">
        <w:trPr>
          <w:trHeight w:val="300"/>
          <w:jc w:val="center"/>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1A6A2F9D"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 </w:t>
            </w:r>
          </w:p>
        </w:tc>
        <w:tc>
          <w:tcPr>
            <w:tcW w:w="816" w:type="dxa"/>
            <w:tcBorders>
              <w:top w:val="nil"/>
              <w:left w:val="nil"/>
              <w:bottom w:val="single" w:sz="4" w:space="0" w:color="auto"/>
              <w:right w:val="single" w:sz="4" w:space="0" w:color="auto"/>
            </w:tcBorders>
            <w:shd w:val="clear" w:color="auto" w:fill="auto"/>
            <w:vAlign w:val="center"/>
            <w:hideMark/>
          </w:tcPr>
          <w:p w14:paraId="76B14C02"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0826</w:t>
            </w:r>
          </w:p>
        </w:tc>
        <w:tc>
          <w:tcPr>
            <w:tcW w:w="2893" w:type="dxa"/>
            <w:tcBorders>
              <w:top w:val="nil"/>
              <w:left w:val="nil"/>
              <w:bottom w:val="single" w:sz="4" w:space="0" w:color="auto"/>
              <w:right w:val="single" w:sz="4" w:space="0" w:color="auto"/>
            </w:tcBorders>
            <w:shd w:val="clear" w:color="auto" w:fill="auto"/>
            <w:vAlign w:val="center"/>
            <w:hideMark/>
          </w:tcPr>
          <w:p w14:paraId="0ABDEEDA" w14:textId="77777777" w:rsidR="00322AE9" w:rsidRPr="00322AE9" w:rsidRDefault="00322AE9" w:rsidP="00322AE9">
            <w:pPr>
              <w:ind w:firstLine="0"/>
              <w:jc w:val="left"/>
              <w:rPr>
                <w:rFonts w:eastAsia="Times New Roman" w:cs="Times New Roman"/>
                <w:color w:val="000000"/>
                <w:sz w:val="20"/>
                <w:szCs w:val="20"/>
                <w:lang w:eastAsia="ru-RU"/>
              </w:rPr>
            </w:pPr>
            <w:r w:rsidRPr="00322AE9">
              <w:rPr>
                <w:rFonts w:eastAsia="Times New Roman" w:cs="Times New Roman"/>
                <w:color w:val="000000"/>
                <w:sz w:val="20"/>
                <w:szCs w:val="20"/>
                <w:lang w:eastAsia="ru-RU"/>
              </w:rPr>
              <w:t>Крематории</w:t>
            </w:r>
          </w:p>
        </w:tc>
        <w:tc>
          <w:tcPr>
            <w:tcW w:w="855" w:type="dxa"/>
            <w:tcBorders>
              <w:top w:val="nil"/>
              <w:left w:val="nil"/>
              <w:bottom w:val="single" w:sz="4" w:space="0" w:color="auto"/>
              <w:right w:val="single" w:sz="4" w:space="0" w:color="auto"/>
            </w:tcBorders>
            <w:shd w:val="clear" w:color="FFFFFF" w:fill="FFFFFF"/>
            <w:vAlign w:val="center"/>
            <w:hideMark/>
          </w:tcPr>
          <w:p w14:paraId="3380DA11"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 </w:t>
            </w:r>
          </w:p>
        </w:tc>
        <w:tc>
          <w:tcPr>
            <w:tcW w:w="793" w:type="dxa"/>
            <w:tcBorders>
              <w:top w:val="nil"/>
              <w:left w:val="nil"/>
              <w:bottom w:val="single" w:sz="4" w:space="0" w:color="auto"/>
              <w:right w:val="single" w:sz="4" w:space="0" w:color="auto"/>
            </w:tcBorders>
            <w:shd w:val="clear" w:color="FFFFFF" w:fill="FFFFFF"/>
            <w:vAlign w:val="center"/>
            <w:hideMark/>
          </w:tcPr>
          <w:p w14:paraId="713A92D8"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2,5</w:t>
            </w:r>
          </w:p>
        </w:tc>
        <w:tc>
          <w:tcPr>
            <w:tcW w:w="992" w:type="dxa"/>
            <w:tcBorders>
              <w:top w:val="nil"/>
              <w:left w:val="nil"/>
              <w:bottom w:val="single" w:sz="4" w:space="0" w:color="auto"/>
              <w:right w:val="single" w:sz="4" w:space="0" w:color="auto"/>
            </w:tcBorders>
            <w:shd w:val="clear" w:color="auto" w:fill="auto"/>
            <w:vAlign w:val="center"/>
            <w:hideMark/>
          </w:tcPr>
          <w:p w14:paraId="6F204C0C"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0,3</w:t>
            </w:r>
          </w:p>
        </w:tc>
        <w:tc>
          <w:tcPr>
            <w:tcW w:w="1030" w:type="dxa"/>
            <w:tcBorders>
              <w:top w:val="nil"/>
              <w:left w:val="nil"/>
              <w:bottom w:val="single" w:sz="4" w:space="0" w:color="auto"/>
              <w:right w:val="single" w:sz="4" w:space="0" w:color="auto"/>
            </w:tcBorders>
            <w:shd w:val="clear" w:color="auto" w:fill="auto"/>
            <w:vAlign w:val="center"/>
            <w:hideMark/>
          </w:tcPr>
          <w:p w14:paraId="451251A2"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2,8</w:t>
            </w:r>
          </w:p>
        </w:tc>
        <w:tc>
          <w:tcPr>
            <w:tcW w:w="1096" w:type="dxa"/>
            <w:tcBorders>
              <w:top w:val="nil"/>
              <w:left w:val="nil"/>
              <w:bottom w:val="single" w:sz="4" w:space="0" w:color="auto"/>
              <w:right w:val="single" w:sz="4" w:space="0" w:color="auto"/>
            </w:tcBorders>
            <w:shd w:val="clear" w:color="auto" w:fill="auto"/>
            <w:vAlign w:val="center"/>
            <w:hideMark/>
          </w:tcPr>
          <w:p w14:paraId="6AD295A1"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1,6</w:t>
            </w:r>
          </w:p>
        </w:tc>
        <w:tc>
          <w:tcPr>
            <w:tcW w:w="1149" w:type="dxa"/>
            <w:tcBorders>
              <w:top w:val="nil"/>
              <w:left w:val="nil"/>
              <w:bottom w:val="single" w:sz="4" w:space="0" w:color="auto"/>
              <w:right w:val="single" w:sz="4" w:space="0" w:color="auto"/>
            </w:tcBorders>
            <w:shd w:val="clear" w:color="auto" w:fill="auto"/>
            <w:vAlign w:val="center"/>
            <w:hideMark/>
          </w:tcPr>
          <w:p w14:paraId="2BC34344"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2,1</w:t>
            </w:r>
          </w:p>
        </w:tc>
        <w:tc>
          <w:tcPr>
            <w:tcW w:w="1119" w:type="dxa"/>
            <w:tcBorders>
              <w:top w:val="nil"/>
              <w:left w:val="nil"/>
              <w:bottom w:val="single" w:sz="4" w:space="0" w:color="auto"/>
              <w:right w:val="single" w:sz="4" w:space="0" w:color="auto"/>
            </w:tcBorders>
            <w:shd w:val="clear" w:color="auto" w:fill="auto"/>
            <w:vAlign w:val="center"/>
            <w:hideMark/>
          </w:tcPr>
          <w:p w14:paraId="7CF85241"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2,4</w:t>
            </w:r>
          </w:p>
        </w:tc>
        <w:tc>
          <w:tcPr>
            <w:tcW w:w="3149" w:type="dxa"/>
            <w:tcBorders>
              <w:top w:val="nil"/>
              <w:left w:val="nil"/>
              <w:bottom w:val="single" w:sz="4" w:space="0" w:color="auto"/>
              <w:right w:val="single" w:sz="4" w:space="0" w:color="auto"/>
            </w:tcBorders>
            <w:shd w:val="clear" w:color="auto" w:fill="auto"/>
            <w:hideMark/>
          </w:tcPr>
          <w:p w14:paraId="5D787D8D" w14:textId="77777777" w:rsidR="00322AE9" w:rsidRPr="00322AE9" w:rsidRDefault="00322AE9" w:rsidP="00322AE9">
            <w:pPr>
              <w:ind w:firstLine="0"/>
              <w:jc w:val="left"/>
              <w:rPr>
                <w:rFonts w:eastAsia="Times New Roman" w:cs="Times New Roman"/>
                <w:color w:val="000000"/>
                <w:sz w:val="18"/>
                <w:szCs w:val="18"/>
                <w:lang w:eastAsia="ru-RU"/>
              </w:rPr>
            </w:pPr>
            <w:r w:rsidRPr="00322AE9">
              <w:rPr>
                <w:rFonts w:eastAsia="Times New Roman" w:cs="Times New Roman"/>
                <w:color w:val="000000"/>
                <w:sz w:val="18"/>
                <w:szCs w:val="18"/>
                <w:lang w:eastAsia="ru-RU"/>
              </w:rPr>
              <w:t xml:space="preserve">МДС 31-10.2004 </w:t>
            </w:r>
          </w:p>
        </w:tc>
      </w:tr>
      <w:tr w:rsidR="00322AE9" w:rsidRPr="00322AE9" w14:paraId="47FDF5CF" w14:textId="77777777" w:rsidTr="00322AE9">
        <w:trPr>
          <w:trHeight w:val="300"/>
          <w:jc w:val="center"/>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1C0291B2"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 </w:t>
            </w:r>
          </w:p>
        </w:tc>
        <w:tc>
          <w:tcPr>
            <w:tcW w:w="816" w:type="dxa"/>
            <w:tcBorders>
              <w:top w:val="nil"/>
              <w:left w:val="nil"/>
              <w:bottom w:val="single" w:sz="4" w:space="0" w:color="auto"/>
              <w:right w:val="single" w:sz="4" w:space="0" w:color="auto"/>
            </w:tcBorders>
            <w:shd w:val="clear" w:color="auto" w:fill="auto"/>
            <w:vAlign w:val="center"/>
            <w:hideMark/>
          </w:tcPr>
          <w:p w14:paraId="299C12D6"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0827</w:t>
            </w:r>
          </w:p>
        </w:tc>
        <w:tc>
          <w:tcPr>
            <w:tcW w:w="2893" w:type="dxa"/>
            <w:tcBorders>
              <w:top w:val="nil"/>
              <w:left w:val="nil"/>
              <w:bottom w:val="single" w:sz="4" w:space="0" w:color="auto"/>
              <w:right w:val="single" w:sz="4" w:space="0" w:color="auto"/>
            </w:tcBorders>
            <w:shd w:val="clear" w:color="auto" w:fill="auto"/>
            <w:vAlign w:val="center"/>
            <w:hideMark/>
          </w:tcPr>
          <w:p w14:paraId="638B65EB" w14:textId="77777777" w:rsidR="00322AE9" w:rsidRPr="00322AE9" w:rsidRDefault="00322AE9" w:rsidP="00322AE9">
            <w:pPr>
              <w:ind w:firstLine="0"/>
              <w:jc w:val="left"/>
              <w:rPr>
                <w:rFonts w:eastAsia="Times New Roman" w:cs="Times New Roman"/>
                <w:color w:val="000000"/>
                <w:sz w:val="20"/>
                <w:szCs w:val="20"/>
                <w:lang w:eastAsia="ru-RU"/>
              </w:rPr>
            </w:pPr>
            <w:r w:rsidRPr="00322AE9">
              <w:rPr>
                <w:rFonts w:eastAsia="Times New Roman" w:cs="Times New Roman"/>
                <w:color w:val="000000"/>
                <w:sz w:val="20"/>
                <w:szCs w:val="20"/>
                <w:lang w:eastAsia="ru-RU"/>
              </w:rPr>
              <w:t>Комплексы аттракционов отдельно стоящие</w:t>
            </w:r>
          </w:p>
        </w:tc>
        <w:tc>
          <w:tcPr>
            <w:tcW w:w="855" w:type="dxa"/>
            <w:tcBorders>
              <w:top w:val="nil"/>
              <w:left w:val="nil"/>
              <w:bottom w:val="single" w:sz="4" w:space="0" w:color="auto"/>
              <w:right w:val="single" w:sz="4" w:space="0" w:color="auto"/>
            </w:tcBorders>
            <w:shd w:val="clear" w:color="FFFFFF" w:fill="FFFFFF"/>
            <w:vAlign w:val="center"/>
            <w:hideMark/>
          </w:tcPr>
          <w:p w14:paraId="75D1E1D4"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 </w:t>
            </w:r>
          </w:p>
        </w:tc>
        <w:tc>
          <w:tcPr>
            <w:tcW w:w="793" w:type="dxa"/>
            <w:tcBorders>
              <w:top w:val="nil"/>
              <w:left w:val="nil"/>
              <w:bottom w:val="single" w:sz="4" w:space="0" w:color="auto"/>
              <w:right w:val="single" w:sz="4" w:space="0" w:color="auto"/>
            </w:tcBorders>
            <w:shd w:val="clear" w:color="auto" w:fill="auto"/>
            <w:vAlign w:val="center"/>
            <w:hideMark/>
          </w:tcPr>
          <w:p w14:paraId="0FD16CB7"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2,5</w:t>
            </w:r>
          </w:p>
        </w:tc>
        <w:tc>
          <w:tcPr>
            <w:tcW w:w="992" w:type="dxa"/>
            <w:tcBorders>
              <w:top w:val="nil"/>
              <w:left w:val="nil"/>
              <w:bottom w:val="single" w:sz="4" w:space="0" w:color="auto"/>
              <w:right w:val="single" w:sz="4" w:space="0" w:color="auto"/>
            </w:tcBorders>
            <w:shd w:val="clear" w:color="auto" w:fill="auto"/>
            <w:vAlign w:val="center"/>
            <w:hideMark/>
          </w:tcPr>
          <w:p w14:paraId="70447521"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0,3</w:t>
            </w:r>
          </w:p>
        </w:tc>
        <w:tc>
          <w:tcPr>
            <w:tcW w:w="1030" w:type="dxa"/>
            <w:tcBorders>
              <w:top w:val="nil"/>
              <w:left w:val="nil"/>
              <w:bottom w:val="single" w:sz="4" w:space="0" w:color="auto"/>
              <w:right w:val="single" w:sz="4" w:space="0" w:color="auto"/>
            </w:tcBorders>
            <w:shd w:val="clear" w:color="auto" w:fill="auto"/>
            <w:vAlign w:val="center"/>
            <w:hideMark/>
          </w:tcPr>
          <w:p w14:paraId="0D4E6C3A"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2,8</w:t>
            </w:r>
          </w:p>
        </w:tc>
        <w:tc>
          <w:tcPr>
            <w:tcW w:w="1096" w:type="dxa"/>
            <w:tcBorders>
              <w:top w:val="nil"/>
              <w:left w:val="nil"/>
              <w:bottom w:val="single" w:sz="4" w:space="0" w:color="auto"/>
              <w:right w:val="single" w:sz="4" w:space="0" w:color="auto"/>
            </w:tcBorders>
            <w:shd w:val="clear" w:color="auto" w:fill="auto"/>
            <w:vAlign w:val="center"/>
            <w:hideMark/>
          </w:tcPr>
          <w:p w14:paraId="149A9CA7"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1,6</w:t>
            </w:r>
          </w:p>
        </w:tc>
        <w:tc>
          <w:tcPr>
            <w:tcW w:w="1149" w:type="dxa"/>
            <w:tcBorders>
              <w:top w:val="nil"/>
              <w:left w:val="nil"/>
              <w:bottom w:val="single" w:sz="4" w:space="0" w:color="auto"/>
              <w:right w:val="single" w:sz="4" w:space="0" w:color="auto"/>
            </w:tcBorders>
            <w:shd w:val="clear" w:color="auto" w:fill="auto"/>
            <w:vAlign w:val="center"/>
            <w:hideMark/>
          </w:tcPr>
          <w:p w14:paraId="0A787342"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2,1</w:t>
            </w:r>
          </w:p>
        </w:tc>
        <w:tc>
          <w:tcPr>
            <w:tcW w:w="1119" w:type="dxa"/>
            <w:tcBorders>
              <w:top w:val="nil"/>
              <w:left w:val="nil"/>
              <w:bottom w:val="single" w:sz="4" w:space="0" w:color="auto"/>
              <w:right w:val="single" w:sz="4" w:space="0" w:color="auto"/>
            </w:tcBorders>
            <w:shd w:val="clear" w:color="auto" w:fill="auto"/>
            <w:vAlign w:val="center"/>
            <w:hideMark/>
          </w:tcPr>
          <w:p w14:paraId="49EA747B"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2,4</w:t>
            </w:r>
          </w:p>
        </w:tc>
        <w:tc>
          <w:tcPr>
            <w:tcW w:w="3149" w:type="dxa"/>
            <w:tcBorders>
              <w:top w:val="nil"/>
              <w:left w:val="nil"/>
              <w:bottom w:val="single" w:sz="4" w:space="0" w:color="auto"/>
              <w:right w:val="single" w:sz="4" w:space="0" w:color="auto"/>
            </w:tcBorders>
            <w:shd w:val="clear" w:color="auto" w:fill="auto"/>
            <w:hideMark/>
          </w:tcPr>
          <w:p w14:paraId="428373CA" w14:textId="77777777" w:rsidR="00322AE9" w:rsidRPr="00322AE9" w:rsidRDefault="00322AE9" w:rsidP="00322AE9">
            <w:pPr>
              <w:ind w:firstLine="0"/>
              <w:jc w:val="left"/>
              <w:rPr>
                <w:rFonts w:eastAsia="Times New Roman" w:cs="Times New Roman"/>
                <w:color w:val="000000"/>
                <w:sz w:val="18"/>
                <w:szCs w:val="18"/>
                <w:lang w:eastAsia="ru-RU"/>
              </w:rPr>
            </w:pPr>
            <w:r w:rsidRPr="00322AE9">
              <w:rPr>
                <w:rFonts w:eastAsia="Times New Roman" w:cs="Times New Roman"/>
                <w:color w:val="000000"/>
                <w:sz w:val="18"/>
                <w:szCs w:val="18"/>
                <w:lang w:eastAsia="ru-RU"/>
              </w:rPr>
              <w:t>СП 118.13330.2012 "Общественные здания"</w:t>
            </w:r>
          </w:p>
        </w:tc>
      </w:tr>
      <w:tr w:rsidR="00322AE9" w:rsidRPr="00322AE9" w14:paraId="6E64F5FD" w14:textId="77777777" w:rsidTr="00322AE9">
        <w:trPr>
          <w:trHeight w:val="300"/>
          <w:jc w:val="center"/>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74CBCF7A"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 </w:t>
            </w:r>
          </w:p>
        </w:tc>
        <w:tc>
          <w:tcPr>
            <w:tcW w:w="816" w:type="dxa"/>
            <w:tcBorders>
              <w:top w:val="nil"/>
              <w:left w:val="nil"/>
              <w:bottom w:val="single" w:sz="4" w:space="0" w:color="auto"/>
              <w:right w:val="single" w:sz="4" w:space="0" w:color="auto"/>
            </w:tcBorders>
            <w:shd w:val="clear" w:color="auto" w:fill="auto"/>
            <w:vAlign w:val="center"/>
            <w:hideMark/>
          </w:tcPr>
          <w:p w14:paraId="49E36DE3"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0828</w:t>
            </w:r>
          </w:p>
        </w:tc>
        <w:tc>
          <w:tcPr>
            <w:tcW w:w="2893" w:type="dxa"/>
            <w:tcBorders>
              <w:top w:val="nil"/>
              <w:left w:val="nil"/>
              <w:bottom w:val="single" w:sz="4" w:space="0" w:color="auto"/>
              <w:right w:val="single" w:sz="4" w:space="0" w:color="auto"/>
            </w:tcBorders>
            <w:shd w:val="clear" w:color="auto" w:fill="auto"/>
            <w:vAlign w:val="center"/>
            <w:hideMark/>
          </w:tcPr>
          <w:p w14:paraId="34FB6CF7" w14:textId="77777777" w:rsidR="00322AE9" w:rsidRPr="00322AE9" w:rsidRDefault="00322AE9" w:rsidP="00322AE9">
            <w:pPr>
              <w:ind w:firstLine="0"/>
              <w:jc w:val="left"/>
              <w:rPr>
                <w:rFonts w:eastAsia="Times New Roman" w:cs="Times New Roman"/>
                <w:color w:val="000000"/>
                <w:sz w:val="20"/>
                <w:szCs w:val="20"/>
                <w:lang w:eastAsia="ru-RU"/>
              </w:rPr>
            </w:pPr>
            <w:r w:rsidRPr="00322AE9">
              <w:rPr>
                <w:rFonts w:eastAsia="Times New Roman" w:cs="Times New Roman"/>
                <w:color w:val="000000"/>
                <w:sz w:val="20"/>
                <w:szCs w:val="20"/>
                <w:lang w:eastAsia="ru-RU"/>
              </w:rPr>
              <w:t>Аквапарки</w:t>
            </w:r>
          </w:p>
        </w:tc>
        <w:tc>
          <w:tcPr>
            <w:tcW w:w="855" w:type="dxa"/>
            <w:tcBorders>
              <w:top w:val="nil"/>
              <w:left w:val="nil"/>
              <w:bottom w:val="single" w:sz="4" w:space="0" w:color="auto"/>
              <w:right w:val="single" w:sz="4" w:space="0" w:color="auto"/>
            </w:tcBorders>
            <w:shd w:val="clear" w:color="FFFFFF" w:fill="FFFFFF"/>
            <w:vAlign w:val="center"/>
            <w:hideMark/>
          </w:tcPr>
          <w:p w14:paraId="2C900EDB"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 </w:t>
            </w:r>
          </w:p>
        </w:tc>
        <w:tc>
          <w:tcPr>
            <w:tcW w:w="793" w:type="dxa"/>
            <w:tcBorders>
              <w:top w:val="nil"/>
              <w:left w:val="nil"/>
              <w:bottom w:val="single" w:sz="4" w:space="0" w:color="auto"/>
              <w:right w:val="single" w:sz="4" w:space="0" w:color="auto"/>
            </w:tcBorders>
            <w:shd w:val="clear" w:color="auto" w:fill="auto"/>
            <w:vAlign w:val="center"/>
            <w:hideMark/>
          </w:tcPr>
          <w:p w14:paraId="2D96BA35"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5,4</w:t>
            </w:r>
          </w:p>
        </w:tc>
        <w:tc>
          <w:tcPr>
            <w:tcW w:w="992" w:type="dxa"/>
            <w:tcBorders>
              <w:top w:val="nil"/>
              <w:left w:val="nil"/>
              <w:bottom w:val="single" w:sz="4" w:space="0" w:color="auto"/>
              <w:right w:val="single" w:sz="4" w:space="0" w:color="auto"/>
            </w:tcBorders>
            <w:shd w:val="clear" w:color="auto" w:fill="auto"/>
            <w:vAlign w:val="center"/>
            <w:hideMark/>
          </w:tcPr>
          <w:p w14:paraId="0A724425"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0,3</w:t>
            </w:r>
          </w:p>
        </w:tc>
        <w:tc>
          <w:tcPr>
            <w:tcW w:w="1030" w:type="dxa"/>
            <w:tcBorders>
              <w:top w:val="nil"/>
              <w:left w:val="nil"/>
              <w:bottom w:val="single" w:sz="4" w:space="0" w:color="auto"/>
              <w:right w:val="single" w:sz="4" w:space="0" w:color="auto"/>
            </w:tcBorders>
            <w:shd w:val="clear" w:color="auto" w:fill="auto"/>
            <w:vAlign w:val="center"/>
            <w:hideMark/>
          </w:tcPr>
          <w:p w14:paraId="5CACFE74"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5,7</w:t>
            </w:r>
          </w:p>
        </w:tc>
        <w:tc>
          <w:tcPr>
            <w:tcW w:w="1096" w:type="dxa"/>
            <w:tcBorders>
              <w:top w:val="nil"/>
              <w:left w:val="nil"/>
              <w:bottom w:val="single" w:sz="4" w:space="0" w:color="auto"/>
              <w:right w:val="single" w:sz="4" w:space="0" w:color="auto"/>
            </w:tcBorders>
            <w:shd w:val="clear" w:color="auto" w:fill="auto"/>
            <w:vAlign w:val="center"/>
            <w:hideMark/>
          </w:tcPr>
          <w:p w14:paraId="73AA9F20"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1,6</w:t>
            </w:r>
          </w:p>
        </w:tc>
        <w:tc>
          <w:tcPr>
            <w:tcW w:w="1149" w:type="dxa"/>
            <w:tcBorders>
              <w:top w:val="nil"/>
              <w:left w:val="nil"/>
              <w:bottom w:val="single" w:sz="4" w:space="0" w:color="auto"/>
              <w:right w:val="single" w:sz="4" w:space="0" w:color="auto"/>
            </w:tcBorders>
            <w:shd w:val="clear" w:color="auto" w:fill="auto"/>
            <w:vAlign w:val="center"/>
            <w:hideMark/>
          </w:tcPr>
          <w:p w14:paraId="73A7798B"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2,1</w:t>
            </w:r>
          </w:p>
        </w:tc>
        <w:tc>
          <w:tcPr>
            <w:tcW w:w="1119" w:type="dxa"/>
            <w:tcBorders>
              <w:top w:val="nil"/>
              <w:left w:val="nil"/>
              <w:bottom w:val="single" w:sz="4" w:space="0" w:color="auto"/>
              <w:right w:val="single" w:sz="4" w:space="0" w:color="auto"/>
            </w:tcBorders>
            <w:shd w:val="clear" w:color="auto" w:fill="auto"/>
            <w:vAlign w:val="center"/>
            <w:hideMark/>
          </w:tcPr>
          <w:p w14:paraId="7AEED17D"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2,4</w:t>
            </w:r>
          </w:p>
        </w:tc>
        <w:tc>
          <w:tcPr>
            <w:tcW w:w="3149" w:type="dxa"/>
            <w:tcBorders>
              <w:top w:val="nil"/>
              <w:left w:val="nil"/>
              <w:bottom w:val="single" w:sz="4" w:space="0" w:color="auto"/>
              <w:right w:val="single" w:sz="4" w:space="0" w:color="auto"/>
            </w:tcBorders>
            <w:shd w:val="clear" w:color="auto" w:fill="auto"/>
            <w:hideMark/>
          </w:tcPr>
          <w:p w14:paraId="36E79C53" w14:textId="77777777" w:rsidR="00322AE9" w:rsidRPr="00322AE9" w:rsidRDefault="00322AE9" w:rsidP="00322AE9">
            <w:pPr>
              <w:ind w:firstLine="0"/>
              <w:jc w:val="left"/>
              <w:rPr>
                <w:rFonts w:eastAsia="Times New Roman" w:cs="Times New Roman"/>
                <w:color w:val="000000"/>
                <w:sz w:val="18"/>
                <w:szCs w:val="18"/>
                <w:lang w:eastAsia="ru-RU"/>
              </w:rPr>
            </w:pPr>
            <w:r w:rsidRPr="00322AE9">
              <w:rPr>
                <w:rFonts w:eastAsia="Times New Roman" w:cs="Times New Roman"/>
                <w:color w:val="000000"/>
                <w:sz w:val="18"/>
                <w:szCs w:val="18"/>
                <w:lang w:eastAsia="ru-RU"/>
              </w:rPr>
              <w:t>СП 31-113-2004 "Бассейны для плавания", п.4.1.2</w:t>
            </w:r>
          </w:p>
        </w:tc>
      </w:tr>
      <w:tr w:rsidR="00322AE9" w:rsidRPr="00322AE9" w14:paraId="10CF3AE2" w14:textId="77777777" w:rsidTr="00322AE9">
        <w:trPr>
          <w:trHeight w:val="765"/>
          <w:jc w:val="center"/>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323DE2F2"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 </w:t>
            </w:r>
          </w:p>
        </w:tc>
        <w:tc>
          <w:tcPr>
            <w:tcW w:w="816" w:type="dxa"/>
            <w:tcBorders>
              <w:top w:val="nil"/>
              <w:left w:val="nil"/>
              <w:bottom w:val="single" w:sz="4" w:space="0" w:color="auto"/>
              <w:right w:val="single" w:sz="4" w:space="0" w:color="auto"/>
            </w:tcBorders>
            <w:shd w:val="clear" w:color="auto" w:fill="auto"/>
            <w:vAlign w:val="center"/>
            <w:hideMark/>
          </w:tcPr>
          <w:p w14:paraId="0B383775"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0829</w:t>
            </w:r>
          </w:p>
        </w:tc>
        <w:tc>
          <w:tcPr>
            <w:tcW w:w="2893" w:type="dxa"/>
            <w:tcBorders>
              <w:top w:val="nil"/>
              <w:left w:val="nil"/>
              <w:bottom w:val="single" w:sz="4" w:space="0" w:color="auto"/>
              <w:right w:val="single" w:sz="4" w:space="0" w:color="auto"/>
            </w:tcBorders>
            <w:shd w:val="clear" w:color="auto" w:fill="auto"/>
            <w:vAlign w:val="center"/>
            <w:hideMark/>
          </w:tcPr>
          <w:p w14:paraId="06B4394E" w14:textId="77777777" w:rsidR="00322AE9" w:rsidRPr="00322AE9" w:rsidRDefault="00322AE9" w:rsidP="00322AE9">
            <w:pPr>
              <w:ind w:firstLine="0"/>
              <w:jc w:val="left"/>
              <w:rPr>
                <w:rFonts w:eastAsia="Times New Roman" w:cs="Times New Roman"/>
                <w:color w:val="000000"/>
                <w:sz w:val="20"/>
                <w:szCs w:val="20"/>
                <w:lang w:eastAsia="ru-RU"/>
              </w:rPr>
            </w:pPr>
            <w:r w:rsidRPr="00322AE9">
              <w:rPr>
                <w:rFonts w:eastAsia="Times New Roman" w:cs="Times New Roman"/>
                <w:color w:val="000000"/>
                <w:sz w:val="20"/>
                <w:szCs w:val="20"/>
                <w:lang w:eastAsia="ru-RU"/>
              </w:rPr>
              <w:t>Объекты бытового обслуживания населения, ателье, парикмахерские, прачечные, пункты проката, молочные кухни</w:t>
            </w:r>
          </w:p>
        </w:tc>
        <w:tc>
          <w:tcPr>
            <w:tcW w:w="855" w:type="dxa"/>
            <w:tcBorders>
              <w:top w:val="nil"/>
              <w:left w:val="nil"/>
              <w:bottom w:val="single" w:sz="4" w:space="0" w:color="auto"/>
              <w:right w:val="single" w:sz="4" w:space="0" w:color="auto"/>
            </w:tcBorders>
            <w:shd w:val="clear" w:color="FFFFFF" w:fill="FFFFFF"/>
            <w:vAlign w:val="center"/>
            <w:hideMark/>
          </w:tcPr>
          <w:p w14:paraId="4B0728D9"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 </w:t>
            </w:r>
          </w:p>
        </w:tc>
        <w:tc>
          <w:tcPr>
            <w:tcW w:w="793" w:type="dxa"/>
            <w:tcBorders>
              <w:top w:val="nil"/>
              <w:left w:val="nil"/>
              <w:bottom w:val="single" w:sz="4" w:space="0" w:color="auto"/>
              <w:right w:val="single" w:sz="4" w:space="0" w:color="auto"/>
            </w:tcBorders>
            <w:shd w:val="clear" w:color="auto" w:fill="auto"/>
            <w:vAlign w:val="center"/>
            <w:hideMark/>
          </w:tcPr>
          <w:p w14:paraId="6CB6D98E"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2,5</w:t>
            </w:r>
          </w:p>
        </w:tc>
        <w:tc>
          <w:tcPr>
            <w:tcW w:w="992" w:type="dxa"/>
            <w:tcBorders>
              <w:top w:val="nil"/>
              <w:left w:val="nil"/>
              <w:bottom w:val="single" w:sz="4" w:space="0" w:color="auto"/>
              <w:right w:val="single" w:sz="4" w:space="0" w:color="auto"/>
            </w:tcBorders>
            <w:shd w:val="clear" w:color="auto" w:fill="auto"/>
            <w:vAlign w:val="center"/>
            <w:hideMark/>
          </w:tcPr>
          <w:p w14:paraId="3DC51CCA"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0,3</w:t>
            </w:r>
          </w:p>
        </w:tc>
        <w:tc>
          <w:tcPr>
            <w:tcW w:w="1030" w:type="dxa"/>
            <w:tcBorders>
              <w:top w:val="nil"/>
              <w:left w:val="nil"/>
              <w:bottom w:val="single" w:sz="4" w:space="0" w:color="auto"/>
              <w:right w:val="single" w:sz="4" w:space="0" w:color="auto"/>
            </w:tcBorders>
            <w:shd w:val="clear" w:color="auto" w:fill="auto"/>
            <w:vAlign w:val="center"/>
            <w:hideMark/>
          </w:tcPr>
          <w:p w14:paraId="4DEE4321"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2,8</w:t>
            </w:r>
          </w:p>
        </w:tc>
        <w:tc>
          <w:tcPr>
            <w:tcW w:w="1096" w:type="dxa"/>
            <w:tcBorders>
              <w:top w:val="nil"/>
              <w:left w:val="nil"/>
              <w:bottom w:val="single" w:sz="4" w:space="0" w:color="auto"/>
              <w:right w:val="single" w:sz="4" w:space="0" w:color="auto"/>
            </w:tcBorders>
            <w:shd w:val="clear" w:color="auto" w:fill="auto"/>
            <w:vAlign w:val="center"/>
            <w:hideMark/>
          </w:tcPr>
          <w:p w14:paraId="48922959"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1,6</w:t>
            </w:r>
          </w:p>
        </w:tc>
        <w:tc>
          <w:tcPr>
            <w:tcW w:w="1149" w:type="dxa"/>
            <w:tcBorders>
              <w:top w:val="nil"/>
              <w:left w:val="nil"/>
              <w:bottom w:val="single" w:sz="4" w:space="0" w:color="auto"/>
              <w:right w:val="single" w:sz="4" w:space="0" w:color="auto"/>
            </w:tcBorders>
            <w:shd w:val="clear" w:color="auto" w:fill="auto"/>
            <w:vAlign w:val="center"/>
            <w:hideMark/>
          </w:tcPr>
          <w:p w14:paraId="2A490570"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2,1</w:t>
            </w:r>
          </w:p>
        </w:tc>
        <w:tc>
          <w:tcPr>
            <w:tcW w:w="1119" w:type="dxa"/>
            <w:tcBorders>
              <w:top w:val="nil"/>
              <w:left w:val="nil"/>
              <w:bottom w:val="single" w:sz="4" w:space="0" w:color="auto"/>
              <w:right w:val="single" w:sz="4" w:space="0" w:color="auto"/>
            </w:tcBorders>
            <w:shd w:val="clear" w:color="auto" w:fill="auto"/>
            <w:vAlign w:val="center"/>
            <w:hideMark/>
          </w:tcPr>
          <w:p w14:paraId="4E6265D0"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2,4</w:t>
            </w:r>
          </w:p>
        </w:tc>
        <w:tc>
          <w:tcPr>
            <w:tcW w:w="3149" w:type="dxa"/>
            <w:tcBorders>
              <w:top w:val="nil"/>
              <w:left w:val="nil"/>
              <w:bottom w:val="single" w:sz="4" w:space="0" w:color="auto"/>
              <w:right w:val="single" w:sz="4" w:space="0" w:color="auto"/>
            </w:tcBorders>
            <w:shd w:val="clear" w:color="auto" w:fill="auto"/>
            <w:hideMark/>
          </w:tcPr>
          <w:p w14:paraId="2FE8CB62" w14:textId="77777777" w:rsidR="00322AE9" w:rsidRPr="00322AE9" w:rsidRDefault="00322AE9" w:rsidP="00322AE9">
            <w:pPr>
              <w:ind w:firstLine="0"/>
              <w:jc w:val="left"/>
              <w:rPr>
                <w:rFonts w:eastAsia="Times New Roman" w:cs="Times New Roman"/>
                <w:color w:val="000000"/>
                <w:sz w:val="18"/>
                <w:szCs w:val="18"/>
                <w:lang w:eastAsia="ru-RU"/>
              </w:rPr>
            </w:pPr>
            <w:r w:rsidRPr="00322AE9">
              <w:rPr>
                <w:rFonts w:eastAsia="Times New Roman" w:cs="Times New Roman"/>
                <w:color w:val="000000"/>
                <w:sz w:val="18"/>
                <w:szCs w:val="18"/>
                <w:lang w:eastAsia="ru-RU"/>
              </w:rPr>
              <w:t>СП 44.13330.2011 "Административные и бытовые здания", п.4.3</w:t>
            </w:r>
          </w:p>
        </w:tc>
      </w:tr>
      <w:tr w:rsidR="00322AE9" w:rsidRPr="00322AE9" w14:paraId="28D69166" w14:textId="77777777" w:rsidTr="00322AE9">
        <w:trPr>
          <w:trHeight w:val="720"/>
          <w:jc w:val="center"/>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7912A021"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 </w:t>
            </w:r>
          </w:p>
        </w:tc>
        <w:tc>
          <w:tcPr>
            <w:tcW w:w="816" w:type="dxa"/>
            <w:tcBorders>
              <w:top w:val="nil"/>
              <w:left w:val="nil"/>
              <w:bottom w:val="single" w:sz="4" w:space="0" w:color="auto"/>
              <w:right w:val="single" w:sz="4" w:space="0" w:color="auto"/>
            </w:tcBorders>
            <w:shd w:val="clear" w:color="auto" w:fill="auto"/>
            <w:noWrap/>
            <w:vAlign w:val="center"/>
            <w:hideMark/>
          </w:tcPr>
          <w:p w14:paraId="5A95FC63"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0830</w:t>
            </w:r>
          </w:p>
        </w:tc>
        <w:tc>
          <w:tcPr>
            <w:tcW w:w="2893" w:type="dxa"/>
            <w:tcBorders>
              <w:top w:val="nil"/>
              <w:left w:val="nil"/>
              <w:bottom w:val="single" w:sz="4" w:space="0" w:color="auto"/>
              <w:right w:val="single" w:sz="4" w:space="0" w:color="auto"/>
            </w:tcBorders>
            <w:shd w:val="clear" w:color="auto" w:fill="auto"/>
            <w:vAlign w:val="center"/>
            <w:hideMark/>
          </w:tcPr>
          <w:p w14:paraId="4700391B" w14:textId="77777777" w:rsidR="00322AE9" w:rsidRPr="00322AE9" w:rsidRDefault="00322AE9" w:rsidP="00322AE9">
            <w:pPr>
              <w:ind w:firstLine="0"/>
              <w:jc w:val="left"/>
              <w:rPr>
                <w:rFonts w:eastAsia="Times New Roman" w:cs="Times New Roman"/>
                <w:color w:val="000000"/>
                <w:sz w:val="20"/>
                <w:szCs w:val="20"/>
                <w:lang w:eastAsia="ru-RU"/>
              </w:rPr>
            </w:pPr>
            <w:r w:rsidRPr="00322AE9">
              <w:rPr>
                <w:rFonts w:eastAsia="Times New Roman" w:cs="Times New Roman"/>
                <w:color w:val="000000"/>
                <w:sz w:val="20"/>
                <w:szCs w:val="20"/>
                <w:lang w:eastAsia="ru-RU"/>
              </w:rPr>
              <w:t>Бани общественные</w:t>
            </w:r>
          </w:p>
        </w:tc>
        <w:tc>
          <w:tcPr>
            <w:tcW w:w="855" w:type="dxa"/>
            <w:tcBorders>
              <w:top w:val="nil"/>
              <w:left w:val="nil"/>
              <w:bottom w:val="single" w:sz="4" w:space="0" w:color="auto"/>
              <w:right w:val="single" w:sz="4" w:space="0" w:color="auto"/>
            </w:tcBorders>
            <w:shd w:val="clear" w:color="FFFFFF" w:fill="FFFFFF"/>
            <w:vAlign w:val="center"/>
            <w:hideMark/>
          </w:tcPr>
          <w:p w14:paraId="6E9BA429"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3,3</w:t>
            </w:r>
          </w:p>
        </w:tc>
        <w:tc>
          <w:tcPr>
            <w:tcW w:w="793" w:type="dxa"/>
            <w:tcBorders>
              <w:top w:val="nil"/>
              <w:left w:val="nil"/>
              <w:bottom w:val="single" w:sz="4" w:space="0" w:color="auto"/>
              <w:right w:val="single" w:sz="4" w:space="0" w:color="auto"/>
            </w:tcBorders>
            <w:shd w:val="clear" w:color="auto" w:fill="auto"/>
            <w:vAlign w:val="center"/>
            <w:hideMark/>
          </w:tcPr>
          <w:p w14:paraId="63F5B38D"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 </w:t>
            </w:r>
          </w:p>
        </w:tc>
        <w:tc>
          <w:tcPr>
            <w:tcW w:w="992" w:type="dxa"/>
            <w:tcBorders>
              <w:top w:val="nil"/>
              <w:left w:val="nil"/>
              <w:bottom w:val="single" w:sz="4" w:space="0" w:color="auto"/>
              <w:right w:val="single" w:sz="4" w:space="0" w:color="auto"/>
            </w:tcBorders>
            <w:shd w:val="clear" w:color="auto" w:fill="auto"/>
            <w:vAlign w:val="center"/>
            <w:hideMark/>
          </w:tcPr>
          <w:p w14:paraId="63F60F66"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0,3</w:t>
            </w:r>
          </w:p>
        </w:tc>
        <w:tc>
          <w:tcPr>
            <w:tcW w:w="1030" w:type="dxa"/>
            <w:tcBorders>
              <w:top w:val="nil"/>
              <w:left w:val="nil"/>
              <w:bottom w:val="single" w:sz="4" w:space="0" w:color="auto"/>
              <w:right w:val="single" w:sz="4" w:space="0" w:color="auto"/>
            </w:tcBorders>
            <w:shd w:val="clear" w:color="auto" w:fill="auto"/>
            <w:vAlign w:val="center"/>
            <w:hideMark/>
          </w:tcPr>
          <w:p w14:paraId="71B99A76"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3,3</w:t>
            </w:r>
          </w:p>
        </w:tc>
        <w:tc>
          <w:tcPr>
            <w:tcW w:w="1096" w:type="dxa"/>
            <w:tcBorders>
              <w:top w:val="nil"/>
              <w:left w:val="nil"/>
              <w:bottom w:val="single" w:sz="4" w:space="0" w:color="auto"/>
              <w:right w:val="single" w:sz="4" w:space="0" w:color="auto"/>
            </w:tcBorders>
            <w:shd w:val="clear" w:color="auto" w:fill="auto"/>
            <w:vAlign w:val="center"/>
            <w:hideMark/>
          </w:tcPr>
          <w:p w14:paraId="78679BF9"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1,6</w:t>
            </w:r>
          </w:p>
        </w:tc>
        <w:tc>
          <w:tcPr>
            <w:tcW w:w="1149" w:type="dxa"/>
            <w:tcBorders>
              <w:top w:val="nil"/>
              <w:left w:val="nil"/>
              <w:bottom w:val="single" w:sz="4" w:space="0" w:color="auto"/>
              <w:right w:val="single" w:sz="4" w:space="0" w:color="auto"/>
            </w:tcBorders>
            <w:shd w:val="clear" w:color="auto" w:fill="auto"/>
            <w:vAlign w:val="center"/>
            <w:hideMark/>
          </w:tcPr>
          <w:p w14:paraId="39D78A15"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2,1</w:t>
            </w:r>
          </w:p>
        </w:tc>
        <w:tc>
          <w:tcPr>
            <w:tcW w:w="1119" w:type="dxa"/>
            <w:tcBorders>
              <w:top w:val="nil"/>
              <w:left w:val="nil"/>
              <w:bottom w:val="single" w:sz="4" w:space="0" w:color="auto"/>
              <w:right w:val="single" w:sz="4" w:space="0" w:color="auto"/>
            </w:tcBorders>
            <w:shd w:val="clear" w:color="auto" w:fill="auto"/>
            <w:vAlign w:val="center"/>
            <w:hideMark/>
          </w:tcPr>
          <w:p w14:paraId="1CD90D64"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2,4</w:t>
            </w:r>
          </w:p>
        </w:tc>
        <w:tc>
          <w:tcPr>
            <w:tcW w:w="3149" w:type="dxa"/>
            <w:tcBorders>
              <w:top w:val="nil"/>
              <w:left w:val="nil"/>
              <w:bottom w:val="single" w:sz="4" w:space="0" w:color="auto"/>
              <w:right w:val="single" w:sz="4" w:space="0" w:color="auto"/>
            </w:tcBorders>
            <w:shd w:val="clear" w:color="auto" w:fill="auto"/>
            <w:hideMark/>
          </w:tcPr>
          <w:p w14:paraId="4DE36CED" w14:textId="77777777" w:rsidR="00322AE9" w:rsidRPr="00322AE9" w:rsidRDefault="00322AE9" w:rsidP="00322AE9">
            <w:pPr>
              <w:ind w:firstLine="0"/>
              <w:jc w:val="left"/>
              <w:rPr>
                <w:rFonts w:eastAsia="Times New Roman" w:cs="Times New Roman"/>
                <w:color w:val="000000"/>
                <w:sz w:val="18"/>
                <w:szCs w:val="18"/>
                <w:lang w:eastAsia="ru-RU"/>
              </w:rPr>
            </w:pPr>
            <w:r w:rsidRPr="00322AE9">
              <w:rPr>
                <w:rFonts w:eastAsia="Times New Roman" w:cs="Times New Roman"/>
                <w:color w:val="000000"/>
                <w:sz w:val="18"/>
                <w:szCs w:val="18"/>
                <w:lang w:eastAsia="ru-RU"/>
              </w:rPr>
              <w:t>Методические рекомендации по проектированию бань и банно-оздоровительных комплексов, утв. Приказом Комитета РФ по муниц.хоз-ву от 30.12.1993г., №88</w:t>
            </w:r>
          </w:p>
        </w:tc>
      </w:tr>
      <w:tr w:rsidR="00322AE9" w:rsidRPr="00322AE9" w14:paraId="233D8A17" w14:textId="77777777" w:rsidTr="00322AE9">
        <w:trPr>
          <w:trHeight w:val="480"/>
          <w:jc w:val="center"/>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4A94AC9A"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 </w:t>
            </w:r>
          </w:p>
        </w:tc>
        <w:tc>
          <w:tcPr>
            <w:tcW w:w="816" w:type="dxa"/>
            <w:tcBorders>
              <w:top w:val="nil"/>
              <w:left w:val="nil"/>
              <w:bottom w:val="single" w:sz="4" w:space="0" w:color="auto"/>
              <w:right w:val="single" w:sz="4" w:space="0" w:color="auto"/>
            </w:tcBorders>
            <w:shd w:val="clear" w:color="auto" w:fill="auto"/>
            <w:vAlign w:val="center"/>
            <w:hideMark/>
          </w:tcPr>
          <w:p w14:paraId="44AE72C7"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0831</w:t>
            </w:r>
          </w:p>
        </w:tc>
        <w:tc>
          <w:tcPr>
            <w:tcW w:w="2893" w:type="dxa"/>
            <w:tcBorders>
              <w:top w:val="nil"/>
              <w:left w:val="nil"/>
              <w:bottom w:val="single" w:sz="4" w:space="0" w:color="auto"/>
              <w:right w:val="single" w:sz="4" w:space="0" w:color="auto"/>
            </w:tcBorders>
            <w:shd w:val="clear" w:color="auto" w:fill="auto"/>
            <w:vAlign w:val="center"/>
            <w:hideMark/>
          </w:tcPr>
          <w:p w14:paraId="7376062B" w14:textId="77777777" w:rsidR="00322AE9" w:rsidRPr="00322AE9" w:rsidRDefault="00322AE9" w:rsidP="00322AE9">
            <w:pPr>
              <w:ind w:firstLine="0"/>
              <w:jc w:val="left"/>
              <w:rPr>
                <w:rFonts w:eastAsia="Times New Roman" w:cs="Times New Roman"/>
                <w:color w:val="000000"/>
                <w:sz w:val="20"/>
                <w:szCs w:val="20"/>
                <w:lang w:eastAsia="ru-RU"/>
              </w:rPr>
            </w:pPr>
            <w:r w:rsidRPr="00322AE9">
              <w:rPr>
                <w:rFonts w:eastAsia="Times New Roman" w:cs="Times New Roman"/>
                <w:color w:val="000000"/>
                <w:sz w:val="20"/>
                <w:szCs w:val="20"/>
                <w:lang w:eastAsia="ru-RU"/>
              </w:rPr>
              <w:t>Туалеты общественные</w:t>
            </w:r>
          </w:p>
        </w:tc>
        <w:tc>
          <w:tcPr>
            <w:tcW w:w="855" w:type="dxa"/>
            <w:tcBorders>
              <w:top w:val="nil"/>
              <w:left w:val="nil"/>
              <w:bottom w:val="single" w:sz="4" w:space="0" w:color="auto"/>
              <w:right w:val="single" w:sz="4" w:space="0" w:color="auto"/>
            </w:tcBorders>
            <w:shd w:val="clear" w:color="FFFFFF" w:fill="FFFFFF"/>
            <w:vAlign w:val="center"/>
            <w:hideMark/>
          </w:tcPr>
          <w:p w14:paraId="11D7A393"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 </w:t>
            </w:r>
          </w:p>
        </w:tc>
        <w:tc>
          <w:tcPr>
            <w:tcW w:w="793" w:type="dxa"/>
            <w:tcBorders>
              <w:top w:val="nil"/>
              <w:left w:val="nil"/>
              <w:bottom w:val="single" w:sz="4" w:space="0" w:color="auto"/>
              <w:right w:val="single" w:sz="4" w:space="0" w:color="auto"/>
            </w:tcBorders>
            <w:shd w:val="clear" w:color="auto" w:fill="auto"/>
            <w:vAlign w:val="center"/>
            <w:hideMark/>
          </w:tcPr>
          <w:p w14:paraId="18AAECEF"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2,5</w:t>
            </w:r>
          </w:p>
        </w:tc>
        <w:tc>
          <w:tcPr>
            <w:tcW w:w="992" w:type="dxa"/>
            <w:tcBorders>
              <w:top w:val="nil"/>
              <w:left w:val="nil"/>
              <w:bottom w:val="single" w:sz="4" w:space="0" w:color="auto"/>
              <w:right w:val="single" w:sz="4" w:space="0" w:color="auto"/>
            </w:tcBorders>
            <w:shd w:val="clear" w:color="auto" w:fill="auto"/>
            <w:vAlign w:val="center"/>
            <w:hideMark/>
          </w:tcPr>
          <w:p w14:paraId="70505EF1"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0,3</w:t>
            </w:r>
          </w:p>
        </w:tc>
        <w:tc>
          <w:tcPr>
            <w:tcW w:w="1030" w:type="dxa"/>
            <w:tcBorders>
              <w:top w:val="nil"/>
              <w:left w:val="nil"/>
              <w:bottom w:val="single" w:sz="4" w:space="0" w:color="auto"/>
              <w:right w:val="single" w:sz="4" w:space="0" w:color="auto"/>
            </w:tcBorders>
            <w:shd w:val="clear" w:color="auto" w:fill="auto"/>
            <w:vAlign w:val="center"/>
            <w:hideMark/>
          </w:tcPr>
          <w:p w14:paraId="565746C0"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2,8</w:t>
            </w:r>
          </w:p>
        </w:tc>
        <w:tc>
          <w:tcPr>
            <w:tcW w:w="1096" w:type="dxa"/>
            <w:tcBorders>
              <w:top w:val="nil"/>
              <w:left w:val="nil"/>
              <w:bottom w:val="single" w:sz="4" w:space="0" w:color="auto"/>
              <w:right w:val="single" w:sz="4" w:space="0" w:color="auto"/>
            </w:tcBorders>
            <w:shd w:val="clear" w:color="auto" w:fill="auto"/>
            <w:vAlign w:val="center"/>
            <w:hideMark/>
          </w:tcPr>
          <w:p w14:paraId="6D420FAF"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1,6</w:t>
            </w:r>
          </w:p>
        </w:tc>
        <w:tc>
          <w:tcPr>
            <w:tcW w:w="1149" w:type="dxa"/>
            <w:tcBorders>
              <w:top w:val="nil"/>
              <w:left w:val="nil"/>
              <w:bottom w:val="single" w:sz="4" w:space="0" w:color="auto"/>
              <w:right w:val="single" w:sz="4" w:space="0" w:color="auto"/>
            </w:tcBorders>
            <w:shd w:val="clear" w:color="auto" w:fill="auto"/>
            <w:vAlign w:val="center"/>
            <w:hideMark/>
          </w:tcPr>
          <w:p w14:paraId="1A60A7E9"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2,1</w:t>
            </w:r>
          </w:p>
        </w:tc>
        <w:tc>
          <w:tcPr>
            <w:tcW w:w="1119" w:type="dxa"/>
            <w:tcBorders>
              <w:top w:val="nil"/>
              <w:left w:val="nil"/>
              <w:bottom w:val="single" w:sz="4" w:space="0" w:color="auto"/>
              <w:right w:val="single" w:sz="4" w:space="0" w:color="auto"/>
            </w:tcBorders>
            <w:shd w:val="clear" w:color="auto" w:fill="auto"/>
            <w:vAlign w:val="center"/>
            <w:hideMark/>
          </w:tcPr>
          <w:p w14:paraId="09164886"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2,4</w:t>
            </w:r>
          </w:p>
        </w:tc>
        <w:tc>
          <w:tcPr>
            <w:tcW w:w="3149" w:type="dxa"/>
            <w:tcBorders>
              <w:top w:val="nil"/>
              <w:left w:val="nil"/>
              <w:bottom w:val="single" w:sz="4" w:space="0" w:color="auto"/>
              <w:right w:val="single" w:sz="4" w:space="0" w:color="auto"/>
            </w:tcBorders>
            <w:shd w:val="clear" w:color="auto" w:fill="auto"/>
            <w:hideMark/>
          </w:tcPr>
          <w:p w14:paraId="36E8FCF8" w14:textId="77777777" w:rsidR="00322AE9" w:rsidRPr="00322AE9" w:rsidRDefault="00322AE9" w:rsidP="00322AE9">
            <w:pPr>
              <w:ind w:firstLine="0"/>
              <w:jc w:val="left"/>
              <w:rPr>
                <w:rFonts w:eastAsia="Times New Roman" w:cs="Times New Roman"/>
                <w:color w:val="000000"/>
                <w:sz w:val="18"/>
                <w:szCs w:val="18"/>
                <w:lang w:eastAsia="ru-RU"/>
              </w:rPr>
            </w:pPr>
            <w:r w:rsidRPr="00322AE9">
              <w:rPr>
                <w:rFonts w:eastAsia="Times New Roman" w:cs="Times New Roman"/>
                <w:color w:val="000000"/>
                <w:sz w:val="18"/>
                <w:szCs w:val="18"/>
                <w:lang w:eastAsia="ru-RU"/>
              </w:rPr>
              <w:t>СП 44.13330.2011 "Административные и бытовые здания", п.4.3</w:t>
            </w:r>
          </w:p>
        </w:tc>
      </w:tr>
      <w:tr w:rsidR="00322AE9" w:rsidRPr="00322AE9" w14:paraId="34E88EE9" w14:textId="77777777" w:rsidTr="00322AE9">
        <w:trPr>
          <w:trHeight w:val="480"/>
          <w:jc w:val="center"/>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0AE75F96"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 </w:t>
            </w:r>
          </w:p>
        </w:tc>
        <w:tc>
          <w:tcPr>
            <w:tcW w:w="816" w:type="dxa"/>
            <w:tcBorders>
              <w:top w:val="nil"/>
              <w:left w:val="nil"/>
              <w:bottom w:val="single" w:sz="4" w:space="0" w:color="auto"/>
              <w:right w:val="single" w:sz="4" w:space="0" w:color="auto"/>
            </w:tcBorders>
            <w:shd w:val="clear" w:color="auto" w:fill="auto"/>
            <w:vAlign w:val="center"/>
            <w:hideMark/>
          </w:tcPr>
          <w:p w14:paraId="694ABF0D"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0832</w:t>
            </w:r>
          </w:p>
        </w:tc>
        <w:tc>
          <w:tcPr>
            <w:tcW w:w="2893" w:type="dxa"/>
            <w:tcBorders>
              <w:top w:val="nil"/>
              <w:left w:val="nil"/>
              <w:bottom w:val="single" w:sz="4" w:space="0" w:color="auto"/>
              <w:right w:val="single" w:sz="4" w:space="0" w:color="auto"/>
            </w:tcBorders>
            <w:shd w:val="clear" w:color="auto" w:fill="auto"/>
            <w:vAlign w:val="center"/>
            <w:hideMark/>
          </w:tcPr>
          <w:p w14:paraId="73905373" w14:textId="77777777" w:rsidR="00322AE9" w:rsidRPr="00322AE9" w:rsidRDefault="00322AE9" w:rsidP="00322AE9">
            <w:pPr>
              <w:ind w:firstLine="0"/>
              <w:jc w:val="left"/>
              <w:rPr>
                <w:rFonts w:eastAsia="Times New Roman" w:cs="Times New Roman"/>
                <w:color w:val="000000"/>
                <w:sz w:val="20"/>
                <w:szCs w:val="20"/>
                <w:lang w:eastAsia="ru-RU"/>
              </w:rPr>
            </w:pPr>
            <w:r w:rsidRPr="00322AE9">
              <w:rPr>
                <w:rFonts w:eastAsia="Times New Roman" w:cs="Times New Roman"/>
                <w:color w:val="000000"/>
                <w:sz w:val="20"/>
                <w:szCs w:val="20"/>
                <w:lang w:eastAsia="ru-RU"/>
              </w:rPr>
              <w:t>Морги</w:t>
            </w:r>
          </w:p>
        </w:tc>
        <w:tc>
          <w:tcPr>
            <w:tcW w:w="855" w:type="dxa"/>
            <w:tcBorders>
              <w:top w:val="nil"/>
              <w:left w:val="nil"/>
              <w:bottom w:val="single" w:sz="4" w:space="0" w:color="auto"/>
              <w:right w:val="single" w:sz="4" w:space="0" w:color="auto"/>
            </w:tcBorders>
            <w:shd w:val="clear" w:color="FFFFFF" w:fill="FFFFFF"/>
            <w:vAlign w:val="center"/>
            <w:hideMark/>
          </w:tcPr>
          <w:p w14:paraId="02DE5B0B"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 </w:t>
            </w:r>
          </w:p>
        </w:tc>
        <w:tc>
          <w:tcPr>
            <w:tcW w:w="793" w:type="dxa"/>
            <w:tcBorders>
              <w:top w:val="nil"/>
              <w:left w:val="nil"/>
              <w:bottom w:val="single" w:sz="4" w:space="0" w:color="auto"/>
              <w:right w:val="single" w:sz="4" w:space="0" w:color="auto"/>
            </w:tcBorders>
            <w:shd w:val="clear" w:color="auto" w:fill="auto"/>
            <w:vAlign w:val="center"/>
            <w:hideMark/>
          </w:tcPr>
          <w:p w14:paraId="275756A4"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2,5</w:t>
            </w:r>
          </w:p>
        </w:tc>
        <w:tc>
          <w:tcPr>
            <w:tcW w:w="992" w:type="dxa"/>
            <w:tcBorders>
              <w:top w:val="nil"/>
              <w:left w:val="nil"/>
              <w:bottom w:val="single" w:sz="4" w:space="0" w:color="auto"/>
              <w:right w:val="single" w:sz="4" w:space="0" w:color="auto"/>
            </w:tcBorders>
            <w:shd w:val="clear" w:color="auto" w:fill="auto"/>
            <w:vAlign w:val="center"/>
            <w:hideMark/>
          </w:tcPr>
          <w:p w14:paraId="5CA39A69"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0,3</w:t>
            </w:r>
          </w:p>
        </w:tc>
        <w:tc>
          <w:tcPr>
            <w:tcW w:w="1030" w:type="dxa"/>
            <w:tcBorders>
              <w:top w:val="nil"/>
              <w:left w:val="nil"/>
              <w:bottom w:val="single" w:sz="4" w:space="0" w:color="auto"/>
              <w:right w:val="single" w:sz="4" w:space="0" w:color="auto"/>
            </w:tcBorders>
            <w:shd w:val="clear" w:color="auto" w:fill="auto"/>
            <w:vAlign w:val="center"/>
            <w:hideMark/>
          </w:tcPr>
          <w:p w14:paraId="0B678DE8"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2,8</w:t>
            </w:r>
          </w:p>
        </w:tc>
        <w:tc>
          <w:tcPr>
            <w:tcW w:w="1096" w:type="dxa"/>
            <w:tcBorders>
              <w:top w:val="nil"/>
              <w:left w:val="nil"/>
              <w:bottom w:val="single" w:sz="4" w:space="0" w:color="auto"/>
              <w:right w:val="single" w:sz="4" w:space="0" w:color="auto"/>
            </w:tcBorders>
            <w:shd w:val="clear" w:color="auto" w:fill="auto"/>
            <w:vAlign w:val="center"/>
            <w:hideMark/>
          </w:tcPr>
          <w:p w14:paraId="1EBBB601"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1,6</w:t>
            </w:r>
          </w:p>
        </w:tc>
        <w:tc>
          <w:tcPr>
            <w:tcW w:w="1149" w:type="dxa"/>
            <w:tcBorders>
              <w:top w:val="nil"/>
              <w:left w:val="nil"/>
              <w:bottom w:val="single" w:sz="4" w:space="0" w:color="auto"/>
              <w:right w:val="single" w:sz="4" w:space="0" w:color="auto"/>
            </w:tcBorders>
            <w:shd w:val="clear" w:color="auto" w:fill="auto"/>
            <w:vAlign w:val="center"/>
            <w:hideMark/>
          </w:tcPr>
          <w:p w14:paraId="22420B19"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2,1</w:t>
            </w:r>
          </w:p>
        </w:tc>
        <w:tc>
          <w:tcPr>
            <w:tcW w:w="1119" w:type="dxa"/>
            <w:tcBorders>
              <w:top w:val="nil"/>
              <w:left w:val="nil"/>
              <w:bottom w:val="single" w:sz="4" w:space="0" w:color="auto"/>
              <w:right w:val="single" w:sz="4" w:space="0" w:color="auto"/>
            </w:tcBorders>
            <w:shd w:val="clear" w:color="auto" w:fill="auto"/>
            <w:vAlign w:val="center"/>
            <w:hideMark/>
          </w:tcPr>
          <w:p w14:paraId="5AB0838A"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2,4</w:t>
            </w:r>
          </w:p>
        </w:tc>
        <w:tc>
          <w:tcPr>
            <w:tcW w:w="3149" w:type="dxa"/>
            <w:tcBorders>
              <w:top w:val="nil"/>
              <w:left w:val="nil"/>
              <w:bottom w:val="single" w:sz="4" w:space="0" w:color="auto"/>
              <w:right w:val="single" w:sz="4" w:space="0" w:color="auto"/>
            </w:tcBorders>
            <w:shd w:val="clear" w:color="auto" w:fill="auto"/>
            <w:hideMark/>
          </w:tcPr>
          <w:p w14:paraId="40B32D95" w14:textId="77777777" w:rsidR="00322AE9" w:rsidRPr="00322AE9" w:rsidRDefault="00322AE9" w:rsidP="00322AE9">
            <w:pPr>
              <w:ind w:firstLine="0"/>
              <w:jc w:val="left"/>
              <w:rPr>
                <w:rFonts w:eastAsia="Times New Roman" w:cs="Times New Roman"/>
                <w:color w:val="000000"/>
                <w:sz w:val="18"/>
                <w:szCs w:val="18"/>
                <w:lang w:eastAsia="ru-RU"/>
              </w:rPr>
            </w:pPr>
            <w:r w:rsidRPr="00322AE9">
              <w:rPr>
                <w:rFonts w:eastAsia="Times New Roman" w:cs="Times New Roman"/>
                <w:color w:val="000000"/>
                <w:sz w:val="18"/>
                <w:szCs w:val="18"/>
                <w:lang w:eastAsia="ru-RU"/>
              </w:rPr>
              <w:t>СП 44.13330.2011 "Административные и бытовые здания", п.4.3</w:t>
            </w:r>
          </w:p>
        </w:tc>
      </w:tr>
      <w:tr w:rsidR="00322AE9" w:rsidRPr="00322AE9" w14:paraId="6B65C974" w14:textId="77777777" w:rsidTr="00322AE9">
        <w:trPr>
          <w:trHeight w:val="300"/>
          <w:jc w:val="center"/>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58BF5C0E"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 </w:t>
            </w:r>
          </w:p>
        </w:tc>
        <w:tc>
          <w:tcPr>
            <w:tcW w:w="816" w:type="dxa"/>
            <w:tcBorders>
              <w:top w:val="nil"/>
              <w:left w:val="nil"/>
              <w:bottom w:val="single" w:sz="4" w:space="0" w:color="auto"/>
              <w:right w:val="single" w:sz="4" w:space="0" w:color="auto"/>
            </w:tcBorders>
            <w:shd w:val="clear" w:color="auto" w:fill="auto"/>
            <w:vAlign w:val="center"/>
            <w:hideMark/>
          </w:tcPr>
          <w:p w14:paraId="403B7601"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0833</w:t>
            </w:r>
          </w:p>
        </w:tc>
        <w:tc>
          <w:tcPr>
            <w:tcW w:w="2893" w:type="dxa"/>
            <w:tcBorders>
              <w:top w:val="nil"/>
              <w:left w:val="nil"/>
              <w:bottom w:val="single" w:sz="4" w:space="0" w:color="auto"/>
              <w:right w:val="single" w:sz="4" w:space="0" w:color="auto"/>
            </w:tcBorders>
            <w:shd w:val="clear" w:color="auto" w:fill="auto"/>
            <w:vAlign w:val="center"/>
            <w:hideMark/>
          </w:tcPr>
          <w:p w14:paraId="442AD3F0" w14:textId="77777777" w:rsidR="00322AE9" w:rsidRPr="00322AE9" w:rsidRDefault="00322AE9" w:rsidP="00322AE9">
            <w:pPr>
              <w:ind w:firstLine="0"/>
              <w:jc w:val="left"/>
              <w:rPr>
                <w:rFonts w:eastAsia="Times New Roman" w:cs="Times New Roman"/>
                <w:color w:val="000000"/>
                <w:sz w:val="20"/>
                <w:szCs w:val="20"/>
                <w:lang w:eastAsia="ru-RU"/>
              </w:rPr>
            </w:pPr>
            <w:r w:rsidRPr="00322AE9">
              <w:rPr>
                <w:rFonts w:eastAsia="Times New Roman" w:cs="Times New Roman"/>
                <w:color w:val="000000"/>
                <w:sz w:val="20"/>
                <w:szCs w:val="20"/>
                <w:lang w:eastAsia="ru-RU"/>
              </w:rPr>
              <w:t>Интернаты (школы-интернаты)</w:t>
            </w:r>
          </w:p>
        </w:tc>
        <w:tc>
          <w:tcPr>
            <w:tcW w:w="855" w:type="dxa"/>
            <w:tcBorders>
              <w:top w:val="nil"/>
              <w:left w:val="nil"/>
              <w:bottom w:val="single" w:sz="4" w:space="0" w:color="auto"/>
              <w:right w:val="single" w:sz="4" w:space="0" w:color="auto"/>
            </w:tcBorders>
            <w:shd w:val="clear" w:color="FFFFFF" w:fill="FFFFFF"/>
            <w:vAlign w:val="center"/>
            <w:hideMark/>
          </w:tcPr>
          <w:p w14:paraId="3A117448"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 </w:t>
            </w:r>
          </w:p>
        </w:tc>
        <w:tc>
          <w:tcPr>
            <w:tcW w:w="793" w:type="dxa"/>
            <w:tcBorders>
              <w:top w:val="nil"/>
              <w:left w:val="nil"/>
              <w:bottom w:val="single" w:sz="4" w:space="0" w:color="auto"/>
              <w:right w:val="single" w:sz="4" w:space="0" w:color="auto"/>
            </w:tcBorders>
            <w:shd w:val="clear" w:color="auto" w:fill="auto"/>
            <w:vAlign w:val="center"/>
            <w:hideMark/>
          </w:tcPr>
          <w:p w14:paraId="4AA6BCAE"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2,7</w:t>
            </w:r>
          </w:p>
        </w:tc>
        <w:tc>
          <w:tcPr>
            <w:tcW w:w="992" w:type="dxa"/>
            <w:tcBorders>
              <w:top w:val="nil"/>
              <w:left w:val="nil"/>
              <w:bottom w:val="single" w:sz="4" w:space="0" w:color="auto"/>
              <w:right w:val="single" w:sz="4" w:space="0" w:color="auto"/>
            </w:tcBorders>
            <w:shd w:val="clear" w:color="auto" w:fill="auto"/>
            <w:vAlign w:val="center"/>
            <w:hideMark/>
          </w:tcPr>
          <w:p w14:paraId="79A146D5"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0,3</w:t>
            </w:r>
          </w:p>
        </w:tc>
        <w:tc>
          <w:tcPr>
            <w:tcW w:w="1030" w:type="dxa"/>
            <w:tcBorders>
              <w:top w:val="nil"/>
              <w:left w:val="nil"/>
              <w:bottom w:val="single" w:sz="4" w:space="0" w:color="auto"/>
              <w:right w:val="single" w:sz="4" w:space="0" w:color="auto"/>
            </w:tcBorders>
            <w:shd w:val="clear" w:color="auto" w:fill="auto"/>
            <w:vAlign w:val="center"/>
            <w:hideMark/>
          </w:tcPr>
          <w:p w14:paraId="3B276199"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3</w:t>
            </w:r>
          </w:p>
        </w:tc>
        <w:tc>
          <w:tcPr>
            <w:tcW w:w="1096" w:type="dxa"/>
            <w:tcBorders>
              <w:top w:val="nil"/>
              <w:left w:val="nil"/>
              <w:bottom w:val="single" w:sz="4" w:space="0" w:color="auto"/>
              <w:right w:val="single" w:sz="4" w:space="0" w:color="auto"/>
            </w:tcBorders>
            <w:shd w:val="clear" w:color="auto" w:fill="auto"/>
            <w:vAlign w:val="center"/>
            <w:hideMark/>
          </w:tcPr>
          <w:p w14:paraId="70D80D1C"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1,6</w:t>
            </w:r>
          </w:p>
        </w:tc>
        <w:tc>
          <w:tcPr>
            <w:tcW w:w="1149" w:type="dxa"/>
            <w:tcBorders>
              <w:top w:val="nil"/>
              <w:left w:val="nil"/>
              <w:bottom w:val="single" w:sz="4" w:space="0" w:color="auto"/>
              <w:right w:val="single" w:sz="4" w:space="0" w:color="auto"/>
            </w:tcBorders>
            <w:shd w:val="clear" w:color="auto" w:fill="auto"/>
            <w:vAlign w:val="center"/>
            <w:hideMark/>
          </w:tcPr>
          <w:p w14:paraId="2B7BE5E8"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2,1</w:t>
            </w:r>
          </w:p>
        </w:tc>
        <w:tc>
          <w:tcPr>
            <w:tcW w:w="1119" w:type="dxa"/>
            <w:tcBorders>
              <w:top w:val="nil"/>
              <w:left w:val="nil"/>
              <w:bottom w:val="single" w:sz="4" w:space="0" w:color="auto"/>
              <w:right w:val="single" w:sz="4" w:space="0" w:color="auto"/>
            </w:tcBorders>
            <w:shd w:val="clear" w:color="auto" w:fill="auto"/>
            <w:vAlign w:val="center"/>
            <w:hideMark/>
          </w:tcPr>
          <w:p w14:paraId="4B2FBD23"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2,4</w:t>
            </w:r>
          </w:p>
        </w:tc>
        <w:tc>
          <w:tcPr>
            <w:tcW w:w="3149" w:type="dxa"/>
            <w:tcBorders>
              <w:top w:val="nil"/>
              <w:left w:val="nil"/>
              <w:bottom w:val="single" w:sz="4" w:space="0" w:color="auto"/>
              <w:right w:val="single" w:sz="4" w:space="0" w:color="auto"/>
            </w:tcBorders>
            <w:shd w:val="clear" w:color="auto" w:fill="auto"/>
            <w:hideMark/>
          </w:tcPr>
          <w:p w14:paraId="0177C8FA" w14:textId="77777777" w:rsidR="00322AE9" w:rsidRPr="00322AE9" w:rsidRDefault="00322AE9" w:rsidP="00322AE9">
            <w:pPr>
              <w:ind w:firstLine="0"/>
              <w:jc w:val="left"/>
              <w:rPr>
                <w:rFonts w:eastAsia="Times New Roman" w:cs="Times New Roman"/>
                <w:color w:val="000000"/>
                <w:sz w:val="18"/>
                <w:szCs w:val="18"/>
                <w:lang w:eastAsia="ru-RU"/>
              </w:rPr>
            </w:pPr>
            <w:r w:rsidRPr="00322AE9">
              <w:rPr>
                <w:rFonts w:eastAsia="Times New Roman" w:cs="Times New Roman"/>
                <w:color w:val="000000"/>
                <w:sz w:val="18"/>
                <w:szCs w:val="18"/>
                <w:lang w:eastAsia="ru-RU"/>
              </w:rPr>
              <w:t xml:space="preserve">СП 118.13330.2012 "Общественные здания", п.4.5; </w:t>
            </w:r>
          </w:p>
        </w:tc>
      </w:tr>
      <w:tr w:rsidR="00322AE9" w:rsidRPr="00322AE9" w14:paraId="4030EA4C" w14:textId="77777777" w:rsidTr="00322AE9">
        <w:trPr>
          <w:trHeight w:val="300"/>
          <w:jc w:val="center"/>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3AEE4E8B"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 </w:t>
            </w:r>
          </w:p>
        </w:tc>
        <w:tc>
          <w:tcPr>
            <w:tcW w:w="816" w:type="dxa"/>
            <w:tcBorders>
              <w:top w:val="nil"/>
              <w:left w:val="nil"/>
              <w:bottom w:val="single" w:sz="4" w:space="0" w:color="auto"/>
              <w:right w:val="single" w:sz="4" w:space="0" w:color="auto"/>
            </w:tcBorders>
            <w:shd w:val="clear" w:color="auto" w:fill="auto"/>
            <w:vAlign w:val="center"/>
            <w:hideMark/>
          </w:tcPr>
          <w:p w14:paraId="634802FC"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0834</w:t>
            </w:r>
          </w:p>
        </w:tc>
        <w:tc>
          <w:tcPr>
            <w:tcW w:w="2893" w:type="dxa"/>
            <w:tcBorders>
              <w:top w:val="nil"/>
              <w:left w:val="nil"/>
              <w:bottom w:val="single" w:sz="4" w:space="0" w:color="auto"/>
              <w:right w:val="single" w:sz="4" w:space="0" w:color="auto"/>
            </w:tcBorders>
            <w:shd w:val="clear" w:color="auto" w:fill="auto"/>
            <w:vAlign w:val="center"/>
            <w:hideMark/>
          </w:tcPr>
          <w:p w14:paraId="5CA76B3E" w14:textId="77777777" w:rsidR="00322AE9" w:rsidRPr="00322AE9" w:rsidRDefault="00322AE9" w:rsidP="00322AE9">
            <w:pPr>
              <w:ind w:firstLine="0"/>
              <w:jc w:val="left"/>
              <w:rPr>
                <w:rFonts w:eastAsia="Times New Roman" w:cs="Times New Roman"/>
                <w:color w:val="000000"/>
                <w:sz w:val="20"/>
                <w:szCs w:val="20"/>
                <w:lang w:eastAsia="ru-RU"/>
              </w:rPr>
            </w:pPr>
            <w:r w:rsidRPr="00322AE9">
              <w:rPr>
                <w:rFonts w:eastAsia="Times New Roman" w:cs="Times New Roman"/>
                <w:color w:val="000000"/>
                <w:sz w:val="20"/>
                <w:szCs w:val="20"/>
                <w:lang w:eastAsia="ru-RU"/>
              </w:rPr>
              <w:t>Изоляторы</w:t>
            </w:r>
          </w:p>
        </w:tc>
        <w:tc>
          <w:tcPr>
            <w:tcW w:w="855" w:type="dxa"/>
            <w:tcBorders>
              <w:top w:val="nil"/>
              <w:left w:val="nil"/>
              <w:bottom w:val="single" w:sz="4" w:space="0" w:color="auto"/>
              <w:right w:val="single" w:sz="4" w:space="0" w:color="auto"/>
            </w:tcBorders>
            <w:shd w:val="clear" w:color="FFFFFF" w:fill="FFFFFF"/>
            <w:vAlign w:val="center"/>
            <w:hideMark/>
          </w:tcPr>
          <w:p w14:paraId="1DCA005E"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 </w:t>
            </w:r>
          </w:p>
        </w:tc>
        <w:tc>
          <w:tcPr>
            <w:tcW w:w="793" w:type="dxa"/>
            <w:tcBorders>
              <w:top w:val="nil"/>
              <w:left w:val="nil"/>
              <w:bottom w:val="single" w:sz="4" w:space="0" w:color="auto"/>
              <w:right w:val="single" w:sz="4" w:space="0" w:color="auto"/>
            </w:tcBorders>
            <w:shd w:val="clear" w:color="auto" w:fill="auto"/>
            <w:vAlign w:val="center"/>
            <w:hideMark/>
          </w:tcPr>
          <w:p w14:paraId="697CDDA1"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2,7</w:t>
            </w:r>
          </w:p>
        </w:tc>
        <w:tc>
          <w:tcPr>
            <w:tcW w:w="992" w:type="dxa"/>
            <w:tcBorders>
              <w:top w:val="nil"/>
              <w:left w:val="nil"/>
              <w:bottom w:val="single" w:sz="4" w:space="0" w:color="auto"/>
              <w:right w:val="single" w:sz="4" w:space="0" w:color="auto"/>
            </w:tcBorders>
            <w:shd w:val="clear" w:color="auto" w:fill="auto"/>
            <w:vAlign w:val="center"/>
            <w:hideMark/>
          </w:tcPr>
          <w:p w14:paraId="764F4E44"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0,3</w:t>
            </w:r>
          </w:p>
        </w:tc>
        <w:tc>
          <w:tcPr>
            <w:tcW w:w="1030" w:type="dxa"/>
            <w:tcBorders>
              <w:top w:val="nil"/>
              <w:left w:val="nil"/>
              <w:bottom w:val="single" w:sz="4" w:space="0" w:color="auto"/>
              <w:right w:val="single" w:sz="4" w:space="0" w:color="auto"/>
            </w:tcBorders>
            <w:shd w:val="clear" w:color="auto" w:fill="auto"/>
            <w:vAlign w:val="center"/>
            <w:hideMark/>
          </w:tcPr>
          <w:p w14:paraId="5B7A6C4E"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3</w:t>
            </w:r>
          </w:p>
        </w:tc>
        <w:tc>
          <w:tcPr>
            <w:tcW w:w="1096" w:type="dxa"/>
            <w:tcBorders>
              <w:top w:val="nil"/>
              <w:left w:val="nil"/>
              <w:bottom w:val="single" w:sz="4" w:space="0" w:color="auto"/>
              <w:right w:val="single" w:sz="4" w:space="0" w:color="auto"/>
            </w:tcBorders>
            <w:shd w:val="clear" w:color="auto" w:fill="auto"/>
            <w:vAlign w:val="center"/>
            <w:hideMark/>
          </w:tcPr>
          <w:p w14:paraId="0299D1DE"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1,6</w:t>
            </w:r>
          </w:p>
        </w:tc>
        <w:tc>
          <w:tcPr>
            <w:tcW w:w="1149" w:type="dxa"/>
            <w:tcBorders>
              <w:top w:val="nil"/>
              <w:left w:val="nil"/>
              <w:bottom w:val="single" w:sz="4" w:space="0" w:color="auto"/>
              <w:right w:val="single" w:sz="4" w:space="0" w:color="auto"/>
            </w:tcBorders>
            <w:shd w:val="clear" w:color="auto" w:fill="auto"/>
            <w:vAlign w:val="center"/>
            <w:hideMark/>
          </w:tcPr>
          <w:p w14:paraId="6214E9D8"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2,1</w:t>
            </w:r>
          </w:p>
        </w:tc>
        <w:tc>
          <w:tcPr>
            <w:tcW w:w="1119" w:type="dxa"/>
            <w:tcBorders>
              <w:top w:val="nil"/>
              <w:left w:val="nil"/>
              <w:bottom w:val="single" w:sz="4" w:space="0" w:color="auto"/>
              <w:right w:val="single" w:sz="4" w:space="0" w:color="auto"/>
            </w:tcBorders>
            <w:shd w:val="clear" w:color="auto" w:fill="auto"/>
            <w:vAlign w:val="center"/>
            <w:hideMark/>
          </w:tcPr>
          <w:p w14:paraId="575BE627"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2,4</w:t>
            </w:r>
          </w:p>
        </w:tc>
        <w:tc>
          <w:tcPr>
            <w:tcW w:w="3149" w:type="dxa"/>
            <w:tcBorders>
              <w:top w:val="nil"/>
              <w:left w:val="nil"/>
              <w:bottom w:val="single" w:sz="4" w:space="0" w:color="auto"/>
              <w:right w:val="single" w:sz="4" w:space="0" w:color="auto"/>
            </w:tcBorders>
            <w:shd w:val="clear" w:color="auto" w:fill="auto"/>
            <w:hideMark/>
          </w:tcPr>
          <w:p w14:paraId="7B99391C" w14:textId="77777777" w:rsidR="00322AE9" w:rsidRPr="00322AE9" w:rsidRDefault="00322AE9" w:rsidP="00322AE9">
            <w:pPr>
              <w:ind w:firstLine="0"/>
              <w:jc w:val="left"/>
              <w:rPr>
                <w:rFonts w:eastAsia="Times New Roman" w:cs="Times New Roman"/>
                <w:color w:val="000000"/>
                <w:sz w:val="18"/>
                <w:szCs w:val="18"/>
                <w:lang w:eastAsia="ru-RU"/>
              </w:rPr>
            </w:pPr>
            <w:r w:rsidRPr="00322AE9">
              <w:rPr>
                <w:rFonts w:eastAsia="Times New Roman" w:cs="Times New Roman"/>
                <w:color w:val="000000"/>
                <w:sz w:val="18"/>
                <w:szCs w:val="18"/>
                <w:lang w:eastAsia="ru-RU"/>
              </w:rPr>
              <w:t xml:space="preserve">СП 118.13330.2012 "Общественные здания", п.4.5; </w:t>
            </w:r>
          </w:p>
        </w:tc>
      </w:tr>
      <w:tr w:rsidR="00322AE9" w:rsidRPr="00322AE9" w14:paraId="6406D33D" w14:textId="77777777" w:rsidTr="00322AE9">
        <w:trPr>
          <w:trHeight w:val="300"/>
          <w:jc w:val="center"/>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2F993AA8"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 </w:t>
            </w:r>
          </w:p>
        </w:tc>
        <w:tc>
          <w:tcPr>
            <w:tcW w:w="816" w:type="dxa"/>
            <w:tcBorders>
              <w:top w:val="nil"/>
              <w:left w:val="nil"/>
              <w:bottom w:val="single" w:sz="4" w:space="0" w:color="auto"/>
              <w:right w:val="single" w:sz="4" w:space="0" w:color="auto"/>
            </w:tcBorders>
            <w:shd w:val="clear" w:color="auto" w:fill="auto"/>
            <w:vAlign w:val="center"/>
            <w:hideMark/>
          </w:tcPr>
          <w:p w14:paraId="246BF8BA"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0835</w:t>
            </w:r>
          </w:p>
        </w:tc>
        <w:tc>
          <w:tcPr>
            <w:tcW w:w="2893" w:type="dxa"/>
            <w:tcBorders>
              <w:top w:val="nil"/>
              <w:left w:val="nil"/>
              <w:bottom w:val="single" w:sz="4" w:space="0" w:color="auto"/>
              <w:right w:val="single" w:sz="4" w:space="0" w:color="auto"/>
            </w:tcBorders>
            <w:shd w:val="clear" w:color="auto" w:fill="auto"/>
            <w:vAlign w:val="center"/>
            <w:hideMark/>
          </w:tcPr>
          <w:p w14:paraId="5D31CC2A" w14:textId="77777777" w:rsidR="00322AE9" w:rsidRPr="00322AE9" w:rsidRDefault="00322AE9" w:rsidP="00322AE9">
            <w:pPr>
              <w:ind w:firstLine="0"/>
              <w:jc w:val="left"/>
              <w:rPr>
                <w:rFonts w:eastAsia="Times New Roman" w:cs="Times New Roman"/>
                <w:color w:val="000000"/>
                <w:sz w:val="20"/>
                <w:szCs w:val="20"/>
                <w:lang w:eastAsia="ru-RU"/>
              </w:rPr>
            </w:pPr>
            <w:r w:rsidRPr="00322AE9">
              <w:rPr>
                <w:rFonts w:eastAsia="Times New Roman" w:cs="Times New Roman"/>
                <w:color w:val="000000"/>
                <w:sz w:val="20"/>
                <w:szCs w:val="20"/>
                <w:lang w:eastAsia="ru-RU"/>
              </w:rPr>
              <w:t>Исправительные заведения</w:t>
            </w:r>
          </w:p>
        </w:tc>
        <w:tc>
          <w:tcPr>
            <w:tcW w:w="855" w:type="dxa"/>
            <w:tcBorders>
              <w:top w:val="nil"/>
              <w:left w:val="nil"/>
              <w:bottom w:val="single" w:sz="4" w:space="0" w:color="auto"/>
              <w:right w:val="single" w:sz="4" w:space="0" w:color="auto"/>
            </w:tcBorders>
            <w:shd w:val="clear" w:color="FFFFFF" w:fill="FFFFFF"/>
            <w:vAlign w:val="center"/>
            <w:hideMark/>
          </w:tcPr>
          <w:p w14:paraId="5A7243DE"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 </w:t>
            </w:r>
          </w:p>
        </w:tc>
        <w:tc>
          <w:tcPr>
            <w:tcW w:w="793" w:type="dxa"/>
            <w:tcBorders>
              <w:top w:val="nil"/>
              <w:left w:val="nil"/>
              <w:bottom w:val="single" w:sz="4" w:space="0" w:color="auto"/>
              <w:right w:val="single" w:sz="4" w:space="0" w:color="auto"/>
            </w:tcBorders>
            <w:shd w:val="clear" w:color="auto" w:fill="auto"/>
            <w:vAlign w:val="center"/>
            <w:hideMark/>
          </w:tcPr>
          <w:p w14:paraId="6CA288F7"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2,7</w:t>
            </w:r>
          </w:p>
        </w:tc>
        <w:tc>
          <w:tcPr>
            <w:tcW w:w="992" w:type="dxa"/>
            <w:tcBorders>
              <w:top w:val="nil"/>
              <w:left w:val="nil"/>
              <w:bottom w:val="single" w:sz="4" w:space="0" w:color="auto"/>
              <w:right w:val="single" w:sz="4" w:space="0" w:color="auto"/>
            </w:tcBorders>
            <w:shd w:val="clear" w:color="auto" w:fill="auto"/>
            <w:vAlign w:val="center"/>
            <w:hideMark/>
          </w:tcPr>
          <w:p w14:paraId="326D6C75"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0,3</w:t>
            </w:r>
          </w:p>
        </w:tc>
        <w:tc>
          <w:tcPr>
            <w:tcW w:w="1030" w:type="dxa"/>
            <w:tcBorders>
              <w:top w:val="nil"/>
              <w:left w:val="nil"/>
              <w:bottom w:val="single" w:sz="4" w:space="0" w:color="auto"/>
              <w:right w:val="single" w:sz="4" w:space="0" w:color="auto"/>
            </w:tcBorders>
            <w:shd w:val="clear" w:color="auto" w:fill="auto"/>
            <w:vAlign w:val="center"/>
            <w:hideMark/>
          </w:tcPr>
          <w:p w14:paraId="2AE6A0BE"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3</w:t>
            </w:r>
          </w:p>
        </w:tc>
        <w:tc>
          <w:tcPr>
            <w:tcW w:w="1096" w:type="dxa"/>
            <w:tcBorders>
              <w:top w:val="nil"/>
              <w:left w:val="nil"/>
              <w:bottom w:val="single" w:sz="4" w:space="0" w:color="auto"/>
              <w:right w:val="single" w:sz="4" w:space="0" w:color="auto"/>
            </w:tcBorders>
            <w:shd w:val="clear" w:color="auto" w:fill="auto"/>
            <w:vAlign w:val="center"/>
            <w:hideMark/>
          </w:tcPr>
          <w:p w14:paraId="6CB16380"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1,6</w:t>
            </w:r>
          </w:p>
        </w:tc>
        <w:tc>
          <w:tcPr>
            <w:tcW w:w="1149" w:type="dxa"/>
            <w:tcBorders>
              <w:top w:val="nil"/>
              <w:left w:val="nil"/>
              <w:bottom w:val="single" w:sz="4" w:space="0" w:color="auto"/>
              <w:right w:val="single" w:sz="4" w:space="0" w:color="auto"/>
            </w:tcBorders>
            <w:shd w:val="clear" w:color="auto" w:fill="auto"/>
            <w:vAlign w:val="center"/>
            <w:hideMark/>
          </w:tcPr>
          <w:p w14:paraId="6C431477"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2,1</w:t>
            </w:r>
          </w:p>
        </w:tc>
        <w:tc>
          <w:tcPr>
            <w:tcW w:w="1119" w:type="dxa"/>
            <w:tcBorders>
              <w:top w:val="nil"/>
              <w:left w:val="nil"/>
              <w:bottom w:val="single" w:sz="4" w:space="0" w:color="auto"/>
              <w:right w:val="single" w:sz="4" w:space="0" w:color="auto"/>
            </w:tcBorders>
            <w:shd w:val="clear" w:color="auto" w:fill="auto"/>
            <w:vAlign w:val="center"/>
            <w:hideMark/>
          </w:tcPr>
          <w:p w14:paraId="647519E1"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2,4</w:t>
            </w:r>
          </w:p>
        </w:tc>
        <w:tc>
          <w:tcPr>
            <w:tcW w:w="3149" w:type="dxa"/>
            <w:tcBorders>
              <w:top w:val="nil"/>
              <w:left w:val="nil"/>
              <w:bottom w:val="single" w:sz="4" w:space="0" w:color="auto"/>
              <w:right w:val="single" w:sz="4" w:space="0" w:color="auto"/>
            </w:tcBorders>
            <w:shd w:val="clear" w:color="auto" w:fill="auto"/>
            <w:hideMark/>
          </w:tcPr>
          <w:p w14:paraId="7B6EC84B" w14:textId="77777777" w:rsidR="00322AE9" w:rsidRPr="00322AE9" w:rsidRDefault="00322AE9" w:rsidP="00322AE9">
            <w:pPr>
              <w:ind w:firstLine="0"/>
              <w:jc w:val="left"/>
              <w:rPr>
                <w:rFonts w:eastAsia="Times New Roman" w:cs="Times New Roman"/>
                <w:color w:val="000000"/>
                <w:sz w:val="18"/>
                <w:szCs w:val="18"/>
                <w:lang w:eastAsia="ru-RU"/>
              </w:rPr>
            </w:pPr>
            <w:r w:rsidRPr="00322AE9">
              <w:rPr>
                <w:rFonts w:eastAsia="Times New Roman" w:cs="Times New Roman"/>
                <w:color w:val="000000"/>
                <w:sz w:val="18"/>
                <w:szCs w:val="18"/>
                <w:lang w:eastAsia="ru-RU"/>
              </w:rPr>
              <w:t xml:space="preserve">СП 118.13330.2012 "Общественные здания", п.4.5; </w:t>
            </w:r>
          </w:p>
        </w:tc>
      </w:tr>
      <w:tr w:rsidR="00322AE9" w:rsidRPr="00322AE9" w14:paraId="78507AC9" w14:textId="77777777" w:rsidTr="00322AE9">
        <w:trPr>
          <w:trHeight w:val="300"/>
          <w:jc w:val="center"/>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74E2BDDF"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 </w:t>
            </w:r>
          </w:p>
        </w:tc>
        <w:tc>
          <w:tcPr>
            <w:tcW w:w="816" w:type="dxa"/>
            <w:tcBorders>
              <w:top w:val="nil"/>
              <w:left w:val="nil"/>
              <w:bottom w:val="single" w:sz="4" w:space="0" w:color="auto"/>
              <w:right w:val="single" w:sz="4" w:space="0" w:color="auto"/>
            </w:tcBorders>
            <w:shd w:val="clear" w:color="auto" w:fill="auto"/>
            <w:vAlign w:val="center"/>
            <w:hideMark/>
          </w:tcPr>
          <w:p w14:paraId="399B17BD"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0836</w:t>
            </w:r>
          </w:p>
        </w:tc>
        <w:tc>
          <w:tcPr>
            <w:tcW w:w="2893" w:type="dxa"/>
            <w:tcBorders>
              <w:top w:val="nil"/>
              <w:left w:val="nil"/>
              <w:bottom w:val="single" w:sz="4" w:space="0" w:color="auto"/>
              <w:right w:val="single" w:sz="4" w:space="0" w:color="auto"/>
            </w:tcBorders>
            <w:shd w:val="clear" w:color="auto" w:fill="auto"/>
            <w:vAlign w:val="center"/>
            <w:hideMark/>
          </w:tcPr>
          <w:p w14:paraId="0DEA6DBA" w14:textId="77777777" w:rsidR="00322AE9" w:rsidRPr="00322AE9" w:rsidRDefault="00322AE9" w:rsidP="00322AE9">
            <w:pPr>
              <w:ind w:firstLine="0"/>
              <w:jc w:val="left"/>
              <w:rPr>
                <w:rFonts w:eastAsia="Times New Roman" w:cs="Times New Roman"/>
                <w:color w:val="000000"/>
                <w:sz w:val="20"/>
                <w:szCs w:val="20"/>
                <w:lang w:eastAsia="ru-RU"/>
              </w:rPr>
            </w:pPr>
            <w:r w:rsidRPr="00322AE9">
              <w:rPr>
                <w:rFonts w:eastAsia="Times New Roman" w:cs="Times New Roman"/>
                <w:color w:val="000000"/>
                <w:sz w:val="20"/>
                <w:szCs w:val="20"/>
                <w:lang w:eastAsia="ru-RU"/>
              </w:rPr>
              <w:t>Казармы</w:t>
            </w:r>
          </w:p>
        </w:tc>
        <w:tc>
          <w:tcPr>
            <w:tcW w:w="855" w:type="dxa"/>
            <w:tcBorders>
              <w:top w:val="nil"/>
              <w:left w:val="nil"/>
              <w:bottom w:val="single" w:sz="4" w:space="0" w:color="auto"/>
              <w:right w:val="single" w:sz="4" w:space="0" w:color="auto"/>
            </w:tcBorders>
            <w:shd w:val="clear" w:color="FFFFFF" w:fill="FFFFFF"/>
            <w:vAlign w:val="center"/>
            <w:hideMark/>
          </w:tcPr>
          <w:p w14:paraId="758037A8"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 </w:t>
            </w:r>
          </w:p>
        </w:tc>
        <w:tc>
          <w:tcPr>
            <w:tcW w:w="793" w:type="dxa"/>
            <w:tcBorders>
              <w:top w:val="nil"/>
              <w:left w:val="nil"/>
              <w:bottom w:val="single" w:sz="4" w:space="0" w:color="auto"/>
              <w:right w:val="single" w:sz="4" w:space="0" w:color="auto"/>
            </w:tcBorders>
            <w:shd w:val="clear" w:color="auto" w:fill="auto"/>
            <w:vAlign w:val="center"/>
            <w:hideMark/>
          </w:tcPr>
          <w:p w14:paraId="52E425FC"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2,7</w:t>
            </w:r>
          </w:p>
        </w:tc>
        <w:tc>
          <w:tcPr>
            <w:tcW w:w="992" w:type="dxa"/>
            <w:tcBorders>
              <w:top w:val="nil"/>
              <w:left w:val="nil"/>
              <w:bottom w:val="single" w:sz="4" w:space="0" w:color="auto"/>
              <w:right w:val="single" w:sz="4" w:space="0" w:color="auto"/>
            </w:tcBorders>
            <w:shd w:val="clear" w:color="auto" w:fill="auto"/>
            <w:vAlign w:val="center"/>
            <w:hideMark/>
          </w:tcPr>
          <w:p w14:paraId="15921B6D"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0,3</w:t>
            </w:r>
          </w:p>
        </w:tc>
        <w:tc>
          <w:tcPr>
            <w:tcW w:w="1030" w:type="dxa"/>
            <w:tcBorders>
              <w:top w:val="nil"/>
              <w:left w:val="nil"/>
              <w:bottom w:val="single" w:sz="4" w:space="0" w:color="auto"/>
              <w:right w:val="single" w:sz="4" w:space="0" w:color="auto"/>
            </w:tcBorders>
            <w:shd w:val="clear" w:color="auto" w:fill="auto"/>
            <w:vAlign w:val="center"/>
            <w:hideMark/>
          </w:tcPr>
          <w:p w14:paraId="2132E723"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3</w:t>
            </w:r>
          </w:p>
        </w:tc>
        <w:tc>
          <w:tcPr>
            <w:tcW w:w="1096" w:type="dxa"/>
            <w:tcBorders>
              <w:top w:val="nil"/>
              <w:left w:val="nil"/>
              <w:bottom w:val="single" w:sz="4" w:space="0" w:color="auto"/>
              <w:right w:val="single" w:sz="4" w:space="0" w:color="auto"/>
            </w:tcBorders>
            <w:shd w:val="clear" w:color="auto" w:fill="auto"/>
            <w:vAlign w:val="center"/>
            <w:hideMark/>
          </w:tcPr>
          <w:p w14:paraId="38D9E895"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1,6</w:t>
            </w:r>
          </w:p>
        </w:tc>
        <w:tc>
          <w:tcPr>
            <w:tcW w:w="1149" w:type="dxa"/>
            <w:tcBorders>
              <w:top w:val="nil"/>
              <w:left w:val="nil"/>
              <w:bottom w:val="single" w:sz="4" w:space="0" w:color="auto"/>
              <w:right w:val="single" w:sz="4" w:space="0" w:color="auto"/>
            </w:tcBorders>
            <w:shd w:val="clear" w:color="auto" w:fill="auto"/>
            <w:vAlign w:val="center"/>
            <w:hideMark/>
          </w:tcPr>
          <w:p w14:paraId="1ABC5ED1"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2,1</w:t>
            </w:r>
          </w:p>
        </w:tc>
        <w:tc>
          <w:tcPr>
            <w:tcW w:w="1119" w:type="dxa"/>
            <w:tcBorders>
              <w:top w:val="nil"/>
              <w:left w:val="nil"/>
              <w:bottom w:val="single" w:sz="4" w:space="0" w:color="auto"/>
              <w:right w:val="single" w:sz="4" w:space="0" w:color="auto"/>
            </w:tcBorders>
            <w:shd w:val="clear" w:color="auto" w:fill="auto"/>
            <w:vAlign w:val="center"/>
            <w:hideMark/>
          </w:tcPr>
          <w:p w14:paraId="478E44BA"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2,4</w:t>
            </w:r>
          </w:p>
        </w:tc>
        <w:tc>
          <w:tcPr>
            <w:tcW w:w="3149" w:type="dxa"/>
            <w:tcBorders>
              <w:top w:val="nil"/>
              <w:left w:val="nil"/>
              <w:bottom w:val="single" w:sz="4" w:space="0" w:color="auto"/>
              <w:right w:val="single" w:sz="4" w:space="0" w:color="auto"/>
            </w:tcBorders>
            <w:shd w:val="clear" w:color="auto" w:fill="auto"/>
            <w:hideMark/>
          </w:tcPr>
          <w:p w14:paraId="37EF7461" w14:textId="77777777" w:rsidR="00322AE9" w:rsidRPr="00322AE9" w:rsidRDefault="00322AE9" w:rsidP="00322AE9">
            <w:pPr>
              <w:ind w:firstLine="0"/>
              <w:jc w:val="left"/>
              <w:rPr>
                <w:rFonts w:eastAsia="Times New Roman" w:cs="Times New Roman"/>
                <w:color w:val="000000"/>
                <w:sz w:val="18"/>
                <w:szCs w:val="18"/>
                <w:lang w:eastAsia="ru-RU"/>
              </w:rPr>
            </w:pPr>
            <w:r w:rsidRPr="00322AE9">
              <w:rPr>
                <w:rFonts w:eastAsia="Times New Roman" w:cs="Times New Roman"/>
                <w:color w:val="000000"/>
                <w:sz w:val="18"/>
                <w:szCs w:val="18"/>
                <w:lang w:eastAsia="ru-RU"/>
              </w:rPr>
              <w:t xml:space="preserve">СП 118.13330.2012 "Общественные здания", п.4.5; </w:t>
            </w:r>
          </w:p>
        </w:tc>
      </w:tr>
      <w:tr w:rsidR="00322AE9" w:rsidRPr="00322AE9" w14:paraId="505F3F31" w14:textId="77777777" w:rsidTr="00322AE9">
        <w:trPr>
          <w:trHeight w:val="480"/>
          <w:jc w:val="center"/>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42837126"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 </w:t>
            </w:r>
          </w:p>
        </w:tc>
        <w:tc>
          <w:tcPr>
            <w:tcW w:w="816" w:type="dxa"/>
            <w:tcBorders>
              <w:top w:val="nil"/>
              <w:left w:val="nil"/>
              <w:bottom w:val="single" w:sz="4" w:space="0" w:color="auto"/>
              <w:right w:val="single" w:sz="4" w:space="0" w:color="auto"/>
            </w:tcBorders>
            <w:shd w:val="clear" w:color="auto" w:fill="auto"/>
            <w:vAlign w:val="center"/>
            <w:hideMark/>
          </w:tcPr>
          <w:p w14:paraId="479889A8"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0837</w:t>
            </w:r>
          </w:p>
        </w:tc>
        <w:tc>
          <w:tcPr>
            <w:tcW w:w="2893" w:type="dxa"/>
            <w:tcBorders>
              <w:top w:val="nil"/>
              <w:left w:val="nil"/>
              <w:bottom w:val="single" w:sz="4" w:space="0" w:color="auto"/>
              <w:right w:val="single" w:sz="4" w:space="0" w:color="auto"/>
            </w:tcBorders>
            <w:shd w:val="clear" w:color="auto" w:fill="auto"/>
            <w:vAlign w:val="center"/>
            <w:hideMark/>
          </w:tcPr>
          <w:p w14:paraId="41E5DD7B" w14:textId="77777777" w:rsidR="00322AE9" w:rsidRPr="00322AE9" w:rsidRDefault="00322AE9" w:rsidP="00322AE9">
            <w:pPr>
              <w:ind w:firstLine="0"/>
              <w:jc w:val="left"/>
              <w:rPr>
                <w:rFonts w:eastAsia="Times New Roman" w:cs="Times New Roman"/>
                <w:color w:val="000000"/>
                <w:sz w:val="20"/>
                <w:szCs w:val="20"/>
                <w:lang w:eastAsia="ru-RU"/>
              </w:rPr>
            </w:pPr>
            <w:r w:rsidRPr="00322AE9">
              <w:rPr>
                <w:rFonts w:eastAsia="Times New Roman" w:cs="Times New Roman"/>
                <w:color w:val="000000"/>
                <w:sz w:val="20"/>
                <w:szCs w:val="20"/>
                <w:lang w:eastAsia="ru-RU"/>
              </w:rPr>
              <w:t>Государственные научные центры</w:t>
            </w:r>
          </w:p>
        </w:tc>
        <w:tc>
          <w:tcPr>
            <w:tcW w:w="855" w:type="dxa"/>
            <w:tcBorders>
              <w:top w:val="nil"/>
              <w:left w:val="nil"/>
              <w:bottom w:val="single" w:sz="4" w:space="0" w:color="auto"/>
              <w:right w:val="single" w:sz="4" w:space="0" w:color="auto"/>
            </w:tcBorders>
            <w:shd w:val="clear" w:color="FFFFFF" w:fill="FFFFFF"/>
            <w:vAlign w:val="center"/>
            <w:hideMark/>
          </w:tcPr>
          <w:p w14:paraId="2A6E7D4B"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 </w:t>
            </w:r>
          </w:p>
        </w:tc>
        <w:tc>
          <w:tcPr>
            <w:tcW w:w="793" w:type="dxa"/>
            <w:tcBorders>
              <w:top w:val="nil"/>
              <w:left w:val="nil"/>
              <w:bottom w:val="single" w:sz="4" w:space="0" w:color="auto"/>
              <w:right w:val="single" w:sz="4" w:space="0" w:color="auto"/>
            </w:tcBorders>
            <w:shd w:val="clear" w:color="auto" w:fill="auto"/>
            <w:vAlign w:val="center"/>
            <w:hideMark/>
          </w:tcPr>
          <w:p w14:paraId="6BC97644"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2,7</w:t>
            </w:r>
          </w:p>
        </w:tc>
        <w:tc>
          <w:tcPr>
            <w:tcW w:w="992" w:type="dxa"/>
            <w:tcBorders>
              <w:top w:val="nil"/>
              <w:left w:val="nil"/>
              <w:bottom w:val="single" w:sz="4" w:space="0" w:color="auto"/>
              <w:right w:val="single" w:sz="4" w:space="0" w:color="auto"/>
            </w:tcBorders>
            <w:shd w:val="clear" w:color="auto" w:fill="auto"/>
            <w:vAlign w:val="center"/>
            <w:hideMark/>
          </w:tcPr>
          <w:p w14:paraId="2ACB0E9B"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0,3</w:t>
            </w:r>
          </w:p>
        </w:tc>
        <w:tc>
          <w:tcPr>
            <w:tcW w:w="1030" w:type="dxa"/>
            <w:tcBorders>
              <w:top w:val="nil"/>
              <w:left w:val="nil"/>
              <w:bottom w:val="single" w:sz="4" w:space="0" w:color="auto"/>
              <w:right w:val="single" w:sz="4" w:space="0" w:color="auto"/>
            </w:tcBorders>
            <w:shd w:val="clear" w:color="auto" w:fill="auto"/>
            <w:vAlign w:val="center"/>
            <w:hideMark/>
          </w:tcPr>
          <w:p w14:paraId="4AFC2C8C"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3</w:t>
            </w:r>
          </w:p>
        </w:tc>
        <w:tc>
          <w:tcPr>
            <w:tcW w:w="1096" w:type="dxa"/>
            <w:tcBorders>
              <w:top w:val="nil"/>
              <w:left w:val="nil"/>
              <w:bottom w:val="single" w:sz="4" w:space="0" w:color="auto"/>
              <w:right w:val="single" w:sz="4" w:space="0" w:color="auto"/>
            </w:tcBorders>
            <w:shd w:val="clear" w:color="auto" w:fill="auto"/>
            <w:vAlign w:val="center"/>
            <w:hideMark/>
          </w:tcPr>
          <w:p w14:paraId="4745C157"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1,6</w:t>
            </w:r>
          </w:p>
        </w:tc>
        <w:tc>
          <w:tcPr>
            <w:tcW w:w="1149" w:type="dxa"/>
            <w:tcBorders>
              <w:top w:val="nil"/>
              <w:left w:val="nil"/>
              <w:bottom w:val="single" w:sz="4" w:space="0" w:color="auto"/>
              <w:right w:val="single" w:sz="4" w:space="0" w:color="auto"/>
            </w:tcBorders>
            <w:shd w:val="clear" w:color="auto" w:fill="auto"/>
            <w:vAlign w:val="center"/>
            <w:hideMark/>
          </w:tcPr>
          <w:p w14:paraId="5A16EF36"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2,1</w:t>
            </w:r>
          </w:p>
        </w:tc>
        <w:tc>
          <w:tcPr>
            <w:tcW w:w="1119" w:type="dxa"/>
            <w:tcBorders>
              <w:top w:val="nil"/>
              <w:left w:val="nil"/>
              <w:bottom w:val="single" w:sz="4" w:space="0" w:color="auto"/>
              <w:right w:val="single" w:sz="4" w:space="0" w:color="auto"/>
            </w:tcBorders>
            <w:shd w:val="clear" w:color="auto" w:fill="auto"/>
            <w:vAlign w:val="center"/>
            <w:hideMark/>
          </w:tcPr>
          <w:p w14:paraId="3CE3C4D5"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2,4</w:t>
            </w:r>
          </w:p>
        </w:tc>
        <w:tc>
          <w:tcPr>
            <w:tcW w:w="3149" w:type="dxa"/>
            <w:tcBorders>
              <w:top w:val="nil"/>
              <w:left w:val="nil"/>
              <w:bottom w:val="single" w:sz="4" w:space="0" w:color="auto"/>
              <w:right w:val="single" w:sz="4" w:space="0" w:color="auto"/>
            </w:tcBorders>
            <w:shd w:val="clear" w:color="auto" w:fill="auto"/>
            <w:hideMark/>
          </w:tcPr>
          <w:p w14:paraId="0902ED88" w14:textId="77777777" w:rsidR="00322AE9" w:rsidRPr="00322AE9" w:rsidRDefault="00322AE9" w:rsidP="00322AE9">
            <w:pPr>
              <w:ind w:firstLine="0"/>
              <w:jc w:val="left"/>
              <w:rPr>
                <w:rFonts w:eastAsia="Times New Roman" w:cs="Times New Roman"/>
                <w:color w:val="000000"/>
                <w:sz w:val="18"/>
                <w:szCs w:val="18"/>
                <w:lang w:eastAsia="ru-RU"/>
              </w:rPr>
            </w:pPr>
            <w:r w:rsidRPr="00322AE9">
              <w:rPr>
                <w:rFonts w:eastAsia="Times New Roman" w:cs="Times New Roman"/>
                <w:color w:val="000000"/>
                <w:sz w:val="18"/>
                <w:szCs w:val="18"/>
                <w:lang w:eastAsia="ru-RU"/>
              </w:rPr>
              <w:t>СП 44.13330.2011 "Административные и бытовые здания", п.4.3</w:t>
            </w:r>
          </w:p>
        </w:tc>
      </w:tr>
      <w:tr w:rsidR="00322AE9" w:rsidRPr="00322AE9" w14:paraId="7767EFCE" w14:textId="77777777" w:rsidTr="00322AE9">
        <w:trPr>
          <w:trHeight w:val="480"/>
          <w:jc w:val="center"/>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71080AE5"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 </w:t>
            </w:r>
          </w:p>
        </w:tc>
        <w:tc>
          <w:tcPr>
            <w:tcW w:w="816" w:type="dxa"/>
            <w:tcBorders>
              <w:top w:val="nil"/>
              <w:left w:val="nil"/>
              <w:bottom w:val="single" w:sz="4" w:space="0" w:color="auto"/>
              <w:right w:val="single" w:sz="4" w:space="0" w:color="auto"/>
            </w:tcBorders>
            <w:shd w:val="clear" w:color="auto" w:fill="auto"/>
            <w:vAlign w:val="center"/>
            <w:hideMark/>
          </w:tcPr>
          <w:p w14:paraId="5C96FA10"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0838</w:t>
            </w:r>
          </w:p>
        </w:tc>
        <w:tc>
          <w:tcPr>
            <w:tcW w:w="2893" w:type="dxa"/>
            <w:tcBorders>
              <w:top w:val="nil"/>
              <w:left w:val="nil"/>
              <w:bottom w:val="single" w:sz="4" w:space="0" w:color="auto"/>
              <w:right w:val="single" w:sz="4" w:space="0" w:color="auto"/>
            </w:tcBorders>
            <w:shd w:val="clear" w:color="auto" w:fill="auto"/>
            <w:vAlign w:val="center"/>
            <w:hideMark/>
          </w:tcPr>
          <w:p w14:paraId="27040FDB" w14:textId="77777777" w:rsidR="00322AE9" w:rsidRPr="00322AE9" w:rsidRDefault="00322AE9" w:rsidP="00322AE9">
            <w:pPr>
              <w:ind w:firstLine="0"/>
              <w:jc w:val="left"/>
              <w:rPr>
                <w:rFonts w:eastAsia="Times New Roman" w:cs="Times New Roman"/>
                <w:color w:val="000000"/>
                <w:sz w:val="20"/>
                <w:szCs w:val="20"/>
                <w:lang w:eastAsia="ru-RU"/>
              </w:rPr>
            </w:pPr>
            <w:r w:rsidRPr="00322AE9">
              <w:rPr>
                <w:rFonts w:eastAsia="Times New Roman" w:cs="Times New Roman"/>
                <w:color w:val="000000"/>
                <w:sz w:val="20"/>
                <w:szCs w:val="20"/>
                <w:lang w:eastAsia="ru-RU"/>
              </w:rPr>
              <w:t>Проектные институты, конструкторские бюро</w:t>
            </w:r>
          </w:p>
        </w:tc>
        <w:tc>
          <w:tcPr>
            <w:tcW w:w="855" w:type="dxa"/>
            <w:tcBorders>
              <w:top w:val="nil"/>
              <w:left w:val="nil"/>
              <w:bottom w:val="single" w:sz="4" w:space="0" w:color="auto"/>
              <w:right w:val="single" w:sz="4" w:space="0" w:color="auto"/>
            </w:tcBorders>
            <w:shd w:val="clear" w:color="FFFFFF" w:fill="FFFFFF"/>
            <w:vAlign w:val="center"/>
            <w:hideMark/>
          </w:tcPr>
          <w:p w14:paraId="61E10871"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 </w:t>
            </w:r>
          </w:p>
        </w:tc>
        <w:tc>
          <w:tcPr>
            <w:tcW w:w="793" w:type="dxa"/>
            <w:tcBorders>
              <w:top w:val="nil"/>
              <w:left w:val="nil"/>
              <w:bottom w:val="single" w:sz="4" w:space="0" w:color="auto"/>
              <w:right w:val="single" w:sz="4" w:space="0" w:color="auto"/>
            </w:tcBorders>
            <w:shd w:val="clear" w:color="auto" w:fill="auto"/>
            <w:vAlign w:val="center"/>
            <w:hideMark/>
          </w:tcPr>
          <w:p w14:paraId="110DC69F"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2,7</w:t>
            </w:r>
          </w:p>
        </w:tc>
        <w:tc>
          <w:tcPr>
            <w:tcW w:w="992" w:type="dxa"/>
            <w:tcBorders>
              <w:top w:val="nil"/>
              <w:left w:val="nil"/>
              <w:bottom w:val="single" w:sz="4" w:space="0" w:color="auto"/>
              <w:right w:val="single" w:sz="4" w:space="0" w:color="auto"/>
            </w:tcBorders>
            <w:shd w:val="clear" w:color="auto" w:fill="auto"/>
            <w:vAlign w:val="center"/>
            <w:hideMark/>
          </w:tcPr>
          <w:p w14:paraId="588986FF"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0,3</w:t>
            </w:r>
          </w:p>
        </w:tc>
        <w:tc>
          <w:tcPr>
            <w:tcW w:w="1030" w:type="dxa"/>
            <w:tcBorders>
              <w:top w:val="nil"/>
              <w:left w:val="nil"/>
              <w:bottom w:val="single" w:sz="4" w:space="0" w:color="auto"/>
              <w:right w:val="single" w:sz="4" w:space="0" w:color="auto"/>
            </w:tcBorders>
            <w:shd w:val="clear" w:color="auto" w:fill="auto"/>
            <w:vAlign w:val="center"/>
            <w:hideMark/>
          </w:tcPr>
          <w:p w14:paraId="2F0CB82F"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3</w:t>
            </w:r>
          </w:p>
        </w:tc>
        <w:tc>
          <w:tcPr>
            <w:tcW w:w="1096" w:type="dxa"/>
            <w:tcBorders>
              <w:top w:val="nil"/>
              <w:left w:val="nil"/>
              <w:bottom w:val="single" w:sz="4" w:space="0" w:color="auto"/>
              <w:right w:val="single" w:sz="4" w:space="0" w:color="auto"/>
            </w:tcBorders>
            <w:shd w:val="clear" w:color="auto" w:fill="auto"/>
            <w:vAlign w:val="center"/>
            <w:hideMark/>
          </w:tcPr>
          <w:p w14:paraId="1602AADC"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1,6</w:t>
            </w:r>
          </w:p>
        </w:tc>
        <w:tc>
          <w:tcPr>
            <w:tcW w:w="1149" w:type="dxa"/>
            <w:tcBorders>
              <w:top w:val="nil"/>
              <w:left w:val="nil"/>
              <w:bottom w:val="single" w:sz="4" w:space="0" w:color="auto"/>
              <w:right w:val="single" w:sz="4" w:space="0" w:color="auto"/>
            </w:tcBorders>
            <w:shd w:val="clear" w:color="auto" w:fill="auto"/>
            <w:vAlign w:val="center"/>
            <w:hideMark/>
          </w:tcPr>
          <w:p w14:paraId="7F616DD8"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2,1</w:t>
            </w:r>
          </w:p>
        </w:tc>
        <w:tc>
          <w:tcPr>
            <w:tcW w:w="1119" w:type="dxa"/>
            <w:tcBorders>
              <w:top w:val="nil"/>
              <w:left w:val="nil"/>
              <w:bottom w:val="single" w:sz="4" w:space="0" w:color="auto"/>
              <w:right w:val="single" w:sz="4" w:space="0" w:color="auto"/>
            </w:tcBorders>
            <w:shd w:val="clear" w:color="auto" w:fill="auto"/>
            <w:vAlign w:val="center"/>
            <w:hideMark/>
          </w:tcPr>
          <w:p w14:paraId="57BFF2F3"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2,4</w:t>
            </w:r>
          </w:p>
        </w:tc>
        <w:tc>
          <w:tcPr>
            <w:tcW w:w="3149" w:type="dxa"/>
            <w:tcBorders>
              <w:top w:val="nil"/>
              <w:left w:val="nil"/>
              <w:bottom w:val="single" w:sz="4" w:space="0" w:color="auto"/>
              <w:right w:val="single" w:sz="4" w:space="0" w:color="auto"/>
            </w:tcBorders>
            <w:shd w:val="clear" w:color="auto" w:fill="auto"/>
            <w:hideMark/>
          </w:tcPr>
          <w:p w14:paraId="79D83B4D" w14:textId="77777777" w:rsidR="00322AE9" w:rsidRPr="00322AE9" w:rsidRDefault="00322AE9" w:rsidP="00322AE9">
            <w:pPr>
              <w:ind w:firstLine="0"/>
              <w:jc w:val="left"/>
              <w:rPr>
                <w:rFonts w:eastAsia="Times New Roman" w:cs="Times New Roman"/>
                <w:color w:val="000000"/>
                <w:sz w:val="18"/>
                <w:szCs w:val="18"/>
                <w:lang w:eastAsia="ru-RU"/>
              </w:rPr>
            </w:pPr>
            <w:r w:rsidRPr="00322AE9">
              <w:rPr>
                <w:rFonts w:eastAsia="Times New Roman" w:cs="Times New Roman"/>
                <w:color w:val="000000"/>
                <w:sz w:val="18"/>
                <w:szCs w:val="18"/>
                <w:lang w:eastAsia="ru-RU"/>
              </w:rPr>
              <w:t>СП 44.13330.2011 "Административные и бытовые здания", п.4.3</w:t>
            </w:r>
          </w:p>
        </w:tc>
      </w:tr>
      <w:tr w:rsidR="00322AE9" w:rsidRPr="00322AE9" w14:paraId="58F1E6EE" w14:textId="77777777" w:rsidTr="00322AE9">
        <w:trPr>
          <w:trHeight w:val="480"/>
          <w:jc w:val="center"/>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6967B555"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 </w:t>
            </w:r>
          </w:p>
        </w:tc>
        <w:tc>
          <w:tcPr>
            <w:tcW w:w="816" w:type="dxa"/>
            <w:tcBorders>
              <w:top w:val="nil"/>
              <w:left w:val="nil"/>
              <w:bottom w:val="single" w:sz="4" w:space="0" w:color="auto"/>
              <w:right w:val="single" w:sz="4" w:space="0" w:color="auto"/>
            </w:tcBorders>
            <w:shd w:val="clear" w:color="auto" w:fill="auto"/>
            <w:vAlign w:val="center"/>
            <w:hideMark/>
          </w:tcPr>
          <w:p w14:paraId="4AA475B0"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0839</w:t>
            </w:r>
          </w:p>
        </w:tc>
        <w:tc>
          <w:tcPr>
            <w:tcW w:w="2893" w:type="dxa"/>
            <w:tcBorders>
              <w:top w:val="nil"/>
              <w:left w:val="nil"/>
              <w:bottom w:val="single" w:sz="4" w:space="0" w:color="auto"/>
              <w:right w:val="single" w:sz="4" w:space="0" w:color="auto"/>
            </w:tcBorders>
            <w:shd w:val="clear" w:color="auto" w:fill="auto"/>
            <w:vAlign w:val="center"/>
            <w:hideMark/>
          </w:tcPr>
          <w:p w14:paraId="2243CBCA" w14:textId="77777777" w:rsidR="00322AE9" w:rsidRPr="00322AE9" w:rsidRDefault="00322AE9" w:rsidP="00322AE9">
            <w:pPr>
              <w:ind w:firstLine="0"/>
              <w:jc w:val="left"/>
              <w:rPr>
                <w:rFonts w:eastAsia="Times New Roman" w:cs="Times New Roman"/>
                <w:color w:val="000000"/>
                <w:sz w:val="20"/>
                <w:szCs w:val="20"/>
                <w:lang w:eastAsia="ru-RU"/>
              </w:rPr>
            </w:pPr>
            <w:r w:rsidRPr="00322AE9">
              <w:rPr>
                <w:rFonts w:eastAsia="Times New Roman" w:cs="Times New Roman"/>
                <w:color w:val="000000"/>
                <w:sz w:val="20"/>
                <w:szCs w:val="20"/>
                <w:lang w:eastAsia="ru-RU"/>
              </w:rPr>
              <w:t>Научно-исследовательские институты</w:t>
            </w:r>
          </w:p>
        </w:tc>
        <w:tc>
          <w:tcPr>
            <w:tcW w:w="855" w:type="dxa"/>
            <w:tcBorders>
              <w:top w:val="nil"/>
              <w:left w:val="nil"/>
              <w:bottom w:val="single" w:sz="4" w:space="0" w:color="auto"/>
              <w:right w:val="single" w:sz="4" w:space="0" w:color="auto"/>
            </w:tcBorders>
            <w:shd w:val="clear" w:color="FFFFFF" w:fill="FFFFFF"/>
            <w:vAlign w:val="center"/>
            <w:hideMark/>
          </w:tcPr>
          <w:p w14:paraId="1DEDB89C"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 </w:t>
            </w:r>
          </w:p>
        </w:tc>
        <w:tc>
          <w:tcPr>
            <w:tcW w:w="793" w:type="dxa"/>
            <w:tcBorders>
              <w:top w:val="nil"/>
              <w:left w:val="nil"/>
              <w:bottom w:val="single" w:sz="4" w:space="0" w:color="auto"/>
              <w:right w:val="single" w:sz="4" w:space="0" w:color="auto"/>
            </w:tcBorders>
            <w:shd w:val="clear" w:color="auto" w:fill="auto"/>
            <w:vAlign w:val="center"/>
            <w:hideMark/>
          </w:tcPr>
          <w:p w14:paraId="43D0034D"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2,7</w:t>
            </w:r>
          </w:p>
        </w:tc>
        <w:tc>
          <w:tcPr>
            <w:tcW w:w="992" w:type="dxa"/>
            <w:tcBorders>
              <w:top w:val="nil"/>
              <w:left w:val="nil"/>
              <w:bottom w:val="single" w:sz="4" w:space="0" w:color="auto"/>
              <w:right w:val="single" w:sz="4" w:space="0" w:color="auto"/>
            </w:tcBorders>
            <w:shd w:val="clear" w:color="auto" w:fill="auto"/>
            <w:vAlign w:val="center"/>
            <w:hideMark/>
          </w:tcPr>
          <w:p w14:paraId="1E1B7784"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0,3</w:t>
            </w:r>
          </w:p>
        </w:tc>
        <w:tc>
          <w:tcPr>
            <w:tcW w:w="1030" w:type="dxa"/>
            <w:tcBorders>
              <w:top w:val="nil"/>
              <w:left w:val="nil"/>
              <w:bottom w:val="single" w:sz="4" w:space="0" w:color="auto"/>
              <w:right w:val="single" w:sz="4" w:space="0" w:color="auto"/>
            </w:tcBorders>
            <w:shd w:val="clear" w:color="auto" w:fill="auto"/>
            <w:vAlign w:val="center"/>
            <w:hideMark/>
          </w:tcPr>
          <w:p w14:paraId="1EC4D4ED"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3</w:t>
            </w:r>
          </w:p>
        </w:tc>
        <w:tc>
          <w:tcPr>
            <w:tcW w:w="1096" w:type="dxa"/>
            <w:tcBorders>
              <w:top w:val="nil"/>
              <w:left w:val="nil"/>
              <w:bottom w:val="single" w:sz="4" w:space="0" w:color="auto"/>
              <w:right w:val="single" w:sz="4" w:space="0" w:color="auto"/>
            </w:tcBorders>
            <w:shd w:val="clear" w:color="auto" w:fill="auto"/>
            <w:vAlign w:val="center"/>
            <w:hideMark/>
          </w:tcPr>
          <w:p w14:paraId="00295700"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1,6</w:t>
            </w:r>
          </w:p>
        </w:tc>
        <w:tc>
          <w:tcPr>
            <w:tcW w:w="1149" w:type="dxa"/>
            <w:tcBorders>
              <w:top w:val="nil"/>
              <w:left w:val="nil"/>
              <w:bottom w:val="single" w:sz="4" w:space="0" w:color="auto"/>
              <w:right w:val="single" w:sz="4" w:space="0" w:color="auto"/>
            </w:tcBorders>
            <w:shd w:val="clear" w:color="auto" w:fill="auto"/>
            <w:vAlign w:val="center"/>
            <w:hideMark/>
          </w:tcPr>
          <w:p w14:paraId="4CFB58BE"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2,1</w:t>
            </w:r>
          </w:p>
        </w:tc>
        <w:tc>
          <w:tcPr>
            <w:tcW w:w="1119" w:type="dxa"/>
            <w:tcBorders>
              <w:top w:val="nil"/>
              <w:left w:val="nil"/>
              <w:bottom w:val="single" w:sz="4" w:space="0" w:color="auto"/>
              <w:right w:val="single" w:sz="4" w:space="0" w:color="auto"/>
            </w:tcBorders>
            <w:shd w:val="clear" w:color="auto" w:fill="auto"/>
            <w:vAlign w:val="center"/>
            <w:hideMark/>
          </w:tcPr>
          <w:p w14:paraId="61883E46"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2,4</w:t>
            </w:r>
          </w:p>
        </w:tc>
        <w:tc>
          <w:tcPr>
            <w:tcW w:w="3149" w:type="dxa"/>
            <w:tcBorders>
              <w:top w:val="nil"/>
              <w:left w:val="nil"/>
              <w:bottom w:val="single" w:sz="4" w:space="0" w:color="auto"/>
              <w:right w:val="single" w:sz="4" w:space="0" w:color="auto"/>
            </w:tcBorders>
            <w:shd w:val="clear" w:color="auto" w:fill="auto"/>
            <w:hideMark/>
          </w:tcPr>
          <w:p w14:paraId="42C9F612" w14:textId="77777777" w:rsidR="00322AE9" w:rsidRPr="00322AE9" w:rsidRDefault="00322AE9" w:rsidP="00322AE9">
            <w:pPr>
              <w:ind w:firstLine="0"/>
              <w:jc w:val="left"/>
              <w:rPr>
                <w:rFonts w:eastAsia="Times New Roman" w:cs="Times New Roman"/>
                <w:color w:val="000000"/>
                <w:sz w:val="18"/>
                <w:szCs w:val="18"/>
                <w:lang w:eastAsia="ru-RU"/>
              </w:rPr>
            </w:pPr>
            <w:r w:rsidRPr="00322AE9">
              <w:rPr>
                <w:rFonts w:eastAsia="Times New Roman" w:cs="Times New Roman"/>
                <w:color w:val="000000"/>
                <w:sz w:val="18"/>
                <w:szCs w:val="18"/>
                <w:lang w:eastAsia="ru-RU"/>
              </w:rPr>
              <w:t>СП 44.13330.2011 "Административные и бытовые здания", п.4.3</w:t>
            </w:r>
          </w:p>
        </w:tc>
      </w:tr>
      <w:tr w:rsidR="00322AE9" w:rsidRPr="00322AE9" w14:paraId="382DD2BF" w14:textId="77777777" w:rsidTr="00322AE9">
        <w:trPr>
          <w:trHeight w:val="300"/>
          <w:jc w:val="center"/>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533522DC"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 </w:t>
            </w:r>
          </w:p>
        </w:tc>
        <w:tc>
          <w:tcPr>
            <w:tcW w:w="816" w:type="dxa"/>
            <w:tcBorders>
              <w:top w:val="nil"/>
              <w:left w:val="nil"/>
              <w:bottom w:val="single" w:sz="4" w:space="0" w:color="auto"/>
              <w:right w:val="single" w:sz="4" w:space="0" w:color="auto"/>
            </w:tcBorders>
            <w:shd w:val="clear" w:color="auto" w:fill="auto"/>
            <w:vAlign w:val="center"/>
            <w:hideMark/>
          </w:tcPr>
          <w:p w14:paraId="38872910"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0840</w:t>
            </w:r>
          </w:p>
        </w:tc>
        <w:tc>
          <w:tcPr>
            <w:tcW w:w="2893" w:type="dxa"/>
            <w:tcBorders>
              <w:top w:val="nil"/>
              <w:left w:val="nil"/>
              <w:bottom w:val="single" w:sz="4" w:space="0" w:color="auto"/>
              <w:right w:val="single" w:sz="4" w:space="0" w:color="auto"/>
            </w:tcBorders>
            <w:shd w:val="clear" w:color="auto" w:fill="auto"/>
            <w:vAlign w:val="center"/>
            <w:hideMark/>
          </w:tcPr>
          <w:p w14:paraId="343F2E2B" w14:textId="77777777" w:rsidR="00322AE9" w:rsidRPr="00322AE9" w:rsidRDefault="00322AE9" w:rsidP="00322AE9">
            <w:pPr>
              <w:ind w:firstLine="0"/>
              <w:jc w:val="left"/>
              <w:rPr>
                <w:rFonts w:eastAsia="Times New Roman" w:cs="Times New Roman"/>
                <w:color w:val="000000"/>
                <w:sz w:val="20"/>
                <w:szCs w:val="20"/>
                <w:lang w:eastAsia="ru-RU"/>
              </w:rPr>
            </w:pPr>
            <w:r w:rsidRPr="00322AE9">
              <w:rPr>
                <w:rFonts w:eastAsia="Times New Roman" w:cs="Times New Roman"/>
                <w:color w:val="000000"/>
                <w:sz w:val="20"/>
                <w:szCs w:val="20"/>
                <w:lang w:eastAsia="ru-RU"/>
              </w:rPr>
              <w:t>Обсерватории</w:t>
            </w:r>
          </w:p>
        </w:tc>
        <w:tc>
          <w:tcPr>
            <w:tcW w:w="855" w:type="dxa"/>
            <w:tcBorders>
              <w:top w:val="nil"/>
              <w:left w:val="nil"/>
              <w:bottom w:val="single" w:sz="4" w:space="0" w:color="auto"/>
              <w:right w:val="single" w:sz="4" w:space="0" w:color="auto"/>
            </w:tcBorders>
            <w:shd w:val="clear" w:color="FFFFFF" w:fill="FFFFFF"/>
            <w:vAlign w:val="center"/>
            <w:hideMark/>
          </w:tcPr>
          <w:p w14:paraId="76DAFBEA"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 </w:t>
            </w:r>
          </w:p>
        </w:tc>
        <w:tc>
          <w:tcPr>
            <w:tcW w:w="793" w:type="dxa"/>
            <w:tcBorders>
              <w:top w:val="nil"/>
              <w:left w:val="nil"/>
              <w:bottom w:val="single" w:sz="4" w:space="0" w:color="auto"/>
              <w:right w:val="single" w:sz="4" w:space="0" w:color="auto"/>
            </w:tcBorders>
            <w:shd w:val="clear" w:color="auto" w:fill="auto"/>
            <w:vAlign w:val="center"/>
            <w:hideMark/>
          </w:tcPr>
          <w:p w14:paraId="49FF271C"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3,0</w:t>
            </w:r>
          </w:p>
        </w:tc>
        <w:tc>
          <w:tcPr>
            <w:tcW w:w="992" w:type="dxa"/>
            <w:tcBorders>
              <w:top w:val="nil"/>
              <w:left w:val="nil"/>
              <w:bottom w:val="single" w:sz="4" w:space="0" w:color="auto"/>
              <w:right w:val="single" w:sz="4" w:space="0" w:color="auto"/>
            </w:tcBorders>
            <w:shd w:val="clear" w:color="auto" w:fill="auto"/>
            <w:vAlign w:val="center"/>
            <w:hideMark/>
          </w:tcPr>
          <w:p w14:paraId="5C8C349D"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0,3</w:t>
            </w:r>
          </w:p>
        </w:tc>
        <w:tc>
          <w:tcPr>
            <w:tcW w:w="1030" w:type="dxa"/>
            <w:tcBorders>
              <w:top w:val="nil"/>
              <w:left w:val="nil"/>
              <w:bottom w:val="single" w:sz="4" w:space="0" w:color="auto"/>
              <w:right w:val="single" w:sz="4" w:space="0" w:color="auto"/>
            </w:tcBorders>
            <w:shd w:val="clear" w:color="auto" w:fill="auto"/>
            <w:vAlign w:val="center"/>
            <w:hideMark/>
          </w:tcPr>
          <w:p w14:paraId="09CB43E7"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3,3</w:t>
            </w:r>
          </w:p>
        </w:tc>
        <w:tc>
          <w:tcPr>
            <w:tcW w:w="1096" w:type="dxa"/>
            <w:tcBorders>
              <w:top w:val="nil"/>
              <w:left w:val="nil"/>
              <w:bottom w:val="single" w:sz="4" w:space="0" w:color="auto"/>
              <w:right w:val="single" w:sz="4" w:space="0" w:color="auto"/>
            </w:tcBorders>
            <w:shd w:val="clear" w:color="auto" w:fill="auto"/>
            <w:vAlign w:val="center"/>
            <w:hideMark/>
          </w:tcPr>
          <w:p w14:paraId="55F8B8BA"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1,6</w:t>
            </w:r>
          </w:p>
        </w:tc>
        <w:tc>
          <w:tcPr>
            <w:tcW w:w="1149" w:type="dxa"/>
            <w:tcBorders>
              <w:top w:val="nil"/>
              <w:left w:val="nil"/>
              <w:bottom w:val="single" w:sz="4" w:space="0" w:color="auto"/>
              <w:right w:val="single" w:sz="4" w:space="0" w:color="auto"/>
            </w:tcBorders>
            <w:shd w:val="clear" w:color="auto" w:fill="auto"/>
            <w:vAlign w:val="center"/>
            <w:hideMark/>
          </w:tcPr>
          <w:p w14:paraId="41D3A02C"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2,1</w:t>
            </w:r>
          </w:p>
        </w:tc>
        <w:tc>
          <w:tcPr>
            <w:tcW w:w="1119" w:type="dxa"/>
            <w:tcBorders>
              <w:top w:val="nil"/>
              <w:left w:val="nil"/>
              <w:bottom w:val="single" w:sz="4" w:space="0" w:color="auto"/>
              <w:right w:val="single" w:sz="4" w:space="0" w:color="auto"/>
            </w:tcBorders>
            <w:shd w:val="clear" w:color="auto" w:fill="auto"/>
            <w:vAlign w:val="center"/>
            <w:hideMark/>
          </w:tcPr>
          <w:p w14:paraId="6EB48156"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2,4</w:t>
            </w:r>
          </w:p>
        </w:tc>
        <w:tc>
          <w:tcPr>
            <w:tcW w:w="3149" w:type="dxa"/>
            <w:tcBorders>
              <w:top w:val="nil"/>
              <w:left w:val="nil"/>
              <w:bottom w:val="single" w:sz="4" w:space="0" w:color="auto"/>
              <w:right w:val="single" w:sz="4" w:space="0" w:color="auto"/>
            </w:tcBorders>
            <w:shd w:val="clear" w:color="auto" w:fill="auto"/>
            <w:hideMark/>
          </w:tcPr>
          <w:p w14:paraId="1DD2B9C7" w14:textId="77777777" w:rsidR="00322AE9" w:rsidRPr="00322AE9" w:rsidRDefault="00322AE9" w:rsidP="00322AE9">
            <w:pPr>
              <w:ind w:firstLine="0"/>
              <w:jc w:val="left"/>
              <w:rPr>
                <w:rFonts w:eastAsia="Times New Roman" w:cs="Times New Roman"/>
                <w:color w:val="000000"/>
                <w:sz w:val="18"/>
                <w:szCs w:val="18"/>
                <w:lang w:eastAsia="ru-RU"/>
              </w:rPr>
            </w:pPr>
            <w:r w:rsidRPr="00322AE9">
              <w:rPr>
                <w:rFonts w:eastAsia="Times New Roman" w:cs="Times New Roman"/>
                <w:color w:val="000000"/>
                <w:sz w:val="18"/>
                <w:szCs w:val="18"/>
                <w:lang w:eastAsia="ru-RU"/>
              </w:rPr>
              <w:t xml:space="preserve">СП 118.13330.2012 "Общественные здания", п.4.5; </w:t>
            </w:r>
          </w:p>
        </w:tc>
      </w:tr>
      <w:tr w:rsidR="00322AE9" w:rsidRPr="00322AE9" w14:paraId="07406032" w14:textId="77777777" w:rsidTr="00322AE9">
        <w:trPr>
          <w:trHeight w:val="1020"/>
          <w:jc w:val="center"/>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50FABFDA"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 </w:t>
            </w:r>
          </w:p>
        </w:tc>
        <w:tc>
          <w:tcPr>
            <w:tcW w:w="816" w:type="dxa"/>
            <w:tcBorders>
              <w:top w:val="nil"/>
              <w:left w:val="nil"/>
              <w:bottom w:val="single" w:sz="4" w:space="0" w:color="auto"/>
              <w:right w:val="single" w:sz="4" w:space="0" w:color="auto"/>
            </w:tcBorders>
            <w:shd w:val="clear" w:color="auto" w:fill="auto"/>
            <w:vAlign w:val="center"/>
            <w:hideMark/>
          </w:tcPr>
          <w:p w14:paraId="3E9EFF90"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0841</w:t>
            </w:r>
          </w:p>
        </w:tc>
        <w:tc>
          <w:tcPr>
            <w:tcW w:w="2893" w:type="dxa"/>
            <w:tcBorders>
              <w:top w:val="nil"/>
              <w:left w:val="nil"/>
              <w:bottom w:val="single" w:sz="4" w:space="0" w:color="auto"/>
              <w:right w:val="single" w:sz="4" w:space="0" w:color="auto"/>
            </w:tcBorders>
            <w:shd w:val="clear" w:color="auto" w:fill="auto"/>
            <w:vAlign w:val="center"/>
            <w:hideMark/>
          </w:tcPr>
          <w:p w14:paraId="74BF0A55" w14:textId="77777777" w:rsidR="00322AE9" w:rsidRPr="00322AE9" w:rsidRDefault="00322AE9" w:rsidP="00322AE9">
            <w:pPr>
              <w:ind w:firstLine="0"/>
              <w:jc w:val="left"/>
              <w:rPr>
                <w:rFonts w:eastAsia="Times New Roman" w:cs="Times New Roman"/>
                <w:color w:val="000000"/>
                <w:sz w:val="20"/>
                <w:szCs w:val="20"/>
                <w:lang w:eastAsia="ru-RU"/>
              </w:rPr>
            </w:pPr>
            <w:r w:rsidRPr="00322AE9">
              <w:rPr>
                <w:rFonts w:eastAsia="Times New Roman" w:cs="Times New Roman"/>
                <w:color w:val="000000"/>
                <w:sz w:val="20"/>
                <w:szCs w:val="20"/>
                <w:lang w:eastAsia="ru-RU"/>
              </w:rPr>
              <w:t>Административные здания государственных учреждений управления, включая здания администраций, Министерство внутренних дел Российской Федерации, судов, прокуратуры</w:t>
            </w:r>
          </w:p>
        </w:tc>
        <w:tc>
          <w:tcPr>
            <w:tcW w:w="855" w:type="dxa"/>
            <w:tcBorders>
              <w:top w:val="nil"/>
              <w:left w:val="nil"/>
              <w:bottom w:val="single" w:sz="4" w:space="0" w:color="auto"/>
              <w:right w:val="single" w:sz="4" w:space="0" w:color="auto"/>
            </w:tcBorders>
            <w:shd w:val="clear" w:color="FFFFFF" w:fill="FFFFFF"/>
            <w:vAlign w:val="center"/>
            <w:hideMark/>
          </w:tcPr>
          <w:p w14:paraId="5FFC429B"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 </w:t>
            </w:r>
          </w:p>
        </w:tc>
        <w:tc>
          <w:tcPr>
            <w:tcW w:w="793" w:type="dxa"/>
            <w:tcBorders>
              <w:top w:val="nil"/>
              <w:left w:val="nil"/>
              <w:bottom w:val="single" w:sz="4" w:space="0" w:color="auto"/>
              <w:right w:val="single" w:sz="4" w:space="0" w:color="auto"/>
            </w:tcBorders>
            <w:shd w:val="clear" w:color="auto" w:fill="auto"/>
            <w:vAlign w:val="center"/>
            <w:hideMark/>
          </w:tcPr>
          <w:p w14:paraId="6B942B84"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3,0</w:t>
            </w:r>
          </w:p>
        </w:tc>
        <w:tc>
          <w:tcPr>
            <w:tcW w:w="992" w:type="dxa"/>
            <w:tcBorders>
              <w:top w:val="nil"/>
              <w:left w:val="nil"/>
              <w:bottom w:val="single" w:sz="4" w:space="0" w:color="auto"/>
              <w:right w:val="single" w:sz="4" w:space="0" w:color="auto"/>
            </w:tcBorders>
            <w:shd w:val="clear" w:color="auto" w:fill="auto"/>
            <w:vAlign w:val="center"/>
            <w:hideMark/>
          </w:tcPr>
          <w:p w14:paraId="2E5666C8"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0,3</w:t>
            </w:r>
          </w:p>
        </w:tc>
        <w:tc>
          <w:tcPr>
            <w:tcW w:w="1030" w:type="dxa"/>
            <w:tcBorders>
              <w:top w:val="nil"/>
              <w:left w:val="nil"/>
              <w:bottom w:val="single" w:sz="4" w:space="0" w:color="auto"/>
              <w:right w:val="single" w:sz="4" w:space="0" w:color="auto"/>
            </w:tcBorders>
            <w:shd w:val="clear" w:color="auto" w:fill="auto"/>
            <w:vAlign w:val="center"/>
            <w:hideMark/>
          </w:tcPr>
          <w:p w14:paraId="43B1DC00"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3,3</w:t>
            </w:r>
          </w:p>
        </w:tc>
        <w:tc>
          <w:tcPr>
            <w:tcW w:w="1096" w:type="dxa"/>
            <w:tcBorders>
              <w:top w:val="nil"/>
              <w:left w:val="nil"/>
              <w:bottom w:val="single" w:sz="4" w:space="0" w:color="auto"/>
              <w:right w:val="single" w:sz="4" w:space="0" w:color="auto"/>
            </w:tcBorders>
            <w:shd w:val="clear" w:color="auto" w:fill="auto"/>
            <w:vAlign w:val="center"/>
            <w:hideMark/>
          </w:tcPr>
          <w:p w14:paraId="1951C192"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1,6</w:t>
            </w:r>
          </w:p>
        </w:tc>
        <w:tc>
          <w:tcPr>
            <w:tcW w:w="1149" w:type="dxa"/>
            <w:tcBorders>
              <w:top w:val="nil"/>
              <w:left w:val="nil"/>
              <w:bottom w:val="single" w:sz="4" w:space="0" w:color="auto"/>
              <w:right w:val="single" w:sz="4" w:space="0" w:color="auto"/>
            </w:tcBorders>
            <w:shd w:val="clear" w:color="auto" w:fill="auto"/>
            <w:vAlign w:val="center"/>
            <w:hideMark/>
          </w:tcPr>
          <w:p w14:paraId="707BC225"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2,1</w:t>
            </w:r>
          </w:p>
        </w:tc>
        <w:tc>
          <w:tcPr>
            <w:tcW w:w="1119" w:type="dxa"/>
            <w:tcBorders>
              <w:top w:val="nil"/>
              <w:left w:val="nil"/>
              <w:bottom w:val="single" w:sz="4" w:space="0" w:color="auto"/>
              <w:right w:val="single" w:sz="4" w:space="0" w:color="auto"/>
            </w:tcBorders>
            <w:shd w:val="clear" w:color="auto" w:fill="auto"/>
            <w:vAlign w:val="center"/>
            <w:hideMark/>
          </w:tcPr>
          <w:p w14:paraId="56D409EA"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2,4</w:t>
            </w:r>
          </w:p>
        </w:tc>
        <w:tc>
          <w:tcPr>
            <w:tcW w:w="3149" w:type="dxa"/>
            <w:tcBorders>
              <w:top w:val="nil"/>
              <w:left w:val="nil"/>
              <w:bottom w:val="single" w:sz="4" w:space="0" w:color="auto"/>
              <w:right w:val="single" w:sz="4" w:space="0" w:color="auto"/>
            </w:tcBorders>
            <w:shd w:val="clear" w:color="auto" w:fill="auto"/>
            <w:hideMark/>
          </w:tcPr>
          <w:p w14:paraId="1F8D353E" w14:textId="77777777" w:rsidR="00322AE9" w:rsidRPr="00322AE9" w:rsidRDefault="00322AE9" w:rsidP="00322AE9">
            <w:pPr>
              <w:ind w:firstLine="0"/>
              <w:jc w:val="left"/>
              <w:rPr>
                <w:rFonts w:eastAsia="Times New Roman" w:cs="Times New Roman"/>
                <w:color w:val="000000"/>
                <w:sz w:val="18"/>
                <w:szCs w:val="18"/>
                <w:lang w:eastAsia="ru-RU"/>
              </w:rPr>
            </w:pPr>
            <w:r w:rsidRPr="00322AE9">
              <w:rPr>
                <w:rFonts w:eastAsia="Times New Roman" w:cs="Times New Roman"/>
                <w:color w:val="000000"/>
                <w:sz w:val="18"/>
                <w:szCs w:val="18"/>
                <w:lang w:eastAsia="ru-RU"/>
              </w:rPr>
              <w:t>СП 44.13330.2011 "Административные и бытовые здания", п.4.3</w:t>
            </w:r>
          </w:p>
        </w:tc>
      </w:tr>
      <w:tr w:rsidR="00322AE9" w:rsidRPr="00322AE9" w14:paraId="5AB1174C" w14:textId="77777777" w:rsidTr="00322AE9">
        <w:trPr>
          <w:trHeight w:val="480"/>
          <w:jc w:val="center"/>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4BB71B61"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 </w:t>
            </w:r>
          </w:p>
        </w:tc>
        <w:tc>
          <w:tcPr>
            <w:tcW w:w="816" w:type="dxa"/>
            <w:tcBorders>
              <w:top w:val="nil"/>
              <w:left w:val="nil"/>
              <w:bottom w:val="single" w:sz="4" w:space="0" w:color="auto"/>
              <w:right w:val="single" w:sz="4" w:space="0" w:color="auto"/>
            </w:tcBorders>
            <w:shd w:val="clear" w:color="auto" w:fill="auto"/>
            <w:vAlign w:val="center"/>
            <w:hideMark/>
          </w:tcPr>
          <w:p w14:paraId="4AA24170"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0842</w:t>
            </w:r>
          </w:p>
        </w:tc>
        <w:tc>
          <w:tcPr>
            <w:tcW w:w="2893" w:type="dxa"/>
            <w:tcBorders>
              <w:top w:val="nil"/>
              <w:left w:val="nil"/>
              <w:bottom w:val="single" w:sz="4" w:space="0" w:color="auto"/>
              <w:right w:val="single" w:sz="4" w:space="0" w:color="auto"/>
            </w:tcBorders>
            <w:shd w:val="clear" w:color="auto" w:fill="auto"/>
            <w:vAlign w:val="center"/>
            <w:hideMark/>
          </w:tcPr>
          <w:p w14:paraId="4DB5406D" w14:textId="77777777" w:rsidR="00322AE9" w:rsidRPr="00322AE9" w:rsidRDefault="00322AE9" w:rsidP="00322AE9">
            <w:pPr>
              <w:ind w:firstLine="0"/>
              <w:jc w:val="left"/>
              <w:rPr>
                <w:rFonts w:eastAsia="Times New Roman" w:cs="Times New Roman"/>
                <w:color w:val="000000"/>
                <w:sz w:val="20"/>
                <w:szCs w:val="20"/>
                <w:lang w:eastAsia="ru-RU"/>
              </w:rPr>
            </w:pPr>
            <w:r w:rsidRPr="00322AE9">
              <w:rPr>
                <w:rFonts w:eastAsia="Times New Roman" w:cs="Times New Roman"/>
                <w:color w:val="000000"/>
                <w:sz w:val="20"/>
                <w:szCs w:val="20"/>
                <w:lang w:eastAsia="ru-RU"/>
              </w:rPr>
              <w:t>Дома престарелых</w:t>
            </w:r>
          </w:p>
        </w:tc>
        <w:tc>
          <w:tcPr>
            <w:tcW w:w="855" w:type="dxa"/>
            <w:tcBorders>
              <w:top w:val="nil"/>
              <w:left w:val="nil"/>
              <w:bottom w:val="single" w:sz="4" w:space="0" w:color="auto"/>
              <w:right w:val="single" w:sz="4" w:space="0" w:color="auto"/>
            </w:tcBorders>
            <w:shd w:val="clear" w:color="FFFFFF" w:fill="FFFFFF"/>
            <w:vAlign w:val="center"/>
            <w:hideMark/>
          </w:tcPr>
          <w:p w14:paraId="3D756E2A"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 </w:t>
            </w:r>
          </w:p>
        </w:tc>
        <w:tc>
          <w:tcPr>
            <w:tcW w:w="793" w:type="dxa"/>
            <w:tcBorders>
              <w:top w:val="nil"/>
              <w:left w:val="nil"/>
              <w:bottom w:val="single" w:sz="4" w:space="0" w:color="auto"/>
              <w:right w:val="single" w:sz="4" w:space="0" w:color="auto"/>
            </w:tcBorders>
            <w:shd w:val="clear" w:color="auto" w:fill="auto"/>
            <w:vAlign w:val="center"/>
            <w:hideMark/>
          </w:tcPr>
          <w:p w14:paraId="5D100F8E"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2,7</w:t>
            </w:r>
          </w:p>
        </w:tc>
        <w:tc>
          <w:tcPr>
            <w:tcW w:w="992" w:type="dxa"/>
            <w:tcBorders>
              <w:top w:val="nil"/>
              <w:left w:val="nil"/>
              <w:bottom w:val="single" w:sz="4" w:space="0" w:color="auto"/>
              <w:right w:val="single" w:sz="4" w:space="0" w:color="auto"/>
            </w:tcBorders>
            <w:shd w:val="clear" w:color="auto" w:fill="auto"/>
            <w:vAlign w:val="center"/>
            <w:hideMark/>
          </w:tcPr>
          <w:p w14:paraId="4C31B3AB"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0,3</w:t>
            </w:r>
          </w:p>
        </w:tc>
        <w:tc>
          <w:tcPr>
            <w:tcW w:w="1030" w:type="dxa"/>
            <w:tcBorders>
              <w:top w:val="nil"/>
              <w:left w:val="nil"/>
              <w:bottom w:val="single" w:sz="4" w:space="0" w:color="auto"/>
              <w:right w:val="single" w:sz="4" w:space="0" w:color="auto"/>
            </w:tcBorders>
            <w:shd w:val="clear" w:color="auto" w:fill="auto"/>
            <w:vAlign w:val="center"/>
            <w:hideMark/>
          </w:tcPr>
          <w:p w14:paraId="29C69558"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3,0</w:t>
            </w:r>
          </w:p>
        </w:tc>
        <w:tc>
          <w:tcPr>
            <w:tcW w:w="1096" w:type="dxa"/>
            <w:tcBorders>
              <w:top w:val="nil"/>
              <w:left w:val="nil"/>
              <w:bottom w:val="single" w:sz="4" w:space="0" w:color="auto"/>
              <w:right w:val="single" w:sz="4" w:space="0" w:color="auto"/>
            </w:tcBorders>
            <w:shd w:val="clear" w:color="auto" w:fill="auto"/>
            <w:vAlign w:val="center"/>
            <w:hideMark/>
          </w:tcPr>
          <w:p w14:paraId="425C0BDD"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1,6</w:t>
            </w:r>
          </w:p>
        </w:tc>
        <w:tc>
          <w:tcPr>
            <w:tcW w:w="1149" w:type="dxa"/>
            <w:tcBorders>
              <w:top w:val="nil"/>
              <w:left w:val="nil"/>
              <w:bottom w:val="single" w:sz="4" w:space="0" w:color="auto"/>
              <w:right w:val="single" w:sz="4" w:space="0" w:color="auto"/>
            </w:tcBorders>
            <w:shd w:val="clear" w:color="auto" w:fill="auto"/>
            <w:vAlign w:val="center"/>
            <w:hideMark/>
          </w:tcPr>
          <w:p w14:paraId="603FEE48"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2,1</w:t>
            </w:r>
          </w:p>
        </w:tc>
        <w:tc>
          <w:tcPr>
            <w:tcW w:w="1119" w:type="dxa"/>
            <w:tcBorders>
              <w:top w:val="nil"/>
              <w:left w:val="nil"/>
              <w:bottom w:val="single" w:sz="4" w:space="0" w:color="auto"/>
              <w:right w:val="single" w:sz="4" w:space="0" w:color="auto"/>
            </w:tcBorders>
            <w:shd w:val="clear" w:color="auto" w:fill="auto"/>
            <w:vAlign w:val="center"/>
            <w:hideMark/>
          </w:tcPr>
          <w:p w14:paraId="0FA52790"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2,4</w:t>
            </w:r>
          </w:p>
        </w:tc>
        <w:tc>
          <w:tcPr>
            <w:tcW w:w="3149" w:type="dxa"/>
            <w:tcBorders>
              <w:top w:val="nil"/>
              <w:left w:val="nil"/>
              <w:bottom w:val="single" w:sz="4" w:space="0" w:color="auto"/>
              <w:right w:val="single" w:sz="4" w:space="0" w:color="auto"/>
            </w:tcBorders>
            <w:shd w:val="clear" w:color="auto" w:fill="auto"/>
            <w:hideMark/>
          </w:tcPr>
          <w:p w14:paraId="4DEB65E6" w14:textId="77777777" w:rsidR="00322AE9" w:rsidRPr="00322AE9" w:rsidRDefault="00322AE9" w:rsidP="00322AE9">
            <w:pPr>
              <w:ind w:firstLine="0"/>
              <w:jc w:val="left"/>
              <w:rPr>
                <w:rFonts w:eastAsia="Times New Roman" w:cs="Times New Roman"/>
                <w:color w:val="000000"/>
                <w:sz w:val="18"/>
                <w:szCs w:val="18"/>
                <w:lang w:eastAsia="ru-RU"/>
              </w:rPr>
            </w:pPr>
            <w:r w:rsidRPr="00322AE9">
              <w:rPr>
                <w:rFonts w:eastAsia="Times New Roman" w:cs="Times New Roman"/>
                <w:color w:val="000000"/>
                <w:sz w:val="18"/>
                <w:szCs w:val="18"/>
                <w:lang w:eastAsia="ru-RU"/>
              </w:rPr>
              <w:t>СП 118.13330.2012 "Общественные здания", п.4.5; СП 54.13330.2016  "Здания  жилые многоквартирные" п.5.8</w:t>
            </w:r>
          </w:p>
        </w:tc>
      </w:tr>
      <w:tr w:rsidR="00322AE9" w:rsidRPr="00322AE9" w14:paraId="29A6B860" w14:textId="77777777" w:rsidTr="00322AE9">
        <w:trPr>
          <w:trHeight w:val="480"/>
          <w:jc w:val="center"/>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56D7AA48"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 </w:t>
            </w:r>
          </w:p>
        </w:tc>
        <w:tc>
          <w:tcPr>
            <w:tcW w:w="816" w:type="dxa"/>
            <w:tcBorders>
              <w:top w:val="nil"/>
              <w:left w:val="nil"/>
              <w:bottom w:val="single" w:sz="4" w:space="0" w:color="auto"/>
              <w:right w:val="single" w:sz="4" w:space="0" w:color="auto"/>
            </w:tcBorders>
            <w:shd w:val="clear" w:color="auto" w:fill="auto"/>
            <w:vAlign w:val="center"/>
            <w:hideMark/>
          </w:tcPr>
          <w:p w14:paraId="2AAC66AC"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0843</w:t>
            </w:r>
          </w:p>
        </w:tc>
        <w:tc>
          <w:tcPr>
            <w:tcW w:w="2893" w:type="dxa"/>
            <w:tcBorders>
              <w:top w:val="nil"/>
              <w:left w:val="nil"/>
              <w:bottom w:val="single" w:sz="4" w:space="0" w:color="auto"/>
              <w:right w:val="single" w:sz="4" w:space="0" w:color="auto"/>
            </w:tcBorders>
            <w:shd w:val="clear" w:color="auto" w:fill="auto"/>
            <w:vAlign w:val="center"/>
            <w:hideMark/>
          </w:tcPr>
          <w:p w14:paraId="32EB9825" w14:textId="77777777" w:rsidR="00322AE9" w:rsidRPr="00322AE9" w:rsidRDefault="00322AE9" w:rsidP="00322AE9">
            <w:pPr>
              <w:ind w:firstLine="0"/>
              <w:jc w:val="left"/>
              <w:rPr>
                <w:rFonts w:eastAsia="Times New Roman" w:cs="Times New Roman"/>
                <w:color w:val="000000"/>
                <w:sz w:val="20"/>
                <w:szCs w:val="20"/>
                <w:lang w:eastAsia="ru-RU"/>
              </w:rPr>
            </w:pPr>
            <w:r w:rsidRPr="00322AE9">
              <w:rPr>
                <w:rFonts w:eastAsia="Times New Roman" w:cs="Times New Roman"/>
                <w:color w:val="000000"/>
                <w:sz w:val="20"/>
                <w:szCs w:val="20"/>
                <w:lang w:eastAsia="ru-RU"/>
              </w:rPr>
              <w:t>Дома инвалидов</w:t>
            </w:r>
          </w:p>
        </w:tc>
        <w:tc>
          <w:tcPr>
            <w:tcW w:w="855" w:type="dxa"/>
            <w:tcBorders>
              <w:top w:val="nil"/>
              <w:left w:val="nil"/>
              <w:bottom w:val="single" w:sz="4" w:space="0" w:color="auto"/>
              <w:right w:val="single" w:sz="4" w:space="0" w:color="auto"/>
            </w:tcBorders>
            <w:shd w:val="clear" w:color="FFFFFF" w:fill="FFFFFF"/>
            <w:vAlign w:val="center"/>
            <w:hideMark/>
          </w:tcPr>
          <w:p w14:paraId="13389E1C"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 </w:t>
            </w:r>
          </w:p>
        </w:tc>
        <w:tc>
          <w:tcPr>
            <w:tcW w:w="793" w:type="dxa"/>
            <w:tcBorders>
              <w:top w:val="nil"/>
              <w:left w:val="nil"/>
              <w:bottom w:val="single" w:sz="4" w:space="0" w:color="auto"/>
              <w:right w:val="single" w:sz="4" w:space="0" w:color="auto"/>
            </w:tcBorders>
            <w:shd w:val="clear" w:color="auto" w:fill="auto"/>
            <w:vAlign w:val="center"/>
            <w:hideMark/>
          </w:tcPr>
          <w:p w14:paraId="7E164367"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2,7</w:t>
            </w:r>
          </w:p>
        </w:tc>
        <w:tc>
          <w:tcPr>
            <w:tcW w:w="992" w:type="dxa"/>
            <w:tcBorders>
              <w:top w:val="nil"/>
              <w:left w:val="nil"/>
              <w:bottom w:val="single" w:sz="4" w:space="0" w:color="auto"/>
              <w:right w:val="single" w:sz="4" w:space="0" w:color="auto"/>
            </w:tcBorders>
            <w:shd w:val="clear" w:color="auto" w:fill="auto"/>
            <w:vAlign w:val="center"/>
            <w:hideMark/>
          </w:tcPr>
          <w:p w14:paraId="3724BF34"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0,3</w:t>
            </w:r>
          </w:p>
        </w:tc>
        <w:tc>
          <w:tcPr>
            <w:tcW w:w="1030" w:type="dxa"/>
            <w:tcBorders>
              <w:top w:val="nil"/>
              <w:left w:val="nil"/>
              <w:bottom w:val="single" w:sz="4" w:space="0" w:color="auto"/>
              <w:right w:val="single" w:sz="4" w:space="0" w:color="auto"/>
            </w:tcBorders>
            <w:shd w:val="clear" w:color="auto" w:fill="auto"/>
            <w:vAlign w:val="center"/>
            <w:hideMark/>
          </w:tcPr>
          <w:p w14:paraId="17C8003D"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3,0</w:t>
            </w:r>
          </w:p>
        </w:tc>
        <w:tc>
          <w:tcPr>
            <w:tcW w:w="1096" w:type="dxa"/>
            <w:tcBorders>
              <w:top w:val="nil"/>
              <w:left w:val="nil"/>
              <w:bottom w:val="single" w:sz="4" w:space="0" w:color="auto"/>
              <w:right w:val="single" w:sz="4" w:space="0" w:color="auto"/>
            </w:tcBorders>
            <w:shd w:val="clear" w:color="auto" w:fill="auto"/>
            <w:vAlign w:val="center"/>
            <w:hideMark/>
          </w:tcPr>
          <w:p w14:paraId="6EBDEF89"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1,6</w:t>
            </w:r>
          </w:p>
        </w:tc>
        <w:tc>
          <w:tcPr>
            <w:tcW w:w="1149" w:type="dxa"/>
            <w:tcBorders>
              <w:top w:val="nil"/>
              <w:left w:val="nil"/>
              <w:bottom w:val="single" w:sz="4" w:space="0" w:color="auto"/>
              <w:right w:val="single" w:sz="4" w:space="0" w:color="auto"/>
            </w:tcBorders>
            <w:shd w:val="clear" w:color="auto" w:fill="auto"/>
            <w:vAlign w:val="center"/>
            <w:hideMark/>
          </w:tcPr>
          <w:p w14:paraId="079B50A3"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2,1</w:t>
            </w:r>
          </w:p>
        </w:tc>
        <w:tc>
          <w:tcPr>
            <w:tcW w:w="1119" w:type="dxa"/>
            <w:tcBorders>
              <w:top w:val="nil"/>
              <w:left w:val="nil"/>
              <w:bottom w:val="single" w:sz="4" w:space="0" w:color="auto"/>
              <w:right w:val="single" w:sz="4" w:space="0" w:color="auto"/>
            </w:tcBorders>
            <w:shd w:val="clear" w:color="auto" w:fill="auto"/>
            <w:vAlign w:val="center"/>
            <w:hideMark/>
          </w:tcPr>
          <w:p w14:paraId="6C71260C"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2,4</w:t>
            </w:r>
          </w:p>
        </w:tc>
        <w:tc>
          <w:tcPr>
            <w:tcW w:w="3149" w:type="dxa"/>
            <w:tcBorders>
              <w:top w:val="nil"/>
              <w:left w:val="nil"/>
              <w:bottom w:val="single" w:sz="4" w:space="0" w:color="auto"/>
              <w:right w:val="single" w:sz="4" w:space="0" w:color="auto"/>
            </w:tcBorders>
            <w:shd w:val="clear" w:color="auto" w:fill="auto"/>
            <w:hideMark/>
          </w:tcPr>
          <w:p w14:paraId="4BCD9A56" w14:textId="77777777" w:rsidR="00322AE9" w:rsidRPr="00322AE9" w:rsidRDefault="00322AE9" w:rsidP="00322AE9">
            <w:pPr>
              <w:ind w:firstLine="0"/>
              <w:jc w:val="left"/>
              <w:rPr>
                <w:rFonts w:eastAsia="Times New Roman" w:cs="Times New Roman"/>
                <w:color w:val="000000"/>
                <w:sz w:val="18"/>
                <w:szCs w:val="18"/>
                <w:lang w:eastAsia="ru-RU"/>
              </w:rPr>
            </w:pPr>
            <w:r w:rsidRPr="00322AE9">
              <w:rPr>
                <w:rFonts w:eastAsia="Times New Roman" w:cs="Times New Roman"/>
                <w:color w:val="000000"/>
                <w:sz w:val="18"/>
                <w:szCs w:val="18"/>
                <w:lang w:eastAsia="ru-RU"/>
              </w:rPr>
              <w:t>СП 118.13330.2012 "Общественные здания", п.4.5; СП 54.13330.2016  "Здания  жилые многоквартирные" п.5.9</w:t>
            </w:r>
          </w:p>
        </w:tc>
      </w:tr>
      <w:tr w:rsidR="00322AE9" w:rsidRPr="00322AE9" w14:paraId="50A989DA" w14:textId="77777777" w:rsidTr="00322AE9">
        <w:trPr>
          <w:trHeight w:val="300"/>
          <w:jc w:val="center"/>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7BFBFA43"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 </w:t>
            </w:r>
          </w:p>
        </w:tc>
        <w:tc>
          <w:tcPr>
            <w:tcW w:w="816" w:type="dxa"/>
            <w:tcBorders>
              <w:top w:val="nil"/>
              <w:left w:val="nil"/>
              <w:bottom w:val="single" w:sz="4" w:space="0" w:color="auto"/>
              <w:right w:val="single" w:sz="4" w:space="0" w:color="auto"/>
            </w:tcBorders>
            <w:shd w:val="clear" w:color="auto" w:fill="auto"/>
            <w:vAlign w:val="center"/>
            <w:hideMark/>
          </w:tcPr>
          <w:p w14:paraId="0CBCCFCF"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0844</w:t>
            </w:r>
          </w:p>
        </w:tc>
        <w:tc>
          <w:tcPr>
            <w:tcW w:w="2893" w:type="dxa"/>
            <w:tcBorders>
              <w:top w:val="nil"/>
              <w:left w:val="nil"/>
              <w:bottom w:val="single" w:sz="4" w:space="0" w:color="auto"/>
              <w:right w:val="single" w:sz="4" w:space="0" w:color="auto"/>
            </w:tcBorders>
            <w:shd w:val="clear" w:color="auto" w:fill="auto"/>
            <w:vAlign w:val="center"/>
            <w:hideMark/>
          </w:tcPr>
          <w:p w14:paraId="427CE83A" w14:textId="77777777" w:rsidR="00322AE9" w:rsidRPr="00322AE9" w:rsidRDefault="00322AE9" w:rsidP="00322AE9">
            <w:pPr>
              <w:ind w:firstLine="0"/>
              <w:jc w:val="left"/>
              <w:rPr>
                <w:rFonts w:eastAsia="Times New Roman" w:cs="Times New Roman"/>
                <w:color w:val="000000"/>
                <w:sz w:val="20"/>
                <w:szCs w:val="20"/>
                <w:lang w:eastAsia="ru-RU"/>
              </w:rPr>
            </w:pPr>
            <w:r w:rsidRPr="00322AE9">
              <w:rPr>
                <w:rFonts w:eastAsia="Times New Roman" w:cs="Times New Roman"/>
                <w:color w:val="000000"/>
                <w:sz w:val="20"/>
                <w:szCs w:val="20"/>
                <w:lang w:eastAsia="ru-RU"/>
              </w:rPr>
              <w:t>Автовокзалы</w:t>
            </w:r>
          </w:p>
        </w:tc>
        <w:tc>
          <w:tcPr>
            <w:tcW w:w="855" w:type="dxa"/>
            <w:tcBorders>
              <w:top w:val="nil"/>
              <w:left w:val="nil"/>
              <w:bottom w:val="single" w:sz="4" w:space="0" w:color="auto"/>
              <w:right w:val="single" w:sz="4" w:space="0" w:color="auto"/>
            </w:tcBorders>
            <w:shd w:val="clear" w:color="FFFFFF" w:fill="FFFFFF"/>
            <w:vAlign w:val="center"/>
            <w:hideMark/>
          </w:tcPr>
          <w:p w14:paraId="4CE5E378"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 </w:t>
            </w:r>
          </w:p>
        </w:tc>
        <w:tc>
          <w:tcPr>
            <w:tcW w:w="793" w:type="dxa"/>
            <w:tcBorders>
              <w:top w:val="nil"/>
              <w:left w:val="nil"/>
              <w:bottom w:val="single" w:sz="4" w:space="0" w:color="auto"/>
              <w:right w:val="single" w:sz="4" w:space="0" w:color="auto"/>
            </w:tcBorders>
            <w:shd w:val="clear" w:color="auto" w:fill="auto"/>
            <w:vAlign w:val="center"/>
            <w:hideMark/>
          </w:tcPr>
          <w:p w14:paraId="2A5449BD"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3,6</w:t>
            </w:r>
          </w:p>
        </w:tc>
        <w:tc>
          <w:tcPr>
            <w:tcW w:w="992" w:type="dxa"/>
            <w:tcBorders>
              <w:top w:val="nil"/>
              <w:left w:val="nil"/>
              <w:bottom w:val="single" w:sz="4" w:space="0" w:color="auto"/>
              <w:right w:val="single" w:sz="4" w:space="0" w:color="auto"/>
            </w:tcBorders>
            <w:shd w:val="clear" w:color="auto" w:fill="auto"/>
            <w:vAlign w:val="center"/>
            <w:hideMark/>
          </w:tcPr>
          <w:p w14:paraId="7E9D94A6"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0,3</w:t>
            </w:r>
          </w:p>
        </w:tc>
        <w:tc>
          <w:tcPr>
            <w:tcW w:w="1030" w:type="dxa"/>
            <w:tcBorders>
              <w:top w:val="nil"/>
              <w:left w:val="nil"/>
              <w:bottom w:val="single" w:sz="4" w:space="0" w:color="auto"/>
              <w:right w:val="single" w:sz="4" w:space="0" w:color="auto"/>
            </w:tcBorders>
            <w:shd w:val="clear" w:color="auto" w:fill="auto"/>
            <w:vAlign w:val="center"/>
            <w:hideMark/>
          </w:tcPr>
          <w:p w14:paraId="7E5C9EF5"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3,9</w:t>
            </w:r>
          </w:p>
        </w:tc>
        <w:tc>
          <w:tcPr>
            <w:tcW w:w="1096" w:type="dxa"/>
            <w:tcBorders>
              <w:top w:val="nil"/>
              <w:left w:val="nil"/>
              <w:bottom w:val="single" w:sz="4" w:space="0" w:color="auto"/>
              <w:right w:val="single" w:sz="4" w:space="0" w:color="auto"/>
            </w:tcBorders>
            <w:shd w:val="clear" w:color="auto" w:fill="auto"/>
            <w:vAlign w:val="center"/>
            <w:hideMark/>
          </w:tcPr>
          <w:p w14:paraId="424B2A8B"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1,6</w:t>
            </w:r>
          </w:p>
        </w:tc>
        <w:tc>
          <w:tcPr>
            <w:tcW w:w="1149" w:type="dxa"/>
            <w:tcBorders>
              <w:top w:val="nil"/>
              <w:left w:val="nil"/>
              <w:bottom w:val="single" w:sz="4" w:space="0" w:color="auto"/>
              <w:right w:val="single" w:sz="4" w:space="0" w:color="auto"/>
            </w:tcBorders>
            <w:shd w:val="clear" w:color="auto" w:fill="auto"/>
            <w:vAlign w:val="center"/>
            <w:hideMark/>
          </w:tcPr>
          <w:p w14:paraId="58ABF4FB"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2,1</w:t>
            </w:r>
          </w:p>
        </w:tc>
        <w:tc>
          <w:tcPr>
            <w:tcW w:w="1119" w:type="dxa"/>
            <w:tcBorders>
              <w:top w:val="nil"/>
              <w:left w:val="nil"/>
              <w:bottom w:val="single" w:sz="4" w:space="0" w:color="auto"/>
              <w:right w:val="single" w:sz="4" w:space="0" w:color="auto"/>
            </w:tcBorders>
            <w:shd w:val="clear" w:color="auto" w:fill="auto"/>
            <w:vAlign w:val="center"/>
            <w:hideMark/>
          </w:tcPr>
          <w:p w14:paraId="57E21CE5"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2,4</w:t>
            </w:r>
          </w:p>
        </w:tc>
        <w:tc>
          <w:tcPr>
            <w:tcW w:w="3149" w:type="dxa"/>
            <w:tcBorders>
              <w:top w:val="nil"/>
              <w:left w:val="nil"/>
              <w:bottom w:val="single" w:sz="4" w:space="0" w:color="auto"/>
              <w:right w:val="single" w:sz="4" w:space="0" w:color="auto"/>
            </w:tcBorders>
            <w:shd w:val="clear" w:color="auto" w:fill="auto"/>
            <w:hideMark/>
          </w:tcPr>
          <w:p w14:paraId="187B639F" w14:textId="77777777" w:rsidR="00322AE9" w:rsidRPr="00322AE9" w:rsidRDefault="00322AE9" w:rsidP="00322AE9">
            <w:pPr>
              <w:ind w:firstLine="0"/>
              <w:jc w:val="left"/>
              <w:rPr>
                <w:rFonts w:eastAsia="Times New Roman" w:cs="Times New Roman"/>
                <w:color w:val="000000"/>
                <w:sz w:val="18"/>
                <w:szCs w:val="18"/>
                <w:lang w:eastAsia="ru-RU"/>
              </w:rPr>
            </w:pPr>
            <w:r w:rsidRPr="00322AE9">
              <w:rPr>
                <w:rFonts w:eastAsia="Times New Roman" w:cs="Times New Roman"/>
                <w:color w:val="000000"/>
                <w:sz w:val="18"/>
                <w:szCs w:val="18"/>
                <w:lang w:eastAsia="ru-RU"/>
              </w:rPr>
              <w:t>МДС 32-1.2000 "Проектирование вокзалов", п.5.6.3</w:t>
            </w:r>
          </w:p>
        </w:tc>
      </w:tr>
      <w:tr w:rsidR="00322AE9" w:rsidRPr="00322AE9" w14:paraId="57CD7FEE" w14:textId="77777777" w:rsidTr="00322AE9">
        <w:trPr>
          <w:trHeight w:val="300"/>
          <w:jc w:val="center"/>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131A47CA"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 </w:t>
            </w:r>
          </w:p>
        </w:tc>
        <w:tc>
          <w:tcPr>
            <w:tcW w:w="816" w:type="dxa"/>
            <w:tcBorders>
              <w:top w:val="nil"/>
              <w:left w:val="nil"/>
              <w:bottom w:val="single" w:sz="4" w:space="0" w:color="auto"/>
              <w:right w:val="single" w:sz="4" w:space="0" w:color="auto"/>
            </w:tcBorders>
            <w:shd w:val="clear" w:color="auto" w:fill="auto"/>
            <w:vAlign w:val="center"/>
            <w:hideMark/>
          </w:tcPr>
          <w:p w14:paraId="7240D0D2"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0845</w:t>
            </w:r>
          </w:p>
        </w:tc>
        <w:tc>
          <w:tcPr>
            <w:tcW w:w="2893" w:type="dxa"/>
            <w:tcBorders>
              <w:top w:val="nil"/>
              <w:left w:val="nil"/>
              <w:bottom w:val="single" w:sz="4" w:space="0" w:color="auto"/>
              <w:right w:val="single" w:sz="4" w:space="0" w:color="auto"/>
            </w:tcBorders>
            <w:shd w:val="clear" w:color="auto" w:fill="auto"/>
            <w:vAlign w:val="center"/>
            <w:hideMark/>
          </w:tcPr>
          <w:p w14:paraId="3B97EA39" w14:textId="77777777" w:rsidR="00322AE9" w:rsidRPr="00322AE9" w:rsidRDefault="00322AE9" w:rsidP="00322AE9">
            <w:pPr>
              <w:ind w:firstLine="0"/>
              <w:jc w:val="left"/>
              <w:rPr>
                <w:rFonts w:eastAsia="Times New Roman" w:cs="Times New Roman"/>
                <w:color w:val="000000"/>
                <w:sz w:val="20"/>
                <w:szCs w:val="20"/>
                <w:lang w:eastAsia="ru-RU"/>
              </w:rPr>
            </w:pPr>
            <w:r w:rsidRPr="00322AE9">
              <w:rPr>
                <w:rFonts w:eastAsia="Times New Roman" w:cs="Times New Roman"/>
                <w:color w:val="000000"/>
                <w:sz w:val="20"/>
                <w:szCs w:val="20"/>
                <w:lang w:eastAsia="ru-RU"/>
              </w:rPr>
              <w:t>Аэропорты (аэровокзалы)</w:t>
            </w:r>
          </w:p>
        </w:tc>
        <w:tc>
          <w:tcPr>
            <w:tcW w:w="855" w:type="dxa"/>
            <w:tcBorders>
              <w:top w:val="nil"/>
              <w:left w:val="nil"/>
              <w:bottom w:val="single" w:sz="4" w:space="0" w:color="auto"/>
              <w:right w:val="single" w:sz="4" w:space="0" w:color="auto"/>
            </w:tcBorders>
            <w:shd w:val="clear" w:color="FFFFFF" w:fill="FFFFFF"/>
            <w:vAlign w:val="center"/>
            <w:hideMark/>
          </w:tcPr>
          <w:p w14:paraId="4E014FC4"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 </w:t>
            </w:r>
          </w:p>
        </w:tc>
        <w:tc>
          <w:tcPr>
            <w:tcW w:w="793" w:type="dxa"/>
            <w:tcBorders>
              <w:top w:val="nil"/>
              <w:left w:val="nil"/>
              <w:bottom w:val="single" w:sz="4" w:space="0" w:color="auto"/>
              <w:right w:val="single" w:sz="4" w:space="0" w:color="auto"/>
            </w:tcBorders>
            <w:shd w:val="clear" w:color="auto" w:fill="auto"/>
            <w:vAlign w:val="center"/>
            <w:hideMark/>
          </w:tcPr>
          <w:p w14:paraId="235E01D9"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3,6</w:t>
            </w:r>
          </w:p>
        </w:tc>
        <w:tc>
          <w:tcPr>
            <w:tcW w:w="992" w:type="dxa"/>
            <w:tcBorders>
              <w:top w:val="nil"/>
              <w:left w:val="nil"/>
              <w:bottom w:val="single" w:sz="4" w:space="0" w:color="auto"/>
              <w:right w:val="single" w:sz="4" w:space="0" w:color="auto"/>
            </w:tcBorders>
            <w:shd w:val="clear" w:color="auto" w:fill="auto"/>
            <w:vAlign w:val="center"/>
            <w:hideMark/>
          </w:tcPr>
          <w:p w14:paraId="6879AE08"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0,3</w:t>
            </w:r>
          </w:p>
        </w:tc>
        <w:tc>
          <w:tcPr>
            <w:tcW w:w="1030" w:type="dxa"/>
            <w:tcBorders>
              <w:top w:val="nil"/>
              <w:left w:val="nil"/>
              <w:bottom w:val="single" w:sz="4" w:space="0" w:color="auto"/>
              <w:right w:val="single" w:sz="4" w:space="0" w:color="auto"/>
            </w:tcBorders>
            <w:shd w:val="clear" w:color="auto" w:fill="auto"/>
            <w:vAlign w:val="center"/>
            <w:hideMark/>
          </w:tcPr>
          <w:p w14:paraId="1F165EB2"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3,9</w:t>
            </w:r>
          </w:p>
        </w:tc>
        <w:tc>
          <w:tcPr>
            <w:tcW w:w="1096" w:type="dxa"/>
            <w:tcBorders>
              <w:top w:val="nil"/>
              <w:left w:val="nil"/>
              <w:bottom w:val="single" w:sz="4" w:space="0" w:color="auto"/>
              <w:right w:val="single" w:sz="4" w:space="0" w:color="auto"/>
            </w:tcBorders>
            <w:shd w:val="clear" w:color="auto" w:fill="auto"/>
            <w:vAlign w:val="center"/>
            <w:hideMark/>
          </w:tcPr>
          <w:p w14:paraId="383B9AD2"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1,6</w:t>
            </w:r>
          </w:p>
        </w:tc>
        <w:tc>
          <w:tcPr>
            <w:tcW w:w="1149" w:type="dxa"/>
            <w:tcBorders>
              <w:top w:val="nil"/>
              <w:left w:val="nil"/>
              <w:bottom w:val="single" w:sz="4" w:space="0" w:color="auto"/>
              <w:right w:val="single" w:sz="4" w:space="0" w:color="auto"/>
            </w:tcBorders>
            <w:shd w:val="clear" w:color="auto" w:fill="auto"/>
            <w:vAlign w:val="center"/>
            <w:hideMark/>
          </w:tcPr>
          <w:p w14:paraId="61AF410E"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2,1</w:t>
            </w:r>
          </w:p>
        </w:tc>
        <w:tc>
          <w:tcPr>
            <w:tcW w:w="1119" w:type="dxa"/>
            <w:tcBorders>
              <w:top w:val="nil"/>
              <w:left w:val="nil"/>
              <w:bottom w:val="single" w:sz="4" w:space="0" w:color="auto"/>
              <w:right w:val="single" w:sz="4" w:space="0" w:color="auto"/>
            </w:tcBorders>
            <w:shd w:val="clear" w:color="auto" w:fill="auto"/>
            <w:vAlign w:val="center"/>
            <w:hideMark/>
          </w:tcPr>
          <w:p w14:paraId="1B5F9CF7"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2,4</w:t>
            </w:r>
          </w:p>
        </w:tc>
        <w:tc>
          <w:tcPr>
            <w:tcW w:w="3149" w:type="dxa"/>
            <w:tcBorders>
              <w:top w:val="nil"/>
              <w:left w:val="nil"/>
              <w:bottom w:val="single" w:sz="4" w:space="0" w:color="auto"/>
              <w:right w:val="single" w:sz="4" w:space="0" w:color="auto"/>
            </w:tcBorders>
            <w:shd w:val="clear" w:color="auto" w:fill="auto"/>
            <w:hideMark/>
          </w:tcPr>
          <w:p w14:paraId="3E157244" w14:textId="77777777" w:rsidR="00322AE9" w:rsidRPr="00322AE9" w:rsidRDefault="00322AE9" w:rsidP="00322AE9">
            <w:pPr>
              <w:ind w:firstLine="0"/>
              <w:jc w:val="left"/>
              <w:rPr>
                <w:rFonts w:eastAsia="Times New Roman" w:cs="Times New Roman"/>
                <w:color w:val="000000"/>
                <w:sz w:val="18"/>
                <w:szCs w:val="18"/>
                <w:lang w:eastAsia="ru-RU"/>
              </w:rPr>
            </w:pPr>
            <w:r w:rsidRPr="00322AE9">
              <w:rPr>
                <w:rFonts w:eastAsia="Times New Roman" w:cs="Times New Roman"/>
                <w:color w:val="000000"/>
                <w:sz w:val="18"/>
                <w:szCs w:val="18"/>
                <w:lang w:eastAsia="ru-RU"/>
              </w:rPr>
              <w:t>МДС 32-1.2000 "Проектирование вокзалов", п.5.6.3</w:t>
            </w:r>
          </w:p>
        </w:tc>
      </w:tr>
      <w:tr w:rsidR="00322AE9" w:rsidRPr="00322AE9" w14:paraId="6E32B440" w14:textId="77777777" w:rsidTr="00322AE9">
        <w:trPr>
          <w:trHeight w:val="300"/>
          <w:jc w:val="center"/>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01B1B684"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 </w:t>
            </w:r>
          </w:p>
        </w:tc>
        <w:tc>
          <w:tcPr>
            <w:tcW w:w="816" w:type="dxa"/>
            <w:tcBorders>
              <w:top w:val="nil"/>
              <w:left w:val="nil"/>
              <w:bottom w:val="single" w:sz="4" w:space="0" w:color="auto"/>
              <w:right w:val="single" w:sz="4" w:space="0" w:color="auto"/>
            </w:tcBorders>
            <w:shd w:val="clear" w:color="auto" w:fill="auto"/>
            <w:vAlign w:val="center"/>
            <w:hideMark/>
          </w:tcPr>
          <w:p w14:paraId="19B38C65"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0846</w:t>
            </w:r>
          </w:p>
        </w:tc>
        <w:tc>
          <w:tcPr>
            <w:tcW w:w="2893" w:type="dxa"/>
            <w:tcBorders>
              <w:top w:val="nil"/>
              <w:left w:val="nil"/>
              <w:bottom w:val="single" w:sz="4" w:space="0" w:color="auto"/>
              <w:right w:val="single" w:sz="4" w:space="0" w:color="auto"/>
            </w:tcBorders>
            <w:shd w:val="clear" w:color="auto" w:fill="auto"/>
            <w:vAlign w:val="center"/>
            <w:hideMark/>
          </w:tcPr>
          <w:p w14:paraId="181DB924" w14:textId="77777777" w:rsidR="00322AE9" w:rsidRPr="00322AE9" w:rsidRDefault="00322AE9" w:rsidP="00322AE9">
            <w:pPr>
              <w:ind w:firstLine="0"/>
              <w:jc w:val="left"/>
              <w:rPr>
                <w:rFonts w:eastAsia="Times New Roman" w:cs="Times New Roman"/>
                <w:color w:val="000000"/>
                <w:sz w:val="20"/>
                <w:szCs w:val="20"/>
                <w:lang w:eastAsia="ru-RU"/>
              </w:rPr>
            </w:pPr>
            <w:r w:rsidRPr="00322AE9">
              <w:rPr>
                <w:rFonts w:eastAsia="Times New Roman" w:cs="Times New Roman"/>
                <w:color w:val="000000"/>
                <w:sz w:val="20"/>
                <w:szCs w:val="20"/>
                <w:lang w:eastAsia="ru-RU"/>
              </w:rPr>
              <w:t>Порты (вокзалы морские)</w:t>
            </w:r>
          </w:p>
        </w:tc>
        <w:tc>
          <w:tcPr>
            <w:tcW w:w="855" w:type="dxa"/>
            <w:tcBorders>
              <w:top w:val="nil"/>
              <w:left w:val="nil"/>
              <w:bottom w:val="single" w:sz="4" w:space="0" w:color="auto"/>
              <w:right w:val="single" w:sz="4" w:space="0" w:color="auto"/>
            </w:tcBorders>
            <w:shd w:val="clear" w:color="FFFFFF" w:fill="FFFFFF"/>
            <w:vAlign w:val="center"/>
            <w:hideMark/>
          </w:tcPr>
          <w:p w14:paraId="47545845"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 </w:t>
            </w:r>
          </w:p>
        </w:tc>
        <w:tc>
          <w:tcPr>
            <w:tcW w:w="793" w:type="dxa"/>
            <w:tcBorders>
              <w:top w:val="nil"/>
              <w:left w:val="nil"/>
              <w:bottom w:val="single" w:sz="4" w:space="0" w:color="auto"/>
              <w:right w:val="single" w:sz="4" w:space="0" w:color="auto"/>
            </w:tcBorders>
            <w:shd w:val="clear" w:color="auto" w:fill="auto"/>
            <w:vAlign w:val="center"/>
            <w:hideMark/>
          </w:tcPr>
          <w:p w14:paraId="09CB1FC5"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3,6</w:t>
            </w:r>
          </w:p>
        </w:tc>
        <w:tc>
          <w:tcPr>
            <w:tcW w:w="992" w:type="dxa"/>
            <w:tcBorders>
              <w:top w:val="nil"/>
              <w:left w:val="nil"/>
              <w:bottom w:val="single" w:sz="4" w:space="0" w:color="auto"/>
              <w:right w:val="single" w:sz="4" w:space="0" w:color="auto"/>
            </w:tcBorders>
            <w:shd w:val="clear" w:color="auto" w:fill="auto"/>
            <w:vAlign w:val="center"/>
            <w:hideMark/>
          </w:tcPr>
          <w:p w14:paraId="508E6DBB"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0,3</w:t>
            </w:r>
          </w:p>
        </w:tc>
        <w:tc>
          <w:tcPr>
            <w:tcW w:w="1030" w:type="dxa"/>
            <w:tcBorders>
              <w:top w:val="nil"/>
              <w:left w:val="nil"/>
              <w:bottom w:val="single" w:sz="4" w:space="0" w:color="auto"/>
              <w:right w:val="single" w:sz="4" w:space="0" w:color="auto"/>
            </w:tcBorders>
            <w:shd w:val="clear" w:color="auto" w:fill="auto"/>
            <w:vAlign w:val="center"/>
            <w:hideMark/>
          </w:tcPr>
          <w:p w14:paraId="03147C60"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3,9</w:t>
            </w:r>
          </w:p>
        </w:tc>
        <w:tc>
          <w:tcPr>
            <w:tcW w:w="1096" w:type="dxa"/>
            <w:tcBorders>
              <w:top w:val="nil"/>
              <w:left w:val="nil"/>
              <w:bottom w:val="single" w:sz="4" w:space="0" w:color="auto"/>
              <w:right w:val="single" w:sz="4" w:space="0" w:color="auto"/>
            </w:tcBorders>
            <w:shd w:val="clear" w:color="auto" w:fill="auto"/>
            <w:vAlign w:val="center"/>
            <w:hideMark/>
          </w:tcPr>
          <w:p w14:paraId="43F40F65"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1,6</w:t>
            </w:r>
          </w:p>
        </w:tc>
        <w:tc>
          <w:tcPr>
            <w:tcW w:w="1149" w:type="dxa"/>
            <w:tcBorders>
              <w:top w:val="nil"/>
              <w:left w:val="nil"/>
              <w:bottom w:val="single" w:sz="4" w:space="0" w:color="auto"/>
              <w:right w:val="single" w:sz="4" w:space="0" w:color="auto"/>
            </w:tcBorders>
            <w:shd w:val="clear" w:color="auto" w:fill="auto"/>
            <w:vAlign w:val="center"/>
            <w:hideMark/>
          </w:tcPr>
          <w:p w14:paraId="04FF6918"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2,1</w:t>
            </w:r>
          </w:p>
        </w:tc>
        <w:tc>
          <w:tcPr>
            <w:tcW w:w="1119" w:type="dxa"/>
            <w:tcBorders>
              <w:top w:val="nil"/>
              <w:left w:val="nil"/>
              <w:bottom w:val="single" w:sz="4" w:space="0" w:color="auto"/>
              <w:right w:val="single" w:sz="4" w:space="0" w:color="auto"/>
            </w:tcBorders>
            <w:shd w:val="clear" w:color="auto" w:fill="auto"/>
            <w:vAlign w:val="center"/>
            <w:hideMark/>
          </w:tcPr>
          <w:p w14:paraId="556F6834"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2,4</w:t>
            </w:r>
          </w:p>
        </w:tc>
        <w:tc>
          <w:tcPr>
            <w:tcW w:w="3149" w:type="dxa"/>
            <w:tcBorders>
              <w:top w:val="nil"/>
              <w:left w:val="nil"/>
              <w:bottom w:val="single" w:sz="4" w:space="0" w:color="auto"/>
              <w:right w:val="single" w:sz="4" w:space="0" w:color="auto"/>
            </w:tcBorders>
            <w:shd w:val="clear" w:color="auto" w:fill="auto"/>
            <w:hideMark/>
          </w:tcPr>
          <w:p w14:paraId="2DFD6C5B" w14:textId="77777777" w:rsidR="00322AE9" w:rsidRPr="00322AE9" w:rsidRDefault="00322AE9" w:rsidP="00322AE9">
            <w:pPr>
              <w:ind w:firstLine="0"/>
              <w:jc w:val="left"/>
              <w:rPr>
                <w:rFonts w:eastAsia="Times New Roman" w:cs="Times New Roman"/>
                <w:color w:val="000000"/>
                <w:sz w:val="18"/>
                <w:szCs w:val="18"/>
                <w:lang w:eastAsia="ru-RU"/>
              </w:rPr>
            </w:pPr>
            <w:r w:rsidRPr="00322AE9">
              <w:rPr>
                <w:rFonts w:eastAsia="Times New Roman" w:cs="Times New Roman"/>
                <w:color w:val="000000"/>
                <w:sz w:val="18"/>
                <w:szCs w:val="18"/>
                <w:lang w:eastAsia="ru-RU"/>
              </w:rPr>
              <w:t>МДС 32-1.2000 "Проектирование вокзалов", п.5.6.3</w:t>
            </w:r>
          </w:p>
        </w:tc>
      </w:tr>
      <w:tr w:rsidR="00322AE9" w:rsidRPr="00322AE9" w14:paraId="7B3543F1" w14:textId="77777777" w:rsidTr="00322AE9">
        <w:trPr>
          <w:trHeight w:val="300"/>
          <w:jc w:val="center"/>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2A39E93F"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 </w:t>
            </w:r>
          </w:p>
        </w:tc>
        <w:tc>
          <w:tcPr>
            <w:tcW w:w="816" w:type="dxa"/>
            <w:tcBorders>
              <w:top w:val="nil"/>
              <w:left w:val="nil"/>
              <w:bottom w:val="single" w:sz="4" w:space="0" w:color="auto"/>
              <w:right w:val="single" w:sz="4" w:space="0" w:color="auto"/>
            </w:tcBorders>
            <w:shd w:val="clear" w:color="auto" w:fill="auto"/>
            <w:vAlign w:val="center"/>
            <w:hideMark/>
          </w:tcPr>
          <w:p w14:paraId="0AB5E23E"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0847</w:t>
            </w:r>
          </w:p>
        </w:tc>
        <w:tc>
          <w:tcPr>
            <w:tcW w:w="2893" w:type="dxa"/>
            <w:tcBorders>
              <w:top w:val="nil"/>
              <w:left w:val="nil"/>
              <w:bottom w:val="single" w:sz="4" w:space="0" w:color="auto"/>
              <w:right w:val="single" w:sz="4" w:space="0" w:color="auto"/>
            </w:tcBorders>
            <w:shd w:val="clear" w:color="auto" w:fill="auto"/>
            <w:vAlign w:val="center"/>
            <w:hideMark/>
          </w:tcPr>
          <w:p w14:paraId="7EB51B84" w14:textId="77777777" w:rsidR="00322AE9" w:rsidRPr="00322AE9" w:rsidRDefault="00322AE9" w:rsidP="00322AE9">
            <w:pPr>
              <w:ind w:firstLine="0"/>
              <w:jc w:val="left"/>
              <w:rPr>
                <w:rFonts w:eastAsia="Times New Roman" w:cs="Times New Roman"/>
                <w:color w:val="000000"/>
                <w:sz w:val="20"/>
                <w:szCs w:val="20"/>
                <w:lang w:eastAsia="ru-RU"/>
              </w:rPr>
            </w:pPr>
            <w:r w:rsidRPr="00322AE9">
              <w:rPr>
                <w:rFonts w:eastAsia="Times New Roman" w:cs="Times New Roman"/>
                <w:color w:val="000000"/>
                <w:sz w:val="20"/>
                <w:szCs w:val="20"/>
                <w:lang w:eastAsia="ru-RU"/>
              </w:rPr>
              <w:t>Вокзалы железнодорожные</w:t>
            </w:r>
          </w:p>
        </w:tc>
        <w:tc>
          <w:tcPr>
            <w:tcW w:w="855" w:type="dxa"/>
            <w:tcBorders>
              <w:top w:val="nil"/>
              <w:left w:val="nil"/>
              <w:bottom w:val="single" w:sz="4" w:space="0" w:color="auto"/>
              <w:right w:val="single" w:sz="4" w:space="0" w:color="auto"/>
            </w:tcBorders>
            <w:shd w:val="clear" w:color="FFFFFF" w:fill="FFFFFF"/>
            <w:vAlign w:val="center"/>
            <w:hideMark/>
          </w:tcPr>
          <w:p w14:paraId="04EDA399"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 </w:t>
            </w:r>
          </w:p>
        </w:tc>
        <w:tc>
          <w:tcPr>
            <w:tcW w:w="793" w:type="dxa"/>
            <w:tcBorders>
              <w:top w:val="nil"/>
              <w:left w:val="nil"/>
              <w:bottom w:val="single" w:sz="4" w:space="0" w:color="auto"/>
              <w:right w:val="single" w:sz="4" w:space="0" w:color="auto"/>
            </w:tcBorders>
            <w:shd w:val="clear" w:color="auto" w:fill="auto"/>
            <w:vAlign w:val="center"/>
            <w:hideMark/>
          </w:tcPr>
          <w:p w14:paraId="2BA9D5D0"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3,6</w:t>
            </w:r>
          </w:p>
        </w:tc>
        <w:tc>
          <w:tcPr>
            <w:tcW w:w="992" w:type="dxa"/>
            <w:tcBorders>
              <w:top w:val="nil"/>
              <w:left w:val="nil"/>
              <w:bottom w:val="single" w:sz="4" w:space="0" w:color="auto"/>
              <w:right w:val="single" w:sz="4" w:space="0" w:color="auto"/>
            </w:tcBorders>
            <w:shd w:val="clear" w:color="auto" w:fill="auto"/>
            <w:vAlign w:val="center"/>
            <w:hideMark/>
          </w:tcPr>
          <w:p w14:paraId="2D7C4D01"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0,3</w:t>
            </w:r>
          </w:p>
        </w:tc>
        <w:tc>
          <w:tcPr>
            <w:tcW w:w="1030" w:type="dxa"/>
            <w:tcBorders>
              <w:top w:val="nil"/>
              <w:left w:val="nil"/>
              <w:bottom w:val="single" w:sz="4" w:space="0" w:color="auto"/>
              <w:right w:val="single" w:sz="4" w:space="0" w:color="auto"/>
            </w:tcBorders>
            <w:shd w:val="clear" w:color="auto" w:fill="auto"/>
            <w:vAlign w:val="center"/>
            <w:hideMark/>
          </w:tcPr>
          <w:p w14:paraId="14A2DAEF"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3,9</w:t>
            </w:r>
          </w:p>
        </w:tc>
        <w:tc>
          <w:tcPr>
            <w:tcW w:w="1096" w:type="dxa"/>
            <w:tcBorders>
              <w:top w:val="nil"/>
              <w:left w:val="nil"/>
              <w:bottom w:val="single" w:sz="4" w:space="0" w:color="auto"/>
              <w:right w:val="single" w:sz="4" w:space="0" w:color="auto"/>
            </w:tcBorders>
            <w:shd w:val="clear" w:color="auto" w:fill="auto"/>
            <w:vAlign w:val="center"/>
            <w:hideMark/>
          </w:tcPr>
          <w:p w14:paraId="46B5C5CF"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1,6</w:t>
            </w:r>
          </w:p>
        </w:tc>
        <w:tc>
          <w:tcPr>
            <w:tcW w:w="1149" w:type="dxa"/>
            <w:tcBorders>
              <w:top w:val="nil"/>
              <w:left w:val="nil"/>
              <w:bottom w:val="single" w:sz="4" w:space="0" w:color="auto"/>
              <w:right w:val="single" w:sz="4" w:space="0" w:color="auto"/>
            </w:tcBorders>
            <w:shd w:val="clear" w:color="auto" w:fill="auto"/>
            <w:vAlign w:val="center"/>
            <w:hideMark/>
          </w:tcPr>
          <w:p w14:paraId="46727EE0"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2,1</w:t>
            </w:r>
          </w:p>
        </w:tc>
        <w:tc>
          <w:tcPr>
            <w:tcW w:w="1119" w:type="dxa"/>
            <w:tcBorders>
              <w:top w:val="nil"/>
              <w:left w:val="nil"/>
              <w:bottom w:val="single" w:sz="4" w:space="0" w:color="auto"/>
              <w:right w:val="single" w:sz="4" w:space="0" w:color="auto"/>
            </w:tcBorders>
            <w:shd w:val="clear" w:color="auto" w:fill="auto"/>
            <w:vAlign w:val="center"/>
            <w:hideMark/>
          </w:tcPr>
          <w:p w14:paraId="317A27B3"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2,4</w:t>
            </w:r>
          </w:p>
        </w:tc>
        <w:tc>
          <w:tcPr>
            <w:tcW w:w="3149" w:type="dxa"/>
            <w:tcBorders>
              <w:top w:val="nil"/>
              <w:left w:val="nil"/>
              <w:bottom w:val="single" w:sz="4" w:space="0" w:color="auto"/>
              <w:right w:val="single" w:sz="4" w:space="0" w:color="auto"/>
            </w:tcBorders>
            <w:shd w:val="clear" w:color="auto" w:fill="auto"/>
            <w:hideMark/>
          </w:tcPr>
          <w:p w14:paraId="3651CD14" w14:textId="77777777" w:rsidR="00322AE9" w:rsidRPr="00322AE9" w:rsidRDefault="00322AE9" w:rsidP="00322AE9">
            <w:pPr>
              <w:ind w:firstLine="0"/>
              <w:jc w:val="left"/>
              <w:rPr>
                <w:rFonts w:eastAsia="Times New Roman" w:cs="Times New Roman"/>
                <w:color w:val="000000"/>
                <w:sz w:val="18"/>
                <w:szCs w:val="18"/>
                <w:lang w:eastAsia="ru-RU"/>
              </w:rPr>
            </w:pPr>
            <w:r w:rsidRPr="00322AE9">
              <w:rPr>
                <w:rFonts w:eastAsia="Times New Roman" w:cs="Times New Roman"/>
                <w:color w:val="000000"/>
                <w:sz w:val="18"/>
                <w:szCs w:val="18"/>
                <w:lang w:eastAsia="ru-RU"/>
              </w:rPr>
              <w:t>МДС 32-1.2000 "Проектирование вокзалов", п.5.6.4</w:t>
            </w:r>
          </w:p>
        </w:tc>
      </w:tr>
      <w:tr w:rsidR="00322AE9" w:rsidRPr="00322AE9" w14:paraId="62A260EB" w14:textId="77777777" w:rsidTr="00322AE9">
        <w:trPr>
          <w:trHeight w:val="300"/>
          <w:jc w:val="center"/>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457C5FEC"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 </w:t>
            </w:r>
          </w:p>
        </w:tc>
        <w:tc>
          <w:tcPr>
            <w:tcW w:w="816" w:type="dxa"/>
            <w:tcBorders>
              <w:top w:val="nil"/>
              <w:left w:val="nil"/>
              <w:bottom w:val="single" w:sz="4" w:space="0" w:color="auto"/>
              <w:right w:val="single" w:sz="4" w:space="0" w:color="auto"/>
            </w:tcBorders>
            <w:shd w:val="clear" w:color="auto" w:fill="auto"/>
            <w:vAlign w:val="center"/>
            <w:hideMark/>
          </w:tcPr>
          <w:p w14:paraId="4F78C5D0"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0848</w:t>
            </w:r>
          </w:p>
        </w:tc>
        <w:tc>
          <w:tcPr>
            <w:tcW w:w="2893" w:type="dxa"/>
            <w:tcBorders>
              <w:top w:val="nil"/>
              <w:left w:val="nil"/>
              <w:bottom w:val="single" w:sz="4" w:space="0" w:color="auto"/>
              <w:right w:val="single" w:sz="4" w:space="0" w:color="auto"/>
            </w:tcBorders>
            <w:shd w:val="clear" w:color="auto" w:fill="auto"/>
            <w:vAlign w:val="center"/>
            <w:hideMark/>
          </w:tcPr>
          <w:p w14:paraId="674997AC" w14:textId="77777777" w:rsidR="00322AE9" w:rsidRPr="00322AE9" w:rsidRDefault="00322AE9" w:rsidP="00322AE9">
            <w:pPr>
              <w:ind w:firstLine="0"/>
              <w:jc w:val="left"/>
              <w:rPr>
                <w:rFonts w:eastAsia="Times New Roman" w:cs="Times New Roman"/>
                <w:color w:val="000000"/>
                <w:sz w:val="20"/>
                <w:szCs w:val="20"/>
                <w:lang w:eastAsia="ru-RU"/>
              </w:rPr>
            </w:pPr>
            <w:r w:rsidRPr="00322AE9">
              <w:rPr>
                <w:rFonts w:eastAsia="Times New Roman" w:cs="Times New Roman"/>
                <w:color w:val="000000"/>
                <w:sz w:val="20"/>
                <w:szCs w:val="20"/>
                <w:lang w:eastAsia="ru-RU"/>
              </w:rPr>
              <w:t>Станции железнодорожные</w:t>
            </w:r>
          </w:p>
        </w:tc>
        <w:tc>
          <w:tcPr>
            <w:tcW w:w="855" w:type="dxa"/>
            <w:tcBorders>
              <w:top w:val="nil"/>
              <w:left w:val="nil"/>
              <w:bottom w:val="single" w:sz="4" w:space="0" w:color="auto"/>
              <w:right w:val="single" w:sz="4" w:space="0" w:color="auto"/>
            </w:tcBorders>
            <w:shd w:val="clear" w:color="FFFFFF" w:fill="FFFFFF"/>
            <w:vAlign w:val="center"/>
            <w:hideMark/>
          </w:tcPr>
          <w:p w14:paraId="0D4C9CE5"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 </w:t>
            </w:r>
          </w:p>
        </w:tc>
        <w:tc>
          <w:tcPr>
            <w:tcW w:w="793" w:type="dxa"/>
            <w:tcBorders>
              <w:top w:val="nil"/>
              <w:left w:val="nil"/>
              <w:bottom w:val="single" w:sz="4" w:space="0" w:color="auto"/>
              <w:right w:val="single" w:sz="4" w:space="0" w:color="auto"/>
            </w:tcBorders>
            <w:shd w:val="clear" w:color="auto" w:fill="auto"/>
            <w:vAlign w:val="center"/>
            <w:hideMark/>
          </w:tcPr>
          <w:p w14:paraId="4F2BB6E3"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3,6</w:t>
            </w:r>
          </w:p>
        </w:tc>
        <w:tc>
          <w:tcPr>
            <w:tcW w:w="992" w:type="dxa"/>
            <w:tcBorders>
              <w:top w:val="nil"/>
              <w:left w:val="nil"/>
              <w:bottom w:val="single" w:sz="4" w:space="0" w:color="auto"/>
              <w:right w:val="single" w:sz="4" w:space="0" w:color="auto"/>
            </w:tcBorders>
            <w:shd w:val="clear" w:color="auto" w:fill="auto"/>
            <w:vAlign w:val="center"/>
            <w:hideMark/>
          </w:tcPr>
          <w:p w14:paraId="5B13F70F"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0,3</w:t>
            </w:r>
          </w:p>
        </w:tc>
        <w:tc>
          <w:tcPr>
            <w:tcW w:w="1030" w:type="dxa"/>
            <w:tcBorders>
              <w:top w:val="nil"/>
              <w:left w:val="nil"/>
              <w:bottom w:val="single" w:sz="4" w:space="0" w:color="auto"/>
              <w:right w:val="single" w:sz="4" w:space="0" w:color="auto"/>
            </w:tcBorders>
            <w:shd w:val="clear" w:color="auto" w:fill="auto"/>
            <w:vAlign w:val="center"/>
            <w:hideMark/>
          </w:tcPr>
          <w:p w14:paraId="27F9D710"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3,9</w:t>
            </w:r>
          </w:p>
        </w:tc>
        <w:tc>
          <w:tcPr>
            <w:tcW w:w="1096" w:type="dxa"/>
            <w:tcBorders>
              <w:top w:val="nil"/>
              <w:left w:val="nil"/>
              <w:bottom w:val="single" w:sz="4" w:space="0" w:color="auto"/>
              <w:right w:val="single" w:sz="4" w:space="0" w:color="auto"/>
            </w:tcBorders>
            <w:shd w:val="clear" w:color="auto" w:fill="auto"/>
            <w:vAlign w:val="center"/>
            <w:hideMark/>
          </w:tcPr>
          <w:p w14:paraId="36BC47C5"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1,6</w:t>
            </w:r>
          </w:p>
        </w:tc>
        <w:tc>
          <w:tcPr>
            <w:tcW w:w="1149" w:type="dxa"/>
            <w:tcBorders>
              <w:top w:val="nil"/>
              <w:left w:val="nil"/>
              <w:bottom w:val="single" w:sz="4" w:space="0" w:color="auto"/>
              <w:right w:val="single" w:sz="4" w:space="0" w:color="auto"/>
            </w:tcBorders>
            <w:shd w:val="clear" w:color="auto" w:fill="auto"/>
            <w:vAlign w:val="center"/>
            <w:hideMark/>
          </w:tcPr>
          <w:p w14:paraId="701A2AED"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2,1</w:t>
            </w:r>
          </w:p>
        </w:tc>
        <w:tc>
          <w:tcPr>
            <w:tcW w:w="1119" w:type="dxa"/>
            <w:tcBorders>
              <w:top w:val="nil"/>
              <w:left w:val="nil"/>
              <w:bottom w:val="single" w:sz="4" w:space="0" w:color="auto"/>
              <w:right w:val="single" w:sz="4" w:space="0" w:color="auto"/>
            </w:tcBorders>
            <w:shd w:val="clear" w:color="auto" w:fill="auto"/>
            <w:vAlign w:val="center"/>
            <w:hideMark/>
          </w:tcPr>
          <w:p w14:paraId="36EDC88C"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2,4</w:t>
            </w:r>
          </w:p>
        </w:tc>
        <w:tc>
          <w:tcPr>
            <w:tcW w:w="3149" w:type="dxa"/>
            <w:tcBorders>
              <w:top w:val="nil"/>
              <w:left w:val="nil"/>
              <w:bottom w:val="single" w:sz="4" w:space="0" w:color="auto"/>
              <w:right w:val="single" w:sz="4" w:space="0" w:color="auto"/>
            </w:tcBorders>
            <w:shd w:val="clear" w:color="auto" w:fill="auto"/>
            <w:hideMark/>
          </w:tcPr>
          <w:p w14:paraId="5B3385D7" w14:textId="77777777" w:rsidR="00322AE9" w:rsidRPr="00322AE9" w:rsidRDefault="00322AE9" w:rsidP="00322AE9">
            <w:pPr>
              <w:ind w:firstLine="0"/>
              <w:jc w:val="left"/>
              <w:rPr>
                <w:rFonts w:eastAsia="Times New Roman" w:cs="Times New Roman"/>
                <w:color w:val="000000"/>
                <w:sz w:val="18"/>
                <w:szCs w:val="18"/>
                <w:lang w:eastAsia="ru-RU"/>
              </w:rPr>
            </w:pPr>
            <w:r w:rsidRPr="00322AE9">
              <w:rPr>
                <w:rFonts w:eastAsia="Times New Roman" w:cs="Times New Roman"/>
                <w:color w:val="000000"/>
                <w:sz w:val="18"/>
                <w:szCs w:val="18"/>
                <w:lang w:eastAsia="ru-RU"/>
              </w:rPr>
              <w:t>МДС 32-1.2000 "Проектирование вокзалов", п.5.6.5</w:t>
            </w:r>
          </w:p>
        </w:tc>
      </w:tr>
      <w:tr w:rsidR="00322AE9" w:rsidRPr="00322AE9" w14:paraId="001E99A1" w14:textId="77777777" w:rsidTr="00322AE9">
        <w:trPr>
          <w:trHeight w:val="300"/>
          <w:jc w:val="center"/>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0A6D1315"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 </w:t>
            </w:r>
          </w:p>
        </w:tc>
        <w:tc>
          <w:tcPr>
            <w:tcW w:w="816" w:type="dxa"/>
            <w:tcBorders>
              <w:top w:val="nil"/>
              <w:left w:val="nil"/>
              <w:bottom w:val="single" w:sz="4" w:space="0" w:color="auto"/>
              <w:right w:val="single" w:sz="4" w:space="0" w:color="auto"/>
            </w:tcBorders>
            <w:shd w:val="clear" w:color="auto" w:fill="auto"/>
            <w:vAlign w:val="center"/>
            <w:hideMark/>
          </w:tcPr>
          <w:p w14:paraId="1581BBD6"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0849</w:t>
            </w:r>
          </w:p>
        </w:tc>
        <w:tc>
          <w:tcPr>
            <w:tcW w:w="2893" w:type="dxa"/>
            <w:tcBorders>
              <w:top w:val="nil"/>
              <w:left w:val="nil"/>
              <w:bottom w:val="single" w:sz="4" w:space="0" w:color="auto"/>
              <w:right w:val="single" w:sz="4" w:space="0" w:color="auto"/>
            </w:tcBorders>
            <w:shd w:val="clear" w:color="auto" w:fill="auto"/>
            <w:vAlign w:val="center"/>
            <w:hideMark/>
          </w:tcPr>
          <w:p w14:paraId="2D0FC4DA" w14:textId="77777777" w:rsidR="00322AE9" w:rsidRPr="00322AE9" w:rsidRDefault="00322AE9" w:rsidP="00322AE9">
            <w:pPr>
              <w:ind w:firstLine="0"/>
              <w:jc w:val="left"/>
              <w:rPr>
                <w:rFonts w:eastAsia="Times New Roman" w:cs="Times New Roman"/>
                <w:color w:val="000000"/>
                <w:sz w:val="20"/>
                <w:szCs w:val="20"/>
                <w:lang w:eastAsia="ru-RU"/>
              </w:rPr>
            </w:pPr>
            <w:r w:rsidRPr="00322AE9">
              <w:rPr>
                <w:rFonts w:eastAsia="Times New Roman" w:cs="Times New Roman"/>
                <w:color w:val="000000"/>
                <w:sz w:val="20"/>
                <w:szCs w:val="20"/>
                <w:lang w:eastAsia="ru-RU"/>
              </w:rPr>
              <w:t>Станции метрополитена</w:t>
            </w:r>
          </w:p>
        </w:tc>
        <w:tc>
          <w:tcPr>
            <w:tcW w:w="855" w:type="dxa"/>
            <w:tcBorders>
              <w:top w:val="nil"/>
              <w:left w:val="nil"/>
              <w:bottom w:val="single" w:sz="4" w:space="0" w:color="auto"/>
              <w:right w:val="single" w:sz="4" w:space="0" w:color="auto"/>
            </w:tcBorders>
            <w:shd w:val="clear" w:color="FFFFFF" w:fill="FFFFFF"/>
            <w:vAlign w:val="center"/>
            <w:hideMark/>
          </w:tcPr>
          <w:p w14:paraId="50FFBD4E"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 </w:t>
            </w:r>
          </w:p>
        </w:tc>
        <w:tc>
          <w:tcPr>
            <w:tcW w:w="793" w:type="dxa"/>
            <w:tcBorders>
              <w:top w:val="nil"/>
              <w:left w:val="nil"/>
              <w:bottom w:val="single" w:sz="4" w:space="0" w:color="auto"/>
              <w:right w:val="single" w:sz="4" w:space="0" w:color="auto"/>
            </w:tcBorders>
            <w:shd w:val="clear" w:color="auto" w:fill="auto"/>
            <w:vAlign w:val="center"/>
            <w:hideMark/>
          </w:tcPr>
          <w:p w14:paraId="7E0E3891"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3,5</w:t>
            </w:r>
          </w:p>
        </w:tc>
        <w:tc>
          <w:tcPr>
            <w:tcW w:w="992" w:type="dxa"/>
            <w:tcBorders>
              <w:top w:val="nil"/>
              <w:left w:val="nil"/>
              <w:bottom w:val="single" w:sz="4" w:space="0" w:color="auto"/>
              <w:right w:val="single" w:sz="4" w:space="0" w:color="auto"/>
            </w:tcBorders>
            <w:shd w:val="clear" w:color="auto" w:fill="auto"/>
            <w:vAlign w:val="center"/>
            <w:hideMark/>
          </w:tcPr>
          <w:p w14:paraId="029D0DB6"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0,3</w:t>
            </w:r>
          </w:p>
        </w:tc>
        <w:tc>
          <w:tcPr>
            <w:tcW w:w="1030" w:type="dxa"/>
            <w:tcBorders>
              <w:top w:val="nil"/>
              <w:left w:val="nil"/>
              <w:bottom w:val="single" w:sz="4" w:space="0" w:color="auto"/>
              <w:right w:val="single" w:sz="4" w:space="0" w:color="auto"/>
            </w:tcBorders>
            <w:shd w:val="clear" w:color="auto" w:fill="auto"/>
            <w:vAlign w:val="center"/>
            <w:hideMark/>
          </w:tcPr>
          <w:p w14:paraId="5E23BC7B"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3,8</w:t>
            </w:r>
          </w:p>
        </w:tc>
        <w:tc>
          <w:tcPr>
            <w:tcW w:w="1096" w:type="dxa"/>
            <w:tcBorders>
              <w:top w:val="nil"/>
              <w:left w:val="nil"/>
              <w:bottom w:val="single" w:sz="4" w:space="0" w:color="auto"/>
              <w:right w:val="single" w:sz="4" w:space="0" w:color="auto"/>
            </w:tcBorders>
            <w:shd w:val="clear" w:color="auto" w:fill="auto"/>
            <w:vAlign w:val="center"/>
            <w:hideMark/>
          </w:tcPr>
          <w:p w14:paraId="1C02B1D3"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1,6</w:t>
            </w:r>
          </w:p>
        </w:tc>
        <w:tc>
          <w:tcPr>
            <w:tcW w:w="1149" w:type="dxa"/>
            <w:tcBorders>
              <w:top w:val="nil"/>
              <w:left w:val="nil"/>
              <w:bottom w:val="single" w:sz="4" w:space="0" w:color="auto"/>
              <w:right w:val="single" w:sz="4" w:space="0" w:color="auto"/>
            </w:tcBorders>
            <w:shd w:val="clear" w:color="auto" w:fill="auto"/>
            <w:vAlign w:val="center"/>
            <w:hideMark/>
          </w:tcPr>
          <w:p w14:paraId="2E6CAECA"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2,1</w:t>
            </w:r>
          </w:p>
        </w:tc>
        <w:tc>
          <w:tcPr>
            <w:tcW w:w="1119" w:type="dxa"/>
            <w:tcBorders>
              <w:top w:val="nil"/>
              <w:left w:val="nil"/>
              <w:bottom w:val="single" w:sz="4" w:space="0" w:color="auto"/>
              <w:right w:val="single" w:sz="4" w:space="0" w:color="auto"/>
            </w:tcBorders>
            <w:shd w:val="clear" w:color="auto" w:fill="auto"/>
            <w:vAlign w:val="center"/>
            <w:hideMark/>
          </w:tcPr>
          <w:p w14:paraId="1A7A4BA2"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2,4</w:t>
            </w:r>
          </w:p>
        </w:tc>
        <w:tc>
          <w:tcPr>
            <w:tcW w:w="3149" w:type="dxa"/>
            <w:tcBorders>
              <w:top w:val="nil"/>
              <w:left w:val="nil"/>
              <w:bottom w:val="single" w:sz="4" w:space="0" w:color="auto"/>
              <w:right w:val="single" w:sz="4" w:space="0" w:color="auto"/>
            </w:tcBorders>
            <w:shd w:val="clear" w:color="auto" w:fill="auto"/>
            <w:hideMark/>
          </w:tcPr>
          <w:p w14:paraId="60B44DEE" w14:textId="77777777" w:rsidR="00322AE9" w:rsidRPr="00322AE9" w:rsidRDefault="00322AE9" w:rsidP="00322AE9">
            <w:pPr>
              <w:ind w:firstLine="0"/>
              <w:jc w:val="left"/>
              <w:rPr>
                <w:rFonts w:eastAsia="Times New Roman" w:cs="Times New Roman"/>
                <w:color w:val="000000"/>
                <w:sz w:val="18"/>
                <w:szCs w:val="18"/>
                <w:lang w:eastAsia="ru-RU"/>
              </w:rPr>
            </w:pPr>
            <w:r w:rsidRPr="00322AE9">
              <w:rPr>
                <w:rFonts w:eastAsia="Times New Roman" w:cs="Times New Roman"/>
                <w:color w:val="000000"/>
                <w:sz w:val="18"/>
                <w:szCs w:val="18"/>
                <w:lang w:eastAsia="ru-RU"/>
              </w:rPr>
              <w:t>СП 120.13330.2012 "Метрополитены"</w:t>
            </w:r>
          </w:p>
        </w:tc>
      </w:tr>
      <w:tr w:rsidR="00322AE9" w:rsidRPr="00322AE9" w14:paraId="1E449AB2" w14:textId="77777777" w:rsidTr="00322AE9">
        <w:trPr>
          <w:trHeight w:val="300"/>
          <w:jc w:val="center"/>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30F853C3"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 </w:t>
            </w:r>
          </w:p>
        </w:tc>
        <w:tc>
          <w:tcPr>
            <w:tcW w:w="816" w:type="dxa"/>
            <w:tcBorders>
              <w:top w:val="nil"/>
              <w:left w:val="nil"/>
              <w:bottom w:val="single" w:sz="4" w:space="0" w:color="auto"/>
              <w:right w:val="single" w:sz="4" w:space="0" w:color="auto"/>
            </w:tcBorders>
            <w:shd w:val="clear" w:color="auto" w:fill="auto"/>
            <w:vAlign w:val="center"/>
            <w:hideMark/>
          </w:tcPr>
          <w:p w14:paraId="41B22201"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0850</w:t>
            </w:r>
          </w:p>
        </w:tc>
        <w:tc>
          <w:tcPr>
            <w:tcW w:w="2893" w:type="dxa"/>
            <w:tcBorders>
              <w:top w:val="nil"/>
              <w:left w:val="nil"/>
              <w:bottom w:val="single" w:sz="4" w:space="0" w:color="auto"/>
              <w:right w:val="single" w:sz="4" w:space="0" w:color="auto"/>
            </w:tcBorders>
            <w:shd w:val="clear" w:color="auto" w:fill="auto"/>
            <w:vAlign w:val="center"/>
            <w:hideMark/>
          </w:tcPr>
          <w:p w14:paraId="69CF5122" w14:textId="77777777" w:rsidR="00322AE9" w:rsidRPr="00322AE9" w:rsidRDefault="00322AE9" w:rsidP="00322AE9">
            <w:pPr>
              <w:ind w:firstLine="0"/>
              <w:jc w:val="left"/>
              <w:rPr>
                <w:rFonts w:eastAsia="Times New Roman" w:cs="Times New Roman"/>
                <w:color w:val="000000"/>
                <w:sz w:val="20"/>
                <w:szCs w:val="20"/>
                <w:lang w:eastAsia="ru-RU"/>
              </w:rPr>
            </w:pPr>
            <w:r w:rsidRPr="00322AE9">
              <w:rPr>
                <w:rFonts w:eastAsia="Times New Roman" w:cs="Times New Roman"/>
                <w:color w:val="000000"/>
                <w:sz w:val="20"/>
                <w:szCs w:val="20"/>
                <w:lang w:eastAsia="ru-RU"/>
              </w:rPr>
              <w:t>Вокзалы речные</w:t>
            </w:r>
          </w:p>
        </w:tc>
        <w:tc>
          <w:tcPr>
            <w:tcW w:w="855" w:type="dxa"/>
            <w:tcBorders>
              <w:top w:val="nil"/>
              <w:left w:val="nil"/>
              <w:bottom w:val="single" w:sz="4" w:space="0" w:color="auto"/>
              <w:right w:val="single" w:sz="4" w:space="0" w:color="auto"/>
            </w:tcBorders>
            <w:shd w:val="clear" w:color="FFFFFF" w:fill="FFFFFF"/>
            <w:vAlign w:val="center"/>
            <w:hideMark/>
          </w:tcPr>
          <w:p w14:paraId="51687E36"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 </w:t>
            </w:r>
          </w:p>
        </w:tc>
        <w:tc>
          <w:tcPr>
            <w:tcW w:w="793" w:type="dxa"/>
            <w:tcBorders>
              <w:top w:val="nil"/>
              <w:left w:val="nil"/>
              <w:bottom w:val="single" w:sz="4" w:space="0" w:color="auto"/>
              <w:right w:val="single" w:sz="4" w:space="0" w:color="auto"/>
            </w:tcBorders>
            <w:shd w:val="clear" w:color="auto" w:fill="auto"/>
            <w:vAlign w:val="center"/>
            <w:hideMark/>
          </w:tcPr>
          <w:p w14:paraId="30BEB6EF"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3,6</w:t>
            </w:r>
          </w:p>
        </w:tc>
        <w:tc>
          <w:tcPr>
            <w:tcW w:w="992" w:type="dxa"/>
            <w:tcBorders>
              <w:top w:val="nil"/>
              <w:left w:val="nil"/>
              <w:bottom w:val="single" w:sz="4" w:space="0" w:color="auto"/>
              <w:right w:val="single" w:sz="4" w:space="0" w:color="auto"/>
            </w:tcBorders>
            <w:shd w:val="clear" w:color="auto" w:fill="auto"/>
            <w:vAlign w:val="center"/>
            <w:hideMark/>
          </w:tcPr>
          <w:p w14:paraId="1F7CB615"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0,3</w:t>
            </w:r>
          </w:p>
        </w:tc>
        <w:tc>
          <w:tcPr>
            <w:tcW w:w="1030" w:type="dxa"/>
            <w:tcBorders>
              <w:top w:val="nil"/>
              <w:left w:val="nil"/>
              <w:bottom w:val="single" w:sz="4" w:space="0" w:color="auto"/>
              <w:right w:val="single" w:sz="4" w:space="0" w:color="auto"/>
            </w:tcBorders>
            <w:shd w:val="clear" w:color="auto" w:fill="auto"/>
            <w:vAlign w:val="center"/>
            <w:hideMark/>
          </w:tcPr>
          <w:p w14:paraId="0E621381"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3,9</w:t>
            </w:r>
          </w:p>
        </w:tc>
        <w:tc>
          <w:tcPr>
            <w:tcW w:w="1096" w:type="dxa"/>
            <w:tcBorders>
              <w:top w:val="nil"/>
              <w:left w:val="nil"/>
              <w:bottom w:val="single" w:sz="4" w:space="0" w:color="auto"/>
              <w:right w:val="single" w:sz="4" w:space="0" w:color="auto"/>
            </w:tcBorders>
            <w:shd w:val="clear" w:color="auto" w:fill="auto"/>
            <w:vAlign w:val="center"/>
            <w:hideMark/>
          </w:tcPr>
          <w:p w14:paraId="63930777"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1,6</w:t>
            </w:r>
          </w:p>
        </w:tc>
        <w:tc>
          <w:tcPr>
            <w:tcW w:w="1149" w:type="dxa"/>
            <w:tcBorders>
              <w:top w:val="nil"/>
              <w:left w:val="nil"/>
              <w:bottom w:val="single" w:sz="4" w:space="0" w:color="auto"/>
              <w:right w:val="single" w:sz="4" w:space="0" w:color="auto"/>
            </w:tcBorders>
            <w:shd w:val="clear" w:color="auto" w:fill="auto"/>
            <w:vAlign w:val="center"/>
            <w:hideMark/>
          </w:tcPr>
          <w:p w14:paraId="1A9244A3"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2,1</w:t>
            </w:r>
          </w:p>
        </w:tc>
        <w:tc>
          <w:tcPr>
            <w:tcW w:w="1119" w:type="dxa"/>
            <w:tcBorders>
              <w:top w:val="nil"/>
              <w:left w:val="nil"/>
              <w:bottom w:val="single" w:sz="4" w:space="0" w:color="auto"/>
              <w:right w:val="single" w:sz="4" w:space="0" w:color="auto"/>
            </w:tcBorders>
            <w:shd w:val="clear" w:color="auto" w:fill="auto"/>
            <w:vAlign w:val="center"/>
            <w:hideMark/>
          </w:tcPr>
          <w:p w14:paraId="785FE3F9"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2,4</w:t>
            </w:r>
          </w:p>
        </w:tc>
        <w:tc>
          <w:tcPr>
            <w:tcW w:w="3149" w:type="dxa"/>
            <w:tcBorders>
              <w:top w:val="nil"/>
              <w:left w:val="nil"/>
              <w:bottom w:val="single" w:sz="4" w:space="0" w:color="auto"/>
              <w:right w:val="single" w:sz="4" w:space="0" w:color="auto"/>
            </w:tcBorders>
            <w:shd w:val="clear" w:color="auto" w:fill="auto"/>
            <w:hideMark/>
          </w:tcPr>
          <w:p w14:paraId="11B9C198" w14:textId="77777777" w:rsidR="00322AE9" w:rsidRPr="00322AE9" w:rsidRDefault="00322AE9" w:rsidP="00322AE9">
            <w:pPr>
              <w:ind w:firstLine="0"/>
              <w:jc w:val="left"/>
              <w:rPr>
                <w:rFonts w:eastAsia="Times New Roman" w:cs="Times New Roman"/>
                <w:color w:val="000000"/>
                <w:sz w:val="18"/>
                <w:szCs w:val="18"/>
                <w:lang w:eastAsia="ru-RU"/>
              </w:rPr>
            </w:pPr>
            <w:r w:rsidRPr="00322AE9">
              <w:rPr>
                <w:rFonts w:eastAsia="Times New Roman" w:cs="Times New Roman"/>
                <w:color w:val="000000"/>
                <w:sz w:val="18"/>
                <w:szCs w:val="18"/>
                <w:lang w:eastAsia="ru-RU"/>
              </w:rPr>
              <w:t>МДС 32-1.2000 "Проектирование вокзалов", п.5.6.4</w:t>
            </w:r>
          </w:p>
        </w:tc>
      </w:tr>
      <w:tr w:rsidR="00322AE9" w:rsidRPr="00322AE9" w14:paraId="0E97F26F" w14:textId="77777777" w:rsidTr="00322AE9">
        <w:trPr>
          <w:trHeight w:val="510"/>
          <w:jc w:val="center"/>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48EF542A"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 </w:t>
            </w:r>
          </w:p>
        </w:tc>
        <w:tc>
          <w:tcPr>
            <w:tcW w:w="816" w:type="dxa"/>
            <w:tcBorders>
              <w:top w:val="nil"/>
              <w:left w:val="nil"/>
              <w:bottom w:val="single" w:sz="4" w:space="0" w:color="auto"/>
              <w:right w:val="single" w:sz="4" w:space="0" w:color="auto"/>
            </w:tcBorders>
            <w:shd w:val="clear" w:color="auto" w:fill="auto"/>
            <w:vAlign w:val="center"/>
            <w:hideMark/>
          </w:tcPr>
          <w:p w14:paraId="207C9D43"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0851</w:t>
            </w:r>
          </w:p>
        </w:tc>
        <w:tc>
          <w:tcPr>
            <w:tcW w:w="2893" w:type="dxa"/>
            <w:tcBorders>
              <w:top w:val="nil"/>
              <w:left w:val="nil"/>
              <w:bottom w:val="single" w:sz="4" w:space="0" w:color="auto"/>
              <w:right w:val="single" w:sz="4" w:space="0" w:color="auto"/>
            </w:tcBorders>
            <w:shd w:val="clear" w:color="auto" w:fill="auto"/>
            <w:vAlign w:val="center"/>
            <w:hideMark/>
          </w:tcPr>
          <w:p w14:paraId="67A9CA2F" w14:textId="77777777" w:rsidR="00322AE9" w:rsidRPr="00322AE9" w:rsidRDefault="00322AE9" w:rsidP="00322AE9">
            <w:pPr>
              <w:ind w:firstLine="0"/>
              <w:jc w:val="left"/>
              <w:rPr>
                <w:rFonts w:eastAsia="Times New Roman" w:cs="Times New Roman"/>
                <w:color w:val="000000"/>
                <w:sz w:val="20"/>
                <w:szCs w:val="20"/>
                <w:lang w:eastAsia="ru-RU"/>
              </w:rPr>
            </w:pPr>
            <w:r w:rsidRPr="00322AE9">
              <w:rPr>
                <w:rFonts w:eastAsia="Times New Roman" w:cs="Times New Roman"/>
                <w:color w:val="000000"/>
                <w:sz w:val="20"/>
                <w:szCs w:val="20"/>
                <w:lang w:eastAsia="ru-RU"/>
              </w:rPr>
              <w:t>Станции автобусные, троллейбусные, трамвайные (конечных станций, диспетчерские)</w:t>
            </w:r>
          </w:p>
        </w:tc>
        <w:tc>
          <w:tcPr>
            <w:tcW w:w="855" w:type="dxa"/>
            <w:tcBorders>
              <w:top w:val="nil"/>
              <w:left w:val="nil"/>
              <w:bottom w:val="single" w:sz="4" w:space="0" w:color="auto"/>
              <w:right w:val="single" w:sz="4" w:space="0" w:color="auto"/>
            </w:tcBorders>
            <w:shd w:val="clear" w:color="FFFFFF" w:fill="FFFFFF"/>
            <w:vAlign w:val="center"/>
            <w:hideMark/>
          </w:tcPr>
          <w:p w14:paraId="77BE6BC6"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 </w:t>
            </w:r>
          </w:p>
        </w:tc>
        <w:tc>
          <w:tcPr>
            <w:tcW w:w="793" w:type="dxa"/>
            <w:tcBorders>
              <w:top w:val="nil"/>
              <w:left w:val="nil"/>
              <w:bottom w:val="single" w:sz="4" w:space="0" w:color="auto"/>
              <w:right w:val="single" w:sz="4" w:space="0" w:color="auto"/>
            </w:tcBorders>
            <w:shd w:val="clear" w:color="auto" w:fill="auto"/>
            <w:vAlign w:val="center"/>
            <w:hideMark/>
          </w:tcPr>
          <w:p w14:paraId="5F39910D"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2,5</w:t>
            </w:r>
          </w:p>
        </w:tc>
        <w:tc>
          <w:tcPr>
            <w:tcW w:w="992" w:type="dxa"/>
            <w:tcBorders>
              <w:top w:val="nil"/>
              <w:left w:val="nil"/>
              <w:bottom w:val="single" w:sz="4" w:space="0" w:color="auto"/>
              <w:right w:val="single" w:sz="4" w:space="0" w:color="auto"/>
            </w:tcBorders>
            <w:shd w:val="clear" w:color="auto" w:fill="auto"/>
            <w:vAlign w:val="center"/>
            <w:hideMark/>
          </w:tcPr>
          <w:p w14:paraId="3E7E7EF5"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0,3</w:t>
            </w:r>
          </w:p>
        </w:tc>
        <w:tc>
          <w:tcPr>
            <w:tcW w:w="1030" w:type="dxa"/>
            <w:tcBorders>
              <w:top w:val="nil"/>
              <w:left w:val="nil"/>
              <w:bottom w:val="single" w:sz="4" w:space="0" w:color="auto"/>
              <w:right w:val="single" w:sz="4" w:space="0" w:color="auto"/>
            </w:tcBorders>
            <w:shd w:val="clear" w:color="auto" w:fill="auto"/>
            <w:vAlign w:val="center"/>
            <w:hideMark/>
          </w:tcPr>
          <w:p w14:paraId="15D951AD"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2,8</w:t>
            </w:r>
          </w:p>
        </w:tc>
        <w:tc>
          <w:tcPr>
            <w:tcW w:w="1096" w:type="dxa"/>
            <w:tcBorders>
              <w:top w:val="nil"/>
              <w:left w:val="nil"/>
              <w:bottom w:val="single" w:sz="4" w:space="0" w:color="auto"/>
              <w:right w:val="single" w:sz="4" w:space="0" w:color="auto"/>
            </w:tcBorders>
            <w:shd w:val="clear" w:color="auto" w:fill="auto"/>
            <w:vAlign w:val="center"/>
            <w:hideMark/>
          </w:tcPr>
          <w:p w14:paraId="4D1F1710"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1,6</w:t>
            </w:r>
          </w:p>
        </w:tc>
        <w:tc>
          <w:tcPr>
            <w:tcW w:w="1149" w:type="dxa"/>
            <w:tcBorders>
              <w:top w:val="nil"/>
              <w:left w:val="nil"/>
              <w:bottom w:val="single" w:sz="4" w:space="0" w:color="auto"/>
              <w:right w:val="single" w:sz="4" w:space="0" w:color="auto"/>
            </w:tcBorders>
            <w:shd w:val="clear" w:color="auto" w:fill="auto"/>
            <w:vAlign w:val="center"/>
            <w:hideMark/>
          </w:tcPr>
          <w:p w14:paraId="3CC4AA03"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2,1</w:t>
            </w:r>
          </w:p>
        </w:tc>
        <w:tc>
          <w:tcPr>
            <w:tcW w:w="1119" w:type="dxa"/>
            <w:tcBorders>
              <w:top w:val="nil"/>
              <w:left w:val="nil"/>
              <w:bottom w:val="single" w:sz="4" w:space="0" w:color="auto"/>
              <w:right w:val="single" w:sz="4" w:space="0" w:color="auto"/>
            </w:tcBorders>
            <w:shd w:val="clear" w:color="auto" w:fill="auto"/>
            <w:vAlign w:val="center"/>
            <w:hideMark/>
          </w:tcPr>
          <w:p w14:paraId="5FBB0FD4"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2,4</w:t>
            </w:r>
          </w:p>
        </w:tc>
        <w:tc>
          <w:tcPr>
            <w:tcW w:w="3149" w:type="dxa"/>
            <w:tcBorders>
              <w:top w:val="nil"/>
              <w:left w:val="nil"/>
              <w:bottom w:val="single" w:sz="4" w:space="0" w:color="auto"/>
              <w:right w:val="single" w:sz="4" w:space="0" w:color="auto"/>
            </w:tcBorders>
            <w:shd w:val="clear" w:color="auto" w:fill="auto"/>
            <w:hideMark/>
          </w:tcPr>
          <w:p w14:paraId="265B1095" w14:textId="77777777" w:rsidR="00322AE9" w:rsidRPr="00322AE9" w:rsidRDefault="00322AE9" w:rsidP="00322AE9">
            <w:pPr>
              <w:ind w:firstLine="0"/>
              <w:jc w:val="left"/>
              <w:rPr>
                <w:rFonts w:eastAsia="Times New Roman" w:cs="Times New Roman"/>
                <w:color w:val="000000"/>
                <w:sz w:val="18"/>
                <w:szCs w:val="18"/>
                <w:lang w:eastAsia="ru-RU"/>
              </w:rPr>
            </w:pPr>
            <w:r w:rsidRPr="00322AE9">
              <w:rPr>
                <w:rFonts w:eastAsia="Times New Roman" w:cs="Times New Roman"/>
                <w:color w:val="000000"/>
                <w:sz w:val="18"/>
                <w:szCs w:val="18"/>
                <w:lang w:eastAsia="ru-RU"/>
              </w:rPr>
              <w:t>СП 44.13330.2011 "Административные и бытовые здания"</w:t>
            </w:r>
          </w:p>
        </w:tc>
      </w:tr>
      <w:tr w:rsidR="00322AE9" w:rsidRPr="00322AE9" w14:paraId="63DF7B04" w14:textId="77777777" w:rsidTr="00322AE9">
        <w:trPr>
          <w:trHeight w:val="510"/>
          <w:jc w:val="center"/>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763C38AE"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 </w:t>
            </w:r>
          </w:p>
        </w:tc>
        <w:tc>
          <w:tcPr>
            <w:tcW w:w="816" w:type="dxa"/>
            <w:tcBorders>
              <w:top w:val="nil"/>
              <w:left w:val="nil"/>
              <w:bottom w:val="single" w:sz="4" w:space="0" w:color="auto"/>
              <w:right w:val="single" w:sz="4" w:space="0" w:color="auto"/>
            </w:tcBorders>
            <w:shd w:val="clear" w:color="auto" w:fill="auto"/>
            <w:vAlign w:val="center"/>
            <w:hideMark/>
          </w:tcPr>
          <w:p w14:paraId="7F57596D"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0852</w:t>
            </w:r>
          </w:p>
        </w:tc>
        <w:tc>
          <w:tcPr>
            <w:tcW w:w="2893" w:type="dxa"/>
            <w:tcBorders>
              <w:top w:val="nil"/>
              <w:left w:val="nil"/>
              <w:bottom w:val="single" w:sz="4" w:space="0" w:color="auto"/>
              <w:right w:val="single" w:sz="4" w:space="0" w:color="auto"/>
            </w:tcBorders>
            <w:shd w:val="clear" w:color="auto" w:fill="auto"/>
            <w:vAlign w:val="center"/>
            <w:hideMark/>
          </w:tcPr>
          <w:p w14:paraId="550EB24B" w14:textId="77777777" w:rsidR="00322AE9" w:rsidRPr="00322AE9" w:rsidRDefault="00322AE9" w:rsidP="00322AE9">
            <w:pPr>
              <w:ind w:firstLine="0"/>
              <w:jc w:val="left"/>
              <w:rPr>
                <w:rFonts w:eastAsia="Times New Roman" w:cs="Times New Roman"/>
                <w:color w:val="000000"/>
                <w:sz w:val="20"/>
                <w:szCs w:val="20"/>
                <w:lang w:eastAsia="ru-RU"/>
              </w:rPr>
            </w:pPr>
            <w:r w:rsidRPr="00322AE9">
              <w:rPr>
                <w:rFonts w:eastAsia="Times New Roman" w:cs="Times New Roman"/>
                <w:color w:val="000000"/>
                <w:sz w:val="20"/>
                <w:szCs w:val="20"/>
                <w:lang w:eastAsia="ru-RU"/>
              </w:rPr>
              <w:t>Прочие объекты, предназначенные для перевозки и обслуживанию пассажиров, обработки их багажа</w:t>
            </w:r>
          </w:p>
        </w:tc>
        <w:tc>
          <w:tcPr>
            <w:tcW w:w="855" w:type="dxa"/>
            <w:tcBorders>
              <w:top w:val="nil"/>
              <w:left w:val="nil"/>
              <w:bottom w:val="single" w:sz="4" w:space="0" w:color="auto"/>
              <w:right w:val="single" w:sz="4" w:space="0" w:color="auto"/>
            </w:tcBorders>
            <w:shd w:val="clear" w:color="FFFFFF" w:fill="FFFFFF"/>
            <w:vAlign w:val="center"/>
            <w:hideMark/>
          </w:tcPr>
          <w:p w14:paraId="2FDABF4A"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 </w:t>
            </w:r>
          </w:p>
        </w:tc>
        <w:tc>
          <w:tcPr>
            <w:tcW w:w="793" w:type="dxa"/>
            <w:tcBorders>
              <w:top w:val="nil"/>
              <w:left w:val="nil"/>
              <w:bottom w:val="single" w:sz="4" w:space="0" w:color="auto"/>
              <w:right w:val="single" w:sz="4" w:space="0" w:color="auto"/>
            </w:tcBorders>
            <w:shd w:val="clear" w:color="auto" w:fill="auto"/>
            <w:vAlign w:val="center"/>
            <w:hideMark/>
          </w:tcPr>
          <w:p w14:paraId="75E93DC4"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2,5</w:t>
            </w:r>
          </w:p>
        </w:tc>
        <w:tc>
          <w:tcPr>
            <w:tcW w:w="992" w:type="dxa"/>
            <w:tcBorders>
              <w:top w:val="nil"/>
              <w:left w:val="nil"/>
              <w:bottom w:val="single" w:sz="4" w:space="0" w:color="auto"/>
              <w:right w:val="single" w:sz="4" w:space="0" w:color="auto"/>
            </w:tcBorders>
            <w:shd w:val="clear" w:color="auto" w:fill="auto"/>
            <w:vAlign w:val="center"/>
            <w:hideMark/>
          </w:tcPr>
          <w:p w14:paraId="0FF377C6"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0,3</w:t>
            </w:r>
          </w:p>
        </w:tc>
        <w:tc>
          <w:tcPr>
            <w:tcW w:w="1030" w:type="dxa"/>
            <w:tcBorders>
              <w:top w:val="nil"/>
              <w:left w:val="nil"/>
              <w:bottom w:val="single" w:sz="4" w:space="0" w:color="auto"/>
              <w:right w:val="single" w:sz="4" w:space="0" w:color="auto"/>
            </w:tcBorders>
            <w:shd w:val="clear" w:color="auto" w:fill="auto"/>
            <w:vAlign w:val="center"/>
            <w:hideMark/>
          </w:tcPr>
          <w:p w14:paraId="0A46AC3E"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2,8</w:t>
            </w:r>
          </w:p>
        </w:tc>
        <w:tc>
          <w:tcPr>
            <w:tcW w:w="1096" w:type="dxa"/>
            <w:tcBorders>
              <w:top w:val="nil"/>
              <w:left w:val="nil"/>
              <w:bottom w:val="single" w:sz="4" w:space="0" w:color="auto"/>
              <w:right w:val="single" w:sz="4" w:space="0" w:color="auto"/>
            </w:tcBorders>
            <w:shd w:val="clear" w:color="auto" w:fill="auto"/>
            <w:vAlign w:val="center"/>
            <w:hideMark/>
          </w:tcPr>
          <w:p w14:paraId="544A7AAC"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1,6</w:t>
            </w:r>
          </w:p>
        </w:tc>
        <w:tc>
          <w:tcPr>
            <w:tcW w:w="1149" w:type="dxa"/>
            <w:tcBorders>
              <w:top w:val="nil"/>
              <w:left w:val="nil"/>
              <w:bottom w:val="single" w:sz="4" w:space="0" w:color="auto"/>
              <w:right w:val="single" w:sz="4" w:space="0" w:color="auto"/>
            </w:tcBorders>
            <w:shd w:val="clear" w:color="auto" w:fill="auto"/>
            <w:vAlign w:val="center"/>
            <w:hideMark/>
          </w:tcPr>
          <w:p w14:paraId="48510282"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2,1</w:t>
            </w:r>
          </w:p>
        </w:tc>
        <w:tc>
          <w:tcPr>
            <w:tcW w:w="1119" w:type="dxa"/>
            <w:tcBorders>
              <w:top w:val="nil"/>
              <w:left w:val="nil"/>
              <w:bottom w:val="single" w:sz="4" w:space="0" w:color="auto"/>
              <w:right w:val="single" w:sz="4" w:space="0" w:color="auto"/>
            </w:tcBorders>
            <w:shd w:val="clear" w:color="auto" w:fill="auto"/>
            <w:vAlign w:val="center"/>
            <w:hideMark/>
          </w:tcPr>
          <w:p w14:paraId="66DA0FE3"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2,4</w:t>
            </w:r>
          </w:p>
        </w:tc>
        <w:tc>
          <w:tcPr>
            <w:tcW w:w="3149" w:type="dxa"/>
            <w:tcBorders>
              <w:top w:val="nil"/>
              <w:left w:val="nil"/>
              <w:bottom w:val="single" w:sz="4" w:space="0" w:color="auto"/>
              <w:right w:val="single" w:sz="4" w:space="0" w:color="auto"/>
            </w:tcBorders>
            <w:shd w:val="clear" w:color="auto" w:fill="auto"/>
            <w:hideMark/>
          </w:tcPr>
          <w:p w14:paraId="56A06F6D" w14:textId="77777777" w:rsidR="00322AE9" w:rsidRPr="00322AE9" w:rsidRDefault="00322AE9" w:rsidP="00322AE9">
            <w:pPr>
              <w:ind w:firstLine="0"/>
              <w:jc w:val="left"/>
              <w:rPr>
                <w:rFonts w:eastAsia="Times New Roman" w:cs="Times New Roman"/>
                <w:color w:val="000000"/>
                <w:sz w:val="18"/>
                <w:szCs w:val="18"/>
                <w:lang w:eastAsia="ru-RU"/>
              </w:rPr>
            </w:pPr>
            <w:r w:rsidRPr="00322AE9">
              <w:rPr>
                <w:rFonts w:eastAsia="Times New Roman" w:cs="Times New Roman"/>
                <w:color w:val="000000"/>
                <w:sz w:val="18"/>
                <w:szCs w:val="18"/>
                <w:lang w:eastAsia="ru-RU"/>
              </w:rPr>
              <w:t>СП 44.13330.2011 "Административные и бытовые здания", п.4.6</w:t>
            </w:r>
          </w:p>
        </w:tc>
      </w:tr>
      <w:tr w:rsidR="00322AE9" w:rsidRPr="00322AE9" w14:paraId="6F9E5F46" w14:textId="77777777" w:rsidTr="00322AE9">
        <w:trPr>
          <w:trHeight w:val="300"/>
          <w:jc w:val="center"/>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0F7F412A" w14:textId="77777777" w:rsidR="00322AE9" w:rsidRPr="00322AE9" w:rsidRDefault="00322AE9" w:rsidP="00322AE9">
            <w:pPr>
              <w:ind w:firstLine="0"/>
              <w:jc w:val="center"/>
              <w:rPr>
                <w:rFonts w:eastAsia="Times New Roman" w:cs="Times New Roman"/>
                <w:b/>
                <w:bCs/>
                <w:color w:val="000000"/>
                <w:sz w:val="20"/>
                <w:szCs w:val="20"/>
                <w:lang w:eastAsia="ru-RU"/>
              </w:rPr>
            </w:pPr>
            <w:r w:rsidRPr="00322AE9">
              <w:rPr>
                <w:rFonts w:eastAsia="Times New Roman" w:cs="Times New Roman"/>
                <w:b/>
                <w:bCs/>
                <w:color w:val="000000"/>
                <w:sz w:val="20"/>
                <w:szCs w:val="20"/>
                <w:lang w:eastAsia="ru-RU"/>
              </w:rPr>
              <w:t>09</w:t>
            </w:r>
          </w:p>
        </w:tc>
        <w:tc>
          <w:tcPr>
            <w:tcW w:w="816" w:type="dxa"/>
            <w:tcBorders>
              <w:top w:val="nil"/>
              <w:left w:val="nil"/>
              <w:bottom w:val="single" w:sz="4" w:space="0" w:color="auto"/>
              <w:right w:val="single" w:sz="4" w:space="0" w:color="auto"/>
            </w:tcBorders>
            <w:shd w:val="clear" w:color="auto" w:fill="auto"/>
            <w:vAlign w:val="center"/>
            <w:hideMark/>
          </w:tcPr>
          <w:p w14:paraId="1FF3B3A3" w14:textId="77777777" w:rsidR="00322AE9" w:rsidRPr="00322AE9" w:rsidRDefault="00322AE9" w:rsidP="00322AE9">
            <w:pPr>
              <w:ind w:firstLine="0"/>
              <w:jc w:val="center"/>
              <w:rPr>
                <w:rFonts w:eastAsia="Times New Roman" w:cs="Times New Roman"/>
                <w:b/>
                <w:bCs/>
                <w:color w:val="000000"/>
                <w:sz w:val="20"/>
                <w:szCs w:val="20"/>
                <w:lang w:eastAsia="ru-RU"/>
              </w:rPr>
            </w:pPr>
            <w:r w:rsidRPr="00322AE9">
              <w:rPr>
                <w:rFonts w:eastAsia="Times New Roman" w:cs="Times New Roman"/>
                <w:b/>
                <w:bCs/>
                <w:color w:val="000000"/>
                <w:sz w:val="20"/>
                <w:szCs w:val="20"/>
                <w:lang w:eastAsia="ru-RU"/>
              </w:rPr>
              <w:t>0900</w:t>
            </w:r>
          </w:p>
        </w:tc>
        <w:tc>
          <w:tcPr>
            <w:tcW w:w="2893" w:type="dxa"/>
            <w:tcBorders>
              <w:top w:val="nil"/>
              <w:left w:val="nil"/>
              <w:bottom w:val="single" w:sz="4" w:space="0" w:color="auto"/>
              <w:right w:val="single" w:sz="4" w:space="0" w:color="auto"/>
            </w:tcBorders>
            <w:shd w:val="clear" w:color="auto" w:fill="auto"/>
            <w:vAlign w:val="center"/>
            <w:hideMark/>
          </w:tcPr>
          <w:p w14:paraId="633F43B6" w14:textId="77777777" w:rsidR="00322AE9" w:rsidRPr="00322AE9" w:rsidRDefault="00322AE9" w:rsidP="00322AE9">
            <w:pPr>
              <w:ind w:firstLine="0"/>
              <w:jc w:val="left"/>
              <w:rPr>
                <w:rFonts w:eastAsia="Times New Roman" w:cs="Times New Roman"/>
                <w:b/>
                <w:bCs/>
                <w:color w:val="000000"/>
                <w:sz w:val="20"/>
                <w:szCs w:val="20"/>
                <w:lang w:eastAsia="ru-RU"/>
              </w:rPr>
            </w:pPr>
            <w:r w:rsidRPr="00322AE9">
              <w:rPr>
                <w:rFonts w:eastAsia="Times New Roman" w:cs="Times New Roman"/>
                <w:b/>
                <w:bCs/>
                <w:color w:val="000000"/>
                <w:sz w:val="20"/>
                <w:szCs w:val="20"/>
                <w:lang w:eastAsia="ru-RU"/>
              </w:rPr>
              <w:t>Группа 9. Прочие объекты</w:t>
            </w:r>
          </w:p>
        </w:tc>
        <w:tc>
          <w:tcPr>
            <w:tcW w:w="855" w:type="dxa"/>
            <w:tcBorders>
              <w:top w:val="nil"/>
              <w:left w:val="nil"/>
              <w:bottom w:val="single" w:sz="4" w:space="0" w:color="auto"/>
              <w:right w:val="single" w:sz="4" w:space="0" w:color="auto"/>
            </w:tcBorders>
            <w:shd w:val="clear" w:color="FFFFFF" w:fill="FFFFFF"/>
            <w:vAlign w:val="center"/>
            <w:hideMark/>
          </w:tcPr>
          <w:p w14:paraId="0D15929C" w14:textId="77777777" w:rsidR="00322AE9" w:rsidRPr="00322AE9" w:rsidRDefault="00322AE9" w:rsidP="00322AE9">
            <w:pPr>
              <w:ind w:firstLine="0"/>
              <w:jc w:val="left"/>
              <w:rPr>
                <w:rFonts w:eastAsia="Times New Roman" w:cs="Times New Roman"/>
                <w:color w:val="000000"/>
                <w:sz w:val="18"/>
                <w:szCs w:val="18"/>
                <w:u w:val="single"/>
                <w:lang w:eastAsia="ru-RU"/>
              </w:rPr>
            </w:pPr>
            <w:r w:rsidRPr="00322AE9">
              <w:rPr>
                <w:rFonts w:eastAsia="Times New Roman" w:cs="Times New Roman"/>
                <w:color w:val="000000"/>
                <w:sz w:val="18"/>
                <w:szCs w:val="18"/>
                <w:u w:val="single"/>
                <w:lang w:eastAsia="ru-RU"/>
              </w:rPr>
              <w:t> </w:t>
            </w:r>
          </w:p>
        </w:tc>
        <w:tc>
          <w:tcPr>
            <w:tcW w:w="793" w:type="dxa"/>
            <w:tcBorders>
              <w:top w:val="nil"/>
              <w:left w:val="nil"/>
              <w:bottom w:val="single" w:sz="4" w:space="0" w:color="auto"/>
              <w:right w:val="single" w:sz="4" w:space="0" w:color="auto"/>
            </w:tcBorders>
            <w:shd w:val="clear" w:color="auto" w:fill="auto"/>
            <w:vAlign w:val="center"/>
            <w:hideMark/>
          </w:tcPr>
          <w:p w14:paraId="0FA616F5"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2,1</w:t>
            </w:r>
          </w:p>
        </w:tc>
        <w:tc>
          <w:tcPr>
            <w:tcW w:w="992" w:type="dxa"/>
            <w:tcBorders>
              <w:top w:val="nil"/>
              <w:left w:val="nil"/>
              <w:bottom w:val="single" w:sz="4" w:space="0" w:color="auto"/>
              <w:right w:val="single" w:sz="4" w:space="0" w:color="auto"/>
            </w:tcBorders>
            <w:shd w:val="clear" w:color="auto" w:fill="auto"/>
            <w:vAlign w:val="center"/>
            <w:hideMark/>
          </w:tcPr>
          <w:p w14:paraId="71CB75E4"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0,3</w:t>
            </w:r>
          </w:p>
        </w:tc>
        <w:tc>
          <w:tcPr>
            <w:tcW w:w="1030" w:type="dxa"/>
            <w:tcBorders>
              <w:top w:val="nil"/>
              <w:left w:val="nil"/>
              <w:bottom w:val="single" w:sz="4" w:space="0" w:color="auto"/>
              <w:right w:val="single" w:sz="4" w:space="0" w:color="auto"/>
            </w:tcBorders>
            <w:shd w:val="clear" w:color="auto" w:fill="auto"/>
            <w:vAlign w:val="center"/>
            <w:hideMark/>
          </w:tcPr>
          <w:p w14:paraId="25769135"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2,4</w:t>
            </w:r>
          </w:p>
        </w:tc>
        <w:tc>
          <w:tcPr>
            <w:tcW w:w="1096" w:type="dxa"/>
            <w:tcBorders>
              <w:top w:val="nil"/>
              <w:left w:val="nil"/>
              <w:bottom w:val="single" w:sz="4" w:space="0" w:color="auto"/>
              <w:right w:val="single" w:sz="4" w:space="0" w:color="auto"/>
            </w:tcBorders>
            <w:shd w:val="clear" w:color="auto" w:fill="auto"/>
            <w:vAlign w:val="center"/>
            <w:hideMark/>
          </w:tcPr>
          <w:p w14:paraId="50AD6EF3"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1,6</w:t>
            </w:r>
          </w:p>
        </w:tc>
        <w:tc>
          <w:tcPr>
            <w:tcW w:w="1149" w:type="dxa"/>
            <w:tcBorders>
              <w:top w:val="nil"/>
              <w:left w:val="nil"/>
              <w:bottom w:val="single" w:sz="4" w:space="0" w:color="auto"/>
              <w:right w:val="single" w:sz="4" w:space="0" w:color="auto"/>
            </w:tcBorders>
            <w:shd w:val="clear" w:color="auto" w:fill="auto"/>
            <w:vAlign w:val="center"/>
            <w:hideMark/>
          </w:tcPr>
          <w:p w14:paraId="2886522C"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2,1</w:t>
            </w:r>
          </w:p>
        </w:tc>
        <w:tc>
          <w:tcPr>
            <w:tcW w:w="1119" w:type="dxa"/>
            <w:tcBorders>
              <w:top w:val="nil"/>
              <w:left w:val="nil"/>
              <w:bottom w:val="single" w:sz="4" w:space="0" w:color="auto"/>
              <w:right w:val="single" w:sz="4" w:space="0" w:color="auto"/>
            </w:tcBorders>
            <w:shd w:val="clear" w:color="auto" w:fill="auto"/>
            <w:vAlign w:val="center"/>
            <w:hideMark/>
          </w:tcPr>
          <w:p w14:paraId="440B190F"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2,4</w:t>
            </w:r>
          </w:p>
        </w:tc>
        <w:tc>
          <w:tcPr>
            <w:tcW w:w="3149" w:type="dxa"/>
            <w:tcBorders>
              <w:top w:val="nil"/>
              <w:left w:val="nil"/>
              <w:bottom w:val="single" w:sz="4" w:space="0" w:color="auto"/>
              <w:right w:val="single" w:sz="4" w:space="0" w:color="auto"/>
            </w:tcBorders>
            <w:shd w:val="clear" w:color="auto" w:fill="auto"/>
            <w:hideMark/>
          </w:tcPr>
          <w:p w14:paraId="78CD1B54" w14:textId="77777777" w:rsidR="00322AE9" w:rsidRPr="00322AE9" w:rsidRDefault="00322AE9" w:rsidP="00322AE9">
            <w:pPr>
              <w:ind w:firstLine="0"/>
              <w:jc w:val="left"/>
              <w:rPr>
                <w:rFonts w:eastAsia="Times New Roman" w:cs="Times New Roman"/>
                <w:color w:val="000000"/>
                <w:sz w:val="18"/>
                <w:szCs w:val="18"/>
                <w:lang w:eastAsia="ru-RU"/>
              </w:rPr>
            </w:pPr>
            <w:r w:rsidRPr="00322AE9">
              <w:rPr>
                <w:rFonts w:eastAsia="Times New Roman" w:cs="Times New Roman"/>
                <w:color w:val="000000"/>
                <w:sz w:val="18"/>
                <w:szCs w:val="18"/>
                <w:lang w:eastAsia="ru-RU"/>
              </w:rPr>
              <w:t> </w:t>
            </w:r>
          </w:p>
        </w:tc>
      </w:tr>
      <w:tr w:rsidR="00322AE9" w:rsidRPr="00322AE9" w14:paraId="53F4D0FC" w14:textId="77777777" w:rsidTr="00322AE9">
        <w:trPr>
          <w:trHeight w:val="480"/>
          <w:jc w:val="center"/>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29B9E0B7"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 </w:t>
            </w:r>
          </w:p>
        </w:tc>
        <w:tc>
          <w:tcPr>
            <w:tcW w:w="816" w:type="dxa"/>
            <w:tcBorders>
              <w:top w:val="nil"/>
              <w:left w:val="nil"/>
              <w:bottom w:val="single" w:sz="4" w:space="0" w:color="auto"/>
              <w:right w:val="single" w:sz="4" w:space="0" w:color="auto"/>
            </w:tcBorders>
            <w:shd w:val="clear" w:color="auto" w:fill="auto"/>
            <w:vAlign w:val="center"/>
            <w:hideMark/>
          </w:tcPr>
          <w:p w14:paraId="5AEE8FB1"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0901</w:t>
            </w:r>
          </w:p>
        </w:tc>
        <w:tc>
          <w:tcPr>
            <w:tcW w:w="2893" w:type="dxa"/>
            <w:tcBorders>
              <w:top w:val="nil"/>
              <w:left w:val="nil"/>
              <w:bottom w:val="single" w:sz="4" w:space="0" w:color="auto"/>
              <w:right w:val="single" w:sz="4" w:space="0" w:color="auto"/>
            </w:tcBorders>
            <w:shd w:val="clear" w:color="auto" w:fill="auto"/>
            <w:vAlign w:val="center"/>
            <w:hideMark/>
          </w:tcPr>
          <w:p w14:paraId="0D0B5085" w14:textId="77777777" w:rsidR="00322AE9" w:rsidRPr="00322AE9" w:rsidRDefault="00322AE9" w:rsidP="00322AE9">
            <w:pPr>
              <w:ind w:firstLine="0"/>
              <w:jc w:val="left"/>
              <w:rPr>
                <w:rFonts w:eastAsia="Times New Roman" w:cs="Times New Roman"/>
                <w:color w:val="000000"/>
                <w:sz w:val="20"/>
                <w:szCs w:val="20"/>
                <w:lang w:eastAsia="ru-RU"/>
              </w:rPr>
            </w:pPr>
            <w:r w:rsidRPr="00322AE9">
              <w:rPr>
                <w:rFonts w:eastAsia="Times New Roman" w:cs="Times New Roman"/>
                <w:color w:val="000000"/>
                <w:sz w:val="20"/>
                <w:szCs w:val="20"/>
                <w:lang w:eastAsia="ru-RU"/>
              </w:rPr>
              <w:t>Объекты гражданской обороны</w:t>
            </w:r>
          </w:p>
        </w:tc>
        <w:tc>
          <w:tcPr>
            <w:tcW w:w="855" w:type="dxa"/>
            <w:tcBorders>
              <w:top w:val="nil"/>
              <w:left w:val="nil"/>
              <w:bottom w:val="single" w:sz="4" w:space="0" w:color="auto"/>
              <w:right w:val="single" w:sz="4" w:space="0" w:color="auto"/>
            </w:tcBorders>
            <w:shd w:val="clear" w:color="FFFFFF" w:fill="FFFFFF"/>
            <w:vAlign w:val="center"/>
            <w:hideMark/>
          </w:tcPr>
          <w:p w14:paraId="061CC248"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 </w:t>
            </w:r>
          </w:p>
        </w:tc>
        <w:tc>
          <w:tcPr>
            <w:tcW w:w="793" w:type="dxa"/>
            <w:tcBorders>
              <w:top w:val="nil"/>
              <w:left w:val="nil"/>
              <w:bottom w:val="single" w:sz="4" w:space="0" w:color="auto"/>
              <w:right w:val="single" w:sz="4" w:space="0" w:color="auto"/>
            </w:tcBorders>
            <w:shd w:val="clear" w:color="auto" w:fill="auto"/>
            <w:vAlign w:val="center"/>
            <w:hideMark/>
          </w:tcPr>
          <w:p w14:paraId="1855EDF8"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2,15</w:t>
            </w:r>
          </w:p>
        </w:tc>
        <w:tc>
          <w:tcPr>
            <w:tcW w:w="992" w:type="dxa"/>
            <w:tcBorders>
              <w:top w:val="nil"/>
              <w:left w:val="nil"/>
              <w:bottom w:val="single" w:sz="4" w:space="0" w:color="auto"/>
              <w:right w:val="single" w:sz="4" w:space="0" w:color="auto"/>
            </w:tcBorders>
            <w:shd w:val="clear" w:color="auto" w:fill="auto"/>
            <w:vAlign w:val="center"/>
            <w:hideMark/>
          </w:tcPr>
          <w:p w14:paraId="33970435"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0,3</w:t>
            </w:r>
          </w:p>
        </w:tc>
        <w:tc>
          <w:tcPr>
            <w:tcW w:w="1030" w:type="dxa"/>
            <w:tcBorders>
              <w:top w:val="nil"/>
              <w:left w:val="nil"/>
              <w:bottom w:val="single" w:sz="4" w:space="0" w:color="auto"/>
              <w:right w:val="single" w:sz="4" w:space="0" w:color="auto"/>
            </w:tcBorders>
            <w:shd w:val="clear" w:color="auto" w:fill="auto"/>
            <w:vAlign w:val="center"/>
            <w:hideMark/>
          </w:tcPr>
          <w:p w14:paraId="4389392C"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2,45</w:t>
            </w:r>
          </w:p>
        </w:tc>
        <w:tc>
          <w:tcPr>
            <w:tcW w:w="1096" w:type="dxa"/>
            <w:tcBorders>
              <w:top w:val="nil"/>
              <w:left w:val="nil"/>
              <w:bottom w:val="single" w:sz="4" w:space="0" w:color="auto"/>
              <w:right w:val="single" w:sz="4" w:space="0" w:color="auto"/>
            </w:tcBorders>
            <w:shd w:val="clear" w:color="auto" w:fill="auto"/>
            <w:vAlign w:val="center"/>
            <w:hideMark/>
          </w:tcPr>
          <w:p w14:paraId="0263379D"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1,6</w:t>
            </w:r>
          </w:p>
        </w:tc>
        <w:tc>
          <w:tcPr>
            <w:tcW w:w="1149" w:type="dxa"/>
            <w:tcBorders>
              <w:top w:val="nil"/>
              <w:left w:val="nil"/>
              <w:bottom w:val="single" w:sz="4" w:space="0" w:color="auto"/>
              <w:right w:val="single" w:sz="4" w:space="0" w:color="auto"/>
            </w:tcBorders>
            <w:shd w:val="clear" w:color="auto" w:fill="auto"/>
            <w:vAlign w:val="center"/>
            <w:hideMark/>
          </w:tcPr>
          <w:p w14:paraId="3359215B"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2,1</w:t>
            </w:r>
          </w:p>
        </w:tc>
        <w:tc>
          <w:tcPr>
            <w:tcW w:w="1119" w:type="dxa"/>
            <w:tcBorders>
              <w:top w:val="nil"/>
              <w:left w:val="nil"/>
              <w:bottom w:val="single" w:sz="4" w:space="0" w:color="auto"/>
              <w:right w:val="single" w:sz="4" w:space="0" w:color="auto"/>
            </w:tcBorders>
            <w:shd w:val="clear" w:color="auto" w:fill="auto"/>
            <w:vAlign w:val="center"/>
            <w:hideMark/>
          </w:tcPr>
          <w:p w14:paraId="7D61770D"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2,4</w:t>
            </w:r>
          </w:p>
        </w:tc>
        <w:tc>
          <w:tcPr>
            <w:tcW w:w="3149" w:type="dxa"/>
            <w:tcBorders>
              <w:top w:val="nil"/>
              <w:left w:val="nil"/>
              <w:bottom w:val="single" w:sz="4" w:space="0" w:color="auto"/>
              <w:right w:val="single" w:sz="4" w:space="0" w:color="auto"/>
            </w:tcBorders>
            <w:shd w:val="clear" w:color="auto" w:fill="auto"/>
            <w:hideMark/>
          </w:tcPr>
          <w:p w14:paraId="1F211A25" w14:textId="77777777" w:rsidR="00322AE9" w:rsidRPr="00322AE9" w:rsidRDefault="00322AE9" w:rsidP="00322AE9">
            <w:pPr>
              <w:ind w:firstLine="0"/>
              <w:jc w:val="left"/>
              <w:rPr>
                <w:rFonts w:eastAsia="Times New Roman" w:cs="Times New Roman"/>
                <w:color w:val="000000"/>
                <w:sz w:val="18"/>
                <w:szCs w:val="18"/>
                <w:lang w:eastAsia="ru-RU"/>
              </w:rPr>
            </w:pPr>
            <w:r w:rsidRPr="00322AE9">
              <w:rPr>
                <w:rFonts w:eastAsia="Times New Roman" w:cs="Times New Roman"/>
                <w:color w:val="000000"/>
                <w:sz w:val="18"/>
                <w:szCs w:val="18"/>
                <w:lang w:eastAsia="ru-RU"/>
              </w:rPr>
              <w:t>СП 88.13330.2014 "Защитные сооружения гражданской обороны" п.5.2.2</w:t>
            </w:r>
          </w:p>
        </w:tc>
      </w:tr>
      <w:tr w:rsidR="00322AE9" w:rsidRPr="00322AE9" w14:paraId="739238BA" w14:textId="77777777" w:rsidTr="00322AE9">
        <w:trPr>
          <w:trHeight w:val="720"/>
          <w:jc w:val="center"/>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720241B0"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 </w:t>
            </w:r>
          </w:p>
        </w:tc>
        <w:tc>
          <w:tcPr>
            <w:tcW w:w="816" w:type="dxa"/>
            <w:tcBorders>
              <w:top w:val="nil"/>
              <w:left w:val="nil"/>
              <w:bottom w:val="single" w:sz="4" w:space="0" w:color="auto"/>
              <w:right w:val="single" w:sz="4" w:space="0" w:color="auto"/>
            </w:tcBorders>
            <w:shd w:val="clear" w:color="auto" w:fill="auto"/>
            <w:vAlign w:val="center"/>
            <w:hideMark/>
          </w:tcPr>
          <w:p w14:paraId="5B9EFD97"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0902</w:t>
            </w:r>
          </w:p>
        </w:tc>
        <w:tc>
          <w:tcPr>
            <w:tcW w:w="2893" w:type="dxa"/>
            <w:tcBorders>
              <w:top w:val="nil"/>
              <w:left w:val="nil"/>
              <w:bottom w:val="single" w:sz="4" w:space="0" w:color="auto"/>
              <w:right w:val="single" w:sz="4" w:space="0" w:color="auto"/>
            </w:tcBorders>
            <w:shd w:val="clear" w:color="auto" w:fill="auto"/>
            <w:vAlign w:val="center"/>
            <w:hideMark/>
          </w:tcPr>
          <w:p w14:paraId="7D735F0C" w14:textId="77777777" w:rsidR="00322AE9" w:rsidRPr="00322AE9" w:rsidRDefault="00322AE9" w:rsidP="00322AE9">
            <w:pPr>
              <w:ind w:firstLine="0"/>
              <w:jc w:val="left"/>
              <w:rPr>
                <w:rFonts w:eastAsia="Times New Roman" w:cs="Times New Roman"/>
                <w:color w:val="000000"/>
                <w:sz w:val="20"/>
                <w:szCs w:val="20"/>
                <w:lang w:eastAsia="ru-RU"/>
              </w:rPr>
            </w:pPr>
            <w:r w:rsidRPr="00322AE9">
              <w:rPr>
                <w:rFonts w:eastAsia="Times New Roman" w:cs="Times New Roman"/>
                <w:color w:val="000000"/>
                <w:sz w:val="20"/>
                <w:szCs w:val="20"/>
                <w:lang w:eastAsia="ru-RU"/>
              </w:rPr>
              <w:t>Погреба</w:t>
            </w:r>
          </w:p>
        </w:tc>
        <w:tc>
          <w:tcPr>
            <w:tcW w:w="855" w:type="dxa"/>
            <w:tcBorders>
              <w:top w:val="nil"/>
              <w:left w:val="nil"/>
              <w:bottom w:val="single" w:sz="4" w:space="0" w:color="auto"/>
              <w:right w:val="single" w:sz="4" w:space="0" w:color="auto"/>
            </w:tcBorders>
            <w:shd w:val="clear" w:color="FFFFFF" w:fill="FFFFFF"/>
            <w:vAlign w:val="center"/>
            <w:hideMark/>
          </w:tcPr>
          <w:p w14:paraId="4E123D5B"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 </w:t>
            </w:r>
          </w:p>
        </w:tc>
        <w:tc>
          <w:tcPr>
            <w:tcW w:w="793" w:type="dxa"/>
            <w:tcBorders>
              <w:top w:val="nil"/>
              <w:left w:val="nil"/>
              <w:bottom w:val="single" w:sz="4" w:space="0" w:color="auto"/>
              <w:right w:val="single" w:sz="4" w:space="0" w:color="auto"/>
            </w:tcBorders>
            <w:shd w:val="clear" w:color="auto" w:fill="auto"/>
            <w:vAlign w:val="center"/>
            <w:hideMark/>
          </w:tcPr>
          <w:p w14:paraId="2CC89869"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1,6</w:t>
            </w:r>
          </w:p>
        </w:tc>
        <w:tc>
          <w:tcPr>
            <w:tcW w:w="992" w:type="dxa"/>
            <w:tcBorders>
              <w:top w:val="nil"/>
              <w:left w:val="nil"/>
              <w:bottom w:val="single" w:sz="4" w:space="0" w:color="auto"/>
              <w:right w:val="single" w:sz="4" w:space="0" w:color="auto"/>
            </w:tcBorders>
            <w:shd w:val="clear" w:color="auto" w:fill="auto"/>
            <w:vAlign w:val="center"/>
            <w:hideMark/>
          </w:tcPr>
          <w:p w14:paraId="268BD182"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0,3</w:t>
            </w:r>
          </w:p>
        </w:tc>
        <w:tc>
          <w:tcPr>
            <w:tcW w:w="1030" w:type="dxa"/>
            <w:tcBorders>
              <w:top w:val="nil"/>
              <w:left w:val="nil"/>
              <w:bottom w:val="single" w:sz="4" w:space="0" w:color="auto"/>
              <w:right w:val="single" w:sz="4" w:space="0" w:color="auto"/>
            </w:tcBorders>
            <w:shd w:val="clear" w:color="auto" w:fill="auto"/>
            <w:vAlign w:val="center"/>
            <w:hideMark/>
          </w:tcPr>
          <w:p w14:paraId="5CF12824"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1,9</w:t>
            </w:r>
          </w:p>
        </w:tc>
        <w:tc>
          <w:tcPr>
            <w:tcW w:w="1096" w:type="dxa"/>
            <w:tcBorders>
              <w:top w:val="nil"/>
              <w:left w:val="nil"/>
              <w:bottom w:val="single" w:sz="4" w:space="0" w:color="auto"/>
              <w:right w:val="single" w:sz="4" w:space="0" w:color="auto"/>
            </w:tcBorders>
            <w:shd w:val="clear" w:color="auto" w:fill="auto"/>
            <w:vAlign w:val="center"/>
            <w:hideMark/>
          </w:tcPr>
          <w:p w14:paraId="2A9DC499"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1,6</w:t>
            </w:r>
          </w:p>
        </w:tc>
        <w:tc>
          <w:tcPr>
            <w:tcW w:w="1149" w:type="dxa"/>
            <w:tcBorders>
              <w:top w:val="nil"/>
              <w:left w:val="nil"/>
              <w:bottom w:val="single" w:sz="4" w:space="0" w:color="auto"/>
              <w:right w:val="single" w:sz="4" w:space="0" w:color="auto"/>
            </w:tcBorders>
            <w:shd w:val="clear" w:color="auto" w:fill="auto"/>
            <w:vAlign w:val="center"/>
            <w:hideMark/>
          </w:tcPr>
          <w:p w14:paraId="018BDB0E"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2,1</w:t>
            </w:r>
          </w:p>
        </w:tc>
        <w:tc>
          <w:tcPr>
            <w:tcW w:w="1119" w:type="dxa"/>
            <w:tcBorders>
              <w:top w:val="nil"/>
              <w:left w:val="nil"/>
              <w:bottom w:val="single" w:sz="4" w:space="0" w:color="auto"/>
              <w:right w:val="single" w:sz="4" w:space="0" w:color="auto"/>
            </w:tcBorders>
            <w:shd w:val="clear" w:color="auto" w:fill="auto"/>
            <w:vAlign w:val="center"/>
            <w:hideMark/>
          </w:tcPr>
          <w:p w14:paraId="6D5F67C6"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2,4</w:t>
            </w:r>
          </w:p>
        </w:tc>
        <w:tc>
          <w:tcPr>
            <w:tcW w:w="3149" w:type="dxa"/>
            <w:tcBorders>
              <w:top w:val="nil"/>
              <w:left w:val="nil"/>
              <w:bottom w:val="single" w:sz="4" w:space="0" w:color="auto"/>
              <w:right w:val="single" w:sz="4" w:space="0" w:color="auto"/>
            </w:tcBorders>
            <w:shd w:val="clear" w:color="auto" w:fill="auto"/>
            <w:hideMark/>
          </w:tcPr>
          <w:p w14:paraId="001CFFE9" w14:textId="77777777" w:rsidR="00322AE9" w:rsidRPr="00322AE9" w:rsidRDefault="00322AE9" w:rsidP="00322AE9">
            <w:pPr>
              <w:ind w:firstLine="0"/>
              <w:jc w:val="left"/>
              <w:rPr>
                <w:rFonts w:eastAsia="Times New Roman" w:cs="Times New Roman"/>
                <w:color w:val="000000"/>
                <w:sz w:val="18"/>
                <w:szCs w:val="18"/>
                <w:lang w:eastAsia="ru-RU"/>
              </w:rPr>
            </w:pPr>
            <w:r w:rsidRPr="00322AE9">
              <w:rPr>
                <w:rFonts w:eastAsia="Times New Roman" w:cs="Times New Roman"/>
                <w:color w:val="000000"/>
                <w:sz w:val="18"/>
                <w:szCs w:val="18"/>
                <w:lang w:eastAsia="ru-RU"/>
              </w:rPr>
              <w:t>СП 53.13330.2011 "Планировка и застройка территории садоводческих (дачных) объединений граждан, здания и сооружения", п.7.3</w:t>
            </w:r>
          </w:p>
        </w:tc>
      </w:tr>
      <w:tr w:rsidR="00322AE9" w:rsidRPr="00322AE9" w14:paraId="0ADB4B43" w14:textId="77777777" w:rsidTr="00322AE9">
        <w:trPr>
          <w:trHeight w:val="720"/>
          <w:jc w:val="center"/>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4B97226B"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 </w:t>
            </w:r>
          </w:p>
        </w:tc>
        <w:tc>
          <w:tcPr>
            <w:tcW w:w="816" w:type="dxa"/>
            <w:tcBorders>
              <w:top w:val="nil"/>
              <w:left w:val="nil"/>
              <w:bottom w:val="single" w:sz="4" w:space="0" w:color="auto"/>
              <w:right w:val="single" w:sz="4" w:space="0" w:color="auto"/>
            </w:tcBorders>
            <w:shd w:val="clear" w:color="auto" w:fill="auto"/>
            <w:vAlign w:val="center"/>
            <w:hideMark/>
          </w:tcPr>
          <w:p w14:paraId="00104BDA"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0903</w:t>
            </w:r>
          </w:p>
        </w:tc>
        <w:tc>
          <w:tcPr>
            <w:tcW w:w="2893" w:type="dxa"/>
            <w:tcBorders>
              <w:top w:val="nil"/>
              <w:left w:val="nil"/>
              <w:bottom w:val="single" w:sz="4" w:space="0" w:color="auto"/>
              <w:right w:val="single" w:sz="4" w:space="0" w:color="auto"/>
            </w:tcBorders>
            <w:shd w:val="clear" w:color="auto" w:fill="auto"/>
            <w:vAlign w:val="center"/>
            <w:hideMark/>
          </w:tcPr>
          <w:p w14:paraId="0C3A89AB" w14:textId="77777777" w:rsidR="00322AE9" w:rsidRPr="00322AE9" w:rsidRDefault="00322AE9" w:rsidP="00322AE9">
            <w:pPr>
              <w:ind w:firstLine="0"/>
              <w:jc w:val="left"/>
              <w:rPr>
                <w:rFonts w:eastAsia="Times New Roman" w:cs="Times New Roman"/>
                <w:color w:val="000000"/>
                <w:sz w:val="20"/>
                <w:szCs w:val="20"/>
                <w:lang w:eastAsia="ru-RU"/>
              </w:rPr>
            </w:pPr>
            <w:r w:rsidRPr="00322AE9">
              <w:rPr>
                <w:rFonts w:eastAsia="Times New Roman" w:cs="Times New Roman"/>
                <w:color w:val="000000"/>
                <w:sz w:val="20"/>
                <w:szCs w:val="20"/>
                <w:lang w:eastAsia="ru-RU"/>
              </w:rPr>
              <w:t>Подвалы</w:t>
            </w:r>
          </w:p>
        </w:tc>
        <w:tc>
          <w:tcPr>
            <w:tcW w:w="855" w:type="dxa"/>
            <w:tcBorders>
              <w:top w:val="nil"/>
              <w:left w:val="nil"/>
              <w:bottom w:val="single" w:sz="4" w:space="0" w:color="auto"/>
              <w:right w:val="single" w:sz="4" w:space="0" w:color="auto"/>
            </w:tcBorders>
            <w:shd w:val="clear" w:color="FFFFFF" w:fill="FFFFFF"/>
            <w:vAlign w:val="center"/>
            <w:hideMark/>
          </w:tcPr>
          <w:p w14:paraId="3CC023B0"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 </w:t>
            </w:r>
          </w:p>
        </w:tc>
        <w:tc>
          <w:tcPr>
            <w:tcW w:w="793" w:type="dxa"/>
            <w:tcBorders>
              <w:top w:val="nil"/>
              <w:left w:val="nil"/>
              <w:bottom w:val="single" w:sz="4" w:space="0" w:color="auto"/>
              <w:right w:val="single" w:sz="4" w:space="0" w:color="auto"/>
            </w:tcBorders>
            <w:shd w:val="clear" w:color="auto" w:fill="auto"/>
            <w:vAlign w:val="center"/>
            <w:hideMark/>
          </w:tcPr>
          <w:p w14:paraId="3225F1C5"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2,1</w:t>
            </w:r>
          </w:p>
        </w:tc>
        <w:tc>
          <w:tcPr>
            <w:tcW w:w="992" w:type="dxa"/>
            <w:tcBorders>
              <w:top w:val="nil"/>
              <w:left w:val="nil"/>
              <w:bottom w:val="single" w:sz="4" w:space="0" w:color="auto"/>
              <w:right w:val="single" w:sz="4" w:space="0" w:color="auto"/>
            </w:tcBorders>
            <w:shd w:val="clear" w:color="auto" w:fill="auto"/>
            <w:vAlign w:val="center"/>
            <w:hideMark/>
          </w:tcPr>
          <w:p w14:paraId="74B8EA3B"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0,3</w:t>
            </w:r>
          </w:p>
        </w:tc>
        <w:tc>
          <w:tcPr>
            <w:tcW w:w="1030" w:type="dxa"/>
            <w:tcBorders>
              <w:top w:val="nil"/>
              <w:left w:val="nil"/>
              <w:bottom w:val="single" w:sz="4" w:space="0" w:color="auto"/>
              <w:right w:val="single" w:sz="4" w:space="0" w:color="auto"/>
            </w:tcBorders>
            <w:shd w:val="clear" w:color="auto" w:fill="auto"/>
            <w:vAlign w:val="center"/>
            <w:hideMark/>
          </w:tcPr>
          <w:p w14:paraId="74FEC733"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2,4</w:t>
            </w:r>
          </w:p>
        </w:tc>
        <w:tc>
          <w:tcPr>
            <w:tcW w:w="1096" w:type="dxa"/>
            <w:tcBorders>
              <w:top w:val="nil"/>
              <w:left w:val="nil"/>
              <w:bottom w:val="single" w:sz="4" w:space="0" w:color="auto"/>
              <w:right w:val="single" w:sz="4" w:space="0" w:color="auto"/>
            </w:tcBorders>
            <w:shd w:val="clear" w:color="auto" w:fill="auto"/>
            <w:vAlign w:val="center"/>
            <w:hideMark/>
          </w:tcPr>
          <w:p w14:paraId="6D2CF3C6"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1,6</w:t>
            </w:r>
          </w:p>
        </w:tc>
        <w:tc>
          <w:tcPr>
            <w:tcW w:w="1149" w:type="dxa"/>
            <w:tcBorders>
              <w:top w:val="nil"/>
              <w:left w:val="nil"/>
              <w:bottom w:val="single" w:sz="4" w:space="0" w:color="auto"/>
              <w:right w:val="single" w:sz="4" w:space="0" w:color="auto"/>
            </w:tcBorders>
            <w:shd w:val="clear" w:color="auto" w:fill="auto"/>
            <w:vAlign w:val="center"/>
            <w:hideMark/>
          </w:tcPr>
          <w:p w14:paraId="7090E3B2"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2,1</w:t>
            </w:r>
          </w:p>
        </w:tc>
        <w:tc>
          <w:tcPr>
            <w:tcW w:w="1119" w:type="dxa"/>
            <w:tcBorders>
              <w:top w:val="nil"/>
              <w:left w:val="nil"/>
              <w:bottom w:val="single" w:sz="4" w:space="0" w:color="auto"/>
              <w:right w:val="single" w:sz="4" w:space="0" w:color="auto"/>
            </w:tcBorders>
            <w:shd w:val="clear" w:color="auto" w:fill="auto"/>
            <w:vAlign w:val="center"/>
            <w:hideMark/>
          </w:tcPr>
          <w:p w14:paraId="017C0BBE"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2,4</w:t>
            </w:r>
          </w:p>
        </w:tc>
        <w:tc>
          <w:tcPr>
            <w:tcW w:w="3149" w:type="dxa"/>
            <w:tcBorders>
              <w:top w:val="nil"/>
              <w:left w:val="nil"/>
              <w:bottom w:val="single" w:sz="4" w:space="0" w:color="auto"/>
              <w:right w:val="single" w:sz="4" w:space="0" w:color="auto"/>
            </w:tcBorders>
            <w:shd w:val="clear" w:color="auto" w:fill="auto"/>
            <w:hideMark/>
          </w:tcPr>
          <w:p w14:paraId="0EDB370B" w14:textId="77777777" w:rsidR="00322AE9" w:rsidRPr="00322AE9" w:rsidRDefault="00322AE9" w:rsidP="00322AE9">
            <w:pPr>
              <w:ind w:firstLine="0"/>
              <w:jc w:val="left"/>
              <w:rPr>
                <w:rFonts w:eastAsia="Times New Roman" w:cs="Times New Roman"/>
                <w:color w:val="000000"/>
                <w:sz w:val="18"/>
                <w:szCs w:val="18"/>
                <w:lang w:eastAsia="ru-RU"/>
              </w:rPr>
            </w:pPr>
            <w:r w:rsidRPr="00322AE9">
              <w:rPr>
                <w:rFonts w:eastAsia="Times New Roman" w:cs="Times New Roman"/>
                <w:color w:val="000000"/>
                <w:sz w:val="18"/>
                <w:szCs w:val="18"/>
                <w:lang w:eastAsia="ru-RU"/>
              </w:rPr>
              <w:t>СП 118.13330.2012 "Общественные здания", п.4.6;  СП 43.13330.2012 "Сооружения промышленных предприятий", п.5.2;</w:t>
            </w:r>
          </w:p>
        </w:tc>
      </w:tr>
      <w:tr w:rsidR="00322AE9" w:rsidRPr="00322AE9" w14:paraId="791773FA" w14:textId="77777777" w:rsidTr="00322AE9">
        <w:trPr>
          <w:trHeight w:val="960"/>
          <w:jc w:val="center"/>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19E2F30A"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 </w:t>
            </w:r>
          </w:p>
        </w:tc>
        <w:tc>
          <w:tcPr>
            <w:tcW w:w="816" w:type="dxa"/>
            <w:tcBorders>
              <w:top w:val="nil"/>
              <w:left w:val="nil"/>
              <w:bottom w:val="single" w:sz="4" w:space="0" w:color="auto"/>
              <w:right w:val="single" w:sz="4" w:space="0" w:color="auto"/>
            </w:tcBorders>
            <w:shd w:val="clear" w:color="auto" w:fill="auto"/>
            <w:vAlign w:val="center"/>
            <w:hideMark/>
          </w:tcPr>
          <w:p w14:paraId="3292907A"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0904</w:t>
            </w:r>
          </w:p>
        </w:tc>
        <w:tc>
          <w:tcPr>
            <w:tcW w:w="2893" w:type="dxa"/>
            <w:tcBorders>
              <w:top w:val="nil"/>
              <w:left w:val="nil"/>
              <w:bottom w:val="single" w:sz="4" w:space="0" w:color="auto"/>
              <w:right w:val="single" w:sz="4" w:space="0" w:color="auto"/>
            </w:tcBorders>
            <w:shd w:val="clear" w:color="auto" w:fill="auto"/>
            <w:vAlign w:val="center"/>
            <w:hideMark/>
          </w:tcPr>
          <w:p w14:paraId="3BBD5F3E" w14:textId="77777777" w:rsidR="00322AE9" w:rsidRPr="00322AE9" w:rsidRDefault="00322AE9" w:rsidP="00322AE9">
            <w:pPr>
              <w:ind w:firstLine="0"/>
              <w:jc w:val="left"/>
              <w:rPr>
                <w:rFonts w:eastAsia="Times New Roman" w:cs="Times New Roman"/>
                <w:color w:val="000000"/>
                <w:sz w:val="20"/>
                <w:szCs w:val="20"/>
                <w:lang w:eastAsia="ru-RU"/>
              </w:rPr>
            </w:pPr>
            <w:r w:rsidRPr="00322AE9">
              <w:rPr>
                <w:rFonts w:eastAsia="Times New Roman" w:cs="Times New Roman"/>
                <w:color w:val="000000"/>
                <w:sz w:val="20"/>
                <w:szCs w:val="20"/>
                <w:lang w:eastAsia="ru-RU"/>
              </w:rPr>
              <w:t>Сараи</w:t>
            </w:r>
          </w:p>
        </w:tc>
        <w:tc>
          <w:tcPr>
            <w:tcW w:w="855" w:type="dxa"/>
            <w:tcBorders>
              <w:top w:val="nil"/>
              <w:left w:val="nil"/>
              <w:bottom w:val="single" w:sz="4" w:space="0" w:color="auto"/>
              <w:right w:val="single" w:sz="4" w:space="0" w:color="auto"/>
            </w:tcBorders>
            <w:shd w:val="clear" w:color="FFFFFF" w:fill="FFFFFF"/>
            <w:vAlign w:val="center"/>
            <w:hideMark/>
          </w:tcPr>
          <w:p w14:paraId="6AFB9138"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 </w:t>
            </w:r>
          </w:p>
        </w:tc>
        <w:tc>
          <w:tcPr>
            <w:tcW w:w="793" w:type="dxa"/>
            <w:tcBorders>
              <w:top w:val="nil"/>
              <w:left w:val="nil"/>
              <w:bottom w:val="single" w:sz="4" w:space="0" w:color="auto"/>
              <w:right w:val="single" w:sz="4" w:space="0" w:color="auto"/>
            </w:tcBorders>
            <w:shd w:val="clear" w:color="auto" w:fill="auto"/>
            <w:vAlign w:val="center"/>
            <w:hideMark/>
          </w:tcPr>
          <w:p w14:paraId="4FFF02A2"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2,0</w:t>
            </w:r>
          </w:p>
        </w:tc>
        <w:tc>
          <w:tcPr>
            <w:tcW w:w="992" w:type="dxa"/>
            <w:tcBorders>
              <w:top w:val="nil"/>
              <w:left w:val="nil"/>
              <w:bottom w:val="single" w:sz="4" w:space="0" w:color="auto"/>
              <w:right w:val="single" w:sz="4" w:space="0" w:color="auto"/>
            </w:tcBorders>
            <w:shd w:val="clear" w:color="auto" w:fill="auto"/>
            <w:vAlign w:val="center"/>
            <w:hideMark/>
          </w:tcPr>
          <w:p w14:paraId="0514F345"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0,3</w:t>
            </w:r>
          </w:p>
        </w:tc>
        <w:tc>
          <w:tcPr>
            <w:tcW w:w="1030" w:type="dxa"/>
            <w:tcBorders>
              <w:top w:val="nil"/>
              <w:left w:val="nil"/>
              <w:bottom w:val="single" w:sz="4" w:space="0" w:color="auto"/>
              <w:right w:val="single" w:sz="4" w:space="0" w:color="auto"/>
            </w:tcBorders>
            <w:shd w:val="clear" w:color="auto" w:fill="auto"/>
            <w:vAlign w:val="center"/>
            <w:hideMark/>
          </w:tcPr>
          <w:p w14:paraId="0FC55F8F"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2,3</w:t>
            </w:r>
          </w:p>
        </w:tc>
        <w:tc>
          <w:tcPr>
            <w:tcW w:w="1096" w:type="dxa"/>
            <w:tcBorders>
              <w:top w:val="nil"/>
              <w:left w:val="nil"/>
              <w:bottom w:val="single" w:sz="4" w:space="0" w:color="auto"/>
              <w:right w:val="single" w:sz="4" w:space="0" w:color="auto"/>
            </w:tcBorders>
            <w:shd w:val="clear" w:color="auto" w:fill="auto"/>
            <w:vAlign w:val="center"/>
            <w:hideMark/>
          </w:tcPr>
          <w:p w14:paraId="21EF9AFC"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1,6</w:t>
            </w:r>
          </w:p>
        </w:tc>
        <w:tc>
          <w:tcPr>
            <w:tcW w:w="1149" w:type="dxa"/>
            <w:tcBorders>
              <w:top w:val="nil"/>
              <w:left w:val="nil"/>
              <w:bottom w:val="single" w:sz="4" w:space="0" w:color="auto"/>
              <w:right w:val="single" w:sz="4" w:space="0" w:color="auto"/>
            </w:tcBorders>
            <w:shd w:val="clear" w:color="auto" w:fill="auto"/>
            <w:vAlign w:val="center"/>
            <w:hideMark/>
          </w:tcPr>
          <w:p w14:paraId="00198B92"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2,1</w:t>
            </w:r>
          </w:p>
        </w:tc>
        <w:tc>
          <w:tcPr>
            <w:tcW w:w="1119" w:type="dxa"/>
            <w:tcBorders>
              <w:top w:val="nil"/>
              <w:left w:val="nil"/>
              <w:bottom w:val="single" w:sz="4" w:space="0" w:color="auto"/>
              <w:right w:val="single" w:sz="4" w:space="0" w:color="auto"/>
            </w:tcBorders>
            <w:shd w:val="clear" w:color="auto" w:fill="auto"/>
            <w:vAlign w:val="center"/>
            <w:hideMark/>
          </w:tcPr>
          <w:p w14:paraId="6F0C013B"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2,4</w:t>
            </w:r>
          </w:p>
        </w:tc>
        <w:tc>
          <w:tcPr>
            <w:tcW w:w="3149" w:type="dxa"/>
            <w:tcBorders>
              <w:top w:val="nil"/>
              <w:left w:val="nil"/>
              <w:bottom w:val="single" w:sz="4" w:space="0" w:color="auto"/>
              <w:right w:val="single" w:sz="4" w:space="0" w:color="auto"/>
            </w:tcBorders>
            <w:shd w:val="clear" w:color="auto" w:fill="auto"/>
            <w:hideMark/>
          </w:tcPr>
          <w:p w14:paraId="3A98202F" w14:textId="77777777" w:rsidR="00322AE9" w:rsidRPr="00322AE9" w:rsidRDefault="00322AE9" w:rsidP="00322AE9">
            <w:pPr>
              <w:ind w:firstLine="0"/>
              <w:jc w:val="left"/>
              <w:rPr>
                <w:rFonts w:eastAsia="Times New Roman" w:cs="Times New Roman"/>
                <w:color w:val="000000"/>
                <w:sz w:val="18"/>
                <w:szCs w:val="18"/>
                <w:lang w:eastAsia="ru-RU"/>
              </w:rPr>
            </w:pPr>
            <w:r w:rsidRPr="00322AE9">
              <w:rPr>
                <w:rFonts w:eastAsia="Times New Roman" w:cs="Times New Roman"/>
                <w:color w:val="000000"/>
                <w:sz w:val="18"/>
                <w:szCs w:val="18"/>
                <w:lang w:eastAsia="ru-RU"/>
              </w:rPr>
              <w:t>СНиП 31-04-2001 "Складские здания", п.5.7 ; СП 53.13330.2011 "Планировка и застройка территории садоводческих (дачных) объединений граждан, здания и сооружения", п.7.3</w:t>
            </w:r>
          </w:p>
        </w:tc>
      </w:tr>
      <w:tr w:rsidR="00322AE9" w:rsidRPr="00322AE9" w14:paraId="2C6DBCE8" w14:textId="77777777" w:rsidTr="00322AE9">
        <w:trPr>
          <w:trHeight w:val="1200"/>
          <w:jc w:val="center"/>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13C933E9"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 </w:t>
            </w:r>
          </w:p>
        </w:tc>
        <w:tc>
          <w:tcPr>
            <w:tcW w:w="816" w:type="dxa"/>
            <w:tcBorders>
              <w:top w:val="nil"/>
              <w:left w:val="nil"/>
              <w:bottom w:val="single" w:sz="4" w:space="0" w:color="auto"/>
              <w:right w:val="single" w:sz="4" w:space="0" w:color="auto"/>
            </w:tcBorders>
            <w:shd w:val="clear" w:color="auto" w:fill="auto"/>
            <w:vAlign w:val="center"/>
            <w:hideMark/>
          </w:tcPr>
          <w:p w14:paraId="28D92F50"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0905</w:t>
            </w:r>
          </w:p>
        </w:tc>
        <w:tc>
          <w:tcPr>
            <w:tcW w:w="2893" w:type="dxa"/>
            <w:tcBorders>
              <w:top w:val="nil"/>
              <w:left w:val="nil"/>
              <w:bottom w:val="single" w:sz="4" w:space="0" w:color="auto"/>
              <w:right w:val="single" w:sz="4" w:space="0" w:color="auto"/>
            </w:tcBorders>
            <w:shd w:val="clear" w:color="auto" w:fill="auto"/>
            <w:vAlign w:val="center"/>
            <w:hideMark/>
          </w:tcPr>
          <w:p w14:paraId="2EF8D659" w14:textId="77777777" w:rsidR="00322AE9" w:rsidRPr="00322AE9" w:rsidRDefault="00322AE9" w:rsidP="00322AE9">
            <w:pPr>
              <w:ind w:firstLine="0"/>
              <w:jc w:val="left"/>
              <w:rPr>
                <w:rFonts w:eastAsia="Times New Roman" w:cs="Times New Roman"/>
                <w:color w:val="000000"/>
                <w:sz w:val="20"/>
                <w:szCs w:val="20"/>
                <w:lang w:eastAsia="ru-RU"/>
              </w:rPr>
            </w:pPr>
            <w:r w:rsidRPr="00322AE9">
              <w:rPr>
                <w:rFonts w:eastAsia="Times New Roman" w:cs="Times New Roman"/>
                <w:color w:val="000000"/>
                <w:sz w:val="20"/>
                <w:szCs w:val="20"/>
                <w:lang w:eastAsia="ru-RU"/>
              </w:rPr>
              <w:t>Санитарные пропускники</w:t>
            </w:r>
          </w:p>
        </w:tc>
        <w:tc>
          <w:tcPr>
            <w:tcW w:w="855" w:type="dxa"/>
            <w:tcBorders>
              <w:top w:val="nil"/>
              <w:left w:val="nil"/>
              <w:bottom w:val="single" w:sz="4" w:space="0" w:color="auto"/>
              <w:right w:val="single" w:sz="4" w:space="0" w:color="auto"/>
            </w:tcBorders>
            <w:shd w:val="clear" w:color="FFFFFF" w:fill="FFFFFF"/>
            <w:vAlign w:val="center"/>
            <w:hideMark/>
          </w:tcPr>
          <w:p w14:paraId="1B43D659"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 </w:t>
            </w:r>
          </w:p>
        </w:tc>
        <w:tc>
          <w:tcPr>
            <w:tcW w:w="793" w:type="dxa"/>
            <w:tcBorders>
              <w:top w:val="nil"/>
              <w:left w:val="nil"/>
              <w:bottom w:val="single" w:sz="4" w:space="0" w:color="auto"/>
              <w:right w:val="single" w:sz="4" w:space="0" w:color="auto"/>
            </w:tcBorders>
            <w:shd w:val="clear" w:color="auto" w:fill="auto"/>
            <w:vAlign w:val="center"/>
            <w:hideMark/>
          </w:tcPr>
          <w:p w14:paraId="1482C8C9"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2,4</w:t>
            </w:r>
          </w:p>
        </w:tc>
        <w:tc>
          <w:tcPr>
            <w:tcW w:w="992" w:type="dxa"/>
            <w:tcBorders>
              <w:top w:val="nil"/>
              <w:left w:val="nil"/>
              <w:bottom w:val="single" w:sz="4" w:space="0" w:color="auto"/>
              <w:right w:val="single" w:sz="4" w:space="0" w:color="auto"/>
            </w:tcBorders>
            <w:shd w:val="clear" w:color="auto" w:fill="auto"/>
            <w:vAlign w:val="center"/>
            <w:hideMark/>
          </w:tcPr>
          <w:p w14:paraId="785D8030"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0,3</w:t>
            </w:r>
          </w:p>
        </w:tc>
        <w:tc>
          <w:tcPr>
            <w:tcW w:w="1030" w:type="dxa"/>
            <w:tcBorders>
              <w:top w:val="nil"/>
              <w:left w:val="nil"/>
              <w:bottom w:val="single" w:sz="4" w:space="0" w:color="auto"/>
              <w:right w:val="single" w:sz="4" w:space="0" w:color="auto"/>
            </w:tcBorders>
            <w:shd w:val="clear" w:color="auto" w:fill="auto"/>
            <w:vAlign w:val="center"/>
            <w:hideMark/>
          </w:tcPr>
          <w:p w14:paraId="360BA1FB"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2,7</w:t>
            </w:r>
          </w:p>
        </w:tc>
        <w:tc>
          <w:tcPr>
            <w:tcW w:w="1096" w:type="dxa"/>
            <w:tcBorders>
              <w:top w:val="nil"/>
              <w:left w:val="nil"/>
              <w:bottom w:val="single" w:sz="4" w:space="0" w:color="auto"/>
              <w:right w:val="single" w:sz="4" w:space="0" w:color="auto"/>
            </w:tcBorders>
            <w:shd w:val="clear" w:color="auto" w:fill="auto"/>
            <w:vAlign w:val="center"/>
            <w:hideMark/>
          </w:tcPr>
          <w:p w14:paraId="7751ED6D"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1,6</w:t>
            </w:r>
          </w:p>
        </w:tc>
        <w:tc>
          <w:tcPr>
            <w:tcW w:w="1149" w:type="dxa"/>
            <w:tcBorders>
              <w:top w:val="nil"/>
              <w:left w:val="nil"/>
              <w:bottom w:val="single" w:sz="4" w:space="0" w:color="auto"/>
              <w:right w:val="single" w:sz="4" w:space="0" w:color="auto"/>
            </w:tcBorders>
            <w:shd w:val="clear" w:color="auto" w:fill="auto"/>
            <w:vAlign w:val="center"/>
            <w:hideMark/>
          </w:tcPr>
          <w:p w14:paraId="1D0E673C"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2,1</w:t>
            </w:r>
          </w:p>
        </w:tc>
        <w:tc>
          <w:tcPr>
            <w:tcW w:w="1119" w:type="dxa"/>
            <w:tcBorders>
              <w:top w:val="nil"/>
              <w:left w:val="nil"/>
              <w:bottom w:val="single" w:sz="4" w:space="0" w:color="auto"/>
              <w:right w:val="single" w:sz="4" w:space="0" w:color="auto"/>
            </w:tcBorders>
            <w:shd w:val="clear" w:color="auto" w:fill="auto"/>
            <w:vAlign w:val="center"/>
            <w:hideMark/>
          </w:tcPr>
          <w:p w14:paraId="4C9B2D5B"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2,4</w:t>
            </w:r>
          </w:p>
        </w:tc>
        <w:tc>
          <w:tcPr>
            <w:tcW w:w="3149" w:type="dxa"/>
            <w:tcBorders>
              <w:top w:val="nil"/>
              <w:left w:val="nil"/>
              <w:bottom w:val="single" w:sz="4" w:space="0" w:color="auto"/>
              <w:right w:val="single" w:sz="4" w:space="0" w:color="auto"/>
            </w:tcBorders>
            <w:shd w:val="clear" w:color="FFFFFF" w:fill="FFFFFF"/>
            <w:hideMark/>
          </w:tcPr>
          <w:p w14:paraId="7827DD9D" w14:textId="77777777" w:rsidR="00322AE9" w:rsidRPr="00322AE9" w:rsidRDefault="00322AE9" w:rsidP="00322AE9">
            <w:pPr>
              <w:ind w:firstLine="0"/>
              <w:jc w:val="left"/>
              <w:rPr>
                <w:rFonts w:eastAsia="Times New Roman" w:cs="Times New Roman"/>
                <w:color w:val="000000"/>
                <w:sz w:val="18"/>
                <w:szCs w:val="18"/>
                <w:lang w:eastAsia="ru-RU"/>
              </w:rPr>
            </w:pPr>
            <w:r w:rsidRPr="00322AE9">
              <w:rPr>
                <w:rFonts w:eastAsia="Times New Roman" w:cs="Times New Roman"/>
                <w:color w:val="000000"/>
                <w:sz w:val="18"/>
                <w:szCs w:val="18"/>
                <w:lang w:eastAsia="ru-RU"/>
              </w:rPr>
              <w:t>РД-АПК 1.10.07.01 Методич.рекомендации по технологическому  проектированию ветеринарных объектов для животноводческих, звероводческих, птицеводческих предприятий и крестьянских объектов", п.5.5.6</w:t>
            </w:r>
          </w:p>
        </w:tc>
      </w:tr>
      <w:tr w:rsidR="00322AE9" w:rsidRPr="00322AE9" w14:paraId="044974C7" w14:textId="77777777" w:rsidTr="00322AE9">
        <w:trPr>
          <w:trHeight w:val="510"/>
          <w:jc w:val="center"/>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08F4E747"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 </w:t>
            </w:r>
          </w:p>
        </w:tc>
        <w:tc>
          <w:tcPr>
            <w:tcW w:w="816" w:type="dxa"/>
            <w:tcBorders>
              <w:top w:val="nil"/>
              <w:left w:val="nil"/>
              <w:bottom w:val="single" w:sz="4" w:space="0" w:color="auto"/>
              <w:right w:val="single" w:sz="4" w:space="0" w:color="auto"/>
            </w:tcBorders>
            <w:shd w:val="clear" w:color="auto" w:fill="auto"/>
            <w:vAlign w:val="center"/>
            <w:hideMark/>
          </w:tcPr>
          <w:p w14:paraId="36593DD9"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0906</w:t>
            </w:r>
          </w:p>
        </w:tc>
        <w:tc>
          <w:tcPr>
            <w:tcW w:w="2893" w:type="dxa"/>
            <w:tcBorders>
              <w:top w:val="nil"/>
              <w:left w:val="nil"/>
              <w:bottom w:val="single" w:sz="4" w:space="0" w:color="auto"/>
              <w:right w:val="single" w:sz="4" w:space="0" w:color="auto"/>
            </w:tcBorders>
            <w:shd w:val="clear" w:color="auto" w:fill="auto"/>
            <w:vAlign w:val="center"/>
            <w:hideMark/>
          </w:tcPr>
          <w:p w14:paraId="18A68A5F" w14:textId="77777777" w:rsidR="00322AE9" w:rsidRPr="00322AE9" w:rsidRDefault="00322AE9" w:rsidP="00322AE9">
            <w:pPr>
              <w:ind w:firstLine="0"/>
              <w:jc w:val="left"/>
              <w:rPr>
                <w:rFonts w:eastAsia="Times New Roman" w:cs="Times New Roman"/>
                <w:color w:val="000000"/>
                <w:sz w:val="20"/>
                <w:szCs w:val="20"/>
                <w:lang w:eastAsia="ru-RU"/>
              </w:rPr>
            </w:pPr>
            <w:r w:rsidRPr="00322AE9">
              <w:rPr>
                <w:rFonts w:eastAsia="Times New Roman" w:cs="Times New Roman"/>
                <w:color w:val="000000"/>
                <w:sz w:val="20"/>
                <w:szCs w:val="20"/>
                <w:lang w:eastAsia="ru-RU"/>
              </w:rPr>
              <w:t>Гидрометеорологические станции, фотометрические будки, мареографы</w:t>
            </w:r>
          </w:p>
        </w:tc>
        <w:tc>
          <w:tcPr>
            <w:tcW w:w="855" w:type="dxa"/>
            <w:tcBorders>
              <w:top w:val="nil"/>
              <w:left w:val="nil"/>
              <w:bottom w:val="single" w:sz="4" w:space="0" w:color="auto"/>
              <w:right w:val="single" w:sz="4" w:space="0" w:color="auto"/>
            </w:tcBorders>
            <w:shd w:val="clear" w:color="FFFFFF" w:fill="FFFFFF"/>
            <w:vAlign w:val="center"/>
            <w:hideMark/>
          </w:tcPr>
          <w:p w14:paraId="48171E80"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 </w:t>
            </w:r>
          </w:p>
        </w:tc>
        <w:tc>
          <w:tcPr>
            <w:tcW w:w="793" w:type="dxa"/>
            <w:tcBorders>
              <w:top w:val="nil"/>
              <w:left w:val="nil"/>
              <w:bottom w:val="single" w:sz="4" w:space="0" w:color="auto"/>
              <w:right w:val="single" w:sz="4" w:space="0" w:color="auto"/>
            </w:tcBorders>
            <w:shd w:val="clear" w:color="auto" w:fill="auto"/>
            <w:vAlign w:val="center"/>
            <w:hideMark/>
          </w:tcPr>
          <w:p w14:paraId="39F9F2FC"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2,5</w:t>
            </w:r>
          </w:p>
        </w:tc>
        <w:tc>
          <w:tcPr>
            <w:tcW w:w="992" w:type="dxa"/>
            <w:tcBorders>
              <w:top w:val="nil"/>
              <w:left w:val="nil"/>
              <w:bottom w:val="single" w:sz="4" w:space="0" w:color="auto"/>
              <w:right w:val="single" w:sz="4" w:space="0" w:color="auto"/>
            </w:tcBorders>
            <w:shd w:val="clear" w:color="auto" w:fill="auto"/>
            <w:vAlign w:val="center"/>
            <w:hideMark/>
          </w:tcPr>
          <w:p w14:paraId="44EB8942"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0,3</w:t>
            </w:r>
          </w:p>
        </w:tc>
        <w:tc>
          <w:tcPr>
            <w:tcW w:w="1030" w:type="dxa"/>
            <w:tcBorders>
              <w:top w:val="nil"/>
              <w:left w:val="nil"/>
              <w:bottom w:val="single" w:sz="4" w:space="0" w:color="auto"/>
              <w:right w:val="single" w:sz="4" w:space="0" w:color="auto"/>
            </w:tcBorders>
            <w:shd w:val="clear" w:color="auto" w:fill="auto"/>
            <w:vAlign w:val="center"/>
            <w:hideMark/>
          </w:tcPr>
          <w:p w14:paraId="1AFD8F68"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2,8</w:t>
            </w:r>
          </w:p>
        </w:tc>
        <w:tc>
          <w:tcPr>
            <w:tcW w:w="1096" w:type="dxa"/>
            <w:tcBorders>
              <w:top w:val="nil"/>
              <w:left w:val="nil"/>
              <w:bottom w:val="single" w:sz="4" w:space="0" w:color="auto"/>
              <w:right w:val="single" w:sz="4" w:space="0" w:color="auto"/>
            </w:tcBorders>
            <w:shd w:val="clear" w:color="auto" w:fill="auto"/>
            <w:vAlign w:val="center"/>
            <w:hideMark/>
          </w:tcPr>
          <w:p w14:paraId="0C7347E0"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1,6</w:t>
            </w:r>
          </w:p>
        </w:tc>
        <w:tc>
          <w:tcPr>
            <w:tcW w:w="1149" w:type="dxa"/>
            <w:tcBorders>
              <w:top w:val="nil"/>
              <w:left w:val="nil"/>
              <w:bottom w:val="single" w:sz="4" w:space="0" w:color="auto"/>
              <w:right w:val="single" w:sz="4" w:space="0" w:color="auto"/>
            </w:tcBorders>
            <w:shd w:val="clear" w:color="auto" w:fill="auto"/>
            <w:vAlign w:val="center"/>
            <w:hideMark/>
          </w:tcPr>
          <w:p w14:paraId="3D990D9A"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2,1</w:t>
            </w:r>
          </w:p>
        </w:tc>
        <w:tc>
          <w:tcPr>
            <w:tcW w:w="1119" w:type="dxa"/>
            <w:tcBorders>
              <w:top w:val="nil"/>
              <w:left w:val="nil"/>
              <w:bottom w:val="single" w:sz="4" w:space="0" w:color="auto"/>
              <w:right w:val="single" w:sz="4" w:space="0" w:color="auto"/>
            </w:tcBorders>
            <w:shd w:val="clear" w:color="auto" w:fill="auto"/>
            <w:vAlign w:val="center"/>
            <w:hideMark/>
          </w:tcPr>
          <w:p w14:paraId="33ABB3BF"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2,4</w:t>
            </w:r>
          </w:p>
        </w:tc>
        <w:tc>
          <w:tcPr>
            <w:tcW w:w="3149" w:type="dxa"/>
            <w:tcBorders>
              <w:top w:val="nil"/>
              <w:left w:val="nil"/>
              <w:bottom w:val="single" w:sz="4" w:space="0" w:color="auto"/>
              <w:right w:val="single" w:sz="4" w:space="0" w:color="auto"/>
            </w:tcBorders>
            <w:shd w:val="clear" w:color="auto" w:fill="auto"/>
            <w:hideMark/>
          </w:tcPr>
          <w:p w14:paraId="5D1B8851" w14:textId="77777777" w:rsidR="00322AE9" w:rsidRPr="00322AE9" w:rsidRDefault="00322AE9" w:rsidP="00322AE9">
            <w:pPr>
              <w:ind w:firstLine="0"/>
              <w:jc w:val="left"/>
              <w:rPr>
                <w:rFonts w:eastAsia="Times New Roman" w:cs="Times New Roman"/>
                <w:color w:val="000000"/>
                <w:sz w:val="18"/>
                <w:szCs w:val="18"/>
                <w:lang w:eastAsia="ru-RU"/>
              </w:rPr>
            </w:pPr>
            <w:r w:rsidRPr="00322AE9">
              <w:rPr>
                <w:rFonts w:eastAsia="Times New Roman" w:cs="Times New Roman"/>
                <w:color w:val="000000"/>
                <w:sz w:val="18"/>
                <w:szCs w:val="18"/>
                <w:lang w:eastAsia="ru-RU"/>
              </w:rPr>
              <w:t>СП 44.13330.2011 "Административные и бытовые здания", п.4.4</w:t>
            </w:r>
          </w:p>
        </w:tc>
      </w:tr>
      <w:tr w:rsidR="00322AE9" w:rsidRPr="00322AE9" w14:paraId="20BAF671" w14:textId="77777777" w:rsidTr="00322AE9">
        <w:trPr>
          <w:trHeight w:val="765"/>
          <w:jc w:val="center"/>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1111B89C"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 </w:t>
            </w:r>
          </w:p>
        </w:tc>
        <w:tc>
          <w:tcPr>
            <w:tcW w:w="816" w:type="dxa"/>
            <w:tcBorders>
              <w:top w:val="nil"/>
              <w:left w:val="nil"/>
              <w:bottom w:val="single" w:sz="4" w:space="0" w:color="auto"/>
              <w:right w:val="single" w:sz="4" w:space="0" w:color="auto"/>
            </w:tcBorders>
            <w:shd w:val="clear" w:color="auto" w:fill="auto"/>
            <w:vAlign w:val="center"/>
            <w:hideMark/>
          </w:tcPr>
          <w:p w14:paraId="6FE3E2A1" w14:textId="77777777" w:rsidR="00322AE9" w:rsidRPr="00322AE9" w:rsidRDefault="00322AE9" w:rsidP="00322AE9">
            <w:pPr>
              <w:ind w:firstLine="0"/>
              <w:jc w:val="center"/>
              <w:rPr>
                <w:rFonts w:eastAsia="Times New Roman" w:cs="Times New Roman"/>
                <w:color w:val="000000"/>
                <w:sz w:val="20"/>
                <w:szCs w:val="20"/>
                <w:lang w:eastAsia="ru-RU"/>
              </w:rPr>
            </w:pPr>
            <w:r w:rsidRPr="00322AE9">
              <w:rPr>
                <w:rFonts w:eastAsia="Times New Roman" w:cs="Times New Roman"/>
                <w:color w:val="000000"/>
                <w:sz w:val="20"/>
                <w:szCs w:val="20"/>
                <w:lang w:eastAsia="ru-RU"/>
              </w:rPr>
              <w:t>907</w:t>
            </w:r>
          </w:p>
        </w:tc>
        <w:tc>
          <w:tcPr>
            <w:tcW w:w="2893" w:type="dxa"/>
            <w:tcBorders>
              <w:top w:val="nil"/>
              <w:left w:val="nil"/>
              <w:bottom w:val="single" w:sz="4" w:space="0" w:color="auto"/>
              <w:right w:val="single" w:sz="4" w:space="0" w:color="auto"/>
            </w:tcBorders>
            <w:shd w:val="clear" w:color="auto" w:fill="auto"/>
            <w:vAlign w:val="center"/>
            <w:hideMark/>
          </w:tcPr>
          <w:p w14:paraId="147A2FE7" w14:textId="77777777" w:rsidR="00322AE9" w:rsidRPr="00322AE9" w:rsidRDefault="00322AE9" w:rsidP="00322AE9">
            <w:pPr>
              <w:ind w:firstLine="0"/>
              <w:jc w:val="left"/>
              <w:rPr>
                <w:rFonts w:eastAsia="Times New Roman" w:cs="Times New Roman"/>
                <w:color w:val="000000"/>
                <w:sz w:val="20"/>
                <w:szCs w:val="20"/>
                <w:lang w:eastAsia="ru-RU"/>
              </w:rPr>
            </w:pPr>
            <w:r w:rsidRPr="00322AE9">
              <w:rPr>
                <w:rFonts w:eastAsia="Times New Roman" w:cs="Times New Roman"/>
                <w:color w:val="000000"/>
                <w:sz w:val="20"/>
                <w:szCs w:val="20"/>
                <w:lang w:eastAsia="ru-RU"/>
              </w:rPr>
              <w:t>Прочие объекты и объекты вспомогательного назначения, отнесение которых к другим группам невозможно</w:t>
            </w:r>
          </w:p>
        </w:tc>
        <w:tc>
          <w:tcPr>
            <w:tcW w:w="855" w:type="dxa"/>
            <w:tcBorders>
              <w:top w:val="nil"/>
              <w:left w:val="nil"/>
              <w:bottom w:val="single" w:sz="4" w:space="0" w:color="auto"/>
              <w:right w:val="single" w:sz="4" w:space="0" w:color="auto"/>
            </w:tcBorders>
            <w:shd w:val="clear" w:color="FFFFFF" w:fill="FFFFFF"/>
            <w:vAlign w:val="center"/>
            <w:hideMark/>
          </w:tcPr>
          <w:p w14:paraId="2E8C7CAC"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 </w:t>
            </w:r>
          </w:p>
        </w:tc>
        <w:tc>
          <w:tcPr>
            <w:tcW w:w="793" w:type="dxa"/>
            <w:tcBorders>
              <w:top w:val="nil"/>
              <w:left w:val="nil"/>
              <w:bottom w:val="single" w:sz="4" w:space="0" w:color="auto"/>
              <w:right w:val="single" w:sz="4" w:space="0" w:color="auto"/>
            </w:tcBorders>
            <w:shd w:val="clear" w:color="auto" w:fill="auto"/>
            <w:vAlign w:val="center"/>
            <w:hideMark/>
          </w:tcPr>
          <w:p w14:paraId="5E979E76"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2,5</w:t>
            </w:r>
          </w:p>
        </w:tc>
        <w:tc>
          <w:tcPr>
            <w:tcW w:w="992" w:type="dxa"/>
            <w:tcBorders>
              <w:top w:val="nil"/>
              <w:left w:val="nil"/>
              <w:bottom w:val="single" w:sz="4" w:space="0" w:color="auto"/>
              <w:right w:val="single" w:sz="4" w:space="0" w:color="auto"/>
            </w:tcBorders>
            <w:shd w:val="clear" w:color="auto" w:fill="auto"/>
            <w:vAlign w:val="center"/>
            <w:hideMark/>
          </w:tcPr>
          <w:p w14:paraId="79A6F5BF"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0,3</w:t>
            </w:r>
          </w:p>
        </w:tc>
        <w:tc>
          <w:tcPr>
            <w:tcW w:w="1030" w:type="dxa"/>
            <w:tcBorders>
              <w:top w:val="nil"/>
              <w:left w:val="nil"/>
              <w:bottom w:val="single" w:sz="4" w:space="0" w:color="auto"/>
              <w:right w:val="single" w:sz="4" w:space="0" w:color="auto"/>
            </w:tcBorders>
            <w:shd w:val="clear" w:color="auto" w:fill="auto"/>
            <w:vAlign w:val="center"/>
            <w:hideMark/>
          </w:tcPr>
          <w:p w14:paraId="152E9B46"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2,8</w:t>
            </w:r>
          </w:p>
        </w:tc>
        <w:tc>
          <w:tcPr>
            <w:tcW w:w="1096" w:type="dxa"/>
            <w:tcBorders>
              <w:top w:val="nil"/>
              <w:left w:val="nil"/>
              <w:bottom w:val="single" w:sz="4" w:space="0" w:color="auto"/>
              <w:right w:val="single" w:sz="4" w:space="0" w:color="auto"/>
            </w:tcBorders>
            <w:shd w:val="clear" w:color="auto" w:fill="auto"/>
            <w:vAlign w:val="center"/>
            <w:hideMark/>
          </w:tcPr>
          <w:p w14:paraId="38077BB6"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1,6</w:t>
            </w:r>
          </w:p>
        </w:tc>
        <w:tc>
          <w:tcPr>
            <w:tcW w:w="1149" w:type="dxa"/>
            <w:tcBorders>
              <w:top w:val="nil"/>
              <w:left w:val="nil"/>
              <w:bottom w:val="single" w:sz="4" w:space="0" w:color="auto"/>
              <w:right w:val="single" w:sz="4" w:space="0" w:color="auto"/>
            </w:tcBorders>
            <w:shd w:val="clear" w:color="auto" w:fill="auto"/>
            <w:vAlign w:val="center"/>
            <w:hideMark/>
          </w:tcPr>
          <w:p w14:paraId="1221C033" w14:textId="77777777" w:rsidR="00322AE9" w:rsidRPr="00322AE9" w:rsidRDefault="00322AE9" w:rsidP="00322AE9">
            <w:pPr>
              <w:ind w:firstLine="0"/>
              <w:jc w:val="center"/>
              <w:rPr>
                <w:rFonts w:eastAsia="Times New Roman" w:cs="Times New Roman"/>
                <w:color w:val="000000"/>
                <w:sz w:val="18"/>
                <w:szCs w:val="18"/>
                <w:lang w:eastAsia="ru-RU"/>
              </w:rPr>
            </w:pPr>
            <w:r w:rsidRPr="00322AE9">
              <w:rPr>
                <w:rFonts w:eastAsia="Times New Roman" w:cs="Times New Roman"/>
                <w:color w:val="000000"/>
                <w:sz w:val="18"/>
                <w:szCs w:val="18"/>
                <w:lang w:eastAsia="ru-RU"/>
              </w:rPr>
              <w:t>2,1</w:t>
            </w:r>
          </w:p>
        </w:tc>
        <w:tc>
          <w:tcPr>
            <w:tcW w:w="1119" w:type="dxa"/>
            <w:tcBorders>
              <w:top w:val="nil"/>
              <w:left w:val="nil"/>
              <w:bottom w:val="single" w:sz="4" w:space="0" w:color="auto"/>
              <w:right w:val="single" w:sz="4" w:space="0" w:color="auto"/>
            </w:tcBorders>
            <w:shd w:val="clear" w:color="auto" w:fill="auto"/>
            <w:vAlign w:val="center"/>
            <w:hideMark/>
          </w:tcPr>
          <w:p w14:paraId="33D71827" w14:textId="77777777" w:rsidR="00322AE9" w:rsidRPr="00322AE9" w:rsidRDefault="00322AE9" w:rsidP="00322AE9">
            <w:pPr>
              <w:ind w:firstLine="0"/>
              <w:jc w:val="center"/>
              <w:rPr>
                <w:rFonts w:eastAsia="Times New Roman" w:cs="Times New Roman"/>
                <w:b/>
                <w:bCs/>
                <w:color w:val="000000"/>
                <w:sz w:val="18"/>
                <w:szCs w:val="18"/>
                <w:lang w:eastAsia="ru-RU"/>
              </w:rPr>
            </w:pPr>
            <w:r w:rsidRPr="00322AE9">
              <w:rPr>
                <w:rFonts w:eastAsia="Times New Roman" w:cs="Times New Roman"/>
                <w:b/>
                <w:bCs/>
                <w:color w:val="000000"/>
                <w:sz w:val="18"/>
                <w:szCs w:val="18"/>
                <w:lang w:eastAsia="ru-RU"/>
              </w:rPr>
              <w:t>2,4</w:t>
            </w:r>
          </w:p>
        </w:tc>
        <w:tc>
          <w:tcPr>
            <w:tcW w:w="3149" w:type="dxa"/>
            <w:tcBorders>
              <w:top w:val="nil"/>
              <w:left w:val="nil"/>
              <w:bottom w:val="single" w:sz="4" w:space="0" w:color="auto"/>
              <w:right w:val="single" w:sz="4" w:space="0" w:color="auto"/>
            </w:tcBorders>
            <w:shd w:val="clear" w:color="auto" w:fill="auto"/>
            <w:hideMark/>
          </w:tcPr>
          <w:p w14:paraId="5DC66FC6" w14:textId="77777777" w:rsidR="00322AE9" w:rsidRPr="00322AE9" w:rsidRDefault="00322AE9" w:rsidP="00322AE9">
            <w:pPr>
              <w:ind w:firstLine="0"/>
              <w:jc w:val="left"/>
              <w:rPr>
                <w:rFonts w:eastAsia="Times New Roman" w:cs="Times New Roman"/>
                <w:color w:val="000000"/>
                <w:sz w:val="18"/>
                <w:szCs w:val="18"/>
                <w:lang w:eastAsia="ru-RU"/>
              </w:rPr>
            </w:pPr>
            <w:r w:rsidRPr="00322AE9">
              <w:rPr>
                <w:rFonts w:eastAsia="Times New Roman" w:cs="Times New Roman"/>
                <w:color w:val="000000"/>
                <w:sz w:val="18"/>
                <w:szCs w:val="18"/>
                <w:lang w:eastAsia="ru-RU"/>
              </w:rPr>
              <w:t>СП 44.13330.2011 "Административные и бытовые здания", п.4.5</w:t>
            </w:r>
          </w:p>
        </w:tc>
      </w:tr>
    </w:tbl>
    <w:p w14:paraId="3F8D1C07" w14:textId="77777777" w:rsidR="00322AE9" w:rsidRPr="00322AE9" w:rsidRDefault="00322AE9" w:rsidP="00322AE9">
      <w:pPr>
        <w:spacing w:after="160"/>
        <w:ind w:firstLine="0"/>
        <w:jc w:val="left"/>
        <w:rPr>
          <w:rFonts w:eastAsia="Times New Roman" w:cs="Times New Roman"/>
          <w:spacing w:val="-5"/>
          <w:szCs w:val="24"/>
        </w:rPr>
      </w:pPr>
    </w:p>
    <w:p w14:paraId="2378FD41" w14:textId="77777777" w:rsidR="00322AE9" w:rsidRPr="00322AE9" w:rsidRDefault="00322AE9" w:rsidP="00322AE9">
      <w:pPr>
        <w:spacing w:after="160"/>
        <w:ind w:firstLine="0"/>
        <w:jc w:val="left"/>
        <w:rPr>
          <w:rFonts w:eastAsia="Times New Roman" w:cs="Times New Roman"/>
          <w:spacing w:val="-5"/>
          <w:szCs w:val="24"/>
        </w:rPr>
        <w:sectPr w:rsidR="00322AE9" w:rsidRPr="00322AE9" w:rsidSect="00322AE9">
          <w:pgSz w:w="16838" w:h="11906" w:orient="landscape"/>
          <w:pgMar w:top="1701" w:right="1134" w:bottom="851" w:left="1134" w:header="709" w:footer="709" w:gutter="0"/>
          <w:cols w:space="708"/>
          <w:docGrid w:linePitch="360"/>
        </w:sectPr>
      </w:pPr>
    </w:p>
    <w:p w14:paraId="73986FBE" w14:textId="77777777" w:rsidR="00322AE9" w:rsidRPr="00322AE9" w:rsidRDefault="00322AE9" w:rsidP="00322AE9">
      <w:pPr>
        <w:suppressAutoHyphens/>
        <w:adjustRightInd w:val="0"/>
        <w:ind w:firstLine="567"/>
        <w:textAlignment w:val="baseline"/>
        <w:rPr>
          <w:rFonts w:eastAsia="Times New Roman" w:cs="Times New Roman"/>
          <w:spacing w:val="-5"/>
          <w:szCs w:val="24"/>
        </w:rPr>
      </w:pPr>
    </w:p>
    <w:p w14:paraId="3A03B0A7" w14:textId="77777777" w:rsidR="00322AE9" w:rsidRPr="00322AE9" w:rsidRDefault="00322AE9" w:rsidP="00322AE9">
      <w:pPr>
        <w:suppressAutoHyphens/>
        <w:adjustRightInd w:val="0"/>
        <w:ind w:firstLine="708"/>
        <w:textAlignment w:val="baseline"/>
        <w:rPr>
          <w:rFonts w:eastAsia="Times New Roman" w:cs="Times New Roman"/>
          <w:b/>
          <w:spacing w:val="-5"/>
          <w:szCs w:val="24"/>
        </w:rPr>
      </w:pPr>
      <w:r w:rsidRPr="00322AE9">
        <w:rPr>
          <w:rFonts w:eastAsia="Times New Roman" w:cs="Times New Roman"/>
          <w:b/>
          <w:spacing w:val="-5"/>
          <w:szCs w:val="24"/>
        </w:rPr>
        <w:t>Описание коэффициентов, используемых в расчетах</w:t>
      </w:r>
      <w:bookmarkEnd w:id="149"/>
    </w:p>
    <w:p w14:paraId="3A9CCE69" w14:textId="77777777" w:rsidR="00322AE9" w:rsidRPr="00322AE9" w:rsidRDefault="00322AE9" w:rsidP="00322AE9">
      <w:pPr>
        <w:suppressAutoHyphens/>
        <w:adjustRightInd w:val="0"/>
        <w:ind w:firstLine="709"/>
        <w:textAlignment w:val="baseline"/>
        <w:rPr>
          <w:rFonts w:eastAsia="Times New Roman" w:cs="Times New Roman"/>
          <w:spacing w:val="-5"/>
          <w:szCs w:val="24"/>
        </w:rPr>
      </w:pPr>
      <w:bookmarkStart w:id="154" w:name="_Toc525310213"/>
      <w:r w:rsidRPr="00322AE9">
        <w:rPr>
          <w:rFonts w:eastAsia="Times New Roman" w:cs="Times New Roman"/>
          <w:spacing w:val="-5"/>
          <w:szCs w:val="24"/>
        </w:rPr>
        <w:t>Справочниками КО-ИНВЕСТ предусмотрена возможность корректировки справочных показателей, учитывающих неполное соответствие оцениваемого объекта объекту-аналогу по объемно-планировочным, конструктивным параметрам, качеству применяемых материалов, конструкций, типам инженерных систем, регионально – экономическим, природно-климатическим и местным условиям осуществления строительства. Предусматривается введение поправок, как в абсолютном выражении, так и в виде корректирующих коэффициентов, что позволяет скорректировать величину стоимости как в целом по зданию, так и в разрезе основных конструктивных элементов, видов работ и инженерных систем здания.</w:t>
      </w:r>
    </w:p>
    <w:p w14:paraId="2CA76085" w14:textId="77777777" w:rsidR="00322AE9" w:rsidRPr="00322AE9" w:rsidRDefault="00322AE9" w:rsidP="00322AE9">
      <w:pPr>
        <w:suppressAutoHyphens/>
        <w:adjustRightInd w:val="0"/>
        <w:ind w:firstLine="709"/>
        <w:textAlignment w:val="baseline"/>
        <w:rPr>
          <w:rFonts w:eastAsia="Times New Roman" w:cs="Times New Roman"/>
          <w:spacing w:val="-5"/>
          <w:szCs w:val="24"/>
        </w:rPr>
      </w:pPr>
      <w:r w:rsidRPr="00322AE9">
        <w:rPr>
          <w:rFonts w:eastAsia="Times New Roman" w:cs="Times New Roman"/>
          <w:spacing w:val="-5"/>
          <w:szCs w:val="24"/>
        </w:rPr>
        <w:t>При этом следует иметь в виду, что пересчет базисной стоимости зимних удорожаний, затрат на временные здания и сооружения, на транспортировку работников строительства, других видов прочих работ и затрат, учет затрат на содержание и развитие объектов инфраструктуры подрядчика, дорожного и транспортного налога, непредвиденных затрат, налога на добавленную стоимость производится дополнительно.</w:t>
      </w:r>
    </w:p>
    <w:p w14:paraId="2C2EA802" w14:textId="77777777" w:rsidR="00322AE9" w:rsidRPr="00322AE9" w:rsidRDefault="00322AE9" w:rsidP="00322AE9">
      <w:pPr>
        <w:suppressAutoHyphens/>
        <w:adjustRightInd w:val="0"/>
        <w:ind w:firstLine="709"/>
        <w:textAlignment w:val="baseline"/>
        <w:rPr>
          <w:rFonts w:eastAsia="Times New Roman" w:cs="Times New Roman"/>
          <w:spacing w:val="-5"/>
          <w:szCs w:val="24"/>
        </w:rPr>
      </w:pPr>
      <w:r w:rsidRPr="00322AE9">
        <w:rPr>
          <w:rFonts w:eastAsia="Times New Roman" w:cs="Times New Roman"/>
          <w:spacing w:val="-5"/>
          <w:szCs w:val="24"/>
        </w:rPr>
        <w:t>Решение об объеме корректировок на отличие объекта-аналога от оцениваемых объектов принималось путем сопоставления параметров объектов оценки с параметрами объектов-аналогов.</w:t>
      </w:r>
    </w:p>
    <w:p w14:paraId="14F01877" w14:textId="77777777" w:rsidR="00322AE9" w:rsidRPr="00322AE9" w:rsidRDefault="00322AE9" w:rsidP="00322AE9">
      <w:pPr>
        <w:suppressAutoHyphens/>
        <w:adjustRightInd w:val="0"/>
        <w:ind w:firstLine="709"/>
        <w:textAlignment w:val="baseline"/>
        <w:rPr>
          <w:rFonts w:eastAsia="Times New Roman" w:cs="Times New Roman"/>
          <w:spacing w:val="-5"/>
          <w:szCs w:val="24"/>
        </w:rPr>
      </w:pPr>
    </w:p>
    <w:p w14:paraId="59E7487F" w14:textId="77777777" w:rsidR="00322AE9" w:rsidRPr="00322AE9" w:rsidRDefault="00322AE9" w:rsidP="00322AE9">
      <w:pPr>
        <w:suppressAutoHyphens/>
        <w:adjustRightInd w:val="0"/>
        <w:ind w:firstLine="709"/>
        <w:textAlignment w:val="baseline"/>
        <w:rPr>
          <w:rFonts w:eastAsia="Times New Roman" w:cs="Times New Roman"/>
          <w:b/>
          <w:spacing w:val="-5"/>
          <w:szCs w:val="24"/>
        </w:rPr>
      </w:pPr>
      <w:r w:rsidRPr="00322AE9">
        <w:rPr>
          <w:rFonts w:eastAsia="Times New Roman" w:cs="Times New Roman"/>
          <w:b/>
          <w:spacing w:val="-5"/>
          <w:szCs w:val="24"/>
        </w:rPr>
        <w:t>Коэффициенты, учитывающие изменение цен на дату издания справочников КО-ИНВЕСТ</w:t>
      </w:r>
    </w:p>
    <w:p w14:paraId="18D523FB" w14:textId="77777777" w:rsidR="00322AE9" w:rsidRPr="00322AE9" w:rsidRDefault="00322AE9" w:rsidP="00322AE9">
      <w:pPr>
        <w:suppressAutoHyphens/>
        <w:adjustRightInd w:val="0"/>
        <w:ind w:firstLine="709"/>
        <w:textAlignment w:val="baseline"/>
        <w:rPr>
          <w:rFonts w:eastAsia="Times New Roman" w:cs="Times New Roman"/>
          <w:spacing w:val="-5"/>
          <w:szCs w:val="24"/>
        </w:rPr>
      </w:pPr>
      <w:r w:rsidRPr="00322AE9">
        <w:rPr>
          <w:rFonts w:eastAsia="Times New Roman" w:cs="Times New Roman"/>
          <w:spacing w:val="-5"/>
          <w:szCs w:val="24"/>
        </w:rPr>
        <w:t>В связи с тем, что в используемых для проведения расчетов справочниках стоимость строительства объектов определена по состоянию на 01.01.2018, в расчетах должна дополнительно применяться корректировка перехода от цен, определенных в справочниках, к ценам по состоянию на дату оценки (01.01.2019), данная поправка определяется на основании сведений, представленных в сборнике КО-ИНВЕСТ «Индексы цен в строительстве» Выпуск 106, Январь 2019.</w:t>
      </w:r>
    </w:p>
    <w:p w14:paraId="43D2009E" w14:textId="77777777" w:rsidR="00322AE9" w:rsidRPr="00322AE9" w:rsidRDefault="00322AE9" w:rsidP="00322AE9">
      <w:pPr>
        <w:suppressAutoHyphens/>
        <w:adjustRightInd w:val="0"/>
        <w:ind w:firstLine="709"/>
        <w:textAlignment w:val="baseline"/>
        <w:rPr>
          <w:rFonts w:eastAsia="Times New Roman" w:cs="Times New Roman"/>
          <w:spacing w:val="-5"/>
          <w:szCs w:val="24"/>
        </w:rPr>
      </w:pPr>
      <w:r w:rsidRPr="00322AE9">
        <w:rPr>
          <w:rFonts w:eastAsia="Times New Roman" w:cs="Times New Roman"/>
          <w:spacing w:val="-5"/>
          <w:szCs w:val="24"/>
        </w:rPr>
        <w:t>Региональные коэффициенты стоимости строительства по характерным конструктивным системам зданий и сооружений использовались с справочника КО-ИНВЕСТ (см. следующую таблицу).</w:t>
      </w:r>
    </w:p>
    <w:p w14:paraId="6A6E7C39" w14:textId="77777777" w:rsidR="00322AE9" w:rsidRPr="00322AE9" w:rsidRDefault="00322AE9" w:rsidP="00322AE9">
      <w:pPr>
        <w:suppressAutoHyphens/>
        <w:adjustRightInd w:val="0"/>
        <w:ind w:firstLine="709"/>
        <w:textAlignment w:val="baseline"/>
        <w:rPr>
          <w:rFonts w:eastAsia="Times New Roman" w:cs="Times New Roman"/>
          <w:b/>
          <w:spacing w:val="-5"/>
          <w:szCs w:val="24"/>
        </w:rPr>
      </w:pPr>
    </w:p>
    <w:p w14:paraId="2BA073D8" w14:textId="77777777" w:rsidR="00322AE9" w:rsidRPr="00322AE9" w:rsidRDefault="00322AE9" w:rsidP="00322AE9">
      <w:pPr>
        <w:suppressAutoHyphens/>
        <w:adjustRightInd w:val="0"/>
        <w:ind w:firstLine="709"/>
        <w:textAlignment w:val="baseline"/>
        <w:rPr>
          <w:rFonts w:eastAsia="Times New Roman" w:cs="Times New Roman"/>
          <w:spacing w:val="-5"/>
          <w:szCs w:val="24"/>
        </w:rPr>
      </w:pPr>
    </w:p>
    <w:p w14:paraId="4588F6D7" w14:textId="77777777" w:rsidR="00322AE9" w:rsidRPr="00322AE9" w:rsidRDefault="00322AE9" w:rsidP="00322AE9">
      <w:pPr>
        <w:suppressAutoHyphens/>
        <w:adjustRightInd w:val="0"/>
        <w:ind w:firstLine="709"/>
        <w:textAlignment w:val="baseline"/>
        <w:rPr>
          <w:rFonts w:eastAsia="Times New Roman" w:cs="Times New Roman"/>
          <w:spacing w:val="-5"/>
          <w:szCs w:val="24"/>
        </w:rPr>
        <w:sectPr w:rsidR="00322AE9" w:rsidRPr="00322AE9" w:rsidSect="00322AE9">
          <w:headerReference w:type="default" r:id="rId304"/>
          <w:pgSz w:w="11906" w:h="16838"/>
          <w:pgMar w:top="1134" w:right="566" w:bottom="1134" w:left="1701" w:header="708" w:footer="708" w:gutter="0"/>
          <w:cols w:space="708"/>
          <w:docGrid w:linePitch="360"/>
        </w:sectPr>
      </w:pPr>
    </w:p>
    <w:p w14:paraId="327279FC" w14:textId="04D66EA3" w:rsidR="00322AE9" w:rsidRPr="004C3F6D" w:rsidRDefault="00322AE9" w:rsidP="00763AD2">
      <w:pPr>
        <w:pStyle w:val="afffffff0"/>
      </w:pPr>
      <w:r w:rsidRPr="004C3F6D">
        <w:t xml:space="preserve">Таблица </w:t>
      </w:r>
      <w:r w:rsidR="00A90944">
        <w:fldChar w:fldCharType="begin"/>
      </w:r>
      <w:r w:rsidR="00A90944">
        <w:instrText xml:space="preserve"> SEQ Таблица \* ARABIC </w:instrText>
      </w:r>
      <w:r w:rsidR="00A90944">
        <w:fldChar w:fldCharType="separate"/>
      </w:r>
      <w:r w:rsidR="00FD2769">
        <w:rPr>
          <w:noProof/>
        </w:rPr>
        <w:t>74</w:t>
      </w:r>
      <w:r w:rsidR="00A90944">
        <w:rPr>
          <w:noProof/>
        </w:rPr>
        <w:fldChar w:fldCharType="end"/>
      </w:r>
      <w:r w:rsidRPr="004C3F6D">
        <w:rPr>
          <w:noProof/>
        </w:rPr>
        <w:t xml:space="preserve"> </w:t>
      </w:r>
      <w:r w:rsidRPr="004C3F6D">
        <w:t>Региональные коэффициенты стоимости строительства по характерным конструктивным системам зданий и сооружений</w:t>
      </w:r>
    </w:p>
    <w:tbl>
      <w:tblPr>
        <w:tblW w:w="5184" w:type="pct"/>
        <w:tblInd w:w="-11" w:type="dxa"/>
        <w:tblLayout w:type="fixed"/>
        <w:tblLook w:val="04A0" w:firstRow="1" w:lastRow="0" w:firstColumn="1" w:lastColumn="0" w:noHBand="0" w:noVBand="1"/>
      </w:tblPr>
      <w:tblGrid>
        <w:gridCol w:w="2223"/>
        <w:gridCol w:w="1036"/>
        <w:gridCol w:w="139"/>
        <w:gridCol w:w="1428"/>
        <w:gridCol w:w="447"/>
        <w:gridCol w:w="688"/>
        <w:gridCol w:w="82"/>
        <w:gridCol w:w="1120"/>
        <w:gridCol w:w="48"/>
        <w:gridCol w:w="1005"/>
        <w:gridCol w:w="338"/>
        <w:gridCol w:w="722"/>
        <w:gridCol w:w="414"/>
        <w:gridCol w:w="767"/>
        <w:gridCol w:w="51"/>
        <w:gridCol w:w="103"/>
        <w:gridCol w:w="839"/>
        <w:gridCol w:w="595"/>
        <w:gridCol w:w="54"/>
        <w:gridCol w:w="673"/>
        <w:gridCol w:w="571"/>
        <w:gridCol w:w="54"/>
        <w:gridCol w:w="489"/>
        <w:gridCol w:w="1171"/>
        <w:gridCol w:w="30"/>
        <w:gridCol w:w="9"/>
      </w:tblGrid>
      <w:tr w:rsidR="00322AE9" w:rsidRPr="00322AE9" w14:paraId="10467693" w14:textId="77777777" w:rsidTr="00322AE9">
        <w:trPr>
          <w:trHeight w:val="300"/>
        </w:trPr>
        <w:tc>
          <w:tcPr>
            <w:tcW w:w="736" w:type="pct"/>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CBE9741" w14:textId="77777777" w:rsidR="00322AE9" w:rsidRPr="00322AE9" w:rsidRDefault="00322AE9" w:rsidP="00322AE9">
            <w:pPr>
              <w:suppressAutoHyphens/>
              <w:adjustRightInd w:val="0"/>
              <w:ind w:firstLine="567"/>
              <w:jc w:val="center"/>
              <w:textAlignment w:val="baseline"/>
              <w:rPr>
                <w:rFonts w:eastAsia="Times New Roman" w:cs="Times New Roman"/>
                <w:color w:val="000000"/>
                <w:spacing w:val="-5"/>
                <w:sz w:val="22"/>
              </w:rPr>
            </w:pPr>
            <w:r w:rsidRPr="00322AE9">
              <w:rPr>
                <w:rFonts w:eastAsia="Times New Roman" w:cs="Times New Roman"/>
                <w:color w:val="000000"/>
                <w:spacing w:val="-5"/>
                <w:sz w:val="22"/>
              </w:rPr>
              <w:t> </w:t>
            </w:r>
          </w:p>
        </w:tc>
        <w:tc>
          <w:tcPr>
            <w:tcW w:w="4264" w:type="pct"/>
            <w:gridSpan w:val="25"/>
            <w:tcBorders>
              <w:top w:val="single" w:sz="4" w:space="0" w:color="auto"/>
              <w:left w:val="nil"/>
              <w:bottom w:val="single" w:sz="4" w:space="0" w:color="auto"/>
              <w:right w:val="single" w:sz="4" w:space="0" w:color="auto"/>
            </w:tcBorders>
            <w:shd w:val="clear" w:color="auto" w:fill="auto"/>
            <w:noWrap/>
            <w:vAlign w:val="center"/>
            <w:hideMark/>
          </w:tcPr>
          <w:p w14:paraId="66BD893A" w14:textId="77777777" w:rsidR="00322AE9" w:rsidRPr="00322AE9" w:rsidRDefault="00322AE9" w:rsidP="00322AE9">
            <w:pPr>
              <w:suppressAutoHyphens/>
              <w:adjustRightInd w:val="0"/>
              <w:ind w:firstLine="0"/>
              <w:jc w:val="center"/>
              <w:textAlignment w:val="baseline"/>
              <w:rPr>
                <w:rFonts w:eastAsia="Times New Roman" w:cs="Times New Roman"/>
                <w:color w:val="000000"/>
                <w:spacing w:val="-5"/>
                <w:sz w:val="22"/>
              </w:rPr>
            </w:pPr>
            <w:r w:rsidRPr="00322AE9">
              <w:rPr>
                <w:rFonts w:eastAsia="Times New Roman" w:cs="Times New Roman"/>
                <w:color w:val="000000"/>
                <w:spacing w:val="-5"/>
                <w:sz w:val="22"/>
              </w:rPr>
              <w:t>ЗДАНИЯ</w:t>
            </w:r>
          </w:p>
        </w:tc>
      </w:tr>
      <w:tr w:rsidR="00322AE9" w:rsidRPr="00322AE9" w14:paraId="04D77BDB" w14:textId="77777777" w:rsidTr="00322AE9">
        <w:trPr>
          <w:trHeight w:val="300"/>
        </w:trPr>
        <w:tc>
          <w:tcPr>
            <w:tcW w:w="736" w:type="pct"/>
            <w:vMerge/>
            <w:tcBorders>
              <w:top w:val="single" w:sz="4" w:space="0" w:color="auto"/>
              <w:left w:val="single" w:sz="4" w:space="0" w:color="auto"/>
              <w:bottom w:val="single" w:sz="4" w:space="0" w:color="auto"/>
              <w:right w:val="single" w:sz="4" w:space="0" w:color="auto"/>
            </w:tcBorders>
            <w:vAlign w:val="center"/>
            <w:hideMark/>
          </w:tcPr>
          <w:p w14:paraId="7A3FAC95" w14:textId="77777777" w:rsidR="00322AE9" w:rsidRPr="00322AE9" w:rsidRDefault="00322AE9" w:rsidP="00322AE9">
            <w:pPr>
              <w:suppressAutoHyphens/>
              <w:adjustRightInd w:val="0"/>
              <w:ind w:firstLine="567"/>
              <w:textAlignment w:val="baseline"/>
              <w:rPr>
                <w:rFonts w:eastAsia="Times New Roman" w:cs="Times New Roman"/>
                <w:color w:val="000000"/>
                <w:spacing w:val="-5"/>
                <w:sz w:val="22"/>
              </w:rPr>
            </w:pPr>
          </w:p>
        </w:tc>
        <w:tc>
          <w:tcPr>
            <w:tcW w:w="4264" w:type="pct"/>
            <w:gridSpan w:val="25"/>
            <w:tcBorders>
              <w:top w:val="single" w:sz="4" w:space="0" w:color="auto"/>
              <w:left w:val="nil"/>
              <w:bottom w:val="single" w:sz="4" w:space="0" w:color="auto"/>
              <w:right w:val="single" w:sz="4" w:space="0" w:color="auto"/>
            </w:tcBorders>
            <w:shd w:val="clear" w:color="auto" w:fill="auto"/>
            <w:noWrap/>
            <w:vAlign w:val="center"/>
            <w:hideMark/>
          </w:tcPr>
          <w:p w14:paraId="77CCBF65" w14:textId="77777777" w:rsidR="00322AE9" w:rsidRPr="00322AE9" w:rsidRDefault="00322AE9" w:rsidP="00322AE9">
            <w:pPr>
              <w:suppressAutoHyphens/>
              <w:adjustRightInd w:val="0"/>
              <w:ind w:firstLine="567"/>
              <w:jc w:val="center"/>
              <w:textAlignment w:val="baseline"/>
              <w:rPr>
                <w:rFonts w:eastAsia="Times New Roman" w:cs="Times New Roman"/>
                <w:color w:val="000000"/>
                <w:spacing w:val="-5"/>
                <w:sz w:val="22"/>
              </w:rPr>
            </w:pPr>
            <w:r w:rsidRPr="00322AE9">
              <w:rPr>
                <w:rFonts w:eastAsia="Times New Roman" w:cs="Times New Roman"/>
                <w:color w:val="000000"/>
                <w:spacing w:val="-5"/>
                <w:sz w:val="22"/>
              </w:rPr>
              <w:t>с наружным ограждающим конструкциям преимущественно из:</w:t>
            </w:r>
          </w:p>
        </w:tc>
      </w:tr>
      <w:tr w:rsidR="00322AE9" w:rsidRPr="00322AE9" w14:paraId="45B5A1C9" w14:textId="77777777" w:rsidTr="00322AE9">
        <w:trPr>
          <w:gridAfter w:val="2"/>
          <w:wAfter w:w="13" w:type="pct"/>
          <w:trHeight w:val="773"/>
        </w:trPr>
        <w:tc>
          <w:tcPr>
            <w:tcW w:w="736" w:type="pct"/>
            <w:vMerge/>
            <w:tcBorders>
              <w:top w:val="single" w:sz="4" w:space="0" w:color="auto"/>
              <w:left w:val="single" w:sz="4" w:space="0" w:color="auto"/>
              <w:bottom w:val="single" w:sz="4" w:space="0" w:color="auto"/>
              <w:right w:val="single" w:sz="4" w:space="0" w:color="auto"/>
            </w:tcBorders>
            <w:vAlign w:val="center"/>
            <w:hideMark/>
          </w:tcPr>
          <w:p w14:paraId="59B74544" w14:textId="77777777" w:rsidR="00322AE9" w:rsidRPr="00322AE9" w:rsidRDefault="00322AE9" w:rsidP="00322AE9">
            <w:pPr>
              <w:suppressAutoHyphens/>
              <w:adjustRightInd w:val="0"/>
              <w:ind w:firstLine="567"/>
              <w:textAlignment w:val="baseline"/>
              <w:rPr>
                <w:rFonts w:eastAsia="Times New Roman" w:cs="Times New Roman"/>
                <w:color w:val="000000"/>
                <w:spacing w:val="-5"/>
                <w:sz w:val="22"/>
              </w:rPr>
            </w:pPr>
          </w:p>
        </w:tc>
        <w:tc>
          <w:tcPr>
            <w:tcW w:w="343" w:type="pct"/>
            <w:tcBorders>
              <w:top w:val="nil"/>
              <w:left w:val="nil"/>
              <w:bottom w:val="single" w:sz="4" w:space="0" w:color="auto"/>
              <w:right w:val="single" w:sz="4" w:space="0" w:color="auto"/>
            </w:tcBorders>
            <w:shd w:val="clear" w:color="auto" w:fill="auto"/>
            <w:vAlign w:val="center"/>
            <w:hideMark/>
          </w:tcPr>
          <w:p w14:paraId="66E93132" w14:textId="77777777" w:rsidR="00322AE9" w:rsidRPr="00322AE9" w:rsidRDefault="00322AE9" w:rsidP="00322AE9">
            <w:pPr>
              <w:suppressAutoHyphens/>
              <w:adjustRightInd w:val="0"/>
              <w:ind w:firstLine="0"/>
              <w:jc w:val="center"/>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кирпича</w:t>
            </w:r>
          </w:p>
        </w:tc>
        <w:tc>
          <w:tcPr>
            <w:tcW w:w="519" w:type="pct"/>
            <w:gridSpan w:val="2"/>
            <w:tcBorders>
              <w:top w:val="nil"/>
              <w:left w:val="nil"/>
              <w:bottom w:val="single" w:sz="4" w:space="0" w:color="auto"/>
              <w:right w:val="single" w:sz="4" w:space="0" w:color="auto"/>
            </w:tcBorders>
            <w:shd w:val="clear" w:color="auto" w:fill="auto"/>
            <w:vAlign w:val="center"/>
            <w:hideMark/>
          </w:tcPr>
          <w:p w14:paraId="1B112FCC" w14:textId="77777777" w:rsidR="00322AE9" w:rsidRPr="00322AE9" w:rsidRDefault="00322AE9" w:rsidP="00322AE9">
            <w:pPr>
              <w:suppressAutoHyphens/>
              <w:adjustRightInd w:val="0"/>
              <w:ind w:firstLine="0"/>
              <w:jc w:val="center"/>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мелких стеновых ячеистых и слоистых блоков</w:t>
            </w:r>
          </w:p>
        </w:tc>
        <w:tc>
          <w:tcPr>
            <w:tcW w:w="376" w:type="pct"/>
            <w:gridSpan w:val="2"/>
            <w:tcBorders>
              <w:top w:val="nil"/>
              <w:left w:val="nil"/>
              <w:bottom w:val="single" w:sz="4" w:space="0" w:color="auto"/>
              <w:right w:val="single" w:sz="4" w:space="0" w:color="auto"/>
            </w:tcBorders>
            <w:shd w:val="clear" w:color="auto" w:fill="auto"/>
            <w:vAlign w:val="center"/>
            <w:hideMark/>
          </w:tcPr>
          <w:p w14:paraId="7D635669" w14:textId="77777777" w:rsidR="00322AE9" w:rsidRPr="00322AE9" w:rsidRDefault="00322AE9" w:rsidP="00322AE9">
            <w:pPr>
              <w:suppressAutoHyphens/>
              <w:adjustRightInd w:val="0"/>
              <w:ind w:firstLine="0"/>
              <w:jc w:val="center"/>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кирпича</w:t>
            </w:r>
          </w:p>
        </w:tc>
        <w:tc>
          <w:tcPr>
            <w:tcW w:w="1098" w:type="pct"/>
            <w:gridSpan w:val="6"/>
            <w:tcBorders>
              <w:top w:val="single" w:sz="4" w:space="0" w:color="auto"/>
              <w:left w:val="nil"/>
              <w:bottom w:val="single" w:sz="4" w:space="0" w:color="auto"/>
              <w:right w:val="single" w:sz="4" w:space="0" w:color="auto"/>
            </w:tcBorders>
            <w:shd w:val="clear" w:color="auto" w:fill="auto"/>
            <w:vAlign w:val="center"/>
            <w:hideMark/>
          </w:tcPr>
          <w:p w14:paraId="66F6E7EA" w14:textId="77777777" w:rsidR="00322AE9" w:rsidRPr="00322AE9" w:rsidRDefault="00322AE9" w:rsidP="00322AE9">
            <w:pPr>
              <w:suppressAutoHyphens/>
              <w:adjustRightInd w:val="0"/>
              <w:ind w:firstLine="0"/>
              <w:jc w:val="center"/>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железобетона</w:t>
            </w:r>
          </w:p>
        </w:tc>
        <w:tc>
          <w:tcPr>
            <w:tcW w:w="408" w:type="pct"/>
            <w:gridSpan w:val="3"/>
            <w:tcBorders>
              <w:top w:val="nil"/>
              <w:left w:val="nil"/>
              <w:bottom w:val="single" w:sz="4" w:space="0" w:color="auto"/>
              <w:right w:val="single" w:sz="4" w:space="0" w:color="auto"/>
            </w:tcBorders>
            <w:shd w:val="clear" w:color="auto" w:fill="auto"/>
            <w:vAlign w:val="center"/>
            <w:hideMark/>
          </w:tcPr>
          <w:p w14:paraId="292BD9E5" w14:textId="77777777" w:rsidR="00322AE9" w:rsidRPr="00322AE9" w:rsidRDefault="00322AE9" w:rsidP="00322AE9">
            <w:pPr>
              <w:suppressAutoHyphens/>
              <w:adjustRightInd w:val="0"/>
              <w:ind w:firstLine="0"/>
              <w:jc w:val="center"/>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панелей "сендвич"</w:t>
            </w:r>
          </w:p>
        </w:tc>
        <w:tc>
          <w:tcPr>
            <w:tcW w:w="527" w:type="pct"/>
            <w:gridSpan w:val="4"/>
            <w:tcBorders>
              <w:top w:val="nil"/>
              <w:left w:val="nil"/>
              <w:bottom w:val="single" w:sz="4" w:space="0" w:color="auto"/>
              <w:right w:val="single" w:sz="4" w:space="0" w:color="auto"/>
            </w:tcBorders>
            <w:shd w:val="clear" w:color="auto" w:fill="auto"/>
            <w:vAlign w:val="center"/>
            <w:hideMark/>
          </w:tcPr>
          <w:p w14:paraId="1252F086" w14:textId="77777777" w:rsidR="00322AE9" w:rsidRPr="00322AE9" w:rsidRDefault="00322AE9" w:rsidP="00322AE9">
            <w:pPr>
              <w:suppressAutoHyphens/>
              <w:adjustRightInd w:val="0"/>
              <w:ind w:firstLine="0"/>
              <w:jc w:val="center"/>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стекла, светопрозрачного материала</w:t>
            </w:r>
          </w:p>
        </w:tc>
        <w:tc>
          <w:tcPr>
            <w:tcW w:w="430" w:type="pct"/>
            <w:gridSpan w:val="3"/>
            <w:tcBorders>
              <w:top w:val="nil"/>
              <w:left w:val="nil"/>
              <w:bottom w:val="single" w:sz="4" w:space="0" w:color="auto"/>
              <w:right w:val="single" w:sz="4" w:space="0" w:color="auto"/>
            </w:tcBorders>
            <w:shd w:val="clear" w:color="auto" w:fill="auto"/>
            <w:vAlign w:val="center"/>
            <w:hideMark/>
          </w:tcPr>
          <w:p w14:paraId="12E1FF5A" w14:textId="77777777" w:rsidR="00322AE9" w:rsidRPr="00322AE9" w:rsidRDefault="00322AE9" w:rsidP="00322AE9">
            <w:pPr>
              <w:suppressAutoHyphens/>
              <w:adjustRightInd w:val="0"/>
              <w:ind w:firstLine="0"/>
              <w:jc w:val="center"/>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панелей "сендвич"</w:t>
            </w:r>
          </w:p>
        </w:tc>
        <w:tc>
          <w:tcPr>
            <w:tcW w:w="550" w:type="pct"/>
            <w:gridSpan w:val="2"/>
            <w:tcBorders>
              <w:top w:val="nil"/>
              <w:left w:val="nil"/>
              <w:bottom w:val="single" w:sz="4" w:space="0" w:color="auto"/>
              <w:right w:val="single" w:sz="4" w:space="0" w:color="auto"/>
            </w:tcBorders>
            <w:shd w:val="clear" w:color="auto" w:fill="auto"/>
            <w:vAlign w:val="center"/>
            <w:hideMark/>
          </w:tcPr>
          <w:p w14:paraId="030DDBCB" w14:textId="77777777" w:rsidR="00322AE9" w:rsidRPr="00322AE9" w:rsidRDefault="00322AE9" w:rsidP="00322AE9">
            <w:pPr>
              <w:suppressAutoHyphens/>
              <w:adjustRightInd w:val="0"/>
              <w:ind w:firstLine="0"/>
              <w:jc w:val="center"/>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древесины</w:t>
            </w:r>
          </w:p>
        </w:tc>
      </w:tr>
      <w:tr w:rsidR="00322AE9" w:rsidRPr="00322AE9" w14:paraId="47C7A15A" w14:textId="77777777" w:rsidTr="00322AE9">
        <w:trPr>
          <w:trHeight w:val="300"/>
        </w:trPr>
        <w:tc>
          <w:tcPr>
            <w:tcW w:w="736" w:type="pct"/>
            <w:vMerge/>
            <w:tcBorders>
              <w:top w:val="single" w:sz="4" w:space="0" w:color="auto"/>
              <w:left w:val="single" w:sz="4" w:space="0" w:color="auto"/>
              <w:bottom w:val="single" w:sz="4" w:space="0" w:color="auto"/>
              <w:right w:val="single" w:sz="4" w:space="0" w:color="auto"/>
            </w:tcBorders>
            <w:vAlign w:val="center"/>
            <w:hideMark/>
          </w:tcPr>
          <w:p w14:paraId="640C67D9" w14:textId="77777777" w:rsidR="00322AE9" w:rsidRPr="00322AE9" w:rsidRDefault="00322AE9" w:rsidP="00322AE9">
            <w:pPr>
              <w:suppressAutoHyphens/>
              <w:adjustRightInd w:val="0"/>
              <w:ind w:firstLine="567"/>
              <w:textAlignment w:val="baseline"/>
              <w:rPr>
                <w:rFonts w:eastAsia="Times New Roman" w:cs="Times New Roman"/>
                <w:color w:val="000000"/>
                <w:spacing w:val="-5"/>
                <w:sz w:val="22"/>
              </w:rPr>
            </w:pPr>
          </w:p>
        </w:tc>
        <w:tc>
          <w:tcPr>
            <w:tcW w:w="4264" w:type="pct"/>
            <w:gridSpan w:val="25"/>
            <w:tcBorders>
              <w:top w:val="single" w:sz="4" w:space="0" w:color="auto"/>
              <w:left w:val="nil"/>
              <w:bottom w:val="single" w:sz="4" w:space="0" w:color="auto"/>
              <w:right w:val="single" w:sz="4" w:space="0" w:color="auto"/>
            </w:tcBorders>
            <w:shd w:val="clear" w:color="auto" w:fill="auto"/>
            <w:noWrap/>
            <w:vAlign w:val="center"/>
            <w:hideMark/>
          </w:tcPr>
          <w:p w14:paraId="4AF8D9C8" w14:textId="77777777" w:rsidR="00322AE9" w:rsidRPr="00322AE9" w:rsidRDefault="00322AE9" w:rsidP="00322AE9">
            <w:pPr>
              <w:suppressAutoHyphens/>
              <w:adjustRightInd w:val="0"/>
              <w:ind w:firstLine="567"/>
              <w:jc w:val="center"/>
              <w:textAlignment w:val="baseline"/>
              <w:rPr>
                <w:rFonts w:eastAsia="Times New Roman" w:cs="Times New Roman"/>
                <w:color w:val="000000"/>
                <w:spacing w:val="-5"/>
                <w:sz w:val="22"/>
              </w:rPr>
            </w:pPr>
            <w:r w:rsidRPr="00322AE9">
              <w:rPr>
                <w:rFonts w:eastAsia="Times New Roman" w:cs="Times New Roman"/>
                <w:color w:val="000000"/>
                <w:spacing w:val="-5"/>
                <w:sz w:val="22"/>
              </w:rPr>
              <w:t>с несущими конструкциями преимущественно из:</w:t>
            </w:r>
          </w:p>
        </w:tc>
      </w:tr>
      <w:tr w:rsidR="00322AE9" w:rsidRPr="00322AE9" w14:paraId="07A1F9B2" w14:textId="77777777" w:rsidTr="00322AE9">
        <w:trPr>
          <w:gridAfter w:val="2"/>
          <w:wAfter w:w="13" w:type="pct"/>
          <w:trHeight w:val="298"/>
        </w:trPr>
        <w:tc>
          <w:tcPr>
            <w:tcW w:w="736" w:type="pct"/>
            <w:vMerge/>
            <w:tcBorders>
              <w:top w:val="single" w:sz="4" w:space="0" w:color="auto"/>
              <w:left w:val="single" w:sz="4" w:space="0" w:color="auto"/>
              <w:bottom w:val="single" w:sz="4" w:space="0" w:color="auto"/>
              <w:right w:val="single" w:sz="4" w:space="0" w:color="auto"/>
            </w:tcBorders>
            <w:vAlign w:val="center"/>
            <w:hideMark/>
          </w:tcPr>
          <w:p w14:paraId="5085CF6A" w14:textId="77777777" w:rsidR="00322AE9" w:rsidRPr="00322AE9" w:rsidRDefault="00322AE9" w:rsidP="00322AE9">
            <w:pPr>
              <w:suppressAutoHyphens/>
              <w:adjustRightInd w:val="0"/>
              <w:ind w:firstLine="567"/>
              <w:textAlignment w:val="baseline"/>
              <w:rPr>
                <w:rFonts w:eastAsia="Times New Roman" w:cs="Times New Roman"/>
                <w:color w:val="000000"/>
                <w:spacing w:val="-5"/>
                <w:sz w:val="22"/>
              </w:rPr>
            </w:pPr>
          </w:p>
        </w:tc>
        <w:tc>
          <w:tcPr>
            <w:tcW w:w="343" w:type="pct"/>
            <w:vMerge w:val="restart"/>
            <w:tcBorders>
              <w:top w:val="nil"/>
              <w:left w:val="single" w:sz="4" w:space="0" w:color="auto"/>
              <w:bottom w:val="single" w:sz="4" w:space="0" w:color="auto"/>
              <w:right w:val="single" w:sz="4" w:space="0" w:color="auto"/>
            </w:tcBorders>
            <w:shd w:val="clear" w:color="auto" w:fill="auto"/>
            <w:vAlign w:val="center"/>
            <w:hideMark/>
          </w:tcPr>
          <w:p w14:paraId="3872E78E" w14:textId="77777777" w:rsidR="00322AE9" w:rsidRPr="00322AE9" w:rsidRDefault="00322AE9" w:rsidP="00322AE9">
            <w:pPr>
              <w:suppressAutoHyphens/>
              <w:adjustRightInd w:val="0"/>
              <w:ind w:firstLine="0"/>
              <w:jc w:val="center"/>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железобетона, стали, кирпича</w:t>
            </w:r>
          </w:p>
        </w:tc>
        <w:tc>
          <w:tcPr>
            <w:tcW w:w="519" w:type="pct"/>
            <w:gridSpan w:val="2"/>
            <w:vMerge w:val="restart"/>
            <w:tcBorders>
              <w:top w:val="nil"/>
              <w:left w:val="single" w:sz="4" w:space="0" w:color="auto"/>
              <w:bottom w:val="single" w:sz="4" w:space="0" w:color="auto"/>
              <w:right w:val="single" w:sz="4" w:space="0" w:color="auto"/>
            </w:tcBorders>
            <w:shd w:val="clear" w:color="auto" w:fill="auto"/>
            <w:vAlign w:val="center"/>
            <w:hideMark/>
          </w:tcPr>
          <w:p w14:paraId="2B2A0875" w14:textId="77777777" w:rsidR="00322AE9" w:rsidRPr="00322AE9" w:rsidRDefault="00322AE9" w:rsidP="00322AE9">
            <w:pPr>
              <w:suppressAutoHyphens/>
              <w:adjustRightInd w:val="0"/>
              <w:ind w:firstLine="0"/>
              <w:jc w:val="center"/>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железобетона и стали</w:t>
            </w:r>
          </w:p>
        </w:tc>
        <w:tc>
          <w:tcPr>
            <w:tcW w:w="376" w:type="pct"/>
            <w:gridSpan w:val="2"/>
            <w:vMerge w:val="restart"/>
            <w:tcBorders>
              <w:top w:val="nil"/>
              <w:left w:val="single" w:sz="4" w:space="0" w:color="auto"/>
              <w:bottom w:val="single" w:sz="4" w:space="0" w:color="auto"/>
              <w:right w:val="single" w:sz="4" w:space="0" w:color="auto"/>
            </w:tcBorders>
            <w:shd w:val="clear" w:color="auto" w:fill="auto"/>
            <w:vAlign w:val="center"/>
            <w:hideMark/>
          </w:tcPr>
          <w:p w14:paraId="06932A21" w14:textId="77777777" w:rsidR="00322AE9" w:rsidRPr="00322AE9" w:rsidRDefault="00322AE9" w:rsidP="00322AE9">
            <w:pPr>
              <w:suppressAutoHyphens/>
              <w:adjustRightInd w:val="0"/>
              <w:ind w:firstLine="0"/>
              <w:jc w:val="center"/>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древесины</w:t>
            </w:r>
          </w:p>
        </w:tc>
        <w:tc>
          <w:tcPr>
            <w:tcW w:w="747" w:type="pct"/>
            <w:gridSpan w:val="4"/>
            <w:tcBorders>
              <w:top w:val="single" w:sz="4" w:space="0" w:color="auto"/>
              <w:left w:val="nil"/>
              <w:bottom w:val="single" w:sz="4" w:space="0" w:color="auto"/>
              <w:right w:val="single" w:sz="4" w:space="0" w:color="auto"/>
            </w:tcBorders>
            <w:shd w:val="clear" w:color="auto" w:fill="auto"/>
            <w:vAlign w:val="center"/>
            <w:hideMark/>
          </w:tcPr>
          <w:p w14:paraId="56C3DB40" w14:textId="77777777" w:rsidR="00322AE9" w:rsidRPr="00322AE9" w:rsidRDefault="00322AE9" w:rsidP="00322AE9">
            <w:pPr>
              <w:suppressAutoHyphens/>
              <w:adjustRightInd w:val="0"/>
              <w:ind w:firstLine="0"/>
              <w:jc w:val="center"/>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железобетона</w:t>
            </w:r>
          </w:p>
        </w:tc>
        <w:tc>
          <w:tcPr>
            <w:tcW w:w="351" w:type="pct"/>
            <w:gridSpan w:val="2"/>
            <w:vMerge w:val="restart"/>
            <w:tcBorders>
              <w:top w:val="nil"/>
              <w:left w:val="single" w:sz="4" w:space="0" w:color="auto"/>
              <w:bottom w:val="single" w:sz="4" w:space="0" w:color="auto"/>
              <w:right w:val="single" w:sz="4" w:space="0" w:color="auto"/>
            </w:tcBorders>
            <w:shd w:val="clear" w:color="auto" w:fill="auto"/>
            <w:vAlign w:val="center"/>
            <w:hideMark/>
          </w:tcPr>
          <w:p w14:paraId="32BF06FC" w14:textId="77777777" w:rsidR="00322AE9" w:rsidRPr="00322AE9" w:rsidRDefault="00322AE9" w:rsidP="00322AE9">
            <w:pPr>
              <w:suppressAutoHyphens/>
              <w:adjustRightInd w:val="0"/>
              <w:ind w:firstLine="0"/>
              <w:jc w:val="center"/>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стали</w:t>
            </w:r>
          </w:p>
        </w:tc>
        <w:tc>
          <w:tcPr>
            <w:tcW w:w="391" w:type="pct"/>
            <w:gridSpan w:val="2"/>
            <w:vMerge w:val="restart"/>
            <w:tcBorders>
              <w:top w:val="nil"/>
              <w:left w:val="single" w:sz="4" w:space="0" w:color="auto"/>
              <w:bottom w:val="single" w:sz="4" w:space="0" w:color="auto"/>
              <w:right w:val="single" w:sz="4" w:space="0" w:color="auto"/>
            </w:tcBorders>
            <w:shd w:val="clear" w:color="auto" w:fill="auto"/>
            <w:vAlign w:val="center"/>
            <w:hideMark/>
          </w:tcPr>
          <w:p w14:paraId="657BB821" w14:textId="77777777" w:rsidR="00322AE9" w:rsidRPr="00322AE9" w:rsidRDefault="00322AE9" w:rsidP="00322AE9">
            <w:pPr>
              <w:suppressAutoHyphens/>
              <w:adjustRightInd w:val="0"/>
              <w:ind w:firstLine="0"/>
              <w:jc w:val="center"/>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железобетона, стали (кроме ЛСТК)</w:t>
            </w:r>
          </w:p>
        </w:tc>
        <w:tc>
          <w:tcPr>
            <w:tcW w:w="526" w:type="pct"/>
            <w:gridSpan w:val="4"/>
            <w:vMerge w:val="restart"/>
            <w:tcBorders>
              <w:top w:val="nil"/>
              <w:left w:val="single" w:sz="4" w:space="0" w:color="auto"/>
              <w:bottom w:val="single" w:sz="4" w:space="0" w:color="auto"/>
              <w:right w:val="single" w:sz="4" w:space="0" w:color="auto"/>
            </w:tcBorders>
            <w:shd w:val="clear" w:color="auto" w:fill="auto"/>
            <w:vAlign w:val="center"/>
            <w:hideMark/>
          </w:tcPr>
          <w:p w14:paraId="5653A7DF" w14:textId="77777777" w:rsidR="00322AE9" w:rsidRPr="00322AE9" w:rsidRDefault="00322AE9" w:rsidP="00322AE9">
            <w:pPr>
              <w:suppressAutoHyphens/>
              <w:adjustRightInd w:val="0"/>
              <w:ind w:firstLine="0"/>
              <w:jc w:val="center"/>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железобетона, стали (кроме ЛСТК)</w:t>
            </w:r>
          </w:p>
        </w:tc>
        <w:tc>
          <w:tcPr>
            <w:tcW w:w="430" w:type="pct"/>
            <w:gridSpan w:val="3"/>
            <w:vMerge w:val="restart"/>
            <w:tcBorders>
              <w:top w:val="nil"/>
              <w:left w:val="single" w:sz="4" w:space="0" w:color="auto"/>
              <w:bottom w:val="single" w:sz="4" w:space="0" w:color="auto"/>
              <w:right w:val="single" w:sz="4" w:space="0" w:color="auto"/>
            </w:tcBorders>
            <w:shd w:val="clear" w:color="auto" w:fill="auto"/>
            <w:vAlign w:val="center"/>
            <w:hideMark/>
          </w:tcPr>
          <w:p w14:paraId="625C06B4" w14:textId="77777777" w:rsidR="00322AE9" w:rsidRPr="00322AE9" w:rsidRDefault="00322AE9" w:rsidP="00322AE9">
            <w:pPr>
              <w:suppressAutoHyphens/>
              <w:adjustRightInd w:val="0"/>
              <w:ind w:firstLine="0"/>
              <w:jc w:val="center"/>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легкие стальные тонкостенные конструкции (ЛСТК)</w:t>
            </w:r>
          </w:p>
        </w:tc>
        <w:tc>
          <w:tcPr>
            <w:tcW w:w="568" w:type="pct"/>
            <w:gridSpan w:val="3"/>
            <w:vMerge w:val="restart"/>
            <w:tcBorders>
              <w:top w:val="nil"/>
              <w:left w:val="single" w:sz="4" w:space="0" w:color="auto"/>
              <w:bottom w:val="single" w:sz="4" w:space="0" w:color="auto"/>
              <w:right w:val="single" w:sz="4" w:space="0" w:color="auto"/>
            </w:tcBorders>
            <w:shd w:val="clear" w:color="auto" w:fill="auto"/>
            <w:vAlign w:val="center"/>
            <w:hideMark/>
          </w:tcPr>
          <w:p w14:paraId="7F7A086B" w14:textId="77777777" w:rsidR="00322AE9" w:rsidRPr="00322AE9" w:rsidRDefault="00322AE9" w:rsidP="00322AE9">
            <w:pPr>
              <w:suppressAutoHyphens/>
              <w:adjustRightInd w:val="0"/>
              <w:ind w:firstLine="0"/>
              <w:jc w:val="center"/>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древесины и др.конструктивных материалов</w:t>
            </w:r>
          </w:p>
        </w:tc>
      </w:tr>
      <w:tr w:rsidR="00322AE9" w:rsidRPr="00322AE9" w14:paraId="26C5EB62" w14:textId="77777777" w:rsidTr="00322AE9">
        <w:trPr>
          <w:gridAfter w:val="2"/>
          <w:wAfter w:w="13" w:type="pct"/>
          <w:trHeight w:val="699"/>
        </w:trPr>
        <w:tc>
          <w:tcPr>
            <w:tcW w:w="736" w:type="pct"/>
            <w:vMerge/>
            <w:tcBorders>
              <w:top w:val="single" w:sz="4" w:space="0" w:color="auto"/>
              <w:left w:val="single" w:sz="4" w:space="0" w:color="auto"/>
              <w:bottom w:val="single" w:sz="4" w:space="0" w:color="auto"/>
              <w:right w:val="single" w:sz="4" w:space="0" w:color="auto"/>
            </w:tcBorders>
            <w:vAlign w:val="center"/>
            <w:hideMark/>
          </w:tcPr>
          <w:p w14:paraId="6BF4C8D9" w14:textId="77777777" w:rsidR="00322AE9" w:rsidRPr="00322AE9" w:rsidRDefault="00322AE9" w:rsidP="00322AE9">
            <w:pPr>
              <w:suppressAutoHyphens/>
              <w:adjustRightInd w:val="0"/>
              <w:ind w:firstLine="567"/>
              <w:textAlignment w:val="baseline"/>
              <w:rPr>
                <w:rFonts w:eastAsia="Times New Roman" w:cs="Times New Roman"/>
                <w:color w:val="000000"/>
                <w:spacing w:val="-5"/>
                <w:sz w:val="22"/>
              </w:rPr>
            </w:pPr>
          </w:p>
        </w:tc>
        <w:tc>
          <w:tcPr>
            <w:tcW w:w="343" w:type="pct"/>
            <w:vMerge/>
            <w:tcBorders>
              <w:top w:val="nil"/>
              <w:left w:val="single" w:sz="4" w:space="0" w:color="auto"/>
              <w:bottom w:val="single" w:sz="4" w:space="0" w:color="auto"/>
              <w:right w:val="single" w:sz="4" w:space="0" w:color="auto"/>
            </w:tcBorders>
            <w:vAlign w:val="center"/>
            <w:hideMark/>
          </w:tcPr>
          <w:p w14:paraId="28CA2CF6" w14:textId="77777777" w:rsidR="00322AE9" w:rsidRPr="00322AE9" w:rsidRDefault="00322AE9" w:rsidP="00322AE9">
            <w:pPr>
              <w:suppressAutoHyphens/>
              <w:adjustRightInd w:val="0"/>
              <w:ind w:firstLine="567"/>
              <w:textAlignment w:val="baseline"/>
              <w:rPr>
                <w:rFonts w:eastAsia="Times New Roman" w:cs="Times New Roman"/>
                <w:color w:val="000000"/>
                <w:spacing w:val="-5"/>
                <w:sz w:val="20"/>
                <w:szCs w:val="20"/>
              </w:rPr>
            </w:pPr>
          </w:p>
        </w:tc>
        <w:tc>
          <w:tcPr>
            <w:tcW w:w="519" w:type="pct"/>
            <w:gridSpan w:val="2"/>
            <w:vMerge/>
            <w:tcBorders>
              <w:top w:val="nil"/>
              <w:left w:val="single" w:sz="4" w:space="0" w:color="auto"/>
              <w:bottom w:val="single" w:sz="4" w:space="0" w:color="auto"/>
              <w:right w:val="single" w:sz="4" w:space="0" w:color="auto"/>
            </w:tcBorders>
            <w:vAlign w:val="center"/>
            <w:hideMark/>
          </w:tcPr>
          <w:p w14:paraId="6F2BA438" w14:textId="77777777" w:rsidR="00322AE9" w:rsidRPr="00322AE9" w:rsidRDefault="00322AE9" w:rsidP="00322AE9">
            <w:pPr>
              <w:suppressAutoHyphens/>
              <w:adjustRightInd w:val="0"/>
              <w:ind w:firstLine="567"/>
              <w:textAlignment w:val="baseline"/>
              <w:rPr>
                <w:rFonts w:eastAsia="Times New Roman" w:cs="Times New Roman"/>
                <w:color w:val="000000"/>
                <w:spacing w:val="-5"/>
                <w:sz w:val="20"/>
                <w:szCs w:val="20"/>
              </w:rPr>
            </w:pPr>
          </w:p>
        </w:tc>
        <w:tc>
          <w:tcPr>
            <w:tcW w:w="376" w:type="pct"/>
            <w:gridSpan w:val="2"/>
            <w:vMerge/>
            <w:tcBorders>
              <w:top w:val="nil"/>
              <w:left w:val="single" w:sz="4" w:space="0" w:color="auto"/>
              <w:bottom w:val="single" w:sz="4" w:space="0" w:color="auto"/>
              <w:right w:val="single" w:sz="4" w:space="0" w:color="auto"/>
            </w:tcBorders>
            <w:vAlign w:val="center"/>
            <w:hideMark/>
          </w:tcPr>
          <w:p w14:paraId="7847E3CA" w14:textId="77777777" w:rsidR="00322AE9" w:rsidRPr="00322AE9" w:rsidRDefault="00322AE9" w:rsidP="00322AE9">
            <w:pPr>
              <w:suppressAutoHyphens/>
              <w:adjustRightInd w:val="0"/>
              <w:ind w:firstLine="567"/>
              <w:textAlignment w:val="baseline"/>
              <w:rPr>
                <w:rFonts w:eastAsia="Times New Roman" w:cs="Times New Roman"/>
                <w:color w:val="000000"/>
                <w:spacing w:val="-5"/>
                <w:sz w:val="20"/>
                <w:szCs w:val="20"/>
              </w:rPr>
            </w:pPr>
          </w:p>
        </w:tc>
        <w:tc>
          <w:tcPr>
            <w:tcW w:w="414" w:type="pct"/>
            <w:gridSpan w:val="3"/>
            <w:tcBorders>
              <w:top w:val="nil"/>
              <w:left w:val="nil"/>
              <w:bottom w:val="single" w:sz="4" w:space="0" w:color="auto"/>
              <w:right w:val="single" w:sz="4" w:space="0" w:color="auto"/>
            </w:tcBorders>
            <w:shd w:val="clear" w:color="auto" w:fill="auto"/>
            <w:vAlign w:val="center"/>
            <w:hideMark/>
          </w:tcPr>
          <w:p w14:paraId="78FAA880" w14:textId="77777777" w:rsidR="00322AE9" w:rsidRPr="00322AE9" w:rsidRDefault="00322AE9" w:rsidP="00322AE9">
            <w:pPr>
              <w:suppressAutoHyphens/>
              <w:adjustRightInd w:val="0"/>
              <w:ind w:firstLine="567"/>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в бескаркасных системах</w:t>
            </w:r>
          </w:p>
        </w:tc>
        <w:tc>
          <w:tcPr>
            <w:tcW w:w="333" w:type="pct"/>
            <w:tcBorders>
              <w:top w:val="nil"/>
              <w:left w:val="nil"/>
              <w:bottom w:val="single" w:sz="4" w:space="0" w:color="auto"/>
              <w:right w:val="single" w:sz="4" w:space="0" w:color="auto"/>
            </w:tcBorders>
            <w:shd w:val="clear" w:color="auto" w:fill="auto"/>
            <w:vAlign w:val="center"/>
            <w:hideMark/>
          </w:tcPr>
          <w:p w14:paraId="431F3AE6" w14:textId="77777777" w:rsidR="00322AE9" w:rsidRPr="00322AE9" w:rsidRDefault="00322AE9" w:rsidP="00322AE9">
            <w:pPr>
              <w:suppressAutoHyphens/>
              <w:adjustRightInd w:val="0"/>
              <w:ind w:firstLine="567"/>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в каркасных системах</w:t>
            </w:r>
          </w:p>
        </w:tc>
        <w:tc>
          <w:tcPr>
            <w:tcW w:w="351" w:type="pct"/>
            <w:gridSpan w:val="2"/>
            <w:vMerge/>
            <w:tcBorders>
              <w:top w:val="nil"/>
              <w:left w:val="single" w:sz="4" w:space="0" w:color="auto"/>
              <w:bottom w:val="single" w:sz="4" w:space="0" w:color="auto"/>
              <w:right w:val="single" w:sz="4" w:space="0" w:color="auto"/>
            </w:tcBorders>
            <w:vAlign w:val="center"/>
            <w:hideMark/>
          </w:tcPr>
          <w:p w14:paraId="202361E6" w14:textId="77777777" w:rsidR="00322AE9" w:rsidRPr="00322AE9" w:rsidRDefault="00322AE9" w:rsidP="00322AE9">
            <w:pPr>
              <w:suppressAutoHyphens/>
              <w:adjustRightInd w:val="0"/>
              <w:ind w:firstLine="567"/>
              <w:textAlignment w:val="baseline"/>
              <w:rPr>
                <w:rFonts w:eastAsia="Times New Roman" w:cs="Times New Roman"/>
                <w:color w:val="000000"/>
                <w:spacing w:val="-5"/>
                <w:sz w:val="22"/>
              </w:rPr>
            </w:pPr>
          </w:p>
        </w:tc>
        <w:tc>
          <w:tcPr>
            <w:tcW w:w="391" w:type="pct"/>
            <w:gridSpan w:val="2"/>
            <w:vMerge/>
            <w:tcBorders>
              <w:top w:val="nil"/>
              <w:left w:val="single" w:sz="4" w:space="0" w:color="auto"/>
              <w:bottom w:val="single" w:sz="4" w:space="0" w:color="auto"/>
              <w:right w:val="single" w:sz="4" w:space="0" w:color="auto"/>
            </w:tcBorders>
            <w:vAlign w:val="center"/>
            <w:hideMark/>
          </w:tcPr>
          <w:p w14:paraId="086F6DF4" w14:textId="77777777" w:rsidR="00322AE9" w:rsidRPr="00322AE9" w:rsidRDefault="00322AE9" w:rsidP="00322AE9">
            <w:pPr>
              <w:suppressAutoHyphens/>
              <w:adjustRightInd w:val="0"/>
              <w:ind w:firstLine="567"/>
              <w:textAlignment w:val="baseline"/>
              <w:rPr>
                <w:rFonts w:eastAsia="Times New Roman" w:cs="Times New Roman"/>
                <w:color w:val="000000"/>
                <w:spacing w:val="-5"/>
                <w:sz w:val="22"/>
              </w:rPr>
            </w:pPr>
          </w:p>
        </w:tc>
        <w:tc>
          <w:tcPr>
            <w:tcW w:w="526" w:type="pct"/>
            <w:gridSpan w:val="4"/>
            <w:vMerge/>
            <w:tcBorders>
              <w:top w:val="nil"/>
              <w:left w:val="single" w:sz="4" w:space="0" w:color="auto"/>
              <w:bottom w:val="single" w:sz="4" w:space="0" w:color="auto"/>
              <w:right w:val="single" w:sz="4" w:space="0" w:color="auto"/>
            </w:tcBorders>
            <w:vAlign w:val="center"/>
            <w:hideMark/>
          </w:tcPr>
          <w:p w14:paraId="35D9E25D" w14:textId="77777777" w:rsidR="00322AE9" w:rsidRPr="00322AE9" w:rsidRDefault="00322AE9" w:rsidP="00322AE9">
            <w:pPr>
              <w:suppressAutoHyphens/>
              <w:adjustRightInd w:val="0"/>
              <w:ind w:firstLine="567"/>
              <w:textAlignment w:val="baseline"/>
              <w:rPr>
                <w:rFonts w:eastAsia="Times New Roman" w:cs="Times New Roman"/>
                <w:color w:val="000000"/>
                <w:spacing w:val="-5"/>
                <w:sz w:val="22"/>
              </w:rPr>
            </w:pPr>
          </w:p>
        </w:tc>
        <w:tc>
          <w:tcPr>
            <w:tcW w:w="430" w:type="pct"/>
            <w:gridSpan w:val="3"/>
            <w:vMerge/>
            <w:tcBorders>
              <w:top w:val="nil"/>
              <w:left w:val="single" w:sz="4" w:space="0" w:color="auto"/>
              <w:bottom w:val="single" w:sz="4" w:space="0" w:color="auto"/>
              <w:right w:val="single" w:sz="4" w:space="0" w:color="auto"/>
            </w:tcBorders>
            <w:vAlign w:val="center"/>
            <w:hideMark/>
          </w:tcPr>
          <w:p w14:paraId="02CDD086" w14:textId="77777777" w:rsidR="00322AE9" w:rsidRPr="00322AE9" w:rsidRDefault="00322AE9" w:rsidP="00322AE9">
            <w:pPr>
              <w:suppressAutoHyphens/>
              <w:adjustRightInd w:val="0"/>
              <w:ind w:firstLine="567"/>
              <w:textAlignment w:val="baseline"/>
              <w:rPr>
                <w:rFonts w:eastAsia="Times New Roman" w:cs="Times New Roman"/>
                <w:color w:val="000000"/>
                <w:spacing w:val="-5"/>
                <w:sz w:val="22"/>
              </w:rPr>
            </w:pPr>
          </w:p>
        </w:tc>
        <w:tc>
          <w:tcPr>
            <w:tcW w:w="568" w:type="pct"/>
            <w:gridSpan w:val="3"/>
            <w:vMerge/>
            <w:tcBorders>
              <w:top w:val="nil"/>
              <w:left w:val="single" w:sz="4" w:space="0" w:color="auto"/>
              <w:bottom w:val="single" w:sz="4" w:space="0" w:color="auto"/>
              <w:right w:val="single" w:sz="4" w:space="0" w:color="auto"/>
            </w:tcBorders>
            <w:vAlign w:val="center"/>
            <w:hideMark/>
          </w:tcPr>
          <w:p w14:paraId="2CC543C7" w14:textId="77777777" w:rsidR="00322AE9" w:rsidRPr="00322AE9" w:rsidRDefault="00322AE9" w:rsidP="00322AE9">
            <w:pPr>
              <w:suppressAutoHyphens/>
              <w:adjustRightInd w:val="0"/>
              <w:ind w:firstLine="567"/>
              <w:textAlignment w:val="baseline"/>
              <w:rPr>
                <w:rFonts w:eastAsia="Times New Roman" w:cs="Times New Roman"/>
                <w:color w:val="000000"/>
                <w:spacing w:val="-5"/>
                <w:sz w:val="22"/>
              </w:rPr>
            </w:pPr>
          </w:p>
        </w:tc>
      </w:tr>
      <w:tr w:rsidR="00322AE9" w:rsidRPr="00322AE9" w14:paraId="2075876C" w14:textId="77777777" w:rsidTr="00322AE9">
        <w:trPr>
          <w:trHeight w:val="300"/>
        </w:trPr>
        <w:tc>
          <w:tcPr>
            <w:tcW w:w="736" w:type="pct"/>
            <w:vMerge/>
            <w:tcBorders>
              <w:top w:val="single" w:sz="4" w:space="0" w:color="auto"/>
              <w:left w:val="single" w:sz="4" w:space="0" w:color="auto"/>
              <w:bottom w:val="single" w:sz="4" w:space="0" w:color="auto"/>
              <w:right w:val="single" w:sz="4" w:space="0" w:color="auto"/>
            </w:tcBorders>
            <w:vAlign w:val="center"/>
            <w:hideMark/>
          </w:tcPr>
          <w:p w14:paraId="11E3E107" w14:textId="77777777" w:rsidR="00322AE9" w:rsidRPr="00322AE9" w:rsidRDefault="00322AE9" w:rsidP="00322AE9">
            <w:pPr>
              <w:suppressAutoHyphens/>
              <w:adjustRightInd w:val="0"/>
              <w:ind w:firstLine="567"/>
              <w:textAlignment w:val="baseline"/>
              <w:rPr>
                <w:rFonts w:eastAsia="Times New Roman" w:cs="Times New Roman"/>
                <w:color w:val="000000"/>
                <w:spacing w:val="-5"/>
                <w:sz w:val="22"/>
              </w:rPr>
            </w:pPr>
          </w:p>
        </w:tc>
        <w:tc>
          <w:tcPr>
            <w:tcW w:w="4264" w:type="pct"/>
            <w:gridSpan w:val="25"/>
            <w:tcBorders>
              <w:top w:val="single" w:sz="4" w:space="0" w:color="auto"/>
              <w:left w:val="nil"/>
              <w:bottom w:val="single" w:sz="4" w:space="0" w:color="auto"/>
              <w:right w:val="single" w:sz="4" w:space="0" w:color="auto"/>
            </w:tcBorders>
            <w:shd w:val="clear" w:color="auto" w:fill="auto"/>
            <w:noWrap/>
            <w:vAlign w:val="center"/>
            <w:hideMark/>
          </w:tcPr>
          <w:p w14:paraId="6E3C7586" w14:textId="77777777" w:rsidR="00322AE9" w:rsidRPr="00322AE9" w:rsidRDefault="00322AE9" w:rsidP="00322AE9">
            <w:pPr>
              <w:suppressAutoHyphens/>
              <w:adjustRightInd w:val="0"/>
              <w:ind w:firstLine="567"/>
              <w:jc w:val="center"/>
              <w:textAlignment w:val="baseline"/>
              <w:rPr>
                <w:rFonts w:eastAsia="Times New Roman" w:cs="Times New Roman"/>
                <w:color w:val="000000"/>
                <w:spacing w:val="-5"/>
                <w:sz w:val="22"/>
              </w:rPr>
            </w:pPr>
            <w:r w:rsidRPr="00322AE9">
              <w:rPr>
                <w:rFonts w:eastAsia="Times New Roman" w:cs="Times New Roman"/>
                <w:color w:val="000000"/>
                <w:spacing w:val="-5"/>
                <w:sz w:val="22"/>
              </w:rPr>
              <w:t>Класс конструктивных систем</w:t>
            </w:r>
          </w:p>
        </w:tc>
      </w:tr>
      <w:tr w:rsidR="00322AE9" w:rsidRPr="00322AE9" w14:paraId="7F6445C2" w14:textId="77777777" w:rsidTr="00322AE9">
        <w:trPr>
          <w:gridAfter w:val="2"/>
          <w:wAfter w:w="13" w:type="pct"/>
          <w:trHeight w:val="300"/>
        </w:trPr>
        <w:tc>
          <w:tcPr>
            <w:tcW w:w="736" w:type="pct"/>
            <w:vMerge/>
            <w:tcBorders>
              <w:top w:val="single" w:sz="4" w:space="0" w:color="auto"/>
              <w:left w:val="single" w:sz="4" w:space="0" w:color="auto"/>
              <w:bottom w:val="single" w:sz="4" w:space="0" w:color="auto"/>
              <w:right w:val="single" w:sz="4" w:space="0" w:color="auto"/>
            </w:tcBorders>
            <w:vAlign w:val="center"/>
            <w:hideMark/>
          </w:tcPr>
          <w:p w14:paraId="57D909E2" w14:textId="77777777" w:rsidR="00322AE9" w:rsidRPr="00322AE9" w:rsidRDefault="00322AE9" w:rsidP="00322AE9">
            <w:pPr>
              <w:suppressAutoHyphens/>
              <w:adjustRightInd w:val="0"/>
              <w:ind w:firstLine="567"/>
              <w:textAlignment w:val="baseline"/>
              <w:rPr>
                <w:rFonts w:eastAsia="Times New Roman" w:cs="Times New Roman"/>
                <w:color w:val="000000"/>
                <w:spacing w:val="-5"/>
                <w:sz w:val="22"/>
              </w:rPr>
            </w:pPr>
          </w:p>
        </w:tc>
        <w:tc>
          <w:tcPr>
            <w:tcW w:w="343" w:type="pct"/>
            <w:tcBorders>
              <w:top w:val="nil"/>
              <w:left w:val="nil"/>
              <w:bottom w:val="single" w:sz="4" w:space="0" w:color="auto"/>
              <w:right w:val="single" w:sz="4" w:space="0" w:color="auto"/>
            </w:tcBorders>
            <w:shd w:val="clear" w:color="auto" w:fill="auto"/>
            <w:noWrap/>
            <w:vAlign w:val="bottom"/>
            <w:hideMark/>
          </w:tcPr>
          <w:p w14:paraId="3C5D002A" w14:textId="77777777" w:rsidR="00322AE9" w:rsidRPr="00322AE9" w:rsidRDefault="00322AE9" w:rsidP="00322AE9">
            <w:pPr>
              <w:suppressAutoHyphens/>
              <w:adjustRightInd w:val="0"/>
              <w:ind w:firstLine="0"/>
              <w:jc w:val="center"/>
              <w:textAlignment w:val="baseline"/>
              <w:rPr>
                <w:rFonts w:eastAsia="Times New Roman" w:cs="Times New Roman"/>
                <w:color w:val="000000"/>
                <w:spacing w:val="-5"/>
                <w:sz w:val="22"/>
              </w:rPr>
            </w:pPr>
            <w:r w:rsidRPr="00322AE9">
              <w:rPr>
                <w:rFonts w:eastAsia="Times New Roman" w:cs="Times New Roman"/>
                <w:color w:val="000000"/>
                <w:spacing w:val="-5"/>
                <w:sz w:val="22"/>
              </w:rPr>
              <w:t>КС-1</w:t>
            </w:r>
          </w:p>
        </w:tc>
        <w:tc>
          <w:tcPr>
            <w:tcW w:w="519" w:type="pct"/>
            <w:gridSpan w:val="2"/>
            <w:tcBorders>
              <w:top w:val="nil"/>
              <w:left w:val="nil"/>
              <w:bottom w:val="single" w:sz="4" w:space="0" w:color="auto"/>
              <w:right w:val="single" w:sz="4" w:space="0" w:color="auto"/>
            </w:tcBorders>
            <w:shd w:val="clear" w:color="auto" w:fill="auto"/>
            <w:noWrap/>
            <w:vAlign w:val="bottom"/>
            <w:hideMark/>
          </w:tcPr>
          <w:p w14:paraId="56DC15A9" w14:textId="77777777" w:rsidR="00322AE9" w:rsidRPr="00322AE9" w:rsidRDefault="00322AE9" w:rsidP="00322AE9">
            <w:pPr>
              <w:suppressAutoHyphens/>
              <w:adjustRightInd w:val="0"/>
              <w:ind w:firstLine="0"/>
              <w:jc w:val="center"/>
              <w:textAlignment w:val="baseline"/>
              <w:rPr>
                <w:rFonts w:eastAsia="Times New Roman" w:cs="Times New Roman"/>
                <w:color w:val="000000"/>
                <w:spacing w:val="-5"/>
                <w:sz w:val="22"/>
              </w:rPr>
            </w:pPr>
            <w:r w:rsidRPr="00322AE9">
              <w:rPr>
                <w:rFonts w:eastAsia="Times New Roman" w:cs="Times New Roman"/>
                <w:color w:val="000000"/>
                <w:spacing w:val="-5"/>
                <w:sz w:val="22"/>
              </w:rPr>
              <w:t>КС-1А</w:t>
            </w:r>
          </w:p>
        </w:tc>
        <w:tc>
          <w:tcPr>
            <w:tcW w:w="376" w:type="pct"/>
            <w:gridSpan w:val="2"/>
            <w:tcBorders>
              <w:top w:val="nil"/>
              <w:left w:val="nil"/>
              <w:bottom w:val="single" w:sz="4" w:space="0" w:color="auto"/>
              <w:right w:val="single" w:sz="4" w:space="0" w:color="auto"/>
            </w:tcBorders>
            <w:shd w:val="clear" w:color="auto" w:fill="auto"/>
            <w:noWrap/>
            <w:vAlign w:val="bottom"/>
            <w:hideMark/>
          </w:tcPr>
          <w:p w14:paraId="5437DC65" w14:textId="77777777" w:rsidR="00322AE9" w:rsidRPr="00322AE9" w:rsidRDefault="00322AE9" w:rsidP="00322AE9">
            <w:pPr>
              <w:suppressAutoHyphens/>
              <w:adjustRightInd w:val="0"/>
              <w:ind w:firstLine="0"/>
              <w:jc w:val="center"/>
              <w:textAlignment w:val="baseline"/>
              <w:rPr>
                <w:rFonts w:eastAsia="Times New Roman" w:cs="Times New Roman"/>
                <w:color w:val="000000"/>
                <w:spacing w:val="-5"/>
                <w:sz w:val="22"/>
              </w:rPr>
            </w:pPr>
            <w:r w:rsidRPr="00322AE9">
              <w:rPr>
                <w:rFonts w:eastAsia="Times New Roman" w:cs="Times New Roman"/>
                <w:color w:val="000000"/>
                <w:spacing w:val="-5"/>
                <w:sz w:val="22"/>
              </w:rPr>
              <w:t>КС-2</w:t>
            </w:r>
          </w:p>
        </w:tc>
        <w:tc>
          <w:tcPr>
            <w:tcW w:w="414" w:type="pct"/>
            <w:gridSpan w:val="3"/>
            <w:tcBorders>
              <w:top w:val="nil"/>
              <w:left w:val="nil"/>
              <w:bottom w:val="single" w:sz="4" w:space="0" w:color="auto"/>
              <w:right w:val="single" w:sz="4" w:space="0" w:color="auto"/>
            </w:tcBorders>
            <w:shd w:val="clear" w:color="auto" w:fill="auto"/>
            <w:noWrap/>
            <w:vAlign w:val="bottom"/>
            <w:hideMark/>
          </w:tcPr>
          <w:p w14:paraId="7E0EED06" w14:textId="77777777" w:rsidR="00322AE9" w:rsidRPr="00322AE9" w:rsidRDefault="00322AE9" w:rsidP="00322AE9">
            <w:pPr>
              <w:suppressAutoHyphens/>
              <w:adjustRightInd w:val="0"/>
              <w:ind w:firstLine="0"/>
              <w:jc w:val="center"/>
              <w:textAlignment w:val="baseline"/>
              <w:rPr>
                <w:rFonts w:eastAsia="Times New Roman" w:cs="Times New Roman"/>
                <w:color w:val="000000"/>
                <w:spacing w:val="-5"/>
                <w:sz w:val="22"/>
              </w:rPr>
            </w:pPr>
            <w:r w:rsidRPr="00322AE9">
              <w:rPr>
                <w:rFonts w:eastAsia="Times New Roman" w:cs="Times New Roman"/>
                <w:color w:val="000000"/>
                <w:spacing w:val="-5"/>
                <w:sz w:val="22"/>
              </w:rPr>
              <w:t>КС-3</w:t>
            </w:r>
          </w:p>
        </w:tc>
        <w:tc>
          <w:tcPr>
            <w:tcW w:w="333" w:type="pct"/>
            <w:tcBorders>
              <w:top w:val="nil"/>
              <w:left w:val="nil"/>
              <w:bottom w:val="single" w:sz="4" w:space="0" w:color="auto"/>
              <w:right w:val="single" w:sz="4" w:space="0" w:color="auto"/>
            </w:tcBorders>
            <w:shd w:val="clear" w:color="auto" w:fill="auto"/>
            <w:noWrap/>
            <w:vAlign w:val="bottom"/>
            <w:hideMark/>
          </w:tcPr>
          <w:p w14:paraId="1DA7F352" w14:textId="77777777" w:rsidR="00322AE9" w:rsidRPr="00322AE9" w:rsidRDefault="00322AE9" w:rsidP="00322AE9">
            <w:pPr>
              <w:suppressAutoHyphens/>
              <w:adjustRightInd w:val="0"/>
              <w:ind w:firstLine="0"/>
              <w:jc w:val="center"/>
              <w:textAlignment w:val="baseline"/>
              <w:rPr>
                <w:rFonts w:eastAsia="Times New Roman" w:cs="Times New Roman"/>
                <w:color w:val="000000"/>
                <w:spacing w:val="-5"/>
                <w:sz w:val="22"/>
              </w:rPr>
            </w:pPr>
            <w:r w:rsidRPr="00322AE9">
              <w:rPr>
                <w:rFonts w:eastAsia="Times New Roman" w:cs="Times New Roman"/>
                <w:color w:val="000000"/>
                <w:spacing w:val="-5"/>
                <w:sz w:val="22"/>
              </w:rPr>
              <w:t>КС-4</w:t>
            </w:r>
          </w:p>
        </w:tc>
        <w:tc>
          <w:tcPr>
            <w:tcW w:w="351" w:type="pct"/>
            <w:gridSpan w:val="2"/>
            <w:tcBorders>
              <w:top w:val="nil"/>
              <w:left w:val="nil"/>
              <w:bottom w:val="single" w:sz="4" w:space="0" w:color="auto"/>
              <w:right w:val="single" w:sz="4" w:space="0" w:color="auto"/>
            </w:tcBorders>
            <w:shd w:val="clear" w:color="auto" w:fill="auto"/>
            <w:noWrap/>
            <w:vAlign w:val="bottom"/>
            <w:hideMark/>
          </w:tcPr>
          <w:p w14:paraId="4F2E593E" w14:textId="77777777" w:rsidR="00322AE9" w:rsidRPr="00322AE9" w:rsidRDefault="00322AE9" w:rsidP="00322AE9">
            <w:pPr>
              <w:suppressAutoHyphens/>
              <w:adjustRightInd w:val="0"/>
              <w:ind w:firstLine="0"/>
              <w:jc w:val="center"/>
              <w:textAlignment w:val="baseline"/>
              <w:rPr>
                <w:rFonts w:eastAsia="Times New Roman" w:cs="Times New Roman"/>
                <w:color w:val="000000"/>
                <w:spacing w:val="-5"/>
                <w:sz w:val="22"/>
              </w:rPr>
            </w:pPr>
            <w:r w:rsidRPr="00322AE9">
              <w:rPr>
                <w:rFonts w:eastAsia="Times New Roman" w:cs="Times New Roman"/>
                <w:color w:val="000000"/>
                <w:spacing w:val="-5"/>
                <w:sz w:val="22"/>
              </w:rPr>
              <w:t>КС-5</w:t>
            </w:r>
          </w:p>
        </w:tc>
        <w:tc>
          <w:tcPr>
            <w:tcW w:w="391" w:type="pct"/>
            <w:gridSpan w:val="2"/>
            <w:tcBorders>
              <w:top w:val="nil"/>
              <w:left w:val="nil"/>
              <w:bottom w:val="single" w:sz="4" w:space="0" w:color="auto"/>
              <w:right w:val="single" w:sz="4" w:space="0" w:color="auto"/>
            </w:tcBorders>
            <w:shd w:val="clear" w:color="auto" w:fill="auto"/>
            <w:noWrap/>
            <w:vAlign w:val="bottom"/>
            <w:hideMark/>
          </w:tcPr>
          <w:p w14:paraId="4022922A" w14:textId="77777777" w:rsidR="00322AE9" w:rsidRPr="00322AE9" w:rsidRDefault="00322AE9" w:rsidP="00322AE9">
            <w:pPr>
              <w:suppressAutoHyphens/>
              <w:adjustRightInd w:val="0"/>
              <w:ind w:firstLine="0"/>
              <w:jc w:val="center"/>
              <w:textAlignment w:val="baseline"/>
              <w:rPr>
                <w:rFonts w:eastAsia="Times New Roman" w:cs="Times New Roman"/>
                <w:color w:val="000000"/>
                <w:spacing w:val="-5"/>
                <w:sz w:val="22"/>
              </w:rPr>
            </w:pPr>
            <w:r w:rsidRPr="00322AE9">
              <w:rPr>
                <w:rFonts w:eastAsia="Times New Roman" w:cs="Times New Roman"/>
                <w:color w:val="000000"/>
                <w:spacing w:val="-5"/>
                <w:sz w:val="22"/>
              </w:rPr>
              <w:t>КС-6</w:t>
            </w:r>
          </w:p>
        </w:tc>
        <w:tc>
          <w:tcPr>
            <w:tcW w:w="526" w:type="pct"/>
            <w:gridSpan w:val="4"/>
            <w:tcBorders>
              <w:top w:val="nil"/>
              <w:left w:val="nil"/>
              <w:bottom w:val="single" w:sz="4" w:space="0" w:color="auto"/>
              <w:right w:val="single" w:sz="4" w:space="0" w:color="auto"/>
            </w:tcBorders>
            <w:shd w:val="clear" w:color="auto" w:fill="auto"/>
            <w:noWrap/>
            <w:vAlign w:val="bottom"/>
            <w:hideMark/>
          </w:tcPr>
          <w:p w14:paraId="094E2BA7" w14:textId="77777777" w:rsidR="00322AE9" w:rsidRPr="00322AE9" w:rsidRDefault="00322AE9" w:rsidP="00322AE9">
            <w:pPr>
              <w:suppressAutoHyphens/>
              <w:adjustRightInd w:val="0"/>
              <w:ind w:firstLine="0"/>
              <w:jc w:val="center"/>
              <w:textAlignment w:val="baseline"/>
              <w:rPr>
                <w:rFonts w:eastAsia="Times New Roman" w:cs="Times New Roman"/>
                <w:color w:val="000000"/>
                <w:spacing w:val="-5"/>
                <w:sz w:val="22"/>
              </w:rPr>
            </w:pPr>
            <w:r w:rsidRPr="00322AE9">
              <w:rPr>
                <w:rFonts w:eastAsia="Times New Roman" w:cs="Times New Roman"/>
                <w:color w:val="000000"/>
                <w:spacing w:val="-5"/>
                <w:sz w:val="22"/>
              </w:rPr>
              <w:t>КС-6А</w:t>
            </w:r>
          </w:p>
        </w:tc>
        <w:tc>
          <w:tcPr>
            <w:tcW w:w="430" w:type="pct"/>
            <w:gridSpan w:val="3"/>
            <w:tcBorders>
              <w:top w:val="nil"/>
              <w:left w:val="nil"/>
              <w:bottom w:val="single" w:sz="4" w:space="0" w:color="auto"/>
              <w:right w:val="single" w:sz="4" w:space="0" w:color="auto"/>
            </w:tcBorders>
            <w:shd w:val="clear" w:color="auto" w:fill="auto"/>
            <w:noWrap/>
            <w:vAlign w:val="bottom"/>
            <w:hideMark/>
          </w:tcPr>
          <w:p w14:paraId="16ED69B5" w14:textId="77777777" w:rsidR="00322AE9" w:rsidRPr="00322AE9" w:rsidRDefault="00322AE9" w:rsidP="00322AE9">
            <w:pPr>
              <w:suppressAutoHyphens/>
              <w:adjustRightInd w:val="0"/>
              <w:ind w:firstLine="0"/>
              <w:jc w:val="center"/>
              <w:textAlignment w:val="baseline"/>
              <w:rPr>
                <w:rFonts w:eastAsia="Times New Roman" w:cs="Times New Roman"/>
                <w:color w:val="000000"/>
                <w:spacing w:val="-5"/>
                <w:sz w:val="22"/>
              </w:rPr>
            </w:pPr>
            <w:r w:rsidRPr="00322AE9">
              <w:rPr>
                <w:rFonts w:eastAsia="Times New Roman" w:cs="Times New Roman"/>
                <w:color w:val="000000"/>
                <w:spacing w:val="-5"/>
                <w:sz w:val="22"/>
              </w:rPr>
              <w:t>КС-6Б</w:t>
            </w:r>
          </w:p>
        </w:tc>
        <w:tc>
          <w:tcPr>
            <w:tcW w:w="568" w:type="pct"/>
            <w:gridSpan w:val="3"/>
            <w:tcBorders>
              <w:top w:val="nil"/>
              <w:left w:val="nil"/>
              <w:bottom w:val="single" w:sz="4" w:space="0" w:color="auto"/>
              <w:right w:val="single" w:sz="4" w:space="0" w:color="auto"/>
            </w:tcBorders>
            <w:shd w:val="clear" w:color="auto" w:fill="auto"/>
            <w:noWrap/>
            <w:vAlign w:val="bottom"/>
            <w:hideMark/>
          </w:tcPr>
          <w:p w14:paraId="2CFCF589" w14:textId="77777777" w:rsidR="00322AE9" w:rsidRPr="00322AE9" w:rsidRDefault="00322AE9" w:rsidP="00322AE9">
            <w:pPr>
              <w:suppressAutoHyphens/>
              <w:adjustRightInd w:val="0"/>
              <w:ind w:firstLine="0"/>
              <w:jc w:val="center"/>
              <w:textAlignment w:val="baseline"/>
              <w:rPr>
                <w:rFonts w:eastAsia="Times New Roman" w:cs="Times New Roman"/>
                <w:color w:val="000000"/>
                <w:spacing w:val="-5"/>
                <w:sz w:val="22"/>
              </w:rPr>
            </w:pPr>
            <w:r w:rsidRPr="00322AE9">
              <w:rPr>
                <w:rFonts w:eastAsia="Times New Roman" w:cs="Times New Roman"/>
                <w:color w:val="000000"/>
                <w:spacing w:val="-5"/>
                <w:sz w:val="22"/>
              </w:rPr>
              <w:t>КС-7</w:t>
            </w:r>
          </w:p>
        </w:tc>
      </w:tr>
      <w:tr w:rsidR="00322AE9" w:rsidRPr="00322AE9" w14:paraId="60FF4A73" w14:textId="77777777" w:rsidTr="00322AE9">
        <w:trPr>
          <w:trHeight w:val="300"/>
        </w:trPr>
        <w:tc>
          <w:tcPr>
            <w:tcW w:w="736" w:type="pct"/>
            <w:vMerge/>
            <w:tcBorders>
              <w:top w:val="single" w:sz="4" w:space="0" w:color="auto"/>
              <w:left w:val="single" w:sz="4" w:space="0" w:color="auto"/>
              <w:bottom w:val="single" w:sz="4" w:space="0" w:color="auto"/>
              <w:right w:val="single" w:sz="4" w:space="0" w:color="auto"/>
            </w:tcBorders>
            <w:vAlign w:val="center"/>
            <w:hideMark/>
          </w:tcPr>
          <w:p w14:paraId="44D51E22" w14:textId="77777777" w:rsidR="00322AE9" w:rsidRPr="00322AE9" w:rsidRDefault="00322AE9" w:rsidP="00322AE9">
            <w:pPr>
              <w:suppressAutoHyphens/>
              <w:adjustRightInd w:val="0"/>
              <w:ind w:firstLine="567"/>
              <w:textAlignment w:val="baseline"/>
              <w:rPr>
                <w:rFonts w:eastAsia="Times New Roman" w:cs="Times New Roman"/>
                <w:color w:val="000000"/>
                <w:spacing w:val="-5"/>
                <w:sz w:val="22"/>
              </w:rPr>
            </w:pPr>
          </w:p>
        </w:tc>
        <w:tc>
          <w:tcPr>
            <w:tcW w:w="4264" w:type="pct"/>
            <w:gridSpan w:val="25"/>
            <w:tcBorders>
              <w:top w:val="single" w:sz="4" w:space="0" w:color="auto"/>
              <w:left w:val="nil"/>
              <w:bottom w:val="single" w:sz="4" w:space="0" w:color="auto"/>
              <w:right w:val="single" w:sz="4" w:space="0" w:color="auto"/>
            </w:tcBorders>
            <w:shd w:val="clear" w:color="auto" w:fill="auto"/>
            <w:noWrap/>
            <w:vAlign w:val="center"/>
            <w:hideMark/>
          </w:tcPr>
          <w:p w14:paraId="3EF1E587" w14:textId="77777777" w:rsidR="00322AE9" w:rsidRPr="00322AE9" w:rsidRDefault="00322AE9" w:rsidP="00322AE9">
            <w:pPr>
              <w:suppressAutoHyphens/>
              <w:adjustRightInd w:val="0"/>
              <w:ind w:firstLine="567"/>
              <w:jc w:val="center"/>
              <w:textAlignment w:val="baseline"/>
              <w:rPr>
                <w:rFonts w:eastAsia="Times New Roman" w:cs="Times New Roman"/>
                <w:color w:val="000000"/>
                <w:spacing w:val="-5"/>
                <w:sz w:val="22"/>
              </w:rPr>
            </w:pPr>
            <w:r w:rsidRPr="00322AE9">
              <w:rPr>
                <w:rFonts w:eastAsia="Times New Roman" w:cs="Times New Roman"/>
                <w:color w:val="000000"/>
                <w:spacing w:val="-5"/>
                <w:sz w:val="22"/>
              </w:rPr>
              <w:t>Дальневосточный район</w:t>
            </w:r>
          </w:p>
        </w:tc>
      </w:tr>
      <w:tr w:rsidR="00322AE9" w:rsidRPr="00322AE9" w14:paraId="7DD14034" w14:textId="77777777" w:rsidTr="00322AE9">
        <w:trPr>
          <w:gridAfter w:val="2"/>
          <w:wAfter w:w="13" w:type="pct"/>
          <w:trHeight w:val="300"/>
        </w:trPr>
        <w:tc>
          <w:tcPr>
            <w:tcW w:w="736" w:type="pct"/>
            <w:tcBorders>
              <w:top w:val="nil"/>
              <w:left w:val="single" w:sz="4" w:space="0" w:color="auto"/>
              <w:bottom w:val="single" w:sz="4" w:space="0" w:color="auto"/>
              <w:right w:val="single" w:sz="4" w:space="0" w:color="auto"/>
            </w:tcBorders>
            <w:shd w:val="clear" w:color="auto" w:fill="auto"/>
            <w:noWrap/>
            <w:vAlign w:val="bottom"/>
            <w:hideMark/>
          </w:tcPr>
          <w:p w14:paraId="3CD818E3" w14:textId="77777777" w:rsidR="00322AE9" w:rsidRPr="00322AE9" w:rsidRDefault="00322AE9" w:rsidP="00322AE9">
            <w:pPr>
              <w:suppressAutoHyphens/>
              <w:adjustRightInd w:val="0"/>
              <w:ind w:firstLine="0"/>
              <w:jc w:val="left"/>
              <w:textAlignment w:val="baseline"/>
              <w:rPr>
                <w:rFonts w:eastAsia="Times New Roman" w:cs="Times New Roman"/>
                <w:color w:val="000000"/>
                <w:spacing w:val="-5"/>
                <w:sz w:val="22"/>
              </w:rPr>
            </w:pPr>
            <w:r w:rsidRPr="00322AE9">
              <w:rPr>
                <w:rFonts w:eastAsia="Times New Roman" w:cs="Times New Roman"/>
                <w:color w:val="000000"/>
                <w:spacing w:val="-5"/>
                <w:sz w:val="22"/>
              </w:rPr>
              <w:t>Республика Саха (Якутия)</w:t>
            </w:r>
          </w:p>
        </w:tc>
        <w:tc>
          <w:tcPr>
            <w:tcW w:w="343" w:type="pct"/>
            <w:tcBorders>
              <w:top w:val="nil"/>
              <w:left w:val="nil"/>
              <w:bottom w:val="single" w:sz="4" w:space="0" w:color="auto"/>
              <w:right w:val="single" w:sz="4" w:space="0" w:color="auto"/>
            </w:tcBorders>
            <w:shd w:val="clear" w:color="auto" w:fill="auto"/>
            <w:noWrap/>
            <w:vAlign w:val="center"/>
            <w:hideMark/>
          </w:tcPr>
          <w:p w14:paraId="493F80A6" w14:textId="77777777" w:rsidR="00322AE9" w:rsidRPr="00322AE9" w:rsidRDefault="00322AE9" w:rsidP="00322AE9">
            <w:pPr>
              <w:suppressAutoHyphens/>
              <w:adjustRightInd w:val="0"/>
              <w:ind w:firstLine="0"/>
              <w:jc w:val="center"/>
              <w:textAlignment w:val="baseline"/>
              <w:rPr>
                <w:rFonts w:eastAsia="Times New Roman" w:cs="Times New Roman"/>
                <w:color w:val="000000"/>
                <w:spacing w:val="-5"/>
                <w:sz w:val="22"/>
              </w:rPr>
            </w:pPr>
            <w:r w:rsidRPr="00322AE9">
              <w:rPr>
                <w:rFonts w:eastAsia="Times New Roman" w:cs="Times New Roman"/>
                <w:color w:val="000000"/>
                <w:spacing w:val="-5"/>
                <w:sz w:val="22"/>
              </w:rPr>
              <w:t>1,997</w:t>
            </w:r>
          </w:p>
        </w:tc>
        <w:tc>
          <w:tcPr>
            <w:tcW w:w="519" w:type="pct"/>
            <w:gridSpan w:val="2"/>
            <w:tcBorders>
              <w:top w:val="nil"/>
              <w:left w:val="nil"/>
              <w:bottom w:val="single" w:sz="4" w:space="0" w:color="auto"/>
              <w:right w:val="single" w:sz="4" w:space="0" w:color="auto"/>
            </w:tcBorders>
            <w:shd w:val="clear" w:color="auto" w:fill="auto"/>
            <w:noWrap/>
            <w:vAlign w:val="center"/>
            <w:hideMark/>
          </w:tcPr>
          <w:p w14:paraId="24374563" w14:textId="77777777" w:rsidR="00322AE9" w:rsidRPr="00322AE9" w:rsidRDefault="00322AE9" w:rsidP="00322AE9">
            <w:pPr>
              <w:suppressAutoHyphens/>
              <w:adjustRightInd w:val="0"/>
              <w:ind w:firstLine="0"/>
              <w:jc w:val="center"/>
              <w:textAlignment w:val="baseline"/>
              <w:rPr>
                <w:rFonts w:eastAsia="Times New Roman" w:cs="Times New Roman"/>
                <w:color w:val="000000"/>
                <w:spacing w:val="-5"/>
                <w:sz w:val="22"/>
              </w:rPr>
            </w:pPr>
            <w:r w:rsidRPr="00322AE9">
              <w:rPr>
                <w:rFonts w:eastAsia="Times New Roman" w:cs="Times New Roman"/>
                <w:color w:val="000000"/>
                <w:spacing w:val="-5"/>
                <w:sz w:val="22"/>
              </w:rPr>
              <w:t>1,658</w:t>
            </w:r>
          </w:p>
        </w:tc>
        <w:tc>
          <w:tcPr>
            <w:tcW w:w="376" w:type="pct"/>
            <w:gridSpan w:val="2"/>
            <w:tcBorders>
              <w:top w:val="nil"/>
              <w:left w:val="nil"/>
              <w:bottom w:val="single" w:sz="4" w:space="0" w:color="auto"/>
              <w:right w:val="single" w:sz="4" w:space="0" w:color="auto"/>
            </w:tcBorders>
            <w:shd w:val="clear" w:color="auto" w:fill="auto"/>
            <w:noWrap/>
            <w:vAlign w:val="center"/>
            <w:hideMark/>
          </w:tcPr>
          <w:p w14:paraId="776D9BB6" w14:textId="77777777" w:rsidR="00322AE9" w:rsidRPr="00322AE9" w:rsidRDefault="00322AE9" w:rsidP="00322AE9">
            <w:pPr>
              <w:suppressAutoHyphens/>
              <w:adjustRightInd w:val="0"/>
              <w:ind w:firstLine="0"/>
              <w:jc w:val="center"/>
              <w:textAlignment w:val="baseline"/>
              <w:rPr>
                <w:rFonts w:eastAsia="Times New Roman" w:cs="Times New Roman"/>
                <w:color w:val="000000"/>
                <w:spacing w:val="-5"/>
                <w:sz w:val="22"/>
              </w:rPr>
            </w:pPr>
            <w:r w:rsidRPr="00322AE9">
              <w:rPr>
                <w:rFonts w:eastAsia="Times New Roman" w:cs="Times New Roman"/>
                <w:color w:val="000000"/>
                <w:spacing w:val="-5"/>
                <w:sz w:val="22"/>
              </w:rPr>
              <w:t>1,945</w:t>
            </w:r>
          </w:p>
        </w:tc>
        <w:tc>
          <w:tcPr>
            <w:tcW w:w="414" w:type="pct"/>
            <w:gridSpan w:val="3"/>
            <w:tcBorders>
              <w:top w:val="nil"/>
              <w:left w:val="nil"/>
              <w:bottom w:val="single" w:sz="4" w:space="0" w:color="auto"/>
              <w:right w:val="single" w:sz="4" w:space="0" w:color="auto"/>
            </w:tcBorders>
            <w:shd w:val="clear" w:color="auto" w:fill="auto"/>
            <w:noWrap/>
            <w:vAlign w:val="center"/>
            <w:hideMark/>
          </w:tcPr>
          <w:p w14:paraId="42FB9086" w14:textId="77777777" w:rsidR="00322AE9" w:rsidRPr="00322AE9" w:rsidRDefault="00322AE9" w:rsidP="00322AE9">
            <w:pPr>
              <w:suppressAutoHyphens/>
              <w:adjustRightInd w:val="0"/>
              <w:ind w:firstLine="0"/>
              <w:jc w:val="center"/>
              <w:textAlignment w:val="baseline"/>
              <w:rPr>
                <w:rFonts w:eastAsia="Times New Roman" w:cs="Times New Roman"/>
                <w:color w:val="000000"/>
                <w:spacing w:val="-5"/>
                <w:sz w:val="22"/>
              </w:rPr>
            </w:pPr>
            <w:r w:rsidRPr="00322AE9">
              <w:rPr>
                <w:rFonts w:eastAsia="Times New Roman" w:cs="Times New Roman"/>
                <w:color w:val="000000"/>
                <w:spacing w:val="-5"/>
                <w:sz w:val="22"/>
              </w:rPr>
              <w:t>1,332</w:t>
            </w:r>
          </w:p>
        </w:tc>
        <w:tc>
          <w:tcPr>
            <w:tcW w:w="333" w:type="pct"/>
            <w:tcBorders>
              <w:top w:val="nil"/>
              <w:left w:val="nil"/>
              <w:bottom w:val="single" w:sz="4" w:space="0" w:color="auto"/>
              <w:right w:val="single" w:sz="4" w:space="0" w:color="auto"/>
            </w:tcBorders>
            <w:shd w:val="clear" w:color="auto" w:fill="auto"/>
            <w:noWrap/>
            <w:vAlign w:val="center"/>
            <w:hideMark/>
          </w:tcPr>
          <w:p w14:paraId="47E444D0" w14:textId="77777777" w:rsidR="00322AE9" w:rsidRPr="00322AE9" w:rsidRDefault="00322AE9" w:rsidP="00322AE9">
            <w:pPr>
              <w:suppressAutoHyphens/>
              <w:adjustRightInd w:val="0"/>
              <w:ind w:firstLine="0"/>
              <w:jc w:val="center"/>
              <w:textAlignment w:val="baseline"/>
              <w:rPr>
                <w:rFonts w:eastAsia="Times New Roman" w:cs="Times New Roman"/>
                <w:color w:val="000000"/>
                <w:spacing w:val="-5"/>
                <w:sz w:val="22"/>
              </w:rPr>
            </w:pPr>
            <w:r w:rsidRPr="00322AE9">
              <w:rPr>
                <w:rFonts w:eastAsia="Times New Roman" w:cs="Times New Roman"/>
                <w:color w:val="000000"/>
                <w:spacing w:val="-5"/>
                <w:sz w:val="22"/>
              </w:rPr>
              <w:t>1,686</w:t>
            </w:r>
          </w:p>
        </w:tc>
        <w:tc>
          <w:tcPr>
            <w:tcW w:w="351" w:type="pct"/>
            <w:gridSpan w:val="2"/>
            <w:tcBorders>
              <w:top w:val="nil"/>
              <w:left w:val="nil"/>
              <w:bottom w:val="single" w:sz="4" w:space="0" w:color="auto"/>
              <w:right w:val="single" w:sz="4" w:space="0" w:color="auto"/>
            </w:tcBorders>
            <w:shd w:val="clear" w:color="auto" w:fill="auto"/>
            <w:noWrap/>
            <w:vAlign w:val="center"/>
            <w:hideMark/>
          </w:tcPr>
          <w:p w14:paraId="1B30BB21" w14:textId="77777777" w:rsidR="00322AE9" w:rsidRPr="00322AE9" w:rsidRDefault="00322AE9" w:rsidP="00322AE9">
            <w:pPr>
              <w:suppressAutoHyphens/>
              <w:adjustRightInd w:val="0"/>
              <w:ind w:firstLine="0"/>
              <w:jc w:val="center"/>
              <w:textAlignment w:val="baseline"/>
              <w:rPr>
                <w:rFonts w:eastAsia="Times New Roman" w:cs="Times New Roman"/>
                <w:color w:val="000000"/>
                <w:spacing w:val="-5"/>
                <w:sz w:val="22"/>
              </w:rPr>
            </w:pPr>
            <w:r w:rsidRPr="00322AE9">
              <w:rPr>
                <w:rFonts w:eastAsia="Times New Roman" w:cs="Times New Roman"/>
                <w:color w:val="000000"/>
                <w:spacing w:val="-5"/>
                <w:sz w:val="22"/>
              </w:rPr>
              <w:t>1,707</w:t>
            </w:r>
          </w:p>
        </w:tc>
        <w:tc>
          <w:tcPr>
            <w:tcW w:w="391" w:type="pct"/>
            <w:gridSpan w:val="2"/>
            <w:tcBorders>
              <w:top w:val="nil"/>
              <w:left w:val="nil"/>
              <w:bottom w:val="single" w:sz="4" w:space="0" w:color="auto"/>
              <w:right w:val="single" w:sz="4" w:space="0" w:color="auto"/>
            </w:tcBorders>
            <w:shd w:val="clear" w:color="auto" w:fill="auto"/>
            <w:noWrap/>
            <w:vAlign w:val="center"/>
            <w:hideMark/>
          </w:tcPr>
          <w:p w14:paraId="3787931E" w14:textId="77777777" w:rsidR="00322AE9" w:rsidRPr="00322AE9" w:rsidRDefault="00322AE9" w:rsidP="00322AE9">
            <w:pPr>
              <w:suppressAutoHyphens/>
              <w:adjustRightInd w:val="0"/>
              <w:ind w:firstLine="0"/>
              <w:jc w:val="center"/>
              <w:textAlignment w:val="baseline"/>
              <w:rPr>
                <w:rFonts w:eastAsia="Times New Roman" w:cs="Times New Roman"/>
                <w:color w:val="000000"/>
                <w:spacing w:val="-5"/>
                <w:sz w:val="22"/>
              </w:rPr>
            </w:pPr>
            <w:r w:rsidRPr="00322AE9">
              <w:rPr>
                <w:rFonts w:eastAsia="Times New Roman" w:cs="Times New Roman"/>
                <w:color w:val="000000"/>
                <w:spacing w:val="-5"/>
                <w:sz w:val="22"/>
              </w:rPr>
              <w:t>1,668</w:t>
            </w:r>
          </w:p>
        </w:tc>
        <w:tc>
          <w:tcPr>
            <w:tcW w:w="526" w:type="pct"/>
            <w:gridSpan w:val="4"/>
            <w:tcBorders>
              <w:top w:val="nil"/>
              <w:left w:val="nil"/>
              <w:bottom w:val="single" w:sz="4" w:space="0" w:color="auto"/>
              <w:right w:val="single" w:sz="4" w:space="0" w:color="auto"/>
            </w:tcBorders>
            <w:shd w:val="clear" w:color="auto" w:fill="auto"/>
            <w:noWrap/>
            <w:vAlign w:val="center"/>
            <w:hideMark/>
          </w:tcPr>
          <w:p w14:paraId="6723AD3A" w14:textId="77777777" w:rsidR="00322AE9" w:rsidRPr="00322AE9" w:rsidRDefault="00322AE9" w:rsidP="00322AE9">
            <w:pPr>
              <w:suppressAutoHyphens/>
              <w:adjustRightInd w:val="0"/>
              <w:ind w:firstLine="0"/>
              <w:jc w:val="center"/>
              <w:textAlignment w:val="baseline"/>
              <w:rPr>
                <w:rFonts w:eastAsia="Times New Roman" w:cs="Times New Roman"/>
                <w:color w:val="000000"/>
                <w:spacing w:val="-5"/>
                <w:sz w:val="22"/>
              </w:rPr>
            </w:pPr>
            <w:r w:rsidRPr="00322AE9">
              <w:rPr>
                <w:rFonts w:eastAsia="Times New Roman" w:cs="Times New Roman"/>
                <w:color w:val="000000"/>
                <w:spacing w:val="-5"/>
                <w:sz w:val="22"/>
              </w:rPr>
              <w:t>1,615</w:t>
            </w:r>
          </w:p>
        </w:tc>
        <w:tc>
          <w:tcPr>
            <w:tcW w:w="430" w:type="pct"/>
            <w:gridSpan w:val="3"/>
            <w:tcBorders>
              <w:top w:val="nil"/>
              <w:left w:val="nil"/>
              <w:bottom w:val="single" w:sz="4" w:space="0" w:color="auto"/>
              <w:right w:val="single" w:sz="4" w:space="0" w:color="auto"/>
            </w:tcBorders>
            <w:shd w:val="clear" w:color="auto" w:fill="auto"/>
            <w:noWrap/>
            <w:vAlign w:val="center"/>
            <w:hideMark/>
          </w:tcPr>
          <w:p w14:paraId="5EB98746" w14:textId="77777777" w:rsidR="00322AE9" w:rsidRPr="00322AE9" w:rsidRDefault="00322AE9" w:rsidP="00322AE9">
            <w:pPr>
              <w:suppressAutoHyphens/>
              <w:adjustRightInd w:val="0"/>
              <w:ind w:firstLine="0"/>
              <w:jc w:val="center"/>
              <w:textAlignment w:val="baseline"/>
              <w:rPr>
                <w:rFonts w:eastAsia="Times New Roman" w:cs="Times New Roman"/>
                <w:color w:val="000000"/>
                <w:spacing w:val="-5"/>
                <w:sz w:val="22"/>
              </w:rPr>
            </w:pPr>
            <w:r w:rsidRPr="00322AE9">
              <w:rPr>
                <w:rFonts w:eastAsia="Times New Roman" w:cs="Times New Roman"/>
                <w:color w:val="000000"/>
                <w:spacing w:val="-5"/>
                <w:sz w:val="22"/>
              </w:rPr>
              <w:t>1,744</w:t>
            </w:r>
          </w:p>
        </w:tc>
        <w:tc>
          <w:tcPr>
            <w:tcW w:w="568" w:type="pct"/>
            <w:gridSpan w:val="3"/>
            <w:tcBorders>
              <w:top w:val="nil"/>
              <w:left w:val="nil"/>
              <w:bottom w:val="single" w:sz="4" w:space="0" w:color="auto"/>
              <w:right w:val="single" w:sz="4" w:space="0" w:color="auto"/>
            </w:tcBorders>
            <w:shd w:val="clear" w:color="auto" w:fill="auto"/>
            <w:noWrap/>
            <w:vAlign w:val="center"/>
            <w:hideMark/>
          </w:tcPr>
          <w:p w14:paraId="0E877647" w14:textId="77777777" w:rsidR="00322AE9" w:rsidRPr="00322AE9" w:rsidRDefault="00322AE9" w:rsidP="00322AE9">
            <w:pPr>
              <w:suppressAutoHyphens/>
              <w:adjustRightInd w:val="0"/>
              <w:ind w:firstLine="0"/>
              <w:jc w:val="center"/>
              <w:textAlignment w:val="baseline"/>
              <w:rPr>
                <w:rFonts w:eastAsia="Times New Roman" w:cs="Times New Roman"/>
                <w:color w:val="000000"/>
                <w:spacing w:val="-5"/>
                <w:sz w:val="22"/>
              </w:rPr>
            </w:pPr>
            <w:r w:rsidRPr="00322AE9">
              <w:rPr>
                <w:rFonts w:eastAsia="Times New Roman" w:cs="Times New Roman"/>
                <w:color w:val="000000"/>
                <w:spacing w:val="-5"/>
                <w:sz w:val="22"/>
              </w:rPr>
              <w:t>1,889</w:t>
            </w:r>
          </w:p>
        </w:tc>
      </w:tr>
      <w:tr w:rsidR="00322AE9" w:rsidRPr="00322AE9" w14:paraId="579ACEBD" w14:textId="77777777" w:rsidTr="00322AE9">
        <w:trPr>
          <w:gridAfter w:val="1"/>
          <w:wAfter w:w="4" w:type="pct"/>
          <w:trHeight w:val="300"/>
        </w:trPr>
        <w:tc>
          <w:tcPr>
            <w:tcW w:w="736" w:type="pct"/>
            <w:tcBorders>
              <w:top w:val="nil"/>
              <w:left w:val="nil"/>
              <w:bottom w:val="nil"/>
              <w:right w:val="nil"/>
            </w:tcBorders>
            <w:shd w:val="clear" w:color="auto" w:fill="auto"/>
            <w:noWrap/>
            <w:vAlign w:val="bottom"/>
            <w:hideMark/>
          </w:tcPr>
          <w:p w14:paraId="5F9916DB" w14:textId="77777777" w:rsidR="00322AE9" w:rsidRPr="00322AE9" w:rsidRDefault="00322AE9" w:rsidP="00322AE9">
            <w:pPr>
              <w:suppressAutoHyphens/>
              <w:adjustRightInd w:val="0"/>
              <w:ind w:firstLine="567"/>
              <w:textAlignment w:val="baseline"/>
              <w:rPr>
                <w:rFonts w:eastAsia="Times New Roman" w:cs="Times New Roman"/>
                <w:color w:val="000000"/>
                <w:spacing w:val="-5"/>
                <w:sz w:val="22"/>
              </w:rPr>
            </w:pPr>
          </w:p>
        </w:tc>
        <w:tc>
          <w:tcPr>
            <w:tcW w:w="389" w:type="pct"/>
            <w:gridSpan w:val="2"/>
            <w:tcBorders>
              <w:top w:val="nil"/>
              <w:left w:val="nil"/>
              <w:bottom w:val="nil"/>
              <w:right w:val="nil"/>
            </w:tcBorders>
            <w:shd w:val="clear" w:color="auto" w:fill="auto"/>
            <w:noWrap/>
            <w:vAlign w:val="bottom"/>
            <w:hideMark/>
          </w:tcPr>
          <w:p w14:paraId="0F0EB517" w14:textId="77777777" w:rsidR="00322AE9" w:rsidRPr="00322AE9" w:rsidRDefault="00322AE9" w:rsidP="00322AE9">
            <w:pPr>
              <w:suppressAutoHyphens/>
              <w:adjustRightInd w:val="0"/>
              <w:ind w:firstLine="567"/>
              <w:textAlignment w:val="baseline"/>
              <w:rPr>
                <w:rFonts w:eastAsia="Times New Roman" w:cs="Times New Roman"/>
                <w:color w:val="000000"/>
                <w:spacing w:val="-5"/>
                <w:sz w:val="22"/>
              </w:rPr>
            </w:pPr>
          </w:p>
        </w:tc>
        <w:tc>
          <w:tcPr>
            <w:tcW w:w="621" w:type="pct"/>
            <w:gridSpan w:val="2"/>
            <w:tcBorders>
              <w:top w:val="nil"/>
              <w:left w:val="nil"/>
              <w:bottom w:val="nil"/>
              <w:right w:val="nil"/>
            </w:tcBorders>
            <w:shd w:val="clear" w:color="auto" w:fill="auto"/>
            <w:noWrap/>
            <w:vAlign w:val="bottom"/>
            <w:hideMark/>
          </w:tcPr>
          <w:p w14:paraId="4245EB8D" w14:textId="77777777" w:rsidR="00322AE9" w:rsidRPr="00322AE9" w:rsidRDefault="00322AE9" w:rsidP="00322AE9">
            <w:pPr>
              <w:suppressAutoHyphens/>
              <w:adjustRightInd w:val="0"/>
              <w:ind w:firstLine="567"/>
              <w:textAlignment w:val="baseline"/>
              <w:rPr>
                <w:rFonts w:eastAsia="Times New Roman" w:cs="Times New Roman"/>
                <w:spacing w:val="-5"/>
                <w:sz w:val="20"/>
                <w:szCs w:val="20"/>
              </w:rPr>
            </w:pPr>
          </w:p>
        </w:tc>
        <w:tc>
          <w:tcPr>
            <w:tcW w:w="255" w:type="pct"/>
            <w:gridSpan w:val="2"/>
            <w:tcBorders>
              <w:top w:val="nil"/>
              <w:left w:val="nil"/>
              <w:bottom w:val="nil"/>
              <w:right w:val="nil"/>
            </w:tcBorders>
            <w:shd w:val="clear" w:color="auto" w:fill="auto"/>
            <w:noWrap/>
            <w:vAlign w:val="bottom"/>
            <w:hideMark/>
          </w:tcPr>
          <w:p w14:paraId="0F6A62E8" w14:textId="77777777" w:rsidR="00322AE9" w:rsidRPr="00322AE9" w:rsidRDefault="00322AE9" w:rsidP="00322AE9">
            <w:pPr>
              <w:suppressAutoHyphens/>
              <w:adjustRightInd w:val="0"/>
              <w:ind w:firstLine="567"/>
              <w:textAlignment w:val="baseline"/>
              <w:rPr>
                <w:rFonts w:eastAsia="Times New Roman" w:cs="Times New Roman"/>
                <w:spacing w:val="-5"/>
                <w:sz w:val="20"/>
                <w:szCs w:val="20"/>
              </w:rPr>
            </w:pPr>
          </w:p>
        </w:tc>
        <w:tc>
          <w:tcPr>
            <w:tcW w:w="371" w:type="pct"/>
            <w:tcBorders>
              <w:top w:val="nil"/>
              <w:left w:val="nil"/>
              <w:bottom w:val="nil"/>
              <w:right w:val="nil"/>
            </w:tcBorders>
            <w:shd w:val="clear" w:color="auto" w:fill="auto"/>
            <w:noWrap/>
            <w:vAlign w:val="bottom"/>
            <w:hideMark/>
          </w:tcPr>
          <w:p w14:paraId="7F611A38" w14:textId="77777777" w:rsidR="00322AE9" w:rsidRPr="00322AE9" w:rsidRDefault="00322AE9" w:rsidP="00322AE9">
            <w:pPr>
              <w:suppressAutoHyphens/>
              <w:adjustRightInd w:val="0"/>
              <w:ind w:firstLine="567"/>
              <w:textAlignment w:val="baseline"/>
              <w:rPr>
                <w:rFonts w:eastAsia="Times New Roman" w:cs="Times New Roman"/>
                <w:spacing w:val="-5"/>
                <w:sz w:val="20"/>
                <w:szCs w:val="20"/>
              </w:rPr>
            </w:pPr>
          </w:p>
        </w:tc>
        <w:tc>
          <w:tcPr>
            <w:tcW w:w="461" w:type="pct"/>
            <w:gridSpan w:val="3"/>
            <w:tcBorders>
              <w:top w:val="nil"/>
              <w:left w:val="nil"/>
              <w:bottom w:val="nil"/>
              <w:right w:val="nil"/>
            </w:tcBorders>
            <w:shd w:val="clear" w:color="auto" w:fill="auto"/>
            <w:noWrap/>
            <w:vAlign w:val="bottom"/>
            <w:hideMark/>
          </w:tcPr>
          <w:p w14:paraId="4B37E289" w14:textId="77777777" w:rsidR="00322AE9" w:rsidRPr="00322AE9" w:rsidRDefault="00322AE9" w:rsidP="00322AE9">
            <w:pPr>
              <w:suppressAutoHyphens/>
              <w:adjustRightInd w:val="0"/>
              <w:ind w:firstLine="567"/>
              <w:textAlignment w:val="baseline"/>
              <w:rPr>
                <w:rFonts w:eastAsia="Times New Roman" w:cs="Times New Roman"/>
                <w:spacing w:val="-5"/>
                <w:sz w:val="20"/>
                <w:szCs w:val="20"/>
              </w:rPr>
            </w:pPr>
          </w:p>
        </w:tc>
        <w:tc>
          <w:tcPr>
            <w:tcW w:w="376" w:type="pct"/>
            <w:gridSpan w:val="2"/>
            <w:tcBorders>
              <w:top w:val="nil"/>
              <w:left w:val="nil"/>
              <w:bottom w:val="nil"/>
              <w:right w:val="nil"/>
            </w:tcBorders>
            <w:shd w:val="clear" w:color="auto" w:fill="auto"/>
            <w:noWrap/>
            <w:vAlign w:val="bottom"/>
            <w:hideMark/>
          </w:tcPr>
          <w:p w14:paraId="39FA75EA" w14:textId="77777777" w:rsidR="00322AE9" w:rsidRPr="00322AE9" w:rsidRDefault="00322AE9" w:rsidP="00322AE9">
            <w:pPr>
              <w:suppressAutoHyphens/>
              <w:adjustRightInd w:val="0"/>
              <w:ind w:firstLine="567"/>
              <w:textAlignment w:val="baseline"/>
              <w:rPr>
                <w:rFonts w:eastAsia="Times New Roman" w:cs="Times New Roman"/>
                <w:spacing w:val="-5"/>
                <w:sz w:val="20"/>
                <w:szCs w:val="20"/>
              </w:rPr>
            </w:pPr>
          </w:p>
        </w:tc>
        <w:tc>
          <w:tcPr>
            <w:tcW w:w="305" w:type="pct"/>
            <w:gridSpan w:val="3"/>
            <w:tcBorders>
              <w:top w:val="nil"/>
              <w:left w:val="nil"/>
              <w:bottom w:val="nil"/>
              <w:right w:val="nil"/>
            </w:tcBorders>
            <w:shd w:val="clear" w:color="auto" w:fill="auto"/>
            <w:noWrap/>
            <w:vAlign w:val="bottom"/>
            <w:hideMark/>
          </w:tcPr>
          <w:p w14:paraId="588A6B2C" w14:textId="77777777" w:rsidR="00322AE9" w:rsidRPr="00322AE9" w:rsidRDefault="00322AE9" w:rsidP="00322AE9">
            <w:pPr>
              <w:suppressAutoHyphens/>
              <w:adjustRightInd w:val="0"/>
              <w:ind w:firstLine="567"/>
              <w:textAlignment w:val="baseline"/>
              <w:rPr>
                <w:rFonts w:eastAsia="Times New Roman" w:cs="Times New Roman"/>
                <w:spacing w:val="-5"/>
                <w:sz w:val="20"/>
                <w:szCs w:val="20"/>
              </w:rPr>
            </w:pPr>
          </w:p>
        </w:tc>
        <w:tc>
          <w:tcPr>
            <w:tcW w:w="278" w:type="pct"/>
            <w:tcBorders>
              <w:top w:val="nil"/>
              <w:left w:val="nil"/>
              <w:bottom w:val="nil"/>
              <w:right w:val="nil"/>
            </w:tcBorders>
            <w:shd w:val="clear" w:color="auto" w:fill="auto"/>
            <w:noWrap/>
            <w:vAlign w:val="bottom"/>
            <w:hideMark/>
          </w:tcPr>
          <w:p w14:paraId="513E56AB" w14:textId="77777777" w:rsidR="00322AE9" w:rsidRPr="00322AE9" w:rsidRDefault="00322AE9" w:rsidP="00322AE9">
            <w:pPr>
              <w:suppressAutoHyphens/>
              <w:adjustRightInd w:val="0"/>
              <w:ind w:firstLine="567"/>
              <w:textAlignment w:val="baseline"/>
              <w:rPr>
                <w:rFonts w:eastAsia="Times New Roman" w:cs="Times New Roman"/>
                <w:spacing w:val="-5"/>
                <w:sz w:val="20"/>
                <w:szCs w:val="20"/>
              </w:rPr>
            </w:pPr>
          </w:p>
        </w:tc>
        <w:tc>
          <w:tcPr>
            <w:tcW w:w="438" w:type="pct"/>
            <w:gridSpan w:val="3"/>
            <w:tcBorders>
              <w:top w:val="nil"/>
              <w:left w:val="nil"/>
              <w:bottom w:val="nil"/>
              <w:right w:val="nil"/>
            </w:tcBorders>
            <w:shd w:val="clear" w:color="auto" w:fill="auto"/>
            <w:noWrap/>
            <w:vAlign w:val="bottom"/>
            <w:hideMark/>
          </w:tcPr>
          <w:p w14:paraId="5F8FB63C" w14:textId="77777777" w:rsidR="00322AE9" w:rsidRPr="00322AE9" w:rsidRDefault="00322AE9" w:rsidP="00322AE9">
            <w:pPr>
              <w:suppressAutoHyphens/>
              <w:adjustRightInd w:val="0"/>
              <w:ind w:firstLine="567"/>
              <w:textAlignment w:val="baseline"/>
              <w:rPr>
                <w:rFonts w:eastAsia="Times New Roman" w:cs="Times New Roman"/>
                <w:spacing w:val="-5"/>
                <w:sz w:val="20"/>
                <w:szCs w:val="20"/>
              </w:rPr>
            </w:pPr>
          </w:p>
        </w:tc>
        <w:tc>
          <w:tcPr>
            <w:tcW w:w="369" w:type="pct"/>
            <w:gridSpan w:val="3"/>
            <w:tcBorders>
              <w:top w:val="nil"/>
              <w:left w:val="nil"/>
              <w:bottom w:val="nil"/>
              <w:right w:val="nil"/>
            </w:tcBorders>
            <w:shd w:val="clear" w:color="auto" w:fill="auto"/>
            <w:noWrap/>
            <w:vAlign w:val="bottom"/>
            <w:hideMark/>
          </w:tcPr>
          <w:p w14:paraId="274F0D04" w14:textId="77777777" w:rsidR="00322AE9" w:rsidRPr="00322AE9" w:rsidRDefault="00322AE9" w:rsidP="00322AE9">
            <w:pPr>
              <w:suppressAutoHyphens/>
              <w:adjustRightInd w:val="0"/>
              <w:ind w:firstLine="567"/>
              <w:textAlignment w:val="baseline"/>
              <w:rPr>
                <w:rFonts w:eastAsia="Times New Roman" w:cs="Times New Roman"/>
                <w:spacing w:val="-5"/>
                <w:sz w:val="20"/>
                <w:szCs w:val="20"/>
              </w:rPr>
            </w:pPr>
          </w:p>
        </w:tc>
        <w:tc>
          <w:tcPr>
            <w:tcW w:w="398" w:type="pct"/>
            <w:gridSpan w:val="2"/>
            <w:tcBorders>
              <w:top w:val="nil"/>
              <w:left w:val="nil"/>
              <w:bottom w:val="nil"/>
              <w:right w:val="nil"/>
            </w:tcBorders>
            <w:shd w:val="clear" w:color="auto" w:fill="auto"/>
            <w:noWrap/>
            <w:vAlign w:val="bottom"/>
            <w:hideMark/>
          </w:tcPr>
          <w:p w14:paraId="1EB3178A" w14:textId="77777777" w:rsidR="00322AE9" w:rsidRPr="00322AE9" w:rsidRDefault="00322AE9" w:rsidP="00322AE9">
            <w:pPr>
              <w:suppressAutoHyphens/>
              <w:adjustRightInd w:val="0"/>
              <w:ind w:firstLine="567"/>
              <w:textAlignment w:val="baseline"/>
              <w:rPr>
                <w:rFonts w:eastAsia="Times New Roman" w:cs="Times New Roman"/>
                <w:spacing w:val="-5"/>
                <w:sz w:val="20"/>
                <w:szCs w:val="20"/>
              </w:rPr>
            </w:pPr>
          </w:p>
        </w:tc>
      </w:tr>
      <w:tr w:rsidR="00322AE9" w:rsidRPr="00322AE9" w14:paraId="2D16A55B" w14:textId="77777777" w:rsidTr="00322AE9">
        <w:trPr>
          <w:gridAfter w:val="1"/>
          <w:wAfter w:w="4" w:type="pct"/>
          <w:trHeight w:val="300"/>
        </w:trPr>
        <w:tc>
          <w:tcPr>
            <w:tcW w:w="73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8FA1F0B" w14:textId="77777777" w:rsidR="00322AE9" w:rsidRPr="00322AE9" w:rsidRDefault="00322AE9" w:rsidP="00322AE9">
            <w:pPr>
              <w:suppressAutoHyphens/>
              <w:adjustRightInd w:val="0"/>
              <w:ind w:firstLine="0"/>
              <w:textAlignment w:val="baseline"/>
              <w:rPr>
                <w:rFonts w:eastAsia="Times New Roman" w:cs="Times New Roman"/>
                <w:color w:val="000000"/>
                <w:spacing w:val="-5"/>
                <w:sz w:val="22"/>
              </w:rPr>
            </w:pPr>
            <w:r w:rsidRPr="00322AE9">
              <w:rPr>
                <w:rFonts w:eastAsia="Times New Roman" w:cs="Times New Roman"/>
                <w:color w:val="000000"/>
                <w:spacing w:val="-5"/>
                <w:sz w:val="22"/>
              </w:rPr>
              <w:t>Экономические районы, края, области</w:t>
            </w:r>
          </w:p>
        </w:tc>
        <w:tc>
          <w:tcPr>
            <w:tcW w:w="3055" w:type="pct"/>
            <w:gridSpan w:val="16"/>
            <w:tcBorders>
              <w:top w:val="single" w:sz="4" w:space="0" w:color="auto"/>
              <w:left w:val="nil"/>
              <w:bottom w:val="single" w:sz="4" w:space="0" w:color="auto"/>
              <w:right w:val="single" w:sz="4" w:space="0" w:color="auto"/>
            </w:tcBorders>
            <w:shd w:val="clear" w:color="auto" w:fill="auto"/>
            <w:noWrap/>
            <w:vAlign w:val="center"/>
            <w:hideMark/>
          </w:tcPr>
          <w:p w14:paraId="5E85E8E6" w14:textId="77777777" w:rsidR="00322AE9" w:rsidRPr="00322AE9" w:rsidRDefault="00322AE9" w:rsidP="00322AE9">
            <w:pPr>
              <w:suppressAutoHyphens/>
              <w:adjustRightInd w:val="0"/>
              <w:ind w:firstLine="567"/>
              <w:jc w:val="center"/>
              <w:textAlignment w:val="baseline"/>
              <w:rPr>
                <w:rFonts w:eastAsia="Times New Roman" w:cs="Times New Roman"/>
                <w:color w:val="000000"/>
                <w:spacing w:val="-5"/>
                <w:sz w:val="22"/>
              </w:rPr>
            </w:pPr>
            <w:r w:rsidRPr="00322AE9">
              <w:rPr>
                <w:rFonts w:eastAsia="Times New Roman" w:cs="Times New Roman"/>
                <w:color w:val="000000"/>
                <w:spacing w:val="-5"/>
                <w:sz w:val="22"/>
              </w:rPr>
              <w:t>СООРУЖЕНИЯ с преимущественным применением</w:t>
            </w:r>
          </w:p>
        </w:tc>
        <w:tc>
          <w:tcPr>
            <w:tcW w:w="1205" w:type="pct"/>
            <w:gridSpan w:val="8"/>
            <w:tcBorders>
              <w:top w:val="single" w:sz="4" w:space="0" w:color="auto"/>
              <w:left w:val="nil"/>
              <w:bottom w:val="single" w:sz="4" w:space="0" w:color="auto"/>
              <w:right w:val="single" w:sz="4" w:space="0" w:color="auto"/>
            </w:tcBorders>
            <w:shd w:val="clear" w:color="auto" w:fill="auto"/>
            <w:noWrap/>
            <w:vAlign w:val="center"/>
            <w:hideMark/>
          </w:tcPr>
          <w:p w14:paraId="52449BB7" w14:textId="77777777" w:rsidR="00322AE9" w:rsidRPr="00322AE9" w:rsidRDefault="00322AE9" w:rsidP="00322AE9">
            <w:pPr>
              <w:suppressAutoHyphens/>
              <w:adjustRightInd w:val="0"/>
              <w:ind w:firstLine="0"/>
              <w:jc w:val="center"/>
              <w:textAlignment w:val="baseline"/>
              <w:rPr>
                <w:rFonts w:eastAsia="Times New Roman" w:cs="Times New Roman"/>
                <w:color w:val="000000"/>
                <w:spacing w:val="-5"/>
                <w:sz w:val="22"/>
              </w:rPr>
            </w:pPr>
            <w:r w:rsidRPr="00322AE9">
              <w:rPr>
                <w:rFonts w:eastAsia="Times New Roman" w:cs="Times New Roman"/>
                <w:color w:val="000000"/>
                <w:spacing w:val="-5"/>
                <w:sz w:val="22"/>
              </w:rPr>
              <w:t>Классы КС для сложных комплексных работ</w:t>
            </w:r>
          </w:p>
        </w:tc>
      </w:tr>
      <w:tr w:rsidR="00322AE9" w:rsidRPr="00322AE9" w14:paraId="342FBF26" w14:textId="77777777" w:rsidTr="00322AE9">
        <w:trPr>
          <w:gridAfter w:val="1"/>
          <w:wAfter w:w="4" w:type="pct"/>
          <w:trHeight w:val="1186"/>
        </w:trPr>
        <w:tc>
          <w:tcPr>
            <w:tcW w:w="736" w:type="pct"/>
            <w:vMerge/>
            <w:tcBorders>
              <w:top w:val="single" w:sz="4" w:space="0" w:color="auto"/>
              <w:left w:val="single" w:sz="4" w:space="0" w:color="auto"/>
              <w:bottom w:val="single" w:sz="4" w:space="0" w:color="auto"/>
              <w:right w:val="single" w:sz="4" w:space="0" w:color="auto"/>
            </w:tcBorders>
            <w:vAlign w:val="center"/>
            <w:hideMark/>
          </w:tcPr>
          <w:p w14:paraId="58D260C9" w14:textId="77777777" w:rsidR="00322AE9" w:rsidRPr="00322AE9" w:rsidRDefault="00322AE9" w:rsidP="00322AE9">
            <w:pPr>
              <w:suppressAutoHyphens/>
              <w:adjustRightInd w:val="0"/>
              <w:ind w:firstLine="567"/>
              <w:textAlignment w:val="baseline"/>
              <w:rPr>
                <w:rFonts w:eastAsia="Times New Roman" w:cs="Times New Roman"/>
                <w:color w:val="000000"/>
                <w:spacing w:val="-5"/>
                <w:sz w:val="22"/>
              </w:rPr>
            </w:pPr>
          </w:p>
        </w:tc>
        <w:tc>
          <w:tcPr>
            <w:tcW w:w="389" w:type="pct"/>
            <w:gridSpan w:val="2"/>
            <w:tcBorders>
              <w:top w:val="nil"/>
              <w:left w:val="nil"/>
              <w:bottom w:val="single" w:sz="4" w:space="0" w:color="auto"/>
              <w:right w:val="single" w:sz="4" w:space="0" w:color="auto"/>
            </w:tcBorders>
            <w:shd w:val="clear" w:color="auto" w:fill="auto"/>
            <w:vAlign w:val="center"/>
            <w:hideMark/>
          </w:tcPr>
          <w:p w14:paraId="19D7D8DC" w14:textId="77777777" w:rsidR="00322AE9" w:rsidRPr="00322AE9" w:rsidRDefault="00322AE9" w:rsidP="00322AE9">
            <w:pPr>
              <w:suppressAutoHyphens/>
              <w:adjustRightInd w:val="0"/>
              <w:ind w:firstLine="0"/>
              <w:jc w:val="center"/>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нерудных материалов и бетона</w:t>
            </w:r>
          </w:p>
        </w:tc>
        <w:tc>
          <w:tcPr>
            <w:tcW w:w="621" w:type="pct"/>
            <w:gridSpan w:val="2"/>
            <w:tcBorders>
              <w:top w:val="nil"/>
              <w:left w:val="nil"/>
              <w:bottom w:val="single" w:sz="4" w:space="0" w:color="auto"/>
              <w:right w:val="single" w:sz="4" w:space="0" w:color="auto"/>
            </w:tcBorders>
            <w:shd w:val="clear" w:color="auto" w:fill="auto"/>
            <w:vAlign w:val="center"/>
            <w:hideMark/>
          </w:tcPr>
          <w:p w14:paraId="08A74199" w14:textId="77777777" w:rsidR="00322AE9" w:rsidRPr="00322AE9" w:rsidRDefault="00322AE9" w:rsidP="00322AE9">
            <w:pPr>
              <w:suppressAutoHyphens/>
              <w:adjustRightInd w:val="0"/>
              <w:ind w:firstLine="0"/>
              <w:jc w:val="center"/>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полиэтилена, поливинилхлорида и прочих пластмасс</w:t>
            </w:r>
          </w:p>
        </w:tc>
        <w:tc>
          <w:tcPr>
            <w:tcW w:w="255" w:type="pct"/>
            <w:gridSpan w:val="2"/>
            <w:tcBorders>
              <w:top w:val="nil"/>
              <w:left w:val="nil"/>
              <w:bottom w:val="single" w:sz="4" w:space="0" w:color="auto"/>
              <w:right w:val="single" w:sz="4" w:space="0" w:color="auto"/>
            </w:tcBorders>
            <w:shd w:val="clear" w:color="auto" w:fill="auto"/>
            <w:vAlign w:val="center"/>
            <w:hideMark/>
          </w:tcPr>
          <w:p w14:paraId="138C3D9C" w14:textId="77777777" w:rsidR="00322AE9" w:rsidRPr="00322AE9" w:rsidRDefault="00322AE9" w:rsidP="00322AE9">
            <w:pPr>
              <w:suppressAutoHyphens/>
              <w:adjustRightInd w:val="0"/>
              <w:ind w:firstLine="0"/>
              <w:jc w:val="center"/>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монолитного железобетона</w:t>
            </w:r>
          </w:p>
        </w:tc>
        <w:tc>
          <w:tcPr>
            <w:tcW w:w="371" w:type="pct"/>
            <w:tcBorders>
              <w:top w:val="nil"/>
              <w:left w:val="nil"/>
              <w:bottom w:val="single" w:sz="4" w:space="0" w:color="auto"/>
              <w:right w:val="single" w:sz="4" w:space="0" w:color="auto"/>
            </w:tcBorders>
            <w:shd w:val="clear" w:color="auto" w:fill="auto"/>
            <w:vAlign w:val="center"/>
            <w:hideMark/>
          </w:tcPr>
          <w:p w14:paraId="062457E7" w14:textId="77777777" w:rsidR="00322AE9" w:rsidRPr="00322AE9" w:rsidRDefault="00322AE9" w:rsidP="00322AE9">
            <w:pPr>
              <w:suppressAutoHyphens/>
              <w:adjustRightInd w:val="0"/>
              <w:ind w:firstLine="0"/>
              <w:jc w:val="center"/>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сборного железобетона</w:t>
            </w:r>
          </w:p>
        </w:tc>
        <w:tc>
          <w:tcPr>
            <w:tcW w:w="461" w:type="pct"/>
            <w:gridSpan w:val="3"/>
            <w:tcBorders>
              <w:top w:val="nil"/>
              <w:left w:val="nil"/>
              <w:bottom w:val="single" w:sz="4" w:space="0" w:color="auto"/>
              <w:right w:val="single" w:sz="4" w:space="0" w:color="auto"/>
            </w:tcBorders>
            <w:shd w:val="clear" w:color="auto" w:fill="auto"/>
            <w:vAlign w:val="center"/>
            <w:hideMark/>
          </w:tcPr>
          <w:p w14:paraId="3B4CDE4F" w14:textId="77777777" w:rsidR="00322AE9" w:rsidRPr="00322AE9" w:rsidRDefault="00322AE9" w:rsidP="00322AE9">
            <w:pPr>
              <w:suppressAutoHyphens/>
              <w:adjustRightInd w:val="0"/>
              <w:ind w:firstLine="0"/>
              <w:jc w:val="center"/>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конструкционной стали</w:t>
            </w:r>
          </w:p>
        </w:tc>
        <w:tc>
          <w:tcPr>
            <w:tcW w:w="376" w:type="pct"/>
            <w:gridSpan w:val="2"/>
            <w:tcBorders>
              <w:top w:val="nil"/>
              <w:left w:val="nil"/>
              <w:bottom w:val="single" w:sz="4" w:space="0" w:color="auto"/>
              <w:right w:val="single" w:sz="4" w:space="0" w:color="auto"/>
            </w:tcBorders>
            <w:shd w:val="clear" w:color="auto" w:fill="auto"/>
            <w:vAlign w:val="center"/>
            <w:hideMark/>
          </w:tcPr>
          <w:p w14:paraId="0EF948AE" w14:textId="77777777" w:rsidR="00322AE9" w:rsidRPr="00322AE9" w:rsidRDefault="00322AE9" w:rsidP="00322AE9">
            <w:pPr>
              <w:suppressAutoHyphens/>
              <w:adjustRightInd w:val="0"/>
              <w:ind w:firstLine="0"/>
              <w:jc w:val="center"/>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стальных труб</w:t>
            </w:r>
          </w:p>
        </w:tc>
        <w:tc>
          <w:tcPr>
            <w:tcW w:w="305" w:type="pct"/>
            <w:gridSpan w:val="3"/>
            <w:tcBorders>
              <w:top w:val="nil"/>
              <w:left w:val="nil"/>
              <w:bottom w:val="single" w:sz="4" w:space="0" w:color="auto"/>
              <w:right w:val="single" w:sz="4" w:space="0" w:color="auto"/>
            </w:tcBorders>
            <w:shd w:val="clear" w:color="auto" w:fill="auto"/>
            <w:vAlign w:val="center"/>
            <w:hideMark/>
          </w:tcPr>
          <w:p w14:paraId="0C65F5BC" w14:textId="77777777" w:rsidR="00322AE9" w:rsidRPr="00322AE9" w:rsidRDefault="00322AE9" w:rsidP="00322AE9">
            <w:pPr>
              <w:suppressAutoHyphens/>
              <w:adjustRightInd w:val="0"/>
              <w:ind w:firstLine="0"/>
              <w:jc w:val="center"/>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древесины</w:t>
            </w:r>
          </w:p>
        </w:tc>
        <w:tc>
          <w:tcPr>
            <w:tcW w:w="278" w:type="pct"/>
            <w:tcBorders>
              <w:top w:val="nil"/>
              <w:left w:val="nil"/>
              <w:bottom w:val="single" w:sz="4" w:space="0" w:color="auto"/>
              <w:right w:val="single" w:sz="4" w:space="0" w:color="auto"/>
            </w:tcBorders>
            <w:shd w:val="clear" w:color="auto" w:fill="auto"/>
            <w:vAlign w:val="center"/>
            <w:hideMark/>
          </w:tcPr>
          <w:p w14:paraId="3E90DB74" w14:textId="77777777" w:rsidR="00322AE9" w:rsidRPr="00322AE9" w:rsidRDefault="00322AE9" w:rsidP="00322AE9">
            <w:pPr>
              <w:suppressAutoHyphens/>
              <w:adjustRightInd w:val="0"/>
              <w:ind w:firstLine="0"/>
              <w:jc w:val="center"/>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кабелей и проводов</w:t>
            </w:r>
          </w:p>
        </w:tc>
        <w:tc>
          <w:tcPr>
            <w:tcW w:w="438" w:type="pct"/>
            <w:gridSpan w:val="3"/>
            <w:tcBorders>
              <w:top w:val="nil"/>
              <w:left w:val="nil"/>
              <w:bottom w:val="single" w:sz="4" w:space="0" w:color="auto"/>
              <w:right w:val="single" w:sz="4" w:space="0" w:color="auto"/>
            </w:tcBorders>
            <w:shd w:val="clear" w:color="auto" w:fill="auto"/>
            <w:vAlign w:val="center"/>
            <w:hideMark/>
          </w:tcPr>
          <w:p w14:paraId="563FC6C8" w14:textId="77777777" w:rsidR="00322AE9" w:rsidRPr="00322AE9" w:rsidRDefault="00322AE9" w:rsidP="00322AE9">
            <w:pPr>
              <w:suppressAutoHyphens/>
              <w:adjustRightInd w:val="0"/>
              <w:ind w:firstLine="0"/>
              <w:jc w:val="center"/>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благоустройство прилегающей территории (озеленение)</w:t>
            </w:r>
          </w:p>
        </w:tc>
        <w:tc>
          <w:tcPr>
            <w:tcW w:w="369" w:type="pct"/>
            <w:gridSpan w:val="3"/>
            <w:tcBorders>
              <w:top w:val="nil"/>
              <w:left w:val="nil"/>
              <w:bottom w:val="single" w:sz="4" w:space="0" w:color="auto"/>
              <w:right w:val="single" w:sz="4" w:space="0" w:color="auto"/>
            </w:tcBorders>
            <w:shd w:val="clear" w:color="auto" w:fill="auto"/>
            <w:vAlign w:val="center"/>
            <w:hideMark/>
          </w:tcPr>
          <w:p w14:paraId="67B9D818" w14:textId="77777777" w:rsidR="00322AE9" w:rsidRPr="00322AE9" w:rsidRDefault="00322AE9" w:rsidP="00322AE9">
            <w:pPr>
              <w:suppressAutoHyphens/>
              <w:adjustRightInd w:val="0"/>
              <w:ind w:firstLine="0"/>
              <w:jc w:val="center"/>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плодоводства и лесоводства (закладка и уход)</w:t>
            </w:r>
          </w:p>
        </w:tc>
        <w:tc>
          <w:tcPr>
            <w:tcW w:w="398" w:type="pct"/>
            <w:gridSpan w:val="2"/>
            <w:tcBorders>
              <w:top w:val="nil"/>
              <w:left w:val="nil"/>
              <w:bottom w:val="single" w:sz="4" w:space="0" w:color="auto"/>
              <w:right w:val="single" w:sz="4" w:space="0" w:color="auto"/>
            </w:tcBorders>
            <w:shd w:val="clear" w:color="auto" w:fill="auto"/>
            <w:vAlign w:val="center"/>
            <w:hideMark/>
          </w:tcPr>
          <w:p w14:paraId="5FA41112" w14:textId="77777777" w:rsidR="00322AE9" w:rsidRPr="00322AE9" w:rsidRDefault="00322AE9" w:rsidP="00322AE9">
            <w:pPr>
              <w:suppressAutoHyphens/>
              <w:adjustRightInd w:val="0"/>
              <w:ind w:firstLine="0"/>
              <w:jc w:val="center"/>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культур-технические работы и рекультивация</w:t>
            </w:r>
          </w:p>
        </w:tc>
      </w:tr>
      <w:tr w:rsidR="00322AE9" w:rsidRPr="00322AE9" w14:paraId="78D6C21B" w14:textId="77777777" w:rsidTr="00322AE9">
        <w:trPr>
          <w:gridAfter w:val="1"/>
          <w:wAfter w:w="4" w:type="pct"/>
          <w:trHeight w:val="300"/>
        </w:trPr>
        <w:tc>
          <w:tcPr>
            <w:tcW w:w="736" w:type="pct"/>
            <w:vMerge/>
            <w:tcBorders>
              <w:top w:val="single" w:sz="4" w:space="0" w:color="auto"/>
              <w:left w:val="single" w:sz="4" w:space="0" w:color="auto"/>
              <w:bottom w:val="single" w:sz="4" w:space="0" w:color="auto"/>
              <w:right w:val="single" w:sz="4" w:space="0" w:color="auto"/>
            </w:tcBorders>
            <w:vAlign w:val="center"/>
            <w:hideMark/>
          </w:tcPr>
          <w:p w14:paraId="26C4E5F4" w14:textId="77777777" w:rsidR="00322AE9" w:rsidRPr="00322AE9" w:rsidRDefault="00322AE9" w:rsidP="00322AE9">
            <w:pPr>
              <w:suppressAutoHyphens/>
              <w:adjustRightInd w:val="0"/>
              <w:ind w:firstLine="567"/>
              <w:textAlignment w:val="baseline"/>
              <w:rPr>
                <w:rFonts w:eastAsia="Times New Roman" w:cs="Times New Roman"/>
                <w:color w:val="000000"/>
                <w:spacing w:val="-5"/>
                <w:sz w:val="22"/>
              </w:rPr>
            </w:pPr>
          </w:p>
        </w:tc>
        <w:tc>
          <w:tcPr>
            <w:tcW w:w="4260" w:type="pct"/>
            <w:gridSpan w:val="24"/>
            <w:tcBorders>
              <w:top w:val="single" w:sz="4" w:space="0" w:color="auto"/>
              <w:left w:val="nil"/>
              <w:bottom w:val="single" w:sz="4" w:space="0" w:color="auto"/>
              <w:right w:val="single" w:sz="4" w:space="0" w:color="auto"/>
            </w:tcBorders>
            <w:shd w:val="clear" w:color="auto" w:fill="auto"/>
            <w:noWrap/>
            <w:vAlign w:val="bottom"/>
            <w:hideMark/>
          </w:tcPr>
          <w:p w14:paraId="6AB6909D" w14:textId="77777777" w:rsidR="00322AE9" w:rsidRPr="00322AE9" w:rsidRDefault="00322AE9" w:rsidP="00322AE9">
            <w:pPr>
              <w:suppressAutoHyphens/>
              <w:adjustRightInd w:val="0"/>
              <w:ind w:firstLine="567"/>
              <w:jc w:val="center"/>
              <w:textAlignment w:val="baseline"/>
              <w:rPr>
                <w:rFonts w:eastAsia="Times New Roman" w:cs="Times New Roman"/>
                <w:color w:val="000000"/>
                <w:spacing w:val="-5"/>
                <w:sz w:val="22"/>
              </w:rPr>
            </w:pPr>
            <w:r w:rsidRPr="00322AE9">
              <w:rPr>
                <w:rFonts w:eastAsia="Times New Roman" w:cs="Times New Roman"/>
                <w:color w:val="000000"/>
                <w:spacing w:val="-5"/>
                <w:sz w:val="22"/>
              </w:rPr>
              <w:t>Класс конструктивных систем</w:t>
            </w:r>
          </w:p>
        </w:tc>
      </w:tr>
      <w:tr w:rsidR="00322AE9" w:rsidRPr="00322AE9" w14:paraId="22B64F40" w14:textId="77777777" w:rsidTr="00322AE9">
        <w:trPr>
          <w:gridAfter w:val="1"/>
          <w:wAfter w:w="4" w:type="pct"/>
          <w:trHeight w:val="300"/>
        </w:trPr>
        <w:tc>
          <w:tcPr>
            <w:tcW w:w="736" w:type="pct"/>
            <w:vMerge/>
            <w:tcBorders>
              <w:top w:val="single" w:sz="4" w:space="0" w:color="auto"/>
              <w:left w:val="single" w:sz="4" w:space="0" w:color="auto"/>
              <w:bottom w:val="single" w:sz="4" w:space="0" w:color="auto"/>
              <w:right w:val="single" w:sz="4" w:space="0" w:color="auto"/>
            </w:tcBorders>
            <w:vAlign w:val="center"/>
            <w:hideMark/>
          </w:tcPr>
          <w:p w14:paraId="61E1754D" w14:textId="77777777" w:rsidR="00322AE9" w:rsidRPr="00322AE9" w:rsidRDefault="00322AE9" w:rsidP="00322AE9">
            <w:pPr>
              <w:suppressAutoHyphens/>
              <w:adjustRightInd w:val="0"/>
              <w:ind w:firstLine="567"/>
              <w:textAlignment w:val="baseline"/>
              <w:rPr>
                <w:rFonts w:eastAsia="Times New Roman" w:cs="Times New Roman"/>
                <w:color w:val="000000"/>
                <w:spacing w:val="-5"/>
                <w:sz w:val="22"/>
              </w:rPr>
            </w:pPr>
          </w:p>
        </w:tc>
        <w:tc>
          <w:tcPr>
            <w:tcW w:w="389" w:type="pct"/>
            <w:gridSpan w:val="2"/>
            <w:tcBorders>
              <w:top w:val="nil"/>
              <w:left w:val="nil"/>
              <w:bottom w:val="single" w:sz="4" w:space="0" w:color="auto"/>
              <w:right w:val="single" w:sz="4" w:space="0" w:color="auto"/>
            </w:tcBorders>
            <w:shd w:val="clear" w:color="auto" w:fill="auto"/>
            <w:noWrap/>
            <w:vAlign w:val="bottom"/>
            <w:hideMark/>
          </w:tcPr>
          <w:p w14:paraId="215DEF9B" w14:textId="77777777" w:rsidR="00322AE9" w:rsidRPr="00322AE9" w:rsidRDefault="00322AE9" w:rsidP="00322AE9">
            <w:pPr>
              <w:suppressAutoHyphens/>
              <w:adjustRightInd w:val="0"/>
              <w:ind w:firstLine="0"/>
              <w:jc w:val="center"/>
              <w:textAlignment w:val="baseline"/>
              <w:rPr>
                <w:rFonts w:eastAsia="Times New Roman" w:cs="Times New Roman"/>
                <w:color w:val="000000"/>
                <w:spacing w:val="-5"/>
                <w:sz w:val="22"/>
              </w:rPr>
            </w:pPr>
            <w:r w:rsidRPr="00322AE9">
              <w:rPr>
                <w:rFonts w:eastAsia="Times New Roman" w:cs="Times New Roman"/>
                <w:color w:val="000000"/>
                <w:spacing w:val="-5"/>
                <w:sz w:val="22"/>
              </w:rPr>
              <w:t>КС-8</w:t>
            </w:r>
          </w:p>
        </w:tc>
        <w:tc>
          <w:tcPr>
            <w:tcW w:w="621" w:type="pct"/>
            <w:gridSpan w:val="2"/>
            <w:tcBorders>
              <w:top w:val="nil"/>
              <w:left w:val="nil"/>
              <w:bottom w:val="single" w:sz="4" w:space="0" w:color="auto"/>
              <w:right w:val="single" w:sz="4" w:space="0" w:color="auto"/>
            </w:tcBorders>
            <w:shd w:val="clear" w:color="auto" w:fill="auto"/>
            <w:noWrap/>
            <w:vAlign w:val="bottom"/>
            <w:hideMark/>
          </w:tcPr>
          <w:p w14:paraId="2BBDBE9D" w14:textId="77777777" w:rsidR="00322AE9" w:rsidRPr="00322AE9" w:rsidRDefault="00322AE9" w:rsidP="00322AE9">
            <w:pPr>
              <w:suppressAutoHyphens/>
              <w:adjustRightInd w:val="0"/>
              <w:ind w:firstLine="0"/>
              <w:jc w:val="center"/>
              <w:textAlignment w:val="baseline"/>
              <w:rPr>
                <w:rFonts w:eastAsia="Times New Roman" w:cs="Times New Roman"/>
                <w:color w:val="000000"/>
                <w:spacing w:val="-5"/>
                <w:sz w:val="22"/>
              </w:rPr>
            </w:pPr>
            <w:r w:rsidRPr="00322AE9">
              <w:rPr>
                <w:rFonts w:eastAsia="Times New Roman" w:cs="Times New Roman"/>
                <w:color w:val="000000"/>
                <w:spacing w:val="-5"/>
                <w:sz w:val="22"/>
              </w:rPr>
              <w:t>КС-8А</w:t>
            </w:r>
          </w:p>
        </w:tc>
        <w:tc>
          <w:tcPr>
            <w:tcW w:w="255" w:type="pct"/>
            <w:gridSpan w:val="2"/>
            <w:tcBorders>
              <w:top w:val="nil"/>
              <w:left w:val="nil"/>
              <w:bottom w:val="single" w:sz="4" w:space="0" w:color="auto"/>
              <w:right w:val="single" w:sz="4" w:space="0" w:color="auto"/>
            </w:tcBorders>
            <w:shd w:val="clear" w:color="auto" w:fill="auto"/>
            <w:noWrap/>
            <w:vAlign w:val="bottom"/>
            <w:hideMark/>
          </w:tcPr>
          <w:p w14:paraId="29465472" w14:textId="77777777" w:rsidR="00322AE9" w:rsidRPr="00322AE9" w:rsidRDefault="00322AE9" w:rsidP="00322AE9">
            <w:pPr>
              <w:suppressAutoHyphens/>
              <w:adjustRightInd w:val="0"/>
              <w:ind w:firstLine="0"/>
              <w:jc w:val="center"/>
              <w:textAlignment w:val="baseline"/>
              <w:rPr>
                <w:rFonts w:eastAsia="Times New Roman" w:cs="Times New Roman"/>
                <w:color w:val="000000"/>
                <w:spacing w:val="-5"/>
                <w:sz w:val="22"/>
              </w:rPr>
            </w:pPr>
            <w:r w:rsidRPr="00322AE9">
              <w:rPr>
                <w:rFonts w:eastAsia="Times New Roman" w:cs="Times New Roman"/>
                <w:color w:val="000000"/>
                <w:spacing w:val="-5"/>
                <w:sz w:val="22"/>
              </w:rPr>
              <w:t>КС-9</w:t>
            </w:r>
          </w:p>
        </w:tc>
        <w:tc>
          <w:tcPr>
            <w:tcW w:w="371" w:type="pct"/>
            <w:tcBorders>
              <w:top w:val="nil"/>
              <w:left w:val="nil"/>
              <w:bottom w:val="single" w:sz="4" w:space="0" w:color="auto"/>
              <w:right w:val="single" w:sz="4" w:space="0" w:color="auto"/>
            </w:tcBorders>
            <w:shd w:val="clear" w:color="auto" w:fill="auto"/>
            <w:noWrap/>
            <w:vAlign w:val="bottom"/>
            <w:hideMark/>
          </w:tcPr>
          <w:p w14:paraId="0A2250DD" w14:textId="77777777" w:rsidR="00322AE9" w:rsidRPr="00322AE9" w:rsidRDefault="00322AE9" w:rsidP="00322AE9">
            <w:pPr>
              <w:suppressAutoHyphens/>
              <w:adjustRightInd w:val="0"/>
              <w:ind w:firstLine="0"/>
              <w:jc w:val="center"/>
              <w:textAlignment w:val="baseline"/>
              <w:rPr>
                <w:rFonts w:eastAsia="Times New Roman" w:cs="Times New Roman"/>
                <w:color w:val="000000"/>
                <w:spacing w:val="-5"/>
                <w:sz w:val="22"/>
              </w:rPr>
            </w:pPr>
            <w:r w:rsidRPr="00322AE9">
              <w:rPr>
                <w:rFonts w:eastAsia="Times New Roman" w:cs="Times New Roman"/>
                <w:color w:val="000000"/>
                <w:spacing w:val="-5"/>
                <w:sz w:val="22"/>
              </w:rPr>
              <w:t>КС-10</w:t>
            </w:r>
          </w:p>
        </w:tc>
        <w:tc>
          <w:tcPr>
            <w:tcW w:w="461" w:type="pct"/>
            <w:gridSpan w:val="3"/>
            <w:tcBorders>
              <w:top w:val="nil"/>
              <w:left w:val="nil"/>
              <w:bottom w:val="single" w:sz="4" w:space="0" w:color="auto"/>
              <w:right w:val="single" w:sz="4" w:space="0" w:color="auto"/>
            </w:tcBorders>
            <w:shd w:val="clear" w:color="auto" w:fill="auto"/>
            <w:noWrap/>
            <w:vAlign w:val="bottom"/>
            <w:hideMark/>
          </w:tcPr>
          <w:p w14:paraId="6184F1A5" w14:textId="77777777" w:rsidR="00322AE9" w:rsidRPr="00322AE9" w:rsidRDefault="00322AE9" w:rsidP="00322AE9">
            <w:pPr>
              <w:suppressAutoHyphens/>
              <w:adjustRightInd w:val="0"/>
              <w:ind w:firstLine="0"/>
              <w:jc w:val="center"/>
              <w:textAlignment w:val="baseline"/>
              <w:rPr>
                <w:rFonts w:eastAsia="Times New Roman" w:cs="Times New Roman"/>
                <w:color w:val="000000"/>
                <w:spacing w:val="-5"/>
                <w:sz w:val="22"/>
              </w:rPr>
            </w:pPr>
            <w:r w:rsidRPr="00322AE9">
              <w:rPr>
                <w:rFonts w:eastAsia="Times New Roman" w:cs="Times New Roman"/>
                <w:color w:val="000000"/>
                <w:spacing w:val="-5"/>
                <w:sz w:val="22"/>
              </w:rPr>
              <w:t>КС-11</w:t>
            </w:r>
          </w:p>
        </w:tc>
        <w:tc>
          <w:tcPr>
            <w:tcW w:w="376" w:type="pct"/>
            <w:gridSpan w:val="2"/>
            <w:tcBorders>
              <w:top w:val="nil"/>
              <w:left w:val="nil"/>
              <w:bottom w:val="single" w:sz="4" w:space="0" w:color="auto"/>
              <w:right w:val="single" w:sz="4" w:space="0" w:color="auto"/>
            </w:tcBorders>
            <w:shd w:val="clear" w:color="auto" w:fill="auto"/>
            <w:noWrap/>
            <w:vAlign w:val="bottom"/>
            <w:hideMark/>
          </w:tcPr>
          <w:p w14:paraId="44372C18" w14:textId="77777777" w:rsidR="00322AE9" w:rsidRPr="00322AE9" w:rsidRDefault="00322AE9" w:rsidP="00322AE9">
            <w:pPr>
              <w:suppressAutoHyphens/>
              <w:adjustRightInd w:val="0"/>
              <w:ind w:firstLine="0"/>
              <w:jc w:val="center"/>
              <w:textAlignment w:val="baseline"/>
              <w:rPr>
                <w:rFonts w:eastAsia="Times New Roman" w:cs="Times New Roman"/>
                <w:color w:val="000000"/>
                <w:spacing w:val="-5"/>
                <w:sz w:val="22"/>
              </w:rPr>
            </w:pPr>
            <w:r w:rsidRPr="00322AE9">
              <w:rPr>
                <w:rFonts w:eastAsia="Times New Roman" w:cs="Times New Roman"/>
                <w:color w:val="000000"/>
                <w:spacing w:val="-5"/>
                <w:sz w:val="22"/>
              </w:rPr>
              <w:t>КС-12</w:t>
            </w:r>
          </w:p>
        </w:tc>
        <w:tc>
          <w:tcPr>
            <w:tcW w:w="305" w:type="pct"/>
            <w:gridSpan w:val="3"/>
            <w:tcBorders>
              <w:top w:val="nil"/>
              <w:left w:val="nil"/>
              <w:bottom w:val="single" w:sz="4" w:space="0" w:color="auto"/>
              <w:right w:val="single" w:sz="4" w:space="0" w:color="auto"/>
            </w:tcBorders>
            <w:shd w:val="clear" w:color="auto" w:fill="auto"/>
            <w:noWrap/>
            <w:vAlign w:val="bottom"/>
            <w:hideMark/>
          </w:tcPr>
          <w:p w14:paraId="13A376CE" w14:textId="77777777" w:rsidR="00322AE9" w:rsidRPr="00322AE9" w:rsidRDefault="00322AE9" w:rsidP="00322AE9">
            <w:pPr>
              <w:suppressAutoHyphens/>
              <w:adjustRightInd w:val="0"/>
              <w:ind w:firstLine="0"/>
              <w:jc w:val="center"/>
              <w:textAlignment w:val="baseline"/>
              <w:rPr>
                <w:rFonts w:eastAsia="Times New Roman" w:cs="Times New Roman"/>
                <w:color w:val="000000"/>
                <w:spacing w:val="-5"/>
                <w:sz w:val="22"/>
              </w:rPr>
            </w:pPr>
            <w:r w:rsidRPr="00322AE9">
              <w:rPr>
                <w:rFonts w:eastAsia="Times New Roman" w:cs="Times New Roman"/>
                <w:color w:val="000000"/>
                <w:spacing w:val="-5"/>
                <w:sz w:val="22"/>
              </w:rPr>
              <w:t>КС-13</w:t>
            </w:r>
          </w:p>
        </w:tc>
        <w:tc>
          <w:tcPr>
            <w:tcW w:w="278" w:type="pct"/>
            <w:tcBorders>
              <w:top w:val="nil"/>
              <w:left w:val="nil"/>
              <w:bottom w:val="single" w:sz="4" w:space="0" w:color="auto"/>
              <w:right w:val="single" w:sz="4" w:space="0" w:color="auto"/>
            </w:tcBorders>
            <w:shd w:val="clear" w:color="auto" w:fill="auto"/>
            <w:noWrap/>
            <w:vAlign w:val="bottom"/>
            <w:hideMark/>
          </w:tcPr>
          <w:p w14:paraId="01116766" w14:textId="77777777" w:rsidR="00322AE9" w:rsidRPr="00322AE9" w:rsidRDefault="00322AE9" w:rsidP="00322AE9">
            <w:pPr>
              <w:suppressAutoHyphens/>
              <w:adjustRightInd w:val="0"/>
              <w:ind w:firstLine="0"/>
              <w:jc w:val="center"/>
              <w:textAlignment w:val="baseline"/>
              <w:rPr>
                <w:rFonts w:eastAsia="Times New Roman" w:cs="Times New Roman"/>
                <w:color w:val="000000"/>
                <w:spacing w:val="-5"/>
                <w:sz w:val="22"/>
              </w:rPr>
            </w:pPr>
            <w:r w:rsidRPr="00322AE9">
              <w:rPr>
                <w:rFonts w:eastAsia="Times New Roman" w:cs="Times New Roman"/>
                <w:color w:val="000000"/>
                <w:spacing w:val="-5"/>
                <w:sz w:val="22"/>
              </w:rPr>
              <w:t>КС-14</w:t>
            </w:r>
          </w:p>
        </w:tc>
        <w:tc>
          <w:tcPr>
            <w:tcW w:w="438" w:type="pct"/>
            <w:gridSpan w:val="3"/>
            <w:tcBorders>
              <w:top w:val="nil"/>
              <w:left w:val="nil"/>
              <w:bottom w:val="single" w:sz="4" w:space="0" w:color="auto"/>
              <w:right w:val="single" w:sz="4" w:space="0" w:color="auto"/>
            </w:tcBorders>
            <w:shd w:val="clear" w:color="auto" w:fill="auto"/>
            <w:noWrap/>
            <w:vAlign w:val="bottom"/>
            <w:hideMark/>
          </w:tcPr>
          <w:p w14:paraId="13B86E21" w14:textId="77777777" w:rsidR="00322AE9" w:rsidRPr="00322AE9" w:rsidRDefault="00322AE9" w:rsidP="00322AE9">
            <w:pPr>
              <w:suppressAutoHyphens/>
              <w:adjustRightInd w:val="0"/>
              <w:ind w:firstLine="0"/>
              <w:jc w:val="center"/>
              <w:textAlignment w:val="baseline"/>
              <w:rPr>
                <w:rFonts w:eastAsia="Times New Roman" w:cs="Times New Roman"/>
                <w:color w:val="000000"/>
                <w:spacing w:val="-5"/>
                <w:sz w:val="22"/>
              </w:rPr>
            </w:pPr>
            <w:r w:rsidRPr="00322AE9">
              <w:rPr>
                <w:rFonts w:eastAsia="Times New Roman" w:cs="Times New Roman"/>
                <w:color w:val="000000"/>
                <w:spacing w:val="-5"/>
                <w:sz w:val="22"/>
              </w:rPr>
              <w:t>КС-15</w:t>
            </w:r>
          </w:p>
        </w:tc>
        <w:tc>
          <w:tcPr>
            <w:tcW w:w="369" w:type="pct"/>
            <w:gridSpan w:val="3"/>
            <w:tcBorders>
              <w:top w:val="nil"/>
              <w:left w:val="nil"/>
              <w:bottom w:val="single" w:sz="4" w:space="0" w:color="auto"/>
              <w:right w:val="single" w:sz="4" w:space="0" w:color="auto"/>
            </w:tcBorders>
            <w:shd w:val="clear" w:color="auto" w:fill="auto"/>
            <w:noWrap/>
            <w:vAlign w:val="bottom"/>
            <w:hideMark/>
          </w:tcPr>
          <w:p w14:paraId="256592B3" w14:textId="77777777" w:rsidR="00322AE9" w:rsidRPr="00322AE9" w:rsidRDefault="00322AE9" w:rsidP="00322AE9">
            <w:pPr>
              <w:suppressAutoHyphens/>
              <w:adjustRightInd w:val="0"/>
              <w:ind w:firstLine="0"/>
              <w:jc w:val="center"/>
              <w:textAlignment w:val="baseline"/>
              <w:rPr>
                <w:rFonts w:eastAsia="Times New Roman" w:cs="Times New Roman"/>
                <w:color w:val="000000"/>
                <w:spacing w:val="-5"/>
                <w:sz w:val="22"/>
              </w:rPr>
            </w:pPr>
            <w:r w:rsidRPr="00322AE9">
              <w:rPr>
                <w:rFonts w:eastAsia="Times New Roman" w:cs="Times New Roman"/>
                <w:color w:val="000000"/>
                <w:spacing w:val="-5"/>
                <w:sz w:val="22"/>
              </w:rPr>
              <w:t>КС-16</w:t>
            </w:r>
          </w:p>
        </w:tc>
        <w:tc>
          <w:tcPr>
            <w:tcW w:w="398" w:type="pct"/>
            <w:gridSpan w:val="2"/>
            <w:tcBorders>
              <w:top w:val="nil"/>
              <w:left w:val="nil"/>
              <w:bottom w:val="single" w:sz="4" w:space="0" w:color="auto"/>
              <w:right w:val="single" w:sz="4" w:space="0" w:color="auto"/>
            </w:tcBorders>
            <w:shd w:val="clear" w:color="auto" w:fill="auto"/>
            <w:noWrap/>
            <w:vAlign w:val="bottom"/>
            <w:hideMark/>
          </w:tcPr>
          <w:p w14:paraId="44B9B089" w14:textId="77777777" w:rsidR="00322AE9" w:rsidRPr="00322AE9" w:rsidRDefault="00322AE9" w:rsidP="00322AE9">
            <w:pPr>
              <w:suppressAutoHyphens/>
              <w:adjustRightInd w:val="0"/>
              <w:ind w:firstLine="0"/>
              <w:jc w:val="center"/>
              <w:textAlignment w:val="baseline"/>
              <w:rPr>
                <w:rFonts w:eastAsia="Times New Roman" w:cs="Times New Roman"/>
                <w:color w:val="000000"/>
                <w:spacing w:val="-5"/>
                <w:sz w:val="22"/>
              </w:rPr>
            </w:pPr>
            <w:r w:rsidRPr="00322AE9">
              <w:rPr>
                <w:rFonts w:eastAsia="Times New Roman" w:cs="Times New Roman"/>
                <w:color w:val="000000"/>
                <w:spacing w:val="-5"/>
                <w:sz w:val="22"/>
              </w:rPr>
              <w:t>КС-16</w:t>
            </w:r>
          </w:p>
        </w:tc>
      </w:tr>
      <w:tr w:rsidR="00322AE9" w:rsidRPr="00322AE9" w14:paraId="0EF354DF" w14:textId="77777777" w:rsidTr="00322AE9">
        <w:trPr>
          <w:gridAfter w:val="1"/>
          <w:wAfter w:w="4" w:type="pct"/>
          <w:trHeight w:val="300"/>
        </w:trPr>
        <w:tc>
          <w:tcPr>
            <w:tcW w:w="4996" w:type="pct"/>
            <w:gridSpan w:val="25"/>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70B1361" w14:textId="77777777" w:rsidR="00322AE9" w:rsidRPr="00322AE9" w:rsidRDefault="00322AE9" w:rsidP="00322AE9">
            <w:pPr>
              <w:suppressAutoHyphens/>
              <w:adjustRightInd w:val="0"/>
              <w:ind w:firstLine="567"/>
              <w:jc w:val="center"/>
              <w:textAlignment w:val="baseline"/>
              <w:rPr>
                <w:rFonts w:eastAsia="Times New Roman" w:cs="Times New Roman"/>
                <w:color w:val="000000"/>
                <w:spacing w:val="-5"/>
                <w:sz w:val="22"/>
              </w:rPr>
            </w:pPr>
            <w:r w:rsidRPr="00322AE9">
              <w:rPr>
                <w:rFonts w:eastAsia="Times New Roman" w:cs="Times New Roman"/>
                <w:color w:val="000000"/>
                <w:spacing w:val="-5"/>
                <w:sz w:val="22"/>
              </w:rPr>
              <w:t>Дальневосточный район</w:t>
            </w:r>
          </w:p>
        </w:tc>
      </w:tr>
      <w:tr w:rsidR="00322AE9" w:rsidRPr="00322AE9" w14:paraId="7867D689" w14:textId="77777777" w:rsidTr="00322AE9">
        <w:trPr>
          <w:gridAfter w:val="1"/>
          <w:wAfter w:w="4" w:type="pct"/>
          <w:trHeight w:val="300"/>
        </w:trPr>
        <w:tc>
          <w:tcPr>
            <w:tcW w:w="736" w:type="pct"/>
            <w:tcBorders>
              <w:top w:val="nil"/>
              <w:left w:val="single" w:sz="4" w:space="0" w:color="auto"/>
              <w:bottom w:val="single" w:sz="4" w:space="0" w:color="auto"/>
              <w:right w:val="single" w:sz="4" w:space="0" w:color="auto"/>
            </w:tcBorders>
            <w:shd w:val="clear" w:color="auto" w:fill="auto"/>
            <w:noWrap/>
            <w:vAlign w:val="bottom"/>
            <w:hideMark/>
          </w:tcPr>
          <w:p w14:paraId="280BA051" w14:textId="77777777" w:rsidR="00322AE9" w:rsidRPr="00322AE9" w:rsidRDefault="00322AE9" w:rsidP="00322AE9">
            <w:pPr>
              <w:suppressAutoHyphens/>
              <w:adjustRightInd w:val="0"/>
              <w:ind w:firstLine="0"/>
              <w:jc w:val="left"/>
              <w:textAlignment w:val="baseline"/>
              <w:rPr>
                <w:rFonts w:eastAsia="Times New Roman" w:cs="Times New Roman"/>
                <w:color w:val="000000"/>
                <w:spacing w:val="-5"/>
                <w:sz w:val="22"/>
              </w:rPr>
            </w:pPr>
            <w:r w:rsidRPr="00322AE9">
              <w:rPr>
                <w:rFonts w:eastAsia="Times New Roman" w:cs="Times New Roman"/>
                <w:color w:val="000000"/>
                <w:spacing w:val="-5"/>
                <w:sz w:val="22"/>
              </w:rPr>
              <w:t>Республика Саха (Якутия)*</w:t>
            </w:r>
          </w:p>
        </w:tc>
        <w:tc>
          <w:tcPr>
            <w:tcW w:w="389" w:type="pct"/>
            <w:gridSpan w:val="2"/>
            <w:tcBorders>
              <w:top w:val="nil"/>
              <w:left w:val="nil"/>
              <w:bottom w:val="single" w:sz="4" w:space="0" w:color="auto"/>
              <w:right w:val="single" w:sz="4" w:space="0" w:color="auto"/>
            </w:tcBorders>
            <w:shd w:val="clear" w:color="auto" w:fill="auto"/>
            <w:noWrap/>
            <w:vAlign w:val="center"/>
            <w:hideMark/>
          </w:tcPr>
          <w:p w14:paraId="61120AD5" w14:textId="77777777" w:rsidR="00322AE9" w:rsidRPr="00322AE9" w:rsidRDefault="00322AE9" w:rsidP="00322AE9">
            <w:pPr>
              <w:suppressAutoHyphens/>
              <w:adjustRightInd w:val="0"/>
              <w:ind w:firstLine="0"/>
              <w:jc w:val="center"/>
              <w:textAlignment w:val="baseline"/>
              <w:rPr>
                <w:rFonts w:eastAsia="Times New Roman" w:cs="Times New Roman"/>
                <w:color w:val="000000"/>
                <w:spacing w:val="-5"/>
                <w:sz w:val="22"/>
              </w:rPr>
            </w:pPr>
            <w:r w:rsidRPr="00322AE9">
              <w:rPr>
                <w:rFonts w:eastAsia="Times New Roman" w:cs="Times New Roman"/>
                <w:color w:val="000000"/>
                <w:spacing w:val="-5"/>
                <w:sz w:val="22"/>
              </w:rPr>
              <w:t>1,742</w:t>
            </w:r>
          </w:p>
        </w:tc>
        <w:tc>
          <w:tcPr>
            <w:tcW w:w="621" w:type="pct"/>
            <w:gridSpan w:val="2"/>
            <w:tcBorders>
              <w:top w:val="nil"/>
              <w:left w:val="nil"/>
              <w:bottom w:val="single" w:sz="4" w:space="0" w:color="auto"/>
              <w:right w:val="single" w:sz="4" w:space="0" w:color="auto"/>
            </w:tcBorders>
            <w:shd w:val="clear" w:color="auto" w:fill="auto"/>
            <w:noWrap/>
            <w:vAlign w:val="center"/>
            <w:hideMark/>
          </w:tcPr>
          <w:p w14:paraId="0C366B31" w14:textId="77777777" w:rsidR="00322AE9" w:rsidRPr="00322AE9" w:rsidRDefault="00322AE9" w:rsidP="00322AE9">
            <w:pPr>
              <w:suppressAutoHyphens/>
              <w:adjustRightInd w:val="0"/>
              <w:ind w:firstLine="0"/>
              <w:jc w:val="center"/>
              <w:textAlignment w:val="baseline"/>
              <w:rPr>
                <w:rFonts w:eastAsia="Times New Roman" w:cs="Times New Roman"/>
                <w:color w:val="000000"/>
                <w:spacing w:val="-5"/>
                <w:sz w:val="22"/>
              </w:rPr>
            </w:pPr>
            <w:r w:rsidRPr="00322AE9">
              <w:rPr>
                <w:rFonts w:eastAsia="Times New Roman" w:cs="Times New Roman"/>
                <w:color w:val="000000"/>
                <w:spacing w:val="-5"/>
                <w:sz w:val="22"/>
              </w:rPr>
              <w:t>1,75</w:t>
            </w:r>
          </w:p>
        </w:tc>
        <w:tc>
          <w:tcPr>
            <w:tcW w:w="255" w:type="pct"/>
            <w:gridSpan w:val="2"/>
            <w:tcBorders>
              <w:top w:val="nil"/>
              <w:left w:val="nil"/>
              <w:bottom w:val="single" w:sz="4" w:space="0" w:color="auto"/>
              <w:right w:val="single" w:sz="4" w:space="0" w:color="auto"/>
            </w:tcBorders>
            <w:shd w:val="clear" w:color="auto" w:fill="auto"/>
            <w:noWrap/>
            <w:vAlign w:val="center"/>
            <w:hideMark/>
          </w:tcPr>
          <w:p w14:paraId="1EBAFA2A" w14:textId="77777777" w:rsidR="00322AE9" w:rsidRPr="00322AE9" w:rsidRDefault="00322AE9" w:rsidP="00322AE9">
            <w:pPr>
              <w:suppressAutoHyphens/>
              <w:adjustRightInd w:val="0"/>
              <w:ind w:firstLine="0"/>
              <w:jc w:val="center"/>
              <w:textAlignment w:val="baseline"/>
              <w:rPr>
                <w:rFonts w:eastAsia="Times New Roman" w:cs="Times New Roman"/>
                <w:color w:val="000000"/>
                <w:spacing w:val="-5"/>
                <w:sz w:val="22"/>
              </w:rPr>
            </w:pPr>
            <w:r w:rsidRPr="00322AE9">
              <w:rPr>
                <w:rFonts w:eastAsia="Times New Roman" w:cs="Times New Roman"/>
                <w:color w:val="000000"/>
                <w:spacing w:val="-5"/>
                <w:sz w:val="22"/>
              </w:rPr>
              <w:t>1,942</w:t>
            </w:r>
          </w:p>
        </w:tc>
        <w:tc>
          <w:tcPr>
            <w:tcW w:w="371" w:type="pct"/>
            <w:tcBorders>
              <w:top w:val="nil"/>
              <w:left w:val="nil"/>
              <w:bottom w:val="single" w:sz="4" w:space="0" w:color="auto"/>
              <w:right w:val="single" w:sz="4" w:space="0" w:color="auto"/>
            </w:tcBorders>
            <w:shd w:val="clear" w:color="auto" w:fill="auto"/>
            <w:noWrap/>
            <w:vAlign w:val="center"/>
            <w:hideMark/>
          </w:tcPr>
          <w:p w14:paraId="061BDC0D" w14:textId="77777777" w:rsidR="00322AE9" w:rsidRPr="00322AE9" w:rsidRDefault="00322AE9" w:rsidP="00322AE9">
            <w:pPr>
              <w:suppressAutoHyphens/>
              <w:adjustRightInd w:val="0"/>
              <w:ind w:firstLine="0"/>
              <w:jc w:val="center"/>
              <w:textAlignment w:val="baseline"/>
              <w:rPr>
                <w:rFonts w:eastAsia="Times New Roman" w:cs="Times New Roman"/>
                <w:color w:val="000000"/>
                <w:spacing w:val="-5"/>
                <w:sz w:val="22"/>
              </w:rPr>
            </w:pPr>
            <w:r w:rsidRPr="00322AE9">
              <w:rPr>
                <w:rFonts w:eastAsia="Times New Roman" w:cs="Times New Roman"/>
                <w:color w:val="000000"/>
                <w:spacing w:val="-5"/>
                <w:sz w:val="22"/>
              </w:rPr>
              <w:t>1,585</w:t>
            </w:r>
          </w:p>
        </w:tc>
        <w:tc>
          <w:tcPr>
            <w:tcW w:w="461" w:type="pct"/>
            <w:gridSpan w:val="3"/>
            <w:tcBorders>
              <w:top w:val="nil"/>
              <w:left w:val="nil"/>
              <w:bottom w:val="single" w:sz="4" w:space="0" w:color="auto"/>
              <w:right w:val="single" w:sz="4" w:space="0" w:color="auto"/>
            </w:tcBorders>
            <w:shd w:val="clear" w:color="auto" w:fill="auto"/>
            <w:noWrap/>
            <w:vAlign w:val="center"/>
            <w:hideMark/>
          </w:tcPr>
          <w:p w14:paraId="75D59A70" w14:textId="77777777" w:rsidR="00322AE9" w:rsidRPr="00322AE9" w:rsidRDefault="00322AE9" w:rsidP="00322AE9">
            <w:pPr>
              <w:suppressAutoHyphens/>
              <w:adjustRightInd w:val="0"/>
              <w:ind w:firstLine="0"/>
              <w:jc w:val="center"/>
              <w:textAlignment w:val="baseline"/>
              <w:rPr>
                <w:rFonts w:eastAsia="Times New Roman" w:cs="Times New Roman"/>
                <w:color w:val="000000"/>
                <w:spacing w:val="-5"/>
                <w:sz w:val="22"/>
              </w:rPr>
            </w:pPr>
            <w:r w:rsidRPr="00322AE9">
              <w:rPr>
                <w:rFonts w:eastAsia="Times New Roman" w:cs="Times New Roman"/>
                <w:color w:val="000000"/>
                <w:spacing w:val="-5"/>
                <w:sz w:val="22"/>
              </w:rPr>
              <w:t>1,527</w:t>
            </w:r>
          </w:p>
        </w:tc>
        <w:tc>
          <w:tcPr>
            <w:tcW w:w="376" w:type="pct"/>
            <w:gridSpan w:val="2"/>
            <w:tcBorders>
              <w:top w:val="nil"/>
              <w:left w:val="nil"/>
              <w:bottom w:val="single" w:sz="4" w:space="0" w:color="auto"/>
              <w:right w:val="single" w:sz="4" w:space="0" w:color="auto"/>
            </w:tcBorders>
            <w:shd w:val="clear" w:color="auto" w:fill="auto"/>
            <w:noWrap/>
            <w:vAlign w:val="center"/>
            <w:hideMark/>
          </w:tcPr>
          <w:p w14:paraId="1E92B1FA" w14:textId="77777777" w:rsidR="00322AE9" w:rsidRPr="00322AE9" w:rsidRDefault="00322AE9" w:rsidP="00322AE9">
            <w:pPr>
              <w:suppressAutoHyphens/>
              <w:adjustRightInd w:val="0"/>
              <w:ind w:firstLine="0"/>
              <w:jc w:val="center"/>
              <w:textAlignment w:val="baseline"/>
              <w:rPr>
                <w:rFonts w:eastAsia="Times New Roman" w:cs="Times New Roman"/>
                <w:color w:val="000000"/>
                <w:spacing w:val="-5"/>
                <w:sz w:val="22"/>
              </w:rPr>
            </w:pPr>
            <w:r w:rsidRPr="00322AE9">
              <w:rPr>
                <w:rFonts w:eastAsia="Times New Roman" w:cs="Times New Roman"/>
                <w:color w:val="000000"/>
                <w:spacing w:val="-5"/>
                <w:sz w:val="22"/>
              </w:rPr>
              <w:t>1,666</w:t>
            </w:r>
          </w:p>
        </w:tc>
        <w:tc>
          <w:tcPr>
            <w:tcW w:w="305" w:type="pct"/>
            <w:gridSpan w:val="3"/>
            <w:tcBorders>
              <w:top w:val="nil"/>
              <w:left w:val="nil"/>
              <w:bottom w:val="single" w:sz="4" w:space="0" w:color="auto"/>
              <w:right w:val="single" w:sz="4" w:space="0" w:color="auto"/>
            </w:tcBorders>
            <w:shd w:val="clear" w:color="auto" w:fill="auto"/>
            <w:noWrap/>
            <w:vAlign w:val="center"/>
            <w:hideMark/>
          </w:tcPr>
          <w:p w14:paraId="7CC27DE3" w14:textId="77777777" w:rsidR="00322AE9" w:rsidRPr="00322AE9" w:rsidRDefault="00322AE9" w:rsidP="00322AE9">
            <w:pPr>
              <w:suppressAutoHyphens/>
              <w:adjustRightInd w:val="0"/>
              <w:ind w:firstLine="0"/>
              <w:jc w:val="center"/>
              <w:textAlignment w:val="baseline"/>
              <w:rPr>
                <w:rFonts w:eastAsia="Times New Roman" w:cs="Times New Roman"/>
                <w:color w:val="000000"/>
                <w:spacing w:val="-5"/>
                <w:sz w:val="22"/>
              </w:rPr>
            </w:pPr>
            <w:r w:rsidRPr="00322AE9">
              <w:rPr>
                <w:rFonts w:eastAsia="Times New Roman" w:cs="Times New Roman"/>
                <w:color w:val="000000"/>
                <w:spacing w:val="-5"/>
                <w:sz w:val="22"/>
              </w:rPr>
              <w:t>1,889</w:t>
            </w:r>
          </w:p>
        </w:tc>
        <w:tc>
          <w:tcPr>
            <w:tcW w:w="278" w:type="pct"/>
            <w:tcBorders>
              <w:top w:val="nil"/>
              <w:left w:val="nil"/>
              <w:bottom w:val="single" w:sz="4" w:space="0" w:color="auto"/>
              <w:right w:val="single" w:sz="4" w:space="0" w:color="auto"/>
            </w:tcBorders>
            <w:shd w:val="clear" w:color="auto" w:fill="auto"/>
            <w:noWrap/>
            <w:vAlign w:val="center"/>
            <w:hideMark/>
          </w:tcPr>
          <w:p w14:paraId="4C6464E6" w14:textId="77777777" w:rsidR="00322AE9" w:rsidRPr="00322AE9" w:rsidRDefault="00322AE9" w:rsidP="00322AE9">
            <w:pPr>
              <w:suppressAutoHyphens/>
              <w:adjustRightInd w:val="0"/>
              <w:ind w:firstLine="0"/>
              <w:jc w:val="center"/>
              <w:textAlignment w:val="baseline"/>
              <w:rPr>
                <w:rFonts w:eastAsia="Times New Roman" w:cs="Times New Roman"/>
                <w:color w:val="000000"/>
                <w:spacing w:val="-5"/>
                <w:sz w:val="22"/>
              </w:rPr>
            </w:pPr>
            <w:r w:rsidRPr="00322AE9">
              <w:rPr>
                <w:rFonts w:eastAsia="Times New Roman" w:cs="Times New Roman"/>
                <w:color w:val="000000"/>
                <w:spacing w:val="-5"/>
                <w:sz w:val="22"/>
              </w:rPr>
              <w:t>1,747</w:t>
            </w:r>
          </w:p>
        </w:tc>
        <w:tc>
          <w:tcPr>
            <w:tcW w:w="438" w:type="pct"/>
            <w:gridSpan w:val="3"/>
            <w:tcBorders>
              <w:top w:val="nil"/>
              <w:left w:val="nil"/>
              <w:bottom w:val="single" w:sz="4" w:space="0" w:color="auto"/>
              <w:right w:val="single" w:sz="4" w:space="0" w:color="auto"/>
            </w:tcBorders>
            <w:shd w:val="clear" w:color="auto" w:fill="auto"/>
            <w:noWrap/>
            <w:vAlign w:val="center"/>
            <w:hideMark/>
          </w:tcPr>
          <w:p w14:paraId="427FBA13" w14:textId="77777777" w:rsidR="00322AE9" w:rsidRPr="00322AE9" w:rsidRDefault="00322AE9" w:rsidP="00322AE9">
            <w:pPr>
              <w:suppressAutoHyphens/>
              <w:adjustRightInd w:val="0"/>
              <w:ind w:firstLine="0"/>
              <w:jc w:val="center"/>
              <w:textAlignment w:val="baseline"/>
              <w:rPr>
                <w:rFonts w:eastAsia="Times New Roman" w:cs="Times New Roman"/>
                <w:color w:val="000000"/>
                <w:spacing w:val="-5"/>
                <w:sz w:val="22"/>
              </w:rPr>
            </w:pPr>
            <w:r w:rsidRPr="00322AE9">
              <w:rPr>
                <w:rFonts w:eastAsia="Times New Roman" w:cs="Times New Roman"/>
                <w:color w:val="000000"/>
                <w:spacing w:val="-5"/>
                <w:sz w:val="22"/>
              </w:rPr>
              <w:t>1,646</w:t>
            </w:r>
          </w:p>
        </w:tc>
        <w:tc>
          <w:tcPr>
            <w:tcW w:w="369" w:type="pct"/>
            <w:gridSpan w:val="3"/>
            <w:tcBorders>
              <w:top w:val="nil"/>
              <w:left w:val="nil"/>
              <w:bottom w:val="single" w:sz="4" w:space="0" w:color="auto"/>
              <w:right w:val="single" w:sz="4" w:space="0" w:color="auto"/>
            </w:tcBorders>
            <w:shd w:val="clear" w:color="auto" w:fill="auto"/>
            <w:noWrap/>
            <w:vAlign w:val="center"/>
            <w:hideMark/>
          </w:tcPr>
          <w:p w14:paraId="391241AC" w14:textId="77777777" w:rsidR="00322AE9" w:rsidRPr="00322AE9" w:rsidRDefault="00322AE9" w:rsidP="00322AE9">
            <w:pPr>
              <w:suppressAutoHyphens/>
              <w:adjustRightInd w:val="0"/>
              <w:ind w:firstLine="0"/>
              <w:jc w:val="center"/>
              <w:textAlignment w:val="baseline"/>
              <w:rPr>
                <w:rFonts w:eastAsia="Times New Roman" w:cs="Times New Roman"/>
                <w:color w:val="000000"/>
                <w:spacing w:val="-5"/>
                <w:sz w:val="22"/>
              </w:rPr>
            </w:pPr>
            <w:r w:rsidRPr="00322AE9">
              <w:rPr>
                <w:rFonts w:eastAsia="Times New Roman" w:cs="Times New Roman"/>
                <w:color w:val="000000"/>
                <w:spacing w:val="-5"/>
                <w:sz w:val="22"/>
              </w:rPr>
              <w:t>1,476</w:t>
            </w:r>
          </w:p>
        </w:tc>
        <w:tc>
          <w:tcPr>
            <w:tcW w:w="398" w:type="pct"/>
            <w:gridSpan w:val="2"/>
            <w:tcBorders>
              <w:top w:val="nil"/>
              <w:left w:val="nil"/>
              <w:bottom w:val="single" w:sz="4" w:space="0" w:color="auto"/>
              <w:right w:val="single" w:sz="4" w:space="0" w:color="auto"/>
            </w:tcBorders>
            <w:shd w:val="clear" w:color="auto" w:fill="auto"/>
            <w:noWrap/>
            <w:vAlign w:val="center"/>
            <w:hideMark/>
          </w:tcPr>
          <w:p w14:paraId="0C6E2400" w14:textId="77777777" w:rsidR="00322AE9" w:rsidRPr="00322AE9" w:rsidRDefault="00322AE9" w:rsidP="00322AE9">
            <w:pPr>
              <w:suppressAutoHyphens/>
              <w:adjustRightInd w:val="0"/>
              <w:ind w:firstLine="0"/>
              <w:jc w:val="center"/>
              <w:textAlignment w:val="baseline"/>
              <w:rPr>
                <w:rFonts w:eastAsia="Times New Roman" w:cs="Times New Roman"/>
                <w:color w:val="000000"/>
                <w:spacing w:val="-5"/>
                <w:sz w:val="22"/>
              </w:rPr>
            </w:pPr>
            <w:r w:rsidRPr="00322AE9">
              <w:rPr>
                <w:rFonts w:eastAsia="Times New Roman" w:cs="Times New Roman"/>
                <w:color w:val="000000"/>
                <w:spacing w:val="-5"/>
                <w:sz w:val="22"/>
              </w:rPr>
              <w:t>1,476</w:t>
            </w:r>
          </w:p>
        </w:tc>
      </w:tr>
    </w:tbl>
    <w:p w14:paraId="48E461C3" w14:textId="77777777" w:rsidR="00322AE9" w:rsidRPr="00322AE9" w:rsidRDefault="00322AE9" w:rsidP="00322AE9">
      <w:pPr>
        <w:suppressAutoHyphens/>
        <w:adjustRightInd w:val="0"/>
        <w:ind w:firstLine="708"/>
        <w:textAlignment w:val="baseline"/>
        <w:rPr>
          <w:rFonts w:eastAsia="Times New Roman" w:cs="Times New Roman"/>
          <w:b/>
          <w:spacing w:val="-5"/>
          <w:szCs w:val="24"/>
        </w:rPr>
        <w:sectPr w:rsidR="00322AE9" w:rsidRPr="00322AE9" w:rsidSect="00322AE9">
          <w:pgSz w:w="16838" w:h="11906" w:orient="landscape"/>
          <w:pgMar w:top="1701" w:right="1134" w:bottom="567" w:left="1134" w:header="709" w:footer="709" w:gutter="0"/>
          <w:cols w:space="708"/>
          <w:docGrid w:linePitch="360"/>
        </w:sectPr>
      </w:pPr>
    </w:p>
    <w:p w14:paraId="7C87499B" w14:textId="77777777" w:rsidR="00322AE9" w:rsidRPr="00322AE9" w:rsidRDefault="00322AE9" w:rsidP="00322AE9">
      <w:pPr>
        <w:ind w:firstLine="708"/>
        <w:rPr>
          <w:rFonts w:eastAsia="Times New Roman" w:cs="Times New Roman"/>
          <w:b/>
          <w:bCs/>
          <w:color w:val="000000"/>
          <w:szCs w:val="18"/>
          <w:lang w:eastAsia="ru-RU"/>
        </w:rPr>
      </w:pPr>
      <w:r w:rsidRPr="00322AE9">
        <w:rPr>
          <w:rFonts w:eastAsia="Times New Roman" w:cs="Times New Roman"/>
          <w:b/>
          <w:bCs/>
          <w:color w:val="000000"/>
          <w:szCs w:val="18"/>
          <w:lang w:eastAsia="ru-RU"/>
        </w:rPr>
        <w:t>Повышающий коэффициент для краев и областей расположенных севернее Полярного круга</w:t>
      </w:r>
    </w:p>
    <w:p w14:paraId="6D1FC25B" w14:textId="77777777" w:rsidR="00322AE9" w:rsidRPr="00322AE9" w:rsidRDefault="00322AE9" w:rsidP="00322AE9">
      <w:pPr>
        <w:suppressAutoHyphens/>
        <w:adjustRightInd w:val="0"/>
        <w:ind w:firstLine="709"/>
        <w:textAlignment w:val="baseline"/>
        <w:rPr>
          <w:rFonts w:eastAsia="Times New Roman" w:cs="Times New Roman"/>
          <w:spacing w:val="-5"/>
          <w:szCs w:val="24"/>
        </w:rPr>
      </w:pPr>
      <w:r w:rsidRPr="00322AE9">
        <w:rPr>
          <w:rFonts w:eastAsia="Times New Roman" w:cs="Times New Roman"/>
          <w:spacing w:val="-5"/>
          <w:szCs w:val="24"/>
        </w:rPr>
        <w:t>Для расположенных севернее Полярного круга территорий тех краев и областей на основании справочников КО-ИНВЕСТ дополнительно применять повышающий коэффициент 1,2. К ним относятся Муниципальные районы, такие как Аллаиховский, Анабарский, Булунский, Нижнеколымский, Усть-Янский.</w:t>
      </w:r>
    </w:p>
    <w:p w14:paraId="7670116B" w14:textId="77777777" w:rsidR="00322AE9" w:rsidRPr="00322AE9" w:rsidRDefault="00322AE9" w:rsidP="00322AE9">
      <w:pPr>
        <w:suppressAutoHyphens/>
        <w:adjustRightInd w:val="0"/>
        <w:ind w:firstLine="708"/>
        <w:textAlignment w:val="baseline"/>
        <w:rPr>
          <w:rFonts w:eastAsia="Times New Roman" w:cs="Times New Roman"/>
          <w:b/>
          <w:spacing w:val="-5"/>
          <w:szCs w:val="24"/>
        </w:rPr>
      </w:pPr>
      <w:r w:rsidRPr="00322AE9">
        <w:rPr>
          <w:rFonts w:eastAsia="Times New Roman" w:cs="Times New Roman"/>
          <w:b/>
          <w:spacing w:val="-5"/>
          <w:szCs w:val="24"/>
        </w:rPr>
        <w:t>Поправка на разницу в объеме/площади</w:t>
      </w:r>
    </w:p>
    <w:p w14:paraId="44593985" w14:textId="77777777" w:rsidR="00322AE9" w:rsidRPr="00322AE9" w:rsidRDefault="00322AE9" w:rsidP="00322AE9">
      <w:pPr>
        <w:suppressAutoHyphens/>
        <w:adjustRightInd w:val="0"/>
        <w:ind w:firstLine="709"/>
        <w:textAlignment w:val="baseline"/>
        <w:rPr>
          <w:rFonts w:eastAsia="Times New Roman" w:cs="Times New Roman"/>
          <w:spacing w:val="-5"/>
          <w:szCs w:val="24"/>
        </w:rPr>
      </w:pPr>
      <w:r w:rsidRPr="00322AE9">
        <w:rPr>
          <w:rFonts w:eastAsia="Times New Roman" w:cs="Times New Roman"/>
          <w:spacing w:val="-5"/>
          <w:szCs w:val="24"/>
        </w:rPr>
        <w:t>В соответствии с правилами применения справочников КО-ИНВЕСТ, в случае значительного различия строительных объемов или площадей объекта оценки и объекта аналога, к справочным показателям стоимости замещения вводится соответствующая поправка:</w:t>
      </w:r>
    </w:p>
    <w:p w14:paraId="2E0082B4" w14:textId="77777777" w:rsidR="00322AE9" w:rsidRPr="00322AE9" w:rsidRDefault="00322AE9" w:rsidP="00322AE9">
      <w:pPr>
        <w:suppressAutoHyphens/>
        <w:adjustRightInd w:val="0"/>
        <w:ind w:firstLine="567"/>
        <w:jc w:val="center"/>
        <w:textAlignment w:val="baseline"/>
        <w:rPr>
          <w:rFonts w:eastAsia="Times New Roman" w:cs="Times New Roman"/>
          <w:spacing w:val="-5"/>
          <w:szCs w:val="24"/>
        </w:rPr>
      </w:pPr>
      <w:r w:rsidRPr="00322AE9">
        <w:rPr>
          <w:rFonts w:eastAsia="Times New Roman" w:cs="Times New Roman"/>
          <w:noProof/>
          <w:spacing w:val="-5"/>
          <w:sz w:val="32"/>
          <w:szCs w:val="24"/>
          <w:lang w:eastAsia="ru-RU"/>
        </w:rPr>
        <w:drawing>
          <wp:inline distT="0" distB="0" distL="0" distR="0" wp14:anchorId="0F57DF72" wp14:editId="3923DD93">
            <wp:extent cx="2492756" cy="1555684"/>
            <wp:effectExtent l="0" t="0" r="3175" b="6985"/>
            <wp:docPr id="968" name="Рисунок 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05" cstate="print"/>
                    <a:srcRect/>
                    <a:stretch>
                      <a:fillRect/>
                    </a:stretch>
                  </pic:blipFill>
                  <pic:spPr bwMode="auto">
                    <a:xfrm>
                      <a:off x="0" y="0"/>
                      <a:ext cx="2524804" cy="1575684"/>
                    </a:xfrm>
                    <a:prstGeom prst="rect">
                      <a:avLst/>
                    </a:prstGeom>
                    <a:noFill/>
                    <a:ln w="9525">
                      <a:noFill/>
                      <a:miter lim="800000"/>
                      <a:headEnd/>
                      <a:tailEnd/>
                    </a:ln>
                  </pic:spPr>
                </pic:pic>
              </a:graphicData>
            </a:graphic>
          </wp:inline>
        </w:drawing>
      </w:r>
    </w:p>
    <w:p w14:paraId="64A2EFA2" w14:textId="2F9816EA" w:rsidR="00322AE9" w:rsidRPr="00322AE9" w:rsidRDefault="00322AE9" w:rsidP="00763AD2">
      <w:pPr>
        <w:pStyle w:val="afffffff0"/>
      </w:pPr>
      <w:r w:rsidRPr="00322AE9">
        <w:t xml:space="preserve">Рисунок </w:t>
      </w:r>
      <w:r w:rsidR="00A90944">
        <w:fldChar w:fldCharType="begin"/>
      </w:r>
      <w:r w:rsidR="00A90944">
        <w:instrText xml:space="preserve"> SEQ Рисунок \* ARABIC </w:instrText>
      </w:r>
      <w:r w:rsidR="00A90944">
        <w:fldChar w:fldCharType="separate"/>
      </w:r>
      <w:r w:rsidR="00FD2769">
        <w:rPr>
          <w:noProof/>
        </w:rPr>
        <w:t>63</w:t>
      </w:r>
      <w:r w:rsidR="00A90944">
        <w:rPr>
          <w:noProof/>
        </w:rPr>
        <w:fldChar w:fldCharType="end"/>
      </w:r>
      <w:r w:rsidRPr="00322AE9">
        <w:rPr>
          <w:noProof/>
        </w:rPr>
        <w:t xml:space="preserve"> </w:t>
      </w:r>
      <w:r w:rsidRPr="00322AE9">
        <w:t>Поправка на разницу в объеме или площади</w:t>
      </w:r>
    </w:p>
    <w:p w14:paraId="59CFF530" w14:textId="77777777" w:rsidR="00322AE9" w:rsidRPr="00322AE9" w:rsidRDefault="00322AE9" w:rsidP="00322AE9">
      <w:pPr>
        <w:suppressAutoHyphens/>
        <w:adjustRightInd w:val="0"/>
        <w:ind w:firstLine="709"/>
        <w:textAlignment w:val="baseline"/>
        <w:rPr>
          <w:rFonts w:eastAsia="Times New Roman" w:cs="Times New Roman"/>
          <w:b/>
          <w:spacing w:val="-5"/>
          <w:szCs w:val="24"/>
        </w:rPr>
      </w:pPr>
    </w:p>
    <w:p w14:paraId="19FE1C64" w14:textId="77777777" w:rsidR="00322AE9" w:rsidRPr="00322AE9" w:rsidRDefault="00322AE9" w:rsidP="00322AE9">
      <w:pPr>
        <w:suppressAutoHyphens/>
        <w:adjustRightInd w:val="0"/>
        <w:ind w:firstLine="709"/>
        <w:textAlignment w:val="baseline"/>
        <w:rPr>
          <w:rFonts w:eastAsia="Times New Roman" w:cs="Times New Roman"/>
          <w:b/>
          <w:spacing w:val="-5"/>
          <w:szCs w:val="24"/>
        </w:rPr>
      </w:pPr>
      <w:r w:rsidRPr="00322AE9">
        <w:rPr>
          <w:rFonts w:eastAsia="Times New Roman" w:cs="Times New Roman"/>
          <w:b/>
          <w:spacing w:val="-5"/>
          <w:szCs w:val="24"/>
        </w:rPr>
        <w:t>Поправка на различие в сейсмичности</w:t>
      </w:r>
    </w:p>
    <w:p w14:paraId="4493D5A9" w14:textId="30363CBD" w:rsidR="00322AE9" w:rsidRDefault="00322AE9" w:rsidP="00322AE9">
      <w:pPr>
        <w:suppressAutoHyphens/>
        <w:adjustRightInd w:val="0"/>
        <w:ind w:firstLine="709"/>
        <w:textAlignment w:val="baseline"/>
        <w:rPr>
          <w:rFonts w:eastAsia="Times New Roman" w:cs="Times New Roman"/>
          <w:spacing w:val="-5"/>
          <w:szCs w:val="24"/>
        </w:rPr>
      </w:pPr>
      <w:r w:rsidRPr="00322AE9">
        <w:rPr>
          <w:rFonts w:eastAsia="Times New Roman" w:cs="Times New Roman"/>
          <w:spacing w:val="-5"/>
          <w:szCs w:val="24"/>
        </w:rPr>
        <w:t xml:space="preserve">В российской федерации при проектировании зданий и сооружений, возводимых на площадках сейсмичностью 7,8, и 9 баллов, в качестве руководящего документа действует СНиП </w:t>
      </w:r>
      <w:r w:rsidRPr="00322AE9">
        <w:rPr>
          <w:rFonts w:eastAsia="Times New Roman" w:cs="Times New Roman"/>
          <w:spacing w:val="-5"/>
          <w:szCs w:val="24"/>
          <w:lang w:val="en-US"/>
        </w:rPr>
        <w:t>II</w:t>
      </w:r>
      <w:r w:rsidRPr="00322AE9">
        <w:rPr>
          <w:rFonts w:eastAsia="Times New Roman" w:cs="Times New Roman"/>
          <w:spacing w:val="-5"/>
          <w:szCs w:val="24"/>
        </w:rPr>
        <w:t>-7-81 «Строительство в сейсмических районах» (с изменениями и дополнениями) в редакции 2010г. При этом, предусматривается осуществление антисейсмических мероприятий при строительстве объектов различной ответственности с использованием карт общего сейсмического районирования трех степеней сейсмической опасности ОСР-97 РАН.</w:t>
      </w:r>
    </w:p>
    <w:p w14:paraId="76788A1C" w14:textId="2555EDFF" w:rsidR="00322AE9" w:rsidRPr="00322AE9" w:rsidRDefault="00BA3F56" w:rsidP="00763AD2">
      <w:pPr>
        <w:pStyle w:val="afffffff0"/>
        <w:rPr>
          <w:rFonts w:eastAsia="Times New Roman"/>
          <w:spacing w:val="-5"/>
        </w:rPr>
      </w:pPr>
      <w:r>
        <w:t xml:space="preserve">Таблица </w:t>
      </w:r>
      <w:r w:rsidR="00A90944">
        <w:fldChar w:fldCharType="begin"/>
      </w:r>
      <w:r w:rsidR="00A90944">
        <w:instrText xml:space="preserve"> SEQ Табл</w:instrText>
      </w:r>
      <w:r w:rsidR="00A90944">
        <w:instrText xml:space="preserve">ица \* ARABIC </w:instrText>
      </w:r>
      <w:r w:rsidR="00A90944">
        <w:fldChar w:fldCharType="separate"/>
      </w:r>
      <w:r w:rsidR="00FD2769">
        <w:rPr>
          <w:noProof/>
        </w:rPr>
        <w:t>75</w:t>
      </w:r>
      <w:r w:rsidR="00A90944">
        <w:rPr>
          <w:noProof/>
        </w:rPr>
        <w:fldChar w:fldCharType="end"/>
      </w:r>
      <w:r>
        <w:t xml:space="preserve"> степень Сейсмичности </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5F6F8"/>
        <w:tblCellMar>
          <w:left w:w="0" w:type="dxa"/>
          <w:right w:w="0" w:type="dxa"/>
        </w:tblCellMar>
        <w:tblLook w:val="04A0" w:firstRow="1" w:lastRow="0" w:firstColumn="1" w:lastColumn="0" w:noHBand="0" w:noVBand="1"/>
      </w:tblPr>
      <w:tblGrid>
        <w:gridCol w:w="1059"/>
        <w:gridCol w:w="3148"/>
        <w:gridCol w:w="4878"/>
      </w:tblGrid>
      <w:tr w:rsidR="00322AE9" w:rsidRPr="00322AE9" w14:paraId="6132B66D" w14:textId="77777777" w:rsidTr="003C59C1">
        <w:trPr>
          <w:tblHeader/>
        </w:trPr>
        <w:tc>
          <w:tcPr>
            <w:tcW w:w="1059" w:type="dxa"/>
            <w:shd w:val="clear" w:color="auto" w:fill="auto"/>
            <w:tcMar>
              <w:top w:w="0" w:type="dxa"/>
              <w:left w:w="108" w:type="dxa"/>
              <w:bottom w:w="0" w:type="dxa"/>
              <w:right w:w="108" w:type="dxa"/>
            </w:tcMar>
            <w:vAlign w:val="center"/>
            <w:hideMark/>
          </w:tcPr>
          <w:p w14:paraId="09574C96" w14:textId="77777777" w:rsidR="00322AE9" w:rsidRPr="00322AE9" w:rsidRDefault="00322AE9" w:rsidP="00322AE9">
            <w:pPr>
              <w:suppressAutoHyphens/>
              <w:adjustRightInd w:val="0"/>
              <w:ind w:left="21" w:right="-108" w:firstLine="0"/>
              <w:jc w:val="center"/>
              <w:textAlignment w:val="baseline"/>
              <w:rPr>
                <w:rFonts w:eastAsia="Times New Roman" w:cs="Times New Roman"/>
                <w:color w:val="3D3E3F"/>
                <w:spacing w:val="-5"/>
                <w:sz w:val="20"/>
                <w:szCs w:val="24"/>
                <w:lang w:eastAsia="ru-RU"/>
              </w:rPr>
            </w:pPr>
            <w:r w:rsidRPr="00322AE9">
              <w:rPr>
                <w:rFonts w:eastAsia="Times New Roman" w:cs="Times New Roman"/>
                <w:b/>
                <w:bCs/>
                <w:color w:val="404040"/>
                <w:spacing w:val="-5"/>
                <w:sz w:val="20"/>
                <w:szCs w:val="24"/>
                <w:lang w:eastAsia="ru-RU"/>
              </w:rPr>
              <w:t>№ п/п</w:t>
            </w:r>
          </w:p>
        </w:tc>
        <w:tc>
          <w:tcPr>
            <w:tcW w:w="3148" w:type="dxa"/>
            <w:shd w:val="clear" w:color="auto" w:fill="auto"/>
            <w:tcMar>
              <w:top w:w="0" w:type="dxa"/>
              <w:left w:w="108" w:type="dxa"/>
              <w:bottom w:w="0" w:type="dxa"/>
              <w:right w:w="108" w:type="dxa"/>
            </w:tcMar>
            <w:vAlign w:val="center"/>
            <w:hideMark/>
          </w:tcPr>
          <w:p w14:paraId="7521C612" w14:textId="77777777" w:rsidR="00322AE9" w:rsidRPr="00322AE9" w:rsidRDefault="00322AE9" w:rsidP="00322AE9">
            <w:pPr>
              <w:suppressAutoHyphens/>
              <w:adjustRightInd w:val="0"/>
              <w:ind w:firstLine="0"/>
              <w:jc w:val="center"/>
              <w:textAlignment w:val="baseline"/>
              <w:rPr>
                <w:rFonts w:eastAsia="Times New Roman" w:cs="Times New Roman"/>
                <w:color w:val="3D3E3F"/>
                <w:spacing w:val="-5"/>
                <w:sz w:val="20"/>
                <w:szCs w:val="24"/>
                <w:lang w:eastAsia="ru-RU"/>
              </w:rPr>
            </w:pPr>
            <w:r w:rsidRPr="00322AE9">
              <w:rPr>
                <w:rFonts w:eastAsia="Times New Roman" w:cs="Times New Roman"/>
                <w:b/>
                <w:bCs/>
                <w:color w:val="404040"/>
                <w:spacing w:val="-5"/>
                <w:sz w:val="20"/>
                <w:szCs w:val="24"/>
                <w:lang w:eastAsia="ru-RU"/>
              </w:rPr>
              <w:t>Степень сейсмической интенсивности</w:t>
            </w:r>
          </w:p>
        </w:tc>
        <w:tc>
          <w:tcPr>
            <w:tcW w:w="4878" w:type="dxa"/>
            <w:shd w:val="clear" w:color="auto" w:fill="auto"/>
            <w:tcMar>
              <w:top w:w="0" w:type="dxa"/>
              <w:left w:w="108" w:type="dxa"/>
              <w:bottom w:w="0" w:type="dxa"/>
              <w:right w:w="108" w:type="dxa"/>
            </w:tcMar>
            <w:vAlign w:val="center"/>
            <w:hideMark/>
          </w:tcPr>
          <w:p w14:paraId="2BB8877E" w14:textId="77777777" w:rsidR="00322AE9" w:rsidRPr="00322AE9" w:rsidRDefault="00322AE9" w:rsidP="00322AE9">
            <w:pPr>
              <w:suppressAutoHyphens/>
              <w:adjustRightInd w:val="0"/>
              <w:ind w:right="-57" w:firstLine="0"/>
              <w:jc w:val="center"/>
              <w:textAlignment w:val="baseline"/>
              <w:rPr>
                <w:rFonts w:eastAsia="Times New Roman" w:cs="Times New Roman"/>
                <w:color w:val="3D3E3F"/>
                <w:spacing w:val="-5"/>
                <w:sz w:val="20"/>
                <w:szCs w:val="24"/>
                <w:lang w:eastAsia="ru-RU"/>
              </w:rPr>
            </w:pPr>
            <w:r w:rsidRPr="00322AE9">
              <w:rPr>
                <w:rFonts w:eastAsia="Times New Roman" w:cs="Times New Roman"/>
                <w:b/>
                <w:bCs/>
                <w:color w:val="404040"/>
                <w:spacing w:val="-5"/>
                <w:sz w:val="20"/>
                <w:szCs w:val="24"/>
                <w:lang w:eastAsia="ru-RU"/>
              </w:rPr>
              <w:t>Объекты строительства</w:t>
            </w:r>
          </w:p>
        </w:tc>
      </w:tr>
      <w:tr w:rsidR="00322AE9" w:rsidRPr="00322AE9" w14:paraId="56ED1673" w14:textId="77777777" w:rsidTr="003C59C1">
        <w:tc>
          <w:tcPr>
            <w:tcW w:w="1059" w:type="dxa"/>
            <w:shd w:val="clear" w:color="auto" w:fill="auto"/>
            <w:vAlign w:val="center"/>
            <w:hideMark/>
          </w:tcPr>
          <w:p w14:paraId="718D62A4" w14:textId="77777777" w:rsidR="00322AE9" w:rsidRPr="00322AE9" w:rsidRDefault="00322AE9" w:rsidP="00322AE9">
            <w:pPr>
              <w:suppressAutoHyphens/>
              <w:adjustRightInd w:val="0"/>
              <w:ind w:left="21" w:right="-108" w:firstLine="0"/>
              <w:jc w:val="center"/>
              <w:textAlignment w:val="baseline"/>
              <w:rPr>
                <w:rFonts w:eastAsia="Times New Roman" w:cs="Times New Roman"/>
                <w:color w:val="3D3E3F"/>
                <w:spacing w:val="-5"/>
                <w:sz w:val="20"/>
                <w:szCs w:val="24"/>
                <w:lang w:eastAsia="ru-RU"/>
              </w:rPr>
            </w:pPr>
            <w:r w:rsidRPr="00322AE9">
              <w:rPr>
                <w:rFonts w:eastAsia="Times New Roman" w:cs="Times New Roman"/>
                <w:color w:val="404040"/>
                <w:spacing w:val="-5"/>
                <w:sz w:val="20"/>
                <w:szCs w:val="24"/>
                <w:lang w:eastAsia="ru-RU"/>
              </w:rPr>
              <w:t>1</w:t>
            </w:r>
          </w:p>
        </w:tc>
        <w:tc>
          <w:tcPr>
            <w:tcW w:w="3148" w:type="dxa"/>
            <w:shd w:val="clear" w:color="auto" w:fill="auto"/>
            <w:vAlign w:val="center"/>
            <w:hideMark/>
          </w:tcPr>
          <w:p w14:paraId="580E0EC2" w14:textId="77777777" w:rsidR="00322AE9" w:rsidRPr="00322AE9" w:rsidRDefault="00322AE9" w:rsidP="00322AE9">
            <w:pPr>
              <w:suppressAutoHyphens/>
              <w:adjustRightInd w:val="0"/>
              <w:ind w:firstLine="0"/>
              <w:textAlignment w:val="baseline"/>
              <w:rPr>
                <w:rFonts w:eastAsia="Times New Roman" w:cs="Times New Roman"/>
                <w:color w:val="3D3E3F"/>
                <w:spacing w:val="-5"/>
                <w:sz w:val="20"/>
                <w:szCs w:val="24"/>
                <w:lang w:eastAsia="ru-RU"/>
              </w:rPr>
            </w:pPr>
            <w:r w:rsidRPr="00322AE9">
              <w:rPr>
                <w:rFonts w:eastAsia="Times New Roman" w:cs="Times New Roman"/>
                <w:color w:val="404040"/>
                <w:spacing w:val="-5"/>
                <w:sz w:val="20"/>
                <w:szCs w:val="24"/>
                <w:lang w:eastAsia="ru-RU"/>
              </w:rPr>
              <w:t>Степень А (серия карт А).</w:t>
            </w:r>
          </w:p>
          <w:p w14:paraId="2E5918F2" w14:textId="77777777" w:rsidR="00322AE9" w:rsidRPr="00322AE9" w:rsidRDefault="00322AE9" w:rsidP="00322AE9">
            <w:pPr>
              <w:suppressAutoHyphens/>
              <w:adjustRightInd w:val="0"/>
              <w:ind w:firstLine="0"/>
              <w:textAlignment w:val="baseline"/>
              <w:rPr>
                <w:rFonts w:eastAsia="Times New Roman" w:cs="Times New Roman"/>
                <w:color w:val="3D3E3F"/>
                <w:spacing w:val="-5"/>
                <w:sz w:val="20"/>
                <w:szCs w:val="24"/>
                <w:lang w:eastAsia="ru-RU"/>
              </w:rPr>
            </w:pPr>
            <w:r w:rsidRPr="00322AE9">
              <w:rPr>
                <w:rFonts w:eastAsia="Times New Roman" w:cs="Times New Roman"/>
                <w:color w:val="404040"/>
                <w:spacing w:val="-5"/>
                <w:sz w:val="20"/>
                <w:szCs w:val="24"/>
                <w:lang w:eastAsia="ru-RU"/>
              </w:rPr>
              <w:t>10% вероятность превышения указанных значений сейсмической интенсивности в течение 50-ти лет</w:t>
            </w:r>
          </w:p>
        </w:tc>
        <w:tc>
          <w:tcPr>
            <w:tcW w:w="4878" w:type="dxa"/>
            <w:shd w:val="clear" w:color="auto" w:fill="auto"/>
            <w:vAlign w:val="center"/>
            <w:hideMark/>
          </w:tcPr>
          <w:p w14:paraId="2B1EC80B" w14:textId="77777777" w:rsidR="00322AE9" w:rsidRPr="00322AE9" w:rsidRDefault="00322AE9" w:rsidP="00322AE9">
            <w:pPr>
              <w:suppressAutoHyphens/>
              <w:adjustRightInd w:val="0"/>
              <w:ind w:right="-57" w:firstLine="0"/>
              <w:textAlignment w:val="baseline"/>
              <w:rPr>
                <w:rFonts w:eastAsia="Times New Roman" w:cs="Times New Roman"/>
                <w:color w:val="3D3E3F"/>
                <w:spacing w:val="-5"/>
                <w:sz w:val="20"/>
                <w:szCs w:val="24"/>
                <w:lang w:eastAsia="ru-RU"/>
              </w:rPr>
            </w:pPr>
            <w:r w:rsidRPr="00322AE9">
              <w:rPr>
                <w:rFonts w:eastAsia="Times New Roman" w:cs="Times New Roman"/>
                <w:color w:val="404040"/>
                <w:spacing w:val="-5"/>
                <w:sz w:val="20"/>
                <w:szCs w:val="24"/>
                <w:lang w:eastAsia="ru-RU"/>
              </w:rPr>
              <w:t>Массовое строительство жилых, общественных и производственных зданий (сооружений), кроме указанных в п. 2.</w:t>
            </w:r>
          </w:p>
        </w:tc>
      </w:tr>
      <w:tr w:rsidR="00322AE9" w:rsidRPr="00322AE9" w14:paraId="33AB2A48" w14:textId="77777777" w:rsidTr="003C59C1">
        <w:tc>
          <w:tcPr>
            <w:tcW w:w="1059" w:type="dxa"/>
            <w:shd w:val="clear" w:color="auto" w:fill="auto"/>
            <w:vAlign w:val="center"/>
            <w:hideMark/>
          </w:tcPr>
          <w:p w14:paraId="60832C6A" w14:textId="77777777" w:rsidR="00322AE9" w:rsidRPr="00322AE9" w:rsidRDefault="00322AE9" w:rsidP="00322AE9">
            <w:pPr>
              <w:suppressAutoHyphens/>
              <w:adjustRightInd w:val="0"/>
              <w:ind w:left="21" w:right="-108" w:firstLine="0"/>
              <w:jc w:val="center"/>
              <w:textAlignment w:val="baseline"/>
              <w:rPr>
                <w:rFonts w:eastAsia="Times New Roman" w:cs="Times New Roman"/>
                <w:color w:val="3D3E3F"/>
                <w:spacing w:val="-5"/>
                <w:sz w:val="20"/>
                <w:szCs w:val="24"/>
                <w:lang w:eastAsia="ru-RU"/>
              </w:rPr>
            </w:pPr>
            <w:r w:rsidRPr="00322AE9">
              <w:rPr>
                <w:rFonts w:eastAsia="Times New Roman" w:cs="Times New Roman"/>
                <w:color w:val="404040"/>
                <w:spacing w:val="-5"/>
                <w:sz w:val="20"/>
                <w:szCs w:val="24"/>
                <w:lang w:eastAsia="ru-RU"/>
              </w:rPr>
              <w:t>2</w:t>
            </w:r>
          </w:p>
        </w:tc>
        <w:tc>
          <w:tcPr>
            <w:tcW w:w="3148" w:type="dxa"/>
            <w:shd w:val="clear" w:color="auto" w:fill="auto"/>
            <w:vAlign w:val="center"/>
            <w:hideMark/>
          </w:tcPr>
          <w:p w14:paraId="234BDB44" w14:textId="77777777" w:rsidR="00322AE9" w:rsidRPr="00322AE9" w:rsidRDefault="00322AE9" w:rsidP="00322AE9">
            <w:pPr>
              <w:suppressAutoHyphens/>
              <w:adjustRightInd w:val="0"/>
              <w:ind w:firstLine="0"/>
              <w:textAlignment w:val="baseline"/>
              <w:rPr>
                <w:rFonts w:eastAsia="Times New Roman" w:cs="Times New Roman"/>
                <w:color w:val="3D3E3F"/>
                <w:spacing w:val="-5"/>
                <w:sz w:val="20"/>
                <w:szCs w:val="24"/>
                <w:lang w:eastAsia="ru-RU"/>
              </w:rPr>
            </w:pPr>
            <w:r w:rsidRPr="00322AE9">
              <w:rPr>
                <w:rFonts w:eastAsia="Times New Roman" w:cs="Times New Roman"/>
                <w:color w:val="404040"/>
                <w:spacing w:val="-5"/>
                <w:sz w:val="20"/>
                <w:szCs w:val="24"/>
                <w:lang w:eastAsia="ru-RU"/>
              </w:rPr>
              <w:t>Степень В (серия карт В).</w:t>
            </w:r>
          </w:p>
          <w:p w14:paraId="302783BD" w14:textId="77777777" w:rsidR="00322AE9" w:rsidRPr="00322AE9" w:rsidRDefault="00322AE9" w:rsidP="00322AE9">
            <w:pPr>
              <w:suppressAutoHyphens/>
              <w:adjustRightInd w:val="0"/>
              <w:ind w:firstLine="0"/>
              <w:textAlignment w:val="baseline"/>
              <w:rPr>
                <w:rFonts w:eastAsia="Times New Roman" w:cs="Times New Roman"/>
                <w:color w:val="3D3E3F"/>
                <w:spacing w:val="-5"/>
                <w:sz w:val="20"/>
                <w:szCs w:val="24"/>
                <w:lang w:eastAsia="ru-RU"/>
              </w:rPr>
            </w:pPr>
            <w:r w:rsidRPr="00322AE9">
              <w:rPr>
                <w:rFonts w:eastAsia="Times New Roman" w:cs="Times New Roman"/>
                <w:color w:val="404040"/>
                <w:spacing w:val="-5"/>
                <w:sz w:val="20"/>
                <w:szCs w:val="24"/>
                <w:lang w:eastAsia="ru-RU"/>
              </w:rPr>
              <w:t>5% вероятность превышения указанных значений сейсмической интенсивности в течение 50-ти лет</w:t>
            </w:r>
          </w:p>
        </w:tc>
        <w:tc>
          <w:tcPr>
            <w:tcW w:w="4878" w:type="dxa"/>
            <w:shd w:val="clear" w:color="auto" w:fill="auto"/>
            <w:vAlign w:val="center"/>
            <w:hideMark/>
          </w:tcPr>
          <w:p w14:paraId="76F5C0CC" w14:textId="77777777" w:rsidR="00322AE9" w:rsidRPr="00322AE9" w:rsidRDefault="00322AE9" w:rsidP="00322AE9">
            <w:pPr>
              <w:suppressAutoHyphens/>
              <w:adjustRightInd w:val="0"/>
              <w:ind w:right="-57" w:firstLine="0"/>
              <w:textAlignment w:val="baseline"/>
              <w:rPr>
                <w:rFonts w:eastAsia="Times New Roman" w:cs="Times New Roman"/>
                <w:color w:val="3D3E3F"/>
                <w:spacing w:val="-5"/>
                <w:sz w:val="20"/>
                <w:szCs w:val="24"/>
                <w:lang w:eastAsia="ru-RU"/>
              </w:rPr>
            </w:pPr>
            <w:r w:rsidRPr="00322AE9">
              <w:rPr>
                <w:rFonts w:eastAsia="Times New Roman" w:cs="Times New Roman"/>
                <w:color w:val="404040"/>
                <w:spacing w:val="-5"/>
                <w:sz w:val="20"/>
                <w:szCs w:val="24"/>
                <w:lang w:eastAsia="ru-RU"/>
              </w:rPr>
              <w:t>Объекты повышенной ответственности:</w:t>
            </w:r>
          </w:p>
          <w:p w14:paraId="4CF25BD4" w14:textId="77777777" w:rsidR="00322AE9" w:rsidRPr="00322AE9" w:rsidRDefault="00322AE9" w:rsidP="00322AE9">
            <w:pPr>
              <w:suppressAutoHyphens/>
              <w:adjustRightInd w:val="0"/>
              <w:ind w:right="-57" w:firstLine="0"/>
              <w:textAlignment w:val="baseline"/>
              <w:rPr>
                <w:rFonts w:eastAsia="Times New Roman" w:cs="Times New Roman"/>
                <w:color w:val="3D3E3F"/>
                <w:spacing w:val="-5"/>
                <w:sz w:val="20"/>
                <w:szCs w:val="24"/>
                <w:lang w:eastAsia="ru-RU"/>
              </w:rPr>
            </w:pPr>
            <w:r w:rsidRPr="00322AE9">
              <w:rPr>
                <w:rFonts w:eastAsia="Times New Roman" w:cs="Times New Roman"/>
                <w:color w:val="404040"/>
                <w:spacing w:val="-5"/>
                <w:sz w:val="20"/>
                <w:szCs w:val="24"/>
                <w:lang w:eastAsia="ru-RU"/>
              </w:rPr>
              <w:t>- здания, сооружения, эксплуатация которых необходима при землетрясении или при ликвидации его последствий (системы энерго- и водоснабжения, пожарные депо, сооружения связи и т. п.);</w:t>
            </w:r>
          </w:p>
          <w:p w14:paraId="08B9A877" w14:textId="77777777" w:rsidR="00322AE9" w:rsidRPr="00322AE9" w:rsidRDefault="00322AE9" w:rsidP="00322AE9">
            <w:pPr>
              <w:suppressAutoHyphens/>
              <w:adjustRightInd w:val="0"/>
              <w:ind w:right="-57" w:firstLine="0"/>
              <w:textAlignment w:val="baseline"/>
              <w:rPr>
                <w:rFonts w:eastAsia="Times New Roman" w:cs="Times New Roman"/>
                <w:color w:val="3D3E3F"/>
                <w:spacing w:val="-5"/>
                <w:sz w:val="20"/>
                <w:szCs w:val="24"/>
                <w:lang w:eastAsia="ru-RU"/>
              </w:rPr>
            </w:pPr>
            <w:r w:rsidRPr="00322AE9">
              <w:rPr>
                <w:rFonts w:eastAsia="Times New Roman" w:cs="Times New Roman"/>
                <w:color w:val="404040"/>
                <w:spacing w:val="-5"/>
                <w:sz w:val="20"/>
                <w:szCs w:val="24"/>
                <w:lang w:eastAsia="ru-RU"/>
              </w:rPr>
              <w:t>- здания с одновременным пребыванием в них большого числа людей (вокзалы, аэропорты, театры, цирки, концертные залы, крытые рынки, спортивные сооружения);</w:t>
            </w:r>
          </w:p>
          <w:p w14:paraId="5580858A" w14:textId="77777777" w:rsidR="00322AE9" w:rsidRPr="00322AE9" w:rsidRDefault="00322AE9" w:rsidP="00322AE9">
            <w:pPr>
              <w:suppressAutoHyphens/>
              <w:adjustRightInd w:val="0"/>
              <w:ind w:right="-57" w:firstLine="0"/>
              <w:textAlignment w:val="baseline"/>
              <w:rPr>
                <w:rFonts w:eastAsia="Times New Roman" w:cs="Times New Roman"/>
                <w:color w:val="3D3E3F"/>
                <w:spacing w:val="-5"/>
                <w:sz w:val="20"/>
                <w:szCs w:val="24"/>
                <w:lang w:eastAsia="ru-RU"/>
              </w:rPr>
            </w:pPr>
            <w:r w:rsidRPr="00322AE9">
              <w:rPr>
                <w:rFonts w:eastAsia="Times New Roman" w:cs="Times New Roman"/>
                <w:color w:val="404040"/>
                <w:spacing w:val="-5"/>
                <w:sz w:val="20"/>
                <w:szCs w:val="24"/>
                <w:lang w:eastAsia="ru-RU"/>
              </w:rPr>
              <w:t>- больницы, школы, дошкольные учреждения, здания высотой более 16 этажей;</w:t>
            </w:r>
          </w:p>
          <w:p w14:paraId="3E8FF4B2" w14:textId="77777777" w:rsidR="00322AE9" w:rsidRPr="00322AE9" w:rsidRDefault="00322AE9" w:rsidP="00322AE9">
            <w:pPr>
              <w:suppressAutoHyphens/>
              <w:adjustRightInd w:val="0"/>
              <w:ind w:right="-57" w:firstLine="0"/>
              <w:textAlignment w:val="baseline"/>
              <w:rPr>
                <w:rFonts w:eastAsia="Times New Roman" w:cs="Times New Roman"/>
                <w:color w:val="3D3E3F"/>
                <w:spacing w:val="-5"/>
                <w:sz w:val="20"/>
                <w:szCs w:val="24"/>
                <w:lang w:eastAsia="ru-RU"/>
              </w:rPr>
            </w:pPr>
            <w:r w:rsidRPr="00322AE9">
              <w:rPr>
                <w:rFonts w:eastAsia="Times New Roman" w:cs="Times New Roman"/>
                <w:color w:val="404040"/>
                <w:spacing w:val="-5"/>
                <w:sz w:val="20"/>
                <w:szCs w:val="24"/>
                <w:lang w:eastAsia="ru-RU"/>
              </w:rPr>
              <w:t>- другие здания и сооружения, отказы которых могут привести к тяжёлым экономическим, социальным, экологическим последствиям.</w:t>
            </w:r>
          </w:p>
        </w:tc>
      </w:tr>
      <w:tr w:rsidR="00322AE9" w:rsidRPr="00322AE9" w14:paraId="318441B6" w14:textId="77777777" w:rsidTr="003C59C1">
        <w:tc>
          <w:tcPr>
            <w:tcW w:w="1059" w:type="dxa"/>
            <w:shd w:val="clear" w:color="auto" w:fill="auto"/>
            <w:vAlign w:val="center"/>
            <w:hideMark/>
          </w:tcPr>
          <w:p w14:paraId="4881C8EC" w14:textId="77777777" w:rsidR="00322AE9" w:rsidRPr="00322AE9" w:rsidRDefault="00322AE9" w:rsidP="00322AE9">
            <w:pPr>
              <w:suppressAutoHyphens/>
              <w:adjustRightInd w:val="0"/>
              <w:ind w:left="21" w:right="-108" w:firstLine="0"/>
              <w:jc w:val="center"/>
              <w:textAlignment w:val="baseline"/>
              <w:rPr>
                <w:rFonts w:eastAsia="Times New Roman" w:cs="Times New Roman"/>
                <w:spacing w:val="-5"/>
                <w:sz w:val="20"/>
                <w:szCs w:val="24"/>
                <w:lang w:eastAsia="ru-RU"/>
              </w:rPr>
            </w:pPr>
            <w:r w:rsidRPr="00322AE9">
              <w:rPr>
                <w:rFonts w:eastAsia="Times New Roman" w:cs="Times New Roman"/>
                <w:spacing w:val="-5"/>
                <w:sz w:val="20"/>
                <w:szCs w:val="24"/>
                <w:lang w:eastAsia="ru-RU"/>
              </w:rPr>
              <w:t>3</w:t>
            </w:r>
          </w:p>
        </w:tc>
        <w:tc>
          <w:tcPr>
            <w:tcW w:w="3148" w:type="dxa"/>
            <w:shd w:val="clear" w:color="auto" w:fill="auto"/>
            <w:vAlign w:val="center"/>
            <w:hideMark/>
          </w:tcPr>
          <w:p w14:paraId="3605EB7D" w14:textId="77777777" w:rsidR="00322AE9" w:rsidRPr="00322AE9" w:rsidRDefault="00322AE9" w:rsidP="00322AE9">
            <w:pPr>
              <w:suppressAutoHyphens/>
              <w:adjustRightInd w:val="0"/>
              <w:ind w:firstLine="0"/>
              <w:textAlignment w:val="baseline"/>
              <w:rPr>
                <w:rFonts w:eastAsia="Times New Roman" w:cs="Times New Roman"/>
                <w:spacing w:val="-5"/>
                <w:sz w:val="20"/>
                <w:szCs w:val="24"/>
                <w:lang w:eastAsia="ru-RU"/>
              </w:rPr>
            </w:pPr>
            <w:r w:rsidRPr="00322AE9">
              <w:rPr>
                <w:rFonts w:eastAsia="Times New Roman" w:cs="Times New Roman"/>
                <w:spacing w:val="-5"/>
                <w:sz w:val="20"/>
                <w:szCs w:val="24"/>
                <w:lang w:eastAsia="ru-RU"/>
              </w:rPr>
              <w:t>Степень С (серия карт С).</w:t>
            </w:r>
          </w:p>
          <w:p w14:paraId="1C27E784" w14:textId="77777777" w:rsidR="00322AE9" w:rsidRPr="00322AE9" w:rsidRDefault="00322AE9" w:rsidP="00322AE9">
            <w:pPr>
              <w:suppressAutoHyphens/>
              <w:adjustRightInd w:val="0"/>
              <w:ind w:firstLine="0"/>
              <w:textAlignment w:val="baseline"/>
              <w:rPr>
                <w:rFonts w:eastAsia="Times New Roman" w:cs="Times New Roman"/>
                <w:spacing w:val="-5"/>
                <w:sz w:val="20"/>
                <w:szCs w:val="24"/>
                <w:lang w:eastAsia="ru-RU"/>
              </w:rPr>
            </w:pPr>
            <w:r w:rsidRPr="00322AE9">
              <w:rPr>
                <w:rFonts w:eastAsia="Times New Roman" w:cs="Times New Roman"/>
                <w:spacing w:val="-5"/>
                <w:sz w:val="20"/>
                <w:szCs w:val="24"/>
                <w:lang w:eastAsia="ru-RU"/>
              </w:rPr>
              <w:t>1% вероятность превышения указанных значений сейсмической интенсивности в течение 50-ти лет</w:t>
            </w:r>
          </w:p>
        </w:tc>
        <w:tc>
          <w:tcPr>
            <w:tcW w:w="4878" w:type="dxa"/>
            <w:shd w:val="clear" w:color="auto" w:fill="auto"/>
            <w:vAlign w:val="center"/>
            <w:hideMark/>
          </w:tcPr>
          <w:p w14:paraId="41E962E8" w14:textId="77777777" w:rsidR="00322AE9" w:rsidRPr="00322AE9" w:rsidRDefault="00322AE9" w:rsidP="00322AE9">
            <w:pPr>
              <w:suppressAutoHyphens/>
              <w:adjustRightInd w:val="0"/>
              <w:ind w:right="-57" w:firstLine="0"/>
              <w:textAlignment w:val="baseline"/>
              <w:rPr>
                <w:rFonts w:eastAsia="Times New Roman" w:cs="Times New Roman"/>
                <w:spacing w:val="-5"/>
                <w:sz w:val="20"/>
                <w:szCs w:val="24"/>
                <w:lang w:eastAsia="ru-RU"/>
              </w:rPr>
            </w:pPr>
            <w:r w:rsidRPr="00322AE9">
              <w:rPr>
                <w:rFonts w:eastAsia="Times New Roman" w:cs="Times New Roman"/>
                <w:spacing w:val="-5"/>
                <w:sz w:val="20"/>
                <w:szCs w:val="24"/>
                <w:lang w:eastAsia="ru-RU"/>
              </w:rPr>
              <w:t>Особо ответственные объекты,  в  т. ч. из числа указанных в п. 2, по решению заказчика или соответствующего органа исполнительной власти.</w:t>
            </w:r>
          </w:p>
        </w:tc>
      </w:tr>
    </w:tbl>
    <w:p w14:paraId="39D9BE61" w14:textId="77777777" w:rsidR="00322AE9" w:rsidRPr="00322AE9" w:rsidRDefault="00322AE9" w:rsidP="00322AE9">
      <w:pPr>
        <w:suppressAutoHyphens/>
        <w:adjustRightInd w:val="0"/>
        <w:ind w:firstLine="709"/>
        <w:textAlignment w:val="baseline"/>
        <w:rPr>
          <w:rFonts w:eastAsia="Times New Roman" w:cs="Times New Roman"/>
          <w:spacing w:val="-5"/>
          <w:szCs w:val="24"/>
        </w:rPr>
      </w:pPr>
    </w:p>
    <w:p w14:paraId="71697237" w14:textId="77777777" w:rsidR="00322AE9" w:rsidRPr="00322AE9" w:rsidRDefault="00322AE9" w:rsidP="00322AE9">
      <w:pPr>
        <w:suppressAutoHyphens/>
        <w:adjustRightInd w:val="0"/>
        <w:ind w:firstLine="709"/>
        <w:textAlignment w:val="baseline"/>
        <w:rPr>
          <w:rFonts w:eastAsia="Times New Roman" w:cs="Times New Roman"/>
          <w:spacing w:val="-5"/>
          <w:szCs w:val="24"/>
        </w:rPr>
      </w:pPr>
    </w:p>
    <w:p w14:paraId="754FA628" w14:textId="4D10A044" w:rsidR="00322AE9" w:rsidRDefault="00322AE9" w:rsidP="00322AE9">
      <w:pPr>
        <w:suppressAutoHyphens/>
        <w:adjustRightInd w:val="0"/>
        <w:ind w:firstLine="709"/>
        <w:textAlignment w:val="baseline"/>
        <w:rPr>
          <w:rFonts w:eastAsia="Times New Roman" w:cs="Times New Roman"/>
          <w:spacing w:val="-5"/>
          <w:szCs w:val="24"/>
        </w:rPr>
      </w:pPr>
    </w:p>
    <w:p w14:paraId="11E12048" w14:textId="77777777" w:rsidR="003C59C1" w:rsidRPr="00322AE9" w:rsidRDefault="003C59C1" w:rsidP="00322AE9">
      <w:pPr>
        <w:suppressAutoHyphens/>
        <w:adjustRightInd w:val="0"/>
        <w:ind w:firstLine="709"/>
        <w:textAlignment w:val="baseline"/>
        <w:rPr>
          <w:rFonts w:eastAsia="Times New Roman" w:cs="Times New Roman"/>
          <w:spacing w:val="-5"/>
          <w:szCs w:val="24"/>
        </w:rPr>
      </w:pPr>
    </w:p>
    <w:p w14:paraId="0BA6483E" w14:textId="11C6491B" w:rsidR="00322AE9" w:rsidRPr="00322AE9" w:rsidRDefault="000A6DB8" w:rsidP="00763AD2">
      <w:pPr>
        <w:pStyle w:val="afffffff0"/>
        <w:rPr>
          <w:rFonts w:eastAsia="Times New Roman"/>
          <w:spacing w:val="-5"/>
        </w:rPr>
      </w:pPr>
      <w:r>
        <w:t xml:space="preserve">Таблица </w:t>
      </w:r>
      <w:r w:rsidR="00A90944">
        <w:fldChar w:fldCharType="begin"/>
      </w:r>
      <w:r w:rsidR="00A90944">
        <w:instrText xml:space="preserve"> SEQ Таблица \* ARABIC </w:instrText>
      </w:r>
      <w:r w:rsidR="00A90944">
        <w:fldChar w:fldCharType="separate"/>
      </w:r>
      <w:r w:rsidR="00FD2769">
        <w:rPr>
          <w:noProof/>
        </w:rPr>
        <w:t>76</w:t>
      </w:r>
      <w:r w:rsidR="00A90944">
        <w:rPr>
          <w:noProof/>
        </w:rPr>
        <w:fldChar w:fldCharType="end"/>
      </w:r>
      <w:r>
        <w:t xml:space="preserve"> Сейсмичность районов Республики Саха (Якутия)</w:t>
      </w:r>
    </w:p>
    <w:tbl>
      <w:tblPr>
        <w:tblW w:w="4491" w:type="pct"/>
        <w:tblInd w:w="562" w:type="dxa"/>
        <w:tblLook w:val="04A0" w:firstRow="1" w:lastRow="0" w:firstColumn="1" w:lastColumn="0" w:noHBand="0" w:noVBand="1"/>
      </w:tblPr>
      <w:tblGrid>
        <w:gridCol w:w="2095"/>
        <w:gridCol w:w="1732"/>
        <w:gridCol w:w="2553"/>
        <w:gridCol w:w="2269"/>
      </w:tblGrid>
      <w:tr w:rsidR="00322AE9" w:rsidRPr="00322AE9" w14:paraId="55D3A6EA" w14:textId="77777777" w:rsidTr="00EC492E">
        <w:trPr>
          <w:trHeight w:val="300"/>
        </w:trPr>
        <w:tc>
          <w:tcPr>
            <w:tcW w:w="5000" w:type="pct"/>
            <w:gridSpan w:val="4"/>
            <w:tcBorders>
              <w:top w:val="single" w:sz="4" w:space="0" w:color="auto"/>
              <w:left w:val="single" w:sz="4" w:space="0" w:color="auto"/>
              <w:bottom w:val="single" w:sz="4" w:space="0" w:color="auto"/>
              <w:right w:val="single" w:sz="4" w:space="0" w:color="auto"/>
            </w:tcBorders>
            <w:shd w:val="clear" w:color="auto" w:fill="auto"/>
            <w:vAlign w:val="bottom"/>
            <w:hideMark/>
          </w:tcPr>
          <w:p w14:paraId="052E21CF" w14:textId="77777777" w:rsidR="00322AE9" w:rsidRPr="00322AE9" w:rsidRDefault="00322AE9" w:rsidP="00322AE9">
            <w:pPr>
              <w:suppressAutoHyphens/>
              <w:adjustRightInd w:val="0"/>
              <w:ind w:firstLine="567"/>
              <w:jc w:val="center"/>
              <w:textAlignment w:val="baseline"/>
              <w:rPr>
                <w:rFonts w:eastAsia="Times New Roman" w:cs="Times New Roman"/>
                <w:b/>
                <w:bCs/>
                <w:color w:val="000000"/>
                <w:spacing w:val="-5"/>
                <w:sz w:val="22"/>
                <w:szCs w:val="20"/>
              </w:rPr>
            </w:pPr>
            <w:r w:rsidRPr="00322AE9">
              <w:rPr>
                <w:rFonts w:eastAsia="Times New Roman" w:cs="Times New Roman"/>
                <w:b/>
                <w:bCs/>
                <w:color w:val="000000"/>
                <w:spacing w:val="-5"/>
                <w:sz w:val="22"/>
                <w:szCs w:val="20"/>
              </w:rPr>
              <w:t>Рекомендации по применению карт общего сейсмического районирования территории РФ ОСР-97 РАН</w:t>
            </w:r>
          </w:p>
        </w:tc>
      </w:tr>
      <w:tr w:rsidR="00322AE9" w:rsidRPr="00322AE9" w14:paraId="7DAAB598" w14:textId="77777777" w:rsidTr="00EC492E">
        <w:trPr>
          <w:trHeight w:val="248"/>
        </w:trPr>
        <w:tc>
          <w:tcPr>
            <w:tcW w:w="1211" w:type="pct"/>
            <w:tcBorders>
              <w:top w:val="nil"/>
              <w:left w:val="single" w:sz="4" w:space="0" w:color="auto"/>
              <w:bottom w:val="single" w:sz="4" w:space="0" w:color="auto"/>
              <w:right w:val="single" w:sz="4" w:space="0" w:color="auto"/>
            </w:tcBorders>
            <w:shd w:val="clear" w:color="auto" w:fill="auto"/>
            <w:noWrap/>
            <w:vAlign w:val="center"/>
            <w:hideMark/>
          </w:tcPr>
          <w:p w14:paraId="33B738FF" w14:textId="77777777" w:rsidR="00322AE9" w:rsidRPr="00322AE9" w:rsidRDefault="00322AE9" w:rsidP="00322AE9">
            <w:pPr>
              <w:suppressAutoHyphens/>
              <w:adjustRightInd w:val="0"/>
              <w:ind w:firstLine="29"/>
              <w:jc w:val="center"/>
              <w:textAlignment w:val="baseline"/>
              <w:rPr>
                <w:rFonts w:eastAsia="Times New Roman" w:cs="Times New Roman"/>
                <w:b/>
                <w:color w:val="000000"/>
                <w:spacing w:val="-5"/>
                <w:sz w:val="22"/>
                <w:szCs w:val="20"/>
              </w:rPr>
            </w:pPr>
            <w:r w:rsidRPr="00322AE9">
              <w:rPr>
                <w:rFonts w:eastAsia="Times New Roman" w:cs="Times New Roman"/>
                <w:b/>
                <w:color w:val="000000"/>
                <w:spacing w:val="-5"/>
                <w:sz w:val="22"/>
                <w:szCs w:val="20"/>
              </w:rPr>
              <w:t>Наименование МР</w:t>
            </w:r>
          </w:p>
        </w:tc>
        <w:tc>
          <w:tcPr>
            <w:tcW w:w="1001" w:type="pct"/>
            <w:tcBorders>
              <w:top w:val="nil"/>
              <w:left w:val="nil"/>
              <w:bottom w:val="single" w:sz="4" w:space="0" w:color="auto"/>
              <w:right w:val="single" w:sz="4" w:space="0" w:color="auto"/>
            </w:tcBorders>
            <w:shd w:val="clear" w:color="auto" w:fill="auto"/>
            <w:vAlign w:val="center"/>
            <w:hideMark/>
          </w:tcPr>
          <w:p w14:paraId="17126E3F" w14:textId="77777777" w:rsidR="00322AE9" w:rsidRPr="00322AE9" w:rsidRDefault="00322AE9" w:rsidP="00322AE9">
            <w:pPr>
              <w:suppressAutoHyphens/>
              <w:adjustRightInd w:val="0"/>
              <w:ind w:firstLine="0"/>
              <w:jc w:val="center"/>
              <w:textAlignment w:val="baseline"/>
              <w:rPr>
                <w:rFonts w:eastAsia="Times New Roman" w:cs="Times New Roman"/>
                <w:b/>
                <w:color w:val="000000"/>
                <w:spacing w:val="-5"/>
                <w:sz w:val="22"/>
                <w:szCs w:val="20"/>
              </w:rPr>
            </w:pPr>
            <w:r w:rsidRPr="00322AE9">
              <w:rPr>
                <w:rFonts w:eastAsia="Times New Roman" w:cs="Times New Roman"/>
                <w:b/>
                <w:color w:val="000000"/>
                <w:spacing w:val="-5"/>
                <w:sz w:val="22"/>
                <w:szCs w:val="20"/>
              </w:rPr>
              <w:t>А</w:t>
            </w:r>
          </w:p>
        </w:tc>
        <w:tc>
          <w:tcPr>
            <w:tcW w:w="1476" w:type="pct"/>
            <w:tcBorders>
              <w:top w:val="nil"/>
              <w:left w:val="nil"/>
              <w:bottom w:val="single" w:sz="4" w:space="0" w:color="auto"/>
              <w:right w:val="single" w:sz="4" w:space="0" w:color="auto"/>
            </w:tcBorders>
            <w:shd w:val="clear" w:color="auto" w:fill="auto"/>
            <w:vAlign w:val="center"/>
            <w:hideMark/>
          </w:tcPr>
          <w:p w14:paraId="391C3809" w14:textId="77777777" w:rsidR="00322AE9" w:rsidRPr="00322AE9" w:rsidRDefault="00322AE9" w:rsidP="00322AE9">
            <w:pPr>
              <w:suppressAutoHyphens/>
              <w:adjustRightInd w:val="0"/>
              <w:ind w:firstLine="0"/>
              <w:jc w:val="center"/>
              <w:textAlignment w:val="baseline"/>
              <w:rPr>
                <w:rFonts w:eastAsia="Times New Roman" w:cs="Times New Roman"/>
                <w:b/>
                <w:color w:val="000000"/>
                <w:spacing w:val="-5"/>
                <w:sz w:val="22"/>
                <w:szCs w:val="20"/>
              </w:rPr>
            </w:pPr>
            <w:r w:rsidRPr="00322AE9">
              <w:rPr>
                <w:rFonts w:eastAsia="Times New Roman" w:cs="Times New Roman"/>
                <w:b/>
                <w:color w:val="000000"/>
                <w:spacing w:val="-5"/>
                <w:sz w:val="22"/>
                <w:szCs w:val="20"/>
              </w:rPr>
              <w:t>В</w:t>
            </w:r>
          </w:p>
        </w:tc>
        <w:tc>
          <w:tcPr>
            <w:tcW w:w="1312" w:type="pct"/>
            <w:tcBorders>
              <w:top w:val="nil"/>
              <w:left w:val="nil"/>
              <w:bottom w:val="single" w:sz="4" w:space="0" w:color="auto"/>
              <w:right w:val="single" w:sz="4" w:space="0" w:color="auto"/>
            </w:tcBorders>
            <w:shd w:val="clear" w:color="auto" w:fill="auto"/>
            <w:vAlign w:val="center"/>
            <w:hideMark/>
          </w:tcPr>
          <w:p w14:paraId="0A9E803F" w14:textId="77777777" w:rsidR="00322AE9" w:rsidRPr="00322AE9" w:rsidRDefault="00322AE9" w:rsidP="00322AE9">
            <w:pPr>
              <w:suppressAutoHyphens/>
              <w:adjustRightInd w:val="0"/>
              <w:ind w:firstLine="0"/>
              <w:jc w:val="center"/>
              <w:textAlignment w:val="baseline"/>
              <w:rPr>
                <w:rFonts w:eastAsia="Times New Roman" w:cs="Times New Roman"/>
                <w:b/>
                <w:color w:val="000000"/>
                <w:spacing w:val="-5"/>
                <w:sz w:val="22"/>
                <w:szCs w:val="20"/>
              </w:rPr>
            </w:pPr>
            <w:r w:rsidRPr="00322AE9">
              <w:rPr>
                <w:rFonts w:eastAsia="Times New Roman" w:cs="Times New Roman"/>
                <w:b/>
                <w:color w:val="000000"/>
                <w:spacing w:val="-5"/>
                <w:sz w:val="22"/>
                <w:szCs w:val="20"/>
              </w:rPr>
              <w:t>С</w:t>
            </w:r>
          </w:p>
        </w:tc>
      </w:tr>
      <w:tr w:rsidR="00322AE9" w:rsidRPr="00322AE9" w14:paraId="65209E96" w14:textId="77777777" w:rsidTr="00EC492E">
        <w:trPr>
          <w:trHeight w:val="300"/>
        </w:trPr>
        <w:tc>
          <w:tcPr>
            <w:tcW w:w="1211" w:type="pct"/>
            <w:tcBorders>
              <w:top w:val="nil"/>
              <w:left w:val="single" w:sz="4" w:space="0" w:color="auto"/>
              <w:bottom w:val="single" w:sz="4" w:space="0" w:color="auto"/>
              <w:right w:val="single" w:sz="4" w:space="0" w:color="auto"/>
            </w:tcBorders>
            <w:shd w:val="clear" w:color="auto" w:fill="auto"/>
            <w:noWrap/>
            <w:vAlign w:val="bottom"/>
            <w:hideMark/>
          </w:tcPr>
          <w:p w14:paraId="190577B7" w14:textId="77777777" w:rsidR="00322AE9" w:rsidRPr="00322AE9" w:rsidRDefault="00322AE9" w:rsidP="00322AE9">
            <w:pPr>
              <w:suppressAutoHyphens/>
              <w:adjustRightInd w:val="0"/>
              <w:ind w:firstLine="29"/>
              <w:textAlignment w:val="baseline"/>
              <w:rPr>
                <w:rFonts w:eastAsia="Times New Roman" w:cs="Times New Roman"/>
                <w:color w:val="000000"/>
                <w:spacing w:val="-5"/>
                <w:sz w:val="22"/>
                <w:szCs w:val="20"/>
              </w:rPr>
            </w:pPr>
            <w:r w:rsidRPr="00322AE9">
              <w:rPr>
                <w:rFonts w:eastAsia="Times New Roman" w:cs="Times New Roman"/>
                <w:color w:val="000000"/>
                <w:spacing w:val="-5"/>
                <w:sz w:val="22"/>
                <w:szCs w:val="20"/>
              </w:rPr>
              <w:t>Абыйский</w:t>
            </w:r>
          </w:p>
        </w:tc>
        <w:tc>
          <w:tcPr>
            <w:tcW w:w="1001" w:type="pct"/>
            <w:tcBorders>
              <w:top w:val="nil"/>
              <w:left w:val="nil"/>
              <w:bottom w:val="single" w:sz="4" w:space="0" w:color="auto"/>
              <w:right w:val="single" w:sz="4" w:space="0" w:color="auto"/>
            </w:tcBorders>
            <w:shd w:val="clear" w:color="auto" w:fill="auto"/>
            <w:noWrap/>
            <w:vAlign w:val="center"/>
            <w:hideMark/>
          </w:tcPr>
          <w:p w14:paraId="01CE65C0" w14:textId="77777777" w:rsidR="00322AE9" w:rsidRPr="00322AE9" w:rsidRDefault="00322AE9" w:rsidP="00322AE9">
            <w:pPr>
              <w:suppressAutoHyphens/>
              <w:adjustRightInd w:val="0"/>
              <w:ind w:firstLine="0"/>
              <w:jc w:val="center"/>
              <w:textAlignment w:val="baseline"/>
              <w:rPr>
                <w:rFonts w:eastAsia="Times New Roman" w:cs="Times New Roman"/>
                <w:color w:val="000000"/>
                <w:spacing w:val="-5"/>
                <w:sz w:val="22"/>
                <w:szCs w:val="20"/>
              </w:rPr>
            </w:pPr>
            <w:r w:rsidRPr="00322AE9">
              <w:rPr>
                <w:rFonts w:eastAsia="Times New Roman" w:cs="Times New Roman"/>
                <w:color w:val="000000"/>
                <w:spacing w:val="-5"/>
                <w:sz w:val="22"/>
                <w:szCs w:val="20"/>
              </w:rPr>
              <w:t>6</w:t>
            </w:r>
          </w:p>
        </w:tc>
        <w:tc>
          <w:tcPr>
            <w:tcW w:w="1476" w:type="pct"/>
            <w:tcBorders>
              <w:top w:val="nil"/>
              <w:left w:val="nil"/>
              <w:bottom w:val="single" w:sz="4" w:space="0" w:color="auto"/>
              <w:right w:val="single" w:sz="4" w:space="0" w:color="auto"/>
            </w:tcBorders>
            <w:shd w:val="clear" w:color="auto" w:fill="auto"/>
            <w:noWrap/>
            <w:vAlign w:val="center"/>
            <w:hideMark/>
          </w:tcPr>
          <w:p w14:paraId="6622280D" w14:textId="77777777" w:rsidR="00322AE9" w:rsidRPr="00322AE9" w:rsidRDefault="00322AE9" w:rsidP="00322AE9">
            <w:pPr>
              <w:suppressAutoHyphens/>
              <w:adjustRightInd w:val="0"/>
              <w:ind w:firstLine="0"/>
              <w:jc w:val="center"/>
              <w:textAlignment w:val="baseline"/>
              <w:rPr>
                <w:rFonts w:eastAsia="Times New Roman" w:cs="Times New Roman"/>
                <w:color w:val="000000"/>
                <w:spacing w:val="-5"/>
                <w:sz w:val="22"/>
                <w:szCs w:val="20"/>
              </w:rPr>
            </w:pPr>
            <w:r w:rsidRPr="00322AE9">
              <w:rPr>
                <w:rFonts w:eastAsia="Times New Roman" w:cs="Times New Roman"/>
                <w:color w:val="000000"/>
                <w:spacing w:val="-5"/>
                <w:sz w:val="22"/>
                <w:szCs w:val="20"/>
              </w:rPr>
              <w:t>7</w:t>
            </w:r>
          </w:p>
        </w:tc>
        <w:tc>
          <w:tcPr>
            <w:tcW w:w="1312" w:type="pct"/>
            <w:tcBorders>
              <w:top w:val="nil"/>
              <w:left w:val="nil"/>
              <w:bottom w:val="single" w:sz="4" w:space="0" w:color="auto"/>
              <w:right w:val="single" w:sz="4" w:space="0" w:color="auto"/>
            </w:tcBorders>
            <w:shd w:val="clear" w:color="auto" w:fill="auto"/>
            <w:noWrap/>
            <w:vAlign w:val="center"/>
            <w:hideMark/>
          </w:tcPr>
          <w:p w14:paraId="4767687F" w14:textId="77777777" w:rsidR="00322AE9" w:rsidRPr="00322AE9" w:rsidRDefault="00322AE9" w:rsidP="00322AE9">
            <w:pPr>
              <w:suppressAutoHyphens/>
              <w:adjustRightInd w:val="0"/>
              <w:ind w:firstLine="0"/>
              <w:jc w:val="center"/>
              <w:textAlignment w:val="baseline"/>
              <w:rPr>
                <w:rFonts w:eastAsia="Times New Roman" w:cs="Times New Roman"/>
                <w:color w:val="000000"/>
                <w:spacing w:val="-5"/>
                <w:sz w:val="22"/>
                <w:szCs w:val="20"/>
              </w:rPr>
            </w:pPr>
            <w:r w:rsidRPr="00322AE9">
              <w:rPr>
                <w:rFonts w:eastAsia="Times New Roman" w:cs="Times New Roman"/>
                <w:color w:val="000000"/>
                <w:spacing w:val="-5"/>
                <w:sz w:val="22"/>
                <w:szCs w:val="20"/>
              </w:rPr>
              <w:t>7</w:t>
            </w:r>
          </w:p>
        </w:tc>
      </w:tr>
      <w:tr w:rsidR="00322AE9" w:rsidRPr="00322AE9" w14:paraId="7EA12FAB" w14:textId="77777777" w:rsidTr="00EC492E">
        <w:trPr>
          <w:trHeight w:val="300"/>
        </w:trPr>
        <w:tc>
          <w:tcPr>
            <w:tcW w:w="1211" w:type="pct"/>
            <w:tcBorders>
              <w:top w:val="nil"/>
              <w:left w:val="single" w:sz="4" w:space="0" w:color="auto"/>
              <w:bottom w:val="single" w:sz="4" w:space="0" w:color="auto"/>
              <w:right w:val="single" w:sz="4" w:space="0" w:color="auto"/>
            </w:tcBorders>
            <w:shd w:val="clear" w:color="auto" w:fill="auto"/>
            <w:noWrap/>
            <w:vAlign w:val="bottom"/>
            <w:hideMark/>
          </w:tcPr>
          <w:p w14:paraId="2F70C127" w14:textId="77777777" w:rsidR="00322AE9" w:rsidRPr="00322AE9" w:rsidRDefault="00322AE9" w:rsidP="00322AE9">
            <w:pPr>
              <w:suppressAutoHyphens/>
              <w:adjustRightInd w:val="0"/>
              <w:ind w:firstLine="29"/>
              <w:textAlignment w:val="baseline"/>
              <w:rPr>
                <w:rFonts w:eastAsia="Times New Roman" w:cs="Times New Roman"/>
                <w:color w:val="000000"/>
                <w:spacing w:val="-5"/>
                <w:sz w:val="22"/>
                <w:szCs w:val="20"/>
              </w:rPr>
            </w:pPr>
            <w:r w:rsidRPr="00322AE9">
              <w:rPr>
                <w:rFonts w:eastAsia="Times New Roman" w:cs="Times New Roman"/>
                <w:color w:val="000000"/>
                <w:spacing w:val="-5"/>
                <w:sz w:val="22"/>
                <w:szCs w:val="20"/>
              </w:rPr>
              <w:t>Алданский</w:t>
            </w:r>
          </w:p>
        </w:tc>
        <w:tc>
          <w:tcPr>
            <w:tcW w:w="1001" w:type="pct"/>
            <w:tcBorders>
              <w:top w:val="nil"/>
              <w:left w:val="nil"/>
              <w:bottom w:val="single" w:sz="4" w:space="0" w:color="auto"/>
              <w:right w:val="single" w:sz="4" w:space="0" w:color="auto"/>
            </w:tcBorders>
            <w:shd w:val="clear" w:color="auto" w:fill="auto"/>
            <w:noWrap/>
            <w:vAlign w:val="center"/>
            <w:hideMark/>
          </w:tcPr>
          <w:p w14:paraId="13AEB4C9" w14:textId="77777777" w:rsidR="00322AE9" w:rsidRPr="00322AE9" w:rsidRDefault="00322AE9" w:rsidP="00322AE9">
            <w:pPr>
              <w:suppressAutoHyphens/>
              <w:adjustRightInd w:val="0"/>
              <w:ind w:firstLine="0"/>
              <w:jc w:val="center"/>
              <w:textAlignment w:val="baseline"/>
              <w:rPr>
                <w:rFonts w:eastAsia="Times New Roman" w:cs="Times New Roman"/>
                <w:color w:val="000000"/>
                <w:spacing w:val="-5"/>
                <w:sz w:val="22"/>
                <w:szCs w:val="20"/>
              </w:rPr>
            </w:pPr>
            <w:r w:rsidRPr="00322AE9">
              <w:rPr>
                <w:rFonts w:eastAsia="Times New Roman" w:cs="Times New Roman"/>
                <w:color w:val="000000"/>
                <w:spacing w:val="-5"/>
                <w:sz w:val="22"/>
                <w:szCs w:val="20"/>
              </w:rPr>
              <w:t>6</w:t>
            </w:r>
          </w:p>
        </w:tc>
        <w:tc>
          <w:tcPr>
            <w:tcW w:w="1476" w:type="pct"/>
            <w:tcBorders>
              <w:top w:val="nil"/>
              <w:left w:val="nil"/>
              <w:bottom w:val="single" w:sz="4" w:space="0" w:color="auto"/>
              <w:right w:val="single" w:sz="4" w:space="0" w:color="auto"/>
            </w:tcBorders>
            <w:shd w:val="clear" w:color="auto" w:fill="auto"/>
            <w:noWrap/>
            <w:vAlign w:val="center"/>
            <w:hideMark/>
          </w:tcPr>
          <w:p w14:paraId="305A3EAA" w14:textId="77777777" w:rsidR="00322AE9" w:rsidRPr="00322AE9" w:rsidRDefault="00322AE9" w:rsidP="00322AE9">
            <w:pPr>
              <w:suppressAutoHyphens/>
              <w:adjustRightInd w:val="0"/>
              <w:ind w:firstLine="0"/>
              <w:jc w:val="center"/>
              <w:textAlignment w:val="baseline"/>
              <w:rPr>
                <w:rFonts w:eastAsia="Times New Roman" w:cs="Times New Roman"/>
                <w:color w:val="000000"/>
                <w:spacing w:val="-5"/>
                <w:sz w:val="22"/>
                <w:szCs w:val="20"/>
              </w:rPr>
            </w:pPr>
            <w:r w:rsidRPr="00322AE9">
              <w:rPr>
                <w:rFonts w:eastAsia="Times New Roman" w:cs="Times New Roman"/>
                <w:color w:val="000000"/>
                <w:spacing w:val="-5"/>
                <w:sz w:val="22"/>
                <w:szCs w:val="20"/>
              </w:rPr>
              <w:t>7</w:t>
            </w:r>
          </w:p>
        </w:tc>
        <w:tc>
          <w:tcPr>
            <w:tcW w:w="1312" w:type="pct"/>
            <w:tcBorders>
              <w:top w:val="nil"/>
              <w:left w:val="nil"/>
              <w:bottom w:val="single" w:sz="4" w:space="0" w:color="auto"/>
              <w:right w:val="single" w:sz="4" w:space="0" w:color="auto"/>
            </w:tcBorders>
            <w:shd w:val="clear" w:color="auto" w:fill="auto"/>
            <w:noWrap/>
            <w:vAlign w:val="center"/>
            <w:hideMark/>
          </w:tcPr>
          <w:p w14:paraId="1122C9B7" w14:textId="77777777" w:rsidR="00322AE9" w:rsidRPr="00322AE9" w:rsidRDefault="00322AE9" w:rsidP="00322AE9">
            <w:pPr>
              <w:suppressAutoHyphens/>
              <w:adjustRightInd w:val="0"/>
              <w:ind w:firstLine="0"/>
              <w:jc w:val="center"/>
              <w:textAlignment w:val="baseline"/>
              <w:rPr>
                <w:rFonts w:eastAsia="Times New Roman" w:cs="Times New Roman"/>
                <w:color w:val="000000"/>
                <w:spacing w:val="-5"/>
                <w:sz w:val="22"/>
                <w:szCs w:val="20"/>
              </w:rPr>
            </w:pPr>
            <w:r w:rsidRPr="00322AE9">
              <w:rPr>
                <w:rFonts w:eastAsia="Times New Roman" w:cs="Times New Roman"/>
                <w:color w:val="000000"/>
                <w:spacing w:val="-5"/>
                <w:sz w:val="22"/>
                <w:szCs w:val="20"/>
              </w:rPr>
              <w:t>7</w:t>
            </w:r>
          </w:p>
        </w:tc>
      </w:tr>
      <w:tr w:rsidR="00322AE9" w:rsidRPr="00322AE9" w14:paraId="37A0C7B8" w14:textId="77777777" w:rsidTr="00EC492E">
        <w:trPr>
          <w:trHeight w:val="300"/>
        </w:trPr>
        <w:tc>
          <w:tcPr>
            <w:tcW w:w="1211" w:type="pct"/>
            <w:tcBorders>
              <w:top w:val="nil"/>
              <w:left w:val="single" w:sz="4" w:space="0" w:color="auto"/>
              <w:bottom w:val="single" w:sz="4" w:space="0" w:color="auto"/>
              <w:right w:val="single" w:sz="4" w:space="0" w:color="auto"/>
            </w:tcBorders>
            <w:shd w:val="clear" w:color="auto" w:fill="auto"/>
            <w:noWrap/>
            <w:vAlign w:val="bottom"/>
            <w:hideMark/>
          </w:tcPr>
          <w:p w14:paraId="08AEAA30" w14:textId="77777777" w:rsidR="00322AE9" w:rsidRPr="00322AE9" w:rsidRDefault="00322AE9" w:rsidP="00322AE9">
            <w:pPr>
              <w:suppressAutoHyphens/>
              <w:adjustRightInd w:val="0"/>
              <w:ind w:firstLine="29"/>
              <w:textAlignment w:val="baseline"/>
              <w:rPr>
                <w:rFonts w:eastAsia="Times New Roman" w:cs="Times New Roman"/>
                <w:color w:val="000000"/>
                <w:spacing w:val="-5"/>
                <w:sz w:val="22"/>
                <w:szCs w:val="20"/>
              </w:rPr>
            </w:pPr>
            <w:r w:rsidRPr="00322AE9">
              <w:rPr>
                <w:rFonts w:eastAsia="Times New Roman" w:cs="Times New Roman"/>
                <w:color w:val="000000"/>
                <w:spacing w:val="-5"/>
                <w:sz w:val="22"/>
                <w:szCs w:val="20"/>
              </w:rPr>
              <w:t>Булунский</w:t>
            </w:r>
          </w:p>
        </w:tc>
        <w:tc>
          <w:tcPr>
            <w:tcW w:w="1001" w:type="pct"/>
            <w:tcBorders>
              <w:top w:val="nil"/>
              <w:left w:val="nil"/>
              <w:bottom w:val="single" w:sz="4" w:space="0" w:color="auto"/>
              <w:right w:val="single" w:sz="4" w:space="0" w:color="auto"/>
            </w:tcBorders>
            <w:shd w:val="clear" w:color="auto" w:fill="auto"/>
            <w:noWrap/>
            <w:vAlign w:val="center"/>
            <w:hideMark/>
          </w:tcPr>
          <w:p w14:paraId="2FC398AE" w14:textId="77777777" w:rsidR="00322AE9" w:rsidRPr="00322AE9" w:rsidRDefault="00322AE9" w:rsidP="00322AE9">
            <w:pPr>
              <w:suppressAutoHyphens/>
              <w:adjustRightInd w:val="0"/>
              <w:ind w:firstLine="0"/>
              <w:jc w:val="center"/>
              <w:textAlignment w:val="baseline"/>
              <w:rPr>
                <w:rFonts w:eastAsia="Times New Roman" w:cs="Times New Roman"/>
                <w:color w:val="000000"/>
                <w:spacing w:val="-5"/>
                <w:sz w:val="22"/>
                <w:szCs w:val="20"/>
              </w:rPr>
            </w:pPr>
            <w:r w:rsidRPr="00322AE9">
              <w:rPr>
                <w:rFonts w:eastAsia="Times New Roman" w:cs="Times New Roman"/>
                <w:color w:val="000000"/>
                <w:spacing w:val="-5"/>
                <w:sz w:val="22"/>
                <w:szCs w:val="20"/>
              </w:rPr>
              <w:t>8</w:t>
            </w:r>
          </w:p>
        </w:tc>
        <w:tc>
          <w:tcPr>
            <w:tcW w:w="1476" w:type="pct"/>
            <w:tcBorders>
              <w:top w:val="nil"/>
              <w:left w:val="nil"/>
              <w:bottom w:val="single" w:sz="4" w:space="0" w:color="auto"/>
              <w:right w:val="single" w:sz="4" w:space="0" w:color="auto"/>
            </w:tcBorders>
            <w:shd w:val="clear" w:color="auto" w:fill="auto"/>
            <w:noWrap/>
            <w:vAlign w:val="center"/>
            <w:hideMark/>
          </w:tcPr>
          <w:p w14:paraId="7DC50940" w14:textId="77777777" w:rsidR="00322AE9" w:rsidRPr="00322AE9" w:rsidRDefault="00322AE9" w:rsidP="00322AE9">
            <w:pPr>
              <w:suppressAutoHyphens/>
              <w:adjustRightInd w:val="0"/>
              <w:ind w:firstLine="0"/>
              <w:jc w:val="center"/>
              <w:textAlignment w:val="baseline"/>
              <w:rPr>
                <w:rFonts w:eastAsia="Times New Roman" w:cs="Times New Roman"/>
                <w:color w:val="000000"/>
                <w:spacing w:val="-5"/>
                <w:sz w:val="22"/>
                <w:szCs w:val="20"/>
              </w:rPr>
            </w:pPr>
            <w:r w:rsidRPr="00322AE9">
              <w:rPr>
                <w:rFonts w:eastAsia="Times New Roman" w:cs="Times New Roman"/>
                <w:color w:val="000000"/>
                <w:spacing w:val="-5"/>
                <w:sz w:val="22"/>
                <w:szCs w:val="20"/>
              </w:rPr>
              <w:t>9</w:t>
            </w:r>
          </w:p>
        </w:tc>
        <w:tc>
          <w:tcPr>
            <w:tcW w:w="1312" w:type="pct"/>
            <w:tcBorders>
              <w:top w:val="nil"/>
              <w:left w:val="nil"/>
              <w:bottom w:val="single" w:sz="4" w:space="0" w:color="auto"/>
              <w:right w:val="single" w:sz="4" w:space="0" w:color="auto"/>
            </w:tcBorders>
            <w:shd w:val="clear" w:color="auto" w:fill="auto"/>
            <w:noWrap/>
            <w:vAlign w:val="center"/>
            <w:hideMark/>
          </w:tcPr>
          <w:p w14:paraId="0B00C561" w14:textId="77777777" w:rsidR="00322AE9" w:rsidRPr="00322AE9" w:rsidRDefault="00322AE9" w:rsidP="00322AE9">
            <w:pPr>
              <w:suppressAutoHyphens/>
              <w:adjustRightInd w:val="0"/>
              <w:ind w:firstLine="0"/>
              <w:jc w:val="center"/>
              <w:textAlignment w:val="baseline"/>
              <w:rPr>
                <w:rFonts w:eastAsia="Times New Roman" w:cs="Times New Roman"/>
                <w:color w:val="000000"/>
                <w:spacing w:val="-5"/>
                <w:sz w:val="22"/>
                <w:szCs w:val="20"/>
              </w:rPr>
            </w:pPr>
            <w:r w:rsidRPr="00322AE9">
              <w:rPr>
                <w:rFonts w:eastAsia="Times New Roman" w:cs="Times New Roman"/>
                <w:color w:val="000000"/>
                <w:spacing w:val="-5"/>
                <w:sz w:val="22"/>
                <w:szCs w:val="20"/>
              </w:rPr>
              <w:t>10</w:t>
            </w:r>
          </w:p>
        </w:tc>
      </w:tr>
      <w:tr w:rsidR="00322AE9" w:rsidRPr="00322AE9" w14:paraId="1DB9E2E9" w14:textId="77777777" w:rsidTr="00EC492E">
        <w:trPr>
          <w:trHeight w:val="300"/>
        </w:trPr>
        <w:tc>
          <w:tcPr>
            <w:tcW w:w="1211" w:type="pct"/>
            <w:tcBorders>
              <w:top w:val="nil"/>
              <w:left w:val="single" w:sz="4" w:space="0" w:color="auto"/>
              <w:bottom w:val="single" w:sz="4" w:space="0" w:color="auto"/>
              <w:right w:val="single" w:sz="4" w:space="0" w:color="auto"/>
            </w:tcBorders>
            <w:shd w:val="clear" w:color="auto" w:fill="auto"/>
            <w:noWrap/>
            <w:vAlign w:val="bottom"/>
            <w:hideMark/>
          </w:tcPr>
          <w:p w14:paraId="2E1AC180" w14:textId="77777777" w:rsidR="00322AE9" w:rsidRPr="00322AE9" w:rsidRDefault="00322AE9" w:rsidP="00322AE9">
            <w:pPr>
              <w:suppressAutoHyphens/>
              <w:adjustRightInd w:val="0"/>
              <w:ind w:firstLine="29"/>
              <w:textAlignment w:val="baseline"/>
              <w:rPr>
                <w:rFonts w:eastAsia="Times New Roman" w:cs="Times New Roman"/>
                <w:color w:val="000000"/>
                <w:spacing w:val="-5"/>
                <w:sz w:val="22"/>
                <w:szCs w:val="20"/>
              </w:rPr>
            </w:pPr>
            <w:r w:rsidRPr="00322AE9">
              <w:rPr>
                <w:rFonts w:eastAsia="Times New Roman" w:cs="Times New Roman"/>
                <w:color w:val="000000"/>
                <w:spacing w:val="-5"/>
                <w:sz w:val="22"/>
                <w:szCs w:val="20"/>
              </w:rPr>
              <w:t>Верхнеколымский</w:t>
            </w:r>
          </w:p>
        </w:tc>
        <w:tc>
          <w:tcPr>
            <w:tcW w:w="1001" w:type="pct"/>
            <w:tcBorders>
              <w:top w:val="nil"/>
              <w:left w:val="nil"/>
              <w:bottom w:val="single" w:sz="4" w:space="0" w:color="auto"/>
              <w:right w:val="single" w:sz="4" w:space="0" w:color="auto"/>
            </w:tcBorders>
            <w:shd w:val="clear" w:color="auto" w:fill="auto"/>
            <w:noWrap/>
            <w:vAlign w:val="center"/>
            <w:hideMark/>
          </w:tcPr>
          <w:p w14:paraId="537E154E" w14:textId="77777777" w:rsidR="00322AE9" w:rsidRPr="00322AE9" w:rsidRDefault="00322AE9" w:rsidP="00322AE9">
            <w:pPr>
              <w:suppressAutoHyphens/>
              <w:adjustRightInd w:val="0"/>
              <w:ind w:firstLine="0"/>
              <w:jc w:val="center"/>
              <w:textAlignment w:val="baseline"/>
              <w:rPr>
                <w:rFonts w:eastAsia="Times New Roman" w:cs="Times New Roman"/>
                <w:color w:val="000000"/>
                <w:spacing w:val="-5"/>
                <w:sz w:val="22"/>
                <w:szCs w:val="20"/>
              </w:rPr>
            </w:pPr>
            <w:r w:rsidRPr="00322AE9">
              <w:rPr>
                <w:rFonts w:eastAsia="Times New Roman" w:cs="Times New Roman"/>
                <w:color w:val="000000"/>
                <w:spacing w:val="-5"/>
                <w:sz w:val="22"/>
                <w:szCs w:val="20"/>
              </w:rPr>
              <w:t>6</w:t>
            </w:r>
          </w:p>
        </w:tc>
        <w:tc>
          <w:tcPr>
            <w:tcW w:w="1476" w:type="pct"/>
            <w:tcBorders>
              <w:top w:val="nil"/>
              <w:left w:val="nil"/>
              <w:bottom w:val="single" w:sz="4" w:space="0" w:color="auto"/>
              <w:right w:val="single" w:sz="4" w:space="0" w:color="auto"/>
            </w:tcBorders>
            <w:shd w:val="clear" w:color="auto" w:fill="auto"/>
            <w:noWrap/>
            <w:vAlign w:val="center"/>
            <w:hideMark/>
          </w:tcPr>
          <w:p w14:paraId="270427F4" w14:textId="77777777" w:rsidR="00322AE9" w:rsidRPr="00322AE9" w:rsidRDefault="00322AE9" w:rsidP="00322AE9">
            <w:pPr>
              <w:suppressAutoHyphens/>
              <w:adjustRightInd w:val="0"/>
              <w:ind w:firstLine="0"/>
              <w:jc w:val="center"/>
              <w:textAlignment w:val="baseline"/>
              <w:rPr>
                <w:rFonts w:eastAsia="Times New Roman" w:cs="Times New Roman"/>
                <w:color w:val="000000"/>
                <w:spacing w:val="-5"/>
                <w:sz w:val="22"/>
                <w:szCs w:val="20"/>
              </w:rPr>
            </w:pPr>
            <w:r w:rsidRPr="00322AE9">
              <w:rPr>
                <w:rFonts w:eastAsia="Times New Roman" w:cs="Times New Roman"/>
                <w:color w:val="000000"/>
                <w:spacing w:val="-5"/>
                <w:sz w:val="22"/>
                <w:szCs w:val="20"/>
              </w:rPr>
              <w:t>6</w:t>
            </w:r>
          </w:p>
        </w:tc>
        <w:tc>
          <w:tcPr>
            <w:tcW w:w="1312" w:type="pct"/>
            <w:tcBorders>
              <w:top w:val="nil"/>
              <w:left w:val="nil"/>
              <w:bottom w:val="single" w:sz="4" w:space="0" w:color="auto"/>
              <w:right w:val="single" w:sz="4" w:space="0" w:color="auto"/>
            </w:tcBorders>
            <w:shd w:val="clear" w:color="auto" w:fill="auto"/>
            <w:noWrap/>
            <w:vAlign w:val="center"/>
            <w:hideMark/>
          </w:tcPr>
          <w:p w14:paraId="657D9494" w14:textId="77777777" w:rsidR="00322AE9" w:rsidRPr="00322AE9" w:rsidRDefault="00322AE9" w:rsidP="00322AE9">
            <w:pPr>
              <w:suppressAutoHyphens/>
              <w:adjustRightInd w:val="0"/>
              <w:ind w:firstLine="0"/>
              <w:jc w:val="center"/>
              <w:textAlignment w:val="baseline"/>
              <w:rPr>
                <w:rFonts w:eastAsia="Times New Roman" w:cs="Times New Roman"/>
                <w:color w:val="000000"/>
                <w:spacing w:val="-5"/>
                <w:sz w:val="22"/>
                <w:szCs w:val="20"/>
              </w:rPr>
            </w:pPr>
            <w:r w:rsidRPr="00322AE9">
              <w:rPr>
                <w:rFonts w:eastAsia="Times New Roman" w:cs="Times New Roman"/>
                <w:color w:val="000000"/>
                <w:spacing w:val="-5"/>
                <w:sz w:val="22"/>
                <w:szCs w:val="20"/>
              </w:rPr>
              <w:t>8</w:t>
            </w:r>
          </w:p>
        </w:tc>
      </w:tr>
      <w:tr w:rsidR="00322AE9" w:rsidRPr="00322AE9" w14:paraId="06788F68" w14:textId="77777777" w:rsidTr="00EC492E">
        <w:trPr>
          <w:trHeight w:val="300"/>
        </w:trPr>
        <w:tc>
          <w:tcPr>
            <w:tcW w:w="1211" w:type="pct"/>
            <w:tcBorders>
              <w:top w:val="nil"/>
              <w:left w:val="single" w:sz="4" w:space="0" w:color="auto"/>
              <w:bottom w:val="single" w:sz="4" w:space="0" w:color="auto"/>
              <w:right w:val="single" w:sz="4" w:space="0" w:color="auto"/>
            </w:tcBorders>
            <w:shd w:val="clear" w:color="auto" w:fill="auto"/>
            <w:noWrap/>
            <w:vAlign w:val="bottom"/>
            <w:hideMark/>
          </w:tcPr>
          <w:p w14:paraId="7F42C2C2" w14:textId="77777777" w:rsidR="00322AE9" w:rsidRPr="00322AE9" w:rsidRDefault="00322AE9" w:rsidP="00322AE9">
            <w:pPr>
              <w:suppressAutoHyphens/>
              <w:adjustRightInd w:val="0"/>
              <w:ind w:firstLine="29"/>
              <w:textAlignment w:val="baseline"/>
              <w:rPr>
                <w:rFonts w:eastAsia="Times New Roman" w:cs="Times New Roman"/>
                <w:color w:val="000000"/>
                <w:spacing w:val="-5"/>
                <w:sz w:val="22"/>
                <w:szCs w:val="20"/>
              </w:rPr>
            </w:pPr>
            <w:r w:rsidRPr="00322AE9">
              <w:rPr>
                <w:rFonts w:eastAsia="Times New Roman" w:cs="Times New Roman"/>
                <w:color w:val="000000"/>
                <w:spacing w:val="-5"/>
                <w:sz w:val="22"/>
                <w:szCs w:val="20"/>
              </w:rPr>
              <w:t>Верхоянский</w:t>
            </w:r>
          </w:p>
        </w:tc>
        <w:tc>
          <w:tcPr>
            <w:tcW w:w="1001" w:type="pct"/>
            <w:tcBorders>
              <w:top w:val="nil"/>
              <w:left w:val="nil"/>
              <w:bottom w:val="single" w:sz="4" w:space="0" w:color="auto"/>
              <w:right w:val="single" w:sz="4" w:space="0" w:color="auto"/>
            </w:tcBorders>
            <w:shd w:val="clear" w:color="auto" w:fill="auto"/>
            <w:noWrap/>
            <w:vAlign w:val="center"/>
            <w:hideMark/>
          </w:tcPr>
          <w:p w14:paraId="3F367C92" w14:textId="77777777" w:rsidR="00322AE9" w:rsidRPr="00322AE9" w:rsidRDefault="00322AE9" w:rsidP="00322AE9">
            <w:pPr>
              <w:suppressAutoHyphens/>
              <w:adjustRightInd w:val="0"/>
              <w:ind w:firstLine="0"/>
              <w:jc w:val="center"/>
              <w:textAlignment w:val="baseline"/>
              <w:rPr>
                <w:rFonts w:eastAsia="Times New Roman" w:cs="Times New Roman"/>
                <w:color w:val="000000"/>
                <w:spacing w:val="-5"/>
                <w:sz w:val="22"/>
                <w:szCs w:val="20"/>
              </w:rPr>
            </w:pPr>
            <w:r w:rsidRPr="00322AE9">
              <w:rPr>
                <w:rFonts w:eastAsia="Times New Roman" w:cs="Times New Roman"/>
                <w:color w:val="000000"/>
                <w:spacing w:val="-5"/>
                <w:sz w:val="22"/>
                <w:szCs w:val="20"/>
              </w:rPr>
              <w:t>7</w:t>
            </w:r>
          </w:p>
        </w:tc>
        <w:tc>
          <w:tcPr>
            <w:tcW w:w="1476" w:type="pct"/>
            <w:tcBorders>
              <w:top w:val="nil"/>
              <w:left w:val="nil"/>
              <w:bottom w:val="single" w:sz="4" w:space="0" w:color="auto"/>
              <w:right w:val="single" w:sz="4" w:space="0" w:color="auto"/>
            </w:tcBorders>
            <w:shd w:val="clear" w:color="auto" w:fill="auto"/>
            <w:noWrap/>
            <w:vAlign w:val="center"/>
            <w:hideMark/>
          </w:tcPr>
          <w:p w14:paraId="2855BCB1" w14:textId="77777777" w:rsidR="00322AE9" w:rsidRPr="00322AE9" w:rsidRDefault="00322AE9" w:rsidP="00322AE9">
            <w:pPr>
              <w:suppressAutoHyphens/>
              <w:adjustRightInd w:val="0"/>
              <w:ind w:firstLine="0"/>
              <w:jc w:val="center"/>
              <w:textAlignment w:val="baseline"/>
              <w:rPr>
                <w:rFonts w:eastAsia="Times New Roman" w:cs="Times New Roman"/>
                <w:color w:val="000000"/>
                <w:spacing w:val="-5"/>
                <w:sz w:val="22"/>
                <w:szCs w:val="20"/>
              </w:rPr>
            </w:pPr>
            <w:r w:rsidRPr="00322AE9">
              <w:rPr>
                <w:rFonts w:eastAsia="Times New Roman" w:cs="Times New Roman"/>
                <w:color w:val="000000"/>
                <w:spacing w:val="-5"/>
                <w:sz w:val="22"/>
                <w:szCs w:val="20"/>
              </w:rPr>
              <w:t>7</w:t>
            </w:r>
          </w:p>
        </w:tc>
        <w:tc>
          <w:tcPr>
            <w:tcW w:w="1312" w:type="pct"/>
            <w:tcBorders>
              <w:top w:val="nil"/>
              <w:left w:val="nil"/>
              <w:bottom w:val="single" w:sz="4" w:space="0" w:color="auto"/>
              <w:right w:val="single" w:sz="4" w:space="0" w:color="auto"/>
            </w:tcBorders>
            <w:shd w:val="clear" w:color="auto" w:fill="auto"/>
            <w:noWrap/>
            <w:vAlign w:val="center"/>
            <w:hideMark/>
          </w:tcPr>
          <w:p w14:paraId="7C3488FF" w14:textId="77777777" w:rsidR="00322AE9" w:rsidRPr="00322AE9" w:rsidRDefault="00322AE9" w:rsidP="00322AE9">
            <w:pPr>
              <w:suppressAutoHyphens/>
              <w:adjustRightInd w:val="0"/>
              <w:ind w:firstLine="0"/>
              <w:jc w:val="center"/>
              <w:textAlignment w:val="baseline"/>
              <w:rPr>
                <w:rFonts w:eastAsia="Times New Roman" w:cs="Times New Roman"/>
                <w:color w:val="000000"/>
                <w:spacing w:val="-5"/>
                <w:sz w:val="22"/>
                <w:szCs w:val="20"/>
              </w:rPr>
            </w:pPr>
            <w:r w:rsidRPr="00322AE9">
              <w:rPr>
                <w:rFonts w:eastAsia="Times New Roman" w:cs="Times New Roman"/>
                <w:color w:val="000000"/>
                <w:spacing w:val="-5"/>
                <w:sz w:val="22"/>
                <w:szCs w:val="20"/>
              </w:rPr>
              <w:t>8</w:t>
            </w:r>
          </w:p>
        </w:tc>
      </w:tr>
      <w:tr w:rsidR="00322AE9" w:rsidRPr="00322AE9" w14:paraId="4128C6A3" w14:textId="77777777" w:rsidTr="00EC492E">
        <w:trPr>
          <w:trHeight w:val="300"/>
        </w:trPr>
        <w:tc>
          <w:tcPr>
            <w:tcW w:w="1211" w:type="pct"/>
            <w:tcBorders>
              <w:top w:val="nil"/>
              <w:left w:val="single" w:sz="4" w:space="0" w:color="auto"/>
              <w:bottom w:val="single" w:sz="4" w:space="0" w:color="auto"/>
              <w:right w:val="single" w:sz="4" w:space="0" w:color="auto"/>
            </w:tcBorders>
            <w:shd w:val="clear" w:color="auto" w:fill="auto"/>
            <w:noWrap/>
            <w:vAlign w:val="bottom"/>
            <w:hideMark/>
          </w:tcPr>
          <w:p w14:paraId="5A224A7E" w14:textId="77777777" w:rsidR="00322AE9" w:rsidRPr="00322AE9" w:rsidRDefault="00322AE9" w:rsidP="00322AE9">
            <w:pPr>
              <w:suppressAutoHyphens/>
              <w:adjustRightInd w:val="0"/>
              <w:ind w:firstLine="29"/>
              <w:textAlignment w:val="baseline"/>
              <w:rPr>
                <w:rFonts w:eastAsia="Times New Roman" w:cs="Times New Roman"/>
                <w:color w:val="000000"/>
                <w:spacing w:val="-5"/>
                <w:sz w:val="22"/>
                <w:szCs w:val="20"/>
              </w:rPr>
            </w:pPr>
            <w:r w:rsidRPr="00322AE9">
              <w:rPr>
                <w:rFonts w:eastAsia="Times New Roman" w:cs="Times New Roman"/>
                <w:color w:val="000000"/>
                <w:spacing w:val="-5"/>
                <w:sz w:val="22"/>
                <w:szCs w:val="20"/>
              </w:rPr>
              <w:t>Момский</w:t>
            </w:r>
          </w:p>
        </w:tc>
        <w:tc>
          <w:tcPr>
            <w:tcW w:w="1001" w:type="pct"/>
            <w:tcBorders>
              <w:top w:val="nil"/>
              <w:left w:val="nil"/>
              <w:bottom w:val="single" w:sz="4" w:space="0" w:color="auto"/>
              <w:right w:val="single" w:sz="4" w:space="0" w:color="auto"/>
            </w:tcBorders>
            <w:shd w:val="clear" w:color="auto" w:fill="auto"/>
            <w:noWrap/>
            <w:vAlign w:val="center"/>
            <w:hideMark/>
          </w:tcPr>
          <w:p w14:paraId="7090A913" w14:textId="77777777" w:rsidR="00322AE9" w:rsidRPr="00322AE9" w:rsidRDefault="00322AE9" w:rsidP="00322AE9">
            <w:pPr>
              <w:suppressAutoHyphens/>
              <w:adjustRightInd w:val="0"/>
              <w:ind w:firstLine="0"/>
              <w:jc w:val="center"/>
              <w:textAlignment w:val="baseline"/>
              <w:rPr>
                <w:rFonts w:eastAsia="Times New Roman" w:cs="Times New Roman"/>
                <w:color w:val="000000"/>
                <w:spacing w:val="-5"/>
                <w:sz w:val="22"/>
                <w:szCs w:val="20"/>
              </w:rPr>
            </w:pPr>
            <w:r w:rsidRPr="00322AE9">
              <w:rPr>
                <w:rFonts w:eastAsia="Times New Roman" w:cs="Times New Roman"/>
                <w:color w:val="000000"/>
                <w:spacing w:val="-5"/>
                <w:sz w:val="22"/>
                <w:szCs w:val="20"/>
              </w:rPr>
              <w:t>7</w:t>
            </w:r>
          </w:p>
        </w:tc>
        <w:tc>
          <w:tcPr>
            <w:tcW w:w="1476" w:type="pct"/>
            <w:tcBorders>
              <w:top w:val="nil"/>
              <w:left w:val="nil"/>
              <w:bottom w:val="single" w:sz="4" w:space="0" w:color="auto"/>
              <w:right w:val="single" w:sz="4" w:space="0" w:color="auto"/>
            </w:tcBorders>
            <w:shd w:val="clear" w:color="auto" w:fill="auto"/>
            <w:noWrap/>
            <w:vAlign w:val="center"/>
            <w:hideMark/>
          </w:tcPr>
          <w:p w14:paraId="78B32DEB" w14:textId="77777777" w:rsidR="00322AE9" w:rsidRPr="00322AE9" w:rsidRDefault="00322AE9" w:rsidP="00322AE9">
            <w:pPr>
              <w:suppressAutoHyphens/>
              <w:adjustRightInd w:val="0"/>
              <w:ind w:firstLine="0"/>
              <w:jc w:val="center"/>
              <w:textAlignment w:val="baseline"/>
              <w:rPr>
                <w:rFonts w:eastAsia="Times New Roman" w:cs="Times New Roman"/>
                <w:color w:val="000000"/>
                <w:spacing w:val="-5"/>
                <w:sz w:val="22"/>
                <w:szCs w:val="20"/>
              </w:rPr>
            </w:pPr>
            <w:r w:rsidRPr="00322AE9">
              <w:rPr>
                <w:rFonts w:eastAsia="Times New Roman" w:cs="Times New Roman"/>
                <w:color w:val="000000"/>
                <w:spacing w:val="-5"/>
                <w:sz w:val="22"/>
                <w:szCs w:val="20"/>
              </w:rPr>
              <w:t>7</w:t>
            </w:r>
          </w:p>
        </w:tc>
        <w:tc>
          <w:tcPr>
            <w:tcW w:w="1312" w:type="pct"/>
            <w:tcBorders>
              <w:top w:val="nil"/>
              <w:left w:val="nil"/>
              <w:bottom w:val="single" w:sz="4" w:space="0" w:color="auto"/>
              <w:right w:val="single" w:sz="4" w:space="0" w:color="auto"/>
            </w:tcBorders>
            <w:shd w:val="clear" w:color="auto" w:fill="auto"/>
            <w:noWrap/>
            <w:vAlign w:val="center"/>
            <w:hideMark/>
          </w:tcPr>
          <w:p w14:paraId="0CF57F7E" w14:textId="77777777" w:rsidR="00322AE9" w:rsidRPr="00322AE9" w:rsidRDefault="00322AE9" w:rsidP="00322AE9">
            <w:pPr>
              <w:suppressAutoHyphens/>
              <w:adjustRightInd w:val="0"/>
              <w:ind w:firstLine="0"/>
              <w:jc w:val="center"/>
              <w:textAlignment w:val="baseline"/>
              <w:rPr>
                <w:rFonts w:eastAsia="Times New Roman" w:cs="Times New Roman"/>
                <w:color w:val="000000"/>
                <w:spacing w:val="-5"/>
                <w:sz w:val="22"/>
                <w:szCs w:val="20"/>
              </w:rPr>
            </w:pPr>
            <w:r w:rsidRPr="00322AE9">
              <w:rPr>
                <w:rFonts w:eastAsia="Times New Roman" w:cs="Times New Roman"/>
                <w:color w:val="000000"/>
                <w:spacing w:val="-5"/>
                <w:sz w:val="22"/>
                <w:szCs w:val="20"/>
              </w:rPr>
              <w:t>8</w:t>
            </w:r>
          </w:p>
        </w:tc>
      </w:tr>
      <w:tr w:rsidR="00322AE9" w:rsidRPr="00322AE9" w14:paraId="5F8FB64A" w14:textId="77777777" w:rsidTr="00EC492E">
        <w:trPr>
          <w:trHeight w:val="300"/>
        </w:trPr>
        <w:tc>
          <w:tcPr>
            <w:tcW w:w="1211" w:type="pct"/>
            <w:tcBorders>
              <w:top w:val="nil"/>
              <w:left w:val="single" w:sz="4" w:space="0" w:color="auto"/>
              <w:bottom w:val="single" w:sz="4" w:space="0" w:color="auto"/>
              <w:right w:val="single" w:sz="4" w:space="0" w:color="auto"/>
            </w:tcBorders>
            <w:shd w:val="clear" w:color="auto" w:fill="auto"/>
            <w:noWrap/>
            <w:vAlign w:val="bottom"/>
            <w:hideMark/>
          </w:tcPr>
          <w:p w14:paraId="54592817" w14:textId="77777777" w:rsidR="00322AE9" w:rsidRPr="00322AE9" w:rsidRDefault="00322AE9" w:rsidP="00322AE9">
            <w:pPr>
              <w:suppressAutoHyphens/>
              <w:adjustRightInd w:val="0"/>
              <w:ind w:firstLine="29"/>
              <w:textAlignment w:val="baseline"/>
              <w:rPr>
                <w:rFonts w:eastAsia="Times New Roman" w:cs="Times New Roman"/>
                <w:color w:val="000000"/>
                <w:spacing w:val="-5"/>
                <w:sz w:val="22"/>
                <w:szCs w:val="20"/>
              </w:rPr>
            </w:pPr>
            <w:r w:rsidRPr="00322AE9">
              <w:rPr>
                <w:rFonts w:eastAsia="Times New Roman" w:cs="Times New Roman"/>
                <w:color w:val="000000"/>
                <w:spacing w:val="-5"/>
                <w:sz w:val="22"/>
                <w:szCs w:val="20"/>
              </w:rPr>
              <w:t>Нерюнгринский</w:t>
            </w:r>
          </w:p>
        </w:tc>
        <w:tc>
          <w:tcPr>
            <w:tcW w:w="1001" w:type="pct"/>
            <w:tcBorders>
              <w:top w:val="nil"/>
              <w:left w:val="nil"/>
              <w:bottom w:val="single" w:sz="4" w:space="0" w:color="auto"/>
              <w:right w:val="single" w:sz="4" w:space="0" w:color="auto"/>
            </w:tcBorders>
            <w:shd w:val="clear" w:color="auto" w:fill="auto"/>
            <w:noWrap/>
            <w:vAlign w:val="center"/>
            <w:hideMark/>
          </w:tcPr>
          <w:p w14:paraId="7B63E221" w14:textId="77777777" w:rsidR="00322AE9" w:rsidRPr="00322AE9" w:rsidRDefault="00322AE9" w:rsidP="00322AE9">
            <w:pPr>
              <w:suppressAutoHyphens/>
              <w:adjustRightInd w:val="0"/>
              <w:ind w:firstLine="0"/>
              <w:jc w:val="center"/>
              <w:textAlignment w:val="baseline"/>
              <w:rPr>
                <w:rFonts w:eastAsia="Times New Roman" w:cs="Times New Roman"/>
                <w:color w:val="000000"/>
                <w:spacing w:val="-5"/>
                <w:sz w:val="22"/>
                <w:szCs w:val="20"/>
              </w:rPr>
            </w:pPr>
            <w:r w:rsidRPr="00322AE9">
              <w:rPr>
                <w:rFonts w:eastAsia="Times New Roman" w:cs="Times New Roman"/>
                <w:color w:val="000000"/>
                <w:spacing w:val="-5"/>
                <w:sz w:val="22"/>
                <w:szCs w:val="20"/>
              </w:rPr>
              <w:t>8</w:t>
            </w:r>
          </w:p>
        </w:tc>
        <w:tc>
          <w:tcPr>
            <w:tcW w:w="1476" w:type="pct"/>
            <w:tcBorders>
              <w:top w:val="nil"/>
              <w:left w:val="nil"/>
              <w:bottom w:val="single" w:sz="4" w:space="0" w:color="auto"/>
              <w:right w:val="single" w:sz="4" w:space="0" w:color="auto"/>
            </w:tcBorders>
            <w:shd w:val="clear" w:color="auto" w:fill="auto"/>
            <w:noWrap/>
            <w:vAlign w:val="center"/>
            <w:hideMark/>
          </w:tcPr>
          <w:p w14:paraId="41E6FBC8" w14:textId="77777777" w:rsidR="00322AE9" w:rsidRPr="00322AE9" w:rsidRDefault="00322AE9" w:rsidP="00322AE9">
            <w:pPr>
              <w:suppressAutoHyphens/>
              <w:adjustRightInd w:val="0"/>
              <w:ind w:firstLine="0"/>
              <w:jc w:val="center"/>
              <w:textAlignment w:val="baseline"/>
              <w:rPr>
                <w:rFonts w:eastAsia="Times New Roman" w:cs="Times New Roman"/>
                <w:color w:val="000000"/>
                <w:spacing w:val="-5"/>
                <w:sz w:val="22"/>
                <w:szCs w:val="20"/>
              </w:rPr>
            </w:pPr>
            <w:r w:rsidRPr="00322AE9">
              <w:rPr>
                <w:rFonts w:eastAsia="Times New Roman" w:cs="Times New Roman"/>
                <w:color w:val="000000"/>
                <w:spacing w:val="-5"/>
                <w:sz w:val="22"/>
                <w:szCs w:val="20"/>
              </w:rPr>
              <w:t>8</w:t>
            </w:r>
          </w:p>
        </w:tc>
        <w:tc>
          <w:tcPr>
            <w:tcW w:w="1312" w:type="pct"/>
            <w:tcBorders>
              <w:top w:val="nil"/>
              <w:left w:val="nil"/>
              <w:bottom w:val="single" w:sz="4" w:space="0" w:color="auto"/>
              <w:right w:val="single" w:sz="4" w:space="0" w:color="auto"/>
            </w:tcBorders>
            <w:shd w:val="clear" w:color="auto" w:fill="auto"/>
            <w:noWrap/>
            <w:vAlign w:val="center"/>
            <w:hideMark/>
          </w:tcPr>
          <w:p w14:paraId="555601CB" w14:textId="77777777" w:rsidR="00322AE9" w:rsidRPr="00322AE9" w:rsidRDefault="00322AE9" w:rsidP="00322AE9">
            <w:pPr>
              <w:suppressAutoHyphens/>
              <w:adjustRightInd w:val="0"/>
              <w:ind w:firstLine="0"/>
              <w:jc w:val="center"/>
              <w:textAlignment w:val="baseline"/>
              <w:rPr>
                <w:rFonts w:eastAsia="Times New Roman" w:cs="Times New Roman"/>
                <w:color w:val="000000"/>
                <w:spacing w:val="-5"/>
                <w:sz w:val="22"/>
                <w:szCs w:val="20"/>
              </w:rPr>
            </w:pPr>
            <w:r w:rsidRPr="00322AE9">
              <w:rPr>
                <w:rFonts w:eastAsia="Times New Roman" w:cs="Times New Roman"/>
                <w:color w:val="000000"/>
                <w:spacing w:val="-5"/>
                <w:sz w:val="22"/>
                <w:szCs w:val="20"/>
              </w:rPr>
              <w:t>10</w:t>
            </w:r>
          </w:p>
        </w:tc>
      </w:tr>
      <w:tr w:rsidR="00322AE9" w:rsidRPr="00322AE9" w14:paraId="49C13E23" w14:textId="77777777" w:rsidTr="00EC492E">
        <w:trPr>
          <w:trHeight w:val="300"/>
        </w:trPr>
        <w:tc>
          <w:tcPr>
            <w:tcW w:w="1211" w:type="pct"/>
            <w:tcBorders>
              <w:top w:val="nil"/>
              <w:left w:val="single" w:sz="4" w:space="0" w:color="auto"/>
              <w:bottom w:val="single" w:sz="4" w:space="0" w:color="auto"/>
              <w:right w:val="single" w:sz="4" w:space="0" w:color="auto"/>
            </w:tcBorders>
            <w:shd w:val="clear" w:color="auto" w:fill="auto"/>
            <w:noWrap/>
            <w:vAlign w:val="bottom"/>
            <w:hideMark/>
          </w:tcPr>
          <w:p w14:paraId="27512427" w14:textId="77777777" w:rsidR="00322AE9" w:rsidRPr="00322AE9" w:rsidRDefault="00322AE9" w:rsidP="00322AE9">
            <w:pPr>
              <w:suppressAutoHyphens/>
              <w:adjustRightInd w:val="0"/>
              <w:ind w:firstLine="29"/>
              <w:textAlignment w:val="baseline"/>
              <w:rPr>
                <w:rFonts w:eastAsia="Times New Roman" w:cs="Times New Roman"/>
                <w:color w:val="000000"/>
                <w:spacing w:val="-5"/>
                <w:sz w:val="22"/>
                <w:szCs w:val="20"/>
              </w:rPr>
            </w:pPr>
            <w:r w:rsidRPr="00322AE9">
              <w:rPr>
                <w:rFonts w:eastAsia="Times New Roman" w:cs="Times New Roman"/>
                <w:color w:val="000000"/>
                <w:spacing w:val="-5"/>
                <w:sz w:val="22"/>
                <w:szCs w:val="20"/>
              </w:rPr>
              <w:t>Оймяконский</w:t>
            </w:r>
          </w:p>
        </w:tc>
        <w:tc>
          <w:tcPr>
            <w:tcW w:w="1001" w:type="pct"/>
            <w:tcBorders>
              <w:top w:val="nil"/>
              <w:left w:val="nil"/>
              <w:bottom w:val="single" w:sz="4" w:space="0" w:color="auto"/>
              <w:right w:val="single" w:sz="4" w:space="0" w:color="auto"/>
            </w:tcBorders>
            <w:shd w:val="clear" w:color="auto" w:fill="auto"/>
            <w:noWrap/>
            <w:vAlign w:val="center"/>
            <w:hideMark/>
          </w:tcPr>
          <w:p w14:paraId="6EE4BBE4" w14:textId="77777777" w:rsidR="00322AE9" w:rsidRPr="00322AE9" w:rsidRDefault="00322AE9" w:rsidP="00322AE9">
            <w:pPr>
              <w:suppressAutoHyphens/>
              <w:adjustRightInd w:val="0"/>
              <w:ind w:firstLine="0"/>
              <w:jc w:val="center"/>
              <w:textAlignment w:val="baseline"/>
              <w:rPr>
                <w:rFonts w:eastAsia="Times New Roman" w:cs="Times New Roman"/>
                <w:color w:val="000000"/>
                <w:spacing w:val="-5"/>
                <w:sz w:val="22"/>
                <w:szCs w:val="20"/>
              </w:rPr>
            </w:pPr>
            <w:r w:rsidRPr="00322AE9">
              <w:rPr>
                <w:rFonts w:eastAsia="Times New Roman" w:cs="Times New Roman"/>
                <w:color w:val="000000"/>
                <w:spacing w:val="-5"/>
                <w:sz w:val="22"/>
                <w:szCs w:val="20"/>
              </w:rPr>
              <w:t>8</w:t>
            </w:r>
          </w:p>
        </w:tc>
        <w:tc>
          <w:tcPr>
            <w:tcW w:w="1476" w:type="pct"/>
            <w:tcBorders>
              <w:top w:val="nil"/>
              <w:left w:val="nil"/>
              <w:bottom w:val="single" w:sz="4" w:space="0" w:color="auto"/>
              <w:right w:val="single" w:sz="4" w:space="0" w:color="auto"/>
            </w:tcBorders>
            <w:shd w:val="clear" w:color="auto" w:fill="auto"/>
            <w:noWrap/>
            <w:vAlign w:val="center"/>
            <w:hideMark/>
          </w:tcPr>
          <w:p w14:paraId="5808FDDB" w14:textId="77777777" w:rsidR="00322AE9" w:rsidRPr="00322AE9" w:rsidRDefault="00322AE9" w:rsidP="00322AE9">
            <w:pPr>
              <w:suppressAutoHyphens/>
              <w:adjustRightInd w:val="0"/>
              <w:ind w:firstLine="0"/>
              <w:jc w:val="center"/>
              <w:textAlignment w:val="baseline"/>
              <w:rPr>
                <w:rFonts w:eastAsia="Times New Roman" w:cs="Times New Roman"/>
                <w:color w:val="000000"/>
                <w:spacing w:val="-5"/>
                <w:sz w:val="22"/>
                <w:szCs w:val="20"/>
              </w:rPr>
            </w:pPr>
            <w:r w:rsidRPr="00322AE9">
              <w:rPr>
                <w:rFonts w:eastAsia="Times New Roman" w:cs="Times New Roman"/>
                <w:color w:val="000000"/>
                <w:spacing w:val="-5"/>
                <w:sz w:val="22"/>
                <w:szCs w:val="20"/>
              </w:rPr>
              <w:t>9</w:t>
            </w:r>
          </w:p>
        </w:tc>
        <w:tc>
          <w:tcPr>
            <w:tcW w:w="1312" w:type="pct"/>
            <w:tcBorders>
              <w:top w:val="nil"/>
              <w:left w:val="nil"/>
              <w:bottom w:val="single" w:sz="4" w:space="0" w:color="auto"/>
              <w:right w:val="single" w:sz="4" w:space="0" w:color="auto"/>
            </w:tcBorders>
            <w:shd w:val="clear" w:color="auto" w:fill="auto"/>
            <w:noWrap/>
            <w:vAlign w:val="center"/>
            <w:hideMark/>
          </w:tcPr>
          <w:p w14:paraId="6BFFA747" w14:textId="77777777" w:rsidR="00322AE9" w:rsidRPr="00322AE9" w:rsidRDefault="00322AE9" w:rsidP="00322AE9">
            <w:pPr>
              <w:suppressAutoHyphens/>
              <w:adjustRightInd w:val="0"/>
              <w:ind w:firstLine="0"/>
              <w:jc w:val="center"/>
              <w:textAlignment w:val="baseline"/>
              <w:rPr>
                <w:rFonts w:eastAsia="Times New Roman" w:cs="Times New Roman"/>
                <w:color w:val="000000"/>
                <w:spacing w:val="-5"/>
                <w:sz w:val="22"/>
                <w:szCs w:val="20"/>
              </w:rPr>
            </w:pPr>
            <w:r w:rsidRPr="00322AE9">
              <w:rPr>
                <w:rFonts w:eastAsia="Times New Roman" w:cs="Times New Roman"/>
                <w:color w:val="000000"/>
                <w:spacing w:val="-5"/>
                <w:sz w:val="22"/>
                <w:szCs w:val="20"/>
              </w:rPr>
              <w:t>10</w:t>
            </w:r>
          </w:p>
        </w:tc>
      </w:tr>
      <w:tr w:rsidR="00322AE9" w:rsidRPr="00322AE9" w14:paraId="770B1BBC" w14:textId="77777777" w:rsidTr="00EC492E">
        <w:trPr>
          <w:trHeight w:val="300"/>
        </w:trPr>
        <w:tc>
          <w:tcPr>
            <w:tcW w:w="1211" w:type="pct"/>
            <w:tcBorders>
              <w:top w:val="nil"/>
              <w:left w:val="single" w:sz="4" w:space="0" w:color="auto"/>
              <w:bottom w:val="single" w:sz="4" w:space="0" w:color="auto"/>
              <w:right w:val="single" w:sz="4" w:space="0" w:color="auto"/>
            </w:tcBorders>
            <w:shd w:val="clear" w:color="auto" w:fill="auto"/>
            <w:noWrap/>
            <w:vAlign w:val="bottom"/>
            <w:hideMark/>
          </w:tcPr>
          <w:p w14:paraId="15799B8F" w14:textId="77777777" w:rsidR="00322AE9" w:rsidRPr="00322AE9" w:rsidRDefault="00322AE9" w:rsidP="00322AE9">
            <w:pPr>
              <w:suppressAutoHyphens/>
              <w:adjustRightInd w:val="0"/>
              <w:ind w:firstLine="29"/>
              <w:textAlignment w:val="baseline"/>
              <w:rPr>
                <w:rFonts w:eastAsia="Times New Roman" w:cs="Times New Roman"/>
                <w:color w:val="000000"/>
                <w:spacing w:val="-5"/>
                <w:sz w:val="22"/>
                <w:szCs w:val="20"/>
              </w:rPr>
            </w:pPr>
            <w:r w:rsidRPr="00322AE9">
              <w:rPr>
                <w:rFonts w:eastAsia="Times New Roman" w:cs="Times New Roman"/>
                <w:color w:val="000000"/>
                <w:spacing w:val="-5"/>
                <w:sz w:val="22"/>
                <w:szCs w:val="20"/>
              </w:rPr>
              <w:t>Олекминский</w:t>
            </w:r>
          </w:p>
        </w:tc>
        <w:tc>
          <w:tcPr>
            <w:tcW w:w="1001" w:type="pct"/>
            <w:tcBorders>
              <w:top w:val="nil"/>
              <w:left w:val="nil"/>
              <w:bottom w:val="single" w:sz="4" w:space="0" w:color="auto"/>
              <w:right w:val="single" w:sz="4" w:space="0" w:color="auto"/>
            </w:tcBorders>
            <w:shd w:val="clear" w:color="auto" w:fill="auto"/>
            <w:noWrap/>
            <w:vAlign w:val="center"/>
            <w:hideMark/>
          </w:tcPr>
          <w:p w14:paraId="7551846E" w14:textId="77777777" w:rsidR="00322AE9" w:rsidRPr="00322AE9" w:rsidRDefault="00322AE9" w:rsidP="00322AE9">
            <w:pPr>
              <w:suppressAutoHyphens/>
              <w:adjustRightInd w:val="0"/>
              <w:ind w:firstLine="0"/>
              <w:jc w:val="center"/>
              <w:textAlignment w:val="baseline"/>
              <w:rPr>
                <w:rFonts w:eastAsia="Times New Roman" w:cs="Times New Roman"/>
                <w:color w:val="000000"/>
                <w:spacing w:val="-5"/>
                <w:sz w:val="22"/>
                <w:szCs w:val="20"/>
              </w:rPr>
            </w:pPr>
            <w:r w:rsidRPr="00322AE9">
              <w:rPr>
                <w:rFonts w:eastAsia="Times New Roman" w:cs="Times New Roman"/>
                <w:color w:val="000000"/>
                <w:spacing w:val="-5"/>
                <w:sz w:val="22"/>
                <w:szCs w:val="20"/>
              </w:rPr>
              <w:t>6</w:t>
            </w:r>
          </w:p>
        </w:tc>
        <w:tc>
          <w:tcPr>
            <w:tcW w:w="1476" w:type="pct"/>
            <w:tcBorders>
              <w:top w:val="nil"/>
              <w:left w:val="nil"/>
              <w:bottom w:val="single" w:sz="4" w:space="0" w:color="auto"/>
              <w:right w:val="single" w:sz="4" w:space="0" w:color="auto"/>
            </w:tcBorders>
            <w:shd w:val="clear" w:color="auto" w:fill="auto"/>
            <w:noWrap/>
            <w:vAlign w:val="center"/>
            <w:hideMark/>
          </w:tcPr>
          <w:p w14:paraId="535254BD" w14:textId="77777777" w:rsidR="00322AE9" w:rsidRPr="00322AE9" w:rsidRDefault="00322AE9" w:rsidP="00322AE9">
            <w:pPr>
              <w:suppressAutoHyphens/>
              <w:adjustRightInd w:val="0"/>
              <w:ind w:firstLine="0"/>
              <w:jc w:val="center"/>
              <w:textAlignment w:val="baseline"/>
              <w:rPr>
                <w:rFonts w:eastAsia="Times New Roman" w:cs="Times New Roman"/>
                <w:color w:val="000000"/>
                <w:spacing w:val="-5"/>
                <w:sz w:val="22"/>
                <w:szCs w:val="20"/>
              </w:rPr>
            </w:pPr>
            <w:r w:rsidRPr="00322AE9">
              <w:rPr>
                <w:rFonts w:eastAsia="Times New Roman" w:cs="Times New Roman"/>
                <w:color w:val="000000"/>
                <w:spacing w:val="-5"/>
                <w:sz w:val="22"/>
                <w:szCs w:val="20"/>
              </w:rPr>
              <w:t>6</w:t>
            </w:r>
          </w:p>
        </w:tc>
        <w:tc>
          <w:tcPr>
            <w:tcW w:w="1312" w:type="pct"/>
            <w:tcBorders>
              <w:top w:val="nil"/>
              <w:left w:val="nil"/>
              <w:bottom w:val="single" w:sz="4" w:space="0" w:color="auto"/>
              <w:right w:val="single" w:sz="4" w:space="0" w:color="auto"/>
            </w:tcBorders>
            <w:shd w:val="clear" w:color="auto" w:fill="auto"/>
            <w:noWrap/>
            <w:vAlign w:val="center"/>
            <w:hideMark/>
          </w:tcPr>
          <w:p w14:paraId="1889BC57" w14:textId="77777777" w:rsidR="00322AE9" w:rsidRPr="00322AE9" w:rsidRDefault="00322AE9" w:rsidP="00322AE9">
            <w:pPr>
              <w:suppressAutoHyphens/>
              <w:adjustRightInd w:val="0"/>
              <w:ind w:firstLine="0"/>
              <w:jc w:val="center"/>
              <w:textAlignment w:val="baseline"/>
              <w:rPr>
                <w:rFonts w:eastAsia="Times New Roman" w:cs="Times New Roman"/>
                <w:color w:val="000000"/>
                <w:spacing w:val="-5"/>
                <w:sz w:val="22"/>
                <w:szCs w:val="20"/>
              </w:rPr>
            </w:pPr>
            <w:r w:rsidRPr="00322AE9">
              <w:rPr>
                <w:rFonts w:eastAsia="Times New Roman" w:cs="Times New Roman"/>
                <w:color w:val="000000"/>
                <w:spacing w:val="-5"/>
                <w:sz w:val="22"/>
                <w:szCs w:val="20"/>
              </w:rPr>
              <w:t>7</w:t>
            </w:r>
          </w:p>
        </w:tc>
      </w:tr>
      <w:tr w:rsidR="00322AE9" w:rsidRPr="00322AE9" w14:paraId="1F701499" w14:textId="77777777" w:rsidTr="00EC492E">
        <w:trPr>
          <w:trHeight w:val="300"/>
        </w:trPr>
        <w:tc>
          <w:tcPr>
            <w:tcW w:w="1211" w:type="pct"/>
            <w:tcBorders>
              <w:top w:val="nil"/>
              <w:left w:val="single" w:sz="4" w:space="0" w:color="auto"/>
              <w:bottom w:val="single" w:sz="4" w:space="0" w:color="auto"/>
              <w:right w:val="single" w:sz="4" w:space="0" w:color="auto"/>
            </w:tcBorders>
            <w:shd w:val="clear" w:color="auto" w:fill="auto"/>
            <w:noWrap/>
            <w:vAlign w:val="bottom"/>
            <w:hideMark/>
          </w:tcPr>
          <w:p w14:paraId="0033FC1A" w14:textId="77777777" w:rsidR="00322AE9" w:rsidRPr="00322AE9" w:rsidRDefault="00322AE9" w:rsidP="00322AE9">
            <w:pPr>
              <w:suppressAutoHyphens/>
              <w:adjustRightInd w:val="0"/>
              <w:ind w:firstLine="29"/>
              <w:textAlignment w:val="baseline"/>
              <w:rPr>
                <w:rFonts w:eastAsia="Times New Roman" w:cs="Times New Roman"/>
                <w:color w:val="000000"/>
                <w:spacing w:val="-5"/>
                <w:sz w:val="22"/>
                <w:szCs w:val="20"/>
              </w:rPr>
            </w:pPr>
            <w:r w:rsidRPr="00322AE9">
              <w:rPr>
                <w:rFonts w:eastAsia="Times New Roman" w:cs="Times New Roman"/>
                <w:color w:val="000000"/>
                <w:spacing w:val="-5"/>
                <w:sz w:val="22"/>
                <w:szCs w:val="20"/>
              </w:rPr>
              <w:t>Томпонский</w:t>
            </w:r>
          </w:p>
        </w:tc>
        <w:tc>
          <w:tcPr>
            <w:tcW w:w="1001" w:type="pct"/>
            <w:tcBorders>
              <w:top w:val="nil"/>
              <w:left w:val="nil"/>
              <w:bottom w:val="single" w:sz="4" w:space="0" w:color="auto"/>
              <w:right w:val="single" w:sz="4" w:space="0" w:color="auto"/>
            </w:tcBorders>
            <w:shd w:val="clear" w:color="auto" w:fill="auto"/>
            <w:noWrap/>
            <w:vAlign w:val="center"/>
            <w:hideMark/>
          </w:tcPr>
          <w:p w14:paraId="655B2E36" w14:textId="77777777" w:rsidR="00322AE9" w:rsidRPr="00322AE9" w:rsidRDefault="00322AE9" w:rsidP="00322AE9">
            <w:pPr>
              <w:suppressAutoHyphens/>
              <w:adjustRightInd w:val="0"/>
              <w:ind w:firstLine="0"/>
              <w:jc w:val="center"/>
              <w:textAlignment w:val="baseline"/>
              <w:rPr>
                <w:rFonts w:eastAsia="Times New Roman" w:cs="Times New Roman"/>
                <w:color w:val="000000"/>
                <w:spacing w:val="-5"/>
                <w:sz w:val="22"/>
                <w:szCs w:val="20"/>
              </w:rPr>
            </w:pPr>
            <w:r w:rsidRPr="00322AE9">
              <w:rPr>
                <w:rFonts w:eastAsia="Times New Roman" w:cs="Times New Roman"/>
                <w:color w:val="000000"/>
                <w:spacing w:val="-5"/>
                <w:sz w:val="22"/>
                <w:szCs w:val="20"/>
              </w:rPr>
              <w:t>7</w:t>
            </w:r>
          </w:p>
        </w:tc>
        <w:tc>
          <w:tcPr>
            <w:tcW w:w="1476" w:type="pct"/>
            <w:tcBorders>
              <w:top w:val="nil"/>
              <w:left w:val="nil"/>
              <w:bottom w:val="single" w:sz="4" w:space="0" w:color="auto"/>
              <w:right w:val="single" w:sz="4" w:space="0" w:color="auto"/>
            </w:tcBorders>
            <w:shd w:val="clear" w:color="auto" w:fill="auto"/>
            <w:noWrap/>
            <w:vAlign w:val="center"/>
            <w:hideMark/>
          </w:tcPr>
          <w:p w14:paraId="7608B35E" w14:textId="77777777" w:rsidR="00322AE9" w:rsidRPr="00322AE9" w:rsidRDefault="00322AE9" w:rsidP="00322AE9">
            <w:pPr>
              <w:suppressAutoHyphens/>
              <w:adjustRightInd w:val="0"/>
              <w:ind w:firstLine="0"/>
              <w:jc w:val="center"/>
              <w:textAlignment w:val="baseline"/>
              <w:rPr>
                <w:rFonts w:eastAsia="Times New Roman" w:cs="Times New Roman"/>
                <w:color w:val="000000"/>
                <w:spacing w:val="-5"/>
                <w:sz w:val="22"/>
                <w:szCs w:val="20"/>
              </w:rPr>
            </w:pPr>
            <w:r w:rsidRPr="00322AE9">
              <w:rPr>
                <w:rFonts w:eastAsia="Times New Roman" w:cs="Times New Roman"/>
                <w:color w:val="000000"/>
                <w:spacing w:val="-5"/>
                <w:sz w:val="22"/>
                <w:szCs w:val="20"/>
              </w:rPr>
              <w:t>7</w:t>
            </w:r>
          </w:p>
        </w:tc>
        <w:tc>
          <w:tcPr>
            <w:tcW w:w="1312" w:type="pct"/>
            <w:tcBorders>
              <w:top w:val="nil"/>
              <w:left w:val="nil"/>
              <w:bottom w:val="single" w:sz="4" w:space="0" w:color="auto"/>
              <w:right w:val="single" w:sz="4" w:space="0" w:color="auto"/>
            </w:tcBorders>
            <w:shd w:val="clear" w:color="auto" w:fill="auto"/>
            <w:noWrap/>
            <w:vAlign w:val="center"/>
            <w:hideMark/>
          </w:tcPr>
          <w:p w14:paraId="46D61F00" w14:textId="77777777" w:rsidR="00322AE9" w:rsidRPr="00322AE9" w:rsidRDefault="00322AE9" w:rsidP="00322AE9">
            <w:pPr>
              <w:suppressAutoHyphens/>
              <w:adjustRightInd w:val="0"/>
              <w:ind w:firstLine="0"/>
              <w:jc w:val="center"/>
              <w:textAlignment w:val="baseline"/>
              <w:rPr>
                <w:rFonts w:eastAsia="Times New Roman" w:cs="Times New Roman"/>
                <w:color w:val="000000"/>
                <w:spacing w:val="-5"/>
                <w:sz w:val="22"/>
                <w:szCs w:val="20"/>
              </w:rPr>
            </w:pPr>
            <w:r w:rsidRPr="00322AE9">
              <w:rPr>
                <w:rFonts w:eastAsia="Times New Roman" w:cs="Times New Roman"/>
                <w:color w:val="000000"/>
                <w:spacing w:val="-5"/>
                <w:sz w:val="22"/>
                <w:szCs w:val="20"/>
              </w:rPr>
              <w:t>8</w:t>
            </w:r>
          </w:p>
        </w:tc>
      </w:tr>
      <w:tr w:rsidR="00322AE9" w:rsidRPr="00322AE9" w14:paraId="6285CC6A" w14:textId="77777777" w:rsidTr="00EC492E">
        <w:trPr>
          <w:trHeight w:val="300"/>
        </w:trPr>
        <w:tc>
          <w:tcPr>
            <w:tcW w:w="1211" w:type="pct"/>
            <w:tcBorders>
              <w:top w:val="nil"/>
              <w:left w:val="single" w:sz="4" w:space="0" w:color="auto"/>
              <w:bottom w:val="single" w:sz="4" w:space="0" w:color="auto"/>
              <w:right w:val="single" w:sz="4" w:space="0" w:color="auto"/>
            </w:tcBorders>
            <w:shd w:val="clear" w:color="auto" w:fill="auto"/>
            <w:noWrap/>
            <w:vAlign w:val="bottom"/>
            <w:hideMark/>
          </w:tcPr>
          <w:p w14:paraId="29D30401" w14:textId="77777777" w:rsidR="00322AE9" w:rsidRPr="00322AE9" w:rsidRDefault="00322AE9" w:rsidP="00322AE9">
            <w:pPr>
              <w:suppressAutoHyphens/>
              <w:adjustRightInd w:val="0"/>
              <w:ind w:firstLine="29"/>
              <w:textAlignment w:val="baseline"/>
              <w:rPr>
                <w:rFonts w:eastAsia="Times New Roman" w:cs="Times New Roman"/>
                <w:color w:val="000000"/>
                <w:spacing w:val="-5"/>
                <w:sz w:val="22"/>
                <w:szCs w:val="20"/>
              </w:rPr>
            </w:pPr>
            <w:r w:rsidRPr="00322AE9">
              <w:rPr>
                <w:rFonts w:eastAsia="Times New Roman" w:cs="Times New Roman"/>
                <w:color w:val="000000"/>
                <w:spacing w:val="-5"/>
                <w:sz w:val="22"/>
                <w:szCs w:val="20"/>
              </w:rPr>
              <w:t>Усть-Янский</w:t>
            </w:r>
          </w:p>
        </w:tc>
        <w:tc>
          <w:tcPr>
            <w:tcW w:w="1001" w:type="pct"/>
            <w:tcBorders>
              <w:top w:val="nil"/>
              <w:left w:val="nil"/>
              <w:bottom w:val="single" w:sz="4" w:space="0" w:color="auto"/>
              <w:right w:val="single" w:sz="4" w:space="0" w:color="auto"/>
            </w:tcBorders>
            <w:shd w:val="clear" w:color="auto" w:fill="auto"/>
            <w:noWrap/>
            <w:vAlign w:val="center"/>
            <w:hideMark/>
          </w:tcPr>
          <w:p w14:paraId="1F4D6CB6" w14:textId="77777777" w:rsidR="00322AE9" w:rsidRPr="00322AE9" w:rsidRDefault="00322AE9" w:rsidP="00322AE9">
            <w:pPr>
              <w:suppressAutoHyphens/>
              <w:adjustRightInd w:val="0"/>
              <w:ind w:firstLine="0"/>
              <w:jc w:val="center"/>
              <w:textAlignment w:val="baseline"/>
              <w:rPr>
                <w:rFonts w:eastAsia="Times New Roman" w:cs="Times New Roman"/>
                <w:color w:val="000000"/>
                <w:spacing w:val="-5"/>
                <w:sz w:val="22"/>
                <w:szCs w:val="20"/>
              </w:rPr>
            </w:pPr>
            <w:r w:rsidRPr="00322AE9">
              <w:rPr>
                <w:rFonts w:eastAsia="Times New Roman" w:cs="Times New Roman"/>
                <w:color w:val="000000"/>
                <w:spacing w:val="-5"/>
                <w:sz w:val="22"/>
                <w:szCs w:val="20"/>
              </w:rPr>
              <w:t>8</w:t>
            </w:r>
          </w:p>
        </w:tc>
        <w:tc>
          <w:tcPr>
            <w:tcW w:w="1476" w:type="pct"/>
            <w:tcBorders>
              <w:top w:val="nil"/>
              <w:left w:val="nil"/>
              <w:bottom w:val="single" w:sz="4" w:space="0" w:color="auto"/>
              <w:right w:val="single" w:sz="4" w:space="0" w:color="auto"/>
            </w:tcBorders>
            <w:shd w:val="clear" w:color="auto" w:fill="auto"/>
            <w:noWrap/>
            <w:vAlign w:val="center"/>
            <w:hideMark/>
          </w:tcPr>
          <w:p w14:paraId="78504D7E" w14:textId="77777777" w:rsidR="00322AE9" w:rsidRPr="00322AE9" w:rsidRDefault="00322AE9" w:rsidP="00322AE9">
            <w:pPr>
              <w:suppressAutoHyphens/>
              <w:adjustRightInd w:val="0"/>
              <w:ind w:firstLine="0"/>
              <w:jc w:val="center"/>
              <w:textAlignment w:val="baseline"/>
              <w:rPr>
                <w:rFonts w:eastAsia="Times New Roman" w:cs="Times New Roman"/>
                <w:color w:val="000000"/>
                <w:spacing w:val="-5"/>
                <w:sz w:val="22"/>
                <w:szCs w:val="20"/>
              </w:rPr>
            </w:pPr>
            <w:r w:rsidRPr="00322AE9">
              <w:rPr>
                <w:rFonts w:eastAsia="Times New Roman" w:cs="Times New Roman"/>
                <w:color w:val="000000"/>
                <w:spacing w:val="-5"/>
                <w:sz w:val="22"/>
                <w:szCs w:val="20"/>
              </w:rPr>
              <w:t>8</w:t>
            </w:r>
          </w:p>
        </w:tc>
        <w:tc>
          <w:tcPr>
            <w:tcW w:w="1312" w:type="pct"/>
            <w:tcBorders>
              <w:top w:val="nil"/>
              <w:left w:val="nil"/>
              <w:bottom w:val="single" w:sz="4" w:space="0" w:color="auto"/>
              <w:right w:val="single" w:sz="4" w:space="0" w:color="auto"/>
            </w:tcBorders>
            <w:shd w:val="clear" w:color="auto" w:fill="auto"/>
            <w:noWrap/>
            <w:vAlign w:val="center"/>
            <w:hideMark/>
          </w:tcPr>
          <w:p w14:paraId="3BB9D0A3" w14:textId="77777777" w:rsidR="00322AE9" w:rsidRPr="00322AE9" w:rsidRDefault="00322AE9" w:rsidP="00322AE9">
            <w:pPr>
              <w:suppressAutoHyphens/>
              <w:adjustRightInd w:val="0"/>
              <w:ind w:firstLine="0"/>
              <w:jc w:val="center"/>
              <w:textAlignment w:val="baseline"/>
              <w:rPr>
                <w:rFonts w:eastAsia="Times New Roman" w:cs="Times New Roman"/>
                <w:color w:val="000000"/>
                <w:spacing w:val="-5"/>
                <w:sz w:val="22"/>
                <w:szCs w:val="20"/>
              </w:rPr>
            </w:pPr>
            <w:r w:rsidRPr="00322AE9">
              <w:rPr>
                <w:rFonts w:eastAsia="Times New Roman" w:cs="Times New Roman"/>
                <w:color w:val="000000"/>
                <w:spacing w:val="-5"/>
                <w:sz w:val="22"/>
                <w:szCs w:val="20"/>
              </w:rPr>
              <w:t>9</w:t>
            </w:r>
          </w:p>
        </w:tc>
      </w:tr>
    </w:tbl>
    <w:p w14:paraId="41FFD81F" w14:textId="77777777" w:rsidR="00322AE9" w:rsidRPr="00322AE9" w:rsidRDefault="00322AE9" w:rsidP="00322AE9">
      <w:pPr>
        <w:suppressAutoHyphens/>
        <w:adjustRightInd w:val="0"/>
        <w:ind w:firstLine="709"/>
        <w:textAlignment w:val="baseline"/>
        <w:rPr>
          <w:rFonts w:eastAsia="Times New Roman" w:cs="Times New Roman"/>
          <w:spacing w:val="-5"/>
          <w:szCs w:val="24"/>
        </w:rPr>
      </w:pPr>
    </w:p>
    <w:p w14:paraId="0F130065" w14:textId="77777777" w:rsidR="00322AE9" w:rsidRPr="00322AE9" w:rsidRDefault="00322AE9" w:rsidP="00322AE9">
      <w:pPr>
        <w:suppressAutoHyphens/>
        <w:adjustRightInd w:val="0"/>
        <w:ind w:firstLine="709"/>
        <w:textAlignment w:val="baseline"/>
        <w:rPr>
          <w:rFonts w:eastAsia="Times New Roman" w:cs="Times New Roman"/>
          <w:spacing w:val="-5"/>
          <w:szCs w:val="24"/>
        </w:rPr>
      </w:pPr>
      <w:r w:rsidRPr="00322AE9">
        <w:rPr>
          <w:rFonts w:eastAsia="Times New Roman" w:cs="Times New Roman"/>
          <w:spacing w:val="-5"/>
          <w:szCs w:val="24"/>
        </w:rPr>
        <w:t>Корректирующий коэффициент на различие в сейсмичности (К</w:t>
      </w:r>
      <w:r w:rsidRPr="00322AE9">
        <w:rPr>
          <w:rFonts w:eastAsia="Times New Roman" w:cs="Times New Roman"/>
          <w:spacing w:val="-5"/>
          <w:sz w:val="16"/>
          <w:szCs w:val="24"/>
        </w:rPr>
        <w:t>сейсм</w:t>
      </w:r>
      <w:r w:rsidRPr="00322AE9">
        <w:rPr>
          <w:rFonts w:eastAsia="Times New Roman" w:cs="Times New Roman"/>
          <w:spacing w:val="-5"/>
          <w:szCs w:val="24"/>
        </w:rPr>
        <w:t>) вводится в случае, когда оцениваемое здание располагается в районе с сейсмичностью, отличающейся от сейсмичности, для которой рассчитаны стоимостные показатели в справочнике КО-ИНВЕСТ:</w:t>
      </w:r>
    </w:p>
    <w:p w14:paraId="6702E214" w14:textId="77777777" w:rsidR="00322AE9" w:rsidRPr="00322AE9" w:rsidRDefault="00322AE9" w:rsidP="00322AE9">
      <w:pPr>
        <w:suppressAutoHyphens/>
        <w:adjustRightInd w:val="0"/>
        <w:ind w:firstLine="0"/>
        <w:jc w:val="center"/>
        <w:textAlignment w:val="baseline"/>
        <w:rPr>
          <w:rFonts w:eastAsia="Times New Roman" w:cs="Times New Roman"/>
          <w:spacing w:val="-5"/>
          <w:szCs w:val="24"/>
        </w:rPr>
      </w:pPr>
      <w:r w:rsidRPr="00322AE9">
        <w:rPr>
          <w:rFonts w:eastAsia="Times New Roman" w:cs="Times New Roman"/>
          <w:spacing w:val="-5"/>
          <w:szCs w:val="24"/>
        </w:rPr>
        <w:t>К</w:t>
      </w:r>
      <w:r w:rsidRPr="00322AE9">
        <w:rPr>
          <w:rFonts w:eastAsia="Times New Roman" w:cs="Times New Roman"/>
          <w:spacing w:val="-5"/>
          <w:sz w:val="16"/>
          <w:szCs w:val="24"/>
        </w:rPr>
        <w:t xml:space="preserve">сейсм </w:t>
      </w:r>
      <w:r w:rsidRPr="00322AE9">
        <w:rPr>
          <w:rFonts w:eastAsia="Times New Roman" w:cs="Times New Roman"/>
          <w:spacing w:val="-5"/>
          <w:szCs w:val="24"/>
        </w:rPr>
        <w:t xml:space="preserve">= </w:t>
      </w:r>
      <w:r w:rsidRPr="00322AE9">
        <w:rPr>
          <w:rFonts w:eastAsia="Times New Roman" w:cs="Times New Roman"/>
          <w:spacing w:val="-5"/>
          <w:szCs w:val="24"/>
          <w:lang w:val="en-US"/>
        </w:rPr>
        <w:t>a</w:t>
      </w:r>
      <w:r w:rsidRPr="00322AE9">
        <w:rPr>
          <w:rFonts w:eastAsia="Times New Roman" w:cs="Times New Roman"/>
          <w:spacing w:val="-5"/>
          <w:sz w:val="18"/>
          <w:szCs w:val="24"/>
          <w:lang w:val="en-US"/>
        </w:rPr>
        <w:t>j</w:t>
      </w:r>
      <w:r w:rsidRPr="00322AE9">
        <w:rPr>
          <w:rFonts w:eastAsia="Times New Roman" w:cs="Times New Roman"/>
          <w:spacing w:val="-5"/>
          <w:sz w:val="18"/>
          <w:szCs w:val="24"/>
        </w:rPr>
        <w:t xml:space="preserve"> </w:t>
      </w:r>
      <w:r w:rsidRPr="00322AE9">
        <w:rPr>
          <w:rFonts w:eastAsia="Times New Roman" w:cs="Times New Roman"/>
          <w:spacing w:val="-5"/>
          <w:szCs w:val="24"/>
        </w:rPr>
        <w:t xml:space="preserve">/ </w:t>
      </w:r>
      <w:proofErr w:type="gramStart"/>
      <w:r w:rsidRPr="00322AE9">
        <w:rPr>
          <w:rFonts w:eastAsia="Times New Roman" w:cs="Times New Roman"/>
          <w:spacing w:val="-5"/>
          <w:szCs w:val="24"/>
          <w:lang w:val="en-US"/>
        </w:rPr>
        <w:t>a</w:t>
      </w:r>
      <w:r w:rsidRPr="00322AE9">
        <w:rPr>
          <w:rFonts w:eastAsia="Times New Roman" w:cs="Times New Roman"/>
          <w:spacing w:val="-5"/>
          <w:sz w:val="16"/>
          <w:szCs w:val="24"/>
          <w:lang w:val="en-US"/>
        </w:rPr>
        <w:t>c</w:t>
      </w:r>
      <w:r w:rsidRPr="00322AE9">
        <w:rPr>
          <w:rFonts w:eastAsia="Times New Roman" w:cs="Times New Roman"/>
          <w:spacing w:val="-5"/>
          <w:sz w:val="16"/>
          <w:szCs w:val="24"/>
        </w:rPr>
        <w:t xml:space="preserve"> </w:t>
      </w:r>
      <w:r w:rsidRPr="00322AE9">
        <w:rPr>
          <w:rFonts w:eastAsia="Times New Roman" w:cs="Times New Roman"/>
          <w:spacing w:val="-5"/>
          <w:szCs w:val="24"/>
        </w:rPr>
        <w:t>,</w:t>
      </w:r>
      <w:proofErr w:type="gramEnd"/>
    </w:p>
    <w:p w14:paraId="74A80CBA" w14:textId="32F2842D" w:rsidR="00322AE9" w:rsidRDefault="00322AE9" w:rsidP="00322AE9">
      <w:pPr>
        <w:suppressAutoHyphens/>
        <w:adjustRightInd w:val="0"/>
        <w:ind w:firstLine="709"/>
        <w:textAlignment w:val="baseline"/>
        <w:rPr>
          <w:rFonts w:eastAsia="Times New Roman" w:cs="Times New Roman"/>
          <w:spacing w:val="-5"/>
          <w:szCs w:val="24"/>
        </w:rPr>
      </w:pPr>
      <w:r w:rsidRPr="00322AE9">
        <w:rPr>
          <w:rFonts w:eastAsia="Times New Roman" w:cs="Times New Roman"/>
          <w:spacing w:val="-5"/>
          <w:szCs w:val="24"/>
        </w:rPr>
        <w:t>а</w:t>
      </w:r>
      <w:r w:rsidRPr="00322AE9">
        <w:rPr>
          <w:rFonts w:eastAsia="Times New Roman" w:cs="Times New Roman"/>
          <w:spacing w:val="-5"/>
          <w:sz w:val="18"/>
          <w:szCs w:val="24"/>
          <w:lang w:val="en-US"/>
        </w:rPr>
        <w:t>j</w:t>
      </w:r>
      <w:r w:rsidRPr="00322AE9">
        <w:rPr>
          <w:rFonts w:eastAsia="Times New Roman" w:cs="Times New Roman"/>
          <w:spacing w:val="-5"/>
          <w:sz w:val="18"/>
          <w:szCs w:val="24"/>
        </w:rPr>
        <w:t xml:space="preserve">   и   </w:t>
      </w:r>
      <w:r w:rsidRPr="00322AE9">
        <w:rPr>
          <w:rFonts w:eastAsia="Times New Roman" w:cs="Times New Roman"/>
          <w:spacing w:val="-5"/>
          <w:szCs w:val="24"/>
          <w:lang w:val="en-US"/>
        </w:rPr>
        <w:t>a</w:t>
      </w:r>
      <w:r w:rsidRPr="00322AE9">
        <w:rPr>
          <w:rFonts w:eastAsia="Times New Roman" w:cs="Times New Roman"/>
          <w:spacing w:val="-5"/>
          <w:sz w:val="16"/>
          <w:szCs w:val="24"/>
          <w:lang w:val="en-US"/>
        </w:rPr>
        <w:t>c</w:t>
      </w:r>
      <w:r w:rsidRPr="00322AE9">
        <w:rPr>
          <w:rFonts w:eastAsia="Times New Roman" w:cs="Times New Roman"/>
          <w:spacing w:val="-5"/>
          <w:sz w:val="16"/>
          <w:szCs w:val="24"/>
        </w:rPr>
        <w:t xml:space="preserve"> </w:t>
      </w:r>
      <w:r w:rsidRPr="00322AE9">
        <w:rPr>
          <w:rFonts w:eastAsia="Times New Roman" w:cs="Times New Roman"/>
          <w:spacing w:val="-5"/>
          <w:szCs w:val="24"/>
        </w:rPr>
        <w:t xml:space="preserve">– коэффициенты уровня стоимости здания соответственно при сейсмичности, учтенной в справочнике (6 баллов), и при сейсмичности в </w:t>
      </w:r>
      <w:r w:rsidRPr="00322AE9">
        <w:rPr>
          <w:rFonts w:eastAsia="Times New Roman" w:cs="Times New Roman"/>
          <w:spacing w:val="-5"/>
          <w:szCs w:val="24"/>
          <w:lang w:val="en-US"/>
        </w:rPr>
        <w:t>j</w:t>
      </w:r>
      <w:r w:rsidRPr="00322AE9">
        <w:rPr>
          <w:rFonts w:eastAsia="Times New Roman" w:cs="Times New Roman"/>
          <w:spacing w:val="-5"/>
          <w:szCs w:val="24"/>
        </w:rPr>
        <w:t>-ом районе расположения оцениваемого объекта:</w:t>
      </w:r>
    </w:p>
    <w:p w14:paraId="1CC57D6E" w14:textId="5D280F54" w:rsidR="000A6DB8" w:rsidRPr="00322AE9" w:rsidRDefault="000A6DB8" w:rsidP="00763AD2">
      <w:pPr>
        <w:pStyle w:val="afffffff0"/>
        <w:rPr>
          <w:rFonts w:eastAsia="Times New Roman"/>
          <w:spacing w:val="-5"/>
        </w:rPr>
      </w:pPr>
      <w:r>
        <w:t xml:space="preserve">Таблица </w:t>
      </w:r>
      <w:r w:rsidR="00A90944">
        <w:fldChar w:fldCharType="begin"/>
      </w:r>
      <w:r w:rsidR="00A90944">
        <w:instrText xml:space="preserve"> SEQ Таблица \* ARABIC </w:instrText>
      </w:r>
      <w:r w:rsidR="00A90944">
        <w:fldChar w:fldCharType="separate"/>
      </w:r>
      <w:r w:rsidR="00FD2769">
        <w:rPr>
          <w:noProof/>
        </w:rPr>
        <w:t>77</w:t>
      </w:r>
      <w:r w:rsidR="00A90944">
        <w:rPr>
          <w:noProof/>
        </w:rPr>
        <w:fldChar w:fldCharType="end"/>
      </w:r>
      <w:r>
        <w:t>. Коэффициент сейсмичности</w:t>
      </w:r>
    </w:p>
    <w:tbl>
      <w:tblPr>
        <w:tblW w:w="2806" w:type="pct"/>
        <w:jc w:val="center"/>
        <w:tblLook w:val="04A0" w:firstRow="1" w:lastRow="0" w:firstColumn="1" w:lastColumn="0" w:noHBand="0" w:noVBand="1"/>
      </w:tblPr>
      <w:tblGrid>
        <w:gridCol w:w="3066"/>
        <w:gridCol w:w="2338"/>
      </w:tblGrid>
      <w:tr w:rsidR="00322AE9" w:rsidRPr="00322AE9" w14:paraId="5E96388C" w14:textId="77777777" w:rsidTr="00322AE9">
        <w:trPr>
          <w:trHeight w:val="300"/>
          <w:jc w:val="center"/>
        </w:trPr>
        <w:tc>
          <w:tcPr>
            <w:tcW w:w="283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DFD3840" w14:textId="77777777" w:rsidR="00322AE9" w:rsidRPr="00322AE9" w:rsidRDefault="00322AE9" w:rsidP="00322AE9">
            <w:pPr>
              <w:suppressAutoHyphens/>
              <w:adjustRightInd w:val="0"/>
              <w:ind w:firstLine="0"/>
              <w:jc w:val="center"/>
              <w:textAlignment w:val="baseline"/>
              <w:rPr>
                <w:rFonts w:eastAsia="Times New Roman" w:cs="Times New Roman"/>
                <w:b/>
                <w:bCs/>
                <w:spacing w:val="-5"/>
                <w:sz w:val="22"/>
              </w:rPr>
            </w:pPr>
            <w:r w:rsidRPr="00322AE9">
              <w:rPr>
                <w:rFonts w:eastAsia="Times New Roman" w:cs="Times New Roman"/>
                <w:b/>
                <w:bCs/>
                <w:spacing w:val="-5"/>
                <w:sz w:val="22"/>
              </w:rPr>
              <w:t>Сейсмичность в баллах</w:t>
            </w:r>
          </w:p>
        </w:tc>
        <w:tc>
          <w:tcPr>
            <w:tcW w:w="2835" w:type="pct"/>
            <w:tcBorders>
              <w:top w:val="single" w:sz="4" w:space="0" w:color="auto"/>
              <w:left w:val="nil"/>
              <w:bottom w:val="single" w:sz="4" w:space="0" w:color="auto"/>
              <w:right w:val="single" w:sz="4" w:space="0" w:color="auto"/>
            </w:tcBorders>
            <w:shd w:val="clear" w:color="auto" w:fill="auto"/>
            <w:noWrap/>
            <w:vAlign w:val="center"/>
            <w:hideMark/>
          </w:tcPr>
          <w:p w14:paraId="2663D2AF" w14:textId="77777777" w:rsidR="00322AE9" w:rsidRPr="00322AE9" w:rsidRDefault="00322AE9" w:rsidP="00322AE9">
            <w:pPr>
              <w:suppressAutoHyphens/>
              <w:adjustRightInd w:val="0"/>
              <w:ind w:firstLine="0"/>
              <w:jc w:val="center"/>
              <w:textAlignment w:val="baseline"/>
              <w:rPr>
                <w:rFonts w:eastAsia="Times New Roman" w:cs="Times New Roman"/>
                <w:b/>
                <w:bCs/>
                <w:spacing w:val="-5"/>
                <w:sz w:val="22"/>
              </w:rPr>
            </w:pPr>
            <w:r w:rsidRPr="00322AE9">
              <w:rPr>
                <w:rFonts w:eastAsia="Times New Roman" w:cs="Times New Roman"/>
                <w:b/>
                <w:bCs/>
                <w:spacing w:val="-5"/>
                <w:sz w:val="22"/>
              </w:rPr>
              <w:t>Коэффициент</w:t>
            </w:r>
          </w:p>
        </w:tc>
      </w:tr>
      <w:tr w:rsidR="00322AE9" w:rsidRPr="00322AE9" w14:paraId="47CBBAE9" w14:textId="77777777" w:rsidTr="00322AE9">
        <w:trPr>
          <w:trHeight w:val="300"/>
          <w:jc w:val="center"/>
        </w:trPr>
        <w:tc>
          <w:tcPr>
            <w:tcW w:w="2837" w:type="pct"/>
            <w:tcBorders>
              <w:top w:val="nil"/>
              <w:left w:val="single" w:sz="4" w:space="0" w:color="auto"/>
              <w:bottom w:val="single" w:sz="4" w:space="0" w:color="auto"/>
              <w:right w:val="single" w:sz="4" w:space="0" w:color="auto"/>
            </w:tcBorders>
            <w:shd w:val="clear" w:color="auto" w:fill="auto"/>
            <w:noWrap/>
            <w:vAlign w:val="bottom"/>
            <w:hideMark/>
          </w:tcPr>
          <w:p w14:paraId="44043CCF" w14:textId="77777777" w:rsidR="00322AE9" w:rsidRPr="00322AE9" w:rsidRDefault="00322AE9" w:rsidP="00322AE9">
            <w:pPr>
              <w:suppressAutoHyphens/>
              <w:adjustRightInd w:val="0"/>
              <w:ind w:firstLine="0"/>
              <w:jc w:val="center"/>
              <w:textAlignment w:val="baseline"/>
              <w:rPr>
                <w:rFonts w:eastAsia="Times New Roman" w:cs="Times New Roman"/>
                <w:spacing w:val="-5"/>
                <w:sz w:val="22"/>
              </w:rPr>
            </w:pPr>
            <w:r w:rsidRPr="00322AE9">
              <w:rPr>
                <w:rFonts w:eastAsia="Times New Roman" w:cs="Times New Roman"/>
                <w:spacing w:val="-5"/>
                <w:sz w:val="22"/>
              </w:rPr>
              <w:t>6</w:t>
            </w:r>
          </w:p>
        </w:tc>
        <w:tc>
          <w:tcPr>
            <w:tcW w:w="2163" w:type="pct"/>
            <w:tcBorders>
              <w:top w:val="nil"/>
              <w:left w:val="nil"/>
              <w:bottom w:val="single" w:sz="4" w:space="0" w:color="auto"/>
              <w:right w:val="single" w:sz="4" w:space="0" w:color="auto"/>
            </w:tcBorders>
            <w:shd w:val="clear" w:color="auto" w:fill="auto"/>
            <w:noWrap/>
            <w:vAlign w:val="bottom"/>
            <w:hideMark/>
          </w:tcPr>
          <w:p w14:paraId="719DA4E4" w14:textId="77777777" w:rsidR="00322AE9" w:rsidRPr="00322AE9" w:rsidRDefault="00322AE9" w:rsidP="00322AE9">
            <w:pPr>
              <w:suppressAutoHyphens/>
              <w:adjustRightInd w:val="0"/>
              <w:ind w:firstLine="0"/>
              <w:jc w:val="center"/>
              <w:textAlignment w:val="baseline"/>
              <w:rPr>
                <w:rFonts w:eastAsia="Times New Roman" w:cs="Times New Roman"/>
                <w:spacing w:val="-5"/>
                <w:sz w:val="22"/>
              </w:rPr>
            </w:pPr>
            <w:r w:rsidRPr="00322AE9">
              <w:rPr>
                <w:rFonts w:eastAsia="Times New Roman" w:cs="Times New Roman"/>
                <w:spacing w:val="-5"/>
                <w:sz w:val="22"/>
              </w:rPr>
              <w:t>1</w:t>
            </w:r>
            <w:r w:rsidRPr="00322AE9">
              <w:rPr>
                <w:rFonts w:eastAsia="Times New Roman" w:cs="Times New Roman"/>
                <w:spacing w:val="-5"/>
                <w:szCs w:val="24"/>
              </w:rPr>
              <w:t>,00</w:t>
            </w:r>
          </w:p>
        </w:tc>
      </w:tr>
      <w:tr w:rsidR="00322AE9" w:rsidRPr="00322AE9" w14:paraId="0898FBC2" w14:textId="77777777" w:rsidTr="00322AE9">
        <w:trPr>
          <w:trHeight w:val="300"/>
          <w:jc w:val="center"/>
        </w:trPr>
        <w:tc>
          <w:tcPr>
            <w:tcW w:w="2837" w:type="pct"/>
            <w:tcBorders>
              <w:top w:val="nil"/>
              <w:left w:val="single" w:sz="4" w:space="0" w:color="auto"/>
              <w:bottom w:val="single" w:sz="4" w:space="0" w:color="auto"/>
              <w:right w:val="single" w:sz="4" w:space="0" w:color="auto"/>
            </w:tcBorders>
            <w:shd w:val="clear" w:color="auto" w:fill="auto"/>
            <w:noWrap/>
            <w:vAlign w:val="bottom"/>
            <w:hideMark/>
          </w:tcPr>
          <w:p w14:paraId="6DCE4EB0" w14:textId="77777777" w:rsidR="00322AE9" w:rsidRPr="00322AE9" w:rsidRDefault="00322AE9" w:rsidP="00322AE9">
            <w:pPr>
              <w:suppressAutoHyphens/>
              <w:adjustRightInd w:val="0"/>
              <w:ind w:firstLine="0"/>
              <w:jc w:val="center"/>
              <w:textAlignment w:val="baseline"/>
              <w:rPr>
                <w:rFonts w:eastAsia="Times New Roman" w:cs="Times New Roman"/>
                <w:spacing w:val="-5"/>
                <w:sz w:val="22"/>
              </w:rPr>
            </w:pPr>
            <w:r w:rsidRPr="00322AE9">
              <w:rPr>
                <w:rFonts w:eastAsia="Times New Roman" w:cs="Times New Roman"/>
                <w:spacing w:val="-5"/>
                <w:sz w:val="22"/>
              </w:rPr>
              <w:t>7</w:t>
            </w:r>
          </w:p>
        </w:tc>
        <w:tc>
          <w:tcPr>
            <w:tcW w:w="2163" w:type="pct"/>
            <w:tcBorders>
              <w:top w:val="nil"/>
              <w:left w:val="nil"/>
              <w:bottom w:val="single" w:sz="4" w:space="0" w:color="auto"/>
              <w:right w:val="single" w:sz="4" w:space="0" w:color="auto"/>
            </w:tcBorders>
            <w:shd w:val="clear" w:color="auto" w:fill="auto"/>
            <w:noWrap/>
            <w:vAlign w:val="bottom"/>
            <w:hideMark/>
          </w:tcPr>
          <w:p w14:paraId="1EADB22C" w14:textId="77777777" w:rsidR="00322AE9" w:rsidRPr="00322AE9" w:rsidRDefault="00322AE9" w:rsidP="00322AE9">
            <w:pPr>
              <w:suppressAutoHyphens/>
              <w:adjustRightInd w:val="0"/>
              <w:ind w:firstLine="0"/>
              <w:jc w:val="center"/>
              <w:textAlignment w:val="baseline"/>
              <w:rPr>
                <w:rFonts w:eastAsia="Times New Roman" w:cs="Times New Roman"/>
                <w:spacing w:val="-5"/>
                <w:sz w:val="22"/>
              </w:rPr>
            </w:pPr>
            <w:r w:rsidRPr="00322AE9">
              <w:rPr>
                <w:rFonts w:eastAsia="Times New Roman" w:cs="Times New Roman"/>
                <w:spacing w:val="-5"/>
                <w:sz w:val="22"/>
              </w:rPr>
              <w:t>1,04</w:t>
            </w:r>
          </w:p>
        </w:tc>
      </w:tr>
      <w:tr w:rsidR="00322AE9" w:rsidRPr="00322AE9" w14:paraId="6E3A8802" w14:textId="77777777" w:rsidTr="00322AE9">
        <w:trPr>
          <w:trHeight w:val="300"/>
          <w:jc w:val="center"/>
        </w:trPr>
        <w:tc>
          <w:tcPr>
            <w:tcW w:w="2837" w:type="pct"/>
            <w:tcBorders>
              <w:top w:val="nil"/>
              <w:left w:val="single" w:sz="4" w:space="0" w:color="auto"/>
              <w:bottom w:val="single" w:sz="4" w:space="0" w:color="auto"/>
              <w:right w:val="single" w:sz="4" w:space="0" w:color="auto"/>
            </w:tcBorders>
            <w:shd w:val="clear" w:color="auto" w:fill="auto"/>
            <w:noWrap/>
            <w:vAlign w:val="bottom"/>
            <w:hideMark/>
          </w:tcPr>
          <w:p w14:paraId="6FFEF6AC" w14:textId="77777777" w:rsidR="00322AE9" w:rsidRPr="00322AE9" w:rsidRDefault="00322AE9" w:rsidP="00322AE9">
            <w:pPr>
              <w:suppressAutoHyphens/>
              <w:adjustRightInd w:val="0"/>
              <w:ind w:firstLine="0"/>
              <w:jc w:val="center"/>
              <w:textAlignment w:val="baseline"/>
              <w:rPr>
                <w:rFonts w:eastAsia="Times New Roman" w:cs="Times New Roman"/>
                <w:spacing w:val="-5"/>
                <w:sz w:val="22"/>
              </w:rPr>
            </w:pPr>
            <w:r w:rsidRPr="00322AE9">
              <w:rPr>
                <w:rFonts w:eastAsia="Times New Roman" w:cs="Times New Roman"/>
                <w:spacing w:val="-5"/>
                <w:sz w:val="22"/>
              </w:rPr>
              <w:t>8</w:t>
            </w:r>
          </w:p>
        </w:tc>
        <w:tc>
          <w:tcPr>
            <w:tcW w:w="2163" w:type="pct"/>
            <w:tcBorders>
              <w:top w:val="nil"/>
              <w:left w:val="nil"/>
              <w:bottom w:val="single" w:sz="4" w:space="0" w:color="auto"/>
              <w:right w:val="single" w:sz="4" w:space="0" w:color="auto"/>
            </w:tcBorders>
            <w:shd w:val="clear" w:color="auto" w:fill="auto"/>
            <w:noWrap/>
            <w:vAlign w:val="bottom"/>
            <w:hideMark/>
          </w:tcPr>
          <w:p w14:paraId="234A2357" w14:textId="77777777" w:rsidR="00322AE9" w:rsidRPr="00322AE9" w:rsidRDefault="00322AE9" w:rsidP="00322AE9">
            <w:pPr>
              <w:suppressAutoHyphens/>
              <w:adjustRightInd w:val="0"/>
              <w:ind w:firstLine="0"/>
              <w:jc w:val="center"/>
              <w:textAlignment w:val="baseline"/>
              <w:rPr>
                <w:rFonts w:eastAsia="Times New Roman" w:cs="Times New Roman"/>
                <w:spacing w:val="-5"/>
                <w:sz w:val="22"/>
              </w:rPr>
            </w:pPr>
            <w:r w:rsidRPr="00322AE9">
              <w:rPr>
                <w:rFonts w:eastAsia="Times New Roman" w:cs="Times New Roman"/>
                <w:spacing w:val="-5"/>
                <w:sz w:val="22"/>
              </w:rPr>
              <w:t>1,05</w:t>
            </w:r>
          </w:p>
        </w:tc>
      </w:tr>
      <w:tr w:rsidR="00322AE9" w:rsidRPr="00322AE9" w14:paraId="3E9C3DF2" w14:textId="77777777" w:rsidTr="00322AE9">
        <w:trPr>
          <w:trHeight w:val="300"/>
          <w:jc w:val="center"/>
        </w:trPr>
        <w:tc>
          <w:tcPr>
            <w:tcW w:w="2837" w:type="pct"/>
            <w:tcBorders>
              <w:top w:val="nil"/>
              <w:left w:val="single" w:sz="4" w:space="0" w:color="auto"/>
              <w:bottom w:val="single" w:sz="4" w:space="0" w:color="auto"/>
              <w:right w:val="single" w:sz="4" w:space="0" w:color="auto"/>
            </w:tcBorders>
            <w:shd w:val="clear" w:color="auto" w:fill="auto"/>
            <w:noWrap/>
            <w:vAlign w:val="bottom"/>
            <w:hideMark/>
          </w:tcPr>
          <w:p w14:paraId="5680B8E6" w14:textId="77777777" w:rsidR="00322AE9" w:rsidRPr="00322AE9" w:rsidRDefault="00322AE9" w:rsidP="00322AE9">
            <w:pPr>
              <w:suppressAutoHyphens/>
              <w:adjustRightInd w:val="0"/>
              <w:ind w:firstLine="0"/>
              <w:jc w:val="center"/>
              <w:textAlignment w:val="baseline"/>
              <w:rPr>
                <w:rFonts w:eastAsia="Times New Roman" w:cs="Times New Roman"/>
                <w:spacing w:val="-5"/>
                <w:sz w:val="22"/>
              </w:rPr>
            </w:pPr>
            <w:r w:rsidRPr="00322AE9">
              <w:rPr>
                <w:rFonts w:eastAsia="Times New Roman" w:cs="Times New Roman"/>
                <w:spacing w:val="-5"/>
                <w:sz w:val="22"/>
              </w:rPr>
              <w:t>9</w:t>
            </w:r>
          </w:p>
        </w:tc>
        <w:tc>
          <w:tcPr>
            <w:tcW w:w="2163" w:type="pct"/>
            <w:tcBorders>
              <w:top w:val="nil"/>
              <w:left w:val="nil"/>
              <w:bottom w:val="single" w:sz="4" w:space="0" w:color="auto"/>
              <w:right w:val="single" w:sz="4" w:space="0" w:color="auto"/>
            </w:tcBorders>
            <w:shd w:val="clear" w:color="auto" w:fill="auto"/>
            <w:noWrap/>
            <w:vAlign w:val="bottom"/>
            <w:hideMark/>
          </w:tcPr>
          <w:p w14:paraId="23423948" w14:textId="77777777" w:rsidR="00322AE9" w:rsidRPr="00322AE9" w:rsidRDefault="00322AE9" w:rsidP="00322AE9">
            <w:pPr>
              <w:suppressAutoHyphens/>
              <w:adjustRightInd w:val="0"/>
              <w:ind w:firstLine="0"/>
              <w:jc w:val="center"/>
              <w:textAlignment w:val="baseline"/>
              <w:rPr>
                <w:rFonts w:eastAsia="Times New Roman" w:cs="Times New Roman"/>
                <w:spacing w:val="-5"/>
                <w:sz w:val="22"/>
              </w:rPr>
            </w:pPr>
            <w:r w:rsidRPr="00322AE9">
              <w:rPr>
                <w:rFonts w:eastAsia="Times New Roman" w:cs="Times New Roman"/>
                <w:spacing w:val="-5"/>
                <w:sz w:val="22"/>
              </w:rPr>
              <w:t>1,08</w:t>
            </w:r>
          </w:p>
        </w:tc>
      </w:tr>
      <w:tr w:rsidR="00322AE9" w:rsidRPr="00322AE9" w14:paraId="5C521761" w14:textId="77777777" w:rsidTr="00322AE9">
        <w:trPr>
          <w:trHeight w:val="300"/>
          <w:jc w:val="center"/>
        </w:trPr>
        <w:tc>
          <w:tcPr>
            <w:tcW w:w="2837" w:type="pct"/>
            <w:tcBorders>
              <w:top w:val="nil"/>
              <w:left w:val="single" w:sz="4" w:space="0" w:color="auto"/>
              <w:bottom w:val="single" w:sz="4" w:space="0" w:color="auto"/>
              <w:right w:val="single" w:sz="4" w:space="0" w:color="auto"/>
            </w:tcBorders>
            <w:shd w:val="clear" w:color="auto" w:fill="auto"/>
            <w:noWrap/>
            <w:vAlign w:val="bottom"/>
            <w:hideMark/>
          </w:tcPr>
          <w:p w14:paraId="0B014F00" w14:textId="77777777" w:rsidR="00322AE9" w:rsidRPr="00322AE9" w:rsidRDefault="00322AE9" w:rsidP="00322AE9">
            <w:pPr>
              <w:suppressAutoHyphens/>
              <w:adjustRightInd w:val="0"/>
              <w:ind w:firstLine="22"/>
              <w:jc w:val="center"/>
              <w:textAlignment w:val="baseline"/>
              <w:rPr>
                <w:rFonts w:eastAsia="Times New Roman" w:cs="Times New Roman"/>
                <w:spacing w:val="-5"/>
                <w:sz w:val="22"/>
              </w:rPr>
            </w:pPr>
            <w:r w:rsidRPr="00322AE9">
              <w:rPr>
                <w:rFonts w:eastAsia="Times New Roman" w:cs="Times New Roman"/>
                <w:spacing w:val="-5"/>
                <w:sz w:val="22"/>
              </w:rPr>
              <w:t>10</w:t>
            </w:r>
          </w:p>
        </w:tc>
        <w:tc>
          <w:tcPr>
            <w:tcW w:w="2163" w:type="pct"/>
            <w:tcBorders>
              <w:top w:val="nil"/>
              <w:left w:val="nil"/>
              <w:bottom w:val="single" w:sz="4" w:space="0" w:color="auto"/>
              <w:right w:val="single" w:sz="4" w:space="0" w:color="auto"/>
            </w:tcBorders>
            <w:shd w:val="clear" w:color="auto" w:fill="auto"/>
            <w:noWrap/>
            <w:vAlign w:val="bottom"/>
            <w:hideMark/>
          </w:tcPr>
          <w:p w14:paraId="4C405D8F" w14:textId="77777777" w:rsidR="00322AE9" w:rsidRPr="00322AE9" w:rsidRDefault="00322AE9" w:rsidP="00322AE9">
            <w:pPr>
              <w:suppressAutoHyphens/>
              <w:adjustRightInd w:val="0"/>
              <w:ind w:firstLine="22"/>
              <w:jc w:val="center"/>
              <w:textAlignment w:val="baseline"/>
              <w:rPr>
                <w:rFonts w:eastAsia="Times New Roman" w:cs="Times New Roman"/>
                <w:spacing w:val="-5"/>
                <w:sz w:val="22"/>
              </w:rPr>
            </w:pPr>
            <w:r w:rsidRPr="00322AE9">
              <w:rPr>
                <w:rFonts w:eastAsia="Times New Roman" w:cs="Times New Roman"/>
                <w:spacing w:val="-5"/>
                <w:sz w:val="22"/>
              </w:rPr>
              <w:t>1,09</w:t>
            </w:r>
          </w:p>
        </w:tc>
      </w:tr>
    </w:tbl>
    <w:p w14:paraId="5457DBAC" w14:textId="77777777" w:rsidR="00322AE9" w:rsidRPr="00322AE9" w:rsidRDefault="00322AE9" w:rsidP="00322AE9">
      <w:pPr>
        <w:suppressAutoHyphens/>
        <w:adjustRightInd w:val="0"/>
        <w:ind w:firstLine="709"/>
        <w:textAlignment w:val="baseline"/>
        <w:rPr>
          <w:rFonts w:eastAsia="Times New Roman" w:cs="Times New Roman"/>
          <w:spacing w:val="-5"/>
          <w:szCs w:val="24"/>
        </w:rPr>
      </w:pPr>
    </w:p>
    <w:p w14:paraId="499343DA" w14:textId="77777777" w:rsidR="00322AE9" w:rsidRPr="00322AE9" w:rsidRDefault="00322AE9" w:rsidP="00322AE9">
      <w:pPr>
        <w:suppressAutoHyphens/>
        <w:adjustRightInd w:val="0"/>
        <w:ind w:firstLine="709"/>
        <w:textAlignment w:val="baseline"/>
        <w:rPr>
          <w:rFonts w:eastAsia="Times New Roman" w:cs="Times New Roman"/>
          <w:b/>
          <w:spacing w:val="-5"/>
          <w:szCs w:val="24"/>
        </w:rPr>
      </w:pPr>
      <w:r w:rsidRPr="00322AE9">
        <w:rPr>
          <w:rFonts w:eastAsia="Times New Roman" w:cs="Times New Roman"/>
          <w:b/>
          <w:spacing w:val="-5"/>
          <w:szCs w:val="24"/>
        </w:rPr>
        <w:t>Расчет прибыли предпринимателя</w:t>
      </w:r>
    </w:p>
    <w:p w14:paraId="319EF164" w14:textId="77777777" w:rsidR="00322AE9" w:rsidRPr="00322AE9" w:rsidRDefault="00322AE9" w:rsidP="00322AE9">
      <w:pPr>
        <w:suppressAutoHyphens/>
        <w:adjustRightInd w:val="0"/>
        <w:ind w:firstLine="709"/>
        <w:textAlignment w:val="baseline"/>
        <w:rPr>
          <w:rFonts w:eastAsia="Times New Roman" w:cs="Times New Roman"/>
          <w:spacing w:val="-5"/>
          <w:szCs w:val="24"/>
        </w:rPr>
      </w:pPr>
      <w:r w:rsidRPr="00322AE9">
        <w:rPr>
          <w:rFonts w:eastAsia="Times New Roman" w:cs="Times New Roman"/>
          <w:spacing w:val="-5"/>
          <w:szCs w:val="24"/>
        </w:rPr>
        <w:t>Прибыль предпринимателя является фактором вознаграждения инвестора за риск строительства объекта недвижимости и отражает величину, которую предприниматель рассчитывает получить в качестве вознаграждения за свою реализованную активную предпринимательскую деятельность.</w:t>
      </w:r>
    </w:p>
    <w:p w14:paraId="399F5216" w14:textId="77777777" w:rsidR="00322AE9" w:rsidRPr="00322AE9" w:rsidRDefault="00322AE9" w:rsidP="00322AE9">
      <w:pPr>
        <w:suppressAutoHyphens/>
        <w:adjustRightInd w:val="0"/>
        <w:ind w:firstLine="709"/>
        <w:textAlignment w:val="baseline"/>
        <w:rPr>
          <w:rFonts w:eastAsia="Times New Roman" w:cs="Times New Roman"/>
          <w:spacing w:val="-5"/>
          <w:szCs w:val="24"/>
        </w:rPr>
      </w:pPr>
      <w:r w:rsidRPr="00322AE9">
        <w:rPr>
          <w:rFonts w:eastAsia="Times New Roman" w:cs="Times New Roman"/>
          <w:spacing w:val="-5"/>
          <w:szCs w:val="24"/>
        </w:rPr>
        <w:t>Данная величина отражает степень риска и уровень компетентности предпринимателя, связанные с реализацией строительного проекта, а также тот факт, что возможность использования объекта откладывается по сравнению с приобретением готового.</w:t>
      </w:r>
    </w:p>
    <w:p w14:paraId="301CD7C8" w14:textId="3C83EA40" w:rsidR="00322AE9" w:rsidRPr="00322AE9" w:rsidRDefault="00322AE9" w:rsidP="00322AE9">
      <w:pPr>
        <w:suppressAutoHyphens/>
        <w:adjustRightInd w:val="0"/>
        <w:ind w:firstLine="709"/>
        <w:textAlignment w:val="baseline"/>
        <w:rPr>
          <w:rFonts w:eastAsia="Times New Roman" w:cs="Times New Roman"/>
          <w:spacing w:val="-5"/>
          <w:szCs w:val="24"/>
        </w:rPr>
      </w:pPr>
      <w:r w:rsidRPr="00322AE9">
        <w:rPr>
          <w:rFonts w:eastAsia="Times New Roman" w:cs="Times New Roman"/>
          <w:spacing w:val="-5"/>
          <w:szCs w:val="24"/>
        </w:rPr>
        <w:t xml:space="preserve">Согласно </w:t>
      </w:r>
      <w:r w:rsidR="001172CB">
        <w:rPr>
          <w:rFonts w:eastAsia="Times New Roman" w:cs="Times New Roman"/>
          <w:spacing w:val="-5"/>
          <w:szCs w:val="24"/>
        </w:rPr>
        <w:t>п.7.3.2.</w:t>
      </w:r>
      <w:r w:rsidRPr="00322AE9">
        <w:rPr>
          <w:rFonts w:eastAsia="Times New Roman" w:cs="Times New Roman"/>
          <w:spacing w:val="-5"/>
          <w:szCs w:val="24"/>
        </w:rPr>
        <w:t xml:space="preserve"> </w:t>
      </w:r>
      <w:r w:rsidR="001172CB">
        <w:rPr>
          <w:rFonts w:eastAsia="Times New Roman" w:cs="Times New Roman"/>
          <w:spacing w:val="-5"/>
          <w:szCs w:val="24"/>
        </w:rPr>
        <w:t>М</w:t>
      </w:r>
      <w:r w:rsidRPr="00322AE9">
        <w:rPr>
          <w:rFonts w:eastAsia="Times New Roman" w:cs="Times New Roman"/>
          <w:spacing w:val="-5"/>
          <w:szCs w:val="24"/>
        </w:rPr>
        <w:t>етодических указаний, при расчете величины прибыли предпринимателя методом компенсации вмененных издержек необходимо учитывать все инвестиции, связанные с созданием объекта недвижимости, включая инвестиции, необходимые для приобретения прав на земельный участок, время, необходимое для проведения инженерно-изыскательских и проектных работ, а также согласования проекта.</w:t>
      </w:r>
    </w:p>
    <w:p w14:paraId="5D8ED990" w14:textId="77777777" w:rsidR="00322AE9" w:rsidRPr="00322AE9" w:rsidRDefault="00322AE9" w:rsidP="00322AE9">
      <w:pPr>
        <w:suppressAutoHyphens/>
        <w:adjustRightInd w:val="0"/>
        <w:ind w:firstLine="709"/>
        <w:textAlignment w:val="baseline"/>
        <w:rPr>
          <w:rFonts w:eastAsia="Times New Roman" w:cs="Times New Roman"/>
          <w:spacing w:val="-5"/>
          <w:szCs w:val="24"/>
        </w:rPr>
      </w:pPr>
      <w:r w:rsidRPr="00322AE9">
        <w:rPr>
          <w:rFonts w:eastAsia="Times New Roman" w:cs="Times New Roman"/>
          <w:spacing w:val="-5"/>
          <w:szCs w:val="24"/>
        </w:rPr>
        <w:t>Формула расчета прибыли предпринимателя:</w:t>
      </w:r>
    </w:p>
    <w:p w14:paraId="4C3D5535" w14:textId="77777777" w:rsidR="00322AE9" w:rsidRPr="00322AE9" w:rsidRDefault="00322AE9" w:rsidP="00322AE9">
      <w:pPr>
        <w:shd w:val="clear" w:color="auto" w:fill="FFFFFF"/>
        <w:suppressAutoHyphens/>
        <w:adjustRightInd w:val="0"/>
        <w:ind w:firstLine="709"/>
        <w:jc w:val="center"/>
        <w:textAlignment w:val="baseline"/>
        <w:rPr>
          <w:rFonts w:eastAsia="Times New Roman" w:cs="Times New Roman"/>
          <w:spacing w:val="-5"/>
          <w:szCs w:val="24"/>
        </w:rPr>
      </w:pPr>
      <w:r w:rsidRPr="00322AE9">
        <w:rPr>
          <w:rFonts w:eastAsia="Times New Roman" w:cs="Times New Roman"/>
          <w:noProof/>
          <w:spacing w:val="2"/>
          <w:szCs w:val="24"/>
          <w:lang w:eastAsia="ru-RU"/>
        </w:rPr>
        <w:drawing>
          <wp:inline distT="0" distB="0" distL="0" distR="0" wp14:anchorId="2FF81CFB" wp14:editId="5C7C9516">
            <wp:extent cx="2655307" cy="627058"/>
            <wp:effectExtent l="0" t="0" r="0" b="1592"/>
            <wp:docPr id="969" name="Рисунок 34" descr="Об утверждении методических указаний о государственной кадастровой оценке"/>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6"/>
                    <a:srcRect/>
                    <a:stretch>
                      <a:fillRect/>
                    </a:stretch>
                  </pic:blipFill>
                  <pic:spPr>
                    <a:xfrm>
                      <a:off x="0" y="0"/>
                      <a:ext cx="2655307" cy="627058"/>
                    </a:xfrm>
                    <a:prstGeom prst="rect">
                      <a:avLst/>
                    </a:prstGeom>
                    <a:noFill/>
                    <a:ln>
                      <a:noFill/>
                      <a:prstDash/>
                    </a:ln>
                  </pic:spPr>
                </pic:pic>
              </a:graphicData>
            </a:graphic>
          </wp:inline>
        </w:drawing>
      </w:r>
      <w:r w:rsidRPr="00322AE9">
        <w:rPr>
          <w:rFonts w:eastAsia="Times New Roman" w:cs="Times New Roman"/>
          <w:spacing w:val="2"/>
          <w:szCs w:val="24"/>
        </w:rPr>
        <w:t>, где</w:t>
      </w:r>
    </w:p>
    <w:p w14:paraId="67FAC1AC" w14:textId="77777777" w:rsidR="00322AE9" w:rsidRPr="00322AE9" w:rsidRDefault="00322AE9" w:rsidP="00322AE9">
      <w:pPr>
        <w:suppressAutoHyphens/>
        <w:adjustRightInd w:val="0"/>
        <w:ind w:firstLine="709"/>
        <w:textAlignment w:val="baseline"/>
        <w:rPr>
          <w:rFonts w:eastAsia="Times New Roman" w:cs="Times New Roman"/>
          <w:spacing w:val="-5"/>
          <w:szCs w:val="24"/>
        </w:rPr>
      </w:pPr>
      <w:r w:rsidRPr="00322AE9">
        <w:rPr>
          <w:rFonts w:eastAsia="Times New Roman" w:cs="Times New Roman"/>
          <w:spacing w:val="-5"/>
          <w:szCs w:val="24"/>
        </w:rPr>
        <w:t>ПП - прибыль предпринимателя, %;</w:t>
      </w:r>
    </w:p>
    <w:p w14:paraId="19E4C126" w14:textId="77777777" w:rsidR="00322AE9" w:rsidRPr="00322AE9" w:rsidRDefault="00322AE9" w:rsidP="00322AE9">
      <w:pPr>
        <w:suppressAutoHyphens/>
        <w:adjustRightInd w:val="0"/>
        <w:ind w:firstLine="709"/>
        <w:textAlignment w:val="baseline"/>
        <w:rPr>
          <w:rFonts w:eastAsia="Times New Roman" w:cs="Times New Roman"/>
          <w:spacing w:val="-5"/>
          <w:szCs w:val="24"/>
        </w:rPr>
      </w:pPr>
      <m:oMath>
        <m:r>
          <w:rPr>
            <w:rFonts w:ascii="Cambria Math" w:eastAsia="Times New Roman" w:hAnsi="Cambria Math" w:cs="Times New Roman"/>
            <w:spacing w:val="-5"/>
            <w:szCs w:val="24"/>
          </w:rPr>
          <m:t>∆i</m:t>
        </m:r>
      </m:oMath>
      <w:r w:rsidRPr="00322AE9">
        <w:rPr>
          <w:rFonts w:eastAsia="Times New Roman" w:cs="Times New Roman"/>
          <w:spacing w:val="-5"/>
          <w:szCs w:val="24"/>
        </w:rPr>
        <w:t> - доля инвестиций в i-тый период в объект недвижимости (%); </w:t>
      </w:r>
    </w:p>
    <w:p w14:paraId="77D2843A" w14:textId="77777777" w:rsidR="00322AE9" w:rsidRPr="00322AE9" w:rsidRDefault="00322AE9" w:rsidP="00322AE9">
      <w:pPr>
        <w:suppressAutoHyphens/>
        <w:adjustRightInd w:val="0"/>
        <w:ind w:firstLine="709"/>
        <w:textAlignment w:val="baseline"/>
        <w:rPr>
          <w:rFonts w:eastAsia="Times New Roman" w:cs="Times New Roman"/>
          <w:spacing w:val="-5"/>
          <w:szCs w:val="24"/>
        </w:rPr>
      </w:pPr>
      <w:r w:rsidRPr="00322AE9">
        <w:rPr>
          <w:rFonts w:eastAsia="Times New Roman" w:cs="Times New Roman"/>
          <w:spacing w:val="-5"/>
          <w:szCs w:val="24"/>
        </w:rPr>
        <w:t>i - порядковый номер периода;</w:t>
      </w:r>
    </w:p>
    <w:p w14:paraId="62279277" w14:textId="77777777" w:rsidR="00322AE9" w:rsidRPr="00322AE9" w:rsidRDefault="00322AE9" w:rsidP="00322AE9">
      <w:pPr>
        <w:suppressAutoHyphens/>
        <w:adjustRightInd w:val="0"/>
        <w:ind w:firstLine="709"/>
        <w:textAlignment w:val="baseline"/>
        <w:rPr>
          <w:rFonts w:eastAsia="Times New Roman" w:cs="Times New Roman"/>
          <w:spacing w:val="-5"/>
          <w:szCs w:val="24"/>
        </w:rPr>
      </w:pPr>
      <w:r w:rsidRPr="00322AE9">
        <w:rPr>
          <w:rFonts w:eastAsia="Times New Roman" w:cs="Times New Roman"/>
          <w:spacing w:val="-5"/>
          <w:szCs w:val="24"/>
        </w:rPr>
        <w:t>n - количество периодов инвестирования (продолжительность строительства);</w:t>
      </w:r>
    </w:p>
    <w:p w14:paraId="232AC090" w14:textId="77777777" w:rsidR="00322AE9" w:rsidRPr="00322AE9" w:rsidRDefault="00322AE9" w:rsidP="00322AE9">
      <w:pPr>
        <w:suppressAutoHyphens/>
        <w:adjustRightInd w:val="0"/>
        <w:ind w:firstLine="709"/>
        <w:textAlignment w:val="baseline"/>
        <w:rPr>
          <w:rFonts w:eastAsia="Times New Roman" w:cs="Times New Roman"/>
          <w:spacing w:val="-5"/>
          <w:szCs w:val="24"/>
        </w:rPr>
      </w:pPr>
      <w:r w:rsidRPr="00322AE9">
        <w:rPr>
          <w:rFonts w:eastAsia="Times New Roman" w:cs="Times New Roman"/>
          <w:spacing w:val="-5"/>
          <w:szCs w:val="24"/>
        </w:rPr>
        <w:t>Y - норма доходности для инвестиций в строительство (процент в рассматриваемый период (месяц, квартал, год).</w:t>
      </w:r>
    </w:p>
    <w:p w14:paraId="3A2A2C47" w14:textId="77777777" w:rsidR="00322AE9" w:rsidRPr="00322AE9" w:rsidRDefault="00322AE9" w:rsidP="00322AE9">
      <w:pPr>
        <w:suppressAutoHyphens/>
        <w:adjustRightInd w:val="0"/>
        <w:ind w:firstLine="709"/>
        <w:textAlignment w:val="baseline"/>
        <w:rPr>
          <w:rFonts w:eastAsia="Times New Roman" w:cs="Times New Roman"/>
          <w:spacing w:val="-5"/>
          <w:szCs w:val="24"/>
        </w:rPr>
      </w:pPr>
      <w:r w:rsidRPr="00322AE9">
        <w:rPr>
          <w:rFonts w:eastAsia="Times New Roman" w:cs="Times New Roman"/>
          <w:spacing w:val="-5"/>
          <w:szCs w:val="24"/>
        </w:rPr>
        <w:t>Затраты на проектно-изыскательские работы и строительно-монтажные работы при проведении массовой оценки принимаются равномерными за весь период их проведения. При проведении индивидуальной оценки используются приближенные к рынку графики инвестирования средств.</w:t>
      </w:r>
    </w:p>
    <w:p w14:paraId="7EF18312" w14:textId="77777777" w:rsidR="00322AE9" w:rsidRPr="00322AE9" w:rsidRDefault="00322AE9" w:rsidP="00322AE9">
      <w:pPr>
        <w:suppressAutoHyphens/>
        <w:adjustRightInd w:val="0"/>
        <w:ind w:firstLine="709"/>
        <w:textAlignment w:val="baseline"/>
        <w:rPr>
          <w:rFonts w:eastAsia="Times New Roman" w:cs="Times New Roman"/>
          <w:spacing w:val="-5"/>
          <w:szCs w:val="24"/>
        </w:rPr>
      </w:pPr>
      <w:r w:rsidRPr="00322AE9">
        <w:rPr>
          <w:rFonts w:eastAsia="Times New Roman" w:cs="Times New Roman"/>
          <w:spacing w:val="-5"/>
          <w:szCs w:val="24"/>
        </w:rPr>
        <w:t>Норма доходности для инвестиций в строительство при использовании данных о затратах на создание объектов недвижимости, приведенных к дате определения кадастровой стоимости, рассчитывается без учета инфляции.</w:t>
      </w:r>
    </w:p>
    <w:p w14:paraId="123E3D3B" w14:textId="77777777" w:rsidR="00322AE9" w:rsidRPr="00322AE9" w:rsidRDefault="00322AE9" w:rsidP="00322AE9">
      <w:pPr>
        <w:suppressAutoHyphens/>
        <w:adjustRightInd w:val="0"/>
        <w:ind w:firstLine="709"/>
        <w:textAlignment w:val="baseline"/>
        <w:rPr>
          <w:rFonts w:eastAsia="Times New Roman" w:cs="Times New Roman"/>
          <w:spacing w:val="-5"/>
          <w:szCs w:val="24"/>
        </w:rPr>
      </w:pPr>
      <w:r w:rsidRPr="00322AE9">
        <w:rPr>
          <w:rFonts w:eastAsia="Times New Roman" w:cs="Times New Roman"/>
          <w:spacing w:val="-5"/>
          <w:szCs w:val="24"/>
        </w:rPr>
        <w:t>Возможно использовать норму доходности для инвестиций в строительство на уровне депозитов коммерческих банков со сроком вложения, сопоставимым со сроком строительства объектов недвижимости, а инфляцию для получения чистой (реальной) доходности принимать по отраслевой инфляции в строительстве.</w:t>
      </w:r>
    </w:p>
    <w:p w14:paraId="78BFC54A" w14:textId="77777777" w:rsidR="00322AE9" w:rsidRPr="00322AE9" w:rsidRDefault="00322AE9" w:rsidP="00322AE9">
      <w:pPr>
        <w:suppressAutoHyphens/>
        <w:adjustRightInd w:val="0"/>
        <w:ind w:firstLine="709"/>
        <w:textAlignment w:val="baseline"/>
        <w:rPr>
          <w:rFonts w:eastAsia="Times New Roman" w:cs="Times New Roman"/>
          <w:spacing w:val="-5"/>
          <w:szCs w:val="24"/>
        </w:rPr>
      </w:pPr>
      <w:r w:rsidRPr="00322AE9">
        <w:rPr>
          <w:rFonts w:eastAsia="Times New Roman" w:cs="Times New Roman"/>
          <w:spacing w:val="-5"/>
          <w:szCs w:val="24"/>
        </w:rPr>
        <w:t>Ввиду отсутствия необходимой информации для расчета величины прибыли предпринимателя методом компенсации вмененных издержек данный метод не использовался.</w:t>
      </w:r>
    </w:p>
    <w:p w14:paraId="7000A54F" w14:textId="77777777" w:rsidR="00322AE9" w:rsidRPr="00322AE9" w:rsidRDefault="00322AE9" w:rsidP="00322AE9">
      <w:pPr>
        <w:suppressAutoHyphens/>
        <w:adjustRightInd w:val="0"/>
        <w:ind w:firstLine="709"/>
        <w:textAlignment w:val="baseline"/>
        <w:rPr>
          <w:rFonts w:eastAsia="Times New Roman" w:cs="Times New Roman"/>
          <w:spacing w:val="-5"/>
          <w:szCs w:val="24"/>
        </w:rPr>
      </w:pPr>
      <w:r w:rsidRPr="00322AE9">
        <w:rPr>
          <w:rFonts w:eastAsia="Times New Roman" w:cs="Times New Roman"/>
          <w:spacing w:val="-5"/>
          <w:szCs w:val="24"/>
        </w:rPr>
        <w:t>В данном случае прибыль предпринимателя принята на основании справочника оценщика недвижимости под редакцией Л. А. Лейфера «Офисно-торговая недвижимость и сходные типы объектов», Нижний Новгород, 2018 и Л. А. Лейфера «Производственно-складская недвижимость и сходные типы объектов», Нижний Новгород, 2018.</w:t>
      </w:r>
    </w:p>
    <w:p w14:paraId="63D2CA99" w14:textId="77777777" w:rsidR="00322AE9" w:rsidRPr="00322AE9" w:rsidRDefault="00322AE9" w:rsidP="00322AE9">
      <w:pPr>
        <w:suppressAutoHyphens/>
        <w:adjustRightInd w:val="0"/>
        <w:ind w:firstLine="0"/>
        <w:textAlignment w:val="baseline"/>
        <w:rPr>
          <w:rFonts w:eastAsia="Times New Roman" w:cs="Times New Roman"/>
          <w:b/>
          <w:spacing w:val="-5"/>
          <w:szCs w:val="24"/>
        </w:rPr>
      </w:pPr>
      <w:r w:rsidRPr="00322AE9">
        <w:rPr>
          <w:rFonts w:eastAsia="Times New Roman" w:cs="Times New Roman"/>
          <w:b/>
          <w:noProof/>
          <w:spacing w:val="-5"/>
          <w:sz w:val="22"/>
          <w:szCs w:val="24"/>
          <w:lang w:eastAsia="ru-RU"/>
        </w:rPr>
        <w:drawing>
          <wp:inline distT="0" distB="0" distL="0" distR="0" wp14:anchorId="327046E8" wp14:editId="21D18632">
            <wp:extent cx="5939790" cy="3264803"/>
            <wp:effectExtent l="0" t="0" r="0" b="7620"/>
            <wp:docPr id="970" name="Рисунок 970" descr="Z:\03.ОКО\- Табыисова А.И\Корректировки\ПП2 ска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03.ОКО\- Табыисова А.И\Корректировки\ПП2 скан.jpg"/>
                    <pic:cNvPicPr>
                      <a:picLocks noChangeAspect="1" noChangeArrowheads="1"/>
                    </pic:cNvPicPr>
                  </pic:nvPicPr>
                  <pic:blipFill>
                    <a:blip r:embed="rId307" cstate="print">
                      <a:extLst>
                        <a:ext uri="{28A0092B-C50C-407E-A947-70E740481C1C}">
                          <a14:useLocalDpi xmlns:a14="http://schemas.microsoft.com/office/drawing/2010/main" val="0"/>
                        </a:ext>
                      </a:extLst>
                    </a:blip>
                    <a:srcRect/>
                    <a:stretch>
                      <a:fillRect/>
                    </a:stretch>
                  </pic:blipFill>
                  <pic:spPr bwMode="auto">
                    <a:xfrm>
                      <a:off x="0" y="0"/>
                      <a:ext cx="5939790" cy="3264803"/>
                    </a:xfrm>
                    <a:prstGeom prst="rect">
                      <a:avLst/>
                    </a:prstGeom>
                    <a:noFill/>
                    <a:ln>
                      <a:noFill/>
                    </a:ln>
                  </pic:spPr>
                </pic:pic>
              </a:graphicData>
            </a:graphic>
          </wp:inline>
        </w:drawing>
      </w:r>
    </w:p>
    <w:p w14:paraId="28B33603" w14:textId="77777777" w:rsidR="00322AE9" w:rsidRPr="00322AE9" w:rsidRDefault="00322AE9" w:rsidP="00322AE9">
      <w:pPr>
        <w:suppressAutoHyphens/>
        <w:adjustRightInd w:val="0"/>
        <w:ind w:firstLine="709"/>
        <w:textAlignment w:val="baseline"/>
        <w:rPr>
          <w:rFonts w:eastAsia="Times New Roman" w:cs="Times New Roman"/>
          <w:b/>
          <w:spacing w:val="-5"/>
          <w:szCs w:val="24"/>
        </w:rPr>
      </w:pPr>
    </w:p>
    <w:p w14:paraId="7E2BD02D" w14:textId="77777777" w:rsidR="00322AE9" w:rsidRPr="00322AE9" w:rsidRDefault="00322AE9" w:rsidP="00322AE9">
      <w:pPr>
        <w:suppressAutoHyphens/>
        <w:adjustRightInd w:val="0"/>
        <w:ind w:firstLine="0"/>
        <w:textAlignment w:val="baseline"/>
        <w:rPr>
          <w:rFonts w:eastAsia="Times New Roman" w:cs="Times New Roman"/>
          <w:b/>
          <w:spacing w:val="-5"/>
          <w:szCs w:val="24"/>
        </w:rPr>
      </w:pPr>
      <w:r w:rsidRPr="00322AE9">
        <w:rPr>
          <w:rFonts w:eastAsia="Times New Roman" w:cs="Times New Roman"/>
          <w:b/>
          <w:noProof/>
          <w:spacing w:val="-5"/>
          <w:szCs w:val="24"/>
          <w:lang w:eastAsia="ru-RU"/>
        </w:rPr>
        <w:drawing>
          <wp:inline distT="0" distB="0" distL="0" distR="0" wp14:anchorId="4478D501" wp14:editId="6A9055F6">
            <wp:extent cx="5939790" cy="4858647"/>
            <wp:effectExtent l="0" t="0" r="3810" b="0"/>
            <wp:docPr id="971" name="Рисунок 971" descr="Z:\03.ОКО\- Табыисова А.И\Корректировки\ПП1 ска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03.ОКО\- Табыисова А.И\Корректировки\ПП1 скан.jpg"/>
                    <pic:cNvPicPr>
                      <a:picLocks noChangeAspect="1" noChangeArrowheads="1"/>
                    </pic:cNvPicPr>
                  </pic:nvPicPr>
                  <pic:blipFill>
                    <a:blip r:embed="rId308" cstate="print">
                      <a:extLst>
                        <a:ext uri="{28A0092B-C50C-407E-A947-70E740481C1C}">
                          <a14:useLocalDpi xmlns:a14="http://schemas.microsoft.com/office/drawing/2010/main" val="0"/>
                        </a:ext>
                      </a:extLst>
                    </a:blip>
                    <a:srcRect/>
                    <a:stretch>
                      <a:fillRect/>
                    </a:stretch>
                  </pic:blipFill>
                  <pic:spPr bwMode="auto">
                    <a:xfrm>
                      <a:off x="0" y="0"/>
                      <a:ext cx="5939790" cy="4858647"/>
                    </a:xfrm>
                    <a:prstGeom prst="rect">
                      <a:avLst/>
                    </a:prstGeom>
                    <a:noFill/>
                    <a:ln>
                      <a:noFill/>
                    </a:ln>
                  </pic:spPr>
                </pic:pic>
              </a:graphicData>
            </a:graphic>
          </wp:inline>
        </w:drawing>
      </w:r>
      <w:bookmarkStart w:id="155" w:name="_Toc525310218"/>
      <w:bookmarkEnd w:id="154"/>
    </w:p>
    <w:p w14:paraId="71DE4C4D" w14:textId="77777777" w:rsidR="00322AE9" w:rsidRPr="00322AE9" w:rsidRDefault="00322AE9" w:rsidP="00322AE9">
      <w:pPr>
        <w:suppressAutoHyphens/>
        <w:adjustRightInd w:val="0"/>
        <w:ind w:firstLine="0"/>
        <w:textAlignment w:val="baseline"/>
        <w:rPr>
          <w:rFonts w:eastAsia="Times New Roman" w:cs="Times New Roman"/>
          <w:b/>
          <w:spacing w:val="-5"/>
          <w:szCs w:val="24"/>
        </w:rPr>
      </w:pPr>
      <w:r w:rsidRPr="00322AE9">
        <w:rPr>
          <w:rFonts w:eastAsia="Times New Roman" w:cs="Times New Roman"/>
          <w:noProof/>
          <w:spacing w:val="-5"/>
          <w:szCs w:val="24"/>
          <w:lang w:eastAsia="ru-RU"/>
        </w:rPr>
        <w:drawing>
          <wp:inline distT="0" distB="0" distL="0" distR="0" wp14:anchorId="3E3EACF6" wp14:editId="057E371B">
            <wp:extent cx="6029325" cy="2524125"/>
            <wp:effectExtent l="0" t="0" r="9525" b="9525"/>
            <wp:docPr id="972" name="Рисунок 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9"/>
                    <a:stretch>
                      <a:fillRect/>
                    </a:stretch>
                  </pic:blipFill>
                  <pic:spPr>
                    <a:xfrm>
                      <a:off x="0" y="0"/>
                      <a:ext cx="6029325" cy="2524125"/>
                    </a:xfrm>
                    <a:prstGeom prst="rect">
                      <a:avLst/>
                    </a:prstGeom>
                  </pic:spPr>
                </pic:pic>
              </a:graphicData>
            </a:graphic>
          </wp:inline>
        </w:drawing>
      </w:r>
    </w:p>
    <w:p w14:paraId="78220CD9" w14:textId="77777777" w:rsidR="00322AE9" w:rsidRPr="00322AE9" w:rsidRDefault="00322AE9" w:rsidP="00322AE9">
      <w:pPr>
        <w:suppressAutoHyphens/>
        <w:adjustRightInd w:val="0"/>
        <w:ind w:firstLine="567"/>
        <w:textAlignment w:val="baseline"/>
        <w:rPr>
          <w:rFonts w:eastAsia="Times New Roman" w:cs="Times New Roman"/>
          <w:b/>
          <w:spacing w:val="-5"/>
          <w:szCs w:val="24"/>
        </w:rPr>
      </w:pPr>
      <w:r w:rsidRPr="00322AE9">
        <w:rPr>
          <w:rFonts w:eastAsia="Times New Roman" w:cs="Times New Roman"/>
          <w:b/>
          <w:spacing w:val="-5"/>
          <w:szCs w:val="24"/>
        </w:rPr>
        <w:t>Определение накопленного износа и устареваний</w:t>
      </w:r>
      <w:bookmarkEnd w:id="155"/>
    </w:p>
    <w:p w14:paraId="4D53C9CE" w14:textId="77777777" w:rsidR="00322AE9" w:rsidRPr="00322AE9" w:rsidRDefault="00322AE9" w:rsidP="00322AE9">
      <w:pPr>
        <w:tabs>
          <w:tab w:val="left" w:pos="993"/>
        </w:tabs>
        <w:suppressAutoHyphens/>
        <w:adjustRightInd w:val="0"/>
        <w:ind w:firstLine="709"/>
        <w:textAlignment w:val="baseline"/>
        <w:rPr>
          <w:rFonts w:eastAsia="Times New Roman" w:cs="Times New Roman"/>
          <w:spacing w:val="-5"/>
          <w:szCs w:val="24"/>
        </w:rPr>
      </w:pPr>
      <w:bookmarkStart w:id="156" w:name="_Toc525310219"/>
      <w:r w:rsidRPr="00322AE9">
        <w:rPr>
          <w:rFonts w:eastAsia="Times New Roman" w:cs="Times New Roman"/>
          <w:spacing w:val="-5"/>
          <w:szCs w:val="24"/>
        </w:rPr>
        <w:t>Износ и устаревания определяются снижением стоимости объекта недвижимости из-за воздействия различных факторов. Накопленный износ принято делить на три группы:</w:t>
      </w:r>
    </w:p>
    <w:p w14:paraId="2271D01C" w14:textId="77777777" w:rsidR="00322AE9" w:rsidRPr="00322AE9" w:rsidRDefault="00322AE9" w:rsidP="00D24868">
      <w:pPr>
        <w:numPr>
          <w:ilvl w:val="0"/>
          <w:numId w:val="76"/>
        </w:numPr>
        <w:tabs>
          <w:tab w:val="left" w:pos="993"/>
        </w:tabs>
        <w:suppressAutoHyphens/>
        <w:adjustRightInd w:val="0"/>
        <w:spacing w:line="360" w:lineRule="auto"/>
        <w:ind w:left="0" w:firstLine="709"/>
        <w:textAlignment w:val="baseline"/>
        <w:rPr>
          <w:rFonts w:eastAsia="Times New Roman" w:cs="Times New Roman"/>
          <w:szCs w:val="24"/>
          <w:lang w:eastAsia="ru-RU"/>
        </w:rPr>
      </w:pPr>
      <w:r w:rsidRPr="00322AE9">
        <w:rPr>
          <w:rFonts w:eastAsia="Times New Roman" w:cs="Times New Roman"/>
          <w:szCs w:val="24"/>
          <w:lang w:eastAsia="ru-RU"/>
        </w:rPr>
        <w:t>физический износ;</w:t>
      </w:r>
    </w:p>
    <w:p w14:paraId="034987B6" w14:textId="77777777" w:rsidR="00322AE9" w:rsidRPr="00322AE9" w:rsidRDefault="00322AE9" w:rsidP="00D24868">
      <w:pPr>
        <w:numPr>
          <w:ilvl w:val="0"/>
          <w:numId w:val="76"/>
        </w:numPr>
        <w:tabs>
          <w:tab w:val="left" w:pos="993"/>
        </w:tabs>
        <w:suppressAutoHyphens/>
        <w:adjustRightInd w:val="0"/>
        <w:spacing w:line="360" w:lineRule="auto"/>
        <w:ind w:left="0" w:firstLine="709"/>
        <w:textAlignment w:val="baseline"/>
        <w:rPr>
          <w:rFonts w:eastAsia="Times New Roman" w:cs="Times New Roman"/>
          <w:szCs w:val="24"/>
          <w:lang w:eastAsia="ru-RU"/>
        </w:rPr>
      </w:pPr>
      <w:r w:rsidRPr="00322AE9">
        <w:rPr>
          <w:rFonts w:eastAsia="Times New Roman" w:cs="Times New Roman"/>
          <w:szCs w:val="24"/>
          <w:lang w:eastAsia="ru-RU"/>
        </w:rPr>
        <w:t>функциональное устаревание;</w:t>
      </w:r>
    </w:p>
    <w:p w14:paraId="36E7F3CF" w14:textId="77777777" w:rsidR="00322AE9" w:rsidRPr="00322AE9" w:rsidRDefault="00322AE9" w:rsidP="00D24868">
      <w:pPr>
        <w:numPr>
          <w:ilvl w:val="0"/>
          <w:numId w:val="76"/>
        </w:numPr>
        <w:tabs>
          <w:tab w:val="left" w:pos="993"/>
        </w:tabs>
        <w:suppressAutoHyphens/>
        <w:adjustRightInd w:val="0"/>
        <w:spacing w:line="360" w:lineRule="auto"/>
        <w:ind w:left="0" w:firstLine="709"/>
        <w:textAlignment w:val="baseline"/>
        <w:rPr>
          <w:rFonts w:eastAsia="Times New Roman" w:cs="Times New Roman"/>
          <w:szCs w:val="24"/>
          <w:lang w:eastAsia="ru-RU"/>
        </w:rPr>
      </w:pPr>
      <w:r w:rsidRPr="00322AE9">
        <w:rPr>
          <w:rFonts w:eastAsia="Times New Roman" w:cs="Times New Roman"/>
          <w:szCs w:val="24"/>
          <w:lang w:eastAsia="ru-RU"/>
        </w:rPr>
        <w:t>экономическое (внешнее) устаревание.</w:t>
      </w:r>
    </w:p>
    <w:p w14:paraId="7B8129DC" w14:textId="77777777" w:rsidR="00322AE9" w:rsidRPr="00322AE9" w:rsidRDefault="00322AE9" w:rsidP="00322AE9">
      <w:pPr>
        <w:tabs>
          <w:tab w:val="left" w:pos="993"/>
        </w:tabs>
        <w:suppressAutoHyphens/>
        <w:adjustRightInd w:val="0"/>
        <w:ind w:firstLine="709"/>
        <w:textAlignment w:val="baseline"/>
        <w:rPr>
          <w:rFonts w:eastAsia="Times New Roman" w:cs="Times New Roman"/>
          <w:spacing w:val="-5"/>
          <w:szCs w:val="24"/>
        </w:rPr>
      </w:pPr>
      <w:r w:rsidRPr="00322AE9">
        <w:rPr>
          <w:rFonts w:eastAsia="Times New Roman" w:cs="Times New Roman"/>
          <w:spacing w:val="-5"/>
          <w:szCs w:val="24"/>
        </w:rPr>
        <w:t xml:space="preserve">Физический износ – это потеря стоимости за счет естественных процессов в периоде эксплуатации, разложения (ветхости), сухого гниения, коррозии или дефектов конструктивных элементов, а также механических повреждений элементов. </w:t>
      </w:r>
    </w:p>
    <w:p w14:paraId="252FCFB7" w14:textId="77777777" w:rsidR="00322AE9" w:rsidRPr="00322AE9" w:rsidRDefault="00322AE9" w:rsidP="00322AE9">
      <w:pPr>
        <w:tabs>
          <w:tab w:val="left" w:pos="993"/>
        </w:tabs>
        <w:suppressAutoHyphens/>
        <w:adjustRightInd w:val="0"/>
        <w:ind w:firstLine="709"/>
        <w:textAlignment w:val="baseline"/>
        <w:rPr>
          <w:rFonts w:eastAsia="Times New Roman" w:cs="Times New Roman"/>
          <w:spacing w:val="-5"/>
          <w:szCs w:val="24"/>
        </w:rPr>
      </w:pPr>
      <w:r w:rsidRPr="00322AE9">
        <w:rPr>
          <w:rFonts w:eastAsia="Times New Roman" w:cs="Times New Roman"/>
          <w:spacing w:val="-5"/>
          <w:szCs w:val="24"/>
        </w:rPr>
        <w:t>Функциональное устаревание является потерей стоимости вследствие недостатков проектирования и несоответствия объекта современным требованиям рынка, а также морального устаревания использованных материалов и конструкций.</w:t>
      </w:r>
    </w:p>
    <w:p w14:paraId="36405D72" w14:textId="77777777" w:rsidR="00322AE9" w:rsidRPr="00322AE9" w:rsidRDefault="00322AE9" w:rsidP="00322AE9">
      <w:pPr>
        <w:tabs>
          <w:tab w:val="left" w:pos="993"/>
        </w:tabs>
        <w:suppressAutoHyphens/>
        <w:adjustRightInd w:val="0"/>
        <w:ind w:firstLine="709"/>
        <w:textAlignment w:val="baseline"/>
        <w:rPr>
          <w:rFonts w:eastAsia="Times New Roman" w:cs="Times New Roman"/>
          <w:spacing w:val="-5"/>
          <w:szCs w:val="24"/>
        </w:rPr>
      </w:pPr>
      <w:r w:rsidRPr="00322AE9">
        <w:rPr>
          <w:rFonts w:eastAsia="Times New Roman" w:cs="Times New Roman"/>
          <w:spacing w:val="-5"/>
          <w:szCs w:val="24"/>
        </w:rPr>
        <w:t>Экономическое устаревание определяется, как изменение стоимости объекта вследствие изменения ситуации на рынке, изменения финансовых и законодательных условий, изменения окружения объекта, то есть факторов, непосредственно с оцениваемым объектом не связанных.</w:t>
      </w:r>
    </w:p>
    <w:p w14:paraId="5E4DC092" w14:textId="77777777" w:rsidR="00322AE9" w:rsidRPr="00322AE9" w:rsidRDefault="00322AE9" w:rsidP="00322AE9">
      <w:pPr>
        <w:suppressAutoHyphens/>
        <w:adjustRightInd w:val="0"/>
        <w:ind w:firstLine="709"/>
        <w:textAlignment w:val="baseline"/>
        <w:rPr>
          <w:rFonts w:eastAsia="Times New Roman" w:cs="Times New Roman"/>
          <w:spacing w:val="-5"/>
          <w:szCs w:val="24"/>
          <w:u w:val="single"/>
        </w:rPr>
      </w:pPr>
      <w:r w:rsidRPr="00322AE9">
        <w:rPr>
          <w:rFonts w:eastAsia="Times New Roman" w:cs="Times New Roman"/>
          <w:spacing w:val="-5"/>
          <w:szCs w:val="24"/>
          <w:u w:val="single"/>
        </w:rPr>
        <w:t>Определение физического износа</w:t>
      </w:r>
    </w:p>
    <w:p w14:paraId="67E178EE" w14:textId="77777777" w:rsidR="00322AE9" w:rsidRPr="00322AE9" w:rsidRDefault="00322AE9" w:rsidP="00322AE9">
      <w:pPr>
        <w:widowControl w:val="0"/>
        <w:suppressAutoHyphens/>
        <w:adjustRightInd w:val="0"/>
        <w:ind w:firstLine="709"/>
        <w:textAlignment w:val="baseline"/>
        <w:rPr>
          <w:rFonts w:eastAsia="Times New Roman" w:cs="Times New Roman"/>
          <w:spacing w:val="-5"/>
          <w:szCs w:val="24"/>
        </w:rPr>
      </w:pPr>
      <w:r w:rsidRPr="00322AE9">
        <w:rPr>
          <w:rFonts w:eastAsia="Times New Roman" w:cs="Times New Roman"/>
          <w:spacing w:val="-5"/>
          <w:szCs w:val="24"/>
        </w:rPr>
        <w:t>Физический износ строения (здания, сооружения) – это потеря стоимости за счет естественных процессов старения во время эксплуатации, разложения (ветхости), сухого гниения, коррозии или конструктивных дефектов, а также механических повреждений элементов строения, то есть снижение физико-механических характеристик объекта – ухудшение, способное отразиться на долговечности, надежности, удобстве и затратах эксплуатации, а также на эстетических характеристиках объекта.</w:t>
      </w:r>
    </w:p>
    <w:p w14:paraId="4FE91EC6" w14:textId="77777777" w:rsidR="00322AE9" w:rsidRPr="00322AE9" w:rsidRDefault="00322AE9" w:rsidP="00322AE9">
      <w:pPr>
        <w:suppressAutoHyphens/>
        <w:adjustRightInd w:val="0"/>
        <w:ind w:firstLine="567"/>
        <w:textAlignment w:val="baseline"/>
        <w:rPr>
          <w:rFonts w:eastAsia="Times New Roman" w:cs="Times New Roman"/>
          <w:spacing w:val="-5"/>
          <w:szCs w:val="24"/>
        </w:rPr>
      </w:pPr>
      <w:r w:rsidRPr="00322AE9">
        <w:rPr>
          <w:rFonts w:eastAsia="Times New Roman" w:cs="Times New Roman"/>
          <w:spacing w:val="-5"/>
          <w:szCs w:val="24"/>
        </w:rPr>
        <w:t>Физический износ может быть рассчитан на основании метода эффективного возраста по формуле</w:t>
      </w:r>
      <w:r w:rsidRPr="00322AE9">
        <w:rPr>
          <w:rFonts w:eastAsia="Times New Roman" w:cs="Times New Roman"/>
          <w:iCs/>
          <w:spacing w:val="-5"/>
          <w:szCs w:val="24"/>
          <w:vertAlign w:val="superscript"/>
          <w:lang w:val="en-US"/>
        </w:rPr>
        <w:footnoteReference w:id="30"/>
      </w:r>
      <w:r w:rsidRPr="00322AE9">
        <w:rPr>
          <w:rFonts w:eastAsia="Times New Roman" w:cs="Times New Roman"/>
          <w:spacing w:val="-5"/>
          <w:szCs w:val="24"/>
        </w:rPr>
        <w:t>:</w:t>
      </w:r>
    </w:p>
    <w:p w14:paraId="3D4E6361" w14:textId="77777777" w:rsidR="00322AE9" w:rsidRPr="00322AE9" w:rsidRDefault="00322AE9" w:rsidP="00322AE9">
      <w:pPr>
        <w:suppressAutoHyphens/>
        <w:adjustRightInd w:val="0"/>
        <w:ind w:firstLine="0"/>
        <w:jc w:val="center"/>
        <w:textAlignment w:val="baseline"/>
        <w:rPr>
          <w:rFonts w:eastAsia="Times New Roman" w:cs="Times New Roman"/>
          <w:spacing w:val="-5"/>
          <w:szCs w:val="24"/>
        </w:rPr>
      </w:pPr>
      <w:r w:rsidRPr="00322AE9">
        <w:rPr>
          <w:rFonts w:eastAsia="Times New Roman" w:cs="Times New Roman"/>
          <w:noProof/>
          <w:spacing w:val="-5"/>
          <w:szCs w:val="24"/>
          <w:lang w:eastAsia="ru-RU"/>
        </w:rPr>
        <w:drawing>
          <wp:inline distT="0" distB="0" distL="0" distR="0" wp14:anchorId="5614C333" wp14:editId="759164CC">
            <wp:extent cx="1419221" cy="439424"/>
            <wp:effectExtent l="0" t="0" r="0" b="0"/>
            <wp:docPr id="973" name="Рисунок 44" descr="base_1_217405_2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0"/>
                    <a:srcRect/>
                    <a:stretch>
                      <a:fillRect/>
                    </a:stretch>
                  </pic:blipFill>
                  <pic:spPr>
                    <a:xfrm>
                      <a:off x="0" y="0"/>
                      <a:ext cx="1419221" cy="439424"/>
                    </a:xfrm>
                    <a:prstGeom prst="rect">
                      <a:avLst/>
                    </a:prstGeom>
                    <a:noFill/>
                    <a:ln>
                      <a:noFill/>
                      <a:prstDash/>
                    </a:ln>
                  </pic:spPr>
                </pic:pic>
              </a:graphicData>
            </a:graphic>
          </wp:inline>
        </w:drawing>
      </w:r>
      <w:proofErr w:type="gramStart"/>
      <w:r w:rsidRPr="00322AE9">
        <w:rPr>
          <w:rFonts w:eastAsia="Times New Roman" w:cs="Times New Roman"/>
          <w:spacing w:val="-5"/>
          <w:szCs w:val="24"/>
        </w:rPr>
        <w:t xml:space="preserve">,   </w:t>
      </w:r>
      <w:proofErr w:type="gramEnd"/>
      <w:r w:rsidRPr="00322AE9">
        <w:rPr>
          <w:rFonts w:eastAsia="Times New Roman" w:cs="Times New Roman"/>
          <w:spacing w:val="-5"/>
          <w:szCs w:val="24"/>
        </w:rPr>
        <w:t xml:space="preserve">  где</w:t>
      </w:r>
    </w:p>
    <w:p w14:paraId="034744BA" w14:textId="77777777" w:rsidR="00322AE9" w:rsidRPr="00322AE9" w:rsidRDefault="00322AE9" w:rsidP="00322AE9">
      <w:pPr>
        <w:suppressAutoHyphens/>
        <w:adjustRightInd w:val="0"/>
        <w:ind w:firstLine="709"/>
        <w:textAlignment w:val="baseline"/>
        <w:rPr>
          <w:rFonts w:eastAsia="Times New Roman" w:cs="Times New Roman"/>
          <w:spacing w:val="-5"/>
          <w:szCs w:val="24"/>
        </w:rPr>
      </w:pPr>
      <w:r w:rsidRPr="00322AE9">
        <w:rPr>
          <w:rFonts w:eastAsia="Times New Roman" w:cs="Times New Roman"/>
          <w:spacing w:val="-5"/>
          <w:szCs w:val="24"/>
        </w:rPr>
        <w:t>ФизИз - величина физического износа объекта;</w:t>
      </w:r>
    </w:p>
    <w:p w14:paraId="602447CB" w14:textId="77777777" w:rsidR="00322AE9" w:rsidRPr="00322AE9" w:rsidRDefault="00322AE9" w:rsidP="00322AE9">
      <w:pPr>
        <w:suppressAutoHyphens/>
        <w:adjustRightInd w:val="0"/>
        <w:ind w:firstLine="709"/>
        <w:textAlignment w:val="baseline"/>
        <w:rPr>
          <w:rFonts w:eastAsia="Times New Roman" w:cs="Times New Roman"/>
          <w:spacing w:val="-5"/>
          <w:szCs w:val="24"/>
        </w:rPr>
      </w:pPr>
      <w:r w:rsidRPr="00322AE9">
        <w:rPr>
          <w:rFonts w:eastAsia="Times New Roman" w:cs="Times New Roman"/>
          <w:spacing w:val="-5"/>
          <w:szCs w:val="24"/>
        </w:rPr>
        <w:t>ЭфВ - эффективный возраст объекта - хронологический возраст объекта недвижимости, откорректированный в соответствии с условиями эксплуатации этого объекта недвижимости;</w:t>
      </w:r>
    </w:p>
    <w:p w14:paraId="6AE327BD" w14:textId="77777777" w:rsidR="00322AE9" w:rsidRPr="00322AE9" w:rsidRDefault="00322AE9" w:rsidP="00322AE9">
      <w:pPr>
        <w:suppressAutoHyphens/>
        <w:adjustRightInd w:val="0"/>
        <w:ind w:firstLine="709"/>
        <w:textAlignment w:val="baseline"/>
        <w:rPr>
          <w:rFonts w:eastAsia="Times New Roman" w:cs="Times New Roman"/>
          <w:spacing w:val="-5"/>
          <w:szCs w:val="24"/>
        </w:rPr>
      </w:pPr>
      <w:r w:rsidRPr="00322AE9">
        <w:rPr>
          <w:rFonts w:eastAsia="Times New Roman" w:cs="Times New Roman"/>
          <w:spacing w:val="-5"/>
          <w:szCs w:val="24"/>
        </w:rPr>
        <w:t>ЭкЖ - срок экономической жизни объекта - срок экономически целесообразной эксплуатации от создания объекта недвижимости до достижения физического состояния, при котором затраты на капитальный ремонт (реконструкцию) будут сопоставимы с затратами на новое строительство подобного объекта недвижимости. Срок экономической жизни объектов, учитываемый при определении физического износа при массовой оценке ОКС, приведен для целей Указаний в приложении N 9 к Указаниям;</w:t>
      </w:r>
    </w:p>
    <w:p w14:paraId="27786B35" w14:textId="77777777" w:rsidR="00322AE9" w:rsidRPr="00322AE9" w:rsidRDefault="00322AE9" w:rsidP="00322AE9">
      <w:pPr>
        <w:suppressAutoHyphens/>
        <w:adjustRightInd w:val="0"/>
        <w:ind w:firstLine="709"/>
        <w:textAlignment w:val="baseline"/>
        <w:rPr>
          <w:rFonts w:eastAsia="Times New Roman" w:cs="Times New Roman"/>
          <w:spacing w:val="-5"/>
          <w:szCs w:val="24"/>
        </w:rPr>
      </w:pPr>
      <w:r w:rsidRPr="00322AE9">
        <w:rPr>
          <w:rFonts w:eastAsia="Times New Roman" w:cs="Times New Roman"/>
          <w:spacing w:val="-5"/>
          <w:szCs w:val="24"/>
        </w:rPr>
        <w:t>Кm - коэффициент типа объекта недвижимости (для прочих объектов недвижимости - 0,6).</w:t>
      </w:r>
    </w:p>
    <w:p w14:paraId="51B5994F" w14:textId="77777777" w:rsidR="00322AE9" w:rsidRPr="00322AE9" w:rsidRDefault="00322AE9" w:rsidP="00322AE9">
      <w:pPr>
        <w:widowControl w:val="0"/>
        <w:suppressAutoHyphens/>
        <w:adjustRightInd w:val="0"/>
        <w:ind w:firstLine="709"/>
        <w:textAlignment w:val="baseline"/>
        <w:rPr>
          <w:rFonts w:eastAsia="Times New Roman" w:cs="Times New Roman"/>
          <w:spacing w:val="-5"/>
          <w:szCs w:val="24"/>
        </w:rPr>
      </w:pPr>
      <w:r w:rsidRPr="00322AE9">
        <w:rPr>
          <w:rFonts w:eastAsia="Times New Roman" w:cs="Times New Roman"/>
          <w:spacing w:val="-5"/>
          <w:szCs w:val="24"/>
        </w:rPr>
        <w:t>Согласно алгоритму расчета физического износа, отраженного в Методических указаниях, расчет производился по следующему алгоритму:</w:t>
      </w:r>
    </w:p>
    <w:p w14:paraId="3EC7495C" w14:textId="77777777" w:rsidR="00322AE9" w:rsidRPr="00322AE9" w:rsidRDefault="00322AE9" w:rsidP="00185776">
      <w:pPr>
        <w:widowControl w:val="0"/>
        <w:numPr>
          <w:ilvl w:val="0"/>
          <w:numId w:val="77"/>
        </w:numPr>
        <w:tabs>
          <w:tab w:val="left" w:pos="0"/>
        </w:tabs>
        <w:suppressAutoHyphens/>
        <w:adjustRightInd w:val="0"/>
        <w:ind w:left="709" w:hanging="709"/>
        <w:textAlignment w:val="baseline"/>
        <w:rPr>
          <w:rFonts w:eastAsia="Times New Roman" w:cs="Times New Roman"/>
          <w:spacing w:val="-5"/>
          <w:szCs w:val="24"/>
          <w:lang w:eastAsia="ru-RU"/>
        </w:rPr>
      </w:pPr>
      <w:r w:rsidRPr="00322AE9">
        <w:rPr>
          <w:rFonts w:eastAsia="Times New Roman" w:cs="Times New Roman"/>
          <w:spacing w:val="-5"/>
          <w:szCs w:val="24"/>
          <w:lang w:eastAsia="ru-RU"/>
        </w:rPr>
        <w:t>для объектов оценки с расчетным физическим износом от 0 до 60%, износ принимается равным расчетной величине;</w:t>
      </w:r>
    </w:p>
    <w:p w14:paraId="7E562A35" w14:textId="77777777" w:rsidR="00322AE9" w:rsidRPr="00322AE9" w:rsidRDefault="00322AE9" w:rsidP="00185776">
      <w:pPr>
        <w:widowControl w:val="0"/>
        <w:numPr>
          <w:ilvl w:val="0"/>
          <w:numId w:val="77"/>
        </w:numPr>
        <w:tabs>
          <w:tab w:val="left" w:pos="0"/>
        </w:tabs>
        <w:suppressAutoHyphens/>
        <w:adjustRightInd w:val="0"/>
        <w:ind w:left="709" w:hanging="709"/>
        <w:textAlignment w:val="baseline"/>
        <w:rPr>
          <w:rFonts w:eastAsia="Times New Roman" w:cs="Times New Roman"/>
          <w:spacing w:val="-5"/>
          <w:szCs w:val="24"/>
          <w:lang w:eastAsia="ru-RU"/>
        </w:rPr>
      </w:pPr>
      <w:r w:rsidRPr="00322AE9">
        <w:rPr>
          <w:rFonts w:eastAsia="Times New Roman" w:cs="Times New Roman"/>
          <w:spacing w:val="-5"/>
          <w:szCs w:val="24"/>
          <w:lang w:eastAsia="ru-RU"/>
        </w:rPr>
        <w:t>для объектов оценки с расчетным физическим износом от 60 до 100%, износ принимается равным 60%;</w:t>
      </w:r>
    </w:p>
    <w:p w14:paraId="4A9E20A6" w14:textId="77777777" w:rsidR="00322AE9" w:rsidRPr="00322AE9" w:rsidRDefault="00322AE9" w:rsidP="00185776">
      <w:pPr>
        <w:widowControl w:val="0"/>
        <w:numPr>
          <w:ilvl w:val="0"/>
          <w:numId w:val="77"/>
        </w:numPr>
        <w:tabs>
          <w:tab w:val="left" w:pos="0"/>
        </w:tabs>
        <w:suppressAutoHyphens/>
        <w:adjustRightInd w:val="0"/>
        <w:ind w:left="709" w:hanging="709"/>
        <w:textAlignment w:val="baseline"/>
        <w:rPr>
          <w:rFonts w:eastAsia="Times New Roman" w:cs="Times New Roman"/>
          <w:spacing w:val="-5"/>
          <w:szCs w:val="24"/>
          <w:lang w:eastAsia="ru-RU"/>
        </w:rPr>
      </w:pPr>
      <w:r w:rsidRPr="00322AE9">
        <w:rPr>
          <w:rFonts w:eastAsia="Times New Roman" w:cs="Times New Roman"/>
          <w:spacing w:val="-5"/>
          <w:szCs w:val="24"/>
          <w:lang w:eastAsia="ru-RU"/>
        </w:rPr>
        <w:t>для объектов оценки с расчетным физическим износом свыше 100%, износ принимается равным 70%;</w:t>
      </w:r>
    </w:p>
    <w:p w14:paraId="5D41F194" w14:textId="77777777" w:rsidR="00185776" w:rsidRDefault="00322AE9" w:rsidP="00185776">
      <w:pPr>
        <w:widowControl w:val="0"/>
        <w:numPr>
          <w:ilvl w:val="0"/>
          <w:numId w:val="77"/>
        </w:numPr>
        <w:tabs>
          <w:tab w:val="left" w:pos="0"/>
        </w:tabs>
        <w:suppressAutoHyphens/>
        <w:adjustRightInd w:val="0"/>
        <w:ind w:left="709" w:hanging="709"/>
        <w:textAlignment w:val="baseline"/>
        <w:rPr>
          <w:rFonts w:eastAsia="Times New Roman" w:cs="Times New Roman"/>
          <w:spacing w:val="-5"/>
          <w:szCs w:val="24"/>
          <w:lang w:eastAsia="ru-RU"/>
        </w:rPr>
      </w:pPr>
      <w:r w:rsidRPr="00322AE9">
        <w:rPr>
          <w:rFonts w:eastAsia="Times New Roman" w:cs="Times New Roman"/>
          <w:spacing w:val="-5"/>
          <w:szCs w:val="24"/>
          <w:lang w:eastAsia="ru-RU"/>
        </w:rPr>
        <w:t>для объектов оценки, для которых отсутствуют сведения о годе постройки, как следствие, отсутствуют данные для расчета величины физического износа, износ определяется как среднее значение для диапазона, характерного удовлетворительному состоянию в соответствии с «Методикой определения физического износа гражданских зданий» № 404, утверждённой Приказом по Министерству коммунального хозяйства РСФСР от 27 октября 1970 года – 30%.</w:t>
      </w:r>
    </w:p>
    <w:p w14:paraId="3C99FFD3" w14:textId="75922095" w:rsidR="00185776" w:rsidRPr="00185776" w:rsidRDefault="00185776" w:rsidP="00185776">
      <w:pPr>
        <w:widowControl w:val="0"/>
        <w:numPr>
          <w:ilvl w:val="0"/>
          <w:numId w:val="77"/>
        </w:numPr>
        <w:tabs>
          <w:tab w:val="left" w:pos="0"/>
        </w:tabs>
        <w:suppressAutoHyphens/>
        <w:adjustRightInd w:val="0"/>
        <w:ind w:left="709" w:hanging="709"/>
        <w:textAlignment w:val="baseline"/>
        <w:rPr>
          <w:rFonts w:eastAsia="Times New Roman" w:cs="Times New Roman"/>
          <w:spacing w:val="-5"/>
          <w:szCs w:val="24"/>
          <w:lang w:eastAsia="ru-RU"/>
        </w:rPr>
      </w:pPr>
      <w:r w:rsidRPr="00185776">
        <w:rPr>
          <w:rFonts w:eastAsia="Times New Roman" w:cs="Times New Roman"/>
          <w:spacing w:val="-5"/>
          <w:szCs w:val="24"/>
        </w:rPr>
        <w:t xml:space="preserve">Предельная величина износа при эксплуатации объектов недвижимости определена в соответствии с «Методикой определения физического износа гражданских зданий» (Источник — </w:t>
      </w:r>
      <w:hyperlink r:id="rId311" w:history="1">
        <w:r w:rsidRPr="00185776">
          <w:rPr>
            <w:rFonts w:eastAsia="Times New Roman" w:cs="Times New Roman"/>
            <w:spacing w:val="-5"/>
            <w:szCs w:val="24"/>
          </w:rPr>
          <w:t>http://docs.cntd.ru/document/1200005761).</w:t>
        </w:r>
      </w:hyperlink>
      <w:r w:rsidRPr="00185776">
        <w:rPr>
          <w:rFonts w:eastAsia="Times New Roman" w:cs="Times New Roman"/>
          <w:spacing w:val="-5"/>
          <w:szCs w:val="24"/>
        </w:rPr>
        <w:t xml:space="preserve"> Согласно данной методики негодное для эксплуатации здания техническое состояние возникает при достижении физического износа значения 81%. Таким образом, при расчете кадастровой стоимости объектам, у которых установлен признак аварийного состояния, присваивается физический износ в размере 81%</w:t>
      </w:r>
      <w:r>
        <w:rPr>
          <w:rFonts w:eastAsia="Times New Roman" w:cs="Times New Roman"/>
          <w:spacing w:val="-5"/>
          <w:szCs w:val="24"/>
        </w:rPr>
        <w:t>.</w:t>
      </w:r>
    </w:p>
    <w:p w14:paraId="4649822E" w14:textId="77777777" w:rsidR="00322AE9" w:rsidRPr="00322AE9" w:rsidRDefault="00322AE9" w:rsidP="00185776">
      <w:pPr>
        <w:widowControl w:val="0"/>
        <w:suppressAutoHyphens/>
        <w:adjustRightInd w:val="0"/>
        <w:spacing w:before="60"/>
        <w:ind w:firstLine="709"/>
        <w:textAlignment w:val="baseline"/>
        <w:rPr>
          <w:rFonts w:eastAsia="Times New Roman" w:cs="Times New Roman"/>
          <w:spacing w:val="-5"/>
          <w:szCs w:val="24"/>
        </w:rPr>
      </w:pPr>
      <w:r w:rsidRPr="00322AE9">
        <w:rPr>
          <w:rFonts w:eastAsia="Times New Roman" w:cs="Times New Roman"/>
          <w:spacing w:val="-5"/>
          <w:szCs w:val="24"/>
        </w:rPr>
        <w:t>Ниже в таблице представлена классификация состояний в соответствии с Методикой определения физического износа гражданских зданий.</w:t>
      </w:r>
    </w:p>
    <w:p w14:paraId="0D1401FF" w14:textId="77777777" w:rsidR="00322AE9" w:rsidRPr="00322AE9" w:rsidRDefault="00322AE9" w:rsidP="00322AE9">
      <w:pPr>
        <w:widowControl w:val="0"/>
        <w:suppressAutoHyphens/>
        <w:adjustRightInd w:val="0"/>
        <w:spacing w:before="60"/>
        <w:ind w:firstLine="709"/>
        <w:textAlignment w:val="baseline"/>
        <w:rPr>
          <w:rFonts w:eastAsia="Times New Roman" w:cs="Times New Roman"/>
          <w:spacing w:val="-5"/>
          <w:szCs w:val="24"/>
        </w:rPr>
      </w:pPr>
    </w:p>
    <w:p w14:paraId="539D3A99" w14:textId="77777777" w:rsidR="00322AE9" w:rsidRPr="00322AE9" w:rsidRDefault="00322AE9" w:rsidP="00322AE9">
      <w:pPr>
        <w:widowControl w:val="0"/>
        <w:suppressAutoHyphens/>
        <w:adjustRightInd w:val="0"/>
        <w:ind w:firstLine="567"/>
        <w:textAlignment w:val="baseline"/>
        <w:rPr>
          <w:rFonts w:eastAsia="Times New Roman" w:cs="Times New Roman"/>
          <w:spacing w:val="-5"/>
          <w:szCs w:val="24"/>
        </w:rPr>
        <w:sectPr w:rsidR="00322AE9" w:rsidRPr="00322AE9" w:rsidSect="00322AE9">
          <w:pgSz w:w="11906" w:h="16838"/>
          <w:pgMar w:top="1134" w:right="566" w:bottom="1134" w:left="1701" w:header="708" w:footer="708" w:gutter="0"/>
          <w:cols w:space="708"/>
          <w:docGrid w:linePitch="360"/>
        </w:sectPr>
      </w:pPr>
    </w:p>
    <w:p w14:paraId="51DDEACE" w14:textId="2FDF9BF0" w:rsidR="00322AE9" w:rsidRPr="000A6DB8" w:rsidRDefault="000A6DB8" w:rsidP="00763AD2">
      <w:pPr>
        <w:pStyle w:val="afffffff0"/>
      </w:pPr>
      <w:r w:rsidRPr="000A6DB8">
        <w:t xml:space="preserve">Таблица </w:t>
      </w:r>
      <w:r w:rsidR="00A90944">
        <w:fldChar w:fldCharType="begin"/>
      </w:r>
      <w:r w:rsidR="00A90944">
        <w:instrText xml:space="preserve"> SEQ Таблица \* ARABIC </w:instrText>
      </w:r>
      <w:r w:rsidR="00A90944">
        <w:fldChar w:fldCharType="separate"/>
      </w:r>
      <w:r w:rsidR="00FD2769">
        <w:rPr>
          <w:noProof/>
        </w:rPr>
        <w:t>78</w:t>
      </w:r>
      <w:r w:rsidR="00A90944">
        <w:rPr>
          <w:noProof/>
        </w:rPr>
        <w:fldChar w:fldCharType="end"/>
      </w:r>
      <w:r w:rsidRPr="000A6DB8">
        <w:t xml:space="preserve"> </w:t>
      </w:r>
      <w:r w:rsidR="00322AE9" w:rsidRPr="000A6DB8">
        <w:t>Классификация состояний в соответствии с Методикой определения физического износа гражданских зданий</w:t>
      </w:r>
    </w:p>
    <w:tbl>
      <w:tblPr>
        <w:tblW w:w="143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72"/>
        <w:gridCol w:w="4253"/>
        <w:gridCol w:w="1811"/>
        <w:gridCol w:w="5276"/>
      </w:tblGrid>
      <w:tr w:rsidR="00322AE9" w:rsidRPr="00322AE9" w14:paraId="028B89C1" w14:textId="77777777" w:rsidTr="00322AE9">
        <w:trPr>
          <w:trHeight w:hRule="exact" w:val="742"/>
          <w:tblHeader/>
          <w:jc w:val="center"/>
        </w:trPr>
        <w:tc>
          <w:tcPr>
            <w:tcW w:w="7225" w:type="dxa"/>
            <w:gridSpan w:val="2"/>
            <w:vAlign w:val="center"/>
          </w:tcPr>
          <w:p w14:paraId="4985B7E7" w14:textId="77777777" w:rsidR="00322AE9" w:rsidRPr="00322AE9" w:rsidRDefault="00322AE9" w:rsidP="00322AE9">
            <w:pPr>
              <w:suppressAutoHyphens/>
              <w:adjustRightInd w:val="0"/>
              <w:ind w:firstLine="0"/>
              <w:jc w:val="left"/>
              <w:textAlignment w:val="baseline"/>
              <w:rPr>
                <w:rFonts w:cs="Times New Roman"/>
                <w:i/>
                <w:color w:val="000000" w:themeColor="text1"/>
                <w:spacing w:val="-5"/>
                <w:sz w:val="20"/>
                <w:szCs w:val="20"/>
              </w:rPr>
            </w:pPr>
            <w:r w:rsidRPr="00322AE9">
              <w:rPr>
                <w:rFonts w:cs="Times New Roman"/>
                <w:i/>
                <w:color w:val="000000" w:themeColor="text1"/>
                <w:spacing w:val="-5"/>
                <w:sz w:val="20"/>
                <w:szCs w:val="20"/>
              </w:rPr>
              <w:t>Для взаимосвязи качественного и количественного состояний объектов может быть применена «Методика определения физического износа гражданских зданий» № 404, утвержденная приказом по Министерству коммунального хозяйства РСФСР от 27 октября 1970 г.</w:t>
            </w:r>
          </w:p>
        </w:tc>
        <w:tc>
          <w:tcPr>
            <w:tcW w:w="7087" w:type="dxa"/>
            <w:gridSpan w:val="2"/>
            <w:vAlign w:val="center"/>
          </w:tcPr>
          <w:p w14:paraId="29ECF54E" w14:textId="77777777" w:rsidR="00322AE9" w:rsidRPr="00322AE9" w:rsidRDefault="00322AE9" w:rsidP="00322AE9">
            <w:pPr>
              <w:suppressAutoHyphens/>
              <w:adjustRightInd w:val="0"/>
              <w:ind w:firstLine="0"/>
              <w:jc w:val="left"/>
              <w:textAlignment w:val="baseline"/>
              <w:rPr>
                <w:rFonts w:cs="Times New Roman"/>
                <w:i/>
                <w:color w:val="000000" w:themeColor="text1"/>
                <w:spacing w:val="-5"/>
                <w:sz w:val="20"/>
                <w:szCs w:val="20"/>
              </w:rPr>
            </w:pPr>
            <w:r w:rsidRPr="00322AE9">
              <w:rPr>
                <w:rFonts w:cs="Times New Roman"/>
                <w:i/>
                <w:color w:val="000000" w:themeColor="text1"/>
                <w:spacing w:val="-5"/>
                <w:sz w:val="20"/>
                <w:szCs w:val="20"/>
              </w:rPr>
              <w:t>СП 13-102-2003. Свод правил по проектированию и строительству. Правила обследования несущих строительных конструкций зданий и сооружений.</w:t>
            </w:r>
          </w:p>
        </w:tc>
      </w:tr>
      <w:tr w:rsidR="00322AE9" w:rsidRPr="00322AE9" w14:paraId="1730DEF4" w14:textId="77777777" w:rsidTr="00322AE9">
        <w:trPr>
          <w:tblHeader/>
          <w:jc w:val="center"/>
        </w:trPr>
        <w:tc>
          <w:tcPr>
            <w:tcW w:w="2972" w:type="dxa"/>
            <w:vAlign w:val="center"/>
          </w:tcPr>
          <w:p w14:paraId="3E30717A" w14:textId="77777777" w:rsidR="00322AE9" w:rsidRPr="00322AE9" w:rsidRDefault="00322AE9" w:rsidP="00322AE9">
            <w:pPr>
              <w:suppressAutoHyphens/>
              <w:adjustRightInd w:val="0"/>
              <w:ind w:firstLine="0"/>
              <w:jc w:val="center"/>
              <w:textAlignment w:val="baseline"/>
              <w:rPr>
                <w:rFonts w:cs="Times New Roman"/>
                <w:color w:val="000000" w:themeColor="text1"/>
                <w:spacing w:val="-5"/>
                <w:sz w:val="20"/>
                <w:szCs w:val="20"/>
              </w:rPr>
            </w:pPr>
            <w:r w:rsidRPr="00322AE9">
              <w:rPr>
                <w:rFonts w:cs="Times New Roman"/>
                <w:b/>
                <w:color w:val="000000" w:themeColor="text1"/>
                <w:spacing w:val="-5"/>
                <w:sz w:val="20"/>
                <w:szCs w:val="20"/>
              </w:rPr>
              <w:t>Состояние</w:t>
            </w:r>
          </w:p>
        </w:tc>
        <w:tc>
          <w:tcPr>
            <w:tcW w:w="4253" w:type="dxa"/>
            <w:vAlign w:val="center"/>
          </w:tcPr>
          <w:p w14:paraId="637E3049" w14:textId="77777777" w:rsidR="00322AE9" w:rsidRPr="00322AE9" w:rsidRDefault="00322AE9" w:rsidP="00322AE9">
            <w:pPr>
              <w:suppressAutoHyphens/>
              <w:adjustRightInd w:val="0"/>
              <w:ind w:firstLine="0"/>
              <w:jc w:val="center"/>
              <w:textAlignment w:val="baseline"/>
              <w:rPr>
                <w:rFonts w:cs="Times New Roman"/>
                <w:color w:val="000000" w:themeColor="text1"/>
                <w:spacing w:val="-5"/>
                <w:sz w:val="20"/>
                <w:szCs w:val="20"/>
              </w:rPr>
            </w:pPr>
            <w:r w:rsidRPr="00322AE9">
              <w:rPr>
                <w:rFonts w:cs="Times New Roman"/>
                <w:b/>
                <w:color w:val="000000" w:themeColor="text1"/>
                <w:spacing w:val="-5"/>
                <w:sz w:val="20"/>
                <w:szCs w:val="20"/>
              </w:rPr>
              <w:t>Описание</w:t>
            </w:r>
          </w:p>
        </w:tc>
        <w:tc>
          <w:tcPr>
            <w:tcW w:w="1811" w:type="dxa"/>
            <w:vAlign w:val="center"/>
          </w:tcPr>
          <w:p w14:paraId="7B0F3EA0" w14:textId="77777777" w:rsidR="00322AE9" w:rsidRPr="00322AE9" w:rsidRDefault="00322AE9" w:rsidP="00322AE9">
            <w:pPr>
              <w:suppressAutoHyphens/>
              <w:adjustRightInd w:val="0"/>
              <w:ind w:firstLine="0"/>
              <w:jc w:val="center"/>
              <w:textAlignment w:val="baseline"/>
              <w:rPr>
                <w:rFonts w:cs="Times New Roman"/>
                <w:color w:val="000000" w:themeColor="text1"/>
                <w:spacing w:val="-5"/>
                <w:sz w:val="20"/>
                <w:szCs w:val="20"/>
              </w:rPr>
            </w:pPr>
            <w:r w:rsidRPr="00322AE9">
              <w:rPr>
                <w:rFonts w:cs="Times New Roman"/>
                <w:b/>
                <w:color w:val="000000" w:themeColor="text1"/>
                <w:spacing w:val="-5"/>
                <w:sz w:val="20"/>
                <w:szCs w:val="20"/>
              </w:rPr>
              <w:t>Состояние</w:t>
            </w:r>
          </w:p>
        </w:tc>
        <w:tc>
          <w:tcPr>
            <w:tcW w:w="5276" w:type="dxa"/>
            <w:vAlign w:val="center"/>
          </w:tcPr>
          <w:p w14:paraId="12E285BA" w14:textId="77777777" w:rsidR="00322AE9" w:rsidRPr="00322AE9" w:rsidRDefault="00322AE9" w:rsidP="00322AE9">
            <w:pPr>
              <w:suppressAutoHyphens/>
              <w:adjustRightInd w:val="0"/>
              <w:ind w:firstLine="0"/>
              <w:jc w:val="center"/>
              <w:textAlignment w:val="baseline"/>
              <w:rPr>
                <w:rFonts w:cs="Times New Roman"/>
                <w:color w:val="000000" w:themeColor="text1"/>
                <w:spacing w:val="-5"/>
                <w:sz w:val="20"/>
                <w:szCs w:val="20"/>
              </w:rPr>
            </w:pPr>
            <w:r w:rsidRPr="00322AE9">
              <w:rPr>
                <w:rFonts w:cs="Times New Roman"/>
                <w:b/>
                <w:color w:val="000000" w:themeColor="text1"/>
                <w:spacing w:val="-5"/>
                <w:sz w:val="20"/>
                <w:szCs w:val="20"/>
              </w:rPr>
              <w:t>Описание</w:t>
            </w:r>
          </w:p>
        </w:tc>
      </w:tr>
      <w:tr w:rsidR="00322AE9" w:rsidRPr="00322AE9" w14:paraId="0E161E7B" w14:textId="77777777" w:rsidTr="00322AE9">
        <w:trPr>
          <w:trHeight w:hRule="exact" w:val="1418"/>
          <w:jc w:val="center"/>
        </w:trPr>
        <w:tc>
          <w:tcPr>
            <w:tcW w:w="2972" w:type="dxa"/>
          </w:tcPr>
          <w:p w14:paraId="48E5FAD3" w14:textId="77777777" w:rsidR="00322AE9" w:rsidRPr="00322AE9" w:rsidRDefault="00322AE9" w:rsidP="00322AE9">
            <w:pPr>
              <w:suppressAutoHyphens/>
              <w:adjustRightInd w:val="0"/>
              <w:ind w:firstLine="0"/>
              <w:textAlignment w:val="baseline"/>
              <w:rPr>
                <w:rFonts w:cs="Times New Roman"/>
                <w:color w:val="000000" w:themeColor="text1"/>
                <w:spacing w:val="-5"/>
                <w:sz w:val="20"/>
                <w:szCs w:val="20"/>
              </w:rPr>
            </w:pPr>
            <w:r w:rsidRPr="00322AE9">
              <w:rPr>
                <w:rFonts w:cs="Times New Roman"/>
                <w:color w:val="000000" w:themeColor="text1"/>
                <w:spacing w:val="-5"/>
                <w:sz w:val="20"/>
                <w:szCs w:val="20"/>
              </w:rPr>
              <w:t>I – хорошее (&lt; 20%)</w:t>
            </w:r>
          </w:p>
        </w:tc>
        <w:tc>
          <w:tcPr>
            <w:tcW w:w="4253" w:type="dxa"/>
          </w:tcPr>
          <w:p w14:paraId="39D455BB" w14:textId="77777777" w:rsidR="00322AE9" w:rsidRPr="00322AE9" w:rsidRDefault="00322AE9" w:rsidP="00322AE9">
            <w:pPr>
              <w:suppressAutoHyphens/>
              <w:adjustRightInd w:val="0"/>
              <w:ind w:firstLine="0"/>
              <w:textAlignment w:val="baseline"/>
              <w:rPr>
                <w:rFonts w:cs="Times New Roman"/>
                <w:color w:val="000000" w:themeColor="text1"/>
                <w:spacing w:val="-5"/>
                <w:sz w:val="20"/>
                <w:szCs w:val="20"/>
              </w:rPr>
            </w:pPr>
            <w:r w:rsidRPr="00322AE9">
              <w:rPr>
                <w:rFonts w:cs="Times New Roman"/>
                <w:color w:val="000000" w:themeColor="text1"/>
                <w:spacing w:val="-5"/>
                <w:sz w:val="20"/>
                <w:szCs w:val="20"/>
              </w:rPr>
              <w:t>Отсутствуют видимые повреждения и трещины, свидетельствующие о снижении несущей способности конструкций. Выполняются условия эксплуатации согласно требованиям норм и проектной документации. Необходимость в ремонтно-восстановительных работах отсутствует.</w:t>
            </w:r>
          </w:p>
        </w:tc>
        <w:tc>
          <w:tcPr>
            <w:tcW w:w="1811" w:type="dxa"/>
          </w:tcPr>
          <w:p w14:paraId="21E9C20C" w14:textId="77777777" w:rsidR="00322AE9" w:rsidRPr="00322AE9" w:rsidRDefault="00322AE9" w:rsidP="00322AE9">
            <w:pPr>
              <w:suppressAutoHyphens/>
              <w:adjustRightInd w:val="0"/>
              <w:ind w:firstLine="0"/>
              <w:textAlignment w:val="baseline"/>
              <w:rPr>
                <w:rFonts w:cs="Times New Roman"/>
                <w:color w:val="000000" w:themeColor="text1"/>
                <w:spacing w:val="-5"/>
                <w:sz w:val="20"/>
                <w:szCs w:val="20"/>
              </w:rPr>
            </w:pPr>
            <w:r w:rsidRPr="00322AE9">
              <w:rPr>
                <w:rFonts w:cs="Times New Roman"/>
                <w:color w:val="000000" w:themeColor="text1"/>
                <w:spacing w:val="-5"/>
                <w:sz w:val="20"/>
                <w:szCs w:val="20"/>
              </w:rPr>
              <w:t>Исправное</w:t>
            </w:r>
          </w:p>
        </w:tc>
        <w:tc>
          <w:tcPr>
            <w:tcW w:w="5276" w:type="dxa"/>
          </w:tcPr>
          <w:p w14:paraId="1FC61B68" w14:textId="77777777" w:rsidR="00322AE9" w:rsidRPr="00322AE9" w:rsidRDefault="00322AE9" w:rsidP="00322AE9">
            <w:pPr>
              <w:suppressAutoHyphens/>
              <w:adjustRightInd w:val="0"/>
              <w:ind w:firstLine="0"/>
              <w:textAlignment w:val="baseline"/>
              <w:rPr>
                <w:rFonts w:cs="Times New Roman"/>
                <w:color w:val="000000" w:themeColor="text1"/>
                <w:spacing w:val="-5"/>
                <w:sz w:val="20"/>
                <w:szCs w:val="20"/>
              </w:rPr>
            </w:pPr>
            <w:r w:rsidRPr="00322AE9">
              <w:rPr>
                <w:rFonts w:cs="Times New Roman"/>
                <w:color w:val="000000" w:themeColor="text1"/>
                <w:spacing w:val="-5"/>
                <w:sz w:val="20"/>
                <w:szCs w:val="20"/>
              </w:rPr>
              <w:t>Категория технического состояния строительной конструкции или здания и сооружения в целом, характеризующаяся отсутствием дефектов и повреждений, влияющих на снижение несущей способности и эксплуатационной пригодности</w:t>
            </w:r>
          </w:p>
        </w:tc>
      </w:tr>
      <w:tr w:rsidR="00322AE9" w:rsidRPr="00322AE9" w14:paraId="5B5C5F8D" w14:textId="77777777" w:rsidTr="00322AE9">
        <w:trPr>
          <w:jc w:val="center"/>
        </w:trPr>
        <w:tc>
          <w:tcPr>
            <w:tcW w:w="2972" w:type="dxa"/>
          </w:tcPr>
          <w:p w14:paraId="019C02EB" w14:textId="77777777" w:rsidR="00322AE9" w:rsidRPr="00322AE9" w:rsidRDefault="00322AE9" w:rsidP="00322AE9">
            <w:pPr>
              <w:suppressAutoHyphens/>
              <w:adjustRightInd w:val="0"/>
              <w:ind w:firstLine="0"/>
              <w:textAlignment w:val="baseline"/>
              <w:rPr>
                <w:rFonts w:cs="Times New Roman"/>
                <w:color w:val="000000" w:themeColor="text1"/>
                <w:spacing w:val="-5"/>
                <w:sz w:val="20"/>
                <w:szCs w:val="20"/>
              </w:rPr>
            </w:pPr>
            <w:r w:rsidRPr="00322AE9">
              <w:rPr>
                <w:rFonts w:cs="Times New Roman"/>
                <w:color w:val="000000" w:themeColor="text1"/>
                <w:spacing w:val="-5"/>
                <w:sz w:val="20"/>
                <w:szCs w:val="20"/>
              </w:rPr>
              <w:t>II - удовлетворительное (21% - 40%)</w:t>
            </w:r>
          </w:p>
        </w:tc>
        <w:tc>
          <w:tcPr>
            <w:tcW w:w="4253" w:type="dxa"/>
          </w:tcPr>
          <w:p w14:paraId="5928A79E" w14:textId="77777777" w:rsidR="00322AE9" w:rsidRPr="00322AE9" w:rsidRDefault="00322AE9" w:rsidP="00322AE9">
            <w:pPr>
              <w:suppressAutoHyphens/>
              <w:adjustRightInd w:val="0"/>
              <w:ind w:firstLine="0"/>
              <w:textAlignment w:val="baseline"/>
              <w:rPr>
                <w:rFonts w:cs="Times New Roman"/>
                <w:color w:val="000000" w:themeColor="text1"/>
                <w:spacing w:val="-5"/>
                <w:sz w:val="20"/>
                <w:szCs w:val="20"/>
              </w:rPr>
            </w:pPr>
            <w:r w:rsidRPr="00322AE9">
              <w:rPr>
                <w:rFonts w:cs="Times New Roman"/>
                <w:color w:val="000000" w:themeColor="text1"/>
                <w:spacing w:val="-5"/>
                <w:sz w:val="20"/>
                <w:szCs w:val="20"/>
              </w:rPr>
              <w:t>Незначительные повреждения, на отдельных участках имеются отдельные раковины, выбоины, волосяные трещины. Антикоррозионная защита имеет частичные повреждения. Обеспечиваются нормальные условия эксплуатации. Требуется текущий ремонт, с устранением локальных повреждений без усиления конструкций.</w:t>
            </w:r>
          </w:p>
        </w:tc>
        <w:tc>
          <w:tcPr>
            <w:tcW w:w="1811" w:type="dxa"/>
          </w:tcPr>
          <w:p w14:paraId="07B345B9" w14:textId="77777777" w:rsidR="00322AE9" w:rsidRPr="00322AE9" w:rsidRDefault="00322AE9" w:rsidP="00322AE9">
            <w:pPr>
              <w:suppressAutoHyphens/>
              <w:adjustRightInd w:val="0"/>
              <w:ind w:firstLine="0"/>
              <w:textAlignment w:val="baseline"/>
              <w:rPr>
                <w:rFonts w:cs="Times New Roman"/>
                <w:color w:val="000000" w:themeColor="text1"/>
                <w:spacing w:val="-5"/>
                <w:sz w:val="20"/>
                <w:szCs w:val="20"/>
              </w:rPr>
            </w:pPr>
            <w:r w:rsidRPr="00322AE9">
              <w:rPr>
                <w:rFonts w:cs="Times New Roman"/>
                <w:color w:val="000000" w:themeColor="text1"/>
                <w:spacing w:val="-5"/>
                <w:sz w:val="20"/>
                <w:szCs w:val="20"/>
              </w:rPr>
              <w:t>Работоспособное</w:t>
            </w:r>
          </w:p>
        </w:tc>
        <w:tc>
          <w:tcPr>
            <w:tcW w:w="5276" w:type="dxa"/>
          </w:tcPr>
          <w:p w14:paraId="038689AD" w14:textId="77777777" w:rsidR="00322AE9" w:rsidRPr="00322AE9" w:rsidRDefault="00322AE9" w:rsidP="00322AE9">
            <w:pPr>
              <w:suppressAutoHyphens/>
              <w:adjustRightInd w:val="0"/>
              <w:ind w:firstLine="0"/>
              <w:textAlignment w:val="baseline"/>
              <w:rPr>
                <w:rFonts w:cs="Times New Roman"/>
                <w:color w:val="000000" w:themeColor="text1"/>
                <w:spacing w:val="-5"/>
                <w:sz w:val="20"/>
                <w:szCs w:val="20"/>
              </w:rPr>
            </w:pPr>
            <w:r w:rsidRPr="00322AE9">
              <w:rPr>
                <w:rFonts w:cs="Times New Roman"/>
                <w:color w:val="000000" w:themeColor="text1"/>
                <w:spacing w:val="-5"/>
                <w:sz w:val="20"/>
                <w:szCs w:val="20"/>
              </w:rPr>
              <w:t>Категория технического состояния, при которой некоторые из численно оцениваемых контролируемых параметров не отвечают требованиям проекта, норм и стандартов, но имеющиеся нарушения требований, например, по деформативности, а в железобетоне и по трещиностойкости, в данных конкретных условиях эксплуатации не приводят к нарушению работоспособности, и несущая способность конструкций, с учетом влияния имеющихся дефектов и повреждений, обеспечивается</w:t>
            </w:r>
          </w:p>
        </w:tc>
      </w:tr>
      <w:tr w:rsidR="00322AE9" w:rsidRPr="00322AE9" w14:paraId="7A690F58" w14:textId="77777777" w:rsidTr="00322AE9">
        <w:trPr>
          <w:jc w:val="center"/>
        </w:trPr>
        <w:tc>
          <w:tcPr>
            <w:tcW w:w="2972" w:type="dxa"/>
          </w:tcPr>
          <w:p w14:paraId="01CA9CC9" w14:textId="77777777" w:rsidR="00322AE9" w:rsidRPr="00322AE9" w:rsidRDefault="00322AE9" w:rsidP="00322AE9">
            <w:pPr>
              <w:suppressAutoHyphens/>
              <w:adjustRightInd w:val="0"/>
              <w:ind w:firstLine="0"/>
              <w:textAlignment w:val="baseline"/>
              <w:rPr>
                <w:rFonts w:cs="Times New Roman"/>
                <w:spacing w:val="-5"/>
                <w:sz w:val="20"/>
                <w:szCs w:val="20"/>
              </w:rPr>
            </w:pPr>
            <w:r w:rsidRPr="00322AE9">
              <w:rPr>
                <w:rFonts w:cs="Times New Roman"/>
                <w:spacing w:val="-5"/>
                <w:sz w:val="20"/>
                <w:szCs w:val="20"/>
              </w:rPr>
              <w:t>III - неудовлетворительное (41% - 60%)</w:t>
            </w:r>
          </w:p>
        </w:tc>
        <w:tc>
          <w:tcPr>
            <w:tcW w:w="4253" w:type="dxa"/>
          </w:tcPr>
          <w:p w14:paraId="54ED8876" w14:textId="77777777" w:rsidR="00322AE9" w:rsidRPr="00322AE9" w:rsidRDefault="00322AE9" w:rsidP="00322AE9">
            <w:pPr>
              <w:suppressAutoHyphens/>
              <w:adjustRightInd w:val="0"/>
              <w:ind w:firstLine="0"/>
              <w:textAlignment w:val="baseline"/>
              <w:rPr>
                <w:rFonts w:cs="Times New Roman"/>
                <w:color w:val="000000" w:themeColor="text1"/>
                <w:spacing w:val="-5"/>
                <w:sz w:val="20"/>
                <w:szCs w:val="20"/>
              </w:rPr>
            </w:pPr>
            <w:r w:rsidRPr="00322AE9">
              <w:rPr>
                <w:rFonts w:cs="Times New Roman"/>
                <w:color w:val="000000" w:themeColor="text1"/>
                <w:spacing w:val="-5"/>
                <w:sz w:val="20"/>
                <w:szCs w:val="20"/>
              </w:rPr>
              <w:t>Имеются повреждения, дефекты и трещины, свидетельствующие об ограничении работоспособности и снижении несущей способности конструкций. Нарушены требования действующих норм, но отсутствует опасность обрушения и угроза безопасности работающих. Требуется усиление и восстановление несущей способности конструкций.</w:t>
            </w:r>
          </w:p>
        </w:tc>
        <w:tc>
          <w:tcPr>
            <w:tcW w:w="1811" w:type="dxa"/>
          </w:tcPr>
          <w:p w14:paraId="3798EE9D" w14:textId="77777777" w:rsidR="00322AE9" w:rsidRPr="00322AE9" w:rsidRDefault="00322AE9" w:rsidP="00322AE9">
            <w:pPr>
              <w:suppressAutoHyphens/>
              <w:adjustRightInd w:val="0"/>
              <w:ind w:firstLine="0"/>
              <w:textAlignment w:val="baseline"/>
              <w:rPr>
                <w:rFonts w:cs="Times New Roman"/>
                <w:color w:val="000000" w:themeColor="text1"/>
                <w:spacing w:val="-5"/>
                <w:sz w:val="20"/>
                <w:szCs w:val="20"/>
              </w:rPr>
            </w:pPr>
            <w:r w:rsidRPr="00322AE9">
              <w:rPr>
                <w:rFonts w:cs="Times New Roman"/>
                <w:color w:val="000000" w:themeColor="text1"/>
                <w:spacing w:val="-5"/>
                <w:sz w:val="20"/>
                <w:szCs w:val="20"/>
              </w:rPr>
              <w:t>Ограниченно работоспособное</w:t>
            </w:r>
          </w:p>
        </w:tc>
        <w:tc>
          <w:tcPr>
            <w:tcW w:w="5276" w:type="dxa"/>
          </w:tcPr>
          <w:p w14:paraId="0106BC0E" w14:textId="77777777" w:rsidR="00322AE9" w:rsidRPr="00322AE9" w:rsidRDefault="00322AE9" w:rsidP="00322AE9">
            <w:pPr>
              <w:suppressAutoHyphens/>
              <w:adjustRightInd w:val="0"/>
              <w:ind w:firstLine="0"/>
              <w:textAlignment w:val="baseline"/>
              <w:rPr>
                <w:rFonts w:cs="Times New Roman"/>
                <w:color w:val="000000" w:themeColor="text1"/>
                <w:spacing w:val="-5"/>
                <w:sz w:val="20"/>
                <w:szCs w:val="20"/>
              </w:rPr>
            </w:pPr>
            <w:r w:rsidRPr="00322AE9">
              <w:rPr>
                <w:rFonts w:cs="Times New Roman"/>
                <w:color w:val="000000" w:themeColor="text1"/>
                <w:spacing w:val="-5"/>
                <w:sz w:val="20"/>
                <w:szCs w:val="20"/>
              </w:rPr>
              <w:t>Категория технического состояния конструкций, при которой имеются дефекты и повреждения, приведшие к некоторому снижению несущей способности, но отсутствует опасность внезапного разрушения и функционирование конструкции возможно при контроле ее состояния, продолжительности и условий эксплуатации</w:t>
            </w:r>
          </w:p>
        </w:tc>
      </w:tr>
      <w:tr w:rsidR="00322AE9" w:rsidRPr="00322AE9" w14:paraId="56A3DC41" w14:textId="77777777" w:rsidTr="00322AE9">
        <w:trPr>
          <w:jc w:val="center"/>
        </w:trPr>
        <w:tc>
          <w:tcPr>
            <w:tcW w:w="2972" w:type="dxa"/>
          </w:tcPr>
          <w:p w14:paraId="2B7E8DE5" w14:textId="77777777" w:rsidR="00322AE9" w:rsidRPr="00322AE9" w:rsidRDefault="00322AE9" w:rsidP="00322AE9">
            <w:pPr>
              <w:suppressAutoHyphens/>
              <w:adjustRightInd w:val="0"/>
              <w:ind w:firstLine="0"/>
              <w:textAlignment w:val="baseline"/>
              <w:rPr>
                <w:rFonts w:cs="Times New Roman"/>
                <w:color w:val="000000" w:themeColor="text1"/>
                <w:spacing w:val="-5"/>
                <w:sz w:val="20"/>
                <w:szCs w:val="20"/>
              </w:rPr>
            </w:pPr>
            <w:r w:rsidRPr="00322AE9">
              <w:rPr>
                <w:rFonts w:cs="Times New Roman"/>
                <w:color w:val="000000" w:themeColor="text1"/>
                <w:spacing w:val="-5"/>
                <w:sz w:val="20"/>
                <w:szCs w:val="20"/>
              </w:rPr>
              <w:t>IV – ветхое (61% - 80%)</w:t>
            </w:r>
          </w:p>
        </w:tc>
        <w:tc>
          <w:tcPr>
            <w:tcW w:w="4253" w:type="dxa"/>
          </w:tcPr>
          <w:p w14:paraId="31165100" w14:textId="77777777" w:rsidR="00322AE9" w:rsidRPr="00322AE9" w:rsidRDefault="00322AE9" w:rsidP="00322AE9">
            <w:pPr>
              <w:suppressAutoHyphens/>
              <w:adjustRightInd w:val="0"/>
              <w:ind w:firstLine="0"/>
              <w:textAlignment w:val="baseline"/>
              <w:rPr>
                <w:rFonts w:cs="Times New Roman"/>
                <w:color w:val="000000" w:themeColor="text1"/>
                <w:spacing w:val="-5"/>
                <w:sz w:val="20"/>
                <w:szCs w:val="20"/>
              </w:rPr>
            </w:pPr>
            <w:r w:rsidRPr="00322AE9">
              <w:rPr>
                <w:rFonts w:cs="Times New Roman"/>
                <w:color w:val="000000" w:themeColor="text1"/>
                <w:spacing w:val="-5"/>
                <w:sz w:val="20"/>
                <w:szCs w:val="20"/>
              </w:rPr>
              <w:t>Существующие повреждения свидетельствуют о непригодности конструкции к эксплуатации и об опасности ее обрушения, об опасности пребывания людей в зоне обследуемых конструкций. Требуются неотложные мероприятия по предотвращению аварий (устройство временной крепи, разгрузка конструкций и т.п.). Требуется капитальный ремонт с усилением или заменой поврежденных конструкций в целом или отдельных элементов.</w:t>
            </w:r>
          </w:p>
        </w:tc>
        <w:tc>
          <w:tcPr>
            <w:tcW w:w="1811" w:type="dxa"/>
          </w:tcPr>
          <w:p w14:paraId="402E396D" w14:textId="77777777" w:rsidR="00322AE9" w:rsidRPr="00322AE9" w:rsidRDefault="00322AE9" w:rsidP="00322AE9">
            <w:pPr>
              <w:suppressAutoHyphens/>
              <w:adjustRightInd w:val="0"/>
              <w:ind w:firstLine="0"/>
              <w:textAlignment w:val="baseline"/>
              <w:rPr>
                <w:rFonts w:cs="Times New Roman"/>
                <w:color w:val="000000" w:themeColor="text1"/>
                <w:spacing w:val="-5"/>
                <w:sz w:val="20"/>
                <w:szCs w:val="20"/>
              </w:rPr>
            </w:pPr>
            <w:r w:rsidRPr="00322AE9">
              <w:rPr>
                <w:rFonts w:cs="Times New Roman"/>
                <w:color w:val="000000" w:themeColor="text1"/>
                <w:spacing w:val="-5"/>
                <w:sz w:val="20"/>
                <w:szCs w:val="20"/>
              </w:rPr>
              <w:t>Недопустимое</w:t>
            </w:r>
          </w:p>
        </w:tc>
        <w:tc>
          <w:tcPr>
            <w:tcW w:w="5276" w:type="dxa"/>
          </w:tcPr>
          <w:p w14:paraId="485DEEED" w14:textId="77777777" w:rsidR="00322AE9" w:rsidRPr="00322AE9" w:rsidRDefault="00322AE9" w:rsidP="00322AE9">
            <w:pPr>
              <w:suppressAutoHyphens/>
              <w:adjustRightInd w:val="0"/>
              <w:ind w:firstLine="0"/>
              <w:textAlignment w:val="baseline"/>
              <w:rPr>
                <w:rFonts w:cs="Times New Roman"/>
                <w:color w:val="000000" w:themeColor="text1"/>
                <w:spacing w:val="-5"/>
                <w:sz w:val="20"/>
                <w:szCs w:val="20"/>
              </w:rPr>
            </w:pPr>
            <w:r w:rsidRPr="00322AE9">
              <w:rPr>
                <w:rFonts w:cs="Times New Roman"/>
                <w:color w:val="000000" w:themeColor="text1"/>
                <w:spacing w:val="-5"/>
                <w:sz w:val="20"/>
                <w:szCs w:val="20"/>
              </w:rPr>
              <w:t>Категория технического состояния строительной конструкции или здания и сооружения в целом, характеризующаяся снижением несущей способности и эксплуатационных характеристик, при котором существует опасность для пребывания людей и сохранности оборудования (необходимо проведение страховочных мероприятий и усиление конструкций)</w:t>
            </w:r>
          </w:p>
        </w:tc>
      </w:tr>
      <w:tr w:rsidR="00322AE9" w:rsidRPr="00322AE9" w14:paraId="44254CAE" w14:textId="77777777" w:rsidTr="00322AE9">
        <w:trPr>
          <w:jc w:val="center"/>
        </w:trPr>
        <w:tc>
          <w:tcPr>
            <w:tcW w:w="2972" w:type="dxa"/>
          </w:tcPr>
          <w:p w14:paraId="67458181" w14:textId="77777777" w:rsidR="00322AE9" w:rsidRPr="00322AE9" w:rsidRDefault="00322AE9" w:rsidP="00322AE9">
            <w:pPr>
              <w:suppressAutoHyphens/>
              <w:adjustRightInd w:val="0"/>
              <w:ind w:firstLine="0"/>
              <w:textAlignment w:val="baseline"/>
              <w:rPr>
                <w:rFonts w:cs="Times New Roman"/>
                <w:color w:val="000000" w:themeColor="text1"/>
                <w:spacing w:val="-5"/>
                <w:sz w:val="20"/>
                <w:szCs w:val="20"/>
              </w:rPr>
            </w:pPr>
            <w:r w:rsidRPr="00322AE9">
              <w:rPr>
                <w:rFonts w:cs="Times New Roman"/>
                <w:color w:val="000000" w:themeColor="text1"/>
                <w:spacing w:val="-5"/>
                <w:sz w:val="20"/>
                <w:szCs w:val="20"/>
              </w:rPr>
              <w:t>V - негодное (81%-100%)</w:t>
            </w:r>
          </w:p>
        </w:tc>
        <w:tc>
          <w:tcPr>
            <w:tcW w:w="4253" w:type="dxa"/>
          </w:tcPr>
          <w:p w14:paraId="70860E2C" w14:textId="77777777" w:rsidR="00322AE9" w:rsidRPr="00322AE9" w:rsidRDefault="00322AE9" w:rsidP="00322AE9">
            <w:pPr>
              <w:suppressAutoHyphens/>
              <w:adjustRightInd w:val="0"/>
              <w:ind w:firstLine="0"/>
              <w:textAlignment w:val="baseline"/>
              <w:rPr>
                <w:rFonts w:cs="Times New Roman"/>
                <w:color w:val="000000" w:themeColor="text1"/>
                <w:spacing w:val="-5"/>
                <w:sz w:val="20"/>
                <w:szCs w:val="20"/>
              </w:rPr>
            </w:pPr>
            <w:r w:rsidRPr="00322AE9">
              <w:rPr>
                <w:rFonts w:cs="Times New Roman"/>
                <w:color w:val="000000" w:themeColor="text1"/>
                <w:spacing w:val="-5"/>
                <w:sz w:val="20"/>
                <w:szCs w:val="20"/>
              </w:rPr>
              <w:t>Конструктивные элементы находятся в разрушенном состоянии. При износе 100% остатки конструктивного элемента полностью ликвидированы.</w:t>
            </w:r>
          </w:p>
        </w:tc>
        <w:tc>
          <w:tcPr>
            <w:tcW w:w="1811" w:type="dxa"/>
          </w:tcPr>
          <w:p w14:paraId="61DAA5CB" w14:textId="77777777" w:rsidR="00322AE9" w:rsidRPr="00322AE9" w:rsidRDefault="00322AE9" w:rsidP="00322AE9">
            <w:pPr>
              <w:suppressAutoHyphens/>
              <w:adjustRightInd w:val="0"/>
              <w:ind w:firstLine="0"/>
              <w:textAlignment w:val="baseline"/>
              <w:rPr>
                <w:rFonts w:cs="Times New Roman"/>
                <w:color w:val="000000" w:themeColor="text1"/>
                <w:spacing w:val="-5"/>
                <w:sz w:val="20"/>
                <w:szCs w:val="20"/>
              </w:rPr>
            </w:pPr>
            <w:r w:rsidRPr="00322AE9">
              <w:rPr>
                <w:rFonts w:cs="Times New Roman"/>
                <w:color w:val="000000" w:themeColor="text1"/>
                <w:spacing w:val="-5"/>
                <w:sz w:val="20"/>
                <w:szCs w:val="20"/>
              </w:rPr>
              <w:t>Аварийное</w:t>
            </w:r>
          </w:p>
        </w:tc>
        <w:tc>
          <w:tcPr>
            <w:tcW w:w="5276" w:type="dxa"/>
          </w:tcPr>
          <w:p w14:paraId="1C1747AC" w14:textId="77777777" w:rsidR="00322AE9" w:rsidRPr="00322AE9" w:rsidRDefault="00322AE9" w:rsidP="00322AE9">
            <w:pPr>
              <w:suppressAutoHyphens/>
              <w:adjustRightInd w:val="0"/>
              <w:ind w:firstLine="0"/>
              <w:textAlignment w:val="baseline"/>
              <w:rPr>
                <w:rFonts w:cs="Times New Roman"/>
                <w:color w:val="000000" w:themeColor="text1"/>
                <w:spacing w:val="-5"/>
                <w:sz w:val="20"/>
                <w:szCs w:val="20"/>
              </w:rPr>
            </w:pPr>
            <w:r w:rsidRPr="00322AE9">
              <w:rPr>
                <w:rFonts w:cs="Times New Roman"/>
                <w:color w:val="000000" w:themeColor="text1"/>
                <w:spacing w:val="-5"/>
                <w:sz w:val="20"/>
                <w:szCs w:val="20"/>
              </w:rPr>
              <w:t>Категория технического состояния строительной конструкции или здания и сооружения в целом, характеризующаяся повреждениями и деформациями, свидетельствующими об исчерпании несущей способности и опасности обрушения (необходимо проведение срочных противоаварийных мероприятий)</w:t>
            </w:r>
          </w:p>
        </w:tc>
      </w:tr>
    </w:tbl>
    <w:p w14:paraId="65FB75B7" w14:textId="77777777" w:rsidR="00322AE9" w:rsidRPr="00322AE9" w:rsidRDefault="00322AE9" w:rsidP="00322AE9">
      <w:pPr>
        <w:suppressAutoHyphens/>
        <w:adjustRightInd w:val="0"/>
        <w:spacing w:after="200"/>
        <w:ind w:firstLine="567"/>
        <w:textAlignment w:val="baseline"/>
        <w:rPr>
          <w:rFonts w:cs="Times New Roman"/>
          <w:b/>
          <w:bCs/>
          <w:color w:val="000000" w:themeColor="text1"/>
          <w:spacing w:val="-5"/>
          <w:szCs w:val="24"/>
        </w:rPr>
      </w:pPr>
    </w:p>
    <w:p w14:paraId="7ADFEAC2" w14:textId="77777777" w:rsidR="00322AE9" w:rsidRPr="00322AE9" w:rsidRDefault="00322AE9" w:rsidP="00322AE9">
      <w:pPr>
        <w:suppressAutoHyphens/>
        <w:adjustRightInd w:val="0"/>
        <w:spacing w:after="200"/>
        <w:ind w:firstLine="567"/>
        <w:textAlignment w:val="baseline"/>
        <w:rPr>
          <w:rFonts w:cs="Times New Roman"/>
          <w:b/>
          <w:bCs/>
          <w:color w:val="000000" w:themeColor="text1"/>
          <w:spacing w:val="-5"/>
          <w:szCs w:val="24"/>
        </w:rPr>
        <w:sectPr w:rsidR="00322AE9" w:rsidRPr="00322AE9" w:rsidSect="00322AE9">
          <w:pgSz w:w="16838" w:h="11906" w:orient="landscape"/>
          <w:pgMar w:top="1701" w:right="1134" w:bottom="851" w:left="1134" w:header="709" w:footer="709" w:gutter="0"/>
          <w:cols w:space="708"/>
          <w:docGrid w:linePitch="360"/>
        </w:sectPr>
      </w:pPr>
    </w:p>
    <w:p w14:paraId="7B3E0949" w14:textId="77777777" w:rsidR="00322AE9" w:rsidRPr="00322AE9" w:rsidRDefault="00322AE9" w:rsidP="00322AE9">
      <w:pPr>
        <w:suppressAutoHyphens/>
        <w:adjustRightInd w:val="0"/>
        <w:ind w:firstLine="709"/>
        <w:textAlignment w:val="baseline"/>
        <w:rPr>
          <w:rFonts w:eastAsia="Times New Roman" w:cs="Times New Roman"/>
          <w:spacing w:val="-5"/>
          <w:szCs w:val="24"/>
          <w:u w:val="single"/>
        </w:rPr>
      </w:pPr>
      <w:r w:rsidRPr="00322AE9">
        <w:rPr>
          <w:rFonts w:eastAsia="Times New Roman" w:cs="Times New Roman"/>
          <w:spacing w:val="-5"/>
          <w:szCs w:val="24"/>
          <w:u w:val="single"/>
        </w:rPr>
        <w:t>Определение функционального устаревания</w:t>
      </w:r>
    </w:p>
    <w:p w14:paraId="15F73C9E" w14:textId="77777777" w:rsidR="00322AE9" w:rsidRPr="00322AE9" w:rsidRDefault="00322AE9" w:rsidP="00322AE9">
      <w:pPr>
        <w:suppressAutoHyphens/>
        <w:adjustRightInd w:val="0"/>
        <w:ind w:firstLine="709"/>
        <w:textAlignment w:val="baseline"/>
        <w:rPr>
          <w:rFonts w:eastAsia="Times New Roman" w:cs="Times New Roman"/>
          <w:spacing w:val="-5"/>
          <w:szCs w:val="24"/>
        </w:rPr>
      </w:pPr>
      <w:r w:rsidRPr="00322AE9">
        <w:rPr>
          <w:rFonts w:eastAsia="Times New Roman" w:cs="Times New Roman"/>
          <w:spacing w:val="-5"/>
          <w:szCs w:val="24"/>
        </w:rPr>
        <w:t>Функциональное устаревание представляет собой утрату полезности вследствие недостатков, которыми характеризуется оцениваемый объект недвижимости по сравнению с его заменителем, при условии, что такая утрата приводит к потере стоимости у оцениваемого объекта недвижимости. Функциональное устаревание учитывается при использовании в расчетах затрат на замещение объекта недвижимости. В соответствии с Методическими указаниями при расчете кадастровой стоимости объектов с использованием затрат на замещение расчет величины функционального устаревания допускается не производить. При расчете кадастровой стоимости функциональное устаревание не принимается.</w:t>
      </w:r>
    </w:p>
    <w:p w14:paraId="48DD400E" w14:textId="77777777" w:rsidR="00322AE9" w:rsidRPr="00322AE9" w:rsidRDefault="00322AE9" w:rsidP="00322AE9">
      <w:pPr>
        <w:suppressAutoHyphens/>
        <w:adjustRightInd w:val="0"/>
        <w:ind w:firstLine="709"/>
        <w:textAlignment w:val="baseline"/>
        <w:rPr>
          <w:rFonts w:eastAsia="Times New Roman" w:cs="Times New Roman"/>
          <w:spacing w:val="-5"/>
          <w:szCs w:val="24"/>
          <w:u w:val="single"/>
        </w:rPr>
      </w:pPr>
      <w:r w:rsidRPr="00322AE9">
        <w:rPr>
          <w:rFonts w:eastAsia="Times New Roman" w:cs="Times New Roman"/>
          <w:spacing w:val="-5"/>
          <w:szCs w:val="24"/>
          <w:u w:val="single"/>
        </w:rPr>
        <w:t>Определение экономического (внешнего) устаревания</w:t>
      </w:r>
    </w:p>
    <w:p w14:paraId="6AEF3DF0" w14:textId="77777777" w:rsidR="00322AE9" w:rsidRPr="00322AE9" w:rsidRDefault="00322AE9" w:rsidP="00322AE9">
      <w:pPr>
        <w:suppressAutoHyphens/>
        <w:adjustRightInd w:val="0"/>
        <w:ind w:firstLine="567"/>
        <w:textAlignment w:val="baseline"/>
        <w:rPr>
          <w:rFonts w:eastAsia="Times New Roman" w:cs="Times New Roman"/>
          <w:color w:val="000000"/>
          <w:spacing w:val="-5"/>
          <w:szCs w:val="24"/>
        </w:rPr>
      </w:pPr>
      <w:r w:rsidRPr="00322AE9">
        <w:rPr>
          <w:rFonts w:eastAsia="Times New Roman" w:cs="Times New Roman"/>
          <w:color w:val="000000"/>
          <w:spacing w:val="-5"/>
          <w:szCs w:val="24"/>
        </w:rPr>
        <w:t>Согласно п. 7.3.6 Методических указаний э</w:t>
      </w:r>
      <w:r w:rsidRPr="00322AE9">
        <w:rPr>
          <w:rFonts w:eastAsia="Times New Roman" w:cs="Times New Roman"/>
          <w:spacing w:val="-5"/>
          <w:szCs w:val="24"/>
        </w:rPr>
        <w:t>кономическое устаревание представляет собой утрату полезности объекта недвижимости, вызванную экономическими факторами или факторами местоположения, внешними по отношению к рассматриваемому объекту недвижимости, и приводящую к потере объектом недвижимости своей стоимости.</w:t>
      </w:r>
    </w:p>
    <w:p w14:paraId="77280CC1" w14:textId="77777777" w:rsidR="00322AE9" w:rsidRPr="00322AE9" w:rsidRDefault="00322AE9" w:rsidP="00322AE9">
      <w:pPr>
        <w:suppressAutoHyphens/>
        <w:adjustRightInd w:val="0"/>
        <w:ind w:firstLine="567"/>
        <w:textAlignment w:val="baseline"/>
        <w:rPr>
          <w:rFonts w:eastAsia="Times New Roman" w:cs="Times New Roman"/>
          <w:color w:val="000000"/>
          <w:spacing w:val="-5"/>
          <w:szCs w:val="24"/>
          <w:lang w:eastAsia="ru-RU" w:bidi="ru-RU"/>
        </w:rPr>
      </w:pPr>
      <w:r w:rsidRPr="00322AE9">
        <w:rPr>
          <w:rFonts w:eastAsia="Times New Roman" w:cs="Times New Roman"/>
          <w:color w:val="000000"/>
          <w:spacing w:val="-5"/>
          <w:szCs w:val="24"/>
          <w:lang w:eastAsia="ru-RU" w:bidi="ru-RU"/>
        </w:rPr>
        <w:t xml:space="preserve">Сотрудники ГБУ РС(Я) «ЦГКО» полагают, что рыночная стоимость объектов недвижимости зависит от местоположения. Поскольку объем рынка объектов недвижимости в малых и средних городах невелик, корректировка определяется с учетом статистических данных. Предполагается, что показатель численности населения отражает объем рынка, заработная плата отражает возможности предприятий по оплате труда и строительству или приобретению объектов, расстояния влияет на покупательную способность рынка. Предполагается также, что зависимости не является линейными. </w:t>
      </w:r>
    </w:p>
    <w:p w14:paraId="567E4FF5" w14:textId="77777777" w:rsidR="00322AE9" w:rsidRPr="00322AE9" w:rsidRDefault="00322AE9" w:rsidP="00322AE9">
      <w:pPr>
        <w:suppressAutoHyphens/>
        <w:adjustRightInd w:val="0"/>
        <w:ind w:firstLine="567"/>
        <w:textAlignment w:val="baseline"/>
        <w:rPr>
          <w:rFonts w:eastAsia="Times New Roman" w:cs="Times New Roman"/>
          <w:color w:val="000000"/>
          <w:spacing w:val="-5"/>
          <w:szCs w:val="24"/>
          <w:lang w:eastAsia="ru-RU" w:bidi="ru-RU"/>
        </w:rPr>
      </w:pPr>
      <w:r w:rsidRPr="00322AE9">
        <w:rPr>
          <w:rFonts w:eastAsia="Times New Roman" w:cs="Times New Roman"/>
          <w:color w:val="000000"/>
          <w:spacing w:val="-5"/>
          <w:szCs w:val="24"/>
          <w:lang w:eastAsia="ru-RU" w:bidi="ru-RU"/>
        </w:rPr>
        <w:t xml:space="preserve">Например, в Технических указаниях по государственной кадастровой оценке земель поселений Федеральной службы земельного кадастра России 2003г., эмпирические зависимости, учитывающие численность населения, имеют вид </w:t>
      </w:r>
    </w:p>
    <w:p w14:paraId="46CE4FFB" w14:textId="77777777" w:rsidR="00322AE9" w:rsidRPr="00322AE9" w:rsidRDefault="00322AE9" w:rsidP="00322AE9">
      <w:pPr>
        <w:suppressAutoHyphens/>
        <w:adjustRightInd w:val="0"/>
        <w:ind w:firstLine="567"/>
        <w:textAlignment w:val="baseline"/>
        <w:rPr>
          <w:rFonts w:eastAsia="Times New Roman" w:cs="Times New Roman"/>
          <w:i/>
          <w:spacing w:val="-5"/>
          <w:szCs w:val="24"/>
          <w:lang w:val="en-US"/>
        </w:rPr>
      </w:pPr>
      <m:oMathPara>
        <m:oMath>
          <m:r>
            <w:rPr>
              <w:rFonts w:ascii="Cambria Math" w:eastAsia="Times New Roman" w:hAnsi="Cambria Math" w:cs="Times New Roman"/>
              <w:spacing w:val="-5"/>
              <w:szCs w:val="24"/>
            </w:rPr>
            <m:t>У= √</m:t>
          </m:r>
          <m:r>
            <w:rPr>
              <w:rFonts w:ascii="Cambria Math" w:eastAsia="Times New Roman" w:hAnsi="Cambria Math" w:cs="Times New Roman"/>
              <w:spacing w:val="-5"/>
              <w:szCs w:val="24"/>
              <w:lang w:val="en-US"/>
            </w:rPr>
            <m:t>N</m:t>
          </m:r>
        </m:oMath>
      </m:oMathPara>
    </w:p>
    <w:p w14:paraId="73DF3230" w14:textId="77777777" w:rsidR="00322AE9" w:rsidRPr="00322AE9" w:rsidRDefault="00322AE9" w:rsidP="00322AE9">
      <w:pPr>
        <w:suppressAutoHyphens/>
        <w:adjustRightInd w:val="0"/>
        <w:ind w:firstLine="567"/>
        <w:textAlignment w:val="baseline"/>
        <w:rPr>
          <w:rFonts w:eastAsia="Times New Roman" w:cs="Times New Roman"/>
          <w:color w:val="000000"/>
          <w:spacing w:val="-5"/>
          <w:szCs w:val="24"/>
        </w:rPr>
      </w:pPr>
      <w:r w:rsidRPr="00322AE9">
        <w:rPr>
          <w:rFonts w:eastAsia="Times New Roman" w:cs="Times New Roman"/>
          <w:color w:val="000000"/>
          <w:spacing w:val="-5"/>
          <w:szCs w:val="24"/>
          <w:lang w:eastAsia="ru-RU" w:bidi="ru-RU"/>
        </w:rPr>
        <w:t>Сотрудники ГБУ РС(Я) «ЦГКО» РС(Я) полагают, что данная тенденция является актуальной на дату оценки.</w:t>
      </w:r>
    </w:p>
    <w:p w14:paraId="54954BC1" w14:textId="389ABEE0" w:rsidR="00322AE9" w:rsidRPr="00322AE9" w:rsidRDefault="00322AE9" w:rsidP="00322AE9">
      <w:pPr>
        <w:suppressAutoHyphens/>
        <w:adjustRightInd w:val="0"/>
        <w:ind w:firstLine="567"/>
        <w:textAlignment w:val="baseline"/>
        <w:rPr>
          <w:rFonts w:eastAsia="Times New Roman" w:cs="Times New Roman"/>
          <w:spacing w:val="-5"/>
          <w:szCs w:val="24"/>
        </w:rPr>
      </w:pPr>
      <w:r w:rsidRPr="00322AE9">
        <w:rPr>
          <w:rFonts w:eastAsia="Times New Roman" w:cs="Times New Roman"/>
          <w:spacing w:val="-5"/>
          <w:szCs w:val="24"/>
        </w:rPr>
        <w:t xml:space="preserve">При расчете внешнего (экономического) устаревания использовались данные </w:t>
      </w:r>
      <w:r w:rsidRPr="00322AE9">
        <w:rPr>
          <w:rFonts w:eastAsia="Times New Roman" w:cs="Times New Roman"/>
          <w:color w:val="000000"/>
          <w:spacing w:val="-5"/>
          <w:szCs w:val="24"/>
        </w:rPr>
        <w:t xml:space="preserve">перечней ценообразующих факторов всех населенных пунктов РС(Я). Полный расчет </w:t>
      </w:r>
      <w:r w:rsidRPr="00322AE9">
        <w:rPr>
          <w:rFonts w:eastAsia="Times New Roman" w:cs="Times New Roman"/>
          <w:spacing w:val="-5"/>
          <w:szCs w:val="24"/>
        </w:rPr>
        <w:t xml:space="preserve">внешнего (экономического) устаревания </w:t>
      </w:r>
      <w:r w:rsidRPr="00322AE9">
        <w:rPr>
          <w:rFonts w:eastAsia="Times New Roman" w:cs="Times New Roman"/>
          <w:color w:val="000000"/>
          <w:spacing w:val="-5"/>
          <w:szCs w:val="24"/>
        </w:rPr>
        <w:t xml:space="preserve">приведен в </w:t>
      </w:r>
      <w:r w:rsidRPr="00322AE9">
        <w:rPr>
          <w:rFonts w:eastAsia="Times New Roman" w:cs="Times New Roman"/>
          <w:spacing w:val="-5"/>
          <w:szCs w:val="24"/>
        </w:rPr>
        <w:t xml:space="preserve">Приложении </w:t>
      </w:r>
      <w:r w:rsidRPr="00174951">
        <w:rPr>
          <w:rFonts w:eastAsia="Times New Roman" w:cs="Times New Roman"/>
          <w:spacing w:val="-5"/>
          <w:szCs w:val="24"/>
        </w:rPr>
        <w:t xml:space="preserve">к Отчету </w:t>
      </w:r>
      <w:r w:rsidR="00174951" w:rsidRPr="00174951">
        <w:rPr>
          <w:rFonts w:eastAsia="Times New Roman" w:cs="Times New Roman"/>
          <w:spacing w:val="-5"/>
          <w:szCs w:val="24"/>
        </w:rPr>
        <w:t>2.2.</w:t>
      </w:r>
      <w:r w:rsidRPr="00174951">
        <w:rPr>
          <w:rFonts w:eastAsia="Times New Roman" w:cs="Times New Roman"/>
          <w:spacing w:val="-5"/>
          <w:szCs w:val="24"/>
        </w:rPr>
        <w:t xml:space="preserve"> </w:t>
      </w:r>
      <w:r w:rsidR="00174951" w:rsidRPr="00174951">
        <w:rPr>
          <w:rFonts w:eastAsia="Times New Roman" w:cs="Times New Roman"/>
          <w:spacing w:val="-5"/>
          <w:szCs w:val="24"/>
        </w:rPr>
        <w:t>Определение КС</w:t>
      </w:r>
      <w:r w:rsidRPr="00174951">
        <w:rPr>
          <w:rFonts w:eastAsia="Times New Roman" w:cs="Times New Roman"/>
          <w:spacing w:val="-5"/>
          <w:szCs w:val="24"/>
        </w:rPr>
        <w:t>.</w:t>
      </w:r>
      <w:r w:rsidRPr="00322AE9">
        <w:rPr>
          <w:rFonts w:eastAsia="Times New Roman" w:cs="Times New Roman"/>
          <w:spacing w:val="-5"/>
          <w:szCs w:val="24"/>
        </w:rPr>
        <w:t xml:space="preserve"> В нижеприведенной таблице представлены результаты расчета экономического устаревания по муниципальным образованиям и городским населенным пунктам относительно города Якутска, так как </w:t>
      </w:r>
      <w:r w:rsidRPr="00322AE9">
        <w:rPr>
          <w:rFonts w:eastAsia="Times New Roman" w:cs="Times New Roman"/>
          <w:color w:val="000000"/>
          <w:spacing w:val="-5"/>
          <w:szCs w:val="24"/>
        </w:rPr>
        <w:t xml:space="preserve">город Якутск в разрезе </w:t>
      </w:r>
      <w:r w:rsidRPr="00322AE9">
        <w:rPr>
          <w:rFonts w:eastAsia="Times New Roman" w:cs="Times New Roman"/>
          <w:spacing w:val="-5"/>
          <w:szCs w:val="24"/>
        </w:rPr>
        <w:t xml:space="preserve">муниципальных районов, городских округов является </w:t>
      </w:r>
      <w:r w:rsidRPr="00322AE9">
        <w:rPr>
          <w:rFonts w:eastAsia="Times New Roman" w:cs="Times New Roman"/>
          <w:color w:val="000000"/>
          <w:spacing w:val="-5"/>
          <w:szCs w:val="24"/>
          <w:lang w:eastAsia="ru-RU" w:bidi="ru-RU"/>
        </w:rPr>
        <w:t>наиболее благоприятным по ликвидности аналогичных объектов</w:t>
      </w:r>
      <w:r w:rsidRPr="00322AE9">
        <w:rPr>
          <w:rFonts w:eastAsia="Times New Roman" w:cs="Times New Roman"/>
          <w:spacing w:val="-5"/>
          <w:szCs w:val="24"/>
        </w:rPr>
        <w:t>.</w:t>
      </w:r>
    </w:p>
    <w:p w14:paraId="7E880FBD" w14:textId="77777777" w:rsidR="00322AE9" w:rsidRPr="00322AE9" w:rsidRDefault="00322AE9" w:rsidP="00322AE9">
      <w:pPr>
        <w:suppressAutoHyphens/>
        <w:adjustRightInd w:val="0"/>
        <w:ind w:firstLine="567"/>
        <w:textAlignment w:val="baseline"/>
        <w:rPr>
          <w:rFonts w:eastAsia="Times New Roman" w:cs="Times New Roman"/>
          <w:color w:val="000000"/>
          <w:spacing w:val="-5"/>
          <w:szCs w:val="24"/>
          <w:lang w:eastAsia="ru-RU" w:bidi="ru-RU"/>
        </w:rPr>
      </w:pPr>
      <w:r w:rsidRPr="00322AE9">
        <w:rPr>
          <w:rFonts w:eastAsia="Times New Roman" w:cs="Times New Roman"/>
          <w:color w:val="000000"/>
          <w:spacing w:val="-5"/>
          <w:szCs w:val="24"/>
        </w:rPr>
        <w:t xml:space="preserve">Город Якутск - </w:t>
      </w:r>
      <w:r w:rsidRPr="00322AE9">
        <w:rPr>
          <w:rFonts w:eastAsia="Times New Roman" w:cs="Times New Roman"/>
          <w:color w:val="000000"/>
          <w:spacing w:val="-5"/>
          <w:szCs w:val="24"/>
          <w:lang w:eastAsia="ru-RU" w:bidi="ru-RU"/>
        </w:rPr>
        <w:t>столица Республики Саха (Якутия), являющийся крупным административным центром республиканского и федерального значения, где сосредоточен значительный промышленный, культурный и научный потенциал Якутии, обеспечивающий высокий уровень таких показателей как, уровень социально-экономического развития, плотность населения, миграционные процессы, состояние инфраструктуры и т.д., что соответственно оказывает влияние на уровень доходов населения, которые формируют спрос на объекты недвижимости аналогичные оцениваемым.</w:t>
      </w:r>
    </w:p>
    <w:p w14:paraId="67708A1E" w14:textId="77777777" w:rsidR="000A6DB8" w:rsidRDefault="000A6DB8" w:rsidP="00763AD2">
      <w:pPr>
        <w:pStyle w:val="afffffff0"/>
      </w:pPr>
    </w:p>
    <w:p w14:paraId="17F024DC" w14:textId="3D0B7C05" w:rsidR="00322AE9" w:rsidRPr="00322AE9" w:rsidRDefault="00322AE9" w:rsidP="00763AD2">
      <w:pPr>
        <w:pStyle w:val="afffffff0"/>
        <w:rPr>
          <w:rFonts w:eastAsia="Sylfaen"/>
          <w:color w:val="000000"/>
          <w:shd w:val="clear" w:color="auto" w:fill="FFFFFF"/>
          <w:lang w:bidi="ru-RU"/>
        </w:rPr>
      </w:pPr>
      <w:r w:rsidRPr="000A6DB8">
        <w:t xml:space="preserve">Таблица </w:t>
      </w:r>
      <w:r w:rsidR="00A90944">
        <w:fldChar w:fldCharType="begin"/>
      </w:r>
      <w:r w:rsidR="00A90944">
        <w:instrText xml:space="preserve"> SEQ Таблица \* ARABIC </w:instrText>
      </w:r>
      <w:r w:rsidR="00A90944">
        <w:fldChar w:fldCharType="separate"/>
      </w:r>
      <w:r w:rsidR="00FD2769">
        <w:rPr>
          <w:noProof/>
        </w:rPr>
        <w:t>79</w:t>
      </w:r>
      <w:r w:rsidR="00A90944">
        <w:rPr>
          <w:noProof/>
        </w:rPr>
        <w:fldChar w:fldCharType="end"/>
      </w:r>
      <w:r w:rsidRPr="000A6DB8">
        <w:rPr>
          <w:noProof/>
          <w:lang w:val="en-US"/>
        </w:rPr>
        <w:t xml:space="preserve"> </w:t>
      </w:r>
      <w:r w:rsidRPr="000A6DB8">
        <w:t>Э</w:t>
      </w:r>
      <w:r w:rsidRPr="000A6DB8">
        <w:rPr>
          <w:rFonts w:eastAsia="Sylfaen"/>
          <w:shd w:val="clear" w:color="auto" w:fill="FFFFFF"/>
          <w:lang w:bidi="ru-RU"/>
        </w:rPr>
        <w:t>кономическое (внешнее) устаревание</w:t>
      </w:r>
    </w:p>
    <w:tbl>
      <w:tblPr>
        <w:tblW w:w="5000" w:type="pct"/>
        <w:jc w:val="center"/>
        <w:tblLook w:val="04A0" w:firstRow="1" w:lastRow="0" w:firstColumn="1" w:lastColumn="0" w:noHBand="0" w:noVBand="1"/>
      </w:tblPr>
      <w:tblGrid>
        <w:gridCol w:w="555"/>
        <w:gridCol w:w="2410"/>
        <w:gridCol w:w="1963"/>
        <w:gridCol w:w="2804"/>
        <w:gridCol w:w="1615"/>
      </w:tblGrid>
      <w:tr w:rsidR="00322AE9" w:rsidRPr="00322AE9" w14:paraId="384ED547" w14:textId="77777777" w:rsidTr="00322AE9">
        <w:trPr>
          <w:trHeight w:val="631"/>
          <w:tblHeader/>
          <w:jc w:val="center"/>
        </w:trPr>
        <w:tc>
          <w:tcPr>
            <w:tcW w:w="29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2C2D14D" w14:textId="77777777" w:rsidR="00322AE9" w:rsidRPr="00322AE9" w:rsidRDefault="00322AE9" w:rsidP="000A6DB8">
            <w:pPr>
              <w:suppressAutoHyphens/>
              <w:adjustRightInd w:val="0"/>
              <w:ind w:firstLine="0"/>
              <w:jc w:val="center"/>
              <w:textAlignment w:val="baseline"/>
              <w:rPr>
                <w:rFonts w:eastAsia="Times New Roman" w:cs="Times New Roman"/>
                <w:b/>
                <w:bCs/>
                <w:color w:val="000000"/>
                <w:spacing w:val="-5"/>
                <w:sz w:val="20"/>
                <w:szCs w:val="20"/>
              </w:rPr>
            </w:pPr>
            <w:r w:rsidRPr="00322AE9">
              <w:rPr>
                <w:rFonts w:eastAsia="Times New Roman" w:cs="Times New Roman"/>
                <w:b/>
                <w:bCs/>
                <w:color w:val="000000"/>
                <w:spacing w:val="-5"/>
                <w:sz w:val="20"/>
                <w:szCs w:val="20"/>
              </w:rPr>
              <w:t>№ п/п</w:t>
            </w:r>
          </w:p>
        </w:tc>
        <w:tc>
          <w:tcPr>
            <w:tcW w:w="1289" w:type="pct"/>
            <w:tcBorders>
              <w:top w:val="single" w:sz="4" w:space="0" w:color="auto"/>
              <w:left w:val="nil"/>
              <w:bottom w:val="single" w:sz="4" w:space="0" w:color="auto"/>
              <w:right w:val="single" w:sz="4" w:space="0" w:color="auto"/>
            </w:tcBorders>
            <w:shd w:val="clear" w:color="auto" w:fill="auto"/>
            <w:vAlign w:val="center"/>
            <w:hideMark/>
          </w:tcPr>
          <w:p w14:paraId="36E47ED2" w14:textId="77777777" w:rsidR="00322AE9" w:rsidRPr="00322AE9" w:rsidRDefault="00322AE9" w:rsidP="000A6DB8">
            <w:pPr>
              <w:suppressAutoHyphens/>
              <w:adjustRightInd w:val="0"/>
              <w:ind w:firstLine="0"/>
              <w:jc w:val="center"/>
              <w:textAlignment w:val="baseline"/>
              <w:rPr>
                <w:rFonts w:eastAsia="Times New Roman" w:cs="Times New Roman"/>
                <w:b/>
                <w:bCs/>
                <w:color w:val="000000"/>
                <w:spacing w:val="-5"/>
                <w:sz w:val="20"/>
                <w:szCs w:val="20"/>
              </w:rPr>
            </w:pPr>
            <w:r w:rsidRPr="00322AE9">
              <w:rPr>
                <w:rFonts w:eastAsia="Times New Roman" w:cs="Times New Roman"/>
                <w:b/>
                <w:bCs/>
                <w:color w:val="000000"/>
                <w:spacing w:val="-5"/>
                <w:sz w:val="20"/>
                <w:szCs w:val="20"/>
              </w:rPr>
              <w:t>Экономические зоны</w:t>
            </w:r>
          </w:p>
        </w:tc>
        <w:tc>
          <w:tcPr>
            <w:tcW w:w="1050" w:type="pct"/>
            <w:tcBorders>
              <w:top w:val="single" w:sz="4" w:space="0" w:color="auto"/>
              <w:left w:val="nil"/>
              <w:bottom w:val="single" w:sz="4" w:space="0" w:color="auto"/>
              <w:right w:val="single" w:sz="4" w:space="0" w:color="auto"/>
            </w:tcBorders>
            <w:shd w:val="clear" w:color="auto" w:fill="auto"/>
            <w:vAlign w:val="center"/>
            <w:hideMark/>
          </w:tcPr>
          <w:p w14:paraId="76E1FDE6" w14:textId="77777777" w:rsidR="00322AE9" w:rsidRPr="00322AE9" w:rsidRDefault="00322AE9" w:rsidP="000A6DB8">
            <w:pPr>
              <w:suppressAutoHyphens/>
              <w:adjustRightInd w:val="0"/>
              <w:ind w:firstLine="0"/>
              <w:jc w:val="center"/>
              <w:textAlignment w:val="baseline"/>
              <w:rPr>
                <w:rFonts w:eastAsia="Times New Roman" w:cs="Times New Roman"/>
                <w:b/>
                <w:bCs/>
                <w:color w:val="000000"/>
                <w:spacing w:val="-5"/>
                <w:sz w:val="20"/>
                <w:szCs w:val="20"/>
              </w:rPr>
            </w:pPr>
            <w:r w:rsidRPr="00322AE9">
              <w:rPr>
                <w:rFonts w:eastAsia="Times New Roman" w:cs="Times New Roman"/>
                <w:b/>
                <w:bCs/>
                <w:color w:val="000000"/>
                <w:spacing w:val="-5"/>
                <w:sz w:val="20"/>
                <w:szCs w:val="20"/>
              </w:rPr>
              <w:t>Наименование МР/ГО</w:t>
            </w:r>
          </w:p>
        </w:tc>
        <w:tc>
          <w:tcPr>
            <w:tcW w:w="1500" w:type="pct"/>
            <w:tcBorders>
              <w:top w:val="single" w:sz="4" w:space="0" w:color="auto"/>
              <w:left w:val="nil"/>
              <w:bottom w:val="single" w:sz="4" w:space="0" w:color="auto"/>
              <w:right w:val="single" w:sz="4" w:space="0" w:color="auto"/>
            </w:tcBorders>
            <w:shd w:val="clear" w:color="auto" w:fill="auto"/>
            <w:vAlign w:val="center"/>
            <w:hideMark/>
          </w:tcPr>
          <w:p w14:paraId="56D668EC" w14:textId="77777777" w:rsidR="00322AE9" w:rsidRPr="00322AE9" w:rsidRDefault="00322AE9" w:rsidP="000A6DB8">
            <w:pPr>
              <w:suppressAutoHyphens/>
              <w:adjustRightInd w:val="0"/>
              <w:ind w:firstLine="0"/>
              <w:jc w:val="left"/>
              <w:textAlignment w:val="baseline"/>
              <w:rPr>
                <w:rFonts w:eastAsia="Times New Roman" w:cs="Times New Roman"/>
                <w:b/>
                <w:bCs/>
                <w:color w:val="000000"/>
                <w:spacing w:val="-5"/>
                <w:sz w:val="20"/>
                <w:szCs w:val="20"/>
              </w:rPr>
            </w:pPr>
            <w:r w:rsidRPr="00322AE9">
              <w:rPr>
                <w:rFonts w:eastAsia="Times New Roman" w:cs="Times New Roman"/>
                <w:b/>
                <w:bCs/>
                <w:color w:val="000000"/>
                <w:spacing w:val="-5"/>
                <w:sz w:val="20"/>
                <w:szCs w:val="20"/>
              </w:rPr>
              <w:t>Наименование населенного пункта</w:t>
            </w:r>
          </w:p>
        </w:tc>
        <w:tc>
          <w:tcPr>
            <w:tcW w:w="865" w:type="pct"/>
            <w:tcBorders>
              <w:top w:val="single" w:sz="4" w:space="0" w:color="auto"/>
              <w:left w:val="nil"/>
              <w:bottom w:val="single" w:sz="4" w:space="0" w:color="auto"/>
              <w:right w:val="single" w:sz="4" w:space="0" w:color="auto"/>
            </w:tcBorders>
            <w:shd w:val="clear" w:color="auto" w:fill="auto"/>
            <w:vAlign w:val="center"/>
            <w:hideMark/>
          </w:tcPr>
          <w:p w14:paraId="7A84160C" w14:textId="77777777" w:rsidR="00322AE9" w:rsidRPr="00322AE9" w:rsidRDefault="00322AE9" w:rsidP="000A6DB8">
            <w:pPr>
              <w:suppressAutoHyphens/>
              <w:adjustRightInd w:val="0"/>
              <w:ind w:firstLine="0"/>
              <w:jc w:val="center"/>
              <w:textAlignment w:val="baseline"/>
              <w:rPr>
                <w:rFonts w:eastAsia="Times New Roman" w:cs="Times New Roman"/>
                <w:b/>
                <w:bCs/>
                <w:color w:val="000000"/>
                <w:spacing w:val="-5"/>
                <w:sz w:val="20"/>
                <w:szCs w:val="20"/>
              </w:rPr>
            </w:pPr>
            <w:r w:rsidRPr="00322AE9">
              <w:rPr>
                <w:rFonts w:eastAsia="Times New Roman" w:cs="Times New Roman"/>
                <w:b/>
                <w:bCs/>
                <w:color w:val="000000"/>
                <w:spacing w:val="-5"/>
                <w:sz w:val="20"/>
                <w:szCs w:val="20"/>
              </w:rPr>
              <w:t>Внешнее устаревание, %</w:t>
            </w:r>
          </w:p>
        </w:tc>
      </w:tr>
      <w:tr w:rsidR="00322AE9" w:rsidRPr="00322AE9" w14:paraId="7E4DAC34" w14:textId="77777777" w:rsidTr="00322AE9">
        <w:trPr>
          <w:trHeight w:val="450"/>
          <w:jc w:val="center"/>
        </w:trPr>
        <w:tc>
          <w:tcPr>
            <w:tcW w:w="297" w:type="pct"/>
            <w:tcBorders>
              <w:top w:val="nil"/>
              <w:left w:val="single" w:sz="4" w:space="0" w:color="auto"/>
              <w:bottom w:val="single" w:sz="4" w:space="0" w:color="auto"/>
              <w:right w:val="single" w:sz="4" w:space="0" w:color="auto"/>
            </w:tcBorders>
            <w:shd w:val="clear" w:color="auto" w:fill="auto"/>
            <w:vAlign w:val="center"/>
            <w:hideMark/>
          </w:tcPr>
          <w:p w14:paraId="4358D5A4" w14:textId="77777777" w:rsidR="00322AE9" w:rsidRPr="00322AE9" w:rsidRDefault="00322AE9" w:rsidP="000A6DB8">
            <w:pPr>
              <w:suppressAutoHyphens/>
              <w:adjustRightInd w:val="0"/>
              <w:ind w:firstLine="0"/>
              <w:jc w:val="center"/>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1</w:t>
            </w:r>
          </w:p>
        </w:tc>
        <w:tc>
          <w:tcPr>
            <w:tcW w:w="1289" w:type="pct"/>
            <w:tcBorders>
              <w:top w:val="nil"/>
              <w:left w:val="nil"/>
              <w:bottom w:val="single" w:sz="4" w:space="0" w:color="auto"/>
              <w:right w:val="single" w:sz="4" w:space="0" w:color="auto"/>
            </w:tcBorders>
            <w:shd w:val="clear" w:color="auto" w:fill="auto"/>
            <w:vAlign w:val="center"/>
            <w:hideMark/>
          </w:tcPr>
          <w:p w14:paraId="4208CE0B" w14:textId="6873ACBA" w:rsidR="00322AE9" w:rsidRPr="00322AE9" w:rsidRDefault="00322AE9" w:rsidP="000A6DB8">
            <w:pPr>
              <w:suppressAutoHyphens/>
              <w:adjustRightInd w:val="0"/>
              <w:ind w:firstLine="0"/>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Ар</w:t>
            </w:r>
            <w:r>
              <w:rPr>
                <w:rFonts w:eastAsia="Times New Roman" w:cs="Times New Roman"/>
                <w:color w:val="000000"/>
                <w:spacing w:val="-5"/>
                <w:sz w:val="20"/>
                <w:szCs w:val="20"/>
              </w:rPr>
              <w:t>.</w:t>
            </w:r>
            <w:r w:rsidRPr="00322AE9">
              <w:rPr>
                <w:rFonts w:eastAsia="Times New Roman" w:cs="Times New Roman"/>
                <w:color w:val="000000"/>
                <w:spacing w:val="-5"/>
                <w:sz w:val="20"/>
                <w:szCs w:val="20"/>
              </w:rPr>
              <w:t>ктическая</w:t>
            </w:r>
          </w:p>
        </w:tc>
        <w:tc>
          <w:tcPr>
            <w:tcW w:w="1050" w:type="pct"/>
            <w:tcBorders>
              <w:top w:val="nil"/>
              <w:left w:val="nil"/>
              <w:bottom w:val="single" w:sz="4" w:space="0" w:color="auto"/>
              <w:right w:val="single" w:sz="4" w:space="0" w:color="auto"/>
            </w:tcBorders>
            <w:shd w:val="clear" w:color="auto" w:fill="auto"/>
            <w:vAlign w:val="center"/>
            <w:hideMark/>
          </w:tcPr>
          <w:p w14:paraId="66D55130" w14:textId="77777777" w:rsidR="00322AE9" w:rsidRPr="00322AE9" w:rsidRDefault="00322AE9" w:rsidP="000A6DB8">
            <w:pPr>
              <w:suppressAutoHyphens/>
              <w:adjustRightInd w:val="0"/>
              <w:ind w:firstLine="0"/>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Абыйский</w:t>
            </w:r>
          </w:p>
        </w:tc>
        <w:tc>
          <w:tcPr>
            <w:tcW w:w="1500" w:type="pct"/>
            <w:tcBorders>
              <w:top w:val="nil"/>
              <w:left w:val="nil"/>
              <w:bottom w:val="single" w:sz="4" w:space="0" w:color="auto"/>
              <w:right w:val="single" w:sz="4" w:space="0" w:color="auto"/>
            </w:tcBorders>
            <w:shd w:val="clear" w:color="auto" w:fill="auto"/>
            <w:vAlign w:val="center"/>
            <w:hideMark/>
          </w:tcPr>
          <w:p w14:paraId="20988C6F" w14:textId="77777777" w:rsidR="00322AE9" w:rsidRPr="00322AE9" w:rsidRDefault="00322AE9" w:rsidP="000A6DB8">
            <w:pPr>
              <w:suppressAutoHyphens/>
              <w:adjustRightInd w:val="0"/>
              <w:ind w:firstLine="0"/>
              <w:jc w:val="left"/>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для Муниципального образования</w:t>
            </w:r>
          </w:p>
        </w:tc>
        <w:tc>
          <w:tcPr>
            <w:tcW w:w="865" w:type="pct"/>
            <w:tcBorders>
              <w:top w:val="nil"/>
              <w:left w:val="nil"/>
              <w:bottom w:val="single" w:sz="4" w:space="0" w:color="auto"/>
              <w:right w:val="single" w:sz="4" w:space="0" w:color="auto"/>
            </w:tcBorders>
            <w:shd w:val="clear" w:color="auto" w:fill="auto"/>
            <w:vAlign w:val="center"/>
            <w:hideMark/>
          </w:tcPr>
          <w:p w14:paraId="17504AAE" w14:textId="77777777" w:rsidR="00322AE9" w:rsidRPr="00322AE9" w:rsidRDefault="00322AE9" w:rsidP="000A6DB8">
            <w:pPr>
              <w:suppressAutoHyphens/>
              <w:adjustRightInd w:val="0"/>
              <w:ind w:firstLine="0"/>
              <w:jc w:val="center"/>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72</w:t>
            </w:r>
          </w:p>
        </w:tc>
      </w:tr>
      <w:tr w:rsidR="00322AE9" w:rsidRPr="00322AE9" w14:paraId="1D57A010" w14:textId="77777777" w:rsidTr="00322AE9">
        <w:trPr>
          <w:trHeight w:val="450"/>
          <w:jc w:val="center"/>
        </w:trPr>
        <w:tc>
          <w:tcPr>
            <w:tcW w:w="297" w:type="pct"/>
            <w:tcBorders>
              <w:top w:val="nil"/>
              <w:left w:val="single" w:sz="4" w:space="0" w:color="auto"/>
              <w:bottom w:val="single" w:sz="4" w:space="0" w:color="auto"/>
              <w:right w:val="single" w:sz="4" w:space="0" w:color="auto"/>
            </w:tcBorders>
            <w:shd w:val="clear" w:color="auto" w:fill="auto"/>
            <w:vAlign w:val="center"/>
            <w:hideMark/>
          </w:tcPr>
          <w:p w14:paraId="04D45389" w14:textId="77777777" w:rsidR="00322AE9" w:rsidRPr="00322AE9" w:rsidRDefault="00322AE9" w:rsidP="000A6DB8">
            <w:pPr>
              <w:suppressAutoHyphens/>
              <w:adjustRightInd w:val="0"/>
              <w:ind w:firstLine="0"/>
              <w:jc w:val="center"/>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2</w:t>
            </w:r>
          </w:p>
        </w:tc>
        <w:tc>
          <w:tcPr>
            <w:tcW w:w="1289" w:type="pct"/>
            <w:tcBorders>
              <w:top w:val="nil"/>
              <w:left w:val="nil"/>
              <w:bottom w:val="single" w:sz="4" w:space="0" w:color="auto"/>
              <w:right w:val="single" w:sz="4" w:space="0" w:color="auto"/>
            </w:tcBorders>
            <w:shd w:val="clear" w:color="auto" w:fill="auto"/>
            <w:vAlign w:val="center"/>
            <w:hideMark/>
          </w:tcPr>
          <w:p w14:paraId="60955FFF" w14:textId="77777777" w:rsidR="00322AE9" w:rsidRPr="00322AE9" w:rsidRDefault="00322AE9" w:rsidP="000A6DB8">
            <w:pPr>
              <w:suppressAutoHyphens/>
              <w:adjustRightInd w:val="0"/>
              <w:ind w:firstLine="0"/>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Арктическая</w:t>
            </w:r>
          </w:p>
        </w:tc>
        <w:tc>
          <w:tcPr>
            <w:tcW w:w="1050" w:type="pct"/>
            <w:tcBorders>
              <w:top w:val="nil"/>
              <w:left w:val="nil"/>
              <w:bottom w:val="single" w:sz="4" w:space="0" w:color="auto"/>
              <w:right w:val="single" w:sz="4" w:space="0" w:color="auto"/>
            </w:tcBorders>
            <w:shd w:val="clear" w:color="auto" w:fill="auto"/>
            <w:vAlign w:val="center"/>
            <w:hideMark/>
          </w:tcPr>
          <w:p w14:paraId="5D90A070" w14:textId="77777777" w:rsidR="00322AE9" w:rsidRPr="00322AE9" w:rsidRDefault="00322AE9" w:rsidP="000A6DB8">
            <w:pPr>
              <w:suppressAutoHyphens/>
              <w:adjustRightInd w:val="0"/>
              <w:ind w:firstLine="0"/>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Абыйский</w:t>
            </w:r>
          </w:p>
        </w:tc>
        <w:tc>
          <w:tcPr>
            <w:tcW w:w="1500" w:type="pct"/>
            <w:tcBorders>
              <w:top w:val="nil"/>
              <w:left w:val="nil"/>
              <w:bottom w:val="single" w:sz="4" w:space="0" w:color="auto"/>
              <w:right w:val="single" w:sz="4" w:space="0" w:color="auto"/>
            </w:tcBorders>
            <w:shd w:val="clear" w:color="auto" w:fill="auto"/>
            <w:vAlign w:val="center"/>
            <w:hideMark/>
          </w:tcPr>
          <w:p w14:paraId="1067CA9F" w14:textId="77777777" w:rsidR="00322AE9" w:rsidRPr="00322AE9" w:rsidRDefault="00322AE9" w:rsidP="000A6DB8">
            <w:pPr>
              <w:suppressAutoHyphens/>
              <w:adjustRightInd w:val="0"/>
              <w:ind w:firstLine="0"/>
              <w:jc w:val="left"/>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п. Белая Гора</w:t>
            </w:r>
          </w:p>
        </w:tc>
        <w:tc>
          <w:tcPr>
            <w:tcW w:w="865" w:type="pct"/>
            <w:tcBorders>
              <w:top w:val="nil"/>
              <w:left w:val="nil"/>
              <w:bottom w:val="single" w:sz="4" w:space="0" w:color="auto"/>
              <w:right w:val="single" w:sz="4" w:space="0" w:color="auto"/>
            </w:tcBorders>
            <w:shd w:val="clear" w:color="auto" w:fill="auto"/>
            <w:vAlign w:val="center"/>
            <w:hideMark/>
          </w:tcPr>
          <w:p w14:paraId="78D4F8BF" w14:textId="77777777" w:rsidR="00322AE9" w:rsidRPr="00322AE9" w:rsidRDefault="00322AE9" w:rsidP="000A6DB8">
            <w:pPr>
              <w:suppressAutoHyphens/>
              <w:adjustRightInd w:val="0"/>
              <w:ind w:firstLine="0"/>
              <w:jc w:val="center"/>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58</w:t>
            </w:r>
          </w:p>
        </w:tc>
      </w:tr>
      <w:tr w:rsidR="00322AE9" w:rsidRPr="00322AE9" w14:paraId="54F43866" w14:textId="77777777" w:rsidTr="00322AE9">
        <w:trPr>
          <w:trHeight w:val="450"/>
          <w:jc w:val="center"/>
        </w:trPr>
        <w:tc>
          <w:tcPr>
            <w:tcW w:w="297" w:type="pct"/>
            <w:tcBorders>
              <w:top w:val="nil"/>
              <w:left w:val="single" w:sz="4" w:space="0" w:color="auto"/>
              <w:bottom w:val="single" w:sz="4" w:space="0" w:color="auto"/>
              <w:right w:val="single" w:sz="4" w:space="0" w:color="auto"/>
            </w:tcBorders>
            <w:shd w:val="clear" w:color="auto" w:fill="auto"/>
            <w:vAlign w:val="center"/>
            <w:hideMark/>
          </w:tcPr>
          <w:p w14:paraId="45A45636" w14:textId="77777777" w:rsidR="00322AE9" w:rsidRPr="00322AE9" w:rsidRDefault="00322AE9" w:rsidP="000A6DB8">
            <w:pPr>
              <w:suppressAutoHyphens/>
              <w:adjustRightInd w:val="0"/>
              <w:ind w:firstLine="0"/>
              <w:jc w:val="center"/>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3</w:t>
            </w:r>
          </w:p>
        </w:tc>
        <w:tc>
          <w:tcPr>
            <w:tcW w:w="1289" w:type="pct"/>
            <w:tcBorders>
              <w:top w:val="nil"/>
              <w:left w:val="nil"/>
              <w:bottom w:val="single" w:sz="4" w:space="0" w:color="auto"/>
              <w:right w:val="single" w:sz="4" w:space="0" w:color="auto"/>
            </w:tcBorders>
            <w:shd w:val="clear" w:color="auto" w:fill="auto"/>
            <w:vAlign w:val="center"/>
            <w:hideMark/>
          </w:tcPr>
          <w:p w14:paraId="4C8C2BA2" w14:textId="77777777" w:rsidR="00322AE9" w:rsidRPr="00322AE9" w:rsidRDefault="00322AE9" w:rsidP="000A6DB8">
            <w:pPr>
              <w:suppressAutoHyphens/>
              <w:adjustRightInd w:val="0"/>
              <w:ind w:firstLine="0"/>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Арктическая</w:t>
            </w:r>
          </w:p>
        </w:tc>
        <w:tc>
          <w:tcPr>
            <w:tcW w:w="1050" w:type="pct"/>
            <w:tcBorders>
              <w:top w:val="nil"/>
              <w:left w:val="nil"/>
              <w:bottom w:val="single" w:sz="4" w:space="0" w:color="auto"/>
              <w:right w:val="single" w:sz="4" w:space="0" w:color="auto"/>
            </w:tcBorders>
            <w:shd w:val="clear" w:color="auto" w:fill="auto"/>
            <w:vAlign w:val="center"/>
            <w:hideMark/>
          </w:tcPr>
          <w:p w14:paraId="3872D3C6" w14:textId="77777777" w:rsidR="00322AE9" w:rsidRPr="00322AE9" w:rsidRDefault="00322AE9" w:rsidP="000A6DB8">
            <w:pPr>
              <w:suppressAutoHyphens/>
              <w:adjustRightInd w:val="0"/>
              <w:ind w:firstLine="0"/>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Аллаиховский</w:t>
            </w:r>
          </w:p>
        </w:tc>
        <w:tc>
          <w:tcPr>
            <w:tcW w:w="1500" w:type="pct"/>
            <w:tcBorders>
              <w:top w:val="nil"/>
              <w:left w:val="nil"/>
              <w:bottom w:val="single" w:sz="4" w:space="0" w:color="auto"/>
              <w:right w:val="single" w:sz="4" w:space="0" w:color="auto"/>
            </w:tcBorders>
            <w:shd w:val="clear" w:color="auto" w:fill="auto"/>
            <w:vAlign w:val="center"/>
            <w:hideMark/>
          </w:tcPr>
          <w:p w14:paraId="28331851" w14:textId="77777777" w:rsidR="00322AE9" w:rsidRPr="00322AE9" w:rsidRDefault="00322AE9" w:rsidP="000A6DB8">
            <w:pPr>
              <w:suppressAutoHyphens/>
              <w:adjustRightInd w:val="0"/>
              <w:ind w:firstLine="0"/>
              <w:jc w:val="left"/>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для Муниципального образования</w:t>
            </w:r>
          </w:p>
        </w:tc>
        <w:tc>
          <w:tcPr>
            <w:tcW w:w="865" w:type="pct"/>
            <w:tcBorders>
              <w:top w:val="nil"/>
              <w:left w:val="nil"/>
              <w:bottom w:val="single" w:sz="4" w:space="0" w:color="auto"/>
              <w:right w:val="single" w:sz="4" w:space="0" w:color="auto"/>
            </w:tcBorders>
            <w:shd w:val="clear" w:color="auto" w:fill="auto"/>
            <w:vAlign w:val="center"/>
            <w:hideMark/>
          </w:tcPr>
          <w:p w14:paraId="4B38968B" w14:textId="77777777" w:rsidR="00322AE9" w:rsidRPr="00322AE9" w:rsidRDefault="00322AE9" w:rsidP="000A6DB8">
            <w:pPr>
              <w:suppressAutoHyphens/>
              <w:adjustRightInd w:val="0"/>
              <w:ind w:firstLine="0"/>
              <w:jc w:val="center"/>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72</w:t>
            </w:r>
          </w:p>
        </w:tc>
      </w:tr>
      <w:tr w:rsidR="00322AE9" w:rsidRPr="00322AE9" w14:paraId="546C1583" w14:textId="77777777" w:rsidTr="00322AE9">
        <w:trPr>
          <w:trHeight w:val="450"/>
          <w:jc w:val="center"/>
        </w:trPr>
        <w:tc>
          <w:tcPr>
            <w:tcW w:w="297" w:type="pct"/>
            <w:tcBorders>
              <w:top w:val="nil"/>
              <w:left w:val="single" w:sz="4" w:space="0" w:color="auto"/>
              <w:bottom w:val="single" w:sz="4" w:space="0" w:color="auto"/>
              <w:right w:val="single" w:sz="4" w:space="0" w:color="auto"/>
            </w:tcBorders>
            <w:shd w:val="clear" w:color="auto" w:fill="auto"/>
            <w:vAlign w:val="center"/>
            <w:hideMark/>
          </w:tcPr>
          <w:p w14:paraId="38247C18" w14:textId="77777777" w:rsidR="00322AE9" w:rsidRPr="00322AE9" w:rsidRDefault="00322AE9" w:rsidP="000A6DB8">
            <w:pPr>
              <w:suppressAutoHyphens/>
              <w:adjustRightInd w:val="0"/>
              <w:ind w:firstLine="0"/>
              <w:jc w:val="center"/>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4</w:t>
            </w:r>
          </w:p>
        </w:tc>
        <w:tc>
          <w:tcPr>
            <w:tcW w:w="1289" w:type="pct"/>
            <w:tcBorders>
              <w:top w:val="nil"/>
              <w:left w:val="nil"/>
              <w:bottom w:val="single" w:sz="4" w:space="0" w:color="auto"/>
              <w:right w:val="single" w:sz="4" w:space="0" w:color="auto"/>
            </w:tcBorders>
            <w:shd w:val="clear" w:color="auto" w:fill="auto"/>
            <w:vAlign w:val="center"/>
            <w:hideMark/>
          </w:tcPr>
          <w:p w14:paraId="6AB972CB" w14:textId="77777777" w:rsidR="00322AE9" w:rsidRPr="00322AE9" w:rsidRDefault="00322AE9" w:rsidP="000A6DB8">
            <w:pPr>
              <w:suppressAutoHyphens/>
              <w:adjustRightInd w:val="0"/>
              <w:ind w:firstLine="0"/>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Арктическая</w:t>
            </w:r>
          </w:p>
        </w:tc>
        <w:tc>
          <w:tcPr>
            <w:tcW w:w="1050" w:type="pct"/>
            <w:tcBorders>
              <w:top w:val="nil"/>
              <w:left w:val="nil"/>
              <w:bottom w:val="single" w:sz="4" w:space="0" w:color="auto"/>
              <w:right w:val="single" w:sz="4" w:space="0" w:color="auto"/>
            </w:tcBorders>
            <w:shd w:val="clear" w:color="auto" w:fill="auto"/>
            <w:vAlign w:val="center"/>
            <w:hideMark/>
          </w:tcPr>
          <w:p w14:paraId="6775B9EC" w14:textId="77777777" w:rsidR="00322AE9" w:rsidRPr="00322AE9" w:rsidRDefault="00322AE9" w:rsidP="000A6DB8">
            <w:pPr>
              <w:suppressAutoHyphens/>
              <w:adjustRightInd w:val="0"/>
              <w:ind w:firstLine="0"/>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Аллаиховский</w:t>
            </w:r>
          </w:p>
        </w:tc>
        <w:tc>
          <w:tcPr>
            <w:tcW w:w="1500" w:type="pct"/>
            <w:tcBorders>
              <w:top w:val="nil"/>
              <w:left w:val="nil"/>
              <w:bottom w:val="single" w:sz="4" w:space="0" w:color="auto"/>
              <w:right w:val="single" w:sz="4" w:space="0" w:color="auto"/>
            </w:tcBorders>
            <w:shd w:val="clear" w:color="auto" w:fill="auto"/>
            <w:vAlign w:val="center"/>
            <w:hideMark/>
          </w:tcPr>
          <w:p w14:paraId="2A6A8D52" w14:textId="77777777" w:rsidR="00322AE9" w:rsidRPr="00322AE9" w:rsidRDefault="00322AE9" w:rsidP="000A6DB8">
            <w:pPr>
              <w:suppressAutoHyphens/>
              <w:adjustRightInd w:val="0"/>
              <w:ind w:firstLine="0"/>
              <w:jc w:val="left"/>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п. Чокурдах</w:t>
            </w:r>
          </w:p>
        </w:tc>
        <w:tc>
          <w:tcPr>
            <w:tcW w:w="865" w:type="pct"/>
            <w:tcBorders>
              <w:top w:val="nil"/>
              <w:left w:val="nil"/>
              <w:bottom w:val="single" w:sz="4" w:space="0" w:color="auto"/>
              <w:right w:val="single" w:sz="4" w:space="0" w:color="auto"/>
            </w:tcBorders>
            <w:shd w:val="clear" w:color="auto" w:fill="auto"/>
            <w:vAlign w:val="center"/>
            <w:hideMark/>
          </w:tcPr>
          <w:p w14:paraId="54BC3C8F" w14:textId="77777777" w:rsidR="00322AE9" w:rsidRPr="00322AE9" w:rsidRDefault="00322AE9" w:rsidP="000A6DB8">
            <w:pPr>
              <w:suppressAutoHyphens/>
              <w:adjustRightInd w:val="0"/>
              <w:ind w:firstLine="0"/>
              <w:jc w:val="center"/>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58</w:t>
            </w:r>
          </w:p>
        </w:tc>
      </w:tr>
      <w:tr w:rsidR="00322AE9" w:rsidRPr="00322AE9" w14:paraId="094A1A58" w14:textId="77777777" w:rsidTr="00322AE9">
        <w:trPr>
          <w:trHeight w:val="450"/>
          <w:jc w:val="center"/>
        </w:trPr>
        <w:tc>
          <w:tcPr>
            <w:tcW w:w="297" w:type="pct"/>
            <w:tcBorders>
              <w:top w:val="nil"/>
              <w:left w:val="single" w:sz="4" w:space="0" w:color="auto"/>
              <w:bottom w:val="single" w:sz="4" w:space="0" w:color="auto"/>
              <w:right w:val="single" w:sz="4" w:space="0" w:color="auto"/>
            </w:tcBorders>
            <w:shd w:val="clear" w:color="auto" w:fill="auto"/>
            <w:vAlign w:val="center"/>
            <w:hideMark/>
          </w:tcPr>
          <w:p w14:paraId="51821B14" w14:textId="77777777" w:rsidR="00322AE9" w:rsidRPr="00322AE9" w:rsidRDefault="00322AE9" w:rsidP="000A6DB8">
            <w:pPr>
              <w:suppressAutoHyphens/>
              <w:adjustRightInd w:val="0"/>
              <w:ind w:firstLine="0"/>
              <w:jc w:val="center"/>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5</w:t>
            </w:r>
          </w:p>
        </w:tc>
        <w:tc>
          <w:tcPr>
            <w:tcW w:w="1289" w:type="pct"/>
            <w:tcBorders>
              <w:top w:val="nil"/>
              <w:left w:val="nil"/>
              <w:bottom w:val="single" w:sz="4" w:space="0" w:color="auto"/>
              <w:right w:val="single" w:sz="4" w:space="0" w:color="auto"/>
            </w:tcBorders>
            <w:shd w:val="clear" w:color="auto" w:fill="auto"/>
            <w:vAlign w:val="center"/>
            <w:hideMark/>
          </w:tcPr>
          <w:p w14:paraId="0755BBF7" w14:textId="77777777" w:rsidR="00322AE9" w:rsidRPr="00322AE9" w:rsidRDefault="00322AE9" w:rsidP="000A6DB8">
            <w:pPr>
              <w:suppressAutoHyphens/>
              <w:adjustRightInd w:val="0"/>
              <w:ind w:firstLine="0"/>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Арктическая</w:t>
            </w:r>
          </w:p>
        </w:tc>
        <w:tc>
          <w:tcPr>
            <w:tcW w:w="1050" w:type="pct"/>
            <w:tcBorders>
              <w:top w:val="nil"/>
              <w:left w:val="nil"/>
              <w:bottom w:val="single" w:sz="4" w:space="0" w:color="auto"/>
              <w:right w:val="single" w:sz="4" w:space="0" w:color="auto"/>
            </w:tcBorders>
            <w:shd w:val="clear" w:color="auto" w:fill="auto"/>
            <w:vAlign w:val="center"/>
            <w:hideMark/>
          </w:tcPr>
          <w:p w14:paraId="7F18A335" w14:textId="77777777" w:rsidR="00322AE9" w:rsidRPr="00322AE9" w:rsidRDefault="00322AE9" w:rsidP="000A6DB8">
            <w:pPr>
              <w:suppressAutoHyphens/>
              <w:adjustRightInd w:val="0"/>
              <w:ind w:firstLine="0"/>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Анабарский</w:t>
            </w:r>
          </w:p>
        </w:tc>
        <w:tc>
          <w:tcPr>
            <w:tcW w:w="1500" w:type="pct"/>
            <w:tcBorders>
              <w:top w:val="nil"/>
              <w:left w:val="nil"/>
              <w:bottom w:val="single" w:sz="4" w:space="0" w:color="auto"/>
              <w:right w:val="single" w:sz="4" w:space="0" w:color="auto"/>
            </w:tcBorders>
            <w:shd w:val="clear" w:color="auto" w:fill="auto"/>
            <w:vAlign w:val="center"/>
            <w:hideMark/>
          </w:tcPr>
          <w:p w14:paraId="6F3A1619" w14:textId="77777777" w:rsidR="00322AE9" w:rsidRPr="00322AE9" w:rsidRDefault="00322AE9" w:rsidP="000A6DB8">
            <w:pPr>
              <w:suppressAutoHyphens/>
              <w:adjustRightInd w:val="0"/>
              <w:ind w:firstLine="0"/>
              <w:jc w:val="left"/>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для Муниципального образования</w:t>
            </w:r>
          </w:p>
        </w:tc>
        <w:tc>
          <w:tcPr>
            <w:tcW w:w="865" w:type="pct"/>
            <w:tcBorders>
              <w:top w:val="nil"/>
              <w:left w:val="nil"/>
              <w:bottom w:val="single" w:sz="4" w:space="0" w:color="auto"/>
              <w:right w:val="single" w:sz="4" w:space="0" w:color="auto"/>
            </w:tcBorders>
            <w:shd w:val="clear" w:color="auto" w:fill="auto"/>
            <w:vAlign w:val="center"/>
            <w:hideMark/>
          </w:tcPr>
          <w:p w14:paraId="226EA203" w14:textId="77777777" w:rsidR="00322AE9" w:rsidRPr="00322AE9" w:rsidRDefault="00322AE9" w:rsidP="000A6DB8">
            <w:pPr>
              <w:suppressAutoHyphens/>
              <w:adjustRightInd w:val="0"/>
              <w:ind w:firstLine="0"/>
              <w:jc w:val="center"/>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64</w:t>
            </w:r>
          </w:p>
        </w:tc>
      </w:tr>
      <w:tr w:rsidR="00322AE9" w:rsidRPr="00322AE9" w14:paraId="73066BBD" w14:textId="77777777" w:rsidTr="00322AE9">
        <w:trPr>
          <w:trHeight w:val="450"/>
          <w:jc w:val="center"/>
        </w:trPr>
        <w:tc>
          <w:tcPr>
            <w:tcW w:w="297" w:type="pct"/>
            <w:tcBorders>
              <w:top w:val="nil"/>
              <w:left w:val="single" w:sz="4" w:space="0" w:color="auto"/>
              <w:bottom w:val="single" w:sz="4" w:space="0" w:color="auto"/>
              <w:right w:val="single" w:sz="4" w:space="0" w:color="auto"/>
            </w:tcBorders>
            <w:shd w:val="clear" w:color="auto" w:fill="auto"/>
            <w:vAlign w:val="center"/>
            <w:hideMark/>
          </w:tcPr>
          <w:p w14:paraId="7AE15FDB" w14:textId="77777777" w:rsidR="00322AE9" w:rsidRPr="00322AE9" w:rsidRDefault="00322AE9" w:rsidP="000A6DB8">
            <w:pPr>
              <w:suppressAutoHyphens/>
              <w:adjustRightInd w:val="0"/>
              <w:ind w:firstLine="0"/>
              <w:jc w:val="center"/>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6</w:t>
            </w:r>
          </w:p>
        </w:tc>
        <w:tc>
          <w:tcPr>
            <w:tcW w:w="1289" w:type="pct"/>
            <w:tcBorders>
              <w:top w:val="nil"/>
              <w:left w:val="nil"/>
              <w:bottom w:val="single" w:sz="4" w:space="0" w:color="auto"/>
              <w:right w:val="single" w:sz="4" w:space="0" w:color="auto"/>
            </w:tcBorders>
            <w:shd w:val="clear" w:color="auto" w:fill="auto"/>
            <w:vAlign w:val="center"/>
            <w:hideMark/>
          </w:tcPr>
          <w:p w14:paraId="3327561C" w14:textId="77777777" w:rsidR="00322AE9" w:rsidRPr="00322AE9" w:rsidRDefault="00322AE9" w:rsidP="000A6DB8">
            <w:pPr>
              <w:suppressAutoHyphens/>
              <w:adjustRightInd w:val="0"/>
              <w:ind w:firstLine="0"/>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Арктическая</w:t>
            </w:r>
          </w:p>
        </w:tc>
        <w:tc>
          <w:tcPr>
            <w:tcW w:w="1050" w:type="pct"/>
            <w:tcBorders>
              <w:top w:val="nil"/>
              <w:left w:val="nil"/>
              <w:bottom w:val="single" w:sz="4" w:space="0" w:color="auto"/>
              <w:right w:val="single" w:sz="4" w:space="0" w:color="auto"/>
            </w:tcBorders>
            <w:shd w:val="clear" w:color="auto" w:fill="auto"/>
            <w:vAlign w:val="center"/>
            <w:hideMark/>
          </w:tcPr>
          <w:p w14:paraId="071F4C43" w14:textId="77777777" w:rsidR="00322AE9" w:rsidRPr="00322AE9" w:rsidRDefault="00322AE9" w:rsidP="000A6DB8">
            <w:pPr>
              <w:suppressAutoHyphens/>
              <w:adjustRightInd w:val="0"/>
              <w:ind w:firstLine="0"/>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Булунский</w:t>
            </w:r>
          </w:p>
        </w:tc>
        <w:tc>
          <w:tcPr>
            <w:tcW w:w="1500" w:type="pct"/>
            <w:tcBorders>
              <w:top w:val="nil"/>
              <w:left w:val="nil"/>
              <w:bottom w:val="single" w:sz="4" w:space="0" w:color="auto"/>
              <w:right w:val="single" w:sz="4" w:space="0" w:color="auto"/>
            </w:tcBorders>
            <w:shd w:val="clear" w:color="auto" w:fill="auto"/>
            <w:vAlign w:val="center"/>
            <w:hideMark/>
          </w:tcPr>
          <w:p w14:paraId="56BD62E1" w14:textId="77777777" w:rsidR="00322AE9" w:rsidRPr="00322AE9" w:rsidRDefault="00322AE9" w:rsidP="000A6DB8">
            <w:pPr>
              <w:suppressAutoHyphens/>
              <w:adjustRightInd w:val="0"/>
              <w:ind w:firstLine="0"/>
              <w:jc w:val="left"/>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для Муниципального образования</w:t>
            </w:r>
          </w:p>
        </w:tc>
        <w:tc>
          <w:tcPr>
            <w:tcW w:w="865" w:type="pct"/>
            <w:tcBorders>
              <w:top w:val="nil"/>
              <w:left w:val="nil"/>
              <w:bottom w:val="single" w:sz="4" w:space="0" w:color="auto"/>
              <w:right w:val="single" w:sz="4" w:space="0" w:color="auto"/>
            </w:tcBorders>
            <w:shd w:val="clear" w:color="auto" w:fill="auto"/>
            <w:vAlign w:val="center"/>
            <w:hideMark/>
          </w:tcPr>
          <w:p w14:paraId="3A8748F3" w14:textId="77777777" w:rsidR="00322AE9" w:rsidRPr="00322AE9" w:rsidRDefault="00322AE9" w:rsidP="000A6DB8">
            <w:pPr>
              <w:suppressAutoHyphens/>
              <w:adjustRightInd w:val="0"/>
              <w:ind w:firstLine="0"/>
              <w:jc w:val="center"/>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70</w:t>
            </w:r>
          </w:p>
        </w:tc>
      </w:tr>
      <w:tr w:rsidR="00322AE9" w:rsidRPr="00322AE9" w14:paraId="521B0DC5" w14:textId="77777777" w:rsidTr="00322AE9">
        <w:trPr>
          <w:trHeight w:val="450"/>
          <w:jc w:val="center"/>
        </w:trPr>
        <w:tc>
          <w:tcPr>
            <w:tcW w:w="297" w:type="pct"/>
            <w:tcBorders>
              <w:top w:val="nil"/>
              <w:left w:val="single" w:sz="4" w:space="0" w:color="auto"/>
              <w:bottom w:val="single" w:sz="4" w:space="0" w:color="auto"/>
              <w:right w:val="single" w:sz="4" w:space="0" w:color="auto"/>
            </w:tcBorders>
            <w:shd w:val="clear" w:color="auto" w:fill="auto"/>
            <w:vAlign w:val="center"/>
            <w:hideMark/>
          </w:tcPr>
          <w:p w14:paraId="58602D37" w14:textId="77777777" w:rsidR="00322AE9" w:rsidRPr="00322AE9" w:rsidRDefault="00322AE9" w:rsidP="000A6DB8">
            <w:pPr>
              <w:suppressAutoHyphens/>
              <w:adjustRightInd w:val="0"/>
              <w:ind w:firstLine="0"/>
              <w:jc w:val="center"/>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7</w:t>
            </w:r>
          </w:p>
        </w:tc>
        <w:tc>
          <w:tcPr>
            <w:tcW w:w="1289" w:type="pct"/>
            <w:tcBorders>
              <w:top w:val="nil"/>
              <w:left w:val="nil"/>
              <w:bottom w:val="single" w:sz="4" w:space="0" w:color="auto"/>
              <w:right w:val="single" w:sz="4" w:space="0" w:color="auto"/>
            </w:tcBorders>
            <w:shd w:val="clear" w:color="auto" w:fill="auto"/>
            <w:vAlign w:val="center"/>
            <w:hideMark/>
          </w:tcPr>
          <w:p w14:paraId="7CB3850C" w14:textId="77777777" w:rsidR="00322AE9" w:rsidRPr="00322AE9" w:rsidRDefault="00322AE9" w:rsidP="000A6DB8">
            <w:pPr>
              <w:suppressAutoHyphens/>
              <w:adjustRightInd w:val="0"/>
              <w:ind w:firstLine="0"/>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Арктическая</w:t>
            </w:r>
          </w:p>
        </w:tc>
        <w:tc>
          <w:tcPr>
            <w:tcW w:w="1050" w:type="pct"/>
            <w:tcBorders>
              <w:top w:val="nil"/>
              <w:left w:val="nil"/>
              <w:bottom w:val="single" w:sz="4" w:space="0" w:color="auto"/>
              <w:right w:val="single" w:sz="4" w:space="0" w:color="auto"/>
            </w:tcBorders>
            <w:shd w:val="clear" w:color="auto" w:fill="auto"/>
            <w:vAlign w:val="center"/>
            <w:hideMark/>
          </w:tcPr>
          <w:p w14:paraId="0E04170C" w14:textId="77777777" w:rsidR="00322AE9" w:rsidRPr="00322AE9" w:rsidRDefault="00322AE9" w:rsidP="000A6DB8">
            <w:pPr>
              <w:suppressAutoHyphens/>
              <w:adjustRightInd w:val="0"/>
              <w:ind w:firstLine="0"/>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Булунский</w:t>
            </w:r>
          </w:p>
        </w:tc>
        <w:tc>
          <w:tcPr>
            <w:tcW w:w="1500" w:type="pct"/>
            <w:tcBorders>
              <w:top w:val="nil"/>
              <w:left w:val="nil"/>
              <w:bottom w:val="single" w:sz="4" w:space="0" w:color="auto"/>
              <w:right w:val="single" w:sz="4" w:space="0" w:color="auto"/>
            </w:tcBorders>
            <w:shd w:val="clear" w:color="auto" w:fill="auto"/>
            <w:vAlign w:val="center"/>
            <w:hideMark/>
          </w:tcPr>
          <w:p w14:paraId="4DF4DA3C" w14:textId="77777777" w:rsidR="00322AE9" w:rsidRPr="00322AE9" w:rsidRDefault="00322AE9" w:rsidP="000A6DB8">
            <w:pPr>
              <w:suppressAutoHyphens/>
              <w:adjustRightInd w:val="0"/>
              <w:ind w:firstLine="0"/>
              <w:jc w:val="left"/>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п. Тикси</w:t>
            </w:r>
          </w:p>
        </w:tc>
        <w:tc>
          <w:tcPr>
            <w:tcW w:w="865" w:type="pct"/>
            <w:tcBorders>
              <w:top w:val="nil"/>
              <w:left w:val="nil"/>
              <w:bottom w:val="single" w:sz="4" w:space="0" w:color="auto"/>
              <w:right w:val="single" w:sz="4" w:space="0" w:color="auto"/>
            </w:tcBorders>
            <w:shd w:val="clear" w:color="auto" w:fill="auto"/>
            <w:vAlign w:val="center"/>
            <w:hideMark/>
          </w:tcPr>
          <w:p w14:paraId="45651673" w14:textId="77777777" w:rsidR="00322AE9" w:rsidRPr="00322AE9" w:rsidRDefault="00322AE9" w:rsidP="000A6DB8">
            <w:pPr>
              <w:suppressAutoHyphens/>
              <w:adjustRightInd w:val="0"/>
              <w:ind w:firstLine="0"/>
              <w:jc w:val="center"/>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54</w:t>
            </w:r>
          </w:p>
        </w:tc>
      </w:tr>
      <w:tr w:rsidR="00322AE9" w:rsidRPr="00322AE9" w14:paraId="4C7816D4" w14:textId="77777777" w:rsidTr="00322AE9">
        <w:trPr>
          <w:trHeight w:val="450"/>
          <w:jc w:val="center"/>
        </w:trPr>
        <w:tc>
          <w:tcPr>
            <w:tcW w:w="297" w:type="pct"/>
            <w:tcBorders>
              <w:top w:val="nil"/>
              <w:left w:val="single" w:sz="4" w:space="0" w:color="auto"/>
              <w:bottom w:val="single" w:sz="4" w:space="0" w:color="auto"/>
              <w:right w:val="single" w:sz="4" w:space="0" w:color="auto"/>
            </w:tcBorders>
            <w:shd w:val="clear" w:color="auto" w:fill="auto"/>
            <w:vAlign w:val="center"/>
            <w:hideMark/>
          </w:tcPr>
          <w:p w14:paraId="72EC3028" w14:textId="77777777" w:rsidR="00322AE9" w:rsidRPr="00322AE9" w:rsidRDefault="00322AE9" w:rsidP="000A6DB8">
            <w:pPr>
              <w:suppressAutoHyphens/>
              <w:adjustRightInd w:val="0"/>
              <w:ind w:firstLine="0"/>
              <w:jc w:val="center"/>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8</w:t>
            </w:r>
          </w:p>
        </w:tc>
        <w:tc>
          <w:tcPr>
            <w:tcW w:w="1289" w:type="pct"/>
            <w:tcBorders>
              <w:top w:val="nil"/>
              <w:left w:val="nil"/>
              <w:bottom w:val="single" w:sz="4" w:space="0" w:color="auto"/>
              <w:right w:val="single" w:sz="4" w:space="0" w:color="auto"/>
            </w:tcBorders>
            <w:shd w:val="clear" w:color="auto" w:fill="auto"/>
            <w:vAlign w:val="center"/>
            <w:hideMark/>
          </w:tcPr>
          <w:p w14:paraId="6A005674" w14:textId="77777777" w:rsidR="00322AE9" w:rsidRPr="00322AE9" w:rsidRDefault="00322AE9" w:rsidP="000A6DB8">
            <w:pPr>
              <w:suppressAutoHyphens/>
              <w:adjustRightInd w:val="0"/>
              <w:ind w:firstLine="0"/>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Арктическая</w:t>
            </w:r>
          </w:p>
        </w:tc>
        <w:tc>
          <w:tcPr>
            <w:tcW w:w="1050" w:type="pct"/>
            <w:tcBorders>
              <w:top w:val="nil"/>
              <w:left w:val="nil"/>
              <w:bottom w:val="single" w:sz="4" w:space="0" w:color="auto"/>
              <w:right w:val="single" w:sz="4" w:space="0" w:color="auto"/>
            </w:tcBorders>
            <w:shd w:val="clear" w:color="auto" w:fill="auto"/>
            <w:vAlign w:val="center"/>
            <w:hideMark/>
          </w:tcPr>
          <w:p w14:paraId="2A019DF2" w14:textId="77777777" w:rsidR="00322AE9" w:rsidRPr="00322AE9" w:rsidRDefault="00322AE9" w:rsidP="000A6DB8">
            <w:pPr>
              <w:suppressAutoHyphens/>
              <w:adjustRightInd w:val="0"/>
              <w:ind w:firstLine="0"/>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Верхнеколымский</w:t>
            </w:r>
          </w:p>
        </w:tc>
        <w:tc>
          <w:tcPr>
            <w:tcW w:w="1500" w:type="pct"/>
            <w:tcBorders>
              <w:top w:val="nil"/>
              <w:left w:val="nil"/>
              <w:bottom w:val="single" w:sz="4" w:space="0" w:color="auto"/>
              <w:right w:val="single" w:sz="4" w:space="0" w:color="auto"/>
            </w:tcBorders>
            <w:shd w:val="clear" w:color="auto" w:fill="auto"/>
            <w:vAlign w:val="center"/>
            <w:hideMark/>
          </w:tcPr>
          <w:p w14:paraId="1B1525C8" w14:textId="77777777" w:rsidR="00322AE9" w:rsidRPr="00322AE9" w:rsidRDefault="00322AE9" w:rsidP="000A6DB8">
            <w:pPr>
              <w:suppressAutoHyphens/>
              <w:adjustRightInd w:val="0"/>
              <w:ind w:firstLine="0"/>
              <w:jc w:val="left"/>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для Муниципального образования</w:t>
            </w:r>
          </w:p>
        </w:tc>
        <w:tc>
          <w:tcPr>
            <w:tcW w:w="865" w:type="pct"/>
            <w:tcBorders>
              <w:top w:val="nil"/>
              <w:left w:val="nil"/>
              <w:bottom w:val="single" w:sz="4" w:space="0" w:color="auto"/>
              <w:right w:val="single" w:sz="4" w:space="0" w:color="auto"/>
            </w:tcBorders>
            <w:shd w:val="clear" w:color="auto" w:fill="auto"/>
            <w:vAlign w:val="center"/>
            <w:hideMark/>
          </w:tcPr>
          <w:p w14:paraId="15572D78" w14:textId="77777777" w:rsidR="00322AE9" w:rsidRPr="00322AE9" w:rsidRDefault="00322AE9" w:rsidP="000A6DB8">
            <w:pPr>
              <w:suppressAutoHyphens/>
              <w:adjustRightInd w:val="0"/>
              <w:ind w:firstLine="0"/>
              <w:jc w:val="center"/>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71</w:t>
            </w:r>
          </w:p>
        </w:tc>
      </w:tr>
      <w:tr w:rsidR="00322AE9" w:rsidRPr="00322AE9" w14:paraId="6A6C506E" w14:textId="77777777" w:rsidTr="00322AE9">
        <w:trPr>
          <w:trHeight w:val="450"/>
          <w:jc w:val="center"/>
        </w:trPr>
        <w:tc>
          <w:tcPr>
            <w:tcW w:w="297" w:type="pct"/>
            <w:tcBorders>
              <w:top w:val="nil"/>
              <w:left w:val="single" w:sz="4" w:space="0" w:color="auto"/>
              <w:bottom w:val="single" w:sz="4" w:space="0" w:color="auto"/>
              <w:right w:val="single" w:sz="4" w:space="0" w:color="auto"/>
            </w:tcBorders>
            <w:shd w:val="clear" w:color="auto" w:fill="auto"/>
            <w:vAlign w:val="center"/>
            <w:hideMark/>
          </w:tcPr>
          <w:p w14:paraId="3610B2BC" w14:textId="77777777" w:rsidR="00322AE9" w:rsidRPr="00322AE9" w:rsidRDefault="00322AE9" w:rsidP="000A6DB8">
            <w:pPr>
              <w:suppressAutoHyphens/>
              <w:adjustRightInd w:val="0"/>
              <w:ind w:firstLine="0"/>
              <w:jc w:val="center"/>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9</w:t>
            </w:r>
          </w:p>
        </w:tc>
        <w:tc>
          <w:tcPr>
            <w:tcW w:w="1289" w:type="pct"/>
            <w:tcBorders>
              <w:top w:val="nil"/>
              <w:left w:val="nil"/>
              <w:bottom w:val="single" w:sz="4" w:space="0" w:color="auto"/>
              <w:right w:val="single" w:sz="4" w:space="0" w:color="auto"/>
            </w:tcBorders>
            <w:shd w:val="clear" w:color="auto" w:fill="auto"/>
            <w:vAlign w:val="center"/>
            <w:hideMark/>
          </w:tcPr>
          <w:p w14:paraId="39A5A978" w14:textId="77777777" w:rsidR="00322AE9" w:rsidRPr="00322AE9" w:rsidRDefault="00322AE9" w:rsidP="000A6DB8">
            <w:pPr>
              <w:suppressAutoHyphens/>
              <w:adjustRightInd w:val="0"/>
              <w:ind w:firstLine="0"/>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Арктическая</w:t>
            </w:r>
          </w:p>
        </w:tc>
        <w:tc>
          <w:tcPr>
            <w:tcW w:w="1050" w:type="pct"/>
            <w:tcBorders>
              <w:top w:val="nil"/>
              <w:left w:val="nil"/>
              <w:bottom w:val="single" w:sz="4" w:space="0" w:color="auto"/>
              <w:right w:val="single" w:sz="4" w:space="0" w:color="auto"/>
            </w:tcBorders>
            <w:shd w:val="clear" w:color="auto" w:fill="auto"/>
            <w:vAlign w:val="center"/>
            <w:hideMark/>
          </w:tcPr>
          <w:p w14:paraId="23632BE6" w14:textId="77777777" w:rsidR="00322AE9" w:rsidRPr="00322AE9" w:rsidRDefault="00322AE9" w:rsidP="000A6DB8">
            <w:pPr>
              <w:suppressAutoHyphens/>
              <w:adjustRightInd w:val="0"/>
              <w:ind w:firstLine="0"/>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Верхнеколымский</w:t>
            </w:r>
          </w:p>
        </w:tc>
        <w:tc>
          <w:tcPr>
            <w:tcW w:w="1500" w:type="pct"/>
            <w:tcBorders>
              <w:top w:val="nil"/>
              <w:left w:val="nil"/>
              <w:bottom w:val="single" w:sz="4" w:space="0" w:color="auto"/>
              <w:right w:val="single" w:sz="4" w:space="0" w:color="auto"/>
            </w:tcBorders>
            <w:shd w:val="clear" w:color="auto" w:fill="auto"/>
            <w:vAlign w:val="center"/>
            <w:hideMark/>
          </w:tcPr>
          <w:p w14:paraId="2E97DF16" w14:textId="77777777" w:rsidR="00322AE9" w:rsidRPr="00322AE9" w:rsidRDefault="00322AE9" w:rsidP="000A6DB8">
            <w:pPr>
              <w:suppressAutoHyphens/>
              <w:adjustRightInd w:val="0"/>
              <w:ind w:firstLine="0"/>
              <w:jc w:val="left"/>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п.Зырянка</w:t>
            </w:r>
          </w:p>
        </w:tc>
        <w:tc>
          <w:tcPr>
            <w:tcW w:w="865" w:type="pct"/>
            <w:tcBorders>
              <w:top w:val="nil"/>
              <w:left w:val="nil"/>
              <w:bottom w:val="single" w:sz="4" w:space="0" w:color="auto"/>
              <w:right w:val="single" w:sz="4" w:space="0" w:color="auto"/>
            </w:tcBorders>
            <w:shd w:val="clear" w:color="auto" w:fill="auto"/>
            <w:vAlign w:val="center"/>
            <w:hideMark/>
          </w:tcPr>
          <w:p w14:paraId="1356223E" w14:textId="77777777" w:rsidR="00322AE9" w:rsidRPr="00322AE9" w:rsidRDefault="00322AE9" w:rsidP="000A6DB8">
            <w:pPr>
              <w:suppressAutoHyphens/>
              <w:adjustRightInd w:val="0"/>
              <w:ind w:firstLine="0"/>
              <w:jc w:val="center"/>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58</w:t>
            </w:r>
          </w:p>
        </w:tc>
      </w:tr>
      <w:tr w:rsidR="00322AE9" w:rsidRPr="00322AE9" w14:paraId="40B7D0B8" w14:textId="77777777" w:rsidTr="00322AE9">
        <w:trPr>
          <w:trHeight w:val="450"/>
          <w:jc w:val="center"/>
        </w:trPr>
        <w:tc>
          <w:tcPr>
            <w:tcW w:w="297" w:type="pct"/>
            <w:tcBorders>
              <w:top w:val="nil"/>
              <w:left w:val="single" w:sz="4" w:space="0" w:color="auto"/>
              <w:bottom w:val="single" w:sz="4" w:space="0" w:color="auto"/>
              <w:right w:val="single" w:sz="4" w:space="0" w:color="auto"/>
            </w:tcBorders>
            <w:shd w:val="clear" w:color="auto" w:fill="auto"/>
            <w:vAlign w:val="center"/>
            <w:hideMark/>
          </w:tcPr>
          <w:p w14:paraId="585676BC" w14:textId="77777777" w:rsidR="00322AE9" w:rsidRPr="00322AE9" w:rsidRDefault="00322AE9" w:rsidP="000A6DB8">
            <w:pPr>
              <w:suppressAutoHyphens/>
              <w:adjustRightInd w:val="0"/>
              <w:ind w:firstLine="0"/>
              <w:jc w:val="center"/>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10</w:t>
            </w:r>
          </w:p>
        </w:tc>
        <w:tc>
          <w:tcPr>
            <w:tcW w:w="1289" w:type="pct"/>
            <w:tcBorders>
              <w:top w:val="nil"/>
              <w:left w:val="nil"/>
              <w:bottom w:val="single" w:sz="4" w:space="0" w:color="auto"/>
              <w:right w:val="single" w:sz="4" w:space="0" w:color="auto"/>
            </w:tcBorders>
            <w:shd w:val="clear" w:color="auto" w:fill="auto"/>
            <w:vAlign w:val="center"/>
            <w:hideMark/>
          </w:tcPr>
          <w:p w14:paraId="0815DDEC" w14:textId="77777777" w:rsidR="00322AE9" w:rsidRPr="00322AE9" w:rsidRDefault="00322AE9" w:rsidP="000A6DB8">
            <w:pPr>
              <w:suppressAutoHyphens/>
              <w:adjustRightInd w:val="0"/>
              <w:ind w:firstLine="0"/>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Арктическая</w:t>
            </w:r>
          </w:p>
        </w:tc>
        <w:tc>
          <w:tcPr>
            <w:tcW w:w="1050" w:type="pct"/>
            <w:tcBorders>
              <w:top w:val="nil"/>
              <w:left w:val="nil"/>
              <w:bottom w:val="single" w:sz="4" w:space="0" w:color="auto"/>
              <w:right w:val="single" w:sz="4" w:space="0" w:color="auto"/>
            </w:tcBorders>
            <w:shd w:val="clear" w:color="auto" w:fill="auto"/>
            <w:vAlign w:val="center"/>
            <w:hideMark/>
          </w:tcPr>
          <w:p w14:paraId="49EF4F1F" w14:textId="77777777" w:rsidR="00322AE9" w:rsidRPr="00322AE9" w:rsidRDefault="00322AE9" w:rsidP="000A6DB8">
            <w:pPr>
              <w:suppressAutoHyphens/>
              <w:adjustRightInd w:val="0"/>
              <w:ind w:firstLine="0"/>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Верхоянский</w:t>
            </w:r>
          </w:p>
        </w:tc>
        <w:tc>
          <w:tcPr>
            <w:tcW w:w="1500" w:type="pct"/>
            <w:tcBorders>
              <w:top w:val="nil"/>
              <w:left w:val="nil"/>
              <w:bottom w:val="single" w:sz="4" w:space="0" w:color="auto"/>
              <w:right w:val="single" w:sz="4" w:space="0" w:color="auto"/>
            </w:tcBorders>
            <w:shd w:val="clear" w:color="auto" w:fill="auto"/>
            <w:vAlign w:val="center"/>
            <w:hideMark/>
          </w:tcPr>
          <w:p w14:paraId="7CBB2E6D" w14:textId="77777777" w:rsidR="00322AE9" w:rsidRPr="00322AE9" w:rsidRDefault="00322AE9" w:rsidP="000A6DB8">
            <w:pPr>
              <w:suppressAutoHyphens/>
              <w:adjustRightInd w:val="0"/>
              <w:ind w:firstLine="0"/>
              <w:jc w:val="left"/>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для Муниципального образования</w:t>
            </w:r>
          </w:p>
        </w:tc>
        <w:tc>
          <w:tcPr>
            <w:tcW w:w="865" w:type="pct"/>
            <w:tcBorders>
              <w:top w:val="nil"/>
              <w:left w:val="nil"/>
              <w:bottom w:val="single" w:sz="4" w:space="0" w:color="auto"/>
              <w:right w:val="single" w:sz="4" w:space="0" w:color="auto"/>
            </w:tcBorders>
            <w:shd w:val="clear" w:color="auto" w:fill="auto"/>
            <w:vAlign w:val="center"/>
            <w:hideMark/>
          </w:tcPr>
          <w:p w14:paraId="33F10775" w14:textId="77777777" w:rsidR="00322AE9" w:rsidRPr="00322AE9" w:rsidRDefault="00322AE9" w:rsidP="000A6DB8">
            <w:pPr>
              <w:suppressAutoHyphens/>
              <w:adjustRightInd w:val="0"/>
              <w:ind w:firstLine="0"/>
              <w:jc w:val="center"/>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74</w:t>
            </w:r>
          </w:p>
        </w:tc>
      </w:tr>
      <w:tr w:rsidR="00322AE9" w:rsidRPr="00322AE9" w14:paraId="3461FAD6" w14:textId="77777777" w:rsidTr="00322AE9">
        <w:trPr>
          <w:trHeight w:val="450"/>
          <w:jc w:val="center"/>
        </w:trPr>
        <w:tc>
          <w:tcPr>
            <w:tcW w:w="297" w:type="pct"/>
            <w:tcBorders>
              <w:top w:val="nil"/>
              <w:left w:val="single" w:sz="4" w:space="0" w:color="auto"/>
              <w:bottom w:val="single" w:sz="4" w:space="0" w:color="auto"/>
              <w:right w:val="single" w:sz="4" w:space="0" w:color="auto"/>
            </w:tcBorders>
            <w:shd w:val="clear" w:color="auto" w:fill="auto"/>
            <w:vAlign w:val="center"/>
            <w:hideMark/>
          </w:tcPr>
          <w:p w14:paraId="66CF0C0B" w14:textId="77777777" w:rsidR="00322AE9" w:rsidRPr="00322AE9" w:rsidRDefault="00322AE9" w:rsidP="000A6DB8">
            <w:pPr>
              <w:suppressAutoHyphens/>
              <w:adjustRightInd w:val="0"/>
              <w:ind w:firstLine="0"/>
              <w:jc w:val="center"/>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11</w:t>
            </w:r>
          </w:p>
        </w:tc>
        <w:tc>
          <w:tcPr>
            <w:tcW w:w="1289" w:type="pct"/>
            <w:tcBorders>
              <w:top w:val="nil"/>
              <w:left w:val="nil"/>
              <w:bottom w:val="single" w:sz="4" w:space="0" w:color="auto"/>
              <w:right w:val="single" w:sz="4" w:space="0" w:color="auto"/>
            </w:tcBorders>
            <w:shd w:val="clear" w:color="auto" w:fill="auto"/>
            <w:vAlign w:val="center"/>
            <w:hideMark/>
          </w:tcPr>
          <w:p w14:paraId="300DDCBC" w14:textId="77777777" w:rsidR="00322AE9" w:rsidRPr="00322AE9" w:rsidRDefault="00322AE9" w:rsidP="000A6DB8">
            <w:pPr>
              <w:suppressAutoHyphens/>
              <w:adjustRightInd w:val="0"/>
              <w:ind w:firstLine="0"/>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Арктическая</w:t>
            </w:r>
          </w:p>
        </w:tc>
        <w:tc>
          <w:tcPr>
            <w:tcW w:w="1050" w:type="pct"/>
            <w:tcBorders>
              <w:top w:val="nil"/>
              <w:left w:val="nil"/>
              <w:bottom w:val="single" w:sz="4" w:space="0" w:color="auto"/>
              <w:right w:val="single" w:sz="4" w:space="0" w:color="auto"/>
            </w:tcBorders>
            <w:shd w:val="clear" w:color="auto" w:fill="auto"/>
            <w:vAlign w:val="center"/>
            <w:hideMark/>
          </w:tcPr>
          <w:p w14:paraId="1ED9F0DD" w14:textId="77777777" w:rsidR="00322AE9" w:rsidRPr="00322AE9" w:rsidRDefault="00322AE9" w:rsidP="000A6DB8">
            <w:pPr>
              <w:suppressAutoHyphens/>
              <w:adjustRightInd w:val="0"/>
              <w:ind w:firstLine="0"/>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Верхоянский</w:t>
            </w:r>
          </w:p>
        </w:tc>
        <w:tc>
          <w:tcPr>
            <w:tcW w:w="1500" w:type="pct"/>
            <w:tcBorders>
              <w:top w:val="nil"/>
              <w:left w:val="nil"/>
              <w:bottom w:val="single" w:sz="4" w:space="0" w:color="auto"/>
              <w:right w:val="single" w:sz="4" w:space="0" w:color="auto"/>
            </w:tcBorders>
            <w:shd w:val="clear" w:color="auto" w:fill="auto"/>
            <w:vAlign w:val="center"/>
            <w:hideMark/>
          </w:tcPr>
          <w:p w14:paraId="29FA1C96" w14:textId="77777777" w:rsidR="00322AE9" w:rsidRPr="00322AE9" w:rsidRDefault="00322AE9" w:rsidP="000A6DB8">
            <w:pPr>
              <w:suppressAutoHyphens/>
              <w:adjustRightInd w:val="0"/>
              <w:ind w:firstLine="0"/>
              <w:jc w:val="left"/>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п.Батагай</w:t>
            </w:r>
          </w:p>
        </w:tc>
        <w:tc>
          <w:tcPr>
            <w:tcW w:w="865" w:type="pct"/>
            <w:tcBorders>
              <w:top w:val="nil"/>
              <w:left w:val="nil"/>
              <w:bottom w:val="single" w:sz="4" w:space="0" w:color="auto"/>
              <w:right w:val="single" w:sz="4" w:space="0" w:color="auto"/>
            </w:tcBorders>
            <w:shd w:val="clear" w:color="auto" w:fill="auto"/>
            <w:vAlign w:val="center"/>
            <w:hideMark/>
          </w:tcPr>
          <w:p w14:paraId="7B277936" w14:textId="77777777" w:rsidR="00322AE9" w:rsidRPr="00322AE9" w:rsidRDefault="00322AE9" w:rsidP="000A6DB8">
            <w:pPr>
              <w:suppressAutoHyphens/>
              <w:adjustRightInd w:val="0"/>
              <w:ind w:firstLine="0"/>
              <w:jc w:val="center"/>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57</w:t>
            </w:r>
          </w:p>
        </w:tc>
      </w:tr>
      <w:tr w:rsidR="00322AE9" w:rsidRPr="00322AE9" w14:paraId="59DD0697" w14:textId="77777777" w:rsidTr="00322AE9">
        <w:trPr>
          <w:trHeight w:val="450"/>
          <w:jc w:val="center"/>
        </w:trPr>
        <w:tc>
          <w:tcPr>
            <w:tcW w:w="297" w:type="pct"/>
            <w:tcBorders>
              <w:top w:val="nil"/>
              <w:left w:val="single" w:sz="4" w:space="0" w:color="auto"/>
              <w:bottom w:val="single" w:sz="4" w:space="0" w:color="auto"/>
              <w:right w:val="single" w:sz="4" w:space="0" w:color="auto"/>
            </w:tcBorders>
            <w:shd w:val="clear" w:color="auto" w:fill="auto"/>
            <w:vAlign w:val="center"/>
            <w:hideMark/>
          </w:tcPr>
          <w:p w14:paraId="2DE0C513" w14:textId="77777777" w:rsidR="00322AE9" w:rsidRPr="00322AE9" w:rsidRDefault="00322AE9" w:rsidP="000A6DB8">
            <w:pPr>
              <w:suppressAutoHyphens/>
              <w:adjustRightInd w:val="0"/>
              <w:ind w:firstLine="0"/>
              <w:jc w:val="center"/>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12</w:t>
            </w:r>
          </w:p>
        </w:tc>
        <w:tc>
          <w:tcPr>
            <w:tcW w:w="1289" w:type="pct"/>
            <w:tcBorders>
              <w:top w:val="nil"/>
              <w:left w:val="nil"/>
              <w:bottom w:val="single" w:sz="4" w:space="0" w:color="auto"/>
              <w:right w:val="single" w:sz="4" w:space="0" w:color="auto"/>
            </w:tcBorders>
            <w:shd w:val="clear" w:color="auto" w:fill="auto"/>
            <w:vAlign w:val="center"/>
            <w:hideMark/>
          </w:tcPr>
          <w:p w14:paraId="22F541DF" w14:textId="77777777" w:rsidR="00322AE9" w:rsidRPr="00322AE9" w:rsidRDefault="00322AE9" w:rsidP="000A6DB8">
            <w:pPr>
              <w:suppressAutoHyphens/>
              <w:adjustRightInd w:val="0"/>
              <w:ind w:firstLine="0"/>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Арктическая</w:t>
            </w:r>
          </w:p>
        </w:tc>
        <w:tc>
          <w:tcPr>
            <w:tcW w:w="1050" w:type="pct"/>
            <w:tcBorders>
              <w:top w:val="nil"/>
              <w:left w:val="nil"/>
              <w:bottom w:val="single" w:sz="4" w:space="0" w:color="auto"/>
              <w:right w:val="single" w:sz="4" w:space="0" w:color="auto"/>
            </w:tcBorders>
            <w:shd w:val="clear" w:color="auto" w:fill="auto"/>
            <w:vAlign w:val="center"/>
            <w:hideMark/>
          </w:tcPr>
          <w:p w14:paraId="35ECC4EE" w14:textId="77777777" w:rsidR="00322AE9" w:rsidRPr="00322AE9" w:rsidRDefault="00322AE9" w:rsidP="000A6DB8">
            <w:pPr>
              <w:suppressAutoHyphens/>
              <w:adjustRightInd w:val="0"/>
              <w:ind w:firstLine="0"/>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Жиганский</w:t>
            </w:r>
          </w:p>
        </w:tc>
        <w:tc>
          <w:tcPr>
            <w:tcW w:w="1500" w:type="pct"/>
            <w:tcBorders>
              <w:top w:val="nil"/>
              <w:left w:val="nil"/>
              <w:bottom w:val="single" w:sz="4" w:space="0" w:color="auto"/>
              <w:right w:val="single" w:sz="4" w:space="0" w:color="auto"/>
            </w:tcBorders>
            <w:shd w:val="clear" w:color="auto" w:fill="auto"/>
            <w:vAlign w:val="center"/>
            <w:hideMark/>
          </w:tcPr>
          <w:p w14:paraId="574BABC9" w14:textId="77777777" w:rsidR="00322AE9" w:rsidRPr="00322AE9" w:rsidRDefault="00322AE9" w:rsidP="000A6DB8">
            <w:pPr>
              <w:suppressAutoHyphens/>
              <w:adjustRightInd w:val="0"/>
              <w:ind w:firstLine="0"/>
              <w:jc w:val="left"/>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для Муниципального образования</w:t>
            </w:r>
          </w:p>
        </w:tc>
        <w:tc>
          <w:tcPr>
            <w:tcW w:w="865" w:type="pct"/>
            <w:tcBorders>
              <w:top w:val="nil"/>
              <w:left w:val="nil"/>
              <w:bottom w:val="single" w:sz="4" w:space="0" w:color="auto"/>
              <w:right w:val="single" w:sz="4" w:space="0" w:color="auto"/>
            </w:tcBorders>
            <w:shd w:val="clear" w:color="auto" w:fill="auto"/>
            <w:vAlign w:val="center"/>
            <w:hideMark/>
          </w:tcPr>
          <w:p w14:paraId="0D0A293F" w14:textId="77777777" w:rsidR="00322AE9" w:rsidRPr="00322AE9" w:rsidRDefault="00322AE9" w:rsidP="000A6DB8">
            <w:pPr>
              <w:suppressAutoHyphens/>
              <w:adjustRightInd w:val="0"/>
              <w:ind w:firstLine="0"/>
              <w:jc w:val="center"/>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71</w:t>
            </w:r>
          </w:p>
        </w:tc>
      </w:tr>
      <w:tr w:rsidR="00322AE9" w:rsidRPr="00322AE9" w14:paraId="279C2681" w14:textId="77777777" w:rsidTr="00322AE9">
        <w:trPr>
          <w:trHeight w:val="450"/>
          <w:jc w:val="center"/>
        </w:trPr>
        <w:tc>
          <w:tcPr>
            <w:tcW w:w="297" w:type="pct"/>
            <w:tcBorders>
              <w:top w:val="nil"/>
              <w:left w:val="single" w:sz="4" w:space="0" w:color="auto"/>
              <w:bottom w:val="single" w:sz="4" w:space="0" w:color="auto"/>
              <w:right w:val="single" w:sz="4" w:space="0" w:color="auto"/>
            </w:tcBorders>
            <w:shd w:val="clear" w:color="auto" w:fill="auto"/>
            <w:vAlign w:val="center"/>
            <w:hideMark/>
          </w:tcPr>
          <w:p w14:paraId="0F52AB3F" w14:textId="77777777" w:rsidR="00322AE9" w:rsidRPr="00322AE9" w:rsidRDefault="00322AE9" w:rsidP="000A6DB8">
            <w:pPr>
              <w:suppressAutoHyphens/>
              <w:adjustRightInd w:val="0"/>
              <w:ind w:firstLine="0"/>
              <w:jc w:val="center"/>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13</w:t>
            </w:r>
          </w:p>
        </w:tc>
        <w:tc>
          <w:tcPr>
            <w:tcW w:w="1289" w:type="pct"/>
            <w:tcBorders>
              <w:top w:val="nil"/>
              <w:left w:val="nil"/>
              <w:bottom w:val="single" w:sz="4" w:space="0" w:color="auto"/>
              <w:right w:val="single" w:sz="4" w:space="0" w:color="auto"/>
            </w:tcBorders>
            <w:shd w:val="clear" w:color="auto" w:fill="auto"/>
            <w:vAlign w:val="center"/>
            <w:hideMark/>
          </w:tcPr>
          <w:p w14:paraId="718041F0" w14:textId="77777777" w:rsidR="00322AE9" w:rsidRPr="00322AE9" w:rsidRDefault="00322AE9" w:rsidP="000A6DB8">
            <w:pPr>
              <w:suppressAutoHyphens/>
              <w:adjustRightInd w:val="0"/>
              <w:ind w:firstLine="0"/>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Арктическая</w:t>
            </w:r>
          </w:p>
        </w:tc>
        <w:tc>
          <w:tcPr>
            <w:tcW w:w="1050" w:type="pct"/>
            <w:tcBorders>
              <w:top w:val="nil"/>
              <w:left w:val="nil"/>
              <w:bottom w:val="single" w:sz="4" w:space="0" w:color="auto"/>
              <w:right w:val="single" w:sz="4" w:space="0" w:color="auto"/>
            </w:tcBorders>
            <w:shd w:val="clear" w:color="auto" w:fill="auto"/>
            <w:vAlign w:val="center"/>
            <w:hideMark/>
          </w:tcPr>
          <w:p w14:paraId="606E7AEA" w14:textId="77777777" w:rsidR="00322AE9" w:rsidRPr="00322AE9" w:rsidRDefault="00322AE9" w:rsidP="000A6DB8">
            <w:pPr>
              <w:suppressAutoHyphens/>
              <w:adjustRightInd w:val="0"/>
              <w:ind w:firstLine="0"/>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Момский</w:t>
            </w:r>
          </w:p>
        </w:tc>
        <w:tc>
          <w:tcPr>
            <w:tcW w:w="1500" w:type="pct"/>
            <w:tcBorders>
              <w:top w:val="nil"/>
              <w:left w:val="nil"/>
              <w:bottom w:val="single" w:sz="4" w:space="0" w:color="auto"/>
              <w:right w:val="single" w:sz="4" w:space="0" w:color="auto"/>
            </w:tcBorders>
            <w:shd w:val="clear" w:color="auto" w:fill="auto"/>
            <w:vAlign w:val="center"/>
            <w:hideMark/>
          </w:tcPr>
          <w:p w14:paraId="096E3E0D" w14:textId="77777777" w:rsidR="00322AE9" w:rsidRPr="00322AE9" w:rsidRDefault="00322AE9" w:rsidP="000A6DB8">
            <w:pPr>
              <w:suppressAutoHyphens/>
              <w:adjustRightInd w:val="0"/>
              <w:ind w:firstLine="0"/>
              <w:jc w:val="left"/>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для Муниципального образования</w:t>
            </w:r>
          </w:p>
        </w:tc>
        <w:tc>
          <w:tcPr>
            <w:tcW w:w="865" w:type="pct"/>
            <w:tcBorders>
              <w:top w:val="nil"/>
              <w:left w:val="nil"/>
              <w:bottom w:val="single" w:sz="4" w:space="0" w:color="auto"/>
              <w:right w:val="single" w:sz="4" w:space="0" w:color="auto"/>
            </w:tcBorders>
            <w:shd w:val="clear" w:color="auto" w:fill="auto"/>
            <w:vAlign w:val="center"/>
            <w:hideMark/>
          </w:tcPr>
          <w:p w14:paraId="654F206F" w14:textId="77777777" w:rsidR="00322AE9" w:rsidRPr="00322AE9" w:rsidRDefault="00322AE9" w:rsidP="000A6DB8">
            <w:pPr>
              <w:suppressAutoHyphens/>
              <w:adjustRightInd w:val="0"/>
              <w:ind w:firstLine="0"/>
              <w:jc w:val="center"/>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73</w:t>
            </w:r>
          </w:p>
        </w:tc>
      </w:tr>
      <w:tr w:rsidR="00322AE9" w:rsidRPr="00322AE9" w14:paraId="30825172" w14:textId="77777777" w:rsidTr="00322AE9">
        <w:trPr>
          <w:trHeight w:val="450"/>
          <w:jc w:val="center"/>
        </w:trPr>
        <w:tc>
          <w:tcPr>
            <w:tcW w:w="297" w:type="pct"/>
            <w:tcBorders>
              <w:top w:val="nil"/>
              <w:left w:val="single" w:sz="4" w:space="0" w:color="auto"/>
              <w:bottom w:val="single" w:sz="4" w:space="0" w:color="auto"/>
              <w:right w:val="single" w:sz="4" w:space="0" w:color="auto"/>
            </w:tcBorders>
            <w:shd w:val="clear" w:color="auto" w:fill="auto"/>
            <w:vAlign w:val="center"/>
            <w:hideMark/>
          </w:tcPr>
          <w:p w14:paraId="2C7DF716" w14:textId="77777777" w:rsidR="00322AE9" w:rsidRPr="00322AE9" w:rsidRDefault="00322AE9" w:rsidP="000A6DB8">
            <w:pPr>
              <w:suppressAutoHyphens/>
              <w:adjustRightInd w:val="0"/>
              <w:ind w:firstLine="0"/>
              <w:jc w:val="center"/>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14</w:t>
            </w:r>
          </w:p>
        </w:tc>
        <w:tc>
          <w:tcPr>
            <w:tcW w:w="1289" w:type="pct"/>
            <w:tcBorders>
              <w:top w:val="nil"/>
              <w:left w:val="nil"/>
              <w:bottom w:val="single" w:sz="4" w:space="0" w:color="auto"/>
              <w:right w:val="single" w:sz="4" w:space="0" w:color="auto"/>
            </w:tcBorders>
            <w:shd w:val="clear" w:color="auto" w:fill="auto"/>
            <w:vAlign w:val="center"/>
            <w:hideMark/>
          </w:tcPr>
          <w:p w14:paraId="777CC0C2" w14:textId="77777777" w:rsidR="00322AE9" w:rsidRPr="00322AE9" w:rsidRDefault="00322AE9" w:rsidP="000A6DB8">
            <w:pPr>
              <w:suppressAutoHyphens/>
              <w:adjustRightInd w:val="0"/>
              <w:ind w:firstLine="0"/>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Арктическая</w:t>
            </w:r>
          </w:p>
        </w:tc>
        <w:tc>
          <w:tcPr>
            <w:tcW w:w="1050" w:type="pct"/>
            <w:tcBorders>
              <w:top w:val="nil"/>
              <w:left w:val="nil"/>
              <w:bottom w:val="single" w:sz="4" w:space="0" w:color="auto"/>
              <w:right w:val="single" w:sz="4" w:space="0" w:color="auto"/>
            </w:tcBorders>
            <w:shd w:val="clear" w:color="auto" w:fill="auto"/>
            <w:vAlign w:val="center"/>
            <w:hideMark/>
          </w:tcPr>
          <w:p w14:paraId="07FBD468" w14:textId="77777777" w:rsidR="00322AE9" w:rsidRPr="00322AE9" w:rsidRDefault="00322AE9" w:rsidP="000A6DB8">
            <w:pPr>
              <w:suppressAutoHyphens/>
              <w:adjustRightInd w:val="0"/>
              <w:ind w:firstLine="0"/>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Нижнеколымский</w:t>
            </w:r>
          </w:p>
        </w:tc>
        <w:tc>
          <w:tcPr>
            <w:tcW w:w="1500" w:type="pct"/>
            <w:tcBorders>
              <w:top w:val="nil"/>
              <w:left w:val="nil"/>
              <w:bottom w:val="single" w:sz="4" w:space="0" w:color="auto"/>
              <w:right w:val="single" w:sz="4" w:space="0" w:color="auto"/>
            </w:tcBorders>
            <w:shd w:val="clear" w:color="auto" w:fill="auto"/>
            <w:vAlign w:val="center"/>
            <w:hideMark/>
          </w:tcPr>
          <w:p w14:paraId="63104C0E" w14:textId="77777777" w:rsidR="00322AE9" w:rsidRPr="00322AE9" w:rsidRDefault="00322AE9" w:rsidP="000A6DB8">
            <w:pPr>
              <w:suppressAutoHyphens/>
              <w:adjustRightInd w:val="0"/>
              <w:ind w:firstLine="0"/>
              <w:jc w:val="left"/>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для Муниципального образования</w:t>
            </w:r>
          </w:p>
        </w:tc>
        <w:tc>
          <w:tcPr>
            <w:tcW w:w="865" w:type="pct"/>
            <w:tcBorders>
              <w:top w:val="nil"/>
              <w:left w:val="nil"/>
              <w:bottom w:val="single" w:sz="4" w:space="0" w:color="auto"/>
              <w:right w:val="single" w:sz="4" w:space="0" w:color="auto"/>
            </w:tcBorders>
            <w:shd w:val="clear" w:color="auto" w:fill="auto"/>
            <w:vAlign w:val="center"/>
            <w:hideMark/>
          </w:tcPr>
          <w:p w14:paraId="0342B0B9" w14:textId="77777777" w:rsidR="00322AE9" w:rsidRPr="00322AE9" w:rsidRDefault="00322AE9" w:rsidP="000A6DB8">
            <w:pPr>
              <w:suppressAutoHyphens/>
              <w:adjustRightInd w:val="0"/>
              <w:ind w:firstLine="0"/>
              <w:jc w:val="center"/>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74</w:t>
            </w:r>
          </w:p>
        </w:tc>
      </w:tr>
      <w:tr w:rsidR="00322AE9" w:rsidRPr="00322AE9" w14:paraId="4380F473" w14:textId="77777777" w:rsidTr="00322AE9">
        <w:trPr>
          <w:trHeight w:val="450"/>
          <w:jc w:val="center"/>
        </w:trPr>
        <w:tc>
          <w:tcPr>
            <w:tcW w:w="297" w:type="pct"/>
            <w:tcBorders>
              <w:top w:val="nil"/>
              <w:left w:val="single" w:sz="4" w:space="0" w:color="auto"/>
              <w:bottom w:val="single" w:sz="4" w:space="0" w:color="auto"/>
              <w:right w:val="single" w:sz="4" w:space="0" w:color="auto"/>
            </w:tcBorders>
            <w:shd w:val="clear" w:color="auto" w:fill="auto"/>
            <w:vAlign w:val="center"/>
            <w:hideMark/>
          </w:tcPr>
          <w:p w14:paraId="127B4AA6" w14:textId="77777777" w:rsidR="00322AE9" w:rsidRPr="00322AE9" w:rsidRDefault="00322AE9" w:rsidP="000A6DB8">
            <w:pPr>
              <w:suppressAutoHyphens/>
              <w:adjustRightInd w:val="0"/>
              <w:ind w:firstLine="0"/>
              <w:jc w:val="center"/>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15</w:t>
            </w:r>
          </w:p>
        </w:tc>
        <w:tc>
          <w:tcPr>
            <w:tcW w:w="1289" w:type="pct"/>
            <w:tcBorders>
              <w:top w:val="nil"/>
              <w:left w:val="nil"/>
              <w:bottom w:val="single" w:sz="4" w:space="0" w:color="auto"/>
              <w:right w:val="single" w:sz="4" w:space="0" w:color="auto"/>
            </w:tcBorders>
            <w:shd w:val="clear" w:color="auto" w:fill="auto"/>
            <w:vAlign w:val="center"/>
            <w:hideMark/>
          </w:tcPr>
          <w:p w14:paraId="1EEB90AF" w14:textId="77777777" w:rsidR="00322AE9" w:rsidRPr="00322AE9" w:rsidRDefault="00322AE9" w:rsidP="000A6DB8">
            <w:pPr>
              <w:suppressAutoHyphens/>
              <w:adjustRightInd w:val="0"/>
              <w:ind w:firstLine="0"/>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Арктическая</w:t>
            </w:r>
          </w:p>
        </w:tc>
        <w:tc>
          <w:tcPr>
            <w:tcW w:w="1050" w:type="pct"/>
            <w:tcBorders>
              <w:top w:val="nil"/>
              <w:left w:val="nil"/>
              <w:bottom w:val="single" w:sz="4" w:space="0" w:color="auto"/>
              <w:right w:val="single" w:sz="4" w:space="0" w:color="auto"/>
            </w:tcBorders>
            <w:shd w:val="clear" w:color="auto" w:fill="auto"/>
            <w:vAlign w:val="center"/>
            <w:hideMark/>
          </w:tcPr>
          <w:p w14:paraId="4E1A3CE6" w14:textId="77777777" w:rsidR="00322AE9" w:rsidRPr="00322AE9" w:rsidRDefault="00322AE9" w:rsidP="000A6DB8">
            <w:pPr>
              <w:suppressAutoHyphens/>
              <w:adjustRightInd w:val="0"/>
              <w:ind w:firstLine="0"/>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Нижнеколымский</w:t>
            </w:r>
          </w:p>
        </w:tc>
        <w:tc>
          <w:tcPr>
            <w:tcW w:w="1500" w:type="pct"/>
            <w:tcBorders>
              <w:top w:val="nil"/>
              <w:left w:val="nil"/>
              <w:bottom w:val="single" w:sz="4" w:space="0" w:color="auto"/>
              <w:right w:val="single" w:sz="4" w:space="0" w:color="auto"/>
            </w:tcBorders>
            <w:shd w:val="clear" w:color="auto" w:fill="auto"/>
            <w:vAlign w:val="center"/>
            <w:hideMark/>
          </w:tcPr>
          <w:p w14:paraId="5F9F2DA7" w14:textId="77777777" w:rsidR="00322AE9" w:rsidRPr="00322AE9" w:rsidRDefault="00322AE9" w:rsidP="000A6DB8">
            <w:pPr>
              <w:suppressAutoHyphens/>
              <w:adjustRightInd w:val="0"/>
              <w:ind w:firstLine="0"/>
              <w:jc w:val="left"/>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п. Черский</w:t>
            </w:r>
          </w:p>
        </w:tc>
        <w:tc>
          <w:tcPr>
            <w:tcW w:w="865" w:type="pct"/>
            <w:tcBorders>
              <w:top w:val="nil"/>
              <w:left w:val="nil"/>
              <w:bottom w:val="single" w:sz="4" w:space="0" w:color="auto"/>
              <w:right w:val="single" w:sz="4" w:space="0" w:color="auto"/>
            </w:tcBorders>
            <w:shd w:val="clear" w:color="auto" w:fill="auto"/>
            <w:vAlign w:val="center"/>
            <w:hideMark/>
          </w:tcPr>
          <w:p w14:paraId="78A7414C" w14:textId="77777777" w:rsidR="00322AE9" w:rsidRPr="00322AE9" w:rsidRDefault="00322AE9" w:rsidP="000A6DB8">
            <w:pPr>
              <w:suppressAutoHyphens/>
              <w:adjustRightInd w:val="0"/>
              <w:ind w:firstLine="0"/>
              <w:jc w:val="center"/>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58</w:t>
            </w:r>
          </w:p>
        </w:tc>
      </w:tr>
      <w:tr w:rsidR="00322AE9" w:rsidRPr="00322AE9" w14:paraId="7C91C8E2" w14:textId="77777777" w:rsidTr="00322AE9">
        <w:trPr>
          <w:trHeight w:val="450"/>
          <w:jc w:val="center"/>
        </w:trPr>
        <w:tc>
          <w:tcPr>
            <w:tcW w:w="297" w:type="pct"/>
            <w:tcBorders>
              <w:top w:val="nil"/>
              <w:left w:val="single" w:sz="4" w:space="0" w:color="auto"/>
              <w:bottom w:val="single" w:sz="4" w:space="0" w:color="auto"/>
              <w:right w:val="single" w:sz="4" w:space="0" w:color="auto"/>
            </w:tcBorders>
            <w:shd w:val="clear" w:color="auto" w:fill="auto"/>
            <w:vAlign w:val="center"/>
            <w:hideMark/>
          </w:tcPr>
          <w:p w14:paraId="452EB2B9" w14:textId="77777777" w:rsidR="00322AE9" w:rsidRPr="00322AE9" w:rsidRDefault="00322AE9" w:rsidP="000A6DB8">
            <w:pPr>
              <w:suppressAutoHyphens/>
              <w:adjustRightInd w:val="0"/>
              <w:ind w:firstLine="0"/>
              <w:jc w:val="center"/>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16</w:t>
            </w:r>
          </w:p>
        </w:tc>
        <w:tc>
          <w:tcPr>
            <w:tcW w:w="1289" w:type="pct"/>
            <w:tcBorders>
              <w:top w:val="nil"/>
              <w:left w:val="nil"/>
              <w:bottom w:val="single" w:sz="4" w:space="0" w:color="auto"/>
              <w:right w:val="single" w:sz="4" w:space="0" w:color="auto"/>
            </w:tcBorders>
            <w:shd w:val="clear" w:color="auto" w:fill="auto"/>
            <w:vAlign w:val="center"/>
            <w:hideMark/>
          </w:tcPr>
          <w:p w14:paraId="2B8B3FF8" w14:textId="77777777" w:rsidR="00322AE9" w:rsidRPr="00322AE9" w:rsidRDefault="00322AE9" w:rsidP="000A6DB8">
            <w:pPr>
              <w:suppressAutoHyphens/>
              <w:adjustRightInd w:val="0"/>
              <w:ind w:firstLine="0"/>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Арктическая</w:t>
            </w:r>
          </w:p>
        </w:tc>
        <w:tc>
          <w:tcPr>
            <w:tcW w:w="1050" w:type="pct"/>
            <w:tcBorders>
              <w:top w:val="nil"/>
              <w:left w:val="nil"/>
              <w:bottom w:val="single" w:sz="4" w:space="0" w:color="auto"/>
              <w:right w:val="single" w:sz="4" w:space="0" w:color="auto"/>
            </w:tcBorders>
            <w:shd w:val="clear" w:color="auto" w:fill="auto"/>
            <w:vAlign w:val="center"/>
            <w:hideMark/>
          </w:tcPr>
          <w:p w14:paraId="1821E1FE" w14:textId="77777777" w:rsidR="00322AE9" w:rsidRPr="00322AE9" w:rsidRDefault="00322AE9" w:rsidP="000A6DB8">
            <w:pPr>
              <w:suppressAutoHyphens/>
              <w:adjustRightInd w:val="0"/>
              <w:ind w:firstLine="0"/>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Оленекский</w:t>
            </w:r>
          </w:p>
        </w:tc>
        <w:tc>
          <w:tcPr>
            <w:tcW w:w="1500" w:type="pct"/>
            <w:tcBorders>
              <w:top w:val="nil"/>
              <w:left w:val="nil"/>
              <w:bottom w:val="single" w:sz="4" w:space="0" w:color="auto"/>
              <w:right w:val="single" w:sz="4" w:space="0" w:color="auto"/>
            </w:tcBorders>
            <w:shd w:val="clear" w:color="auto" w:fill="auto"/>
            <w:vAlign w:val="center"/>
            <w:hideMark/>
          </w:tcPr>
          <w:p w14:paraId="66E77908" w14:textId="77777777" w:rsidR="00322AE9" w:rsidRPr="00322AE9" w:rsidRDefault="00322AE9" w:rsidP="000A6DB8">
            <w:pPr>
              <w:suppressAutoHyphens/>
              <w:adjustRightInd w:val="0"/>
              <w:ind w:firstLine="0"/>
              <w:jc w:val="left"/>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для Муниципального образования</w:t>
            </w:r>
          </w:p>
        </w:tc>
        <w:tc>
          <w:tcPr>
            <w:tcW w:w="865" w:type="pct"/>
            <w:tcBorders>
              <w:top w:val="nil"/>
              <w:left w:val="nil"/>
              <w:bottom w:val="single" w:sz="4" w:space="0" w:color="auto"/>
              <w:right w:val="single" w:sz="4" w:space="0" w:color="auto"/>
            </w:tcBorders>
            <w:shd w:val="clear" w:color="auto" w:fill="auto"/>
            <w:vAlign w:val="center"/>
            <w:hideMark/>
          </w:tcPr>
          <w:p w14:paraId="591B04BE" w14:textId="77777777" w:rsidR="00322AE9" w:rsidRPr="00322AE9" w:rsidRDefault="00322AE9" w:rsidP="000A6DB8">
            <w:pPr>
              <w:suppressAutoHyphens/>
              <w:adjustRightInd w:val="0"/>
              <w:ind w:firstLine="0"/>
              <w:jc w:val="center"/>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67</w:t>
            </w:r>
          </w:p>
        </w:tc>
      </w:tr>
      <w:tr w:rsidR="00322AE9" w:rsidRPr="00322AE9" w14:paraId="39916F92" w14:textId="77777777" w:rsidTr="00322AE9">
        <w:trPr>
          <w:trHeight w:val="450"/>
          <w:jc w:val="center"/>
        </w:trPr>
        <w:tc>
          <w:tcPr>
            <w:tcW w:w="297" w:type="pct"/>
            <w:tcBorders>
              <w:top w:val="nil"/>
              <w:left w:val="single" w:sz="4" w:space="0" w:color="auto"/>
              <w:bottom w:val="single" w:sz="4" w:space="0" w:color="auto"/>
              <w:right w:val="single" w:sz="4" w:space="0" w:color="auto"/>
            </w:tcBorders>
            <w:shd w:val="clear" w:color="auto" w:fill="auto"/>
            <w:vAlign w:val="center"/>
            <w:hideMark/>
          </w:tcPr>
          <w:p w14:paraId="7FD47A76" w14:textId="77777777" w:rsidR="00322AE9" w:rsidRPr="00322AE9" w:rsidRDefault="00322AE9" w:rsidP="000A6DB8">
            <w:pPr>
              <w:suppressAutoHyphens/>
              <w:adjustRightInd w:val="0"/>
              <w:ind w:firstLine="0"/>
              <w:jc w:val="center"/>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17</w:t>
            </w:r>
          </w:p>
        </w:tc>
        <w:tc>
          <w:tcPr>
            <w:tcW w:w="1289" w:type="pct"/>
            <w:tcBorders>
              <w:top w:val="nil"/>
              <w:left w:val="nil"/>
              <w:bottom w:val="single" w:sz="4" w:space="0" w:color="auto"/>
              <w:right w:val="single" w:sz="4" w:space="0" w:color="auto"/>
            </w:tcBorders>
            <w:shd w:val="clear" w:color="auto" w:fill="auto"/>
            <w:vAlign w:val="center"/>
            <w:hideMark/>
          </w:tcPr>
          <w:p w14:paraId="156B0485" w14:textId="77777777" w:rsidR="00322AE9" w:rsidRPr="00322AE9" w:rsidRDefault="00322AE9" w:rsidP="000A6DB8">
            <w:pPr>
              <w:suppressAutoHyphens/>
              <w:adjustRightInd w:val="0"/>
              <w:ind w:firstLine="0"/>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Арктическая</w:t>
            </w:r>
          </w:p>
        </w:tc>
        <w:tc>
          <w:tcPr>
            <w:tcW w:w="1050" w:type="pct"/>
            <w:tcBorders>
              <w:top w:val="nil"/>
              <w:left w:val="nil"/>
              <w:bottom w:val="single" w:sz="4" w:space="0" w:color="auto"/>
              <w:right w:val="single" w:sz="4" w:space="0" w:color="auto"/>
            </w:tcBorders>
            <w:shd w:val="clear" w:color="auto" w:fill="auto"/>
            <w:vAlign w:val="center"/>
            <w:hideMark/>
          </w:tcPr>
          <w:p w14:paraId="45991B56" w14:textId="77777777" w:rsidR="00322AE9" w:rsidRPr="00322AE9" w:rsidRDefault="00322AE9" w:rsidP="000A6DB8">
            <w:pPr>
              <w:suppressAutoHyphens/>
              <w:adjustRightInd w:val="0"/>
              <w:ind w:firstLine="0"/>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Среднеколымский</w:t>
            </w:r>
          </w:p>
        </w:tc>
        <w:tc>
          <w:tcPr>
            <w:tcW w:w="1500" w:type="pct"/>
            <w:tcBorders>
              <w:top w:val="nil"/>
              <w:left w:val="nil"/>
              <w:bottom w:val="single" w:sz="4" w:space="0" w:color="auto"/>
              <w:right w:val="single" w:sz="4" w:space="0" w:color="auto"/>
            </w:tcBorders>
            <w:shd w:val="clear" w:color="auto" w:fill="auto"/>
            <w:vAlign w:val="center"/>
            <w:hideMark/>
          </w:tcPr>
          <w:p w14:paraId="1DBA94DA" w14:textId="77777777" w:rsidR="00322AE9" w:rsidRPr="00322AE9" w:rsidRDefault="00322AE9" w:rsidP="000A6DB8">
            <w:pPr>
              <w:suppressAutoHyphens/>
              <w:adjustRightInd w:val="0"/>
              <w:ind w:firstLine="0"/>
              <w:jc w:val="left"/>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для Муниципального образования</w:t>
            </w:r>
          </w:p>
        </w:tc>
        <w:tc>
          <w:tcPr>
            <w:tcW w:w="865" w:type="pct"/>
            <w:tcBorders>
              <w:top w:val="nil"/>
              <w:left w:val="nil"/>
              <w:bottom w:val="single" w:sz="4" w:space="0" w:color="auto"/>
              <w:right w:val="single" w:sz="4" w:space="0" w:color="auto"/>
            </w:tcBorders>
            <w:shd w:val="clear" w:color="auto" w:fill="auto"/>
            <w:vAlign w:val="center"/>
            <w:hideMark/>
          </w:tcPr>
          <w:p w14:paraId="19ED242C" w14:textId="77777777" w:rsidR="00322AE9" w:rsidRPr="00322AE9" w:rsidRDefault="00322AE9" w:rsidP="000A6DB8">
            <w:pPr>
              <w:suppressAutoHyphens/>
              <w:adjustRightInd w:val="0"/>
              <w:ind w:firstLine="0"/>
              <w:jc w:val="center"/>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74</w:t>
            </w:r>
          </w:p>
        </w:tc>
      </w:tr>
      <w:tr w:rsidR="00322AE9" w:rsidRPr="00322AE9" w14:paraId="6909AA28" w14:textId="77777777" w:rsidTr="00322AE9">
        <w:trPr>
          <w:trHeight w:val="450"/>
          <w:jc w:val="center"/>
        </w:trPr>
        <w:tc>
          <w:tcPr>
            <w:tcW w:w="297" w:type="pct"/>
            <w:tcBorders>
              <w:top w:val="nil"/>
              <w:left w:val="single" w:sz="4" w:space="0" w:color="auto"/>
              <w:bottom w:val="single" w:sz="4" w:space="0" w:color="auto"/>
              <w:right w:val="single" w:sz="4" w:space="0" w:color="auto"/>
            </w:tcBorders>
            <w:shd w:val="clear" w:color="auto" w:fill="auto"/>
            <w:vAlign w:val="center"/>
            <w:hideMark/>
          </w:tcPr>
          <w:p w14:paraId="1B7207BD" w14:textId="77777777" w:rsidR="00322AE9" w:rsidRPr="00322AE9" w:rsidRDefault="00322AE9" w:rsidP="000A6DB8">
            <w:pPr>
              <w:suppressAutoHyphens/>
              <w:adjustRightInd w:val="0"/>
              <w:ind w:firstLine="0"/>
              <w:jc w:val="center"/>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18</w:t>
            </w:r>
          </w:p>
        </w:tc>
        <w:tc>
          <w:tcPr>
            <w:tcW w:w="1289" w:type="pct"/>
            <w:tcBorders>
              <w:top w:val="nil"/>
              <w:left w:val="nil"/>
              <w:bottom w:val="single" w:sz="4" w:space="0" w:color="auto"/>
              <w:right w:val="single" w:sz="4" w:space="0" w:color="auto"/>
            </w:tcBorders>
            <w:shd w:val="clear" w:color="auto" w:fill="auto"/>
            <w:vAlign w:val="center"/>
            <w:hideMark/>
          </w:tcPr>
          <w:p w14:paraId="009F8D05" w14:textId="77777777" w:rsidR="00322AE9" w:rsidRPr="00322AE9" w:rsidRDefault="00322AE9" w:rsidP="000A6DB8">
            <w:pPr>
              <w:suppressAutoHyphens/>
              <w:adjustRightInd w:val="0"/>
              <w:ind w:firstLine="0"/>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Арктическая</w:t>
            </w:r>
          </w:p>
        </w:tc>
        <w:tc>
          <w:tcPr>
            <w:tcW w:w="1050" w:type="pct"/>
            <w:tcBorders>
              <w:top w:val="nil"/>
              <w:left w:val="nil"/>
              <w:bottom w:val="single" w:sz="4" w:space="0" w:color="auto"/>
              <w:right w:val="single" w:sz="4" w:space="0" w:color="auto"/>
            </w:tcBorders>
            <w:shd w:val="clear" w:color="auto" w:fill="auto"/>
            <w:vAlign w:val="center"/>
            <w:hideMark/>
          </w:tcPr>
          <w:p w14:paraId="03F1A481" w14:textId="77777777" w:rsidR="00322AE9" w:rsidRPr="00322AE9" w:rsidRDefault="00322AE9" w:rsidP="000A6DB8">
            <w:pPr>
              <w:suppressAutoHyphens/>
              <w:adjustRightInd w:val="0"/>
              <w:ind w:firstLine="0"/>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Среднеколымский</w:t>
            </w:r>
          </w:p>
        </w:tc>
        <w:tc>
          <w:tcPr>
            <w:tcW w:w="1500" w:type="pct"/>
            <w:tcBorders>
              <w:top w:val="nil"/>
              <w:left w:val="nil"/>
              <w:bottom w:val="single" w:sz="4" w:space="0" w:color="auto"/>
              <w:right w:val="single" w:sz="4" w:space="0" w:color="auto"/>
            </w:tcBorders>
            <w:shd w:val="clear" w:color="auto" w:fill="auto"/>
            <w:vAlign w:val="center"/>
            <w:hideMark/>
          </w:tcPr>
          <w:p w14:paraId="6840985E" w14:textId="77777777" w:rsidR="00322AE9" w:rsidRPr="00322AE9" w:rsidRDefault="00322AE9" w:rsidP="000A6DB8">
            <w:pPr>
              <w:suppressAutoHyphens/>
              <w:adjustRightInd w:val="0"/>
              <w:ind w:firstLine="0"/>
              <w:jc w:val="left"/>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г. Среднеколымск</w:t>
            </w:r>
          </w:p>
        </w:tc>
        <w:tc>
          <w:tcPr>
            <w:tcW w:w="865" w:type="pct"/>
            <w:tcBorders>
              <w:top w:val="nil"/>
              <w:left w:val="nil"/>
              <w:bottom w:val="single" w:sz="4" w:space="0" w:color="auto"/>
              <w:right w:val="single" w:sz="4" w:space="0" w:color="auto"/>
            </w:tcBorders>
            <w:shd w:val="clear" w:color="auto" w:fill="auto"/>
            <w:vAlign w:val="center"/>
            <w:hideMark/>
          </w:tcPr>
          <w:p w14:paraId="112239A2" w14:textId="77777777" w:rsidR="00322AE9" w:rsidRPr="00322AE9" w:rsidRDefault="00322AE9" w:rsidP="000A6DB8">
            <w:pPr>
              <w:suppressAutoHyphens/>
              <w:adjustRightInd w:val="0"/>
              <w:ind w:firstLine="0"/>
              <w:jc w:val="center"/>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57</w:t>
            </w:r>
          </w:p>
        </w:tc>
      </w:tr>
      <w:tr w:rsidR="00322AE9" w:rsidRPr="00322AE9" w14:paraId="2645B3CC" w14:textId="77777777" w:rsidTr="00322AE9">
        <w:trPr>
          <w:trHeight w:val="450"/>
          <w:jc w:val="center"/>
        </w:trPr>
        <w:tc>
          <w:tcPr>
            <w:tcW w:w="297" w:type="pct"/>
            <w:tcBorders>
              <w:top w:val="nil"/>
              <w:left w:val="single" w:sz="4" w:space="0" w:color="auto"/>
              <w:bottom w:val="single" w:sz="4" w:space="0" w:color="auto"/>
              <w:right w:val="single" w:sz="4" w:space="0" w:color="auto"/>
            </w:tcBorders>
            <w:shd w:val="clear" w:color="auto" w:fill="auto"/>
            <w:vAlign w:val="center"/>
            <w:hideMark/>
          </w:tcPr>
          <w:p w14:paraId="32D1A41D" w14:textId="77777777" w:rsidR="00322AE9" w:rsidRPr="00322AE9" w:rsidRDefault="00322AE9" w:rsidP="000A6DB8">
            <w:pPr>
              <w:suppressAutoHyphens/>
              <w:adjustRightInd w:val="0"/>
              <w:ind w:firstLine="0"/>
              <w:jc w:val="center"/>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19</w:t>
            </w:r>
          </w:p>
        </w:tc>
        <w:tc>
          <w:tcPr>
            <w:tcW w:w="1289" w:type="pct"/>
            <w:tcBorders>
              <w:top w:val="nil"/>
              <w:left w:val="nil"/>
              <w:bottom w:val="single" w:sz="4" w:space="0" w:color="auto"/>
              <w:right w:val="single" w:sz="4" w:space="0" w:color="auto"/>
            </w:tcBorders>
            <w:shd w:val="clear" w:color="auto" w:fill="auto"/>
            <w:vAlign w:val="center"/>
            <w:hideMark/>
          </w:tcPr>
          <w:p w14:paraId="2F91AF5F" w14:textId="77777777" w:rsidR="00322AE9" w:rsidRPr="00322AE9" w:rsidRDefault="00322AE9" w:rsidP="000A6DB8">
            <w:pPr>
              <w:suppressAutoHyphens/>
              <w:adjustRightInd w:val="0"/>
              <w:ind w:firstLine="0"/>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Арктическая</w:t>
            </w:r>
          </w:p>
        </w:tc>
        <w:tc>
          <w:tcPr>
            <w:tcW w:w="1050" w:type="pct"/>
            <w:tcBorders>
              <w:top w:val="nil"/>
              <w:left w:val="nil"/>
              <w:bottom w:val="single" w:sz="4" w:space="0" w:color="auto"/>
              <w:right w:val="single" w:sz="4" w:space="0" w:color="auto"/>
            </w:tcBorders>
            <w:shd w:val="clear" w:color="auto" w:fill="auto"/>
            <w:vAlign w:val="center"/>
            <w:hideMark/>
          </w:tcPr>
          <w:p w14:paraId="0301AA41" w14:textId="77777777" w:rsidR="00322AE9" w:rsidRPr="00322AE9" w:rsidRDefault="00322AE9" w:rsidP="000A6DB8">
            <w:pPr>
              <w:suppressAutoHyphens/>
              <w:adjustRightInd w:val="0"/>
              <w:ind w:firstLine="0"/>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Усть-Янский</w:t>
            </w:r>
          </w:p>
        </w:tc>
        <w:tc>
          <w:tcPr>
            <w:tcW w:w="1500" w:type="pct"/>
            <w:tcBorders>
              <w:top w:val="nil"/>
              <w:left w:val="nil"/>
              <w:bottom w:val="single" w:sz="4" w:space="0" w:color="auto"/>
              <w:right w:val="single" w:sz="4" w:space="0" w:color="auto"/>
            </w:tcBorders>
            <w:shd w:val="clear" w:color="auto" w:fill="auto"/>
            <w:vAlign w:val="center"/>
            <w:hideMark/>
          </w:tcPr>
          <w:p w14:paraId="71ED31D0" w14:textId="77777777" w:rsidR="00322AE9" w:rsidRPr="00322AE9" w:rsidRDefault="00322AE9" w:rsidP="000A6DB8">
            <w:pPr>
              <w:suppressAutoHyphens/>
              <w:adjustRightInd w:val="0"/>
              <w:ind w:firstLine="0"/>
              <w:jc w:val="left"/>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для Муниципального образования</w:t>
            </w:r>
          </w:p>
        </w:tc>
        <w:tc>
          <w:tcPr>
            <w:tcW w:w="865" w:type="pct"/>
            <w:tcBorders>
              <w:top w:val="nil"/>
              <w:left w:val="nil"/>
              <w:bottom w:val="single" w:sz="4" w:space="0" w:color="auto"/>
              <w:right w:val="single" w:sz="4" w:space="0" w:color="auto"/>
            </w:tcBorders>
            <w:shd w:val="clear" w:color="auto" w:fill="auto"/>
            <w:vAlign w:val="center"/>
            <w:hideMark/>
          </w:tcPr>
          <w:p w14:paraId="339CED3B" w14:textId="77777777" w:rsidR="00322AE9" w:rsidRPr="00322AE9" w:rsidRDefault="00322AE9" w:rsidP="000A6DB8">
            <w:pPr>
              <w:suppressAutoHyphens/>
              <w:adjustRightInd w:val="0"/>
              <w:ind w:firstLine="0"/>
              <w:jc w:val="center"/>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72</w:t>
            </w:r>
          </w:p>
        </w:tc>
      </w:tr>
      <w:tr w:rsidR="00322AE9" w:rsidRPr="00322AE9" w14:paraId="3F097ABF" w14:textId="77777777" w:rsidTr="00322AE9">
        <w:trPr>
          <w:trHeight w:val="450"/>
          <w:jc w:val="center"/>
        </w:trPr>
        <w:tc>
          <w:tcPr>
            <w:tcW w:w="297" w:type="pct"/>
            <w:tcBorders>
              <w:top w:val="nil"/>
              <w:left w:val="single" w:sz="4" w:space="0" w:color="auto"/>
              <w:bottom w:val="single" w:sz="4" w:space="0" w:color="auto"/>
              <w:right w:val="single" w:sz="4" w:space="0" w:color="auto"/>
            </w:tcBorders>
            <w:shd w:val="clear" w:color="auto" w:fill="auto"/>
            <w:vAlign w:val="center"/>
            <w:hideMark/>
          </w:tcPr>
          <w:p w14:paraId="5B0F57E6" w14:textId="77777777" w:rsidR="00322AE9" w:rsidRPr="00322AE9" w:rsidRDefault="00322AE9" w:rsidP="000A6DB8">
            <w:pPr>
              <w:suppressAutoHyphens/>
              <w:adjustRightInd w:val="0"/>
              <w:ind w:firstLine="0"/>
              <w:jc w:val="center"/>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20</w:t>
            </w:r>
          </w:p>
        </w:tc>
        <w:tc>
          <w:tcPr>
            <w:tcW w:w="1289" w:type="pct"/>
            <w:tcBorders>
              <w:top w:val="nil"/>
              <w:left w:val="nil"/>
              <w:bottom w:val="single" w:sz="4" w:space="0" w:color="auto"/>
              <w:right w:val="single" w:sz="4" w:space="0" w:color="auto"/>
            </w:tcBorders>
            <w:shd w:val="clear" w:color="auto" w:fill="auto"/>
            <w:vAlign w:val="center"/>
            <w:hideMark/>
          </w:tcPr>
          <w:p w14:paraId="76ABF4A2" w14:textId="77777777" w:rsidR="00322AE9" w:rsidRPr="00322AE9" w:rsidRDefault="00322AE9" w:rsidP="000A6DB8">
            <w:pPr>
              <w:suppressAutoHyphens/>
              <w:adjustRightInd w:val="0"/>
              <w:ind w:firstLine="0"/>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Арктическая</w:t>
            </w:r>
          </w:p>
        </w:tc>
        <w:tc>
          <w:tcPr>
            <w:tcW w:w="1050" w:type="pct"/>
            <w:tcBorders>
              <w:top w:val="nil"/>
              <w:left w:val="nil"/>
              <w:bottom w:val="single" w:sz="4" w:space="0" w:color="auto"/>
              <w:right w:val="single" w:sz="4" w:space="0" w:color="auto"/>
            </w:tcBorders>
            <w:shd w:val="clear" w:color="auto" w:fill="auto"/>
            <w:vAlign w:val="center"/>
            <w:hideMark/>
          </w:tcPr>
          <w:p w14:paraId="3DD4E223" w14:textId="77777777" w:rsidR="00322AE9" w:rsidRPr="00322AE9" w:rsidRDefault="00322AE9" w:rsidP="000A6DB8">
            <w:pPr>
              <w:suppressAutoHyphens/>
              <w:adjustRightInd w:val="0"/>
              <w:ind w:firstLine="0"/>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Усть-Янский</w:t>
            </w:r>
          </w:p>
        </w:tc>
        <w:tc>
          <w:tcPr>
            <w:tcW w:w="1500" w:type="pct"/>
            <w:tcBorders>
              <w:top w:val="nil"/>
              <w:left w:val="nil"/>
              <w:bottom w:val="single" w:sz="4" w:space="0" w:color="auto"/>
              <w:right w:val="single" w:sz="4" w:space="0" w:color="auto"/>
            </w:tcBorders>
            <w:shd w:val="clear" w:color="auto" w:fill="auto"/>
            <w:vAlign w:val="center"/>
            <w:hideMark/>
          </w:tcPr>
          <w:p w14:paraId="2AF43926" w14:textId="77777777" w:rsidR="00322AE9" w:rsidRPr="00322AE9" w:rsidRDefault="00322AE9" w:rsidP="000A6DB8">
            <w:pPr>
              <w:suppressAutoHyphens/>
              <w:adjustRightInd w:val="0"/>
              <w:ind w:firstLine="0"/>
              <w:jc w:val="left"/>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п. Депутатский</w:t>
            </w:r>
          </w:p>
        </w:tc>
        <w:tc>
          <w:tcPr>
            <w:tcW w:w="865" w:type="pct"/>
            <w:tcBorders>
              <w:top w:val="nil"/>
              <w:left w:val="nil"/>
              <w:bottom w:val="single" w:sz="4" w:space="0" w:color="auto"/>
              <w:right w:val="single" w:sz="4" w:space="0" w:color="auto"/>
            </w:tcBorders>
            <w:shd w:val="clear" w:color="auto" w:fill="auto"/>
            <w:vAlign w:val="center"/>
            <w:hideMark/>
          </w:tcPr>
          <w:p w14:paraId="764137E0" w14:textId="77777777" w:rsidR="00322AE9" w:rsidRPr="00322AE9" w:rsidRDefault="00322AE9" w:rsidP="000A6DB8">
            <w:pPr>
              <w:suppressAutoHyphens/>
              <w:adjustRightInd w:val="0"/>
              <w:ind w:firstLine="0"/>
              <w:jc w:val="center"/>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56</w:t>
            </w:r>
          </w:p>
        </w:tc>
      </w:tr>
      <w:tr w:rsidR="00322AE9" w:rsidRPr="00322AE9" w14:paraId="69F9A0D8" w14:textId="77777777" w:rsidTr="00322AE9">
        <w:trPr>
          <w:trHeight w:val="450"/>
          <w:jc w:val="center"/>
        </w:trPr>
        <w:tc>
          <w:tcPr>
            <w:tcW w:w="297" w:type="pct"/>
            <w:tcBorders>
              <w:top w:val="nil"/>
              <w:left w:val="single" w:sz="4" w:space="0" w:color="auto"/>
              <w:bottom w:val="single" w:sz="4" w:space="0" w:color="auto"/>
              <w:right w:val="single" w:sz="4" w:space="0" w:color="auto"/>
            </w:tcBorders>
            <w:shd w:val="clear" w:color="auto" w:fill="auto"/>
            <w:vAlign w:val="center"/>
            <w:hideMark/>
          </w:tcPr>
          <w:p w14:paraId="69B6BA4A" w14:textId="77777777" w:rsidR="00322AE9" w:rsidRPr="00322AE9" w:rsidRDefault="00322AE9" w:rsidP="000A6DB8">
            <w:pPr>
              <w:suppressAutoHyphens/>
              <w:adjustRightInd w:val="0"/>
              <w:ind w:firstLine="0"/>
              <w:jc w:val="center"/>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21</w:t>
            </w:r>
          </w:p>
        </w:tc>
        <w:tc>
          <w:tcPr>
            <w:tcW w:w="1289" w:type="pct"/>
            <w:tcBorders>
              <w:top w:val="nil"/>
              <w:left w:val="nil"/>
              <w:bottom w:val="single" w:sz="4" w:space="0" w:color="auto"/>
              <w:right w:val="single" w:sz="4" w:space="0" w:color="auto"/>
            </w:tcBorders>
            <w:shd w:val="clear" w:color="auto" w:fill="auto"/>
            <w:vAlign w:val="center"/>
            <w:hideMark/>
          </w:tcPr>
          <w:p w14:paraId="22159EF9" w14:textId="77777777" w:rsidR="00322AE9" w:rsidRPr="00322AE9" w:rsidRDefault="00322AE9" w:rsidP="000A6DB8">
            <w:pPr>
              <w:suppressAutoHyphens/>
              <w:adjustRightInd w:val="0"/>
              <w:ind w:firstLine="0"/>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Арктическая</w:t>
            </w:r>
          </w:p>
        </w:tc>
        <w:tc>
          <w:tcPr>
            <w:tcW w:w="1050" w:type="pct"/>
            <w:tcBorders>
              <w:top w:val="nil"/>
              <w:left w:val="nil"/>
              <w:bottom w:val="single" w:sz="4" w:space="0" w:color="auto"/>
              <w:right w:val="single" w:sz="4" w:space="0" w:color="auto"/>
            </w:tcBorders>
            <w:shd w:val="clear" w:color="auto" w:fill="auto"/>
            <w:vAlign w:val="center"/>
            <w:hideMark/>
          </w:tcPr>
          <w:p w14:paraId="32807420" w14:textId="77777777" w:rsidR="00322AE9" w:rsidRPr="00322AE9" w:rsidRDefault="00322AE9" w:rsidP="000A6DB8">
            <w:pPr>
              <w:suppressAutoHyphens/>
              <w:adjustRightInd w:val="0"/>
              <w:ind w:firstLine="0"/>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Усть-Янский</w:t>
            </w:r>
          </w:p>
        </w:tc>
        <w:tc>
          <w:tcPr>
            <w:tcW w:w="1500" w:type="pct"/>
            <w:tcBorders>
              <w:top w:val="nil"/>
              <w:left w:val="nil"/>
              <w:bottom w:val="single" w:sz="4" w:space="0" w:color="auto"/>
              <w:right w:val="single" w:sz="4" w:space="0" w:color="auto"/>
            </w:tcBorders>
            <w:shd w:val="clear" w:color="auto" w:fill="auto"/>
            <w:vAlign w:val="center"/>
            <w:hideMark/>
          </w:tcPr>
          <w:p w14:paraId="04F3B5E9" w14:textId="77777777" w:rsidR="00322AE9" w:rsidRPr="00322AE9" w:rsidRDefault="00322AE9" w:rsidP="000A6DB8">
            <w:pPr>
              <w:suppressAutoHyphens/>
              <w:adjustRightInd w:val="0"/>
              <w:ind w:firstLine="0"/>
              <w:jc w:val="left"/>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п. Усть-Куйга</w:t>
            </w:r>
          </w:p>
        </w:tc>
        <w:tc>
          <w:tcPr>
            <w:tcW w:w="865" w:type="pct"/>
            <w:tcBorders>
              <w:top w:val="nil"/>
              <w:left w:val="nil"/>
              <w:bottom w:val="single" w:sz="4" w:space="0" w:color="auto"/>
              <w:right w:val="single" w:sz="4" w:space="0" w:color="auto"/>
            </w:tcBorders>
            <w:shd w:val="clear" w:color="auto" w:fill="auto"/>
            <w:vAlign w:val="center"/>
            <w:hideMark/>
          </w:tcPr>
          <w:p w14:paraId="14966DA9" w14:textId="77777777" w:rsidR="00322AE9" w:rsidRPr="00322AE9" w:rsidRDefault="00322AE9" w:rsidP="000A6DB8">
            <w:pPr>
              <w:suppressAutoHyphens/>
              <w:adjustRightInd w:val="0"/>
              <w:ind w:firstLine="0"/>
              <w:jc w:val="center"/>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74</w:t>
            </w:r>
          </w:p>
        </w:tc>
      </w:tr>
      <w:tr w:rsidR="00322AE9" w:rsidRPr="00322AE9" w14:paraId="5A019708" w14:textId="77777777" w:rsidTr="00322AE9">
        <w:trPr>
          <w:trHeight w:val="450"/>
          <w:jc w:val="center"/>
        </w:trPr>
        <w:tc>
          <w:tcPr>
            <w:tcW w:w="297" w:type="pct"/>
            <w:tcBorders>
              <w:top w:val="nil"/>
              <w:left w:val="single" w:sz="4" w:space="0" w:color="auto"/>
              <w:bottom w:val="single" w:sz="4" w:space="0" w:color="auto"/>
              <w:right w:val="single" w:sz="4" w:space="0" w:color="auto"/>
            </w:tcBorders>
            <w:shd w:val="clear" w:color="auto" w:fill="auto"/>
            <w:vAlign w:val="center"/>
            <w:hideMark/>
          </w:tcPr>
          <w:p w14:paraId="289C5E01" w14:textId="77777777" w:rsidR="00322AE9" w:rsidRPr="00322AE9" w:rsidRDefault="00322AE9" w:rsidP="000A6DB8">
            <w:pPr>
              <w:suppressAutoHyphens/>
              <w:adjustRightInd w:val="0"/>
              <w:ind w:firstLine="0"/>
              <w:jc w:val="center"/>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22</w:t>
            </w:r>
          </w:p>
        </w:tc>
        <w:tc>
          <w:tcPr>
            <w:tcW w:w="1289" w:type="pct"/>
            <w:tcBorders>
              <w:top w:val="nil"/>
              <w:left w:val="nil"/>
              <w:bottom w:val="single" w:sz="4" w:space="0" w:color="auto"/>
              <w:right w:val="single" w:sz="4" w:space="0" w:color="auto"/>
            </w:tcBorders>
            <w:shd w:val="clear" w:color="auto" w:fill="auto"/>
            <w:vAlign w:val="center"/>
            <w:hideMark/>
          </w:tcPr>
          <w:p w14:paraId="11CF168C" w14:textId="77777777" w:rsidR="00322AE9" w:rsidRPr="00322AE9" w:rsidRDefault="00322AE9" w:rsidP="000A6DB8">
            <w:pPr>
              <w:suppressAutoHyphens/>
              <w:adjustRightInd w:val="0"/>
              <w:ind w:firstLine="0"/>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Арктическая</w:t>
            </w:r>
          </w:p>
        </w:tc>
        <w:tc>
          <w:tcPr>
            <w:tcW w:w="1050" w:type="pct"/>
            <w:tcBorders>
              <w:top w:val="nil"/>
              <w:left w:val="nil"/>
              <w:bottom w:val="single" w:sz="4" w:space="0" w:color="auto"/>
              <w:right w:val="single" w:sz="4" w:space="0" w:color="auto"/>
            </w:tcBorders>
            <w:shd w:val="clear" w:color="auto" w:fill="auto"/>
            <w:vAlign w:val="center"/>
            <w:hideMark/>
          </w:tcPr>
          <w:p w14:paraId="50A0A597" w14:textId="77777777" w:rsidR="00322AE9" w:rsidRPr="00322AE9" w:rsidRDefault="00322AE9" w:rsidP="000A6DB8">
            <w:pPr>
              <w:suppressAutoHyphens/>
              <w:adjustRightInd w:val="0"/>
              <w:ind w:firstLine="0"/>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Эвено-Бытантайский</w:t>
            </w:r>
          </w:p>
        </w:tc>
        <w:tc>
          <w:tcPr>
            <w:tcW w:w="1500" w:type="pct"/>
            <w:tcBorders>
              <w:top w:val="nil"/>
              <w:left w:val="nil"/>
              <w:bottom w:val="single" w:sz="4" w:space="0" w:color="auto"/>
              <w:right w:val="single" w:sz="4" w:space="0" w:color="auto"/>
            </w:tcBorders>
            <w:shd w:val="clear" w:color="auto" w:fill="auto"/>
            <w:vAlign w:val="center"/>
            <w:hideMark/>
          </w:tcPr>
          <w:p w14:paraId="3DFD7C8E" w14:textId="77777777" w:rsidR="00322AE9" w:rsidRPr="00322AE9" w:rsidRDefault="00322AE9" w:rsidP="000A6DB8">
            <w:pPr>
              <w:suppressAutoHyphens/>
              <w:adjustRightInd w:val="0"/>
              <w:ind w:firstLine="0"/>
              <w:jc w:val="left"/>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для Муниципального образования</w:t>
            </w:r>
          </w:p>
        </w:tc>
        <w:tc>
          <w:tcPr>
            <w:tcW w:w="865" w:type="pct"/>
            <w:tcBorders>
              <w:top w:val="nil"/>
              <w:left w:val="nil"/>
              <w:bottom w:val="single" w:sz="4" w:space="0" w:color="auto"/>
              <w:right w:val="single" w:sz="4" w:space="0" w:color="auto"/>
            </w:tcBorders>
            <w:shd w:val="clear" w:color="auto" w:fill="auto"/>
            <w:vAlign w:val="center"/>
            <w:hideMark/>
          </w:tcPr>
          <w:p w14:paraId="40A0203D" w14:textId="77777777" w:rsidR="00322AE9" w:rsidRPr="00322AE9" w:rsidRDefault="00322AE9" w:rsidP="000A6DB8">
            <w:pPr>
              <w:suppressAutoHyphens/>
              <w:adjustRightInd w:val="0"/>
              <w:ind w:firstLine="0"/>
              <w:jc w:val="center"/>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73</w:t>
            </w:r>
          </w:p>
        </w:tc>
      </w:tr>
      <w:tr w:rsidR="00322AE9" w:rsidRPr="00322AE9" w14:paraId="25D1A7E2" w14:textId="77777777" w:rsidTr="00322AE9">
        <w:trPr>
          <w:trHeight w:val="450"/>
          <w:jc w:val="center"/>
        </w:trPr>
        <w:tc>
          <w:tcPr>
            <w:tcW w:w="297" w:type="pct"/>
            <w:tcBorders>
              <w:top w:val="nil"/>
              <w:left w:val="single" w:sz="4" w:space="0" w:color="auto"/>
              <w:bottom w:val="single" w:sz="4" w:space="0" w:color="auto"/>
              <w:right w:val="single" w:sz="4" w:space="0" w:color="auto"/>
            </w:tcBorders>
            <w:shd w:val="clear" w:color="auto" w:fill="auto"/>
            <w:vAlign w:val="center"/>
            <w:hideMark/>
          </w:tcPr>
          <w:p w14:paraId="0A0BE3B4" w14:textId="77777777" w:rsidR="00322AE9" w:rsidRPr="00322AE9" w:rsidRDefault="00322AE9" w:rsidP="000A6DB8">
            <w:pPr>
              <w:suppressAutoHyphens/>
              <w:adjustRightInd w:val="0"/>
              <w:ind w:firstLine="0"/>
              <w:jc w:val="center"/>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23</w:t>
            </w:r>
          </w:p>
        </w:tc>
        <w:tc>
          <w:tcPr>
            <w:tcW w:w="1289" w:type="pct"/>
            <w:tcBorders>
              <w:top w:val="nil"/>
              <w:left w:val="nil"/>
              <w:bottom w:val="single" w:sz="4" w:space="0" w:color="auto"/>
              <w:right w:val="single" w:sz="4" w:space="0" w:color="auto"/>
            </w:tcBorders>
            <w:shd w:val="clear" w:color="auto" w:fill="auto"/>
            <w:vAlign w:val="center"/>
            <w:hideMark/>
          </w:tcPr>
          <w:p w14:paraId="052B230C" w14:textId="77777777" w:rsidR="00322AE9" w:rsidRPr="00322AE9" w:rsidRDefault="00322AE9" w:rsidP="000A6DB8">
            <w:pPr>
              <w:suppressAutoHyphens/>
              <w:adjustRightInd w:val="0"/>
              <w:ind w:firstLine="0"/>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Восточная</w:t>
            </w:r>
          </w:p>
        </w:tc>
        <w:tc>
          <w:tcPr>
            <w:tcW w:w="1050" w:type="pct"/>
            <w:tcBorders>
              <w:top w:val="nil"/>
              <w:left w:val="nil"/>
              <w:bottom w:val="single" w:sz="4" w:space="0" w:color="auto"/>
              <w:right w:val="single" w:sz="4" w:space="0" w:color="auto"/>
            </w:tcBorders>
            <w:shd w:val="clear" w:color="auto" w:fill="auto"/>
            <w:vAlign w:val="center"/>
            <w:hideMark/>
          </w:tcPr>
          <w:p w14:paraId="62EC2EBE" w14:textId="77777777" w:rsidR="00322AE9" w:rsidRPr="00322AE9" w:rsidRDefault="00322AE9" w:rsidP="000A6DB8">
            <w:pPr>
              <w:suppressAutoHyphens/>
              <w:adjustRightInd w:val="0"/>
              <w:ind w:firstLine="0"/>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Оймяконский</w:t>
            </w:r>
          </w:p>
        </w:tc>
        <w:tc>
          <w:tcPr>
            <w:tcW w:w="1500" w:type="pct"/>
            <w:tcBorders>
              <w:top w:val="nil"/>
              <w:left w:val="nil"/>
              <w:bottom w:val="single" w:sz="4" w:space="0" w:color="auto"/>
              <w:right w:val="single" w:sz="4" w:space="0" w:color="auto"/>
            </w:tcBorders>
            <w:shd w:val="clear" w:color="auto" w:fill="auto"/>
            <w:vAlign w:val="center"/>
            <w:hideMark/>
          </w:tcPr>
          <w:p w14:paraId="19CA0F62" w14:textId="77777777" w:rsidR="00322AE9" w:rsidRPr="00322AE9" w:rsidRDefault="00322AE9" w:rsidP="000A6DB8">
            <w:pPr>
              <w:suppressAutoHyphens/>
              <w:adjustRightInd w:val="0"/>
              <w:ind w:firstLine="0"/>
              <w:jc w:val="left"/>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для Муниципального образования</w:t>
            </w:r>
          </w:p>
        </w:tc>
        <w:tc>
          <w:tcPr>
            <w:tcW w:w="865" w:type="pct"/>
            <w:tcBorders>
              <w:top w:val="nil"/>
              <w:left w:val="nil"/>
              <w:bottom w:val="single" w:sz="4" w:space="0" w:color="auto"/>
              <w:right w:val="single" w:sz="4" w:space="0" w:color="auto"/>
            </w:tcBorders>
            <w:shd w:val="clear" w:color="auto" w:fill="auto"/>
            <w:vAlign w:val="center"/>
            <w:hideMark/>
          </w:tcPr>
          <w:p w14:paraId="77BCECB4" w14:textId="77777777" w:rsidR="00322AE9" w:rsidRPr="00322AE9" w:rsidRDefault="00322AE9" w:rsidP="000A6DB8">
            <w:pPr>
              <w:suppressAutoHyphens/>
              <w:adjustRightInd w:val="0"/>
              <w:ind w:firstLine="0"/>
              <w:jc w:val="center"/>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70</w:t>
            </w:r>
          </w:p>
        </w:tc>
      </w:tr>
      <w:tr w:rsidR="00322AE9" w:rsidRPr="00322AE9" w14:paraId="31DAF21F" w14:textId="77777777" w:rsidTr="00322AE9">
        <w:trPr>
          <w:trHeight w:val="450"/>
          <w:jc w:val="center"/>
        </w:trPr>
        <w:tc>
          <w:tcPr>
            <w:tcW w:w="297" w:type="pct"/>
            <w:tcBorders>
              <w:top w:val="nil"/>
              <w:left w:val="single" w:sz="4" w:space="0" w:color="auto"/>
              <w:bottom w:val="single" w:sz="4" w:space="0" w:color="auto"/>
              <w:right w:val="single" w:sz="4" w:space="0" w:color="auto"/>
            </w:tcBorders>
            <w:shd w:val="clear" w:color="auto" w:fill="auto"/>
            <w:vAlign w:val="center"/>
            <w:hideMark/>
          </w:tcPr>
          <w:p w14:paraId="7722518E" w14:textId="77777777" w:rsidR="00322AE9" w:rsidRPr="00322AE9" w:rsidRDefault="00322AE9" w:rsidP="000A6DB8">
            <w:pPr>
              <w:suppressAutoHyphens/>
              <w:adjustRightInd w:val="0"/>
              <w:ind w:firstLine="0"/>
              <w:jc w:val="center"/>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24</w:t>
            </w:r>
          </w:p>
        </w:tc>
        <w:tc>
          <w:tcPr>
            <w:tcW w:w="1289" w:type="pct"/>
            <w:tcBorders>
              <w:top w:val="nil"/>
              <w:left w:val="nil"/>
              <w:bottom w:val="single" w:sz="4" w:space="0" w:color="auto"/>
              <w:right w:val="single" w:sz="4" w:space="0" w:color="auto"/>
            </w:tcBorders>
            <w:shd w:val="clear" w:color="auto" w:fill="auto"/>
            <w:vAlign w:val="center"/>
            <w:hideMark/>
          </w:tcPr>
          <w:p w14:paraId="7A9FA739" w14:textId="77777777" w:rsidR="00322AE9" w:rsidRPr="00322AE9" w:rsidRDefault="00322AE9" w:rsidP="000A6DB8">
            <w:pPr>
              <w:suppressAutoHyphens/>
              <w:adjustRightInd w:val="0"/>
              <w:ind w:firstLine="0"/>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Восточная</w:t>
            </w:r>
          </w:p>
        </w:tc>
        <w:tc>
          <w:tcPr>
            <w:tcW w:w="1050" w:type="pct"/>
            <w:tcBorders>
              <w:top w:val="nil"/>
              <w:left w:val="nil"/>
              <w:bottom w:val="single" w:sz="4" w:space="0" w:color="auto"/>
              <w:right w:val="single" w:sz="4" w:space="0" w:color="auto"/>
            </w:tcBorders>
            <w:shd w:val="clear" w:color="auto" w:fill="auto"/>
            <w:vAlign w:val="center"/>
            <w:hideMark/>
          </w:tcPr>
          <w:p w14:paraId="59DF329C" w14:textId="77777777" w:rsidR="00322AE9" w:rsidRPr="00322AE9" w:rsidRDefault="00322AE9" w:rsidP="000A6DB8">
            <w:pPr>
              <w:suppressAutoHyphens/>
              <w:adjustRightInd w:val="0"/>
              <w:ind w:firstLine="0"/>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Оймяконский</w:t>
            </w:r>
          </w:p>
        </w:tc>
        <w:tc>
          <w:tcPr>
            <w:tcW w:w="1500" w:type="pct"/>
            <w:tcBorders>
              <w:top w:val="nil"/>
              <w:left w:val="nil"/>
              <w:bottom w:val="single" w:sz="4" w:space="0" w:color="auto"/>
              <w:right w:val="single" w:sz="4" w:space="0" w:color="auto"/>
            </w:tcBorders>
            <w:shd w:val="clear" w:color="auto" w:fill="auto"/>
            <w:vAlign w:val="center"/>
            <w:hideMark/>
          </w:tcPr>
          <w:p w14:paraId="62A58314" w14:textId="77777777" w:rsidR="00322AE9" w:rsidRPr="00322AE9" w:rsidRDefault="00322AE9" w:rsidP="000A6DB8">
            <w:pPr>
              <w:suppressAutoHyphens/>
              <w:adjustRightInd w:val="0"/>
              <w:ind w:firstLine="0"/>
              <w:jc w:val="left"/>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п. Усть-Нера</w:t>
            </w:r>
          </w:p>
        </w:tc>
        <w:tc>
          <w:tcPr>
            <w:tcW w:w="865" w:type="pct"/>
            <w:tcBorders>
              <w:top w:val="nil"/>
              <w:left w:val="nil"/>
              <w:bottom w:val="single" w:sz="4" w:space="0" w:color="auto"/>
              <w:right w:val="single" w:sz="4" w:space="0" w:color="auto"/>
            </w:tcBorders>
            <w:shd w:val="clear" w:color="auto" w:fill="auto"/>
            <w:vAlign w:val="center"/>
            <w:hideMark/>
          </w:tcPr>
          <w:p w14:paraId="02A29280" w14:textId="77777777" w:rsidR="00322AE9" w:rsidRPr="00322AE9" w:rsidRDefault="00322AE9" w:rsidP="000A6DB8">
            <w:pPr>
              <w:suppressAutoHyphens/>
              <w:adjustRightInd w:val="0"/>
              <w:ind w:firstLine="0"/>
              <w:jc w:val="center"/>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53</w:t>
            </w:r>
          </w:p>
        </w:tc>
      </w:tr>
      <w:tr w:rsidR="00322AE9" w:rsidRPr="00322AE9" w14:paraId="1A59069C" w14:textId="77777777" w:rsidTr="00322AE9">
        <w:trPr>
          <w:trHeight w:val="450"/>
          <w:jc w:val="center"/>
        </w:trPr>
        <w:tc>
          <w:tcPr>
            <w:tcW w:w="297" w:type="pct"/>
            <w:tcBorders>
              <w:top w:val="nil"/>
              <w:left w:val="single" w:sz="4" w:space="0" w:color="auto"/>
              <w:bottom w:val="single" w:sz="4" w:space="0" w:color="auto"/>
              <w:right w:val="single" w:sz="4" w:space="0" w:color="auto"/>
            </w:tcBorders>
            <w:shd w:val="clear" w:color="auto" w:fill="auto"/>
            <w:vAlign w:val="center"/>
            <w:hideMark/>
          </w:tcPr>
          <w:p w14:paraId="37875CE4" w14:textId="77777777" w:rsidR="00322AE9" w:rsidRPr="00322AE9" w:rsidRDefault="00322AE9" w:rsidP="000A6DB8">
            <w:pPr>
              <w:suppressAutoHyphens/>
              <w:adjustRightInd w:val="0"/>
              <w:ind w:firstLine="0"/>
              <w:jc w:val="center"/>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25</w:t>
            </w:r>
          </w:p>
        </w:tc>
        <w:tc>
          <w:tcPr>
            <w:tcW w:w="1289" w:type="pct"/>
            <w:tcBorders>
              <w:top w:val="nil"/>
              <w:left w:val="nil"/>
              <w:bottom w:val="single" w:sz="4" w:space="0" w:color="auto"/>
              <w:right w:val="single" w:sz="4" w:space="0" w:color="auto"/>
            </w:tcBorders>
            <w:shd w:val="clear" w:color="auto" w:fill="auto"/>
            <w:vAlign w:val="center"/>
            <w:hideMark/>
          </w:tcPr>
          <w:p w14:paraId="5F036833" w14:textId="77777777" w:rsidR="00322AE9" w:rsidRPr="00322AE9" w:rsidRDefault="00322AE9" w:rsidP="000A6DB8">
            <w:pPr>
              <w:suppressAutoHyphens/>
              <w:adjustRightInd w:val="0"/>
              <w:ind w:firstLine="0"/>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Восточная</w:t>
            </w:r>
          </w:p>
        </w:tc>
        <w:tc>
          <w:tcPr>
            <w:tcW w:w="1050" w:type="pct"/>
            <w:tcBorders>
              <w:top w:val="nil"/>
              <w:left w:val="nil"/>
              <w:bottom w:val="single" w:sz="4" w:space="0" w:color="auto"/>
              <w:right w:val="single" w:sz="4" w:space="0" w:color="auto"/>
            </w:tcBorders>
            <w:shd w:val="clear" w:color="auto" w:fill="auto"/>
            <w:vAlign w:val="center"/>
            <w:hideMark/>
          </w:tcPr>
          <w:p w14:paraId="20C15069" w14:textId="77777777" w:rsidR="00322AE9" w:rsidRPr="00322AE9" w:rsidRDefault="00322AE9" w:rsidP="000A6DB8">
            <w:pPr>
              <w:suppressAutoHyphens/>
              <w:adjustRightInd w:val="0"/>
              <w:ind w:firstLine="0"/>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Томпонский</w:t>
            </w:r>
          </w:p>
        </w:tc>
        <w:tc>
          <w:tcPr>
            <w:tcW w:w="1500" w:type="pct"/>
            <w:tcBorders>
              <w:top w:val="nil"/>
              <w:left w:val="nil"/>
              <w:bottom w:val="single" w:sz="4" w:space="0" w:color="auto"/>
              <w:right w:val="single" w:sz="4" w:space="0" w:color="auto"/>
            </w:tcBorders>
            <w:shd w:val="clear" w:color="auto" w:fill="auto"/>
            <w:vAlign w:val="center"/>
            <w:hideMark/>
          </w:tcPr>
          <w:p w14:paraId="3336847E" w14:textId="77777777" w:rsidR="00322AE9" w:rsidRPr="00322AE9" w:rsidRDefault="00322AE9" w:rsidP="000A6DB8">
            <w:pPr>
              <w:suppressAutoHyphens/>
              <w:adjustRightInd w:val="0"/>
              <w:ind w:firstLine="0"/>
              <w:jc w:val="left"/>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для Муниципального образования</w:t>
            </w:r>
          </w:p>
        </w:tc>
        <w:tc>
          <w:tcPr>
            <w:tcW w:w="865" w:type="pct"/>
            <w:tcBorders>
              <w:top w:val="nil"/>
              <w:left w:val="nil"/>
              <w:bottom w:val="single" w:sz="4" w:space="0" w:color="auto"/>
              <w:right w:val="single" w:sz="4" w:space="0" w:color="auto"/>
            </w:tcBorders>
            <w:shd w:val="clear" w:color="auto" w:fill="auto"/>
            <w:vAlign w:val="center"/>
            <w:hideMark/>
          </w:tcPr>
          <w:p w14:paraId="4D85A007" w14:textId="77777777" w:rsidR="00322AE9" w:rsidRPr="00322AE9" w:rsidRDefault="00322AE9" w:rsidP="000A6DB8">
            <w:pPr>
              <w:suppressAutoHyphens/>
              <w:adjustRightInd w:val="0"/>
              <w:ind w:firstLine="0"/>
              <w:jc w:val="center"/>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73</w:t>
            </w:r>
          </w:p>
        </w:tc>
      </w:tr>
      <w:tr w:rsidR="00322AE9" w:rsidRPr="00322AE9" w14:paraId="6DDC8847" w14:textId="77777777" w:rsidTr="00322AE9">
        <w:trPr>
          <w:trHeight w:val="450"/>
          <w:jc w:val="center"/>
        </w:trPr>
        <w:tc>
          <w:tcPr>
            <w:tcW w:w="297" w:type="pct"/>
            <w:tcBorders>
              <w:top w:val="nil"/>
              <w:left w:val="single" w:sz="4" w:space="0" w:color="auto"/>
              <w:bottom w:val="single" w:sz="4" w:space="0" w:color="auto"/>
              <w:right w:val="single" w:sz="4" w:space="0" w:color="auto"/>
            </w:tcBorders>
            <w:shd w:val="clear" w:color="auto" w:fill="auto"/>
            <w:vAlign w:val="center"/>
            <w:hideMark/>
          </w:tcPr>
          <w:p w14:paraId="645F4EE2" w14:textId="77777777" w:rsidR="00322AE9" w:rsidRPr="00322AE9" w:rsidRDefault="00322AE9" w:rsidP="000A6DB8">
            <w:pPr>
              <w:suppressAutoHyphens/>
              <w:adjustRightInd w:val="0"/>
              <w:ind w:firstLine="0"/>
              <w:jc w:val="center"/>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26</w:t>
            </w:r>
          </w:p>
        </w:tc>
        <w:tc>
          <w:tcPr>
            <w:tcW w:w="1289" w:type="pct"/>
            <w:tcBorders>
              <w:top w:val="nil"/>
              <w:left w:val="nil"/>
              <w:bottom w:val="single" w:sz="4" w:space="0" w:color="auto"/>
              <w:right w:val="single" w:sz="4" w:space="0" w:color="auto"/>
            </w:tcBorders>
            <w:shd w:val="clear" w:color="auto" w:fill="auto"/>
            <w:vAlign w:val="center"/>
            <w:hideMark/>
          </w:tcPr>
          <w:p w14:paraId="3762277E" w14:textId="77777777" w:rsidR="00322AE9" w:rsidRPr="00322AE9" w:rsidRDefault="00322AE9" w:rsidP="000A6DB8">
            <w:pPr>
              <w:suppressAutoHyphens/>
              <w:adjustRightInd w:val="0"/>
              <w:ind w:firstLine="0"/>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Восточная</w:t>
            </w:r>
          </w:p>
        </w:tc>
        <w:tc>
          <w:tcPr>
            <w:tcW w:w="1050" w:type="pct"/>
            <w:tcBorders>
              <w:top w:val="nil"/>
              <w:left w:val="nil"/>
              <w:bottom w:val="single" w:sz="4" w:space="0" w:color="auto"/>
              <w:right w:val="single" w:sz="4" w:space="0" w:color="auto"/>
            </w:tcBorders>
            <w:shd w:val="clear" w:color="auto" w:fill="auto"/>
            <w:vAlign w:val="center"/>
            <w:hideMark/>
          </w:tcPr>
          <w:p w14:paraId="4B91DC1F" w14:textId="77777777" w:rsidR="00322AE9" w:rsidRPr="00322AE9" w:rsidRDefault="00322AE9" w:rsidP="000A6DB8">
            <w:pPr>
              <w:suppressAutoHyphens/>
              <w:adjustRightInd w:val="0"/>
              <w:ind w:firstLine="0"/>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Томпонский</w:t>
            </w:r>
          </w:p>
        </w:tc>
        <w:tc>
          <w:tcPr>
            <w:tcW w:w="1500" w:type="pct"/>
            <w:tcBorders>
              <w:top w:val="nil"/>
              <w:left w:val="nil"/>
              <w:bottom w:val="single" w:sz="4" w:space="0" w:color="auto"/>
              <w:right w:val="single" w:sz="4" w:space="0" w:color="auto"/>
            </w:tcBorders>
            <w:shd w:val="clear" w:color="auto" w:fill="auto"/>
            <w:vAlign w:val="center"/>
            <w:hideMark/>
          </w:tcPr>
          <w:p w14:paraId="35B678D0" w14:textId="77777777" w:rsidR="00322AE9" w:rsidRPr="00322AE9" w:rsidRDefault="00322AE9" w:rsidP="000A6DB8">
            <w:pPr>
              <w:suppressAutoHyphens/>
              <w:adjustRightInd w:val="0"/>
              <w:ind w:firstLine="0"/>
              <w:jc w:val="left"/>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п. Хандыга</w:t>
            </w:r>
          </w:p>
        </w:tc>
        <w:tc>
          <w:tcPr>
            <w:tcW w:w="865" w:type="pct"/>
            <w:tcBorders>
              <w:top w:val="nil"/>
              <w:left w:val="nil"/>
              <w:bottom w:val="single" w:sz="4" w:space="0" w:color="auto"/>
              <w:right w:val="single" w:sz="4" w:space="0" w:color="auto"/>
            </w:tcBorders>
            <w:shd w:val="clear" w:color="auto" w:fill="auto"/>
            <w:vAlign w:val="center"/>
            <w:hideMark/>
          </w:tcPr>
          <w:p w14:paraId="34459E74" w14:textId="77777777" w:rsidR="00322AE9" w:rsidRPr="00322AE9" w:rsidRDefault="00322AE9" w:rsidP="000A6DB8">
            <w:pPr>
              <w:suppressAutoHyphens/>
              <w:adjustRightInd w:val="0"/>
              <w:ind w:firstLine="0"/>
              <w:jc w:val="center"/>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56</w:t>
            </w:r>
          </w:p>
        </w:tc>
      </w:tr>
      <w:tr w:rsidR="00322AE9" w:rsidRPr="00322AE9" w14:paraId="4FC1FFEE" w14:textId="77777777" w:rsidTr="00322AE9">
        <w:trPr>
          <w:trHeight w:val="450"/>
          <w:jc w:val="center"/>
        </w:trPr>
        <w:tc>
          <w:tcPr>
            <w:tcW w:w="297" w:type="pct"/>
            <w:tcBorders>
              <w:top w:val="nil"/>
              <w:left w:val="single" w:sz="4" w:space="0" w:color="auto"/>
              <w:bottom w:val="single" w:sz="4" w:space="0" w:color="auto"/>
              <w:right w:val="single" w:sz="4" w:space="0" w:color="auto"/>
            </w:tcBorders>
            <w:shd w:val="clear" w:color="auto" w:fill="auto"/>
            <w:vAlign w:val="center"/>
            <w:hideMark/>
          </w:tcPr>
          <w:p w14:paraId="4064F837" w14:textId="77777777" w:rsidR="00322AE9" w:rsidRPr="00322AE9" w:rsidRDefault="00322AE9" w:rsidP="000A6DB8">
            <w:pPr>
              <w:suppressAutoHyphens/>
              <w:adjustRightInd w:val="0"/>
              <w:ind w:firstLine="0"/>
              <w:jc w:val="center"/>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27</w:t>
            </w:r>
          </w:p>
        </w:tc>
        <w:tc>
          <w:tcPr>
            <w:tcW w:w="1289" w:type="pct"/>
            <w:tcBorders>
              <w:top w:val="nil"/>
              <w:left w:val="nil"/>
              <w:bottom w:val="single" w:sz="4" w:space="0" w:color="auto"/>
              <w:right w:val="single" w:sz="4" w:space="0" w:color="auto"/>
            </w:tcBorders>
            <w:shd w:val="clear" w:color="auto" w:fill="auto"/>
            <w:vAlign w:val="center"/>
            <w:hideMark/>
          </w:tcPr>
          <w:p w14:paraId="7C932986" w14:textId="77777777" w:rsidR="00322AE9" w:rsidRPr="00322AE9" w:rsidRDefault="00322AE9" w:rsidP="000A6DB8">
            <w:pPr>
              <w:suppressAutoHyphens/>
              <w:adjustRightInd w:val="0"/>
              <w:ind w:firstLine="0"/>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Восточная</w:t>
            </w:r>
          </w:p>
        </w:tc>
        <w:tc>
          <w:tcPr>
            <w:tcW w:w="1050" w:type="pct"/>
            <w:tcBorders>
              <w:top w:val="nil"/>
              <w:left w:val="nil"/>
              <w:bottom w:val="single" w:sz="4" w:space="0" w:color="auto"/>
              <w:right w:val="single" w:sz="4" w:space="0" w:color="auto"/>
            </w:tcBorders>
            <w:shd w:val="clear" w:color="auto" w:fill="auto"/>
            <w:vAlign w:val="center"/>
            <w:hideMark/>
          </w:tcPr>
          <w:p w14:paraId="34ACE7D3" w14:textId="77777777" w:rsidR="00322AE9" w:rsidRPr="00322AE9" w:rsidRDefault="00322AE9" w:rsidP="000A6DB8">
            <w:pPr>
              <w:suppressAutoHyphens/>
              <w:adjustRightInd w:val="0"/>
              <w:ind w:firstLine="0"/>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Усть-Майский</w:t>
            </w:r>
          </w:p>
        </w:tc>
        <w:tc>
          <w:tcPr>
            <w:tcW w:w="1500" w:type="pct"/>
            <w:tcBorders>
              <w:top w:val="nil"/>
              <w:left w:val="nil"/>
              <w:bottom w:val="single" w:sz="4" w:space="0" w:color="auto"/>
              <w:right w:val="single" w:sz="4" w:space="0" w:color="auto"/>
            </w:tcBorders>
            <w:shd w:val="clear" w:color="auto" w:fill="auto"/>
            <w:vAlign w:val="center"/>
            <w:hideMark/>
          </w:tcPr>
          <w:p w14:paraId="68466417" w14:textId="77777777" w:rsidR="00322AE9" w:rsidRPr="00322AE9" w:rsidRDefault="00322AE9" w:rsidP="000A6DB8">
            <w:pPr>
              <w:suppressAutoHyphens/>
              <w:adjustRightInd w:val="0"/>
              <w:ind w:firstLine="0"/>
              <w:jc w:val="left"/>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для Муниципального образования</w:t>
            </w:r>
          </w:p>
        </w:tc>
        <w:tc>
          <w:tcPr>
            <w:tcW w:w="865" w:type="pct"/>
            <w:tcBorders>
              <w:top w:val="nil"/>
              <w:left w:val="nil"/>
              <w:bottom w:val="single" w:sz="4" w:space="0" w:color="auto"/>
              <w:right w:val="single" w:sz="4" w:space="0" w:color="auto"/>
            </w:tcBorders>
            <w:shd w:val="clear" w:color="auto" w:fill="auto"/>
            <w:vAlign w:val="center"/>
            <w:hideMark/>
          </w:tcPr>
          <w:p w14:paraId="6F7AA968" w14:textId="77777777" w:rsidR="00322AE9" w:rsidRPr="00322AE9" w:rsidRDefault="00322AE9" w:rsidP="000A6DB8">
            <w:pPr>
              <w:suppressAutoHyphens/>
              <w:adjustRightInd w:val="0"/>
              <w:ind w:firstLine="0"/>
              <w:jc w:val="center"/>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75</w:t>
            </w:r>
          </w:p>
        </w:tc>
      </w:tr>
      <w:tr w:rsidR="00322AE9" w:rsidRPr="00322AE9" w14:paraId="4A5D1808" w14:textId="77777777" w:rsidTr="00322AE9">
        <w:trPr>
          <w:trHeight w:val="450"/>
          <w:jc w:val="center"/>
        </w:trPr>
        <w:tc>
          <w:tcPr>
            <w:tcW w:w="297" w:type="pct"/>
            <w:tcBorders>
              <w:top w:val="nil"/>
              <w:left w:val="single" w:sz="4" w:space="0" w:color="auto"/>
              <w:bottom w:val="single" w:sz="4" w:space="0" w:color="auto"/>
              <w:right w:val="single" w:sz="4" w:space="0" w:color="auto"/>
            </w:tcBorders>
            <w:shd w:val="clear" w:color="auto" w:fill="auto"/>
            <w:vAlign w:val="center"/>
            <w:hideMark/>
          </w:tcPr>
          <w:p w14:paraId="60841EC2" w14:textId="77777777" w:rsidR="00322AE9" w:rsidRPr="00322AE9" w:rsidRDefault="00322AE9" w:rsidP="000A6DB8">
            <w:pPr>
              <w:suppressAutoHyphens/>
              <w:adjustRightInd w:val="0"/>
              <w:ind w:firstLine="0"/>
              <w:jc w:val="center"/>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28</w:t>
            </w:r>
          </w:p>
        </w:tc>
        <w:tc>
          <w:tcPr>
            <w:tcW w:w="1289" w:type="pct"/>
            <w:tcBorders>
              <w:top w:val="nil"/>
              <w:left w:val="nil"/>
              <w:bottom w:val="single" w:sz="4" w:space="0" w:color="auto"/>
              <w:right w:val="single" w:sz="4" w:space="0" w:color="auto"/>
            </w:tcBorders>
            <w:shd w:val="clear" w:color="auto" w:fill="auto"/>
            <w:vAlign w:val="center"/>
            <w:hideMark/>
          </w:tcPr>
          <w:p w14:paraId="479CD563" w14:textId="77777777" w:rsidR="00322AE9" w:rsidRPr="00322AE9" w:rsidRDefault="00322AE9" w:rsidP="000A6DB8">
            <w:pPr>
              <w:suppressAutoHyphens/>
              <w:adjustRightInd w:val="0"/>
              <w:ind w:firstLine="0"/>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Восточная</w:t>
            </w:r>
          </w:p>
        </w:tc>
        <w:tc>
          <w:tcPr>
            <w:tcW w:w="1050" w:type="pct"/>
            <w:tcBorders>
              <w:top w:val="nil"/>
              <w:left w:val="nil"/>
              <w:bottom w:val="single" w:sz="4" w:space="0" w:color="auto"/>
              <w:right w:val="single" w:sz="4" w:space="0" w:color="auto"/>
            </w:tcBorders>
            <w:shd w:val="clear" w:color="auto" w:fill="auto"/>
            <w:vAlign w:val="center"/>
            <w:hideMark/>
          </w:tcPr>
          <w:p w14:paraId="66B319CB" w14:textId="77777777" w:rsidR="00322AE9" w:rsidRPr="00322AE9" w:rsidRDefault="00322AE9" w:rsidP="000A6DB8">
            <w:pPr>
              <w:suppressAutoHyphens/>
              <w:adjustRightInd w:val="0"/>
              <w:ind w:firstLine="0"/>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Усть-Майский</w:t>
            </w:r>
          </w:p>
        </w:tc>
        <w:tc>
          <w:tcPr>
            <w:tcW w:w="1500" w:type="pct"/>
            <w:tcBorders>
              <w:top w:val="nil"/>
              <w:left w:val="nil"/>
              <w:bottom w:val="single" w:sz="4" w:space="0" w:color="auto"/>
              <w:right w:val="single" w:sz="4" w:space="0" w:color="auto"/>
            </w:tcBorders>
            <w:shd w:val="clear" w:color="auto" w:fill="auto"/>
            <w:vAlign w:val="center"/>
            <w:hideMark/>
          </w:tcPr>
          <w:p w14:paraId="7FF170FC" w14:textId="77777777" w:rsidR="00322AE9" w:rsidRPr="00322AE9" w:rsidRDefault="00322AE9" w:rsidP="000A6DB8">
            <w:pPr>
              <w:suppressAutoHyphens/>
              <w:adjustRightInd w:val="0"/>
              <w:ind w:firstLine="0"/>
              <w:jc w:val="left"/>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п. Усть-Мая</w:t>
            </w:r>
          </w:p>
        </w:tc>
        <w:tc>
          <w:tcPr>
            <w:tcW w:w="865" w:type="pct"/>
            <w:tcBorders>
              <w:top w:val="nil"/>
              <w:left w:val="nil"/>
              <w:bottom w:val="single" w:sz="4" w:space="0" w:color="auto"/>
              <w:right w:val="single" w:sz="4" w:space="0" w:color="auto"/>
            </w:tcBorders>
            <w:shd w:val="clear" w:color="auto" w:fill="auto"/>
            <w:vAlign w:val="center"/>
            <w:hideMark/>
          </w:tcPr>
          <w:p w14:paraId="6C88777E" w14:textId="77777777" w:rsidR="00322AE9" w:rsidRPr="00322AE9" w:rsidRDefault="00322AE9" w:rsidP="000A6DB8">
            <w:pPr>
              <w:suppressAutoHyphens/>
              <w:adjustRightInd w:val="0"/>
              <w:ind w:firstLine="0"/>
              <w:jc w:val="center"/>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59</w:t>
            </w:r>
          </w:p>
        </w:tc>
      </w:tr>
      <w:tr w:rsidR="00322AE9" w:rsidRPr="00322AE9" w14:paraId="6964B55F" w14:textId="77777777" w:rsidTr="00322AE9">
        <w:trPr>
          <w:trHeight w:val="450"/>
          <w:jc w:val="center"/>
        </w:trPr>
        <w:tc>
          <w:tcPr>
            <w:tcW w:w="297" w:type="pct"/>
            <w:tcBorders>
              <w:top w:val="nil"/>
              <w:left w:val="single" w:sz="4" w:space="0" w:color="auto"/>
              <w:bottom w:val="single" w:sz="4" w:space="0" w:color="auto"/>
              <w:right w:val="single" w:sz="4" w:space="0" w:color="auto"/>
            </w:tcBorders>
            <w:shd w:val="clear" w:color="auto" w:fill="auto"/>
            <w:vAlign w:val="center"/>
            <w:hideMark/>
          </w:tcPr>
          <w:p w14:paraId="706FBD1A" w14:textId="77777777" w:rsidR="00322AE9" w:rsidRPr="00322AE9" w:rsidRDefault="00322AE9" w:rsidP="000A6DB8">
            <w:pPr>
              <w:suppressAutoHyphens/>
              <w:adjustRightInd w:val="0"/>
              <w:ind w:firstLine="0"/>
              <w:jc w:val="center"/>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29</w:t>
            </w:r>
          </w:p>
        </w:tc>
        <w:tc>
          <w:tcPr>
            <w:tcW w:w="1289" w:type="pct"/>
            <w:tcBorders>
              <w:top w:val="nil"/>
              <w:left w:val="nil"/>
              <w:bottom w:val="single" w:sz="4" w:space="0" w:color="auto"/>
              <w:right w:val="single" w:sz="4" w:space="0" w:color="auto"/>
            </w:tcBorders>
            <w:shd w:val="clear" w:color="auto" w:fill="auto"/>
            <w:vAlign w:val="center"/>
            <w:hideMark/>
          </w:tcPr>
          <w:p w14:paraId="09B67241" w14:textId="77777777" w:rsidR="00322AE9" w:rsidRPr="00322AE9" w:rsidRDefault="00322AE9" w:rsidP="000A6DB8">
            <w:pPr>
              <w:suppressAutoHyphens/>
              <w:adjustRightInd w:val="0"/>
              <w:ind w:firstLine="0"/>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Восточная</w:t>
            </w:r>
          </w:p>
        </w:tc>
        <w:tc>
          <w:tcPr>
            <w:tcW w:w="1050" w:type="pct"/>
            <w:tcBorders>
              <w:top w:val="nil"/>
              <w:left w:val="nil"/>
              <w:bottom w:val="single" w:sz="4" w:space="0" w:color="auto"/>
              <w:right w:val="single" w:sz="4" w:space="0" w:color="auto"/>
            </w:tcBorders>
            <w:shd w:val="clear" w:color="auto" w:fill="auto"/>
            <w:vAlign w:val="center"/>
            <w:hideMark/>
          </w:tcPr>
          <w:p w14:paraId="3749D8FE" w14:textId="77777777" w:rsidR="00322AE9" w:rsidRPr="00322AE9" w:rsidRDefault="00322AE9" w:rsidP="000A6DB8">
            <w:pPr>
              <w:suppressAutoHyphens/>
              <w:adjustRightInd w:val="0"/>
              <w:ind w:firstLine="0"/>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Усть-Майский</w:t>
            </w:r>
          </w:p>
        </w:tc>
        <w:tc>
          <w:tcPr>
            <w:tcW w:w="1500" w:type="pct"/>
            <w:tcBorders>
              <w:top w:val="nil"/>
              <w:left w:val="nil"/>
              <w:bottom w:val="single" w:sz="4" w:space="0" w:color="auto"/>
              <w:right w:val="single" w:sz="4" w:space="0" w:color="auto"/>
            </w:tcBorders>
            <w:shd w:val="clear" w:color="auto" w:fill="auto"/>
            <w:vAlign w:val="center"/>
            <w:hideMark/>
          </w:tcPr>
          <w:p w14:paraId="271656A6" w14:textId="77777777" w:rsidR="00322AE9" w:rsidRPr="00322AE9" w:rsidRDefault="00322AE9" w:rsidP="000A6DB8">
            <w:pPr>
              <w:suppressAutoHyphens/>
              <w:adjustRightInd w:val="0"/>
              <w:ind w:firstLine="0"/>
              <w:jc w:val="left"/>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п. Эльдикан</w:t>
            </w:r>
          </w:p>
        </w:tc>
        <w:tc>
          <w:tcPr>
            <w:tcW w:w="865" w:type="pct"/>
            <w:tcBorders>
              <w:top w:val="nil"/>
              <w:left w:val="nil"/>
              <w:bottom w:val="single" w:sz="4" w:space="0" w:color="auto"/>
              <w:right w:val="single" w:sz="4" w:space="0" w:color="auto"/>
            </w:tcBorders>
            <w:shd w:val="clear" w:color="auto" w:fill="auto"/>
            <w:vAlign w:val="center"/>
            <w:hideMark/>
          </w:tcPr>
          <w:p w14:paraId="1F06F7FF" w14:textId="77777777" w:rsidR="00322AE9" w:rsidRPr="00322AE9" w:rsidRDefault="00322AE9" w:rsidP="000A6DB8">
            <w:pPr>
              <w:suppressAutoHyphens/>
              <w:adjustRightInd w:val="0"/>
              <w:ind w:firstLine="0"/>
              <w:jc w:val="center"/>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75</w:t>
            </w:r>
          </w:p>
        </w:tc>
      </w:tr>
      <w:tr w:rsidR="00322AE9" w:rsidRPr="00322AE9" w14:paraId="75769998" w14:textId="77777777" w:rsidTr="00322AE9">
        <w:trPr>
          <w:trHeight w:val="450"/>
          <w:jc w:val="center"/>
        </w:trPr>
        <w:tc>
          <w:tcPr>
            <w:tcW w:w="297" w:type="pct"/>
            <w:tcBorders>
              <w:top w:val="nil"/>
              <w:left w:val="single" w:sz="4" w:space="0" w:color="auto"/>
              <w:bottom w:val="single" w:sz="4" w:space="0" w:color="auto"/>
              <w:right w:val="single" w:sz="4" w:space="0" w:color="auto"/>
            </w:tcBorders>
            <w:shd w:val="clear" w:color="auto" w:fill="auto"/>
            <w:vAlign w:val="center"/>
            <w:hideMark/>
          </w:tcPr>
          <w:p w14:paraId="578EDF24" w14:textId="77777777" w:rsidR="00322AE9" w:rsidRPr="00322AE9" w:rsidRDefault="00322AE9" w:rsidP="000A6DB8">
            <w:pPr>
              <w:suppressAutoHyphens/>
              <w:adjustRightInd w:val="0"/>
              <w:ind w:firstLine="0"/>
              <w:jc w:val="center"/>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30</w:t>
            </w:r>
          </w:p>
        </w:tc>
        <w:tc>
          <w:tcPr>
            <w:tcW w:w="1289" w:type="pct"/>
            <w:tcBorders>
              <w:top w:val="nil"/>
              <w:left w:val="nil"/>
              <w:bottom w:val="single" w:sz="4" w:space="0" w:color="auto"/>
              <w:right w:val="single" w:sz="4" w:space="0" w:color="auto"/>
            </w:tcBorders>
            <w:shd w:val="clear" w:color="auto" w:fill="auto"/>
            <w:vAlign w:val="center"/>
            <w:hideMark/>
          </w:tcPr>
          <w:p w14:paraId="1F135BEB" w14:textId="77777777" w:rsidR="00322AE9" w:rsidRPr="00322AE9" w:rsidRDefault="00322AE9" w:rsidP="000A6DB8">
            <w:pPr>
              <w:suppressAutoHyphens/>
              <w:adjustRightInd w:val="0"/>
              <w:ind w:firstLine="0"/>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Западная</w:t>
            </w:r>
          </w:p>
        </w:tc>
        <w:tc>
          <w:tcPr>
            <w:tcW w:w="1050" w:type="pct"/>
            <w:tcBorders>
              <w:top w:val="nil"/>
              <w:left w:val="nil"/>
              <w:bottom w:val="single" w:sz="4" w:space="0" w:color="auto"/>
              <w:right w:val="single" w:sz="4" w:space="0" w:color="auto"/>
            </w:tcBorders>
            <w:shd w:val="clear" w:color="auto" w:fill="auto"/>
            <w:vAlign w:val="center"/>
            <w:hideMark/>
          </w:tcPr>
          <w:p w14:paraId="44BA192B" w14:textId="77777777" w:rsidR="00322AE9" w:rsidRPr="00322AE9" w:rsidRDefault="00322AE9" w:rsidP="000A6DB8">
            <w:pPr>
              <w:suppressAutoHyphens/>
              <w:adjustRightInd w:val="0"/>
              <w:ind w:firstLine="0"/>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Верхневилюйский</w:t>
            </w:r>
          </w:p>
        </w:tc>
        <w:tc>
          <w:tcPr>
            <w:tcW w:w="1500" w:type="pct"/>
            <w:tcBorders>
              <w:top w:val="nil"/>
              <w:left w:val="nil"/>
              <w:bottom w:val="single" w:sz="4" w:space="0" w:color="auto"/>
              <w:right w:val="single" w:sz="4" w:space="0" w:color="auto"/>
            </w:tcBorders>
            <w:shd w:val="clear" w:color="auto" w:fill="auto"/>
            <w:vAlign w:val="center"/>
            <w:hideMark/>
          </w:tcPr>
          <w:p w14:paraId="32645572" w14:textId="77777777" w:rsidR="00322AE9" w:rsidRPr="00322AE9" w:rsidRDefault="00322AE9" w:rsidP="000A6DB8">
            <w:pPr>
              <w:suppressAutoHyphens/>
              <w:adjustRightInd w:val="0"/>
              <w:ind w:firstLine="0"/>
              <w:jc w:val="left"/>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для Муниципального образования</w:t>
            </w:r>
          </w:p>
        </w:tc>
        <w:tc>
          <w:tcPr>
            <w:tcW w:w="865" w:type="pct"/>
            <w:tcBorders>
              <w:top w:val="nil"/>
              <w:left w:val="nil"/>
              <w:bottom w:val="single" w:sz="4" w:space="0" w:color="auto"/>
              <w:right w:val="single" w:sz="4" w:space="0" w:color="auto"/>
            </w:tcBorders>
            <w:shd w:val="clear" w:color="auto" w:fill="auto"/>
            <w:vAlign w:val="center"/>
            <w:hideMark/>
          </w:tcPr>
          <w:p w14:paraId="4E2ED38D" w14:textId="77777777" w:rsidR="00322AE9" w:rsidRPr="00322AE9" w:rsidRDefault="00322AE9" w:rsidP="000A6DB8">
            <w:pPr>
              <w:suppressAutoHyphens/>
              <w:adjustRightInd w:val="0"/>
              <w:ind w:firstLine="0"/>
              <w:jc w:val="center"/>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64</w:t>
            </w:r>
          </w:p>
        </w:tc>
      </w:tr>
      <w:tr w:rsidR="00322AE9" w:rsidRPr="00322AE9" w14:paraId="2CDDE1BA" w14:textId="77777777" w:rsidTr="00322AE9">
        <w:trPr>
          <w:trHeight w:val="450"/>
          <w:jc w:val="center"/>
        </w:trPr>
        <w:tc>
          <w:tcPr>
            <w:tcW w:w="297" w:type="pct"/>
            <w:tcBorders>
              <w:top w:val="nil"/>
              <w:left w:val="single" w:sz="4" w:space="0" w:color="auto"/>
              <w:bottom w:val="single" w:sz="4" w:space="0" w:color="auto"/>
              <w:right w:val="single" w:sz="4" w:space="0" w:color="auto"/>
            </w:tcBorders>
            <w:shd w:val="clear" w:color="auto" w:fill="auto"/>
            <w:vAlign w:val="center"/>
            <w:hideMark/>
          </w:tcPr>
          <w:p w14:paraId="61EF4019" w14:textId="77777777" w:rsidR="00322AE9" w:rsidRPr="00322AE9" w:rsidRDefault="00322AE9" w:rsidP="000A6DB8">
            <w:pPr>
              <w:suppressAutoHyphens/>
              <w:adjustRightInd w:val="0"/>
              <w:ind w:firstLine="0"/>
              <w:jc w:val="center"/>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31</w:t>
            </w:r>
          </w:p>
        </w:tc>
        <w:tc>
          <w:tcPr>
            <w:tcW w:w="1289" w:type="pct"/>
            <w:tcBorders>
              <w:top w:val="nil"/>
              <w:left w:val="nil"/>
              <w:bottom w:val="single" w:sz="4" w:space="0" w:color="auto"/>
              <w:right w:val="single" w:sz="4" w:space="0" w:color="auto"/>
            </w:tcBorders>
            <w:shd w:val="clear" w:color="auto" w:fill="auto"/>
            <w:vAlign w:val="center"/>
            <w:hideMark/>
          </w:tcPr>
          <w:p w14:paraId="327ADDDE" w14:textId="77777777" w:rsidR="00322AE9" w:rsidRPr="00322AE9" w:rsidRDefault="00322AE9" w:rsidP="000A6DB8">
            <w:pPr>
              <w:suppressAutoHyphens/>
              <w:adjustRightInd w:val="0"/>
              <w:ind w:firstLine="0"/>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Западная</w:t>
            </w:r>
          </w:p>
        </w:tc>
        <w:tc>
          <w:tcPr>
            <w:tcW w:w="1050" w:type="pct"/>
            <w:tcBorders>
              <w:top w:val="nil"/>
              <w:left w:val="nil"/>
              <w:bottom w:val="single" w:sz="4" w:space="0" w:color="auto"/>
              <w:right w:val="single" w:sz="4" w:space="0" w:color="auto"/>
            </w:tcBorders>
            <w:shd w:val="clear" w:color="auto" w:fill="auto"/>
            <w:vAlign w:val="center"/>
            <w:hideMark/>
          </w:tcPr>
          <w:p w14:paraId="2E9E5EDF" w14:textId="77777777" w:rsidR="00322AE9" w:rsidRPr="00322AE9" w:rsidRDefault="00322AE9" w:rsidP="000A6DB8">
            <w:pPr>
              <w:suppressAutoHyphens/>
              <w:adjustRightInd w:val="0"/>
              <w:ind w:firstLine="0"/>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Вилюйский</w:t>
            </w:r>
          </w:p>
        </w:tc>
        <w:tc>
          <w:tcPr>
            <w:tcW w:w="1500" w:type="pct"/>
            <w:tcBorders>
              <w:top w:val="nil"/>
              <w:left w:val="nil"/>
              <w:bottom w:val="single" w:sz="4" w:space="0" w:color="auto"/>
              <w:right w:val="single" w:sz="4" w:space="0" w:color="auto"/>
            </w:tcBorders>
            <w:shd w:val="clear" w:color="auto" w:fill="auto"/>
            <w:vAlign w:val="center"/>
            <w:hideMark/>
          </w:tcPr>
          <w:p w14:paraId="0CAA66F5" w14:textId="77777777" w:rsidR="00322AE9" w:rsidRPr="00322AE9" w:rsidRDefault="00322AE9" w:rsidP="000A6DB8">
            <w:pPr>
              <w:suppressAutoHyphens/>
              <w:adjustRightInd w:val="0"/>
              <w:ind w:firstLine="0"/>
              <w:jc w:val="left"/>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для Муниципального образования</w:t>
            </w:r>
          </w:p>
        </w:tc>
        <w:tc>
          <w:tcPr>
            <w:tcW w:w="865" w:type="pct"/>
            <w:tcBorders>
              <w:top w:val="nil"/>
              <w:left w:val="nil"/>
              <w:bottom w:val="single" w:sz="4" w:space="0" w:color="auto"/>
              <w:right w:val="single" w:sz="4" w:space="0" w:color="auto"/>
            </w:tcBorders>
            <w:shd w:val="clear" w:color="auto" w:fill="auto"/>
            <w:vAlign w:val="center"/>
            <w:hideMark/>
          </w:tcPr>
          <w:p w14:paraId="003C8599" w14:textId="77777777" w:rsidR="00322AE9" w:rsidRPr="00322AE9" w:rsidRDefault="00322AE9" w:rsidP="000A6DB8">
            <w:pPr>
              <w:suppressAutoHyphens/>
              <w:adjustRightInd w:val="0"/>
              <w:ind w:firstLine="0"/>
              <w:jc w:val="center"/>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63</w:t>
            </w:r>
          </w:p>
        </w:tc>
      </w:tr>
      <w:tr w:rsidR="00322AE9" w:rsidRPr="00322AE9" w14:paraId="40ECC0E3" w14:textId="77777777" w:rsidTr="00322AE9">
        <w:trPr>
          <w:trHeight w:val="450"/>
          <w:jc w:val="center"/>
        </w:trPr>
        <w:tc>
          <w:tcPr>
            <w:tcW w:w="297" w:type="pct"/>
            <w:tcBorders>
              <w:top w:val="nil"/>
              <w:left w:val="single" w:sz="4" w:space="0" w:color="auto"/>
              <w:bottom w:val="single" w:sz="4" w:space="0" w:color="auto"/>
              <w:right w:val="single" w:sz="4" w:space="0" w:color="auto"/>
            </w:tcBorders>
            <w:shd w:val="clear" w:color="auto" w:fill="auto"/>
            <w:vAlign w:val="center"/>
            <w:hideMark/>
          </w:tcPr>
          <w:p w14:paraId="57295751" w14:textId="77777777" w:rsidR="00322AE9" w:rsidRPr="00322AE9" w:rsidRDefault="00322AE9" w:rsidP="000A6DB8">
            <w:pPr>
              <w:suppressAutoHyphens/>
              <w:adjustRightInd w:val="0"/>
              <w:ind w:firstLine="0"/>
              <w:jc w:val="center"/>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32</w:t>
            </w:r>
          </w:p>
        </w:tc>
        <w:tc>
          <w:tcPr>
            <w:tcW w:w="1289" w:type="pct"/>
            <w:tcBorders>
              <w:top w:val="nil"/>
              <w:left w:val="nil"/>
              <w:bottom w:val="single" w:sz="4" w:space="0" w:color="auto"/>
              <w:right w:val="single" w:sz="4" w:space="0" w:color="auto"/>
            </w:tcBorders>
            <w:shd w:val="clear" w:color="auto" w:fill="auto"/>
            <w:vAlign w:val="center"/>
            <w:hideMark/>
          </w:tcPr>
          <w:p w14:paraId="68078FDF" w14:textId="77777777" w:rsidR="00322AE9" w:rsidRPr="00322AE9" w:rsidRDefault="00322AE9" w:rsidP="000A6DB8">
            <w:pPr>
              <w:suppressAutoHyphens/>
              <w:adjustRightInd w:val="0"/>
              <w:ind w:firstLine="0"/>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Западная</w:t>
            </w:r>
          </w:p>
        </w:tc>
        <w:tc>
          <w:tcPr>
            <w:tcW w:w="1050" w:type="pct"/>
            <w:tcBorders>
              <w:top w:val="nil"/>
              <w:left w:val="nil"/>
              <w:bottom w:val="single" w:sz="4" w:space="0" w:color="auto"/>
              <w:right w:val="single" w:sz="4" w:space="0" w:color="auto"/>
            </w:tcBorders>
            <w:shd w:val="clear" w:color="auto" w:fill="auto"/>
            <w:vAlign w:val="center"/>
            <w:hideMark/>
          </w:tcPr>
          <w:p w14:paraId="052748DD" w14:textId="77777777" w:rsidR="00322AE9" w:rsidRPr="00322AE9" w:rsidRDefault="00322AE9" w:rsidP="000A6DB8">
            <w:pPr>
              <w:suppressAutoHyphens/>
              <w:adjustRightInd w:val="0"/>
              <w:ind w:firstLine="0"/>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Вилюйский</w:t>
            </w:r>
          </w:p>
        </w:tc>
        <w:tc>
          <w:tcPr>
            <w:tcW w:w="1500" w:type="pct"/>
            <w:tcBorders>
              <w:top w:val="nil"/>
              <w:left w:val="nil"/>
              <w:bottom w:val="single" w:sz="4" w:space="0" w:color="auto"/>
              <w:right w:val="single" w:sz="4" w:space="0" w:color="auto"/>
            </w:tcBorders>
            <w:shd w:val="clear" w:color="auto" w:fill="auto"/>
            <w:vAlign w:val="center"/>
            <w:hideMark/>
          </w:tcPr>
          <w:p w14:paraId="4F22FA82" w14:textId="77777777" w:rsidR="00322AE9" w:rsidRPr="00322AE9" w:rsidRDefault="00322AE9" w:rsidP="000A6DB8">
            <w:pPr>
              <w:suppressAutoHyphens/>
              <w:adjustRightInd w:val="0"/>
              <w:ind w:firstLine="0"/>
              <w:jc w:val="left"/>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г. Вилюйск</w:t>
            </w:r>
          </w:p>
        </w:tc>
        <w:tc>
          <w:tcPr>
            <w:tcW w:w="865" w:type="pct"/>
            <w:tcBorders>
              <w:top w:val="nil"/>
              <w:left w:val="nil"/>
              <w:bottom w:val="single" w:sz="4" w:space="0" w:color="auto"/>
              <w:right w:val="single" w:sz="4" w:space="0" w:color="auto"/>
            </w:tcBorders>
            <w:shd w:val="clear" w:color="auto" w:fill="auto"/>
            <w:vAlign w:val="center"/>
            <w:hideMark/>
          </w:tcPr>
          <w:p w14:paraId="0BF13E39" w14:textId="77777777" w:rsidR="00322AE9" w:rsidRPr="00322AE9" w:rsidRDefault="00322AE9" w:rsidP="000A6DB8">
            <w:pPr>
              <w:suppressAutoHyphens/>
              <w:adjustRightInd w:val="0"/>
              <w:ind w:firstLine="0"/>
              <w:jc w:val="center"/>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44</w:t>
            </w:r>
          </w:p>
        </w:tc>
      </w:tr>
      <w:tr w:rsidR="00322AE9" w:rsidRPr="00322AE9" w14:paraId="1B325A0B" w14:textId="77777777" w:rsidTr="00322AE9">
        <w:trPr>
          <w:trHeight w:val="450"/>
          <w:jc w:val="center"/>
        </w:trPr>
        <w:tc>
          <w:tcPr>
            <w:tcW w:w="297" w:type="pct"/>
            <w:tcBorders>
              <w:top w:val="nil"/>
              <w:left w:val="single" w:sz="4" w:space="0" w:color="auto"/>
              <w:bottom w:val="single" w:sz="4" w:space="0" w:color="auto"/>
              <w:right w:val="single" w:sz="4" w:space="0" w:color="auto"/>
            </w:tcBorders>
            <w:shd w:val="clear" w:color="auto" w:fill="auto"/>
            <w:vAlign w:val="center"/>
            <w:hideMark/>
          </w:tcPr>
          <w:p w14:paraId="55B0966F" w14:textId="77777777" w:rsidR="00322AE9" w:rsidRPr="00322AE9" w:rsidRDefault="00322AE9" w:rsidP="000A6DB8">
            <w:pPr>
              <w:suppressAutoHyphens/>
              <w:adjustRightInd w:val="0"/>
              <w:ind w:firstLine="0"/>
              <w:jc w:val="center"/>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33</w:t>
            </w:r>
          </w:p>
        </w:tc>
        <w:tc>
          <w:tcPr>
            <w:tcW w:w="1289" w:type="pct"/>
            <w:tcBorders>
              <w:top w:val="nil"/>
              <w:left w:val="nil"/>
              <w:bottom w:val="single" w:sz="4" w:space="0" w:color="auto"/>
              <w:right w:val="single" w:sz="4" w:space="0" w:color="auto"/>
            </w:tcBorders>
            <w:shd w:val="clear" w:color="auto" w:fill="auto"/>
            <w:vAlign w:val="center"/>
            <w:hideMark/>
          </w:tcPr>
          <w:p w14:paraId="72881596" w14:textId="77777777" w:rsidR="00322AE9" w:rsidRPr="00322AE9" w:rsidRDefault="00322AE9" w:rsidP="000A6DB8">
            <w:pPr>
              <w:suppressAutoHyphens/>
              <w:adjustRightInd w:val="0"/>
              <w:ind w:firstLine="0"/>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Западная</w:t>
            </w:r>
          </w:p>
        </w:tc>
        <w:tc>
          <w:tcPr>
            <w:tcW w:w="1050" w:type="pct"/>
            <w:tcBorders>
              <w:top w:val="nil"/>
              <w:left w:val="nil"/>
              <w:bottom w:val="single" w:sz="4" w:space="0" w:color="auto"/>
              <w:right w:val="single" w:sz="4" w:space="0" w:color="auto"/>
            </w:tcBorders>
            <w:shd w:val="clear" w:color="auto" w:fill="auto"/>
            <w:vAlign w:val="center"/>
            <w:hideMark/>
          </w:tcPr>
          <w:p w14:paraId="69B0FF98" w14:textId="77777777" w:rsidR="00322AE9" w:rsidRPr="00322AE9" w:rsidRDefault="00322AE9" w:rsidP="000A6DB8">
            <w:pPr>
              <w:suppressAutoHyphens/>
              <w:adjustRightInd w:val="0"/>
              <w:ind w:firstLine="0"/>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Кобяйский</w:t>
            </w:r>
          </w:p>
        </w:tc>
        <w:tc>
          <w:tcPr>
            <w:tcW w:w="1500" w:type="pct"/>
            <w:tcBorders>
              <w:top w:val="nil"/>
              <w:left w:val="nil"/>
              <w:bottom w:val="single" w:sz="4" w:space="0" w:color="auto"/>
              <w:right w:val="single" w:sz="4" w:space="0" w:color="auto"/>
            </w:tcBorders>
            <w:shd w:val="clear" w:color="auto" w:fill="auto"/>
            <w:vAlign w:val="center"/>
            <w:hideMark/>
          </w:tcPr>
          <w:p w14:paraId="464A5DD5" w14:textId="77777777" w:rsidR="00322AE9" w:rsidRPr="00322AE9" w:rsidRDefault="00322AE9" w:rsidP="000A6DB8">
            <w:pPr>
              <w:suppressAutoHyphens/>
              <w:adjustRightInd w:val="0"/>
              <w:ind w:firstLine="0"/>
              <w:jc w:val="left"/>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для Муниципального образования</w:t>
            </w:r>
          </w:p>
        </w:tc>
        <w:tc>
          <w:tcPr>
            <w:tcW w:w="865" w:type="pct"/>
            <w:tcBorders>
              <w:top w:val="nil"/>
              <w:left w:val="nil"/>
              <w:bottom w:val="single" w:sz="4" w:space="0" w:color="auto"/>
              <w:right w:val="single" w:sz="4" w:space="0" w:color="auto"/>
            </w:tcBorders>
            <w:shd w:val="clear" w:color="auto" w:fill="auto"/>
            <w:vAlign w:val="center"/>
            <w:hideMark/>
          </w:tcPr>
          <w:p w14:paraId="2DFE98A2" w14:textId="77777777" w:rsidR="00322AE9" w:rsidRPr="00322AE9" w:rsidRDefault="00322AE9" w:rsidP="000A6DB8">
            <w:pPr>
              <w:suppressAutoHyphens/>
              <w:adjustRightInd w:val="0"/>
              <w:ind w:firstLine="0"/>
              <w:jc w:val="center"/>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64</w:t>
            </w:r>
          </w:p>
        </w:tc>
      </w:tr>
      <w:tr w:rsidR="00322AE9" w:rsidRPr="00322AE9" w14:paraId="06845484" w14:textId="77777777" w:rsidTr="00322AE9">
        <w:trPr>
          <w:trHeight w:val="450"/>
          <w:jc w:val="center"/>
        </w:trPr>
        <w:tc>
          <w:tcPr>
            <w:tcW w:w="297" w:type="pct"/>
            <w:tcBorders>
              <w:top w:val="nil"/>
              <w:left w:val="single" w:sz="4" w:space="0" w:color="auto"/>
              <w:bottom w:val="single" w:sz="4" w:space="0" w:color="auto"/>
              <w:right w:val="single" w:sz="4" w:space="0" w:color="auto"/>
            </w:tcBorders>
            <w:shd w:val="clear" w:color="auto" w:fill="auto"/>
            <w:vAlign w:val="center"/>
            <w:hideMark/>
          </w:tcPr>
          <w:p w14:paraId="75B50DA4" w14:textId="77777777" w:rsidR="00322AE9" w:rsidRPr="00322AE9" w:rsidRDefault="00322AE9" w:rsidP="000A6DB8">
            <w:pPr>
              <w:suppressAutoHyphens/>
              <w:adjustRightInd w:val="0"/>
              <w:ind w:firstLine="0"/>
              <w:jc w:val="center"/>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34</w:t>
            </w:r>
          </w:p>
        </w:tc>
        <w:tc>
          <w:tcPr>
            <w:tcW w:w="1289" w:type="pct"/>
            <w:tcBorders>
              <w:top w:val="nil"/>
              <w:left w:val="nil"/>
              <w:bottom w:val="single" w:sz="4" w:space="0" w:color="auto"/>
              <w:right w:val="single" w:sz="4" w:space="0" w:color="auto"/>
            </w:tcBorders>
            <w:shd w:val="clear" w:color="auto" w:fill="auto"/>
            <w:vAlign w:val="center"/>
            <w:hideMark/>
          </w:tcPr>
          <w:p w14:paraId="3DD94EE1" w14:textId="77777777" w:rsidR="00322AE9" w:rsidRPr="00322AE9" w:rsidRDefault="00322AE9" w:rsidP="000A6DB8">
            <w:pPr>
              <w:suppressAutoHyphens/>
              <w:adjustRightInd w:val="0"/>
              <w:ind w:firstLine="0"/>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Западная</w:t>
            </w:r>
          </w:p>
        </w:tc>
        <w:tc>
          <w:tcPr>
            <w:tcW w:w="1050" w:type="pct"/>
            <w:tcBorders>
              <w:top w:val="nil"/>
              <w:left w:val="nil"/>
              <w:bottom w:val="single" w:sz="4" w:space="0" w:color="auto"/>
              <w:right w:val="single" w:sz="4" w:space="0" w:color="auto"/>
            </w:tcBorders>
            <w:shd w:val="clear" w:color="auto" w:fill="auto"/>
            <w:vAlign w:val="center"/>
            <w:hideMark/>
          </w:tcPr>
          <w:p w14:paraId="54B3E2C8" w14:textId="77777777" w:rsidR="00322AE9" w:rsidRPr="00322AE9" w:rsidRDefault="00322AE9" w:rsidP="000A6DB8">
            <w:pPr>
              <w:suppressAutoHyphens/>
              <w:adjustRightInd w:val="0"/>
              <w:ind w:firstLine="0"/>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Кобяйский</w:t>
            </w:r>
          </w:p>
        </w:tc>
        <w:tc>
          <w:tcPr>
            <w:tcW w:w="1500" w:type="pct"/>
            <w:tcBorders>
              <w:top w:val="nil"/>
              <w:left w:val="nil"/>
              <w:bottom w:val="single" w:sz="4" w:space="0" w:color="auto"/>
              <w:right w:val="single" w:sz="4" w:space="0" w:color="auto"/>
            </w:tcBorders>
            <w:shd w:val="clear" w:color="auto" w:fill="auto"/>
            <w:vAlign w:val="center"/>
            <w:hideMark/>
          </w:tcPr>
          <w:p w14:paraId="140FF2B8" w14:textId="77777777" w:rsidR="00322AE9" w:rsidRPr="00322AE9" w:rsidRDefault="00322AE9" w:rsidP="000A6DB8">
            <w:pPr>
              <w:suppressAutoHyphens/>
              <w:adjustRightInd w:val="0"/>
              <w:ind w:firstLine="0"/>
              <w:jc w:val="left"/>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п. Сангар</w:t>
            </w:r>
          </w:p>
        </w:tc>
        <w:tc>
          <w:tcPr>
            <w:tcW w:w="865" w:type="pct"/>
            <w:tcBorders>
              <w:top w:val="nil"/>
              <w:left w:val="nil"/>
              <w:bottom w:val="single" w:sz="4" w:space="0" w:color="auto"/>
              <w:right w:val="single" w:sz="4" w:space="0" w:color="auto"/>
            </w:tcBorders>
            <w:shd w:val="clear" w:color="auto" w:fill="auto"/>
            <w:vAlign w:val="center"/>
            <w:hideMark/>
          </w:tcPr>
          <w:p w14:paraId="42DF2B13" w14:textId="77777777" w:rsidR="00322AE9" w:rsidRPr="00322AE9" w:rsidRDefault="00322AE9" w:rsidP="000A6DB8">
            <w:pPr>
              <w:suppressAutoHyphens/>
              <w:adjustRightInd w:val="0"/>
              <w:ind w:firstLine="0"/>
              <w:jc w:val="center"/>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47</w:t>
            </w:r>
          </w:p>
        </w:tc>
      </w:tr>
      <w:tr w:rsidR="00322AE9" w:rsidRPr="00322AE9" w14:paraId="7ADF2983" w14:textId="77777777" w:rsidTr="00322AE9">
        <w:trPr>
          <w:trHeight w:val="450"/>
          <w:jc w:val="center"/>
        </w:trPr>
        <w:tc>
          <w:tcPr>
            <w:tcW w:w="297" w:type="pct"/>
            <w:tcBorders>
              <w:top w:val="nil"/>
              <w:left w:val="single" w:sz="4" w:space="0" w:color="auto"/>
              <w:bottom w:val="single" w:sz="4" w:space="0" w:color="auto"/>
              <w:right w:val="single" w:sz="4" w:space="0" w:color="auto"/>
            </w:tcBorders>
            <w:shd w:val="clear" w:color="auto" w:fill="auto"/>
            <w:vAlign w:val="center"/>
            <w:hideMark/>
          </w:tcPr>
          <w:p w14:paraId="1DAB12EA" w14:textId="77777777" w:rsidR="00322AE9" w:rsidRPr="00322AE9" w:rsidRDefault="00322AE9" w:rsidP="000A6DB8">
            <w:pPr>
              <w:suppressAutoHyphens/>
              <w:adjustRightInd w:val="0"/>
              <w:ind w:firstLine="0"/>
              <w:jc w:val="center"/>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35</w:t>
            </w:r>
          </w:p>
        </w:tc>
        <w:tc>
          <w:tcPr>
            <w:tcW w:w="1289" w:type="pct"/>
            <w:tcBorders>
              <w:top w:val="nil"/>
              <w:left w:val="nil"/>
              <w:bottom w:val="single" w:sz="4" w:space="0" w:color="auto"/>
              <w:right w:val="single" w:sz="4" w:space="0" w:color="auto"/>
            </w:tcBorders>
            <w:shd w:val="clear" w:color="auto" w:fill="auto"/>
            <w:vAlign w:val="center"/>
            <w:hideMark/>
          </w:tcPr>
          <w:p w14:paraId="47014F02" w14:textId="77777777" w:rsidR="00322AE9" w:rsidRPr="00322AE9" w:rsidRDefault="00322AE9" w:rsidP="000A6DB8">
            <w:pPr>
              <w:suppressAutoHyphens/>
              <w:adjustRightInd w:val="0"/>
              <w:ind w:firstLine="0"/>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Западная</w:t>
            </w:r>
          </w:p>
        </w:tc>
        <w:tc>
          <w:tcPr>
            <w:tcW w:w="1050" w:type="pct"/>
            <w:tcBorders>
              <w:top w:val="nil"/>
              <w:left w:val="nil"/>
              <w:bottom w:val="single" w:sz="4" w:space="0" w:color="auto"/>
              <w:right w:val="single" w:sz="4" w:space="0" w:color="auto"/>
            </w:tcBorders>
            <w:shd w:val="clear" w:color="auto" w:fill="auto"/>
            <w:vAlign w:val="center"/>
            <w:hideMark/>
          </w:tcPr>
          <w:p w14:paraId="1840DBD1" w14:textId="77777777" w:rsidR="00322AE9" w:rsidRPr="00322AE9" w:rsidRDefault="00322AE9" w:rsidP="000A6DB8">
            <w:pPr>
              <w:suppressAutoHyphens/>
              <w:adjustRightInd w:val="0"/>
              <w:ind w:firstLine="0"/>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Ленский</w:t>
            </w:r>
          </w:p>
        </w:tc>
        <w:tc>
          <w:tcPr>
            <w:tcW w:w="1500" w:type="pct"/>
            <w:tcBorders>
              <w:top w:val="nil"/>
              <w:left w:val="nil"/>
              <w:bottom w:val="single" w:sz="4" w:space="0" w:color="auto"/>
              <w:right w:val="single" w:sz="4" w:space="0" w:color="auto"/>
            </w:tcBorders>
            <w:shd w:val="clear" w:color="auto" w:fill="auto"/>
            <w:vAlign w:val="center"/>
            <w:hideMark/>
          </w:tcPr>
          <w:p w14:paraId="0B3D9D79" w14:textId="77777777" w:rsidR="00322AE9" w:rsidRPr="00322AE9" w:rsidRDefault="00322AE9" w:rsidP="000A6DB8">
            <w:pPr>
              <w:suppressAutoHyphens/>
              <w:adjustRightInd w:val="0"/>
              <w:ind w:firstLine="0"/>
              <w:jc w:val="left"/>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для Муниципального образования</w:t>
            </w:r>
          </w:p>
        </w:tc>
        <w:tc>
          <w:tcPr>
            <w:tcW w:w="865" w:type="pct"/>
            <w:tcBorders>
              <w:top w:val="nil"/>
              <w:left w:val="nil"/>
              <w:bottom w:val="single" w:sz="4" w:space="0" w:color="auto"/>
              <w:right w:val="single" w:sz="4" w:space="0" w:color="auto"/>
            </w:tcBorders>
            <w:shd w:val="clear" w:color="auto" w:fill="auto"/>
            <w:vAlign w:val="center"/>
            <w:hideMark/>
          </w:tcPr>
          <w:p w14:paraId="55CED571" w14:textId="77777777" w:rsidR="00322AE9" w:rsidRPr="00322AE9" w:rsidRDefault="00322AE9" w:rsidP="000A6DB8">
            <w:pPr>
              <w:suppressAutoHyphens/>
              <w:adjustRightInd w:val="0"/>
              <w:ind w:firstLine="0"/>
              <w:jc w:val="center"/>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58</w:t>
            </w:r>
          </w:p>
        </w:tc>
      </w:tr>
      <w:tr w:rsidR="00322AE9" w:rsidRPr="00322AE9" w14:paraId="1054761C" w14:textId="77777777" w:rsidTr="00322AE9">
        <w:trPr>
          <w:trHeight w:val="450"/>
          <w:jc w:val="center"/>
        </w:trPr>
        <w:tc>
          <w:tcPr>
            <w:tcW w:w="297" w:type="pct"/>
            <w:tcBorders>
              <w:top w:val="nil"/>
              <w:left w:val="single" w:sz="4" w:space="0" w:color="auto"/>
              <w:bottom w:val="single" w:sz="4" w:space="0" w:color="auto"/>
              <w:right w:val="single" w:sz="4" w:space="0" w:color="auto"/>
            </w:tcBorders>
            <w:shd w:val="clear" w:color="auto" w:fill="auto"/>
            <w:vAlign w:val="center"/>
            <w:hideMark/>
          </w:tcPr>
          <w:p w14:paraId="5E488225" w14:textId="77777777" w:rsidR="00322AE9" w:rsidRPr="00322AE9" w:rsidRDefault="00322AE9" w:rsidP="000A6DB8">
            <w:pPr>
              <w:suppressAutoHyphens/>
              <w:adjustRightInd w:val="0"/>
              <w:ind w:firstLine="0"/>
              <w:jc w:val="center"/>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36</w:t>
            </w:r>
          </w:p>
        </w:tc>
        <w:tc>
          <w:tcPr>
            <w:tcW w:w="1289" w:type="pct"/>
            <w:tcBorders>
              <w:top w:val="nil"/>
              <w:left w:val="nil"/>
              <w:bottom w:val="single" w:sz="4" w:space="0" w:color="auto"/>
              <w:right w:val="single" w:sz="4" w:space="0" w:color="auto"/>
            </w:tcBorders>
            <w:shd w:val="clear" w:color="auto" w:fill="auto"/>
            <w:vAlign w:val="center"/>
            <w:hideMark/>
          </w:tcPr>
          <w:p w14:paraId="1EB5B383" w14:textId="77777777" w:rsidR="00322AE9" w:rsidRPr="00322AE9" w:rsidRDefault="00322AE9" w:rsidP="000A6DB8">
            <w:pPr>
              <w:suppressAutoHyphens/>
              <w:adjustRightInd w:val="0"/>
              <w:ind w:firstLine="0"/>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Западная</w:t>
            </w:r>
          </w:p>
        </w:tc>
        <w:tc>
          <w:tcPr>
            <w:tcW w:w="1050" w:type="pct"/>
            <w:tcBorders>
              <w:top w:val="nil"/>
              <w:left w:val="nil"/>
              <w:bottom w:val="single" w:sz="4" w:space="0" w:color="auto"/>
              <w:right w:val="single" w:sz="4" w:space="0" w:color="auto"/>
            </w:tcBorders>
            <w:shd w:val="clear" w:color="auto" w:fill="auto"/>
            <w:vAlign w:val="center"/>
            <w:hideMark/>
          </w:tcPr>
          <w:p w14:paraId="3BB47BE9" w14:textId="77777777" w:rsidR="00322AE9" w:rsidRPr="00322AE9" w:rsidRDefault="00322AE9" w:rsidP="000A6DB8">
            <w:pPr>
              <w:suppressAutoHyphens/>
              <w:adjustRightInd w:val="0"/>
              <w:ind w:firstLine="0"/>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Ленский</w:t>
            </w:r>
          </w:p>
        </w:tc>
        <w:tc>
          <w:tcPr>
            <w:tcW w:w="1500" w:type="pct"/>
            <w:tcBorders>
              <w:top w:val="nil"/>
              <w:left w:val="nil"/>
              <w:bottom w:val="single" w:sz="4" w:space="0" w:color="auto"/>
              <w:right w:val="single" w:sz="4" w:space="0" w:color="auto"/>
            </w:tcBorders>
            <w:shd w:val="clear" w:color="auto" w:fill="auto"/>
            <w:vAlign w:val="center"/>
            <w:hideMark/>
          </w:tcPr>
          <w:p w14:paraId="160272E3" w14:textId="77777777" w:rsidR="00322AE9" w:rsidRPr="00322AE9" w:rsidRDefault="00322AE9" w:rsidP="000A6DB8">
            <w:pPr>
              <w:suppressAutoHyphens/>
              <w:adjustRightInd w:val="0"/>
              <w:ind w:firstLine="0"/>
              <w:jc w:val="left"/>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г. Ленск</w:t>
            </w:r>
          </w:p>
        </w:tc>
        <w:tc>
          <w:tcPr>
            <w:tcW w:w="865" w:type="pct"/>
            <w:tcBorders>
              <w:top w:val="nil"/>
              <w:left w:val="nil"/>
              <w:bottom w:val="single" w:sz="4" w:space="0" w:color="auto"/>
              <w:right w:val="single" w:sz="4" w:space="0" w:color="auto"/>
            </w:tcBorders>
            <w:shd w:val="clear" w:color="auto" w:fill="auto"/>
            <w:vAlign w:val="center"/>
            <w:hideMark/>
          </w:tcPr>
          <w:p w14:paraId="76FE2EC0" w14:textId="77777777" w:rsidR="00322AE9" w:rsidRPr="00322AE9" w:rsidRDefault="00322AE9" w:rsidP="000A6DB8">
            <w:pPr>
              <w:suppressAutoHyphens/>
              <w:adjustRightInd w:val="0"/>
              <w:ind w:firstLine="0"/>
              <w:jc w:val="center"/>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39</w:t>
            </w:r>
          </w:p>
        </w:tc>
      </w:tr>
      <w:tr w:rsidR="00322AE9" w:rsidRPr="00322AE9" w14:paraId="06A119F0" w14:textId="77777777" w:rsidTr="00322AE9">
        <w:trPr>
          <w:trHeight w:val="450"/>
          <w:jc w:val="center"/>
        </w:trPr>
        <w:tc>
          <w:tcPr>
            <w:tcW w:w="297" w:type="pct"/>
            <w:tcBorders>
              <w:top w:val="nil"/>
              <w:left w:val="single" w:sz="4" w:space="0" w:color="auto"/>
              <w:bottom w:val="single" w:sz="4" w:space="0" w:color="auto"/>
              <w:right w:val="single" w:sz="4" w:space="0" w:color="auto"/>
            </w:tcBorders>
            <w:shd w:val="clear" w:color="auto" w:fill="auto"/>
            <w:vAlign w:val="center"/>
            <w:hideMark/>
          </w:tcPr>
          <w:p w14:paraId="1343DB7A" w14:textId="77777777" w:rsidR="00322AE9" w:rsidRPr="00322AE9" w:rsidRDefault="00322AE9" w:rsidP="000A6DB8">
            <w:pPr>
              <w:suppressAutoHyphens/>
              <w:adjustRightInd w:val="0"/>
              <w:ind w:firstLine="0"/>
              <w:jc w:val="center"/>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37</w:t>
            </w:r>
          </w:p>
        </w:tc>
        <w:tc>
          <w:tcPr>
            <w:tcW w:w="1289" w:type="pct"/>
            <w:tcBorders>
              <w:top w:val="nil"/>
              <w:left w:val="nil"/>
              <w:bottom w:val="single" w:sz="4" w:space="0" w:color="auto"/>
              <w:right w:val="single" w:sz="4" w:space="0" w:color="auto"/>
            </w:tcBorders>
            <w:shd w:val="clear" w:color="auto" w:fill="auto"/>
            <w:vAlign w:val="center"/>
            <w:hideMark/>
          </w:tcPr>
          <w:p w14:paraId="2D479FDA" w14:textId="77777777" w:rsidR="00322AE9" w:rsidRPr="00322AE9" w:rsidRDefault="00322AE9" w:rsidP="000A6DB8">
            <w:pPr>
              <w:suppressAutoHyphens/>
              <w:adjustRightInd w:val="0"/>
              <w:ind w:firstLine="0"/>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Западная</w:t>
            </w:r>
          </w:p>
        </w:tc>
        <w:tc>
          <w:tcPr>
            <w:tcW w:w="1050" w:type="pct"/>
            <w:tcBorders>
              <w:top w:val="nil"/>
              <w:left w:val="nil"/>
              <w:bottom w:val="single" w:sz="4" w:space="0" w:color="auto"/>
              <w:right w:val="single" w:sz="4" w:space="0" w:color="auto"/>
            </w:tcBorders>
            <w:shd w:val="clear" w:color="auto" w:fill="auto"/>
            <w:vAlign w:val="center"/>
            <w:hideMark/>
          </w:tcPr>
          <w:p w14:paraId="2FCC4171" w14:textId="77777777" w:rsidR="00322AE9" w:rsidRPr="00322AE9" w:rsidRDefault="00322AE9" w:rsidP="000A6DB8">
            <w:pPr>
              <w:suppressAutoHyphens/>
              <w:adjustRightInd w:val="0"/>
              <w:ind w:firstLine="0"/>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Мирнинский</w:t>
            </w:r>
          </w:p>
        </w:tc>
        <w:tc>
          <w:tcPr>
            <w:tcW w:w="1500" w:type="pct"/>
            <w:tcBorders>
              <w:top w:val="nil"/>
              <w:left w:val="nil"/>
              <w:bottom w:val="single" w:sz="4" w:space="0" w:color="auto"/>
              <w:right w:val="single" w:sz="4" w:space="0" w:color="auto"/>
            </w:tcBorders>
            <w:shd w:val="clear" w:color="auto" w:fill="auto"/>
            <w:vAlign w:val="center"/>
            <w:hideMark/>
          </w:tcPr>
          <w:p w14:paraId="49F75E52" w14:textId="77777777" w:rsidR="00322AE9" w:rsidRPr="00322AE9" w:rsidRDefault="00322AE9" w:rsidP="000A6DB8">
            <w:pPr>
              <w:suppressAutoHyphens/>
              <w:adjustRightInd w:val="0"/>
              <w:ind w:firstLine="0"/>
              <w:jc w:val="left"/>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для Муниципального образования</w:t>
            </w:r>
          </w:p>
        </w:tc>
        <w:tc>
          <w:tcPr>
            <w:tcW w:w="865" w:type="pct"/>
            <w:tcBorders>
              <w:top w:val="nil"/>
              <w:left w:val="nil"/>
              <w:bottom w:val="single" w:sz="4" w:space="0" w:color="auto"/>
              <w:right w:val="single" w:sz="4" w:space="0" w:color="auto"/>
            </w:tcBorders>
            <w:shd w:val="clear" w:color="auto" w:fill="auto"/>
            <w:vAlign w:val="center"/>
            <w:hideMark/>
          </w:tcPr>
          <w:p w14:paraId="31EA5A90" w14:textId="77777777" w:rsidR="00322AE9" w:rsidRPr="00322AE9" w:rsidRDefault="00322AE9" w:rsidP="000A6DB8">
            <w:pPr>
              <w:suppressAutoHyphens/>
              <w:adjustRightInd w:val="0"/>
              <w:ind w:firstLine="0"/>
              <w:jc w:val="center"/>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53</w:t>
            </w:r>
          </w:p>
        </w:tc>
      </w:tr>
      <w:tr w:rsidR="00322AE9" w:rsidRPr="00322AE9" w14:paraId="111699AF" w14:textId="77777777" w:rsidTr="00322AE9">
        <w:trPr>
          <w:trHeight w:val="450"/>
          <w:jc w:val="center"/>
        </w:trPr>
        <w:tc>
          <w:tcPr>
            <w:tcW w:w="297" w:type="pct"/>
            <w:tcBorders>
              <w:top w:val="nil"/>
              <w:left w:val="single" w:sz="4" w:space="0" w:color="auto"/>
              <w:bottom w:val="single" w:sz="4" w:space="0" w:color="auto"/>
              <w:right w:val="single" w:sz="4" w:space="0" w:color="auto"/>
            </w:tcBorders>
            <w:shd w:val="clear" w:color="auto" w:fill="auto"/>
            <w:vAlign w:val="center"/>
            <w:hideMark/>
          </w:tcPr>
          <w:p w14:paraId="6D6CB492" w14:textId="77777777" w:rsidR="00322AE9" w:rsidRPr="00322AE9" w:rsidRDefault="00322AE9" w:rsidP="000A6DB8">
            <w:pPr>
              <w:suppressAutoHyphens/>
              <w:adjustRightInd w:val="0"/>
              <w:ind w:firstLine="0"/>
              <w:jc w:val="center"/>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38</w:t>
            </w:r>
          </w:p>
        </w:tc>
        <w:tc>
          <w:tcPr>
            <w:tcW w:w="1289" w:type="pct"/>
            <w:tcBorders>
              <w:top w:val="nil"/>
              <w:left w:val="nil"/>
              <w:bottom w:val="single" w:sz="4" w:space="0" w:color="auto"/>
              <w:right w:val="single" w:sz="4" w:space="0" w:color="auto"/>
            </w:tcBorders>
            <w:shd w:val="clear" w:color="auto" w:fill="auto"/>
            <w:vAlign w:val="center"/>
            <w:hideMark/>
          </w:tcPr>
          <w:p w14:paraId="7E584191" w14:textId="77777777" w:rsidR="00322AE9" w:rsidRPr="00322AE9" w:rsidRDefault="00322AE9" w:rsidP="000A6DB8">
            <w:pPr>
              <w:suppressAutoHyphens/>
              <w:adjustRightInd w:val="0"/>
              <w:ind w:firstLine="0"/>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Западная</w:t>
            </w:r>
          </w:p>
        </w:tc>
        <w:tc>
          <w:tcPr>
            <w:tcW w:w="1050" w:type="pct"/>
            <w:tcBorders>
              <w:top w:val="nil"/>
              <w:left w:val="nil"/>
              <w:bottom w:val="single" w:sz="4" w:space="0" w:color="auto"/>
              <w:right w:val="single" w:sz="4" w:space="0" w:color="auto"/>
            </w:tcBorders>
            <w:shd w:val="clear" w:color="auto" w:fill="auto"/>
            <w:vAlign w:val="center"/>
            <w:hideMark/>
          </w:tcPr>
          <w:p w14:paraId="1AD853AF" w14:textId="77777777" w:rsidR="00322AE9" w:rsidRPr="00322AE9" w:rsidRDefault="00322AE9" w:rsidP="000A6DB8">
            <w:pPr>
              <w:suppressAutoHyphens/>
              <w:adjustRightInd w:val="0"/>
              <w:ind w:firstLine="0"/>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Мирнинский</w:t>
            </w:r>
          </w:p>
        </w:tc>
        <w:tc>
          <w:tcPr>
            <w:tcW w:w="1500" w:type="pct"/>
            <w:tcBorders>
              <w:top w:val="nil"/>
              <w:left w:val="nil"/>
              <w:bottom w:val="single" w:sz="4" w:space="0" w:color="auto"/>
              <w:right w:val="single" w:sz="4" w:space="0" w:color="auto"/>
            </w:tcBorders>
            <w:shd w:val="clear" w:color="auto" w:fill="auto"/>
            <w:vAlign w:val="center"/>
            <w:hideMark/>
          </w:tcPr>
          <w:p w14:paraId="780F2BB9" w14:textId="77777777" w:rsidR="00322AE9" w:rsidRPr="00322AE9" w:rsidRDefault="00322AE9" w:rsidP="000A6DB8">
            <w:pPr>
              <w:suppressAutoHyphens/>
              <w:adjustRightInd w:val="0"/>
              <w:ind w:firstLine="0"/>
              <w:jc w:val="left"/>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г. Мирный</w:t>
            </w:r>
          </w:p>
        </w:tc>
        <w:tc>
          <w:tcPr>
            <w:tcW w:w="865" w:type="pct"/>
            <w:tcBorders>
              <w:top w:val="nil"/>
              <w:left w:val="nil"/>
              <w:bottom w:val="single" w:sz="4" w:space="0" w:color="auto"/>
              <w:right w:val="single" w:sz="4" w:space="0" w:color="auto"/>
            </w:tcBorders>
            <w:shd w:val="clear" w:color="auto" w:fill="auto"/>
            <w:vAlign w:val="center"/>
            <w:hideMark/>
          </w:tcPr>
          <w:p w14:paraId="790D5F86" w14:textId="77777777" w:rsidR="00322AE9" w:rsidRPr="00322AE9" w:rsidRDefault="00322AE9" w:rsidP="000A6DB8">
            <w:pPr>
              <w:suppressAutoHyphens/>
              <w:adjustRightInd w:val="0"/>
              <w:ind w:firstLine="0"/>
              <w:jc w:val="center"/>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34</w:t>
            </w:r>
          </w:p>
        </w:tc>
      </w:tr>
      <w:tr w:rsidR="00322AE9" w:rsidRPr="00322AE9" w14:paraId="06E99025" w14:textId="77777777" w:rsidTr="00322AE9">
        <w:trPr>
          <w:trHeight w:val="450"/>
          <w:jc w:val="center"/>
        </w:trPr>
        <w:tc>
          <w:tcPr>
            <w:tcW w:w="297" w:type="pct"/>
            <w:tcBorders>
              <w:top w:val="nil"/>
              <w:left w:val="single" w:sz="4" w:space="0" w:color="auto"/>
              <w:bottom w:val="single" w:sz="4" w:space="0" w:color="auto"/>
              <w:right w:val="single" w:sz="4" w:space="0" w:color="auto"/>
            </w:tcBorders>
            <w:shd w:val="clear" w:color="auto" w:fill="auto"/>
            <w:vAlign w:val="center"/>
            <w:hideMark/>
          </w:tcPr>
          <w:p w14:paraId="2B1287BF" w14:textId="77777777" w:rsidR="00322AE9" w:rsidRPr="00322AE9" w:rsidRDefault="00322AE9" w:rsidP="000A6DB8">
            <w:pPr>
              <w:suppressAutoHyphens/>
              <w:adjustRightInd w:val="0"/>
              <w:ind w:firstLine="0"/>
              <w:jc w:val="center"/>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39</w:t>
            </w:r>
          </w:p>
        </w:tc>
        <w:tc>
          <w:tcPr>
            <w:tcW w:w="1289" w:type="pct"/>
            <w:tcBorders>
              <w:top w:val="nil"/>
              <w:left w:val="nil"/>
              <w:bottom w:val="single" w:sz="4" w:space="0" w:color="auto"/>
              <w:right w:val="single" w:sz="4" w:space="0" w:color="auto"/>
            </w:tcBorders>
            <w:shd w:val="clear" w:color="auto" w:fill="auto"/>
            <w:vAlign w:val="center"/>
            <w:hideMark/>
          </w:tcPr>
          <w:p w14:paraId="00EE7492" w14:textId="77777777" w:rsidR="00322AE9" w:rsidRPr="00322AE9" w:rsidRDefault="00322AE9" w:rsidP="000A6DB8">
            <w:pPr>
              <w:suppressAutoHyphens/>
              <w:adjustRightInd w:val="0"/>
              <w:ind w:firstLine="0"/>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Западная</w:t>
            </w:r>
          </w:p>
        </w:tc>
        <w:tc>
          <w:tcPr>
            <w:tcW w:w="1050" w:type="pct"/>
            <w:tcBorders>
              <w:top w:val="nil"/>
              <w:left w:val="nil"/>
              <w:bottom w:val="single" w:sz="4" w:space="0" w:color="auto"/>
              <w:right w:val="single" w:sz="4" w:space="0" w:color="auto"/>
            </w:tcBorders>
            <w:shd w:val="clear" w:color="auto" w:fill="auto"/>
            <w:vAlign w:val="center"/>
            <w:hideMark/>
          </w:tcPr>
          <w:p w14:paraId="56FAB1C5" w14:textId="77777777" w:rsidR="00322AE9" w:rsidRPr="00322AE9" w:rsidRDefault="00322AE9" w:rsidP="000A6DB8">
            <w:pPr>
              <w:suppressAutoHyphens/>
              <w:adjustRightInd w:val="0"/>
              <w:ind w:firstLine="0"/>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Нюрбинский</w:t>
            </w:r>
          </w:p>
        </w:tc>
        <w:tc>
          <w:tcPr>
            <w:tcW w:w="1500" w:type="pct"/>
            <w:tcBorders>
              <w:top w:val="nil"/>
              <w:left w:val="nil"/>
              <w:bottom w:val="single" w:sz="4" w:space="0" w:color="auto"/>
              <w:right w:val="single" w:sz="4" w:space="0" w:color="auto"/>
            </w:tcBorders>
            <w:shd w:val="clear" w:color="auto" w:fill="auto"/>
            <w:vAlign w:val="center"/>
            <w:hideMark/>
          </w:tcPr>
          <w:p w14:paraId="6A82BD43" w14:textId="77777777" w:rsidR="00322AE9" w:rsidRPr="00322AE9" w:rsidRDefault="00322AE9" w:rsidP="000A6DB8">
            <w:pPr>
              <w:suppressAutoHyphens/>
              <w:adjustRightInd w:val="0"/>
              <w:ind w:firstLine="0"/>
              <w:jc w:val="left"/>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для Муниципального образования</w:t>
            </w:r>
          </w:p>
        </w:tc>
        <w:tc>
          <w:tcPr>
            <w:tcW w:w="865" w:type="pct"/>
            <w:tcBorders>
              <w:top w:val="nil"/>
              <w:left w:val="nil"/>
              <w:bottom w:val="single" w:sz="4" w:space="0" w:color="auto"/>
              <w:right w:val="single" w:sz="4" w:space="0" w:color="auto"/>
            </w:tcBorders>
            <w:shd w:val="clear" w:color="auto" w:fill="auto"/>
            <w:vAlign w:val="center"/>
            <w:hideMark/>
          </w:tcPr>
          <w:p w14:paraId="34A3B1D2" w14:textId="77777777" w:rsidR="00322AE9" w:rsidRPr="00322AE9" w:rsidRDefault="00322AE9" w:rsidP="000A6DB8">
            <w:pPr>
              <w:suppressAutoHyphens/>
              <w:adjustRightInd w:val="0"/>
              <w:ind w:firstLine="0"/>
              <w:jc w:val="center"/>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61</w:t>
            </w:r>
          </w:p>
        </w:tc>
      </w:tr>
      <w:tr w:rsidR="00322AE9" w:rsidRPr="00322AE9" w14:paraId="79DD4393" w14:textId="77777777" w:rsidTr="00322AE9">
        <w:trPr>
          <w:trHeight w:val="450"/>
          <w:jc w:val="center"/>
        </w:trPr>
        <w:tc>
          <w:tcPr>
            <w:tcW w:w="297" w:type="pct"/>
            <w:tcBorders>
              <w:top w:val="nil"/>
              <w:left w:val="single" w:sz="4" w:space="0" w:color="auto"/>
              <w:bottom w:val="single" w:sz="4" w:space="0" w:color="auto"/>
              <w:right w:val="single" w:sz="4" w:space="0" w:color="auto"/>
            </w:tcBorders>
            <w:shd w:val="clear" w:color="auto" w:fill="auto"/>
            <w:vAlign w:val="center"/>
            <w:hideMark/>
          </w:tcPr>
          <w:p w14:paraId="494BA086" w14:textId="77777777" w:rsidR="00322AE9" w:rsidRPr="00322AE9" w:rsidRDefault="00322AE9" w:rsidP="000A6DB8">
            <w:pPr>
              <w:suppressAutoHyphens/>
              <w:adjustRightInd w:val="0"/>
              <w:ind w:firstLine="0"/>
              <w:jc w:val="center"/>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40</w:t>
            </w:r>
          </w:p>
        </w:tc>
        <w:tc>
          <w:tcPr>
            <w:tcW w:w="1289" w:type="pct"/>
            <w:tcBorders>
              <w:top w:val="nil"/>
              <w:left w:val="nil"/>
              <w:bottom w:val="single" w:sz="4" w:space="0" w:color="auto"/>
              <w:right w:val="single" w:sz="4" w:space="0" w:color="auto"/>
            </w:tcBorders>
            <w:shd w:val="clear" w:color="auto" w:fill="auto"/>
            <w:vAlign w:val="center"/>
            <w:hideMark/>
          </w:tcPr>
          <w:p w14:paraId="755A20A6" w14:textId="77777777" w:rsidR="00322AE9" w:rsidRPr="00322AE9" w:rsidRDefault="00322AE9" w:rsidP="000A6DB8">
            <w:pPr>
              <w:suppressAutoHyphens/>
              <w:adjustRightInd w:val="0"/>
              <w:ind w:firstLine="0"/>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Западная</w:t>
            </w:r>
          </w:p>
        </w:tc>
        <w:tc>
          <w:tcPr>
            <w:tcW w:w="1050" w:type="pct"/>
            <w:tcBorders>
              <w:top w:val="nil"/>
              <w:left w:val="nil"/>
              <w:bottom w:val="single" w:sz="4" w:space="0" w:color="auto"/>
              <w:right w:val="single" w:sz="4" w:space="0" w:color="auto"/>
            </w:tcBorders>
            <w:shd w:val="clear" w:color="auto" w:fill="auto"/>
            <w:vAlign w:val="center"/>
            <w:hideMark/>
          </w:tcPr>
          <w:p w14:paraId="1DA376B2" w14:textId="77777777" w:rsidR="00322AE9" w:rsidRPr="00322AE9" w:rsidRDefault="00322AE9" w:rsidP="000A6DB8">
            <w:pPr>
              <w:suppressAutoHyphens/>
              <w:adjustRightInd w:val="0"/>
              <w:ind w:firstLine="0"/>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Нюрбинский</w:t>
            </w:r>
          </w:p>
        </w:tc>
        <w:tc>
          <w:tcPr>
            <w:tcW w:w="1500" w:type="pct"/>
            <w:tcBorders>
              <w:top w:val="nil"/>
              <w:left w:val="nil"/>
              <w:bottom w:val="single" w:sz="4" w:space="0" w:color="auto"/>
              <w:right w:val="single" w:sz="4" w:space="0" w:color="auto"/>
            </w:tcBorders>
            <w:shd w:val="clear" w:color="auto" w:fill="auto"/>
            <w:vAlign w:val="center"/>
            <w:hideMark/>
          </w:tcPr>
          <w:p w14:paraId="230D3DD8" w14:textId="77777777" w:rsidR="00322AE9" w:rsidRPr="00322AE9" w:rsidRDefault="00322AE9" w:rsidP="000A6DB8">
            <w:pPr>
              <w:suppressAutoHyphens/>
              <w:adjustRightInd w:val="0"/>
              <w:ind w:firstLine="0"/>
              <w:jc w:val="left"/>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г. Нюрба</w:t>
            </w:r>
          </w:p>
        </w:tc>
        <w:tc>
          <w:tcPr>
            <w:tcW w:w="865" w:type="pct"/>
            <w:tcBorders>
              <w:top w:val="nil"/>
              <w:left w:val="nil"/>
              <w:bottom w:val="single" w:sz="4" w:space="0" w:color="auto"/>
              <w:right w:val="single" w:sz="4" w:space="0" w:color="auto"/>
            </w:tcBorders>
            <w:shd w:val="clear" w:color="auto" w:fill="auto"/>
            <w:vAlign w:val="center"/>
            <w:hideMark/>
          </w:tcPr>
          <w:p w14:paraId="4E0A3D44" w14:textId="77777777" w:rsidR="00322AE9" w:rsidRPr="00322AE9" w:rsidRDefault="00322AE9" w:rsidP="000A6DB8">
            <w:pPr>
              <w:suppressAutoHyphens/>
              <w:adjustRightInd w:val="0"/>
              <w:ind w:firstLine="0"/>
              <w:jc w:val="center"/>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44</w:t>
            </w:r>
          </w:p>
        </w:tc>
      </w:tr>
      <w:tr w:rsidR="00322AE9" w:rsidRPr="00322AE9" w14:paraId="3ADDA1E0" w14:textId="77777777" w:rsidTr="00322AE9">
        <w:trPr>
          <w:trHeight w:val="450"/>
          <w:jc w:val="center"/>
        </w:trPr>
        <w:tc>
          <w:tcPr>
            <w:tcW w:w="297" w:type="pct"/>
            <w:tcBorders>
              <w:top w:val="nil"/>
              <w:left w:val="single" w:sz="4" w:space="0" w:color="auto"/>
              <w:bottom w:val="single" w:sz="4" w:space="0" w:color="auto"/>
              <w:right w:val="single" w:sz="4" w:space="0" w:color="auto"/>
            </w:tcBorders>
            <w:shd w:val="clear" w:color="auto" w:fill="auto"/>
            <w:vAlign w:val="center"/>
            <w:hideMark/>
          </w:tcPr>
          <w:p w14:paraId="3876517E" w14:textId="77777777" w:rsidR="00322AE9" w:rsidRPr="00322AE9" w:rsidRDefault="00322AE9" w:rsidP="000A6DB8">
            <w:pPr>
              <w:suppressAutoHyphens/>
              <w:adjustRightInd w:val="0"/>
              <w:ind w:firstLine="0"/>
              <w:jc w:val="center"/>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41</w:t>
            </w:r>
          </w:p>
        </w:tc>
        <w:tc>
          <w:tcPr>
            <w:tcW w:w="1289" w:type="pct"/>
            <w:tcBorders>
              <w:top w:val="nil"/>
              <w:left w:val="nil"/>
              <w:bottom w:val="single" w:sz="4" w:space="0" w:color="auto"/>
              <w:right w:val="single" w:sz="4" w:space="0" w:color="auto"/>
            </w:tcBorders>
            <w:shd w:val="clear" w:color="auto" w:fill="auto"/>
            <w:vAlign w:val="center"/>
            <w:hideMark/>
          </w:tcPr>
          <w:p w14:paraId="2E21289D" w14:textId="77777777" w:rsidR="00322AE9" w:rsidRPr="00322AE9" w:rsidRDefault="00322AE9" w:rsidP="000A6DB8">
            <w:pPr>
              <w:suppressAutoHyphens/>
              <w:adjustRightInd w:val="0"/>
              <w:ind w:firstLine="0"/>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Западная</w:t>
            </w:r>
          </w:p>
        </w:tc>
        <w:tc>
          <w:tcPr>
            <w:tcW w:w="1050" w:type="pct"/>
            <w:tcBorders>
              <w:top w:val="nil"/>
              <w:left w:val="nil"/>
              <w:bottom w:val="single" w:sz="4" w:space="0" w:color="auto"/>
              <w:right w:val="single" w:sz="4" w:space="0" w:color="auto"/>
            </w:tcBorders>
            <w:shd w:val="clear" w:color="auto" w:fill="auto"/>
            <w:vAlign w:val="center"/>
            <w:hideMark/>
          </w:tcPr>
          <w:p w14:paraId="491FE0B5" w14:textId="77777777" w:rsidR="00322AE9" w:rsidRPr="00322AE9" w:rsidRDefault="00322AE9" w:rsidP="000A6DB8">
            <w:pPr>
              <w:suppressAutoHyphens/>
              <w:adjustRightInd w:val="0"/>
              <w:ind w:firstLine="0"/>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Олекминский</w:t>
            </w:r>
          </w:p>
        </w:tc>
        <w:tc>
          <w:tcPr>
            <w:tcW w:w="1500" w:type="pct"/>
            <w:tcBorders>
              <w:top w:val="nil"/>
              <w:left w:val="nil"/>
              <w:bottom w:val="single" w:sz="4" w:space="0" w:color="auto"/>
              <w:right w:val="single" w:sz="4" w:space="0" w:color="auto"/>
            </w:tcBorders>
            <w:shd w:val="clear" w:color="auto" w:fill="auto"/>
            <w:vAlign w:val="center"/>
            <w:hideMark/>
          </w:tcPr>
          <w:p w14:paraId="66FC5924" w14:textId="77777777" w:rsidR="00322AE9" w:rsidRPr="00322AE9" w:rsidRDefault="00322AE9" w:rsidP="000A6DB8">
            <w:pPr>
              <w:suppressAutoHyphens/>
              <w:adjustRightInd w:val="0"/>
              <w:ind w:firstLine="0"/>
              <w:jc w:val="left"/>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для Муниципального образования</w:t>
            </w:r>
          </w:p>
        </w:tc>
        <w:tc>
          <w:tcPr>
            <w:tcW w:w="865" w:type="pct"/>
            <w:tcBorders>
              <w:top w:val="nil"/>
              <w:left w:val="nil"/>
              <w:bottom w:val="single" w:sz="4" w:space="0" w:color="auto"/>
              <w:right w:val="single" w:sz="4" w:space="0" w:color="auto"/>
            </w:tcBorders>
            <w:shd w:val="clear" w:color="auto" w:fill="auto"/>
            <w:vAlign w:val="center"/>
            <w:hideMark/>
          </w:tcPr>
          <w:p w14:paraId="79F4AEAA" w14:textId="77777777" w:rsidR="00322AE9" w:rsidRPr="00322AE9" w:rsidRDefault="00322AE9" w:rsidP="000A6DB8">
            <w:pPr>
              <w:suppressAutoHyphens/>
              <w:adjustRightInd w:val="0"/>
              <w:ind w:firstLine="0"/>
              <w:jc w:val="center"/>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61</w:t>
            </w:r>
          </w:p>
        </w:tc>
      </w:tr>
      <w:tr w:rsidR="00322AE9" w:rsidRPr="00322AE9" w14:paraId="62683D23" w14:textId="77777777" w:rsidTr="00322AE9">
        <w:trPr>
          <w:trHeight w:val="450"/>
          <w:jc w:val="center"/>
        </w:trPr>
        <w:tc>
          <w:tcPr>
            <w:tcW w:w="297" w:type="pct"/>
            <w:tcBorders>
              <w:top w:val="nil"/>
              <w:left w:val="single" w:sz="4" w:space="0" w:color="auto"/>
              <w:bottom w:val="single" w:sz="4" w:space="0" w:color="auto"/>
              <w:right w:val="single" w:sz="4" w:space="0" w:color="auto"/>
            </w:tcBorders>
            <w:shd w:val="clear" w:color="auto" w:fill="auto"/>
            <w:vAlign w:val="center"/>
            <w:hideMark/>
          </w:tcPr>
          <w:p w14:paraId="6397DA6D" w14:textId="77777777" w:rsidR="00322AE9" w:rsidRPr="00322AE9" w:rsidRDefault="00322AE9" w:rsidP="000A6DB8">
            <w:pPr>
              <w:suppressAutoHyphens/>
              <w:adjustRightInd w:val="0"/>
              <w:ind w:firstLine="0"/>
              <w:jc w:val="center"/>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42</w:t>
            </w:r>
          </w:p>
        </w:tc>
        <w:tc>
          <w:tcPr>
            <w:tcW w:w="1289" w:type="pct"/>
            <w:tcBorders>
              <w:top w:val="nil"/>
              <w:left w:val="nil"/>
              <w:bottom w:val="single" w:sz="4" w:space="0" w:color="auto"/>
              <w:right w:val="single" w:sz="4" w:space="0" w:color="auto"/>
            </w:tcBorders>
            <w:shd w:val="clear" w:color="auto" w:fill="auto"/>
            <w:vAlign w:val="center"/>
            <w:hideMark/>
          </w:tcPr>
          <w:p w14:paraId="53A36F73" w14:textId="77777777" w:rsidR="00322AE9" w:rsidRPr="00322AE9" w:rsidRDefault="00322AE9" w:rsidP="000A6DB8">
            <w:pPr>
              <w:suppressAutoHyphens/>
              <w:adjustRightInd w:val="0"/>
              <w:ind w:firstLine="0"/>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Западная</w:t>
            </w:r>
          </w:p>
        </w:tc>
        <w:tc>
          <w:tcPr>
            <w:tcW w:w="1050" w:type="pct"/>
            <w:tcBorders>
              <w:top w:val="nil"/>
              <w:left w:val="nil"/>
              <w:bottom w:val="single" w:sz="4" w:space="0" w:color="auto"/>
              <w:right w:val="single" w:sz="4" w:space="0" w:color="auto"/>
            </w:tcBorders>
            <w:shd w:val="clear" w:color="auto" w:fill="auto"/>
            <w:vAlign w:val="center"/>
            <w:hideMark/>
          </w:tcPr>
          <w:p w14:paraId="3FF75F2D" w14:textId="77777777" w:rsidR="00322AE9" w:rsidRPr="00322AE9" w:rsidRDefault="00322AE9" w:rsidP="000A6DB8">
            <w:pPr>
              <w:suppressAutoHyphens/>
              <w:adjustRightInd w:val="0"/>
              <w:ind w:firstLine="0"/>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Олекминский</w:t>
            </w:r>
          </w:p>
        </w:tc>
        <w:tc>
          <w:tcPr>
            <w:tcW w:w="1500" w:type="pct"/>
            <w:tcBorders>
              <w:top w:val="nil"/>
              <w:left w:val="nil"/>
              <w:bottom w:val="single" w:sz="4" w:space="0" w:color="auto"/>
              <w:right w:val="single" w:sz="4" w:space="0" w:color="auto"/>
            </w:tcBorders>
            <w:shd w:val="clear" w:color="auto" w:fill="auto"/>
            <w:vAlign w:val="center"/>
            <w:hideMark/>
          </w:tcPr>
          <w:p w14:paraId="100B175E" w14:textId="77777777" w:rsidR="00322AE9" w:rsidRPr="00322AE9" w:rsidRDefault="00322AE9" w:rsidP="000A6DB8">
            <w:pPr>
              <w:suppressAutoHyphens/>
              <w:adjustRightInd w:val="0"/>
              <w:ind w:firstLine="0"/>
              <w:jc w:val="left"/>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г. Олекминск</w:t>
            </w:r>
          </w:p>
        </w:tc>
        <w:tc>
          <w:tcPr>
            <w:tcW w:w="865" w:type="pct"/>
            <w:tcBorders>
              <w:top w:val="nil"/>
              <w:left w:val="nil"/>
              <w:bottom w:val="single" w:sz="4" w:space="0" w:color="auto"/>
              <w:right w:val="single" w:sz="4" w:space="0" w:color="auto"/>
            </w:tcBorders>
            <w:shd w:val="clear" w:color="auto" w:fill="auto"/>
            <w:vAlign w:val="center"/>
            <w:hideMark/>
          </w:tcPr>
          <w:p w14:paraId="148C38B5" w14:textId="77777777" w:rsidR="00322AE9" w:rsidRPr="00322AE9" w:rsidRDefault="00322AE9" w:rsidP="000A6DB8">
            <w:pPr>
              <w:suppressAutoHyphens/>
              <w:adjustRightInd w:val="0"/>
              <w:ind w:firstLine="0"/>
              <w:jc w:val="center"/>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41</w:t>
            </w:r>
          </w:p>
        </w:tc>
      </w:tr>
      <w:tr w:rsidR="00322AE9" w:rsidRPr="00322AE9" w14:paraId="4D2595EC" w14:textId="77777777" w:rsidTr="00322AE9">
        <w:trPr>
          <w:trHeight w:val="450"/>
          <w:jc w:val="center"/>
        </w:trPr>
        <w:tc>
          <w:tcPr>
            <w:tcW w:w="297" w:type="pct"/>
            <w:tcBorders>
              <w:top w:val="nil"/>
              <w:left w:val="single" w:sz="4" w:space="0" w:color="auto"/>
              <w:bottom w:val="single" w:sz="4" w:space="0" w:color="auto"/>
              <w:right w:val="single" w:sz="4" w:space="0" w:color="auto"/>
            </w:tcBorders>
            <w:shd w:val="clear" w:color="auto" w:fill="auto"/>
            <w:vAlign w:val="center"/>
            <w:hideMark/>
          </w:tcPr>
          <w:p w14:paraId="53FE4932" w14:textId="77777777" w:rsidR="00322AE9" w:rsidRPr="00322AE9" w:rsidRDefault="00322AE9" w:rsidP="000A6DB8">
            <w:pPr>
              <w:suppressAutoHyphens/>
              <w:adjustRightInd w:val="0"/>
              <w:ind w:firstLine="0"/>
              <w:jc w:val="center"/>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43</w:t>
            </w:r>
          </w:p>
        </w:tc>
        <w:tc>
          <w:tcPr>
            <w:tcW w:w="1289" w:type="pct"/>
            <w:tcBorders>
              <w:top w:val="nil"/>
              <w:left w:val="nil"/>
              <w:bottom w:val="single" w:sz="4" w:space="0" w:color="auto"/>
              <w:right w:val="single" w:sz="4" w:space="0" w:color="auto"/>
            </w:tcBorders>
            <w:shd w:val="clear" w:color="auto" w:fill="auto"/>
            <w:vAlign w:val="center"/>
            <w:hideMark/>
          </w:tcPr>
          <w:p w14:paraId="5D4AE911" w14:textId="77777777" w:rsidR="00322AE9" w:rsidRPr="00322AE9" w:rsidRDefault="00322AE9" w:rsidP="000A6DB8">
            <w:pPr>
              <w:suppressAutoHyphens/>
              <w:adjustRightInd w:val="0"/>
              <w:ind w:firstLine="0"/>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Западная</w:t>
            </w:r>
          </w:p>
        </w:tc>
        <w:tc>
          <w:tcPr>
            <w:tcW w:w="1050" w:type="pct"/>
            <w:tcBorders>
              <w:top w:val="nil"/>
              <w:left w:val="nil"/>
              <w:bottom w:val="single" w:sz="4" w:space="0" w:color="auto"/>
              <w:right w:val="single" w:sz="4" w:space="0" w:color="auto"/>
            </w:tcBorders>
            <w:shd w:val="clear" w:color="auto" w:fill="auto"/>
            <w:vAlign w:val="center"/>
            <w:hideMark/>
          </w:tcPr>
          <w:p w14:paraId="1DDC0C37" w14:textId="77777777" w:rsidR="00322AE9" w:rsidRPr="00322AE9" w:rsidRDefault="00322AE9" w:rsidP="000A6DB8">
            <w:pPr>
              <w:suppressAutoHyphens/>
              <w:adjustRightInd w:val="0"/>
              <w:ind w:firstLine="0"/>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Сунтарский</w:t>
            </w:r>
          </w:p>
        </w:tc>
        <w:tc>
          <w:tcPr>
            <w:tcW w:w="1500" w:type="pct"/>
            <w:tcBorders>
              <w:top w:val="nil"/>
              <w:left w:val="nil"/>
              <w:bottom w:val="single" w:sz="4" w:space="0" w:color="auto"/>
              <w:right w:val="single" w:sz="4" w:space="0" w:color="auto"/>
            </w:tcBorders>
            <w:shd w:val="clear" w:color="auto" w:fill="auto"/>
            <w:vAlign w:val="center"/>
            <w:hideMark/>
          </w:tcPr>
          <w:p w14:paraId="1DCD680F" w14:textId="77777777" w:rsidR="00322AE9" w:rsidRPr="00322AE9" w:rsidRDefault="00322AE9" w:rsidP="000A6DB8">
            <w:pPr>
              <w:suppressAutoHyphens/>
              <w:adjustRightInd w:val="0"/>
              <w:ind w:firstLine="0"/>
              <w:jc w:val="left"/>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для Муниципального образования</w:t>
            </w:r>
          </w:p>
        </w:tc>
        <w:tc>
          <w:tcPr>
            <w:tcW w:w="865" w:type="pct"/>
            <w:tcBorders>
              <w:top w:val="nil"/>
              <w:left w:val="nil"/>
              <w:bottom w:val="single" w:sz="4" w:space="0" w:color="auto"/>
              <w:right w:val="single" w:sz="4" w:space="0" w:color="auto"/>
            </w:tcBorders>
            <w:shd w:val="clear" w:color="auto" w:fill="auto"/>
            <w:vAlign w:val="center"/>
            <w:hideMark/>
          </w:tcPr>
          <w:p w14:paraId="6C1DC543" w14:textId="77777777" w:rsidR="00322AE9" w:rsidRPr="00322AE9" w:rsidRDefault="00322AE9" w:rsidP="000A6DB8">
            <w:pPr>
              <w:suppressAutoHyphens/>
              <w:adjustRightInd w:val="0"/>
              <w:ind w:firstLine="0"/>
              <w:jc w:val="center"/>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63</w:t>
            </w:r>
          </w:p>
        </w:tc>
      </w:tr>
      <w:tr w:rsidR="00322AE9" w:rsidRPr="00322AE9" w14:paraId="4702DD3C" w14:textId="77777777" w:rsidTr="00322AE9">
        <w:trPr>
          <w:trHeight w:val="450"/>
          <w:jc w:val="center"/>
        </w:trPr>
        <w:tc>
          <w:tcPr>
            <w:tcW w:w="297" w:type="pct"/>
            <w:tcBorders>
              <w:top w:val="nil"/>
              <w:left w:val="single" w:sz="4" w:space="0" w:color="auto"/>
              <w:bottom w:val="single" w:sz="4" w:space="0" w:color="auto"/>
              <w:right w:val="single" w:sz="4" w:space="0" w:color="auto"/>
            </w:tcBorders>
            <w:shd w:val="clear" w:color="auto" w:fill="auto"/>
            <w:vAlign w:val="center"/>
            <w:hideMark/>
          </w:tcPr>
          <w:p w14:paraId="35F55EDE" w14:textId="77777777" w:rsidR="00322AE9" w:rsidRPr="00322AE9" w:rsidRDefault="00322AE9" w:rsidP="000A6DB8">
            <w:pPr>
              <w:suppressAutoHyphens/>
              <w:adjustRightInd w:val="0"/>
              <w:ind w:firstLine="0"/>
              <w:jc w:val="center"/>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44</w:t>
            </w:r>
          </w:p>
        </w:tc>
        <w:tc>
          <w:tcPr>
            <w:tcW w:w="1289" w:type="pct"/>
            <w:tcBorders>
              <w:top w:val="nil"/>
              <w:left w:val="nil"/>
              <w:bottom w:val="single" w:sz="4" w:space="0" w:color="auto"/>
              <w:right w:val="single" w:sz="4" w:space="0" w:color="auto"/>
            </w:tcBorders>
            <w:shd w:val="clear" w:color="auto" w:fill="auto"/>
            <w:vAlign w:val="center"/>
            <w:hideMark/>
          </w:tcPr>
          <w:p w14:paraId="21454637" w14:textId="77777777" w:rsidR="00322AE9" w:rsidRPr="00322AE9" w:rsidRDefault="00322AE9" w:rsidP="000A6DB8">
            <w:pPr>
              <w:suppressAutoHyphens/>
              <w:adjustRightInd w:val="0"/>
              <w:ind w:firstLine="0"/>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Центральная</w:t>
            </w:r>
          </w:p>
        </w:tc>
        <w:tc>
          <w:tcPr>
            <w:tcW w:w="1050" w:type="pct"/>
            <w:tcBorders>
              <w:top w:val="nil"/>
              <w:left w:val="nil"/>
              <w:bottom w:val="single" w:sz="4" w:space="0" w:color="auto"/>
              <w:right w:val="single" w:sz="4" w:space="0" w:color="auto"/>
            </w:tcBorders>
            <w:shd w:val="clear" w:color="auto" w:fill="auto"/>
            <w:vAlign w:val="center"/>
            <w:hideMark/>
          </w:tcPr>
          <w:p w14:paraId="79A35E1B" w14:textId="77777777" w:rsidR="00322AE9" w:rsidRPr="00322AE9" w:rsidRDefault="00322AE9" w:rsidP="000A6DB8">
            <w:pPr>
              <w:suppressAutoHyphens/>
              <w:adjustRightInd w:val="0"/>
              <w:ind w:firstLine="0"/>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Амгинский</w:t>
            </w:r>
          </w:p>
        </w:tc>
        <w:tc>
          <w:tcPr>
            <w:tcW w:w="1500" w:type="pct"/>
            <w:tcBorders>
              <w:top w:val="nil"/>
              <w:left w:val="nil"/>
              <w:bottom w:val="single" w:sz="4" w:space="0" w:color="auto"/>
              <w:right w:val="single" w:sz="4" w:space="0" w:color="auto"/>
            </w:tcBorders>
            <w:shd w:val="clear" w:color="auto" w:fill="auto"/>
            <w:vAlign w:val="center"/>
            <w:hideMark/>
          </w:tcPr>
          <w:p w14:paraId="0B5E1F82" w14:textId="77777777" w:rsidR="00322AE9" w:rsidRPr="00322AE9" w:rsidRDefault="00322AE9" w:rsidP="000A6DB8">
            <w:pPr>
              <w:suppressAutoHyphens/>
              <w:adjustRightInd w:val="0"/>
              <w:ind w:firstLine="0"/>
              <w:jc w:val="left"/>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для Муниципального образования</w:t>
            </w:r>
          </w:p>
        </w:tc>
        <w:tc>
          <w:tcPr>
            <w:tcW w:w="865" w:type="pct"/>
            <w:tcBorders>
              <w:top w:val="nil"/>
              <w:left w:val="nil"/>
              <w:bottom w:val="single" w:sz="4" w:space="0" w:color="auto"/>
              <w:right w:val="single" w:sz="4" w:space="0" w:color="auto"/>
            </w:tcBorders>
            <w:shd w:val="clear" w:color="auto" w:fill="auto"/>
            <w:vAlign w:val="center"/>
            <w:hideMark/>
          </w:tcPr>
          <w:p w14:paraId="34EB6EB5" w14:textId="77777777" w:rsidR="00322AE9" w:rsidRPr="00322AE9" w:rsidRDefault="00322AE9" w:rsidP="000A6DB8">
            <w:pPr>
              <w:suppressAutoHyphens/>
              <w:adjustRightInd w:val="0"/>
              <w:ind w:firstLine="0"/>
              <w:jc w:val="center"/>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64</w:t>
            </w:r>
          </w:p>
        </w:tc>
      </w:tr>
      <w:tr w:rsidR="00322AE9" w:rsidRPr="00322AE9" w14:paraId="3B2D5216" w14:textId="77777777" w:rsidTr="00322AE9">
        <w:trPr>
          <w:trHeight w:val="450"/>
          <w:jc w:val="center"/>
        </w:trPr>
        <w:tc>
          <w:tcPr>
            <w:tcW w:w="297" w:type="pct"/>
            <w:tcBorders>
              <w:top w:val="nil"/>
              <w:left w:val="single" w:sz="4" w:space="0" w:color="auto"/>
              <w:bottom w:val="single" w:sz="4" w:space="0" w:color="auto"/>
              <w:right w:val="single" w:sz="4" w:space="0" w:color="auto"/>
            </w:tcBorders>
            <w:shd w:val="clear" w:color="auto" w:fill="auto"/>
            <w:vAlign w:val="center"/>
            <w:hideMark/>
          </w:tcPr>
          <w:p w14:paraId="53EE2B93" w14:textId="77777777" w:rsidR="00322AE9" w:rsidRPr="00322AE9" w:rsidRDefault="00322AE9" w:rsidP="000A6DB8">
            <w:pPr>
              <w:suppressAutoHyphens/>
              <w:adjustRightInd w:val="0"/>
              <w:ind w:firstLine="0"/>
              <w:jc w:val="center"/>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45</w:t>
            </w:r>
          </w:p>
        </w:tc>
        <w:tc>
          <w:tcPr>
            <w:tcW w:w="1289" w:type="pct"/>
            <w:tcBorders>
              <w:top w:val="nil"/>
              <w:left w:val="nil"/>
              <w:bottom w:val="single" w:sz="4" w:space="0" w:color="auto"/>
              <w:right w:val="single" w:sz="4" w:space="0" w:color="auto"/>
            </w:tcBorders>
            <w:shd w:val="clear" w:color="auto" w:fill="auto"/>
            <w:vAlign w:val="center"/>
            <w:hideMark/>
          </w:tcPr>
          <w:p w14:paraId="730A8C01" w14:textId="77777777" w:rsidR="00322AE9" w:rsidRPr="00322AE9" w:rsidRDefault="00322AE9" w:rsidP="000A6DB8">
            <w:pPr>
              <w:suppressAutoHyphens/>
              <w:adjustRightInd w:val="0"/>
              <w:ind w:firstLine="0"/>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Центральная</w:t>
            </w:r>
          </w:p>
        </w:tc>
        <w:tc>
          <w:tcPr>
            <w:tcW w:w="1050" w:type="pct"/>
            <w:tcBorders>
              <w:top w:val="nil"/>
              <w:left w:val="nil"/>
              <w:bottom w:val="single" w:sz="4" w:space="0" w:color="auto"/>
              <w:right w:val="single" w:sz="4" w:space="0" w:color="auto"/>
            </w:tcBorders>
            <w:shd w:val="clear" w:color="auto" w:fill="auto"/>
            <w:vAlign w:val="center"/>
            <w:hideMark/>
          </w:tcPr>
          <w:p w14:paraId="76A9E7E3" w14:textId="77777777" w:rsidR="00322AE9" w:rsidRPr="00322AE9" w:rsidRDefault="00322AE9" w:rsidP="000A6DB8">
            <w:pPr>
              <w:suppressAutoHyphens/>
              <w:adjustRightInd w:val="0"/>
              <w:ind w:firstLine="0"/>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ГО Жатай</w:t>
            </w:r>
          </w:p>
        </w:tc>
        <w:tc>
          <w:tcPr>
            <w:tcW w:w="1500" w:type="pct"/>
            <w:tcBorders>
              <w:top w:val="nil"/>
              <w:left w:val="nil"/>
              <w:bottom w:val="single" w:sz="4" w:space="0" w:color="auto"/>
              <w:right w:val="single" w:sz="4" w:space="0" w:color="auto"/>
            </w:tcBorders>
            <w:shd w:val="clear" w:color="auto" w:fill="auto"/>
            <w:vAlign w:val="center"/>
            <w:hideMark/>
          </w:tcPr>
          <w:p w14:paraId="6F31F476" w14:textId="77777777" w:rsidR="00322AE9" w:rsidRPr="00322AE9" w:rsidRDefault="00322AE9" w:rsidP="000A6DB8">
            <w:pPr>
              <w:suppressAutoHyphens/>
              <w:adjustRightInd w:val="0"/>
              <w:ind w:firstLine="0"/>
              <w:jc w:val="left"/>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п. Жатай</w:t>
            </w:r>
          </w:p>
        </w:tc>
        <w:tc>
          <w:tcPr>
            <w:tcW w:w="865" w:type="pct"/>
            <w:tcBorders>
              <w:top w:val="nil"/>
              <w:left w:val="nil"/>
              <w:bottom w:val="single" w:sz="4" w:space="0" w:color="auto"/>
              <w:right w:val="single" w:sz="4" w:space="0" w:color="auto"/>
            </w:tcBorders>
            <w:shd w:val="clear" w:color="auto" w:fill="auto"/>
            <w:vAlign w:val="center"/>
            <w:hideMark/>
          </w:tcPr>
          <w:p w14:paraId="6A7C3C97" w14:textId="77777777" w:rsidR="00322AE9" w:rsidRPr="00322AE9" w:rsidRDefault="00322AE9" w:rsidP="000A6DB8">
            <w:pPr>
              <w:suppressAutoHyphens/>
              <w:adjustRightInd w:val="0"/>
              <w:ind w:firstLine="0"/>
              <w:jc w:val="center"/>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45</w:t>
            </w:r>
          </w:p>
        </w:tc>
      </w:tr>
      <w:tr w:rsidR="00322AE9" w:rsidRPr="00322AE9" w14:paraId="637E870D" w14:textId="77777777" w:rsidTr="00322AE9">
        <w:trPr>
          <w:trHeight w:val="450"/>
          <w:jc w:val="center"/>
        </w:trPr>
        <w:tc>
          <w:tcPr>
            <w:tcW w:w="297" w:type="pct"/>
            <w:tcBorders>
              <w:top w:val="nil"/>
              <w:left w:val="single" w:sz="4" w:space="0" w:color="auto"/>
              <w:bottom w:val="single" w:sz="4" w:space="0" w:color="auto"/>
              <w:right w:val="single" w:sz="4" w:space="0" w:color="auto"/>
            </w:tcBorders>
            <w:shd w:val="clear" w:color="auto" w:fill="auto"/>
            <w:vAlign w:val="center"/>
            <w:hideMark/>
          </w:tcPr>
          <w:p w14:paraId="54B2D8AD" w14:textId="77777777" w:rsidR="00322AE9" w:rsidRPr="00322AE9" w:rsidRDefault="00322AE9" w:rsidP="000A6DB8">
            <w:pPr>
              <w:suppressAutoHyphens/>
              <w:adjustRightInd w:val="0"/>
              <w:ind w:firstLine="0"/>
              <w:jc w:val="center"/>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46</w:t>
            </w:r>
          </w:p>
        </w:tc>
        <w:tc>
          <w:tcPr>
            <w:tcW w:w="1289" w:type="pct"/>
            <w:tcBorders>
              <w:top w:val="nil"/>
              <w:left w:val="nil"/>
              <w:bottom w:val="single" w:sz="4" w:space="0" w:color="auto"/>
              <w:right w:val="single" w:sz="4" w:space="0" w:color="auto"/>
            </w:tcBorders>
            <w:shd w:val="clear" w:color="auto" w:fill="auto"/>
            <w:vAlign w:val="center"/>
            <w:hideMark/>
          </w:tcPr>
          <w:p w14:paraId="6C2F5803" w14:textId="77777777" w:rsidR="00322AE9" w:rsidRPr="00322AE9" w:rsidRDefault="00322AE9" w:rsidP="000A6DB8">
            <w:pPr>
              <w:suppressAutoHyphens/>
              <w:adjustRightInd w:val="0"/>
              <w:ind w:firstLine="0"/>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Центральная</w:t>
            </w:r>
          </w:p>
        </w:tc>
        <w:tc>
          <w:tcPr>
            <w:tcW w:w="1050" w:type="pct"/>
            <w:tcBorders>
              <w:top w:val="nil"/>
              <w:left w:val="nil"/>
              <w:bottom w:val="single" w:sz="4" w:space="0" w:color="auto"/>
              <w:right w:val="single" w:sz="4" w:space="0" w:color="auto"/>
            </w:tcBorders>
            <w:shd w:val="clear" w:color="auto" w:fill="auto"/>
            <w:vAlign w:val="center"/>
            <w:hideMark/>
          </w:tcPr>
          <w:p w14:paraId="6F504BE5" w14:textId="77777777" w:rsidR="00322AE9" w:rsidRPr="00322AE9" w:rsidRDefault="00322AE9" w:rsidP="000A6DB8">
            <w:pPr>
              <w:suppressAutoHyphens/>
              <w:adjustRightInd w:val="0"/>
              <w:ind w:firstLine="0"/>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ГО Якутск</w:t>
            </w:r>
          </w:p>
        </w:tc>
        <w:tc>
          <w:tcPr>
            <w:tcW w:w="1500" w:type="pct"/>
            <w:tcBorders>
              <w:top w:val="nil"/>
              <w:left w:val="nil"/>
              <w:bottom w:val="single" w:sz="4" w:space="0" w:color="auto"/>
              <w:right w:val="single" w:sz="4" w:space="0" w:color="auto"/>
            </w:tcBorders>
            <w:shd w:val="clear" w:color="auto" w:fill="auto"/>
            <w:vAlign w:val="center"/>
            <w:hideMark/>
          </w:tcPr>
          <w:p w14:paraId="767C841A" w14:textId="77777777" w:rsidR="00322AE9" w:rsidRPr="00322AE9" w:rsidRDefault="00322AE9" w:rsidP="000A6DB8">
            <w:pPr>
              <w:suppressAutoHyphens/>
              <w:adjustRightInd w:val="0"/>
              <w:ind w:firstLine="0"/>
              <w:jc w:val="left"/>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для Городского округа</w:t>
            </w:r>
          </w:p>
        </w:tc>
        <w:tc>
          <w:tcPr>
            <w:tcW w:w="865" w:type="pct"/>
            <w:tcBorders>
              <w:top w:val="nil"/>
              <w:left w:val="nil"/>
              <w:bottom w:val="single" w:sz="4" w:space="0" w:color="auto"/>
              <w:right w:val="single" w:sz="4" w:space="0" w:color="auto"/>
            </w:tcBorders>
            <w:shd w:val="clear" w:color="auto" w:fill="auto"/>
            <w:vAlign w:val="center"/>
            <w:hideMark/>
          </w:tcPr>
          <w:p w14:paraId="21E4D9A6" w14:textId="77777777" w:rsidR="00322AE9" w:rsidRPr="00322AE9" w:rsidRDefault="00322AE9" w:rsidP="000A6DB8">
            <w:pPr>
              <w:suppressAutoHyphens/>
              <w:adjustRightInd w:val="0"/>
              <w:ind w:firstLine="0"/>
              <w:jc w:val="center"/>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43</w:t>
            </w:r>
          </w:p>
        </w:tc>
      </w:tr>
      <w:tr w:rsidR="00322AE9" w:rsidRPr="00322AE9" w14:paraId="24F7E20D" w14:textId="77777777" w:rsidTr="00322AE9">
        <w:trPr>
          <w:trHeight w:val="450"/>
          <w:jc w:val="center"/>
        </w:trPr>
        <w:tc>
          <w:tcPr>
            <w:tcW w:w="297" w:type="pct"/>
            <w:tcBorders>
              <w:top w:val="nil"/>
              <w:left w:val="single" w:sz="4" w:space="0" w:color="auto"/>
              <w:bottom w:val="single" w:sz="4" w:space="0" w:color="auto"/>
              <w:right w:val="single" w:sz="4" w:space="0" w:color="auto"/>
            </w:tcBorders>
            <w:shd w:val="clear" w:color="auto" w:fill="auto"/>
            <w:vAlign w:val="center"/>
            <w:hideMark/>
          </w:tcPr>
          <w:p w14:paraId="080FDE16" w14:textId="77777777" w:rsidR="00322AE9" w:rsidRPr="00322AE9" w:rsidRDefault="00322AE9" w:rsidP="000A6DB8">
            <w:pPr>
              <w:suppressAutoHyphens/>
              <w:adjustRightInd w:val="0"/>
              <w:ind w:firstLine="0"/>
              <w:jc w:val="center"/>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47</w:t>
            </w:r>
          </w:p>
        </w:tc>
        <w:tc>
          <w:tcPr>
            <w:tcW w:w="1289" w:type="pct"/>
            <w:tcBorders>
              <w:top w:val="nil"/>
              <w:left w:val="nil"/>
              <w:bottom w:val="single" w:sz="4" w:space="0" w:color="auto"/>
              <w:right w:val="single" w:sz="4" w:space="0" w:color="auto"/>
            </w:tcBorders>
            <w:shd w:val="clear" w:color="auto" w:fill="auto"/>
            <w:vAlign w:val="center"/>
            <w:hideMark/>
          </w:tcPr>
          <w:p w14:paraId="63C795BB" w14:textId="77777777" w:rsidR="00322AE9" w:rsidRPr="00322AE9" w:rsidRDefault="00322AE9" w:rsidP="000A6DB8">
            <w:pPr>
              <w:suppressAutoHyphens/>
              <w:adjustRightInd w:val="0"/>
              <w:ind w:firstLine="0"/>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Центральная</w:t>
            </w:r>
          </w:p>
        </w:tc>
        <w:tc>
          <w:tcPr>
            <w:tcW w:w="1050" w:type="pct"/>
            <w:tcBorders>
              <w:top w:val="nil"/>
              <w:left w:val="nil"/>
              <w:bottom w:val="single" w:sz="4" w:space="0" w:color="auto"/>
              <w:right w:val="single" w:sz="4" w:space="0" w:color="auto"/>
            </w:tcBorders>
            <w:shd w:val="clear" w:color="auto" w:fill="auto"/>
            <w:vAlign w:val="center"/>
            <w:hideMark/>
          </w:tcPr>
          <w:p w14:paraId="7AC8196C" w14:textId="77777777" w:rsidR="00322AE9" w:rsidRPr="00322AE9" w:rsidRDefault="00322AE9" w:rsidP="000A6DB8">
            <w:pPr>
              <w:suppressAutoHyphens/>
              <w:adjustRightInd w:val="0"/>
              <w:ind w:firstLine="0"/>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ГО Якутск</w:t>
            </w:r>
          </w:p>
        </w:tc>
        <w:tc>
          <w:tcPr>
            <w:tcW w:w="1500" w:type="pct"/>
            <w:tcBorders>
              <w:top w:val="nil"/>
              <w:left w:val="nil"/>
              <w:bottom w:val="single" w:sz="4" w:space="0" w:color="auto"/>
              <w:right w:val="single" w:sz="4" w:space="0" w:color="auto"/>
            </w:tcBorders>
            <w:shd w:val="clear" w:color="auto" w:fill="auto"/>
            <w:vAlign w:val="center"/>
            <w:hideMark/>
          </w:tcPr>
          <w:p w14:paraId="6984330D" w14:textId="77777777" w:rsidR="00322AE9" w:rsidRPr="00322AE9" w:rsidRDefault="00322AE9" w:rsidP="000A6DB8">
            <w:pPr>
              <w:suppressAutoHyphens/>
              <w:adjustRightInd w:val="0"/>
              <w:ind w:firstLine="0"/>
              <w:jc w:val="left"/>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г. Якутск</w:t>
            </w:r>
          </w:p>
        </w:tc>
        <w:tc>
          <w:tcPr>
            <w:tcW w:w="865" w:type="pct"/>
            <w:tcBorders>
              <w:top w:val="nil"/>
              <w:left w:val="nil"/>
              <w:bottom w:val="single" w:sz="4" w:space="0" w:color="auto"/>
              <w:right w:val="single" w:sz="4" w:space="0" w:color="auto"/>
            </w:tcBorders>
            <w:shd w:val="clear" w:color="auto" w:fill="auto"/>
            <w:vAlign w:val="center"/>
            <w:hideMark/>
          </w:tcPr>
          <w:p w14:paraId="0FA76C71" w14:textId="77777777" w:rsidR="00322AE9" w:rsidRPr="00322AE9" w:rsidRDefault="00322AE9" w:rsidP="000A6DB8">
            <w:pPr>
              <w:suppressAutoHyphens/>
              <w:adjustRightInd w:val="0"/>
              <w:ind w:firstLine="0"/>
              <w:jc w:val="center"/>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0</w:t>
            </w:r>
          </w:p>
        </w:tc>
      </w:tr>
      <w:tr w:rsidR="00322AE9" w:rsidRPr="00322AE9" w14:paraId="75C7BAC3" w14:textId="77777777" w:rsidTr="00322AE9">
        <w:trPr>
          <w:trHeight w:val="450"/>
          <w:jc w:val="center"/>
        </w:trPr>
        <w:tc>
          <w:tcPr>
            <w:tcW w:w="297" w:type="pct"/>
            <w:tcBorders>
              <w:top w:val="nil"/>
              <w:left w:val="single" w:sz="4" w:space="0" w:color="auto"/>
              <w:bottom w:val="single" w:sz="4" w:space="0" w:color="auto"/>
              <w:right w:val="single" w:sz="4" w:space="0" w:color="auto"/>
            </w:tcBorders>
            <w:shd w:val="clear" w:color="auto" w:fill="auto"/>
            <w:vAlign w:val="center"/>
            <w:hideMark/>
          </w:tcPr>
          <w:p w14:paraId="54A7CCA3" w14:textId="77777777" w:rsidR="00322AE9" w:rsidRPr="00322AE9" w:rsidRDefault="00322AE9" w:rsidP="000A6DB8">
            <w:pPr>
              <w:suppressAutoHyphens/>
              <w:adjustRightInd w:val="0"/>
              <w:ind w:firstLine="0"/>
              <w:jc w:val="center"/>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48</w:t>
            </w:r>
          </w:p>
        </w:tc>
        <w:tc>
          <w:tcPr>
            <w:tcW w:w="1289" w:type="pct"/>
            <w:tcBorders>
              <w:top w:val="nil"/>
              <w:left w:val="nil"/>
              <w:bottom w:val="single" w:sz="4" w:space="0" w:color="auto"/>
              <w:right w:val="single" w:sz="4" w:space="0" w:color="auto"/>
            </w:tcBorders>
            <w:shd w:val="clear" w:color="auto" w:fill="auto"/>
            <w:vAlign w:val="center"/>
            <w:hideMark/>
          </w:tcPr>
          <w:p w14:paraId="446260BB" w14:textId="77777777" w:rsidR="00322AE9" w:rsidRPr="00322AE9" w:rsidRDefault="00322AE9" w:rsidP="000A6DB8">
            <w:pPr>
              <w:suppressAutoHyphens/>
              <w:adjustRightInd w:val="0"/>
              <w:ind w:firstLine="0"/>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Центральная</w:t>
            </w:r>
          </w:p>
        </w:tc>
        <w:tc>
          <w:tcPr>
            <w:tcW w:w="1050" w:type="pct"/>
            <w:tcBorders>
              <w:top w:val="nil"/>
              <w:left w:val="nil"/>
              <w:bottom w:val="single" w:sz="4" w:space="0" w:color="auto"/>
              <w:right w:val="single" w:sz="4" w:space="0" w:color="auto"/>
            </w:tcBorders>
            <w:shd w:val="clear" w:color="auto" w:fill="auto"/>
            <w:vAlign w:val="center"/>
            <w:hideMark/>
          </w:tcPr>
          <w:p w14:paraId="0D25C5C5" w14:textId="77777777" w:rsidR="00322AE9" w:rsidRPr="00322AE9" w:rsidRDefault="00322AE9" w:rsidP="000A6DB8">
            <w:pPr>
              <w:suppressAutoHyphens/>
              <w:adjustRightInd w:val="0"/>
              <w:ind w:firstLine="0"/>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Горный</w:t>
            </w:r>
          </w:p>
        </w:tc>
        <w:tc>
          <w:tcPr>
            <w:tcW w:w="1500" w:type="pct"/>
            <w:tcBorders>
              <w:top w:val="nil"/>
              <w:left w:val="nil"/>
              <w:bottom w:val="single" w:sz="4" w:space="0" w:color="auto"/>
              <w:right w:val="single" w:sz="4" w:space="0" w:color="auto"/>
            </w:tcBorders>
            <w:shd w:val="clear" w:color="auto" w:fill="auto"/>
            <w:vAlign w:val="center"/>
            <w:hideMark/>
          </w:tcPr>
          <w:p w14:paraId="7D20D641" w14:textId="77777777" w:rsidR="00322AE9" w:rsidRPr="00322AE9" w:rsidRDefault="00322AE9" w:rsidP="000A6DB8">
            <w:pPr>
              <w:suppressAutoHyphens/>
              <w:adjustRightInd w:val="0"/>
              <w:ind w:firstLine="0"/>
              <w:jc w:val="left"/>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для Муниципального образования</w:t>
            </w:r>
          </w:p>
        </w:tc>
        <w:tc>
          <w:tcPr>
            <w:tcW w:w="865" w:type="pct"/>
            <w:tcBorders>
              <w:top w:val="nil"/>
              <w:left w:val="nil"/>
              <w:bottom w:val="single" w:sz="4" w:space="0" w:color="auto"/>
              <w:right w:val="single" w:sz="4" w:space="0" w:color="auto"/>
            </w:tcBorders>
            <w:shd w:val="clear" w:color="auto" w:fill="auto"/>
            <w:vAlign w:val="center"/>
            <w:hideMark/>
          </w:tcPr>
          <w:p w14:paraId="6FC86496" w14:textId="77777777" w:rsidR="00322AE9" w:rsidRPr="00322AE9" w:rsidRDefault="00322AE9" w:rsidP="000A6DB8">
            <w:pPr>
              <w:suppressAutoHyphens/>
              <w:adjustRightInd w:val="0"/>
              <w:ind w:firstLine="0"/>
              <w:jc w:val="center"/>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64</w:t>
            </w:r>
          </w:p>
        </w:tc>
      </w:tr>
      <w:tr w:rsidR="00322AE9" w:rsidRPr="00322AE9" w14:paraId="2A3B28B1" w14:textId="77777777" w:rsidTr="00322AE9">
        <w:trPr>
          <w:trHeight w:val="450"/>
          <w:jc w:val="center"/>
        </w:trPr>
        <w:tc>
          <w:tcPr>
            <w:tcW w:w="297" w:type="pct"/>
            <w:tcBorders>
              <w:top w:val="nil"/>
              <w:left w:val="single" w:sz="4" w:space="0" w:color="auto"/>
              <w:bottom w:val="single" w:sz="4" w:space="0" w:color="auto"/>
              <w:right w:val="single" w:sz="4" w:space="0" w:color="auto"/>
            </w:tcBorders>
            <w:shd w:val="clear" w:color="auto" w:fill="auto"/>
            <w:vAlign w:val="center"/>
            <w:hideMark/>
          </w:tcPr>
          <w:p w14:paraId="0A54B6D1" w14:textId="77777777" w:rsidR="00322AE9" w:rsidRPr="00322AE9" w:rsidRDefault="00322AE9" w:rsidP="000A6DB8">
            <w:pPr>
              <w:suppressAutoHyphens/>
              <w:adjustRightInd w:val="0"/>
              <w:ind w:firstLine="0"/>
              <w:jc w:val="center"/>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49</w:t>
            </w:r>
          </w:p>
        </w:tc>
        <w:tc>
          <w:tcPr>
            <w:tcW w:w="1289" w:type="pct"/>
            <w:tcBorders>
              <w:top w:val="nil"/>
              <w:left w:val="nil"/>
              <w:bottom w:val="single" w:sz="4" w:space="0" w:color="auto"/>
              <w:right w:val="single" w:sz="4" w:space="0" w:color="auto"/>
            </w:tcBorders>
            <w:shd w:val="clear" w:color="auto" w:fill="auto"/>
            <w:vAlign w:val="center"/>
            <w:hideMark/>
          </w:tcPr>
          <w:p w14:paraId="6EF619A9" w14:textId="77777777" w:rsidR="00322AE9" w:rsidRPr="00322AE9" w:rsidRDefault="00322AE9" w:rsidP="000A6DB8">
            <w:pPr>
              <w:suppressAutoHyphens/>
              <w:adjustRightInd w:val="0"/>
              <w:ind w:firstLine="0"/>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Центральная</w:t>
            </w:r>
          </w:p>
        </w:tc>
        <w:tc>
          <w:tcPr>
            <w:tcW w:w="1050" w:type="pct"/>
            <w:tcBorders>
              <w:top w:val="nil"/>
              <w:left w:val="nil"/>
              <w:bottom w:val="single" w:sz="4" w:space="0" w:color="auto"/>
              <w:right w:val="single" w:sz="4" w:space="0" w:color="auto"/>
            </w:tcBorders>
            <w:shd w:val="clear" w:color="auto" w:fill="auto"/>
            <w:vAlign w:val="center"/>
            <w:hideMark/>
          </w:tcPr>
          <w:p w14:paraId="724348E6" w14:textId="77777777" w:rsidR="00322AE9" w:rsidRPr="00322AE9" w:rsidRDefault="00322AE9" w:rsidP="000A6DB8">
            <w:pPr>
              <w:suppressAutoHyphens/>
              <w:adjustRightInd w:val="0"/>
              <w:ind w:firstLine="0"/>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Мегино-Кангаласский</w:t>
            </w:r>
          </w:p>
        </w:tc>
        <w:tc>
          <w:tcPr>
            <w:tcW w:w="1500" w:type="pct"/>
            <w:tcBorders>
              <w:top w:val="nil"/>
              <w:left w:val="nil"/>
              <w:bottom w:val="single" w:sz="4" w:space="0" w:color="auto"/>
              <w:right w:val="single" w:sz="4" w:space="0" w:color="auto"/>
            </w:tcBorders>
            <w:shd w:val="clear" w:color="auto" w:fill="auto"/>
            <w:vAlign w:val="center"/>
            <w:hideMark/>
          </w:tcPr>
          <w:p w14:paraId="1A509DF6" w14:textId="77777777" w:rsidR="00322AE9" w:rsidRPr="00322AE9" w:rsidRDefault="00322AE9" w:rsidP="000A6DB8">
            <w:pPr>
              <w:suppressAutoHyphens/>
              <w:adjustRightInd w:val="0"/>
              <w:ind w:firstLine="0"/>
              <w:jc w:val="left"/>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для Муниципального образования</w:t>
            </w:r>
          </w:p>
        </w:tc>
        <w:tc>
          <w:tcPr>
            <w:tcW w:w="865" w:type="pct"/>
            <w:tcBorders>
              <w:top w:val="nil"/>
              <w:left w:val="nil"/>
              <w:bottom w:val="single" w:sz="4" w:space="0" w:color="auto"/>
              <w:right w:val="single" w:sz="4" w:space="0" w:color="auto"/>
            </w:tcBorders>
            <w:shd w:val="clear" w:color="auto" w:fill="auto"/>
            <w:vAlign w:val="center"/>
            <w:hideMark/>
          </w:tcPr>
          <w:p w14:paraId="21C8AA54" w14:textId="77777777" w:rsidR="00322AE9" w:rsidRPr="00322AE9" w:rsidRDefault="00322AE9" w:rsidP="000A6DB8">
            <w:pPr>
              <w:suppressAutoHyphens/>
              <w:adjustRightInd w:val="0"/>
              <w:ind w:firstLine="0"/>
              <w:jc w:val="center"/>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62</w:t>
            </w:r>
          </w:p>
        </w:tc>
      </w:tr>
      <w:tr w:rsidR="00322AE9" w:rsidRPr="00322AE9" w14:paraId="7A9D7918" w14:textId="77777777" w:rsidTr="00322AE9">
        <w:trPr>
          <w:trHeight w:val="450"/>
          <w:jc w:val="center"/>
        </w:trPr>
        <w:tc>
          <w:tcPr>
            <w:tcW w:w="297" w:type="pct"/>
            <w:tcBorders>
              <w:top w:val="nil"/>
              <w:left w:val="single" w:sz="4" w:space="0" w:color="auto"/>
              <w:bottom w:val="single" w:sz="4" w:space="0" w:color="auto"/>
              <w:right w:val="single" w:sz="4" w:space="0" w:color="auto"/>
            </w:tcBorders>
            <w:shd w:val="clear" w:color="auto" w:fill="auto"/>
            <w:vAlign w:val="center"/>
            <w:hideMark/>
          </w:tcPr>
          <w:p w14:paraId="3A94CF6A" w14:textId="77777777" w:rsidR="00322AE9" w:rsidRPr="00322AE9" w:rsidRDefault="00322AE9" w:rsidP="000A6DB8">
            <w:pPr>
              <w:suppressAutoHyphens/>
              <w:adjustRightInd w:val="0"/>
              <w:ind w:firstLine="0"/>
              <w:jc w:val="center"/>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50</w:t>
            </w:r>
          </w:p>
        </w:tc>
        <w:tc>
          <w:tcPr>
            <w:tcW w:w="1289" w:type="pct"/>
            <w:tcBorders>
              <w:top w:val="nil"/>
              <w:left w:val="nil"/>
              <w:bottom w:val="single" w:sz="4" w:space="0" w:color="auto"/>
              <w:right w:val="single" w:sz="4" w:space="0" w:color="auto"/>
            </w:tcBorders>
            <w:shd w:val="clear" w:color="auto" w:fill="auto"/>
            <w:vAlign w:val="center"/>
            <w:hideMark/>
          </w:tcPr>
          <w:p w14:paraId="79E5E96D" w14:textId="77777777" w:rsidR="00322AE9" w:rsidRPr="00322AE9" w:rsidRDefault="00322AE9" w:rsidP="000A6DB8">
            <w:pPr>
              <w:suppressAutoHyphens/>
              <w:adjustRightInd w:val="0"/>
              <w:ind w:firstLine="0"/>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Центральная</w:t>
            </w:r>
          </w:p>
        </w:tc>
        <w:tc>
          <w:tcPr>
            <w:tcW w:w="1050" w:type="pct"/>
            <w:tcBorders>
              <w:top w:val="nil"/>
              <w:left w:val="nil"/>
              <w:bottom w:val="single" w:sz="4" w:space="0" w:color="auto"/>
              <w:right w:val="single" w:sz="4" w:space="0" w:color="auto"/>
            </w:tcBorders>
            <w:shd w:val="clear" w:color="auto" w:fill="auto"/>
            <w:vAlign w:val="center"/>
            <w:hideMark/>
          </w:tcPr>
          <w:p w14:paraId="0438E539" w14:textId="77777777" w:rsidR="00322AE9" w:rsidRPr="00322AE9" w:rsidRDefault="00322AE9" w:rsidP="000A6DB8">
            <w:pPr>
              <w:suppressAutoHyphens/>
              <w:adjustRightInd w:val="0"/>
              <w:ind w:firstLine="0"/>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Мегино-Кангаласский</w:t>
            </w:r>
          </w:p>
        </w:tc>
        <w:tc>
          <w:tcPr>
            <w:tcW w:w="1500" w:type="pct"/>
            <w:tcBorders>
              <w:top w:val="nil"/>
              <w:left w:val="nil"/>
              <w:bottom w:val="single" w:sz="4" w:space="0" w:color="auto"/>
              <w:right w:val="single" w:sz="4" w:space="0" w:color="auto"/>
            </w:tcBorders>
            <w:shd w:val="clear" w:color="auto" w:fill="auto"/>
            <w:vAlign w:val="center"/>
            <w:hideMark/>
          </w:tcPr>
          <w:p w14:paraId="15BE8178" w14:textId="77777777" w:rsidR="00322AE9" w:rsidRPr="00322AE9" w:rsidRDefault="00322AE9" w:rsidP="000A6DB8">
            <w:pPr>
              <w:suppressAutoHyphens/>
              <w:adjustRightInd w:val="0"/>
              <w:ind w:firstLine="0"/>
              <w:jc w:val="left"/>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п. Нижний Бестях</w:t>
            </w:r>
          </w:p>
        </w:tc>
        <w:tc>
          <w:tcPr>
            <w:tcW w:w="865" w:type="pct"/>
            <w:tcBorders>
              <w:top w:val="nil"/>
              <w:left w:val="nil"/>
              <w:bottom w:val="single" w:sz="4" w:space="0" w:color="auto"/>
              <w:right w:val="single" w:sz="4" w:space="0" w:color="auto"/>
            </w:tcBorders>
            <w:shd w:val="clear" w:color="auto" w:fill="auto"/>
            <w:vAlign w:val="center"/>
            <w:hideMark/>
          </w:tcPr>
          <w:p w14:paraId="48799031" w14:textId="77777777" w:rsidR="00322AE9" w:rsidRPr="00322AE9" w:rsidRDefault="00322AE9" w:rsidP="000A6DB8">
            <w:pPr>
              <w:suppressAutoHyphens/>
              <w:adjustRightInd w:val="0"/>
              <w:ind w:firstLine="0"/>
              <w:jc w:val="center"/>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45</w:t>
            </w:r>
          </w:p>
        </w:tc>
      </w:tr>
      <w:tr w:rsidR="00322AE9" w:rsidRPr="00322AE9" w14:paraId="59805FA7" w14:textId="77777777" w:rsidTr="00322AE9">
        <w:trPr>
          <w:trHeight w:val="450"/>
          <w:jc w:val="center"/>
        </w:trPr>
        <w:tc>
          <w:tcPr>
            <w:tcW w:w="297" w:type="pct"/>
            <w:tcBorders>
              <w:top w:val="nil"/>
              <w:left w:val="single" w:sz="4" w:space="0" w:color="auto"/>
              <w:bottom w:val="single" w:sz="4" w:space="0" w:color="auto"/>
              <w:right w:val="single" w:sz="4" w:space="0" w:color="auto"/>
            </w:tcBorders>
            <w:shd w:val="clear" w:color="auto" w:fill="auto"/>
            <w:vAlign w:val="center"/>
            <w:hideMark/>
          </w:tcPr>
          <w:p w14:paraId="063B90FF" w14:textId="77777777" w:rsidR="00322AE9" w:rsidRPr="00322AE9" w:rsidRDefault="00322AE9" w:rsidP="000A6DB8">
            <w:pPr>
              <w:suppressAutoHyphens/>
              <w:adjustRightInd w:val="0"/>
              <w:ind w:firstLine="0"/>
              <w:jc w:val="center"/>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51</w:t>
            </w:r>
          </w:p>
        </w:tc>
        <w:tc>
          <w:tcPr>
            <w:tcW w:w="1289" w:type="pct"/>
            <w:tcBorders>
              <w:top w:val="nil"/>
              <w:left w:val="nil"/>
              <w:bottom w:val="single" w:sz="4" w:space="0" w:color="auto"/>
              <w:right w:val="single" w:sz="4" w:space="0" w:color="auto"/>
            </w:tcBorders>
            <w:shd w:val="clear" w:color="auto" w:fill="auto"/>
            <w:vAlign w:val="center"/>
            <w:hideMark/>
          </w:tcPr>
          <w:p w14:paraId="3636431B" w14:textId="77777777" w:rsidR="00322AE9" w:rsidRPr="00322AE9" w:rsidRDefault="00322AE9" w:rsidP="000A6DB8">
            <w:pPr>
              <w:suppressAutoHyphens/>
              <w:adjustRightInd w:val="0"/>
              <w:ind w:firstLine="0"/>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Центральная</w:t>
            </w:r>
          </w:p>
        </w:tc>
        <w:tc>
          <w:tcPr>
            <w:tcW w:w="1050" w:type="pct"/>
            <w:tcBorders>
              <w:top w:val="nil"/>
              <w:left w:val="nil"/>
              <w:bottom w:val="single" w:sz="4" w:space="0" w:color="auto"/>
              <w:right w:val="single" w:sz="4" w:space="0" w:color="auto"/>
            </w:tcBorders>
            <w:shd w:val="clear" w:color="auto" w:fill="auto"/>
            <w:vAlign w:val="center"/>
            <w:hideMark/>
          </w:tcPr>
          <w:p w14:paraId="5AB92CB0" w14:textId="77777777" w:rsidR="00322AE9" w:rsidRPr="00322AE9" w:rsidRDefault="00322AE9" w:rsidP="000A6DB8">
            <w:pPr>
              <w:suppressAutoHyphens/>
              <w:adjustRightInd w:val="0"/>
              <w:ind w:firstLine="0"/>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Намский</w:t>
            </w:r>
          </w:p>
        </w:tc>
        <w:tc>
          <w:tcPr>
            <w:tcW w:w="1500" w:type="pct"/>
            <w:tcBorders>
              <w:top w:val="nil"/>
              <w:left w:val="nil"/>
              <w:bottom w:val="single" w:sz="4" w:space="0" w:color="auto"/>
              <w:right w:val="single" w:sz="4" w:space="0" w:color="auto"/>
            </w:tcBorders>
            <w:shd w:val="clear" w:color="auto" w:fill="auto"/>
            <w:vAlign w:val="center"/>
            <w:hideMark/>
          </w:tcPr>
          <w:p w14:paraId="0CF43987" w14:textId="77777777" w:rsidR="00322AE9" w:rsidRPr="00322AE9" w:rsidRDefault="00322AE9" w:rsidP="000A6DB8">
            <w:pPr>
              <w:suppressAutoHyphens/>
              <w:adjustRightInd w:val="0"/>
              <w:ind w:firstLine="0"/>
              <w:jc w:val="left"/>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для Муниципального образования</w:t>
            </w:r>
          </w:p>
        </w:tc>
        <w:tc>
          <w:tcPr>
            <w:tcW w:w="865" w:type="pct"/>
            <w:tcBorders>
              <w:top w:val="nil"/>
              <w:left w:val="nil"/>
              <w:bottom w:val="single" w:sz="4" w:space="0" w:color="auto"/>
              <w:right w:val="single" w:sz="4" w:space="0" w:color="auto"/>
            </w:tcBorders>
            <w:shd w:val="clear" w:color="auto" w:fill="auto"/>
            <w:vAlign w:val="center"/>
            <w:hideMark/>
          </w:tcPr>
          <w:p w14:paraId="104F9E80" w14:textId="77777777" w:rsidR="00322AE9" w:rsidRPr="00322AE9" w:rsidRDefault="00322AE9" w:rsidP="000A6DB8">
            <w:pPr>
              <w:suppressAutoHyphens/>
              <w:adjustRightInd w:val="0"/>
              <w:ind w:firstLine="0"/>
              <w:jc w:val="center"/>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63</w:t>
            </w:r>
          </w:p>
        </w:tc>
      </w:tr>
      <w:tr w:rsidR="00322AE9" w:rsidRPr="00322AE9" w14:paraId="2E574057" w14:textId="77777777" w:rsidTr="00322AE9">
        <w:trPr>
          <w:trHeight w:val="450"/>
          <w:jc w:val="center"/>
        </w:trPr>
        <w:tc>
          <w:tcPr>
            <w:tcW w:w="297" w:type="pct"/>
            <w:tcBorders>
              <w:top w:val="nil"/>
              <w:left w:val="single" w:sz="4" w:space="0" w:color="auto"/>
              <w:bottom w:val="single" w:sz="4" w:space="0" w:color="auto"/>
              <w:right w:val="single" w:sz="4" w:space="0" w:color="auto"/>
            </w:tcBorders>
            <w:shd w:val="clear" w:color="auto" w:fill="auto"/>
            <w:vAlign w:val="center"/>
            <w:hideMark/>
          </w:tcPr>
          <w:p w14:paraId="2CE26AA0" w14:textId="77777777" w:rsidR="00322AE9" w:rsidRPr="00322AE9" w:rsidRDefault="00322AE9" w:rsidP="000A6DB8">
            <w:pPr>
              <w:suppressAutoHyphens/>
              <w:adjustRightInd w:val="0"/>
              <w:ind w:firstLine="0"/>
              <w:jc w:val="center"/>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52</w:t>
            </w:r>
          </w:p>
        </w:tc>
        <w:tc>
          <w:tcPr>
            <w:tcW w:w="1289" w:type="pct"/>
            <w:tcBorders>
              <w:top w:val="nil"/>
              <w:left w:val="nil"/>
              <w:bottom w:val="single" w:sz="4" w:space="0" w:color="auto"/>
              <w:right w:val="single" w:sz="4" w:space="0" w:color="auto"/>
            </w:tcBorders>
            <w:shd w:val="clear" w:color="auto" w:fill="auto"/>
            <w:vAlign w:val="center"/>
            <w:hideMark/>
          </w:tcPr>
          <w:p w14:paraId="0521579E" w14:textId="77777777" w:rsidR="00322AE9" w:rsidRPr="00322AE9" w:rsidRDefault="00322AE9" w:rsidP="000A6DB8">
            <w:pPr>
              <w:suppressAutoHyphens/>
              <w:adjustRightInd w:val="0"/>
              <w:ind w:firstLine="0"/>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Центральная</w:t>
            </w:r>
          </w:p>
        </w:tc>
        <w:tc>
          <w:tcPr>
            <w:tcW w:w="1050" w:type="pct"/>
            <w:tcBorders>
              <w:top w:val="nil"/>
              <w:left w:val="nil"/>
              <w:bottom w:val="single" w:sz="4" w:space="0" w:color="auto"/>
              <w:right w:val="single" w:sz="4" w:space="0" w:color="auto"/>
            </w:tcBorders>
            <w:shd w:val="clear" w:color="auto" w:fill="auto"/>
            <w:vAlign w:val="center"/>
            <w:hideMark/>
          </w:tcPr>
          <w:p w14:paraId="6B2AF38E" w14:textId="77777777" w:rsidR="00322AE9" w:rsidRPr="00322AE9" w:rsidRDefault="00322AE9" w:rsidP="000A6DB8">
            <w:pPr>
              <w:suppressAutoHyphens/>
              <w:adjustRightInd w:val="0"/>
              <w:ind w:firstLine="0"/>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Таттинский</w:t>
            </w:r>
          </w:p>
        </w:tc>
        <w:tc>
          <w:tcPr>
            <w:tcW w:w="1500" w:type="pct"/>
            <w:tcBorders>
              <w:top w:val="nil"/>
              <w:left w:val="nil"/>
              <w:bottom w:val="single" w:sz="4" w:space="0" w:color="auto"/>
              <w:right w:val="single" w:sz="4" w:space="0" w:color="auto"/>
            </w:tcBorders>
            <w:shd w:val="clear" w:color="auto" w:fill="auto"/>
            <w:vAlign w:val="center"/>
            <w:hideMark/>
          </w:tcPr>
          <w:p w14:paraId="69CE8066" w14:textId="77777777" w:rsidR="00322AE9" w:rsidRPr="00322AE9" w:rsidRDefault="00322AE9" w:rsidP="000A6DB8">
            <w:pPr>
              <w:suppressAutoHyphens/>
              <w:adjustRightInd w:val="0"/>
              <w:ind w:firstLine="0"/>
              <w:jc w:val="left"/>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для Муниципального образования</w:t>
            </w:r>
          </w:p>
        </w:tc>
        <w:tc>
          <w:tcPr>
            <w:tcW w:w="865" w:type="pct"/>
            <w:tcBorders>
              <w:top w:val="nil"/>
              <w:left w:val="nil"/>
              <w:bottom w:val="single" w:sz="4" w:space="0" w:color="auto"/>
              <w:right w:val="single" w:sz="4" w:space="0" w:color="auto"/>
            </w:tcBorders>
            <w:shd w:val="clear" w:color="auto" w:fill="auto"/>
            <w:vAlign w:val="center"/>
            <w:hideMark/>
          </w:tcPr>
          <w:p w14:paraId="3220C5F6" w14:textId="77777777" w:rsidR="00322AE9" w:rsidRPr="00322AE9" w:rsidRDefault="00322AE9" w:rsidP="000A6DB8">
            <w:pPr>
              <w:suppressAutoHyphens/>
              <w:adjustRightInd w:val="0"/>
              <w:ind w:firstLine="0"/>
              <w:jc w:val="center"/>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63</w:t>
            </w:r>
          </w:p>
        </w:tc>
      </w:tr>
      <w:tr w:rsidR="00322AE9" w:rsidRPr="00322AE9" w14:paraId="610A5547" w14:textId="77777777" w:rsidTr="00322AE9">
        <w:trPr>
          <w:trHeight w:val="450"/>
          <w:jc w:val="center"/>
        </w:trPr>
        <w:tc>
          <w:tcPr>
            <w:tcW w:w="297" w:type="pct"/>
            <w:tcBorders>
              <w:top w:val="nil"/>
              <w:left w:val="single" w:sz="4" w:space="0" w:color="auto"/>
              <w:bottom w:val="single" w:sz="4" w:space="0" w:color="auto"/>
              <w:right w:val="single" w:sz="4" w:space="0" w:color="auto"/>
            </w:tcBorders>
            <w:shd w:val="clear" w:color="auto" w:fill="auto"/>
            <w:vAlign w:val="center"/>
            <w:hideMark/>
          </w:tcPr>
          <w:p w14:paraId="644C1881" w14:textId="77777777" w:rsidR="00322AE9" w:rsidRPr="00322AE9" w:rsidRDefault="00322AE9" w:rsidP="000A6DB8">
            <w:pPr>
              <w:suppressAutoHyphens/>
              <w:adjustRightInd w:val="0"/>
              <w:ind w:firstLine="0"/>
              <w:jc w:val="center"/>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53</w:t>
            </w:r>
          </w:p>
        </w:tc>
        <w:tc>
          <w:tcPr>
            <w:tcW w:w="1289" w:type="pct"/>
            <w:tcBorders>
              <w:top w:val="nil"/>
              <w:left w:val="nil"/>
              <w:bottom w:val="single" w:sz="4" w:space="0" w:color="auto"/>
              <w:right w:val="single" w:sz="4" w:space="0" w:color="auto"/>
            </w:tcBorders>
            <w:shd w:val="clear" w:color="auto" w:fill="auto"/>
            <w:vAlign w:val="center"/>
            <w:hideMark/>
          </w:tcPr>
          <w:p w14:paraId="5654F0F7" w14:textId="77777777" w:rsidR="00322AE9" w:rsidRPr="00322AE9" w:rsidRDefault="00322AE9" w:rsidP="000A6DB8">
            <w:pPr>
              <w:suppressAutoHyphens/>
              <w:adjustRightInd w:val="0"/>
              <w:ind w:firstLine="0"/>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Центральная</w:t>
            </w:r>
          </w:p>
        </w:tc>
        <w:tc>
          <w:tcPr>
            <w:tcW w:w="1050" w:type="pct"/>
            <w:tcBorders>
              <w:top w:val="nil"/>
              <w:left w:val="nil"/>
              <w:bottom w:val="single" w:sz="4" w:space="0" w:color="auto"/>
              <w:right w:val="single" w:sz="4" w:space="0" w:color="auto"/>
            </w:tcBorders>
            <w:shd w:val="clear" w:color="auto" w:fill="auto"/>
            <w:vAlign w:val="center"/>
            <w:hideMark/>
          </w:tcPr>
          <w:p w14:paraId="13AD2759" w14:textId="77777777" w:rsidR="00322AE9" w:rsidRPr="00322AE9" w:rsidRDefault="00322AE9" w:rsidP="000A6DB8">
            <w:pPr>
              <w:suppressAutoHyphens/>
              <w:adjustRightInd w:val="0"/>
              <w:ind w:firstLine="0"/>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Усть-Алданский</w:t>
            </w:r>
          </w:p>
        </w:tc>
        <w:tc>
          <w:tcPr>
            <w:tcW w:w="1500" w:type="pct"/>
            <w:tcBorders>
              <w:top w:val="nil"/>
              <w:left w:val="nil"/>
              <w:bottom w:val="single" w:sz="4" w:space="0" w:color="auto"/>
              <w:right w:val="single" w:sz="4" w:space="0" w:color="auto"/>
            </w:tcBorders>
            <w:shd w:val="clear" w:color="auto" w:fill="auto"/>
            <w:vAlign w:val="center"/>
            <w:hideMark/>
          </w:tcPr>
          <w:p w14:paraId="74CB3F38" w14:textId="77777777" w:rsidR="00322AE9" w:rsidRPr="00322AE9" w:rsidRDefault="00322AE9" w:rsidP="000A6DB8">
            <w:pPr>
              <w:suppressAutoHyphens/>
              <w:adjustRightInd w:val="0"/>
              <w:ind w:firstLine="0"/>
              <w:jc w:val="left"/>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для Муниципального образования</w:t>
            </w:r>
          </w:p>
        </w:tc>
        <w:tc>
          <w:tcPr>
            <w:tcW w:w="865" w:type="pct"/>
            <w:tcBorders>
              <w:top w:val="nil"/>
              <w:left w:val="nil"/>
              <w:bottom w:val="single" w:sz="4" w:space="0" w:color="auto"/>
              <w:right w:val="single" w:sz="4" w:space="0" w:color="auto"/>
            </w:tcBorders>
            <w:shd w:val="clear" w:color="auto" w:fill="auto"/>
            <w:vAlign w:val="center"/>
            <w:hideMark/>
          </w:tcPr>
          <w:p w14:paraId="344548E5" w14:textId="77777777" w:rsidR="00322AE9" w:rsidRPr="00322AE9" w:rsidRDefault="00322AE9" w:rsidP="000A6DB8">
            <w:pPr>
              <w:suppressAutoHyphens/>
              <w:adjustRightInd w:val="0"/>
              <w:ind w:firstLine="0"/>
              <w:jc w:val="center"/>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62</w:t>
            </w:r>
          </w:p>
        </w:tc>
      </w:tr>
      <w:tr w:rsidR="00322AE9" w:rsidRPr="00322AE9" w14:paraId="78E5089A" w14:textId="77777777" w:rsidTr="00322AE9">
        <w:trPr>
          <w:trHeight w:val="450"/>
          <w:jc w:val="center"/>
        </w:trPr>
        <w:tc>
          <w:tcPr>
            <w:tcW w:w="297" w:type="pct"/>
            <w:tcBorders>
              <w:top w:val="nil"/>
              <w:left w:val="single" w:sz="4" w:space="0" w:color="auto"/>
              <w:bottom w:val="single" w:sz="4" w:space="0" w:color="auto"/>
              <w:right w:val="single" w:sz="4" w:space="0" w:color="auto"/>
            </w:tcBorders>
            <w:shd w:val="clear" w:color="auto" w:fill="auto"/>
            <w:vAlign w:val="center"/>
            <w:hideMark/>
          </w:tcPr>
          <w:p w14:paraId="647667B2" w14:textId="77777777" w:rsidR="00322AE9" w:rsidRPr="00322AE9" w:rsidRDefault="00322AE9" w:rsidP="000A6DB8">
            <w:pPr>
              <w:suppressAutoHyphens/>
              <w:adjustRightInd w:val="0"/>
              <w:ind w:firstLine="0"/>
              <w:jc w:val="center"/>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54</w:t>
            </w:r>
          </w:p>
        </w:tc>
        <w:tc>
          <w:tcPr>
            <w:tcW w:w="1289" w:type="pct"/>
            <w:tcBorders>
              <w:top w:val="nil"/>
              <w:left w:val="nil"/>
              <w:bottom w:val="single" w:sz="4" w:space="0" w:color="auto"/>
              <w:right w:val="single" w:sz="4" w:space="0" w:color="auto"/>
            </w:tcBorders>
            <w:shd w:val="clear" w:color="auto" w:fill="auto"/>
            <w:vAlign w:val="center"/>
            <w:hideMark/>
          </w:tcPr>
          <w:p w14:paraId="2D750EE0" w14:textId="77777777" w:rsidR="00322AE9" w:rsidRPr="00322AE9" w:rsidRDefault="00322AE9" w:rsidP="000A6DB8">
            <w:pPr>
              <w:suppressAutoHyphens/>
              <w:adjustRightInd w:val="0"/>
              <w:ind w:firstLine="0"/>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Центральная</w:t>
            </w:r>
          </w:p>
        </w:tc>
        <w:tc>
          <w:tcPr>
            <w:tcW w:w="1050" w:type="pct"/>
            <w:tcBorders>
              <w:top w:val="nil"/>
              <w:left w:val="nil"/>
              <w:bottom w:val="single" w:sz="4" w:space="0" w:color="auto"/>
              <w:right w:val="single" w:sz="4" w:space="0" w:color="auto"/>
            </w:tcBorders>
            <w:shd w:val="clear" w:color="auto" w:fill="auto"/>
            <w:vAlign w:val="center"/>
            <w:hideMark/>
          </w:tcPr>
          <w:p w14:paraId="7EC880D6" w14:textId="77777777" w:rsidR="00322AE9" w:rsidRPr="00322AE9" w:rsidRDefault="00322AE9" w:rsidP="000A6DB8">
            <w:pPr>
              <w:suppressAutoHyphens/>
              <w:adjustRightInd w:val="0"/>
              <w:ind w:firstLine="0"/>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Хангаласский</w:t>
            </w:r>
          </w:p>
        </w:tc>
        <w:tc>
          <w:tcPr>
            <w:tcW w:w="1500" w:type="pct"/>
            <w:tcBorders>
              <w:top w:val="nil"/>
              <w:left w:val="nil"/>
              <w:bottom w:val="single" w:sz="4" w:space="0" w:color="auto"/>
              <w:right w:val="single" w:sz="4" w:space="0" w:color="auto"/>
            </w:tcBorders>
            <w:shd w:val="clear" w:color="auto" w:fill="auto"/>
            <w:vAlign w:val="center"/>
            <w:hideMark/>
          </w:tcPr>
          <w:p w14:paraId="6D038D4C" w14:textId="77777777" w:rsidR="00322AE9" w:rsidRPr="00322AE9" w:rsidRDefault="00322AE9" w:rsidP="000A6DB8">
            <w:pPr>
              <w:suppressAutoHyphens/>
              <w:adjustRightInd w:val="0"/>
              <w:ind w:firstLine="0"/>
              <w:jc w:val="left"/>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для Муниципального образования</w:t>
            </w:r>
          </w:p>
        </w:tc>
        <w:tc>
          <w:tcPr>
            <w:tcW w:w="865" w:type="pct"/>
            <w:tcBorders>
              <w:top w:val="nil"/>
              <w:left w:val="nil"/>
              <w:bottom w:val="single" w:sz="4" w:space="0" w:color="auto"/>
              <w:right w:val="single" w:sz="4" w:space="0" w:color="auto"/>
            </w:tcBorders>
            <w:shd w:val="clear" w:color="auto" w:fill="auto"/>
            <w:vAlign w:val="center"/>
            <w:hideMark/>
          </w:tcPr>
          <w:p w14:paraId="3C508AAE" w14:textId="77777777" w:rsidR="00322AE9" w:rsidRPr="00322AE9" w:rsidRDefault="00322AE9" w:rsidP="000A6DB8">
            <w:pPr>
              <w:suppressAutoHyphens/>
              <w:adjustRightInd w:val="0"/>
              <w:ind w:firstLine="0"/>
              <w:jc w:val="center"/>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60</w:t>
            </w:r>
          </w:p>
        </w:tc>
      </w:tr>
      <w:tr w:rsidR="00322AE9" w:rsidRPr="00322AE9" w14:paraId="6B34833B" w14:textId="77777777" w:rsidTr="00322AE9">
        <w:trPr>
          <w:trHeight w:val="450"/>
          <w:jc w:val="center"/>
        </w:trPr>
        <w:tc>
          <w:tcPr>
            <w:tcW w:w="297" w:type="pct"/>
            <w:tcBorders>
              <w:top w:val="nil"/>
              <w:left w:val="single" w:sz="4" w:space="0" w:color="auto"/>
              <w:bottom w:val="single" w:sz="4" w:space="0" w:color="auto"/>
              <w:right w:val="single" w:sz="4" w:space="0" w:color="auto"/>
            </w:tcBorders>
            <w:shd w:val="clear" w:color="auto" w:fill="auto"/>
            <w:vAlign w:val="center"/>
            <w:hideMark/>
          </w:tcPr>
          <w:p w14:paraId="05880285" w14:textId="77777777" w:rsidR="00322AE9" w:rsidRPr="00322AE9" w:rsidRDefault="00322AE9" w:rsidP="000A6DB8">
            <w:pPr>
              <w:suppressAutoHyphens/>
              <w:adjustRightInd w:val="0"/>
              <w:ind w:firstLine="0"/>
              <w:jc w:val="center"/>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55</w:t>
            </w:r>
          </w:p>
        </w:tc>
        <w:tc>
          <w:tcPr>
            <w:tcW w:w="1289" w:type="pct"/>
            <w:tcBorders>
              <w:top w:val="nil"/>
              <w:left w:val="nil"/>
              <w:bottom w:val="single" w:sz="4" w:space="0" w:color="auto"/>
              <w:right w:val="single" w:sz="4" w:space="0" w:color="auto"/>
            </w:tcBorders>
            <w:shd w:val="clear" w:color="auto" w:fill="auto"/>
            <w:vAlign w:val="center"/>
            <w:hideMark/>
          </w:tcPr>
          <w:p w14:paraId="4DD5647C" w14:textId="77777777" w:rsidR="00322AE9" w:rsidRPr="00322AE9" w:rsidRDefault="00322AE9" w:rsidP="000A6DB8">
            <w:pPr>
              <w:suppressAutoHyphens/>
              <w:adjustRightInd w:val="0"/>
              <w:ind w:firstLine="0"/>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Центральная</w:t>
            </w:r>
          </w:p>
        </w:tc>
        <w:tc>
          <w:tcPr>
            <w:tcW w:w="1050" w:type="pct"/>
            <w:tcBorders>
              <w:top w:val="nil"/>
              <w:left w:val="nil"/>
              <w:bottom w:val="single" w:sz="4" w:space="0" w:color="auto"/>
              <w:right w:val="single" w:sz="4" w:space="0" w:color="auto"/>
            </w:tcBorders>
            <w:shd w:val="clear" w:color="auto" w:fill="auto"/>
            <w:vAlign w:val="center"/>
            <w:hideMark/>
          </w:tcPr>
          <w:p w14:paraId="0E7CBD6B" w14:textId="77777777" w:rsidR="00322AE9" w:rsidRPr="00322AE9" w:rsidRDefault="00322AE9" w:rsidP="000A6DB8">
            <w:pPr>
              <w:suppressAutoHyphens/>
              <w:adjustRightInd w:val="0"/>
              <w:ind w:firstLine="0"/>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Хангаласский</w:t>
            </w:r>
          </w:p>
        </w:tc>
        <w:tc>
          <w:tcPr>
            <w:tcW w:w="1500" w:type="pct"/>
            <w:tcBorders>
              <w:top w:val="nil"/>
              <w:left w:val="nil"/>
              <w:bottom w:val="single" w:sz="4" w:space="0" w:color="auto"/>
              <w:right w:val="single" w:sz="4" w:space="0" w:color="auto"/>
            </w:tcBorders>
            <w:shd w:val="clear" w:color="auto" w:fill="auto"/>
            <w:vAlign w:val="center"/>
            <w:hideMark/>
          </w:tcPr>
          <w:p w14:paraId="627B7993" w14:textId="77777777" w:rsidR="00322AE9" w:rsidRPr="00322AE9" w:rsidRDefault="00322AE9" w:rsidP="000A6DB8">
            <w:pPr>
              <w:suppressAutoHyphens/>
              <w:adjustRightInd w:val="0"/>
              <w:ind w:firstLine="0"/>
              <w:jc w:val="left"/>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г. Покровск</w:t>
            </w:r>
          </w:p>
        </w:tc>
        <w:tc>
          <w:tcPr>
            <w:tcW w:w="865" w:type="pct"/>
            <w:tcBorders>
              <w:top w:val="nil"/>
              <w:left w:val="nil"/>
              <w:bottom w:val="single" w:sz="4" w:space="0" w:color="auto"/>
              <w:right w:val="single" w:sz="4" w:space="0" w:color="auto"/>
            </w:tcBorders>
            <w:shd w:val="clear" w:color="auto" w:fill="auto"/>
            <w:vAlign w:val="center"/>
            <w:hideMark/>
          </w:tcPr>
          <w:p w14:paraId="35F3F616" w14:textId="77777777" w:rsidR="00322AE9" w:rsidRPr="00322AE9" w:rsidRDefault="00322AE9" w:rsidP="000A6DB8">
            <w:pPr>
              <w:suppressAutoHyphens/>
              <w:adjustRightInd w:val="0"/>
              <w:ind w:firstLine="0"/>
              <w:jc w:val="center"/>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45</w:t>
            </w:r>
          </w:p>
        </w:tc>
      </w:tr>
      <w:tr w:rsidR="00322AE9" w:rsidRPr="00322AE9" w14:paraId="3D58856B" w14:textId="77777777" w:rsidTr="00322AE9">
        <w:trPr>
          <w:trHeight w:val="450"/>
          <w:jc w:val="center"/>
        </w:trPr>
        <w:tc>
          <w:tcPr>
            <w:tcW w:w="297" w:type="pct"/>
            <w:tcBorders>
              <w:top w:val="nil"/>
              <w:left w:val="single" w:sz="4" w:space="0" w:color="auto"/>
              <w:bottom w:val="single" w:sz="4" w:space="0" w:color="auto"/>
              <w:right w:val="single" w:sz="4" w:space="0" w:color="auto"/>
            </w:tcBorders>
            <w:shd w:val="clear" w:color="auto" w:fill="auto"/>
            <w:vAlign w:val="center"/>
            <w:hideMark/>
          </w:tcPr>
          <w:p w14:paraId="589B5516" w14:textId="77777777" w:rsidR="00322AE9" w:rsidRPr="00322AE9" w:rsidRDefault="00322AE9" w:rsidP="000A6DB8">
            <w:pPr>
              <w:suppressAutoHyphens/>
              <w:adjustRightInd w:val="0"/>
              <w:ind w:firstLine="0"/>
              <w:jc w:val="center"/>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56</w:t>
            </w:r>
          </w:p>
        </w:tc>
        <w:tc>
          <w:tcPr>
            <w:tcW w:w="1289" w:type="pct"/>
            <w:tcBorders>
              <w:top w:val="nil"/>
              <w:left w:val="nil"/>
              <w:bottom w:val="single" w:sz="4" w:space="0" w:color="auto"/>
              <w:right w:val="single" w:sz="4" w:space="0" w:color="auto"/>
            </w:tcBorders>
            <w:shd w:val="clear" w:color="auto" w:fill="auto"/>
            <w:vAlign w:val="center"/>
            <w:hideMark/>
          </w:tcPr>
          <w:p w14:paraId="5A1C0123" w14:textId="77777777" w:rsidR="00322AE9" w:rsidRPr="00322AE9" w:rsidRDefault="00322AE9" w:rsidP="000A6DB8">
            <w:pPr>
              <w:suppressAutoHyphens/>
              <w:adjustRightInd w:val="0"/>
              <w:ind w:firstLine="0"/>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Центральная</w:t>
            </w:r>
          </w:p>
        </w:tc>
        <w:tc>
          <w:tcPr>
            <w:tcW w:w="1050" w:type="pct"/>
            <w:tcBorders>
              <w:top w:val="nil"/>
              <w:left w:val="nil"/>
              <w:bottom w:val="single" w:sz="4" w:space="0" w:color="auto"/>
              <w:right w:val="single" w:sz="4" w:space="0" w:color="auto"/>
            </w:tcBorders>
            <w:shd w:val="clear" w:color="auto" w:fill="auto"/>
            <w:vAlign w:val="center"/>
            <w:hideMark/>
          </w:tcPr>
          <w:p w14:paraId="7F6474E0" w14:textId="77777777" w:rsidR="00322AE9" w:rsidRPr="00322AE9" w:rsidRDefault="00322AE9" w:rsidP="000A6DB8">
            <w:pPr>
              <w:suppressAutoHyphens/>
              <w:adjustRightInd w:val="0"/>
              <w:ind w:firstLine="0"/>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Чурапчинский</w:t>
            </w:r>
          </w:p>
        </w:tc>
        <w:tc>
          <w:tcPr>
            <w:tcW w:w="1500" w:type="pct"/>
            <w:tcBorders>
              <w:top w:val="nil"/>
              <w:left w:val="nil"/>
              <w:bottom w:val="single" w:sz="4" w:space="0" w:color="auto"/>
              <w:right w:val="single" w:sz="4" w:space="0" w:color="auto"/>
            </w:tcBorders>
            <w:shd w:val="clear" w:color="auto" w:fill="auto"/>
            <w:vAlign w:val="center"/>
            <w:hideMark/>
          </w:tcPr>
          <w:p w14:paraId="4BE4BB6C" w14:textId="77777777" w:rsidR="00322AE9" w:rsidRPr="00322AE9" w:rsidRDefault="00322AE9" w:rsidP="000A6DB8">
            <w:pPr>
              <w:suppressAutoHyphens/>
              <w:adjustRightInd w:val="0"/>
              <w:ind w:firstLine="0"/>
              <w:jc w:val="left"/>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для Муниципального образования</w:t>
            </w:r>
          </w:p>
        </w:tc>
        <w:tc>
          <w:tcPr>
            <w:tcW w:w="865" w:type="pct"/>
            <w:tcBorders>
              <w:top w:val="nil"/>
              <w:left w:val="nil"/>
              <w:bottom w:val="single" w:sz="4" w:space="0" w:color="auto"/>
              <w:right w:val="single" w:sz="4" w:space="0" w:color="auto"/>
            </w:tcBorders>
            <w:shd w:val="clear" w:color="auto" w:fill="auto"/>
            <w:vAlign w:val="center"/>
            <w:hideMark/>
          </w:tcPr>
          <w:p w14:paraId="20F6F66D" w14:textId="77777777" w:rsidR="00322AE9" w:rsidRPr="00322AE9" w:rsidRDefault="00322AE9" w:rsidP="000A6DB8">
            <w:pPr>
              <w:suppressAutoHyphens/>
              <w:adjustRightInd w:val="0"/>
              <w:ind w:firstLine="0"/>
              <w:jc w:val="center"/>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64</w:t>
            </w:r>
          </w:p>
        </w:tc>
      </w:tr>
      <w:tr w:rsidR="00322AE9" w:rsidRPr="00322AE9" w14:paraId="542DF18C" w14:textId="77777777" w:rsidTr="00322AE9">
        <w:trPr>
          <w:trHeight w:val="450"/>
          <w:jc w:val="center"/>
        </w:trPr>
        <w:tc>
          <w:tcPr>
            <w:tcW w:w="297" w:type="pct"/>
            <w:tcBorders>
              <w:top w:val="nil"/>
              <w:left w:val="single" w:sz="4" w:space="0" w:color="auto"/>
              <w:bottom w:val="single" w:sz="4" w:space="0" w:color="auto"/>
              <w:right w:val="single" w:sz="4" w:space="0" w:color="auto"/>
            </w:tcBorders>
            <w:shd w:val="clear" w:color="auto" w:fill="auto"/>
            <w:vAlign w:val="center"/>
            <w:hideMark/>
          </w:tcPr>
          <w:p w14:paraId="08034133" w14:textId="77777777" w:rsidR="00322AE9" w:rsidRPr="00322AE9" w:rsidRDefault="00322AE9" w:rsidP="000A6DB8">
            <w:pPr>
              <w:suppressAutoHyphens/>
              <w:adjustRightInd w:val="0"/>
              <w:ind w:firstLine="0"/>
              <w:jc w:val="center"/>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57</w:t>
            </w:r>
          </w:p>
        </w:tc>
        <w:tc>
          <w:tcPr>
            <w:tcW w:w="1289" w:type="pct"/>
            <w:tcBorders>
              <w:top w:val="nil"/>
              <w:left w:val="nil"/>
              <w:bottom w:val="single" w:sz="4" w:space="0" w:color="auto"/>
              <w:right w:val="single" w:sz="4" w:space="0" w:color="auto"/>
            </w:tcBorders>
            <w:shd w:val="clear" w:color="auto" w:fill="auto"/>
            <w:vAlign w:val="center"/>
            <w:hideMark/>
          </w:tcPr>
          <w:p w14:paraId="7FE90782" w14:textId="77777777" w:rsidR="00322AE9" w:rsidRPr="00322AE9" w:rsidRDefault="00322AE9" w:rsidP="000A6DB8">
            <w:pPr>
              <w:suppressAutoHyphens/>
              <w:adjustRightInd w:val="0"/>
              <w:ind w:firstLine="0"/>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Южная</w:t>
            </w:r>
          </w:p>
        </w:tc>
        <w:tc>
          <w:tcPr>
            <w:tcW w:w="1050" w:type="pct"/>
            <w:tcBorders>
              <w:top w:val="nil"/>
              <w:left w:val="nil"/>
              <w:bottom w:val="single" w:sz="4" w:space="0" w:color="auto"/>
              <w:right w:val="single" w:sz="4" w:space="0" w:color="auto"/>
            </w:tcBorders>
            <w:shd w:val="clear" w:color="auto" w:fill="auto"/>
            <w:vAlign w:val="center"/>
            <w:hideMark/>
          </w:tcPr>
          <w:p w14:paraId="29D1F918" w14:textId="77777777" w:rsidR="00322AE9" w:rsidRPr="00322AE9" w:rsidRDefault="00322AE9" w:rsidP="000A6DB8">
            <w:pPr>
              <w:suppressAutoHyphens/>
              <w:adjustRightInd w:val="0"/>
              <w:ind w:firstLine="0"/>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Алданский</w:t>
            </w:r>
          </w:p>
        </w:tc>
        <w:tc>
          <w:tcPr>
            <w:tcW w:w="1500" w:type="pct"/>
            <w:tcBorders>
              <w:top w:val="nil"/>
              <w:left w:val="nil"/>
              <w:bottom w:val="single" w:sz="4" w:space="0" w:color="auto"/>
              <w:right w:val="single" w:sz="4" w:space="0" w:color="auto"/>
            </w:tcBorders>
            <w:shd w:val="clear" w:color="auto" w:fill="auto"/>
            <w:vAlign w:val="center"/>
            <w:hideMark/>
          </w:tcPr>
          <w:p w14:paraId="774DD2BA" w14:textId="77777777" w:rsidR="00322AE9" w:rsidRPr="00322AE9" w:rsidRDefault="00322AE9" w:rsidP="000A6DB8">
            <w:pPr>
              <w:suppressAutoHyphens/>
              <w:adjustRightInd w:val="0"/>
              <w:ind w:firstLine="0"/>
              <w:jc w:val="left"/>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для Муниципального образования</w:t>
            </w:r>
          </w:p>
        </w:tc>
        <w:tc>
          <w:tcPr>
            <w:tcW w:w="865" w:type="pct"/>
            <w:tcBorders>
              <w:top w:val="nil"/>
              <w:left w:val="nil"/>
              <w:bottom w:val="single" w:sz="4" w:space="0" w:color="auto"/>
              <w:right w:val="single" w:sz="4" w:space="0" w:color="auto"/>
            </w:tcBorders>
            <w:shd w:val="clear" w:color="auto" w:fill="auto"/>
            <w:vAlign w:val="center"/>
            <w:hideMark/>
          </w:tcPr>
          <w:p w14:paraId="7F9A0E92" w14:textId="77777777" w:rsidR="00322AE9" w:rsidRPr="00322AE9" w:rsidRDefault="00322AE9" w:rsidP="000A6DB8">
            <w:pPr>
              <w:suppressAutoHyphens/>
              <w:adjustRightInd w:val="0"/>
              <w:ind w:firstLine="0"/>
              <w:jc w:val="center"/>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59</w:t>
            </w:r>
          </w:p>
        </w:tc>
      </w:tr>
      <w:tr w:rsidR="00322AE9" w:rsidRPr="00322AE9" w14:paraId="3EBB0DBD" w14:textId="77777777" w:rsidTr="00322AE9">
        <w:trPr>
          <w:trHeight w:val="450"/>
          <w:jc w:val="center"/>
        </w:trPr>
        <w:tc>
          <w:tcPr>
            <w:tcW w:w="297" w:type="pct"/>
            <w:tcBorders>
              <w:top w:val="nil"/>
              <w:left w:val="single" w:sz="4" w:space="0" w:color="auto"/>
              <w:bottom w:val="single" w:sz="4" w:space="0" w:color="auto"/>
              <w:right w:val="single" w:sz="4" w:space="0" w:color="auto"/>
            </w:tcBorders>
            <w:shd w:val="clear" w:color="auto" w:fill="auto"/>
            <w:vAlign w:val="center"/>
            <w:hideMark/>
          </w:tcPr>
          <w:p w14:paraId="0198611A" w14:textId="77777777" w:rsidR="00322AE9" w:rsidRPr="00322AE9" w:rsidRDefault="00322AE9" w:rsidP="000A6DB8">
            <w:pPr>
              <w:suppressAutoHyphens/>
              <w:adjustRightInd w:val="0"/>
              <w:ind w:firstLine="0"/>
              <w:jc w:val="center"/>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58</w:t>
            </w:r>
          </w:p>
        </w:tc>
        <w:tc>
          <w:tcPr>
            <w:tcW w:w="1289" w:type="pct"/>
            <w:tcBorders>
              <w:top w:val="nil"/>
              <w:left w:val="nil"/>
              <w:bottom w:val="single" w:sz="4" w:space="0" w:color="auto"/>
              <w:right w:val="single" w:sz="4" w:space="0" w:color="auto"/>
            </w:tcBorders>
            <w:shd w:val="clear" w:color="auto" w:fill="auto"/>
            <w:vAlign w:val="center"/>
            <w:hideMark/>
          </w:tcPr>
          <w:p w14:paraId="4DD1E2BC" w14:textId="77777777" w:rsidR="00322AE9" w:rsidRPr="00322AE9" w:rsidRDefault="00322AE9" w:rsidP="000A6DB8">
            <w:pPr>
              <w:suppressAutoHyphens/>
              <w:adjustRightInd w:val="0"/>
              <w:ind w:firstLine="0"/>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Южная</w:t>
            </w:r>
          </w:p>
        </w:tc>
        <w:tc>
          <w:tcPr>
            <w:tcW w:w="1050" w:type="pct"/>
            <w:tcBorders>
              <w:top w:val="nil"/>
              <w:left w:val="nil"/>
              <w:bottom w:val="single" w:sz="4" w:space="0" w:color="auto"/>
              <w:right w:val="single" w:sz="4" w:space="0" w:color="auto"/>
            </w:tcBorders>
            <w:shd w:val="clear" w:color="auto" w:fill="auto"/>
            <w:vAlign w:val="center"/>
            <w:hideMark/>
          </w:tcPr>
          <w:p w14:paraId="07F41A4C" w14:textId="77777777" w:rsidR="00322AE9" w:rsidRPr="00322AE9" w:rsidRDefault="00322AE9" w:rsidP="000A6DB8">
            <w:pPr>
              <w:suppressAutoHyphens/>
              <w:adjustRightInd w:val="0"/>
              <w:ind w:firstLine="0"/>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Алданский</w:t>
            </w:r>
          </w:p>
        </w:tc>
        <w:tc>
          <w:tcPr>
            <w:tcW w:w="1500" w:type="pct"/>
            <w:tcBorders>
              <w:top w:val="nil"/>
              <w:left w:val="nil"/>
              <w:bottom w:val="single" w:sz="4" w:space="0" w:color="auto"/>
              <w:right w:val="single" w:sz="4" w:space="0" w:color="auto"/>
            </w:tcBorders>
            <w:shd w:val="clear" w:color="auto" w:fill="auto"/>
            <w:vAlign w:val="center"/>
            <w:hideMark/>
          </w:tcPr>
          <w:p w14:paraId="3AA185F0" w14:textId="77777777" w:rsidR="00322AE9" w:rsidRPr="00322AE9" w:rsidRDefault="00322AE9" w:rsidP="000A6DB8">
            <w:pPr>
              <w:suppressAutoHyphens/>
              <w:adjustRightInd w:val="0"/>
              <w:ind w:firstLine="0"/>
              <w:jc w:val="left"/>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г. Алдан</w:t>
            </w:r>
          </w:p>
        </w:tc>
        <w:tc>
          <w:tcPr>
            <w:tcW w:w="865" w:type="pct"/>
            <w:tcBorders>
              <w:top w:val="nil"/>
              <w:left w:val="nil"/>
              <w:bottom w:val="single" w:sz="4" w:space="0" w:color="auto"/>
              <w:right w:val="single" w:sz="4" w:space="0" w:color="auto"/>
            </w:tcBorders>
            <w:shd w:val="clear" w:color="auto" w:fill="auto"/>
            <w:vAlign w:val="center"/>
            <w:hideMark/>
          </w:tcPr>
          <w:p w14:paraId="619C2818" w14:textId="77777777" w:rsidR="00322AE9" w:rsidRPr="00322AE9" w:rsidRDefault="00322AE9" w:rsidP="000A6DB8">
            <w:pPr>
              <w:suppressAutoHyphens/>
              <w:adjustRightInd w:val="0"/>
              <w:ind w:firstLine="0"/>
              <w:jc w:val="center"/>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41</w:t>
            </w:r>
          </w:p>
        </w:tc>
      </w:tr>
      <w:tr w:rsidR="00322AE9" w:rsidRPr="00322AE9" w14:paraId="6CB4D7C0" w14:textId="77777777" w:rsidTr="00322AE9">
        <w:trPr>
          <w:trHeight w:val="450"/>
          <w:jc w:val="center"/>
        </w:trPr>
        <w:tc>
          <w:tcPr>
            <w:tcW w:w="297" w:type="pct"/>
            <w:tcBorders>
              <w:top w:val="nil"/>
              <w:left w:val="single" w:sz="4" w:space="0" w:color="auto"/>
              <w:bottom w:val="single" w:sz="4" w:space="0" w:color="auto"/>
              <w:right w:val="single" w:sz="4" w:space="0" w:color="auto"/>
            </w:tcBorders>
            <w:shd w:val="clear" w:color="auto" w:fill="auto"/>
            <w:vAlign w:val="center"/>
            <w:hideMark/>
          </w:tcPr>
          <w:p w14:paraId="290AF084" w14:textId="77777777" w:rsidR="00322AE9" w:rsidRPr="00322AE9" w:rsidRDefault="00322AE9" w:rsidP="000A6DB8">
            <w:pPr>
              <w:suppressAutoHyphens/>
              <w:adjustRightInd w:val="0"/>
              <w:ind w:firstLine="0"/>
              <w:jc w:val="center"/>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59</w:t>
            </w:r>
          </w:p>
        </w:tc>
        <w:tc>
          <w:tcPr>
            <w:tcW w:w="1289" w:type="pct"/>
            <w:tcBorders>
              <w:top w:val="nil"/>
              <w:left w:val="nil"/>
              <w:bottom w:val="single" w:sz="4" w:space="0" w:color="auto"/>
              <w:right w:val="single" w:sz="4" w:space="0" w:color="auto"/>
            </w:tcBorders>
            <w:shd w:val="clear" w:color="auto" w:fill="auto"/>
            <w:vAlign w:val="center"/>
            <w:hideMark/>
          </w:tcPr>
          <w:p w14:paraId="23B9BE2A" w14:textId="77777777" w:rsidR="00322AE9" w:rsidRPr="00322AE9" w:rsidRDefault="00322AE9" w:rsidP="000A6DB8">
            <w:pPr>
              <w:suppressAutoHyphens/>
              <w:adjustRightInd w:val="0"/>
              <w:ind w:firstLine="0"/>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Южная</w:t>
            </w:r>
          </w:p>
        </w:tc>
        <w:tc>
          <w:tcPr>
            <w:tcW w:w="1050" w:type="pct"/>
            <w:tcBorders>
              <w:top w:val="nil"/>
              <w:left w:val="nil"/>
              <w:bottom w:val="single" w:sz="4" w:space="0" w:color="auto"/>
              <w:right w:val="single" w:sz="4" w:space="0" w:color="auto"/>
            </w:tcBorders>
            <w:shd w:val="clear" w:color="auto" w:fill="auto"/>
            <w:vAlign w:val="center"/>
            <w:hideMark/>
          </w:tcPr>
          <w:p w14:paraId="27C10C4E" w14:textId="77777777" w:rsidR="00322AE9" w:rsidRPr="00322AE9" w:rsidRDefault="00322AE9" w:rsidP="000A6DB8">
            <w:pPr>
              <w:suppressAutoHyphens/>
              <w:adjustRightInd w:val="0"/>
              <w:ind w:firstLine="0"/>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Нерюнгринский</w:t>
            </w:r>
          </w:p>
        </w:tc>
        <w:tc>
          <w:tcPr>
            <w:tcW w:w="1500" w:type="pct"/>
            <w:tcBorders>
              <w:top w:val="nil"/>
              <w:left w:val="nil"/>
              <w:bottom w:val="single" w:sz="4" w:space="0" w:color="auto"/>
              <w:right w:val="single" w:sz="4" w:space="0" w:color="auto"/>
            </w:tcBorders>
            <w:shd w:val="clear" w:color="auto" w:fill="auto"/>
            <w:vAlign w:val="center"/>
            <w:hideMark/>
          </w:tcPr>
          <w:p w14:paraId="3401C4E8" w14:textId="77777777" w:rsidR="00322AE9" w:rsidRPr="00322AE9" w:rsidRDefault="00322AE9" w:rsidP="000A6DB8">
            <w:pPr>
              <w:suppressAutoHyphens/>
              <w:adjustRightInd w:val="0"/>
              <w:ind w:firstLine="0"/>
              <w:jc w:val="left"/>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для Муниципального образования</w:t>
            </w:r>
          </w:p>
        </w:tc>
        <w:tc>
          <w:tcPr>
            <w:tcW w:w="865" w:type="pct"/>
            <w:tcBorders>
              <w:top w:val="nil"/>
              <w:left w:val="nil"/>
              <w:bottom w:val="single" w:sz="4" w:space="0" w:color="auto"/>
              <w:right w:val="single" w:sz="4" w:space="0" w:color="auto"/>
            </w:tcBorders>
            <w:shd w:val="clear" w:color="auto" w:fill="auto"/>
            <w:vAlign w:val="center"/>
            <w:hideMark/>
          </w:tcPr>
          <w:p w14:paraId="42EBD771" w14:textId="77777777" w:rsidR="00322AE9" w:rsidRPr="00322AE9" w:rsidRDefault="00322AE9" w:rsidP="000A6DB8">
            <w:pPr>
              <w:suppressAutoHyphens/>
              <w:adjustRightInd w:val="0"/>
              <w:ind w:firstLine="0"/>
              <w:jc w:val="center"/>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55</w:t>
            </w:r>
          </w:p>
        </w:tc>
      </w:tr>
      <w:tr w:rsidR="00322AE9" w:rsidRPr="00322AE9" w14:paraId="668BAA95" w14:textId="77777777" w:rsidTr="00322AE9">
        <w:trPr>
          <w:trHeight w:val="450"/>
          <w:jc w:val="center"/>
        </w:trPr>
        <w:tc>
          <w:tcPr>
            <w:tcW w:w="297" w:type="pct"/>
            <w:tcBorders>
              <w:top w:val="nil"/>
              <w:left w:val="single" w:sz="4" w:space="0" w:color="auto"/>
              <w:bottom w:val="single" w:sz="4" w:space="0" w:color="auto"/>
              <w:right w:val="single" w:sz="4" w:space="0" w:color="auto"/>
            </w:tcBorders>
            <w:shd w:val="clear" w:color="auto" w:fill="auto"/>
            <w:vAlign w:val="center"/>
            <w:hideMark/>
          </w:tcPr>
          <w:p w14:paraId="70C5C873" w14:textId="77777777" w:rsidR="00322AE9" w:rsidRPr="00322AE9" w:rsidRDefault="00322AE9" w:rsidP="000A6DB8">
            <w:pPr>
              <w:suppressAutoHyphens/>
              <w:adjustRightInd w:val="0"/>
              <w:ind w:firstLine="0"/>
              <w:jc w:val="center"/>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60</w:t>
            </w:r>
          </w:p>
        </w:tc>
        <w:tc>
          <w:tcPr>
            <w:tcW w:w="1289" w:type="pct"/>
            <w:tcBorders>
              <w:top w:val="nil"/>
              <w:left w:val="nil"/>
              <w:bottom w:val="single" w:sz="4" w:space="0" w:color="auto"/>
              <w:right w:val="single" w:sz="4" w:space="0" w:color="auto"/>
            </w:tcBorders>
            <w:shd w:val="clear" w:color="auto" w:fill="auto"/>
            <w:vAlign w:val="center"/>
            <w:hideMark/>
          </w:tcPr>
          <w:p w14:paraId="6EA7CC99" w14:textId="77777777" w:rsidR="00322AE9" w:rsidRPr="00322AE9" w:rsidRDefault="00322AE9" w:rsidP="000A6DB8">
            <w:pPr>
              <w:suppressAutoHyphens/>
              <w:adjustRightInd w:val="0"/>
              <w:ind w:firstLine="0"/>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Южная</w:t>
            </w:r>
          </w:p>
        </w:tc>
        <w:tc>
          <w:tcPr>
            <w:tcW w:w="1050" w:type="pct"/>
            <w:tcBorders>
              <w:top w:val="nil"/>
              <w:left w:val="nil"/>
              <w:bottom w:val="single" w:sz="4" w:space="0" w:color="auto"/>
              <w:right w:val="single" w:sz="4" w:space="0" w:color="auto"/>
            </w:tcBorders>
            <w:shd w:val="clear" w:color="auto" w:fill="auto"/>
            <w:vAlign w:val="center"/>
            <w:hideMark/>
          </w:tcPr>
          <w:p w14:paraId="36610E48" w14:textId="77777777" w:rsidR="00322AE9" w:rsidRPr="00322AE9" w:rsidRDefault="00322AE9" w:rsidP="000A6DB8">
            <w:pPr>
              <w:suppressAutoHyphens/>
              <w:adjustRightInd w:val="0"/>
              <w:ind w:firstLine="0"/>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Нерюнгринский</w:t>
            </w:r>
          </w:p>
        </w:tc>
        <w:tc>
          <w:tcPr>
            <w:tcW w:w="1500" w:type="pct"/>
            <w:tcBorders>
              <w:top w:val="nil"/>
              <w:left w:val="nil"/>
              <w:bottom w:val="single" w:sz="4" w:space="0" w:color="auto"/>
              <w:right w:val="single" w:sz="4" w:space="0" w:color="auto"/>
            </w:tcBorders>
            <w:shd w:val="clear" w:color="auto" w:fill="auto"/>
            <w:vAlign w:val="center"/>
            <w:hideMark/>
          </w:tcPr>
          <w:p w14:paraId="446DAE02" w14:textId="77777777" w:rsidR="00322AE9" w:rsidRPr="00322AE9" w:rsidRDefault="00322AE9" w:rsidP="000A6DB8">
            <w:pPr>
              <w:suppressAutoHyphens/>
              <w:adjustRightInd w:val="0"/>
              <w:ind w:firstLine="0"/>
              <w:jc w:val="left"/>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г. Нерюнгри</w:t>
            </w:r>
          </w:p>
        </w:tc>
        <w:tc>
          <w:tcPr>
            <w:tcW w:w="865" w:type="pct"/>
            <w:tcBorders>
              <w:top w:val="nil"/>
              <w:left w:val="nil"/>
              <w:bottom w:val="single" w:sz="4" w:space="0" w:color="auto"/>
              <w:right w:val="single" w:sz="4" w:space="0" w:color="auto"/>
            </w:tcBorders>
            <w:shd w:val="clear" w:color="auto" w:fill="auto"/>
            <w:vAlign w:val="center"/>
            <w:hideMark/>
          </w:tcPr>
          <w:p w14:paraId="3EB95200" w14:textId="77777777" w:rsidR="00322AE9" w:rsidRPr="00322AE9" w:rsidRDefault="00322AE9" w:rsidP="000A6DB8">
            <w:pPr>
              <w:suppressAutoHyphens/>
              <w:adjustRightInd w:val="0"/>
              <w:ind w:firstLine="0"/>
              <w:jc w:val="center"/>
              <w:textAlignment w:val="baseline"/>
              <w:rPr>
                <w:rFonts w:eastAsia="Times New Roman" w:cs="Times New Roman"/>
                <w:color w:val="000000"/>
                <w:spacing w:val="-5"/>
                <w:sz w:val="20"/>
                <w:szCs w:val="20"/>
              </w:rPr>
            </w:pPr>
            <w:r w:rsidRPr="00322AE9">
              <w:rPr>
                <w:rFonts w:eastAsia="Times New Roman" w:cs="Times New Roman"/>
                <w:color w:val="000000"/>
                <w:spacing w:val="-5"/>
                <w:sz w:val="20"/>
                <w:szCs w:val="20"/>
              </w:rPr>
              <w:t>35</w:t>
            </w:r>
          </w:p>
        </w:tc>
      </w:tr>
    </w:tbl>
    <w:p w14:paraId="171BF524" w14:textId="77777777" w:rsidR="00322AE9" w:rsidRPr="00322AE9" w:rsidRDefault="00322AE9" w:rsidP="00322AE9">
      <w:pPr>
        <w:suppressAutoHyphens/>
        <w:adjustRightInd w:val="0"/>
        <w:ind w:firstLine="567"/>
        <w:textAlignment w:val="baseline"/>
        <w:rPr>
          <w:rFonts w:eastAsia="Times New Roman" w:cs="Times New Roman"/>
          <w:spacing w:val="-5"/>
          <w:szCs w:val="24"/>
          <w:lang w:eastAsia="ru-RU" w:bidi="ru-RU"/>
        </w:rPr>
      </w:pPr>
    </w:p>
    <w:p w14:paraId="269825D8" w14:textId="77777777" w:rsidR="00322AE9" w:rsidRPr="00322AE9" w:rsidRDefault="00322AE9" w:rsidP="00322AE9">
      <w:pPr>
        <w:widowControl w:val="0"/>
        <w:suppressAutoHyphens/>
        <w:adjustRightInd w:val="0"/>
        <w:ind w:firstLine="709"/>
        <w:textAlignment w:val="baseline"/>
        <w:rPr>
          <w:rFonts w:eastAsia="Times New Roman" w:cs="Times New Roman"/>
          <w:spacing w:val="-5"/>
          <w:szCs w:val="24"/>
        </w:rPr>
      </w:pPr>
      <w:r w:rsidRPr="00322AE9">
        <w:rPr>
          <w:rFonts w:eastAsia="Times New Roman" w:cs="Times New Roman"/>
          <w:spacing w:val="-5"/>
          <w:szCs w:val="24"/>
        </w:rPr>
        <w:t xml:space="preserve">Под </w:t>
      </w:r>
      <w:r w:rsidRPr="00322AE9">
        <w:rPr>
          <w:rFonts w:eastAsia="Times New Roman" w:cs="Times New Roman"/>
          <w:spacing w:val="-5"/>
          <w:szCs w:val="24"/>
          <w:u w:val="single"/>
        </w:rPr>
        <w:t>накопленным износом</w:t>
      </w:r>
      <w:r w:rsidRPr="00322AE9">
        <w:rPr>
          <w:rFonts w:eastAsia="Times New Roman" w:cs="Times New Roman"/>
          <w:spacing w:val="-5"/>
          <w:szCs w:val="24"/>
        </w:rPr>
        <w:t xml:space="preserve"> понимается признаваемая рынком потеря стоимости улучшений, вызываемая физическими разрушениями, функциональным устареванием, экономическим (внешним) устареванием или комбинацией этих факторов. Таким образом, расчет накопленного износа производится по формуле:</w:t>
      </w:r>
    </w:p>
    <w:p w14:paraId="35F0990D" w14:textId="77777777" w:rsidR="00322AE9" w:rsidRPr="00322AE9" w:rsidRDefault="00322AE9" w:rsidP="00322AE9">
      <w:pPr>
        <w:widowControl w:val="0"/>
        <w:suppressAutoHyphens/>
        <w:adjustRightInd w:val="0"/>
        <w:ind w:firstLine="709"/>
        <w:jc w:val="center"/>
        <w:textAlignment w:val="baseline"/>
        <w:rPr>
          <w:rFonts w:eastAsia="Times New Roman" w:cs="Times New Roman"/>
          <w:b/>
          <w:spacing w:val="-5"/>
          <w:szCs w:val="24"/>
        </w:rPr>
      </w:pPr>
      <w:r w:rsidRPr="00322AE9">
        <w:rPr>
          <w:rFonts w:eastAsia="Times New Roman" w:cs="Times New Roman"/>
          <w:b/>
          <w:spacing w:val="-5"/>
          <w:szCs w:val="24"/>
        </w:rPr>
        <w:t>И = 1,0 – (1,0 – Ифиз.) х (1,0- Ифун.) х (1,0 – Иэк.)</w:t>
      </w:r>
    </w:p>
    <w:p w14:paraId="6A2C496F" w14:textId="77777777" w:rsidR="00322AE9" w:rsidRPr="00322AE9" w:rsidRDefault="00322AE9" w:rsidP="00322AE9">
      <w:pPr>
        <w:widowControl w:val="0"/>
        <w:suppressAutoHyphens/>
        <w:adjustRightInd w:val="0"/>
        <w:ind w:firstLine="0"/>
        <w:textAlignment w:val="baseline"/>
        <w:rPr>
          <w:rFonts w:eastAsia="Times New Roman" w:cs="Times New Roman"/>
          <w:spacing w:val="-5"/>
          <w:szCs w:val="24"/>
        </w:rPr>
      </w:pPr>
      <w:r w:rsidRPr="00322AE9">
        <w:rPr>
          <w:rFonts w:eastAsia="Times New Roman" w:cs="Times New Roman"/>
          <w:spacing w:val="-5"/>
          <w:szCs w:val="24"/>
        </w:rPr>
        <w:t>где:</w:t>
      </w:r>
    </w:p>
    <w:p w14:paraId="400A0CA1" w14:textId="77777777" w:rsidR="00322AE9" w:rsidRPr="00322AE9" w:rsidRDefault="00322AE9" w:rsidP="00322AE9">
      <w:pPr>
        <w:widowControl w:val="0"/>
        <w:suppressAutoHyphens/>
        <w:adjustRightInd w:val="0"/>
        <w:ind w:firstLine="709"/>
        <w:textAlignment w:val="baseline"/>
        <w:rPr>
          <w:rFonts w:eastAsia="Times New Roman" w:cs="Times New Roman"/>
          <w:spacing w:val="-5"/>
          <w:szCs w:val="24"/>
        </w:rPr>
      </w:pPr>
      <w:r w:rsidRPr="00322AE9">
        <w:rPr>
          <w:rFonts w:eastAsia="Times New Roman" w:cs="Times New Roman"/>
          <w:spacing w:val="-5"/>
          <w:szCs w:val="24"/>
        </w:rPr>
        <w:t>Ифиз. – физический износ объекта оценки (величины физического износа приведены в описании объектов оценки);</w:t>
      </w:r>
    </w:p>
    <w:p w14:paraId="5C934624" w14:textId="77777777" w:rsidR="00322AE9" w:rsidRPr="00322AE9" w:rsidRDefault="00322AE9" w:rsidP="00322AE9">
      <w:pPr>
        <w:widowControl w:val="0"/>
        <w:suppressAutoHyphens/>
        <w:adjustRightInd w:val="0"/>
        <w:ind w:firstLine="709"/>
        <w:textAlignment w:val="baseline"/>
        <w:rPr>
          <w:rFonts w:eastAsia="Times New Roman" w:cs="Times New Roman"/>
          <w:spacing w:val="-5"/>
          <w:szCs w:val="24"/>
        </w:rPr>
      </w:pPr>
      <w:r w:rsidRPr="00322AE9">
        <w:rPr>
          <w:rFonts w:eastAsia="Times New Roman" w:cs="Times New Roman"/>
          <w:spacing w:val="-5"/>
          <w:szCs w:val="24"/>
        </w:rPr>
        <w:t>Ифун. – функциональное устаревание объекта оценки;</w:t>
      </w:r>
    </w:p>
    <w:p w14:paraId="18F6C220" w14:textId="77777777" w:rsidR="00322AE9" w:rsidRPr="00322AE9" w:rsidRDefault="00322AE9" w:rsidP="00322AE9">
      <w:pPr>
        <w:widowControl w:val="0"/>
        <w:suppressAutoHyphens/>
        <w:adjustRightInd w:val="0"/>
        <w:ind w:firstLine="709"/>
        <w:textAlignment w:val="baseline"/>
        <w:rPr>
          <w:rFonts w:eastAsia="Times New Roman" w:cs="Times New Roman"/>
          <w:spacing w:val="-5"/>
          <w:szCs w:val="24"/>
        </w:rPr>
      </w:pPr>
      <w:r w:rsidRPr="00322AE9">
        <w:rPr>
          <w:rFonts w:eastAsia="Times New Roman" w:cs="Times New Roman"/>
          <w:spacing w:val="-5"/>
          <w:szCs w:val="24"/>
        </w:rPr>
        <w:t>Иэк. – экономическое (внешнее) устаревание объекта оценки.</w:t>
      </w:r>
    </w:p>
    <w:bookmarkEnd w:id="156"/>
    <w:p w14:paraId="2C10DF4A" w14:textId="753BDC95" w:rsidR="008B2763" w:rsidRDefault="008B2763">
      <w:pPr>
        <w:spacing w:after="160" w:line="259" w:lineRule="auto"/>
        <w:ind w:firstLine="0"/>
        <w:jc w:val="left"/>
        <w:rPr>
          <w:rFonts w:eastAsia="Times New Roman" w:cs="Times New Roman"/>
          <w:szCs w:val="24"/>
          <w:lang w:eastAsia="ru-RU"/>
        </w:rPr>
      </w:pPr>
      <w:r>
        <w:rPr>
          <w:rFonts w:eastAsia="Times New Roman" w:cs="Times New Roman"/>
          <w:szCs w:val="24"/>
          <w:lang w:eastAsia="ru-RU"/>
        </w:rPr>
        <w:br w:type="page"/>
      </w:r>
    </w:p>
    <w:p w14:paraId="148A3159" w14:textId="3815619A" w:rsidR="00675A46" w:rsidRPr="003C59C1" w:rsidRDefault="003C59C1" w:rsidP="00FD2769">
      <w:pPr>
        <w:pStyle w:val="10"/>
      </w:pPr>
      <w:bookmarkStart w:id="157" w:name="_Toc14819123"/>
      <w:r w:rsidRPr="00355207">
        <w:t>ЗАКЛЮЧИТЕЛЬНАЯ ГЛАВА</w:t>
      </w:r>
      <w:bookmarkEnd w:id="157"/>
    </w:p>
    <w:p w14:paraId="7C11A374" w14:textId="3E48060E" w:rsidR="001223AF" w:rsidRPr="00F54F76" w:rsidRDefault="00E215D0" w:rsidP="00FD2769">
      <w:pPr>
        <w:pStyle w:val="3"/>
      </w:pPr>
      <w:bookmarkStart w:id="158" w:name="_Toc14819124"/>
      <w:bookmarkEnd w:id="124"/>
      <w:bookmarkEnd w:id="125"/>
      <w:r>
        <w:t>Информация об итогах контроля качества результатов определения кадастровой стоимости</w:t>
      </w:r>
      <w:bookmarkEnd w:id="158"/>
    </w:p>
    <w:p w14:paraId="74B240A8" w14:textId="77777777" w:rsidR="00E215D0" w:rsidRDefault="00E215D0" w:rsidP="00E215D0"/>
    <w:p w14:paraId="6BCF32D0" w14:textId="544BA2D2" w:rsidR="00E215D0" w:rsidRDefault="00E215D0" w:rsidP="00E215D0">
      <w:r>
        <w:t>Контроль качества результатов определения кадастровой стоимости осуществлялся на каждом этапе определения кадастровой стоимости.</w:t>
      </w:r>
    </w:p>
    <w:p w14:paraId="06DD3613" w14:textId="77777777" w:rsidR="00E215D0" w:rsidRDefault="00E215D0" w:rsidP="00E215D0">
      <w:r>
        <w:t>Контроль качества осуществлялся:</w:t>
      </w:r>
    </w:p>
    <w:p w14:paraId="6F702894" w14:textId="77777777" w:rsidR="00E215D0" w:rsidRDefault="00E215D0" w:rsidP="00E215D0">
      <w:r>
        <w:t xml:space="preserve"> - на уровне ЦГКО: начальником отдела кадастровой оценки ЦГКО, заместителем директора ЦГКО, директором ЦГКО;</w:t>
      </w:r>
    </w:p>
    <w:p w14:paraId="3CD1A004" w14:textId="77777777" w:rsidR="00E215D0" w:rsidRDefault="00E215D0" w:rsidP="00E215D0">
      <w:r>
        <w:t xml:space="preserve"> - на уровне Министерства имущественных и земельных отношений Республики Саха (Якутия): заместитель министра, руководителем департамента земельных отношений. начальником отдела оборота земель сельскохозяйственного назначения, заместителем начальника департамента – начальником управления земельных ресурсов, первым заместителем начальника департамента.</w:t>
      </w:r>
    </w:p>
    <w:p w14:paraId="50F482CF" w14:textId="77777777" w:rsidR="00E215D0" w:rsidRDefault="00E215D0" w:rsidP="00E215D0">
      <w:r>
        <w:t>Контроль качества результатов определения кадастровой стоимости включал следующие процедуры, осуществленные с участием заместителя министра имущественных и земельных отношений Республики Саха (Якутия):</w:t>
      </w:r>
    </w:p>
    <w:p w14:paraId="4F4B125E" w14:textId="77777777" w:rsidR="00E215D0" w:rsidRDefault="00E215D0" w:rsidP="00E215D0">
      <w:r>
        <w:t>1) Проверка исходных данных об объектах недвижимости, организация их сверки и уточнения.</w:t>
      </w:r>
    </w:p>
    <w:p w14:paraId="0E0C91D1" w14:textId="77777777" w:rsidR="00E215D0" w:rsidRDefault="00E215D0" w:rsidP="00E215D0">
      <w:r>
        <w:t xml:space="preserve">Проверка исходных данных об объектах недвижимости, организация их сверки и уточнения осуществлялась ЦГКО совместно с министерством имущественных и земельных отношений Республики Саха (Якутия), органами местного самоуправления. </w:t>
      </w:r>
    </w:p>
    <w:p w14:paraId="1342C776" w14:textId="77777777" w:rsidR="00E215D0" w:rsidRDefault="00E215D0" w:rsidP="00E215D0">
      <w:r>
        <w:t xml:space="preserve">Проверка исходных данных и их уточнение осуществлялась по следующим направлениям: </w:t>
      </w:r>
    </w:p>
    <w:p w14:paraId="03EAA6C1" w14:textId="77777777" w:rsidR="00E215D0" w:rsidRDefault="00E215D0" w:rsidP="00E215D0">
      <w:r>
        <w:t xml:space="preserve"> - проверка соответствия сведений о кадастровом районе и сведений об адресе (местоположении) объектов оценки с целью однозначного и правильного отнесения каждого земельного участка к территории конкретного муниципального района, городского округа. При выявлении противоречий уточнялось фактическое местоположение земельного участка согласно данным Публичной кадастровой карты, а при их отсутствии – согласно данным ОМСУ;</w:t>
      </w:r>
    </w:p>
    <w:p w14:paraId="5C0BE605" w14:textId="77777777" w:rsidR="00E215D0" w:rsidRDefault="00E215D0" w:rsidP="00E215D0">
      <w:r>
        <w:t xml:space="preserve"> - проверка на отсутствие противоречий между видом разрешенного использования земельного участка и назначением расположенных на нем ОКС. При выявлении противоречий уточнялось фактическое использование земельного участка для отнесения его к корректному коду видов использования согласно приложению № 1 к Методическим указаниям;</w:t>
      </w:r>
    </w:p>
    <w:p w14:paraId="1E7BCC7A" w14:textId="1E3674F2" w:rsidR="00E215D0" w:rsidRDefault="00E215D0" w:rsidP="00E215D0">
      <w:r>
        <w:t>1) Анализ рынка, сбор и верификация (в том числе путем осмотра) данных о сделках и предложениях.</w:t>
      </w:r>
    </w:p>
    <w:p w14:paraId="0E603313" w14:textId="77777777" w:rsidR="00E215D0" w:rsidRDefault="00E215D0" w:rsidP="00E215D0">
      <w:r>
        <w:t>Для обеспечения качества результатов кадастровой оценки был проведен анализ рынка недвижимости Республики Саха (Якутия), в том числе его сегментов, к которым преимущественно относятся объекты оценки. Результаты анализа представлены в разделе 1.2.1.4 Отчета.</w:t>
      </w:r>
    </w:p>
    <w:p w14:paraId="1B940FB6" w14:textId="77777777" w:rsidR="00E215D0" w:rsidRDefault="00E215D0" w:rsidP="00E215D0">
      <w:r>
        <w:t>Верификацию данных о сделках и предложениях осуществлялась ЦГКО с использованием сервиса Публичная кадастровая карта, запроса дополнительных сведений в ЕГРН, у ОМСУ.</w:t>
      </w:r>
    </w:p>
    <w:p w14:paraId="1A2B6840" w14:textId="08F47BDC" w:rsidR="00E215D0" w:rsidRDefault="005F14B2" w:rsidP="00E215D0">
      <w:r>
        <w:t>2</w:t>
      </w:r>
      <w:r w:rsidR="00E215D0">
        <w:t>) Проверка МИЗО предварительных результатов определения кадастровой стоимости путем анализа соотношений минимальных, средних и максимальных УПКС:</w:t>
      </w:r>
    </w:p>
    <w:p w14:paraId="0E4B1C65" w14:textId="77777777" w:rsidR="00E215D0" w:rsidRDefault="00E215D0" w:rsidP="00E215D0">
      <w:r>
        <w:t>Проведение проверки осуществлялось:</w:t>
      </w:r>
    </w:p>
    <w:p w14:paraId="728D0A8E" w14:textId="77777777" w:rsidR="00E215D0" w:rsidRDefault="00E215D0" w:rsidP="00E215D0">
      <w:r>
        <w:t>- в разрезе групп (подгрупп) объектов недвижимости в каждом из муниципальных районов субъекта Российской Федерации сравниваются УПКС каждой группы (подгруппы) объектов, расположенных в разных муниципальных образованиях субъекта Российской Федерации;</w:t>
      </w:r>
    </w:p>
    <w:p w14:paraId="27DAEECF" w14:textId="77777777" w:rsidR="00E215D0" w:rsidRDefault="00E215D0" w:rsidP="00E215D0">
      <w:r>
        <w:t>- в разрезе муниципальных образований для разных групп (подгрупп) - сравниваются УПКС разных видов использования, расположенные в границах одного муниципального образования.</w:t>
      </w:r>
    </w:p>
    <w:p w14:paraId="1508538B" w14:textId="77777777" w:rsidR="00E215D0" w:rsidRDefault="00E215D0" w:rsidP="00E215D0">
      <w:r>
        <w:t>Результаты анализа соотношения минимальных, средних и максимальных удельных показателей кадастровой стоимости более подробно рассмотрены в разделе 1.3.2 Отчета.</w:t>
      </w:r>
    </w:p>
    <w:p w14:paraId="7B79B4E3" w14:textId="77777777" w:rsidR="00E215D0" w:rsidRDefault="00E215D0" w:rsidP="00E215D0">
      <w:r>
        <w:t>4) Проверка качества процессов определения кадастровой стоимости путём выборочной проверки индивидуальных расчетов и моделей определения кадастровой стоимости.</w:t>
      </w:r>
    </w:p>
    <w:p w14:paraId="071D6DEA" w14:textId="6FB337FF" w:rsidR="00E215D0" w:rsidRDefault="00E215D0" w:rsidP="00E215D0">
      <w:r>
        <w:t xml:space="preserve">Выборочная проверка проводилась </w:t>
      </w:r>
      <w:r w:rsidR="000E68C5">
        <w:t>сотрудниками ГБУ РС (Я) «</w:t>
      </w:r>
      <w:r>
        <w:t>ЦГКО</w:t>
      </w:r>
      <w:r w:rsidR="000E68C5">
        <w:t>»</w:t>
      </w:r>
      <w:r>
        <w:t>. Все результаты выборочной проверки совпадает с результатом определения кадастровой стоимости в пределах округления итогового значения.</w:t>
      </w:r>
    </w:p>
    <w:p w14:paraId="01767572" w14:textId="569E91C2" w:rsidR="009D5DEE" w:rsidRPr="00611AF9" w:rsidRDefault="0094462A" w:rsidP="00FD2769">
      <w:pPr>
        <w:pStyle w:val="3"/>
      </w:pPr>
      <w:bookmarkStart w:id="159" w:name="_Toc14819125"/>
      <w:r>
        <w:t>Ср</w:t>
      </w:r>
      <w:r w:rsidR="009D5DEE" w:rsidRPr="00355207">
        <w:t>авнительный анализ соотношений минимальных, средних и максимальных удельных показателей кадастровой стоимости (УПКС)</w:t>
      </w:r>
      <w:r w:rsidR="000E68C5">
        <w:t xml:space="preserve"> с показателями, </w:t>
      </w:r>
      <w:r w:rsidR="009D5DEE" w:rsidRPr="000E68C5">
        <w:t>действующими на дату оценки</w:t>
      </w:r>
      <w:bookmarkEnd w:id="159"/>
    </w:p>
    <w:p w14:paraId="38844B8A" w14:textId="77777777" w:rsidR="009D5DEE" w:rsidRPr="009D5DEE" w:rsidRDefault="009D5DEE" w:rsidP="009D5DEE">
      <w:pPr>
        <w:ind w:firstLine="709"/>
        <w:rPr>
          <w:color w:val="000000"/>
          <w:szCs w:val="24"/>
        </w:rPr>
      </w:pPr>
    </w:p>
    <w:p w14:paraId="4652BEA8" w14:textId="77777777" w:rsidR="009D5DEE" w:rsidRPr="009D5DEE" w:rsidRDefault="009D5DEE" w:rsidP="009D5DEE">
      <w:pPr>
        <w:spacing w:line="276" w:lineRule="auto"/>
        <w:ind w:firstLine="709"/>
        <w:rPr>
          <w:color w:val="000000"/>
          <w:szCs w:val="24"/>
        </w:rPr>
      </w:pPr>
      <w:r w:rsidRPr="009D5DEE">
        <w:rPr>
          <w:color w:val="000000"/>
          <w:szCs w:val="24"/>
        </w:rPr>
        <w:t>Сравнение полученных значений кадастровой стоимости Объектов оценки со значениями кадастровой стоимости, действующими на дату оценки, предусмотрено приказом МЭР РФ от 29.07.2011 № 382 (ред. от 06.04.2015) «Об утверждении Требований к отчету об определении кадастровой стоимости».</w:t>
      </w:r>
    </w:p>
    <w:p w14:paraId="129D3F3C" w14:textId="77777777" w:rsidR="00516A75" w:rsidRDefault="009D5DEE" w:rsidP="00516A75">
      <w:pPr>
        <w:spacing w:line="276" w:lineRule="auto"/>
        <w:ind w:firstLine="709"/>
        <w:rPr>
          <w:color w:val="000000"/>
          <w:szCs w:val="24"/>
        </w:rPr>
      </w:pPr>
      <w:r w:rsidRPr="009D5DEE">
        <w:rPr>
          <w:color w:val="000000"/>
          <w:szCs w:val="24"/>
        </w:rPr>
        <w:t>Общее количество объектов капитального строительства, подлежащих оценке в 2019 году по</w:t>
      </w:r>
      <w:r w:rsidRPr="009D5DEE">
        <w:rPr>
          <w:color w:val="000000"/>
          <w:szCs w:val="24"/>
          <w:lang w:val="x-none"/>
        </w:rPr>
        <w:t xml:space="preserve"> </w:t>
      </w:r>
      <w:r w:rsidRPr="009D5DEE">
        <w:rPr>
          <w:color w:val="000000"/>
          <w:szCs w:val="24"/>
        </w:rPr>
        <w:t>Республике Саха (Якутия) составляет</w:t>
      </w:r>
      <w:r w:rsidR="00516A75">
        <w:rPr>
          <w:color w:val="000000"/>
          <w:szCs w:val="24"/>
        </w:rPr>
        <w:t xml:space="preserve"> 670568 объектов недвижимости. </w:t>
      </w:r>
    </w:p>
    <w:p w14:paraId="2BAF7DBB" w14:textId="044CD53D" w:rsidR="009D5DEE" w:rsidRPr="009D5DEE" w:rsidRDefault="009D5DEE" w:rsidP="00516A75">
      <w:pPr>
        <w:spacing w:line="276" w:lineRule="auto"/>
        <w:ind w:firstLine="709"/>
        <w:rPr>
          <w:color w:val="000000"/>
          <w:szCs w:val="24"/>
        </w:rPr>
      </w:pPr>
      <w:r w:rsidRPr="009D5DEE">
        <w:rPr>
          <w:color w:val="000000"/>
          <w:szCs w:val="24"/>
        </w:rPr>
        <w:t xml:space="preserve">Согласно </w:t>
      </w:r>
      <w:r w:rsidR="001172CB">
        <w:rPr>
          <w:color w:val="000000"/>
          <w:szCs w:val="24"/>
        </w:rPr>
        <w:t>М</w:t>
      </w:r>
      <w:r w:rsidRPr="009D5DEE">
        <w:rPr>
          <w:color w:val="000000"/>
          <w:szCs w:val="24"/>
        </w:rPr>
        <w:t>етодическим указаниям, объекты капитального строительства по функциональному назначению, разбиты на 10 основных групп. В прошлом туре кадастровой оценки 2012 года было 13 групп.</w:t>
      </w:r>
    </w:p>
    <w:p w14:paraId="0677294E" w14:textId="72BAA3B6" w:rsidR="009D5DEE" w:rsidRPr="009D5DEE" w:rsidRDefault="009D5DEE" w:rsidP="009D5DEE">
      <w:pPr>
        <w:pStyle w:val="aff3"/>
        <w:jc w:val="center"/>
        <w:rPr>
          <w:b w:val="0"/>
          <w:i/>
          <w:iCs/>
          <w:caps w:val="0"/>
          <w:sz w:val="24"/>
          <w:szCs w:val="24"/>
        </w:rPr>
      </w:pPr>
      <w:r w:rsidRPr="009D5DEE">
        <w:rPr>
          <w:b w:val="0"/>
          <w:i/>
          <w:caps w:val="0"/>
          <w:sz w:val="24"/>
          <w:szCs w:val="24"/>
        </w:rPr>
        <w:t xml:space="preserve">Таблица </w:t>
      </w:r>
      <w:r w:rsidRPr="009D5DEE">
        <w:rPr>
          <w:b w:val="0"/>
          <w:i/>
          <w:caps w:val="0"/>
          <w:sz w:val="24"/>
          <w:szCs w:val="24"/>
        </w:rPr>
        <w:fldChar w:fldCharType="begin"/>
      </w:r>
      <w:r w:rsidRPr="009D5DEE">
        <w:rPr>
          <w:b w:val="0"/>
          <w:i/>
          <w:caps w:val="0"/>
          <w:sz w:val="24"/>
          <w:szCs w:val="24"/>
        </w:rPr>
        <w:instrText xml:space="preserve"> SEQ Таблица \* ARABIC </w:instrText>
      </w:r>
      <w:r w:rsidRPr="009D5DEE">
        <w:rPr>
          <w:b w:val="0"/>
          <w:i/>
          <w:caps w:val="0"/>
          <w:sz w:val="24"/>
          <w:szCs w:val="24"/>
        </w:rPr>
        <w:fldChar w:fldCharType="separate"/>
      </w:r>
      <w:r w:rsidR="00FD2769">
        <w:rPr>
          <w:b w:val="0"/>
          <w:i/>
          <w:caps w:val="0"/>
          <w:noProof/>
          <w:sz w:val="24"/>
          <w:szCs w:val="24"/>
        </w:rPr>
        <w:t>80</w:t>
      </w:r>
      <w:r w:rsidRPr="009D5DEE">
        <w:rPr>
          <w:b w:val="0"/>
          <w:i/>
          <w:caps w:val="0"/>
          <w:sz w:val="24"/>
          <w:szCs w:val="24"/>
        </w:rPr>
        <w:fldChar w:fldCharType="end"/>
      </w:r>
      <w:r w:rsidRPr="009D5DEE">
        <w:rPr>
          <w:b w:val="0"/>
          <w:i/>
          <w:iCs/>
          <w:caps w:val="0"/>
          <w:sz w:val="24"/>
          <w:szCs w:val="24"/>
        </w:rPr>
        <w:t>.Сравнение групп</w:t>
      </w:r>
    </w:p>
    <w:tbl>
      <w:tblPr>
        <w:tblStyle w:val="af2"/>
        <w:tblW w:w="0" w:type="auto"/>
        <w:tblLook w:val="04A0" w:firstRow="1" w:lastRow="0" w:firstColumn="1" w:lastColumn="0" w:noHBand="0" w:noVBand="1"/>
      </w:tblPr>
      <w:tblGrid>
        <w:gridCol w:w="4672"/>
        <w:gridCol w:w="4673"/>
      </w:tblGrid>
      <w:tr w:rsidR="009D5DEE" w:rsidRPr="009D5DEE" w14:paraId="015AC24F" w14:textId="77777777" w:rsidTr="009D5DEE">
        <w:tc>
          <w:tcPr>
            <w:tcW w:w="4672" w:type="dxa"/>
          </w:tcPr>
          <w:p w14:paraId="24785BEC" w14:textId="77777777" w:rsidR="009D5DEE" w:rsidRPr="009D5DEE" w:rsidRDefault="009D5DEE" w:rsidP="009D5DEE">
            <w:pPr>
              <w:spacing w:line="264" w:lineRule="auto"/>
              <w:ind w:firstLine="709"/>
              <w:jc w:val="center"/>
              <w:rPr>
                <w:b/>
                <w:color w:val="000000"/>
                <w:sz w:val="20"/>
                <w:szCs w:val="20"/>
              </w:rPr>
            </w:pPr>
            <w:r w:rsidRPr="009D5DEE">
              <w:rPr>
                <w:b/>
                <w:color w:val="000000"/>
                <w:sz w:val="20"/>
                <w:szCs w:val="20"/>
              </w:rPr>
              <w:t>2012</w:t>
            </w:r>
          </w:p>
        </w:tc>
        <w:tc>
          <w:tcPr>
            <w:tcW w:w="4673" w:type="dxa"/>
          </w:tcPr>
          <w:p w14:paraId="386B2442" w14:textId="77777777" w:rsidR="009D5DEE" w:rsidRPr="009D5DEE" w:rsidRDefault="009D5DEE" w:rsidP="009D5DEE">
            <w:pPr>
              <w:spacing w:line="264" w:lineRule="auto"/>
              <w:ind w:firstLine="709"/>
              <w:jc w:val="center"/>
              <w:rPr>
                <w:b/>
                <w:color w:val="000000"/>
                <w:sz w:val="20"/>
                <w:szCs w:val="20"/>
              </w:rPr>
            </w:pPr>
            <w:r w:rsidRPr="009D5DEE">
              <w:rPr>
                <w:b/>
                <w:color w:val="000000"/>
                <w:sz w:val="20"/>
                <w:szCs w:val="20"/>
              </w:rPr>
              <w:t>2019</w:t>
            </w:r>
          </w:p>
        </w:tc>
      </w:tr>
      <w:tr w:rsidR="009D5DEE" w:rsidRPr="009D5DEE" w14:paraId="616CCE36" w14:textId="77777777" w:rsidTr="009D5DEE">
        <w:trPr>
          <w:trHeight w:val="670"/>
        </w:trPr>
        <w:tc>
          <w:tcPr>
            <w:tcW w:w="4672" w:type="dxa"/>
          </w:tcPr>
          <w:p w14:paraId="11DD0B5F" w14:textId="77777777" w:rsidR="009D5DEE" w:rsidRPr="009D5DEE" w:rsidRDefault="009D5DEE" w:rsidP="00A90944">
            <w:pPr>
              <w:spacing w:line="264" w:lineRule="auto"/>
              <w:ind w:firstLine="0"/>
              <w:rPr>
                <w:color w:val="000000"/>
                <w:sz w:val="20"/>
                <w:szCs w:val="20"/>
              </w:rPr>
            </w:pPr>
            <w:r w:rsidRPr="009D5DEE">
              <w:rPr>
                <w:color w:val="000000"/>
                <w:sz w:val="20"/>
                <w:szCs w:val="20"/>
              </w:rPr>
              <w:t>1. Объекты многоэтажной и среднеэтажной жилой застройки</w:t>
            </w:r>
          </w:p>
        </w:tc>
        <w:tc>
          <w:tcPr>
            <w:tcW w:w="4673" w:type="dxa"/>
          </w:tcPr>
          <w:p w14:paraId="6809F79A" w14:textId="77777777" w:rsidR="009D5DEE" w:rsidRPr="009D5DEE" w:rsidRDefault="009D5DEE" w:rsidP="00A90944">
            <w:pPr>
              <w:spacing w:line="264" w:lineRule="auto"/>
              <w:ind w:firstLine="0"/>
              <w:rPr>
                <w:color w:val="000000"/>
                <w:sz w:val="20"/>
                <w:szCs w:val="20"/>
              </w:rPr>
            </w:pPr>
            <w:r w:rsidRPr="009D5DEE">
              <w:rPr>
                <w:color w:val="000000"/>
                <w:sz w:val="20"/>
                <w:szCs w:val="20"/>
              </w:rPr>
              <w:t>1. Многоквартирные дома (дома средне- и многоэтажной жилой застройки)</w:t>
            </w:r>
          </w:p>
        </w:tc>
      </w:tr>
      <w:tr w:rsidR="009D5DEE" w:rsidRPr="009D5DEE" w14:paraId="115E41C2" w14:textId="77777777" w:rsidTr="009D5DEE">
        <w:tc>
          <w:tcPr>
            <w:tcW w:w="4672" w:type="dxa"/>
          </w:tcPr>
          <w:p w14:paraId="262FC822" w14:textId="77777777" w:rsidR="009D5DEE" w:rsidRPr="009D5DEE" w:rsidRDefault="009D5DEE" w:rsidP="00A90944">
            <w:pPr>
              <w:spacing w:line="264" w:lineRule="auto"/>
              <w:ind w:firstLine="0"/>
              <w:rPr>
                <w:color w:val="000000"/>
                <w:sz w:val="20"/>
                <w:szCs w:val="20"/>
              </w:rPr>
            </w:pPr>
            <w:r w:rsidRPr="009D5DEE">
              <w:rPr>
                <w:color w:val="000000"/>
                <w:sz w:val="20"/>
                <w:szCs w:val="20"/>
              </w:rPr>
              <w:t>2. Объекты малоэтажной жилой застройки</w:t>
            </w:r>
          </w:p>
        </w:tc>
        <w:tc>
          <w:tcPr>
            <w:tcW w:w="4673" w:type="dxa"/>
          </w:tcPr>
          <w:p w14:paraId="121D8404" w14:textId="77777777" w:rsidR="009D5DEE" w:rsidRPr="009D5DEE" w:rsidRDefault="009D5DEE" w:rsidP="00A90944">
            <w:pPr>
              <w:spacing w:line="264" w:lineRule="auto"/>
              <w:ind w:firstLine="0"/>
              <w:rPr>
                <w:color w:val="000000"/>
                <w:sz w:val="20"/>
                <w:szCs w:val="20"/>
              </w:rPr>
            </w:pPr>
            <w:r w:rsidRPr="009D5DEE">
              <w:rPr>
                <w:color w:val="000000"/>
                <w:sz w:val="20"/>
                <w:szCs w:val="20"/>
              </w:rPr>
              <w:t>2. Дома малоэтажной жилой застройки, в том числе индивидуальной жилой застройки - индивидуальные, ма</w:t>
            </w:r>
            <w:bookmarkStart w:id="160" w:name="_GoBack"/>
            <w:bookmarkEnd w:id="160"/>
            <w:r w:rsidRPr="009D5DEE">
              <w:rPr>
                <w:color w:val="000000"/>
                <w:sz w:val="20"/>
                <w:szCs w:val="20"/>
              </w:rPr>
              <w:t>лоэтажные блокированные (таунхаусы), дачных объединений, садоводческих товариществ</w:t>
            </w:r>
          </w:p>
        </w:tc>
      </w:tr>
      <w:tr w:rsidR="009D5DEE" w:rsidRPr="009D5DEE" w14:paraId="202FE27B" w14:textId="77777777" w:rsidTr="009D5DEE">
        <w:tc>
          <w:tcPr>
            <w:tcW w:w="4672" w:type="dxa"/>
          </w:tcPr>
          <w:p w14:paraId="680D5AB5" w14:textId="77777777" w:rsidR="009D5DEE" w:rsidRPr="009D5DEE" w:rsidRDefault="009D5DEE" w:rsidP="00A90944">
            <w:pPr>
              <w:spacing w:line="264" w:lineRule="auto"/>
              <w:ind w:firstLine="0"/>
              <w:rPr>
                <w:color w:val="000000"/>
                <w:sz w:val="20"/>
                <w:szCs w:val="20"/>
              </w:rPr>
            </w:pPr>
            <w:r w:rsidRPr="009D5DEE">
              <w:rPr>
                <w:color w:val="000000"/>
                <w:sz w:val="20"/>
                <w:szCs w:val="20"/>
              </w:rPr>
              <w:t>3. Объекты для хранения индивидуального транспорта</w:t>
            </w:r>
          </w:p>
        </w:tc>
        <w:tc>
          <w:tcPr>
            <w:tcW w:w="4673" w:type="dxa"/>
          </w:tcPr>
          <w:p w14:paraId="635DCA89" w14:textId="77777777" w:rsidR="009D5DEE" w:rsidRPr="009D5DEE" w:rsidRDefault="009D5DEE" w:rsidP="00A90944">
            <w:pPr>
              <w:spacing w:line="264" w:lineRule="auto"/>
              <w:ind w:firstLine="0"/>
              <w:rPr>
                <w:color w:val="000000"/>
                <w:sz w:val="20"/>
                <w:szCs w:val="20"/>
              </w:rPr>
            </w:pPr>
            <w:r w:rsidRPr="009D5DEE">
              <w:rPr>
                <w:color w:val="000000"/>
                <w:sz w:val="20"/>
                <w:szCs w:val="20"/>
              </w:rPr>
              <w:t>3. Объекты, предназначенные для хранения транспорта</w:t>
            </w:r>
          </w:p>
        </w:tc>
      </w:tr>
      <w:tr w:rsidR="009D5DEE" w:rsidRPr="009D5DEE" w14:paraId="20530130" w14:textId="77777777" w:rsidTr="009D5DEE">
        <w:tc>
          <w:tcPr>
            <w:tcW w:w="4672" w:type="dxa"/>
          </w:tcPr>
          <w:p w14:paraId="6810540F" w14:textId="77777777" w:rsidR="009D5DEE" w:rsidRPr="009D5DEE" w:rsidRDefault="009D5DEE" w:rsidP="00A90944">
            <w:pPr>
              <w:spacing w:line="264" w:lineRule="auto"/>
              <w:ind w:firstLine="0"/>
              <w:rPr>
                <w:color w:val="000000"/>
                <w:sz w:val="20"/>
                <w:szCs w:val="20"/>
              </w:rPr>
            </w:pPr>
            <w:r w:rsidRPr="009D5DEE">
              <w:rPr>
                <w:color w:val="000000"/>
                <w:sz w:val="20"/>
                <w:szCs w:val="20"/>
              </w:rPr>
              <w:t>4. Объекты садового, огородного, дачного строительства</w:t>
            </w:r>
          </w:p>
        </w:tc>
        <w:tc>
          <w:tcPr>
            <w:tcW w:w="4673" w:type="dxa"/>
          </w:tcPr>
          <w:p w14:paraId="5575B94F" w14:textId="77777777" w:rsidR="009D5DEE" w:rsidRPr="009D5DEE" w:rsidRDefault="009D5DEE" w:rsidP="00A90944">
            <w:pPr>
              <w:spacing w:line="264" w:lineRule="auto"/>
              <w:ind w:firstLine="0"/>
              <w:rPr>
                <w:color w:val="000000"/>
                <w:sz w:val="20"/>
                <w:szCs w:val="20"/>
              </w:rPr>
            </w:pPr>
            <w:r w:rsidRPr="009D5DEE">
              <w:rPr>
                <w:color w:val="000000"/>
                <w:sz w:val="20"/>
                <w:szCs w:val="20"/>
              </w:rPr>
              <w:t>4. Объекты коммерческого назначения, предназначенные для оказания услуг населению, включая многофункционального назначения</w:t>
            </w:r>
          </w:p>
        </w:tc>
      </w:tr>
      <w:tr w:rsidR="009D5DEE" w:rsidRPr="009D5DEE" w14:paraId="24DD221E" w14:textId="77777777" w:rsidTr="009D5DEE">
        <w:tc>
          <w:tcPr>
            <w:tcW w:w="4672" w:type="dxa"/>
          </w:tcPr>
          <w:p w14:paraId="2B616116" w14:textId="77777777" w:rsidR="009D5DEE" w:rsidRPr="009D5DEE" w:rsidRDefault="009D5DEE" w:rsidP="00A90944">
            <w:pPr>
              <w:spacing w:line="264" w:lineRule="auto"/>
              <w:ind w:firstLine="0"/>
              <w:rPr>
                <w:color w:val="000000"/>
                <w:sz w:val="20"/>
                <w:szCs w:val="20"/>
              </w:rPr>
            </w:pPr>
            <w:r w:rsidRPr="009D5DEE">
              <w:rPr>
                <w:color w:val="000000"/>
                <w:sz w:val="20"/>
                <w:szCs w:val="20"/>
              </w:rPr>
              <w:t>5.  Объекты торговли, общественного питания, бытового обслуживания, сервиса, отдыха и развлечений</w:t>
            </w:r>
          </w:p>
        </w:tc>
        <w:tc>
          <w:tcPr>
            <w:tcW w:w="4673" w:type="dxa"/>
          </w:tcPr>
          <w:p w14:paraId="51D649E1" w14:textId="77777777" w:rsidR="009D5DEE" w:rsidRPr="009D5DEE" w:rsidRDefault="009D5DEE" w:rsidP="00A90944">
            <w:pPr>
              <w:spacing w:line="264" w:lineRule="auto"/>
              <w:ind w:firstLine="0"/>
              <w:rPr>
                <w:color w:val="000000"/>
                <w:sz w:val="20"/>
                <w:szCs w:val="20"/>
              </w:rPr>
            </w:pPr>
            <w:r w:rsidRPr="009D5DEE">
              <w:rPr>
                <w:color w:val="000000"/>
                <w:sz w:val="20"/>
                <w:szCs w:val="20"/>
              </w:rPr>
              <w:t>5. Объекты временного проживания, включая объекты рекреационно-оздоровительного значения</w:t>
            </w:r>
          </w:p>
        </w:tc>
      </w:tr>
      <w:tr w:rsidR="009D5DEE" w:rsidRPr="009D5DEE" w14:paraId="50068BB7" w14:textId="77777777" w:rsidTr="009D5DEE">
        <w:tc>
          <w:tcPr>
            <w:tcW w:w="4672" w:type="dxa"/>
          </w:tcPr>
          <w:p w14:paraId="5272A985" w14:textId="77777777" w:rsidR="009D5DEE" w:rsidRPr="009D5DEE" w:rsidRDefault="009D5DEE" w:rsidP="00A90944">
            <w:pPr>
              <w:spacing w:line="264" w:lineRule="auto"/>
              <w:ind w:firstLine="0"/>
              <w:rPr>
                <w:color w:val="000000"/>
                <w:sz w:val="20"/>
                <w:szCs w:val="20"/>
              </w:rPr>
            </w:pPr>
            <w:r w:rsidRPr="009D5DEE">
              <w:rPr>
                <w:color w:val="000000"/>
                <w:sz w:val="20"/>
                <w:szCs w:val="20"/>
              </w:rPr>
              <w:t>6.  Объекты, предназначенные для временного проживания</w:t>
            </w:r>
          </w:p>
        </w:tc>
        <w:tc>
          <w:tcPr>
            <w:tcW w:w="4673" w:type="dxa"/>
          </w:tcPr>
          <w:p w14:paraId="13DE3E3E" w14:textId="77777777" w:rsidR="009D5DEE" w:rsidRPr="009D5DEE" w:rsidRDefault="009D5DEE" w:rsidP="00A90944">
            <w:pPr>
              <w:spacing w:line="264" w:lineRule="auto"/>
              <w:ind w:firstLine="0"/>
              <w:rPr>
                <w:color w:val="000000"/>
                <w:sz w:val="20"/>
                <w:szCs w:val="20"/>
              </w:rPr>
            </w:pPr>
            <w:r w:rsidRPr="009D5DEE">
              <w:rPr>
                <w:color w:val="000000"/>
                <w:sz w:val="20"/>
                <w:szCs w:val="20"/>
              </w:rPr>
              <w:t>6. Административные и бытовые объекты</w:t>
            </w:r>
          </w:p>
        </w:tc>
      </w:tr>
      <w:tr w:rsidR="009D5DEE" w:rsidRPr="009D5DEE" w14:paraId="1D22147D" w14:textId="77777777" w:rsidTr="009D5DEE">
        <w:tc>
          <w:tcPr>
            <w:tcW w:w="4672" w:type="dxa"/>
          </w:tcPr>
          <w:p w14:paraId="262AD85A" w14:textId="77777777" w:rsidR="009D5DEE" w:rsidRPr="009D5DEE" w:rsidRDefault="009D5DEE" w:rsidP="00A90944">
            <w:pPr>
              <w:spacing w:line="264" w:lineRule="auto"/>
              <w:ind w:firstLine="0"/>
              <w:rPr>
                <w:color w:val="000000"/>
                <w:sz w:val="20"/>
                <w:szCs w:val="20"/>
              </w:rPr>
            </w:pPr>
            <w:r w:rsidRPr="009D5DEE">
              <w:rPr>
                <w:color w:val="000000"/>
                <w:sz w:val="20"/>
                <w:szCs w:val="20"/>
              </w:rPr>
              <w:t>7. Объекты делового и коммерческого назначения</w:t>
            </w:r>
          </w:p>
        </w:tc>
        <w:tc>
          <w:tcPr>
            <w:tcW w:w="4673" w:type="dxa"/>
          </w:tcPr>
          <w:p w14:paraId="54BACB9C" w14:textId="77777777" w:rsidR="009D5DEE" w:rsidRPr="009D5DEE" w:rsidRDefault="009D5DEE" w:rsidP="00A90944">
            <w:pPr>
              <w:spacing w:line="264" w:lineRule="auto"/>
              <w:ind w:firstLine="0"/>
              <w:rPr>
                <w:color w:val="000000"/>
                <w:sz w:val="20"/>
                <w:szCs w:val="20"/>
              </w:rPr>
            </w:pPr>
            <w:r w:rsidRPr="009D5DEE">
              <w:rPr>
                <w:color w:val="000000"/>
                <w:sz w:val="20"/>
                <w:szCs w:val="20"/>
              </w:rPr>
              <w:t>7. Объекты производственного назначения, за исключением передаточных устройств и сооружений</w:t>
            </w:r>
          </w:p>
        </w:tc>
      </w:tr>
      <w:tr w:rsidR="009D5DEE" w:rsidRPr="009D5DEE" w14:paraId="610F3C27" w14:textId="77777777" w:rsidTr="009D5DEE">
        <w:tc>
          <w:tcPr>
            <w:tcW w:w="4672" w:type="dxa"/>
          </w:tcPr>
          <w:p w14:paraId="3F78B9B4" w14:textId="77777777" w:rsidR="009D5DEE" w:rsidRPr="009D5DEE" w:rsidRDefault="009D5DEE" w:rsidP="00A90944">
            <w:pPr>
              <w:spacing w:line="264" w:lineRule="auto"/>
              <w:ind w:firstLine="0"/>
              <w:rPr>
                <w:color w:val="000000"/>
                <w:sz w:val="20"/>
                <w:szCs w:val="20"/>
              </w:rPr>
            </w:pPr>
            <w:r w:rsidRPr="009D5DEE">
              <w:rPr>
                <w:color w:val="000000"/>
                <w:sz w:val="20"/>
                <w:szCs w:val="20"/>
              </w:rPr>
              <w:t>8. Объекты рекреационного назначения</w:t>
            </w:r>
          </w:p>
        </w:tc>
        <w:tc>
          <w:tcPr>
            <w:tcW w:w="4673" w:type="dxa"/>
          </w:tcPr>
          <w:p w14:paraId="1579145F" w14:textId="77777777" w:rsidR="009D5DEE" w:rsidRPr="009D5DEE" w:rsidRDefault="009D5DEE" w:rsidP="00A90944">
            <w:pPr>
              <w:spacing w:line="264" w:lineRule="auto"/>
              <w:ind w:firstLine="0"/>
              <w:rPr>
                <w:color w:val="000000"/>
                <w:sz w:val="20"/>
                <w:szCs w:val="20"/>
              </w:rPr>
            </w:pPr>
            <w:r w:rsidRPr="009D5DEE">
              <w:rPr>
                <w:color w:val="000000"/>
                <w:sz w:val="20"/>
                <w:szCs w:val="20"/>
              </w:rPr>
              <w:t>8. Учебные, спортивные объекты, объекты культуры и искусства, культовые объекты, музеи, лечебно-оздоровительные и общественного назначения объекты</w:t>
            </w:r>
          </w:p>
        </w:tc>
      </w:tr>
      <w:tr w:rsidR="009D5DEE" w:rsidRPr="009D5DEE" w14:paraId="391C0DA5" w14:textId="77777777" w:rsidTr="009D5DEE">
        <w:tc>
          <w:tcPr>
            <w:tcW w:w="4672" w:type="dxa"/>
          </w:tcPr>
          <w:p w14:paraId="2083947D" w14:textId="77777777" w:rsidR="009D5DEE" w:rsidRPr="009D5DEE" w:rsidRDefault="009D5DEE" w:rsidP="009D5DEE">
            <w:pPr>
              <w:spacing w:line="264" w:lineRule="auto"/>
              <w:ind w:firstLine="709"/>
              <w:rPr>
                <w:color w:val="000000"/>
                <w:sz w:val="20"/>
                <w:szCs w:val="20"/>
              </w:rPr>
            </w:pPr>
            <w:r w:rsidRPr="009D5DEE">
              <w:rPr>
                <w:color w:val="000000"/>
                <w:sz w:val="20"/>
                <w:szCs w:val="20"/>
              </w:rPr>
              <w:t>9. Объекты промышленного назначения</w:t>
            </w:r>
          </w:p>
        </w:tc>
        <w:tc>
          <w:tcPr>
            <w:tcW w:w="4673" w:type="dxa"/>
          </w:tcPr>
          <w:p w14:paraId="72E43D99" w14:textId="77777777" w:rsidR="009D5DEE" w:rsidRPr="009D5DEE" w:rsidRDefault="009D5DEE" w:rsidP="009D5DEE">
            <w:pPr>
              <w:spacing w:line="264" w:lineRule="auto"/>
              <w:ind w:firstLine="709"/>
              <w:rPr>
                <w:color w:val="000000"/>
                <w:sz w:val="20"/>
                <w:szCs w:val="20"/>
              </w:rPr>
            </w:pPr>
            <w:r w:rsidRPr="009D5DEE">
              <w:rPr>
                <w:color w:val="000000"/>
                <w:sz w:val="20"/>
                <w:szCs w:val="20"/>
              </w:rPr>
              <w:t>9. Прочие объекты</w:t>
            </w:r>
          </w:p>
        </w:tc>
      </w:tr>
      <w:tr w:rsidR="009D5DEE" w:rsidRPr="009D5DEE" w14:paraId="7519E6AD" w14:textId="77777777" w:rsidTr="009D5DEE">
        <w:tc>
          <w:tcPr>
            <w:tcW w:w="4672" w:type="dxa"/>
          </w:tcPr>
          <w:p w14:paraId="04443E8C" w14:textId="77777777" w:rsidR="009D5DEE" w:rsidRPr="009D5DEE" w:rsidRDefault="009D5DEE" w:rsidP="009D5DEE">
            <w:pPr>
              <w:spacing w:line="264" w:lineRule="auto"/>
              <w:ind w:firstLine="709"/>
              <w:rPr>
                <w:color w:val="000000"/>
                <w:sz w:val="20"/>
                <w:szCs w:val="20"/>
              </w:rPr>
            </w:pPr>
            <w:r w:rsidRPr="009D5DEE">
              <w:rPr>
                <w:color w:val="000000"/>
                <w:sz w:val="20"/>
                <w:szCs w:val="20"/>
              </w:rPr>
              <w:t>10. Объекты образования, науки, здравоохранения и социального обеспечения, физической культуры и спорта, культуры, искусства, религии.</w:t>
            </w:r>
          </w:p>
        </w:tc>
        <w:tc>
          <w:tcPr>
            <w:tcW w:w="4673" w:type="dxa"/>
          </w:tcPr>
          <w:p w14:paraId="49203EE6" w14:textId="77777777" w:rsidR="009D5DEE" w:rsidRPr="009D5DEE" w:rsidRDefault="009D5DEE" w:rsidP="009D5DEE">
            <w:pPr>
              <w:spacing w:line="264" w:lineRule="auto"/>
              <w:ind w:firstLine="709"/>
              <w:rPr>
                <w:color w:val="000000"/>
                <w:sz w:val="20"/>
                <w:szCs w:val="20"/>
              </w:rPr>
            </w:pPr>
            <w:r w:rsidRPr="009D5DEE">
              <w:rPr>
                <w:color w:val="000000"/>
                <w:sz w:val="20"/>
                <w:szCs w:val="20"/>
              </w:rPr>
              <w:t>10. Сооружения</w:t>
            </w:r>
          </w:p>
        </w:tc>
      </w:tr>
      <w:tr w:rsidR="009D5DEE" w:rsidRPr="009D5DEE" w14:paraId="350A01C1" w14:textId="77777777" w:rsidTr="009D5DEE">
        <w:tc>
          <w:tcPr>
            <w:tcW w:w="4672" w:type="dxa"/>
          </w:tcPr>
          <w:p w14:paraId="7DB374FA" w14:textId="77777777" w:rsidR="009D5DEE" w:rsidRPr="009D5DEE" w:rsidRDefault="009D5DEE" w:rsidP="009D5DEE">
            <w:pPr>
              <w:spacing w:line="264" w:lineRule="auto"/>
              <w:ind w:firstLine="709"/>
              <w:rPr>
                <w:color w:val="000000"/>
                <w:sz w:val="20"/>
                <w:szCs w:val="20"/>
              </w:rPr>
            </w:pPr>
            <w:r w:rsidRPr="009D5DEE">
              <w:rPr>
                <w:color w:val="000000"/>
                <w:sz w:val="20"/>
                <w:szCs w:val="20"/>
              </w:rPr>
              <w:t>11. Порты, вокзалы, станции</w:t>
            </w:r>
          </w:p>
        </w:tc>
        <w:tc>
          <w:tcPr>
            <w:tcW w:w="4673" w:type="dxa"/>
          </w:tcPr>
          <w:p w14:paraId="689B9E05" w14:textId="77777777" w:rsidR="009D5DEE" w:rsidRPr="009D5DEE" w:rsidRDefault="009D5DEE" w:rsidP="009D5DEE">
            <w:pPr>
              <w:spacing w:line="264" w:lineRule="auto"/>
              <w:ind w:firstLine="709"/>
              <w:rPr>
                <w:color w:val="000000"/>
                <w:sz w:val="20"/>
                <w:szCs w:val="20"/>
              </w:rPr>
            </w:pPr>
          </w:p>
        </w:tc>
      </w:tr>
      <w:tr w:rsidR="009D5DEE" w:rsidRPr="009D5DEE" w14:paraId="22EB3F90" w14:textId="77777777" w:rsidTr="009D5DEE">
        <w:tc>
          <w:tcPr>
            <w:tcW w:w="4672" w:type="dxa"/>
          </w:tcPr>
          <w:p w14:paraId="5BF21E15" w14:textId="77777777" w:rsidR="009D5DEE" w:rsidRPr="009D5DEE" w:rsidRDefault="009D5DEE" w:rsidP="009D5DEE">
            <w:pPr>
              <w:spacing w:line="264" w:lineRule="auto"/>
              <w:ind w:firstLine="709"/>
              <w:rPr>
                <w:color w:val="000000"/>
                <w:sz w:val="20"/>
                <w:szCs w:val="20"/>
              </w:rPr>
            </w:pPr>
            <w:r w:rsidRPr="009D5DEE">
              <w:rPr>
                <w:color w:val="000000"/>
                <w:sz w:val="20"/>
                <w:szCs w:val="20"/>
              </w:rPr>
              <w:t>12.  Объекты иного назначения</w:t>
            </w:r>
          </w:p>
        </w:tc>
        <w:tc>
          <w:tcPr>
            <w:tcW w:w="4673" w:type="dxa"/>
          </w:tcPr>
          <w:p w14:paraId="7278E4B7" w14:textId="77777777" w:rsidR="009D5DEE" w:rsidRPr="009D5DEE" w:rsidRDefault="009D5DEE" w:rsidP="009D5DEE">
            <w:pPr>
              <w:spacing w:line="264" w:lineRule="auto"/>
              <w:ind w:firstLine="709"/>
              <w:rPr>
                <w:color w:val="000000"/>
                <w:sz w:val="20"/>
                <w:szCs w:val="20"/>
              </w:rPr>
            </w:pPr>
          </w:p>
        </w:tc>
      </w:tr>
      <w:tr w:rsidR="009D5DEE" w:rsidRPr="009D5DEE" w14:paraId="221283FB" w14:textId="77777777" w:rsidTr="009D5DEE">
        <w:tc>
          <w:tcPr>
            <w:tcW w:w="4672" w:type="dxa"/>
          </w:tcPr>
          <w:p w14:paraId="35F22D30" w14:textId="77777777" w:rsidR="009D5DEE" w:rsidRPr="009D5DEE" w:rsidRDefault="009D5DEE" w:rsidP="009D5DEE">
            <w:pPr>
              <w:spacing w:line="264" w:lineRule="auto"/>
              <w:ind w:firstLine="709"/>
              <w:rPr>
                <w:color w:val="000000"/>
                <w:sz w:val="20"/>
                <w:szCs w:val="20"/>
              </w:rPr>
            </w:pPr>
            <w:r w:rsidRPr="009D5DEE">
              <w:rPr>
                <w:color w:val="000000"/>
                <w:sz w:val="20"/>
                <w:szCs w:val="20"/>
              </w:rPr>
              <w:t>13. Сооружения</w:t>
            </w:r>
          </w:p>
        </w:tc>
        <w:tc>
          <w:tcPr>
            <w:tcW w:w="4673" w:type="dxa"/>
          </w:tcPr>
          <w:p w14:paraId="26BC54EB" w14:textId="77777777" w:rsidR="009D5DEE" w:rsidRPr="009D5DEE" w:rsidRDefault="009D5DEE" w:rsidP="009D5DEE">
            <w:pPr>
              <w:spacing w:line="264" w:lineRule="auto"/>
              <w:ind w:firstLine="709"/>
              <w:rPr>
                <w:color w:val="000000"/>
                <w:sz w:val="20"/>
                <w:szCs w:val="20"/>
              </w:rPr>
            </w:pPr>
          </w:p>
        </w:tc>
      </w:tr>
    </w:tbl>
    <w:p w14:paraId="3B5DE809" w14:textId="77777777" w:rsidR="009D5DEE" w:rsidRPr="009D5DEE" w:rsidRDefault="009D5DEE" w:rsidP="009D5DEE">
      <w:pPr>
        <w:spacing w:line="264" w:lineRule="auto"/>
        <w:ind w:firstLine="709"/>
        <w:rPr>
          <w:color w:val="000000"/>
          <w:sz w:val="28"/>
          <w:szCs w:val="28"/>
        </w:rPr>
      </w:pPr>
    </w:p>
    <w:p w14:paraId="1C9B6F6C" w14:textId="45BDDB5F" w:rsidR="009D5DEE" w:rsidRDefault="003F62B8" w:rsidP="009D5DEE">
      <w:pPr>
        <w:ind w:firstLine="709"/>
        <w:rPr>
          <w:color w:val="000000"/>
          <w:szCs w:val="24"/>
        </w:rPr>
      </w:pPr>
      <w:r>
        <w:rPr>
          <w:color w:val="000000"/>
          <w:szCs w:val="24"/>
        </w:rPr>
        <w:t xml:space="preserve">Таблица </w:t>
      </w:r>
      <w:r w:rsidR="00877126">
        <w:rPr>
          <w:color w:val="000000"/>
          <w:szCs w:val="24"/>
        </w:rPr>
        <w:t>81</w:t>
      </w:r>
      <w:r w:rsidR="009D5DEE" w:rsidRPr="009D5DEE">
        <w:rPr>
          <w:color w:val="000000"/>
          <w:szCs w:val="24"/>
        </w:rPr>
        <w:t xml:space="preserve"> содержит результаты сравнения величины рассчитанной кадастровой стоимости с величиной действующей кадастровой стоимости, информация о величине, которой приведена в Перечне Объектов оценки в поле «Cost».</w:t>
      </w:r>
    </w:p>
    <w:p w14:paraId="7CBD7035" w14:textId="77777777" w:rsidR="009D5DEE" w:rsidRPr="006B461D" w:rsidRDefault="009D5DEE" w:rsidP="009D5DEE">
      <w:pPr>
        <w:ind w:firstLine="709"/>
        <w:rPr>
          <w:color w:val="000000"/>
          <w:szCs w:val="24"/>
        </w:rPr>
      </w:pPr>
    </w:p>
    <w:p w14:paraId="120E4706" w14:textId="51344A6F" w:rsidR="009D5DEE" w:rsidRDefault="009D5DEE" w:rsidP="009D5DEE">
      <w:pPr>
        <w:keepNext/>
        <w:spacing w:after="200"/>
        <w:ind w:firstLine="0"/>
        <w:jc w:val="center"/>
        <w:rPr>
          <w:rFonts w:cs="Times New Roman"/>
          <w:i/>
          <w:iCs/>
          <w:color w:val="000000" w:themeColor="text1"/>
          <w:szCs w:val="24"/>
        </w:rPr>
      </w:pPr>
      <w:r w:rsidRPr="009D5DEE">
        <w:rPr>
          <w:rFonts w:cs="Times New Roman"/>
          <w:i/>
          <w:iCs/>
          <w:color w:val="000000" w:themeColor="text1"/>
          <w:szCs w:val="24"/>
        </w:rPr>
        <w:t xml:space="preserve">Таблица </w:t>
      </w:r>
      <w:r w:rsidRPr="009D5DEE">
        <w:rPr>
          <w:rFonts w:cs="Times New Roman"/>
          <w:i/>
          <w:iCs/>
          <w:color w:val="000000" w:themeColor="text1"/>
          <w:szCs w:val="24"/>
        </w:rPr>
        <w:fldChar w:fldCharType="begin"/>
      </w:r>
      <w:r w:rsidRPr="009D5DEE">
        <w:rPr>
          <w:rFonts w:cs="Times New Roman"/>
          <w:i/>
          <w:iCs/>
          <w:color w:val="000000" w:themeColor="text1"/>
          <w:szCs w:val="24"/>
        </w:rPr>
        <w:instrText xml:space="preserve"> SEQ Таблица \* ARABIC </w:instrText>
      </w:r>
      <w:r w:rsidRPr="009D5DEE">
        <w:rPr>
          <w:rFonts w:cs="Times New Roman"/>
          <w:i/>
          <w:iCs/>
          <w:color w:val="000000" w:themeColor="text1"/>
          <w:szCs w:val="24"/>
        </w:rPr>
        <w:fldChar w:fldCharType="separate"/>
      </w:r>
      <w:r w:rsidR="00FD2769">
        <w:rPr>
          <w:rFonts w:cs="Times New Roman"/>
          <w:i/>
          <w:iCs/>
          <w:noProof/>
          <w:color w:val="000000" w:themeColor="text1"/>
          <w:szCs w:val="24"/>
        </w:rPr>
        <w:t>81</w:t>
      </w:r>
      <w:r w:rsidRPr="009D5DEE">
        <w:rPr>
          <w:rFonts w:cs="Times New Roman"/>
          <w:i/>
          <w:iCs/>
          <w:color w:val="000000" w:themeColor="text1"/>
          <w:szCs w:val="24"/>
        </w:rPr>
        <w:fldChar w:fldCharType="end"/>
      </w:r>
      <w:r w:rsidRPr="009D5DEE">
        <w:rPr>
          <w:rFonts w:cs="Times New Roman"/>
          <w:i/>
          <w:iCs/>
          <w:color w:val="000000" w:themeColor="text1"/>
          <w:szCs w:val="24"/>
        </w:rPr>
        <w:t xml:space="preserve"> Сравнительный анализ кадастровой стоимости, действующих на дату оценки и рассчитанной кадастровой стоимости</w:t>
      </w:r>
    </w:p>
    <w:tbl>
      <w:tblPr>
        <w:tblW w:w="4955" w:type="pct"/>
        <w:tblLook w:val="04A0" w:firstRow="1" w:lastRow="0" w:firstColumn="1" w:lastColumn="0" w:noHBand="0" w:noVBand="1"/>
      </w:tblPr>
      <w:tblGrid>
        <w:gridCol w:w="3253"/>
        <w:gridCol w:w="1703"/>
        <w:gridCol w:w="1986"/>
        <w:gridCol w:w="1560"/>
        <w:gridCol w:w="761"/>
      </w:tblGrid>
      <w:tr w:rsidR="006E7F65" w:rsidRPr="006E7F65" w14:paraId="224E5AE0" w14:textId="77777777" w:rsidTr="006E7F65">
        <w:trPr>
          <w:trHeight w:val="20"/>
        </w:trPr>
        <w:tc>
          <w:tcPr>
            <w:tcW w:w="1756"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412AA5D" w14:textId="77777777" w:rsidR="006E7F65" w:rsidRPr="006E7F65" w:rsidRDefault="006E7F65" w:rsidP="006E7F65">
            <w:pPr>
              <w:ind w:firstLine="0"/>
              <w:jc w:val="left"/>
              <w:rPr>
                <w:rFonts w:eastAsia="Times New Roman" w:cs="Times New Roman"/>
                <w:b/>
                <w:bCs/>
                <w:color w:val="000000"/>
                <w:sz w:val="20"/>
                <w:szCs w:val="20"/>
                <w:lang w:eastAsia="ru-RU"/>
              </w:rPr>
            </w:pPr>
            <w:r w:rsidRPr="006E7F65">
              <w:rPr>
                <w:rFonts w:eastAsia="Times New Roman" w:cs="Times New Roman"/>
                <w:b/>
                <w:bCs/>
                <w:color w:val="000000"/>
                <w:sz w:val="20"/>
                <w:szCs w:val="20"/>
                <w:lang w:eastAsia="ru-RU"/>
              </w:rPr>
              <w:t>Наименование</w:t>
            </w:r>
          </w:p>
        </w:tc>
        <w:tc>
          <w:tcPr>
            <w:tcW w:w="919" w:type="pct"/>
            <w:tcBorders>
              <w:top w:val="single" w:sz="4" w:space="0" w:color="auto"/>
              <w:left w:val="nil"/>
              <w:bottom w:val="single" w:sz="4" w:space="0" w:color="auto"/>
              <w:right w:val="single" w:sz="4" w:space="0" w:color="auto"/>
            </w:tcBorders>
            <w:shd w:val="clear" w:color="000000" w:fill="FFFFFF"/>
            <w:vAlign w:val="center"/>
          </w:tcPr>
          <w:p w14:paraId="6FC8C78F" w14:textId="7B2182BF" w:rsidR="006E7F65" w:rsidRPr="006E7F65" w:rsidRDefault="006E7F65" w:rsidP="006E7F65">
            <w:pPr>
              <w:ind w:firstLine="0"/>
              <w:jc w:val="center"/>
              <w:rPr>
                <w:rFonts w:eastAsia="Times New Roman" w:cs="Times New Roman"/>
                <w:b/>
                <w:bCs/>
                <w:color w:val="000000"/>
                <w:sz w:val="20"/>
                <w:szCs w:val="20"/>
                <w:lang w:eastAsia="ru-RU"/>
              </w:rPr>
            </w:pPr>
            <w:r w:rsidRPr="006E7F65">
              <w:rPr>
                <w:rFonts w:eastAsia="Times New Roman" w:cs="Times New Roman"/>
                <w:b/>
                <w:bCs/>
                <w:color w:val="000000"/>
                <w:sz w:val="20"/>
                <w:szCs w:val="20"/>
                <w:lang w:eastAsia="ru-RU"/>
              </w:rPr>
              <w:t xml:space="preserve">Кадастровая стоимость </w:t>
            </w:r>
            <w:r>
              <w:rPr>
                <w:rFonts w:eastAsia="Times New Roman" w:cs="Times New Roman"/>
                <w:b/>
                <w:bCs/>
                <w:color w:val="000000"/>
                <w:sz w:val="20"/>
                <w:szCs w:val="20"/>
                <w:lang w:eastAsia="ru-RU"/>
              </w:rPr>
              <w:t>действующая</w:t>
            </w:r>
            <w:r w:rsidRPr="006E7F65">
              <w:rPr>
                <w:rFonts w:eastAsia="Times New Roman" w:cs="Times New Roman"/>
                <w:b/>
                <w:bCs/>
                <w:color w:val="000000"/>
                <w:sz w:val="20"/>
                <w:szCs w:val="20"/>
                <w:lang w:eastAsia="ru-RU"/>
              </w:rPr>
              <w:t>, тыс.руб</w:t>
            </w:r>
          </w:p>
        </w:tc>
        <w:tc>
          <w:tcPr>
            <w:tcW w:w="1072"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1B1E79B8" w14:textId="7DDA47C4" w:rsidR="006E7F65" w:rsidRPr="006E7F65" w:rsidRDefault="006E7F65" w:rsidP="006E7F65">
            <w:pPr>
              <w:ind w:firstLine="0"/>
              <w:jc w:val="center"/>
              <w:rPr>
                <w:rFonts w:eastAsia="Times New Roman" w:cs="Times New Roman"/>
                <w:b/>
                <w:bCs/>
                <w:color w:val="000000"/>
                <w:sz w:val="20"/>
                <w:szCs w:val="20"/>
                <w:lang w:eastAsia="ru-RU"/>
              </w:rPr>
            </w:pPr>
            <w:r w:rsidRPr="006E7F65">
              <w:rPr>
                <w:rFonts w:eastAsia="Times New Roman" w:cs="Times New Roman"/>
                <w:b/>
                <w:bCs/>
                <w:color w:val="000000"/>
                <w:sz w:val="20"/>
                <w:szCs w:val="20"/>
                <w:lang w:eastAsia="ru-RU"/>
              </w:rPr>
              <w:t xml:space="preserve">Кадастровая стоимость </w:t>
            </w:r>
            <w:r>
              <w:rPr>
                <w:rFonts w:eastAsia="Times New Roman" w:cs="Times New Roman"/>
                <w:b/>
                <w:bCs/>
                <w:color w:val="000000"/>
                <w:sz w:val="20"/>
                <w:szCs w:val="20"/>
                <w:lang w:eastAsia="ru-RU"/>
              </w:rPr>
              <w:t xml:space="preserve">рассчитанная </w:t>
            </w:r>
            <w:r w:rsidRPr="006E7F65">
              <w:rPr>
                <w:rFonts w:eastAsia="Times New Roman" w:cs="Times New Roman"/>
                <w:b/>
                <w:bCs/>
                <w:color w:val="000000"/>
                <w:sz w:val="20"/>
                <w:szCs w:val="20"/>
                <w:lang w:eastAsia="ru-RU"/>
              </w:rPr>
              <w:t>на 01.01.19, тыс.руб</w:t>
            </w:r>
          </w:p>
        </w:tc>
        <w:tc>
          <w:tcPr>
            <w:tcW w:w="842" w:type="pct"/>
            <w:tcBorders>
              <w:top w:val="single" w:sz="4" w:space="0" w:color="auto"/>
              <w:left w:val="nil"/>
              <w:bottom w:val="single" w:sz="4" w:space="0" w:color="auto"/>
              <w:right w:val="single" w:sz="4" w:space="0" w:color="auto"/>
            </w:tcBorders>
            <w:shd w:val="clear" w:color="000000" w:fill="FFFFFF"/>
            <w:vAlign w:val="center"/>
            <w:hideMark/>
          </w:tcPr>
          <w:p w14:paraId="068871A2" w14:textId="77777777" w:rsidR="006E7F65" w:rsidRPr="006E7F65" w:rsidRDefault="006E7F65" w:rsidP="006E7F65">
            <w:pPr>
              <w:ind w:firstLine="0"/>
              <w:jc w:val="center"/>
              <w:rPr>
                <w:rFonts w:eastAsia="Times New Roman" w:cs="Times New Roman"/>
                <w:b/>
                <w:bCs/>
                <w:color w:val="000000"/>
                <w:sz w:val="20"/>
                <w:szCs w:val="20"/>
                <w:lang w:eastAsia="ru-RU"/>
              </w:rPr>
            </w:pPr>
            <w:r w:rsidRPr="006E7F65">
              <w:rPr>
                <w:rFonts w:eastAsia="Times New Roman" w:cs="Times New Roman"/>
                <w:b/>
                <w:bCs/>
                <w:color w:val="000000"/>
                <w:sz w:val="20"/>
                <w:szCs w:val="20"/>
                <w:lang w:eastAsia="ru-RU"/>
              </w:rPr>
              <w:t>Разница (+/-), тыс руб</w:t>
            </w:r>
          </w:p>
        </w:tc>
        <w:tc>
          <w:tcPr>
            <w:tcW w:w="411" w:type="pct"/>
            <w:tcBorders>
              <w:top w:val="single" w:sz="4" w:space="0" w:color="auto"/>
              <w:left w:val="nil"/>
              <w:bottom w:val="single" w:sz="4" w:space="0" w:color="auto"/>
              <w:right w:val="single" w:sz="4" w:space="0" w:color="auto"/>
            </w:tcBorders>
            <w:shd w:val="clear" w:color="000000" w:fill="FFFFFF"/>
            <w:vAlign w:val="center"/>
            <w:hideMark/>
          </w:tcPr>
          <w:p w14:paraId="3B7C156A" w14:textId="77777777" w:rsidR="006E7F65" w:rsidRPr="006E7F65" w:rsidRDefault="006E7F65" w:rsidP="006E7F65">
            <w:pPr>
              <w:ind w:firstLine="0"/>
              <w:jc w:val="center"/>
              <w:rPr>
                <w:rFonts w:eastAsia="Times New Roman" w:cs="Times New Roman"/>
                <w:b/>
                <w:bCs/>
                <w:color w:val="000000"/>
                <w:sz w:val="20"/>
                <w:szCs w:val="20"/>
                <w:lang w:eastAsia="ru-RU"/>
              </w:rPr>
            </w:pPr>
            <w:r w:rsidRPr="006E7F65">
              <w:rPr>
                <w:rFonts w:eastAsia="Times New Roman" w:cs="Times New Roman"/>
                <w:b/>
                <w:bCs/>
                <w:color w:val="000000"/>
                <w:sz w:val="20"/>
                <w:szCs w:val="20"/>
                <w:lang w:eastAsia="ru-RU"/>
              </w:rPr>
              <w:t>%</w:t>
            </w:r>
          </w:p>
        </w:tc>
      </w:tr>
      <w:tr w:rsidR="006E7F65" w:rsidRPr="006E7F65" w14:paraId="3EE2B0EA" w14:textId="77777777" w:rsidTr="006E7F65">
        <w:trPr>
          <w:trHeight w:val="20"/>
        </w:trPr>
        <w:tc>
          <w:tcPr>
            <w:tcW w:w="1756" w:type="pct"/>
            <w:tcBorders>
              <w:top w:val="nil"/>
              <w:left w:val="single" w:sz="4" w:space="0" w:color="auto"/>
              <w:bottom w:val="single" w:sz="4" w:space="0" w:color="auto"/>
              <w:right w:val="single" w:sz="4" w:space="0" w:color="auto"/>
            </w:tcBorders>
            <w:shd w:val="clear" w:color="000000" w:fill="FFFFFF"/>
            <w:vAlign w:val="center"/>
            <w:hideMark/>
          </w:tcPr>
          <w:p w14:paraId="33011546" w14:textId="77777777" w:rsidR="006E7F65" w:rsidRPr="006E7F65" w:rsidRDefault="006E7F65" w:rsidP="006E7F65">
            <w:pPr>
              <w:ind w:firstLine="0"/>
              <w:jc w:val="left"/>
              <w:rPr>
                <w:rFonts w:eastAsia="Times New Roman" w:cs="Times New Roman"/>
                <w:color w:val="000000"/>
                <w:sz w:val="20"/>
                <w:szCs w:val="20"/>
                <w:lang w:eastAsia="ru-RU"/>
              </w:rPr>
            </w:pPr>
            <w:r w:rsidRPr="006E7F65">
              <w:rPr>
                <w:rFonts w:eastAsia="Times New Roman" w:cs="Times New Roman"/>
                <w:color w:val="000000"/>
                <w:sz w:val="20"/>
                <w:szCs w:val="20"/>
                <w:lang w:eastAsia="ru-RU"/>
              </w:rPr>
              <w:t xml:space="preserve">Группа 1. Многоквартирные дома </w:t>
            </w:r>
          </w:p>
        </w:tc>
        <w:tc>
          <w:tcPr>
            <w:tcW w:w="919" w:type="pct"/>
            <w:tcBorders>
              <w:top w:val="single" w:sz="4" w:space="0" w:color="auto"/>
              <w:left w:val="nil"/>
              <w:bottom w:val="single" w:sz="4" w:space="0" w:color="auto"/>
              <w:right w:val="single" w:sz="4" w:space="0" w:color="auto"/>
            </w:tcBorders>
            <w:shd w:val="clear" w:color="000000" w:fill="FFFFFF"/>
            <w:vAlign w:val="center"/>
          </w:tcPr>
          <w:p w14:paraId="0B162351" w14:textId="5F2F9E38" w:rsidR="006E7F65" w:rsidRPr="006E7F65" w:rsidRDefault="006E7F65" w:rsidP="006E7F65">
            <w:pPr>
              <w:ind w:firstLine="0"/>
              <w:jc w:val="right"/>
              <w:rPr>
                <w:rFonts w:eastAsia="Times New Roman" w:cs="Times New Roman"/>
                <w:color w:val="000000"/>
                <w:sz w:val="20"/>
                <w:szCs w:val="20"/>
                <w:lang w:eastAsia="ru-RU"/>
              </w:rPr>
            </w:pPr>
            <w:r w:rsidRPr="006E7F65">
              <w:rPr>
                <w:rFonts w:eastAsia="Times New Roman" w:cs="Times New Roman"/>
                <w:color w:val="000000"/>
                <w:sz w:val="20"/>
                <w:szCs w:val="20"/>
                <w:lang w:eastAsia="ru-RU"/>
              </w:rPr>
              <w:t>910 150 618</w:t>
            </w:r>
          </w:p>
        </w:tc>
        <w:tc>
          <w:tcPr>
            <w:tcW w:w="1072"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B99E65C" w14:textId="049CB69C" w:rsidR="006E7F65" w:rsidRPr="006E7F65" w:rsidRDefault="006E7F65" w:rsidP="006E7F65">
            <w:pPr>
              <w:ind w:firstLine="0"/>
              <w:jc w:val="right"/>
              <w:rPr>
                <w:rFonts w:eastAsia="Times New Roman" w:cs="Times New Roman"/>
                <w:color w:val="000000"/>
                <w:sz w:val="20"/>
                <w:szCs w:val="20"/>
                <w:lang w:eastAsia="ru-RU"/>
              </w:rPr>
            </w:pPr>
            <w:r w:rsidRPr="006E7F65">
              <w:rPr>
                <w:rFonts w:eastAsia="Times New Roman" w:cs="Times New Roman"/>
                <w:color w:val="000000"/>
                <w:sz w:val="20"/>
                <w:szCs w:val="20"/>
                <w:lang w:eastAsia="ru-RU"/>
              </w:rPr>
              <w:t>1 232 963 279</w:t>
            </w:r>
          </w:p>
        </w:tc>
        <w:tc>
          <w:tcPr>
            <w:tcW w:w="842" w:type="pct"/>
            <w:tcBorders>
              <w:top w:val="nil"/>
              <w:left w:val="nil"/>
              <w:bottom w:val="single" w:sz="4" w:space="0" w:color="auto"/>
              <w:right w:val="single" w:sz="4" w:space="0" w:color="auto"/>
            </w:tcBorders>
            <w:shd w:val="clear" w:color="000000" w:fill="FFFFFF"/>
            <w:noWrap/>
            <w:vAlign w:val="center"/>
            <w:hideMark/>
          </w:tcPr>
          <w:p w14:paraId="7EC1902D" w14:textId="77777777" w:rsidR="006E7F65" w:rsidRPr="006E7F65" w:rsidRDefault="006E7F65" w:rsidP="006E7F65">
            <w:pPr>
              <w:ind w:firstLine="0"/>
              <w:jc w:val="right"/>
              <w:rPr>
                <w:rFonts w:eastAsia="Times New Roman" w:cs="Times New Roman"/>
                <w:color w:val="000000"/>
                <w:sz w:val="20"/>
                <w:szCs w:val="20"/>
                <w:lang w:eastAsia="ru-RU"/>
              </w:rPr>
            </w:pPr>
            <w:r w:rsidRPr="006E7F65">
              <w:rPr>
                <w:rFonts w:eastAsia="Times New Roman" w:cs="Times New Roman"/>
                <w:color w:val="000000"/>
                <w:sz w:val="20"/>
                <w:szCs w:val="20"/>
                <w:lang w:eastAsia="ru-RU"/>
              </w:rPr>
              <w:t>322 812 661</w:t>
            </w:r>
          </w:p>
        </w:tc>
        <w:tc>
          <w:tcPr>
            <w:tcW w:w="411" w:type="pct"/>
            <w:tcBorders>
              <w:top w:val="nil"/>
              <w:left w:val="nil"/>
              <w:bottom w:val="single" w:sz="4" w:space="0" w:color="auto"/>
              <w:right w:val="single" w:sz="4" w:space="0" w:color="auto"/>
            </w:tcBorders>
            <w:shd w:val="clear" w:color="auto" w:fill="auto"/>
            <w:noWrap/>
            <w:vAlign w:val="center"/>
            <w:hideMark/>
          </w:tcPr>
          <w:p w14:paraId="62C51C7C" w14:textId="77777777" w:rsidR="006E7F65" w:rsidRPr="006E7F65" w:rsidRDefault="006E7F65" w:rsidP="006E7F65">
            <w:pPr>
              <w:ind w:firstLine="0"/>
              <w:jc w:val="right"/>
              <w:rPr>
                <w:rFonts w:eastAsia="Times New Roman" w:cs="Times New Roman"/>
                <w:color w:val="000000"/>
                <w:sz w:val="20"/>
                <w:szCs w:val="20"/>
                <w:lang w:eastAsia="ru-RU"/>
              </w:rPr>
            </w:pPr>
            <w:r w:rsidRPr="006E7F65">
              <w:rPr>
                <w:rFonts w:eastAsia="Times New Roman" w:cs="Times New Roman"/>
                <w:color w:val="000000"/>
                <w:sz w:val="20"/>
                <w:szCs w:val="20"/>
                <w:lang w:eastAsia="ru-RU"/>
              </w:rPr>
              <w:t>26,18</w:t>
            </w:r>
          </w:p>
        </w:tc>
      </w:tr>
      <w:tr w:rsidR="006E7F65" w:rsidRPr="006E7F65" w14:paraId="239045D3" w14:textId="77777777" w:rsidTr="006E7F65">
        <w:trPr>
          <w:trHeight w:val="20"/>
        </w:trPr>
        <w:tc>
          <w:tcPr>
            <w:tcW w:w="1756" w:type="pct"/>
            <w:tcBorders>
              <w:top w:val="nil"/>
              <w:left w:val="single" w:sz="4" w:space="0" w:color="auto"/>
              <w:bottom w:val="single" w:sz="4" w:space="0" w:color="auto"/>
              <w:right w:val="single" w:sz="4" w:space="0" w:color="auto"/>
            </w:tcBorders>
            <w:shd w:val="clear" w:color="000000" w:fill="FFFFFF"/>
            <w:vAlign w:val="center"/>
            <w:hideMark/>
          </w:tcPr>
          <w:p w14:paraId="19A9E21E" w14:textId="77777777" w:rsidR="006E7F65" w:rsidRPr="006E7F65" w:rsidRDefault="006E7F65" w:rsidP="006E7F65">
            <w:pPr>
              <w:ind w:firstLine="0"/>
              <w:jc w:val="left"/>
              <w:rPr>
                <w:rFonts w:eastAsia="Times New Roman" w:cs="Times New Roman"/>
                <w:color w:val="000000"/>
                <w:sz w:val="20"/>
                <w:szCs w:val="20"/>
                <w:lang w:eastAsia="ru-RU"/>
              </w:rPr>
            </w:pPr>
            <w:r w:rsidRPr="006E7F65">
              <w:rPr>
                <w:rFonts w:eastAsia="Times New Roman" w:cs="Times New Roman"/>
                <w:color w:val="000000"/>
                <w:sz w:val="20"/>
                <w:szCs w:val="20"/>
                <w:lang w:eastAsia="ru-RU"/>
              </w:rPr>
              <w:t>Группа 2. Дома малоэтажной жилой застройки</w:t>
            </w:r>
          </w:p>
        </w:tc>
        <w:tc>
          <w:tcPr>
            <w:tcW w:w="919" w:type="pct"/>
            <w:tcBorders>
              <w:top w:val="single" w:sz="4" w:space="0" w:color="auto"/>
              <w:left w:val="nil"/>
              <w:bottom w:val="single" w:sz="4" w:space="0" w:color="auto"/>
              <w:right w:val="single" w:sz="4" w:space="0" w:color="auto"/>
            </w:tcBorders>
            <w:shd w:val="clear" w:color="000000" w:fill="FFFFFF"/>
            <w:vAlign w:val="center"/>
          </w:tcPr>
          <w:p w14:paraId="4B2C145C" w14:textId="40D5B976" w:rsidR="006E7F65" w:rsidRPr="006E7F65" w:rsidRDefault="006E7F65" w:rsidP="006E7F65">
            <w:pPr>
              <w:ind w:firstLine="0"/>
              <w:jc w:val="right"/>
              <w:rPr>
                <w:rFonts w:eastAsia="Times New Roman" w:cs="Times New Roman"/>
                <w:color w:val="000000"/>
                <w:sz w:val="20"/>
                <w:szCs w:val="20"/>
                <w:lang w:eastAsia="ru-RU"/>
              </w:rPr>
            </w:pPr>
            <w:r w:rsidRPr="006E7F65">
              <w:rPr>
                <w:rFonts w:eastAsia="Times New Roman" w:cs="Times New Roman"/>
                <w:color w:val="000000"/>
                <w:sz w:val="20"/>
                <w:szCs w:val="20"/>
                <w:lang w:eastAsia="ru-RU"/>
              </w:rPr>
              <w:t>16 037 762</w:t>
            </w:r>
          </w:p>
        </w:tc>
        <w:tc>
          <w:tcPr>
            <w:tcW w:w="1072"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5545BF6" w14:textId="6B558715" w:rsidR="006E7F65" w:rsidRPr="006E7F65" w:rsidRDefault="006E7F65" w:rsidP="006E7F65">
            <w:pPr>
              <w:ind w:firstLine="0"/>
              <w:jc w:val="right"/>
              <w:rPr>
                <w:rFonts w:eastAsia="Times New Roman" w:cs="Times New Roman"/>
                <w:color w:val="000000"/>
                <w:sz w:val="20"/>
                <w:szCs w:val="20"/>
                <w:lang w:eastAsia="ru-RU"/>
              </w:rPr>
            </w:pPr>
            <w:r w:rsidRPr="006E7F65">
              <w:rPr>
                <w:rFonts w:eastAsia="Times New Roman" w:cs="Times New Roman"/>
                <w:color w:val="000000"/>
                <w:sz w:val="20"/>
                <w:szCs w:val="20"/>
                <w:lang w:eastAsia="ru-RU"/>
              </w:rPr>
              <w:t>350 876 360</w:t>
            </w:r>
          </w:p>
        </w:tc>
        <w:tc>
          <w:tcPr>
            <w:tcW w:w="842" w:type="pct"/>
            <w:tcBorders>
              <w:top w:val="nil"/>
              <w:left w:val="nil"/>
              <w:bottom w:val="single" w:sz="4" w:space="0" w:color="auto"/>
              <w:right w:val="single" w:sz="4" w:space="0" w:color="auto"/>
            </w:tcBorders>
            <w:shd w:val="clear" w:color="000000" w:fill="FFFFFF"/>
            <w:noWrap/>
            <w:vAlign w:val="center"/>
            <w:hideMark/>
          </w:tcPr>
          <w:p w14:paraId="563D6D81" w14:textId="77777777" w:rsidR="006E7F65" w:rsidRPr="006E7F65" w:rsidRDefault="006E7F65" w:rsidP="006E7F65">
            <w:pPr>
              <w:ind w:firstLine="0"/>
              <w:jc w:val="right"/>
              <w:rPr>
                <w:rFonts w:eastAsia="Times New Roman" w:cs="Times New Roman"/>
                <w:color w:val="000000"/>
                <w:sz w:val="20"/>
                <w:szCs w:val="20"/>
                <w:lang w:eastAsia="ru-RU"/>
              </w:rPr>
            </w:pPr>
            <w:r w:rsidRPr="006E7F65">
              <w:rPr>
                <w:rFonts w:eastAsia="Times New Roman" w:cs="Times New Roman"/>
                <w:color w:val="000000"/>
                <w:sz w:val="20"/>
                <w:szCs w:val="20"/>
                <w:lang w:eastAsia="ru-RU"/>
              </w:rPr>
              <w:t>334 838 598</w:t>
            </w:r>
          </w:p>
        </w:tc>
        <w:tc>
          <w:tcPr>
            <w:tcW w:w="411" w:type="pct"/>
            <w:tcBorders>
              <w:top w:val="nil"/>
              <w:left w:val="nil"/>
              <w:bottom w:val="single" w:sz="4" w:space="0" w:color="auto"/>
              <w:right w:val="single" w:sz="4" w:space="0" w:color="auto"/>
            </w:tcBorders>
            <w:shd w:val="clear" w:color="auto" w:fill="auto"/>
            <w:noWrap/>
            <w:vAlign w:val="center"/>
            <w:hideMark/>
          </w:tcPr>
          <w:p w14:paraId="0D9EE3A7" w14:textId="77777777" w:rsidR="006E7F65" w:rsidRPr="006E7F65" w:rsidRDefault="006E7F65" w:rsidP="006E7F65">
            <w:pPr>
              <w:ind w:firstLine="0"/>
              <w:jc w:val="right"/>
              <w:rPr>
                <w:rFonts w:eastAsia="Times New Roman" w:cs="Times New Roman"/>
                <w:color w:val="000000"/>
                <w:sz w:val="20"/>
                <w:szCs w:val="20"/>
                <w:lang w:eastAsia="ru-RU"/>
              </w:rPr>
            </w:pPr>
            <w:r w:rsidRPr="006E7F65">
              <w:rPr>
                <w:rFonts w:eastAsia="Times New Roman" w:cs="Times New Roman"/>
                <w:color w:val="000000"/>
                <w:sz w:val="20"/>
                <w:szCs w:val="20"/>
                <w:lang w:eastAsia="ru-RU"/>
              </w:rPr>
              <w:t>95,43</w:t>
            </w:r>
          </w:p>
        </w:tc>
      </w:tr>
      <w:tr w:rsidR="006E7F65" w:rsidRPr="006E7F65" w14:paraId="7503A974" w14:textId="77777777" w:rsidTr="006E7F65">
        <w:trPr>
          <w:trHeight w:val="20"/>
        </w:trPr>
        <w:tc>
          <w:tcPr>
            <w:tcW w:w="1756" w:type="pct"/>
            <w:tcBorders>
              <w:top w:val="nil"/>
              <w:left w:val="single" w:sz="4" w:space="0" w:color="auto"/>
              <w:bottom w:val="single" w:sz="4" w:space="0" w:color="auto"/>
              <w:right w:val="single" w:sz="4" w:space="0" w:color="auto"/>
            </w:tcBorders>
            <w:shd w:val="clear" w:color="000000" w:fill="FFFFFF"/>
            <w:vAlign w:val="center"/>
            <w:hideMark/>
          </w:tcPr>
          <w:p w14:paraId="70D3866B" w14:textId="77777777" w:rsidR="006E7F65" w:rsidRPr="006E7F65" w:rsidRDefault="006E7F65" w:rsidP="006E7F65">
            <w:pPr>
              <w:ind w:firstLine="0"/>
              <w:jc w:val="left"/>
              <w:rPr>
                <w:rFonts w:eastAsia="Times New Roman" w:cs="Times New Roman"/>
                <w:color w:val="000000"/>
                <w:sz w:val="20"/>
                <w:szCs w:val="20"/>
                <w:lang w:eastAsia="ru-RU"/>
              </w:rPr>
            </w:pPr>
            <w:r w:rsidRPr="006E7F65">
              <w:rPr>
                <w:rFonts w:eastAsia="Times New Roman" w:cs="Times New Roman"/>
                <w:color w:val="000000"/>
                <w:sz w:val="20"/>
                <w:szCs w:val="20"/>
                <w:lang w:eastAsia="ru-RU"/>
              </w:rPr>
              <w:t>3 группа «Объекты для хранения транспорта»</w:t>
            </w:r>
          </w:p>
        </w:tc>
        <w:tc>
          <w:tcPr>
            <w:tcW w:w="919" w:type="pct"/>
            <w:tcBorders>
              <w:top w:val="single" w:sz="4" w:space="0" w:color="auto"/>
              <w:left w:val="nil"/>
              <w:bottom w:val="single" w:sz="4" w:space="0" w:color="auto"/>
              <w:right w:val="single" w:sz="4" w:space="0" w:color="auto"/>
            </w:tcBorders>
            <w:shd w:val="clear" w:color="000000" w:fill="FFFFFF"/>
            <w:vAlign w:val="center"/>
          </w:tcPr>
          <w:p w14:paraId="62FCD687" w14:textId="6238CC04" w:rsidR="006E7F65" w:rsidRPr="006E7F65" w:rsidRDefault="006E7F65" w:rsidP="006E7F65">
            <w:pPr>
              <w:ind w:firstLine="0"/>
              <w:jc w:val="right"/>
              <w:rPr>
                <w:rFonts w:eastAsia="Times New Roman" w:cs="Times New Roman"/>
                <w:color w:val="000000"/>
                <w:sz w:val="20"/>
                <w:szCs w:val="20"/>
                <w:lang w:eastAsia="ru-RU"/>
              </w:rPr>
            </w:pPr>
            <w:r w:rsidRPr="006E7F65">
              <w:rPr>
                <w:rFonts w:eastAsia="Times New Roman" w:cs="Times New Roman"/>
                <w:color w:val="000000"/>
                <w:sz w:val="20"/>
                <w:szCs w:val="20"/>
                <w:lang w:eastAsia="ru-RU"/>
              </w:rPr>
              <w:t>72 270 815</w:t>
            </w:r>
          </w:p>
        </w:tc>
        <w:tc>
          <w:tcPr>
            <w:tcW w:w="1072"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DD89DBF" w14:textId="7515DE44" w:rsidR="006E7F65" w:rsidRPr="006E7F65" w:rsidRDefault="006E7F65" w:rsidP="006E7F65">
            <w:pPr>
              <w:ind w:firstLine="0"/>
              <w:jc w:val="right"/>
              <w:rPr>
                <w:rFonts w:eastAsia="Times New Roman" w:cs="Times New Roman"/>
                <w:color w:val="000000"/>
                <w:sz w:val="20"/>
                <w:szCs w:val="20"/>
                <w:lang w:eastAsia="ru-RU"/>
              </w:rPr>
            </w:pPr>
            <w:r w:rsidRPr="006E7F65">
              <w:rPr>
                <w:rFonts w:eastAsia="Times New Roman" w:cs="Times New Roman"/>
                <w:color w:val="000000"/>
                <w:sz w:val="20"/>
                <w:szCs w:val="20"/>
                <w:lang w:eastAsia="ru-RU"/>
              </w:rPr>
              <w:t>104 624 886</w:t>
            </w:r>
          </w:p>
        </w:tc>
        <w:tc>
          <w:tcPr>
            <w:tcW w:w="842" w:type="pct"/>
            <w:tcBorders>
              <w:top w:val="nil"/>
              <w:left w:val="nil"/>
              <w:bottom w:val="single" w:sz="4" w:space="0" w:color="auto"/>
              <w:right w:val="single" w:sz="4" w:space="0" w:color="auto"/>
            </w:tcBorders>
            <w:shd w:val="clear" w:color="000000" w:fill="FFFFFF"/>
            <w:noWrap/>
            <w:vAlign w:val="center"/>
            <w:hideMark/>
          </w:tcPr>
          <w:p w14:paraId="015D62B3" w14:textId="77777777" w:rsidR="006E7F65" w:rsidRPr="006E7F65" w:rsidRDefault="006E7F65" w:rsidP="006E7F65">
            <w:pPr>
              <w:ind w:firstLine="0"/>
              <w:jc w:val="right"/>
              <w:rPr>
                <w:rFonts w:eastAsia="Times New Roman" w:cs="Times New Roman"/>
                <w:color w:val="000000"/>
                <w:sz w:val="20"/>
                <w:szCs w:val="20"/>
                <w:lang w:eastAsia="ru-RU"/>
              </w:rPr>
            </w:pPr>
            <w:r w:rsidRPr="006E7F65">
              <w:rPr>
                <w:rFonts w:eastAsia="Times New Roman" w:cs="Times New Roman"/>
                <w:color w:val="000000"/>
                <w:sz w:val="20"/>
                <w:szCs w:val="20"/>
                <w:lang w:eastAsia="ru-RU"/>
              </w:rPr>
              <w:t>32 354 071</w:t>
            </w:r>
          </w:p>
        </w:tc>
        <w:tc>
          <w:tcPr>
            <w:tcW w:w="411" w:type="pct"/>
            <w:tcBorders>
              <w:top w:val="nil"/>
              <w:left w:val="nil"/>
              <w:bottom w:val="single" w:sz="4" w:space="0" w:color="auto"/>
              <w:right w:val="single" w:sz="4" w:space="0" w:color="auto"/>
            </w:tcBorders>
            <w:shd w:val="clear" w:color="auto" w:fill="auto"/>
            <w:noWrap/>
            <w:vAlign w:val="center"/>
            <w:hideMark/>
          </w:tcPr>
          <w:p w14:paraId="76A00C45" w14:textId="77777777" w:rsidR="006E7F65" w:rsidRPr="006E7F65" w:rsidRDefault="006E7F65" w:rsidP="006E7F65">
            <w:pPr>
              <w:ind w:firstLine="0"/>
              <w:jc w:val="right"/>
              <w:rPr>
                <w:rFonts w:eastAsia="Times New Roman" w:cs="Times New Roman"/>
                <w:color w:val="000000"/>
                <w:sz w:val="20"/>
                <w:szCs w:val="20"/>
                <w:lang w:eastAsia="ru-RU"/>
              </w:rPr>
            </w:pPr>
            <w:r w:rsidRPr="006E7F65">
              <w:rPr>
                <w:rFonts w:eastAsia="Times New Roman" w:cs="Times New Roman"/>
                <w:color w:val="000000"/>
                <w:sz w:val="20"/>
                <w:szCs w:val="20"/>
                <w:lang w:eastAsia="ru-RU"/>
              </w:rPr>
              <w:t>30,92</w:t>
            </w:r>
          </w:p>
        </w:tc>
      </w:tr>
      <w:tr w:rsidR="006E7F65" w:rsidRPr="006E7F65" w14:paraId="52375CB6" w14:textId="77777777" w:rsidTr="006E7F65">
        <w:trPr>
          <w:trHeight w:val="20"/>
        </w:trPr>
        <w:tc>
          <w:tcPr>
            <w:tcW w:w="1756" w:type="pct"/>
            <w:tcBorders>
              <w:top w:val="nil"/>
              <w:left w:val="single" w:sz="4" w:space="0" w:color="auto"/>
              <w:bottom w:val="single" w:sz="4" w:space="0" w:color="auto"/>
              <w:right w:val="single" w:sz="4" w:space="0" w:color="auto"/>
            </w:tcBorders>
            <w:shd w:val="clear" w:color="000000" w:fill="FFFFFF"/>
            <w:vAlign w:val="center"/>
            <w:hideMark/>
          </w:tcPr>
          <w:p w14:paraId="2888AC38" w14:textId="77777777" w:rsidR="006E7F65" w:rsidRPr="006E7F65" w:rsidRDefault="006E7F65" w:rsidP="006E7F65">
            <w:pPr>
              <w:ind w:firstLine="0"/>
              <w:jc w:val="left"/>
              <w:rPr>
                <w:rFonts w:eastAsia="Times New Roman" w:cs="Times New Roman"/>
                <w:color w:val="000000"/>
                <w:sz w:val="20"/>
                <w:szCs w:val="20"/>
                <w:lang w:eastAsia="ru-RU"/>
              </w:rPr>
            </w:pPr>
            <w:r w:rsidRPr="006E7F65">
              <w:rPr>
                <w:rFonts w:eastAsia="Times New Roman" w:cs="Times New Roman"/>
                <w:color w:val="000000"/>
                <w:sz w:val="20"/>
                <w:szCs w:val="20"/>
                <w:lang w:eastAsia="ru-RU"/>
              </w:rPr>
              <w:t>4 группа  «Объекты коммерческого назначения»</w:t>
            </w:r>
          </w:p>
        </w:tc>
        <w:tc>
          <w:tcPr>
            <w:tcW w:w="919" w:type="pct"/>
            <w:tcBorders>
              <w:top w:val="single" w:sz="4" w:space="0" w:color="auto"/>
              <w:left w:val="nil"/>
              <w:bottom w:val="single" w:sz="4" w:space="0" w:color="auto"/>
              <w:right w:val="single" w:sz="4" w:space="0" w:color="auto"/>
            </w:tcBorders>
            <w:shd w:val="clear" w:color="000000" w:fill="FFFFFF"/>
            <w:vAlign w:val="center"/>
          </w:tcPr>
          <w:p w14:paraId="70C03F51" w14:textId="37F7A1BA" w:rsidR="006E7F65" w:rsidRPr="006E7F65" w:rsidRDefault="006E7F65" w:rsidP="006E7F65">
            <w:pPr>
              <w:ind w:firstLine="0"/>
              <w:jc w:val="right"/>
              <w:rPr>
                <w:rFonts w:eastAsia="Times New Roman" w:cs="Times New Roman"/>
                <w:color w:val="000000"/>
                <w:sz w:val="20"/>
                <w:szCs w:val="20"/>
                <w:lang w:eastAsia="ru-RU"/>
              </w:rPr>
            </w:pPr>
            <w:r w:rsidRPr="006E7F65">
              <w:rPr>
                <w:rFonts w:eastAsia="Times New Roman" w:cs="Times New Roman"/>
                <w:color w:val="000000"/>
                <w:sz w:val="20"/>
                <w:szCs w:val="20"/>
                <w:lang w:eastAsia="ru-RU"/>
              </w:rPr>
              <w:t>1 169 388</w:t>
            </w:r>
          </w:p>
        </w:tc>
        <w:tc>
          <w:tcPr>
            <w:tcW w:w="1072"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E43BB89" w14:textId="18BEF4C1" w:rsidR="006E7F65" w:rsidRPr="006E7F65" w:rsidRDefault="006E7F65" w:rsidP="006E7F65">
            <w:pPr>
              <w:ind w:firstLine="0"/>
              <w:jc w:val="right"/>
              <w:rPr>
                <w:rFonts w:eastAsia="Times New Roman" w:cs="Times New Roman"/>
                <w:color w:val="000000"/>
                <w:sz w:val="20"/>
                <w:szCs w:val="20"/>
                <w:lang w:eastAsia="ru-RU"/>
              </w:rPr>
            </w:pPr>
            <w:r w:rsidRPr="006E7F65">
              <w:rPr>
                <w:rFonts w:eastAsia="Times New Roman" w:cs="Times New Roman"/>
                <w:color w:val="000000"/>
                <w:sz w:val="20"/>
                <w:szCs w:val="20"/>
                <w:lang w:eastAsia="ru-RU"/>
              </w:rPr>
              <w:t>65 474 640</w:t>
            </w:r>
          </w:p>
        </w:tc>
        <w:tc>
          <w:tcPr>
            <w:tcW w:w="842" w:type="pct"/>
            <w:tcBorders>
              <w:top w:val="nil"/>
              <w:left w:val="nil"/>
              <w:bottom w:val="single" w:sz="4" w:space="0" w:color="auto"/>
              <w:right w:val="single" w:sz="4" w:space="0" w:color="auto"/>
            </w:tcBorders>
            <w:shd w:val="clear" w:color="000000" w:fill="FFFFFF"/>
            <w:noWrap/>
            <w:vAlign w:val="center"/>
            <w:hideMark/>
          </w:tcPr>
          <w:p w14:paraId="2E7AE0CF" w14:textId="77777777" w:rsidR="006E7F65" w:rsidRPr="006E7F65" w:rsidRDefault="006E7F65" w:rsidP="006E7F65">
            <w:pPr>
              <w:ind w:firstLine="0"/>
              <w:jc w:val="right"/>
              <w:rPr>
                <w:rFonts w:eastAsia="Times New Roman" w:cs="Times New Roman"/>
                <w:color w:val="000000"/>
                <w:sz w:val="20"/>
                <w:szCs w:val="20"/>
                <w:lang w:eastAsia="ru-RU"/>
              </w:rPr>
            </w:pPr>
            <w:r w:rsidRPr="006E7F65">
              <w:rPr>
                <w:rFonts w:eastAsia="Times New Roman" w:cs="Times New Roman"/>
                <w:color w:val="000000"/>
                <w:sz w:val="20"/>
                <w:szCs w:val="20"/>
                <w:lang w:eastAsia="ru-RU"/>
              </w:rPr>
              <w:t>64 305 252</w:t>
            </w:r>
          </w:p>
        </w:tc>
        <w:tc>
          <w:tcPr>
            <w:tcW w:w="411" w:type="pct"/>
            <w:tcBorders>
              <w:top w:val="nil"/>
              <w:left w:val="nil"/>
              <w:bottom w:val="single" w:sz="4" w:space="0" w:color="auto"/>
              <w:right w:val="single" w:sz="4" w:space="0" w:color="auto"/>
            </w:tcBorders>
            <w:shd w:val="clear" w:color="auto" w:fill="auto"/>
            <w:noWrap/>
            <w:vAlign w:val="center"/>
            <w:hideMark/>
          </w:tcPr>
          <w:p w14:paraId="3B0F3A2B" w14:textId="77777777" w:rsidR="006E7F65" w:rsidRPr="006E7F65" w:rsidRDefault="006E7F65" w:rsidP="006E7F65">
            <w:pPr>
              <w:ind w:firstLine="0"/>
              <w:jc w:val="right"/>
              <w:rPr>
                <w:rFonts w:eastAsia="Times New Roman" w:cs="Times New Roman"/>
                <w:color w:val="000000"/>
                <w:sz w:val="20"/>
                <w:szCs w:val="20"/>
                <w:lang w:eastAsia="ru-RU"/>
              </w:rPr>
            </w:pPr>
            <w:r w:rsidRPr="006E7F65">
              <w:rPr>
                <w:rFonts w:eastAsia="Times New Roman" w:cs="Times New Roman"/>
                <w:color w:val="000000"/>
                <w:sz w:val="20"/>
                <w:szCs w:val="20"/>
                <w:lang w:eastAsia="ru-RU"/>
              </w:rPr>
              <w:t>98,21</w:t>
            </w:r>
          </w:p>
        </w:tc>
      </w:tr>
      <w:tr w:rsidR="006E7F65" w:rsidRPr="006E7F65" w14:paraId="53365B01" w14:textId="77777777" w:rsidTr="006E7F65">
        <w:trPr>
          <w:trHeight w:val="20"/>
        </w:trPr>
        <w:tc>
          <w:tcPr>
            <w:tcW w:w="1756" w:type="pct"/>
            <w:tcBorders>
              <w:top w:val="nil"/>
              <w:left w:val="single" w:sz="4" w:space="0" w:color="auto"/>
              <w:bottom w:val="single" w:sz="4" w:space="0" w:color="auto"/>
              <w:right w:val="single" w:sz="4" w:space="0" w:color="auto"/>
            </w:tcBorders>
            <w:shd w:val="clear" w:color="000000" w:fill="FFFFFF"/>
            <w:vAlign w:val="center"/>
            <w:hideMark/>
          </w:tcPr>
          <w:p w14:paraId="30EC8AD5" w14:textId="77777777" w:rsidR="006E7F65" w:rsidRPr="006E7F65" w:rsidRDefault="006E7F65" w:rsidP="006E7F65">
            <w:pPr>
              <w:ind w:firstLine="0"/>
              <w:jc w:val="left"/>
              <w:rPr>
                <w:rFonts w:eastAsia="Times New Roman" w:cs="Times New Roman"/>
                <w:color w:val="000000"/>
                <w:sz w:val="20"/>
                <w:szCs w:val="20"/>
                <w:lang w:eastAsia="ru-RU"/>
              </w:rPr>
            </w:pPr>
            <w:r w:rsidRPr="006E7F65">
              <w:rPr>
                <w:rFonts w:eastAsia="Times New Roman" w:cs="Times New Roman"/>
                <w:color w:val="000000"/>
                <w:sz w:val="20"/>
                <w:szCs w:val="20"/>
                <w:lang w:eastAsia="ru-RU"/>
              </w:rPr>
              <w:t>5 группа «Объекты временного проживания»</w:t>
            </w:r>
          </w:p>
        </w:tc>
        <w:tc>
          <w:tcPr>
            <w:tcW w:w="919" w:type="pct"/>
            <w:tcBorders>
              <w:top w:val="single" w:sz="4" w:space="0" w:color="auto"/>
              <w:left w:val="nil"/>
              <w:bottom w:val="single" w:sz="4" w:space="0" w:color="auto"/>
              <w:right w:val="single" w:sz="4" w:space="0" w:color="auto"/>
            </w:tcBorders>
            <w:shd w:val="clear" w:color="000000" w:fill="FFFFFF"/>
            <w:vAlign w:val="center"/>
          </w:tcPr>
          <w:p w14:paraId="21AB85BE" w14:textId="3204221B" w:rsidR="006E7F65" w:rsidRPr="006E7F65" w:rsidRDefault="006E7F65" w:rsidP="006E7F65">
            <w:pPr>
              <w:ind w:firstLine="0"/>
              <w:jc w:val="right"/>
              <w:rPr>
                <w:rFonts w:eastAsia="Times New Roman" w:cs="Times New Roman"/>
                <w:color w:val="000000"/>
                <w:sz w:val="20"/>
                <w:szCs w:val="20"/>
                <w:lang w:eastAsia="ru-RU"/>
              </w:rPr>
            </w:pPr>
            <w:r w:rsidRPr="006E7F65">
              <w:rPr>
                <w:rFonts w:eastAsia="Times New Roman" w:cs="Times New Roman"/>
                <w:color w:val="000000"/>
                <w:sz w:val="20"/>
                <w:szCs w:val="20"/>
                <w:lang w:eastAsia="ru-RU"/>
              </w:rPr>
              <w:t>32 344 845</w:t>
            </w:r>
          </w:p>
        </w:tc>
        <w:tc>
          <w:tcPr>
            <w:tcW w:w="1072"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D96E99D" w14:textId="1A49F0E7" w:rsidR="006E7F65" w:rsidRPr="006E7F65" w:rsidRDefault="006E7F65" w:rsidP="006E7F65">
            <w:pPr>
              <w:ind w:firstLine="0"/>
              <w:jc w:val="right"/>
              <w:rPr>
                <w:rFonts w:eastAsia="Times New Roman" w:cs="Times New Roman"/>
                <w:color w:val="000000"/>
                <w:sz w:val="20"/>
                <w:szCs w:val="20"/>
                <w:lang w:eastAsia="ru-RU"/>
              </w:rPr>
            </w:pPr>
            <w:r w:rsidRPr="006E7F65">
              <w:rPr>
                <w:rFonts w:eastAsia="Times New Roman" w:cs="Times New Roman"/>
                <w:color w:val="000000"/>
                <w:sz w:val="20"/>
                <w:szCs w:val="20"/>
                <w:lang w:eastAsia="ru-RU"/>
              </w:rPr>
              <w:t>21 068 977</w:t>
            </w:r>
          </w:p>
        </w:tc>
        <w:tc>
          <w:tcPr>
            <w:tcW w:w="842" w:type="pct"/>
            <w:tcBorders>
              <w:top w:val="nil"/>
              <w:left w:val="nil"/>
              <w:bottom w:val="single" w:sz="4" w:space="0" w:color="auto"/>
              <w:right w:val="single" w:sz="4" w:space="0" w:color="auto"/>
            </w:tcBorders>
            <w:shd w:val="clear" w:color="000000" w:fill="FFFFFF"/>
            <w:noWrap/>
            <w:vAlign w:val="center"/>
            <w:hideMark/>
          </w:tcPr>
          <w:p w14:paraId="3D99AC7E" w14:textId="77777777" w:rsidR="006E7F65" w:rsidRPr="006E7F65" w:rsidRDefault="006E7F65" w:rsidP="006E7F65">
            <w:pPr>
              <w:ind w:firstLine="0"/>
              <w:jc w:val="right"/>
              <w:rPr>
                <w:rFonts w:eastAsia="Times New Roman" w:cs="Times New Roman"/>
                <w:color w:val="000000"/>
                <w:sz w:val="20"/>
                <w:szCs w:val="20"/>
                <w:lang w:eastAsia="ru-RU"/>
              </w:rPr>
            </w:pPr>
            <w:r w:rsidRPr="006E7F65">
              <w:rPr>
                <w:rFonts w:eastAsia="Times New Roman" w:cs="Times New Roman"/>
                <w:color w:val="000000"/>
                <w:sz w:val="20"/>
                <w:szCs w:val="20"/>
                <w:lang w:eastAsia="ru-RU"/>
              </w:rPr>
              <w:t>-11 275 868</w:t>
            </w:r>
          </w:p>
        </w:tc>
        <w:tc>
          <w:tcPr>
            <w:tcW w:w="411" w:type="pct"/>
            <w:tcBorders>
              <w:top w:val="nil"/>
              <w:left w:val="nil"/>
              <w:bottom w:val="single" w:sz="4" w:space="0" w:color="auto"/>
              <w:right w:val="single" w:sz="4" w:space="0" w:color="auto"/>
            </w:tcBorders>
            <w:shd w:val="clear" w:color="auto" w:fill="auto"/>
            <w:noWrap/>
            <w:vAlign w:val="center"/>
            <w:hideMark/>
          </w:tcPr>
          <w:p w14:paraId="4B7B45EC" w14:textId="77777777" w:rsidR="006E7F65" w:rsidRPr="006E7F65" w:rsidRDefault="006E7F65" w:rsidP="006E7F65">
            <w:pPr>
              <w:ind w:firstLine="0"/>
              <w:jc w:val="right"/>
              <w:rPr>
                <w:rFonts w:eastAsia="Times New Roman" w:cs="Times New Roman"/>
                <w:color w:val="000000"/>
                <w:sz w:val="20"/>
                <w:szCs w:val="20"/>
                <w:lang w:eastAsia="ru-RU"/>
              </w:rPr>
            </w:pPr>
            <w:r w:rsidRPr="006E7F65">
              <w:rPr>
                <w:rFonts w:eastAsia="Times New Roman" w:cs="Times New Roman"/>
                <w:color w:val="000000"/>
                <w:sz w:val="20"/>
                <w:szCs w:val="20"/>
                <w:lang w:eastAsia="ru-RU"/>
              </w:rPr>
              <w:t>-53,52</w:t>
            </w:r>
          </w:p>
        </w:tc>
      </w:tr>
      <w:tr w:rsidR="006E7F65" w:rsidRPr="006E7F65" w14:paraId="0567349A" w14:textId="77777777" w:rsidTr="006E7F65">
        <w:trPr>
          <w:trHeight w:val="20"/>
        </w:trPr>
        <w:tc>
          <w:tcPr>
            <w:tcW w:w="1756" w:type="pct"/>
            <w:tcBorders>
              <w:top w:val="nil"/>
              <w:left w:val="single" w:sz="4" w:space="0" w:color="auto"/>
              <w:bottom w:val="single" w:sz="4" w:space="0" w:color="auto"/>
              <w:right w:val="single" w:sz="4" w:space="0" w:color="auto"/>
            </w:tcBorders>
            <w:shd w:val="clear" w:color="000000" w:fill="FFFFFF"/>
            <w:vAlign w:val="center"/>
            <w:hideMark/>
          </w:tcPr>
          <w:p w14:paraId="674E2142" w14:textId="77777777" w:rsidR="006E7F65" w:rsidRPr="006E7F65" w:rsidRDefault="006E7F65" w:rsidP="006E7F65">
            <w:pPr>
              <w:ind w:firstLine="0"/>
              <w:jc w:val="left"/>
              <w:rPr>
                <w:rFonts w:eastAsia="Times New Roman" w:cs="Times New Roman"/>
                <w:color w:val="000000"/>
                <w:sz w:val="20"/>
                <w:szCs w:val="20"/>
                <w:lang w:eastAsia="ru-RU"/>
              </w:rPr>
            </w:pPr>
            <w:r w:rsidRPr="006E7F65">
              <w:rPr>
                <w:rFonts w:eastAsia="Times New Roman" w:cs="Times New Roman"/>
                <w:color w:val="000000"/>
                <w:sz w:val="20"/>
                <w:szCs w:val="20"/>
                <w:lang w:eastAsia="ru-RU"/>
              </w:rPr>
              <w:t>6 группа «Административные и бытовые объекты».</w:t>
            </w:r>
          </w:p>
        </w:tc>
        <w:tc>
          <w:tcPr>
            <w:tcW w:w="919" w:type="pct"/>
            <w:tcBorders>
              <w:top w:val="single" w:sz="4" w:space="0" w:color="auto"/>
              <w:left w:val="nil"/>
              <w:bottom w:val="single" w:sz="4" w:space="0" w:color="auto"/>
              <w:right w:val="single" w:sz="4" w:space="0" w:color="auto"/>
            </w:tcBorders>
            <w:shd w:val="clear" w:color="000000" w:fill="FFFFFF"/>
            <w:vAlign w:val="center"/>
          </w:tcPr>
          <w:p w14:paraId="6353B3D5" w14:textId="639D2EDD" w:rsidR="006E7F65" w:rsidRPr="006E7F65" w:rsidRDefault="006E7F65" w:rsidP="006E7F65">
            <w:pPr>
              <w:ind w:firstLine="0"/>
              <w:jc w:val="right"/>
              <w:rPr>
                <w:rFonts w:eastAsia="Times New Roman" w:cs="Times New Roman"/>
                <w:color w:val="000000"/>
                <w:sz w:val="20"/>
                <w:szCs w:val="20"/>
                <w:lang w:eastAsia="ru-RU"/>
              </w:rPr>
            </w:pPr>
            <w:r w:rsidRPr="006E7F65">
              <w:rPr>
                <w:rFonts w:eastAsia="Times New Roman" w:cs="Times New Roman"/>
                <w:color w:val="000000"/>
                <w:sz w:val="20"/>
                <w:szCs w:val="20"/>
                <w:lang w:eastAsia="ru-RU"/>
              </w:rPr>
              <w:t>29 306 733</w:t>
            </w:r>
          </w:p>
        </w:tc>
        <w:tc>
          <w:tcPr>
            <w:tcW w:w="1072"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B5ED065" w14:textId="4C3689DD" w:rsidR="006E7F65" w:rsidRPr="006E7F65" w:rsidRDefault="006E7F65" w:rsidP="006E7F65">
            <w:pPr>
              <w:ind w:firstLine="0"/>
              <w:jc w:val="right"/>
              <w:rPr>
                <w:rFonts w:eastAsia="Times New Roman" w:cs="Times New Roman"/>
                <w:color w:val="000000"/>
                <w:sz w:val="20"/>
                <w:szCs w:val="20"/>
                <w:lang w:eastAsia="ru-RU"/>
              </w:rPr>
            </w:pPr>
            <w:r w:rsidRPr="006E7F65">
              <w:rPr>
                <w:rFonts w:eastAsia="Times New Roman" w:cs="Times New Roman"/>
                <w:color w:val="000000"/>
                <w:sz w:val="20"/>
                <w:szCs w:val="20"/>
                <w:lang w:eastAsia="ru-RU"/>
              </w:rPr>
              <w:t>37 017 225</w:t>
            </w:r>
          </w:p>
        </w:tc>
        <w:tc>
          <w:tcPr>
            <w:tcW w:w="842" w:type="pct"/>
            <w:tcBorders>
              <w:top w:val="nil"/>
              <w:left w:val="nil"/>
              <w:bottom w:val="single" w:sz="4" w:space="0" w:color="auto"/>
              <w:right w:val="single" w:sz="4" w:space="0" w:color="auto"/>
            </w:tcBorders>
            <w:shd w:val="clear" w:color="000000" w:fill="FFFFFF"/>
            <w:noWrap/>
            <w:vAlign w:val="center"/>
            <w:hideMark/>
          </w:tcPr>
          <w:p w14:paraId="6947A87B" w14:textId="77777777" w:rsidR="006E7F65" w:rsidRPr="006E7F65" w:rsidRDefault="006E7F65" w:rsidP="006E7F65">
            <w:pPr>
              <w:ind w:firstLine="0"/>
              <w:jc w:val="right"/>
              <w:rPr>
                <w:rFonts w:eastAsia="Times New Roman" w:cs="Times New Roman"/>
                <w:color w:val="000000"/>
                <w:sz w:val="20"/>
                <w:szCs w:val="20"/>
                <w:lang w:eastAsia="ru-RU"/>
              </w:rPr>
            </w:pPr>
            <w:r w:rsidRPr="006E7F65">
              <w:rPr>
                <w:rFonts w:eastAsia="Times New Roman" w:cs="Times New Roman"/>
                <w:color w:val="000000"/>
                <w:sz w:val="20"/>
                <w:szCs w:val="20"/>
                <w:lang w:eastAsia="ru-RU"/>
              </w:rPr>
              <w:t>7 710 492</w:t>
            </w:r>
          </w:p>
        </w:tc>
        <w:tc>
          <w:tcPr>
            <w:tcW w:w="411" w:type="pct"/>
            <w:tcBorders>
              <w:top w:val="nil"/>
              <w:left w:val="nil"/>
              <w:bottom w:val="single" w:sz="4" w:space="0" w:color="auto"/>
              <w:right w:val="single" w:sz="4" w:space="0" w:color="auto"/>
            </w:tcBorders>
            <w:shd w:val="clear" w:color="auto" w:fill="auto"/>
            <w:noWrap/>
            <w:vAlign w:val="center"/>
            <w:hideMark/>
          </w:tcPr>
          <w:p w14:paraId="7D176413" w14:textId="77777777" w:rsidR="006E7F65" w:rsidRPr="006E7F65" w:rsidRDefault="006E7F65" w:rsidP="006E7F65">
            <w:pPr>
              <w:ind w:firstLine="0"/>
              <w:jc w:val="right"/>
              <w:rPr>
                <w:rFonts w:eastAsia="Times New Roman" w:cs="Times New Roman"/>
                <w:color w:val="000000"/>
                <w:sz w:val="20"/>
                <w:szCs w:val="20"/>
                <w:lang w:eastAsia="ru-RU"/>
              </w:rPr>
            </w:pPr>
            <w:r w:rsidRPr="006E7F65">
              <w:rPr>
                <w:rFonts w:eastAsia="Times New Roman" w:cs="Times New Roman"/>
                <w:color w:val="000000"/>
                <w:sz w:val="20"/>
                <w:szCs w:val="20"/>
                <w:lang w:eastAsia="ru-RU"/>
              </w:rPr>
              <w:t>20,83</w:t>
            </w:r>
          </w:p>
        </w:tc>
      </w:tr>
      <w:tr w:rsidR="006E7F65" w:rsidRPr="006E7F65" w14:paraId="5A872A88" w14:textId="77777777" w:rsidTr="006E7F65">
        <w:trPr>
          <w:trHeight w:val="20"/>
        </w:trPr>
        <w:tc>
          <w:tcPr>
            <w:tcW w:w="1756" w:type="pct"/>
            <w:tcBorders>
              <w:top w:val="nil"/>
              <w:left w:val="single" w:sz="4" w:space="0" w:color="auto"/>
              <w:bottom w:val="single" w:sz="4" w:space="0" w:color="auto"/>
              <w:right w:val="single" w:sz="4" w:space="0" w:color="auto"/>
            </w:tcBorders>
            <w:shd w:val="clear" w:color="000000" w:fill="FFFFFF"/>
            <w:vAlign w:val="center"/>
            <w:hideMark/>
          </w:tcPr>
          <w:p w14:paraId="6359A99F" w14:textId="77777777" w:rsidR="006E7F65" w:rsidRPr="006E7F65" w:rsidRDefault="006E7F65" w:rsidP="006E7F65">
            <w:pPr>
              <w:ind w:firstLine="0"/>
              <w:jc w:val="left"/>
              <w:rPr>
                <w:rFonts w:eastAsia="Times New Roman" w:cs="Times New Roman"/>
                <w:color w:val="000000"/>
                <w:sz w:val="20"/>
                <w:szCs w:val="20"/>
                <w:lang w:eastAsia="ru-RU"/>
              </w:rPr>
            </w:pPr>
            <w:r w:rsidRPr="006E7F65">
              <w:rPr>
                <w:rFonts w:eastAsia="Times New Roman" w:cs="Times New Roman"/>
                <w:color w:val="000000"/>
                <w:sz w:val="20"/>
                <w:szCs w:val="20"/>
                <w:lang w:eastAsia="ru-RU"/>
              </w:rPr>
              <w:t>7 группа «Объекты производственного назначения»</w:t>
            </w:r>
          </w:p>
        </w:tc>
        <w:tc>
          <w:tcPr>
            <w:tcW w:w="919" w:type="pct"/>
            <w:tcBorders>
              <w:top w:val="single" w:sz="4" w:space="0" w:color="auto"/>
              <w:left w:val="nil"/>
              <w:bottom w:val="single" w:sz="4" w:space="0" w:color="auto"/>
              <w:right w:val="single" w:sz="4" w:space="0" w:color="auto"/>
            </w:tcBorders>
            <w:shd w:val="clear" w:color="000000" w:fill="FFFFFF"/>
            <w:vAlign w:val="center"/>
          </w:tcPr>
          <w:p w14:paraId="75F9608E" w14:textId="201BB1F3" w:rsidR="006E7F65" w:rsidRPr="006E7F65" w:rsidRDefault="006E7F65" w:rsidP="006E7F65">
            <w:pPr>
              <w:ind w:firstLine="0"/>
              <w:jc w:val="right"/>
              <w:rPr>
                <w:rFonts w:eastAsia="Times New Roman" w:cs="Times New Roman"/>
                <w:color w:val="000000"/>
                <w:sz w:val="20"/>
                <w:szCs w:val="20"/>
                <w:lang w:eastAsia="ru-RU"/>
              </w:rPr>
            </w:pPr>
            <w:r w:rsidRPr="006E7F65">
              <w:rPr>
                <w:rFonts w:eastAsia="Times New Roman" w:cs="Times New Roman"/>
                <w:color w:val="000000"/>
                <w:sz w:val="20"/>
                <w:szCs w:val="20"/>
                <w:lang w:eastAsia="ru-RU"/>
              </w:rPr>
              <w:t>97 721 841</w:t>
            </w:r>
          </w:p>
        </w:tc>
        <w:tc>
          <w:tcPr>
            <w:tcW w:w="1072"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1CD2304" w14:textId="1D26D656" w:rsidR="006E7F65" w:rsidRPr="006E7F65" w:rsidRDefault="006E7F65" w:rsidP="006E7F65">
            <w:pPr>
              <w:ind w:firstLine="0"/>
              <w:jc w:val="right"/>
              <w:rPr>
                <w:rFonts w:eastAsia="Times New Roman" w:cs="Times New Roman"/>
                <w:color w:val="000000"/>
                <w:sz w:val="20"/>
                <w:szCs w:val="20"/>
                <w:lang w:eastAsia="ru-RU"/>
              </w:rPr>
            </w:pPr>
            <w:r w:rsidRPr="006E7F65">
              <w:rPr>
                <w:rFonts w:eastAsia="Times New Roman" w:cs="Times New Roman"/>
                <w:color w:val="000000"/>
                <w:sz w:val="20"/>
                <w:szCs w:val="20"/>
                <w:lang w:eastAsia="ru-RU"/>
              </w:rPr>
              <w:t>141 828 429</w:t>
            </w:r>
          </w:p>
        </w:tc>
        <w:tc>
          <w:tcPr>
            <w:tcW w:w="842" w:type="pct"/>
            <w:tcBorders>
              <w:top w:val="nil"/>
              <w:left w:val="nil"/>
              <w:bottom w:val="single" w:sz="4" w:space="0" w:color="auto"/>
              <w:right w:val="single" w:sz="4" w:space="0" w:color="auto"/>
            </w:tcBorders>
            <w:shd w:val="clear" w:color="000000" w:fill="FFFFFF"/>
            <w:noWrap/>
            <w:vAlign w:val="center"/>
            <w:hideMark/>
          </w:tcPr>
          <w:p w14:paraId="5FB66FD8" w14:textId="77777777" w:rsidR="006E7F65" w:rsidRPr="006E7F65" w:rsidRDefault="006E7F65" w:rsidP="006E7F65">
            <w:pPr>
              <w:ind w:firstLine="0"/>
              <w:jc w:val="right"/>
              <w:rPr>
                <w:rFonts w:eastAsia="Times New Roman" w:cs="Times New Roman"/>
                <w:color w:val="000000"/>
                <w:sz w:val="20"/>
                <w:szCs w:val="20"/>
                <w:lang w:eastAsia="ru-RU"/>
              </w:rPr>
            </w:pPr>
            <w:r w:rsidRPr="006E7F65">
              <w:rPr>
                <w:rFonts w:eastAsia="Times New Roman" w:cs="Times New Roman"/>
                <w:color w:val="000000"/>
                <w:sz w:val="20"/>
                <w:szCs w:val="20"/>
                <w:lang w:eastAsia="ru-RU"/>
              </w:rPr>
              <w:t>44 106 588</w:t>
            </w:r>
          </w:p>
        </w:tc>
        <w:tc>
          <w:tcPr>
            <w:tcW w:w="411" w:type="pct"/>
            <w:tcBorders>
              <w:top w:val="nil"/>
              <w:left w:val="nil"/>
              <w:bottom w:val="single" w:sz="4" w:space="0" w:color="auto"/>
              <w:right w:val="single" w:sz="4" w:space="0" w:color="auto"/>
            </w:tcBorders>
            <w:shd w:val="clear" w:color="auto" w:fill="auto"/>
            <w:noWrap/>
            <w:vAlign w:val="center"/>
            <w:hideMark/>
          </w:tcPr>
          <w:p w14:paraId="74ED9C04" w14:textId="77777777" w:rsidR="006E7F65" w:rsidRPr="006E7F65" w:rsidRDefault="006E7F65" w:rsidP="006E7F65">
            <w:pPr>
              <w:ind w:firstLine="0"/>
              <w:jc w:val="right"/>
              <w:rPr>
                <w:rFonts w:eastAsia="Times New Roman" w:cs="Times New Roman"/>
                <w:color w:val="000000"/>
                <w:sz w:val="20"/>
                <w:szCs w:val="20"/>
                <w:lang w:eastAsia="ru-RU"/>
              </w:rPr>
            </w:pPr>
            <w:r w:rsidRPr="006E7F65">
              <w:rPr>
                <w:rFonts w:eastAsia="Times New Roman" w:cs="Times New Roman"/>
                <w:color w:val="000000"/>
                <w:sz w:val="20"/>
                <w:szCs w:val="20"/>
                <w:lang w:eastAsia="ru-RU"/>
              </w:rPr>
              <w:t>31,10</w:t>
            </w:r>
          </w:p>
        </w:tc>
      </w:tr>
      <w:tr w:rsidR="006E7F65" w:rsidRPr="006E7F65" w14:paraId="38F7E0A5" w14:textId="77777777" w:rsidTr="006E7F65">
        <w:trPr>
          <w:trHeight w:val="20"/>
        </w:trPr>
        <w:tc>
          <w:tcPr>
            <w:tcW w:w="1756" w:type="pct"/>
            <w:tcBorders>
              <w:top w:val="nil"/>
              <w:left w:val="single" w:sz="4" w:space="0" w:color="auto"/>
              <w:bottom w:val="single" w:sz="4" w:space="0" w:color="auto"/>
              <w:right w:val="single" w:sz="4" w:space="0" w:color="auto"/>
            </w:tcBorders>
            <w:shd w:val="clear" w:color="000000" w:fill="FFFFFF"/>
            <w:vAlign w:val="center"/>
            <w:hideMark/>
          </w:tcPr>
          <w:p w14:paraId="0E777E99" w14:textId="77777777" w:rsidR="006E7F65" w:rsidRPr="006E7F65" w:rsidRDefault="006E7F65" w:rsidP="006E7F65">
            <w:pPr>
              <w:ind w:firstLine="0"/>
              <w:jc w:val="left"/>
              <w:rPr>
                <w:rFonts w:eastAsia="Times New Roman" w:cs="Times New Roman"/>
                <w:color w:val="000000"/>
                <w:sz w:val="20"/>
                <w:szCs w:val="20"/>
                <w:lang w:eastAsia="ru-RU"/>
              </w:rPr>
            </w:pPr>
            <w:r w:rsidRPr="006E7F65">
              <w:rPr>
                <w:rFonts w:eastAsia="Times New Roman" w:cs="Times New Roman"/>
                <w:color w:val="000000"/>
                <w:sz w:val="20"/>
                <w:szCs w:val="20"/>
                <w:lang w:eastAsia="ru-RU"/>
              </w:rPr>
              <w:t>8 группа «Учебные, спортивные объекты, объекты культуры и искусства»</w:t>
            </w:r>
          </w:p>
        </w:tc>
        <w:tc>
          <w:tcPr>
            <w:tcW w:w="919" w:type="pct"/>
            <w:tcBorders>
              <w:top w:val="single" w:sz="4" w:space="0" w:color="auto"/>
              <w:left w:val="nil"/>
              <w:bottom w:val="single" w:sz="4" w:space="0" w:color="auto"/>
              <w:right w:val="single" w:sz="4" w:space="0" w:color="auto"/>
            </w:tcBorders>
            <w:shd w:val="clear" w:color="000000" w:fill="FFFFFF"/>
            <w:vAlign w:val="center"/>
          </w:tcPr>
          <w:p w14:paraId="66E14411" w14:textId="61866CB3" w:rsidR="006E7F65" w:rsidRPr="006E7F65" w:rsidRDefault="006E7F65" w:rsidP="006E7F65">
            <w:pPr>
              <w:ind w:firstLine="0"/>
              <w:jc w:val="right"/>
              <w:rPr>
                <w:rFonts w:eastAsia="Times New Roman" w:cs="Times New Roman"/>
                <w:color w:val="000000"/>
                <w:sz w:val="20"/>
                <w:szCs w:val="20"/>
                <w:lang w:eastAsia="ru-RU"/>
              </w:rPr>
            </w:pPr>
            <w:r w:rsidRPr="006E7F65">
              <w:rPr>
                <w:rFonts w:eastAsia="Times New Roman" w:cs="Times New Roman"/>
                <w:color w:val="000000"/>
                <w:sz w:val="20"/>
                <w:szCs w:val="20"/>
                <w:lang w:eastAsia="ru-RU"/>
              </w:rPr>
              <w:t>86 950 148</w:t>
            </w:r>
          </w:p>
        </w:tc>
        <w:tc>
          <w:tcPr>
            <w:tcW w:w="1072"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940693C" w14:textId="7AFA1414" w:rsidR="006E7F65" w:rsidRPr="006E7F65" w:rsidRDefault="006E7F65" w:rsidP="006E7F65">
            <w:pPr>
              <w:ind w:firstLine="0"/>
              <w:jc w:val="right"/>
              <w:rPr>
                <w:rFonts w:eastAsia="Times New Roman" w:cs="Times New Roman"/>
                <w:color w:val="000000"/>
                <w:sz w:val="20"/>
                <w:szCs w:val="20"/>
                <w:lang w:eastAsia="ru-RU"/>
              </w:rPr>
            </w:pPr>
            <w:r w:rsidRPr="006E7F65">
              <w:rPr>
                <w:rFonts w:eastAsia="Times New Roman" w:cs="Times New Roman"/>
                <w:color w:val="000000"/>
                <w:sz w:val="20"/>
                <w:szCs w:val="20"/>
                <w:lang w:eastAsia="ru-RU"/>
              </w:rPr>
              <w:t>108 688 347</w:t>
            </w:r>
          </w:p>
        </w:tc>
        <w:tc>
          <w:tcPr>
            <w:tcW w:w="842" w:type="pct"/>
            <w:tcBorders>
              <w:top w:val="nil"/>
              <w:left w:val="nil"/>
              <w:bottom w:val="single" w:sz="4" w:space="0" w:color="auto"/>
              <w:right w:val="single" w:sz="4" w:space="0" w:color="auto"/>
            </w:tcBorders>
            <w:shd w:val="clear" w:color="000000" w:fill="FFFFFF"/>
            <w:noWrap/>
            <w:vAlign w:val="center"/>
            <w:hideMark/>
          </w:tcPr>
          <w:p w14:paraId="62A6897B" w14:textId="77777777" w:rsidR="006E7F65" w:rsidRPr="006E7F65" w:rsidRDefault="006E7F65" w:rsidP="006E7F65">
            <w:pPr>
              <w:ind w:firstLine="0"/>
              <w:jc w:val="right"/>
              <w:rPr>
                <w:rFonts w:eastAsia="Times New Roman" w:cs="Times New Roman"/>
                <w:color w:val="000000"/>
                <w:sz w:val="20"/>
                <w:szCs w:val="20"/>
                <w:lang w:eastAsia="ru-RU"/>
              </w:rPr>
            </w:pPr>
            <w:r w:rsidRPr="006E7F65">
              <w:rPr>
                <w:rFonts w:eastAsia="Times New Roman" w:cs="Times New Roman"/>
                <w:color w:val="000000"/>
                <w:sz w:val="20"/>
                <w:szCs w:val="20"/>
                <w:lang w:eastAsia="ru-RU"/>
              </w:rPr>
              <w:t>21 738 199</w:t>
            </w:r>
          </w:p>
        </w:tc>
        <w:tc>
          <w:tcPr>
            <w:tcW w:w="411" w:type="pct"/>
            <w:tcBorders>
              <w:top w:val="nil"/>
              <w:left w:val="nil"/>
              <w:bottom w:val="single" w:sz="4" w:space="0" w:color="auto"/>
              <w:right w:val="single" w:sz="4" w:space="0" w:color="auto"/>
            </w:tcBorders>
            <w:shd w:val="clear" w:color="auto" w:fill="auto"/>
            <w:noWrap/>
            <w:vAlign w:val="center"/>
            <w:hideMark/>
          </w:tcPr>
          <w:p w14:paraId="29F50CC6" w14:textId="77777777" w:rsidR="006E7F65" w:rsidRPr="006E7F65" w:rsidRDefault="006E7F65" w:rsidP="006E7F65">
            <w:pPr>
              <w:ind w:firstLine="0"/>
              <w:jc w:val="right"/>
              <w:rPr>
                <w:rFonts w:eastAsia="Times New Roman" w:cs="Times New Roman"/>
                <w:color w:val="000000"/>
                <w:sz w:val="20"/>
                <w:szCs w:val="20"/>
                <w:lang w:eastAsia="ru-RU"/>
              </w:rPr>
            </w:pPr>
            <w:r w:rsidRPr="006E7F65">
              <w:rPr>
                <w:rFonts w:eastAsia="Times New Roman" w:cs="Times New Roman"/>
                <w:color w:val="000000"/>
                <w:sz w:val="20"/>
                <w:szCs w:val="20"/>
                <w:lang w:eastAsia="ru-RU"/>
              </w:rPr>
              <w:t>20,00</w:t>
            </w:r>
          </w:p>
        </w:tc>
      </w:tr>
      <w:tr w:rsidR="006E7F65" w:rsidRPr="006E7F65" w14:paraId="3499E22B" w14:textId="77777777" w:rsidTr="006E7F65">
        <w:trPr>
          <w:trHeight w:val="20"/>
        </w:trPr>
        <w:tc>
          <w:tcPr>
            <w:tcW w:w="1756" w:type="pct"/>
            <w:tcBorders>
              <w:top w:val="nil"/>
              <w:left w:val="single" w:sz="4" w:space="0" w:color="auto"/>
              <w:bottom w:val="single" w:sz="4" w:space="0" w:color="auto"/>
              <w:right w:val="single" w:sz="4" w:space="0" w:color="auto"/>
            </w:tcBorders>
            <w:shd w:val="clear" w:color="000000" w:fill="FFFFFF"/>
            <w:vAlign w:val="center"/>
            <w:hideMark/>
          </w:tcPr>
          <w:p w14:paraId="1871F62E" w14:textId="77777777" w:rsidR="006E7F65" w:rsidRPr="006E7F65" w:rsidRDefault="006E7F65" w:rsidP="006E7F65">
            <w:pPr>
              <w:ind w:firstLine="0"/>
              <w:jc w:val="left"/>
              <w:rPr>
                <w:rFonts w:eastAsia="Times New Roman" w:cs="Times New Roman"/>
                <w:color w:val="000000"/>
                <w:sz w:val="20"/>
                <w:szCs w:val="20"/>
                <w:lang w:eastAsia="ru-RU"/>
              </w:rPr>
            </w:pPr>
            <w:r w:rsidRPr="006E7F65">
              <w:rPr>
                <w:rFonts w:eastAsia="Times New Roman" w:cs="Times New Roman"/>
                <w:color w:val="000000"/>
                <w:sz w:val="20"/>
                <w:szCs w:val="20"/>
                <w:lang w:eastAsia="ru-RU"/>
              </w:rPr>
              <w:t>9 группа «Прочие объекты»</w:t>
            </w:r>
          </w:p>
        </w:tc>
        <w:tc>
          <w:tcPr>
            <w:tcW w:w="919" w:type="pct"/>
            <w:tcBorders>
              <w:top w:val="single" w:sz="4" w:space="0" w:color="auto"/>
              <w:left w:val="nil"/>
              <w:bottom w:val="single" w:sz="4" w:space="0" w:color="auto"/>
              <w:right w:val="single" w:sz="4" w:space="0" w:color="auto"/>
            </w:tcBorders>
            <w:shd w:val="clear" w:color="000000" w:fill="FFFFFF"/>
            <w:vAlign w:val="center"/>
          </w:tcPr>
          <w:p w14:paraId="0C404D18" w14:textId="7D04FC6B" w:rsidR="006E7F65" w:rsidRPr="006E7F65" w:rsidRDefault="006E7F65" w:rsidP="006E7F65">
            <w:pPr>
              <w:ind w:firstLine="0"/>
              <w:jc w:val="right"/>
              <w:rPr>
                <w:rFonts w:eastAsia="Times New Roman" w:cs="Times New Roman"/>
                <w:color w:val="000000"/>
                <w:sz w:val="20"/>
                <w:szCs w:val="20"/>
                <w:lang w:eastAsia="ru-RU"/>
              </w:rPr>
            </w:pPr>
            <w:r w:rsidRPr="006E7F65">
              <w:rPr>
                <w:rFonts w:eastAsia="Times New Roman" w:cs="Times New Roman"/>
                <w:color w:val="000000"/>
                <w:sz w:val="20"/>
                <w:szCs w:val="20"/>
                <w:lang w:eastAsia="ru-RU"/>
              </w:rPr>
              <w:t>5 095 882</w:t>
            </w:r>
          </w:p>
        </w:tc>
        <w:tc>
          <w:tcPr>
            <w:tcW w:w="1072"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6FE0D30" w14:textId="6AFD234E" w:rsidR="006E7F65" w:rsidRPr="006E7F65" w:rsidRDefault="006E7F65" w:rsidP="006E7F65">
            <w:pPr>
              <w:ind w:firstLine="0"/>
              <w:jc w:val="right"/>
              <w:rPr>
                <w:rFonts w:eastAsia="Times New Roman" w:cs="Times New Roman"/>
                <w:color w:val="000000"/>
                <w:sz w:val="20"/>
                <w:szCs w:val="20"/>
                <w:lang w:eastAsia="ru-RU"/>
              </w:rPr>
            </w:pPr>
            <w:r w:rsidRPr="006E7F65">
              <w:rPr>
                <w:rFonts w:eastAsia="Times New Roman" w:cs="Times New Roman"/>
                <w:color w:val="000000"/>
                <w:sz w:val="20"/>
                <w:szCs w:val="20"/>
                <w:lang w:eastAsia="ru-RU"/>
              </w:rPr>
              <w:t>13 378 301</w:t>
            </w:r>
          </w:p>
        </w:tc>
        <w:tc>
          <w:tcPr>
            <w:tcW w:w="842" w:type="pct"/>
            <w:tcBorders>
              <w:top w:val="nil"/>
              <w:left w:val="nil"/>
              <w:bottom w:val="single" w:sz="4" w:space="0" w:color="auto"/>
              <w:right w:val="single" w:sz="4" w:space="0" w:color="auto"/>
            </w:tcBorders>
            <w:shd w:val="clear" w:color="000000" w:fill="FFFFFF"/>
            <w:noWrap/>
            <w:vAlign w:val="center"/>
            <w:hideMark/>
          </w:tcPr>
          <w:p w14:paraId="0E3D4500" w14:textId="77777777" w:rsidR="006E7F65" w:rsidRPr="006E7F65" w:rsidRDefault="006E7F65" w:rsidP="006E7F65">
            <w:pPr>
              <w:ind w:firstLine="0"/>
              <w:jc w:val="right"/>
              <w:rPr>
                <w:rFonts w:eastAsia="Times New Roman" w:cs="Times New Roman"/>
                <w:color w:val="000000"/>
                <w:sz w:val="20"/>
                <w:szCs w:val="20"/>
                <w:lang w:eastAsia="ru-RU"/>
              </w:rPr>
            </w:pPr>
            <w:r w:rsidRPr="006E7F65">
              <w:rPr>
                <w:rFonts w:eastAsia="Times New Roman" w:cs="Times New Roman"/>
                <w:color w:val="000000"/>
                <w:sz w:val="20"/>
                <w:szCs w:val="20"/>
                <w:lang w:eastAsia="ru-RU"/>
              </w:rPr>
              <w:t>8 282 419</w:t>
            </w:r>
          </w:p>
        </w:tc>
        <w:tc>
          <w:tcPr>
            <w:tcW w:w="411" w:type="pct"/>
            <w:tcBorders>
              <w:top w:val="nil"/>
              <w:left w:val="nil"/>
              <w:bottom w:val="single" w:sz="4" w:space="0" w:color="auto"/>
              <w:right w:val="single" w:sz="4" w:space="0" w:color="auto"/>
            </w:tcBorders>
            <w:shd w:val="clear" w:color="auto" w:fill="auto"/>
            <w:noWrap/>
            <w:vAlign w:val="center"/>
            <w:hideMark/>
          </w:tcPr>
          <w:p w14:paraId="5F8CB8C9" w14:textId="77777777" w:rsidR="006E7F65" w:rsidRPr="006E7F65" w:rsidRDefault="006E7F65" w:rsidP="006E7F65">
            <w:pPr>
              <w:ind w:firstLine="0"/>
              <w:jc w:val="right"/>
              <w:rPr>
                <w:rFonts w:eastAsia="Times New Roman" w:cs="Times New Roman"/>
                <w:color w:val="000000"/>
                <w:sz w:val="20"/>
                <w:szCs w:val="20"/>
                <w:lang w:eastAsia="ru-RU"/>
              </w:rPr>
            </w:pPr>
            <w:r w:rsidRPr="006E7F65">
              <w:rPr>
                <w:rFonts w:eastAsia="Times New Roman" w:cs="Times New Roman"/>
                <w:color w:val="000000"/>
                <w:sz w:val="20"/>
                <w:szCs w:val="20"/>
                <w:lang w:eastAsia="ru-RU"/>
              </w:rPr>
              <w:t>61,91</w:t>
            </w:r>
          </w:p>
        </w:tc>
      </w:tr>
      <w:tr w:rsidR="006E7F65" w:rsidRPr="006E7F65" w14:paraId="2A965127" w14:textId="77777777" w:rsidTr="006E7F65">
        <w:trPr>
          <w:trHeight w:val="20"/>
        </w:trPr>
        <w:tc>
          <w:tcPr>
            <w:tcW w:w="1756" w:type="pct"/>
            <w:tcBorders>
              <w:top w:val="nil"/>
              <w:left w:val="single" w:sz="4" w:space="0" w:color="auto"/>
              <w:bottom w:val="single" w:sz="4" w:space="0" w:color="auto"/>
              <w:right w:val="single" w:sz="4" w:space="0" w:color="auto"/>
            </w:tcBorders>
            <w:shd w:val="clear" w:color="000000" w:fill="FFFFFF"/>
            <w:vAlign w:val="center"/>
            <w:hideMark/>
          </w:tcPr>
          <w:p w14:paraId="0E865BB9" w14:textId="77777777" w:rsidR="006E7F65" w:rsidRPr="006E7F65" w:rsidRDefault="006E7F65" w:rsidP="006E7F65">
            <w:pPr>
              <w:ind w:firstLine="0"/>
              <w:jc w:val="left"/>
              <w:rPr>
                <w:rFonts w:eastAsia="Times New Roman" w:cs="Times New Roman"/>
                <w:color w:val="000000"/>
                <w:sz w:val="20"/>
                <w:szCs w:val="20"/>
                <w:lang w:eastAsia="ru-RU"/>
              </w:rPr>
            </w:pPr>
            <w:r w:rsidRPr="006E7F65">
              <w:rPr>
                <w:rFonts w:eastAsia="Times New Roman" w:cs="Times New Roman"/>
                <w:color w:val="000000"/>
                <w:sz w:val="20"/>
                <w:szCs w:val="20"/>
                <w:lang w:eastAsia="ru-RU"/>
              </w:rPr>
              <w:t>10 группа «Сооружения»</w:t>
            </w:r>
          </w:p>
        </w:tc>
        <w:tc>
          <w:tcPr>
            <w:tcW w:w="919" w:type="pct"/>
            <w:tcBorders>
              <w:top w:val="single" w:sz="4" w:space="0" w:color="auto"/>
              <w:left w:val="nil"/>
              <w:bottom w:val="single" w:sz="4" w:space="0" w:color="auto"/>
              <w:right w:val="single" w:sz="4" w:space="0" w:color="auto"/>
            </w:tcBorders>
            <w:shd w:val="clear" w:color="000000" w:fill="FFFFFF"/>
            <w:vAlign w:val="center"/>
          </w:tcPr>
          <w:p w14:paraId="63BA7690" w14:textId="43549C91" w:rsidR="006E7F65" w:rsidRPr="006E7F65" w:rsidRDefault="006E7F65" w:rsidP="006E7F65">
            <w:pPr>
              <w:ind w:firstLine="0"/>
              <w:jc w:val="right"/>
              <w:rPr>
                <w:rFonts w:eastAsia="Times New Roman" w:cs="Times New Roman"/>
                <w:color w:val="000000"/>
                <w:sz w:val="20"/>
                <w:szCs w:val="20"/>
                <w:lang w:eastAsia="ru-RU"/>
              </w:rPr>
            </w:pPr>
            <w:r w:rsidRPr="006E7F65">
              <w:rPr>
                <w:rFonts w:eastAsia="Times New Roman" w:cs="Times New Roman"/>
                <w:color w:val="000000"/>
                <w:sz w:val="20"/>
                <w:szCs w:val="20"/>
                <w:lang w:eastAsia="ru-RU"/>
              </w:rPr>
              <w:t>106 323 689</w:t>
            </w:r>
          </w:p>
        </w:tc>
        <w:tc>
          <w:tcPr>
            <w:tcW w:w="1072"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379825A" w14:textId="19DA389C" w:rsidR="006E7F65" w:rsidRPr="006E7F65" w:rsidRDefault="006E7F65" w:rsidP="006E7F65">
            <w:pPr>
              <w:ind w:firstLine="0"/>
              <w:jc w:val="right"/>
              <w:rPr>
                <w:rFonts w:eastAsia="Times New Roman" w:cs="Times New Roman"/>
                <w:color w:val="000000"/>
                <w:sz w:val="20"/>
                <w:szCs w:val="20"/>
                <w:lang w:eastAsia="ru-RU"/>
              </w:rPr>
            </w:pPr>
            <w:r w:rsidRPr="006E7F65">
              <w:rPr>
                <w:rFonts w:eastAsia="Times New Roman" w:cs="Times New Roman"/>
                <w:color w:val="000000"/>
                <w:sz w:val="20"/>
                <w:szCs w:val="20"/>
                <w:lang w:eastAsia="ru-RU"/>
              </w:rPr>
              <w:t>2 128 120 935</w:t>
            </w:r>
          </w:p>
        </w:tc>
        <w:tc>
          <w:tcPr>
            <w:tcW w:w="842" w:type="pct"/>
            <w:tcBorders>
              <w:top w:val="nil"/>
              <w:left w:val="nil"/>
              <w:bottom w:val="single" w:sz="4" w:space="0" w:color="auto"/>
              <w:right w:val="single" w:sz="4" w:space="0" w:color="auto"/>
            </w:tcBorders>
            <w:shd w:val="clear" w:color="000000" w:fill="FFFFFF"/>
            <w:noWrap/>
            <w:vAlign w:val="center"/>
            <w:hideMark/>
          </w:tcPr>
          <w:p w14:paraId="1992AC8C" w14:textId="77777777" w:rsidR="006E7F65" w:rsidRPr="006E7F65" w:rsidRDefault="006E7F65" w:rsidP="006E7F65">
            <w:pPr>
              <w:ind w:firstLine="0"/>
              <w:jc w:val="right"/>
              <w:rPr>
                <w:rFonts w:eastAsia="Times New Roman" w:cs="Times New Roman"/>
                <w:color w:val="000000"/>
                <w:sz w:val="20"/>
                <w:szCs w:val="20"/>
                <w:lang w:eastAsia="ru-RU"/>
              </w:rPr>
            </w:pPr>
            <w:r w:rsidRPr="006E7F65">
              <w:rPr>
                <w:rFonts w:eastAsia="Times New Roman" w:cs="Times New Roman"/>
                <w:color w:val="000000"/>
                <w:sz w:val="20"/>
                <w:szCs w:val="20"/>
                <w:lang w:eastAsia="ru-RU"/>
              </w:rPr>
              <w:t>2 021 797 246</w:t>
            </w:r>
          </w:p>
        </w:tc>
        <w:tc>
          <w:tcPr>
            <w:tcW w:w="411" w:type="pct"/>
            <w:tcBorders>
              <w:top w:val="nil"/>
              <w:left w:val="nil"/>
              <w:bottom w:val="single" w:sz="4" w:space="0" w:color="auto"/>
              <w:right w:val="single" w:sz="4" w:space="0" w:color="auto"/>
            </w:tcBorders>
            <w:shd w:val="clear" w:color="auto" w:fill="auto"/>
            <w:noWrap/>
            <w:vAlign w:val="center"/>
            <w:hideMark/>
          </w:tcPr>
          <w:p w14:paraId="2AF24037" w14:textId="77777777" w:rsidR="006E7F65" w:rsidRPr="006E7F65" w:rsidRDefault="006E7F65" w:rsidP="006E7F65">
            <w:pPr>
              <w:ind w:firstLine="0"/>
              <w:jc w:val="right"/>
              <w:rPr>
                <w:rFonts w:eastAsia="Times New Roman" w:cs="Times New Roman"/>
                <w:color w:val="000000"/>
                <w:sz w:val="20"/>
                <w:szCs w:val="20"/>
                <w:lang w:eastAsia="ru-RU"/>
              </w:rPr>
            </w:pPr>
            <w:r w:rsidRPr="006E7F65">
              <w:rPr>
                <w:rFonts w:eastAsia="Times New Roman" w:cs="Times New Roman"/>
                <w:color w:val="000000"/>
                <w:sz w:val="20"/>
                <w:szCs w:val="20"/>
                <w:lang w:eastAsia="ru-RU"/>
              </w:rPr>
              <w:t>95,00</w:t>
            </w:r>
          </w:p>
        </w:tc>
      </w:tr>
      <w:tr w:rsidR="006E7F65" w:rsidRPr="006E7F65" w14:paraId="29BF6E02" w14:textId="77777777" w:rsidTr="006E7F65">
        <w:trPr>
          <w:trHeight w:val="20"/>
        </w:trPr>
        <w:tc>
          <w:tcPr>
            <w:tcW w:w="1756" w:type="pct"/>
            <w:tcBorders>
              <w:top w:val="nil"/>
              <w:left w:val="single" w:sz="4" w:space="0" w:color="auto"/>
              <w:bottom w:val="single" w:sz="4" w:space="0" w:color="auto"/>
              <w:right w:val="single" w:sz="4" w:space="0" w:color="auto"/>
            </w:tcBorders>
            <w:shd w:val="clear" w:color="000000" w:fill="FFFFFF"/>
            <w:vAlign w:val="center"/>
            <w:hideMark/>
          </w:tcPr>
          <w:p w14:paraId="63B41078" w14:textId="77777777" w:rsidR="006E7F65" w:rsidRPr="006E7F65" w:rsidRDefault="006E7F65" w:rsidP="006E7F65">
            <w:pPr>
              <w:ind w:firstLine="0"/>
              <w:jc w:val="left"/>
              <w:rPr>
                <w:rFonts w:eastAsia="Times New Roman" w:cs="Times New Roman"/>
                <w:b/>
                <w:bCs/>
                <w:color w:val="000000"/>
                <w:sz w:val="20"/>
                <w:szCs w:val="20"/>
                <w:lang w:eastAsia="ru-RU"/>
              </w:rPr>
            </w:pPr>
            <w:r w:rsidRPr="006E7F65">
              <w:rPr>
                <w:rFonts w:eastAsia="Times New Roman" w:cs="Times New Roman"/>
                <w:b/>
                <w:bCs/>
                <w:color w:val="000000"/>
                <w:sz w:val="20"/>
                <w:szCs w:val="20"/>
                <w:lang w:eastAsia="ru-RU"/>
              </w:rPr>
              <w:t>итого</w:t>
            </w:r>
          </w:p>
        </w:tc>
        <w:tc>
          <w:tcPr>
            <w:tcW w:w="919" w:type="pct"/>
            <w:tcBorders>
              <w:top w:val="single" w:sz="4" w:space="0" w:color="auto"/>
              <w:left w:val="nil"/>
              <w:bottom w:val="single" w:sz="4" w:space="0" w:color="auto"/>
              <w:right w:val="single" w:sz="4" w:space="0" w:color="auto"/>
            </w:tcBorders>
            <w:shd w:val="clear" w:color="000000" w:fill="FFFFFF"/>
            <w:vAlign w:val="center"/>
          </w:tcPr>
          <w:p w14:paraId="13A10384" w14:textId="20073EB8" w:rsidR="006E7F65" w:rsidRPr="006E7F65" w:rsidRDefault="006E7F65" w:rsidP="006E7F65">
            <w:pPr>
              <w:ind w:firstLine="0"/>
              <w:jc w:val="right"/>
              <w:rPr>
                <w:rFonts w:eastAsia="Times New Roman" w:cs="Times New Roman"/>
                <w:b/>
                <w:bCs/>
                <w:color w:val="000000"/>
                <w:sz w:val="20"/>
                <w:szCs w:val="20"/>
                <w:lang w:eastAsia="ru-RU"/>
              </w:rPr>
            </w:pPr>
            <w:r w:rsidRPr="006E7F65">
              <w:rPr>
                <w:rFonts w:eastAsia="Times New Roman" w:cs="Times New Roman"/>
                <w:b/>
                <w:bCs/>
                <w:color w:val="000000"/>
                <w:sz w:val="20"/>
                <w:szCs w:val="20"/>
                <w:lang w:eastAsia="ru-RU"/>
              </w:rPr>
              <w:t>1 357 371 721</w:t>
            </w:r>
          </w:p>
        </w:tc>
        <w:tc>
          <w:tcPr>
            <w:tcW w:w="1072"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DE8BA7E" w14:textId="03634D81" w:rsidR="006E7F65" w:rsidRPr="006E7F65" w:rsidRDefault="006E7F65" w:rsidP="006E7F65">
            <w:pPr>
              <w:ind w:firstLine="0"/>
              <w:jc w:val="right"/>
              <w:rPr>
                <w:rFonts w:eastAsia="Times New Roman" w:cs="Times New Roman"/>
                <w:b/>
                <w:bCs/>
                <w:color w:val="000000"/>
                <w:sz w:val="20"/>
                <w:szCs w:val="20"/>
                <w:lang w:eastAsia="ru-RU"/>
              </w:rPr>
            </w:pPr>
            <w:r w:rsidRPr="006E7F65">
              <w:rPr>
                <w:rFonts w:eastAsia="Times New Roman" w:cs="Times New Roman"/>
                <w:b/>
                <w:bCs/>
                <w:color w:val="000000"/>
                <w:sz w:val="20"/>
                <w:szCs w:val="20"/>
                <w:lang w:eastAsia="ru-RU"/>
              </w:rPr>
              <w:t>4 204 041 377</w:t>
            </w:r>
          </w:p>
        </w:tc>
        <w:tc>
          <w:tcPr>
            <w:tcW w:w="842" w:type="pct"/>
            <w:tcBorders>
              <w:top w:val="nil"/>
              <w:left w:val="nil"/>
              <w:bottom w:val="single" w:sz="4" w:space="0" w:color="auto"/>
              <w:right w:val="single" w:sz="4" w:space="0" w:color="auto"/>
            </w:tcBorders>
            <w:shd w:val="clear" w:color="000000" w:fill="FFFFFF"/>
            <w:noWrap/>
            <w:vAlign w:val="center"/>
            <w:hideMark/>
          </w:tcPr>
          <w:p w14:paraId="27BC9F4E" w14:textId="77777777" w:rsidR="006E7F65" w:rsidRPr="006E7F65" w:rsidRDefault="006E7F65" w:rsidP="006E7F65">
            <w:pPr>
              <w:ind w:firstLine="0"/>
              <w:jc w:val="right"/>
              <w:rPr>
                <w:rFonts w:eastAsia="Times New Roman" w:cs="Times New Roman"/>
                <w:b/>
                <w:bCs/>
                <w:color w:val="000000"/>
                <w:sz w:val="20"/>
                <w:szCs w:val="20"/>
                <w:lang w:eastAsia="ru-RU"/>
              </w:rPr>
            </w:pPr>
            <w:r w:rsidRPr="006E7F65">
              <w:rPr>
                <w:rFonts w:eastAsia="Times New Roman" w:cs="Times New Roman"/>
                <w:b/>
                <w:bCs/>
                <w:color w:val="000000"/>
                <w:sz w:val="20"/>
                <w:szCs w:val="20"/>
                <w:lang w:eastAsia="ru-RU"/>
              </w:rPr>
              <w:t>2 846 669 656</w:t>
            </w:r>
          </w:p>
        </w:tc>
        <w:tc>
          <w:tcPr>
            <w:tcW w:w="411" w:type="pct"/>
            <w:tcBorders>
              <w:top w:val="nil"/>
              <w:left w:val="nil"/>
              <w:bottom w:val="single" w:sz="4" w:space="0" w:color="auto"/>
              <w:right w:val="single" w:sz="4" w:space="0" w:color="auto"/>
            </w:tcBorders>
            <w:shd w:val="clear" w:color="auto" w:fill="auto"/>
            <w:noWrap/>
            <w:vAlign w:val="center"/>
            <w:hideMark/>
          </w:tcPr>
          <w:p w14:paraId="0A3837C0" w14:textId="77777777" w:rsidR="006E7F65" w:rsidRPr="006E7F65" w:rsidRDefault="006E7F65" w:rsidP="006E7F65">
            <w:pPr>
              <w:ind w:firstLine="0"/>
              <w:jc w:val="right"/>
              <w:rPr>
                <w:rFonts w:eastAsia="Times New Roman" w:cs="Times New Roman"/>
                <w:color w:val="000000"/>
                <w:sz w:val="20"/>
                <w:szCs w:val="20"/>
                <w:lang w:eastAsia="ru-RU"/>
              </w:rPr>
            </w:pPr>
            <w:r w:rsidRPr="006E7F65">
              <w:rPr>
                <w:rFonts w:eastAsia="Times New Roman" w:cs="Times New Roman"/>
                <w:color w:val="000000"/>
                <w:sz w:val="20"/>
                <w:szCs w:val="20"/>
                <w:lang w:eastAsia="ru-RU"/>
              </w:rPr>
              <w:t>67,71</w:t>
            </w:r>
          </w:p>
        </w:tc>
      </w:tr>
    </w:tbl>
    <w:p w14:paraId="580405E4" w14:textId="54763125" w:rsidR="006E7F65" w:rsidRDefault="006E7F65" w:rsidP="009D5DEE">
      <w:pPr>
        <w:keepNext/>
        <w:spacing w:after="200"/>
        <w:ind w:firstLine="0"/>
        <w:jc w:val="center"/>
        <w:rPr>
          <w:rFonts w:cs="Times New Roman"/>
          <w:i/>
          <w:iCs/>
          <w:color w:val="000000" w:themeColor="text1"/>
          <w:szCs w:val="24"/>
        </w:rPr>
      </w:pPr>
    </w:p>
    <w:p w14:paraId="321B3F24" w14:textId="69AE0CA8" w:rsidR="009D5DEE" w:rsidRPr="009D5DEE" w:rsidRDefault="009D5DEE" w:rsidP="006E7F65">
      <w:pPr>
        <w:tabs>
          <w:tab w:val="left" w:pos="1418"/>
        </w:tabs>
        <w:ind w:firstLine="0"/>
        <w:rPr>
          <w:color w:val="000000"/>
          <w:szCs w:val="28"/>
        </w:rPr>
      </w:pPr>
      <w:r w:rsidRPr="009D5DEE">
        <w:rPr>
          <w:color w:val="000000"/>
          <w:szCs w:val="28"/>
        </w:rPr>
        <w:t>Анализ данных приведенные в таблице:</w:t>
      </w:r>
    </w:p>
    <w:p w14:paraId="1928E5DC" w14:textId="69B85513" w:rsidR="009D5DEE" w:rsidRPr="009D5DEE" w:rsidRDefault="009D5DEE" w:rsidP="00C106B5">
      <w:pPr>
        <w:numPr>
          <w:ilvl w:val="0"/>
          <w:numId w:val="96"/>
        </w:numPr>
        <w:contextualSpacing/>
        <w:rPr>
          <w:color w:val="000000"/>
          <w:szCs w:val="28"/>
        </w:rPr>
      </w:pPr>
      <w:r w:rsidRPr="009D5DEE">
        <w:rPr>
          <w:color w:val="000000"/>
          <w:szCs w:val="28"/>
        </w:rPr>
        <w:t>причинами изменения кадастровой стоимости нежилых помещений являются изменения в методологии и группировке Объектов оценки. В ГКО 2019 года (в отличие от предыдущей кадастровой оценки) использовалась информация о функциональном использовании нежилых помещений, располагающихся в многоквартирных домах. Вследствие этого произошло снижение кадастровой стоимости помещений офисного, производственно-складского, инженерно-технического назначения и помещений, используемых под паркинги. На снижение кадастровой стоимости помещений, располагающихся в нежилых зданиях и сооружениях, повлиял учет в оценке факта расположения помещения в подвале;</w:t>
      </w:r>
    </w:p>
    <w:p w14:paraId="5106EC48" w14:textId="77CC6970" w:rsidR="009D5DEE" w:rsidRPr="009D5DEE" w:rsidRDefault="009D5DEE" w:rsidP="00C106B5">
      <w:pPr>
        <w:numPr>
          <w:ilvl w:val="0"/>
          <w:numId w:val="96"/>
        </w:numPr>
        <w:contextualSpacing/>
        <w:rPr>
          <w:color w:val="000000"/>
          <w:szCs w:val="28"/>
        </w:rPr>
      </w:pPr>
      <w:r w:rsidRPr="009D5DEE">
        <w:rPr>
          <w:color w:val="000000"/>
          <w:szCs w:val="28"/>
        </w:rPr>
        <w:t>изменения кадастровой стоимости зданий связаны с изменениями в методологии кадастровой оценки: учет аварийности объектов, изменение алгоритмов расчета показателя «прибыль предпринимателя», расширение количества объектов-аналогов, что обеспечило более тщательный выбор объекта-аналога, используемого для расчета стоимости строительства здания.</w:t>
      </w:r>
    </w:p>
    <w:p w14:paraId="11A36B50" w14:textId="77777777" w:rsidR="009D5DEE" w:rsidRPr="009D5DEE" w:rsidRDefault="009D5DEE" w:rsidP="009D5DEE">
      <w:pPr>
        <w:ind w:firstLine="708"/>
        <w:rPr>
          <w:color w:val="000000"/>
          <w:szCs w:val="28"/>
        </w:rPr>
      </w:pPr>
      <w:r w:rsidRPr="009D5DEE">
        <w:rPr>
          <w:color w:val="000000"/>
          <w:szCs w:val="28"/>
        </w:rPr>
        <w:t>Из таблицы видно, что по ряду Объектов оценки (здания, жилые и нежилые помещения), содержащихся в Перечне, представленном Росреестром, величины удельных показателей действующей КС соответствующих границам интервалов не поддаются логическому объяснению и противоречат логике ценообразования. Это может быть объяснено ошибками выгрузки данных Россрестра в Перечень. Данные новой ГКО подобных выбросов не содержат.</w:t>
      </w:r>
    </w:p>
    <w:p w14:paraId="455897C8" w14:textId="77777777" w:rsidR="009D5DEE" w:rsidRPr="009D5DEE" w:rsidRDefault="009D5DEE" w:rsidP="009D5DEE">
      <w:pPr>
        <w:ind w:firstLine="708"/>
        <w:rPr>
          <w:rFonts w:eastAsia="Times New Roman" w:cs="Times New Roman"/>
          <w:color w:val="000000"/>
          <w:szCs w:val="28"/>
          <w:lang w:eastAsia="ru-RU"/>
        </w:rPr>
      </w:pPr>
      <w:r w:rsidRPr="009D5DEE">
        <w:rPr>
          <w:rFonts w:eastAsia="Times New Roman" w:cs="Times New Roman"/>
          <w:color w:val="000000"/>
          <w:szCs w:val="28"/>
          <w:lang w:eastAsia="ru-RU"/>
        </w:rPr>
        <w:t>Объекты капитального строительства анализируются без учета прав на земельные участки, которые не представлены на рынке в виде самостоятельных объектов, в связи с чем, представленный анализ, по большей части, базируется на справочных показателях сметной стоимости строительства, на основании данных, представленных в Справочнике КО-ИНВЕСТ 2018, а также на сведениях, отраженных в различных нормативных документах, регламентирующих параметры застройки объектов соответствующего функционального назначения.</w:t>
      </w:r>
    </w:p>
    <w:p w14:paraId="72C3A493" w14:textId="35B0079A" w:rsidR="009D5DEE" w:rsidRPr="009D5DEE" w:rsidRDefault="009D5DEE" w:rsidP="009D5DEE">
      <w:pPr>
        <w:ind w:firstLine="708"/>
        <w:rPr>
          <w:rFonts w:cs="Times New Roman"/>
          <w:szCs w:val="28"/>
        </w:rPr>
      </w:pPr>
      <w:r w:rsidRPr="009D5DEE">
        <w:rPr>
          <w:rFonts w:eastAsia="Times New Roman" w:cs="Times New Roman"/>
          <w:color w:val="000000"/>
          <w:szCs w:val="28"/>
          <w:lang w:eastAsia="ru-RU"/>
        </w:rPr>
        <w:t>В предыдущем туре оценки, Объекты малоэтажной жилой застройки, в том числе индивидуальной застройки были отнесены к двум различным группам, к 2 (объекты малоэтажной жилой застройки) и 4 (объекты садового, огородного, дачного с</w:t>
      </w:r>
      <w:r w:rsidR="003F62B8">
        <w:rPr>
          <w:rFonts w:eastAsia="Times New Roman" w:cs="Times New Roman"/>
          <w:color w:val="000000"/>
          <w:szCs w:val="28"/>
          <w:lang w:eastAsia="ru-RU"/>
        </w:rPr>
        <w:t xml:space="preserve">троительства), соответственно. </w:t>
      </w:r>
      <w:r w:rsidRPr="009D5DEE">
        <w:rPr>
          <w:rFonts w:eastAsia="Times New Roman" w:cs="Times New Roman"/>
          <w:color w:val="000000"/>
          <w:szCs w:val="28"/>
          <w:lang w:eastAsia="ru-RU"/>
        </w:rPr>
        <w:t>Государственная кадастровая оценка от 01.01.2019 г. для 2 группы, согласно Методических указаний, предполагает объединение данных групп в одну – 2, используется затратный метод. Во внимание принимаются общие характеристики по району: статус населенного пункта, и т.д.  и индивидуальные: износ, процент готовности, год введения в эксплуатацию, год постройки, материал стен и т.д.</w:t>
      </w:r>
      <w:r w:rsidRPr="009D5DEE">
        <w:rPr>
          <w:rFonts w:cs="Times New Roman"/>
          <w:szCs w:val="28"/>
        </w:rPr>
        <w:t xml:space="preserve"> Также 5 группа «Объекты временного проживания, включая рекреационно-оздоровительного назначения» ранее были отнесены к двум группам 6 (Объекты, предназначенные для временного проживания) и 8 (объекты рекреационного назначения).</w:t>
      </w:r>
    </w:p>
    <w:p w14:paraId="568DA233" w14:textId="77777777" w:rsidR="009D5DEE" w:rsidRPr="009D5DEE" w:rsidRDefault="009D5DEE" w:rsidP="009D5DEE">
      <w:pPr>
        <w:ind w:firstLine="708"/>
        <w:rPr>
          <w:rFonts w:cs="Times New Roman"/>
          <w:szCs w:val="28"/>
        </w:rPr>
      </w:pPr>
      <w:r w:rsidRPr="009D5DEE">
        <w:rPr>
          <w:rFonts w:cs="Times New Roman"/>
          <w:szCs w:val="28"/>
        </w:rPr>
        <w:t>В отношении каждой рассматриваемой функциональной группы в целом можно обозначить следующие основные показатели, характеризующие стоимость (или непосредственным образом влияющие на стоимость) объектов капитального строительства к ней относящихся:</w:t>
      </w:r>
    </w:p>
    <w:p w14:paraId="12944FAE" w14:textId="77777777" w:rsidR="009D5DEE" w:rsidRPr="009D5DEE" w:rsidRDefault="009D5DEE" w:rsidP="009D5DEE">
      <w:pPr>
        <w:ind w:firstLine="708"/>
        <w:rPr>
          <w:rFonts w:cs="Times New Roman"/>
          <w:szCs w:val="28"/>
        </w:rPr>
      </w:pPr>
      <w:r w:rsidRPr="009D5DEE">
        <w:rPr>
          <w:rFonts w:cs="Times New Roman"/>
          <w:szCs w:val="28"/>
        </w:rPr>
        <w:t>1)</w:t>
      </w:r>
      <w:r w:rsidRPr="009D5DEE">
        <w:rPr>
          <w:rFonts w:cs="Times New Roman"/>
          <w:szCs w:val="28"/>
        </w:rPr>
        <w:tab/>
        <w:t>Уровень предпринимательской прибыли, расчет которой был произведен в соответствии Методическими указаниями, находится в диапазоне.</w:t>
      </w:r>
    </w:p>
    <w:p w14:paraId="5EC16ED2" w14:textId="77777777" w:rsidR="009D5DEE" w:rsidRPr="009D5DEE" w:rsidRDefault="009D5DEE" w:rsidP="009D5DEE">
      <w:pPr>
        <w:ind w:firstLine="708"/>
        <w:rPr>
          <w:rFonts w:cs="Times New Roman"/>
          <w:szCs w:val="28"/>
        </w:rPr>
      </w:pPr>
      <w:r w:rsidRPr="009D5DEE">
        <w:rPr>
          <w:rFonts w:cs="Times New Roman"/>
          <w:szCs w:val="28"/>
        </w:rPr>
        <w:t>2)</w:t>
      </w:r>
      <w:r w:rsidRPr="009D5DEE">
        <w:rPr>
          <w:rFonts w:cs="Times New Roman"/>
          <w:szCs w:val="28"/>
        </w:rPr>
        <w:tab/>
        <w:t xml:space="preserve">Медианное значение по годам постройки объектов (в расчет принимаются только объекты, данные о годе постройки которых были предоставлены для проведения работ по оценке) рассматриваемой функциональной группы. Среднее расчетное значение физического износа (с учетом допущений, сделанных в соответствующих разделах настоящего Отчета). </w:t>
      </w:r>
    </w:p>
    <w:p w14:paraId="0F0E70D2" w14:textId="52D131D5" w:rsidR="00E215D0" w:rsidRDefault="009D5DEE" w:rsidP="009D5DEE">
      <w:pPr>
        <w:rPr>
          <w:rFonts w:cs="Times New Roman"/>
          <w:szCs w:val="28"/>
        </w:rPr>
      </w:pPr>
      <w:r w:rsidRPr="009D5DEE">
        <w:rPr>
          <w:rFonts w:cs="Times New Roman"/>
          <w:szCs w:val="28"/>
        </w:rPr>
        <w:t>Увеличение показателей связано с изменениями в методологии расчетов кадастровой деятельности  объектов капитального строительства приближенными к рыночной стоимости (ранее кадастровая стоимость определялась по сборнику укрупнённых показателей восстановительной стоимости, которая больше не применяется в оценке), также по отношению объектов, поставленных на учет 2012 года, применяли минимальные удельные показатели кадастровой стоимости по кварталу (всему району), которые входили объекты разного функционального назначения.</w:t>
      </w:r>
    </w:p>
    <w:p w14:paraId="3E71A8EC" w14:textId="77777777" w:rsidR="00A612AA" w:rsidRDefault="00A612AA" w:rsidP="009D5DEE"/>
    <w:p w14:paraId="0A9AC357" w14:textId="5AC04160" w:rsidR="00E215D0" w:rsidRDefault="00E215D0" w:rsidP="00E215D0">
      <w:r>
        <w:t xml:space="preserve">В рамках заключительного этапа проведения работ по государственной кадастровой оценки </w:t>
      </w:r>
      <w:r w:rsidR="006E7F65">
        <w:t>объектов недвижимости, за исключением земельных участков</w:t>
      </w:r>
      <w:r>
        <w:t xml:space="preserve"> был проведен анализ минимальных, средних и максимальных удельных показателей кадастровой стоимости. </w:t>
      </w:r>
    </w:p>
    <w:p w14:paraId="2D2DE5D9" w14:textId="77777777" w:rsidR="009D5DEE" w:rsidRDefault="009D5DEE" w:rsidP="00E215D0"/>
    <w:p w14:paraId="6E449221" w14:textId="77777777" w:rsidR="00E215D0" w:rsidRDefault="00E215D0" w:rsidP="00516A75">
      <w:r>
        <w:t>Вычисление показателей УПКС производилось с использованием стандартного программного обеспечения MS Excel.</w:t>
      </w:r>
    </w:p>
    <w:p w14:paraId="5C79A90B" w14:textId="4FC20AEA" w:rsidR="00757F88" w:rsidRDefault="00E215D0" w:rsidP="00516A75">
      <w:r>
        <w:t>Обобщенные показатели результатов расчета кадастровой стоимости земельных участков</w:t>
      </w:r>
    </w:p>
    <w:p w14:paraId="0B70BF47" w14:textId="77777777" w:rsidR="00D36CC5" w:rsidRPr="00D36CC5" w:rsidRDefault="00D36CC5" w:rsidP="00516A75">
      <w:pPr>
        <w:rPr>
          <w:rFonts w:cs="Times New Roman"/>
          <w:szCs w:val="24"/>
        </w:rPr>
      </w:pPr>
      <w:r w:rsidRPr="00D36CC5">
        <w:rPr>
          <w:rFonts w:cs="Times New Roman"/>
          <w:szCs w:val="24"/>
        </w:rPr>
        <w:t xml:space="preserve">В процессе выполнения работ дополнительно проводилась проверка с использованием результатов оценочного зонирования. Описание проведенного оценочного зонирвоания представлено в пп.1.2.3 настоящего Отчета. Оценочное зонирование проведено для группы объектов недвижимости, для которой существует достаточная рыночная информация, т.е. для группы 1 «Многоквартирные дома (дома средне- и многоэтажной жилой застройки)» (помещения). </w:t>
      </w:r>
    </w:p>
    <w:p w14:paraId="7F66BE76" w14:textId="77777777" w:rsidR="00D36CC5" w:rsidRPr="00D36CC5" w:rsidRDefault="00D36CC5" w:rsidP="00516A75">
      <w:pPr>
        <w:rPr>
          <w:rFonts w:cs="Times New Roman"/>
          <w:szCs w:val="24"/>
        </w:rPr>
      </w:pPr>
      <w:r w:rsidRPr="00D36CC5">
        <w:rPr>
          <w:rFonts w:cs="Times New Roman"/>
          <w:szCs w:val="24"/>
        </w:rPr>
        <w:t>Схемы ценовых зон с удельными показателями средних рыночных цен в расчете на единицу площади типового объекта недвижимости представлены в пп. 1.2.3 настоящего Отчета и в Приложении к Отчету.</w:t>
      </w:r>
    </w:p>
    <w:p w14:paraId="23A5B380" w14:textId="77777777" w:rsidR="00D36CC5" w:rsidRPr="00D36CC5" w:rsidRDefault="00D36CC5" w:rsidP="00516A75">
      <w:pPr>
        <w:rPr>
          <w:rFonts w:cs="Times New Roman"/>
          <w:szCs w:val="24"/>
        </w:rPr>
      </w:pPr>
      <w:r w:rsidRPr="00D36CC5">
        <w:rPr>
          <w:rFonts w:cs="Times New Roman"/>
          <w:szCs w:val="24"/>
        </w:rPr>
        <w:t xml:space="preserve">Результаты оценки для 1 группы «Многоквартирные дома (дома средне- и многоэтажной жилой застройки)» (помещения) в форме тематичеких карт представлены далее на рисунках в настоящем разделе Отчета и были проверены на соответствие результатам оценочного зонирования. </w:t>
      </w:r>
    </w:p>
    <w:p w14:paraId="26E3E814" w14:textId="77777777" w:rsidR="00D36CC5" w:rsidRPr="00D36CC5" w:rsidRDefault="00D36CC5" w:rsidP="00516A75">
      <w:pPr>
        <w:rPr>
          <w:rFonts w:cs="Times New Roman"/>
          <w:szCs w:val="24"/>
        </w:rPr>
      </w:pPr>
      <w:r w:rsidRPr="00D36CC5">
        <w:rPr>
          <w:rFonts w:cs="Times New Roman"/>
          <w:szCs w:val="24"/>
        </w:rPr>
        <w:t xml:space="preserve">Проверка результатов определения кадастровой стоимости с использованием результатов оценочного зонирования территории выполняется с целью выявления результатов оценки, существенно отличающихся от уровня рыночных цен. </w:t>
      </w:r>
    </w:p>
    <w:p w14:paraId="104B120C" w14:textId="77777777" w:rsidR="00D36CC5" w:rsidRPr="00D36CC5" w:rsidRDefault="00D36CC5" w:rsidP="00516A75">
      <w:pPr>
        <w:rPr>
          <w:rFonts w:cs="Times New Roman"/>
          <w:szCs w:val="24"/>
        </w:rPr>
      </w:pPr>
      <w:r w:rsidRPr="00D36CC5">
        <w:rPr>
          <w:rFonts w:cs="Times New Roman"/>
          <w:szCs w:val="24"/>
        </w:rPr>
        <w:t>Согласно проведенному оценочному зонированию рыночная стоимость объектов недвижимости для 1 группы «Многоквартирные дома (дома средне- и многоэтажной жилой застройки)» (помещения) соответствует данным рынка, что указывает на корректность проведенных расчетов.</w:t>
      </w:r>
    </w:p>
    <w:p w14:paraId="2B00147A" w14:textId="77777777" w:rsidR="00D36CC5" w:rsidRPr="00D36CC5" w:rsidRDefault="00D36CC5" w:rsidP="00516A75">
      <w:pPr>
        <w:rPr>
          <w:rFonts w:cs="Times New Roman"/>
          <w:szCs w:val="24"/>
        </w:rPr>
      </w:pPr>
      <w:r w:rsidRPr="00D36CC5">
        <w:rPr>
          <w:rFonts w:cs="Times New Roman"/>
          <w:szCs w:val="24"/>
        </w:rPr>
        <w:t>Незначительное расхождение диапазонов значений рассчитанной кадастровой стоимости с ценами рынка обусловлено влиянием следующих факторов:</w:t>
      </w:r>
    </w:p>
    <w:p w14:paraId="3D1E560D" w14:textId="77777777" w:rsidR="00D36CC5" w:rsidRPr="00D36CC5" w:rsidRDefault="00D36CC5" w:rsidP="00516A75">
      <w:pPr>
        <w:rPr>
          <w:rFonts w:cs="Times New Roman"/>
          <w:szCs w:val="24"/>
        </w:rPr>
      </w:pPr>
      <w:r w:rsidRPr="00D36CC5">
        <w:rPr>
          <w:rFonts w:cs="Times New Roman"/>
          <w:szCs w:val="24"/>
        </w:rPr>
        <w:t>- сделки по объектам недвижимости не всегда совершаются по условиям, заявленным в предложениях на открытом рынке;</w:t>
      </w:r>
    </w:p>
    <w:p w14:paraId="4FD8005F" w14:textId="77777777" w:rsidR="00D36CC5" w:rsidRPr="00D36CC5" w:rsidRDefault="00D36CC5" w:rsidP="00516A75">
      <w:pPr>
        <w:rPr>
          <w:rFonts w:cs="Times New Roman"/>
          <w:szCs w:val="24"/>
        </w:rPr>
      </w:pPr>
      <w:r w:rsidRPr="00D36CC5">
        <w:rPr>
          <w:rFonts w:cs="Times New Roman"/>
          <w:szCs w:val="24"/>
        </w:rPr>
        <w:t>- рыночная стоимость, в отличие от кадастровой, может содержать в себе влияние специфических индивидуальных характеристик объекта;</w:t>
      </w:r>
    </w:p>
    <w:p w14:paraId="3E754152" w14:textId="76DD84B1" w:rsidR="00A612AA" w:rsidRDefault="00D36CC5" w:rsidP="006E7F65">
      <w:pPr>
        <w:rPr>
          <w:rFonts w:cs="Times New Roman"/>
          <w:szCs w:val="24"/>
        </w:rPr>
      </w:pPr>
      <w:r w:rsidRPr="00D36CC5">
        <w:rPr>
          <w:rFonts w:cs="Times New Roman"/>
          <w:szCs w:val="24"/>
        </w:rPr>
        <w:t>- выборки объектов оценки и об</w:t>
      </w:r>
      <w:r w:rsidR="006E7F65">
        <w:rPr>
          <w:rFonts w:cs="Times New Roman"/>
          <w:szCs w:val="24"/>
        </w:rPr>
        <w:t>ъектов аналогов нетождественны.</w:t>
      </w:r>
    </w:p>
    <w:p w14:paraId="7CA21950" w14:textId="17514EFF" w:rsidR="00A612AA" w:rsidRPr="00A612AA" w:rsidRDefault="00A612AA" w:rsidP="00A612AA">
      <w:pPr>
        <w:spacing w:after="120"/>
        <w:ind w:firstLine="0"/>
        <w:jc w:val="center"/>
        <w:rPr>
          <w:rFonts w:eastAsia="SimSun, 宋体" w:cs="Times New Roman"/>
          <w:b/>
          <w:i/>
          <w:caps/>
          <w:sz w:val="28"/>
          <w:szCs w:val="24"/>
          <w:lang w:eastAsia="ru-RU"/>
        </w:rPr>
      </w:pPr>
      <w:r w:rsidRPr="00D36CC5">
        <w:rPr>
          <w:rFonts w:eastAsia="Times New Roman" w:cs="Times New Roman"/>
          <w:i/>
          <w:szCs w:val="24"/>
          <w:lang w:eastAsia="ru-RU"/>
        </w:rPr>
        <w:t xml:space="preserve">Таблица </w:t>
      </w:r>
      <w:r w:rsidRPr="00D36CC5">
        <w:rPr>
          <w:rFonts w:eastAsia="Times New Roman" w:cs="Times New Roman"/>
          <w:i/>
          <w:szCs w:val="24"/>
          <w:lang w:eastAsia="ru-RU"/>
        </w:rPr>
        <w:fldChar w:fldCharType="begin"/>
      </w:r>
      <w:r w:rsidRPr="00D36CC5">
        <w:rPr>
          <w:rFonts w:eastAsia="Times New Roman" w:cs="Times New Roman"/>
          <w:i/>
          <w:szCs w:val="24"/>
          <w:lang w:eastAsia="ru-RU"/>
        </w:rPr>
        <w:instrText xml:space="preserve"> SEQ Таблица \* ARABIC </w:instrText>
      </w:r>
      <w:r w:rsidRPr="00D36CC5">
        <w:rPr>
          <w:rFonts w:eastAsia="Times New Roman" w:cs="Times New Roman"/>
          <w:i/>
          <w:szCs w:val="24"/>
          <w:lang w:eastAsia="ru-RU"/>
        </w:rPr>
        <w:fldChar w:fldCharType="separate"/>
      </w:r>
      <w:r w:rsidR="00FD2769">
        <w:rPr>
          <w:rFonts w:eastAsia="Times New Roman" w:cs="Times New Roman"/>
          <w:i/>
          <w:noProof/>
          <w:szCs w:val="24"/>
          <w:lang w:eastAsia="ru-RU"/>
        </w:rPr>
        <w:t>82</w:t>
      </w:r>
      <w:r w:rsidRPr="00D36CC5">
        <w:rPr>
          <w:rFonts w:eastAsia="Times New Roman" w:cs="Times New Roman"/>
          <w:i/>
          <w:szCs w:val="24"/>
          <w:lang w:eastAsia="ru-RU"/>
        </w:rPr>
        <w:fldChar w:fldCharType="end"/>
      </w:r>
      <w:r w:rsidRPr="00D36CC5">
        <w:rPr>
          <w:rFonts w:eastAsia="Times New Roman" w:cs="Times New Roman"/>
          <w:i/>
          <w:szCs w:val="24"/>
          <w:lang w:eastAsia="ru-RU"/>
        </w:rPr>
        <w:t xml:space="preserve"> </w:t>
      </w:r>
      <w:r>
        <w:rPr>
          <w:rFonts w:eastAsia="SimSun, 宋体" w:cs="Times New Roman"/>
          <w:i/>
          <w:szCs w:val="24"/>
          <w:lang w:eastAsia="ru-RU"/>
        </w:rPr>
        <w:t>Ценовое зонирование 1 группы в г.Якутске</w:t>
      </w:r>
      <w:r w:rsidR="00AF7E6F">
        <w:rPr>
          <w:rFonts w:eastAsia="SimSun, 宋体" w:cs="Times New Roman"/>
          <w:i/>
          <w:szCs w:val="24"/>
          <w:lang w:eastAsia="ru-RU"/>
        </w:rPr>
        <w:t xml:space="preserve"> (для единых объектов недвижимости)</w:t>
      </w:r>
      <w:r w:rsidRPr="00A612AA">
        <w:rPr>
          <w:rFonts w:eastAsia="SimSun, 宋体" w:cs="Times New Roman"/>
          <w:i/>
          <w:szCs w:val="24"/>
          <w:lang w:eastAsia="ru-RU"/>
        </w:rPr>
        <w:t>.</w:t>
      </w:r>
    </w:p>
    <w:tbl>
      <w:tblPr>
        <w:tblW w:w="4940" w:type="pct"/>
        <w:tblInd w:w="113" w:type="dxa"/>
        <w:tblLook w:val="04A0" w:firstRow="1" w:lastRow="0" w:firstColumn="1" w:lastColumn="0" w:noHBand="0" w:noVBand="1"/>
      </w:tblPr>
      <w:tblGrid>
        <w:gridCol w:w="2292"/>
        <w:gridCol w:w="2611"/>
        <w:gridCol w:w="2587"/>
        <w:gridCol w:w="1745"/>
      </w:tblGrid>
      <w:tr w:rsidR="00D36CC5" w:rsidRPr="00D36CC5" w14:paraId="09979DAE" w14:textId="77777777" w:rsidTr="006E7F65">
        <w:trPr>
          <w:cantSplit/>
        </w:trPr>
        <w:tc>
          <w:tcPr>
            <w:tcW w:w="2292" w:type="dxa"/>
            <w:tcBorders>
              <w:top w:val="single" w:sz="4" w:space="0" w:color="auto"/>
              <w:left w:val="single" w:sz="4" w:space="0" w:color="auto"/>
              <w:bottom w:val="single" w:sz="4" w:space="0" w:color="auto"/>
              <w:right w:val="single" w:sz="4" w:space="0" w:color="auto"/>
            </w:tcBorders>
            <w:shd w:val="clear" w:color="000000" w:fill="BFBFBF"/>
            <w:vAlign w:val="center"/>
            <w:hideMark/>
          </w:tcPr>
          <w:p w14:paraId="61CB54D6" w14:textId="77777777" w:rsidR="00D36CC5" w:rsidRPr="00D36CC5" w:rsidRDefault="00D36CC5" w:rsidP="003C7B93">
            <w:pPr>
              <w:ind w:firstLine="0"/>
              <w:rPr>
                <w:b/>
                <w:color w:val="000000"/>
              </w:rPr>
            </w:pPr>
            <w:r w:rsidRPr="00D36CC5">
              <w:rPr>
                <w:b/>
                <w:color w:val="000000"/>
              </w:rPr>
              <w:t>Ценовая зона</w:t>
            </w:r>
          </w:p>
        </w:tc>
        <w:tc>
          <w:tcPr>
            <w:tcW w:w="2611" w:type="dxa"/>
            <w:tcBorders>
              <w:top w:val="single" w:sz="4" w:space="0" w:color="auto"/>
              <w:left w:val="nil"/>
              <w:bottom w:val="single" w:sz="4" w:space="0" w:color="auto"/>
              <w:right w:val="single" w:sz="4" w:space="0" w:color="auto"/>
            </w:tcBorders>
            <w:shd w:val="clear" w:color="000000" w:fill="BFBFBF"/>
            <w:vAlign w:val="center"/>
            <w:hideMark/>
          </w:tcPr>
          <w:p w14:paraId="50827414" w14:textId="77777777" w:rsidR="00D36CC5" w:rsidRPr="00D36CC5" w:rsidRDefault="00D36CC5" w:rsidP="003C7B93">
            <w:pPr>
              <w:ind w:firstLine="0"/>
              <w:rPr>
                <w:b/>
                <w:color w:val="000000"/>
              </w:rPr>
            </w:pPr>
            <w:r w:rsidRPr="00D36CC5">
              <w:rPr>
                <w:b/>
                <w:color w:val="000000"/>
              </w:rPr>
              <w:t>Минимальная цена</w:t>
            </w:r>
          </w:p>
        </w:tc>
        <w:tc>
          <w:tcPr>
            <w:tcW w:w="2587" w:type="dxa"/>
            <w:tcBorders>
              <w:top w:val="single" w:sz="4" w:space="0" w:color="auto"/>
              <w:left w:val="nil"/>
              <w:bottom w:val="single" w:sz="4" w:space="0" w:color="auto"/>
              <w:right w:val="single" w:sz="4" w:space="0" w:color="auto"/>
            </w:tcBorders>
            <w:shd w:val="clear" w:color="000000" w:fill="BFBFBF"/>
            <w:vAlign w:val="center"/>
            <w:hideMark/>
          </w:tcPr>
          <w:p w14:paraId="37ABF10B" w14:textId="77777777" w:rsidR="00D36CC5" w:rsidRPr="00D36CC5" w:rsidRDefault="00D36CC5" w:rsidP="003C7B93">
            <w:pPr>
              <w:ind w:firstLine="0"/>
              <w:rPr>
                <w:b/>
                <w:color w:val="000000"/>
              </w:rPr>
            </w:pPr>
            <w:r w:rsidRPr="00D36CC5">
              <w:rPr>
                <w:b/>
                <w:color w:val="000000"/>
              </w:rPr>
              <w:t>Максимальная цена</w:t>
            </w:r>
          </w:p>
        </w:tc>
        <w:tc>
          <w:tcPr>
            <w:tcW w:w="1745" w:type="dxa"/>
            <w:tcBorders>
              <w:top w:val="single" w:sz="4" w:space="0" w:color="auto"/>
              <w:left w:val="nil"/>
              <w:bottom w:val="single" w:sz="4" w:space="0" w:color="auto"/>
              <w:right w:val="single" w:sz="4" w:space="0" w:color="auto"/>
            </w:tcBorders>
            <w:shd w:val="clear" w:color="000000" w:fill="BFBFBF"/>
            <w:vAlign w:val="center"/>
            <w:hideMark/>
          </w:tcPr>
          <w:p w14:paraId="5A4AFB4D" w14:textId="77777777" w:rsidR="00D36CC5" w:rsidRPr="00D36CC5" w:rsidRDefault="00D36CC5" w:rsidP="003C7B93">
            <w:pPr>
              <w:ind w:firstLine="0"/>
              <w:rPr>
                <w:b/>
                <w:color w:val="000000"/>
              </w:rPr>
            </w:pPr>
            <w:r w:rsidRPr="00D36CC5">
              <w:rPr>
                <w:b/>
                <w:color w:val="000000"/>
              </w:rPr>
              <w:t>Средняя цена</w:t>
            </w:r>
          </w:p>
        </w:tc>
      </w:tr>
      <w:tr w:rsidR="00D36CC5" w:rsidRPr="00D36CC5" w14:paraId="29CB8501" w14:textId="77777777" w:rsidTr="006E7F65">
        <w:trPr>
          <w:cantSplit/>
          <w:trHeight w:val="20"/>
        </w:trPr>
        <w:tc>
          <w:tcPr>
            <w:tcW w:w="2292" w:type="dxa"/>
            <w:tcBorders>
              <w:top w:val="nil"/>
              <w:left w:val="single" w:sz="4" w:space="0" w:color="auto"/>
              <w:bottom w:val="single" w:sz="4" w:space="0" w:color="auto"/>
              <w:right w:val="single" w:sz="4" w:space="0" w:color="auto"/>
            </w:tcBorders>
            <w:shd w:val="clear" w:color="auto" w:fill="auto"/>
            <w:noWrap/>
            <w:vAlign w:val="center"/>
            <w:hideMark/>
          </w:tcPr>
          <w:p w14:paraId="1888D47C" w14:textId="77777777" w:rsidR="00D36CC5" w:rsidRPr="00D36CC5" w:rsidRDefault="00D36CC5" w:rsidP="003C7B93">
            <w:pPr>
              <w:suppressAutoHyphens/>
              <w:ind w:firstLine="0"/>
              <w:jc w:val="center"/>
              <w:rPr>
                <w:color w:val="000000"/>
              </w:rPr>
            </w:pPr>
            <w:r w:rsidRPr="00D36CC5">
              <w:rPr>
                <w:color w:val="000000"/>
              </w:rPr>
              <w:t>1 зона</w:t>
            </w:r>
          </w:p>
        </w:tc>
        <w:tc>
          <w:tcPr>
            <w:tcW w:w="2611" w:type="dxa"/>
            <w:tcBorders>
              <w:top w:val="nil"/>
              <w:left w:val="nil"/>
              <w:bottom w:val="single" w:sz="4" w:space="0" w:color="auto"/>
              <w:right w:val="single" w:sz="4" w:space="0" w:color="auto"/>
            </w:tcBorders>
            <w:shd w:val="clear" w:color="auto" w:fill="auto"/>
            <w:noWrap/>
            <w:vAlign w:val="bottom"/>
            <w:hideMark/>
          </w:tcPr>
          <w:p w14:paraId="544C5C55" w14:textId="77777777" w:rsidR="00D36CC5" w:rsidRPr="00D36CC5" w:rsidRDefault="00D36CC5" w:rsidP="003C7B93">
            <w:pPr>
              <w:ind w:firstLine="0"/>
              <w:jc w:val="center"/>
              <w:rPr>
                <w:color w:val="000000"/>
              </w:rPr>
            </w:pPr>
            <w:r w:rsidRPr="00D36CC5">
              <w:rPr>
                <w:color w:val="000000"/>
              </w:rPr>
              <w:t>52210</w:t>
            </w:r>
          </w:p>
        </w:tc>
        <w:tc>
          <w:tcPr>
            <w:tcW w:w="2587" w:type="dxa"/>
            <w:tcBorders>
              <w:top w:val="nil"/>
              <w:left w:val="nil"/>
              <w:bottom w:val="single" w:sz="4" w:space="0" w:color="auto"/>
              <w:right w:val="single" w:sz="4" w:space="0" w:color="auto"/>
            </w:tcBorders>
            <w:shd w:val="clear" w:color="auto" w:fill="auto"/>
            <w:noWrap/>
            <w:vAlign w:val="bottom"/>
            <w:hideMark/>
          </w:tcPr>
          <w:p w14:paraId="107F0711" w14:textId="77777777" w:rsidR="00D36CC5" w:rsidRPr="00D36CC5" w:rsidRDefault="00D36CC5" w:rsidP="003C7B93">
            <w:pPr>
              <w:ind w:firstLine="0"/>
              <w:jc w:val="center"/>
              <w:rPr>
                <w:color w:val="000000"/>
              </w:rPr>
            </w:pPr>
            <w:r w:rsidRPr="00D36CC5">
              <w:rPr>
                <w:color w:val="000000"/>
              </w:rPr>
              <w:t>135088</w:t>
            </w:r>
          </w:p>
        </w:tc>
        <w:tc>
          <w:tcPr>
            <w:tcW w:w="1745" w:type="dxa"/>
            <w:tcBorders>
              <w:top w:val="nil"/>
              <w:left w:val="nil"/>
              <w:bottom w:val="single" w:sz="4" w:space="0" w:color="auto"/>
              <w:right w:val="single" w:sz="4" w:space="0" w:color="auto"/>
            </w:tcBorders>
            <w:shd w:val="clear" w:color="auto" w:fill="auto"/>
            <w:noWrap/>
            <w:vAlign w:val="bottom"/>
            <w:hideMark/>
          </w:tcPr>
          <w:p w14:paraId="743ED703" w14:textId="77777777" w:rsidR="00D36CC5" w:rsidRPr="00D36CC5" w:rsidRDefault="00D36CC5" w:rsidP="003C7B93">
            <w:pPr>
              <w:ind w:firstLine="0"/>
              <w:jc w:val="center"/>
              <w:rPr>
                <w:color w:val="000000"/>
              </w:rPr>
            </w:pPr>
            <w:r w:rsidRPr="00D36CC5">
              <w:rPr>
                <w:color w:val="000000"/>
              </w:rPr>
              <w:t>84308</w:t>
            </w:r>
          </w:p>
        </w:tc>
      </w:tr>
      <w:tr w:rsidR="00D36CC5" w:rsidRPr="00D36CC5" w14:paraId="1EED0731" w14:textId="77777777" w:rsidTr="006E7F65">
        <w:trPr>
          <w:cantSplit/>
          <w:trHeight w:val="20"/>
        </w:trPr>
        <w:tc>
          <w:tcPr>
            <w:tcW w:w="2292" w:type="dxa"/>
            <w:tcBorders>
              <w:top w:val="nil"/>
              <w:left w:val="single" w:sz="4" w:space="0" w:color="auto"/>
              <w:bottom w:val="single" w:sz="4" w:space="0" w:color="auto"/>
              <w:right w:val="single" w:sz="4" w:space="0" w:color="auto"/>
            </w:tcBorders>
            <w:shd w:val="clear" w:color="auto" w:fill="auto"/>
            <w:noWrap/>
            <w:vAlign w:val="center"/>
            <w:hideMark/>
          </w:tcPr>
          <w:p w14:paraId="7FBA3507" w14:textId="77777777" w:rsidR="00D36CC5" w:rsidRPr="00D36CC5" w:rsidRDefault="00D36CC5" w:rsidP="003C7B93">
            <w:pPr>
              <w:suppressAutoHyphens/>
              <w:ind w:firstLine="0"/>
              <w:jc w:val="center"/>
              <w:rPr>
                <w:color w:val="000000"/>
              </w:rPr>
            </w:pPr>
            <w:r w:rsidRPr="00D36CC5">
              <w:rPr>
                <w:color w:val="000000"/>
              </w:rPr>
              <w:t>2 зона</w:t>
            </w:r>
          </w:p>
        </w:tc>
        <w:tc>
          <w:tcPr>
            <w:tcW w:w="2611" w:type="dxa"/>
            <w:tcBorders>
              <w:top w:val="nil"/>
              <w:left w:val="nil"/>
              <w:bottom w:val="single" w:sz="4" w:space="0" w:color="auto"/>
              <w:right w:val="single" w:sz="4" w:space="0" w:color="auto"/>
            </w:tcBorders>
            <w:shd w:val="clear" w:color="auto" w:fill="auto"/>
            <w:noWrap/>
            <w:vAlign w:val="center"/>
            <w:hideMark/>
          </w:tcPr>
          <w:p w14:paraId="25913A31" w14:textId="77777777" w:rsidR="00D36CC5" w:rsidRPr="00D36CC5" w:rsidRDefault="00D36CC5" w:rsidP="003C7B93">
            <w:pPr>
              <w:suppressAutoHyphens/>
              <w:ind w:firstLine="0"/>
              <w:jc w:val="center"/>
              <w:rPr>
                <w:color w:val="000000"/>
              </w:rPr>
            </w:pPr>
            <w:r w:rsidRPr="00D36CC5">
              <w:rPr>
                <w:color w:val="000000"/>
              </w:rPr>
              <w:t>24947</w:t>
            </w:r>
          </w:p>
        </w:tc>
        <w:tc>
          <w:tcPr>
            <w:tcW w:w="2587" w:type="dxa"/>
            <w:tcBorders>
              <w:top w:val="nil"/>
              <w:left w:val="nil"/>
              <w:bottom w:val="single" w:sz="4" w:space="0" w:color="auto"/>
              <w:right w:val="single" w:sz="4" w:space="0" w:color="auto"/>
            </w:tcBorders>
            <w:shd w:val="clear" w:color="auto" w:fill="auto"/>
            <w:noWrap/>
            <w:vAlign w:val="center"/>
            <w:hideMark/>
          </w:tcPr>
          <w:p w14:paraId="4F722BF6" w14:textId="77777777" w:rsidR="00D36CC5" w:rsidRPr="00D36CC5" w:rsidRDefault="00D36CC5" w:rsidP="003C7B93">
            <w:pPr>
              <w:suppressAutoHyphens/>
              <w:ind w:firstLine="0"/>
              <w:jc w:val="center"/>
              <w:rPr>
                <w:color w:val="000000"/>
              </w:rPr>
            </w:pPr>
            <w:r w:rsidRPr="00D36CC5">
              <w:rPr>
                <w:color w:val="000000"/>
              </w:rPr>
              <w:t>135078</w:t>
            </w:r>
          </w:p>
        </w:tc>
        <w:tc>
          <w:tcPr>
            <w:tcW w:w="1745" w:type="dxa"/>
            <w:tcBorders>
              <w:top w:val="nil"/>
              <w:left w:val="nil"/>
              <w:bottom w:val="single" w:sz="4" w:space="0" w:color="auto"/>
              <w:right w:val="single" w:sz="4" w:space="0" w:color="auto"/>
            </w:tcBorders>
            <w:shd w:val="clear" w:color="auto" w:fill="auto"/>
            <w:noWrap/>
            <w:vAlign w:val="center"/>
            <w:hideMark/>
          </w:tcPr>
          <w:p w14:paraId="6A0D651D" w14:textId="77777777" w:rsidR="00D36CC5" w:rsidRPr="00D36CC5" w:rsidRDefault="00D36CC5" w:rsidP="003C7B93">
            <w:pPr>
              <w:suppressAutoHyphens/>
              <w:ind w:firstLine="0"/>
              <w:jc w:val="center"/>
              <w:rPr>
                <w:color w:val="000000"/>
              </w:rPr>
            </w:pPr>
            <w:r w:rsidRPr="00D36CC5">
              <w:rPr>
                <w:color w:val="000000"/>
              </w:rPr>
              <w:t>76918</w:t>
            </w:r>
          </w:p>
        </w:tc>
      </w:tr>
      <w:tr w:rsidR="00D36CC5" w:rsidRPr="00D36CC5" w14:paraId="0FDBA1E7" w14:textId="77777777" w:rsidTr="003C7B93">
        <w:trPr>
          <w:cantSplit/>
          <w:trHeight w:val="122"/>
        </w:trPr>
        <w:tc>
          <w:tcPr>
            <w:tcW w:w="2292" w:type="dxa"/>
            <w:tcBorders>
              <w:top w:val="nil"/>
              <w:left w:val="single" w:sz="4" w:space="0" w:color="auto"/>
              <w:bottom w:val="single" w:sz="4" w:space="0" w:color="auto"/>
              <w:right w:val="single" w:sz="4" w:space="0" w:color="auto"/>
            </w:tcBorders>
            <w:shd w:val="clear" w:color="auto" w:fill="auto"/>
            <w:noWrap/>
            <w:vAlign w:val="center"/>
            <w:hideMark/>
          </w:tcPr>
          <w:p w14:paraId="0639ADBC" w14:textId="77777777" w:rsidR="00D36CC5" w:rsidRPr="00D36CC5" w:rsidRDefault="00D36CC5" w:rsidP="003C7B93">
            <w:pPr>
              <w:suppressAutoHyphens/>
              <w:ind w:firstLine="0"/>
              <w:jc w:val="center"/>
              <w:rPr>
                <w:color w:val="000000"/>
              </w:rPr>
            </w:pPr>
            <w:r w:rsidRPr="00D36CC5">
              <w:rPr>
                <w:color w:val="000000"/>
              </w:rPr>
              <w:t>3 зона</w:t>
            </w:r>
          </w:p>
        </w:tc>
        <w:tc>
          <w:tcPr>
            <w:tcW w:w="261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DCAAAFC" w14:textId="77777777" w:rsidR="00D36CC5" w:rsidRPr="00D36CC5" w:rsidRDefault="00D36CC5" w:rsidP="003C7B93">
            <w:pPr>
              <w:ind w:firstLine="0"/>
              <w:jc w:val="center"/>
              <w:rPr>
                <w:color w:val="000000"/>
              </w:rPr>
            </w:pPr>
            <w:r w:rsidRPr="00D36CC5">
              <w:rPr>
                <w:color w:val="000000"/>
              </w:rPr>
              <w:t>23554</w:t>
            </w:r>
          </w:p>
        </w:tc>
        <w:tc>
          <w:tcPr>
            <w:tcW w:w="2587" w:type="dxa"/>
            <w:tcBorders>
              <w:top w:val="single" w:sz="4" w:space="0" w:color="auto"/>
              <w:left w:val="nil"/>
              <w:bottom w:val="single" w:sz="4" w:space="0" w:color="auto"/>
              <w:right w:val="single" w:sz="4" w:space="0" w:color="auto"/>
            </w:tcBorders>
            <w:shd w:val="clear" w:color="auto" w:fill="auto"/>
            <w:noWrap/>
            <w:vAlign w:val="bottom"/>
            <w:hideMark/>
          </w:tcPr>
          <w:p w14:paraId="130E6D67" w14:textId="77777777" w:rsidR="00D36CC5" w:rsidRPr="00D36CC5" w:rsidRDefault="00D36CC5" w:rsidP="003C7B93">
            <w:pPr>
              <w:suppressAutoHyphens/>
              <w:autoSpaceDN w:val="0"/>
              <w:ind w:firstLine="0"/>
              <w:jc w:val="center"/>
              <w:textAlignment w:val="baseline"/>
              <w:rPr>
                <w:color w:val="000000"/>
              </w:rPr>
            </w:pPr>
            <w:r w:rsidRPr="00D36CC5">
              <w:rPr>
                <w:color w:val="000000"/>
              </w:rPr>
              <w:t>110941</w:t>
            </w:r>
          </w:p>
        </w:tc>
        <w:tc>
          <w:tcPr>
            <w:tcW w:w="1745" w:type="dxa"/>
            <w:tcBorders>
              <w:top w:val="single" w:sz="4" w:space="0" w:color="auto"/>
              <w:left w:val="nil"/>
              <w:bottom w:val="single" w:sz="4" w:space="0" w:color="auto"/>
              <w:right w:val="single" w:sz="4" w:space="0" w:color="auto"/>
            </w:tcBorders>
            <w:shd w:val="clear" w:color="auto" w:fill="auto"/>
            <w:noWrap/>
            <w:vAlign w:val="bottom"/>
            <w:hideMark/>
          </w:tcPr>
          <w:p w14:paraId="2B87B29B" w14:textId="77777777" w:rsidR="00D36CC5" w:rsidRPr="00D36CC5" w:rsidRDefault="00D36CC5" w:rsidP="003C7B93">
            <w:pPr>
              <w:suppressAutoHyphens/>
              <w:autoSpaceDN w:val="0"/>
              <w:ind w:firstLine="0"/>
              <w:jc w:val="center"/>
              <w:textAlignment w:val="baseline"/>
              <w:rPr>
                <w:color w:val="000000"/>
              </w:rPr>
            </w:pPr>
            <w:r w:rsidRPr="00D36CC5">
              <w:rPr>
                <w:color w:val="000000"/>
              </w:rPr>
              <w:t>61239</w:t>
            </w:r>
          </w:p>
        </w:tc>
      </w:tr>
    </w:tbl>
    <w:p w14:paraId="13EA3132" w14:textId="2564C862" w:rsidR="006E7F65" w:rsidRPr="00D36CC5" w:rsidRDefault="006E7F65" w:rsidP="00D36CC5">
      <w:pPr>
        <w:ind w:firstLine="0"/>
        <w:jc w:val="left"/>
        <w:rPr>
          <w:rFonts w:eastAsia="Times New Roman" w:cs="Times New Roman"/>
          <w:i/>
          <w:szCs w:val="28"/>
          <w:lang w:eastAsia="ru-RU"/>
        </w:rPr>
      </w:pPr>
    </w:p>
    <w:p w14:paraId="3B66F5EE" w14:textId="1A635E7E" w:rsidR="00D36CC5" w:rsidRPr="00A612AA" w:rsidRDefault="00D36CC5" w:rsidP="00A612AA">
      <w:pPr>
        <w:spacing w:after="120"/>
        <w:ind w:firstLine="0"/>
        <w:jc w:val="center"/>
        <w:rPr>
          <w:rFonts w:eastAsia="SimSun, 宋体" w:cs="Times New Roman"/>
          <w:b/>
          <w:i/>
          <w:caps/>
          <w:sz w:val="28"/>
          <w:szCs w:val="24"/>
          <w:lang w:eastAsia="ru-RU"/>
        </w:rPr>
      </w:pPr>
      <w:r w:rsidRPr="00D36CC5">
        <w:rPr>
          <w:rFonts w:eastAsia="Times New Roman" w:cs="Times New Roman"/>
          <w:i/>
          <w:szCs w:val="24"/>
          <w:lang w:eastAsia="ru-RU"/>
        </w:rPr>
        <w:t xml:space="preserve">Таблица </w:t>
      </w:r>
      <w:r w:rsidRPr="00D36CC5">
        <w:rPr>
          <w:rFonts w:eastAsia="Times New Roman" w:cs="Times New Roman"/>
          <w:i/>
          <w:szCs w:val="24"/>
          <w:lang w:eastAsia="ru-RU"/>
        </w:rPr>
        <w:fldChar w:fldCharType="begin"/>
      </w:r>
      <w:r w:rsidRPr="00D36CC5">
        <w:rPr>
          <w:rFonts w:eastAsia="Times New Roman" w:cs="Times New Roman"/>
          <w:i/>
          <w:szCs w:val="24"/>
          <w:lang w:eastAsia="ru-RU"/>
        </w:rPr>
        <w:instrText xml:space="preserve"> SEQ Таблица \* ARABIC </w:instrText>
      </w:r>
      <w:r w:rsidRPr="00D36CC5">
        <w:rPr>
          <w:rFonts w:eastAsia="Times New Roman" w:cs="Times New Roman"/>
          <w:i/>
          <w:szCs w:val="24"/>
          <w:lang w:eastAsia="ru-RU"/>
        </w:rPr>
        <w:fldChar w:fldCharType="separate"/>
      </w:r>
      <w:r w:rsidR="00FD2769">
        <w:rPr>
          <w:rFonts w:eastAsia="Times New Roman" w:cs="Times New Roman"/>
          <w:i/>
          <w:noProof/>
          <w:szCs w:val="24"/>
          <w:lang w:eastAsia="ru-RU"/>
        </w:rPr>
        <w:t>83</w:t>
      </w:r>
      <w:r w:rsidRPr="00D36CC5">
        <w:rPr>
          <w:rFonts w:eastAsia="Times New Roman" w:cs="Times New Roman"/>
          <w:i/>
          <w:szCs w:val="24"/>
          <w:lang w:eastAsia="ru-RU"/>
        </w:rPr>
        <w:fldChar w:fldCharType="end"/>
      </w:r>
      <w:r w:rsidRPr="00D36CC5">
        <w:rPr>
          <w:rFonts w:eastAsia="Times New Roman" w:cs="Times New Roman"/>
          <w:i/>
          <w:szCs w:val="24"/>
          <w:lang w:eastAsia="ru-RU"/>
        </w:rPr>
        <w:t xml:space="preserve"> </w:t>
      </w:r>
      <w:r w:rsidRPr="00A612AA">
        <w:rPr>
          <w:rFonts w:eastAsia="SimSun, 宋体" w:cs="Times New Roman"/>
          <w:i/>
          <w:szCs w:val="24"/>
          <w:lang w:eastAsia="ru-RU"/>
        </w:rPr>
        <w:t>Границы типовых зон определены кадастровыми кварталами.</w:t>
      </w:r>
    </w:p>
    <w:tbl>
      <w:tblPr>
        <w:tblW w:w="4940" w:type="pct"/>
        <w:tblInd w:w="113" w:type="dxa"/>
        <w:tblLook w:val="04A0" w:firstRow="1" w:lastRow="0" w:firstColumn="1" w:lastColumn="0" w:noHBand="0" w:noVBand="1"/>
      </w:tblPr>
      <w:tblGrid>
        <w:gridCol w:w="1147"/>
        <w:gridCol w:w="1258"/>
        <w:gridCol w:w="7043"/>
      </w:tblGrid>
      <w:tr w:rsidR="00D36CC5" w:rsidRPr="00D36CC5" w14:paraId="30AA5E9B" w14:textId="77777777" w:rsidTr="00A24B55">
        <w:trPr>
          <w:cantSplit/>
          <w:tblHeader/>
        </w:trPr>
        <w:tc>
          <w:tcPr>
            <w:tcW w:w="1176" w:type="dxa"/>
            <w:tcBorders>
              <w:top w:val="single" w:sz="4" w:space="0" w:color="auto"/>
              <w:left w:val="single" w:sz="4" w:space="0" w:color="auto"/>
              <w:bottom w:val="single" w:sz="4" w:space="0" w:color="auto"/>
              <w:right w:val="single" w:sz="4" w:space="0" w:color="auto"/>
            </w:tcBorders>
            <w:shd w:val="clear" w:color="000000" w:fill="BFBFBF"/>
          </w:tcPr>
          <w:p w14:paraId="77F585E5" w14:textId="77777777" w:rsidR="00D36CC5" w:rsidRPr="00D36CC5" w:rsidRDefault="00D36CC5" w:rsidP="003C7B93">
            <w:pPr>
              <w:ind w:firstLine="0"/>
              <w:rPr>
                <w:b/>
                <w:color w:val="000000"/>
              </w:rPr>
            </w:pPr>
            <w:r w:rsidRPr="00D36CC5">
              <w:rPr>
                <w:b/>
                <w:color w:val="000000"/>
              </w:rPr>
              <w:t>Ценовая зона</w:t>
            </w:r>
          </w:p>
        </w:tc>
        <w:tc>
          <w:tcPr>
            <w:tcW w:w="8059" w:type="dxa"/>
            <w:gridSpan w:val="2"/>
            <w:tcBorders>
              <w:top w:val="single" w:sz="4" w:space="0" w:color="auto"/>
              <w:left w:val="single" w:sz="4" w:space="0" w:color="auto"/>
              <w:bottom w:val="single" w:sz="4" w:space="0" w:color="auto"/>
              <w:right w:val="single" w:sz="4" w:space="0" w:color="auto"/>
            </w:tcBorders>
            <w:shd w:val="clear" w:color="000000" w:fill="BFBFBF"/>
            <w:vAlign w:val="center"/>
            <w:hideMark/>
          </w:tcPr>
          <w:p w14:paraId="211EAB9D" w14:textId="77777777" w:rsidR="00D36CC5" w:rsidRPr="00D36CC5" w:rsidRDefault="00D36CC5" w:rsidP="003C7B93">
            <w:pPr>
              <w:rPr>
                <w:b/>
                <w:color w:val="000000"/>
              </w:rPr>
            </w:pPr>
            <w:r w:rsidRPr="00D36CC5">
              <w:rPr>
                <w:b/>
                <w:color w:val="000000"/>
              </w:rPr>
              <w:t>Кадастровые квартала</w:t>
            </w:r>
          </w:p>
        </w:tc>
      </w:tr>
      <w:tr w:rsidR="00D36CC5" w:rsidRPr="00D36CC5" w14:paraId="62044CBD" w14:textId="77777777" w:rsidTr="00A24B55">
        <w:trPr>
          <w:cantSplit/>
        </w:trPr>
        <w:tc>
          <w:tcPr>
            <w:tcW w:w="1176" w:type="dxa"/>
            <w:tcBorders>
              <w:top w:val="nil"/>
              <w:left w:val="single" w:sz="4" w:space="0" w:color="auto"/>
              <w:bottom w:val="single" w:sz="4" w:space="0" w:color="auto"/>
              <w:right w:val="single" w:sz="4" w:space="0" w:color="auto"/>
            </w:tcBorders>
            <w:vAlign w:val="center"/>
          </w:tcPr>
          <w:p w14:paraId="12FC3F78" w14:textId="77777777" w:rsidR="00D36CC5" w:rsidRPr="00D36CC5" w:rsidRDefault="00D36CC5" w:rsidP="003C7B93">
            <w:pPr>
              <w:suppressAutoHyphens/>
              <w:ind w:firstLine="0"/>
              <w:jc w:val="center"/>
              <w:rPr>
                <w:color w:val="000000"/>
              </w:rPr>
            </w:pPr>
            <w:r w:rsidRPr="00D36CC5">
              <w:rPr>
                <w:color w:val="000000"/>
              </w:rPr>
              <w:t xml:space="preserve">1 </w:t>
            </w:r>
          </w:p>
        </w:tc>
        <w:tc>
          <w:tcPr>
            <w:tcW w:w="1258" w:type="dxa"/>
            <w:tcBorders>
              <w:top w:val="nil"/>
              <w:left w:val="single" w:sz="4" w:space="0" w:color="auto"/>
              <w:bottom w:val="single" w:sz="4" w:space="0" w:color="auto"/>
              <w:right w:val="single" w:sz="4" w:space="0" w:color="auto"/>
            </w:tcBorders>
            <w:shd w:val="clear" w:color="auto" w:fill="auto"/>
            <w:noWrap/>
            <w:vAlign w:val="center"/>
            <w:hideMark/>
          </w:tcPr>
          <w:p w14:paraId="721BAC4B" w14:textId="77777777" w:rsidR="00D36CC5" w:rsidRPr="00D36CC5" w:rsidRDefault="00D36CC5" w:rsidP="003C7B93">
            <w:pPr>
              <w:suppressAutoHyphens/>
              <w:ind w:firstLine="0"/>
              <w:jc w:val="center"/>
              <w:rPr>
                <w:color w:val="000000"/>
              </w:rPr>
            </w:pPr>
            <w:r w:rsidRPr="00D36CC5">
              <w:rPr>
                <w:color w:val="000000"/>
              </w:rPr>
              <w:t>14:36:105</w:t>
            </w:r>
          </w:p>
        </w:tc>
        <w:tc>
          <w:tcPr>
            <w:tcW w:w="6801" w:type="dxa"/>
            <w:tcBorders>
              <w:top w:val="nil"/>
              <w:left w:val="nil"/>
              <w:bottom w:val="single" w:sz="4" w:space="0" w:color="auto"/>
              <w:right w:val="single" w:sz="4" w:space="0" w:color="auto"/>
            </w:tcBorders>
            <w:shd w:val="clear" w:color="auto" w:fill="auto"/>
            <w:noWrap/>
            <w:vAlign w:val="bottom"/>
            <w:hideMark/>
          </w:tcPr>
          <w:p w14:paraId="1C0B2221" w14:textId="77777777" w:rsidR="00A24B55" w:rsidRDefault="00A24B55" w:rsidP="003C7B93">
            <w:pPr>
              <w:ind w:firstLine="0"/>
              <w:jc w:val="center"/>
              <w:rPr>
                <w:color w:val="000000"/>
              </w:rPr>
            </w:pPr>
            <w:r>
              <w:rPr>
                <w:color w:val="000000"/>
              </w:rPr>
              <w:t>011;013;017;018;019;021;022;</w:t>
            </w:r>
            <w:r w:rsidR="00D36CC5" w:rsidRPr="00D36CC5">
              <w:rPr>
                <w:color w:val="000000"/>
              </w:rPr>
              <w:t>0</w:t>
            </w:r>
            <w:r>
              <w:rPr>
                <w:color w:val="000000"/>
              </w:rPr>
              <w:t>24;025;026;027;028;029;031;032;</w:t>
            </w:r>
            <w:r w:rsidR="00D36CC5" w:rsidRPr="00D36CC5">
              <w:rPr>
                <w:color w:val="000000"/>
              </w:rPr>
              <w:t>034;</w:t>
            </w:r>
          </w:p>
          <w:p w14:paraId="2AADA0F3" w14:textId="074C7AAE" w:rsidR="00D36CC5" w:rsidRPr="00D36CC5" w:rsidRDefault="00D36CC5" w:rsidP="003C7B93">
            <w:pPr>
              <w:ind w:firstLine="0"/>
              <w:jc w:val="center"/>
              <w:rPr>
                <w:color w:val="000000"/>
              </w:rPr>
            </w:pPr>
            <w:r w:rsidRPr="00D36CC5">
              <w:rPr>
                <w:color w:val="000000"/>
              </w:rPr>
              <w:t xml:space="preserve">034;035;037;038;040;044;047;048:050:051 </w:t>
            </w:r>
          </w:p>
        </w:tc>
      </w:tr>
      <w:tr w:rsidR="00D36CC5" w:rsidRPr="00D36CC5" w14:paraId="38EBA210" w14:textId="77777777" w:rsidTr="00A24B55">
        <w:trPr>
          <w:cantSplit/>
        </w:trPr>
        <w:tc>
          <w:tcPr>
            <w:tcW w:w="1176" w:type="dxa"/>
            <w:vMerge w:val="restart"/>
            <w:tcBorders>
              <w:top w:val="single" w:sz="4" w:space="0" w:color="auto"/>
              <w:left w:val="single" w:sz="4" w:space="0" w:color="auto"/>
              <w:right w:val="single" w:sz="4" w:space="0" w:color="auto"/>
            </w:tcBorders>
            <w:vAlign w:val="center"/>
          </w:tcPr>
          <w:p w14:paraId="5A00CCEB" w14:textId="77777777" w:rsidR="00D36CC5" w:rsidRPr="00D36CC5" w:rsidRDefault="00D36CC5" w:rsidP="003C7B93">
            <w:pPr>
              <w:suppressAutoHyphens/>
              <w:ind w:firstLine="0"/>
              <w:jc w:val="center"/>
              <w:rPr>
                <w:color w:val="000000"/>
              </w:rPr>
            </w:pPr>
            <w:r w:rsidRPr="00D36CC5">
              <w:rPr>
                <w:color w:val="000000"/>
              </w:rPr>
              <w:t>2</w:t>
            </w:r>
          </w:p>
        </w:tc>
        <w:tc>
          <w:tcPr>
            <w:tcW w:w="1258" w:type="dxa"/>
            <w:tcBorders>
              <w:top w:val="nil"/>
              <w:left w:val="single" w:sz="4" w:space="0" w:color="auto"/>
              <w:bottom w:val="single" w:sz="4" w:space="0" w:color="auto"/>
              <w:right w:val="single" w:sz="4" w:space="0" w:color="auto"/>
            </w:tcBorders>
            <w:shd w:val="clear" w:color="auto" w:fill="auto"/>
            <w:noWrap/>
            <w:vAlign w:val="center"/>
            <w:hideMark/>
          </w:tcPr>
          <w:p w14:paraId="6BC2408A" w14:textId="77777777" w:rsidR="00D36CC5" w:rsidRPr="00D36CC5" w:rsidRDefault="00D36CC5" w:rsidP="003C7B93">
            <w:pPr>
              <w:suppressAutoHyphens/>
              <w:ind w:firstLine="0"/>
              <w:jc w:val="center"/>
              <w:rPr>
                <w:color w:val="000000"/>
              </w:rPr>
            </w:pPr>
            <w:r w:rsidRPr="00D36CC5">
              <w:rPr>
                <w:color w:val="000000"/>
              </w:rPr>
              <w:t>14:36:103</w:t>
            </w:r>
          </w:p>
        </w:tc>
        <w:tc>
          <w:tcPr>
            <w:tcW w:w="6801" w:type="dxa"/>
            <w:tcBorders>
              <w:top w:val="nil"/>
              <w:left w:val="nil"/>
              <w:bottom w:val="single" w:sz="4" w:space="0" w:color="auto"/>
              <w:right w:val="single" w:sz="4" w:space="0" w:color="auto"/>
            </w:tcBorders>
            <w:shd w:val="clear" w:color="auto" w:fill="auto"/>
            <w:noWrap/>
            <w:vAlign w:val="center"/>
            <w:hideMark/>
          </w:tcPr>
          <w:p w14:paraId="1632E0ED" w14:textId="77777777" w:rsidR="00D36CC5" w:rsidRPr="00D36CC5" w:rsidRDefault="00D36CC5" w:rsidP="003C7B93">
            <w:pPr>
              <w:suppressAutoHyphens/>
              <w:ind w:firstLine="0"/>
              <w:jc w:val="center"/>
              <w:rPr>
                <w:color w:val="000000"/>
              </w:rPr>
            </w:pPr>
            <w:r w:rsidRPr="00D36CC5">
              <w:rPr>
                <w:color w:val="000000"/>
              </w:rPr>
              <w:t>013</w:t>
            </w:r>
          </w:p>
        </w:tc>
      </w:tr>
      <w:tr w:rsidR="00D36CC5" w:rsidRPr="00D36CC5" w14:paraId="067CFA5F" w14:textId="77777777" w:rsidTr="00A24B55">
        <w:trPr>
          <w:cantSplit/>
        </w:trPr>
        <w:tc>
          <w:tcPr>
            <w:tcW w:w="1176" w:type="dxa"/>
            <w:vMerge/>
            <w:tcBorders>
              <w:left w:val="single" w:sz="4" w:space="0" w:color="auto"/>
              <w:right w:val="single" w:sz="4" w:space="0" w:color="auto"/>
            </w:tcBorders>
            <w:vAlign w:val="center"/>
          </w:tcPr>
          <w:p w14:paraId="42B521F8" w14:textId="77777777" w:rsidR="00D36CC5" w:rsidRPr="00D36CC5" w:rsidRDefault="00D36CC5" w:rsidP="003C7B93">
            <w:pPr>
              <w:suppressAutoHyphens/>
              <w:ind w:firstLine="0"/>
              <w:jc w:val="center"/>
              <w:rPr>
                <w:color w:val="000000"/>
              </w:rPr>
            </w:pPr>
          </w:p>
        </w:tc>
        <w:tc>
          <w:tcPr>
            <w:tcW w:w="12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E4FEFC" w14:textId="77777777" w:rsidR="00D36CC5" w:rsidRPr="00D36CC5" w:rsidRDefault="00D36CC5" w:rsidP="003C7B93">
            <w:pPr>
              <w:suppressAutoHyphens/>
              <w:ind w:firstLine="0"/>
              <w:jc w:val="center"/>
              <w:rPr>
                <w:color w:val="000000"/>
              </w:rPr>
            </w:pPr>
            <w:r w:rsidRPr="00D36CC5">
              <w:rPr>
                <w:color w:val="000000"/>
              </w:rPr>
              <w:t>14:36:105</w:t>
            </w:r>
          </w:p>
        </w:tc>
        <w:tc>
          <w:tcPr>
            <w:tcW w:w="68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549B9A5" w14:textId="77777777" w:rsidR="00A24B55" w:rsidRDefault="00D36CC5" w:rsidP="003C7B93">
            <w:pPr>
              <w:ind w:firstLine="0"/>
              <w:jc w:val="center"/>
              <w:rPr>
                <w:color w:val="000000"/>
              </w:rPr>
            </w:pPr>
            <w:r w:rsidRPr="00D36CC5">
              <w:rPr>
                <w:color w:val="000000"/>
              </w:rPr>
              <w:t>001;002;003;004;005;006;0</w:t>
            </w:r>
            <w:r w:rsidR="00A24B55">
              <w:rPr>
                <w:color w:val="000000"/>
              </w:rPr>
              <w:t>07;008;009;010;012;014;015;016;</w:t>
            </w:r>
          </w:p>
          <w:p w14:paraId="2116E5DC" w14:textId="08B1BA6E" w:rsidR="00D36CC5" w:rsidRPr="00D36CC5" w:rsidRDefault="00D36CC5" w:rsidP="003C7B93">
            <w:pPr>
              <w:ind w:firstLine="0"/>
              <w:jc w:val="center"/>
              <w:rPr>
                <w:color w:val="000000"/>
              </w:rPr>
            </w:pPr>
            <w:r w:rsidRPr="00D36CC5">
              <w:rPr>
                <w:color w:val="000000"/>
              </w:rPr>
              <w:t xml:space="preserve">020;023;030;030;036;039;043;045;046; 049;052; 053 </w:t>
            </w:r>
          </w:p>
        </w:tc>
      </w:tr>
      <w:tr w:rsidR="00D36CC5" w:rsidRPr="00D36CC5" w14:paraId="5401CB92" w14:textId="77777777" w:rsidTr="00A24B55">
        <w:trPr>
          <w:cantSplit/>
        </w:trPr>
        <w:tc>
          <w:tcPr>
            <w:tcW w:w="1176" w:type="dxa"/>
            <w:vMerge/>
            <w:tcBorders>
              <w:left w:val="single" w:sz="4" w:space="0" w:color="auto"/>
              <w:right w:val="single" w:sz="4" w:space="0" w:color="auto"/>
            </w:tcBorders>
            <w:vAlign w:val="center"/>
          </w:tcPr>
          <w:p w14:paraId="039DD300" w14:textId="77777777" w:rsidR="00D36CC5" w:rsidRPr="00D36CC5" w:rsidRDefault="00D36CC5" w:rsidP="003C7B93">
            <w:pPr>
              <w:suppressAutoHyphens/>
              <w:ind w:firstLine="0"/>
              <w:jc w:val="center"/>
              <w:rPr>
                <w:color w:val="000000"/>
              </w:rPr>
            </w:pPr>
          </w:p>
        </w:tc>
        <w:tc>
          <w:tcPr>
            <w:tcW w:w="125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8B45B39" w14:textId="77777777" w:rsidR="00D36CC5" w:rsidRPr="00D36CC5" w:rsidRDefault="00D36CC5" w:rsidP="003C7B93">
            <w:pPr>
              <w:suppressAutoHyphens/>
              <w:ind w:firstLine="0"/>
              <w:jc w:val="center"/>
              <w:rPr>
                <w:color w:val="000000"/>
              </w:rPr>
            </w:pPr>
            <w:r w:rsidRPr="00D36CC5">
              <w:rPr>
                <w:color w:val="000000"/>
              </w:rPr>
              <w:t>14:36:106</w:t>
            </w:r>
          </w:p>
        </w:tc>
        <w:tc>
          <w:tcPr>
            <w:tcW w:w="680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A1C8AB4" w14:textId="77777777" w:rsidR="00D36CC5" w:rsidRPr="00D36CC5" w:rsidRDefault="00D36CC5" w:rsidP="003C7B93">
            <w:pPr>
              <w:ind w:firstLine="0"/>
              <w:jc w:val="center"/>
              <w:rPr>
                <w:color w:val="000000"/>
              </w:rPr>
            </w:pPr>
            <w:r w:rsidRPr="00D36CC5">
              <w:rPr>
                <w:color w:val="000000"/>
              </w:rPr>
              <w:t>010; 011; 017; 022; 023; 025; 046</w:t>
            </w:r>
          </w:p>
        </w:tc>
      </w:tr>
      <w:tr w:rsidR="00D36CC5" w:rsidRPr="00D36CC5" w14:paraId="67247FB4" w14:textId="77777777" w:rsidTr="00A24B55">
        <w:trPr>
          <w:cantSplit/>
          <w:trHeight w:val="542"/>
        </w:trPr>
        <w:tc>
          <w:tcPr>
            <w:tcW w:w="1176" w:type="dxa"/>
            <w:vMerge/>
            <w:tcBorders>
              <w:left w:val="single" w:sz="4" w:space="0" w:color="auto"/>
              <w:bottom w:val="single" w:sz="4" w:space="0" w:color="auto"/>
              <w:right w:val="single" w:sz="4" w:space="0" w:color="auto"/>
            </w:tcBorders>
            <w:vAlign w:val="center"/>
          </w:tcPr>
          <w:p w14:paraId="63EB7202" w14:textId="77777777" w:rsidR="00D36CC5" w:rsidRPr="00D36CC5" w:rsidRDefault="00D36CC5" w:rsidP="003C7B93">
            <w:pPr>
              <w:suppressAutoHyphens/>
              <w:ind w:firstLine="0"/>
              <w:jc w:val="center"/>
              <w:rPr>
                <w:color w:val="000000"/>
              </w:rPr>
            </w:pPr>
          </w:p>
        </w:tc>
        <w:tc>
          <w:tcPr>
            <w:tcW w:w="125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A81ABFD" w14:textId="77777777" w:rsidR="00D36CC5" w:rsidRPr="00D36CC5" w:rsidRDefault="00D36CC5" w:rsidP="003C7B93">
            <w:pPr>
              <w:suppressAutoHyphens/>
              <w:ind w:firstLine="0"/>
              <w:jc w:val="center"/>
              <w:rPr>
                <w:color w:val="000000"/>
              </w:rPr>
            </w:pPr>
            <w:r w:rsidRPr="00D36CC5">
              <w:rPr>
                <w:color w:val="000000"/>
              </w:rPr>
              <w:t>14:36:107</w:t>
            </w:r>
          </w:p>
        </w:tc>
        <w:tc>
          <w:tcPr>
            <w:tcW w:w="680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BAFED04" w14:textId="6FFD59BF" w:rsidR="00D36CC5" w:rsidRPr="00D36CC5" w:rsidRDefault="00A24B55" w:rsidP="003C7B93">
            <w:pPr>
              <w:ind w:firstLine="0"/>
              <w:jc w:val="center"/>
              <w:rPr>
                <w:color w:val="000000"/>
              </w:rPr>
            </w:pPr>
            <w:r>
              <w:rPr>
                <w:color w:val="000000"/>
              </w:rPr>
              <w:t>001;002;003;005;006;007;</w:t>
            </w:r>
            <w:r w:rsidR="00D36CC5" w:rsidRPr="00D36CC5">
              <w:rPr>
                <w:color w:val="000000"/>
              </w:rPr>
              <w:t>00</w:t>
            </w:r>
            <w:r>
              <w:rPr>
                <w:color w:val="000000"/>
              </w:rPr>
              <w:t>8;009;010;011;012;013;014;015;</w:t>
            </w:r>
            <w:r w:rsidR="00D36CC5" w:rsidRPr="00D36CC5">
              <w:rPr>
                <w:color w:val="000000"/>
              </w:rPr>
              <w:t>016; 020; 029; 035</w:t>
            </w:r>
          </w:p>
        </w:tc>
      </w:tr>
      <w:tr w:rsidR="00D36CC5" w:rsidRPr="00D36CC5" w14:paraId="66F28ECE" w14:textId="77777777" w:rsidTr="00A24B55">
        <w:trPr>
          <w:cantSplit/>
        </w:trPr>
        <w:tc>
          <w:tcPr>
            <w:tcW w:w="1176" w:type="dxa"/>
            <w:tcBorders>
              <w:top w:val="single" w:sz="4" w:space="0" w:color="auto"/>
              <w:left w:val="single" w:sz="4" w:space="0" w:color="auto"/>
              <w:bottom w:val="single" w:sz="4" w:space="0" w:color="auto"/>
              <w:right w:val="single" w:sz="4" w:space="0" w:color="auto"/>
            </w:tcBorders>
            <w:vAlign w:val="center"/>
          </w:tcPr>
          <w:p w14:paraId="7E4400A4" w14:textId="77777777" w:rsidR="00D36CC5" w:rsidRPr="00D36CC5" w:rsidRDefault="00D36CC5" w:rsidP="003C7B93">
            <w:pPr>
              <w:suppressAutoHyphens/>
              <w:ind w:firstLine="0"/>
              <w:jc w:val="center"/>
              <w:rPr>
                <w:color w:val="000000"/>
              </w:rPr>
            </w:pPr>
            <w:r w:rsidRPr="00D36CC5">
              <w:rPr>
                <w:color w:val="000000"/>
              </w:rPr>
              <w:t>3</w:t>
            </w:r>
          </w:p>
        </w:tc>
        <w:tc>
          <w:tcPr>
            <w:tcW w:w="125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1D99522" w14:textId="77777777" w:rsidR="00D36CC5" w:rsidRPr="00D36CC5" w:rsidRDefault="00D36CC5" w:rsidP="003C7B93">
            <w:pPr>
              <w:suppressAutoHyphens/>
              <w:ind w:firstLine="0"/>
              <w:jc w:val="center"/>
              <w:rPr>
                <w:color w:val="000000"/>
              </w:rPr>
            </w:pPr>
            <w:r w:rsidRPr="00D36CC5">
              <w:rPr>
                <w:color w:val="000000"/>
              </w:rPr>
              <w:t>14:36:</w:t>
            </w:r>
          </w:p>
        </w:tc>
        <w:tc>
          <w:tcPr>
            <w:tcW w:w="680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33AEF13" w14:textId="77777777" w:rsidR="00D36CC5" w:rsidRPr="00D36CC5" w:rsidRDefault="00D36CC5" w:rsidP="003C7B93">
            <w:pPr>
              <w:ind w:firstLine="0"/>
              <w:jc w:val="center"/>
              <w:rPr>
                <w:color w:val="000000"/>
              </w:rPr>
            </w:pPr>
            <w:r w:rsidRPr="00D36CC5">
              <w:rPr>
                <w:color w:val="000000"/>
              </w:rPr>
              <w:t>Все остальные не попавшие в 1 и 2 зону</w:t>
            </w:r>
          </w:p>
        </w:tc>
      </w:tr>
    </w:tbl>
    <w:p w14:paraId="025D6C0D" w14:textId="77777777" w:rsidR="00D36CC5" w:rsidRPr="00D36CC5" w:rsidRDefault="00D36CC5" w:rsidP="003F62B8">
      <w:pPr>
        <w:ind w:firstLine="709"/>
        <w:rPr>
          <w:rFonts w:cs="Times New Roman"/>
          <w:szCs w:val="24"/>
        </w:rPr>
      </w:pPr>
      <w:r w:rsidRPr="00D36CC5">
        <w:rPr>
          <w:rFonts w:cs="Times New Roman"/>
          <w:szCs w:val="24"/>
        </w:rPr>
        <w:t>По Объект –МКД 14:36:105011 квартал по объект оценки: Квартира в УПКС составляет 84308*0,825=69554 рублей</w:t>
      </w:r>
    </w:p>
    <w:p w14:paraId="5506E1D3" w14:textId="536964DA" w:rsidR="00D36CC5" w:rsidRPr="00D36CC5" w:rsidRDefault="00D36CC5" w:rsidP="003F62B8">
      <w:pPr>
        <w:ind w:firstLine="709"/>
        <w:rPr>
          <w:rFonts w:cs="Times New Roman"/>
          <w:szCs w:val="24"/>
        </w:rPr>
      </w:pPr>
      <w:r w:rsidRPr="00D36CC5">
        <w:rPr>
          <w:rFonts w:cs="Times New Roman"/>
          <w:szCs w:val="24"/>
        </w:rPr>
        <w:t xml:space="preserve">По Приложению №7 </w:t>
      </w:r>
      <w:r w:rsidR="001172CB">
        <w:rPr>
          <w:rFonts w:cs="Times New Roman"/>
          <w:szCs w:val="24"/>
        </w:rPr>
        <w:t>к Методическим указаниям,</w:t>
      </w:r>
      <w:r w:rsidRPr="00D36CC5">
        <w:rPr>
          <w:rFonts w:cs="Times New Roman"/>
          <w:szCs w:val="24"/>
        </w:rPr>
        <w:t xml:space="preserve"> диапазон доли земельного участка составляет от 10%-25%. Средее значение 17,5%.</w:t>
      </w:r>
    </w:p>
    <w:p w14:paraId="784EB593" w14:textId="1105581A" w:rsidR="003C7B93" w:rsidRDefault="00D36CC5" w:rsidP="003F62B8">
      <w:pPr>
        <w:ind w:firstLine="709"/>
        <w:rPr>
          <w:rFonts w:cs="Times New Roman"/>
          <w:szCs w:val="24"/>
        </w:rPr>
      </w:pPr>
      <w:r w:rsidRPr="00D36CC5">
        <w:rPr>
          <w:rFonts w:cs="Times New Roman"/>
          <w:szCs w:val="24"/>
        </w:rPr>
        <w:t xml:space="preserve">Проверяем среднее значение рассчитанной </w:t>
      </w:r>
      <w:r w:rsidR="003C7B93">
        <w:rPr>
          <w:rFonts w:cs="Times New Roman"/>
          <w:szCs w:val="24"/>
        </w:rPr>
        <w:t>УПКС</w:t>
      </w:r>
      <w:r w:rsidR="008B2763">
        <w:rPr>
          <w:rFonts w:cs="Times New Roman"/>
          <w:szCs w:val="24"/>
        </w:rPr>
        <w:t xml:space="preserve"> в г.Якутск, 1 группа, </w:t>
      </w:r>
      <w:r w:rsidRPr="00D36CC5">
        <w:rPr>
          <w:rFonts w:cs="Times New Roman"/>
          <w:szCs w:val="24"/>
        </w:rPr>
        <w:t xml:space="preserve">квартал: </w:t>
      </w:r>
    </w:p>
    <w:tbl>
      <w:tblPr>
        <w:tblStyle w:val="af2"/>
        <w:tblW w:w="5000" w:type="pct"/>
        <w:tblLook w:val="04A0" w:firstRow="1" w:lastRow="0" w:firstColumn="1" w:lastColumn="0" w:noHBand="0" w:noVBand="1"/>
      </w:tblPr>
      <w:tblGrid>
        <w:gridCol w:w="5027"/>
        <w:gridCol w:w="4320"/>
      </w:tblGrid>
      <w:tr w:rsidR="003C7B93" w14:paraId="36487C8F" w14:textId="77777777" w:rsidTr="003C7B93">
        <w:tc>
          <w:tcPr>
            <w:tcW w:w="2689" w:type="pct"/>
          </w:tcPr>
          <w:p w14:paraId="5787FD85" w14:textId="34252E7A" w:rsidR="003C7B93" w:rsidRDefault="003C7B93" w:rsidP="003C7B93">
            <w:pPr>
              <w:ind w:firstLine="0"/>
              <w:jc w:val="center"/>
              <w:rPr>
                <w:rFonts w:cs="Times New Roman"/>
                <w:szCs w:val="24"/>
              </w:rPr>
            </w:pPr>
            <w:r>
              <w:rPr>
                <w:rFonts w:cs="Times New Roman"/>
                <w:szCs w:val="24"/>
              </w:rPr>
              <w:t>УПКС</w:t>
            </w:r>
          </w:p>
        </w:tc>
        <w:tc>
          <w:tcPr>
            <w:tcW w:w="2311" w:type="pct"/>
          </w:tcPr>
          <w:p w14:paraId="1715B188" w14:textId="4FB5C39B" w:rsidR="003C7B93" w:rsidRDefault="003C7B93" w:rsidP="003C7B93">
            <w:pPr>
              <w:ind w:firstLine="0"/>
              <w:jc w:val="center"/>
              <w:rPr>
                <w:rFonts w:cs="Times New Roman"/>
                <w:szCs w:val="24"/>
              </w:rPr>
            </w:pPr>
            <w:r w:rsidRPr="00D36CC5">
              <w:rPr>
                <w:rFonts w:cs="Times New Roman"/>
                <w:szCs w:val="24"/>
              </w:rPr>
              <w:t>14:36:105011</w:t>
            </w:r>
          </w:p>
        </w:tc>
      </w:tr>
      <w:tr w:rsidR="003C7B93" w14:paraId="4D753D33" w14:textId="77777777" w:rsidTr="003C7B93">
        <w:tc>
          <w:tcPr>
            <w:tcW w:w="2689" w:type="pct"/>
          </w:tcPr>
          <w:p w14:paraId="15DF3EBC" w14:textId="498050A8" w:rsidR="003C7B93" w:rsidRDefault="003C7B93" w:rsidP="003C7B93">
            <w:pPr>
              <w:ind w:firstLine="0"/>
              <w:jc w:val="center"/>
              <w:rPr>
                <w:rFonts w:cs="Times New Roman"/>
                <w:szCs w:val="24"/>
              </w:rPr>
            </w:pPr>
            <w:r w:rsidRPr="00D36CC5">
              <w:rPr>
                <w:rFonts w:cs="Times New Roman"/>
                <w:szCs w:val="24"/>
              </w:rPr>
              <w:t>Минимальное</w:t>
            </w:r>
          </w:p>
        </w:tc>
        <w:tc>
          <w:tcPr>
            <w:tcW w:w="2311" w:type="pct"/>
          </w:tcPr>
          <w:p w14:paraId="30768266" w14:textId="5ED811B1" w:rsidR="003C7B93" w:rsidRDefault="003C7B93" w:rsidP="003C7B93">
            <w:pPr>
              <w:ind w:firstLine="0"/>
              <w:jc w:val="center"/>
              <w:rPr>
                <w:rFonts w:cs="Times New Roman"/>
                <w:szCs w:val="24"/>
              </w:rPr>
            </w:pPr>
            <w:r w:rsidRPr="00D36CC5">
              <w:rPr>
                <w:rFonts w:cs="Times New Roman"/>
                <w:szCs w:val="24"/>
              </w:rPr>
              <w:t>4</w:t>
            </w:r>
            <w:r>
              <w:rPr>
                <w:rFonts w:cs="Times New Roman"/>
                <w:szCs w:val="24"/>
              </w:rPr>
              <w:t>6131</w:t>
            </w:r>
          </w:p>
        </w:tc>
      </w:tr>
      <w:tr w:rsidR="003C7B93" w14:paraId="365348E7" w14:textId="77777777" w:rsidTr="003C7B93">
        <w:tc>
          <w:tcPr>
            <w:tcW w:w="2689" w:type="pct"/>
          </w:tcPr>
          <w:p w14:paraId="61E55B0C" w14:textId="0A08FC17" w:rsidR="003C7B93" w:rsidRPr="00D36CC5" w:rsidRDefault="003C7B93" w:rsidP="003C7B93">
            <w:pPr>
              <w:ind w:firstLine="0"/>
              <w:jc w:val="center"/>
              <w:rPr>
                <w:rFonts w:cs="Times New Roman"/>
                <w:szCs w:val="24"/>
              </w:rPr>
            </w:pPr>
            <w:r w:rsidRPr="00D36CC5">
              <w:rPr>
                <w:rFonts w:cs="Times New Roman"/>
                <w:szCs w:val="24"/>
              </w:rPr>
              <w:t>Среднее</w:t>
            </w:r>
          </w:p>
        </w:tc>
        <w:tc>
          <w:tcPr>
            <w:tcW w:w="2311" w:type="pct"/>
          </w:tcPr>
          <w:p w14:paraId="36E2D006" w14:textId="4E27A6B9" w:rsidR="003C7B93" w:rsidRDefault="003C7B93" w:rsidP="003C7B93">
            <w:pPr>
              <w:ind w:firstLine="0"/>
              <w:jc w:val="center"/>
              <w:rPr>
                <w:rFonts w:cs="Times New Roman"/>
                <w:szCs w:val="24"/>
              </w:rPr>
            </w:pPr>
            <w:r>
              <w:rPr>
                <w:rFonts w:cs="Times New Roman"/>
                <w:szCs w:val="24"/>
              </w:rPr>
              <w:t>67067</w:t>
            </w:r>
          </w:p>
        </w:tc>
      </w:tr>
      <w:tr w:rsidR="003C7B93" w14:paraId="63B16E4D" w14:textId="77777777" w:rsidTr="003C7B93">
        <w:tc>
          <w:tcPr>
            <w:tcW w:w="2689" w:type="pct"/>
          </w:tcPr>
          <w:p w14:paraId="25B9A592" w14:textId="68779C2E" w:rsidR="003C7B93" w:rsidRDefault="003C7B93" w:rsidP="003C7B93">
            <w:pPr>
              <w:ind w:firstLine="0"/>
              <w:jc w:val="center"/>
              <w:rPr>
                <w:rFonts w:cs="Times New Roman"/>
                <w:szCs w:val="24"/>
              </w:rPr>
            </w:pPr>
            <w:r>
              <w:rPr>
                <w:rFonts w:cs="Times New Roman"/>
                <w:szCs w:val="24"/>
              </w:rPr>
              <w:t>М</w:t>
            </w:r>
            <w:r w:rsidRPr="00D36CC5">
              <w:rPr>
                <w:rFonts w:cs="Times New Roman"/>
                <w:szCs w:val="24"/>
              </w:rPr>
              <w:t>аксимальное</w:t>
            </w:r>
          </w:p>
        </w:tc>
        <w:tc>
          <w:tcPr>
            <w:tcW w:w="2311" w:type="pct"/>
          </w:tcPr>
          <w:p w14:paraId="5E1195EC" w14:textId="08D45EE1" w:rsidR="003C7B93" w:rsidRDefault="003C7B93" w:rsidP="003C7B93">
            <w:pPr>
              <w:ind w:firstLine="0"/>
              <w:jc w:val="center"/>
              <w:rPr>
                <w:rFonts w:cs="Times New Roman"/>
                <w:szCs w:val="24"/>
              </w:rPr>
            </w:pPr>
            <w:r w:rsidRPr="00D36CC5">
              <w:rPr>
                <w:rFonts w:cs="Times New Roman"/>
                <w:szCs w:val="24"/>
              </w:rPr>
              <w:t>71</w:t>
            </w:r>
            <w:r>
              <w:rPr>
                <w:rFonts w:cs="Times New Roman"/>
                <w:szCs w:val="24"/>
              </w:rPr>
              <w:t>696</w:t>
            </w:r>
          </w:p>
        </w:tc>
      </w:tr>
    </w:tbl>
    <w:p w14:paraId="6885E61D" w14:textId="68D39D8D" w:rsidR="009D5DEE" w:rsidRPr="00D36CC5" w:rsidRDefault="009D5DEE" w:rsidP="009D5DEE">
      <w:pPr>
        <w:ind w:firstLine="709"/>
        <w:rPr>
          <w:rFonts w:cs="Times New Roman"/>
          <w:szCs w:val="24"/>
        </w:rPr>
      </w:pPr>
      <w:r>
        <w:rPr>
          <w:rFonts w:cs="Times New Roman"/>
          <w:szCs w:val="24"/>
        </w:rPr>
        <w:t>Среднее значение оценочного зонирования по кварталу 14:36:105011 для Квартиры без учета доли земельного участка по 1 зоне составляет – 69554 рубля, а кадастровая стоимость – 6</w:t>
      </w:r>
      <w:r w:rsidR="003C7B93">
        <w:rPr>
          <w:rFonts w:cs="Times New Roman"/>
          <w:szCs w:val="24"/>
        </w:rPr>
        <w:t>7067</w:t>
      </w:r>
      <w:r>
        <w:rPr>
          <w:rFonts w:cs="Times New Roman"/>
          <w:szCs w:val="24"/>
        </w:rPr>
        <w:t xml:space="preserve"> рубля., разница </w:t>
      </w:r>
      <w:r w:rsidR="003C7B93">
        <w:rPr>
          <w:rFonts w:cs="Times New Roman"/>
          <w:szCs w:val="24"/>
        </w:rPr>
        <w:t>3,7</w:t>
      </w:r>
      <w:r w:rsidR="00747C8B">
        <w:rPr>
          <w:rFonts w:cs="Times New Roman"/>
          <w:szCs w:val="24"/>
        </w:rPr>
        <w:t>%, что является допустимой погршностью.</w:t>
      </w:r>
    </w:p>
    <w:p w14:paraId="08748D02" w14:textId="6256BE17" w:rsidR="009D5DEE" w:rsidRDefault="00D36CC5" w:rsidP="009D5DEE">
      <w:pPr>
        <w:ind w:firstLine="709"/>
        <w:rPr>
          <w:rFonts w:cs="Times New Roman"/>
          <w:szCs w:val="24"/>
        </w:rPr>
      </w:pPr>
      <w:r w:rsidRPr="00D36CC5">
        <w:rPr>
          <w:rFonts w:cs="Times New Roman"/>
          <w:szCs w:val="24"/>
        </w:rPr>
        <w:t xml:space="preserve">В соответствии с полученными результатами отчетливо видно, что для 1 группы «Многоквартирные дома (дома средне- и многоэтажной жилой застройки)» (помещения) УПКС объектов недвижимости понижается при удалении от центра г.Якутск. </w:t>
      </w:r>
    </w:p>
    <w:p w14:paraId="152246ED" w14:textId="0EBD1FAB" w:rsidR="00D36CC5" w:rsidRPr="00D36CC5" w:rsidRDefault="00D36CC5" w:rsidP="00D36CC5">
      <w:pPr>
        <w:ind w:firstLine="0"/>
        <w:rPr>
          <w:rFonts w:cs="Times New Roman"/>
          <w:szCs w:val="24"/>
        </w:rPr>
      </w:pPr>
      <w:r w:rsidRPr="00D36CC5">
        <w:rPr>
          <w:rFonts w:cs="Times New Roman"/>
          <w:szCs w:val="24"/>
        </w:rPr>
        <w:t>Данная тенденция прослеживается и в рыночных данных, что свидетельствует о логичности ценообразования и корректности определения кадастровой стоимости оцениваемых объектов.</w:t>
      </w:r>
    </w:p>
    <w:p w14:paraId="5F07B1EF" w14:textId="77777777" w:rsidR="00D36CC5" w:rsidRPr="00D36CC5" w:rsidRDefault="00D36CC5" w:rsidP="00D36CC5">
      <w:pPr>
        <w:ind w:firstLine="0"/>
        <w:rPr>
          <w:rFonts w:cs="Times New Roman"/>
          <w:szCs w:val="24"/>
        </w:rPr>
      </w:pPr>
    </w:p>
    <w:p w14:paraId="454214BC" w14:textId="77777777" w:rsidR="00D36CC5" w:rsidRPr="00D36CC5" w:rsidRDefault="00D36CC5" w:rsidP="00D36CC5">
      <w:pPr>
        <w:ind w:firstLine="0"/>
        <w:rPr>
          <w:rFonts w:cs="Times New Roman"/>
          <w:szCs w:val="24"/>
        </w:rPr>
      </w:pPr>
      <w:r w:rsidRPr="00D36CC5">
        <w:rPr>
          <w:rFonts w:cs="Times New Roman"/>
          <w:szCs w:val="24"/>
        </w:rPr>
        <w:t>По результатам проведенной проверки, можно сделать вывод, что кадастровая стоимость объектов оценки соответствует сложившемуся на дату оценки уровню рыночных цен.</w:t>
      </w:r>
    </w:p>
    <w:p w14:paraId="13225441" w14:textId="5E0596C3" w:rsidR="00D36CC5" w:rsidRDefault="00D36CC5" w:rsidP="00D36CC5">
      <w:pPr>
        <w:ind w:firstLine="0"/>
        <w:rPr>
          <w:rFonts w:cs="Times New Roman"/>
          <w:szCs w:val="24"/>
        </w:rPr>
      </w:pPr>
    </w:p>
    <w:p w14:paraId="70AE6D4B" w14:textId="77777777" w:rsidR="007A414D" w:rsidRDefault="007A414D" w:rsidP="00AF7E6F">
      <w:pPr>
        <w:spacing w:after="120"/>
        <w:ind w:firstLine="0"/>
        <w:jc w:val="center"/>
        <w:rPr>
          <w:rFonts w:eastAsia="Times New Roman" w:cs="Times New Roman"/>
          <w:i/>
          <w:szCs w:val="24"/>
          <w:lang w:eastAsia="ru-RU"/>
        </w:rPr>
        <w:sectPr w:rsidR="007A414D" w:rsidSect="00D76840">
          <w:headerReference w:type="default" r:id="rId312"/>
          <w:footerReference w:type="default" r:id="rId313"/>
          <w:pgSz w:w="11909" w:h="16840"/>
          <w:pgMar w:top="1134" w:right="851" w:bottom="1134" w:left="1701" w:header="709" w:footer="879" w:gutter="0"/>
          <w:cols w:space="708"/>
          <w:titlePg/>
          <w:docGrid w:linePitch="360"/>
        </w:sectPr>
      </w:pPr>
    </w:p>
    <w:p w14:paraId="162C7983" w14:textId="72F1DDAB" w:rsidR="00AF7E6F" w:rsidRDefault="00AF7E6F" w:rsidP="00AF7E6F">
      <w:pPr>
        <w:spacing w:after="120"/>
        <w:ind w:firstLine="0"/>
        <w:jc w:val="center"/>
        <w:rPr>
          <w:rFonts w:eastAsia="SimSun, 宋体" w:cs="Times New Roman"/>
          <w:i/>
          <w:szCs w:val="24"/>
          <w:lang w:eastAsia="ru-RU"/>
        </w:rPr>
      </w:pPr>
      <w:r w:rsidRPr="00AF7E6F">
        <w:rPr>
          <w:rFonts w:eastAsia="Times New Roman" w:cs="Times New Roman"/>
          <w:i/>
          <w:szCs w:val="24"/>
          <w:lang w:eastAsia="ru-RU"/>
        </w:rPr>
        <w:t xml:space="preserve">Таблица </w:t>
      </w:r>
      <w:r w:rsidRPr="00AF7E6F">
        <w:rPr>
          <w:rFonts w:eastAsia="Times New Roman" w:cs="Times New Roman"/>
          <w:i/>
          <w:szCs w:val="24"/>
          <w:lang w:eastAsia="ru-RU"/>
        </w:rPr>
        <w:fldChar w:fldCharType="begin"/>
      </w:r>
      <w:r w:rsidRPr="00AF7E6F">
        <w:rPr>
          <w:rFonts w:eastAsia="Times New Roman" w:cs="Times New Roman"/>
          <w:i/>
          <w:szCs w:val="24"/>
          <w:lang w:eastAsia="ru-RU"/>
        </w:rPr>
        <w:instrText xml:space="preserve"> SEQ Таблица \* ARABIC </w:instrText>
      </w:r>
      <w:r w:rsidRPr="00AF7E6F">
        <w:rPr>
          <w:rFonts w:eastAsia="Times New Roman" w:cs="Times New Roman"/>
          <w:i/>
          <w:szCs w:val="24"/>
          <w:lang w:eastAsia="ru-RU"/>
        </w:rPr>
        <w:fldChar w:fldCharType="separate"/>
      </w:r>
      <w:r w:rsidR="00FD2769">
        <w:rPr>
          <w:rFonts w:eastAsia="Times New Roman" w:cs="Times New Roman"/>
          <w:i/>
          <w:noProof/>
          <w:szCs w:val="24"/>
          <w:lang w:eastAsia="ru-RU"/>
        </w:rPr>
        <w:t>84</w:t>
      </w:r>
      <w:r w:rsidRPr="00AF7E6F">
        <w:rPr>
          <w:rFonts w:eastAsia="Times New Roman" w:cs="Times New Roman"/>
          <w:i/>
          <w:szCs w:val="24"/>
          <w:lang w:eastAsia="ru-RU"/>
        </w:rPr>
        <w:fldChar w:fldCharType="end"/>
      </w:r>
      <w:r w:rsidRPr="00AF7E6F">
        <w:rPr>
          <w:rFonts w:eastAsia="Times New Roman" w:cs="Times New Roman"/>
          <w:i/>
          <w:szCs w:val="24"/>
          <w:lang w:eastAsia="ru-RU"/>
        </w:rPr>
        <w:t xml:space="preserve"> </w:t>
      </w:r>
      <w:r w:rsidRPr="00AF7E6F">
        <w:rPr>
          <w:rFonts w:eastAsia="Times New Roman" w:cs="Times New Roman"/>
          <w:bCs/>
          <w:i/>
          <w:szCs w:val="24"/>
          <w:lang w:eastAsia="ru-RU"/>
        </w:rPr>
        <w:t>Значения удельных показателей кадастровой стоимости, руб./кв.м</w:t>
      </w:r>
      <w:r w:rsidRPr="00AF7E6F">
        <w:rPr>
          <w:rFonts w:eastAsia="SimSun, 宋体" w:cs="Times New Roman"/>
          <w:i/>
          <w:szCs w:val="24"/>
          <w:lang w:eastAsia="ru-RU"/>
        </w:rPr>
        <w:t xml:space="preserve">. в разрезе </w:t>
      </w:r>
      <w:r w:rsidR="007A414D">
        <w:rPr>
          <w:rFonts w:eastAsia="SimSun, 宋体" w:cs="Times New Roman"/>
          <w:i/>
          <w:szCs w:val="24"/>
          <w:lang w:eastAsia="ru-RU"/>
        </w:rPr>
        <w:t>муниципальных районов</w:t>
      </w:r>
      <w:r w:rsidRPr="00AF7E6F">
        <w:rPr>
          <w:rFonts w:eastAsia="SimSun, 宋体" w:cs="Times New Roman"/>
          <w:i/>
          <w:szCs w:val="24"/>
          <w:lang w:eastAsia="ru-RU"/>
        </w:rPr>
        <w:t xml:space="preserve"> и групп для объектов недвижимости (кроме земельных участков)</w:t>
      </w:r>
    </w:p>
    <w:tbl>
      <w:tblPr>
        <w:tblW w:w="15127" w:type="dxa"/>
        <w:tblInd w:w="-5" w:type="dxa"/>
        <w:tblLook w:val="04A0" w:firstRow="1" w:lastRow="0" w:firstColumn="1" w:lastColumn="0" w:noHBand="0" w:noVBand="1"/>
      </w:tblPr>
      <w:tblGrid>
        <w:gridCol w:w="2268"/>
        <w:gridCol w:w="1216"/>
        <w:gridCol w:w="1280"/>
        <w:gridCol w:w="1280"/>
        <w:gridCol w:w="1280"/>
        <w:gridCol w:w="1280"/>
        <w:gridCol w:w="1280"/>
        <w:gridCol w:w="1280"/>
        <w:gridCol w:w="1280"/>
        <w:gridCol w:w="1400"/>
        <w:gridCol w:w="1283"/>
      </w:tblGrid>
      <w:tr w:rsidR="007A414D" w:rsidRPr="007A414D" w14:paraId="14BCDC49" w14:textId="77777777" w:rsidTr="003C59C1">
        <w:trPr>
          <w:trHeight w:val="270"/>
          <w:tblHeader/>
        </w:trPr>
        <w:tc>
          <w:tcPr>
            <w:tcW w:w="226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6113017"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Наименование населенного пункта</w:t>
            </w:r>
          </w:p>
        </w:tc>
        <w:tc>
          <w:tcPr>
            <w:tcW w:w="12859" w:type="dxa"/>
            <w:gridSpan w:val="10"/>
            <w:tcBorders>
              <w:top w:val="single" w:sz="4" w:space="0" w:color="auto"/>
              <w:left w:val="nil"/>
              <w:bottom w:val="single" w:sz="4" w:space="0" w:color="auto"/>
              <w:right w:val="single" w:sz="4" w:space="0" w:color="000000"/>
            </w:tcBorders>
            <w:shd w:val="clear" w:color="auto" w:fill="auto"/>
            <w:vAlign w:val="center"/>
            <w:hideMark/>
          </w:tcPr>
          <w:p w14:paraId="0C6EE110" w14:textId="2708309D"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УПКС по группам объектов недвижимости, руб./кв.м</w:t>
            </w:r>
          </w:p>
        </w:tc>
      </w:tr>
      <w:tr w:rsidR="007A414D" w:rsidRPr="007A414D" w14:paraId="4BF1A73B" w14:textId="77777777" w:rsidTr="003C59C1">
        <w:trPr>
          <w:trHeight w:val="270"/>
          <w:tblHeader/>
        </w:trPr>
        <w:tc>
          <w:tcPr>
            <w:tcW w:w="2268" w:type="dxa"/>
            <w:vMerge/>
            <w:tcBorders>
              <w:top w:val="single" w:sz="4" w:space="0" w:color="auto"/>
              <w:left w:val="single" w:sz="4" w:space="0" w:color="auto"/>
              <w:bottom w:val="single" w:sz="4" w:space="0" w:color="auto"/>
              <w:right w:val="single" w:sz="4" w:space="0" w:color="auto"/>
            </w:tcBorders>
            <w:vAlign w:val="center"/>
            <w:hideMark/>
          </w:tcPr>
          <w:p w14:paraId="2C5B9C36" w14:textId="77777777" w:rsidR="007A414D" w:rsidRPr="007A414D" w:rsidRDefault="007A414D" w:rsidP="007A414D">
            <w:pPr>
              <w:ind w:firstLine="0"/>
              <w:jc w:val="left"/>
              <w:rPr>
                <w:rFonts w:eastAsia="Times New Roman" w:cs="Times New Roman"/>
                <w:szCs w:val="24"/>
                <w:lang w:eastAsia="ru-RU"/>
              </w:rPr>
            </w:pPr>
          </w:p>
        </w:tc>
        <w:tc>
          <w:tcPr>
            <w:tcW w:w="1216" w:type="dxa"/>
            <w:tcBorders>
              <w:top w:val="nil"/>
              <w:left w:val="nil"/>
              <w:bottom w:val="single" w:sz="4" w:space="0" w:color="auto"/>
              <w:right w:val="single" w:sz="4" w:space="0" w:color="auto"/>
            </w:tcBorders>
            <w:shd w:val="clear" w:color="auto" w:fill="auto"/>
            <w:vAlign w:val="center"/>
            <w:hideMark/>
          </w:tcPr>
          <w:p w14:paraId="5184863A"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1</w:t>
            </w:r>
          </w:p>
        </w:tc>
        <w:tc>
          <w:tcPr>
            <w:tcW w:w="1280" w:type="dxa"/>
            <w:tcBorders>
              <w:top w:val="nil"/>
              <w:left w:val="nil"/>
              <w:bottom w:val="single" w:sz="4" w:space="0" w:color="auto"/>
              <w:right w:val="single" w:sz="4" w:space="0" w:color="auto"/>
            </w:tcBorders>
            <w:shd w:val="clear" w:color="auto" w:fill="auto"/>
            <w:vAlign w:val="center"/>
            <w:hideMark/>
          </w:tcPr>
          <w:p w14:paraId="641E4B44"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2</w:t>
            </w:r>
          </w:p>
        </w:tc>
        <w:tc>
          <w:tcPr>
            <w:tcW w:w="1280" w:type="dxa"/>
            <w:tcBorders>
              <w:top w:val="nil"/>
              <w:left w:val="nil"/>
              <w:bottom w:val="single" w:sz="4" w:space="0" w:color="auto"/>
              <w:right w:val="single" w:sz="4" w:space="0" w:color="auto"/>
            </w:tcBorders>
            <w:shd w:val="clear" w:color="auto" w:fill="auto"/>
            <w:vAlign w:val="center"/>
            <w:hideMark/>
          </w:tcPr>
          <w:p w14:paraId="793A54A1"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3</w:t>
            </w:r>
          </w:p>
        </w:tc>
        <w:tc>
          <w:tcPr>
            <w:tcW w:w="1280" w:type="dxa"/>
            <w:tcBorders>
              <w:top w:val="nil"/>
              <w:left w:val="nil"/>
              <w:bottom w:val="single" w:sz="4" w:space="0" w:color="auto"/>
              <w:right w:val="single" w:sz="4" w:space="0" w:color="auto"/>
            </w:tcBorders>
            <w:shd w:val="clear" w:color="auto" w:fill="auto"/>
            <w:vAlign w:val="center"/>
            <w:hideMark/>
          </w:tcPr>
          <w:p w14:paraId="4DCD9807"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4</w:t>
            </w:r>
          </w:p>
        </w:tc>
        <w:tc>
          <w:tcPr>
            <w:tcW w:w="1280" w:type="dxa"/>
            <w:tcBorders>
              <w:top w:val="nil"/>
              <w:left w:val="nil"/>
              <w:bottom w:val="single" w:sz="4" w:space="0" w:color="auto"/>
              <w:right w:val="single" w:sz="4" w:space="0" w:color="auto"/>
            </w:tcBorders>
            <w:shd w:val="clear" w:color="auto" w:fill="auto"/>
            <w:vAlign w:val="center"/>
            <w:hideMark/>
          </w:tcPr>
          <w:p w14:paraId="634E21FA"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5</w:t>
            </w:r>
          </w:p>
        </w:tc>
        <w:tc>
          <w:tcPr>
            <w:tcW w:w="1280" w:type="dxa"/>
            <w:tcBorders>
              <w:top w:val="nil"/>
              <w:left w:val="nil"/>
              <w:bottom w:val="single" w:sz="4" w:space="0" w:color="auto"/>
              <w:right w:val="single" w:sz="4" w:space="0" w:color="auto"/>
            </w:tcBorders>
            <w:shd w:val="clear" w:color="auto" w:fill="auto"/>
            <w:vAlign w:val="center"/>
            <w:hideMark/>
          </w:tcPr>
          <w:p w14:paraId="477A6111"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6</w:t>
            </w:r>
          </w:p>
        </w:tc>
        <w:tc>
          <w:tcPr>
            <w:tcW w:w="1280" w:type="dxa"/>
            <w:tcBorders>
              <w:top w:val="nil"/>
              <w:left w:val="nil"/>
              <w:bottom w:val="single" w:sz="4" w:space="0" w:color="auto"/>
              <w:right w:val="single" w:sz="4" w:space="0" w:color="auto"/>
            </w:tcBorders>
            <w:shd w:val="clear" w:color="auto" w:fill="auto"/>
            <w:vAlign w:val="center"/>
            <w:hideMark/>
          </w:tcPr>
          <w:p w14:paraId="3CEA9C92"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7</w:t>
            </w:r>
          </w:p>
        </w:tc>
        <w:tc>
          <w:tcPr>
            <w:tcW w:w="1280" w:type="dxa"/>
            <w:tcBorders>
              <w:top w:val="nil"/>
              <w:left w:val="nil"/>
              <w:bottom w:val="single" w:sz="4" w:space="0" w:color="auto"/>
              <w:right w:val="single" w:sz="4" w:space="0" w:color="auto"/>
            </w:tcBorders>
            <w:shd w:val="clear" w:color="auto" w:fill="auto"/>
            <w:vAlign w:val="center"/>
            <w:hideMark/>
          </w:tcPr>
          <w:p w14:paraId="0F856D40"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8</w:t>
            </w:r>
          </w:p>
        </w:tc>
        <w:tc>
          <w:tcPr>
            <w:tcW w:w="1400" w:type="dxa"/>
            <w:tcBorders>
              <w:top w:val="nil"/>
              <w:left w:val="nil"/>
              <w:bottom w:val="single" w:sz="4" w:space="0" w:color="auto"/>
              <w:right w:val="single" w:sz="4" w:space="0" w:color="auto"/>
            </w:tcBorders>
            <w:shd w:val="clear" w:color="auto" w:fill="auto"/>
            <w:vAlign w:val="center"/>
            <w:hideMark/>
          </w:tcPr>
          <w:p w14:paraId="0CBCEC6C"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9</w:t>
            </w:r>
          </w:p>
        </w:tc>
        <w:tc>
          <w:tcPr>
            <w:tcW w:w="1283" w:type="dxa"/>
            <w:tcBorders>
              <w:top w:val="nil"/>
              <w:left w:val="nil"/>
              <w:bottom w:val="single" w:sz="4" w:space="0" w:color="auto"/>
              <w:right w:val="single" w:sz="4" w:space="0" w:color="auto"/>
            </w:tcBorders>
            <w:shd w:val="clear" w:color="auto" w:fill="auto"/>
            <w:vAlign w:val="center"/>
            <w:hideMark/>
          </w:tcPr>
          <w:p w14:paraId="46C6993E"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10</w:t>
            </w:r>
          </w:p>
        </w:tc>
      </w:tr>
      <w:tr w:rsidR="007A414D" w:rsidRPr="007A414D" w14:paraId="61699904" w14:textId="77777777" w:rsidTr="007A414D">
        <w:trPr>
          <w:trHeight w:val="270"/>
        </w:trPr>
        <w:tc>
          <w:tcPr>
            <w:tcW w:w="2268" w:type="dxa"/>
            <w:tcBorders>
              <w:top w:val="nil"/>
              <w:left w:val="single" w:sz="4" w:space="0" w:color="auto"/>
              <w:bottom w:val="single" w:sz="4" w:space="0" w:color="auto"/>
              <w:right w:val="single" w:sz="4" w:space="0" w:color="auto"/>
            </w:tcBorders>
            <w:shd w:val="clear" w:color="auto" w:fill="auto"/>
            <w:vAlign w:val="center"/>
            <w:hideMark/>
          </w:tcPr>
          <w:p w14:paraId="10A955C2" w14:textId="77777777" w:rsidR="007A414D" w:rsidRPr="007A414D" w:rsidRDefault="007A414D" w:rsidP="007A414D">
            <w:pPr>
              <w:ind w:firstLine="0"/>
              <w:jc w:val="left"/>
              <w:rPr>
                <w:rFonts w:eastAsia="Times New Roman" w:cs="Times New Roman"/>
                <w:szCs w:val="24"/>
                <w:lang w:eastAsia="ru-RU"/>
              </w:rPr>
            </w:pPr>
            <w:r w:rsidRPr="007A414D">
              <w:rPr>
                <w:rFonts w:eastAsia="Times New Roman" w:cs="Times New Roman"/>
                <w:szCs w:val="24"/>
                <w:lang w:eastAsia="ru-RU"/>
              </w:rPr>
              <w:t>Абыйский у</w:t>
            </w:r>
          </w:p>
        </w:tc>
        <w:tc>
          <w:tcPr>
            <w:tcW w:w="1216" w:type="dxa"/>
            <w:tcBorders>
              <w:top w:val="nil"/>
              <w:left w:val="nil"/>
              <w:bottom w:val="single" w:sz="4" w:space="0" w:color="auto"/>
              <w:right w:val="single" w:sz="4" w:space="0" w:color="auto"/>
            </w:tcBorders>
            <w:shd w:val="clear" w:color="auto" w:fill="auto"/>
            <w:noWrap/>
            <w:vAlign w:val="bottom"/>
            <w:hideMark/>
          </w:tcPr>
          <w:p w14:paraId="4B4BA65A" w14:textId="77777777" w:rsidR="007A414D" w:rsidRPr="007A414D" w:rsidRDefault="007A414D" w:rsidP="007A414D">
            <w:pPr>
              <w:ind w:firstLine="0"/>
              <w:jc w:val="left"/>
              <w:rPr>
                <w:rFonts w:eastAsia="Times New Roman" w:cs="Times New Roman"/>
                <w:szCs w:val="24"/>
                <w:lang w:eastAsia="ru-RU"/>
              </w:rPr>
            </w:pPr>
            <w:r w:rsidRPr="007A414D">
              <w:rPr>
                <w:rFonts w:eastAsia="Times New Roman" w:cs="Times New Roman"/>
                <w:szCs w:val="24"/>
                <w:lang w:eastAsia="ru-RU"/>
              </w:rPr>
              <w:t>-</w:t>
            </w:r>
          </w:p>
        </w:tc>
        <w:tc>
          <w:tcPr>
            <w:tcW w:w="1280" w:type="dxa"/>
            <w:tcBorders>
              <w:top w:val="nil"/>
              <w:left w:val="nil"/>
              <w:bottom w:val="single" w:sz="4" w:space="0" w:color="auto"/>
              <w:right w:val="single" w:sz="4" w:space="0" w:color="auto"/>
            </w:tcBorders>
            <w:shd w:val="clear" w:color="auto" w:fill="auto"/>
            <w:vAlign w:val="center"/>
            <w:hideMark/>
          </w:tcPr>
          <w:p w14:paraId="3039B159"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11 197,19  </w:t>
            </w:r>
          </w:p>
        </w:tc>
        <w:tc>
          <w:tcPr>
            <w:tcW w:w="1280" w:type="dxa"/>
            <w:tcBorders>
              <w:top w:val="nil"/>
              <w:left w:val="nil"/>
              <w:bottom w:val="single" w:sz="4" w:space="0" w:color="auto"/>
              <w:right w:val="single" w:sz="4" w:space="0" w:color="auto"/>
            </w:tcBorders>
            <w:shd w:val="clear" w:color="auto" w:fill="auto"/>
            <w:vAlign w:val="center"/>
            <w:hideMark/>
          </w:tcPr>
          <w:p w14:paraId="30557754"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7 325,56  </w:t>
            </w:r>
          </w:p>
        </w:tc>
        <w:tc>
          <w:tcPr>
            <w:tcW w:w="1280" w:type="dxa"/>
            <w:tcBorders>
              <w:top w:val="nil"/>
              <w:left w:val="nil"/>
              <w:bottom w:val="single" w:sz="4" w:space="0" w:color="auto"/>
              <w:right w:val="single" w:sz="4" w:space="0" w:color="auto"/>
            </w:tcBorders>
            <w:shd w:val="clear" w:color="auto" w:fill="auto"/>
            <w:vAlign w:val="center"/>
            <w:hideMark/>
          </w:tcPr>
          <w:p w14:paraId="59CF9CBE"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17 421,55  </w:t>
            </w:r>
          </w:p>
        </w:tc>
        <w:tc>
          <w:tcPr>
            <w:tcW w:w="1280" w:type="dxa"/>
            <w:tcBorders>
              <w:top w:val="nil"/>
              <w:left w:val="nil"/>
              <w:bottom w:val="single" w:sz="4" w:space="0" w:color="auto"/>
              <w:right w:val="single" w:sz="4" w:space="0" w:color="auto"/>
            </w:tcBorders>
            <w:shd w:val="clear" w:color="auto" w:fill="auto"/>
            <w:vAlign w:val="center"/>
            <w:hideMark/>
          </w:tcPr>
          <w:p w14:paraId="0CBD0CF4"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9 002,28  </w:t>
            </w:r>
          </w:p>
        </w:tc>
        <w:tc>
          <w:tcPr>
            <w:tcW w:w="1280" w:type="dxa"/>
            <w:tcBorders>
              <w:top w:val="nil"/>
              <w:left w:val="nil"/>
              <w:bottom w:val="single" w:sz="4" w:space="0" w:color="auto"/>
              <w:right w:val="single" w:sz="4" w:space="0" w:color="auto"/>
            </w:tcBorders>
            <w:shd w:val="clear" w:color="auto" w:fill="auto"/>
            <w:vAlign w:val="center"/>
            <w:hideMark/>
          </w:tcPr>
          <w:p w14:paraId="4BA69DA5"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6 702,03  </w:t>
            </w:r>
          </w:p>
        </w:tc>
        <w:tc>
          <w:tcPr>
            <w:tcW w:w="1280" w:type="dxa"/>
            <w:tcBorders>
              <w:top w:val="nil"/>
              <w:left w:val="nil"/>
              <w:bottom w:val="single" w:sz="4" w:space="0" w:color="auto"/>
              <w:right w:val="single" w:sz="4" w:space="0" w:color="auto"/>
            </w:tcBorders>
            <w:shd w:val="clear" w:color="auto" w:fill="auto"/>
            <w:vAlign w:val="center"/>
            <w:hideMark/>
          </w:tcPr>
          <w:p w14:paraId="51FA94D6"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5 135,24  </w:t>
            </w:r>
          </w:p>
        </w:tc>
        <w:tc>
          <w:tcPr>
            <w:tcW w:w="1280" w:type="dxa"/>
            <w:tcBorders>
              <w:top w:val="nil"/>
              <w:left w:val="nil"/>
              <w:bottom w:val="single" w:sz="4" w:space="0" w:color="auto"/>
              <w:right w:val="single" w:sz="4" w:space="0" w:color="auto"/>
            </w:tcBorders>
            <w:shd w:val="clear" w:color="auto" w:fill="auto"/>
            <w:vAlign w:val="center"/>
            <w:hideMark/>
          </w:tcPr>
          <w:p w14:paraId="152CC40A"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2 715,79  </w:t>
            </w:r>
          </w:p>
        </w:tc>
        <w:tc>
          <w:tcPr>
            <w:tcW w:w="1400" w:type="dxa"/>
            <w:tcBorders>
              <w:top w:val="nil"/>
              <w:left w:val="nil"/>
              <w:bottom w:val="single" w:sz="4" w:space="0" w:color="auto"/>
              <w:right w:val="single" w:sz="4" w:space="0" w:color="auto"/>
            </w:tcBorders>
            <w:shd w:val="clear" w:color="auto" w:fill="auto"/>
            <w:vAlign w:val="center"/>
            <w:hideMark/>
          </w:tcPr>
          <w:p w14:paraId="7169757E"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5 828,02  </w:t>
            </w:r>
          </w:p>
        </w:tc>
        <w:tc>
          <w:tcPr>
            <w:tcW w:w="1283" w:type="dxa"/>
            <w:tcBorders>
              <w:top w:val="nil"/>
              <w:left w:val="nil"/>
              <w:bottom w:val="single" w:sz="4" w:space="0" w:color="auto"/>
              <w:right w:val="single" w:sz="4" w:space="0" w:color="auto"/>
            </w:tcBorders>
            <w:shd w:val="clear" w:color="auto" w:fill="auto"/>
            <w:vAlign w:val="center"/>
            <w:hideMark/>
          </w:tcPr>
          <w:p w14:paraId="75CD5603"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447,92  </w:t>
            </w:r>
          </w:p>
        </w:tc>
      </w:tr>
      <w:tr w:rsidR="007A414D" w:rsidRPr="007A414D" w14:paraId="2C4C745B" w14:textId="77777777" w:rsidTr="007A414D">
        <w:trPr>
          <w:trHeight w:val="270"/>
        </w:trPr>
        <w:tc>
          <w:tcPr>
            <w:tcW w:w="2268" w:type="dxa"/>
            <w:tcBorders>
              <w:top w:val="nil"/>
              <w:left w:val="single" w:sz="4" w:space="0" w:color="auto"/>
              <w:bottom w:val="single" w:sz="4" w:space="0" w:color="auto"/>
              <w:right w:val="single" w:sz="4" w:space="0" w:color="auto"/>
            </w:tcBorders>
            <w:shd w:val="clear" w:color="auto" w:fill="auto"/>
            <w:vAlign w:val="center"/>
            <w:hideMark/>
          </w:tcPr>
          <w:p w14:paraId="2B2005E5" w14:textId="77777777" w:rsidR="007A414D" w:rsidRPr="007A414D" w:rsidRDefault="007A414D" w:rsidP="007A414D">
            <w:pPr>
              <w:ind w:firstLine="0"/>
              <w:jc w:val="left"/>
              <w:rPr>
                <w:rFonts w:eastAsia="Times New Roman" w:cs="Times New Roman"/>
                <w:szCs w:val="24"/>
                <w:lang w:eastAsia="ru-RU"/>
              </w:rPr>
            </w:pPr>
            <w:r w:rsidRPr="007A414D">
              <w:rPr>
                <w:rFonts w:eastAsia="Times New Roman" w:cs="Times New Roman"/>
                <w:szCs w:val="24"/>
                <w:lang w:eastAsia="ru-RU"/>
              </w:rPr>
              <w:t>Алданский у</w:t>
            </w:r>
          </w:p>
        </w:tc>
        <w:tc>
          <w:tcPr>
            <w:tcW w:w="1216" w:type="dxa"/>
            <w:tcBorders>
              <w:top w:val="nil"/>
              <w:left w:val="nil"/>
              <w:bottom w:val="single" w:sz="4" w:space="0" w:color="auto"/>
              <w:right w:val="single" w:sz="4" w:space="0" w:color="auto"/>
            </w:tcBorders>
            <w:shd w:val="clear" w:color="auto" w:fill="auto"/>
            <w:vAlign w:val="center"/>
            <w:hideMark/>
          </w:tcPr>
          <w:p w14:paraId="068EFB0F"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26 430,35  </w:t>
            </w:r>
          </w:p>
        </w:tc>
        <w:tc>
          <w:tcPr>
            <w:tcW w:w="1280" w:type="dxa"/>
            <w:tcBorders>
              <w:top w:val="nil"/>
              <w:left w:val="nil"/>
              <w:bottom w:val="single" w:sz="4" w:space="0" w:color="auto"/>
              <w:right w:val="single" w:sz="4" w:space="0" w:color="auto"/>
            </w:tcBorders>
            <w:shd w:val="clear" w:color="auto" w:fill="auto"/>
            <w:vAlign w:val="center"/>
            <w:hideMark/>
          </w:tcPr>
          <w:p w14:paraId="36423243"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13 545,29  </w:t>
            </w:r>
          </w:p>
        </w:tc>
        <w:tc>
          <w:tcPr>
            <w:tcW w:w="1280" w:type="dxa"/>
            <w:tcBorders>
              <w:top w:val="nil"/>
              <w:left w:val="nil"/>
              <w:bottom w:val="single" w:sz="4" w:space="0" w:color="auto"/>
              <w:right w:val="single" w:sz="4" w:space="0" w:color="auto"/>
            </w:tcBorders>
            <w:shd w:val="clear" w:color="auto" w:fill="auto"/>
            <w:vAlign w:val="center"/>
            <w:hideMark/>
          </w:tcPr>
          <w:p w14:paraId="248EF694"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8 671,47  </w:t>
            </w:r>
          </w:p>
        </w:tc>
        <w:tc>
          <w:tcPr>
            <w:tcW w:w="1280" w:type="dxa"/>
            <w:tcBorders>
              <w:top w:val="nil"/>
              <w:left w:val="nil"/>
              <w:bottom w:val="single" w:sz="4" w:space="0" w:color="auto"/>
              <w:right w:val="single" w:sz="4" w:space="0" w:color="auto"/>
            </w:tcBorders>
            <w:shd w:val="clear" w:color="auto" w:fill="auto"/>
            <w:vAlign w:val="center"/>
            <w:hideMark/>
          </w:tcPr>
          <w:p w14:paraId="1B96551F"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20 968,77  </w:t>
            </w:r>
          </w:p>
        </w:tc>
        <w:tc>
          <w:tcPr>
            <w:tcW w:w="1280" w:type="dxa"/>
            <w:tcBorders>
              <w:top w:val="nil"/>
              <w:left w:val="nil"/>
              <w:bottom w:val="single" w:sz="4" w:space="0" w:color="auto"/>
              <w:right w:val="single" w:sz="4" w:space="0" w:color="auto"/>
            </w:tcBorders>
            <w:shd w:val="clear" w:color="auto" w:fill="auto"/>
            <w:vAlign w:val="center"/>
            <w:hideMark/>
          </w:tcPr>
          <w:p w14:paraId="714C596E"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15 985,58  </w:t>
            </w:r>
          </w:p>
        </w:tc>
        <w:tc>
          <w:tcPr>
            <w:tcW w:w="1280" w:type="dxa"/>
            <w:tcBorders>
              <w:top w:val="nil"/>
              <w:left w:val="nil"/>
              <w:bottom w:val="single" w:sz="4" w:space="0" w:color="auto"/>
              <w:right w:val="single" w:sz="4" w:space="0" w:color="auto"/>
            </w:tcBorders>
            <w:shd w:val="clear" w:color="auto" w:fill="auto"/>
            <w:vAlign w:val="center"/>
            <w:hideMark/>
          </w:tcPr>
          <w:p w14:paraId="190FC2A1"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10 869,34  </w:t>
            </w:r>
          </w:p>
        </w:tc>
        <w:tc>
          <w:tcPr>
            <w:tcW w:w="1280" w:type="dxa"/>
            <w:tcBorders>
              <w:top w:val="nil"/>
              <w:left w:val="nil"/>
              <w:bottom w:val="single" w:sz="4" w:space="0" w:color="auto"/>
              <w:right w:val="single" w:sz="4" w:space="0" w:color="auto"/>
            </w:tcBorders>
            <w:shd w:val="clear" w:color="auto" w:fill="auto"/>
            <w:vAlign w:val="center"/>
            <w:hideMark/>
          </w:tcPr>
          <w:p w14:paraId="0CAA6319"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8 075,93  </w:t>
            </w:r>
          </w:p>
        </w:tc>
        <w:tc>
          <w:tcPr>
            <w:tcW w:w="1280" w:type="dxa"/>
            <w:tcBorders>
              <w:top w:val="nil"/>
              <w:left w:val="nil"/>
              <w:bottom w:val="single" w:sz="4" w:space="0" w:color="auto"/>
              <w:right w:val="single" w:sz="4" w:space="0" w:color="auto"/>
            </w:tcBorders>
            <w:shd w:val="clear" w:color="auto" w:fill="auto"/>
            <w:vAlign w:val="center"/>
            <w:hideMark/>
          </w:tcPr>
          <w:p w14:paraId="7FA869EE"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12 273,89  </w:t>
            </w:r>
          </w:p>
        </w:tc>
        <w:tc>
          <w:tcPr>
            <w:tcW w:w="1400" w:type="dxa"/>
            <w:tcBorders>
              <w:top w:val="nil"/>
              <w:left w:val="nil"/>
              <w:bottom w:val="single" w:sz="4" w:space="0" w:color="auto"/>
              <w:right w:val="single" w:sz="4" w:space="0" w:color="auto"/>
            </w:tcBorders>
            <w:shd w:val="clear" w:color="auto" w:fill="auto"/>
            <w:vAlign w:val="center"/>
            <w:hideMark/>
          </w:tcPr>
          <w:p w14:paraId="7AF4C3F9"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8 523,65  </w:t>
            </w:r>
          </w:p>
        </w:tc>
        <w:tc>
          <w:tcPr>
            <w:tcW w:w="1283" w:type="dxa"/>
            <w:tcBorders>
              <w:top w:val="nil"/>
              <w:left w:val="nil"/>
              <w:bottom w:val="single" w:sz="4" w:space="0" w:color="auto"/>
              <w:right w:val="single" w:sz="4" w:space="0" w:color="auto"/>
            </w:tcBorders>
            <w:shd w:val="clear" w:color="auto" w:fill="auto"/>
            <w:vAlign w:val="center"/>
            <w:hideMark/>
          </w:tcPr>
          <w:p w14:paraId="1B0F12AF"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1 472,19  </w:t>
            </w:r>
          </w:p>
        </w:tc>
      </w:tr>
      <w:tr w:rsidR="007A414D" w:rsidRPr="007A414D" w14:paraId="63A41B50" w14:textId="77777777" w:rsidTr="007A414D">
        <w:trPr>
          <w:trHeight w:val="270"/>
        </w:trPr>
        <w:tc>
          <w:tcPr>
            <w:tcW w:w="2268" w:type="dxa"/>
            <w:tcBorders>
              <w:top w:val="nil"/>
              <w:left w:val="single" w:sz="4" w:space="0" w:color="auto"/>
              <w:bottom w:val="single" w:sz="4" w:space="0" w:color="auto"/>
              <w:right w:val="single" w:sz="4" w:space="0" w:color="auto"/>
            </w:tcBorders>
            <w:shd w:val="clear" w:color="auto" w:fill="auto"/>
            <w:vAlign w:val="center"/>
            <w:hideMark/>
          </w:tcPr>
          <w:p w14:paraId="0C18840E" w14:textId="77777777" w:rsidR="007A414D" w:rsidRPr="007A414D" w:rsidRDefault="007A414D" w:rsidP="007A414D">
            <w:pPr>
              <w:ind w:firstLine="0"/>
              <w:jc w:val="left"/>
              <w:rPr>
                <w:rFonts w:eastAsia="Times New Roman" w:cs="Times New Roman"/>
                <w:szCs w:val="24"/>
                <w:lang w:eastAsia="ru-RU"/>
              </w:rPr>
            </w:pPr>
            <w:r w:rsidRPr="007A414D">
              <w:rPr>
                <w:rFonts w:eastAsia="Times New Roman" w:cs="Times New Roman"/>
                <w:szCs w:val="24"/>
                <w:lang w:eastAsia="ru-RU"/>
              </w:rPr>
              <w:t>Аллаиховский у</w:t>
            </w:r>
          </w:p>
        </w:tc>
        <w:tc>
          <w:tcPr>
            <w:tcW w:w="1216" w:type="dxa"/>
            <w:tcBorders>
              <w:top w:val="nil"/>
              <w:left w:val="nil"/>
              <w:bottom w:val="single" w:sz="4" w:space="0" w:color="auto"/>
              <w:right w:val="single" w:sz="4" w:space="0" w:color="auto"/>
            </w:tcBorders>
            <w:shd w:val="clear" w:color="auto" w:fill="auto"/>
            <w:vAlign w:val="center"/>
            <w:hideMark/>
          </w:tcPr>
          <w:p w14:paraId="238EBB05"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17 826,82  </w:t>
            </w:r>
          </w:p>
        </w:tc>
        <w:tc>
          <w:tcPr>
            <w:tcW w:w="1280" w:type="dxa"/>
            <w:tcBorders>
              <w:top w:val="nil"/>
              <w:left w:val="nil"/>
              <w:bottom w:val="single" w:sz="4" w:space="0" w:color="auto"/>
              <w:right w:val="single" w:sz="4" w:space="0" w:color="auto"/>
            </w:tcBorders>
            <w:shd w:val="clear" w:color="auto" w:fill="auto"/>
            <w:vAlign w:val="center"/>
            <w:hideMark/>
          </w:tcPr>
          <w:p w14:paraId="35A96F8E"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6 052,03  </w:t>
            </w:r>
          </w:p>
        </w:tc>
        <w:tc>
          <w:tcPr>
            <w:tcW w:w="1280" w:type="dxa"/>
            <w:tcBorders>
              <w:top w:val="nil"/>
              <w:left w:val="nil"/>
              <w:bottom w:val="single" w:sz="4" w:space="0" w:color="auto"/>
              <w:right w:val="single" w:sz="4" w:space="0" w:color="auto"/>
            </w:tcBorders>
            <w:shd w:val="clear" w:color="auto" w:fill="auto"/>
            <w:vAlign w:val="center"/>
            <w:hideMark/>
          </w:tcPr>
          <w:p w14:paraId="40297207"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7 152,80  </w:t>
            </w:r>
          </w:p>
        </w:tc>
        <w:tc>
          <w:tcPr>
            <w:tcW w:w="1280" w:type="dxa"/>
            <w:tcBorders>
              <w:top w:val="nil"/>
              <w:left w:val="nil"/>
              <w:bottom w:val="single" w:sz="4" w:space="0" w:color="auto"/>
              <w:right w:val="single" w:sz="4" w:space="0" w:color="auto"/>
            </w:tcBorders>
            <w:shd w:val="clear" w:color="auto" w:fill="auto"/>
            <w:vAlign w:val="center"/>
            <w:hideMark/>
          </w:tcPr>
          <w:p w14:paraId="11084F69"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19 608,75  </w:t>
            </w:r>
          </w:p>
        </w:tc>
        <w:tc>
          <w:tcPr>
            <w:tcW w:w="1280" w:type="dxa"/>
            <w:tcBorders>
              <w:top w:val="nil"/>
              <w:left w:val="nil"/>
              <w:bottom w:val="single" w:sz="4" w:space="0" w:color="auto"/>
              <w:right w:val="single" w:sz="4" w:space="0" w:color="auto"/>
            </w:tcBorders>
            <w:shd w:val="clear" w:color="auto" w:fill="auto"/>
            <w:vAlign w:val="center"/>
            <w:hideMark/>
          </w:tcPr>
          <w:p w14:paraId="06DB32F5"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11 301,17  </w:t>
            </w:r>
          </w:p>
        </w:tc>
        <w:tc>
          <w:tcPr>
            <w:tcW w:w="1280" w:type="dxa"/>
            <w:tcBorders>
              <w:top w:val="nil"/>
              <w:left w:val="nil"/>
              <w:bottom w:val="single" w:sz="4" w:space="0" w:color="auto"/>
              <w:right w:val="single" w:sz="4" w:space="0" w:color="auto"/>
            </w:tcBorders>
            <w:shd w:val="clear" w:color="auto" w:fill="auto"/>
            <w:vAlign w:val="center"/>
            <w:hideMark/>
          </w:tcPr>
          <w:p w14:paraId="223EA33E"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8 361,07  </w:t>
            </w:r>
          </w:p>
        </w:tc>
        <w:tc>
          <w:tcPr>
            <w:tcW w:w="1280" w:type="dxa"/>
            <w:tcBorders>
              <w:top w:val="nil"/>
              <w:left w:val="nil"/>
              <w:bottom w:val="single" w:sz="4" w:space="0" w:color="auto"/>
              <w:right w:val="single" w:sz="4" w:space="0" w:color="auto"/>
            </w:tcBorders>
            <w:shd w:val="clear" w:color="auto" w:fill="auto"/>
            <w:vAlign w:val="center"/>
            <w:hideMark/>
          </w:tcPr>
          <w:p w14:paraId="58094AE1"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5 690,90  </w:t>
            </w:r>
          </w:p>
        </w:tc>
        <w:tc>
          <w:tcPr>
            <w:tcW w:w="1280" w:type="dxa"/>
            <w:tcBorders>
              <w:top w:val="nil"/>
              <w:left w:val="nil"/>
              <w:bottom w:val="single" w:sz="4" w:space="0" w:color="auto"/>
              <w:right w:val="single" w:sz="4" w:space="0" w:color="auto"/>
            </w:tcBorders>
            <w:shd w:val="clear" w:color="auto" w:fill="auto"/>
            <w:vAlign w:val="center"/>
            <w:hideMark/>
          </w:tcPr>
          <w:p w14:paraId="778A6CE8"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15 373,97  </w:t>
            </w:r>
          </w:p>
        </w:tc>
        <w:tc>
          <w:tcPr>
            <w:tcW w:w="1400" w:type="dxa"/>
            <w:tcBorders>
              <w:top w:val="nil"/>
              <w:left w:val="nil"/>
              <w:bottom w:val="single" w:sz="4" w:space="0" w:color="auto"/>
              <w:right w:val="single" w:sz="4" w:space="0" w:color="auto"/>
            </w:tcBorders>
            <w:shd w:val="clear" w:color="auto" w:fill="auto"/>
            <w:vAlign w:val="center"/>
            <w:hideMark/>
          </w:tcPr>
          <w:p w14:paraId="1480F1F3"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5 425,55  </w:t>
            </w:r>
          </w:p>
        </w:tc>
        <w:tc>
          <w:tcPr>
            <w:tcW w:w="1283" w:type="dxa"/>
            <w:tcBorders>
              <w:top w:val="nil"/>
              <w:left w:val="nil"/>
              <w:bottom w:val="single" w:sz="4" w:space="0" w:color="auto"/>
              <w:right w:val="single" w:sz="4" w:space="0" w:color="auto"/>
            </w:tcBorders>
            <w:shd w:val="clear" w:color="auto" w:fill="auto"/>
            <w:vAlign w:val="center"/>
            <w:hideMark/>
          </w:tcPr>
          <w:p w14:paraId="31CEBFE2"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359,02  </w:t>
            </w:r>
          </w:p>
        </w:tc>
      </w:tr>
      <w:tr w:rsidR="007A414D" w:rsidRPr="007A414D" w14:paraId="39DE576D" w14:textId="77777777" w:rsidTr="007A414D">
        <w:trPr>
          <w:trHeight w:val="270"/>
        </w:trPr>
        <w:tc>
          <w:tcPr>
            <w:tcW w:w="2268" w:type="dxa"/>
            <w:tcBorders>
              <w:top w:val="nil"/>
              <w:left w:val="single" w:sz="4" w:space="0" w:color="auto"/>
              <w:bottom w:val="single" w:sz="4" w:space="0" w:color="auto"/>
              <w:right w:val="single" w:sz="4" w:space="0" w:color="auto"/>
            </w:tcBorders>
            <w:shd w:val="clear" w:color="auto" w:fill="auto"/>
            <w:vAlign w:val="center"/>
            <w:hideMark/>
          </w:tcPr>
          <w:p w14:paraId="29B8C094" w14:textId="77777777" w:rsidR="007A414D" w:rsidRPr="007A414D" w:rsidRDefault="007A414D" w:rsidP="007A414D">
            <w:pPr>
              <w:ind w:firstLine="0"/>
              <w:jc w:val="left"/>
              <w:rPr>
                <w:rFonts w:eastAsia="Times New Roman" w:cs="Times New Roman"/>
                <w:szCs w:val="24"/>
                <w:lang w:eastAsia="ru-RU"/>
              </w:rPr>
            </w:pPr>
            <w:r w:rsidRPr="007A414D">
              <w:rPr>
                <w:rFonts w:eastAsia="Times New Roman" w:cs="Times New Roman"/>
                <w:szCs w:val="24"/>
                <w:lang w:eastAsia="ru-RU"/>
              </w:rPr>
              <w:t>Амгинский у</w:t>
            </w:r>
          </w:p>
        </w:tc>
        <w:tc>
          <w:tcPr>
            <w:tcW w:w="1216" w:type="dxa"/>
            <w:tcBorders>
              <w:top w:val="nil"/>
              <w:left w:val="nil"/>
              <w:bottom w:val="single" w:sz="4" w:space="0" w:color="auto"/>
              <w:right w:val="single" w:sz="4" w:space="0" w:color="auto"/>
            </w:tcBorders>
            <w:shd w:val="clear" w:color="auto" w:fill="auto"/>
            <w:vAlign w:val="center"/>
            <w:hideMark/>
          </w:tcPr>
          <w:p w14:paraId="2FC0B28D"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15 196,44  </w:t>
            </w:r>
          </w:p>
        </w:tc>
        <w:tc>
          <w:tcPr>
            <w:tcW w:w="1280" w:type="dxa"/>
            <w:tcBorders>
              <w:top w:val="nil"/>
              <w:left w:val="nil"/>
              <w:bottom w:val="single" w:sz="4" w:space="0" w:color="auto"/>
              <w:right w:val="single" w:sz="4" w:space="0" w:color="auto"/>
            </w:tcBorders>
            <w:shd w:val="clear" w:color="auto" w:fill="auto"/>
            <w:vAlign w:val="center"/>
            <w:hideMark/>
          </w:tcPr>
          <w:p w14:paraId="0E8E9B53"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7 839,59  </w:t>
            </w:r>
          </w:p>
        </w:tc>
        <w:tc>
          <w:tcPr>
            <w:tcW w:w="1280" w:type="dxa"/>
            <w:tcBorders>
              <w:top w:val="nil"/>
              <w:left w:val="nil"/>
              <w:bottom w:val="single" w:sz="4" w:space="0" w:color="auto"/>
              <w:right w:val="single" w:sz="4" w:space="0" w:color="auto"/>
            </w:tcBorders>
            <w:shd w:val="clear" w:color="auto" w:fill="auto"/>
            <w:vAlign w:val="center"/>
            <w:hideMark/>
          </w:tcPr>
          <w:p w14:paraId="0FE9794D"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9 333,45  </w:t>
            </w:r>
          </w:p>
        </w:tc>
        <w:tc>
          <w:tcPr>
            <w:tcW w:w="1280" w:type="dxa"/>
            <w:tcBorders>
              <w:top w:val="nil"/>
              <w:left w:val="nil"/>
              <w:bottom w:val="single" w:sz="4" w:space="0" w:color="auto"/>
              <w:right w:val="single" w:sz="4" w:space="0" w:color="auto"/>
            </w:tcBorders>
            <w:shd w:val="clear" w:color="auto" w:fill="auto"/>
            <w:vAlign w:val="center"/>
            <w:hideMark/>
          </w:tcPr>
          <w:p w14:paraId="0ADF30A7"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18 135,11  </w:t>
            </w:r>
          </w:p>
        </w:tc>
        <w:tc>
          <w:tcPr>
            <w:tcW w:w="1280" w:type="dxa"/>
            <w:tcBorders>
              <w:top w:val="nil"/>
              <w:left w:val="nil"/>
              <w:bottom w:val="single" w:sz="4" w:space="0" w:color="auto"/>
              <w:right w:val="single" w:sz="4" w:space="0" w:color="auto"/>
            </w:tcBorders>
            <w:shd w:val="clear" w:color="auto" w:fill="auto"/>
            <w:vAlign w:val="center"/>
            <w:hideMark/>
          </w:tcPr>
          <w:p w14:paraId="2F5A3A8E"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11 179,35  </w:t>
            </w:r>
          </w:p>
        </w:tc>
        <w:tc>
          <w:tcPr>
            <w:tcW w:w="1280" w:type="dxa"/>
            <w:tcBorders>
              <w:top w:val="nil"/>
              <w:left w:val="nil"/>
              <w:bottom w:val="single" w:sz="4" w:space="0" w:color="auto"/>
              <w:right w:val="single" w:sz="4" w:space="0" w:color="auto"/>
            </w:tcBorders>
            <w:shd w:val="clear" w:color="auto" w:fill="auto"/>
            <w:vAlign w:val="center"/>
            <w:hideMark/>
          </w:tcPr>
          <w:p w14:paraId="338522CB"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7 571,74  </w:t>
            </w:r>
          </w:p>
        </w:tc>
        <w:tc>
          <w:tcPr>
            <w:tcW w:w="1280" w:type="dxa"/>
            <w:tcBorders>
              <w:top w:val="nil"/>
              <w:left w:val="nil"/>
              <w:bottom w:val="single" w:sz="4" w:space="0" w:color="auto"/>
              <w:right w:val="single" w:sz="4" w:space="0" w:color="auto"/>
            </w:tcBorders>
            <w:shd w:val="clear" w:color="auto" w:fill="auto"/>
            <w:vAlign w:val="center"/>
            <w:hideMark/>
          </w:tcPr>
          <w:p w14:paraId="15948AFC"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5 257,98  </w:t>
            </w:r>
          </w:p>
        </w:tc>
        <w:tc>
          <w:tcPr>
            <w:tcW w:w="1280" w:type="dxa"/>
            <w:tcBorders>
              <w:top w:val="nil"/>
              <w:left w:val="nil"/>
              <w:bottom w:val="single" w:sz="4" w:space="0" w:color="auto"/>
              <w:right w:val="single" w:sz="4" w:space="0" w:color="auto"/>
            </w:tcBorders>
            <w:shd w:val="clear" w:color="auto" w:fill="auto"/>
            <w:vAlign w:val="center"/>
            <w:hideMark/>
          </w:tcPr>
          <w:p w14:paraId="7EA492BA"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8 960,89  </w:t>
            </w:r>
          </w:p>
        </w:tc>
        <w:tc>
          <w:tcPr>
            <w:tcW w:w="1400" w:type="dxa"/>
            <w:tcBorders>
              <w:top w:val="nil"/>
              <w:left w:val="nil"/>
              <w:bottom w:val="single" w:sz="4" w:space="0" w:color="auto"/>
              <w:right w:val="single" w:sz="4" w:space="0" w:color="auto"/>
            </w:tcBorders>
            <w:shd w:val="clear" w:color="auto" w:fill="auto"/>
            <w:vAlign w:val="center"/>
            <w:hideMark/>
          </w:tcPr>
          <w:p w14:paraId="0A9DD7B8"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5 352,68  </w:t>
            </w:r>
          </w:p>
        </w:tc>
        <w:tc>
          <w:tcPr>
            <w:tcW w:w="1283" w:type="dxa"/>
            <w:tcBorders>
              <w:top w:val="nil"/>
              <w:left w:val="nil"/>
              <w:bottom w:val="single" w:sz="4" w:space="0" w:color="auto"/>
              <w:right w:val="single" w:sz="4" w:space="0" w:color="auto"/>
            </w:tcBorders>
            <w:shd w:val="clear" w:color="auto" w:fill="auto"/>
            <w:vAlign w:val="center"/>
            <w:hideMark/>
          </w:tcPr>
          <w:p w14:paraId="646961EB"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3 084,54  </w:t>
            </w:r>
          </w:p>
        </w:tc>
      </w:tr>
      <w:tr w:rsidR="007A414D" w:rsidRPr="007A414D" w14:paraId="16879CA3" w14:textId="77777777" w:rsidTr="007A414D">
        <w:trPr>
          <w:trHeight w:val="270"/>
        </w:trPr>
        <w:tc>
          <w:tcPr>
            <w:tcW w:w="2268" w:type="dxa"/>
            <w:tcBorders>
              <w:top w:val="nil"/>
              <w:left w:val="single" w:sz="4" w:space="0" w:color="auto"/>
              <w:bottom w:val="single" w:sz="4" w:space="0" w:color="auto"/>
              <w:right w:val="single" w:sz="4" w:space="0" w:color="auto"/>
            </w:tcBorders>
            <w:shd w:val="clear" w:color="auto" w:fill="auto"/>
            <w:vAlign w:val="center"/>
            <w:hideMark/>
          </w:tcPr>
          <w:p w14:paraId="21CCCF62" w14:textId="77777777" w:rsidR="007A414D" w:rsidRPr="007A414D" w:rsidRDefault="007A414D" w:rsidP="007A414D">
            <w:pPr>
              <w:ind w:firstLine="0"/>
              <w:jc w:val="left"/>
              <w:rPr>
                <w:rFonts w:eastAsia="Times New Roman" w:cs="Times New Roman"/>
                <w:szCs w:val="24"/>
                <w:lang w:eastAsia="ru-RU"/>
              </w:rPr>
            </w:pPr>
            <w:r w:rsidRPr="007A414D">
              <w:rPr>
                <w:rFonts w:eastAsia="Times New Roman" w:cs="Times New Roman"/>
                <w:szCs w:val="24"/>
                <w:lang w:eastAsia="ru-RU"/>
              </w:rPr>
              <w:t>Анабарский у</w:t>
            </w:r>
          </w:p>
        </w:tc>
        <w:tc>
          <w:tcPr>
            <w:tcW w:w="1216" w:type="dxa"/>
            <w:tcBorders>
              <w:top w:val="nil"/>
              <w:left w:val="nil"/>
              <w:bottom w:val="single" w:sz="4" w:space="0" w:color="auto"/>
              <w:right w:val="single" w:sz="4" w:space="0" w:color="auto"/>
            </w:tcBorders>
            <w:shd w:val="clear" w:color="auto" w:fill="auto"/>
            <w:vAlign w:val="center"/>
            <w:hideMark/>
          </w:tcPr>
          <w:p w14:paraId="493CB3D3"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15 406,73  </w:t>
            </w:r>
          </w:p>
        </w:tc>
        <w:tc>
          <w:tcPr>
            <w:tcW w:w="1280" w:type="dxa"/>
            <w:tcBorders>
              <w:top w:val="nil"/>
              <w:left w:val="nil"/>
              <w:bottom w:val="single" w:sz="4" w:space="0" w:color="auto"/>
              <w:right w:val="single" w:sz="4" w:space="0" w:color="auto"/>
            </w:tcBorders>
            <w:shd w:val="clear" w:color="auto" w:fill="auto"/>
            <w:vAlign w:val="center"/>
            <w:hideMark/>
          </w:tcPr>
          <w:p w14:paraId="38CB7B99"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8 677,30  </w:t>
            </w:r>
          </w:p>
        </w:tc>
        <w:tc>
          <w:tcPr>
            <w:tcW w:w="1280" w:type="dxa"/>
            <w:tcBorders>
              <w:top w:val="nil"/>
              <w:left w:val="nil"/>
              <w:bottom w:val="single" w:sz="4" w:space="0" w:color="auto"/>
              <w:right w:val="single" w:sz="4" w:space="0" w:color="auto"/>
            </w:tcBorders>
            <w:shd w:val="clear" w:color="auto" w:fill="auto"/>
            <w:vAlign w:val="center"/>
            <w:hideMark/>
          </w:tcPr>
          <w:p w14:paraId="71515D2B"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7 294,17  </w:t>
            </w:r>
          </w:p>
        </w:tc>
        <w:tc>
          <w:tcPr>
            <w:tcW w:w="1280" w:type="dxa"/>
            <w:tcBorders>
              <w:top w:val="nil"/>
              <w:left w:val="nil"/>
              <w:bottom w:val="single" w:sz="4" w:space="0" w:color="auto"/>
              <w:right w:val="single" w:sz="4" w:space="0" w:color="auto"/>
            </w:tcBorders>
            <w:shd w:val="clear" w:color="auto" w:fill="auto"/>
            <w:vAlign w:val="center"/>
            <w:hideMark/>
          </w:tcPr>
          <w:p w14:paraId="59702A7D"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22 774,05  </w:t>
            </w:r>
          </w:p>
        </w:tc>
        <w:tc>
          <w:tcPr>
            <w:tcW w:w="1280" w:type="dxa"/>
            <w:tcBorders>
              <w:top w:val="nil"/>
              <w:left w:val="nil"/>
              <w:bottom w:val="single" w:sz="4" w:space="0" w:color="auto"/>
              <w:right w:val="single" w:sz="4" w:space="0" w:color="auto"/>
            </w:tcBorders>
            <w:shd w:val="clear" w:color="auto" w:fill="auto"/>
            <w:vAlign w:val="center"/>
            <w:hideMark/>
          </w:tcPr>
          <w:p w14:paraId="3F1ADE98"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24 216,33  </w:t>
            </w:r>
          </w:p>
        </w:tc>
        <w:tc>
          <w:tcPr>
            <w:tcW w:w="1280" w:type="dxa"/>
            <w:tcBorders>
              <w:top w:val="nil"/>
              <w:left w:val="nil"/>
              <w:bottom w:val="single" w:sz="4" w:space="0" w:color="auto"/>
              <w:right w:val="single" w:sz="4" w:space="0" w:color="auto"/>
            </w:tcBorders>
            <w:shd w:val="clear" w:color="auto" w:fill="auto"/>
            <w:vAlign w:val="center"/>
            <w:hideMark/>
          </w:tcPr>
          <w:p w14:paraId="04DA3740"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8 875,29  </w:t>
            </w:r>
          </w:p>
        </w:tc>
        <w:tc>
          <w:tcPr>
            <w:tcW w:w="1280" w:type="dxa"/>
            <w:tcBorders>
              <w:top w:val="nil"/>
              <w:left w:val="nil"/>
              <w:bottom w:val="single" w:sz="4" w:space="0" w:color="auto"/>
              <w:right w:val="single" w:sz="4" w:space="0" w:color="auto"/>
            </w:tcBorders>
            <w:shd w:val="clear" w:color="auto" w:fill="auto"/>
            <w:vAlign w:val="center"/>
            <w:hideMark/>
          </w:tcPr>
          <w:p w14:paraId="42865769"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6 680,04  </w:t>
            </w:r>
          </w:p>
        </w:tc>
        <w:tc>
          <w:tcPr>
            <w:tcW w:w="1280" w:type="dxa"/>
            <w:tcBorders>
              <w:top w:val="nil"/>
              <w:left w:val="nil"/>
              <w:bottom w:val="single" w:sz="4" w:space="0" w:color="auto"/>
              <w:right w:val="single" w:sz="4" w:space="0" w:color="auto"/>
            </w:tcBorders>
            <w:shd w:val="clear" w:color="auto" w:fill="auto"/>
            <w:vAlign w:val="center"/>
            <w:hideMark/>
          </w:tcPr>
          <w:p w14:paraId="36D423B9"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16 843,87  </w:t>
            </w:r>
          </w:p>
        </w:tc>
        <w:tc>
          <w:tcPr>
            <w:tcW w:w="1400" w:type="dxa"/>
            <w:tcBorders>
              <w:top w:val="nil"/>
              <w:left w:val="nil"/>
              <w:bottom w:val="single" w:sz="4" w:space="0" w:color="auto"/>
              <w:right w:val="single" w:sz="4" w:space="0" w:color="auto"/>
            </w:tcBorders>
            <w:shd w:val="clear" w:color="auto" w:fill="auto"/>
            <w:vAlign w:val="center"/>
            <w:hideMark/>
          </w:tcPr>
          <w:p w14:paraId="036B3C1D"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4 984,79  </w:t>
            </w:r>
          </w:p>
        </w:tc>
        <w:tc>
          <w:tcPr>
            <w:tcW w:w="1283" w:type="dxa"/>
            <w:tcBorders>
              <w:top w:val="nil"/>
              <w:left w:val="nil"/>
              <w:bottom w:val="single" w:sz="4" w:space="0" w:color="auto"/>
              <w:right w:val="single" w:sz="4" w:space="0" w:color="auto"/>
            </w:tcBorders>
            <w:shd w:val="clear" w:color="auto" w:fill="auto"/>
            <w:vAlign w:val="center"/>
            <w:hideMark/>
          </w:tcPr>
          <w:p w14:paraId="43EDD816"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651,09  </w:t>
            </w:r>
          </w:p>
        </w:tc>
      </w:tr>
      <w:tr w:rsidR="007A414D" w:rsidRPr="007A414D" w14:paraId="083711F3" w14:textId="77777777" w:rsidTr="007A414D">
        <w:trPr>
          <w:trHeight w:val="270"/>
        </w:trPr>
        <w:tc>
          <w:tcPr>
            <w:tcW w:w="2268" w:type="dxa"/>
            <w:tcBorders>
              <w:top w:val="nil"/>
              <w:left w:val="single" w:sz="4" w:space="0" w:color="auto"/>
              <w:bottom w:val="single" w:sz="4" w:space="0" w:color="auto"/>
              <w:right w:val="single" w:sz="4" w:space="0" w:color="auto"/>
            </w:tcBorders>
            <w:shd w:val="clear" w:color="auto" w:fill="auto"/>
            <w:vAlign w:val="center"/>
            <w:hideMark/>
          </w:tcPr>
          <w:p w14:paraId="6B90C81E" w14:textId="77777777" w:rsidR="007A414D" w:rsidRPr="007A414D" w:rsidRDefault="007A414D" w:rsidP="007A414D">
            <w:pPr>
              <w:ind w:firstLine="0"/>
              <w:jc w:val="left"/>
              <w:rPr>
                <w:rFonts w:eastAsia="Times New Roman" w:cs="Times New Roman"/>
                <w:szCs w:val="24"/>
                <w:lang w:eastAsia="ru-RU"/>
              </w:rPr>
            </w:pPr>
            <w:r w:rsidRPr="007A414D">
              <w:rPr>
                <w:rFonts w:eastAsia="Times New Roman" w:cs="Times New Roman"/>
                <w:szCs w:val="24"/>
                <w:lang w:eastAsia="ru-RU"/>
              </w:rPr>
              <w:t>Булунский у</w:t>
            </w:r>
          </w:p>
        </w:tc>
        <w:tc>
          <w:tcPr>
            <w:tcW w:w="1216" w:type="dxa"/>
            <w:tcBorders>
              <w:top w:val="nil"/>
              <w:left w:val="nil"/>
              <w:bottom w:val="single" w:sz="4" w:space="0" w:color="auto"/>
              <w:right w:val="single" w:sz="4" w:space="0" w:color="auto"/>
            </w:tcBorders>
            <w:shd w:val="clear" w:color="auto" w:fill="auto"/>
            <w:vAlign w:val="center"/>
            <w:hideMark/>
          </w:tcPr>
          <w:p w14:paraId="2C5A1BDD"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30 359,76  </w:t>
            </w:r>
          </w:p>
        </w:tc>
        <w:tc>
          <w:tcPr>
            <w:tcW w:w="1280" w:type="dxa"/>
            <w:tcBorders>
              <w:top w:val="nil"/>
              <w:left w:val="nil"/>
              <w:bottom w:val="single" w:sz="4" w:space="0" w:color="auto"/>
              <w:right w:val="single" w:sz="4" w:space="0" w:color="auto"/>
            </w:tcBorders>
            <w:shd w:val="clear" w:color="auto" w:fill="auto"/>
            <w:vAlign w:val="center"/>
            <w:hideMark/>
          </w:tcPr>
          <w:p w14:paraId="17EBB598"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8 726,85  </w:t>
            </w:r>
          </w:p>
        </w:tc>
        <w:tc>
          <w:tcPr>
            <w:tcW w:w="1280" w:type="dxa"/>
            <w:tcBorders>
              <w:top w:val="nil"/>
              <w:left w:val="nil"/>
              <w:bottom w:val="single" w:sz="4" w:space="0" w:color="auto"/>
              <w:right w:val="single" w:sz="4" w:space="0" w:color="auto"/>
            </w:tcBorders>
            <w:shd w:val="clear" w:color="auto" w:fill="auto"/>
            <w:vAlign w:val="center"/>
            <w:hideMark/>
          </w:tcPr>
          <w:p w14:paraId="48A2468F"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10 574,09  </w:t>
            </w:r>
          </w:p>
        </w:tc>
        <w:tc>
          <w:tcPr>
            <w:tcW w:w="1280" w:type="dxa"/>
            <w:tcBorders>
              <w:top w:val="nil"/>
              <w:left w:val="nil"/>
              <w:bottom w:val="single" w:sz="4" w:space="0" w:color="auto"/>
              <w:right w:val="single" w:sz="4" w:space="0" w:color="auto"/>
            </w:tcBorders>
            <w:shd w:val="clear" w:color="auto" w:fill="auto"/>
            <w:vAlign w:val="center"/>
            <w:hideMark/>
          </w:tcPr>
          <w:p w14:paraId="1479BA96"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22 174,71  </w:t>
            </w:r>
          </w:p>
        </w:tc>
        <w:tc>
          <w:tcPr>
            <w:tcW w:w="1280" w:type="dxa"/>
            <w:tcBorders>
              <w:top w:val="nil"/>
              <w:left w:val="nil"/>
              <w:bottom w:val="single" w:sz="4" w:space="0" w:color="auto"/>
              <w:right w:val="single" w:sz="4" w:space="0" w:color="auto"/>
            </w:tcBorders>
            <w:shd w:val="clear" w:color="auto" w:fill="auto"/>
            <w:vAlign w:val="center"/>
            <w:hideMark/>
          </w:tcPr>
          <w:p w14:paraId="1CF7CFC8"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9 872,01  </w:t>
            </w:r>
          </w:p>
        </w:tc>
        <w:tc>
          <w:tcPr>
            <w:tcW w:w="1280" w:type="dxa"/>
            <w:tcBorders>
              <w:top w:val="nil"/>
              <w:left w:val="nil"/>
              <w:bottom w:val="single" w:sz="4" w:space="0" w:color="auto"/>
              <w:right w:val="single" w:sz="4" w:space="0" w:color="auto"/>
            </w:tcBorders>
            <w:shd w:val="clear" w:color="auto" w:fill="auto"/>
            <w:vAlign w:val="center"/>
            <w:hideMark/>
          </w:tcPr>
          <w:p w14:paraId="69EAE37A"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9 655,01  </w:t>
            </w:r>
          </w:p>
        </w:tc>
        <w:tc>
          <w:tcPr>
            <w:tcW w:w="1280" w:type="dxa"/>
            <w:tcBorders>
              <w:top w:val="nil"/>
              <w:left w:val="nil"/>
              <w:bottom w:val="single" w:sz="4" w:space="0" w:color="auto"/>
              <w:right w:val="single" w:sz="4" w:space="0" w:color="auto"/>
            </w:tcBorders>
            <w:shd w:val="clear" w:color="auto" w:fill="auto"/>
            <w:vAlign w:val="center"/>
            <w:hideMark/>
          </w:tcPr>
          <w:p w14:paraId="7325A585"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8 169,87  </w:t>
            </w:r>
          </w:p>
        </w:tc>
        <w:tc>
          <w:tcPr>
            <w:tcW w:w="1280" w:type="dxa"/>
            <w:tcBorders>
              <w:top w:val="nil"/>
              <w:left w:val="nil"/>
              <w:bottom w:val="single" w:sz="4" w:space="0" w:color="auto"/>
              <w:right w:val="single" w:sz="4" w:space="0" w:color="auto"/>
            </w:tcBorders>
            <w:shd w:val="clear" w:color="auto" w:fill="auto"/>
            <w:vAlign w:val="center"/>
            <w:hideMark/>
          </w:tcPr>
          <w:p w14:paraId="064BD63B"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10 557,99  </w:t>
            </w:r>
          </w:p>
        </w:tc>
        <w:tc>
          <w:tcPr>
            <w:tcW w:w="1400" w:type="dxa"/>
            <w:tcBorders>
              <w:top w:val="nil"/>
              <w:left w:val="nil"/>
              <w:bottom w:val="single" w:sz="4" w:space="0" w:color="auto"/>
              <w:right w:val="single" w:sz="4" w:space="0" w:color="auto"/>
            </w:tcBorders>
            <w:shd w:val="clear" w:color="auto" w:fill="auto"/>
            <w:vAlign w:val="center"/>
            <w:hideMark/>
          </w:tcPr>
          <w:p w14:paraId="2666531A"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5 955,70  </w:t>
            </w:r>
          </w:p>
        </w:tc>
        <w:tc>
          <w:tcPr>
            <w:tcW w:w="1283" w:type="dxa"/>
            <w:tcBorders>
              <w:top w:val="nil"/>
              <w:left w:val="nil"/>
              <w:bottom w:val="single" w:sz="4" w:space="0" w:color="auto"/>
              <w:right w:val="single" w:sz="4" w:space="0" w:color="auto"/>
            </w:tcBorders>
            <w:shd w:val="clear" w:color="auto" w:fill="auto"/>
            <w:vAlign w:val="center"/>
            <w:hideMark/>
          </w:tcPr>
          <w:p w14:paraId="3E8ED2BA"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1 042,72  </w:t>
            </w:r>
          </w:p>
        </w:tc>
      </w:tr>
      <w:tr w:rsidR="007A414D" w:rsidRPr="007A414D" w14:paraId="09704560" w14:textId="77777777" w:rsidTr="007A414D">
        <w:trPr>
          <w:trHeight w:val="270"/>
        </w:trPr>
        <w:tc>
          <w:tcPr>
            <w:tcW w:w="2268" w:type="dxa"/>
            <w:tcBorders>
              <w:top w:val="nil"/>
              <w:left w:val="single" w:sz="4" w:space="0" w:color="auto"/>
              <w:bottom w:val="single" w:sz="4" w:space="0" w:color="auto"/>
              <w:right w:val="single" w:sz="4" w:space="0" w:color="auto"/>
            </w:tcBorders>
            <w:shd w:val="clear" w:color="auto" w:fill="auto"/>
            <w:vAlign w:val="center"/>
            <w:hideMark/>
          </w:tcPr>
          <w:p w14:paraId="43B84BBA" w14:textId="77777777" w:rsidR="007A414D" w:rsidRPr="007A414D" w:rsidRDefault="007A414D" w:rsidP="007A414D">
            <w:pPr>
              <w:ind w:firstLine="0"/>
              <w:jc w:val="left"/>
              <w:rPr>
                <w:rFonts w:eastAsia="Times New Roman" w:cs="Times New Roman"/>
                <w:szCs w:val="24"/>
                <w:lang w:eastAsia="ru-RU"/>
              </w:rPr>
            </w:pPr>
            <w:r w:rsidRPr="007A414D">
              <w:rPr>
                <w:rFonts w:eastAsia="Times New Roman" w:cs="Times New Roman"/>
                <w:szCs w:val="24"/>
                <w:lang w:eastAsia="ru-RU"/>
              </w:rPr>
              <w:t>Верхневилюйский у</w:t>
            </w:r>
          </w:p>
        </w:tc>
        <w:tc>
          <w:tcPr>
            <w:tcW w:w="1216" w:type="dxa"/>
            <w:tcBorders>
              <w:top w:val="nil"/>
              <w:left w:val="nil"/>
              <w:bottom w:val="single" w:sz="4" w:space="0" w:color="auto"/>
              <w:right w:val="single" w:sz="4" w:space="0" w:color="auto"/>
            </w:tcBorders>
            <w:shd w:val="clear" w:color="auto" w:fill="auto"/>
            <w:vAlign w:val="center"/>
            <w:hideMark/>
          </w:tcPr>
          <w:p w14:paraId="103DFE1B"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15 406,73  </w:t>
            </w:r>
          </w:p>
        </w:tc>
        <w:tc>
          <w:tcPr>
            <w:tcW w:w="1280" w:type="dxa"/>
            <w:tcBorders>
              <w:top w:val="nil"/>
              <w:left w:val="nil"/>
              <w:bottom w:val="single" w:sz="4" w:space="0" w:color="auto"/>
              <w:right w:val="single" w:sz="4" w:space="0" w:color="auto"/>
            </w:tcBorders>
            <w:shd w:val="clear" w:color="auto" w:fill="auto"/>
            <w:vAlign w:val="center"/>
            <w:hideMark/>
          </w:tcPr>
          <w:p w14:paraId="354A1BFD"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7 461,56  </w:t>
            </w:r>
          </w:p>
        </w:tc>
        <w:tc>
          <w:tcPr>
            <w:tcW w:w="1280" w:type="dxa"/>
            <w:tcBorders>
              <w:top w:val="nil"/>
              <w:left w:val="nil"/>
              <w:bottom w:val="single" w:sz="4" w:space="0" w:color="auto"/>
              <w:right w:val="single" w:sz="4" w:space="0" w:color="auto"/>
            </w:tcBorders>
            <w:shd w:val="clear" w:color="auto" w:fill="auto"/>
            <w:vAlign w:val="center"/>
            <w:hideMark/>
          </w:tcPr>
          <w:p w14:paraId="77208C01"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8 775,83  </w:t>
            </w:r>
          </w:p>
        </w:tc>
        <w:tc>
          <w:tcPr>
            <w:tcW w:w="1280" w:type="dxa"/>
            <w:tcBorders>
              <w:top w:val="nil"/>
              <w:left w:val="nil"/>
              <w:bottom w:val="single" w:sz="4" w:space="0" w:color="auto"/>
              <w:right w:val="single" w:sz="4" w:space="0" w:color="auto"/>
            </w:tcBorders>
            <w:shd w:val="clear" w:color="auto" w:fill="auto"/>
            <w:vAlign w:val="center"/>
            <w:hideMark/>
          </w:tcPr>
          <w:p w14:paraId="36A7ED10"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18 898,51  </w:t>
            </w:r>
          </w:p>
        </w:tc>
        <w:tc>
          <w:tcPr>
            <w:tcW w:w="1280" w:type="dxa"/>
            <w:tcBorders>
              <w:top w:val="nil"/>
              <w:left w:val="nil"/>
              <w:bottom w:val="single" w:sz="4" w:space="0" w:color="auto"/>
              <w:right w:val="single" w:sz="4" w:space="0" w:color="auto"/>
            </w:tcBorders>
            <w:shd w:val="clear" w:color="auto" w:fill="auto"/>
            <w:vAlign w:val="center"/>
            <w:hideMark/>
          </w:tcPr>
          <w:p w14:paraId="633E4B76"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11 854,01  </w:t>
            </w:r>
          </w:p>
        </w:tc>
        <w:tc>
          <w:tcPr>
            <w:tcW w:w="1280" w:type="dxa"/>
            <w:tcBorders>
              <w:top w:val="nil"/>
              <w:left w:val="nil"/>
              <w:bottom w:val="single" w:sz="4" w:space="0" w:color="auto"/>
              <w:right w:val="single" w:sz="4" w:space="0" w:color="auto"/>
            </w:tcBorders>
            <w:shd w:val="clear" w:color="auto" w:fill="auto"/>
            <w:vAlign w:val="center"/>
            <w:hideMark/>
          </w:tcPr>
          <w:p w14:paraId="67E1E719"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8 006,02  </w:t>
            </w:r>
          </w:p>
        </w:tc>
        <w:tc>
          <w:tcPr>
            <w:tcW w:w="1280" w:type="dxa"/>
            <w:tcBorders>
              <w:top w:val="nil"/>
              <w:left w:val="nil"/>
              <w:bottom w:val="single" w:sz="4" w:space="0" w:color="auto"/>
              <w:right w:val="single" w:sz="4" w:space="0" w:color="auto"/>
            </w:tcBorders>
            <w:shd w:val="clear" w:color="auto" w:fill="auto"/>
            <w:vAlign w:val="center"/>
            <w:hideMark/>
          </w:tcPr>
          <w:p w14:paraId="606BA63D"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5 123,74  </w:t>
            </w:r>
          </w:p>
        </w:tc>
        <w:tc>
          <w:tcPr>
            <w:tcW w:w="1280" w:type="dxa"/>
            <w:tcBorders>
              <w:top w:val="nil"/>
              <w:left w:val="nil"/>
              <w:bottom w:val="single" w:sz="4" w:space="0" w:color="auto"/>
              <w:right w:val="single" w:sz="4" w:space="0" w:color="auto"/>
            </w:tcBorders>
            <w:shd w:val="clear" w:color="auto" w:fill="auto"/>
            <w:vAlign w:val="center"/>
            <w:hideMark/>
          </w:tcPr>
          <w:p w14:paraId="1CD54B2D"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10 170,45  </w:t>
            </w:r>
          </w:p>
        </w:tc>
        <w:tc>
          <w:tcPr>
            <w:tcW w:w="1400" w:type="dxa"/>
            <w:tcBorders>
              <w:top w:val="nil"/>
              <w:left w:val="nil"/>
              <w:bottom w:val="single" w:sz="4" w:space="0" w:color="auto"/>
              <w:right w:val="single" w:sz="4" w:space="0" w:color="auto"/>
            </w:tcBorders>
            <w:shd w:val="clear" w:color="auto" w:fill="auto"/>
            <w:vAlign w:val="center"/>
            <w:hideMark/>
          </w:tcPr>
          <w:p w14:paraId="3DB1CF18"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5 070,68  </w:t>
            </w:r>
          </w:p>
        </w:tc>
        <w:tc>
          <w:tcPr>
            <w:tcW w:w="1283" w:type="dxa"/>
            <w:tcBorders>
              <w:top w:val="nil"/>
              <w:left w:val="nil"/>
              <w:bottom w:val="single" w:sz="4" w:space="0" w:color="auto"/>
              <w:right w:val="single" w:sz="4" w:space="0" w:color="auto"/>
            </w:tcBorders>
            <w:shd w:val="clear" w:color="auto" w:fill="auto"/>
            <w:vAlign w:val="center"/>
            <w:hideMark/>
          </w:tcPr>
          <w:p w14:paraId="6962AC13"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344,35  </w:t>
            </w:r>
          </w:p>
        </w:tc>
      </w:tr>
      <w:tr w:rsidR="007A414D" w:rsidRPr="007A414D" w14:paraId="6B215D38" w14:textId="77777777" w:rsidTr="007A414D">
        <w:trPr>
          <w:trHeight w:val="270"/>
        </w:trPr>
        <w:tc>
          <w:tcPr>
            <w:tcW w:w="2268" w:type="dxa"/>
            <w:tcBorders>
              <w:top w:val="nil"/>
              <w:left w:val="single" w:sz="4" w:space="0" w:color="auto"/>
              <w:bottom w:val="single" w:sz="4" w:space="0" w:color="auto"/>
              <w:right w:val="single" w:sz="4" w:space="0" w:color="auto"/>
            </w:tcBorders>
            <w:shd w:val="clear" w:color="auto" w:fill="auto"/>
            <w:vAlign w:val="center"/>
            <w:hideMark/>
          </w:tcPr>
          <w:p w14:paraId="332219A4" w14:textId="77777777" w:rsidR="007A414D" w:rsidRPr="007A414D" w:rsidRDefault="007A414D" w:rsidP="007A414D">
            <w:pPr>
              <w:ind w:firstLine="0"/>
              <w:jc w:val="left"/>
              <w:rPr>
                <w:rFonts w:eastAsia="Times New Roman" w:cs="Times New Roman"/>
                <w:szCs w:val="24"/>
                <w:lang w:eastAsia="ru-RU"/>
              </w:rPr>
            </w:pPr>
            <w:r w:rsidRPr="007A414D">
              <w:rPr>
                <w:rFonts w:eastAsia="Times New Roman" w:cs="Times New Roman"/>
                <w:szCs w:val="24"/>
                <w:lang w:eastAsia="ru-RU"/>
              </w:rPr>
              <w:t>Верхнеколымский у</w:t>
            </w:r>
          </w:p>
        </w:tc>
        <w:tc>
          <w:tcPr>
            <w:tcW w:w="1216" w:type="dxa"/>
            <w:tcBorders>
              <w:top w:val="nil"/>
              <w:left w:val="nil"/>
              <w:bottom w:val="single" w:sz="4" w:space="0" w:color="auto"/>
              <w:right w:val="single" w:sz="4" w:space="0" w:color="auto"/>
            </w:tcBorders>
            <w:shd w:val="clear" w:color="auto" w:fill="auto"/>
            <w:vAlign w:val="center"/>
            <w:hideMark/>
          </w:tcPr>
          <w:p w14:paraId="3E3E7109"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31 193,57  </w:t>
            </w:r>
          </w:p>
        </w:tc>
        <w:tc>
          <w:tcPr>
            <w:tcW w:w="1280" w:type="dxa"/>
            <w:tcBorders>
              <w:top w:val="nil"/>
              <w:left w:val="nil"/>
              <w:bottom w:val="single" w:sz="4" w:space="0" w:color="auto"/>
              <w:right w:val="single" w:sz="4" w:space="0" w:color="auto"/>
            </w:tcBorders>
            <w:shd w:val="clear" w:color="auto" w:fill="auto"/>
            <w:vAlign w:val="center"/>
            <w:hideMark/>
          </w:tcPr>
          <w:p w14:paraId="7C83328B"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11 562,43  </w:t>
            </w:r>
          </w:p>
        </w:tc>
        <w:tc>
          <w:tcPr>
            <w:tcW w:w="1280" w:type="dxa"/>
            <w:tcBorders>
              <w:top w:val="nil"/>
              <w:left w:val="nil"/>
              <w:bottom w:val="single" w:sz="4" w:space="0" w:color="auto"/>
              <w:right w:val="single" w:sz="4" w:space="0" w:color="auto"/>
            </w:tcBorders>
            <w:shd w:val="clear" w:color="auto" w:fill="auto"/>
            <w:vAlign w:val="center"/>
            <w:hideMark/>
          </w:tcPr>
          <w:p w14:paraId="5036FB40"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7 984,05  </w:t>
            </w:r>
          </w:p>
        </w:tc>
        <w:tc>
          <w:tcPr>
            <w:tcW w:w="1280" w:type="dxa"/>
            <w:tcBorders>
              <w:top w:val="nil"/>
              <w:left w:val="nil"/>
              <w:bottom w:val="single" w:sz="4" w:space="0" w:color="auto"/>
              <w:right w:val="single" w:sz="4" w:space="0" w:color="auto"/>
            </w:tcBorders>
            <w:shd w:val="clear" w:color="auto" w:fill="auto"/>
            <w:vAlign w:val="center"/>
            <w:hideMark/>
          </w:tcPr>
          <w:p w14:paraId="6851B0B9"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18 388,47  </w:t>
            </w:r>
          </w:p>
        </w:tc>
        <w:tc>
          <w:tcPr>
            <w:tcW w:w="1280" w:type="dxa"/>
            <w:tcBorders>
              <w:top w:val="nil"/>
              <w:left w:val="nil"/>
              <w:bottom w:val="single" w:sz="4" w:space="0" w:color="auto"/>
              <w:right w:val="single" w:sz="4" w:space="0" w:color="auto"/>
            </w:tcBorders>
            <w:shd w:val="clear" w:color="auto" w:fill="auto"/>
            <w:vAlign w:val="center"/>
            <w:hideMark/>
          </w:tcPr>
          <w:p w14:paraId="20F58752"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11 506,73  </w:t>
            </w:r>
          </w:p>
        </w:tc>
        <w:tc>
          <w:tcPr>
            <w:tcW w:w="1280" w:type="dxa"/>
            <w:tcBorders>
              <w:top w:val="nil"/>
              <w:left w:val="nil"/>
              <w:bottom w:val="single" w:sz="4" w:space="0" w:color="auto"/>
              <w:right w:val="single" w:sz="4" w:space="0" w:color="auto"/>
            </w:tcBorders>
            <w:shd w:val="clear" w:color="auto" w:fill="auto"/>
            <w:vAlign w:val="center"/>
            <w:hideMark/>
          </w:tcPr>
          <w:p w14:paraId="06550DAA"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7 296,86  </w:t>
            </w:r>
          </w:p>
        </w:tc>
        <w:tc>
          <w:tcPr>
            <w:tcW w:w="1280" w:type="dxa"/>
            <w:tcBorders>
              <w:top w:val="nil"/>
              <w:left w:val="nil"/>
              <w:bottom w:val="single" w:sz="4" w:space="0" w:color="auto"/>
              <w:right w:val="single" w:sz="4" w:space="0" w:color="auto"/>
            </w:tcBorders>
            <w:shd w:val="clear" w:color="auto" w:fill="auto"/>
            <w:vAlign w:val="center"/>
            <w:hideMark/>
          </w:tcPr>
          <w:p w14:paraId="07F9E111"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8 949,46  </w:t>
            </w:r>
          </w:p>
        </w:tc>
        <w:tc>
          <w:tcPr>
            <w:tcW w:w="1280" w:type="dxa"/>
            <w:tcBorders>
              <w:top w:val="nil"/>
              <w:left w:val="nil"/>
              <w:bottom w:val="single" w:sz="4" w:space="0" w:color="auto"/>
              <w:right w:val="single" w:sz="4" w:space="0" w:color="auto"/>
            </w:tcBorders>
            <w:shd w:val="clear" w:color="auto" w:fill="auto"/>
            <w:vAlign w:val="center"/>
            <w:hideMark/>
          </w:tcPr>
          <w:p w14:paraId="183C0665"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9 789,36  </w:t>
            </w:r>
          </w:p>
        </w:tc>
        <w:tc>
          <w:tcPr>
            <w:tcW w:w="1400" w:type="dxa"/>
            <w:tcBorders>
              <w:top w:val="nil"/>
              <w:left w:val="nil"/>
              <w:bottom w:val="single" w:sz="4" w:space="0" w:color="auto"/>
              <w:right w:val="single" w:sz="4" w:space="0" w:color="auto"/>
            </w:tcBorders>
            <w:shd w:val="clear" w:color="auto" w:fill="auto"/>
            <w:vAlign w:val="center"/>
            <w:hideMark/>
          </w:tcPr>
          <w:p w14:paraId="51CE1387"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9 094,83  </w:t>
            </w:r>
          </w:p>
        </w:tc>
        <w:tc>
          <w:tcPr>
            <w:tcW w:w="1283" w:type="dxa"/>
            <w:tcBorders>
              <w:top w:val="nil"/>
              <w:left w:val="nil"/>
              <w:bottom w:val="single" w:sz="4" w:space="0" w:color="auto"/>
              <w:right w:val="single" w:sz="4" w:space="0" w:color="auto"/>
            </w:tcBorders>
            <w:shd w:val="clear" w:color="auto" w:fill="auto"/>
            <w:vAlign w:val="center"/>
            <w:hideMark/>
          </w:tcPr>
          <w:p w14:paraId="69CFFCC7"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2 658,23  </w:t>
            </w:r>
          </w:p>
        </w:tc>
      </w:tr>
      <w:tr w:rsidR="007A414D" w:rsidRPr="007A414D" w14:paraId="0489673D" w14:textId="77777777" w:rsidTr="007A414D">
        <w:trPr>
          <w:trHeight w:val="270"/>
        </w:trPr>
        <w:tc>
          <w:tcPr>
            <w:tcW w:w="2268" w:type="dxa"/>
            <w:tcBorders>
              <w:top w:val="nil"/>
              <w:left w:val="single" w:sz="4" w:space="0" w:color="auto"/>
              <w:bottom w:val="single" w:sz="4" w:space="0" w:color="auto"/>
              <w:right w:val="single" w:sz="4" w:space="0" w:color="auto"/>
            </w:tcBorders>
            <w:shd w:val="clear" w:color="auto" w:fill="auto"/>
            <w:vAlign w:val="center"/>
            <w:hideMark/>
          </w:tcPr>
          <w:p w14:paraId="7A022201" w14:textId="77777777" w:rsidR="007A414D" w:rsidRPr="007A414D" w:rsidRDefault="007A414D" w:rsidP="007A414D">
            <w:pPr>
              <w:ind w:firstLine="0"/>
              <w:jc w:val="left"/>
              <w:rPr>
                <w:rFonts w:eastAsia="Times New Roman" w:cs="Times New Roman"/>
                <w:szCs w:val="24"/>
                <w:lang w:eastAsia="ru-RU"/>
              </w:rPr>
            </w:pPr>
            <w:r w:rsidRPr="007A414D">
              <w:rPr>
                <w:rFonts w:eastAsia="Times New Roman" w:cs="Times New Roman"/>
                <w:szCs w:val="24"/>
                <w:lang w:eastAsia="ru-RU"/>
              </w:rPr>
              <w:t>Верхоянский у</w:t>
            </w:r>
          </w:p>
        </w:tc>
        <w:tc>
          <w:tcPr>
            <w:tcW w:w="1216" w:type="dxa"/>
            <w:tcBorders>
              <w:top w:val="nil"/>
              <w:left w:val="nil"/>
              <w:bottom w:val="single" w:sz="4" w:space="0" w:color="auto"/>
              <w:right w:val="single" w:sz="4" w:space="0" w:color="auto"/>
            </w:tcBorders>
            <w:shd w:val="clear" w:color="auto" w:fill="auto"/>
            <w:vAlign w:val="center"/>
            <w:hideMark/>
          </w:tcPr>
          <w:p w14:paraId="3EDF7986"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29 040,61  </w:t>
            </w:r>
          </w:p>
        </w:tc>
        <w:tc>
          <w:tcPr>
            <w:tcW w:w="1280" w:type="dxa"/>
            <w:tcBorders>
              <w:top w:val="nil"/>
              <w:left w:val="nil"/>
              <w:bottom w:val="single" w:sz="4" w:space="0" w:color="auto"/>
              <w:right w:val="single" w:sz="4" w:space="0" w:color="auto"/>
            </w:tcBorders>
            <w:shd w:val="clear" w:color="auto" w:fill="auto"/>
            <w:vAlign w:val="center"/>
            <w:hideMark/>
          </w:tcPr>
          <w:p w14:paraId="1E45D895"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8 767,87  </w:t>
            </w:r>
          </w:p>
        </w:tc>
        <w:tc>
          <w:tcPr>
            <w:tcW w:w="1280" w:type="dxa"/>
            <w:tcBorders>
              <w:top w:val="nil"/>
              <w:left w:val="nil"/>
              <w:bottom w:val="single" w:sz="4" w:space="0" w:color="auto"/>
              <w:right w:val="single" w:sz="4" w:space="0" w:color="auto"/>
            </w:tcBorders>
            <w:shd w:val="clear" w:color="auto" w:fill="auto"/>
            <w:vAlign w:val="center"/>
            <w:hideMark/>
          </w:tcPr>
          <w:p w14:paraId="789289DE"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7 301,17  </w:t>
            </w:r>
          </w:p>
        </w:tc>
        <w:tc>
          <w:tcPr>
            <w:tcW w:w="1280" w:type="dxa"/>
            <w:tcBorders>
              <w:top w:val="nil"/>
              <w:left w:val="nil"/>
              <w:bottom w:val="single" w:sz="4" w:space="0" w:color="auto"/>
              <w:right w:val="single" w:sz="4" w:space="0" w:color="auto"/>
            </w:tcBorders>
            <w:shd w:val="clear" w:color="auto" w:fill="auto"/>
            <w:vAlign w:val="center"/>
            <w:hideMark/>
          </w:tcPr>
          <w:p w14:paraId="28BFFD44"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19 942,52  </w:t>
            </w:r>
          </w:p>
        </w:tc>
        <w:tc>
          <w:tcPr>
            <w:tcW w:w="1280" w:type="dxa"/>
            <w:tcBorders>
              <w:top w:val="nil"/>
              <w:left w:val="nil"/>
              <w:bottom w:val="single" w:sz="4" w:space="0" w:color="auto"/>
              <w:right w:val="single" w:sz="4" w:space="0" w:color="auto"/>
            </w:tcBorders>
            <w:shd w:val="clear" w:color="auto" w:fill="auto"/>
            <w:vAlign w:val="center"/>
            <w:hideMark/>
          </w:tcPr>
          <w:p w14:paraId="6863D7AB"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4 731,15  </w:t>
            </w:r>
          </w:p>
        </w:tc>
        <w:tc>
          <w:tcPr>
            <w:tcW w:w="1280" w:type="dxa"/>
            <w:tcBorders>
              <w:top w:val="nil"/>
              <w:left w:val="nil"/>
              <w:bottom w:val="single" w:sz="4" w:space="0" w:color="auto"/>
              <w:right w:val="single" w:sz="4" w:space="0" w:color="auto"/>
            </w:tcBorders>
            <w:shd w:val="clear" w:color="auto" w:fill="auto"/>
            <w:vAlign w:val="center"/>
            <w:hideMark/>
          </w:tcPr>
          <w:p w14:paraId="59559D47"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7 967,50  </w:t>
            </w:r>
          </w:p>
        </w:tc>
        <w:tc>
          <w:tcPr>
            <w:tcW w:w="1280" w:type="dxa"/>
            <w:tcBorders>
              <w:top w:val="nil"/>
              <w:left w:val="nil"/>
              <w:bottom w:val="single" w:sz="4" w:space="0" w:color="auto"/>
              <w:right w:val="single" w:sz="4" w:space="0" w:color="auto"/>
            </w:tcBorders>
            <w:shd w:val="clear" w:color="auto" w:fill="auto"/>
            <w:vAlign w:val="center"/>
            <w:hideMark/>
          </w:tcPr>
          <w:p w14:paraId="447F84AF"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5 254,97  </w:t>
            </w:r>
          </w:p>
        </w:tc>
        <w:tc>
          <w:tcPr>
            <w:tcW w:w="1280" w:type="dxa"/>
            <w:tcBorders>
              <w:top w:val="nil"/>
              <w:left w:val="nil"/>
              <w:bottom w:val="single" w:sz="4" w:space="0" w:color="auto"/>
              <w:right w:val="single" w:sz="4" w:space="0" w:color="auto"/>
            </w:tcBorders>
            <w:shd w:val="clear" w:color="auto" w:fill="auto"/>
            <w:vAlign w:val="center"/>
            <w:hideMark/>
          </w:tcPr>
          <w:p w14:paraId="6B1209E2"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8 302,84  </w:t>
            </w:r>
          </w:p>
        </w:tc>
        <w:tc>
          <w:tcPr>
            <w:tcW w:w="1400" w:type="dxa"/>
            <w:tcBorders>
              <w:top w:val="nil"/>
              <w:left w:val="nil"/>
              <w:bottom w:val="single" w:sz="4" w:space="0" w:color="auto"/>
              <w:right w:val="single" w:sz="4" w:space="0" w:color="auto"/>
            </w:tcBorders>
            <w:shd w:val="clear" w:color="auto" w:fill="auto"/>
            <w:vAlign w:val="center"/>
            <w:hideMark/>
          </w:tcPr>
          <w:p w14:paraId="2E121AEA"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4 563,85  </w:t>
            </w:r>
          </w:p>
        </w:tc>
        <w:tc>
          <w:tcPr>
            <w:tcW w:w="1283" w:type="dxa"/>
            <w:tcBorders>
              <w:top w:val="nil"/>
              <w:left w:val="nil"/>
              <w:bottom w:val="single" w:sz="4" w:space="0" w:color="auto"/>
              <w:right w:val="single" w:sz="4" w:space="0" w:color="auto"/>
            </w:tcBorders>
            <w:shd w:val="clear" w:color="auto" w:fill="auto"/>
            <w:vAlign w:val="center"/>
            <w:hideMark/>
          </w:tcPr>
          <w:p w14:paraId="079F4792"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178,49  </w:t>
            </w:r>
          </w:p>
        </w:tc>
      </w:tr>
      <w:tr w:rsidR="007A414D" w:rsidRPr="007A414D" w14:paraId="2D2743E7" w14:textId="77777777" w:rsidTr="007A414D">
        <w:trPr>
          <w:trHeight w:val="270"/>
        </w:trPr>
        <w:tc>
          <w:tcPr>
            <w:tcW w:w="2268" w:type="dxa"/>
            <w:tcBorders>
              <w:top w:val="nil"/>
              <w:left w:val="single" w:sz="4" w:space="0" w:color="auto"/>
              <w:bottom w:val="single" w:sz="4" w:space="0" w:color="auto"/>
              <w:right w:val="single" w:sz="4" w:space="0" w:color="auto"/>
            </w:tcBorders>
            <w:shd w:val="clear" w:color="auto" w:fill="auto"/>
            <w:vAlign w:val="center"/>
            <w:hideMark/>
          </w:tcPr>
          <w:p w14:paraId="264A2F4E" w14:textId="77777777" w:rsidR="007A414D" w:rsidRPr="007A414D" w:rsidRDefault="007A414D" w:rsidP="007A414D">
            <w:pPr>
              <w:ind w:firstLine="0"/>
              <w:jc w:val="left"/>
              <w:rPr>
                <w:rFonts w:eastAsia="Times New Roman" w:cs="Times New Roman"/>
                <w:szCs w:val="24"/>
                <w:lang w:eastAsia="ru-RU"/>
              </w:rPr>
            </w:pPr>
            <w:r w:rsidRPr="007A414D">
              <w:rPr>
                <w:rFonts w:eastAsia="Times New Roman" w:cs="Times New Roman"/>
                <w:szCs w:val="24"/>
                <w:lang w:eastAsia="ru-RU"/>
              </w:rPr>
              <w:t>Вилюйский у</w:t>
            </w:r>
          </w:p>
        </w:tc>
        <w:tc>
          <w:tcPr>
            <w:tcW w:w="1216" w:type="dxa"/>
            <w:tcBorders>
              <w:top w:val="nil"/>
              <w:left w:val="nil"/>
              <w:bottom w:val="single" w:sz="4" w:space="0" w:color="auto"/>
              <w:right w:val="single" w:sz="4" w:space="0" w:color="auto"/>
            </w:tcBorders>
            <w:shd w:val="clear" w:color="auto" w:fill="auto"/>
            <w:vAlign w:val="center"/>
            <w:hideMark/>
          </w:tcPr>
          <w:p w14:paraId="07059A42"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23 178,14  </w:t>
            </w:r>
          </w:p>
        </w:tc>
        <w:tc>
          <w:tcPr>
            <w:tcW w:w="1280" w:type="dxa"/>
            <w:tcBorders>
              <w:top w:val="nil"/>
              <w:left w:val="nil"/>
              <w:bottom w:val="single" w:sz="4" w:space="0" w:color="auto"/>
              <w:right w:val="single" w:sz="4" w:space="0" w:color="auto"/>
            </w:tcBorders>
            <w:shd w:val="clear" w:color="auto" w:fill="auto"/>
            <w:vAlign w:val="center"/>
            <w:hideMark/>
          </w:tcPr>
          <w:p w14:paraId="7CFB7E0F"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8 296,25  </w:t>
            </w:r>
          </w:p>
        </w:tc>
        <w:tc>
          <w:tcPr>
            <w:tcW w:w="1280" w:type="dxa"/>
            <w:tcBorders>
              <w:top w:val="nil"/>
              <w:left w:val="nil"/>
              <w:bottom w:val="single" w:sz="4" w:space="0" w:color="auto"/>
              <w:right w:val="single" w:sz="4" w:space="0" w:color="auto"/>
            </w:tcBorders>
            <w:shd w:val="clear" w:color="auto" w:fill="auto"/>
            <w:vAlign w:val="center"/>
            <w:hideMark/>
          </w:tcPr>
          <w:p w14:paraId="57200C78"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7 926,92  </w:t>
            </w:r>
          </w:p>
        </w:tc>
        <w:tc>
          <w:tcPr>
            <w:tcW w:w="1280" w:type="dxa"/>
            <w:tcBorders>
              <w:top w:val="nil"/>
              <w:left w:val="nil"/>
              <w:bottom w:val="single" w:sz="4" w:space="0" w:color="auto"/>
              <w:right w:val="single" w:sz="4" w:space="0" w:color="auto"/>
            </w:tcBorders>
            <w:shd w:val="clear" w:color="auto" w:fill="auto"/>
            <w:vAlign w:val="center"/>
            <w:hideMark/>
          </w:tcPr>
          <w:p w14:paraId="038B3DBA"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20 591,32  </w:t>
            </w:r>
          </w:p>
        </w:tc>
        <w:tc>
          <w:tcPr>
            <w:tcW w:w="1280" w:type="dxa"/>
            <w:tcBorders>
              <w:top w:val="nil"/>
              <w:left w:val="nil"/>
              <w:bottom w:val="single" w:sz="4" w:space="0" w:color="auto"/>
              <w:right w:val="single" w:sz="4" w:space="0" w:color="auto"/>
            </w:tcBorders>
            <w:shd w:val="clear" w:color="auto" w:fill="auto"/>
            <w:vAlign w:val="center"/>
            <w:hideMark/>
          </w:tcPr>
          <w:p w14:paraId="0FCBABCA"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5 509,29  </w:t>
            </w:r>
          </w:p>
        </w:tc>
        <w:tc>
          <w:tcPr>
            <w:tcW w:w="1280" w:type="dxa"/>
            <w:tcBorders>
              <w:top w:val="nil"/>
              <w:left w:val="nil"/>
              <w:bottom w:val="single" w:sz="4" w:space="0" w:color="auto"/>
              <w:right w:val="single" w:sz="4" w:space="0" w:color="auto"/>
            </w:tcBorders>
            <w:shd w:val="clear" w:color="auto" w:fill="auto"/>
            <w:vAlign w:val="center"/>
            <w:hideMark/>
          </w:tcPr>
          <w:p w14:paraId="138A2619"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10 441,46  </w:t>
            </w:r>
          </w:p>
        </w:tc>
        <w:tc>
          <w:tcPr>
            <w:tcW w:w="1280" w:type="dxa"/>
            <w:tcBorders>
              <w:top w:val="nil"/>
              <w:left w:val="nil"/>
              <w:bottom w:val="single" w:sz="4" w:space="0" w:color="auto"/>
              <w:right w:val="single" w:sz="4" w:space="0" w:color="auto"/>
            </w:tcBorders>
            <w:shd w:val="clear" w:color="auto" w:fill="auto"/>
            <w:vAlign w:val="center"/>
            <w:hideMark/>
          </w:tcPr>
          <w:p w14:paraId="35E44C06"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5 724,00  </w:t>
            </w:r>
          </w:p>
        </w:tc>
        <w:tc>
          <w:tcPr>
            <w:tcW w:w="1280" w:type="dxa"/>
            <w:tcBorders>
              <w:top w:val="nil"/>
              <w:left w:val="nil"/>
              <w:bottom w:val="single" w:sz="4" w:space="0" w:color="auto"/>
              <w:right w:val="single" w:sz="4" w:space="0" w:color="auto"/>
            </w:tcBorders>
            <w:shd w:val="clear" w:color="auto" w:fill="auto"/>
            <w:vAlign w:val="center"/>
            <w:hideMark/>
          </w:tcPr>
          <w:p w14:paraId="12454BD6"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11 788,66  </w:t>
            </w:r>
          </w:p>
        </w:tc>
        <w:tc>
          <w:tcPr>
            <w:tcW w:w="1400" w:type="dxa"/>
            <w:tcBorders>
              <w:top w:val="nil"/>
              <w:left w:val="nil"/>
              <w:bottom w:val="single" w:sz="4" w:space="0" w:color="auto"/>
              <w:right w:val="single" w:sz="4" w:space="0" w:color="auto"/>
            </w:tcBorders>
            <w:shd w:val="clear" w:color="auto" w:fill="auto"/>
            <w:vAlign w:val="center"/>
            <w:hideMark/>
          </w:tcPr>
          <w:p w14:paraId="077B196D"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6 304,38  </w:t>
            </w:r>
          </w:p>
        </w:tc>
        <w:tc>
          <w:tcPr>
            <w:tcW w:w="1283" w:type="dxa"/>
            <w:tcBorders>
              <w:top w:val="nil"/>
              <w:left w:val="nil"/>
              <w:bottom w:val="single" w:sz="4" w:space="0" w:color="auto"/>
              <w:right w:val="single" w:sz="4" w:space="0" w:color="auto"/>
            </w:tcBorders>
            <w:shd w:val="clear" w:color="auto" w:fill="auto"/>
            <w:vAlign w:val="center"/>
            <w:hideMark/>
          </w:tcPr>
          <w:p w14:paraId="188B256B"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12 762,81  </w:t>
            </w:r>
          </w:p>
        </w:tc>
      </w:tr>
      <w:tr w:rsidR="007A414D" w:rsidRPr="007A414D" w14:paraId="7B3F7886" w14:textId="77777777" w:rsidTr="007A414D">
        <w:trPr>
          <w:trHeight w:val="270"/>
        </w:trPr>
        <w:tc>
          <w:tcPr>
            <w:tcW w:w="2268" w:type="dxa"/>
            <w:tcBorders>
              <w:top w:val="nil"/>
              <w:left w:val="single" w:sz="4" w:space="0" w:color="auto"/>
              <w:bottom w:val="single" w:sz="4" w:space="0" w:color="auto"/>
              <w:right w:val="single" w:sz="4" w:space="0" w:color="auto"/>
            </w:tcBorders>
            <w:shd w:val="clear" w:color="auto" w:fill="auto"/>
            <w:vAlign w:val="center"/>
            <w:hideMark/>
          </w:tcPr>
          <w:p w14:paraId="5664BA13" w14:textId="77777777" w:rsidR="007A414D" w:rsidRPr="007A414D" w:rsidRDefault="007A414D" w:rsidP="007A414D">
            <w:pPr>
              <w:ind w:firstLine="0"/>
              <w:jc w:val="left"/>
              <w:rPr>
                <w:rFonts w:eastAsia="Times New Roman" w:cs="Times New Roman"/>
                <w:szCs w:val="24"/>
                <w:lang w:eastAsia="ru-RU"/>
              </w:rPr>
            </w:pPr>
            <w:r w:rsidRPr="007A414D">
              <w:rPr>
                <w:rFonts w:eastAsia="Times New Roman" w:cs="Times New Roman"/>
                <w:szCs w:val="24"/>
                <w:lang w:eastAsia="ru-RU"/>
              </w:rPr>
              <w:t>Горный у</w:t>
            </w:r>
          </w:p>
        </w:tc>
        <w:tc>
          <w:tcPr>
            <w:tcW w:w="1216" w:type="dxa"/>
            <w:tcBorders>
              <w:top w:val="nil"/>
              <w:left w:val="nil"/>
              <w:bottom w:val="single" w:sz="4" w:space="0" w:color="auto"/>
              <w:right w:val="single" w:sz="4" w:space="0" w:color="auto"/>
            </w:tcBorders>
            <w:shd w:val="clear" w:color="auto" w:fill="auto"/>
            <w:vAlign w:val="center"/>
            <w:hideMark/>
          </w:tcPr>
          <w:p w14:paraId="71435DD7"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15 282,97  </w:t>
            </w:r>
          </w:p>
        </w:tc>
        <w:tc>
          <w:tcPr>
            <w:tcW w:w="1280" w:type="dxa"/>
            <w:tcBorders>
              <w:top w:val="nil"/>
              <w:left w:val="nil"/>
              <w:bottom w:val="single" w:sz="4" w:space="0" w:color="auto"/>
              <w:right w:val="single" w:sz="4" w:space="0" w:color="auto"/>
            </w:tcBorders>
            <w:shd w:val="clear" w:color="auto" w:fill="auto"/>
            <w:vAlign w:val="center"/>
            <w:hideMark/>
          </w:tcPr>
          <w:p w14:paraId="4073F35F"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7 498,63  </w:t>
            </w:r>
          </w:p>
        </w:tc>
        <w:tc>
          <w:tcPr>
            <w:tcW w:w="1280" w:type="dxa"/>
            <w:tcBorders>
              <w:top w:val="nil"/>
              <w:left w:val="nil"/>
              <w:bottom w:val="single" w:sz="4" w:space="0" w:color="auto"/>
              <w:right w:val="single" w:sz="4" w:space="0" w:color="auto"/>
            </w:tcBorders>
            <w:shd w:val="clear" w:color="auto" w:fill="auto"/>
            <w:vAlign w:val="center"/>
            <w:hideMark/>
          </w:tcPr>
          <w:p w14:paraId="3B4C5D80"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8 446,78  </w:t>
            </w:r>
          </w:p>
        </w:tc>
        <w:tc>
          <w:tcPr>
            <w:tcW w:w="1280" w:type="dxa"/>
            <w:tcBorders>
              <w:top w:val="nil"/>
              <w:left w:val="nil"/>
              <w:bottom w:val="single" w:sz="4" w:space="0" w:color="auto"/>
              <w:right w:val="single" w:sz="4" w:space="0" w:color="auto"/>
            </w:tcBorders>
            <w:shd w:val="clear" w:color="auto" w:fill="auto"/>
            <w:vAlign w:val="center"/>
            <w:hideMark/>
          </w:tcPr>
          <w:p w14:paraId="7BABD71B"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19 103,23  </w:t>
            </w:r>
          </w:p>
        </w:tc>
        <w:tc>
          <w:tcPr>
            <w:tcW w:w="1280" w:type="dxa"/>
            <w:tcBorders>
              <w:top w:val="nil"/>
              <w:left w:val="nil"/>
              <w:bottom w:val="single" w:sz="4" w:space="0" w:color="auto"/>
              <w:right w:val="single" w:sz="4" w:space="0" w:color="auto"/>
            </w:tcBorders>
            <w:shd w:val="clear" w:color="auto" w:fill="auto"/>
            <w:vAlign w:val="center"/>
            <w:hideMark/>
          </w:tcPr>
          <w:p w14:paraId="0A681E53"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4 390,88  </w:t>
            </w:r>
          </w:p>
        </w:tc>
        <w:tc>
          <w:tcPr>
            <w:tcW w:w="1280" w:type="dxa"/>
            <w:tcBorders>
              <w:top w:val="nil"/>
              <w:left w:val="nil"/>
              <w:bottom w:val="single" w:sz="4" w:space="0" w:color="auto"/>
              <w:right w:val="single" w:sz="4" w:space="0" w:color="auto"/>
            </w:tcBorders>
            <w:shd w:val="clear" w:color="auto" w:fill="auto"/>
            <w:vAlign w:val="center"/>
            <w:hideMark/>
          </w:tcPr>
          <w:p w14:paraId="575FFED6"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6 773,58  </w:t>
            </w:r>
          </w:p>
        </w:tc>
        <w:tc>
          <w:tcPr>
            <w:tcW w:w="1280" w:type="dxa"/>
            <w:tcBorders>
              <w:top w:val="nil"/>
              <w:left w:val="nil"/>
              <w:bottom w:val="single" w:sz="4" w:space="0" w:color="auto"/>
              <w:right w:val="single" w:sz="4" w:space="0" w:color="auto"/>
            </w:tcBorders>
            <w:shd w:val="clear" w:color="auto" w:fill="auto"/>
            <w:vAlign w:val="center"/>
            <w:hideMark/>
          </w:tcPr>
          <w:p w14:paraId="18C049C9"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5 057,83  </w:t>
            </w:r>
          </w:p>
        </w:tc>
        <w:tc>
          <w:tcPr>
            <w:tcW w:w="1280" w:type="dxa"/>
            <w:tcBorders>
              <w:top w:val="nil"/>
              <w:left w:val="nil"/>
              <w:bottom w:val="single" w:sz="4" w:space="0" w:color="auto"/>
              <w:right w:val="single" w:sz="4" w:space="0" w:color="auto"/>
            </w:tcBorders>
            <w:shd w:val="clear" w:color="auto" w:fill="auto"/>
            <w:vAlign w:val="center"/>
            <w:hideMark/>
          </w:tcPr>
          <w:p w14:paraId="23DB6908"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9 171,23  </w:t>
            </w:r>
          </w:p>
        </w:tc>
        <w:tc>
          <w:tcPr>
            <w:tcW w:w="1400" w:type="dxa"/>
            <w:tcBorders>
              <w:top w:val="nil"/>
              <w:left w:val="nil"/>
              <w:bottom w:val="single" w:sz="4" w:space="0" w:color="auto"/>
              <w:right w:val="single" w:sz="4" w:space="0" w:color="auto"/>
            </w:tcBorders>
            <w:shd w:val="clear" w:color="auto" w:fill="auto"/>
            <w:vAlign w:val="center"/>
            <w:hideMark/>
          </w:tcPr>
          <w:p w14:paraId="3359168C"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5 108,62  </w:t>
            </w:r>
          </w:p>
        </w:tc>
        <w:tc>
          <w:tcPr>
            <w:tcW w:w="1283" w:type="dxa"/>
            <w:tcBorders>
              <w:top w:val="nil"/>
              <w:left w:val="nil"/>
              <w:bottom w:val="single" w:sz="4" w:space="0" w:color="auto"/>
              <w:right w:val="single" w:sz="4" w:space="0" w:color="auto"/>
            </w:tcBorders>
            <w:shd w:val="clear" w:color="auto" w:fill="auto"/>
            <w:vAlign w:val="center"/>
            <w:hideMark/>
          </w:tcPr>
          <w:p w14:paraId="7BC2CD00"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876,72  </w:t>
            </w:r>
          </w:p>
        </w:tc>
      </w:tr>
      <w:tr w:rsidR="007A414D" w:rsidRPr="007A414D" w14:paraId="1A4EC703" w14:textId="77777777" w:rsidTr="007A414D">
        <w:trPr>
          <w:trHeight w:val="270"/>
        </w:trPr>
        <w:tc>
          <w:tcPr>
            <w:tcW w:w="2268" w:type="dxa"/>
            <w:tcBorders>
              <w:top w:val="nil"/>
              <w:left w:val="single" w:sz="4" w:space="0" w:color="auto"/>
              <w:bottom w:val="single" w:sz="4" w:space="0" w:color="auto"/>
              <w:right w:val="single" w:sz="4" w:space="0" w:color="auto"/>
            </w:tcBorders>
            <w:shd w:val="clear" w:color="auto" w:fill="auto"/>
            <w:vAlign w:val="center"/>
            <w:hideMark/>
          </w:tcPr>
          <w:p w14:paraId="4CFFB2E0" w14:textId="77777777" w:rsidR="007A414D" w:rsidRPr="007A414D" w:rsidRDefault="007A414D" w:rsidP="007A414D">
            <w:pPr>
              <w:ind w:firstLine="0"/>
              <w:jc w:val="left"/>
              <w:rPr>
                <w:rFonts w:eastAsia="Times New Roman" w:cs="Times New Roman"/>
                <w:szCs w:val="24"/>
                <w:lang w:eastAsia="ru-RU"/>
              </w:rPr>
            </w:pPr>
            <w:r w:rsidRPr="007A414D">
              <w:rPr>
                <w:rFonts w:eastAsia="Times New Roman" w:cs="Times New Roman"/>
                <w:szCs w:val="24"/>
                <w:lang w:eastAsia="ru-RU"/>
              </w:rPr>
              <w:t>Жиганский у</w:t>
            </w:r>
          </w:p>
        </w:tc>
        <w:tc>
          <w:tcPr>
            <w:tcW w:w="1216" w:type="dxa"/>
            <w:tcBorders>
              <w:top w:val="nil"/>
              <w:left w:val="nil"/>
              <w:bottom w:val="single" w:sz="4" w:space="0" w:color="auto"/>
              <w:right w:val="single" w:sz="4" w:space="0" w:color="auto"/>
            </w:tcBorders>
            <w:shd w:val="clear" w:color="auto" w:fill="auto"/>
            <w:vAlign w:val="center"/>
            <w:hideMark/>
          </w:tcPr>
          <w:p w14:paraId="087E2182"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12 410,97  </w:t>
            </w:r>
          </w:p>
        </w:tc>
        <w:tc>
          <w:tcPr>
            <w:tcW w:w="1280" w:type="dxa"/>
            <w:tcBorders>
              <w:top w:val="nil"/>
              <w:left w:val="nil"/>
              <w:bottom w:val="single" w:sz="4" w:space="0" w:color="auto"/>
              <w:right w:val="single" w:sz="4" w:space="0" w:color="auto"/>
            </w:tcBorders>
            <w:shd w:val="clear" w:color="auto" w:fill="auto"/>
            <w:vAlign w:val="center"/>
            <w:hideMark/>
          </w:tcPr>
          <w:p w14:paraId="69D81B71"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6 384,90  </w:t>
            </w:r>
          </w:p>
        </w:tc>
        <w:tc>
          <w:tcPr>
            <w:tcW w:w="1280" w:type="dxa"/>
            <w:tcBorders>
              <w:top w:val="nil"/>
              <w:left w:val="nil"/>
              <w:bottom w:val="single" w:sz="4" w:space="0" w:color="auto"/>
              <w:right w:val="single" w:sz="4" w:space="0" w:color="auto"/>
            </w:tcBorders>
            <w:shd w:val="clear" w:color="auto" w:fill="auto"/>
            <w:vAlign w:val="center"/>
            <w:hideMark/>
          </w:tcPr>
          <w:p w14:paraId="22A1A621"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7 180,88  </w:t>
            </w:r>
          </w:p>
        </w:tc>
        <w:tc>
          <w:tcPr>
            <w:tcW w:w="1280" w:type="dxa"/>
            <w:tcBorders>
              <w:top w:val="nil"/>
              <w:left w:val="nil"/>
              <w:bottom w:val="single" w:sz="4" w:space="0" w:color="auto"/>
              <w:right w:val="single" w:sz="4" w:space="0" w:color="auto"/>
            </w:tcBorders>
            <w:shd w:val="clear" w:color="auto" w:fill="auto"/>
            <w:vAlign w:val="center"/>
            <w:hideMark/>
          </w:tcPr>
          <w:p w14:paraId="2E6EFEEE"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19 379,69  </w:t>
            </w:r>
          </w:p>
        </w:tc>
        <w:tc>
          <w:tcPr>
            <w:tcW w:w="1280" w:type="dxa"/>
            <w:tcBorders>
              <w:top w:val="nil"/>
              <w:left w:val="nil"/>
              <w:bottom w:val="single" w:sz="4" w:space="0" w:color="auto"/>
              <w:right w:val="single" w:sz="4" w:space="0" w:color="auto"/>
            </w:tcBorders>
            <w:shd w:val="clear" w:color="auto" w:fill="auto"/>
            <w:vAlign w:val="center"/>
            <w:hideMark/>
          </w:tcPr>
          <w:p w14:paraId="7336BA1D"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5 499,57  </w:t>
            </w:r>
          </w:p>
        </w:tc>
        <w:tc>
          <w:tcPr>
            <w:tcW w:w="1280" w:type="dxa"/>
            <w:tcBorders>
              <w:top w:val="nil"/>
              <w:left w:val="nil"/>
              <w:bottom w:val="single" w:sz="4" w:space="0" w:color="auto"/>
              <w:right w:val="single" w:sz="4" w:space="0" w:color="auto"/>
            </w:tcBorders>
            <w:shd w:val="clear" w:color="auto" w:fill="auto"/>
            <w:vAlign w:val="center"/>
            <w:hideMark/>
          </w:tcPr>
          <w:p w14:paraId="158ED995"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7 418,77  </w:t>
            </w:r>
          </w:p>
        </w:tc>
        <w:tc>
          <w:tcPr>
            <w:tcW w:w="1280" w:type="dxa"/>
            <w:tcBorders>
              <w:top w:val="nil"/>
              <w:left w:val="nil"/>
              <w:bottom w:val="single" w:sz="4" w:space="0" w:color="auto"/>
              <w:right w:val="single" w:sz="4" w:space="0" w:color="auto"/>
            </w:tcBorders>
            <w:shd w:val="clear" w:color="auto" w:fill="auto"/>
            <w:vAlign w:val="center"/>
            <w:hideMark/>
          </w:tcPr>
          <w:p w14:paraId="243DE419"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4 291,27  </w:t>
            </w:r>
          </w:p>
        </w:tc>
        <w:tc>
          <w:tcPr>
            <w:tcW w:w="1280" w:type="dxa"/>
            <w:tcBorders>
              <w:top w:val="nil"/>
              <w:left w:val="nil"/>
              <w:bottom w:val="single" w:sz="4" w:space="0" w:color="auto"/>
              <w:right w:val="single" w:sz="4" w:space="0" w:color="auto"/>
            </w:tcBorders>
            <w:shd w:val="clear" w:color="auto" w:fill="auto"/>
            <w:vAlign w:val="center"/>
            <w:hideMark/>
          </w:tcPr>
          <w:p w14:paraId="75646B0B"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2 111,19  </w:t>
            </w:r>
          </w:p>
        </w:tc>
        <w:tc>
          <w:tcPr>
            <w:tcW w:w="1400" w:type="dxa"/>
            <w:tcBorders>
              <w:top w:val="nil"/>
              <w:left w:val="nil"/>
              <w:bottom w:val="single" w:sz="4" w:space="0" w:color="auto"/>
              <w:right w:val="single" w:sz="4" w:space="0" w:color="auto"/>
            </w:tcBorders>
            <w:shd w:val="clear" w:color="auto" w:fill="auto"/>
            <w:vAlign w:val="center"/>
            <w:hideMark/>
          </w:tcPr>
          <w:p w14:paraId="286B8EA4"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3 875,03  </w:t>
            </w:r>
          </w:p>
        </w:tc>
        <w:tc>
          <w:tcPr>
            <w:tcW w:w="1283" w:type="dxa"/>
            <w:tcBorders>
              <w:top w:val="nil"/>
              <w:left w:val="nil"/>
              <w:bottom w:val="single" w:sz="4" w:space="0" w:color="auto"/>
              <w:right w:val="single" w:sz="4" w:space="0" w:color="auto"/>
            </w:tcBorders>
            <w:shd w:val="clear" w:color="auto" w:fill="auto"/>
            <w:vAlign w:val="center"/>
            <w:hideMark/>
          </w:tcPr>
          <w:p w14:paraId="414BF6FB"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719,03  </w:t>
            </w:r>
          </w:p>
        </w:tc>
      </w:tr>
      <w:tr w:rsidR="007A414D" w:rsidRPr="007A414D" w14:paraId="5523C373" w14:textId="77777777" w:rsidTr="007A414D">
        <w:trPr>
          <w:trHeight w:val="270"/>
        </w:trPr>
        <w:tc>
          <w:tcPr>
            <w:tcW w:w="2268" w:type="dxa"/>
            <w:tcBorders>
              <w:top w:val="nil"/>
              <w:left w:val="single" w:sz="4" w:space="0" w:color="auto"/>
              <w:bottom w:val="single" w:sz="4" w:space="0" w:color="auto"/>
              <w:right w:val="single" w:sz="4" w:space="0" w:color="auto"/>
            </w:tcBorders>
            <w:shd w:val="clear" w:color="auto" w:fill="auto"/>
            <w:vAlign w:val="center"/>
            <w:hideMark/>
          </w:tcPr>
          <w:p w14:paraId="5B359109" w14:textId="77777777" w:rsidR="007A414D" w:rsidRPr="007A414D" w:rsidRDefault="007A414D" w:rsidP="007A414D">
            <w:pPr>
              <w:ind w:firstLine="0"/>
              <w:jc w:val="left"/>
              <w:rPr>
                <w:rFonts w:eastAsia="Times New Roman" w:cs="Times New Roman"/>
                <w:szCs w:val="24"/>
                <w:lang w:eastAsia="ru-RU"/>
              </w:rPr>
            </w:pPr>
            <w:r w:rsidRPr="007A414D">
              <w:rPr>
                <w:rFonts w:eastAsia="Times New Roman" w:cs="Times New Roman"/>
                <w:szCs w:val="24"/>
                <w:lang w:eastAsia="ru-RU"/>
              </w:rPr>
              <w:t>Кобяйский у</w:t>
            </w:r>
          </w:p>
        </w:tc>
        <w:tc>
          <w:tcPr>
            <w:tcW w:w="1216" w:type="dxa"/>
            <w:tcBorders>
              <w:top w:val="nil"/>
              <w:left w:val="nil"/>
              <w:bottom w:val="single" w:sz="4" w:space="0" w:color="auto"/>
              <w:right w:val="single" w:sz="4" w:space="0" w:color="auto"/>
            </w:tcBorders>
            <w:shd w:val="clear" w:color="auto" w:fill="auto"/>
            <w:vAlign w:val="center"/>
            <w:hideMark/>
          </w:tcPr>
          <w:p w14:paraId="3109E308"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22 682,12  </w:t>
            </w:r>
          </w:p>
        </w:tc>
        <w:tc>
          <w:tcPr>
            <w:tcW w:w="1280" w:type="dxa"/>
            <w:tcBorders>
              <w:top w:val="nil"/>
              <w:left w:val="nil"/>
              <w:bottom w:val="single" w:sz="4" w:space="0" w:color="auto"/>
              <w:right w:val="single" w:sz="4" w:space="0" w:color="auto"/>
            </w:tcBorders>
            <w:shd w:val="clear" w:color="auto" w:fill="auto"/>
            <w:vAlign w:val="center"/>
            <w:hideMark/>
          </w:tcPr>
          <w:p w14:paraId="63577ECC"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7 278,74  </w:t>
            </w:r>
          </w:p>
        </w:tc>
        <w:tc>
          <w:tcPr>
            <w:tcW w:w="1280" w:type="dxa"/>
            <w:tcBorders>
              <w:top w:val="nil"/>
              <w:left w:val="nil"/>
              <w:bottom w:val="single" w:sz="4" w:space="0" w:color="auto"/>
              <w:right w:val="single" w:sz="4" w:space="0" w:color="auto"/>
            </w:tcBorders>
            <w:shd w:val="clear" w:color="auto" w:fill="auto"/>
            <w:vAlign w:val="center"/>
            <w:hideMark/>
          </w:tcPr>
          <w:p w14:paraId="2EA85098"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8 440,87  </w:t>
            </w:r>
          </w:p>
        </w:tc>
        <w:tc>
          <w:tcPr>
            <w:tcW w:w="1280" w:type="dxa"/>
            <w:tcBorders>
              <w:top w:val="nil"/>
              <w:left w:val="nil"/>
              <w:bottom w:val="single" w:sz="4" w:space="0" w:color="auto"/>
              <w:right w:val="single" w:sz="4" w:space="0" w:color="auto"/>
            </w:tcBorders>
            <w:shd w:val="clear" w:color="auto" w:fill="auto"/>
            <w:vAlign w:val="center"/>
            <w:hideMark/>
          </w:tcPr>
          <w:p w14:paraId="0A28B40F"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20 647,49  </w:t>
            </w:r>
          </w:p>
        </w:tc>
        <w:tc>
          <w:tcPr>
            <w:tcW w:w="1280" w:type="dxa"/>
            <w:tcBorders>
              <w:top w:val="nil"/>
              <w:left w:val="nil"/>
              <w:bottom w:val="single" w:sz="4" w:space="0" w:color="auto"/>
              <w:right w:val="single" w:sz="4" w:space="0" w:color="auto"/>
            </w:tcBorders>
            <w:shd w:val="clear" w:color="auto" w:fill="auto"/>
            <w:vAlign w:val="center"/>
            <w:hideMark/>
          </w:tcPr>
          <w:p w14:paraId="569058F2"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9 235,88  </w:t>
            </w:r>
          </w:p>
        </w:tc>
        <w:tc>
          <w:tcPr>
            <w:tcW w:w="1280" w:type="dxa"/>
            <w:tcBorders>
              <w:top w:val="nil"/>
              <w:left w:val="nil"/>
              <w:bottom w:val="single" w:sz="4" w:space="0" w:color="auto"/>
              <w:right w:val="single" w:sz="4" w:space="0" w:color="auto"/>
            </w:tcBorders>
            <w:shd w:val="clear" w:color="auto" w:fill="auto"/>
            <w:vAlign w:val="center"/>
            <w:hideMark/>
          </w:tcPr>
          <w:p w14:paraId="7AB13046"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9 988,92  </w:t>
            </w:r>
          </w:p>
        </w:tc>
        <w:tc>
          <w:tcPr>
            <w:tcW w:w="1280" w:type="dxa"/>
            <w:tcBorders>
              <w:top w:val="nil"/>
              <w:left w:val="nil"/>
              <w:bottom w:val="single" w:sz="4" w:space="0" w:color="auto"/>
              <w:right w:val="single" w:sz="4" w:space="0" w:color="auto"/>
            </w:tcBorders>
            <w:shd w:val="clear" w:color="auto" w:fill="auto"/>
            <w:vAlign w:val="center"/>
            <w:hideMark/>
          </w:tcPr>
          <w:p w14:paraId="7A95F100"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6 025,68  </w:t>
            </w:r>
          </w:p>
        </w:tc>
        <w:tc>
          <w:tcPr>
            <w:tcW w:w="1280" w:type="dxa"/>
            <w:tcBorders>
              <w:top w:val="nil"/>
              <w:left w:val="nil"/>
              <w:bottom w:val="single" w:sz="4" w:space="0" w:color="auto"/>
              <w:right w:val="single" w:sz="4" w:space="0" w:color="auto"/>
            </w:tcBorders>
            <w:shd w:val="clear" w:color="auto" w:fill="auto"/>
            <w:vAlign w:val="center"/>
            <w:hideMark/>
          </w:tcPr>
          <w:p w14:paraId="654B8BB4"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11 664,77  </w:t>
            </w:r>
          </w:p>
        </w:tc>
        <w:tc>
          <w:tcPr>
            <w:tcW w:w="1400" w:type="dxa"/>
            <w:tcBorders>
              <w:top w:val="nil"/>
              <w:left w:val="nil"/>
              <w:bottom w:val="single" w:sz="4" w:space="0" w:color="auto"/>
              <w:right w:val="single" w:sz="4" w:space="0" w:color="auto"/>
            </w:tcBorders>
            <w:shd w:val="clear" w:color="auto" w:fill="auto"/>
            <w:vAlign w:val="center"/>
            <w:hideMark/>
          </w:tcPr>
          <w:p w14:paraId="1E3B583A"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6 618,18  </w:t>
            </w:r>
          </w:p>
        </w:tc>
        <w:tc>
          <w:tcPr>
            <w:tcW w:w="1283" w:type="dxa"/>
            <w:tcBorders>
              <w:top w:val="nil"/>
              <w:left w:val="nil"/>
              <w:bottom w:val="single" w:sz="4" w:space="0" w:color="auto"/>
              <w:right w:val="single" w:sz="4" w:space="0" w:color="auto"/>
            </w:tcBorders>
            <w:shd w:val="clear" w:color="auto" w:fill="auto"/>
            <w:vAlign w:val="center"/>
            <w:hideMark/>
          </w:tcPr>
          <w:p w14:paraId="65B468C2"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1 019,80  </w:t>
            </w:r>
          </w:p>
        </w:tc>
      </w:tr>
      <w:tr w:rsidR="007A414D" w:rsidRPr="007A414D" w14:paraId="3D2BF2EB" w14:textId="77777777" w:rsidTr="007A414D">
        <w:trPr>
          <w:trHeight w:val="270"/>
        </w:trPr>
        <w:tc>
          <w:tcPr>
            <w:tcW w:w="2268" w:type="dxa"/>
            <w:tcBorders>
              <w:top w:val="nil"/>
              <w:left w:val="single" w:sz="4" w:space="0" w:color="auto"/>
              <w:bottom w:val="single" w:sz="4" w:space="0" w:color="auto"/>
              <w:right w:val="single" w:sz="4" w:space="0" w:color="auto"/>
            </w:tcBorders>
            <w:shd w:val="clear" w:color="auto" w:fill="auto"/>
            <w:vAlign w:val="center"/>
            <w:hideMark/>
          </w:tcPr>
          <w:p w14:paraId="580DFEF9" w14:textId="77777777" w:rsidR="007A414D" w:rsidRPr="007A414D" w:rsidRDefault="007A414D" w:rsidP="007A414D">
            <w:pPr>
              <w:ind w:firstLine="0"/>
              <w:jc w:val="left"/>
              <w:rPr>
                <w:rFonts w:eastAsia="Times New Roman" w:cs="Times New Roman"/>
                <w:szCs w:val="24"/>
                <w:lang w:eastAsia="ru-RU"/>
              </w:rPr>
            </w:pPr>
            <w:r w:rsidRPr="007A414D">
              <w:rPr>
                <w:rFonts w:eastAsia="Times New Roman" w:cs="Times New Roman"/>
                <w:szCs w:val="24"/>
                <w:lang w:eastAsia="ru-RU"/>
              </w:rPr>
              <w:t>Ленский у</w:t>
            </w:r>
          </w:p>
        </w:tc>
        <w:tc>
          <w:tcPr>
            <w:tcW w:w="1216" w:type="dxa"/>
            <w:tcBorders>
              <w:top w:val="nil"/>
              <w:left w:val="nil"/>
              <w:bottom w:val="single" w:sz="4" w:space="0" w:color="auto"/>
              <w:right w:val="single" w:sz="4" w:space="0" w:color="auto"/>
            </w:tcBorders>
            <w:shd w:val="clear" w:color="auto" w:fill="auto"/>
            <w:vAlign w:val="center"/>
            <w:hideMark/>
          </w:tcPr>
          <w:p w14:paraId="2BFB7B63"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36 692,80  </w:t>
            </w:r>
          </w:p>
        </w:tc>
        <w:tc>
          <w:tcPr>
            <w:tcW w:w="1280" w:type="dxa"/>
            <w:tcBorders>
              <w:top w:val="nil"/>
              <w:left w:val="nil"/>
              <w:bottom w:val="single" w:sz="4" w:space="0" w:color="auto"/>
              <w:right w:val="single" w:sz="4" w:space="0" w:color="auto"/>
            </w:tcBorders>
            <w:shd w:val="clear" w:color="auto" w:fill="auto"/>
            <w:vAlign w:val="center"/>
            <w:hideMark/>
          </w:tcPr>
          <w:p w14:paraId="69B95224"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14 549,68  </w:t>
            </w:r>
          </w:p>
        </w:tc>
        <w:tc>
          <w:tcPr>
            <w:tcW w:w="1280" w:type="dxa"/>
            <w:tcBorders>
              <w:top w:val="nil"/>
              <w:left w:val="nil"/>
              <w:bottom w:val="single" w:sz="4" w:space="0" w:color="auto"/>
              <w:right w:val="single" w:sz="4" w:space="0" w:color="auto"/>
            </w:tcBorders>
            <w:shd w:val="clear" w:color="auto" w:fill="auto"/>
            <w:vAlign w:val="center"/>
            <w:hideMark/>
          </w:tcPr>
          <w:p w14:paraId="05910C5E"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8 963,07  </w:t>
            </w:r>
          </w:p>
        </w:tc>
        <w:tc>
          <w:tcPr>
            <w:tcW w:w="1280" w:type="dxa"/>
            <w:tcBorders>
              <w:top w:val="nil"/>
              <w:left w:val="nil"/>
              <w:bottom w:val="single" w:sz="4" w:space="0" w:color="auto"/>
              <w:right w:val="single" w:sz="4" w:space="0" w:color="auto"/>
            </w:tcBorders>
            <w:shd w:val="clear" w:color="auto" w:fill="auto"/>
            <w:vAlign w:val="center"/>
            <w:hideMark/>
          </w:tcPr>
          <w:p w14:paraId="28942B18"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20 832,54  </w:t>
            </w:r>
          </w:p>
        </w:tc>
        <w:tc>
          <w:tcPr>
            <w:tcW w:w="1280" w:type="dxa"/>
            <w:tcBorders>
              <w:top w:val="nil"/>
              <w:left w:val="nil"/>
              <w:bottom w:val="single" w:sz="4" w:space="0" w:color="auto"/>
              <w:right w:val="single" w:sz="4" w:space="0" w:color="auto"/>
            </w:tcBorders>
            <w:shd w:val="clear" w:color="auto" w:fill="auto"/>
            <w:vAlign w:val="center"/>
            <w:hideMark/>
          </w:tcPr>
          <w:p w14:paraId="5746135B"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10 074,00  </w:t>
            </w:r>
          </w:p>
        </w:tc>
        <w:tc>
          <w:tcPr>
            <w:tcW w:w="1280" w:type="dxa"/>
            <w:tcBorders>
              <w:top w:val="nil"/>
              <w:left w:val="nil"/>
              <w:bottom w:val="single" w:sz="4" w:space="0" w:color="auto"/>
              <w:right w:val="single" w:sz="4" w:space="0" w:color="auto"/>
            </w:tcBorders>
            <w:shd w:val="clear" w:color="auto" w:fill="auto"/>
            <w:vAlign w:val="center"/>
            <w:hideMark/>
          </w:tcPr>
          <w:p w14:paraId="36616985"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9 501,49  </w:t>
            </w:r>
          </w:p>
        </w:tc>
        <w:tc>
          <w:tcPr>
            <w:tcW w:w="1280" w:type="dxa"/>
            <w:tcBorders>
              <w:top w:val="nil"/>
              <w:left w:val="nil"/>
              <w:bottom w:val="single" w:sz="4" w:space="0" w:color="auto"/>
              <w:right w:val="single" w:sz="4" w:space="0" w:color="auto"/>
            </w:tcBorders>
            <w:shd w:val="clear" w:color="auto" w:fill="auto"/>
            <w:vAlign w:val="center"/>
            <w:hideMark/>
          </w:tcPr>
          <w:p w14:paraId="5219D687"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9 824,68  </w:t>
            </w:r>
          </w:p>
        </w:tc>
        <w:tc>
          <w:tcPr>
            <w:tcW w:w="1280" w:type="dxa"/>
            <w:tcBorders>
              <w:top w:val="nil"/>
              <w:left w:val="nil"/>
              <w:bottom w:val="single" w:sz="4" w:space="0" w:color="auto"/>
              <w:right w:val="single" w:sz="4" w:space="0" w:color="auto"/>
            </w:tcBorders>
            <w:shd w:val="clear" w:color="auto" w:fill="auto"/>
            <w:vAlign w:val="center"/>
            <w:hideMark/>
          </w:tcPr>
          <w:p w14:paraId="4447D042"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10 046,76  </w:t>
            </w:r>
          </w:p>
        </w:tc>
        <w:tc>
          <w:tcPr>
            <w:tcW w:w="1400" w:type="dxa"/>
            <w:tcBorders>
              <w:top w:val="nil"/>
              <w:left w:val="nil"/>
              <w:bottom w:val="single" w:sz="4" w:space="0" w:color="auto"/>
              <w:right w:val="single" w:sz="4" w:space="0" w:color="auto"/>
            </w:tcBorders>
            <w:shd w:val="clear" w:color="auto" w:fill="auto"/>
            <w:vAlign w:val="center"/>
            <w:hideMark/>
          </w:tcPr>
          <w:p w14:paraId="120D5E4E"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106 241,41  </w:t>
            </w:r>
          </w:p>
        </w:tc>
        <w:tc>
          <w:tcPr>
            <w:tcW w:w="1283" w:type="dxa"/>
            <w:tcBorders>
              <w:top w:val="nil"/>
              <w:left w:val="nil"/>
              <w:bottom w:val="single" w:sz="4" w:space="0" w:color="auto"/>
              <w:right w:val="single" w:sz="4" w:space="0" w:color="auto"/>
            </w:tcBorders>
            <w:shd w:val="clear" w:color="auto" w:fill="auto"/>
            <w:vAlign w:val="center"/>
            <w:hideMark/>
          </w:tcPr>
          <w:p w14:paraId="25E78026"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823,42  </w:t>
            </w:r>
          </w:p>
        </w:tc>
      </w:tr>
      <w:tr w:rsidR="007A414D" w:rsidRPr="007A414D" w14:paraId="47A33C4B" w14:textId="77777777" w:rsidTr="007A414D">
        <w:trPr>
          <w:trHeight w:val="270"/>
        </w:trPr>
        <w:tc>
          <w:tcPr>
            <w:tcW w:w="2268" w:type="dxa"/>
            <w:tcBorders>
              <w:top w:val="nil"/>
              <w:left w:val="single" w:sz="4" w:space="0" w:color="auto"/>
              <w:bottom w:val="single" w:sz="4" w:space="0" w:color="auto"/>
              <w:right w:val="single" w:sz="4" w:space="0" w:color="auto"/>
            </w:tcBorders>
            <w:shd w:val="clear" w:color="auto" w:fill="auto"/>
            <w:vAlign w:val="center"/>
            <w:hideMark/>
          </w:tcPr>
          <w:p w14:paraId="5A12F54A" w14:textId="77777777" w:rsidR="007A414D" w:rsidRPr="007A414D" w:rsidRDefault="007A414D" w:rsidP="007A414D">
            <w:pPr>
              <w:ind w:firstLine="0"/>
              <w:jc w:val="left"/>
              <w:rPr>
                <w:rFonts w:eastAsia="Times New Roman" w:cs="Times New Roman"/>
                <w:szCs w:val="24"/>
                <w:lang w:eastAsia="ru-RU"/>
              </w:rPr>
            </w:pPr>
            <w:r w:rsidRPr="007A414D">
              <w:rPr>
                <w:rFonts w:eastAsia="Times New Roman" w:cs="Times New Roman"/>
                <w:szCs w:val="24"/>
                <w:lang w:eastAsia="ru-RU"/>
              </w:rPr>
              <w:t>Мегино-Кангаласский у</w:t>
            </w:r>
          </w:p>
        </w:tc>
        <w:tc>
          <w:tcPr>
            <w:tcW w:w="1216" w:type="dxa"/>
            <w:tcBorders>
              <w:top w:val="nil"/>
              <w:left w:val="nil"/>
              <w:bottom w:val="single" w:sz="4" w:space="0" w:color="auto"/>
              <w:right w:val="single" w:sz="4" w:space="0" w:color="auto"/>
            </w:tcBorders>
            <w:shd w:val="clear" w:color="auto" w:fill="auto"/>
            <w:vAlign w:val="center"/>
            <w:hideMark/>
          </w:tcPr>
          <w:p w14:paraId="24590282"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18 489,71  </w:t>
            </w:r>
          </w:p>
        </w:tc>
        <w:tc>
          <w:tcPr>
            <w:tcW w:w="1280" w:type="dxa"/>
            <w:tcBorders>
              <w:top w:val="nil"/>
              <w:left w:val="nil"/>
              <w:bottom w:val="single" w:sz="4" w:space="0" w:color="auto"/>
              <w:right w:val="single" w:sz="4" w:space="0" w:color="auto"/>
            </w:tcBorders>
            <w:shd w:val="clear" w:color="auto" w:fill="auto"/>
            <w:vAlign w:val="center"/>
            <w:hideMark/>
          </w:tcPr>
          <w:p w14:paraId="05C1FAEA"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8 340,81  </w:t>
            </w:r>
          </w:p>
        </w:tc>
        <w:tc>
          <w:tcPr>
            <w:tcW w:w="1280" w:type="dxa"/>
            <w:tcBorders>
              <w:top w:val="nil"/>
              <w:left w:val="nil"/>
              <w:bottom w:val="single" w:sz="4" w:space="0" w:color="auto"/>
              <w:right w:val="single" w:sz="4" w:space="0" w:color="auto"/>
            </w:tcBorders>
            <w:shd w:val="clear" w:color="auto" w:fill="auto"/>
            <w:vAlign w:val="center"/>
            <w:hideMark/>
          </w:tcPr>
          <w:p w14:paraId="7DC393A2"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9 405,55  </w:t>
            </w:r>
          </w:p>
        </w:tc>
        <w:tc>
          <w:tcPr>
            <w:tcW w:w="1280" w:type="dxa"/>
            <w:tcBorders>
              <w:top w:val="nil"/>
              <w:left w:val="nil"/>
              <w:bottom w:val="single" w:sz="4" w:space="0" w:color="auto"/>
              <w:right w:val="single" w:sz="4" w:space="0" w:color="auto"/>
            </w:tcBorders>
            <w:shd w:val="clear" w:color="auto" w:fill="auto"/>
            <w:vAlign w:val="center"/>
            <w:hideMark/>
          </w:tcPr>
          <w:p w14:paraId="5303A9A2"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21 475,26  </w:t>
            </w:r>
          </w:p>
        </w:tc>
        <w:tc>
          <w:tcPr>
            <w:tcW w:w="1280" w:type="dxa"/>
            <w:tcBorders>
              <w:top w:val="nil"/>
              <w:left w:val="nil"/>
              <w:bottom w:val="single" w:sz="4" w:space="0" w:color="auto"/>
              <w:right w:val="single" w:sz="4" w:space="0" w:color="auto"/>
            </w:tcBorders>
            <w:shd w:val="clear" w:color="auto" w:fill="auto"/>
            <w:vAlign w:val="center"/>
            <w:hideMark/>
          </w:tcPr>
          <w:p w14:paraId="4E8F8863"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17 623,85  </w:t>
            </w:r>
          </w:p>
        </w:tc>
        <w:tc>
          <w:tcPr>
            <w:tcW w:w="1280" w:type="dxa"/>
            <w:tcBorders>
              <w:top w:val="nil"/>
              <w:left w:val="nil"/>
              <w:bottom w:val="single" w:sz="4" w:space="0" w:color="auto"/>
              <w:right w:val="single" w:sz="4" w:space="0" w:color="auto"/>
            </w:tcBorders>
            <w:shd w:val="clear" w:color="auto" w:fill="auto"/>
            <w:vAlign w:val="center"/>
            <w:hideMark/>
          </w:tcPr>
          <w:p w14:paraId="73702450"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10 215,14  </w:t>
            </w:r>
          </w:p>
        </w:tc>
        <w:tc>
          <w:tcPr>
            <w:tcW w:w="1280" w:type="dxa"/>
            <w:tcBorders>
              <w:top w:val="nil"/>
              <w:left w:val="nil"/>
              <w:bottom w:val="single" w:sz="4" w:space="0" w:color="auto"/>
              <w:right w:val="single" w:sz="4" w:space="0" w:color="auto"/>
            </w:tcBorders>
            <w:shd w:val="clear" w:color="auto" w:fill="auto"/>
            <w:vAlign w:val="center"/>
            <w:hideMark/>
          </w:tcPr>
          <w:p w14:paraId="302E15E9"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4 788,82  </w:t>
            </w:r>
          </w:p>
        </w:tc>
        <w:tc>
          <w:tcPr>
            <w:tcW w:w="1280" w:type="dxa"/>
            <w:tcBorders>
              <w:top w:val="nil"/>
              <w:left w:val="nil"/>
              <w:bottom w:val="single" w:sz="4" w:space="0" w:color="auto"/>
              <w:right w:val="single" w:sz="4" w:space="0" w:color="auto"/>
            </w:tcBorders>
            <w:shd w:val="clear" w:color="auto" w:fill="auto"/>
            <w:vAlign w:val="center"/>
            <w:hideMark/>
          </w:tcPr>
          <w:p w14:paraId="730B676E"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10 542,89  </w:t>
            </w:r>
          </w:p>
        </w:tc>
        <w:tc>
          <w:tcPr>
            <w:tcW w:w="1400" w:type="dxa"/>
            <w:tcBorders>
              <w:top w:val="nil"/>
              <w:left w:val="nil"/>
              <w:bottom w:val="single" w:sz="4" w:space="0" w:color="auto"/>
              <w:right w:val="single" w:sz="4" w:space="0" w:color="auto"/>
            </w:tcBorders>
            <w:shd w:val="clear" w:color="auto" w:fill="auto"/>
            <w:vAlign w:val="center"/>
            <w:hideMark/>
          </w:tcPr>
          <w:p w14:paraId="178BD45C"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27 219,05  </w:t>
            </w:r>
          </w:p>
        </w:tc>
        <w:tc>
          <w:tcPr>
            <w:tcW w:w="1283" w:type="dxa"/>
            <w:tcBorders>
              <w:top w:val="nil"/>
              <w:left w:val="nil"/>
              <w:bottom w:val="single" w:sz="4" w:space="0" w:color="auto"/>
              <w:right w:val="single" w:sz="4" w:space="0" w:color="auto"/>
            </w:tcBorders>
            <w:shd w:val="clear" w:color="auto" w:fill="auto"/>
            <w:vAlign w:val="center"/>
            <w:hideMark/>
          </w:tcPr>
          <w:p w14:paraId="6A5E8863"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7 828,84  </w:t>
            </w:r>
          </w:p>
        </w:tc>
      </w:tr>
      <w:tr w:rsidR="007A414D" w:rsidRPr="007A414D" w14:paraId="1B9A6D82" w14:textId="77777777" w:rsidTr="007A414D">
        <w:trPr>
          <w:trHeight w:val="270"/>
        </w:trPr>
        <w:tc>
          <w:tcPr>
            <w:tcW w:w="2268" w:type="dxa"/>
            <w:tcBorders>
              <w:top w:val="nil"/>
              <w:left w:val="single" w:sz="4" w:space="0" w:color="auto"/>
              <w:bottom w:val="single" w:sz="4" w:space="0" w:color="auto"/>
              <w:right w:val="single" w:sz="4" w:space="0" w:color="auto"/>
            </w:tcBorders>
            <w:shd w:val="clear" w:color="auto" w:fill="auto"/>
            <w:vAlign w:val="center"/>
            <w:hideMark/>
          </w:tcPr>
          <w:p w14:paraId="5C4CEC86" w14:textId="77777777" w:rsidR="007A414D" w:rsidRPr="007A414D" w:rsidRDefault="007A414D" w:rsidP="007A414D">
            <w:pPr>
              <w:ind w:firstLine="0"/>
              <w:jc w:val="left"/>
              <w:rPr>
                <w:rFonts w:eastAsia="Times New Roman" w:cs="Times New Roman"/>
                <w:szCs w:val="24"/>
                <w:lang w:eastAsia="ru-RU"/>
              </w:rPr>
            </w:pPr>
            <w:r w:rsidRPr="007A414D">
              <w:rPr>
                <w:rFonts w:eastAsia="Times New Roman" w:cs="Times New Roman"/>
                <w:szCs w:val="24"/>
                <w:lang w:eastAsia="ru-RU"/>
              </w:rPr>
              <w:t>Мирнинский у</w:t>
            </w:r>
          </w:p>
        </w:tc>
        <w:tc>
          <w:tcPr>
            <w:tcW w:w="1216" w:type="dxa"/>
            <w:tcBorders>
              <w:top w:val="nil"/>
              <w:left w:val="nil"/>
              <w:bottom w:val="single" w:sz="4" w:space="0" w:color="auto"/>
              <w:right w:val="single" w:sz="4" w:space="0" w:color="auto"/>
            </w:tcBorders>
            <w:shd w:val="clear" w:color="auto" w:fill="auto"/>
            <w:vAlign w:val="center"/>
            <w:hideMark/>
          </w:tcPr>
          <w:p w14:paraId="0E1AC45F"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24 022,35  </w:t>
            </w:r>
          </w:p>
        </w:tc>
        <w:tc>
          <w:tcPr>
            <w:tcW w:w="1280" w:type="dxa"/>
            <w:tcBorders>
              <w:top w:val="nil"/>
              <w:left w:val="nil"/>
              <w:bottom w:val="single" w:sz="4" w:space="0" w:color="auto"/>
              <w:right w:val="single" w:sz="4" w:space="0" w:color="auto"/>
            </w:tcBorders>
            <w:shd w:val="clear" w:color="auto" w:fill="auto"/>
            <w:vAlign w:val="center"/>
            <w:hideMark/>
          </w:tcPr>
          <w:p w14:paraId="33EC355F"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16 136,18  </w:t>
            </w:r>
          </w:p>
        </w:tc>
        <w:tc>
          <w:tcPr>
            <w:tcW w:w="1280" w:type="dxa"/>
            <w:tcBorders>
              <w:top w:val="nil"/>
              <w:left w:val="nil"/>
              <w:bottom w:val="single" w:sz="4" w:space="0" w:color="auto"/>
              <w:right w:val="single" w:sz="4" w:space="0" w:color="auto"/>
            </w:tcBorders>
            <w:shd w:val="clear" w:color="auto" w:fill="auto"/>
            <w:vAlign w:val="center"/>
            <w:hideMark/>
          </w:tcPr>
          <w:p w14:paraId="07C85495"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10 403,45  </w:t>
            </w:r>
          </w:p>
        </w:tc>
        <w:tc>
          <w:tcPr>
            <w:tcW w:w="1280" w:type="dxa"/>
            <w:tcBorders>
              <w:top w:val="nil"/>
              <w:left w:val="nil"/>
              <w:bottom w:val="single" w:sz="4" w:space="0" w:color="auto"/>
              <w:right w:val="single" w:sz="4" w:space="0" w:color="auto"/>
            </w:tcBorders>
            <w:shd w:val="clear" w:color="auto" w:fill="auto"/>
            <w:vAlign w:val="center"/>
            <w:hideMark/>
          </w:tcPr>
          <w:p w14:paraId="2B618E27"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21 036,87  </w:t>
            </w:r>
          </w:p>
        </w:tc>
        <w:tc>
          <w:tcPr>
            <w:tcW w:w="1280" w:type="dxa"/>
            <w:tcBorders>
              <w:top w:val="nil"/>
              <w:left w:val="nil"/>
              <w:bottom w:val="single" w:sz="4" w:space="0" w:color="auto"/>
              <w:right w:val="single" w:sz="4" w:space="0" w:color="auto"/>
            </w:tcBorders>
            <w:shd w:val="clear" w:color="auto" w:fill="auto"/>
            <w:vAlign w:val="center"/>
            <w:hideMark/>
          </w:tcPr>
          <w:p w14:paraId="58974695"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7 644,10  </w:t>
            </w:r>
          </w:p>
        </w:tc>
        <w:tc>
          <w:tcPr>
            <w:tcW w:w="1280" w:type="dxa"/>
            <w:tcBorders>
              <w:top w:val="nil"/>
              <w:left w:val="nil"/>
              <w:bottom w:val="single" w:sz="4" w:space="0" w:color="auto"/>
              <w:right w:val="single" w:sz="4" w:space="0" w:color="auto"/>
            </w:tcBorders>
            <w:shd w:val="clear" w:color="auto" w:fill="auto"/>
            <w:vAlign w:val="center"/>
            <w:hideMark/>
          </w:tcPr>
          <w:p w14:paraId="3E7BA8DB"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8 253,56  </w:t>
            </w:r>
          </w:p>
        </w:tc>
        <w:tc>
          <w:tcPr>
            <w:tcW w:w="1280" w:type="dxa"/>
            <w:tcBorders>
              <w:top w:val="nil"/>
              <w:left w:val="nil"/>
              <w:bottom w:val="single" w:sz="4" w:space="0" w:color="auto"/>
              <w:right w:val="single" w:sz="4" w:space="0" w:color="auto"/>
            </w:tcBorders>
            <w:shd w:val="clear" w:color="auto" w:fill="auto"/>
            <w:vAlign w:val="center"/>
            <w:hideMark/>
          </w:tcPr>
          <w:p w14:paraId="2909B486"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9 321,92  </w:t>
            </w:r>
          </w:p>
        </w:tc>
        <w:tc>
          <w:tcPr>
            <w:tcW w:w="1280" w:type="dxa"/>
            <w:tcBorders>
              <w:top w:val="nil"/>
              <w:left w:val="nil"/>
              <w:bottom w:val="single" w:sz="4" w:space="0" w:color="auto"/>
              <w:right w:val="single" w:sz="4" w:space="0" w:color="auto"/>
            </w:tcBorders>
            <w:shd w:val="clear" w:color="auto" w:fill="auto"/>
            <w:vAlign w:val="center"/>
            <w:hideMark/>
          </w:tcPr>
          <w:p w14:paraId="745F3FC9"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8 991,42  </w:t>
            </w:r>
          </w:p>
        </w:tc>
        <w:tc>
          <w:tcPr>
            <w:tcW w:w="1400" w:type="dxa"/>
            <w:tcBorders>
              <w:top w:val="nil"/>
              <w:left w:val="nil"/>
              <w:bottom w:val="single" w:sz="4" w:space="0" w:color="auto"/>
              <w:right w:val="single" w:sz="4" w:space="0" w:color="auto"/>
            </w:tcBorders>
            <w:shd w:val="clear" w:color="auto" w:fill="auto"/>
            <w:vAlign w:val="center"/>
            <w:hideMark/>
          </w:tcPr>
          <w:p w14:paraId="051EEA53"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40 020,66  </w:t>
            </w:r>
          </w:p>
        </w:tc>
        <w:tc>
          <w:tcPr>
            <w:tcW w:w="1283" w:type="dxa"/>
            <w:tcBorders>
              <w:top w:val="nil"/>
              <w:left w:val="nil"/>
              <w:bottom w:val="single" w:sz="4" w:space="0" w:color="auto"/>
              <w:right w:val="single" w:sz="4" w:space="0" w:color="auto"/>
            </w:tcBorders>
            <w:shd w:val="clear" w:color="auto" w:fill="auto"/>
            <w:vAlign w:val="center"/>
            <w:hideMark/>
          </w:tcPr>
          <w:p w14:paraId="0E101FA3"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60 486,91  </w:t>
            </w:r>
          </w:p>
        </w:tc>
      </w:tr>
      <w:tr w:rsidR="007A414D" w:rsidRPr="007A414D" w14:paraId="78E4F4E9" w14:textId="77777777" w:rsidTr="007A414D">
        <w:trPr>
          <w:trHeight w:val="270"/>
        </w:trPr>
        <w:tc>
          <w:tcPr>
            <w:tcW w:w="2268" w:type="dxa"/>
            <w:tcBorders>
              <w:top w:val="nil"/>
              <w:left w:val="single" w:sz="4" w:space="0" w:color="auto"/>
              <w:bottom w:val="single" w:sz="4" w:space="0" w:color="auto"/>
              <w:right w:val="single" w:sz="4" w:space="0" w:color="auto"/>
            </w:tcBorders>
            <w:shd w:val="clear" w:color="auto" w:fill="auto"/>
            <w:vAlign w:val="center"/>
            <w:hideMark/>
          </w:tcPr>
          <w:p w14:paraId="0E67DE09" w14:textId="77777777" w:rsidR="007A414D" w:rsidRPr="007A414D" w:rsidRDefault="007A414D" w:rsidP="007A414D">
            <w:pPr>
              <w:ind w:firstLine="0"/>
              <w:jc w:val="left"/>
              <w:rPr>
                <w:rFonts w:eastAsia="Times New Roman" w:cs="Times New Roman"/>
                <w:szCs w:val="24"/>
                <w:lang w:eastAsia="ru-RU"/>
              </w:rPr>
            </w:pPr>
            <w:r w:rsidRPr="007A414D">
              <w:rPr>
                <w:rFonts w:eastAsia="Times New Roman" w:cs="Times New Roman"/>
                <w:szCs w:val="24"/>
                <w:lang w:eastAsia="ru-RU"/>
              </w:rPr>
              <w:t>Момский у</w:t>
            </w:r>
          </w:p>
        </w:tc>
        <w:tc>
          <w:tcPr>
            <w:tcW w:w="1216" w:type="dxa"/>
            <w:tcBorders>
              <w:top w:val="nil"/>
              <w:left w:val="nil"/>
              <w:bottom w:val="single" w:sz="4" w:space="0" w:color="auto"/>
              <w:right w:val="single" w:sz="4" w:space="0" w:color="auto"/>
            </w:tcBorders>
            <w:shd w:val="clear" w:color="auto" w:fill="auto"/>
            <w:noWrap/>
            <w:vAlign w:val="bottom"/>
            <w:hideMark/>
          </w:tcPr>
          <w:p w14:paraId="41BDAF86" w14:textId="77777777" w:rsidR="007A414D" w:rsidRPr="007A414D" w:rsidRDefault="007A414D" w:rsidP="007A414D">
            <w:pPr>
              <w:ind w:firstLine="0"/>
              <w:jc w:val="left"/>
              <w:rPr>
                <w:rFonts w:eastAsia="Times New Roman" w:cs="Times New Roman"/>
                <w:szCs w:val="24"/>
                <w:lang w:eastAsia="ru-RU"/>
              </w:rPr>
            </w:pPr>
            <w:r w:rsidRPr="007A414D">
              <w:rPr>
                <w:rFonts w:eastAsia="Times New Roman" w:cs="Times New Roman"/>
                <w:szCs w:val="24"/>
                <w:lang w:eastAsia="ru-RU"/>
              </w:rPr>
              <w:t>-</w:t>
            </w:r>
          </w:p>
        </w:tc>
        <w:tc>
          <w:tcPr>
            <w:tcW w:w="1280" w:type="dxa"/>
            <w:tcBorders>
              <w:top w:val="nil"/>
              <w:left w:val="nil"/>
              <w:bottom w:val="single" w:sz="4" w:space="0" w:color="auto"/>
              <w:right w:val="single" w:sz="4" w:space="0" w:color="auto"/>
            </w:tcBorders>
            <w:shd w:val="clear" w:color="auto" w:fill="auto"/>
            <w:vAlign w:val="center"/>
            <w:hideMark/>
          </w:tcPr>
          <w:p w14:paraId="2503809F"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5 865,03  </w:t>
            </w:r>
          </w:p>
        </w:tc>
        <w:tc>
          <w:tcPr>
            <w:tcW w:w="1280" w:type="dxa"/>
            <w:tcBorders>
              <w:top w:val="nil"/>
              <w:left w:val="nil"/>
              <w:bottom w:val="single" w:sz="4" w:space="0" w:color="auto"/>
              <w:right w:val="single" w:sz="4" w:space="0" w:color="auto"/>
            </w:tcBorders>
            <w:shd w:val="clear" w:color="auto" w:fill="auto"/>
            <w:vAlign w:val="center"/>
            <w:hideMark/>
          </w:tcPr>
          <w:p w14:paraId="126A1E8B"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7 199,53  </w:t>
            </w:r>
          </w:p>
        </w:tc>
        <w:tc>
          <w:tcPr>
            <w:tcW w:w="1280" w:type="dxa"/>
            <w:tcBorders>
              <w:top w:val="nil"/>
              <w:left w:val="nil"/>
              <w:bottom w:val="single" w:sz="4" w:space="0" w:color="auto"/>
              <w:right w:val="single" w:sz="4" w:space="0" w:color="auto"/>
            </w:tcBorders>
            <w:shd w:val="clear" w:color="auto" w:fill="auto"/>
            <w:vAlign w:val="center"/>
            <w:hideMark/>
          </w:tcPr>
          <w:p w14:paraId="0C22789D"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16 872,78  </w:t>
            </w:r>
          </w:p>
        </w:tc>
        <w:tc>
          <w:tcPr>
            <w:tcW w:w="1280" w:type="dxa"/>
            <w:tcBorders>
              <w:top w:val="nil"/>
              <w:left w:val="nil"/>
              <w:bottom w:val="single" w:sz="4" w:space="0" w:color="auto"/>
              <w:right w:val="single" w:sz="4" w:space="0" w:color="auto"/>
            </w:tcBorders>
            <w:shd w:val="clear" w:color="auto" w:fill="auto"/>
            <w:vAlign w:val="center"/>
            <w:hideMark/>
          </w:tcPr>
          <w:p w14:paraId="2179E8C4"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16 290,76  </w:t>
            </w:r>
          </w:p>
        </w:tc>
        <w:tc>
          <w:tcPr>
            <w:tcW w:w="1280" w:type="dxa"/>
            <w:tcBorders>
              <w:top w:val="nil"/>
              <w:left w:val="nil"/>
              <w:bottom w:val="single" w:sz="4" w:space="0" w:color="auto"/>
              <w:right w:val="single" w:sz="4" w:space="0" w:color="auto"/>
            </w:tcBorders>
            <w:shd w:val="clear" w:color="auto" w:fill="auto"/>
            <w:vAlign w:val="center"/>
            <w:hideMark/>
          </w:tcPr>
          <w:p w14:paraId="5CE376DA"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5 235,31  </w:t>
            </w:r>
          </w:p>
        </w:tc>
        <w:tc>
          <w:tcPr>
            <w:tcW w:w="1280" w:type="dxa"/>
            <w:tcBorders>
              <w:top w:val="nil"/>
              <w:left w:val="nil"/>
              <w:bottom w:val="single" w:sz="4" w:space="0" w:color="auto"/>
              <w:right w:val="single" w:sz="4" w:space="0" w:color="auto"/>
            </w:tcBorders>
            <w:shd w:val="clear" w:color="auto" w:fill="auto"/>
            <w:vAlign w:val="center"/>
            <w:hideMark/>
          </w:tcPr>
          <w:p w14:paraId="1D536642"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3 955,07  </w:t>
            </w:r>
          </w:p>
        </w:tc>
        <w:tc>
          <w:tcPr>
            <w:tcW w:w="1280" w:type="dxa"/>
            <w:tcBorders>
              <w:top w:val="nil"/>
              <w:left w:val="nil"/>
              <w:bottom w:val="single" w:sz="4" w:space="0" w:color="auto"/>
              <w:right w:val="single" w:sz="4" w:space="0" w:color="auto"/>
            </w:tcBorders>
            <w:shd w:val="clear" w:color="auto" w:fill="auto"/>
            <w:vAlign w:val="center"/>
            <w:hideMark/>
          </w:tcPr>
          <w:p w14:paraId="2386BC62"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1 699,85  </w:t>
            </w:r>
          </w:p>
        </w:tc>
        <w:tc>
          <w:tcPr>
            <w:tcW w:w="1400" w:type="dxa"/>
            <w:tcBorders>
              <w:top w:val="nil"/>
              <w:left w:val="nil"/>
              <w:bottom w:val="single" w:sz="4" w:space="0" w:color="auto"/>
              <w:right w:val="single" w:sz="4" w:space="0" w:color="auto"/>
            </w:tcBorders>
            <w:shd w:val="clear" w:color="auto" w:fill="auto"/>
            <w:vAlign w:val="center"/>
            <w:hideMark/>
          </w:tcPr>
          <w:p w14:paraId="02F5BD3E"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3 548,88  </w:t>
            </w:r>
          </w:p>
        </w:tc>
        <w:tc>
          <w:tcPr>
            <w:tcW w:w="1283" w:type="dxa"/>
            <w:tcBorders>
              <w:top w:val="nil"/>
              <w:left w:val="nil"/>
              <w:bottom w:val="single" w:sz="4" w:space="0" w:color="auto"/>
              <w:right w:val="single" w:sz="4" w:space="0" w:color="auto"/>
            </w:tcBorders>
            <w:shd w:val="clear" w:color="auto" w:fill="auto"/>
            <w:vAlign w:val="center"/>
            <w:hideMark/>
          </w:tcPr>
          <w:p w14:paraId="2869AB7F"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661,24  </w:t>
            </w:r>
          </w:p>
        </w:tc>
      </w:tr>
      <w:tr w:rsidR="007A414D" w:rsidRPr="007A414D" w14:paraId="1EB8DF54" w14:textId="77777777" w:rsidTr="007A414D">
        <w:trPr>
          <w:trHeight w:val="270"/>
        </w:trPr>
        <w:tc>
          <w:tcPr>
            <w:tcW w:w="2268" w:type="dxa"/>
            <w:tcBorders>
              <w:top w:val="nil"/>
              <w:left w:val="single" w:sz="4" w:space="0" w:color="auto"/>
              <w:bottom w:val="single" w:sz="4" w:space="0" w:color="auto"/>
              <w:right w:val="single" w:sz="4" w:space="0" w:color="auto"/>
            </w:tcBorders>
            <w:shd w:val="clear" w:color="auto" w:fill="auto"/>
            <w:vAlign w:val="center"/>
            <w:hideMark/>
          </w:tcPr>
          <w:p w14:paraId="02949452" w14:textId="77777777" w:rsidR="007A414D" w:rsidRPr="007A414D" w:rsidRDefault="007A414D" w:rsidP="007A414D">
            <w:pPr>
              <w:ind w:firstLine="0"/>
              <w:jc w:val="left"/>
              <w:rPr>
                <w:rFonts w:eastAsia="Times New Roman" w:cs="Times New Roman"/>
                <w:szCs w:val="24"/>
                <w:lang w:eastAsia="ru-RU"/>
              </w:rPr>
            </w:pPr>
            <w:r w:rsidRPr="007A414D">
              <w:rPr>
                <w:rFonts w:eastAsia="Times New Roman" w:cs="Times New Roman"/>
                <w:szCs w:val="24"/>
                <w:lang w:eastAsia="ru-RU"/>
              </w:rPr>
              <w:t>Намский у</w:t>
            </w:r>
          </w:p>
        </w:tc>
        <w:tc>
          <w:tcPr>
            <w:tcW w:w="1216" w:type="dxa"/>
            <w:tcBorders>
              <w:top w:val="nil"/>
              <w:left w:val="nil"/>
              <w:bottom w:val="single" w:sz="4" w:space="0" w:color="auto"/>
              <w:right w:val="single" w:sz="4" w:space="0" w:color="auto"/>
            </w:tcBorders>
            <w:shd w:val="clear" w:color="auto" w:fill="auto"/>
            <w:vAlign w:val="center"/>
            <w:hideMark/>
          </w:tcPr>
          <w:p w14:paraId="190AC311"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15 834,69  </w:t>
            </w:r>
          </w:p>
        </w:tc>
        <w:tc>
          <w:tcPr>
            <w:tcW w:w="1280" w:type="dxa"/>
            <w:tcBorders>
              <w:top w:val="nil"/>
              <w:left w:val="nil"/>
              <w:bottom w:val="single" w:sz="4" w:space="0" w:color="auto"/>
              <w:right w:val="single" w:sz="4" w:space="0" w:color="auto"/>
            </w:tcBorders>
            <w:shd w:val="clear" w:color="auto" w:fill="auto"/>
            <w:vAlign w:val="center"/>
            <w:hideMark/>
          </w:tcPr>
          <w:p w14:paraId="4CEA1C46"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7 807,53  </w:t>
            </w:r>
          </w:p>
        </w:tc>
        <w:tc>
          <w:tcPr>
            <w:tcW w:w="1280" w:type="dxa"/>
            <w:tcBorders>
              <w:top w:val="nil"/>
              <w:left w:val="nil"/>
              <w:bottom w:val="single" w:sz="4" w:space="0" w:color="auto"/>
              <w:right w:val="single" w:sz="4" w:space="0" w:color="auto"/>
            </w:tcBorders>
            <w:shd w:val="clear" w:color="auto" w:fill="auto"/>
            <w:vAlign w:val="center"/>
            <w:hideMark/>
          </w:tcPr>
          <w:p w14:paraId="4C4B83A5"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8 317,12  </w:t>
            </w:r>
          </w:p>
        </w:tc>
        <w:tc>
          <w:tcPr>
            <w:tcW w:w="1280" w:type="dxa"/>
            <w:tcBorders>
              <w:top w:val="nil"/>
              <w:left w:val="nil"/>
              <w:bottom w:val="single" w:sz="4" w:space="0" w:color="auto"/>
              <w:right w:val="single" w:sz="4" w:space="0" w:color="auto"/>
            </w:tcBorders>
            <w:shd w:val="clear" w:color="auto" w:fill="auto"/>
            <w:vAlign w:val="center"/>
            <w:hideMark/>
          </w:tcPr>
          <w:p w14:paraId="08061F18"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18 289,59  </w:t>
            </w:r>
          </w:p>
        </w:tc>
        <w:tc>
          <w:tcPr>
            <w:tcW w:w="1280" w:type="dxa"/>
            <w:tcBorders>
              <w:top w:val="nil"/>
              <w:left w:val="nil"/>
              <w:bottom w:val="single" w:sz="4" w:space="0" w:color="auto"/>
              <w:right w:val="single" w:sz="4" w:space="0" w:color="auto"/>
            </w:tcBorders>
            <w:shd w:val="clear" w:color="auto" w:fill="auto"/>
            <w:vAlign w:val="center"/>
            <w:hideMark/>
          </w:tcPr>
          <w:p w14:paraId="6DE3A080"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5 123,25  </w:t>
            </w:r>
          </w:p>
        </w:tc>
        <w:tc>
          <w:tcPr>
            <w:tcW w:w="1280" w:type="dxa"/>
            <w:tcBorders>
              <w:top w:val="nil"/>
              <w:left w:val="nil"/>
              <w:bottom w:val="single" w:sz="4" w:space="0" w:color="auto"/>
              <w:right w:val="single" w:sz="4" w:space="0" w:color="auto"/>
            </w:tcBorders>
            <w:shd w:val="clear" w:color="auto" w:fill="auto"/>
            <w:vAlign w:val="center"/>
            <w:hideMark/>
          </w:tcPr>
          <w:p w14:paraId="509144F6"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9 264,91  </w:t>
            </w:r>
          </w:p>
        </w:tc>
        <w:tc>
          <w:tcPr>
            <w:tcW w:w="1280" w:type="dxa"/>
            <w:tcBorders>
              <w:top w:val="nil"/>
              <w:left w:val="nil"/>
              <w:bottom w:val="single" w:sz="4" w:space="0" w:color="auto"/>
              <w:right w:val="single" w:sz="4" w:space="0" w:color="auto"/>
            </w:tcBorders>
            <w:shd w:val="clear" w:color="auto" w:fill="auto"/>
            <w:vAlign w:val="center"/>
            <w:hideMark/>
          </w:tcPr>
          <w:p w14:paraId="700F71F2"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4 569,90  </w:t>
            </w:r>
          </w:p>
        </w:tc>
        <w:tc>
          <w:tcPr>
            <w:tcW w:w="1280" w:type="dxa"/>
            <w:tcBorders>
              <w:top w:val="nil"/>
              <w:left w:val="nil"/>
              <w:bottom w:val="single" w:sz="4" w:space="0" w:color="auto"/>
              <w:right w:val="single" w:sz="4" w:space="0" w:color="auto"/>
            </w:tcBorders>
            <w:shd w:val="clear" w:color="auto" w:fill="auto"/>
            <w:vAlign w:val="center"/>
            <w:hideMark/>
          </w:tcPr>
          <w:p w14:paraId="1B93564A"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9 631,28  </w:t>
            </w:r>
          </w:p>
        </w:tc>
        <w:tc>
          <w:tcPr>
            <w:tcW w:w="1400" w:type="dxa"/>
            <w:tcBorders>
              <w:top w:val="nil"/>
              <w:left w:val="nil"/>
              <w:bottom w:val="single" w:sz="4" w:space="0" w:color="auto"/>
              <w:right w:val="single" w:sz="4" w:space="0" w:color="auto"/>
            </w:tcBorders>
            <w:shd w:val="clear" w:color="auto" w:fill="auto"/>
            <w:vAlign w:val="center"/>
            <w:hideMark/>
          </w:tcPr>
          <w:p w14:paraId="7E6214A5"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5 117,57  </w:t>
            </w:r>
          </w:p>
        </w:tc>
        <w:tc>
          <w:tcPr>
            <w:tcW w:w="1283" w:type="dxa"/>
            <w:tcBorders>
              <w:top w:val="nil"/>
              <w:left w:val="nil"/>
              <w:bottom w:val="single" w:sz="4" w:space="0" w:color="auto"/>
              <w:right w:val="single" w:sz="4" w:space="0" w:color="auto"/>
            </w:tcBorders>
            <w:shd w:val="clear" w:color="auto" w:fill="auto"/>
            <w:vAlign w:val="center"/>
            <w:hideMark/>
          </w:tcPr>
          <w:p w14:paraId="13BEEDE3"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1 680,03  </w:t>
            </w:r>
          </w:p>
        </w:tc>
      </w:tr>
      <w:tr w:rsidR="007A414D" w:rsidRPr="007A414D" w14:paraId="00BC5C9F" w14:textId="77777777" w:rsidTr="007A414D">
        <w:trPr>
          <w:trHeight w:val="270"/>
        </w:trPr>
        <w:tc>
          <w:tcPr>
            <w:tcW w:w="2268" w:type="dxa"/>
            <w:tcBorders>
              <w:top w:val="nil"/>
              <w:left w:val="single" w:sz="4" w:space="0" w:color="auto"/>
              <w:bottom w:val="single" w:sz="4" w:space="0" w:color="auto"/>
              <w:right w:val="single" w:sz="4" w:space="0" w:color="auto"/>
            </w:tcBorders>
            <w:shd w:val="clear" w:color="auto" w:fill="auto"/>
            <w:vAlign w:val="center"/>
            <w:hideMark/>
          </w:tcPr>
          <w:p w14:paraId="355C6665" w14:textId="77777777" w:rsidR="007A414D" w:rsidRPr="007A414D" w:rsidRDefault="007A414D" w:rsidP="007A414D">
            <w:pPr>
              <w:ind w:firstLine="0"/>
              <w:jc w:val="left"/>
              <w:rPr>
                <w:rFonts w:eastAsia="Times New Roman" w:cs="Times New Roman"/>
                <w:szCs w:val="24"/>
                <w:lang w:eastAsia="ru-RU"/>
              </w:rPr>
            </w:pPr>
            <w:r w:rsidRPr="007A414D">
              <w:rPr>
                <w:rFonts w:eastAsia="Times New Roman" w:cs="Times New Roman"/>
                <w:szCs w:val="24"/>
                <w:lang w:eastAsia="ru-RU"/>
              </w:rPr>
              <w:t>Нижнеколымский у</w:t>
            </w:r>
          </w:p>
        </w:tc>
        <w:tc>
          <w:tcPr>
            <w:tcW w:w="1216" w:type="dxa"/>
            <w:tcBorders>
              <w:top w:val="nil"/>
              <w:left w:val="nil"/>
              <w:bottom w:val="single" w:sz="4" w:space="0" w:color="auto"/>
              <w:right w:val="single" w:sz="4" w:space="0" w:color="auto"/>
            </w:tcBorders>
            <w:shd w:val="clear" w:color="auto" w:fill="auto"/>
            <w:vAlign w:val="center"/>
            <w:hideMark/>
          </w:tcPr>
          <w:p w14:paraId="34D0F21B"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29 314,19  </w:t>
            </w:r>
          </w:p>
        </w:tc>
        <w:tc>
          <w:tcPr>
            <w:tcW w:w="1280" w:type="dxa"/>
            <w:tcBorders>
              <w:top w:val="nil"/>
              <w:left w:val="nil"/>
              <w:bottom w:val="single" w:sz="4" w:space="0" w:color="auto"/>
              <w:right w:val="single" w:sz="4" w:space="0" w:color="auto"/>
            </w:tcBorders>
            <w:shd w:val="clear" w:color="auto" w:fill="auto"/>
            <w:vAlign w:val="center"/>
            <w:hideMark/>
          </w:tcPr>
          <w:p w14:paraId="4EE4BF3D"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7 427,72  </w:t>
            </w:r>
          </w:p>
        </w:tc>
        <w:tc>
          <w:tcPr>
            <w:tcW w:w="1280" w:type="dxa"/>
            <w:tcBorders>
              <w:top w:val="nil"/>
              <w:left w:val="nil"/>
              <w:bottom w:val="single" w:sz="4" w:space="0" w:color="auto"/>
              <w:right w:val="single" w:sz="4" w:space="0" w:color="auto"/>
            </w:tcBorders>
            <w:shd w:val="clear" w:color="auto" w:fill="auto"/>
            <w:vAlign w:val="center"/>
            <w:hideMark/>
          </w:tcPr>
          <w:p w14:paraId="3889614D"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6 901,90  </w:t>
            </w:r>
          </w:p>
        </w:tc>
        <w:tc>
          <w:tcPr>
            <w:tcW w:w="1280" w:type="dxa"/>
            <w:tcBorders>
              <w:top w:val="nil"/>
              <w:left w:val="nil"/>
              <w:bottom w:val="single" w:sz="4" w:space="0" w:color="auto"/>
              <w:right w:val="single" w:sz="4" w:space="0" w:color="auto"/>
            </w:tcBorders>
            <w:shd w:val="clear" w:color="auto" w:fill="auto"/>
            <w:vAlign w:val="center"/>
            <w:hideMark/>
          </w:tcPr>
          <w:p w14:paraId="09668E28"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23 727,06  </w:t>
            </w:r>
          </w:p>
        </w:tc>
        <w:tc>
          <w:tcPr>
            <w:tcW w:w="1280" w:type="dxa"/>
            <w:tcBorders>
              <w:top w:val="nil"/>
              <w:left w:val="nil"/>
              <w:bottom w:val="single" w:sz="4" w:space="0" w:color="auto"/>
              <w:right w:val="single" w:sz="4" w:space="0" w:color="auto"/>
            </w:tcBorders>
            <w:shd w:val="clear" w:color="auto" w:fill="auto"/>
            <w:vAlign w:val="center"/>
            <w:hideMark/>
          </w:tcPr>
          <w:p w14:paraId="3E685D70"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8 849,53  </w:t>
            </w:r>
          </w:p>
        </w:tc>
        <w:tc>
          <w:tcPr>
            <w:tcW w:w="1280" w:type="dxa"/>
            <w:tcBorders>
              <w:top w:val="nil"/>
              <w:left w:val="nil"/>
              <w:bottom w:val="single" w:sz="4" w:space="0" w:color="auto"/>
              <w:right w:val="single" w:sz="4" w:space="0" w:color="auto"/>
            </w:tcBorders>
            <w:shd w:val="clear" w:color="auto" w:fill="auto"/>
            <w:vAlign w:val="center"/>
            <w:hideMark/>
          </w:tcPr>
          <w:p w14:paraId="44D56169"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15 248,01  </w:t>
            </w:r>
          </w:p>
        </w:tc>
        <w:tc>
          <w:tcPr>
            <w:tcW w:w="1280" w:type="dxa"/>
            <w:tcBorders>
              <w:top w:val="nil"/>
              <w:left w:val="nil"/>
              <w:bottom w:val="single" w:sz="4" w:space="0" w:color="auto"/>
              <w:right w:val="single" w:sz="4" w:space="0" w:color="auto"/>
            </w:tcBorders>
            <w:shd w:val="clear" w:color="auto" w:fill="auto"/>
            <w:vAlign w:val="center"/>
            <w:hideMark/>
          </w:tcPr>
          <w:p w14:paraId="4906DD2C"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7 883,79  </w:t>
            </w:r>
          </w:p>
        </w:tc>
        <w:tc>
          <w:tcPr>
            <w:tcW w:w="1280" w:type="dxa"/>
            <w:tcBorders>
              <w:top w:val="nil"/>
              <w:left w:val="nil"/>
              <w:bottom w:val="single" w:sz="4" w:space="0" w:color="auto"/>
              <w:right w:val="single" w:sz="4" w:space="0" w:color="auto"/>
            </w:tcBorders>
            <w:shd w:val="clear" w:color="auto" w:fill="auto"/>
            <w:vAlign w:val="center"/>
            <w:hideMark/>
          </w:tcPr>
          <w:p w14:paraId="275FCDA2"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11 862,34  </w:t>
            </w:r>
          </w:p>
        </w:tc>
        <w:tc>
          <w:tcPr>
            <w:tcW w:w="1400" w:type="dxa"/>
            <w:tcBorders>
              <w:top w:val="nil"/>
              <w:left w:val="nil"/>
              <w:bottom w:val="single" w:sz="4" w:space="0" w:color="auto"/>
              <w:right w:val="single" w:sz="4" w:space="0" w:color="auto"/>
            </w:tcBorders>
            <w:shd w:val="clear" w:color="auto" w:fill="auto"/>
            <w:vAlign w:val="center"/>
            <w:hideMark/>
          </w:tcPr>
          <w:p w14:paraId="216081DE"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5 535,69  </w:t>
            </w:r>
          </w:p>
        </w:tc>
        <w:tc>
          <w:tcPr>
            <w:tcW w:w="1283" w:type="dxa"/>
            <w:tcBorders>
              <w:top w:val="nil"/>
              <w:left w:val="nil"/>
              <w:bottom w:val="single" w:sz="4" w:space="0" w:color="auto"/>
              <w:right w:val="single" w:sz="4" w:space="0" w:color="auto"/>
            </w:tcBorders>
            <w:shd w:val="clear" w:color="auto" w:fill="auto"/>
            <w:vAlign w:val="center"/>
            <w:hideMark/>
          </w:tcPr>
          <w:p w14:paraId="0E62D61A"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197,26  </w:t>
            </w:r>
          </w:p>
        </w:tc>
      </w:tr>
      <w:tr w:rsidR="007A414D" w:rsidRPr="007A414D" w14:paraId="2E7FFCA4" w14:textId="77777777" w:rsidTr="007A414D">
        <w:trPr>
          <w:trHeight w:val="270"/>
        </w:trPr>
        <w:tc>
          <w:tcPr>
            <w:tcW w:w="2268" w:type="dxa"/>
            <w:tcBorders>
              <w:top w:val="nil"/>
              <w:left w:val="single" w:sz="4" w:space="0" w:color="auto"/>
              <w:bottom w:val="single" w:sz="4" w:space="0" w:color="auto"/>
              <w:right w:val="single" w:sz="4" w:space="0" w:color="auto"/>
            </w:tcBorders>
            <w:shd w:val="clear" w:color="auto" w:fill="auto"/>
            <w:vAlign w:val="center"/>
            <w:hideMark/>
          </w:tcPr>
          <w:p w14:paraId="5539E394" w14:textId="77777777" w:rsidR="007A414D" w:rsidRPr="007A414D" w:rsidRDefault="007A414D" w:rsidP="007A414D">
            <w:pPr>
              <w:ind w:firstLine="0"/>
              <w:jc w:val="left"/>
              <w:rPr>
                <w:rFonts w:eastAsia="Times New Roman" w:cs="Times New Roman"/>
                <w:szCs w:val="24"/>
                <w:lang w:eastAsia="ru-RU"/>
              </w:rPr>
            </w:pPr>
            <w:r w:rsidRPr="007A414D">
              <w:rPr>
                <w:rFonts w:eastAsia="Times New Roman" w:cs="Times New Roman"/>
                <w:szCs w:val="24"/>
                <w:lang w:eastAsia="ru-RU"/>
              </w:rPr>
              <w:t>Нюрбинский у</w:t>
            </w:r>
          </w:p>
        </w:tc>
        <w:tc>
          <w:tcPr>
            <w:tcW w:w="1216" w:type="dxa"/>
            <w:tcBorders>
              <w:top w:val="nil"/>
              <w:left w:val="nil"/>
              <w:bottom w:val="single" w:sz="4" w:space="0" w:color="auto"/>
              <w:right w:val="single" w:sz="4" w:space="0" w:color="auto"/>
            </w:tcBorders>
            <w:shd w:val="clear" w:color="auto" w:fill="auto"/>
            <w:vAlign w:val="center"/>
            <w:hideMark/>
          </w:tcPr>
          <w:p w14:paraId="28DC77DD"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28 431,09  </w:t>
            </w:r>
          </w:p>
        </w:tc>
        <w:tc>
          <w:tcPr>
            <w:tcW w:w="1280" w:type="dxa"/>
            <w:tcBorders>
              <w:top w:val="nil"/>
              <w:left w:val="nil"/>
              <w:bottom w:val="single" w:sz="4" w:space="0" w:color="auto"/>
              <w:right w:val="single" w:sz="4" w:space="0" w:color="auto"/>
            </w:tcBorders>
            <w:shd w:val="clear" w:color="auto" w:fill="auto"/>
            <w:vAlign w:val="center"/>
            <w:hideMark/>
          </w:tcPr>
          <w:p w14:paraId="2CEF2916"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11 403,51  </w:t>
            </w:r>
          </w:p>
        </w:tc>
        <w:tc>
          <w:tcPr>
            <w:tcW w:w="1280" w:type="dxa"/>
            <w:tcBorders>
              <w:top w:val="nil"/>
              <w:left w:val="nil"/>
              <w:bottom w:val="single" w:sz="4" w:space="0" w:color="auto"/>
              <w:right w:val="single" w:sz="4" w:space="0" w:color="auto"/>
            </w:tcBorders>
            <w:shd w:val="clear" w:color="auto" w:fill="auto"/>
            <w:vAlign w:val="center"/>
            <w:hideMark/>
          </w:tcPr>
          <w:p w14:paraId="6E07F5A0"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10 520,72  </w:t>
            </w:r>
          </w:p>
        </w:tc>
        <w:tc>
          <w:tcPr>
            <w:tcW w:w="1280" w:type="dxa"/>
            <w:tcBorders>
              <w:top w:val="nil"/>
              <w:left w:val="nil"/>
              <w:bottom w:val="single" w:sz="4" w:space="0" w:color="auto"/>
              <w:right w:val="single" w:sz="4" w:space="0" w:color="auto"/>
            </w:tcBorders>
            <w:shd w:val="clear" w:color="auto" w:fill="auto"/>
            <w:vAlign w:val="center"/>
            <w:hideMark/>
          </w:tcPr>
          <w:p w14:paraId="4266E3A6"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20 391,78  </w:t>
            </w:r>
          </w:p>
        </w:tc>
        <w:tc>
          <w:tcPr>
            <w:tcW w:w="1280" w:type="dxa"/>
            <w:tcBorders>
              <w:top w:val="nil"/>
              <w:left w:val="nil"/>
              <w:bottom w:val="single" w:sz="4" w:space="0" w:color="auto"/>
              <w:right w:val="single" w:sz="4" w:space="0" w:color="auto"/>
            </w:tcBorders>
            <w:shd w:val="clear" w:color="auto" w:fill="auto"/>
            <w:vAlign w:val="center"/>
            <w:hideMark/>
          </w:tcPr>
          <w:p w14:paraId="00384022"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8 583,03  </w:t>
            </w:r>
          </w:p>
        </w:tc>
        <w:tc>
          <w:tcPr>
            <w:tcW w:w="1280" w:type="dxa"/>
            <w:tcBorders>
              <w:top w:val="nil"/>
              <w:left w:val="nil"/>
              <w:bottom w:val="single" w:sz="4" w:space="0" w:color="auto"/>
              <w:right w:val="single" w:sz="4" w:space="0" w:color="auto"/>
            </w:tcBorders>
            <w:shd w:val="clear" w:color="auto" w:fill="auto"/>
            <w:vAlign w:val="center"/>
            <w:hideMark/>
          </w:tcPr>
          <w:p w14:paraId="09011040"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9 490,30  </w:t>
            </w:r>
          </w:p>
        </w:tc>
        <w:tc>
          <w:tcPr>
            <w:tcW w:w="1280" w:type="dxa"/>
            <w:tcBorders>
              <w:top w:val="nil"/>
              <w:left w:val="nil"/>
              <w:bottom w:val="single" w:sz="4" w:space="0" w:color="auto"/>
              <w:right w:val="single" w:sz="4" w:space="0" w:color="auto"/>
            </w:tcBorders>
            <w:shd w:val="clear" w:color="auto" w:fill="auto"/>
            <w:vAlign w:val="center"/>
            <w:hideMark/>
          </w:tcPr>
          <w:p w14:paraId="08D92E10"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7 432,23  </w:t>
            </w:r>
          </w:p>
        </w:tc>
        <w:tc>
          <w:tcPr>
            <w:tcW w:w="1280" w:type="dxa"/>
            <w:tcBorders>
              <w:top w:val="nil"/>
              <w:left w:val="nil"/>
              <w:bottom w:val="single" w:sz="4" w:space="0" w:color="auto"/>
              <w:right w:val="single" w:sz="4" w:space="0" w:color="auto"/>
            </w:tcBorders>
            <w:shd w:val="clear" w:color="auto" w:fill="auto"/>
            <w:vAlign w:val="center"/>
            <w:hideMark/>
          </w:tcPr>
          <w:p w14:paraId="0EC8D042"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11 041,00  </w:t>
            </w:r>
          </w:p>
        </w:tc>
        <w:tc>
          <w:tcPr>
            <w:tcW w:w="1400" w:type="dxa"/>
            <w:tcBorders>
              <w:top w:val="nil"/>
              <w:left w:val="nil"/>
              <w:bottom w:val="single" w:sz="4" w:space="0" w:color="auto"/>
              <w:right w:val="single" w:sz="4" w:space="0" w:color="auto"/>
            </w:tcBorders>
            <w:shd w:val="clear" w:color="auto" w:fill="auto"/>
            <w:vAlign w:val="center"/>
            <w:hideMark/>
          </w:tcPr>
          <w:p w14:paraId="48EA1DE4"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7 799,76  </w:t>
            </w:r>
          </w:p>
        </w:tc>
        <w:tc>
          <w:tcPr>
            <w:tcW w:w="1283" w:type="dxa"/>
            <w:tcBorders>
              <w:top w:val="nil"/>
              <w:left w:val="nil"/>
              <w:bottom w:val="single" w:sz="4" w:space="0" w:color="auto"/>
              <w:right w:val="single" w:sz="4" w:space="0" w:color="auto"/>
            </w:tcBorders>
            <w:shd w:val="clear" w:color="auto" w:fill="auto"/>
            <w:vAlign w:val="center"/>
            <w:hideMark/>
          </w:tcPr>
          <w:p w14:paraId="58898353"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565,89  </w:t>
            </w:r>
          </w:p>
        </w:tc>
      </w:tr>
      <w:tr w:rsidR="007A414D" w:rsidRPr="007A414D" w14:paraId="03293B50" w14:textId="77777777" w:rsidTr="007A414D">
        <w:trPr>
          <w:trHeight w:val="270"/>
        </w:trPr>
        <w:tc>
          <w:tcPr>
            <w:tcW w:w="2268" w:type="dxa"/>
            <w:tcBorders>
              <w:top w:val="nil"/>
              <w:left w:val="single" w:sz="4" w:space="0" w:color="auto"/>
              <w:bottom w:val="single" w:sz="4" w:space="0" w:color="auto"/>
              <w:right w:val="single" w:sz="4" w:space="0" w:color="auto"/>
            </w:tcBorders>
            <w:shd w:val="clear" w:color="auto" w:fill="auto"/>
            <w:vAlign w:val="center"/>
            <w:hideMark/>
          </w:tcPr>
          <w:p w14:paraId="7F0BF238" w14:textId="77777777" w:rsidR="007A414D" w:rsidRPr="007A414D" w:rsidRDefault="007A414D" w:rsidP="007A414D">
            <w:pPr>
              <w:ind w:firstLine="0"/>
              <w:jc w:val="left"/>
              <w:rPr>
                <w:rFonts w:eastAsia="Times New Roman" w:cs="Times New Roman"/>
                <w:szCs w:val="24"/>
                <w:lang w:eastAsia="ru-RU"/>
              </w:rPr>
            </w:pPr>
            <w:r w:rsidRPr="007A414D">
              <w:rPr>
                <w:rFonts w:eastAsia="Times New Roman" w:cs="Times New Roman"/>
                <w:szCs w:val="24"/>
                <w:lang w:eastAsia="ru-RU"/>
              </w:rPr>
              <w:t>Оймяконский у</w:t>
            </w:r>
          </w:p>
        </w:tc>
        <w:tc>
          <w:tcPr>
            <w:tcW w:w="1216" w:type="dxa"/>
            <w:tcBorders>
              <w:top w:val="nil"/>
              <w:left w:val="nil"/>
              <w:bottom w:val="single" w:sz="4" w:space="0" w:color="auto"/>
              <w:right w:val="single" w:sz="4" w:space="0" w:color="auto"/>
            </w:tcBorders>
            <w:shd w:val="clear" w:color="auto" w:fill="auto"/>
            <w:vAlign w:val="center"/>
            <w:hideMark/>
          </w:tcPr>
          <w:p w14:paraId="08585BF6"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29 544,35  </w:t>
            </w:r>
          </w:p>
        </w:tc>
        <w:tc>
          <w:tcPr>
            <w:tcW w:w="1280" w:type="dxa"/>
            <w:tcBorders>
              <w:top w:val="nil"/>
              <w:left w:val="nil"/>
              <w:bottom w:val="single" w:sz="4" w:space="0" w:color="auto"/>
              <w:right w:val="single" w:sz="4" w:space="0" w:color="auto"/>
            </w:tcBorders>
            <w:shd w:val="clear" w:color="auto" w:fill="auto"/>
            <w:vAlign w:val="center"/>
            <w:hideMark/>
          </w:tcPr>
          <w:p w14:paraId="40CCAB88"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11 688,67  </w:t>
            </w:r>
          </w:p>
        </w:tc>
        <w:tc>
          <w:tcPr>
            <w:tcW w:w="1280" w:type="dxa"/>
            <w:tcBorders>
              <w:top w:val="nil"/>
              <w:left w:val="nil"/>
              <w:bottom w:val="single" w:sz="4" w:space="0" w:color="auto"/>
              <w:right w:val="single" w:sz="4" w:space="0" w:color="auto"/>
            </w:tcBorders>
            <w:shd w:val="clear" w:color="auto" w:fill="auto"/>
            <w:vAlign w:val="center"/>
            <w:hideMark/>
          </w:tcPr>
          <w:p w14:paraId="06DD5EF8"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8 667,33  </w:t>
            </w:r>
          </w:p>
        </w:tc>
        <w:tc>
          <w:tcPr>
            <w:tcW w:w="1280" w:type="dxa"/>
            <w:tcBorders>
              <w:top w:val="nil"/>
              <w:left w:val="nil"/>
              <w:bottom w:val="single" w:sz="4" w:space="0" w:color="auto"/>
              <w:right w:val="single" w:sz="4" w:space="0" w:color="auto"/>
            </w:tcBorders>
            <w:shd w:val="clear" w:color="auto" w:fill="auto"/>
            <w:vAlign w:val="center"/>
            <w:hideMark/>
          </w:tcPr>
          <w:p w14:paraId="75910C68"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20 086,34  </w:t>
            </w:r>
          </w:p>
        </w:tc>
        <w:tc>
          <w:tcPr>
            <w:tcW w:w="1280" w:type="dxa"/>
            <w:tcBorders>
              <w:top w:val="nil"/>
              <w:left w:val="nil"/>
              <w:bottom w:val="single" w:sz="4" w:space="0" w:color="auto"/>
              <w:right w:val="single" w:sz="4" w:space="0" w:color="auto"/>
            </w:tcBorders>
            <w:shd w:val="clear" w:color="auto" w:fill="auto"/>
            <w:vAlign w:val="center"/>
            <w:hideMark/>
          </w:tcPr>
          <w:p w14:paraId="5895FA73"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8 565,71  </w:t>
            </w:r>
          </w:p>
        </w:tc>
        <w:tc>
          <w:tcPr>
            <w:tcW w:w="1280" w:type="dxa"/>
            <w:tcBorders>
              <w:top w:val="nil"/>
              <w:left w:val="nil"/>
              <w:bottom w:val="single" w:sz="4" w:space="0" w:color="auto"/>
              <w:right w:val="single" w:sz="4" w:space="0" w:color="auto"/>
            </w:tcBorders>
            <w:shd w:val="clear" w:color="auto" w:fill="auto"/>
            <w:vAlign w:val="center"/>
            <w:hideMark/>
          </w:tcPr>
          <w:p w14:paraId="0CB5F39C"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8 115,40  </w:t>
            </w:r>
          </w:p>
        </w:tc>
        <w:tc>
          <w:tcPr>
            <w:tcW w:w="1280" w:type="dxa"/>
            <w:tcBorders>
              <w:top w:val="nil"/>
              <w:left w:val="nil"/>
              <w:bottom w:val="single" w:sz="4" w:space="0" w:color="auto"/>
              <w:right w:val="single" w:sz="4" w:space="0" w:color="auto"/>
            </w:tcBorders>
            <w:shd w:val="clear" w:color="auto" w:fill="auto"/>
            <w:vAlign w:val="center"/>
            <w:hideMark/>
          </w:tcPr>
          <w:p w14:paraId="3B4F5561"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5 319,82  </w:t>
            </w:r>
          </w:p>
        </w:tc>
        <w:tc>
          <w:tcPr>
            <w:tcW w:w="1280" w:type="dxa"/>
            <w:tcBorders>
              <w:top w:val="nil"/>
              <w:left w:val="nil"/>
              <w:bottom w:val="single" w:sz="4" w:space="0" w:color="auto"/>
              <w:right w:val="single" w:sz="4" w:space="0" w:color="auto"/>
            </w:tcBorders>
            <w:shd w:val="clear" w:color="auto" w:fill="auto"/>
            <w:vAlign w:val="center"/>
            <w:hideMark/>
          </w:tcPr>
          <w:p w14:paraId="6D8B3C6F"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11 214,87  </w:t>
            </w:r>
          </w:p>
        </w:tc>
        <w:tc>
          <w:tcPr>
            <w:tcW w:w="1400" w:type="dxa"/>
            <w:tcBorders>
              <w:top w:val="nil"/>
              <w:left w:val="nil"/>
              <w:bottom w:val="single" w:sz="4" w:space="0" w:color="auto"/>
              <w:right w:val="single" w:sz="4" w:space="0" w:color="auto"/>
            </w:tcBorders>
            <w:shd w:val="clear" w:color="auto" w:fill="auto"/>
            <w:vAlign w:val="center"/>
            <w:hideMark/>
          </w:tcPr>
          <w:p w14:paraId="119A5222"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5 816,32  </w:t>
            </w:r>
          </w:p>
        </w:tc>
        <w:tc>
          <w:tcPr>
            <w:tcW w:w="1283" w:type="dxa"/>
            <w:tcBorders>
              <w:top w:val="nil"/>
              <w:left w:val="nil"/>
              <w:bottom w:val="single" w:sz="4" w:space="0" w:color="auto"/>
              <w:right w:val="single" w:sz="4" w:space="0" w:color="auto"/>
            </w:tcBorders>
            <w:shd w:val="clear" w:color="auto" w:fill="auto"/>
            <w:vAlign w:val="center"/>
            <w:hideMark/>
          </w:tcPr>
          <w:p w14:paraId="684D93BA"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25 495,59  </w:t>
            </w:r>
          </w:p>
        </w:tc>
      </w:tr>
      <w:tr w:rsidR="007A414D" w:rsidRPr="007A414D" w14:paraId="587D2DE3" w14:textId="77777777" w:rsidTr="007A414D">
        <w:trPr>
          <w:trHeight w:val="270"/>
        </w:trPr>
        <w:tc>
          <w:tcPr>
            <w:tcW w:w="2268" w:type="dxa"/>
            <w:tcBorders>
              <w:top w:val="nil"/>
              <w:left w:val="single" w:sz="4" w:space="0" w:color="auto"/>
              <w:bottom w:val="single" w:sz="4" w:space="0" w:color="auto"/>
              <w:right w:val="single" w:sz="4" w:space="0" w:color="auto"/>
            </w:tcBorders>
            <w:shd w:val="clear" w:color="auto" w:fill="auto"/>
            <w:vAlign w:val="center"/>
            <w:hideMark/>
          </w:tcPr>
          <w:p w14:paraId="5FD51F63" w14:textId="77777777" w:rsidR="007A414D" w:rsidRPr="007A414D" w:rsidRDefault="007A414D" w:rsidP="007A414D">
            <w:pPr>
              <w:ind w:firstLine="0"/>
              <w:jc w:val="left"/>
              <w:rPr>
                <w:rFonts w:eastAsia="Times New Roman" w:cs="Times New Roman"/>
                <w:szCs w:val="24"/>
                <w:lang w:eastAsia="ru-RU"/>
              </w:rPr>
            </w:pPr>
            <w:r w:rsidRPr="007A414D">
              <w:rPr>
                <w:rFonts w:eastAsia="Times New Roman" w:cs="Times New Roman"/>
                <w:szCs w:val="24"/>
                <w:lang w:eastAsia="ru-RU"/>
              </w:rPr>
              <w:t>Олекминский у</w:t>
            </w:r>
          </w:p>
        </w:tc>
        <w:tc>
          <w:tcPr>
            <w:tcW w:w="1216" w:type="dxa"/>
            <w:tcBorders>
              <w:top w:val="nil"/>
              <w:left w:val="nil"/>
              <w:bottom w:val="single" w:sz="4" w:space="0" w:color="auto"/>
              <w:right w:val="single" w:sz="4" w:space="0" w:color="auto"/>
            </w:tcBorders>
            <w:shd w:val="clear" w:color="auto" w:fill="auto"/>
            <w:vAlign w:val="center"/>
            <w:hideMark/>
          </w:tcPr>
          <w:p w14:paraId="0E220312"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35 410,45  </w:t>
            </w:r>
          </w:p>
        </w:tc>
        <w:tc>
          <w:tcPr>
            <w:tcW w:w="1280" w:type="dxa"/>
            <w:tcBorders>
              <w:top w:val="nil"/>
              <w:left w:val="nil"/>
              <w:bottom w:val="single" w:sz="4" w:space="0" w:color="auto"/>
              <w:right w:val="single" w:sz="4" w:space="0" w:color="auto"/>
            </w:tcBorders>
            <w:shd w:val="clear" w:color="auto" w:fill="auto"/>
            <w:vAlign w:val="center"/>
            <w:hideMark/>
          </w:tcPr>
          <w:p w14:paraId="49DC7572"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13 072,34  </w:t>
            </w:r>
          </w:p>
        </w:tc>
        <w:tc>
          <w:tcPr>
            <w:tcW w:w="1280" w:type="dxa"/>
            <w:tcBorders>
              <w:top w:val="nil"/>
              <w:left w:val="nil"/>
              <w:bottom w:val="single" w:sz="4" w:space="0" w:color="auto"/>
              <w:right w:val="single" w:sz="4" w:space="0" w:color="auto"/>
            </w:tcBorders>
            <w:shd w:val="clear" w:color="auto" w:fill="auto"/>
            <w:vAlign w:val="center"/>
            <w:hideMark/>
          </w:tcPr>
          <w:p w14:paraId="29928130"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9 970,20  </w:t>
            </w:r>
          </w:p>
        </w:tc>
        <w:tc>
          <w:tcPr>
            <w:tcW w:w="1280" w:type="dxa"/>
            <w:tcBorders>
              <w:top w:val="nil"/>
              <w:left w:val="nil"/>
              <w:bottom w:val="single" w:sz="4" w:space="0" w:color="auto"/>
              <w:right w:val="single" w:sz="4" w:space="0" w:color="auto"/>
            </w:tcBorders>
            <w:shd w:val="clear" w:color="auto" w:fill="auto"/>
            <w:vAlign w:val="center"/>
            <w:hideMark/>
          </w:tcPr>
          <w:p w14:paraId="7472E20E"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23 721,80  </w:t>
            </w:r>
          </w:p>
        </w:tc>
        <w:tc>
          <w:tcPr>
            <w:tcW w:w="1280" w:type="dxa"/>
            <w:tcBorders>
              <w:top w:val="nil"/>
              <w:left w:val="nil"/>
              <w:bottom w:val="single" w:sz="4" w:space="0" w:color="auto"/>
              <w:right w:val="single" w:sz="4" w:space="0" w:color="auto"/>
            </w:tcBorders>
            <w:shd w:val="clear" w:color="auto" w:fill="auto"/>
            <w:vAlign w:val="center"/>
            <w:hideMark/>
          </w:tcPr>
          <w:p w14:paraId="76572832"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9 605,52  </w:t>
            </w:r>
          </w:p>
        </w:tc>
        <w:tc>
          <w:tcPr>
            <w:tcW w:w="1280" w:type="dxa"/>
            <w:tcBorders>
              <w:top w:val="nil"/>
              <w:left w:val="nil"/>
              <w:bottom w:val="single" w:sz="4" w:space="0" w:color="auto"/>
              <w:right w:val="single" w:sz="4" w:space="0" w:color="auto"/>
            </w:tcBorders>
            <w:shd w:val="clear" w:color="auto" w:fill="auto"/>
            <w:vAlign w:val="center"/>
            <w:hideMark/>
          </w:tcPr>
          <w:p w14:paraId="08AE02C6"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10 967,67  </w:t>
            </w:r>
          </w:p>
        </w:tc>
        <w:tc>
          <w:tcPr>
            <w:tcW w:w="1280" w:type="dxa"/>
            <w:tcBorders>
              <w:top w:val="nil"/>
              <w:left w:val="nil"/>
              <w:bottom w:val="single" w:sz="4" w:space="0" w:color="auto"/>
              <w:right w:val="single" w:sz="4" w:space="0" w:color="auto"/>
            </w:tcBorders>
            <w:shd w:val="clear" w:color="auto" w:fill="auto"/>
            <w:vAlign w:val="center"/>
            <w:hideMark/>
          </w:tcPr>
          <w:p w14:paraId="16AD1C1B"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8 328,15  </w:t>
            </w:r>
          </w:p>
        </w:tc>
        <w:tc>
          <w:tcPr>
            <w:tcW w:w="1280" w:type="dxa"/>
            <w:tcBorders>
              <w:top w:val="nil"/>
              <w:left w:val="nil"/>
              <w:bottom w:val="single" w:sz="4" w:space="0" w:color="auto"/>
              <w:right w:val="single" w:sz="4" w:space="0" w:color="auto"/>
            </w:tcBorders>
            <w:shd w:val="clear" w:color="auto" w:fill="auto"/>
            <w:vAlign w:val="center"/>
            <w:hideMark/>
          </w:tcPr>
          <w:p w14:paraId="0A1BF7CD"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16 451,00  </w:t>
            </w:r>
          </w:p>
        </w:tc>
        <w:tc>
          <w:tcPr>
            <w:tcW w:w="1400" w:type="dxa"/>
            <w:tcBorders>
              <w:top w:val="nil"/>
              <w:left w:val="nil"/>
              <w:bottom w:val="single" w:sz="4" w:space="0" w:color="auto"/>
              <w:right w:val="single" w:sz="4" w:space="0" w:color="auto"/>
            </w:tcBorders>
            <w:shd w:val="clear" w:color="auto" w:fill="auto"/>
            <w:vAlign w:val="center"/>
            <w:hideMark/>
          </w:tcPr>
          <w:p w14:paraId="6DFE2B97"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8 489,42  </w:t>
            </w:r>
          </w:p>
        </w:tc>
        <w:tc>
          <w:tcPr>
            <w:tcW w:w="1283" w:type="dxa"/>
            <w:tcBorders>
              <w:top w:val="nil"/>
              <w:left w:val="nil"/>
              <w:bottom w:val="single" w:sz="4" w:space="0" w:color="auto"/>
              <w:right w:val="single" w:sz="4" w:space="0" w:color="auto"/>
            </w:tcBorders>
            <w:shd w:val="clear" w:color="auto" w:fill="auto"/>
            <w:vAlign w:val="center"/>
            <w:hideMark/>
          </w:tcPr>
          <w:p w14:paraId="4ADB41EE"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475,95  </w:t>
            </w:r>
          </w:p>
        </w:tc>
      </w:tr>
      <w:tr w:rsidR="007A414D" w:rsidRPr="007A414D" w14:paraId="1D460815" w14:textId="77777777" w:rsidTr="007A414D">
        <w:trPr>
          <w:trHeight w:val="270"/>
        </w:trPr>
        <w:tc>
          <w:tcPr>
            <w:tcW w:w="2268" w:type="dxa"/>
            <w:tcBorders>
              <w:top w:val="nil"/>
              <w:left w:val="single" w:sz="4" w:space="0" w:color="auto"/>
              <w:bottom w:val="single" w:sz="4" w:space="0" w:color="auto"/>
              <w:right w:val="single" w:sz="4" w:space="0" w:color="auto"/>
            </w:tcBorders>
            <w:shd w:val="clear" w:color="auto" w:fill="auto"/>
            <w:vAlign w:val="center"/>
            <w:hideMark/>
          </w:tcPr>
          <w:p w14:paraId="555642EB" w14:textId="77777777" w:rsidR="007A414D" w:rsidRPr="007A414D" w:rsidRDefault="007A414D" w:rsidP="007A414D">
            <w:pPr>
              <w:ind w:firstLine="0"/>
              <w:jc w:val="left"/>
              <w:rPr>
                <w:rFonts w:eastAsia="Times New Roman" w:cs="Times New Roman"/>
                <w:szCs w:val="24"/>
                <w:lang w:eastAsia="ru-RU"/>
              </w:rPr>
            </w:pPr>
            <w:r w:rsidRPr="007A414D">
              <w:rPr>
                <w:rFonts w:eastAsia="Times New Roman" w:cs="Times New Roman"/>
                <w:szCs w:val="24"/>
                <w:lang w:eastAsia="ru-RU"/>
              </w:rPr>
              <w:t>Оленекский эвенкийский национальный у</w:t>
            </w:r>
          </w:p>
        </w:tc>
        <w:tc>
          <w:tcPr>
            <w:tcW w:w="1216" w:type="dxa"/>
            <w:tcBorders>
              <w:top w:val="nil"/>
              <w:left w:val="nil"/>
              <w:bottom w:val="single" w:sz="4" w:space="0" w:color="auto"/>
              <w:right w:val="single" w:sz="4" w:space="0" w:color="auto"/>
            </w:tcBorders>
            <w:shd w:val="clear" w:color="auto" w:fill="auto"/>
            <w:noWrap/>
            <w:vAlign w:val="bottom"/>
            <w:hideMark/>
          </w:tcPr>
          <w:p w14:paraId="695208F6" w14:textId="77777777" w:rsidR="007A414D" w:rsidRPr="007A414D" w:rsidRDefault="007A414D" w:rsidP="007A414D">
            <w:pPr>
              <w:ind w:firstLine="0"/>
              <w:jc w:val="left"/>
              <w:rPr>
                <w:rFonts w:eastAsia="Times New Roman" w:cs="Times New Roman"/>
                <w:szCs w:val="24"/>
                <w:lang w:eastAsia="ru-RU"/>
              </w:rPr>
            </w:pPr>
            <w:r w:rsidRPr="007A414D">
              <w:rPr>
                <w:rFonts w:eastAsia="Times New Roman" w:cs="Times New Roman"/>
                <w:szCs w:val="24"/>
                <w:lang w:eastAsia="ru-RU"/>
              </w:rPr>
              <w:t>-</w:t>
            </w:r>
          </w:p>
        </w:tc>
        <w:tc>
          <w:tcPr>
            <w:tcW w:w="1280" w:type="dxa"/>
            <w:tcBorders>
              <w:top w:val="nil"/>
              <w:left w:val="nil"/>
              <w:bottom w:val="single" w:sz="4" w:space="0" w:color="auto"/>
              <w:right w:val="single" w:sz="4" w:space="0" w:color="auto"/>
            </w:tcBorders>
            <w:shd w:val="clear" w:color="auto" w:fill="auto"/>
            <w:vAlign w:val="center"/>
            <w:hideMark/>
          </w:tcPr>
          <w:p w14:paraId="0B2EAC2C"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7 374,66  </w:t>
            </w:r>
          </w:p>
        </w:tc>
        <w:tc>
          <w:tcPr>
            <w:tcW w:w="1280" w:type="dxa"/>
            <w:tcBorders>
              <w:top w:val="nil"/>
              <w:left w:val="nil"/>
              <w:bottom w:val="single" w:sz="4" w:space="0" w:color="auto"/>
              <w:right w:val="single" w:sz="4" w:space="0" w:color="auto"/>
            </w:tcBorders>
            <w:shd w:val="clear" w:color="auto" w:fill="auto"/>
            <w:vAlign w:val="center"/>
            <w:hideMark/>
          </w:tcPr>
          <w:p w14:paraId="188FCF8E"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7 053,04  </w:t>
            </w:r>
          </w:p>
        </w:tc>
        <w:tc>
          <w:tcPr>
            <w:tcW w:w="1280" w:type="dxa"/>
            <w:tcBorders>
              <w:top w:val="nil"/>
              <w:left w:val="nil"/>
              <w:bottom w:val="single" w:sz="4" w:space="0" w:color="auto"/>
              <w:right w:val="single" w:sz="4" w:space="0" w:color="auto"/>
            </w:tcBorders>
            <w:shd w:val="clear" w:color="auto" w:fill="auto"/>
            <w:vAlign w:val="center"/>
            <w:hideMark/>
          </w:tcPr>
          <w:p w14:paraId="601A3D92"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21 397,22  </w:t>
            </w:r>
          </w:p>
        </w:tc>
        <w:tc>
          <w:tcPr>
            <w:tcW w:w="1280" w:type="dxa"/>
            <w:tcBorders>
              <w:top w:val="nil"/>
              <w:left w:val="nil"/>
              <w:bottom w:val="single" w:sz="4" w:space="0" w:color="auto"/>
              <w:right w:val="single" w:sz="4" w:space="0" w:color="auto"/>
            </w:tcBorders>
            <w:shd w:val="clear" w:color="auto" w:fill="auto"/>
            <w:vAlign w:val="center"/>
            <w:hideMark/>
          </w:tcPr>
          <w:p w14:paraId="69B8F2B6"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9 515,33  </w:t>
            </w:r>
          </w:p>
        </w:tc>
        <w:tc>
          <w:tcPr>
            <w:tcW w:w="1280" w:type="dxa"/>
            <w:tcBorders>
              <w:top w:val="nil"/>
              <w:left w:val="nil"/>
              <w:bottom w:val="single" w:sz="4" w:space="0" w:color="auto"/>
              <w:right w:val="single" w:sz="4" w:space="0" w:color="auto"/>
            </w:tcBorders>
            <w:shd w:val="clear" w:color="auto" w:fill="auto"/>
            <w:vAlign w:val="center"/>
            <w:hideMark/>
          </w:tcPr>
          <w:p w14:paraId="774426CD"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7 077,84  </w:t>
            </w:r>
          </w:p>
        </w:tc>
        <w:tc>
          <w:tcPr>
            <w:tcW w:w="1280" w:type="dxa"/>
            <w:tcBorders>
              <w:top w:val="nil"/>
              <w:left w:val="nil"/>
              <w:bottom w:val="single" w:sz="4" w:space="0" w:color="auto"/>
              <w:right w:val="single" w:sz="4" w:space="0" w:color="auto"/>
            </w:tcBorders>
            <w:shd w:val="clear" w:color="auto" w:fill="auto"/>
            <w:vAlign w:val="center"/>
            <w:hideMark/>
          </w:tcPr>
          <w:p w14:paraId="0C917BE4"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6 320,60  </w:t>
            </w:r>
          </w:p>
        </w:tc>
        <w:tc>
          <w:tcPr>
            <w:tcW w:w="1280" w:type="dxa"/>
            <w:tcBorders>
              <w:top w:val="nil"/>
              <w:left w:val="nil"/>
              <w:bottom w:val="single" w:sz="4" w:space="0" w:color="auto"/>
              <w:right w:val="single" w:sz="4" w:space="0" w:color="auto"/>
            </w:tcBorders>
            <w:shd w:val="clear" w:color="auto" w:fill="auto"/>
            <w:vAlign w:val="center"/>
            <w:hideMark/>
          </w:tcPr>
          <w:p w14:paraId="444A7F38"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10 330,17  </w:t>
            </w:r>
          </w:p>
        </w:tc>
        <w:tc>
          <w:tcPr>
            <w:tcW w:w="1400" w:type="dxa"/>
            <w:tcBorders>
              <w:top w:val="nil"/>
              <w:left w:val="nil"/>
              <w:bottom w:val="single" w:sz="4" w:space="0" w:color="auto"/>
              <w:right w:val="single" w:sz="4" w:space="0" w:color="auto"/>
            </w:tcBorders>
            <w:shd w:val="clear" w:color="auto" w:fill="auto"/>
            <w:vAlign w:val="center"/>
            <w:hideMark/>
          </w:tcPr>
          <w:p w14:paraId="78FF5351"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3 876,39  </w:t>
            </w:r>
          </w:p>
        </w:tc>
        <w:tc>
          <w:tcPr>
            <w:tcW w:w="1283" w:type="dxa"/>
            <w:tcBorders>
              <w:top w:val="nil"/>
              <w:left w:val="nil"/>
              <w:bottom w:val="single" w:sz="4" w:space="0" w:color="auto"/>
              <w:right w:val="single" w:sz="4" w:space="0" w:color="auto"/>
            </w:tcBorders>
            <w:shd w:val="clear" w:color="auto" w:fill="auto"/>
            <w:vAlign w:val="center"/>
            <w:hideMark/>
          </w:tcPr>
          <w:p w14:paraId="762C51AB"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391,89  </w:t>
            </w:r>
          </w:p>
        </w:tc>
      </w:tr>
      <w:tr w:rsidR="007A414D" w:rsidRPr="007A414D" w14:paraId="7D50851B" w14:textId="77777777" w:rsidTr="007A414D">
        <w:trPr>
          <w:trHeight w:val="270"/>
        </w:trPr>
        <w:tc>
          <w:tcPr>
            <w:tcW w:w="2268" w:type="dxa"/>
            <w:tcBorders>
              <w:top w:val="nil"/>
              <w:left w:val="single" w:sz="4" w:space="0" w:color="auto"/>
              <w:bottom w:val="single" w:sz="4" w:space="0" w:color="auto"/>
              <w:right w:val="single" w:sz="4" w:space="0" w:color="auto"/>
            </w:tcBorders>
            <w:shd w:val="clear" w:color="auto" w:fill="auto"/>
            <w:vAlign w:val="center"/>
            <w:hideMark/>
          </w:tcPr>
          <w:p w14:paraId="22B0C3F4" w14:textId="77777777" w:rsidR="007A414D" w:rsidRPr="007A414D" w:rsidRDefault="007A414D" w:rsidP="007A414D">
            <w:pPr>
              <w:ind w:firstLine="0"/>
              <w:jc w:val="left"/>
              <w:rPr>
                <w:rFonts w:eastAsia="Times New Roman" w:cs="Times New Roman"/>
                <w:szCs w:val="24"/>
                <w:lang w:eastAsia="ru-RU"/>
              </w:rPr>
            </w:pPr>
            <w:r w:rsidRPr="007A414D">
              <w:rPr>
                <w:rFonts w:eastAsia="Times New Roman" w:cs="Times New Roman"/>
                <w:szCs w:val="24"/>
                <w:lang w:eastAsia="ru-RU"/>
              </w:rPr>
              <w:t>ГО Якутск и Нерюнгринский район</w:t>
            </w:r>
          </w:p>
        </w:tc>
        <w:tc>
          <w:tcPr>
            <w:tcW w:w="1216" w:type="dxa"/>
            <w:tcBorders>
              <w:top w:val="nil"/>
              <w:left w:val="nil"/>
              <w:bottom w:val="single" w:sz="4" w:space="0" w:color="auto"/>
              <w:right w:val="single" w:sz="4" w:space="0" w:color="auto"/>
            </w:tcBorders>
            <w:shd w:val="clear" w:color="auto" w:fill="auto"/>
            <w:vAlign w:val="center"/>
            <w:hideMark/>
          </w:tcPr>
          <w:p w14:paraId="725A3590"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60 152,43  </w:t>
            </w:r>
          </w:p>
        </w:tc>
        <w:tc>
          <w:tcPr>
            <w:tcW w:w="1280" w:type="dxa"/>
            <w:tcBorders>
              <w:top w:val="nil"/>
              <w:left w:val="nil"/>
              <w:bottom w:val="single" w:sz="4" w:space="0" w:color="auto"/>
              <w:right w:val="single" w:sz="4" w:space="0" w:color="auto"/>
            </w:tcBorders>
            <w:shd w:val="clear" w:color="auto" w:fill="auto"/>
            <w:vAlign w:val="center"/>
            <w:hideMark/>
          </w:tcPr>
          <w:p w14:paraId="09C5D1EC"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26 001,92  </w:t>
            </w:r>
          </w:p>
        </w:tc>
        <w:tc>
          <w:tcPr>
            <w:tcW w:w="1280" w:type="dxa"/>
            <w:tcBorders>
              <w:top w:val="nil"/>
              <w:left w:val="nil"/>
              <w:bottom w:val="single" w:sz="4" w:space="0" w:color="auto"/>
              <w:right w:val="single" w:sz="4" w:space="0" w:color="auto"/>
            </w:tcBorders>
            <w:shd w:val="clear" w:color="auto" w:fill="auto"/>
            <w:vAlign w:val="center"/>
            <w:hideMark/>
          </w:tcPr>
          <w:p w14:paraId="051300E9"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16 190,19  </w:t>
            </w:r>
          </w:p>
        </w:tc>
        <w:tc>
          <w:tcPr>
            <w:tcW w:w="1280" w:type="dxa"/>
            <w:tcBorders>
              <w:top w:val="nil"/>
              <w:left w:val="nil"/>
              <w:bottom w:val="single" w:sz="4" w:space="0" w:color="auto"/>
              <w:right w:val="single" w:sz="4" w:space="0" w:color="auto"/>
            </w:tcBorders>
            <w:shd w:val="clear" w:color="auto" w:fill="auto"/>
            <w:vAlign w:val="center"/>
            <w:hideMark/>
          </w:tcPr>
          <w:p w14:paraId="4516AAA2"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36 709,30  </w:t>
            </w:r>
          </w:p>
        </w:tc>
        <w:tc>
          <w:tcPr>
            <w:tcW w:w="1280" w:type="dxa"/>
            <w:tcBorders>
              <w:top w:val="nil"/>
              <w:left w:val="nil"/>
              <w:bottom w:val="single" w:sz="4" w:space="0" w:color="auto"/>
              <w:right w:val="single" w:sz="4" w:space="0" w:color="auto"/>
            </w:tcBorders>
            <w:shd w:val="clear" w:color="auto" w:fill="auto"/>
            <w:vAlign w:val="center"/>
            <w:hideMark/>
          </w:tcPr>
          <w:p w14:paraId="119CE757"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17 595,67  </w:t>
            </w:r>
          </w:p>
        </w:tc>
        <w:tc>
          <w:tcPr>
            <w:tcW w:w="1280" w:type="dxa"/>
            <w:tcBorders>
              <w:top w:val="nil"/>
              <w:left w:val="nil"/>
              <w:bottom w:val="single" w:sz="4" w:space="0" w:color="auto"/>
              <w:right w:val="single" w:sz="4" w:space="0" w:color="auto"/>
            </w:tcBorders>
            <w:shd w:val="clear" w:color="auto" w:fill="auto"/>
            <w:vAlign w:val="center"/>
            <w:hideMark/>
          </w:tcPr>
          <w:p w14:paraId="4B63A9F4"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19 732,88  </w:t>
            </w:r>
          </w:p>
        </w:tc>
        <w:tc>
          <w:tcPr>
            <w:tcW w:w="1280" w:type="dxa"/>
            <w:tcBorders>
              <w:top w:val="nil"/>
              <w:left w:val="nil"/>
              <w:bottom w:val="single" w:sz="4" w:space="0" w:color="auto"/>
              <w:right w:val="single" w:sz="4" w:space="0" w:color="auto"/>
            </w:tcBorders>
            <w:shd w:val="clear" w:color="auto" w:fill="auto"/>
            <w:vAlign w:val="center"/>
            <w:hideMark/>
          </w:tcPr>
          <w:p w14:paraId="497BDC11"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14 690,74  </w:t>
            </w:r>
          </w:p>
        </w:tc>
        <w:tc>
          <w:tcPr>
            <w:tcW w:w="1280" w:type="dxa"/>
            <w:tcBorders>
              <w:top w:val="nil"/>
              <w:left w:val="nil"/>
              <w:bottom w:val="single" w:sz="4" w:space="0" w:color="auto"/>
              <w:right w:val="single" w:sz="4" w:space="0" w:color="auto"/>
            </w:tcBorders>
            <w:shd w:val="clear" w:color="auto" w:fill="auto"/>
            <w:vAlign w:val="center"/>
            <w:hideMark/>
          </w:tcPr>
          <w:p w14:paraId="2FB65DA1"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20 141,02  </w:t>
            </w:r>
          </w:p>
        </w:tc>
        <w:tc>
          <w:tcPr>
            <w:tcW w:w="1400" w:type="dxa"/>
            <w:tcBorders>
              <w:top w:val="nil"/>
              <w:left w:val="nil"/>
              <w:bottom w:val="single" w:sz="4" w:space="0" w:color="auto"/>
              <w:right w:val="single" w:sz="4" w:space="0" w:color="auto"/>
            </w:tcBorders>
            <w:shd w:val="clear" w:color="auto" w:fill="auto"/>
            <w:vAlign w:val="center"/>
            <w:hideMark/>
          </w:tcPr>
          <w:p w14:paraId="0232C115"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14 334,79  </w:t>
            </w:r>
          </w:p>
        </w:tc>
        <w:tc>
          <w:tcPr>
            <w:tcW w:w="1283" w:type="dxa"/>
            <w:tcBorders>
              <w:top w:val="nil"/>
              <w:left w:val="nil"/>
              <w:bottom w:val="single" w:sz="4" w:space="0" w:color="auto"/>
              <w:right w:val="single" w:sz="4" w:space="0" w:color="auto"/>
            </w:tcBorders>
            <w:shd w:val="clear" w:color="auto" w:fill="auto"/>
            <w:vAlign w:val="center"/>
            <w:hideMark/>
          </w:tcPr>
          <w:p w14:paraId="70260311"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7 745,80  </w:t>
            </w:r>
          </w:p>
        </w:tc>
      </w:tr>
      <w:tr w:rsidR="007A414D" w:rsidRPr="007A414D" w14:paraId="4A7105B4" w14:textId="77777777" w:rsidTr="007A414D">
        <w:trPr>
          <w:trHeight w:val="270"/>
        </w:trPr>
        <w:tc>
          <w:tcPr>
            <w:tcW w:w="2268" w:type="dxa"/>
            <w:tcBorders>
              <w:top w:val="nil"/>
              <w:left w:val="single" w:sz="4" w:space="0" w:color="auto"/>
              <w:bottom w:val="single" w:sz="4" w:space="0" w:color="auto"/>
              <w:right w:val="single" w:sz="4" w:space="0" w:color="auto"/>
            </w:tcBorders>
            <w:shd w:val="clear" w:color="auto" w:fill="auto"/>
            <w:vAlign w:val="center"/>
            <w:hideMark/>
          </w:tcPr>
          <w:p w14:paraId="150F5D2A" w14:textId="77777777" w:rsidR="007A414D" w:rsidRPr="007A414D" w:rsidRDefault="007A414D" w:rsidP="007A414D">
            <w:pPr>
              <w:ind w:firstLine="0"/>
              <w:jc w:val="left"/>
              <w:rPr>
                <w:rFonts w:eastAsia="Times New Roman" w:cs="Times New Roman"/>
                <w:szCs w:val="24"/>
                <w:lang w:eastAsia="ru-RU"/>
              </w:rPr>
            </w:pPr>
            <w:r w:rsidRPr="007A414D">
              <w:rPr>
                <w:rFonts w:eastAsia="Times New Roman" w:cs="Times New Roman"/>
                <w:szCs w:val="24"/>
                <w:lang w:eastAsia="ru-RU"/>
              </w:rPr>
              <w:t>Среднеколымский у</w:t>
            </w:r>
          </w:p>
        </w:tc>
        <w:tc>
          <w:tcPr>
            <w:tcW w:w="1216" w:type="dxa"/>
            <w:tcBorders>
              <w:top w:val="nil"/>
              <w:left w:val="nil"/>
              <w:bottom w:val="single" w:sz="4" w:space="0" w:color="auto"/>
              <w:right w:val="single" w:sz="4" w:space="0" w:color="auto"/>
            </w:tcBorders>
            <w:shd w:val="clear" w:color="auto" w:fill="auto"/>
            <w:vAlign w:val="center"/>
            <w:hideMark/>
          </w:tcPr>
          <w:p w14:paraId="0975CD95"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18 402,48  </w:t>
            </w:r>
          </w:p>
        </w:tc>
        <w:tc>
          <w:tcPr>
            <w:tcW w:w="1280" w:type="dxa"/>
            <w:tcBorders>
              <w:top w:val="nil"/>
              <w:left w:val="nil"/>
              <w:bottom w:val="single" w:sz="4" w:space="0" w:color="auto"/>
              <w:right w:val="single" w:sz="4" w:space="0" w:color="auto"/>
            </w:tcBorders>
            <w:shd w:val="clear" w:color="auto" w:fill="auto"/>
            <w:vAlign w:val="center"/>
            <w:hideMark/>
          </w:tcPr>
          <w:p w14:paraId="075C7EE3"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6 045,05  </w:t>
            </w:r>
          </w:p>
        </w:tc>
        <w:tc>
          <w:tcPr>
            <w:tcW w:w="1280" w:type="dxa"/>
            <w:tcBorders>
              <w:top w:val="nil"/>
              <w:left w:val="nil"/>
              <w:bottom w:val="single" w:sz="4" w:space="0" w:color="auto"/>
              <w:right w:val="single" w:sz="4" w:space="0" w:color="auto"/>
            </w:tcBorders>
            <w:shd w:val="clear" w:color="auto" w:fill="auto"/>
            <w:vAlign w:val="center"/>
            <w:hideMark/>
          </w:tcPr>
          <w:p w14:paraId="027C6EF6"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5 524,30  </w:t>
            </w:r>
          </w:p>
        </w:tc>
        <w:tc>
          <w:tcPr>
            <w:tcW w:w="1280" w:type="dxa"/>
            <w:tcBorders>
              <w:top w:val="nil"/>
              <w:left w:val="nil"/>
              <w:bottom w:val="single" w:sz="4" w:space="0" w:color="auto"/>
              <w:right w:val="single" w:sz="4" w:space="0" w:color="auto"/>
            </w:tcBorders>
            <w:shd w:val="clear" w:color="auto" w:fill="auto"/>
            <w:vAlign w:val="center"/>
            <w:hideMark/>
          </w:tcPr>
          <w:p w14:paraId="7AB97216"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18 377,12  </w:t>
            </w:r>
          </w:p>
        </w:tc>
        <w:tc>
          <w:tcPr>
            <w:tcW w:w="1280" w:type="dxa"/>
            <w:tcBorders>
              <w:top w:val="nil"/>
              <w:left w:val="nil"/>
              <w:bottom w:val="single" w:sz="4" w:space="0" w:color="auto"/>
              <w:right w:val="single" w:sz="4" w:space="0" w:color="auto"/>
            </w:tcBorders>
            <w:shd w:val="clear" w:color="auto" w:fill="auto"/>
            <w:vAlign w:val="center"/>
            <w:hideMark/>
          </w:tcPr>
          <w:p w14:paraId="375AA1F8"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15 568,47  </w:t>
            </w:r>
          </w:p>
        </w:tc>
        <w:tc>
          <w:tcPr>
            <w:tcW w:w="1280" w:type="dxa"/>
            <w:tcBorders>
              <w:top w:val="nil"/>
              <w:left w:val="nil"/>
              <w:bottom w:val="single" w:sz="4" w:space="0" w:color="auto"/>
              <w:right w:val="single" w:sz="4" w:space="0" w:color="auto"/>
            </w:tcBorders>
            <w:shd w:val="clear" w:color="auto" w:fill="auto"/>
            <w:vAlign w:val="center"/>
            <w:hideMark/>
          </w:tcPr>
          <w:p w14:paraId="2B0467C2"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7 553,20  </w:t>
            </w:r>
          </w:p>
        </w:tc>
        <w:tc>
          <w:tcPr>
            <w:tcW w:w="1280" w:type="dxa"/>
            <w:tcBorders>
              <w:top w:val="nil"/>
              <w:left w:val="nil"/>
              <w:bottom w:val="single" w:sz="4" w:space="0" w:color="auto"/>
              <w:right w:val="single" w:sz="4" w:space="0" w:color="auto"/>
            </w:tcBorders>
            <w:shd w:val="clear" w:color="auto" w:fill="auto"/>
            <w:vAlign w:val="center"/>
            <w:hideMark/>
          </w:tcPr>
          <w:p w14:paraId="630D4DF3"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4 439,55  </w:t>
            </w:r>
          </w:p>
        </w:tc>
        <w:tc>
          <w:tcPr>
            <w:tcW w:w="1280" w:type="dxa"/>
            <w:tcBorders>
              <w:top w:val="nil"/>
              <w:left w:val="nil"/>
              <w:bottom w:val="single" w:sz="4" w:space="0" w:color="auto"/>
              <w:right w:val="single" w:sz="4" w:space="0" w:color="auto"/>
            </w:tcBorders>
            <w:shd w:val="clear" w:color="auto" w:fill="auto"/>
            <w:vAlign w:val="center"/>
            <w:hideMark/>
          </w:tcPr>
          <w:p w14:paraId="10744044"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10 469,97  </w:t>
            </w:r>
          </w:p>
        </w:tc>
        <w:tc>
          <w:tcPr>
            <w:tcW w:w="1400" w:type="dxa"/>
            <w:tcBorders>
              <w:top w:val="nil"/>
              <w:left w:val="nil"/>
              <w:bottom w:val="single" w:sz="4" w:space="0" w:color="auto"/>
              <w:right w:val="single" w:sz="4" w:space="0" w:color="auto"/>
            </w:tcBorders>
            <w:shd w:val="clear" w:color="auto" w:fill="auto"/>
            <w:vAlign w:val="center"/>
            <w:hideMark/>
          </w:tcPr>
          <w:p w14:paraId="56D23423"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3 836,50  </w:t>
            </w:r>
          </w:p>
        </w:tc>
        <w:tc>
          <w:tcPr>
            <w:tcW w:w="1283" w:type="dxa"/>
            <w:tcBorders>
              <w:top w:val="nil"/>
              <w:left w:val="nil"/>
              <w:bottom w:val="single" w:sz="4" w:space="0" w:color="auto"/>
              <w:right w:val="single" w:sz="4" w:space="0" w:color="auto"/>
            </w:tcBorders>
            <w:shd w:val="clear" w:color="auto" w:fill="auto"/>
            <w:vAlign w:val="center"/>
            <w:hideMark/>
          </w:tcPr>
          <w:p w14:paraId="59270ED6"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221,03  </w:t>
            </w:r>
          </w:p>
        </w:tc>
      </w:tr>
      <w:tr w:rsidR="007A414D" w:rsidRPr="007A414D" w14:paraId="6A084449" w14:textId="77777777" w:rsidTr="007A414D">
        <w:trPr>
          <w:trHeight w:val="270"/>
        </w:trPr>
        <w:tc>
          <w:tcPr>
            <w:tcW w:w="2268" w:type="dxa"/>
            <w:tcBorders>
              <w:top w:val="nil"/>
              <w:left w:val="single" w:sz="4" w:space="0" w:color="auto"/>
              <w:bottom w:val="single" w:sz="4" w:space="0" w:color="auto"/>
              <w:right w:val="single" w:sz="4" w:space="0" w:color="auto"/>
            </w:tcBorders>
            <w:shd w:val="clear" w:color="auto" w:fill="auto"/>
            <w:vAlign w:val="center"/>
            <w:hideMark/>
          </w:tcPr>
          <w:p w14:paraId="6CF49BAF" w14:textId="77777777" w:rsidR="007A414D" w:rsidRPr="007A414D" w:rsidRDefault="007A414D" w:rsidP="007A414D">
            <w:pPr>
              <w:ind w:firstLine="0"/>
              <w:jc w:val="left"/>
              <w:rPr>
                <w:rFonts w:eastAsia="Times New Roman" w:cs="Times New Roman"/>
                <w:szCs w:val="24"/>
                <w:lang w:eastAsia="ru-RU"/>
              </w:rPr>
            </w:pPr>
            <w:r w:rsidRPr="007A414D">
              <w:rPr>
                <w:rFonts w:eastAsia="Times New Roman" w:cs="Times New Roman"/>
                <w:szCs w:val="24"/>
                <w:lang w:eastAsia="ru-RU"/>
              </w:rPr>
              <w:t>Сунтарский у</w:t>
            </w:r>
          </w:p>
        </w:tc>
        <w:tc>
          <w:tcPr>
            <w:tcW w:w="1216" w:type="dxa"/>
            <w:tcBorders>
              <w:top w:val="nil"/>
              <w:left w:val="nil"/>
              <w:bottom w:val="single" w:sz="4" w:space="0" w:color="auto"/>
              <w:right w:val="single" w:sz="4" w:space="0" w:color="auto"/>
            </w:tcBorders>
            <w:shd w:val="clear" w:color="auto" w:fill="auto"/>
            <w:vAlign w:val="center"/>
            <w:hideMark/>
          </w:tcPr>
          <w:p w14:paraId="7F058BD8"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15 819,80  </w:t>
            </w:r>
          </w:p>
        </w:tc>
        <w:tc>
          <w:tcPr>
            <w:tcW w:w="1280" w:type="dxa"/>
            <w:tcBorders>
              <w:top w:val="nil"/>
              <w:left w:val="nil"/>
              <w:bottom w:val="single" w:sz="4" w:space="0" w:color="auto"/>
              <w:right w:val="single" w:sz="4" w:space="0" w:color="auto"/>
            </w:tcBorders>
            <w:shd w:val="clear" w:color="auto" w:fill="auto"/>
            <w:vAlign w:val="center"/>
            <w:hideMark/>
          </w:tcPr>
          <w:p w14:paraId="12D2E6AA"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7 554,24  </w:t>
            </w:r>
          </w:p>
        </w:tc>
        <w:tc>
          <w:tcPr>
            <w:tcW w:w="1280" w:type="dxa"/>
            <w:tcBorders>
              <w:top w:val="nil"/>
              <w:left w:val="nil"/>
              <w:bottom w:val="single" w:sz="4" w:space="0" w:color="auto"/>
              <w:right w:val="single" w:sz="4" w:space="0" w:color="auto"/>
            </w:tcBorders>
            <w:shd w:val="clear" w:color="auto" w:fill="auto"/>
            <w:vAlign w:val="center"/>
            <w:hideMark/>
          </w:tcPr>
          <w:p w14:paraId="3FE7D1B6"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10 142,86  </w:t>
            </w:r>
          </w:p>
        </w:tc>
        <w:tc>
          <w:tcPr>
            <w:tcW w:w="1280" w:type="dxa"/>
            <w:tcBorders>
              <w:top w:val="nil"/>
              <w:left w:val="nil"/>
              <w:bottom w:val="single" w:sz="4" w:space="0" w:color="auto"/>
              <w:right w:val="single" w:sz="4" w:space="0" w:color="auto"/>
            </w:tcBorders>
            <w:shd w:val="clear" w:color="auto" w:fill="auto"/>
            <w:vAlign w:val="center"/>
            <w:hideMark/>
          </w:tcPr>
          <w:p w14:paraId="3B6517AC"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18 175,29  </w:t>
            </w:r>
          </w:p>
        </w:tc>
        <w:tc>
          <w:tcPr>
            <w:tcW w:w="1280" w:type="dxa"/>
            <w:tcBorders>
              <w:top w:val="nil"/>
              <w:left w:val="nil"/>
              <w:bottom w:val="single" w:sz="4" w:space="0" w:color="auto"/>
              <w:right w:val="single" w:sz="4" w:space="0" w:color="auto"/>
            </w:tcBorders>
            <w:shd w:val="clear" w:color="auto" w:fill="auto"/>
            <w:vAlign w:val="center"/>
            <w:hideMark/>
          </w:tcPr>
          <w:p w14:paraId="3049F22F"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8 491,77  </w:t>
            </w:r>
          </w:p>
        </w:tc>
        <w:tc>
          <w:tcPr>
            <w:tcW w:w="1280" w:type="dxa"/>
            <w:tcBorders>
              <w:top w:val="nil"/>
              <w:left w:val="nil"/>
              <w:bottom w:val="single" w:sz="4" w:space="0" w:color="auto"/>
              <w:right w:val="single" w:sz="4" w:space="0" w:color="auto"/>
            </w:tcBorders>
            <w:shd w:val="clear" w:color="auto" w:fill="auto"/>
            <w:vAlign w:val="center"/>
            <w:hideMark/>
          </w:tcPr>
          <w:p w14:paraId="1FDCC09B"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9 041,68  </w:t>
            </w:r>
          </w:p>
        </w:tc>
        <w:tc>
          <w:tcPr>
            <w:tcW w:w="1280" w:type="dxa"/>
            <w:tcBorders>
              <w:top w:val="nil"/>
              <w:left w:val="nil"/>
              <w:bottom w:val="single" w:sz="4" w:space="0" w:color="auto"/>
              <w:right w:val="single" w:sz="4" w:space="0" w:color="auto"/>
            </w:tcBorders>
            <w:shd w:val="clear" w:color="auto" w:fill="auto"/>
            <w:vAlign w:val="center"/>
            <w:hideMark/>
          </w:tcPr>
          <w:p w14:paraId="72D5B161"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6 383,04  </w:t>
            </w:r>
          </w:p>
        </w:tc>
        <w:tc>
          <w:tcPr>
            <w:tcW w:w="1280" w:type="dxa"/>
            <w:tcBorders>
              <w:top w:val="nil"/>
              <w:left w:val="nil"/>
              <w:bottom w:val="single" w:sz="4" w:space="0" w:color="auto"/>
              <w:right w:val="single" w:sz="4" w:space="0" w:color="auto"/>
            </w:tcBorders>
            <w:shd w:val="clear" w:color="auto" w:fill="auto"/>
            <w:vAlign w:val="center"/>
            <w:hideMark/>
          </w:tcPr>
          <w:p w14:paraId="0B02C37D"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4 686,30  </w:t>
            </w:r>
          </w:p>
        </w:tc>
        <w:tc>
          <w:tcPr>
            <w:tcW w:w="1400" w:type="dxa"/>
            <w:tcBorders>
              <w:top w:val="nil"/>
              <w:left w:val="nil"/>
              <w:bottom w:val="single" w:sz="4" w:space="0" w:color="auto"/>
              <w:right w:val="single" w:sz="4" w:space="0" w:color="auto"/>
            </w:tcBorders>
            <w:shd w:val="clear" w:color="auto" w:fill="auto"/>
            <w:vAlign w:val="center"/>
            <w:hideMark/>
          </w:tcPr>
          <w:p w14:paraId="04123F99"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4 857,08  </w:t>
            </w:r>
          </w:p>
        </w:tc>
        <w:tc>
          <w:tcPr>
            <w:tcW w:w="1283" w:type="dxa"/>
            <w:tcBorders>
              <w:top w:val="nil"/>
              <w:left w:val="nil"/>
              <w:bottom w:val="single" w:sz="4" w:space="0" w:color="auto"/>
              <w:right w:val="single" w:sz="4" w:space="0" w:color="auto"/>
            </w:tcBorders>
            <w:shd w:val="clear" w:color="auto" w:fill="auto"/>
            <w:vAlign w:val="center"/>
            <w:hideMark/>
          </w:tcPr>
          <w:p w14:paraId="4B1E7200"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442,41  </w:t>
            </w:r>
          </w:p>
        </w:tc>
      </w:tr>
      <w:tr w:rsidR="007A414D" w:rsidRPr="007A414D" w14:paraId="499BB706" w14:textId="77777777" w:rsidTr="007A414D">
        <w:trPr>
          <w:trHeight w:val="270"/>
        </w:trPr>
        <w:tc>
          <w:tcPr>
            <w:tcW w:w="2268" w:type="dxa"/>
            <w:tcBorders>
              <w:top w:val="nil"/>
              <w:left w:val="single" w:sz="4" w:space="0" w:color="auto"/>
              <w:bottom w:val="single" w:sz="4" w:space="0" w:color="auto"/>
              <w:right w:val="single" w:sz="4" w:space="0" w:color="auto"/>
            </w:tcBorders>
            <w:shd w:val="clear" w:color="auto" w:fill="auto"/>
            <w:vAlign w:val="center"/>
            <w:hideMark/>
          </w:tcPr>
          <w:p w14:paraId="5A30A000" w14:textId="77777777" w:rsidR="007A414D" w:rsidRPr="007A414D" w:rsidRDefault="007A414D" w:rsidP="007A414D">
            <w:pPr>
              <w:ind w:firstLine="0"/>
              <w:jc w:val="left"/>
              <w:rPr>
                <w:rFonts w:eastAsia="Times New Roman" w:cs="Times New Roman"/>
                <w:szCs w:val="24"/>
                <w:lang w:eastAsia="ru-RU"/>
              </w:rPr>
            </w:pPr>
            <w:r w:rsidRPr="007A414D">
              <w:rPr>
                <w:rFonts w:eastAsia="Times New Roman" w:cs="Times New Roman"/>
                <w:szCs w:val="24"/>
                <w:lang w:eastAsia="ru-RU"/>
              </w:rPr>
              <w:t>Таттинский у</w:t>
            </w:r>
          </w:p>
        </w:tc>
        <w:tc>
          <w:tcPr>
            <w:tcW w:w="1216" w:type="dxa"/>
            <w:tcBorders>
              <w:top w:val="nil"/>
              <w:left w:val="nil"/>
              <w:bottom w:val="single" w:sz="4" w:space="0" w:color="auto"/>
              <w:right w:val="single" w:sz="4" w:space="0" w:color="auto"/>
            </w:tcBorders>
            <w:shd w:val="clear" w:color="auto" w:fill="auto"/>
            <w:vAlign w:val="center"/>
            <w:hideMark/>
          </w:tcPr>
          <w:p w14:paraId="16770707"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15 834,69  </w:t>
            </w:r>
          </w:p>
        </w:tc>
        <w:tc>
          <w:tcPr>
            <w:tcW w:w="1280" w:type="dxa"/>
            <w:tcBorders>
              <w:top w:val="nil"/>
              <w:left w:val="nil"/>
              <w:bottom w:val="single" w:sz="4" w:space="0" w:color="auto"/>
              <w:right w:val="single" w:sz="4" w:space="0" w:color="auto"/>
            </w:tcBorders>
            <w:shd w:val="clear" w:color="auto" w:fill="auto"/>
            <w:vAlign w:val="center"/>
            <w:hideMark/>
          </w:tcPr>
          <w:p w14:paraId="6F556803"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7 536,76  </w:t>
            </w:r>
          </w:p>
        </w:tc>
        <w:tc>
          <w:tcPr>
            <w:tcW w:w="1280" w:type="dxa"/>
            <w:tcBorders>
              <w:top w:val="nil"/>
              <w:left w:val="nil"/>
              <w:bottom w:val="single" w:sz="4" w:space="0" w:color="auto"/>
              <w:right w:val="single" w:sz="4" w:space="0" w:color="auto"/>
            </w:tcBorders>
            <w:shd w:val="clear" w:color="auto" w:fill="auto"/>
            <w:vAlign w:val="center"/>
            <w:hideMark/>
          </w:tcPr>
          <w:p w14:paraId="3A843E71"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10 366,22  </w:t>
            </w:r>
          </w:p>
        </w:tc>
        <w:tc>
          <w:tcPr>
            <w:tcW w:w="1280" w:type="dxa"/>
            <w:tcBorders>
              <w:top w:val="nil"/>
              <w:left w:val="nil"/>
              <w:bottom w:val="single" w:sz="4" w:space="0" w:color="auto"/>
              <w:right w:val="single" w:sz="4" w:space="0" w:color="auto"/>
            </w:tcBorders>
            <w:shd w:val="clear" w:color="auto" w:fill="auto"/>
            <w:vAlign w:val="center"/>
            <w:hideMark/>
          </w:tcPr>
          <w:p w14:paraId="7E5C388F"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19 034,03  </w:t>
            </w:r>
          </w:p>
        </w:tc>
        <w:tc>
          <w:tcPr>
            <w:tcW w:w="1280" w:type="dxa"/>
            <w:tcBorders>
              <w:top w:val="nil"/>
              <w:left w:val="nil"/>
              <w:bottom w:val="single" w:sz="4" w:space="0" w:color="auto"/>
              <w:right w:val="single" w:sz="4" w:space="0" w:color="auto"/>
            </w:tcBorders>
            <w:shd w:val="clear" w:color="auto" w:fill="auto"/>
            <w:vAlign w:val="center"/>
            <w:hideMark/>
          </w:tcPr>
          <w:p w14:paraId="32F2B90A"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6 154,96  </w:t>
            </w:r>
          </w:p>
        </w:tc>
        <w:tc>
          <w:tcPr>
            <w:tcW w:w="1280" w:type="dxa"/>
            <w:tcBorders>
              <w:top w:val="nil"/>
              <w:left w:val="nil"/>
              <w:bottom w:val="single" w:sz="4" w:space="0" w:color="auto"/>
              <w:right w:val="single" w:sz="4" w:space="0" w:color="auto"/>
            </w:tcBorders>
            <w:shd w:val="clear" w:color="auto" w:fill="auto"/>
            <w:vAlign w:val="center"/>
            <w:hideMark/>
          </w:tcPr>
          <w:p w14:paraId="24B18E79"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7 890,49  </w:t>
            </w:r>
          </w:p>
        </w:tc>
        <w:tc>
          <w:tcPr>
            <w:tcW w:w="1280" w:type="dxa"/>
            <w:tcBorders>
              <w:top w:val="nil"/>
              <w:left w:val="nil"/>
              <w:bottom w:val="single" w:sz="4" w:space="0" w:color="auto"/>
              <w:right w:val="single" w:sz="4" w:space="0" w:color="auto"/>
            </w:tcBorders>
            <w:shd w:val="clear" w:color="auto" w:fill="auto"/>
            <w:vAlign w:val="center"/>
            <w:hideMark/>
          </w:tcPr>
          <w:p w14:paraId="4AB389A1"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5 569,66  </w:t>
            </w:r>
          </w:p>
        </w:tc>
        <w:tc>
          <w:tcPr>
            <w:tcW w:w="1280" w:type="dxa"/>
            <w:tcBorders>
              <w:top w:val="nil"/>
              <w:left w:val="nil"/>
              <w:bottom w:val="single" w:sz="4" w:space="0" w:color="auto"/>
              <w:right w:val="single" w:sz="4" w:space="0" w:color="auto"/>
            </w:tcBorders>
            <w:shd w:val="clear" w:color="auto" w:fill="auto"/>
            <w:vAlign w:val="center"/>
            <w:hideMark/>
          </w:tcPr>
          <w:p w14:paraId="64B3BEE0"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10 086,32  </w:t>
            </w:r>
          </w:p>
        </w:tc>
        <w:tc>
          <w:tcPr>
            <w:tcW w:w="1400" w:type="dxa"/>
            <w:tcBorders>
              <w:top w:val="nil"/>
              <w:left w:val="nil"/>
              <w:bottom w:val="single" w:sz="4" w:space="0" w:color="auto"/>
              <w:right w:val="single" w:sz="4" w:space="0" w:color="auto"/>
            </w:tcBorders>
            <w:shd w:val="clear" w:color="auto" w:fill="auto"/>
            <w:vAlign w:val="center"/>
            <w:hideMark/>
          </w:tcPr>
          <w:p w14:paraId="5EAE8BF6"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5 130,19  </w:t>
            </w:r>
          </w:p>
        </w:tc>
        <w:tc>
          <w:tcPr>
            <w:tcW w:w="1283" w:type="dxa"/>
            <w:tcBorders>
              <w:top w:val="nil"/>
              <w:left w:val="nil"/>
              <w:bottom w:val="single" w:sz="4" w:space="0" w:color="auto"/>
              <w:right w:val="single" w:sz="4" w:space="0" w:color="auto"/>
            </w:tcBorders>
            <w:shd w:val="clear" w:color="auto" w:fill="auto"/>
            <w:vAlign w:val="center"/>
            <w:hideMark/>
          </w:tcPr>
          <w:p w14:paraId="693C4E7B"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543,24  </w:t>
            </w:r>
          </w:p>
        </w:tc>
      </w:tr>
      <w:tr w:rsidR="007A414D" w:rsidRPr="007A414D" w14:paraId="07A71DD7" w14:textId="77777777" w:rsidTr="007A414D">
        <w:trPr>
          <w:trHeight w:val="270"/>
        </w:trPr>
        <w:tc>
          <w:tcPr>
            <w:tcW w:w="2268" w:type="dxa"/>
            <w:tcBorders>
              <w:top w:val="nil"/>
              <w:left w:val="single" w:sz="4" w:space="0" w:color="auto"/>
              <w:bottom w:val="single" w:sz="4" w:space="0" w:color="auto"/>
              <w:right w:val="single" w:sz="4" w:space="0" w:color="auto"/>
            </w:tcBorders>
            <w:shd w:val="clear" w:color="auto" w:fill="auto"/>
            <w:vAlign w:val="center"/>
            <w:hideMark/>
          </w:tcPr>
          <w:p w14:paraId="75C9420F" w14:textId="77777777" w:rsidR="007A414D" w:rsidRPr="007A414D" w:rsidRDefault="007A414D" w:rsidP="007A414D">
            <w:pPr>
              <w:ind w:firstLine="0"/>
              <w:jc w:val="left"/>
              <w:rPr>
                <w:rFonts w:eastAsia="Times New Roman" w:cs="Times New Roman"/>
                <w:szCs w:val="24"/>
                <w:lang w:eastAsia="ru-RU"/>
              </w:rPr>
            </w:pPr>
            <w:r w:rsidRPr="007A414D">
              <w:rPr>
                <w:rFonts w:eastAsia="Times New Roman" w:cs="Times New Roman"/>
                <w:szCs w:val="24"/>
                <w:lang w:eastAsia="ru-RU"/>
              </w:rPr>
              <w:t>Томпонский у</w:t>
            </w:r>
          </w:p>
        </w:tc>
        <w:tc>
          <w:tcPr>
            <w:tcW w:w="1216" w:type="dxa"/>
            <w:tcBorders>
              <w:top w:val="nil"/>
              <w:left w:val="nil"/>
              <w:bottom w:val="single" w:sz="4" w:space="0" w:color="auto"/>
              <w:right w:val="single" w:sz="4" w:space="0" w:color="auto"/>
            </w:tcBorders>
            <w:shd w:val="clear" w:color="auto" w:fill="auto"/>
            <w:vAlign w:val="center"/>
            <w:hideMark/>
          </w:tcPr>
          <w:p w14:paraId="44F83455"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23 720,85  </w:t>
            </w:r>
          </w:p>
        </w:tc>
        <w:tc>
          <w:tcPr>
            <w:tcW w:w="1280" w:type="dxa"/>
            <w:tcBorders>
              <w:top w:val="nil"/>
              <w:left w:val="nil"/>
              <w:bottom w:val="single" w:sz="4" w:space="0" w:color="auto"/>
              <w:right w:val="single" w:sz="4" w:space="0" w:color="auto"/>
            </w:tcBorders>
            <w:shd w:val="clear" w:color="auto" w:fill="auto"/>
            <w:vAlign w:val="center"/>
            <w:hideMark/>
          </w:tcPr>
          <w:p w14:paraId="00FC7687"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9 953,31  </w:t>
            </w:r>
          </w:p>
        </w:tc>
        <w:tc>
          <w:tcPr>
            <w:tcW w:w="1280" w:type="dxa"/>
            <w:tcBorders>
              <w:top w:val="nil"/>
              <w:left w:val="nil"/>
              <w:bottom w:val="single" w:sz="4" w:space="0" w:color="auto"/>
              <w:right w:val="single" w:sz="4" w:space="0" w:color="auto"/>
            </w:tcBorders>
            <w:shd w:val="clear" w:color="auto" w:fill="auto"/>
            <w:vAlign w:val="center"/>
            <w:hideMark/>
          </w:tcPr>
          <w:p w14:paraId="705BBDC1"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7 655,07  </w:t>
            </w:r>
          </w:p>
        </w:tc>
        <w:tc>
          <w:tcPr>
            <w:tcW w:w="1280" w:type="dxa"/>
            <w:tcBorders>
              <w:top w:val="nil"/>
              <w:left w:val="nil"/>
              <w:bottom w:val="single" w:sz="4" w:space="0" w:color="auto"/>
              <w:right w:val="single" w:sz="4" w:space="0" w:color="auto"/>
            </w:tcBorders>
            <w:shd w:val="clear" w:color="auto" w:fill="auto"/>
            <w:vAlign w:val="center"/>
            <w:hideMark/>
          </w:tcPr>
          <w:p w14:paraId="0A8B9578"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18 891,93  </w:t>
            </w:r>
          </w:p>
        </w:tc>
        <w:tc>
          <w:tcPr>
            <w:tcW w:w="1280" w:type="dxa"/>
            <w:tcBorders>
              <w:top w:val="nil"/>
              <w:left w:val="nil"/>
              <w:bottom w:val="single" w:sz="4" w:space="0" w:color="auto"/>
              <w:right w:val="single" w:sz="4" w:space="0" w:color="auto"/>
            </w:tcBorders>
            <w:shd w:val="clear" w:color="auto" w:fill="auto"/>
            <w:vAlign w:val="center"/>
            <w:hideMark/>
          </w:tcPr>
          <w:p w14:paraId="27F1E174"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6 620,69  </w:t>
            </w:r>
          </w:p>
        </w:tc>
        <w:tc>
          <w:tcPr>
            <w:tcW w:w="1280" w:type="dxa"/>
            <w:tcBorders>
              <w:top w:val="nil"/>
              <w:left w:val="nil"/>
              <w:bottom w:val="single" w:sz="4" w:space="0" w:color="auto"/>
              <w:right w:val="single" w:sz="4" w:space="0" w:color="auto"/>
            </w:tcBorders>
            <w:shd w:val="clear" w:color="auto" w:fill="auto"/>
            <w:vAlign w:val="center"/>
            <w:hideMark/>
          </w:tcPr>
          <w:p w14:paraId="0562F636"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7 270,82  </w:t>
            </w:r>
          </w:p>
        </w:tc>
        <w:tc>
          <w:tcPr>
            <w:tcW w:w="1280" w:type="dxa"/>
            <w:tcBorders>
              <w:top w:val="nil"/>
              <w:left w:val="nil"/>
              <w:bottom w:val="single" w:sz="4" w:space="0" w:color="auto"/>
              <w:right w:val="single" w:sz="4" w:space="0" w:color="auto"/>
            </w:tcBorders>
            <w:shd w:val="clear" w:color="auto" w:fill="auto"/>
            <w:vAlign w:val="center"/>
            <w:hideMark/>
          </w:tcPr>
          <w:p w14:paraId="408C2BA4"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8 017,00  </w:t>
            </w:r>
          </w:p>
        </w:tc>
        <w:tc>
          <w:tcPr>
            <w:tcW w:w="1280" w:type="dxa"/>
            <w:tcBorders>
              <w:top w:val="nil"/>
              <w:left w:val="nil"/>
              <w:bottom w:val="single" w:sz="4" w:space="0" w:color="auto"/>
              <w:right w:val="single" w:sz="4" w:space="0" w:color="auto"/>
            </w:tcBorders>
            <w:shd w:val="clear" w:color="auto" w:fill="auto"/>
            <w:vAlign w:val="center"/>
            <w:hideMark/>
          </w:tcPr>
          <w:p w14:paraId="5C730AFE"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6 452,30  </w:t>
            </w:r>
          </w:p>
        </w:tc>
        <w:tc>
          <w:tcPr>
            <w:tcW w:w="1400" w:type="dxa"/>
            <w:tcBorders>
              <w:top w:val="nil"/>
              <w:left w:val="nil"/>
              <w:bottom w:val="single" w:sz="4" w:space="0" w:color="auto"/>
              <w:right w:val="single" w:sz="4" w:space="0" w:color="auto"/>
            </w:tcBorders>
            <w:shd w:val="clear" w:color="auto" w:fill="auto"/>
            <w:vAlign w:val="center"/>
            <w:hideMark/>
          </w:tcPr>
          <w:p w14:paraId="44799900"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7 158,14  </w:t>
            </w:r>
          </w:p>
        </w:tc>
        <w:tc>
          <w:tcPr>
            <w:tcW w:w="1283" w:type="dxa"/>
            <w:tcBorders>
              <w:top w:val="nil"/>
              <w:left w:val="nil"/>
              <w:bottom w:val="single" w:sz="4" w:space="0" w:color="auto"/>
              <w:right w:val="single" w:sz="4" w:space="0" w:color="auto"/>
            </w:tcBorders>
            <w:shd w:val="clear" w:color="auto" w:fill="auto"/>
            <w:vAlign w:val="center"/>
            <w:hideMark/>
          </w:tcPr>
          <w:p w14:paraId="07EF6FF7"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779,73  </w:t>
            </w:r>
          </w:p>
        </w:tc>
      </w:tr>
      <w:tr w:rsidR="007A414D" w:rsidRPr="007A414D" w14:paraId="20CA4A53" w14:textId="77777777" w:rsidTr="007A414D">
        <w:trPr>
          <w:trHeight w:val="270"/>
        </w:trPr>
        <w:tc>
          <w:tcPr>
            <w:tcW w:w="2268" w:type="dxa"/>
            <w:tcBorders>
              <w:top w:val="nil"/>
              <w:left w:val="single" w:sz="4" w:space="0" w:color="auto"/>
              <w:bottom w:val="single" w:sz="4" w:space="0" w:color="auto"/>
              <w:right w:val="single" w:sz="4" w:space="0" w:color="auto"/>
            </w:tcBorders>
            <w:shd w:val="clear" w:color="auto" w:fill="auto"/>
            <w:vAlign w:val="center"/>
            <w:hideMark/>
          </w:tcPr>
          <w:p w14:paraId="3130830B" w14:textId="77777777" w:rsidR="007A414D" w:rsidRPr="007A414D" w:rsidRDefault="007A414D" w:rsidP="007A414D">
            <w:pPr>
              <w:ind w:firstLine="0"/>
              <w:jc w:val="left"/>
              <w:rPr>
                <w:rFonts w:eastAsia="Times New Roman" w:cs="Times New Roman"/>
                <w:szCs w:val="24"/>
                <w:lang w:eastAsia="ru-RU"/>
              </w:rPr>
            </w:pPr>
            <w:r w:rsidRPr="007A414D">
              <w:rPr>
                <w:rFonts w:eastAsia="Times New Roman" w:cs="Times New Roman"/>
                <w:szCs w:val="24"/>
                <w:lang w:eastAsia="ru-RU"/>
              </w:rPr>
              <w:t>Усть-Алданский у</w:t>
            </w:r>
          </w:p>
        </w:tc>
        <w:tc>
          <w:tcPr>
            <w:tcW w:w="1216" w:type="dxa"/>
            <w:tcBorders>
              <w:top w:val="nil"/>
              <w:left w:val="nil"/>
              <w:bottom w:val="single" w:sz="4" w:space="0" w:color="auto"/>
              <w:right w:val="single" w:sz="4" w:space="0" w:color="auto"/>
            </w:tcBorders>
            <w:shd w:val="clear" w:color="auto" w:fill="auto"/>
            <w:vAlign w:val="center"/>
            <w:hideMark/>
          </w:tcPr>
          <w:p w14:paraId="2D2010D8"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16 262,65  </w:t>
            </w:r>
          </w:p>
        </w:tc>
        <w:tc>
          <w:tcPr>
            <w:tcW w:w="1280" w:type="dxa"/>
            <w:tcBorders>
              <w:top w:val="nil"/>
              <w:left w:val="nil"/>
              <w:bottom w:val="single" w:sz="4" w:space="0" w:color="auto"/>
              <w:right w:val="single" w:sz="4" w:space="0" w:color="auto"/>
            </w:tcBorders>
            <w:shd w:val="clear" w:color="auto" w:fill="auto"/>
            <w:vAlign w:val="center"/>
            <w:hideMark/>
          </w:tcPr>
          <w:p w14:paraId="4232EBC3"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7 743,10  </w:t>
            </w:r>
          </w:p>
        </w:tc>
        <w:tc>
          <w:tcPr>
            <w:tcW w:w="1280" w:type="dxa"/>
            <w:tcBorders>
              <w:top w:val="nil"/>
              <w:left w:val="nil"/>
              <w:bottom w:val="single" w:sz="4" w:space="0" w:color="auto"/>
              <w:right w:val="single" w:sz="4" w:space="0" w:color="auto"/>
            </w:tcBorders>
            <w:shd w:val="clear" w:color="auto" w:fill="auto"/>
            <w:vAlign w:val="center"/>
            <w:hideMark/>
          </w:tcPr>
          <w:p w14:paraId="368B61A5"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11 827,49  </w:t>
            </w:r>
          </w:p>
        </w:tc>
        <w:tc>
          <w:tcPr>
            <w:tcW w:w="1280" w:type="dxa"/>
            <w:tcBorders>
              <w:top w:val="nil"/>
              <w:left w:val="nil"/>
              <w:bottom w:val="single" w:sz="4" w:space="0" w:color="auto"/>
              <w:right w:val="single" w:sz="4" w:space="0" w:color="auto"/>
            </w:tcBorders>
            <w:shd w:val="clear" w:color="auto" w:fill="auto"/>
            <w:vAlign w:val="center"/>
            <w:hideMark/>
          </w:tcPr>
          <w:p w14:paraId="1C2DCD90"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18 789,61  </w:t>
            </w:r>
          </w:p>
        </w:tc>
        <w:tc>
          <w:tcPr>
            <w:tcW w:w="1280" w:type="dxa"/>
            <w:tcBorders>
              <w:top w:val="nil"/>
              <w:left w:val="nil"/>
              <w:bottom w:val="single" w:sz="4" w:space="0" w:color="auto"/>
              <w:right w:val="single" w:sz="4" w:space="0" w:color="auto"/>
            </w:tcBorders>
            <w:shd w:val="clear" w:color="auto" w:fill="auto"/>
            <w:vAlign w:val="center"/>
            <w:hideMark/>
          </w:tcPr>
          <w:p w14:paraId="2433BFE4"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12 036,30  </w:t>
            </w:r>
          </w:p>
        </w:tc>
        <w:tc>
          <w:tcPr>
            <w:tcW w:w="1280" w:type="dxa"/>
            <w:tcBorders>
              <w:top w:val="nil"/>
              <w:left w:val="nil"/>
              <w:bottom w:val="single" w:sz="4" w:space="0" w:color="auto"/>
              <w:right w:val="single" w:sz="4" w:space="0" w:color="auto"/>
            </w:tcBorders>
            <w:shd w:val="clear" w:color="auto" w:fill="auto"/>
            <w:vAlign w:val="center"/>
            <w:hideMark/>
          </w:tcPr>
          <w:p w14:paraId="7055589B"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7 965,14  </w:t>
            </w:r>
          </w:p>
        </w:tc>
        <w:tc>
          <w:tcPr>
            <w:tcW w:w="1280" w:type="dxa"/>
            <w:tcBorders>
              <w:top w:val="nil"/>
              <w:left w:val="nil"/>
              <w:bottom w:val="single" w:sz="4" w:space="0" w:color="auto"/>
              <w:right w:val="single" w:sz="4" w:space="0" w:color="auto"/>
            </w:tcBorders>
            <w:shd w:val="clear" w:color="auto" w:fill="auto"/>
            <w:vAlign w:val="center"/>
            <w:hideMark/>
          </w:tcPr>
          <w:p w14:paraId="153516CA"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5 770,06  </w:t>
            </w:r>
          </w:p>
        </w:tc>
        <w:tc>
          <w:tcPr>
            <w:tcW w:w="1280" w:type="dxa"/>
            <w:tcBorders>
              <w:top w:val="nil"/>
              <w:left w:val="nil"/>
              <w:bottom w:val="single" w:sz="4" w:space="0" w:color="auto"/>
              <w:right w:val="single" w:sz="4" w:space="0" w:color="auto"/>
            </w:tcBorders>
            <w:shd w:val="clear" w:color="auto" w:fill="auto"/>
            <w:vAlign w:val="center"/>
            <w:hideMark/>
          </w:tcPr>
          <w:p w14:paraId="30B80D30"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6 736,86  </w:t>
            </w:r>
          </w:p>
        </w:tc>
        <w:tc>
          <w:tcPr>
            <w:tcW w:w="1400" w:type="dxa"/>
            <w:tcBorders>
              <w:top w:val="nil"/>
              <w:left w:val="nil"/>
              <w:bottom w:val="single" w:sz="4" w:space="0" w:color="auto"/>
              <w:right w:val="single" w:sz="4" w:space="0" w:color="auto"/>
            </w:tcBorders>
            <w:shd w:val="clear" w:color="auto" w:fill="auto"/>
            <w:vAlign w:val="center"/>
            <w:hideMark/>
          </w:tcPr>
          <w:p w14:paraId="1FDEC10F"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5 093,57  </w:t>
            </w:r>
          </w:p>
        </w:tc>
        <w:tc>
          <w:tcPr>
            <w:tcW w:w="1283" w:type="dxa"/>
            <w:tcBorders>
              <w:top w:val="nil"/>
              <w:left w:val="nil"/>
              <w:bottom w:val="single" w:sz="4" w:space="0" w:color="auto"/>
              <w:right w:val="single" w:sz="4" w:space="0" w:color="auto"/>
            </w:tcBorders>
            <w:shd w:val="clear" w:color="auto" w:fill="auto"/>
            <w:vAlign w:val="center"/>
            <w:hideMark/>
          </w:tcPr>
          <w:p w14:paraId="3FA10F07"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2 968,57  </w:t>
            </w:r>
          </w:p>
        </w:tc>
      </w:tr>
      <w:tr w:rsidR="007A414D" w:rsidRPr="007A414D" w14:paraId="102857AD" w14:textId="77777777" w:rsidTr="007A414D">
        <w:trPr>
          <w:trHeight w:val="270"/>
        </w:trPr>
        <w:tc>
          <w:tcPr>
            <w:tcW w:w="2268" w:type="dxa"/>
            <w:tcBorders>
              <w:top w:val="nil"/>
              <w:left w:val="single" w:sz="4" w:space="0" w:color="auto"/>
              <w:bottom w:val="single" w:sz="4" w:space="0" w:color="auto"/>
              <w:right w:val="single" w:sz="4" w:space="0" w:color="auto"/>
            </w:tcBorders>
            <w:shd w:val="clear" w:color="auto" w:fill="auto"/>
            <w:vAlign w:val="center"/>
            <w:hideMark/>
          </w:tcPr>
          <w:p w14:paraId="0B921045" w14:textId="77777777" w:rsidR="007A414D" w:rsidRPr="007A414D" w:rsidRDefault="007A414D" w:rsidP="007A414D">
            <w:pPr>
              <w:ind w:firstLine="0"/>
              <w:jc w:val="left"/>
              <w:rPr>
                <w:rFonts w:eastAsia="Times New Roman" w:cs="Times New Roman"/>
                <w:szCs w:val="24"/>
                <w:lang w:eastAsia="ru-RU"/>
              </w:rPr>
            </w:pPr>
            <w:r w:rsidRPr="007A414D">
              <w:rPr>
                <w:rFonts w:eastAsia="Times New Roman" w:cs="Times New Roman"/>
                <w:szCs w:val="24"/>
                <w:lang w:eastAsia="ru-RU"/>
              </w:rPr>
              <w:t>Усть-Майский у</w:t>
            </w:r>
          </w:p>
        </w:tc>
        <w:tc>
          <w:tcPr>
            <w:tcW w:w="1216" w:type="dxa"/>
            <w:tcBorders>
              <w:top w:val="nil"/>
              <w:left w:val="nil"/>
              <w:bottom w:val="single" w:sz="4" w:space="0" w:color="auto"/>
              <w:right w:val="single" w:sz="4" w:space="0" w:color="auto"/>
            </w:tcBorders>
            <w:shd w:val="clear" w:color="auto" w:fill="auto"/>
            <w:vAlign w:val="center"/>
            <w:hideMark/>
          </w:tcPr>
          <w:p w14:paraId="7D86F0CB"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12 195,82  </w:t>
            </w:r>
          </w:p>
        </w:tc>
        <w:tc>
          <w:tcPr>
            <w:tcW w:w="1280" w:type="dxa"/>
            <w:tcBorders>
              <w:top w:val="nil"/>
              <w:left w:val="nil"/>
              <w:bottom w:val="single" w:sz="4" w:space="0" w:color="auto"/>
              <w:right w:val="single" w:sz="4" w:space="0" w:color="auto"/>
            </w:tcBorders>
            <w:shd w:val="clear" w:color="auto" w:fill="auto"/>
            <w:vAlign w:val="center"/>
            <w:hideMark/>
          </w:tcPr>
          <w:p w14:paraId="3CD091C2"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5 596,24  </w:t>
            </w:r>
          </w:p>
        </w:tc>
        <w:tc>
          <w:tcPr>
            <w:tcW w:w="1280" w:type="dxa"/>
            <w:tcBorders>
              <w:top w:val="nil"/>
              <w:left w:val="nil"/>
              <w:bottom w:val="single" w:sz="4" w:space="0" w:color="auto"/>
              <w:right w:val="single" w:sz="4" w:space="0" w:color="auto"/>
            </w:tcBorders>
            <w:shd w:val="clear" w:color="auto" w:fill="auto"/>
            <w:vAlign w:val="center"/>
            <w:hideMark/>
          </w:tcPr>
          <w:p w14:paraId="28749C9D"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6 799,65  </w:t>
            </w:r>
          </w:p>
        </w:tc>
        <w:tc>
          <w:tcPr>
            <w:tcW w:w="1280" w:type="dxa"/>
            <w:tcBorders>
              <w:top w:val="nil"/>
              <w:left w:val="nil"/>
              <w:bottom w:val="single" w:sz="4" w:space="0" w:color="auto"/>
              <w:right w:val="single" w:sz="4" w:space="0" w:color="auto"/>
            </w:tcBorders>
            <w:shd w:val="clear" w:color="auto" w:fill="auto"/>
            <w:vAlign w:val="center"/>
            <w:hideMark/>
          </w:tcPr>
          <w:p w14:paraId="1CA90469"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18 755,77  </w:t>
            </w:r>
          </w:p>
        </w:tc>
        <w:tc>
          <w:tcPr>
            <w:tcW w:w="1280" w:type="dxa"/>
            <w:tcBorders>
              <w:top w:val="nil"/>
              <w:left w:val="nil"/>
              <w:bottom w:val="single" w:sz="4" w:space="0" w:color="auto"/>
              <w:right w:val="single" w:sz="4" w:space="0" w:color="auto"/>
            </w:tcBorders>
            <w:shd w:val="clear" w:color="auto" w:fill="auto"/>
            <w:vAlign w:val="center"/>
            <w:hideMark/>
          </w:tcPr>
          <w:p w14:paraId="1B1AEDAA"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5 579,06  </w:t>
            </w:r>
          </w:p>
        </w:tc>
        <w:tc>
          <w:tcPr>
            <w:tcW w:w="1280" w:type="dxa"/>
            <w:tcBorders>
              <w:top w:val="nil"/>
              <w:left w:val="nil"/>
              <w:bottom w:val="single" w:sz="4" w:space="0" w:color="auto"/>
              <w:right w:val="single" w:sz="4" w:space="0" w:color="auto"/>
            </w:tcBorders>
            <w:shd w:val="clear" w:color="auto" w:fill="auto"/>
            <w:vAlign w:val="center"/>
            <w:hideMark/>
          </w:tcPr>
          <w:p w14:paraId="731C4B1A"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8 328,33  </w:t>
            </w:r>
          </w:p>
        </w:tc>
        <w:tc>
          <w:tcPr>
            <w:tcW w:w="1280" w:type="dxa"/>
            <w:tcBorders>
              <w:top w:val="nil"/>
              <w:left w:val="nil"/>
              <w:bottom w:val="single" w:sz="4" w:space="0" w:color="auto"/>
              <w:right w:val="single" w:sz="4" w:space="0" w:color="auto"/>
            </w:tcBorders>
            <w:shd w:val="clear" w:color="auto" w:fill="auto"/>
            <w:vAlign w:val="center"/>
            <w:hideMark/>
          </w:tcPr>
          <w:p w14:paraId="1F7A1511"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4 349,53  </w:t>
            </w:r>
          </w:p>
        </w:tc>
        <w:tc>
          <w:tcPr>
            <w:tcW w:w="1280" w:type="dxa"/>
            <w:tcBorders>
              <w:top w:val="nil"/>
              <w:left w:val="nil"/>
              <w:bottom w:val="single" w:sz="4" w:space="0" w:color="auto"/>
              <w:right w:val="single" w:sz="4" w:space="0" w:color="auto"/>
            </w:tcBorders>
            <w:shd w:val="clear" w:color="auto" w:fill="auto"/>
            <w:vAlign w:val="center"/>
            <w:hideMark/>
          </w:tcPr>
          <w:p w14:paraId="2986E0F4"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8 614,47  </w:t>
            </w:r>
          </w:p>
        </w:tc>
        <w:tc>
          <w:tcPr>
            <w:tcW w:w="1400" w:type="dxa"/>
            <w:tcBorders>
              <w:top w:val="nil"/>
              <w:left w:val="nil"/>
              <w:bottom w:val="single" w:sz="4" w:space="0" w:color="auto"/>
              <w:right w:val="single" w:sz="4" w:space="0" w:color="auto"/>
            </w:tcBorders>
            <w:shd w:val="clear" w:color="auto" w:fill="auto"/>
            <w:vAlign w:val="center"/>
            <w:hideMark/>
          </w:tcPr>
          <w:p w14:paraId="3670B7D3"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3 613,37  </w:t>
            </w:r>
          </w:p>
        </w:tc>
        <w:tc>
          <w:tcPr>
            <w:tcW w:w="1283" w:type="dxa"/>
            <w:tcBorders>
              <w:top w:val="nil"/>
              <w:left w:val="nil"/>
              <w:bottom w:val="single" w:sz="4" w:space="0" w:color="auto"/>
              <w:right w:val="single" w:sz="4" w:space="0" w:color="auto"/>
            </w:tcBorders>
            <w:shd w:val="clear" w:color="auto" w:fill="auto"/>
            <w:vAlign w:val="center"/>
            <w:hideMark/>
          </w:tcPr>
          <w:p w14:paraId="1D48E28F"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413,48  </w:t>
            </w:r>
          </w:p>
        </w:tc>
      </w:tr>
      <w:tr w:rsidR="007A414D" w:rsidRPr="007A414D" w14:paraId="469102D1" w14:textId="77777777" w:rsidTr="007A414D">
        <w:trPr>
          <w:trHeight w:val="270"/>
        </w:trPr>
        <w:tc>
          <w:tcPr>
            <w:tcW w:w="2268" w:type="dxa"/>
            <w:tcBorders>
              <w:top w:val="nil"/>
              <w:left w:val="single" w:sz="4" w:space="0" w:color="auto"/>
              <w:bottom w:val="single" w:sz="4" w:space="0" w:color="auto"/>
              <w:right w:val="single" w:sz="4" w:space="0" w:color="auto"/>
            </w:tcBorders>
            <w:shd w:val="clear" w:color="auto" w:fill="auto"/>
            <w:vAlign w:val="center"/>
            <w:hideMark/>
          </w:tcPr>
          <w:p w14:paraId="76B84583" w14:textId="77777777" w:rsidR="007A414D" w:rsidRPr="007A414D" w:rsidRDefault="007A414D" w:rsidP="007A414D">
            <w:pPr>
              <w:ind w:firstLine="0"/>
              <w:jc w:val="left"/>
              <w:rPr>
                <w:rFonts w:eastAsia="Times New Roman" w:cs="Times New Roman"/>
                <w:szCs w:val="24"/>
                <w:lang w:eastAsia="ru-RU"/>
              </w:rPr>
            </w:pPr>
            <w:r w:rsidRPr="007A414D">
              <w:rPr>
                <w:rFonts w:eastAsia="Times New Roman" w:cs="Times New Roman"/>
                <w:szCs w:val="24"/>
                <w:lang w:eastAsia="ru-RU"/>
              </w:rPr>
              <w:t>Усть-Янский у</w:t>
            </w:r>
          </w:p>
        </w:tc>
        <w:tc>
          <w:tcPr>
            <w:tcW w:w="1216" w:type="dxa"/>
            <w:tcBorders>
              <w:top w:val="nil"/>
              <w:left w:val="nil"/>
              <w:bottom w:val="single" w:sz="4" w:space="0" w:color="auto"/>
              <w:right w:val="single" w:sz="4" w:space="0" w:color="auto"/>
            </w:tcBorders>
            <w:shd w:val="clear" w:color="auto" w:fill="auto"/>
            <w:vAlign w:val="center"/>
            <w:hideMark/>
          </w:tcPr>
          <w:p w14:paraId="164F9F3D"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34 734,79  </w:t>
            </w:r>
          </w:p>
        </w:tc>
        <w:tc>
          <w:tcPr>
            <w:tcW w:w="1280" w:type="dxa"/>
            <w:tcBorders>
              <w:top w:val="nil"/>
              <w:left w:val="nil"/>
              <w:bottom w:val="single" w:sz="4" w:space="0" w:color="auto"/>
              <w:right w:val="single" w:sz="4" w:space="0" w:color="auto"/>
            </w:tcBorders>
            <w:shd w:val="clear" w:color="auto" w:fill="auto"/>
            <w:vAlign w:val="center"/>
            <w:hideMark/>
          </w:tcPr>
          <w:p w14:paraId="079CA953"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6 279,94  </w:t>
            </w:r>
          </w:p>
        </w:tc>
        <w:tc>
          <w:tcPr>
            <w:tcW w:w="1280" w:type="dxa"/>
            <w:tcBorders>
              <w:top w:val="nil"/>
              <w:left w:val="nil"/>
              <w:bottom w:val="single" w:sz="4" w:space="0" w:color="auto"/>
              <w:right w:val="single" w:sz="4" w:space="0" w:color="auto"/>
            </w:tcBorders>
            <w:shd w:val="clear" w:color="auto" w:fill="auto"/>
            <w:vAlign w:val="center"/>
            <w:hideMark/>
          </w:tcPr>
          <w:p w14:paraId="2018978B"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8 368,77  </w:t>
            </w:r>
          </w:p>
        </w:tc>
        <w:tc>
          <w:tcPr>
            <w:tcW w:w="1280" w:type="dxa"/>
            <w:tcBorders>
              <w:top w:val="nil"/>
              <w:left w:val="nil"/>
              <w:bottom w:val="single" w:sz="4" w:space="0" w:color="auto"/>
              <w:right w:val="single" w:sz="4" w:space="0" w:color="auto"/>
            </w:tcBorders>
            <w:shd w:val="clear" w:color="auto" w:fill="auto"/>
            <w:vAlign w:val="center"/>
            <w:hideMark/>
          </w:tcPr>
          <w:p w14:paraId="6A7A606C"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21 995,92  </w:t>
            </w:r>
          </w:p>
        </w:tc>
        <w:tc>
          <w:tcPr>
            <w:tcW w:w="1280" w:type="dxa"/>
            <w:tcBorders>
              <w:top w:val="nil"/>
              <w:left w:val="nil"/>
              <w:bottom w:val="single" w:sz="4" w:space="0" w:color="auto"/>
              <w:right w:val="single" w:sz="4" w:space="0" w:color="auto"/>
            </w:tcBorders>
            <w:shd w:val="clear" w:color="auto" w:fill="auto"/>
            <w:vAlign w:val="center"/>
            <w:hideMark/>
          </w:tcPr>
          <w:p w14:paraId="73D20086"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9 361,73  </w:t>
            </w:r>
          </w:p>
        </w:tc>
        <w:tc>
          <w:tcPr>
            <w:tcW w:w="1280" w:type="dxa"/>
            <w:tcBorders>
              <w:top w:val="nil"/>
              <w:left w:val="nil"/>
              <w:bottom w:val="single" w:sz="4" w:space="0" w:color="auto"/>
              <w:right w:val="single" w:sz="4" w:space="0" w:color="auto"/>
            </w:tcBorders>
            <w:shd w:val="clear" w:color="auto" w:fill="auto"/>
            <w:vAlign w:val="center"/>
            <w:hideMark/>
          </w:tcPr>
          <w:p w14:paraId="5A6B0718"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13 685,88  </w:t>
            </w:r>
          </w:p>
        </w:tc>
        <w:tc>
          <w:tcPr>
            <w:tcW w:w="1280" w:type="dxa"/>
            <w:tcBorders>
              <w:top w:val="nil"/>
              <w:left w:val="nil"/>
              <w:bottom w:val="single" w:sz="4" w:space="0" w:color="auto"/>
              <w:right w:val="single" w:sz="4" w:space="0" w:color="auto"/>
            </w:tcBorders>
            <w:shd w:val="clear" w:color="auto" w:fill="auto"/>
            <w:vAlign w:val="center"/>
            <w:hideMark/>
          </w:tcPr>
          <w:p w14:paraId="56FC0BA5"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8 691,05  </w:t>
            </w:r>
          </w:p>
        </w:tc>
        <w:tc>
          <w:tcPr>
            <w:tcW w:w="1280" w:type="dxa"/>
            <w:tcBorders>
              <w:top w:val="nil"/>
              <w:left w:val="nil"/>
              <w:bottom w:val="single" w:sz="4" w:space="0" w:color="auto"/>
              <w:right w:val="single" w:sz="4" w:space="0" w:color="auto"/>
            </w:tcBorders>
            <w:shd w:val="clear" w:color="auto" w:fill="auto"/>
            <w:vAlign w:val="center"/>
            <w:hideMark/>
          </w:tcPr>
          <w:p w14:paraId="1E57904F"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10 819,85  </w:t>
            </w:r>
          </w:p>
        </w:tc>
        <w:tc>
          <w:tcPr>
            <w:tcW w:w="1400" w:type="dxa"/>
            <w:tcBorders>
              <w:top w:val="nil"/>
              <w:left w:val="nil"/>
              <w:bottom w:val="single" w:sz="4" w:space="0" w:color="auto"/>
              <w:right w:val="single" w:sz="4" w:space="0" w:color="auto"/>
            </w:tcBorders>
            <w:shd w:val="clear" w:color="auto" w:fill="auto"/>
            <w:vAlign w:val="center"/>
            <w:hideMark/>
          </w:tcPr>
          <w:p w14:paraId="2047F899"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9 976,02  </w:t>
            </w:r>
          </w:p>
        </w:tc>
        <w:tc>
          <w:tcPr>
            <w:tcW w:w="1283" w:type="dxa"/>
            <w:tcBorders>
              <w:top w:val="nil"/>
              <w:left w:val="nil"/>
              <w:bottom w:val="single" w:sz="4" w:space="0" w:color="auto"/>
              <w:right w:val="single" w:sz="4" w:space="0" w:color="auto"/>
            </w:tcBorders>
            <w:shd w:val="clear" w:color="auto" w:fill="auto"/>
            <w:vAlign w:val="center"/>
            <w:hideMark/>
          </w:tcPr>
          <w:p w14:paraId="0418CD84"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2 396,70  </w:t>
            </w:r>
          </w:p>
        </w:tc>
      </w:tr>
      <w:tr w:rsidR="007A414D" w:rsidRPr="007A414D" w14:paraId="4FD907B5" w14:textId="77777777" w:rsidTr="007A414D">
        <w:trPr>
          <w:trHeight w:val="270"/>
        </w:trPr>
        <w:tc>
          <w:tcPr>
            <w:tcW w:w="2268" w:type="dxa"/>
            <w:tcBorders>
              <w:top w:val="nil"/>
              <w:left w:val="single" w:sz="4" w:space="0" w:color="auto"/>
              <w:bottom w:val="single" w:sz="4" w:space="0" w:color="auto"/>
              <w:right w:val="single" w:sz="4" w:space="0" w:color="auto"/>
            </w:tcBorders>
            <w:shd w:val="clear" w:color="auto" w:fill="auto"/>
            <w:vAlign w:val="center"/>
            <w:hideMark/>
          </w:tcPr>
          <w:p w14:paraId="4425D8CD" w14:textId="77777777" w:rsidR="007A414D" w:rsidRPr="007A414D" w:rsidRDefault="007A414D" w:rsidP="007A414D">
            <w:pPr>
              <w:ind w:firstLine="0"/>
              <w:jc w:val="left"/>
              <w:rPr>
                <w:rFonts w:eastAsia="Times New Roman" w:cs="Times New Roman"/>
                <w:szCs w:val="24"/>
                <w:lang w:eastAsia="ru-RU"/>
              </w:rPr>
            </w:pPr>
            <w:r w:rsidRPr="007A414D">
              <w:rPr>
                <w:rFonts w:eastAsia="Times New Roman" w:cs="Times New Roman"/>
                <w:szCs w:val="24"/>
                <w:lang w:eastAsia="ru-RU"/>
              </w:rPr>
              <w:t>Хангаласский у</w:t>
            </w:r>
          </w:p>
        </w:tc>
        <w:tc>
          <w:tcPr>
            <w:tcW w:w="1216" w:type="dxa"/>
            <w:tcBorders>
              <w:top w:val="nil"/>
              <w:left w:val="nil"/>
              <w:bottom w:val="single" w:sz="4" w:space="0" w:color="auto"/>
              <w:right w:val="single" w:sz="4" w:space="0" w:color="auto"/>
            </w:tcBorders>
            <w:shd w:val="clear" w:color="auto" w:fill="auto"/>
            <w:vAlign w:val="center"/>
            <w:hideMark/>
          </w:tcPr>
          <w:p w14:paraId="7AFB183F"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24 339,34  </w:t>
            </w:r>
          </w:p>
        </w:tc>
        <w:tc>
          <w:tcPr>
            <w:tcW w:w="1280" w:type="dxa"/>
            <w:tcBorders>
              <w:top w:val="nil"/>
              <w:left w:val="nil"/>
              <w:bottom w:val="single" w:sz="4" w:space="0" w:color="auto"/>
              <w:right w:val="single" w:sz="4" w:space="0" w:color="auto"/>
            </w:tcBorders>
            <w:shd w:val="clear" w:color="auto" w:fill="auto"/>
            <w:vAlign w:val="center"/>
            <w:hideMark/>
          </w:tcPr>
          <w:p w14:paraId="0DDE18AF"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10 226,78  </w:t>
            </w:r>
          </w:p>
        </w:tc>
        <w:tc>
          <w:tcPr>
            <w:tcW w:w="1280" w:type="dxa"/>
            <w:tcBorders>
              <w:top w:val="nil"/>
              <w:left w:val="nil"/>
              <w:bottom w:val="single" w:sz="4" w:space="0" w:color="auto"/>
              <w:right w:val="single" w:sz="4" w:space="0" w:color="auto"/>
            </w:tcBorders>
            <w:shd w:val="clear" w:color="auto" w:fill="auto"/>
            <w:vAlign w:val="center"/>
            <w:hideMark/>
          </w:tcPr>
          <w:p w14:paraId="1C65A55A"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9 322,01  </w:t>
            </w:r>
          </w:p>
        </w:tc>
        <w:tc>
          <w:tcPr>
            <w:tcW w:w="1280" w:type="dxa"/>
            <w:tcBorders>
              <w:top w:val="nil"/>
              <w:left w:val="nil"/>
              <w:bottom w:val="single" w:sz="4" w:space="0" w:color="auto"/>
              <w:right w:val="single" w:sz="4" w:space="0" w:color="auto"/>
            </w:tcBorders>
            <w:shd w:val="clear" w:color="auto" w:fill="auto"/>
            <w:vAlign w:val="center"/>
            <w:hideMark/>
          </w:tcPr>
          <w:p w14:paraId="028534E2"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17 860,98  </w:t>
            </w:r>
          </w:p>
        </w:tc>
        <w:tc>
          <w:tcPr>
            <w:tcW w:w="1280" w:type="dxa"/>
            <w:tcBorders>
              <w:top w:val="nil"/>
              <w:left w:val="nil"/>
              <w:bottom w:val="single" w:sz="4" w:space="0" w:color="auto"/>
              <w:right w:val="single" w:sz="4" w:space="0" w:color="auto"/>
            </w:tcBorders>
            <w:shd w:val="clear" w:color="auto" w:fill="auto"/>
            <w:vAlign w:val="center"/>
            <w:hideMark/>
          </w:tcPr>
          <w:p w14:paraId="4B4A64A5"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7 709,57  </w:t>
            </w:r>
          </w:p>
        </w:tc>
        <w:tc>
          <w:tcPr>
            <w:tcW w:w="1280" w:type="dxa"/>
            <w:tcBorders>
              <w:top w:val="nil"/>
              <w:left w:val="nil"/>
              <w:bottom w:val="single" w:sz="4" w:space="0" w:color="auto"/>
              <w:right w:val="single" w:sz="4" w:space="0" w:color="auto"/>
            </w:tcBorders>
            <w:shd w:val="clear" w:color="auto" w:fill="auto"/>
            <w:vAlign w:val="center"/>
            <w:hideMark/>
          </w:tcPr>
          <w:p w14:paraId="0003DDAC"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7 652,98  </w:t>
            </w:r>
          </w:p>
        </w:tc>
        <w:tc>
          <w:tcPr>
            <w:tcW w:w="1280" w:type="dxa"/>
            <w:tcBorders>
              <w:top w:val="nil"/>
              <w:left w:val="nil"/>
              <w:bottom w:val="single" w:sz="4" w:space="0" w:color="auto"/>
              <w:right w:val="single" w:sz="4" w:space="0" w:color="auto"/>
            </w:tcBorders>
            <w:shd w:val="clear" w:color="auto" w:fill="auto"/>
            <w:vAlign w:val="center"/>
            <w:hideMark/>
          </w:tcPr>
          <w:p w14:paraId="2F5BBDCB"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6 586,27  </w:t>
            </w:r>
          </w:p>
        </w:tc>
        <w:tc>
          <w:tcPr>
            <w:tcW w:w="1280" w:type="dxa"/>
            <w:tcBorders>
              <w:top w:val="nil"/>
              <w:left w:val="nil"/>
              <w:bottom w:val="single" w:sz="4" w:space="0" w:color="auto"/>
              <w:right w:val="single" w:sz="4" w:space="0" w:color="auto"/>
            </w:tcBorders>
            <w:shd w:val="clear" w:color="auto" w:fill="auto"/>
            <w:vAlign w:val="center"/>
            <w:hideMark/>
          </w:tcPr>
          <w:p w14:paraId="6D8CD1F6"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8 618,90  </w:t>
            </w:r>
          </w:p>
        </w:tc>
        <w:tc>
          <w:tcPr>
            <w:tcW w:w="1400" w:type="dxa"/>
            <w:tcBorders>
              <w:top w:val="nil"/>
              <w:left w:val="nil"/>
              <w:bottom w:val="single" w:sz="4" w:space="0" w:color="auto"/>
              <w:right w:val="single" w:sz="4" w:space="0" w:color="auto"/>
            </w:tcBorders>
            <w:shd w:val="clear" w:color="auto" w:fill="auto"/>
            <w:vAlign w:val="center"/>
            <w:hideMark/>
          </w:tcPr>
          <w:p w14:paraId="4E5FC164"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8 239,34  </w:t>
            </w:r>
          </w:p>
        </w:tc>
        <w:tc>
          <w:tcPr>
            <w:tcW w:w="1283" w:type="dxa"/>
            <w:tcBorders>
              <w:top w:val="nil"/>
              <w:left w:val="nil"/>
              <w:bottom w:val="single" w:sz="4" w:space="0" w:color="auto"/>
              <w:right w:val="single" w:sz="4" w:space="0" w:color="auto"/>
            </w:tcBorders>
            <w:shd w:val="clear" w:color="auto" w:fill="auto"/>
            <w:vAlign w:val="center"/>
            <w:hideMark/>
          </w:tcPr>
          <w:p w14:paraId="4A8AF4AA"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472,11  </w:t>
            </w:r>
          </w:p>
        </w:tc>
      </w:tr>
      <w:tr w:rsidR="007A414D" w:rsidRPr="007A414D" w14:paraId="5A3F9339" w14:textId="77777777" w:rsidTr="007A414D">
        <w:trPr>
          <w:trHeight w:val="270"/>
        </w:trPr>
        <w:tc>
          <w:tcPr>
            <w:tcW w:w="2268" w:type="dxa"/>
            <w:tcBorders>
              <w:top w:val="nil"/>
              <w:left w:val="single" w:sz="4" w:space="0" w:color="auto"/>
              <w:bottom w:val="single" w:sz="4" w:space="0" w:color="auto"/>
              <w:right w:val="single" w:sz="4" w:space="0" w:color="auto"/>
            </w:tcBorders>
            <w:shd w:val="clear" w:color="auto" w:fill="auto"/>
            <w:vAlign w:val="center"/>
            <w:hideMark/>
          </w:tcPr>
          <w:p w14:paraId="54097E73" w14:textId="77777777" w:rsidR="007A414D" w:rsidRPr="007A414D" w:rsidRDefault="007A414D" w:rsidP="007A414D">
            <w:pPr>
              <w:ind w:firstLine="0"/>
              <w:jc w:val="left"/>
              <w:rPr>
                <w:rFonts w:eastAsia="Times New Roman" w:cs="Times New Roman"/>
                <w:szCs w:val="24"/>
                <w:lang w:eastAsia="ru-RU"/>
              </w:rPr>
            </w:pPr>
            <w:r w:rsidRPr="007A414D">
              <w:rPr>
                <w:rFonts w:eastAsia="Times New Roman" w:cs="Times New Roman"/>
                <w:szCs w:val="24"/>
                <w:lang w:eastAsia="ru-RU"/>
              </w:rPr>
              <w:t>Чурапчинский у</w:t>
            </w:r>
          </w:p>
        </w:tc>
        <w:tc>
          <w:tcPr>
            <w:tcW w:w="1216" w:type="dxa"/>
            <w:tcBorders>
              <w:top w:val="nil"/>
              <w:left w:val="nil"/>
              <w:bottom w:val="single" w:sz="4" w:space="0" w:color="auto"/>
              <w:right w:val="single" w:sz="4" w:space="0" w:color="auto"/>
            </w:tcBorders>
            <w:shd w:val="clear" w:color="auto" w:fill="auto"/>
            <w:vAlign w:val="center"/>
            <w:hideMark/>
          </w:tcPr>
          <w:p w14:paraId="0B44D780"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15 404,19  </w:t>
            </w:r>
          </w:p>
        </w:tc>
        <w:tc>
          <w:tcPr>
            <w:tcW w:w="1280" w:type="dxa"/>
            <w:tcBorders>
              <w:top w:val="nil"/>
              <w:left w:val="nil"/>
              <w:bottom w:val="single" w:sz="4" w:space="0" w:color="auto"/>
              <w:right w:val="single" w:sz="4" w:space="0" w:color="auto"/>
            </w:tcBorders>
            <w:shd w:val="clear" w:color="auto" w:fill="auto"/>
            <w:vAlign w:val="center"/>
            <w:hideMark/>
          </w:tcPr>
          <w:p w14:paraId="6B0BF52E"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7 589,75  </w:t>
            </w:r>
          </w:p>
        </w:tc>
        <w:tc>
          <w:tcPr>
            <w:tcW w:w="1280" w:type="dxa"/>
            <w:tcBorders>
              <w:top w:val="nil"/>
              <w:left w:val="nil"/>
              <w:bottom w:val="single" w:sz="4" w:space="0" w:color="auto"/>
              <w:right w:val="single" w:sz="4" w:space="0" w:color="auto"/>
            </w:tcBorders>
            <w:shd w:val="clear" w:color="auto" w:fill="auto"/>
            <w:vAlign w:val="center"/>
            <w:hideMark/>
          </w:tcPr>
          <w:p w14:paraId="44C9E1F1"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9 796,39  </w:t>
            </w:r>
          </w:p>
        </w:tc>
        <w:tc>
          <w:tcPr>
            <w:tcW w:w="1280" w:type="dxa"/>
            <w:tcBorders>
              <w:top w:val="nil"/>
              <w:left w:val="nil"/>
              <w:bottom w:val="single" w:sz="4" w:space="0" w:color="auto"/>
              <w:right w:val="single" w:sz="4" w:space="0" w:color="auto"/>
            </w:tcBorders>
            <w:shd w:val="clear" w:color="auto" w:fill="auto"/>
            <w:vAlign w:val="center"/>
            <w:hideMark/>
          </w:tcPr>
          <w:p w14:paraId="0FEDBAB0"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18 058,58  </w:t>
            </w:r>
          </w:p>
        </w:tc>
        <w:tc>
          <w:tcPr>
            <w:tcW w:w="1280" w:type="dxa"/>
            <w:tcBorders>
              <w:top w:val="nil"/>
              <w:left w:val="nil"/>
              <w:bottom w:val="single" w:sz="4" w:space="0" w:color="auto"/>
              <w:right w:val="single" w:sz="4" w:space="0" w:color="auto"/>
            </w:tcBorders>
            <w:shd w:val="clear" w:color="auto" w:fill="auto"/>
            <w:vAlign w:val="center"/>
            <w:hideMark/>
          </w:tcPr>
          <w:p w14:paraId="2E1FA723"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9 328,64  </w:t>
            </w:r>
          </w:p>
        </w:tc>
        <w:tc>
          <w:tcPr>
            <w:tcW w:w="1280" w:type="dxa"/>
            <w:tcBorders>
              <w:top w:val="nil"/>
              <w:left w:val="nil"/>
              <w:bottom w:val="single" w:sz="4" w:space="0" w:color="auto"/>
              <w:right w:val="single" w:sz="4" w:space="0" w:color="auto"/>
            </w:tcBorders>
            <w:shd w:val="clear" w:color="auto" w:fill="auto"/>
            <w:vAlign w:val="center"/>
            <w:hideMark/>
          </w:tcPr>
          <w:p w14:paraId="0F5BC235"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8 302,77  </w:t>
            </w:r>
          </w:p>
        </w:tc>
        <w:tc>
          <w:tcPr>
            <w:tcW w:w="1280" w:type="dxa"/>
            <w:tcBorders>
              <w:top w:val="nil"/>
              <w:left w:val="nil"/>
              <w:bottom w:val="single" w:sz="4" w:space="0" w:color="auto"/>
              <w:right w:val="single" w:sz="4" w:space="0" w:color="auto"/>
            </w:tcBorders>
            <w:shd w:val="clear" w:color="auto" w:fill="auto"/>
            <w:vAlign w:val="center"/>
            <w:hideMark/>
          </w:tcPr>
          <w:p w14:paraId="4E363296"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4 963,71  </w:t>
            </w:r>
          </w:p>
        </w:tc>
        <w:tc>
          <w:tcPr>
            <w:tcW w:w="1280" w:type="dxa"/>
            <w:tcBorders>
              <w:top w:val="nil"/>
              <w:left w:val="nil"/>
              <w:bottom w:val="single" w:sz="4" w:space="0" w:color="auto"/>
              <w:right w:val="single" w:sz="4" w:space="0" w:color="auto"/>
            </w:tcBorders>
            <w:shd w:val="clear" w:color="auto" w:fill="auto"/>
            <w:vAlign w:val="center"/>
            <w:hideMark/>
          </w:tcPr>
          <w:p w14:paraId="103F7B56"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8 617,69  </w:t>
            </w:r>
          </w:p>
        </w:tc>
        <w:tc>
          <w:tcPr>
            <w:tcW w:w="1400" w:type="dxa"/>
            <w:tcBorders>
              <w:top w:val="nil"/>
              <w:left w:val="nil"/>
              <w:bottom w:val="single" w:sz="4" w:space="0" w:color="auto"/>
              <w:right w:val="single" w:sz="4" w:space="0" w:color="auto"/>
            </w:tcBorders>
            <w:shd w:val="clear" w:color="auto" w:fill="auto"/>
            <w:vAlign w:val="center"/>
            <w:hideMark/>
          </w:tcPr>
          <w:p w14:paraId="6E6B59B9"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56 117,32  </w:t>
            </w:r>
          </w:p>
        </w:tc>
        <w:tc>
          <w:tcPr>
            <w:tcW w:w="1283" w:type="dxa"/>
            <w:tcBorders>
              <w:top w:val="nil"/>
              <w:left w:val="nil"/>
              <w:bottom w:val="single" w:sz="4" w:space="0" w:color="auto"/>
              <w:right w:val="single" w:sz="4" w:space="0" w:color="auto"/>
            </w:tcBorders>
            <w:shd w:val="clear" w:color="auto" w:fill="auto"/>
            <w:vAlign w:val="center"/>
            <w:hideMark/>
          </w:tcPr>
          <w:p w14:paraId="275DF2FD"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234,23  </w:t>
            </w:r>
          </w:p>
        </w:tc>
      </w:tr>
      <w:tr w:rsidR="007A414D" w:rsidRPr="007A414D" w14:paraId="10BFE783" w14:textId="77777777" w:rsidTr="007A414D">
        <w:trPr>
          <w:trHeight w:val="270"/>
        </w:trPr>
        <w:tc>
          <w:tcPr>
            <w:tcW w:w="2268" w:type="dxa"/>
            <w:tcBorders>
              <w:top w:val="nil"/>
              <w:left w:val="single" w:sz="4" w:space="0" w:color="auto"/>
              <w:bottom w:val="single" w:sz="4" w:space="0" w:color="auto"/>
              <w:right w:val="single" w:sz="4" w:space="0" w:color="auto"/>
            </w:tcBorders>
            <w:shd w:val="clear" w:color="auto" w:fill="auto"/>
            <w:vAlign w:val="center"/>
            <w:hideMark/>
          </w:tcPr>
          <w:p w14:paraId="53FFDE34" w14:textId="77777777" w:rsidR="007A414D" w:rsidRPr="007A414D" w:rsidRDefault="007A414D" w:rsidP="007A414D">
            <w:pPr>
              <w:ind w:firstLine="0"/>
              <w:jc w:val="left"/>
              <w:rPr>
                <w:rFonts w:eastAsia="Times New Roman" w:cs="Times New Roman"/>
                <w:szCs w:val="24"/>
                <w:lang w:eastAsia="ru-RU"/>
              </w:rPr>
            </w:pPr>
            <w:r w:rsidRPr="007A414D">
              <w:rPr>
                <w:rFonts w:eastAsia="Times New Roman" w:cs="Times New Roman"/>
                <w:szCs w:val="24"/>
                <w:lang w:eastAsia="ru-RU"/>
              </w:rPr>
              <w:t>Эвено-Бытантайский Национальный у</w:t>
            </w:r>
          </w:p>
        </w:tc>
        <w:tc>
          <w:tcPr>
            <w:tcW w:w="1216" w:type="dxa"/>
            <w:tcBorders>
              <w:top w:val="nil"/>
              <w:left w:val="nil"/>
              <w:bottom w:val="single" w:sz="4" w:space="0" w:color="auto"/>
              <w:right w:val="single" w:sz="4" w:space="0" w:color="auto"/>
            </w:tcBorders>
            <w:shd w:val="clear" w:color="auto" w:fill="auto"/>
            <w:noWrap/>
            <w:vAlign w:val="bottom"/>
            <w:hideMark/>
          </w:tcPr>
          <w:p w14:paraId="19FC4B55" w14:textId="77777777" w:rsidR="007A414D" w:rsidRPr="007A414D" w:rsidRDefault="007A414D" w:rsidP="007A414D">
            <w:pPr>
              <w:ind w:firstLine="0"/>
              <w:jc w:val="left"/>
              <w:rPr>
                <w:rFonts w:eastAsia="Times New Roman" w:cs="Times New Roman"/>
                <w:szCs w:val="24"/>
                <w:lang w:eastAsia="ru-RU"/>
              </w:rPr>
            </w:pPr>
            <w:r w:rsidRPr="007A414D">
              <w:rPr>
                <w:rFonts w:eastAsia="Times New Roman" w:cs="Times New Roman"/>
                <w:szCs w:val="24"/>
                <w:lang w:eastAsia="ru-RU"/>
              </w:rPr>
              <w:t>-</w:t>
            </w:r>
          </w:p>
        </w:tc>
        <w:tc>
          <w:tcPr>
            <w:tcW w:w="1280" w:type="dxa"/>
            <w:tcBorders>
              <w:top w:val="nil"/>
              <w:left w:val="nil"/>
              <w:bottom w:val="single" w:sz="4" w:space="0" w:color="auto"/>
              <w:right w:val="single" w:sz="4" w:space="0" w:color="auto"/>
            </w:tcBorders>
            <w:shd w:val="clear" w:color="auto" w:fill="auto"/>
            <w:vAlign w:val="center"/>
            <w:hideMark/>
          </w:tcPr>
          <w:p w14:paraId="7EE2B891"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5 666,12  </w:t>
            </w:r>
          </w:p>
        </w:tc>
        <w:tc>
          <w:tcPr>
            <w:tcW w:w="1280" w:type="dxa"/>
            <w:tcBorders>
              <w:top w:val="nil"/>
              <w:left w:val="nil"/>
              <w:bottom w:val="single" w:sz="4" w:space="0" w:color="auto"/>
              <w:right w:val="single" w:sz="4" w:space="0" w:color="auto"/>
            </w:tcBorders>
            <w:shd w:val="clear" w:color="auto" w:fill="auto"/>
            <w:vAlign w:val="center"/>
            <w:hideMark/>
          </w:tcPr>
          <w:p w14:paraId="5ACF97D2"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4 873,77  </w:t>
            </w:r>
          </w:p>
        </w:tc>
        <w:tc>
          <w:tcPr>
            <w:tcW w:w="1280" w:type="dxa"/>
            <w:tcBorders>
              <w:top w:val="nil"/>
              <w:left w:val="nil"/>
              <w:bottom w:val="single" w:sz="4" w:space="0" w:color="auto"/>
              <w:right w:val="single" w:sz="4" w:space="0" w:color="auto"/>
            </w:tcBorders>
            <w:shd w:val="clear" w:color="auto" w:fill="auto"/>
            <w:vAlign w:val="center"/>
            <w:hideMark/>
          </w:tcPr>
          <w:p w14:paraId="69004AF3"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20 685,46  </w:t>
            </w:r>
          </w:p>
        </w:tc>
        <w:tc>
          <w:tcPr>
            <w:tcW w:w="1280" w:type="dxa"/>
            <w:tcBorders>
              <w:top w:val="nil"/>
              <w:left w:val="nil"/>
              <w:bottom w:val="single" w:sz="4" w:space="0" w:color="auto"/>
              <w:right w:val="single" w:sz="4" w:space="0" w:color="auto"/>
            </w:tcBorders>
            <w:shd w:val="clear" w:color="auto" w:fill="auto"/>
            <w:noWrap/>
            <w:vAlign w:val="bottom"/>
            <w:hideMark/>
          </w:tcPr>
          <w:p w14:paraId="4B482930" w14:textId="77777777" w:rsidR="007A414D" w:rsidRPr="007A414D" w:rsidRDefault="007A414D" w:rsidP="007A414D">
            <w:pPr>
              <w:ind w:firstLine="0"/>
              <w:jc w:val="left"/>
              <w:rPr>
                <w:rFonts w:eastAsia="Times New Roman" w:cs="Times New Roman"/>
                <w:szCs w:val="24"/>
                <w:lang w:eastAsia="ru-RU"/>
              </w:rPr>
            </w:pPr>
            <w:r w:rsidRPr="007A414D">
              <w:rPr>
                <w:rFonts w:eastAsia="Times New Roman" w:cs="Times New Roman"/>
                <w:szCs w:val="24"/>
                <w:lang w:eastAsia="ru-RU"/>
              </w:rPr>
              <w:t>-</w:t>
            </w:r>
          </w:p>
        </w:tc>
        <w:tc>
          <w:tcPr>
            <w:tcW w:w="1280" w:type="dxa"/>
            <w:tcBorders>
              <w:top w:val="nil"/>
              <w:left w:val="nil"/>
              <w:bottom w:val="single" w:sz="4" w:space="0" w:color="auto"/>
              <w:right w:val="single" w:sz="4" w:space="0" w:color="auto"/>
            </w:tcBorders>
            <w:shd w:val="clear" w:color="auto" w:fill="auto"/>
            <w:vAlign w:val="center"/>
            <w:hideMark/>
          </w:tcPr>
          <w:p w14:paraId="2A60F945"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5 385,36  </w:t>
            </w:r>
          </w:p>
        </w:tc>
        <w:tc>
          <w:tcPr>
            <w:tcW w:w="1280" w:type="dxa"/>
            <w:tcBorders>
              <w:top w:val="nil"/>
              <w:left w:val="nil"/>
              <w:bottom w:val="single" w:sz="4" w:space="0" w:color="auto"/>
              <w:right w:val="single" w:sz="4" w:space="0" w:color="auto"/>
            </w:tcBorders>
            <w:shd w:val="clear" w:color="auto" w:fill="auto"/>
            <w:vAlign w:val="center"/>
            <w:hideMark/>
          </w:tcPr>
          <w:p w14:paraId="654795F2"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4 383,46  </w:t>
            </w:r>
          </w:p>
        </w:tc>
        <w:tc>
          <w:tcPr>
            <w:tcW w:w="1280" w:type="dxa"/>
            <w:tcBorders>
              <w:top w:val="nil"/>
              <w:left w:val="nil"/>
              <w:bottom w:val="single" w:sz="4" w:space="0" w:color="auto"/>
              <w:right w:val="single" w:sz="4" w:space="0" w:color="auto"/>
            </w:tcBorders>
            <w:shd w:val="clear" w:color="auto" w:fill="auto"/>
            <w:vAlign w:val="center"/>
            <w:hideMark/>
          </w:tcPr>
          <w:p w14:paraId="06504281"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272,71  </w:t>
            </w:r>
          </w:p>
        </w:tc>
        <w:tc>
          <w:tcPr>
            <w:tcW w:w="1400" w:type="dxa"/>
            <w:tcBorders>
              <w:top w:val="nil"/>
              <w:left w:val="nil"/>
              <w:bottom w:val="single" w:sz="4" w:space="0" w:color="auto"/>
              <w:right w:val="single" w:sz="4" w:space="0" w:color="auto"/>
            </w:tcBorders>
            <w:shd w:val="clear" w:color="auto" w:fill="auto"/>
            <w:noWrap/>
            <w:vAlign w:val="bottom"/>
            <w:hideMark/>
          </w:tcPr>
          <w:p w14:paraId="5013FD51" w14:textId="77777777" w:rsidR="007A414D" w:rsidRPr="007A414D" w:rsidRDefault="007A414D" w:rsidP="007A414D">
            <w:pPr>
              <w:ind w:firstLine="0"/>
              <w:jc w:val="left"/>
              <w:rPr>
                <w:rFonts w:eastAsia="Times New Roman" w:cs="Times New Roman"/>
                <w:szCs w:val="24"/>
                <w:lang w:eastAsia="ru-RU"/>
              </w:rPr>
            </w:pPr>
            <w:r w:rsidRPr="007A414D">
              <w:rPr>
                <w:rFonts w:eastAsia="Times New Roman" w:cs="Times New Roman"/>
                <w:szCs w:val="24"/>
                <w:lang w:eastAsia="ru-RU"/>
              </w:rPr>
              <w:t>-</w:t>
            </w:r>
          </w:p>
        </w:tc>
        <w:tc>
          <w:tcPr>
            <w:tcW w:w="1283" w:type="dxa"/>
            <w:tcBorders>
              <w:top w:val="nil"/>
              <w:left w:val="nil"/>
              <w:bottom w:val="single" w:sz="4" w:space="0" w:color="auto"/>
              <w:right w:val="single" w:sz="4" w:space="0" w:color="auto"/>
            </w:tcBorders>
            <w:shd w:val="clear" w:color="auto" w:fill="auto"/>
            <w:vAlign w:val="center"/>
            <w:hideMark/>
          </w:tcPr>
          <w:p w14:paraId="29E9FDF2"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347,93  </w:t>
            </w:r>
          </w:p>
        </w:tc>
      </w:tr>
      <w:tr w:rsidR="007A414D" w:rsidRPr="007A414D" w14:paraId="19525883" w14:textId="77777777" w:rsidTr="007A414D">
        <w:trPr>
          <w:trHeight w:val="270"/>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2D2141B7" w14:textId="77777777" w:rsidR="007A414D" w:rsidRPr="007A414D" w:rsidRDefault="007A414D" w:rsidP="007A414D">
            <w:pPr>
              <w:ind w:firstLine="0"/>
              <w:jc w:val="left"/>
              <w:rPr>
                <w:rFonts w:eastAsia="Times New Roman" w:cs="Times New Roman"/>
                <w:szCs w:val="24"/>
                <w:lang w:eastAsia="ru-RU"/>
              </w:rPr>
            </w:pPr>
            <w:r w:rsidRPr="007A414D">
              <w:rPr>
                <w:rFonts w:eastAsia="Times New Roman" w:cs="Times New Roman"/>
                <w:szCs w:val="24"/>
                <w:lang w:eastAsia="ru-RU"/>
              </w:rPr>
              <w:t>по Республике Саха(Якутия)</w:t>
            </w:r>
          </w:p>
        </w:tc>
        <w:tc>
          <w:tcPr>
            <w:tcW w:w="1216" w:type="dxa"/>
            <w:tcBorders>
              <w:top w:val="nil"/>
              <w:left w:val="nil"/>
              <w:bottom w:val="single" w:sz="4" w:space="0" w:color="auto"/>
              <w:right w:val="single" w:sz="4" w:space="0" w:color="auto"/>
            </w:tcBorders>
            <w:shd w:val="clear" w:color="auto" w:fill="auto"/>
            <w:vAlign w:val="center"/>
            <w:hideMark/>
          </w:tcPr>
          <w:p w14:paraId="6FE2DB00"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52 032,28  </w:t>
            </w:r>
          </w:p>
        </w:tc>
        <w:tc>
          <w:tcPr>
            <w:tcW w:w="1280" w:type="dxa"/>
            <w:tcBorders>
              <w:top w:val="nil"/>
              <w:left w:val="nil"/>
              <w:bottom w:val="single" w:sz="4" w:space="0" w:color="auto"/>
              <w:right w:val="single" w:sz="4" w:space="0" w:color="auto"/>
            </w:tcBorders>
            <w:shd w:val="clear" w:color="auto" w:fill="auto"/>
            <w:vAlign w:val="center"/>
            <w:hideMark/>
          </w:tcPr>
          <w:p w14:paraId="6CF880D0"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15 323,01  </w:t>
            </w:r>
          </w:p>
        </w:tc>
        <w:tc>
          <w:tcPr>
            <w:tcW w:w="1280" w:type="dxa"/>
            <w:tcBorders>
              <w:top w:val="nil"/>
              <w:left w:val="nil"/>
              <w:bottom w:val="single" w:sz="4" w:space="0" w:color="auto"/>
              <w:right w:val="single" w:sz="4" w:space="0" w:color="auto"/>
            </w:tcBorders>
            <w:shd w:val="clear" w:color="auto" w:fill="auto"/>
            <w:vAlign w:val="center"/>
            <w:hideMark/>
          </w:tcPr>
          <w:p w14:paraId="1472A879"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13 594,65  </w:t>
            </w:r>
          </w:p>
        </w:tc>
        <w:tc>
          <w:tcPr>
            <w:tcW w:w="1280" w:type="dxa"/>
            <w:tcBorders>
              <w:top w:val="nil"/>
              <w:left w:val="nil"/>
              <w:bottom w:val="single" w:sz="4" w:space="0" w:color="auto"/>
              <w:right w:val="single" w:sz="4" w:space="0" w:color="auto"/>
            </w:tcBorders>
            <w:shd w:val="clear" w:color="auto" w:fill="auto"/>
            <w:vAlign w:val="center"/>
            <w:hideMark/>
          </w:tcPr>
          <w:p w14:paraId="0DB5D5A5"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29 400,43  </w:t>
            </w:r>
          </w:p>
        </w:tc>
        <w:tc>
          <w:tcPr>
            <w:tcW w:w="1280" w:type="dxa"/>
            <w:tcBorders>
              <w:top w:val="nil"/>
              <w:left w:val="nil"/>
              <w:bottom w:val="single" w:sz="4" w:space="0" w:color="auto"/>
              <w:right w:val="single" w:sz="4" w:space="0" w:color="auto"/>
            </w:tcBorders>
            <w:shd w:val="clear" w:color="auto" w:fill="auto"/>
            <w:vAlign w:val="center"/>
            <w:hideMark/>
          </w:tcPr>
          <w:p w14:paraId="13D1CA73"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13 996,23  </w:t>
            </w:r>
          </w:p>
        </w:tc>
        <w:tc>
          <w:tcPr>
            <w:tcW w:w="1280" w:type="dxa"/>
            <w:tcBorders>
              <w:top w:val="nil"/>
              <w:left w:val="nil"/>
              <w:bottom w:val="single" w:sz="4" w:space="0" w:color="auto"/>
              <w:right w:val="single" w:sz="4" w:space="0" w:color="auto"/>
            </w:tcBorders>
            <w:shd w:val="clear" w:color="auto" w:fill="auto"/>
            <w:vAlign w:val="center"/>
            <w:hideMark/>
          </w:tcPr>
          <w:p w14:paraId="72505765"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14 411,11  </w:t>
            </w:r>
          </w:p>
        </w:tc>
        <w:tc>
          <w:tcPr>
            <w:tcW w:w="1280" w:type="dxa"/>
            <w:tcBorders>
              <w:top w:val="nil"/>
              <w:left w:val="nil"/>
              <w:bottom w:val="single" w:sz="4" w:space="0" w:color="auto"/>
              <w:right w:val="single" w:sz="4" w:space="0" w:color="auto"/>
            </w:tcBorders>
            <w:shd w:val="clear" w:color="auto" w:fill="auto"/>
            <w:vAlign w:val="center"/>
            <w:hideMark/>
          </w:tcPr>
          <w:p w14:paraId="0F35B1AF"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10 801,39  </w:t>
            </w:r>
          </w:p>
        </w:tc>
        <w:tc>
          <w:tcPr>
            <w:tcW w:w="1280" w:type="dxa"/>
            <w:tcBorders>
              <w:top w:val="nil"/>
              <w:left w:val="nil"/>
              <w:bottom w:val="single" w:sz="4" w:space="0" w:color="auto"/>
              <w:right w:val="single" w:sz="4" w:space="0" w:color="auto"/>
            </w:tcBorders>
            <w:shd w:val="clear" w:color="auto" w:fill="auto"/>
            <w:vAlign w:val="center"/>
            <w:hideMark/>
          </w:tcPr>
          <w:p w14:paraId="19EE40F2"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8 566,29  </w:t>
            </w:r>
          </w:p>
        </w:tc>
        <w:tc>
          <w:tcPr>
            <w:tcW w:w="1400" w:type="dxa"/>
            <w:tcBorders>
              <w:top w:val="nil"/>
              <w:left w:val="nil"/>
              <w:bottom w:val="single" w:sz="4" w:space="0" w:color="auto"/>
              <w:right w:val="single" w:sz="4" w:space="0" w:color="auto"/>
            </w:tcBorders>
            <w:shd w:val="clear" w:color="auto" w:fill="auto"/>
            <w:vAlign w:val="center"/>
            <w:hideMark/>
          </w:tcPr>
          <w:p w14:paraId="643E4A7F"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29 821,23  </w:t>
            </w:r>
          </w:p>
        </w:tc>
        <w:tc>
          <w:tcPr>
            <w:tcW w:w="1283" w:type="dxa"/>
            <w:tcBorders>
              <w:top w:val="nil"/>
              <w:left w:val="nil"/>
              <w:bottom w:val="single" w:sz="4" w:space="0" w:color="auto"/>
              <w:right w:val="single" w:sz="4" w:space="0" w:color="auto"/>
            </w:tcBorders>
            <w:shd w:val="clear" w:color="auto" w:fill="auto"/>
            <w:vAlign w:val="center"/>
            <w:hideMark/>
          </w:tcPr>
          <w:p w14:paraId="44BCC806" w14:textId="77777777" w:rsidR="007A414D" w:rsidRPr="007A414D" w:rsidRDefault="007A414D" w:rsidP="007A414D">
            <w:pPr>
              <w:ind w:firstLine="0"/>
              <w:jc w:val="center"/>
              <w:rPr>
                <w:rFonts w:eastAsia="Times New Roman" w:cs="Times New Roman"/>
                <w:szCs w:val="24"/>
                <w:lang w:eastAsia="ru-RU"/>
              </w:rPr>
            </w:pPr>
            <w:r w:rsidRPr="007A414D">
              <w:rPr>
                <w:rFonts w:eastAsia="Times New Roman" w:cs="Times New Roman"/>
                <w:szCs w:val="24"/>
                <w:lang w:eastAsia="ru-RU"/>
              </w:rPr>
              <w:t xml:space="preserve">22 303,40  </w:t>
            </w:r>
          </w:p>
        </w:tc>
      </w:tr>
    </w:tbl>
    <w:p w14:paraId="4F7AD3BE" w14:textId="77777777" w:rsidR="00E215D0" w:rsidRPr="00757F88" w:rsidRDefault="00E215D0" w:rsidP="00757F88"/>
    <w:p w14:paraId="1AD79499" w14:textId="77777777" w:rsidR="007A414D" w:rsidRDefault="007A414D" w:rsidP="0030005D">
      <w:pPr>
        <w:pStyle w:val="ConsPlusNormal"/>
        <w:ind w:firstLine="540"/>
        <w:jc w:val="both"/>
        <w:rPr>
          <w:rFonts w:ascii="Times New Roman" w:hAnsi="Times New Roman" w:cs="Times New Roman"/>
        </w:rPr>
        <w:sectPr w:rsidR="007A414D" w:rsidSect="007A414D">
          <w:pgSz w:w="16840" w:h="11909" w:orient="landscape"/>
          <w:pgMar w:top="1701" w:right="1134" w:bottom="851" w:left="1134" w:header="709" w:footer="879" w:gutter="0"/>
          <w:cols w:space="708"/>
          <w:titlePg/>
          <w:docGrid w:linePitch="360"/>
        </w:sectPr>
      </w:pPr>
    </w:p>
    <w:p w14:paraId="5A48D82F" w14:textId="6EA3BEB2" w:rsidR="00D53157" w:rsidRDefault="00D53157" w:rsidP="0030005D">
      <w:pPr>
        <w:pStyle w:val="ConsPlusNormal"/>
        <w:ind w:firstLine="540"/>
        <w:jc w:val="both"/>
        <w:rPr>
          <w:rFonts w:ascii="Times New Roman" w:hAnsi="Times New Roman" w:cs="Times New Roman"/>
        </w:rPr>
      </w:pPr>
    </w:p>
    <w:p w14:paraId="3B890E6C" w14:textId="4439DA41" w:rsidR="00134C65" w:rsidRPr="0027086D" w:rsidRDefault="00134C65" w:rsidP="00D53157">
      <w:pPr>
        <w:pStyle w:val="ConsPlusNormal"/>
        <w:jc w:val="both"/>
        <w:rPr>
          <w:rFonts w:ascii="Times New Roman" w:hAnsi="Times New Roman" w:cs="Times New Roman"/>
        </w:rPr>
      </w:pPr>
    </w:p>
    <w:p w14:paraId="2AC6D37F" w14:textId="191B109C" w:rsidR="0030005D" w:rsidRPr="00AF7E6F" w:rsidRDefault="0030005D" w:rsidP="00FD2769">
      <w:pPr>
        <w:pStyle w:val="10"/>
      </w:pPr>
      <w:bookmarkStart w:id="161" w:name="_Toc520076064"/>
      <w:bookmarkStart w:id="162" w:name="_Toc14819126"/>
      <w:r w:rsidRPr="0027086D">
        <w:t>ПРИЛОЖЕНИЯ (В ЭЛЕКТРОННОМ ВИДЕ)</w:t>
      </w:r>
      <w:bookmarkEnd w:id="161"/>
      <w:bookmarkEnd w:id="162"/>
    </w:p>
    <w:p w14:paraId="28AC68E8" w14:textId="5BA38908" w:rsidR="0030005D" w:rsidRPr="0027086D" w:rsidRDefault="005F08F6" w:rsidP="00827FEB">
      <w:pPr>
        <w:pStyle w:val="2"/>
      </w:pPr>
      <w:bookmarkStart w:id="163" w:name="_Toc520076065"/>
      <w:bookmarkStart w:id="164" w:name="_Toc14819127"/>
      <w:r w:rsidRPr="0027086D">
        <w:t xml:space="preserve">Приложение 1. </w:t>
      </w:r>
      <w:r w:rsidR="0030005D" w:rsidRPr="0027086D">
        <w:t>Исходные данные</w:t>
      </w:r>
      <w:bookmarkEnd w:id="163"/>
      <w:bookmarkEnd w:id="164"/>
    </w:p>
    <w:p w14:paraId="794167D7" w14:textId="79A47A18" w:rsidR="0030005D" w:rsidRPr="0027086D" w:rsidRDefault="005F08F6" w:rsidP="00827FEB">
      <w:pPr>
        <w:pStyle w:val="2"/>
      </w:pPr>
      <w:bookmarkStart w:id="165" w:name="OLE_LINK205"/>
      <w:bookmarkStart w:id="166" w:name="OLE_LINK206"/>
      <w:bookmarkStart w:id="167" w:name="OLE_LINK207"/>
      <w:bookmarkStart w:id="168" w:name="OLE_LINK208"/>
      <w:bookmarkStart w:id="169" w:name="OLE_LINK209"/>
      <w:bookmarkStart w:id="170" w:name="OLE_LINK210"/>
      <w:bookmarkStart w:id="171" w:name="_Toc520076066"/>
      <w:bookmarkStart w:id="172" w:name="_Toc14819128"/>
      <w:r w:rsidRPr="0027086D">
        <w:t xml:space="preserve">Приложение 2. </w:t>
      </w:r>
      <w:bookmarkEnd w:id="165"/>
      <w:bookmarkEnd w:id="166"/>
      <w:bookmarkEnd w:id="167"/>
      <w:bookmarkEnd w:id="168"/>
      <w:bookmarkEnd w:id="169"/>
      <w:bookmarkEnd w:id="170"/>
      <w:r w:rsidR="0030005D" w:rsidRPr="0027086D">
        <w:t>Результаты определения кадастровой стоимости.</w:t>
      </w:r>
      <w:bookmarkEnd w:id="171"/>
      <w:bookmarkEnd w:id="172"/>
    </w:p>
    <w:p w14:paraId="2D291FB6" w14:textId="77777777" w:rsidR="00860D4E" w:rsidRDefault="005F08F6" w:rsidP="00860D4E">
      <w:pPr>
        <w:pStyle w:val="2"/>
      </w:pPr>
      <w:bookmarkStart w:id="173" w:name="_Toc520076069"/>
      <w:bookmarkStart w:id="174" w:name="_Toc14819129"/>
      <w:r w:rsidRPr="0027086D">
        <w:t xml:space="preserve">Приложение </w:t>
      </w:r>
      <w:r w:rsidR="00416193">
        <w:t>3</w:t>
      </w:r>
      <w:r w:rsidRPr="0027086D">
        <w:t xml:space="preserve">. </w:t>
      </w:r>
      <w:r w:rsidR="0030005D" w:rsidRPr="0027086D">
        <w:t>Файлы в формате XML</w:t>
      </w:r>
      <w:bookmarkEnd w:id="173"/>
      <w:bookmarkEnd w:id="174"/>
      <w:r w:rsidR="0030005D" w:rsidRPr="0027086D">
        <w:t xml:space="preserve"> </w:t>
      </w:r>
      <w:bookmarkStart w:id="175" w:name="_Toc20996365"/>
    </w:p>
    <w:p w14:paraId="01D31BAD" w14:textId="0FC2544F" w:rsidR="00860D4E" w:rsidRPr="00C75AC4" w:rsidRDefault="00860D4E" w:rsidP="00860D4E">
      <w:pPr>
        <w:pStyle w:val="2"/>
      </w:pPr>
      <w:r w:rsidRPr="00C75AC4">
        <w:t>Приложение 4. Справка об учтенных и неучтенных замечаниях к промежуточным отчетным документам</w:t>
      </w:r>
      <w:bookmarkEnd w:id="175"/>
    </w:p>
    <w:p w14:paraId="2C1E4C17" w14:textId="7FEDD09D" w:rsidR="00B37D0F" w:rsidRPr="00B37D0F" w:rsidRDefault="00B37D0F" w:rsidP="00B37D0F">
      <w:pPr>
        <w:pStyle w:val="2"/>
      </w:pPr>
    </w:p>
    <w:sectPr w:rsidR="00B37D0F" w:rsidRPr="00B37D0F" w:rsidSect="00D76840">
      <w:pgSz w:w="11909" w:h="16840"/>
      <w:pgMar w:top="1134" w:right="851" w:bottom="1134" w:left="1701" w:header="709" w:footer="879" w:gutter="0"/>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47632BF" w14:textId="77777777" w:rsidR="00A24B55" w:rsidRDefault="00A24B55" w:rsidP="002E05A4">
      <w:r>
        <w:separator/>
      </w:r>
    </w:p>
  </w:endnote>
  <w:endnote w:type="continuationSeparator" w:id="0">
    <w:p w14:paraId="61134DEA" w14:textId="77777777" w:rsidR="00A24B55" w:rsidRDefault="00A24B55" w:rsidP="002E05A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OpenSymbol">
    <w:altName w:val="Times New Roman"/>
    <w:charset w:val="00"/>
    <w:family w:val="auto"/>
    <w:pitch w:val="variable"/>
  </w:font>
  <w:font w:name="SimSun, 宋体">
    <w:altName w:val="Times New Roman"/>
    <w:charset w:val="00"/>
    <w:family w:val="auto"/>
    <w:pitch w:val="variable"/>
  </w:font>
  <w:font w:name="Calibri">
    <w:panose1 w:val="020F0502020204030204"/>
    <w:charset w:val="CC"/>
    <w:family w:val="swiss"/>
    <w:pitch w:val="variable"/>
    <w:sig w:usb0="E0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Liberation Sans Narrow">
    <w:altName w:val="Arial"/>
    <w:charset w:val="00"/>
    <w:family w:val="swiss"/>
    <w:pitch w:val="variable"/>
  </w:font>
  <w:font w:name="Calibri Light">
    <w:panose1 w:val="020F0302020204030204"/>
    <w:charset w:val="CC"/>
    <w:family w:val="swiss"/>
    <w:pitch w:val="variable"/>
    <w:sig w:usb0="E0002A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Segoe UI">
    <w:panose1 w:val="020B0502040204020203"/>
    <w:charset w:val="CC"/>
    <w:family w:val="swiss"/>
    <w:pitch w:val="variable"/>
    <w:sig w:usb0="E4002EFF" w:usb1="C000E47F" w:usb2="00000009" w:usb3="00000000" w:csb0="000001FF" w:csb1="00000000"/>
  </w:font>
  <w:font w:name="Myriad Pro">
    <w:altName w:val="Arial"/>
    <w:panose1 w:val="00000000000000000000"/>
    <w:charset w:val="00"/>
    <w:family w:val="swiss"/>
    <w:notTrueType/>
    <w:pitch w:val="variable"/>
    <w:sig w:usb0="20000287" w:usb1="00000001" w:usb2="00000000" w:usb3="00000000" w:csb0="0000019F" w:csb1="00000000"/>
  </w:font>
  <w:font w:name="Times New Roman CYR">
    <w:panose1 w:val="02020603050405020304"/>
    <w:charset w:val="CC"/>
    <w:family w:val="roman"/>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 w:name="Mangal">
    <w:panose1 w:val="00000400000000000000"/>
    <w:charset w:val="00"/>
    <w:family w:val="roman"/>
    <w:pitch w:val="variable"/>
    <w:sig w:usb0="00000003" w:usb1="00000000" w:usb2="00000000" w:usb3="00000000" w:csb0="00000001" w:csb1="00000000"/>
  </w:font>
  <w:font w:name="Consultant, 'Courier New'">
    <w:altName w:val="Arial"/>
    <w:charset w:val="00"/>
    <w:family w:val="modern"/>
    <w:pitch w:val="default"/>
  </w:font>
  <w:font w:name="Garamond">
    <w:panose1 w:val="02020404030301010803"/>
    <w:charset w:val="CC"/>
    <w:family w:val="roman"/>
    <w:pitch w:val="variable"/>
    <w:sig w:usb0="00000287" w:usb1="00000000" w:usb2="00000000" w:usb3="00000000" w:csb0="0000009F" w:csb1="00000000"/>
  </w:font>
  <w:font w:name="Cyrvetica, 'Times New Roman'">
    <w:altName w:val="Times New Roman"/>
    <w:charset w:val="00"/>
    <w:family w:val="auto"/>
    <w:pitch w:val="variable"/>
  </w:font>
  <w:font w:name="Arial Unicode MS">
    <w:panose1 w:val="020B0604020202020204"/>
    <w:charset w:val="80"/>
    <w:family w:val="swiss"/>
    <w:pitch w:val="variable"/>
    <w:sig w:usb0="F7FFAFFF" w:usb1="E9DFFFFF" w:usb2="0000003F" w:usb3="00000000" w:csb0="003F01FF" w:csb1="00000000"/>
  </w:font>
  <w:font w:name="Arial Narrow">
    <w:panose1 w:val="020B0606020202030204"/>
    <w:charset w:val="CC"/>
    <w:family w:val="swiss"/>
    <w:pitch w:val="variable"/>
    <w:sig w:usb0="00000287" w:usb1="00000800" w:usb2="00000000" w:usb3="00000000" w:csb0="0000009F" w:csb1="00000000"/>
  </w:font>
  <w:font w:name="inherit">
    <w:altName w:val="Times New Roman"/>
    <w:charset w:val="00"/>
    <w:family w:val="roman"/>
    <w:pitch w:val="variable"/>
  </w:font>
  <w:font w:name="Gazeta Titul">
    <w:altName w:val="Times New Roman"/>
    <w:charset w:val="00"/>
    <w:family w:val="swiss"/>
    <w:pitch w:val="variable"/>
  </w:font>
  <w:font w:name="Bookman Old Style">
    <w:panose1 w:val="02050604050505020204"/>
    <w:charset w:val="CC"/>
    <w:family w:val="roman"/>
    <w:pitch w:val="variable"/>
    <w:sig w:usb0="00000287" w:usb1="00000000" w:usb2="00000000" w:usb3="00000000" w:csb0="0000009F" w:csb1="00000000"/>
  </w:font>
  <w:font w:name="FreeSetC">
    <w:altName w:val="Courier New"/>
    <w:panose1 w:val="00000000000000000000"/>
    <w:charset w:val="00"/>
    <w:family w:val="decorative"/>
    <w:notTrueType/>
    <w:pitch w:val="default"/>
    <w:sig w:usb0="00000003" w:usb1="00000000" w:usb2="00000000" w:usb3="00000000" w:csb0="00000001" w:csb1="00000000"/>
  </w:font>
  <w:font w:name="TimesET">
    <w:altName w:val="Times New Roman"/>
    <w:charset w:val="00"/>
    <w:family w:val="auto"/>
    <w:pitch w:val="variable"/>
    <w:sig w:usb0="00000003" w:usb1="00000000" w:usb2="00000000" w:usb3="00000000" w:csb0="00000001" w:csb1="00000000"/>
  </w:font>
  <w:font w:name="Verdana">
    <w:panose1 w:val="020B0604030504040204"/>
    <w:charset w:val="CC"/>
    <w:family w:val="swiss"/>
    <w:pitch w:val="variable"/>
    <w:sig w:usb0="A00006FF" w:usb1="4000205B" w:usb2="00000010" w:usb3="00000000" w:csb0="0000019F" w:csb1="00000000"/>
  </w:font>
  <w:font w:name="Vanta Light">
    <w:altName w:val="Arial"/>
    <w:panose1 w:val="00000000000000000000"/>
    <w:charset w:val="00"/>
    <w:family w:val="swiss"/>
    <w:notTrueType/>
    <w:pitch w:val="variable"/>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MS Reference Sans Serif">
    <w:panose1 w:val="020B0604030504040204"/>
    <w:charset w:val="CC"/>
    <w:family w:val="swiss"/>
    <w:pitch w:val="variable"/>
    <w:sig w:usb0="20000287" w:usb1="00000000" w:usb2="00000000" w:usb3="00000000" w:csb0="0000019F" w:csb1="00000000"/>
  </w:font>
  <w:font w:name="MS ??">
    <w:altName w:val="Yu Gothic"/>
    <w:panose1 w:val="00000000000000000000"/>
    <w:charset w:val="80"/>
    <w:family w:val="auto"/>
    <w:notTrueType/>
    <w:pitch w:val="variable"/>
    <w:sig w:usb0="00000001" w:usb1="08070000" w:usb2="00000010" w:usb3="00000000" w:csb0="00020000" w:csb1="00000000"/>
  </w:font>
  <w:font w:name="TimesNewRoman">
    <w:altName w:val="Arial Unicode MS"/>
    <w:panose1 w:val="00000000000000000000"/>
    <w:charset w:val="80"/>
    <w:family w:val="auto"/>
    <w:notTrueType/>
    <w:pitch w:val="default"/>
    <w:sig w:usb0="00000001" w:usb1="08070000" w:usb2="00000010" w:usb3="00000000" w:csb0="00020000" w:csb1="00000000"/>
  </w:font>
  <w:font w:name="MS Mincho">
    <w:altName w:val="Yu Gothic UI"/>
    <w:panose1 w:val="02020609040205080304"/>
    <w:charset w:val="80"/>
    <w:family w:val="roman"/>
    <w:notTrueType/>
    <w:pitch w:val="fixed"/>
    <w:sig w:usb0="00000001" w:usb1="08070000" w:usb2="00000010" w:usb3="00000000" w:csb0="00020000" w:csb1="00000000"/>
  </w:font>
  <w:font w:name="TimesNewRomanPSMT">
    <w:altName w:val="MS Gothic"/>
    <w:panose1 w:val="00000000000000000000"/>
    <w:charset w:val="80"/>
    <w:family w:val="auto"/>
    <w:notTrueType/>
    <w:pitch w:val="default"/>
    <w:sig w:usb0="00000000" w:usb1="08070000" w:usb2="00000010" w:usb3="00000000" w:csb0="00020000" w:csb1="00000000"/>
  </w:font>
  <w:font w:name="Cambria Math">
    <w:panose1 w:val="02040503050406030204"/>
    <w:charset w:val="CC"/>
    <w:family w:val="roman"/>
    <w:pitch w:val="variable"/>
    <w:sig w:usb0="E00006FF" w:usb1="420024FF" w:usb2="02000000" w:usb3="00000000" w:csb0="0000019F" w:csb1="00000000"/>
  </w:font>
  <w:font w:name="Sylfaen">
    <w:panose1 w:val="010A0502050306030303"/>
    <w:charset w:val="CC"/>
    <w:family w:val="roman"/>
    <w:pitch w:val="variable"/>
    <w:sig w:usb0="04000687" w:usb1="00000000" w:usb2="00000000" w:usb3="00000000" w:csb0="000000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C5C9C8D" w14:textId="28FE5391" w:rsidR="00A24B55" w:rsidRDefault="00A24B55" w:rsidP="0082383C">
    <w:pPr>
      <w:pStyle w:val="a9"/>
      <w:ind w:firstLine="0"/>
    </w:pPr>
  </w:p>
  <w:p w14:paraId="3FD8AC4E" w14:textId="77777777" w:rsidR="00A24B55" w:rsidRPr="0082383C" w:rsidRDefault="00A24B55" w:rsidP="0082383C">
    <w:pPr>
      <w:pStyle w:val="a9"/>
      <w:ind w:firstLine="0"/>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886146977"/>
      <w:docPartObj>
        <w:docPartGallery w:val="Page Numbers (Bottom of Page)"/>
        <w:docPartUnique/>
      </w:docPartObj>
    </w:sdtPr>
    <w:sdtEndPr/>
    <w:sdtContent>
      <w:p w14:paraId="3677ACC8" w14:textId="2304E099" w:rsidR="00A24B55" w:rsidRDefault="00A24B55">
        <w:pPr>
          <w:pStyle w:val="a9"/>
          <w:jc w:val="center"/>
        </w:pPr>
        <w:r>
          <w:fldChar w:fldCharType="begin"/>
        </w:r>
        <w:r>
          <w:instrText>PAGE   \* MERGEFORMAT</w:instrText>
        </w:r>
        <w:r>
          <w:fldChar w:fldCharType="separate"/>
        </w:r>
        <w:r w:rsidR="00A90944">
          <w:rPr>
            <w:noProof/>
          </w:rPr>
          <w:t>246</w:t>
        </w:r>
        <w:r>
          <w:fldChar w:fldCharType="end"/>
        </w:r>
      </w:p>
    </w:sdtContent>
  </w:sdt>
  <w:p w14:paraId="164C412E" w14:textId="77777777" w:rsidR="00A24B55" w:rsidRDefault="00A24B55"/>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C06AFC8" w14:textId="77777777" w:rsidR="00A24B55" w:rsidRPr="00727235" w:rsidRDefault="00A24B55" w:rsidP="00727235"/>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222A875" w14:textId="77777777" w:rsidR="00A24B55" w:rsidRPr="00727235" w:rsidRDefault="00A24B55" w:rsidP="00727235"/>
</w:ftr>
</file>

<file path=word/footer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7DA3BD6" w14:textId="77777777" w:rsidR="00A24B55" w:rsidRPr="00727235" w:rsidRDefault="00A24B55" w:rsidP="00727235"/>
</w:ftr>
</file>

<file path=word/footer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B6A5FF9" w14:textId="77777777" w:rsidR="00A24B55" w:rsidRDefault="00A24B55"/>
</w:ftr>
</file>

<file path=word/footer7.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292981056"/>
      <w:docPartObj>
        <w:docPartGallery w:val="Page Numbers (Bottom of Page)"/>
        <w:docPartUnique/>
      </w:docPartObj>
    </w:sdtPr>
    <w:sdtEndPr/>
    <w:sdtContent>
      <w:p w14:paraId="5B793627" w14:textId="3F051CBF" w:rsidR="00A24B55" w:rsidRDefault="00A24B55">
        <w:pPr>
          <w:pStyle w:val="a9"/>
          <w:jc w:val="right"/>
        </w:pPr>
        <w:r>
          <w:fldChar w:fldCharType="begin"/>
        </w:r>
        <w:r>
          <w:instrText>PAGE   \* MERGEFORMAT</w:instrText>
        </w:r>
        <w:r>
          <w:fldChar w:fldCharType="separate"/>
        </w:r>
        <w:r w:rsidR="00A90944">
          <w:rPr>
            <w:noProof/>
          </w:rPr>
          <w:t>256</w:t>
        </w:r>
        <w:r>
          <w:fldChar w:fldCharType="end"/>
        </w:r>
      </w:p>
    </w:sdtContent>
  </w:sdt>
  <w:p w14:paraId="28725485" w14:textId="7A62EB1D" w:rsidR="00A24B55" w:rsidRPr="00630070" w:rsidRDefault="00A24B55" w:rsidP="00630070">
    <w:pPr>
      <w:pStyle w:val="a9"/>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6572266" w14:textId="77777777" w:rsidR="00A24B55" w:rsidRDefault="00A24B55" w:rsidP="002E05A4">
      <w:r>
        <w:separator/>
      </w:r>
    </w:p>
  </w:footnote>
  <w:footnote w:type="continuationSeparator" w:id="0">
    <w:p w14:paraId="58936CF0" w14:textId="77777777" w:rsidR="00A24B55" w:rsidRDefault="00A24B55" w:rsidP="002E05A4">
      <w:r>
        <w:continuationSeparator/>
      </w:r>
    </w:p>
  </w:footnote>
  <w:footnote w:id="1">
    <w:p w14:paraId="5BE92D93" w14:textId="77777777" w:rsidR="00A24B55" w:rsidRDefault="00A24B55" w:rsidP="00DD6EF5">
      <w:pPr>
        <w:pStyle w:val="afb"/>
      </w:pPr>
      <w:r>
        <w:rPr>
          <w:rStyle w:val="afd"/>
        </w:rPr>
        <w:footnoteRef/>
      </w:r>
      <w:r>
        <w:t xml:space="preserve"> </w:t>
      </w:r>
      <w:r w:rsidRPr="003345C9">
        <w:t>Свод правил. Здания жилые многоквартирные. Актуализированная редакция СНиП 31-01-2003</w:t>
      </w:r>
      <w:r>
        <w:t>»</w:t>
      </w:r>
      <w:r w:rsidRPr="003345C9">
        <w:t xml:space="preserve"> (утв. Приказом Минстроя России от 03.12.2016 N 883/пр)</w:t>
      </w:r>
    </w:p>
  </w:footnote>
  <w:footnote w:id="2">
    <w:p w14:paraId="7A8DB11A" w14:textId="77777777" w:rsidR="00A24B55" w:rsidRPr="00A03E9D" w:rsidRDefault="00A24B55" w:rsidP="0047261E">
      <w:pPr>
        <w:pStyle w:val="affffffff1"/>
        <w:shd w:val="clear" w:color="auto" w:fill="auto"/>
        <w:tabs>
          <w:tab w:val="left" w:pos="324"/>
        </w:tabs>
        <w:jc w:val="left"/>
        <w:rPr>
          <w:rFonts w:ascii="Times New Roman" w:hAnsi="Times New Roman" w:cs="Times New Roman"/>
          <w:sz w:val="18"/>
          <w:szCs w:val="18"/>
        </w:rPr>
      </w:pPr>
      <w:r w:rsidRPr="00A03E9D">
        <w:rPr>
          <w:rFonts w:ascii="Times New Roman" w:hAnsi="Times New Roman" w:cs="Times New Roman"/>
          <w:sz w:val="24"/>
          <w:szCs w:val="24"/>
        </w:rPr>
        <w:t>1</w:t>
      </w:r>
      <w:r w:rsidRPr="00677CB4">
        <w:rPr>
          <w:rFonts w:ascii="Times New Roman" w:hAnsi="Times New Roman" w:cs="Times New Roman"/>
          <w:sz w:val="20"/>
          <w:szCs w:val="20"/>
        </w:rPr>
        <w:tab/>
      </w:r>
      <w:r w:rsidRPr="00A03E9D">
        <w:rPr>
          <w:rFonts w:ascii="Times New Roman" w:hAnsi="Times New Roman" w:cs="Times New Roman"/>
          <w:sz w:val="18"/>
          <w:szCs w:val="18"/>
        </w:rPr>
        <w:t>Индекс производства инвестиционных товаров рассчитан на основе индексов физического объема производства отдельных видов экономической деятельности, доли рассчитаны на основе стоимостных объемов отгрузки по каждому виду деятельности.</w:t>
      </w:r>
    </w:p>
  </w:footnote>
  <w:footnote w:id="3">
    <w:p w14:paraId="28D029E2" w14:textId="77777777" w:rsidR="00A24B55" w:rsidRPr="00A03E9D" w:rsidRDefault="00A24B55" w:rsidP="0047261E">
      <w:pPr>
        <w:pStyle w:val="affffffff1"/>
        <w:shd w:val="clear" w:color="auto" w:fill="auto"/>
        <w:tabs>
          <w:tab w:val="left" w:pos="300"/>
        </w:tabs>
        <w:jc w:val="left"/>
        <w:rPr>
          <w:rFonts w:ascii="Times New Roman" w:hAnsi="Times New Roman" w:cs="Times New Roman"/>
          <w:sz w:val="18"/>
          <w:szCs w:val="18"/>
        </w:rPr>
      </w:pPr>
      <w:r w:rsidRPr="00A03E9D">
        <w:rPr>
          <w:rFonts w:ascii="Times New Roman" w:hAnsi="Times New Roman" w:cs="Times New Roman"/>
          <w:sz w:val="18"/>
          <w:szCs w:val="18"/>
        </w:rPr>
        <w:t>2</w:t>
      </w:r>
      <w:r w:rsidRPr="00A03E9D">
        <w:rPr>
          <w:rFonts w:ascii="Times New Roman" w:hAnsi="Times New Roman" w:cs="Times New Roman"/>
          <w:sz w:val="18"/>
          <w:szCs w:val="18"/>
        </w:rPr>
        <w:tab/>
        <w:t>Индекс импорта инвестиционных товаров рассчитан на основе физических объемов импорта отдельных товаров, доли рассчитаны на основе стоимостных объемов импорта в текущем году по каждому товару.</w:t>
      </w:r>
    </w:p>
  </w:footnote>
  <w:footnote w:id="4">
    <w:p w14:paraId="54E38B42" w14:textId="77777777" w:rsidR="00A24B55" w:rsidRDefault="00A24B55" w:rsidP="0047261E">
      <w:pPr>
        <w:pStyle w:val="affffffff1"/>
        <w:shd w:val="clear" w:color="auto" w:fill="auto"/>
        <w:tabs>
          <w:tab w:val="left" w:pos="314"/>
        </w:tabs>
        <w:jc w:val="left"/>
      </w:pPr>
      <w:r w:rsidRPr="00A03E9D">
        <w:rPr>
          <w:rFonts w:ascii="Times New Roman" w:hAnsi="Times New Roman" w:cs="Times New Roman"/>
          <w:sz w:val="18"/>
          <w:szCs w:val="18"/>
        </w:rPr>
        <w:t>3</w:t>
      </w:r>
      <w:r w:rsidRPr="00A03E9D">
        <w:rPr>
          <w:rFonts w:ascii="Times New Roman" w:hAnsi="Times New Roman" w:cs="Times New Roman"/>
          <w:sz w:val="18"/>
          <w:szCs w:val="18"/>
        </w:rPr>
        <w:tab/>
        <w:t>Индекс погрузки инвестиционных товаров железнодорожным транспортом рассчитан путем нормирования суммы погрузки трех типов грузов - строительных грузов, цемента, машин и оборудования.</w:t>
      </w:r>
    </w:p>
  </w:footnote>
  <w:footnote w:id="5">
    <w:p w14:paraId="386239BF" w14:textId="77777777" w:rsidR="00A24B55" w:rsidRDefault="00A24B55" w:rsidP="0047261E">
      <w:pPr>
        <w:pStyle w:val="affffffff1"/>
        <w:shd w:val="clear" w:color="auto" w:fill="auto"/>
        <w:spacing w:line="130" w:lineRule="exact"/>
        <w:jc w:val="left"/>
      </w:pPr>
      <w:r>
        <w:rPr>
          <w:vertAlign w:val="superscript"/>
        </w:rPr>
        <w:footnoteRef/>
      </w:r>
      <w:r>
        <w:t xml:space="preserve"> Инфляция, за исключением продовольствия, регулируемых цен и </w:t>
      </w:r>
      <w:proofErr w:type="gramStart"/>
      <w:r>
        <w:t>тарифов</w:t>
      </w:r>
      <w:proofErr w:type="gramEnd"/>
      <w:r>
        <w:t xml:space="preserve"> и подакцизной продукции.</w:t>
      </w:r>
    </w:p>
  </w:footnote>
  <w:footnote w:id="6">
    <w:p w14:paraId="2B4E14E7" w14:textId="77777777" w:rsidR="00A24B55" w:rsidRPr="008C315E" w:rsidRDefault="00A24B55" w:rsidP="008C315E">
      <w:pPr>
        <w:pStyle w:val="affffffff1"/>
        <w:shd w:val="clear" w:color="auto" w:fill="auto"/>
        <w:spacing w:line="240" w:lineRule="auto"/>
        <w:jc w:val="left"/>
        <w:rPr>
          <w:rFonts w:ascii="Times New Roman" w:hAnsi="Times New Roman" w:cs="Times New Roman"/>
          <w:sz w:val="20"/>
          <w:szCs w:val="20"/>
        </w:rPr>
      </w:pPr>
      <w:r w:rsidRPr="008C315E">
        <w:rPr>
          <w:rFonts w:ascii="Times New Roman" w:hAnsi="Times New Roman" w:cs="Times New Roman"/>
          <w:sz w:val="20"/>
          <w:szCs w:val="20"/>
          <w:vertAlign w:val="superscript"/>
        </w:rPr>
        <w:footnoteRef/>
      </w:r>
      <w:r w:rsidRPr="008C315E">
        <w:rPr>
          <w:rFonts w:ascii="Times New Roman" w:hAnsi="Times New Roman" w:cs="Times New Roman"/>
          <w:sz w:val="20"/>
          <w:szCs w:val="20"/>
        </w:rPr>
        <w:t xml:space="preserve"> Показатель, скорректированный на объем ликвидности в иностранной валюте, предоставленной Банком России кредитным организациям на возвратной основе, на сумму операций по корреспондентским счетам банков-резидентов в Банке России, а также на сумму средств в иностранной валюте, полученных Банком России в рамках операций валютный своп.</w:t>
      </w:r>
    </w:p>
  </w:footnote>
  <w:footnote w:id="7">
    <w:p w14:paraId="6D84A474" w14:textId="38B47F02" w:rsidR="00A24B55" w:rsidRPr="008C315E" w:rsidRDefault="00A24B55" w:rsidP="0047261E">
      <w:pPr>
        <w:pStyle w:val="affffffff1"/>
        <w:shd w:val="clear" w:color="auto" w:fill="auto"/>
        <w:spacing w:line="202" w:lineRule="exact"/>
        <w:jc w:val="left"/>
        <w:rPr>
          <w:rFonts w:ascii="Times New Roman" w:hAnsi="Times New Roman" w:cs="Times New Roman"/>
          <w:sz w:val="20"/>
          <w:szCs w:val="20"/>
        </w:rPr>
      </w:pPr>
      <w:r w:rsidRPr="008C315E">
        <w:rPr>
          <w:rFonts w:ascii="Times New Roman" w:hAnsi="Times New Roman" w:cs="Times New Roman"/>
          <w:sz w:val="20"/>
          <w:szCs w:val="20"/>
          <w:vertAlign w:val="superscript"/>
        </w:rPr>
        <w:footnoteRef/>
      </w:r>
      <w:r w:rsidRPr="008C315E">
        <w:rPr>
          <w:rFonts w:ascii="Times New Roman" w:hAnsi="Times New Roman" w:cs="Times New Roman"/>
          <w:sz w:val="20"/>
          <w:szCs w:val="20"/>
        </w:rPr>
        <w:t xml:space="preserve"> Здесь и далее объемные показатели, и темпы роста кредитов и депозитов приводятся с исключением валютной переоценки, где это применимо.</w:t>
      </w:r>
    </w:p>
  </w:footnote>
  <w:footnote w:id="8">
    <w:p w14:paraId="14A5DB5F" w14:textId="2D7F91B4" w:rsidR="00A24B55" w:rsidRDefault="00A24B55" w:rsidP="0047261E">
      <w:pPr>
        <w:pStyle w:val="afb"/>
      </w:pPr>
      <w:r w:rsidRPr="00F71680">
        <w:rPr>
          <w:rStyle w:val="afd"/>
        </w:rPr>
        <w:footnoteRef/>
      </w:r>
      <w:r w:rsidRPr="00F71680">
        <w:t xml:space="preserve"> </w:t>
      </w:r>
      <w:r w:rsidRPr="00CF779D">
        <w:rPr>
          <w:rFonts w:ascii="Times New Roman" w:hAnsi="Times New Roman" w:cs="Times New Roman"/>
        </w:rPr>
        <w:t>https://ru.wikipedia.org/wiki/%D0%AF%D0%BA%D1%83%D1%82%D0%B8%D1%8F#/media/%D0%A4%D0%B0%D0%B9%D0%BB:Map_of_Russia_-_Sakha_(Yakutia)_(Crimea_disputed).svg</w:t>
      </w:r>
    </w:p>
  </w:footnote>
  <w:footnote w:id="9">
    <w:p w14:paraId="39DD8E46" w14:textId="77777777" w:rsidR="00A24B55" w:rsidRPr="008C315E" w:rsidRDefault="00A24B55" w:rsidP="0047261E">
      <w:pPr>
        <w:pStyle w:val="afb"/>
        <w:rPr>
          <w:rFonts w:ascii="Times New Roman" w:hAnsi="Times New Roman" w:cs="Times New Roman"/>
          <w:sz w:val="18"/>
          <w:szCs w:val="18"/>
        </w:rPr>
      </w:pPr>
      <w:r w:rsidRPr="008C315E">
        <w:rPr>
          <w:rStyle w:val="afd"/>
          <w:rFonts w:ascii="Times New Roman" w:hAnsi="Times New Roman" w:cs="Times New Roman"/>
        </w:rPr>
        <w:footnoteRef/>
      </w:r>
      <w:r w:rsidRPr="008C315E">
        <w:rPr>
          <w:rFonts w:ascii="Times New Roman" w:hAnsi="Times New Roman" w:cs="Times New Roman"/>
        </w:rPr>
        <w:t xml:space="preserve"> http://www.gks.ru/dbscripts/munst/munst98/DBInet.cgi</w:t>
      </w:r>
    </w:p>
  </w:footnote>
  <w:footnote w:id="10">
    <w:p w14:paraId="03A7E734" w14:textId="77777777" w:rsidR="00A24B55" w:rsidRPr="008C315E" w:rsidRDefault="00A24B55" w:rsidP="0047261E">
      <w:pPr>
        <w:pStyle w:val="afb"/>
        <w:rPr>
          <w:rFonts w:ascii="Times New Roman" w:hAnsi="Times New Roman" w:cs="Times New Roman"/>
        </w:rPr>
      </w:pPr>
      <w:r w:rsidRPr="008C315E">
        <w:rPr>
          <w:rStyle w:val="afd"/>
          <w:rFonts w:ascii="Times New Roman" w:hAnsi="Times New Roman" w:cs="Times New Roman"/>
        </w:rPr>
        <w:footnoteRef/>
      </w:r>
      <w:r w:rsidRPr="008C315E">
        <w:rPr>
          <w:rFonts w:ascii="Times New Roman" w:hAnsi="Times New Roman" w:cs="Times New Roman"/>
        </w:rPr>
        <w:t xml:space="preserve"> Макроэкономический обзор, ГАУ ЦСИ РС (Я), № 4-2018 г.</w:t>
      </w:r>
    </w:p>
  </w:footnote>
  <w:footnote w:id="11">
    <w:p w14:paraId="5B5D6C36" w14:textId="77777777" w:rsidR="00A24B55" w:rsidRPr="005747C1" w:rsidRDefault="00A24B55" w:rsidP="0047261E">
      <w:pPr>
        <w:ind w:firstLine="0"/>
        <w:rPr>
          <w:sz w:val="20"/>
          <w:szCs w:val="20"/>
        </w:rPr>
      </w:pPr>
      <w:r w:rsidRPr="005747C1">
        <w:rPr>
          <w:sz w:val="20"/>
          <w:szCs w:val="20"/>
        </w:rPr>
        <w:t>Х) Темпы роста (снижения) приведены в сопоставимых ценах</w:t>
      </w:r>
    </w:p>
    <w:p w14:paraId="2A0D47E8" w14:textId="77777777" w:rsidR="00A24B55" w:rsidRPr="008C315E" w:rsidRDefault="00A24B55" w:rsidP="0047261E">
      <w:pPr>
        <w:pStyle w:val="afb"/>
        <w:jc w:val="both"/>
        <w:rPr>
          <w:rFonts w:ascii="Times New Roman" w:hAnsi="Times New Roman" w:cs="Times New Roman"/>
        </w:rPr>
      </w:pPr>
      <w:r w:rsidRPr="008C315E">
        <w:rPr>
          <w:rStyle w:val="afd"/>
          <w:rFonts w:ascii="Times New Roman" w:hAnsi="Times New Roman" w:cs="Times New Roman"/>
        </w:rPr>
        <w:footnoteRef/>
      </w:r>
      <w:r w:rsidRPr="008C315E">
        <w:rPr>
          <w:rFonts w:ascii="Times New Roman" w:hAnsi="Times New Roman" w:cs="Times New Roman"/>
        </w:rPr>
        <w:t xml:space="preserve"> Индекс промышленного производства агрегирует индексы производства продукции по видам экономической деятельности, входящим в разделы В «Добыча полезных ископаемых», С «Обрабатывающие производства», D «Обеспечение электрической энергией, газом и паром, кондиционирование воздуха», E «Водоснабжение, водоотведение, организация сбора и утилизации отходов, деятельность п ликвидации загрязнений».</w:t>
      </w:r>
    </w:p>
  </w:footnote>
  <w:footnote w:id="12">
    <w:p w14:paraId="5A8C6586" w14:textId="77777777" w:rsidR="00A24B55" w:rsidRPr="008C315E" w:rsidRDefault="00A24B55" w:rsidP="0047261E">
      <w:pPr>
        <w:pStyle w:val="afb"/>
        <w:jc w:val="both"/>
        <w:rPr>
          <w:rFonts w:ascii="Times New Roman" w:hAnsi="Times New Roman" w:cs="Times New Roman"/>
        </w:rPr>
      </w:pPr>
      <w:r w:rsidRPr="008C315E">
        <w:rPr>
          <w:rStyle w:val="afd"/>
          <w:rFonts w:ascii="Times New Roman" w:hAnsi="Times New Roman" w:cs="Times New Roman"/>
        </w:rPr>
        <w:footnoteRef/>
      </w:r>
      <w:r w:rsidRPr="008C315E">
        <w:rPr>
          <w:rFonts w:ascii="Times New Roman" w:hAnsi="Times New Roman" w:cs="Times New Roman"/>
        </w:rPr>
        <w:t xml:space="preserve"> По данным ФТС России на 17.12.2018 года. Итоги внешней торговли распределены между субъектами РФ по месту регистрации участников внешнеэкономической деятельности с учетом сведений о данных взаимной торговли со странами ЕАЭС. Данные приведены за январь-сентябрь соответствующего года.</w:t>
      </w:r>
    </w:p>
  </w:footnote>
  <w:footnote w:id="13">
    <w:p w14:paraId="571FA224" w14:textId="77777777" w:rsidR="00A24B55" w:rsidRPr="008C315E" w:rsidRDefault="00A24B55" w:rsidP="0047261E">
      <w:pPr>
        <w:pStyle w:val="afb"/>
        <w:jc w:val="both"/>
        <w:rPr>
          <w:rFonts w:ascii="Times New Roman" w:hAnsi="Times New Roman" w:cs="Times New Roman"/>
        </w:rPr>
      </w:pPr>
      <w:r w:rsidRPr="008C315E">
        <w:rPr>
          <w:rStyle w:val="afd"/>
          <w:rFonts w:ascii="Times New Roman" w:hAnsi="Times New Roman" w:cs="Times New Roman"/>
        </w:rPr>
        <w:footnoteRef/>
      </w:r>
      <w:r w:rsidRPr="008C315E">
        <w:rPr>
          <w:rFonts w:ascii="Times New Roman" w:hAnsi="Times New Roman" w:cs="Times New Roman"/>
        </w:rPr>
        <w:t xml:space="preserve"> Оценка произведена в рамках региональной статистики с учетом субъектов малого предпринимательства, инвестиций, не наблюдаемых прямыми статистическими методами; для оперативного использования.</w:t>
      </w:r>
    </w:p>
  </w:footnote>
  <w:footnote w:id="14">
    <w:p w14:paraId="739C1E76" w14:textId="77777777" w:rsidR="00A24B55" w:rsidRPr="008C315E" w:rsidRDefault="00A24B55" w:rsidP="0047261E">
      <w:pPr>
        <w:ind w:firstLine="0"/>
        <w:rPr>
          <w:rFonts w:cs="Times New Roman"/>
          <w:sz w:val="20"/>
          <w:szCs w:val="20"/>
        </w:rPr>
      </w:pPr>
      <w:r w:rsidRPr="008C315E">
        <w:rPr>
          <w:rStyle w:val="afd"/>
          <w:rFonts w:cs="Times New Roman"/>
          <w:sz w:val="20"/>
          <w:szCs w:val="20"/>
        </w:rPr>
        <w:footnoteRef/>
      </w:r>
      <w:r w:rsidRPr="008C315E">
        <w:rPr>
          <w:rFonts w:cs="Times New Roman"/>
          <w:sz w:val="20"/>
          <w:szCs w:val="20"/>
        </w:rPr>
        <w:t xml:space="preserve"> Данные уточнены на основании утвержденных итогов 2017 года.</w:t>
      </w:r>
    </w:p>
  </w:footnote>
  <w:footnote w:id="15">
    <w:p w14:paraId="47497779" w14:textId="77777777" w:rsidR="00A24B55" w:rsidRPr="008C315E" w:rsidRDefault="00A24B55" w:rsidP="0047261E">
      <w:pPr>
        <w:ind w:firstLine="0"/>
        <w:rPr>
          <w:rFonts w:cs="Times New Roman"/>
          <w:sz w:val="20"/>
          <w:szCs w:val="20"/>
        </w:rPr>
      </w:pPr>
      <w:r w:rsidRPr="008C315E">
        <w:rPr>
          <w:rStyle w:val="afd"/>
          <w:rFonts w:cs="Times New Roman"/>
          <w:sz w:val="20"/>
          <w:szCs w:val="20"/>
        </w:rPr>
        <w:footnoteRef/>
      </w:r>
      <w:r w:rsidRPr="008C315E">
        <w:rPr>
          <w:rFonts w:cs="Times New Roman"/>
          <w:sz w:val="20"/>
          <w:szCs w:val="20"/>
        </w:rPr>
        <w:t xml:space="preserve"> Данные приведены за январь-ноябрь соответствующего года.</w:t>
      </w:r>
    </w:p>
  </w:footnote>
  <w:footnote w:id="16">
    <w:p w14:paraId="6879384B" w14:textId="77777777" w:rsidR="00A24B55" w:rsidRPr="008C315E" w:rsidRDefault="00A24B55" w:rsidP="0047261E">
      <w:pPr>
        <w:pStyle w:val="afb"/>
        <w:jc w:val="both"/>
        <w:rPr>
          <w:rFonts w:ascii="Times New Roman" w:hAnsi="Times New Roman" w:cs="Times New Roman"/>
        </w:rPr>
      </w:pPr>
      <w:r w:rsidRPr="008C315E">
        <w:rPr>
          <w:rStyle w:val="afd"/>
          <w:rFonts w:ascii="Times New Roman" w:hAnsi="Times New Roman" w:cs="Times New Roman"/>
        </w:rPr>
        <w:footnoteRef/>
      </w:r>
      <w:r w:rsidRPr="008C315E">
        <w:rPr>
          <w:rFonts w:ascii="Times New Roman" w:hAnsi="Times New Roman" w:cs="Times New Roman"/>
        </w:rPr>
        <w:t xml:space="preserve"> По данным Отделения Пенсионного Фонда РФ по РС (Я). Данные приведены на 01.10. соответствующего года</w:t>
      </w:r>
    </w:p>
  </w:footnote>
  <w:footnote w:id="17">
    <w:p w14:paraId="0D717F33" w14:textId="77777777" w:rsidR="00A24B55" w:rsidRPr="008C315E" w:rsidRDefault="00A24B55" w:rsidP="0047261E">
      <w:pPr>
        <w:pStyle w:val="afb"/>
        <w:jc w:val="both"/>
        <w:rPr>
          <w:rFonts w:ascii="Times New Roman" w:hAnsi="Times New Roman" w:cs="Times New Roman"/>
        </w:rPr>
      </w:pPr>
      <w:r w:rsidRPr="008C315E">
        <w:rPr>
          <w:rStyle w:val="afd"/>
          <w:rFonts w:ascii="Times New Roman" w:hAnsi="Times New Roman" w:cs="Times New Roman"/>
        </w:rPr>
        <w:footnoteRef/>
      </w:r>
      <w:r w:rsidRPr="008C315E">
        <w:rPr>
          <w:rFonts w:ascii="Times New Roman" w:hAnsi="Times New Roman" w:cs="Times New Roman"/>
        </w:rPr>
        <w:t xml:space="preserve"> Численность является средней за три месяца</w:t>
      </w:r>
    </w:p>
  </w:footnote>
  <w:footnote w:id="18">
    <w:p w14:paraId="562974DC" w14:textId="77777777" w:rsidR="00A24B55" w:rsidRPr="008C315E" w:rsidRDefault="00A24B55" w:rsidP="0047261E">
      <w:pPr>
        <w:ind w:firstLine="0"/>
        <w:rPr>
          <w:rFonts w:cs="Times New Roman"/>
          <w:sz w:val="20"/>
          <w:szCs w:val="20"/>
        </w:rPr>
      </w:pPr>
      <w:r w:rsidRPr="008C315E">
        <w:rPr>
          <w:rStyle w:val="afd"/>
          <w:rFonts w:cs="Times New Roman"/>
          <w:sz w:val="20"/>
          <w:szCs w:val="20"/>
        </w:rPr>
        <w:footnoteRef/>
      </w:r>
      <w:r w:rsidRPr="008C315E">
        <w:rPr>
          <w:rFonts w:cs="Times New Roman"/>
          <w:sz w:val="20"/>
          <w:szCs w:val="20"/>
        </w:rPr>
        <w:t>. Показатель рассчитан по численности рабочей силы, занятых и безработных в возрасте 15-72 лет.</w:t>
      </w:r>
    </w:p>
  </w:footnote>
  <w:footnote w:id="19">
    <w:p w14:paraId="0F74F1A5" w14:textId="77777777" w:rsidR="00A24B55" w:rsidRPr="00441FAD" w:rsidRDefault="00A24B55" w:rsidP="0047261E">
      <w:pPr>
        <w:ind w:firstLine="0"/>
      </w:pPr>
      <w:r w:rsidRPr="008C315E">
        <w:rPr>
          <w:rStyle w:val="afd"/>
          <w:rFonts w:cs="Times New Roman"/>
          <w:sz w:val="20"/>
          <w:szCs w:val="20"/>
        </w:rPr>
        <w:footnoteRef/>
      </w:r>
      <w:r w:rsidRPr="008C315E">
        <w:rPr>
          <w:rFonts w:cs="Times New Roman"/>
          <w:sz w:val="20"/>
          <w:szCs w:val="20"/>
        </w:rPr>
        <w:t xml:space="preserve"> По данным Государственного комитета РС (Я) по занятости населения.</w:t>
      </w:r>
    </w:p>
  </w:footnote>
  <w:footnote w:id="20">
    <w:p w14:paraId="5C6D9FF3" w14:textId="7B02469F" w:rsidR="00A24B55" w:rsidRDefault="00A24B55" w:rsidP="00877D91">
      <w:pPr>
        <w:spacing w:before="120" w:after="120"/>
        <w:ind w:firstLine="0"/>
        <w:jc w:val="center"/>
        <w:rPr>
          <w:sz w:val="20"/>
          <w:szCs w:val="20"/>
        </w:rPr>
      </w:pPr>
      <w:r>
        <w:rPr>
          <w:rStyle w:val="afd"/>
        </w:rPr>
        <w:footnoteRef/>
      </w:r>
      <w:r>
        <w:t xml:space="preserve"> </w:t>
      </w:r>
      <w:r w:rsidRPr="00CF779D">
        <w:t>http://sakha.gks.ru/wps/wcm/connect/rosstat_ts/sakha/ru/statistics/prices/</w:t>
      </w:r>
    </w:p>
  </w:footnote>
  <w:footnote w:id="21">
    <w:p w14:paraId="2CEA8C37" w14:textId="26A9DED5" w:rsidR="00A24B55" w:rsidRDefault="00A24B55" w:rsidP="005A6921">
      <w:pPr>
        <w:shd w:val="clear" w:color="auto" w:fill="F8F8F8"/>
        <w:autoSpaceDE w:val="0"/>
        <w:autoSpaceDN w:val="0"/>
        <w:adjustRightInd w:val="0"/>
        <w:ind w:left="150" w:right="150" w:firstLine="0"/>
        <w:jc w:val="left"/>
        <w:rPr>
          <w:rFonts w:ascii="Segoe UI" w:hAnsi="Segoe UI" w:cs="Segoe UI"/>
          <w:sz w:val="20"/>
          <w:szCs w:val="24"/>
          <w:lang w:val="x-none"/>
        </w:rPr>
      </w:pPr>
      <w:r>
        <w:rPr>
          <w:rStyle w:val="afd"/>
          <w:sz w:val="20"/>
        </w:rPr>
        <w:footnoteRef/>
      </w:r>
      <w:r>
        <w:rPr>
          <w:sz w:val="20"/>
        </w:rPr>
        <w:t xml:space="preserve"> </w:t>
      </w:r>
      <w:r w:rsidRPr="00CF779D">
        <w:rPr>
          <w:rFonts w:ascii="Segoe UI" w:hAnsi="Segoe UI" w:cs="Segoe UI"/>
          <w:sz w:val="20"/>
          <w:szCs w:val="24"/>
          <w:lang w:val="x-none"/>
        </w:rPr>
        <w:t>http://уровень-инфляции.рф/таблица_инфляции.aspx</w:t>
      </w:r>
    </w:p>
  </w:footnote>
  <w:footnote w:id="22">
    <w:p w14:paraId="50EC87EE" w14:textId="77777777" w:rsidR="00A24B55" w:rsidRPr="009B5355" w:rsidRDefault="00A24B55" w:rsidP="000E4223">
      <w:pPr>
        <w:shd w:val="clear" w:color="auto" w:fill="F8F8F8"/>
        <w:autoSpaceDE w:val="0"/>
        <w:autoSpaceDN w:val="0"/>
        <w:adjustRightInd w:val="0"/>
        <w:ind w:left="150" w:right="150" w:firstLine="0"/>
        <w:jc w:val="left"/>
        <w:rPr>
          <w:rFonts w:cs="Times New Roman"/>
          <w:sz w:val="20"/>
          <w:szCs w:val="20"/>
          <w:lang w:val="x-none"/>
        </w:rPr>
      </w:pPr>
      <w:r w:rsidRPr="009B5355">
        <w:rPr>
          <w:rStyle w:val="afd"/>
          <w:rFonts w:cs="Times New Roman"/>
          <w:sz w:val="20"/>
          <w:szCs w:val="20"/>
        </w:rPr>
        <w:footnoteRef/>
      </w:r>
      <w:r w:rsidRPr="009B5355">
        <w:rPr>
          <w:rFonts w:cs="Times New Roman"/>
          <w:sz w:val="20"/>
          <w:szCs w:val="20"/>
        </w:rPr>
        <w:t xml:space="preserve"> </w:t>
      </w:r>
      <w:hyperlink r:id="rId1" w:history="1">
        <w:r w:rsidRPr="009B5355">
          <w:rPr>
            <w:rFonts w:cs="Times New Roman"/>
            <w:sz w:val="20"/>
            <w:szCs w:val="20"/>
            <w:lang w:val="x-none"/>
          </w:rPr>
          <w:t>http://уровень-инфляции.рф/таблица_инфляции.aspx</w:t>
        </w:r>
      </w:hyperlink>
    </w:p>
  </w:footnote>
  <w:footnote w:id="23">
    <w:p w14:paraId="46688008" w14:textId="77777777" w:rsidR="00A24B55" w:rsidRPr="00727235" w:rsidRDefault="00A24B55" w:rsidP="00727235">
      <w:r w:rsidRPr="00727235">
        <w:footnoteRef/>
      </w:r>
      <w:r w:rsidRPr="00727235">
        <w:t xml:space="preserve"> Большев Л.Н., Смирнов Н.В. Таблицы математической статистики. М., Наука, 1983.</w:t>
      </w:r>
    </w:p>
  </w:footnote>
  <w:footnote w:id="24">
    <w:p w14:paraId="32047EBC" w14:textId="77777777" w:rsidR="00A24B55" w:rsidRPr="00942A53" w:rsidRDefault="00A24B55" w:rsidP="00727235">
      <w:pPr>
        <w:rPr>
          <w:sz w:val="20"/>
          <w:szCs w:val="20"/>
        </w:rPr>
      </w:pPr>
      <w:r w:rsidRPr="00942A53">
        <w:rPr>
          <w:sz w:val="20"/>
          <w:szCs w:val="20"/>
        </w:rPr>
        <w:footnoteRef/>
      </w:r>
      <w:r w:rsidRPr="00942A53">
        <w:rPr>
          <w:sz w:val="20"/>
          <w:szCs w:val="20"/>
        </w:rPr>
        <w:t xml:space="preserve"> С.В. Грибовский, Н.П. Баринов, ОЦЕНКА НЕДВИЖИМОСТИ ДЛЯ НАЛОГООБЛОЖЕНИЯ // Журнал «Имущественные отношения в Российской Федерации», № 5 (56), 2006, с.96-106, №6 (57), 2006, с.66-82, №7 (58) 2006, с.85-105</w:t>
      </w:r>
    </w:p>
  </w:footnote>
  <w:footnote w:id="25">
    <w:p w14:paraId="717EC53D" w14:textId="77777777" w:rsidR="00A24B55" w:rsidRPr="00942A53" w:rsidRDefault="00A24B55" w:rsidP="00727235">
      <w:pPr>
        <w:rPr>
          <w:sz w:val="20"/>
          <w:szCs w:val="20"/>
          <w:lang w:val="en-US"/>
        </w:rPr>
      </w:pPr>
      <w:r w:rsidRPr="00942A53">
        <w:rPr>
          <w:sz w:val="20"/>
          <w:szCs w:val="20"/>
        </w:rPr>
        <w:footnoteRef/>
      </w:r>
      <w:r w:rsidRPr="00942A53">
        <w:rPr>
          <w:sz w:val="20"/>
          <w:szCs w:val="20"/>
          <w:lang w:val="en-US"/>
        </w:rPr>
        <w:t xml:space="preserve"> Standard on Mass Appraisal of Real Property, 2013</w:t>
      </w:r>
    </w:p>
  </w:footnote>
  <w:footnote w:id="26">
    <w:p w14:paraId="2761B849" w14:textId="77777777" w:rsidR="00A24B55" w:rsidRPr="00727235" w:rsidRDefault="00A24B55" w:rsidP="00727235">
      <w:pPr>
        <w:rPr>
          <w:lang w:val="en-US"/>
        </w:rPr>
      </w:pPr>
      <w:r w:rsidRPr="00942A53">
        <w:rPr>
          <w:sz w:val="20"/>
          <w:szCs w:val="20"/>
        </w:rPr>
        <w:footnoteRef/>
      </w:r>
      <w:r w:rsidRPr="00942A53">
        <w:rPr>
          <w:sz w:val="20"/>
          <w:szCs w:val="20"/>
          <w:lang w:val="en-US"/>
        </w:rPr>
        <w:t xml:space="preserve"> Standard on Mass Appraisal of Real Property, 2013</w:t>
      </w:r>
    </w:p>
  </w:footnote>
  <w:footnote w:id="27">
    <w:p w14:paraId="6AE79D90" w14:textId="77777777" w:rsidR="00A24B55" w:rsidRPr="00942A53" w:rsidRDefault="00A24B55" w:rsidP="00727235">
      <w:pPr>
        <w:rPr>
          <w:sz w:val="20"/>
          <w:szCs w:val="20"/>
        </w:rPr>
      </w:pPr>
      <w:r w:rsidRPr="00942A53">
        <w:rPr>
          <w:sz w:val="20"/>
          <w:szCs w:val="20"/>
        </w:rPr>
        <w:footnoteRef/>
      </w:r>
      <w:r w:rsidRPr="00942A53">
        <w:rPr>
          <w:sz w:val="20"/>
          <w:szCs w:val="20"/>
        </w:rPr>
        <w:t xml:space="preserve"> При написании раздела так же использовалась следующая литература:</w:t>
      </w:r>
    </w:p>
    <w:p w14:paraId="52947D5F" w14:textId="77777777" w:rsidR="00A24B55" w:rsidRPr="00942A53" w:rsidRDefault="00A24B55" w:rsidP="00727235">
      <w:pPr>
        <w:rPr>
          <w:sz w:val="20"/>
          <w:szCs w:val="20"/>
        </w:rPr>
      </w:pPr>
      <w:r w:rsidRPr="00942A53">
        <w:rPr>
          <w:sz w:val="20"/>
          <w:szCs w:val="20"/>
        </w:rPr>
        <w:t>1. С.А. Айвазян, В.С. Мхитарян. Прикладная статистика и основы эконометрики. М., «ЮНИТИ», 1998.</w:t>
      </w:r>
    </w:p>
    <w:p w14:paraId="259A7A42" w14:textId="77777777" w:rsidR="00A24B55" w:rsidRPr="00942A53" w:rsidRDefault="00A24B55" w:rsidP="00727235">
      <w:pPr>
        <w:rPr>
          <w:sz w:val="20"/>
          <w:szCs w:val="20"/>
        </w:rPr>
      </w:pPr>
      <w:r w:rsidRPr="00942A53">
        <w:rPr>
          <w:sz w:val="20"/>
          <w:szCs w:val="20"/>
        </w:rPr>
        <w:t>2. Н. Дрейпер, Г.Смит. Прикладной регрессионный анализ. М., «Вильямс, Диалектика», 2007.</w:t>
      </w:r>
    </w:p>
    <w:p w14:paraId="3250FA2A" w14:textId="77777777" w:rsidR="00A24B55" w:rsidRPr="00942A53" w:rsidRDefault="00A24B55" w:rsidP="00727235">
      <w:pPr>
        <w:rPr>
          <w:sz w:val="20"/>
          <w:szCs w:val="20"/>
        </w:rPr>
      </w:pPr>
      <w:r w:rsidRPr="00942A53">
        <w:rPr>
          <w:sz w:val="20"/>
          <w:szCs w:val="20"/>
        </w:rPr>
        <w:t>3. Макарова Н.В., Трофимец В.Я. Статистика в Excel: Учебное пособие. – М.: Финансы и статистика, 2002.</w:t>
      </w:r>
    </w:p>
    <w:p w14:paraId="6799DBF9" w14:textId="77777777" w:rsidR="00A24B55" w:rsidRPr="00942A53" w:rsidRDefault="00A24B55" w:rsidP="00727235">
      <w:pPr>
        <w:rPr>
          <w:sz w:val="20"/>
          <w:szCs w:val="20"/>
        </w:rPr>
      </w:pPr>
      <w:r w:rsidRPr="00942A53">
        <w:rPr>
          <w:sz w:val="20"/>
          <w:szCs w:val="20"/>
        </w:rPr>
        <w:t>4. А.М. Дубров, В.С.Мхитарян, Л.И.Трошин. Многомерные статистические методы. М., «Финансы и статистика», 1998.</w:t>
      </w:r>
    </w:p>
    <w:p w14:paraId="1498BA93" w14:textId="77777777" w:rsidR="00A24B55" w:rsidRPr="00727235" w:rsidRDefault="00A24B55" w:rsidP="00727235"/>
  </w:footnote>
  <w:footnote w:id="28">
    <w:p w14:paraId="423A4815" w14:textId="77777777" w:rsidR="00A24B55" w:rsidRPr="00C428B5" w:rsidRDefault="00A24B55" w:rsidP="00727235">
      <w:pPr>
        <w:rPr>
          <w:sz w:val="20"/>
          <w:szCs w:val="20"/>
        </w:rPr>
      </w:pPr>
      <w:r w:rsidRPr="00C428B5">
        <w:rPr>
          <w:sz w:val="20"/>
          <w:szCs w:val="20"/>
        </w:rPr>
        <w:footnoteRef/>
      </w:r>
      <w:r w:rsidRPr="00C428B5">
        <w:rPr>
          <w:sz w:val="20"/>
          <w:szCs w:val="20"/>
        </w:rPr>
        <w:t xml:space="preserve"> При написании раздела так же использовалась следующая литература:</w:t>
      </w:r>
    </w:p>
    <w:p w14:paraId="50EC2DB0" w14:textId="77777777" w:rsidR="00A24B55" w:rsidRPr="00C428B5" w:rsidRDefault="00A24B55" w:rsidP="00727235">
      <w:pPr>
        <w:rPr>
          <w:sz w:val="20"/>
          <w:szCs w:val="20"/>
        </w:rPr>
      </w:pPr>
      <w:r w:rsidRPr="00C428B5">
        <w:rPr>
          <w:sz w:val="20"/>
          <w:szCs w:val="20"/>
        </w:rPr>
        <w:t>1. С.А. Айвазян, В.С. Мхитарян. Прикладная статистика и основы эконометрики. М., «ЮНИТИ», 1998.</w:t>
      </w:r>
    </w:p>
    <w:p w14:paraId="0FA18D89" w14:textId="77777777" w:rsidR="00A24B55" w:rsidRPr="00C428B5" w:rsidRDefault="00A24B55" w:rsidP="00727235">
      <w:pPr>
        <w:rPr>
          <w:sz w:val="20"/>
          <w:szCs w:val="20"/>
        </w:rPr>
      </w:pPr>
      <w:r w:rsidRPr="00C428B5">
        <w:rPr>
          <w:sz w:val="20"/>
          <w:szCs w:val="20"/>
        </w:rPr>
        <w:t>2. Н. Дрейпер, Г.Смит. Прикладной регрессионный анализ. М., «Вильямс, Диалектика», 2007.</w:t>
      </w:r>
    </w:p>
    <w:p w14:paraId="43BF7705" w14:textId="77777777" w:rsidR="00A24B55" w:rsidRPr="00C428B5" w:rsidRDefault="00A24B55" w:rsidP="00727235">
      <w:pPr>
        <w:rPr>
          <w:sz w:val="20"/>
          <w:szCs w:val="20"/>
        </w:rPr>
      </w:pPr>
      <w:r w:rsidRPr="00C428B5">
        <w:rPr>
          <w:sz w:val="20"/>
          <w:szCs w:val="20"/>
        </w:rPr>
        <w:t>3. Макарова Н.В., Трофимец В.Я. Статистика в Excel: Учебное пособие. – М.: Финансы и статистика, 2002.</w:t>
      </w:r>
    </w:p>
    <w:p w14:paraId="2345C1C7" w14:textId="77777777" w:rsidR="00A24B55" w:rsidRPr="00727235" w:rsidRDefault="00A24B55" w:rsidP="00727235">
      <w:r w:rsidRPr="00C428B5">
        <w:rPr>
          <w:sz w:val="20"/>
          <w:szCs w:val="20"/>
        </w:rPr>
        <w:t>4. А.М. Дубров, В.С.Мхитарян, Л.И.Трошин. Многомерные статистические методы. М., «Финансы и статистика», 1998.</w:t>
      </w:r>
    </w:p>
  </w:footnote>
  <w:footnote w:id="29">
    <w:p w14:paraId="65D4EE2D" w14:textId="77777777" w:rsidR="00A24B55" w:rsidRPr="005B4FB6" w:rsidRDefault="00A24B55" w:rsidP="00322AE9">
      <w:pPr>
        <w:rPr>
          <w:sz w:val="16"/>
          <w:szCs w:val="16"/>
        </w:rPr>
      </w:pPr>
      <w:r w:rsidRPr="00FD3026">
        <w:rPr>
          <w:rStyle w:val="afd"/>
          <w:rFonts w:eastAsia="MS ??"/>
        </w:rPr>
        <w:footnoteRef/>
      </w:r>
      <w:r w:rsidRPr="00FD3026">
        <w:rPr>
          <w:sz w:val="20"/>
        </w:rPr>
        <w:t xml:space="preserve"> </w:t>
      </w:r>
      <w:r w:rsidRPr="00236BBE">
        <w:rPr>
          <w:sz w:val="16"/>
          <w:szCs w:val="16"/>
        </w:rPr>
        <w:t>СНиП 31-06-2009 Строительные нормы и правила. Общественные здания и сооружения.</w:t>
      </w:r>
    </w:p>
  </w:footnote>
  <w:footnote w:id="30">
    <w:p w14:paraId="34C22F28" w14:textId="77777777" w:rsidR="00A24B55" w:rsidRDefault="00A24B55" w:rsidP="00322AE9">
      <w:r>
        <w:rPr>
          <w:rStyle w:val="afd"/>
        </w:rPr>
        <w:footnoteRef/>
      </w:r>
      <w:r>
        <w:rPr>
          <w:i/>
          <w:sz w:val="20"/>
          <w:szCs w:val="20"/>
        </w:rPr>
        <w:t>Источник: Методические указания о государственной кадастровой оценке</w:t>
      </w:r>
      <w:r>
        <w:rPr>
          <w:bCs/>
          <w:i/>
          <w:sz w:val="20"/>
          <w:szCs w:val="20"/>
        </w:rPr>
        <w:t xml:space="preserve"> № 226 от 12.05.2017.</w:t>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5285269" w14:textId="77777777" w:rsidR="00A24B55" w:rsidRPr="0082383C" w:rsidRDefault="00A24B55" w:rsidP="0082383C">
    <w:pPr>
      <w:pStyle w:val="a7"/>
      <w:ind w:firstLine="0"/>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627A34B" w14:textId="77777777" w:rsidR="00A24B55" w:rsidRPr="00727235" w:rsidRDefault="00A24B55" w:rsidP="00727235"/>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AB35830" w14:textId="77777777" w:rsidR="00A24B55" w:rsidRPr="00727235" w:rsidRDefault="00A24B55" w:rsidP="00727235"/>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0F67A46" w14:textId="77777777" w:rsidR="00A24B55" w:rsidRPr="00727235" w:rsidRDefault="00A24B55" w:rsidP="00727235"/>
</w:hdr>
</file>

<file path=word/header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5812075" w14:textId="77777777" w:rsidR="00A24B55" w:rsidRPr="00CA6B2F" w:rsidRDefault="00A24B55" w:rsidP="00322AE9">
    <w:pPr>
      <w:tabs>
        <w:tab w:val="center" w:pos="4677"/>
      </w:tabs>
      <w:ind w:firstLine="0"/>
      <w:jc w:val="center"/>
      <w:rPr>
        <w:i/>
        <w:color w:val="262626"/>
        <w:sz w:val="18"/>
        <w:szCs w:val="18"/>
      </w:rPr>
    </w:pPr>
  </w:p>
  <w:p w14:paraId="15C6DBC2" w14:textId="77777777" w:rsidR="00A24B55" w:rsidRDefault="00A24B55"/>
</w:hdr>
</file>

<file path=word/header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9699D30" w14:textId="77777777" w:rsidR="00A24B55" w:rsidRDefault="00A24B55"/>
</w:hdr>
</file>

<file path=word/header7.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98AB404" w14:textId="77777777" w:rsidR="00A24B55" w:rsidRDefault="00A24B55" w:rsidP="00322AE9">
    <w:pPr>
      <w:pStyle w:val="a7"/>
    </w:pPr>
  </w:p>
</w:hdr>
</file>

<file path=word/header8.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1FEC684" w14:textId="77777777" w:rsidR="00A24B55" w:rsidRPr="00625ED5" w:rsidRDefault="00A24B55" w:rsidP="00625ED5">
    <w:pPr>
      <w:pStyle w:val="a7"/>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315A18"/>
    <w:multiLevelType w:val="hybridMultilevel"/>
    <w:tmpl w:val="253E0782"/>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 w15:restartNumberingAfterBreak="0">
    <w:nsid w:val="017E6591"/>
    <w:multiLevelType w:val="multilevel"/>
    <w:tmpl w:val="5A40BC34"/>
    <w:lvl w:ilvl="0">
      <w:start w:val="1"/>
      <w:numFmt w:val="bullet"/>
      <w:lvlText w:val="­"/>
      <w:lvlJc w:val="left"/>
      <w:pPr>
        <w:ind w:left="1412" w:hanging="360"/>
      </w:pPr>
      <w:rPr>
        <w:rFonts w:ascii="Courier New" w:hAnsi="Courier New" w:cs="Courier New" w:hint="default"/>
        <w:color w:val="auto"/>
      </w:rPr>
    </w:lvl>
    <w:lvl w:ilvl="1">
      <w:numFmt w:val="bullet"/>
      <w:lvlText w:val="o"/>
      <w:lvlJc w:val="left"/>
      <w:pPr>
        <w:ind w:left="2132" w:hanging="360"/>
      </w:pPr>
      <w:rPr>
        <w:rFonts w:ascii="Courier New" w:hAnsi="Courier New" w:cs="Courier New"/>
      </w:rPr>
    </w:lvl>
    <w:lvl w:ilvl="2">
      <w:numFmt w:val="bullet"/>
      <w:lvlText w:val=""/>
      <w:lvlJc w:val="left"/>
      <w:pPr>
        <w:ind w:left="2852" w:hanging="360"/>
      </w:pPr>
      <w:rPr>
        <w:rFonts w:ascii="Wingdings" w:hAnsi="Wingdings"/>
      </w:rPr>
    </w:lvl>
    <w:lvl w:ilvl="3">
      <w:numFmt w:val="bullet"/>
      <w:lvlText w:val=""/>
      <w:lvlJc w:val="left"/>
      <w:pPr>
        <w:ind w:left="3572" w:hanging="360"/>
      </w:pPr>
      <w:rPr>
        <w:rFonts w:ascii="Symbol" w:hAnsi="Symbol"/>
      </w:rPr>
    </w:lvl>
    <w:lvl w:ilvl="4">
      <w:numFmt w:val="bullet"/>
      <w:lvlText w:val="o"/>
      <w:lvlJc w:val="left"/>
      <w:pPr>
        <w:ind w:left="4292" w:hanging="360"/>
      </w:pPr>
      <w:rPr>
        <w:rFonts w:ascii="Courier New" w:hAnsi="Courier New" w:cs="Courier New"/>
      </w:rPr>
    </w:lvl>
    <w:lvl w:ilvl="5">
      <w:numFmt w:val="bullet"/>
      <w:lvlText w:val=""/>
      <w:lvlJc w:val="left"/>
      <w:pPr>
        <w:ind w:left="5012" w:hanging="360"/>
      </w:pPr>
      <w:rPr>
        <w:rFonts w:ascii="Wingdings" w:hAnsi="Wingdings"/>
      </w:rPr>
    </w:lvl>
    <w:lvl w:ilvl="6">
      <w:numFmt w:val="bullet"/>
      <w:lvlText w:val=""/>
      <w:lvlJc w:val="left"/>
      <w:pPr>
        <w:ind w:left="5732" w:hanging="360"/>
      </w:pPr>
      <w:rPr>
        <w:rFonts w:ascii="Symbol" w:hAnsi="Symbol"/>
      </w:rPr>
    </w:lvl>
    <w:lvl w:ilvl="7">
      <w:numFmt w:val="bullet"/>
      <w:lvlText w:val="o"/>
      <w:lvlJc w:val="left"/>
      <w:pPr>
        <w:ind w:left="6452" w:hanging="360"/>
      </w:pPr>
      <w:rPr>
        <w:rFonts w:ascii="Courier New" w:hAnsi="Courier New" w:cs="Courier New"/>
      </w:rPr>
    </w:lvl>
    <w:lvl w:ilvl="8">
      <w:numFmt w:val="bullet"/>
      <w:lvlText w:val=""/>
      <w:lvlJc w:val="left"/>
      <w:pPr>
        <w:ind w:left="7172" w:hanging="360"/>
      </w:pPr>
      <w:rPr>
        <w:rFonts w:ascii="Wingdings" w:hAnsi="Wingdings"/>
      </w:rPr>
    </w:lvl>
  </w:abstractNum>
  <w:abstractNum w:abstractNumId="2" w15:restartNumberingAfterBreak="0">
    <w:nsid w:val="028840E5"/>
    <w:multiLevelType w:val="multilevel"/>
    <w:tmpl w:val="9FB8F768"/>
    <w:styleLink w:val="WW8Num34"/>
    <w:lvl w:ilvl="0">
      <w:numFmt w:val="bullet"/>
      <w:lvlText w:val="•"/>
      <w:lvlJc w:val="left"/>
      <w:pPr>
        <w:ind w:left="349" w:firstLine="709"/>
      </w:pPr>
      <w:rPr>
        <w:rFonts w:ascii="OpenSymbol" w:eastAsia="SimSun, 宋体" w:hAnsi="OpenSymbol" w:cs="Times New Roman"/>
        <w:color w:val="auto"/>
        <w:sz w:val="24"/>
        <w:szCs w:val="24"/>
        <w:lang w:val="ru-RU" w:bidi="ar-SA"/>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cs="Wingdings"/>
      </w:rPr>
    </w:lvl>
    <w:lvl w:ilvl="3">
      <w:numFmt w:val="bullet"/>
      <w:lvlText w:val=""/>
      <w:lvlJc w:val="left"/>
      <w:pPr>
        <w:ind w:left="2880" w:hanging="360"/>
      </w:pPr>
      <w:rPr>
        <w:rFonts w:ascii="Symbol" w:hAnsi="Symbol" w:cs="Symbol"/>
        <w:color w:val="FF0000"/>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cs="Wingdings"/>
      </w:rPr>
    </w:lvl>
    <w:lvl w:ilvl="6">
      <w:numFmt w:val="bullet"/>
      <w:lvlText w:val=""/>
      <w:lvlJc w:val="left"/>
      <w:pPr>
        <w:ind w:left="5040" w:hanging="360"/>
      </w:pPr>
      <w:rPr>
        <w:rFonts w:ascii="Symbol" w:hAnsi="Symbol" w:cs="Symbol"/>
        <w:color w:val="FF0000"/>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cs="Wingdings"/>
      </w:rPr>
    </w:lvl>
  </w:abstractNum>
  <w:abstractNum w:abstractNumId="3" w15:restartNumberingAfterBreak="0">
    <w:nsid w:val="030A38A3"/>
    <w:multiLevelType w:val="hybridMultilevel"/>
    <w:tmpl w:val="E8EC402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 w15:restartNumberingAfterBreak="0">
    <w:nsid w:val="045E4026"/>
    <w:multiLevelType w:val="multilevel"/>
    <w:tmpl w:val="85849F4C"/>
    <w:styleLink w:val="WW8Num9"/>
    <w:lvl w:ilvl="0">
      <w:numFmt w:val="bullet"/>
      <w:pStyle w:val="avg-2-"/>
      <w:lvlText w:val=""/>
      <w:lvlJc w:val="left"/>
      <w:pPr>
        <w:ind w:left="1800" w:hanging="360"/>
      </w:pPr>
      <w:rPr>
        <w:rFonts w:ascii="Symbol" w:hAnsi="Symbol" w:cs="Symbol"/>
      </w:rPr>
    </w:lvl>
    <w:lvl w:ilvl="1">
      <w:numFmt w:val="bullet"/>
      <w:lvlText w:val=""/>
      <w:lvlJc w:val="left"/>
      <w:pPr>
        <w:ind w:left="1440" w:hanging="360"/>
      </w:pPr>
      <w:rPr>
        <w:rFonts w:ascii="Wingdings" w:hAnsi="Wingdings" w:cs="Wingdings"/>
      </w:rPr>
    </w:lvl>
    <w:lvl w:ilvl="2">
      <w:numFmt w:val="bullet"/>
      <w:lvlText w:val=""/>
      <w:lvlJc w:val="left"/>
      <w:pPr>
        <w:ind w:left="2160" w:hanging="360"/>
      </w:pPr>
      <w:rPr>
        <w:rFonts w:ascii="Wingdings" w:hAnsi="Wingdings" w:cs="Wingdings"/>
      </w:rPr>
    </w:lvl>
    <w:lvl w:ilvl="3">
      <w:numFmt w:val="bullet"/>
      <w:lvlText w:val=""/>
      <w:lvlJc w:val="left"/>
      <w:pPr>
        <w:ind w:left="2880" w:hanging="360"/>
      </w:pPr>
      <w:rPr>
        <w:rFonts w:ascii="Symbol" w:hAnsi="Symbol" w:cs="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cs="Wingdings"/>
      </w:rPr>
    </w:lvl>
    <w:lvl w:ilvl="6">
      <w:numFmt w:val="bullet"/>
      <w:lvlText w:val=""/>
      <w:lvlJc w:val="left"/>
      <w:pPr>
        <w:ind w:left="5040" w:hanging="360"/>
      </w:pPr>
      <w:rPr>
        <w:rFonts w:ascii="Symbol" w:hAnsi="Symbol" w:cs="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cs="Wingdings"/>
      </w:rPr>
    </w:lvl>
  </w:abstractNum>
  <w:abstractNum w:abstractNumId="5" w15:restartNumberingAfterBreak="0">
    <w:nsid w:val="07265FD2"/>
    <w:multiLevelType w:val="multilevel"/>
    <w:tmpl w:val="AC1A062A"/>
    <w:styleLink w:val="WW8Num23"/>
    <w:lvl w:ilvl="0">
      <w:numFmt w:val="bullet"/>
      <w:lvlText w:val="•"/>
      <w:lvlJc w:val="left"/>
      <w:pPr>
        <w:ind w:left="720" w:hanging="360"/>
      </w:pPr>
      <w:rPr>
        <w:rFonts w:ascii="OpenSymbol" w:eastAsia="SimSun, 宋体" w:hAnsi="OpenSymbol" w:cs="Times New Roman"/>
        <w:color w:val="auto"/>
        <w:sz w:val="24"/>
        <w:szCs w:val="24"/>
        <w:lang w:val="ru-RU" w:bidi="ar-SA"/>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cs="Wingdings"/>
      </w:rPr>
    </w:lvl>
    <w:lvl w:ilvl="3">
      <w:numFmt w:val="bullet"/>
      <w:lvlText w:val=""/>
      <w:lvlJc w:val="left"/>
      <w:pPr>
        <w:ind w:left="2880" w:hanging="360"/>
      </w:pPr>
      <w:rPr>
        <w:rFonts w:ascii="Symbol" w:hAnsi="Symbol" w:cs="Symbol"/>
        <w:sz w:val="24"/>
        <w:szCs w:val="24"/>
        <w:lang w:eastAsia="en-US"/>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cs="Wingdings"/>
      </w:rPr>
    </w:lvl>
    <w:lvl w:ilvl="6">
      <w:numFmt w:val="bullet"/>
      <w:lvlText w:val=""/>
      <w:lvlJc w:val="left"/>
      <w:pPr>
        <w:ind w:left="5040" w:hanging="360"/>
      </w:pPr>
      <w:rPr>
        <w:rFonts w:ascii="Symbol" w:hAnsi="Symbol" w:cs="Symbol"/>
        <w:sz w:val="24"/>
        <w:szCs w:val="24"/>
        <w:lang w:eastAsia="en-US"/>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cs="Wingdings"/>
      </w:rPr>
    </w:lvl>
  </w:abstractNum>
  <w:abstractNum w:abstractNumId="6" w15:restartNumberingAfterBreak="0">
    <w:nsid w:val="08584C3C"/>
    <w:multiLevelType w:val="hybridMultilevel"/>
    <w:tmpl w:val="A50C64D6"/>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0B223CBA"/>
    <w:multiLevelType w:val="hybridMultilevel"/>
    <w:tmpl w:val="EC22779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 w15:restartNumberingAfterBreak="0">
    <w:nsid w:val="0C2236FE"/>
    <w:multiLevelType w:val="multilevel"/>
    <w:tmpl w:val="C16013E2"/>
    <w:styleLink w:val="WW8Num30"/>
    <w:lvl w:ilvl="0">
      <w:numFmt w:val="bullet"/>
      <w:lvlText w:val="•"/>
      <w:lvlJc w:val="left"/>
      <w:pPr>
        <w:ind w:left="1429" w:hanging="360"/>
      </w:pPr>
      <w:rPr>
        <w:rFonts w:ascii="OpenSymbol" w:eastAsia="SimSun, 宋体" w:hAnsi="OpenSymbol" w:cs="Times New Roman"/>
        <w:color w:val="auto"/>
        <w:sz w:val="24"/>
        <w:szCs w:val="24"/>
        <w:lang w:val="ru-RU" w:bidi="ar-SA"/>
      </w:rPr>
    </w:lvl>
    <w:lvl w:ilvl="1">
      <w:numFmt w:val="bullet"/>
      <w:lvlText w:val="o"/>
      <w:lvlJc w:val="left"/>
      <w:pPr>
        <w:ind w:left="2149" w:hanging="360"/>
      </w:pPr>
      <w:rPr>
        <w:rFonts w:ascii="Courier New" w:hAnsi="Courier New" w:cs="Courier New"/>
      </w:rPr>
    </w:lvl>
    <w:lvl w:ilvl="2">
      <w:numFmt w:val="bullet"/>
      <w:lvlText w:val=""/>
      <w:lvlJc w:val="left"/>
      <w:pPr>
        <w:ind w:left="2869" w:hanging="360"/>
      </w:pPr>
      <w:rPr>
        <w:rFonts w:ascii="Wingdings" w:hAnsi="Wingdings" w:cs="Wingdings"/>
      </w:rPr>
    </w:lvl>
    <w:lvl w:ilvl="3">
      <w:numFmt w:val="bullet"/>
      <w:lvlText w:val=""/>
      <w:lvlJc w:val="left"/>
      <w:pPr>
        <w:ind w:left="3589" w:hanging="360"/>
      </w:pPr>
      <w:rPr>
        <w:rFonts w:ascii="Symbol" w:hAnsi="Symbol" w:cs="Symbol"/>
        <w:sz w:val="24"/>
        <w:szCs w:val="24"/>
      </w:rPr>
    </w:lvl>
    <w:lvl w:ilvl="4">
      <w:numFmt w:val="bullet"/>
      <w:lvlText w:val="o"/>
      <w:lvlJc w:val="left"/>
      <w:pPr>
        <w:ind w:left="4309" w:hanging="360"/>
      </w:pPr>
      <w:rPr>
        <w:rFonts w:ascii="Courier New" w:hAnsi="Courier New" w:cs="Courier New"/>
      </w:rPr>
    </w:lvl>
    <w:lvl w:ilvl="5">
      <w:numFmt w:val="bullet"/>
      <w:lvlText w:val=""/>
      <w:lvlJc w:val="left"/>
      <w:pPr>
        <w:ind w:left="5029" w:hanging="360"/>
      </w:pPr>
      <w:rPr>
        <w:rFonts w:ascii="Wingdings" w:hAnsi="Wingdings" w:cs="Wingdings"/>
      </w:rPr>
    </w:lvl>
    <w:lvl w:ilvl="6">
      <w:numFmt w:val="bullet"/>
      <w:lvlText w:val=""/>
      <w:lvlJc w:val="left"/>
      <w:pPr>
        <w:ind w:left="5749" w:hanging="360"/>
      </w:pPr>
      <w:rPr>
        <w:rFonts w:ascii="Symbol" w:hAnsi="Symbol" w:cs="Symbol"/>
        <w:sz w:val="24"/>
        <w:szCs w:val="24"/>
      </w:rPr>
    </w:lvl>
    <w:lvl w:ilvl="7">
      <w:numFmt w:val="bullet"/>
      <w:lvlText w:val="o"/>
      <w:lvlJc w:val="left"/>
      <w:pPr>
        <w:ind w:left="6469" w:hanging="360"/>
      </w:pPr>
      <w:rPr>
        <w:rFonts w:ascii="Courier New" w:hAnsi="Courier New" w:cs="Courier New"/>
      </w:rPr>
    </w:lvl>
    <w:lvl w:ilvl="8">
      <w:numFmt w:val="bullet"/>
      <w:lvlText w:val=""/>
      <w:lvlJc w:val="left"/>
      <w:pPr>
        <w:ind w:left="7189" w:hanging="360"/>
      </w:pPr>
      <w:rPr>
        <w:rFonts w:ascii="Wingdings" w:hAnsi="Wingdings" w:cs="Wingdings"/>
      </w:rPr>
    </w:lvl>
  </w:abstractNum>
  <w:abstractNum w:abstractNumId="9" w15:restartNumberingAfterBreak="0">
    <w:nsid w:val="0C233C86"/>
    <w:multiLevelType w:val="multilevel"/>
    <w:tmpl w:val="5EA65E84"/>
    <w:styleLink w:val="LFO3"/>
    <w:lvl w:ilvl="0">
      <w:numFmt w:val="bullet"/>
      <w:pStyle w:val="a"/>
      <w:lvlText w:val=""/>
      <w:lvlJc w:val="left"/>
      <w:pPr>
        <w:ind w:left="2772" w:hanging="360"/>
      </w:pPr>
      <w:rPr>
        <w:rFonts w:ascii="Symbol" w:hAnsi="Symbol"/>
      </w:rPr>
    </w:lvl>
    <w:lvl w:ilvl="1">
      <w:numFmt w:val="bullet"/>
      <w:lvlText w:val=""/>
      <w:lvlJc w:val="left"/>
      <w:pPr>
        <w:ind w:left="2205" w:hanging="360"/>
      </w:pPr>
      <w:rPr>
        <w:rFonts w:ascii="Symbol" w:hAnsi="Symbol"/>
      </w:rPr>
    </w:lvl>
    <w:lvl w:ilvl="2">
      <w:numFmt w:val="bullet"/>
      <w:lvlText w:val=""/>
      <w:lvlJc w:val="left"/>
      <w:pPr>
        <w:ind w:left="2925" w:hanging="360"/>
      </w:pPr>
      <w:rPr>
        <w:rFonts w:ascii="Wingdings" w:hAnsi="Wingdings"/>
      </w:rPr>
    </w:lvl>
    <w:lvl w:ilvl="3">
      <w:numFmt w:val="bullet"/>
      <w:lvlText w:val=""/>
      <w:lvlJc w:val="left"/>
      <w:pPr>
        <w:ind w:left="3645" w:hanging="360"/>
      </w:pPr>
      <w:rPr>
        <w:rFonts w:ascii="Symbol" w:hAnsi="Symbol"/>
      </w:rPr>
    </w:lvl>
    <w:lvl w:ilvl="4">
      <w:numFmt w:val="bullet"/>
      <w:lvlText w:val="o"/>
      <w:lvlJc w:val="left"/>
      <w:pPr>
        <w:ind w:left="4365" w:hanging="360"/>
      </w:pPr>
      <w:rPr>
        <w:rFonts w:ascii="Courier New" w:hAnsi="Courier New" w:cs="Courier New"/>
      </w:rPr>
    </w:lvl>
    <w:lvl w:ilvl="5">
      <w:numFmt w:val="bullet"/>
      <w:lvlText w:val=""/>
      <w:lvlJc w:val="left"/>
      <w:pPr>
        <w:ind w:left="5085" w:hanging="360"/>
      </w:pPr>
      <w:rPr>
        <w:rFonts w:ascii="Wingdings" w:hAnsi="Wingdings"/>
      </w:rPr>
    </w:lvl>
    <w:lvl w:ilvl="6">
      <w:numFmt w:val="bullet"/>
      <w:lvlText w:val=""/>
      <w:lvlJc w:val="left"/>
      <w:pPr>
        <w:ind w:left="5805" w:hanging="360"/>
      </w:pPr>
      <w:rPr>
        <w:rFonts w:ascii="Symbol" w:hAnsi="Symbol"/>
      </w:rPr>
    </w:lvl>
    <w:lvl w:ilvl="7">
      <w:numFmt w:val="bullet"/>
      <w:lvlText w:val="o"/>
      <w:lvlJc w:val="left"/>
      <w:pPr>
        <w:ind w:left="6525" w:hanging="360"/>
      </w:pPr>
      <w:rPr>
        <w:rFonts w:ascii="Courier New" w:hAnsi="Courier New" w:cs="Courier New"/>
      </w:rPr>
    </w:lvl>
    <w:lvl w:ilvl="8">
      <w:numFmt w:val="bullet"/>
      <w:lvlText w:val=""/>
      <w:lvlJc w:val="left"/>
      <w:pPr>
        <w:ind w:left="7245" w:hanging="360"/>
      </w:pPr>
      <w:rPr>
        <w:rFonts w:ascii="Wingdings" w:hAnsi="Wingdings"/>
      </w:rPr>
    </w:lvl>
  </w:abstractNum>
  <w:abstractNum w:abstractNumId="10" w15:restartNumberingAfterBreak="0">
    <w:nsid w:val="0EF205E7"/>
    <w:multiLevelType w:val="multilevel"/>
    <w:tmpl w:val="8E804110"/>
    <w:styleLink w:val="1"/>
    <w:lvl w:ilvl="0">
      <w:start w:val="1"/>
      <w:numFmt w:val="upperRoman"/>
      <w:lvlText w:val="%1."/>
      <w:lvlJc w:val="right"/>
      <w:pPr>
        <w:ind w:left="720" w:hanging="360"/>
      </w:pPr>
      <w:rPr>
        <w:rFonts w:cs="Times New Roman" w:hint="default"/>
        <w:color w:val="auto"/>
      </w:rPr>
    </w:lvl>
    <w:lvl w:ilvl="1">
      <w:start w:val="1"/>
      <w:numFmt w:val="decimal"/>
      <w:isLgl/>
      <w:lvlText w:val="%1.%2."/>
      <w:lvlJc w:val="left"/>
      <w:pPr>
        <w:ind w:left="1200" w:hanging="720"/>
      </w:pPr>
      <w:rPr>
        <w:rFonts w:cs="Times New Roman" w:hint="default"/>
      </w:rPr>
    </w:lvl>
    <w:lvl w:ilvl="2">
      <w:start w:val="1"/>
      <w:numFmt w:val="decimal"/>
      <w:isLgl/>
      <w:lvlText w:val="%1.%2.%3."/>
      <w:lvlJc w:val="left"/>
      <w:pPr>
        <w:ind w:left="1080" w:hanging="720"/>
      </w:pPr>
      <w:rPr>
        <w:rFonts w:cs="Times New Roman" w:hint="default"/>
      </w:rPr>
    </w:lvl>
    <w:lvl w:ilvl="3">
      <w:start w:val="1"/>
      <w:numFmt w:val="decimal"/>
      <w:isLgl/>
      <w:lvlText w:val="%1.%2.%3.%4."/>
      <w:lvlJc w:val="left"/>
      <w:pPr>
        <w:ind w:left="1320" w:hanging="1080"/>
      </w:pPr>
      <w:rPr>
        <w:rFonts w:cs="Times New Roman" w:hint="default"/>
      </w:rPr>
    </w:lvl>
    <w:lvl w:ilvl="4">
      <w:start w:val="1"/>
      <w:numFmt w:val="decimal"/>
      <w:isLgl/>
      <w:lvlText w:val="%1.%2.%3.%4.%5."/>
      <w:lvlJc w:val="left"/>
      <w:pPr>
        <w:ind w:left="1440" w:hanging="1080"/>
      </w:pPr>
      <w:rPr>
        <w:rFonts w:cs="Times New Roman" w:hint="default"/>
      </w:rPr>
    </w:lvl>
    <w:lvl w:ilvl="5">
      <w:start w:val="1"/>
      <w:numFmt w:val="decimal"/>
      <w:isLgl/>
      <w:lvlText w:val="%1.%2.%3.%4.%5.%6."/>
      <w:lvlJc w:val="left"/>
      <w:pPr>
        <w:ind w:left="1800" w:hanging="1440"/>
      </w:pPr>
      <w:rPr>
        <w:rFonts w:cs="Times New Roman" w:hint="default"/>
      </w:rPr>
    </w:lvl>
    <w:lvl w:ilvl="6">
      <w:start w:val="1"/>
      <w:numFmt w:val="decimal"/>
      <w:isLgl/>
      <w:lvlText w:val="%1.%2.%3.%4.%5.%6.%7."/>
      <w:lvlJc w:val="left"/>
      <w:pPr>
        <w:ind w:left="1800" w:hanging="1440"/>
      </w:pPr>
      <w:rPr>
        <w:rFonts w:cs="Times New Roman" w:hint="default"/>
      </w:rPr>
    </w:lvl>
    <w:lvl w:ilvl="7">
      <w:start w:val="1"/>
      <w:numFmt w:val="decimal"/>
      <w:isLgl/>
      <w:lvlText w:val="%1.%2.%3.%4.%5.%6.%7.%8."/>
      <w:lvlJc w:val="left"/>
      <w:pPr>
        <w:ind w:left="2160" w:hanging="1800"/>
      </w:pPr>
      <w:rPr>
        <w:rFonts w:cs="Times New Roman" w:hint="default"/>
      </w:rPr>
    </w:lvl>
    <w:lvl w:ilvl="8">
      <w:start w:val="1"/>
      <w:numFmt w:val="decimal"/>
      <w:isLgl/>
      <w:lvlText w:val="%1.%2.%3.%4.%5.%6.%7.%8.%9."/>
      <w:lvlJc w:val="left"/>
      <w:pPr>
        <w:ind w:left="2160" w:hanging="1800"/>
      </w:pPr>
      <w:rPr>
        <w:rFonts w:cs="Times New Roman" w:hint="default"/>
      </w:rPr>
    </w:lvl>
  </w:abstractNum>
  <w:abstractNum w:abstractNumId="11" w15:restartNumberingAfterBreak="0">
    <w:nsid w:val="0F404193"/>
    <w:multiLevelType w:val="multilevel"/>
    <w:tmpl w:val="D676EE58"/>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1288"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2" w15:restartNumberingAfterBreak="0">
    <w:nsid w:val="11273F27"/>
    <w:multiLevelType w:val="multilevel"/>
    <w:tmpl w:val="03CE3E64"/>
    <w:styleLink w:val="WW8Num1"/>
    <w:lvl w:ilvl="0">
      <w:start w:val="1"/>
      <w:numFmt w:val="none"/>
      <w:suff w:val="nothing"/>
      <w:lvlText w:val="%1"/>
      <w:lvlJc w:val="left"/>
      <w:pPr>
        <w:ind w:left="432" w:hanging="432"/>
      </w:pPr>
      <w:rPr>
        <w:rFonts w:cs="Times New Roman"/>
      </w:rPr>
    </w:lvl>
    <w:lvl w:ilvl="1">
      <w:start w:val="1"/>
      <w:numFmt w:val="none"/>
      <w:suff w:val="nothing"/>
      <w:lvlText w:val="%2"/>
      <w:lvlJc w:val="left"/>
      <w:pPr>
        <w:ind w:left="576" w:hanging="576"/>
      </w:pPr>
      <w:rPr>
        <w:rFonts w:cs="Times New Roman"/>
      </w:rPr>
    </w:lvl>
    <w:lvl w:ilvl="2">
      <w:start w:val="1"/>
      <w:numFmt w:val="none"/>
      <w:suff w:val="nothing"/>
      <w:lvlText w:val="%3"/>
      <w:lvlJc w:val="left"/>
      <w:pPr>
        <w:ind w:left="720" w:hanging="720"/>
      </w:pPr>
      <w:rPr>
        <w:rFonts w:cs="Times New Roman"/>
      </w:rPr>
    </w:lvl>
    <w:lvl w:ilvl="3">
      <w:start w:val="1"/>
      <w:numFmt w:val="none"/>
      <w:suff w:val="nothing"/>
      <w:lvlText w:val="%4"/>
      <w:lvlJc w:val="left"/>
      <w:pPr>
        <w:ind w:left="864" w:hanging="864"/>
      </w:pPr>
      <w:rPr>
        <w:rFonts w:cs="Times New Roman"/>
      </w:rPr>
    </w:lvl>
    <w:lvl w:ilvl="4">
      <w:start w:val="1"/>
      <w:numFmt w:val="none"/>
      <w:suff w:val="nothing"/>
      <w:lvlText w:val="%5"/>
      <w:lvlJc w:val="left"/>
      <w:pPr>
        <w:ind w:left="1008" w:hanging="1008"/>
      </w:pPr>
      <w:rPr>
        <w:rFonts w:cs="Times New Roman"/>
      </w:rPr>
    </w:lvl>
    <w:lvl w:ilvl="5">
      <w:start w:val="1"/>
      <w:numFmt w:val="none"/>
      <w:suff w:val="nothing"/>
      <w:lvlText w:val="%6"/>
      <w:lvlJc w:val="left"/>
      <w:pPr>
        <w:ind w:left="1152" w:hanging="1152"/>
      </w:pPr>
      <w:rPr>
        <w:rFonts w:cs="Times New Roman"/>
      </w:rPr>
    </w:lvl>
    <w:lvl w:ilvl="6">
      <w:start w:val="1"/>
      <w:numFmt w:val="none"/>
      <w:suff w:val="nothing"/>
      <w:lvlText w:val="%7"/>
      <w:lvlJc w:val="left"/>
      <w:pPr>
        <w:ind w:left="1296" w:hanging="1296"/>
      </w:pPr>
      <w:rPr>
        <w:rFonts w:cs="Times New Roman"/>
      </w:rPr>
    </w:lvl>
    <w:lvl w:ilvl="7">
      <w:start w:val="1"/>
      <w:numFmt w:val="none"/>
      <w:suff w:val="nothing"/>
      <w:lvlText w:val="%8"/>
      <w:lvlJc w:val="left"/>
      <w:pPr>
        <w:ind w:left="1440" w:hanging="1440"/>
      </w:pPr>
      <w:rPr>
        <w:rFonts w:cs="Times New Roman"/>
      </w:rPr>
    </w:lvl>
    <w:lvl w:ilvl="8">
      <w:start w:val="1"/>
      <w:numFmt w:val="none"/>
      <w:suff w:val="nothing"/>
      <w:lvlText w:val="%9"/>
      <w:lvlJc w:val="left"/>
      <w:pPr>
        <w:ind w:left="1584" w:hanging="1584"/>
      </w:pPr>
      <w:rPr>
        <w:rFonts w:cs="Times New Roman"/>
      </w:rPr>
    </w:lvl>
  </w:abstractNum>
  <w:abstractNum w:abstractNumId="13" w15:restartNumberingAfterBreak="0">
    <w:nsid w:val="11617790"/>
    <w:multiLevelType w:val="multilevel"/>
    <w:tmpl w:val="47FAD55C"/>
    <w:styleLink w:val="WW8Num26"/>
    <w:lvl w:ilvl="0">
      <w:start w:val="1"/>
      <w:numFmt w:val="decimal"/>
      <w:lvlText w:val="%1)"/>
      <w:lvlJc w:val="left"/>
      <w:pPr>
        <w:ind w:left="720" w:hanging="360"/>
      </w:pPr>
      <w:rPr>
        <w:rFonts w:ascii="Times New Roman" w:eastAsia="Times New Roman" w:hAnsi="Times New Roman" w:cs="Times New Roman"/>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 w15:restartNumberingAfterBreak="0">
    <w:nsid w:val="11762159"/>
    <w:multiLevelType w:val="hybridMultilevel"/>
    <w:tmpl w:val="38DA5862"/>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5" w15:restartNumberingAfterBreak="0">
    <w:nsid w:val="121F5831"/>
    <w:multiLevelType w:val="multilevel"/>
    <w:tmpl w:val="AF420BC6"/>
    <w:lvl w:ilvl="0">
      <w:start w:val="1"/>
      <w:numFmt w:val="decimal"/>
      <w:lvlText w:val="%1."/>
      <w:lvlJc w:val="left"/>
      <w:pPr>
        <w:ind w:left="1070" w:hanging="360"/>
      </w:pPr>
      <w:rPr>
        <w:rFonts w:hint="default"/>
      </w:rPr>
    </w:lvl>
    <w:lvl w:ilvl="1">
      <w:start w:val="1"/>
      <w:numFmt w:val="decimal"/>
      <w:isLgl/>
      <w:lvlText w:val="%2."/>
      <w:lvlJc w:val="left"/>
      <w:pPr>
        <w:ind w:left="1429" w:hanging="720"/>
      </w:pPr>
      <w:rPr>
        <w:rFonts w:ascii="Times New Roman" w:eastAsia="Calibri" w:hAnsi="Times New Roman" w:cs="Times New Roman"/>
      </w:rPr>
    </w:lvl>
    <w:lvl w:ilvl="2">
      <w:start w:val="1"/>
      <w:numFmt w:val="decimal"/>
      <w:isLgl/>
      <w:lvlText w:val="%1.%2.%3."/>
      <w:lvlJc w:val="left"/>
      <w:pPr>
        <w:ind w:left="1429"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509" w:hanging="180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869" w:hanging="2160"/>
      </w:pPr>
      <w:rPr>
        <w:rFonts w:hint="default"/>
      </w:rPr>
    </w:lvl>
  </w:abstractNum>
  <w:abstractNum w:abstractNumId="16" w15:restartNumberingAfterBreak="0">
    <w:nsid w:val="12AB61CD"/>
    <w:multiLevelType w:val="multilevel"/>
    <w:tmpl w:val="5C7A33C8"/>
    <w:styleLink w:val="WW8Num3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 w15:restartNumberingAfterBreak="0">
    <w:nsid w:val="13682B66"/>
    <w:multiLevelType w:val="hybridMultilevel"/>
    <w:tmpl w:val="23CC8D88"/>
    <w:lvl w:ilvl="0" w:tplc="0419000D">
      <w:start w:val="1"/>
      <w:numFmt w:val="bullet"/>
      <w:lvlText w:val=""/>
      <w:lvlJc w:val="left"/>
      <w:pPr>
        <w:ind w:left="1287" w:hanging="360"/>
      </w:pPr>
      <w:rPr>
        <w:rFonts w:ascii="Wingdings" w:hAnsi="Wingdings" w:hint="default"/>
      </w:rPr>
    </w:lvl>
    <w:lvl w:ilvl="1" w:tplc="04190003">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8" w15:restartNumberingAfterBreak="0">
    <w:nsid w:val="14967E6D"/>
    <w:multiLevelType w:val="hybridMultilevel"/>
    <w:tmpl w:val="F5382804"/>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9" w15:restartNumberingAfterBreak="0">
    <w:nsid w:val="153951C5"/>
    <w:multiLevelType w:val="hybridMultilevel"/>
    <w:tmpl w:val="5BC643E6"/>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0" w15:restartNumberingAfterBreak="0">
    <w:nsid w:val="17252821"/>
    <w:multiLevelType w:val="multilevel"/>
    <w:tmpl w:val="BB06885E"/>
    <w:lvl w:ilvl="0">
      <w:start w:val="1"/>
      <w:numFmt w:val="decimal"/>
      <w:lvlText w:val="%1."/>
      <w:lvlJc w:val="left"/>
      <w:pPr>
        <w:tabs>
          <w:tab w:val="num" w:pos="1980"/>
        </w:tabs>
        <w:ind w:left="1980" w:hanging="360"/>
      </w:pPr>
      <w:rPr>
        <w:rFonts w:hint="default"/>
      </w:rPr>
    </w:lvl>
    <w:lvl w:ilvl="1">
      <w:start w:val="1"/>
      <w:numFmt w:val="decimal"/>
      <w:pStyle w:val="021"/>
      <w:lvlText w:val="2.%2."/>
      <w:lvlJc w:val="left"/>
      <w:pPr>
        <w:tabs>
          <w:tab w:val="num" w:pos="2592"/>
        </w:tabs>
        <w:ind w:left="2592" w:hanging="432"/>
      </w:pPr>
      <w:rPr>
        <w:rFonts w:hint="default"/>
        <w:b w:val="0"/>
        <w:bCs w:val="0"/>
        <w:i w:val="0"/>
        <w:iCs w:val="0"/>
        <w:caps w:val="0"/>
        <w:smallCaps w:val="0"/>
        <w:strike w:val="0"/>
        <w:dstrike w:val="0"/>
        <w:outline w:val="0"/>
        <w:shadow w:val="0"/>
        <w:emboss w:val="0"/>
        <w:imprint w:val="0"/>
        <w:noProof w:val="0"/>
        <w:vanish w:val="0"/>
        <w:spacing w:val="0"/>
        <w:kern w:val="0"/>
        <w:position w:val="0"/>
        <w:u w:val="none"/>
        <w:vertAlign w:val="baseline"/>
        <w:em w:val="none"/>
      </w:rPr>
    </w:lvl>
    <w:lvl w:ilvl="2">
      <w:start w:val="1"/>
      <w:numFmt w:val="decimal"/>
      <w:lvlText w:val="%1.%2.%3."/>
      <w:lvlJc w:val="left"/>
      <w:pPr>
        <w:tabs>
          <w:tab w:val="num" w:pos="3060"/>
        </w:tabs>
        <w:ind w:left="2844" w:hanging="504"/>
      </w:pPr>
      <w:rPr>
        <w:rFonts w:hint="default"/>
      </w:rPr>
    </w:lvl>
    <w:lvl w:ilvl="3">
      <w:start w:val="1"/>
      <w:numFmt w:val="decimal"/>
      <w:lvlText w:val="%1.%2.%3.%4."/>
      <w:lvlJc w:val="left"/>
      <w:pPr>
        <w:tabs>
          <w:tab w:val="num" w:pos="3420"/>
        </w:tabs>
        <w:ind w:left="3348" w:hanging="648"/>
      </w:pPr>
      <w:rPr>
        <w:rFonts w:hint="default"/>
      </w:rPr>
    </w:lvl>
    <w:lvl w:ilvl="4">
      <w:start w:val="1"/>
      <w:numFmt w:val="decimal"/>
      <w:lvlText w:val="%1.%2.%3.%4.%5."/>
      <w:lvlJc w:val="left"/>
      <w:pPr>
        <w:tabs>
          <w:tab w:val="num" w:pos="4140"/>
        </w:tabs>
        <w:ind w:left="3852" w:hanging="792"/>
      </w:pPr>
      <w:rPr>
        <w:rFonts w:hint="default"/>
      </w:rPr>
    </w:lvl>
    <w:lvl w:ilvl="5">
      <w:start w:val="1"/>
      <w:numFmt w:val="decimal"/>
      <w:lvlText w:val="%1.%2.%3.%4.%5.%6."/>
      <w:lvlJc w:val="left"/>
      <w:pPr>
        <w:tabs>
          <w:tab w:val="num" w:pos="4500"/>
        </w:tabs>
        <w:ind w:left="4356" w:hanging="936"/>
      </w:pPr>
      <w:rPr>
        <w:rFonts w:hint="default"/>
      </w:rPr>
    </w:lvl>
    <w:lvl w:ilvl="6">
      <w:start w:val="1"/>
      <w:numFmt w:val="decimal"/>
      <w:lvlText w:val="%1.%2.%3.%4.%5.%6.%7."/>
      <w:lvlJc w:val="left"/>
      <w:pPr>
        <w:tabs>
          <w:tab w:val="num" w:pos="5220"/>
        </w:tabs>
        <w:ind w:left="4860" w:hanging="1080"/>
      </w:pPr>
      <w:rPr>
        <w:rFonts w:hint="default"/>
      </w:rPr>
    </w:lvl>
    <w:lvl w:ilvl="7">
      <w:start w:val="1"/>
      <w:numFmt w:val="decimal"/>
      <w:lvlText w:val="%1.%2.%3.%4.%5.%6.%7.%8."/>
      <w:lvlJc w:val="left"/>
      <w:pPr>
        <w:tabs>
          <w:tab w:val="num" w:pos="5580"/>
        </w:tabs>
        <w:ind w:left="5364" w:hanging="1224"/>
      </w:pPr>
      <w:rPr>
        <w:rFonts w:hint="default"/>
      </w:rPr>
    </w:lvl>
    <w:lvl w:ilvl="8">
      <w:start w:val="1"/>
      <w:numFmt w:val="decimal"/>
      <w:lvlText w:val="%1.%2.%3.%4.%5.%6.%7.%8.%9."/>
      <w:lvlJc w:val="left"/>
      <w:pPr>
        <w:tabs>
          <w:tab w:val="num" w:pos="6300"/>
        </w:tabs>
        <w:ind w:left="5940" w:hanging="1440"/>
      </w:pPr>
      <w:rPr>
        <w:rFonts w:hint="default"/>
      </w:rPr>
    </w:lvl>
  </w:abstractNum>
  <w:abstractNum w:abstractNumId="21" w15:restartNumberingAfterBreak="0">
    <w:nsid w:val="17C92B8F"/>
    <w:multiLevelType w:val="multilevel"/>
    <w:tmpl w:val="97CCF51C"/>
    <w:styleLink w:val="WW8Num37"/>
    <w:lvl w:ilvl="0">
      <w:start w:val="1"/>
      <w:numFmt w:val="decimal"/>
      <w:lvlText w:val="%1."/>
      <w:lvlJc w:val="left"/>
      <w:pPr>
        <w:ind w:left="1069" w:hanging="360"/>
      </w:pPr>
    </w:lvl>
    <w:lvl w:ilvl="1">
      <w:start w:val="1"/>
      <w:numFmt w:val="lowerLetter"/>
      <w:lvlText w:val="%2."/>
      <w:lvlJc w:val="left"/>
      <w:pPr>
        <w:ind w:left="1789" w:hanging="360"/>
      </w:pPr>
    </w:lvl>
    <w:lvl w:ilvl="2">
      <w:start w:val="1"/>
      <w:numFmt w:val="lowerRoman"/>
      <w:lvlText w:val="%3."/>
      <w:lvlJc w:val="right"/>
      <w:pPr>
        <w:ind w:left="2509" w:hanging="180"/>
      </w:pPr>
    </w:lvl>
    <w:lvl w:ilvl="3">
      <w:start w:val="1"/>
      <w:numFmt w:val="decimal"/>
      <w:lvlText w:val="%4."/>
      <w:lvlJc w:val="left"/>
      <w:pPr>
        <w:ind w:left="3229" w:hanging="360"/>
      </w:pPr>
    </w:lvl>
    <w:lvl w:ilvl="4">
      <w:start w:val="1"/>
      <w:numFmt w:val="lowerLetter"/>
      <w:lvlText w:val="%5."/>
      <w:lvlJc w:val="left"/>
      <w:pPr>
        <w:ind w:left="3949" w:hanging="360"/>
      </w:pPr>
    </w:lvl>
    <w:lvl w:ilvl="5">
      <w:start w:val="1"/>
      <w:numFmt w:val="lowerRoman"/>
      <w:lvlText w:val="%6."/>
      <w:lvlJc w:val="right"/>
      <w:pPr>
        <w:ind w:left="4669" w:hanging="180"/>
      </w:pPr>
    </w:lvl>
    <w:lvl w:ilvl="6">
      <w:start w:val="1"/>
      <w:numFmt w:val="decimal"/>
      <w:lvlText w:val="%7."/>
      <w:lvlJc w:val="left"/>
      <w:pPr>
        <w:ind w:left="5389" w:hanging="360"/>
      </w:pPr>
    </w:lvl>
    <w:lvl w:ilvl="7">
      <w:start w:val="1"/>
      <w:numFmt w:val="lowerLetter"/>
      <w:lvlText w:val="%8."/>
      <w:lvlJc w:val="left"/>
      <w:pPr>
        <w:ind w:left="6109" w:hanging="360"/>
      </w:pPr>
    </w:lvl>
    <w:lvl w:ilvl="8">
      <w:start w:val="1"/>
      <w:numFmt w:val="lowerRoman"/>
      <w:lvlText w:val="%9."/>
      <w:lvlJc w:val="right"/>
      <w:pPr>
        <w:ind w:left="6829" w:hanging="180"/>
      </w:pPr>
    </w:lvl>
  </w:abstractNum>
  <w:abstractNum w:abstractNumId="22" w15:restartNumberingAfterBreak="0">
    <w:nsid w:val="196150E4"/>
    <w:multiLevelType w:val="multilevel"/>
    <w:tmpl w:val="22883FEA"/>
    <w:lvl w:ilvl="0">
      <w:start w:val="3"/>
      <w:numFmt w:val="decimal"/>
      <w:lvlText w:val="%1."/>
      <w:lvlJc w:val="left"/>
      <w:pPr>
        <w:ind w:left="360" w:hanging="360"/>
      </w:pPr>
      <w:rPr>
        <w:rFonts w:hint="default"/>
      </w:rPr>
    </w:lvl>
    <w:lvl w:ilvl="1">
      <w:start w:val="6"/>
      <w:numFmt w:val="decimal"/>
      <w:lvlText w:val="%1.%2."/>
      <w:lvlJc w:val="left"/>
      <w:pPr>
        <w:ind w:left="1152" w:hanging="360"/>
      </w:pPr>
      <w:rPr>
        <w:rFonts w:hint="default"/>
        <w:lang w:val="ru-RU"/>
      </w:rPr>
    </w:lvl>
    <w:lvl w:ilvl="2">
      <w:start w:val="1"/>
      <w:numFmt w:val="decimal"/>
      <w:lvlText w:val="%1.%2.%3."/>
      <w:lvlJc w:val="left"/>
      <w:pPr>
        <w:ind w:left="1997" w:hanging="720"/>
      </w:pPr>
      <w:rPr>
        <w:rFonts w:hint="default"/>
      </w:rPr>
    </w:lvl>
    <w:lvl w:ilvl="3">
      <w:start w:val="1"/>
      <w:numFmt w:val="decimal"/>
      <w:lvlText w:val="%1.%2.%3.%4."/>
      <w:lvlJc w:val="left"/>
      <w:pPr>
        <w:ind w:left="3096" w:hanging="720"/>
      </w:pPr>
      <w:rPr>
        <w:rFonts w:hint="default"/>
      </w:rPr>
    </w:lvl>
    <w:lvl w:ilvl="4">
      <w:start w:val="1"/>
      <w:numFmt w:val="decimal"/>
      <w:lvlText w:val="%1.%2.%3.%4.%5."/>
      <w:lvlJc w:val="left"/>
      <w:pPr>
        <w:ind w:left="4248" w:hanging="1080"/>
      </w:pPr>
      <w:rPr>
        <w:rFonts w:hint="default"/>
      </w:rPr>
    </w:lvl>
    <w:lvl w:ilvl="5">
      <w:start w:val="1"/>
      <w:numFmt w:val="decimal"/>
      <w:lvlText w:val="%1.%2.%3.%4.%5.%6."/>
      <w:lvlJc w:val="left"/>
      <w:pPr>
        <w:ind w:left="5040" w:hanging="1080"/>
      </w:pPr>
      <w:rPr>
        <w:rFonts w:hint="default"/>
      </w:rPr>
    </w:lvl>
    <w:lvl w:ilvl="6">
      <w:start w:val="1"/>
      <w:numFmt w:val="decimal"/>
      <w:lvlText w:val="%1.%2.%3.%4.%5.%6.%7."/>
      <w:lvlJc w:val="left"/>
      <w:pPr>
        <w:ind w:left="6192" w:hanging="1440"/>
      </w:pPr>
      <w:rPr>
        <w:rFonts w:hint="default"/>
      </w:rPr>
    </w:lvl>
    <w:lvl w:ilvl="7">
      <w:start w:val="1"/>
      <w:numFmt w:val="decimal"/>
      <w:lvlText w:val="%1.%2.%3.%4.%5.%6.%7.%8."/>
      <w:lvlJc w:val="left"/>
      <w:pPr>
        <w:ind w:left="6984" w:hanging="1440"/>
      </w:pPr>
      <w:rPr>
        <w:rFonts w:hint="default"/>
      </w:rPr>
    </w:lvl>
    <w:lvl w:ilvl="8">
      <w:start w:val="1"/>
      <w:numFmt w:val="decimal"/>
      <w:lvlText w:val="%1.%2.%3.%4.%5.%6.%7.%8.%9."/>
      <w:lvlJc w:val="left"/>
      <w:pPr>
        <w:ind w:left="8136" w:hanging="1800"/>
      </w:pPr>
      <w:rPr>
        <w:rFonts w:hint="default"/>
      </w:rPr>
    </w:lvl>
  </w:abstractNum>
  <w:abstractNum w:abstractNumId="23" w15:restartNumberingAfterBreak="0">
    <w:nsid w:val="19905A70"/>
    <w:multiLevelType w:val="multilevel"/>
    <w:tmpl w:val="504CE074"/>
    <w:lvl w:ilvl="0">
      <w:start w:val="1"/>
      <w:numFmt w:val="decimal"/>
      <w:pStyle w:val="10"/>
      <w:lvlText w:val="%1."/>
      <w:lvlJc w:val="left"/>
      <w:pPr>
        <w:ind w:left="360" w:hanging="360"/>
      </w:pPr>
    </w:lvl>
    <w:lvl w:ilvl="1">
      <w:start w:val="1"/>
      <w:numFmt w:val="decimal"/>
      <w:lvlText w:val="%1.%2."/>
      <w:lvlJc w:val="left"/>
      <w:pPr>
        <w:ind w:left="792" w:hanging="432"/>
      </w:pPr>
    </w:lvl>
    <w:lvl w:ilvl="2">
      <w:start w:val="1"/>
      <w:numFmt w:val="decimal"/>
      <w:pStyle w:val="3"/>
      <w:lvlText w:val="%1.%2.%3."/>
      <w:lvlJc w:val="left"/>
      <w:pPr>
        <w:ind w:left="1638"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4" w15:restartNumberingAfterBreak="0">
    <w:nsid w:val="1A833853"/>
    <w:multiLevelType w:val="multilevel"/>
    <w:tmpl w:val="300CAB88"/>
    <w:lvl w:ilvl="0">
      <w:start w:val="2"/>
      <w:numFmt w:val="decimal"/>
      <w:lvlText w:val="%1"/>
      <w:lvlJc w:val="left"/>
      <w:pPr>
        <w:ind w:left="360" w:hanging="360"/>
      </w:pPr>
      <w:rPr>
        <w:rFonts w:hint="default"/>
      </w:rPr>
    </w:lvl>
    <w:lvl w:ilvl="1">
      <w:start w:val="8"/>
      <w:numFmt w:val="decimal"/>
      <w:lvlText w:val="%1.%2"/>
      <w:lvlJc w:val="left"/>
      <w:pPr>
        <w:ind w:left="1148" w:hanging="360"/>
      </w:pPr>
      <w:rPr>
        <w:rFonts w:hint="default"/>
      </w:rPr>
    </w:lvl>
    <w:lvl w:ilvl="2">
      <w:start w:val="1"/>
      <w:numFmt w:val="decimal"/>
      <w:lvlText w:val="%1.%2.%3"/>
      <w:lvlJc w:val="left"/>
      <w:pPr>
        <w:ind w:left="2296" w:hanging="720"/>
      </w:pPr>
      <w:rPr>
        <w:rFonts w:hint="default"/>
      </w:rPr>
    </w:lvl>
    <w:lvl w:ilvl="3">
      <w:start w:val="1"/>
      <w:numFmt w:val="decimal"/>
      <w:lvlText w:val="%1.%2.%3.%4"/>
      <w:lvlJc w:val="left"/>
      <w:pPr>
        <w:ind w:left="3084" w:hanging="720"/>
      </w:pPr>
      <w:rPr>
        <w:rFonts w:hint="default"/>
      </w:rPr>
    </w:lvl>
    <w:lvl w:ilvl="4">
      <w:start w:val="1"/>
      <w:numFmt w:val="decimal"/>
      <w:lvlText w:val="%1.%2.%3.%4.%5"/>
      <w:lvlJc w:val="left"/>
      <w:pPr>
        <w:ind w:left="4232" w:hanging="1080"/>
      </w:pPr>
      <w:rPr>
        <w:rFonts w:hint="default"/>
      </w:rPr>
    </w:lvl>
    <w:lvl w:ilvl="5">
      <w:start w:val="1"/>
      <w:numFmt w:val="decimal"/>
      <w:lvlText w:val="%1.%2.%3.%4.%5.%6"/>
      <w:lvlJc w:val="left"/>
      <w:pPr>
        <w:ind w:left="5020" w:hanging="1080"/>
      </w:pPr>
      <w:rPr>
        <w:rFonts w:hint="default"/>
      </w:rPr>
    </w:lvl>
    <w:lvl w:ilvl="6">
      <w:start w:val="1"/>
      <w:numFmt w:val="decimal"/>
      <w:lvlText w:val="%1.%2.%3.%4.%5.%6.%7"/>
      <w:lvlJc w:val="left"/>
      <w:pPr>
        <w:ind w:left="6168" w:hanging="1440"/>
      </w:pPr>
      <w:rPr>
        <w:rFonts w:hint="default"/>
      </w:rPr>
    </w:lvl>
    <w:lvl w:ilvl="7">
      <w:start w:val="1"/>
      <w:numFmt w:val="decimal"/>
      <w:lvlText w:val="%1.%2.%3.%4.%5.%6.%7.%8"/>
      <w:lvlJc w:val="left"/>
      <w:pPr>
        <w:ind w:left="6956" w:hanging="1440"/>
      </w:pPr>
      <w:rPr>
        <w:rFonts w:hint="default"/>
      </w:rPr>
    </w:lvl>
    <w:lvl w:ilvl="8">
      <w:start w:val="1"/>
      <w:numFmt w:val="decimal"/>
      <w:lvlText w:val="%1.%2.%3.%4.%5.%6.%7.%8.%9"/>
      <w:lvlJc w:val="left"/>
      <w:pPr>
        <w:ind w:left="8104" w:hanging="1800"/>
      </w:pPr>
      <w:rPr>
        <w:rFonts w:hint="default"/>
      </w:rPr>
    </w:lvl>
  </w:abstractNum>
  <w:abstractNum w:abstractNumId="25" w15:restartNumberingAfterBreak="0">
    <w:nsid w:val="1A8F1743"/>
    <w:multiLevelType w:val="multilevel"/>
    <w:tmpl w:val="20720DFE"/>
    <w:styleLink w:val="WW8Num3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6" w15:restartNumberingAfterBreak="0">
    <w:nsid w:val="1AF9064E"/>
    <w:multiLevelType w:val="hybridMultilevel"/>
    <w:tmpl w:val="13867188"/>
    <w:lvl w:ilvl="0" w:tplc="0419000D">
      <w:start w:val="1"/>
      <w:numFmt w:val="bullet"/>
      <w:lvlText w:val=""/>
      <w:lvlJc w:val="left"/>
      <w:pPr>
        <w:ind w:left="1287" w:hanging="360"/>
      </w:pPr>
      <w:rPr>
        <w:rFonts w:ascii="Wingdings" w:hAnsi="Wingdings" w:hint="default"/>
      </w:rPr>
    </w:lvl>
    <w:lvl w:ilvl="1" w:tplc="04190003">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7" w15:restartNumberingAfterBreak="0">
    <w:nsid w:val="1BAE0781"/>
    <w:multiLevelType w:val="multilevel"/>
    <w:tmpl w:val="3FA06AE8"/>
    <w:styleLink w:val="WW8Num18"/>
    <w:lvl w:ilvl="0">
      <w:numFmt w:val="bullet"/>
      <w:lvlText w:val="•"/>
      <w:lvlJc w:val="left"/>
      <w:pPr>
        <w:ind w:left="1353" w:hanging="360"/>
      </w:pPr>
      <w:rPr>
        <w:rFonts w:ascii="OpenSymbol" w:eastAsia="SimSun, 宋体" w:hAnsi="OpenSymbol" w:cs="Times New Roman"/>
        <w:color w:val="auto"/>
        <w:sz w:val="24"/>
        <w:szCs w:val="24"/>
        <w:lang w:val="ru-RU" w:bidi="ar-SA"/>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8" w15:restartNumberingAfterBreak="0">
    <w:nsid w:val="1E391FE2"/>
    <w:multiLevelType w:val="hybridMultilevel"/>
    <w:tmpl w:val="A0EAB38C"/>
    <w:lvl w:ilvl="0" w:tplc="99DE672A">
      <w:start w:val="1"/>
      <w:numFmt w:val="bullet"/>
      <w:pStyle w:val="3-"/>
      <w:lvlText w:val=""/>
      <w:lvlJc w:val="left"/>
      <w:pPr>
        <w:ind w:left="2625" w:hanging="360"/>
      </w:pPr>
      <w:rPr>
        <w:rFonts w:ascii="Symbol" w:hAnsi="Symbol" w:hint="default"/>
      </w:rPr>
    </w:lvl>
    <w:lvl w:ilvl="1" w:tplc="04190003" w:tentative="1">
      <w:start w:val="1"/>
      <w:numFmt w:val="bullet"/>
      <w:lvlText w:val="o"/>
      <w:lvlJc w:val="left"/>
      <w:pPr>
        <w:ind w:left="3345" w:hanging="360"/>
      </w:pPr>
      <w:rPr>
        <w:rFonts w:ascii="Courier New" w:hAnsi="Courier New" w:cs="Courier New" w:hint="default"/>
      </w:rPr>
    </w:lvl>
    <w:lvl w:ilvl="2" w:tplc="04190005" w:tentative="1">
      <w:start w:val="1"/>
      <w:numFmt w:val="bullet"/>
      <w:lvlText w:val=""/>
      <w:lvlJc w:val="left"/>
      <w:pPr>
        <w:ind w:left="4065" w:hanging="360"/>
      </w:pPr>
      <w:rPr>
        <w:rFonts w:ascii="Wingdings" w:hAnsi="Wingdings" w:hint="default"/>
      </w:rPr>
    </w:lvl>
    <w:lvl w:ilvl="3" w:tplc="04190001" w:tentative="1">
      <w:start w:val="1"/>
      <w:numFmt w:val="bullet"/>
      <w:lvlText w:val=""/>
      <w:lvlJc w:val="left"/>
      <w:pPr>
        <w:ind w:left="4785" w:hanging="360"/>
      </w:pPr>
      <w:rPr>
        <w:rFonts w:ascii="Symbol" w:hAnsi="Symbol" w:hint="default"/>
      </w:rPr>
    </w:lvl>
    <w:lvl w:ilvl="4" w:tplc="04190003" w:tentative="1">
      <w:start w:val="1"/>
      <w:numFmt w:val="bullet"/>
      <w:lvlText w:val="o"/>
      <w:lvlJc w:val="left"/>
      <w:pPr>
        <w:ind w:left="5505" w:hanging="360"/>
      </w:pPr>
      <w:rPr>
        <w:rFonts w:ascii="Courier New" w:hAnsi="Courier New" w:cs="Courier New" w:hint="default"/>
      </w:rPr>
    </w:lvl>
    <w:lvl w:ilvl="5" w:tplc="04190005" w:tentative="1">
      <w:start w:val="1"/>
      <w:numFmt w:val="bullet"/>
      <w:lvlText w:val=""/>
      <w:lvlJc w:val="left"/>
      <w:pPr>
        <w:ind w:left="6225" w:hanging="360"/>
      </w:pPr>
      <w:rPr>
        <w:rFonts w:ascii="Wingdings" w:hAnsi="Wingdings" w:hint="default"/>
      </w:rPr>
    </w:lvl>
    <w:lvl w:ilvl="6" w:tplc="04190001" w:tentative="1">
      <w:start w:val="1"/>
      <w:numFmt w:val="bullet"/>
      <w:lvlText w:val=""/>
      <w:lvlJc w:val="left"/>
      <w:pPr>
        <w:ind w:left="6945" w:hanging="360"/>
      </w:pPr>
      <w:rPr>
        <w:rFonts w:ascii="Symbol" w:hAnsi="Symbol" w:hint="default"/>
      </w:rPr>
    </w:lvl>
    <w:lvl w:ilvl="7" w:tplc="04190003" w:tentative="1">
      <w:start w:val="1"/>
      <w:numFmt w:val="bullet"/>
      <w:lvlText w:val="o"/>
      <w:lvlJc w:val="left"/>
      <w:pPr>
        <w:ind w:left="7665" w:hanging="360"/>
      </w:pPr>
      <w:rPr>
        <w:rFonts w:ascii="Courier New" w:hAnsi="Courier New" w:cs="Courier New" w:hint="default"/>
      </w:rPr>
    </w:lvl>
    <w:lvl w:ilvl="8" w:tplc="04190005" w:tentative="1">
      <w:start w:val="1"/>
      <w:numFmt w:val="bullet"/>
      <w:lvlText w:val=""/>
      <w:lvlJc w:val="left"/>
      <w:pPr>
        <w:ind w:left="8385" w:hanging="360"/>
      </w:pPr>
      <w:rPr>
        <w:rFonts w:ascii="Wingdings" w:hAnsi="Wingdings" w:hint="default"/>
      </w:rPr>
    </w:lvl>
  </w:abstractNum>
  <w:abstractNum w:abstractNumId="29" w15:restartNumberingAfterBreak="0">
    <w:nsid w:val="1EA2517C"/>
    <w:multiLevelType w:val="multilevel"/>
    <w:tmpl w:val="993ABE08"/>
    <w:styleLink w:val="LFO31"/>
    <w:lvl w:ilvl="0">
      <w:numFmt w:val="bullet"/>
      <w:lvlText w:val="•"/>
      <w:lvlJc w:val="left"/>
      <w:pPr>
        <w:ind w:left="720" w:hanging="360"/>
      </w:pPr>
      <w:rPr>
        <w:rFonts w:ascii="Times New Roman" w:eastAsia="SimSun, 宋体" w:hAnsi="Times New Roman" w:cs="Times New Roman"/>
        <w:color w:val="auto"/>
        <w:sz w:val="24"/>
        <w:szCs w:val="24"/>
        <w:lang w:val="ru-RU" w:bidi="ar-SA"/>
      </w:rPr>
    </w:lvl>
    <w:lvl w:ilvl="1">
      <w:numFmt w:val="bullet"/>
      <w:lvlText w:val="◦"/>
      <w:lvlJc w:val="left"/>
      <w:pPr>
        <w:ind w:left="1080" w:hanging="360"/>
      </w:pPr>
      <w:rPr>
        <w:rFonts w:ascii="Times New Roman" w:eastAsia="SimSun, 宋体" w:hAnsi="Times New Roman" w:cs="Times New Roman"/>
        <w:color w:val="auto"/>
        <w:sz w:val="24"/>
        <w:szCs w:val="24"/>
        <w:lang w:val="ru-RU" w:bidi="ar-SA"/>
      </w:rPr>
    </w:lvl>
    <w:lvl w:ilvl="2">
      <w:numFmt w:val="bullet"/>
      <w:lvlText w:val="▪"/>
      <w:lvlJc w:val="left"/>
      <w:pPr>
        <w:ind w:left="1440" w:hanging="360"/>
      </w:pPr>
      <w:rPr>
        <w:rFonts w:ascii="Times New Roman" w:eastAsia="SimSun, 宋体" w:hAnsi="Times New Roman" w:cs="Times New Roman"/>
        <w:color w:val="auto"/>
        <w:sz w:val="24"/>
        <w:szCs w:val="24"/>
        <w:lang w:val="ru-RU" w:bidi="ar-SA"/>
      </w:rPr>
    </w:lvl>
    <w:lvl w:ilvl="3">
      <w:numFmt w:val="bullet"/>
      <w:lvlText w:val="•"/>
      <w:lvlJc w:val="left"/>
      <w:pPr>
        <w:ind w:left="1800" w:hanging="360"/>
      </w:pPr>
      <w:rPr>
        <w:rFonts w:ascii="Times New Roman" w:eastAsia="SimSun, 宋体" w:hAnsi="Times New Roman" w:cs="Times New Roman"/>
        <w:color w:val="auto"/>
        <w:sz w:val="24"/>
        <w:szCs w:val="24"/>
        <w:lang w:val="ru-RU" w:bidi="ar-SA"/>
      </w:rPr>
    </w:lvl>
    <w:lvl w:ilvl="4">
      <w:numFmt w:val="bullet"/>
      <w:lvlText w:val="◦"/>
      <w:lvlJc w:val="left"/>
      <w:pPr>
        <w:ind w:left="2160" w:hanging="360"/>
      </w:pPr>
      <w:rPr>
        <w:rFonts w:ascii="Times New Roman" w:eastAsia="SimSun, 宋体" w:hAnsi="Times New Roman" w:cs="Times New Roman"/>
        <w:color w:val="auto"/>
        <w:sz w:val="24"/>
        <w:szCs w:val="24"/>
        <w:lang w:val="ru-RU" w:bidi="ar-SA"/>
      </w:rPr>
    </w:lvl>
    <w:lvl w:ilvl="5">
      <w:numFmt w:val="bullet"/>
      <w:lvlText w:val="▪"/>
      <w:lvlJc w:val="left"/>
      <w:pPr>
        <w:ind w:left="2520" w:hanging="360"/>
      </w:pPr>
      <w:rPr>
        <w:rFonts w:ascii="Times New Roman" w:eastAsia="SimSun, 宋体" w:hAnsi="Times New Roman" w:cs="Times New Roman"/>
        <w:color w:val="auto"/>
        <w:sz w:val="24"/>
        <w:szCs w:val="24"/>
        <w:lang w:val="ru-RU" w:bidi="ar-SA"/>
      </w:rPr>
    </w:lvl>
    <w:lvl w:ilvl="6">
      <w:numFmt w:val="bullet"/>
      <w:lvlText w:val="•"/>
      <w:lvlJc w:val="left"/>
      <w:pPr>
        <w:ind w:left="2880" w:hanging="360"/>
      </w:pPr>
      <w:rPr>
        <w:rFonts w:ascii="Times New Roman" w:eastAsia="SimSun, 宋体" w:hAnsi="Times New Roman" w:cs="Times New Roman"/>
        <w:color w:val="auto"/>
        <w:sz w:val="24"/>
        <w:szCs w:val="24"/>
        <w:lang w:val="ru-RU" w:bidi="ar-SA"/>
      </w:rPr>
    </w:lvl>
    <w:lvl w:ilvl="7">
      <w:numFmt w:val="bullet"/>
      <w:lvlText w:val="◦"/>
      <w:lvlJc w:val="left"/>
      <w:pPr>
        <w:ind w:left="3240" w:hanging="360"/>
      </w:pPr>
      <w:rPr>
        <w:rFonts w:ascii="Times New Roman" w:eastAsia="SimSun, 宋体" w:hAnsi="Times New Roman" w:cs="Times New Roman"/>
        <w:color w:val="auto"/>
        <w:sz w:val="24"/>
        <w:szCs w:val="24"/>
        <w:lang w:val="ru-RU" w:bidi="ar-SA"/>
      </w:rPr>
    </w:lvl>
    <w:lvl w:ilvl="8">
      <w:numFmt w:val="bullet"/>
      <w:lvlText w:val="▪"/>
      <w:lvlJc w:val="left"/>
      <w:pPr>
        <w:ind w:left="3600" w:hanging="360"/>
      </w:pPr>
      <w:rPr>
        <w:rFonts w:ascii="Times New Roman" w:eastAsia="SimSun, 宋体" w:hAnsi="Times New Roman" w:cs="Times New Roman"/>
        <w:color w:val="auto"/>
        <w:sz w:val="24"/>
        <w:szCs w:val="24"/>
        <w:lang w:val="ru-RU" w:bidi="ar-SA"/>
      </w:rPr>
    </w:lvl>
  </w:abstractNum>
  <w:abstractNum w:abstractNumId="30" w15:restartNumberingAfterBreak="0">
    <w:nsid w:val="1F315106"/>
    <w:multiLevelType w:val="hybridMultilevel"/>
    <w:tmpl w:val="2D7405C2"/>
    <w:lvl w:ilvl="0" w:tplc="04190001">
      <w:start w:val="1"/>
      <w:numFmt w:val="bullet"/>
      <w:lvlText w:val=""/>
      <w:lvlJc w:val="left"/>
      <w:pPr>
        <w:ind w:left="1287" w:hanging="360"/>
      </w:pPr>
      <w:rPr>
        <w:rFonts w:ascii="Symbol" w:hAnsi="Symbol"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31" w15:restartNumberingAfterBreak="0">
    <w:nsid w:val="26BC2F2E"/>
    <w:multiLevelType w:val="multilevel"/>
    <w:tmpl w:val="831C2F42"/>
    <w:styleLink w:val="WW8Num31"/>
    <w:lvl w:ilvl="0">
      <w:numFmt w:val="bullet"/>
      <w:lvlText w:val="✔"/>
      <w:lvlJc w:val="left"/>
      <w:pPr>
        <w:ind w:left="1429" w:hanging="360"/>
      </w:pPr>
      <w:rPr>
        <w:rFonts w:ascii="OpenSymbol" w:eastAsia="SimSun, 宋体" w:hAnsi="OpenSymbol" w:cs="Times New Roman"/>
        <w:color w:val="auto"/>
        <w:sz w:val="24"/>
        <w:szCs w:val="24"/>
        <w:lang w:val="ru-RU" w:bidi="ar-SA"/>
      </w:rPr>
    </w:lvl>
    <w:lvl w:ilvl="1">
      <w:numFmt w:val="bullet"/>
      <w:lvlText w:val="o"/>
      <w:lvlJc w:val="left"/>
      <w:pPr>
        <w:ind w:left="2149" w:hanging="360"/>
      </w:pPr>
      <w:rPr>
        <w:rFonts w:ascii="Courier New" w:hAnsi="Courier New" w:cs="Courier New"/>
      </w:rPr>
    </w:lvl>
    <w:lvl w:ilvl="2">
      <w:numFmt w:val="bullet"/>
      <w:lvlText w:val=""/>
      <w:lvlJc w:val="left"/>
      <w:pPr>
        <w:ind w:left="2869" w:hanging="360"/>
      </w:pPr>
      <w:rPr>
        <w:rFonts w:ascii="Wingdings" w:hAnsi="Wingdings" w:cs="Wingdings"/>
      </w:rPr>
    </w:lvl>
    <w:lvl w:ilvl="3">
      <w:numFmt w:val="bullet"/>
      <w:lvlText w:val=""/>
      <w:lvlJc w:val="left"/>
      <w:pPr>
        <w:ind w:left="3589" w:hanging="360"/>
      </w:pPr>
      <w:rPr>
        <w:rFonts w:ascii="Symbol" w:hAnsi="Symbol" w:cs="Symbol"/>
      </w:rPr>
    </w:lvl>
    <w:lvl w:ilvl="4">
      <w:numFmt w:val="bullet"/>
      <w:lvlText w:val="o"/>
      <w:lvlJc w:val="left"/>
      <w:pPr>
        <w:ind w:left="4309" w:hanging="360"/>
      </w:pPr>
      <w:rPr>
        <w:rFonts w:ascii="Courier New" w:hAnsi="Courier New" w:cs="Courier New"/>
      </w:rPr>
    </w:lvl>
    <w:lvl w:ilvl="5">
      <w:numFmt w:val="bullet"/>
      <w:lvlText w:val=""/>
      <w:lvlJc w:val="left"/>
      <w:pPr>
        <w:ind w:left="5029" w:hanging="360"/>
      </w:pPr>
      <w:rPr>
        <w:rFonts w:ascii="Wingdings" w:hAnsi="Wingdings" w:cs="Wingdings"/>
      </w:rPr>
    </w:lvl>
    <w:lvl w:ilvl="6">
      <w:numFmt w:val="bullet"/>
      <w:lvlText w:val=""/>
      <w:lvlJc w:val="left"/>
      <w:pPr>
        <w:ind w:left="5749" w:hanging="360"/>
      </w:pPr>
      <w:rPr>
        <w:rFonts w:ascii="Symbol" w:hAnsi="Symbol" w:cs="Symbol"/>
      </w:rPr>
    </w:lvl>
    <w:lvl w:ilvl="7">
      <w:numFmt w:val="bullet"/>
      <w:lvlText w:val="o"/>
      <w:lvlJc w:val="left"/>
      <w:pPr>
        <w:ind w:left="6469" w:hanging="360"/>
      </w:pPr>
      <w:rPr>
        <w:rFonts w:ascii="Courier New" w:hAnsi="Courier New" w:cs="Courier New"/>
      </w:rPr>
    </w:lvl>
    <w:lvl w:ilvl="8">
      <w:numFmt w:val="bullet"/>
      <w:lvlText w:val=""/>
      <w:lvlJc w:val="left"/>
      <w:pPr>
        <w:ind w:left="7189" w:hanging="360"/>
      </w:pPr>
      <w:rPr>
        <w:rFonts w:ascii="Wingdings" w:hAnsi="Wingdings" w:cs="Wingdings"/>
      </w:rPr>
    </w:lvl>
  </w:abstractNum>
  <w:abstractNum w:abstractNumId="32" w15:restartNumberingAfterBreak="0">
    <w:nsid w:val="26D73960"/>
    <w:multiLevelType w:val="hybridMultilevel"/>
    <w:tmpl w:val="99E8040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15:restartNumberingAfterBreak="0">
    <w:nsid w:val="271E5278"/>
    <w:multiLevelType w:val="multilevel"/>
    <w:tmpl w:val="1BE0B048"/>
    <w:styleLink w:val="WW8Num3"/>
    <w:lvl w:ilvl="0">
      <w:numFmt w:val="bullet"/>
      <w:lvlText w:val=""/>
      <w:lvlJc w:val="left"/>
      <w:pPr>
        <w:ind w:left="720" w:hanging="360"/>
      </w:pPr>
      <w:rPr>
        <w:rFonts w:ascii="Symbol" w:hAnsi="Symbol" w:cs="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cs="Wingdings"/>
      </w:rPr>
    </w:lvl>
    <w:lvl w:ilvl="3">
      <w:numFmt w:val="bullet"/>
      <w:lvlText w:val=""/>
      <w:lvlJc w:val="left"/>
      <w:pPr>
        <w:ind w:left="2880" w:hanging="360"/>
      </w:pPr>
      <w:rPr>
        <w:rFonts w:ascii="Symbol" w:hAnsi="Symbol" w:cs="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cs="Wingdings"/>
      </w:rPr>
    </w:lvl>
    <w:lvl w:ilvl="6">
      <w:numFmt w:val="bullet"/>
      <w:lvlText w:val=""/>
      <w:lvlJc w:val="left"/>
      <w:pPr>
        <w:ind w:left="5040" w:hanging="360"/>
      </w:pPr>
      <w:rPr>
        <w:rFonts w:ascii="Symbol" w:hAnsi="Symbol" w:cs="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cs="Wingdings"/>
      </w:rPr>
    </w:lvl>
  </w:abstractNum>
  <w:abstractNum w:abstractNumId="34" w15:restartNumberingAfterBreak="0">
    <w:nsid w:val="27581A89"/>
    <w:multiLevelType w:val="multilevel"/>
    <w:tmpl w:val="43349F9C"/>
    <w:styleLink w:val="WW8Num11"/>
    <w:lvl w:ilvl="0">
      <w:numFmt w:val="bullet"/>
      <w:lvlText w:val="•"/>
      <w:lvlJc w:val="left"/>
      <w:pPr>
        <w:ind w:left="720" w:hanging="360"/>
      </w:pPr>
      <w:rPr>
        <w:rFonts w:ascii="OpenSymbol" w:eastAsia="SimSun, 宋体" w:hAnsi="OpenSymbol" w:cs="Times New Roman"/>
        <w:color w:val="auto"/>
        <w:sz w:val="24"/>
        <w:szCs w:val="24"/>
        <w:lang w:val="ru-RU" w:bidi="ar-SA"/>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cs="Wingdings"/>
      </w:rPr>
    </w:lvl>
    <w:lvl w:ilvl="3">
      <w:numFmt w:val="bullet"/>
      <w:lvlText w:val=""/>
      <w:lvlJc w:val="left"/>
      <w:pPr>
        <w:ind w:left="2880" w:hanging="360"/>
      </w:pPr>
      <w:rPr>
        <w:rFonts w:ascii="Symbol" w:hAnsi="Symbol" w:cs="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cs="Wingdings"/>
      </w:rPr>
    </w:lvl>
    <w:lvl w:ilvl="6">
      <w:numFmt w:val="bullet"/>
      <w:lvlText w:val=""/>
      <w:lvlJc w:val="left"/>
      <w:pPr>
        <w:ind w:left="5040" w:hanging="360"/>
      </w:pPr>
      <w:rPr>
        <w:rFonts w:ascii="Symbol" w:hAnsi="Symbol" w:cs="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cs="Wingdings"/>
      </w:rPr>
    </w:lvl>
  </w:abstractNum>
  <w:abstractNum w:abstractNumId="35" w15:restartNumberingAfterBreak="0">
    <w:nsid w:val="28410676"/>
    <w:multiLevelType w:val="multilevel"/>
    <w:tmpl w:val="FF003C24"/>
    <w:styleLink w:val="13111"/>
    <w:lvl w:ilvl="0">
      <w:numFmt w:val="bullet"/>
      <w:lvlText w:val="•"/>
      <w:lvlJc w:val="left"/>
      <w:pPr>
        <w:ind w:left="928" w:hanging="360"/>
      </w:pPr>
      <w:rPr>
        <w:rFonts w:ascii="OpenSymbol" w:eastAsia="SimSun, 宋体" w:hAnsi="OpenSymbol" w:cs="Times New Roman"/>
        <w:color w:val="auto"/>
        <w:sz w:val="24"/>
        <w:szCs w:val="24"/>
        <w:lang w:val="ru-RU" w:bidi="ar-SA"/>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36" w15:restartNumberingAfterBreak="0">
    <w:nsid w:val="28F14EE5"/>
    <w:multiLevelType w:val="multilevel"/>
    <w:tmpl w:val="C99E5CC8"/>
    <w:styleLink w:val="WW8Num13"/>
    <w:lvl w:ilvl="0">
      <w:numFmt w:val="bullet"/>
      <w:lvlText w:val="✔"/>
      <w:lvlJc w:val="left"/>
      <w:pPr>
        <w:ind w:left="1429" w:hanging="360"/>
      </w:pPr>
      <w:rPr>
        <w:rFonts w:ascii="OpenSymbol" w:eastAsia="SimSun, 宋体" w:hAnsi="OpenSymbol" w:cs="Times New Roman"/>
        <w:color w:val="auto"/>
        <w:sz w:val="24"/>
        <w:szCs w:val="24"/>
        <w:lang w:val="ru-RU" w:bidi="ar-SA"/>
      </w:rPr>
    </w:lvl>
    <w:lvl w:ilvl="1">
      <w:numFmt w:val="bullet"/>
      <w:lvlText w:val="o"/>
      <w:lvlJc w:val="left"/>
      <w:pPr>
        <w:ind w:left="2149" w:hanging="360"/>
      </w:pPr>
      <w:rPr>
        <w:rFonts w:ascii="Courier New" w:hAnsi="Courier New" w:cs="Courier New"/>
      </w:rPr>
    </w:lvl>
    <w:lvl w:ilvl="2">
      <w:numFmt w:val="bullet"/>
      <w:lvlText w:val=""/>
      <w:lvlJc w:val="left"/>
      <w:pPr>
        <w:ind w:left="2869" w:hanging="360"/>
      </w:pPr>
      <w:rPr>
        <w:rFonts w:ascii="Wingdings" w:hAnsi="Wingdings" w:cs="Wingdings"/>
      </w:rPr>
    </w:lvl>
    <w:lvl w:ilvl="3">
      <w:numFmt w:val="bullet"/>
      <w:lvlText w:val=""/>
      <w:lvlJc w:val="left"/>
      <w:pPr>
        <w:ind w:left="3589" w:hanging="360"/>
      </w:pPr>
      <w:rPr>
        <w:rFonts w:ascii="Symbol" w:hAnsi="Symbol" w:cs="Symbol"/>
      </w:rPr>
    </w:lvl>
    <w:lvl w:ilvl="4">
      <w:numFmt w:val="bullet"/>
      <w:lvlText w:val="o"/>
      <w:lvlJc w:val="left"/>
      <w:pPr>
        <w:ind w:left="4309" w:hanging="360"/>
      </w:pPr>
      <w:rPr>
        <w:rFonts w:ascii="Courier New" w:hAnsi="Courier New" w:cs="Courier New"/>
      </w:rPr>
    </w:lvl>
    <w:lvl w:ilvl="5">
      <w:numFmt w:val="bullet"/>
      <w:lvlText w:val=""/>
      <w:lvlJc w:val="left"/>
      <w:pPr>
        <w:ind w:left="5029" w:hanging="360"/>
      </w:pPr>
      <w:rPr>
        <w:rFonts w:ascii="Wingdings" w:hAnsi="Wingdings" w:cs="Wingdings"/>
      </w:rPr>
    </w:lvl>
    <w:lvl w:ilvl="6">
      <w:numFmt w:val="bullet"/>
      <w:lvlText w:val=""/>
      <w:lvlJc w:val="left"/>
      <w:pPr>
        <w:ind w:left="5749" w:hanging="360"/>
      </w:pPr>
      <w:rPr>
        <w:rFonts w:ascii="Symbol" w:hAnsi="Symbol" w:cs="Symbol"/>
      </w:rPr>
    </w:lvl>
    <w:lvl w:ilvl="7">
      <w:numFmt w:val="bullet"/>
      <w:lvlText w:val="o"/>
      <w:lvlJc w:val="left"/>
      <w:pPr>
        <w:ind w:left="6469" w:hanging="360"/>
      </w:pPr>
      <w:rPr>
        <w:rFonts w:ascii="Courier New" w:hAnsi="Courier New" w:cs="Courier New"/>
      </w:rPr>
    </w:lvl>
    <w:lvl w:ilvl="8">
      <w:numFmt w:val="bullet"/>
      <w:lvlText w:val=""/>
      <w:lvlJc w:val="left"/>
      <w:pPr>
        <w:ind w:left="7189" w:hanging="360"/>
      </w:pPr>
      <w:rPr>
        <w:rFonts w:ascii="Wingdings" w:hAnsi="Wingdings" w:cs="Wingdings"/>
      </w:rPr>
    </w:lvl>
  </w:abstractNum>
  <w:abstractNum w:abstractNumId="37" w15:restartNumberingAfterBreak="0">
    <w:nsid w:val="29D51DDE"/>
    <w:multiLevelType w:val="hybridMultilevel"/>
    <w:tmpl w:val="0DFCD25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8" w15:restartNumberingAfterBreak="0">
    <w:nsid w:val="2B5A4F6B"/>
    <w:multiLevelType w:val="multilevel"/>
    <w:tmpl w:val="AF420BC6"/>
    <w:lvl w:ilvl="0">
      <w:start w:val="1"/>
      <w:numFmt w:val="decimal"/>
      <w:lvlText w:val="%1."/>
      <w:lvlJc w:val="left"/>
      <w:pPr>
        <w:ind w:left="1070" w:hanging="360"/>
      </w:pPr>
      <w:rPr>
        <w:rFonts w:hint="default"/>
      </w:rPr>
    </w:lvl>
    <w:lvl w:ilvl="1">
      <w:start w:val="1"/>
      <w:numFmt w:val="decimal"/>
      <w:isLgl/>
      <w:lvlText w:val="%2."/>
      <w:lvlJc w:val="left"/>
      <w:pPr>
        <w:ind w:left="1429" w:hanging="720"/>
      </w:pPr>
      <w:rPr>
        <w:rFonts w:ascii="Times New Roman" w:eastAsia="Calibri" w:hAnsi="Times New Roman" w:cs="Times New Roman"/>
      </w:rPr>
    </w:lvl>
    <w:lvl w:ilvl="2">
      <w:start w:val="1"/>
      <w:numFmt w:val="decimal"/>
      <w:isLgl/>
      <w:lvlText w:val="%1.%2.%3."/>
      <w:lvlJc w:val="left"/>
      <w:pPr>
        <w:ind w:left="1429"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509" w:hanging="180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869" w:hanging="2160"/>
      </w:pPr>
      <w:rPr>
        <w:rFonts w:hint="default"/>
      </w:rPr>
    </w:lvl>
  </w:abstractNum>
  <w:abstractNum w:abstractNumId="39" w15:restartNumberingAfterBreak="0">
    <w:nsid w:val="2B8A0848"/>
    <w:multiLevelType w:val="multilevel"/>
    <w:tmpl w:val="E5104436"/>
    <w:styleLink w:val="WW8Num29"/>
    <w:lvl w:ilvl="0">
      <w:start w:val="1"/>
      <w:numFmt w:val="decimal"/>
      <w:pStyle w:val="avg-"/>
      <w:lvlText w:val="%1."/>
      <w:lvlJc w:val="left"/>
      <w:pPr>
        <w:ind w:left="680" w:hanging="396"/>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0" w15:restartNumberingAfterBreak="0">
    <w:nsid w:val="2DEA35B0"/>
    <w:multiLevelType w:val="multilevel"/>
    <w:tmpl w:val="A776F9C0"/>
    <w:styleLink w:val="WW8Num7"/>
    <w:lvl w:ilvl="0">
      <w:numFmt w:val="bullet"/>
      <w:lvlText w:val="•"/>
      <w:lvlJc w:val="left"/>
      <w:pPr>
        <w:ind w:left="1440" w:hanging="360"/>
      </w:pPr>
      <w:rPr>
        <w:rFonts w:ascii="OpenSymbol" w:eastAsia="SimSun, 宋体" w:hAnsi="OpenSymbol" w:cs="Times New Roman"/>
        <w:color w:val="auto"/>
        <w:sz w:val="24"/>
        <w:szCs w:val="24"/>
        <w:lang w:val="ru-RU" w:bidi="ar-SA"/>
      </w:rPr>
    </w:lvl>
    <w:lvl w:ilvl="1">
      <w:numFmt w:val="bullet"/>
      <w:lvlText w:val="o"/>
      <w:lvlJc w:val="left"/>
      <w:pPr>
        <w:ind w:left="2160" w:hanging="360"/>
      </w:pPr>
      <w:rPr>
        <w:rFonts w:ascii="Courier New" w:hAnsi="Courier New" w:cs="Courier New"/>
      </w:rPr>
    </w:lvl>
    <w:lvl w:ilvl="2">
      <w:numFmt w:val="bullet"/>
      <w:lvlText w:val=""/>
      <w:lvlJc w:val="left"/>
      <w:pPr>
        <w:ind w:left="2880" w:hanging="360"/>
      </w:pPr>
      <w:rPr>
        <w:rFonts w:ascii="Wingdings" w:hAnsi="Wingdings" w:cs="Wingdings"/>
      </w:rPr>
    </w:lvl>
    <w:lvl w:ilvl="3">
      <w:numFmt w:val="bullet"/>
      <w:lvlText w:val=""/>
      <w:lvlJc w:val="left"/>
      <w:pPr>
        <w:ind w:left="3600" w:hanging="360"/>
      </w:pPr>
      <w:rPr>
        <w:rFonts w:ascii="Symbol" w:hAnsi="Symbol" w:cs="Symbol"/>
      </w:rPr>
    </w:lvl>
    <w:lvl w:ilvl="4">
      <w:numFmt w:val="bullet"/>
      <w:lvlText w:val="o"/>
      <w:lvlJc w:val="left"/>
      <w:pPr>
        <w:ind w:left="4320" w:hanging="360"/>
      </w:pPr>
      <w:rPr>
        <w:rFonts w:ascii="Courier New" w:hAnsi="Courier New" w:cs="Courier New"/>
      </w:rPr>
    </w:lvl>
    <w:lvl w:ilvl="5">
      <w:numFmt w:val="bullet"/>
      <w:lvlText w:val=""/>
      <w:lvlJc w:val="left"/>
      <w:pPr>
        <w:ind w:left="5040" w:hanging="360"/>
      </w:pPr>
      <w:rPr>
        <w:rFonts w:ascii="Wingdings" w:hAnsi="Wingdings" w:cs="Wingdings"/>
      </w:rPr>
    </w:lvl>
    <w:lvl w:ilvl="6">
      <w:numFmt w:val="bullet"/>
      <w:lvlText w:val=""/>
      <w:lvlJc w:val="left"/>
      <w:pPr>
        <w:ind w:left="5760" w:hanging="360"/>
      </w:pPr>
      <w:rPr>
        <w:rFonts w:ascii="Symbol" w:hAnsi="Symbol" w:cs="Symbol"/>
      </w:rPr>
    </w:lvl>
    <w:lvl w:ilvl="7">
      <w:numFmt w:val="bullet"/>
      <w:lvlText w:val="o"/>
      <w:lvlJc w:val="left"/>
      <w:pPr>
        <w:ind w:left="6480" w:hanging="360"/>
      </w:pPr>
      <w:rPr>
        <w:rFonts w:ascii="Courier New" w:hAnsi="Courier New" w:cs="Courier New"/>
      </w:rPr>
    </w:lvl>
    <w:lvl w:ilvl="8">
      <w:numFmt w:val="bullet"/>
      <w:lvlText w:val=""/>
      <w:lvlJc w:val="left"/>
      <w:pPr>
        <w:ind w:left="7200" w:hanging="360"/>
      </w:pPr>
      <w:rPr>
        <w:rFonts w:ascii="Wingdings" w:hAnsi="Wingdings" w:cs="Wingdings"/>
      </w:rPr>
    </w:lvl>
  </w:abstractNum>
  <w:abstractNum w:abstractNumId="41" w15:restartNumberingAfterBreak="0">
    <w:nsid w:val="2E2E5E00"/>
    <w:multiLevelType w:val="multilevel"/>
    <w:tmpl w:val="F030F06A"/>
    <w:styleLink w:val="WW8Num16"/>
    <w:lvl w:ilvl="0">
      <w:start w:val="1"/>
      <w:numFmt w:val="decimal"/>
      <w:lvlText w:val="%1."/>
      <w:lvlJc w:val="left"/>
      <w:pPr>
        <w:ind w:left="1264" w:hanging="360"/>
      </w:pPr>
      <w:rPr>
        <w:rFonts w:cs="Times New Roman"/>
      </w:rPr>
    </w:lvl>
    <w:lvl w:ilvl="1">
      <w:start w:val="1"/>
      <w:numFmt w:val="lowerLetter"/>
      <w:lvlText w:val="%2."/>
      <w:lvlJc w:val="left"/>
      <w:pPr>
        <w:ind w:left="1984" w:hanging="360"/>
      </w:pPr>
      <w:rPr>
        <w:rFonts w:cs="Times New Roman"/>
      </w:rPr>
    </w:lvl>
    <w:lvl w:ilvl="2">
      <w:start w:val="1"/>
      <w:numFmt w:val="lowerRoman"/>
      <w:lvlText w:val="%3."/>
      <w:lvlJc w:val="right"/>
      <w:pPr>
        <w:ind w:left="2704" w:hanging="180"/>
      </w:pPr>
      <w:rPr>
        <w:rFonts w:cs="Times New Roman"/>
      </w:rPr>
    </w:lvl>
    <w:lvl w:ilvl="3">
      <w:start w:val="1"/>
      <w:numFmt w:val="decimal"/>
      <w:lvlText w:val="%4."/>
      <w:lvlJc w:val="left"/>
      <w:pPr>
        <w:ind w:left="3424" w:hanging="360"/>
      </w:pPr>
      <w:rPr>
        <w:rFonts w:cs="Times New Roman"/>
      </w:rPr>
    </w:lvl>
    <w:lvl w:ilvl="4">
      <w:start w:val="1"/>
      <w:numFmt w:val="lowerLetter"/>
      <w:lvlText w:val="%5."/>
      <w:lvlJc w:val="left"/>
      <w:pPr>
        <w:ind w:left="4144" w:hanging="360"/>
      </w:pPr>
      <w:rPr>
        <w:rFonts w:cs="Times New Roman"/>
      </w:rPr>
    </w:lvl>
    <w:lvl w:ilvl="5">
      <w:start w:val="1"/>
      <w:numFmt w:val="lowerRoman"/>
      <w:lvlText w:val="%6."/>
      <w:lvlJc w:val="right"/>
      <w:pPr>
        <w:ind w:left="4864" w:hanging="180"/>
      </w:pPr>
      <w:rPr>
        <w:rFonts w:cs="Times New Roman"/>
      </w:rPr>
    </w:lvl>
    <w:lvl w:ilvl="6">
      <w:start w:val="1"/>
      <w:numFmt w:val="decimal"/>
      <w:lvlText w:val="%7."/>
      <w:lvlJc w:val="left"/>
      <w:pPr>
        <w:ind w:left="5584" w:hanging="360"/>
      </w:pPr>
      <w:rPr>
        <w:rFonts w:cs="Times New Roman"/>
      </w:rPr>
    </w:lvl>
    <w:lvl w:ilvl="7">
      <w:start w:val="1"/>
      <w:numFmt w:val="lowerLetter"/>
      <w:lvlText w:val="%8."/>
      <w:lvlJc w:val="left"/>
      <w:pPr>
        <w:ind w:left="6304" w:hanging="360"/>
      </w:pPr>
      <w:rPr>
        <w:rFonts w:cs="Times New Roman"/>
      </w:rPr>
    </w:lvl>
    <w:lvl w:ilvl="8">
      <w:start w:val="1"/>
      <w:numFmt w:val="lowerRoman"/>
      <w:lvlText w:val="%9."/>
      <w:lvlJc w:val="right"/>
      <w:pPr>
        <w:ind w:left="7024" w:hanging="180"/>
      </w:pPr>
      <w:rPr>
        <w:rFonts w:cs="Times New Roman"/>
      </w:rPr>
    </w:lvl>
  </w:abstractNum>
  <w:abstractNum w:abstractNumId="42" w15:restartNumberingAfterBreak="0">
    <w:nsid w:val="2E441D27"/>
    <w:multiLevelType w:val="hybridMultilevel"/>
    <w:tmpl w:val="484E6334"/>
    <w:lvl w:ilvl="0" w:tplc="44D40202">
      <w:start w:val="1"/>
      <w:numFmt w:val="decimal"/>
      <w:pStyle w:val="1-"/>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43" w15:restartNumberingAfterBreak="0">
    <w:nsid w:val="300D1A38"/>
    <w:multiLevelType w:val="hybridMultilevel"/>
    <w:tmpl w:val="01264D1C"/>
    <w:lvl w:ilvl="0" w:tplc="0419000D">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4" w15:restartNumberingAfterBreak="0">
    <w:nsid w:val="32B61CFA"/>
    <w:multiLevelType w:val="hybridMultilevel"/>
    <w:tmpl w:val="602AA422"/>
    <w:lvl w:ilvl="0" w:tplc="3AC89408">
      <w:start w:val="1"/>
      <w:numFmt w:val="bullet"/>
      <w:pStyle w:val="2-"/>
      <w:lvlText w:val="o"/>
      <w:lvlJc w:val="left"/>
      <w:pPr>
        <w:ind w:left="1550" w:hanging="360"/>
      </w:pPr>
      <w:rPr>
        <w:rFonts w:ascii="Courier New" w:hAnsi="Courier New" w:cs="Courier New" w:hint="default"/>
      </w:rPr>
    </w:lvl>
    <w:lvl w:ilvl="1" w:tplc="04190003" w:tentative="1">
      <w:start w:val="1"/>
      <w:numFmt w:val="bullet"/>
      <w:lvlText w:val="o"/>
      <w:lvlJc w:val="left"/>
      <w:pPr>
        <w:ind w:left="2270" w:hanging="360"/>
      </w:pPr>
      <w:rPr>
        <w:rFonts w:ascii="Courier New" w:hAnsi="Courier New" w:cs="Courier New" w:hint="default"/>
      </w:rPr>
    </w:lvl>
    <w:lvl w:ilvl="2" w:tplc="04190005" w:tentative="1">
      <w:start w:val="1"/>
      <w:numFmt w:val="bullet"/>
      <w:lvlText w:val=""/>
      <w:lvlJc w:val="left"/>
      <w:pPr>
        <w:ind w:left="2990" w:hanging="360"/>
      </w:pPr>
      <w:rPr>
        <w:rFonts w:ascii="Wingdings" w:hAnsi="Wingdings" w:hint="default"/>
      </w:rPr>
    </w:lvl>
    <w:lvl w:ilvl="3" w:tplc="04190001" w:tentative="1">
      <w:start w:val="1"/>
      <w:numFmt w:val="bullet"/>
      <w:lvlText w:val=""/>
      <w:lvlJc w:val="left"/>
      <w:pPr>
        <w:ind w:left="3710" w:hanging="360"/>
      </w:pPr>
      <w:rPr>
        <w:rFonts w:ascii="Symbol" w:hAnsi="Symbol" w:hint="default"/>
      </w:rPr>
    </w:lvl>
    <w:lvl w:ilvl="4" w:tplc="04190003" w:tentative="1">
      <w:start w:val="1"/>
      <w:numFmt w:val="bullet"/>
      <w:lvlText w:val="o"/>
      <w:lvlJc w:val="left"/>
      <w:pPr>
        <w:ind w:left="4430" w:hanging="360"/>
      </w:pPr>
      <w:rPr>
        <w:rFonts w:ascii="Courier New" w:hAnsi="Courier New" w:cs="Courier New" w:hint="default"/>
      </w:rPr>
    </w:lvl>
    <w:lvl w:ilvl="5" w:tplc="04190005" w:tentative="1">
      <w:start w:val="1"/>
      <w:numFmt w:val="bullet"/>
      <w:lvlText w:val=""/>
      <w:lvlJc w:val="left"/>
      <w:pPr>
        <w:ind w:left="5150" w:hanging="360"/>
      </w:pPr>
      <w:rPr>
        <w:rFonts w:ascii="Wingdings" w:hAnsi="Wingdings" w:hint="default"/>
      </w:rPr>
    </w:lvl>
    <w:lvl w:ilvl="6" w:tplc="04190001" w:tentative="1">
      <w:start w:val="1"/>
      <w:numFmt w:val="bullet"/>
      <w:lvlText w:val=""/>
      <w:lvlJc w:val="left"/>
      <w:pPr>
        <w:ind w:left="5870" w:hanging="360"/>
      </w:pPr>
      <w:rPr>
        <w:rFonts w:ascii="Symbol" w:hAnsi="Symbol" w:hint="default"/>
      </w:rPr>
    </w:lvl>
    <w:lvl w:ilvl="7" w:tplc="04190003" w:tentative="1">
      <w:start w:val="1"/>
      <w:numFmt w:val="bullet"/>
      <w:lvlText w:val="o"/>
      <w:lvlJc w:val="left"/>
      <w:pPr>
        <w:ind w:left="6590" w:hanging="360"/>
      </w:pPr>
      <w:rPr>
        <w:rFonts w:ascii="Courier New" w:hAnsi="Courier New" w:cs="Courier New" w:hint="default"/>
      </w:rPr>
    </w:lvl>
    <w:lvl w:ilvl="8" w:tplc="04190005" w:tentative="1">
      <w:start w:val="1"/>
      <w:numFmt w:val="bullet"/>
      <w:lvlText w:val=""/>
      <w:lvlJc w:val="left"/>
      <w:pPr>
        <w:ind w:left="7310" w:hanging="360"/>
      </w:pPr>
      <w:rPr>
        <w:rFonts w:ascii="Wingdings" w:hAnsi="Wingdings" w:hint="default"/>
      </w:rPr>
    </w:lvl>
  </w:abstractNum>
  <w:abstractNum w:abstractNumId="45" w15:restartNumberingAfterBreak="0">
    <w:nsid w:val="344F7A94"/>
    <w:multiLevelType w:val="hybridMultilevel"/>
    <w:tmpl w:val="742E6930"/>
    <w:lvl w:ilvl="0" w:tplc="F20AFF1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6" w15:restartNumberingAfterBreak="0">
    <w:nsid w:val="35D73256"/>
    <w:multiLevelType w:val="multilevel"/>
    <w:tmpl w:val="0419001F"/>
    <w:styleLink w:val="111111"/>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792"/>
        </w:tabs>
        <w:ind w:left="792" w:hanging="432"/>
      </w:pPr>
      <w:rPr>
        <w:rFonts w:cs="Times New Roman"/>
      </w:rPr>
    </w:lvl>
    <w:lvl w:ilvl="2">
      <w:start w:val="1"/>
      <w:numFmt w:val="decimal"/>
      <w:lvlText w:val="%1.%2.%3."/>
      <w:lvlJc w:val="left"/>
      <w:pPr>
        <w:tabs>
          <w:tab w:val="num" w:pos="1224"/>
        </w:tabs>
        <w:ind w:left="1224" w:hanging="504"/>
      </w:pPr>
      <w:rPr>
        <w:rFonts w:cs="Times New Roman"/>
      </w:rPr>
    </w:lvl>
    <w:lvl w:ilvl="3">
      <w:start w:val="1"/>
      <w:numFmt w:val="decimal"/>
      <w:lvlText w:val="%1.%2.%3.%4."/>
      <w:lvlJc w:val="left"/>
      <w:pPr>
        <w:tabs>
          <w:tab w:val="num" w:pos="1728"/>
        </w:tabs>
        <w:ind w:left="1728" w:hanging="648"/>
      </w:pPr>
      <w:rPr>
        <w:rFonts w:cs="Times New Roman"/>
      </w:rPr>
    </w:lvl>
    <w:lvl w:ilvl="4">
      <w:start w:val="1"/>
      <w:numFmt w:val="decimal"/>
      <w:lvlText w:val="%1.%2.%3.%4.%5."/>
      <w:lvlJc w:val="left"/>
      <w:pPr>
        <w:tabs>
          <w:tab w:val="num" w:pos="2232"/>
        </w:tabs>
        <w:ind w:left="2232" w:hanging="792"/>
      </w:pPr>
      <w:rPr>
        <w:rFonts w:cs="Times New Roman"/>
      </w:rPr>
    </w:lvl>
    <w:lvl w:ilvl="5">
      <w:start w:val="1"/>
      <w:numFmt w:val="decimal"/>
      <w:lvlText w:val="%1.%2.%3.%4.%5.%6."/>
      <w:lvlJc w:val="left"/>
      <w:pPr>
        <w:tabs>
          <w:tab w:val="num" w:pos="2736"/>
        </w:tabs>
        <w:ind w:left="2736" w:hanging="936"/>
      </w:pPr>
      <w:rPr>
        <w:rFonts w:cs="Times New Roman"/>
      </w:rPr>
    </w:lvl>
    <w:lvl w:ilvl="6">
      <w:start w:val="1"/>
      <w:numFmt w:val="decimal"/>
      <w:lvlText w:val="%1.%2.%3.%4.%5.%6.%7."/>
      <w:lvlJc w:val="left"/>
      <w:pPr>
        <w:tabs>
          <w:tab w:val="num" w:pos="3240"/>
        </w:tabs>
        <w:ind w:left="3240" w:hanging="1080"/>
      </w:pPr>
      <w:rPr>
        <w:rFonts w:cs="Times New Roman"/>
      </w:rPr>
    </w:lvl>
    <w:lvl w:ilvl="7">
      <w:start w:val="1"/>
      <w:numFmt w:val="decimal"/>
      <w:lvlText w:val="%1.%2.%3.%4.%5.%6.%7.%8."/>
      <w:lvlJc w:val="left"/>
      <w:pPr>
        <w:tabs>
          <w:tab w:val="num" w:pos="3744"/>
        </w:tabs>
        <w:ind w:left="3744" w:hanging="1224"/>
      </w:pPr>
      <w:rPr>
        <w:rFonts w:cs="Times New Roman"/>
      </w:rPr>
    </w:lvl>
    <w:lvl w:ilvl="8">
      <w:start w:val="1"/>
      <w:numFmt w:val="decimal"/>
      <w:lvlText w:val="%1.%2.%3.%4.%5.%6.%7.%8.%9."/>
      <w:lvlJc w:val="left"/>
      <w:pPr>
        <w:tabs>
          <w:tab w:val="num" w:pos="4320"/>
        </w:tabs>
        <w:ind w:left="4320" w:hanging="1440"/>
      </w:pPr>
      <w:rPr>
        <w:rFonts w:cs="Times New Roman"/>
      </w:rPr>
    </w:lvl>
  </w:abstractNum>
  <w:abstractNum w:abstractNumId="47" w15:restartNumberingAfterBreak="0">
    <w:nsid w:val="36231D91"/>
    <w:multiLevelType w:val="multilevel"/>
    <w:tmpl w:val="F41A49C4"/>
    <w:styleLink w:val="WW8Num4"/>
    <w:lvl w:ilvl="0">
      <w:start w:val="1"/>
      <w:numFmt w:val="decimal"/>
      <w:lvlText w:val="%1)"/>
      <w:lvlJc w:val="left"/>
      <w:pPr>
        <w:ind w:left="927" w:hanging="360"/>
      </w:pPr>
      <w:rPr>
        <w:lang w:eastAsia="en-US"/>
      </w:rPr>
    </w:lvl>
    <w:lvl w:ilvl="1">
      <w:start w:val="1"/>
      <w:numFmt w:val="lowerLetter"/>
      <w:lvlText w:val="%2."/>
      <w:lvlJc w:val="left"/>
      <w:pPr>
        <w:ind w:left="1647" w:hanging="360"/>
      </w:pPr>
    </w:lvl>
    <w:lvl w:ilvl="2">
      <w:start w:val="1"/>
      <w:numFmt w:val="lowerRoman"/>
      <w:lvlText w:val="%3."/>
      <w:lvlJc w:val="right"/>
      <w:pPr>
        <w:ind w:left="2367" w:hanging="180"/>
      </w:pPr>
    </w:lvl>
    <w:lvl w:ilvl="3">
      <w:start w:val="1"/>
      <w:numFmt w:val="decimal"/>
      <w:lvlText w:val="%4."/>
      <w:lvlJc w:val="left"/>
      <w:pPr>
        <w:ind w:left="3087" w:hanging="360"/>
      </w:pPr>
    </w:lvl>
    <w:lvl w:ilvl="4">
      <w:start w:val="1"/>
      <w:numFmt w:val="lowerLetter"/>
      <w:lvlText w:val="%5."/>
      <w:lvlJc w:val="left"/>
      <w:pPr>
        <w:ind w:left="3807" w:hanging="360"/>
      </w:pPr>
    </w:lvl>
    <w:lvl w:ilvl="5">
      <w:start w:val="1"/>
      <w:numFmt w:val="lowerRoman"/>
      <w:lvlText w:val="%6."/>
      <w:lvlJc w:val="right"/>
      <w:pPr>
        <w:ind w:left="4527" w:hanging="180"/>
      </w:pPr>
    </w:lvl>
    <w:lvl w:ilvl="6">
      <w:start w:val="1"/>
      <w:numFmt w:val="decimal"/>
      <w:lvlText w:val="%7."/>
      <w:lvlJc w:val="left"/>
      <w:pPr>
        <w:ind w:left="5247" w:hanging="360"/>
      </w:pPr>
    </w:lvl>
    <w:lvl w:ilvl="7">
      <w:start w:val="1"/>
      <w:numFmt w:val="lowerLetter"/>
      <w:lvlText w:val="%8."/>
      <w:lvlJc w:val="left"/>
      <w:pPr>
        <w:ind w:left="5967" w:hanging="360"/>
      </w:pPr>
    </w:lvl>
    <w:lvl w:ilvl="8">
      <w:start w:val="1"/>
      <w:numFmt w:val="lowerRoman"/>
      <w:lvlText w:val="%9."/>
      <w:lvlJc w:val="right"/>
      <w:pPr>
        <w:ind w:left="6687" w:hanging="180"/>
      </w:pPr>
    </w:lvl>
  </w:abstractNum>
  <w:abstractNum w:abstractNumId="48" w15:restartNumberingAfterBreak="0">
    <w:nsid w:val="364C4B0E"/>
    <w:multiLevelType w:val="hybridMultilevel"/>
    <w:tmpl w:val="DD80158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9" w15:restartNumberingAfterBreak="0">
    <w:nsid w:val="379645DA"/>
    <w:multiLevelType w:val="hybridMultilevel"/>
    <w:tmpl w:val="00D0698E"/>
    <w:lvl w:ilvl="0" w:tplc="54FCDD90">
      <w:start w:val="9"/>
      <w:numFmt w:val="bullet"/>
      <w:lvlText w:val="–"/>
      <w:lvlJc w:val="left"/>
      <w:pPr>
        <w:ind w:left="1429" w:hanging="360"/>
      </w:pPr>
      <w:rPr>
        <w:rFonts w:ascii="Times New Roman" w:eastAsiaTheme="minorHAnsi"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0" w15:restartNumberingAfterBreak="0">
    <w:nsid w:val="39E377AC"/>
    <w:multiLevelType w:val="multilevel"/>
    <w:tmpl w:val="A6FA5F3A"/>
    <w:styleLink w:val="WW8Num5"/>
    <w:lvl w:ilvl="0">
      <w:numFmt w:val="bullet"/>
      <w:lvlText w:val=""/>
      <w:lvlJc w:val="left"/>
      <w:pPr>
        <w:ind w:left="720" w:hanging="360"/>
      </w:pPr>
      <w:rPr>
        <w:rFonts w:ascii="Symbol" w:hAnsi="Symbol" w:cs="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cs="Wingdings"/>
      </w:rPr>
    </w:lvl>
    <w:lvl w:ilvl="3">
      <w:numFmt w:val="bullet"/>
      <w:lvlText w:val=""/>
      <w:lvlJc w:val="left"/>
      <w:pPr>
        <w:ind w:left="2880" w:hanging="360"/>
      </w:pPr>
      <w:rPr>
        <w:rFonts w:ascii="Symbol" w:hAnsi="Symbol" w:cs="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cs="Wingdings"/>
      </w:rPr>
    </w:lvl>
    <w:lvl w:ilvl="6">
      <w:numFmt w:val="bullet"/>
      <w:lvlText w:val=""/>
      <w:lvlJc w:val="left"/>
      <w:pPr>
        <w:ind w:left="5040" w:hanging="360"/>
      </w:pPr>
      <w:rPr>
        <w:rFonts w:ascii="Symbol" w:hAnsi="Symbol" w:cs="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cs="Wingdings"/>
      </w:rPr>
    </w:lvl>
  </w:abstractNum>
  <w:abstractNum w:abstractNumId="51" w15:restartNumberingAfterBreak="0">
    <w:nsid w:val="3A0C0ED9"/>
    <w:multiLevelType w:val="hybridMultilevel"/>
    <w:tmpl w:val="95C0758A"/>
    <w:styleLink w:val="218"/>
    <w:lvl w:ilvl="0" w:tplc="334A1200">
      <w:start w:val="4"/>
      <w:numFmt w:val="bullet"/>
      <w:lvlText w:val="–"/>
      <w:lvlJc w:val="left"/>
      <w:pPr>
        <w:ind w:left="1429" w:hanging="360"/>
      </w:pPr>
      <w:rPr>
        <w:rFonts w:ascii="Times New Roman" w:eastAsia="Calibri"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2" w15:restartNumberingAfterBreak="0">
    <w:nsid w:val="3ABF6C4C"/>
    <w:multiLevelType w:val="multilevel"/>
    <w:tmpl w:val="D368FB50"/>
    <w:styleLink w:val="WW8Num21"/>
    <w:lvl w:ilvl="0">
      <w:start w:val="1"/>
      <w:numFmt w:val="decimal"/>
      <w:suff w:val="space"/>
      <w:lvlText w:val="%1."/>
      <w:lvlJc w:val="left"/>
      <w:pPr>
        <w:ind w:left="1202" w:hanging="432"/>
      </w:pPr>
      <w:rPr>
        <w:rFonts w:ascii="Times New Roman" w:hAnsi="Times New Roman" w:cs="Times New Roman"/>
        <w:b/>
        <w:bCs/>
        <w:i w:val="0"/>
        <w:iCs w:val="0"/>
        <w:caps w:val="0"/>
        <w:smallCaps w:val="0"/>
        <w:strike w:val="0"/>
        <w:dstrike w:val="0"/>
        <w:outline w:val="0"/>
        <w:vanish w:val="0"/>
        <w:position w:val="0"/>
        <w:sz w:val="28"/>
        <w:szCs w:val="28"/>
        <w:vertAlign w:val="baseline"/>
      </w:rPr>
    </w:lvl>
    <w:lvl w:ilvl="1">
      <w:start w:val="1"/>
      <w:numFmt w:val="decimal"/>
      <w:lvlText w:val="%1.%2"/>
      <w:lvlJc w:val="left"/>
      <w:pPr>
        <w:ind w:left="851" w:hanging="567"/>
      </w:pPr>
      <w:rPr>
        <w:rFonts w:ascii="Times New Roman" w:hAnsi="Times New Roman" w:cs="Times New Roman"/>
        <w:b w:val="0"/>
        <w:bCs w:val="0"/>
        <w:i w:val="0"/>
        <w:iCs w:val="0"/>
        <w:caps w:val="0"/>
        <w:smallCaps w:val="0"/>
        <w:strike w:val="0"/>
        <w:dstrike w:val="0"/>
        <w:outline w:val="0"/>
        <w:vanish w:val="0"/>
        <w:color w:val="000000"/>
        <w:spacing w:val="0"/>
        <w:w w:val="100"/>
        <w:kern w:val="3"/>
        <w:position w:val="0"/>
        <w:sz w:val="24"/>
        <w:szCs w:val="24"/>
        <w:u w:val="none"/>
        <w:vertAlign w:val="baseline"/>
      </w:rPr>
    </w:lvl>
    <w:lvl w:ilvl="2">
      <w:start w:val="1"/>
      <w:numFmt w:val="decimal"/>
      <w:lvlText w:val="%1.%2.%3"/>
      <w:lvlJc w:val="left"/>
      <w:pPr>
        <w:ind w:left="720" w:hanging="720"/>
      </w:pPr>
      <w:rPr>
        <w:rFonts w:cs="Times New Roman"/>
        <w:caps w:val="0"/>
        <w:smallCaps w:val="0"/>
        <w:position w:val="0"/>
        <w:vertAlign w:val="baseline"/>
      </w:rPr>
    </w:lvl>
    <w:lvl w:ilvl="3">
      <w:start w:val="1"/>
      <w:numFmt w:val="decimal"/>
      <w:lvlText w:val="%1.%2.%3.%4"/>
      <w:lvlJc w:val="left"/>
      <w:pPr>
        <w:ind w:left="864" w:hanging="864"/>
      </w:pPr>
      <w:rPr>
        <w:rFonts w:cs="Times New Roman"/>
      </w:rPr>
    </w:lvl>
    <w:lvl w:ilvl="4">
      <w:start w:val="1"/>
      <w:numFmt w:val="decimal"/>
      <w:lvlText w:val="%1.%2.%3.%4.%5"/>
      <w:lvlJc w:val="left"/>
      <w:pPr>
        <w:ind w:left="1008" w:hanging="1008"/>
      </w:pPr>
      <w:rPr>
        <w:rFonts w:cs="Times New Roman"/>
      </w:rPr>
    </w:lvl>
    <w:lvl w:ilvl="5">
      <w:start w:val="1"/>
      <w:numFmt w:val="decimal"/>
      <w:lvlText w:val="%1.%2.%3.%4.%5.%6"/>
      <w:lvlJc w:val="left"/>
      <w:pPr>
        <w:ind w:left="1152" w:hanging="1152"/>
      </w:pPr>
      <w:rPr>
        <w:rFonts w:cs="Times New Roman"/>
      </w:rPr>
    </w:lvl>
    <w:lvl w:ilvl="6">
      <w:start w:val="1"/>
      <w:numFmt w:val="decimal"/>
      <w:lvlText w:val="%1.%2.%3.%4.%5.%6.%7"/>
      <w:lvlJc w:val="left"/>
      <w:pPr>
        <w:ind w:left="1296" w:hanging="1296"/>
      </w:pPr>
      <w:rPr>
        <w:rFonts w:cs="Times New Roman"/>
      </w:rPr>
    </w:lvl>
    <w:lvl w:ilvl="7">
      <w:start w:val="1"/>
      <w:numFmt w:val="decimal"/>
      <w:lvlText w:val="%1.%2.%3.%4.%5.%6.%7.%8"/>
      <w:lvlJc w:val="left"/>
      <w:pPr>
        <w:ind w:left="1440" w:hanging="1440"/>
      </w:pPr>
      <w:rPr>
        <w:rFonts w:cs="Times New Roman"/>
      </w:rPr>
    </w:lvl>
    <w:lvl w:ilvl="8">
      <w:start w:val="1"/>
      <w:numFmt w:val="decimal"/>
      <w:lvlText w:val="%1.%2.%3.%4.%5.%6.%7.%8.%9"/>
      <w:lvlJc w:val="left"/>
      <w:pPr>
        <w:ind w:left="1584" w:hanging="1584"/>
      </w:pPr>
      <w:rPr>
        <w:rFonts w:cs="Times New Roman"/>
      </w:rPr>
    </w:lvl>
  </w:abstractNum>
  <w:abstractNum w:abstractNumId="53" w15:restartNumberingAfterBreak="0">
    <w:nsid w:val="3C845EDB"/>
    <w:multiLevelType w:val="hybridMultilevel"/>
    <w:tmpl w:val="6100C598"/>
    <w:lvl w:ilvl="0" w:tplc="0419000D">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4" w15:restartNumberingAfterBreak="0">
    <w:nsid w:val="3C931329"/>
    <w:multiLevelType w:val="hybridMultilevel"/>
    <w:tmpl w:val="9CD8A30C"/>
    <w:lvl w:ilvl="0" w:tplc="04190001">
      <w:start w:val="1"/>
      <w:numFmt w:val="bullet"/>
      <w:lvlText w:val=""/>
      <w:lvlJc w:val="left"/>
      <w:pPr>
        <w:ind w:left="1069" w:hanging="360"/>
      </w:pPr>
      <w:rPr>
        <w:rFonts w:ascii="Symbol" w:hAnsi="Symbol"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55" w15:restartNumberingAfterBreak="0">
    <w:nsid w:val="3FA96EF2"/>
    <w:multiLevelType w:val="multilevel"/>
    <w:tmpl w:val="016AA00C"/>
    <w:styleLink w:val="1311"/>
    <w:lvl w:ilvl="0">
      <w:start w:val="1"/>
      <w:numFmt w:val="decimal"/>
      <w:lvlText w:val="%1."/>
      <w:lvlJc w:val="left"/>
      <w:pPr>
        <w:ind w:left="644" w:hanging="360"/>
      </w:pPr>
    </w:lvl>
    <w:lvl w:ilvl="1">
      <w:start w:val="1"/>
      <w:numFmt w:val="decimal"/>
      <w:lvlText w:val="%1.%2."/>
      <w:lvlJc w:val="left"/>
      <w:pPr>
        <w:ind w:left="792" w:hanging="432"/>
      </w:pPr>
    </w:lvl>
    <w:lvl w:ilvl="2">
      <w:start w:val="1"/>
      <w:numFmt w:val="decimal"/>
      <w:lvlText w:val="%1.%2.%3."/>
      <w:lvlJc w:val="left"/>
      <w:pPr>
        <w:ind w:left="1072" w:hanging="504"/>
      </w:pPr>
    </w:lvl>
    <w:lvl w:ilvl="3">
      <w:start w:val="1"/>
      <w:numFmt w:val="decimal"/>
      <w:lvlText w:val="%1.%2.%3.%4."/>
      <w:lvlJc w:val="left"/>
      <w:pPr>
        <w:ind w:left="1728" w:hanging="648"/>
      </w:pPr>
      <w:rPr>
        <w:rFonts w:ascii="Times New Roman" w:hAnsi="Times New Roman" w:cs="Times New Roman"/>
        <w:b/>
        <w:color w:val="000000"/>
      </w:r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6" w15:restartNumberingAfterBreak="0">
    <w:nsid w:val="3FAD0E75"/>
    <w:multiLevelType w:val="multilevel"/>
    <w:tmpl w:val="B8D2F46A"/>
    <w:styleLink w:val="WW8Num25"/>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7" w15:restartNumberingAfterBreak="0">
    <w:nsid w:val="402D2E8B"/>
    <w:multiLevelType w:val="multilevel"/>
    <w:tmpl w:val="AD16B8BE"/>
    <w:styleLink w:val="WW8Num32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8" w15:restartNumberingAfterBreak="0">
    <w:nsid w:val="41342F81"/>
    <w:multiLevelType w:val="multilevel"/>
    <w:tmpl w:val="6C7E98D2"/>
    <w:styleLink w:val="12"/>
    <w:lvl w:ilvl="0">
      <w:numFmt w:val="bullet"/>
      <w:lvlText w:val="•"/>
      <w:lvlJc w:val="left"/>
      <w:pPr>
        <w:ind w:left="720" w:hanging="360"/>
      </w:pPr>
      <w:rPr>
        <w:rFonts w:ascii="Times New Roman" w:eastAsia="SimSun, 宋体" w:hAnsi="Times New Roman" w:cs="Times New Roman"/>
        <w:color w:val="auto"/>
        <w:sz w:val="24"/>
        <w:szCs w:val="24"/>
        <w:lang w:val="ru-RU" w:bidi="ar-SA"/>
      </w:rPr>
    </w:lvl>
    <w:lvl w:ilvl="1">
      <w:numFmt w:val="bullet"/>
      <w:lvlText w:val="◦"/>
      <w:lvlJc w:val="left"/>
      <w:pPr>
        <w:ind w:left="1080" w:hanging="360"/>
      </w:pPr>
      <w:rPr>
        <w:rFonts w:ascii="Times New Roman" w:eastAsia="SimSun, 宋体" w:hAnsi="Times New Roman" w:cs="Times New Roman"/>
        <w:color w:val="auto"/>
        <w:sz w:val="24"/>
        <w:szCs w:val="24"/>
        <w:lang w:val="ru-RU" w:bidi="ar-SA"/>
      </w:rPr>
    </w:lvl>
    <w:lvl w:ilvl="2">
      <w:numFmt w:val="bullet"/>
      <w:lvlText w:val="▪"/>
      <w:lvlJc w:val="left"/>
      <w:pPr>
        <w:ind w:left="1440" w:hanging="360"/>
      </w:pPr>
      <w:rPr>
        <w:rFonts w:ascii="Times New Roman" w:eastAsia="SimSun, 宋体" w:hAnsi="Times New Roman" w:cs="Times New Roman"/>
        <w:color w:val="auto"/>
        <w:sz w:val="24"/>
        <w:szCs w:val="24"/>
        <w:lang w:val="ru-RU" w:bidi="ar-SA"/>
      </w:rPr>
    </w:lvl>
    <w:lvl w:ilvl="3">
      <w:numFmt w:val="bullet"/>
      <w:lvlText w:val="•"/>
      <w:lvlJc w:val="left"/>
      <w:pPr>
        <w:ind w:left="1800" w:hanging="360"/>
      </w:pPr>
      <w:rPr>
        <w:rFonts w:ascii="Times New Roman" w:eastAsia="SimSun, 宋体" w:hAnsi="Times New Roman" w:cs="Times New Roman"/>
        <w:color w:val="auto"/>
        <w:sz w:val="24"/>
        <w:szCs w:val="24"/>
        <w:lang w:val="ru-RU" w:bidi="ar-SA"/>
      </w:rPr>
    </w:lvl>
    <w:lvl w:ilvl="4">
      <w:numFmt w:val="bullet"/>
      <w:lvlText w:val="◦"/>
      <w:lvlJc w:val="left"/>
      <w:pPr>
        <w:ind w:left="2160" w:hanging="360"/>
      </w:pPr>
      <w:rPr>
        <w:rFonts w:ascii="Times New Roman" w:eastAsia="SimSun, 宋体" w:hAnsi="Times New Roman" w:cs="Times New Roman"/>
        <w:color w:val="auto"/>
        <w:sz w:val="24"/>
        <w:szCs w:val="24"/>
        <w:lang w:val="ru-RU" w:bidi="ar-SA"/>
      </w:rPr>
    </w:lvl>
    <w:lvl w:ilvl="5">
      <w:numFmt w:val="bullet"/>
      <w:lvlText w:val="▪"/>
      <w:lvlJc w:val="left"/>
      <w:pPr>
        <w:ind w:left="2520" w:hanging="360"/>
      </w:pPr>
      <w:rPr>
        <w:rFonts w:ascii="Times New Roman" w:eastAsia="SimSun, 宋体" w:hAnsi="Times New Roman" w:cs="Times New Roman"/>
        <w:color w:val="auto"/>
        <w:sz w:val="24"/>
        <w:szCs w:val="24"/>
        <w:lang w:val="ru-RU" w:bidi="ar-SA"/>
      </w:rPr>
    </w:lvl>
    <w:lvl w:ilvl="6">
      <w:numFmt w:val="bullet"/>
      <w:lvlText w:val="•"/>
      <w:lvlJc w:val="left"/>
      <w:pPr>
        <w:ind w:left="2880" w:hanging="360"/>
      </w:pPr>
      <w:rPr>
        <w:rFonts w:ascii="Times New Roman" w:eastAsia="SimSun, 宋体" w:hAnsi="Times New Roman" w:cs="Times New Roman"/>
        <w:color w:val="auto"/>
        <w:sz w:val="24"/>
        <w:szCs w:val="24"/>
        <w:lang w:val="ru-RU" w:bidi="ar-SA"/>
      </w:rPr>
    </w:lvl>
    <w:lvl w:ilvl="7">
      <w:numFmt w:val="bullet"/>
      <w:lvlText w:val="◦"/>
      <w:lvlJc w:val="left"/>
      <w:pPr>
        <w:ind w:left="3240" w:hanging="360"/>
      </w:pPr>
      <w:rPr>
        <w:rFonts w:ascii="Times New Roman" w:eastAsia="SimSun, 宋体" w:hAnsi="Times New Roman" w:cs="Times New Roman"/>
        <w:color w:val="auto"/>
        <w:sz w:val="24"/>
        <w:szCs w:val="24"/>
        <w:lang w:val="ru-RU" w:bidi="ar-SA"/>
      </w:rPr>
    </w:lvl>
    <w:lvl w:ilvl="8">
      <w:numFmt w:val="bullet"/>
      <w:lvlText w:val="▪"/>
      <w:lvlJc w:val="left"/>
      <w:pPr>
        <w:ind w:left="3600" w:hanging="360"/>
      </w:pPr>
      <w:rPr>
        <w:rFonts w:ascii="Times New Roman" w:eastAsia="SimSun, 宋体" w:hAnsi="Times New Roman" w:cs="Times New Roman"/>
        <w:color w:val="auto"/>
        <w:sz w:val="24"/>
        <w:szCs w:val="24"/>
        <w:lang w:val="ru-RU" w:bidi="ar-SA"/>
      </w:rPr>
    </w:lvl>
  </w:abstractNum>
  <w:abstractNum w:abstractNumId="59" w15:restartNumberingAfterBreak="0">
    <w:nsid w:val="43AF49F0"/>
    <w:multiLevelType w:val="multilevel"/>
    <w:tmpl w:val="986CD752"/>
    <w:lvl w:ilvl="0">
      <w:numFmt w:val="bullet"/>
      <w:lvlText w:val=""/>
      <w:lvlJc w:val="left"/>
      <w:pPr>
        <w:ind w:left="1429" w:hanging="360"/>
      </w:pPr>
      <w:rPr>
        <w:rFonts w:ascii="Wingdings" w:hAnsi="Wingdings"/>
      </w:rPr>
    </w:lvl>
    <w:lvl w:ilvl="1">
      <w:numFmt w:val="bullet"/>
      <w:lvlText w:val="o"/>
      <w:lvlJc w:val="left"/>
      <w:pPr>
        <w:ind w:left="2149" w:hanging="360"/>
      </w:pPr>
      <w:rPr>
        <w:rFonts w:ascii="Courier New" w:hAnsi="Courier New" w:cs="Courier New"/>
      </w:rPr>
    </w:lvl>
    <w:lvl w:ilvl="2">
      <w:numFmt w:val="bullet"/>
      <w:lvlText w:val=""/>
      <w:lvlJc w:val="left"/>
      <w:pPr>
        <w:ind w:left="2869" w:hanging="360"/>
      </w:pPr>
      <w:rPr>
        <w:rFonts w:ascii="Wingdings" w:hAnsi="Wingdings"/>
      </w:rPr>
    </w:lvl>
    <w:lvl w:ilvl="3">
      <w:numFmt w:val="bullet"/>
      <w:lvlText w:val=""/>
      <w:lvlJc w:val="left"/>
      <w:pPr>
        <w:ind w:left="3589" w:hanging="360"/>
      </w:pPr>
      <w:rPr>
        <w:rFonts w:ascii="Symbol" w:hAnsi="Symbol"/>
      </w:rPr>
    </w:lvl>
    <w:lvl w:ilvl="4">
      <w:numFmt w:val="bullet"/>
      <w:lvlText w:val="o"/>
      <w:lvlJc w:val="left"/>
      <w:pPr>
        <w:ind w:left="4309" w:hanging="360"/>
      </w:pPr>
      <w:rPr>
        <w:rFonts w:ascii="Courier New" w:hAnsi="Courier New" w:cs="Courier New"/>
      </w:rPr>
    </w:lvl>
    <w:lvl w:ilvl="5">
      <w:numFmt w:val="bullet"/>
      <w:lvlText w:val=""/>
      <w:lvlJc w:val="left"/>
      <w:pPr>
        <w:ind w:left="5029" w:hanging="360"/>
      </w:pPr>
      <w:rPr>
        <w:rFonts w:ascii="Wingdings" w:hAnsi="Wingdings"/>
      </w:rPr>
    </w:lvl>
    <w:lvl w:ilvl="6">
      <w:numFmt w:val="bullet"/>
      <w:lvlText w:val=""/>
      <w:lvlJc w:val="left"/>
      <w:pPr>
        <w:ind w:left="5749" w:hanging="360"/>
      </w:pPr>
      <w:rPr>
        <w:rFonts w:ascii="Symbol" w:hAnsi="Symbol"/>
      </w:rPr>
    </w:lvl>
    <w:lvl w:ilvl="7">
      <w:numFmt w:val="bullet"/>
      <w:lvlText w:val="o"/>
      <w:lvlJc w:val="left"/>
      <w:pPr>
        <w:ind w:left="6469" w:hanging="360"/>
      </w:pPr>
      <w:rPr>
        <w:rFonts w:ascii="Courier New" w:hAnsi="Courier New" w:cs="Courier New"/>
      </w:rPr>
    </w:lvl>
    <w:lvl w:ilvl="8">
      <w:numFmt w:val="bullet"/>
      <w:lvlText w:val=""/>
      <w:lvlJc w:val="left"/>
      <w:pPr>
        <w:ind w:left="7189" w:hanging="360"/>
      </w:pPr>
      <w:rPr>
        <w:rFonts w:ascii="Wingdings" w:hAnsi="Wingdings"/>
      </w:rPr>
    </w:lvl>
  </w:abstractNum>
  <w:abstractNum w:abstractNumId="60" w15:restartNumberingAfterBreak="0">
    <w:nsid w:val="46963D5E"/>
    <w:multiLevelType w:val="multilevel"/>
    <w:tmpl w:val="DF963882"/>
    <w:styleLink w:val="WW8Num12"/>
    <w:lvl w:ilvl="0">
      <w:numFmt w:val="bullet"/>
      <w:lvlText w:val=""/>
      <w:lvlJc w:val="left"/>
      <w:pPr>
        <w:ind w:left="680" w:hanging="396"/>
      </w:pPr>
      <w:rPr>
        <w:rFonts w:ascii="Wingdings" w:hAnsi="Wingdings" w:cs="Wingdings"/>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cs="Wingdings"/>
      </w:rPr>
    </w:lvl>
    <w:lvl w:ilvl="3">
      <w:numFmt w:val="bullet"/>
      <w:lvlText w:val=""/>
      <w:lvlJc w:val="left"/>
      <w:pPr>
        <w:ind w:left="2880" w:hanging="360"/>
      </w:pPr>
      <w:rPr>
        <w:rFonts w:ascii="Symbol" w:hAnsi="Symbol" w:cs="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cs="Wingdings"/>
      </w:rPr>
    </w:lvl>
    <w:lvl w:ilvl="6">
      <w:numFmt w:val="bullet"/>
      <w:lvlText w:val=""/>
      <w:lvlJc w:val="left"/>
      <w:pPr>
        <w:ind w:left="5040" w:hanging="360"/>
      </w:pPr>
      <w:rPr>
        <w:rFonts w:ascii="Symbol" w:hAnsi="Symbol" w:cs="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cs="Wingdings"/>
      </w:rPr>
    </w:lvl>
  </w:abstractNum>
  <w:abstractNum w:abstractNumId="61" w15:restartNumberingAfterBreak="0">
    <w:nsid w:val="46F7285A"/>
    <w:multiLevelType w:val="multilevel"/>
    <w:tmpl w:val="5F84DC88"/>
    <w:styleLink w:val="11"/>
    <w:lvl w:ilvl="0">
      <w:numFmt w:val="bullet"/>
      <w:lvlText w:val="-"/>
      <w:lvlJc w:val="left"/>
      <w:pPr>
        <w:ind w:left="720" w:hanging="360"/>
      </w:pPr>
      <w:rPr>
        <w:rFonts w:ascii="Times New Roman" w:eastAsia="Calibri" w:hAnsi="Times New Roman" w:cs="Times New Roman"/>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62" w15:restartNumberingAfterBreak="0">
    <w:nsid w:val="47001FA3"/>
    <w:multiLevelType w:val="multilevel"/>
    <w:tmpl w:val="E4FEA3E6"/>
    <w:lvl w:ilvl="0">
      <w:start w:val="1"/>
      <w:numFmt w:val="decimal"/>
      <w:lvlText w:val="%1."/>
      <w:lvlJc w:val="left"/>
      <w:pPr>
        <w:ind w:left="360" w:hanging="360"/>
      </w:pPr>
    </w:lvl>
    <w:lvl w:ilvl="1">
      <w:start w:val="1"/>
      <w:numFmt w:val="decimal"/>
      <w:lvlText w:val="%1.%2."/>
      <w:lvlJc w:val="left"/>
      <w:pPr>
        <w:ind w:left="2417"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3" w15:restartNumberingAfterBreak="0">
    <w:nsid w:val="47AD7DDB"/>
    <w:multiLevelType w:val="hybridMultilevel"/>
    <w:tmpl w:val="571AE67C"/>
    <w:lvl w:ilvl="0" w:tplc="62DE7036">
      <w:start w:val="1"/>
      <w:numFmt w:val="russianLower"/>
      <w:pStyle w:val="2-0"/>
      <w:lvlText w:val="%1."/>
      <w:lvlJc w:val="left"/>
      <w:pPr>
        <w:ind w:left="1720" w:hanging="360"/>
      </w:pPr>
      <w:rPr>
        <w:rFonts w:hint="default"/>
      </w:rPr>
    </w:lvl>
    <w:lvl w:ilvl="1" w:tplc="04190019" w:tentative="1">
      <w:start w:val="1"/>
      <w:numFmt w:val="lowerLetter"/>
      <w:lvlText w:val="%2."/>
      <w:lvlJc w:val="left"/>
      <w:pPr>
        <w:ind w:left="2440" w:hanging="360"/>
      </w:pPr>
    </w:lvl>
    <w:lvl w:ilvl="2" w:tplc="0419001B" w:tentative="1">
      <w:start w:val="1"/>
      <w:numFmt w:val="lowerRoman"/>
      <w:lvlText w:val="%3."/>
      <w:lvlJc w:val="right"/>
      <w:pPr>
        <w:ind w:left="3160" w:hanging="180"/>
      </w:pPr>
    </w:lvl>
    <w:lvl w:ilvl="3" w:tplc="0419000F" w:tentative="1">
      <w:start w:val="1"/>
      <w:numFmt w:val="decimal"/>
      <w:lvlText w:val="%4."/>
      <w:lvlJc w:val="left"/>
      <w:pPr>
        <w:ind w:left="3880" w:hanging="360"/>
      </w:pPr>
    </w:lvl>
    <w:lvl w:ilvl="4" w:tplc="04190019" w:tentative="1">
      <w:start w:val="1"/>
      <w:numFmt w:val="lowerLetter"/>
      <w:lvlText w:val="%5."/>
      <w:lvlJc w:val="left"/>
      <w:pPr>
        <w:ind w:left="4600" w:hanging="360"/>
      </w:pPr>
    </w:lvl>
    <w:lvl w:ilvl="5" w:tplc="0419001B" w:tentative="1">
      <w:start w:val="1"/>
      <w:numFmt w:val="lowerRoman"/>
      <w:lvlText w:val="%6."/>
      <w:lvlJc w:val="right"/>
      <w:pPr>
        <w:ind w:left="5320" w:hanging="180"/>
      </w:pPr>
    </w:lvl>
    <w:lvl w:ilvl="6" w:tplc="0419000F" w:tentative="1">
      <w:start w:val="1"/>
      <w:numFmt w:val="decimal"/>
      <w:lvlText w:val="%7."/>
      <w:lvlJc w:val="left"/>
      <w:pPr>
        <w:ind w:left="6040" w:hanging="360"/>
      </w:pPr>
    </w:lvl>
    <w:lvl w:ilvl="7" w:tplc="04190019" w:tentative="1">
      <w:start w:val="1"/>
      <w:numFmt w:val="lowerLetter"/>
      <w:lvlText w:val="%8."/>
      <w:lvlJc w:val="left"/>
      <w:pPr>
        <w:ind w:left="6760" w:hanging="360"/>
      </w:pPr>
    </w:lvl>
    <w:lvl w:ilvl="8" w:tplc="0419001B" w:tentative="1">
      <w:start w:val="1"/>
      <w:numFmt w:val="lowerRoman"/>
      <w:lvlText w:val="%9."/>
      <w:lvlJc w:val="right"/>
      <w:pPr>
        <w:ind w:left="7480" w:hanging="180"/>
      </w:pPr>
    </w:lvl>
  </w:abstractNum>
  <w:abstractNum w:abstractNumId="64" w15:restartNumberingAfterBreak="0">
    <w:nsid w:val="47B707DE"/>
    <w:multiLevelType w:val="hybridMultilevel"/>
    <w:tmpl w:val="127EAB58"/>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65" w15:restartNumberingAfterBreak="0">
    <w:nsid w:val="4AB8280E"/>
    <w:multiLevelType w:val="multilevel"/>
    <w:tmpl w:val="BDE4749E"/>
    <w:styleLink w:val="WWNum21"/>
    <w:lvl w:ilvl="0">
      <w:start w:val="1"/>
      <w:numFmt w:val="decimal"/>
      <w:lvlText w:val="%1."/>
      <w:lvlJc w:val="left"/>
      <w:pPr>
        <w:ind w:left="928" w:hanging="360"/>
      </w:pPr>
    </w:lvl>
    <w:lvl w:ilvl="1">
      <w:start w:val="1"/>
      <w:numFmt w:val="lowerLetter"/>
      <w:lvlText w:val="%2."/>
      <w:lvlJc w:val="left"/>
      <w:pPr>
        <w:ind w:left="1648" w:hanging="360"/>
      </w:pPr>
    </w:lvl>
    <w:lvl w:ilvl="2">
      <w:start w:val="1"/>
      <w:numFmt w:val="lowerRoman"/>
      <w:lvlText w:val="%3."/>
      <w:lvlJc w:val="right"/>
      <w:pPr>
        <w:ind w:left="2368" w:hanging="180"/>
      </w:pPr>
    </w:lvl>
    <w:lvl w:ilvl="3">
      <w:start w:val="1"/>
      <w:numFmt w:val="decimal"/>
      <w:lvlText w:val="%4."/>
      <w:lvlJc w:val="left"/>
      <w:pPr>
        <w:ind w:left="3088" w:hanging="360"/>
      </w:pPr>
    </w:lvl>
    <w:lvl w:ilvl="4">
      <w:start w:val="1"/>
      <w:numFmt w:val="lowerLetter"/>
      <w:lvlText w:val="%5."/>
      <w:lvlJc w:val="left"/>
      <w:pPr>
        <w:ind w:left="3808" w:hanging="360"/>
      </w:pPr>
    </w:lvl>
    <w:lvl w:ilvl="5">
      <w:start w:val="1"/>
      <w:numFmt w:val="lowerRoman"/>
      <w:lvlText w:val="%6."/>
      <w:lvlJc w:val="right"/>
      <w:pPr>
        <w:ind w:left="4528" w:hanging="180"/>
      </w:pPr>
    </w:lvl>
    <w:lvl w:ilvl="6">
      <w:start w:val="1"/>
      <w:numFmt w:val="decimal"/>
      <w:lvlText w:val="%7."/>
      <w:lvlJc w:val="left"/>
      <w:pPr>
        <w:ind w:left="5248" w:hanging="360"/>
      </w:pPr>
    </w:lvl>
    <w:lvl w:ilvl="7">
      <w:start w:val="1"/>
      <w:numFmt w:val="lowerLetter"/>
      <w:lvlText w:val="%8."/>
      <w:lvlJc w:val="left"/>
      <w:pPr>
        <w:ind w:left="5968" w:hanging="360"/>
      </w:pPr>
    </w:lvl>
    <w:lvl w:ilvl="8">
      <w:start w:val="1"/>
      <w:numFmt w:val="lowerRoman"/>
      <w:lvlText w:val="%9."/>
      <w:lvlJc w:val="right"/>
      <w:pPr>
        <w:ind w:left="6688" w:hanging="180"/>
      </w:pPr>
    </w:lvl>
  </w:abstractNum>
  <w:abstractNum w:abstractNumId="66" w15:restartNumberingAfterBreak="0">
    <w:nsid w:val="507861BB"/>
    <w:multiLevelType w:val="hybridMultilevel"/>
    <w:tmpl w:val="F82AE46C"/>
    <w:lvl w:ilvl="0" w:tplc="DD20BB64">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67" w15:restartNumberingAfterBreak="0">
    <w:nsid w:val="51C549E6"/>
    <w:multiLevelType w:val="multilevel"/>
    <w:tmpl w:val="746CAF66"/>
    <w:styleLink w:val="WW8Num10"/>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68" w15:restartNumberingAfterBreak="0">
    <w:nsid w:val="573850B1"/>
    <w:multiLevelType w:val="multilevel"/>
    <w:tmpl w:val="28349810"/>
    <w:styleLink w:val="13"/>
    <w:lvl w:ilvl="0">
      <w:start w:val="1"/>
      <w:numFmt w:val="bullet"/>
      <w:lvlText w:val="-"/>
      <w:lvlJc w:val="left"/>
      <w:pPr>
        <w:ind w:left="1440" w:hanging="360"/>
      </w:pPr>
      <w:rPr>
        <w:rFonts w:ascii="Times New Roman" w:hAnsi="Times New Roman" w:cs="Times New Roman" w:hint="default"/>
      </w:rPr>
    </w:lvl>
    <w:lvl w:ilvl="1">
      <w:numFmt w:val="bullet"/>
      <w:lvlText w:val="o"/>
      <w:lvlJc w:val="left"/>
      <w:pPr>
        <w:ind w:left="2160" w:hanging="360"/>
      </w:pPr>
      <w:rPr>
        <w:rFonts w:ascii="Courier New" w:hAnsi="Courier New" w:cs="Courier New"/>
      </w:rPr>
    </w:lvl>
    <w:lvl w:ilvl="2">
      <w:numFmt w:val="bullet"/>
      <w:lvlText w:val=""/>
      <w:lvlJc w:val="left"/>
      <w:pPr>
        <w:ind w:left="2880" w:hanging="360"/>
      </w:pPr>
      <w:rPr>
        <w:rFonts w:ascii="Wingdings" w:hAnsi="Wingdings"/>
      </w:rPr>
    </w:lvl>
    <w:lvl w:ilvl="3">
      <w:numFmt w:val="bullet"/>
      <w:lvlText w:val=""/>
      <w:lvlJc w:val="left"/>
      <w:pPr>
        <w:ind w:left="3600" w:hanging="360"/>
      </w:pPr>
      <w:rPr>
        <w:rFonts w:ascii="Symbol" w:hAnsi="Symbol"/>
      </w:rPr>
    </w:lvl>
    <w:lvl w:ilvl="4">
      <w:numFmt w:val="bullet"/>
      <w:lvlText w:val="o"/>
      <w:lvlJc w:val="left"/>
      <w:pPr>
        <w:ind w:left="4320" w:hanging="360"/>
      </w:pPr>
      <w:rPr>
        <w:rFonts w:ascii="Courier New" w:hAnsi="Courier New" w:cs="Courier New"/>
      </w:rPr>
    </w:lvl>
    <w:lvl w:ilvl="5">
      <w:numFmt w:val="bullet"/>
      <w:lvlText w:val=""/>
      <w:lvlJc w:val="left"/>
      <w:pPr>
        <w:ind w:left="5040" w:hanging="360"/>
      </w:pPr>
      <w:rPr>
        <w:rFonts w:ascii="Wingdings" w:hAnsi="Wingdings"/>
      </w:rPr>
    </w:lvl>
    <w:lvl w:ilvl="6">
      <w:numFmt w:val="bullet"/>
      <w:lvlText w:val=""/>
      <w:lvlJc w:val="left"/>
      <w:pPr>
        <w:ind w:left="5760" w:hanging="360"/>
      </w:pPr>
      <w:rPr>
        <w:rFonts w:ascii="Symbol" w:hAnsi="Symbol"/>
      </w:rPr>
    </w:lvl>
    <w:lvl w:ilvl="7">
      <w:numFmt w:val="bullet"/>
      <w:lvlText w:val="o"/>
      <w:lvlJc w:val="left"/>
      <w:pPr>
        <w:ind w:left="6480" w:hanging="360"/>
      </w:pPr>
      <w:rPr>
        <w:rFonts w:ascii="Courier New" w:hAnsi="Courier New" w:cs="Courier New"/>
      </w:rPr>
    </w:lvl>
    <w:lvl w:ilvl="8">
      <w:numFmt w:val="bullet"/>
      <w:lvlText w:val=""/>
      <w:lvlJc w:val="left"/>
      <w:pPr>
        <w:ind w:left="7200" w:hanging="360"/>
      </w:pPr>
      <w:rPr>
        <w:rFonts w:ascii="Wingdings" w:hAnsi="Wingdings"/>
      </w:rPr>
    </w:lvl>
  </w:abstractNum>
  <w:abstractNum w:abstractNumId="69" w15:restartNumberingAfterBreak="0">
    <w:nsid w:val="597823B5"/>
    <w:multiLevelType w:val="multilevel"/>
    <w:tmpl w:val="00E6E4D2"/>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0" w15:restartNumberingAfterBreak="0">
    <w:nsid w:val="5C2F30A2"/>
    <w:multiLevelType w:val="multilevel"/>
    <w:tmpl w:val="078E2330"/>
    <w:styleLink w:val="WW8Num20"/>
    <w:lvl w:ilvl="0">
      <w:numFmt w:val="bullet"/>
      <w:lvlText w:val="•"/>
      <w:lvlJc w:val="left"/>
      <w:pPr>
        <w:ind w:left="726" w:hanging="360"/>
      </w:pPr>
      <w:rPr>
        <w:rFonts w:ascii="OpenSymbol" w:eastAsia="SimSun, 宋体" w:hAnsi="OpenSymbol" w:cs="Times New Roman"/>
        <w:color w:val="auto"/>
        <w:sz w:val="24"/>
        <w:szCs w:val="24"/>
        <w:lang w:val="ru-RU" w:bidi="ar-SA"/>
      </w:rPr>
    </w:lvl>
    <w:lvl w:ilvl="1">
      <w:numFmt w:val="bullet"/>
      <w:lvlText w:val="o"/>
      <w:lvlJc w:val="left"/>
      <w:pPr>
        <w:ind w:left="1446" w:hanging="360"/>
      </w:pPr>
      <w:rPr>
        <w:rFonts w:ascii="Courier New" w:hAnsi="Courier New" w:cs="Courier New"/>
      </w:rPr>
    </w:lvl>
    <w:lvl w:ilvl="2">
      <w:numFmt w:val="bullet"/>
      <w:lvlText w:val=""/>
      <w:lvlJc w:val="left"/>
      <w:pPr>
        <w:ind w:left="2166" w:hanging="360"/>
      </w:pPr>
      <w:rPr>
        <w:rFonts w:ascii="Wingdings" w:hAnsi="Wingdings" w:cs="Wingdings"/>
      </w:rPr>
    </w:lvl>
    <w:lvl w:ilvl="3">
      <w:numFmt w:val="bullet"/>
      <w:lvlText w:val=""/>
      <w:lvlJc w:val="left"/>
      <w:pPr>
        <w:ind w:left="2886" w:hanging="360"/>
      </w:pPr>
      <w:rPr>
        <w:rFonts w:ascii="Symbol" w:eastAsia="SimSun, 宋体" w:hAnsi="Symbol" w:cs="Symbol"/>
        <w:lang w:eastAsia="en-US"/>
      </w:rPr>
    </w:lvl>
    <w:lvl w:ilvl="4">
      <w:numFmt w:val="bullet"/>
      <w:lvlText w:val="o"/>
      <w:lvlJc w:val="left"/>
      <w:pPr>
        <w:ind w:left="3606" w:hanging="360"/>
      </w:pPr>
      <w:rPr>
        <w:rFonts w:ascii="Courier New" w:hAnsi="Courier New" w:cs="Courier New"/>
      </w:rPr>
    </w:lvl>
    <w:lvl w:ilvl="5">
      <w:numFmt w:val="bullet"/>
      <w:lvlText w:val=""/>
      <w:lvlJc w:val="left"/>
      <w:pPr>
        <w:ind w:left="4326" w:hanging="360"/>
      </w:pPr>
      <w:rPr>
        <w:rFonts w:ascii="Wingdings" w:hAnsi="Wingdings" w:cs="Wingdings"/>
      </w:rPr>
    </w:lvl>
    <w:lvl w:ilvl="6">
      <w:numFmt w:val="bullet"/>
      <w:lvlText w:val=""/>
      <w:lvlJc w:val="left"/>
      <w:pPr>
        <w:ind w:left="5046" w:hanging="360"/>
      </w:pPr>
      <w:rPr>
        <w:rFonts w:ascii="Symbol" w:eastAsia="SimSun, 宋体" w:hAnsi="Symbol" w:cs="Symbol"/>
        <w:lang w:eastAsia="en-US"/>
      </w:rPr>
    </w:lvl>
    <w:lvl w:ilvl="7">
      <w:numFmt w:val="bullet"/>
      <w:lvlText w:val="o"/>
      <w:lvlJc w:val="left"/>
      <w:pPr>
        <w:ind w:left="5766" w:hanging="360"/>
      </w:pPr>
      <w:rPr>
        <w:rFonts w:ascii="Courier New" w:hAnsi="Courier New" w:cs="Courier New"/>
      </w:rPr>
    </w:lvl>
    <w:lvl w:ilvl="8">
      <w:numFmt w:val="bullet"/>
      <w:lvlText w:val=""/>
      <w:lvlJc w:val="left"/>
      <w:pPr>
        <w:ind w:left="6486" w:hanging="360"/>
      </w:pPr>
      <w:rPr>
        <w:rFonts w:ascii="Wingdings" w:hAnsi="Wingdings" w:cs="Wingdings"/>
      </w:rPr>
    </w:lvl>
  </w:abstractNum>
  <w:abstractNum w:abstractNumId="71" w15:restartNumberingAfterBreak="0">
    <w:nsid w:val="5C921222"/>
    <w:multiLevelType w:val="hybridMultilevel"/>
    <w:tmpl w:val="8E84ECC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2" w15:restartNumberingAfterBreak="0">
    <w:nsid w:val="5F1D2C1E"/>
    <w:multiLevelType w:val="multilevel"/>
    <w:tmpl w:val="7E2A7EC6"/>
    <w:styleLink w:val="WW8Num8"/>
    <w:lvl w:ilvl="0">
      <w:start w:val="1"/>
      <w:numFmt w:val="decimal"/>
      <w:lvlText w:val="%1."/>
      <w:lvlJc w:val="left"/>
      <w:pPr>
        <w:ind w:left="540" w:hanging="540"/>
      </w:pPr>
    </w:lvl>
    <w:lvl w:ilvl="1">
      <w:start w:val="3"/>
      <w:numFmt w:val="decimal"/>
      <w:lvlText w:val="%1.%2."/>
      <w:lvlJc w:val="left"/>
      <w:pPr>
        <w:ind w:left="540" w:hanging="540"/>
      </w:pPr>
    </w:lvl>
    <w:lvl w:ilvl="2">
      <w:start w:val="1"/>
      <w:numFmt w:val="decimal"/>
      <w:lvlText w:val="%1.%2.%3."/>
      <w:lvlJc w:val="left"/>
      <w:pPr>
        <w:ind w:left="720" w:hanging="720"/>
      </w:pPr>
    </w:lvl>
    <w:lvl w:ilvl="3">
      <w:start w:val="1"/>
      <w:numFmt w:val="decimal"/>
      <w:lvlText w:val="%1.%2.%3.%4."/>
      <w:lvlJc w:val="left"/>
      <w:pPr>
        <w:ind w:left="720" w:hanging="720"/>
      </w:pPr>
      <w:rPr>
        <w:b/>
      </w:r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73" w15:restartNumberingAfterBreak="0">
    <w:nsid w:val="636A21A6"/>
    <w:multiLevelType w:val="hybridMultilevel"/>
    <w:tmpl w:val="14FC5638"/>
    <w:lvl w:ilvl="0" w:tplc="04190001">
      <w:start w:val="1"/>
      <w:numFmt w:val="bullet"/>
      <w:lvlText w:val=""/>
      <w:lvlJc w:val="left"/>
      <w:pPr>
        <w:ind w:left="1494" w:hanging="360"/>
      </w:pPr>
      <w:rPr>
        <w:rFonts w:ascii="Symbol" w:hAnsi="Symbol" w:hint="default"/>
      </w:rPr>
    </w:lvl>
    <w:lvl w:ilvl="1" w:tplc="04190019" w:tentative="1">
      <w:start w:val="1"/>
      <w:numFmt w:val="lowerLetter"/>
      <w:lvlText w:val="%2."/>
      <w:lvlJc w:val="left"/>
      <w:pPr>
        <w:ind w:left="2214" w:hanging="360"/>
      </w:pPr>
    </w:lvl>
    <w:lvl w:ilvl="2" w:tplc="0419001B" w:tentative="1">
      <w:start w:val="1"/>
      <w:numFmt w:val="lowerRoman"/>
      <w:lvlText w:val="%3."/>
      <w:lvlJc w:val="right"/>
      <w:pPr>
        <w:ind w:left="2934" w:hanging="180"/>
      </w:pPr>
    </w:lvl>
    <w:lvl w:ilvl="3" w:tplc="0419000F" w:tentative="1">
      <w:start w:val="1"/>
      <w:numFmt w:val="decimal"/>
      <w:lvlText w:val="%4."/>
      <w:lvlJc w:val="left"/>
      <w:pPr>
        <w:ind w:left="3654" w:hanging="360"/>
      </w:pPr>
    </w:lvl>
    <w:lvl w:ilvl="4" w:tplc="04190019" w:tentative="1">
      <w:start w:val="1"/>
      <w:numFmt w:val="lowerLetter"/>
      <w:lvlText w:val="%5."/>
      <w:lvlJc w:val="left"/>
      <w:pPr>
        <w:ind w:left="4374" w:hanging="360"/>
      </w:pPr>
    </w:lvl>
    <w:lvl w:ilvl="5" w:tplc="0419001B" w:tentative="1">
      <w:start w:val="1"/>
      <w:numFmt w:val="lowerRoman"/>
      <w:lvlText w:val="%6."/>
      <w:lvlJc w:val="right"/>
      <w:pPr>
        <w:ind w:left="5094" w:hanging="180"/>
      </w:pPr>
    </w:lvl>
    <w:lvl w:ilvl="6" w:tplc="0419000F" w:tentative="1">
      <w:start w:val="1"/>
      <w:numFmt w:val="decimal"/>
      <w:lvlText w:val="%7."/>
      <w:lvlJc w:val="left"/>
      <w:pPr>
        <w:ind w:left="5814" w:hanging="360"/>
      </w:pPr>
    </w:lvl>
    <w:lvl w:ilvl="7" w:tplc="04190019" w:tentative="1">
      <w:start w:val="1"/>
      <w:numFmt w:val="lowerLetter"/>
      <w:lvlText w:val="%8."/>
      <w:lvlJc w:val="left"/>
      <w:pPr>
        <w:ind w:left="6534" w:hanging="360"/>
      </w:pPr>
    </w:lvl>
    <w:lvl w:ilvl="8" w:tplc="0419001B" w:tentative="1">
      <w:start w:val="1"/>
      <w:numFmt w:val="lowerRoman"/>
      <w:lvlText w:val="%9."/>
      <w:lvlJc w:val="right"/>
      <w:pPr>
        <w:ind w:left="7254" w:hanging="180"/>
      </w:pPr>
    </w:lvl>
  </w:abstractNum>
  <w:abstractNum w:abstractNumId="74" w15:restartNumberingAfterBreak="0">
    <w:nsid w:val="63C3058E"/>
    <w:multiLevelType w:val="multilevel"/>
    <w:tmpl w:val="B39CFF6C"/>
    <w:lvl w:ilvl="0">
      <w:start w:val="1"/>
      <w:numFmt w:val="bullet"/>
      <w:lvlText w:val="•"/>
      <w:lvlJc w:val="left"/>
      <w:rPr>
        <w:rFonts w:ascii="Arial" w:eastAsia="Arial" w:hAnsi="Arial" w:cs="Arial"/>
        <w:b/>
        <w:bCs/>
        <w:i w:val="0"/>
        <w:iCs w:val="0"/>
        <w:smallCaps w:val="0"/>
        <w:strike w:val="0"/>
        <w:color w:val="000000"/>
        <w:spacing w:val="0"/>
        <w:w w:val="100"/>
        <w:position w:val="0"/>
        <w:sz w:val="20"/>
        <w:szCs w:val="20"/>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5" w15:restartNumberingAfterBreak="0">
    <w:nsid w:val="66DD7C26"/>
    <w:multiLevelType w:val="multilevel"/>
    <w:tmpl w:val="2BF00840"/>
    <w:styleLink w:val="WW8Num14"/>
    <w:lvl w:ilvl="0">
      <w:numFmt w:val="bullet"/>
      <w:lvlText w:val="•"/>
      <w:lvlJc w:val="left"/>
      <w:pPr>
        <w:ind w:left="1637" w:hanging="360"/>
      </w:pPr>
      <w:rPr>
        <w:rFonts w:ascii="OpenSymbol" w:eastAsia="SimSun, 宋体" w:hAnsi="OpenSymbol" w:cs="Times New Roman"/>
        <w:color w:val="auto"/>
        <w:sz w:val="24"/>
        <w:szCs w:val="24"/>
        <w:lang w:val="ru-RU" w:bidi="ar-SA"/>
      </w:rPr>
    </w:lvl>
    <w:lvl w:ilvl="1">
      <w:numFmt w:val="bullet"/>
      <w:lvlText w:val="o"/>
      <w:lvlJc w:val="left"/>
      <w:pPr>
        <w:ind w:left="2357" w:hanging="360"/>
      </w:pPr>
      <w:rPr>
        <w:rFonts w:ascii="Courier New" w:hAnsi="Courier New" w:cs="Courier New"/>
      </w:rPr>
    </w:lvl>
    <w:lvl w:ilvl="2">
      <w:numFmt w:val="bullet"/>
      <w:lvlText w:val=""/>
      <w:lvlJc w:val="left"/>
      <w:pPr>
        <w:ind w:left="3077" w:hanging="360"/>
      </w:pPr>
      <w:rPr>
        <w:rFonts w:ascii="Wingdings" w:hAnsi="Wingdings" w:cs="Wingdings"/>
      </w:rPr>
    </w:lvl>
    <w:lvl w:ilvl="3">
      <w:numFmt w:val="bullet"/>
      <w:lvlText w:val=""/>
      <w:lvlJc w:val="left"/>
      <w:pPr>
        <w:ind w:left="3797" w:hanging="360"/>
      </w:pPr>
      <w:rPr>
        <w:rFonts w:ascii="Symbol" w:hAnsi="Symbol" w:cs="Symbol"/>
      </w:rPr>
    </w:lvl>
    <w:lvl w:ilvl="4">
      <w:numFmt w:val="bullet"/>
      <w:lvlText w:val="o"/>
      <w:lvlJc w:val="left"/>
      <w:pPr>
        <w:ind w:left="4517" w:hanging="360"/>
      </w:pPr>
      <w:rPr>
        <w:rFonts w:ascii="Courier New" w:hAnsi="Courier New" w:cs="Courier New"/>
      </w:rPr>
    </w:lvl>
    <w:lvl w:ilvl="5">
      <w:numFmt w:val="bullet"/>
      <w:lvlText w:val=""/>
      <w:lvlJc w:val="left"/>
      <w:pPr>
        <w:ind w:left="5237" w:hanging="360"/>
      </w:pPr>
      <w:rPr>
        <w:rFonts w:ascii="Wingdings" w:hAnsi="Wingdings" w:cs="Wingdings"/>
      </w:rPr>
    </w:lvl>
    <w:lvl w:ilvl="6">
      <w:numFmt w:val="bullet"/>
      <w:lvlText w:val=""/>
      <w:lvlJc w:val="left"/>
      <w:pPr>
        <w:ind w:left="5957" w:hanging="360"/>
      </w:pPr>
      <w:rPr>
        <w:rFonts w:ascii="Symbol" w:hAnsi="Symbol" w:cs="Symbol"/>
      </w:rPr>
    </w:lvl>
    <w:lvl w:ilvl="7">
      <w:numFmt w:val="bullet"/>
      <w:lvlText w:val="o"/>
      <w:lvlJc w:val="left"/>
      <w:pPr>
        <w:ind w:left="6677" w:hanging="360"/>
      </w:pPr>
      <w:rPr>
        <w:rFonts w:ascii="Courier New" w:hAnsi="Courier New" w:cs="Courier New"/>
      </w:rPr>
    </w:lvl>
    <w:lvl w:ilvl="8">
      <w:numFmt w:val="bullet"/>
      <w:lvlText w:val=""/>
      <w:lvlJc w:val="left"/>
      <w:pPr>
        <w:ind w:left="7397" w:hanging="360"/>
      </w:pPr>
      <w:rPr>
        <w:rFonts w:ascii="Wingdings" w:hAnsi="Wingdings" w:cs="Wingdings"/>
      </w:rPr>
    </w:lvl>
  </w:abstractNum>
  <w:abstractNum w:abstractNumId="76" w15:restartNumberingAfterBreak="0">
    <w:nsid w:val="66FD3706"/>
    <w:multiLevelType w:val="multilevel"/>
    <w:tmpl w:val="5A3C47AE"/>
    <w:styleLink w:val="WW8Num17"/>
    <w:lvl w:ilvl="0">
      <w:start w:val="1"/>
      <w:numFmt w:val="decimal"/>
      <w:lvlText w:val="%1."/>
      <w:lvlJc w:val="left"/>
      <w:pPr>
        <w:ind w:left="360" w:hanging="360"/>
      </w:pPr>
    </w:lvl>
    <w:lvl w:ilvl="1">
      <w:start w:val="1"/>
      <w:numFmt w:val="decimal"/>
      <w:lvlText w:val="%1.%2."/>
      <w:lvlJc w:val="left"/>
      <w:pPr>
        <w:ind w:left="1069" w:hanging="360"/>
      </w:pPr>
    </w:lvl>
    <w:lvl w:ilvl="2">
      <w:start w:val="1"/>
      <w:numFmt w:val="decimal"/>
      <w:lvlText w:val="%1.%2.%3."/>
      <w:lvlJc w:val="left"/>
      <w:pPr>
        <w:ind w:left="2138" w:hanging="720"/>
      </w:pPr>
    </w:lvl>
    <w:lvl w:ilvl="3">
      <w:start w:val="1"/>
      <w:numFmt w:val="decimal"/>
      <w:lvlText w:val="%1.%2.%3.%4."/>
      <w:lvlJc w:val="left"/>
      <w:pPr>
        <w:ind w:left="2847" w:hanging="720"/>
      </w:pPr>
    </w:lvl>
    <w:lvl w:ilvl="4">
      <w:start w:val="1"/>
      <w:numFmt w:val="decimal"/>
      <w:lvlText w:val="%1.%2.%3.%4.%5."/>
      <w:lvlJc w:val="left"/>
      <w:pPr>
        <w:ind w:left="3916" w:hanging="1080"/>
      </w:pPr>
    </w:lvl>
    <w:lvl w:ilvl="5">
      <w:start w:val="1"/>
      <w:numFmt w:val="decimal"/>
      <w:lvlText w:val="%1.%2.%3.%4.%5.%6."/>
      <w:lvlJc w:val="left"/>
      <w:pPr>
        <w:ind w:left="4625" w:hanging="1080"/>
      </w:pPr>
    </w:lvl>
    <w:lvl w:ilvl="6">
      <w:start w:val="1"/>
      <w:numFmt w:val="decimal"/>
      <w:lvlText w:val="%1.%2.%3.%4.%5.%6.%7."/>
      <w:lvlJc w:val="left"/>
      <w:pPr>
        <w:ind w:left="5694" w:hanging="1440"/>
      </w:pPr>
    </w:lvl>
    <w:lvl w:ilvl="7">
      <w:start w:val="1"/>
      <w:numFmt w:val="decimal"/>
      <w:lvlText w:val="%1.%2.%3.%4.%5.%6.%7.%8."/>
      <w:lvlJc w:val="left"/>
      <w:pPr>
        <w:ind w:left="6403" w:hanging="1440"/>
      </w:pPr>
    </w:lvl>
    <w:lvl w:ilvl="8">
      <w:start w:val="1"/>
      <w:numFmt w:val="decimal"/>
      <w:lvlText w:val="%1.%2.%3.%4.%5.%6.%7.%8.%9."/>
      <w:lvlJc w:val="left"/>
      <w:pPr>
        <w:ind w:left="7472" w:hanging="1800"/>
      </w:pPr>
    </w:lvl>
  </w:abstractNum>
  <w:abstractNum w:abstractNumId="77" w15:restartNumberingAfterBreak="0">
    <w:nsid w:val="67207A3E"/>
    <w:multiLevelType w:val="multilevel"/>
    <w:tmpl w:val="C8563F8C"/>
    <w:styleLink w:val="WW8Num6"/>
    <w:lvl w:ilvl="0">
      <w:numFmt w:val="bullet"/>
      <w:lvlText w:val="•"/>
      <w:lvlJc w:val="left"/>
      <w:pPr>
        <w:ind w:left="720" w:hanging="360"/>
      </w:pPr>
      <w:rPr>
        <w:rFonts w:ascii="OpenSymbol" w:eastAsia="SimSun, 宋体" w:hAnsi="OpenSymbol" w:cs="Times New Roman"/>
        <w:color w:val="auto"/>
        <w:sz w:val="24"/>
        <w:szCs w:val="24"/>
        <w:lang w:val="ru-RU" w:bidi="ar-SA"/>
      </w:rPr>
    </w:lvl>
    <w:lvl w:ilvl="1">
      <w:numFmt w:val="bullet"/>
      <w:lvlText w:val="o"/>
      <w:lvlJc w:val="left"/>
      <w:pPr>
        <w:ind w:left="1440" w:hanging="360"/>
      </w:pPr>
      <w:rPr>
        <w:rFonts w:ascii="Courier New" w:hAnsi="Courier New" w:cs="Courier New"/>
        <w:sz w:val="20"/>
      </w:rPr>
    </w:lvl>
    <w:lvl w:ilvl="2">
      <w:numFmt w:val="bullet"/>
      <w:lvlText w:val=""/>
      <w:lvlJc w:val="left"/>
      <w:pPr>
        <w:ind w:left="2160" w:hanging="360"/>
      </w:pPr>
      <w:rPr>
        <w:rFonts w:ascii="Wingdings" w:hAnsi="Wingdings" w:cs="Wingdings"/>
        <w:sz w:val="20"/>
      </w:rPr>
    </w:lvl>
    <w:lvl w:ilvl="3">
      <w:numFmt w:val="bullet"/>
      <w:lvlText w:val=""/>
      <w:lvlJc w:val="left"/>
      <w:pPr>
        <w:ind w:left="2880" w:hanging="360"/>
      </w:pPr>
      <w:rPr>
        <w:rFonts w:ascii="Wingdings" w:hAnsi="Wingdings" w:cs="Wingdings"/>
        <w:sz w:val="20"/>
      </w:rPr>
    </w:lvl>
    <w:lvl w:ilvl="4">
      <w:numFmt w:val="bullet"/>
      <w:lvlText w:val=""/>
      <w:lvlJc w:val="left"/>
      <w:pPr>
        <w:ind w:left="3600" w:hanging="360"/>
      </w:pPr>
      <w:rPr>
        <w:rFonts w:ascii="Wingdings" w:hAnsi="Wingdings" w:cs="Wingdings"/>
        <w:sz w:val="20"/>
      </w:rPr>
    </w:lvl>
    <w:lvl w:ilvl="5">
      <w:numFmt w:val="bullet"/>
      <w:lvlText w:val=""/>
      <w:lvlJc w:val="left"/>
      <w:pPr>
        <w:ind w:left="4320" w:hanging="360"/>
      </w:pPr>
      <w:rPr>
        <w:rFonts w:ascii="Wingdings" w:hAnsi="Wingdings" w:cs="Wingdings"/>
        <w:sz w:val="20"/>
      </w:rPr>
    </w:lvl>
    <w:lvl w:ilvl="6">
      <w:numFmt w:val="bullet"/>
      <w:lvlText w:val=""/>
      <w:lvlJc w:val="left"/>
      <w:pPr>
        <w:ind w:left="5040" w:hanging="360"/>
      </w:pPr>
      <w:rPr>
        <w:rFonts w:ascii="Wingdings" w:hAnsi="Wingdings" w:cs="Wingdings"/>
        <w:sz w:val="20"/>
      </w:rPr>
    </w:lvl>
    <w:lvl w:ilvl="7">
      <w:numFmt w:val="bullet"/>
      <w:lvlText w:val=""/>
      <w:lvlJc w:val="left"/>
      <w:pPr>
        <w:ind w:left="5760" w:hanging="360"/>
      </w:pPr>
      <w:rPr>
        <w:rFonts w:ascii="Wingdings" w:hAnsi="Wingdings" w:cs="Wingdings"/>
        <w:sz w:val="20"/>
      </w:rPr>
    </w:lvl>
    <w:lvl w:ilvl="8">
      <w:numFmt w:val="bullet"/>
      <w:lvlText w:val=""/>
      <w:lvlJc w:val="left"/>
      <w:pPr>
        <w:ind w:left="6480" w:hanging="360"/>
      </w:pPr>
      <w:rPr>
        <w:rFonts w:ascii="Wingdings" w:hAnsi="Wingdings" w:cs="Wingdings"/>
        <w:sz w:val="20"/>
      </w:rPr>
    </w:lvl>
  </w:abstractNum>
  <w:abstractNum w:abstractNumId="78" w15:restartNumberingAfterBreak="0">
    <w:nsid w:val="67AE5228"/>
    <w:multiLevelType w:val="hybridMultilevel"/>
    <w:tmpl w:val="A3E06EA0"/>
    <w:lvl w:ilvl="0" w:tplc="8BB884B2">
      <w:start w:val="1"/>
      <w:numFmt w:val="decimal"/>
      <w:lvlText w:val="%1)"/>
      <w:lvlJc w:val="left"/>
      <w:pPr>
        <w:ind w:left="720" w:hanging="360"/>
      </w:pPr>
      <w:rPr>
        <w:b w:val="0"/>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79" w15:restartNumberingAfterBreak="0">
    <w:nsid w:val="67E50050"/>
    <w:multiLevelType w:val="multilevel"/>
    <w:tmpl w:val="5F4E9E4A"/>
    <w:styleLink w:val="Outline"/>
    <w:lvl w:ilvl="0">
      <w:start w:val="1"/>
      <w:numFmt w:val="decimal"/>
      <w:lvlText w:val="%1."/>
      <w:lvlJc w:val="left"/>
      <w:pPr>
        <w:ind w:left="1202" w:hanging="432"/>
      </w:pPr>
      <w:rPr>
        <w:rFonts w:ascii="Times New Roman" w:hAnsi="Times New Roman" w:cs="Times New Roman"/>
        <w:b/>
        <w:bCs/>
        <w:i w:val="0"/>
        <w:iCs w:val="0"/>
        <w:caps w:val="0"/>
        <w:smallCaps w:val="0"/>
        <w:strike w:val="0"/>
        <w:dstrike w:val="0"/>
        <w:outline w:val="0"/>
        <w:vanish w:val="0"/>
        <w:position w:val="0"/>
        <w:sz w:val="28"/>
        <w:szCs w:val="28"/>
        <w:vertAlign w:val="baseline"/>
      </w:rPr>
    </w:lvl>
    <w:lvl w:ilvl="1">
      <w:start w:val="1"/>
      <w:numFmt w:val="none"/>
      <w:lvlText w:val="%2"/>
      <w:lvlJc w:val="left"/>
      <w:pPr>
        <w:ind w:left="851" w:hanging="567"/>
      </w:pPr>
      <w:rPr>
        <w:rFonts w:ascii="Times New Roman" w:hAnsi="Times New Roman" w:cs="Times New Roman"/>
        <w:b w:val="0"/>
        <w:bCs w:val="0"/>
        <w:i w:val="0"/>
        <w:iCs w:val="0"/>
        <w:caps w:val="0"/>
        <w:smallCaps w:val="0"/>
        <w:strike w:val="0"/>
        <w:dstrike w:val="0"/>
        <w:outline w:val="0"/>
        <w:vanish w:val="0"/>
        <w:color w:val="000000"/>
        <w:spacing w:val="0"/>
        <w:w w:val="100"/>
        <w:kern w:val="3"/>
        <w:position w:val="0"/>
        <w:sz w:val="24"/>
        <w:szCs w:val="24"/>
        <w:u w:val="none"/>
        <w:vertAlign w:val="baseline"/>
      </w:rPr>
    </w:lvl>
    <w:lvl w:ilvl="2">
      <w:start w:val="1"/>
      <w:numFmt w:val="none"/>
      <w:lvlText w:val="%3"/>
      <w:lvlJc w:val="left"/>
      <w:pPr>
        <w:ind w:left="720" w:hanging="720"/>
      </w:pPr>
      <w:rPr>
        <w:rFonts w:cs="Times New Roman"/>
        <w:caps w:val="0"/>
        <w:smallCaps w:val="0"/>
        <w:position w:val="0"/>
        <w:vertAlign w:val="baseline"/>
      </w:rPr>
    </w:lvl>
    <w:lvl w:ilvl="3">
      <w:start w:val="1"/>
      <w:numFmt w:val="none"/>
      <w:lvlText w:val="%4"/>
      <w:lvlJc w:val="left"/>
    </w:lvl>
    <w:lvl w:ilvl="4">
      <w:start w:val="1"/>
      <w:numFmt w:val="decimal"/>
      <w:lvlText w:val="%1.%2.%3.%4.%5"/>
      <w:lvlJc w:val="left"/>
      <w:pPr>
        <w:ind w:left="1008" w:hanging="1008"/>
      </w:pPr>
      <w:rPr>
        <w:rFonts w:cs="Times New Roman"/>
      </w:rPr>
    </w:lvl>
    <w:lvl w:ilvl="5">
      <w:start w:val="1"/>
      <w:numFmt w:val="none"/>
      <w:lvlText w:val="%6"/>
      <w:lvlJc w:val="left"/>
    </w:lvl>
    <w:lvl w:ilvl="6">
      <w:start w:val="1"/>
      <w:numFmt w:val="none"/>
      <w:lvlText w:val="%7"/>
      <w:lvlJc w:val="left"/>
    </w:lvl>
    <w:lvl w:ilvl="7">
      <w:start w:val="1"/>
      <w:numFmt w:val="none"/>
      <w:lvlText w:val="%8"/>
      <w:lvlJc w:val="left"/>
    </w:lvl>
    <w:lvl w:ilvl="8">
      <w:start w:val="1"/>
      <w:numFmt w:val="none"/>
      <w:lvlText w:val="%9"/>
      <w:lvlJc w:val="left"/>
    </w:lvl>
  </w:abstractNum>
  <w:abstractNum w:abstractNumId="80" w15:restartNumberingAfterBreak="0">
    <w:nsid w:val="686F3754"/>
    <w:multiLevelType w:val="hybridMultilevel"/>
    <w:tmpl w:val="A1C80B4A"/>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81" w15:restartNumberingAfterBreak="0">
    <w:nsid w:val="68F71E8E"/>
    <w:multiLevelType w:val="multilevel"/>
    <w:tmpl w:val="914200AA"/>
    <w:lvl w:ilvl="0">
      <w:start w:val="1"/>
      <w:numFmt w:val="decimal"/>
      <w:lvlText w:val="%1."/>
      <w:lvlJc w:val="left"/>
      <w:pPr>
        <w:ind w:left="1068" w:hanging="360"/>
      </w:pPr>
      <w:rPr>
        <w:rFonts w:hint="default"/>
      </w:rPr>
    </w:lvl>
    <w:lvl w:ilvl="1">
      <w:start w:val="2"/>
      <w:numFmt w:val="decimal"/>
      <w:isLgl/>
      <w:lvlText w:val="%1.%2."/>
      <w:lvlJc w:val="left"/>
      <w:pPr>
        <w:ind w:left="1069" w:hanging="360"/>
      </w:pPr>
      <w:rPr>
        <w:rFonts w:hint="default"/>
      </w:rPr>
    </w:lvl>
    <w:lvl w:ilvl="2">
      <w:start w:val="1"/>
      <w:numFmt w:val="decimal"/>
      <w:isLgl/>
      <w:lvlText w:val="%1.%2.%3."/>
      <w:lvlJc w:val="left"/>
      <w:pPr>
        <w:ind w:left="1430" w:hanging="720"/>
      </w:pPr>
      <w:rPr>
        <w:rFonts w:hint="default"/>
      </w:rPr>
    </w:lvl>
    <w:lvl w:ilvl="3">
      <w:start w:val="1"/>
      <w:numFmt w:val="decimal"/>
      <w:isLgl/>
      <w:lvlText w:val="%1.%2.%3.%4."/>
      <w:lvlJc w:val="left"/>
      <w:pPr>
        <w:ind w:left="1431" w:hanging="720"/>
      </w:pPr>
      <w:rPr>
        <w:rFonts w:hint="default"/>
      </w:rPr>
    </w:lvl>
    <w:lvl w:ilvl="4">
      <w:start w:val="1"/>
      <w:numFmt w:val="decimal"/>
      <w:isLgl/>
      <w:lvlText w:val="%1.%2.%3.%4.%5."/>
      <w:lvlJc w:val="left"/>
      <w:pPr>
        <w:ind w:left="1792" w:hanging="1080"/>
      </w:pPr>
      <w:rPr>
        <w:rFonts w:hint="default"/>
      </w:rPr>
    </w:lvl>
    <w:lvl w:ilvl="5">
      <w:start w:val="1"/>
      <w:numFmt w:val="decimal"/>
      <w:isLgl/>
      <w:lvlText w:val="%1.%2.%3.%4.%5.%6."/>
      <w:lvlJc w:val="left"/>
      <w:pPr>
        <w:ind w:left="1793" w:hanging="1080"/>
      </w:pPr>
      <w:rPr>
        <w:rFonts w:hint="default"/>
      </w:rPr>
    </w:lvl>
    <w:lvl w:ilvl="6">
      <w:start w:val="1"/>
      <w:numFmt w:val="decimal"/>
      <w:isLgl/>
      <w:lvlText w:val="%1.%2.%3.%4.%5.%6.%7."/>
      <w:lvlJc w:val="left"/>
      <w:pPr>
        <w:ind w:left="2154" w:hanging="1440"/>
      </w:pPr>
      <w:rPr>
        <w:rFonts w:hint="default"/>
      </w:rPr>
    </w:lvl>
    <w:lvl w:ilvl="7">
      <w:start w:val="1"/>
      <w:numFmt w:val="decimal"/>
      <w:isLgl/>
      <w:lvlText w:val="%1.%2.%3.%4.%5.%6.%7.%8."/>
      <w:lvlJc w:val="left"/>
      <w:pPr>
        <w:ind w:left="2155" w:hanging="1440"/>
      </w:pPr>
      <w:rPr>
        <w:rFonts w:hint="default"/>
      </w:rPr>
    </w:lvl>
    <w:lvl w:ilvl="8">
      <w:start w:val="1"/>
      <w:numFmt w:val="decimal"/>
      <w:isLgl/>
      <w:lvlText w:val="%1.%2.%3.%4.%5.%6.%7.%8.%9."/>
      <w:lvlJc w:val="left"/>
      <w:pPr>
        <w:ind w:left="2516" w:hanging="1800"/>
      </w:pPr>
      <w:rPr>
        <w:rFonts w:hint="default"/>
      </w:rPr>
    </w:lvl>
  </w:abstractNum>
  <w:abstractNum w:abstractNumId="82" w15:restartNumberingAfterBreak="0">
    <w:nsid w:val="6AEA52AD"/>
    <w:multiLevelType w:val="multilevel"/>
    <w:tmpl w:val="022EFBEA"/>
    <w:styleLink w:val="WW8Num22"/>
    <w:lvl w:ilvl="0">
      <w:numFmt w:val="bullet"/>
      <w:lvlText w:val="•"/>
      <w:lvlJc w:val="left"/>
      <w:pPr>
        <w:ind w:left="720" w:hanging="360"/>
      </w:pPr>
      <w:rPr>
        <w:rFonts w:ascii="OpenSymbol" w:eastAsia="SimSun, 宋体" w:hAnsi="OpenSymbol" w:cs="Times New Roman"/>
        <w:color w:val="auto"/>
        <w:sz w:val="24"/>
        <w:szCs w:val="24"/>
        <w:lang w:val="ru-RU" w:bidi="ar-SA"/>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cs="Wingdings"/>
      </w:rPr>
    </w:lvl>
    <w:lvl w:ilvl="3">
      <w:numFmt w:val="bullet"/>
      <w:lvlText w:val=""/>
      <w:lvlJc w:val="left"/>
      <w:pPr>
        <w:ind w:left="2880" w:hanging="360"/>
      </w:pPr>
      <w:rPr>
        <w:rFonts w:ascii="Symbol" w:hAnsi="Symbol" w:cs="Symbol"/>
        <w:sz w:val="24"/>
        <w:szCs w:val="24"/>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cs="Wingdings"/>
      </w:rPr>
    </w:lvl>
    <w:lvl w:ilvl="6">
      <w:numFmt w:val="bullet"/>
      <w:lvlText w:val=""/>
      <w:lvlJc w:val="left"/>
      <w:pPr>
        <w:ind w:left="5040" w:hanging="360"/>
      </w:pPr>
      <w:rPr>
        <w:rFonts w:ascii="Symbol" w:hAnsi="Symbol" w:cs="Symbol"/>
        <w:sz w:val="24"/>
        <w:szCs w:val="24"/>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cs="Wingdings"/>
      </w:rPr>
    </w:lvl>
  </w:abstractNum>
  <w:abstractNum w:abstractNumId="83" w15:restartNumberingAfterBreak="0">
    <w:nsid w:val="6B212F69"/>
    <w:multiLevelType w:val="multilevel"/>
    <w:tmpl w:val="FF6A4DAC"/>
    <w:styleLink w:val="WW8Num28"/>
    <w:lvl w:ilvl="0">
      <w:numFmt w:val="bullet"/>
      <w:pStyle w:val="a0"/>
      <w:lvlText w:val=""/>
      <w:lvlJc w:val="left"/>
      <w:pPr>
        <w:ind w:left="730" w:hanging="360"/>
      </w:pPr>
      <w:rPr>
        <w:rFonts w:ascii="Symbol" w:hAnsi="Symbol" w:cs="Symbol"/>
      </w:rPr>
    </w:lvl>
    <w:lvl w:ilvl="1">
      <w:numFmt w:val="bullet"/>
      <w:lvlText w:val="o"/>
      <w:lvlJc w:val="left"/>
      <w:pPr>
        <w:ind w:left="1450" w:hanging="360"/>
      </w:pPr>
      <w:rPr>
        <w:rFonts w:ascii="Courier New" w:hAnsi="Courier New" w:cs="Courier New"/>
      </w:rPr>
    </w:lvl>
    <w:lvl w:ilvl="2">
      <w:numFmt w:val="bullet"/>
      <w:lvlText w:val=""/>
      <w:lvlJc w:val="left"/>
      <w:pPr>
        <w:ind w:left="2170" w:hanging="360"/>
      </w:pPr>
      <w:rPr>
        <w:rFonts w:ascii="Wingdings" w:hAnsi="Wingdings" w:cs="Wingdings"/>
      </w:rPr>
    </w:lvl>
    <w:lvl w:ilvl="3">
      <w:numFmt w:val="bullet"/>
      <w:lvlText w:val=""/>
      <w:lvlJc w:val="left"/>
      <w:pPr>
        <w:ind w:left="2890" w:hanging="360"/>
      </w:pPr>
      <w:rPr>
        <w:rFonts w:ascii="Symbol" w:hAnsi="Symbol" w:cs="Symbol"/>
      </w:rPr>
    </w:lvl>
    <w:lvl w:ilvl="4">
      <w:numFmt w:val="bullet"/>
      <w:lvlText w:val="o"/>
      <w:lvlJc w:val="left"/>
      <w:pPr>
        <w:ind w:left="3610" w:hanging="360"/>
      </w:pPr>
      <w:rPr>
        <w:rFonts w:ascii="Courier New" w:hAnsi="Courier New" w:cs="Courier New"/>
      </w:rPr>
    </w:lvl>
    <w:lvl w:ilvl="5">
      <w:numFmt w:val="bullet"/>
      <w:lvlText w:val=""/>
      <w:lvlJc w:val="left"/>
      <w:pPr>
        <w:ind w:left="4330" w:hanging="360"/>
      </w:pPr>
      <w:rPr>
        <w:rFonts w:ascii="Wingdings" w:hAnsi="Wingdings" w:cs="Wingdings"/>
      </w:rPr>
    </w:lvl>
    <w:lvl w:ilvl="6">
      <w:numFmt w:val="bullet"/>
      <w:lvlText w:val=""/>
      <w:lvlJc w:val="left"/>
      <w:pPr>
        <w:ind w:left="5050" w:hanging="360"/>
      </w:pPr>
      <w:rPr>
        <w:rFonts w:ascii="Symbol" w:hAnsi="Symbol" w:cs="Symbol"/>
      </w:rPr>
    </w:lvl>
    <w:lvl w:ilvl="7">
      <w:numFmt w:val="bullet"/>
      <w:lvlText w:val="o"/>
      <w:lvlJc w:val="left"/>
      <w:pPr>
        <w:ind w:left="5770" w:hanging="360"/>
      </w:pPr>
      <w:rPr>
        <w:rFonts w:ascii="Courier New" w:hAnsi="Courier New" w:cs="Courier New"/>
      </w:rPr>
    </w:lvl>
    <w:lvl w:ilvl="8">
      <w:numFmt w:val="bullet"/>
      <w:lvlText w:val=""/>
      <w:lvlJc w:val="left"/>
      <w:pPr>
        <w:ind w:left="6490" w:hanging="360"/>
      </w:pPr>
      <w:rPr>
        <w:rFonts w:ascii="Wingdings" w:hAnsi="Wingdings" w:cs="Wingdings"/>
      </w:rPr>
    </w:lvl>
  </w:abstractNum>
  <w:abstractNum w:abstractNumId="84" w15:restartNumberingAfterBreak="0">
    <w:nsid w:val="6D4D0044"/>
    <w:multiLevelType w:val="hybridMultilevel"/>
    <w:tmpl w:val="9D484174"/>
    <w:styleLink w:val="1119"/>
    <w:lvl w:ilvl="0" w:tplc="EE526266">
      <w:start w:val="1"/>
      <w:numFmt w:val="bullet"/>
      <w:lvlText w:val=""/>
      <w:lvlJc w:val="left"/>
      <w:pPr>
        <w:tabs>
          <w:tab w:val="num" w:pos="680"/>
        </w:tabs>
        <w:ind w:left="680" w:hanging="396"/>
      </w:pPr>
      <w:rPr>
        <w:rFonts w:ascii="Wingdings" w:hAnsi="Wingdings"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85" w15:restartNumberingAfterBreak="0">
    <w:nsid w:val="6DA237DB"/>
    <w:multiLevelType w:val="multilevel"/>
    <w:tmpl w:val="3AB0EC4E"/>
    <w:styleLink w:val="WW8Num33"/>
    <w:lvl w:ilvl="0">
      <w:start w:val="1"/>
      <w:numFmt w:val="decimal"/>
      <w:lvlText w:val="%1."/>
      <w:lvlJc w:val="left"/>
      <w:pPr>
        <w:ind w:left="450" w:hanging="450"/>
      </w:pPr>
    </w:lvl>
    <w:lvl w:ilvl="1">
      <w:start w:val="2"/>
      <w:numFmt w:val="decimal"/>
      <w:lvlText w:val="%1.%2."/>
      <w:lvlJc w:val="left"/>
      <w:pPr>
        <w:ind w:left="1490" w:hanging="720"/>
      </w:pPr>
    </w:lvl>
    <w:lvl w:ilvl="2">
      <w:start w:val="1"/>
      <w:numFmt w:val="decimal"/>
      <w:lvlText w:val="%3."/>
      <w:lvlJc w:val="left"/>
      <w:pPr>
        <w:ind w:left="2260" w:hanging="720"/>
      </w:pPr>
    </w:lvl>
    <w:lvl w:ilvl="3">
      <w:start w:val="1"/>
      <w:numFmt w:val="decimal"/>
      <w:lvlText w:val="%1.%2.%3.%4."/>
      <w:lvlJc w:val="left"/>
      <w:pPr>
        <w:ind w:left="3390" w:hanging="1080"/>
      </w:pPr>
    </w:lvl>
    <w:lvl w:ilvl="4">
      <w:start w:val="1"/>
      <w:numFmt w:val="decimal"/>
      <w:lvlText w:val="%1.%2.%3.%4.%5."/>
      <w:lvlJc w:val="left"/>
      <w:pPr>
        <w:ind w:left="4160" w:hanging="1080"/>
      </w:pPr>
    </w:lvl>
    <w:lvl w:ilvl="5">
      <w:start w:val="1"/>
      <w:numFmt w:val="decimal"/>
      <w:lvlText w:val="%1.%2.%3.%4.%5.%6."/>
      <w:lvlJc w:val="left"/>
      <w:pPr>
        <w:ind w:left="5290" w:hanging="1440"/>
      </w:pPr>
    </w:lvl>
    <w:lvl w:ilvl="6">
      <w:start w:val="1"/>
      <w:numFmt w:val="decimal"/>
      <w:lvlText w:val="%1.%2.%3.%4.%5.%6.%7."/>
      <w:lvlJc w:val="left"/>
      <w:pPr>
        <w:ind w:left="6420" w:hanging="1800"/>
      </w:pPr>
    </w:lvl>
    <w:lvl w:ilvl="7">
      <w:start w:val="1"/>
      <w:numFmt w:val="decimal"/>
      <w:lvlText w:val="%1.%2.%3.%4.%5.%6.%7.%8."/>
      <w:lvlJc w:val="left"/>
      <w:pPr>
        <w:ind w:left="7190" w:hanging="1800"/>
      </w:pPr>
    </w:lvl>
    <w:lvl w:ilvl="8">
      <w:start w:val="1"/>
      <w:numFmt w:val="decimal"/>
      <w:lvlText w:val="%1.%2.%3.%4.%5.%6.%7.%8.%9."/>
      <w:lvlJc w:val="left"/>
      <w:pPr>
        <w:ind w:left="8320" w:hanging="2160"/>
      </w:pPr>
    </w:lvl>
  </w:abstractNum>
  <w:abstractNum w:abstractNumId="86" w15:restartNumberingAfterBreak="0">
    <w:nsid w:val="6EA90E21"/>
    <w:multiLevelType w:val="multilevel"/>
    <w:tmpl w:val="7CBEE458"/>
    <w:styleLink w:val="WW8Num19"/>
    <w:lvl w:ilvl="0">
      <w:numFmt w:val="bullet"/>
      <w:lvlText w:val="•"/>
      <w:lvlJc w:val="left"/>
      <w:pPr>
        <w:ind w:left="927" w:hanging="360"/>
      </w:pPr>
      <w:rPr>
        <w:rFonts w:ascii="OpenSymbol" w:eastAsia="SimSun, 宋体" w:hAnsi="OpenSymbol" w:cs="Times New Roman"/>
        <w:color w:val="auto"/>
        <w:sz w:val="24"/>
        <w:szCs w:val="24"/>
        <w:lang w:val="ru-RU" w:bidi="ar-SA"/>
      </w:rPr>
    </w:lvl>
    <w:lvl w:ilvl="1">
      <w:start w:val="1"/>
      <w:numFmt w:val="lowerLetter"/>
      <w:lvlText w:val="%2."/>
      <w:lvlJc w:val="left"/>
      <w:pPr>
        <w:ind w:left="1647" w:hanging="360"/>
      </w:pPr>
    </w:lvl>
    <w:lvl w:ilvl="2">
      <w:start w:val="1"/>
      <w:numFmt w:val="lowerRoman"/>
      <w:lvlText w:val="%3."/>
      <w:lvlJc w:val="right"/>
      <w:pPr>
        <w:ind w:left="2367" w:hanging="180"/>
      </w:pPr>
    </w:lvl>
    <w:lvl w:ilvl="3">
      <w:start w:val="1"/>
      <w:numFmt w:val="decimal"/>
      <w:lvlText w:val="%4."/>
      <w:lvlJc w:val="left"/>
      <w:pPr>
        <w:ind w:left="3087" w:hanging="360"/>
      </w:pPr>
    </w:lvl>
    <w:lvl w:ilvl="4">
      <w:start w:val="1"/>
      <w:numFmt w:val="lowerLetter"/>
      <w:lvlText w:val="%5."/>
      <w:lvlJc w:val="left"/>
      <w:pPr>
        <w:ind w:left="3807" w:hanging="360"/>
      </w:pPr>
    </w:lvl>
    <w:lvl w:ilvl="5">
      <w:start w:val="1"/>
      <w:numFmt w:val="lowerRoman"/>
      <w:lvlText w:val="%6."/>
      <w:lvlJc w:val="right"/>
      <w:pPr>
        <w:ind w:left="4527" w:hanging="180"/>
      </w:pPr>
    </w:lvl>
    <w:lvl w:ilvl="6">
      <w:start w:val="1"/>
      <w:numFmt w:val="decimal"/>
      <w:lvlText w:val="%7."/>
      <w:lvlJc w:val="left"/>
      <w:pPr>
        <w:ind w:left="5247" w:hanging="360"/>
      </w:pPr>
    </w:lvl>
    <w:lvl w:ilvl="7">
      <w:start w:val="1"/>
      <w:numFmt w:val="lowerLetter"/>
      <w:lvlText w:val="%8."/>
      <w:lvlJc w:val="left"/>
      <w:pPr>
        <w:ind w:left="5967" w:hanging="360"/>
      </w:pPr>
    </w:lvl>
    <w:lvl w:ilvl="8">
      <w:start w:val="1"/>
      <w:numFmt w:val="lowerRoman"/>
      <w:lvlText w:val="%9."/>
      <w:lvlJc w:val="right"/>
      <w:pPr>
        <w:ind w:left="6687" w:hanging="180"/>
      </w:pPr>
    </w:lvl>
  </w:abstractNum>
  <w:abstractNum w:abstractNumId="87" w15:restartNumberingAfterBreak="0">
    <w:nsid w:val="6FCA594F"/>
    <w:multiLevelType w:val="multilevel"/>
    <w:tmpl w:val="F18C4CCC"/>
    <w:styleLink w:val="531"/>
    <w:lvl w:ilvl="0">
      <w:numFmt w:val="bullet"/>
      <w:lvlText w:val="-"/>
      <w:lvlJc w:val="left"/>
      <w:pPr>
        <w:ind w:left="1412" w:hanging="360"/>
      </w:pPr>
      <w:rPr>
        <w:rFonts w:ascii="Times New Roman" w:eastAsia="Calibri" w:hAnsi="Times New Roman" w:cs="Times New Roman"/>
      </w:rPr>
    </w:lvl>
    <w:lvl w:ilvl="1">
      <w:numFmt w:val="bullet"/>
      <w:lvlText w:val="o"/>
      <w:lvlJc w:val="left"/>
      <w:pPr>
        <w:ind w:left="2132" w:hanging="360"/>
      </w:pPr>
      <w:rPr>
        <w:rFonts w:ascii="Courier New" w:hAnsi="Courier New" w:cs="Courier New"/>
      </w:rPr>
    </w:lvl>
    <w:lvl w:ilvl="2">
      <w:numFmt w:val="bullet"/>
      <w:lvlText w:val=""/>
      <w:lvlJc w:val="left"/>
      <w:pPr>
        <w:ind w:left="2852" w:hanging="360"/>
      </w:pPr>
      <w:rPr>
        <w:rFonts w:ascii="Wingdings" w:hAnsi="Wingdings"/>
      </w:rPr>
    </w:lvl>
    <w:lvl w:ilvl="3">
      <w:numFmt w:val="bullet"/>
      <w:lvlText w:val=""/>
      <w:lvlJc w:val="left"/>
      <w:pPr>
        <w:ind w:left="3572" w:hanging="360"/>
      </w:pPr>
      <w:rPr>
        <w:rFonts w:ascii="Symbol" w:hAnsi="Symbol"/>
      </w:rPr>
    </w:lvl>
    <w:lvl w:ilvl="4">
      <w:numFmt w:val="bullet"/>
      <w:lvlText w:val="o"/>
      <w:lvlJc w:val="left"/>
      <w:pPr>
        <w:ind w:left="4292" w:hanging="360"/>
      </w:pPr>
      <w:rPr>
        <w:rFonts w:ascii="Courier New" w:hAnsi="Courier New" w:cs="Courier New"/>
      </w:rPr>
    </w:lvl>
    <w:lvl w:ilvl="5">
      <w:numFmt w:val="bullet"/>
      <w:lvlText w:val=""/>
      <w:lvlJc w:val="left"/>
      <w:pPr>
        <w:ind w:left="5012" w:hanging="360"/>
      </w:pPr>
      <w:rPr>
        <w:rFonts w:ascii="Wingdings" w:hAnsi="Wingdings"/>
      </w:rPr>
    </w:lvl>
    <w:lvl w:ilvl="6">
      <w:numFmt w:val="bullet"/>
      <w:lvlText w:val=""/>
      <w:lvlJc w:val="left"/>
      <w:pPr>
        <w:ind w:left="5732" w:hanging="360"/>
      </w:pPr>
      <w:rPr>
        <w:rFonts w:ascii="Symbol" w:hAnsi="Symbol"/>
      </w:rPr>
    </w:lvl>
    <w:lvl w:ilvl="7">
      <w:numFmt w:val="bullet"/>
      <w:lvlText w:val="o"/>
      <w:lvlJc w:val="left"/>
      <w:pPr>
        <w:ind w:left="6452" w:hanging="360"/>
      </w:pPr>
      <w:rPr>
        <w:rFonts w:ascii="Courier New" w:hAnsi="Courier New" w:cs="Courier New"/>
      </w:rPr>
    </w:lvl>
    <w:lvl w:ilvl="8">
      <w:numFmt w:val="bullet"/>
      <w:lvlText w:val=""/>
      <w:lvlJc w:val="left"/>
      <w:pPr>
        <w:ind w:left="7172" w:hanging="360"/>
      </w:pPr>
      <w:rPr>
        <w:rFonts w:ascii="Wingdings" w:hAnsi="Wingdings"/>
      </w:rPr>
    </w:lvl>
  </w:abstractNum>
  <w:abstractNum w:abstractNumId="88" w15:restartNumberingAfterBreak="0">
    <w:nsid w:val="703C6D5C"/>
    <w:multiLevelType w:val="multilevel"/>
    <w:tmpl w:val="661A9250"/>
    <w:styleLink w:val="LFO6"/>
    <w:lvl w:ilvl="0">
      <w:start w:val="1"/>
      <w:numFmt w:val="decimal"/>
      <w:pStyle w:val="a1"/>
      <w:lvlText w:val="%1)"/>
      <w:lvlJc w:val="left"/>
      <w:pPr>
        <w:ind w:left="360" w:hanging="360"/>
      </w:pPr>
    </w:lvl>
    <w:lvl w:ilvl="1">
      <w:numFmt w:val="bullet"/>
      <w:lvlText w:val="•"/>
      <w:lvlJc w:val="left"/>
      <w:pPr>
        <w:ind w:left="1992" w:hanging="705"/>
      </w:pPr>
      <w:rPr>
        <w:rFonts w:ascii="Times New Roman" w:eastAsia="Calibri" w:hAnsi="Times New Roman" w:cs="Times New Roman"/>
      </w:rPr>
    </w:lvl>
    <w:lvl w:ilvl="2">
      <w:numFmt w:val="bullet"/>
      <w:lvlText w:val=""/>
      <w:lvlJc w:val="left"/>
      <w:pPr>
        <w:ind w:left="2367" w:hanging="360"/>
      </w:pPr>
      <w:rPr>
        <w:rFonts w:ascii="Wingdings" w:hAnsi="Wingdings"/>
      </w:rPr>
    </w:lvl>
    <w:lvl w:ilvl="3">
      <w:numFmt w:val="bullet"/>
      <w:lvlText w:val=""/>
      <w:lvlJc w:val="left"/>
      <w:pPr>
        <w:ind w:left="3087" w:hanging="360"/>
      </w:pPr>
      <w:rPr>
        <w:rFonts w:ascii="Symbol" w:hAnsi="Symbol"/>
      </w:rPr>
    </w:lvl>
    <w:lvl w:ilvl="4">
      <w:numFmt w:val="bullet"/>
      <w:lvlText w:val="o"/>
      <w:lvlJc w:val="left"/>
      <w:pPr>
        <w:ind w:left="3807" w:hanging="360"/>
      </w:pPr>
      <w:rPr>
        <w:rFonts w:ascii="Courier New" w:hAnsi="Courier New" w:cs="Courier New"/>
      </w:rPr>
    </w:lvl>
    <w:lvl w:ilvl="5">
      <w:numFmt w:val="bullet"/>
      <w:lvlText w:val=""/>
      <w:lvlJc w:val="left"/>
      <w:pPr>
        <w:ind w:left="4527" w:hanging="360"/>
      </w:pPr>
      <w:rPr>
        <w:rFonts w:ascii="Wingdings" w:hAnsi="Wingdings"/>
      </w:rPr>
    </w:lvl>
    <w:lvl w:ilvl="6">
      <w:numFmt w:val="bullet"/>
      <w:lvlText w:val=""/>
      <w:lvlJc w:val="left"/>
      <w:pPr>
        <w:ind w:left="5247" w:hanging="360"/>
      </w:pPr>
      <w:rPr>
        <w:rFonts w:ascii="Symbol" w:hAnsi="Symbol"/>
      </w:rPr>
    </w:lvl>
    <w:lvl w:ilvl="7">
      <w:numFmt w:val="bullet"/>
      <w:lvlText w:val="o"/>
      <w:lvlJc w:val="left"/>
      <w:pPr>
        <w:ind w:left="5967" w:hanging="360"/>
      </w:pPr>
      <w:rPr>
        <w:rFonts w:ascii="Courier New" w:hAnsi="Courier New" w:cs="Courier New"/>
      </w:rPr>
    </w:lvl>
    <w:lvl w:ilvl="8">
      <w:numFmt w:val="bullet"/>
      <w:lvlText w:val=""/>
      <w:lvlJc w:val="left"/>
      <w:pPr>
        <w:ind w:left="6687" w:hanging="360"/>
      </w:pPr>
      <w:rPr>
        <w:rFonts w:ascii="Wingdings" w:hAnsi="Wingdings"/>
      </w:rPr>
    </w:lvl>
  </w:abstractNum>
  <w:abstractNum w:abstractNumId="89" w15:restartNumberingAfterBreak="0">
    <w:nsid w:val="70717838"/>
    <w:multiLevelType w:val="multilevel"/>
    <w:tmpl w:val="8AA0C6CE"/>
    <w:styleLink w:val="WW8Num15"/>
    <w:lvl w:ilvl="0">
      <w:start w:val="1"/>
      <w:numFmt w:val="decimal"/>
      <w:lvlText w:val="%1."/>
      <w:lvlJc w:val="left"/>
      <w:pPr>
        <w:ind w:left="540" w:hanging="540"/>
      </w:pPr>
    </w:lvl>
    <w:lvl w:ilvl="1">
      <w:start w:val="2"/>
      <w:numFmt w:val="decimal"/>
      <w:lvlText w:val="%1.%2."/>
      <w:lvlJc w:val="left"/>
      <w:pPr>
        <w:ind w:left="682" w:hanging="540"/>
      </w:pPr>
    </w:lvl>
    <w:lvl w:ilvl="2">
      <w:start w:val="1"/>
      <w:numFmt w:val="decimal"/>
      <w:lvlText w:val="%1.%2.%3."/>
      <w:lvlJc w:val="left"/>
      <w:pPr>
        <w:ind w:left="1004" w:hanging="720"/>
      </w:pPr>
    </w:lvl>
    <w:lvl w:ilvl="3">
      <w:start w:val="1"/>
      <w:numFmt w:val="decimal"/>
      <w:lvlText w:val="%1.%2.%3.%4."/>
      <w:lvlJc w:val="left"/>
      <w:pPr>
        <w:ind w:left="1146" w:hanging="720"/>
      </w:pPr>
    </w:lvl>
    <w:lvl w:ilvl="4">
      <w:start w:val="1"/>
      <w:numFmt w:val="decimal"/>
      <w:lvlText w:val="%1.%2.%3.%4.%5."/>
      <w:lvlJc w:val="left"/>
      <w:pPr>
        <w:ind w:left="1648" w:hanging="1080"/>
      </w:pPr>
    </w:lvl>
    <w:lvl w:ilvl="5">
      <w:start w:val="1"/>
      <w:numFmt w:val="decimal"/>
      <w:lvlText w:val="%1.%2.%3.%4.%5.%6."/>
      <w:lvlJc w:val="left"/>
      <w:pPr>
        <w:ind w:left="1790" w:hanging="1080"/>
      </w:pPr>
    </w:lvl>
    <w:lvl w:ilvl="6">
      <w:start w:val="1"/>
      <w:numFmt w:val="decimal"/>
      <w:lvlText w:val="%1.%2.%3.%4.%5.%6.%7."/>
      <w:lvlJc w:val="left"/>
      <w:pPr>
        <w:ind w:left="2292" w:hanging="1440"/>
      </w:pPr>
    </w:lvl>
    <w:lvl w:ilvl="7">
      <w:start w:val="1"/>
      <w:numFmt w:val="decimal"/>
      <w:lvlText w:val="%1.%2.%3.%4.%5.%6.%7.%8."/>
      <w:lvlJc w:val="left"/>
      <w:pPr>
        <w:ind w:left="2434" w:hanging="1440"/>
      </w:pPr>
    </w:lvl>
    <w:lvl w:ilvl="8">
      <w:start w:val="1"/>
      <w:numFmt w:val="decimal"/>
      <w:lvlText w:val="%1.%2.%3.%4.%5.%6.%7.%8.%9."/>
      <w:lvlJc w:val="left"/>
      <w:pPr>
        <w:ind w:left="2936" w:hanging="1800"/>
      </w:pPr>
    </w:lvl>
  </w:abstractNum>
  <w:abstractNum w:abstractNumId="90" w15:restartNumberingAfterBreak="0">
    <w:nsid w:val="70F77F70"/>
    <w:multiLevelType w:val="multilevel"/>
    <w:tmpl w:val="AF420BC6"/>
    <w:lvl w:ilvl="0">
      <w:start w:val="1"/>
      <w:numFmt w:val="decimal"/>
      <w:lvlText w:val="%1."/>
      <w:lvlJc w:val="left"/>
      <w:pPr>
        <w:ind w:left="1070" w:hanging="360"/>
      </w:pPr>
      <w:rPr>
        <w:rFonts w:hint="default"/>
      </w:rPr>
    </w:lvl>
    <w:lvl w:ilvl="1">
      <w:start w:val="1"/>
      <w:numFmt w:val="decimal"/>
      <w:isLgl/>
      <w:lvlText w:val="%2."/>
      <w:lvlJc w:val="left"/>
      <w:pPr>
        <w:ind w:left="1429" w:hanging="720"/>
      </w:pPr>
      <w:rPr>
        <w:rFonts w:ascii="Times New Roman" w:eastAsia="Calibri" w:hAnsi="Times New Roman" w:cs="Times New Roman"/>
      </w:rPr>
    </w:lvl>
    <w:lvl w:ilvl="2">
      <w:start w:val="1"/>
      <w:numFmt w:val="decimal"/>
      <w:isLgl/>
      <w:lvlText w:val="%1.%2.%3."/>
      <w:lvlJc w:val="left"/>
      <w:pPr>
        <w:ind w:left="1429"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509" w:hanging="180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869" w:hanging="2160"/>
      </w:pPr>
      <w:rPr>
        <w:rFonts w:hint="default"/>
      </w:rPr>
    </w:lvl>
  </w:abstractNum>
  <w:abstractNum w:abstractNumId="91" w15:restartNumberingAfterBreak="0">
    <w:nsid w:val="713D7B7F"/>
    <w:multiLevelType w:val="hybridMultilevel"/>
    <w:tmpl w:val="0E60F574"/>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92" w15:restartNumberingAfterBreak="0">
    <w:nsid w:val="724D4D10"/>
    <w:multiLevelType w:val="multilevel"/>
    <w:tmpl w:val="2800F23A"/>
    <w:lvl w:ilvl="0">
      <w:start w:val="3"/>
      <w:numFmt w:val="decimal"/>
      <w:lvlText w:val="%1."/>
      <w:lvlJc w:val="left"/>
      <w:pPr>
        <w:ind w:left="376" w:hanging="709"/>
      </w:pPr>
      <w:rPr>
        <w:rFonts w:ascii="Liberation Sans Narrow" w:eastAsia="Liberation Sans Narrow" w:hAnsi="Liberation Sans Narrow" w:cs="Liberation Sans Narrow"/>
        <w:b/>
        <w:bCs/>
        <w:w w:val="99"/>
        <w:sz w:val="32"/>
        <w:szCs w:val="32"/>
        <w:lang w:val="ru-RU" w:eastAsia="ru-RU" w:bidi="ru-RU"/>
      </w:rPr>
    </w:lvl>
    <w:lvl w:ilvl="1">
      <w:numFmt w:val="bullet"/>
      <w:lvlText w:val=""/>
      <w:lvlJc w:val="left"/>
      <w:pPr>
        <w:ind w:left="1090" w:hanging="356"/>
      </w:pPr>
      <w:rPr>
        <w:rFonts w:ascii="Symbol" w:eastAsia="Symbol" w:hAnsi="Symbol" w:cs="Symbol"/>
        <w:w w:val="100"/>
        <w:sz w:val="22"/>
        <w:szCs w:val="22"/>
        <w:lang w:val="ru-RU" w:eastAsia="ru-RU" w:bidi="ru-RU"/>
      </w:rPr>
    </w:lvl>
    <w:lvl w:ilvl="2">
      <w:numFmt w:val="bullet"/>
      <w:lvlText w:val=""/>
      <w:lvlJc w:val="left"/>
      <w:pPr>
        <w:ind w:left="1486" w:hanging="356"/>
      </w:pPr>
      <w:rPr>
        <w:rFonts w:ascii="Symbol" w:eastAsia="Symbol" w:hAnsi="Symbol" w:cs="Symbol"/>
        <w:w w:val="100"/>
        <w:sz w:val="22"/>
        <w:szCs w:val="22"/>
        <w:lang w:val="ru-RU" w:eastAsia="ru-RU" w:bidi="ru-RU"/>
      </w:rPr>
    </w:lvl>
    <w:lvl w:ilvl="3">
      <w:numFmt w:val="bullet"/>
      <w:lvlText w:val="•"/>
      <w:lvlJc w:val="left"/>
      <w:pPr>
        <w:ind w:left="2683" w:hanging="356"/>
      </w:pPr>
      <w:rPr>
        <w:lang w:val="ru-RU" w:eastAsia="ru-RU" w:bidi="ru-RU"/>
      </w:rPr>
    </w:lvl>
    <w:lvl w:ilvl="4">
      <w:numFmt w:val="bullet"/>
      <w:lvlText w:val="•"/>
      <w:lvlJc w:val="left"/>
      <w:pPr>
        <w:ind w:left="3886" w:hanging="356"/>
      </w:pPr>
      <w:rPr>
        <w:lang w:val="ru-RU" w:eastAsia="ru-RU" w:bidi="ru-RU"/>
      </w:rPr>
    </w:lvl>
    <w:lvl w:ilvl="5">
      <w:numFmt w:val="bullet"/>
      <w:lvlText w:val="•"/>
      <w:lvlJc w:val="left"/>
      <w:pPr>
        <w:ind w:left="5089" w:hanging="356"/>
      </w:pPr>
      <w:rPr>
        <w:lang w:val="ru-RU" w:eastAsia="ru-RU" w:bidi="ru-RU"/>
      </w:rPr>
    </w:lvl>
    <w:lvl w:ilvl="6">
      <w:numFmt w:val="bullet"/>
      <w:lvlText w:val="•"/>
      <w:lvlJc w:val="left"/>
      <w:pPr>
        <w:ind w:left="6293" w:hanging="356"/>
      </w:pPr>
      <w:rPr>
        <w:lang w:val="ru-RU" w:eastAsia="ru-RU" w:bidi="ru-RU"/>
      </w:rPr>
    </w:lvl>
    <w:lvl w:ilvl="7">
      <w:numFmt w:val="bullet"/>
      <w:lvlText w:val="•"/>
      <w:lvlJc w:val="left"/>
      <w:pPr>
        <w:ind w:left="7496" w:hanging="356"/>
      </w:pPr>
      <w:rPr>
        <w:lang w:val="ru-RU" w:eastAsia="ru-RU" w:bidi="ru-RU"/>
      </w:rPr>
    </w:lvl>
    <w:lvl w:ilvl="8">
      <w:numFmt w:val="bullet"/>
      <w:lvlText w:val="•"/>
      <w:lvlJc w:val="left"/>
      <w:pPr>
        <w:ind w:left="8699" w:hanging="356"/>
      </w:pPr>
      <w:rPr>
        <w:lang w:val="ru-RU" w:eastAsia="ru-RU" w:bidi="ru-RU"/>
      </w:rPr>
    </w:lvl>
  </w:abstractNum>
  <w:abstractNum w:abstractNumId="93" w15:restartNumberingAfterBreak="0">
    <w:nsid w:val="72E805D6"/>
    <w:multiLevelType w:val="multilevel"/>
    <w:tmpl w:val="1294F9B6"/>
    <w:styleLink w:val="WWNum13"/>
    <w:lvl w:ilvl="0">
      <w:numFmt w:val="bullet"/>
      <w:lvlText w:val="-"/>
      <w:lvlJc w:val="left"/>
      <w:pPr>
        <w:ind w:left="927" w:hanging="360"/>
      </w:pPr>
      <w:rPr>
        <w:rFonts w:ascii="Times New Roman" w:eastAsia="Calibri" w:hAnsi="Times New Roman" w:cs="Times New Roman"/>
        <w:sz w:val="24"/>
      </w:rPr>
    </w:lvl>
    <w:lvl w:ilvl="1">
      <w:numFmt w:val="bullet"/>
      <w:lvlText w:val="o"/>
      <w:lvlJc w:val="left"/>
      <w:pPr>
        <w:ind w:left="1647" w:hanging="360"/>
      </w:pPr>
      <w:rPr>
        <w:rFonts w:ascii="Courier New" w:hAnsi="Courier New" w:cs="Courier New"/>
      </w:rPr>
    </w:lvl>
    <w:lvl w:ilvl="2">
      <w:numFmt w:val="bullet"/>
      <w:lvlText w:val=""/>
      <w:lvlJc w:val="left"/>
      <w:pPr>
        <w:ind w:left="2367" w:hanging="360"/>
      </w:pPr>
      <w:rPr>
        <w:rFonts w:ascii="Wingdings" w:hAnsi="Wingdings"/>
      </w:rPr>
    </w:lvl>
    <w:lvl w:ilvl="3">
      <w:numFmt w:val="bullet"/>
      <w:lvlText w:val=""/>
      <w:lvlJc w:val="left"/>
      <w:pPr>
        <w:ind w:left="3087" w:hanging="360"/>
      </w:pPr>
      <w:rPr>
        <w:rFonts w:ascii="Symbol" w:hAnsi="Symbol"/>
      </w:rPr>
    </w:lvl>
    <w:lvl w:ilvl="4">
      <w:numFmt w:val="bullet"/>
      <w:lvlText w:val="o"/>
      <w:lvlJc w:val="left"/>
      <w:pPr>
        <w:ind w:left="3807" w:hanging="360"/>
      </w:pPr>
      <w:rPr>
        <w:rFonts w:ascii="Courier New" w:hAnsi="Courier New" w:cs="Courier New"/>
      </w:rPr>
    </w:lvl>
    <w:lvl w:ilvl="5">
      <w:numFmt w:val="bullet"/>
      <w:lvlText w:val=""/>
      <w:lvlJc w:val="left"/>
      <w:pPr>
        <w:ind w:left="4527" w:hanging="360"/>
      </w:pPr>
      <w:rPr>
        <w:rFonts w:ascii="Wingdings" w:hAnsi="Wingdings"/>
      </w:rPr>
    </w:lvl>
    <w:lvl w:ilvl="6">
      <w:numFmt w:val="bullet"/>
      <w:lvlText w:val=""/>
      <w:lvlJc w:val="left"/>
      <w:pPr>
        <w:ind w:left="5247" w:hanging="360"/>
      </w:pPr>
      <w:rPr>
        <w:rFonts w:ascii="Symbol" w:hAnsi="Symbol"/>
      </w:rPr>
    </w:lvl>
    <w:lvl w:ilvl="7">
      <w:numFmt w:val="bullet"/>
      <w:lvlText w:val="o"/>
      <w:lvlJc w:val="left"/>
      <w:pPr>
        <w:ind w:left="5967" w:hanging="360"/>
      </w:pPr>
      <w:rPr>
        <w:rFonts w:ascii="Courier New" w:hAnsi="Courier New" w:cs="Courier New"/>
      </w:rPr>
    </w:lvl>
    <w:lvl w:ilvl="8">
      <w:numFmt w:val="bullet"/>
      <w:lvlText w:val=""/>
      <w:lvlJc w:val="left"/>
      <w:pPr>
        <w:ind w:left="6687" w:hanging="360"/>
      </w:pPr>
      <w:rPr>
        <w:rFonts w:ascii="Wingdings" w:hAnsi="Wingdings"/>
      </w:rPr>
    </w:lvl>
  </w:abstractNum>
  <w:abstractNum w:abstractNumId="94" w15:restartNumberingAfterBreak="0">
    <w:nsid w:val="738510EB"/>
    <w:multiLevelType w:val="multilevel"/>
    <w:tmpl w:val="5010FB8C"/>
    <w:styleLink w:val="WW8Num27"/>
    <w:lvl w:ilvl="0">
      <w:numFmt w:val="bullet"/>
      <w:lvlText w:val="•"/>
      <w:lvlJc w:val="left"/>
      <w:pPr>
        <w:ind w:left="720" w:hanging="360"/>
      </w:pPr>
      <w:rPr>
        <w:rFonts w:ascii="OpenSymbol" w:eastAsia="SimSun, 宋体" w:hAnsi="OpenSymbol" w:cs="Times New Roman"/>
        <w:color w:val="auto"/>
        <w:sz w:val="24"/>
        <w:szCs w:val="24"/>
        <w:lang w:val="ru-RU" w:bidi="ar-SA"/>
      </w:rPr>
    </w:lvl>
    <w:lvl w:ilvl="1">
      <w:numFmt w:val="bullet"/>
      <w:lvlText w:val=""/>
      <w:lvlJc w:val="left"/>
      <w:pPr>
        <w:ind w:left="1440" w:hanging="360"/>
      </w:pPr>
      <w:rPr>
        <w:rFonts w:ascii="Symbol" w:hAnsi="Symbol" w:cs="Symbol"/>
        <w:sz w:val="20"/>
      </w:rPr>
    </w:lvl>
    <w:lvl w:ilvl="2">
      <w:numFmt w:val="bullet"/>
      <w:lvlText w:val=""/>
      <w:lvlJc w:val="left"/>
      <w:pPr>
        <w:ind w:left="2160" w:hanging="360"/>
      </w:pPr>
      <w:rPr>
        <w:rFonts w:ascii="Symbol" w:hAnsi="Symbol" w:cs="Symbol"/>
        <w:sz w:val="20"/>
      </w:rPr>
    </w:lvl>
    <w:lvl w:ilvl="3">
      <w:numFmt w:val="bullet"/>
      <w:lvlText w:val=""/>
      <w:lvlJc w:val="left"/>
      <w:pPr>
        <w:ind w:left="2880" w:hanging="360"/>
      </w:pPr>
      <w:rPr>
        <w:rFonts w:ascii="Symbol" w:hAnsi="Symbol" w:cs="Symbol"/>
        <w:sz w:val="20"/>
      </w:rPr>
    </w:lvl>
    <w:lvl w:ilvl="4">
      <w:numFmt w:val="bullet"/>
      <w:lvlText w:val=""/>
      <w:lvlJc w:val="left"/>
      <w:pPr>
        <w:ind w:left="3600" w:hanging="360"/>
      </w:pPr>
      <w:rPr>
        <w:rFonts w:ascii="Symbol" w:hAnsi="Symbol" w:cs="Symbol"/>
        <w:sz w:val="20"/>
      </w:rPr>
    </w:lvl>
    <w:lvl w:ilvl="5">
      <w:numFmt w:val="bullet"/>
      <w:lvlText w:val=""/>
      <w:lvlJc w:val="left"/>
      <w:pPr>
        <w:ind w:left="4320" w:hanging="360"/>
      </w:pPr>
      <w:rPr>
        <w:rFonts w:ascii="Symbol" w:hAnsi="Symbol" w:cs="Symbol"/>
        <w:sz w:val="20"/>
      </w:rPr>
    </w:lvl>
    <w:lvl w:ilvl="6">
      <w:numFmt w:val="bullet"/>
      <w:lvlText w:val=""/>
      <w:lvlJc w:val="left"/>
      <w:pPr>
        <w:ind w:left="5040" w:hanging="360"/>
      </w:pPr>
      <w:rPr>
        <w:rFonts w:ascii="Symbol" w:hAnsi="Symbol" w:cs="Symbol"/>
        <w:sz w:val="20"/>
      </w:rPr>
    </w:lvl>
    <w:lvl w:ilvl="7">
      <w:numFmt w:val="bullet"/>
      <w:lvlText w:val=""/>
      <w:lvlJc w:val="left"/>
      <w:pPr>
        <w:ind w:left="5760" w:hanging="360"/>
      </w:pPr>
      <w:rPr>
        <w:rFonts w:ascii="Symbol" w:hAnsi="Symbol" w:cs="Symbol"/>
        <w:sz w:val="20"/>
      </w:rPr>
    </w:lvl>
    <w:lvl w:ilvl="8">
      <w:numFmt w:val="bullet"/>
      <w:lvlText w:val=""/>
      <w:lvlJc w:val="left"/>
      <w:pPr>
        <w:ind w:left="6480" w:hanging="360"/>
      </w:pPr>
      <w:rPr>
        <w:rFonts w:ascii="Symbol" w:hAnsi="Symbol" w:cs="Symbol"/>
        <w:sz w:val="20"/>
      </w:rPr>
    </w:lvl>
  </w:abstractNum>
  <w:abstractNum w:abstractNumId="95" w15:restartNumberingAfterBreak="0">
    <w:nsid w:val="74AD4EF8"/>
    <w:multiLevelType w:val="multilevel"/>
    <w:tmpl w:val="6FDCA41C"/>
    <w:styleLink w:val="681"/>
    <w:lvl w:ilvl="0">
      <w:numFmt w:val="bullet"/>
      <w:lvlText w:val="-"/>
      <w:lvlJc w:val="left"/>
      <w:pPr>
        <w:ind w:left="360" w:hanging="360"/>
      </w:pPr>
      <w:rPr>
        <w:rFonts w:ascii="Times New Roman" w:eastAsia="Calibri" w:hAnsi="Times New Roman" w:cs="Times New Roman"/>
      </w:rPr>
    </w:lvl>
    <w:lvl w:ilvl="1">
      <w:numFmt w:val="bullet"/>
      <w:lvlText w:val="o"/>
      <w:lvlJc w:val="left"/>
      <w:pPr>
        <w:ind w:left="2132" w:hanging="360"/>
      </w:pPr>
      <w:rPr>
        <w:rFonts w:ascii="Courier New" w:hAnsi="Courier New" w:cs="Courier New"/>
      </w:rPr>
    </w:lvl>
    <w:lvl w:ilvl="2">
      <w:numFmt w:val="bullet"/>
      <w:lvlText w:val=""/>
      <w:lvlJc w:val="left"/>
      <w:pPr>
        <w:ind w:left="2852" w:hanging="360"/>
      </w:pPr>
      <w:rPr>
        <w:rFonts w:ascii="Wingdings" w:hAnsi="Wingdings"/>
      </w:rPr>
    </w:lvl>
    <w:lvl w:ilvl="3">
      <w:numFmt w:val="bullet"/>
      <w:lvlText w:val=""/>
      <w:lvlJc w:val="left"/>
      <w:pPr>
        <w:ind w:left="3572" w:hanging="360"/>
      </w:pPr>
      <w:rPr>
        <w:rFonts w:ascii="Symbol" w:hAnsi="Symbol"/>
      </w:rPr>
    </w:lvl>
    <w:lvl w:ilvl="4">
      <w:numFmt w:val="bullet"/>
      <w:lvlText w:val="o"/>
      <w:lvlJc w:val="left"/>
      <w:pPr>
        <w:ind w:left="4292" w:hanging="360"/>
      </w:pPr>
      <w:rPr>
        <w:rFonts w:ascii="Courier New" w:hAnsi="Courier New" w:cs="Courier New"/>
      </w:rPr>
    </w:lvl>
    <w:lvl w:ilvl="5">
      <w:numFmt w:val="bullet"/>
      <w:lvlText w:val=""/>
      <w:lvlJc w:val="left"/>
      <w:pPr>
        <w:ind w:left="5012" w:hanging="360"/>
      </w:pPr>
      <w:rPr>
        <w:rFonts w:ascii="Wingdings" w:hAnsi="Wingdings"/>
      </w:rPr>
    </w:lvl>
    <w:lvl w:ilvl="6">
      <w:numFmt w:val="bullet"/>
      <w:lvlText w:val=""/>
      <w:lvlJc w:val="left"/>
      <w:pPr>
        <w:ind w:left="5732" w:hanging="360"/>
      </w:pPr>
      <w:rPr>
        <w:rFonts w:ascii="Symbol" w:hAnsi="Symbol"/>
      </w:rPr>
    </w:lvl>
    <w:lvl w:ilvl="7">
      <w:numFmt w:val="bullet"/>
      <w:lvlText w:val="o"/>
      <w:lvlJc w:val="left"/>
      <w:pPr>
        <w:ind w:left="6452" w:hanging="360"/>
      </w:pPr>
      <w:rPr>
        <w:rFonts w:ascii="Courier New" w:hAnsi="Courier New" w:cs="Courier New"/>
      </w:rPr>
    </w:lvl>
    <w:lvl w:ilvl="8">
      <w:numFmt w:val="bullet"/>
      <w:lvlText w:val=""/>
      <w:lvlJc w:val="left"/>
      <w:pPr>
        <w:ind w:left="7172" w:hanging="360"/>
      </w:pPr>
      <w:rPr>
        <w:rFonts w:ascii="Wingdings" w:hAnsi="Wingdings"/>
      </w:rPr>
    </w:lvl>
  </w:abstractNum>
  <w:abstractNum w:abstractNumId="96" w15:restartNumberingAfterBreak="0">
    <w:nsid w:val="750D4EF8"/>
    <w:multiLevelType w:val="multilevel"/>
    <w:tmpl w:val="9D26348E"/>
    <w:styleLink w:val="WW8Num24"/>
    <w:lvl w:ilvl="0">
      <w:numFmt w:val="bullet"/>
      <w:lvlText w:val="✔"/>
      <w:lvlJc w:val="left"/>
      <w:pPr>
        <w:ind w:left="1288" w:hanging="360"/>
      </w:pPr>
      <w:rPr>
        <w:rFonts w:ascii="OpenSymbol" w:eastAsia="SimSun, 宋体" w:hAnsi="OpenSymbol" w:cs="Times New Roman"/>
        <w:color w:val="auto"/>
        <w:sz w:val="24"/>
        <w:szCs w:val="24"/>
        <w:lang w:val="ru-RU" w:bidi="ar-SA"/>
      </w:rPr>
    </w:lvl>
    <w:lvl w:ilvl="1">
      <w:numFmt w:val="bullet"/>
      <w:lvlText w:val="o"/>
      <w:lvlJc w:val="left"/>
      <w:pPr>
        <w:ind w:left="2008" w:hanging="360"/>
      </w:pPr>
      <w:rPr>
        <w:rFonts w:ascii="Courier New" w:hAnsi="Courier New" w:cs="Courier New"/>
      </w:rPr>
    </w:lvl>
    <w:lvl w:ilvl="2">
      <w:numFmt w:val="bullet"/>
      <w:lvlText w:val=""/>
      <w:lvlJc w:val="left"/>
      <w:pPr>
        <w:ind w:left="2728" w:hanging="360"/>
      </w:pPr>
      <w:rPr>
        <w:rFonts w:ascii="Wingdings" w:hAnsi="Wingdings" w:cs="Wingdings"/>
      </w:rPr>
    </w:lvl>
    <w:lvl w:ilvl="3">
      <w:numFmt w:val="bullet"/>
      <w:lvlText w:val=""/>
      <w:lvlJc w:val="left"/>
      <w:pPr>
        <w:ind w:left="3448" w:hanging="360"/>
      </w:pPr>
      <w:rPr>
        <w:rFonts w:ascii="Symbol" w:hAnsi="Symbol" w:cs="Symbol"/>
        <w:sz w:val="24"/>
        <w:szCs w:val="24"/>
        <w:lang w:eastAsia="ru-RU"/>
      </w:rPr>
    </w:lvl>
    <w:lvl w:ilvl="4">
      <w:numFmt w:val="bullet"/>
      <w:lvlText w:val="o"/>
      <w:lvlJc w:val="left"/>
      <w:pPr>
        <w:ind w:left="4168" w:hanging="360"/>
      </w:pPr>
      <w:rPr>
        <w:rFonts w:ascii="Courier New" w:hAnsi="Courier New" w:cs="Courier New"/>
      </w:rPr>
    </w:lvl>
    <w:lvl w:ilvl="5">
      <w:numFmt w:val="bullet"/>
      <w:lvlText w:val=""/>
      <w:lvlJc w:val="left"/>
      <w:pPr>
        <w:ind w:left="4888" w:hanging="360"/>
      </w:pPr>
      <w:rPr>
        <w:rFonts w:ascii="Wingdings" w:hAnsi="Wingdings" w:cs="Wingdings"/>
      </w:rPr>
    </w:lvl>
    <w:lvl w:ilvl="6">
      <w:numFmt w:val="bullet"/>
      <w:lvlText w:val=""/>
      <w:lvlJc w:val="left"/>
      <w:pPr>
        <w:ind w:left="5608" w:hanging="360"/>
      </w:pPr>
      <w:rPr>
        <w:rFonts w:ascii="Symbol" w:hAnsi="Symbol" w:cs="Symbol"/>
        <w:sz w:val="24"/>
        <w:szCs w:val="24"/>
        <w:lang w:eastAsia="ru-RU"/>
      </w:rPr>
    </w:lvl>
    <w:lvl w:ilvl="7">
      <w:numFmt w:val="bullet"/>
      <w:lvlText w:val="o"/>
      <w:lvlJc w:val="left"/>
      <w:pPr>
        <w:ind w:left="6328" w:hanging="360"/>
      </w:pPr>
      <w:rPr>
        <w:rFonts w:ascii="Courier New" w:hAnsi="Courier New" w:cs="Courier New"/>
      </w:rPr>
    </w:lvl>
    <w:lvl w:ilvl="8">
      <w:numFmt w:val="bullet"/>
      <w:lvlText w:val=""/>
      <w:lvlJc w:val="left"/>
      <w:pPr>
        <w:ind w:left="7048" w:hanging="360"/>
      </w:pPr>
      <w:rPr>
        <w:rFonts w:ascii="Wingdings" w:hAnsi="Wingdings" w:cs="Wingdings"/>
      </w:rPr>
    </w:lvl>
  </w:abstractNum>
  <w:abstractNum w:abstractNumId="97" w15:restartNumberingAfterBreak="0">
    <w:nsid w:val="7524475C"/>
    <w:multiLevelType w:val="hybridMultilevel"/>
    <w:tmpl w:val="CB16BE96"/>
    <w:lvl w:ilvl="0" w:tplc="0419000D">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8" w15:restartNumberingAfterBreak="0">
    <w:nsid w:val="76E17730"/>
    <w:multiLevelType w:val="hybridMultilevel"/>
    <w:tmpl w:val="5EFE8D04"/>
    <w:lvl w:ilvl="0" w:tplc="0419000D">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9" w15:restartNumberingAfterBreak="0">
    <w:nsid w:val="79A3232B"/>
    <w:multiLevelType w:val="multilevel"/>
    <w:tmpl w:val="CE5A0050"/>
    <w:styleLink w:val="WW8Num2"/>
    <w:lvl w:ilvl="0">
      <w:start w:val="2"/>
      <w:numFmt w:val="decimal"/>
      <w:lvlText w:val="%1."/>
      <w:lvlJc w:val="left"/>
      <w:pPr>
        <w:ind w:left="720" w:hanging="360"/>
      </w:pPr>
    </w:lvl>
    <w:lvl w:ilvl="1">
      <w:start w:val="6"/>
      <w:numFmt w:val="decimal"/>
      <w:lvlText w:val="%1.%2."/>
      <w:lvlJc w:val="left"/>
      <w:pPr>
        <w:ind w:left="1080" w:hanging="360"/>
      </w:pPr>
    </w:lvl>
    <w:lvl w:ilvl="2">
      <w:start w:val="1"/>
      <w:numFmt w:val="decimal"/>
      <w:lvlText w:val="%1.%2.%3."/>
      <w:lvlJc w:val="left"/>
      <w:pPr>
        <w:ind w:left="1440" w:hanging="360"/>
      </w:pPr>
    </w:lvl>
    <w:lvl w:ilvl="3">
      <w:start w:val="1"/>
      <w:numFmt w:val="decimal"/>
      <w:lvlText w:val="%1.%2.%3.%4."/>
      <w:lvlJc w:val="left"/>
      <w:pPr>
        <w:ind w:left="1800" w:hanging="360"/>
      </w:pPr>
    </w:lvl>
    <w:lvl w:ilvl="4">
      <w:start w:val="1"/>
      <w:numFmt w:val="decimal"/>
      <w:lvlText w:val="%1.%2.%3.%4.%5."/>
      <w:lvlJc w:val="left"/>
      <w:pPr>
        <w:ind w:left="2160" w:hanging="360"/>
      </w:pPr>
    </w:lvl>
    <w:lvl w:ilvl="5">
      <w:start w:val="1"/>
      <w:numFmt w:val="decimal"/>
      <w:lvlText w:val="%1.%2.%3.%4.%5.%6."/>
      <w:lvlJc w:val="left"/>
      <w:pPr>
        <w:ind w:left="2520" w:hanging="360"/>
      </w:pPr>
    </w:lvl>
    <w:lvl w:ilvl="6">
      <w:start w:val="1"/>
      <w:numFmt w:val="decimal"/>
      <w:lvlText w:val="%1.%2.%3.%4.%5.%6.%7."/>
      <w:lvlJc w:val="left"/>
      <w:pPr>
        <w:ind w:left="2880" w:hanging="360"/>
      </w:pPr>
    </w:lvl>
    <w:lvl w:ilvl="7">
      <w:start w:val="1"/>
      <w:numFmt w:val="decimal"/>
      <w:lvlText w:val="%1.%2.%3.%4.%5.%6.%7.%8."/>
      <w:lvlJc w:val="left"/>
      <w:pPr>
        <w:ind w:left="3240" w:hanging="360"/>
      </w:pPr>
    </w:lvl>
    <w:lvl w:ilvl="8">
      <w:start w:val="1"/>
      <w:numFmt w:val="decimal"/>
      <w:lvlText w:val="%1.%2.%3.%4.%5.%6.%7.%8.%9."/>
      <w:lvlJc w:val="left"/>
      <w:pPr>
        <w:ind w:left="3600" w:hanging="360"/>
      </w:pPr>
    </w:lvl>
  </w:abstractNum>
  <w:abstractNum w:abstractNumId="100" w15:restartNumberingAfterBreak="0">
    <w:nsid w:val="7C2E42B1"/>
    <w:multiLevelType w:val="hybridMultilevel"/>
    <w:tmpl w:val="57AE2462"/>
    <w:lvl w:ilvl="0" w:tplc="B5B8F786">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01" w15:restartNumberingAfterBreak="0">
    <w:nsid w:val="7E513EE9"/>
    <w:multiLevelType w:val="multilevel"/>
    <w:tmpl w:val="404295E6"/>
    <w:styleLink w:val="WW8Num35"/>
    <w:lvl w:ilvl="0">
      <w:numFmt w:val="bullet"/>
      <w:lvlText w:val="•"/>
      <w:lvlJc w:val="left"/>
      <w:pPr>
        <w:ind w:left="1287" w:hanging="360"/>
      </w:pPr>
      <w:rPr>
        <w:rFonts w:ascii="OpenSymbol" w:eastAsia="SimSun, 宋体" w:hAnsi="OpenSymbol" w:cs="Times New Roman"/>
        <w:color w:val="auto"/>
        <w:sz w:val="24"/>
        <w:szCs w:val="24"/>
        <w:lang w:val="ru-RU" w:bidi="ar-SA"/>
      </w:rPr>
    </w:lvl>
    <w:lvl w:ilvl="1">
      <w:numFmt w:val="bullet"/>
      <w:lvlText w:val="o"/>
      <w:lvlJc w:val="left"/>
      <w:pPr>
        <w:ind w:left="2007" w:hanging="360"/>
      </w:pPr>
      <w:rPr>
        <w:rFonts w:ascii="Courier New" w:hAnsi="Courier New" w:cs="Courier New"/>
      </w:rPr>
    </w:lvl>
    <w:lvl w:ilvl="2">
      <w:numFmt w:val="bullet"/>
      <w:lvlText w:val=""/>
      <w:lvlJc w:val="left"/>
      <w:pPr>
        <w:ind w:left="2727" w:hanging="360"/>
      </w:pPr>
      <w:rPr>
        <w:rFonts w:ascii="Wingdings" w:hAnsi="Wingdings" w:cs="Wingdings"/>
      </w:rPr>
    </w:lvl>
    <w:lvl w:ilvl="3">
      <w:numFmt w:val="bullet"/>
      <w:lvlText w:val=""/>
      <w:lvlJc w:val="left"/>
      <w:pPr>
        <w:ind w:left="3447" w:hanging="360"/>
      </w:pPr>
      <w:rPr>
        <w:rFonts w:ascii="Symbol" w:hAnsi="Symbol" w:cs="Symbol"/>
      </w:rPr>
    </w:lvl>
    <w:lvl w:ilvl="4">
      <w:numFmt w:val="bullet"/>
      <w:lvlText w:val="o"/>
      <w:lvlJc w:val="left"/>
      <w:pPr>
        <w:ind w:left="4167" w:hanging="360"/>
      </w:pPr>
      <w:rPr>
        <w:rFonts w:ascii="Courier New" w:hAnsi="Courier New" w:cs="Courier New"/>
      </w:rPr>
    </w:lvl>
    <w:lvl w:ilvl="5">
      <w:numFmt w:val="bullet"/>
      <w:lvlText w:val=""/>
      <w:lvlJc w:val="left"/>
      <w:pPr>
        <w:ind w:left="4887" w:hanging="360"/>
      </w:pPr>
      <w:rPr>
        <w:rFonts w:ascii="Wingdings" w:hAnsi="Wingdings" w:cs="Wingdings"/>
      </w:rPr>
    </w:lvl>
    <w:lvl w:ilvl="6">
      <w:numFmt w:val="bullet"/>
      <w:lvlText w:val=""/>
      <w:lvlJc w:val="left"/>
      <w:pPr>
        <w:ind w:left="5607" w:hanging="360"/>
      </w:pPr>
      <w:rPr>
        <w:rFonts w:ascii="Symbol" w:hAnsi="Symbol" w:cs="Symbol"/>
      </w:rPr>
    </w:lvl>
    <w:lvl w:ilvl="7">
      <w:numFmt w:val="bullet"/>
      <w:lvlText w:val="o"/>
      <w:lvlJc w:val="left"/>
      <w:pPr>
        <w:ind w:left="6327" w:hanging="360"/>
      </w:pPr>
      <w:rPr>
        <w:rFonts w:ascii="Courier New" w:hAnsi="Courier New" w:cs="Courier New"/>
      </w:rPr>
    </w:lvl>
    <w:lvl w:ilvl="8">
      <w:numFmt w:val="bullet"/>
      <w:lvlText w:val=""/>
      <w:lvlJc w:val="left"/>
      <w:pPr>
        <w:ind w:left="7047" w:hanging="360"/>
      </w:pPr>
      <w:rPr>
        <w:rFonts w:ascii="Wingdings" w:hAnsi="Wingdings" w:cs="Wingdings"/>
      </w:rPr>
    </w:lvl>
  </w:abstractNum>
  <w:abstractNum w:abstractNumId="102" w15:restartNumberingAfterBreak="0">
    <w:nsid w:val="7FFD62F9"/>
    <w:multiLevelType w:val="multilevel"/>
    <w:tmpl w:val="8402B9AE"/>
    <w:lvl w:ilvl="0">
      <w:start w:val="1"/>
      <w:numFmt w:val="decimal"/>
      <w:pStyle w:val="a2"/>
      <w:suff w:val="space"/>
      <w:lvlText w:val="Приложение %1"/>
      <w:lvlJc w:val="left"/>
      <w:pPr>
        <w:ind w:left="397" w:hanging="397"/>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suff w:val="space"/>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num w:numId="1">
    <w:abstractNumId w:val="9"/>
  </w:num>
  <w:num w:numId="2">
    <w:abstractNumId w:val="55"/>
  </w:num>
  <w:num w:numId="3">
    <w:abstractNumId w:val="61"/>
  </w:num>
  <w:num w:numId="4">
    <w:abstractNumId w:val="68"/>
  </w:num>
  <w:num w:numId="5">
    <w:abstractNumId w:val="84"/>
  </w:num>
  <w:num w:numId="6">
    <w:abstractNumId w:val="16"/>
  </w:num>
  <w:num w:numId="7">
    <w:abstractNumId w:val="49"/>
  </w:num>
  <w:num w:numId="8">
    <w:abstractNumId w:val="45"/>
  </w:num>
  <w:num w:numId="9">
    <w:abstractNumId w:val="79"/>
  </w:num>
  <w:num w:numId="10">
    <w:abstractNumId w:val="12"/>
  </w:num>
  <w:num w:numId="11">
    <w:abstractNumId w:val="99"/>
  </w:num>
  <w:num w:numId="12">
    <w:abstractNumId w:val="33"/>
  </w:num>
  <w:num w:numId="13">
    <w:abstractNumId w:val="47"/>
  </w:num>
  <w:num w:numId="14">
    <w:abstractNumId w:val="50"/>
  </w:num>
  <w:num w:numId="15">
    <w:abstractNumId w:val="77"/>
  </w:num>
  <w:num w:numId="16">
    <w:abstractNumId w:val="40"/>
  </w:num>
  <w:num w:numId="17">
    <w:abstractNumId w:val="72"/>
  </w:num>
  <w:num w:numId="18">
    <w:abstractNumId w:val="4"/>
  </w:num>
  <w:num w:numId="19">
    <w:abstractNumId w:val="67"/>
  </w:num>
  <w:num w:numId="20">
    <w:abstractNumId w:val="34"/>
  </w:num>
  <w:num w:numId="21">
    <w:abstractNumId w:val="60"/>
  </w:num>
  <w:num w:numId="22">
    <w:abstractNumId w:val="36"/>
  </w:num>
  <w:num w:numId="23">
    <w:abstractNumId w:val="75"/>
  </w:num>
  <w:num w:numId="24">
    <w:abstractNumId w:val="89"/>
  </w:num>
  <w:num w:numId="25">
    <w:abstractNumId w:val="41"/>
  </w:num>
  <w:num w:numId="26">
    <w:abstractNumId w:val="76"/>
  </w:num>
  <w:num w:numId="27">
    <w:abstractNumId w:val="27"/>
  </w:num>
  <w:num w:numId="28">
    <w:abstractNumId w:val="86"/>
  </w:num>
  <w:num w:numId="29">
    <w:abstractNumId w:val="70"/>
  </w:num>
  <w:num w:numId="30">
    <w:abstractNumId w:val="52"/>
  </w:num>
  <w:num w:numId="31">
    <w:abstractNumId w:val="82"/>
  </w:num>
  <w:num w:numId="32">
    <w:abstractNumId w:val="5"/>
  </w:num>
  <w:num w:numId="33">
    <w:abstractNumId w:val="96"/>
  </w:num>
  <w:num w:numId="34">
    <w:abstractNumId w:val="56"/>
  </w:num>
  <w:num w:numId="35">
    <w:abstractNumId w:val="13"/>
  </w:num>
  <w:num w:numId="36">
    <w:abstractNumId w:val="94"/>
  </w:num>
  <w:num w:numId="37">
    <w:abstractNumId w:val="83"/>
  </w:num>
  <w:num w:numId="38">
    <w:abstractNumId w:val="39"/>
  </w:num>
  <w:num w:numId="39">
    <w:abstractNumId w:val="8"/>
  </w:num>
  <w:num w:numId="40">
    <w:abstractNumId w:val="31"/>
  </w:num>
  <w:num w:numId="41">
    <w:abstractNumId w:val="57"/>
  </w:num>
  <w:num w:numId="42">
    <w:abstractNumId w:val="85"/>
  </w:num>
  <w:num w:numId="43">
    <w:abstractNumId w:val="2"/>
  </w:num>
  <w:num w:numId="44">
    <w:abstractNumId w:val="101"/>
  </w:num>
  <w:num w:numId="45">
    <w:abstractNumId w:val="25"/>
  </w:num>
  <w:num w:numId="46">
    <w:abstractNumId w:val="21"/>
  </w:num>
  <w:num w:numId="47">
    <w:abstractNumId w:val="93"/>
  </w:num>
  <w:num w:numId="48">
    <w:abstractNumId w:val="35"/>
  </w:num>
  <w:num w:numId="49">
    <w:abstractNumId w:val="65"/>
  </w:num>
  <w:num w:numId="50">
    <w:abstractNumId w:val="58"/>
  </w:num>
  <w:num w:numId="51">
    <w:abstractNumId w:val="29"/>
  </w:num>
  <w:num w:numId="52">
    <w:abstractNumId w:val="48"/>
  </w:num>
  <w:num w:numId="53">
    <w:abstractNumId w:val="71"/>
  </w:num>
  <w:num w:numId="54">
    <w:abstractNumId w:val="37"/>
  </w:num>
  <w:num w:numId="55">
    <w:abstractNumId w:val="69"/>
  </w:num>
  <w:num w:numId="56">
    <w:abstractNumId w:val="88"/>
    <w:lvlOverride w:ilvl="0">
      <w:lvl w:ilvl="0">
        <w:start w:val="1"/>
        <w:numFmt w:val="decimal"/>
        <w:pStyle w:val="a1"/>
        <w:lvlText w:val="%1."/>
        <w:lvlJc w:val="left"/>
        <w:pPr>
          <w:ind w:left="786" w:hanging="360"/>
        </w:pPr>
      </w:lvl>
    </w:lvlOverride>
    <w:lvlOverride w:ilvl="1">
      <w:lvl w:ilvl="1" w:tentative="1">
        <w:start w:val="1"/>
        <w:numFmt w:val="lowerLetter"/>
        <w:lvlText w:val="%2."/>
        <w:lvlJc w:val="left"/>
        <w:pPr>
          <w:ind w:left="1506" w:hanging="360"/>
        </w:pPr>
      </w:lvl>
    </w:lvlOverride>
    <w:lvlOverride w:ilvl="2">
      <w:lvl w:ilvl="2" w:tentative="1">
        <w:start w:val="1"/>
        <w:numFmt w:val="lowerRoman"/>
        <w:lvlText w:val="%3."/>
        <w:lvlJc w:val="right"/>
        <w:pPr>
          <w:ind w:left="2226" w:hanging="180"/>
        </w:pPr>
      </w:lvl>
    </w:lvlOverride>
    <w:lvlOverride w:ilvl="3">
      <w:lvl w:ilvl="3" w:tentative="1">
        <w:start w:val="1"/>
        <w:numFmt w:val="decimal"/>
        <w:lvlText w:val="%4."/>
        <w:lvlJc w:val="left"/>
        <w:pPr>
          <w:ind w:left="2946" w:hanging="360"/>
        </w:pPr>
      </w:lvl>
    </w:lvlOverride>
    <w:lvlOverride w:ilvl="4">
      <w:lvl w:ilvl="4" w:tentative="1">
        <w:start w:val="1"/>
        <w:numFmt w:val="lowerLetter"/>
        <w:lvlText w:val="%5."/>
        <w:lvlJc w:val="left"/>
        <w:pPr>
          <w:ind w:left="3666" w:hanging="360"/>
        </w:pPr>
      </w:lvl>
    </w:lvlOverride>
    <w:lvlOverride w:ilvl="5">
      <w:lvl w:ilvl="5" w:tentative="1">
        <w:start w:val="1"/>
        <w:numFmt w:val="lowerRoman"/>
        <w:lvlText w:val="%6."/>
        <w:lvlJc w:val="right"/>
        <w:pPr>
          <w:ind w:left="4386" w:hanging="180"/>
        </w:pPr>
      </w:lvl>
    </w:lvlOverride>
    <w:lvlOverride w:ilvl="6">
      <w:lvl w:ilvl="6" w:tentative="1">
        <w:start w:val="1"/>
        <w:numFmt w:val="decimal"/>
        <w:lvlText w:val="%7."/>
        <w:lvlJc w:val="left"/>
        <w:pPr>
          <w:ind w:left="5106" w:hanging="360"/>
        </w:pPr>
      </w:lvl>
    </w:lvlOverride>
    <w:lvlOverride w:ilvl="7">
      <w:lvl w:ilvl="7" w:tentative="1">
        <w:start w:val="1"/>
        <w:numFmt w:val="lowerLetter"/>
        <w:lvlText w:val="%8."/>
        <w:lvlJc w:val="left"/>
        <w:pPr>
          <w:ind w:left="5826" w:hanging="360"/>
        </w:pPr>
      </w:lvl>
    </w:lvlOverride>
    <w:lvlOverride w:ilvl="8">
      <w:lvl w:ilvl="8" w:tentative="1">
        <w:start w:val="1"/>
        <w:numFmt w:val="lowerRoman"/>
        <w:lvlText w:val="%9."/>
        <w:lvlJc w:val="right"/>
        <w:pPr>
          <w:ind w:left="6546" w:hanging="180"/>
        </w:pPr>
      </w:lvl>
    </w:lvlOverride>
  </w:num>
  <w:num w:numId="57">
    <w:abstractNumId w:val="46"/>
  </w:num>
  <w:num w:numId="58">
    <w:abstractNumId w:val="10"/>
  </w:num>
  <w:num w:numId="59">
    <w:abstractNumId w:val="20"/>
  </w:num>
  <w:num w:numId="60">
    <w:abstractNumId w:val="74"/>
  </w:num>
  <w:num w:numId="61">
    <w:abstractNumId w:val="87"/>
  </w:num>
  <w:num w:numId="62">
    <w:abstractNumId w:val="95"/>
  </w:num>
  <w:num w:numId="63">
    <w:abstractNumId w:val="59"/>
  </w:num>
  <w:num w:numId="64">
    <w:abstractNumId w:val="92"/>
  </w:num>
  <w:num w:numId="65">
    <w:abstractNumId w:val="11"/>
  </w:num>
  <w:num w:numId="66">
    <w:abstractNumId w:val="44"/>
  </w:num>
  <w:num w:numId="67">
    <w:abstractNumId w:val="42"/>
    <w:lvlOverride w:ilvl="0">
      <w:startOverride w:val="1"/>
    </w:lvlOverride>
  </w:num>
  <w:num w:numId="68">
    <w:abstractNumId w:val="102"/>
  </w:num>
  <w:num w:numId="69">
    <w:abstractNumId w:val="28"/>
  </w:num>
  <w:num w:numId="70">
    <w:abstractNumId w:val="42"/>
  </w:num>
  <w:num w:numId="71">
    <w:abstractNumId w:val="63"/>
  </w:num>
  <w:num w:numId="72">
    <w:abstractNumId w:val="30"/>
  </w:num>
  <w:num w:numId="73">
    <w:abstractNumId w:val="14"/>
  </w:num>
  <w:num w:numId="74">
    <w:abstractNumId w:val="81"/>
  </w:num>
  <w:num w:numId="75">
    <w:abstractNumId w:val="6"/>
  </w:num>
  <w:num w:numId="76">
    <w:abstractNumId w:val="66"/>
  </w:num>
  <w:num w:numId="77">
    <w:abstractNumId w:val="54"/>
  </w:num>
  <w:num w:numId="78">
    <w:abstractNumId w:val="98"/>
  </w:num>
  <w:num w:numId="79">
    <w:abstractNumId w:val="53"/>
  </w:num>
  <w:num w:numId="80">
    <w:abstractNumId w:val="26"/>
  </w:num>
  <w:num w:numId="81">
    <w:abstractNumId w:val="17"/>
  </w:num>
  <w:num w:numId="82">
    <w:abstractNumId w:val="42"/>
    <w:lvlOverride w:ilvl="0">
      <w:startOverride w:val="1"/>
    </w:lvlOverride>
  </w:num>
  <w:num w:numId="83">
    <w:abstractNumId w:val="42"/>
    <w:lvlOverride w:ilvl="0">
      <w:startOverride w:val="1"/>
    </w:lvlOverride>
  </w:num>
  <w:num w:numId="84">
    <w:abstractNumId w:val="42"/>
    <w:lvlOverride w:ilvl="0">
      <w:startOverride w:val="1"/>
    </w:lvlOverride>
  </w:num>
  <w:num w:numId="85">
    <w:abstractNumId w:val="90"/>
  </w:num>
  <w:num w:numId="86">
    <w:abstractNumId w:val="15"/>
  </w:num>
  <w:num w:numId="87">
    <w:abstractNumId w:val="88"/>
  </w:num>
  <w:num w:numId="88">
    <w:abstractNumId w:val="38"/>
  </w:num>
  <w:num w:numId="89">
    <w:abstractNumId w:val="1"/>
  </w:num>
  <w:num w:numId="90">
    <w:abstractNumId w:val="7"/>
  </w:num>
  <w:num w:numId="91">
    <w:abstractNumId w:val="3"/>
  </w:num>
  <w:num w:numId="92">
    <w:abstractNumId w:val="22"/>
  </w:num>
  <w:num w:numId="93">
    <w:abstractNumId w:val="43"/>
  </w:num>
  <w:num w:numId="94">
    <w:abstractNumId w:val="97"/>
  </w:num>
  <w:num w:numId="95">
    <w:abstractNumId w:val="51"/>
  </w:num>
  <w:num w:numId="96">
    <w:abstractNumId w:val="91"/>
  </w:num>
  <w:num w:numId="97">
    <w:abstractNumId w:val="100"/>
  </w:num>
  <w:num w:numId="98">
    <w:abstractNumId w:val="62"/>
  </w:num>
  <w:num w:numId="99">
    <w:abstractNumId w:val="42"/>
    <w:lvlOverride w:ilvl="0">
      <w:startOverride w:val="964"/>
    </w:lvlOverride>
  </w:num>
  <w:num w:numId="100">
    <w:abstractNumId w:val="23"/>
  </w:num>
  <w:num w:numId="101">
    <w:abstractNumId w:val="0"/>
  </w:num>
  <w:num w:numId="102">
    <w:abstractNumId w:val="19"/>
  </w:num>
  <w:num w:numId="103">
    <w:abstractNumId w:val="80"/>
  </w:num>
  <w:num w:numId="104">
    <w:abstractNumId w:val="64"/>
  </w:num>
  <w:num w:numId="105">
    <w:abstractNumId w:val="18"/>
  </w:num>
  <w:num w:numId="106">
    <w:abstractNumId w:val="32"/>
  </w:num>
  <w:num w:numId="107">
    <w:abstractNumId w:val="7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8">
    <w:abstractNumId w:val="42"/>
    <w:lvlOverride w:ilvl="0">
      <w:startOverride w:val="956"/>
    </w:lvlOverride>
  </w:num>
  <w:num w:numId="109">
    <w:abstractNumId w:val="73"/>
  </w:num>
  <w:num w:numId="110">
    <w:abstractNumId w:val="24"/>
  </w:num>
  <w:numIdMacAtCleanup w:val="10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60"/>
  <w:mirrorMargins/>
  <w:hideSpellingErrors/>
  <w:activeWritingStyle w:appName="MSWord" w:lang="ru-RU" w:vendorID="64" w:dllVersion="131078" w:nlCheck="1" w:checkStyle="0"/>
  <w:activeWritingStyle w:appName="MSWord" w:lang="en-US" w:vendorID="64" w:dllVersion="131078" w:nlCheck="1" w:checkStyle="0"/>
  <w:proofState w:grammar="clean"/>
  <w:defaultTabStop w:val="709"/>
  <w:characterSpacingControl w:val="doNotCompress"/>
  <w:hdrShapeDefaults>
    <o:shapedefaults v:ext="edit" spidmax="36865"/>
  </w:hdrShapeDefaults>
  <w:footnotePr>
    <w:numStart w:val="5"/>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B4031"/>
    <w:rsid w:val="0000065A"/>
    <w:rsid w:val="000012F4"/>
    <w:rsid w:val="00002C7A"/>
    <w:rsid w:val="00005DBE"/>
    <w:rsid w:val="00006161"/>
    <w:rsid w:val="0000771F"/>
    <w:rsid w:val="00011669"/>
    <w:rsid w:val="00011A2A"/>
    <w:rsid w:val="0001584B"/>
    <w:rsid w:val="00015DCF"/>
    <w:rsid w:val="000175BD"/>
    <w:rsid w:val="00017919"/>
    <w:rsid w:val="00021C12"/>
    <w:rsid w:val="00023283"/>
    <w:rsid w:val="00023ADB"/>
    <w:rsid w:val="00023FD3"/>
    <w:rsid w:val="00024744"/>
    <w:rsid w:val="00024DC1"/>
    <w:rsid w:val="00024E18"/>
    <w:rsid w:val="000257D3"/>
    <w:rsid w:val="000259EB"/>
    <w:rsid w:val="00027A92"/>
    <w:rsid w:val="00027ED9"/>
    <w:rsid w:val="00030419"/>
    <w:rsid w:val="00031585"/>
    <w:rsid w:val="00031ADF"/>
    <w:rsid w:val="0003385B"/>
    <w:rsid w:val="00036E47"/>
    <w:rsid w:val="0003792B"/>
    <w:rsid w:val="00037CF7"/>
    <w:rsid w:val="00041D42"/>
    <w:rsid w:val="00041E3A"/>
    <w:rsid w:val="00042D69"/>
    <w:rsid w:val="00042E9B"/>
    <w:rsid w:val="00043275"/>
    <w:rsid w:val="00043698"/>
    <w:rsid w:val="0004370F"/>
    <w:rsid w:val="00044025"/>
    <w:rsid w:val="00044CE2"/>
    <w:rsid w:val="00044D11"/>
    <w:rsid w:val="00044D18"/>
    <w:rsid w:val="000452E3"/>
    <w:rsid w:val="000470FD"/>
    <w:rsid w:val="0004783B"/>
    <w:rsid w:val="0005058C"/>
    <w:rsid w:val="00050D6C"/>
    <w:rsid w:val="00052092"/>
    <w:rsid w:val="00052B64"/>
    <w:rsid w:val="00052BA5"/>
    <w:rsid w:val="00053B68"/>
    <w:rsid w:val="000567B8"/>
    <w:rsid w:val="000575CA"/>
    <w:rsid w:val="00061BC0"/>
    <w:rsid w:val="00061C35"/>
    <w:rsid w:val="00061D5B"/>
    <w:rsid w:val="0006366B"/>
    <w:rsid w:val="000650A2"/>
    <w:rsid w:val="00065A60"/>
    <w:rsid w:val="00065B43"/>
    <w:rsid w:val="00070986"/>
    <w:rsid w:val="00071639"/>
    <w:rsid w:val="00071E03"/>
    <w:rsid w:val="000728B7"/>
    <w:rsid w:val="00072A0B"/>
    <w:rsid w:val="00072B3A"/>
    <w:rsid w:val="00073CE1"/>
    <w:rsid w:val="000768AA"/>
    <w:rsid w:val="00077638"/>
    <w:rsid w:val="00080D08"/>
    <w:rsid w:val="000818F3"/>
    <w:rsid w:val="00081F94"/>
    <w:rsid w:val="00082274"/>
    <w:rsid w:val="00082518"/>
    <w:rsid w:val="00083575"/>
    <w:rsid w:val="000838E1"/>
    <w:rsid w:val="00083FE3"/>
    <w:rsid w:val="000842FE"/>
    <w:rsid w:val="00084CA8"/>
    <w:rsid w:val="000869BD"/>
    <w:rsid w:val="000925EE"/>
    <w:rsid w:val="00093A47"/>
    <w:rsid w:val="00095454"/>
    <w:rsid w:val="00096FC9"/>
    <w:rsid w:val="000972F8"/>
    <w:rsid w:val="000A06ED"/>
    <w:rsid w:val="000A15B4"/>
    <w:rsid w:val="000A2B68"/>
    <w:rsid w:val="000A32B3"/>
    <w:rsid w:val="000A64B5"/>
    <w:rsid w:val="000A6DB8"/>
    <w:rsid w:val="000A7C75"/>
    <w:rsid w:val="000B27FC"/>
    <w:rsid w:val="000B41AF"/>
    <w:rsid w:val="000B44B7"/>
    <w:rsid w:val="000B5F0D"/>
    <w:rsid w:val="000B7388"/>
    <w:rsid w:val="000C04DB"/>
    <w:rsid w:val="000C1469"/>
    <w:rsid w:val="000C2482"/>
    <w:rsid w:val="000D0833"/>
    <w:rsid w:val="000D1C9F"/>
    <w:rsid w:val="000D22D5"/>
    <w:rsid w:val="000D24B1"/>
    <w:rsid w:val="000D2593"/>
    <w:rsid w:val="000D4DB7"/>
    <w:rsid w:val="000D60F6"/>
    <w:rsid w:val="000D7660"/>
    <w:rsid w:val="000D7C1E"/>
    <w:rsid w:val="000E3798"/>
    <w:rsid w:val="000E4223"/>
    <w:rsid w:val="000E68C5"/>
    <w:rsid w:val="000F0349"/>
    <w:rsid w:val="000F0E6F"/>
    <w:rsid w:val="000F2601"/>
    <w:rsid w:val="000F3E8F"/>
    <w:rsid w:val="00103019"/>
    <w:rsid w:val="00104E40"/>
    <w:rsid w:val="00106B9E"/>
    <w:rsid w:val="00107840"/>
    <w:rsid w:val="00111072"/>
    <w:rsid w:val="00111E0F"/>
    <w:rsid w:val="00113574"/>
    <w:rsid w:val="0011454B"/>
    <w:rsid w:val="0011545E"/>
    <w:rsid w:val="00115A17"/>
    <w:rsid w:val="00116170"/>
    <w:rsid w:val="001166EA"/>
    <w:rsid w:val="001172CB"/>
    <w:rsid w:val="0012096E"/>
    <w:rsid w:val="00120E5C"/>
    <w:rsid w:val="001223AF"/>
    <w:rsid w:val="001231D8"/>
    <w:rsid w:val="00125C06"/>
    <w:rsid w:val="00125FBA"/>
    <w:rsid w:val="00130122"/>
    <w:rsid w:val="00130EC3"/>
    <w:rsid w:val="00131529"/>
    <w:rsid w:val="00131D19"/>
    <w:rsid w:val="00132FB0"/>
    <w:rsid w:val="001332A2"/>
    <w:rsid w:val="00133CE6"/>
    <w:rsid w:val="00133FFB"/>
    <w:rsid w:val="00134544"/>
    <w:rsid w:val="00134C65"/>
    <w:rsid w:val="00135028"/>
    <w:rsid w:val="001422BD"/>
    <w:rsid w:val="001442CE"/>
    <w:rsid w:val="00144C1A"/>
    <w:rsid w:val="001459EB"/>
    <w:rsid w:val="00145D60"/>
    <w:rsid w:val="0014644D"/>
    <w:rsid w:val="00146CE6"/>
    <w:rsid w:val="00146CF2"/>
    <w:rsid w:val="00147DAB"/>
    <w:rsid w:val="001506D9"/>
    <w:rsid w:val="00150B36"/>
    <w:rsid w:val="001602FD"/>
    <w:rsid w:val="00160EBB"/>
    <w:rsid w:val="0016167B"/>
    <w:rsid w:val="001620CC"/>
    <w:rsid w:val="001628C6"/>
    <w:rsid w:val="00163177"/>
    <w:rsid w:val="00163AE3"/>
    <w:rsid w:val="00164802"/>
    <w:rsid w:val="00165AA3"/>
    <w:rsid w:val="00170D95"/>
    <w:rsid w:val="00172138"/>
    <w:rsid w:val="0017254B"/>
    <w:rsid w:val="00173EEE"/>
    <w:rsid w:val="00174951"/>
    <w:rsid w:val="0017498A"/>
    <w:rsid w:val="00177AC7"/>
    <w:rsid w:val="00180641"/>
    <w:rsid w:val="0018134D"/>
    <w:rsid w:val="00183DEC"/>
    <w:rsid w:val="00185776"/>
    <w:rsid w:val="001864C1"/>
    <w:rsid w:val="0018667B"/>
    <w:rsid w:val="001900DE"/>
    <w:rsid w:val="001901C4"/>
    <w:rsid w:val="00191894"/>
    <w:rsid w:val="00192770"/>
    <w:rsid w:val="001943B0"/>
    <w:rsid w:val="001951D2"/>
    <w:rsid w:val="0019603A"/>
    <w:rsid w:val="00197FC2"/>
    <w:rsid w:val="001A32F9"/>
    <w:rsid w:val="001A6361"/>
    <w:rsid w:val="001A721F"/>
    <w:rsid w:val="001A7A2B"/>
    <w:rsid w:val="001B0EFA"/>
    <w:rsid w:val="001B144A"/>
    <w:rsid w:val="001B19A5"/>
    <w:rsid w:val="001B32EE"/>
    <w:rsid w:val="001B373B"/>
    <w:rsid w:val="001B3BD8"/>
    <w:rsid w:val="001B43F5"/>
    <w:rsid w:val="001C0728"/>
    <w:rsid w:val="001C13F0"/>
    <w:rsid w:val="001C3DAA"/>
    <w:rsid w:val="001C4A9C"/>
    <w:rsid w:val="001C5296"/>
    <w:rsid w:val="001D03F4"/>
    <w:rsid w:val="001D05AE"/>
    <w:rsid w:val="001D07D3"/>
    <w:rsid w:val="001D1EB0"/>
    <w:rsid w:val="001D279A"/>
    <w:rsid w:val="001D2D06"/>
    <w:rsid w:val="001D4D31"/>
    <w:rsid w:val="001D5210"/>
    <w:rsid w:val="001D55BC"/>
    <w:rsid w:val="001D6FA3"/>
    <w:rsid w:val="001E0B9F"/>
    <w:rsid w:val="001E1F7F"/>
    <w:rsid w:val="001E282F"/>
    <w:rsid w:val="001E28F8"/>
    <w:rsid w:val="001E2C16"/>
    <w:rsid w:val="001E4B2F"/>
    <w:rsid w:val="001E520A"/>
    <w:rsid w:val="001F0E94"/>
    <w:rsid w:val="001F2991"/>
    <w:rsid w:val="001F33E5"/>
    <w:rsid w:val="001F6DD9"/>
    <w:rsid w:val="001F75D0"/>
    <w:rsid w:val="001F7F9D"/>
    <w:rsid w:val="00201222"/>
    <w:rsid w:val="00201604"/>
    <w:rsid w:val="002016CF"/>
    <w:rsid w:val="00203925"/>
    <w:rsid w:val="002039B5"/>
    <w:rsid w:val="00203D12"/>
    <w:rsid w:val="002055E5"/>
    <w:rsid w:val="00207A8E"/>
    <w:rsid w:val="002105EB"/>
    <w:rsid w:val="0021149F"/>
    <w:rsid w:val="00211FC3"/>
    <w:rsid w:val="00212394"/>
    <w:rsid w:val="00212C96"/>
    <w:rsid w:val="00213C8B"/>
    <w:rsid w:val="00215116"/>
    <w:rsid w:val="0021546F"/>
    <w:rsid w:val="00220167"/>
    <w:rsid w:val="0022093C"/>
    <w:rsid w:val="00220F04"/>
    <w:rsid w:val="002214EA"/>
    <w:rsid w:val="00222FDE"/>
    <w:rsid w:val="00223A2C"/>
    <w:rsid w:val="00224A92"/>
    <w:rsid w:val="00224AD0"/>
    <w:rsid w:val="00225012"/>
    <w:rsid w:val="00225DEB"/>
    <w:rsid w:val="00226D4C"/>
    <w:rsid w:val="0022764F"/>
    <w:rsid w:val="002277F9"/>
    <w:rsid w:val="00234F7C"/>
    <w:rsid w:val="00235CE6"/>
    <w:rsid w:val="00236FBC"/>
    <w:rsid w:val="00240D59"/>
    <w:rsid w:val="00241D95"/>
    <w:rsid w:val="002440FE"/>
    <w:rsid w:val="00244374"/>
    <w:rsid w:val="0024760A"/>
    <w:rsid w:val="00247B9E"/>
    <w:rsid w:val="00247CD0"/>
    <w:rsid w:val="002522B4"/>
    <w:rsid w:val="0025274F"/>
    <w:rsid w:val="0025298F"/>
    <w:rsid w:val="00253102"/>
    <w:rsid w:val="0025423F"/>
    <w:rsid w:val="00256431"/>
    <w:rsid w:val="00256D34"/>
    <w:rsid w:val="00263059"/>
    <w:rsid w:val="002631A0"/>
    <w:rsid w:val="00264422"/>
    <w:rsid w:val="00264795"/>
    <w:rsid w:val="002661F7"/>
    <w:rsid w:val="0026785A"/>
    <w:rsid w:val="0027086D"/>
    <w:rsid w:val="00271B43"/>
    <w:rsid w:val="0027201C"/>
    <w:rsid w:val="00272155"/>
    <w:rsid w:val="00272AAC"/>
    <w:rsid w:val="00273011"/>
    <w:rsid w:val="002738BE"/>
    <w:rsid w:val="002740C3"/>
    <w:rsid w:val="0027475A"/>
    <w:rsid w:val="0027487E"/>
    <w:rsid w:val="002757F7"/>
    <w:rsid w:val="00275DCA"/>
    <w:rsid w:val="00275ED6"/>
    <w:rsid w:val="002762CD"/>
    <w:rsid w:val="002773B2"/>
    <w:rsid w:val="002801E9"/>
    <w:rsid w:val="00280616"/>
    <w:rsid w:val="00281D4A"/>
    <w:rsid w:val="00283B08"/>
    <w:rsid w:val="002843C2"/>
    <w:rsid w:val="00286107"/>
    <w:rsid w:val="0029293E"/>
    <w:rsid w:val="00293494"/>
    <w:rsid w:val="00294F6A"/>
    <w:rsid w:val="00296036"/>
    <w:rsid w:val="00297599"/>
    <w:rsid w:val="002A14F0"/>
    <w:rsid w:val="002A2BD6"/>
    <w:rsid w:val="002A2D27"/>
    <w:rsid w:val="002A41F1"/>
    <w:rsid w:val="002A53D2"/>
    <w:rsid w:val="002A54CB"/>
    <w:rsid w:val="002A552C"/>
    <w:rsid w:val="002A6630"/>
    <w:rsid w:val="002A7737"/>
    <w:rsid w:val="002A7FC9"/>
    <w:rsid w:val="002B0715"/>
    <w:rsid w:val="002B0A70"/>
    <w:rsid w:val="002B0EBF"/>
    <w:rsid w:val="002B1728"/>
    <w:rsid w:val="002B2162"/>
    <w:rsid w:val="002B31C4"/>
    <w:rsid w:val="002B4693"/>
    <w:rsid w:val="002B49B4"/>
    <w:rsid w:val="002B58B0"/>
    <w:rsid w:val="002C12E7"/>
    <w:rsid w:val="002C3867"/>
    <w:rsid w:val="002C3DDD"/>
    <w:rsid w:val="002C3EA8"/>
    <w:rsid w:val="002C4973"/>
    <w:rsid w:val="002C5B27"/>
    <w:rsid w:val="002C6C8C"/>
    <w:rsid w:val="002C70B8"/>
    <w:rsid w:val="002D0FAC"/>
    <w:rsid w:val="002D14ED"/>
    <w:rsid w:val="002D3896"/>
    <w:rsid w:val="002D429A"/>
    <w:rsid w:val="002D4A6E"/>
    <w:rsid w:val="002D68A2"/>
    <w:rsid w:val="002D7574"/>
    <w:rsid w:val="002D7DFE"/>
    <w:rsid w:val="002E05A4"/>
    <w:rsid w:val="002E175B"/>
    <w:rsid w:val="002E185F"/>
    <w:rsid w:val="002E248D"/>
    <w:rsid w:val="002E4172"/>
    <w:rsid w:val="002E4F2E"/>
    <w:rsid w:val="002E5303"/>
    <w:rsid w:val="002E545E"/>
    <w:rsid w:val="002F2691"/>
    <w:rsid w:val="002F4FAF"/>
    <w:rsid w:val="002F561A"/>
    <w:rsid w:val="002F58B9"/>
    <w:rsid w:val="002F6223"/>
    <w:rsid w:val="002F72FE"/>
    <w:rsid w:val="002F7DB7"/>
    <w:rsid w:val="0030005D"/>
    <w:rsid w:val="00300631"/>
    <w:rsid w:val="00300E46"/>
    <w:rsid w:val="00301C4A"/>
    <w:rsid w:val="00303AC9"/>
    <w:rsid w:val="00304A13"/>
    <w:rsid w:val="003054C1"/>
    <w:rsid w:val="003058EB"/>
    <w:rsid w:val="003111E1"/>
    <w:rsid w:val="003112E0"/>
    <w:rsid w:val="00311405"/>
    <w:rsid w:val="003120D2"/>
    <w:rsid w:val="003124BA"/>
    <w:rsid w:val="003126B0"/>
    <w:rsid w:val="0031368E"/>
    <w:rsid w:val="0031464A"/>
    <w:rsid w:val="00314F3D"/>
    <w:rsid w:val="00315764"/>
    <w:rsid w:val="00315F37"/>
    <w:rsid w:val="00322AE9"/>
    <w:rsid w:val="003244CE"/>
    <w:rsid w:val="00324D81"/>
    <w:rsid w:val="00325F60"/>
    <w:rsid w:val="003267FA"/>
    <w:rsid w:val="003271C3"/>
    <w:rsid w:val="003272F2"/>
    <w:rsid w:val="00330AEB"/>
    <w:rsid w:val="0033268D"/>
    <w:rsid w:val="00332B1B"/>
    <w:rsid w:val="0033319E"/>
    <w:rsid w:val="00333407"/>
    <w:rsid w:val="00334FFE"/>
    <w:rsid w:val="003372CB"/>
    <w:rsid w:val="00340391"/>
    <w:rsid w:val="00340D04"/>
    <w:rsid w:val="00341082"/>
    <w:rsid w:val="003424FA"/>
    <w:rsid w:val="00342C33"/>
    <w:rsid w:val="0034687F"/>
    <w:rsid w:val="00346A5D"/>
    <w:rsid w:val="0034703C"/>
    <w:rsid w:val="003478F6"/>
    <w:rsid w:val="00351C00"/>
    <w:rsid w:val="00355207"/>
    <w:rsid w:val="0035543E"/>
    <w:rsid w:val="003567EE"/>
    <w:rsid w:val="00356906"/>
    <w:rsid w:val="00357215"/>
    <w:rsid w:val="003579E1"/>
    <w:rsid w:val="003602AC"/>
    <w:rsid w:val="003603F8"/>
    <w:rsid w:val="003630B7"/>
    <w:rsid w:val="0036347C"/>
    <w:rsid w:val="003635A6"/>
    <w:rsid w:val="00365544"/>
    <w:rsid w:val="00366642"/>
    <w:rsid w:val="003702A4"/>
    <w:rsid w:val="003718CC"/>
    <w:rsid w:val="00373017"/>
    <w:rsid w:val="00373B80"/>
    <w:rsid w:val="00375D79"/>
    <w:rsid w:val="0037749F"/>
    <w:rsid w:val="00382349"/>
    <w:rsid w:val="0038441B"/>
    <w:rsid w:val="00385850"/>
    <w:rsid w:val="0038667E"/>
    <w:rsid w:val="00386765"/>
    <w:rsid w:val="00393163"/>
    <w:rsid w:val="003953FC"/>
    <w:rsid w:val="00396389"/>
    <w:rsid w:val="0039789E"/>
    <w:rsid w:val="00397A81"/>
    <w:rsid w:val="003A0002"/>
    <w:rsid w:val="003A1A3E"/>
    <w:rsid w:val="003A2BF4"/>
    <w:rsid w:val="003A2E0B"/>
    <w:rsid w:val="003A63E2"/>
    <w:rsid w:val="003A6F45"/>
    <w:rsid w:val="003A748E"/>
    <w:rsid w:val="003A7F34"/>
    <w:rsid w:val="003B1172"/>
    <w:rsid w:val="003B434C"/>
    <w:rsid w:val="003B5F77"/>
    <w:rsid w:val="003B682D"/>
    <w:rsid w:val="003B6C2F"/>
    <w:rsid w:val="003B7F94"/>
    <w:rsid w:val="003C07A2"/>
    <w:rsid w:val="003C0D57"/>
    <w:rsid w:val="003C1582"/>
    <w:rsid w:val="003C33C8"/>
    <w:rsid w:val="003C35C2"/>
    <w:rsid w:val="003C397C"/>
    <w:rsid w:val="003C4C7D"/>
    <w:rsid w:val="003C59C1"/>
    <w:rsid w:val="003C6171"/>
    <w:rsid w:val="003C7B93"/>
    <w:rsid w:val="003D014D"/>
    <w:rsid w:val="003D0530"/>
    <w:rsid w:val="003D4020"/>
    <w:rsid w:val="003D56C8"/>
    <w:rsid w:val="003D6592"/>
    <w:rsid w:val="003E233E"/>
    <w:rsid w:val="003E2FB8"/>
    <w:rsid w:val="003E56F4"/>
    <w:rsid w:val="003E6630"/>
    <w:rsid w:val="003E71BF"/>
    <w:rsid w:val="003E7869"/>
    <w:rsid w:val="003E78AA"/>
    <w:rsid w:val="003E7C85"/>
    <w:rsid w:val="003E7D86"/>
    <w:rsid w:val="003F01D4"/>
    <w:rsid w:val="003F0352"/>
    <w:rsid w:val="003F136E"/>
    <w:rsid w:val="003F185E"/>
    <w:rsid w:val="003F1F02"/>
    <w:rsid w:val="003F26E6"/>
    <w:rsid w:val="003F390F"/>
    <w:rsid w:val="003F4371"/>
    <w:rsid w:val="003F4556"/>
    <w:rsid w:val="003F4F97"/>
    <w:rsid w:val="003F62B8"/>
    <w:rsid w:val="003F6946"/>
    <w:rsid w:val="004002B4"/>
    <w:rsid w:val="004006CE"/>
    <w:rsid w:val="00400DBE"/>
    <w:rsid w:val="00406980"/>
    <w:rsid w:val="00410CDB"/>
    <w:rsid w:val="004116D5"/>
    <w:rsid w:val="00413F56"/>
    <w:rsid w:val="00414703"/>
    <w:rsid w:val="00416193"/>
    <w:rsid w:val="00421B05"/>
    <w:rsid w:val="00423006"/>
    <w:rsid w:val="00423710"/>
    <w:rsid w:val="0042589C"/>
    <w:rsid w:val="00426AC8"/>
    <w:rsid w:val="00427848"/>
    <w:rsid w:val="00431276"/>
    <w:rsid w:val="00432107"/>
    <w:rsid w:val="00432C17"/>
    <w:rsid w:val="004362F9"/>
    <w:rsid w:val="00437136"/>
    <w:rsid w:val="00437AC2"/>
    <w:rsid w:val="00440A84"/>
    <w:rsid w:val="00442C56"/>
    <w:rsid w:val="00443F2D"/>
    <w:rsid w:val="004440DC"/>
    <w:rsid w:val="00447BA9"/>
    <w:rsid w:val="004504C6"/>
    <w:rsid w:val="00450EFE"/>
    <w:rsid w:val="00451C0D"/>
    <w:rsid w:val="00452AA1"/>
    <w:rsid w:val="004533D8"/>
    <w:rsid w:val="004534D0"/>
    <w:rsid w:val="00453948"/>
    <w:rsid w:val="00454437"/>
    <w:rsid w:val="0045600F"/>
    <w:rsid w:val="00456509"/>
    <w:rsid w:val="00456F44"/>
    <w:rsid w:val="00460DC8"/>
    <w:rsid w:val="0046193D"/>
    <w:rsid w:val="00462C63"/>
    <w:rsid w:val="004636A6"/>
    <w:rsid w:val="00465393"/>
    <w:rsid w:val="00466DE9"/>
    <w:rsid w:val="00467671"/>
    <w:rsid w:val="00470108"/>
    <w:rsid w:val="0047108B"/>
    <w:rsid w:val="004717D0"/>
    <w:rsid w:val="00471F2D"/>
    <w:rsid w:val="004720FE"/>
    <w:rsid w:val="0047261E"/>
    <w:rsid w:val="00472CE9"/>
    <w:rsid w:val="004731B9"/>
    <w:rsid w:val="00473569"/>
    <w:rsid w:val="00473E76"/>
    <w:rsid w:val="00474B45"/>
    <w:rsid w:val="00475DF4"/>
    <w:rsid w:val="0047644B"/>
    <w:rsid w:val="00477A80"/>
    <w:rsid w:val="0048184F"/>
    <w:rsid w:val="00481D7D"/>
    <w:rsid w:val="00483BB3"/>
    <w:rsid w:val="004845DF"/>
    <w:rsid w:val="00485D6E"/>
    <w:rsid w:val="00492C69"/>
    <w:rsid w:val="00493979"/>
    <w:rsid w:val="00496FC6"/>
    <w:rsid w:val="00497A2C"/>
    <w:rsid w:val="004A0228"/>
    <w:rsid w:val="004A0490"/>
    <w:rsid w:val="004A205F"/>
    <w:rsid w:val="004A21DA"/>
    <w:rsid w:val="004A2237"/>
    <w:rsid w:val="004A2D11"/>
    <w:rsid w:val="004A3058"/>
    <w:rsid w:val="004A320B"/>
    <w:rsid w:val="004A3AB3"/>
    <w:rsid w:val="004A5488"/>
    <w:rsid w:val="004A5752"/>
    <w:rsid w:val="004A5AFD"/>
    <w:rsid w:val="004A669E"/>
    <w:rsid w:val="004B0EC2"/>
    <w:rsid w:val="004B2968"/>
    <w:rsid w:val="004B4323"/>
    <w:rsid w:val="004B4468"/>
    <w:rsid w:val="004B4591"/>
    <w:rsid w:val="004B5F1E"/>
    <w:rsid w:val="004B667B"/>
    <w:rsid w:val="004B6710"/>
    <w:rsid w:val="004B6D9D"/>
    <w:rsid w:val="004B6DE9"/>
    <w:rsid w:val="004C35C8"/>
    <w:rsid w:val="004C3F6D"/>
    <w:rsid w:val="004C51B0"/>
    <w:rsid w:val="004C581F"/>
    <w:rsid w:val="004C5C6D"/>
    <w:rsid w:val="004D0A8D"/>
    <w:rsid w:val="004D1E5A"/>
    <w:rsid w:val="004D39ED"/>
    <w:rsid w:val="004D5078"/>
    <w:rsid w:val="004D5E9B"/>
    <w:rsid w:val="004D6C18"/>
    <w:rsid w:val="004E15D4"/>
    <w:rsid w:val="004E2DA6"/>
    <w:rsid w:val="004E32EA"/>
    <w:rsid w:val="004E37CF"/>
    <w:rsid w:val="004E42EE"/>
    <w:rsid w:val="004E514E"/>
    <w:rsid w:val="004E648C"/>
    <w:rsid w:val="004E7DAC"/>
    <w:rsid w:val="004F1525"/>
    <w:rsid w:val="004F3111"/>
    <w:rsid w:val="0050045B"/>
    <w:rsid w:val="00500C76"/>
    <w:rsid w:val="00502DD9"/>
    <w:rsid w:val="00504287"/>
    <w:rsid w:val="005043E4"/>
    <w:rsid w:val="00504637"/>
    <w:rsid w:val="00505A5D"/>
    <w:rsid w:val="0050647E"/>
    <w:rsid w:val="005101AA"/>
    <w:rsid w:val="00510BEF"/>
    <w:rsid w:val="00511D24"/>
    <w:rsid w:val="0051479D"/>
    <w:rsid w:val="0051595B"/>
    <w:rsid w:val="00515E09"/>
    <w:rsid w:val="00516478"/>
    <w:rsid w:val="00516A75"/>
    <w:rsid w:val="00516AAE"/>
    <w:rsid w:val="00520652"/>
    <w:rsid w:val="00522613"/>
    <w:rsid w:val="00523A4A"/>
    <w:rsid w:val="00526180"/>
    <w:rsid w:val="00526304"/>
    <w:rsid w:val="00527494"/>
    <w:rsid w:val="005275AA"/>
    <w:rsid w:val="005301A7"/>
    <w:rsid w:val="00534978"/>
    <w:rsid w:val="005358F9"/>
    <w:rsid w:val="005364A9"/>
    <w:rsid w:val="00536F14"/>
    <w:rsid w:val="005376A2"/>
    <w:rsid w:val="00540A96"/>
    <w:rsid w:val="0054694B"/>
    <w:rsid w:val="005501DF"/>
    <w:rsid w:val="0055108B"/>
    <w:rsid w:val="00552994"/>
    <w:rsid w:val="00553645"/>
    <w:rsid w:val="00553F84"/>
    <w:rsid w:val="00556E6C"/>
    <w:rsid w:val="00557139"/>
    <w:rsid w:val="005614E1"/>
    <w:rsid w:val="00561727"/>
    <w:rsid w:val="00561D47"/>
    <w:rsid w:val="00562659"/>
    <w:rsid w:val="0056354A"/>
    <w:rsid w:val="00563B58"/>
    <w:rsid w:val="00563D10"/>
    <w:rsid w:val="005663F4"/>
    <w:rsid w:val="00566767"/>
    <w:rsid w:val="005701D2"/>
    <w:rsid w:val="00570BD5"/>
    <w:rsid w:val="00573B78"/>
    <w:rsid w:val="00575304"/>
    <w:rsid w:val="00575439"/>
    <w:rsid w:val="00575708"/>
    <w:rsid w:val="005776FF"/>
    <w:rsid w:val="005837F4"/>
    <w:rsid w:val="00586B9D"/>
    <w:rsid w:val="00590858"/>
    <w:rsid w:val="005921D3"/>
    <w:rsid w:val="00592D2F"/>
    <w:rsid w:val="00593154"/>
    <w:rsid w:val="0059422F"/>
    <w:rsid w:val="00594657"/>
    <w:rsid w:val="00594CD1"/>
    <w:rsid w:val="005951F6"/>
    <w:rsid w:val="00596597"/>
    <w:rsid w:val="005A05F0"/>
    <w:rsid w:val="005A095B"/>
    <w:rsid w:val="005A116A"/>
    <w:rsid w:val="005A140F"/>
    <w:rsid w:val="005A1AF7"/>
    <w:rsid w:val="005A3A8C"/>
    <w:rsid w:val="005A45E0"/>
    <w:rsid w:val="005A5B96"/>
    <w:rsid w:val="005A6921"/>
    <w:rsid w:val="005A6F55"/>
    <w:rsid w:val="005A73C7"/>
    <w:rsid w:val="005B06C7"/>
    <w:rsid w:val="005B148E"/>
    <w:rsid w:val="005B1CCB"/>
    <w:rsid w:val="005B339B"/>
    <w:rsid w:val="005B686C"/>
    <w:rsid w:val="005B6CAC"/>
    <w:rsid w:val="005C0AAD"/>
    <w:rsid w:val="005C1BA1"/>
    <w:rsid w:val="005C2CCD"/>
    <w:rsid w:val="005C7083"/>
    <w:rsid w:val="005D024C"/>
    <w:rsid w:val="005D0C70"/>
    <w:rsid w:val="005D2A2F"/>
    <w:rsid w:val="005D483C"/>
    <w:rsid w:val="005D4B2C"/>
    <w:rsid w:val="005D612A"/>
    <w:rsid w:val="005E028E"/>
    <w:rsid w:val="005E1551"/>
    <w:rsid w:val="005E3618"/>
    <w:rsid w:val="005E5A29"/>
    <w:rsid w:val="005E61D3"/>
    <w:rsid w:val="005F08F6"/>
    <w:rsid w:val="005F14B2"/>
    <w:rsid w:val="005F1A47"/>
    <w:rsid w:val="005F2030"/>
    <w:rsid w:val="005F4D95"/>
    <w:rsid w:val="005F6650"/>
    <w:rsid w:val="005F7678"/>
    <w:rsid w:val="0060002B"/>
    <w:rsid w:val="00600CE2"/>
    <w:rsid w:val="00602C40"/>
    <w:rsid w:val="00607A75"/>
    <w:rsid w:val="006119A2"/>
    <w:rsid w:val="00611AF9"/>
    <w:rsid w:val="00613071"/>
    <w:rsid w:val="00613C5C"/>
    <w:rsid w:val="00620AEE"/>
    <w:rsid w:val="00620E4C"/>
    <w:rsid w:val="00621607"/>
    <w:rsid w:val="006239AE"/>
    <w:rsid w:val="00624506"/>
    <w:rsid w:val="00624DEB"/>
    <w:rsid w:val="00625ED5"/>
    <w:rsid w:val="0062612B"/>
    <w:rsid w:val="006269F1"/>
    <w:rsid w:val="00627AA6"/>
    <w:rsid w:val="00630070"/>
    <w:rsid w:val="00630574"/>
    <w:rsid w:val="006311EB"/>
    <w:rsid w:val="00631CA6"/>
    <w:rsid w:val="00632918"/>
    <w:rsid w:val="0063392C"/>
    <w:rsid w:val="00634BE3"/>
    <w:rsid w:val="00634CA8"/>
    <w:rsid w:val="0063519A"/>
    <w:rsid w:val="00635B6F"/>
    <w:rsid w:val="00635DDA"/>
    <w:rsid w:val="006364C7"/>
    <w:rsid w:val="006379AB"/>
    <w:rsid w:val="006420CE"/>
    <w:rsid w:val="00642F73"/>
    <w:rsid w:val="006433A6"/>
    <w:rsid w:val="006449E4"/>
    <w:rsid w:val="00645D12"/>
    <w:rsid w:val="00647244"/>
    <w:rsid w:val="0065163E"/>
    <w:rsid w:val="0065190A"/>
    <w:rsid w:val="00651948"/>
    <w:rsid w:val="00652106"/>
    <w:rsid w:val="006536F1"/>
    <w:rsid w:val="0065485C"/>
    <w:rsid w:val="00656340"/>
    <w:rsid w:val="00656CF2"/>
    <w:rsid w:val="00657064"/>
    <w:rsid w:val="0065747A"/>
    <w:rsid w:val="0066177C"/>
    <w:rsid w:val="006629F8"/>
    <w:rsid w:val="00663693"/>
    <w:rsid w:val="00663B30"/>
    <w:rsid w:val="006650D9"/>
    <w:rsid w:val="00665357"/>
    <w:rsid w:val="006668F0"/>
    <w:rsid w:val="00666B30"/>
    <w:rsid w:val="00667DC1"/>
    <w:rsid w:val="006723E7"/>
    <w:rsid w:val="00675A46"/>
    <w:rsid w:val="00680278"/>
    <w:rsid w:val="00682CC9"/>
    <w:rsid w:val="006837F6"/>
    <w:rsid w:val="0068615B"/>
    <w:rsid w:val="006873C0"/>
    <w:rsid w:val="0069093F"/>
    <w:rsid w:val="00691239"/>
    <w:rsid w:val="006945B4"/>
    <w:rsid w:val="00694F62"/>
    <w:rsid w:val="00695028"/>
    <w:rsid w:val="0069566A"/>
    <w:rsid w:val="006973CF"/>
    <w:rsid w:val="006976D4"/>
    <w:rsid w:val="00697A20"/>
    <w:rsid w:val="006A1A23"/>
    <w:rsid w:val="006A1AB4"/>
    <w:rsid w:val="006A2216"/>
    <w:rsid w:val="006A4B32"/>
    <w:rsid w:val="006A5638"/>
    <w:rsid w:val="006A6B6A"/>
    <w:rsid w:val="006B0F99"/>
    <w:rsid w:val="006B1C1B"/>
    <w:rsid w:val="006B3232"/>
    <w:rsid w:val="006B3315"/>
    <w:rsid w:val="006B3F50"/>
    <w:rsid w:val="006B407B"/>
    <w:rsid w:val="006B461D"/>
    <w:rsid w:val="006B5432"/>
    <w:rsid w:val="006B57C0"/>
    <w:rsid w:val="006B5A93"/>
    <w:rsid w:val="006B7D62"/>
    <w:rsid w:val="006C05D0"/>
    <w:rsid w:val="006C0881"/>
    <w:rsid w:val="006C16D6"/>
    <w:rsid w:val="006C170B"/>
    <w:rsid w:val="006C230E"/>
    <w:rsid w:val="006C25E0"/>
    <w:rsid w:val="006C3F42"/>
    <w:rsid w:val="006C4306"/>
    <w:rsid w:val="006C45D3"/>
    <w:rsid w:val="006C4D13"/>
    <w:rsid w:val="006C7D4B"/>
    <w:rsid w:val="006D0081"/>
    <w:rsid w:val="006D04D7"/>
    <w:rsid w:val="006D08B5"/>
    <w:rsid w:val="006D0D74"/>
    <w:rsid w:val="006D2F90"/>
    <w:rsid w:val="006D5C6B"/>
    <w:rsid w:val="006D5F2C"/>
    <w:rsid w:val="006D67B6"/>
    <w:rsid w:val="006E0726"/>
    <w:rsid w:val="006E16C5"/>
    <w:rsid w:val="006E2B6D"/>
    <w:rsid w:val="006E376C"/>
    <w:rsid w:val="006E5252"/>
    <w:rsid w:val="006E6540"/>
    <w:rsid w:val="006E7F65"/>
    <w:rsid w:val="006F0D82"/>
    <w:rsid w:val="006F0FA5"/>
    <w:rsid w:val="006F19C2"/>
    <w:rsid w:val="006F3A30"/>
    <w:rsid w:val="006F689C"/>
    <w:rsid w:val="00700473"/>
    <w:rsid w:val="00700B17"/>
    <w:rsid w:val="00701099"/>
    <w:rsid w:val="007028A3"/>
    <w:rsid w:val="0070569B"/>
    <w:rsid w:val="00710186"/>
    <w:rsid w:val="00710986"/>
    <w:rsid w:val="007113F9"/>
    <w:rsid w:val="0071241D"/>
    <w:rsid w:val="00712BB1"/>
    <w:rsid w:val="00713EB6"/>
    <w:rsid w:val="00714782"/>
    <w:rsid w:val="00714A1A"/>
    <w:rsid w:val="00720520"/>
    <w:rsid w:val="00726D2F"/>
    <w:rsid w:val="00726F2A"/>
    <w:rsid w:val="00727235"/>
    <w:rsid w:val="00731687"/>
    <w:rsid w:val="00732BC6"/>
    <w:rsid w:val="00732E6B"/>
    <w:rsid w:val="00737DFD"/>
    <w:rsid w:val="007408AE"/>
    <w:rsid w:val="00740C72"/>
    <w:rsid w:val="00742969"/>
    <w:rsid w:val="00742A75"/>
    <w:rsid w:val="00742FA7"/>
    <w:rsid w:val="00745D3A"/>
    <w:rsid w:val="007467ED"/>
    <w:rsid w:val="00746D79"/>
    <w:rsid w:val="00747C8B"/>
    <w:rsid w:val="0075010A"/>
    <w:rsid w:val="007501CF"/>
    <w:rsid w:val="007509A1"/>
    <w:rsid w:val="00752C20"/>
    <w:rsid w:val="00755721"/>
    <w:rsid w:val="007559A9"/>
    <w:rsid w:val="0075615C"/>
    <w:rsid w:val="00757268"/>
    <w:rsid w:val="007575B9"/>
    <w:rsid w:val="00757F88"/>
    <w:rsid w:val="00760CE6"/>
    <w:rsid w:val="00761B8A"/>
    <w:rsid w:val="007625F3"/>
    <w:rsid w:val="00763AD2"/>
    <w:rsid w:val="00764559"/>
    <w:rsid w:val="00764C8C"/>
    <w:rsid w:val="00766F3F"/>
    <w:rsid w:val="00766FDB"/>
    <w:rsid w:val="00770178"/>
    <w:rsid w:val="00771513"/>
    <w:rsid w:val="007736D2"/>
    <w:rsid w:val="00774CD0"/>
    <w:rsid w:val="00776B62"/>
    <w:rsid w:val="007820DA"/>
    <w:rsid w:val="00782DEA"/>
    <w:rsid w:val="007834FD"/>
    <w:rsid w:val="007837B8"/>
    <w:rsid w:val="00784CD7"/>
    <w:rsid w:val="00785096"/>
    <w:rsid w:val="007856FA"/>
    <w:rsid w:val="0078588D"/>
    <w:rsid w:val="00785EC2"/>
    <w:rsid w:val="0079280F"/>
    <w:rsid w:val="00792B30"/>
    <w:rsid w:val="007959F5"/>
    <w:rsid w:val="007969DB"/>
    <w:rsid w:val="007A34C9"/>
    <w:rsid w:val="007A414D"/>
    <w:rsid w:val="007A5F31"/>
    <w:rsid w:val="007A6B4E"/>
    <w:rsid w:val="007B1126"/>
    <w:rsid w:val="007B1187"/>
    <w:rsid w:val="007B12E1"/>
    <w:rsid w:val="007B31AF"/>
    <w:rsid w:val="007B44A3"/>
    <w:rsid w:val="007B454F"/>
    <w:rsid w:val="007B578B"/>
    <w:rsid w:val="007B5912"/>
    <w:rsid w:val="007B64D3"/>
    <w:rsid w:val="007B674A"/>
    <w:rsid w:val="007B6D6C"/>
    <w:rsid w:val="007B7B31"/>
    <w:rsid w:val="007B7BEE"/>
    <w:rsid w:val="007C1777"/>
    <w:rsid w:val="007C40AB"/>
    <w:rsid w:val="007C57F5"/>
    <w:rsid w:val="007C6D26"/>
    <w:rsid w:val="007C791B"/>
    <w:rsid w:val="007D101A"/>
    <w:rsid w:val="007D1608"/>
    <w:rsid w:val="007D1A2D"/>
    <w:rsid w:val="007D2DF1"/>
    <w:rsid w:val="007D4011"/>
    <w:rsid w:val="007D485A"/>
    <w:rsid w:val="007D5634"/>
    <w:rsid w:val="007D5A78"/>
    <w:rsid w:val="007D6CF0"/>
    <w:rsid w:val="007D735B"/>
    <w:rsid w:val="007D7CD4"/>
    <w:rsid w:val="007E0B5B"/>
    <w:rsid w:val="007E1846"/>
    <w:rsid w:val="007E71D5"/>
    <w:rsid w:val="007E765A"/>
    <w:rsid w:val="007F2ADE"/>
    <w:rsid w:val="007F3337"/>
    <w:rsid w:val="007F41CF"/>
    <w:rsid w:val="007F433D"/>
    <w:rsid w:val="007F55EC"/>
    <w:rsid w:val="007F648D"/>
    <w:rsid w:val="007F77FC"/>
    <w:rsid w:val="008002F2"/>
    <w:rsid w:val="00800401"/>
    <w:rsid w:val="00800A3D"/>
    <w:rsid w:val="00802495"/>
    <w:rsid w:val="008030ED"/>
    <w:rsid w:val="008048A0"/>
    <w:rsid w:val="0080610D"/>
    <w:rsid w:val="008066C0"/>
    <w:rsid w:val="00806DB5"/>
    <w:rsid w:val="00815B35"/>
    <w:rsid w:val="00821D7B"/>
    <w:rsid w:val="0082319D"/>
    <w:rsid w:val="008233C7"/>
    <w:rsid w:val="008233F6"/>
    <w:rsid w:val="0082383C"/>
    <w:rsid w:val="00823EEC"/>
    <w:rsid w:val="0082448B"/>
    <w:rsid w:val="0082516E"/>
    <w:rsid w:val="00825481"/>
    <w:rsid w:val="00827FEB"/>
    <w:rsid w:val="008301CA"/>
    <w:rsid w:val="008305D6"/>
    <w:rsid w:val="0083078F"/>
    <w:rsid w:val="008307A4"/>
    <w:rsid w:val="008307C7"/>
    <w:rsid w:val="00832144"/>
    <w:rsid w:val="008321E7"/>
    <w:rsid w:val="00832F41"/>
    <w:rsid w:val="00833E92"/>
    <w:rsid w:val="0083591B"/>
    <w:rsid w:val="00836C93"/>
    <w:rsid w:val="00836CE1"/>
    <w:rsid w:val="00837470"/>
    <w:rsid w:val="00837B73"/>
    <w:rsid w:val="00837D7B"/>
    <w:rsid w:val="008405F9"/>
    <w:rsid w:val="00840C8C"/>
    <w:rsid w:val="00842E28"/>
    <w:rsid w:val="008432A6"/>
    <w:rsid w:val="00844E83"/>
    <w:rsid w:val="00847F13"/>
    <w:rsid w:val="00851E0D"/>
    <w:rsid w:val="008528DF"/>
    <w:rsid w:val="008529F1"/>
    <w:rsid w:val="00853CFF"/>
    <w:rsid w:val="00854CDC"/>
    <w:rsid w:val="00854EBF"/>
    <w:rsid w:val="00855C67"/>
    <w:rsid w:val="00856BB2"/>
    <w:rsid w:val="00857CD2"/>
    <w:rsid w:val="00860D4E"/>
    <w:rsid w:val="00860DE8"/>
    <w:rsid w:val="0086108E"/>
    <w:rsid w:val="00862B82"/>
    <w:rsid w:val="008630D2"/>
    <w:rsid w:val="008634E0"/>
    <w:rsid w:val="008640DC"/>
    <w:rsid w:val="0086595D"/>
    <w:rsid w:val="0086614F"/>
    <w:rsid w:val="00866284"/>
    <w:rsid w:val="0086716A"/>
    <w:rsid w:val="008706B6"/>
    <w:rsid w:val="00872AE1"/>
    <w:rsid w:val="0087365D"/>
    <w:rsid w:val="008739E1"/>
    <w:rsid w:val="00874C1F"/>
    <w:rsid w:val="00875CE8"/>
    <w:rsid w:val="008761AE"/>
    <w:rsid w:val="00877126"/>
    <w:rsid w:val="00877D91"/>
    <w:rsid w:val="00877F8F"/>
    <w:rsid w:val="008825E5"/>
    <w:rsid w:val="008828F0"/>
    <w:rsid w:val="008836E8"/>
    <w:rsid w:val="00883E6C"/>
    <w:rsid w:val="008845D5"/>
    <w:rsid w:val="008851A6"/>
    <w:rsid w:val="00885293"/>
    <w:rsid w:val="008856CB"/>
    <w:rsid w:val="00885DFD"/>
    <w:rsid w:val="008866BF"/>
    <w:rsid w:val="008903B9"/>
    <w:rsid w:val="0089052B"/>
    <w:rsid w:val="00892EEC"/>
    <w:rsid w:val="00893011"/>
    <w:rsid w:val="00894F35"/>
    <w:rsid w:val="008954BC"/>
    <w:rsid w:val="00895F26"/>
    <w:rsid w:val="008A29D7"/>
    <w:rsid w:val="008A2B02"/>
    <w:rsid w:val="008A66A5"/>
    <w:rsid w:val="008A6BF6"/>
    <w:rsid w:val="008B049C"/>
    <w:rsid w:val="008B2270"/>
    <w:rsid w:val="008B24F6"/>
    <w:rsid w:val="008B2763"/>
    <w:rsid w:val="008B38CB"/>
    <w:rsid w:val="008B47F1"/>
    <w:rsid w:val="008B4C03"/>
    <w:rsid w:val="008B4F74"/>
    <w:rsid w:val="008B5238"/>
    <w:rsid w:val="008B61F6"/>
    <w:rsid w:val="008B727A"/>
    <w:rsid w:val="008B72B9"/>
    <w:rsid w:val="008B7684"/>
    <w:rsid w:val="008C0220"/>
    <w:rsid w:val="008C037E"/>
    <w:rsid w:val="008C0AD9"/>
    <w:rsid w:val="008C181D"/>
    <w:rsid w:val="008C1C37"/>
    <w:rsid w:val="008C2766"/>
    <w:rsid w:val="008C2B13"/>
    <w:rsid w:val="008C315E"/>
    <w:rsid w:val="008C69C9"/>
    <w:rsid w:val="008C7EDF"/>
    <w:rsid w:val="008C7F38"/>
    <w:rsid w:val="008D1FFA"/>
    <w:rsid w:val="008D4780"/>
    <w:rsid w:val="008D4FD7"/>
    <w:rsid w:val="008D523D"/>
    <w:rsid w:val="008D54F1"/>
    <w:rsid w:val="008D601A"/>
    <w:rsid w:val="008E07E4"/>
    <w:rsid w:val="008E1A25"/>
    <w:rsid w:val="008E21B2"/>
    <w:rsid w:val="008E2971"/>
    <w:rsid w:val="008E6282"/>
    <w:rsid w:val="008E6468"/>
    <w:rsid w:val="008E7DC6"/>
    <w:rsid w:val="008F1187"/>
    <w:rsid w:val="008F1661"/>
    <w:rsid w:val="008F16D6"/>
    <w:rsid w:val="008F30BF"/>
    <w:rsid w:val="008F3111"/>
    <w:rsid w:val="008F353E"/>
    <w:rsid w:val="008F41C3"/>
    <w:rsid w:val="008F4945"/>
    <w:rsid w:val="008F5144"/>
    <w:rsid w:val="00900409"/>
    <w:rsid w:val="009016CD"/>
    <w:rsid w:val="00902350"/>
    <w:rsid w:val="0090565E"/>
    <w:rsid w:val="00907756"/>
    <w:rsid w:val="00910127"/>
    <w:rsid w:val="00913051"/>
    <w:rsid w:val="00913750"/>
    <w:rsid w:val="00914D17"/>
    <w:rsid w:val="00917529"/>
    <w:rsid w:val="00920522"/>
    <w:rsid w:val="00921E90"/>
    <w:rsid w:val="009225B2"/>
    <w:rsid w:val="00923C64"/>
    <w:rsid w:val="00924A7D"/>
    <w:rsid w:val="00924E50"/>
    <w:rsid w:val="009259C9"/>
    <w:rsid w:val="0092621E"/>
    <w:rsid w:val="00927268"/>
    <w:rsid w:val="00927EF7"/>
    <w:rsid w:val="00930788"/>
    <w:rsid w:val="00932C1F"/>
    <w:rsid w:val="0093377F"/>
    <w:rsid w:val="009338E0"/>
    <w:rsid w:val="009407A0"/>
    <w:rsid w:val="0094105D"/>
    <w:rsid w:val="00942A53"/>
    <w:rsid w:val="009433F1"/>
    <w:rsid w:val="0094462A"/>
    <w:rsid w:val="0094626C"/>
    <w:rsid w:val="00946FD6"/>
    <w:rsid w:val="00951A41"/>
    <w:rsid w:val="00953B0A"/>
    <w:rsid w:val="00954122"/>
    <w:rsid w:val="00956E1A"/>
    <w:rsid w:val="00957215"/>
    <w:rsid w:val="009577C3"/>
    <w:rsid w:val="00960A20"/>
    <w:rsid w:val="00964698"/>
    <w:rsid w:val="00965709"/>
    <w:rsid w:val="0097121A"/>
    <w:rsid w:val="00971A55"/>
    <w:rsid w:val="00971C71"/>
    <w:rsid w:val="009743F4"/>
    <w:rsid w:val="00974955"/>
    <w:rsid w:val="00974FC3"/>
    <w:rsid w:val="00977A41"/>
    <w:rsid w:val="009820B9"/>
    <w:rsid w:val="00982EB6"/>
    <w:rsid w:val="00984F9D"/>
    <w:rsid w:val="00990867"/>
    <w:rsid w:val="00991D0A"/>
    <w:rsid w:val="00992B82"/>
    <w:rsid w:val="00993D72"/>
    <w:rsid w:val="00996A81"/>
    <w:rsid w:val="009976B9"/>
    <w:rsid w:val="009A199E"/>
    <w:rsid w:val="009A2B5E"/>
    <w:rsid w:val="009A343D"/>
    <w:rsid w:val="009A427E"/>
    <w:rsid w:val="009A56AB"/>
    <w:rsid w:val="009A5FAD"/>
    <w:rsid w:val="009A757A"/>
    <w:rsid w:val="009A7A9B"/>
    <w:rsid w:val="009B04AB"/>
    <w:rsid w:val="009B0DAB"/>
    <w:rsid w:val="009B118B"/>
    <w:rsid w:val="009B127C"/>
    <w:rsid w:val="009B2912"/>
    <w:rsid w:val="009B3743"/>
    <w:rsid w:val="009B3B56"/>
    <w:rsid w:val="009B50D1"/>
    <w:rsid w:val="009B5355"/>
    <w:rsid w:val="009B5770"/>
    <w:rsid w:val="009B7476"/>
    <w:rsid w:val="009B7A79"/>
    <w:rsid w:val="009C0337"/>
    <w:rsid w:val="009C0820"/>
    <w:rsid w:val="009C083D"/>
    <w:rsid w:val="009C1733"/>
    <w:rsid w:val="009C3064"/>
    <w:rsid w:val="009C5058"/>
    <w:rsid w:val="009C68E0"/>
    <w:rsid w:val="009C6C58"/>
    <w:rsid w:val="009C7F16"/>
    <w:rsid w:val="009D1552"/>
    <w:rsid w:val="009D4785"/>
    <w:rsid w:val="009D5D09"/>
    <w:rsid w:val="009D5DEE"/>
    <w:rsid w:val="009D76D0"/>
    <w:rsid w:val="009D7C2D"/>
    <w:rsid w:val="009E18B2"/>
    <w:rsid w:val="009E2479"/>
    <w:rsid w:val="009E2AD7"/>
    <w:rsid w:val="009E4E4D"/>
    <w:rsid w:val="009E6C67"/>
    <w:rsid w:val="009E7B8C"/>
    <w:rsid w:val="009F148A"/>
    <w:rsid w:val="009F3153"/>
    <w:rsid w:val="009F409D"/>
    <w:rsid w:val="009F5216"/>
    <w:rsid w:val="009F5EF4"/>
    <w:rsid w:val="009F61DA"/>
    <w:rsid w:val="009F7235"/>
    <w:rsid w:val="009F73AE"/>
    <w:rsid w:val="009F7732"/>
    <w:rsid w:val="009F7C70"/>
    <w:rsid w:val="00A00CF1"/>
    <w:rsid w:val="00A0227F"/>
    <w:rsid w:val="00A036DD"/>
    <w:rsid w:val="00A07B0C"/>
    <w:rsid w:val="00A110AC"/>
    <w:rsid w:val="00A11E7C"/>
    <w:rsid w:val="00A12605"/>
    <w:rsid w:val="00A140AD"/>
    <w:rsid w:val="00A151A7"/>
    <w:rsid w:val="00A15E98"/>
    <w:rsid w:val="00A206D1"/>
    <w:rsid w:val="00A21E6D"/>
    <w:rsid w:val="00A22099"/>
    <w:rsid w:val="00A22BD7"/>
    <w:rsid w:val="00A237A7"/>
    <w:rsid w:val="00A23EF3"/>
    <w:rsid w:val="00A24B55"/>
    <w:rsid w:val="00A2646F"/>
    <w:rsid w:val="00A319B3"/>
    <w:rsid w:val="00A32A9D"/>
    <w:rsid w:val="00A34178"/>
    <w:rsid w:val="00A3637B"/>
    <w:rsid w:val="00A375DC"/>
    <w:rsid w:val="00A426DC"/>
    <w:rsid w:val="00A44877"/>
    <w:rsid w:val="00A45F39"/>
    <w:rsid w:val="00A462BC"/>
    <w:rsid w:val="00A4631B"/>
    <w:rsid w:val="00A50EFB"/>
    <w:rsid w:val="00A51A73"/>
    <w:rsid w:val="00A52F9F"/>
    <w:rsid w:val="00A54228"/>
    <w:rsid w:val="00A55D07"/>
    <w:rsid w:val="00A562AD"/>
    <w:rsid w:val="00A56E56"/>
    <w:rsid w:val="00A60196"/>
    <w:rsid w:val="00A612AA"/>
    <w:rsid w:val="00A61364"/>
    <w:rsid w:val="00A636A1"/>
    <w:rsid w:val="00A639FD"/>
    <w:rsid w:val="00A6645F"/>
    <w:rsid w:val="00A70ED9"/>
    <w:rsid w:val="00A72600"/>
    <w:rsid w:val="00A72F7A"/>
    <w:rsid w:val="00A73A1C"/>
    <w:rsid w:val="00A74371"/>
    <w:rsid w:val="00A744F7"/>
    <w:rsid w:val="00A74668"/>
    <w:rsid w:val="00A77F7B"/>
    <w:rsid w:val="00A83A04"/>
    <w:rsid w:val="00A840E5"/>
    <w:rsid w:val="00A84264"/>
    <w:rsid w:val="00A860FB"/>
    <w:rsid w:val="00A87C40"/>
    <w:rsid w:val="00A90944"/>
    <w:rsid w:val="00A91DA5"/>
    <w:rsid w:val="00A91F96"/>
    <w:rsid w:val="00A93A72"/>
    <w:rsid w:val="00A95014"/>
    <w:rsid w:val="00A963E0"/>
    <w:rsid w:val="00A96C3C"/>
    <w:rsid w:val="00A973F3"/>
    <w:rsid w:val="00A97448"/>
    <w:rsid w:val="00A978EA"/>
    <w:rsid w:val="00AA2A17"/>
    <w:rsid w:val="00AA34D8"/>
    <w:rsid w:val="00AA3730"/>
    <w:rsid w:val="00AA3C57"/>
    <w:rsid w:val="00AA4723"/>
    <w:rsid w:val="00AA4C25"/>
    <w:rsid w:val="00AB1375"/>
    <w:rsid w:val="00AB1653"/>
    <w:rsid w:val="00AB219F"/>
    <w:rsid w:val="00AB2375"/>
    <w:rsid w:val="00AB279E"/>
    <w:rsid w:val="00AB4031"/>
    <w:rsid w:val="00AB45EF"/>
    <w:rsid w:val="00AB71DB"/>
    <w:rsid w:val="00AB7BA7"/>
    <w:rsid w:val="00AB7C70"/>
    <w:rsid w:val="00AC09DB"/>
    <w:rsid w:val="00AC1221"/>
    <w:rsid w:val="00AC1DE9"/>
    <w:rsid w:val="00AC27E4"/>
    <w:rsid w:val="00AC4B09"/>
    <w:rsid w:val="00AC59E5"/>
    <w:rsid w:val="00AC61B2"/>
    <w:rsid w:val="00AC6455"/>
    <w:rsid w:val="00AC771B"/>
    <w:rsid w:val="00AC78DE"/>
    <w:rsid w:val="00AC7CFB"/>
    <w:rsid w:val="00AD0C73"/>
    <w:rsid w:val="00AD27DA"/>
    <w:rsid w:val="00AD4F7E"/>
    <w:rsid w:val="00AD63A1"/>
    <w:rsid w:val="00AD719E"/>
    <w:rsid w:val="00AD7395"/>
    <w:rsid w:val="00AD75CA"/>
    <w:rsid w:val="00AD7D5F"/>
    <w:rsid w:val="00AE0519"/>
    <w:rsid w:val="00AE0EE4"/>
    <w:rsid w:val="00AE1DCA"/>
    <w:rsid w:val="00AE2A72"/>
    <w:rsid w:val="00AE4B85"/>
    <w:rsid w:val="00AE61ED"/>
    <w:rsid w:val="00AF0B51"/>
    <w:rsid w:val="00AF2833"/>
    <w:rsid w:val="00AF38C1"/>
    <w:rsid w:val="00AF59CC"/>
    <w:rsid w:val="00AF5D9D"/>
    <w:rsid w:val="00AF6A5E"/>
    <w:rsid w:val="00AF7E6F"/>
    <w:rsid w:val="00B03408"/>
    <w:rsid w:val="00B04BAD"/>
    <w:rsid w:val="00B0528C"/>
    <w:rsid w:val="00B05DFF"/>
    <w:rsid w:val="00B06650"/>
    <w:rsid w:val="00B0686D"/>
    <w:rsid w:val="00B06B2E"/>
    <w:rsid w:val="00B106E8"/>
    <w:rsid w:val="00B10776"/>
    <w:rsid w:val="00B139F0"/>
    <w:rsid w:val="00B15010"/>
    <w:rsid w:val="00B1707E"/>
    <w:rsid w:val="00B21DA8"/>
    <w:rsid w:val="00B22C49"/>
    <w:rsid w:val="00B256F0"/>
    <w:rsid w:val="00B26940"/>
    <w:rsid w:val="00B2732F"/>
    <w:rsid w:val="00B27831"/>
    <w:rsid w:val="00B27C08"/>
    <w:rsid w:val="00B30C57"/>
    <w:rsid w:val="00B31531"/>
    <w:rsid w:val="00B31D8F"/>
    <w:rsid w:val="00B31F2D"/>
    <w:rsid w:val="00B3255C"/>
    <w:rsid w:val="00B32FCD"/>
    <w:rsid w:val="00B35A21"/>
    <w:rsid w:val="00B36A48"/>
    <w:rsid w:val="00B36DFD"/>
    <w:rsid w:val="00B37D0F"/>
    <w:rsid w:val="00B41C2B"/>
    <w:rsid w:val="00B42A65"/>
    <w:rsid w:val="00B42FC8"/>
    <w:rsid w:val="00B472B6"/>
    <w:rsid w:val="00B47DA5"/>
    <w:rsid w:val="00B501A2"/>
    <w:rsid w:val="00B513B2"/>
    <w:rsid w:val="00B51786"/>
    <w:rsid w:val="00B51A45"/>
    <w:rsid w:val="00B522F3"/>
    <w:rsid w:val="00B54F35"/>
    <w:rsid w:val="00B555D3"/>
    <w:rsid w:val="00B57707"/>
    <w:rsid w:val="00B6086B"/>
    <w:rsid w:val="00B61870"/>
    <w:rsid w:val="00B62A06"/>
    <w:rsid w:val="00B63CBE"/>
    <w:rsid w:val="00B652C0"/>
    <w:rsid w:val="00B656C7"/>
    <w:rsid w:val="00B657D2"/>
    <w:rsid w:val="00B65B77"/>
    <w:rsid w:val="00B70A72"/>
    <w:rsid w:val="00B71E0C"/>
    <w:rsid w:val="00B73036"/>
    <w:rsid w:val="00B764E3"/>
    <w:rsid w:val="00B76782"/>
    <w:rsid w:val="00B773AA"/>
    <w:rsid w:val="00B801C2"/>
    <w:rsid w:val="00B81F79"/>
    <w:rsid w:val="00B845B7"/>
    <w:rsid w:val="00B84916"/>
    <w:rsid w:val="00B8508A"/>
    <w:rsid w:val="00B913C0"/>
    <w:rsid w:val="00B9288F"/>
    <w:rsid w:val="00B9422A"/>
    <w:rsid w:val="00B9466C"/>
    <w:rsid w:val="00B94D9A"/>
    <w:rsid w:val="00B96BBA"/>
    <w:rsid w:val="00B9723F"/>
    <w:rsid w:val="00BA00F5"/>
    <w:rsid w:val="00BA0CFE"/>
    <w:rsid w:val="00BA2C82"/>
    <w:rsid w:val="00BA3BD8"/>
    <w:rsid w:val="00BA3F56"/>
    <w:rsid w:val="00BA77D3"/>
    <w:rsid w:val="00BB0887"/>
    <w:rsid w:val="00BB2601"/>
    <w:rsid w:val="00BB2C5B"/>
    <w:rsid w:val="00BB3205"/>
    <w:rsid w:val="00BB5950"/>
    <w:rsid w:val="00BC34D7"/>
    <w:rsid w:val="00BC6267"/>
    <w:rsid w:val="00BD0BC7"/>
    <w:rsid w:val="00BD22B5"/>
    <w:rsid w:val="00BD346A"/>
    <w:rsid w:val="00BD3810"/>
    <w:rsid w:val="00BD472E"/>
    <w:rsid w:val="00BD79B7"/>
    <w:rsid w:val="00BE012C"/>
    <w:rsid w:val="00BE0377"/>
    <w:rsid w:val="00BE2A78"/>
    <w:rsid w:val="00BE549D"/>
    <w:rsid w:val="00BE5D4B"/>
    <w:rsid w:val="00BE670C"/>
    <w:rsid w:val="00BF001F"/>
    <w:rsid w:val="00BF112B"/>
    <w:rsid w:val="00BF1BFA"/>
    <w:rsid w:val="00BF1E41"/>
    <w:rsid w:val="00BF2270"/>
    <w:rsid w:val="00BF5C39"/>
    <w:rsid w:val="00BF6F27"/>
    <w:rsid w:val="00BF73B2"/>
    <w:rsid w:val="00BF7F6D"/>
    <w:rsid w:val="00C01A03"/>
    <w:rsid w:val="00C02455"/>
    <w:rsid w:val="00C036D8"/>
    <w:rsid w:val="00C0559C"/>
    <w:rsid w:val="00C06E46"/>
    <w:rsid w:val="00C106B5"/>
    <w:rsid w:val="00C11B5C"/>
    <w:rsid w:val="00C16645"/>
    <w:rsid w:val="00C1704F"/>
    <w:rsid w:val="00C20AAC"/>
    <w:rsid w:val="00C20C88"/>
    <w:rsid w:val="00C231EF"/>
    <w:rsid w:val="00C2422D"/>
    <w:rsid w:val="00C2640B"/>
    <w:rsid w:val="00C265F8"/>
    <w:rsid w:val="00C27EBF"/>
    <w:rsid w:val="00C27ED3"/>
    <w:rsid w:val="00C3021E"/>
    <w:rsid w:val="00C31A65"/>
    <w:rsid w:val="00C32097"/>
    <w:rsid w:val="00C328C1"/>
    <w:rsid w:val="00C32EC7"/>
    <w:rsid w:val="00C36647"/>
    <w:rsid w:val="00C3721E"/>
    <w:rsid w:val="00C40205"/>
    <w:rsid w:val="00C41E2C"/>
    <w:rsid w:val="00C428B5"/>
    <w:rsid w:val="00C4449E"/>
    <w:rsid w:val="00C459A8"/>
    <w:rsid w:val="00C466A9"/>
    <w:rsid w:val="00C4684A"/>
    <w:rsid w:val="00C46C59"/>
    <w:rsid w:val="00C47646"/>
    <w:rsid w:val="00C47DA3"/>
    <w:rsid w:val="00C503FC"/>
    <w:rsid w:val="00C520B3"/>
    <w:rsid w:val="00C527AE"/>
    <w:rsid w:val="00C54C00"/>
    <w:rsid w:val="00C55F0F"/>
    <w:rsid w:val="00C60819"/>
    <w:rsid w:val="00C60ADD"/>
    <w:rsid w:val="00C60C01"/>
    <w:rsid w:val="00C60CD1"/>
    <w:rsid w:val="00C61036"/>
    <w:rsid w:val="00C6220E"/>
    <w:rsid w:val="00C6680C"/>
    <w:rsid w:val="00C67178"/>
    <w:rsid w:val="00C70FE2"/>
    <w:rsid w:val="00C7385D"/>
    <w:rsid w:val="00C74A03"/>
    <w:rsid w:val="00C7501D"/>
    <w:rsid w:val="00C76827"/>
    <w:rsid w:val="00C7736C"/>
    <w:rsid w:val="00C8039B"/>
    <w:rsid w:val="00C80AA6"/>
    <w:rsid w:val="00C818D0"/>
    <w:rsid w:val="00C82625"/>
    <w:rsid w:val="00C84777"/>
    <w:rsid w:val="00C84934"/>
    <w:rsid w:val="00C85124"/>
    <w:rsid w:val="00C854AF"/>
    <w:rsid w:val="00C85B2D"/>
    <w:rsid w:val="00C85EF9"/>
    <w:rsid w:val="00C877E4"/>
    <w:rsid w:val="00C87AF5"/>
    <w:rsid w:val="00C87B7A"/>
    <w:rsid w:val="00C90F68"/>
    <w:rsid w:val="00C929FD"/>
    <w:rsid w:val="00C94BA1"/>
    <w:rsid w:val="00C94E2D"/>
    <w:rsid w:val="00C9536C"/>
    <w:rsid w:val="00C953F9"/>
    <w:rsid w:val="00C95417"/>
    <w:rsid w:val="00C97CAD"/>
    <w:rsid w:val="00CA00AD"/>
    <w:rsid w:val="00CA3A2E"/>
    <w:rsid w:val="00CA7F5A"/>
    <w:rsid w:val="00CB166A"/>
    <w:rsid w:val="00CB2D9D"/>
    <w:rsid w:val="00CB45B5"/>
    <w:rsid w:val="00CB5F36"/>
    <w:rsid w:val="00CB603C"/>
    <w:rsid w:val="00CC36F2"/>
    <w:rsid w:val="00CC3710"/>
    <w:rsid w:val="00CC43C1"/>
    <w:rsid w:val="00CC47BA"/>
    <w:rsid w:val="00CC62D5"/>
    <w:rsid w:val="00CC62E0"/>
    <w:rsid w:val="00CC6601"/>
    <w:rsid w:val="00CD052C"/>
    <w:rsid w:val="00CD08D6"/>
    <w:rsid w:val="00CD158E"/>
    <w:rsid w:val="00CD1F21"/>
    <w:rsid w:val="00CD2D5F"/>
    <w:rsid w:val="00CD543E"/>
    <w:rsid w:val="00CD69AF"/>
    <w:rsid w:val="00CD7486"/>
    <w:rsid w:val="00CD75F0"/>
    <w:rsid w:val="00CD7CC7"/>
    <w:rsid w:val="00CE0DFC"/>
    <w:rsid w:val="00CE1FFB"/>
    <w:rsid w:val="00CE4A53"/>
    <w:rsid w:val="00CE6590"/>
    <w:rsid w:val="00CE7919"/>
    <w:rsid w:val="00CF2B8B"/>
    <w:rsid w:val="00CF3422"/>
    <w:rsid w:val="00CF4825"/>
    <w:rsid w:val="00CF48AE"/>
    <w:rsid w:val="00CF51C4"/>
    <w:rsid w:val="00CF5DFE"/>
    <w:rsid w:val="00CF604A"/>
    <w:rsid w:val="00CF680B"/>
    <w:rsid w:val="00CF779D"/>
    <w:rsid w:val="00CF7830"/>
    <w:rsid w:val="00CF789C"/>
    <w:rsid w:val="00D00113"/>
    <w:rsid w:val="00D024AD"/>
    <w:rsid w:val="00D03ABB"/>
    <w:rsid w:val="00D04A67"/>
    <w:rsid w:val="00D10123"/>
    <w:rsid w:val="00D1066D"/>
    <w:rsid w:val="00D10AA4"/>
    <w:rsid w:val="00D143CD"/>
    <w:rsid w:val="00D1449E"/>
    <w:rsid w:val="00D14904"/>
    <w:rsid w:val="00D153CC"/>
    <w:rsid w:val="00D157E6"/>
    <w:rsid w:val="00D1725B"/>
    <w:rsid w:val="00D20440"/>
    <w:rsid w:val="00D21104"/>
    <w:rsid w:val="00D22243"/>
    <w:rsid w:val="00D24868"/>
    <w:rsid w:val="00D2662F"/>
    <w:rsid w:val="00D27484"/>
    <w:rsid w:val="00D27A2F"/>
    <w:rsid w:val="00D3134C"/>
    <w:rsid w:val="00D32E89"/>
    <w:rsid w:val="00D35935"/>
    <w:rsid w:val="00D35F84"/>
    <w:rsid w:val="00D36CC5"/>
    <w:rsid w:val="00D418BF"/>
    <w:rsid w:val="00D422C5"/>
    <w:rsid w:val="00D425A7"/>
    <w:rsid w:val="00D4430E"/>
    <w:rsid w:val="00D460C6"/>
    <w:rsid w:val="00D466E8"/>
    <w:rsid w:val="00D5153F"/>
    <w:rsid w:val="00D53157"/>
    <w:rsid w:val="00D57EAB"/>
    <w:rsid w:val="00D603D5"/>
    <w:rsid w:val="00D60BBB"/>
    <w:rsid w:val="00D61295"/>
    <w:rsid w:val="00D64C1C"/>
    <w:rsid w:val="00D66C67"/>
    <w:rsid w:val="00D76840"/>
    <w:rsid w:val="00D802EC"/>
    <w:rsid w:val="00D822B7"/>
    <w:rsid w:val="00D8342E"/>
    <w:rsid w:val="00D863C4"/>
    <w:rsid w:val="00D865D1"/>
    <w:rsid w:val="00D86C28"/>
    <w:rsid w:val="00D87320"/>
    <w:rsid w:val="00D90758"/>
    <w:rsid w:val="00D91711"/>
    <w:rsid w:val="00D9245E"/>
    <w:rsid w:val="00D9258D"/>
    <w:rsid w:val="00D9292B"/>
    <w:rsid w:val="00D92B72"/>
    <w:rsid w:val="00D935B7"/>
    <w:rsid w:val="00D93968"/>
    <w:rsid w:val="00D93EC5"/>
    <w:rsid w:val="00D952D8"/>
    <w:rsid w:val="00D968F5"/>
    <w:rsid w:val="00D975FB"/>
    <w:rsid w:val="00D97AA3"/>
    <w:rsid w:val="00DA10F8"/>
    <w:rsid w:val="00DA2025"/>
    <w:rsid w:val="00DA41A7"/>
    <w:rsid w:val="00DA4D8B"/>
    <w:rsid w:val="00DA6018"/>
    <w:rsid w:val="00DA78A5"/>
    <w:rsid w:val="00DB0139"/>
    <w:rsid w:val="00DB07B6"/>
    <w:rsid w:val="00DB22B5"/>
    <w:rsid w:val="00DB268E"/>
    <w:rsid w:val="00DB39D1"/>
    <w:rsid w:val="00DB3EFE"/>
    <w:rsid w:val="00DB4BBC"/>
    <w:rsid w:val="00DB5331"/>
    <w:rsid w:val="00DB5F3E"/>
    <w:rsid w:val="00DB6446"/>
    <w:rsid w:val="00DB716E"/>
    <w:rsid w:val="00DB758B"/>
    <w:rsid w:val="00DC396D"/>
    <w:rsid w:val="00DC4486"/>
    <w:rsid w:val="00DC48AA"/>
    <w:rsid w:val="00DC4F5D"/>
    <w:rsid w:val="00DC58B0"/>
    <w:rsid w:val="00DC5B80"/>
    <w:rsid w:val="00DC71BD"/>
    <w:rsid w:val="00DC7A2F"/>
    <w:rsid w:val="00DC7DFF"/>
    <w:rsid w:val="00DD0565"/>
    <w:rsid w:val="00DD0E18"/>
    <w:rsid w:val="00DD1142"/>
    <w:rsid w:val="00DD16C5"/>
    <w:rsid w:val="00DD1B22"/>
    <w:rsid w:val="00DD4074"/>
    <w:rsid w:val="00DD5032"/>
    <w:rsid w:val="00DD64AC"/>
    <w:rsid w:val="00DD6EF5"/>
    <w:rsid w:val="00DD7C2D"/>
    <w:rsid w:val="00DD7D56"/>
    <w:rsid w:val="00DE19FD"/>
    <w:rsid w:val="00DE1A68"/>
    <w:rsid w:val="00DE4571"/>
    <w:rsid w:val="00DE74E2"/>
    <w:rsid w:val="00DF0FD3"/>
    <w:rsid w:val="00DF26AE"/>
    <w:rsid w:val="00DF3C4A"/>
    <w:rsid w:val="00DF6090"/>
    <w:rsid w:val="00DF7106"/>
    <w:rsid w:val="00E011AC"/>
    <w:rsid w:val="00E01BC7"/>
    <w:rsid w:val="00E02DD5"/>
    <w:rsid w:val="00E0340D"/>
    <w:rsid w:val="00E04825"/>
    <w:rsid w:val="00E04D40"/>
    <w:rsid w:val="00E05A6F"/>
    <w:rsid w:val="00E05C86"/>
    <w:rsid w:val="00E07359"/>
    <w:rsid w:val="00E101C1"/>
    <w:rsid w:val="00E10259"/>
    <w:rsid w:val="00E10A51"/>
    <w:rsid w:val="00E12FCF"/>
    <w:rsid w:val="00E13828"/>
    <w:rsid w:val="00E15DDF"/>
    <w:rsid w:val="00E17D52"/>
    <w:rsid w:val="00E2120F"/>
    <w:rsid w:val="00E215D0"/>
    <w:rsid w:val="00E21BF9"/>
    <w:rsid w:val="00E23223"/>
    <w:rsid w:val="00E24AB3"/>
    <w:rsid w:val="00E24D80"/>
    <w:rsid w:val="00E2640B"/>
    <w:rsid w:val="00E30119"/>
    <w:rsid w:val="00E31F01"/>
    <w:rsid w:val="00E32053"/>
    <w:rsid w:val="00E32CE3"/>
    <w:rsid w:val="00E352B7"/>
    <w:rsid w:val="00E40070"/>
    <w:rsid w:val="00E42140"/>
    <w:rsid w:val="00E4265E"/>
    <w:rsid w:val="00E42781"/>
    <w:rsid w:val="00E4383D"/>
    <w:rsid w:val="00E44A3E"/>
    <w:rsid w:val="00E44B35"/>
    <w:rsid w:val="00E44E71"/>
    <w:rsid w:val="00E44F8B"/>
    <w:rsid w:val="00E450C0"/>
    <w:rsid w:val="00E46E96"/>
    <w:rsid w:val="00E514FC"/>
    <w:rsid w:val="00E517FD"/>
    <w:rsid w:val="00E51E27"/>
    <w:rsid w:val="00E52EAE"/>
    <w:rsid w:val="00E539D7"/>
    <w:rsid w:val="00E56C21"/>
    <w:rsid w:val="00E57EF5"/>
    <w:rsid w:val="00E605FF"/>
    <w:rsid w:val="00E61810"/>
    <w:rsid w:val="00E62AB8"/>
    <w:rsid w:val="00E6348E"/>
    <w:rsid w:val="00E63702"/>
    <w:rsid w:val="00E64DB8"/>
    <w:rsid w:val="00E64DD1"/>
    <w:rsid w:val="00E64F84"/>
    <w:rsid w:val="00E654DB"/>
    <w:rsid w:val="00E70599"/>
    <w:rsid w:val="00E706C9"/>
    <w:rsid w:val="00E70B8A"/>
    <w:rsid w:val="00E71812"/>
    <w:rsid w:val="00E72070"/>
    <w:rsid w:val="00E73A6F"/>
    <w:rsid w:val="00E74680"/>
    <w:rsid w:val="00E74BEC"/>
    <w:rsid w:val="00E7527F"/>
    <w:rsid w:val="00E76969"/>
    <w:rsid w:val="00E80077"/>
    <w:rsid w:val="00E80566"/>
    <w:rsid w:val="00E8089D"/>
    <w:rsid w:val="00E80A05"/>
    <w:rsid w:val="00E825F5"/>
    <w:rsid w:val="00E8302C"/>
    <w:rsid w:val="00E8593F"/>
    <w:rsid w:val="00E85C28"/>
    <w:rsid w:val="00E860BE"/>
    <w:rsid w:val="00E8645C"/>
    <w:rsid w:val="00E865CB"/>
    <w:rsid w:val="00E876F6"/>
    <w:rsid w:val="00E87D89"/>
    <w:rsid w:val="00E91172"/>
    <w:rsid w:val="00E9151B"/>
    <w:rsid w:val="00E95520"/>
    <w:rsid w:val="00E961A6"/>
    <w:rsid w:val="00E9658B"/>
    <w:rsid w:val="00E96AA1"/>
    <w:rsid w:val="00E96DCE"/>
    <w:rsid w:val="00EA15D7"/>
    <w:rsid w:val="00EA221C"/>
    <w:rsid w:val="00EA2AA2"/>
    <w:rsid w:val="00EA2C93"/>
    <w:rsid w:val="00EA3280"/>
    <w:rsid w:val="00EA3465"/>
    <w:rsid w:val="00EA4928"/>
    <w:rsid w:val="00EA4A1C"/>
    <w:rsid w:val="00EA573D"/>
    <w:rsid w:val="00EB2B42"/>
    <w:rsid w:val="00EB741E"/>
    <w:rsid w:val="00EC214E"/>
    <w:rsid w:val="00EC2422"/>
    <w:rsid w:val="00EC32A7"/>
    <w:rsid w:val="00EC3AE0"/>
    <w:rsid w:val="00EC451F"/>
    <w:rsid w:val="00EC492E"/>
    <w:rsid w:val="00EC53C6"/>
    <w:rsid w:val="00ED0848"/>
    <w:rsid w:val="00ED15C3"/>
    <w:rsid w:val="00ED3B01"/>
    <w:rsid w:val="00ED4E19"/>
    <w:rsid w:val="00ED4EB3"/>
    <w:rsid w:val="00EE31B9"/>
    <w:rsid w:val="00EE79A5"/>
    <w:rsid w:val="00EF0B06"/>
    <w:rsid w:val="00EF1480"/>
    <w:rsid w:val="00EF3DF0"/>
    <w:rsid w:val="00EF4B4D"/>
    <w:rsid w:val="00EF5031"/>
    <w:rsid w:val="00EF7A69"/>
    <w:rsid w:val="00F0048B"/>
    <w:rsid w:val="00F01854"/>
    <w:rsid w:val="00F038FA"/>
    <w:rsid w:val="00F04BF2"/>
    <w:rsid w:val="00F06ECB"/>
    <w:rsid w:val="00F07840"/>
    <w:rsid w:val="00F07E9B"/>
    <w:rsid w:val="00F1032D"/>
    <w:rsid w:val="00F11243"/>
    <w:rsid w:val="00F13C18"/>
    <w:rsid w:val="00F14012"/>
    <w:rsid w:val="00F154AB"/>
    <w:rsid w:val="00F17570"/>
    <w:rsid w:val="00F179C7"/>
    <w:rsid w:val="00F20D11"/>
    <w:rsid w:val="00F231A5"/>
    <w:rsid w:val="00F23D1D"/>
    <w:rsid w:val="00F241B6"/>
    <w:rsid w:val="00F24F14"/>
    <w:rsid w:val="00F25644"/>
    <w:rsid w:val="00F277F0"/>
    <w:rsid w:val="00F27DF9"/>
    <w:rsid w:val="00F31898"/>
    <w:rsid w:val="00F31CCA"/>
    <w:rsid w:val="00F34F9F"/>
    <w:rsid w:val="00F37481"/>
    <w:rsid w:val="00F4217A"/>
    <w:rsid w:val="00F46756"/>
    <w:rsid w:val="00F52E07"/>
    <w:rsid w:val="00F532E8"/>
    <w:rsid w:val="00F539A7"/>
    <w:rsid w:val="00F54E19"/>
    <w:rsid w:val="00F54F76"/>
    <w:rsid w:val="00F5517C"/>
    <w:rsid w:val="00F56D1E"/>
    <w:rsid w:val="00F56EFE"/>
    <w:rsid w:val="00F571FF"/>
    <w:rsid w:val="00F57259"/>
    <w:rsid w:val="00F5771A"/>
    <w:rsid w:val="00F64A73"/>
    <w:rsid w:val="00F64DB3"/>
    <w:rsid w:val="00F6527F"/>
    <w:rsid w:val="00F660FF"/>
    <w:rsid w:val="00F7101D"/>
    <w:rsid w:val="00F71A97"/>
    <w:rsid w:val="00F722A8"/>
    <w:rsid w:val="00F73072"/>
    <w:rsid w:val="00F7311B"/>
    <w:rsid w:val="00F75811"/>
    <w:rsid w:val="00F77A0E"/>
    <w:rsid w:val="00F80566"/>
    <w:rsid w:val="00F807DD"/>
    <w:rsid w:val="00F82C21"/>
    <w:rsid w:val="00F91283"/>
    <w:rsid w:val="00F916BB"/>
    <w:rsid w:val="00F92CE0"/>
    <w:rsid w:val="00F93CAD"/>
    <w:rsid w:val="00F96F28"/>
    <w:rsid w:val="00F97019"/>
    <w:rsid w:val="00F97A9D"/>
    <w:rsid w:val="00FA2581"/>
    <w:rsid w:val="00FA3616"/>
    <w:rsid w:val="00FA5B5E"/>
    <w:rsid w:val="00FB0B90"/>
    <w:rsid w:val="00FB3277"/>
    <w:rsid w:val="00FB6152"/>
    <w:rsid w:val="00FB7182"/>
    <w:rsid w:val="00FB7A3D"/>
    <w:rsid w:val="00FC0493"/>
    <w:rsid w:val="00FC09B0"/>
    <w:rsid w:val="00FC1796"/>
    <w:rsid w:val="00FC1963"/>
    <w:rsid w:val="00FC2043"/>
    <w:rsid w:val="00FC25B7"/>
    <w:rsid w:val="00FC2642"/>
    <w:rsid w:val="00FC368E"/>
    <w:rsid w:val="00FC36A1"/>
    <w:rsid w:val="00FC3D0D"/>
    <w:rsid w:val="00FC4274"/>
    <w:rsid w:val="00FC5515"/>
    <w:rsid w:val="00FC5602"/>
    <w:rsid w:val="00FC5C0F"/>
    <w:rsid w:val="00FC70C9"/>
    <w:rsid w:val="00FC7C57"/>
    <w:rsid w:val="00FD019A"/>
    <w:rsid w:val="00FD06D6"/>
    <w:rsid w:val="00FD0B3E"/>
    <w:rsid w:val="00FD2769"/>
    <w:rsid w:val="00FD2DA7"/>
    <w:rsid w:val="00FD4016"/>
    <w:rsid w:val="00FD428F"/>
    <w:rsid w:val="00FE1990"/>
    <w:rsid w:val="00FE2899"/>
    <w:rsid w:val="00FE299E"/>
    <w:rsid w:val="00FE3D71"/>
    <w:rsid w:val="00FE5925"/>
    <w:rsid w:val="00FE6887"/>
    <w:rsid w:val="00FE69EE"/>
    <w:rsid w:val="00FF0A6A"/>
    <w:rsid w:val="00FF0E23"/>
    <w:rsid w:val="00FF1B83"/>
    <w:rsid w:val="00FF1D40"/>
    <w:rsid w:val="00FF293D"/>
    <w:rsid w:val="00FF475C"/>
    <w:rsid w:val="00FF7960"/>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36865"/>
    <o:shapelayout v:ext="edit">
      <o:idmap v:ext="edit" data="1"/>
    </o:shapelayout>
  </w:shapeDefaults>
  <w:decimalSymbol w:val=","/>
  <w:listSeparator w:val=";"/>
  <w14:docId w14:val="03505F2F"/>
  <w15:docId w15:val="{DD31AEEB-72AE-4740-A490-EC7CC8ACFDF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nhideWhenUsed="1" w:qFormat="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qFormat="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iPriority="0" w:unhideWhenUsed="1"/>
    <w:lsdException w:name="List Number" w:semiHidden="1" w:uiPriority="0" w:unhideWhenUsed="1"/>
    <w:lsdException w:name="List 2" w:semiHidden="1" w:uiPriority="0"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iPriority="0"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iPriority="0" w:unhideWhenUsed="1"/>
    <w:lsdException w:name="List Continue 2" w:semiHidden="1" w:unhideWhenUsed="1"/>
    <w:lsdException w:name="List Continue 3" w:semiHidden="1" w:unhideWhenUsed="1"/>
    <w:lsdException w:name="List Continue 4" w:semiHidden="1" w:uiPriority="0" w:unhideWhenUsed="1"/>
    <w:lsdException w:name="List Continue 5" w:semiHidden="1" w:unhideWhenUsed="1"/>
    <w:lsdException w:name="Message Header" w:semiHidden="1" w:uiPriority="0" w:unhideWhenUsed="1"/>
    <w:lsdException w:name="Subtitle" w:uiPriority="0" w:qFormat="1"/>
    <w:lsdException w:name="Salutation" w:semiHidden="1" w:uiPriority="0"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iPriority="0"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iPriority="0"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3">
    <w:name w:val="Normal"/>
    <w:qFormat/>
    <w:rsid w:val="00771513"/>
    <w:pPr>
      <w:spacing w:after="0" w:line="240" w:lineRule="auto"/>
      <w:ind w:firstLine="425"/>
      <w:jc w:val="both"/>
    </w:pPr>
    <w:rPr>
      <w:rFonts w:ascii="Times New Roman" w:hAnsi="Times New Roman"/>
      <w:sz w:val="24"/>
    </w:rPr>
  </w:style>
  <w:style w:type="paragraph" w:styleId="10">
    <w:name w:val="heading 1"/>
    <w:aliases w:val="Head 1,????????? 1,главы,Заголовок 1 Знак1 Знак1,Заголовок 1 Знак Знак Знак,Заголовок 1 Знак1 Знак Знак Знак,Заголовок 1 Знак Знак1 Знак Знак Знак1,Заголовок 1 Знак Знак1 Знак Знак Знак Знак Знак,?????????,Main heading"/>
    <w:basedOn w:val="a3"/>
    <w:next w:val="a3"/>
    <w:link w:val="14"/>
    <w:autoRedefine/>
    <w:uiPriority w:val="9"/>
    <w:qFormat/>
    <w:rsid w:val="00FD2769"/>
    <w:pPr>
      <w:keepNext/>
      <w:keepLines/>
      <w:numPr>
        <w:numId w:val="100"/>
      </w:numPr>
      <w:spacing w:before="240"/>
      <w:jc w:val="center"/>
      <w:outlineLvl w:val="0"/>
    </w:pPr>
    <w:rPr>
      <w:rFonts w:eastAsia="Calibri" w:cs="Times New Roman"/>
      <w:b/>
      <w:szCs w:val="32"/>
    </w:rPr>
  </w:style>
  <w:style w:type="paragraph" w:styleId="2">
    <w:name w:val="heading 2"/>
    <w:aliases w:val="cko-Заголовок 2,Стиль 1,Заголовок 2 Знак1,Заголовок 2 Знак Знак,Заголовок 2 Знак2,Заголовок 2 Знак Знак1,Заголовок 2 Знак1 Знак Знак,Заголовок 2 Знак Знак Знак Знак,Стиль 1 Знак Знак,Заголовок 2 Знак1 Знак1,Заголовок 2 Знак Знак Знак1,заг 2"/>
    <w:basedOn w:val="a3"/>
    <w:next w:val="a3"/>
    <w:link w:val="20"/>
    <w:autoRedefine/>
    <w:uiPriority w:val="9"/>
    <w:unhideWhenUsed/>
    <w:qFormat/>
    <w:rsid w:val="00827FEB"/>
    <w:pPr>
      <w:keepNext/>
      <w:keepLines/>
      <w:spacing w:before="40"/>
      <w:ind w:left="709" w:firstLine="0"/>
      <w:outlineLvl w:val="1"/>
    </w:pPr>
    <w:rPr>
      <w:rFonts w:eastAsia="Calibri" w:cs="Times New Roman"/>
      <w:b/>
      <w:szCs w:val="26"/>
    </w:rPr>
  </w:style>
  <w:style w:type="paragraph" w:styleId="3">
    <w:name w:val="heading 3"/>
    <w:aliases w:val="Заголовок 3 Знак1,Заголовок 3 Знак2 Знак,Заголовок 3 Знак1 Знак Знак,Заголовок 3 Знак Знак Знак Знак Знак,Заголовок 3 Знак2 Знак Знак Знак,Заголовок 3 Знак1 Знак Знак Знак Знак,Заголовок 3 Знак Знак Знак Знак Знак Знак Знак,3 см,Heading 3_en"/>
    <w:basedOn w:val="a3"/>
    <w:next w:val="a3"/>
    <w:link w:val="30"/>
    <w:autoRedefine/>
    <w:uiPriority w:val="9"/>
    <w:unhideWhenUsed/>
    <w:qFormat/>
    <w:rsid w:val="00FD2769"/>
    <w:pPr>
      <w:keepNext/>
      <w:keepLines/>
      <w:numPr>
        <w:ilvl w:val="2"/>
        <w:numId w:val="100"/>
      </w:numPr>
      <w:spacing w:before="40"/>
      <w:ind w:left="1224"/>
      <w:outlineLvl w:val="2"/>
    </w:pPr>
    <w:rPr>
      <w:rFonts w:eastAsiaTheme="majorEastAsia" w:cs="Times New Roman"/>
      <w:b/>
      <w:szCs w:val="24"/>
    </w:rPr>
  </w:style>
  <w:style w:type="paragraph" w:styleId="4">
    <w:name w:val="heading 4"/>
    <w:aliases w:val="Заг. Схем,Заг. Схемы,Заголовок 4 Знак1 Знак,Заголовок 4 Знак1,Заголовок 4 Знак Знак,Caaieiaie 4 Ciae1,Caaieiaie 4 Ciae Ciae,Caaieiaie 4 Ciae,Çàãîëîâîê 4 Çíàê1,Çàãîëîâîê 4 Çíàê Çíàê,Çàãîëîâîê 4 Çíàê,4,4 Знак,4 Знак Знак,???. ????,???. ?????"/>
    <w:basedOn w:val="a3"/>
    <w:next w:val="a3"/>
    <w:link w:val="40"/>
    <w:uiPriority w:val="9"/>
    <w:unhideWhenUsed/>
    <w:qFormat/>
    <w:rsid w:val="006F0FA5"/>
    <w:pPr>
      <w:keepNext/>
      <w:keepLines/>
      <w:spacing w:before="40"/>
      <w:outlineLvl w:val="3"/>
    </w:pPr>
    <w:rPr>
      <w:rFonts w:asciiTheme="majorHAnsi" w:eastAsiaTheme="majorEastAsia" w:hAnsiTheme="majorHAnsi" w:cstheme="majorBidi"/>
      <w:i/>
      <w:iCs/>
    </w:rPr>
  </w:style>
  <w:style w:type="paragraph" w:styleId="5">
    <w:name w:val="heading 5"/>
    <w:aliases w:val="H5 Ciae,H5 Ciae Ciae,Caaieiaie 5.H5 Ciae,H5 Знак,H5 Знак Знак,H5 Çíàê,Çàãîëîâîê 5.H5 Çíàê"/>
    <w:basedOn w:val="a3"/>
    <w:next w:val="a3"/>
    <w:link w:val="50"/>
    <w:uiPriority w:val="9"/>
    <w:qFormat/>
    <w:rsid w:val="00632918"/>
    <w:pPr>
      <w:keepNext/>
      <w:keepLines/>
      <w:spacing w:before="40" w:line="259" w:lineRule="auto"/>
      <w:ind w:left="1008" w:hanging="432"/>
      <w:jc w:val="left"/>
      <w:outlineLvl w:val="4"/>
    </w:pPr>
    <w:rPr>
      <w:rFonts w:asciiTheme="majorHAnsi" w:eastAsiaTheme="majorEastAsia" w:hAnsiTheme="majorHAnsi" w:cstheme="majorBidi"/>
      <w:color w:val="2E74B5" w:themeColor="accent1" w:themeShade="BF"/>
      <w:sz w:val="22"/>
    </w:rPr>
  </w:style>
  <w:style w:type="paragraph" w:styleId="6">
    <w:name w:val="heading 6"/>
    <w:aliases w:val="__Подпункт,Источник,H6,Caaieiaie 6 Ciae Ciae Ciae Ciae,Заголовок 6 Знак Знак Знак Знак,H6 Ciae,H6 Знак,Çàãîëîâîê 6 Çíàê Çíàê Çíàê Çíàê,Арбуз,Heading Tab Corfin,Заголовок 6 Знак2"/>
    <w:basedOn w:val="a3"/>
    <w:next w:val="a3"/>
    <w:link w:val="60"/>
    <w:uiPriority w:val="9"/>
    <w:qFormat/>
    <w:rsid w:val="00632918"/>
    <w:pPr>
      <w:keepNext/>
      <w:keepLines/>
      <w:spacing w:before="40" w:line="259" w:lineRule="auto"/>
      <w:ind w:left="1152" w:hanging="432"/>
      <w:jc w:val="left"/>
      <w:outlineLvl w:val="5"/>
    </w:pPr>
    <w:rPr>
      <w:rFonts w:asciiTheme="majorHAnsi" w:eastAsiaTheme="majorEastAsia" w:hAnsiTheme="majorHAnsi" w:cstheme="majorBidi"/>
      <w:color w:val="1F4D78" w:themeColor="accent1" w:themeShade="7F"/>
      <w:sz w:val="22"/>
    </w:rPr>
  </w:style>
  <w:style w:type="paragraph" w:styleId="7">
    <w:name w:val="heading 7"/>
    <w:aliases w:val="Заголовок 7 Знак3,Заголовок 7 Знак2 Знак,Заголовок 7 Знак3 Знак1 Знак,Заголовок 7 Знак2 Знак1 Знак Знак,Заголовок 7 Знак Знак3 Знак Знак Знак,Заголовок 7 Знак2 Знак Знак Знак Знак Знак,Заголовок 7 Знак Знак Знак Знак Знак Знак Знак"/>
    <w:basedOn w:val="a3"/>
    <w:next w:val="a3"/>
    <w:link w:val="70"/>
    <w:uiPriority w:val="9"/>
    <w:qFormat/>
    <w:rsid w:val="00632918"/>
    <w:pPr>
      <w:keepNext/>
      <w:keepLines/>
      <w:spacing w:before="40" w:line="259" w:lineRule="auto"/>
      <w:ind w:left="1296" w:hanging="288"/>
      <w:jc w:val="left"/>
      <w:outlineLvl w:val="6"/>
    </w:pPr>
    <w:rPr>
      <w:rFonts w:asciiTheme="majorHAnsi" w:eastAsiaTheme="majorEastAsia" w:hAnsiTheme="majorHAnsi" w:cstheme="majorBidi"/>
      <w:i/>
      <w:iCs/>
      <w:color w:val="1F4D78" w:themeColor="accent1" w:themeShade="7F"/>
      <w:sz w:val="22"/>
    </w:rPr>
  </w:style>
  <w:style w:type="paragraph" w:styleId="8">
    <w:name w:val="heading 8"/>
    <w:basedOn w:val="a3"/>
    <w:next w:val="a3"/>
    <w:link w:val="80"/>
    <w:uiPriority w:val="9"/>
    <w:qFormat/>
    <w:rsid w:val="00632918"/>
    <w:pPr>
      <w:keepNext/>
      <w:keepLines/>
      <w:spacing w:before="40" w:line="259" w:lineRule="auto"/>
      <w:ind w:left="1440" w:hanging="432"/>
      <w:jc w:val="left"/>
      <w:outlineLvl w:val="7"/>
    </w:pPr>
    <w:rPr>
      <w:rFonts w:asciiTheme="majorHAnsi" w:eastAsiaTheme="majorEastAsia" w:hAnsiTheme="majorHAnsi" w:cstheme="majorBidi"/>
      <w:color w:val="272727" w:themeColor="text1" w:themeTint="D8"/>
      <w:sz w:val="21"/>
      <w:szCs w:val="21"/>
    </w:rPr>
  </w:style>
  <w:style w:type="paragraph" w:styleId="9">
    <w:name w:val="heading 9"/>
    <w:aliases w:val=" Знак28,Знак28"/>
    <w:basedOn w:val="a3"/>
    <w:next w:val="a3"/>
    <w:link w:val="90"/>
    <w:uiPriority w:val="9"/>
    <w:qFormat/>
    <w:rsid w:val="00632918"/>
    <w:pPr>
      <w:keepNext/>
      <w:keepLines/>
      <w:spacing w:before="40" w:line="259" w:lineRule="auto"/>
      <w:ind w:left="1584" w:hanging="144"/>
      <w:jc w:val="left"/>
      <w:outlineLvl w:val="8"/>
    </w:pPr>
    <w:rPr>
      <w:rFonts w:asciiTheme="majorHAnsi" w:eastAsiaTheme="majorEastAsia" w:hAnsiTheme="majorHAnsi" w:cstheme="majorBidi"/>
      <w:i/>
      <w:iCs/>
      <w:color w:val="272727" w:themeColor="text1" w:themeTint="D8"/>
      <w:sz w:val="21"/>
      <w:szCs w:val="21"/>
    </w:rPr>
  </w:style>
  <w:style w:type="character" w:default="1" w:styleId="a4">
    <w:name w:val="Default Paragraph Font"/>
    <w:uiPriority w:val="1"/>
    <w:semiHidden/>
    <w:unhideWhenUsed/>
  </w:style>
  <w:style w:type="table" w:default="1" w:styleId="a5">
    <w:name w:val="Normal Table"/>
    <w:uiPriority w:val="99"/>
    <w:semiHidden/>
    <w:unhideWhenUsed/>
    <w:tblPr>
      <w:tblInd w:w="0" w:type="dxa"/>
      <w:tblCellMar>
        <w:top w:w="0" w:type="dxa"/>
        <w:left w:w="108" w:type="dxa"/>
        <w:bottom w:w="0" w:type="dxa"/>
        <w:right w:w="108" w:type="dxa"/>
      </w:tblCellMar>
    </w:tblPr>
  </w:style>
  <w:style w:type="numbering" w:default="1" w:styleId="a6">
    <w:name w:val="No List"/>
    <w:uiPriority w:val="99"/>
    <w:semiHidden/>
    <w:unhideWhenUsed/>
  </w:style>
  <w:style w:type="paragraph" w:styleId="a7">
    <w:name w:val="header"/>
    <w:aliases w:val="ВерхКолонтитул,Header Char,ÂåðõÊîëîíòèòóë,ВерхКолонтитул Знак Знак,Верхний колонтитул Знак Знак,Верхний колонтитул Знак1,Верхний колонтитул Знак Знак Знак Знак Знак Знак,Верхний колонтитул Знак2,Верхний колонтитул Знак Знак1, Знак12"/>
    <w:basedOn w:val="a3"/>
    <w:link w:val="a8"/>
    <w:uiPriority w:val="99"/>
    <w:unhideWhenUsed/>
    <w:rsid w:val="004B6DE9"/>
    <w:pPr>
      <w:tabs>
        <w:tab w:val="center" w:pos="4677"/>
        <w:tab w:val="right" w:pos="9355"/>
      </w:tabs>
    </w:pPr>
  </w:style>
  <w:style w:type="character" w:customStyle="1" w:styleId="a8">
    <w:name w:val="Верхний колонтитул Знак"/>
    <w:aliases w:val="ВерхКолонтитул Знак,Header Char Знак,ÂåðõÊîëîíòèòóë Знак,ВерхКолонтитул Знак Знак Знак,Верхний колонтитул Знак Знак Знак,Верхний колонтитул Знак1 Знак,Верхний колонтитул Знак Знак Знак Знак Знак Знак Знак, Знак12 Знак"/>
    <w:basedOn w:val="a4"/>
    <w:link w:val="a7"/>
    <w:uiPriority w:val="99"/>
    <w:rsid w:val="004B6DE9"/>
  </w:style>
  <w:style w:type="paragraph" w:styleId="a9">
    <w:name w:val="footer"/>
    <w:basedOn w:val="a3"/>
    <w:link w:val="aa"/>
    <w:unhideWhenUsed/>
    <w:rsid w:val="004B6DE9"/>
    <w:pPr>
      <w:tabs>
        <w:tab w:val="center" w:pos="4677"/>
        <w:tab w:val="right" w:pos="9355"/>
      </w:tabs>
    </w:pPr>
  </w:style>
  <w:style w:type="character" w:customStyle="1" w:styleId="aa">
    <w:name w:val="Нижний колонтитул Знак"/>
    <w:basedOn w:val="a4"/>
    <w:link w:val="a9"/>
    <w:rsid w:val="004B6DE9"/>
  </w:style>
  <w:style w:type="paragraph" w:customStyle="1" w:styleId="ConsPlusNormal">
    <w:name w:val="ConsPlusNormal"/>
    <w:rsid w:val="006629F8"/>
    <w:pPr>
      <w:widowControl w:val="0"/>
      <w:autoSpaceDE w:val="0"/>
      <w:autoSpaceDN w:val="0"/>
      <w:adjustRightInd w:val="0"/>
      <w:spacing w:after="0" w:line="240" w:lineRule="auto"/>
    </w:pPr>
    <w:rPr>
      <w:rFonts w:ascii="Arial" w:eastAsiaTheme="minorEastAsia" w:hAnsi="Arial" w:cs="Arial"/>
      <w:sz w:val="20"/>
      <w:szCs w:val="20"/>
      <w:lang w:eastAsia="ru-RU"/>
    </w:rPr>
  </w:style>
  <w:style w:type="character" w:customStyle="1" w:styleId="14">
    <w:name w:val="Заголовок 1 Знак"/>
    <w:aliases w:val="Head 1 Знак,????????? 1 Знак,главы Знак,Заголовок 1 Знак1 Знак1 Знак,Заголовок 1 Знак Знак Знак Знак,Заголовок 1 Знак1 Знак Знак Знак Знак,Заголовок 1 Знак Знак1 Знак Знак Знак1 Знак,Заголовок 1 Знак Знак1 Знак Знак Знак Знак Знак Знак"/>
    <w:basedOn w:val="a4"/>
    <w:link w:val="10"/>
    <w:uiPriority w:val="9"/>
    <w:rsid w:val="00FD2769"/>
    <w:rPr>
      <w:rFonts w:ascii="Times New Roman" w:eastAsia="Calibri" w:hAnsi="Times New Roman" w:cs="Times New Roman"/>
      <w:b/>
      <w:sz w:val="24"/>
      <w:szCs w:val="32"/>
    </w:rPr>
  </w:style>
  <w:style w:type="character" w:customStyle="1" w:styleId="20">
    <w:name w:val="Заголовок 2 Знак"/>
    <w:aliases w:val="cko-Заголовок 2 Знак,Стиль 1 Знак,Заголовок 2 Знак1 Знак,Заголовок 2 Знак Знак Знак,Заголовок 2 Знак2 Знак,Заголовок 2 Знак Знак1 Знак,Заголовок 2 Знак1 Знак Знак Знак,Заголовок 2 Знак Знак Знак Знак Знак,Стиль 1 Знак Знак Знак"/>
    <w:basedOn w:val="a4"/>
    <w:link w:val="2"/>
    <w:rsid w:val="00827FEB"/>
    <w:rPr>
      <w:rFonts w:ascii="Times New Roman" w:eastAsia="Calibri" w:hAnsi="Times New Roman" w:cs="Times New Roman"/>
      <w:b/>
      <w:sz w:val="24"/>
      <w:szCs w:val="26"/>
    </w:rPr>
  </w:style>
  <w:style w:type="paragraph" w:styleId="ab">
    <w:name w:val="No Spacing"/>
    <w:uiPriority w:val="1"/>
    <w:qFormat/>
    <w:rsid w:val="00EE79A5"/>
    <w:pPr>
      <w:spacing w:after="0" w:line="240" w:lineRule="auto"/>
    </w:pPr>
    <w:rPr>
      <w:rFonts w:ascii="Arial" w:hAnsi="Arial"/>
      <w:b/>
      <w:color w:val="1F4E79" w:themeColor="accent1" w:themeShade="80"/>
      <w:sz w:val="24"/>
    </w:rPr>
  </w:style>
  <w:style w:type="character" w:customStyle="1" w:styleId="30">
    <w:name w:val="Заголовок 3 Знак"/>
    <w:aliases w:val="Заголовок 3 Знак1 Знак,Заголовок 3 Знак2 Знак Знак,Заголовок 3 Знак1 Знак Знак Знак,Заголовок 3 Знак Знак Знак Знак Знак Знак,Заголовок 3 Знак2 Знак Знак Знак Знак,Заголовок 3 Знак1 Знак Знак Знак Знак Знак,3 см Знак,Heading 3_en Знак"/>
    <w:basedOn w:val="a4"/>
    <w:link w:val="3"/>
    <w:uiPriority w:val="9"/>
    <w:rsid w:val="00FD2769"/>
    <w:rPr>
      <w:rFonts w:ascii="Times New Roman" w:eastAsiaTheme="majorEastAsia" w:hAnsi="Times New Roman" w:cs="Times New Roman"/>
      <w:b/>
      <w:sz w:val="24"/>
      <w:szCs w:val="24"/>
    </w:rPr>
  </w:style>
  <w:style w:type="paragraph" w:styleId="ac">
    <w:name w:val="TOC Heading"/>
    <w:basedOn w:val="10"/>
    <w:next w:val="a3"/>
    <w:uiPriority w:val="39"/>
    <w:unhideWhenUsed/>
    <w:qFormat/>
    <w:rsid w:val="00556E6C"/>
    <w:pPr>
      <w:spacing w:line="259" w:lineRule="auto"/>
      <w:outlineLvl w:val="9"/>
    </w:pPr>
    <w:rPr>
      <w:rFonts w:asciiTheme="majorHAnsi" w:hAnsiTheme="majorHAnsi"/>
      <w:b w:val="0"/>
      <w:color w:val="2E74B5" w:themeColor="accent1" w:themeShade="BF"/>
      <w:sz w:val="32"/>
      <w:lang w:eastAsia="ru-RU"/>
    </w:rPr>
  </w:style>
  <w:style w:type="paragraph" w:styleId="15">
    <w:name w:val="toc 1"/>
    <w:basedOn w:val="a3"/>
    <w:next w:val="a3"/>
    <w:link w:val="16"/>
    <w:autoRedefine/>
    <w:uiPriority w:val="39"/>
    <w:unhideWhenUsed/>
    <w:qFormat/>
    <w:rsid w:val="00134544"/>
    <w:pPr>
      <w:tabs>
        <w:tab w:val="left" w:pos="880"/>
        <w:tab w:val="right" w:leader="dot" w:pos="9781"/>
      </w:tabs>
      <w:spacing w:after="100"/>
      <w:ind w:right="-5" w:firstLine="0"/>
    </w:pPr>
    <w:rPr>
      <w:rFonts w:eastAsia="Calibri" w:cs="Times New Roman"/>
      <w:noProof/>
      <w:szCs w:val="24"/>
    </w:rPr>
  </w:style>
  <w:style w:type="paragraph" w:styleId="21">
    <w:name w:val="toc 2"/>
    <w:basedOn w:val="a3"/>
    <w:next w:val="a3"/>
    <w:autoRedefine/>
    <w:uiPriority w:val="39"/>
    <w:unhideWhenUsed/>
    <w:qFormat/>
    <w:rsid w:val="000A32B3"/>
    <w:pPr>
      <w:tabs>
        <w:tab w:val="right" w:leader="dot" w:pos="9214"/>
      </w:tabs>
      <w:spacing w:after="100"/>
      <w:ind w:left="220" w:right="-1" w:firstLine="0"/>
    </w:pPr>
  </w:style>
  <w:style w:type="character" w:styleId="ad">
    <w:name w:val="Hyperlink"/>
    <w:basedOn w:val="a4"/>
    <w:uiPriority w:val="99"/>
    <w:unhideWhenUsed/>
    <w:rsid w:val="00556E6C"/>
    <w:rPr>
      <w:color w:val="0563C1" w:themeColor="hyperlink"/>
      <w:u w:val="single"/>
    </w:rPr>
  </w:style>
  <w:style w:type="paragraph" w:styleId="ae">
    <w:name w:val="Body Text"/>
    <w:aliases w:val="Подпись1,bt,Текст в рамке,Òåêñò â ðàìêå, Знак23"/>
    <w:basedOn w:val="a3"/>
    <w:link w:val="af"/>
    <w:uiPriority w:val="99"/>
    <w:rsid w:val="002E05A4"/>
    <w:pPr>
      <w:suppressAutoHyphens/>
      <w:autoSpaceDN w:val="0"/>
      <w:textAlignment w:val="baseline"/>
    </w:pPr>
    <w:rPr>
      <w:rFonts w:ascii="Tahoma" w:eastAsia="Calibri" w:hAnsi="Tahoma" w:cs="Times New Roman"/>
      <w:sz w:val="20"/>
      <w:szCs w:val="20"/>
    </w:rPr>
  </w:style>
  <w:style w:type="character" w:customStyle="1" w:styleId="af">
    <w:name w:val="Основной текст Знак"/>
    <w:aliases w:val="Подпись1 Знак,bt Знак,Текст в рамке Знак,Òåêñò â ðàìêå Знак, Знак23 Знак"/>
    <w:basedOn w:val="a4"/>
    <w:link w:val="ae"/>
    <w:uiPriority w:val="99"/>
    <w:rsid w:val="002E05A4"/>
    <w:rPr>
      <w:rFonts w:ascii="Tahoma" w:eastAsia="Calibri" w:hAnsi="Tahoma" w:cs="Times New Roman"/>
      <w:sz w:val="20"/>
      <w:szCs w:val="20"/>
    </w:rPr>
  </w:style>
  <w:style w:type="paragraph" w:styleId="af0">
    <w:name w:val="List Paragraph"/>
    <w:aliases w:val="СПИСОК,List Paragraph,cko-Список,Уровент 2.2,Абзац списка4,Нумерованный,Абзац списка ЭкспертЪ"/>
    <w:basedOn w:val="a3"/>
    <w:link w:val="af1"/>
    <w:uiPriority w:val="34"/>
    <w:qFormat/>
    <w:rsid w:val="002E05A4"/>
    <w:pPr>
      <w:ind w:left="720"/>
      <w:contextualSpacing/>
    </w:pPr>
  </w:style>
  <w:style w:type="character" w:customStyle="1" w:styleId="blk">
    <w:name w:val="blk"/>
    <w:basedOn w:val="a4"/>
    <w:rsid w:val="008845D5"/>
  </w:style>
  <w:style w:type="table" w:styleId="af2">
    <w:name w:val="Table Grid"/>
    <w:basedOn w:val="a5"/>
    <w:uiPriority w:val="39"/>
    <w:rsid w:val="009F773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
    <w:name w:val="Сетка таблицы1"/>
    <w:basedOn w:val="a5"/>
    <w:next w:val="af2"/>
    <w:uiPriority w:val="59"/>
    <w:rsid w:val="009F7732"/>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3">
    <w:name w:val="annotation reference"/>
    <w:basedOn w:val="a4"/>
    <w:uiPriority w:val="99"/>
    <w:unhideWhenUsed/>
    <w:rsid w:val="00B62A06"/>
    <w:rPr>
      <w:sz w:val="16"/>
      <w:szCs w:val="16"/>
    </w:rPr>
  </w:style>
  <w:style w:type="paragraph" w:styleId="af4">
    <w:name w:val="annotation text"/>
    <w:aliases w:val="Текст примечания Знак Знак,Текст табличный по ширине Знак Знак,Текст табличный по ширине Знак1,Текст табличный по ширине Знак,Текст табличный по ширине"/>
    <w:basedOn w:val="a3"/>
    <w:link w:val="af5"/>
    <w:uiPriority w:val="99"/>
    <w:unhideWhenUsed/>
    <w:rsid w:val="00B62A06"/>
    <w:rPr>
      <w:sz w:val="20"/>
      <w:szCs w:val="20"/>
    </w:rPr>
  </w:style>
  <w:style w:type="character" w:customStyle="1" w:styleId="af5">
    <w:name w:val="Текст примечания Знак"/>
    <w:aliases w:val="Текст примечания Знак Знак Знак,Текст табличный по ширине Знак Знак Знак,Текст табличный по ширине Знак1 Знак,Текст табличный по ширине Знак Знак1,Текст табличный по ширине Знак2"/>
    <w:basedOn w:val="a4"/>
    <w:link w:val="af4"/>
    <w:uiPriority w:val="99"/>
    <w:rsid w:val="00B62A06"/>
    <w:rPr>
      <w:rFonts w:ascii="Times New Roman" w:hAnsi="Times New Roman"/>
      <w:sz w:val="20"/>
      <w:szCs w:val="20"/>
    </w:rPr>
  </w:style>
  <w:style w:type="paragraph" w:styleId="af6">
    <w:name w:val="annotation subject"/>
    <w:basedOn w:val="af4"/>
    <w:next w:val="af4"/>
    <w:link w:val="af7"/>
    <w:uiPriority w:val="99"/>
    <w:unhideWhenUsed/>
    <w:rsid w:val="00B62A06"/>
    <w:rPr>
      <w:b/>
      <w:bCs/>
    </w:rPr>
  </w:style>
  <w:style w:type="character" w:customStyle="1" w:styleId="af7">
    <w:name w:val="Тема примечания Знак"/>
    <w:basedOn w:val="af5"/>
    <w:link w:val="af6"/>
    <w:uiPriority w:val="99"/>
    <w:rsid w:val="00B62A06"/>
    <w:rPr>
      <w:rFonts w:ascii="Times New Roman" w:hAnsi="Times New Roman"/>
      <w:b/>
      <w:bCs/>
      <w:sz w:val="20"/>
      <w:szCs w:val="20"/>
    </w:rPr>
  </w:style>
  <w:style w:type="paragraph" w:styleId="af8">
    <w:name w:val="Revision"/>
    <w:hidden/>
    <w:uiPriority w:val="99"/>
    <w:semiHidden/>
    <w:rsid w:val="00B62A06"/>
    <w:pPr>
      <w:spacing w:after="0" w:line="240" w:lineRule="auto"/>
    </w:pPr>
    <w:rPr>
      <w:rFonts w:ascii="Times New Roman" w:hAnsi="Times New Roman"/>
      <w:sz w:val="24"/>
    </w:rPr>
  </w:style>
  <w:style w:type="paragraph" w:styleId="af9">
    <w:name w:val="Balloon Text"/>
    <w:basedOn w:val="a3"/>
    <w:link w:val="afa"/>
    <w:uiPriority w:val="99"/>
    <w:unhideWhenUsed/>
    <w:rsid w:val="00B62A06"/>
    <w:rPr>
      <w:rFonts w:ascii="Segoe UI" w:hAnsi="Segoe UI" w:cs="Segoe UI"/>
      <w:sz w:val="18"/>
      <w:szCs w:val="18"/>
    </w:rPr>
  </w:style>
  <w:style w:type="character" w:customStyle="1" w:styleId="afa">
    <w:name w:val="Текст выноски Знак"/>
    <w:basedOn w:val="a4"/>
    <w:link w:val="af9"/>
    <w:uiPriority w:val="99"/>
    <w:rsid w:val="00B62A06"/>
    <w:rPr>
      <w:rFonts w:ascii="Segoe UI" w:hAnsi="Segoe UI" w:cs="Segoe UI"/>
      <w:sz w:val="18"/>
      <w:szCs w:val="18"/>
    </w:rPr>
  </w:style>
  <w:style w:type="paragraph" w:styleId="afb">
    <w:name w:val="footnote text"/>
    <w:aliases w:val="Table_Footnote_last,Текст сноски Знак1,Текст сноски Знак Знак,Table_Footnote_last Знак Знак,Table_Footnote_last Знак1,Table_Footnote_last Знак,Текст сноски Знак1 Знак Знак,Текст сноски Знак Знак Знак Знак,Текст сноски 2К,Schriftart: 9 ,З"/>
    <w:basedOn w:val="a3"/>
    <w:link w:val="afc"/>
    <w:uiPriority w:val="99"/>
    <w:unhideWhenUsed/>
    <w:qFormat/>
    <w:rsid w:val="0027487E"/>
    <w:pPr>
      <w:ind w:firstLine="0"/>
      <w:jc w:val="left"/>
    </w:pPr>
    <w:rPr>
      <w:rFonts w:asciiTheme="minorHAnsi" w:hAnsiTheme="minorHAnsi"/>
      <w:sz w:val="20"/>
      <w:szCs w:val="20"/>
    </w:rPr>
  </w:style>
  <w:style w:type="character" w:customStyle="1" w:styleId="afc">
    <w:name w:val="Текст сноски Знак"/>
    <w:aliases w:val="Table_Footnote_last Знак2,Текст сноски Знак1 Знак,Текст сноски Знак Знак Знак,Table_Footnote_last Знак Знак Знак,Table_Footnote_last Знак1 Знак,Table_Footnote_last Знак Знак1,Текст сноски Знак1 Знак Знак Знак,Текст сноски 2К Знак"/>
    <w:basedOn w:val="a4"/>
    <w:link w:val="afb"/>
    <w:rsid w:val="0027487E"/>
    <w:rPr>
      <w:sz w:val="20"/>
      <w:szCs w:val="20"/>
    </w:rPr>
  </w:style>
  <w:style w:type="character" w:styleId="afd">
    <w:name w:val="footnote reference"/>
    <w:aliases w:val="Avg - Знак сноски,Знак сноски-FN,Знак сноски 1,avg-Знак сноски,ftref,сноска,СНОСКА,сноска1,Ciae niinee-FN,Referencia nota al pie,Avg,ХИА_ЗС,fr,Used by Word for Help footnote symbols,вески,ООО Знак сноски,Текст сноски Знак2 Знак Знак1,SUPERS"/>
    <w:basedOn w:val="a4"/>
    <w:qFormat/>
    <w:rsid w:val="0027487E"/>
    <w:rPr>
      <w:vertAlign w:val="superscript"/>
    </w:rPr>
  </w:style>
  <w:style w:type="character" w:customStyle="1" w:styleId="extended-textshort">
    <w:name w:val="extended-text__short"/>
    <w:basedOn w:val="a4"/>
    <w:rsid w:val="006D0081"/>
  </w:style>
  <w:style w:type="character" w:customStyle="1" w:styleId="40">
    <w:name w:val="Заголовок 4 Знак"/>
    <w:aliases w:val="Заг. Схем Знак,Заг. Схемы Знак,Заголовок 4 Знак1 Знак Знак,Заголовок 4 Знак1 Знак1,Заголовок 4 Знак Знак Знак,Caaieiaie 4 Ciae1 Знак,Caaieiaie 4 Ciae Ciae Знак,Caaieiaie 4 Ciae Знак,Çàãîëîâîê 4 Çíàê1 Знак,Çàãîëîâîê 4 Çíàê Çíàê Знак"/>
    <w:basedOn w:val="a4"/>
    <w:link w:val="4"/>
    <w:rsid w:val="006F0FA5"/>
    <w:rPr>
      <w:rFonts w:asciiTheme="majorHAnsi" w:eastAsiaTheme="majorEastAsia" w:hAnsiTheme="majorHAnsi" w:cstheme="majorBidi"/>
      <w:i/>
      <w:iCs/>
      <w:sz w:val="24"/>
    </w:rPr>
  </w:style>
  <w:style w:type="paragraph" w:styleId="31">
    <w:name w:val="toc 3"/>
    <w:basedOn w:val="a3"/>
    <w:next w:val="a3"/>
    <w:link w:val="32"/>
    <w:autoRedefine/>
    <w:uiPriority w:val="39"/>
    <w:unhideWhenUsed/>
    <w:qFormat/>
    <w:rsid w:val="00BE670C"/>
    <w:pPr>
      <w:tabs>
        <w:tab w:val="right" w:leader="dot" w:pos="9347"/>
      </w:tabs>
      <w:spacing w:after="100"/>
      <w:ind w:left="480"/>
    </w:pPr>
    <w:rPr>
      <w:noProof/>
    </w:rPr>
  </w:style>
  <w:style w:type="character" w:customStyle="1" w:styleId="af1">
    <w:name w:val="Абзац списка Знак"/>
    <w:aliases w:val="СПИСОК Знак,List Paragraph Знак,cko-Список Знак,Уровент 2.2 Знак,Абзац списка4 Знак,Нумерованный Знак,Абзац списка ЭкспертЪ Знак"/>
    <w:link w:val="af0"/>
    <w:uiPriority w:val="34"/>
    <w:rsid w:val="00DB268E"/>
    <w:rPr>
      <w:rFonts w:ascii="Times New Roman" w:hAnsi="Times New Roman"/>
      <w:sz w:val="24"/>
    </w:rPr>
  </w:style>
  <w:style w:type="paragraph" w:customStyle="1" w:styleId="avg-0">
    <w:name w:val="avg-Обычный"/>
    <w:basedOn w:val="a3"/>
    <w:link w:val="avg-1"/>
    <w:qFormat/>
    <w:rsid w:val="00DB268E"/>
    <w:pPr>
      <w:keepLines/>
      <w:suppressAutoHyphens/>
      <w:autoSpaceDN w:val="0"/>
      <w:spacing w:before="120" w:after="120"/>
      <w:ind w:firstLine="0"/>
      <w:textAlignment w:val="baseline"/>
    </w:pPr>
    <w:rPr>
      <w:rFonts w:eastAsia="Times New Roman" w:cs="Times New Roman"/>
      <w:szCs w:val="24"/>
      <w:lang w:eastAsia="ru-RU"/>
    </w:rPr>
  </w:style>
  <w:style w:type="paragraph" w:customStyle="1" w:styleId="ConsPlusTitle">
    <w:name w:val="ConsPlusTitle"/>
    <w:uiPriority w:val="99"/>
    <w:rsid w:val="00DB268E"/>
    <w:pPr>
      <w:widowControl w:val="0"/>
      <w:autoSpaceDE w:val="0"/>
      <w:autoSpaceDN w:val="0"/>
      <w:adjustRightInd w:val="0"/>
      <w:spacing w:after="0" w:line="240" w:lineRule="auto"/>
    </w:pPr>
    <w:rPr>
      <w:rFonts w:ascii="Arial" w:eastAsiaTheme="minorEastAsia" w:hAnsi="Arial" w:cs="Arial"/>
      <w:b/>
      <w:bCs/>
      <w:sz w:val="16"/>
      <w:szCs w:val="16"/>
      <w:lang w:eastAsia="ru-RU"/>
    </w:rPr>
  </w:style>
  <w:style w:type="paragraph" w:customStyle="1" w:styleId="afe">
    <w:name w:val="Основной текст с красной"/>
    <w:basedOn w:val="ae"/>
    <w:rsid w:val="00DB268E"/>
    <w:pPr>
      <w:suppressAutoHyphens w:val="0"/>
      <w:autoSpaceDN/>
      <w:spacing w:before="60" w:after="20"/>
      <w:ind w:firstLine="454"/>
      <w:textAlignment w:val="auto"/>
    </w:pPr>
    <w:rPr>
      <w:rFonts w:ascii="Times New Roman" w:eastAsia="Times New Roman" w:hAnsi="Times New Roman"/>
      <w:sz w:val="24"/>
      <w:lang w:eastAsia="ru-RU"/>
    </w:rPr>
  </w:style>
  <w:style w:type="paragraph" w:customStyle="1" w:styleId="aff">
    <w:name w:val="Таблица текст"/>
    <w:basedOn w:val="a3"/>
    <w:link w:val="aff0"/>
    <w:rsid w:val="00DB268E"/>
    <w:pPr>
      <w:tabs>
        <w:tab w:val="left" w:pos="227"/>
        <w:tab w:val="left" w:pos="454"/>
        <w:tab w:val="left" w:pos="680"/>
      </w:tabs>
      <w:spacing w:before="40" w:after="40"/>
      <w:ind w:left="57" w:right="57" w:firstLine="0"/>
      <w:jc w:val="left"/>
    </w:pPr>
    <w:rPr>
      <w:rFonts w:ascii="Arial" w:eastAsia="Times New Roman" w:hAnsi="Arial" w:cs="Times New Roman"/>
      <w:sz w:val="22"/>
      <w:szCs w:val="20"/>
      <w:lang w:eastAsia="ru-RU"/>
    </w:rPr>
  </w:style>
  <w:style w:type="paragraph" w:customStyle="1" w:styleId="aff1">
    <w:name w:val="Таблица цифры"/>
    <w:basedOn w:val="aff"/>
    <w:rsid w:val="00DB268E"/>
    <w:pPr>
      <w:tabs>
        <w:tab w:val="left" w:pos="113"/>
        <w:tab w:val="left" w:pos="340"/>
      </w:tabs>
      <w:ind w:left="0" w:right="0"/>
      <w:jc w:val="right"/>
    </w:pPr>
  </w:style>
  <w:style w:type="character" w:customStyle="1" w:styleId="aff0">
    <w:name w:val="Таблица текст Знак"/>
    <w:basedOn w:val="a4"/>
    <w:link w:val="aff"/>
    <w:locked/>
    <w:rsid w:val="00DB268E"/>
    <w:rPr>
      <w:rFonts w:ascii="Arial" w:eastAsia="Times New Roman" w:hAnsi="Arial" w:cs="Times New Roman"/>
      <w:szCs w:val="20"/>
      <w:lang w:eastAsia="ru-RU"/>
    </w:rPr>
  </w:style>
  <w:style w:type="paragraph" w:customStyle="1" w:styleId="18">
    <w:name w:val="Стиль1"/>
    <w:basedOn w:val="a3"/>
    <w:link w:val="19"/>
    <w:rsid w:val="00DB268E"/>
    <w:pPr>
      <w:ind w:firstLine="567"/>
    </w:pPr>
    <w:rPr>
      <w:rFonts w:eastAsia="Times New Roman" w:cs="Times New Roman"/>
      <w:sz w:val="30"/>
      <w:szCs w:val="30"/>
      <w:lang w:eastAsia="ru-RU"/>
    </w:rPr>
  </w:style>
  <w:style w:type="character" w:customStyle="1" w:styleId="19">
    <w:name w:val="Стиль1 Знак"/>
    <w:link w:val="18"/>
    <w:rsid w:val="00DB268E"/>
    <w:rPr>
      <w:rFonts w:ascii="Times New Roman" w:eastAsia="Times New Roman" w:hAnsi="Times New Roman" w:cs="Times New Roman"/>
      <w:sz w:val="30"/>
      <w:szCs w:val="30"/>
      <w:lang w:eastAsia="ru-RU"/>
    </w:rPr>
  </w:style>
  <w:style w:type="character" w:customStyle="1" w:styleId="Tahoma">
    <w:name w:val="Основной текст + Tahoma"/>
    <w:aliases w:val="11 pt,Курсив,Основной текст (7) + 10 pt,Не полужирный,Основной текст + 12 pt,Основной текст (2) + 11 pt"/>
    <w:rsid w:val="00DB268E"/>
    <w:rPr>
      <w:rFonts w:ascii="Tahoma" w:hAnsi="Tahoma" w:cs="Tahoma" w:hint="default"/>
      <w:i/>
      <w:iCs/>
      <w:spacing w:val="0"/>
      <w:sz w:val="22"/>
      <w:szCs w:val="22"/>
    </w:rPr>
  </w:style>
  <w:style w:type="character" w:customStyle="1" w:styleId="aff2">
    <w:name w:val="Основной текст + Курсив"/>
    <w:rsid w:val="00DB268E"/>
    <w:rPr>
      <w:rFonts w:ascii="Times New Roman" w:hAnsi="Times New Roman" w:cs="Times New Roman" w:hint="default"/>
      <w:i/>
      <w:iCs/>
      <w:spacing w:val="0"/>
      <w:sz w:val="25"/>
      <w:szCs w:val="25"/>
    </w:rPr>
  </w:style>
  <w:style w:type="paragraph" w:styleId="aff3">
    <w:name w:val="caption"/>
    <w:aliases w:val="Название таблицы,Название объекта Знак Знак,Название объекта Знак Знак Знак Знак Знак Знак,Iacaaiea oaaeeou,Знак21,Çíàê,Название объекта Знак Знак Знак Знак,Название объекта Знак3,Çíà, Знак21,Название таблицы Знак Знак Знак,Caption Char"/>
    <w:basedOn w:val="a3"/>
    <w:next w:val="a3"/>
    <w:link w:val="22"/>
    <w:qFormat/>
    <w:rsid w:val="00DB268E"/>
    <w:pPr>
      <w:spacing w:before="120" w:after="120"/>
      <w:ind w:firstLine="0"/>
      <w:jc w:val="left"/>
    </w:pPr>
    <w:rPr>
      <w:rFonts w:eastAsia="Times New Roman" w:cs="Times New Roman"/>
      <w:b/>
      <w:caps/>
      <w:sz w:val="28"/>
      <w:szCs w:val="28"/>
      <w:lang w:eastAsia="ru-RU"/>
    </w:rPr>
  </w:style>
  <w:style w:type="paragraph" w:customStyle="1" w:styleId="Default">
    <w:name w:val="Default"/>
    <w:uiPriority w:val="99"/>
    <w:rsid w:val="00A70ED9"/>
    <w:pPr>
      <w:autoSpaceDE w:val="0"/>
      <w:autoSpaceDN w:val="0"/>
      <w:adjustRightInd w:val="0"/>
      <w:spacing w:after="0" w:line="240" w:lineRule="auto"/>
    </w:pPr>
    <w:rPr>
      <w:rFonts w:ascii="Times New Roman" w:hAnsi="Times New Roman" w:cs="Times New Roman"/>
      <w:color w:val="000000"/>
      <w:sz w:val="24"/>
      <w:szCs w:val="24"/>
    </w:rPr>
  </w:style>
  <w:style w:type="table" w:styleId="-51">
    <w:name w:val="Grid Table 5 Dark Accent 1"/>
    <w:basedOn w:val="a5"/>
    <w:uiPriority w:val="50"/>
    <w:rsid w:val="006F0FA5"/>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1"/>
      </w:tcPr>
    </w:tblStylePr>
    <w:tblStylePr w:type="band1Vert">
      <w:tblPr/>
      <w:tcPr>
        <w:shd w:val="clear" w:color="auto" w:fill="BDD6EE" w:themeFill="accent1" w:themeFillTint="66"/>
      </w:tcPr>
    </w:tblStylePr>
    <w:tblStylePr w:type="band1Horz">
      <w:tblPr/>
      <w:tcPr>
        <w:shd w:val="clear" w:color="auto" w:fill="BDD6EE" w:themeFill="accent1" w:themeFillTint="66"/>
      </w:tcPr>
    </w:tblStylePr>
  </w:style>
  <w:style w:type="table" w:styleId="-41">
    <w:name w:val="Grid Table 4 Accent 1"/>
    <w:basedOn w:val="a5"/>
    <w:uiPriority w:val="49"/>
    <w:rsid w:val="006F0FA5"/>
    <w:pPr>
      <w:spacing w:after="0" w:line="240" w:lineRule="auto"/>
    </w:p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styleId="-45">
    <w:name w:val="Grid Table 4 Accent 5"/>
    <w:basedOn w:val="a5"/>
    <w:uiPriority w:val="49"/>
    <w:rsid w:val="006F0FA5"/>
    <w:pPr>
      <w:spacing w:after="0" w:line="240" w:lineRule="auto"/>
    </w:p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paragraph" w:styleId="aff4">
    <w:name w:val="Subtitle"/>
    <w:basedOn w:val="a3"/>
    <w:next w:val="a3"/>
    <w:link w:val="aff5"/>
    <w:qFormat/>
    <w:rsid w:val="006F0FA5"/>
    <w:pPr>
      <w:numPr>
        <w:ilvl w:val="1"/>
      </w:numPr>
      <w:spacing w:after="160"/>
      <w:ind w:firstLine="709"/>
    </w:pPr>
    <w:rPr>
      <w:rFonts w:asciiTheme="minorHAnsi" w:eastAsiaTheme="minorEastAsia" w:hAnsiTheme="minorHAnsi"/>
      <w:color w:val="5A5A5A" w:themeColor="text1" w:themeTint="A5"/>
      <w:spacing w:val="15"/>
      <w:sz w:val="22"/>
      <w:lang w:eastAsia="ru-RU"/>
    </w:rPr>
  </w:style>
  <w:style w:type="character" w:customStyle="1" w:styleId="aff5">
    <w:name w:val="Подзаголовок Знак"/>
    <w:basedOn w:val="a4"/>
    <w:link w:val="aff4"/>
    <w:rsid w:val="006F0FA5"/>
    <w:rPr>
      <w:rFonts w:eastAsiaTheme="minorEastAsia"/>
      <w:color w:val="5A5A5A" w:themeColor="text1" w:themeTint="A5"/>
      <w:spacing w:val="15"/>
      <w:lang w:eastAsia="ru-RU"/>
    </w:rPr>
  </w:style>
  <w:style w:type="paragraph" w:customStyle="1" w:styleId="Standard">
    <w:name w:val="Standard"/>
    <w:rsid w:val="00A23EF3"/>
    <w:pPr>
      <w:suppressAutoHyphens/>
      <w:autoSpaceDN w:val="0"/>
      <w:spacing w:after="0" w:line="240" w:lineRule="auto"/>
      <w:textAlignment w:val="baseline"/>
    </w:pPr>
    <w:rPr>
      <w:rFonts w:ascii="Times New Roman" w:eastAsia="Times New Roman" w:hAnsi="Times New Roman" w:cs="Times New Roman"/>
      <w:kern w:val="3"/>
      <w:sz w:val="24"/>
      <w:szCs w:val="24"/>
      <w:lang w:eastAsia="zh-CN"/>
    </w:rPr>
  </w:style>
  <w:style w:type="character" w:styleId="aff6">
    <w:name w:val="Placeholder Text"/>
    <w:basedOn w:val="a4"/>
    <w:uiPriority w:val="99"/>
    <w:semiHidden/>
    <w:rsid w:val="00A23EF3"/>
    <w:rPr>
      <w:color w:val="808080"/>
    </w:rPr>
  </w:style>
  <w:style w:type="paragraph" w:styleId="aff7">
    <w:name w:val="endnote text"/>
    <w:basedOn w:val="a3"/>
    <w:link w:val="aff8"/>
    <w:uiPriority w:val="99"/>
    <w:unhideWhenUsed/>
    <w:rsid w:val="00A23EF3"/>
    <w:pPr>
      <w:ind w:firstLine="0"/>
      <w:jc w:val="left"/>
    </w:pPr>
    <w:rPr>
      <w:rFonts w:ascii="Calibri" w:eastAsia="Calibri" w:hAnsi="Calibri" w:cs="Times New Roman"/>
      <w:sz w:val="20"/>
      <w:szCs w:val="20"/>
      <w:lang w:val="x-none"/>
    </w:rPr>
  </w:style>
  <w:style w:type="character" w:customStyle="1" w:styleId="aff8">
    <w:name w:val="Текст концевой сноски Знак"/>
    <w:basedOn w:val="a4"/>
    <w:link w:val="aff7"/>
    <w:uiPriority w:val="99"/>
    <w:rsid w:val="00A23EF3"/>
    <w:rPr>
      <w:rFonts w:ascii="Calibri" w:eastAsia="Calibri" w:hAnsi="Calibri" w:cs="Times New Roman"/>
      <w:sz w:val="20"/>
      <w:szCs w:val="20"/>
      <w:lang w:val="x-none"/>
    </w:rPr>
  </w:style>
  <w:style w:type="table" w:customStyle="1" w:styleId="91">
    <w:name w:val="Сетка таблицы9"/>
    <w:basedOn w:val="a5"/>
    <w:next w:val="af2"/>
    <w:uiPriority w:val="39"/>
    <w:rsid w:val="00B845B7"/>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eos-">
    <w:name w:val="ceos-Обычный"/>
    <w:basedOn w:val="a3"/>
    <w:rsid w:val="00656340"/>
    <w:pPr>
      <w:suppressAutoHyphens/>
      <w:autoSpaceDN w:val="0"/>
      <w:spacing w:before="180" w:after="180" w:line="216" w:lineRule="auto"/>
      <w:ind w:firstLine="0"/>
      <w:textAlignment w:val="baseline"/>
    </w:pPr>
    <w:rPr>
      <w:rFonts w:eastAsia="Times New Roman" w:cs="Times New Roman"/>
      <w:szCs w:val="20"/>
      <w:lang w:eastAsia="ru-RU"/>
    </w:rPr>
  </w:style>
  <w:style w:type="table" w:customStyle="1" w:styleId="910">
    <w:name w:val="Сетка таблицы91"/>
    <w:basedOn w:val="a5"/>
    <w:uiPriority w:val="39"/>
    <w:rsid w:val="0056354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9">
    <w:name w:val="Таблица шапка"/>
    <w:basedOn w:val="aff"/>
    <w:link w:val="affa"/>
    <w:uiPriority w:val="99"/>
    <w:rsid w:val="00AB219F"/>
    <w:pPr>
      <w:keepNext/>
      <w:keepLines/>
      <w:tabs>
        <w:tab w:val="left" w:pos="113"/>
        <w:tab w:val="left" w:pos="340"/>
      </w:tabs>
      <w:ind w:left="0" w:right="0"/>
      <w:jc w:val="center"/>
    </w:pPr>
    <w:rPr>
      <w:sz w:val="16"/>
    </w:rPr>
  </w:style>
  <w:style w:type="paragraph" w:customStyle="1" w:styleId="affb">
    <w:name w:val="Единицы"/>
    <w:basedOn w:val="a3"/>
    <w:rsid w:val="00AB219F"/>
    <w:pPr>
      <w:keepNext/>
      <w:spacing w:before="20" w:after="60"/>
      <w:ind w:right="284" w:firstLine="0"/>
      <w:jc w:val="right"/>
    </w:pPr>
    <w:rPr>
      <w:rFonts w:ascii="Arial" w:eastAsia="Times New Roman" w:hAnsi="Arial" w:cs="Times New Roman"/>
      <w:sz w:val="22"/>
      <w:szCs w:val="20"/>
      <w:lang w:eastAsia="ru-RU"/>
    </w:rPr>
  </w:style>
  <w:style w:type="paragraph" w:customStyle="1" w:styleId="avg-2">
    <w:name w:val="avg-маркированный"/>
    <w:basedOn w:val="a3"/>
    <w:rsid w:val="001D1EB0"/>
    <w:pPr>
      <w:suppressAutoHyphens/>
      <w:autoSpaceDN w:val="0"/>
      <w:spacing w:before="60" w:after="60"/>
      <w:ind w:firstLine="0"/>
      <w:textAlignment w:val="baseline"/>
    </w:pPr>
    <w:rPr>
      <w:rFonts w:ascii="Myriad Pro" w:eastAsia="Times New Roman" w:hAnsi="Myriad Pro" w:cs="Times New Roman"/>
      <w:sz w:val="22"/>
      <w:szCs w:val="20"/>
      <w:lang w:eastAsia="ru-RU"/>
    </w:rPr>
  </w:style>
  <w:style w:type="character" w:styleId="affc">
    <w:name w:val="FollowedHyperlink"/>
    <w:basedOn w:val="a4"/>
    <w:uiPriority w:val="99"/>
    <w:unhideWhenUsed/>
    <w:rsid w:val="00021C12"/>
    <w:rPr>
      <w:color w:val="954F72" w:themeColor="followedHyperlink"/>
      <w:u w:val="single"/>
    </w:rPr>
  </w:style>
  <w:style w:type="table" w:customStyle="1" w:styleId="-411">
    <w:name w:val="Таблица-сетка 4 — акцент 11"/>
    <w:basedOn w:val="a5"/>
    <w:uiPriority w:val="49"/>
    <w:rsid w:val="00021C12"/>
    <w:pPr>
      <w:spacing w:after="0" w:line="240" w:lineRule="auto"/>
    </w:p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paragraph" w:styleId="a">
    <w:name w:val="Normal Indent"/>
    <w:basedOn w:val="a3"/>
    <w:rsid w:val="006A5638"/>
    <w:pPr>
      <w:numPr>
        <w:numId w:val="1"/>
      </w:numPr>
      <w:suppressAutoHyphens/>
      <w:autoSpaceDN w:val="0"/>
      <w:jc w:val="left"/>
      <w:textAlignment w:val="baseline"/>
    </w:pPr>
    <w:rPr>
      <w:rFonts w:eastAsia="Times New Roman" w:cs="Times New Roman"/>
      <w:szCs w:val="24"/>
      <w:lang w:eastAsia="ru-RU"/>
    </w:rPr>
  </w:style>
  <w:style w:type="numbering" w:customStyle="1" w:styleId="LFO3">
    <w:name w:val="LFO3"/>
    <w:basedOn w:val="a6"/>
    <w:rsid w:val="006A5638"/>
    <w:pPr>
      <w:numPr>
        <w:numId w:val="1"/>
      </w:numPr>
    </w:pPr>
  </w:style>
  <w:style w:type="paragraph" w:styleId="HTML">
    <w:name w:val="HTML Preformatted"/>
    <w:basedOn w:val="a3"/>
    <w:link w:val="HTML0"/>
    <w:unhideWhenUsed/>
    <w:rsid w:val="006A563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left"/>
    </w:pPr>
    <w:rPr>
      <w:rFonts w:ascii="Courier New" w:eastAsia="Times New Roman" w:hAnsi="Courier New" w:cs="Courier New"/>
      <w:sz w:val="20"/>
      <w:szCs w:val="20"/>
      <w:lang w:eastAsia="ru-RU"/>
    </w:rPr>
  </w:style>
  <w:style w:type="character" w:customStyle="1" w:styleId="HTML0">
    <w:name w:val="Стандартный HTML Знак"/>
    <w:basedOn w:val="a4"/>
    <w:link w:val="HTML"/>
    <w:rsid w:val="006A5638"/>
    <w:rPr>
      <w:rFonts w:ascii="Courier New" w:eastAsia="Times New Roman" w:hAnsi="Courier New" w:cs="Courier New"/>
      <w:sz w:val="20"/>
      <w:szCs w:val="20"/>
      <w:lang w:eastAsia="ru-RU"/>
    </w:rPr>
  </w:style>
  <w:style w:type="paragraph" w:styleId="affd">
    <w:name w:val="Plain Text"/>
    <w:aliases w:val="Текст Знак2,Текст Знак1 Знак,Текст Знак Знак Знак,Текст Знак1 Знак Знак Знак,Текст Знак Знак Знак Знак Знак,Текст Знак1 Знак Знак Знак Знак Знак, Знак Знак Знак Знак Знак1 Знак Знак,Текст Знак Знак Знак Знак Знак Знак Знак,Текст Знак Знак3,Знак,Зн"/>
    <w:link w:val="affe"/>
    <w:rsid w:val="00B801C2"/>
    <w:pPr>
      <w:spacing w:before="240" w:after="0" w:line="264" w:lineRule="auto"/>
      <w:ind w:right="62" w:firstLine="709"/>
      <w:jc w:val="both"/>
    </w:pPr>
    <w:rPr>
      <w:rFonts w:ascii="Times New Roman" w:eastAsia="Times New Roman" w:hAnsi="Times New Roman" w:cs="Times New Roman"/>
      <w:sz w:val="24"/>
      <w:szCs w:val="20"/>
      <w:lang w:eastAsia="ru-RU"/>
    </w:rPr>
  </w:style>
  <w:style w:type="character" w:customStyle="1" w:styleId="affe">
    <w:name w:val="Текст Знак"/>
    <w:aliases w:val="Текст Знак2 Знак,Текст Знак1 Знак Знак,Текст Знак Знак Знак Знак,Текст Знак1 Знак Знак Знак Знак,Текст Знак Знак Знак Знак Знак Знак,Текст Знак1 Знак Знак Знак Знак Знак Знак, Знак Знак Знак Знак Знак1 Знак Знак Знак,Текст Знак Знак3 Знак"/>
    <w:basedOn w:val="a4"/>
    <w:link w:val="affd"/>
    <w:rsid w:val="00B801C2"/>
    <w:rPr>
      <w:rFonts w:ascii="Times New Roman" w:eastAsia="Times New Roman" w:hAnsi="Times New Roman" w:cs="Times New Roman"/>
      <w:sz w:val="24"/>
      <w:szCs w:val="20"/>
      <w:lang w:eastAsia="ru-RU"/>
    </w:rPr>
  </w:style>
  <w:style w:type="character" w:customStyle="1" w:styleId="1a">
    <w:name w:val="Основной текст Знак1"/>
    <w:basedOn w:val="a4"/>
    <w:uiPriority w:val="99"/>
    <w:locked/>
    <w:rsid w:val="00B801C2"/>
    <w:rPr>
      <w:rFonts w:ascii="Times New Roman" w:eastAsia="Times New Roman" w:hAnsi="Times New Roman" w:cs="Times New Roman"/>
      <w:color w:val="000000"/>
      <w:spacing w:val="2"/>
      <w:sz w:val="20"/>
      <w:szCs w:val="20"/>
      <w:shd w:val="clear" w:color="auto" w:fill="FFFFFF"/>
      <w:lang w:eastAsia="ru-RU"/>
    </w:rPr>
  </w:style>
  <w:style w:type="character" w:customStyle="1" w:styleId="1b">
    <w:name w:val="Неразрешенное упоминание1"/>
    <w:basedOn w:val="a4"/>
    <w:unhideWhenUsed/>
    <w:rsid w:val="00DB5F3E"/>
    <w:rPr>
      <w:color w:val="605E5C"/>
      <w:shd w:val="clear" w:color="auto" w:fill="E1DFDD"/>
    </w:rPr>
  </w:style>
  <w:style w:type="paragraph" w:styleId="afff">
    <w:name w:val="Normal (Web)"/>
    <w:aliases w:val="Обычный (Web)1,Обычный (Web)11,Обычный (веб) Знак Знак,Обычный (Web),Обычный (веб)211,Обычный (веб)11,Обычный (Web) Знак,Обычный (веб)4,Обычный (веб)21,Обычный (веб)3,Обычный (веб)3 Зна,Обычный (веб)2,Обычный (Web)1 Знак1 Знак"/>
    <w:basedOn w:val="a3"/>
    <w:link w:val="23"/>
    <w:unhideWhenUsed/>
    <w:qFormat/>
    <w:rsid w:val="00D27A2F"/>
    <w:pPr>
      <w:spacing w:before="100" w:beforeAutospacing="1"/>
    </w:pPr>
    <w:rPr>
      <w:rFonts w:eastAsia="Times New Roman" w:cs="Times New Roman"/>
      <w:szCs w:val="24"/>
      <w:lang w:eastAsia="ru-RU"/>
    </w:rPr>
  </w:style>
  <w:style w:type="character" w:customStyle="1" w:styleId="50">
    <w:name w:val="Заголовок 5 Знак"/>
    <w:aliases w:val="H5 Ciae Знак,H5 Ciae Ciae Знак,Caaieiaie 5.H5 Ciae Знак,H5 Знак Знак1,H5 Знак Знак Знак,H5 Çíàê Знак,Çàãîëîâîê 5.H5 Çíàê Знак"/>
    <w:basedOn w:val="a4"/>
    <w:link w:val="5"/>
    <w:rsid w:val="00632918"/>
    <w:rPr>
      <w:rFonts w:asciiTheme="majorHAnsi" w:eastAsiaTheme="majorEastAsia" w:hAnsiTheme="majorHAnsi" w:cstheme="majorBidi"/>
      <w:color w:val="2E74B5" w:themeColor="accent1" w:themeShade="BF"/>
    </w:rPr>
  </w:style>
  <w:style w:type="character" w:customStyle="1" w:styleId="60">
    <w:name w:val="Заголовок 6 Знак"/>
    <w:aliases w:val="__Подпункт Знак,Источник Знак,H6 Знак1,Caaieiaie 6 Ciae Ciae Ciae Ciae Знак,Заголовок 6 Знак Знак Знак Знак Знак,H6 Ciae Знак,H6 Знак Знак,Çàãîëîâîê 6 Çíàê Çíàê Çíàê Çíàê Знак,Арбуз Знак,Heading Tab Corfin Знак,Заголовок 6 Знак2 Знак"/>
    <w:basedOn w:val="a4"/>
    <w:link w:val="6"/>
    <w:uiPriority w:val="99"/>
    <w:rsid w:val="00632918"/>
    <w:rPr>
      <w:rFonts w:asciiTheme="majorHAnsi" w:eastAsiaTheme="majorEastAsia" w:hAnsiTheme="majorHAnsi" w:cstheme="majorBidi"/>
      <w:color w:val="1F4D78" w:themeColor="accent1" w:themeShade="7F"/>
    </w:rPr>
  </w:style>
  <w:style w:type="character" w:customStyle="1" w:styleId="70">
    <w:name w:val="Заголовок 7 Знак"/>
    <w:aliases w:val="Заголовок 7 Знак3 Знак,Заголовок 7 Знак2 Знак Знак,Заголовок 7 Знак3 Знак1 Знак Знак,Заголовок 7 Знак2 Знак1 Знак Знак Знак,Заголовок 7 Знак Знак3 Знак Знак Знак Знак,Заголовок 7 Знак2 Знак Знак Знак Знак Знак Знак"/>
    <w:basedOn w:val="a4"/>
    <w:link w:val="7"/>
    <w:uiPriority w:val="9"/>
    <w:rsid w:val="00632918"/>
    <w:rPr>
      <w:rFonts w:asciiTheme="majorHAnsi" w:eastAsiaTheme="majorEastAsia" w:hAnsiTheme="majorHAnsi" w:cstheme="majorBidi"/>
      <w:i/>
      <w:iCs/>
      <w:color w:val="1F4D78" w:themeColor="accent1" w:themeShade="7F"/>
    </w:rPr>
  </w:style>
  <w:style w:type="character" w:customStyle="1" w:styleId="80">
    <w:name w:val="Заголовок 8 Знак"/>
    <w:basedOn w:val="a4"/>
    <w:link w:val="8"/>
    <w:rsid w:val="00632918"/>
    <w:rPr>
      <w:rFonts w:asciiTheme="majorHAnsi" w:eastAsiaTheme="majorEastAsia" w:hAnsiTheme="majorHAnsi" w:cstheme="majorBidi"/>
      <w:color w:val="272727" w:themeColor="text1" w:themeTint="D8"/>
      <w:sz w:val="21"/>
      <w:szCs w:val="21"/>
    </w:rPr>
  </w:style>
  <w:style w:type="character" w:customStyle="1" w:styleId="90">
    <w:name w:val="Заголовок 9 Знак"/>
    <w:aliases w:val=" Знак28 Знак,Знак28 Знак"/>
    <w:basedOn w:val="a4"/>
    <w:link w:val="9"/>
    <w:rsid w:val="00632918"/>
    <w:rPr>
      <w:rFonts w:asciiTheme="majorHAnsi" w:eastAsiaTheme="majorEastAsia" w:hAnsiTheme="majorHAnsi" w:cstheme="majorBidi"/>
      <w:i/>
      <w:iCs/>
      <w:color w:val="272727" w:themeColor="text1" w:themeTint="D8"/>
      <w:sz w:val="21"/>
      <w:szCs w:val="21"/>
    </w:rPr>
  </w:style>
  <w:style w:type="paragraph" w:customStyle="1" w:styleId="avg-3">
    <w:name w:val="avg-Список маркированный"/>
    <w:basedOn w:val="a3"/>
    <w:rsid w:val="00632918"/>
    <w:pPr>
      <w:tabs>
        <w:tab w:val="num" w:pos="680"/>
      </w:tabs>
      <w:spacing w:before="120" w:after="120" w:line="216" w:lineRule="auto"/>
      <w:ind w:left="680" w:hanging="680"/>
    </w:pPr>
    <w:rPr>
      <w:rFonts w:ascii="Myriad Pro" w:eastAsia="Times New Roman" w:hAnsi="Myriad Pro" w:cs="Arial"/>
      <w:sz w:val="22"/>
      <w:lang w:eastAsia="ru-RU"/>
    </w:rPr>
  </w:style>
  <w:style w:type="numbering" w:customStyle="1" w:styleId="13">
    <w:name w:val="м1"/>
    <w:rsid w:val="00632918"/>
    <w:pPr>
      <w:numPr>
        <w:numId w:val="4"/>
      </w:numPr>
    </w:pPr>
  </w:style>
  <w:style w:type="numbering" w:customStyle="1" w:styleId="1119">
    <w:name w:val="Статья / Раздел1119"/>
    <w:basedOn w:val="a6"/>
    <w:next w:val="afff0"/>
    <w:uiPriority w:val="99"/>
    <w:semiHidden/>
    <w:unhideWhenUsed/>
    <w:rsid w:val="00632918"/>
    <w:pPr>
      <w:numPr>
        <w:numId w:val="5"/>
      </w:numPr>
    </w:pPr>
  </w:style>
  <w:style w:type="numbering" w:customStyle="1" w:styleId="1311">
    <w:name w:val="Стиль1311"/>
    <w:rsid w:val="00632918"/>
    <w:pPr>
      <w:numPr>
        <w:numId w:val="2"/>
      </w:numPr>
    </w:pPr>
  </w:style>
  <w:style w:type="numbering" w:customStyle="1" w:styleId="11">
    <w:name w:val="м11"/>
    <w:rsid w:val="00632918"/>
    <w:pPr>
      <w:numPr>
        <w:numId w:val="3"/>
      </w:numPr>
    </w:pPr>
  </w:style>
  <w:style w:type="numbering" w:styleId="afff0">
    <w:name w:val="Outline List 3"/>
    <w:basedOn w:val="a6"/>
    <w:uiPriority w:val="99"/>
    <w:semiHidden/>
    <w:unhideWhenUsed/>
    <w:rsid w:val="00632918"/>
  </w:style>
  <w:style w:type="numbering" w:customStyle="1" w:styleId="1c">
    <w:name w:val="Нет списка1"/>
    <w:next w:val="a6"/>
    <w:uiPriority w:val="99"/>
    <w:semiHidden/>
    <w:unhideWhenUsed/>
    <w:rsid w:val="00CF2B8B"/>
  </w:style>
  <w:style w:type="character" w:styleId="afff1">
    <w:name w:val="endnote reference"/>
    <w:basedOn w:val="a4"/>
    <w:uiPriority w:val="99"/>
    <w:semiHidden/>
    <w:unhideWhenUsed/>
    <w:rsid w:val="00CF2B8B"/>
    <w:rPr>
      <w:vertAlign w:val="superscript"/>
    </w:rPr>
  </w:style>
  <w:style w:type="numbering" w:customStyle="1" w:styleId="24">
    <w:name w:val="Нет списка2"/>
    <w:next w:val="a6"/>
    <w:uiPriority w:val="99"/>
    <w:semiHidden/>
    <w:unhideWhenUsed/>
    <w:rsid w:val="00A462BC"/>
  </w:style>
  <w:style w:type="numbering" w:customStyle="1" w:styleId="33">
    <w:name w:val="Нет списка3"/>
    <w:next w:val="a6"/>
    <w:uiPriority w:val="99"/>
    <w:semiHidden/>
    <w:unhideWhenUsed/>
    <w:rsid w:val="00081F94"/>
  </w:style>
  <w:style w:type="numbering" w:customStyle="1" w:styleId="41">
    <w:name w:val="Нет списка4"/>
    <w:next w:val="a6"/>
    <w:uiPriority w:val="99"/>
    <w:semiHidden/>
    <w:unhideWhenUsed/>
    <w:rsid w:val="008D523D"/>
  </w:style>
  <w:style w:type="numbering" w:customStyle="1" w:styleId="WW8Num32">
    <w:name w:val="WW8Num32"/>
    <w:basedOn w:val="a6"/>
    <w:rsid w:val="008D523D"/>
    <w:pPr>
      <w:numPr>
        <w:numId w:val="6"/>
      </w:numPr>
    </w:pPr>
  </w:style>
  <w:style w:type="numbering" w:customStyle="1" w:styleId="51">
    <w:name w:val="Нет списка5"/>
    <w:next w:val="a6"/>
    <w:uiPriority w:val="99"/>
    <w:semiHidden/>
    <w:unhideWhenUsed/>
    <w:rsid w:val="00757F88"/>
  </w:style>
  <w:style w:type="numbering" w:customStyle="1" w:styleId="WW8Num321">
    <w:name w:val="WW8Num321"/>
    <w:basedOn w:val="a6"/>
    <w:rsid w:val="00757F88"/>
  </w:style>
  <w:style w:type="table" w:customStyle="1" w:styleId="25">
    <w:name w:val="Сетка таблицы2"/>
    <w:basedOn w:val="a5"/>
    <w:next w:val="af2"/>
    <w:uiPriority w:val="39"/>
    <w:rsid w:val="00757F8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normal0">
    <w:name w:val="msonormal"/>
    <w:basedOn w:val="a3"/>
    <w:rsid w:val="00D53157"/>
    <w:pPr>
      <w:spacing w:before="100" w:beforeAutospacing="1" w:after="100" w:afterAutospacing="1"/>
      <w:ind w:firstLine="0"/>
      <w:jc w:val="left"/>
    </w:pPr>
    <w:rPr>
      <w:rFonts w:eastAsia="Times New Roman" w:cs="Times New Roman"/>
      <w:szCs w:val="24"/>
      <w:lang w:eastAsia="ru-RU"/>
    </w:rPr>
  </w:style>
  <w:style w:type="paragraph" w:customStyle="1" w:styleId="xl65">
    <w:name w:val="xl65"/>
    <w:basedOn w:val="a3"/>
    <w:rsid w:val="00D53157"/>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rFonts w:eastAsia="Times New Roman" w:cs="Times New Roman"/>
      <w:szCs w:val="24"/>
      <w:lang w:eastAsia="ru-RU"/>
    </w:rPr>
  </w:style>
  <w:style w:type="paragraph" w:customStyle="1" w:styleId="xl66">
    <w:name w:val="xl66"/>
    <w:basedOn w:val="a3"/>
    <w:rsid w:val="00D53157"/>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eastAsia="Times New Roman" w:cs="Times New Roman"/>
      <w:i/>
      <w:iCs/>
      <w:szCs w:val="24"/>
      <w:lang w:eastAsia="ru-RU"/>
    </w:rPr>
  </w:style>
  <w:style w:type="paragraph" w:customStyle="1" w:styleId="xl67">
    <w:name w:val="xl67"/>
    <w:basedOn w:val="a3"/>
    <w:rsid w:val="00D53157"/>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eastAsia="Times New Roman" w:cs="Times New Roman"/>
      <w:szCs w:val="24"/>
      <w:lang w:eastAsia="ru-RU"/>
    </w:rPr>
  </w:style>
  <w:style w:type="paragraph" w:customStyle="1" w:styleId="xl68">
    <w:name w:val="xl68"/>
    <w:basedOn w:val="a3"/>
    <w:rsid w:val="00D53157"/>
    <w:pPr>
      <w:spacing w:before="100" w:beforeAutospacing="1" w:after="100" w:afterAutospacing="1"/>
      <w:ind w:firstLine="0"/>
      <w:jc w:val="center"/>
      <w:textAlignment w:val="center"/>
    </w:pPr>
    <w:rPr>
      <w:rFonts w:eastAsia="Times New Roman" w:cs="Times New Roman"/>
      <w:b/>
      <w:bCs/>
      <w:szCs w:val="24"/>
      <w:lang w:eastAsia="ru-RU"/>
    </w:rPr>
  </w:style>
  <w:style w:type="paragraph" w:customStyle="1" w:styleId="xl69">
    <w:name w:val="xl69"/>
    <w:basedOn w:val="a3"/>
    <w:rsid w:val="00D53157"/>
    <w:pPr>
      <w:pBdr>
        <w:top w:val="single" w:sz="4" w:space="0" w:color="auto"/>
        <w:left w:val="single" w:sz="4" w:space="0" w:color="auto"/>
        <w:right w:val="single" w:sz="4" w:space="0" w:color="auto"/>
      </w:pBdr>
      <w:spacing w:before="100" w:beforeAutospacing="1" w:after="100" w:afterAutospacing="1"/>
      <w:ind w:firstLine="0"/>
      <w:jc w:val="center"/>
      <w:textAlignment w:val="center"/>
    </w:pPr>
    <w:rPr>
      <w:rFonts w:eastAsia="Times New Roman" w:cs="Times New Roman"/>
      <w:i/>
      <w:iCs/>
      <w:szCs w:val="24"/>
      <w:lang w:eastAsia="ru-RU"/>
    </w:rPr>
  </w:style>
  <w:style w:type="paragraph" w:customStyle="1" w:styleId="xl70">
    <w:name w:val="xl70"/>
    <w:basedOn w:val="a3"/>
    <w:rsid w:val="00D53157"/>
    <w:pPr>
      <w:pBdr>
        <w:left w:val="single" w:sz="4" w:space="0" w:color="auto"/>
        <w:right w:val="single" w:sz="4" w:space="0" w:color="auto"/>
      </w:pBdr>
      <w:spacing w:before="100" w:beforeAutospacing="1" w:after="100" w:afterAutospacing="1"/>
      <w:ind w:firstLine="0"/>
      <w:jc w:val="center"/>
      <w:textAlignment w:val="center"/>
    </w:pPr>
    <w:rPr>
      <w:rFonts w:eastAsia="Times New Roman" w:cs="Times New Roman"/>
      <w:i/>
      <w:iCs/>
      <w:szCs w:val="24"/>
      <w:lang w:eastAsia="ru-RU"/>
    </w:rPr>
  </w:style>
  <w:style w:type="paragraph" w:customStyle="1" w:styleId="xl71">
    <w:name w:val="xl71"/>
    <w:basedOn w:val="a3"/>
    <w:rsid w:val="00D53157"/>
    <w:pPr>
      <w:pBdr>
        <w:left w:val="single" w:sz="4" w:space="0" w:color="auto"/>
        <w:bottom w:val="single" w:sz="4" w:space="0" w:color="auto"/>
        <w:right w:val="single" w:sz="4" w:space="0" w:color="auto"/>
      </w:pBdr>
      <w:spacing w:before="100" w:beforeAutospacing="1" w:after="100" w:afterAutospacing="1"/>
      <w:ind w:firstLine="0"/>
      <w:jc w:val="center"/>
      <w:textAlignment w:val="center"/>
    </w:pPr>
    <w:rPr>
      <w:rFonts w:eastAsia="Times New Roman" w:cs="Times New Roman"/>
      <w:i/>
      <w:iCs/>
      <w:szCs w:val="24"/>
      <w:lang w:eastAsia="ru-RU"/>
    </w:rPr>
  </w:style>
  <w:style w:type="paragraph" w:customStyle="1" w:styleId="xl72">
    <w:name w:val="xl72"/>
    <w:basedOn w:val="a3"/>
    <w:rsid w:val="00D53157"/>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eastAsia="Times New Roman" w:cs="Times New Roman"/>
      <w:szCs w:val="24"/>
      <w:lang w:eastAsia="ru-RU"/>
    </w:rPr>
  </w:style>
  <w:style w:type="paragraph" w:customStyle="1" w:styleId="xl73">
    <w:name w:val="xl73"/>
    <w:basedOn w:val="a3"/>
    <w:rsid w:val="00D53157"/>
    <w:pPr>
      <w:pBdr>
        <w:top w:val="single" w:sz="4" w:space="0" w:color="auto"/>
        <w:left w:val="single" w:sz="4" w:space="0" w:color="auto"/>
        <w:right w:val="single" w:sz="4" w:space="0" w:color="auto"/>
      </w:pBdr>
      <w:spacing w:before="100" w:beforeAutospacing="1" w:after="100" w:afterAutospacing="1"/>
      <w:ind w:firstLine="0"/>
      <w:jc w:val="center"/>
      <w:textAlignment w:val="center"/>
    </w:pPr>
    <w:rPr>
      <w:rFonts w:eastAsia="Times New Roman" w:cs="Times New Roman"/>
      <w:b/>
      <w:bCs/>
      <w:i/>
      <w:iCs/>
      <w:szCs w:val="24"/>
      <w:lang w:eastAsia="ru-RU"/>
    </w:rPr>
  </w:style>
  <w:style w:type="paragraph" w:customStyle="1" w:styleId="xl74">
    <w:name w:val="xl74"/>
    <w:basedOn w:val="a3"/>
    <w:rsid w:val="00D53157"/>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eastAsia="Times New Roman" w:cs="Times New Roman"/>
      <w:b/>
      <w:bCs/>
      <w:i/>
      <w:iCs/>
      <w:szCs w:val="24"/>
      <w:lang w:eastAsia="ru-RU"/>
    </w:rPr>
  </w:style>
  <w:style w:type="paragraph" w:customStyle="1" w:styleId="xl75">
    <w:name w:val="xl75"/>
    <w:basedOn w:val="a3"/>
    <w:rsid w:val="00D53157"/>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rFonts w:eastAsia="Times New Roman" w:cs="Times New Roman"/>
      <w:b/>
      <w:bCs/>
      <w:szCs w:val="24"/>
      <w:lang w:eastAsia="ru-RU"/>
    </w:rPr>
  </w:style>
  <w:style w:type="paragraph" w:customStyle="1" w:styleId="xl76">
    <w:name w:val="xl76"/>
    <w:basedOn w:val="a3"/>
    <w:rsid w:val="00D53157"/>
    <w:pPr>
      <w:pBdr>
        <w:left w:val="single" w:sz="4" w:space="0" w:color="auto"/>
        <w:right w:val="single" w:sz="4" w:space="0" w:color="auto"/>
      </w:pBdr>
      <w:spacing w:before="100" w:beforeAutospacing="1" w:after="100" w:afterAutospacing="1"/>
      <w:ind w:firstLine="0"/>
      <w:jc w:val="center"/>
      <w:textAlignment w:val="center"/>
    </w:pPr>
    <w:rPr>
      <w:rFonts w:eastAsia="Times New Roman" w:cs="Times New Roman"/>
      <w:b/>
      <w:bCs/>
      <w:i/>
      <w:iCs/>
      <w:szCs w:val="24"/>
      <w:lang w:eastAsia="ru-RU"/>
    </w:rPr>
  </w:style>
  <w:style w:type="paragraph" w:customStyle="1" w:styleId="xl77">
    <w:name w:val="xl77"/>
    <w:basedOn w:val="a3"/>
    <w:rsid w:val="00D53157"/>
    <w:pPr>
      <w:pBdr>
        <w:left w:val="single" w:sz="4" w:space="0" w:color="auto"/>
        <w:bottom w:val="single" w:sz="4" w:space="0" w:color="auto"/>
        <w:right w:val="single" w:sz="4" w:space="0" w:color="auto"/>
      </w:pBdr>
      <w:spacing w:before="100" w:beforeAutospacing="1" w:after="100" w:afterAutospacing="1"/>
      <w:ind w:firstLine="0"/>
      <w:jc w:val="center"/>
      <w:textAlignment w:val="center"/>
    </w:pPr>
    <w:rPr>
      <w:rFonts w:eastAsia="Times New Roman" w:cs="Times New Roman"/>
      <w:b/>
      <w:bCs/>
      <w:i/>
      <w:iCs/>
      <w:szCs w:val="24"/>
      <w:lang w:eastAsia="ru-RU"/>
    </w:rPr>
  </w:style>
  <w:style w:type="paragraph" w:styleId="afff2">
    <w:name w:val="table of figures"/>
    <w:aliases w:val="приложений"/>
    <w:basedOn w:val="a3"/>
    <w:next w:val="a3"/>
    <w:uiPriority w:val="99"/>
    <w:unhideWhenUsed/>
    <w:rsid w:val="001E0B9F"/>
    <w:pPr>
      <w:ind w:left="480" w:hanging="480"/>
      <w:jc w:val="center"/>
    </w:pPr>
    <w:rPr>
      <w:rFonts w:asciiTheme="minorHAnsi" w:hAnsiTheme="minorHAnsi" w:cstheme="minorHAnsi"/>
      <w:b/>
      <w:bCs/>
      <w:i/>
      <w:iCs/>
      <w:sz w:val="20"/>
      <w:szCs w:val="20"/>
    </w:rPr>
  </w:style>
  <w:style w:type="paragraph" w:customStyle="1" w:styleId="afff3">
    <w:name w:val="Нормальный (таблица)"/>
    <w:basedOn w:val="a3"/>
    <w:next w:val="a3"/>
    <w:uiPriority w:val="99"/>
    <w:rsid w:val="000E3798"/>
    <w:pPr>
      <w:widowControl w:val="0"/>
      <w:autoSpaceDE w:val="0"/>
      <w:autoSpaceDN w:val="0"/>
      <w:adjustRightInd w:val="0"/>
      <w:ind w:firstLine="0"/>
    </w:pPr>
    <w:rPr>
      <w:rFonts w:ascii="Times New Roman CYR" w:eastAsiaTheme="minorEastAsia" w:hAnsi="Times New Roman CYR" w:cs="Times New Roman CYR"/>
      <w:szCs w:val="24"/>
      <w:lang w:eastAsia="ru-RU"/>
    </w:rPr>
  </w:style>
  <w:style w:type="paragraph" w:customStyle="1" w:styleId="afff4">
    <w:name w:val="Прижатый влево"/>
    <w:basedOn w:val="a3"/>
    <w:next w:val="a3"/>
    <w:uiPriority w:val="99"/>
    <w:rsid w:val="000E3798"/>
    <w:pPr>
      <w:widowControl w:val="0"/>
      <w:autoSpaceDE w:val="0"/>
      <w:autoSpaceDN w:val="0"/>
      <w:adjustRightInd w:val="0"/>
      <w:ind w:firstLine="0"/>
      <w:jc w:val="left"/>
    </w:pPr>
    <w:rPr>
      <w:rFonts w:ascii="Times New Roman CYR" w:eastAsiaTheme="minorEastAsia" w:hAnsi="Times New Roman CYR" w:cs="Times New Roman CYR"/>
      <w:szCs w:val="24"/>
      <w:lang w:eastAsia="ru-RU"/>
    </w:rPr>
  </w:style>
  <w:style w:type="paragraph" w:customStyle="1" w:styleId="ui-datepicker-cover">
    <w:name w:val="ui-datepicker-cover"/>
    <w:basedOn w:val="a3"/>
    <w:rsid w:val="005B148E"/>
    <w:pPr>
      <w:spacing w:before="100" w:beforeAutospacing="1" w:after="100" w:afterAutospacing="1"/>
      <w:ind w:firstLine="0"/>
      <w:jc w:val="left"/>
    </w:pPr>
    <w:rPr>
      <w:rFonts w:eastAsia="Times New Roman" w:cs="Times New Roman"/>
      <w:szCs w:val="24"/>
      <w:lang w:eastAsia="ru-RU"/>
    </w:rPr>
  </w:style>
  <w:style w:type="numbering" w:customStyle="1" w:styleId="61">
    <w:name w:val="Нет списка6"/>
    <w:next w:val="a6"/>
    <w:uiPriority w:val="99"/>
    <w:semiHidden/>
    <w:unhideWhenUsed/>
    <w:rsid w:val="0047261E"/>
  </w:style>
  <w:style w:type="numbering" w:customStyle="1" w:styleId="Outline">
    <w:name w:val="Outline"/>
    <w:basedOn w:val="a6"/>
    <w:rsid w:val="0047261E"/>
    <w:pPr>
      <w:numPr>
        <w:numId w:val="9"/>
      </w:numPr>
    </w:pPr>
  </w:style>
  <w:style w:type="paragraph" w:customStyle="1" w:styleId="Heading">
    <w:name w:val="Heading"/>
    <w:basedOn w:val="Standard"/>
    <w:next w:val="Standard"/>
    <w:rsid w:val="0047261E"/>
    <w:pPr>
      <w:pBdr>
        <w:bottom w:val="single" w:sz="8" w:space="4" w:color="4F81BD"/>
      </w:pBdr>
      <w:spacing w:after="300"/>
      <w:ind w:firstLine="709"/>
      <w:jc w:val="both"/>
    </w:pPr>
    <w:rPr>
      <w:rFonts w:ascii="Cambria" w:hAnsi="Cambria" w:cs="Cambria"/>
      <w:color w:val="17365D"/>
      <w:spacing w:val="5"/>
      <w:sz w:val="52"/>
      <w:szCs w:val="52"/>
    </w:rPr>
  </w:style>
  <w:style w:type="paragraph" w:customStyle="1" w:styleId="Textbody">
    <w:name w:val="Text body"/>
    <w:basedOn w:val="Standard"/>
    <w:rsid w:val="0047261E"/>
    <w:pPr>
      <w:spacing w:after="120"/>
      <w:ind w:firstLine="709"/>
      <w:jc w:val="both"/>
    </w:pPr>
    <w:rPr>
      <w:rFonts w:eastAsia="Calibri"/>
    </w:rPr>
  </w:style>
  <w:style w:type="paragraph" w:styleId="afff5">
    <w:name w:val="List"/>
    <w:basedOn w:val="Textbody"/>
    <w:rsid w:val="0047261E"/>
    <w:rPr>
      <w:rFonts w:cs="Mangal"/>
    </w:rPr>
  </w:style>
  <w:style w:type="paragraph" w:customStyle="1" w:styleId="Index">
    <w:name w:val="Index"/>
    <w:basedOn w:val="Standard"/>
    <w:rsid w:val="0047261E"/>
    <w:pPr>
      <w:suppressLineNumbers/>
      <w:ind w:firstLine="709"/>
      <w:jc w:val="both"/>
    </w:pPr>
    <w:rPr>
      <w:rFonts w:eastAsia="Calibri" w:cs="Mangal"/>
    </w:rPr>
  </w:style>
  <w:style w:type="paragraph" w:customStyle="1" w:styleId="Contents1">
    <w:name w:val="Contents 1"/>
    <w:basedOn w:val="Standard"/>
    <w:next w:val="Standard"/>
    <w:rsid w:val="0047261E"/>
    <w:pPr>
      <w:ind w:firstLine="709"/>
      <w:jc w:val="both"/>
    </w:pPr>
    <w:rPr>
      <w:rFonts w:eastAsia="Calibri"/>
      <w:caps/>
      <w:sz w:val="28"/>
      <w:szCs w:val="28"/>
    </w:rPr>
  </w:style>
  <w:style w:type="paragraph" w:customStyle="1" w:styleId="Contents2">
    <w:name w:val="Contents 2"/>
    <w:basedOn w:val="Standard"/>
    <w:next w:val="Standard"/>
    <w:rsid w:val="0047261E"/>
    <w:pPr>
      <w:tabs>
        <w:tab w:val="right" w:leader="dot" w:pos="11046"/>
      </w:tabs>
      <w:spacing w:after="120"/>
      <w:ind w:left="851" w:hanging="851"/>
      <w:jc w:val="both"/>
    </w:pPr>
    <w:rPr>
      <w:rFonts w:eastAsia="Calibri"/>
    </w:rPr>
  </w:style>
  <w:style w:type="paragraph" w:styleId="34">
    <w:name w:val="Body Text Indent 3"/>
    <w:basedOn w:val="Standard"/>
    <w:link w:val="35"/>
    <w:rsid w:val="0047261E"/>
    <w:pPr>
      <w:ind w:firstLine="708"/>
      <w:jc w:val="both"/>
    </w:pPr>
    <w:rPr>
      <w:sz w:val="28"/>
      <w:szCs w:val="20"/>
    </w:rPr>
  </w:style>
  <w:style w:type="character" w:customStyle="1" w:styleId="35">
    <w:name w:val="Основной текст с отступом 3 Знак"/>
    <w:basedOn w:val="a4"/>
    <w:link w:val="34"/>
    <w:rsid w:val="0047261E"/>
    <w:rPr>
      <w:rFonts w:ascii="Times New Roman" w:eastAsia="Times New Roman" w:hAnsi="Times New Roman" w:cs="Times New Roman"/>
      <w:kern w:val="3"/>
      <w:sz w:val="28"/>
      <w:szCs w:val="20"/>
      <w:lang w:eastAsia="zh-CN"/>
    </w:rPr>
  </w:style>
  <w:style w:type="paragraph" w:customStyle="1" w:styleId="a0">
    <w:name w:val="Список с точками"/>
    <w:basedOn w:val="Standard"/>
    <w:next w:val="Standard"/>
    <w:rsid w:val="0047261E"/>
    <w:pPr>
      <w:numPr>
        <w:numId w:val="37"/>
      </w:numPr>
      <w:spacing w:before="60"/>
      <w:jc w:val="both"/>
    </w:pPr>
    <w:rPr>
      <w:rFonts w:eastAsia="Calibri"/>
      <w:sz w:val="20"/>
      <w:szCs w:val="20"/>
    </w:rPr>
  </w:style>
  <w:style w:type="paragraph" w:styleId="26">
    <w:name w:val="Body Text Indent 2"/>
    <w:basedOn w:val="Standard"/>
    <w:link w:val="27"/>
    <w:rsid w:val="0047261E"/>
    <w:pPr>
      <w:spacing w:after="120" w:line="480" w:lineRule="auto"/>
      <w:ind w:left="283"/>
      <w:jc w:val="both"/>
    </w:pPr>
    <w:rPr>
      <w:rFonts w:eastAsia="Calibri"/>
    </w:rPr>
  </w:style>
  <w:style w:type="character" w:customStyle="1" w:styleId="27">
    <w:name w:val="Основной текст с отступом 2 Знак"/>
    <w:basedOn w:val="a4"/>
    <w:link w:val="26"/>
    <w:rsid w:val="0047261E"/>
    <w:rPr>
      <w:rFonts w:ascii="Times New Roman" w:eastAsia="Calibri" w:hAnsi="Times New Roman" w:cs="Times New Roman"/>
      <w:kern w:val="3"/>
      <w:sz w:val="24"/>
      <w:szCs w:val="24"/>
      <w:lang w:eastAsia="zh-CN"/>
    </w:rPr>
  </w:style>
  <w:style w:type="paragraph" w:customStyle="1" w:styleId="340">
    <w:name w:val="Стиль34"/>
    <w:basedOn w:val="26"/>
    <w:rsid w:val="0047261E"/>
    <w:pPr>
      <w:widowControl w:val="0"/>
      <w:spacing w:after="0" w:line="240" w:lineRule="auto"/>
      <w:ind w:left="0"/>
    </w:pPr>
    <w:rPr>
      <w:rFonts w:ascii="Arial" w:eastAsia="Arial" w:hAnsi="Arial" w:cs="Arial"/>
      <w:color w:val="000000"/>
      <w:sz w:val="16"/>
      <w:szCs w:val="16"/>
    </w:rPr>
  </w:style>
  <w:style w:type="paragraph" w:customStyle="1" w:styleId="42">
    <w:name w:val="Стиль42"/>
    <w:basedOn w:val="Standard"/>
    <w:rsid w:val="0047261E"/>
    <w:pPr>
      <w:spacing w:before="60" w:after="60"/>
      <w:ind w:firstLine="709"/>
      <w:jc w:val="both"/>
    </w:pPr>
    <w:rPr>
      <w:rFonts w:ascii="Arial" w:eastAsia="Arial" w:hAnsi="Arial" w:cs="Arial"/>
      <w:b/>
      <w:bCs/>
      <w:color w:val="0000FF"/>
      <w:sz w:val="16"/>
      <w:szCs w:val="16"/>
    </w:rPr>
  </w:style>
  <w:style w:type="paragraph" w:customStyle="1" w:styleId="marker-quote3">
    <w:name w:val="marker-quote3"/>
    <w:basedOn w:val="Standard"/>
    <w:rsid w:val="0047261E"/>
    <w:pPr>
      <w:spacing w:before="280" w:after="280"/>
      <w:ind w:firstLine="709"/>
      <w:jc w:val="both"/>
    </w:pPr>
    <w:rPr>
      <w:rFonts w:eastAsia="Calibri"/>
    </w:rPr>
  </w:style>
  <w:style w:type="paragraph" w:customStyle="1" w:styleId="210">
    <w:name w:val="Основной текст с отступом 21"/>
    <w:basedOn w:val="Standard"/>
    <w:rsid w:val="0047261E"/>
    <w:pPr>
      <w:ind w:firstLine="708"/>
      <w:jc w:val="both"/>
    </w:pPr>
  </w:style>
  <w:style w:type="paragraph" w:customStyle="1" w:styleId="Contents4">
    <w:name w:val="Contents 4"/>
    <w:basedOn w:val="Standard"/>
    <w:next w:val="Standard"/>
    <w:rsid w:val="0047261E"/>
    <w:pPr>
      <w:ind w:left="720"/>
      <w:jc w:val="both"/>
    </w:pPr>
    <w:rPr>
      <w:rFonts w:eastAsia="Calibri"/>
    </w:rPr>
  </w:style>
  <w:style w:type="paragraph" w:customStyle="1" w:styleId="Endnote">
    <w:name w:val="Endnote"/>
    <w:basedOn w:val="Standard"/>
    <w:rsid w:val="0047261E"/>
    <w:pPr>
      <w:ind w:firstLine="709"/>
      <w:jc w:val="both"/>
    </w:pPr>
    <w:rPr>
      <w:rFonts w:eastAsia="Calibri"/>
      <w:sz w:val="20"/>
      <w:szCs w:val="20"/>
    </w:rPr>
  </w:style>
  <w:style w:type="paragraph" w:customStyle="1" w:styleId="Footnote">
    <w:name w:val="Footnote"/>
    <w:basedOn w:val="Standard"/>
    <w:rsid w:val="0047261E"/>
    <w:pPr>
      <w:ind w:firstLine="709"/>
      <w:jc w:val="both"/>
    </w:pPr>
    <w:rPr>
      <w:rFonts w:eastAsia="Calibri"/>
      <w:sz w:val="20"/>
      <w:szCs w:val="20"/>
    </w:rPr>
  </w:style>
  <w:style w:type="paragraph" w:customStyle="1" w:styleId="170">
    <w:name w:val="17 Рисунок номер"/>
    <w:basedOn w:val="Standard"/>
    <w:rsid w:val="0047261E"/>
    <w:pPr>
      <w:tabs>
        <w:tab w:val="left" w:pos="709"/>
      </w:tabs>
      <w:spacing w:after="200" w:line="276" w:lineRule="atLeast"/>
      <w:ind w:firstLine="709"/>
      <w:jc w:val="center"/>
    </w:pPr>
    <w:rPr>
      <w:rFonts w:eastAsia="Calibri"/>
      <w:b/>
      <w:color w:val="00000A"/>
    </w:rPr>
  </w:style>
  <w:style w:type="paragraph" w:customStyle="1" w:styleId="310">
    <w:name w:val="Основной текст с отступом 31"/>
    <w:basedOn w:val="Standard"/>
    <w:rsid w:val="0047261E"/>
    <w:pPr>
      <w:ind w:right="-625" w:firstLine="567"/>
      <w:jc w:val="both"/>
    </w:pPr>
    <w:rPr>
      <w:szCs w:val="20"/>
    </w:rPr>
  </w:style>
  <w:style w:type="paragraph" w:customStyle="1" w:styleId="320">
    <w:name w:val="Основной текст 32"/>
    <w:basedOn w:val="Standard"/>
    <w:rsid w:val="0047261E"/>
    <w:pPr>
      <w:spacing w:after="120"/>
      <w:ind w:firstLine="709"/>
      <w:jc w:val="both"/>
    </w:pPr>
    <w:rPr>
      <w:rFonts w:ascii="Calibri" w:hAnsi="Calibri" w:cs="Calibri"/>
      <w:sz w:val="16"/>
      <w:szCs w:val="16"/>
    </w:rPr>
  </w:style>
  <w:style w:type="paragraph" w:customStyle="1" w:styleId="1KGK9">
    <w:name w:val="1KG=K9"/>
    <w:rsid w:val="0047261E"/>
    <w:pPr>
      <w:suppressAutoHyphens/>
      <w:autoSpaceDN w:val="0"/>
      <w:snapToGrid w:val="0"/>
      <w:spacing w:after="0" w:line="240" w:lineRule="auto"/>
      <w:jc w:val="both"/>
      <w:textAlignment w:val="baseline"/>
    </w:pPr>
    <w:rPr>
      <w:rFonts w:ascii="Arial" w:eastAsia="Arial" w:hAnsi="Arial" w:cs="Arial"/>
      <w:kern w:val="3"/>
      <w:sz w:val="24"/>
      <w:szCs w:val="20"/>
      <w:lang w:eastAsia="zh-CN"/>
    </w:rPr>
  </w:style>
  <w:style w:type="paragraph" w:customStyle="1" w:styleId="Textbodyindent">
    <w:name w:val="Text body indent"/>
    <w:basedOn w:val="Standard"/>
    <w:rsid w:val="0047261E"/>
    <w:pPr>
      <w:spacing w:after="120"/>
      <w:ind w:left="283"/>
      <w:jc w:val="both"/>
    </w:pPr>
    <w:rPr>
      <w:rFonts w:eastAsia="Calibri"/>
    </w:rPr>
  </w:style>
  <w:style w:type="paragraph" w:customStyle="1" w:styleId="Text">
    <w:name w:val="Text"/>
    <w:basedOn w:val="aff3"/>
    <w:rsid w:val="0047261E"/>
    <w:pPr>
      <w:suppressLineNumbers/>
      <w:suppressAutoHyphens/>
      <w:autoSpaceDN w:val="0"/>
      <w:ind w:firstLine="709"/>
      <w:jc w:val="both"/>
      <w:textAlignment w:val="baseline"/>
    </w:pPr>
    <w:rPr>
      <w:rFonts w:eastAsia="Calibri"/>
      <w:b w:val="0"/>
      <w:i/>
      <w:iCs/>
      <w:caps w:val="0"/>
      <w:kern w:val="3"/>
      <w:sz w:val="20"/>
      <w:szCs w:val="20"/>
      <w:lang w:eastAsia="zh-CN"/>
    </w:rPr>
  </w:style>
  <w:style w:type="paragraph" w:customStyle="1" w:styleId="WW-">
    <w:name w:val="WW-Текст"/>
    <w:basedOn w:val="Standard"/>
    <w:rsid w:val="0047261E"/>
    <w:pPr>
      <w:ind w:firstLine="709"/>
      <w:jc w:val="both"/>
    </w:pPr>
    <w:rPr>
      <w:rFonts w:ascii="Courier New" w:hAnsi="Courier New" w:cs="Courier New"/>
      <w:sz w:val="20"/>
      <w:szCs w:val="20"/>
    </w:rPr>
  </w:style>
  <w:style w:type="paragraph" w:customStyle="1" w:styleId="afff6">
    <w:name w:val="Мой стиль"/>
    <w:basedOn w:val="Standard"/>
    <w:rsid w:val="0047261E"/>
    <w:pPr>
      <w:spacing w:line="360" w:lineRule="auto"/>
      <w:ind w:firstLine="567"/>
      <w:jc w:val="both"/>
    </w:pPr>
    <w:rPr>
      <w:sz w:val="28"/>
      <w:szCs w:val="28"/>
    </w:rPr>
  </w:style>
  <w:style w:type="paragraph" w:customStyle="1" w:styleId="afff7">
    <w:name w:val="Подлежащее таблицы"/>
    <w:basedOn w:val="Standard"/>
    <w:rsid w:val="0047261E"/>
    <w:pPr>
      <w:spacing w:line="240" w:lineRule="exact"/>
      <w:ind w:left="113" w:hanging="113"/>
      <w:jc w:val="both"/>
    </w:pPr>
    <w:rPr>
      <w:rFonts w:ascii="Arial" w:hAnsi="Arial" w:cs="Arial"/>
      <w:sz w:val="20"/>
      <w:szCs w:val="20"/>
    </w:rPr>
  </w:style>
  <w:style w:type="paragraph" w:customStyle="1" w:styleId="Table">
    <w:name w:val="Table"/>
    <w:basedOn w:val="Standard"/>
    <w:rsid w:val="0047261E"/>
    <w:pPr>
      <w:tabs>
        <w:tab w:val="decimal" w:pos="567"/>
      </w:tabs>
      <w:spacing w:line="240" w:lineRule="exact"/>
      <w:ind w:firstLine="709"/>
      <w:jc w:val="both"/>
    </w:pPr>
    <w:rPr>
      <w:rFonts w:ascii="Arial" w:hAnsi="Arial" w:cs="Arial"/>
      <w:sz w:val="20"/>
      <w:szCs w:val="20"/>
    </w:rPr>
  </w:style>
  <w:style w:type="paragraph" w:styleId="28">
    <w:name w:val="Body Text 2"/>
    <w:basedOn w:val="Standard"/>
    <w:link w:val="29"/>
    <w:rsid w:val="0047261E"/>
    <w:pPr>
      <w:spacing w:after="120" w:line="480" w:lineRule="auto"/>
      <w:ind w:firstLine="709"/>
      <w:jc w:val="both"/>
    </w:pPr>
    <w:rPr>
      <w:rFonts w:eastAsia="Calibri"/>
    </w:rPr>
  </w:style>
  <w:style w:type="character" w:customStyle="1" w:styleId="29">
    <w:name w:val="Основной текст 2 Знак"/>
    <w:basedOn w:val="a4"/>
    <w:link w:val="28"/>
    <w:rsid w:val="0047261E"/>
    <w:rPr>
      <w:rFonts w:ascii="Times New Roman" w:eastAsia="Calibri" w:hAnsi="Times New Roman" w:cs="Times New Roman"/>
      <w:kern w:val="3"/>
      <w:sz w:val="24"/>
      <w:szCs w:val="24"/>
      <w:lang w:eastAsia="zh-CN"/>
    </w:rPr>
  </w:style>
  <w:style w:type="paragraph" w:customStyle="1" w:styleId="36">
    <w:name w:val="Обычный3"/>
    <w:link w:val="Normal"/>
    <w:rsid w:val="0047261E"/>
    <w:pPr>
      <w:suppressAutoHyphens/>
      <w:autoSpaceDN w:val="0"/>
      <w:spacing w:after="0" w:line="240" w:lineRule="auto"/>
      <w:textAlignment w:val="baseline"/>
    </w:pPr>
    <w:rPr>
      <w:rFonts w:ascii="Times New Roman" w:eastAsia="Calibri" w:hAnsi="Times New Roman" w:cs="Times New Roman"/>
      <w:kern w:val="3"/>
      <w:sz w:val="20"/>
      <w:szCs w:val="20"/>
      <w:lang w:eastAsia="zh-CN"/>
    </w:rPr>
  </w:style>
  <w:style w:type="paragraph" w:customStyle="1" w:styleId="WW-0">
    <w:name w:val="WW-Базовый"/>
    <w:rsid w:val="0047261E"/>
    <w:pPr>
      <w:tabs>
        <w:tab w:val="left" w:pos="708"/>
      </w:tabs>
      <w:suppressAutoHyphens/>
      <w:autoSpaceDN w:val="0"/>
      <w:spacing w:after="0" w:line="240" w:lineRule="auto"/>
      <w:textAlignment w:val="baseline"/>
    </w:pPr>
    <w:rPr>
      <w:rFonts w:ascii="Times New Roman" w:eastAsia="Times New Roman" w:hAnsi="Times New Roman" w:cs="Times New Roman"/>
      <w:color w:val="00000A"/>
      <w:kern w:val="3"/>
      <w:sz w:val="24"/>
      <w:szCs w:val="24"/>
      <w:lang w:eastAsia="zh-CN"/>
    </w:rPr>
  </w:style>
  <w:style w:type="paragraph" w:customStyle="1" w:styleId="FR1">
    <w:name w:val="FR1"/>
    <w:rsid w:val="0047261E"/>
    <w:pPr>
      <w:widowControl w:val="0"/>
      <w:suppressAutoHyphens/>
      <w:autoSpaceDE w:val="0"/>
      <w:autoSpaceDN w:val="0"/>
      <w:spacing w:before="200" w:after="0" w:line="396" w:lineRule="auto"/>
      <w:jc w:val="center"/>
      <w:textAlignment w:val="baseline"/>
    </w:pPr>
    <w:rPr>
      <w:rFonts w:ascii="Times New Roman" w:eastAsia="Times New Roman" w:hAnsi="Times New Roman" w:cs="Times New Roman"/>
      <w:b/>
      <w:bCs/>
      <w:kern w:val="3"/>
      <w:lang w:eastAsia="zh-CN"/>
    </w:rPr>
  </w:style>
  <w:style w:type="paragraph" w:customStyle="1" w:styleId="37">
    <w:name w:val="мой 3"/>
    <w:basedOn w:val="Standard"/>
    <w:rsid w:val="0047261E"/>
    <w:pPr>
      <w:ind w:firstLine="709"/>
      <w:jc w:val="center"/>
    </w:pPr>
    <w:rPr>
      <w:b/>
      <w:sz w:val="28"/>
      <w:szCs w:val="28"/>
    </w:rPr>
  </w:style>
  <w:style w:type="paragraph" w:customStyle="1" w:styleId="Style2">
    <w:name w:val="Style2"/>
    <w:basedOn w:val="Standard"/>
    <w:rsid w:val="0047261E"/>
    <w:pPr>
      <w:widowControl w:val="0"/>
      <w:autoSpaceDE w:val="0"/>
      <w:spacing w:line="322" w:lineRule="exact"/>
      <w:ind w:firstLine="350"/>
      <w:jc w:val="both"/>
    </w:pPr>
  </w:style>
  <w:style w:type="paragraph" w:customStyle="1" w:styleId="2a">
    <w:name w:val="Доклад 2"/>
    <w:basedOn w:val="37"/>
    <w:rsid w:val="0047261E"/>
  </w:style>
  <w:style w:type="paragraph" w:customStyle="1" w:styleId="2b">
    <w:name w:val="Леша 2"/>
    <w:basedOn w:val="2a"/>
    <w:rsid w:val="0047261E"/>
  </w:style>
  <w:style w:type="paragraph" w:styleId="afff8">
    <w:name w:val="Block Text"/>
    <w:basedOn w:val="Standard"/>
    <w:rsid w:val="0047261E"/>
    <w:pPr>
      <w:widowControl w:val="0"/>
      <w:spacing w:line="216" w:lineRule="auto"/>
      <w:ind w:left="1600" w:right="377"/>
      <w:jc w:val="center"/>
    </w:pPr>
    <w:rPr>
      <w:b/>
      <w:bCs/>
      <w:sz w:val="28"/>
      <w:szCs w:val="20"/>
    </w:rPr>
  </w:style>
  <w:style w:type="paragraph" w:customStyle="1" w:styleId="211">
    <w:name w:val="21"/>
    <w:basedOn w:val="Standard"/>
    <w:rsid w:val="0047261E"/>
    <w:pPr>
      <w:spacing w:after="180"/>
      <w:ind w:firstLine="709"/>
      <w:jc w:val="both"/>
    </w:pPr>
  </w:style>
  <w:style w:type="paragraph" w:customStyle="1" w:styleId="ContentsHeading">
    <w:name w:val="Contents Heading"/>
    <w:basedOn w:val="10"/>
    <w:next w:val="Standard"/>
    <w:rsid w:val="0047261E"/>
    <w:pPr>
      <w:keepLines w:val="0"/>
      <w:suppressAutoHyphens/>
      <w:autoSpaceDN w:val="0"/>
      <w:spacing w:after="60"/>
      <w:ind w:firstLine="0"/>
      <w:jc w:val="both"/>
      <w:textAlignment w:val="baseline"/>
    </w:pPr>
    <w:rPr>
      <w:rFonts w:ascii="Cambria" w:eastAsia="Times New Roman" w:hAnsi="Cambria" w:cs="Cambria"/>
      <w:b w:val="0"/>
      <w:bCs/>
      <w:kern w:val="3"/>
      <w:sz w:val="32"/>
      <w:lang w:eastAsia="zh-CN"/>
    </w:rPr>
  </w:style>
  <w:style w:type="paragraph" w:customStyle="1" w:styleId="Nonformat">
    <w:name w:val="Nonformat"/>
    <w:basedOn w:val="Standard"/>
    <w:rsid w:val="0047261E"/>
    <w:pPr>
      <w:ind w:firstLine="709"/>
      <w:jc w:val="both"/>
    </w:pPr>
    <w:rPr>
      <w:rFonts w:ascii="Consultant, 'Courier New'" w:hAnsi="Consultant, 'Courier New'" w:cs="Consultant, 'Courier New'"/>
      <w:sz w:val="20"/>
      <w:szCs w:val="20"/>
    </w:rPr>
  </w:style>
  <w:style w:type="paragraph" w:customStyle="1" w:styleId="Iauiue">
    <w:name w:val="Iau?iue"/>
    <w:rsid w:val="0047261E"/>
    <w:pPr>
      <w:suppressAutoHyphens/>
      <w:overflowPunct w:val="0"/>
      <w:autoSpaceDE w:val="0"/>
      <w:autoSpaceDN w:val="0"/>
      <w:spacing w:after="0" w:line="240" w:lineRule="auto"/>
      <w:textAlignment w:val="baseline"/>
    </w:pPr>
    <w:rPr>
      <w:rFonts w:ascii="Times New Roman" w:eastAsia="Times New Roman" w:hAnsi="Times New Roman" w:cs="Times New Roman"/>
      <w:kern w:val="3"/>
      <w:sz w:val="20"/>
      <w:szCs w:val="20"/>
      <w:lang w:val="en-US" w:eastAsia="zh-CN"/>
    </w:rPr>
  </w:style>
  <w:style w:type="paragraph" w:styleId="38">
    <w:name w:val="Body Text 3"/>
    <w:basedOn w:val="Standard"/>
    <w:link w:val="39"/>
    <w:rsid w:val="0047261E"/>
    <w:pPr>
      <w:ind w:firstLine="709"/>
      <w:jc w:val="center"/>
    </w:pPr>
    <w:rPr>
      <w:i/>
      <w:sz w:val="20"/>
      <w:szCs w:val="20"/>
    </w:rPr>
  </w:style>
  <w:style w:type="character" w:customStyle="1" w:styleId="39">
    <w:name w:val="Основной текст 3 Знак"/>
    <w:basedOn w:val="a4"/>
    <w:link w:val="38"/>
    <w:rsid w:val="0047261E"/>
    <w:rPr>
      <w:rFonts w:ascii="Times New Roman" w:eastAsia="Times New Roman" w:hAnsi="Times New Roman" w:cs="Times New Roman"/>
      <w:i/>
      <w:kern w:val="3"/>
      <w:sz w:val="20"/>
      <w:szCs w:val="20"/>
      <w:lang w:eastAsia="zh-CN"/>
    </w:rPr>
  </w:style>
  <w:style w:type="paragraph" w:customStyle="1" w:styleId="Iniiaiieoaeno21">
    <w:name w:val="Iniiaiie oaeno 21"/>
    <w:basedOn w:val="Iauiue"/>
    <w:rsid w:val="0047261E"/>
  </w:style>
  <w:style w:type="paragraph" w:customStyle="1" w:styleId="Contents3">
    <w:name w:val="Contents 3"/>
    <w:basedOn w:val="Standard"/>
    <w:next w:val="Standard"/>
    <w:rsid w:val="0047261E"/>
    <w:pPr>
      <w:ind w:left="400"/>
      <w:jc w:val="both"/>
    </w:pPr>
    <w:rPr>
      <w:i/>
      <w:iCs/>
      <w:sz w:val="20"/>
      <w:szCs w:val="20"/>
    </w:rPr>
  </w:style>
  <w:style w:type="paragraph" w:customStyle="1" w:styleId="ConsNormal">
    <w:name w:val="ConsNormal"/>
    <w:rsid w:val="0047261E"/>
    <w:pPr>
      <w:widowControl w:val="0"/>
      <w:suppressAutoHyphens/>
      <w:autoSpaceDE w:val="0"/>
      <w:autoSpaceDN w:val="0"/>
      <w:spacing w:after="0" w:line="240" w:lineRule="auto"/>
      <w:ind w:firstLine="720"/>
      <w:textAlignment w:val="baseline"/>
    </w:pPr>
    <w:rPr>
      <w:rFonts w:ascii="Arial" w:eastAsia="Times New Roman" w:hAnsi="Arial" w:cs="Arial"/>
      <w:kern w:val="3"/>
      <w:sz w:val="18"/>
      <w:szCs w:val="18"/>
      <w:lang w:eastAsia="zh-CN"/>
    </w:rPr>
  </w:style>
  <w:style w:type="paragraph" w:customStyle="1" w:styleId="xl24">
    <w:name w:val="xl24"/>
    <w:basedOn w:val="Standard"/>
    <w:rsid w:val="0047261E"/>
    <w:pPr>
      <w:pBdr>
        <w:top w:val="single" w:sz="4" w:space="0" w:color="000000"/>
        <w:left w:val="single" w:sz="4" w:space="0" w:color="000000"/>
        <w:bottom w:val="single" w:sz="4" w:space="0" w:color="000000"/>
        <w:right w:val="single" w:sz="4" w:space="0" w:color="000000"/>
      </w:pBdr>
      <w:spacing w:before="280" w:after="280"/>
      <w:ind w:firstLine="709"/>
      <w:jc w:val="both"/>
    </w:pPr>
    <w:rPr>
      <w:rFonts w:ascii="Arial" w:hAnsi="Arial" w:cs="Arial"/>
      <w:sz w:val="18"/>
      <w:szCs w:val="18"/>
    </w:rPr>
  </w:style>
  <w:style w:type="paragraph" w:customStyle="1" w:styleId="xl25">
    <w:name w:val="xl25"/>
    <w:basedOn w:val="Standard"/>
    <w:rsid w:val="0047261E"/>
    <w:pPr>
      <w:pBdr>
        <w:top w:val="single" w:sz="4" w:space="0" w:color="000000"/>
        <w:left w:val="single" w:sz="4" w:space="0" w:color="000000"/>
        <w:bottom w:val="single" w:sz="4" w:space="0" w:color="000000"/>
        <w:right w:val="single" w:sz="4" w:space="0" w:color="000000"/>
      </w:pBdr>
      <w:spacing w:before="280" w:after="280"/>
      <w:ind w:firstLine="709"/>
      <w:jc w:val="both"/>
    </w:pPr>
    <w:rPr>
      <w:rFonts w:ascii="Arial" w:hAnsi="Arial" w:cs="Arial"/>
      <w:sz w:val="18"/>
      <w:szCs w:val="18"/>
    </w:rPr>
  </w:style>
  <w:style w:type="paragraph" w:customStyle="1" w:styleId="xl26">
    <w:name w:val="xl26"/>
    <w:basedOn w:val="Standard"/>
    <w:rsid w:val="0047261E"/>
    <w:pPr>
      <w:pBdr>
        <w:top w:val="single" w:sz="4" w:space="0" w:color="000000"/>
        <w:left w:val="single" w:sz="4" w:space="0" w:color="000000"/>
        <w:bottom w:val="single" w:sz="4" w:space="0" w:color="000000"/>
        <w:right w:val="single" w:sz="4" w:space="0" w:color="000000"/>
      </w:pBdr>
      <w:spacing w:before="280" w:after="280"/>
      <w:ind w:firstLine="709"/>
      <w:jc w:val="center"/>
    </w:pPr>
    <w:rPr>
      <w:rFonts w:ascii="Arial" w:hAnsi="Arial" w:cs="Arial"/>
      <w:sz w:val="18"/>
      <w:szCs w:val="18"/>
    </w:rPr>
  </w:style>
  <w:style w:type="paragraph" w:customStyle="1" w:styleId="xl27">
    <w:name w:val="xl27"/>
    <w:basedOn w:val="Standard"/>
    <w:qFormat/>
    <w:rsid w:val="0047261E"/>
    <w:pPr>
      <w:pBdr>
        <w:top w:val="single" w:sz="4" w:space="0" w:color="000000"/>
        <w:left w:val="single" w:sz="4" w:space="0" w:color="000000"/>
        <w:bottom w:val="single" w:sz="4" w:space="0" w:color="000000"/>
        <w:right w:val="single" w:sz="4" w:space="0" w:color="000000"/>
      </w:pBdr>
      <w:spacing w:before="280" w:after="280"/>
      <w:ind w:firstLine="709"/>
      <w:jc w:val="both"/>
    </w:pPr>
    <w:rPr>
      <w:rFonts w:ascii="Arial" w:hAnsi="Arial" w:cs="Arial"/>
      <w:sz w:val="18"/>
      <w:szCs w:val="18"/>
    </w:rPr>
  </w:style>
  <w:style w:type="paragraph" w:customStyle="1" w:styleId="xl28">
    <w:name w:val="xl28"/>
    <w:basedOn w:val="Standard"/>
    <w:rsid w:val="0047261E"/>
    <w:pPr>
      <w:pBdr>
        <w:top w:val="single" w:sz="4" w:space="0" w:color="000000"/>
        <w:left w:val="single" w:sz="4" w:space="0" w:color="000000"/>
        <w:bottom w:val="single" w:sz="4" w:space="0" w:color="000000"/>
        <w:right w:val="single" w:sz="4" w:space="0" w:color="000000"/>
      </w:pBdr>
      <w:spacing w:before="280" w:after="280"/>
      <w:ind w:firstLine="709"/>
      <w:jc w:val="both"/>
    </w:pPr>
    <w:rPr>
      <w:rFonts w:ascii="Arial" w:hAnsi="Arial" w:cs="Arial"/>
      <w:sz w:val="18"/>
      <w:szCs w:val="18"/>
    </w:rPr>
  </w:style>
  <w:style w:type="paragraph" w:customStyle="1" w:styleId="xl29">
    <w:name w:val="xl29"/>
    <w:basedOn w:val="Standard"/>
    <w:rsid w:val="0047261E"/>
    <w:pPr>
      <w:pBdr>
        <w:top w:val="single" w:sz="4" w:space="0" w:color="000000"/>
        <w:left w:val="single" w:sz="4" w:space="0" w:color="000000"/>
        <w:bottom w:val="single" w:sz="4" w:space="0" w:color="000000"/>
        <w:right w:val="single" w:sz="4" w:space="0" w:color="000000"/>
      </w:pBdr>
      <w:spacing w:before="280" w:after="280"/>
      <w:ind w:firstLine="709"/>
      <w:jc w:val="both"/>
    </w:pPr>
    <w:rPr>
      <w:rFonts w:ascii="Arial" w:hAnsi="Arial" w:cs="Arial"/>
      <w:sz w:val="18"/>
      <w:szCs w:val="18"/>
    </w:rPr>
  </w:style>
  <w:style w:type="paragraph" w:customStyle="1" w:styleId="xl30">
    <w:name w:val="xl30"/>
    <w:basedOn w:val="Standard"/>
    <w:rsid w:val="0047261E"/>
    <w:pPr>
      <w:pBdr>
        <w:top w:val="single" w:sz="4" w:space="0" w:color="000000"/>
        <w:left w:val="single" w:sz="4" w:space="0" w:color="000000"/>
        <w:bottom w:val="single" w:sz="4" w:space="0" w:color="000000"/>
        <w:right w:val="single" w:sz="4" w:space="0" w:color="000000"/>
      </w:pBdr>
      <w:spacing w:before="280" w:after="280"/>
      <w:ind w:firstLine="709"/>
      <w:jc w:val="both"/>
    </w:pPr>
    <w:rPr>
      <w:rFonts w:ascii="Arial" w:hAnsi="Arial" w:cs="Arial"/>
      <w:sz w:val="18"/>
      <w:szCs w:val="18"/>
    </w:rPr>
  </w:style>
  <w:style w:type="paragraph" w:customStyle="1" w:styleId="xl31">
    <w:name w:val="xl31"/>
    <w:basedOn w:val="Standard"/>
    <w:rsid w:val="0047261E"/>
    <w:pPr>
      <w:pBdr>
        <w:top w:val="single" w:sz="4" w:space="0" w:color="000000"/>
        <w:left w:val="single" w:sz="4" w:space="0" w:color="000000"/>
        <w:bottom w:val="single" w:sz="4" w:space="0" w:color="000000"/>
        <w:right w:val="single" w:sz="4" w:space="0" w:color="000000"/>
      </w:pBdr>
      <w:spacing w:before="280" w:after="280"/>
      <w:ind w:firstLine="709"/>
      <w:jc w:val="both"/>
    </w:pPr>
    <w:rPr>
      <w:rFonts w:ascii="Arial" w:hAnsi="Arial" w:cs="Arial"/>
      <w:sz w:val="18"/>
      <w:szCs w:val="18"/>
    </w:rPr>
  </w:style>
  <w:style w:type="paragraph" w:customStyle="1" w:styleId="xl32">
    <w:name w:val="xl32"/>
    <w:basedOn w:val="Standard"/>
    <w:rsid w:val="0047261E"/>
    <w:pPr>
      <w:pBdr>
        <w:top w:val="single" w:sz="4" w:space="0" w:color="000000"/>
        <w:left w:val="single" w:sz="4" w:space="0" w:color="000000"/>
        <w:bottom w:val="single" w:sz="4" w:space="0" w:color="000000"/>
        <w:right w:val="single" w:sz="4" w:space="0" w:color="000000"/>
      </w:pBdr>
      <w:spacing w:before="280" w:after="280"/>
      <w:ind w:firstLine="709"/>
      <w:jc w:val="center"/>
    </w:pPr>
    <w:rPr>
      <w:rFonts w:ascii="Arial" w:hAnsi="Arial" w:cs="Arial"/>
      <w:sz w:val="18"/>
      <w:szCs w:val="18"/>
    </w:rPr>
  </w:style>
  <w:style w:type="paragraph" w:customStyle="1" w:styleId="xl33">
    <w:name w:val="xl33"/>
    <w:basedOn w:val="Standard"/>
    <w:rsid w:val="0047261E"/>
    <w:pPr>
      <w:pBdr>
        <w:top w:val="single" w:sz="4" w:space="0" w:color="000000"/>
        <w:left w:val="single" w:sz="4" w:space="0" w:color="000000"/>
        <w:bottom w:val="single" w:sz="4" w:space="0" w:color="000000"/>
        <w:right w:val="single" w:sz="4" w:space="0" w:color="000000"/>
      </w:pBdr>
      <w:spacing w:before="280" w:after="280"/>
      <w:ind w:firstLine="709"/>
      <w:jc w:val="both"/>
    </w:pPr>
    <w:rPr>
      <w:rFonts w:ascii="Arial" w:hAnsi="Arial" w:cs="Arial"/>
      <w:sz w:val="18"/>
      <w:szCs w:val="18"/>
    </w:rPr>
  </w:style>
  <w:style w:type="paragraph" w:customStyle="1" w:styleId="xl34">
    <w:name w:val="xl34"/>
    <w:basedOn w:val="Standard"/>
    <w:rsid w:val="0047261E"/>
    <w:pPr>
      <w:pBdr>
        <w:top w:val="single" w:sz="4" w:space="0" w:color="000000"/>
        <w:left w:val="single" w:sz="4" w:space="0" w:color="000000"/>
        <w:bottom w:val="single" w:sz="4" w:space="0" w:color="000000"/>
        <w:right w:val="single" w:sz="4" w:space="0" w:color="000000"/>
      </w:pBdr>
      <w:spacing w:before="280" w:after="280"/>
      <w:ind w:firstLine="709"/>
      <w:jc w:val="both"/>
    </w:pPr>
    <w:rPr>
      <w:rFonts w:ascii="Arial" w:hAnsi="Arial" w:cs="Arial"/>
      <w:sz w:val="18"/>
      <w:szCs w:val="18"/>
    </w:rPr>
  </w:style>
  <w:style w:type="paragraph" w:customStyle="1" w:styleId="xl35">
    <w:name w:val="xl35"/>
    <w:basedOn w:val="Standard"/>
    <w:rsid w:val="0047261E"/>
    <w:pPr>
      <w:pBdr>
        <w:top w:val="single" w:sz="4" w:space="0" w:color="000000"/>
        <w:left w:val="single" w:sz="4" w:space="0" w:color="000000"/>
        <w:bottom w:val="single" w:sz="4" w:space="0" w:color="000000"/>
        <w:right w:val="single" w:sz="4" w:space="0" w:color="000000"/>
      </w:pBdr>
      <w:spacing w:before="280" w:after="280"/>
      <w:ind w:firstLine="709"/>
      <w:jc w:val="both"/>
    </w:pPr>
    <w:rPr>
      <w:rFonts w:ascii="Arial" w:hAnsi="Arial" w:cs="Arial"/>
      <w:sz w:val="18"/>
      <w:szCs w:val="18"/>
    </w:rPr>
  </w:style>
  <w:style w:type="paragraph" w:customStyle="1" w:styleId="xl36">
    <w:name w:val="xl36"/>
    <w:basedOn w:val="Standard"/>
    <w:rsid w:val="0047261E"/>
    <w:pPr>
      <w:pBdr>
        <w:top w:val="single" w:sz="4" w:space="0" w:color="000000"/>
        <w:left w:val="single" w:sz="4" w:space="0" w:color="000000"/>
        <w:bottom w:val="single" w:sz="4" w:space="0" w:color="000000"/>
        <w:right w:val="single" w:sz="4" w:space="0" w:color="000000"/>
      </w:pBdr>
      <w:spacing w:before="280" w:after="280"/>
      <w:ind w:firstLine="709"/>
      <w:jc w:val="both"/>
    </w:pPr>
    <w:rPr>
      <w:rFonts w:ascii="Arial" w:hAnsi="Arial" w:cs="Arial"/>
      <w:sz w:val="18"/>
      <w:szCs w:val="18"/>
    </w:rPr>
  </w:style>
  <w:style w:type="paragraph" w:customStyle="1" w:styleId="xl37">
    <w:name w:val="xl37"/>
    <w:basedOn w:val="Standard"/>
    <w:rsid w:val="0047261E"/>
    <w:pPr>
      <w:pBdr>
        <w:top w:val="single" w:sz="4" w:space="0" w:color="000000"/>
        <w:left w:val="single" w:sz="4" w:space="0" w:color="000000"/>
        <w:bottom w:val="single" w:sz="4" w:space="0" w:color="000000"/>
        <w:right w:val="single" w:sz="4" w:space="0" w:color="000000"/>
      </w:pBdr>
      <w:spacing w:before="280" w:after="280"/>
      <w:ind w:firstLine="709"/>
      <w:jc w:val="center"/>
    </w:pPr>
    <w:rPr>
      <w:rFonts w:ascii="Arial" w:hAnsi="Arial" w:cs="Arial"/>
      <w:sz w:val="18"/>
      <w:szCs w:val="18"/>
    </w:rPr>
  </w:style>
  <w:style w:type="paragraph" w:customStyle="1" w:styleId="ConsNonformat">
    <w:name w:val="ConsNonformat"/>
    <w:rsid w:val="0047261E"/>
    <w:pPr>
      <w:widowControl w:val="0"/>
      <w:suppressAutoHyphens/>
      <w:autoSpaceDE w:val="0"/>
      <w:autoSpaceDN w:val="0"/>
      <w:spacing w:after="0" w:line="240" w:lineRule="auto"/>
      <w:textAlignment w:val="baseline"/>
    </w:pPr>
    <w:rPr>
      <w:rFonts w:ascii="Courier New" w:eastAsia="Times New Roman" w:hAnsi="Courier New" w:cs="Courier New"/>
      <w:kern w:val="3"/>
      <w:sz w:val="20"/>
      <w:szCs w:val="20"/>
      <w:lang w:eastAsia="zh-CN"/>
    </w:rPr>
  </w:style>
  <w:style w:type="paragraph" w:customStyle="1" w:styleId="caaieiaie2">
    <w:name w:val="caaieiaie 2"/>
    <w:basedOn w:val="Iauiue"/>
    <w:next w:val="Iauiue"/>
    <w:rsid w:val="0047261E"/>
    <w:pPr>
      <w:keepNext/>
    </w:pPr>
    <w:rPr>
      <w:sz w:val="32"/>
      <w:lang w:val="ru-RU"/>
    </w:rPr>
  </w:style>
  <w:style w:type="paragraph" w:customStyle="1" w:styleId="Iniiaiieoaeno2">
    <w:name w:val="Iniiaiie oaeno 2"/>
    <w:basedOn w:val="Iauiue"/>
    <w:rsid w:val="0047261E"/>
    <w:pPr>
      <w:tabs>
        <w:tab w:val="right" w:pos="-2250"/>
      </w:tabs>
      <w:spacing w:after="120"/>
      <w:ind w:firstLine="851"/>
      <w:jc w:val="both"/>
    </w:pPr>
    <w:rPr>
      <w:rFonts w:ascii="Arial" w:eastAsia="Arial" w:hAnsi="Arial" w:cs="Arial"/>
      <w:sz w:val="28"/>
      <w:lang w:val="ru-RU"/>
    </w:rPr>
  </w:style>
  <w:style w:type="paragraph" w:customStyle="1" w:styleId="Aeeoi">
    <w:name w:val="Aeeoi?"/>
    <w:basedOn w:val="Iauiue"/>
    <w:rsid w:val="0047261E"/>
    <w:pPr>
      <w:ind w:firstLine="720"/>
      <w:jc w:val="both"/>
    </w:pPr>
    <w:rPr>
      <w:sz w:val="28"/>
      <w:lang w:val="ru-RU"/>
    </w:rPr>
  </w:style>
  <w:style w:type="paragraph" w:customStyle="1" w:styleId="Iniiaiieoaeno">
    <w:name w:val="Iniiaiie oaeno"/>
    <w:basedOn w:val="Iauiue"/>
    <w:rsid w:val="0047261E"/>
    <w:pPr>
      <w:jc w:val="both"/>
    </w:pPr>
    <w:rPr>
      <w:rFonts w:ascii="Arial" w:eastAsia="Arial" w:hAnsi="Arial" w:cs="Arial"/>
      <w:sz w:val="22"/>
      <w:lang w:val="ru-RU"/>
    </w:rPr>
  </w:style>
  <w:style w:type="paragraph" w:customStyle="1" w:styleId="212">
    <w:name w:val="Основной текст 21"/>
    <w:basedOn w:val="Iauiue"/>
    <w:rsid w:val="0047261E"/>
    <w:pPr>
      <w:overflowPunct/>
      <w:autoSpaceDE/>
      <w:jc w:val="both"/>
      <w:textAlignment w:val="auto"/>
    </w:pPr>
    <w:rPr>
      <w:rFonts w:ascii="Arial" w:eastAsia="Arial" w:hAnsi="Arial" w:cs="Arial"/>
      <w:i/>
      <w:sz w:val="22"/>
      <w:lang w:val="ru-RU"/>
    </w:rPr>
  </w:style>
  <w:style w:type="paragraph" w:customStyle="1" w:styleId="Iniiaiieoaenonionooiii2">
    <w:name w:val="Iniiaiie oaeno n ionooiii 2"/>
    <w:basedOn w:val="Iauiue"/>
    <w:rsid w:val="0047261E"/>
    <w:pPr>
      <w:overflowPunct/>
      <w:autoSpaceDE/>
      <w:ind w:firstLine="720"/>
      <w:jc w:val="both"/>
      <w:textAlignment w:val="auto"/>
    </w:pPr>
    <w:rPr>
      <w:sz w:val="24"/>
      <w:lang w:val="ru-RU"/>
    </w:rPr>
  </w:style>
  <w:style w:type="paragraph" w:customStyle="1" w:styleId="Iniiaiieoaenonionooiii3">
    <w:name w:val="Iniiaiie oaeno n ionooiii 3"/>
    <w:basedOn w:val="Iauiue"/>
    <w:rsid w:val="0047261E"/>
    <w:pPr>
      <w:overflowPunct/>
      <w:autoSpaceDE/>
      <w:ind w:firstLine="720"/>
      <w:jc w:val="both"/>
      <w:textAlignment w:val="auto"/>
    </w:pPr>
    <w:rPr>
      <w:b/>
      <w:sz w:val="28"/>
      <w:lang w:val="ru-RU"/>
    </w:rPr>
  </w:style>
  <w:style w:type="paragraph" w:customStyle="1" w:styleId="caaieiaie4">
    <w:name w:val="caaieiaie 4"/>
    <w:basedOn w:val="Iauiue"/>
    <w:next w:val="Iauiue"/>
    <w:rsid w:val="0047261E"/>
    <w:pPr>
      <w:keepNext/>
      <w:overflowPunct/>
      <w:autoSpaceDE/>
      <w:textAlignment w:val="auto"/>
    </w:pPr>
    <w:rPr>
      <w:rFonts w:ascii="Arial" w:eastAsia="Arial" w:hAnsi="Arial" w:cs="Arial"/>
      <w:b/>
      <w:sz w:val="28"/>
      <w:lang w:val="ru-RU"/>
    </w:rPr>
  </w:style>
  <w:style w:type="paragraph" w:customStyle="1" w:styleId="aeeoi0">
    <w:name w:val="aeeoi?"/>
    <w:basedOn w:val="Iauiue"/>
    <w:rsid w:val="0047261E"/>
    <w:pPr>
      <w:overflowPunct/>
      <w:autoSpaceDE/>
      <w:jc w:val="both"/>
      <w:textAlignment w:val="auto"/>
    </w:pPr>
    <w:rPr>
      <w:sz w:val="28"/>
      <w:lang w:val="ru-RU"/>
    </w:rPr>
  </w:style>
  <w:style w:type="paragraph" w:customStyle="1" w:styleId="Aaoieeeieiioeooe">
    <w:name w:val="Aa?oiee eieiioeooe"/>
    <w:basedOn w:val="Iauiue"/>
    <w:rsid w:val="0047261E"/>
    <w:pPr>
      <w:tabs>
        <w:tab w:val="center" w:pos="4153"/>
        <w:tab w:val="right" w:pos="8306"/>
      </w:tabs>
      <w:overflowPunct/>
      <w:autoSpaceDE/>
      <w:textAlignment w:val="auto"/>
    </w:pPr>
    <w:rPr>
      <w:lang w:val="ru-RU"/>
    </w:rPr>
  </w:style>
  <w:style w:type="paragraph" w:customStyle="1" w:styleId="caaieiaie7">
    <w:name w:val="caaieiaie 7"/>
    <w:basedOn w:val="Iauiue"/>
    <w:next w:val="Iauiue"/>
    <w:rsid w:val="0047261E"/>
    <w:pPr>
      <w:keepNext/>
      <w:overflowPunct/>
      <w:autoSpaceDE/>
      <w:jc w:val="center"/>
      <w:textAlignment w:val="auto"/>
    </w:pPr>
    <w:rPr>
      <w:rFonts w:ascii="Arial" w:eastAsia="Arial" w:hAnsi="Arial" w:cs="Arial"/>
      <w:sz w:val="28"/>
      <w:lang w:val="ru-RU"/>
    </w:rPr>
  </w:style>
  <w:style w:type="paragraph" w:customStyle="1" w:styleId="2110">
    <w:name w:val="Основной текст 211"/>
    <w:basedOn w:val="Standard"/>
    <w:rsid w:val="0047261E"/>
    <w:pPr>
      <w:ind w:firstLine="709"/>
      <w:jc w:val="both"/>
    </w:pPr>
    <w:rPr>
      <w:rFonts w:ascii="Arial" w:hAnsi="Arial" w:cs="Arial"/>
      <w:sz w:val="28"/>
      <w:szCs w:val="20"/>
    </w:rPr>
  </w:style>
  <w:style w:type="paragraph" w:customStyle="1" w:styleId="FR2">
    <w:name w:val="FR2"/>
    <w:rsid w:val="0047261E"/>
    <w:pPr>
      <w:widowControl w:val="0"/>
      <w:suppressAutoHyphens/>
      <w:autoSpaceDE w:val="0"/>
      <w:autoSpaceDN w:val="0"/>
      <w:spacing w:before="140" w:after="0" w:line="256" w:lineRule="auto"/>
      <w:ind w:left="800" w:right="800"/>
      <w:jc w:val="center"/>
      <w:textAlignment w:val="baseline"/>
    </w:pPr>
    <w:rPr>
      <w:rFonts w:ascii="Times New Roman" w:eastAsia="Times New Roman" w:hAnsi="Times New Roman" w:cs="Times New Roman"/>
      <w:b/>
      <w:bCs/>
      <w:kern w:val="3"/>
      <w:sz w:val="28"/>
      <w:szCs w:val="28"/>
      <w:lang w:eastAsia="zh-CN"/>
    </w:rPr>
  </w:style>
  <w:style w:type="paragraph" w:customStyle="1" w:styleId="FR4">
    <w:name w:val="FR4"/>
    <w:rsid w:val="0047261E"/>
    <w:pPr>
      <w:widowControl w:val="0"/>
      <w:suppressAutoHyphens/>
      <w:autoSpaceDE w:val="0"/>
      <w:autoSpaceDN w:val="0"/>
      <w:spacing w:before="360" w:after="0" w:line="240" w:lineRule="auto"/>
      <w:jc w:val="both"/>
      <w:textAlignment w:val="baseline"/>
    </w:pPr>
    <w:rPr>
      <w:rFonts w:ascii="Arial" w:eastAsia="Times New Roman" w:hAnsi="Arial" w:cs="Arial"/>
      <w:i/>
      <w:iCs/>
      <w:kern w:val="3"/>
      <w:sz w:val="16"/>
      <w:szCs w:val="16"/>
      <w:lang w:eastAsia="zh-CN"/>
    </w:rPr>
  </w:style>
  <w:style w:type="paragraph" w:customStyle="1" w:styleId="caaieiaie3">
    <w:name w:val="caaieiaie 3"/>
    <w:basedOn w:val="Standard"/>
    <w:next w:val="Standard"/>
    <w:rsid w:val="0047261E"/>
    <w:pPr>
      <w:keepNext/>
      <w:ind w:right="-1050"/>
      <w:jc w:val="both"/>
    </w:pPr>
    <w:rPr>
      <w:sz w:val="28"/>
      <w:szCs w:val="20"/>
    </w:rPr>
  </w:style>
  <w:style w:type="paragraph" w:customStyle="1" w:styleId="1d">
    <w:name w:val="Обычный1"/>
    <w:rsid w:val="0047261E"/>
    <w:pPr>
      <w:widowControl w:val="0"/>
      <w:suppressAutoHyphens/>
      <w:autoSpaceDN w:val="0"/>
      <w:spacing w:after="0" w:line="240" w:lineRule="auto"/>
      <w:textAlignment w:val="baseline"/>
    </w:pPr>
    <w:rPr>
      <w:rFonts w:ascii="Times New Roman" w:eastAsia="Times New Roman" w:hAnsi="Times New Roman" w:cs="Times New Roman"/>
      <w:kern w:val="3"/>
      <w:sz w:val="20"/>
      <w:szCs w:val="20"/>
      <w:lang w:eastAsia="zh-CN"/>
    </w:rPr>
  </w:style>
  <w:style w:type="paragraph" w:customStyle="1" w:styleId="Blockquote">
    <w:name w:val="Blockquote"/>
    <w:basedOn w:val="Standard"/>
    <w:rsid w:val="0047261E"/>
    <w:pPr>
      <w:spacing w:before="100" w:after="100"/>
      <w:ind w:left="360" w:right="360"/>
      <w:jc w:val="both"/>
    </w:pPr>
    <w:rPr>
      <w:szCs w:val="20"/>
    </w:rPr>
  </w:style>
  <w:style w:type="paragraph" w:styleId="2c">
    <w:name w:val="List 2"/>
    <w:basedOn w:val="Standard"/>
    <w:rsid w:val="0047261E"/>
    <w:pPr>
      <w:tabs>
        <w:tab w:val="left" w:pos="926"/>
      </w:tabs>
      <w:ind w:left="566" w:hanging="283"/>
      <w:jc w:val="both"/>
    </w:pPr>
    <w:rPr>
      <w:rFonts w:ascii="Times New Roman CYR" w:hAnsi="Times New Roman CYR" w:cs="Times New Roman CYR"/>
      <w:sz w:val="20"/>
      <w:szCs w:val="20"/>
    </w:rPr>
  </w:style>
  <w:style w:type="paragraph" w:customStyle="1" w:styleId="1e">
    <w:name w:val="Îáû÷íûé1"/>
    <w:rsid w:val="0047261E"/>
    <w:pPr>
      <w:widowControl w:val="0"/>
      <w:suppressAutoHyphens/>
      <w:autoSpaceDN w:val="0"/>
      <w:spacing w:after="240" w:line="240" w:lineRule="auto"/>
      <w:ind w:firstLine="720"/>
      <w:jc w:val="both"/>
      <w:textAlignment w:val="baseline"/>
    </w:pPr>
    <w:rPr>
      <w:rFonts w:ascii="Garamond" w:eastAsia="Times New Roman" w:hAnsi="Garamond" w:cs="Garamond"/>
      <w:kern w:val="3"/>
      <w:sz w:val="24"/>
      <w:szCs w:val="20"/>
      <w:lang w:eastAsia="zh-CN"/>
    </w:rPr>
  </w:style>
  <w:style w:type="paragraph" w:customStyle="1" w:styleId="caaieiaie8">
    <w:name w:val="caaieiaie 8"/>
    <w:basedOn w:val="Iauiue"/>
    <w:next w:val="Iauiue"/>
    <w:rsid w:val="0047261E"/>
    <w:pPr>
      <w:keepNext/>
      <w:ind w:left="-426" w:right="-1088" w:firstLine="426"/>
      <w:jc w:val="center"/>
    </w:pPr>
    <w:rPr>
      <w:sz w:val="28"/>
      <w:lang w:val="ru-RU"/>
    </w:rPr>
  </w:style>
  <w:style w:type="paragraph" w:customStyle="1" w:styleId="caaieiaie1">
    <w:name w:val="caaieiaie 1"/>
    <w:basedOn w:val="Iauiue"/>
    <w:next w:val="Iauiue"/>
    <w:rsid w:val="0047261E"/>
    <w:pPr>
      <w:keepNext/>
      <w:spacing w:before="240" w:after="60"/>
    </w:pPr>
    <w:rPr>
      <w:rFonts w:ascii="Arial" w:eastAsia="Arial" w:hAnsi="Arial" w:cs="Arial"/>
      <w:b/>
      <w:sz w:val="28"/>
    </w:rPr>
  </w:style>
  <w:style w:type="paragraph" w:customStyle="1" w:styleId="iaeaaeaiea1">
    <w:name w:val="iaeaaeaiea 1"/>
    <w:basedOn w:val="Iauiue"/>
    <w:next w:val="Iauiue"/>
    <w:rsid w:val="0047261E"/>
    <w:pPr>
      <w:widowControl w:val="0"/>
      <w:spacing w:before="360"/>
    </w:pPr>
    <w:rPr>
      <w:rFonts w:ascii="Arial" w:eastAsia="Arial" w:hAnsi="Arial" w:cs="Arial"/>
      <w:b/>
      <w:caps/>
      <w:sz w:val="24"/>
      <w:lang w:val="ru-RU"/>
    </w:rPr>
  </w:style>
  <w:style w:type="paragraph" w:customStyle="1" w:styleId="iaeaaeaiea2">
    <w:name w:val="iaeaaeaiea 2"/>
    <w:basedOn w:val="Iauiue"/>
    <w:next w:val="Iauiue"/>
    <w:rsid w:val="0047261E"/>
    <w:pPr>
      <w:widowControl w:val="0"/>
      <w:spacing w:before="240"/>
    </w:pPr>
    <w:rPr>
      <w:b/>
      <w:lang w:val="ru-RU"/>
    </w:rPr>
  </w:style>
  <w:style w:type="paragraph" w:customStyle="1" w:styleId="iaeaaeaiea3">
    <w:name w:val="iaeaaeaiea 3"/>
    <w:basedOn w:val="Iauiue"/>
    <w:next w:val="Iauiue"/>
    <w:rsid w:val="0047261E"/>
    <w:pPr>
      <w:widowControl w:val="0"/>
      <w:ind w:left="200"/>
    </w:pPr>
    <w:rPr>
      <w:lang w:val="ru-RU"/>
    </w:rPr>
  </w:style>
  <w:style w:type="paragraph" w:customStyle="1" w:styleId="iaeaaeaiea4">
    <w:name w:val="iaeaaeaiea 4"/>
    <w:basedOn w:val="Iauiue"/>
    <w:next w:val="Iauiue"/>
    <w:rsid w:val="0047261E"/>
    <w:pPr>
      <w:widowControl w:val="0"/>
      <w:ind w:left="400"/>
    </w:pPr>
    <w:rPr>
      <w:lang w:val="ru-RU"/>
    </w:rPr>
  </w:style>
  <w:style w:type="paragraph" w:customStyle="1" w:styleId="iaeaaeaiea5">
    <w:name w:val="iaeaaeaiea 5"/>
    <w:basedOn w:val="Iauiue"/>
    <w:next w:val="Iauiue"/>
    <w:rsid w:val="0047261E"/>
    <w:pPr>
      <w:widowControl w:val="0"/>
      <w:ind w:left="600"/>
    </w:pPr>
    <w:rPr>
      <w:lang w:val="ru-RU"/>
    </w:rPr>
  </w:style>
  <w:style w:type="paragraph" w:customStyle="1" w:styleId="iaeaaeaiea6">
    <w:name w:val="iaeaaeaiea 6"/>
    <w:basedOn w:val="Iauiue"/>
    <w:next w:val="Iauiue"/>
    <w:rsid w:val="0047261E"/>
    <w:pPr>
      <w:widowControl w:val="0"/>
      <w:ind w:left="800"/>
    </w:pPr>
    <w:rPr>
      <w:lang w:val="ru-RU"/>
    </w:rPr>
  </w:style>
  <w:style w:type="paragraph" w:customStyle="1" w:styleId="iaeaaeaiea7">
    <w:name w:val="iaeaaeaiea 7"/>
    <w:basedOn w:val="Iauiue"/>
    <w:next w:val="Iauiue"/>
    <w:rsid w:val="0047261E"/>
    <w:pPr>
      <w:widowControl w:val="0"/>
      <w:ind w:left="1000"/>
    </w:pPr>
    <w:rPr>
      <w:lang w:val="ru-RU"/>
    </w:rPr>
  </w:style>
  <w:style w:type="paragraph" w:customStyle="1" w:styleId="iaeaaeaiea8">
    <w:name w:val="iaeaaeaiea 8"/>
    <w:basedOn w:val="Iauiue"/>
    <w:next w:val="Iauiue"/>
    <w:rsid w:val="0047261E"/>
    <w:pPr>
      <w:widowControl w:val="0"/>
      <w:ind w:left="1200"/>
    </w:pPr>
    <w:rPr>
      <w:lang w:val="ru-RU"/>
    </w:rPr>
  </w:style>
  <w:style w:type="paragraph" w:customStyle="1" w:styleId="iaeaaeaiea9">
    <w:name w:val="iaeaaeaiea 9"/>
    <w:basedOn w:val="Iauiue"/>
    <w:next w:val="Iauiue"/>
    <w:rsid w:val="0047261E"/>
    <w:pPr>
      <w:widowControl w:val="0"/>
      <w:ind w:left="1400"/>
    </w:pPr>
    <w:rPr>
      <w:lang w:val="ru-RU"/>
    </w:rPr>
  </w:style>
  <w:style w:type="paragraph" w:customStyle="1" w:styleId="Iacaaiea">
    <w:name w:val="Iacaaiea"/>
    <w:basedOn w:val="Iauiue"/>
    <w:rsid w:val="0047261E"/>
    <w:pPr>
      <w:ind w:right="-1050"/>
      <w:jc w:val="center"/>
    </w:pPr>
    <w:rPr>
      <w:b/>
      <w:sz w:val="28"/>
      <w:lang w:val="ru-RU"/>
    </w:rPr>
  </w:style>
  <w:style w:type="paragraph" w:customStyle="1" w:styleId="BodyText21">
    <w:name w:val="Body Text 21"/>
    <w:basedOn w:val="Iauiue"/>
    <w:rsid w:val="0047261E"/>
    <w:pPr>
      <w:widowControl w:val="0"/>
      <w:spacing w:line="216" w:lineRule="auto"/>
      <w:jc w:val="both"/>
    </w:pPr>
    <w:rPr>
      <w:sz w:val="24"/>
      <w:lang w:val="ru-RU"/>
    </w:rPr>
  </w:style>
  <w:style w:type="paragraph" w:customStyle="1" w:styleId="Ieieeeieiioeooe">
    <w:name w:val="Ie?iee eieiioeooe"/>
    <w:basedOn w:val="Iauiue"/>
    <w:rsid w:val="0047261E"/>
    <w:pPr>
      <w:tabs>
        <w:tab w:val="center" w:pos="4153"/>
        <w:tab w:val="right" w:pos="8306"/>
      </w:tabs>
    </w:pPr>
  </w:style>
  <w:style w:type="paragraph" w:customStyle="1" w:styleId="ConsTitle">
    <w:name w:val="ConsTitle"/>
    <w:rsid w:val="0047261E"/>
    <w:pPr>
      <w:widowControl w:val="0"/>
      <w:suppressAutoHyphens/>
      <w:overflowPunct w:val="0"/>
      <w:autoSpaceDE w:val="0"/>
      <w:autoSpaceDN w:val="0"/>
      <w:spacing w:after="0" w:line="240" w:lineRule="auto"/>
      <w:textAlignment w:val="baseline"/>
    </w:pPr>
    <w:rPr>
      <w:rFonts w:ascii="Arial" w:eastAsia="Times New Roman" w:hAnsi="Arial" w:cs="Arial"/>
      <w:b/>
      <w:kern w:val="3"/>
      <w:sz w:val="16"/>
      <w:szCs w:val="20"/>
      <w:lang w:eastAsia="zh-CN"/>
    </w:rPr>
  </w:style>
  <w:style w:type="paragraph" w:customStyle="1" w:styleId="1f">
    <w:name w:val="Обычный (веб)1"/>
    <w:basedOn w:val="Standard"/>
    <w:rsid w:val="0047261E"/>
    <w:pPr>
      <w:overflowPunct w:val="0"/>
      <w:autoSpaceDE w:val="0"/>
      <w:spacing w:before="100" w:after="100"/>
      <w:ind w:firstLine="709"/>
      <w:jc w:val="both"/>
    </w:pPr>
    <w:rPr>
      <w:szCs w:val="20"/>
    </w:rPr>
  </w:style>
  <w:style w:type="paragraph" w:customStyle="1" w:styleId="afff9">
    <w:name w:val="Анатолий"/>
    <w:basedOn w:val="Standard"/>
    <w:rsid w:val="0047261E"/>
    <w:pPr>
      <w:ind w:firstLine="709"/>
      <w:jc w:val="center"/>
    </w:pPr>
    <w:rPr>
      <w:szCs w:val="20"/>
    </w:rPr>
  </w:style>
  <w:style w:type="paragraph" w:customStyle="1" w:styleId="311">
    <w:name w:val="Основной текст 31"/>
    <w:basedOn w:val="Standard"/>
    <w:rsid w:val="0047261E"/>
    <w:pPr>
      <w:widowControl w:val="0"/>
      <w:overflowPunct w:val="0"/>
      <w:autoSpaceDE w:val="0"/>
      <w:spacing w:before="120"/>
      <w:ind w:firstLine="709"/>
      <w:jc w:val="both"/>
    </w:pPr>
    <w:rPr>
      <w:szCs w:val="20"/>
    </w:rPr>
  </w:style>
  <w:style w:type="paragraph" w:customStyle="1" w:styleId="a30">
    <w:name w:val="a3"/>
    <w:basedOn w:val="Standard"/>
    <w:rsid w:val="0047261E"/>
    <w:pPr>
      <w:tabs>
        <w:tab w:val="left" w:pos="851"/>
      </w:tabs>
      <w:spacing w:before="240"/>
      <w:ind w:firstLine="709"/>
      <w:jc w:val="both"/>
    </w:pPr>
    <w:rPr>
      <w:rFonts w:ascii="Cyrvetica, 'Times New Roman'" w:hAnsi="Cyrvetica, 'Times New Roman'" w:cs="Cyrvetica, 'Times New Roman'"/>
      <w:b/>
      <w:sz w:val="26"/>
      <w:szCs w:val="20"/>
    </w:rPr>
  </w:style>
  <w:style w:type="paragraph" w:customStyle="1" w:styleId="afffa">
    <w:name w:val="Îáû÷íûé"/>
    <w:rsid w:val="0047261E"/>
    <w:pPr>
      <w:suppressAutoHyphens/>
      <w:overflowPunct w:val="0"/>
      <w:autoSpaceDE w:val="0"/>
      <w:autoSpaceDN w:val="0"/>
      <w:spacing w:after="0" w:line="240" w:lineRule="auto"/>
      <w:jc w:val="both"/>
      <w:textAlignment w:val="baseline"/>
    </w:pPr>
    <w:rPr>
      <w:rFonts w:ascii="Times New Roman" w:eastAsia="Times New Roman" w:hAnsi="Times New Roman" w:cs="Times New Roman"/>
      <w:kern w:val="3"/>
      <w:szCs w:val="20"/>
      <w:lang w:eastAsia="zh-CN"/>
    </w:rPr>
  </w:style>
  <w:style w:type="paragraph" w:customStyle="1" w:styleId="xl38">
    <w:name w:val="xl38"/>
    <w:basedOn w:val="Standard"/>
    <w:rsid w:val="0047261E"/>
    <w:pPr>
      <w:pBdr>
        <w:top w:val="single" w:sz="4" w:space="0" w:color="000000"/>
        <w:left w:val="single" w:sz="4" w:space="0" w:color="000000"/>
        <w:bottom w:val="single" w:sz="4" w:space="0" w:color="000000"/>
        <w:right w:val="single" w:sz="4" w:space="0" w:color="000000"/>
      </w:pBdr>
      <w:spacing w:before="280" w:after="280"/>
      <w:ind w:firstLine="709"/>
      <w:jc w:val="right"/>
    </w:pPr>
    <w:rPr>
      <w:rFonts w:ascii="Times New Roman CYR" w:eastAsia="Arial Unicode MS" w:hAnsi="Times New Roman CYR" w:cs="Arial Unicode MS"/>
    </w:rPr>
  </w:style>
  <w:style w:type="paragraph" w:customStyle="1" w:styleId="xl39">
    <w:name w:val="xl39"/>
    <w:basedOn w:val="Standard"/>
    <w:rsid w:val="0047261E"/>
    <w:pPr>
      <w:pBdr>
        <w:top w:val="single" w:sz="4" w:space="0" w:color="000000"/>
        <w:left w:val="single" w:sz="4" w:space="0" w:color="000000"/>
        <w:bottom w:val="single" w:sz="4" w:space="0" w:color="000000"/>
        <w:right w:val="single" w:sz="4" w:space="0" w:color="000000"/>
      </w:pBdr>
      <w:spacing w:before="280" w:after="280"/>
      <w:ind w:firstLine="709"/>
      <w:jc w:val="right"/>
    </w:pPr>
    <w:rPr>
      <w:rFonts w:ascii="Times New Roman CYR" w:eastAsia="Arial Unicode MS" w:hAnsi="Times New Roman CYR" w:cs="Arial Unicode MS"/>
    </w:rPr>
  </w:style>
  <w:style w:type="paragraph" w:customStyle="1" w:styleId="xl40">
    <w:name w:val="xl40"/>
    <w:basedOn w:val="Standard"/>
    <w:rsid w:val="0047261E"/>
    <w:pPr>
      <w:pBdr>
        <w:top w:val="single" w:sz="4" w:space="0" w:color="000000"/>
        <w:left w:val="single" w:sz="4" w:space="0" w:color="000000"/>
        <w:bottom w:val="single" w:sz="4" w:space="0" w:color="000000"/>
        <w:right w:val="single" w:sz="4" w:space="0" w:color="000000"/>
      </w:pBdr>
      <w:spacing w:before="280" w:after="280"/>
      <w:ind w:firstLine="709"/>
      <w:jc w:val="both"/>
    </w:pPr>
    <w:rPr>
      <w:rFonts w:ascii="Times New Roman CYR" w:eastAsia="Arial Unicode MS" w:hAnsi="Times New Roman CYR" w:cs="Arial Unicode MS"/>
      <w:b/>
      <w:bCs/>
    </w:rPr>
  </w:style>
  <w:style w:type="paragraph" w:customStyle="1" w:styleId="xl41">
    <w:name w:val="xl41"/>
    <w:basedOn w:val="Standard"/>
    <w:rsid w:val="0047261E"/>
    <w:pPr>
      <w:pBdr>
        <w:top w:val="single" w:sz="4" w:space="0" w:color="000000"/>
        <w:left w:val="single" w:sz="4" w:space="0" w:color="000000"/>
        <w:bottom w:val="single" w:sz="4" w:space="0" w:color="000000"/>
        <w:right w:val="single" w:sz="4" w:space="0" w:color="000000"/>
      </w:pBdr>
      <w:spacing w:before="280" w:after="280"/>
      <w:ind w:firstLine="709"/>
      <w:jc w:val="both"/>
    </w:pPr>
    <w:rPr>
      <w:rFonts w:ascii="Arial Unicode MS" w:eastAsia="Arial Unicode MS" w:hAnsi="Arial Unicode MS" w:cs="Arial Unicode MS"/>
    </w:rPr>
  </w:style>
  <w:style w:type="paragraph" w:customStyle="1" w:styleId="xl42">
    <w:name w:val="xl42"/>
    <w:basedOn w:val="Standard"/>
    <w:rsid w:val="0047261E"/>
    <w:pPr>
      <w:pBdr>
        <w:top w:val="single" w:sz="4" w:space="0" w:color="000000"/>
        <w:left w:val="single" w:sz="4" w:space="0" w:color="000000"/>
        <w:bottom w:val="single" w:sz="4" w:space="0" w:color="000000"/>
        <w:right w:val="single" w:sz="4" w:space="0" w:color="000000"/>
      </w:pBdr>
      <w:spacing w:before="280" w:after="280"/>
      <w:ind w:firstLine="709"/>
      <w:jc w:val="both"/>
    </w:pPr>
    <w:rPr>
      <w:rFonts w:ascii="Arial Unicode MS" w:eastAsia="Arial Unicode MS" w:hAnsi="Arial Unicode MS" w:cs="Arial Unicode MS"/>
    </w:rPr>
  </w:style>
  <w:style w:type="paragraph" w:customStyle="1" w:styleId="xl43">
    <w:name w:val="xl43"/>
    <w:basedOn w:val="Standard"/>
    <w:rsid w:val="0047261E"/>
    <w:pPr>
      <w:pBdr>
        <w:top w:val="single" w:sz="4" w:space="0" w:color="000000"/>
        <w:left w:val="single" w:sz="4" w:space="0" w:color="000000"/>
        <w:bottom w:val="single" w:sz="4" w:space="0" w:color="000000"/>
        <w:right w:val="single" w:sz="4" w:space="0" w:color="000000"/>
      </w:pBdr>
      <w:spacing w:before="280" w:after="280"/>
      <w:ind w:firstLine="709"/>
      <w:jc w:val="both"/>
    </w:pPr>
    <w:rPr>
      <w:rFonts w:ascii="Arial Unicode MS" w:eastAsia="Arial Unicode MS" w:hAnsi="Arial Unicode MS" w:cs="Arial Unicode MS"/>
    </w:rPr>
  </w:style>
  <w:style w:type="paragraph" w:customStyle="1" w:styleId="xl44">
    <w:name w:val="xl44"/>
    <w:basedOn w:val="Standard"/>
    <w:rsid w:val="0047261E"/>
    <w:pPr>
      <w:pBdr>
        <w:top w:val="single" w:sz="4" w:space="0" w:color="000000"/>
        <w:left w:val="single" w:sz="4" w:space="0" w:color="000000"/>
        <w:bottom w:val="single" w:sz="4" w:space="0" w:color="000000"/>
        <w:right w:val="single" w:sz="4" w:space="0" w:color="000000"/>
      </w:pBdr>
      <w:spacing w:before="280" w:after="280"/>
      <w:ind w:firstLine="709"/>
      <w:jc w:val="both"/>
    </w:pPr>
    <w:rPr>
      <w:rFonts w:ascii="Times New Roman CYR" w:eastAsia="Arial Unicode MS" w:hAnsi="Times New Roman CYR" w:cs="Arial Unicode MS"/>
    </w:rPr>
  </w:style>
  <w:style w:type="paragraph" w:customStyle="1" w:styleId="xl45">
    <w:name w:val="xl45"/>
    <w:basedOn w:val="Standard"/>
    <w:rsid w:val="0047261E"/>
    <w:pPr>
      <w:pBdr>
        <w:top w:val="single" w:sz="4" w:space="0" w:color="000000"/>
        <w:left w:val="single" w:sz="4" w:space="0" w:color="000000"/>
        <w:bottom w:val="single" w:sz="4" w:space="0" w:color="000000"/>
        <w:right w:val="single" w:sz="4" w:space="0" w:color="000000"/>
      </w:pBdr>
      <w:spacing w:before="280" w:after="280"/>
      <w:ind w:firstLine="709"/>
      <w:jc w:val="both"/>
    </w:pPr>
    <w:rPr>
      <w:rFonts w:ascii="Times New Roman CYR" w:eastAsia="Arial Unicode MS" w:hAnsi="Times New Roman CYR" w:cs="Arial Unicode MS"/>
      <w:b/>
      <w:bCs/>
    </w:rPr>
  </w:style>
  <w:style w:type="paragraph" w:customStyle="1" w:styleId="xl46">
    <w:name w:val="xl46"/>
    <w:basedOn w:val="Standard"/>
    <w:rsid w:val="0047261E"/>
    <w:pPr>
      <w:pBdr>
        <w:top w:val="single" w:sz="4" w:space="0" w:color="000000"/>
        <w:left w:val="single" w:sz="4" w:space="0" w:color="000000"/>
        <w:bottom w:val="single" w:sz="4" w:space="0" w:color="000000"/>
        <w:right w:val="single" w:sz="4" w:space="0" w:color="000000"/>
      </w:pBdr>
      <w:spacing w:before="280" w:after="280"/>
      <w:ind w:firstLine="709"/>
      <w:jc w:val="center"/>
    </w:pPr>
    <w:rPr>
      <w:rFonts w:ascii="Times New Roman CYR" w:eastAsia="Arial Unicode MS" w:hAnsi="Times New Roman CYR" w:cs="Arial Unicode MS"/>
    </w:rPr>
  </w:style>
  <w:style w:type="paragraph" w:customStyle="1" w:styleId="xl47">
    <w:name w:val="xl47"/>
    <w:basedOn w:val="Standard"/>
    <w:rsid w:val="0047261E"/>
    <w:pPr>
      <w:pBdr>
        <w:top w:val="single" w:sz="4" w:space="0" w:color="000000"/>
        <w:left w:val="single" w:sz="4" w:space="0" w:color="000000"/>
        <w:bottom w:val="single" w:sz="4" w:space="0" w:color="000000"/>
        <w:right w:val="single" w:sz="4" w:space="0" w:color="000000"/>
      </w:pBdr>
      <w:spacing w:before="280" w:after="280"/>
      <w:ind w:firstLine="709"/>
      <w:jc w:val="both"/>
    </w:pPr>
    <w:rPr>
      <w:rFonts w:ascii="Arial Unicode MS" w:eastAsia="Arial Unicode MS" w:hAnsi="Arial Unicode MS" w:cs="Arial Unicode MS"/>
    </w:rPr>
  </w:style>
  <w:style w:type="paragraph" w:customStyle="1" w:styleId="xl48">
    <w:name w:val="xl48"/>
    <w:basedOn w:val="Standard"/>
    <w:rsid w:val="0047261E"/>
    <w:pPr>
      <w:pBdr>
        <w:top w:val="single" w:sz="4" w:space="0" w:color="000000"/>
        <w:left w:val="single" w:sz="4" w:space="0" w:color="000000"/>
        <w:bottom w:val="single" w:sz="4" w:space="0" w:color="000000"/>
        <w:right w:val="single" w:sz="4" w:space="0" w:color="000000"/>
      </w:pBdr>
      <w:spacing w:before="280" w:after="280"/>
      <w:ind w:firstLine="709"/>
      <w:jc w:val="both"/>
    </w:pPr>
    <w:rPr>
      <w:rFonts w:ascii="Arial Unicode MS" w:eastAsia="Arial Unicode MS" w:hAnsi="Arial Unicode MS" w:cs="Arial Unicode MS"/>
    </w:rPr>
  </w:style>
  <w:style w:type="paragraph" w:customStyle="1" w:styleId="afffb">
    <w:name w:val=".."/>
    <w:basedOn w:val="Standard"/>
    <w:rsid w:val="0047261E"/>
    <w:pPr>
      <w:spacing w:line="360" w:lineRule="atLeast"/>
      <w:ind w:firstLine="567"/>
      <w:jc w:val="both"/>
    </w:pPr>
    <w:rPr>
      <w:rFonts w:ascii="Times New Roman CYR" w:hAnsi="Times New Roman CYR" w:cs="Times New Roman CYR"/>
    </w:rPr>
  </w:style>
  <w:style w:type="paragraph" w:customStyle="1" w:styleId="FR3">
    <w:name w:val="FR3"/>
    <w:rsid w:val="0047261E"/>
    <w:pPr>
      <w:widowControl w:val="0"/>
      <w:suppressAutoHyphens/>
      <w:autoSpaceDE w:val="0"/>
      <w:autoSpaceDN w:val="0"/>
      <w:spacing w:after="0" w:line="420" w:lineRule="auto"/>
      <w:ind w:left="760"/>
      <w:jc w:val="center"/>
      <w:textAlignment w:val="baseline"/>
    </w:pPr>
    <w:rPr>
      <w:rFonts w:ascii="Arial" w:eastAsia="Times New Roman" w:hAnsi="Arial" w:cs="Arial"/>
      <w:b/>
      <w:bCs/>
      <w:kern w:val="3"/>
      <w:sz w:val="32"/>
      <w:szCs w:val="32"/>
      <w:lang w:eastAsia="zh-CN"/>
    </w:rPr>
  </w:style>
  <w:style w:type="paragraph" w:customStyle="1" w:styleId="FR5">
    <w:name w:val="FR5"/>
    <w:rsid w:val="0047261E"/>
    <w:pPr>
      <w:widowControl w:val="0"/>
      <w:suppressAutoHyphens/>
      <w:autoSpaceDE w:val="0"/>
      <w:autoSpaceDN w:val="0"/>
      <w:spacing w:after="0" w:line="240" w:lineRule="auto"/>
      <w:jc w:val="both"/>
      <w:textAlignment w:val="baseline"/>
    </w:pPr>
    <w:rPr>
      <w:rFonts w:ascii="Arial" w:eastAsia="Times New Roman" w:hAnsi="Arial" w:cs="Arial"/>
      <w:b/>
      <w:bCs/>
      <w:kern w:val="3"/>
      <w:sz w:val="12"/>
      <w:szCs w:val="12"/>
      <w:lang w:eastAsia="zh-CN"/>
    </w:rPr>
  </w:style>
  <w:style w:type="paragraph" w:customStyle="1" w:styleId="2d">
    <w:name w:val="заголовок 2"/>
    <w:basedOn w:val="Standard"/>
    <w:next w:val="Standard"/>
    <w:rsid w:val="0047261E"/>
    <w:pPr>
      <w:keepNext/>
      <w:tabs>
        <w:tab w:val="left" w:pos="576"/>
      </w:tabs>
      <w:autoSpaceDE w:val="0"/>
      <w:ind w:firstLine="709"/>
      <w:jc w:val="both"/>
    </w:pPr>
  </w:style>
  <w:style w:type="paragraph" w:customStyle="1" w:styleId="afffc">
    <w:name w:val="титул"/>
    <w:basedOn w:val="Standard"/>
    <w:rsid w:val="0047261E"/>
    <w:pPr>
      <w:ind w:firstLine="709"/>
      <w:jc w:val="right"/>
    </w:pPr>
    <w:rPr>
      <w:rFonts w:ascii="Times New Roman CYR" w:hAnsi="Times New Roman CYR" w:cs="Times New Roman CYR"/>
    </w:rPr>
  </w:style>
  <w:style w:type="paragraph" w:styleId="afffd">
    <w:name w:val="Salutation"/>
    <w:basedOn w:val="Standard"/>
    <w:link w:val="afffe"/>
    <w:rsid w:val="0047261E"/>
    <w:pPr>
      <w:ind w:firstLine="709"/>
      <w:jc w:val="both"/>
    </w:pPr>
    <w:rPr>
      <w:rFonts w:ascii="Times New Roman CYR" w:hAnsi="Times New Roman CYR" w:cs="Times New Roman CYR"/>
      <w:sz w:val="20"/>
      <w:szCs w:val="20"/>
    </w:rPr>
  </w:style>
  <w:style w:type="character" w:customStyle="1" w:styleId="afffe">
    <w:name w:val="Приветствие Знак"/>
    <w:basedOn w:val="a4"/>
    <w:link w:val="afffd"/>
    <w:rsid w:val="0047261E"/>
    <w:rPr>
      <w:rFonts w:ascii="Times New Roman CYR" w:eastAsia="Times New Roman" w:hAnsi="Times New Roman CYR" w:cs="Times New Roman CYR"/>
      <w:kern w:val="3"/>
      <w:sz w:val="20"/>
      <w:szCs w:val="20"/>
      <w:lang w:eastAsia="zh-CN"/>
    </w:rPr>
  </w:style>
  <w:style w:type="paragraph" w:styleId="affff">
    <w:name w:val="List Continue"/>
    <w:basedOn w:val="Standard"/>
    <w:rsid w:val="0047261E"/>
    <w:pPr>
      <w:spacing w:after="120"/>
      <w:ind w:left="283"/>
      <w:jc w:val="both"/>
    </w:pPr>
    <w:rPr>
      <w:rFonts w:ascii="Times New Roman CYR" w:hAnsi="Times New Roman CYR" w:cs="Times New Roman CYR"/>
      <w:sz w:val="20"/>
      <w:szCs w:val="20"/>
    </w:rPr>
  </w:style>
  <w:style w:type="paragraph" w:customStyle="1" w:styleId="H3">
    <w:name w:val="H3"/>
    <w:basedOn w:val="Standard"/>
    <w:next w:val="Standard"/>
    <w:rsid w:val="0047261E"/>
    <w:pPr>
      <w:keepNext/>
      <w:spacing w:before="100" w:after="100"/>
      <w:ind w:firstLine="709"/>
      <w:jc w:val="both"/>
      <w:outlineLvl w:val="3"/>
    </w:pPr>
    <w:rPr>
      <w:b/>
      <w:bCs/>
      <w:sz w:val="28"/>
      <w:szCs w:val="28"/>
    </w:rPr>
  </w:style>
  <w:style w:type="paragraph" w:customStyle="1" w:styleId="H4">
    <w:name w:val="H4"/>
    <w:basedOn w:val="Standard"/>
    <w:next w:val="Standard"/>
    <w:rsid w:val="0047261E"/>
    <w:pPr>
      <w:keepNext/>
      <w:spacing w:before="100" w:after="100"/>
      <w:ind w:firstLine="709"/>
      <w:jc w:val="both"/>
      <w:outlineLvl w:val="4"/>
    </w:pPr>
    <w:rPr>
      <w:b/>
      <w:bCs/>
    </w:rPr>
  </w:style>
  <w:style w:type="paragraph" w:customStyle="1" w:styleId="1f0">
    <w:name w:val="1"/>
    <w:basedOn w:val="Standard"/>
    <w:next w:val="afff"/>
    <w:rsid w:val="0047261E"/>
    <w:pPr>
      <w:spacing w:before="280" w:after="280"/>
      <w:ind w:firstLine="709"/>
      <w:jc w:val="both"/>
    </w:pPr>
  </w:style>
  <w:style w:type="paragraph" w:customStyle="1" w:styleId="110">
    <w:name w:val="Обычный11"/>
    <w:rsid w:val="0047261E"/>
    <w:pPr>
      <w:widowControl w:val="0"/>
      <w:suppressAutoHyphens/>
      <w:autoSpaceDN w:val="0"/>
      <w:spacing w:after="120" w:line="240" w:lineRule="auto"/>
      <w:ind w:firstLine="720"/>
      <w:textAlignment w:val="baseline"/>
    </w:pPr>
    <w:rPr>
      <w:rFonts w:ascii="Garamond" w:eastAsia="Times New Roman" w:hAnsi="Garamond" w:cs="Garamond"/>
      <w:kern w:val="3"/>
      <w:sz w:val="28"/>
      <w:szCs w:val="28"/>
      <w:lang w:eastAsia="zh-CN"/>
    </w:rPr>
  </w:style>
  <w:style w:type="paragraph" w:customStyle="1" w:styleId="xl49">
    <w:name w:val="xl49"/>
    <w:basedOn w:val="Standard"/>
    <w:rsid w:val="0047261E"/>
    <w:pPr>
      <w:pBdr>
        <w:top w:val="single" w:sz="8" w:space="0" w:color="000000"/>
        <w:left w:val="single" w:sz="8" w:space="0" w:color="000000"/>
        <w:bottom w:val="single" w:sz="8" w:space="0" w:color="000000"/>
        <w:right w:val="single" w:sz="8" w:space="0" w:color="000000"/>
      </w:pBdr>
      <w:spacing w:before="280" w:after="280"/>
      <w:ind w:firstLine="709"/>
      <w:jc w:val="center"/>
      <w:textAlignment w:val="top"/>
    </w:pPr>
    <w:rPr>
      <w:rFonts w:ascii="Tahoma" w:eastAsia="Arial Unicode MS" w:hAnsi="Tahoma" w:cs="Tahoma"/>
      <w:b/>
      <w:bCs/>
      <w:sz w:val="16"/>
      <w:szCs w:val="16"/>
    </w:rPr>
  </w:style>
  <w:style w:type="paragraph" w:customStyle="1" w:styleId="xl50">
    <w:name w:val="xl50"/>
    <w:basedOn w:val="Standard"/>
    <w:rsid w:val="0047261E"/>
    <w:pPr>
      <w:pBdr>
        <w:top w:val="single" w:sz="8" w:space="0" w:color="000000"/>
        <w:left w:val="single" w:sz="8" w:space="0" w:color="000000"/>
        <w:bottom w:val="single" w:sz="8" w:space="0" w:color="000000"/>
        <w:right w:val="single" w:sz="8" w:space="0" w:color="000000"/>
      </w:pBdr>
      <w:spacing w:before="280" w:after="280"/>
      <w:ind w:firstLine="709"/>
      <w:jc w:val="center"/>
      <w:textAlignment w:val="top"/>
    </w:pPr>
    <w:rPr>
      <w:rFonts w:ascii="Tahoma" w:eastAsia="Arial Unicode MS" w:hAnsi="Tahoma" w:cs="Tahoma"/>
      <w:b/>
      <w:bCs/>
      <w:sz w:val="16"/>
      <w:szCs w:val="16"/>
    </w:rPr>
  </w:style>
  <w:style w:type="paragraph" w:customStyle="1" w:styleId="xl51">
    <w:name w:val="xl51"/>
    <w:basedOn w:val="Standard"/>
    <w:rsid w:val="0047261E"/>
    <w:pPr>
      <w:pBdr>
        <w:top w:val="single" w:sz="8" w:space="0" w:color="000000"/>
        <w:left w:val="single" w:sz="8" w:space="0" w:color="000000"/>
        <w:bottom w:val="single" w:sz="8" w:space="0" w:color="000000"/>
        <w:right w:val="single" w:sz="8" w:space="0" w:color="000000"/>
      </w:pBdr>
      <w:spacing w:before="280" w:after="280"/>
      <w:ind w:firstLine="709"/>
      <w:jc w:val="center"/>
      <w:textAlignment w:val="top"/>
    </w:pPr>
    <w:rPr>
      <w:rFonts w:ascii="Tahoma" w:eastAsia="Arial Unicode MS" w:hAnsi="Tahoma" w:cs="Tahoma"/>
      <w:b/>
      <w:bCs/>
      <w:sz w:val="16"/>
      <w:szCs w:val="16"/>
    </w:rPr>
  </w:style>
  <w:style w:type="paragraph" w:customStyle="1" w:styleId="xl52">
    <w:name w:val="xl52"/>
    <w:basedOn w:val="Standard"/>
    <w:rsid w:val="0047261E"/>
    <w:pPr>
      <w:pBdr>
        <w:top w:val="single" w:sz="4" w:space="0" w:color="000000"/>
        <w:left w:val="single" w:sz="4" w:space="0" w:color="000000"/>
        <w:bottom w:val="single" w:sz="4" w:space="0" w:color="000000"/>
        <w:right w:val="single" w:sz="4" w:space="0" w:color="000000"/>
      </w:pBdr>
      <w:spacing w:before="280" w:after="280"/>
      <w:ind w:firstLine="709"/>
      <w:jc w:val="both"/>
      <w:textAlignment w:val="top"/>
    </w:pPr>
    <w:rPr>
      <w:rFonts w:ascii="Tahoma" w:eastAsia="Arial Unicode MS" w:hAnsi="Tahoma" w:cs="Tahoma"/>
      <w:sz w:val="16"/>
      <w:szCs w:val="16"/>
    </w:rPr>
  </w:style>
  <w:style w:type="paragraph" w:customStyle="1" w:styleId="xl53">
    <w:name w:val="xl53"/>
    <w:basedOn w:val="Standard"/>
    <w:rsid w:val="0047261E"/>
    <w:pPr>
      <w:pBdr>
        <w:top w:val="single" w:sz="4" w:space="0" w:color="000000"/>
        <w:left w:val="single" w:sz="4" w:space="0" w:color="000000"/>
        <w:bottom w:val="single" w:sz="4" w:space="0" w:color="000000"/>
        <w:right w:val="single" w:sz="4" w:space="0" w:color="000000"/>
      </w:pBdr>
      <w:spacing w:before="280" w:after="280"/>
      <w:ind w:firstLine="709"/>
      <w:jc w:val="both"/>
      <w:textAlignment w:val="top"/>
    </w:pPr>
    <w:rPr>
      <w:rFonts w:ascii="Tahoma" w:eastAsia="Arial Unicode MS" w:hAnsi="Tahoma" w:cs="Tahoma"/>
      <w:sz w:val="16"/>
      <w:szCs w:val="16"/>
    </w:rPr>
  </w:style>
  <w:style w:type="paragraph" w:customStyle="1" w:styleId="xl54">
    <w:name w:val="xl54"/>
    <w:basedOn w:val="Standard"/>
    <w:rsid w:val="0047261E"/>
    <w:pPr>
      <w:pBdr>
        <w:top w:val="single" w:sz="4" w:space="0" w:color="000000"/>
        <w:left w:val="single" w:sz="4" w:space="0" w:color="000000"/>
        <w:bottom w:val="single" w:sz="4" w:space="0" w:color="000000"/>
        <w:right w:val="single" w:sz="4" w:space="0" w:color="000000"/>
      </w:pBdr>
      <w:spacing w:before="280" w:after="280"/>
      <w:ind w:firstLine="100"/>
      <w:jc w:val="both"/>
      <w:textAlignment w:val="top"/>
    </w:pPr>
    <w:rPr>
      <w:rFonts w:ascii="Tahoma" w:eastAsia="Arial Unicode MS" w:hAnsi="Tahoma" w:cs="Tahoma"/>
      <w:sz w:val="16"/>
      <w:szCs w:val="16"/>
    </w:rPr>
  </w:style>
  <w:style w:type="paragraph" w:customStyle="1" w:styleId="xl55">
    <w:name w:val="xl55"/>
    <w:basedOn w:val="Standard"/>
    <w:rsid w:val="0047261E"/>
    <w:pPr>
      <w:pBdr>
        <w:top w:val="single" w:sz="4" w:space="0" w:color="000000"/>
        <w:left w:val="single" w:sz="4" w:space="0" w:color="000000"/>
        <w:bottom w:val="single" w:sz="4" w:space="0" w:color="000000"/>
        <w:right w:val="single" w:sz="4" w:space="0" w:color="000000"/>
      </w:pBdr>
      <w:spacing w:before="280" w:after="280"/>
      <w:ind w:firstLine="709"/>
      <w:jc w:val="both"/>
      <w:textAlignment w:val="top"/>
    </w:pPr>
    <w:rPr>
      <w:rFonts w:ascii="Tahoma" w:eastAsia="Arial Unicode MS" w:hAnsi="Tahoma" w:cs="Tahoma"/>
      <w:sz w:val="16"/>
      <w:szCs w:val="16"/>
    </w:rPr>
  </w:style>
  <w:style w:type="paragraph" w:customStyle="1" w:styleId="xl56">
    <w:name w:val="xl56"/>
    <w:basedOn w:val="Standard"/>
    <w:rsid w:val="0047261E"/>
    <w:pPr>
      <w:pBdr>
        <w:top w:val="single" w:sz="4" w:space="0" w:color="000000"/>
        <w:left w:val="single" w:sz="4" w:space="0" w:color="000000"/>
        <w:bottom w:val="single" w:sz="4" w:space="0" w:color="000000"/>
        <w:right w:val="single" w:sz="4" w:space="0" w:color="000000"/>
      </w:pBdr>
      <w:spacing w:before="280" w:after="280"/>
      <w:ind w:firstLine="709"/>
      <w:jc w:val="both"/>
      <w:textAlignment w:val="top"/>
    </w:pPr>
    <w:rPr>
      <w:rFonts w:ascii="Tahoma" w:eastAsia="Arial Unicode MS" w:hAnsi="Tahoma" w:cs="Tahoma"/>
      <w:sz w:val="16"/>
      <w:szCs w:val="16"/>
    </w:rPr>
  </w:style>
  <w:style w:type="paragraph" w:customStyle="1" w:styleId="xl57">
    <w:name w:val="xl57"/>
    <w:basedOn w:val="Standard"/>
    <w:rsid w:val="0047261E"/>
    <w:pPr>
      <w:pBdr>
        <w:top w:val="single" w:sz="4" w:space="0" w:color="000000"/>
        <w:left w:val="single" w:sz="4" w:space="0" w:color="000000"/>
        <w:bottom w:val="single" w:sz="4" w:space="0" w:color="000000"/>
        <w:right w:val="single" w:sz="4" w:space="0" w:color="000000"/>
      </w:pBdr>
      <w:spacing w:before="280" w:after="280"/>
      <w:ind w:firstLine="709"/>
      <w:jc w:val="both"/>
      <w:textAlignment w:val="top"/>
    </w:pPr>
    <w:rPr>
      <w:rFonts w:ascii="Tahoma" w:eastAsia="Arial Unicode MS" w:hAnsi="Tahoma" w:cs="Tahoma"/>
      <w:sz w:val="16"/>
      <w:szCs w:val="16"/>
    </w:rPr>
  </w:style>
  <w:style w:type="paragraph" w:customStyle="1" w:styleId="xl58">
    <w:name w:val="xl58"/>
    <w:basedOn w:val="Standard"/>
    <w:rsid w:val="0047261E"/>
    <w:pPr>
      <w:pBdr>
        <w:top w:val="single" w:sz="8" w:space="0" w:color="000000"/>
        <w:left w:val="single" w:sz="8" w:space="0" w:color="000000"/>
        <w:bottom w:val="single" w:sz="8" w:space="0" w:color="000000"/>
        <w:right w:val="single" w:sz="8" w:space="0" w:color="000000"/>
      </w:pBdr>
      <w:spacing w:before="280" w:after="280"/>
      <w:ind w:firstLine="709"/>
      <w:jc w:val="both"/>
      <w:textAlignment w:val="top"/>
    </w:pPr>
    <w:rPr>
      <w:rFonts w:ascii="Tahoma" w:eastAsia="Arial Unicode MS" w:hAnsi="Tahoma" w:cs="Tahoma"/>
      <w:sz w:val="16"/>
      <w:szCs w:val="16"/>
    </w:rPr>
  </w:style>
  <w:style w:type="paragraph" w:customStyle="1" w:styleId="xl59">
    <w:name w:val="xl59"/>
    <w:basedOn w:val="Standard"/>
    <w:rsid w:val="0047261E"/>
    <w:pPr>
      <w:pBdr>
        <w:top w:val="single" w:sz="8" w:space="0" w:color="000000"/>
        <w:left w:val="single" w:sz="8" w:space="0" w:color="000000"/>
        <w:bottom w:val="single" w:sz="8" w:space="0" w:color="000000"/>
        <w:right w:val="single" w:sz="8" w:space="0" w:color="000000"/>
      </w:pBdr>
      <w:spacing w:before="280" w:after="280"/>
      <w:ind w:firstLine="709"/>
      <w:jc w:val="both"/>
      <w:textAlignment w:val="top"/>
    </w:pPr>
    <w:rPr>
      <w:rFonts w:ascii="Tahoma" w:eastAsia="Arial Unicode MS" w:hAnsi="Tahoma" w:cs="Tahoma"/>
      <w:b/>
      <w:bCs/>
      <w:sz w:val="16"/>
      <w:szCs w:val="16"/>
    </w:rPr>
  </w:style>
  <w:style w:type="paragraph" w:customStyle="1" w:styleId="xl60">
    <w:name w:val="xl60"/>
    <w:basedOn w:val="Standard"/>
    <w:rsid w:val="0047261E"/>
    <w:pPr>
      <w:spacing w:before="280" w:after="280"/>
      <w:ind w:firstLine="709"/>
      <w:jc w:val="both"/>
      <w:textAlignment w:val="top"/>
    </w:pPr>
    <w:rPr>
      <w:rFonts w:ascii="Tahoma" w:eastAsia="Arial Unicode MS" w:hAnsi="Tahoma" w:cs="Tahoma"/>
      <w:sz w:val="16"/>
      <w:szCs w:val="16"/>
    </w:rPr>
  </w:style>
  <w:style w:type="paragraph" w:customStyle="1" w:styleId="xl61">
    <w:name w:val="xl61"/>
    <w:basedOn w:val="Standard"/>
    <w:rsid w:val="0047261E"/>
    <w:pPr>
      <w:spacing w:before="280" w:after="280"/>
      <w:ind w:firstLine="709"/>
      <w:jc w:val="center"/>
      <w:textAlignment w:val="top"/>
    </w:pPr>
    <w:rPr>
      <w:rFonts w:ascii="Tahoma" w:eastAsia="Arial Unicode MS" w:hAnsi="Tahoma" w:cs="Tahoma"/>
      <w:b/>
      <w:bCs/>
      <w:sz w:val="16"/>
      <w:szCs w:val="16"/>
    </w:rPr>
  </w:style>
  <w:style w:type="paragraph" w:customStyle="1" w:styleId="xl62">
    <w:name w:val="xl62"/>
    <w:basedOn w:val="Standard"/>
    <w:rsid w:val="0047261E"/>
    <w:pPr>
      <w:spacing w:before="280" w:after="280"/>
      <w:ind w:firstLine="709"/>
      <w:jc w:val="both"/>
      <w:textAlignment w:val="top"/>
    </w:pPr>
    <w:rPr>
      <w:rFonts w:ascii="Tahoma" w:eastAsia="Arial Unicode MS" w:hAnsi="Tahoma" w:cs="Tahoma"/>
      <w:b/>
      <w:bCs/>
      <w:sz w:val="16"/>
      <w:szCs w:val="16"/>
    </w:rPr>
  </w:style>
  <w:style w:type="paragraph" w:customStyle="1" w:styleId="xl63">
    <w:name w:val="xl63"/>
    <w:basedOn w:val="Standard"/>
    <w:rsid w:val="0047261E"/>
    <w:pPr>
      <w:spacing w:before="280" w:after="280"/>
      <w:ind w:firstLine="709"/>
      <w:jc w:val="both"/>
      <w:textAlignment w:val="top"/>
    </w:pPr>
    <w:rPr>
      <w:rFonts w:ascii="Tahoma" w:eastAsia="Arial Unicode MS" w:hAnsi="Tahoma" w:cs="Tahoma"/>
      <w:sz w:val="16"/>
      <w:szCs w:val="16"/>
    </w:rPr>
  </w:style>
  <w:style w:type="paragraph" w:customStyle="1" w:styleId="xl64">
    <w:name w:val="xl64"/>
    <w:basedOn w:val="Standard"/>
    <w:rsid w:val="0047261E"/>
    <w:pPr>
      <w:pBdr>
        <w:top w:val="single" w:sz="8" w:space="0" w:color="000000"/>
        <w:left w:val="single" w:sz="8" w:space="0" w:color="000000"/>
        <w:bottom w:val="single" w:sz="8" w:space="0" w:color="000000"/>
        <w:right w:val="single" w:sz="8" w:space="0" w:color="000000"/>
      </w:pBdr>
      <w:spacing w:before="280" w:after="280"/>
      <w:ind w:firstLine="100"/>
      <w:jc w:val="both"/>
      <w:textAlignment w:val="top"/>
    </w:pPr>
    <w:rPr>
      <w:rFonts w:ascii="Tahoma" w:eastAsia="Arial Unicode MS" w:hAnsi="Tahoma" w:cs="Tahoma"/>
      <w:sz w:val="16"/>
      <w:szCs w:val="16"/>
    </w:rPr>
  </w:style>
  <w:style w:type="paragraph" w:styleId="affff0">
    <w:name w:val="List Bullet"/>
    <w:basedOn w:val="Standard"/>
    <w:rsid w:val="0047261E"/>
    <w:pPr>
      <w:tabs>
        <w:tab w:val="left" w:pos="810"/>
      </w:tabs>
      <w:ind w:left="405" w:hanging="360"/>
      <w:jc w:val="both"/>
    </w:pPr>
  </w:style>
  <w:style w:type="paragraph" w:customStyle="1" w:styleId="rezul">
    <w:name w:val="rezul"/>
    <w:basedOn w:val="Standard"/>
    <w:rsid w:val="0047261E"/>
    <w:pPr>
      <w:widowControl w:val="0"/>
      <w:ind w:firstLine="283"/>
      <w:jc w:val="both"/>
    </w:pPr>
    <w:rPr>
      <w:b/>
      <w:bCs/>
      <w:sz w:val="22"/>
      <w:szCs w:val="22"/>
    </w:rPr>
  </w:style>
  <w:style w:type="paragraph" w:customStyle="1" w:styleId="affff1">
    <w:name w:val="основной"/>
    <w:basedOn w:val="Standard"/>
    <w:rsid w:val="0047261E"/>
    <w:pPr>
      <w:widowControl w:val="0"/>
      <w:spacing w:before="1" w:after="1"/>
      <w:ind w:left="1" w:right="1" w:firstLine="284"/>
      <w:jc w:val="both"/>
    </w:pPr>
    <w:rPr>
      <w:sz w:val="22"/>
      <w:szCs w:val="22"/>
    </w:rPr>
  </w:style>
  <w:style w:type="paragraph" w:customStyle="1" w:styleId="affff2">
    <w:name w:val="наименование"/>
    <w:basedOn w:val="Standard"/>
    <w:rsid w:val="0047261E"/>
    <w:pPr>
      <w:widowControl w:val="0"/>
      <w:spacing w:before="1" w:after="1" w:line="280" w:lineRule="atLeast"/>
      <w:ind w:left="1" w:right="1" w:firstLine="1"/>
      <w:jc w:val="center"/>
    </w:pPr>
    <w:rPr>
      <w:b/>
      <w:bCs/>
    </w:rPr>
  </w:style>
  <w:style w:type="paragraph" w:styleId="z-">
    <w:name w:val="HTML Bottom of Form"/>
    <w:basedOn w:val="Standard"/>
    <w:next w:val="Standard"/>
    <w:link w:val="z-0"/>
    <w:uiPriority w:val="99"/>
    <w:rsid w:val="0047261E"/>
    <w:pPr>
      <w:pBdr>
        <w:top w:val="single" w:sz="6" w:space="1" w:color="000000"/>
      </w:pBdr>
      <w:ind w:firstLine="709"/>
      <w:jc w:val="center"/>
    </w:pPr>
    <w:rPr>
      <w:rFonts w:ascii="Arial" w:eastAsia="SimSun, 宋体" w:hAnsi="Arial" w:cs="Arial"/>
      <w:vanish/>
      <w:sz w:val="16"/>
      <w:szCs w:val="16"/>
    </w:rPr>
  </w:style>
  <w:style w:type="character" w:customStyle="1" w:styleId="z-0">
    <w:name w:val="z-Конец формы Знак"/>
    <w:basedOn w:val="a4"/>
    <w:link w:val="z-"/>
    <w:uiPriority w:val="99"/>
    <w:rsid w:val="0047261E"/>
    <w:rPr>
      <w:rFonts w:ascii="Arial" w:eastAsia="SimSun, 宋体" w:hAnsi="Arial" w:cs="Arial"/>
      <w:vanish/>
      <w:kern w:val="3"/>
      <w:sz w:val="16"/>
      <w:szCs w:val="16"/>
      <w:lang w:eastAsia="zh-CN"/>
    </w:rPr>
  </w:style>
  <w:style w:type="paragraph" w:customStyle="1" w:styleId="ConsPlusNonformat">
    <w:name w:val="ConsPlusNonformat"/>
    <w:rsid w:val="0047261E"/>
    <w:pPr>
      <w:widowControl w:val="0"/>
      <w:suppressAutoHyphens/>
      <w:autoSpaceDE w:val="0"/>
      <w:autoSpaceDN w:val="0"/>
      <w:spacing w:after="0" w:line="240" w:lineRule="auto"/>
      <w:textAlignment w:val="baseline"/>
    </w:pPr>
    <w:rPr>
      <w:rFonts w:ascii="Courier New" w:eastAsia="Times New Roman" w:hAnsi="Courier New" w:cs="Courier New"/>
      <w:kern w:val="3"/>
      <w:sz w:val="20"/>
      <w:szCs w:val="20"/>
      <w:lang w:eastAsia="zh-CN"/>
    </w:rPr>
  </w:style>
  <w:style w:type="paragraph" w:customStyle="1" w:styleId="newstext">
    <w:name w:val="newstext"/>
    <w:basedOn w:val="Standard"/>
    <w:rsid w:val="0047261E"/>
    <w:pPr>
      <w:ind w:firstLine="709"/>
      <w:jc w:val="both"/>
    </w:pPr>
    <w:rPr>
      <w:rFonts w:ascii="Arial" w:eastAsia="SimSun, 宋体" w:hAnsi="Arial" w:cs="Arial"/>
      <w:sz w:val="29"/>
      <w:szCs w:val="29"/>
    </w:rPr>
  </w:style>
  <w:style w:type="paragraph" w:customStyle="1" w:styleId="newstime">
    <w:name w:val="newstime"/>
    <w:basedOn w:val="Standard"/>
    <w:rsid w:val="0047261E"/>
    <w:pPr>
      <w:spacing w:before="64" w:after="64"/>
      <w:ind w:firstLine="709"/>
      <w:jc w:val="both"/>
    </w:pPr>
    <w:rPr>
      <w:rFonts w:ascii="Tahoma" w:eastAsia="SimSun, 宋体" w:hAnsi="Tahoma" w:cs="Tahoma"/>
      <w:color w:val="666666"/>
      <w:sz w:val="13"/>
      <w:szCs w:val="13"/>
    </w:rPr>
  </w:style>
  <w:style w:type="paragraph" w:customStyle="1" w:styleId="moy">
    <w:name w:val="moy"/>
    <w:basedOn w:val="Standard"/>
    <w:rsid w:val="0047261E"/>
    <w:pPr>
      <w:ind w:firstLine="397"/>
      <w:jc w:val="both"/>
    </w:pPr>
    <w:rPr>
      <w:szCs w:val="20"/>
    </w:rPr>
  </w:style>
  <w:style w:type="paragraph" w:customStyle="1" w:styleId="1f1">
    <w:name w:val="таблица 1"/>
    <w:basedOn w:val="Standard"/>
    <w:next w:val="Standard"/>
    <w:rsid w:val="0047261E"/>
    <w:pPr>
      <w:ind w:firstLine="709"/>
      <w:jc w:val="both"/>
    </w:pPr>
    <w:rPr>
      <w:rFonts w:ascii="Arial" w:hAnsi="Arial" w:cs="Arial"/>
      <w:sz w:val="18"/>
      <w:szCs w:val="18"/>
    </w:rPr>
  </w:style>
  <w:style w:type="paragraph" w:customStyle="1" w:styleId="111">
    <w:name w:val="Заголовок 11"/>
    <w:basedOn w:val="Standard"/>
    <w:rsid w:val="0047261E"/>
    <w:pPr>
      <w:spacing w:before="280" w:after="280"/>
      <w:ind w:firstLine="709"/>
      <w:jc w:val="both"/>
      <w:outlineLvl w:val="1"/>
    </w:pPr>
    <w:rPr>
      <w:rFonts w:ascii="Tahoma" w:eastAsia="SimSun, 宋体" w:hAnsi="Tahoma" w:cs="Tahoma"/>
      <w:b/>
      <w:bCs/>
      <w:color w:val="98AFD4"/>
      <w:sz w:val="26"/>
      <w:szCs w:val="26"/>
    </w:rPr>
  </w:style>
  <w:style w:type="paragraph" w:customStyle="1" w:styleId="213">
    <w:name w:val="Заголовок 21"/>
    <w:basedOn w:val="Standard"/>
    <w:rsid w:val="0047261E"/>
    <w:pPr>
      <w:spacing w:before="280" w:after="280"/>
      <w:ind w:firstLine="709"/>
      <w:jc w:val="both"/>
      <w:outlineLvl w:val="2"/>
    </w:pPr>
    <w:rPr>
      <w:rFonts w:ascii="Tahoma" w:eastAsia="SimSun, 宋体" w:hAnsi="Tahoma" w:cs="Tahoma"/>
      <w:b/>
      <w:bCs/>
      <w:color w:val="98AFD4"/>
      <w:sz w:val="23"/>
      <w:szCs w:val="23"/>
    </w:rPr>
  </w:style>
  <w:style w:type="paragraph" w:customStyle="1" w:styleId="a00">
    <w:name w:val="a0"/>
    <w:basedOn w:val="Standard"/>
    <w:rsid w:val="0047261E"/>
    <w:pPr>
      <w:ind w:firstLine="709"/>
      <w:jc w:val="right"/>
    </w:pPr>
    <w:rPr>
      <w:spacing w:val="-2"/>
      <w:sz w:val="20"/>
      <w:szCs w:val="20"/>
    </w:rPr>
  </w:style>
  <w:style w:type="paragraph" w:customStyle="1" w:styleId="s3">
    <w:name w:val="s_3"/>
    <w:basedOn w:val="Standard"/>
    <w:rsid w:val="0047261E"/>
    <w:pPr>
      <w:spacing w:before="280" w:after="280"/>
      <w:ind w:firstLine="709"/>
      <w:jc w:val="both"/>
    </w:pPr>
  </w:style>
  <w:style w:type="paragraph" w:customStyle="1" w:styleId="s9">
    <w:name w:val="s_9"/>
    <w:basedOn w:val="Standard"/>
    <w:rsid w:val="0047261E"/>
    <w:pPr>
      <w:spacing w:before="280" w:after="280"/>
      <w:ind w:firstLine="709"/>
      <w:jc w:val="both"/>
    </w:pPr>
  </w:style>
  <w:style w:type="paragraph" w:customStyle="1" w:styleId="s1">
    <w:name w:val="s_1"/>
    <w:basedOn w:val="Standard"/>
    <w:rsid w:val="0047261E"/>
    <w:pPr>
      <w:spacing w:before="280" w:after="280"/>
      <w:ind w:firstLine="709"/>
      <w:jc w:val="both"/>
    </w:pPr>
  </w:style>
  <w:style w:type="paragraph" w:customStyle="1" w:styleId="s16">
    <w:name w:val="s_16"/>
    <w:basedOn w:val="Standard"/>
    <w:rsid w:val="0047261E"/>
    <w:pPr>
      <w:spacing w:before="280" w:after="280"/>
      <w:ind w:firstLine="709"/>
      <w:jc w:val="both"/>
    </w:pPr>
  </w:style>
  <w:style w:type="paragraph" w:customStyle="1" w:styleId="Contents5">
    <w:name w:val="Contents 5"/>
    <w:basedOn w:val="Standard"/>
    <w:next w:val="Standard"/>
    <w:rsid w:val="0047261E"/>
    <w:pPr>
      <w:spacing w:after="100" w:line="276" w:lineRule="auto"/>
      <w:ind w:left="880"/>
      <w:jc w:val="both"/>
    </w:pPr>
    <w:rPr>
      <w:rFonts w:ascii="Calibri" w:hAnsi="Calibri" w:cs="Calibri"/>
      <w:sz w:val="22"/>
      <w:szCs w:val="22"/>
    </w:rPr>
  </w:style>
  <w:style w:type="paragraph" w:customStyle="1" w:styleId="Contents6">
    <w:name w:val="Contents 6"/>
    <w:basedOn w:val="Standard"/>
    <w:next w:val="Standard"/>
    <w:rsid w:val="0047261E"/>
    <w:pPr>
      <w:spacing w:after="100" w:line="276" w:lineRule="auto"/>
      <w:ind w:left="1100"/>
      <w:jc w:val="both"/>
    </w:pPr>
    <w:rPr>
      <w:rFonts w:ascii="Calibri" w:hAnsi="Calibri" w:cs="Calibri"/>
      <w:sz w:val="22"/>
      <w:szCs w:val="22"/>
    </w:rPr>
  </w:style>
  <w:style w:type="paragraph" w:customStyle="1" w:styleId="Contents7">
    <w:name w:val="Contents 7"/>
    <w:basedOn w:val="Standard"/>
    <w:next w:val="Standard"/>
    <w:rsid w:val="0047261E"/>
    <w:pPr>
      <w:spacing w:after="100" w:line="276" w:lineRule="auto"/>
      <w:ind w:left="1320"/>
      <w:jc w:val="both"/>
    </w:pPr>
    <w:rPr>
      <w:rFonts w:ascii="Calibri" w:hAnsi="Calibri" w:cs="Calibri"/>
      <w:sz w:val="22"/>
      <w:szCs w:val="22"/>
    </w:rPr>
  </w:style>
  <w:style w:type="paragraph" w:customStyle="1" w:styleId="Contents8">
    <w:name w:val="Contents 8"/>
    <w:basedOn w:val="Standard"/>
    <w:next w:val="Standard"/>
    <w:rsid w:val="0047261E"/>
    <w:pPr>
      <w:spacing w:after="100" w:line="276" w:lineRule="auto"/>
      <w:ind w:left="1540"/>
      <w:jc w:val="both"/>
    </w:pPr>
    <w:rPr>
      <w:rFonts w:ascii="Calibri" w:hAnsi="Calibri" w:cs="Calibri"/>
      <w:sz w:val="22"/>
      <w:szCs w:val="22"/>
    </w:rPr>
  </w:style>
  <w:style w:type="paragraph" w:customStyle="1" w:styleId="Contents9">
    <w:name w:val="Contents 9"/>
    <w:basedOn w:val="Standard"/>
    <w:next w:val="Standard"/>
    <w:rsid w:val="0047261E"/>
    <w:pPr>
      <w:spacing w:after="100" w:line="276" w:lineRule="auto"/>
      <w:ind w:left="1760"/>
      <w:jc w:val="both"/>
    </w:pPr>
    <w:rPr>
      <w:rFonts w:ascii="Calibri" w:hAnsi="Calibri" w:cs="Calibri"/>
      <w:sz w:val="22"/>
      <w:szCs w:val="22"/>
    </w:rPr>
  </w:style>
  <w:style w:type="paragraph" w:customStyle="1" w:styleId="220">
    <w:name w:val="Основной текст 22"/>
    <w:basedOn w:val="Iauiue"/>
    <w:rsid w:val="0047261E"/>
    <w:pPr>
      <w:overflowPunct/>
      <w:autoSpaceDE/>
      <w:jc w:val="both"/>
      <w:textAlignment w:val="auto"/>
    </w:pPr>
    <w:rPr>
      <w:rFonts w:ascii="Arial" w:eastAsia="Arial" w:hAnsi="Arial" w:cs="Arial"/>
      <w:i/>
      <w:sz w:val="22"/>
      <w:lang w:val="ru-RU"/>
    </w:rPr>
  </w:style>
  <w:style w:type="paragraph" w:customStyle="1" w:styleId="2e">
    <w:name w:val="Обычный2"/>
    <w:rsid w:val="0047261E"/>
    <w:pPr>
      <w:widowControl w:val="0"/>
      <w:suppressAutoHyphens/>
      <w:autoSpaceDN w:val="0"/>
      <w:spacing w:after="0" w:line="240" w:lineRule="auto"/>
      <w:textAlignment w:val="baseline"/>
    </w:pPr>
    <w:rPr>
      <w:rFonts w:ascii="Times New Roman" w:eastAsia="Times New Roman" w:hAnsi="Times New Roman" w:cs="Times New Roman"/>
      <w:kern w:val="3"/>
      <w:sz w:val="20"/>
      <w:szCs w:val="20"/>
      <w:lang w:eastAsia="zh-CN"/>
    </w:rPr>
  </w:style>
  <w:style w:type="paragraph" w:customStyle="1" w:styleId="221">
    <w:name w:val="Основной текст с отступом 22"/>
    <w:basedOn w:val="Standard"/>
    <w:rsid w:val="0047261E"/>
    <w:pPr>
      <w:overflowPunct w:val="0"/>
      <w:autoSpaceDE w:val="0"/>
      <w:spacing w:line="360" w:lineRule="auto"/>
      <w:ind w:firstLine="567"/>
      <w:jc w:val="both"/>
    </w:pPr>
    <w:rPr>
      <w:szCs w:val="20"/>
    </w:rPr>
  </w:style>
  <w:style w:type="paragraph" w:customStyle="1" w:styleId="321">
    <w:name w:val="Основной текст с отступом 32"/>
    <w:basedOn w:val="Standard"/>
    <w:rsid w:val="0047261E"/>
    <w:pPr>
      <w:overflowPunct w:val="0"/>
      <w:autoSpaceDE w:val="0"/>
      <w:ind w:firstLine="709"/>
      <w:jc w:val="both"/>
    </w:pPr>
    <w:rPr>
      <w:rFonts w:ascii="Arial Narrow" w:hAnsi="Arial Narrow" w:cs="Arial Narrow"/>
      <w:sz w:val="22"/>
      <w:szCs w:val="20"/>
    </w:rPr>
  </w:style>
  <w:style w:type="paragraph" w:customStyle="1" w:styleId="western">
    <w:name w:val="western"/>
    <w:basedOn w:val="Standard"/>
    <w:rsid w:val="0047261E"/>
    <w:pPr>
      <w:spacing w:before="280" w:after="280"/>
      <w:ind w:firstLine="709"/>
      <w:jc w:val="both"/>
    </w:pPr>
  </w:style>
  <w:style w:type="paragraph" w:customStyle="1" w:styleId="address">
    <w:name w:val="address"/>
    <w:basedOn w:val="Standard"/>
    <w:rsid w:val="0047261E"/>
    <w:pPr>
      <w:spacing w:before="280" w:after="280"/>
      <w:ind w:firstLine="709"/>
      <w:jc w:val="both"/>
    </w:pPr>
  </w:style>
  <w:style w:type="paragraph" w:customStyle="1" w:styleId="info">
    <w:name w:val="info"/>
    <w:basedOn w:val="Standard"/>
    <w:rsid w:val="0047261E"/>
    <w:pPr>
      <w:spacing w:before="280" w:after="280"/>
      <w:ind w:firstLine="709"/>
      <w:jc w:val="both"/>
    </w:pPr>
  </w:style>
  <w:style w:type="paragraph" w:customStyle="1" w:styleId="mb0">
    <w:name w:val="mb0"/>
    <w:basedOn w:val="Standard"/>
    <w:rsid w:val="0047261E"/>
    <w:pPr>
      <w:spacing w:before="280" w:after="280"/>
      <w:ind w:firstLine="709"/>
      <w:jc w:val="both"/>
    </w:pPr>
  </w:style>
  <w:style w:type="paragraph" w:customStyle="1" w:styleId="43">
    <w:name w:val="Стиль43"/>
    <w:basedOn w:val="Standard"/>
    <w:rsid w:val="0047261E"/>
    <w:pPr>
      <w:widowControl w:val="0"/>
      <w:ind w:firstLine="709"/>
      <w:jc w:val="both"/>
    </w:pPr>
    <w:rPr>
      <w:rFonts w:ascii="Arial" w:hAnsi="Arial" w:cs="Arial"/>
      <w:b/>
      <w:color w:val="000000"/>
      <w:sz w:val="16"/>
      <w:szCs w:val="16"/>
    </w:rPr>
  </w:style>
  <w:style w:type="paragraph" w:customStyle="1" w:styleId="ve-show">
    <w:name w:val="ve-show"/>
    <w:basedOn w:val="Standard"/>
    <w:rsid w:val="0047261E"/>
    <w:pPr>
      <w:spacing w:before="280" w:after="280"/>
      <w:ind w:firstLine="709"/>
      <w:jc w:val="both"/>
    </w:pPr>
    <w:rPr>
      <w:vanish/>
    </w:rPr>
  </w:style>
  <w:style w:type="paragraph" w:customStyle="1" w:styleId="suggestions">
    <w:name w:val="suggestions"/>
    <w:basedOn w:val="Standard"/>
    <w:rsid w:val="0047261E"/>
    <w:pPr>
      <w:ind w:firstLine="709"/>
      <w:jc w:val="both"/>
    </w:pPr>
  </w:style>
  <w:style w:type="paragraph" w:customStyle="1" w:styleId="suggestions-special">
    <w:name w:val="suggestions-special"/>
    <w:basedOn w:val="Standard"/>
    <w:rsid w:val="0047261E"/>
    <w:pPr>
      <w:pBdr>
        <w:top w:val="single" w:sz="6" w:space="3" w:color="A2A9B1"/>
        <w:left w:val="single" w:sz="6" w:space="3" w:color="A2A9B1"/>
        <w:bottom w:val="single" w:sz="6" w:space="3" w:color="A2A9B1"/>
        <w:right w:val="single" w:sz="6" w:space="3" w:color="A2A9B1"/>
      </w:pBdr>
      <w:spacing w:line="300" w:lineRule="atLeast"/>
      <w:ind w:firstLine="709"/>
      <w:jc w:val="both"/>
    </w:pPr>
    <w:rPr>
      <w:vanish/>
    </w:rPr>
  </w:style>
  <w:style w:type="paragraph" w:customStyle="1" w:styleId="suggestions-results">
    <w:name w:val="suggestions-results"/>
    <w:basedOn w:val="Standard"/>
    <w:rsid w:val="0047261E"/>
    <w:pPr>
      <w:pBdr>
        <w:top w:val="single" w:sz="6" w:space="0" w:color="A2A9B1"/>
        <w:left w:val="single" w:sz="6" w:space="0" w:color="A2A9B1"/>
        <w:bottom w:val="single" w:sz="6" w:space="0" w:color="A2A9B1"/>
        <w:right w:val="single" w:sz="6" w:space="0" w:color="A2A9B1"/>
      </w:pBdr>
      <w:ind w:firstLine="709"/>
      <w:jc w:val="both"/>
    </w:pPr>
  </w:style>
  <w:style w:type="paragraph" w:customStyle="1" w:styleId="suggestions-result">
    <w:name w:val="suggestions-result"/>
    <w:basedOn w:val="Standard"/>
    <w:rsid w:val="0047261E"/>
    <w:pPr>
      <w:spacing w:line="360" w:lineRule="atLeast"/>
      <w:ind w:firstLine="709"/>
      <w:jc w:val="both"/>
    </w:pPr>
    <w:rPr>
      <w:color w:val="000000"/>
    </w:rPr>
  </w:style>
  <w:style w:type="paragraph" w:customStyle="1" w:styleId="suggestions-result-current">
    <w:name w:val="suggestions-result-current"/>
    <w:basedOn w:val="Standard"/>
    <w:rsid w:val="0047261E"/>
    <w:pPr>
      <w:spacing w:before="280" w:after="280"/>
      <w:ind w:firstLine="709"/>
      <w:jc w:val="both"/>
    </w:pPr>
    <w:rPr>
      <w:color w:val="FFFFFF"/>
    </w:rPr>
  </w:style>
  <w:style w:type="paragraph" w:customStyle="1" w:styleId="highlight">
    <w:name w:val="highlight"/>
    <w:basedOn w:val="Standard"/>
    <w:rsid w:val="0047261E"/>
    <w:pPr>
      <w:spacing w:before="280" w:after="280"/>
      <w:ind w:firstLine="709"/>
      <w:jc w:val="both"/>
    </w:pPr>
    <w:rPr>
      <w:b/>
      <w:bCs/>
    </w:rPr>
  </w:style>
  <w:style w:type="paragraph" w:customStyle="1" w:styleId="referencetooltip">
    <w:name w:val="referencetooltip"/>
    <w:basedOn w:val="Standard"/>
    <w:rsid w:val="0047261E"/>
    <w:pPr>
      <w:ind w:firstLine="709"/>
      <w:jc w:val="both"/>
    </w:pPr>
    <w:rPr>
      <w:sz w:val="18"/>
      <w:szCs w:val="18"/>
    </w:rPr>
  </w:style>
  <w:style w:type="paragraph" w:customStyle="1" w:styleId="rtflipped">
    <w:name w:val="rtflipped"/>
    <w:basedOn w:val="Standard"/>
    <w:rsid w:val="0047261E"/>
    <w:pPr>
      <w:spacing w:before="280" w:after="280"/>
      <w:ind w:firstLine="709"/>
      <w:jc w:val="both"/>
    </w:pPr>
  </w:style>
  <w:style w:type="paragraph" w:customStyle="1" w:styleId="rtsettings">
    <w:name w:val="rtsettings"/>
    <w:basedOn w:val="Standard"/>
    <w:rsid w:val="0047261E"/>
    <w:pPr>
      <w:ind w:left="120"/>
      <w:jc w:val="both"/>
    </w:pPr>
  </w:style>
  <w:style w:type="paragraph" w:customStyle="1" w:styleId="rttarget">
    <w:name w:val="rttarget"/>
    <w:basedOn w:val="Standard"/>
    <w:rsid w:val="0047261E"/>
    <w:pPr>
      <w:spacing w:before="280" w:after="280"/>
      <w:ind w:firstLine="709"/>
      <w:jc w:val="both"/>
    </w:pPr>
  </w:style>
  <w:style w:type="paragraph" w:customStyle="1" w:styleId="mw-ui-button">
    <w:name w:val="mw-ui-button"/>
    <w:basedOn w:val="Standard"/>
    <w:rsid w:val="0047261E"/>
    <w:pPr>
      <w:pBdr>
        <w:top w:val="single" w:sz="6" w:space="7" w:color="A2A9B1"/>
        <w:left w:val="single" w:sz="6" w:space="12" w:color="A2A9B1"/>
        <w:bottom w:val="single" w:sz="6" w:space="7" w:color="A2A9B1"/>
        <w:right w:val="single" w:sz="6" w:space="12" w:color="A2A9B1"/>
      </w:pBdr>
      <w:ind w:firstLine="709"/>
      <w:jc w:val="center"/>
      <w:textAlignment w:val="center"/>
    </w:pPr>
    <w:rPr>
      <w:rFonts w:ascii="inherit" w:hAnsi="inherit" w:cs="inherit"/>
      <w:b/>
      <w:bCs/>
      <w:color w:val="222222"/>
    </w:rPr>
  </w:style>
  <w:style w:type="paragraph" w:customStyle="1" w:styleId="mw-ui-icon">
    <w:name w:val="mw-ui-icon"/>
    <w:basedOn w:val="Standard"/>
    <w:rsid w:val="0047261E"/>
    <w:pPr>
      <w:spacing w:before="280" w:after="280" w:line="360" w:lineRule="atLeast"/>
      <w:ind w:firstLine="709"/>
      <w:jc w:val="both"/>
    </w:pPr>
  </w:style>
  <w:style w:type="paragraph" w:customStyle="1" w:styleId="ve-init-mw-desktoparticletarget-loading-overlay">
    <w:name w:val="ve-init-mw-desktoparticletarget-loading-overlay"/>
    <w:basedOn w:val="Standard"/>
    <w:rsid w:val="0047261E"/>
    <w:pPr>
      <w:spacing w:after="280"/>
      <w:ind w:firstLine="709"/>
      <w:jc w:val="both"/>
    </w:pPr>
  </w:style>
  <w:style w:type="paragraph" w:customStyle="1" w:styleId="ve-init-mw-desktoparticletarget-progress">
    <w:name w:val="ve-init-mw-desktoparticletarget-progress"/>
    <w:basedOn w:val="Standard"/>
    <w:rsid w:val="0047261E"/>
    <w:pPr>
      <w:pBdr>
        <w:top w:val="single" w:sz="6" w:space="0" w:color="3366CC"/>
        <w:left w:val="single" w:sz="6" w:space="0" w:color="3366CC"/>
        <w:bottom w:val="single" w:sz="6" w:space="0" w:color="3366CC"/>
        <w:right w:val="single" w:sz="6" w:space="0" w:color="3366CC"/>
      </w:pBdr>
      <w:ind w:left="3060" w:right="3060"/>
      <w:jc w:val="both"/>
    </w:pPr>
  </w:style>
  <w:style w:type="paragraph" w:customStyle="1" w:styleId="ve-init-mw-desktoparticletarget-progress-bar">
    <w:name w:val="ve-init-mw-desktoparticletarget-progress-bar"/>
    <w:basedOn w:val="Standard"/>
    <w:rsid w:val="0047261E"/>
    <w:pPr>
      <w:spacing w:before="280" w:after="280"/>
      <w:ind w:firstLine="709"/>
      <w:jc w:val="both"/>
    </w:pPr>
  </w:style>
  <w:style w:type="paragraph" w:customStyle="1" w:styleId="uls-menu">
    <w:name w:val="uls-menu"/>
    <w:basedOn w:val="Standard"/>
    <w:rsid w:val="0047261E"/>
    <w:pPr>
      <w:spacing w:before="280" w:after="280"/>
      <w:ind w:firstLine="709"/>
      <w:jc w:val="both"/>
    </w:pPr>
    <w:rPr>
      <w:sz w:val="27"/>
      <w:szCs w:val="27"/>
    </w:rPr>
  </w:style>
  <w:style w:type="paragraph" w:customStyle="1" w:styleId="uls-search-wrapper-wrapper">
    <w:name w:val="uls-search-wrapper-wrapper"/>
    <w:basedOn w:val="Standard"/>
    <w:rsid w:val="0047261E"/>
    <w:pPr>
      <w:spacing w:before="75" w:after="75"/>
      <w:ind w:firstLine="709"/>
      <w:jc w:val="both"/>
    </w:pPr>
  </w:style>
  <w:style w:type="paragraph" w:customStyle="1" w:styleId="uls-icon-back">
    <w:name w:val="uls-icon-back"/>
    <w:basedOn w:val="Standard"/>
    <w:rsid w:val="0047261E"/>
    <w:pPr>
      <w:spacing w:before="280" w:after="280"/>
      <w:ind w:firstLine="709"/>
      <w:jc w:val="both"/>
    </w:pPr>
  </w:style>
  <w:style w:type="paragraph" w:customStyle="1" w:styleId="cn-closebutton">
    <w:name w:val="cn-closebutton"/>
    <w:basedOn w:val="Standard"/>
    <w:rsid w:val="0047261E"/>
    <w:pPr>
      <w:spacing w:before="280" w:after="280"/>
      <w:ind w:firstLine="285"/>
      <w:jc w:val="both"/>
    </w:pPr>
  </w:style>
  <w:style w:type="paragraph" w:customStyle="1" w:styleId="mw-mmv-overlay">
    <w:name w:val="mw-mmv-overlay"/>
    <w:basedOn w:val="Standard"/>
    <w:rsid w:val="0047261E"/>
    <w:pPr>
      <w:spacing w:before="280" w:after="280"/>
      <w:ind w:firstLine="709"/>
      <w:jc w:val="both"/>
    </w:pPr>
  </w:style>
  <w:style w:type="paragraph" w:customStyle="1" w:styleId="mw-mmv-filepage-buttons">
    <w:name w:val="mw-mmv-filepage-buttons"/>
    <w:basedOn w:val="Standard"/>
    <w:rsid w:val="0047261E"/>
    <w:pPr>
      <w:spacing w:before="75" w:after="280"/>
      <w:ind w:firstLine="709"/>
      <w:jc w:val="both"/>
    </w:pPr>
  </w:style>
  <w:style w:type="paragraph" w:customStyle="1" w:styleId="mwe-popups-settings-icon">
    <w:name w:val="mwe-popups-settings-icon"/>
    <w:basedOn w:val="Standard"/>
    <w:rsid w:val="0047261E"/>
    <w:pPr>
      <w:spacing w:before="280" w:after="280"/>
      <w:ind w:right="-180"/>
      <w:jc w:val="both"/>
    </w:pPr>
  </w:style>
  <w:style w:type="paragraph" w:customStyle="1" w:styleId="mwe-popups-sade-face-icon">
    <w:name w:val="mwe-popups-sade-face-icon"/>
    <w:basedOn w:val="Standard"/>
    <w:rsid w:val="0047261E"/>
    <w:pPr>
      <w:spacing w:before="240"/>
      <w:ind w:left="240" w:right="240"/>
      <w:jc w:val="both"/>
    </w:pPr>
  </w:style>
  <w:style w:type="paragraph" w:customStyle="1" w:styleId="mwe-popups">
    <w:name w:val="mwe-popups"/>
    <w:basedOn w:val="Standard"/>
    <w:rsid w:val="0047261E"/>
    <w:pPr>
      <w:spacing w:before="280" w:after="280" w:line="300" w:lineRule="atLeast"/>
      <w:ind w:firstLine="709"/>
      <w:jc w:val="both"/>
    </w:pPr>
    <w:rPr>
      <w:vanish/>
      <w:sz w:val="21"/>
      <w:szCs w:val="21"/>
    </w:rPr>
  </w:style>
  <w:style w:type="paragraph" w:customStyle="1" w:styleId="mwe-popups-settings-help">
    <w:name w:val="mwe-popups-settings-help"/>
    <w:basedOn w:val="Standard"/>
    <w:rsid w:val="0047261E"/>
    <w:pPr>
      <w:spacing w:before="600" w:after="600"/>
      <w:ind w:left="600" w:right="600"/>
      <w:jc w:val="both"/>
    </w:pPr>
    <w:rPr>
      <w:b/>
      <w:bCs/>
      <w:sz w:val="20"/>
      <w:szCs w:val="20"/>
    </w:rPr>
  </w:style>
  <w:style w:type="paragraph" w:customStyle="1" w:styleId="mwe-popups-overlay">
    <w:name w:val="mwe-popups-overlay"/>
    <w:basedOn w:val="Standard"/>
    <w:rsid w:val="0047261E"/>
    <w:pPr>
      <w:spacing w:before="280" w:after="280"/>
      <w:ind w:firstLine="709"/>
      <w:jc w:val="both"/>
    </w:pPr>
  </w:style>
  <w:style w:type="paragraph" w:customStyle="1" w:styleId="globegris">
    <w:name w:val="globegris"/>
    <w:basedOn w:val="Standard"/>
    <w:rsid w:val="0047261E"/>
    <w:pPr>
      <w:spacing w:before="280" w:after="280"/>
      <w:ind w:firstLine="709"/>
      <w:jc w:val="both"/>
    </w:pPr>
  </w:style>
  <w:style w:type="paragraph" w:customStyle="1" w:styleId="allpagesredirect">
    <w:name w:val="allpagesredirect"/>
    <w:basedOn w:val="Standard"/>
    <w:rsid w:val="0047261E"/>
    <w:pPr>
      <w:spacing w:before="280" w:after="280"/>
      <w:ind w:firstLine="709"/>
      <w:jc w:val="both"/>
    </w:pPr>
    <w:rPr>
      <w:i/>
      <w:iCs/>
    </w:rPr>
  </w:style>
  <w:style w:type="paragraph" w:customStyle="1" w:styleId="mw-tag-markers">
    <w:name w:val="mw-tag-markers"/>
    <w:basedOn w:val="Standard"/>
    <w:rsid w:val="0047261E"/>
    <w:pPr>
      <w:spacing w:before="280" w:after="280"/>
      <w:ind w:firstLine="709"/>
      <w:jc w:val="both"/>
    </w:pPr>
    <w:rPr>
      <w:rFonts w:ascii="Arial" w:hAnsi="Arial" w:cs="Arial"/>
      <w:i/>
      <w:iCs/>
      <w:sz w:val="22"/>
      <w:szCs w:val="22"/>
    </w:rPr>
  </w:style>
  <w:style w:type="paragraph" w:customStyle="1" w:styleId="group-checkuser-show">
    <w:name w:val="group-checkuser-show"/>
    <w:basedOn w:val="Standard"/>
    <w:rsid w:val="0047261E"/>
    <w:pPr>
      <w:spacing w:before="280" w:after="280"/>
      <w:ind w:firstLine="709"/>
      <w:jc w:val="both"/>
    </w:pPr>
    <w:rPr>
      <w:vanish/>
    </w:rPr>
  </w:style>
  <w:style w:type="paragraph" w:customStyle="1" w:styleId="group-bureaucrat-show">
    <w:name w:val="group-bureaucrat-show"/>
    <w:basedOn w:val="Standard"/>
    <w:rsid w:val="0047261E"/>
    <w:pPr>
      <w:spacing w:before="280" w:after="280"/>
      <w:ind w:firstLine="709"/>
      <w:jc w:val="both"/>
    </w:pPr>
    <w:rPr>
      <w:vanish/>
    </w:rPr>
  </w:style>
  <w:style w:type="paragraph" w:customStyle="1" w:styleId="group-sysop-show">
    <w:name w:val="group-sysop-show"/>
    <w:basedOn w:val="Standard"/>
    <w:rsid w:val="0047261E"/>
    <w:pPr>
      <w:spacing w:before="280" w:after="280"/>
      <w:ind w:firstLine="709"/>
      <w:jc w:val="both"/>
    </w:pPr>
    <w:rPr>
      <w:vanish/>
    </w:rPr>
  </w:style>
  <w:style w:type="paragraph" w:customStyle="1" w:styleId="group-engineer-show">
    <w:name w:val="group-engineer-show"/>
    <w:basedOn w:val="Standard"/>
    <w:rsid w:val="0047261E"/>
    <w:pPr>
      <w:spacing w:before="280" w:after="280"/>
      <w:ind w:firstLine="709"/>
      <w:jc w:val="both"/>
    </w:pPr>
    <w:rPr>
      <w:vanish/>
    </w:rPr>
  </w:style>
  <w:style w:type="paragraph" w:customStyle="1" w:styleId="group-closer-show">
    <w:name w:val="group-closer-show"/>
    <w:basedOn w:val="Standard"/>
    <w:rsid w:val="0047261E"/>
    <w:pPr>
      <w:spacing w:before="280" w:after="280"/>
      <w:ind w:firstLine="709"/>
      <w:jc w:val="both"/>
    </w:pPr>
    <w:rPr>
      <w:vanish/>
    </w:rPr>
  </w:style>
  <w:style w:type="paragraph" w:customStyle="1" w:styleId="group-filemover-show">
    <w:name w:val="group-filemover-show"/>
    <w:basedOn w:val="Standard"/>
    <w:rsid w:val="0047261E"/>
    <w:pPr>
      <w:spacing w:before="280" w:after="280"/>
      <w:ind w:firstLine="709"/>
      <w:jc w:val="both"/>
    </w:pPr>
    <w:rPr>
      <w:vanish/>
    </w:rPr>
  </w:style>
  <w:style w:type="paragraph" w:customStyle="1" w:styleId="group-editor-show">
    <w:name w:val="group-editor-show"/>
    <w:basedOn w:val="Standard"/>
    <w:rsid w:val="0047261E"/>
    <w:pPr>
      <w:spacing w:before="280" w:after="280"/>
      <w:ind w:firstLine="709"/>
      <w:jc w:val="both"/>
    </w:pPr>
    <w:rPr>
      <w:vanish/>
    </w:rPr>
  </w:style>
  <w:style w:type="paragraph" w:customStyle="1" w:styleId="group-autoeditor-show">
    <w:name w:val="group-autoeditor-show"/>
    <w:basedOn w:val="Standard"/>
    <w:rsid w:val="0047261E"/>
    <w:pPr>
      <w:spacing w:before="280" w:after="280"/>
      <w:ind w:firstLine="709"/>
      <w:jc w:val="both"/>
    </w:pPr>
    <w:rPr>
      <w:vanish/>
    </w:rPr>
  </w:style>
  <w:style w:type="paragraph" w:customStyle="1" w:styleId="group-user-show">
    <w:name w:val="group-user-show"/>
    <w:basedOn w:val="Standard"/>
    <w:rsid w:val="0047261E"/>
    <w:pPr>
      <w:spacing w:before="280" w:after="280"/>
      <w:ind w:firstLine="709"/>
      <w:jc w:val="both"/>
    </w:pPr>
    <w:rPr>
      <w:vanish/>
    </w:rPr>
  </w:style>
  <w:style w:type="paragraph" w:customStyle="1" w:styleId="standard0">
    <w:name w:val="standard"/>
    <w:basedOn w:val="Standard"/>
    <w:rsid w:val="0047261E"/>
    <w:pPr>
      <w:pBdr>
        <w:top w:val="single" w:sz="6" w:space="0" w:color="A2A9B1"/>
        <w:left w:val="single" w:sz="6" w:space="0" w:color="A2A9B1"/>
        <w:bottom w:val="single" w:sz="6" w:space="0" w:color="A2A9B1"/>
        <w:right w:val="single" w:sz="6" w:space="0" w:color="A2A9B1"/>
      </w:pBdr>
      <w:spacing w:before="240" w:after="240"/>
      <w:ind w:firstLine="709"/>
      <w:jc w:val="both"/>
    </w:pPr>
  </w:style>
  <w:style w:type="paragraph" w:customStyle="1" w:styleId="wide">
    <w:name w:val="wide"/>
    <w:basedOn w:val="Standard"/>
    <w:rsid w:val="0047261E"/>
    <w:pPr>
      <w:pBdr>
        <w:top w:val="single" w:sz="6" w:space="0" w:color="A2A9B1"/>
        <w:left w:val="single" w:sz="6" w:space="0" w:color="A2A9B1"/>
        <w:bottom w:val="single" w:sz="6" w:space="0" w:color="A2A9B1"/>
        <w:right w:val="single" w:sz="6" w:space="0" w:color="A2A9B1"/>
      </w:pBdr>
      <w:spacing w:before="240" w:after="240"/>
      <w:ind w:firstLine="709"/>
      <w:jc w:val="both"/>
    </w:pPr>
  </w:style>
  <w:style w:type="paragraph" w:customStyle="1" w:styleId="infobox">
    <w:name w:val="infobox"/>
    <w:basedOn w:val="Standard"/>
    <w:rsid w:val="0047261E"/>
    <w:pPr>
      <w:pBdr>
        <w:top w:val="single" w:sz="6" w:space="5" w:color="A2A9B1"/>
        <w:left w:val="single" w:sz="6" w:space="5" w:color="A2A9B1"/>
        <w:bottom w:val="single" w:sz="6" w:space="5" w:color="A2A9B1"/>
        <w:right w:val="single" w:sz="6" w:space="5" w:color="A2A9B1"/>
      </w:pBdr>
      <w:spacing w:before="280" w:after="120" w:line="360" w:lineRule="atLeast"/>
      <w:ind w:left="240"/>
      <w:jc w:val="both"/>
      <w:textAlignment w:val="center"/>
    </w:pPr>
    <w:rPr>
      <w:sz w:val="21"/>
      <w:szCs w:val="21"/>
    </w:rPr>
  </w:style>
  <w:style w:type="paragraph" w:customStyle="1" w:styleId="notice">
    <w:name w:val="notice"/>
    <w:basedOn w:val="Standard"/>
    <w:rsid w:val="0047261E"/>
    <w:pPr>
      <w:spacing w:before="240" w:after="240"/>
      <w:ind w:left="120" w:right="120"/>
      <w:jc w:val="both"/>
    </w:pPr>
  </w:style>
  <w:style w:type="paragraph" w:customStyle="1" w:styleId="messagebox">
    <w:name w:val="messagebox"/>
    <w:basedOn w:val="Standard"/>
    <w:rsid w:val="0047261E"/>
    <w:pPr>
      <w:pBdr>
        <w:top w:val="single" w:sz="6" w:space="5" w:color="AAAAAA"/>
        <w:left w:val="single" w:sz="6" w:space="5" w:color="AAAAAA"/>
        <w:bottom w:val="single" w:sz="6" w:space="5" w:color="AAAAAA"/>
        <w:right w:val="single" w:sz="6" w:space="5" w:color="AAAAAA"/>
      </w:pBdr>
      <w:spacing w:after="240"/>
      <w:ind w:firstLine="709"/>
      <w:jc w:val="both"/>
      <w:textAlignment w:val="center"/>
    </w:pPr>
    <w:rPr>
      <w:sz w:val="22"/>
      <w:szCs w:val="22"/>
    </w:rPr>
  </w:style>
  <w:style w:type="paragraph" w:customStyle="1" w:styleId="references-small">
    <w:name w:val="references-small"/>
    <w:basedOn w:val="Standard"/>
    <w:rsid w:val="0047261E"/>
    <w:pPr>
      <w:spacing w:before="280" w:after="280"/>
      <w:ind w:firstLine="709"/>
      <w:jc w:val="both"/>
    </w:pPr>
    <w:rPr>
      <w:sz w:val="22"/>
      <w:szCs w:val="22"/>
    </w:rPr>
  </w:style>
  <w:style w:type="paragraph" w:customStyle="1" w:styleId="printonly">
    <w:name w:val="printonly"/>
    <w:basedOn w:val="Standard"/>
    <w:rsid w:val="0047261E"/>
    <w:pPr>
      <w:spacing w:before="280" w:after="280"/>
      <w:ind w:firstLine="709"/>
      <w:jc w:val="both"/>
    </w:pPr>
    <w:rPr>
      <w:vanish/>
    </w:rPr>
  </w:style>
  <w:style w:type="paragraph" w:customStyle="1" w:styleId="dablink">
    <w:name w:val="dablink"/>
    <w:basedOn w:val="Standard"/>
    <w:rsid w:val="0047261E"/>
    <w:pPr>
      <w:spacing w:before="280" w:after="280"/>
      <w:ind w:firstLine="709"/>
      <w:jc w:val="both"/>
    </w:pPr>
    <w:rPr>
      <w:i/>
      <w:iCs/>
    </w:rPr>
  </w:style>
  <w:style w:type="paragraph" w:customStyle="1" w:styleId="rellink">
    <w:name w:val="rellink"/>
    <w:basedOn w:val="Standard"/>
    <w:rsid w:val="0047261E"/>
    <w:pPr>
      <w:spacing w:before="280" w:after="280"/>
      <w:ind w:firstLine="709"/>
      <w:jc w:val="both"/>
    </w:pPr>
    <w:rPr>
      <w:i/>
      <w:iCs/>
    </w:rPr>
  </w:style>
  <w:style w:type="paragraph" w:customStyle="1" w:styleId="geo-multi-punct">
    <w:name w:val="geo-multi-punct"/>
    <w:basedOn w:val="Standard"/>
    <w:rsid w:val="0047261E"/>
    <w:pPr>
      <w:spacing w:before="280" w:after="280"/>
      <w:ind w:firstLine="709"/>
      <w:jc w:val="both"/>
    </w:pPr>
    <w:rPr>
      <w:vanish/>
    </w:rPr>
  </w:style>
  <w:style w:type="paragraph" w:customStyle="1" w:styleId="geo-lat">
    <w:name w:val="geo-lat"/>
    <w:basedOn w:val="Standard"/>
    <w:rsid w:val="0047261E"/>
    <w:pPr>
      <w:spacing w:before="280" w:after="280"/>
      <w:ind w:firstLine="709"/>
      <w:jc w:val="both"/>
    </w:pPr>
  </w:style>
  <w:style w:type="paragraph" w:customStyle="1" w:styleId="geo-lon">
    <w:name w:val="geo-lon"/>
    <w:basedOn w:val="Standard"/>
    <w:rsid w:val="0047261E"/>
    <w:pPr>
      <w:spacing w:before="280" w:after="280"/>
      <w:ind w:firstLine="709"/>
      <w:jc w:val="both"/>
    </w:pPr>
  </w:style>
  <w:style w:type="paragraph" w:customStyle="1" w:styleId="wp-templatelink">
    <w:name w:val="wp-templatelink"/>
    <w:basedOn w:val="Standard"/>
    <w:rsid w:val="0047261E"/>
    <w:pPr>
      <w:spacing w:before="280" w:after="280"/>
      <w:ind w:firstLine="709"/>
      <w:jc w:val="both"/>
    </w:pPr>
    <w:rPr>
      <w:color w:val="72777D"/>
    </w:rPr>
  </w:style>
  <w:style w:type="paragraph" w:customStyle="1" w:styleId="mw-fr-reviewlink">
    <w:name w:val="mw-fr-reviewlink"/>
    <w:basedOn w:val="Standard"/>
    <w:rsid w:val="0047261E"/>
    <w:pPr>
      <w:spacing w:before="280" w:after="280"/>
      <w:ind w:firstLine="709"/>
      <w:jc w:val="both"/>
    </w:pPr>
    <w:rPr>
      <w:sz w:val="20"/>
      <w:szCs w:val="20"/>
    </w:rPr>
  </w:style>
  <w:style w:type="paragraph" w:customStyle="1" w:styleId="fr-hist-basic-user">
    <w:name w:val="fr-hist-basic-user"/>
    <w:basedOn w:val="Standard"/>
    <w:rsid w:val="0047261E"/>
    <w:pPr>
      <w:spacing w:before="280" w:after="280"/>
      <w:ind w:firstLine="709"/>
      <w:jc w:val="both"/>
    </w:pPr>
    <w:rPr>
      <w:sz w:val="20"/>
      <w:szCs w:val="20"/>
    </w:rPr>
  </w:style>
  <w:style w:type="paragraph" w:customStyle="1" w:styleId="fr-hist-basic-auto">
    <w:name w:val="fr-hist-basic-auto"/>
    <w:basedOn w:val="Standard"/>
    <w:rsid w:val="0047261E"/>
    <w:pPr>
      <w:spacing w:before="280" w:after="280"/>
      <w:ind w:firstLine="709"/>
      <w:jc w:val="both"/>
    </w:pPr>
    <w:rPr>
      <w:sz w:val="20"/>
      <w:szCs w:val="20"/>
    </w:rPr>
  </w:style>
  <w:style w:type="paragraph" w:customStyle="1" w:styleId="flaggedrevs-pending">
    <w:name w:val="flaggedrevs-pending"/>
    <w:basedOn w:val="Standard"/>
    <w:rsid w:val="0047261E"/>
    <w:pPr>
      <w:spacing w:before="280" w:after="280"/>
      <w:ind w:firstLine="709"/>
      <w:jc w:val="both"/>
    </w:pPr>
  </w:style>
  <w:style w:type="paragraph" w:customStyle="1" w:styleId="navbox">
    <w:name w:val="navbox"/>
    <w:basedOn w:val="Standard"/>
    <w:rsid w:val="0047261E"/>
    <w:pPr>
      <w:pBdr>
        <w:top w:val="single" w:sz="6" w:space="1" w:color="A2A9B1"/>
        <w:left w:val="single" w:sz="6" w:space="1" w:color="A2A9B1"/>
        <w:bottom w:val="single" w:sz="6" w:space="1" w:color="A2A9B1"/>
        <w:right w:val="single" w:sz="6" w:space="1" w:color="A2A9B1"/>
      </w:pBdr>
      <w:spacing w:before="240"/>
      <w:ind w:firstLine="709"/>
      <w:jc w:val="center"/>
    </w:pPr>
    <w:rPr>
      <w:sz w:val="21"/>
      <w:szCs w:val="21"/>
    </w:rPr>
  </w:style>
  <w:style w:type="paragraph" w:customStyle="1" w:styleId="navbox-inner">
    <w:name w:val="navbox-inner"/>
    <w:basedOn w:val="Standard"/>
    <w:rsid w:val="0047261E"/>
    <w:pPr>
      <w:spacing w:before="280" w:after="280"/>
      <w:ind w:firstLine="709"/>
      <w:jc w:val="both"/>
    </w:pPr>
  </w:style>
  <w:style w:type="paragraph" w:customStyle="1" w:styleId="navbox-subgroup">
    <w:name w:val="navbox-subgroup"/>
    <w:basedOn w:val="Standard"/>
    <w:rsid w:val="0047261E"/>
    <w:pPr>
      <w:spacing w:before="280" w:after="280"/>
      <w:ind w:firstLine="709"/>
      <w:jc w:val="both"/>
    </w:pPr>
  </w:style>
  <w:style w:type="paragraph" w:customStyle="1" w:styleId="navbox-group">
    <w:name w:val="navbox-group"/>
    <w:basedOn w:val="Standard"/>
    <w:rsid w:val="0047261E"/>
    <w:pPr>
      <w:spacing w:before="280" w:after="280"/>
      <w:ind w:firstLine="709"/>
      <w:jc w:val="center"/>
    </w:pPr>
  </w:style>
  <w:style w:type="paragraph" w:customStyle="1" w:styleId="navbox-title">
    <w:name w:val="navbox-title"/>
    <w:basedOn w:val="Standard"/>
    <w:rsid w:val="0047261E"/>
    <w:pPr>
      <w:spacing w:before="280" w:after="280" w:line="384" w:lineRule="atLeast"/>
      <w:ind w:firstLine="709"/>
      <w:jc w:val="center"/>
    </w:pPr>
  </w:style>
  <w:style w:type="paragraph" w:customStyle="1" w:styleId="navbox-abovebelow">
    <w:name w:val="navbox-abovebelow"/>
    <w:basedOn w:val="Standard"/>
    <w:rsid w:val="0047261E"/>
    <w:pPr>
      <w:spacing w:before="280" w:after="280"/>
      <w:ind w:firstLine="709"/>
      <w:jc w:val="center"/>
    </w:pPr>
  </w:style>
  <w:style w:type="paragraph" w:customStyle="1" w:styleId="navbox-list">
    <w:name w:val="navbox-list"/>
    <w:basedOn w:val="Standard"/>
    <w:rsid w:val="0047261E"/>
    <w:pPr>
      <w:spacing w:before="280" w:after="280"/>
      <w:ind w:firstLine="709"/>
      <w:jc w:val="both"/>
    </w:pPr>
  </w:style>
  <w:style w:type="paragraph" w:customStyle="1" w:styleId="navbox-even">
    <w:name w:val="navbox-even"/>
    <w:basedOn w:val="Standard"/>
    <w:rsid w:val="0047261E"/>
    <w:pPr>
      <w:spacing w:before="280" w:after="280"/>
      <w:ind w:firstLine="709"/>
      <w:jc w:val="both"/>
    </w:pPr>
  </w:style>
  <w:style w:type="paragraph" w:customStyle="1" w:styleId="navbox-odd">
    <w:name w:val="navbox-odd"/>
    <w:basedOn w:val="Standard"/>
    <w:rsid w:val="0047261E"/>
    <w:pPr>
      <w:spacing w:before="280" w:after="280"/>
      <w:ind w:firstLine="709"/>
      <w:jc w:val="both"/>
    </w:pPr>
  </w:style>
  <w:style w:type="paragraph" w:customStyle="1" w:styleId="navbar">
    <w:name w:val="navbar"/>
    <w:basedOn w:val="Standard"/>
    <w:rsid w:val="0047261E"/>
    <w:pPr>
      <w:spacing w:before="280" w:after="280"/>
      <w:ind w:firstLine="709"/>
      <w:jc w:val="both"/>
    </w:pPr>
    <w:rPr>
      <w:sz w:val="20"/>
      <w:szCs w:val="20"/>
    </w:rPr>
  </w:style>
  <w:style w:type="paragraph" w:customStyle="1" w:styleId="collapsebutton">
    <w:name w:val="collapsebutton"/>
    <w:basedOn w:val="Standard"/>
    <w:rsid w:val="0047261E"/>
    <w:pPr>
      <w:spacing w:before="280" w:after="280"/>
      <w:ind w:left="120"/>
      <w:jc w:val="right"/>
    </w:pPr>
  </w:style>
  <w:style w:type="paragraph" w:customStyle="1" w:styleId="wrap">
    <w:name w:val="wrap"/>
    <w:basedOn w:val="Standard"/>
    <w:rsid w:val="0047261E"/>
    <w:pPr>
      <w:spacing w:before="280" w:after="280"/>
      <w:ind w:firstLine="709"/>
      <w:jc w:val="both"/>
    </w:pPr>
  </w:style>
  <w:style w:type="paragraph" w:customStyle="1" w:styleId="watchlist-msg">
    <w:name w:val="watchlist-msg"/>
    <w:basedOn w:val="Standard"/>
    <w:rsid w:val="0047261E"/>
    <w:pPr>
      <w:pBdr>
        <w:top w:val="single" w:sz="6" w:space="6" w:color="FFDD44"/>
        <w:left w:val="single" w:sz="6" w:space="8" w:color="FFDD44"/>
        <w:bottom w:val="single" w:sz="6" w:space="6" w:color="FFDD44"/>
        <w:right w:val="single" w:sz="6" w:space="8" w:color="FFDD44"/>
      </w:pBdr>
      <w:spacing w:before="280" w:after="280" w:line="336" w:lineRule="atLeast"/>
      <w:ind w:left="240"/>
      <w:jc w:val="both"/>
    </w:pPr>
    <w:rPr>
      <w:sz w:val="16"/>
      <w:szCs w:val="16"/>
    </w:rPr>
  </w:style>
  <w:style w:type="paragraph" w:customStyle="1" w:styleId="math-template">
    <w:name w:val="math-template"/>
    <w:basedOn w:val="Standard"/>
    <w:rsid w:val="0047261E"/>
    <w:pPr>
      <w:spacing w:before="280" w:after="280"/>
      <w:ind w:firstLine="709"/>
      <w:jc w:val="both"/>
    </w:pPr>
    <w:rPr>
      <w:sz w:val="29"/>
      <w:szCs w:val="29"/>
    </w:rPr>
  </w:style>
  <w:style w:type="paragraph" w:customStyle="1" w:styleId="portal-column-left">
    <w:name w:val="portal-column-left"/>
    <w:basedOn w:val="Standard"/>
    <w:rsid w:val="0047261E"/>
    <w:pPr>
      <w:spacing w:before="280" w:after="280"/>
      <w:ind w:firstLine="709"/>
      <w:jc w:val="both"/>
    </w:pPr>
  </w:style>
  <w:style w:type="paragraph" w:customStyle="1" w:styleId="portal-column-right">
    <w:name w:val="portal-column-right"/>
    <w:basedOn w:val="Standard"/>
    <w:rsid w:val="0047261E"/>
    <w:pPr>
      <w:spacing w:before="280" w:after="280"/>
      <w:ind w:firstLine="709"/>
      <w:jc w:val="both"/>
    </w:pPr>
  </w:style>
  <w:style w:type="paragraph" w:customStyle="1" w:styleId="portal-column-left-wide">
    <w:name w:val="portal-column-left-wide"/>
    <w:basedOn w:val="Standard"/>
    <w:rsid w:val="0047261E"/>
    <w:pPr>
      <w:spacing w:before="280" w:after="280"/>
      <w:ind w:firstLine="709"/>
      <w:jc w:val="both"/>
    </w:pPr>
  </w:style>
  <w:style w:type="paragraph" w:customStyle="1" w:styleId="portal-column-right-narrow">
    <w:name w:val="portal-column-right-narrow"/>
    <w:basedOn w:val="Standard"/>
    <w:rsid w:val="0047261E"/>
    <w:pPr>
      <w:spacing w:before="280" w:after="280"/>
      <w:ind w:firstLine="709"/>
      <w:jc w:val="both"/>
    </w:pPr>
  </w:style>
  <w:style w:type="paragraph" w:customStyle="1" w:styleId="portal-column-left-extra-wide">
    <w:name w:val="portal-column-left-extra-wide"/>
    <w:basedOn w:val="Standard"/>
    <w:rsid w:val="0047261E"/>
    <w:pPr>
      <w:spacing w:before="280" w:after="280"/>
      <w:ind w:firstLine="709"/>
      <w:jc w:val="both"/>
    </w:pPr>
  </w:style>
  <w:style w:type="paragraph" w:customStyle="1" w:styleId="portal-column-right-extra-narrow">
    <w:name w:val="portal-column-right-extra-narrow"/>
    <w:basedOn w:val="Standard"/>
    <w:rsid w:val="0047261E"/>
    <w:pPr>
      <w:spacing w:before="280" w:after="280"/>
      <w:ind w:firstLine="709"/>
      <w:jc w:val="both"/>
    </w:pPr>
  </w:style>
  <w:style w:type="paragraph" w:customStyle="1" w:styleId="autocolumns">
    <w:name w:val="autocolumns"/>
    <w:basedOn w:val="Standard"/>
    <w:rsid w:val="0047261E"/>
    <w:pPr>
      <w:spacing w:before="280" w:after="280"/>
      <w:ind w:firstLine="709"/>
      <w:jc w:val="both"/>
    </w:pPr>
  </w:style>
  <w:style w:type="paragraph" w:customStyle="1" w:styleId="ref-info">
    <w:name w:val="ref-info"/>
    <w:basedOn w:val="Standard"/>
    <w:rsid w:val="0047261E"/>
    <w:pPr>
      <w:spacing w:before="280" w:after="280"/>
      <w:ind w:firstLine="709"/>
      <w:jc w:val="both"/>
    </w:pPr>
    <w:rPr>
      <w:color w:val="72777D"/>
      <w:sz w:val="20"/>
      <w:szCs w:val="20"/>
    </w:rPr>
  </w:style>
  <w:style w:type="paragraph" w:customStyle="1" w:styleId="nocolbreak">
    <w:name w:val="nocolbreak"/>
    <w:basedOn w:val="Standard"/>
    <w:rsid w:val="0047261E"/>
    <w:pPr>
      <w:spacing w:before="280" w:after="280"/>
      <w:ind w:firstLine="709"/>
      <w:jc w:val="both"/>
    </w:pPr>
  </w:style>
  <w:style w:type="paragraph" w:customStyle="1" w:styleId="mw-babel-box-level-n">
    <w:name w:val="mw-babel-box-level-n"/>
    <w:basedOn w:val="Standard"/>
    <w:rsid w:val="0047261E"/>
    <w:pPr>
      <w:spacing w:before="280" w:after="280"/>
      <w:ind w:firstLine="709"/>
      <w:jc w:val="both"/>
    </w:pPr>
    <w:rPr>
      <w:vanish/>
    </w:rPr>
  </w:style>
  <w:style w:type="paragraph" w:customStyle="1" w:styleId="blockright">
    <w:name w:val="blockright"/>
    <w:basedOn w:val="Standard"/>
    <w:rsid w:val="0047261E"/>
    <w:pPr>
      <w:spacing w:before="280" w:after="280"/>
      <w:ind w:firstLine="709"/>
      <w:jc w:val="both"/>
    </w:pPr>
  </w:style>
  <w:style w:type="paragraph" w:customStyle="1" w:styleId="ipa">
    <w:name w:val="ipa"/>
    <w:basedOn w:val="Standard"/>
    <w:rsid w:val="0047261E"/>
    <w:pPr>
      <w:spacing w:before="280" w:after="280"/>
      <w:ind w:firstLine="709"/>
      <w:jc w:val="both"/>
    </w:pPr>
    <w:rPr>
      <w:rFonts w:ascii="Arial Unicode MS" w:eastAsia="Arial Unicode MS" w:hAnsi="Arial Unicode MS" w:cs="Arial Unicode MS"/>
    </w:rPr>
  </w:style>
  <w:style w:type="paragraph" w:customStyle="1" w:styleId="unicode">
    <w:name w:val="unicode"/>
    <w:basedOn w:val="Standard"/>
    <w:rsid w:val="0047261E"/>
    <w:pPr>
      <w:spacing w:before="280" w:after="280"/>
      <w:ind w:firstLine="709"/>
      <w:jc w:val="both"/>
    </w:pPr>
    <w:rPr>
      <w:rFonts w:ascii="Arial Unicode MS" w:eastAsia="Arial Unicode MS" w:hAnsi="Arial Unicode MS" w:cs="Arial Unicode MS"/>
    </w:rPr>
  </w:style>
  <w:style w:type="paragraph" w:customStyle="1" w:styleId="special-label">
    <w:name w:val="special-label"/>
    <w:basedOn w:val="Standard"/>
    <w:rsid w:val="0047261E"/>
    <w:pPr>
      <w:spacing w:before="280" w:after="280"/>
      <w:ind w:firstLine="709"/>
      <w:jc w:val="both"/>
    </w:pPr>
  </w:style>
  <w:style w:type="paragraph" w:customStyle="1" w:styleId="special-query">
    <w:name w:val="special-query"/>
    <w:basedOn w:val="Standard"/>
    <w:rsid w:val="0047261E"/>
    <w:pPr>
      <w:spacing w:before="280" w:after="280"/>
      <w:ind w:firstLine="709"/>
      <w:jc w:val="both"/>
    </w:pPr>
  </w:style>
  <w:style w:type="paragraph" w:customStyle="1" w:styleId="special-hover">
    <w:name w:val="special-hover"/>
    <w:basedOn w:val="Standard"/>
    <w:rsid w:val="0047261E"/>
    <w:pPr>
      <w:spacing w:before="280" w:after="280"/>
      <w:ind w:firstLine="709"/>
      <w:jc w:val="both"/>
    </w:pPr>
  </w:style>
  <w:style w:type="paragraph" w:customStyle="1" w:styleId="collapse-refs">
    <w:name w:val="collapse-refs"/>
    <w:basedOn w:val="Standard"/>
    <w:rsid w:val="0047261E"/>
    <w:pPr>
      <w:spacing w:before="280" w:after="280"/>
      <w:ind w:firstLine="709"/>
      <w:jc w:val="both"/>
    </w:pPr>
  </w:style>
  <w:style w:type="paragraph" w:customStyle="1" w:styleId="mw-indicators">
    <w:name w:val="mw-indicators"/>
    <w:basedOn w:val="Standard"/>
    <w:rsid w:val="0047261E"/>
    <w:pPr>
      <w:spacing w:before="280" w:after="280"/>
      <w:ind w:firstLine="709"/>
      <w:jc w:val="both"/>
    </w:pPr>
  </w:style>
  <w:style w:type="paragraph" w:customStyle="1" w:styleId="ve-ui-surface">
    <w:name w:val="ve-ui-surface"/>
    <w:basedOn w:val="Standard"/>
    <w:rsid w:val="0047261E"/>
    <w:pPr>
      <w:spacing w:before="280" w:after="280"/>
      <w:ind w:firstLine="709"/>
      <w:jc w:val="both"/>
    </w:pPr>
  </w:style>
  <w:style w:type="paragraph" w:customStyle="1" w:styleId="ve-init-mw-desktoparticletarget-editablecontent">
    <w:name w:val="ve-init-mw-desktoparticletarget-editablecontent"/>
    <w:basedOn w:val="Standard"/>
    <w:rsid w:val="0047261E"/>
    <w:pPr>
      <w:spacing w:before="280" w:after="280"/>
      <w:ind w:firstLine="709"/>
      <w:jc w:val="both"/>
    </w:pPr>
  </w:style>
  <w:style w:type="paragraph" w:customStyle="1" w:styleId="uls-search">
    <w:name w:val="uls-search"/>
    <w:basedOn w:val="Standard"/>
    <w:rsid w:val="0047261E"/>
    <w:pPr>
      <w:spacing w:before="280" w:after="280"/>
      <w:ind w:firstLine="709"/>
      <w:jc w:val="both"/>
    </w:pPr>
  </w:style>
  <w:style w:type="paragraph" w:customStyle="1" w:styleId="uls-filtersuggestion">
    <w:name w:val="uls-filtersuggestion"/>
    <w:basedOn w:val="Standard"/>
    <w:rsid w:val="0047261E"/>
    <w:pPr>
      <w:spacing w:before="280" w:after="280"/>
      <w:ind w:firstLine="709"/>
      <w:jc w:val="both"/>
    </w:pPr>
  </w:style>
  <w:style w:type="paragraph" w:customStyle="1" w:styleId="uls-lcd-region-title">
    <w:name w:val="uls-lcd-region-title"/>
    <w:basedOn w:val="Standard"/>
    <w:rsid w:val="0047261E"/>
    <w:pPr>
      <w:spacing w:before="280" w:after="280"/>
      <w:ind w:firstLine="709"/>
      <w:jc w:val="both"/>
    </w:pPr>
  </w:style>
  <w:style w:type="paragraph" w:customStyle="1" w:styleId="mw-mmv-view-expanded">
    <w:name w:val="mw-mmv-view-expanded"/>
    <w:basedOn w:val="Standard"/>
    <w:rsid w:val="0047261E"/>
    <w:pPr>
      <w:spacing w:before="280" w:after="280"/>
      <w:ind w:firstLine="709"/>
      <w:jc w:val="both"/>
    </w:pPr>
  </w:style>
  <w:style w:type="paragraph" w:customStyle="1" w:styleId="mw-mmv-view-config">
    <w:name w:val="mw-mmv-view-config"/>
    <w:basedOn w:val="Standard"/>
    <w:rsid w:val="0047261E"/>
    <w:pPr>
      <w:spacing w:before="280" w:after="280"/>
      <w:ind w:firstLine="709"/>
      <w:jc w:val="both"/>
    </w:pPr>
  </w:style>
  <w:style w:type="paragraph" w:customStyle="1" w:styleId="mwe-popups-container">
    <w:name w:val="mwe-popups-container"/>
    <w:basedOn w:val="Standard"/>
    <w:rsid w:val="0047261E"/>
    <w:pPr>
      <w:spacing w:before="280" w:after="280"/>
      <w:ind w:firstLine="709"/>
      <w:jc w:val="both"/>
    </w:pPr>
  </w:style>
  <w:style w:type="paragraph" w:customStyle="1" w:styleId="mwe-popups-extract">
    <w:name w:val="mwe-popups-extract"/>
    <w:basedOn w:val="Standard"/>
    <w:rsid w:val="0047261E"/>
    <w:pPr>
      <w:spacing w:before="280" w:after="280"/>
      <w:ind w:firstLine="709"/>
      <w:jc w:val="both"/>
    </w:pPr>
  </w:style>
  <w:style w:type="paragraph" w:customStyle="1" w:styleId="mw-empty-li">
    <w:name w:val="mw-empty-li"/>
    <w:basedOn w:val="Standard"/>
    <w:rsid w:val="0047261E"/>
    <w:pPr>
      <w:spacing w:before="280" w:after="280"/>
      <w:ind w:firstLine="709"/>
      <w:jc w:val="both"/>
    </w:pPr>
  </w:style>
  <w:style w:type="paragraph" w:customStyle="1" w:styleId="mw-empty-elt">
    <w:name w:val="mw-empty-elt"/>
    <w:basedOn w:val="Standard"/>
    <w:rsid w:val="0047261E"/>
    <w:pPr>
      <w:spacing w:before="280" w:after="280"/>
      <w:ind w:firstLine="709"/>
      <w:jc w:val="both"/>
    </w:pPr>
  </w:style>
  <w:style w:type="paragraph" w:customStyle="1" w:styleId="imbox">
    <w:name w:val="imbox"/>
    <w:basedOn w:val="Standard"/>
    <w:rsid w:val="0047261E"/>
    <w:pPr>
      <w:spacing w:before="280" w:after="280"/>
      <w:ind w:firstLine="709"/>
      <w:jc w:val="both"/>
    </w:pPr>
  </w:style>
  <w:style w:type="paragraph" w:customStyle="1" w:styleId="hide-when-compact">
    <w:name w:val="hide-when-compact"/>
    <w:basedOn w:val="Standard"/>
    <w:rsid w:val="0047261E"/>
    <w:pPr>
      <w:spacing w:before="280" w:after="280"/>
      <w:ind w:firstLine="709"/>
      <w:jc w:val="both"/>
    </w:pPr>
  </w:style>
  <w:style w:type="paragraph" w:customStyle="1" w:styleId="floatleft">
    <w:name w:val="floatleft"/>
    <w:basedOn w:val="Standard"/>
    <w:rsid w:val="0047261E"/>
    <w:pPr>
      <w:spacing w:before="280" w:after="280"/>
      <w:ind w:firstLine="709"/>
      <w:jc w:val="both"/>
    </w:pPr>
  </w:style>
  <w:style w:type="paragraph" w:customStyle="1" w:styleId="image">
    <w:name w:val="image"/>
    <w:basedOn w:val="Standard"/>
    <w:rsid w:val="0047261E"/>
    <w:pPr>
      <w:spacing w:before="280" w:after="280"/>
      <w:ind w:firstLine="709"/>
      <w:jc w:val="both"/>
    </w:pPr>
  </w:style>
  <w:style w:type="paragraph" w:customStyle="1" w:styleId="toclevel-2">
    <w:name w:val="toclevel-2"/>
    <w:basedOn w:val="Standard"/>
    <w:rsid w:val="0047261E"/>
    <w:pPr>
      <w:spacing w:before="280" w:after="280"/>
      <w:ind w:firstLine="709"/>
      <w:jc w:val="both"/>
    </w:pPr>
  </w:style>
  <w:style w:type="paragraph" w:customStyle="1" w:styleId="toclevel-3">
    <w:name w:val="toclevel-3"/>
    <w:basedOn w:val="Standard"/>
    <w:rsid w:val="0047261E"/>
    <w:pPr>
      <w:spacing w:before="280" w:after="280"/>
      <w:ind w:firstLine="709"/>
      <w:jc w:val="both"/>
    </w:pPr>
  </w:style>
  <w:style w:type="paragraph" w:customStyle="1" w:styleId="toclevel-4">
    <w:name w:val="toclevel-4"/>
    <w:basedOn w:val="Standard"/>
    <w:rsid w:val="0047261E"/>
    <w:pPr>
      <w:spacing w:before="280" w:after="280"/>
      <w:ind w:firstLine="709"/>
      <w:jc w:val="both"/>
    </w:pPr>
  </w:style>
  <w:style w:type="paragraph" w:customStyle="1" w:styleId="toclevel-5">
    <w:name w:val="toclevel-5"/>
    <w:basedOn w:val="Standard"/>
    <w:rsid w:val="0047261E"/>
    <w:pPr>
      <w:spacing w:before="280" w:after="280"/>
      <w:ind w:firstLine="709"/>
      <w:jc w:val="both"/>
    </w:pPr>
  </w:style>
  <w:style w:type="paragraph" w:customStyle="1" w:styleId="toclevel-6">
    <w:name w:val="toclevel-6"/>
    <w:basedOn w:val="Standard"/>
    <w:rsid w:val="0047261E"/>
    <w:pPr>
      <w:spacing w:before="280" w:after="280"/>
      <w:ind w:firstLine="709"/>
      <w:jc w:val="both"/>
    </w:pPr>
  </w:style>
  <w:style w:type="paragraph" w:customStyle="1" w:styleId="toclevel-7">
    <w:name w:val="toclevel-7"/>
    <w:basedOn w:val="Standard"/>
    <w:rsid w:val="0047261E"/>
    <w:pPr>
      <w:spacing w:before="280" w:after="280"/>
      <w:ind w:firstLine="709"/>
      <w:jc w:val="both"/>
    </w:pPr>
  </w:style>
  <w:style w:type="paragraph" w:customStyle="1" w:styleId="tocnumber">
    <w:name w:val="tocnumber"/>
    <w:basedOn w:val="Standard"/>
    <w:rsid w:val="0047261E"/>
    <w:pPr>
      <w:spacing w:before="280" w:after="280"/>
      <w:ind w:firstLine="709"/>
      <w:jc w:val="both"/>
    </w:pPr>
  </w:style>
  <w:style w:type="paragraph" w:customStyle="1" w:styleId="geo-services">
    <w:name w:val="geo-services"/>
    <w:basedOn w:val="Standard"/>
    <w:rsid w:val="0047261E"/>
    <w:pPr>
      <w:spacing w:before="280" w:after="280"/>
      <w:ind w:firstLine="709"/>
      <w:jc w:val="both"/>
    </w:pPr>
  </w:style>
  <w:style w:type="paragraph" w:customStyle="1" w:styleId="geo-dec">
    <w:name w:val="geo-dec"/>
    <w:basedOn w:val="Standard"/>
    <w:rsid w:val="0047261E"/>
    <w:pPr>
      <w:spacing w:before="280" w:after="280"/>
      <w:ind w:firstLine="709"/>
      <w:jc w:val="both"/>
    </w:pPr>
  </w:style>
  <w:style w:type="paragraph" w:customStyle="1" w:styleId="geo-dms">
    <w:name w:val="geo-dms"/>
    <w:basedOn w:val="Standard"/>
    <w:rsid w:val="0047261E"/>
    <w:pPr>
      <w:spacing w:before="280" w:after="280"/>
      <w:ind w:firstLine="709"/>
      <w:jc w:val="both"/>
    </w:pPr>
  </w:style>
  <w:style w:type="paragraph" w:customStyle="1" w:styleId="selflink">
    <w:name w:val="selflink"/>
    <w:basedOn w:val="Standard"/>
    <w:rsid w:val="0047261E"/>
    <w:pPr>
      <w:spacing w:before="280" w:after="280"/>
      <w:ind w:firstLine="709"/>
      <w:jc w:val="both"/>
    </w:pPr>
  </w:style>
  <w:style w:type="paragraph" w:customStyle="1" w:styleId="mbox-image">
    <w:name w:val="mbox-image"/>
    <w:basedOn w:val="Standard"/>
    <w:rsid w:val="0047261E"/>
    <w:pPr>
      <w:spacing w:before="280" w:after="280"/>
      <w:ind w:firstLine="709"/>
      <w:jc w:val="both"/>
    </w:pPr>
  </w:style>
  <w:style w:type="paragraph" w:customStyle="1" w:styleId="ve-hide">
    <w:name w:val="ve-hide"/>
    <w:basedOn w:val="Standard"/>
    <w:rsid w:val="0047261E"/>
    <w:pPr>
      <w:spacing w:before="280" w:after="280"/>
      <w:ind w:firstLine="709"/>
      <w:jc w:val="both"/>
    </w:pPr>
  </w:style>
  <w:style w:type="paragraph" w:customStyle="1" w:styleId="mw-gallery-slideshow-caption">
    <w:name w:val="mw-gallery-slideshow-caption"/>
    <w:basedOn w:val="Standard"/>
    <w:rsid w:val="0047261E"/>
    <w:pPr>
      <w:spacing w:before="280" w:after="280"/>
      <w:ind w:firstLine="709"/>
      <w:jc w:val="both"/>
    </w:pPr>
  </w:style>
  <w:style w:type="paragraph" w:customStyle="1" w:styleId="gallerytext">
    <w:name w:val="gallerytext"/>
    <w:basedOn w:val="Standard"/>
    <w:rsid w:val="0047261E"/>
    <w:pPr>
      <w:spacing w:before="280" w:after="280"/>
      <w:ind w:firstLine="709"/>
      <w:jc w:val="both"/>
    </w:pPr>
  </w:style>
  <w:style w:type="paragraph" w:customStyle="1" w:styleId="mbox-imageright">
    <w:name w:val="mbox-imageright"/>
    <w:basedOn w:val="Standard"/>
    <w:rsid w:val="0047261E"/>
    <w:pPr>
      <w:spacing w:before="280" w:after="280"/>
      <w:ind w:firstLine="709"/>
      <w:jc w:val="both"/>
    </w:pPr>
  </w:style>
  <w:style w:type="paragraph" w:customStyle="1" w:styleId="mbox-empty-cell">
    <w:name w:val="mbox-empty-cell"/>
    <w:basedOn w:val="Standard"/>
    <w:rsid w:val="0047261E"/>
    <w:pPr>
      <w:spacing w:before="280" w:after="280"/>
      <w:ind w:firstLine="709"/>
      <w:jc w:val="both"/>
    </w:pPr>
  </w:style>
  <w:style w:type="paragraph" w:customStyle="1" w:styleId="mbox-text-span">
    <w:name w:val="mbox-text-span"/>
    <w:basedOn w:val="Standard"/>
    <w:rsid w:val="0047261E"/>
    <w:pPr>
      <w:spacing w:before="280" w:after="280"/>
      <w:ind w:firstLine="709"/>
      <w:jc w:val="both"/>
    </w:pPr>
  </w:style>
  <w:style w:type="paragraph" w:customStyle="1" w:styleId="tmbox">
    <w:name w:val="tmbox"/>
    <w:basedOn w:val="Standard"/>
    <w:rsid w:val="0047261E"/>
    <w:pPr>
      <w:spacing w:before="280" w:after="280"/>
      <w:ind w:firstLine="709"/>
      <w:jc w:val="both"/>
    </w:pPr>
  </w:style>
  <w:style w:type="paragraph" w:customStyle="1" w:styleId="mw-gallery-slideshow-buttons">
    <w:name w:val="mw-gallery-slideshow-buttons"/>
    <w:basedOn w:val="Standard"/>
    <w:rsid w:val="0047261E"/>
    <w:pPr>
      <w:spacing w:before="280" w:after="280"/>
      <w:ind w:firstLine="709"/>
      <w:jc w:val="both"/>
    </w:pPr>
  </w:style>
  <w:style w:type="paragraph" w:customStyle="1" w:styleId="uls-trigger">
    <w:name w:val="uls-trigger"/>
    <w:basedOn w:val="Standard"/>
    <w:rsid w:val="0047261E"/>
    <w:pPr>
      <w:spacing w:before="280" w:after="280"/>
      <w:ind w:firstLine="709"/>
      <w:jc w:val="both"/>
    </w:pPr>
  </w:style>
  <w:style w:type="paragraph" w:customStyle="1" w:styleId="cite-accessibility-label">
    <w:name w:val="cite-accessibility-label"/>
    <w:basedOn w:val="Standard"/>
    <w:rsid w:val="0047261E"/>
    <w:pPr>
      <w:spacing w:before="280" w:after="280"/>
      <w:ind w:firstLine="709"/>
      <w:jc w:val="both"/>
    </w:pPr>
  </w:style>
  <w:style w:type="paragraph" w:customStyle="1" w:styleId="mw-kartographer-maplink">
    <w:name w:val="mw-kartographer-maplink"/>
    <w:basedOn w:val="Standard"/>
    <w:rsid w:val="0047261E"/>
    <w:pPr>
      <w:spacing w:before="280" w:after="280"/>
      <w:ind w:firstLine="709"/>
      <w:jc w:val="both"/>
    </w:pPr>
  </w:style>
  <w:style w:type="paragraph" w:customStyle="1" w:styleId="mw-dismissable-notice-body">
    <w:name w:val="mw-dismissable-notice-body"/>
    <w:basedOn w:val="Standard"/>
    <w:rsid w:val="0047261E"/>
    <w:pPr>
      <w:spacing w:before="280" w:after="280"/>
      <w:ind w:firstLine="709"/>
      <w:jc w:val="both"/>
    </w:pPr>
  </w:style>
  <w:style w:type="paragraph" w:customStyle="1" w:styleId="mbox-text">
    <w:name w:val="mbox-text"/>
    <w:basedOn w:val="Standard"/>
    <w:rsid w:val="0047261E"/>
    <w:pPr>
      <w:spacing w:before="280" w:after="280"/>
      <w:ind w:firstLine="709"/>
      <w:jc w:val="both"/>
    </w:pPr>
  </w:style>
  <w:style w:type="paragraph" w:customStyle="1" w:styleId="special-label1">
    <w:name w:val="special-label1"/>
    <w:basedOn w:val="Standard"/>
    <w:rsid w:val="0047261E"/>
    <w:pPr>
      <w:spacing w:before="280" w:after="280"/>
      <w:ind w:firstLine="709"/>
      <w:jc w:val="both"/>
    </w:pPr>
    <w:rPr>
      <w:color w:val="72777D"/>
    </w:rPr>
  </w:style>
  <w:style w:type="paragraph" w:customStyle="1" w:styleId="special-query1">
    <w:name w:val="special-query1"/>
    <w:basedOn w:val="Standard"/>
    <w:rsid w:val="0047261E"/>
    <w:pPr>
      <w:spacing w:before="280" w:after="280"/>
      <w:ind w:firstLine="709"/>
      <w:jc w:val="both"/>
    </w:pPr>
    <w:rPr>
      <w:i/>
      <w:iCs/>
      <w:color w:val="000000"/>
    </w:rPr>
  </w:style>
  <w:style w:type="paragraph" w:customStyle="1" w:styleId="special-hover1">
    <w:name w:val="special-hover1"/>
    <w:basedOn w:val="Standard"/>
    <w:rsid w:val="0047261E"/>
    <w:pPr>
      <w:spacing w:before="280" w:after="280"/>
      <w:ind w:firstLine="709"/>
      <w:jc w:val="both"/>
    </w:pPr>
  </w:style>
  <w:style w:type="paragraph" w:customStyle="1" w:styleId="special-label2">
    <w:name w:val="special-label2"/>
    <w:basedOn w:val="Standard"/>
    <w:rsid w:val="0047261E"/>
    <w:pPr>
      <w:spacing w:before="280" w:after="280"/>
      <w:ind w:firstLine="709"/>
      <w:jc w:val="both"/>
    </w:pPr>
    <w:rPr>
      <w:color w:val="FFFFFF"/>
    </w:rPr>
  </w:style>
  <w:style w:type="paragraph" w:customStyle="1" w:styleId="special-query2">
    <w:name w:val="special-query2"/>
    <w:basedOn w:val="Standard"/>
    <w:rsid w:val="0047261E"/>
    <w:pPr>
      <w:spacing w:before="280" w:after="280"/>
      <w:ind w:firstLine="709"/>
      <w:jc w:val="both"/>
    </w:pPr>
    <w:rPr>
      <w:color w:val="FFFFFF"/>
    </w:rPr>
  </w:style>
  <w:style w:type="paragraph" w:customStyle="1" w:styleId="collapse-refs1">
    <w:name w:val="collapse-refs1"/>
    <w:basedOn w:val="Standard"/>
    <w:rsid w:val="0047261E"/>
    <w:pPr>
      <w:spacing w:before="168"/>
      <w:ind w:left="864" w:right="864"/>
      <w:jc w:val="both"/>
    </w:pPr>
    <w:rPr>
      <w:sz w:val="19"/>
      <w:szCs w:val="19"/>
    </w:rPr>
  </w:style>
  <w:style w:type="paragraph" w:customStyle="1" w:styleId="mw-indicators1">
    <w:name w:val="mw-indicators1"/>
    <w:basedOn w:val="Standard"/>
    <w:rsid w:val="0047261E"/>
    <w:pPr>
      <w:spacing w:before="280" w:after="280"/>
      <w:ind w:firstLine="709"/>
      <w:jc w:val="both"/>
    </w:pPr>
    <w:rPr>
      <w:vanish/>
    </w:rPr>
  </w:style>
  <w:style w:type="paragraph" w:customStyle="1" w:styleId="ve-ui-surface1">
    <w:name w:val="ve-ui-surface1"/>
    <w:basedOn w:val="Standard"/>
    <w:rsid w:val="0047261E"/>
    <w:pPr>
      <w:spacing w:before="280" w:after="280"/>
      <w:ind w:firstLine="709"/>
      <w:jc w:val="both"/>
    </w:pPr>
    <w:rPr>
      <w:vanish/>
    </w:rPr>
  </w:style>
  <w:style w:type="paragraph" w:customStyle="1" w:styleId="ve-init-mw-desktoparticletarget-editablecontent1">
    <w:name w:val="ve-init-mw-desktoparticletarget-editablecontent1"/>
    <w:basedOn w:val="Standard"/>
    <w:rsid w:val="0047261E"/>
    <w:pPr>
      <w:spacing w:before="280" w:after="280"/>
      <w:ind w:firstLine="709"/>
      <w:jc w:val="both"/>
    </w:pPr>
    <w:rPr>
      <w:vanish/>
    </w:rPr>
  </w:style>
  <w:style w:type="paragraph" w:customStyle="1" w:styleId="ve-ui-surface2">
    <w:name w:val="ve-ui-surface2"/>
    <w:basedOn w:val="Standard"/>
    <w:rsid w:val="0047261E"/>
    <w:pPr>
      <w:spacing w:before="280" w:after="280"/>
      <w:ind w:firstLine="709"/>
      <w:jc w:val="both"/>
    </w:pPr>
  </w:style>
  <w:style w:type="paragraph" w:customStyle="1" w:styleId="uls-menu1">
    <w:name w:val="uls-menu1"/>
    <w:basedOn w:val="Standard"/>
    <w:rsid w:val="0047261E"/>
    <w:pPr>
      <w:spacing w:before="280" w:after="280"/>
      <w:ind w:firstLine="709"/>
      <w:jc w:val="both"/>
    </w:pPr>
    <w:rPr>
      <w:sz w:val="21"/>
      <w:szCs w:val="21"/>
    </w:rPr>
  </w:style>
  <w:style w:type="paragraph" w:customStyle="1" w:styleId="uls-search1">
    <w:name w:val="uls-search1"/>
    <w:basedOn w:val="Standard"/>
    <w:rsid w:val="0047261E"/>
    <w:pPr>
      <w:spacing w:before="280" w:after="280"/>
      <w:ind w:firstLine="709"/>
      <w:jc w:val="both"/>
    </w:pPr>
  </w:style>
  <w:style w:type="paragraph" w:customStyle="1" w:styleId="uls-filtersuggestion1">
    <w:name w:val="uls-filtersuggestion1"/>
    <w:basedOn w:val="Standard"/>
    <w:rsid w:val="0047261E"/>
    <w:pPr>
      <w:spacing w:before="280" w:after="280"/>
      <w:ind w:firstLine="709"/>
      <w:jc w:val="both"/>
    </w:pPr>
    <w:rPr>
      <w:color w:val="72777D"/>
    </w:rPr>
  </w:style>
  <w:style w:type="paragraph" w:customStyle="1" w:styleId="uls-lcd-region-title1">
    <w:name w:val="uls-lcd-region-title1"/>
    <w:basedOn w:val="Standard"/>
    <w:rsid w:val="0047261E"/>
    <w:pPr>
      <w:spacing w:before="280" w:after="280"/>
      <w:ind w:firstLine="709"/>
      <w:jc w:val="both"/>
    </w:pPr>
    <w:rPr>
      <w:color w:val="54595D"/>
    </w:rPr>
  </w:style>
  <w:style w:type="paragraph" w:customStyle="1" w:styleId="special-query3">
    <w:name w:val="special-query3"/>
    <w:basedOn w:val="Standard"/>
    <w:rsid w:val="0047261E"/>
    <w:pPr>
      <w:spacing w:before="280" w:after="280"/>
      <w:ind w:firstLine="709"/>
      <w:jc w:val="both"/>
    </w:pPr>
  </w:style>
  <w:style w:type="paragraph" w:customStyle="1" w:styleId="mw-mmv-view-expanded1">
    <w:name w:val="mw-mmv-view-expanded1"/>
    <w:basedOn w:val="Standard"/>
    <w:rsid w:val="0047261E"/>
    <w:pPr>
      <w:spacing w:before="280" w:after="280"/>
      <w:ind w:firstLine="709"/>
      <w:jc w:val="both"/>
    </w:pPr>
  </w:style>
  <w:style w:type="paragraph" w:customStyle="1" w:styleId="mw-mmv-view-config1">
    <w:name w:val="mw-mmv-view-config1"/>
    <w:basedOn w:val="Standard"/>
    <w:rsid w:val="0047261E"/>
    <w:pPr>
      <w:spacing w:before="280" w:after="280"/>
      <w:ind w:firstLine="709"/>
      <w:jc w:val="both"/>
    </w:pPr>
  </w:style>
  <w:style w:type="paragraph" w:customStyle="1" w:styleId="mwe-popups-container1">
    <w:name w:val="mwe-popups-container1"/>
    <w:basedOn w:val="Standard"/>
    <w:rsid w:val="0047261E"/>
    <w:pPr>
      <w:spacing w:after="280"/>
      <w:ind w:firstLine="709"/>
      <w:jc w:val="both"/>
    </w:pPr>
    <w:rPr>
      <w:color w:val="222222"/>
    </w:rPr>
  </w:style>
  <w:style w:type="paragraph" w:customStyle="1" w:styleId="mwe-popups-extract1">
    <w:name w:val="mwe-popups-extract1"/>
    <w:basedOn w:val="Standard"/>
    <w:rsid w:val="0047261E"/>
    <w:pPr>
      <w:spacing w:before="240" w:after="240"/>
      <w:ind w:left="240" w:right="240"/>
      <w:jc w:val="both"/>
    </w:pPr>
    <w:rPr>
      <w:color w:val="222222"/>
    </w:rPr>
  </w:style>
  <w:style w:type="paragraph" w:customStyle="1" w:styleId="mwe-popups-extract2">
    <w:name w:val="mwe-popups-extract2"/>
    <w:basedOn w:val="Standard"/>
    <w:rsid w:val="0047261E"/>
    <w:pPr>
      <w:spacing w:before="240" w:after="240"/>
      <w:ind w:left="240" w:right="240"/>
      <w:jc w:val="both"/>
    </w:pPr>
    <w:rPr>
      <w:color w:val="222222"/>
    </w:rPr>
  </w:style>
  <w:style w:type="paragraph" w:customStyle="1" w:styleId="uls-trigger1">
    <w:name w:val="uls-trigger1"/>
    <w:basedOn w:val="Standard"/>
    <w:rsid w:val="0047261E"/>
    <w:pPr>
      <w:spacing w:before="280" w:after="280"/>
      <w:ind w:firstLine="709"/>
      <w:jc w:val="both"/>
    </w:pPr>
  </w:style>
  <w:style w:type="paragraph" w:customStyle="1" w:styleId="uls-trigger2">
    <w:name w:val="uls-trigger2"/>
    <w:basedOn w:val="Standard"/>
    <w:rsid w:val="0047261E"/>
    <w:pPr>
      <w:spacing w:before="280" w:after="280"/>
      <w:ind w:firstLine="709"/>
      <w:jc w:val="both"/>
    </w:pPr>
  </w:style>
  <w:style w:type="paragraph" w:customStyle="1" w:styleId="mw-empty-li1">
    <w:name w:val="mw-empty-li1"/>
    <w:basedOn w:val="Standard"/>
    <w:rsid w:val="0047261E"/>
    <w:pPr>
      <w:spacing w:before="280" w:after="280"/>
      <w:ind w:firstLine="709"/>
      <w:jc w:val="both"/>
    </w:pPr>
    <w:rPr>
      <w:vanish/>
    </w:rPr>
  </w:style>
  <w:style w:type="paragraph" w:customStyle="1" w:styleId="mw-empty-elt1">
    <w:name w:val="mw-empty-elt1"/>
    <w:basedOn w:val="Standard"/>
    <w:rsid w:val="0047261E"/>
    <w:pPr>
      <w:spacing w:before="280" w:after="280"/>
      <w:ind w:firstLine="709"/>
      <w:jc w:val="both"/>
    </w:pPr>
    <w:rPr>
      <w:vanish/>
    </w:rPr>
  </w:style>
  <w:style w:type="paragraph" w:customStyle="1" w:styleId="imbox1">
    <w:name w:val="imbox1"/>
    <w:basedOn w:val="Standard"/>
    <w:rsid w:val="0047261E"/>
    <w:pPr>
      <w:ind w:left="-120" w:right="-120"/>
      <w:jc w:val="both"/>
    </w:pPr>
  </w:style>
  <w:style w:type="paragraph" w:customStyle="1" w:styleId="imbox2">
    <w:name w:val="imbox2"/>
    <w:basedOn w:val="Standard"/>
    <w:rsid w:val="0047261E"/>
    <w:pPr>
      <w:spacing w:before="60" w:after="60"/>
      <w:ind w:left="60" w:right="60"/>
      <w:jc w:val="both"/>
    </w:pPr>
  </w:style>
  <w:style w:type="paragraph" w:customStyle="1" w:styleId="tmbox1">
    <w:name w:val="tmbox1"/>
    <w:basedOn w:val="Standard"/>
    <w:rsid w:val="0047261E"/>
    <w:pPr>
      <w:spacing w:before="30" w:after="30"/>
      <w:ind w:firstLine="709"/>
      <w:jc w:val="both"/>
    </w:pPr>
  </w:style>
  <w:style w:type="paragraph" w:customStyle="1" w:styleId="mbox-image1">
    <w:name w:val="mbox-image1"/>
    <w:basedOn w:val="Standard"/>
    <w:rsid w:val="0047261E"/>
    <w:pPr>
      <w:spacing w:before="280" w:after="280"/>
      <w:ind w:firstLine="709"/>
      <w:jc w:val="both"/>
    </w:pPr>
    <w:rPr>
      <w:vanish/>
    </w:rPr>
  </w:style>
  <w:style w:type="paragraph" w:customStyle="1" w:styleId="mbox-imageright1">
    <w:name w:val="mbox-imageright1"/>
    <w:basedOn w:val="Standard"/>
    <w:rsid w:val="0047261E"/>
    <w:pPr>
      <w:spacing w:before="280" w:after="280"/>
      <w:ind w:firstLine="709"/>
      <w:jc w:val="both"/>
    </w:pPr>
    <w:rPr>
      <w:vanish/>
    </w:rPr>
  </w:style>
  <w:style w:type="paragraph" w:customStyle="1" w:styleId="mbox-empty-cell1">
    <w:name w:val="mbox-empty-cell1"/>
    <w:basedOn w:val="Standard"/>
    <w:rsid w:val="0047261E"/>
    <w:pPr>
      <w:spacing w:before="280" w:after="280"/>
      <w:ind w:firstLine="709"/>
      <w:jc w:val="both"/>
    </w:pPr>
    <w:rPr>
      <w:vanish/>
    </w:rPr>
  </w:style>
  <w:style w:type="paragraph" w:customStyle="1" w:styleId="mbox-text1">
    <w:name w:val="mbox-text1"/>
    <w:basedOn w:val="Standard"/>
    <w:rsid w:val="0047261E"/>
    <w:pPr>
      <w:ind w:firstLine="709"/>
      <w:jc w:val="both"/>
    </w:pPr>
  </w:style>
  <w:style w:type="paragraph" w:customStyle="1" w:styleId="mbox-text-span1">
    <w:name w:val="mbox-text-span1"/>
    <w:basedOn w:val="Standard"/>
    <w:rsid w:val="0047261E"/>
    <w:pPr>
      <w:spacing w:before="280" w:after="280" w:line="360" w:lineRule="atLeast"/>
      <w:ind w:firstLine="709"/>
      <w:jc w:val="both"/>
    </w:pPr>
  </w:style>
  <w:style w:type="paragraph" w:customStyle="1" w:styleId="mbox-text-span2">
    <w:name w:val="mbox-text-span2"/>
    <w:basedOn w:val="Standard"/>
    <w:rsid w:val="0047261E"/>
    <w:pPr>
      <w:spacing w:before="280" w:after="280" w:line="360" w:lineRule="atLeast"/>
      <w:ind w:firstLine="709"/>
      <w:jc w:val="both"/>
    </w:pPr>
  </w:style>
  <w:style w:type="paragraph" w:customStyle="1" w:styleId="hide-when-compact1">
    <w:name w:val="hide-when-compact1"/>
    <w:basedOn w:val="Standard"/>
    <w:rsid w:val="0047261E"/>
    <w:pPr>
      <w:spacing w:before="280" w:after="280"/>
      <w:ind w:firstLine="709"/>
      <w:jc w:val="both"/>
    </w:pPr>
    <w:rPr>
      <w:vanish/>
    </w:rPr>
  </w:style>
  <w:style w:type="paragraph" w:customStyle="1" w:styleId="floatleft1">
    <w:name w:val="floatleft1"/>
    <w:basedOn w:val="Standard"/>
    <w:rsid w:val="0047261E"/>
    <w:pPr>
      <w:spacing w:before="30" w:after="30"/>
      <w:ind w:left="30" w:right="30"/>
      <w:jc w:val="both"/>
      <w:textAlignment w:val="center"/>
    </w:pPr>
  </w:style>
  <w:style w:type="paragraph" w:customStyle="1" w:styleId="image1">
    <w:name w:val="image1"/>
    <w:basedOn w:val="Standard"/>
    <w:rsid w:val="0047261E"/>
    <w:pPr>
      <w:ind w:firstLine="709"/>
      <w:jc w:val="both"/>
    </w:pPr>
  </w:style>
  <w:style w:type="paragraph" w:customStyle="1" w:styleId="toclevel-21">
    <w:name w:val="toclevel-21"/>
    <w:basedOn w:val="Standard"/>
    <w:rsid w:val="0047261E"/>
    <w:pPr>
      <w:spacing w:before="280" w:after="280"/>
      <w:ind w:firstLine="709"/>
      <w:jc w:val="both"/>
    </w:pPr>
    <w:rPr>
      <w:vanish/>
    </w:rPr>
  </w:style>
  <w:style w:type="paragraph" w:customStyle="1" w:styleId="toclevel-31">
    <w:name w:val="toclevel-31"/>
    <w:basedOn w:val="Standard"/>
    <w:rsid w:val="0047261E"/>
    <w:pPr>
      <w:spacing w:before="280" w:after="280"/>
      <w:ind w:firstLine="709"/>
      <w:jc w:val="both"/>
    </w:pPr>
    <w:rPr>
      <w:vanish/>
    </w:rPr>
  </w:style>
  <w:style w:type="paragraph" w:customStyle="1" w:styleId="toclevel-41">
    <w:name w:val="toclevel-41"/>
    <w:basedOn w:val="Standard"/>
    <w:rsid w:val="0047261E"/>
    <w:pPr>
      <w:spacing w:before="280" w:after="280"/>
      <w:ind w:firstLine="709"/>
      <w:jc w:val="both"/>
    </w:pPr>
    <w:rPr>
      <w:vanish/>
    </w:rPr>
  </w:style>
  <w:style w:type="paragraph" w:customStyle="1" w:styleId="toclevel-51">
    <w:name w:val="toclevel-51"/>
    <w:basedOn w:val="Standard"/>
    <w:rsid w:val="0047261E"/>
    <w:pPr>
      <w:spacing w:before="280" w:after="280"/>
      <w:ind w:firstLine="709"/>
      <w:jc w:val="both"/>
    </w:pPr>
    <w:rPr>
      <w:vanish/>
    </w:rPr>
  </w:style>
  <w:style w:type="paragraph" w:customStyle="1" w:styleId="toclevel-61">
    <w:name w:val="toclevel-61"/>
    <w:basedOn w:val="Standard"/>
    <w:rsid w:val="0047261E"/>
    <w:pPr>
      <w:spacing w:before="280" w:after="280"/>
      <w:ind w:firstLine="709"/>
      <w:jc w:val="both"/>
    </w:pPr>
    <w:rPr>
      <w:vanish/>
    </w:rPr>
  </w:style>
  <w:style w:type="paragraph" w:customStyle="1" w:styleId="toclevel-71">
    <w:name w:val="toclevel-71"/>
    <w:basedOn w:val="Standard"/>
    <w:rsid w:val="0047261E"/>
    <w:pPr>
      <w:spacing w:before="280" w:after="280"/>
      <w:ind w:firstLine="709"/>
      <w:jc w:val="both"/>
    </w:pPr>
    <w:rPr>
      <w:vanish/>
    </w:rPr>
  </w:style>
  <w:style w:type="paragraph" w:customStyle="1" w:styleId="tocnumber1">
    <w:name w:val="tocnumber1"/>
    <w:basedOn w:val="Standard"/>
    <w:rsid w:val="0047261E"/>
    <w:pPr>
      <w:spacing w:before="280" w:after="280"/>
      <w:ind w:firstLine="709"/>
      <w:jc w:val="both"/>
    </w:pPr>
    <w:rPr>
      <w:vanish/>
    </w:rPr>
  </w:style>
  <w:style w:type="paragraph" w:customStyle="1" w:styleId="geo-services1">
    <w:name w:val="geo-services1"/>
    <w:basedOn w:val="Standard"/>
    <w:rsid w:val="0047261E"/>
    <w:pPr>
      <w:spacing w:before="280" w:after="280"/>
      <w:ind w:firstLine="709"/>
      <w:jc w:val="both"/>
    </w:pPr>
    <w:rPr>
      <w:sz w:val="20"/>
      <w:szCs w:val="20"/>
    </w:rPr>
  </w:style>
  <w:style w:type="paragraph" w:customStyle="1" w:styleId="geo-dec1">
    <w:name w:val="geo-dec1"/>
    <w:basedOn w:val="Standard"/>
    <w:rsid w:val="0047261E"/>
    <w:pPr>
      <w:spacing w:before="280" w:after="280"/>
      <w:ind w:firstLine="709"/>
      <w:jc w:val="both"/>
    </w:pPr>
  </w:style>
  <w:style w:type="paragraph" w:customStyle="1" w:styleId="geo-dms1">
    <w:name w:val="geo-dms1"/>
    <w:basedOn w:val="Standard"/>
    <w:rsid w:val="0047261E"/>
    <w:pPr>
      <w:spacing w:before="280" w:after="280"/>
      <w:ind w:firstLine="709"/>
      <w:jc w:val="both"/>
    </w:pPr>
  </w:style>
  <w:style w:type="paragraph" w:customStyle="1" w:styleId="geo-dms2">
    <w:name w:val="geo-dms2"/>
    <w:basedOn w:val="Standard"/>
    <w:rsid w:val="0047261E"/>
    <w:pPr>
      <w:spacing w:before="280" w:after="280"/>
      <w:ind w:firstLine="709"/>
      <w:jc w:val="both"/>
    </w:pPr>
    <w:rPr>
      <w:vanish/>
    </w:rPr>
  </w:style>
  <w:style w:type="paragraph" w:customStyle="1" w:styleId="geo-dec2">
    <w:name w:val="geo-dec2"/>
    <w:basedOn w:val="Standard"/>
    <w:rsid w:val="0047261E"/>
    <w:pPr>
      <w:spacing w:before="280" w:after="280"/>
      <w:ind w:firstLine="709"/>
      <w:jc w:val="both"/>
    </w:pPr>
    <w:rPr>
      <w:vanish/>
    </w:rPr>
  </w:style>
  <w:style w:type="paragraph" w:customStyle="1" w:styleId="mw-dismissable-notice-body1">
    <w:name w:val="mw-dismissable-notice-body1"/>
    <w:basedOn w:val="Standard"/>
    <w:rsid w:val="0047261E"/>
    <w:pPr>
      <w:spacing w:before="280" w:after="280"/>
      <w:ind w:right="1200"/>
      <w:jc w:val="both"/>
    </w:pPr>
  </w:style>
  <w:style w:type="paragraph" w:customStyle="1" w:styleId="navbox-title1">
    <w:name w:val="navbox-title1"/>
    <w:basedOn w:val="Standard"/>
    <w:rsid w:val="0047261E"/>
    <w:pPr>
      <w:spacing w:before="280" w:after="280" w:line="384" w:lineRule="atLeast"/>
      <w:ind w:firstLine="709"/>
      <w:jc w:val="center"/>
    </w:pPr>
  </w:style>
  <w:style w:type="paragraph" w:customStyle="1" w:styleId="navbox-group1">
    <w:name w:val="navbox-group1"/>
    <w:basedOn w:val="Standard"/>
    <w:rsid w:val="0047261E"/>
    <w:pPr>
      <w:spacing w:before="280" w:after="280"/>
      <w:ind w:firstLine="709"/>
      <w:jc w:val="center"/>
    </w:pPr>
  </w:style>
  <w:style w:type="paragraph" w:customStyle="1" w:styleId="navbox-abovebelow1">
    <w:name w:val="navbox-abovebelow1"/>
    <w:basedOn w:val="Standard"/>
    <w:rsid w:val="0047261E"/>
    <w:pPr>
      <w:spacing w:before="280" w:after="280"/>
      <w:ind w:firstLine="709"/>
      <w:jc w:val="center"/>
    </w:pPr>
  </w:style>
  <w:style w:type="paragraph" w:customStyle="1" w:styleId="navbox1">
    <w:name w:val="navbox1"/>
    <w:basedOn w:val="Standard"/>
    <w:rsid w:val="0047261E"/>
    <w:pPr>
      <w:pBdr>
        <w:top w:val="single" w:sz="6" w:space="1" w:color="A2A9B1"/>
        <w:left w:val="single" w:sz="6" w:space="1" w:color="A2A9B1"/>
        <w:bottom w:val="single" w:sz="6" w:space="1" w:color="A2A9B1"/>
        <w:right w:val="single" w:sz="6" w:space="1" w:color="A2A9B1"/>
      </w:pBdr>
      <w:ind w:firstLine="709"/>
      <w:jc w:val="center"/>
    </w:pPr>
    <w:rPr>
      <w:sz w:val="21"/>
      <w:szCs w:val="21"/>
    </w:rPr>
  </w:style>
  <w:style w:type="paragraph" w:customStyle="1" w:styleId="navbar1">
    <w:name w:val="navbar1"/>
    <w:basedOn w:val="Standard"/>
    <w:rsid w:val="0047261E"/>
    <w:pPr>
      <w:spacing w:before="280" w:after="280"/>
      <w:ind w:firstLine="709"/>
      <w:jc w:val="both"/>
    </w:pPr>
  </w:style>
  <w:style w:type="paragraph" w:customStyle="1" w:styleId="navbar2">
    <w:name w:val="navbar2"/>
    <w:basedOn w:val="Standard"/>
    <w:rsid w:val="0047261E"/>
    <w:pPr>
      <w:spacing w:before="280" w:after="280"/>
      <w:ind w:firstLine="709"/>
      <w:jc w:val="both"/>
    </w:pPr>
  </w:style>
  <w:style w:type="paragraph" w:customStyle="1" w:styleId="navbar3">
    <w:name w:val="navbar3"/>
    <w:basedOn w:val="Standard"/>
    <w:rsid w:val="0047261E"/>
    <w:pPr>
      <w:spacing w:before="280" w:after="280"/>
      <w:ind w:right="120"/>
      <w:jc w:val="both"/>
    </w:pPr>
    <w:rPr>
      <w:sz w:val="20"/>
      <w:szCs w:val="20"/>
    </w:rPr>
  </w:style>
  <w:style w:type="paragraph" w:customStyle="1" w:styleId="selflink1">
    <w:name w:val="selflink1"/>
    <w:basedOn w:val="Standard"/>
    <w:rsid w:val="0047261E"/>
    <w:pPr>
      <w:spacing w:before="280" w:after="280"/>
      <w:ind w:firstLine="709"/>
      <w:jc w:val="both"/>
    </w:pPr>
  </w:style>
  <w:style w:type="paragraph" w:customStyle="1" w:styleId="mbox-image2">
    <w:name w:val="mbox-image2"/>
    <w:basedOn w:val="Standard"/>
    <w:rsid w:val="0047261E"/>
    <w:pPr>
      <w:spacing w:before="280" w:after="280"/>
      <w:ind w:firstLine="709"/>
      <w:jc w:val="both"/>
    </w:pPr>
    <w:rPr>
      <w:vanish/>
    </w:rPr>
  </w:style>
  <w:style w:type="paragraph" w:customStyle="1" w:styleId="ve-hide1">
    <w:name w:val="ve-hide1"/>
    <w:basedOn w:val="Standard"/>
    <w:rsid w:val="0047261E"/>
    <w:pPr>
      <w:spacing w:before="280" w:after="280"/>
      <w:ind w:firstLine="709"/>
      <w:jc w:val="both"/>
    </w:pPr>
    <w:rPr>
      <w:vanish/>
    </w:rPr>
  </w:style>
  <w:style w:type="paragraph" w:customStyle="1" w:styleId="ve-show2">
    <w:name w:val="ve-show2"/>
    <w:basedOn w:val="Standard"/>
    <w:rsid w:val="0047261E"/>
    <w:pPr>
      <w:spacing w:before="280" w:after="280"/>
      <w:ind w:firstLine="709"/>
      <w:jc w:val="both"/>
    </w:pPr>
  </w:style>
  <w:style w:type="paragraph" w:customStyle="1" w:styleId="mw-gallery-slideshow-buttons1">
    <w:name w:val="mw-gallery-slideshow-buttons1"/>
    <w:basedOn w:val="Standard"/>
    <w:rsid w:val="0047261E"/>
    <w:pPr>
      <w:spacing w:before="280" w:after="280"/>
      <w:ind w:firstLine="709"/>
      <w:jc w:val="both"/>
    </w:pPr>
  </w:style>
  <w:style w:type="paragraph" w:customStyle="1" w:styleId="mw-gallery-slideshow-caption1">
    <w:name w:val="mw-gallery-slideshow-caption1"/>
    <w:basedOn w:val="Standard"/>
    <w:rsid w:val="0047261E"/>
    <w:pPr>
      <w:spacing w:before="280"/>
      <w:ind w:firstLine="709"/>
      <w:jc w:val="both"/>
    </w:pPr>
  </w:style>
  <w:style w:type="paragraph" w:customStyle="1" w:styleId="gallerytext1">
    <w:name w:val="gallerytext1"/>
    <w:basedOn w:val="Standard"/>
    <w:rsid w:val="0047261E"/>
    <w:pPr>
      <w:spacing w:before="280" w:after="280"/>
      <w:ind w:firstLine="709"/>
      <w:jc w:val="both"/>
    </w:pPr>
  </w:style>
  <w:style w:type="paragraph" w:customStyle="1" w:styleId="mw-indicators2">
    <w:name w:val="mw-indicators2"/>
    <w:basedOn w:val="Standard"/>
    <w:rsid w:val="0047261E"/>
    <w:pPr>
      <w:spacing w:before="280" w:after="280"/>
      <w:ind w:firstLine="709"/>
      <w:jc w:val="both"/>
    </w:pPr>
    <w:rPr>
      <w:sz w:val="18"/>
      <w:szCs w:val="18"/>
    </w:rPr>
  </w:style>
  <w:style w:type="paragraph" w:customStyle="1" w:styleId="Textbodyuser">
    <w:name w:val="Text body (user)"/>
    <w:basedOn w:val="Standard"/>
    <w:rsid w:val="0047261E"/>
    <w:pPr>
      <w:widowControl w:val="0"/>
      <w:spacing w:after="140" w:line="288" w:lineRule="auto"/>
      <w:ind w:firstLine="709"/>
      <w:jc w:val="both"/>
    </w:pPr>
    <w:rPr>
      <w:rFonts w:eastAsia="SimSun, 宋体" w:cs="Mangal"/>
      <w:lang w:bidi="hi-IN"/>
    </w:rPr>
  </w:style>
  <w:style w:type="paragraph" w:customStyle="1" w:styleId="j">
    <w:name w:val="j"/>
    <w:basedOn w:val="Standard"/>
    <w:rsid w:val="0047261E"/>
    <w:pPr>
      <w:spacing w:before="280" w:after="280"/>
      <w:ind w:firstLine="709"/>
      <w:jc w:val="both"/>
    </w:pPr>
  </w:style>
  <w:style w:type="paragraph" w:customStyle="1" w:styleId="pc">
    <w:name w:val="pc"/>
    <w:basedOn w:val="Standard"/>
    <w:rsid w:val="0047261E"/>
    <w:pPr>
      <w:spacing w:before="280" w:after="280"/>
      <w:ind w:firstLine="709"/>
      <w:jc w:val="both"/>
    </w:pPr>
  </w:style>
  <w:style w:type="paragraph" w:customStyle="1" w:styleId="text21">
    <w:name w:val="text21"/>
    <w:basedOn w:val="Standard"/>
    <w:rsid w:val="0047261E"/>
    <w:pPr>
      <w:spacing w:before="280" w:after="280"/>
      <w:ind w:firstLine="709"/>
      <w:jc w:val="both"/>
    </w:pPr>
  </w:style>
  <w:style w:type="paragraph" w:customStyle="1" w:styleId="headertext">
    <w:name w:val="headertext"/>
    <w:basedOn w:val="Standard"/>
    <w:rsid w:val="0047261E"/>
    <w:pPr>
      <w:spacing w:before="280" w:after="280"/>
      <w:ind w:firstLine="709"/>
      <w:jc w:val="both"/>
    </w:pPr>
  </w:style>
  <w:style w:type="paragraph" w:customStyle="1" w:styleId="pj">
    <w:name w:val="pj"/>
    <w:basedOn w:val="Standard"/>
    <w:rsid w:val="0047261E"/>
    <w:pPr>
      <w:spacing w:before="280" w:after="280"/>
      <w:ind w:firstLine="709"/>
      <w:jc w:val="both"/>
    </w:pPr>
  </w:style>
  <w:style w:type="paragraph" w:customStyle="1" w:styleId="ConsPlusCell">
    <w:name w:val="ConsPlusCell"/>
    <w:rsid w:val="0047261E"/>
    <w:pPr>
      <w:widowControl w:val="0"/>
      <w:suppressAutoHyphens/>
      <w:autoSpaceDE w:val="0"/>
      <w:autoSpaceDN w:val="0"/>
      <w:spacing w:after="0" w:line="240" w:lineRule="auto"/>
      <w:textAlignment w:val="baseline"/>
    </w:pPr>
    <w:rPr>
      <w:rFonts w:ascii="Calibri" w:eastAsia="Times New Roman" w:hAnsi="Calibri" w:cs="Calibri"/>
      <w:kern w:val="3"/>
      <w:lang w:eastAsia="zh-CN"/>
    </w:rPr>
  </w:style>
  <w:style w:type="paragraph" w:customStyle="1" w:styleId="affff3">
    <w:name w:val="Текст отчета"/>
    <w:basedOn w:val="Standard"/>
    <w:rsid w:val="0047261E"/>
    <w:pPr>
      <w:ind w:firstLine="709"/>
      <w:jc w:val="both"/>
    </w:pPr>
    <w:rPr>
      <w:rFonts w:ascii="Gazeta Titul" w:hAnsi="Gazeta Titul" w:cs="Gazeta Titul"/>
    </w:rPr>
  </w:style>
  <w:style w:type="paragraph" w:customStyle="1" w:styleId="affff4">
    <w:name w:val="Термин"/>
    <w:basedOn w:val="Standard"/>
    <w:next w:val="Standard"/>
    <w:rsid w:val="0047261E"/>
    <w:pPr>
      <w:ind w:firstLine="567"/>
      <w:jc w:val="both"/>
    </w:pPr>
    <w:rPr>
      <w:szCs w:val="20"/>
      <w:lang w:bidi="hi-IN"/>
    </w:rPr>
  </w:style>
  <w:style w:type="paragraph" w:customStyle="1" w:styleId="affff5">
    <w:name w:val="Перечисление"/>
    <w:basedOn w:val="Standard"/>
    <w:rsid w:val="0047261E"/>
    <w:pPr>
      <w:tabs>
        <w:tab w:val="left" w:pos="720"/>
      </w:tabs>
      <w:ind w:left="360" w:hanging="360"/>
      <w:jc w:val="both"/>
    </w:pPr>
    <w:rPr>
      <w:sz w:val="28"/>
      <w:szCs w:val="20"/>
    </w:rPr>
  </w:style>
  <w:style w:type="paragraph" w:customStyle="1" w:styleId="a20">
    <w:name w:val="a2"/>
    <w:basedOn w:val="Standard"/>
    <w:rsid w:val="0047261E"/>
    <w:pPr>
      <w:spacing w:before="120" w:after="120" w:line="360" w:lineRule="auto"/>
      <w:ind w:firstLine="851"/>
      <w:jc w:val="both"/>
    </w:pPr>
    <w:rPr>
      <w:rFonts w:ascii="Arial" w:hAnsi="Arial" w:cs="Arial"/>
    </w:rPr>
  </w:style>
  <w:style w:type="paragraph" w:customStyle="1" w:styleId="affff6">
    <w:name w:val="Знак Знак Знак Знак Знак Знак Знак"/>
    <w:basedOn w:val="Standard"/>
    <w:rsid w:val="0047261E"/>
    <w:pPr>
      <w:spacing w:after="160" w:line="240" w:lineRule="exact"/>
      <w:ind w:firstLine="709"/>
      <w:jc w:val="both"/>
    </w:pPr>
    <w:rPr>
      <w:rFonts w:eastAsia="SimSun, 宋体"/>
      <w:b/>
    </w:rPr>
  </w:style>
  <w:style w:type="paragraph" w:customStyle="1" w:styleId="fr-value40">
    <w:name w:val="fr-value40"/>
    <w:basedOn w:val="Standard"/>
    <w:rsid w:val="0047261E"/>
    <w:pPr>
      <w:spacing w:before="100" w:after="100" w:line="240" w:lineRule="atLeast"/>
      <w:ind w:firstLine="709"/>
      <w:jc w:val="center"/>
    </w:pPr>
    <w:rPr>
      <w:rFonts w:ascii="Arial Unicode MS" w:hAnsi="Arial Unicode MS" w:cs="Arial Unicode MS"/>
    </w:rPr>
  </w:style>
  <w:style w:type="paragraph" w:customStyle="1" w:styleId="s13">
    <w:name w:val="s_13"/>
    <w:basedOn w:val="Standard"/>
    <w:rsid w:val="0047261E"/>
    <w:pPr>
      <w:ind w:firstLine="720"/>
      <w:jc w:val="both"/>
    </w:pPr>
    <w:rPr>
      <w:sz w:val="18"/>
      <w:szCs w:val="18"/>
    </w:rPr>
  </w:style>
  <w:style w:type="paragraph" w:customStyle="1" w:styleId="affff7">
    <w:name w:val="письмо"/>
    <w:basedOn w:val="Standard"/>
    <w:rsid w:val="0047261E"/>
    <w:pPr>
      <w:ind w:firstLine="709"/>
      <w:jc w:val="both"/>
    </w:pPr>
    <w:rPr>
      <w:sz w:val="28"/>
      <w:szCs w:val="20"/>
    </w:rPr>
  </w:style>
  <w:style w:type="paragraph" w:customStyle="1" w:styleId="1f2">
    <w:name w:val="Абзац списка1"/>
    <w:basedOn w:val="Standard"/>
    <w:qFormat/>
    <w:rsid w:val="0047261E"/>
    <w:pPr>
      <w:spacing w:line="276" w:lineRule="auto"/>
      <w:ind w:left="720"/>
      <w:jc w:val="both"/>
    </w:pPr>
    <w:rPr>
      <w:sz w:val="28"/>
      <w:szCs w:val="22"/>
    </w:rPr>
  </w:style>
  <w:style w:type="paragraph" w:customStyle="1" w:styleId="avg-">
    <w:name w:val="avg-Список нумерованный"/>
    <w:basedOn w:val="avg-0"/>
    <w:rsid w:val="0047261E"/>
    <w:pPr>
      <w:keepLines w:val="0"/>
      <w:numPr>
        <w:numId w:val="38"/>
      </w:numPr>
      <w:spacing w:line="216" w:lineRule="auto"/>
    </w:pPr>
    <w:rPr>
      <w:rFonts w:ascii="Myriad Pro" w:hAnsi="Myriad Pro" w:cs="Myriad Pro"/>
      <w:kern w:val="3"/>
      <w:sz w:val="22"/>
      <w:szCs w:val="22"/>
      <w:lang w:eastAsia="zh-CN"/>
    </w:rPr>
  </w:style>
  <w:style w:type="paragraph" w:customStyle="1" w:styleId="avg-10">
    <w:name w:val="avg-Подзаголовок 1"/>
    <w:basedOn w:val="avg-0"/>
    <w:next w:val="avg-0"/>
    <w:rsid w:val="0047261E"/>
    <w:pPr>
      <w:keepNext/>
      <w:keepLines w:val="0"/>
      <w:spacing w:before="240" w:after="0" w:line="216" w:lineRule="auto"/>
      <w:ind w:firstLine="709"/>
      <w:jc w:val="left"/>
    </w:pPr>
    <w:rPr>
      <w:rFonts w:ascii="Myriad Pro" w:hAnsi="Myriad Pro" w:cs="Myriad Pro"/>
      <w:b/>
      <w:kern w:val="3"/>
      <w:sz w:val="22"/>
      <w:szCs w:val="22"/>
      <w:lang w:eastAsia="zh-CN"/>
    </w:rPr>
  </w:style>
  <w:style w:type="paragraph" w:customStyle="1" w:styleId="avg-4">
    <w:name w:val="avg-Название таблицы"/>
    <w:basedOn w:val="avg-0"/>
    <w:next w:val="avg-0"/>
    <w:rsid w:val="0047261E"/>
    <w:pPr>
      <w:keepNext/>
      <w:keepLines w:val="0"/>
      <w:spacing w:before="240" w:after="0" w:line="216" w:lineRule="auto"/>
      <w:ind w:firstLine="709"/>
      <w:jc w:val="left"/>
    </w:pPr>
    <w:rPr>
      <w:rFonts w:ascii="Arial Narrow" w:eastAsia="Arial Narrow" w:hAnsi="Arial Narrow" w:cs="Arial Narrow"/>
      <w:b/>
      <w:bCs/>
      <w:kern w:val="3"/>
      <w:sz w:val="20"/>
      <w:szCs w:val="22"/>
      <w:lang w:eastAsia="zh-CN"/>
    </w:rPr>
  </w:style>
  <w:style w:type="paragraph" w:customStyle="1" w:styleId="avg-5">
    <w:name w:val="avg-Источники информации"/>
    <w:basedOn w:val="avg-0"/>
    <w:rsid w:val="0047261E"/>
    <w:pPr>
      <w:keepNext/>
      <w:keepLines w:val="0"/>
      <w:spacing w:before="0" w:after="0"/>
      <w:ind w:firstLine="709"/>
      <w:jc w:val="right"/>
    </w:pPr>
    <w:rPr>
      <w:rFonts w:ascii="Myriad Pro" w:hAnsi="Myriad Pro" w:cs="Myriad Pro"/>
      <w:i/>
      <w:kern w:val="3"/>
      <w:sz w:val="20"/>
      <w:szCs w:val="20"/>
      <w:lang w:eastAsia="zh-CN"/>
    </w:rPr>
  </w:style>
  <w:style w:type="paragraph" w:customStyle="1" w:styleId="avg--">
    <w:name w:val="avg-Таблица-первый столбец"/>
    <w:basedOn w:val="Standard"/>
    <w:rsid w:val="0047261E"/>
    <w:pPr>
      <w:spacing w:before="60" w:after="60" w:line="192" w:lineRule="auto"/>
      <w:ind w:firstLine="709"/>
      <w:jc w:val="both"/>
    </w:pPr>
    <w:rPr>
      <w:rFonts w:ascii="Arial Narrow" w:hAnsi="Arial Narrow" w:cs="Arial Narrow"/>
      <w:sz w:val="20"/>
    </w:rPr>
  </w:style>
  <w:style w:type="paragraph" w:customStyle="1" w:styleId="avg-6">
    <w:name w:val="avg-Таблица текст"/>
    <w:basedOn w:val="Standard"/>
    <w:qFormat/>
    <w:rsid w:val="0047261E"/>
    <w:pPr>
      <w:spacing w:before="60" w:after="60" w:line="192" w:lineRule="auto"/>
      <w:ind w:firstLine="709"/>
      <w:jc w:val="center"/>
    </w:pPr>
    <w:rPr>
      <w:rFonts w:ascii="Arial Narrow" w:hAnsi="Arial Narrow" w:cs="Arial Narrow"/>
      <w:sz w:val="20"/>
    </w:rPr>
  </w:style>
  <w:style w:type="paragraph" w:customStyle="1" w:styleId="avg-7">
    <w:name w:val="avg-Таблица Шапка"/>
    <w:basedOn w:val="avg-6"/>
    <w:rsid w:val="0047261E"/>
    <w:pPr>
      <w:keepNext/>
      <w:keepLines/>
    </w:pPr>
    <w:rPr>
      <w:color w:val="FFFFFF"/>
    </w:rPr>
  </w:style>
  <w:style w:type="paragraph" w:customStyle="1" w:styleId="avg-2-">
    <w:name w:val="avg-Список маркированный 2-й уровень"/>
    <w:basedOn w:val="avg-3"/>
    <w:qFormat/>
    <w:rsid w:val="0047261E"/>
    <w:pPr>
      <w:numPr>
        <w:numId w:val="18"/>
      </w:numPr>
      <w:tabs>
        <w:tab w:val="left" w:pos="-8840"/>
      </w:tabs>
      <w:suppressAutoHyphens/>
      <w:autoSpaceDN w:val="0"/>
      <w:textAlignment w:val="baseline"/>
    </w:pPr>
    <w:rPr>
      <w:kern w:val="3"/>
      <w:lang w:eastAsia="zh-CN"/>
    </w:rPr>
  </w:style>
  <w:style w:type="paragraph" w:customStyle="1" w:styleId="avg-8">
    <w:name w:val="avg-Таблица текст_по ширине"/>
    <w:basedOn w:val="avg-6"/>
    <w:rsid w:val="0047261E"/>
    <w:pPr>
      <w:jc w:val="both"/>
    </w:pPr>
    <w:rPr>
      <w:rFonts w:eastAsia="Calibri"/>
      <w:szCs w:val="22"/>
    </w:rPr>
  </w:style>
  <w:style w:type="paragraph" w:customStyle="1" w:styleId="consnormal0">
    <w:name w:val="consnormal"/>
    <w:basedOn w:val="Standard"/>
    <w:rsid w:val="0047261E"/>
    <w:pPr>
      <w:snapToGrid w:val="0"/>
      <w:ind w:right="19772" w:firstLine="720"/>
      <w:jc w:val="both"/>
    </w:pPr>
    <w:rPr>
      <w:rFonts w:ascii="Arial" w:hAnsi="Arial" w:cs="Arial"/>
      <w:sz w:val="20"/>
      <w:szCs w:val="20"/>
    </w:rPr>
  </w:style>
  <w:style w:type="paragraph" w:customStyle="1" w:styleId="af40">
    <w:name w:val="af4"/>
    <w:basedOn w:val="Standard"/>
    <w:rsid w:val="0047261E"/>
    <w:pPr>
      <w:ind w:firstLine="709"/>
      <w:jc w:val="center"/>
    </w:pPr>
    <w:rPr>
      <w:sz w:val="20"/>
      <w:szCs w:val="20"/>
    </w:rPr>
  </w:style>
  <w:style w:type="paragraph" w:customStyle="1" w:styleId="1f3">
    <w:name w:val="Основной текст1"/>
    <w:basedOn w:val="Standard"/>
    <w:rsid w:val="0047261E"/>
    <w:pPr>
      <w:widowControl w:val="0"/>
      <w:spacing w:line="260" w:lineRule="exact"/>
      <w:ind w:firstLine="709"/>
      <w:jc w:val="both"/>
    </w:pPr>
    <w:rPr>
      <w:szCs w:val="20"/>
    </w:rPr>
  </w:style>
  <w:style w:type="paragraph" w:customStyle="1" w:styleId="formattext">
    <w:name w:val="formattext"/>
    <w:basedOn w:val="Standard"/>
    <w:rsid w:val="0047261E"/>
    <w:pPr>
      <w:spacing w:before="100" w:after="100"/>
      <w:ind w:firstLine="709"/>
      <w:jc w:val="both"/>
    </w:pPr>
  </w:style>
  <w:style w:type="paragraph" w:customStyle="1" w:styleId="Style40">
    <w:name w:val="Style40"/>
    <w:basedOn w:val="Standard"/>
    <w:rsid w:val="0047261E"/>
    <w:pPr>
      <w:widowControl w:val="0"/>
      <w:autoSpaceDE w:val="0"/>
      <w:spacing w:line="471" w:lineRule="exact"/>
      <w:ind w:firstLine="554"/>
      <w:jc w:val="both"/>
    </w:pPr>
  </w:style>
  <w:style w:type="paragraph" w:customStyle="1" w:styleId="Style7">
    <w:name w:val="Style7"/>
    <w:basedOn w:val="Standard"/>
    <w:rsid w:val="0047261E"/>
    <w:pPr>
      <w:widowControl w:val="0"/>
      <w:autoSpaceDE w:val="0"/>
      <w:spacing w:line="472" w:lineRule="exact"/>
      <w:ind w:firstLine="706"/>
      <w:jc w:val="both"/>
    </w:pPr>
  </w:style>
  <w:style w:type="paragraph" w:customStyle="1" w:styleId="pboth">
    <w:name w:val="pboth"/>
    <w:basedOn w:val="Standard"/>
    <w:rsid w:val="0047261E"/>
    <w:pPr>
      <w:spacing w:before="280" w:after="280"/>
      <w:ind w:firstLine="709"/>
      <w:jc w:val="both"/>
    </w:pPr>
  </w:style>
  <w:style w:type="paragraph" w:customStyle="1" w:styleId="accent">
    <w:name w:val="accent"/>
    <w:basedOn w:val="Standard"/>
    <w:rsid w:val="0047261E"/>
    <w:pPr>
      <w:spacing w:before="280" w:after="280"/>
      <w:ind w:firstLine="709"/>
      <w:jc w:val="both"/>
    </w:pPr>
  </w:style>
  <w:style w:type="paragraph" w:customStyle="1" w:styleId="affff8">
    <w:name w:val="Текст письма"/>
    <w:basedOn w:val="Standard"/>
    <w:rsid w:val="0047261E"/>
    <w:pPr>
      <w:spacing w:after="120" w:line="360" w:lineRule="auto"/>
      <w:ind w:firstLine="510"/>
      <w:jc w:val="both"/>
    </w:pPr>
    <w:rPr>
      <w:szCs w:val="20"/>
    </w:rPr>
  </w:style>
  <w:style w:type="paragraph" w:customStyle="1" w:styleId="TableContents">
    <w:name w:val="Table Contents"/>
    <w:basedOn w:val="Standard"/>
    <w:rsid w:val="0047261E"/>
    <w:pPr>
      <w:suppressLineNumbers/>
      <w:ind w:firstLine="709"/>
      <w:jc w:val="both"/>
    </w:pPr>
    <w:rPr>
      <w:rFonts w:eastAsia="Calibri"/>
    </w:rPr>
  </w:style>
  <w:style w:type="paragraph" w:customStyle="1" w:styleId="TableHeading">
    <w:name w:val="Table Heading"/>
    <w:basedOn w:val="TableContents"/>
    <w:rsid w:val="0047261E"/>
    <w:pPr>
      <w:jc w:val="center"/>
    </w:pPr>
    <w:rPr>
      <w:b/>
      <w:bCs/>
    </w:rPr>
  </w:style>
  <w:style w:type="paragraph" w:customStyle="1" w:styleId="Heading10">
    <w:name w:val="Heading 10"/>
    <w:basedOn w:val="Heading"/>
    <w:next w:val="Textbody"/>
    <w:rsid w:val="0047261E"/>
    <w:pPr>
      <w:spacing w:before="60" w:after="60"/>
    </w:pPr>
    <w:rPr>
      <w:b/>
      <w:bCs/>
    </w:rPr>
  </w:style>
  <w:style w:type="paragraph" w:customStyle="1" w:styleId="HorizontalLine">
    <w:name w:val="Horizontal Line"/>
    <w:basedOn w:val="Standard"/>
    <w:next w:val="Textbody"/>
    <w:rsid w:val="0047261E"/>
    <w:pPr>
      <w:suppressLineNumbers/>
      <w:spacing w:after="283"/>
      <w:ind w:firstLine="709"/>
      <w:jc w:val="both"/>
    </w:pPr>
    <w:rPr>
      <w:rFonts w:eastAsia="Calibri"/>
      <w:sz w:val="12"/>
      <w:szCs w:val="12"/>
    </w:rPr>
  </w:style>
  <w:style w:type="character" w:customStyle="1" w:styleId="Char">
    <w:name w:val="Текст сноски Знак Знак Char Знак"/>
    <w:aliases w:val="Texto de nota al pie Char Знак,Texto de nota al pie Знак,Текст сноски Знак Знак Char Char Знак,Schriftart: 9 pt Знак,Schriftart: 10 pt Знак,Schriftart: 8 pt Знак"/>
    <w:basedOn w:val="a4"/>
    <w:rsid w:val="0047261E"/>
    <w:rPr>
      <w:rFonts w:ascii="Times New Roman" w:eastAsia="Times New Roman" w:hAnsi="Times New Roman"/>
      <w:sz w:val="20"/>
      <w:szCs w:val="18"/>
      <w:lang w:eastAsia="ru-RU"/>
    </w:rPr>
  </w:style>
  <w:style w:type="character" w:customStyle="1" w:styleId="2f">
    <w:name w:val="Основной текст (2)_"/>
    <w:basedOn w:val="a4"/>
    <w:link w:val="2f0"/>
    <w:rsid w:val="0047261E"/>
    <w:rPr>
      <w:rFonts w:ascii="Times New Roman" w:eastAsia="Times New Roman" w:hAnsi="Times New Roman" w:cs="Times New Roman"/>
      <w:shd w:val="clear" w:color="auto" w:fill="FFFFFF"/>
    </w:rPr>
  </w:style>
  <w:style w:type="character" w:customStyle="1" w:styleId="2f1">
    <w:name w:val="Основной текст (2) + Курсив"/>
    <w:basedOn w:val="2f"/>
    <w:rsid w:val="0047261E"/>
    <w:rPr>
      <w:rFonts w:ascii="Times New Roman" w:eastAsia="Times New Roman" w:hAnsi="Times New Roman" w:cs="Times New Roman"/>
      <w:i/>
      <w:iCs/>
      <w:color w:val="000000"/>
      <w:spacing w:val="0"/>
      <w:w w:val="100"/>
      <w:position w:val="0"/>
      <w:sz w:val="24"/>
      <w:szCs w:val="24"/>
      <w:shd w:val="clear" w:color="auto" w:fill="FFFFFF"/>
      <w:lang w:val="ru-RU" w:eastAsia="ru-RU" w:bidi="ru-RU"/>
    </w:rPr>
  </w:style>
  <w:style w:type="character" w:customStyle="1" w:styleId="WW8Num1z0">
    <w:name w:val="WW8Num1z0"/>
    <w:rsid w:val="0047261E"/>
    <w:rPr>
      <w:rFonts w:cs="Times New Roman"/>
    </w:rPr>
  </w:style>
  <w:style w:type="character" w:customStyle="1" w:styleId="WW8Num2z0">
    <w:name w:val="WW8Num2z0"/>
    <w:rsid w:val="0047261E"/>
  </w:style>
  <w:style w:type="character" w:customStyle="1" w:styleId="WW8Num2z1">
    <w:name w:val="WW8Num2z1"/>
    <w:rsid w:val="0047261E"/>
  </w:style>
  <w:style w:type="character" w:customStyle="1" w:styleId="WW8Num2z2">
    <w:name w:val="WW8Num2z2"/>
    <w:rsid w:val="0047261E"/>
  </w:style>
  <w:style w:type="character" w:customStyle="1" w:styleId="WW8Num2z3">
    <w:name w:val="WW8Num2z3"/>
    <w:rsid w:val="0047261E"/>
  </w:style>
  <w:style w:type="character" w:customStyle="1" w:styleId="WW8Num2z4">
    <w:name w:val="WW8Num2z4"/>
    <w:rsid w:val="0047261E"/>
  </w:style>
  <w:style w:type="character" w:customStyle="1" w:styleId="WW8Num2z5">
    <w:name w:val="WW8Num2z5"/>
    <w:rsid w:val="0047261E"/>
  </w:style>
  <w:style w:type="character" w:customStyle="1" w:styleId="WW8Num2z6">
    <w:name w:val="WW8Num2z6"/>
    <w:rsid w:val="0047261E"/>
  </w:style>
  <w:style w:type="character" w:customStyle="1" w:styleId="WW8Num2z7">
    <w:name w:val="WW8Num2z7"/>
    <w:rsid w:val="0047261E"/>
  </w:style>
  <w:style w:type="character" w:customStyle="1" w:styleId="WW8Num2z8">
    <w:name w:val="WW8Num2z8"/>
    <w:rsid w:val="0047261E"/>
  </w:style>
  <w:style w:type="character" w:customStyle="1" w:styleId="WW8Num3z0">
    <w:name w:val="WW8Num3z0"/>
    <w:rsid w:val="0047261E"/>
    <w:rPr>
      <w:rFonts w:ascii="Symbol" w:eastAsia="Symbol" w:hAnsi="Symbol" w:cs="Symbol"/>
    </w:rPr>
  </w:style>
  <w:style w:type="character" w:customStyle="1" w:styleId="WW8Num3z1">
    <w:name w:val="WW8Num3z1"/>
    <w:rsid w:val="0047261E"/>
    <w:rPr>
      <w:rFonts w:ascii="Courier New" w:eastAsia="Courier New" w:hAnsi="Courier New" w:cs="Courier New"/>
    </w:rPr>
  </w:style>
  <w:style w:type="character" w:customStyle="1" w:styleId="WW8Num3z2">
    <w:name w:val="WW8Num3z2"/>
    <w:rsid w:val="0047261E"/>
    <w:rPr>
      <w:rFonts w:ascii="Wingdings" w:eastAsia="Wingdings" w:hAnsi="Wingdings" w:cs="Wingdings"/>
    </w:rPr>
  </w:style>
  <w:style w:type="character" w:customStyle="1" w:styleId="WW8Num4z0">
    <w:name w:val="WW8Num4z0"/>
    <w:rsid w:val="0047261E"/>
    <w:rPr>
      <w:lang w:eastAsia="en-US"/>
    </w:rPr>
  </w:style>
  <w:style w:type="character" w:customStyle="1" w:styleId="WW8Num4z1">
    <w:name w:val="WW8Num4z1"/>
    <w:rsid w:val="0047261E"/>
  </w:style>
  <w:style w:type="character" w:customStyle="1" w:styleId="WW8Num4z2">
    <w:name w:val="WW8Num4z2"/>
    <w:rsid w:val="0047261E"/>
  </w:style>
  <w:style w:type="character" w:customStyle="1" w:styleId="WW8Num4z3">
    <w:name w:val="WW8Num4z3"/>
    <w:rsid w:val="0047261E"/>
  </w:style>
  <w:style w:type="character" w:customStyle="1" w:styleId="WW8Num4z4">
    <w:name w:val="WW8Num4z4"/>
    <w:rsid w:val="0047261E"/>
  </w:style>
  <w:style w:type="character" w:customStyle="1" w:styleId="WW8Num4z5">
    <w:name w:val="WW8Num4z5"/>
    <w:rsid w:val="0047261E"/>
  </w:style>
  <w:style w:type="character" w:customStyle="1" w:styleId="WW8Num4z6">
    <w:name w:val="WW8Num4z6"/>
    <w:rsid w:val="0047261E"/>
  </w:style>
  <w:style w:type="character" w:customStyle="1" w:styleId="WW8Num4z7">
    <w:name w:val="WW8Num4z7"/>
    <w:rsid w:val="0047261E"/>
  </w:style>
  <w:style w:type="character" w:customStyle="1" w:styleId="WW8Num4z8">
    <w:name w:val="WW8Num4z8"/>
    <w:rsid w:val="0047261E"/>
  </w:style>
  <w:style w:type="character" w:customStyle="1" w:styleId="WW8Num5z0">
    <w:name w:val="WW8Num5z0"/>
    <w:rsid w:val="0047261E"/>
    <w:rPr>
      <w:rFonts w:ascii="Symbol" w:eastAsia="Symbol" w:hAnsi="Symbol" w:cs="Symbol"/>
    </w:rPr>
  </w:style>
  <w:style w:type="character" w:customStyle="1" w:styleId="WW8Num5z1">
    <w:name w:val="WW8Num5z1"/>
    <w:rsid w:val="0047261E"/>
    <w:rPr>
      <w:rFonts w:ascii="Courier New" w:eastAsia="Courier New" w:hAnsi="Courier New" w:cs="Courier New"/>
    </w:rPr>
  </w:style>
  <w:style w:type="character" w:customStyle="1" w:styleId="WW8Num5z2">
    <w:name w:val="WW8Num5z2"/>
    <w:rsid w:val="0047261E"/>
    <w:rPr>
      <w:rFonts w:ascii="Wingdings" w:eastAsia="Wingdings" w:hAnsi="Wingdings" w:cs="Wingdings"/>
    </w:rPr>
  </w:style>
  <w:style w:type="character" w:customStyle="1" w:styleId="WW8Num6z0">
    <w:name w:val="WW8Num6z0"/>
    <w:rsid w:val="0047261E"/>
    <w:rPr>
      <w:rFonts w:ascii="Symbol" w:eastAsia="Symbol" w:hAnsi="Symbol" w:cs="Symbol"/>
      <w:sz w:val="20"/>
    </w:rPr>
  </w:style>
  <w:style w:type="character" w:customStyle="1" w:styleId="WW8Num6z1">
    <w:name w:val="WW8Num6z1"/>
    <w:rsid w:val="0047261E"/>
    <w:rPr>
      <w:rFonts w:ascii="Courier New" w:eastAsia="Courier New" w:hAnsi="Courier New" w:cs="Courier New"/>
      <w:sz w:val="20"/>
    </w:rPr>
  </w:style>
  <w:style w:type="character" w:customStyle="1" w:styleId="WW8Num6z2">
    <w:name w:val="WW8Num6z2"/>
    <w:rsid w:val="0047261E"/>
    <w:rPr>
      <w:rFonts w:ascii="Wingdings" w:eastAsia="Wingdings" w:hAnsi="Wingdings" w:cs="Wingdings"/>
      <w:sz w:val="20"/>
    </w:rPr>
  </w:style>
  <w:style w:type="character" w:customStyle="1" w:styleId="WW8Num7z0">
    <w:name w:val="WW8Num7z0"/>
    <w:rsid w:val="0047261E"/>
    <w:rPr>
      <w:rFonts w:ascii="Symbol" w:eastAsia="Symbol" w:hAnsi="Symbol" w:cs="Symbol"/>
    </w:rPr>
  </w:style>
  <w:style w:type="character" w:customStyle="1" w:styleId="WW8Num7z1">
    <w:name w:val="WW8Num7z1"/>
    <w:rsid w:val="0047261E"/>
    <w:rPr>
      <w:rFonts w:ascii="Courier New" w:eastAsia="Courier New" w:hAnsi="Courier New" w:cs="Courier New"/>
    </w:rPr>
  </w:style>
  <w:style w:type="character" w:customStyle="1" w:styleId="WW8Num7z2">
    <w:name w:val="WW8Num7z2"/>
    <w:rsid w:val="0047261E"/>
    <w:rPr>
      <w:rFonts w:ascii="Wingdings" w:eastAsia="Wingdings" w:hAnsi="Wingdings" w:cs="Wingdings"/>
    </w:rPr>
  </w:style>
  <w:style w:type="character" w:customStyle="1" w:styleId="WW8Num8z0">
    <w:name w:val="WW8Num8z0"/>
    <w:rsid w:val="0047261E"/>
  </w:style>
  <w:style w:type="character" w:customStyle="1" w:styleId="WW8Num8z3">
    <w:name w:val="WW8Num8z3"/>
    <w:rsid w:val="0047261E"/>
    <w:rPr>
      <w:b/>
    </w:rPr>
  </w:style>
  <w:style w:type="character" w:customStyle="1" w:styleId="WW8Num9z0">
    <w:name w:val="WW8Num9z0"/>
    <w:rsid w:val="0047261E"/>
    <w:rPr>
      <w:rFonts w:ascii="Symbol" w:eastAsia="Symbol" w:hAnsi="Symbol" w:cs="Symbol"/>
    </w:rPr>
  </w:style>
  <w:style w:type="character" w:customStyle="1" w:styleId="WW8Num9z1">
    <w:name w:val="WW8Num9z1"/>
    <w:rsid w:val="0047261E"/>
    <w:rPr>
      <w:rFonts w:ascii="Wingdings" w:eastAsia="Wingdings" w:hAnsi="Wingdings" w:cs="Wingdings"/>
    </w:rPr>
  </w:style>
  <w:style w:type="character" w:customStyle="1" w:styleId="WW8Num9z4">
    <w:name w:val="WW8Num9z4"/>
    <w:rsid w:val="0047261E"/>
    <w:rPr>
      <w:rFonts w:ascii="Courier New" w:eastAsia="Courier New" w:hAnsi="Courier New" w:cs="Courier New"/>
    </w:rPr>
  </w:style>
  <w:style w:type="character" w:customStyle="1" w:styleId="WW8Num10z0">
    <w:name w:val="WW8Num10z0"/>
    <w:rsid w:val="0047261E"/>
  </w:style>
  <w:style w:type="character" w:customStyle="1" w:styleId="WW8Num10z1">
    <w:name w:val="WW8Num10z1"/>
    <w:rsid w:val="0047261E"/>
  </w:style>
  <w:style w:type="character" w:customStyle="1" w:styleId="WW8Num10z2">
    <w:name w:val="WW8Num10z2"/>
    <w:rsid w:val="0047261E"/>
  </w:style>
  <w:style w:type="character" w:customStyle="1" w:styleId="WW8Num10z3">
    <w:name w:val="WW8Num10z3"/>
    <w:rsid w:val="0047261E"/>
  </w:style>
  <w:style w:type="character" w:customStyle="1" w:styleId="WW8Num10z4">
    <w:name w:val="WW8Num10z4"/>
    <w:rsid w:val="0047261E"/>
  </w:style>
  <w:style w:type="character" w:customStyle="1" w:styleId="WW8Num10z5">
    <w:name w:val="WW8Num10z5"/>
    <w:rsid w:val="0047261E"/>
  </w:style>
  <w:style w:type="character" w:customStyle="1" w:styleId="WW8Num10z6">
    <w:name w:val="WW8Num10z6"/>
    <w:rsid w:val="0047261E"/>
  </w:style>
  <w:style w:type="character" w:customStyle="1" w:styleId="WW8Num10z7">
    <w:name w:val="WW8Num10z7"/>
    <w:rsid w:val="0047261E"/>
  </w:style>
  <w:style w:type="character" w:customStyle="1" w:styleId="WW8Num10z8">
    <w:name w:val="WW8Num10z8"/>
    <w:rsid w:val="0047261E"/>
  </w:style>
  <w:style w:type="character" w:customStyle="1" w:styleId="WW8Num11z0">
    <w:name w:val="WW8Num11z0"/>
    <w:rsid w:val="0047261E"/>
    <w:rPr>
      <w:rFonts w:ascii="Symbol" w:eastAsia="Symbol" w:hAnsi="Symbol" w:cs="Symbol"/>
    </w:rPr>
  </w:style>
  <w:style w:type="character" w:customStyle="1" w:styleId="WW8Num11z1">
    <w:name w:val="WW8Num11z1"/>
    <w:rsid w:val="0047261E"/>
    <w:rPr>
      <w:rFonts w:ascii="Courier New" w:eastAsia="Courier New" w:hAnsi="Courier New" w:cs="Courier New"/>
    </w:rPr>
  </w:style>
  <w:style w:type="character" w:customStyle="1" w:styleId="WW8Num11z2">
    <w:name w:val="WW8Num11z2"/>
    <w:rsid w:val="0047261E"/>
    <w:rPr>
      <w:rFonts w:ascii="Wingdings" w:eastAsia="Wingdings" w:hAnsi="Wingdings" w:cs="Wingdings"/>
    </w:rPr>
  </w:style>
  <w:style w:type="character" w:customStyle="1" w:styleId="WW8Num12z0">
    <w:name w:val="WW8Num12z0"/>
    <w:rsid w:val="0047261E"/>
    <w:rPr>
      <w:rFonts w:ascii="Wingdings" w:eastAsia="Wingdings" w:hAnsi="Wingdings" w:cs="Wingdings"/>
    </w:rPr>
  </w:style>
  <w:style w:type="character" w:customStyle="1" w:styleId="WW8Num12z1">
    <w:name w:val="WW8Num12z1"/>
    <w:rsid w:val="0047261E"/>
    <w:rPr>
      <w:rFonts w:ascii="Courier New" w:eastAsia="Courier New" w:hAnsi="Courier New" w:cs="Courier New"/>
    </w:rPr>
  </w:style>
  <w:style w:type="character" w:customStyle="1" w:styleId="WW8Num12z3">
    <w:name w:val="WW8Num12z3"/>
    <w:rsid w:val="0047261E"/>
    <w:rPr>
      <w:rFonts w:ascii="Symbol" w:eastAsia="Symbol" w:hAnsi="Symbol" w:cs="Symbol"/>
    </w:rPr>
  </w:style>
  <w:style w:type="character" w:customStyle="1" w:styleId="WW8Num13z0">
    <w:name w:val="WW8Num13z0"/>
    <w:rsid w:val="0047261E"/>
    <w:rPr>
      <w:rFonts w:ascii="Symbol" w:eastAsia="Symbol" w:hAnsi="Symbol" w:cs="Symbol"/>
    </w:rPr>
  </w:style>
  <w:style w:type="character" w:customStyle="1" w:styleId="WW8Num13z1">
    <w:name w:val="WW8Num13z1"/>
    <w:rsid w:val="0047261E"/>
    <w:rPr>
      <w:rFonts w:ascii="Courier New" w:eastAsia="Courier New" w:hAnsi="Courier New" w:cs="Courier New"/>
    </w:rPr>
  </w:style>
  <w:style w:type="character" w:customStyle="1" w:styleId="WW8Num13z2">
    <w:name w:val="WW8Num13z2"/>
    <w:rsid w:val="0047261E"/>
    <w:rPr>
      <w:rFonts w:ascii="Wingdings" w:eastAsia="Wingdings" w:hAnsi="Wingdings" w:cs="Wingdings"/>
    </w:rPr>
  </w:style>
  <w:style w:type="character" w:customStyle="1" w:styleId="WW8Num14z0">
    <w:name w:val="WW8Num14z0"/>
    <w:rsid w:val="0047261E"/>
    <w:rPr>
      <w:rFonts w:ascii="Symbol" w:eastAsia="Symbol" w:hAnsi="Symbol" w:cs="Symbol"/>
    </w:rPr>
  </w:style>
  <w:style w:type="character" w:customStyle="1" w:styleId="WW8Num14z1">
    <w:name w:val="WW8Num14z1"/>
    <w:rsid w:val="0047261E"/>
    <w:rPr>
      <w:rFonts w:ascii="Courier New" w:eastAsia="Courier New" w:hAnsi="Courier New" w:cs="Courier New"/>
    </w:rPr>
  </w:style>
  <w:style w:type="character" w:customStyle="1" w:styleId="WW8Num14z2">
    <w:name w:val="WW8Num14z2"/>
    <w:rsid w:val="0047261E"/>
    <w:rPr>
      <w:rFonts w:ascii="Wingdings" w:eastAsia="Wingdings" w:hAnsi="Wingdings" w:cs="Wingdings"/>
    </w:rPr>
  </w:style>
  <w:style w:type="character" w:customStyle="1" w:styleId="WW8Num14z3">
    <w:name w:val="WW8Num14z3"/>
    <w:rsid w:val="0047261E"/>
    <w:rPr>
      <w:rFonts w:ascii="Symbol" w:eastAsia="Symbol" w:hAnsi="Symbol" w:cs="Symbol"/>
    </w:rPr>
  </w:style>
  <w:style w:type="character" w:customStyle="1" w:styleId="WW8Num15z0">
    <w:name w:val="WW8Num15z0"/>
    <w:rsid w:val="0047261E"/>
  </w:style>
  <w:style w:type="character" w:customStyle="1" w:styleId="WW8Num16z0">
    <w:name w:val="WW8Num16z0"/>
    <w:rsid w:val="0047261E"/>
    <w:rPr>
      <w:rFonts w:cs="Times New Roman"/>
    </w:rPr>
  </w:style>
  <w:style w:type="character" w:customStyle="1" w:styleId="WW8Num17z0">
    <w:name w:val="WW8Num17z0"/>
    <w:rsid w:val="0047261E"/>
  </w:style>
  <w:style w:type="character" w:customStyle="1" w:styleId="WW8Num18z0">
    <w:name w:val="WW8Num18z0"/>
    <w:rsid w:val="0047261E"/>
    <w:rPr>
      <w:rFonts w:ascii="Symbol" w:eastAsia="Symbol" w:hAnsi="Symbol" w:cs="Symbol"/>
      <w:sz w:val="24"/>
      <w:szCs w:val="24"/>
      <w:lang w:val="ru-RU"/>
    </w:rPr>
  </w:style>
  <w:style w:type="character" w:customStyle="1" w:styleId="WW8Num18z1">
    <w:name w:val="WW8Num18z1"/>
    <w:rsid w:val="0047261E"/>
  </w:style>
  <w:style w:type="character" w:customStyle="1" w:styleId="WW8Num18z2">
    <w:name w:val="WW8Num18z2"/>
    <w:rsid w:val="0047261E"/>
  </w:style>
  <w:style w:type="character" w:customStyle="1" w:styleId="WW8Num18z3">
    <w:name w:val="WW8Num18z3"/>
    <w:rsid w:val="0047261E"/>
  </w:style>
  <w:style w:type="character" w:customStyle="1" w:styleId="WW8Num18z4">
    <w:name w:val="WW8Num18z4"/>
    <w:rsid w:val="0047261E"/>
  </w:style>
  <w:style w:type="character" w:customStyle="1" w:styleId="WW8Num18z5">
    <w:name w:val="WW8Num18z5"/>
    <w:rsid w:val="0047261E"/>
  </w:style>
  <w:style w:type="character" w:customStyle="1" w:styleId="WW8Num18z6">
    <w:name w:val="WW8Num18z6"/>
    <w:rsid w:val="0047261E"/>
  </w:style>
  <w:style w:type="character" w:customStyle="1" w:styleId="WW8Num18z7">
    <w:name w:val="WW8Num18z7"/>
    <w:rsid w:val="0047261E"/>
  </w:style>
  <w:style w:type="character" w:customStyle="1" w:styleId="WW8Num18z8">
    <w:name w:val="WW8Num18z8"/>
    <w:rsid w:val="0047261E"/>
  </w:style>
  <w:style w:type="character" w:customStyle="1" w:styleId="WW8Num19z0">
    <w:name w:val="WW8Num19z0"/>
    <w:rsid w:val="0047261E"/>
    <w:rPr>
      <w:rFonts w:ascii="Symbol" w:eastAsia="Symbol" w:hAnsi="Symbol" w:cs="Symbol"/>
    </w:rPr>
  </w:style>
  <w:style w:type="character" w:customStyle="1" w:styleId="WW8Num19z1">
    <w:name w:val="WW8Num19z1"/>
    <w:rsid w:val="0047261E"/>
  </w:style>
  <w:style w:type="character" w:customStyle="1" w:styleId="WW8Num19z2">
    <w:name w:val="WW8Num19z2"/>
    <w:rsid w:val="0047261E"/>
  </w:style>
  <w:style w:type="character" w:customStyle="1" w:styleId="WW8Num19z3">
    <w:name w:val="WW8Num19z3"/>
    <w:rsid w:val="0047261E"/>
  </w:style>
  <w:style w:type="character" w:customStyle="1" w:styleId="WW8Num19z4">
    <w:name w:val="WW8Num19z4"/>
    <w:rsid w:val="0047261E"/>
  </w:style>
  <w:style w:type="character" w:customStyle="1" w:styleId="WW8Num19z5">
    <w:name w:val="WW8Num19z5"/>
    <w:rsid w:val="0047261E"/>
  </w:style>
  <w:style w:type="character" w:customStyle="1" w:styleId="WW8Num19z6">
    <w:name w:val="WW8Num19z6"/>
    <w:rsid w:val="0047261E"/>
  </w:style>
  <w:style w:type="character" w:customStyle="1" w:styleId="WW8Num19z7">
    <w:name w:val="WW8Num19z7"/>
    <w:rsid w:val="0047261E"/>
  </w:style>
  <w:style w:type="character" w:customStyle="1" w:styleId="WW8Num19z8">
    <w:name w:val="WW8Num19z8"/>
    <w:rsid w:val="0047261E"/>
  </w:style>
  <w:style w:type="character" w:customStyle="1" w:styleId="WW8Num20z0">
    <w:name w:val="WW8Num20z0"/>
    <w:rsid w:val="0047261E"/>
    <w:rPr>
      <w:rFonts w:ascii="Symbol" w:eastAsia="SimSun, 宋体" w:hAnsi="Symbol" w:cs="Symbol"/>
      <w:lang w:eastAsia="en-US"/>
    </w:rPr>
  </w:style>
  <w:style w:type="character" w:customStyle="1" w:styleId="WW8Num20z1">
    <w:name w:val="WW8Num20z1"/>
    <w:rsid w:val="0047261E"/>
    <w:rPr>
      <w:rFonts w:ascii="Courier New" w:eastAsia="Courier New" w:hAnsi="Courier New" w:cs="Courier New"/>
    </w:rPr>
  </w:style>
  <w:style w:type="character" w:customStyle="1" w:styleId="WW8Num20z2">
    <w:name w:val="WW8Num20z2"/>
    <w:rsid w:val="0047261E"/>
    <w:rPr>
      <w:rFonts w:ascii="Wingdings" w:eastAsia="Wingdings" w:hAnsi="Wingdings" w:cs="Wingdings"/>
    </w:rPr>
  </w:style>
  <w:style w:type="character" w:customStyle="1" w:styleId="WW8Num21z0">
    <w:name w:val="WW8Num21z0"/>
    <w:rsid w:val="0047261E"/>
    <w:rPr>
      <w:rFonts w:ascii="Times New Roman" w:eastAsia="Times New Roman" w:hAnsi="Times New Roman" w:cs="Times New Roman"/>
      <w:b/>
      <w:bCs/>
      <w:i w:val="0"/>
      <w:iCs w:val="0"/>
      <w:caps w:val="0"/>
      <w:smallCaps w:val="0"/>
      <w:strike w:val="0"/>
      <w:dstrike w:val="0"/>
      <w:outline w:val="0"/>
      <w:vanish w:val="0"/>
      <w:position w:val="0"/>
      <w:sz w:val="28"/>
      <w:szCs w:val="28"/>
      <w:vertAlign w:val="baseline"/>
    </w:rPr>
  </w:style>
  <w:style w:type="character" w:customStyle="1" w:styleId="WW8Num21z1">
    <w:name w:val="WW8Num21z1"/>
    <w:rsid w:val="0047261E"/>
    <w:rPr>
      <w:rFonts w:ascii="Times New Roman" w:eastAsia="Times New Roman" w:hAnsi="Times New Roman" w:cs="Times New Roman"/>
      <w:b w:val="0"/>
      <w:bCs w:val="0"/>
      <w:i w:val="0"/>
      <w:iCs w:val="0"/>
      <w:caps w:val="0"/>
      <w:smallCaps w:val="0"/>
      <w:strike w:val="0"/>
      <w:dstrike w:val="0"/>
      <w:outline w:val="0"/>
      <w:vanish w:val="0"/>
      <w:color w:val="000000"/>
      <w:spacing w:val="0"/>
      <w:w w:val="100"/>
      <w:kern w:val="3"/>
      <w:position w:val="0"/>
      <w:sz w:val="24"/>
      <w:szCs w:val="24"/>
      <w:u w:val="none"/>
      <w:vertAlign w:val="baseline"/>
    </w:rPr>
  </w:style>
  <w:style w:type="character" w:customStyle="1" w:styleId="WW8Num21z2">
    <w:name w:val="WW8Num21z2"/>
    <w:rsid w:val="0047261E"/>
    <w:rPr>
      <w:rFonts w:cs="Times New Roman"/>
      <w:caps w:val="0"/>
      <w:smallCaps w:val="0"/>
      <w:position w:val="0"/>
      <w:vertAlign w:val="baseline"/>
    </w:rPr>
  </w:style>
  <w:style w:type="character" w:customStyle="1" w:styleId="WW8Num21z3">
    <w:name w:val="WW8Num21z3"/>
    <w:rsid w:val="0047261E"/>
    <w:rPr>
      <w:rFonts w:cs="Times New Roman"/>
    </w:rPr>
  </w:style>
  <w:style w:type="character" w:customStyle="1" w:styleId="WW8Num22z0">
    <w:name w:val="WW8Num22z0"/>
    <w:rsid w:val="0047261E"/>
    <w:rPr>
      <w:rFonts w:ascii="Symbol" w:eastAsia="Symbol" w:hAnsi="Symbol" w:cs="Symbol"/>
      <w:sz w:val="24"/>
      <w:szCs w:val="24"/>
    </w:rPr>
  </w:style>
  <w:style w:type="character" w:customStyle="1" w:styleId="WW8Num22z1">
    <w:name w:val="WW8Num22z1"/>
    <w:rsid w:val="0047261E"/>
    <w:rPr>
      <w:rFonts w:ascii="Courier New" w:eastAsia="Courier New" w:hAnsi="Courier New" w:cs="Courier New"/>
    </w:rPr>
  </w:style>
  <w:style w:type="character" w:customStyle="1" w:styleId="WW8Num22z2">
    <w:name w:val="WW8Num22z2"/>
    <w:rsid w:val="0047261E"/>
    <w:rPr>
      <w:rFonts w:ascii="Wingdings" w:eastAsia="Wingdings" w:hAnsi="Wingdings" w:cs="Wingdings"/>
    </w:rPr>
  </w:style>
  <w:style w:type="character" w:customStyle="1" w:styleId="WW8Num23z0">
    <w:name w:val="WW8Num23z0"/>
    <w:rsid w:val="0047261E"/>
    <w:rPr>
      <w:rFonts w:ascii="Symbol" w:eastAsia="Symbol" w:hAnsi="Symbol" w:cs="Symbol"/>
      <w:sz w:val="24"/>
      <w:szCs w:val="24"/>
      <w:lang w:eastAsia="en-US"/>
    </w:rPr>
  </w:style>
  <w:style w:type="character" w:customStyle="1" w:styleId="WW8Num23z1">
    <w:name w:val="WW8Num23z1"/>
    <w:rsid w:val="0047261E"/>
    <w:rPr>
      <w:rFonts w:ascii="Courier New" w:eastAsia="Courier New" w:hAnsi="Courier New" w:cs="Courier New"/>
    </w:rPr>
  </w:style>
  <w:style w:type="character" w:customStyle="1" w:styleId="WW8Num23z2">
    <w:name w:val="WW8Num23z2"/>
    <w:rsid w:val="0047261E"/>
    <w:rPr>
      <w:rFonts w:ascii="Wingdings" w:eastAsia="Wingdings" w:hAnsi="Wingdings" w:cs="Wingdings"/>
    </w:rPr>
  </w:style>
  <w:style w:type="character" w:customStyle="1" w:styleId="WW8Num24z0">
    <w:name w:val="WW8Num24z0"/>
    <w:rsid w:val="0047261E"/>
    <w:rPr>
      <w:rFonts w:ascii="Symbol" w:eastAsia="Symbol" w:hAnsi="Symbol" w:cs="Symbol"/>
      <w:sz w:val="24"/>
      <w:szCs w:val="24"/>
      <w:lang w:eastAsia="ru-RU"/>
    </w:rPr>
  </w:style>
  <w:style w:type="character" w:customStyle="1" w:styleId="WW8Num24z1">
    <w:name w:val="WW8Num24z1"/>
    <w:rsid w:val="0047261E"/>
    <w:rPr>
      <w:rFonts w:ascii="Courier New" w:eastAsia="Courier New" w:hAnsi="Courier New" w:cs="Courier New"/>
    </w:rPr>
  </w:style>
  <w:style w:type="character" w:customStyle="1" w:styleId="WW8Num24z2">
    <w:name w:val="WW8Num24z2"/>
    <w:rsid w:val="0047261E"/>
    <w:rPr>
      <w:rFonts w:ascii="Wingdings" w:eastAsia="Wingdings" w:hAnsi="Wingdings" w:cs="Wingdings"/>
    </w:rPr>
  </w:style>
  <w:style w:type="character" w:customStyle="1" w:styleId="WW8Num25z0">
    <w:name w:val="WW8Num25z0"/>
    <w:rsid w:val="0047261E"/>
  </w:style>
  <w:style w:type="character" w:customStyle="1" w:styleId="WW8Num25z1">
    <w:name w:val="WW8Num25z1"/>
    <w:rsid w:val="0047261E"/>
  </w:style>
  <w:style w:type="character" w:customStyle="1" w:styleId="WW8Num25z2">
    <w:name w:val="WW8Num25z2"/>
    <w:rsid w:val="0047261E"/>
  </w:style>
  <w:style w:type="character" w:customStyle="1" w:styleId="WW8Num25z3">
    <w:name w:val="WW8Num25z3"/>
    <w:rsid w:val="0047261E"/>
  </w:style>
  <w:style w:type="character" w:customStyle="1" w:styleId="WW8Num25z4">
    <w:name w:val="WW8Num25z4"/>
    <w:rsid w:val="0047261E"/>
  </w:style>
  <w:style w:type="character" w:customStyle="1" w:styleId="WW8Num25z5">
    <w:name w:val="WW8Num25z5"/>
    <w:rsid w:val="0047261E"/>
  </w:style>
  <w:style w:type="character" w:customStyle="1" w:styleId="WW8Num25z6">
    <w:name w:val="WW8Num25z6"/>
    <w:rsid w:val="0047261E"/>
  </w:style>
  <w:style w:type="character" w:customStyle="1" w:styleId="WW8Num25z7">
    <w:name w:val="WW8Num25z7"/>
    <w:rsid w:val="0047261E"/>
  </w:style>
  <w:style w:type="character" w:customStyle="1" w:styleId="WW8Num25z8">
    <w:name w:val="WW8Num25z8"/>
    <w:rsid w:val="0047261E"/>
  </w:style>
  <w:style w:type="character" w:customStyle="1" w:styleId="WW8Num26z0">
    <w:name w:val="WW8Num26z0"/>
    <w:rsid w:val="0047261E"/>
    <w:rPr>
      <w:rFonts w:ascii="Times New Roman" w:eastAsia="Times New Roman" w:hAnsi="Times New Roman" w:cs="Times New Roman"/>
    </w:rPr>
  </w:style>
  <w:style w:type="character" w:customStyle="1" w:styleId="WW8Num26z1">
    <w:name w:val="WW8Num26z1"/>
    <w:rsid w:val="0047261E"/>
  </w:style>
  <w:style w:type="character" w:customStyle="1" w:styleId="WW8Num26z2">
    <w:name w:val="WW8Num26z2"/>
    <w:rsid w:val="0047261E"/>
  </w:style>
  <w:style w:type="character" w:customStyle="1" w:styleId="WW8Num26z3">
    <w:name w:val="WW8Num26z3"/>
    <w:rsid w:val="0047261E"/>
  </w:style>
  <w:style w:type="character" w:customStyle="1" w:styleId="WW8Num26z4">
    <w:name w:val="WW8Num26z4"/>
    <w:rsid w:val="0047261E"/>
  </w:style>
  <w:style w:type="character" w:customStyle="1" w:styleId="WW8Num26z5">
    <w:name w:val="WW8Num26z5"/>
    <w:rsid w:val="0047261E"/>
  </w:style>
  <w:style w:type="character" w:customStyle="1" w:styleId="WW8Num26z6">
    <w:name w:val="WW8Num26z6"/>
    <w:rsid w:val="0047261E"/>
  </w:style>
  <w:style w:type="character" w:customStyle="1" w:styleId="WW8Num26z7">
    <w:name w:val="WW8Num26z7"/>
    <w:rsid w:val="0047261E"/>
  </w:style>
  <w:style w:type="character" w:customStyle="1" w:styleId="WW8Num26z8">
    <w:name w:val="WW8Num26z8"/>
    <w:rsid w:val="0047261E"/>
  </w:style>
  <w:style w:type="character" w:customStyle="1" w:styleId="WW8Num27z0">
    <w:name w:val="WW8Num27z0"/>
    <w:rsid w:val="0047261E"/>
    <w:rPr>
      <w:rFonts w:ascii="Symbol" w:eastAsia="Symbol" w:hAnsi="Symbol" w:cs="Symbol"/>
      <w:sz w:val="20"/>
    </w:rPr>
  </w:style>
  <w:style w:type="character" w:customStyle="1" w:styleId="WW8Num28z0">
    <w:name w:val="WW8Num28z0"/>
    <w:rsid w:val="0047261E"/>
    <w:rPr>
      <w:rFonts w:ascii="Symbol" w:eastAsia="Symbol" w:hAnsi="Symbol" w:cs="Symbol"/>
    </w:rPr>
  </w:style>
  <w:style w:type="character" w:customStyle="1" w:styleId="WW8Num28z1">
    <w:name w:val="WW8Num28z1"/>
    <w:rsid w:val="0047261E"/>
    <w:rPr>
      <w:rFonts w:ascii="Courier New" w:eastAsia="Courier New" w:hAnsi="Courier New" w:cs="Courier New"/>
    </w:rPr>
  </w:style>
  <w:style w:type="character" w:customStyle="1" w:styleId="WW8Num28z2">
    <w:name w:val="WW8Num28z2"/>
    <w:rsid w:val="0047261E"/>
    <w:rPr>
      <w:rFonts w:ascii="Wingdings" w:eastAsia="Wingdings" w:hAnsi="Wingdings" w:cs="Wingdings"/>
    </w:rPr>
  </w:style>
  <w:style w:type="character" w:customStyle="1" w:styleId="WW8Num29z0">
    <w:name w:val="WW8Num29z0"/>
    <w:rsid w:val="0047261E"/>
  </w:style>
  <w:style w:type="character" w:customStyle="1" w:styleId="WW8Num29z1">
    <w:name w:val="WW8Num29z1"/>
    <w:rsid w:val="0047261E"/>
  </w:style>
  <w:style w:type="character" w:customStyle="1" w:styleId="WW8Num29z2">
    <w:name w:val="WW8Num29z2"/>
    <w:rsid w:val="0047261E"/>
  </w:style>
  <w:style w:type="character" w:customStyle="1" w:styleId="WW8Num29z3">
    <w:name w:val="WW8Num29z3"/>
    <w:rsid w:val="0047261E"/>
  </w:style>
  <w:style w:type="character" w:customStyle="1" w:styleId="WW8Num29z4">
    <w:name w:val="WW8Num29z4"/>
    <w:rsid w:val="0047261E"/>
  </w:style>
  <w:style w:type="character" w:customStyle="1" w:styleId="WW8Num29z5">
    <w:name w:val="WW8Num29z5"/>
    <w:rsid w:val="0047261E"/>
  </w:style>
  <w:style w:type="character" w:customStyle="1" w:styleId="WW8Num29z6">
    <w:name w:val="WW8Num29z6"/>
    <w:rsid w:val="0047261E"/>
  </w:style>
  <w:style w:type="character" w:customStyle="1" w:styleId="WW8Num29z7">
    <w:name w:val="WW8Num29z7"/>
    <w:rsid w:val="0047261E"/>
  </w:style>
  <w:style w:type="character" w:customStyle="1" w:styleId="WW8Num29z8">
    <w:name w:val="WW8Num29z8"/>
    <w:rsid w:val="0047261E"/>
  </w:style>
  <w:style w:type="character" w:customStyle="1" w:styleId="WW8Num30z0">
    <w:name w:val="WW8Num30z0"/>
    <w:rsid w:val="0047261E"/>
    <w:rPr>
      <w:rFonts w:ascii="Symbol" w:eastAsia="Symbol" w:hAnsi="Symbol" w:cs="Symbol"/>
      <w:sz w:val="24"/>
      <w:szCs w:val="24"/>
    </w:rPr>
  </w:style>
  <w:style w:type="character" w:customStyle="1" w:styleId="WW8Num30z1">
    <w:name w:val="WW8Num30z1"/>
    <w:rsid w:val="0047261E"/>
    <w:rPr>
      <w:rFonts w:ascii="Courier New" w:eastAsia="Courier New" w:hAnsi="Courier New" w:cs="Courier New"/>
    </w:rPr>
  </w:style>
  <w:style w:type="character" w:customStyle="1" w:styleId="WW8Num30z2">
    <w:name w:val="WW8Num30z2"/>
    <w:rsid w:val="0047261E"/>
    <w:rPr>
      <w:rFonts w:ascii="Wingdings" w:eastAsia="Wingdings" w:hAnsi="Wingdings" w:cs="Wingdings"/>
    </w:rPr>
  </w:style>
  <w:style w:type="character" w:customStyle="1" w:styleId="WW8Num31z0">
    <w:name w:val="WW8Num31z0"/>
    <w:rsid w:val="0047261E"/>
    <w:rPr>
      <w:rFonts w:ascii="Symbol" w:eastAsia="Symbol" w:hAnsi="Symbol" w:cs="Symbol"/>
    </w:rPr>
  </w:style>
  <w:style w:type="character" w:customStyle="1" w:styleId="WW8Num31z1">
    <w:name w:val="WW8Num31z1"/>
    <w:rsid w:val="0047261E"/>
    <w:rPr>
      <w:rFonts w:ascii="Courier New" w:eastAsia="Courier New" w:hAnsi="Courier New" w:cs="Courier New"/>
    </w:rPr>
  </w:style>
  <w:style w:type="character" w:customStyle="1" w:styleId="WW8Num31z2">
    <w:name w:val="WW8Num31z2"/>
    <w:rsid w:val="0047261E"/>
    <w:rPr>
      <w:rFonts w:ascii="Wingdings" w:eastAsia="Wingdings" w:hAnsi="Wingdings" w:cs="Wingdings"/>
    </w:rPr>
  </w:style>
  <w:style w:type="character" w:customStyle="1" w:styleId="WW8Num32z0">
    <w:name w:val="WW8Num32z0"/>
    <w:rsid w:val="0047261E"/>
  </w:style>
  <w:style w:type="character" w:customStyle="1" w:styleId="WW8Num32z1">
    <w:name w:val="WW8Num32z1"/>
    <w:rsid w:val="0047261E"/>
  </w:style>
  <w:style w:type="character" w:customStyle="1" w:styleId="WW8Num32z2">
    <w:name w:val="WW8Num32z2"/>
    <w:rsid w:val="0047261E"/>
  </w:style>
  <w:style w:type="character" w:customStyle="1" w:styleId="WW8Num32z3">
    <w:name w:val="WW8Num32z3"/>
    <w:rsid w:val="0047261E"/>
  </w:style>
  <w:style w:type="character" w:customStyle="1" w:styleId="WW8Num32z4">
    <w:name w:val="WW8Num32z4"/>
    <w:rsid w:val="0047261E"/>
  </w:style>
  <w:style w:type="character" w:customStyle="1" w:styleId="WW8Num32z5">
    <w:name w:val="WW8Num32z5"/>
    <w:rsid w:val="0047261E"/>
  </w:style>
  <w:style w:type="character" w:customStyle="1" w:styleId="WW8Num32z6">
    <w:name w:val="WW8Num32z6"/>
    <w:rsid w:val="0047261E"/>
  </w:style>
  <w:style w:type="character" w:customStyle="1" w:styleId="WW8Num32z7">
    <w:name w:val="WW8Num32z7"/>
    <w:rsid w:val="0047261E"/>
  </w:style>
  <w:style w:type="character" w:customStyle="1" w:styleId="WW8Num32z8">
    <w:name w:val="WW8Num32z8"/>
    <w:rsid w:val="0047261E"/>
  </w:style>
  <w:style w:type="character" w:customStyle="1" w:styleId="WW8Num33z0">
    <w:name w:val="WW8Num33z0"/>
    <w:rsid w:val="0047261E"/>
  </w:style>
  <w:style w:type="character" w:customStyle="1" w:styleId="WW8Num34z0">
    <w:name w:val="WW8Num34z0"/>
    <w:rsid w:val="0047261E"/>
    <w:rPr>
      <w:rFonts w:ascii="Symbol" w:eastAsia="Symbol" w:hAnsi="Symbol" w:cs="Symbol"/>
      <w:color w:val="FF0000"/>
    </w:rPr>
  </w:style>
  <w:style w:type="character" w:customStyle="1" w:styleId="WW8Num34z1">
    <w:name w:val="WW8Num34z1"/>
    <w:rsid w:val="0047261E"/>
    <w:rPr>
      <w:rFonts w:ascii="Courier New" w:eastAsia="Courier New" w:hAnsi="Courier New" w:cs="Courier New"/>
    </w:rPr>
  </w:style>
  <w:style w:type="character" w:customStyle="1" w:styleId="WW8Num34z2">
    <w:name w:val="WW8Num34z2"/>
    <w:rsid w:val="0047261E"/>
    <w:rPr>
      <w:rFonts w:ascii="Wingdings" w:eastAsia="Wingdings" w:hAnsi="Wingdings" w:cs="Wingdings"/>
    </w:rPr>
  </w:style>
  <w:style w:type="character" w:customStyle="1" w:styleId="WW8Num35z0">
    <w:name w:val="WW8Num35z0"/>
    <w:rsid w:val="0047261E"/>
    <w:rPr>
      <w:rFonts w:ascii="Symbol" w:eastAsia="Symbol" w:hAnsi="Symbol" w:cs="Symbol"/>
    </w:rPr>
  </w:style>
  <w:style w:type="character" w:customStyle="1" w:styleId="WW8Num35z1">
    <w:name w:val="WW8Num35z1"/>
    <w:rsid w:val="0047261E"/>
    <w:rPr>
      <w:rFonts w:ascii="Courier New" w:eastAsia="Courier New" w:hAnsi="Courier New" w:cs="Courier New"/>
    </w:rPr>
  </w:style>
  <w:style w:type="character" w:customStyle="1" w:styleId="WW8Num35z2">
    <w:name w:val="WW8Num35z2"/>
    <w:rsid w:val="0047261E"/>
    <w:rPr>
      <w:rFonts w:ascii="Wingdings" w:eastAsia="Wingdings" w:hAnsi="Wingdings" w:cs="Wingdings"/>
    </w:rPr>
  </w:style>
  <w:style w:type="character" w:customStyle="1" w:styleId="WW8Num36z0">
    <w:name w:val="WW8Num36z0"/>
    <w:rsid w:val="0047261E"/>
  </w:style>
  <w:style w:type="character" w:customStyle="1" w:styleId="WW8Num36z1">
    <w:name w:val="WW8Num36z1"/>
    <w:rsid w:val="0047261E"/>
  </w:style>
  <w:style w:type="character" w:customStyle="1" w:styleId="WW8Num36z2">
    <w:name w:val="WW8Num36z2"/>
    <w:rsid w:val="0047261E"/>
  </w:style>
  <w:style w:type="character" w:customStyle="1" w:styleId="WW8Num36z3">
    <w:name w:val="WW8Num36z3"/>
    <w:rsid w:val="0047261E"/>
  </w:style>
  <w:style w:type="character" w:customStyle="1" w:styleId="WW8Num36z4">
    <w:name w:val="WW8Num36z4"/>
    <w:rsid w:val="0047261E"/>
  </w:style>
  <w:style w:type="character" w:customStyle="1" w:styleId="WW8Num36z5">
    <w:name w:val="WW8Num36z5"/>
    <w:rsid w:val="0047261E"/>
  </w:style>
  <w:style w:type="character" w:customStyle="1" w:styleId="WW8Num36z6">
    <w:name w:val="WW8Num36z6"/>
    <w:rsid w:val="0047261E"/>
  </w:style>
  <w:style w:type="character" w:customStyle="1" w:styleId="WW8Num36z7">
    <w:name w:val="WW8Num36z7"/>
    <w:rsid w:val="0047261E"/>
  </w:style>
  <w:style w:type="character" w:customStyle="1" w:styleId="WW8Num36z8">
    <w:name w:val="WW8Num36z8"/>
    <w:rsid w:val="0047261E"/>
  </w:style>
  <w:style w:type="character" w:customStyle="1" w:styleId="WW8Num37z0">
    <w:name w:val="WW8Num37z0"/>
    <w:rsid w:val="0047261E"/>
  </w:style>
  <w:style w:type="character" w:customStyle="1" w:styleId="WW8Num37z1">
    <w:name w:val="WW8Num37z1"/>
    <w:rsid w:val="0047261E"/>
  </w:style>
  <w:style w:type="character" w:customStyle="1" w:styleId="WW8Num37z2">
    <w:name w:val="WW8Num37z2"/>
    <w:rsid w:val="0047261E"/>
  </w:style>
  <w:style w:type="character" w:customStyle="1" w:styleId="WW8Num37z3">
    <w:name w:val="WW8Num37z3"/>
    <w:rsid w:val="0047261E"/>
  </w:style>
  <w:style w:type="character" w:customStyle="1" w:styleId="WW8Num37z4">
    <w:name w:val="WW8Num37z4"/>
    <w:rsid w:val="0047261E"/>
  </w:style>
  <w:style w:type="character" w:customStyle="1" w:styleId="WW8Num37z5">
    <w:name w:val="WW8Num37z5"/>
    <w:rsid w:val="0047261E"/>
  </w:style>
  <w:style w:type="character" w:customStyle="1" w:styleId="WW8Num37z6">
    <w:name w:val="WW8Num37z6"/>
    <w:rsid w:val="0047261E"/>
  </w:style>
  <w:style w:type="character" w:customStyle="1" w:styleId="WW8Num37z7">
    <w:name w:val="WW8Num37z7"/>
    <w:rsid w:val="0047261E"/>
  </w:style>
  <w:style w:type="character" w:customStyle="1" w:styleId="WW8Num37z8">
    <w:name w:val="WW8Num37z8"/>
    <w:rsid w:val="0047261E"/>
  </w:style>
  <w:style w:type="character" w:customStyle="1" w:styleId="112">
    <w:name w:val="Заголовок 1 Знак1"/>
    <w:aliases w:val="Head 1 Знак2,Main heading Знак1"/>
    <w:basedOn w:val="a4"/>
    <w:rsid w:val="0047261E"/>
    <w:rPr>
      <w:rFonts w:ascii="Times New Roman" w:eastAsia="Times New Roman" w:hAnsi="Times New Roman" w:cs="Times New Roman"/>
      <w:b/>
      <w:bCs/>
      <w:smallCaps/>
      <w:kern w:val="3"/>
      <w:sz w:val="28"/>
      <w:szCs w:val="28"/>
    </w:rPr>
  </w:style>
  <w:style w:type="character" w:customStyle="1" w:styleId="Internetlink">
    <w:name w:val="Internet link"/>
    <w:basedOn w:val="a4"/>
    <w:rsid w:val="0047261E"/>
    <w:rPr>
      <w:rFonts w:cs="Times New Roman"/>
      <w:color w:val="0000FF"/>
      <w:u w:val="single"/>
    </w:rPr>
  </w:style>
  <w:style w:type="character" w:customStyle="1" w:styleId="ListParagraphChar">
    <w:name w:val="List Paragraph Char"/>
    <w:uiPriority w:val="99"/>
    <w:rsid w:val="0047261E"/>
    <w:rPr>
      <w:rFonts w:ascii="Calibri" w:eastAsia="Calibri" w:hAnsi="Calibri" w:cs="Calibri"/>
    </w:rPr>
  </w:style>
  <w:style w:type="character" w:customStyle="1" w:styleId="StrongEmphasis">
    <w:name w:val="Strong Emphasis"/>
    <w:basedOn w:val="a4"/>
    <w:rsid w:val="0047261E"/>
    <w:rPr>
      <w:rFonts w:cs="Times New Roman"/>
      <w:b/>
      <w:bCs/>
    </w:rPr>
  </w:style>
  <w:style w:type="character" w:customStyle="1" w:styleId="affff9">
    <w:name w:val="Обычный (веб) Знак"/>
    <w:aliases w:val="Обычный (веб)1 Знак,Обычный (веб)2 Знак,Обычный (веб) Знак1 Знак,Обычный (Web)1 Знак1 Знак Знак,Обычный (веб)2 Знак Знак Знак Знак Знак"/>
    <w:basedOn w:val="a4"/>
    <w:rsid w:val="0047261E"/>
    <w:rPr>
      <w:rFonts w:eastAsia="Calibri"/>
      <w:sz w:val="24"/>
      <w:szCs w:val="24"/>
      <w:lang w:val="ru-RU" w:bidi="ar-SA"/>
    </w:rPr>
  </w:style>
  <w:style w:type="character" w:customStyle="1" w:styleId="VisitedInternetLink">
    <w:name w:val="Visited Internet Link"/>
    <w:basedOn w:val="a4"/>
    <w:rsid w:val="0047261E"/>
    <w:rPr>
      <w:color w:val="800080"/>
      <w:u w:val="single"/>
    </w:rPr>
  </w:style>
  <w:style w:type="character" w:customStyle="1" w:styleId="EndnoteSymbol">
    <w:name w:val="Endnote Symbol"/>
    <w:basedOn w:val="a4"/>
    <w:rsid w:val="0047261E"/>
    <w:rPr>
      <w:position w:val="0"/>
      <w:vertAlign w:val="superscript"/>
    </w:rPr>
  </w:style>
  <w:style w:type="character" w:customStyle="1" w:styleId="FootnoteSymbol">
    <w:name w:val="Footnote Symbol"/>
    <w:basedOn w:val="a4"/>
    <w:rsid w:val="0047261E"/>
    <w:rPr>
      <w:position w:val="0"/>
      <w:vertAlign w:val="superscript"/>
    </w:rPr>
  </w:style>
  <w:style w:type="character" w:customStyle="1" w:styleId="mw-headline">
    <w:name w:val="mw-headline"/>
    <w:basedOn w:val="a4"/>
    <w:rsid w:val="0047261E"/>
  </w:style>
  <w:style w:type="character" w:customStyle="1" w:styleId="mw-editsection">
    <w:name w:val="mw-editsection"/>
    <w:basedOn w:val="a4"/>
    <w:rsid w:val="0047261E"/>
  </w:style>
  <w:style w:type="character" w:customStyle="1" w:styleId="mw-editsection-bracket">
    <w:name w:val="mw-editsection-bracket"/>
    <w:basedOn w:val="a4"/>
    <w:rsid w:val="0047261E"/>
  </w:style>
  <w:style w:type="character" w:customStyle="1" w:styleId="mw-editsection-divider">
    <w:name w:val="mw-editsection-divider"/>
    <w:basedOn w:val="a4"/>
    <w:rsid w:val="0047261E"/>
  </w:style>
  <w:style w:type="character" w:customStyle="1" w:styleId="apple-converted-space">
    <w:name w:val="apple-converted-space"/>
    <w:basedOn w:val="a4"/>
    <w:uiPriority w:val="99"/>
    <w:rsid w:val="0047261E"/>
  </w:style>
  <w:style w:type="character" w:customStyle="1" w:styleId="nowrap">
    <w:name w:val="nowrap"/>
    <w:basedOn w:val="a4"/>
    <w:rsid w:val="0047261E"/>
  </w:style>
  <w:style w:type="character" w:customStyle="1" w:styleId="affffa">
    <w:name w:val="Основной текст с отступом Знак"/>
    <w:aliases w:val=" Знак Знак,Основной текст с отступом Знак Знак Знак Знак,Основной текст 1 Знак,Нумерованный список !! Знак,Надин стиль Знак,Знак17 Знак"/>
    <w:basedOn w:val="a4"/>
    <w:link w:val="affffb"/>
    <w:rsid w:val="0047261E"/>
    <w:rPr>
      <w:rFonts w:ascii="Times New Roman" w:eastAsia="Times New Roman" w:hAnsi="Times New Roman" w:cs="Times New Roman"/>
      <w:sz w:val="24"/>
      <w:szCs w:val="24"/>
    </w:rPr>
  </w:style>
  <w:style w:type="character" w:styleId="affffc">
    <w:name w:val="Emphasis"/>
    <w:qFormat/>
    <w:rsid w:val="0047261E"/>
    <w:rPr>
      <w:i/>
      <w:iCs/>
    </w:rPr>
  </w:style>
  <w:style w:type="character" w:customStyle="1" w:styleId="1f4">
    <w:name w:val="Обычный (веб) Знак1"/>
    <w:basedOn w:val="a4"/>
    <w:rsid w:val="0047261E"/>
    <w:rPr>
      <w:sz w:val="24"/>
      <w:szCs w:val="24"/>
      <w:lang w:val="ru-RU" w:bidi="sa-IN"/>
    </w:rPr>
  </w:style>
  <w:style w:type="character" w:customStyle="1" w:styleId="affffd">
    <w:name w:val="Подлежащее таблицы Знак"/>
    <w:basedOn w:val="a4"/>
    <w:rsid w:val="0047261E"/>
    <w:rPr>
      <w:rFonts w:ascii="Arial" w:eastAsia="Times New Roman" w:hAnsi="Arial" w:cs="Arial"/>
    </w:rPr>
  </w:style>
  <w:style w:type="character" w:customStyle="1" w:styleId="apple-style-span">
    <w:name w:val="apple-style-span"/>
    <w:basedOn w:val="a4"/>
    <w:uiPriority w:val="99"/>
    <w:rsid w:val="0047261E"/>
    <w:rPr>
      <w:rFonts w:cs="Times New Roman"/>
    </w:rPr>
  </w:style>
  <w:style w:type="character" w:customStyle="1" w:styleId="w">
    <w:name w:val="w"/>
    <w:basedOn w:val="a4"/>
    <w:rsid w:val="0047261E"/>
    <w:rPr>
      <w:rFonts w:cs="Times New Roman"/>
    </w:rPr>
  </w:style>
  <w:style w:type="character" w:customStyle="1" w:styleId="3a">
    <w:name w:val="мой 3 Знак"/>
    <w:rsid w:val="0047261E"/>
    <w:rPr>
      <w:rFonts w:ascii="Times New Roman" w:eastAsia="Times New Roman" w:hAnsi="Times New Roman" w:cs="Times New Roman"/>
      <w:b/>
      <w:sz w:val="28"/>
      <w:szCs w:val="28"/>
    </w:rPr>
  </w:style>
  <w:style w:type="character" w:styleId="affffe">
    <w:name w:val="page number"/>
    <w:basedOn w:val="a4"/>
    <w:rsid w:val="0047261E"/>
  </w:style>
  <w:style w:type="character" w:customStyle="1" w:styleId="FontStyle31">
    <w:name w:val="Font Style31"/>
    <w:rsid w:val="0047261E"/>
    <w:rPr>
      <w:rFonts w:ascii="Times New Roman" w:eastAsia="Times New Roman" w:hAnsi="Times New Roman" w:cs="Times New Roman"/>
      <w:sz w:val="26"/>
      <w:szCs w:val="26"/>
    </w:rPr>
  </w:style>
  <w:style w:type="character" w:customStyle="1" w:styleId="ConsPlusNormal0">
    <w:name w:val="ConsPlusNormal Знак"/>
    <w:basedOn w:val="a4"/>
    <w:rsid w:val="0047261E"/>
    <w:rPr>
      <w:rFonts w:ascii="Arial" w:eastAsia="Times New Roman" w:hAnsi="Arial" w:cs="Arial"/>
      <w:lang w:val="ru-RU" w:bidi="ar-SA"/>
    </w:rPr>
  </w:style>
  <w:style w:type="character" w:customStyle="1" w:styleId="afffff">
    <w:name w:val="Название Знак"/>
    <w:basedOn w:val="a4"/>
    <w:rsid w:val="0047261E"/>
    <w:rPr>
      <w:rFonts w:ascii="Cambria" w:eastAsia="Times New Roman" w:hAnsi="Cambria" w:cs="Times New Roman"/>
      <w:color w:val="17365D"/>
      <w:spacing w:val="5"/>
      <w:kern w:val="3"/>
      <w:sz w:val="52"/>
      <w:szCs w:val="52"/>
    </w:rPr>
  </w:style>
  <w:style w:type="character" w:customStyle="1" w:styleId="afffff0">
    <w:name w:val="Название объекта Знак"/>
    <w:rsid w:val="0047261E"/>
    <w:rPr>
      <w:rFonts w:ascii="Courier New" w:eastAsia="Times New Roman" w:hAnsi="Courier New" w:cs="Courier New"/>
      <w:b/>
      <w:spacing w:val="-20"/>
      <w:sz w:val="52"/>
    </w:rPr>
  </w:style>
  <w:style w:type="character" w:customStyle="1" w:styleId="Iniiaiieoeoo">
    <w:name w:val="Iniiaiie o?eoo"/>
    <w:rsid w:val="0047261E"/>
  </w:style>
  <w:style w:type="character" w:customStyle="1" w:styleId="iiianoaieou">
    <w:name w:val="iiia? no?aieou"/>
    <w:basedOn w:val="Iniiaiieoeoo"/>
    <w:rsid w:val="0047261E"/>
  </w:style>
  <w:style w:type="character" w:customStyle="1" w:styleId="1f5">
    <w:name w:val="Гиперссылка1"/>
    <w:rsid w:val="0047261E"/>
    <w:rPr>
      <w:color w:val="008000"/>
      <w:u w:val="single"/>
    </w:rPr>
  </w:style>
  <w:style w:type="character" w:customStyle="1" w:styleId="1f6">
    <w:name w:val="Строгий1"/>
    <w:rsid w:val="0047261E"/>
    <w:rPr>
      <w:b/>
    </w:rPr>
  </w:style>
  <w:style w:type="character" w:customStyle="1" w:styleId="1f7">
    <w:name w:val="Просмотренная гиперссылка1"/>
    <w:rsid w:val="0047261E"/>
    <w:rPr>
      <w:color w:val="800080"/>
      <w:u w:val="single"/>
    </w:rPr>
  </w:style>
  <w:style w:type="character" w:customStyle="1" w:styleId="iiianoiee">
    <w:name w:val="iiia? no?iee"/>
    <w:rsid w:val="0047261E"/>
    <w:rPr>
      <w:rFonts w:ascii="Arial" w:eastAsia="Arial" w:hAnsi="Arial" w:cs="Arial"/>
      <w:sz w:val="18"/>
    </w:rPr>
  </w:style>
  <w:style w:type="character" w:customStyle="1" w:styleId="SUBST">
    <w:name w:val="__SUBST"/>
    <w:rsid w:val="0047261E"/>
    <w:rPr>
      <w:b/>
      <w:bCs/>
      <w:i/>
      <w:iCs/>
      <w:sz w:val="22"/>
      <w:szCs w:val="22"/>
    </w:rPr>
  </w:style>
  <w:style w:type="character" w:customStyle="1" w:styleId="index0">
    <w:name w:val="index"/>
    <w:basedOn w:val="a4"/>
    <w:rsid w:val="0047261E"/>
  </w:style>
  <w:style w:type="character" w:customStyle="1" w:styleId="100">
    <w:name w:val="Гиперссылка10"/>
    <w:rsid w:val="0047261E"/>
    <w:rPr>
      <w:rFonts w:ascii="Tahoma" w:eastAsia="Tahoma" w:hAnsi="Tahoma" w:cs="Tahoma"/>
      <w:b w:val="0"/>
      <w:bCs w:val="0"/>
      <w:color w:val="FF9900"/>
      <w:u w:val="single"/>
    </w:rPr>
  </w:style>
  <w:style w:type="character" w:customStyle="1" w:styleId="2f2">
    <w:name w:val="Гиперссылка2"/>
    <w:rsid w:val="0047261E"/>
    <w:rPr>
      <w:color w:val="008000"/>
      <w:u w:val="single"/>
    </w:rPr>
  </w:style>
  <w:style w:type="character" w:customStyle="1" w:styleId="2f3">
    <w:name w:val="Строгий2"/>
    <w:rsid w:val="0047261E"/>
    <w:rPr>
      <w:b/>
    </w:rPr>
  </w:style>
  <w:style w:type="character" w:customStyle="1" w:styleId="2f4">
    <w:name w:val="Просмотренная гиперссылка2"/>
    <w:rsid w:val="0047261E"/>
    <w:rPr>
      <w:color w:val="800080"/>
      <w:u w:val="single"/>
    </w:rPr>
  </w:style>
  <w:style w:type="character" w:customStyle="1" w:styleId="photo-icons">
    <w:name w:val="photo-icons"/>
    <w:rsid w:val="0047261E"/>
  </w:style>
  <w:style w:type="character" w:customStyle="1" w:styleId="value">
    <w:name w:val="value"/>
    <w:rsid w:val="0047261E"/>
  </w:style>
  <w:style w:type="character" w:customStyle="1" w:styleId="company-bold">
    <w:name w:val="company-bold"/>
    <w:rsid w:val="0047261E"/>
  </w:style>
  <w:style w:type="character" w:customStyle="1" w:styleId="small-arrow">
    <w:name w:val="small-arrow"/>
    <w:rsid w:val="0047261E"/>
  </w:style>
  <w:style w:type="character" w:customStyle="1" w:styleId="h2">
    <w:name w:val="h2"/>
    <w:rsid w:val="0047261E"/>
  </w:style>
  <w:style w:type="character" w:customStyle="1" w:styleId="actionbutton">
    <w:name w:val="actionbutton"/>
    <w:rsid w:val="0047261E"/>
  </w:style>
  <w:style w:type="character" w:customStyle="1" w:styleId="line">
    <w:name w:val="line"/>
    <w:rsid w:val="0047261E"/>
  </w:style>
  <w:style w:type="character" w:customStyle="1" w:styleId="upper">
    <w:name w:val="upper"/>
    <w:rsid w:val="0047261E"/>
  </w:style>
  <w:style w:type="character" w:customStyle="1" w:styleId="b-materialdate1">
    <w:name w:val="b-material__date1"/>
    <w:rsid w:val="0047261E"/>
  </w:style>
  <w:style w:type="character" w:customStyle="1" w:styleId="b-materialtime1">
    <w:name w:val="b-material__time1"/>
    <w:rsid w:val="0047261E"/>
  </w:style>
  <w:style w:type="character" w:customStyle="1" w:styleId="sharebuttoncount1">
    <w:name w:val="sharebutton__count1"/>
    <w:rsid w:val="0047261E"/>
    <w:rPr>
      <w:b/>
      <w:bCs/>
      <w:sz w:val="18"/>
      <w:szCs w:val="18"/>
    </w:rPr>
  </w:style>
  <w:style w:type="character" w:customStyle="1" w:styleId="b-material-picdesc6">
    <w:name w:val="b-material-pic__desc6"/>
    <w:rsid w:val="0047261E"/>
    <w:rPr>
      <w:b/>
      <w:bCs/>
      <w:vanish w:val="0"/>
      <w:color w:val="938F8E"/>
      <w:sz w:val="15"/>
      <w:szCs w:val="15"/>
    </w:rPr>
  </w:style>
  <w:style w:type="character" w:customStyle="1" w:styleId="copyright-icon">
    <w:name w:val="copyright-icon"/>
    <w:rsid w:val="0047261E"/>
  </w:style>
  <w:style w:type="character" w:customStyle="1" w:styleId="reference">
    <w:name w:val="reference"/>
    <w:rsid w:val="0047261E"/>
    <w:rPr>
      <w:sz w:val="19"/>
      <w:szCs w:val="19"/>
    </w:rPr>
  </w:style>
  <w:style w:type="character" w:customStyle="1" w:styleId="ve-show1">
    <w:name w:val="ve-show1"/>
    <w:rsid w:val="0047261E"/>
    <w:rPr>
      <w:vanish/>
    </w:rPr>
  </w:style>
  <w:style w:type="character" w:customStyle="1" w:styleId="subcaption">
    <w:name w:val="subcaption"/>
    <w:rsid w:val="0047261E"/>
  </w:style>
  <w:style w:type="character" w:customStyle="1" w:styleId="subcaption1">
    <w:name w:val="subcaption1"/>
    <w:rsid w:val="0047261E"/>
    <w:rPr>
      <w:b w:val="0"/>
      <w:bCs w:val="0"/>
      <w:sz w:val="19"/>
      <w:szCs w:val="19"/>
    </w:rPr>
  </w:style>
  <w:style w:type="character" w:customStyle="1" w:styleId="ve-show3">
    <w:name w:val="ve-show3"/>
    <w:rsid w:val="0047261E"/>
    <w:rPr>
      <w:vanish w:val="0"/>
    </w:rPr>
  </w:style>
  <w:style w:type="character" w:customStyle="1" w:styleId="mw-editsection1">
    <w:name w:val="mw-editsection1"/>
    <w:rsid w:val="0047261E"/>
  </w:style>
  <w:style w:type="character" w:customStyle="1" w:styleId="mw-editsection-divider1">
    <w:name w:val="mw-editsection-divider1"/>
    <w:rsid w:val="0047261E"/>
    <w:rPr>
      <w:color w:val="54595D"/>
    </w:rPr>
  </w:style>
  <w:style w:type="character" w:customStyle="1" w:styleId="nowrap1">
    <w:name w:val="nowrap1"/>
    <w:rsid w:val="0047261E"/>
  </w:style>
  <w:style w:type="character" w:customStyle="1" w:styleId="citation">
    <w:name w:val="citation"/>
    <w:rsid w:val="0047261E"/>
  </w:style>
  <w:style w:type="character" w:customStyle="1" w:styleId="reference-text">
    <w:name w:val="reference-text"/>
    <w:rsid w:val="0047261E"/>
  </w:style>
  <w:style w:type="character" w:customStyle="1" w:styleId="blk1">
    <w:name w:val="blk1"/>
    <w:rsid w:val="0047261E"/>
    <w:rPr>
      <w:vanish w:val="0"/>
    </w:rPr>
  </w:style>
  <w:style w:type="character" w:customStyle="1" w:styleId="blk6">
    <w:name w:val="blk6"/>
    <w:rsid w:val="0047261E"/>
    <w:rPr>
      <w:vanish w:val="0"/>
    </w:rPr>
  </w:style>
  <w:style w:type="character" w:customStyle="1" w:styleId="nobr1">
    <w:name w:val="nobr1"/>
    <w:rsid w:val="0047261E"/>
  </w:style>
  <w:style w:type="character" w:customStyle="1" w:styleId="pageheadertext">
    <w:name w:val="page__header__text"/>
    <w:rsid w:val="0047261E"/>
  </w:style>
  <w:style w:type="character" w:customStyle="1" w:styleId="pageheaderdate">
    <w:name w:val="page__header__date"/>
    <w:rsid w:val="0047261E"/>
  </w:style>
  <w:style w:type="character" w:customStyle="1" w:styleId="link2">
    <w:name w:val="link2"/>
    <w:rsid w:val="0047261E"/>
    <w:rPr>
      <w:strike w:val="0"/>
      <w:dstrike w:val="0"/>
      <w:color w:val="0000CC"/>
      <w:u w:val="none"/>
    </w:rPr>
  </w:style>
  <w:style w:type="character" w:customStyle="1" w:styleId="hl">
    <w:name w:val="hl"/>
    <w:rsid w:val="0047261E"/>
  </w:style>
  <w:style w:type="character" w:customStyle="1" w:styleId="nobr">
    <w:name w:val="nobr"/>
    <w:rsid w:val="0047261E"/>
  </w:style>
  <w:style w:type="character" w:customStyle="1" w:styleId="1f8">
    <w:name w:val="Текст Знак1"/>
    <w:basedOn w:val="a4"/>
    <w:rsid w:val="0047261E"/>
    <w:rPr>
      <w:sz w:val="24"/>
    </w:rPr>
  </w:style>
  <w:style w:type="character" w:customStyle="1" w:styleId="u">
    <w:name w:val="u"/>
    <w:basedOn w:val="a4"/>
    <w:rsid w:val="0047261E"/>
  </w:style>
  <w:style w:type="character" w:customStyle="1" w:styleId="paragraph">
    <w:name w:val="paragraph"/>
    <w:basedOn w:val="a4"/>
    <w:rsid w:val="0047261E"/>
  </w:style>
  <w:style w:type="character" w:customStyle="1" w:styleId="1f9">
    <w:name w:val="Основной шрифт абзаца1"/>
    <w:rsid w:val="0047261E"/>
    <w:rPr>
      <w:sz w:val="24"/>
    </w:rPr>
  </w:style>
  <w:style w:type="character" w:customStyle="1" w:styleId="afffff1">
    <w:name w:val="Список с точками Знак"/>
    <w:rsid w:val="0047261E"/>
    <w:rPr>
      <w:rFonts w:ascii="Times New Roman" w:eastAsia="Times New Roman" w:hAnsi="Times New Roman" w:cs="Times New Roman"/>
      <w:sz w:val="24"/>
      <w:lang w:val="en-US"/>
    </w:rPr>
  </w:style>
  <w:style w:type="character" w:customStyle="1" w:styleId="1fa">
    <w:name w:val="Название объекта Знак1"/>
    <w:aliases w:val="Название объекта1 Знак Знак Знак,Название объекта Знак11 Знак Знак Знак,Название объекта Знак Знак1 Знак Знак Знак,Знак1 Знак Знак1 Знак Знак Знак,Название объекта Знак1 Знак Знак1 Знак Знак Знак,Знак1 Знак Знак1 Знак1"/>
    <w:rsid w:val="0047261E"/>
    <w:rPr>
      <w:b/>
      <w:bCs/>
      <w:color w:val="4F81BD"/>
      <w:sz w:val="18"/>
      <w:szCs w:val="18"/>
    </w:rPr>
  </w:style>
  <w:style w:type="character" w:customStyle="1" w:styleId="FontStyle50">
    <w:name w:val="Font Style50"/>
    <w:basedOn w:val="a4"/>
    <w:rsid w:val="0047261E"/>
    <w:rPr>
      <w:rFonts w:ascii="Times New Roman" w:eastAsia="Times New Roman" w:hAnsi="Times New Roman" w:cs="Times New Roman"/>
      <w:sz w:val="26"/>
      <w:szCs w:val="26"/>
    </w:rPr>
  </w:style>
  <w:style w:type="character" w:customStyle="1" w:styleId="FontStyle125">
    <w:name w:val="Font Style125"/>
    <w:basedOn w:val="a4"/>
    <w:rsid w:val="0047261E"/>
    <w:rPr>
      <w:rFonts w:ascii="Bookman Old Style" w:eastAsia="Bookman Old Style" w:hAnsi="Bookman Old Style" w:cs="Bookman Old Style"/>
      <w:sz w:val="18"/>
      <w:szCs w:val="18"/>
    </w:rPr>
  </w:style>
  <w:style w:type="character" w:customStyle="1" w:styleId="ng-star-inserted">
    <w:name w:val="ng-star-inserted"/>
    <w:basedOn w:val="a4"/>
    <w:rsid w:val="0047261E"/>
  </w:style>
  <w:style w:type="character" w:customStyle="1" w:styleId="afffff2">
    <w:name w:val="Текст письма Знак"/>
    <w:basedOn w:val="a4"/>
    <w:rsid w:val="0047261E"/>
    <w:rPr>
      <w:rFonts w:ascii="Times New Roman" w:eastAsia="Times New Roman" w:hAnsi="Times New Roman" w:cs="Times New Roman"/>
      <w:sz w:val="24"/>
    </w:rPr>
  </w:style>
  <w:style w:type="character" w:customStyle="1" w:styleId="Footnoteanchor">
    <w:name w:val="Footnote anchor"/>
    <w:rsid w:val="0047261E"/>
    <w:rPr>
      <w:position w:val="0"/>
      <w:vertAlign w:val="superscript"/>
    </w:rPr>
  </w:style>
  <w:style w:type="character" w:customStyle="1" w:styleId="BulletSymbols">
    <w:name w:val="Bullet Symbols"/>
    <w:rsid w:val="0047261E"/>
    <w:rPr>
      <w:rFonts w:ascii="Times New Roman" w:eastAsia="SimSun, 宋体" w:hAnsi="Times New Roman" w:cs="Times New Roman"/>
      <w:color w:val="auto"/>
      <w:sz w:val="24"/>
      <w:szCs w:val="24"/>
      <w:lang w:val="ru-RU" w:bidi="ar-SA"/>
    </w:rPr>
  </w:style>
  <w:style w:type="character" w:styleId="afffff3">
    <w:name w:val="Strong"/>
    <w:uiPriority w:val="22"/>
    <w:qFormat/>
    <w:rsid w:val="0047261E"/>
    <w:rPr>
      <w:b/>
      <w:bCs/>
    </w:rPr>
  </w:style>
  <w:style w:type="character" w:customStyle="1" w:styleId="ListLabel28">
    <w:name w:val="ListLabel 28"/>
    <w:rsid w:val="0047261E"/>
    <w:rPr>
      <w:rFonts w:eastAsia="Calibri" w:cs="Times New Roman"/>
      <w:sz w:val="24"/>
    </w:rPr>
  </w:style>
  <w:style w:type="character" w:customStyle="1" w:styleId="ListLabel29">
    <w:name w:val="ListLabel 29"/>
    <w:rsid w:val="0047261E"/>
    <w:rPr>
      <w:rFonts w:cs="Courier New"/>
    </w:rPr>
  </w:style>
  <w:style w:type="character" w:customStyle="1" w:styleId="ListLabel30">
    <w:name w:val="ListLabel 30"/>
    <w:rsid w:val="0047261E"/>
    <w:rPr>
      <w:rFonts w:cs="Courier New"/>
    </w:rPr>
  </w:style>
  <w:style w:type="character" w:customStyle="1" w:styleId="ListLabel31">
    <w:name w:val="ListLabel 31"/>
    <w:rsid w:val="0047261E"/>
    <w:rPr>
      <w:rFonts w:cs="Courier New"/>
    </w:rPr>
  </w:style>
  <w:style w:type="character" w:customStyle="1" w:styleId="ListLabel22">
    <w:name w:val="ListLabel 22"/>
    <w:rsid w:val="0047261E"/>
    <w:rPr>
      <w:rFonts w:cs="Courier New"/>
    </w:rPr>
  </w:style>
  <w:style w:type="character" w:customStyle="1" w:styleId="ListLabel23">
    <w:name w:val="ListLabel 23"/>
    <w:rsid w:val="0047261E"/>
    <w:rPr>
      <w:rFonts w:cs="Courier New"/>
    </w:rPr>
  </w:style>
  <w:style w:type="character" w:customStyle="1" w:styleId="ListLabel24">
    <w:name w:val="ListLabel 24"/>
    <w:rsid w:val="0047261E"/>
    <w:rPr>
      <w:rFonts w:cs="Courier New"/>
    </w:rPr>
  </w:style>
  <w:style w:type="paragraph" w:customStyle="1" w:styleId="2f0">
    <w:name w:val="Основной текст (2)"/>
    <w:basedOn w:val="a3"/>
    <w:link w:val="2f"/>
    <w:rsid w:val="0047261E"/>
    <w:pPr>
      <w:widowControl w:val="0"/>
      <w:shd w:val="clear" w:color="auto" w:fill="FFFFFF"/>
      <w:spacing w:before="240" w:line="317" w:lineRule="exact"/>
      <w:ind w:firstLine="0"/>
    </w:pPr>
    <w:rPr>
      <w:rFonts w:eastAsia="Times New Roman" w:cs="Times New Roman"/>
      <w:sz w:val="22"/>
    </w:rPr>
  </w:style>
  <w:style w:type="character" w:customStyle="1" w:styleId="afffff4">
    <w:name w:val="Подпись к картинке_"/>
    <w:basedOn w:val="a4"/>
    <w:link w:val="afffff5"/>
    <w:rsid w:val="0047261E"/>
    <w:rPr>
      <w:rFonts w:ascii="Arial Narrow" w:eastAsia="Arial Narrow" w:hAnsi="Arial Narrow" w:cs="Arial Narrow"/>
      <w:sz w:val="20"/>
      <w:szCs w:val="20"/>
      <w:shd w:val="clear" w:color="auto" w:fill="FFFFFF"/>
    </w:rPr>
  </w:style>
  <w:style w:type="paragraph" w:customStyle="1" w:styleId="afffff5">
    <w:name w:val="Подпись к картинке"/>
    <w:basedOn w:val="a3"/>
    <w:link w:val="afffff4"/>
    <w:rsid w:val="0047261E"/>
    <w:pPr>
      <w:widowControl w:val="0"/>
      <w:shd w:val="clear" w:color="auto" w:fill="FFFFFF"/>
      <w:spacing w:line="264" w:lineRule="exact"/>
      <w:ind w:firstLine="0"/>
      <w:jc w:val="center"/>
    </w:pPr>
    <w:rPr>
      <w:rFonts w:ascii="Arial Narrow" w:eastAsia="Arial Narrow" w:hAnsi="Arial Narrow" w:cs="Arial Narrow"/>
      <w:sz w:val="20"/>
      <w:szCs w:val="20"/>
    </w:rPr>
  </w:style>
  <w:style w:type="character" w:customStyle="1" w:styleId="2f5">
    <w:name w:val="Основной текст (2) + Полужирный"/>
    <w:basedOn w:val="2f"/>
    <w:rsid w:val="0047261E"/>
    <w:rPr>
      <w:rFonts w:ascii="Times New Roman" w:eastAsia="Times New Roman" w:hAnsi="Times New Roman" w:cs="Times New Roman"/>
      <w:b/>
      <w:bCs/>
      <w:i w:val="0"/>
      <w:iCs w:val="0"/>
      <w:smallCaps w:val="0"/>
      <w:strike w:val="0"/>
      <w:color w:val="000000"/>
      <w:spacing w:val="0"/>
      <w:w w:val="100"/>
      <w:position w:val="0"/>
      <w:sz w:val="24"/>
      <w:szCs w:val="24"/>
      <w:u w:val="none"/>
      <w:shd w:val="clear" w:color="auto" w:fill="FFFFFF"/>
      <w:lang w:val="ru-RU" w:eastAsia="ru-RU" w:bidi="ru-RU"/>
    </w:rPr>
  </w:style>
  <w:style w:type="paragraph" w:customStyle="1" w:styleId="a1">
    <w:name w:val="Списки"/>
    <w:basedOn w:val="a3"/>
    <w:rsid w:val="0047261E"/>
    <w:pPr>
      <w:numPr>
        <w:numId w:val="56"/>
      </w:numPr>
      <w:suppressAutoHyphens/>
      <w:autoSpaceDN w:val="0"/>
      <w:textAlignment w:val="baseline"/>
    </w:pPr>
    <w:rPr>
      <w:rFonts w:eastAsia="Calibri" w:cs="Times New Roman"/>
      <w:szCs w:val="24"/>
    </w:rPr>
  </w:style>
  <w:style w:type="numbering" w:customStyle="1" w:styleId="LFO6">
    <w:name w:val="LFO6"/>
    <w:basedOn w:val="a6"/>
    <w:rsid w:val="0047261E"/>
    <w:pPr>
      <w:numPr>
        <w:numId w:val="87"/>
      </w:numPr>
    </w:pPr>
  </w:style>
  <w:style w:type="character" w:customStyle="1" w:styleId="s10">
    <w:name w:val="s_10"/>
    <w:basedOn w:val="a4"/>
    <w:rsid w:val="0047261E"/>
  </w:style>
  <w:style w:type="character" w:customStyle="1" w:styleId="IndexLink">
    <w:name w:val="Index Link"/>
    <w:rsid w:val="0047261E"/>
    <w:rPr>
      <w:i w:val="0"/>
      <w:sz w:val="24"/>
    </w:rPr>
  </w:style>
  <w:style w:type="character" w:customStyle="1" w:styleId="NumberingSymbols">
    <w:name w:val="Numbering Symbols"/>
    <w:rsid w:val="0047261E"/>
  </w:style>
  <w:style w:type="numbering" w:customStyle="1" w:styleId="WW8Num1">
    <w:name w:val="WW8Num1"/>
    <w:basedOn w:val="a6"/>
    <w:rsid w:val="0047261E"/>
    <w:pPr>
      <w:numPr>
        <w:numId w:val="10"/>
      </w:numPr>
    </w:pPr>
  </w:style>
  <w:style w:type="numbering" w:customStyle="1" w:styleId="WW8Num2">
    <w:name w:val="WW8Num2"/>
    <w:basedOn w:val="a6"/>
    <w:rsid w:val="0047261E"/>
    <w:pPr>
      <w:numPr>
        <w:numId w:val="11"/>
      </w:numPr>
    </w:pPr>
  </w:style>
  <w:style w:type="numbering" w:customStyle="1" w:styleId="WW8Num3">
    <w:name w:val="WW8Num3"/>
    <w:basedOn w:val="a6"/>
    <w:rsid w:val="0047261E"/>
    <w:pPr>
      <w:numPr>
        <w:numId w:val="12"/>
      </w:numPr>
    </w:pPr>
  </w:style>
  <w:style w:type="numbering" w:customStyle="1" w:styleId="WW8Num4">
    <w:name w:val="WW8Num4"/>
    <w:basedOn w:val="a6"/>
    <w:rsid w:val="0047261E"/>
    <w:pPr>
      <w:numPr>
        <w:numId w:val="13"/>
      </w:numPr>
    </w:pPr>
  </w:style>
  <w:style w:type="numbering" w:customStyle="1" w:styleId="WW8Num5">
    <w:name w:val="WW8Num5"/>
    <w:basedOn w:val="a6"/>
    <w:rsid w:val="0047261E"/>
    <w:pPr>
      <w:numPr>
        <w:numId w:val="14"/>
      </w:numPr>
    </w:pPr>
  </w:style>
  <w:style w:type="numbering" w:customStyle="1" w:styleId="WW8Num6">
    <w:name w:val="WW8Num6"/>
    <w:basedOn w:val="a6"/>
    <w:rsid w:val="0047261E"/>
    <w:pPr>
      <w:numPr>
        <w:numId w:val="15"/>
      </w:numPr>
    </w:pPr>
  </w:style>
  <w:style w:type="numbering" w:customStyle="1" w:styleId="WW8Num7">
    <w:name w:val="WW8Num7"/>
    <w:basedOn w:val="a6"/>
    <w:rsid w:val="0047261E"/>
    <w:pPr>
      <w:numPr>
        <w:numId w:val="16"/>
      </w:numPr>
    </w:pPr>
  </w:style>
  <w:style w:type="numbering" w:customStyle="1" w:styleId="WW8Num8">
    <w:name w:val="WW8Num8"/>
    <w:basedOn w:val="a6"/>
    <w:rsid w:val="0047261E"/>
    <w:pPr>
      <w:numPr>
        <w:numId w:val="17"/>
      </w:numPr>
    </w:pPr>
  </w:style>
  <w:style w:type="numbering" w:customStyle="1" w:styleId="WW8Num9">
    <w:name w:val="WW8Num9"/>
    <w:basedOn w:val="a6"/>
    <w:rsid w:val="0047261E"/>
    <w:pPr>
      <w:numPr>
        <w:numId w:val="18"/>
      </w:numPr>
    </w:pPr>
  </w:style>
  <w:style w:type="numbering" w:customStyle="1" w:styleId="WW8Num10">
    <w:name w:val="WW8Num10"/>
    <w:basedOn w:val="a6"/>
    <w:rsid w:val="0047261E"/>
    <w:pPr>
      <w:numPr>
        <w:numId w:val="19"/>
      </w:numPr>
    </w:pPr>
  </w:style>
  <w:style w:type="numbering" w:customStyle="1" w:styleId="WW8Num11">
    <w:name w:val="WW8Num11"/>
    <w:basedOn w:val="a6"/>
    <w:rsid w:val="0047261E"/>
    <w:pPr>
      <w:numPr>
        <w:numId w:val="20"/>
      </w:numPr>
    </w:pPr>
  </w:style>
  <w:style w:type="numbering" w:customStyle="1" w:styleId="WW8Num12">
    <w:name w:val="WW8Num12"/>
    <w:basedOn w:val="a6"/>
    <w:rsid w:val="0047261E"/>
    <w:pPr>
      <w:numPr>
        <w:numId w:val="21"/>
      </w:numPr>
    </w:pPr>
  </w:style>
  <w:style w:type="numbering" w:customStyle="1" w:styleId="WW8Num13">
    <w:name w:val="WW8Num13"/>
    <w:basedOn w:val="a6"/>
    <w:rsid w:val="0047261E"/>
    <w:pPr>
      <w:numPr>
        <w:numId w:val="22"/>
      </w:numPr>
    </w:pPr>
  </w:style>
  <w:style w:type="numbering" w:customStyle="1" w:styleId="WW8Num14">
    <w:name w:val="WW8Num14"/>
    <w:basedOn w:val="a6"/>
    <w:rsid w:val="0047261E"/>
    <w:pPr>
      <w:numPr>
        <w:numId w:val="23"/>
      </w:numPr>
    </w:pPr>
  </w:style>
  <w:style w:type="numbering" w:customStyle="1" w:styleId="WW8Num15">
    <w:name w:val="WW8Num15"/>
    <w:basedOn w:val="a6"/>
    <w:rsid w:val="0047261E"/>
    <w:pPr>
      <w:numPr>
        <w:numId w:val="24"/>
      </w:numPr>
    </w:pPr>
  </w:style>
  <w:style w:type="numbering" w:customStyle="1" w:styleId="WW8Num16">
    <w:name w:val="WW8Num16"/>
    <w:basedOn w:val="a6"/>
    <w:rsid w:val="0047261E"/>
    <w:pPr>
      <w:numPr>
        <w:numId w:val="25"/>
      </w:numPr>
    </w:pPr>
  </w:style>
  <w:style w:type="numbering" w:customStyle="1" w:styleId="WW8Num17">
    <w:name w:val="WW8Num17"/>
    <w:basedOn w:val="a6"/>
    <w:rsid w:val="0047261E"/>
    <w:pPr>
      <w:numPr>
        <w:numId w:val="26"/>
      </w:numPr>
    </w:pPr>
  </w:style>
  <w:style w:type="numbering" w:customStyle="1" w:styleId="WW8Num18">
    <w:name w:val="WW8Num18"/>
    <w:basedOn w:val="a6"/>
    <w:rsid w:val="0047261E"/>
    <w:pPr>
      <w:numPr>
        <w:numId w:val="27"/>
      </w:numPr>
    </w:pPr>
  </w:style>
  <w:style w:type="numbering" w:customStyle="1" w:styleId="WW8Num19">
    <w:name w:val="WW8Num19"/>
    <w:basedOn w:val="a6"/>
    <w:rsid w:val="0047261E"/>
    <w:pPr>
      <w:numPr>
        <w:numId w:val="28"/>
      </w:numPr>
    </w:pPr>
  </w:style>
  <w:style w:type="numbering" w:customStyle="1" w:styleId="WW8Num20">
    <w:name w:val="WW8Num20"/>
    <w:basedOn w:val="a6"/>
    <w:rsid w:val="0047261E"/>
    <w:pPr>
      <w:numPr>
        <w:numId w:val="29"/>
      </w:numPr>
    </w:pPr>
  </w:style>
  <w:style w:type="numbering" w:customStyle="1" w:styleId="WW8Num21">
    <w:name w:val="WW8Num21"/>
    <w:basedOn w:val="a6"/>
    <w:rsid w:val="0047261E"/>
    <w:pPr>
      <w:numPr>
        <w:numId w:val="30"/>
      </w:numPr>
    </w:pPr>
  </w:style>
  <w:style w:type="numbering" w:customStyle="1" w:styleId="WW8Num22">
    <w:name w:val="WW8Num22"/>
    <w:basedOn w:val="a6"/>
    <w:rsid w:val="0047261E"/>
    <w:pPr>
      <w:numPr>
        <w:numId w:val="31"/>
      </w:numPr>
    </w:pPr>
  </w:style>
  <w:style w:type="numbering" w:customStyle="1" w:styleId="WW8Num23">
    <w:name w:val="WW8Num23"/>
    <w:basedOn w:val="a6"/>
    <w:rsid w:val="0047261E"/>
    <w:pPr>
      <w:numPr>
        <w:numId w:val="32"/>
      </w:numPr>
    </w:pPr>
  </w:style>
  <w:style w:type="numbering" w:customStyle="1" w:styleId="WW8Num24">
    <w:name w:val="WW8Num24"/>
    <w:basedOn w:val="a6"/>
    <w:rsid w:val="0047261E"/>
    <w:pPr>
      <w:numPr>
        <w:numId w:val="33"/>
      </w:numPr>
    </w:pPr>
  </w:style>
  <w:style w:type="numbering" w:customStyle="1" w:styleId="WW8Num25">
    <w:name w:val="WW8Num25"/>
    <w:basedOn w:val="a6"/>
    <w:rsid w:val="0047261E"/>
    <w:pPr>
      <w:numPr>
        <w:numId w:val="34"/>
      </w:numPr>
    </w:pPr>
  </w:style>
  <w:style w:type="numbering" w:customStyle="1" w:styleId="WW8Num26">
    <w:name w:val="WW8Num26"/>
    <w:basedOn w:val="a6"/>
    <w:rsid w:val="0047261E"/>
    <w:pPr>
      <w:numPr>
        <w:numId w:val="35"/>
      </w:numPr>
    </w:pPr>
  </w:style>
  <w:style w:type="numbering" w:customStyle="1" w:styleId="WW8Num27">
    <w:name w:val="WW8Num27"/>
    <w:basedOn w:val="a6"/>
    <w:rsid w:val="0047261E"/>
    <w:pPr>
      <w:numPr>
        <w:numId w:val="36"/>
      </w:numPr>
    </w:pPr>
  </w:style>
  <w:style w:type="numbering" w:customStyle="1" w:styleId="WW8Num28">
    <w:name w:val="WW8Num28"/>
    <w:basedOn w:val="a6"/>
    <w:rsid w:val="0047261E"/>
    <w:pPr>
      <w:numPr>
        <w:numId w:val="37"/>
      </w:numPr>
    </w:pPr>
  </w:style>
  <w:style w:type="numbering" w:customStyle="1" w:styleId="WW8Num29">
    <w:name w:val="WW8Num29"/>
    <w:basedOn w:val="a6"/>
    <w:rsid w:val="0047261E"/>
    <w:pPr>
      <w:numPr>
        <w:numId w:val="38"/>
      </w:numPr>
    </w:pPr>
  </w:style>
  <w:style w:type="numbering" w:customStyle="1" w:styleId="WW8Num30">
    <w:name w:val="WW8Num30"/>
    <w:basedOn w:val="a6"/>
    <w:rsid w:val="0047261E"/>
    <w:pPr>
      <w:numPr>
        <w:numId w:val="39"/>
      </w:numPr>
    </w:pPr>
  </w:style>
  <w:style w:type="numbering" w:customStyle="1" w:styleId="WW8Num31">
    <w:name w:val="WW8Num31"/>
    <w:basedOn w:val="a6"/>
    <w:rsid w:val="0047261E"/>
    <w:pPr>
      <w:numPr>
        <w:numId w:val="40"/>
      </w:numPr>
    </w:pPr>
  </w:style>
  <w:style w:type="numbering" w:customStyle="1" w:styleId="WW8Num322">
    <w:name w:val="WW8Num322"/>
    <w:basedOn w:val="a6"/>
    <w:rsid w:val="0047261E"/>
    <w:pPr>
      <w:numPr>
        <w:numId w:val="41"/>
      </w:numPr>
    </w:pPr>
  </w:style>
  <w:style w:type="numbering" w:customStyle="1" w:styleId="WW8Num33">
    <w:name w:val="WW8Num33"/>
    <w:basedOn w:val="a6"/>
    <w:rsid w:val="0047261E"/>
    <w:pPr>
      <w:numPr>
        <w:numId w:val="42"/>
      </w:numPr>
    </w:pPr>
  </w:style>
  <w:style w:type="numbering" w:customStyle="1" w:styleId="WW8Num34">
    <w:name w:val="WW8Num34"/>
    <w:basedOn w:val="a6"/>
    <w:rsid w:val="0047261E"/>
    <w:pPr>
      <w:numPr>
        <w:numId w:val="43"/>
      </w:numPr>
    </w:pPr>
  </w:style>
  <w:style w:type="numbering" w:customStyle="1" w:styleId="WW8Num35">
    <w:name w:val="WW8Num35"/>
    <w:basedOn w:val="a6"/>
    <w:rsid w:val="0047261E"/>
    <w:pPr>
      <w:numPr>
        <w:numId w:val="44"/>
      </w:numPr>
    </w:pPr>
  </w:style>
  <w:style w:type="numbering" w:customStyle="1" w:styleId="WW8Num36">
    <w:name w:val="WW8Num36"/>
    <w:basedOn w:val="a6"/>
    <w:rsid w:val="0047261E"/>
    <w:pPr>
      <w:numPr>
        <w:numId w:val="45"/>
      </w:numPr>
    </w:pPr>
  </w:style>
  <w:style w:type="numbering" w:customStyle="1" w:styleId="WW8Num37">
    <w:name w:val="WW8Num37"/>
    <w:basedOn w:val="a6"/>
    <w:rsid w:val="0047261E"/>
    <w:pPr>
      <w:numPr>
        <w:numId w:val="46"/>
      </w:numPr>
    </w:pPr>
  </w:style>
  <w:style w:type="numbering" w:customStyle="1" w:styleId="WWNum13">
    <w:name w:val="WWNum13"/>
    <w:basedOn w:val="a6"/>
    <w:rsid w:val="0047261E"/>
    <w:pPr>
      <w:numPr>
        <w:numId w:val="47"/>
      </w:numPr>
    </w:pPr>
  </w:style>
  <w:style w:type="numbering" w:customStyle="1" w:styleId="WWNum11">
    <w:name w:val="WWNum11"/>
    <w:basedOn w:val="a6"/>
    <w:rsid w:val="0047261E"/>
  </w:style>
  <w:style w:type="numbering" w:customStyle="1" w:styleId="WWNum21">
    <w:name w:val="WWNum21"/>
    <w:basedOn w:val="a6"/>
    <w:rsid w:val="0047261E"/>
    <w:pPr>
      <w:numPr>
        <w:numId w:val="49"/>
      </w:numPr>
    </w:pPr>
  </w:style>
  <w:style w:type="paragraph" w:styleId="44">
    <w:name w:val="toc 4"/>
    <w:basedOn w:val="a3"/>
    <w:next w:val="a3"/>
    <w:autoRedefine/>
    <w:uiPriority w:val="39"/>
    <w:unhideWhenUsed/>
    <w:rsid w:val="0047261E"/>
    <w:pPr>
      <w:widowControl w:val="0"/>
      <w:suppressAutoHyphens/>
      <w:autoSpaceDN w:val="0"/>
      <w:spacing w:after="100"/>
      <w:ind w:left="840" w:firstLine="709"/>
      <w:jc w:val="left"/>
      <w:textAlignment w:val="baseline"/>
    </w:pPr>
    <w:rPr>
      <w:rFonts w:eastAsia="Times New Roman" w:cs="Mangal"/>
      <w:kern w:val="3"/>
      <w:sz w:val="28"/>
      <w:szCs w:val="24"/>
      <w:lang w:eastAsia="ru-RU" w:bidi="hi-IN"/>
    </w:rPr>
  </w:style>
  <w:style w:type="paragraph" w:styleId="afffff6">
    <w:name w:val="Document Map"/>
    <w:basedOn w:val="a3"/>
    <w:link w:val="afffff7"/>
    <w:unhideWhenUsed/>
    <w:rsid w:val="0047261E"/>
    <w:pPr>
      <w:ind w:firstLine="709"/>
    </w:pPr>
    <w:rPr>
      <w:rFonts w:ascii="Tahoma" w:eastAsia="Times New Roman" w:hAnsi="Tahoma" w:cs="Tahoma"/>
      <w:sz w:val="16"/>
      <w:szCs w:val="16"/>
      <w:lang w:eastAsia="ru-RU"/>
    </w:rPr>
  </w:style>
  <w:style w:type="character" w:customStyle="1" w:styleId="afffff7">
    <w:name w:val="Схема документа Знак"/>
    <w:basedOn w:val="a4"/>
    <w:link w:val="afffff6"/>
    <w:rsid w:val="0047261E"/>
    <w:rPr>
      <w:rFonts w:ascii="Tahoma" w:eastAsia="Times New Roman" w:hAnsi="Tahoma" w:cs="Tahoma"/>
      <w:sz w:val="16"/>
      <w:szCs w:val="16"/>
      <w:lang w:eastAsia="ru-RU"/>
    </w:rPr>
  </w:style>
  <w:style w:type="paragraph" w:customStyle="1" w:styleId="afffff8">
    <w:name w:val="Таблица"/>
    <w:basedOn w:val="a3"/>
    <w:next w:val="a3"/>
    <w:qFormat/>
    <w:rsid w:val="0047261E"/>
    <w:pPr>
      <w:ind w:firstLine="0"/>
    </w:pPr>
    <w:rPr>
      <w:rFonts w:eastAsia="Times New Roman" w:cs="Times New Roman"/>
      <w:sz w:val="22"/>
      <w:szCs w:val="24"/>
      <w:lang w:eastAsia="ru-RU"/>
    </w:rPr>
  </w:style>
  <w:style w:type="paragraph" w:customStyle="1" w:styleId="afffff9">
    <w:name w:val="ОСНОВНОЙ ТЕКСТ"/>
    <w:basedOn w:val="affffb"/>
    <w:autoRedefine/>
    <w:rsid w:val="0047261E"/>
    <w:pPr>
      <w:autoSpaceDE w:val="0"/>
      <w:autoSpaceDN w:val="0"/>
      <w:adjustRightInd w:val="0"/>
      <w:spacing w:before="60" w:after="0" w:line="312" w:lineRule="auto"/>
      <w:ind w:left="0"/>
    </w:pPr>
    <w:rPr>
      <w:iCs/>
    </w:rPr>
  </w:style>
  <w:style w:type="paragraph" w:styleId="affffb">
    <w:name w:val="Body Text Indent"/>
    <w:aliases w:val=" Знак,Основной текст с отступом Знак Знак Знак,Основной текст 1,Нумерованный список !!,Надин стиль,Знак17"/>
    <w:basedOn w:val="a3"/>
    <w:link w:val="affffa"/>
    <w:unhideWhenUsed/>
    <w:rsid w:val="0047261E"/>
    <w:pPr>
      <w:spacing w:after="120"/>
      <w:ind w:left="283" w:firstLine="709"/>
    </w:pPr>
    <w:rPr>
      <w:rFonts w:eastAsia="Times New Roman" w:cs="Times New Roman"/>
      <w:szCs w:val="24"/>
    </w:rPr>
  </w:style>
  <w:style w:type="character" w:customStyle="1" w:styleId="1fb">
    <w:name w:val="Основной текст с отступом Знак1"/>
    <w:basedOn w:val="a4"/>
    <w:uiPriority w:val="99"/>
    <w:semiHidden/>
    <w:rsid w:val="0047261E"/>
    <w:rPr>
      <w:rFonts w:ascii="Times New Roman" w:hAnsi="Times New Roman"/>
      <w:sz w:val="24"/>
    </w:rPr>
  </w:style>
  <w:style w:type="table" w:customStyle="1" w:styleId="3b">
    <w:name w:val="Сетка таблицы3"/>
    <w:basedOn w:val="a5"/>
    <w:next w:val="af2"/>
    <w:uiPriority w:val="39"/>
    <w:rsid w:val="0047261E"/>
    <w:pPr>
      <w:spacing w:after="0" w:line="240" w:lineRule="auto"/>
      <w:jc w:val="both"/>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52">
    <w:name w:val="toc 5"/>
    <w:basedOn w:val="a3"/>
    <w:next w:val="a3"/>
    <w:autoRedefine/>
    <w:uiPriority w:val="39"/>
    <w:unhideWhenUsed/>
    <w:rsid w:val="0047261E"/>
    <w:pPr>
      <w:spacing w:after="100" w:line="276" w:lineRule="auto"/>
      <w:ind w:left="880" w:firstLine="0"/>
      <w:jc w:val="left"/>
    </w:pPr>
    <w:rPr>
      <w:rFonts w:asciiTheme="minorHAnsi" w:eastAsiaTheme="minorEastAsia" w:hAnsiTheme="minorHAnsi"/>
      <w:sz w:val="22"/>
      <w:lang w:eastAsia="ru-RU"/>
    </w:rPr>
  </w:style>
  <w:style w:type="paragraph" w:styleId="62">
    <w:name w:val="toc 6"/>
    <w:basedOn w:val="a3"/>
    <w:next w:val="a3"/>
    <w:autoRedefine/>
    <w:uiPriority w:val="39"/>
    <w:unhideWhenUsed/>
    <w:rsid w:val="0047261E"/>
    <w:pPr>
      <w:spacing w:after="100" w:line="276" w:lineRule="auto"/>
      <w:ind w:left="1100" w:firstLine="0"/>
      <w:jc w:val="left"/>
    </w:pPr>
    <w:rPr>
      <w:rFonts w:asciiTheme="minorHAnsi" w:eastAsiaTheme="minorEastAsia" w:hAnsiTheme="minorHAnsi"/>
      <w:sz w:val="22"/>
      <w:lang w:eastAsia="ru-RU"/>
    </w:rPr>
  </w:style>
  <w:style w:type="paragraph" w:styleId="71">
    <w:name w:val="toc 7"/>
    <w:basedOn w:val="a3"/>
    <w:next w:val="a3"/>
    <w:autoRedefine/>
    <w:uiPriority w:val="39"/>
    <w:unhideWhenUsed/>
    <w:rsid w:val="0047261E"/>
    <w:pPr>
      <w:spacing w:after="100" w:line="276" w:lineRule="auto"/>
      <w:ind w:left="1320" w:firstLine="0"/>
      <w:jc w:val="left"/>
    </w:pPr>
    <w:rPr>
      <w:rFonts w:asciiTheme="minorHAnsi" w:eastAsiaTheme="minorEastAsia" w:hAnsiTheme="minorHAnsi"/>
      <w:sz w:val="22"/>
      <w:lang w:eastAsia="ru-RU"/>
    </w:rPr>
  </w:style>
  <w:style w:type="paragraph" w:styleId="81">
    <w:name w:val="toc 8"/>
    <w:basedOn w:val="a3"/>
    <w:next w:val="a3"/>
    <w:autoRedefine/>
    <w:uiPriority w:val="39"/>
    <w:unhideWhenUsed/>
    <w:rsid w:val="0047261E"/>
    <w:pPr>
      <w:spacing w:after="100" w:line="276" w:lineRule="auto"/>
      <w:ind w:left="1540" w:firstLine="0"/>
      <w:jc w:val="left"/>
    </w:pPr>
    <w:rPr>
      <w:rFonts w:asciiTheme="minorHAnsi" w:eastAsiaTheme="minorEastAsia" w:hAnsiTheme="minorHAnsi"/>
      <w:sz w:val="22"/>
      <w:lang w:eastAsia="ru-RU"/>
    </w:rPr>
  </w:style>
  <w:style w:type="paragraph" w:styleId="92">
    <w:name w:val="toc 9"/>
    <w:basedOn w:val="a3"/>
    <w:next w:val="a3"/>
    <w:autoRedefine/>
    <w:uiPriority w:val="39"/>
    <w:unhideWhenUsed/>
    <w:rsid w:val="0047261E"/>
    <w:pPr>
      <w:spacing w:after="100" w:line="276" w:lineRule="auto"/>
      <w:ind w:left="1760" w:firstLine="0"/>
      <w:jc w:val="left"/>
    </w:pPr>
    <w:rPr>
      <w:rFonts w:asciiTheme="minorHAnsi" w:eastAsiaTheme="minorEastAsia" w:hAnsiTheme="minorHAnsi"/>
      <w:sz w:val="22"/>
      <w:lang w:eastAsia="ru-RU"/>
    </w:rPr>
  </w:style>
  <w:style w:type="paragraph" w:styleId="afffffa">
    <w:name w:val="List Number"/>
    <w:basedOn w:val="a3"/>
    <w:unhideWhenUsed/>
    <w:rsid w:val="0047261E"/>
    <w:pPr>
      <w:tabs>
        <w:tab w:val="num" w:pos="720"/>
      </w:tabs>
      <w:ind w:left="720" w:hanging="720"/>
      <w:contextualSpacing/>
    </w:pPr>
    <w:rPr>
      <w:rFonts w:eastAsia="Times New Roman" w:cs="Times New Roman"/>
      <w:sz w:val="28"/>
      <w:szCs w:val="24"/>
      <w:lang w:eastAsia="ru-RU"/>
    </w:rPr>
  </w:style>
  <w:style w:type="numbering" w:styleId="111111">
    <w:name w:val="Outline List 2"/>
    <w:basedOn w:val="a6"/>
    <w:rsid w:val="0047261E"/>
    <w:pPr>
      <w:numPr>
        <w:numId w:val="57"/>
      </w:numPr>
    </w:pPr>
  </w:style>
  <w:style w:type="paragraph" w:customStyle="1" w:styleId="2f6">
    <w:name w:val="Абзац списка2"/>
    <w:basedOn w:val="a3"/>
    <w:qFormat/>
    <w:rsid w:val="0047261E"/>
    <w:pPr>
      <w:spacing w:after="200" w:line="276" w:lineRule="auto"/>
      <w:ind w:left="720" w:firstLine="709"/>
      <w:contextualSpacing/>
    </w:pPr>
    <w:rPr>
      <w:rFonts w:eastAsia="Times New Roman" w:cs="Times New Roman"/>
    </w:rPr>
  </w:style>
  <w:style w:type="numbering" w:customStyle="1" w:styleId="1">
    <w:name w:val="Статья / Раздел1"/>
    <w:basedOn w:val="a6"/>
    <w:next w:val="afff0"/>
    <w:uiPriority w:val="99"/>
    <w:semiHidden/>
    <w:unhideWhenUsed/>
    <w:rsid w:val="0047261E"/>
    <w:pPr>
      <w:numPr>
        <w:numId w:val="58"/>
      </w:numPr>
    </w:pPr>
  </w:style>
  <w:style w:type="paragraph" w:customStyle="1" w:styleId="2f7">
    <w:name w:val="сновной текст с отступом 2"/>
    <w:basedOn w:val="a3"/>
    <w:rsid w:val="0047261E"/>
    <w:pPr>
      <w:widowControl w:val="0"/>
      <w:ind w:firstLine="720"/>
    </w:pPr>
    <w:rPr>
      <w:rFonts w:eastAsia="Times New Roman" w:cs="Times New Roman"/>
      <w:sz w:val="26"/>
      <w:szCs w:val="20"/>
      <w:lang w:eastAsia="ru-RU"/>
    </w:rPr>
  </w:style>
  <w:style w:type="paragraph" w:styleId="afffffb">
    <w:name w:val="Title"/>
    <w:basedOn w:val="a3"/>
    <w:link w:val="afffffc"/>
    <w:qFormat/>
    <w:rsid w:val="0047261E"/>
    <w:pPr>
      <w:spacing w:line="300" w:lineRule="atLeast"/>
      <w:ind w:firstLine="720"/>
      <w:jc w:val="center"/>
    </w:pPr>
    <w:rPr>
      <w:rFonts w:eastAsia="Times New Roman" w:cs="Times New Roman"/>
      <w:b/>
      <w:bCs/>
      <w:color w:val="FF0000"/>
      <w:sz w:val="28"/>
      <w:szCs w:val="28"/>
      <w:lang w:eastAsia="ru-RU"/>
    </w:rPr>
  </w:style>
  <w:style w:type="character" w:customStyle="1" w:styleId="afffffc">
    <w:name w:val="Заголовок Знак"/>
    <w:basedOn w:val="a4"/>
    <w:link w:val="afffffb"/>
    <w:rsid w:val="0047261E"/>
    <w:rPr>
      <w:rFonts w:ascii="Times New Roman" w:eastAsia="Times New Roman" w:hAnsi="Times New Roman" w:cs="Times New Roman"/>
      <w:b/>
      <w:bCs/>
      <w:color w:val="FF0000"/>
      <w:sz w:val="28"/>
      <w:szCs w:val="28"/>
      <w:lang w:eastAsia="ru-RU"/>
    </w:rPr>
  </w:style>
  <w:style w:type="paragraph" w:customStyle="1" w:styleId="afffffd">
    <w:name w:val="текст"/>
    <w:rsid w:val="0047261E"/>
    <w:pPr>
      <w:autoSpaceDE w:val="0"/>
      <w:autoSpaceDN w:val="0"/>
      <w:adjustRightInd w:val="0"/>
      <w:spacing w:after="0" w:line="260" w:lineRule="atLeast"/>
      <w:ind w:firstLine="454"/>
      <w:jc w:val="both"/>
    </w:pPr>
    <w:rPr>
      <w:rFonts w:ascii="FreeSetC" w:eastAsia="Times New Roman" w:hAnsi="FreeSetC" w:cs="Times New Roman"/>
      <w:color w:val="000000"/>
      <w:lang w:eastAsia="ru-RU"/>
    </w:rPr>
  </w:style>
  <w:style w:type="paragraph" w:customStyle="1" w:styleId="1fc">
    <w:name w:val="Стиль Заголовок 1"/>
    <w:aliases w:val="Head 1 + По ширине Первая строка:  127 см Межд..."/>
    <w:basedOn w:val="10"/>
    <w:rsid w:val="0047261E"/>
    <w:pPr>
      <w:keepLines w:val="0"/>
      <w:spacing w:before="0"/>
      <w:ind w:firstLine="720"/>
      <w:jc w:val="both"/>
    </w:pPr>
    <w:rPr>
      <w:rFonts w:eastAsia="Times New Roman"/>
      <w:snapToGrid w:val="0"/>
      <w:color w:val="000000"/>
      <w:szCs w:val="22"/>
      <w:lang w:eastAsia="ru-RU"/>
    </w:rPr>
  </w:style>
  <w:style w:type="paragraph" w:customStyle="1" w:styleId="63">
    <w:name w:val="заголовок 6"/>
    <w:basedOn w:val="a3"/>
    <w:next w:val="a3"/>
    <w:rsid w:val="0047261E"/>
    <w:pPr>
      <w:keepNext/>
      <w:widowControl w:val="0"/>
      <w:spacing w:line="360" w:lineRule="auto"/>
      <w:ind w:firstLine="0"/>
      <w:jc w:val="center"/>
    </w:pPr>
    <w:rPr>
      <w:rFonts w:ascii="TimesET" w:eastAsia="Times New Roman" w:hAnsi="TimesET" w:cs="Times New Roman"/>
      <w:b/>
      <w:sz w:val="28"/>
      <w:szCs w:val="20"/>
      <w:lang w:eastAsia="ru-RU"/>
    </w:rPr>
  </w:style>
  <w:style w:type="character" w:customStyle="1" w:styleId="1fd">
    <w:name w:val="Текст концевой сноски Знак1"/>
    <w:basedOn w:val="a4"/>
    <w:uiPriority w:val="99"/>
    <w:semiHidden/>
    <w:rsid w:val="0047261E"/>
    <w:rPr>
      <w:rFonts w:ascii="Times New Roman" w:eastAsia="Times New Roman" w:hAnsi="Times New Roman"/>
      <w:sz w:val="20"/>
      <w:szCs w:val="18"/>
      <w:lang w:eastAsia="ru-RU"/>
    </w:rPr>
  </w:style>
  <w:style w:type="paragraph" w:customStyle="1" w:styleId="53">
    <w:name w:val="Знак5 Знак Знак Знак"/>
    <w:basedOn w:val="a3"/>
    <w:rsid w:val="0047261E"/>
    <w:pPr>
      <w:spacing w:after="160" w:line="240" w:lineRule="exact"/>
      <w:ind w:firstLine="0"/>
      <w:jc w:val="left"/>
    </w:pPr>
    <w:rPr>
      <w:rFonts w:ascii="Verdana" w:eastAsia="Times New Roman" w:hAnsi="Verdana" w:cs="Times New Roman"/>
      <w:sz w:val="20"/>
      <w:szCs w:val="20"/>
      <w:lang w:val="en-US"/>
    </w:rPr>
  </w:style>
  <w:style w:type="paragraph" w:customStyle="1" w:styleId="CharChar">
    <w:name w:val="Char Знак Знак Char Знак Знак Знак Знак Знак Знак Знак Знак Знак Знак Знак Знак Знак Знак Знак Знак"/>
    <w:basedOn w:val="a3"/>
    <w:rsid w:val="0047261E"/>
    <w:pPr>
      <w:ind w:firstLine="0"/>
      <w:jc w:val="left"/>
    </w:pPr>
    <w:rPr>
      <w:rFonts w:ascii="Verdana" w:eastAsia="Times New Roman" w:hAnsi="Verdana" w:cs="Verdana"/>
      <w:sz w:val="20"/>
      <w:szCs w:val="20"/>
      <w:lang w:val="en-US"/>
    </w:rPr>
  </w:style>
  <w:style w:type="paragraph" w:customStyle="1" w:styleId="artx">
    <w:name w:val="artx"/>
    <w:basedOn w:val="a3"/>
    <w:rsid w:val="0047261E"/>
    <w:pPr>
      <w:spacing w:before="100" w:beforeAutospacing="1" w:after="100" w:afterAutospacing="1"/>
      <w:ind w:firstLine="0"/>
      <w:jc w:val="left"/>
    </w:pPr>
    <w:rPr>
      <w:rFonts w:eastAsia="Times New Roman" w:cs="Times New Roman"/>
      <w:szCs w:val="24"/>
      <w:lang w:eastAsia="ru-RU"/>
    </w:rPr>
  </w:style>
  <w:style w:type="paragraph" w:customStyle="1" w:styleId="2f8">
    <w:name w:val="Знак2"/>
    <w:basedOn w:val="a3"/>
    <w:rsid w:val="0047261E"/>
    <w:pPr>
      <w:spacing w:after="160" w:line="240" w:lineRule="exact"/>
      <w:ind w:firstLine="0"/>
      <w:jc w:val="left"/>
    </w:pPr>
    <w:rPr>
      <w:rFonts w:ascii="Verdana" w:eastAsia="Times New Roman" w:hAnsi="Verdana" w:cs="Times New Roman"/>
      <w:sz w:val="20"/>
      <w:szCs w:val="20"/>
      <w:lang w:val="en-US"/>
    </w:rPr>
  </w:style>
  <w:style w:type="paragraph" w:customStyle="1" w:styleId="afffffe">
    <w:name w:val="Знак Знак Знак"/>
    <w:basedOn w:val="a3"/>
    <w:rsid w:val="0047261E"/>
    <w:pPr>
      <w:spacing w:after="160" w:line="240" w:lineRule="exact"/>
      <w:ind w:firstLine="0"/>
      <w:jc w:val="left"/>
    </w:pPr>
    <w:rPr>
      <w:rFonts w:ascii="Verdana" w:eastAsia="Times New Roman" w:hAnsi="Verdana" w:cs="Times New Roman"/>
      <w:sz w:val="20"/>
      <w:szCs w:val="20"/>
      <w:lang w:val="en-US"/>
    </w:rPr>
  </w:style>
  <w:style w:type="paragraph" w:customStyle="1" w:styleId="13-1">
    <w:name w:val="Стиль13-1"/>
    <w:basedOn w:val="a3"/>
    <w:rsid w:val="0047261E"/>
    <w:pPr>
      <w:ind w:firstLine="709"/>
    </w:pPr>
    <w:rPr>
      <w:rFonts w:eastAsia="Times New Roman" w:cs="Times New Roman"/>
      <w:sz w:val="26"/>
      <w:szCs w:val="24"/>
      <w:lang w:eastAsia="ru-RU"/>
    </w:rPr>
  </w:style>
  <w:style w:type="paragraph" w:customStyle="1" w:styleId="1fe">
    <w:name w:val="Знак1"/>
    <w:basedOn w:val="a3"/>
    <w:rsid w:val="0047261E"/>
    <w:pPr>
      <w:spacing w:after="160" w:line="240" w:lineRule="exact"/>
      <w:ind w:firstLine="0"/>
      <w:jc w:val="left"/>
    </w:pPr>
    <w:rPr>
      <w:rFonts w:ascii="Verdana" w:eastAsia="Times New Roman" w:hAnsi="Verdana" w:cs="Times New Roman"/>
      <w:sz w:val="20"/>
      <w:szCs w:val="20"/>
      <w:lang w:val="en-US"/>
    </w:rPr>
  </w:style>
  <w:style w:type="paragraph" w:customStyle="1" w:styleId="affffff">
    <w:name w:val="текст основной"/>
    <w:rsid w:val="0047261E"/>
    <w:pPr>
      <w:tabs>
        <w:tab w:val="right" w:pos="7200"/>
      </w:tabs>
      <w:autoSpaceDE w:val="0"/>
      <w:autoSpaceDN w:val="0"/>
      <w:adjustRightInd w:val="0"/>
      <w:spacing w:after="0" w:line="240" w:lineRule="auto"/>
      <w:ind w:firstLine="567"/>
      <w:jc w:val="both"/>
    </w:pPr>
    <w:rPr>
      <w:rFonts w:ascii="FreeSetC" w:eastAsia="Times New Roman" w:hAnsi="FreeSetC" w:cs="Times New Roman"/>
      <w:color w:val="000000"/>
      <w:lang w:eastAsia="ru-RU"/>
    </w:rPr>
  </w:style>
  <w:style w:type="paragraph" w:customStyle="1" w:styleId="defscrRUSTxtStyleText">
    <w:name w:val="defscr_RUS_TxtStyleText"/>
    <w:basedOn w:val="a3"/>
    <w:rsid w:val="0047261E"/>
    <w:pPr>
      <w:widowControl w:val="0"/>
      <w:spacing w:before="120"/>
    </w:pPr>
    <w:rPr>
      <w:rFonts w:eastAsia="Times New Roman" w:cs="Times New Roman"/>
      <w:noProof/>
      <w:color w:val="000000"/>
      <w:szCs w:val="20"/>
      <w:lang w:eastAsia="ru-RU"/>
    </w:rPr>
  </w:style>
  <w:style w:type="paragraph" w:styleId="affffff0">
    <w:name w:val="E-mail Signature"/>
    <w:basedOn w:val="a3"/>
    <w:link w:val="affffff1"/>
    <w:uiPriority w:val="99"/>
    <w:rsid w:val="0047261E"/>
    <w:pPr>
      <w:ind w:firstLine="0"/>
      <w:jc w:val="left"/>
    </w:pPr>
    <w:rPr>
      <w:rFonts w:eastAsia="Times New Roman" w:cs="Times New Roman"/>
      <w:szCs w:val="24"/>
      <w:lang w:eastAsia="ru-RU"/>
    </w:rPr>
  </w:style>
  <w:style w:type="character" w:customStyle="1" w:styleId="affffff1">
    <w:name w:val="Электронная подпись Знак"/>
    <w:basedOn w:val="a4"/>
    <w:link w:val="affffff0"/>
    <w:uiPriority w:val="99"/>
    <w:rsid w:val="0047261E"/>
    <w:rPr>
      <w:rFonts w:ascii="Times New Roman" w:eastAsia="Times New Roman" w:hAnsi="Times New Roman" w:cs="Times New Roman"/>
      <w:sz w:val="24"/>
      <w:szCs w:val="24"/>
      <w:lang w:eastAsia="ru-RU"/>
    </w:rPr>
  </w:style>
  <w:style w:type="paragraph" w:customStyle="1" w:styleId="affffff2">
    <w:name w:val="Чиновничий"/>
    <w:basedOn w:val="a3"/>
    <w:autoRedefine/>
    <w:rsid w:val="0047261E"/>
    <w:pPr>
      <w:widowControl w:val="0"/>
      <w:snapToGrid w:val="0"/>
      <w:spacing w:line="360" w:lineRule="auto"/>
      <w:ind w:firstLine="709"/>
      <w:jc w:val="center"/>
    </w:pPr>
    <w:rPr>
      <w:rFonts w:eastAsia="Times New Roman" w:cs="Times New Roman"/>
      <w:b/>
      <w:sz w:val="28"/>
      <w:szCs w:val="28"/>
      <w:lang w:val="en-US" w:eastAsia="ru-RU"/>
    </w:rPr>
  </w:style>
  <w:style w:type="character" w:customStyle="1" w:styleId="FontStyle25">
    <w:name w:val="Font Style25"/>
    <w:basedOn w:val="a4"/>
    <w:rsid w:val="0047261E"/>
    <w:rPr>
      <w:rFonts w:ascii="Times New Roman" w:hAnsi="Times New Roman" w:cs="Times New Roman"/>
      <w:sz w:val="26"/>
      <w:szCs w:val="26"/>
    </w:rPr>
  </w:style>
  <w:style w:type="paragraph" w:customStyle="1" w:styleId="Style10">
    <w:name w:val="Style10"/>
    <w:basedOn w:val="a3"/>
    <w:rsid w:val="0047261E"/>
    <w:pPr>
      <w:widowControl w:val="0"/>
      <w:autoSpaceDE w:val="0"/>
      <w:autoSpaceDN w:val="0"/>
      <w:adjustRightInd w:val="0"/>
      <w:spacing w:line="490" w:lineRule="exact"/>
      <w:ind w:firstLine="706"/>
    </w:pPr>
    <w:rPr>
      <w:rFonts w:eastAsia="Times New Roman" w:cs="Times New Roman"/>
      <w:szCs w:val="24"/>
      <w:lang w:eastAsia="ru-RU"/>
    </w:rPr>
  </w:style>
  <w:style w:type="paragraph" w:customStyle="1" w:styleId="1TimesNewRoman14">
    <w:name w:val="Стиль Заголовок 1 + Times New Roman 14 пт"/>
    <w:basedOn w:val="10"/>
    <w:rsid w:val="0047261E"/>
    <w:pPr>
      <w:keepLines w:val="0"/>
      <w:spacing w:after="60"/>
      <w:ind w:firstLine="0"/>
      <w:jc w:val="left"/>
    </w:pPr>
    <w:rPr>
      <w:rFonts w:eastAsia="Times New Roman" w:cs="Arial"/>
      <w:b w:val="0"/>
      <w:bCs/>
      <w:kern w:val="32"/>
      <w:lang w:eastAsia="ru-RU"/>
    </w:rPr>
  </w:style>
  <w:style w:type="character" w:customStyle="1" w:styleId="1TimesNewRoman140">
    <w:name w:val="Стиль Заголовок 1 + Times New Roman 14 пт Знак"/>
    <w:basedOn w:val="14"/>
    <w:rsid w:val="0047261E"/>
    <w:rPr>
      <w:rFonts w:ascii="Arial" w:eastAsia="Times New Roman" w:hAnsi="Arial" w:cs="Arial"/>
      <w:b w:val="0"/>
      <w:bCs/>
      <w:color w:val="C00000"/>
      <w:kern w:val="32"/>
      <w:sz w:val="28"/>
      <w:szCs w:val="32"/>
      <w:lang w:val="ru-RU" w:eastAsia="ru-RU" w:bidi="ar-SA"/>
    </w:rPr>
  </w:style>
  <w:style w:type="paragraph" w:customStyle="1" w:styleId="01">
    <w:name w:val="Стиль 01"/>
    <w:basedOn w:val="10"/>
    <w:rsid w:val="0047261E"/>
    <w:pPr>
      <w:keepLines w:val="0"/>
      <w:spacing w:after="60"/>
      <w:ind w:left="900" w:firstLine="0"/>
      <w:jc w:val="left"/>
    </w:pPr>
    <w:rPr>
      <w:rFonts w:eastAsia="Times New Roman" w:cs="Arial"/>
      <w:b w:val="0"/>
      <w:bCs/>
      <w:kern w:val="32"/>
      <w:lang w:eastAsia="ru-RU"/>
    </w:rPr>
  </w:style>
  <w:style w:type="paragraph" w:customStyle="1" w:styleId="02">
    <w:name w:val="Стиль 02"/>
    <w:basedOn w:val="2"/>
    <w:rsid w:val="0047261E"/>
    <w:pPr>
      <w:keepLines w:val="0"/>
      <w:spacing w:before="120" w:after="120"/>
      <w:jc w:val="left"/>
    </w:pPr>
    <w:rPr>
      <w:rFonts w:eastAsia="Times New Roman"/>
      <w:bCs/>
      <w:i/>
      <w:iCs/>
      <w:sz w:val="28"/>
      <w:szCs w:val="28"/>
      <w:lang w:eastAsia="ru-RU"/>
    </w:rPr>
  </w:style>
  <w:style w:type="paragraph" w:customStyle="1" w:styleId="021">
    <w:name w:val="Стиль021"/>
    <w:basedOn w:val="02"/>
    <w:rsid w:val="0047261E"/>
    <w:pPr>
      <w:numPr>
        <w:ilvl w:val="1"/>
        <w:numId w:val="59"/>
      </w:numPr>
      <w:tabs>
        <w:tab w:val="clear" w:pos="2592"/>
      </w:tabs>
      <w:ind w:left="0" w:firstLine="0"/>
    </w:pPr>
  </w:style>
  <w:style w:type="paragraph" w:customStyle="1" w:styleId="Style1">
    <w:name w:val="Style1"/>
    <w:basedOn w:val="a3"/>
    <w:rsid w:val="0047261E"/>
    <w:pPr>
      <w:widowControl w:val="0"/>
      <w:autoSpaceDE w:val="0"/>
      <w:autoSpaceDN w:val="0"/>
      <w:adjustRightInd w:val="0"/>
      <w:spacing w:line="274" w:lineRule="exact"/>
      <w:ind w:firstLine="394"/>
    </w:pPr>
    <w:rPr>
      <w:rFonts w:eastAsia="Times New Roman" w:cs="Times New Roman"/>
      <w:szCs w:val="24"/>
      <w:lang w:eastAsia="ru-RU"/>
    </w:rPr>
  </w:style>
  <w:style w:type="character" w:customStyle="1" w:styleId="FontStyle11">
    <w:name w:val="Font Style11"/>
    <w:basedOn w:val="a4"/>
    <w:rsid w:val="0047261E"/>
    <w:rPr>
      <w:rFonts w:ascii="Times New Roman" w:hAnsi="Times New Roman" w:cs="Times New Roman"/>
      <w:sz w:val="22"/>
      <w:szCs w:val="22"/>
    </w:rPr>
  </w:style>
  <w:style w:type="paragraph" w:customStyle="1" w:styleId="affffff3">
    <w:name w:val="Обычный + Красный"/>
    <w:aliases w:val="По ширине"/>
    <w:basedOn w:val="a3"/>
    <w:rsid w:val="0047261E"/>
    <w:pPr>
      <w:tabs>
        <w:tab w:val="left" w:pos="2160"/>
      </w:tabs>
      <w:ind w:firstLine="0"/>
    </w:pPr>
    <w:rPr>
      <w:rFonts w:eastAsia="Times New Roman" w:cs="Times New Roman"/>
      <w:color w:val="FF0000"/>
      <w:szCs w:val="24"/>
      <w:lang w:eastAsia="ru-RU"/>
    </w:rPr>
  </w:style>
  <w:style w:type="paragraph" w:customStyle="1" w:styleId="Style3">
    <w:name w:val="Style3"/>
    <w:basedOn w:val="a3"/>
    <w:rsid w:val="0047261E"/>
    <w:pPr>
      <w:widowControl w:val="0"/>
      <w:autoSpaceDE w:val="0"/>
      <w:autoSpaceDN w:val="0"/>
      <w:adjustRightInd w:val="0"/>
      <w:spacing w:line="295" w:lineRule="exact"/>
      <w:ind w:firstLine="698"/>
    </w:pPr>
    <w:rPr>
      <w:rFonts w:eastAsia="Times New Roman" w:cs="Times New Roman"/>
      <w:szCs w:val="24"/>
      <w:lang w:eastAsia="ru-RU"/>
    </w:rPr>
  </w:style>
  <w:style w:type="character" w:customStyle="1" w:styleId="FontStyle12">
    <w:name w:val="Font Style12"/>
    <w:basedOn w:val="a4"/>
    <w:rsid w:val="0047261E"/>
    <w:rPr>
      <w:rFonts w:ascii="Times New Roman" w:hAnsi="Times New Roman" w:cs="Times New Roman"/>
      <w:b/>
      <w:bCs/>
      <w:sz w:val="22"/>
      <w:szCs w:val="22"/>
    </w:rPr>
  </w:style>
  <w:style w:type="paragraph" w:customStyle="1" w:styleId="1ff">
    <w:name w:val="Знак Знак Знак Знак Знак Знак Знак Знак Знак1 Знак"/>
    <w:basedOn w:val="a3"/>
    <w:rsid w:val="0047261E"/>
    <w:pPr>
      <w:spacing w:before="100" w:beforeAutospacing="1" w:after="100" w:afterAutospacing="1"/>
      <w:ind w:firstLine="0"/>
      <w:jc w:val="left"/>
    </w:pPr>
    <w:rPr>
      <w:rFonts w:ascii="Tahoma" w:eastAsia="Times New Roman" w:hAnsi="Tahoma" w:cs="Times New Roman"/>
      <w:sz w:val="20"/>
      <w:szCs w:val="20"/>
      <w:lang w:val="en-US"/>
    </w:rPr>
  </w:style>
  <w:style w:type="paragraph" w:customStyle="1" w:styleId="CharChar1CharChar1CharChar">
    <w:name w:val="Char Char Знак Знак1 Char Char1 Знак Знак Char Char"/>
    <w:basedOn w:val="a3"/>
    <w:rsid w:val="0047261E"/>
    <w:pPr>
      <w:spacing w:before="100" w:beforeAutospacing="1" w:after="100" w:afterAutospacing="1"/>
      <w:ind w:firstLine="0"/>
      <w:jc w:val="left"/>
    </w:pPr>
    <w:rPr>
      <w:rFonts w:ascii="Tahoma" w:eastAsia="Times New Roman" w:hAnsi="Tahoma" w:cs="Times New Roman"/>
      <w:sz w:val="20"/>
      <w:szCs w:val="20"/>
      <w:lang w:val="en-US"/>
    </w:rPr>
  </w:style>
  <w:style w:type="paragraph" w:customStyle="1" w:styleId="1ff0">
    <w:name w:val="Таблица 1"/>
    <w:basedOn w:val="a3"/>
    <w:rsid w:val="0047261E"/>
    <w:pPr>
      <w:spacing w:after="60" w:line="200" w:lineRule="exact"/>
      <w:ind w:firstLine="0"/>
      <w:jc w:val="left"/>
      <w:outlineLvl w:val="6"/>
    </w:pPr>
    <w:rPr>
      <w:rFonts w:ascii="Vanta Light" w:eastAsia="Times New Roman" w:hAnsi="Vanta Light" w:cs="Times New Roman"/>
      <w:kern w:val="18"/>
      <w:sz w:val="16"/>
      <w:szCs w:val="24"/>
      <w:lang w:eastAsia="ru-RU"/>
    </w:rPr>
  </w:style>
  <w:style w:type="paragraph" w:customStyle="1" w:styleId="2f9">
    <w:name w:val="Заг 2"/>
    <w:basedOn w:val="a3"/>
    <w:rsid w:val="0047261E"/>
    <w:pPr>
      <w:tabs>
        <w:tab w:val="num" w:pos="360"/>
      </w:tabs>
      <w:autoSpaceDE w:val="0"/>
      <w:autoSpaceDN w:val="0"/>
      <w:spacing w:before="280" w:after="160"/>
      <w:ind w:left="360" w:hanging="360"/>
      <w:jc w:val="left"/>
    </w:pPr>
    <w:rPr>
      <w:rFonts w:eastAsia="Times New Roman" w:cs="Times New Roman"/>
      <w:b/>
      <w:bCs/>
      <w:sz w:val="32"/>
      <w:szCs w:val="32"/>
      <w:lang w:eastAsia="ru-RU"/>
    </w:rPr>
  </w:style>
  <w:style w:type="paragraph" w:customStyle="1" w:styleId="3c">
    <w:name w:val="Заг 3"/>
    <w:basedOn w:val="a3"/>
    <w:rsid w:val="0047261E"/>
    <w:pPr>
      <w:keepNext/>
      <w:tabs>
        <w:tab w:val="num" w:pos="1080"/>
      </w:tabs>
      <w:suppressAutoHyphens/>
      <w:autoSpaceDE w:val="0"/>
      <w:autoSpaceDN w:val="0"/>
      <w:spacing w:before="160" w:after="120"/>
      <w:ind w:left="1080" w:hanging="720"/>
      <w:jc w:val="left"/>
    </w:pPr>
    <w:rPr>
      <w:rFonts w:eastAsia="Times New Roman" w:cs="Times New Roman"/>
      <w:b/>
      <w:bCs/>
      <w:sz w:val="28"/>
      <w:szCs w:val="28"/>
      <w:lang w:eastAsia="ru-RU"/>
    </w:rPr>
  </w:style>
  <w:style w:type="paragraph" w:customStyle="1" w:styleId="54">
    <w:name w:val="Заг 5"/>
    <w:basedOn w:val="a3"/>
    <w:rsid w:val="0047261E"/>
    <w:pPr>
      <w:widowControl w:val="0"/>
      <w:tabs>
        <w:tab w:val="num" w:pos="1429"/>
      </w:tabs>
      <w:autoSpaceDE w:val="0"/>
      <w:autoSpaceDN w:val="0"/>
      <w:spacing w:line="360" w:lineRule="auto"/>
      <w:ind w:left="1106" w:hanging="397"/>
    </w:pPr>
    <w:rPr>
      <w:rFonts w:eastAsia="Times New Roman" w:cs="Times New Roman"/>
      <w:i/>
      <w:iCs/>
      <w:szCs w:val="24"/>
      <w:lang w:eastAsia="ru-RU"/>
    </w:rPr>
  </w:style>
  <w:style w:type="paragraph" w:styleId="2fa">
    <w:name w:val="List Bullet 2"/>
    <w:basedOn w:val="a3"/>
    <w:autoRedefine/>
    <w:rsid w:val="0047261E"/>
    <w:pPr>
      <w:tabs>
        <w:tab w:val="num" w:pos="643"/>
      </w:tabs>
      <w:ind w:left="643" w:hanging="360"/>
      <w:jc w:val="left"/>
    </w:pPr>
    <w:rPr>
      <w:rFonts w:eastAsia="Times New Roman" w:cs="Times New Roman"/>
      <w:color w:val="000000"/>
      <w:sz w:val="20"/>
      <w:szCs w:val="20"/>
      <w:lang w:eastAsia="ru-RU"/>
    </w:rPr>
  </w:style>
  <w:style w:type="paragraph" w:styleId="3d">
    <w:name w:val="List Bullet 3"/>
    <w:basedOn w:val="a3"/>
    <w:autoRedefine/>
    <w:rsid w:val="0047261E"/>
    <w:pPr>
      <w:tabs>
        <w:tab w:val="num" w:pos="926"/>
      </w:tabs>
      <w:ind w:left="926" w:hanging="360"/>
      <w:jc w:val="left"/>
    </w:pPr>
    <w:rPr>
      <w:rFonts w:eastAsia="Times New Roman" w:cs="Times New Roman"/>
      <w:color w:val="000000"/>
      <w:sz w:val="20"/>
      <w:szCs w:val="20"/>
      <w:lang w:eastAsia="ru-RU"/>
    </w:rPr>
  </w:style>
  <w:style w:type="character" w:customStyle="1" w:styleId="affffff4">
    <w:name w:val="номер страницы"/>
    <w:basedOn w:val="a4"/>
    <w:rsid w:val="0047261E"/>
  </w:style>
  <w:style w:type="paragraph" w:customStyle="1" w:styleId="113">
    <w:name w:val="Пункт 1.1"/>
    <w:basedOn w:val="a3"/>
    <w:rsid w:val="0047261E"/>
    <w:pPr>
      <w:autoSpaceDE w:val="0"/>
      <w:autoSpaceDN w:val="0"/>
      <w:spacing w:before="120"/>
      <w:ind w:firstLine="709"/>
    </w:pPr>
    <w:rPr>
      <w:rFonts w:eastAsia="Times New Roman" w:cs="Times New Roman"/>
      <w:szCs w:val="24"/>
      <w:lang w:eastAsia="ru-RU"/>
    </w:rPr>
  </w:style>
  <w:style w:type="paragraph" w:styleId="45">
    <w:name w:val="List Continue 4"/>
    <w:basedOn w:val="a3"/>
    <w:rsid w:val="0047261E"/>
    <w:pPr>
      <w:spacing w:after="120"/>
      <w:ind w:left="1132" w:firstLine="0"/>
      <w:jc w:val="left"/>
    </w:pPr>
    <w:rPr>
      <w:rFonts w:eastAsia="Times New Roman" w:cs="Times New Roman"/>
      <w:color w:val="000000"/>
      <w:sz w:val="20"/>
      <w:szCs w:val="20"/>
      <w:lang w:eastAsia="ru-RU"/>
    </w:rPr>
  </w:style>
  <w:style w:type="paragraph" w:customStyle="1" w:styleId="-">
    <w:name w:val="Основной текст - современный"/>
    <w:basedOn w:val="a3"/>
    <w:rsid w:val="0047261E"/>
    <w:pPr>
      <w:suppressAutoHyphens/>
      <w:spacing w:after="200" w:line="260" w:lineRule="exact"/>
      <w:ind w:firstLine="0"/>
      <w:jc w:val="left"/>
    </w:pPr>
    <w:rPr>
      <w:rFonts w:eastAsia="Times New Roman" w:cs="Times New Roman"/>
      <w:szCs w:val="24"/>
      <w:lang w:eastAsia="ru-RU"/>
    </w:rPr>
  </w:style>
  <w:style w:type="paragraph" w:customStyle="1" w:styleId="affffff5">
    <w:name w:val="о"/>
    <w:basedOn w:val="a3"/>
    <w:link w:val="affffff6"/>
    <w:rsid w:val="0047261E"/>
    <w:pPr>
      <w:spacing w:line="360" w:lineRule="auto"/>
      <w:ind w:firstLine="709"/>
    </w:pPr>
    <w:rPr>
      <w:rFonts w:eastAsia="Times New Roman" w:cs="Times New Roman"/>
      <w:szCs w:val="24"/>
      <w:lang w:eastAsia="ru-RU"/>
    </w:rPr>
  </w:style>
  <w:style w:type="character" w:customStyle="1" w:styleId="affffff6">
    <w:name w:val="о Знак"/>
    <w:basedOn w:val="a4"/>
    <w:link w:val="affffff5"/>
    <w:rsid w:val="0047261E"/>
    <w:rPr>
      <w:rFonts w:ascii="Times New Roman" w:eastAsia="Times New Roman" w:hAnsi="Times New Roman" w:cs="Times New Roman"/>
      <w:sz w:val="24"/>
      <w:szCs w:val="24"/>
      <w:lang w:eastAsia="ru-RU"/>
    </w:rPr>
  </w:style>
  <w:style w:type="paragraph" w:customStyle="1" w:styleId="1ff1">
    <w:name w:val="Знак Знак Знак1 Знак"/>
    <w:basedOn w:val="a3"/>
    <w:autoRedefine/>
    <w:rsid w:val="0047261E"/>
    <w:pPr>
      <w:spacing w:after="160" w:line="240" w:lineRule="exact"/>
      <w:ind w:firstLine="0"/>
      <w:jc w:val="left"/>
    </w:pPr>
    <w:rPr>
      <w:rFonts w:eastAsia="SimSun" w:cs="Times New Roman"/>
      <w:b/>
      <w:szCs w:val="24"/>
    </w:rPr>
  </w:style>
  <w:style w:type="paragraph" w:customStyle="1" w:styleId="affffff7">
    <w:name w:val="БДО Столбец по ширине"/>
    <w:basedOn w:val="a3"/>
    <w:link w:val="affffff8"/>
    <w:rsid w:val="0047261E"/>
    <w:pPr>
      <w:ind w:firstLine="0"/>
    </w:pPr>
    <w:rPr>
      <w:rFonts w:ascii="Garamond" w:eastAsia="Times New Roman" w:hAnsi="Garamond" w:cs="Times New Roman"/>
      <w:bCs/>
      <w:sz w:val="20"/>
      <w:szCs w:val="20"/>
      <w:lang w:eastAsia="ru-RU"/>
    </w:rPr>
  </w:style>
  <w:style w:type="character" w:customStyle="1" w:styleId="affffff8">
    <w:name w:val="БДО Столбец по ширине Знак"/>
    <w:basedOn w:val="a4"/>
    <w:link w:val="affffff7"/>
    <w:rsid w:val="0047261E"/>
    <w:rPr>
      <w:rFonts w:ascii="Garamond" w:eastAsia="Times New Roman" w:hAnsi="Garamond" w:cs="Times New Roman"/>
      <w:bCs/>
      <w:sz w:val="20"/>
      <w:szCs w:val="20"/>
      <w:lang w:eastAsia="ru-RU"/>
    </w:rPr>
  </w:style>
  <w:style w:type="paragraph" w:customStyle="1" w:styleId="affffff9">
    <w:name w:val="ТП Обычный"/>
    <w:basedOn w:val="a3"/>
    <w:rsid w:val="0047261E"/>
    <w:pPr>
      <w:spacing w:before="60" w:after="60"/>
      <w:ind w:firstLine="709"/>
    </w:pPr>
    <w:rPr>
      <w:rFonts w:ascii="Arial" w:eastAsia="Times New Roman" w:hAnsi="Arial" w:cs="Times New Roman"/>
      <w:sz w:val="20"/>
      <w:szCs w:val="24"/>
      <w:lang w:val="en-US" w:eastAsia="ru-RU"/>
    </w:rPr>
  </w:style>
  <w:style w:type="character" w:customStyle="1" w:styleId="mtext1">
    <w:name w:val="m_text1"/>
    <w:basedOn w:val="a4"/>
    <w:rsid w:val="0047261E"/>
    <w:rPr>
      <w:rFonts w:ascii="Tahoma" w:hAnsi="Tahoma" w:cs="Tahoma" w:hint="default"/>
      <w:color w:val="494949"/>
      <w:sz w:val="20"/>
      <w:szCs w:val="20"/>
    </w:rPr>
  </w:style>
  <w:style w:type="paragraph" w:customStyle="1" w:styleId="affffffa">
    <w:name w:val="Письмо"/>
    <w:basedOn w:val="affffffb"/>
    <w:rsid w:val="0047261E"/>
  </w:style>
  <w:style w:type="paragraph" w:styleId="affffffb">
    <w:name w:val="Message Header"/>
    <w:basedOn w:val="a3"/>
    <w:link w:val="affffffc"/>
    <w:rsid w:val="0047261E"/>
    <w:pPr>
      <w:pBdr>
        <w:top w:val="single" w:sz="6" w:space="1" w:color="auto"/>
        <w:left w:val="single" w:sz="6" w:space="1" w:color="auto"/>
        <w:bottom w:val="single" w:sz="6" w:space="1" w:color="auto"/>
        <w:right w:val="single" w:sz="6" w:space="1" w:color="auto"/>
      </w:pBdr>
      <w:shd w:val="pct20" w:color="auto" w:fill="auto"/>
      <w:ind w:left="1134" w:hanging="1134"/>
      <w:jc w:val="left"/>
    </w:pPr>
    <w:rPr>
      <w:rFonts w:ascii="Arial" w:eastAsia="Times New Roman" w:hAnsi="Arial" w:cs="Arial"/>
      <w:szCs w:val="24"/>
      <w:lang w:eastAsia="ru-RU"/>
    </w:rPr>
  </w:style>
  <w:style w:type="character" w:customStyle="1" w:styleId="affffffc">
    <w:name w:val="Шапка Знак"/>
    <w:basedOn w:val="a4"/>
    <w:link w:val="affffffb"/>
    <w:rsid w:val="0047261E"/>
    <w:rPr>
      <w:rFonts w:ascii="Arial" w:eastAsia="Times New Roman" w:hAnsi="Arial" w:cs="Arial"/>
      <w:sz w:val="24"/>
      <w:szCs w:val="24"/>
      <w:shd w:val="pct20" w:color="auto" w:fill="auto"/>
      <w:lang w:eastAsia="ru-RU"/>
    </w:rPr>
  </w:style>
  <w:style w:type="character" w:customStyle="1" w:styleId="1ff2">
    <w:name w:val="Обычный1 Знак"/>
    <w:basedOn w:val="a4"/>
    <w:rsid w:val="0047261E"/>
    <w:rPr>
      <w:sz w:val="28"/>
      <w:lang w:val="ru-RU" w:eastAsia="ru-RU" w:bidi="ar-SA"/>
    </w:rPr>
  </w:style>
  <w:style w:type="paragraph" w:customStyle="1" w:styleId="55">
    <w:name w:val="заголовок 5"/>
    <w:basedOn w:val="a3"/>
    <w:next w:val="a3"/>
    <w:rsid w:val="0047261E"/>
    <w:pPr>
      <w:keepNext/>
      <w:widowControl w:val="0"/>
      <w:spacing w:before="120"/>
      <w:ind w:firstLine="0"/>
      <w:jc w:val="center"/>
    </w:pPr>
    <w:rPr>
      <w:rFonts w:eastAsia="Times New Roman" w:cs="Times New Roman"/>
      <w:b/>
      <w:szCs w:val="20"/>
      <w:lang w:eastAsia="ru-RU"/>
    </w:rPr>
  </w:style>
  <w:style w:type="paragraph" w:customStyle="1" w:styleId="1TimesNewRoman">
    <w:name w:val="Стиль Заголовок 1 + Times New Roman не полужирный"/>
    <w:basedOn w:val="10"/>
    <w:rsid w:val="0047261E"/>
    <w:pPr>
      <w:keepLines w:val="0"/>
      <w:spacing w:after="60"/>
      <w:ind w:firstLine="0"/>
      <w:jc w:val="left"/>
    </w:pPr>
    <w:rPr>
      <w:rFonts w:eastAsia="Times New Roman" w:cs="Arial"/>
      <w:b w:val="0"/>
      <w:kern w:val="32"/>
      <w:lang w:eastAsia="ru-RU"/>
    </w:rPr>
  </w:style>
  <w:style w:type="paragraph" w:customStyle="1" w:styleId="affffffd">
    <w:name w:val="Основной текст с отс"/>
    <w:basedOn w:val="a3"/>
    <w:rsid w:val="0047261E"/>
    <w:pPr>
      <w:widowControl w:val="0"/>
      <w:ind w:firstLine="709"/>
      <w:jc w:val="left"/>
    </w:pPr>
    <w:rPr>
      <w:rFonts w:eastAsia="Times New Roman" w:cs="Times New Roman"/>
      <w:szCs w:val="24"/>
      <w:lang w:eastAsia="ru-RU"/>
    </w:rPr>
  </w:style>
  <w:style w:type="character" w:customStyle="1" w:styleId="Normal">
    <w:name w:val="Normal Знак"/>
    <w:link w:val="36"/>
    <w:rsid w:val="0047261E"/>
    <w:rPr>
      <w:rFonts w:ascii="Times New Roman" w:eastAsia="Calibri" w:hAnsi="Times New Roman" w:cs="Times New Roman"/>
      <w:kern w:val="3"/>
      <w:sz w:val="20"/>
      <w:szCs w:val="20"/>
      <w:lang w:eastAsia="zh-CN"/>
    </w:rPr>
  </w:style>
  <w:style w:type="character" w:customStyle="1" w:styleId="2fb">
    <w:name w:val="Текст сноски Знак2"/>
    <w:aliases w:val="Текст сноски Знак Знак Знак1,Текст сноски Знак Знак1 Знак Знак,Текст сноски Знак1 Знак1,Текст сноски Знак Знак Знак Знак Знак Знак Знак Знак"/>
    <w:rsid w:val="0047261E"/>
    <w:rPr>
      <w:rFonts w:ascii="Tahoma" w:eastAsia="Times New Roman" w:hAnsi="Tahoma" w:cs="Tahoma"/>
      <w:sz w:val="16"/>
      <w:szCs w:val="20"/>
      <w:lang w:eastAsia="ru-RU"/>
    </w:rPr>
  </w:style>
  <w:style w:type="character" w:customStyle="1" w:styleId="avg-1">
    <w:name w:val="avg-Обычный Знак"/>
    <w:basedOn w:val="a4"/>
    <w:link w:val="avg-0"/>
    <w:locked/>
    <w:rsid w:val="0047261E"/>
    <w:rPr>
      <w:rFonts w:ascii="Times New Roman" w:eastAsia="Times New Roman" w:hAnsi="Times New Roman" w:cs="Times New Roman"/>
      <w:sz w:val="24"/>
      <w:szCs w:val="24"/>
      <w:lang w:eastAsia="ru-RU"/>
    </w:rPr>
  </w:style>
  <w:style w:type="paragraph" w:customStyle="1" w:styleId="1ff3">
    <w:name w:val="Цитата1"/>
    <w:basedOn w:val="a3"/>
    <w:uiPriority w:val="99"/>
    <w:rsid w:val="0047261E"/>
    <w:pPr>
      <w:tabs>
        <w:tab w:val="left" w:pos="5245"/>
      </w:tabs>
      <w:suppressAutoHyphens/>
      <w:ind w:left="1418" w:right="226" w:firstLine="0"/>
      <w:jc w:val="left"/>
    </w:pPr>
    <w:rPr>
      <w:rFonts w:eastAsia="Calibri" w:cs="Times New Roman"/>
      <w:szCs w:val="20"/>
      <w:lang w:eastAsia="ar-SA"/>
    </w:rPr>
  </w:style>
  <w:style w:type="paragraph" w:customStyle="1" w:styleId="affffffe">
    <w:name w:val="Подраздел"/>
    <w:basedOn w:val="2"/>
    <w:link w:val="afffffff"/>
    <w:autoRedefine/>
    <w:uiPriority w:val="99"/>
    <w:rsid w:val="0047261E"/>
    <w:pPr>
      <w:keepLines w:val="0"/>
      <w:spacing w:before="0" w:line="360" w:lineRule="auto"/>
      <w:outlineLvl w:val="9"/>
    </w:pPr>
    <w:rPr>
      <w:rFonts w:eastAsia="Times New Roman" w:cs="Arial"/>
      <w:b w:val="0"/>
      <w:bCs/>
      <w:iCs/>
      <w:szCs w:val="24"/>
      <w:lang w:eastAsia="ru-RU"/>
    </w:rPr>
  </w:style>
  <w:style w:type="character" w:customStyle="1" w:styleId="afffffff">
    <w:name w:val="Подраздел Знак"/>
    <w:link w:val="affffffe"/>
    <w:uiPriority w:val="99"/>
    <w:locked/>
    <w:rsid w:val="0047261E"/>
    <w:rPr>
      <w:rFonts w:ascii="Times New Roman" w:eastAsia="Times New Roman" w:hAnsi="Times New Roman" w:cs="Arial"/>
      <w:bCs/>
      <w:iCs/>
      <w:sz w:val="24"/>
      <w:szCs w:val="24"/>
      <w:lang w:eastAsia="ru-RU"/>
    </w:rPr>
  </w:style>
  <w:style w:type="paragraph" w:customStyle="1" w:styleId="afffffff0">
    <w:name w:val="Таблица в ФСО"/>
    <w:basedOn w:val="a3"/>
    <w:link w:val="afffffff1"/>
    <w:autoRedefine/>
    <w:qFormat/>
    <w:rsid w:val="00763AD2"/>
    <w:pPr>
      <w:ind w:left="710" w:hanging="710"/>
      <w:jc w:val="center"/>
    </w:pPr>
    <w:rPr>
      <w:rFonts w:eastAsia="SimSun, 宋体" w:cs="Times New Roman"/>
      <w:i/>
      <w:szCs w:val="24"/>
      <w:lang w:eastAsia="ru-RU"/>
    </w:rPr>
  </w:style>
  <w:style w:type="character" w:customStyle="1" w:styleId="afffffff1">
    <w:name w:val="Таблица в ФСО Знак"/>
    <w:basedOn w:val="a4"/>
    <w:link w:val="afffffff0"/>
    <w:rsid w:val="00763AD2"/>
    <w:rPr>
      <w:rFonts w:ascii="Times New Roman" w:eastAsia="SimSun, 宋体" w:hAnsi="Times New Roman" w:cs="Times New Roman"/>
      <w:i/>
      <w:sz w:val="24"/>
      <w:szCs w:val="24"/>
      <w:lang w:eastAsia="ru-RU"/>
    </w:rPr>
  </w:style>
  <w:style w:type="paragraph" w:customStyle="1" w:styleId="afffffff2">
    <w:name w:val="Левая часть"/>
    <w:basedOn w:val="2"/>
    <w:rsid w:val="0047261E"/>
    <w:pPr>
      <w:keepNext w:val="0"/>
      <w:keepLines w:val="0"/>
      <w:spacing w:before="120" w:line="240" w:lineRule="exact"/>
      <w:jc w:val="left"/>
    </w:pPr>
    <w:rPr>
      <w:rFonts w:eastAsia="Times New Roman"/>
      <w:b w:val="0"/>
      <w:lang w:eastAsia="ru-RU"/>
    </w:rPr>
  </w:style>
  <w:style w:type="paragraph" w:customStyle="1" w:styleId="46">
    <w:name w:val="Обычный4"/>
    <w:rsid w:val="0047261E"/>
    <w:pPr>
      <w:widowControl w:val="0"/>
      <w:spacing w:after="0" w:line="240" w:lineRule="auto"/>
    </w:pPr>
    <w:rPr>
      <w:rFonts w:ascii="Times New Roman" w:eastAsia="Times New Roman" w:hAnsi="Times New Roman" w:cs="Times New Roman"/>
      <w:sz w:val="20"/>
      <w:szCs w:val="20"/>
      <w:lang w:eastAsia="ru-RU"/>
    </w:rPr>
  </w:style>
  <w:style w:type="character" w:customStyle="1" w:styleId="23">
    <w:name w:val="Обычный (веб) Знак2"/>
    <w:aliases w:val="Обычный (Web)1 Знак,Обычный (Web)11 Знак,Обычный (веб) Знак Знак Знак,Обычный (Web) Знак1,Обычный (веб)211 Знак,Обычный (веб)11 Знак,Обычный (Web) Знак Знак,Обычный (веб)4 Знак,Обычный (веб)21 Знак,Обычный (веб)3 Знак"/>
    <w:basedOn w:val="a4"/>
    <w:link w:val="afff"/>
    <w:uiPriority w:val="99"/>
    <w:locked/>
    <w:rsid w:val="0047261E"/>
    <w:rPr>
      <w:rFonts w:ascii="Times New Roman" w:eastAsia="Times New Roman" w:hAnsi="Times New Roman" w:cs="Times New Roman"/>
      <w:sz w:val="24"/>
      <w:szCs w:val="24"/>
      <w:lang w:eastAsia="ru-RU"/>
    </w:rPr>
  </w:style>
  <w:style w:type="paragraph" w:customStyle="1" w:styleId="afffffff3">
    <w:name w:val="Табл"/>
    <w:basedOn w:val="a3"/>
    <w:link w:val="afffffff4"/>
    <w:qFormat/>
    <w:rsid w:val="0047261E"/>
    <w:pPr>
      <w:ind w:firstLine="0"/>
      <w:jc w:val="right"/>
    </w:pPr>
    <w:rPr>
      <w:rFonts w:ascii="Tahoma" w:eastAsia="Times New Roman" w:hAnsi="Tahoma" w:cs="Times New Roman"/>
      <w:sz w:val="14"/>
      <w:szCs w:val="18"/>
      <w:lang w:eastAsia="ru-RU"/>
    </w:rPr>
  </w:style>
  <w:style w:type="character" w:customStyle="1" w:styleId="afffffff4">
    <w:name w:val="Табл Знак"/>
    <w:basedOn w:val="a4"/>
    <w:link w:val="afffffff3"/>
    <w:rsid w:val="0047261E"/>
    <w:rPr>
      <w:rFonts w:ascii="Tahoma" w:eastAsia="Times New Roman" w:hAnsi="Tahoma" w:cs="Times New Roman"/>
      <w:sz w:val="14"/>
      <w:szCs w:val="18"/>
      <w:lang w:eastAsia="ru-RU"/>
    </w:rPr>
  </w:style>
  <w:style w:type="paragraph" w:customStyle="1" w:styleId="1ff4">
    <w:name w:val="БДО Марк 1"/>
    <w:basedOn w:val="a3"/>
    <w:next w:val="a3"/>
    <w:link w:val="1ff5"/>
    <w:qFormat/>
    <w:rsid w:val="0047261E"/>
    <w:pPr>
      <w:tabs>
        <w:tab w:val="num" w:pos="357"/>
      </w:tabs>
      <w:spacing w:before="120" w:line="312" w:lineRule="auto"/>
      <w:ind w:left="357" w:hanging="357"/>
    </w:pPr>
    <w:rPr>
      <w:rFonts w:ascii="Garamond" w:eastAsia="Times New Roman" w:hAnsi="Garamond" w:cs="Times New Roman"/>
      <w:szCs w:val="24"/>
      <w:lang w:eastAsia="ru-RU"/>
    </w:rPr>
  </w:style>
  <w:style w:type="character" w:customStyle="1" w:styleId="1ff5">
    <w:name w:val="БДО Марк 1 Знак"/>
    <w:basedOn w:val="a4"/>
    <w:link w:val="1ff4"/>
    <w:rsid w:val="0047261E"/>
    <w:rPr>
      <w:rFonts w:ascii="Garamond" w:eastAsia="Times New Roman" w:hAnsi="Garamond" w:cs="Times New Roman"/>
      <w:sz w:val="24"/>
      <w:szCs w:val="24"/>
      <w:lang w:eastAsia="ru-RU"/>
    </w:rPr>
  </w:style>
  <w:style w:type="character" w:customStyle="1" w:styleId="22">
    <w:name w:val="Название объекта Знак2"/>
    <w:aliases w:val="Название таблицы Знак,Название объекта Знак Знак Знак,Название объекта Знак Знак Знак Знак Знак Знак Знак,Iacaaiea oaaeeou Знак,Знак21 Знак,Çíàê Знак,Название объекта Знак Знак Знак Знак Знак,Название объекта Знак3 Знак,Çíà Знак"/>
    <w:link w:val="aff3"/>
    <w:rsid w:val="0047261E"/>
    <w:rPr>
      <w:rFonts w:ascii="Times New Roman" w:eastAsia="Times New Roman" w:hAnsi="Times New Roman" w:cs="Times New Roman"/>
      <w:b/>
      <w:caps/>
      <w:sz w:val="28"/>
      <w:szCs w:val="28"/>
      <w:lang w:eastAsia="ru-RU"/>
    </w:rPr>
  </w:style>
  <w:style w:type="paragraph" w:customStyle="1" w:styleId="11111">
    <w:name w:val="1.1.1.1.1."/>
    <w:basedOn w:val="af0"/>
    <w:qFormat/>
    <w:rsid w:val="0047261E"/>
    <w:pPr>
      <w:ind w:left="2232" w:hanging="792"/>
    </w:pPr>
    <w:rPr>
      <w:rFonts w:asciiTheme="majorHAnsi" w:eastAsia="Times New Roman" w:hAnsiTheme="majorHAnsi" w:cstheme="majorHAnsi"/>
      <w:b/>
      <w:sz w:val="28"/>
      <w:szCs w:val="28"/>
      <w:lang w:eastAsia="ru-RU"/>
    </w:rPr>
  </w:style>
  <w:style w:type="paragraph" w:customStyle="1" w:styleId="1111">
    <w:name w:val="1.1.1.1."/>
    <w:basedOn w:val="4"/>
    <w:qFormat/>
    <w:rsid w:val="0047261E"/>
    <w:pPr>
      <w:spacing w:before="200" w:after="240" w:line="276" w:lineRule="auto"/>
      <w:ind w:left="1728" w:hanging="648"/>
    </w:pPr>
    <w:rPr>
      <w:rFonts w:ascii="Cambria" w:hAnsi="Cambria" w:cs="Times New Roman"/>
      <w:b/>
      <w:bCs/>
      <w:sz w:val="28"/>
      <w:szCs w:val="28"/>
      <w:lang w:eastAsia="ru-RU"/>
    </w:rPr>
  </w:style>
  <w:style w:type="paragraph" w:customStyle="1" w:styleId="1110">
    <w:name w:val="1.1.1."/>
    <w:basedOn w:val="3"/>
    <w:qFormat/>
    <w:rsid w:val="0047261E"/>
    <w:pPr>
      <w:spacing w:before="200" w:after="240" w:line="360" w:lineRule="auto"/>
    </w:pPr>
    <w:rPr>
      <w:rFonts w:ascii="Cambria" w:hAnsi="Cambria"/>
      <w:bCs/>
      <w:i/>
      <w:sz w:val="28"/>
      <w:szCs w:val="28"/>
      <w:lang w:eastAsia="ru-RU"/>
    </w:rPr>
  </w:style>
  <w:style w:type="character" w:customStyle="1" w:styleId="1ff6">
    <w:name w:val="Название объекта1 Знак"/>
    <w:aliases w:val="Caption Char2 Знак,Caption Char1 Char1 Знак,Caption Char Char Char1 Знак,Caption Char11 Знак,Caption Char Char1 Знак,Caption Char2 Char1 Знак,Caption Char Char1 Char1 Знак,Caption Char1 Char Char Char1 Знак"/>
    <w:basedOn w:val="a4"/>
    <w:rsid w:val="0047261E"/>
    <w:rPr>
      <w:bCs/>
      <w:sz w:val="24"/>
    </w:rPr>
  </w:style>
  <w:style w:type="paragraph" w:customStyle="1" w:styleId="Normal0">
    <w:name w:val="Normal Знак Знак"/>
    <w:link w:val="Normal1"/>
    <w:rsid w:val="0047261E"/>
    <w:pPr>
      <w:snapToGrid w:val="0"/>
      <w:spacing w:before="100" w:after="100" w:line="240" w:lineRule="auto"/>
    </w:pPr>
    <w:rPr>
      <w:rFonts w:ascii="Times New Roman" w:eastAsia="Times New Roman" w:hAnsi="Times New Roman" w:cs="Times New Roman"/>
      <w:sz w:val="24"/>
      <w:szCs w:val="20"/>
      <w:lang w:eastAsia="ru-RU"/>
    </w:rPr>
  </w:style>
  <w:style w:type="character" w:customStyle="1" w:styleId="Normal1">
    <w:name w:val="Normal Знак Знак Знак"/>
    <w:link w:val="Normal0"/>
    <w:rsid w:val="0047261E"/>
    <w:rPr>
      <w:rFonts w:ascii="Times New Roman" w:eastAsia="Times New Roman" w:hAnsi="Times New Roman" w:cs="Times New Roman"/>
      <w:sz w:val="24"/>
      <w:szCs w:val="20"/>
      <w:lang w:eastAsia="ru-RU"/>
    </w:rPr>
  </w:style>
  <w:style w:type="paragraph" w:styleId="afffffff5">
    <w:name w:val="Intense Quote"/>
    <w:basedOn w:val="a3"/>
    <w:next w:val="a3"/>
    <w:link w:val="afffffff6"/>
    <w:uiPriority w:val="30"/>
    <w:qFormat/>
    <w:rsid w:val="0047261E"/>
    <w:pPr>
      <w:pBdr>
        <w:bottom w:val="single" w:sz="4" w:space="4" w:color="4F81BD"/>
      </w:pBdr>
      <w:spacing w:before="200" w:after="280"/>
      <w:ind w:left="936" w:right="936" w:firstLine="0"/>
      <w:jc w:val="left"/>
    </w:pPr>
    <w:rPr>
      <w:rFonts w:eastAsia="Times New Roman" w:cs="Times New Roman"/>
      <w:b/>
      <w:bCs/>
      <w:i/>
      <w:iCs/>
      <w:color w:val="4F81BD"/>
      <w:szCs w:val="24"/>
      <w:lang w:eastAsia="ru-RU"/>
    </w:rPr>
  </w:style>
  <w:style w:type="character" w:customStyle="1" w:styleId="afffffff6">
    <w:name w:val="Выделенная цитата Знак"/>
    <w:basedOn w:val="a4"/>
    <w:link w:val="afffffff5"/>
    <w:uiPriority w:val="30"/>
    <w:rsid w:val="0047261E"/>
    <w:rPr>
      <w:rFonts w:ascii="Times New Roman" w:eastAsia="Times New Roman" w:hAnsi="Times New Roman" w:cs="Times New Roman"/>
      <w:b/>
      <w:bCs/>
      <w:i/>
      <w:iCs/>
      <w:color w:val="4F81BD"/>
      <w:sz w:val="24"/>
      <w:szCs w:val="24"/>
      <w:lang w:eastAsia="ru-RU"/>
    </w:rPr>
  </w:style>
  <w:style w:type="paragraph" w:customStyle="1" w:styleId="leftpright">
    <w:name w:val="leftpright"/>
    <w:basedOn w:val="a3"/>
    <w:rsid w:val="0047261E"/>
    <w:pPr>
      <w:spacing w:before="29" w:after="72"/>
      <w:ind w:left="115" w:right="72" w:firstLine="0"/>
      <w:jc w:val="right"/>
    </w:pPr>
    <w:rPr>
      <w:rFonts w:ascii="MS Reference Sans Serif" w:eastAsia="Times New Roman" w:hAnsi="MS Reference Sans Serif" w:cs="Times New Roman"/>
      <w:color w:val="808080"/>
      <w:sz w:val="17"/>
      <w:szCs w:val="17"/>
      <w:lang w:eastAsia="ru-RU"/>
    </w:rPr>
  </w:style>
  <w:style w:type="paragraph" w:customStyle="1" w:styleId="vspom">
    <w:name w:val="vspom"/>
    <w:basedOn w:val="a3"/>
    <w:rsid w:val="0047261E"/>
    <w:pPr>
      <w:spacing w:before="72" w:after="72" w:line="312" w:lineRule="auto"/>
      <w:ind w:right="144" w:firstLine="0"/>
      <w:jc w:val="left"/>
    </w:pPr>
    <w:rPr>
      <w:rFonts w:ascii="MS Reference Sans Serif" w:eastAsia="Times New Roman" w:hAnsi="MS Reference Sans Serif" w:cs="Times New Roman"/>
      <w:color w:val="004BA8"/>
      <w:sz w:val="17"/>
      <w:szCs w:val="17"/>
      <w:lang w:eastAsia="ru-RU"/>
    </w:rPr>
  </w:style>
  <w:style w:type="paragraph" w:customStyle="1" w:styleId="objprofile">
    <w:name w:val="obj_profile"/>
    <w:basedOn w:val="a3"/>
    <w:rsid w:val="0047261E"/>
    <w:pPr>
      <w:spacing w:before="144" w:after="72" w:line="312" w:lineRule="auto"/>
      <w:ind w:right="144" w:firstLine="0"/>
      <w:jc w:val="left"/>
    </w:pPr>
    <w:rPr>
      <w:rFonts w:ascii="MS Reference Sans Serif" w:eastAsia="Times New Roman" w:hAnsi="MS Reference Sans Serif" w:cs="Times New Roman"/>
      <w:color w:val="000000"/>
      <w:sz w:val="18"/>
      <w:szCs w:val="18"/>
      <w:lang w:eastAsia="ru-RU"/>
    </w:rPr>
  </w:style>
  <w:style w:type="paragraph" w:customStyle="1" w:styleId="graytext">
    <w:name w:val="graytext"/>
    <w:basedOn w:val="a3"/>
    <w:rsid w:val="0047261E"/>
    <w:pPr>
      <w:spacing w:before="144" w:after="72" w:line="312" w:lineRule="auto"/>
      <w:ind w:right="72" w:firstLine="0"/>
      <w:jc w:val="left"/>
    </w:pPr>
    <w:rPr>
      <w:rFonts w:ascii="MS Reference Sans Serif" w:eastAsia="Times New Roman" w:hAnsi="MS Reference Sans Serif" w:cs="Times New Roman"/>
      <w:color w:val="808080"/>
      <w:sz w:val="16"/>
      <w:szCs w:val="16"/>
      <w:lang w:eastAsia="ru-RU"/>
    </w:rPr>
  </w:style>
  <w:style w:type="character" w:customStyle="1" w:styleId="center2">
    <w:name w:val="center2"/>
    <w:basedOn w:val="a4"/>
    <w:rsid w:val="0047261E"/>
  </w:style>
  <w:style w:type="paragraph" w:customStyle="1" w:styleId="Avg-9">
    <w:name w:val="Avg - пункт"/>
    <w:basedOn w:val="avg-0"/>
    <w:rsid w:val="0047261E"/>
    <w:pPr>
      <w:keepNext/>
      <w:keepLines w:val="0"/>
      <w:suppressAutoHyphens w:val="0"/>
      <w:autoSpaceDN/>
      <w:textAlignment w:val="auto"/>
    </w:pPr>
    <w:rPr>
      <w:rFonts w:ascii="Arial" w:hAnsi="Arial" w:cstheme="minorBidi"/>
      <w:b/>
      <w:sz w:val="22"/>
      <w:szCs w:val="22"/>
      <w:lang w:eastAsia="en-US"/>
    </w:rPr>
  </w:style>
  <w:style w:type="paragraph" w:customStyle="1" w:styleId="afffffff7">
    <w:name w:val="Осн. текст Знак"/>
    <w:basedOn w:val="a3"/>
    <w:uiPriority w:val="99"/>
    <w:rsid w:val="0047261E"/>
    <w:pPr>
      <w:spacing w:line="360" w:lineRule="auto"/>
      <w:ind w:firstLine="720"/>
    </w:pPr>
    <w:rPr>
      <w:rFonts w:eastAsia="Times New Roman" w:cs="Times New Roman"/>
      <w:szCs w:val="24"/>
      <w:lang w:eastAsia="ru-RU"/>
    </w:rPr>
  </w:style>
  <w:style w:type="character" w:customStyle="1" w:styleId="red">
    <w:name w:val="red"/>
    <w:basedOn w:val="a4"/>
    <w:rsid w:val="0047261E"/>
  </w:style>
  <w:style w:type="paragraph" w:customStyle="1" w:styleId="intro">
    <w:name w:val="intro"/>
    <w:basedOn w:val="a3"/>
    <w:rsid w:val="0047261E"/>
    <w:pPr>
      <w:spacing w:before="100" w:beforeAutospacing="1" w:after="100" w:afterAutospacing="1"/>
      <w:ind w:firstLine="0"/>
      <w:jc w:val="left"/>
    </w:pPr>
    <w:rPr>
      <w:rFonts w:eastAsia="Times New Roman" w:cs="Times New Roman"/>
      <w:szCs w:val="24"/>
      <w:lang w:eastAsia="ru-RU"/>
    </w:rPr>
  </w:style>
  <w:style w:type="paragraph" w:customStyle="1" w:styleId="announce">
    <w:name w:val="announce"/>
    <w:basedOn w:val="a3"/>
    <w:rsid w:val="0047261E"/>
    <w:pPr>
      <w:spacing w:before="144" w:after="216"/>
      <w:ind w:firstLine="0"/>
      <w:jc w:val="left"/>
    </w:pPr>
    <w:rPr>
      <w:rFonts w:eastAsia="Times New Roman" w:cs="Times New Roman"/>
      <w:color w:val="848484"/>
      <w:szCs w:val="24"/>
      <w:lang w:eastAsia="ru-RU"/>
    </w:rPr>
  </w:style>
  <w:style w:type="paragraph" w:customStyle="1" w:styleId="avg-a">
    <w:name w:val="avg-Таблица текст по ширине"/>
    <w:basedOn w:val="avg-6"/>
    <w:rsid w:val="0047261E"/>
    <w:pPr>
      <w:suppressAutoHyphens w:val="0"/>
      <w:autoSpaceDN/>
      <w:spacing w:before="0" w:after="0" w:line="0" w:lineRule="atLeast"/>
      <w:ind w:firstLine="0"/>
      <w:jc w:val="both"/>
      <w:textAlignment w:val="auto"/>
    </w:pPr>
    <w:rPr>
      <w:rFonts w:ascii="Arial" w:hAnsi="Arial" w:cs="Times New Roman"/>
      <w:kern w:val="0"/>
      <w:lang w:eastAsia="ru-RU"/>
    </w:rPr>
  </w:style>
  <w:style w:type="paragraph" w:customStyle="1" w:styleId="avg--0">
    <w:name w:val="avg-Таблица-Шапка"/>
    <w:basedOn w:val="avg-6"/>
    <w:qFormat/>
    <w:rsid w:val="0047261E"/>
    <w:pPr>
      <w:keepNext/>
      <w:suppressAutoHyphens w:val="0"/>
      <w:autoSpaceDN/>
      <w:spacing w:before="0" w:after="0" w:line="0" w:lineRule="atLeast"/>
      <w:ind w:firstLine="0"/>
      <w:textAlignment w:val="auto"/>
    </w:pPr>
    <w:rPr>
      <w:rFonts w:ascii="Arial" w:hAnsi="Arial" w:cs="Times New Roman"/>
      <w:b/>
      <w:kern w:val="0"/>
      <w:lang w:eastAsia="ru-RU"/>
    </w:rPr>
  </w:style>
  <w:style w:type="paragraph" w:customStyle="1" w:styleId="Style5">
    <w:name w:val="Style5"/>
    <w:basedOn w:val="a3"/>
    <w:uiPriority w:val="99"/>
    <w:rsid w:val="0047261E"/>
    <w:pPr>
      <w:widowControl w:val="0"/>
      <w:autoSpaceDE w:val="0"/>
      <w:autoSpaceDN w:val="0"/>
      <w:adjustRightInd w:val="0"/>
      <w:spacing w:line="230" w:lineRule="exact"/>
      <w:ind w:firstLine="0"/>
      <w:jc w:val="center"/>
    </w:pPr>
    <w:rPr>
      <w:rFonts w:eastAsia="Times New Roman" w:cs="Times New Roman"/>
      <w:szCs w:val="24"/>
      <w:lang w:eastAsia="ru-RU"/>
    </w:rPr>
  </w:style>
  <w:style w:type="paragraph" w:customStyle="1" w:styleId="BDO">
    <w:name w:val="BDO Абзац простой"/>
    <w:basedOn w:val="a3"/>
    <w:link w:val="BDO0"/>
    <w:rsid w:val="0047261E"/>
    <w:pPr>
      <w:widowControl w:val="0"/>
      <w:adjustRightInd w:val="0"/>
      <w:spacing w:before="120" w:line="312" w:lineRule="auto"/>
      <w:ind w:firstLine="709"/>
      <w:textAlignment w:val="baseline"/>
    </w:pPr>
    <w:rPr>
      <w:rFonts w:ascii="Garamond" w:eastAsia="Times New Roman" w:hAnsi="Garamond" w:cs="Times New Roman"/>
      <w:szCs w:val="24"/>
      <w:lang w:eastAsia="ru-RU"/>
    </w:rPr>
  </w:style>
  <w:style w:type="character" w:customStyle="1" w:styleId="BDO0">
    <w:name w:val="BDO Абзац простой Знак"/>
    <w:basedOn w:val="a4"/>
    <w:link w:val="BDO"/>
    <w:locked/>
    <w:rsid w:val="0047261E"/>
    <w:rPr>
      <w:rFonts w:ascii="Garamond" w:eastAsia="Times New Roman" w:hAnsi="Garamond" w:cs="Times New Roman"/>
      <w:sz w:val="24"/>
      <w:szCs w:val="24"/>
      <w:lang w:eastAsia="ru-RU"/>
    </w:rPr>
  </w:style>
  <w:style w:type="paragraph" w:customStyle="1" w:styleId="afffffff8">
    <w:name w:val="БДО Название таблицы"/>
    <w:basedOn w:val="a3"/>
    <w:rsid w:val="0047261E"/>
    <w:pPr>
      <w:widowControl w:val="0"/>
      <w:adjustRightInd w:val="0"/>
      <w:spacing w:before="120" w:after="240" w:line="312" w:lineRule="auto"/>
      <w:ind w:firstLine="709"/>
      <w:jc w:val="center"/>
      <w:textAlignment w:val="baseline"/>
    </w:pPr>
    <w:rPr>
      <w:rFonts w:ascii="Garamond" w:eastAsia="Times New Roman" w:hAnsi="Garamond" w:cs="Times New Roman"/>
      <w:b/>
      <w:szCs w:val="24"/>
      <w:lang w:eastAsia="ru-RU"/>
    </w:rPr>
  </w:style>
  <w:style w:type="paragraph" w:customStyle="1" w:styleId="1ff7">
    <w:name w:val="Маркированный 1"/>
    <w:basedOn w:val="a3"/>
    <w:uiPriority w:val="8"/>
    <w:qFormat/>
    <w:rsid w:val="0047261E"/>
    <w:pPr>
      <w:widowControl w:val="0"/>
      <w:adjustRightInd w:val="0"/>
      <w:spacing w:before="120" w:line="312" w:lineRule="auto"/>
      <w:ind w:left="924" w:hanging="357"/>
      <w:textAlignment w:val="baseline"/>
    </w:pPr>
    <w:rPr>
      <w:rFonts w:ascii="Tahoma" w:eastAsia="Times New Roman" w:hAnsi="Tahoma" w:cs="Times New Roman"/>
      <w:kern w:val="18"/>
      <w:sz w:val="20"/>
      <w:szCs w:val="20"/>
      <w:lang w:eastAsia="ru-RU"/>
    </w:rPr>
  </w:style>
  <w:style w:type="paragraph" w:customStyle="1" w:styleId="afffffff9">
    <w:name w:val="БДО Абзац простой"/>
    <w:basedOn w:val="a3"/>
    <w:link w:val="afffffffa"/>
    <w:rsid w:val="0047261E"/>
    <w:pPr>
      <w:widowControl w:val="0"/>
      <w:adjustRightInd w:val="0"/>
      <w:spacing w:line="312" w:lineRule="auto"/>
      <w:ind w:firstLine="709"/>
      <w:textAlignment w:val="baseline"/>
    </w:pPr>
    <w:rPr>
      <w:rFonts w:ascii="Garamond" w:eastAsia="Times New Roman" w:hAnsi="Garamond" w:cs="Times New Roman"/>
      <w:szCs w:val="24"/>
      <w:lang w:eastAsia="ru-RU"/>
    </w:rPr>
  </w:style>
  <w:style w:type="character" w:customStyle="1" w:styleId="afffffffa">
    <w:name w:val="БДО Абзац простой Знак Знак"/>
    <w:basedOn w:val="a4"/>
    <w:link w:val="afffffff9"/>
    <w:locked/>
    <w:rsid w:val="0047261E"/>
    <w:rPr>
      <w:rFonts w:ascii="Garamond" w:eastAsia="Times New Roman" w:hAnsi="Garamond" w:cs="Times New Roman"/>
      <w:sz w:val="24"/>
      <w:szCs w:val="24"/>
      <w:lang w:eastAsia="ru-RU"/>
    </w:rPr>
  </w:style>
  <w:style w:type="paragraph" w:customStyle="1" w:styleId="afffffffb">
    <w:name w:val="обычный текст"/>
    <w:basedOn w:val="a3"/>
    <w:link w:val="afffffffc"/>
    <w:rsid w:val="0047261E"/>
    <w:pPr>
      <w:widowControl w:val="0"/>
      <w:adjustRightInd w:val="0"/>
      <w:spacing w:line="312" w:lineRule="auto"/>
      <w:ind w:firstLine="709"/>
      <w:textAlignment w:val="baseline"/>
    </w:pPr>
    <w:rPr>
      <w:rFonts w:ascii="Garamond" w:eastAsia="Times New Roman" w:hAnsi="Garamond" w:cs="Times New Roman"/>
      <w:szCs w:val="24"/>
      <w:lang w:eastAsia="ru-RU"/>
    </w:rPr>
  </w:style>
  <w:style w:type="character" w:customStyle="1" w:styleId="afffffffc">
    <w:name w:val="обычный текст Знак"/>
    <w:basedOn w:val="a4"/>
    <w:link w:val="afffffffb"/>
    <w:locked/>
    <w:rsid w:val="0047261E"/>
    <w:rPr>
      <w:rFonts w:ascii="Garamond" w:eastAsia="Times New Roman" w:hAnsi="Garamond" w:cs="Times New Roman"/>
      <w:sz w:val="24"/>
      <w:szCs w:val="24"/>
      <w:lang w:eastAsia="ru-RU"/>
    </w:rPr>
  </w:style>
  <w:style w:type="paragraph" w:customStyle="1" w:styleId="1ff8">
    <w:name w:val="БДО Заголовок 1"/>
    <w:basedOn w:val="a3"/>
    <w:rsid w:val="0047261E"/>
    <w:pPr>
      <w:widowControl w:val="0"/>
      <w:tabs>
        <w:tab w:val="left" w:pos="550"/>
      </w:tabs>
      <w:adjustRightInd w:val="0"/>
      <w:spacing w:before="120" w:line="312" w:lineRule="auto"/>
      <w:ind w:firstLine="709"/>
      <w:jc w:val="center"/>
      <w:textAlignment w:val="baseline"/>
    </w:pPr>
    <w:rPr>
      <w:rFonts w:eastAsia="Times New Roman" w:cs="Times New Roman"/>
      <w:b/>
      <w:sz w:val="36"/>
      <w:szCs w:val="32"/>
      <w:lang w:eastAsia="ru-RU"/>
    </w:rPr>
  </w:style>
  <w:style w:type="paragraph" w:customStyle="1" w:styleId="2fc">
    <w:name w:val="БДО Заголовок 2"/>
    <w:basedOn w:val="1ff8"/>
    <w:rsid w:val="0047261E"/>
    <w:pPr>
      <w:numPr>
        <w:ilvl w:val="1"/>
      </w:numPr>
      <w:ind w:firstLine="709"/>
    </w:pPr>
    <w:rPr>
      <w:sz w:val="24"/>
      <w:szCs w:val="24"/>
    </w:rPr>
  </w:style>
  <w:style w:type="paragraph" w:customStyle="1" w:styleId="3e">
    <w:name w:val="БДО Заголовок 3"/>
    <w:basedOn w:val="2fc"/>
    <w:rsid w:val="0047261E"/>
    <w:pPr>
      <w:numPr>
        <w:ilvl w:val="2"/>
      </w:numPr>
      <w:tabs>
        <w:tab w:val="clear" w:pos="550"/>
        <w:tab w:val="left" w:pos="720"/>
      </w:tabs>
      <w:ind w:firstLine="709"/>
    </w:pPr>
  </w:style>
  <w:style w:type="paragraph" w:customStyle="1" w:styleId="1ff9">
    <w:name w:val="Заголовок оглавления1"/>
    <w:basedOn w:val="10"/>
    <w:next w:val="a3"/>
    <w:uiPriority w:val="99"/>
    <w:rsid w:val="0047261E"/>
    <w:pPr>
      <w:widowControl w:val="0"/>
      <w:adjustRightInd w:val="0"/>
      <w:spacing w:before="480" w:line="276" w:lineRule="auto"/>
      <w:ind w:firstLine="0"/>
      <w:jc w:val="left"/>
      <w:textAlignment w:val="baseline"/>
      <w:outlineLvl w:val="9"/>
    </w:pPr>
    <w:rPr>
      <w:rFonts w:ascii="Cambria" w:eastAsia="Times New Roman" w:hAnsi="Cambria"/>
      <w:b w:val="0"/>
      <w:bCs/>
      <w:color w:val="365F91"/>
      <w:szCs w:val="28"/>
    </w:rPr>
  </w:style>
  <w:style w:type="character" w:customStyle="1" w:styleId="16">
    <w:name w:val="Оглавление 1 Знак"/>
    <w:basedOn w:val="a4"/>
    <w:link w:val="15"/>
    <w:uiPriority w:val="39"/>
    <w:locked/>
    <w:rsid w:val="0047261E"/>
    <w:rPr>
      <w:rFonts w:ascii="Times New Roman" w:eastAsia="Calibri" w:hAnsi="Times New Roman" w:cs="Times New Roman"/>
      <w:noProof/>
      <w:sz w:val="24"/>
      <w:szCs w:val="24"/>
    </w:rPr>
  </w:style>
  <w:style w:type="character" w:customStyle="1" w:styleId="32">
    <w:name w:val="Оглавление 3 Знак"/>
    <w:basedOn w:val="a4"/>
    <w:link w:val="31"/>
    <w:uiPriority w:val="39"/>
    <w:locked/>
    <w:rsid w:val="00BE670C"/>
    <w:rPr>
      <w:rFonts w:ascii="Times New Roman" w:hAnsi="Times New Roman"/>
      <w:noProof/>
      <w:sz w:val="24"/>
    </w:rPr>
  </w:style>
  <w:style w:type="paragraph" w:customStyle="1" w:styleId="afffffffd">
    <w:name w:val="БДО Аннотация"/>
    <w:basedOn w:val="a3"/>
    <w:rsid w:val="0047261E"/>
    <w:pPr>
      <w:widowControl w:val="0"/>
      <w:adjustRightInd w:val="0"/>
      <w:ind w:firstLine="0"/>
      <w:jc w:val="left"/>
      <w:textAlignment w:val="baseline"/>
    </w:pPr>
    <w:rPr>
      <w:rFonts w:ascii="Garamond" w:eastAsia="Times New Roman" w:hAnsi="Garamond" w:cs="Times New Roman"/>
      <w:b/>
      <w:color w:val="000080"/>
      <w:sz w:val="32"/>
      <w:szCs w:val="32"/>
      <w:lang w:eastAsia="ru-RU"/>
    </w:rPr>
  </w:style>
  <w:style w:type="paragraph" w:customStyle="1" w:styleId="xl78">
    <w:name w:val="xl78"/>
    <w:basedOn w:val="a3"/>
    <w:rsid w:val="0047261E"/>
    <w:pPr>
      <w:pBdr>
        <w:top w:val="single" w:sz="4" w:space="0" w:color="auto"/>
        <w:bottom w:val="single" w:sz="4" w:space="0" w:color="auto"/>
        <w:right w:val="single" w:sz="4" w:space="0" w:color="auto"/>
      </w:pBdr>
      <w:shd w:val="clear" w:color="000000" w:fill="92D050"/>
      <w:spacing w:before="100" w:beforeAutospacing="1" w:after="100" w:afterAutospacing="1"/>
      <w:ind w:firstLine="0"/>
      <w:jc w:val="center"/>
      <w:textAlignment w:val="center"/>
    </w:pPr>
    <w:rPr>
      <w:rFonts w:eastAsia="Times New Roman" w:cs="Times New Roman"/>
      <w:b/>
      <w:bCs/>
      <w:sz w:val="18"/>
      <w:szCs w:val="18"/>
      <w:lang w:eastAsia="ru-RU"/>
    </w:rPr>
  </w:style>
  <w:style w:type="paragraph" w:customStyle="1" w:styleId="xl79">
    <w:name w:val="xl79"/>
    <w:basedOn w:val="a3"/>
    <w:rsid w:val="0047261E"/>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ind w:firstLine="0"/>
      <w:jc w:val="center"/>
      <w:textAlignment w:val="center"/>
    </w:pPr>
    <w:rPr>
      <w:rFonts w:eastAsia="Times New Roman" w:cs="Times New Roman"/>
      <w:b/>
      <w:bCs/>
      <w:sz w:val="18"/>
      <w:szCs w:val="18"/>
      <w:lang w:eastAsia="ru-RU"/>
    </w:rPr>
  </w:style>
  <w:style w:type="paragraph" w:customStyle="1" w:styleId="afffffffe">
    <w:name w:val="Знак Знак Знак Знак Знак Знак Знак Знак Знак Знак Знак Знак"/>
    <w:basedOn w:val="a3"/>
    <w:autoRedefine/>
    <w:rsid w:val="0047261E"/>
    <w:pPr>
      <w:spacing w:after="160" w:line="240" w:lineRule="exact"/>
      <w:ind w:firstLine="0"/>
      <w:jc w:val="left"/>
    </w:pPr>
    <w:rPr>
      <w:rFonts w:eastAsia="SimSun" w:cs="Times New Roman"/>
      <w:b/>
      <w:szCs w:val="24"/>
    </w:rPr>
  </w:style>
  <w:style w:type="character" w:customStyle="1" w:styleId="skypepnhmark">
    <w:name w:val="skype_pnh_mark"/>
    <w:rsid w:val="0047261E"/>
    <w:rPr>
      <w:vanish/>
      <w:webHidden w:val="0"/>
      <w:specVanish w:val="0"/>
    </w:rPr>
  </w:style>
  <w:style w:type="paragraph" w:customStyle="1" w:styleId="style13233341830000000970msonormal">
    <w:name w:val="style_13233341830000000970msonormal"/>
    <w:basedOn w:val="a3"/>
    <w:rsid w:val="0047261E"/>
    <w:pPr>
      <w:spacing w:before="100" w:beforeAutospacing="1" w:after="100" w:afterAutospacing="1"/>
      <w:ind w:firstLine="0"/>
      <w:jc w:val="left"/>
    </w:pPr>
    <w:rPr>
      <w:rFonts w:eastAsia="Times New Roman" w:cs="Times New Roman"/>
      <w:szCs w:val="24"/>
      <w:lang w:eastAsia="ru-RU"/>
    </w:rPr>
  </w:style>
  <w:style w:type="paragraph" w:customStyle="1" w:styleId="affffffff">
    <w:name w:val="КГОЗ"/>
    <w:basedOn w:val="a3"/>
    <w:rsid w:val="0047261E"/>
    <w:pPr>
      <w:widowControl w:val="0"/>
      <w:ind w:firstLine="0"/>
      <w:jc w:val="center"/>
    </w:pPr>
    <w:rPr>
      <w:rFonts w:eastAsia="Times New Roman" w:cs="Times New Roman"/>
      <w:b/>
      <w:caps/>
      <w:szCs w:val="20"/>
      <w:lang w:eastAsia="ru-RU"/>
    </w:rPr>
  </w:style>
  <w:style w:type="table" w:customStyle="1" w:styleId="114">
    <w:name w:val="Сетка таблицы11"/>
    <w:basedOn w:val="a5"/>
    <w:next w:val="af2"/>
    <w:uiPriority w:val="59"/>
    <w:rsid w:val="0047261E"/>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214">
    <w:name w:val="Сетка таблицы21"/>
    <w:basedOn w:val="a5"/>
    <w:next w:val="af2"/>
    <w:rsid w:val="0047261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5">
    <w:name w:val="Нет списка11"/>
    <w:next w:val="a6"/>
    <w:uiPriority w:val="99"/>
    <w:semiHidden/>
    <w:unhideWhenUsed/>
    <w:rsid w:val="0047261E"/>
  </w:style>
  <w:style w:type="table" w:customStyle="1" w:styleId="1ffa">
    <w:name w:val="Основная таблица1"/>
    <w:basedOn w:val="a5"/>
    <w:next w:val="af2"/>
    <w:uiPriority w:val="59"/>
    <w:rsid w:val="0047261E"/>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fffffff0">
    <w:name w:val="Сноска_"/>
    <w:basedOn w:val="a4"/>
    <w:link w:val="affffffff1"/>
    <w:rsid w:val="0047261E"/>
    <w:rPr>
      <w:rFonts w:ascii="Arial" w:eastAsia="Arial" w:hAnsi="Arial" w:cs="Arial"/>
      <w:sz w:val="13"/>
      <w:szCs w:val="13"/>
      <w:shd w:val="clear" w:color="auto" w:fill="FFFFFF"/>
    </w:rPr>
  </w:style>
  <w:style w:type="character" w:customStyle="1" w:styleId="1ffb">
    <w:name w:val="Заголовок №1_"/>
    <w:basedOn w:val="a4"/>
    <w:rsid w:val="0047261E"/>
    <w:rPr>
      <w:rFonts w:ascii="Arial" w:eastAsia="Arial" w:hAnsi="Arial" w:cs="Arial"/>
      <w:b/>
      <w:bCs/>
      <w:i w:val="0"/>
      <w:iCs w:val="0"/>
      <w:smallCaps w:val="0"/>
      <w:strike w:val="0"/>
      <w:sz w:val="28"/>
      <w:szCs w:val="28"/>
      <w:u w:val="none"/>
    </w:rPr>
  </w:style>
  <w:style w:type="character" w:customStyle="1" w:styleId="1ffc">
    <w:name w:val="Заголовок №1"/>
    <w:basedOn w:val="1ffb"/>
    <w:rsid w:val="0047261E"/>
    <w:rPr>
      <w:rFonts w:ascii="Arial" w:eastAsia="Arial" w:hAnsi="Arial" w:cs="Arial"/>
      <w:b/>
      <w:bCs/>
      <w:i w:val="0"/>
      <w:iCs w:val="0"/>
      <w:smallCaps w:val="0"/>
      <w:strike w:val="0"/>
      <w:color w:val="000000"/>
      <w:spacing w:val="0"/>
      <w:w w:val="100"/>
      <w:position w:val="0"/>
      <w:sz w:val="28"/>
      <w:szCs w:val="28"/>
      <w:u w:val="none"/>
      <w:lang w:val="ru-RU" w:eastAsia="ru-RU" w:bidi="ru-RU"/>
    </w:rPr>
  </w:style>
  <w:style w:type="character" w:customStyle="1" w:styleId="3f">
    <w:name w:val="Основной текст (3)_"/>
    <w:basedOn w:val="a4"/>
    <w:link w:val="3f0"/>
    <w:rsid w:val="0047261E"/>
    <w:rPr>
      <w:rFonts w:ascii="Arial" w:eastAsia="Arial" w:hAnsi="Arial" w:cs="Arial"/>
      <w:b/>
      <w:bCs/>
      <w:sz w:val="20"/>
      <w:szCs w:val="20"/>
      <w:shd w:val="clear" w:color="auto" w:fill="FFFFFF"/>
    </w:rPr>
  </w:style>
  <w:style w:type="character" w:customStyle="1" w:styleId="3f1">
    <w:name w:val="Основной текст (3) + Не полужирный"/>
    <w:basedOn w:val="3f"/>
    <w:rsid w:val="0047261E"/>
    <w:rPr>
      <w:rFonts w:ascii="Arial" w:eastAsia="Arial" w:hAnsi="Arial" w:cs="Arial"/>
      <w:b/>
      <w:bCs/>
      <w:color w:val="000000"/>
      <w:spacing w:val="0"/>
      <w:w w:val="100"/>
      <w:position w:val="0"/>
      <w:sz w:val="20"/>
      <w:szCs w:val="20"/>
      <w:shd w:val="clear" w:color="auto" w:fill="FFFFFF"/>
      <w:lang w:val="ru-RU" w:eastAsia="ru-RU" w:bidi="ru-RU"/>
    </w:rPr>
  </w:style>
  <w:style w:type="character" w:customStyle="1" w:styleId="2fd">
    <w:name w:val="Заголовок №2_"/>
    <w:basedOn w:val="a4"/>
    <w:rsid w:val="0047261E"/>
    <w:rPr>
      <w:rFonts w:ascii="Arial" w:eastAsia="Arial" w:hAnsi="Arial" w:cs="Arial"/>
      <w:b/>
      <w:bCs/>
      <w:i w:val="0"/>
      <w:iCs w:val="0"/>
      <w:smallCaps w:val="0"/>
      <w:strike w:val="0"/>
      <w:u w:val="none"/>
    </w:rPr>
  </w:style>
  <w:style w:type="character" w:customStyle="1" w:styleId="3f2">
    <w:name w:val="Заголовок №3_"/>
    <w:basedOn w:val="a4"/>
    <w:link w:val="3f3"/>
    <w:rsid w:val="0047261E"/>
    <w:rPr>
      <w:rFonts w:ascii="Arial" w:eastAsia="Arial" w:hAnsi="Arial" w:cs="Arial"/>
      <w:b/>
      <w:bCs/>
      <w:sz w:val="20"/>
      <w:szCs w:val="20"/>
      <w:shd w:val="clear" w:color="auto" w:fill="FFFFFF"/>
    </w:rPr>
  </w:style>
  <w:style w:type="character" w:customStyle="1" w:styleId="295pt">
    <w:name w:val="Основной текст (2) + 9;5 pt;Полужирный;Курсив"/>
    <w:basedOn w:val="2f"/>
    <w:rsid w:val="0047261E"/>
    <w:rPr>
      <w:rFonts w:ascii="Arial" w:eastAsia="Arial" w:hAnsi="Arial" w:cs="Arial"/>
      <w:b/>
      <w:bCs/>
      <w:i/>
      <w:iCs/>
      <w:smallCaps w:val="0"/>
      <w:strike w:val="0"/>
      <w:color w:val="000000"/>
      <w:spacing w:val="0"/>
      <w:w w:val="100"/>
      <w:position w:val="0"/>
      <w:sz w:val="19"/>
      <w:szCs w:val="19"/>
      <w:u w:val="none"/>
      <w:shd w:val="clear" w:color="auto" w:fill="FFFFFF"/>
      <w:lang w:val="ru-RU" w:eastAsia="ru-RU" w:bidi="ru-RU"/>
    </w:rPr>
  </w:style>
  <w:style w:type="character" w:customStyle="1" w:styleId="affffffff2">
    <w:name w:val="Подпись к таблице_"/>
    <w:basedOn w:val="a4"/>
    <w:link w:val="affffffff3"/>
    <w:rsid w:val="0047261E"/>
    <w:rPr>
      <w:rFonts w:ascii="Arial" w:eastAsia="Arial" w:hAnsi="Arial" w:cs="Arial"/>
      <w:b/>
      <w:bCs/>
      <w:sz w:val="20"/>
      <w:szCs w:val="20"/>
      <w:shd w:val="clear" w:color="auto" w:fill="FFFFFF"/>
    </w:rPr>
  </w:style>
  <w:style w:type="character" w:customStyle="1" w:styleId="265pt">
    <w:name w:val="Основной текст (2) + 6;5 pt"/>
    <w:basedOn w:val="2f"/>
    <w:rsid w:val="0047261E"/>
    <w:rPr>
      <w:rFonts w:ascii="Arial" w:eastAsia="Arial" w:hAnsi="Arial" w:cs="Arial"/>
      <w:b w:val="0"/>
      <w:bCs w:val="0"/>
      <w:i w:val="0"/>
      <w:iCs w:val="0"/>
      <w:smallCaps w:val="0"/>
      <w:strike w:val="0"/>
      <w:color w:val="000000"/>
      <w:spacing w:val="0"/>
      <w:w w:val="100"/>
      <w:position w:val="0"/>
      <w:sz w:val="13"/>
      <w:szCs w:val="13"/>
      <w:u w:val="none"/>
      <w:shd w:val="clear" w:color="auto" w:fill="FFFFFF"/>
      <w:lang w:val="ru-RU" w:eastAsia="ru-RU" w:bidi="ru-RU"/>
    </w:rPr>
  </w:style>
  <w:style w:type="character" w:customStyle="1" w:styleId="265pt0">
    <w:name w:val="Основной текст (2) + 6;5 pt;Полужирный;Курсив"/>
    <w:basedOn w:val="2f"/>
    <w:rsid w:val="0047261E"/>
    <w:rPr>
      <w:rFonts w:ascii="Arial" w:eastAsia="Arial" w:hAnsi="Arial" w:cs="Arial"/>
      <w:b/>
      <w:bCs/>
      <w:i/>
      <w:iCs/>
      <w:smallCaps w:val="0"/>
      <w:strike w:val="0"/>
      <w:color w:val="000000"/>
      <w:spacing w:val="0"/>
      <w:w w:val="100"/>
      <w:position w:val="0"/>
      <w:sz w:val="13"/>
      <w:szCs w:val="13"/>
      <w:u w:val="none"/>
      <w:shd w:val="clear" w:color="auto" w:fill="FFFFFF"/>
      <w:lang w:val="ru-RU" w:eastAsia="ru-RU" w:bidi="ru-RU"/>
    </w:rPr>
  </w:style>
  <w:style w:type="character" w:customStyle="1" w:styleId="265pt1">
    <w:name w:val="Основной текст (2) + 6;5 pt;Курсив"/>
    <w:basedOn w:val="2f"/>
    <w:rsid w:val="0047261E"/>
    <w:rPr>
      <w:rFonts w:ascii="Arial" w:eastAsia="Arial" w:hAnsi="Arial" w:cs="Arial"/>
      <w:b w:val="0"/>
      <w:bCs w:val="0"/>
      <w:i/>
      <w:iCs/>
      <w:smallCaps w:val="0"/>
      <w:strike w:val="0"/>
      <w:color w:val="000000"/>
      <w:spacing w:val="0"/>
      <w:w w:val="100"/>
      <w:position w:val="0"/>
      <w:sz w:val="13"/>
      <w:szCs w:val="13"/>
      <w:u w:val="none"/>
      <w:shd w:val="clear" w:color="auto" w:fill="FFFFFF"/>
      <w:lang w:val="ru-RU" w:eastAsia="ru-RU" w:bidi="ru-RU"/>
    </w:rPr>
  </w:style>
  <w:style w:type="character" w:customStyle="1" w:styleId="265pt2">
    <w:name w:val="Основной текст (2) + 6;5 pt;Полужирный"/>
    <w:basedOn w:val="2f"/>
    <w:rsid w:val="0047261E"/>
    <w:rPr>
      <w:rFonts w:ascii="Arial" w:eastAsia="Arial" w:hAnsi="Arial" w:cs="Arial"/>
      <w:b/>
      <w:bCs/>
      <w:i w:val="0"/>
      <w:iCs w:val="0"/>
      <w:smallCaps w:val="0"/>
      <w:strike w:val="0"/>
      <w:color w:val="000000"/>
      <w:spacing w:val="0"/>
      <w:w w:val="100"/>
      <w:position w:val="0"/>
      <w:sz w:val="13"/>
      <w:szCs w:val="13"/>
      <w:u w:val="none"/>
      <w:shd w:val="clear" w:color="auto" w:fill="FFFFFF"/>
      <w:lang w:val="ru-RU" w:eastAsia="ru-RU" w:bidi="ru-RU"/>
    </w:rPr>
  </w:style>
  <w:style w:type="character" w:customStyle="1" w:styleId="2fe">
    <w:name w:val="Заголовок №2"/>
    <w:basedOn w:val="2fd"/>
    <w:rsid w:val="0047261E"/>
    <w:rPr>
      <w:rFonts w:ascii="Arial" w:eastAsia="Arial" w:hAnsi="Arial" w:cs="Arial"/>
      <w:b/>
      <w:bCs/>
      <w:i w:val="0"/>
      <w:iCs w:val="0"/>
      <w:smallCaps w:val="0"/>
      <w:strike w:val="0"/>
      <w:color w:val="000000"/>
      <w:spacing w:val="0"/>
      <w:w w:val="100"/>
      <w:position w:val="0"/>
      <w:sz w:val="24"/>
      <w:szCs w:val="24"/>
      <w:u w:val="none"/>
      <w:lang w:val="ru-RU" w:eastAsia="ru-RU" w:bidi="ru-RU"/>
    </w:rPr>
  </w:style>
  <w:style w:type="character" w:customStyle="1" w:styleId="275pt">
    <w:name w:val="Основной текст (2) + 7;5 pt;Полужирный"/>
    <w:basedOn w:val="2f"/>
    <w:rsid w:val="0047261E"/>
    <w:rPr>
      <w:rFonts w:ascii="Arial" w:eastAsia="Arial" w:hAnsi="Arial" w:cs="Arial"/>
      <w:b/>
      <w:bCs/>
      <w:i w:val="0"/>
      <w:iCs w:val="0"/>
      <w:smallCaps w:val="0"/>
      <w:strike w:val="0"/>
      <w:color w:val="000000"/>
      <w:spacing w:val="0"/>
      <w:w w:val="100"/>
      <w:position w:val="0"/>
      <w:sz w:val="15"/>
      <w:szCs w:val="15"/>
      <w:u w:val="none"/>
      <w:shd w:val="clear" w:color="auto" w:fill="FFFFFF"/>
      <w:lang w:val="ru-RU" w:eastAsia="ru-RU" w:bidi="ru-RU"/>
    </w:rPr>
  </w:style>
  <w:style w:type="paragraph" w:customStyle="1" w:styleId="affffffff1">
    <w:name w:val="Сноска"/>
    <w:basedOn w:val="a3"/>
    <w:link w:val="affffffff0"/>
    <w:rsid w:val="0047261E"/>
    <w:pPr>
      <w:widowControl w:val="0"/>
      <w:shd w:val="clear" w:color="auto" w:fill="FFFFFF"/>
      <w:spacing w:line="158" w:lineRule="exact"/>
      <w:ind w:firstLine="0"/>
    </w:pPr>
    <w:rPr>
      <w:rFonts w:ascii="Arial" w:eastAsia="Arial" w:hAnsi="Arial" w:cs="Arial"/>
      <w:sz w:val="13"/>
      <w:szCs w:val="13"/>
    </w:rPr>
  </w:style>
  <w:style w:type="paragraph" w:customStyle="1" w:styleId="3f0">
    <w:name w:val="Основной текст (3)"/>
    <w:basedOn w:val="a3"/>
    <w:link w:val="3f"/>
    <w:rsid w:val="0047261E"/>
    <w:pPr>
      <w:widowControl w:val="0"/>
      <w:shd w:val="clear" w:color="auto" w:fill="FFFFFF"/>
      <w:spacing w:line="0" w:lineRule="atLeast"/>
      <w:ind w:firstLine="0"/>
    </w:pPr>
    <w:rPr>
      <w:rFonts w:ascii="Arial" w:eastAsia="Arial" w:hAnsi="Arial" w:cs="Arial"/>
      <w:b/>
      <w:bCs/>
      <w:sz w:val="20"/>
      <w:szCs w:val="20"/>
    </w:rPr>
  </w:style>
  <w:style w:type="paragraph" w:customStyle="1" w:styleId="3f3">
    <w:name w:val="Заголовок №3"/>
    <w:basedOn w:val="a3"/>
    <w:link w:val="3f2"/>
    <w:rsid w:val="0047261E"/>
    <w:pPr>
      <w:widowControl w:val="0"/>
      <w:shd w:val="clear" w:color="auto" w:fill="FFFFFF"/>
      <w:spacing w:line="250" w:lineRule="exact"/>
      <w:ind w:firstLine="0"/>
      <w:outlineLvl w:val="2"/>
    </w:pPr>
    <w:rPr>
      <w:rFonts w:ascii="Arial" w:eastAsia="Arial" w:hAnsi="Arial" w:cs="Arial"/>
      <w:b/>
      <w:bCs/>
      <w:sz w:val="20"/>
      <w:szCs w:val="20"/>
    </w:rPr>
  </w:style>
  <w:style w:type="paragraph" w:customStyle="1" w:styleId="affffffff3">
    <w:name w:val="Подпись к таблице"/>
    <w:basedOn w:val="a3"/>
    <w:link w:val="affffffff2"/>
    <w:rsid w:val="0047261E"/>
    <w:pPr>
      <w:widowControl w:val="0"/>
      <w:shd w:val="clear" w:color="auto" w:fill="FFFFFF"/>
      <w:spacing w:line="0" w:lineRule="atLeast"/>
      <w:ind w:firstLine="0"/>
      <w:jc w:val="left"/>
    </w:pPr>
    <w:rPr>
      <w:rFonts w:ascii="Arial" w:eastAsia="Arial" w:hAnsi="Arial" w:cs="Arial"/>
      <w:b/>
      <w:bCs/>
      <w:sz w:val="20"/>
      <w:szCs w:val="20"/>
    </w:rPr>
  </w:style>
  <w:style w:type="table" w:customStyle="1" w:styleId="1112">
    <w:name w:val="Таблица НЭО111"/>
    <w:basedOn w:val="a5"/>
    <w:next w:val="af2"/>
    <w:rsid w:val="0047261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ko-">
    <w:name w:val="cko-Обычный"/>
    <w:basedOn w:val="a3"/>
    <w:autoRedefine/>
    <w:uiPriority w:val="99"/>
    <w:qFormat/>
    <w:rsid w:val="0047261E"/>
    <w:pPr>
      <w:autoSpaceDN w:val="0"/>
      <w:spacing w:before="120"/>
      <w:ind w:firstLine="709"/>
    </w:pPr>
    <w:rPr>
      <w:rFonts w:eastAsia="Calibri" w:cs="Times New Roman"/>
      <w:lang w:eastAsia="ru-RU"/>
    </w:rPr>
  </w:style>
  <w:style w:type="numbering" w:customStyle="1" w:styleId="12">
    <w:name w:val="м12"/>
    <w:rsid w:val="0047261E"/>
    <w:pPr>
      <w:numPr>
        <w:numId w:val="50"/>
      </w:numPr>
    </w:pPr>
  </w:style>
  <w:style w:type="numbering" w:customStyle="1" w:styleId="531">
    <w:name w:val="Статья / Раздел531"/>
    <w:basedOn w:val="a6"/>
    <w:next w:val="afff0"/>
    <w:uiPriority w:val="99"/>
    <w:semiHidden/>
    <w:unhideWhenUsed/>
    <w:rsid w:val="0047261E"/>
    <w:pPr>
      <w:numPr>
        <w:numId w:val="61"/>
      </w:numPr>
    </w:pPr>
  </w:style>
  <w:style w:type="numbering" w:customStyle="1" w:styleId="681">
    <w:name w:val="Статья / Раздел681"/>
    <w:basedOn w:val="a6"/>
    <w:next w:val="afff0"/>
    <w:uiPriority w:val="99"/>
    <w:semiHidden/>
    <w:unhideWhenUsed/>
    <w:rsid w:val="0047261E"/>
    <w:pPr>
      <w:numPr>
        <w:numId w:val="62"/>
      </w:numPr>
    </w:pPr>
  </w:style>
  <w:style w:type="numbering" w:customStyle="1" w:styleId="13111">
    <w:name w:val="Стиль13111"/>
    <w:rsid w:val="0047261E"/>
    <w:pPr>
      <w:numPr>
        <w:numId w:val="48"/>
      </w:numPr>
    </w:pPr>
  </w:style>
  <w:style w:type="numbering" w:customStyle="1" w:styleId="LFO31">
    <w:name w:val="LFO31"/>
    <w:basedOn w:val="a6"/>
    <w:rsid w:val="0047261E"/>
    <w:pPr>
      <w:numPr>
        <w:numId w:val="51"/>
      </w:numPr>
    </w:pPr>
  </w:style>
  <w:style w:type="paragraph" w:customStyle="1" w:styleId="font5">
    <w:name w:val="font5"/>
    <w:basedOn w:val="a3"/>
    <w:rsid w:val="0047261E"/>
    <w:pPr>
      <w:spacing w:before="100" w:beforeAutospacing="1" w:after="100" w:afterAutospacing="1"/>
      <w:ind w:firstLine="0"/>
      <w:jc w:val="left"/>
    </w:pPr>
    <w:rPr>
      <w:rFonts w:ascii="Tahoma" w:eastAsia="Times New Roman" w:hAnsi="Tahoma" w:cs="Tahoma"/>
      <w:b/>
      <w:bCs/>
      <w:color w:val="000000"/>
      <w:sz w:val="18"/>
      <w:szCs w:val="18"/>
      <w:lang w:eastAsia="ru-RU"/>
    </w:rPr>
  </w:style>
  <w:style w:type="paragraph" w:customStyle="1" w:styleId="font6">
    <w:name w:val="font6"/>
    <w:basedOn w:val="a3"/>
    <w:rsid w:val="0047261E"/>
    <w:pPr>
      <w:spacing w:before="100" w:beforeAutospacing="1" w:after="100" w:afterAutospacing="1"/>
      <w:ind w:firstLine="0"/>
      <w:jc w:val="left"/>
    </w:pPr>
    <w:rPr>
      <w:rFonts w:ascii="Tahoma" w:eastAsia="Times New Roman" w:hAnsi="Tahoma" w:cs="Tahoma"/>
      <w:color w:val="000000"/>
      <w:sz w:val="18"/>
      <w:szCs w:val="18"/>
      <w:lang w:eastAsia="ru-RU"/>
    </w:rPr>
  </w:style>
  <w:style w:type="paragraph" w:customStyle="1" w:styleId="xl80">
    <w:name w:val="xl80"/>
    <w:basedOn w:val="a3"/>
    <w:rsid w:val="0047261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rFonts w:eastAsia="Times New Roman" w:cs="Times New Roman"/>
      <w:color w:val="000000"/>
      <w:szCs w:val="24"/>
      <w:lang w:eastAsia="ru-RU"/>
    </w:rPr>
  </w:style>
  <w:style w:type="paragraph" w:customStyle="1" w:styleId="xl81">
    <w:name w:val="xl81"/>
    <w:basedOn w:val="a3"/>
    <w:rsid w:val="0047261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rFonts w:eastAsia="Times New Roman" w:cs="Times New Roman"/>
      <w:szCs w:val="24"/>
      <w:lang w:eastAsia="ru-RU"/>
    </w:rPr>
  </w:style>
  <w:style w:type="paragraph" w:customStyle="1" w:styleId="xl82">
    <w:name w:val="xl82"/>
    <w:basedOn w:val="a3"/>
    <w:rsid w:val="0047261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rFonts w:eastAsia="Times New Roman" w:cs="Times New Roman"/>
      <w:szCs w:val="24"/>
      <w:lang w:eastAsia="ru-RU"/>
    </w:rPr>
  </w:style>
  <w:style w:type="paragraph" w:customStyle="1" w:styleId="xl83">
    <w:name w:val="xl83"/>
    <w:basedOn w:val="a3"/>
    <w:rsid w:val="0047261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rFonts w:eastAsia="Times New Roman" w:cs="Times New Roman"/>
      <w:szCs w:val="24"/>
      <w:lang w:eastAsia="ru-RU"/>
    </w:rPr>
  </w:style>
  <w:style w:type="paragraph" w:customStyle="1" w:styleId="xl84">
    <w:name w:val="xl84"/>
    <w:basedOn w:val="a3"/>
    <w:rsid w:val="0047261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rFonts w:eastAsia="Times New Roman" w:cs="Times New Roman"/>
      <w:color w:val="000000"/>
      <w:szCs w:val="24"/>
      <w:lang w:eastAsia="ru-RU"/>
    </w:rPr>
  </w:style>
  <w:style w:type="paragraph" w:customStyle="1" w:styleId="xl85">
    <w:name w:val="xl85"/>
    <w:basedOn w:val="a3"/>
    <w:rsid w:val="0047261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rFonts w:eastAsia="Times New Roman" w:cs="Times New Roman"/>
      <w:color w:val="000000"/>
      <w:szCs w:val="24"/>
      <w:lang w:eastAsia="ru-RU"/>
    </w:rPr>
  </w:style>
  <w:style w:type="paragraph" w:customStyle="1" w:styleId="xl86">
    <w:name w:val="xl86"/>
    <w:basedOn w:val="a3"/>
    <w:rsid w:val="0047261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rFonts w:eastAsia="Times New Roman" w:cs="Times New Roman"/>
      <w:szCs w:val="24"/>
      <w:lang w:eastAsia="ru-RU"/>
    </w:rPr>
  </w:style>
  <w:style w:type="paragraph" w:customStyle="1" w:styleId="xl87">
    <w:name w:val="xl87"/>
    <w:basedOn w:val="a3"/>
    <w:rsid w:val="0047261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top"/>
    </w:pPr>
    <w:rPr>
      <w:rFonts w:eastAsia="Times New Roman" w:cs="Times New Roman"/>
      <w:szCs w:val="24"/>
      <w:lang w:eastAsia="ru-RU"/>
    </w:rPr>
  </w:style>
  <w:style w:type="paragraph" w:customStyle="1" w:styleId="xl88">
    <w:name w:val="xl88"/>
    <w:basedOn w:val="a3"/>
    <w:rsid w:val="0047261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rFonts w:eastAsia="Times New Roman" w:cs="Times New Roman"/>
      <w:szCs w:val="24"/>
      <w:lang w:eastAsia="ru-RU"/>
    </w:rPr>
  </w:style>
  <w:style w:type="paragraph" w:customStyle="1" w:styleId="xl89">
    <w:name w:val="xl89"/>
    <w:basedOn w:val="a3"/>
    <w:rsid w:val="0047261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rFonts w:eastAsia="Times New Roman" w:cs="Times New Roman"/>
      <w:szCs w:val="24"/>
      <w:lang w:eastAsia="ru-RU"/>
    </w:rPr>
  </w:style>
  <w:style w:type="paragraph" w:customStyle="1" w:styleId="xl90">
    <w:name w:val="xl90"/>
    <w:basedOn w:val="a3"/>
    <w:rsid w:val="0047261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rFonts w:eastAsia="Times New Roman" w:cs="Times New Roman"/>
      <w:szCs w:val="24"/>
      <w:lang w:eastAsia="ru-RU"/>
    </w:rPr>
  </w:style>
  <w:style w:type="paragraph" w:customStyle="1" w:styleId="xl91">
    <w:name w:val="xl91"/>
    <w:basedOn w:val="a3"/>
    <w:rsid w:val="0047261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top"/>
    </w:pPr>
    <w:rPr>
      <w:rFonts w:eastAsia="Times New Roman" w:cs="Times New Roman"/>
      <w:szCs w:val="24"/>
      <w:lang w:eastAsia="ru-RU"/>
    </w:rPr>
  </w:style>
  <w:style w:type="paragraph" w:customStyle="1" w:styleId="xl92">
    <w:name w:val="xl92"/>
    <w:basedOn w:val="a3"/>
    <w:rsid w:val="0047261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rFonts w:eastAsia="Times New Roman" w:cs="Times New Roman"/>
      <w:szCs w:val="24"/>
      <w:lang w:eastAsia="ru-RU"/>
    </w:rPr>
  </w:style>
  <w:style w:type="paragraph" w:customStyle="1" w:styleId="xl93">
    <w:name w:val="xl93"/>
    <w:basedOn w:val="a3"/>
    <w:rsid w:val="0047261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rFonts w:eastAsia="Times New Roman" w:cs="Times New Roman"/>
      <w:color w:val="000000"/>
      <w:szCs w:val="24"/>
      <w:lang w:eastAsia="ru-RU"/>
    </w:rPr>
  </w:style>
  <w:style w:type="paragraph" w:customStyle="1" w:styleId="xl94">
    <w:name w:val="xl94"/>
    <w:basedOn w:val="a3"/>
    <w:rsid w:val="0047261E"/>
    <w:pPr>
      <w:shd w:val="clear" w:color="000000" w:fill="FFFFFF"/>
      <w:spacing w:before="100" w:beforeAutospacing="1" w:after="100" w:afterAutospacing="1"/>
      <w:ind w:firstLine="0"/>
      <w:jc w:val="center"/>
    </w:pPr>
    <w:rPr>
      <w:rFonts w:eastAsia="Times New Roman" w:cs="Times New Roman"/>
      <w:color w:val="000000"/>
      <w:szCs w:val="24"/>
      <w:lang w:eastAsia="ru-RU"/>
    </w:rPr>
  </w:style>
  <w:style w:type="paragraph" w:customStyle="1" w:styleId="xl95">
    <w:name w:val="xl95"/>
    <w:basedOn w:val="a3"/>
    <w:rsid w:val="0047261E"/>
    <w:pPr>
      <w:pBdr>
        <w:top w:val="single" w:sz="4" w:space="0" w:color="auto"/>
        <w:left w:val="single" w:sz="4" w:space="0" w:color="auto"/>
        <w:bottom w:val="single" w:sz="4" w:space="0" w:color="auto"/>
      </w:pBdr>
      <w:shd w:val="clear" w:color="000000" w:fill="FFFFFF"/>
      <w:spacing w:before="100" w:beforeAutospacing="1" w:after="100" w:afterAutospacing="1"/>
      <w:ind w:firstLine="0"/>
      <w:jc w:val="left"/>
      <w:textAlignment w:val="center"/>
    </w:pPr>
    <w:rPr>
      <w:rFonts w:eastAsia="Times New Roman" w:cs="Times New Roman"/>
      <w:szCs w:val="24"/>
      <w:lang w:eastAsia="ru-RU"/>
    </w:rPr>
  </w:style>
  <w:style w:type="paragraph" w:customStyle="1" w:styleId="xl96">
    <w:name w:val="xl96"/>
    <w:basedOn w:val="a3"/>
    <w:rsid w:val="0047261E"/>
    <w:pPr>
      <w:pBdr>
        <w:top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rFonts w:eastAsia="Times New Roman" w:cs="Times New Roman"/>
      <w:szCs w:val="24"/>
      <w:lang w:eastAsia="ru-RU"/>
    </w:rPr>
  </w:style>
  <w:style w:type="paragraph" w:customStyle="1" w:styleId="xl97">
    <w:name w:val="xl97"/>
    <w:basedOn w:val="a3"/>
    <w:rsid w:val="0047261E"/>
    <w:pPr>
      <w:pBdr>
        <w:top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rFonts w:eastAsia="Times New Roman" w:cs="Times New Roman"/>
      <w:szCs w:val="24"/>
      <w:lang w:eastAsia="ru-RU"/>
    </w:rPr>
  </w:style>
  <w:style w:type="paragraph" w:customStyle="1" w:styleId="xl98">
    <w:name w:val="xl98"/>
    <w:basedOn w:val="a3"/>
    <w:rsid w:val="0047261E"/>
    <w:pPr>
      <w:shd w:val="clear" w:color="000000" w:fill="FFFFFF"/>
      <w:spacing w:before="100" w:beforeAutospacing="1" w:after="100" w:afterAutospacing="1"/>
      <w:ind w:firstLine="0"/>
      <w:jc w:val="center"/>
      <w:textAlignment w:val="center"/>
    </w:pPr>
    <w:rPr>
      <w:rFonts w:eastAsia="Times New Roman" w:cs="Times New Roman"/>
      <w:szCs w:val="24"/>
      <w:lang w:eastAsia="ru-RU"/>
    </w:rPr>
  </w:style>
  <w:style w:type="paragraph" w:customStyle="1" w:styleId="xl99">
    <w:name w:val="xl99"/>
    <w:basedOn w:val="a3"/>
    <w:rsid w:val="0047261E"/>
    <w:pPr>
      <w:pBdr>
        <w:top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rFonts w:eastAsia="Times New Roman" w:cs="Times New Roman"/>
      <w:szCs w:val="24"/>
      <w:lang w:eastAsia="ru-RU"/>
    </w:rPr>
  </w:style>
  <w:style w:type="paragraph" w:customStyle="1" w:styleId="xl100">
    <w:name w:val="xl100"/>
    <w:basedOn w:val="a3"/>
    <w:rsid w:val="0047261E"/>
    <w:pPr>
      <w:pBdr>
        <w:top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rFonts w:eastAsia="Times New Roman" w:cs="Times New Roman"/>
      <w:color w:val="000000"/>
      <w:szCs w:val="24"/>
      <w:lang w:eastAsia="ru-RU"/>
    </w:rPr>
  </w:style>
  <w:style w:type="paragraph" w:customStyle="1" w:styleId="xl101">
    <w:name w:val="xl101"/>
    <w:basedOn w:val="a3"/>
    <w:rsid w:val="0047261E"/>
    <w:pPr>
      <w:pBdr>
        <w:top w:val="single" w:sz="4" w:space="0" w:color="auto"/>
        <w:left w:val="single" w:sz="4" w:space="0" w:color="auto"/>
        <w:bottom w:val="single" w:sz="4" w:space="0" w:color="auto"/>
      </w:pBdr>
      <w:shd w:val="clear" w:color="000000" w:fill="FFFFFF"/>
      <w:spacing w:before="100" w:beforeAutospacing="1" w:after="100" w:afterAutospacing="1"/>
      <w:ind w:firstLine="0"/>
      <w:jc w:val="left"/>
    </w:pPr>
    <w:rPr>
      <w:rFonts w:eastAsia="Times New Roman" w:cs="Times New Roman"/>
      <w:color w:val="000000"/>
      <w:szCs w:val="24"/>
      <w:lang w:eastAsia="ru-RU"/>
    </w:rPr>
  </w:style>
  <w:style w:type="paragraph" w:customStyle="1" w:styleId="xl102">
    <w:name w:val="xl102"/>
    <w:basedOn w:val="a3"/>
    <w:rsid w:val="0047261E"/>
    <w:pPr>
      <w:pBdr>
        <w:left w:val="single" w:sz="4" w:space="0" w:color="auto"/>
        <w:right w:val="single" w:sz="4" w:space="0" w:color="auto"/>
      </w:pBdr>
      <w:shd w:val="clear" w:color="000000" w:fill="FFFFFF"/>
      <w:spacing w:before="100" w:beforeAutospacing="1" w:after="100" w:afterAutospacing="1"/>
      <w:ind w:firstLine="0"/>
      <w:jc w:val="center"/>
      <w:textAlignment w:val="center"/>
    </w:pPr>
    <w:rPr>
      <w:rFonts w:eastAsia="Times New Roman" w:cs="Times New Roman"/>
      <w:szCs w:val="24"/>
      <w:lang w:eastAsia="ru-RU"/>
    </w:rPr>
  </w:style>
  <w:style w:type="paragraph" w:customStyle="1" w:styleId="xl103">
    <w:name w:val="xl103"/>
    <w:basedOn w:val="a3"/>
    <w:rsid w:val="0047261E"/>
    <w:pPr>
      <w:pBdr>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rFonts w:eastAsia="Times New Roman" w:cs="Times New Roman"/>
      <w:szCs w:val="24"/>
      <w:lang w:eastAsia="ru-RU"/>
    </w:rPr>
  </w:style>
  <w:style w:type="paragraph" w:customStyle="1" w:styleId="xl104">
    <w:name w:val="xl104"/>
    <w:basedOn w:val="a3"/>
    <w:rsid w:val="0047261E"/>
    <w:pPr>
      <w:pBdr>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rFonts w:eastAsia="Times New Roman" w:cs="Times New Roman"/>
      <w:szCs w:val="24"/>
      <w:lang w:eastAsia="ru-RU"/>
    </w:rPr>
  </w:style>
  <w:style w:type="paragraph" w:customStyle="1" w:styleId="xl105">
    <w:name w:val="xl105"/>
    <w:basedOn w:val="a3"/>
    <w:rsid w:val="0047261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rFonts w:eastAsia="Times New Roman" w:cs="Times New Roman"/>
      <w:szCs w:val="24"/>
      <w:lang w:eastAsia="ru-RU"/>
    </w:rPr>
  </w:style>
  <w:style w:type="paragraph" w:customStyle="1" w:styleId="xl106">
    <w:name w:val="xl106"/>
    <w:basedOn w:val="a3"/>
    <w:rsid w:val="0047261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rFonts w:eastAsia="Times New Roman" w:cs="Times New Roman"/>
      <w:szCs w:val="24"/>
      <w:lang w:eastAsia="ru-RU"/>
    </w:rPr>
  </w:style>
  <w:style w:type="paragraph" w:customStyle="1" w:styleId="xl107">
    <w:name w:val="xl107"/>
    <w:basedOn w:val="a3"/>
    <w:rsid w:val="0047261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rFonts w:eastAsia="Times New Roman" w:cs="Times New Roman"/>
      <w:color w:val="000000"/>
      <w:szCs w:val="24"/>
      <w:lang w:eastAsia="ru-RU"/>
    </w:rPr>
  </w:style>
  <w:style w:type="paragraph" w:customStyle="1" w:styleId="xl108">
    <w:name w:val="xl108"/>
    <w:basedOn w:val="a3"/>
    <w:rsid w:val="0047261E"/>
    <w:pPr>
      <w:shd w:val="clear" w:color="000000" w:fill="FFFFFF"/>
      <w:spacing w:before="100" w:beforeAutospacing="1" w:after="100" w:afterAutospacing="1"/>
      <w:ind w:firstLine="0"/>
      <w:jc w:val="center"/>
      <w:textAlignment w:val="center"/>
    </w:pPr>
    <w:rPr>
      <w:rFonts w:eastAsia="Times New Roman" w:cs="Times New Roman"/>
      <w:szCs w:val="24"/>
      <w:lang w:eastAsia="ru-RU"/>
    </w:rPr>
  </w:style>
  <w:style w:type="paragraph" w:customStyle="1" w:styleId="xl109">
    <w:name w:val="xl109"/>
    <w:basedOn w:val="a3"/>
    <w:rsid w:val="0047261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rFonts w:eastAsia="Times New Roman" w:cs="Times New Roman"/>
      <w:color w:val="FF0000"/>
      <w:szCs w:val="24"/>
      <w:lang w:eastAsia="ru-RU"/>
    </w:rPr>
  </w:style>
  <w:style w:type="paragraph" w:customStyle="1" w:styleId="xl110">
    <w:name w:val="xl110"/>
    <w:basedOn w:val="a3"/>
    <w:rsid w:val="0047261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rFonts w:eastAsia="Times New Roman" w:cs="Times New Roman"/>
      <w:color w:val="FF0000"/>
      <w:szCs w:val="24"/>
      <w:lang w:eastAsia="ru-RU"/>
    </w:rPr>
  </w:style>
  <w:style w:type="paragraph" w:customStyle="1" w:styleId="xl111">
    <w:name w:val="xl111"/>
    <w:basedOn w:val="a3"/>
    <w:rsid w:val="0047261E"/>
    <w:pPr>
      <w:shd w:val="clear" w:color="000000" w:fill="FFFFFF"/>
      <w:spacing w:before="100" w:beforeAutospacing="1" w:after="100" w:afterAutospacing="1"/>
      <w:ind w:firstLine="0"/>
      <w:jc w:val="center"/>
      <w:textAlignment w:val="center"/>
    </w:pPr>
    <w:rPr>
      <w:rFonts w:eastAsia="Times New Roman" w:cs="Times New Roman"/>
      <w:color w:val="FF0000"/>
      <w:szCs w:val="24"/>
      <w:lang w:eastAsia="ru-RU"/>
    </w:rPr>
  </w:style>
  <w:style w:type="paragraph" w:customStyle="1" w:styleId="xl112">
    <w:name w:val="xl112"/>
    <w:basedOn w:val="a3"/>
    <w:rsid w:val="0047261E"/>
    <w:pPr>
      <w:pBdr>
        <w:left w:val="single" w:sz="4" w:space="0" w:color="auto"/>
        <w:right w:val="single" w:sz="4" w:space="0" w:color="auto"/>
      </w:pBdr>
      <w:shd w:val="clear" w:color="000000" w:fill="FFFFFF"/>
      <w:spacing w:before="100" w:beforeAutospacing="1" w:after="100" w:afterAutospacing="1"/>
      <w:ind w:firstLine="0"/>
      <w:jc w:val="center"/>
      <w:textAlignment w:val="center"/>
    </w:pPr>
    <w:rPr>
      <w:rFonts w:eastAsia="Times New Roman" w:cs="Times New Roman"/>
      <w:szCs w:val="24"/>
      <w:lang w:eastAsia="ru-RU"/>
    </w:rPr>
  </w:style>
  <w:style w:type="paragraph" w:customStyle="1" w:styleId="xl113">
    <w:name w:val="xl113"/>
    <w:basedOn w:val="a3"/>
    <w:rsid w:val="0047261E"/>
    <w:pPr>
      <w:shd w:val="clear" w:color="000000" w:fill="FFFFFF"/>
      <w:spacing w:before="100" w:beforeAutospacing="1" w:after="100" w:afterAutospacing="1"/>
      <w:ind w:firstLine="0"/>
      <w:jc w:val="left"/>
      <w:textAlignment w:val="center"/>
    </w:pPr>
    <w:rPr>
      <w:rFonts w:eastAsia="Times New Roman" w:cs="Times New Roman"/>
      <w:szCs w:val="24"/>
      <w:lang w:eastAsia="ru-RU"/>
    </w:rPr>
  </w:style>
  <w:style w:type="paragraph" w:customStyle="1" w:styleId="xl114">
    <w:name w:val="xl114"/>
    <w:basedOn w:val="a3"/>
    <w:rsid w:val="0047261E"/>
    <w:pPr>
      <w:shd w:val="clear" w:color="000000" w:fill="FFFFFF"/>
      <w:spacing w:before="100" w:beforeAutospacing="1" w:after="100" w:afterAutospacing="1"/>
      <w:ind w:firstLine="0"/>
      <w:jc w:val="center"/>
    </w:pPr>
    <w:rPr>
      <w:rFonts w:eastAsia="Times New Roman" w:cs="Times New Roman"/>
      <w:szCs w:val="24"/>
      <w:lang w:eastAsia="ru-RU"/>
    </w:rPr>
  </w:style>
  <w:style w:type="paragraph" w:customStyle="1" w:styleId="xl115">
    <w:name w:val="xl115"/>
    <w:basedOn w:val="a3"/>
    <w:rsid w:val="0047261E"/>
    <w:pPr>
      <w:shd w:val="clear" w:color="000000" w:fill="FFFFFF"/>
      <w:spacing w:before="100" w:beforeAutospacing="1" w:after="100" w:afterAutospacing="1"/>
      <w:ind w:firstLine="0"/>
      <w:jc w:val="left"/>
    </w:pPr>
    <w:rPr>
      <w:rFonts w:eastAsia="Times New Roman" w:cs="Times New Roman"/>
      <w:szCs w:val="24"/>
      <w:lang w:eastAsia="ru-RU"/>
    </w:rPr>
  </w:style>
  <w:style w:type="paragraph" w:customStyle="1" w:styleId="xl116">
    <w:name w:val="xl116"/>
    <w:basedOn w:val="a3"/>
    <w:rsid w:val="0047261E"/>
    <w:pPr>
      <w:shd w:val="clear" w:color="000000" w:fill="FFFFFF"/>
      <w:spacing w:before="100" w:beforeAutospacing="1" w:after="100" w:afterAutospacing="1"/>
      <w:ind w:firstLine="0"/>
      <w:jc w:val="center"/>
    </w:pPr>
    <w:rPr>
      <w:rFonts w:eastAsia="Times New Roman" w:cs="Times New Roman"/>
      <w:color w:val="FF0000"/>
      <w:szCs w:val="24"/>
      <w:lang w:eastAsia="ru-RU"/>
    </w:rPr>
  </w:style>
  <w:style w:type="paragraph" w:customStyle="1" w:styleId="xl117">
    <w:name w:val="xl117"/>
    <w:basedOn w:val="a3"/>
    <w:rsid w:val="0047261E"/>
    <w:pPr>
      <w:shd w:val="clear" w:color="000000" w:fill="FFFFFF"/>
      <w:spacing w:before="100" w:beforeAutospacing="1" w:after="100" w:afterAutospacing="1"/>
      <w:ind w:firstLine="0"/>
      <w:jc w:val="left"/>
    </w:pPr>
    <w:rPr>
      <w:rFonts w:eastAsia="Times New Roman" w:cs="Times New Roman"/>
      <w:color w:val="FF0000"/>
      <w:szCs w:val="24"/>
      <w:lang w:eastAsia="ru-RU"/>
    </w:rPr>
  </w:style>
  <w:style w:type="paragraph" w:customStyle="1" w:styleId="xl118">
    <w:name w:val="xl118"/>
    <w:basedOn w:val="a3"/>
    <w:rsid w:val="0047261E"/>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ind w:firstLine="0"/>
      <w:jc w:val="center"/>
    </w:pPr>
    <w:rPr>
      <w:rFonts w:eastAsia="Times New Roman" w:cs="Times New Roman"/>
      <w:color w:val="000000"/>
      <w:szCs w:val="24"/>
      <w:lang w:eastAsia="ru-RU"/>
    </w:rPr>
  </w:style>
  <w:style w:type="paragraph" w:customStyle="1" w:styleId="xl119">
    <w:name w:val="xl119"/>
    <w:basedOn w:val="a3"/>
    <w:rsid w:val="0047261E"/>
    <w:pPr>
      <w:pBdr>
        <w:top w:val="single" w:sz="4" w:space="0" w:color="auto"/>
        <w:left w:val="single" w:sz="4" w:space="0" w:color="auto"/>
        <w:bottom w:val="single" w:sz="4" w:space="0" w:color="auto"/>
      </w:pBdr>
      <w:shd w:val="clear" w:color="000000" w:fill="FFFFFF"/>
      <w:spacing w:before="100" w:beforeAutospacing="1" w:after="100" w:afterAutospacing="1"/>
      <w:ind w:firstLine="0"/>
      <w:jc w:val="left"/>
      <w:textAlignment w:val="top"/>
    </w:pPr>
    <w:rPr>
      <w:rFonts w:eastAsia="Times New Roman" w:cs="Times New Roman"/>
      <w:szCs w:val="24"/>
      <w:lang w:eastAsia="ru-RU"/>
    </w:rPr>
  </w:style>
  <w:style w:type="paragraph" w:customStyle="1" w:styleId="xl120">
    <w:name w:val="xl120"/>
    <w:basedOn w:val="a3"/>
    <w:rsid w:val="0047261E"/>
    <w:pPr>
      <w:pBdr>
        <w:top w:val="single" w:sz="4" w:space="0" w:color="auto"/>
        <w:left w:val="single" w:sz="4" w:space="0" w:color="auto"/>
        <w:bottom w:val="single" w:sz="4" w:space="0" w:color="auto"/>
      </w:pBdr>
      <w:shd w:val="clear" w:color="000000" w:fill="FFFFFF"/>
      <w:spacing w:before="100" w:beforeAutospacing="1" w:after="100" w:afterAutospacing="1"/>
      <w:ind w:firstLine="0"/>
      <w:jc w:val="left"/>
      <w:textAlignment w:val="top"/>
    </w:pPr>
    <w:rPr>
      <w:rFonts w:eastAsia="Times New Roman" w:cs="Times New Roman"/>
      <w:szCs w:val="24"/>
      <w:lang w:eastAsia="ru-RU"/>
    </w:rPr>
  </w:style>
  <w:style w:type="paragraph" w:customStyle="1" w:styleId="xl121">
    <w:name w:val="xl121"/>
    <w:basedOn w:val="a3"/>
    <w:rsid w:val="0047261E"/>
    <w:pPr>
      <w:pBdr>
        <w:top w:val="single" w:sz="4" w:space="0" w:color="auto"/>
        <w:left w:val="single" w:sz="4" w:space="0" w:color="auto"/>
        <w:bottom w:val="single" w:sz="4" w:space="0" w:color="auto"/>
      </w:pBdr>
      <w:shd w:val="clear" w:color="000000" w:fill="FFFFFF"/>
      <w:spacing w:before="100" w:beforeAutospacing="1" w:after="100" w:afterAutospacing="1"/>
      <w:ind w:firstLine="0"/>
      <w:jc w:val="left"/>
      <w:textAlignment w:val="center"/>
    </w:pPr>
    <w:rPr>
      <w:rFonts w:eastAsia="Times New Roman" w:cs="Times New Roman"/>
      <w:szCs w:val="24"/>
      <w:lang w:eastAsia="ru-RU"/>
    </w:rPr>
  </w:style>
  <w:style w:type="paragraph" w:customStyle="1" w:styleId="xl122">
    <w:name w:val="xl122"/>
    <w:basedOn w:val="a3"/>
    <w:rsid w:val="0047261E"/>
    <w:pPr>
      <w:pBdr>
        <w:top w:val="single" w:sz="4" w:space="0" w:color="auto"/>
        <w:left w:val="single" w:sz="4" w:space="0" w:color="auto"/>
        <w:bottom w:val="single" w:sz="4" w:space="0" w:color="auto"/>
      </w:pBdr>
      <w:shd w:val="clear" w:color="000000" w:fill="FFFFFF"/>
      <w:spacing w:before="100" w:beforeAutospacing="1" w:after="100" w:afterAutospacing="1"/>
      <w:ind w:firstLine="0"/>
      <w:jc w:val="left"/>
      <w:textAlignment w:val="center"/>
    </w:pPr>
    <w:rPr>
      <w:rFonts w:eastAsia="Times New Roman" w:cs="Times New Roman"/>
      <w:szCs w:val="24"/>
      <w:lang w:eastAsia="ru-RU"/>
    </w:rPr>
  </w:style>
  <w:style w:type="paragraph" w:customStyle="1" w:styleId="xl123">
    <w:name w:val="xl123"/>
    <w:basedOn w:val="a3"/>
    <w:rsid w:val="0047261E"/>
    <w:pPr>
      <w:pBdr>
        <w:top w:val="single" w:sz="4" w:space="0" w:color="auto"/>
        <w:left w:val="single" w:sz="4" w:space="0" w:color="auto"/>
        <w:bottom w:val="single" w:sz="4" w:space="0" w:color="auto"/>
      </w:pBdr>
      <w:shd w:val="clear" w:color="000000" w:fill="FFFFFF"/>
      <w:spacing w:before="100" w:beforeAutospacing="1" w:after="100" w:afterAutospacing="1"/>
      <w:ind w:firstLine="0"/>
      <w:jc w:val="left"/>
    </w:pPr>
    <w:rPr>
      <w:rFonts w:eastAsia="Times New Roman" w:cs="Times New Roman"/>
      <w:szCs w:val="24"/>
      <w:lang w:eastAsia="ru-RU"/>
    </w:rPr>
  </w:style>
  <w:style w:type="paragraph" w:customStyle="1" w:styleId="xl124">
    <w:name w:val="xl124"/>
    <w:basedOn w:val="a3"/>
    <w:rsid w:val="0047261E"/>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rPr>
      <w:rFonts w:eastAsia="Times New Roman" w:cs="Times New Roman"/>
      <w:szCs w:val="24"/>
      <w:lang w:eastAsia="ru-RU"/>
    </w:rPr>
  </w:style>
  <w:style w:type="paragraph" w:customStyle="1" w:styleId="xl125">
    <w:name w:val="xl125"/>
    <w:basedOn w:val="a3"/>
    <w:rsid w:val="0047261E"/>
    <w:pPr>
      <w:pBdr>
        <w:top w:val="single" w:sz="4" w:space="0" w:color="auto"/>
        <w:left w:val="single" w:sz="4" w:space="0" w:color="auto"/>
        <w:bottom w:val="single" w:sz="4" w:space="0" w:color="auto"/>
      </w:pBdr>
      <w:shd w:val="clear" w:color="000000" w:fill="FFFFFF"/>
      <w:spacing w:before="100" w:beforeAutospacing="1" w:after="100" w:afterAutospacing="1"/>
      <w:ind w:firstLine="0"/>
      <w:jc w:val="left"/>
      <w:textAlignment w:val="center"/>
    </w:pPr>
    <w:rPr>
      <w:rFonts w:eastAsia="Times New Roman" w:cs="Times New Roman"/>
      <w:szCs w:val="24"/>
      <w:lang w:eastAsia="ru-RU"/>
    </w:rPr>
  </w:style>
  <w:style w:type="paragraph" w:customStyle="1" w:styleId="xl126">
    <w:name w:val="xl126"/>
    <w:basedOn w:val="a3"/>
    <w:rsid w:val="0047261E"/>
    <w:pPr>
      <w:pBdr>
        <w:top w:val="single" w:sz="4" w:space="0" w:color="auto"/>
        <w:left w:val="single" w:sz="4" w:space="0" w:color="auto"/>
        <w:bottom w:val="single" w:sz="4" w:space="0" w:color="auto"/>
      </w:pBdr>
      <w:shd w:val="clear" w:color="000000" w:fill="FFFFFF"/>
      <w:spacing w:before="100" w:beforeAutospacing="1" w:after="100" w:afterAutospacing="1"/>
      <w:ind w:firstLine="0"/>
      <w:jc w:val="left"/>
    </w:pPr>
    <w:rPr>
      <w:rFonts w:eastAsia="Times New Roman" w:cs="Times New Roman"/>
      <w:color w:val="000000"/>
      <w:szCs w:val="24"/>
      <w:lang w:eastAsia="ru-RU"/>
    </w:rPr>
  </w:style>
  <w:style w:type="paragraph" w:customStyle="1" w:styleId="xl127">
    <w:name w:val="xl127"/>
    <w:basedOn w:val="a3"/>
    <w:rsid w:val="0047261E"/>
    <w:pPr>
      <w:pBdr>
        <w:top w:val="single" w:sz="4" w:space="0" w:color="auto"/>
        <w:left w:val="single" w:sz="4" w:space="0" w:color="auto"/>
      </w:pBdr>
      <w:shd w:val="clear" w:color="000000" w:fill="FFFFFF"/>
      <w:spacing w:before="100" w:beforeAutospacing="1" w:after="100" w:afterAutospacing="1"/>
      <w:ind w:firstLine="0"/>
      <w:jc w:val="left"/>
      <w:textAlignment w:val="top"/>
    </w:pPr>
    <w:rPr>
      <w:rFonts w:eastAsia="Times New Roman" w:cs="Times New Roman"/>
      <w:szCs w:val="24"/>
      <w:lang w:eastAsia="ru-RU"/>
    </w:rPr>
  </w:style>
  <w:style w:type="paragraph" w:customStyle="1" w:styleId="xl128">
    <w:name w:val="xl128"/>
    <w:basedOn w:val="a3"/>
    <w:rsid w:val="0047261E"/>
    <w:pPr>
      <w:pBdr>
        <w:top w:val="single" w:sz="4" w:space="0" w:color="auto"/>
        <w:left w:val="single" w:sz="4" w:space="0" w:color="auto"/>
        <w:bottom w:val="single" w:sz="4" w:space="0" w:color="auto"/>
      </w:pBdr>
      <w:shd w:val="clear" w:color="000000" w:fill="FFFFFF"/>
      <w:spacing w:before="100" w:beforeAutospacing="1" w:after="100" w:afterAutospacing="1"/>
      <w:ind w:firstLine="0"/>
      <w:jc w:val="left"/>
    </w:pPr>
    <w:rPr>
      <w:rFonts w:eastAsia="Times New Roman" w:cs="Times New Roman"/>
      <w:color w:val="000000"/>
      <w:szCs w:val="24"/>
      <w:lang w:eastAsia="ru-RU"/>
    </w:rPr>
  </w:style>
  <w:style w:type="paragraph" w:customStyle="1" w:styleId="xl129">
    <w:name w:val="xl129"/>
    <w:basedOn w:val="a3"/>
    <w:rsid w:val="0047261E"/>
    <w:pPr>
      <w:pBdr>
        <w:top w:val="single" w:sz="4" w:space="0" w:color="auto"/>
        <w:left w:val="single" w:sz="4" w:space="0" w:color="auto"/>
        <w:bottom w:val="single" w:sz="4" w:space="0" w:color="auto"/>
      </w:pBdr>
      <w:shd w:val="clear" w:color="000000" w:fill="FFFFFF"/>
      <w:spacing w:before="100" w:beforeAutospacing="1" w:after="100" w:afterAutospacing="1"/>
      <w:ind w:firstLine="0"/>
      <w:jc w:val="left"/>
    </w:pPr>
    <w:rPr>
      <w:rFonts w:eastAsia="Times New Roman" w:cs="Times New Roman"/>
      <w:szCs w:val="24"/>
      <w:lang w:eastAsia="ru-RU"/>
    </w:rPr>
  </w:style>
  <w:style w:type="paragraph" w:customStyle="1" w:styleId="xl130">
    <w:name w:val="xl130"/>
    <w:basedOn w:val="a3"/>
    <w:rsid w:val="0047261E"/>
    <w:pPr>
      <w:pBdr>
        <w:left w:val="single" w:sz="4" w:space="0" w:color="auto"/>
        <w:bottom w:val="single" w:sz="4" w:space="0" w:color="auto"/>
      </w:pBdr>
      <w:shd w:val="clear" w:color="000000" w:fill="FFFFFF"/>
      <w:spacing w:before="100" w:beforeAutospacing="1" w:after="100" w:afterAutospacing="1"/>
      <w:ind w:firstLine="0"/>
      <w:jc w:val="left"/>
      <w:textAlignment w:val="center"/>
    </w:pPr>
    <w:rPr>
      <w:rFonts w:eastAsia="Times New Roman" w:cs="Times New Roman"/>
      <w:szCs w:val="24"/>
      <w:lang w:eastAsia="ru-RU"/>
    </w:rPr>
  </w:style>
  <w:style w:type="paragraph" w:customStyle="1" w:styleId="xl131">
    <w:name w:val="xl131"/>
    <w:basedOn w:val="a3"/>
    <w:rsid w:val="0047261E"/>
    <w:pPr>
      <w:pBdr>
        <w:top w:val="single" w:sz="4" w:space="0" w:color="auto"/>
        <w:left w:val="single" w:sz="4" w:space="0" w:color="auto"/>
        <w:bottom w:val="single" w:sz="4" w:space="0" w:color="auto"/>
      </w:pBdr>
      <w:shd w:val="clear" w:color="000000" w:fill="FFFFFF"/>
      <w:spacing w:before="100" w:beforeAutospacing="1" w:after="100" w:afterAutospacing="1"/>
      <w:ind w:firstLine="0"/>
      <w:jc w:val="left"/>
      <w:textAlignment w:val="center"/>
    </w:pPr>
    <w:rPr>
      <w:rFonts w:eastAsia="Times New Roman" w:cs="Times New Roman"/>
      <w:color w:val="000000"/>
      <w:szCs w:val="24"/>
      <w:lang w:eastAsia="ru-RU"/>
    </w:rPr>
  </w:style>
  <w:style w:type="paragraph" w:customStyle="1" w:styleId="xl132">
    <w:name w:val="xl132"/>
    <w:basedOn w:val="a3"/>
    <w:rsid w:val="0047261E"/>
    <w:pPr>
      <w:pBdr>
        <w:top w:val="single" w:sz="4" w:space="0" w:color="auto"/>
        <w:left w:val="single" w:sz="4" w:space="0" w:color="auto"/>
        <w:bottom w:val="single" w:sz="4" w:space="0" w:color="auto"/>
      </w:pBdr>
      <w:shd w:val="clear" w:color="000000" w:fill="FFFFFF"/>
      <w:spacing w:before="100" w:beforeAutospacing="1" w:after="100" w:afterAutospacing="1"/>
      <w:ind w:firstLine="0"/>
      <w:jc w:val="left"/>
    </w:pPr>
    <w:rPr>
      <w:rFonts w:eastAsia="Times New Roman" w:cs="Times New Roman"/>
      <w:szCs w:val="24"/>
      <w:lang w:eastAsia="ru-RU"/>
    </w:rPr>
  </w:style>
  <w:style w:type="paragraph" w:customStyle="1" w:styleId="xl133">
    <w:name w:val="xl133"/>
    <w:basedOn w:val="a3"/>
    <w:rsid w:val="0047261E"/>
    <w:pPr>
      <w:pBdr>
        <w:top w:val="single" w:sz="4" w:space="0" w:color="auto"/>
        <w:left w:val="single" w:sz="4" w:space="0" w:color="auto"/>
        <w:bottom w:val="single" w:sz="4" w:space="0" w:color="auto"/>
      </w:pBdr>
      <w:shd w:val="clear" w:color="000000" w:fill="FFFFFF"/>
      <w:spacing w:before="100" w:beforeAutospacing="1" w:after="100" w:afterAutospacing="1"/>
      <w:ind w:firstLine="0"/>
      <w:jc w:val="left"/>
      <w:textAlignment w:val="center"/>
    </w:pPr>
    <w:rPr>
      <w:rFonts w:eastAsia="Times New Roman" w:cs="Times New Roman"/>
      <w:szCs w:val="24"/>
      <w:lang w:eastAsia="ru-RU"/>
    </w:rPr>
  </w:style>
  <w:style w:type="paragraph" w:customStyle="1" w:styleId="xl134">
    <w:name w:val="xl134"/>
    <w:basedOn w:val="a3"/>
    <w:rsid w:val="0047261E"/>
    <w:pPr>
      <w:pBdr>
        <w:top w:val="single" w:sz="4" w:space="0" w:color="auto"/>
        <w:left w:val="single" w:sz="4" w:space="0" w:color="auto"/>
        <w:bottom w:val="single" w:sz="4" w:space="0" w:color="auto"/>
      </w:pBdr>
      <w:shd w:val="clear" w:color="000000" w:fill="FFFF00"/>
      <w:spacing w:before="100" w:beforeAutospacing="1" w:after="100" w:afterAutospacing="1"/>
      <w:ind w:firstLine="0"/>
      <w:jc w:val="left"/>
      <w:textAlignment w:val="center"/>
    </w:pPr>
    <w:rPr>
      <w:rFonts w:eastAsia="Times New Roman" w:cs="Times New Roman"/>
      <w:szCs w:val="24"/>
      <w:lang w:eastAsia="ru-RU"/>
    </w:rPr>
  </w:style>
  <w:style w:type="paragraph" w:customStyle="1" w:styleId="xl135">
    <w:name w:val="xl135"/>
    <w:basedOn w:val="a3"/>
    <w:rsid w:val="0047261E"/>
    <w:pPr>
      <w:pBdr>
        <w:top w:val="single" w:sz="4" w:space="0" w:color="auto"/>
        <w:bottom w:val="single" w:sz="4" w:space="0" w:color="auto"/>
        <w:right w:val="single" w:sz="4" w:space="0" w:color="auto"/>
      </w:pBdr>
      <w:shd w:val="clear" w:color="000000" w:fill="FFFFFF"/>
      <w:spacing w:before="100" w:beforeAutospacing="1" w:after="100" w:afterAutospacing="1"/>
      <w:ind w:firstLine="0"/>
      <w:jc w:val="center"/>
    </w:pPr>
    <w:rPr>
      <w:rFonts w:eastAsia="Times New Roman" w:cs="Times New Roman"/>
      <w:szCs w:val="24"/>
      <w:lang w:eastAsia="ru-RU"/>
    </w:rPr>
  </w:style>
  <w:style w:type="paragraph" w:customStyle="1" w:styleId="xl136">
    <w:name w:val="xl136"/>
    <w:basedOn w:val="a3"/>
    <w:rsid w:val="0047261E"/>
    <w:pPr>
      <w:pBdr>
        <w:top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rFonts w:eastAsia="Times New Roman" w:cs="Times New Roman"/>
      <w:szCs w:val="24"/>
      <w:lang w:eastAsia="ru-RU"/>
    </w:rPr>
  </w:style>
  <w:style w:type="paragraph" w:customStyle="1" w:styleId="xl137">
    <w:name w:val="xl137"/>
    <w:basedOn w:val="a3"/>
    <w:rsid w:val="0047261E"/>
    <w:pPr>
      <w:pBdr>
        <w:top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rFonts w:eastAsia="Times New Roman" w:cs="Times New Roman"/>
      <w:szCs w:val="24"/>
      <w:lang w:eastAsia="ru-RU"/>
    </w:rPr>
  </w:style>
  <w:style w:type="paragraph" w:customStyle="1" w:styleId="xl138">
    <w:name w:val="xl138"/>
    <w:basedOn w:val="a3"/>
    <w:rsid w:val="0047261E"/>
    <w:pPr>
      <w:pBdr>
        <w:top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rFonts w:eastAsia="Times New Roman" w:cs="Times New Roman"/>
      <w:szCs w:val="24"/>
      <w:lang w:eastAsia="ru-RU"/>
    </w:rPr>
  </w:style>
  <w:style w:type="paragraph" w:customStyle="1" w:styleId="xl139">
    <w:name w:val="xl139"/>
    <w:basedOn w:val="a3"/>
    <w:rsid w:val="0047261E"/>
    <w:pPr>
      <w:pBdr>
        <w:top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rFonts w:eastAsia="Times New Roman" w:cs="Times New Roman"/>
      <w:szCs w:val="24"/>
      <w:lang w:eastAsia="ru-RU"/>
    </w:rPr>
  </w:style>
  <w:style w:type="paragraph" w:customStyle="1" w:styleId="xl140">
    <w:name w:val="xl140"/>
    <w:basedOn w:val="a3"/>
    <w:rsid w:val="0047261E"/>
    <w:pPr>
      <w:pBdr>
        <w:top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top"/>
    </w:pPr>
    <w:rPr>
      <w:rFonts w:eastAsia="Times New Roman" w:cs="Times New Roman"/>
      <w:szCs w:val="24"/>
      <w:lang w:eastAsia="ru-RU"/>
    </w:rPr>
  </w:style>
  <w:style w:type="paragraph" w:customStyle="1" w:styleId="xl141">
    <w:name w:val="xl141"/>
    <w:basedOn w:val="a3"/>
    <w:rsid w:val="0047261E"/>
    <w:pPr>
      <w:pBdr>
        <w:top w:val="single" w:sz="4" w:space="0" w:color="auto"/>
        <w:bottom w:val="single" w:sz="4" w:space="0" w:color="auto"/>
        <w:right w:val="single" w:sz="4" w:space="0" w:color="auto"/>
      </w:pBdr>
      <w:shd w:val="clear" w:color="000000" w:fill="FFFFFF"/>
      <w:spacing w:before="100" w:beforeAutospacing="1" w:after="100" w:afterAutospacing="1"/>
      <w:ind w:firstLine="0"/>
      <w:jc w:val="center"/>
    </w:pPr>
    <w:rPr>
      <w:rFonts w:eastAsia="Times New Roman" w:cs="Times New Roman"/>
      <w:szCs w:val="24"/>
      <w:lang w:eastAsia="ru-RU"/>
    </w:rPr>
  </w:style>
  <w:style w:type="paragraph" w:customStyle="1" w:styleId="xl142">
    <w:name w:val="xl142"/>
    <w:basedOn w:val="a3"/>
    <w:rsid w:val="0047261E"/>
    <w:pPr>
      <w:pBdr>
        <w:top w:val="single" w:sz="4" w:space="0" w:color="auto"/>
        <w:bottom w:val="single" w:sz="4" w:space="0" w:color="auto"/>
        <w:right w:val="single" w:sz="4" w:space="0" w:color="auto"/>
      </w:pBdr>
      <w:shd w:val="clear" w:color="000000" w:fill="FFFFFF"/>
      <w:spacing w:before="100" w:beforeAutospacing="1" w:after="100" w:afterAutospacing="1"/>
      <w:ind w:firstLine="0"/>
      <w:jc w:val="center"/>
    </w:pPr>
    <w:rPr>
      <w:rFonts w:eastAsia="Times New Roman" w:cs="Times New Roman"/>
      <w:color w:val="000000"/>
      <w:szCs w:val="24"/>
      <w:lang w:eastAsia="ru-RU"/>
    </w:rPr>
  </w:style>
  <w:style w:type="paragraph" w:customStyle="1" w:styleId="xl143">
    <w:name w:val="xl143"/>
    <w:basedOn w:val="a3"/>
    <w:rsid w:val="0047261E"/>
    <w:pPr>
      <w:pBdr>
        <w:bottom w:val="single" w:sz="4" w:space="0" w:color="auto"/>
        <w:right w:val="single" w:sz="4" w:space="0" w:color="auto"/>
      </w:pBdr>
      <w:shd w:val="clear" w:color="000000" w:fill="FFFFFF"/>
      <w:spacing w:before="100" w:beforeAutospacing="1" w:after="100" w:afterAutospacing="1"/>
      <w:ind w:firstLine="0"/>
      <w:jc w:val="center"/>
      <w:textAlignment w:val="center"/>
    </w:pPr>
    <w:rPr>
      <w:rFonts w:eastAsia="Times New Roman" w:cs="Times New Roman"/>
      <w:szCs w:val="24"/>
      <w:lang w:eastAsia="ru-RU"/>
    </w:rPr>
  </w:style>
  <w:style w:type="paragraph" w:customStyle="1" w:styleId="xl144">
    <w:name w:val="xl144"/>
    <w:basedOn w:val="a3"/>
    <w:rsid w:val="0047261E"/>
    <w:pPr>
      <w:pBdr>
        <w:top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rFonts w:eastAsia="Times New Roman" w:cs="Times New Roman"/>
      <w:szCs w:val="24"/>
      <w:lang w:eastAsia="ru-RU"/>
    </w:rPr>
  </w:style>
  <w:style w:type="paragraph" w:customStyle="1" w:styleId="xl145">
    <w:name w:val="xl145"/>
    <w:basedOn w:val="a3"/>
    <w:rsid w:val="0047261E"/>
    <w:pPr>
      <w:pBdr>
        <w:top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rFonts w:eastAsia="Times New Roman" w:cs="Times New Roman"/>
      <w:szCs w:val="24"/>
      <w:lang w:eastAsia="ru-RU"/>
    </w:rPr>
  </w:style>
  <w:style w:type="paragraph" w:customStyle="1" w:styleId="xl146">
    <w:name w:val="xl146"/>
    <w:basedOn w:val="a3"/>
    <w:rsid w:val="0047261E"/>
    <w:pPr>
      <w:pBdr>
        <w:top w:val="single" w:sz="4" w:space="0" w:color="auto"/>
        <w:bottom w:val="single" w:sz="4" w:space="0" w:color="auto"/>
        <w:right w:val="single" w:sz="4" w:space="0" w:color="auto"/>
      </w:pBdr>
      <w:shd w:val="clear" w:color="000000" w:fill="FFFF00"/>
      <w:spacing w:before="100" w:beforeAutospacing="1" w:after="100" w:afterAutospacing="1"/>
      <w:ind w:firstLine="0"/>
      <w:jc w:val="center"/>
      <w:textAlignment w:val="center"/>
    </w:pPr>
    <w:rPr>
      <w:rFonts w:eastAsia="Times New Roman" w:cs="Times New Roman"/>
      <w:szCs w:val="24"/>
      <w:lang w:eastAsia="ru-RU"/>
    </w:rPr>
  </w:style>
  <w:style w:type="paragraph" w:customStyle="1" w:styleId="xl147">
    <w:name w:val="xl147"/>
    <w:basedOn w:val="a3"/>
    <w:rsid w:val="0047261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rFonts w:eastAsia="Times New Roman" w:cs="Times New Roman"/>
      <w:szCs w:val="24"/>
      <w:lang w:eastAsia="ru-RU"/>
    </w:rPr>
  </w:style>
  <w:style w:type="paragraph" w:customStyle="1" w:styleId="xl148">
    <w:name w:val="xl148"/>
    <w:basedOn w:val="a3"/>
    <w:rsid w:val="0047261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rFonts w:eastAsia="Times New Roman" w:cs="Times New Roman"/>
      <w:szCs w:val="24"/>
      <w:lang w:eastAsia="ru-RU"/>
    </w:rPr>
  </w:style>
  <w:style w:type="paragraph" w:customStyle="1" w:styleId="xl149">
    <w:name w:val="xl149"/>
    <w:basedOn w:val="a3"/>
    <w:rsid w:val="0047261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top"/>
    </w:pPr>
    <w:rPr>
      <w:rFonts w:eastAsia="Times New Roman" w:cs="Times New Roman"/>
      <w:color w:val="000000"/>
      <w:szCs w:val="24"/>
      <w:lang w:eastAsia="ru-RU"/>
    </w:rPr>
  </w:style>
  <w:style w:type="paragraph" w:customStyle="1" w:styleId="xl150">
    <w:name w:val="xl150"/>
    <w:basedOn w:val="a3"/>
    <w:rsid w:val="0047261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top"/>
    </w:pPr>
    <w:rPr>
      <w:rFonts w:eastAsia="Times New Roman" w:cs="Times New Roman"/>
      <w:color w:val="000000"/>
      <w:szCs w:val="24"/>
      <w:lang w:eastAsia="ru-RU"/>
    </w:rPr>
  </w:style>
  <w:style w:type="paragraph" w:customStyle="1" w:styleId="xl151">
    <w:name w:val="xl151"/>
    <w:basedOn w:val="a3"/>
    <w:rsid w:val="0047261E"/>
    <w:pPr>
      <w:pBdr>
        <w:top w:val="single" w:sz="4" w:space="0" w:color="auto"/>
        <w:left w:val="single" w:sz="4" w:space="0" w:color="auto"/>
        <w:right w:val="single" w:sz="4" w:space="0" w:color="auto"/>
      </w:pBdr>
      <w:shd w:val="clear" w:color="000000" w:fill="FFFFFF"/>
      <w:spacing w:before="100" w:beforeAutospacing="1" w:after="100" w:afterAutospacing="1"/>
      <w:ind w:firstLine="0"/>
      <w:jc w:val="left"/>
      <w:textAlignment w:val="top"/>
    </w:pPr>
    <w:rPr>
      <w:rFonts w:eastAsia="Times New Roman" w:cs="Times New Roman"/>
      <w:color w:val="000000"/>
      <w:szCs w:val="24"/>
      <w:lang w:eastAsia="ru-RU"/>
    </w:rPr>
  </w:style>
  <w:style w:type="paragraph" w:customStyle="1" w:styleId="xl152">
    <w:name w:val="xl152"/>
    <w:basedOn w:val="a3"/>
    <w:rsid w:val="0047261E"/>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rFonts w:eastAsia="Times New Roman" w:cs="Times New Roman"/>
      <w:szCs w:val="24"/>
      <w:lang w:eastAsia="ru-RU"/>
    </w:rPr>
  </w:style>
  <w:style w:type="character" w:customStyle="1" w:styleId="2Arial8pt">
    <w:name w:val="Основной текст (2) + Arial;8 pt"/>
    <w:basedOn w:val="2f"/>
    <w:rsid w:val="0047261E"/>
    <w:rPr>
      <w:rFonts w:ascii="Arial" w:eastAsia="Arial" w:hAnsi="Arial" w:cs="Arial"/>
      <w:b w:val="0"/>
      <w:bCs w:val="0"/>
      <w:i w:val="0"/>
      <w:iCs w:val="0"/>
      <w:smallCaps w:val="0"/>
      <w:strike w:val="0"/>
      <w:color w:val="000000"/>
      <w:spacing w:val="0"/>
      <w:w w:val="100"/>
      <w:position w:val="0"/>
      <w:sz w:val="16"/>
      <w:szCs w:val="16"/>
      <w:u w:val="none"/>
      <w:shd w:val="clear" w:color="auto" w:fill="FFFFFF"/>
      <w:lang w:val="ru-RU" w:eastAsia="ru-RU" w:bidi="ru-RU"/>
    </w:rPr>
  </w:style>
  <w:style w:type="character" w:customStyle="1" w:styleId="2Arial85pt">
    <w:name w:val="Основной текст (2) + Arial;8;5 pt;Полужирный"/>
    <w:basedOn w:val="2f"/>
    <w:rsid w:val="0047261E"/>
    <w:rPr>
      <w:rFonts w:ascii="Arial" w:eastAsia="Arial" w:hAnsi="Arial" w:cs="Arial"/>
      <w:b/>
      <w:bCs/>
      <w:i w:val="0"/>
      <w:iCs w:val="0"/>
      <w:smallCaps w:val="0"/>
      <w:strike w:val="0"/>
      <w:color w:val="000000"/>
      <w:spacing w:val="0"/>
      <w:w w:val="100"/>
      <w:position w:val="0"/>
      <w:sz w:val="17"/>
      <w:szCs w:val="17"/>
      <w:u w:val="none"/>
      <w:shd w:val="clear" w:color="auto" w:fill="FFFFFF"/>
      <w:lang w:val="ru-RU" w:eastAsia="ru-RU" w:bidi="ru-RU"/>
    </w:rPr>
  </w:style>
  <w:style w:type="character" w:customStyle="1" w:styleId="56">
    <w:name w:val="Заголовок №5_"/>
    <w:basedOn w:val="a4"/>
    <w:link w:val="57"/>
    <w:rsid w:val="0047261E"/>
    <w:rPr>
      <w:rFonts w:ascii="Times New Roman" w:eastAsia="Times New Roman" w:hAnsi="Times New Roman" w:cs="Times New Roman"/>
      <w:b/>
      <w:bCs/>
      <w:sz w:val="23"/>
      <w:szCs w:val="23"/>
      <w:shd w:val="clear" w:color="auto" w:fill="FFFFFF"/>
    </w:rPr>
  </w:style>
  <w:style w:type="character" w:customStyle="1" w:styleId="5Exact">
    <w:name w:val="Заголовок №5 Exact"/>
    <w:basedOn w:val="a4"/>
    <w:rsid w:val="0047261E"/>
    <w:rPr>
      <w:rFonts w:ascii="Times New Roman" w:eastAsia="Times New Roman" w:hAnsi="Times New Roman" w:cs="Times New Roman"/>
      <w:b/>
      <w:bCs/>
      <w:i w:val="0"/>
      <w:iCs w:val="0"/>
      <w:smallCaps w:val="0"/>
      <w:strike w:val="0"/>
      <w:sz w:val="23"/>
      <w:szCs w:val="23"/>
      <w:u w:val="none"/>
    </w:rPr>
  </w:style>
  <w:style w:type="paragraph" w:customStyle="1" w:styleId="57">
    <w:name w:val="Заголовок №5"/>
    <w:basedOn w:val="a3"/>
    <w:link w:val="56"/>
    <w:rsid w:val="0047261E"/>
    <w:pPr>
      <w:widowControl w:val="0"/>
      <w:shd w:val="clear" w:color="auto" w:fill="FFFFFF"/>
      <w:spacing w:before="240" w:line="0" w:lineRule="atLeast"/>
      <w:ind w:firstLine="0"/>
      <w:outlineLvl w:val="4"/>
    </w:pPr>
    <w:rPr>
      <w:rFonts w:eastAsia="Times New Roman" w:cs="Times New Roman"/>
      <w:b/>
      <w:bCs/>
      <w:sz w:val="23"/>
      <w:szCs w:val="23"/>
    </w:rPr>
  </w:style>
  <w:style w:type="character" w:customStyle="1" w:styleId="215">
    <w:name w:val="Основной текст (21)_"/>
    <w:basedOn w:val="a4"/>
    <w:link w:val="216"/>
    <w:rsid w:val="0047261E"/>
    <w:rPr>
      <w:rFonts w:ascii="Arial" w:eastAsia="Arial" w:hAnsi="Arial" w:cs="Arial"/>
      <w:b/>
      <w:bCs/>
      <w:i/>
      <w:iCs/>
      <w:shd w:val="clear" w:color="auto" w:fill="FFFFFF"/>
    </w:rPr>
  </w:style>
  <w:style w:type="paragraph" w:customStyle="1" w:styleId="216">
    <w:name w:val="Основной текст (21)"/>
    <w:basedOn w:val="a3"/>
    <w:link w:val="215"/>
    <w:rsid w:val="0047261E"/>
    <w:pPr>
      <w:widowControl w:val="0"/>
      <w:shd w:val="clear" w:color="auto" w:fill="FFFFFF"/>
      <w:spacing w:before="120" w:after="120" w:line="0" w:lineRule="atLeast"/>
      <w:ind w:firstLine="0"/>
    </w:pPr>
    <w:rPr>
      <w:rFonts w:ascii="Arial" w:eastAsia="Arial" w:hAnsi="Arial" w:cs="Arial"/>
      <w:b/>
      <w:bCs/>
      <w:i/>
      <w:iCs/>
      <w:sz w:val="22"/>
    </w:rPr>
  </w:style>
  <w:style w:type="character" w:customStyle="1" w:styleId="82">
    <w:name w:val="Основной текст (8)_"/>
    <w:basedOn w:val="a4"/>
    <w:link w:val="83"/>
    <w:rsid w:val="0047261E"/>
    <w:rPr>
      <w:rFonts w:ascii="Times New Roman" w:eastAsia="Times New Roman" w:hAnsi="Times New Roman" w:cs="Times New Roman"/>
      <w:b/>
      <w:bCs/>
      <w:sz w:val="23"/>
      <w:szCs w:val="23"/>
      <w:shd w:val="clear" w:color="auto" w:fill="FFFFFF"/>
    </w:rPr>
  </w:style>
  <w:style w:type="paragraph" w:customStyle="1" w:styleId="83">
    <w:name w:val="Основной текст (8)"/>
    <w:basedOn w:val="a3"/>
    <w:link w:val="82"/>
    <w:rsid w:val="0047261E"/>
    <w:pPr>
      <w:widowControl w:val="0"/>
      <w:shd w:val="clear" w:color="auto" w:fill="FFFFFF"/>
      <w:spacing w:before="1560" w:line="283" w:lineRule="exact"/>
      <w:ind w:hanging="340"/>
    </w:pPr>
    <w:rPr>
      <w:rFonts w:eastAsia="Times New Roman" w:cs="Times New Roman"/>
      <w:b/>
      <w:bCs/>
      <w:sz w:val="23"/>
      <w:szCs w:val="23"/>
    </w:rPr>
  </w:style>
  <w:style w:type="character" w:customStyle="1" w:styleId="2Arial10pt">
    <w:name w:val="Основной текст (2) + Arial;10 pt;Полужирный"/>
    <w:basedOn w:val="2f"/>
    <w:rsid w:val="0047261E"/>
    <w:rPr>
      <w:rFonts w:ascii="Arial" w:eastAsia="Arial" w:hAnsi="Arial" w:cs="Arial"/>
      <w:b/>
      <w:bCs/>
      <w:i w:val="0"/>
      <w:iCs w:val="0"/>
      <w:smallCaps w:val="0"/>
      <w:strike w:val="0"/>
      <w:color w:val="000000"/>
      <w:spacing w:val="0"/>
      <w:w w:val="100"/>
      <w:position w:val="0"/>
      <w:sz w:val="20"/>
      <w:szCs w:val="20"/>
      <w:u w:val="none"/>
      <w:shd w:val="clear" w:color="auto" w:fill="FFFFFF"/>
      <w:lang w:val="ru-RU" w:eastAsia="ru-RU" w:bidi="ru-RU"/>
    </w:rPr>
  </w:style>
  <w:style w:type="character" w:customStyle="1" w:styleId="2115pt">
    <w:name w:val="Основной текст (2) + 11;5 pt;Полужирный"/>
    <w:basedOn w:val="2f"/>
    <w:rsid w:val="0047261E"/>
    <w:rPr>
      <w:rFonts w:ascii="Times New Roman" w:eastAsia="Times New Roman" w:hAnsi="Times New Roman" w:cs="Times New Roman"/>
      <w:b/>
      <w:bCs/>
      <w:i w:val="0"/>
      <w:iCs w:val="0"/>
      <w:smallCaps w:val="0"/>
      <w:strike w:val="0"/>
      <w:color w:val="000000"/>
      <w:spacing w:val="0"/>
      <w:w w:val="100"/>
      <w:position w:val="0"/>
      <w:sz w:val="23"/>
      <w:szCs w:val="23"/>
      <w:u w:val="none"/>
      <w:shd w:val="clear" w:color="auto" w:fill="FFFFFF"/>
      <w:lang w:val="ru-RU" w:eastAsia="ru-RU" w:bidi="ru-RU"/>
    </w:rPr>
  </w:style>
  <w:style w:type="paragraph" w:customStyle="1" w:styleId="1-0">
    <w:name w:val="Список маркированный 1-го уровня"/>
    <w:basedOn w:val="a3"/>
    <w:link w:val="1-1"/>
    <w:autoRedefine/>
    <w:qFormat/>
    <w:rsid w:val="0047261E"/>
    <w:pPr>
      <w:suppressAutoHyphens/>
      <w:adjustRightInd w:val="0"/>
      <w:spacing w:line="360" w:lineRule="auto"/>
      <w:ind w:firstLine="0"/>
      <w:textAlignment w:val="baseline"/>
    </w:pPr>
    <w:rPr>
      <w:rFonts w:eastAsia="Times New Roman" w:cs="Times New Roman"/>
      <w:spacing w:val="-5"/>
      <w:sz w:val="28"/>
      <w:szCs w:val="28"/>
      <w:lang w:eastAsia="ru-RU"/>
    </w:rPr>
  </w:style>
  <w:style w:type="character" w:customStyle="1" w:styleId="1-1">
    <w:name w:val="Список маркированный 1-го уровня Знак"/>
    <w:basedOn w:val="a4"/>
    <w:link w:val="1-0"/>
    <w:rsid w:val="0047261E"/>
    <w:rPr>
      <w:rFonts w:ascii="Times New Roman" w:eastAsia="Times New Roman" w:hAnsi="Times New Roman" w:cs="Times New Roman"/>
      <w:spacing w:val="-5"/>
      <w:sz w:val="28"/>
      <w:szCs w:val="28"/>
      <w:lang w:eastAsia="ru-RU"/>
    </w:rPr>
  </w:style>
  <w:style w:type="numbering" w:customStyle="1" w:styleId="72">
    <w:name w:val="Нет списка7"/>
    <w:next w:val="a6"/>
    <w:uiPriority w:val="99"/>
    <w:semiHidden/>
    <w:unhideWhenUsed/>
    <w:rsid w:val="00322AE9"/>
  </w:style>
  <w:style w:type="paragraph" w:customStyle="1" w:styleId="affffffff4">
    <w:name w:val="Колонтитул верхний"/>
    <w:basedOn w:val="a3"/>
    <w:link w:val="affffffff5"/>
    <w:autoRedefine/>
    <w:uiPriority w:val="99"/>
    <w:rsid w:val="00322AE9"/>
    <w:pPr>
      <w:tabs>
        <w:tab w:val="center" w:pos="4677"/>
      </w:tabs>
      <w:suppressAutoHyphens/>
      <w:adjustRightInd w:val="0"/>
      <w:ind w:firstLine="0"/>
      <w:jc w:val="center"/>
      <w:textAlignment w:val="baseline"/>
    </w:pPr>
    <w:rPr>
      <w:rFonts w:eastAsia="Times New Roman" w:cs="Times New Roman"/>
      <w:i/>
      <w:color w:val="262626"/>
      <w:spacing w:val="-5"/>
      <w:sz w:val="18"/>
      <w:szCs w:val="18"/>
    </w:rPr>
  </w:style>
  <w:style w:type="character" w:customStyle="1" w:styleId="affffffff5">
    <w:name w:val="Колонтитул верхний Знак"/>
    <w:link w:val="affffffff4"/>
    <w:uiPriority w:val="99"/>
    <w:rsid w:val="00322AE9"/>
    <w:rPr>
      <w:rFonts w:ascii="Times New Roman" w:eastAsia="Times New Roman" w:hAnsi="Times New Roman" w:cs="Times New Roman"/>
      <w:i/>
      <w:color w:val="262626"/>
      <w:spacing w:val="-5"/>
      <w:sz w:val="18"/>
      <w:szCs w:val="18"/>
    </w:rPr>
  </w:style>
  <w:style w:type="paragraph" w:customStyle="1" w:styleId="affffffff6">
    <w:name w:val="Колонтитул нижний"/>
    <w:basedOn w:val="a3"/>
    <w:autoRedefine/>
    <w:qFormat/>
    <w:rsid w:val="00322AE9"/>
    <w:pPr>
      <w:tabs>
        <w:tab w:val="center" w:pos="4678"/>
        <w:tab w:val="right" w:pos="9356"/>
      </w:tabs>
      <w:suppressAutoHyphens/>
      <w:adjustRightInd w:val="0"/>
      <w:ind w:firstLine="567"/>
      <w:textAlignment w:val="baseline"/>
    </w:pPr>
    <w:rPr>
      <w:rFonts w:eastAsia="Times New Roman" w:cs="Times New Roman"/>
      <w:spacing w:val="-5"/>
      <w:szCs w:val="24"/>
    </w:rPr>
  </w:style>
  <w:style w:type="paragraph" w:customStyle="1" w:styleId="affffffff7">
    <w:name w:val="Рисунок встроенный"/>
    <w:basedOn w:val="a3"/>
    <w:next w:val="a3"/>
    <w:link w:val="affffffff8"/>
    <w:autoRedefine/>
    <w:rsid w:val="00322AE9"/>
    <w:pPr>
      <w:keepNext/>
      <w:keepLines/>
      <w:suppressAutoHyphens/>
      <w:adjustRightInd w:val="0"/>
      <w:spacing w:line="360" w:lineRule="auto"/>
      <w:ind w:firstLine="0"/>
      <w:jc w:val="center"/>
      <w:textAlignment w:val="baseline"/>
    </w:pPr>
    <w:rPr>
      <w:rFonts w:eastAsia="Times New Roman" w:cs="Times New Roman"/>
      <w:noProof/>
      <w:szCs w:val="24"/>
      <w:lang w:eastAsia="ru-RU"/>
    </w:rPr>
  </w:style>
  <w:style w:type="character" w:customStyle="1" w:styleId="affffffff8">
    <w:name w:val="Рисунок встроенный Знак"/>
    <w:link w:val="affffffff7"/>
    <w:rsid w:val="00322AE9"/>
    <w:rPr>
      <w:rFonts w:ascii="Times New Roman" w:eastAsia="Times New Roman" w:hAnsi="Times New Roman" w:cs="Times New Roman"/>
      <w:noProof/>
      <w:sz w:val="24"/>
      <w:szCs w:val="24"/>
      <w:lang w:eastAsia="ru-RU"/>
    </w:rPr>
  </w:style>
  <w:style w:type="paragraph" w:customStyle="1" w:styleId="affffffff9">
    <w:name w:val="Рисунок_название"/>
    <w:basedOn w:val="a3"/>
    <w:next w:val="a3"/>
    <w:link w:val="affffffffa"/>
    <w:autoRedefine/>
    <w:rsid w:val="00322AE9"/>
    <w:pPr>
      <w:keepLines/>
      <w:suppressAutoHyphens/>
      <w:adjustRightInd w:val="0"/>
      <w:spacing w:before="120" w:after="240"/>
      <w:ind w:firstLine="0"/>
      <w:jc w:val="center"/>
      <w:textAlignment w:val="baseline"/>
    </w:pPr>
    <w:rPr>
      <w:rFonts w:eastAsia="Times New Roman" w:cs="Times New Roman"/>
      <w:b/>
      <w:spacing w:val="-5"/>
      <w:kern w:val="16"/>
      <w:sz w:val="20"/>
      <w:szCs w:val="20"/>
    </w:rPr>
  </w:style>
  <w:style w:type="character" w:customStyle="1" w:styleId="affffffffa">
    <w:name w:val="Рисунок_название Знак"/>
    <w:link w:val="affffffff9"/>
    <w:rsid w:val="00322AE9"/>
    <w:rPr>
      <w:rFonts w:ascii="Times New Roman" w:eastAsia="Times New Roman" w:hAnsi="Times New Roman" w:cs="Times New Roman"/>
      <w:b/>
      <w:spacing w:val="-5"/>
      <w:kern w:val="16"/>
      <w:sz w:val="20"/>
      <w:szCs w:val="20"/>
    </w:rPr>
  </w:style>
  <w:style w:type="paragraph" w:customStyle="1" w:styleId="affffffffb">
    <w:name w:val="Таблица_ячейка_центр"/>
    <w:basedOn w:val="a3"/>
    <w:link w:val="affffffffc"/>
    <w:autoRedefine/>
    <w:uiPriority w:val="99"/>
    <w:rsid w:val="00322AE9"/>
    <w:pPr>
      <w:suppressAutoHyphens/>
      <w:adjustRightInd w:val="0"/>
      <w:ind w:firstLine="0"/>
      <w:jc w:val="center"/>
      <w:textAlignment w:val="baseline"/>
    </w:pPr>
    <w:rPr>
      <w:rFonts w:eastAsia="Times New Roman" w:cs="Times New Roman"/>
      <w:color w:val="000000"/>
      <w:spacing w:val="-5"/>
      <w:sz w:val="20"/>
      <w:szCs w:val="24"/>
      <w:lang w:eastAsia="ru-RU"/>
    </w:rPr>
  </w:style>
  <w:style w:type="character" w:customStyle="1" w:styleId="affffffffc">
    <w:name w:val="Таблица_ячейка_центр Знак"/>
    <w:link w:val="affffffffb"/>
    <w:uiPriority w:val="99"/>
    <w:rsid w:val="00322AE9"/>
    <w:rPr>
      <w:rFonts w:ascii="Times New Roman" w:eastAsia="Times New Roman" w:hAnsi="Times New Roman" w:cs="Times New Roman"/>
      <w:color w:val="000000"/>
      <w:spacing w:val="-5"/>
      <w:sz w:val="20"/>
      <w:szCs w:val="24"/>
      <w:lang w:eastAsia="ru-RU"/>
    </w:rPr>
  </w:style>
  <w:style w:type="character" w:customStyle="1" w:styleId="affa">
    <w:name w:val="Таблица шапка Знак"/>
    <w:link w:val="aff9"/>
    <w:uiPriority w:val="99"/>
    <w:rsid w:val="00322AE9"/>
    <w:rPr>
      <w:rFonts w:ascii="Arial" w:eastAsia="Times New Roman" w:hAnsi="Arial" w:cs="Times New Roman"/>
      <w:sz w:val="16"/>
      <w:szCs w:val="20"/>
      <w:lang w:eastAsia="ru-RU"/>
    </w:rPr>
  </w:style>
  <w:style w:type="paragraph" w:customStyle="1" w:styleId="a2">
    <w:name w:val="Приложение_название"/>
    <w:basedOn w:val="a3"/>
    <w:next w:val="a3"/>
    <w:link w:val="affffffffd"/>
    <w:autoRedefine/>
    <w:uiPriority w:val="99"/>
    <w:rsid w:val="00322AE9"/>
    <w:pPr>
      <w:pageBreakBefore/>
      <w:numPr>
        <w:numId w:val="68"/>
      </w:numPr>
      <w:suppressAutoHyphens/>
      <w:adjustRightInd w:val="0"/>
      <w:spacing w:line="360" w:lineRule="auto"/>
      <w:jc w:val="left"/>
      <w:textAlignment w:val="baseline"/>
      <w:outlineLvl w:val="0"/>
    </w:pPr>
    <w:rPr>
      <w:rFonts w:eastAsia="Times New Roman" w:cs="Times New Roman"/>
      <w:b/>
      <w:caps/>
      <w:spacing w:val="-5"/>
      <w:szCs w:val="24"/>
    </w:rPr>
  </w:style>
  <w:style w:type="character" w:customStyle="1" w:styleId="affffffffd">
    <w:name w:val="Приложение_название Знак"/>
    <w:link w:val="a2"/>
    <w:uiPriority w:val="99"/>
    <w:locked/>
    <w:rsid w:val="00322AE9"/>
    <w:rPr>
      <w:rFonts w:ascii="Times New Roman" w:eastAsia="Times New Roman" w:hAnsi="Times New Roman" w:cs="Times New Roman"/>
      <w:b/>
      <w:caps/>
      <w:spacing w:val="-5"/>
      <w:sz w:val="24"/>
      <w:szCs w:val="24"/>
    </w:rPr>
  </w:style>
  <w:style w:type="paragraph" w:customStyle="1" w:styleId="affffffffe">
    <w:name w:val="Таблица название"/>
    <w:basedOn w:val="a3"/>
    <w:next w:val="a3"/>
    <w:link w:val="afffffffff"/>
    <w:autoRedefine/>
    <w:uiPriority w:val="99"/>
    <w:qFormat/>
    <w:rsid w:val="00322AE9"/>
    <w:pPr>
      <w:keepNext/>
      <w:suppressAutoHyphens/>
      <w:adjustRightInd w:val="0"/>
      <w:spacing w:before="200" w:after="120"/>
      <w:ind w:firstLine="0"/>
      <w:jc w:val="right"/>
      <w:textAlignment w:val="baseline"/>
    </w:pPr>
    <w:rPr>
      <w:rFonts w:eastAsia="Times New Roman" w:cs="Times New Roman"/>
      <w:b/>
      <w:spacing w:val="-5"/>
      <w:sz w:val="20"/>
      <w:szCs w:val="20"/>
    </w:rPr>
  </w:style>
  <w:style w:type="character" w:customStyle="1" w:styleId="afffffffff">
    <w:name w:val="Таблица название Знак"/>
    <w:link w:val="affffffffe"/>
    <w:uiPriority w:val="99"/>
    <w:rsid w:val="00322AE9"/>
    <w:rPr>
      <w:rFonts w:ascii="Times New Roman" w:eastAsia="Times New Roman" w:hAnsi="Times New Roman" w:cs="Times New Roman"/>
      <w:b/>
      <w:spacing w:val="-5"/>
      <w:sz w:val="20"/>
      <w:szCs w:val="20"/>
    </w:rPr>
  </w:style>
  <w:style w:type="paragraph" w:styleId="z-1">
    <w:name w:val="HTML Top of Form"/>
    <w:basedOn w:val="a3"/>
    <w:next w:val="a3"/>
    <w:link w:val="z-2"/>
    <w:hidden/>
    <w:uiPriority w:val="99"/>
    <w:rsid w:val="00322AE9"/>
    <w:pPr>
      <w:pBdr>
        <w:bottom w:val="single" w:sz="6" w:space="1" w:color="auto"/>
      </w:pBdr>
      <w:suppressAutoHyphens/>
      <w:adjustRightInd w:val="0"/>
      <w:spacing w:line="360" w:lineRule="auto"/>
      <w:ind w:firstLine="567"/>
      <w:jc w:val="center"/>
      <w:textAlignment w:val="baseline"/>
    </w:pPr>
    <w:rPr>
      <w:rFonts w:eastAsia="Arial Unicode MS" w:cs="Times New Roman"/>
      <w:vanish/>
      <w:sz w:val="16"/>
      <w:szCs w:val="16"/>
    </w:rPr>
  </w:style>
  <w:style w:type="character" w:customStyle="1" w:styleId="z-2">
    <w:name w:val="z-Начало формы Знак"/>
    <w:basedOn w:val="a4"/>
    <w:link w:val="z-1"/>
    <w:uiPriority w:val="99"/>
    <w:rsid w:val="00322AE9"/>
    <w:rPr>
      <w:rFonts w:ascii="Times New Roman" w:eastAsia="Arial Unicode MS" w:hAnsi="Times New Roman" w:cs="Times New Roman"/>
      <w:vanish/>
      <w:sz w:val="16"/>
      <w:szCs w:val="16"/>
    </w:rPr>
  </w:style>
  <w:style w:type="paragraph" w:customStyle="1" w:styleId="afffffffff0">
    <w:name w:val="Формула_номер"/>
    <w:basedOn w:val="a3"/>
    <w:autoRedefine/>
    <w:uiPriority w:val="99"/>
    <w:rsid w:val="00322AE9"/>
    <w:pPr>
      <w:suppressAutoHyphens/>
      <w:adjustRightInd w:val="0"/>
      <w:spacing w:line="360" w:lineRule="auto"/>
      <w:ind w:firstLine="567"/>
      <w:jc w:val="right"/>
      <w:textAlignment w:val="baseline"/>
    </w:pPr>
    <w:rPr>
      <w:rFonts w:eastAsia="Calibri" w:cs="Arial"/>
      <w:spacing w:val="-5"/>
      <w:szCs w:val="24"/>
    </w:rPr>
  </w:style>
  <w:style w:type="paragraph" w:customStyle="1" w:styleId="afffffffff1">
    <w:name w:val="Формула_индексы"/>
    <w:basedOn w:val="a3"/>
    <w:autoRedefine/>
    <w:uiPriority w:val="99"/>
    <w:rsid w:val="00322AE9"/>
    <w:pPr>
      <w:tabs>
        <w:tab w:val="left" w:pos="1985"/>
        <w:tab w:val="left" w:pos="2268"/>
      </w:tabs>
      <w:suppressAutoHyphens/>
      <w:adjustRightInd w:val="0"/>
      <w:spacing w:after="240" w:line="240" w:lineRule="atLeast"/>
      <w:ind w:left="2279" w:hanging="1440"/>
      <w:contextualSpacing/>
      <w:textAlignment w:val="baseline"/>
    </w:pPr>
    <w:rPr>
      <w:rFonts w:eastAsia="Calibri" w:cs="Arial"/>
      <w:spacing w:val="-5"/>
      <w:kern w:val="16"/>
      <w:szCs w:val="24"/>
      <w:lang w:eastAsia="ru-RU"/>
    </w:rPr>
  </w:style>
  <w:style w:type="paragraph" w:customStyle="1" w:styleId="afffffffff2">
    <w:name w:val="Рисунок название"/>
    <w:basedOn w:val="a3"/>
    <w:next w:val="a3"/>
    <w:autoRedefine/>
    <w:uiPriority w:val="99"/>
    <w:semiHidden/>
    <w:rsid w:val="00322AE9"/>
    <w:pPr>
      <w:suppressAutoHyphens/>
      <w:adjustRightInd w:val="0"/>
      <w:ind w:firstLine="0"/>
      <w:jc w:val="center"/>
      <w:textAlignment w:val="baseline"/>
    </w:pPr>
    <w:rPr>
      <w:rFonts w:eastAsia="Times New Roman" w:cs="Arial"/>
      <w:bCs/>
      <w:position w:val="-24"/>
      <w:sz w:val="18"/>
      <w:szCs w:val="18"/>
      <w:lang w:val="en-US" w:eastAsia="ru-RU"/>
    </w:rPr>
  </w:style>
  <w:style w:type="paragraph" w:customStyle="1" w:styleId="afffffffff3">
    <w:name w:val="Формулы_по_центру"/>
    <w:basedOn w:val="a3"/>
    <w:next w:val="a3"/>
    <w:link w:val="afffffffff4"/>
    <w:autoRedefine/>
    <w:rsid w:val="00322AE9"/>
    <w:pPr>
      <w:suppressAutoHyphens/>
      <w:adjustRightInd w:val="0"/>
      <w:ind w:left="34" w:firstLine="17"/>
      <w:jc w:val="center"/>
      <w:textAlignment w:val="baseline"/>
    </w:pPr>
    <w:rPr>
      <w:rFonts w:eastAsia="Times New Roman" w:cs="Times New Roman"/>
      <w:b/>
      <w:bCs/>
      <w:spacing w:val="-5"/>
      <w:sz w:val="22"/>
    </w:rPr>
  </w:style>
  <w:style w:type="character" w:customStyle="1" w:styleId="afffffffff4">
    <w:name w:val="Формулы_по_центру Знак"/>
    <w:link w:val="afffffffff3"/>
    <w:rsid w:val="00322AE9"/>
    <w:rPr>
      <w:rFonts w:ascii="Times New Roman" w:eastAsia="Times New Roman" w:hAnsi="Times New Roman" w:cs="Times New Roman"/>
      <w:b/>
      <w:bCs/>
      <w:spacing w:val="-5"/>
    </w:rPr>
  </w:style>
  <w:style w:type="paragraph" w:customStyle="1" w:styleId="afffffffff5">
    <w:name w:val="Стиль По правому краю"/>
    <w:basedOn w:val="a3"/>
    <w:autoRedefine/>
    <w:rsid w:val="00322AE9"/>
    <w:pPr>
      <w:suppressAutoHyphens/>
      <w:adjustRightInd w:val="0"/>
      <w:spacing w:line="360" w:lineRule="auto"/>
      <w:ind w:firstLine="0"/>
      <w:jc w:val="right"/>
      <w:textAlignment w:val="baseline"/>
    </w:pPr>
    <w:rPr>
      <w:rFonts w:eastAsia="Times New Roman" w:cs="Times New Roman"/>
      <w:spacing w:val="-5"/>
      <w:sz w:val="22"/>
    </w:rPr>
  </w:style>
  <w:style w:type="paragraph" w:customStyle="1" w:styleId="afffffffff6">
    <w:name w:val="Названия частей отчета КС"/>
    <w:basedOn w:val="a3"/>
    <w:link w:val="afffffffff7"/>
    <w:autoRedefine/>
    <w:rsid w:val="00322AE9"/>
    <w:pPr>
      <w:suppressAutoHyphens/>
      <w:spacing w:before="240" w:after="240"/>
      <w:ind w:firstLine="0"/>
      <w:jc w:val="center"/>
      <w:outlineLvl w:val="0"/>
    </w:pPr>
    <w:rPr>
      <w:rFonts w:eastAsia="Times New Roman" w:cs="Times New Roman"/>
      <w:b/>
      <w:caps/>
      <w:sz w:val="48"/>
      <w:szCs w:val="24"/>
      <w:lang w:eastAsia="ru-RU"/>
    </w:rPr>
  </w:style>
  <w:style w:type="character" w:customStyle="1" w:styleId="afffffffff7">
    <w:name w:val="Названия частей отчета КС Знак"/>
    <w:link w:val="afffffffff6"/>
    <w:rsid w:val="00322AE9"/>
    <w:rPr>
      <w:rFonts w:ascii="Times New Roman" w:eastAsia="Times New Roman" w:hAnsi="Times New Roman" w:cs="Times New Roman"/>
      <w:b/>
      <w:caps/>
      <w:sz w:val="48"/>
      <w:szCs w:val="24"/>
      <w:lang w:eastAsia="ru-RU"/>
    </w:rPr>
  </w:style>
  <w:style w:type="paragraph" w:customStyle="1" w:styleId="2-">
    <w:name w:val="Список маркированный 2-го уровня"/>
    <w:basedOn w:val="a3"/>
    <w:autoRedefine/>
    <w:qFormat/>
    <w:rsid w:val="00322AE9"/>
    <w:pPr>
      <w:numPr>
        <w:numId w:val="66"/>
      </w:numPr>
      <w:suppressAutoHyphens/>
      <w:adjustRightInd w:val="0"/>
      <w:spacing w:line="360" w:lineRule="auto"/>
      <w:textAlignment w:val="baseline"/>
    </w:pPr>
    <w:rPr>
      <w:rFonts w:eastAsia="Times New Roman" w:cs="Times New Roman"/>
      <w:spacing w:val="-5"/>
      <w:szCs w:val="24"/>
      <w:lang w:eastAsia="ru-RU"/>
    </w:rPr>
  </w:style>
  <w:style w:type="paragraph" w:customStyle="1" w:styleId="1-">
    <w:name w:val="Список нумерованный 1-го уровня"/>
    <w:basedOn w:val="a3"/>
    <w:qFormat/>
    <w:rsid w:val="00322AE9"/>
    <w:pPr>
      <w:numPr>
        <w:numId w:val="67"/>
      </w:numPr>
      <w:suppressAutoHyphens/>
      <w:adjustRightInd w:val="0"/>
      <w:spacing w:line="360" w:lineRule="auto"/>
      <w:textAlignment w:val="baseline"/>
    </w:pPr>
    <w:rPr>
      <w:rFonts w:eastAsia="Times New Roman" w:cs="Times New Roman"/>
      <w:spacing w:val="-5"/>
      <w:szCs w:val="24"/>
    </w:rPr>
  </w:style>
  <w:style w:type="paragraph" w:customStyle="1" w:styleId="2-0">
    <w:name w:val="Список нумерованный 2-го уровня"/>
    <w:basedOn w:val="a3"/>
    <w:autoRedefine/>
    <w:qFormat/>
    <w:rsid w:val="00322AE9"/>
    <w:pPr>
      <w:numPr>
        <w:numId w:val="71"/>
      </w:numPr>
      <w:suppressAutoHyphens/>
      <w:adjustRightInd w:val="0"/>
      <w:spacing w:line="360" w:lineRule="auto"/>
      <w:textAlignment w:val="baseline"/>
    </w:pPr>
    <w:rPr>
      <w:rFonts w:eastAsia="Times New Roman" w:cs="Times New Roman"/>
      <w:spacing w:val="-5"/>
      <w:szCs w:val="24"/>
    </w:rPr>
  </w:style>
  <w:style w:type="paragraph" w:customStyle="1" w:styleId="3-">
    <w:name w:val="Список маркированный 3-го уровня"/>
    <w:basedOn w:val="affffffff6"/>
    <w:qFormat/>
    <w:rsid w:val="00322AE9"/>
    <w:pPr>
      <w:numPr>
        <w:numId w:val="69"/>
      </w:numPr>
      <w:spacing w:line="360" w:lineRule="auto"/>
    </w:pPr>
  </w:style>
  <w:style w:type="paragraph" w:customStyle="1" w:styleId="afffffffff8">
    <w:name w:val="Таблица_ячейка_слева"/>
    <w:basedOn w:val="a3"/>
    <w:link w:val="afffffffff9"/>
    <w:autoRedefine/>
    <w:uiPriority w:val="99"/>
    <w:rsid w:val="00322AE9"/>
    <w:pPr>
      <w:suppressAutoHyphens/>
      <w:adjustRightInd w:val="0"/>
      <w:ind w:right="-117" w:firstLine="0"/>
      <w:jc w:val="left"/>
      <w:textAlignment w:val="baseline"/>
    </w:pPr>
    <w:rPr>
      <w:rFonts w:eastAsia="Times New Roman" w:cs="Times New Roman"/>
      <w:spacing w:val="-5"/>
      <w:sz w:val="20"/>
      <w:szCs w:val="24"/>
    </w:rPr>
  </w:style>
  <w:style w:type="character" w:customStyle="1" w:styleId="afffffffff9">
    <w:name w:val="Таблица_ячейка_слева Знак"/>
    <w:link w:val="afffffffff8"/>
    <w:uiPriority w:val="99"/>
    <w:rsid w:val="00322AE9"/>
    <w:rPr>
      <w:rFonts w:ascii="Times New Roman" w:eastAsia="Times New Roman" w:hAnsi="Times New Roman" w:cs="Times New Roman"/>
      <w:spacing w:val="-5"/>
      <w:sz w:val="20"/>
      <w:szCs w:val="24"/>
    </w:rPr>
  </w:style>
  <w:style w:type="table" w:customStyle="1" w:styleId="47">
    <w:name w:val="Сетка таблицы4"/>
    <w:basedOn w:val="a5"/>
    <w:next w:val="af2"/>
    <w:uiPriority w:val="59"/>
    <w:rsid w:val="00322AE9"/>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ffffffa">
    <w:name w:val="Таблица_номер_ячейки"/>
    <w:basedOn w:val="affffffffb"/>
    <w:qFormat/>
    <w:rsid w:val="00322AE9"/>
    <w:rPr>
      <w:b/>
      <w:sz w:val="16"/>
    </w:rPr>
  </w:style>
  <w:style w:type="paragraph" w:customStyle="1" w:styleId="afffffffffb">
    <w:name w:val="Таблица_ячейка_справа"/>
    <w:basedOn w:val="a3"/>
    <w:link w:val="afffffffffc"/>
    <w:autoRedefine/>
    <w:qFormat/>
    <w:rsid w:val="00322AE9"/>
    <w:pPr>
      <w:suppressAutoHyphens/>
      <w:adjustRightInd w:val="0"/>
      <w:ind w:firstLine="0"/>
      <w:jc w:val="right"/>
      <w:textAlignment w:val="baseline"/>
    </w:pPr>
    <w:rPr>
      <w:rFonts w:eastAsia="Times New Roman" w:cs="Times New Roman"/>
      <w:spacing w:val="-5"/>
      <w:sz w:val="20"/>
      <w:szCs w:val="24"/>
    </w:rPr>
  </w:style>
  <w:style w:type="character" w:customStyle="1" w:styleId="afffffffffc">
    <w:name w:val="Таблица_ячейка_справа Знак"/>
    <w:basedOn w:val="a4"/>
    <w:link w:val="afffffffffb"/>
    <w:rsid w:val="00322AE9"/>
    <w:rPr>
      <w:rFonts w:ascii="Times New Roman" w:eastAsia="Times New Roman" w:hAnsi="Times New Roman" w:cs="Times New Roman"/>
      <w:spacing w:val="-5"/>
      <w:sz w:val="20"/>
      <w:szCs w:val="24"/>
    </w:rPr>
  </w:style>
  <w:style w:type="paragraph" w:customStyle="1" w:styleId="afffffffffd">
    <w:name w:val="Заголовок без нумерации"/>
    <w:basedOn w:val="a3"/>
    <w:qFormat/>
    <w:rsid w:val="00322AE9"/>
    <w:pPr>
      <w:suppressAutoHyphens/>
      <w:adjustRightInd w:val="0"/>
      <w:spacing w:before="120" w:after="240"/>
      <w:ind w:firstLine="567"/>
      <w:textAlignment w:val="baseline"/>
    </w:pPr>
    <w:rPr>
      <w:rFonts w:eastAsia="Times New Roman" w:cs="Times New Roman"/>
      <w:b/>
      <w:spacing w:val="-10"/>
      <w:kern w:val="20"/>
      <w:szCs w:val="24"/>
    </w:rPr>
  </w:style>
  <w:style w:type="paragraph" w:customStyle="1" w:styleId="3f4">
    <w:name w:val="3 заголовок"/>
    <w:basedOn w:val="3"/>
    <w:next w:val="a3"/>
    <w:autoRedefine/>
    <w:rsid w:val="00322AE9"/>
    <w:pPr>
      <w:keepNext w:val="0"/>
      <w:keepLines w:val="0"/>
      <w:widowControl w:val="0"/>
      <w:tabs>
        <w:tab w:val="left" w:pos="1134"/>
      </w:tabs>
      <w:autoSpaceDN w:val="0"/>
      <w:spacing w:before="0"/>
      <w:ind w:left="0" w:firstLine="851"/>
      <w:jc w:val="left"/>
      <w:textAlignment w:val="baseline"/>
    </w:pPr>
    <w:rPr>
      <w:rFonts w:eastAsia="Times New Roman"/>
      <w:b w:val="0"/>
      <w:sz w:val="20"/>
      <w:szCs w:val="20"/>
      <w:lang w:eastAsia="ru-RU"/>
    </w:rPr>
  </w:style>
  <w:style w:type="numbering" w:customStyle="1" w:styleId="84">
    <w:name w:val="Нет списка8"/>
    <w:next w:val="a6"/>
    <w:uiPriority w:val="99"/>
    <w:semiHidden/>
    <w:unhideWhenUsed/>
    <w:rsid w:val="0027201C"/>
  </w:style>
  <w:style w:type="table" w:customStyle="1" w:styleId="58">
    <w:name w:val="Сетка таблицы5"/>
    <w:basedOn w:val="a5"/>
    <w:next w:val="af2"/>
    <w:uiPriority w:val="59"/>
    <w:rsid w:val="0027201C"/>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8">
    <w:name w:val="Статья / Раздел218"/>
    <w:basedOn w:val="a6"/>
    <w:next w:val="afff0"/>
    <w:uiPriority w:val="99"/>
    <w:semiHidden/>
    <w:unhideWhenUsed/>
    <w:rsid w:val="00041D42"/>
    <w:pPr>
      <w:numPr>
        <w:numId w:val="95"/>
      </w:numPr>
    </w:pPr>
  </w:style>
  <w:style w:type="numbering" w:customStyle="1" w:styleId="93">
    <w:name w:val="Нет списка9"/>
    <w:next w:val="a6"/>
    <w:uiPriority w:val="99"/>
    <w:semiHidden/>
    <w:unhideWhenUsed/>
    <w:rsid w:val="00D36CC5"/>
  </w:style>
  <w:style w:type="character" w:customStyle="1" w:styleId="afffffffffe">
    <w:name w:val="Цветовое выделение"/>
    <w:uiPriority w:val="99"/>
    <w:rsid w:val="00C54C00"/>
    <w:rPr>
      <w:b/>
      <w:bCs/>
      <w:color w:val="26282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215589">
      <w:bodyDiv w:val="1"/>
      <w:marLeft w:val="0"/>
      <w:marRight w:val="0"/>
      <w:marTop w:val="0"/>
      <w:marBottom w:val="0"/>
      <w:divBdr>
        <w:top w:val="none" w:sz="0" w:space="0" w:color="auto"/>
        <w:left w:val="none" w:sz="0" w:space="0" w:color="auto"/>
        <w:bottom w:val="none" w:sz="0" w:space="0" w:color="auto"/>
        <w:right w:val="none" w:sz="0" w:space="0" w:color="auto"/>
      </w:divBdr>
    </w:div>
    <w:div w:id="147211049">
      <w:bodyDiv w:val="1"/>
      <w:marLeft w:val="0"/>
      <w:marRight w:val="0"/>
      <w:marTop w:val="0"/>
      <w:marBottom w:val="0"/>
      <w:divBdr>
        <w:top w:val="none" w:sz="0" w:space="0" w:color="auto"/>
        <w:left w:val="none" w:sz="0" w:space="0" w:color="auto"/>
        <w:bottom w:val="none" w:sz="0" w:space="0" w:color="auto"/>
        <w:right w:val="none" w:sz="0" w:space="0" w:color="auto"/>
      </w:divBdr>
    </w:div>
    <w:div w:id="156654181">
      <w:bodyDiv w:val="1"/>
      <w:marLeft w:val="0"/>
      <w:marRight w:val="0"/>
      <w:marTop w:val="0"/>
      <w:marBottom w:val="0"/>
      <w:divBdr>
        <w:top w:val="none" w:sz="0" w:space="0" w:color="auto"/>
        <w:left w:val="none" w:sz="0" w:space="0" w:color="auto"/>
        <w:bottom w:val="none" w:sz="0" w:space="0" w:color="auto"/>
        <w:right w:val="none" w:sz="0" w:space="0" w:color="auto"/>
      </w:divBdr>
    </w:div>
    <w:div w:id="181941471">
      <w:bodyDiv w:val="1"/>
      <w:marLeft w:val="0"/>
      <w:marRight w:val="0"/>
      <w:marTop w:val="0"/>
      <w:marBottom w:val="0"/>
      <w:divBdr>
        <w:top w:val="none" w:sz="0" w:space="0" w:color="auto"/>
        <w:left w:val="none" w:sz="0" w:space="0" w:color="auto"/>
        <w:bottom w:val="none" w:sz="0" w:space="0" w:color="auto"/>
        <w:right w:val="none" w:sz="0" w:space="0" w:color="auto"/>
      </w:divBdr>
    </w:div>
    <w:div w:id="216085789">
      <w:bodyDiv w:val="1"/>
      <w:marLeft w:val="0"/>
      <w:marRight w:val="0"/>
      <w:marTop w:val="0"/>
      <w:marBottom w:val="0"/>
      <w:divBdr>
        <w:top w:val="none" w:sz="0" w:space="0" w:color="auto"/>
        <w:left w:val="none" w:sz="0" w:space="0" w:color="auto"/>
        <w:bottom w:val="none" w:sz="0" w:space="0" w:color="auto"/>
        <w:right w:val="none" w:sz="0" w:space="0" w:color="auto"/>
      </w:divBdr>
    </w:div>
    <w:div w:id="224603868">
      <w:bodyDiv w:val="1"/>
      <w:marLeft w:val="0"/>
      <w:marRight w:val="0"/>
      <w:marTop w:val="0"/>
      <w:marBottom w:val="0"/>
      <w:divBdr>
        <w:top w:val="none" w:sz="0" w:space="0" w:color="auto"/>
        <w:left w:val="none" w:sz="0" w:space="0" w:color="auto"/>
        <w:bottom w:val="none" w:sz="0" w:space="0" w:color="auto"/>
        <w:right w:val="none" w:sz="0" w:space="0" w:color="auto"/>
      </w:divBdr>
      <w:divsChild>
        <w:div w:id="470488643">
          <w:marLeft w:val="0"/>
          <w:marRight w:val="0"/>
          <w:marTop w:val="0"/>
          <w:marBottom w:val="0"/>
          <w:divBdr>
            <w:top w:val="none" w:sz="0" w:space="0" w:color="auto"/>
            <w:left w:val="none" w:sz="0" w:space="0" w:color="auto"/>
            <w:bottom w:val="none" w:sz="0" w:space="0" w:color="auto"/>
            <w:right w:val="none" w:sz="0" w:space="0" w:color="auto"/>
          </w:divBdr>
        </w:div>
      </w:divsChild>
    </w:div>
    <w:div w:id="230238019">
      <w:bodyDiv w:val="1"/>
      <w:marLeft w:val="0"/>
      <w:marRight w:val="0"/>
      <w:marTop w:val="0"/>
      <w:marBottom w:val="0"/>
      <w:divBdr>
        <w:top w:val="none" w:sz="0" w:space="0" w:color="auto"/>
        <w:left w:val="none" w:sz="0" w:space="0" w:color="auto"/>
        <w:bottom w:val="none" w:sz="0" w:space="0" w:color="auto"/>
        <w:right w:val="none" w:sz="0" w:space="0" w:color="auto"/>
      </w:divBdr>
    </w:div>
    <w:div w:id="235751324">
      <w:bodyDiv w:val="1"/>
      <w:marLeft w:val="0"/>
      <w:marRight w:val="0"/>
      <w:marTop w:val="0"/>
      <w:marBottom w:val="0"/>
      <w:divBdr>
        <w:top w:val="none" w:sz="0" w:space="0" w:color="auto"/>
        <w:left w:val="none" w:sz="0" w:space="0" w:color="auto"/>
        <w:bottom w:val="none" w:sz="0" w:space="0" w:color="auto"/>
        <w:right w:val="none" w:sz="0" w:space="0" w:color="auto"/>
      </w:divBdr>
    </w:div>
    <w:div w:id="242422593">
      <w:bodyDiv w:val="1"/>
      <w:marLeft w:val="0"/>
      <w:marRight w:val="0"/>
      <w:marTop w:val="0"/>
      <w:marBottom w:val="0"/>
      <w:divBdr>
        <w:top w:val="none" w:sz="0" w:space="0" w:color="auto"/>
        <w:left w:val="none" w:sz="0" w:space="0" w:color="auto"/>
        <w:bottom w:val="none" w:sz="0" w:space="0" w:color="auto"/>
        <w:right w:val="none" w:sz="0" w:space="0" w:color="auto"/>
      </w:divBdr>
    </w:div>
    <w:div w:id="346054508">
      <w:bodyDiv w:val="1"/>
      <w:marLeft w:val="0"/>
      <w:marRight w:val="0"/>
      <w:marTop w:val="0"/>
      <w:marBottom w:val="0"/>
      <w:divBdr>
        <w:top w:val="none" w:sz="0" w:space="0" w:color="auto"/>
        <w:left w:val="none" w:sz="0" w:space="0" w:color="auto"/>
        <w:bottom w:val="none" w:sz="0" w:space="0" w:color="auto"/>
        <w:right w:val="none" w:sz="0" w:space="0" w:color="auto"/>
      </w:divBdr>
    </w:div>
    <w:div w:id="362899463">
      <w:bodyDiv w:val="1"/>
      <w:marLeft w:val="0"/>
      <w:marRight w:val="0"/>
      <w:marTop w:val="0"/>
      <w:marBottom w:val="0"/>
      <w:divBdr>
        <w:top w:val="none" w:sz="0" w:space="0" w:color="auto"/>
        <w:left w:val="none" w:sz="0" w:space="0" w:color="auto"/>
        <w:bottom w:val="none" w:sz="0" w:space="0" w:color="auto"/>
        <w:right w:val="none" w:sz="0" w:space="0" w:color="auto"/>
      </w:divBdr>
    </w:div>
    <w:div w:id="393284396">
      <w:bodyDiv w:val="1"/>
      <w:marLeft w:val="0"/>
      <w:marRight w:val="0"/>
      <w:marTop w:val="0"/>
      <w:marBottom w:val="0"/>
      <w:divBdr>
        <w:top w:val="none" w:sz="0" w:space="0" w:color="auto"/>
        <w:left w:val="none" w:sz="0" w:space="0" w:color="auto"/>
        <w:bottom w:val="none" w:sz="0" w:space="0" w:color="auto"/>
        <w:right w:val="none" w:sz="0" w:space="0" w:color="auto"/>
      </w:divBdr>
    </w:div>
    <w:div w:id="419760154">
      <w:bodyDiv w:val="1"/>
      <w:marLeft w:val="0"/>
      <w:marRight w:val="0"/>
      <w:marTop w:val="0"/>
      <w:marBottom w:val="0"/>
      <w:divBdr>
        <w:top w:val="none" w:sz="0" w:space="0" w:color="auto"/>
        <w:left w:val="none" w:sz="0" w:space="0" w:color="auto"/>
        <w:bottom w:val="none" w:sz="0" w:space="0" w:color="auto"/>
        <w:right w:val="none" w:sz="0" w:space="0" w:color="auto"/>
      </w:divBdr>
    </w:div>
    <w:div w:id="435834181">
      <w:bodyDiv w:val="1"/>
      <w:marLeft w:val="0"/>
      <w:marRight w:val="0"/>
      <w:marTop w:val="0"/>
      <w:marBottom w:val="0"/>
      <w:divBdr>
        <w:top w:val="none" w:sz="0" w:space="0" w:color="auto"/>
        <w:left w:val="none" w:sz="0" w:space="0" w:color="auto"/>
        <w:bottom w:val="none" w:sz="0" w:space="0" w:color="auto"/>
        <w:right w:val="none" w:sz="0" w:space="0" w:color="auto"/>
      </w:divBdr>
    </w:div>
    <w:div w:id="449780508">
      <w:bodyDiv w:val="1"/>
      <w:marLeft w:val="0"/>
      <w:marRight w:val="0"/>
      <w:marTop w:val="0"/>
      <w:marBottom w:val="0"/>
      <w:divBdr>
        <w:top w:val="none" w:sz="0" w:space="0" w:color="auto"/>
        <w:left w:val="none" w:sz="0" w:space="0" w:color="auto"/>
        <w:bottom w:val="none" w:sz="0" w:space="0" w:color="auto"/>
        <w:right w:val="none" w:sz="0" w:space="0" w:color="auto"/>
      </w:divBdr>
    </w:div>
    <w:div w:id="496455439">
      <w:bodyDiv w:val="1"/>
      <w:marLeft w:val="0"/>
      <w:marRight w:val="0"/>
      <w:marTop w:val="0"/>
      <w:marBottom w:val="0"/>
      <w:divBdr>
        <w:top w:val="none" w:sz="0" w:space="0" w:color="auto"/>
        <w:left w:val="none" w:sz="0" w:space="0" w:color="auto"/>
        <w:bottom w:val="none" w:sz="0" w:space="0" w:color="auto"/>
        <w:right w:val="none" w:sz="0" w:space="0" w:color="auto"/>
      </w:divBdr>
    </w:div>
    <w:div w:id="498734861">
      <w:bodyDiv w:val="1"/>
      <w:marLeft w:val="0"/>
      <w:marRight w:val="0"/>
      <w:marTop w:val="0"/>
      <w:marBottom w:val="0"/>
      <w:divBdr>
        <w:top w:val="none" w:sz="0" w:space="0" w:color="auto"/>
        <w:left w:val="none" w:sz="0" w:space="0" w:color="auto"/>
        <w:bottom w:val="none" w:sz="0" w:space="0" w:color="auto"/>
        <w:right w:val="none" w:sz="0" w:space="0" w:color="auto"/>
      </w:divBdr>
    </w:div>
    <w:div w:id="499547305">
      <w:bodyDiv w:val="1"/>
      <w:marLeft w:val="0"/>
      <w:marRight w:val="0"/>
      <w:marTop w:val="0"/>
      <w:marBottom w:val="0"/>
      <w:divBdr>
        <w:top w:val="none" w:sz="0" w:space="0" w:color="auto"/>
        <w:left w:val="none" w:sz="0" w:space="0" w:color="auto"/>
        <w:bottom w:val="none" w:sz="0" w:space="0" w:color="auto"/>
        <w:right w:val="none" w:sz="0" w:space="0" w:color="auto"/>
      </w:divBdr>
    </w:div>
    <w:div w:id="503782350">
      <w:bodyDiv w:val="1"/>
      <w:marLeft w:val="0"/>
      <w:marRight w:val="0"/>
      <w:marTop w:val="0"/>
      <w:marBottom w:val="0"/>
      <w:divBdr>
        <w:top w:val="none" w:sz="0" w:space="0" w:color="auto"/>
        <w:left w:val="none" w:sz="0" w:space="0" w:color="auto"/>
        <w:bottom w:val="none" w:sz="0" w:space="0" w:color="auto"/>
        <w:right w:val="none" w:sz="0" w:space="0" w:color="auto"/>
      </w:divBdr>
    </w:div>
    <w:div w:id="540744779">
      <w:bodyDiv w:val="1"/>
      <w:marLeft w:val="0"/>
      <w:marRight w:val="0"/>
      <w:marTop w:val="0"/>
      <w:marBottom w:val="0"/>
      <w:divBdr>
        <w:top w:val="none" w:sz="0" w:space="0" w:color="auto"/>
        <w:left w:val="none" w:sz="0" w:space="0" w:color="auto"/>
        <w:bottom w:val="none" w:sz="0" w:space="0" w:color="auto"/>
        <w:right w:val="none" w:sz="0" w:space="0" w:color="auto"/>
      </w:divBdr>
    </w:div>
    <w:div w:id="663357684">
      <w:bodyDiv w:val="1"/>
      <w:marLeft w:val="0"/>
      <w:marRight w:val="0"/>
      <w:marTop w:val="0"/>
      <w:marBottom w:val="0"/>
      <w:divBdr>
        <w:top w:val="none" w:sz="0" w:space="0" w:color="auto"/>
        <w:left w:val="none" w:sz="0" w:space="0" w:color="auto"/>
        <w:bottom w:val="none" w:sz="0" w:space="0" w:color="auto"/>
        <w:right w:val="none" w:sz="0" w:space="0" w:color="auto"/>
      </w:divBdr>
    </w:div>
    <w:div w:id="665282548">
      <w:bodyDiv w:val="1"/>
      <w:marLeft w:val="0"/>
      <w:marRight w:val="0"/>
      <w:marTop w:val="0"/>
      <w:marBottom w:val="0"/>
      <w:divBdr>
        <w:top w:val="none" w:sz="0" w:space="0" w:color="auto"/>
        <w:left w:val="none" w:sz="0" w:space="0" w:color="auto"/>
        <w:bottom w:val="none" w:sz="0" w:space="0" w:color="auto"/>
        <w:right w:val="none" w:sz="0" w:space="0" w:color="auto"/>
      </w:divBdr>
    </w:div>
    <w:div w:id="698775619">
      <w:bodyDiv w:val="1"/>
      <w:marLeft w:val="0"/>
      <w:marRight w:val="0"/>
      <w:marTop w:val="0"/>
      <w:marBottom w:val="0"/>
      <w:divBdr>
        <w:top w:val="none" w:sz="0" w:space="0" w:color="auto"/>
        <w:left w:val="none" w:sz="0" w:space="0" w:color="auto"/>
        <w:bottom w:val="none" w:sz="0" w:space="0" w:color="auto"/>
        <w:right w:val="none" w:sz="0" w:space="0" w:color="auto"/>
      </w:divBdr>
    </w:div>
    <w:div w:id="747845706">
      <w:bodyDiv w:val="1"/>
      <w:marLeft w:val="0"/>
      <w:marRight w:val="0"/>
      <w:marTop w:val="0"/>
      <w:marBottom w:val="0"/>
      <w:divBdr>
        <w:top w:val="none" w:sz="0" w:space="0" w:color="auto"/>
        <w:left w:val="none" w:sz="0" w:space="0" w:color="auto"/>
        <w:bottom w:val="none" w:sz="0" w:space="0" w:color="auto"/>
        <w:right w:val="none" w:sz="0" w:space="0" w:color="auto"/>
      </w:divBdr>
    </w:div>
    <w:div w:id="755059055">
      <w:bodyDiv w:val="1"/>
      <w:marLeft w:val="0"/>
      <w:marRight w:val="0"/>
      <w:marTop w:val="0"/>
      <w:marBottom w:val="0"/>
      <w:divBdr>
        <w:top w:val="none" w:sz="0" w:space="0" w:color="auto"/>
        <w:left w:val="none" w:sz="0" w:space="0" w:color="auto"/>
        <w:bottom w:val="none" w:sz="0" w:space="0" w:color="auto"/>
        <w:right w:val="none" w:sz="0" w:space="0" w:color="auto"/>
      </w:divBdr>
    </w:div>
    <w:div w:id="801196009">
      <w:bodyDiv w:val="1"/>
      <w:marLeft w:val="0"/>
      <w:marRight w:val="0"/>
      <w:marTop w:val="0"/>
      <w:marBottom w:val="0"/>
      <w:divBdr>
        <w:top w:val="none" w:sz="0" w:space="0" w:color="auto"/>
        <w:left w:val="none" w:sz="0" w:space="0" w:color="auto"/>
        <w:bottom w:val="none" w:sz="0" w:space="0" w:color="auto"/>
        <w:right w:val="none" w:sz="0" w:space="0" w:color="auto"/>
      </w:divBdr>
    </w:div>
    <w:div w:id="805858885">
      <w:bodyDiv w:val="1"/>
      <w:marLeft w:val="0"/>
      <w:marRight w:val="0"/>
      <w:marTop w:val="0"/>
      <w:marBottom w:val="0"/>
      <w:divBdr>
        <w:top w:val="none" w:sz="0" w:space="0" w:color="auto"/>
        <w:left w:val="none" w:sz="0" w:space="0" w:color="auto"/>
        <w:bottom w:val="none" w:sz="0" w:space="0" w:color="auto"/>
        <w:right w:val="none" w:sz="0" w:space="0" w:color="auto"/>
      </w:divBdr>
    </w:div>
    <w:div w:id="887226386">
      <w:bodyDiv w:val="1"/>
      <w:marLeft w:val="0"/>
      <w:marRight w:val="0"/>
      <w:marTop w:val="0"/>
      <w:marBottom w:val="0"/>
      <w:divBdr>
        <w:top w:val="none" w:sz="0" w:space="0" w:color="auto"/>
        <w:left w:val="none" w:sz="0" w:space="0" w:color="auto"/>
        <w:bottom w:val="none" w:sz="0" w:space="0" w:color="auto"/>
        <w:right w:val="none" w:sz="0" w:space="0" w:color="auto"/>
      </w:divBdr>
    </w:div>
    <w:div w:id="932857038">
      <w:bodyDiv w:val="1"/>
      <w:marLeft w:val="0"/>
      <w:marRight w:val="0"/>
      <w:marTop w:val="0"/>
      <w:marBottom w:val="0"/>
      <w:divBdr>
        <w:top w:val="none" w:sz="0" w:space="0" w:color="auto"/>
        <w:left w:val="none" w:sz="0" w:space="0" w:color="auto"/>
        <w:bottom w:val="none" w:sz="0" w:space="0" w:color="auto"/>
        <w:right w:val="none" w:sz="0" w:space="0" w:color="auto"/>
      </w:divBdr>
    </w:div>
    <w:div w:id="955911897">
      <w:bodyDiv w:val="1"/>
      <w:marLeft w:val="0"/>
      <w:marRight w:val="0"/>
      <w:marTop w:val="0"/>
      <w:marBottom w:val="0"/>
      <w:divBdr>
        <w:top w:val="none" w:sz="0" w:space="0" w:color="auto"/>
        <w:left w:val="none" w:sz="0" w:space="0" w:color="auto"/>
        <w:bottom w:val="none" w:sz="0" w:space="0" w:color="auto"/>
        <w:right w:val="none" w:sz="0" w:space="0" w:color="auto"/>
      </w:divBdr>
    </w:div>
    <w:div w:id="987634928">
      <w:bodyDiv w:val="1"/>
      <w:marLeft w:val="0"/>
      <w:marRight w:val="0"/>
      <w:marTop w:val="0"/>
      <w:marBottom w:val="0"/>
      <w:divBdr>
        <w:top w:val="none" w:sz="0" w:space="0" w:color="auto"/>
        <w:left w:val="none" w:sz="0" w:space="0" w:color="auto"/>
        <w:bottom w:val="none" w:sz="0" w:space="0" w:color="auto"/>
        <w:right w:val="none" w:sz="0" w:space="0" w:color="auto"/>
      </w:divBdr>
    </w:div>
    <w:div w:id="1012030491">
      <w:bodyDiv w:val="1"/>
      <w:marLeft w:val="0"/>
      <w:marRight w:val="0"/>
      <w:marTop w:val="0"/>
      <w:marBottom w:val="0"/>
      <w:divBdr>
        <w:top w:val="none" w:sz="0" w:space="0" w:color="auto"/>
        <w:left w:val="none" w:sz="0" w:space="0" w:color="auto"/>
        <w:bottom w:val="none" w:sz="0" w:space="0" w:color="auto"/>
        <w:right w:val="none" w:sz="0" w:space="0" w:color="auto"/>
      </w:divBdr>
    </w:div>
    <w:div w:id="1069764289">
      <w:bodyDiv w:val="1"/>
      <w:marLeft w:val="0"/>
      <w:marRight w:val="0"/>
      <w:marTop w:val="0"/>
      <w:marBottom w:val="0"/>
      <w:divBdr>
        <w:top w:val="none" w:sz="0" w:space="0" w:color="auto"/>
        <w:left w:val="none" w:sz="0" w:space="0" w:color="auto"/>
        <w:bottom w:val="none" w:sz="0" w:space="0" w:color="auto"/>
        <w:right w:val="none" w:sz="0" w:space="0" w:color="auto"/>
      </w:divBdr>
    </w:div>
    <w:div w:id="1070079507">
      <w:bodyDiv w:val="1"/>
      <w:marLeft w:val="0"/>
      <w:marRight w:val="0"/>
      <w:marTop w:val="0"/>
      <w:marBottom w:val="0"/>
      <w:divBdr>
        <w:top w:val="none" w:sz="0" w:space="0" w:color="auto"/>
        <w:left w:val="none" w:sz="0" w:space="0" w:color="auto"/>
        <w:bottom w:val="none" w:sz="0" w:space="0" w:color="auto"/>
        <w:right w:val="none" w:sz="0" w:space="0" w:color="auto"/>
      </w:divBdr>
    </w:div>
    <w:div w:id="1078744672">
      <w:bodyDiv w:val="1"/>
      <w:marLeft w:val="0"/>
      <w:marRight w:val="0"/>
      <w:marTop w:val="0"/>
      <w:marBottom w:val="0"/>
      <w:divBdr>
        <w:top w:val="none" w:sz="0" w:space="0" w:color="auto"/>
        <w:left w:val="none" w:sz="0" w:space="0" w:color="auto"/>
        <w:bottom w:val="none" w:sz="0" w:space="0" w:color="auto"/>
        <w:right w:val="none" w:sz="0" w:space="0" w:color="auto"/>
      </w:divBdr>
    </w:div>
    <w:div w:id="1082289242">
      <w:bodyDiv w:val="1"/>
      <w:marLeft w:val="0"/>
      <w:marRight w:val="0"/>
      <w:marTop w:val="0"/>
      <w:marBottom w:val="0"/>
      <w:divBdr>
        <w:top w:val="none" w:sz="0" w:space="0" w:color="auto"/>
        <w:left w:val="none" w:sz="0" w:space="0" w:color="auto"/>
        <w:bottom w:val="none" w:sz="0" w:space="0" w:color="auto"/>
        <w:right w:val="none" w:sz="0" w:space="0" w:color="auto"/>
      </w:divBdr>
    </w:div>
    <w:div w:id="1123159206">
      <w:bodyDiv w:val="1"/>
      <w:marLeft w:val="0"/>
      <w:marRight w:val="0"/>
      <w:marTop w:val="0"/>
      <w:marBottom w:val="0"/>
      <w:divBdr>
        <w:top w:val="none" w:sz="0" w:space="0" w:color="auto"/>
        <w:left w:val="none" w:sz="0" w:space="0" w:color="auto"/>
        <w:bottom w:val="none" w:sz="0" w:space="0" w:color="auto"/>
        <w:right w:val="none" w:sz="0" w:space="0" w:color="auto"/>
      </w:divBdr>
    </w:div>
    <w:div w:id="1136874119">
      <w:bodyDiv w:val="1"/>
      <w:marLeft w:val="0"/>
      <w:marRight w:val="0"/>
      <w:marTop w:val="0"/>
      <w:marBottom w:val="0"/>
      <w:divBdr>
        <w:top w:val="none" w:sz="0" w:space="0" w:color="auto"/>
        <w:left w:val="none" w:sz="0" w:space="0" w:color="auto"/>
        <w:bottom w:val="none" w:sz="0" w:space="0" w:color="auto"/>
        <w:right w:val="none" w:sz="0" w:space="0" w:color="auto"/>
      </w:divBdr>
    </w:div>
    <w:div w:id="1147162670">
      <w:bodyDiv w:val="1"/>
      <w:marLeft w:val="0"/>
      <w:marRight w:val="0"/>
      <w:marTop w:val="0"/>
      <w:marBottom w:val="0"/>
      <w:divBdr>
        <w:top w:val="none" w:sz="0" w:space="0" w:color="auto"/>
        <w:left w:val="none" w:sz="0" w:space="0" w:color="auto"/>
        <w:bottom w:val="none" w:sz="0" w:space="0" w:color="auto"/>
        <w:right w:val="none" w:sz="0" w:space="0" w:color="auto"/>
      </w:divBdr>
    </w:div>
    <w:div w:id="1147210332">
      <w:bodyDiv w:val="1"/>
      <w:marLeft w:val="0"/>
      <w:marRight w:val="0"/>
      <w:marTop w:val="0"/>
      <w:marBottom w:val="0"/>
      <w:divBdr>
        <w:top w:val="none" w:sz="0" w:space="0" w:color="auto"/>
        <w:left w:val="none" w:sz="0" w:space="0" w:color="auto"/>
        <w:bottom w:val="none" w:sz="0" w:space="0" w:color="auto"/>
        <w:right w:val="none" w:sz="0" w:space="0" w:color="auto"/>
      </w:divBdr>
    </w:div>
    <w:div w:id="1157307062">
      <w:bodyDiv w:val="1"/>
      <w:marLeft w:val="0"/>
      <w:marRight w:val="0"/>
      <w:marTop w:val="0"/>
      <w:marBottom w:val="0"/>
      <w:divBdr>
        <w:top w:val="none" w:sz="0" w:space="0" w:color="auto"/>
        <w:left w:val="none" w:sz="0" w:space="0" w:color="auto"/>
        <w:bottom w:val="none" w:sz="0" w:space="0" w:color="auto"/>
        <w:right w:val="none" w:sz="0" w:space="0" w:color="auto"/>
      </w:divBdr>
    </w:div>
    <w:div w:id="1191531637">
      <w:bodyDiv w:val="1"/>
      <w:marLeft w:val="0"/>
      <w:marRight w:val="0"/>
      <w:marTop w:val="0"/>
      <w:marBottom w:val="0"/>
      <w:divBdr>
        <w:top w:val="none" w:sz="0" w:space="0" w:color="auto"/>
        <w:left w:val="none" w:sz="0" w:space="0" w:color="auto"/>
        <w:bottom w:val="none" w:sz="0" w:space="0" w:color="auto"/>
        <w:right w:val="none" w:sz="0" w:space="0" w:color="auto"/>
      </w:divBdr>
    </w:div>
    <w:div w:id="1200705364">
      <w:bodyDiv w:val="1"/>
      <w:marLeft w:val="0"/>
      <w:marRight w:val="0"/>
      <w:marTop w:val="0"/>
      <w:marBottom w:val="0"/>
      <w:divBdr>
        <w:top w:val="none" w:sz="0" w:space="0" w:color="auto"/>
        <w:left w:val="none" w:sz="0" w:space="0" w:color="auto"/>
        <w:bottom w:val="none" w:sz="0" w:space="0" w:color="auto"/>
        <w:right w:val="none" w:sz="0" w:space="0" w:color="auto"/>
      </w:divBdr>
    </w:div>
    <w:div w:id="1251085868">
      <w:bodyDiv w:val="1"/>
      <w:marLeft w:val="0"/>
      <w:marRight w:val="0"/>
      <w:marTop w:val="0"/>
      <w:marBottom w:val="0"/>
      <w:divBdr>
        <w:top w:val="none" w:sz="0" w:space="0" w:color="auto"/>
        <w:left w:val="none" w:sz="0" w:space="0" w:color="auto"/>
        <w:bottom w:val="none" w:sz="0" w:space="0" w:color="auto"/>
        <w:right w:val="none" w:sz="0" w:space="0" w:color="auto"/>
      </w:divBdr>
    </w:div>
    <w:div w:id="1253392451">
      <w:bodyDiv w:val="1"/>
      <w:marLeft w:val="0"/>
      <w:marRight w:val="0"/>
      <w:marTop w:val="0"/>
      <w:marBottom w:val="0"/>
      <w:divBdr>
        <w:top w:val="none" w:sz="0" w:space="0" w:color="auto"/>
        <w:left w:val="none" w:sz="0" w:space="0" w:color="auto"/>
        <w:bottom w:val="none" w:sz="0" w:space="0" w:color="auto"/>
        <w:right w:val="none" w:sz="0" w:space="0" w:color="auto"/>
      </w:divBdr>
    </w:div>
    <w:div w:id="1313634434">
      <w:bodyDiv w:val="1"/>
      <w:marLeft w:val="0"/>
      <w:marRight w:val="0"/>
      <w:marTop w:val="0"/>
      <w:marBottom w:val="0"/>
      <w:divBdr>
        <w:top w:val="none" w:sz="0" w:space="0" w:color="auto"/>
        <w:left w:val="none" w:sz="0" w:space="0" w:color="auto"/>
        <w:bottom w:val="none" w:sz="0" w:space="0" w:color="auto"/>
        <w:right w:val="none" w:sz="0" w:space="0" w:color="auto"/>
      </w:divBdr>
    </w:div>
    <w:div w:id="1444686507">
      <w:bodyDiv w:val="1"/>
      <w:marLeft w:val="0"/>
      <w:marRight w:val="0"/>
      <w:marTop w:val="0"/>
      <w:marBottom w:val="0"/>
      <w:divBdr>
        <w:top w:val="none" w:sz="0" w:space="0" w:color="auto"/>
        <w:left w:val="none" w:sz="0" w:space="0" w:color="auto"/>
        <w:bottom w:val="none" w:sz="0" w:space="0" w:color="auto"/>
        <w:right w:val="none" w:sz="0" w:space="0" w:color="auto"/>
      </w:divBdr>
    </w:div>
    <w:div w:id="1450777231">
      <w:bodyDiv w:val="1"/>
      <w:marLeft w:val="0"/>
      <w:marRight w:val="0"/>
      <w:marTop w:val="0"/>
      <w:marBottom w:val="0"/>
      <w:divBdr>
        <w:top w:val="none" w:sz="0" w:space="0" w:color="auto"/>
        <w:left w:val="none" w:sz="0" w:space="0" w:color="auto"/>
        <w:bottom w:val="none" w:sz="0" w:space="0" w:color="auto"/>
        <w:right w:val="none" w:sz="0" w:space="0" w:color="auto"/>
      </w:divBdr>
    </w:div>
    <w:div w:id="1469471347">
      <w:bodyDiv w:val="1"/>
      <w:marLeft w:val="0"/>
      <w:marRight w:val="0"/>
      <w:marTop w:val="0"/>
      <w:marBottom w:val="0"/>
      <w:divBdr>
        <w:top w:val="none" w:sz="0" w:space="0" w:color="auto"/>
        <w:left w:val="none" w:sz="0" w:space="0" w:color="auto"/>
        <w:bottom w:val="none" w:sz="0" w:space="0" w:color="auto"/>
        <w:right w:val="none" w:sz="0" w:space="0" w:color="auto"/>
      </w:divBdr>
    </w:div>
    <w:div w:id="1523935358">
      <w:bodyDiv w:val="1"/>
      <w:marLeft w:val="0"/>
      <w:marRight w:val="0"/>
      <w:marTop w:val="0"/>
      <w:marBottom w:val="0"/>
      <w:divBdr>
        <w:top w:val="none" w:sz="0" w:space="0" w:color="auto"/>
        <w:left w:val="none" w:sz="0" w:space="0" w:color="auto"/>
        <w:bottom w:val="none" w:sz="0" w:space="0" w:color="auto"/>
        <w:right w:val="none" w:sz="0" w:space="0" w:color="auto"/>
      </w:divBdr>
    </w:div>
    <w:div w:id="1590314552">
      <w:bodyDiv w:val="1"/>
      <w:marLeft w:val="0"/>
      <w:marRight w:val="0"/>
      <w:marTop w:val="0"/>
      <w:marBottom w:val="0"/>
      <w:divBdr>
        <w:top w:val="none" w:sz="0" w:space="0" w:color="auto"/>
        <w:left w:val="none" w:sz="0" w:space="0" w:color="auto"/>
        <w:bottom w:val="none" w:sz="0" w:space="0" w:color="auto"/>
        <w:right w:val="none" w:sz="0" w:space="0" w:color="auto"/>
      </w:divBdr>
    </w:div>
    <w:div w:id="1601066782">
      <w:bodyDiv w:val="1"/>
      <w:marLeft w:val="0"/>
      <w:marRight w:val="0"/>
      <w:marTop w:val="0"/>
      <w:marBottom w:val="0"/>
      <w:divBdr>
        <w:top w:val="none" w:sz="0" w:space="0" w:color="auto"/>
        <w:left w:val="none" w:sz="0" w:space="0" w:color="auto"/>
        <w:bottom w:val="none" w:sz="0" w:space="0" w:color="auto"/>
        <w:right w:val="none" w:sz="0" w:space="0" w:color="auto"/>
      </w:divBdr>
    </w:div>
    <w:div w:id="1610233054">
      <w:bodyDiv w:val="1"/>
      <w:marLeft w:val="0"/>
      <w:marRight w:val="0"/>
      <w:marTop w:val="0"/>
      <w:marBottom w:val="0"/>
      <w:divBdr>
        <w:top w:val="none" w:sz="0" w:space="0" w:color="auto"/>
        <w:left w:val="none" w:sz="0" w:space="0" w:color="auto"/>
        <w:bottom w:val="none" w:sz="0" w:space="0" w:color="auto"/>
        <w:right w:val="none" w:sz="0" w:space="0" w:color="auto"/>
      </w:divBdr>
    </w:div>
    <w:div w:id="1677613652">
      <w:bodyDiv w:val="1"/>
      <w:marLeft w:val="0"/>
      <w:marRight w:val="0"/>
      <w:marTop w:val="0"/>
      <w:marBottom w:val="0"/>
      <w:divBdr>
        <w:top w:val="none" w:sz="0" w:space="0" w:color="auto"/>
        <w:left w:val="none" w:sz="0" w:space="0" w:color="auto"/>
        <w:bottom w:val="none" w:sz="0" w:space="0" w:color="auto"/>
        <w:right w:val="none" w:sz="0" w:space="0" w:color="auto"/>
      </w:divBdr>
    </w:div>
    <w:div w:id="1685015301">
      <w:bodyDiv w:val="1"/>
      <w:marLeft w:val="0"/>
      <w:marRight w:val="0"/>
      <w:marTop w:val="0"/>
      <w:marBottom w:val="0"/>
      <w:divBdr>
        <w:top w:val="none" w:sz="0" w:space="0" w:color="auto"/>
        <w:left w:val="none" w:sz="0" w:space="0" w:color="auto"/>
        <w:bottom w:val="none" w:sz="0" w:space="0" w:color="auto"/>
        <w:right w:val="none" w:sz="0" w:space="0" w:color="auto"/>
      </w:divBdr>
    </w:div>
    <w:div w:id="1691570668">
      <w:bodyDiv w:val="1"/>
      <w:marLeft w:val="0"/>
      <w:marRight w:val="0"/>
      <w:marTop w:val="0"/>
      <w:marBottom w:val="0"/>
      <w:divBdr>
        <w:top w:val="none" w:sz="0" w:space="0" w:color="auto"/>
        <w:left w:val="none" w:sz="0" w:space="0" w:color="auto"/>
        <w:bottom w:val="none" w:sz="0" w:space="0" w:color="auto"/>
        <w:right w:val="none" w:sz="0" w:space="0" w:color="auto"/>
      </w:divBdr>
    </w:div>
    <w:div w:id="1705443485">
      <w:bodyDiv w:val="1"/>
      <w:marLeft w:val="0"/>
      <w:marRight w:val="0"/>
      <w:marTop w:val="0"/>
      <w:marBottom w:val="0"/>
      <w:divBdr>
        <w:top w:val="none" w:sz="0" w:space="0" w:color="auto"/>
        <w:left w:val="none" w:sz="0" w:space="0" w:color="auto"/>
        <w:bottom w:val="none" w:sz="0" w:space="0" w:color="auto"/>
        <w:right w:val="none" w:sz="0" w:space="0" w:color="auto"/>
      </w:divBdr>
    </w:div>
    <w:div w:id="1720128983">
      <w:bodyDiv w:val="1"/>
      <w:marLeft w:val="0"/>
      <w:marRight w:val="0"/>
      <w:marTop w:val="0"/>
      <w:marBottom w:val="0"/>
      <w:divBdr>
        <w:top w:val="none" w:sz="0" w:space="0" w:color="auto"/>
        <w:left w:val="none" w:sz="0" w:space="0" w:color="auto"/>
        <w:bottom w:val="none" w:sz="0" w:space="0" w:color="auto"/>
        <w:right w:val="none" w:sz="0" w:space="0" w:color="auto"/>
      </w:divBdr>
    </w:div>
    <w:div w:id="1737824322">
      <w:bodyDiv w:val="1"/>
      <w:marLeft w:val="0"/>
      <w:marRight w:val="0"/>
      <w:marTop w:val="0"/>
      <w:marBottom w:val="0"/>
      <w:divBdr>
        <w:top w:val="none" w:sz="0" w:space="0" w:color="auto"/>
        <w:left w:val="none" w:sz="0" w:space="0" w:color="auto"/>
        <w:bottom w:val="none" w:sz="0" w:space="0" w:color="auto"/>
        <w:right w:val="none" w:sz="0" w:space="0" w:color="auto"/>
      </w:divBdr>
    </w:div>
    <w:div w:id="1762333659">
      <w:bodyDiv w:val="1"/>
      <w:marLeft w:val="0"/>
      <w:marRight w:val="0"/>
      <w:marTop w:val="0"/>
      <w:marBottom w:val="0"/>
      <w:divBdr>
        <w:top w:val="none" w:sz="0" w:space="0" w:color="auto"/>
        <w:left w:val="none" w:sz="0" w:space="0" w:color="auto"/>
        <w:bottom w:val="none" w:sz="0" w:space="0" w:color="auto"/>
        <w:right w:val="none" w:sz="0" w:space="0" w:color="auto"/>
      </w:divBdr>
    </w:div>
    <w:div w:id="1768117875">
      <w:bodyDiv w:val="1"/>
      <w:marLeft w:val="0"/>
      <w:marRight w:val="0"/>
      <w:marTop w:val="0"/>
      <w:marBottom w:val="0"/>
      <w:divBdr>
        <w:top w:val="none" w:sz="0" w:space="0" w:color="auto"/>
        <w:left w:val="none" w:sz="0" w:space="0" w:color="auto"/>
        <w:bottom w:val="none" w:sz="0" w:space="0" w:color="auto"/>
        <w:right w:val="none" w:sz="0" w:space="0" w:color="auto"/>
      </w:divBdr>
    </w:div>
    <w:div w:id="1782414004">
      <w:bodyDiv w:val="1"/>
      <w:marLeft w:val="0"/>
      <w:marRight w:val="0"/>
      <w:marTop w:val="0"/>
      <w:marBottom w:val="0"/>
      <w:divBdr>
        <w:top w:val="none" w:sz="0" w:space="0" w:color="auto"/>
        <w:left w:val="none" w:sz="0" w:space="0" w:color="auto"/>
        <w:bottom w:val="none" w:sz="0" w:space="0" w:color="auto"/>
        <w:right w:val="none" w:sz="0" w:space="0" w:color="auto"/>
      </w:divBdr>
    </w:div>
    <w:div w:id="1829860441">
      <w:bodyDiv w:val="1"/>
      <w:marLeft w:val="0"/>
      <w:marRight w:val="0"/>
      <w:marTop w:val="0"/>
      <w:marBottom w:val="0"/>
      <w:divBdr>
        <w:top w:val="none" w:sz="0" w:space="0" w:color="auto"/>
        <w:left w:val="none" w:sz="0" w:space="0" w:color="auto"/>
        <w:bottom w:val="none" w:sz="0" w:space="0" w:color="auto"/>
        <w:right w:val="none" w:sz="0" w:space="0" w:color="auto"/>
      </w:divBdr>
    </w:div>
    <w:div w:id="1835029849">
      <w:bodyDiv w:val="1"/>
      <w:marLeft w:val="0"/>
      <w:marRight w:val="0"/>
      <w:marTop w:val="0"/>
      <w:marBottom w:val="0"/>
      <w:divBdr>
        <w:top w:val="none" w:sz="0" w:space="0" w:color="auto"/>
        <w:left w:val="none" w:sz="0" w:space="0" w:color="auto"/>
        <w:bottom w:val="none" w:sz="0" w:space="0" w:color="auto"/>
        <w:right w:val="none" w:sz="0" w:space="0" w:color="auto"/>
      </w:divBdr>
    </w:div>
    <w:div w:id="1858809630">
      <w:bodyDiv w:val="1"/>
      <w:marLeft w:val="0"/>
      <w:marRight w:val="0"/>
      <w:marTop w:val="0"/>
      <w:marBottom w:val="0"/>
      <w:divBdr>
        <w:top w:val="none" w:sz="0" w:space="0" w:color="auto"/>
        <w:left w:val="none" w:sz="0" w:space="0" w:color="auto"/>
        <w:bottom w:val="none" w:sz="0" w:space="0" w:color="auto"/>
        <w:right w:val="none" w:sz="0" w:space="0" w:color="auto"/>
      </w:divBdr>
    </w:div>
    <w:div w:id="1896890734">
      <w:bodyDiv w:val="1"/>
      <w:marLeft w:val="0"/>
      <w:marRight w:val="0"/>
      <w:marTop w:val="0"/>
      <w:marBottom w:val="0"/>
      <w:divBdr>
        <w:top w:val="none" w:sz="0" w:space="0" w:color="auto"/>
        <w:left w:val="none" w:sz="0" w:space="0" w:color="auto"/>
        <w:bottom w:val="none" w:sz="0" w:space="0" w:color="auto"/>
        <w:right w:val="none" w:sz="0" w:space="0" w:color="auto"/>
      </w:divBdr>
    </w:div>
    <w:div w:id="1968509988">
      <w:bodyDiv w:val="1"/>
      <w:marLeft w:val="0"/>
      <w:marRight w:val="0"/>
      <w:marTop w:val="0"/>
      <w:marBottom w:val="0"/>
      <w:divBdr>
        <w:top w:val="none" w:sz="0" w:space="0" w:color="auto"/>
        <w:left w:val="none" w:sz="0" w:space="0" w:color="auto"/>
        <w:bottom w:val="none" w:sz="0" w:space="0" w:color="auto"/>
        <w:right w:val="none" w:sz="0" w:space="0" w:color="auto"/>
      </w:divBdr>
    </w:div>
    <w:div w:id="1977952807">
      <w:bodyDiv w:val="1"/>
      <w:marLeft w:val="0"/>
      <w:marRight w:val="0"/>
      <w:marTop w:val="0"/>
      <w:marBottom w:val="0"/>
      <w:divBdr>
        <w:top w:val="none" w:sz="0" w:space="0" w:color="auto"/>
        <w:left w:val="none" w:sz="0" w:space="0" w:color="auto"/>
        <w:bottom w:val="none" w:sz="0" w:space="0" w:color="auto"/>
        <w:right w:val="none" w:sz="0" w:space="0" w:color="auto"/>
      </w:divBdr>
    </w:div>
    <w:div w:id="1983776174">
      <w:bodyDiv w:val="1"/>
      <w:marLeft w:val="0"/>
      <w:marRight w:val="0"/>
      <w:marTop w:val="0"/>
      <w:marBottom w:val="0"/>
      <w:divBdr>
        <w:top w:val="none" w:sz="0" w:space="0" w:color="auto"/>
        <w:left w:val="none" w:sz="0" w:space="0" w:color="auto"/>
        <w:bottom w:val="none" w:sz="0" w:space="0" w:color="auto"/>
        <w:right w:val="none" w:sz="0" w:space="0" w:color="auto"/>
      </w:divBdr>
    </w:div>
    <w:div w:id="2026397266">
      <w:bodyDiv w:val="1"/>
      <w:marLeft w:val="0"/>
      <w:marRight w:val="0"/>
      <w:marTop w:val="0"/>
      <w:marBottom w:val="0"/>
      <w:divBdr>
        <w:top w:val="none" w:sz="0" w:space="0" w:color="auto"/>
        <w:left w:val="none" w:sz="0" w:space="0" w:color="auto"/>
        <w:bottom w:val="none" w:sz="0" w:space="0" w:color="auto"/>
        <w:right w:val="none" w:sz="0" w:space="0" w:color="auto"/>
      </w:divBdr>
    </w:div>
    <w:div w:id="2075155245">
      <w:bodyDiv w:val="1"/>
      <w:marLeft w:val="0"/>
      <w:marRight w:val="0"/>
      <w:marTop w:val="0"/>
      <w:marBottom w:val="0"/>
      <w:divBdr>
        <w:top w:val="none" w:sz="0" w:space="0" w:color="auto"/>
        <w:left w:val="none" w:sz="0" w:space="0" w:color="auto"/>
        <w:bottom w:val="none" w:sz="0" w:space="0" w:color="auto"/>
        <w:right w:val="none" w:sz="0" w:space="0" w:color="auto"/>
      </w:divBdr>
    </w:div>
    <w:div w:id="2093038642">
      <w:bodyDiv w:val="1"/>
      <w:marLeft w:val="0"/>
      <w:marRight w:val="0"/>
      <w:marTop w:val="0"/>
      <w:marBottom w:val="0"/>
      <w:divBdr>
        <w:top w:val="none" w:sz="0" w:space="0" w:color="auto"/>
        <w:left w:val="none" w:sz="0" w:space="0" w:color="auto"/>
        <w:bottom w:val="none" w:sz="0" w:space="0" w:color="auto"/>
        <w:right w:val="none" w:sz="0" w:space="0" w:color="auto"/>
      </w:divBdr>
    </w:div>
    <w:div w:id="2095592073">
      <w:bodyDiv w:val="1"/>
      <w:marLeft w:val="0"/>
      <w:marRight w:val="0"/>
      <w:marTop w:val="0"/>
      <w:marBottom w:val="0"/>
      <w:divBdr>
        <w:top w:val="none" w:sz="0" w:space="0" w:color="auto"/>
        <w:left w:val="none" w:sz="0" w:space="0" w:color="auto"/>
        <w:bottom w:val="none" w:sz="0" w:space="0" w:color="auto"/>
        <w:right w:val="none" w:sz="0" w:space="0" w:color="auto"/>
      </w:divBdr>
    </w:div>
    <w:div w:id="2138797188">
      <w:bodyDiv w:val="1"/>
      <w:marLeft w:val="0"/>
      <w:marRight w:val="0"/>
      <w:marTop w:val="0"/>
      <w:marBottom w:val="0"/>
      <w:divBdr>
        <w:top w:val="none" w:sz="0" w:space="0" w:color="auto"/>
        <w:left w:val="none" w:sz="0" w:space="0" w:color="auto"/>
        <w:bottom w:val="none" w:sz="0" w:space="0" w:color="auto"/>
        <w:right w:val="none" w:sz="0" w:space="0" w:color="auto"/>
      </w:divBdr>
    </w:div>
    <w:div w:id="21396430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ru.wikipedia.org/wiki/%D0%9C%D0%B8%D1%80%D0%BD%D1%8B%D0%B9_%28%D0%AF%D0%BA%D1%83%D1%82%D0%B8%D1%8F%29" TargetMode="External"/><Relationship Id="rId299" Type="http://schemas.openxmlformats.org/officeDocument/2006/relationships/header" Target="header4.xml"/><Relationship Id="rId21" Type="http://schemas.openxmlformats.org/officeDocument/2006/relationships/image" Target="media/image10.png"/><Relationship Id="rId63" Type="http://schemas.openxmlformats.org/officeDocument/2006/relationships/hyperlink" Target="http://commons.wikimedia.org/wiki/File:Sakha_Republic_Municipal_Divisions.PNG?uselang=ru" TargetMode="External"/><Relationship Id="rId159" Type="http://schemas.openxmlformats.org/officeDocument/2006/relationships/hyperlink" Target="http://ru.wikipedia.org/wiki/%D0%A0%D1%83%D1%81%D1%81%D0%BA%D0%B8%D0%B5" TargetMode="External"/><Relationship Id="rId170" Type="http://schemas.openxmlformats.org/officeDocument/2006/relationships/hyperlink" Target="http://ru.wikipedia.org/wiki/%D0%9E%D1%85%D1%80%D0%B0" TargetMode="External"/><Relationship Id="rId226" Type="http://schemas.openxmlformats.org/officeDocument/2006/relationships/hyperlink" Target="http://ru.wikipedia.org/wiki/%D0%AF%D0%90%D0%A1%D0%A1%D0%A0" TargetMode="External"/><Relationship Id="rId268" Type="http://schemas.openxmlformats.org/officeDocument/2006/relationships/image" Target="media/image65.wmf"/><Relationship Id="rId32" Type="http://schemas.openxmlformats.org/officeDocument/2006/relationships/image" Target="media/image21.png"/><Relationship Id="rId74" Type="http://schemas.openxmlformats.org/officeDocument/2006/relationships/hyperlink" Target="http://ru.wikipedia.org/wiki/%D0%92%D0%B8%D0%BB%D1%8E%D0%B9%D1%81%D0%BA" TargetMode="External"/><Relationship Id="rId128" Type="http://schemas.openxmlformats.org/officeDocument/2006/relationships/hyperlink" Target="http://ru.wikipedia.org/wiki/%D0%91%D0%B0%D1%82%D0%B0%D0%B3%D0%B0%D0%B9" TargetMode="External"/><Relationship Id="rId5" Type="http://schemas.openxmlformats.org/officeDocument/2006/relationships/webSettings" Target="webSettings.xml"/><Relationship Id="rId181" Type="http://schemas.openxmlformats.org/officeDocument/2006/relationships/hyperlink" Target="http://ru.wikipedia.org/wiki/%D0%94%D0%B8%D0%B0%D0%BC%D0%B5%D1%82%D1%80" TargetMode="External"/><Relationship Id="rId237" Type="http://schemas.openxmlformats.org/officeDocument/2006/relationships/hyperlink" Target="http://ru.wikipedia.org/wiki/1991_%D0%B3%D0%BE%D0%B4" TargetMode="External"/><Relationship Id="rId279" Type="http://schemas.openxmlformats.org/officeDocument/2006/relationships/oleObject" Target="embeddings/oleObject4.bin"/><Relationship Id="rId43" Type="http://schemas.openxmlformats.org/officeDocument/2006/relationships/image" Target="media/image32.png"/><Relationship Id="rId139" Type="http://schemas.openxmlformats.org/officeDocument/2006/relationships/hyperlink" Target="http://ru.wikipedia.org/wiki/%D0%90%D0%BB%D0%B4%D0%B0%D0%BD_%28%D0%B3%D0%BE%D1%80%D0%BE%D0%B4%29" TargetMode="External"/><Relationship Id="rId290" Type="http://schemas.openxmlformats.org/officeDocument/2006/relationships/image" Target="media/image79.wmf"/><Relationship Id="rId304" Type="http://schemas.openxmlformats.org/officeDocument/2006/relationships/header" Target="header7.xml"/><Relationship Id="rId85" Type="http://schemas.openxmlformats.org/officeDocument/2006/relationships/hyperlink" Target="http://ru.wikipedia.org/wiki/%D0%9D%D1%8E%D1%80%D0%B1%D0%B0" TargetMode="External"/><Relationship Id="rId150" Type="http://schemas.openxmlformats.org/officeDocument/2006/relationships/hyperlink" Target="http://ru.wikipedia.org/wiki/%D0%97%D0%BD%D0%B0%D0%BC%D1%8F" TargetMode="External"/><Relationship Id="rId192" Type="http://schemas.openxmlformats.org/officeDocument/2006/relationships/hyperlink" Target="http://ru.wikipedia.org/wiki/XV_%D0%B2%D0%B5%D0%BA" TargetMode="External"/><Relationship Id="rId206" Type="http://schemas.openxmlformats.org/officeDocument/2006/relationships/hyperlink" Target="http://ru.wikipedia.org/wiki/%D0%A1%D0%B5%D0%B2%D0%B5%D1%80%D0%BD%D0%B0%D1%8F_%D0%90%D0%BC%D0%B5%D1%80%D0%B8%D0%BA%D0%B0" TargetMode="External"/><Relationship Id="rId248" Type="http://schemas.openxmlformats.org/officeDocument/2006/relationships/chart" Target="charts/chart3.xml"/><Relationship Id="rId12" Type="http://schemas.openxmlformats.org/officeDocument/2006/relationships/image" Target="media/image2.emf"/><Relationship Id="rId108" Type="http://schemas.openxmlformats.org/officeDocument/2006/relationships/hyperlink" Target="http://ru.wikipedia.org/wiki/25_%D0%BE%D0%BA%D1%82%D1%8F%D0%B1%D1%80%D1%8F" TargetMode="External"/><Relationship Id="rId315" Type="http://schemas.openxmlformats.org/officeDocument/2006/relationships/theme" Target="theme/theme1.xml"/><Relationship Id="rId54" Type="http://schemas.openxmlformats.org/officeDocument/2006/relationships/hyperlink" Target="http://ru.wikipedia.org/wiki/%D0%93%D0%BE%D1%81%D0%BA%D0%BE%D0%BC%D1%81%D1%82%D0%B0%D1%82" TargetMode="External"/><Relationship Id="rId96" Type="http://schemas.openxmlformats.org/officeDocument/2006/relationships/hyperlink" Target="http://ru.wikipedia.org/wiki/%D0%9F%D0%BE%D0%BA%D1%80%D0%BE%D0%B2%D1%81%D0%BA_%28%D0%AF%D0%BA%D1%83%D1%82%D0%B8%D1%8F%29" TargetMode="External"/><Relationship Id="rId161" Type="http://schemas.openxmlformats.org/officeDocument/2006/relationships/hyperlink" Target="http://ru.wikipedia.org/wiki/%D0%AD%D0%B2%D0%B5%D0%BD%D1%8B" TargetMode="External"/><Relationship Id="rId217" Type="http://schemas.openxmlformats.org/officeDocument/2006/relationships/hyperlink" Target="http://ru.wikipedia.org/wiki/1640-%D0%B5" TargetMode="External"/><Relationship Id="rId259" Type="http://schemas.openxmlformats.org/officeDocument/2006/relationships/image" Target="media/image58.png"/><Relationship Id="rId23" Type="http://schemas.openxmlformats.org/officeDocument/2006/relationships/image" Target="media/image12.png"/><Relationship Id="rId119" Type="http://schemas.openxmlformats.org/officeDocument/2006/relationships/hyperlink" Target="http://ru.wikipedia.org/wiki/%D0%A3%D1%81%D1%82%D1%8C-%D0%9A%D1%83%D1%82" TargetMode="External"/><Relationship Id="rId270" Type="http://schemas.openxmlformats.org/officeDocument/2006/relationships/image" Target="media/image67.wmf"/><Relationship Id="rId65" Type="http://schemas.openxmlformats.org/officeDocument/2006/relationships/hyperlink" Target="http://ru.wikipedia.org/wiki/%D0%91%D0%B5%D0%BB%D0%B0%D1%8F_%D0%93%D0%BE%D1%80%D0%B0_%28%D0%AF%D0%BA%D1%83%D1%82%D0%B8%D1%8F%29" TargetMode="External"/><Relationship Id="rId130" Type="http://schemas.openxmlformats.org/officeDocument/2006/relationships/hyperlink" Target="http://ru.wikipedia.org/wiki/%D0%90%D0%BD%D0%B0%D0%B1%D0%B0%D1%80_%28%D0%B0%D0%B2%D1%82%D0%BE%D0%B4%D0%BE%D1%80%D0%BE%D0%B3%D0%B0%29" TargetMode="External"/><Relationship Id="rId172" Type="http://schemas.openxmlformats.org/officeDocument/2006/relationships/hyperlink" Target="http://ru.wikipedia.org/wiki/%D0%93%D0%BE%D1%81%D1%83%D0%B4%D0%B0%D1%80%D1%81%D1%82%D0%B2%D0%B5%D0%BD%D0%BD%D0%BE%D0%B5_%D0%A1%D0%BE%D0%B1%D1%80%D0%B0%D0%BD%D0%B8%D0%B5_%28%D0%98%D0%BB_%D0%A2%D1%83%D0%BC%D1%8D%D0%BD%29_%D0%A0%D0%B5%D1%81%D0%BF%D1%83%D0%B1%D0%BB%D0%B8%D0%BA%D0%B8_%D0%A1%D0%B0%D1%85%D0%B0_%28%D0%AF%D0%BA%D1%83%D1%82%D0%B8%D1%8F%29" TargetMode="External"/><Relationship Id="rId193" Type="http://schemas.openxmlformats.org/officeDocument/2006/relationships/hyperlink" Target="http://ru.wikipedia.org/wiki/%D0%AF%D0%BA%D1%83%D1%82%D1%8B" TargetMode="External"/><Relationship Id="rId207" Type="http://schemas.openxmlformats.org/officeDocument/2006/relationships/hyperlink" Target="http://ru.wikipedia.org/wiki/1632_%D0%B3%D0%BE%D0%B4" TargetMode="External"/><Relationship Id="rId228" Type="http://schemas.openxmlformats.org/officeDocument/2006/relationships/hyperlink" Target="http://ru.wikipedia.org/wiki/1920-%D0%B5" TargetMode="External"/><Relationship Id="rId249" Type="http://schemas.openxmlformats.org/officeDocument/2006/relationships/image" Target="media/image50.png"/><Relationship Id="rId13" Type="http://schemas.openxmlformats.org/officeDocument/2006/relationships/image" Target="media/image3.png"/><Relationship Id="rId109" Type="http://schemas.openxmlformats.org/officeDocument/2006/relationships/hyperlink" Target="http://ru.wikipedia.org/wiki/2008_%D0%B3%D0%BE%D0%B4" TargetMode="External"/><Relationship Id="rId260" Type="http://schemas.openxmlformats.org/officeDocument/2006/relationships/image" Target="media/image59.png"/><Relationship Id="rId281" Type="http://schemas.openxmlformats.org/officeDocument/2006/relationships/oleObject" Target="embeddings/oleObject5.bin"/><Relationship Id="rId34" Type="http://schemas.openxmlformats.org/officeDocument/2006/relationships/image" Target="media/image23.png"/><Relationship Id="rId55" Type="http://schemas.openxmlformats.org/officeDocument/2006/relationships/hyperlink" Target="http://ru.wikipedia.org/wiki/1_%D1%8F%D0%BD%D0%B2%D0%B0%D1%80%D1%8F" TargetMode="External"/><Relationship Id="rId76" Type="http://schemas.openxmlformats.org/officeDocument/2006/relationships/hyperlink" Target="http://ru.wikipedia.org/wiki/%D0%96%D0%B8%D0%B3%D0%B0%D0%BD%D1%81%D0%BA" TargetMode="External"/><Relationship Id="rId97" Type="http://schemas.openxmlformats.org/officeDocument/2006/relationships/hyperlink" Target="http://ru.wikipedia.org/wiki/%D0%A7%D1%83%D1%80%D0%B0%D0%BF%D1%87%D0%B0" TargetMode="External"/><Relationship Id="rId120" Type="http://schemas.openxmlformats.org/officeDocument/2006/relationships/hyperlink" Target="http://ru.wikipedia.org/wiki/%D0%A2%D1%83%D0%BB%D1%83%D0%BD" TargetMode="External"/><Relationship Id="rId141" Type="http://schemas.openxmlformats.org/officeDocument/2006/relationships/hyperlink" Target="http://ru.wikipedia.org/wiki/%D0%9D%D0%B8%D0%B6%D0%BD%D0%B8%D0%B9_%D0%91%D0%B5%D1%81%D1%82%D1%8F%D1%85" TargetMode="External"/><Relationship Id="rId7" Type="http://schemas.openxmlformats.org/officeDocument/2006/relationships/endnotes" Target="endnotes.xml"/><Relationship Id="rId162" Type="http://schemas.openxmlformats.org/officeDocument/2006/relationships/hyperlink" Target="http://ru.wikipedia.org/wiki/%D0%A7%D1%83%D0%BA%D1%87%D0%B8" TargetMode="External"/><Relationship Id="rId183" Type="http://schemas.openxmlformats.org/officeDocument/2006/relationships/hyperlink" Target="http://ru.wikipedia.org/wiki/%D0%94%D0%B8%D1%80%D0%B8%D0%BD%D0%B3%D1%81%D0%BA%D0%B0%D1%8F_%D0%BA%D1%83%D0%BB%D1%8C%D1%82%D1%83%D1%80%D0%B0" TargetMode="External"/><Relationship Id="rId218" Type="http://schemas.openxmlformats.org/officeDocument/2006/relationships/hyperlink" Target="http://ru.wikipedia.org/wiki/XIX_%D0%B2%D0%B5%D0%BA" TargetMode="External"/><Relationship Id="rId239" Type="http://schemas.openxmlformats.org/officeDocument/2006/relationships/image" Target="media/image44.jpeg"/><Relationship Id="rId250" Type="http://schemas.openxmlformats.org/officeDocument/2006/relationships/image" Target="media/image51.wmf"/><Relationship Id="rId271" Type="http://schemas.openxmlformats.org/officeDocument/2006/relationships/image" Target="media/image68.wmf"/><Relationship Id="rId292" Type="http://schemas.openxmlformats.org/officeDocument/2006/relationships/image" Target="media/image80.wmf"/><Relationship Id="rId306" Type="http://schemas.openxmlformats.org/officeDocument/2006/relationships/image" Target="media/image82.jpeg"/><Relationship Id="rId24" Type="http://schemas.openxmlformats.org/officeDocument/2006/relationships/image" Target="media/image13.png"/><Relationship Id="rId45" Type="http://schemas.openxmlformats.org/officeDocument/2006/relationships/image" Target="media/image34.png"/><Relationship Id="rId66" Type="http://schemas.openxmlformats.org/officeDocument/2006/relationships/hyperlink" Target="http://ru.wikipedia.org/wiki/%D0%90%D0%BB%D0%B4%D0%B0%D0%BD_%28%D0%B3%D0%BE%D1%80%D0%BE%D0%B4%29" TargetMode="External"/><Relationship Id="rId87" Type="http://schemas.openxmlformats.org/officeDocument/2006/relationships/hyperlink" Target="http://ru.wikipedia.org/wiki/%D0%9E%D0%BB%D0%B5%D0%BD%D1%91%D0%BA_%28%D1%81%D0%B5%D0%BB%D0%BE%29" TargetMode="External"/><Relationship Id="rId110" Type="http://schemas.openxmlformats.org/officeDocument/2006/relationships/hyperlink" Target="http://ru.wikipedia.org/wiki/%D0%9A%D0%BE%D0%BB%D1%8B%D0%BC%D0%B0_%28%D0%B0%D0%B2%D1%82%D0%BE%D0%B4%D0%BE%D1%80%D0%BE%D0%B3%D0%B0%29" TargetMode="External"/><Relationship Id="rId131" Type="http://schemas.openxmlformats.org/officeDocument/2006/relationships/hyperlink" Target="http://ru.wikipedia.org/wiki/%D0%A3%D0%B4%D0%B0%D1%87%D0%BD%D1%8B%D0%B9" TargetMode="External"/><Relationship Id="rId152" Type="http://schemas.openxmlformats.org/officeDocument/2006/relationships/hyperlink" Target="http://ru.wikipedia.org/wiki/%D0%9A%D1%80%D0%B8%D1%81%D1%82%D0%B0%D0%BB%D0%BB" TargetMode="External"/><Relationship Id="rId173" Type="http://schemas.openxmlformats.org/officeDocument/2006/relationships/hyperlink" Target="http://ru.wikipedia.org/wiki/14_%D0%BE%D0%BA%D1%82%D1%8F%D0%B1%D1%80%D1%8F" TargetMode="External"/><Relationship Id="rId194" Type="http://schemas.openxmlformats.org/officeDocument/2006/relationships/hyperlink" Target="http://ru.wikipedia.org/wiki/%D0%A1%D0%BA%D0%BE%D1%82%D0%BE%D0%B2%D0%BE%D0%B4%D1%81%D1%82%D0%B2%D0%BE" TargetMode="External"/><Relationship Id="rId208" Type="http://schemas.openxmlformats.org/officeDocument/2006/relationships/hyperlink" Target="http://ru.wikipedia.org/wiki/1638_%D0%B3%D0%BE%D0%B4" TargetMode="External"/><Relationship Id="rId229" Type="http://schemas.openxmlformats.org/officeDocument/2006/relationships/hyperlink" Target="http://ru.wikipedia.org/wiki/1930-%D0%B5" TargetMode="External"/><Relationship Id="rId240" Type="http://schemas.openxmlformats.org/officeDocument/2006/relationships/image" Target="file:///\\192.168.10.102\GOROHO~1\AppData\Local\Temp\FineReader12.00\media\image1.jpeg" TargetMode="External"/><Relationship Id="rId261" Type="http://schemas.openxmlformats.org/officeDocument/2006/relationships/image" Target="media/image60.png"/><Relationship Id="rId14" Type="http://schemas.openxmlformats.org/officeDocument/2006/relationships/hyperlink" Target="file:///\\192.168.10.102\&#1075;&#1073;&#1091;\12.%20&#1054;&#1090;&#1095;&#1077;&#1090;&#1099;\&#1043;&#1086;&#1089;&#1079;&#1072;&#1076;&#1072;&#1085;&#1080;&#1077;%202019\&#1054;&#1050;&#1057;%202019\&#1085;&#1072;%20&#1087;&#1088;&#1086;&#1074;&#1077;&#1088;&#1082;&#1091;\_&#26625;&#29696;&#29696;&#28672;&#14848;&#12032;&#12032;&#25600;&#28416;&#25344;&#29440;&#11776;&#25344;&#28160;&#29696;&#25600;&#11776;&#29184;&#29952;&#12032;&#25600;&#28416;&#25344;&#29952;&#27904;&#25856;&#28160;&#29696;&#12032;&#12544;&#12800;&#12288;&#12288;&#12288;&#12288;&#13568;&#14080;&#13824;&#12544;&#10496;&#11776;" TargetMode="External"/><Relationship Id="rId35" Type="http://schemas.openxmlformats.org/officeDocument/2006/relationships/image" Target="media/image24.png"/><Relationship Id="rId56" Type="http://schemas.openxmlformats.org/officeDocument/2006/relationships/hyperlink" Target="http://ru.wikipedia.org/wiki/2012_%D0%B3%D0%BE%D0%B4" TargetMode="External"/><Relationship Id="rId77" Type="http://schemas.openxmlformats.org/officeDocument/2006/relationships/hyperlink" Target="http://ru.wikipedia.org/wiki/%D0%A1%D0%B0%D0%BD%D0%B3%D0%B0%D1%80" TargetMode="External"/><Relationship Id="rId100" Type="http://schemas.openxmlformats.org/officeDocument/2006/relationships/hyperlink" Target="http://ru.wikipedia.org/wiki/%D0%9D%D0%B0%D0%B2%D0%B8%D0%B3%D0%B0%D1%86%D0%B8%D1%8F" TargetMode="External"/><Relationship Id="rId282" Type="http://schemas.openxmlformats.org/officeDocument/2006/relationships/image" Target="media/image75.wmf"/><Relationship Id="rId8" Type="http://schemas.openxmlformats.org/officeDocument/2006/relationships/image" Target="media/image1.png"/><Relationship Id="rId98" Type="http://schemas.openxmlformats.org/officeDocument/2006/relationships/hyperlink" Target="http://ru.wikipedia.org/wiki/%D0%91%D0%B0%D1%82%D0%B0%D0%B3%D0%B0%D0%B9-%D0%90%D0%BB%D1%8B%D1%82%D0%B0" TargetMode="External"/><Relationship Id="rId121" Type="http://schemas.openxmlformats.org/officeDocument/2006/relationships/hyperlink" Target="http://ru.wikipedia.org/wiki/%D0%97%D0%B8%D0%BC%D0%BD%D0%B8%D0%BA" TargetMode="External"/><Relationship Id="rId142" Type="http://schemas.openxmlformats.org/officeDocument/2006/relationships/hyperlink" Target="http://ru.wikipedia.org/wiki/%D0%A3%D0%BB%D0%B0%D0%BA_%E2%80%94_%D0%AD%D0%BB%D1%8C%D0%B3%D0%B0" TargetMode="External"/><Relationship Id="rId163" Type="http://schemas.openxmlformats.org/officeDocument/2006/relationships/hyperlink" Target="http://ru.wikipedia.org/wiki/%D0%94%D0%BE%D0%BB%D0%B3%D0%B0%D0%BD%D1%8B" TargetMode="External"/><Relationship Id="rId184" Type="http://schemas.openxmlformats.org/officeDocument/2006/relationships/hyperlink" Target="http://ru.wikipedia.org/wiki/%D0%9B%D0%B5%D0%BD%D0%B0_%28%D1%80%D0%B5%D0%BA%D0%B0%29" TargetMode="External"/><Relationship Id="rId219" Type="http://schemas.openxmlformats.org/officeDocument/2006/relationships/hyperlink" Target="http://ru.wikipedia.org/wiki/%D0%94%D0%B5%D0%BA%D0%B0%D0%B1%D1%80%D0%B8%D1%81%D1%82%D1%8B" TargetMode="External"/><Relationship Id="rId230" Type="http://schemas.openxmlformats.org/officeDocument/2006/relationships/hyperlink" Target="http://ru.wikipedia.org/wiki/%D0%A1%D0%B5%D0%B2%D0%B5%D1%80%D0%BD%D1%8B%D0%B9_%D0%BC%D0%BE%D1%80%D1%81%D0%BA%D0%BE%D0%B9_%D0%BF%D1%83%D1%82%D1%8C" TargetMode="External"/><Relationship Id="rId251" Type="http://schemas.openxmlformats.org/officeDocument/2006/relationships/oleObject" Target="embeddings/oleObject1.bin"/><Relationship Id="rId25" Type="http://schemas.openxmlformats.org/officeDocument/2006/relationships/image" Target="media/image14.png"/><Relationship Id="rId46" Type="http://schemas.openxmlformats.org/officeDocument/2006/relationships/image" Target="media/image35.png"/><Relationship Id="rId67" Type="http://schemas.openxmlformats.org/officeDocument/2006/relationships/hyperlink" Target="http://ru.wikipedia.org/wiki/%D0%A7%D0%BE%D0%BA%D1%83%D1%80%D0%B4%D0%B0%D1%85" TargetMode="External"/><Relationship Id="rId272" Type="http://schemas.openxmlformats.org/officeDocument/2006/relationships/image" Target="media/image69.wmf"/><Relationship Id="rId293" Type="http://schemas.openxmlformats.org/officeDocument/2006/relationships/oleObject" Target="embeddings/oleObject11.bin"/><Relationship Id="rId307" Type="http://schemas.openxmlformats.org/officeDocument/2006/relationships/image" Target="media/image83.jpeg"/><Relationship Id="rId88" Type="http://schemas.openxmlformats.org/officeDocument/2006/relationships/hyperlink" Target="http://ru.wikipedia.org/wiki/%D0%9E%D0%BB%D1%91%D0%BA%D0%BC%D0%B8%D0%BD%D1%81%D0%BA" TargetMode="External"/><Relationship Id="rId111" Type="http://schemas.openxmlformats.org/officeDocument/2006/relationships/hyperlink" Target="http://ru.wikipedia.org/wiki/%D0%AF%D0%BA%D1%83%D1%82%D1%81%D0%BA" TargetMode="External"/><Relationship Id="rId132" Type="http://schemas.openxmlformats.org/officeDocument/2006/relationships/hyperlink" Target="http://ru.wikipedia.org/wiki/%D0%9E%D0%BB%D0%B5%D0%BD%D1%91%D0%BA_%28%D1%81%D0%B5%D0%BB%D0%BE%29" TargetMode="External"/><Relationship Id="rId153" Type="http://schemas.openxmlformats.org/officeDocument/2006/relationships/hyperlink" Target="http://ru.wikipedia.org/wiki/%D0%A1%D0%BE%D0%BB%D0%BD%D1%86%D0%B5" TargetMode="External"/><Relationship Id="rId174" Type="http://schemas.openxmlformats.org/officeDocument/2006/relationships/hyperlink" Target="http://ru.wikipedia.org/wiki/1992_%D0%B3%D0%BE%D0%B4" TargetMode="External"/><Relationship Id="rId195" Type="http://schemas.openxmlformats.org/officeDocument/2006/relationships/hyperlink" Target="http://ru.wikipedia.org/wiki/XVII_%D0%B2%D0%B5%D0%BA" TargetMode="External"/><Relationship Id="rId209" Type="http://schemas.openxmlformats.org/officeDocument/2006/relationships/hyperlink" Target="http://ru.wikipedia.org/wiki/%D0%AF%D0%BA%D1%83%D1%82%D1%81%D0%BA%D0%B8%D0%B9_%D1%83%D0%B5%D0%B7%D0%B4" TargetMode="External"/><Relationship Id="rId220" Type="http://schemas.openxmlformats.org/officeDocument/2006/relationships/hyperlink" Target="http://ru.wikipedia.org/wiki/%D0%9F%D0%BE%D0%BB%D1%8C%D1%81%D0%BA%D0%BE%D0%B5_%D0%B2%D0%BE%D1%81%D1%81%D1%82%D0%B0%D0%BD%D0%B8%D0%B5_1863_%D0%B3%D0%BE%D0%B4%D0%B0" TargetMode="External"/><Relationship Id="rId241" Type="http://schemas.openxmlformats.org/officeDocument/2006/relationships/image" Target="media/image45.jpeg"/><Relationship Id="rId15" Type="http://schemas.openxmlformats.org/officeDocument/2006/relationships/image" Target="media/image4.png"/><Relationship Id="rId36" Type="http://schemas.openxmlformats.org/officeDocument/2006/relationships/image" Target="media/image25.png"/><Relationship Id="rId57" Type="http://schemas.openxmlformats.org/officeDocument/2006/relationships/hyperlink" Target="http://ru.wikipedia.org/wiki/%D0%93%D0%BE%D1%80%D0%BE%D0%B4%D1%81%D0%BA%D0%BE%D0%B5_%D0%BD%D0%B0%D1%81%D0%B5%D0%BB%D0%B5%D0%BD%D0%B8%D0%B5" TargetMode="External"/><Relationship Id="rId262" Type="http://schemas.openxmlformats.org/officeDocument/2006/relationships/image" Target="media/image61.png"/><Relationship Id="rId283" Type="http://schemas.openxmlformats.org/officeDocument/2006/relationships/oleObject" Target="embeddings/oleObject6.bin"/><Relationship Id="rId78" Type="http://schemas.openxmlformats.org/officeDocument/2006/relationships/hyperlink" Target="http://ru.wikipedia.org/wiki/%D0%9B%D0%B5%D0%BD%D1%81%D0%BA" TargetMode="External"/><Relationship Id="rId99" Type="http://schemas.openxmlformats.org/officeDocument/2006/relationships/image" Target="media/image41.png"/><Relationship Id="rId101" Type="http://schemas.openxmlformats.org/officeDocument/2006/relationships/hyperlink" Target="http://ru.wikipedia.org/wiki/%D0%9B%D0%B5%D0%BD%D0%B0_%28%D1%80%D0%B5%D0%BA%D0%B0%29" TargetMode="External"/><Relationship Id="rId122" Type="http://schemas.openxmlformats.org/officeDocument/2006/relationships/hyperlink" Target="http://ru.wikipedia.org/w/index.php?title=%D0%90%D0%BC%D0%B3%D0%B0_%28%D0%B0%D0%B2%D1%82%D0%BE%D0%BC%D0%B0%D0%B3%D0%B8%D1%81%D1%82%D1%80%D0%B0%D0%BB%D1%8C%29&amp;action=edit&amp;redlink=1" TargetMode="External"/><Relationship Id="rId143" Type="http://schemas.openxmlformats.org/officeDocument/2006/relationships/image" Target="media/image42.png"/><Relationship Id="rId164" Type="http://schemas.openxmlformats.org/officeDocument/2006/relationships/hyperlink" Target="http://ru.wikipedia.org/wiki/%D0%AE%D0%BA%D0%B0%D0%B3%D0%B8%D1%80%D1%8B" TargetMode="External"/><Relationship Id="rId185" Type="http://schemas.openxmlformats.org/officeDocument/2006/relationships/hyperlink" Target="http://ru.wikipedia.org/wiki/%D0%AD%D0%B2%D0%B5%D0%BD%D1%8B" TargetMode="External"/><Relationship Id="rId9" Type="http://schemas.openxmlformats.org/officeDocument/2006/relationships/header" Target="header1.xml"/><Relationship Id="rId210" Type="http://schemas.openxmlformats.org/officeDocument/2006/relationships/hyperlink" Target="http://ru.wikipedia.org/wiki/1775_%D0%B3%D0%BE%D0%B4" TargetMode="External"/><Relationship Id="rId26" Type="http://schemas.openxmlformats.org/officeDocument/2006/relationships/image" Target="media/image15.png"/><Relationship Id="rId231" Type="http://schemas.openxmlformats.org/officeDocument/2006/relationships/hyperlink" Target="http://ru.wikipedia.org/wiki/%D0%A2%D0%B8%D0%BA%D1%81%D0%B8" TargetMode="External"/><Relationship Id="rId252" Type="http://schemas.openxmlformats.org/officeDocument/2006/relationships/image" Target="media/image52.png"/><Relationship Id="rId273" Type="http://schemas.openxmlformats.org/officeDocument/2006/relationships/image" Target="media/image70.wmf"/><Relationship Id="rId294" Type="http://schemas.openxmlformats.org/officeDocument/2006/relationships/oleObject" Target="embeddings/oleObject12.bin"/><Relationship Id="rId308" Type="http://schemas.openxmlformats.org/officeDocument/2006/relationships/image" Target="media/image84.jpeg"/><Relationship Id="rId47" Type="http://schemas.openxmlformats.org/officeDocument/2006/relationships/image" Target="media/image36.png"/><Relationship Id="rId68" Type="http://schemas.openxmlformats.org/officeDocument/2006/relationships/hyperlink" Target="http://ru.wikipedia.org/wiki/%D0%90%D0%BC%D0%B3%D0%B0_%28%D1%81%D0%B5%D0%BB%D0%BE%29" TargetMode="External"/><Relationship Id="rId89" Type="http://schemas.openxmlformats.org/officeDocument/2006/relationships/hyperlink" Target="http://ru.wikipedia.org/wiki/%D0%A1%D1%80%D0%B5%D0%B4%D0%BD%D0%B5%D0%BA%D0%BE%D0%BB%D1%8B%D0%BC%D1%81%D0%BA" TargetMode="External"/><Relationship Id="rId112" Type="http://schemas.openxmlformats.org/officeDocument/2006/relationships/hyperlink" Target="http://ru.wikipedia.org/wiki/%D0%9C%D0%B0%D0%B3%D0%B0%D0%B4%D0%B0%D0%BD" TargetMode="External"/><Relationship Id="rId133" Type="http://schemas.openxmlformats.org/officeDocument/2006/relationships/hyperlink" Target="http://ru.wikipedia.org/wiki/%D0%AE%D1%80%D1%8E%D0%BD%D0%B3-%D0%A5%D0%B0%D1%8F" TargetMode="External"/><Relationship Id="rId154" Type="http://schemas.openxmlformats.org/officeDocument/2006/relationships/hyperlink" Target="http://ru.wikipedia.org/wiki/%D0%9D%D0%B0%D1%81%D0%BA%D0%B0%D0%BB%D1%8C%D0%BD%D0%B0%D1%8F_%D0%B6%D0%B8%D0%B2%D0%BE%D0%BF%D0%B8%D1%81%D1%8C" TargetMode="External"/><Relationship Id="rId175" Type="http://schemas.openxmlformats.org/officeDocument/2006/relationships/hyperlink" Target="http://ru.wikipedia.org/wiki/%D0%93%D0%BE%D1%81%D1%83%D0%B4%D0%B0%D1%80%D1%81%D1%82%D0%B2%D0%B5%D0%BD%D0%BD%D1%8B%D0%B9_%D0%B3%D0%B5%D1%80%D0%B0%D0%BB%D1%8C%D0%B4%D0%B8%D1%87%D0%B5%D1%81%D0%BA%D0%B8%D0%B9_%D1%80%D0%B5%D0%B3%D0%B8%D1%81%D1%82%D1%80_%D0%A0%D0%BE%D1%81%D1%81%D0%B8%D0%B9%D1%81%D0%BA%D0%BE%D0%B9_%D0%A4%D0%B5%D0%B4%D0%B5%D1%80%D0%B0%D1%86%D0%B8%D0%B8" TargetMode="External"/><Relationship Id="rId196" Type="http://schemas.openxmlformats.org/officeDocument/2006/relationships/hyperlink" Target="http://ru.wikipedia.org/wiki/%D0%98%D0%BD%D0%B4%D0%B8%D0%B3%D0%B8%D1%80%D0%BA%D0%B0" TargetMode="External"/><Relationship Id="rId200" Type="http://schemas.openxmlformats.org/officeDocument/2006/relationships/hyperlink" Target="http://ru.wikipedia.org/wiki/%D0%AF%D0%BA%D1%83%D1%82%D1%81%D0%BA" TargetMode="External"/><Relationship Id="rId16" Type="http://schemas.openxmlformats.org/officeDocument/2006/relationships/image" Target="media/image5.png"/><Relationship Id="rId221" Type="http://schemas.openxmlformats.org/officeDocument/2006/relationships/hyperlink" Target="http://ru.wikipedia.org/wiki/%D0%9D%D0%B0%D1%80%D0%BE%D0%B4%D0%BD%D0%B8%D0%BA%D0%B8" TargetMode="External"/><Relationship Id="rId242" Type="http://schemas.openxmlformats.org/officeDocument/2006/relationships/image" Target="media/image46.jpeg"/><Relationship Id="rId263" Type="http://schemas.openxmlformats.org/officeDocument/2006/relationships/image" Target="media/image62.png"/><Relationship Id="rId284" Type="http://schemas.openxmlformats.org/officeDocument/2006/relationships/image" Target="media/image76.wmf"/><Relationship Id="rId37" Type="http://schemas.openxmlformats.org/officeDocument/2006/relationships/image" Target="media/image26.png"/><Relationship Id="rId58" Type="http://schemas.openxmlformats.org/officeDocument/2006/relationships/hyperlink" Target="http://ru.wikipedia.org/wiki/%D0%AF%D0%BA%D1%83%D1%82%D1%81%D0%BA" TargetMode="External"/><Relationship Id="rId79" Type="http://schemas.openxmlformats.org/officeDocument/2006/relationships/hyperlink" Target="http://ru.wikipedia.org/wiki/%D0%9D%D0%B8%D0%B6%D0%BD%D0%B8%D0%B9_%D0%91%D0%B5%D1%81%D1%82%D1%8F%D1%85" TargetMode="External"/><Relationship Id="rId102" Type="http://schemas.openxmlformats.org/officeDocument/2006/relationships/hyperlink" Target="http://ru.wikipedia.org/wiki/%D0%92%D0%B8%D0%BB%D1%8E%D0%B9" TargetMode="External"/><Relationship Id="rId123" Type="http://schemas.openxmlformats.org/officeDocument/2006/relationships/hyperlink" Target="http://ru.wikipedia.org/wiki/%D0%90%D0%BC%D0%B3%D0%B0_%28%D1%81%D0%B5%D0%BB%D0%BE%29" TargetMode="External"/><Relationship Id="rId144" Type="http://schemas.openxmlformats.org/officeDocument/2006/relationships/hyperlink" Target="http://ru.wikipedia.org/wiki/26_%D0%B4%D0%B5%D0%BA%D0%B0%D0%B1%D1%80%D1%8F" TargetMode="External"/><Relationship Id="rId90" Type="http://schemas.openxmlformats.org/officeDocument/2006/relationships/hyperlink" Target="http://ru.wikipedia.org/wiki/%D0%A1%D1%83%D0%BD%D1%82%D0%B0%D1%80" TargetMode="External"/><Relationship Id="rId165" Type="http://schemas.openxmlformats.org/officeDocument/2006/relationships/hyperlink" Target="http://ru.wikipedia.org/wiki/%D0%A1%D0%B8%D0%BD%D0%B8%D0%B9_%D1%86%D0%B2%D0%B5%D1%82" TargetMode="External"/><Relationship Id="rId186" Type="http://schemas.openxmlformats.org/officeDocument/2006/relationships/hyperlink" Target="http://ru.wikipedia.org/wiki/%D0%AD%D0%B2%D0%B5%D0%BD%D0%BA%D0%B8" TargetMode="External"/><Relationship Id="rId211" Type="http://schemas.openxmlformats.org/officeDocument/2006/relationships/hyperlink" Target="http://ru.wikipedia.org/wiki/%D0%AF%D0%BA%D1%83%D1%82%D1%81%D0%BA%D0%B0%D1%8F_%D0%BE%D0%B1%D0%BB%D0%B0%D1%81%D1%82%D1%8C" TargetMode="External"/><Relationship Id="rId232" Type="http://schemas.openxmlformats.org/officeDocument/2006/relationships/hyperlink" Target="http://ru.wikipedia.org/wiki/1950-%D0%B5" TargetMode="External"/><Relationship Id="rId253" Type="http://schemas.openxmlformats.org/officeDocument/2006/relationships/image" Target="media/image53.png"/><Relationship Id="rId274" Type="http://schemas.openxmlformats.org/officeDocument/2006/relationships/image" Target="media/image71.wmf"/><Relationship Id="rId295" Type="http://schemas.openxmlformats.org/officeDocument/2006/relationships/header" Target="header2.xml"/><Relationship Id="rId309" Type="http://schemas.openxmlformats.org/officeDocument/2006/relationships/image" Target="media/image85.png"/><Relationship Id="rId27" Type="http://schemas.openxmlformats.org/officeDocument/2006/relationships/image" Target="media/image16.png"/><Relationship Id="rId48" Type="http://schemas.openxmlformats.org/officeDocument/2006/relationships/image" Target="media/image37.png"/><Relationship Id="rId69" Type="http://schemas.openxmlformats.org/officeDocument/2006/relationships/hyperlink" Target="http://ru.wikipedia.org/wiki/%D0%A1%D0%B0%D1%81%D0%BA%D1%8B%D0%BB%D0%B0%D1%85" TargetMode="External"/><Relationship Id="rId113" Type="http://schemas.openxmlformats.org/officeDocument/2006/relationships/hyperlink" Target="http://ru.wikipedia.org/wiki/%DF%EA%F3%F2%E8%FF" TargetMode="External"/><Relationship Id="rId134" Type="http://schemas.openxmlformats.org/officeDocument/2006/relationships/hyperlink" Target="http://ru.wikipedia.org/wiki/%D0%9B%D0%B5%D0%BD%D0%B0_%28%D0%B0%D0%B2%D1%82%D0%BE%D0%B4%D0%BE%D1%80%D0%BE%D0%B3%D0%B0%29" TargetMode="External"/><Relationship Id="rId80" Type="http://schemas.openxmlformats.org/officeDocument/2006/relationships/hyperlink" Target="http://ru.wikipedia.org/wiki/%D0%9C%D0%B8%D1%80%D0%BD%D1%8B%D0%B9_%28%D0%AF%D0%BA%D1%83%D1%82%D0%B8%D1%8F%29" TargetMode="External"/><Relationship Id="rId155" Type="http://schemas.openxmlformats.org/officeDocument/2006/relationships/hyperlink" Target="http://ru.wikipedia.org/wiki/%D0%9B%D0%B5%D0%BD%D0%B0_%28%D1%80%D0%B5%D0%BA%D0%B0%29" TargetMode="External"/><Relationship Id="rId176" Type="http://schemas.openxmlformats.org/officeDocument/2006/relationships/hyperlink" Target="http://ru.wikipedia.org/wiki/%D0%93%D0%BE%D0%BB%D1%83%D0%B1%D0%BE%D0%B9_%D1%86%D0%B2%D0%B5%D1%82" TargetMode="External"/><Relationship Id="rId197" Type="http://schemas.openxmlformats.org/officeDocument/2006/relationships/hyperlink" Target="http://ru.wikipedia.org/wiki/%D0%AF%D0%BD%D0%B0_%28%D1%80%D0%B5%D0%BA%D0%B0%29" TargetMode="External"/><Relationship Id="rId201" Type="http://schemas.openxmlformats.org/officeDocument/2006/relationships/hyperlink" Target="http://ru.wikipedia.org/wiki/%D0%96%D0%B8%D0%B3%D0%B0%D0%BD%D1%81%D0%BA" TargetMode="External"/><Relationship Id="rId222" Type="http://schemas.openxmlformats.org/officeDocument/2006/relationships/hyperlink" Target="http://ru.wikipedia.org/wiki/%D0%AD%D1%81%D0%B5%D1%80%D1%8B" TargetMode="External"/><Relationship Id="rId243" Type="http://schemas.openxmlformats.org/officeDocument/2006/relationships/image" Target="media/image47.jpeg"/><Relationship Id="rId264" Type="http://schemas.openxmlformats.org/officeDocument/2006/relationships/image" Target="media/image63.png"/><Relationship Id="rId285" Type="http://schemas.openxmlformats.org/officeDocument/2006/relationships/oleObject" Target="embeddings/oleObject7.bin"/><Relationship Id="rId17" Type="http://schemas.openxmlformats.org/officeDocument/2006/relationships/image" Target="media/image6.png"/><Relationship Id="rId38" Type="http://schemas.openxmlformats.org/officeDocument/2006/relationships/image" Target="media/image27.png"/><Relationship Id="rId59" Type="http://schemas.openxmlformats.org/officeDocument/2006/relationships/hyperlink" Target="http://ru.wikipedia.org/wiki/%D0%9C%D1%83%D0%BD%D0%B8%D1%86%D0%B8%D0%BF%D0%B0%D0%BB%D1%8C%D0%BD%D0%BE%D0%B5_%D0%BE%D0%B1%D1%80%D0%B0%D0%B7%D0%BE%D0%B2%D0%B0%D0%BD%D0%B8%D0%B5" TargetMode="External"/><Relationship Id="rId103" Type="http://schemas.openxmlformats.org/officeDocument/2006/relationships/hyperlink" Target="http://ru.wikipedia.org/wiki/%D0%90%D0%BB%D0%B4%D0%B0%D0%BD_%28%D1%80%D0%B5%D0%BA%D0%B0%29" TargetMode="External"/><Relationship Id="rId124" Type="http://schemas.openxmlformats.org/officeDocument/2006/relationships/hyperlink" Target="http://ru.wikipedia.org/wiki/%D0%A3%D1%81%D1%82%D1%8C-%D0%9C%D0%B0%D1%8F" TargetMode="External"/><Relationship Id="rId310" Type="http://schemas.openxmlformats.org/officeDocument/2006/relationships/image" Target="media/image86.wmf"/><Relationship Id="rId70" Type="http://schemas.openxmlformats.org/officeDocument/2006/relationships/hyperlink" Target="http://ru.wikipedia.org/wiki/%D0%A2%D0%B8%D0%BA%D1%81%D0%B8" TargetMode="External"/><Relationship Id="rId91" Type="http://schemas.openxmlformats.org/officeDocument/2006/relationships/hyperlink" Target="http://ru.wikipedia.org/wiki/%D0%AB%D1%82%D1%8B%D0%BA-%D0%9A%D1%8E%D1%91%D0%BB%D1%8C" TargetMode="External"/><Relationship Id="rId145" Type="http://schemas.openxmlformats.org/officeDocument/2006/relationships/hyperlink" Target="http://ru.wikipedia.org/wiki/1992_%D0%B3%D0%BE%D0%B4" TargetMode="External"/><Relationship Id="rId166" Type="http://schemas.openxmlformats.org/officeDocument/2006/relationships/hyperlink" Target="http://ru.wikipedia.org/wiki/%D0%92%D0%B5%D1%80%D0%BD%D0%BE%D1%81%D1%82%D1%8C" TargetMode="External"/><Relationship Id="rId187" Type="http://schemas.openxmlformats.org/officeDocument/2006/relationships/hyperlink" Target="http://ru.wikipedia.org/wiki/XIII" TargetMode="External"/><Relationship Id="rId1" Type="http://schemas.openxmlformats.org/officeDocument/2006/relationships/customXml" Target="../customXml/item1.xml"/><Relationship Id="rId212" Type="http://schemas.openxmlformats.org/officeDocument/2006/relationships/hyperlink" Target="http://ru.wikipedia.org/wiki/1784_%D0%B3%D0%BE%D0%B4" TargetMode="External"/><Relationship Id="rId233" Type="http://schemas.openxmlformats.org/officeDocument/2006/relationships/hyperlink" Target="http://ru.wikipedia.org/wiki/%D0%9C%D0%B8%D1%80%D0%BD%D0%B8%D0%BD%D1%81%D0%BA%D0%B8%D0%B9_%D1%80%D0%B0%D0%B9%D0%BE%D0%BD_%D0%AF%D0%BA%D1%83%D1%82%D0%B8%D0%B8" TargetMode="External"/><Relationship Id="rId254" Type="http://schemas.openxmlformats.org/officeDocument/2006/relationships/image" Target="media/image54.png"/><Relationship Id="rId28" Type="http://schemas.openxmlformats.org/officeDocument/2006/relationships/image" Target="media/image17.png"/><Relationship Id="rId49" Type="http://schemas.openxmlformats.org/officeDocument/2006/relationships/image" Target="media/image38.png"/><Relationship Id="rId114" Type="http://schemas.openxmlformats.org/officeDocument/2006/relationships/hyperlink" Target="http://ru.wikipedia.org/wiki/2007_%D0%B3%D0%BE%D0%B4" TargetMode="External"/><Relationship Id="rId275" Type="http://schemas.openxmlformats.org/officeDocument/2006/relationships/oleObject" Target="embeddings/oleObject2.bin"/><Relationship Id="rId296" Type="http://schemas.openxmlformats.org/officeDocument/2006/relationships/footer" Target="footer3.xml"/><Relationship Id="rId300" Type="http://schemas.openxmlformats.org/officeDocument/2006/relationships/footer" Target="footer5.xml"/><Relationship Id="rId60" Type="http://schemas.openxmlformats.org/officeDocument/2006/relationships/hyperlink" Target="http://ru.wikipedia.org/wiki/%D0%9C%D1%83%D0%BD%D0%B8%D1%86%D0%B8%D0%BF%D0%B0%D0%BB%D1%8C%D0%BD%D1%8B%D0%B9_%D1%80%D0%B0%D0%B9%D0%BE%D0%BD" TargetMode="External"/><Relationship Id="rId81" Type="http://schemas.openxmlformats.org/officeDocument/2006/relationships/hyperlink" Target="http://ru.wikipedia.org/wiki/%D0%A5%D0%BE%D0%BD%D1%83%D1%83" TargetMode="External"/><Relationship Id="rId135" Type="http://schemas.openxmlformats.org/officeDocument/2006/relationships/hyperlink" Target="http://ru.wikipedia.org/wiki/%D0%92%D0%BE%D0%B7%D0%B4%D1%83%D1%88%D0%BD%D1%8B%D0%B9_%D1%82%D1%80%D0%B0%D0%BD%D1%81%D0%BF%D0%BE%D1%80%D1%82" TargetMode="External"/><Relationship Id="rId156" Type="http://schemas.openxmlformats.org/officeDocument/2006/relationships/hyperlink" Target="http://ru.wikipedia.org/wiki/1745_%D0%B3%D0%BE%D0%B4" TargetMode="External"/><Relationship Id="rId177" Type="http://schemas.openxmlformats.org/officeDocument/2006/relationships/hyperlink" Target="http://ru.wikipedia.org/wiki/%D0%91%D0%B5%D0%BB%D1%8B%D0%B9_%D1%86%D0%B2%D0%B5%D1%82" TargetMode="External"/><Relationship Id="rId198" Type="http://schemas.openxmlformats.org/officeDocument/2006/relationships/hyperlink" Target="http://ru.wikipedia.org/wiki/XVII_%D0%B2%D0%B5%D0%BA" TargetMode="External"/><Relationship Id="rId202" Type="http://schemas.openxmlformats.org/officeDocument/2006/relationships/hyperlink" Target="http://ru.wikipedia.org/wiki/%D0%92%D0%B5%D1%80%D1%85%D0%BE%D1%8F%D0%BD%D1%81%D0%BA" TargetMode="External"/><Relationship Id="rId223" Type="http://schemas.openxmlformats.org/officeDocument/2006/relationships/hyperlink" Target="http://ru.wikipedia.org/wiki/%D0%A1%D0%BE%D1%86%D0%B8%D0%B0%D0%BB-%D0%B4%D0%B5%D0%BC%D0%BE%D0%BA%D1%80%D0%B0%D1%82" TargetMode="External"/><Relationship Id="rId244" Type="http://schemas.openxmlformats.org/officeDocument/2006/relationships/image" Target="media/image48.jpeg"/><Relationship Id="rId18" Type="http://schemas.openxmlformats.org/officeDocument/2006/relationships/image" Target="media/image7.png"/><Relationship Id="rId39" Type="http://schemas.openxmlformats.org/officeDocument/2006/relationships/image" Target="media/image28.png"/><Relationship Id="rId265" Type="http://schemas.openxmlformats.org/officeDocument/2006/relationships/image" Target="media/image64.png"/><Relationship Id="rId286" Type="http://schemas.openxmlformats.org/officeDocument/2006/relationships/image" Target="media/image77.wmf"/><Relationship Id="rId50" Type="http://schemas.openxmlformats.org/officeDocument/2006/relationships/hyperlink" Target="http://ru.wikipedia.org/wiki/%D0%A4%D0%B5%D0%B4%D0%B5%D1%80%D0%B0%D1%82%D0%B8%D0%B2%D0%BD%D0%BE%D0%B5_%D1%83%D1%81%D1%82%D1%80%D0%BE%D0%B9%D1%81%D1%82%D0%B2%D0%BE_%D0%A0%D0%BE%D1%81%D1%81%D0%B8%D0%B8" TargetMode="External"/><Relationship Id="rId104" Type="http://schemas.openxmlformats.org/officeDocument/2006/relationships/hyperlink" Target="http://ru.wikipedia.org/wiki/%D0%AF%D0%BD%D0%B0_%28%D1%80%D0%B5%D0%BA%D0%B0%29" TargetMode="External"/><Relationship Id="rId125" Type="http://schemas.openxmlformats.org/officeDocument/2006/relationships/hyperlink" Target="http://ru.wikipedia.org/wiki/%D0%90%D1%8F%D0%BD_%28%D0%A5%D0%B0%D0%B1%D0%B0%D1%80%D0%BE%D0%B2%D1%81%D0%BA%D0%B8%D0%B9_%D0%BA%D1%80%D0%B0%D0%B9%29" TargetMode="External"/><Relationship Id="rId146" Type="http://schemas.openxmlformats.org/officeDocument/2006/relationships/hyperlink" Target="http://ru.wikipedia.org/wiki/%D0%93%D0%BE%D1%81%D1%83%D0%B4%D0%B0%D1%80%D1%81%D1%82%D0%B2%D0%B5%D0%BD%D0%BD%D1%8B%D0%B9_%D0%B3%D0%B5%D1%80%D0%B0%D0%BB%D1%8C%D0%B4%D0%B8%D1%87%D0%B5%D1%81%D0%BA%D0%B8%D0%B9_%D1%80%D0%B5%D0%B3%D0%B8%D1%81%D1%82%D1%80_%D0%A0%D0%BE%D1%81%D1%81%D0%B8%D0%B9%D1%81%D0%BA%D0%BE%D0%B9_%D0%A4%D0%B5%D0%B4%D0%B5%D1%80%D0%B0%D1%86%D0%B8%D0%B8" TargetMode="External"/><Relationship Id="rId167" Type="http://schemas.openxmlformats.org/officeDocument/2006/relationships/hyperlink" Target="http://ru.wikipedia.org/wiki/%D0%98%D1%81%D0%BA%D1%80%D0%B5%D0%BD%D0%BD%D0%BE%D1%81%D1%82%D1%8C" TargetMode="External"/><Relationship Id="rId188" Type="http://schemas.openxmlformats.org/officeDocument/2006/relationships/hyperlink" Target="http://ru.wikipedia.org/wiki/%D0%92%D0%B8%D0%BB%D1%8E%D0%B9" TargetMode="External"/><Relationship Id="rId311" Type="http://schemas.openxmlformats.org/officeDocument/2006/relationships/hyperlink" Target="file:///\\192.168.10.102\&#1075;&#1073;&#1091;\12.%20&#1054;&#1090;&#1095;&#1077;&#1090;&#1099;\&#1043;&#1086;&#1089;&#1079;&#1072;&#1076;&#1072;&#1085;&#1080;&#1077;%202019\&#1054;&#1050;&#1057;%202019\&#1085;&#1072;%20&#1087;&#1088;&#1086;&#1074;&#1077;&#1088;&#1082;&#1091;\_&#26625;&#29696;&#29696;&#28672;&#14848;&#12032;&#12032;&#25600;&#28416;&#25344;&#29440;&#11776;&#25344;&#28160;&#29696;&#25600;&#11776;&#29184;&#29952;&#12032;&#25600;&#28416;&#25344;&#29952;&#27904;&#25856;&#28160;&#29696;&#12032;&#12544;&#12800;&#12288;&#12288;&#12288;&#12288;&#13568;&#14080;&#13824;&#12544;&#10496;&#11776;" TargetMode="External"/><Relationship Id="rId71" Type="http://schemas.openxmlformats.org/officeDocument/2006/relationships/hyperlink" Target="http://ru.wikipedia.org/wiki/%D0%92%D0%B5%D1%80%D1%85%D0%BD%D0%B5%D0%B2%D0%B8%D0%BB%D1%8E%D0%B9%D1%81%D0%BA" TargetMode="External"/><Relationship Id="rId92" Type="http://schemas.openxmlformats.org/officeDocument/2006/relationships/hyperlink" Target="http://ru.wikipedia.org/wiki/%D0%A5%D0%B0%D0%BD%D0%B4%D1%8B%D0%B3%D0%B0_%28%D0%BF%D0%BE%D1%81%D1%91%D0%BB%D0%BE%D0%BA%29" TargetMode="External"/><Relationship Id="rId213" Type="http://schemas.openxmlformats.org/officeDocument/2006/relationships/hyperlink" Target="http://ru.wikipedia.org/wiki/%D0%92%D0%BE%D1%81%D1%82%D0%BE%D1%87%D0%BD%D0%BE-%D0%A1%D0%B8%D0%B1%D0%B8%D1%80%D1%81%D0%BA%D0%BE%D0%B5_%D0%B3%D0%B5%D0%BD%D0%B5%D1%80%D0%B0%D0%BB-%D0%B3%D1%83%D0%B1%D0%B5%D1%80%D0%BD%D0%B0%D1%82%D0%BE%D1%80%D1%81%D1%82%D0%B2%D0%BE" TargetMode="External"/><Relationship Id="rId234" Type="http://schemas.openxmlformats.org/officeDocument/2006/relationships/hyperlink" Target="http://ru.wikipedia.org/wiki/27_%D1%81%D0%B5%D0%BD%D1%82%D1%8F%D0%B1%D1%80%D1%8F" TargetMode="External"/><Relationship Id="rId2" Type="http://schemas.openxmlformats.org/officeDocument/2006/relationships/numbering" Target="numbering.xml"/><Relationship Id="rId29" Type="http://schemas.openxmlformats.org/officeDocument/2006/relationships/image" Target="media/image18.png"/><Relationship Id="rId255" Type="http://schemas.openxmlformats.org/officeDocument/2006/relationships/image" Target="media/image55.png"/><Relationship Id="rId276" Type="http://schemas.openxmlformats.org/officeDocument/2006/relationships/image" Target="media/image72.wmf"/><Relationship Id="rId297" Type="http://schemas.openxmlformats.org/officeDocument/2006/relationships/header" Target="header3.xml"/><Relationship Id="rId40" Type="http://schemas.openxmlformats.org/officeDocument/2006/relationships/image" Target="media/image29.png"/><Relationship Id="rId115" Type="http://schemas.openxmlformats.org/officeDocument/2006/relationships/hyperlink" Target="http://ru.wikipedia.org/wiki/%D0%92%D0%B8%D0%BB%D1%8E%D0%B9_%28%D0%B0%D0%B2%D1%82%D0%BE%D0%B4%D0%BE%D1%80%D0%BE%D0%B3%D0%B0%29" TargetMode="External"/><Relationship Id="rId136" Type="http://schemas.openxmlformats.org/officeDocument/2006/relationships/hyperlink" Target="http://ru.wikipedia.org/wiki/%D0%90%D1%8D%D1%80%D0%BE%D0%BF%D0%BE%D1%80%D1%82" TargetMode="External"/><Relationship Id="rId157" Type="http://schemas.openxmlformats.org/officeDocument/2006/relationships/hyperlink" Target="http://ru.wikipedia.org/wiki/%D0%9A%D1%83%D1%80%D1%8B%D0%BA%D0%B0%D0%BD%D1%8B" TargetMode="External"/><Relationship Id="rId178" Type="http://schemas.openxmlformats.org/officeDocument/2006/relationships/hyperlink" Target="http://ru.wikipedia.org/wiki/%D0%9A%D1%80%D0%B0%D1%81%D0%BD%D1%8B%D0%B9_%D1%86%D0%B2%D0%B5%D1%82" TargetMode="External"/><Relationship Id="rId301" Type="http://schemas.openxmlformats.org/officeDocument/2006/relationships/header" Target="header5.xml"/><Relationship Id="rId61" Type="http://schemas.openxmlformats.org/officeDocument/2006/relationships/hyperlink" Target="http://ru.wikipedia.org/wiki/%D0%93%D0%BE%D1%80%D0%BE%D0%B4%D1%81%D0%BA%D0%BE%D0%B9_%D0%BE%D0%BA%D1%80%D1%83%D0%B3" TargetMode="External"/><Relationship Id="rId82" Type="http://schemas.openxmlformats.org/officeDocument/2006/relationships/hyperlink" Target="http://ru.wikipedia.org/wiki/%D0%9D%D0%B0%D0%BC%D1%86%D1%8B" TargetMode="External"/><Relationship Id="rId199" Type="http://schemas.openxmlformats.org/officeDocument/2006/relationships/hyperlink" Target="http://ru.wikipedia.org/wiki/%D0%9A%D0%B0%D0%B7%D0%B0%D0%BA%D0%B8" TargetMode="External"/><Relationship Id="rId203" Type="http://schemas.openxmlformats.org/officeDocument/2006/relationships/hyperlink" Target="http://ru.wikipedia.org/wiki/%D0%97%D0%B0%D1%88%D0%B8%D0%B2%D0%B5%D1%80%D1%81%D0%BA" TargetMode="External"/><Relationship Id="rId19" Type="http://schemas.openxmlformats.org/officeDocument/2006/relationships/image" Target="media/image8.jpeg"/><Relationship Id="rId224" Type="http://schemas.openxmlformats.org/officeDocument/2006/relationships/hyperlink" Target="http://ru.wikipedia.org/wiki/27_%D0%B0%D0%BF%D1%80%D0%B5%D0%BB%D1%8F" TargetMode="External"/><Relationship Id="rId245" Type="http://schemas.openxmlformats.org/officeDocument/2006/relationships/image" Target="media/image49.jpeg"/><Relationship Id="rId266" Type="http://schemas.openxmlformats.org/officeDocument/2006/relationships/hyperlink" Target="consultantplus://offline/ref=F5ADB871A538039F02CF4EE9A69B96C6FBA870E0963DD7859BC3E8447E085C8605DF03E59942F21AO6J8P" TargetMode="External"/><Relationship Id="rId287" Type="http://schemas.openxmlformats.org/officeDocument/2006/relationships/oleObject" Target="embeddings/oleObject8.bin"/><Relationship Id="rId30" Type="http://schemas.openxmlformats.org/officeDocument/2006/relationships/image" Target="media/image19.png"/><Relationship Id="rId105" Type="http://schemas.openxmlformats.org/officeDocument/2006/relationships/hyperlink" Target="http://ru.wikipedia.org/wiki/%D0%98%D0%BD%D0%B4%D0%B8%D0%B3%D0%B8%D1%80%D0%BA%D0%B0" TargetMode="External"/><Relationship Id="rId126" Type="http://schemas.openxmlformats.org/officeDocument/2006/relationships/hyperlink" Target="http://ru.wikipedia.org/wiki/%D0%A5%D0%B0%D0%B1%D0%B0%D1%80%D0%BE%D0%B2%D1%81%D0%BA%D0%B8%D0%B9_%D0%BA%D1%80%D0%B0%D0%B9" TargetMode="External"/><Relationship Id="rId147" Type="http://schemas.openxmlformats.org/officeDocument/2006/relationships/hyperlink" Target="http://ru.wikipedia.org/wiki/%D0%93%D0%B5%D1%80%D0%B1" TargetMode="External"/><Relationship Id="rId168" Type="http://schemas.openxmlformats.org/officeDocument/2006/relationships/hyperlink" Target="http://ru.wikipedia.org/wiki/%D0%9D%D0%B0%D0%B4%D1%91%D0%B6%D0%BD%D0%BE%D1%81%D1%82%D1%8C" TargetMode="External"/><Relationship Id="rId312" Type="http://schemas.openxmlformats.org/officeDocument/2006/relationships/header" Target="header8.xml"/><Relationship Id="rId51" Type="http://schemas.openxmlformats.org/officeDocument/2006/relationships/hyperlink" Target="http://ru.wikipedia.org/wiki/%D0%94%D0%B0%D0%BB%D1%8C%D0%BD%D0%B5%D0%B2%D0%BE%D1%81%D1%82%D0%BE%D1%87%D0%BD%D1%8B%D0%B9_%D1%84%D0%B5%D0%B4%D0%B5%D1%80%D0%B0%D0%BB%D1%8C%D0%BD%D1%8B%D0%B9_%D0%BE%D0%BA%D1%80%D1%83%D0%B3_%D0%A0%D0%BE%D1%81%D1%81%D0%B8%D0%B9%D1%81%D0%BA%D0%BE%D0%B9_%D0%A4%D0%B5%D0%B4%D0%B5%D1%80%D0%B0%D1%86%D0%B8%D0%B8" TargetMode="External"/><Relationship Id="rId72" Type="http://schemas.openxmlformats.org/officeDocument/2006/relationships/hyperlink" Target="http://ru.wikipedia.org/wiki/%D0%97%D1%8B%D1%80%D1%8F%D0%BD%D0%BA%D0%B0_%28%D0%AF%D0%BA%D1%83%D1%82%D0%B8%D1%8F%29" TargetMode="External"/><Relationship Id="rId93" Type="http://schemas.openxmlformats.org/officeDocument/2006/relationships/hyperlink" Target="http://ru.wikipedia.org/wiki/%D0%91%D0%BE%D1%80%D0%BE%D0%B3%D0%BE%D0%BD%D1%86%D1%8B" TargetMode="External"/><Relationship Id="rId189" Type="http://schemas.openxmlformats.org/officeDocument/2006/relationships/hyperlink" Target="http://ru.wikipedia.org/wiki/%D0%9E%D0%BB%D1%91%D0%BA%D0%BC%D0%B0" TargetMode="External"/><Relationship Id="rId3" Type="http://schemas.openxmlformats.org/officeDocument/2006/relationships/styles" Target="styles.xml"/><Relationship Id="rId214" Type="http://schemas.openxmlformats.org/officeDocument/2006/relationships/hyperlink" Target="http://ru.wikipedia.org/wiki/XVIII_%D0%B2%D0%B5%D0%BA" TargetMode="External"/><Relationship Id="rId235" Type="http://schemas.openxmlformats.org/officeDocument/2006/relationships/hyperlink" Target="http://ru.wikipedia.org/wiki/1990_%D0%B3%D0%BE%D0%B4" TargetMode="External"/><Relationship Id="rId256" Type="http://schemas.openxmlformats.org/officeDocument/2006/relationships/image" Target="media/image56.jpeg"/><Relationship Id="rId277" Type="http://schemas.openxmlformats.org/officeDocument/2006/relationships/oleObject" Target="embeddings/oleObject3.bin"/><Relationship Id="rId298" Type="http://schemas.openxmlformats.org/officeDocument/2006/relationships/footer" Target="footer4.xml"/><Relationship Id="rId116" Type="http://schemas.openxmlformats.org/officeDocument/2006/relationships/hyperlink" Target="http://ru.wikipedia.org/wiki/%D0%92%D0%B8%D0%BB%D1%8E%D0%B9%D1%81%D0%BA" TargetMode="External"/><Relationship Id="rId137" Type="http://schemas.openxmlformats.org/officeDocument/2006/relationships/hyperlink" Target="http://ru.wikipedia.org/wiki/%D0%90%D0%BC%D1%83%D1%80%D0%BE-%D0%AF%D0%BA%D1%83%D1%82%D1%81%D0%BA%D0%B0%D1%8F_%D0%B6%D0%B5%D0%BB%D0%B5%D0%B7%D0%BD%D0%BE%D0%B4%D0%BE%D1%80%D0%BE%D0%B6%D0%BD%D0%B0%D1%8F_%D0%BC%D0%B0%D0%B3%D0%B8%D1%81%D1%82%D1%80%D0%B0%D0%BB%D1%8C" TargetMode="External"/><Relationship Id="rId158" Type="http://schemas.openxmlformats.org/officeDocument/2006/relationships/hyperlink" Target="http://ru.wikipedia.org/wiki/%D0%AF%D0%BA%D1%83%D1%82%D1%8B" TargetMode="External"/><Relationship Id="rId302" Type="http://schemas.openxmlformats.org/officeDocument/2006/relationships/header" Target="header6.xml"/><Relationship Id="rId20" Type="http://schemas.openxmlformats.org/officeDocument/2006/relationships/image" Target="media/image9.png"/><Relationship Id="rId41" Type="http://schemas.openxmlformats.org/officeDocument/2006/relationships/image" Target="media/image30.png"/><Relationship Id="rId62" Type="http://schemas.openxmlformats.org/officeDocument/2006/relationships/hyperlink" Target="http://ru.wikipedia.org/wiki/%D0%9D%D0%B0%D1%81%D0%BB%D0%B5%D0%B3" TargetMode="External"/><Relationship Id="rId83" Type="http://schemas.openxmlformats.org/officeDocument/2006/relationships/hyperlink" Target="http://ru.wikipedia.org/wiki/%D0%9D%D0%B5%D1%80%D1%8E%D0%BD%D0%B3%D1%80%D0%B8" TargetMode="External"/><Relationship Id="rId179" Type="http://schemas.openxmlformats.org/officeDocument/2006/relationships/hyperlink" Target="http://ru.wikipedia.org/wiki/%D0%97%D0%B5%D0%BB%D1%91%D0%BD%D1%8B%D0%B9_%D1%86%D0%B2%D0%B5%D1%82" TargetMode="External"/><Relationship Id="rId190" Type="http://schemas.openxmlformats.org/officeDocument/2006/relationships/hyperlink" Target="http://ru.wikipedia.org/wiki/%D0%AF%D0%BA%D1%83%D1%82%D1%8B" TargetMode="External"/><Relationship Id="rId204" Type="http://schemas.openxmlformats.org/officeDocument/2006/relationships/hyperlink" Target="http://ru.wikipedia.org/wiki/%D0%A1%D1%80%D0%B5%D0%B4%D0%BD%D0%B5%D0%BA%D0%BE%D0%BB%D1%8B%D0%BC%D1%81%D0%BA" TargetMode="External"/><Relationship Id="rId225" Type="http://schemas.openxmlformats.org/officeDocument/2006/relationships/hyperlink" Target="http://ru.wikipedia.org/wiki/1922_%D0%B3%D0%BE%D0%B4" TargetMode="External"/><Relationship Id="rId246" Type="http://schemas.openxmlformats.org/officeDocument/2006/relationships/chart" Target="charts/chart1.xml"/><Relationship Id="rId267" Type="http://schemas.openxmlformats.org/officeDocument/2006/relationships/hyperlink" Target="consultantplus://offline/ref=F5ADB871A538039F02CF4EE9A69B96C6FBA870E0963DD7859BC3E8447E085C8605DF03E59942F21AO6J8P" TargetMode="External"/><Relationship Id="rId288" Type="http://schemas.openxmlformats.org/officeDocument/2006/relationships/image" Target="media/image78.wmf"/><Relationship Id="rId106" Type="http://schemas.openxmlformats.org/officeDocument/2006/relationships/hyperlink" Target="http://ru.wikipedia.org/wiki/%D0%9A%D0%BE%D0%BB%D1%8B%D0%BC%D0%B0_%28%D1%80%D0%B5%D0%BA%D0%B0%29" TargetMode="External"/><Relationship Id="rId127" Type="http://schemas.openxmlformats.org/officeDocument/2006/relationships/hyperlink" Target="http://ru.wikipedia.org/wiki/%D0%A5%D0%B0%D0%BD%D0%B4%D1%8B%D0%B3%D0%B0_%28%D0%BF%D0%BE%D1%81%D1%91%D0%BB%D0%BE%D0%BA%29" TargetMode="External"/><Relationship Id="rId313" Type="http://schemas.openxmlformats.org/officeDocument/2006/relationships/footer" Target="footer7.xml"/><Relationship Id="rId10" Type="http://schemas.openxmlformats.org/officeDocument/2006/relationships/footer" Target="footer1.xml"/><Relationship Id="rId31" Type="http://schemas.openxmlformats.org/officeDocument/2006/relationships/image" Target="media/image20.png"/><Relationship Id="rId52" Type="http://schemas.openxmlformats.org/officeDocument/2006/relationships/image" Target="media/image39.png"/><Relationship Id="rId73" Type="http://schemas.openxmlformats.org/officeDocument/2006/relationships/hyperlink" Target="http://ru.wikipedia.org/wiki/%D0%91%D0%B0%D1%82%D0%B0%D0%B3%D0%B0%D0%B9" TargetMode="External"/><Relationship Id="rId94" Type="http://schemas.openxmlformats.org/officeDocument/2006/relationships/hyperlink" Target="http://ru.wikipedia.org/wiki/%D0%A3%D1%81%D1%82%D1%8C-%D0%9C%D0%B0%D1%8F" TargetMode="External"/><Relationship Id="rId148" Type="http://schemas.openxmlformats.org/officeDocument/2006/relationships/hyperlink" Target="http://ru.wikipedia.org/wiki/%D0%9A%D1%80%D1%83%D0%B3" TargetMode="External"/><Relationship Id="rId169" Type="http://schemas.openxmlformats.org/officeDocument/2006/relationships/hyperlink" Target="http://ru.wikipedia.org/wiki/%D0%91%D0%B5%D0%BB%D1%8B%D0%B9_%D1%86%D0%B2%D0%B5%D1%82" TargetMode="External"/><Relationship Id="rId4" Type="http://schemas.openxmlformats.org/officeDocument/2006/relationships/settings" Target="settings.xml"/><Relationship Id="rId180" Type="http://schemas.openxmlformats.org/officeDocument/2006/relationships/hyperlink" Target="http://ru.wikipedia.org/wiki/%D0%9A%D1%80%D1%83%D0%B3" TargetMode="External"/><Relationship Id="rId215" Type="http://schemas.openxmlformats.org/officeDocument/2006/relationships/hyperlink" Target="http://ru.wikipedia.org/wiki/%D0%A5%D1%80%D0%B8%D1%81%D1%82%D0%B8%D0%B0%D0%BD%D1%81%D1%82%D0%B2%D0%BE" TargetMode="External"/><Relationship Id="rId236" Type="http://schemas.openxmlformats.org/officeDocument/2006/relationships/hyperlink" Target="http://ru.wikipedia.org/wiki/1991_%D0%B3%D0%BE%D0%B4" TargetMode="External"/><Relationship Id="rId257" Type="http://schemas.openxmlformats.org/officeDocument/2006/relationships/image" Target="media/image57.png"/><Relationship Id="rId278" Type="http://schemas.openxmlformats.org/officeDocument/2006/relationships/image" Target="media/image73.wmf"/><Relationship Id="rId303" Type="http://schemas.openxmlformats.org/officeDocument/2006/relationships/footer" Target="footer6.xml"/><Relationship Id="rId42" Type="http://schemas.openxmlformats.org/officeDocument/2006/relationships/image" Target="media/image31.png"/><Relationship Id="rId84" Type="http://schemas.openxmlformats.org/officeDocument/2006/relationships/hyperlink" Target="http://ru.wikipedia.org/wiki/%D0%A7%D0%B5%D1%80%D1%81%D0%BA%D0%B8%D0%B9_%28%D0%AF%D0%BA%D1%83%D1%82%D0%B8%D1%8F%29" TargetMode="External"/><Relationship Id="rId138" Type="http://schemas.openxmlformats.org/officeDocument/2006/relationships/hyperlink" Target="http://ru.wikipedia.org/wiki/%D0%91%D0%B5%D1%80%D0%BA%D0%B0%D0%BA%D0%B8%D1%82" TargetMode="External"/><Relationship Id="rId191" Type="http://schemas.openxmlformats.org/officeDocument/2006/relationships/hyperlink" Target="http://ru.wikipedia.org/wiki/XIV" TargetMode="External"/><Relationship Id="rId205" Type="http://schemas.openxmlformats.org/officeDocument/2006/relationships/hyperlink" Target="http://ru.wikipedia.org/wiki/%D0%90%D0%B7%D0%B8%D1%8F" TargetMode="External"/><Relationship Id="rId247" Type="http://schemas.openxmlformats.org/officeDocument/2006/relationships/chart" Target="charts/chart2.xml"/><Relationship Id="rId107" Type="http://schemas.openxmlformats.org/officeDocument/2006/relationships/hyperlink" Target="http://ru.wikipedia.org/wiki/%D0%A1%D0%B5%D0%B2%D0%B5%D1%80%D0%BD%D1%8B%D0%B9_%D0%BC%D0%BE%D1%80%D1%81%D0%BA%D0%BE%D0%B9_%D0%BF%D1%83%D1%82%D1%8C" TargetMode="External"/><Relationship Id="rId289" Type="http://schemas.openxmlformats.org/officeDocument/2006/relationships/oleObject" Target="embeddings/oleObject9.bin"/><Relationship Id="rId11" Type="http://schemas.openxmlformats.org/officeDocument/2006/relationships/footer" Target="footer2.xml"/><Relationship Id="rId53" Type="http://schemas.openxmlformats.org/officeDocument/2006/relationships/hyperlink" Target="http://ru.wikipedia.org/wiki/%D0%AF%D0%BA%D1%83%D1%82%D0%B8%D1%8F" TargetMode="External"/><Relationship Id="rId149" Type="http://schemas.openxmlformats.org/officeDocument/2006/relationships/hyperlink" Target="http://ru.wikipedia.org/wiki/%D0%92%D1%81%D0%B0%D0%B4%D0%BD%D0%B8%D0%BA" TargetMode="External"/><Relationship Id="rId314" Type="http://schemas.openxmlformats.org/officeDocument/2006/relationships/fontTable" Target="fontTable.xml"/><Relationship Id="rId95" Type="http://schemas.openxmlformats.org/officeDocument/2006/relationships/hyperlink" Target="http://ru.wikipedia.org/wiki/%D0%94%D0%B5%D0%BF%D1%83%D1%82%D0%B0%D1%82%D1%81%D0%BA%D0%B8%D0%B9" TargetMode="External"/><Relationship Id="rId160" Type="http://schemas.openxmlformats.org/officeDocument/2006/relationships/hyperlink" Target="http://ru.wikipedia.org/wiki/%D0%AD%D0%B2%D0%B5%D0%BD%D0%BA%D0%B8" TargetMode="External"/><Relationship Id="rId216" Type="http://schemas.openxmlformats.org/officeDocument/2006/relationships/hyperlink" Target="http://ru.wikipedia.org/wiki/%D0%A1%D1%81%D1%8B%D0%BB%D0%BA%D0%B0_%28%D0%BD%D0%B0%D0%BA%D0%B0%D0%B7%D0%B0%D0%BD%D0%B8%D0%B5%29" TargetMode="External"/><Relationship Id="rId258" Type="http://schemas.openxmlformats.org/officeDocument/2006/relationships/hyperlink" Target="http://www.reformagkh.ru" TargetMode="External"/><Relationship Id="rId22" Type="http://schemas.openxmlformats.org/officeDocument/2006/relationships/image" Target="media/image11.png"/><Relationship Id="rId64" Type="http://schemas.openxmlformats.org/officeDocument/2006/relationships/image" Target="media/image40.png"/><Relationship Id="rId118" Type="http://schemas.openxmlformats.org/officeDocument/2006/relationships/hyperlink" Target="http://ru.wikipedia.org/wiki/%D0%9B%D0%B5%D0%BD%D1%81%D0%BA" TargetMode="External"/><Relationship Id="rId171" Type="http://schemas.openxmlformats.org/officeDocument/2006/relationships/image" Target="media/image43.png"/><Relationship Id="rId227" Type="http://schemas.openxmlformats.org/officeDocument/2006/relationships/hyperlink" Target="http://ru.wikipedia.org/wiki/%D0%A0%D0%A1%D0%A4%D0%A1%D0%A0" TargetMode="External"/><Relationship Id="rId269" Type="http://schemas.openxmlformats.org/officeDocument/2006/relationships/image" Target="media/image66.wmf"/><Relationship Id="rId33" Type="http://schemas.openxmlformats.org/officeDocument/2006/relationships/image" Target="media/image22.png"/><Relationship Id="rId129" Type="http://schemas.openxmlformats.org/officeDocument/2006/relationships/hyperlink" Target="http://ru.wikipedia.org/wiki/%D0%A3%D1%81%D1%82%D1%8C-%D0%9A%D1%83%D0%B9%D0%B3%D0%B0" TargetMode="External"/><Relationship Id="rId280" Type="http://schemas.openxmlformats.org/officeDocument/2006/relationships/image" Target="media/image74.wmf"/><Relationship Id="rId75" Type="http://schemas.openxmlformats.org/officeDocument/2006/relationships/hyperlink" Target="http://ru.wikipedia.org/wiki/%D0%91%D0%B5%D1%80%D0%B4%D0%B8%D0%B3%D0%B5%D1%81%D1%82%D1%8F%D1%85" TargetMode="External"/><Relationship Id="rId140" Type="http://schemas.openxmlformats.org/officeDocument/2006/relationships/hyperlink" Target="http://ru.wikipedia.org/wiki/%D0%A2%D0%BE%D0%BC%D0%BC%D0%BE%D1%82" TargetMode="External"/><Relationship Id="rId182" Type="http://schemas.openxmlformats.org/officeDocument/2006/relationships/hyperlink" Target="http://ru.wikipedia.org/wiki/%D0%9F%D0%B0%D0%BB%D0%B5%D0%BE%D0%BB%D0%B8%D1%82" TargetMode="External"/><Relationship Id="rId6" Type="http://schemas.openxmlformats.org/officeDocument/2006/relationships/footnotes" Target="footnotes.xml"/><Relationship Id="rId238" Type="http://schemas.openxmlformats.org/officeDocument/2006/relationships/hyperlink" Target="http://ru.wikipedia.org/wiki/%D0%9D%D0%B8%D0%BA%D0%BE%D0%BB%D0%B0%D0%B5%D0%B2,_%D0%9C%D0%B8%D1%85%D0%B0%D0%B8%D0%BB_%D0%95%D1%84%D0%B8%D0%BC%D0%BE%D0%B2%D0%B8%D1%87" TargetMode="External"/><Relationship Id="rId291" Type="http://schemas.openxmlformats.org/officeDocument/2006/relationships/oleObject" Target="embeddings/oleObject10.bin"/><Relationship Id="rId305" Type="http://schemas.openxmlformats.org/officeDocument/2006/relationships/image" Target="media/image81.png"/><Relationship Id="rId44" Type="http://schemas.openxmlformats.org/officeDocument/2006/relationships/image" Target="media/image33.png"/><Relationship Id="rId86" Type="http://schemas.openxmlformats.org/officeDocument/2006/relationships/hyperlink" Target="http://ru.wikipedia.org/wiki/%D0%A3%D1%81%D1%82%D1%8C-%D0%9D%D0%B5%D1%80%D0%B0" TargetMode="External"/><Relationship Id="rId151" Type="http://schemas.openxmlformats.org/officeDocument/2006/relationships/hyperlink" Target="http://ru.wikipedia.org/wiki/%D0%A0%D0%BE%D0%BC%D0%B1" TargetMode="External"/></Relationships>
</file>

<file path=word/_rels/footnotes.xml.rels><?xml version="1.0" encoding="UTF-8" standalone="yes"?>
<Relationships xmlns="http://schemas.openxmlformats.org/package/2006/relationships"><Relationship Id="rId1" Type="http://schemas.openxmlformats.org/officeDocument/2006/relationships/hyperlink" Target="file:///\\192.168.10.102\&#1075;&#1073;&#1091;\03.&#1054;&#1050;&#1054;\&#1054;&#1050;&#1057;%202019\_&#26625;&#29696;&#29696;&#28672;&#14848;&#12032;&#12032;&#17152;&#16388;&#15876;&#12804;&#13572;&#15620;&#19460;&#11524;&#14336;&#15620;&#17412;&#15108;&#20228;&#17924;&#14340;&#14340;&#11780;&#16384;&#17412;&#12036;&#16896;&#12292;&#12548;&#15108;&#14340;&#17924;&#12292;&#24324;&#14336;&#15620;&#17412;&#15108;&#20228;&#17924;&#14340;&#14340;&#11780;&#24832;&#29440;&#28672;&#30720;" TargetMode="External"/></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oleObject" Target="NULL" TargetMode="External"/></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oleObject" Target="NULL" TargetMode="External"/></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oleObject" Target="NULL"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sz="1200">
                <a:latin typeface="Times New Roman" panose="02020603050405020304" pitchFamily="18" charset="0"/>
                <a:cs typeface="Times New Roman" panose="02020603050405020304" pitchFamily="18" charset="0"/>
              </a:rPr>
              <a:t>Распределение количества сделок</a:t>
            </a:r>
          </a:p>
        </c:rich>
      </c:tx>
      <c:layout/>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barChart>
        <c:barDir val="col"/>
        <c:grouping val="clustered"/>
        <c:varyColors val="0"/>
        <c:ser>
          <c:idx val="0"/>
          <c:order val="0"/>
          <c:tx>
            <c:strRef>
              <c:f>Лист5!$B$1</c:f>
              <c:strCache>
                <c:ptCount val="1"/>
                <c:pt idx="0">
                  <c:v>код_13.1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Лист5!$A$2:$A$35</c:f>
              <c:strCache>
                <c:ptCount val="34"/>
                <c:pt idx="0">
                  <c:v>Абыйский</c:v>
                </c:pt>
                <c:pt idx="1">
                  <c:v>Алданский</c:v>
                </c:pt>
                <c:pt idx="2">
                  <c:v>Амгинский</c:v>
                </c:pt>
                <c:pt idx="3">
                  <c:v>Анабарский</c:v>
                </c:pt>
                <c:pt idx="4">
                  <c:v>Булунский</c:v>
                </c:pt>
                <c:pt idx="5">
                  <c:v>Верхневилюйский</c:v>
                </c:pt>
                <c:pt idx="6">
                  <c:v>Верхнеколымский</c:v>
                </c:pt>
                <c:pt idx="7">
                  <c:v>Верхоянский</c:v>
                </c:pt>
                <c:pt idx="8">
                  <c:v>Вилюйский</c:v>
                </c:pt>
                <c:pt idx="9">
                  <c:v>Горный</c:v>
                </c:pt>
                <c:pt idx="10">
                  <c:v>Жиганский</c:v>
                </c:pt>
                <c:pt idx="11">
                  <c:v>Кобяйский</c:v>
                </c:pt>
                <c:pt idx="12">
                  <c:v>Ленский</c:v>
                </c:pt>
                <c:pt idx="13">
                  <c:v>Мегино-Кангаласский</c:v>
                </c:pt>
                <c:pt idx="14">
                  <c:v>Мирнинский</c:v>
                </c:pt>
                <c:pt idx="15">
                  <c:v>Момский</c:v>
                </c:pt>
                <c:pt idx="16">
                  <c:v>Намский</c:v>
                </c:pt>
                <c:pt idx="17">
                  <c:v>Нерюнгринский</c:v>
                </c:pt>
                <c:pt idx="18">
                  <c:v>Нижнеколымский</c:v>
                </c:pt>
                <c:pt idx="19">
                  <c:v>Нюрбинский</c:v>
                </c:pt>
                <c:pt idx="20">
                  <c:v>Оймяконский</c:v>
                </c:pt>
                <c:pt idx="21">
                  <c:v>Олекминский</c:v>
                </c:pt>
                <c:pt idx="22">
                  <c:v>Оленекский</c:v>
                </c:pt>
                <c:pt idx="23">
                  <c:v>Среднеколымский</c:v>
                </c:pt>
                <c:pt idx="24">
                  <c:v>Сунтарский</c:v>
                </c:pt>
                <c:pt idx="25">
                  <c:v>Таттинский</c:v>
                </c:pt>
                <c:pt idx="26">
                  <c:v>Томпонский</c:v>
                </c:pt>
                <c:pt idx="27">
                  <c:v>Усть-Алданский</c:v>
                </c:pt>
                <c:pt idx="28">
                  <c:v>Усть-Майский</c:v>
                </c:pt>
                <c:pt idx="29">
                  <c:v>Усть-Янский</c:v>
                </c:pt>
                <c:pt idx="30">
                  <c:v>Хангаласский</c:v>
                </c:pt>
                <c:pt idx="31">
                  <c:v>Чурапчинский</c:v>
                </c:pt>
                <c:pt idx="32">
                  <c:v>Эвено-Бытантайский</c:v>
                </c:pt>
                <c:pt idx="33">
                  <c:v>Якутск</c:v>
                </c:pt>
              </c:strCache>
            </c:strRef>
          </c:cat>
          <c:val>
            <c:numRef>
              <c:f>Лист5!$B$2:$B$35</c:f>
            </c:numRef>
          </c:val>
          <c:extLst>
            <c:ext xmlns:c16="http://schemas.microsoft.com/office/drawing/2014/chart" uri="{C3380CC4-5D6E-409C-BE32-E72D297353CC}">
              <c16:uniqueId val="{00000000-456C-4CFE-97F1-B89A9DD8AD0C}"/>
            </c:ext>
          </c:extLst>
        </c:ser>
        <c:ser>
          <c:idx val="1"/>
          <c:order val="1"/>
          <c:tx>
            <c:strRef>
              <c:f>Лист5!$C$1</c:f>
              <c:strCache>
                <c:ptCount val="1"/>
                <c:pt idx="0">
                  <c:v>код_13.2</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Лист5!$A$2:$A$35</c:f>
              <c:strCache>
                <c:ptCount val="34"/>
                <c:pt idx="0">
                  <c:v>Абыйский</c:v>
                </c:pt>
                <c:pt idx="1">
                  <c:v>Алданский</c:v>
                </c:pt>
                <c:pt idx="2">
                  <c:v>Амгинский</c:v>
                </c:pt>
                <c:pt idx="3">
                  <c:v>Анабарский</c:v>
                </c:pt>
                <c:pt idx="4">
                  <c:v>Булунский</c:v>
                </c:pt>
                <c:pt idx="5">
                  <c:v>Верхневилюйский</c:v>
                </c:pt>
                <c:pt idx="6">
                  <c:v>Верхнеколымский</c:v>
                </c:pt>
                <c:pt idx="7">
                  <c:v>Верхоянский</c:v>
                </c:pt>
                <c:pt idx="8">
                  <c:v>Вилюйский</c:v>
                </c:pt>
                <c:pt idx="9">
                  <c:v>Горный</c:v>
                </c:pt>
                <c:pt idx="10">
                  <c:v>Жиганский</c:v>
                </c:pt>
                <c:pt idx="11">
                  <c:v>Кобяйский</c:v>
                </c:pt>
                <c:pt idx="12">
                  <c:v>Ленский</c:v>
                </c:pt>
                <c:pt idx="13">
                  <c:v>Мегино-Кангаласский</c:v>
                </c:pt>
                <c:pt idx="14">
                  <c:v>Мирнинский</c:v>
                </c:pt>
                <c:pt idx="15">
                  <c:v>Момский</c:v>
                </c:pt>
                <c:pt idx="16">
                  <c:v>Намский</c:v>
                </c:pt>
                <c:pt idx="17">
                  <c:v>Нерюнгринский</c:v>
                </c:pt>
                <c:pt idx="18">
                  <c:v>Нижнеколымский</c:v>
                </c:pt>
                <c:pt idx="19">
                  <c:v>Нюрбинский</c:v>
                </c:pt>
                <c:pt idx="20">
                  <c:v>Оймяконский</c:v>
                </c:pt>
                <c:pt idx="21">
                  <c:v>Олекминский</c:v>
                </c:pt>
                <c:pt idx="22">
                  <c:v>Оленекский</c:v>
                </c:pt>
                <c:pt idx="23">
                  <c:v>Среднеколымский</c:v>
                </c:pt>
                <c:pt idx="24">
                  <c:v>Сунтарский</c:v>
                </c:pt>
                <c:pt idx="25">
                  <c:v>Таттинский</c:v>
                </c:pt>
                <c:pt idx="26">
                  <c:v>Томпонский</c:v>
                </c:pt>
                <c:pt idx="27">
                  <c:v>Усть-Алданский</c:v>
                </c:pt>
                <c:pt idx="28">
                  <c:v>Усть-Майский</c:v>
                </c:pt>
                <c:pt idx="29">
                  <c:v>Усть-Янский</c:v>
                </c:pt>
                <c:pt idx="30">
                  <c:v>Хангаласский</c:v>
                </c:pt>
                <c:pt idx="31">
                  <c:v>Чурапчинский</c:v>
                </c:pt>
                <c:pt idx="32">
                  <c:v>Эвено-Бытантайский</c:v>
                </c:pt>
                <c:pt idx="33">
                  <c:v>Якутск</c:v>
                </c:pt>
              </c:strCache>
            </c:strRef>
          </c:cat>
          <c:val>
            <c:numRef>
              <c:f>Лист5!$C$2:$C$35</c:f>
            </c:numRef>
          </c:val>
          <c:extLst>
            <c:ext xmlns:c16="http://schemas.microsoft.com/office/drawing/2014/chart" uri="{C3380CC4-5D6E-409C-BE32-E72D297353CC}">
              <c16:uniqueId val="{00000001-456C-4CFE-97F1-B89A9DD8AD0C}"/>
            </c:ext>
          </c:extLst>
        </c:ser>
        <c:ser>
          <c:idx val="2"/>
          <c:order val="2"/>
          <c:tx>
            <c:strRef>
              <c:f>Лист5!$D$1</c:f>
              <c:strCache>
                <c:ptCount val="1"/>
                <c:pt idx="0">
                  <c:v>код_2.1</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Лист5!$A$2:$A$35</c:f>
              <c:strCache>
                <c:ptCount val="34"/>
                <c:pt idx="0">
                  <c:v>Абыйский</c:v>
                </c:pt>
                <c:pt idx="1">
                  <c:v>Алданский</c:v>
                </c:pt>
                <c:pt idx="2">
                  <c:v>Амгинский</c:v>
                </c:pt>
                <c:pt idx="3">
                  <c:v>Анабарский</c:v>
                </c:pt>
                <c:pt idx="4">
                  <c:v>Булунский</c:v>
                </c:pt>
                <c:pt idx="5">
                  <c:v>Верхневилюйский</c:v>
                </c:pt>
                <c:pt idx="6">
                  <c:v>Верхнеколымский</c:v>
                </c:pt>
                <c:pt idx="7">
                  <c:v>Верхоянский</c:v>
                </c:pt>
                <c:pt idx="8">
                  <c:v>Вилюйский</c:v>
                </c:pt>
                <c:pt idx="9">
                  <c:v>Горный</c:v>
                </c:pt>
                <c:pt idx="10">
                  <c:v>Жиганский</c:v>
                </c:pt>
                <c:pt idx="11">
                  <c:v>Кобяйский</c:v>
                </c:pt>
                <c:pt idx="12">
                  <c:v>Ленский</c:v>
                </c:pt>
                <c:pt idx="13">
                  <c:v>Мегино-Кангаласский</c:v>
                </c:pt>
                <c:pt idx="14">
                  <c:v>Мирнинский</c:v>
                </c:pt>
                <c:pt idx="15">
                  <c:v>Момский</c:v>
                </c:pt>
                <c:pt idx="16">
                  <c:v>Намский</c:v>
                </c:pt>
                <c:pt idx="17">
                  <c:v>Нерюнгринский</c:v>
                </c:pt>
                <c:pt idx="18">
                  <c:v>Нижнеколымский</c:v>
                </c:pt>
                <c:pt idx="19">
                  <c:v>Нюрбинский</c:v>
                </c:pt>
                <c:pt idx="20">
                  <c:v>Оймяконский</c:v>
                </c:pt>
                <c:pt idx="21">
                  <c:v>Олекминский</c:v>
                </c:pt>
                <c:pt idx="22">
                  <c:v>Оленекский</c:v>
                </c:pt>
                <c:pt idx="23">
                  <c:v>Среднеколымский</c:v>
                </c:pt>
                <c:pt idx="24">
                  <c:v>Сунтарский</c:v>
                </c:pt>
                <c:pt idx="25">
                  <c:v>Таттинский</c:v>
                </c:pt>
                <c:pt idx="26">
                  <c:v>Томпонский</c:v>
                </c:pt>
                <c:pt idx="27">
                  <c:v>Усть-Алданский</c:v>
                </c:pt>
                <c:pt idx="28">
                  <c:v>Усть-Майский</c:v>
                </c:pt>
                <c:pt idx="29">
                  <c:v>Усть-Янский</c:v>
                </c:pt>
                <c:pt idx="30">
                  <c:v>Хангаласский</c:v>
                </c:pt>
                <c:pt idx="31">
                  <c:v>Чурапчинский</c:v>
                </c:pt>
                <c:pt idx="32">
                  <c:v>Эвено-Бытантайский</c:v>
                </c:pt>
                <c:pt idx="33">
                  <c:v>Якутск</c:v>
                </c:pt>
              </c:strCache>
            </c:strRef>
          </c:cat>
          <c:val>
            <c:numRef>
              <c:f>Лист5!$D$2:$D$35</c:f>
            </c:numRef>
          </c:val>
          <c:extLst>
            <c:ext xmlns:c16="http://schemas.microsoft.com/office/drawing/2014/chart" uri="{C3380CC4-5D6E-409C-BE32-E72D297353CC}">
              <c16:uniqueId val="{00000002-456C-4CFE-97F1-B89A9DD8AD0C}"/>
            </c:ext>
          </c:extLst>
        </c:ser>
        <c:ser>
          <c:idx val="3"/>
          <c:order val="3"/>
          <c:tx>
            <c:strRef>
              <c:f>Лист5!$E$1</c:f>
              <c:strCache>
                <c:ptCount val="1"/>
                <c:pt idx="0">
                  <c:v>код_2.1.1</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Лист5!$A$2:$A$35</c:f>
              <c:strCache>
                <c:ptCount val="34"/>
                <c:pt idx="0">
                  <c:v>Абыйский</c:v>
                </c:pt>
                <c:pt idx="1">
                  <c:v>Алданский</c:v>
                </c:pt>
                <c:pt idx="2">
                  <c:v>Амгинский</c:v>
                </c:pt>
                <c:pt idx="3">
                  <c:v>Анабарский</c:v>
                </c:pt>
                <c:pt idx="4">
                  <c:v>Булунский</c:v>
                </c:pt>
                <c:pt idx="5">
                  <c:v>Верхневилюйский</c:v>
                </c:pt>
                <c:pt idx="6">
                  <c:v>Верхнеколымский</c:v>
                </c:pt>
                <c:pt idx="7">
                  <c:v>Верхоянский</c:v>
                </c:pt>
                <c:pt idx="8">
                  <c:v>Вилюйский</c:v>
                </c:pt>
                <c:pt idx="9">
                  <c:v>Горный</c:v>
                </c:pt>
                <c:pt idx="10">
                  <c:v>Жиганский</c:v>
                </c:pt>
                <c:pt idx="11">
                  <c:v>Кобяйский</c:v>
                </c:pt>
                <c:pt idx="12">
                  <c:v>Ленский</c:v>
                </c:pt>
                <c:pt idx="13">
                  <c:v>Мегино-Кангаласский</c:v>
                </c:pt>
                <c:pt idx="14">
                  <c:v>Мирнинский</c:v>
                </c:pt>
                <c:pt idx="15">
                  <c:v>Момский</c:v>
                </c:pt>
                <c:pt idx="16">
                  <c:v>Намский</c:v>
                </c:pt>
                <c:pt idx="17">
                  <c:v>Нерюнгринский</c:v>
                </c:pt>
                <c:pt idx="18">
                  <c:v>Нижнеколымский</c:v>
                </c:pt>
                <c:pt idx="19">
                  <c:v>Нюрбинский</c:v>
                </c:pt>
                <c:pt idx="20">
                  <c:v>Оймяконский</c:v>
                </c:pt>
                <c:pt idx="21">
                  <c:v>Олекминский</c:v>
                </c:pt>
                <c:pt idx="22">
                  <c:v>Оленекский</c:v>
                </c:pt>
                <c:pt idx="23">
                  <c:v>Среднеколымский</c:v>
                </c:pt>
                <c:pt idx="24">
                  <c:v>Сунтарский</c:v>
                </c:pt>
                <c:pt idx="25">
                  <c:v>Таттинский</c:v>
                </c:pt>
                <c:pt idx="26">
                  <c:v>Томпонский</c:v>
                </c:pt>
                <c:pt idx="27">
                  <c:v>Усть-Алданский</c:v>
                </c:pt>
                <c:pt idx="28">
                  <c:v>Усть-Майский</c:v>
                </c:pt>
                <c:pt idx="29">
                  <c:v>Усть-Янский</c:v>
                </c:pt>
                <c:pt idx="30">
                  <c:v>Хангаласский</c:v>
                </c:pt>
                <c:pt idx="31">
                  <c:v>Чурапчинский</c:v>
                </c:pt>
                <c:pt idx="32">
                  <c:v>Эвено-Бытантайский</c:v>
                </c:pt>
                <c:pt idx="33">
                  <c:v>Якутск</c:v>
                </c:pt>
              </c:strCache>
            </c:strRef>
          </c:cat>
          <c:val>
            <c:numRef>
              <c:f>Лист5!$E$2:$E$35</c:f>
            </c:numRef>
          </c:val>
          <c:extLst>
            <c:ext xmlns:c16="http://schemas.microsoft.com/office/drawing/2014/chart" uri="{C3380CC4-5D6E-409C-BE32-E72D297353CC}">
              <c16:uniqueId val="{00000003-456C-4CFE-97F1-B89A9DD8AD0C}"/>
            </c:ext>
          </c:extLst>
        </c:ser>
        <c:ser>
          <c:idx val="4"/>
          <c:order val="4"/>
          <c:tx>
            <c:strRef>
              <c:f>Лист5!$F$1</c:f>
              <c:strCache>
                <c:ptCount val="1"/>
                <c:pt idx="0">
                  <c:v>код_2.2</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Лист5!$A$2:$A$35</c:f>
              <c:strCache>
                <c:ptCount val="34"/>
                <c:pt idx="0">
                  <c:v>Абыйский</c:v>
                </c:pt>
                <c:pt idx="1">
                  <c:v>Алданский</c:v>
                </c:pt>
                <c:pt idx="2">
                  <c:v>Амгинский</c:v>
                </c:pt>
                <c:pt idx="3">
                  <c:v>Анабарский</c:v>
                </c:pt>
                <c:pt idx="4">
                  <c:v>Булунский</c:v>
                </c:pt>
                <c:pt idx="5">
                  <c:v>Верхневилюйский</c:v>
                </c:pt>
                <c:pt idx="6">
                  <c:v>Верхнеколымский</c:v>
                </c:pt>
                <c:pt idx="7">
                  <c:v>Верхоянский</c:v>
                </c:pt>
                <c:pt idx="8">
                  <c:v>Вилюйский</c:v>
                </c:pt>
                <c:pt idx="9">
                  <c:v>Горный</c:v>
                </c:pt>
                <c:pt idx="10">
                  <c:v>Жиганский</c:v>
                </c:pt>
                <c:pt idx="11">
                  <c:v>Кобяйский</c:v>
                </c:pt>
                <c:pt idx="12">
                  <c:v>Ленский</c:v>
                </c:pt>
                <c:pt idx="13">
                  <c:v>Мегино-Кангаласский</c:v>
                </c:pt>
                <c:pt idx="14">
                  <c:v>Мирнинский</c:v>
                </c:pt>
                <c:pt idx="15">
                  <c:v>Момский</c:v>
                </c:pt>
                <c:pt idx="16">
                  <c:v>Намский</c:v>
                </c:pt>
                <c:pt idx="17">
                  <c:v>Нерюнгринский</c:v>
                </c:pt>
                <c:pt idx="18">
                  <c:v>Нижнеколымский</c:v>
                </c:pt>
                <c:pt idx="19">
                  <c:v>Нюрбинский</c:v>
                </c:pt>
                <c:pt idx="20">
                  <c:v>Оймяконский</c:v>
                </c:pt>
                <c:pt idx="21">
                  <c:v>Олекминский</c:v>
                </c:pt>
                <c:pt idx="22">
                  <c:v>Оленекский</c:v>
                </c:pt>
                <c:pt idx="23">
                  <c:v>Среднеколымский</c:v>
                </c:pt>
                <c:pt idx="24">
                  <c:v>Сунтарский</c:v>
                </c:pt>
                <c:pt idx="25">
                  <c:v>Таттинский</c:v>
                </c:pt>
                <c:pt idx="26">
                  <c:v>Томпонский</c:v>
                </c:pt>
                <c:pt idx="27">
                  <c:v>Усть-Алданский</c:v>
                </c:pt>
                <c:pt idx="28">
                  <c:v>Усть-Майский</c:v>
                </c:pt>
                <c:pt idx="29">
                  <c:v>Усть-Янский</c:v>
                </c:pt>
                <c:pt idx="30">
                  <c:v>Хангаласский</c:v>
                </c:pt>
                <c:pt idx="31">
                  <c:v>Чурапчинский</c:v>
                </c:pt>
                <c:pt idx="32">
                  <c:v>Эвено-Бытантайский</c:v>
                </c:pt>
                <c:pt idx="33">
                  <c:v>Якутск</c:v>
                </c:pt>
              </c:strCache>
            </c:strRef>
          </c:cat>
          <c:val>
            <c:numRef>
              <c:f>Лист5!$F$2:$F$35</c:f>
            </c:numRef>
          </c:val>
          <c:extLst>
            <c:ext xmlns:c16="http://schemas.microsoft.com/office/drawing/2014/chart" uri="{C3380CC4-5D6E-409C-BE32-E72D297353CC}">
              <c16:uniqueId val="{00000004-456C-4CFE-97F1-B89A9DD8AD0C}"/>
            </c:ext>
          </c:extLst>
        </c:ser>
        <c:ser>
          <c:idx val="5"/>
          <c:order val="5"/>
          <c:tx>
            <c:strRef>
              <c:f>Лист5!$G$1</c:f>
              <c:strCache>
                <c:ptCount val="1"/>
                <c:pt idx="0">
                  <c:v>код_2.3</c:v>
                </c:pt>
              </c:strCache>
            </c:strRef>
          </c:tx>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Лист5!$A$2:$A$35</c:f>
              <c:strCache>
                <c:ptCount val="34"/>
                <c:pt idx="0">
                  <c:v>Абыйский</c:v>
                </c:pt>
                <c:pt idx="1">
                  <c:v>Алданский</c:v>
                </c:pt>
                <c:pt idx="2">
                  <c:v>Амгинский</c:v>
                </c:pt>
                <c:pt idx="3">
                  <c:v>Анабарский</c:v>
                </c:pt>
                <c:pt idx="4">
                  <c:v>Булунский</c:v>
                </c:pt>
                <c:pt idx="5">
                  <c:v>Верхневилюйский</c:v>
                </c:pt>
                <c:pt idx="6">
                  <c:v>Верхнеколымский</c:v>
                </c:pt>
                <c:pt idx="7">
                  <c:v>Верхоянский</c:v>
                </c:pt>
                <c:pt idx="8">
                  <c:v>Вилюйский</c:v>
                </c:pt>
                <c:pt idx="9">
                  <c:v>Горный</c:v>
                </c:pt>
                <c:pt idx="10">
                  <c:v>Жиганский</c:v>
                </c:pt>
                <c:pt idx="11">
                  <c:v>Кобяйский</c:v>
                </c:pt>
                <c:pt idx="12">
                  <c:v>Ленский</c:v>
                </c:pt>
                <c:pt idx="13">
                  <c:v>Мегино-Кангаласский</c:v>
                </c:pt>
                <c:pt idx="14">
                  <c:v>Мирнинский</c:v>
                </c:pt>
                <c:pt idx="15">
                  <c:v>Момский</c:v>
                </c:pt>
                <c:pt idx="16">
                  <c:v>Намский</c:v>
                </c:pt>
                <c:pt idx="17">
                  <c:v>Нерюнгринский</c:v>
                </c:pt>
                <c:pt idx="18">
                  <c:v>Нижнеколымский</c:v>
                </c:pt>
                <c:pt idx="19">
                  <c:v>Нюрбинский</c:v>
                </c:pt>
                <c:pt idx="20">
                  <c:v>Оймяконский</c:v>
                </c:pt>
                <c:pt idx="21">
                  <c:v>Олекминский</c:v>
                </c:pt>
                <c:pt idx="22">
                  <c:v>Оленекский</c:v>
                </c:pt>
                <c:pt idx="23">
                  <c:v>Среднеколымский</c:v>
                </c:pt>
                <c:pt idx="24">
                  <c:v>Сунтарский</c:v>
                </c:pt>
                <c:pt idx="25">
                  <c:v>Таттинский</c:v>
                </c:pt>
                <c:pt idx="26">
                  <c:v>Томпонский</c:v>
                </c:pt>
                <c:pt idx="27">
                  <c:v>Усть-Алданский</c:v>
                </c:pt>
                <c:pt idx="28">
                  <c:v>Усть-Майский</c:v>
                </c:pt>
                <c:pt idx="29">
                  <c:v>Усть-Янский</c:v>
                </c:pt>
                <c:pt idx="30">
                  <c:v>Хангаласский</c:v>
                </c:pt>
                <c:pt idx="31">
                  <c:v>Чурапчинский</c:v>
                </c:pt>
                <c:pt idx="32">
                  <c:v>Эвено-Бытантайский</c:v>
                </c:pt>
                <c:pt idx="33">
                  <c:v>Якутск</c:v>
                </c:pt>
              </c:strCache>
            </c:strRef>
          </c:cat>
          <c:val>
            <c:numRef>
              <c:f>Лист5!$G$2:$G$35</c:f>
            </c:numRef>
          </c:val>
          <c:extLst>
            <c:ext xmlns:c16="http://schemas.microsoft.com/office/drawing/2014/chart" uri="{C3380CC4-5D6E-409C-BE32-E72D297353CC}">
              <c16:uniqueId val="{00000005-456C-4CFE-97F1-B89A9DD8AD0C}"/>
            </c:ext>
          </c:extLst>
        </c:ser>
        <c:ser>
          <c:idx val="6"/>
          <c:order val="6"/>
          <c:tx>
            <c:strRef>
              <c:f>Лист5!$H$1</c:f>
              <c:strCache>
                <c:ptCount val="1"/>
                <c:pt idx="0">
                  <c:v>Общий итог</c:v>
                </c:pt>
              </c:strCache>
            </c:strRef>
          </c:tx>
          <c:spPr>
            <a:solidFill>
              <a:schemeClr val="accent1">
                <a:lumMod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Лист5!$A$2:$A$35</c:f>
              <c:strCache>
                <c:ptCount val="34"/>
                <c:pt idx="0">
                  <c:v>Абыйский</c:v>
                </c:pt>
                <c:pt idx="1">
                  <c:v>Алданский</c:v>
                </c:pt>
                <c:pt idx="2">
                  <c:v>Амгинский</c:v>
                </c:pt>
                <c:pt idx="3">
                  <c:v>Анабарский</c:v>
                </c:pt>
                <c:pt idx="4">
                  <c:v>Булунский</c:v>
                </c:pt>
                <c:pt idx="5">
                  <c:v>Верхневилюйский</c:v>
                </c:pt>
                <c:pt idx="6">
                  <c:v>Верхнеколымский</c:v>
                </c:pt>
                <c:pt idx="7">
                  <c:v>Верхоянский</c:v>
                </c:pt>
                <c:pt idx="8">
                  <c:v>Вилюйский</c:v>
                </c:pt>
                <c:pt idx="9">
                  <c:v>Горный</c:v>
                </c:pt>
                <c:pt idx="10">
                  <c:v>Жиганский</c:v>
                </c:pt>
                <c:pt idx="11">
                  <c:v>Кобяйский</c:v>
                </c:pt>
                <c:pt idx="12">
                  <c:v>Ленский</c:v>
                </c:pt>
                <c:pt idx="13">
                  <c:v>Мегино-Кангаласский</c:v>
                </c:pt>
                <c:pt idx="14">
                  <c:v>Мирнинский</c:v>
                </c:pt>
                <c:pt idx="15">
                  <c:v>Момский</c:v>
                </c:pt>
                <c:pt idx="16">
                  <c:v>Намский</c:v>
                </c:pt>
                <c:pt idx="17">
                  <c:v>Нерюнгринский</c:v>
                </c:pt>
                <c:pt idx="18">
                  <c:v>Нижнеколымский</c:v>
                </c:pt>
                <c:pt idx="19">
                  <c:v>Нюрбинский</c:v>
                </c:pt>
                <c:pt idx="20">
                  <c:v>Оймяконский</c:v>
                </c:pt>
                <c:pt idx="21">
                  <c:v>Олекминский</c:v>
                </c:pt>
                <c:pt idx="22">
                  <c:v>Оленекский</c:v>
                </c:pt>
                <c:pt idx="23">
                  <c:v>Среднеколымский</c:v>
                </c:pt>
                <c:pt idx="24">
                  <c:v>Сунтарский</c:v>
                </c:pt>
                <c:pt idx="25">
                  <c:v>Таттинский</c:v>
                </c:pt>
                <c:pt idx="26">
                  <c:v>Томпонский</c:v>
                </c:pt>
                <c:pt idx="27">
                  <c:v>Усть-Алданский</c:v>
                </c:pt>
                <c:pt idx="28">
                  <c:v>Усть-Майский</c:v>
                </c:pt>
                <c:pt idx="29">
                  <c:v>Усть-Янский</c:v>
                </c:pt>
                <c:pt idx="30">
                  <c:v>Хангаласский</c:v>
                </c:pt>
                <c:pt idx="31">
                  <c:v>Чурапчинский</c:v>
                </c:pt>
                <c:pt idx="32">
                  <c:v>Эвено-Бытантайский</c:v>
                </c:pt>
                <c:pt idx="33">
                  <c:v>Якутск</c:v>
                </c:pt>
              </c:strCache>
            </c:strRef>
          </c:cat>
          <c:val>
            <c:numRef>
              <c:f>Лист5!$H$2:$H$35</c:f>
              <c:numCache>
                <c:formatCode>General</c:formatCode>
                <c:ptCount val="34"/>
                <c:pt idx="0">
                  <c:v>17</c:v>
                </c:pt>
                <c:pt idx="1">
                  <c:v>491</c:v>
                </c:pt>
                <c:pt idx="2">
                  <c:v>129</c:v>
                </c:pt>
                <c:pt idx="3">
                  <c:v>5</c:v>
                </c:pt>
                <c:pt idx="4">
                  <c:v>2</c:v>
                </c:pt>
                <c:pt idx="5">
                  <c:v>92</c:v>
                </c:pt>
                <c:pt idx="6">
                  <c:v>4</c:v>
                </c:pt>
                <c:pt idx="7">
                  <c:v>45</c:v>
                </c:pt>
                <c:pt idx="8">
                  <c:v>57</c:v>
                </c:pt>
                <c:pt idx="9">
                  <c:v>113</c:v>
                </c:pt>
                <c:pt idx="10">
                  <c:v>10</c:v>
                </c:pt>
                <c:pt idx="11">
                  <c:v>70</c:v>
                </c:pt>
                <c:pt idx="12">
                  <c:v>327</c:v>
                </c:pt>
                <c:pt idx="13">
                  <c:v>263</c:v>
                </c:pt>
                <c:pt idx="14">
                  <c:v>322</c:v>
                </c:pt>
                <c:pt idx="15">
                  <c:v>8</c:v>
                </c:pt>
                <c:pt idx="16">
                  <c:v>102</c:v>
                </c:pt>
                <c:pt idx="17">
                  <c:v>89</c:v>
                </c:pt>
                <c:pt idx="18">
                  <c:v>4</c:v>
                </c:pt>
                <c:pt idx="19">
                  <c:v>324</c:v>
                </c:pt>
                <c:pt idx="20">
                  <c:v>26</c:v>
                </c:pt>
                <c:pt idx="21">
                  <c:v>164</c:v>
                </c:pt>
                <c:pt idx="22">
                  <c:v>20</c:v>
                </c:pt>
                <c:pt idx="23">
                  <c:v>70</c:v>
                </c:pt>
                <c:pt idx="24">
                  <c:v>224</c:v>
                </c:pt>
                <c:pt idx="25">
                  <c:v>60</c:v>
                </c:pt>
                <c:pt idx="26">
                  <c:v>47</c:v>
                </c:pt>
                <c:pt idx="27">
                  <c:v>208</c:v>
                </c:pt>
                <c:pt idx="28">
                  <c:v>108</c:v>
                </c:pt>
                <c:pt idx="29">
                  <c:v>3</c:v>
                </c:pt>
                <c:pt idx="30">
                  <c:v>295</c:v>
                </c:pt>
                <c:pt idx="31">
                  <c:v>49</c:v>
                </c:pt>
                <c:pt idx="32">
                  <c:v>29</c:v>
                </c:pt>
                <c:pt idx="33">
                  <c:v>4675</c:v>
                </c:pt>
              </c:numCache>
            </c:numRef>
          </c:val>
          <c:extLst>
            <c:ext xmlns:c16="http://schemas.microsoft.com/office/drawing/2014/chart" uri="{C3380CC4-5D6E-409C-BE32-E72D297353CC}">
              <c16:uniqueId val="{00000006-456C-4CFE-97F1-B89A9DD8AD0C}"/>
            </c:ext>
          </c:extLst>
        </c:ser>
        <c:dLbls>
          <c:dLblPos val="outEnd"/>
          <c:showLegendKey val="0"/>
          <c:showVal val="1"/>
          <c:showCatName val="0"/>
          <c:showSerName val="0"/>
          <c:showPercent val="0"/>
          <c:showBubbleSize val="0"/>
        </c:dLbls>
        <c:gapWidth val="219"/>
        <c:overlap val="-27"/>
        <c:axId val="727749008"/>
        <c:axId val="727749840"/>
      </c:barChart>
      <c:catAx>
        <c:axId val="7277490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727749840"/>
        <c:crosses val="autoZero"/>
        <c:auto val="1"/>
        <c:lblAlgn val="ctr"/>
        <c:lblOffset val="100"/>
        <c:noMultiLvlLbl val="0"/>
      </c:catAx>
      <c:valAx>
        <c:axId val="72774984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a:latin typeface="Times New Roman" panose="02020603050405020304" pitchFamily="18" charset="0"/>
                    <a:cs typeface="Times New Roman" panose="02020603050405020304" pitchFamily="18" charset="0"/>
                  </a:rPr>
                  <a:t>Количество</a:t>
                </a:r>
                <a:r>
                  <a:rPr lang="ru-RU" baseline="0">
                    <a:latin typeface="Times New Roman" panose="02020603050405020304" pitchFamily="18" charset="0"/>
                    <a:cs typeface="Times New Roman" panose="02020603050405020304" pitchFamily="18" charset="0"/>
                  </a:rPr>
                  <a:t> сделок</a:t>
                </a:r>
                <a:endParaRPr lang="ru-RU">
                  <a:latin typeface="Times New Roman" panose="02020603050405020304" pitchFamily="18" charset="0"/>
                  <a:cs typeface="Times New Roman" panose="02020603050405020304" pitchFamily="18" charset="0"/>
                </a:endParaRPr>
              </a:p>
            </c:rich>
          </c:tx>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72774900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Лист1!$D$37:$D$39</c:f>
              <c:strCache>
                <c:ptCount val="3"/>
                <c:pt idx="0">
                  <c:v>2016</c:v>
                </c:pt>
                <c:pt idx="1">
                  <c:v>2017</c:v>
                </c:pt>
                <c:pt idx="2">
                  <c:v>2018</c:v>
                </c:pt>
              </c:strCache>
            </c:strRef>
          </c:cat>
          <c:val>
            <c:numRef>
              <c:f>Лист1!$E$37:$E$39</c:f>
              <c:numCache>
                <c:formatCode>General</c:formatCode>
                <c:ptCount val="3"/>
                <c:pt idx="0">
                  <c:v>118</c:v>
                </c:pt>
                <c:pt idx="1">
                  <c:v>139</c:v>
                </c:pt>
                <c:pt idx="2">
                  <c:v>104</c:v>
                </c:pt>
              </c:numCache>
            </c:numRef>
          </c:val>
          <c:extLst>
            <c:ext xmlns:c16="http://schemas.microsoft.com/office/drawing/2014/chart" uri="{C3380CC4-5D6E-409C-BE32-E72D297353CC}">
              <c16:uniqueId val="{00000000-D5EC-4EE6-95E6-32113FB4C044}"/>
            </c:ext>
          </c:extLst>
        </c:ser>
        <c:dLbls>
          <c:dLblPos val="outEnd"/>
          <c:showLegendKey val="0"/>
          <c:showVal val="1"/>
          <c:showCatName val="0"/>
          <c:showSerName val="0"/>
          <c:showPercent val="0"/>
          <c:showBubbleSize val="0"/>
        </c:dLbls>
        <c:gapWidth val="219"/>
        <c:overlap val="-27"/>
        <c:axId val="1506937840"/>
        <c:axId val="1506934928"/>
      </c:barChart>
      <c:catAx>
        <c:axId val="15069378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506934928"/>
        <c:crosses val="autoZero"/>
        <c:auto val="1"/>
        <c:lblAlgn val="ctr"/>
        <c:lblOffset val="100"/>
        <c:noMultiLvlLbl val="0"/>
      </c:catAx>
      <c:valAx>
        <c:axId val="150693492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50693784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Лист1!$D$57:$D$68</c:f>
              <c:strCache>
                <c:ptCount val="11"/>
                <c:pt idx="0">
                  <c:v>Автодорожный округ</c:v>
                </c:pt>
                <c:pt idx="1">
                  <c:v>Гагаринский округ</c:v>
                </c:pt>
                <c:pt idx="2">
                  <c:v>Губинский округ</c:v>
                </c:pt>
                <c:pt idx="3">
                  <c:v>Губинский округ</c:v>
                </c:pt>
                <c:pt idx="4">
                  <c:v>Заложный округ</c:v>
                </c:pt>
                <c:pt idx="5">
                  <c:v>Марха</c:v>
                </c:pt>
                <c:pt idx="6">
                  <c:v>Октябрьский округ</c:v>
                </c:pt>
                <c:pt idx="7">
                  <c:v>Промышленный округ</c:v>
                </c:pt>
                <c:pt idx="8">
                  <c:v>Сайсарский округ</c:v>
                </c:pt>
                <c:pt idx="9">
                  <c:v>Строительный округ</c:v>
                </c:pt>
                <c:pt idx="10">
                  <c:v>Центральный округ</c:v>
                </c:pt>
              </c:strCache>
            </c:strRef>
          </c:cat>
          <c:val>
            <c:numRef>
              <c:f>Лист1!$E$57:$E$68</c:f>
              <c:numCache>
                <c:formatCode>General</c:formatCode>
                <c:ptCount val="12"/>
                <c:pt idx="0">
                  <c:v>53</c:v>
                </c:pt>
                <c:pt idx="1">
                  <c:v>13</c:v>
                </c:pt>
                <c:pt idx="2">
                  <c:v>7</c:v>
                </c:pt>
                <c:pt idx="3">
                  <c:v>1</c:v>
                </c:pt>
                <c:pt idx="4">
                  <c:v>3</c:v>
                </c:pt>
                <c:pt idx="5">
                  <c:v>14</c:v>
                </c:pt>
                <c:pt idx="6">
                  <c:v>2</c:v>
                </c:pt>
                <c:pt idx="7">
                  <c:v>46</c:v>
                </c:pt>
                <c:pt idx="8">
                  <c:v>28</c:v>
                </c:pt>
                <c:pt idx="9">
                  <c:v>11</c:v>
                </c:pt>
                <c:pt idx="10">
                  <c:v>3</c:v>
                </c:pt>
              </c:numCache>
            </c:numRef>
          </c:val>
          <c:extLst>
            <c:ext xmlns:c16="http://schemas.microsoft.com/office/drawing/2014/chart" uri="{C3380CC4-5D6E-409C-BE32-E72D297353CC}">
              <c16:uniqueId val="{00000000-CA90-4A51-928B-3A9045EC4969}"/>
            </c:ext>
          </c:extLst>
        </c:ser>
        <c:dLbls>
          <c:dLblPos val="outEnd"/>
          <c:showLegendKey val="0"/>
          <c:showVal val="1"/>
          <c:showCatName val="0"/>
          <c:showSerName val="0"/>
          <c:showPercent val="0"/>
          <c:showBubbleSize val="0"/>
        </c:dLbls>
        <c:gapWidth val="182"/>
        <c:axId val="1895017040"/>
        <c:axId val="1894996656"/>
      </c:barChart>
      <c:catAx>
        <c:axId val="189501704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894996656"/>
        <c:crosses val="autoZero"/>
        <c:auto val="1"/>
        <c:lblAlgn val="ctr"/>
        <c:lblOffset val="100"/>
        <c:noMultiLvlLbl val="0"/>
      </c:catAx>
      <c:valAx>
        <c:axId val="189499665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89501704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3ADAF99-883C-440B-ACA2-CF37408C069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92</TotalTime>
  <Pages>259</Pages>
  <Words>84937</Words>
  <Characters>484145</Characters>
  <Application>Microsoft Office Word</Application>
  <DocSecurity>0</DocSecurity>
  <Lines>4034</Lines>
  <Paragraphs>1135</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567947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ДИЗО</dc:creator>
  <cp:keywords/>
  <dc:description/>
  <cp:lastModifiedBy>Анна Федоровна Горохова</cp:lastModifiedBy>
  <cp:revision>5</cp:revision>
  <cp:lastPrinted>2019-10-08T11:05:00Z</cp:lastPrinted>
  <dcterms:created xsi:type="dcterms:W3CDTF">2019-10-08T09:48:00Z</dcterms:created>
  <dcterms:modified xsi:type="dcterms:W3CDTF">2019-10-08T11:23:00Z</dcterms:modified>
</cp:coreProperties>
</file>